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C280" w14:textId="77777777" w:rsidR="00C1548D" w:rsidRDefault="009B1B4B">
      <w:pPr>
        <w:spacing w:after="240"/>
        <w:jc w:val="center"/>
      </w:pPr>
      <w:r>
        <w:rPr>
          <w:rFonts w:ascii="Amazon Ember" w:eastAsia="Amazon Ember" w:hAnsi="Amazon Ember" w:cs="Amazon Ember"/>
          <w:b/>
          <w:bCs/>
          <w:color w:val="0000FF"/>
          <w:sz w:val="52"/>
          <w:szCs w:val="52"/>
        </w:rPr>
        <w:t>Auswandern</w:t>
      </w:r>
    </w:p>
    <w:p w14:paraId="70A4C281" w14:textId="77777777" w:rsidR="00C1548D" w:rsidRDefault="009B1B4B">
      <w:pPr>
        <w:spacing w:after="360"/>
        <w:jc w:val="center"/>
      </w:pPr>
      <w:r>
        <w:rPr>
          <w:rFonts w:ascii="Amazon Ember" w:eastAsia="Amazon Ember" w:hAnsi="Amazon Ember" w:cs="Amazon Ember"/>
          <w:b/>
          <w:bCs/>
          <w:color w:val="0000FF"/>
          <w:sz w:val="32"/>
          <w:szCs w:val="32"/>
        </w:rPr>
        <w:t>Ab in die USA, Kanada, Australien oder Neuseeland?</w:t>
      </w:r>
    </w:p>
    <w:p w14:paraId="70A4C282" w14:textId="77777777" w:rsidR="00C1548D" w:rsidRDefault="009B1B4B">
      <w:pPr>
        <w:spacing w:after="720" w:line="300" w:lineRule="auto"/>
        <w:jc w:val="center"/>
      </w:pPr>
      <w:r>
        <w:t>Visa und Aufenthaltstitel, Umzug und Kosten, Wohnen und Steuern, Schule, Freunde und Kultur: Alles, was du vor, während und nach dem Umzug von Deutschland in die USA, nach Kanada, Australien oder Neuseeland wissen musst.</w:t>
      </w:r>
    </w:p>
    <w:p w14:paraId="70A4C283" w14:textId="77777777" w:rsidR="00C1548D" w:rsidRDefault="009B1B4B">
      <w:pPr>
        <w:spacing w:after="120"/>
        <w:jc w:val="center"/>
      </w:pPr>
      <w:r>
        <w:rPr>
          <w:b/>
          <w:bCs/>
          <w:sz w:val="30"/>
          <w:szCs w:val="30"/>
        </w:rPr>
        <w:t>Lothar J. Musiol</w:t>
      </w:r>
    </w:p>
    <w:p w14:paraId="70A4C284" w14:textId="77777777" w:rsidR="00C1548D" w:rsidRDefault="009B1B4B">
      <w:pPr>
        <w:jc w:val="center"/>
      </w:pPr>
      <w:r>
        <w:rPr>
          <w:color w:val="666666"/>
          <w:sz w:val="20"/>
          <w:szCs w:val="20"/>
        </w:rPr>
        <w:t>Stand: September 2026</w:t>
      </w:r>
    </w:p>
    <w:p w14:paraId="70A4C285" w14:textId="77777777" w:rsidR="00C1548D" w:rsidRDefault="00C1548D">
      <w:pPr>
        <w:sectPr w:rsidR="00C1548D">
          <w:footerReference w:type="default" r:id="rId7"/>
          <w:pgSz w:w="8640" w:h="12960"/>
          <w:pgMar w:top="1080" w:right="1080" w:bottom="1100" w:left="1080" w:header="708" w:footer="708" w:gutter="0"/>
          <w:cols w:space="720"/>
          <w:vAlign w:val="center"/>
          <w:docGrid w:linePitch="360"/>
        </w:sectPr>
      </w:pPr>
    </w:p>
    <w:p w14:paraId="70A4C286" w14:textId="77777777" w:rsidR="00C1548D" w:rsidRDefault="009B1B4B">
      <w:pPr>
        <w:spacing w:after="90" w:line="260" w:lineRule="auto"/>
      </w:pPr>
      <w:r>
        <w:rPr>
          <w:b/>
          <w:bCs/>
          <w:color w:val="444444"/>
          <w:sz w:val="17"/>
          <w:szCs w:val="17"/>
        </w:rPr>
        <w:lastRenderedPageBreak/>
        <w:t>Auswandern – Ab in die USA, Kanada, Australien oder Neuseeland?</w:t>
      </w:r>
    </w:p>
    <w:p w14:paraId="70A4C287" w14:textId="77777777" w:rsidR="00C1548D" w:rsidRDefault="009B1B4B">
      <w:pPr>
        <w:spacing w:after="90" w:line="260" w:lineRule="auto"/>
      </w:pPr>
      <w:r>
        <w:rPr>
          <w:color w:val="444444"/>
          <w:sz w:val="17"/>
          <w:szCs w:val="17"/>
        </w:rPr>
        <w:t>Copyright © 2026 Lothar J. Musiol. Alle Rechte vorbehalten. Kein Teil dieses Buches darf ohne schriftliche Genehmigung des Autors vervielfältigt, gespeichert oder in irgendeiner Form übertragen werden, auch nicht auszugsweise.</w:t>
      </w:r>
    </w:p>
    <w:p w14:paraId="70A4C288" w14:textId="77777777" w:rsidR="00C1548D" w:rsidRDefault="009B1B4B">
      <w:pPr>
        <w:spacing w:after="90" w:line="260" w:lineRule="auto"/>
      </w:pPr>
      <w:r>
        <w:rPr>
          <w:b/>
          <w:bCs/>
          <w:color w:val="444444"/>
          <w:sz w:val="17"/>
          <w:szCs w:val="17"/>
        </w:rPr>
        <w:t>Stand der Angaben: September 2026.</w:t>
      </w:r>
      <w:r>
        <w:rPr>
          <w:color w:val="444444"/>
          <w:sz w:val="17"/>
          <w:szCs w:val="17"/>
        </w:rPr>
        <w:t xml:space="preserve"> Einwanderungs-, Steuer-, Sozialversicherungs- und Gesundheitsrecht der USA, Kanadas, Australiens, Neuseelands und Deutschlands sowie Gebühren, Fristen und Bearbeitungszeiten ändern sich häufig, manchmal von einem Monat zum nächsten. Prüfe vor jeder Entscheidung die in den Kapiteln genannten offiziellen Quellen.</w:t>
      </w:r>
    </w:p>
    <w:p w14:paraId="70A4C289" w14:textId="77777777" w:rsidR="00C1548D" w:rsidRDefault="009B1B4B">
      <w:pPr>
        <w:spacing w:after="90" w:line="260" w:lineRule="auto"/>
      </w:pPr>
      <w:r>
        <w:rPr>
          <w:b/>
          <w:bCs/>
          <w:color w:val="444444"/>
          <w:sz w:val="17"/>
          <w:szCs w:val="17"/>
        </w:rPr>
        <w:t>Haftungsausschluss.</w:t>
      </w:r>
      <w:r>
        <w:rPr>
          <w:color w:val="444444"/>
          <w:sz w:val="17"/>
          <w:szCs w:val="17"/>
        </w:rPr>
        <w:t xml:space="preserve"> Dieses Buch ist ein Ratgeber. Es ersetzt keine individuelle Rechts-, Steuer-, Finanz- oder Einwanderungsberatung. Der Autor hat mit großer Sorgfalt recherchiert, übernimmt aber keine Gewähr für Richtigkeit, Vollständigkeit und Aktualität und keine Haftung für Entscheidungen, die auf Grundlage dieses Buches getroffen werden. Bei Visum, Steuern, Immobilien und Vorsorge solltest du zugelassene Fachleute hinzuziehen.</w:t>
      </w:r>
    </w:p>
    <w:p w14:paraId="70A4C28A" w14:textId="77777777" w:rsidR="00C1548D" w:rsidRDefault="009B1B4B">
      <w:pPr>
        <w:spacing w:after="90" w:line="260" w:lineRule="auto"/>
      </w:pPr>
      <w:r>
        <w:rPr>
          <w:color w:val="444444"/>
          <w:sz w:val="17"/>
          <w:szCs w:val="17"/>
        </w:rPr>
        <w:t>Die in den Praxisbeispielen auftretenden Familien und Personen sind frei erfunden; Ähnlichkeiten mit lebenden Personen wären zufällig. Marken- und Produktnamen werden nur genannt, wo sie die praktische Information sind, und gehören ihren jeweiligen Inhabern.</w:t>
      </w:r>
    </w:p>
    <w:p w14:paraId="70A4C28B" w14:textId="77777777" w:rsidR="00C1548D" w:rsidRDefault="009B1B4B">
      <w:pPr>
        <w:spacing w:after="90" w:line="260" w:lineRule="auto"/>
      </w:pPr>
      <w:r>
        <w:rPr>
          <w:color w:val="444444"/>
          <w:sz w:val="17"/>
          <w:szCs w:val="17"/>
        </w:rPr>
        <w:t>Erstausgabe 2026.</w:t>
      </w:r>
    </w:p>
    <w:p w14:paraId="70A4C28C" w14:textId="77777777" w:rsidR="00C1548D" w:rsidRDefault="00C1548D">
      <w:pPr>
        <w:sectPr w:rsidR="00C1548D">
          <w:footerReference w:type="default" r:id="rId8"/>
          <w:pgSz w:w="8640" w:h="12960"/>
          <w:pgMar w:top="1080" w:right="1080" w:bottom="1100" w:left="1080" w:header="708" w:footer="708" w:gutter="0"/>
          <w:cols w:space="720"/>
          <w:vAlign w:val="bottom"/>
          <w:docGrid w:linePitch="360"/>
        </w:sectPr>
      </w:pPr>
    </w:p>
    <w:p w14:paraId="70A4C28D" w14:textId="77777777" w:rsidR="00C1548D" w:rsidRDefault="009B1B4B">
      <w:pPr>
        <w:pageBreakBefore/>
        <w:spacing w:after="360"/>
        <w:jc w:val="center"/>
      </w:pPr>
      <w:r>
        <w:rPr>
          <w:rFonts w:ascii="Amazon Ember" w:eastAsia="Amazon Ember" w:hAnsi="Amazon Ember" w:cs="Amazon Ember"/>
          <w:b/>
          <w:bCs/>
          <w:color w:val="0000FF"/>
          <w:sz w:val="34"/>
          <w:szCs w:val="34"/>
        </w:rPr>
        <w:lastRenderedPageBreak/>
        <w:t>Inhaltsverzeichnis</w:t>
      </w:r>
    </w:p>
    <w:sdt>
      <w:sdtPr>
        <w:alias w:val="Inhaltsverzeichnis"/>
        <w:id w:val="-1804077623"/>
      </w:sdtPr>
      <w:sdtEndPr>
        <w:rPr>
          <w:sz w:val="22"/>
          <w:szCs w:val="22"/>
        </w:rPr>
      </w:sdtEndPr>
      <w:sdtContent>
        <w:p w14:paraId="4D1D44F5" w14:textId="3B200B05" w:rsidR="000A527C" w:rsidRDefault="009B1B4B">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r>
            <w:fldChar w:fldCharType="begin"/>
          </w:r>
          <w:r>
            <w:instrText>TOC \h \o "1-2"</w:instrText>
          </w:r>
          <w:r>
            <w:fldChar w:fldCharType="separate"/>
          </w:r>
          <w:hyperlink w:anchor="_Toc241352444" w:history="1">
            <w:r w:rsidR="000A527C" w:rsidRPr="00827DC2">
              <w:rPr>
                <w:rStyle w:val="Hyperlink"/>
                <w:rFonts w:ascii="Amazon Ember" w:eastAsia="Amazon Ember" w:hAnsi="Amazon Ember" w:cs="Amazon Ember"/>
                <w:noProof/>
              </w:rPr>
              <w:t>Vorwort</w:t>
            </w:r>
            <w:r w:rsidR="000A527C">
              <w:rPr>
                <w:noProof/>
              </w:rPr>
              <w:tab/>
            </w:r>
            <w:r w:rsidR="000A527C">
              <w:rPr>
                <w:noProof/>
              </w:rPr>
              <w:fldChar w:fldCharType="begin"/>
            </w:r>
            <w:r w:rsidR="000A527C">
              <w:rPr>
                <w:noProof/>
              </w:rPr>
              <w:instrText xml:space="preserve"> PAGEREF _Toc241352444 \h </w:instrText>
            </w:r>
            <w:r w:rsidR="000A527C">
              <w:rPr>
                <w:noProof/>
              </w:rPr>
            </w:r>
            <w:r w:rsidR="000A527C">
              <w:rPr>
                <w:noProof/>
              </w:rPr>
              <w:fldChar w:fldCharType="separate"/>
            </w:r>
            <w:r w:rsidR="000A527C">
              <w:rPr>
                <w:noProof/>
              </w:rPr>
              <w:t>8</w:t>
            </w:r>
            <w:r w:rsidR="000A527C">
              <w:rPr>
                <w:noProof/>
              </w:rPr>
              <w:fldChar w:fldCharType="end"/>
            </w:r>
          </w:hyperlink>
        </w:p>
        <w:p w14:paraId="76EB50FA" w14:textId="3BF1EF3B"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45" w:history="1">
            <w:r w:rsidRPr="00827DC2">
              <w:rPr>
                <w:rStyle w:val="Hyperlink"/>
                <w:rFonts w:ascii="Amazon Ember" w:eastAsia="Amazon Ember" w:hAnsi="Amazon Ember" w:cs="Amazon Ember"/>
                <w:noProof/>
              </w:rPr>
              <w:t>So nutzt du dieses Buch</w:t>
            </w:r>
            <w:r>
              <w:rPr>
                <w:noProof/>
              </w:rPr>
              <w:tab/>
            </w:r>
            <w:r>
              <w:rPr>
                <w:noProof/>
              </w:rPr>
              <w:fldChar w:fldCharType="begin"/>
            </w:r>
            <w:r>
              <w:rPr>
                <w:noProof/>
              </w:rPr>
              <w:instrText xml:space="preserve"> PAGEREF _Toc241352445 \h </w:instrText>
            </w:r>
            <w:r>
              <w:rPr>
                <w:noProof/>
              </w:rPr>
            </w:r>
            <w:r>
              <w:rPr>
                <w:noProof/>
              </w:rPr>
              <w:fldChar w:fldCharType="separate"/>
            </w:r>
            <w:r>
              <w:rPr>
                <w:noProof/>
              </w:rPr>
              <w:t>11</w:t>
            </w:r>
            <w:r>
              <w:rPr>
                <w:noProof/>
              </w:rPr>
              <w:fldChar w:fldCharType="end"/>
            </w:r>
          </w:hyperlink>
        </w:p>
        <w:p w14:paraId="3C8E8F31" w14:textId="27841BAD"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446" w:history="1">
            <w:r w:rsidRPr="00827DC2">
              <w:rPr>
                <w:rStyle w:val="Hyperlink"/>
                <w:rFonts w:ascii="Amazon Ember" w:eastAsia="Amazon Ember" w:hAnsi="Amazon Ember" w:cs="Amazon Ember"/>
                <w:noProof/>
              </w:rPr>
              <w:t>TEIL UNIVERSAL — Bevor du dich entscheidest</w:t>
            </w:r>
            <w:r>
              <w:rPr>
                <w:noProof/>
              </w:rPr>
              <w:tab/>
            </w:r>
            <w:r>
              <w:rPr>
                <w:noProof/>
              </w:rPr>
              <w:fldChar w:fldCharType="begin"/>
            </w:r>
            <w:r>
              <w:rPr>
                <w:noProof/>
              </w:rPr>
              <w:instrText xml:space="preserve"> PAGEREF _Toc241352446 \h </w:instrText>
            </w:r>
            <w:r>
              <w:rPr>
                <w:noProof/>
              </w:rPr>
            </w:r>
            <w:r>
              <w:rPr>
                <w:noProof/>
              </w:rPr>
              <w:fldChar w:fldCharType="separate"/>
            </w:r>
            <w:r>
              <w:rPr>
                <w:noProof/>
              </w:rPr>
              <w:t>14</w:t>
            </w:r>
            <w:r>
              <w:rPr>
                <w:noProof/>
              </w:rPr>
              <w:fldChar w:fldCharType="end"/>
            </w:r>
          </w:hyperlink>
        </w:p>
        <w:p w14:paraId="441814C1" w14:textId="69D3FA71"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47" w:history="1">
            <w:r w:rsidRPr="00827DC2">
              <w:rPr>
                <w:rStyle w:val="Hyperlink"/>
                <w:rFonts w:ascii="Amazon Ember" w:eastAsia="Amazon Ember" w:hAnsi="Amazon Ember" w:cs="Amazon Ember"/>
                <w:noProof/>
              </w:rPr>
              <w:t>Kapitel 1: Bist du überhaupt bereit dafür?</w:t>
            </w:r>
            <w:r>
              <w:rPr>
                <w:noProof/>
              </w:rPr>
              <w:tab/>
            </w:r>
            <w:r>
              <w:rPr>
                <w:noProof/>
              </w:rPr>
              <w:fldChar w:fldCharType="begin"/>
            </w:r>
            <w:r>
              <w:rPr>
                <w:noProof/>
              </w:rPr>
              <w:instrText xml:space="preserve"> PAGEREF _Toc241352447 \h </w:instrText>
            </w:r>
            <w:r>
              <w:rPr>
                <w:noProof/>
              </w:rPr>
            </w:r>
            <w:r>
              <w:rPr>
                <w:noProof/>
              </w:rPr>
              <w:fldChar w:fldCharType="separate"/>
            </w:r>
            <w:r>
              <w:rPr>
                <w:noProof/>
              </w:rPr>
              <w:t>15</w:t>
            </w:r>
            <w:r>
              <w:rPr>
                <w:noProof/>
              </w:rPr>
              <w:fldChar w:fldCharType="end"/>
            </w:r>
          </w:hyperlink>
        </w:p>
        <w:p w14:paraId="6AE114AA" w14:textId="7E1F2995"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48" w:history="1">
            <w:r w:rsidRPr="00827DC2">
              <w:rPr>
                <w:rStyle w:val="Hyperlink"/>
                <w:rFonts w:ascii="Amazon Ember" w:eastAsia="Amazon Ember" w:hAnsi="Amazon Ember" w:cs="Amazon Ember"/>
                <w:noProof/>
              </w:rPr>
              <w:t>Kapitel 2: Welches Land passt zu dir?</w:t>
            </w:r>
            <w:r>
              <w:rPr>
                <w:noProof/>
              </w:rPr>
              <w:tab/>
            </w:r>
            <w:r>
              <w:rPr>
                <w:noProof/>
              </w:rPr>
              <w:fldChar w:fldCharType="begin"/>
            </w:r>
            <w:r>
              <w:rPr>
                <w:noProof/>
              </w:rPr>
              <w:instrText xml:space="preserve"> PAGEREF _Toc241352448 \h </w:instrText>
            </w:r>
            <w:r>
              <w:rPr>
                <w:noProof/>
              </w:rPr>
            </w:r>
            <w:r>
              <w:rPr>
                <w:noProof/>
              </w:rPr>
              <w:fldChar w:fldCharType="separate"/>
            </w:r>
            <w:r>
              <w:rPr>
                <w:noProof/>
              </w:rPr>
              <w:t>30</w:t>
            </w:r>
            <w:r>
              <w:rPr>
                <w:noProof/>
              </w:rPr>
              <w:fldChar w:fldCharType="end"/>
            </w:r>
          </w:hyperlink>
        </w:p>
        <w:p w14:paraId="57E2B4D1" w14:textId="539949D5"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449" w:history="1">
            <w:r w:rsidRPr="00827DC2">
              <w:rPr>
                <w:rStyle w:val="Hyperlink"/>
                <w:rFonts w:ascii="Amazon Ember" w:eastAsia="Amazon Ember" w:hAnsi="Amazon Ember" w:cs="Amazon Ember"/>
                <w:noProof/>
              </w:rPr>
              <w:t>TEIL I — Die Entscheidung</w:t>
            </w:r>
            <w:r>
              <w:rPr>
                <w:noProof/>
              </w:rPr>
              <w:tab/>
            </w:r>
            <w:r>
              <w:rPr>
                <w:noProof/>
              </w:rPr>
              <w:fldChar w:fldCharType="begin"/>
            </w:r>
            <w:r>
              <w:rPr>
                <w:noProof/>
              </w:rPr>
              <w:instrText xml:space="preserve"> PAGEREF _Toc241352449 \h </w:instrText>
            </w:r>
            <w:r>
              <w:rPr>
                <w:noProof/>
              </w:rPr>
            </w:r>
            <w:r>
              <w:rPr>
                <w:noProof/>
              </w:rPr>
              <w:fldChar w:fldCharType="separate"/>
            </w:r>
            <w:r>
              <w:rPr>
                <w:noProof/>
              </w:rPr>
              <w:t>45</w:t>
            </w:r>
            <w:r>
              <w:rPr>
                <w:noProof/>
              </w:rPr>
              <w:fldChar w:fldCharType="end"/>
            </w:r>
          </w:hyperlink>
        </w:p>
        <w:p w14:paraId="2F3FA7E5" w14:textId="66B6226B"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50" w:history="1">
            <w:r w:rsidRPr="00827DC2">
              <w:rPr>
                <w:rStyle w:val="Hyperlink"/>
                <w:rFonts w:ascii="Amazon Ember" w:eastAsia="Amazon Ember" w:hAnsi="Amazon Ember" w:cs="Amazon Ember"/>
                <w:noProof/>
              </w:rPr>
              <w:t>Kapitel 1: Die ehrliche Bilanz: Was für die USA spricht und was dagegen</w:t>
            </w:r>
            <w:r>
              <w:rPr>
                <w:noProof/>
              </w:rPr>
              <w:tab/>
            </w:r>
            <w:r>
              <w:rPr>
                <w:noProof/>
              </w:rPr>
              <w:fldChar w:fldCharType="begin"/>
            </w:r>
            <w:r>
              <w:rPr>
                <w:noProof/>
              </w:rPr>
              <w:instrText xml:space="preserve"> PAGEREF _Toc241352450 \h </w:instrText>
            </w:r>
            <w:r>
              <w:rPr>
                <w:noProof/>
              </w:rPr>
            </w:r>
            <w:r>
              <w:rPr>
                <w:noProof/>
              </w:rPr>
              <w:fldChar w:fldCharType="separate"/>
            </w:r>
            <w:r>
              <w:rPr>
                <w:noProof/>
              </w:rPr>
              <w:t>46</w:t>
            </w:r>
            <w:r>
              <w:rPr>
                <w:noProof/>
              </w:rPr>
              <w:fldChar w:fldCharType="end"/>
            </w:r>
          </w:hyperlink>
        </w:p>
        <w:p w14:paraId="3818BA3C" w14:textId="3894C08F"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51" w:history="1">
            <w:r w:rsidRPr="00827DC2">
              <w:rPr>
                <w:rStyle w:val="Hyperlink"/>
                <w:rFonts w:ascii="Amazon Ember" w:eastAsia="Amazon Ember" w:hAnsi="Amazon Ember" w:cs="Amazon Ember"/>
                <w:noProof/>
              </w:rPr>
              <w:t>Kapitel 2: Die 25 größten Fallen</w:t>
            </w:r>
            <w:r>
              <w:rPr>
                <w:noProof/>
              </w:rPr>
              <w:tab/>
            </w:r>
            <w:r>
              <w:rPr>
                <w:noProof/>
              </w:rPr>
              <w:fldChar w:fldCharType="begin"/>
            </w:r>
            <w:r>
              <w:rPr>
                <w:noProof/>
              </w:rPr>
              <w:instrText xml:space="preserve"> PAGEREF _Toc241352451 \h </w:instrText>
            </w:r>
            <w:r>
              <w:rPr>
                <w:noProof/>
              </w:rPr>
            </w:r>
            <w:r>
              <w:rPr>
                <w:noProof/>
              </w:rPr>
              <w:fldChar w:fldCharType="separate"/>
            </w:r>
            <w:r>
              <w:rPr>
                <w:noProof/>
              </w:rPr>
              <w:t>62</w:t>
            </w:r>
            <w:r>
              <w:rPr>
                <w:noProof/>
              </w:rPr>
              <w:fldChar w:fldCharType="end"/>
            </w:r>
          </w:hyperlink>
        </w:p>
        <w:p w14:paraId="27AD528F" w14:textId="07B45019"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52" w:history="1">
            <w:r w:rsidRPr="00827DC2">
              <w:rPr>
                <w:rStyle w:val="Hyperlink"/>
                <w:rFonts w:ascii="Amazon Ember" w:eastAsia="Amazon Ember" w:hAnsi="Amazon Ember" w:cs="Amazon Ember"/>
                <w:noProof/>
              </w:rPr>
              <w:t>Kapitel 3: Lohnt es sich für mich? Rechnen, prüfen, entscheiden</w:t>
            </w:r>
            <w:r>
              <w:rPr>
                <w:noProof/>
              </w:rPr>
              <w:tab/>
            </w:r>
            <w:r>
              <w:rPr>
                <w:noProof/>
              </w:rPr>
              <w:fldChar w:fldCharType="begin"/>
            </w:r>
            <w:r>
              <w:rPr>
                <w:noProof/>
              </w:rPr>
              <w:instrText xml:space="preserve"> PAGEREF _Toc241352452 \h </w:instrText>
            </w:r>
            <w:r>
              <w:rPr>
                <w:noProof/>
              </w:rPr>
            </w:r>
            <w:r>
              <w:rPr>
                <w:noProof/>
              </w:rPr>
              <w:fldChar w:fldCharType="separate"/>
            </w:r>
            <w:r>
              <w:rPr>
                <w:noProof/>
              </w:rPr>
              <w:t>76</w:t>
            </w:r>
            <w:r>
              <w:rPr>
                <w:noProof/>
              </w:rPr>
              <w:fldChar w:fldCharType="end"/>
            </w:r>
          </w:hyperlink>
        </w:p>
        <w:p w14:paraId="3F450BB8" w14:textId="3DFDAA5C"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453" w:history="1">
            <w:r w:rsidRPr="00827DC2">
              <w:rPr>
                <w:rStyle w:val="Hyperlink"/>
                <w:rFonts w:ascii="Amazon Ember" w:eastAsia="Amazon Ember" w:hAnsi="Amazon Ember" w:cs="Amazon Ember"/>
                <w:noProof/>
              </w:rPr>
              <w:t>TEIL II — Visum und Green Card</w:t>
            </w:r>
            <w:r>
              <w:rPr>
                <w:noProof/>
              </w:rPr>
              <w:tab/>
            </w:r>
            <w:r>
              <w:rPr>
                <w:noProof/>
              </w:rPr>
              <w:fldChar w:fldCharType="begin"/>
            </w:r>
            <w:r>
              <w:rPr>
                <w:noProof/>
              </w:rPr>
              <w:instrText xml:space="preserve"> PAGEREF _Toc241352453 \h </w:instrText>
            </w:r>
            <w:r>
              <w:rPr>
                <w:noProof/>
              </w:rPr>
            </w:r>
            <w:r>
              <w:rPr>
                <w:noProof/>
              </w:rPr>
              <w:fldChar w:fldCharType="separate"/>
            </w:r>
            <w:r>
              <w:rPr>
                <w:noProof/>
              </w:rPr>
              <w:t>92</w:t>
            </w:r>
            <w:r>
              <w:rPr>
                <w:noProof/>
              </w:rPr>
              <w:fldChar w:fldCharType="end"/>
            </w:r>
          </w:hyperlink>
        </w:p>
        <w:p w14:paraId="56DF6E87" w14:textId="326E7852"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54" w:history="1">
            <w:r w:rsidRPr="00827DC2">
              <w:rPr>
                <w:rStyle w:val="Hyperlink"/>
                <w:rFonts w:ascii="Amazon Ember" w:eastAsia="Amazon Ember" w:hAnsi="Amazon Ember" w:cs="Amazon Ember"/>
                <w:noProof/>
              </w:rPr>
              <w:t>Kapitel 4: Die Wege in die USA im Überblick</w:t>
            </w:r>
            <w:r>
              <w:rPr>
                <w:noProof/>
              </w:rPr>
              <w:tab/>
            </w:r>
            <w:r>
              <w:rPr>
                <w:noProof/>
              </w:rPr>
              <w:fldChar w:fldCharType="begin"/>
            </w:r>
            <w:r>
              <w:rPr>
                <w:noProof/>
              </w:rPr>
              <w:instrText xml:space="preserve"> PAGEREF _Toc241352454 \h </w:instrText>
            </w:r>
            <w:r>
              <w:rPr>
                <w:noProof/>
              </w:rPr>
            </w:r>
            <w:r>
              <w:rPr>
                <w:noProof/>
              </w:rPr>
              <w:fldChar w:fldCharType="separate"/>
            </w:r>
            <w:r>
              <w:rPr>
                <w:noProof/>
              </w:rPr>
              <w:t>93</w:t>
            </w:r>
            <w:r>
              <w:rPr>
                <w:noProof/>
              </w:rPr>
              <w:fldChar w:fldCharType="end"/>
            </w:r>
          </w:hyperlink>
        </w:p>
        <w:p w14:paraId="54A02555" w14:textId="5CA7AE5A"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55" w:history="1">
            <w:r w:rsidRPr="00827DC2">
              <w:rPr>
                <w:rStyle w:val="Hyperlink"/>
                <w:rFonts w:ascii="Amazon Ember" w:eastAsia="Amazon Ember" w:hAnsi="Amazon Ember" w:cs="Amazon Ember"/>
                <w:noProof/>
              </w:rPr>
              <w:t>Kapitel 5: Das H-1B-Visum</w:t>
            </w:r>
            <w:r>
              <w:rPr>
                <w:noProof/>
              </w:rPr>
              <w:tab/>
            </w:r>
            <w:r>
              <w:rPr>
                <w:noProof/>
              </w:rPr>
              <w:fldChar w:fldCharType="begin"/>
            </w:r>
            <w:r>
              <w:rPr>
                <w:noProof/>
              </w:rPr>
              <w:instrText xml:space="preserve"> PAGEREF _Toc241352455 \h </w:instrText>
            </w:r>
            <w:r>
              <w:rPr>
                <w:noProof/>
              </w:rPr>
            </w:r>
            <w:r>
              <w:rPr>
                <w:noProof/>
              </w:rPr>
              <w:fldChar w:fldCharType="separate"/>
            </w:r>
            <w:r>
              <w:rPr>
                <w:noProof/>
              </w:rPr>
              <w:t>104</w:t>
            </w:r>
            <w:r>
              <w:rPr>
                <w:noProof/>
              </w:rPr>
              <w:fldChar w:fldCharType="end"/>
            </w:r>
          </w:hyperlink>
        </w:p>
        <w:p w14:paraId="1EC50420" w14:textId="3943B910"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56" w:history="1">
            <w:r w:rsidRPr="00827DC2">
              <w:rPr>
                <w:rStyle w:val="Hyperlink"/>
                <w:rFonts w:ascii="Amazon Ember" w:eastAsia="Amazon Ember" w:hAnsi="Amazon Ember" w:cs="Amazon Ember"/>
                <w:noProof/>
              </w:rPr>
              <w:t>Kapitel 6: Die Green Card</w:t>
            </w:r>
            <w:r>
              <w:rPr>
                <w:noProof/>
              </w:rPr>
              <w:tab/>
            </w:r>
            <w:r>
              <w:rPr>
                <w:noProof/>
              </w:rPr>
              <w:fldChar w:fldCharType="begin"/>
            </w:r>
            <w:r>
              <w:rPr>
                <w:noProof/>
              </w:rPr>
              <w:instrText xml:space="preserve"> PAGEREF _Toc241352456 \h </w:instrText>
            </w:r>
            <w:r>
              <w:rPr>
                <w:noProof/>
              </w:rPr>
            </w:r>
            <w:r>
              <w:rPr>
                <w:noProof/>
              </w:rPr>
              <w:fldChar w:fldCharType="separate"/>
            </w:r>
            <w:r>
              <w:rPr>
                <w:noProof/>
              </w:rPr>
              <w:t>124</w:t>
            </w:r>
            <w:r>
              <w:rPr>
                <w:noProof/>
              </w:rPr>
              <w:fldChar w:fldCharType="end"/>
            </w:r>
          </w:hyperlink>
        </w:p>
        <w:p w14:paraId="073BF5BA" w14:textId="2FC53C9A"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57" w:history="1">
            <w:r w:rsidRPr="00827DC2">
              <w:rPr>
                <w:rStyle w:val="Hyperlink"/>
                <w:rFonts w:ascii="Amazon Ember" w:eastAsia="Amazon Ember" w:hAnsi="Amazon Ember" w:cs="Amazon Ember"/>
                <w:noProof/>
              </w:rPr>
              <w:t>Kapitel 7: H-1B oder Green Card? Der direkte Vergleich</w:t>
            </w:r>
            <w:r>
              <w:rPr>
                <w:noProof/>
              </w:rPr>
              <w:tab/>
            </w:r>
            <w:r>
              <w:rPr>
                <w:noProof/>
              </w:rPr>
              <w:fldChar w:fldCharType="begin"/>
            </w:r>
            <w:r>
              <w:rPr>
                <w:noProof/>
              </w:rPr>
              <w:instrText xml:space="preserve"> PAGEREF _Toc241352457 \h </w:instrText>
            </w:r>
            <w:r>
              <w:rPr>
                <w:noProof/>
              </w:rPr>
            </w:r>
            <w:r>
              <w:rPr>
                <w:noProof/>
              </w:rPr>
              <w:fldChar w:fldCharType="separate"/>
            </w:r>
            <w:r>
              <w:rPr>
                <w:noProof/>
              </w:rPr>
              <w:t>143</w:t>
            </w:r>
            <w:r>
              <w:rPr>
                <w:noProof/>
              </w:rPr>
              <w:fldChar w:fldCharType="end"/>
            </w:r>
          </w:hyperlink>
        </w:p>
        <w:p w14:paraId="224E9998" w14:textId="2AF95A75"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58" w:history="1">
            <w:r w:rsidRPr="00827DC2">
              <w:rPr>
                <w:rStyle w:val="Hyperlink"/>
                <w:rFonts w:ascii="Amazon Ember" w:eastAsia="Amazon Ember" w:hAnsi="Amazon Ember" w:cs="Amazon Ember"/>
                <w:noProof/>
              </w:rPr>
              <w:t>Kapitel 8: Der Studienweg: F-1, OPT und der spätere Statuswechsel</w:t>
            </w:r>
            <w:r>
              <w:rPr>
                <w:noProof/>
              </w:rPr>
              <w:tab/>
            </w:r>
            <w:r>
              <w:rPr>
                <w:noProof/>
              </w:rPr>
              <w:fldChar w:fldCharType="begin"/>
            </w:r>
            <w:r>
              <w:rPr>
                <w:noProof/>
              </w:rPr>
              <w:instrText xml:space="preserve"> PAGEREF _Toc241352458 \h </w:instrText>
            </w:r>
            <w:r>
              <w:rPr>
                <w:noProof/>
              </w:rPr>
            </w:r>
            <w:r>
              <w:rPr>
                <w:noProof/>
              </w:rPr>
              <w:fldChar w:fldCharType="separate"/>
            </w:r>
            <w:r>
              <w:rPr>
                <w:noProof/>
              </w:rPr>
              <w:t>158</w:t>
            </w:r>
            <w:r>
              <w:rPr>
                <w:noProof/>
              </w:rPr>
              <w:fldChar w:fldCharType="end"/>
            </w:r>
          </w:hyperlink>
        </w:p>
        <w:p w14:paraId="3C671876" w14:textId="71DB11CB"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59" w:history="1">
            <w:r w:rsidRPr="00827DC2">
              <w:rPr>
                <w:rStyle w:val="Hyperlink"/>
                <w:rFonts w:ascii="Amazon Ember" w:eastAsia="Amazon Ember" w:hAnsi="Amazon Ember" w:cs="Amazon Ember"/>
                <w:noProof/>
              </w:rPr>
              <w:t>Kapitel 9: Weitere Wege: L-1, O-1, E-2, J-1, Lotterie, Heirat, Selbständigkeit</w:t>
            </w:r>
            <w:r>
              <w:rPr>
                <w:noProof/>
              </w:rPr>
              <w:tab/>
            </w:r>
            <w:r>
              <w:rPr>
                <w:noProof/>
              </w:rPr>
              <w:fldChar w:fldCharType="begin"/>
            </w:r>
            <w:r>
              <w:rPr>
                <w:noProof/>
              </w:rPr>
              <w:instrText xml:space="preserve"> PAGEREF _Toc241352459 \h </w:instrText>
            </w:r>
            <w:r>
              <w:rPr>
                <w:noProof/>
              </w:rPr>
            </w:r>
            <w:r>
              <w:rPr>
                <w:noProof/>
              </w:rPr>
              <w:fldChar w:fldCharType="separate"/>
            </w:r>
            <w:r>
              <w:rPr>
                <w:noProof/>
              </w:rPr>
              <w:t>176</w:t>
            </w:r>
            <w:r>
              <w:rPr>
                <w:noProof/>
              </w:rPr>
              <w:fldChar w:fldCharType="end"/>
            </w:r>
          </w:hyperlink>
        </w:p>
        <w:p w14:paraId="5A224234" w14:textId="3BE4EE56"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60" w:history="1">
            <w:r w:rsidRPr="00827DC2">
              <w:rPr>
                <w:rStyle w:val="Hyperlink"/>
                <w:rFonts w:ascii="Amazon Ember" w:eastAsia="Amazon Ember" w:hAnsi="Amazon Ember" w:cs="Amazon Ember"/>
                <w:noProof/>
              </w:rPr>
              <w:t>Kapitel 10: Ehepartner und Kinder im Visumssystem</w:t>
            </w:r>
            <w:r>
              <w:rPr>
                <w:noProof/>
              </w:rPr>
              <w:tab/>
            </w:r>
            <w:r>
              <w:rPr>
                <w:noProof/>
              </w:rPr>
              <w:fldChar w:fldCharType="begin"/>
            </w:r>
            <w:r>
              <w:rPr>
                <w:noProof/>
              </w:rPr>
              <w:instrText xml:space="preserve"> PAGEREF _Toc241352460 \h </w:instrText>
            </w:r>
            <w:r>
              <w:rPr>
                <w:noProof/>
              </w:rPr>
            </w:r>
            <w:r>
              <w:rPr>
                <w:noProof/>
              </w:rPr>
              <w:fldChar w:fldCharType="separate"/>
            </w:r>
            <w:r>
              <w:rPr>
                <w:noProof/>
              </w:rPr>
              <w:t>195</w:t>
            </w:r>
            <w:r>
              <w:rPr>
                <w:noProof/>
              </w:rPr>
              <w:fldChar w:fldCharType="end"/>
            </w:r>
          </w:hyperlink>
        </w:p>
        <w:p w14:paraId="6F52AED6" w14:textId="5EBC2307"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61" w:history="1">
            <w:r w:rsidRPr="00827DC2">
              <w:rPr>
                <w:rStyle w:val="Hyperlink"/>
                <w:rFonts w:ascii="Amazon Ember" w:eastAsia="Amazon Ember" w:hAnsi="Amazon Ember" w:cs="Amazon Ember"/>
                <w:noProof/>
              </w:rPr>
              <w:t>Kapitel 11: Antrag, Konsulat, Anwalt, Kosten</w:t>
            </w:r>
            <w:r>
              <w:rPr>
                <w:noProof/>
              </w:rPr>
              <w:tab/>
            </w:r>
            <w:r>
              <w:rPr>
                <w:noProof/>
              </w:rPr>
              <w:fldChar w:fldCharType="begin"/>
            </w:r>
            <w:r>
              <w:rPr>
                <w:noProof/>
              </w:rPr>
              <w:instrText xml:space="preserve"> PAGEREF _Toc241352461 \h </w:instrText>
            </w:r>
            <w:r>
              <w:rPr>
                <w:noProof/>
              </w:rPr>
            </w:r>
            <w:r>
              <w:rPr>
                <w:noProof/>
              </w:rPr>
              <w:fldChar w:fldCharType="separate"/>
            </w:r>
            <w:r>
              <w:rPr>
                <w:noProof/>
              </w:rPr>
              <w:t>211</w:t>
            </w:r>
            <w:r>
              <w:rPr>
                <w:noProof/>
              </w:rPr>
              <w:fldChar w:fldCharType="end"/>
            </w:r>
          </w:hyperlink>
        </w:p>
        <w:p w14:paraId="520A41CD" w14:textId="66B4A96C"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462" w:history="1">
            <w:r w:rsidRPr="00827DC2">
              <w:rPr>
                <w:rStyle w:val="Hyperlink"/>
                <w:rFonts w:ascii="Amazon Ember" w:eastAsia="Amazon Ember" w:hAnsi="Amazon Ember" w:cs="Amazon Ember"/>
                <w:noProof/>
              </w:rPr>
              <w:t>TEIL III — Wohnort und Wohnen</w:t>
            </w:r>
            <w:r>
              <w:rPr>
                <w:noProof/>
              </w:rPr>
              <w:tab/>
            </w:r>
            <w:r>
              <w:rPr>
                <w:noProof/>
              </w:rPr>
              <w:fldChar w:fldCharType="begin"/>
            </w:r>
            <w:r>
              <w:rPr>
                <w:noProof/>
              </w:rPr>
              <w:instrText xml:space="preserve"> PAGEREF _Toc241352462 \h </w:instrText>
            </w:r>
            <w:r>
              <w:rPr>
                <w:noProof/>
              </w:rPr>
            </w:r>
            <w:r>
              <w:rPr>
                <w:noProof/>
              </w:rPr>
              <w:fldChar w:fldCharType="separate"/>
            </w:r>
            <w:r>
              <w:rPr>
                <w:noProof/>
              </w:rPr>
              <w:t>228</w:t>
            </w:r>
            <w:r>
              <w:rPr>
                <w:noProof/>
              </w:rPr>
              <w:fldChar w:fldCharType="end"/>
            </w:r>
          </w:hyperlink>
        </w:p>
        <w:p w14:paraId="6E8B2B43" w14:textId="639A7204"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63" w:history="1">
            <w:r w:rsidRPr="00827DC2">
              <w:rPr>
                <w:rStyle w:val="Hyperlink"/>
                <w:rFonts w:ascii="Amazon Ember" w:eastAsia="Amazon Ember" w:hAnsi="Amazon Ember" w:cs="Amazon Ember"/>
                <w:noProof/>
              </w:rPr>
              <w:t>Kapitel 12: Wo leben? Die besten Orte nach Berufsfeld</w:t>
            </w:r>
            <w:r>
              <w:rPr>
                <w:noProof/>
              </w:rPr>
              <w:tab/>
            </w:r>
            <w:r>
              <w:rPr>
                <w:noProof/>
              </w:rPr>
              <w:fldChar w:fldCharType="begin"/>
            </w:r>
            <w:r>
              <w:rPr>
                <w:noProof/>
              </w:rPr>
              <w:instrText xml:space="preserve"> PAGEREF _Toc241352463 \h </w:instrText>
            </w:r>
            <w:r>
              <w:rPr>
                <w:noProof/>
              </w:rPr>
            </w:r>
            <w:r>
              <w:rPr>
                <w:noProof/>
              </w:rPr>
              <w:fldChar w:fldCharType="separate"/>
            </w:r>
            <w:r>
              <w:rPr>
                <w:noProof/>
              </w:rPr>
              <w:t>229</w:t>
            </w:r>
            <w:r>
              <w:rPr>
                <w:noProof/>
              </w:rPr>
              <w:fldChar w:fldCharType="end"/>
            </w:r>
          </w:hyperlink>
        </w:p>
        <w:p w14:paraId="6C07A8B7" w14:textId="384C02F8"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64" w:history="1">
            <w:r w:rsidRPr="00827DC2">
              <w:rPr>
                <w:rStyle w:val="Hyperlink"/>
                <w:rFonts w:ascii="Amazon Ember" w:eastAsia="Amazon Ember" w:hAnsi="Amazon Ember" w:cs="Amazon Ember"/>
                <w:noProof/>
              </w:rPr>
              <w:t>Kapitel 13: Mieten in den USA</w:t>
            </w:r>
            <w:r>
              <w:rPr>
                <w:noProof/>
              </w:rPr>
              <w:tab/>
            </w:r>
            <w:r>
              <w:rPr>
                <w:noProof/>
              </w:rPr>
              <w:fldChar w:fldCharType="begin"/>
            </w:r>
            <w:r>
              <w:rPr>
                <w:noProof/>
              </w:rPr>
              <w:instrText xml:space="preserve"> PAGEREF _Toc241352464 \h </w:instrText>
            </w:r>
            <w:r>
              <w:rPr>
                <w:noProof/>
              </w:rPr>
            </w:r>
            <w:r>
              <w:rPr>
                <w:noProof/>
              </w:rPr>
              <w:fldChar w:fldCharType="separate"/>
            </w:r>
            <w:r>
              <w:rPr>
                <w:noProof/>
              </w:rPr>
              <w:t>249</w:t>
            </w:r>
            <w:r>
              <w:rPr>
                <w:noProof/>
              </w:rPr>
              <w:fldChar w:fldCharType="end"/>
            </w:r>
          </w:hyperlink>
        </w:p>
        <w:p w14:paraId="7CE06C96" w14:textId="3593E6EA"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65" w:history="1">
            <w:r w:rsidRPr="00827DC2">
              <w:rPr>
                <w:rStyle w:val="Hyperlink"/>
                <w:rFonts w:ascii="Amazon Ember" w:eastAsia="Amazon Ember" w:hAnsi="Amazon Ember" w:cs="Amazon Ember"/>
                <w:noProof/>
              </w:rPr>
              <w:t>Kapitel 14: Kaufen in den USA und Hypotheken-Know-how</w:t>
            </w:r>
            <w:r>
              <w:rPr>
                <w:noProof/>
              </w:rPr>
              <w:tab/>
            </w:r>
            <w:r>
              <w:rPr>
                <w:noProof/>
              </w:rPr>
              <w:fldChar w:fldCharType="begin"/>
            </w:r>
            <w:r>
              <w:rPr>
                <w:noProof/>
              </w:rPr>
              <w:instrText xml:space="preserve"> PAGEREF _Toc241352465 \h </w:instrText>
            </w:r>
            <w:r>
              <w:rPr>
                <w:noProof/>
              </w:rPr>
            </w:r>
            <w:r>
              <w:rPr>
                <w:noProof/>
              </w:rPr>
              <w:fldChar w:fldCharType="separate"/>
            </w:r>
            <w:r>
              <w:rPr>
                <w:noProof/>
              </w:rPr>
              <w:t>266</w:t>
            </w:r>
            <w:r>
              <w:rPr>
                <w:noProof/>
              </w:rPr>
              <w:fldChar w:fldCharType="end"/>
            </w:r>
          </w:hyperlink>
        </w:p>
        <w:p w14:paraId="48B2BD4A" w14:textId="72E03E47"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466" w:history="1">
            <w:r w:rsidRPr="00827DC2">
              <w:rPr>
                <w:rStyle w:val="Hyperlink"/>
                <w:rFonts w:ascii="Amazon Ember" w:eastAsia="Amazon Ember" w:hAnsi="Amazon Ember" w:cs="Amazon Ember"/>
                <w:noProof/>
              </w:rPr>
              <w:t>TEIL IV — Vorbereitung in Deutschland</w:t>
            </w:r>
            <w:r>
              <w:rPr>
                <w:noProof/>
              </w:rPr>
              <w:tab/>
            </w:r>
            <w:r>
              <w:rPr>
                <w:noProof/>
              </w:rPr>
              <w:fldChar w:fldCharType="begin"/>
            </w:r>
            <w:r>
              <w:rPr>
                <w:noProof/>
              </w:rPr>
              <w:instrText xml:space="preserve"> PAGEREF _Toc241352466 \h </w:instrText>
            </w:r>
            <w:r>
              <w:rPr>
                <w:noProof/>
              </w:rPr>
            </w:r>
            <w:r>
              <w:rPr>
                <w:noProof/>
              </w:rPr>
              <w:fldChar w:fldCharType="separate"/>
            </w:r>
            <w:r>
              <w:rPr>
                <w:noProof/>
              </w:rPr>
              <w:t>287</w:t>
            </w:r>
            <w:r>
              <w:rPr>
                <w:noProof/>
              </w:rPr>
              <w:fldChar w:fldCharType="end"/>
            </w:r>
          </w:hyperlink>
        </w:p>
        <w:p w14:paraId="0C149109" w14:textId="775BE72C"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67" w:history="1">
            <w:r w:rsidRPr="00827DC2">
              <w:rPr>
                <w:rStyle w:val="Hyperlink"/>
                <w:rFonts w:ascii="Amazon Ember" w:eastAsia="Amazon Ember" w:hAnsi="Amazon Ember" w:cs="Amazon Ember"/>
                <w:noProof/>
              </w:rPr>
              <w:t>Kapitel 15: Der Masterplan: Zeitleiste vom Entschluss bis zum Abflug</w:t>
            </w:r>
            <w:r>
              <w:rPr>
                <w:noProof/>
              </w:rPr>
              <w:tab/>
            </w:r>
            <w:r>
              <w:rPr>
                <w:noProof/>
              </w:rPr>
              <w:fldChar w:fldCharType="begin"/>
            </w:r>
            <w:r>
              <w:rPr>
                <w:noProof/>
              </w:rPr>
              <w:instrText xml:space="preserve"> PAGEREF _Toc241352467 \h </w:instrText>
            </w:r>
            <w:r>
              <w:rPr>
                <w:noProof/>
              </w:rPr>
            </w:r>
            <w:r>
              <w:rPr>
                <w:noProof/>
              </w:rPr>
              <w:fldChar w:fldCharType="separate"/>
            </w:r>
            <w:r>
              <w:rPr>
                <w:noProof/>
              </w:rPr>
              <w:t>288</w:t>
            </w:r>
            <w:r>
              <w:rPr>
                <w:noProof/>
              </w:rPr>
              <w:fldChar w:fldCharType="end"/>
            </w:r>
          </w:hyperlink>
        </w:p>
        <w:p w14:paraId="0C0CAEE2" w14:textId="4389B95B"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68" w:history="1">
            <w:r w:rsidRPr="00827DC2">
              <w:rPr>
                <w:rStyle w:val="Hyperlink"/>
                <w:rFonts w:ascii="Amazon Ember" w:eastAsia="Amazon Ember" w:hAnsi="Amazon Ember" w:cs="Amazon Ember"/>
                <w:noProof/>
              </w:rPr>
              <w:t>Kapitel 16: Behörden, Verträge, Versicherungen abwickeln</w:t>
            </w:r>
            <w:r>
              <w:rPr>
                <w:noProof/>
              </w:rPr>
              <w:tab/>
            </w:r>
            <w:r>
              <w:rPr>
                <w:noProof/>
              </w:rPr>
              <w:fldChar w:fldCharType="begin"/>
            </w:r>
            <w:r>
              <w:rPr>
                <w:noProof/>
              </w:rPr>
              <w:instrText xml:space="preserve"> PAGEREF _Toc241352468 \h </w:instrText>
            </w:r>
            <w:r>
              <w:rPr>
                <w:noProof/>
              </w:rPr>
            </w:r>
            <w:r>
              <w:rPr>
                <w:noProof/>
              </w:rPr>
              <w:fldChar w:fldCharType="separate"/>
            </w:r>
            <w:r>
              <w:rPr>
                <w:noProof/>
              </w:rPr>
              <w:t>299</w:t>
            </w:r>
            <w:r>
              <w:rPr>
                <w:noProof/>
              </w:rPr>
              <w:fldChar w:fldCharType="end"/>
            </w:r>
          </w:hyperlink>
        </w:p>
        <w:p w14:paraId="5D9DD8CF" w14:textId="1BA050BE"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69" w:history="1">
            <w:r w:rsidRPr="00827DC2">
              <w:rPr>
                <w:rStyle w:val="Hyperlink"/>
                <w:rFonts w:ascii="Amazon Ember" w:eastAsia="Amazon Ember" w:hAnsi="Amazon Ember" w:cs="Amazon Ember"/>
                <w:noProof/>
              </w:rPr>
              <w:t>Kapitel 17: Steuern, Rente und Geld: die deutsche Seite</w:t>
            </w:r>
            <w:r>
              <w:rPr>
                <w:noProof/>
              </w:rPr>
              <w:tab/>
            </w:r>
            <w:r>
              <w:rPr>
                <w:noProof/>
              </w:rPr>
              <w:fldChar w:fldCharType="begin"/>
            </w:r>
            <w:r>
              <w:rPr>
                <w:noProof/>
              </w:rPr>
              <w:instrText xml:space="preserve"> PAGEREF _Toc241352469 \h </w:instrText>
            </w:r>
            <w:r>
              <w:rPr>
                <w:noProof/>
              </w:rPr>
            </w:r>
            <w:r>
              <w:rPr>
                <w:noProof/>
              </w:rPr>
              <w:fldChar w:fldCharType="separate"/>
            </w:r>
            <w:r>
              <w:rPr>
                <w:noProof/>
              </w:rPr>
              <w:t>315</w:t>
            </w:r>
            <w:r>
              <w:rPr>
                <w:noProof/>
              </w:rPr>
              <w:fldChar w:fldCharType="end"/>
            </w:r>
          </w:hyperlink>
        </w:p>
        <w:p w14:paraId="0B936CB2" w14:textId="519A2B86"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70" w:history="1">
            <w:r w:rsidRPr="00827DC2">
              <w:rPr>
                <w:rStyle w:val="Hyperlink"/>
                <w:rFonts w:ascii="Amazon Ember" w:eastAsia="Amazon Ember" w:hAnsi="Amazon Ember" w:cs="Amazon Ember"/>
                <w:noProof/>
              </w:rPr>
              <w:t>Kapitel 18: Krankenversicherung und Gesundheit vor dem Abflug</w:t>
            </w:r>
            <w:r>
              <w:rPr>
                <w:noProof/>
              </w:rPr>
              <w:tab/>
            </w:r>
            <w:r>
              <w:rPr>
                <w:noProof/>
              </w:rPr>
              <w:fldChar w:fldCharType="begin"/>
            </w:r>
            <w:r>
              <w:rPr>
                <w:noProof/>
              </w:rPr>
              <w:instrText xml:space="preserve"> PAGEREF _Toc241352470 \h </w:instrText>
            </w:r>
            <w:r>
              <w:rPr>
                <w:noProof/>
              </w:rPr>
            </w:r>
            <w:r>
              <w:rPr>
                <w:noProof/>
              </w:rPr>
              <w:fldChar w:fldCharType="separate"/>
            </w:r>
            <w:r>
              <w:rPr>
                <w:noProof/>
              </w:rPr>
              <w:t>330</w:t>
            </w:r>
            <w:r>
              <w:rPr>
                <w:noProof/>
              </w:rPr>
              <w:fldChar w:fldCharType="end"/>
            </w:r>
          </w:hyperlink>
        </w:p>
        <w:p w14:paraId="31BDA6EE" w14:textId="54D0DAFC"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71" w:history="1">
            <w:r w:rsidRPr="00827DC2">
              <w:rPr>
                <w:rStyle w:val="Hyperlink"/>
                <w:rFonts w:ascii="Amazon Ember" w:eastAsia="Amazon Ember" w:hAnsi="Amazon Ember" w:cs="Amazon Ember"/>
                <w:noProof/>
              </w:rPr>
              <w:t>Kapitel 19: Dokumente, Übersetzungen, Apostillen</w:t>
            </w:r>
            <w:r>
              <w:rPr>
                <w:noProof/>
              </w:rPr>
              <w:tab/>
            </w:r>
            <w:r>
              <w:rPr>
                <w:noProof/>
              </w:rPr>
              <w:fldChar w:fldCharType="begin"/>
            </w:r>
            <w:r>
              <w:rPr>
                <w:noProof/>
              </w:rPr>
              <w:instrText xml:space="preserve"> PAGEREF _Toc241352471 \h </w:instrText>
            </w:r>
            <w:r>
              <w:rPr>
                <w:noProof/>
              </w:rPr>
            </w:r>
            <w:r>
              <w:rPr>
                <w:noProof/>
              </w:rPr>
              <w:fldChar w:fldCharType="separate"/>
            </w:r>
            <w:r>
              <w:rPr>
                <w:noProof/>
              </w:rPr>
              <w:t>342</w:t>
            </w:r>
            <w:r>
              <w:rPr>
                <w:noProof/>
              </w:rPr>
              <w:fldChar w:fldCharType="end"/>
            </w:r>
          </w:hyperlink>
        </w:p>
        <w:p w14:paraId="53B9D020" w14:textId="6F1B963D"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472" w:history="1">
            <w:r w:rsidRPr="00827DC2">
              <w:rPr>
                <w:rStyle w:val="Hyperlink"/>
                <w:rFonts w:ascii="Amazon Ember" w:eastAsia="Amazon Ember" w:hAnsi="Amazon Ember" w:cs="Amazon Ember"/>
                <w:noProof/>
              </w:rPr>
              <w:t>TEIL V — Der Umzug</w:t>
            </w:r>
            <w:r>
              <w:rPr>
                <w:noProof/>
              </w:rPr>
              <w:tab/>
            </w:r>
            <w:r>
              <w:rPr>
                <w:noProof/>
              </w:rPr>
              <w:fldChar w:fldCharType="begin"/>
            </w:r>
            <w:r>
              <w:rPr>
                <w:noProof/>
              </w:rPr>
              <w:instrText xml:space="preserve"> PAGEREF _Toc241352472 \h </w:instrText>
            </w:r>
            <w:r>
              <w:rPr>
                <w:noProof/>
              </w:rPr>
            </w:r>
            <w:r>
              <w:rPr>
                <w:noProof/>
              </w:rPr>
              <w:fldChar w:fldCharType="separate"/>
            </w:r>
            <w:r>
              <w:rPr>
                <w:noProof/>
              </w:rPr>
              <w:t>356</w:t>
            </w:r>
            <w:r>
              <w:rPr>
                <w:noProof/>
              </w:rPr>
              <w:fldChar w:fldCharType="end"/>
            </w:r>
          </w:hyperlink>
        </w:p>
        <w:p w14:paraId="1A724966" w14:textId="3C134781"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73" w:history="1">
            <w:r w:rsidRPr="00827DC2">
              <w:rPr>
                <w:rStyle w:val="Hyperlink"/>
                <w:rFonts w:ascii="Amazon Ember" w:eastAsia="Amazon Ember" w:hAnsi="Amazon Ember" w:cs="Amazon Ember"/>
                <w:noProof/>
              </w:rPr>
              <w:t>Kapitel 20: Container, Luftfracht oder Koffer: Umzug planen und Kosten sparen</w:t>
            </w:r>
            <w:r>
              <w:rPr>
                <w:noProof/>
              </w:rPr>
              <w:tab/>
            </w:r>
            <w:r>
              <w:rPr>
                <w:noProof/>
              </w:rPr>
              <w:fldChar w:fldCharType="begin"/>
            </w:r>
            <w:r>
              <w:rPr>
                <w:noProof/>
              </w:rPr>
              <w:instrText xml:space="preserve"> PAGEREF _Toc241352473 \h </w:instrText>
            </w:r>
            <w:r>
              <w:rPr>
                <w:noProof/>
              </w:rPr>
            </w:r>
            <w:r>
              <w:rPr>
                <w:noProof/>
              </w:rPr>
              <w:fldChar w:fldCharType="separate"/>
            </w:r>
            <w:r>
              <w:rPr>
                <w:noProof/>
              </w:rPr>
              <w:t>357</w:t>
            </w:r>
            <w:r>
              <w:rPr>
                <w:noProof/>
              </w:rPr>
              <w:fldChar w:fldCharType="end"/>
            </w:r>
          </w:hyperlink>
        </w:p>
        <w:p w14:paraId="2D768581" w14:textId="1A76F45F"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74" w:history="1">
            <w:r w:rsidRPr="00827DC2">
              <w:rPr>
                <w:rStyle w:val="Hyperlink"/>
                <w:rFonts w:ascii="Amazon Ember" w:eastAsia="Amazon Ember" w:hAnsi="Amazon Ember" w:cs="Amazon Ember"/>
                <w:noProof/>
              </w:rPr>
              <w:t>Kapitel 21: Mitnehmen oder neu kaufen? Die Raum-für-Raum-Liste</w:t>
            </w:r>
            <w:r>
              <w:rPr>
                <w:noProof/>
              </w:rPr>
              <w:tab/>
            </w:r>
            <w:r>
              <w:rPr>
                <w:noProof/>
              </w:rPr>
              <w:fldChar w:fldCharType="begin"/>
            </w:r>
            <w:r>
              <w:rPr>
                <w:noProof/>
              </w:rPr>
              <w:instrText xml:space="preserve"> PAGEREF _Toc241352474 \h </w:instrText>
            </w:r>
            <w:r>
              <w:rPr>
                <w:noProof/>
              </w:rPr>
            </w:r>
            <w:r>
              <w:rPr>
                <w:noProof/>
              </w:rPr>
              <w:fldChar w:fldCharType="separate"/>
            </w:r>
            <w:r>
              <w:rPr>
                <w:noProof/>
              </w:rPr>
              <w:t>373</w:t>
            </w:r>
            <w:r>
              <w:rPr>
                <w:noProof/>
              </w:rPr>
              <w:fldChar w:fldCharType="end"/>
            </w:r>
          </w:hyperlink>
        </w:p>
        <w:p w14:paraId="36EC693A" w14:textId="18278C49"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75" w:history="1">
            <w:r w:rsidRPr="00827DC2">
              <w:rPr>
                <w:rStyle w:val="Hyperlink"/>
                <w:rFonts w:ascii="Amazon Ember" w:eastAsia="Amazon Ember" w:hAnsi="Amazon Ember" w:cs="Amazon Ember"/>
                <w:noProof/>
              </w:rPr>
              <w:t>Kapitel 22: Haustiere: Einreise, Kosten, Alltag</w:t>
            </w:r>
            <w:r>
              <w:rPr>
                <w:noProof/>
              </w:rPr>
              <w:tab/>
            </w:r>
            <w:r>
              <w:rPr>
                <w:noProof/>
              </w:rPr>
              <w:fldChar w:fldCharType="begin"/>
            </w:r>
            <w:r>
              <w:rPr>
                <w:noProof/>
              </w:rPr>
              <w:instrText xml:space="preserve"> PAGEREF _Toc241352475 \h </w:instrText>
            </w:r>
            <w:r>
              <w:rPr>
                <w:noProof/>
              </w:rPr>
            </w:r>
            <w:r>
              <w:rPr>
                <w:noProof/>
              </w:rPr>
              <w:fldChar w:fldCharType="separate"/>
            </w:r>
            <w:r>
              <w:rPr>
                <w:noProof/>
              </w:rPr>
              <w:t>390</w:t>
            </w:r>
            <w:r>
              <w:rPr>
                <w:noProof/>
              </w:rPr>
              <w:fldChar w:fldCharType="end"/>
            </w:r>
          </w:hyperlink>
        </w:p>
        <w:p w14:paraId="268D94DD" w14:textId="12A64856"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476" w:history="1">
            <w:r w:rsidRPr="00827DC2">
              <w:rPr>
                <w:rStyle w:val="Hyperlink"/>
                <w:rFonts w:ascii="Amazon Ember" w:eastAsia="Amazon Ember" w:hAnsi="Amazon Ember" w:cs="Amazon Ember"/>
                <w:noProof/>
              </w:rPr>
              <w:t>TEIL VI — Ankommen</w:t>
            </w:r>
            <w:r>
              <w:rPr>
                <w:noProof/>
              </w:rPr>
              <w:tab/>
            </w:r>
            <w:r>
              <w:rPr>
                <w:noProof/>
              </w:rPr>
              <w:fldChar w:fldCharType="begin"/>
            </w:r>
            <w:r>
              <w:rPr>
                <w:noProof/>
              </w:rPr>
              <w:instrText xml:space="preserve"> PAGEREF _Toc241352476 \h </w:instrText>
            </w:r>
            <w:r>
              <w:rPr>
                <w:noProof/>
              </w:rPr>
            </w:r>
            <w:r>
              <w:rPr>
                <w:noProof/>
              </w:rPr>
              <w:fldChar w:fldCharType="separate"/>
            </w:r>
            <w:r>
              <w:rPr>
                <w:noProof/>
              </w:rPr>
              <w:t>402</w:t>
            </w:r>
            <w:r>
              <w:rPr>
                <w:noProof/>
              </w:rPr>
              <w:fldChar w:fldCharType="end"/>
            </w:r>
          </w:hyperlink>
        </w:p>
        <w:p w14:paraId="20949E01" w14:textId="6268283E"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77" w:history="1">
            <w:r w:rsidRPr="00827DC2">
              <w:rPr>
                <w:rStyle w:val="Hyperlink"/>
                <w:rFonts w:ascii="Amazon Ember" w:eastAsia="Amazon Ember" w:hAnsi="Amazon Ember" w:cs="Amazon Ember"/>
                <w:noProof/>
              </w:rPr>
              <w:t>Kapitel 23: Landung, Einreise und die ersten 72 Stunden</w:t>
            </w:r>
            <w:r>
              <w:rPr>
                <w:noProof/>
              </w:rPr>
              <w:tab/>
            </w:r>
            <w:r>
              <w:rPr>
                <w:noProof/>
              </w:rPr>
              <w:fldChar w:fldCharType="begin"/>
            </w:r>
            <w:r>
              <w:rPr>
                <w:noProof/>
              </w:rPr>
              <w:instrText xml:space="preserve"> PAGEREF _Toc241352477 \h </w:instrText>
            </w:r>
            <w:r>
              <w:rPr>
                <w:noProof/>
              </w:rPr>
            </w:r>
            <w:r>
              <w:rPr>
                <w:noProof/>
              </w:rPr>
              <w:fldChar w:fldCharType="separate"/>
            </w:r>
            <w:r>
              <w:rPr>
                <w:noProof/>
              </w:rPr>
              <w:t>403</w:t>
            </w:r>
            <w:r>
              <w:rPr>
                <w:noProof/>
              </w:rPr>
              <w:fldChar w:fldCharType="end"/>
            </w:r>
          </w:hyperlink>
        </w:p>
        <w:p w14:paraId="007E5D4A" w14:textId="3FCCBAED"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78" w:history="1">
            <w:r w:rsidRPr="00827DC2">
              <w:rPr>
                <w:rStyle w:val="Hyperlink"/>
                <w:rFonts w:ascii="Amazon Ember" w:eastAsia="Amazon Ember" w:hAnsi="Amazon Ember" w:cs="Amazon Ember"/>
                <w:noProof/>
              </w:rPr>
              <w:t>Kapitel 24: Die Social Security Number (SSN) und die ITIN</w:t>
            </w:r>
            <w:r>
              <w:rPr>
                <w:noProof/>
              </w:rPr>
              <w:tab/>
            </w:r>
            <w:r>
              <w:rPr>
                <w:noProof/>
              </w:rPr>
              <w:fldChar w:fldCharType="begin"/>
            </w:r>
            <w:r>
              <w:rPr>
                <w:noProof/>
              </w:rPr>
              <w:instrText xml:space="preserve"> PAGEREF _Toc241352478 \h </w:instrText>
            </w:r>
            <w:r>
              <w:rPr>
                <w:noProof/>
              </w:rPr>
            </w:r>
            <w:r>
              <w:rPr>
                <w:noProof/>
              </w:rPr>
              <w:fldChar w:fldCharType="separate"/>
            </w:r>
            <w:r>
              <w:rPr>
                <w:noProof/>
              </w:rPr>
              <w:t>417</w:t>
            </w:r>
            <w:r>
              <w:rPr>
                <w:noProof/>
              </w:rPr>
              <w:fldChar w:fldCharType="end"/>
            </w:r>
          </w:hyperlink>
        </w:p>
        <w:p w14:paraId="0ACD99F5" w14:textId="2E63E78E"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79" w:history="1">
            <w:r w:rsidRPr="00827DC2">
              <w:rPr>
                <w:rStyle w:val="Hyperlink"/>
                <w:rFonts w:ascii="Amazon Ember" w:eastAsia="Amazon Ember" w:hAnsi="Amazon Ember" w:cs="Amazon Ember"/>
                <w:noProof/>
              </w:rPr>
              <w:t>Kapitel 25: Bank, Kredit, Versicherungen: Geld im Alltag</w:t>
            </w:r>
            <w:r>
              <w:rPr>
                <w:noProof/>
              </w:rPr>
              <w:tab/>
            </w:r>
            <w:r>
              <w:rPr>
                <w:noProof/>
              </w:rPr>
              <w:fldChar w:fldCharType="begin"/>
            </w:r>
            <w:r>
              <w:rPr>
                <w:noProof/>
              </w:rPr>
              <w:instrText xml:space="preserve"> PAGEREF _Toc241352479 \h </w:instrText>
            </w:r>
            <w:r>
              <w:rPr>
                <w:noProof/>
              </w:rPr>
            </w:r>
            <w:r>
              <w:rPr>
                <w:noProof/>
              </w:rPr>
              <w:fldChar w:fldCharType="separate"/>
            </w:r>
            <w:r>
              <w:rPr>
                <w:noProof/>
              </w:rPr>
              <w:t>430</w:t>
            </w:r>
            <w:r>
              <w:rPr>
                <w:noProof/>
              </w:rPr>
              <w:fldChar w:fldCharType="end"/>
            </w:r>
          </w:hyperlink>
        </w:p>
        <w:p w14:paraId="0C97F6B8" w14:textId="0F199B20"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80" w:history="1">
            <w:r w:rsidRPr="00827DC2">
              <w:rPr>
                <w:rStyle w:val="Hyperlink"/>
                <w:rFonts w:ascii="Amazon Ember" w:eastAsia="Amazon Ember" w:hAnsi="Amazon Ember" w:cs="Amazon Ember"/>
                <w:noProof/>
              </w:rPr>
              <w:t>Kapitel 26: Das US-Gesundheitssystem für Neuankömmlinge</w:t>
            </w:r>
            <w:r>
              <w:rPr>
                <w:noProof/>
              </w:rPr>
              <w:tab/>
            </w:r>
            <w:r>
              <w:rPr>
                <w:noProof/>
              </w:rPr>
              <w:fldChar w:fldCharType="begin"/>
            </w:r>
            <w:r>
              <w:rPr>
                <w:noProof/>
              </w:rPr>
              <w:instrText xml:space="preserve"> PAGEREF _Toc241352480 \h </w:instrText>
            </w:r>
            <w:r>
              <w:rPr>
                <w:noProof/>
              </w:rPr>
            </w:r>
            <w:r>
              <w:rPr>
                <w:noProof/>
              </w:rPr>
              <w:fldChar w:fldCharType="separate"/>
            </w:r>
            <w:r>
              <w:rPr>
                <w:noProof/>
              </w:rPr>
              <w:t>444</w:t>
            </w:r>
            <w:r>
              <w:rPr>
                <w:noProof/>
              </w:rPr>
              <w:fldChar w:fldCharType="end"/>
            </w:r>
          </w:hyperlink>
        </w:p>
        <w:p w14:paraId="3CE09DFD" w14:textId="72145E80"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81" w:history="1">
            <w:r w:rsidRPr="00827DC2">
              <w:rPr>
                <w:rStyle w:val="Hyperlink"/>
                <w:rFonts w:ascii="Amazon Ember" w:eastAsia="Amazon Ember" w:hAnsi="Amazon Ember" w:cs="Amazon Ember"/>
                <w:noProof/>
              </w:rPr>
              <w:t>Kapitel 27: Führerschein, Auto und Mobilität</w:t>
            </w:r>
            <w:r>
              <w:rPr>
                <w:noProof/>
              </w:rPr>
              <w:tab/>
            </w:r>
            <w:r>
              <w:rPr>
                <w:noProof/>
              </w:rPr>
              <w:fldChar w:fldCharType="begin"/>
            </w:r>
            <w:r>
              <w:rPr>
                <w:noProof/>
              </w:rPr>
              <w:instrText xml:space="preserve"> PAGEREF _Toc241352481 \h </w:instrText>
            </w:r>
            <w:r>
              <w:rPr>
                <w:noProof/>
              </w:rPr>
            </w:r>
            <w:r>
              <w:rPr>
                <w:noProof/>
              </w:rPr>
              <w:fldChar w:fldCharType="separate"/>
            </w:r>
            <w:r>
              <w:rPr>
                <w:noProof/>
              </w:rPr>
              <w:t>464</w:t>
            </w:r>
            <w:r>
              <w:rPr>
                <w:noProof/>
              </w:rPr>
              <w:fldChar w:fldCharType="end"/>
            </w:r>
          </w:hyperlink>
        </w:p>
        <w:p w14:paraId="1019CA64" w14:textId="7932F92B"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82" w:history="1">
            <w:r w:rsidRPr="00827DC2">
              <w:rPr>
                <w:rStyle w:val="Hyperlink"/>
                <w:rFonts w:ascii="Amazon Ember" w:eastAsia="Amazon Ember" w:hAnsi="Amazon Ember" w:cs="Amazon Ember"/>
                <w:noProof/>
              </w:rPr>
              <w:t>Kapitel 28: Steuern in den USA verständlich erklärt</w:t>
            </w:r>
            <w:r>
              <w:rPr>
                <w:noProof/>
              </w:rPr>
              <w:tab/>
            </w:r>
            <w:r>
              <w:rPr>
                <w:noProof/>
              </w:rPr>
              <w:fldChar w:fldCharType="begin"/>
            </w:r>
            <w:r>
              <w:rPr>
                <w:noProof/>
              </w:rPr>
              <w:instrText xml:space="preserve"> PAGEREF _Toc241352482 \h </w:instrText>
            </w:r>
            <w:r>
              <w:rPr>
                <w:noProof/>
              </w:rPr>
            </w:r>
            <w:r>
              <w:rPr>
                <w:noProof/>
              </w:rPr>
              <w:fldChar w:fldCharType="separate"/>
            </w:r>
            <w:r>
              <w:rPr>
                <w:noProof/>
              </w:rPr>
              <w:t>480</w:t>
            </w:r>
            <w:r>
              <w:rPr>
                <w:noProof/>
              </w:rPr>
              <w:fldChar w:fldCharType="end"/>
            </w:r>
          </w:hyperlink>
        </w:p>
        <w:p w14:paraId="48762775" w14:textId="63B2376F"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483" w:history="1">
            <w:r w:rsidRPr="00827DC2">
              <w:rPr>
                <w:rStyle w:val="Hyperlink"/>
                <w:rFonts w:ascii="Amazon Ember" w:eastAsia="Amazon Ember" w:hAnsi="Amazon Ember" w:cs="Amazon Ember"/>
                <w:noProof/>
              </w:rPr>
              <w:t>TEIL VII — Arbeiten in den USA</w:t>
            </w:r>
            <w:r>
              <w:rPr>
                <w:noProof/>
              </w:rPr>
              <w:tab/>
            </w:r>
            <w:r>
              <w:rPr>
                <w:noProof/>
              </w:rPr>
              <w:fldChar w:fldCharType="begin"/>
            </w:r>
            <w:r>
              <w:rPr>
                <w:noProof/>
              </w:rPr>
              <w:instrText xml:space="preserve"> PAGEREF _Toc241352483 \h </w:instrText>
            </w:r>
            <w:r>
              <w:rPr>
                <w:noProof/>
              </w:rPr>
            </w:r>
            <w:r>
              <w:rPr>
                <w:noProof/>
              </w:rPr>
              <w:fldChar w:fldCharType="separate"/>
            </w:r>
            <w:r>
              <w:rPr>
                <w:noProof/>
              </w:rPr>
              <w:t>499</w:t>
            </w:r>
            <w:r>
              <w:rPr>
                <w:noProof/>
              </w:rPr>
              <w:fldChar w:fldCharType="end"/>
            </w:r>
          </w:hyperlink>
        </w:p>
        <w:p w14:paraId="77D49821" w14:textId="3834F25F"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84" w:history="1">
            <w:r w:rsidRPr="00827DC2">
              <w:rPr>
                <w:rStyle w:val="Hyperlink"/>
                <w:rFonts w:ascii="Amazon Ember" w:eastAsia="Amazon Ember" w:hAnsi="Amazon Ember" w:cs="Amazon Ember"/>
                <w:noProof/>
              </w:rPr>
              <w:t>Kapitel 29: Die Arbeitswelt in den USA: Recht, Kultur, Gehalt</w:t>
            </w:r>
            <w:r>
              <w:rPr>
                <w:noProof/>
              </w:rPr>
              <w:tab/>
            </w:r>
            <w:r>
              <w:rPr>
                <w:noProof/>
              </w:rPr>
              <w:fldChar w:fldCharType="begin"/>
            </w:r>
            <w:r>
              <w:rPr>
                <w:noProof/>
              </w:rPr>
              <w:instrText xml:space="preserve"> PAGEREF _Toc241352484 \h </w:instrText>
            </w:r>
            <w:r>
              <w:rPr>
                <w:noProof/>
              </w:rPr>
            </w:r>
            <w:r>
              <w:rPr>
                <w:noProof/>
              </w:rPr>
              <w:fldChar w:fldCharType="separate"/>
            </w:r>
            <w:r>
              <w:rPr>
                <w:noProof/>
              </w:rPr>
              <w:t>500</w:t>
            </w:r>
            <w:r>
              <w:rPr>
                <w:noProof/>
              </w:rPr>
              <w:fldChar w:fldCharType="end"/>
            </w:r>
          </w:hyperlink>
        </w:p>
        <w:p w14:paraId="31DD2805" w14:textId="3BD0D824"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85" w:history="1">
            <w:r w:rsidRPr="00827DC2">
              <w:rPr>
                <w:rStyle w:val="Hyperlink"/>
                <w:rFonts w:ascii="Amazon Ember" w:eastAsia="Amazon Ember" w:hAnsi="Amazon Ember" w:cs="Amazon Ember"/>
                <w:noProof/>
              </w:rPr>
              <w:t>Kapitel 30: Jobwechsel, Kündigung und Umzug im Land: Was dein Status erlaubt</w:t>
            </w:r>
            <w:r>
              <w:rPr>
                <w:noProof/>
              </w:rPr>
              <w:tab/>
            </w:r>
            <w:r>
              <w:rPr>
                <w:noProof/>
              </w:rPr>
              <w:fldChar w:fldCharType="begin"/>
            </w:r>
            <w:r>
              <w:rPr>
                <w:noProof/>
              </w:rPr>
              <w:instrText xml:space="preserve"> PAGEREF _Toc241352485 \h </w:instrText>
            </w:r>
            <w:r>
              <w:rPr>
                <w:noProof/>
              </w:rPr>
            </w:r>
            <w:r>
              <w:rPr>
                <w:noProof/>
              </w:rPr>
              <w:fldChar w:fldCharType="separate"/>
            </w:r>
            <w:r>
              <w:rPr>
                <w:noProof/>
              </w:rPr>
              <w:t>518</w:t>
            </w:r>
            <w:r>
              <w:rPr>
                <w:noProof/>
              </w:rPr>
              <w:fldChar w:fldCharType="end"/>
            </w:r>
          </w:hyperlink>
        </w:p>
        <w:p w14:paraId="0C550F60" w14:textId="72A75BDD"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486" w:history="1">
            <w:r w:rsidRPr="00827DC2">
              <w:rPr>
                <w:rStyle w:val="Hyperlink"/>
                <w:rFonts w:ascii="Amazon Ember" w:eastAsia="Amazon Ember" w:hAnsi="Amazon Ember" w:cs="Amazon Ember"/>
                <w:noProof/>
              </w:rPr>
              <w:t>TEIL VIII — Leben und Menschen</w:t>
            </w:r>
            <w:r>
              <w:rPr>
                <w:noProof/>
              </w:rPr>
              <w:tab/>
            </w:r>
            <w:r>
              <w:rPr>
                <w:noProof/>
              </w:rPr>
              <w:fldChar w:fldCharType="begin"/>
            </w:r>
            <w:r>
              <w:rPr>
                <w:noProof/>
              </w:rPr>
              <w:instrText xml:space="preserve"> PAGEREF _Toc241352486 \h </w:instrText>
            </w:r>
            <w:r>
              <w:rPr>
                <w:noProof/>
              </w:rPr>
            </w:r>
            <w:r>
              <w:rPr>
                <w:noProof/>
              </w:rPr>
              <w:fldChar w:fldCharType="separate"/>
            </w:r>
            <w:r>
              <w:rPr>
                <w:noProof/>
              </w:rPr>
              <w:t>535</w:t>
            </w:r>
            <w:r>
              <w:rPr>
                <w:noProof/>
              </w:rPr>
              <w:fldChar w:fldCharType="end"/>
            </w:r>
          </w:hyperlink>
        </w:p>
        <w:p w14:paraId="363B9B42" w14:textId="47CAF58B"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87" w:history="1">
            <w:r w:rsidRPr="00827DC2">
              <w:rPr>
                <w:rStyle w:val="Hyperlink"/>
                <w:rFonts w:ascii="Amazon Ember" w:eastAsia="Amazon Ember" w:hAnsi="Amazon Ember" w:cs="Amazon Ember"/>
                <w:noProof/>
              </w:rPr>
              <w:t>Kapitel 31: Kulturunterschiede: Der große Deutsch-Amerikanisch-Vergleich</w:t>
            </w:r>
            <w:r>
              <w:rPr>
                <w:noProof/>
              </w:rPr>
              <w:tab/>
            </w:r>
            <w:r>
              <w:rPr>
                <w:noProof/>
              </w:rPr>
              <w:fldChar w:fldCharType="begin"/>
            </w:r>
            <w:r>
              <w:rPr>
                <w:noProof/>
              </w:rPr>
              <w:instrText xml:space="preserve"> PAGEREF _Toc241352487 \h </w:instrText>
            </w:r>
            <w:r>
              <w:rPr>
                <w:noProof/>
              </w:rPr>
            </w:r>
            <w:r>
              <w:rPr>
                <w:noProof/>
              </w:rPr>
              <w:fldChar w:fldCharType="separate"/>
            </w:r>
            <w:r>
              <w:rPr>
                <w:noProof/>
              </w:rPr>
              <w:t>536</w:t>
            </w:r>
            <w:r>
              <w:rPr>
                <w:noProof/>
              </w:rPr>
              <w:fldChar w:fldCharType="end"/>
            </w:r>
          </w:hyperlink>
        </w:p>
        <w:p w14:paraId="27C01476" w14:textId="78C3CCA0"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88" w:history="1">
            <w:r w:rsidRPr="00827DC2">
              <w:rPr>
                <w:rStyle w:val="Hyperlink"/>
                <w:rFonts w:ascii="Amazon Ember" w:eastAsia="Amazon Ember" w:hAnsi="Amazon Ember" w:cs="Amazon Ember"/>
                <w:noProof/>
              </w:rPr>
              <w:t>Kapitel 32: Freunde finden in einem neuen Land</w:t>
            </w:r>
            <w:r>
              <w:rPr>
                <w:noProof/>
              </w:rPr>
              <w:tab/>
            </w:r>
            <w:r>
              <w:rPr>
                <w:noProof/>
              </w:rPr>
              <w:fldChar w:fldCharType="begin"/>
            </w:r>
            <w:r>
              <w:rPr>
                <w:noProof/>
              </w:rPr>
              <w:instrText xml:space="preserve"> PAGEREF _Toc241352488 \h </w:instrText>
            </w:r>
            <w:r>
              <w:rPr>
                <w:noProof/>
              </w:rPr>
            </w:r>
            <w:r>
              <w:rPr>
                <w:noProof/>
              </w:rPr>
              <w:fldChar w:fldCharType="separate"/>
            </w:r>
            <w:r>
              <w:rPr>
                <w:noProof/>
              </w:rPr>
              <w:t>557</w:t>
            </w:r>
            <w:r>
              <w:rPr>
                <w:noProof/>
              </w:rPr>
              <w:fldChar w:fldCharType="end"/>
            </w:r>
          </w:hyperlink>
        </w:p>
        <w:p w14:paraId="0EDDB269" w14:textId="0415F311"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89" w:history="1">
            <w:r w:rsidRPr="00827DC2">
              <w:rPr>
                <w:rStyle w:val="Hyperlink"/>
                <w:rFonts w:ascii="Amazon Ember" w:eastAsia="Amazon Ember" w:hAnsi="Amazon Ember" w:cs="Amazon Ember"/>
                <w:noProof/>
              </w:rPr>
              <w:t>Kapitel 33: Heimweh, Kulturschock und mentale Gesundheit</w:t>
            </w:r>
            <w:r>
              <w:rPr>
                <w:noProof/>
              </w:rPr>
              <w:tab/>
            </w:r>
            <w:r>
              <w:rPr>
                <w:noProof/>
              </w:rPr>
              <w:fldChar w:fldCharType="begin"/>
            </w:r>
            <w:r>
              <w:rPr>
                <w:noProof/>
              </w:rPr>
              <w:instrText xml:space="preserve"> PAGEREF _Toc241352489 \h </w:instrText>
            </w:r>
            <w:r>
              <w:rPr>
                <w:noProof/>
              </w:rPr>
            </w:r>
            <w:r>
              <w:rPr>
                <w:noProof/>
              </w:rPr>
              <w:fldChar w:fldCharType="separate"/>
            </w:r>
            <w:r>
              <w:rPr>
                <w:noProof/>
              </w:rPr>
              <w:t>575</w:t>
            </w:r>
            <w:r>
              <w:rPr>
                <w:noProof/>
              </w:rPr>
              <w:fldChar w:fldCharType="end"/>
            </w:r>
          </w:hyperlink>
        </w:p>
        <w:p w14:paraId="6A121AD1" w14:textId="6B3094E1"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90" w:history="1">
            <w:r w:rsidRPr="00827DC2">
              <w:rPr>
                <w:rStyle w:val="Hyperlink"/>
                <w:rFonts w:ascii="Amazon Ember" w:eastAsia="Amazon Ember" w:hAnsi="Amazon Ember" w:cs="Amazon Ember"/>
                <w:noProof/>
              </w:rPr>
              <w:t>Kapitel 34: Kleidung: Was man trägt, was man kauft, was man mitnimmt</w:t>
            </w:r>
            <w:r>
              <w:rPr>
                <w:noProof/>
              </w:rPr>
              <w:tab/>
            </w:r>
            <w:r>
              <w:rPr>
                <w:noProof/>
              </w:rPr>
              <w:fldChar w:fldCharType="begin"/>
            </w:r>
            <w:r>
              <w:rPr>
                <w:noProof/>
              </w:rPr>
              <w:instrText xml:space="preserve"> PAGEREF _Toc241352490 \h </w:instrText>
            </w:r>
            <w:r>
              <w:rPr>
                <w:noProof/>
              </w:rPr>
            </w:r>
            <w:r>
              <w:rPr>
                <w:noProof/>
              </w:rPr>
              <w:fldChar w:fldCharType="separate"/>
            </w:r>
            <w:r>
              <w:rPr>
                <w:noProof/>
              </w:rPr>
              <w:t>587</w:t>
            </w:r>
            <w:r>
              <w:rPr>
                <w:noProof/>
              </w:rPr>
              <w:fldChar w:fldCharType="end"/>
            </w:r>
          </w:hyperlink>
        </w:p>
        <w:p w14:paraId="539BB85D" w14:textId="59C7A03C"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91" w:history="1">
            <w:r w:rsidRPr="00827DC2">
              <w:rPr>
                <w:rStyle w:val="Hyperlink"/>
                <w:rFonts w:ascii="Amazon Ember" w:eastAsia="Amazon Ember" w:hAnsi="Amazon Ember" w:cs="Amazon Ember"/>
                <w:noProof/>
              </w:rPr>
              <w:t>Kapitel 35: Essen, Trinken, Einkaufen</w:t>
            </w:r>
            <w:r>
              <w:rPr>
                <w:noProof/>
              </w:rPr>
              <w:tab/>
            </w:r>
            <w:r>
              <w:rPr>
                <w:noProof/>
              </w:rPr>
              <w:fldChar w:fldCharType="begin"/>
            </w:r>
            <w:r>
              <w:rPr>
                <w:noProof/>
              </w:rPr>
              <w:instrText xml:space="preserve"> PAGEREF _Toc241352491 \h </w:instrText>
            </w:r>
            <w:r>
              <w:rPr>
                <w:noProof/>
              </w:rPr>
            </w:r>
            <w:r>
              <w:rPr>
                <w:noProof/>
              </w:rPr>
              <w:fldChar w:fldCharType="separate"/>
            </w:r>
            <w:r>
              <w:rPr>
                <w:noProof/>
              </w:rPr>
              <w:t>602</w:t>
            </w:r>
            <w:r>
              <w:rPr>
                <w:noProof/>
              </w:rPr>
              <w:fldChar w:fldCharType="end"/>
            </w:r>
          </w:hyperlink>
        </w:p>
        <w:p w14:paraId="17FCABF8" w14:textId="703C89FA"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492" w:history="1">
            <w:r w:rsidRPr="00827DC2">
              <w:rPr>
                <w:rStyle w:val="Hyperlink"/>
                <w:rFonts w:ascii="Amazon Ember" w:eastAsia="Amazon Ember" w:hAnsi="Amazon Ember" w:cs="Amazon Ember"/>
                <w:noProof/>
              </w:rPr>
              <w:t>TEIL IX — Kinder und Schule</w:t>
            </w:r>
            <w:r>
              <w:rPr>
                <w:noProof/>
              </w:rPr>
              <w:tab/>
            </w:r>
            <w:r>
              <w:rPr>
                <w:noProof/>
              </w:rPr>
              <w:fldChar w:fldCharType="begin"/>
            </w:r>
            <w:r>
              <w:rPr>
                <w:noProof/>
              </w:rPr>
              <w:instrText xml:space="preserve"> PAGEREF _Toc241352492 \h </w:instrText>
            </w:r>
            <w:r>
              <w:rPr>
                <w:noProof/>
              </w:rPr>
            </w:r>
            <w:r>
              <w:rPr>
                <w:noProof/>
              </w:rPr>
              <w:fldChar w:fldCharType="separate"/>
            </w:r>
            <w:r>
              <w:rPr>
                <w:noProof/>
              </w:rPr>
              <w:t>616</w:t>
            </w:r>
            <w:r>
              <w:rPr>
                <w:noProof/>
              </w:rPr>
              <w:fldChar w:fldCharType="end"/>
            </w:r>
          </w:hyperlink>
        </w:p>
        <w:p w14:paraId="535DF6F3" w14:textId="006EF2BA"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93" w:history="1">
            <w:r w:rsidRPr="00827DC2">
              <w:rPr>
                <w:rStyle w:val="Hyperlink"/>
                <w:rFonts w:ascii="Amazon Ember" w:eastAsia="Amazon Ember" w:hAnsi="Amazon Ember" w:cs="Amazon Ember"/>
                <w:noProof/>
              </w:rPr>
              <w:t>Kapitel 36: Das amerikanische Schulsystem verstehen</w:t>
            </w:r>
            <w:r>
              <w:rPr>
                <w:noProof/>
              </w:rPr>
              <w:tab/>
            </w:r>
            <w:r>
              <w:rPr>
                <w:noProof/>
              </w:rPr>
              <w:fldChar w:fldCharType="begin"/>
            </w:r>
            <w:r>
              <w:rPr>
                <w:noProof/>
              </w:rPr>
              <w:instrText xml:space="preserve"> PAGEREF _Toc241352493 \h </w:instrText>
            </w:r>
            <w:r>
              <w:rPr>
                <w:noProof/>
              </w:rPr>
            </w:r>
            <w:r>
              <w:rPr>
                <w:noProof/>
              </w:rPr>
              <w:fldChar w:fldCharType="separate"/>
            </w:r>
            <w:r>
              <w:rPr>
                <w:noProof/>
              </w:rPr>
              <w:t>617</w:t>
            </w:r>
            <w:r>
              <w:rPr>
                <w:noProof/>
              </w:rPr>
              <w:fldChar w:fldCharType="end"/>
            </w:r>
          </w:hyperlink>
        </w:p>
        <w:p w14:paraId="56D7A869" w14:textId="4E5B1066"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94" w:history="1">
            <w:r w:rsidRPr="00827DC2">
              <w:rPr>
                <w:rStyle w:val="Hyperlink"/>
                <w:rFonts w:ascii="Amazon Ember" w:eastAsia="Amazon Ember" w:hAnsi="Amazon Ember" w:cs="Amazon Ember"/>
                <w:noProof/>
              </w:rPr>
              <w:t>Kapitel 37: ESL und Sprache: Englisch lernen und Deutsch bewahren</w:t>
            </w:r>
            <w:r>
              <w:rPr>
                <w:noProof/>
              </w:rPr>
              <w:tab/>
            </w:r>
            <w:r>
              <w:rPr>
                <w:noProof/>
              </w:rPr>
              <w:fldChar w:fldCharType="begin"/>
            </w:r>
            <w:r>
              <w:rPr>
                <w:noProof/>
              </w:rPr>
              <w:instrText xml:space="preserve"> PAGEREF _Toc241352494 \h </w:instrText>
            </w:r>
            <w:r>
              <w:rPr>
                <w:noProof/>
              </w:rPr>
            </w:r>
            <w:r>
              <w:rPr>
                <w:noProof/>
              </w:rPr>
              <w:fldChar w:fldCharType="separate"/>
            </w:r>
            <w:r>
              <w:rPr>
                <w:noProof/>
              </w:rPr>
              <w:t>635</w:t>
            </w:r>
            <w:r>
              <w:rPr>
                <w:noProof/>
              </w:rPr>
              <w:fldChar w:fldCharType="end"/>
            </w:r>
          </w:hyperlink>
        </w:p>
        <w:p w14:paraId="2A649FB5" w14:textId="5491AC88"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95" w:history="1">
            <w:r w:rsidRPr="00827DC2">
              <w:rPr>
                <w:rStyle w:val="Hyperlink"/>
                <w:rFonts w:ascii="Amazon Ember" w:eastAsia="Amazon Ember" w:hAnsi="Amazon Ember" w:cs="Amazon Ember"/>
                <w:noProof/>
              </w:rPr>
              <w:t>Kapitel 38: Babys, Kleinkinder und Teenager</w:t>
            </w:r>
            <w:r>
              <w:rPr>
                <w:noProof/>
              </w:rPr>
              <w:tab/>
            </w:r>
            <w:r>
              <w:rPr>
                <w:noProof/>
              </w:rPr>
              <w:fldChar w:fldCharType="begin"/>
            </w:r>
            <w:r>
              <w:rPr>
                <w:noProof/>
              </w:rPr>
              <w:instrText xml:space="preserve"> PAGEREF _Toc241352495 \h </w:instrText>
            </w:r>
            <w:r>
              <w:rPr>
                <w:noProof/>
              </w:rPr>
            </w:r>
            <w:r>
              <w:rPr>
                <w:noProof/>
              </w:rPr>
              <w:fldChar w:fldCharType="separate"/>
            </w:r>
            <w:r>
              <w:rPr>
                <w:noProof/>
              </w:rPr>
              <w:t>652</w:t>
            </w:r>
            <w:r>
              <w:rPr>
                <w:noProof/>
              </w:rPr>
              <w:fldChar w:fldCharType="end"/>
            </w:r>
          </w:hyperlink>
        </w:p>
        <w:p w14:paraId="714FBB3E" w14:textId="2C0A34C4"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496" w:history="1">
            <w:r w:rsidRPr="00827DC2">
              <w:rPr>
                <w:rStyle w:val="Hyperlink"/>
                <w:rFonts w:ascii="Amazon Ember" w:eastAsia="Amazon Ember" w:hAnsi="Amazon Ember" w:cs="Amazon Ember"/>
                <w:noProof/>
              </w:rPr>
              <w:t>TEIL X — Langfristig</w:t>
            </w:r>
            <w:r>
              <w:rPr>
                <w:noProof/>
              </w:rPr>
              <w:tab/>
            </w:r>
            <w:r>
              <w:rPr>
                <w:noProof/>
              </w:rPr>
              <w:fldChar w:fldCharType="begin"/>
            </w:r>
            <w:r>
              <w:rPr>
                <w:noProof/>
              </w:rPr>
              <w:instrText xml:space="preserve"> PAGEREF _Toc241352496 \h </w:instrText>
            </w:r>
            <w:r>
              <w:rPr>
                <w:noProof/>
              </w:rPr>
            </w:r>
            <w:r>
              <w:rPr>
                <w:noProof/>
              </w:rPr>
              <w:fldChar w:fldCharType="separate"/>
            </w:r>
            <w:r>
              <w:rPr>
                <w:noProof/>
              </w:rPr>
              <w:t>669</w:t>
            </w:r>
            <w:r>
              <w:rPr>
                <w:noProof/>
              </w:rPr>
              <w:fldChar w:fldCharType="end"/>
            </w:r>
          </w:hyperlink>
        </w:p>
        <w:p w14:paraId="1ACF2739" w14:textId="2476155D"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97" w:history="1">
            <w:r w:rsidRPr="00827DC2">
              <w:rPr>
                <w:rStyle w:val="Hyperlink"/>
                <w:rFonts w:ascii="Amazon Ember" w:eastAsia="Amazon Ember" w:hAnsi="Amazon Ember" w:cs="Amazon Ember"/>
                <w:noProof/>
              </w:rPr>
              <w:t>Kapitel 39: Vorsorge, Erbe und Vermögen</w:t>
            </w:r>
            <w:r>
              <w:rPr>
                <w:noProof/>
              </w:rPr>
              <w:tab/>
            </w:r>
            <w:r>
              <w:rPr>
                <w:noProof/>
              </w:rPr>
              <w:fldChar w:fldCharType="begin"/>
            </w:r>
            <w:r>
              <w:rPr>
                <w:noProof/>
              </w:rPr>
              <w:instrText xml:space="preserve"> PAGEREF _Toc241352497 \h </w:instrText>
            </w:r>
            <w:r>
              <w:rPr>
                <w:noProof/>
              </w:rPr>
            </w:r>
            <w:r>
              <w:rPr>
                <w:noProof/>
              </w:rPr>
              <w:fldChar w:fldCharType="separate"/>
            </w:r>
            <w:r>
              <w:rPr>
                <w:noProof/>
              </w:rPr>
              <w:t>670</w:t>
            </w:r>
            <w:r>
              <w:rPr>
                <w:noProof/>
              </w:rPr>
              <w:fldChar w:fldCharType="end"/>
            </w:r>
          </w:hyperlink>
        </w:p>
        <w:p w14:paraId="18206630" w14:textId="6230445F"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98" w:history="1">
            <w:r w:rsidRPr="00827DC2">
              <w:rPr>
                <w:rStyle w:val="Hyperlink"/>
                <w:rFonts w:ascii="Amazon Ember" w:eastAsia="Amazon Ember" w:hAnsi="Amazon Ember" w:cs="Amazon Ember"/>
                <w:noProof/>
              </w:rPr>
              <w:t>Kapitel 40: Recht und Sicherheit im Alltag</w:t>
            </w:r>
            <w:r>
              <w:rPr>
                <w:noProof/>
              </w:rPr>
              <w:tab/>
            </w:r>
            <w:r>
              <w:rPr>
                <w:noProof/>
              </w:rPr>
              <w:fldChar w:fldCharType="begin"/>
            </w:r>
            <w:r>
              <w:rPr>
                <w:noProof/>
              </w:rPr>
              <w:instrText xml:space="preserve"> PAGEREF _Toc241352498 \h </w:instrText>
            </w:r>
            <w:r>
              <w:rPr>
                <w:noProof/>
              </w:rPr>
            </w:r>
            <w:r>
              <w:rPr>
                <w:noProof/>
              </w:rPr>
              <w:fldChar w:fldCharType="separate"/>
            </w:r>
            <w:r>
              <w:rPr>
                <w:noProof/>
              </w:rPr>
              <w:t>686</w:t>
            </w:r>
            <w:r>
              <w:rPr>
                <w:noProof/>
              </w:rPr>
              <w:fldChar w:fldCharType="end"/>
            </w:r>
          </w:hyperlink>
        </w:p>
        <w:p w14:paraId="2DFD06EC" w14:textId="71261B28"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499" w:history="1">
            <w:r w:rsidRPr="00827DC2">
              <w:rPr>
                <w:rStyle w:val="Hyperlink"/>
                <w:rFonts w:ascii="Amazon Ember" w:eastAsia="Amazon Ember" w:hAnsi="Amazon Ember" w:cs="Amazon Ember"/>
                <w:noProof/>
              </w:rPr>
              <w:t>Kapitel 41: Von der Green Card zur Staatsbürgerschaft: Der Doppelpass</w:t>
            </w:r>
            <w:r>
              <w:rPr>
                <w:noProof/>
              </w:rPr>
              <w:tab/>
            </w:r>
            <w:r>
              <w:rPr>
                <w:noProof/>
              </w:rPr>
              <w:fldChar w:fldCharType="begin"/>
            </w:r>
            <w:r>
              <w:rPr>
                <w:noProof/>
              </w:rPr>
              <w:instrText xml:space="preserve"> PAGEREF _Toc241352499 \h </w:instrText>
            </w:r>
            <w:r>
              <w:rPr>
                <w:noProof/>
              </w:rPr>
            </w:r>
            <w:r>
              <w:rPr>
                <w:noProof/>
              </w:rPr>
              <w:fldChar w:fldCharType="separate"/>
            </w:r>
            <w:r>
              <w:rPr>
                <w:noProof/>
              </w:rPr>
              <w:t>705</w:t>
            </w:r>
            <w:r>
              <w:rPr>
                <w:noProof/>
              </w:rPr>
              <w:fldChar w:fldCharType="end"/>
            </w:r>
          </w:hyperlink>
        </w:p>
        <w:p w14:paraId="5EFF4A26" w14:textId="5D05A06D"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00" w:history="1">
            <w:r w:rsidRPr="00827DC2">
              <w:rPr>
                <w:rStyle w:val="Hyperlink"/>
                <w:rFonts w:ascii="Amazon Ember" w:eastAsia="Amazon Ember" w:hAnsi="Amazon Ember" w:cs="Amazon Ember"/>
                <w:noProof/>
              </w:rPr>
              <w:t>Kapitel 42: Plan B: Die Rückkehr nach Deutschland</w:t>
            </w:r>
            <w:r>
              <w:rPr>
                <w:noProof/>
              </w:rPr>
              <w:tab/>
            </w:r>
            <w:r>
              <w:rPr>
                <w:noProof/>
              </w:rPr>
              <w:fldChar w:fldCharType="begin"/>
            </w:r>
            <w:r>
              <w:rPr>
                <w:noProof/>
              </w:rPr>
              <w:instrText xml:space="preserve"> PAGEREF _Toc241352500 \h </w:instrText>
            </w:r>
            <w:r>
              <w:rPr>
                <w:noProof/>
              </w:rPr>
            </w:r>
            <w:r>
              <w:rPr>
                <w:noProof/>
              </w:rPr>
              <w:fldChar w:fldCharType="separate"/>
            </w:r>
            <w:r>
              <w:rPr>
                <w:noProof/>
              </w:rPr>
              <w:t>720</w:t>
            </w:r>
            <w:r>
              <w:rPr>
                <w:noProof/>
              </w:rPr>
              <w:fldChar w:fldCharType="end"/>
            </w:r>
          </w:hyperlink>
        </w:p>
        <w:p w14:paraId="02CC7969" w14:textId="5D5E4947"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501" w:history="1">
            <w:r w:rsidRPr="00827DC2">
              <w:rPr>
                <w:rStyle w:val="Hyperlink"/>
                <w:rFonts w:ascii="Amazon Ember" w:eastAsia="Amazon Ember" w:hAnsi="Amazon Ember" w:cs="Amazon Ember"/>
                <w:noProof/>
              </w:rPr>
              <w:t>TEIL AUSTRALIEN — Fern, aber gut geregelt</w:t>
            </w:r>
            <w:r>
              <w:rPr>
                <w:noProof/>
              </w:rPr>
              <w:tab/>
            </w:r>
            <w:r>
              <w:rPr>
                <w:noProof/>
              </w:rPr>
              <w:fldChar w:fldCharType="begin"/>
            </w:r>
            <w:r>
              <w:rPr>
                <w:noProof/>
              </w:rPr>
              <w:instrText xml:space="preserve"> PAGEREF _Toc241352501 \h </w:instrText>
            </w:r>
            <w:r>
              <w:rPr>
                <w:noProof/>
              </w:rPr>
            </w:r>
            <w:r>
              <w:rPr>
                <w:noProof/>
              </w:rPr>
              <w:fldChar w:fldCharType="separate"/>
            </w:r>
            <w:r>
              <w:rPr>
                <w:noProof/>
              </w:rPr>
              <w:t>734</w:t>
            </w:r>
            <w:r>
              <w:rPr>
                <w:noProof/>
              </w:rPr>
              <w:fldChar w:fldCharType="end"/>
            </w:r>
          </w:hyperlink>
        </w:p>
        <w:p w14:paraId="795A704E" w14:textId="5141B15C"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02" w:history="1">
            <w:r w:rsidRPr="00827DC2">
              <w:rPr>
                <w:rStyle w:val="Hyperlink"/>
                <w:rFonts w:ascii="Amazon Ember" w:eastAsia="Amazon Ember" w:hAnsi="Amazon Ember" w:cs="Amazon Ember"/>
                <w:noProof/>
              </w:rPr>
              <w:t>Australien: Die ehrliche Bilanz</w:t>
            </w:r>
            <w:r>
              <w:rPr>
                <w:noProof/>
              </w:rPr>
              <w:tab/>
            </w:r>
            <w:r>
              <w:rPr>
                <w:noProof/>
              </w:rPr>
              <w:fldChar w:fldCharType="begin"/>
            </w:r>
            <w:r>
              <w:rPr>
                <w:noProof/>
              </w:rPr>
              <w:instrText xml:space="preserve"> PAGEREF _Toc241352502 \h </w:instrText>
            </w:r>
            <w:r>
              <w:rPr>
                <w:noProof/>
              </w:rPr>
            </w:r>
            <w:r>
              <w:rPr>
                <w:noProof/>
              </w:rPr>
              <w:fldChar w:fldCharType="separate"/>
            </w:r>
            <w:r>
              <w:rPr>
                <w:noProof/>
              </w:rPr>
              <w:t>735</w:t>
            </w:r>
            <w:r>
              <w:rPr>
                <w:noProof/>
              </w:rPr>
              <w:fldChar w:fldCharType="end"/>
            </w:r>
          </w:hyperlink>
        </w:p>
        <w:p w14:paraId="1D936543" w14:textId="4356AA97"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03" w:history="1">
            <w:r w:rsidRPr="00827DC2">
              <w:rPr>
                <w:rStyle w:val="Hyperlink"/>
                <w:rFonts w:ascii="Amazon Ember" w:eastAsia="Amazon Ember" w:hAnsi="Amazon Ember" w:cs="Amazon Ember"/>
                <w:noProof/>
              </w:rPr>
              <w:t>Australien: Wege der Einwanderung</w:t>
            </w:r>
            <w:r>
              <w:rPr>
                <w:noProof/>
              </w:rPr>
              <w:tab/>
            </w:r>
            <w:r>
              <w:rPr>
                <w:noProof/>
              </w:rPr>
              <w:fldChar w:fldCharType="begin"/>
            </w:r>
            <w:r>
              <w:rPr>
                <w:noProof/>
              </w:rPr>
              <w:instrText xml:space="preserve"> PAGEREF _Toc241352503 \h </w:instrText>
            </w:r>
            <w:r>
              <w:rPr>
                <w:noProof/>
              </w:rPr>
            </w:r>
            <w:r>
              <w:rPr>
                <w:noProof/>
              </w:rPr>
              <w:fldChar w:fldCharType="separate"/>
            </w:r>
            <w:r>
              <w:rPr>
                <w:noProof/>
              </w:rPr>
              <w:t>746</w:t>
            </w:r>
            <w:r>
              <w:rPr>
                <w:noProof/>
              </w:rPr>
              <w:fldChar w:fldCharType="end"/>
            </w:r>
          </w:hyperlink>
        </w:p>
        <w:p w14:paraId="3AA08EBC" w14:textId="6A97B723"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04" w:history="1">
            <w:r w:rsidRPr="00827DC2">
              <w:rPr>
                <w:rStyle w:val="Hyperlink"/>
                <w:rFonts w:ascii="Amazon Ember" w:eastAsia="Amazon Ember" w:hAnsi="Amazon Ember" w:cs="Amazon Ember"/>
                <w:noProof/>
              </w:rPr>
              <w:t>Australien: Der Arbeitsweg im Detail</w:t>
            </w:r>
            <w:r>
              <w:rPr>
                <w:noProof/>
              </w:rPr>
              <w:tab/>
            </w:r>
            <w:r>
              <w:rPr>
                <w:noProof/>
              </w:rPr>
              <w:fldChar w:fldCharType="begin"/>
            </w:r>
            <w:r>
              <w:rPr>
                <w:noProof/>
              </w:rPr>
              <w:instrText xml:space="preserve"> PAGEREF _Toc241352504 \h </w:instrText>
            </w:r>
            <w:r>
              <w:rPr>
                <w:noProof/>
              </w:rPr>
            </w:r>
            <w:r>
              <w:rPr>
                <w:noProof/>
              </w:rPr>
              <w:fldChar w:fldCharType="separate"/>
            </w:r>
            <w:r>
              <w:rPr>
                <w:noProof/>
              </w:rPr>
              <w:t>759</w:t>
            </w:r>
            <w:r>
              <w:rPr>
                <w:noProof/>
              </w:rPr>
              <w:fldChar w:fldCharType="end"/>
            </w:r>
          </w:hyperlink>
        </w:p>
        <w:p w14:paraId="3C90A281" w14:textId="601656DF"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05" w:history="1">
            <w:r w:rsidRPr="00827DC2">
              <w:rPr>
                <w:rStyle w:val="Hyperlink"/>
                <w:rFonts w:ascii="Amazon Ember" w:eastAsia="Amazon Ember" w:hAnsi="Amazon Ember" w:cs="Amazon Ember"/>
                <w:noProof/>
              </w:rPr>
              <w:t>Australien: Familie, Investor, Ruhestand</w:t>
            </w:r>
            <w:r>
              <w:rPr>
                <w:noProof/>
              </w:rPr>
              <w:tab/>
            </w:r>
            <w:r>
              <w:rPr>
                <w:noProof/>
              </w:rPr>
              <w:fldChar w:fldCharType="begin"/>
            </w:r>
            <w:r>
              <w:rPr>
                <w:noProof/>
              </w:rPr>
              <w:instrText xml:space="preserve"> PAGEREF _Toc241352505 \h </w:instrText>
            </w:r>
            <w:r>
              <w:rPr>
                <w:noProof/>
              </w:rPr>
            </w:r>
            <w:r>
              <w:rPr>
                <w:noProof/>
              </w:rPr>
              <w:fldChar w:fldCharType="separate"/>
            </w:r>
            <w:r>
              <w:rPr>
                <w:noProof/>
              </w:rPr>
              <w:t>772</w:t>
            </w:r>
            <w:r>
              <w:rPr>
                <w:noProof/>
              </w:rPr>
              <w:fldChar w:fldCharType="end"/>
            </w:r>
          </w:hyperlink>
        </w:p>
        <w:p w14:paraId="13B71166" w14:textId="75A24E42"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06" w:history="1">
            <w:r w:rsidRPr="00827DC2">
              <w:rPr>
                <w:rStyle w:val="Hyperlink"/>
                <w:rFonts w:ascii="Amazon Ember" w:eastAsia="Amazon Ember" w:hAnsi="Amazon Ember" w:cs="Amazon Ember"/>
                <w:noProof/>
              </w:rPr>
              <w:t>Australien: Antrag, Konsulat und Kosten</w:t>
            </w:r>
            <w:r>
              <w:rPr>
                <w:noProof/>
              </w:rPr>
              <w:tab/>
            </w:r>
            <w:r>
              <w:rPr>
                <w:noProof/>
              </w:rPr>
              <w:fldChar w:fldCharType="begin"/>
            </w:r>
            <w:r>
              <w:rPr>
                <w:noProof/>
              </w:rPr>
              <w:instrText xml:space="preserve"> PAGEREF _Toc241352506 \h </w:instrText>
            </w:r>
            <w:r>
              <w:rPr>
                <w:noProof/>
              </w:rPr>
            </w:r>
            <w:r>
              <w:rPr>
                <w:noProof/>
              </w:rPr>
              <w:fldChar w:fldCharType="separate"/>
            </w:r>
            <w:r>
              <w:rPr>
                <w:noProof/>
              </w:rPr>
              <w:t>788</w:t>
            </w:r>
            <w:r>
              <w:rPr>
                <w:noProof/>
              </w:rPr>
              <w:fldChar w:fldCharType="end"/>
            </w:r>
          </w:hyperlink>
        </w:p>
        <w:p w14:paraId="7123240F" w14:textId="35FD799A"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07" w:history="1">
            <w:r w:rsidRPr="00827DC2">
              <w:rPr>
                <w:rStyle w:val="Hyperlink"/>
                <w:rFonts w:ascii="Amazon Ember" w:eastAsia="Amazon Ember" w:hAnsi="Amazon Ember" w:cs="Amazon Ember"/>
                <w:noProof/>
              </w:rPr>
              <w:t>Australien: Ankunft, erste Tage und Wochen</w:t>
            </w:r>
            <w:r>
              <w:rPr>
                <w:noProof/>
              </w:rPr>
              <w:tab/>
            </w:r>
            <w:r>
              <w:rPr>
                <w:noProof/>
              </w:rPr>
              <w:fldChar w:fldCharType="begin"/>
            </w:r>
            <w:r>
              <w:rPr>
                <w:noProof/>
              </w:rPr>
              <w:instrText xml:space="preserve"> PAGEREF _Toc241352507 \h </w:instrText>
            </w:r>
            <w:r>
              <w:rPr>
                <w:noProof/>
              </w:rPr>
            </w:r>
            <w:r>
              <w:rPr>
                <w:noProof/>
              </w:rPr>
              <w:fldChar w:fldCharType="separate"/>
            </w:r>
            <w:r>
              <w:rPr>
                <w:noProof/>
              </w:rPr>
              <w:t>800</w:t>
            </w:r>
            <w:r>
              <w:rPr>
                <w:noProof/>
              </w:rPr>
              <w:fldChar w:fldCharType="end"/>
            </w:r>
          </w:hyperlink>
        </w:p>
        <w:p w14:paraId="6C2B4184" w14:textId="19B38B36"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08" w:history="1">
            <w:r w:rsidRPr="00827DC2">
              <w:rPr>
                <w:rStyle w:val="Hyperlink"/>
                <w:rFonts w:ascii="Amazon Ember" w:eastAsia="Amazon Ember" w:hAnsi="Amazon Ember" w:cs="Amazon Ember"/>
                <w:noProof/>
              </w:rPr>
              <w:t>Australien: Steuer-ID, Bank, Kredit aufbauen</w:t>
            </w:r>
            <w:r>
              <w:rPr>
                <w:noProof/>
              </w:rPr>
              <w:tab/>
            </w:r>
            <w:r>
              <w:rPr>
                <w:noProof/>
              </w:rPr>
              <w:fldChar w:fldCharType="begin"/>
            </w:r>
            <w:r>
              <w:rPr>
                <w:noProof/>
              </w:rPr>
              <w:instrText xml:space="preserve"> PAGEREF _Toc241352508 \h </w:instrText>
            </w:r>
            <w:r>
              <w:rPr>
                <w:noProof/>
              </w:rPr>
            </w:r>
            <w:r>
              <w:rPr>
                <w:noProof/>
              </w:rPr>
              <w:fldChar w:fldCharType="separate"/>
            </w:r>
            <w:r>
              <w:rPr>
                <w:noProof/>
              </w:rPr>
              <w:t>812</w:t>
            </w:r>
            <w:r>
              <w:rPr>
                <w:noProof/>
              </w:rPr>
              <w:fldChar w:fldCharType="end"/>
            </w:r>
          </w:hyperlink>
        </w:p>
        <w:p w14:paraId="527D5EB6" w14:textId="7ABE70B6"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09" w:history="1">
            <w:r w:rsidRPr="00827DC2">
              <w:rPr>
                <w:rStyle w:val="Hyperlink"/>
                <w:rFonts w:ascii="Amazon Ember" w:eastAsia="Amazon Ember" w:hAnsi="Amazon Ember" w:cs="Amazon Ember"/>
                <w:noProof/>
              </w:rPr>
              <w:t>Australien: Das Gesundheitssystem</w:t>
            </w:r>
            <w:r>
              <w:rPr>
                <w:noProof/>
              </w:rPr>
              <w:tab/>
            </w:r>
            <w:r>
              <w:rPr>
                <w:noProof/>
              </w:rPr>
              <w:fldChar w:fldCharType="begin"/>
            </w:r>
            <w:r>
              <w:rPr>
                <w:noProof/>
              </w:rPr>
              <w:instrText xml:space="preserve"> PAGEREF _Toc241352509 \h </w:instrText>
            </w:r>
            <w:r>
              <w:rPr>
                <w:noProof/>
              </w:rPr>
            </w:r>
            <w:r>
              <w:rPr>
                <w:noProof/>
              </w:rPr>
              <w:fldChar w:fldCharType="separate"/>
            </w:r>
            <w:r>
              <w:rPr>
                <w:noProof/>
              </w:rPr>
              <w:t>825</w:t>
            </w:r>
            <w:r>
              <w:rPr>
                <w:noProof/>
              </w:rPr>
              <w:fldChar w:fldCharType="end"/>
            </w:r>
          </w:hyperlink>
        </w:p>
        <w:p w14:paraId="2EA74C67" w14:textId="7B547988"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10" w:history="1">
            <w:r w:rsidRPr="00827DC2">
              <w:rPr>
                <w:rStyle w:val="Hyperlink"/>
                <w:rFonts w:ascii="Amazon Ember" w:eastAsia="Amazon Ember" w:hAnsi="Amazon Ember" w:cs="Amazon Ember"/>
                <w:noProof/>
              </w:rPr>
              <w:t>Australien: Wohnen und die besten Orte zum Leben</w:t>
            </w:r>
            <w:r>
              <w:rPr>
                <w:noProof/>
              </w:rPr>
              <w:tab/>
            </w:r>
            <w:r>
              <w:rPr>
                <w:noProof/>
              </w:rPr>
              <w:fldChar w:fldCharType="begin"/>
            </w:r>
            <w:r>
              <w:rPr>
                <w:noProof/>
              </w:rPr>
              <w:instrText xml:space="preserve"> PAGEREF _Toc241352510 \h </w:instrText>
            </w:r>
            <w:r>
              <w:rPr>
                <w:noProof/>
              </w:rPr>
            </w:r>
            <w:r>
              <w:rPr>
                <w:noProof/>
              </w:rPr>
              <w:fldChar w:fldCharType="separate"/>
            </w:r>
            <w:r>
              <w:rPr>
                <w:noProof/>
              </w:rPr>
              <w:t>838</w:t>
            </w:r>
            <w:r>
              <w:rPr>
                <w:noProof/>
              </w:rPr>
              <w:fldChar w:fldCharType="end"/>
            </w:r>
          </w:hyperlink>
        </w:p>
        <w:p w14:paraId="632ACE8D" w14:textId="654F6509"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11" w:history="1">
            <w:r w:rsidRPr="00827DC2">
              <w:rPr>
                <w:rStyle w:val="Hyperlink"/>
                <w:rFonts w:ascii="Amazon Ember" w:eastAsia="Amazon Ember" w:hAnsi="Amazon Ember" w:cs="Amazon Ember"/>
                <w:noProof/>
              </w:rPr>
              <w:t>Australien: Führerschein, Auto und Verkehrsregeln</w:t>
            </w:r>
            <w:r>
              <w:rPr>
                <w:noProof/>
              </w:rPr>
              <w:tab/>
            </w:r>
            <w:r>
              <w:rPr>
                <w:noProof/>
              </w:rPr>
              <w:fldChar w:fldCharType="begin"/>
            </w:r>
            <w:r>
              <w:rPr>
                <w:noProof/>
              </w:rPr>
              <w:instrText xml:space="preserve"> PAGEREF _Toc241352511 \h </w:instrText>
            </w:r>
            <w:r>
              <w:rPr>
                <w:noProof/>
              </w:rPr>
            </w:r>
            <w:r>
              <w:rPr>
                <w:noProof/>
              </w:rPr>
              <w:fldChar w:fldCharType="separate"/>
            </w:r>
            <w:r>
              <w:rPr>
                <w:noProof/>
              </w:rPr>
              <w:t>851</w:t>
            </w:r>
            <w:r>
              <w:rPr>
                <w:noProof/>
              </w:rPr>
              <w:fldChar w:fldCharType="end"/>
            </w:r>
          </w:hyperlink>
        </w:p>
        <w:p w14:paraId="7C42EDD5" w14:textId="12D4A841"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12" w:history="1">
            <w:r w:rsidRPr="00827DC2">
              <w:rPr>
                <w:rStyle w:val="Hyperlink"/>
                <w:rFonts w:ascii="Amazon Ember" w:eastAsia="Amazon Ember" w:hAnsi="Amazon Ember" w:cs="Amazon Ember"/>
                <w:noProof/>
              </w:rPr>
              <w:t>Australien: Alltagskultur und Umgangsformen</w:t>
            </w:r>
            <w:r>
              <w:rPr>
                <w:noProof/>
              </w:rPr>
              <w:tab/>
            </w:r>
            <w:r>
              <w:rPr>
                <w:noProof/>
              </w:rPr>
              <w:fldChar w:fldCharType="begin"/>
            </w:r>
            <w:r>
              <w:rPr>
                <w:noProof/>
              </w:rPr>
              <w:instrText xml:space="preserve"> PAGEREF _Toc241352512 \h </w:instrText>
            </w:r>
            <w:r>
              <w:rPr>
                <w:noProof/>
              </w:rPr>
            </w:r>
            <w:r>
              <w:rPr>
                <w:noProof/>
              </w:rPr>
              <w:fldChar w:fldCharType="separate"/>
            </w:r>
            <w:r>
              <w:rPr>
                <w:noProof/>
              </w:rPr>
              <w:t>865</w:t>
            </w:r>
            <w:r>
              <w:rPr>
                <w:noProof/>
              </w:rPr>
              <w:fldChar w:fldCharType="end"/>
            </w:r>
          </w:hyperlink>
        </w:p>
        <w:p w14:paraId="2EAAF2D3" w14:textId="6A9DDAC3"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13" w:history="1">
            <w:r w:rsidRPr="00827DC2">
              <w:rPr>
                <w:rStyle w:val="Hyperlink"/>
                <w:rFonts w:ascii="Amazon Ember" w:eastAsia="Amazon Ember" w:hAnsi="Amazon Ember" w:cs="Amazon Ember"/>
                <w:noProof/>
              </w:rPr>
              <w:t>Australien: Freunde finden und der Kulturschock der großen Distanz</w:t>
            </w:r>
            <w:r>
              <w:rPr>
                <w:noProof/>
              </w:rPr>
              <w:tab/>
            </w:r>
            <w:r>
              <w:rPr>
                <w:noProof/>
              </w:rPr>
              <w:fldChar w:fldCharType="begin"/>
            </w:r>
            <w:r>
              <w:rPr>
                <w:noProof/>
              </w:rPr>
              <w:instrText xml:space="preserve"> PAGEREF _Toc241352513 \h </w:instrText>
            </w:r>
            <w:r>
              <w:rPr>
                <w:noProof/>
              </w:rPr>
            </w:r>
            <w:r>
              <w:rPr>
                <w:noProof/>
              </w:rPr>
              <w:fldChar w:fldCharType="separate"/>
            </w:r>
            <w:r>
              <w:rPr>
                <w:noProof/>
              </w:rPr>
              <w:t>879</w:t>
            </w:r>
            <w:r>
              <w:rPr>
                <w:noProof/>
              </w:rPr>
              <w:fldChar w:fldCharType="end"/>
            </w:r>
          </w:hyperlink>
        </w:p>
        <w:p w14:paraId="6F325899" w14:textId="22E2F780"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14" w:history="1">
            <w:r w:rsidRPr="00827DC2">
              <w:rPr>
                <w:rStyle w:val="Hyperlink"/>
                <w:rFonts w:ascii="Amazon Ember" w:eastAsia="Amazon Ember" w:hAnsi="Amazon Ember" w:cs="Amazon Ember"/>
                <w:noProof/>
              </w:rPr>
              <w:t>Australien: Kinder, Schule und Spracheingewöhnung</w:t>
            </w:r>
            <w:r>
              <w:rPr>
                <w:noProof/>
              </w:rPr>
              <w:tab/>
            </w:r>
            <w:r>
              <w:rPr>
                <w:noProof/>
              </w:rPr>
              <w:fldChar w:fldCharType="begin"/>
            </w:r>
            <w:r>
              <w:rPr>
                <w:noProof/>
              </w:rPr>
              <w:instrText xml:space="preserve"> PAGEREF _Toc241352514 \h </w:instrText>
            </w:r>
            <w:r>
              <w:rPr>
                <w:noProof/>
              </w:rPr>
            </w:r>
            <w:r>
              <w:rPr>
                <w:noProof/>
              </w:rPr>
              <w:fldChar w:fldCharType="separate"/>
            </w:r>
            <w:r>
              <w:rPr>
                <w:noProof/>
              </w:rPr>
              <w:t>892</w:t>
            </w:r>
            <w:r>
              <w:rPr>
                <w:noProof/>
              </w:rPr>
              <w:fldChar w:fldCharType="end"/>
            </w:r>
          </w:hyperlink>
        </w:p>
        <w:p w14:paraId="797DDE83" w14:textId="740017D6"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15" w:history="1">
            <w:r w:rsidRPr="00827DC2">
              <w:rPr>
                <w:rStyle w:val="Hyperlink"/>
                <w:rFonts w:ascii="Amazon Ember" w:eastAsia="Amazon Ember" w:hAnsi="Amazon Ember" w:cs="Amazon Ember"/>
                <w:noProof/>
              </w:rPr>
              <w:t>Australien: Arbeitswelt und Jobwechsel</w:t>
            </w:r>
            <w:r>
              <w:rPr>
                <w:noProof/>
              </w:rPr>
              <w:tab/>
            </w:r>
            <w:r>
              <w:rPr>
                <w:noProof/>
              </w:rPr>
              <w:fldChar w:fldCharType="begin"/>
            </w:r>
            <w:r>
              <w:rPr>
                <w:noProof/>
              </w:rPr>
              <w:instrText xml:space="preserve"> PAGEREF _Toc241352515 \h </w:instrText>
            </w:r>
            <w:r>
              <w:rPr>
                <w:noProof/>
              </w:rPr>
            </w:r>
            <w:r>
              <w:rPr>
                <w:noProof/>
              </w:rPr>
              <w:fldChar w:fldCharType="separate"/>
            </w:r>
            <w:r>
              <w:rPr>
                <w:noProof/>
              </w:rPr>
              <w:t>906</w:t>
            </w:r>
            <w:r>
              <w:rPr>
                <w:noProof/>
              </w:rPr>
              <w:fldChar w:fldCharType="end"/>
            </w:r>
          </w:hyperlink>
        </w:p>
        <w:p w14:paraId="6CCE4E62" w14:textId="76E46B86"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16" w:history="1">
            <w:r w:rsidRPr="00827DC2">
              <w:rPr>
                <w:rStyle w:val="Hyperlink"/>
                <w:rFonts w:ascii="Amazon Ember" w:eastAsia="Amazon Ember" w:hAnsi="Amazon Ember" w:cs="Amazon Ember"/>
                <w:noProof/>
              </w:rPr>
              <w:t>Australien: Recht, Sicherheit und Polizeikontakt</w:t>
            </w:r>
            <w:r>
              <w:rPr>
                <w:noProof/>
              </w:rPr>
              <w:tab/>
            </w:r>
            <w:r>
              <w:rPr>
                <w:noProof/>
              </w:rPr>
              <w:fldChar w:fldCharType="begin"/>
            </w:r>
            <w:r>
              <w:rPr>
                <w:noProof/>
              </w:rPr>
              <w:instrText xml:space="preserve"> PAGEREF _Toc241352516 \h </w:instrText>
            </w:r>
            <w:r>
              <w:rPr>
                <w:noProof/>
              </w:rPr>
            </w:r>
            <w:r>
              <w:rPr>
                <w:noProof/>
              </w:rPr>
              <w:fldChar w:fldCharType="separate"/>
            </w:r>
            <w:r>
              <w:rPr>
                <w:noProof/>
              </w:rPr>
              <w:t>918</w:t>
            </w:r>
            <w:r>
              <w:rPr>
                <w:noProof/>
              </w:rPr>
              <w:fldChar w:fldCharType="end"/>
            </w:r>
          </w:hyperlink>
        </w:p>
        <w:p w14:paraId="41A1FD1D" w14:textId="2E852DD1"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17" w:history="1">
            <w:r w:rsidRPr="00827DC2">
              <w:rPr>
                <w:rStyle w:val="Hyperlink"/>
                <w:rFonts w:ascii="Amazon Ember" w:eastAsia="Amazon Ember" w:hAnsi="Amazon Ember" w:cs="Amazon Ember"/>
                <w:noProof/>
              </w:rPr>
              <w:t>Australien: Staatsbürgerschaft und Steuerresidenz</w:t>
            </w:r>
            <w:r>
              <w:rPr>
                <w:noProof/>
              </w:rPr>
              <w:tab/>
            </w:r>
            <w:r>
              <w:rPr>
                <w:noProof/>
              </w:rPr>
              <w:fldChar w:fldCharType="begin"/>
            </w:r>
            <w:r>
              <w:rPr>
                <w:noProof/>
              </w:rPr>
              <w:instrText xml:space="preserve"> PAGEREF _Toc241352517 \h </w:instrText>
            </w:r>
            <w:r>
              <w:rPr>
                <w:noProof/>
              </w:rPr>
            </w:r>
            <w:r>
              <w:rPr>
                <w:noProof/>
              </w:rPr>
              <w:fldChar w:fldCharType="separate"/>
            </w:r>
            <w:r>
              <w:rPr>
                <w:noProof/>
              </w:rPr>
              <w:t>932</w:t>
            </w:r>
            <w:r>
              <w:rPr>
                <w:noProof/>
              </w:rPr>
              <w:fldChar w:fldCharType="end"/>
            </w:r>
          </w:hyperlink>
        </w:p>
        <w:p w14:paraId="7E781095" w14:textId="70BAEEE7"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518" w:history="1">
            <w:r w:rsidRPr="00827DC2">
              <w:rPr>
                <w:rStyle w:val="Hyperlink"/>
                <w:rFonts w:ascii="Amazon Ember" w:eastAsia="Amazon Ember" w:hAnsi="Amazon Ember" w:cs="Amazon Ember"/>
                <w:noProof/>
              </w:rPr>
              <w:t>TEIL KANADA — Nahe dran, trotzdem anders</w:t>
            </w:r>
            <w:r>
              <w:rPr>
                <w:noProof/>
              </w:rPr>
              <w:tab/>
            </w:r>
            <w:r>
              <w:rPr>
                <w:noProof/>
              </w:rPr>
              <w:fldChar w:fldCharType="begin"/>
            </w:r>
            <w:r>
              <w:rPr>
                <w:noProof/>
              </w:rPr>
              <w:instrText xml:space="preserve"> PAGEREF _Toc241352518 \h </w:instrText>
            </w:r>
            <w:r>
              <w:rPr>
                <w:noProof/>
              </w:rPr>
            </w:r>
            <w:r>
              <w:rPr>
                <w:noProof/>
              </w:rPr>
              <w:fldChar w:fldCharType="separate"/>
            </w:r>
            <w:r>
              <w:rPr>
                <w:noProof/>
              </w:rPr>
              <w:t>944</w:t>
            </w:r>
            <w:r>
              <w:rPr>
                <w:noProof/>
              </w:rPr>
              <w:fldChar w:fldCharType="end"/>
            </w:r>
          </w:hyperlink>
        </w:p>
        <w:p w14:paraId="5F21162B" w14:textId="22BA2188"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19" w:history="1">
            <w:r w:rsidRPr="00827DC2">
              <w:rPr>
                <w:rStyle w:val="Hyperlink"/>
                <w:rFonts w:ascii="Amazon Ember" w:eastAsia="Amazon Ember" w:hAnsi="Amazon Ember" w:cs="Amazon Ember"/>
                <w:noProof/>
              </w:rPr>
              <w:t>Kanada: Die ehrliche Bilanz</w:t>
            </w:r>
            <w:r>
              <w:rPr>
                <w:noProof/>
              </w:rPr>
              <w:tab/>
            </w:r>
            <w:r>
              <w:rPr>
                <w:noProof/>
              </w:rPr>
              <w:fldChar w:fldCharType="begin"/>
            </w:r>
            <w:r>
              <w:rPr>
                <w:noProof/>
              </w:rPr>
              <w:instrText xml:space="preserve"> PAGEREF _Toc241352519 \h </w:instrText>
            </w:r>
            <w:r>
              <w:rPr>
                <w:noProof/>
              </w:rPr>
            </w:r>
            <w:r>
              <w:rPr>
                <w:noProof/>
              </w:rPr>
              <w:fldChar w:fldCharType="separate"/>
            </w:r>
            <w:r>
              <w:rPr>
                <w:noProof/>
              </w:rPr>
              <w:t>945</w:t>
            </w:r>
            <w:r>
              <w:rPr>
                <w:noProof/>
              </w:rPr>
              <w:fldChar w:fldCharType="end"/>
            </w:r>
          </w:hyperlink>
        </w:p>
        <w:p w14:paraId="135C5B25" w14:textId="2F5ADDDE"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20" w:history="1">
            <w:r w:rsidRPr="00827DC2">
              <w:rPr>
                <w:rStyle w:val="Hyperlink"/>
                <w:rFonts w:ascii="Amazon Ember" w:eastAsia="Amazon Ember" w:hAnsi="Amazon Ember" w:cs="Amazon Ember"/>
                <w:noProof/>
              </w:rPr>
              <w:t>Kanada: Wege der Einwanderung</w:t>
            </w:r>
            <w:r>
              <w:rPr>
                <w:noProof/>
              </w:rPr>
              <w:tab/>
            </w:r>
            <w:r>
              <w:rPr>
                <w:noProof/>
              </w:rPr>
              <w:fldChar w:fldCharType="begin"/>
            </w:r>
            <w:r>
              <w:rPr>
                <w:noProof/>
              </w:rPr>
              <w:instrText xml:space="preserve"> PAGEREF _Toc241352520 \h </w:instrText>
            </w:r>
            <w:r>
              <w:rPr>
                <w:noProof/>
              </w:rPr>
            </w:r>
            <w:r>
              <w:rPr>
                <w:noProof/>
              </w:rPr>
              <w:fldChar w:fldCharType="separate"/>
            </w:r>
            <w:r>
              <w:rPr>
                <w:noProof/>
              </w:rPr>
              <w:t>958</w:t>
            </w:r>
            <w:r>
              <w:rPr>
                <w:noProof/>
              </w:rPr>
              <w:fldChar w:fldCharType="end"/>
            </w:r>
          </w:hyperlink>
        </w:p>
        <w:p w14:paraId="59216704" w14:textId="75E40579"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21" w:history="1">
            <w:r w:rsidRPr="00827DC2">
              <w:rPr>
                <w:rStyle w:val="Hyperlink"/>
                <w:rFonts w:ascii="Amazon Ember" w:eastAsia="Amazon Ember" w:hAnsi="Amazon Ember" w:cs="Amazon Ember"/>
                <w:noProof/>
              </w:rPr>
              <w:t>Kanada: Der Arbeitsweg im Detail</w:t>
            </w:r>
            <w:r>
              <w:rPr>
                <w:noProof/>
              </w:rPr>
              <w:tab/>
            </w:r>
            <w:r>
              <w:rPr>
                <w:noProof/>
              </w:rPr>
              <w:fldChar w:fldCharType="begin"/>
            </w:r>
            <w:r>
              <w:rPr>
                <w:noProof/>
              </w:rPr>
              <w:instrText xml:space="preserve"> PAGEREF _Toc241352521 \h </w:instrText>
            </w:r>
            <w:r>
              <w:rPr>
                <w:noProof/>
              </w:rPr>
            </w:r>
            <w:r>
              <w:rPr>
                <w:noProof/>
              </w:rPr>
              <w:fldChar w:fldCharType="separate"/>
            </w:r>
            <w:r>
              <w:rPr>
                <w:noProof/>
              </w:rPr>
              <w:t>971</w:t>
            </w:r>
            <w:r>
              <w:rPr>
                <w:noProof/>
              </w:rPr>
              <w:fldChar w:fldCharType="end"/>
            </w:r>
          </w:hyperlink>
        </w:p>
        <w:p w14:paraId="7179F6B7" w14:textId="3563F205"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22" w:history="1">
            <w:r w:rsidRPr="00827DC2">
              <w:rPr>
                <w:rStyle w:val="Hyperlink"/>
                <w:rFonts w:ascii="Amazon Ember" w:eastAsia="Amazon Ember" w:hAnsi="Amazon Ember" w:cs="Amazon Ember"/>
                <w:noProof/>
              </w:rPr>
              <w:t>Kanada: Familie, Investoren und der Ruhestand</w:t>
            </w:r>
            <w:r>
              <w:rPr>
                <w:noProof/>
              </w:rPr>
              <w:tab/>
            </w:r>
            <w:r>
              <w:rPr>
                <w:noProof/>
              </w:rPr>
              <w:fldChar w:fldCharType="begin"/>
            </w:r>
            <w:r>
              <w:rPr>
                <w:noProof/>
              </w:rPr>
              <w:instrText xml:space="preserve"> PAGEREF _Toc241352522 \h </w:instrText>
            </w:r>
            <w:r>
              <w:rPr>
                <w:noProof/>
              </w:rPr>
            </w:r>
            <w:r>
              <w:rPr>
                <w:noProof/>
              </w:rPr>
              <w:fldChar w:fldCharType="separate"/>
            </w:r>
            <w:r>
              <w:rPr>
                <w:noProof/>
              </w:rPr>
              <w:t>985</w:t>
            </w:r>
            <w:r>
              <w:rPr>
                <w:noProof/>
              </w:rPr>
              <w:fldChar w:fldCharType="end"/>
            </w:r>
          </w:hyperlink>
        </w:p>
        <w:p w14:paraId="6EFACAC1" w14:textId="382EA759"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23" w:history="1">
            <w:r w:rsidRPr="00827DC2">
              <w:rPr>
                <w:rStyle w:val="Hyperlink"/>
                <w:rFonts w:ascii="Amazon Ember" w:eastAsia="Amazon Ember" w:hAnsi="Amazon Ember" w:cs="Amazon Ember"/>
                <w:noProof/>
              </w:rPr>
              <w:t>Kanada: Antrag, Konsulat und Kosten</w:t>
            </w:r>
            <w:r>
              <w:rPr>
                <w:noProof/>
              </w:rPr>
              <w:tab/>
            </w:r>
            <w:r>
              <w:rPr>
                <w:noProof/>
              </w:rPr>
              <w:fldChar w:fldCharType="begin"/>
            </w:r>
            <w:r>
              <w:rPr>
                <w:noProof/>
              </w:rPr>
              <w:instrText xml:space="preserve"> PAGEREF _Toc241352523 \h </w:instrText>
            </w:r>
            <w:r>
              <w:rPr>
                <w:noProof/>
              </w:rPr>
            </w:r>
            <w:r>
              <w:rPr>
                <w:noProof/>
              </w:rPr>
              <w:fldChar w:fldCharType="separate"/>
            </w:r>
            <w:r>
              <w:rPr>
                <w:noProof/>
              </w:rPr>
              <w:t>999</w:t>
            </w:r>
            <w:r>
              <w:rPr>
                <w:noProof/>
              </w:rPr>
              <w:fldChar w:fldCharType="end"/>
            </w:r>
          </w:hyperlink>
        </w:p>
        <w:p w14:paraId="26414D1E" w14:textId="7E01D463"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24" w:history="1">
            <w:r w:rsidRPr="00827DC2">
              <w:rPr>
                <w:rStyle w:val="Hyperlink"/>
                <w:rFonts w:ascii="Amazon Ember" w:eastAsia="Amazon Ember" w:hAnsi="Amazon Ember" w:cs="Amazon Ember"/>
                <w:noProof/>
              </w:rPr>
              <w:t>Kanada: Ankunft, erste Tage und Wochen</w:t>
            </w:r>
            <w:r>
              <w:rPr>
                <w:noProof/>
              </w:rPr>
              <w:tab/>
            </w:r>
            <w:r>
              <w:rPr>
                <w:noProof/>
              </w:rPr>
              <w:fldChar w:fldCharType="begin"/>
            </w:r>
            <w:r>
              <w:rPr>
                <w:noProof/>
              </w:rPr>
              <w:instrText xml:space="preserve"> PAGEREF _Toc241352524 \h </w:instrText>
            </w:r>
            <w:r>
              <w:rPr>
                <w:noProof/>
              </w:rPr>
            </w:r>
            <w:r>
              <w:rPr>
                <w:noProof/>
              </w:rPr>
              <w:fldChar w:fldCharType="separate"/>
            </w:r>
            <w:r>
              <w:rPr>
                <w:noProof/>
              </w:rPr>
              <w:t>1012</w:t>
            </w:r>
            <w:r>
              <w:rPr>
                <w:noProof/>
              </w:rPr>
              <w:fldChar w:fldCharType="end"/>
            </w:r>
          </w:hyperlink>
        </w:p>
        <w:p w14:paraId="32384D3E" w14:textId="07B71A1A"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25" w:history="1">
            <w:r w:rsidRPr="00827DC2">
              <w:rPr>
                <w:rStyle w:val="Hyperlink"/>
                <w:rFonts w:ascii="Amazon Ember" w:eastAsia="Amazon Ember" w:hAnsi="Amazon Ember" w:cs="Amazon Ember"/>
                <w:noProof/>
              </w:rPr>
              <w:t>Kanada: SIN, Steuern, Bank und Kredit aufbauen</w:t>
            </w:r>
            <w:r>
              <w:rPr>
                <w:noProof/>
              </w:rPr>
              <w:tab/>
            </w:r>
            <w:r>
              <w:rPr>
                <w:noProof/>
              </w:rPr>
              <w:fldChar w:fldCharType="begin"/>
            </w:r>
            <w:r>
              <w:rPr>
                <w:noProof/>
              </w:rPr>
              <w:instrText xml:space="preserve"> PAGEREF _Toc241352525 \h </w:instrText>
            </w:r>
            <w:r>
              <w:rPr>
                <w:noProof/>
              </w:rPr>
            </w:r>
            <w:r>
              <w:rPr>
                <w:noProof/>
              </w:rPr>
              <w:fldChar w:fldCharType="separate"/>
            </w:r>
            <w:r>
              <w:rPr>
                <w:noProof/>
              </w:rPr>
              <w:t>1024</w:t>
            </w:r>
            <w:r>
              <w:rPr>
                <w:noProof/>
              </w:rPr>
              <w:fldChar w:fldCharType="end"/>
            </w:r>
          </w:hyperlink>
        </w:p>
        <w:p w14:paraId="34F81918" w14:textId="07E286C0"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26" w:history="1">
            <w:r w:rsidRPr="00827DC2">
              <w:rPr>
                <w:rStyle w:val="Hyperlink"/>
                <w:rFonts w:ascii="Amazon Ember" w:eastAsia="Amazon Ember" w:hAnsi="Amazon Ember" w:cs="Amazon Ember"/>
                <w:noProof/>
              </w:rPr>
              <w:t>Kanada: Das Gesundheitssystem</w:t>
            </w:r>
            <w:r>
              <w:rPr>
                <w:noProof/>
              </w:rPr>
              <w:tab/>
            </w:r>
            <w:r>
              <w:rPr>
                <w:noProof/>
              </w:rPr>
              <w:fldChar w:fldCharType="begin"/>
            </w:r>
            <w:r>
              <w:rPr>
                <w:noProof/>
              </w:rPr>
              <w:instrText xml:space="preserve"> PAGEREF _Toc241352526 \h </w:instrText>
            </w:r>
            <w:r>
              <w:rPr>
                <w:noProof/>
              </w:rPr>
            </w:r>
            <w:r>
              <w:rPr>
                <w:noProof/>
              </w:rPr>
              <w:fldChar w:fldCharType="separate"/>
            </w:r>
            <w:r>
              <w:rPr>
                <w:noProof/>
              </w:rPr>
              <w:t>1038</w:t>
            </w:r>
            <w:r>
              <w:rPr>
                <w:noProof/>
              </w:rPr>
              <w:fldChar w:fldCharType="end"/>
            </w:r>
          </w:hyperlink>
        </w:p>
        <w:p w14:paraId="2CE771D4" w14:textId="073F20C2"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27" w:history="1">
            <w:r w:rsidRPr="00827DC2">
              <w:rPr>
                <w:rStyle w:val="Hyperlink"/>
                <w:rFonts w:ascii="Amazon Ember" w:eastAsia="Amazon Ember" w:hAnsi="Amazon Ember" w:cs="Amazon Ember"/>
                <w:noProof/>
              </w:rPr>
              <w:t>Kanada: Wohnen und die besten Orte zum Leben</w:t>
            </w:r>
            <w:r>
              <w:rPr>
                <w:noProof/>
              </w:rPr>
              <w:tab/>
            </w:r>
            <w:r>
              <w:rPr>
                <w:noProof/>
              </w:rPr>
              <w:fldChar w:fldCharType="begin"/>
            </w:r>
            <w:r>
              <w:rPr>
                <w:noProof/>
              </w:rPr>
              <w:instrText xml:space="preserve"> PAGEREF _Toc241352527 \h </w:instrText>
            </w:r>
            <w:r>
              <w:rPr>
                <w:noProof/>
              </w:rPr>
            </w:r>
            <w:r>
              <w:rPr>
                <w:noProof/>
              </w:rPr>
              <w:fldChar w:fldCharType="separate"/>
            </w:r>
            <w:r>
              <w:rPr>
                <w:noProof/>
              </w:rPr>
              <w:t>1050</w:t>
            </w:r>
            <w:r>
              <w:rPr>
                <w:noProof/>
              </w:rPr>
              <w:fldChar w:fldCharType="end"/>
            </w:r>
          </w:hyperlink>
        </w:p>
        <w:p w14:paraId="4606B020" w14:textId="568741ED"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28" w:history="1">
            <w:r w:rsidRPr="00827DC2">
              <w:rPr>
                <w:rStyle w:val="Hyperlink"/>
                <w:rFonts w:ascii="Amazon Ember" w:eastAsia="Amazon Ember" w:hAnsi="Amazon Ember" w:cs="Amazon Ember"/>
                <w:noProof/>
              </w:rPr>
              <w:t>Kanada: Führerschein, Auto und Verkehrsregeln</w:t>
            </w:r>
            <w:r>
              <w:rPr>
                <w:noProof/>
              </w:rPr>
              <w:tab/>
            </w:r>
            <w:r>
              <w:rPr>
                <w:noProof/>
              </w:rPr>
              <w:fldChar w:fldCharType="begin"/>
            </w:r>
            <w:r>
              <w:rPr>
                <w:noProof/>
              </w:rPr>
              <w:instrText xml:space="preserve"> PAGEREF _Toc241352528 \h </w:instrText>
            </w:r>
            <w:r>
              <w:rPr>
                <w:noProof/>
              </w:rPr>
            </w:r>
            <w:r>
              <w:rPr>
                <w:noProof/>
              </w:rPr>
              <w:fldChar w:fldCharType="separate"/>
            </w:r>
            <w:r>
              <w:rPr>
                <w:noProof/>
              </w:rPr>
              <w:t>1065</w:t>
            </w:r>
            <w:r>
              <w:rPr>
                <w:noProof/>
              </w:rPr>
              <w:fldChar w:fldCharType="end"/>
            </w:r>
          </w:hyperlink>
        </w:p>
        <w:p w14:paraId="099F9ADD" w14:textId="747A7273"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29" w:history="1">
            <w:r w:rsidRPr="00827DC2">
              <w:rPr>
                <w:rStyle w:val="Hyperlink"/>
                <w:rFonts w:ascii="Amazon Ember" w:eastAsia="Amazon Ember" w:hAnsi="Amazon Ember" w:cs="Amazon Ember"/>
                <w:noProof/>
              </w:rPr>
              <w:t>Kanada: Alltagskultur und Umgangsformen</w:t>
            </w:r>
            <w:r>
              <w:rPr>
                <w:noProof/>
              </w:rPr>
              <w:tab/>
            </w:r>
            <w:r>
              <w:rPr>
                <w:noProof/>
              </w:rPr>
              <w:fldChar w:fldCharType="begin"/>
            </w:r>
            <w:r>
              <w:rPr>
                <w:noProof/>
              </w:rPr>
              <w:instrText xml:space="preserve"> PAGEREF _Toc241352529 \h </w:instrText>
            </w:r>
            <w:r>
              <w:rPr>
                <w:noProof/>
              </w:rPr>
            </w:r>
            <w:r>
              <w:rPr>
                <w:noProof/>
              </w:rPr>
              <w:fldChar w:fldCharType="separate"/>
            </w:r>
            <w:r>
              <w:rPr>
                <w:noProof/>
              </w:rPr>
              <w:t>1079</w:t>
            </w:r>
            <w:r>
              <w:rPr>
                <w:noProof/>
              </w:rPr>
              <w:fldChar w:fldCharType="end"/>
            </w:r>
          </w:hyperlink>
        </w:p>
        <w:p w14:paraId="4B04BE97" w14:textId="5A45FF9E"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30" w:history="1">
            <w:r w:rsidRPr="00827DC2">
              <w:rPr>
                <w:rStyle w:val="Hyperlink"/>
                <w:rFonts w:ascii="Amazon Ember" w:eastAsia="Amazon Ember" w:hAnsi="Amazon Ember" w:cs="Amazon Ember"/>
                <w:noProof/>
              </w:rPr>
              <w:t>Kanada: Freunde finden und der Kulturschock des ersten Winters</w:t>
            </w:r>
            <w:r>
              <w:rPr>
                <w:noProof/>
              </w:rPr>
              <w:tab/>
            </w:r>
            <w:r>
              <w:rPr>
                <w:noProof/>
              </w:rPr>
              <w:fldChar w:fldCharType="begin"/>
            </w:r>
            <w:r>
              <w:rPr>
                <w:noProof/>
              </w:rPr>
              <w:instrText xml:space="preserve"> PAGEREF _Toc241352530 \h </w:instrText>
            </w:r>
            <w:r>
              <w:rPr>
                <w:noProof/>
              </w:rPr>
            </w:r>
            <w:r>
              <w:rPr>
                <w:noProof/>
              </w:rPr>
              <w:fldChar w:fldCharType="separate"/>
            </w:r>
            <w:r>
              <w:rPr>
                <w:noProof/>
              </w:rPr>
              <w:t>1093</w:t>
            </w:r>
            <w:r>
              <w:rPr>
                <w:noProof/>
              </w:rPr>
              <w:fldChar w:fldCharType="end"/>
            </w:r>
          </w:hyperlink>
        </w:p>
        <w:p w14:paraId="10108A70" w14:textId="32C855E5"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31" w:history="1">
            <w:r w:rsidRPr="00827DC2">
              <w:rPr>
                <w:rStyle w:val="Hyperlink"/>
                <w:rFonts w:ascii="Amazon Ember" w:eastAsia="Amazon Ember" w:hAnsi="Amazon Ember" w:cs="Amazon Ember"/>
                <w:noProof/>
              </w:rPr>
              <w:t>Kanada: Kinder, Schule und Spracheingewöhnung</w:t>
            </w:r>
            <w:r>
              <w:rPr>
                <w:noProof/>
              </w:rPr>
              <w:tab/>
            </w:r>
            <w:r>
              <w:rPr>
                <w:noProof/>
              </w:rPr>
              <w:fldChar w:fldCharType="begin"/>
            </w:r>
            <w:r>
              <w:rPr>
                <w:noProof/>
              </w:rPr>
              <w:instrText xml:space="preserve"> PAGEREF _Toc241352531 \h </w:instrText>
            </w:r>
            <w:r>
              <w:rPr>
                <w:noProof/>
              </w:rPr>
            </w:r>
            <w:r>
              <w:rPr>
                <w:noProof/>
              </w:rPr>
              <w:fldChar w:fldCharType="separate"/>
            </w:r>
            <w:r>
              <w:rPr>
                <w:noProof/>
              </w:rPr>
              <w:t>1106</w:t>
            </w:r>
            <w:r>
              <w:rPr>
                <w:noProof/>
              </w:rPr>
              <w:fldChar w:fldCharType="end"/>
            </w:r>
          </w:hyperlink>
        </w:p>
        <w:p w14:paraId="659BAD86" w14:textId="290969D6"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32" w:history="1">
            <w:r w:rsidRPr="00827DC2">
              <w:rPr>
                <w:rStyle w:val="Hyperlink"/>
                <w:rFonts w:ascii="Amazon Ember" w:eastAsia="Amazon Ember" w:hAnsi="Amazon Ember" w:cs="Amazon Ember"/>
                <w:noProof/>
              </w:rPr>
              <w:t>Kanada: Arbeitswelt und Jobwechsel</w:t>
            </w:r>
            <w:r>
              <w:rPr>
                <w:noProof/>
              </w:rPr>
              <w:tab/>
            </w:r>
            <w:r>
              <w:rPr>
                <w:noProof/>
              </w:rPr>
              <w:fldChar w:fldCharType="begin"/>
            </w:r>
            <w:r>
              <w:rPr>
                <w:noProof/>
              </w:rPr>
              <w:instrText xml:space="preserve"> PAGEREF _Toc241352532 \h </w:instrText>
            </w:r>
            <w:r>
              <w:rPr>
                <w:noProof/>
              </w:rPr>
            </w:r>
            <w:r>
              <w:rPr>
                <w:noProof/>
              </w:rPr>
              <w:fldChar w:fldCharType="separate"/>
            </w:r>
            <w:r>
              <w:rPr>
                <w:noProof/>
              </w:rPr>
              <w:t>1120</w:t>
            </w:r>
            <w:r>
              <w:rPr>
                <w:noProof/>
              </w:rPr>
              <w:fldChar w:fldCharType="end"/>
            </w:r>
          </w:hyperlink>
        </w:p>
        <w:p w14:paraId="205CC86C" w14:textId="22F7C713"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33" w:history="1">
            <w:r w:rsidRPr="00827DC2">
              <w:rPr>
                <w:rStyle w:val="Hyperlink"/>
                <w:rFonts w:ascii="Amazon Ember" w:eastAsia="Amazon Ember" w:hAnsi="Amazon Ember" w:cs="Amazon Ember"/>
                <w:noProof/>
              </w:rPr>
              <w:t>Kanada: Recht, Sicherheit und Polizeikontakt</w:t>
            </w:r>
            <w:r>
              <w:rPr>
                <w:noProof/>
              </w:rPr>
              <w:tab/>
            </w:r>
            <w:r>
              <w:rPr>
                <w:noProof/>
              </w:rPr>
              <w:fldChar w:fldCharType="begin"/>
            </w:r>
            <w:r>
              <w:rPr>
                <w:noProof/>
              </w:rPr>
              <w:instrText xml:space="preserve"> PAGEREF _Toc241352533 \h </w:instrText>
            </w:r>
            <w:r>
              <w:rPr>
                <w:noProof/>
              </w:rPr>
            </w:r>
            <w:r>
              <w:rPr>
                <w:noProof/>
              </w:rPr>
              <w:fldChar w:fldCharType="separate"/>
            </w:r>
            <w:r>
              <w:rPr>
                <w:noProof/>
              </w:rPr>
              <w:t>1132</w:t>
            </w:r>
            <w:r>
              <w:rPr>
                <w:noProof/>
              </w:rPr>
              <w:fldChar w:fldCharType="end"/>
            </w:r>
          </w:hyperlink>
        </w:p>
        <w:p w14:paraId="22818970" w14:textId="1F439942"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34" w:history="1">
            <w:r w:rsidRPr="00827DC2">
              <w:rPr>
                <w:rStyle w:val="Hyperlink"/>
                <w:rFonts w:ascii="Amazon Ember" w:eastAsia="Amazon Ember" w:hAnsi="Amazon Ember" w:cs="Amazon Ember"/>
                <w:noProof/>
              </w:rPr>
              <w:t>Kanada: Staatsbürgerschaft und Steuerresidenz</w:t>
            </w:r>
            <w:r>
              <w:rPr>
                <w:noProof/>
              </w:rPr>
              <w:tab/>
            </w:r>
            <w:r>
              <w:rPr>
                <w:noProof/>
              </w:rPr>
              <w:fldChar w:fldCharType="begin"/>
            </w:r>
            <w:r>
              <w:rPr>
                <w:noProof/>
              </w:rPr>
              <w:instrText xml:space="preserve"> PAGEREF _Toc241352534 \h </w:instrText>
            </w:r>
            <w:r>
              <w:rPr>
                <w:noProof/>
              </w:rPr>
            </w:r>
            <w:r>
              <w:rPr>
                <w:noProof/>
              </w:rPr>
              <w:fldChar w:fldCharType="separate"/>
            </w:r>
            <w:r>
              <w:rPr>
                <w:noProof/>
              </w:rPr>
              <w:t>1145</w:t>
            </w:r>
            <w:r>
              <w:rPr>
                <w:noProof/>
              </w:rPr>
              <w:fldChar w:fldCharType="end"/>
            </w:r>
          </w:hyperlink>
        </w:p>
        <w:p w14:paraId="5E825BFC" w14:textId="6B432797" w:rsidR="000A527C" w:rsidRDefault="000A527C">
          <w:pPr>
            <w:pStyle w:val="TOC1"/>
            <w:tabs>
              <w:tab w:val="right" w:leader="dot" w:pos="6470"/>
            </w:tabs>
            <w:rPr>
              <w:rFonts w:asciiTheme="minorHAnsi" w:eastAsiaTheme="minorEastAsia" w:hAnsiTheme="minorHAnsi" w:cstheme="minorBidi"/>
              <w:b w:val="0"/>
              <w:bCs w:val="0"/>
              <w:noProof/>
              <w:kern w:val="2"/>
              <w:sz w:val="24"/>
              <w:szCs w:val="24"/>
              <w:lang w:val="en-US"/>
              <w14:ligatures w14:val="standardContextual"/>
            </w:rPr>
          </w:pPr>
          <w:hyperlink w:anchor="_Toc241352535" w:history="1">
            <w:r w:rsidRPr="00827DC2">
              <w:rPr>
                <w:rStyle w:val="Hyperlink"/>
                <w:rFonts w:ascii="Amazon Ember" w:eastAsia="Amazon Ember" w:hAnsi="Amazon Ember" w:cs="Amazon Ember"/>
                <w:noProof/>
              </w:rPr>
              <w:t>TEIL NEUSEELAND — Am Ende der Welt neu anfangen</w:t>
            </w:r>
            <w:r>
              <w:rPr>
                <w:noProof/>
              </w:rPr>
              <w:tab/>
            </w:r>
            <w:r>
              <w:rPr>
                <w:noProof/>
              </w:rPr>
              <w:fldChar w:fldCharType="begin"/>
            </w:r>
            <w:r>
              <w:rPr>
                <w:noProof/>
              </w:rPr>
              <w:instrText xml:space="preserve"> PAGEREF _Toc241352535 \h </w:instrText>
            </w:r>
            <w:r>
              <w:rPr>
                <w:noProof/>
              </w:rPr>
            </w:r>
            <w:r>
              <w:rPr>
                <w:noProof/>
              </w:rPr>
              <w:fldChar w:fldCharType="separate"/>
            </w:r>
            <w:r>
              <w:rPr>
                <w:noProof/>
              </w:rPr>
              <w:t>1157</w:t>
            </w:r>
            <w:r>
              <w:rPr>
                <w:noProof/>
              </w:rPr>
              <w:fldChar w:fldCharType="end"/>
            </w:r>
          </w:hyperlink>
        </w:p>
        <w:p w14:paraId="4A0FCBA1" w14:textId="230408E0"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36" w:history="1">
            <w:r w:rsidRPr="00827DC2">
              <w:rPr>
                <w:rStyle w:val="Hyperlink"/>
                <w:rFonts w:ascii="Amazon Ember" w:eastAsia="Amazon Ember" w:hAnsi="Amazon Ember" w:cs="Amazon Ember"/>
                <w:noProof/>
              </w:rPr>
              <w:t>Neuseeland: Die ehrliche Bilanz</w:t>
            </w:r>
            <w:r>
              <w:rPr>
                <w:noProof/>
              </w:rPr>
              <w:tab/>
            </w:r>
            <w:r>
              <w:rPr>
                <w:noProof/>
              </w:rPr>
              <w:fldChar w:fldCharType="begin"/>
            </w:r>
            <w:r>
              <w:rPr>
                <w:noProof/>
              </w:rPr>
              <w:instrText xml:space="preserve"> PAGEREF _Toc241352536 \h </w:instrText>
            </w:r>
            <w:r>
              <w:rPr>
                <w:noProof/>
              </w:rPr>
            </w:r>
            <w:r>
              <w:rPr>
                <w:noProof/>
              </w:rPr>
              <w:fldChar w:fldCharType="separate"/>
            </w:r>
            <w:r>
              <w:rPr>
                <w:noProof/>
              </w:rPr>
              <w:t>1158</w:t>
            </w:r>
            <w:r>
              <w:rPr>
                <w:noProof/>
              </w:rPr>
              <w:fldChar w:fldCharType="end"/>
            </w:r>
          </w:hyperlink>
        </w:p>
        <w:p w14:paraId="5B03CDB5" w14:textId="4A0F4E64"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37" w:history="1">
            <w:r w:rsidRPr="00827DC2">
              <w:rPr>
                <w:rStyle w:val="Hyperlink"/>
                <w:rFonts w:ascii="Amazon Ember" w:eastAsia="Amazon Ember" w:hAnsi="Amazon Ember" w:cs="Amazon Ember"/>
                <w:noProof/>
              </w:rPr>
              <w:t>Neuseeland: Wege der Einwanderung</w:t>
            </w:r>
            <w:r>
              <w:rPr>
                <w:noProof/>
              </w:rPr>
              <w:tab/>
            </w:r>
            <w:r>
              <w:rPr>
                <w:noProof/>
              </w:rPr>
              <w:fldChar w:fldCharType="begin"/>
            </w:r>
            <w:r>
              <w:rPr>
                <w:noProof/>
              </w:rPr>
              <w:instrText xml:space="preserve"> PAGEREF _Toc241352537 \h </w:instrText>
            </w:r>
            <w:r>
              <w:rPr>
                <w:noProof/>
              </w:rPr>
            </w:r>
            <w:r>
              <w:rPr>
                <w:noProof/>
              </w:rPr>
              <w:fldChar w:fldCharType="separate"/>
            </w:r>
            <w:r>
              <w:rPr>
                <w:noProof/>
              </w:rPr>
              <w:t>1172</w:t>
            </w:r>
            <w:r>
              <w:rPr>
                <w:noProof/>
              </w:rPr>
              <w:fldChar w:fldCharType="end"/>
            </w:r>
          </w:hyperlink>
        </w:p>
        <w:p w14:paraId="3BF77A03" w14:textId="3C37AC27"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38" w:history="1">
            <w:r w:rsidRPr="00827DC2">
              <w:rPr>
                <w:rStyle w:val="Hyperlink"/>
                <w:rFonts w:ascii="Amazon Ember" w:eastAsia="Amazon Ember" w:hAnsi="Amazon Ember" w:cs="Amazon Ember"/>
                <w:noProof/>
              </w:rPr>
              <w:t>Neuseeland: Der Arbeitsweg im Detail</w:t>
            </w:r>
            <w:r>
              <w:rPr>
                <w:noProof/>
              </w:rPr>
              <w:tab/>
            </w:r>
            <w:r>
              <w:rPr>
                <w:noProof/>
              </w:rPr>
              <w:fldChar w:fldCharType="begin"/>
            </w:r>
            <w:r>
              <w:rPr>
                <w:noProof/>
              </w:rPr>
              <w:instrText xml:space="preserve"> PAGEREF _Toc241352538 \h </w:instrText>
            </w:r>
            <w:r>
              <w:rPr>
                <w:noProof/>
              </w:rPr>
            </w:r>
            <w:r>
              <w:rPr>
                <w:noProof/>
              </w:rPr>
              <w:fldChar w:fldCharType="separate"/>
            </w:r>
            <w:r>
              <w:rPr>
                <w:noProof/>
              </w:rPr>
              <w:t>1186</w:t>
            </w:r>
            <w:r>
              <w:rPr>
                <w:noProof/>
              </w:rPr>
              <w:fldChar w:fldCharType="end"/>
            </w:r>
          </w:hyperlink>
        </w:p>
        <w:p w14:paraId="20109617" w14:textId="6D7A0E72"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39" w:history="1">
            <w:r w:rsidRPr="00827DC2">
              <w:rPr>
                <w:rStyle w:val="Hyperlink"/>
                <w:rFonts w:ascii="Amazon Ember" w:eastAsia="Amazon Ember" w:hAnsi="Amazon Ember" w:cs="Amazon Ember"/>
                <w:noProof/>
              </w:rPr>
              <w:t>Neuseeland: Familie, Investoren und der Ruhestand</w:t>
            </w:r>
            <w:r>
              <w:rPr>
                <w:noProof/>
              </w:rPr>
              <w:tab/>
            </w:r>
            <w:r>
              <w:rPr>
                <w:noProof/>
              </w:rPr>
              <w:fldChar w:fldCharType="begin"/>
            </w:r>
            <w:r>
              <w:rPr>
                <w:noProof/>
              </w:rPr>
              <w:instrText xml:space="preserve"> PAGEREF _Toc241352539 \h </w:instrText>
            </w:r>
            <w:r>
              <w:rPr>
                <w:noProof/>
              </w:rPr>
            </w:r>
            <w:r>
              <w:rPr>
                <w:noProof/>
              </w:rPr>
              <w:fldChar w:fldCharType="separate"/>
            </w:r>
            <w:r>
              <w:rPr>
                <w:noProof/>
              </w:rPr>
              <w:t>1200</w:t>
            </w:r>
            <w:r>
              <w:rPr>
                <w:noProof/>
              </w:rPr>
              <w:fldChar w:fldCharType="end"/>
            </w:r>
          </w:hyperlink>
        </w:p>
        <w:p w14:paraId="375AB165" w14:textId="6FA01B0A"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40" w:history="1">
            <w:r w:rsidRPr="00827DC2">
              <w:rPr>
                <w:rStyle w:val="Hyperlink"/>
                <w:rFonts w:ascii="Amazon Ember" w:eastAsia="Amazon Ember" w:hAnsi="Amazon Ember" w:cs="Amazon Ember"/>
                <w:noProof/>
              </w:rPr>
              <w:t>Neuseeland: Antrag, Konsulat und Kosten</w:t>
            </w:r>
            <w:r>
              <w:rPr>
                <w:noProof/>
              </w:rPr>
              <w:tab/>
            </w:r>
            <w:r>
              <w:rPr>
                <w:noProof/>
              </w:rPr>
              <w:fldChar w:fldCharType="begin"/>
            </w:r>
            <w:r>
              <w:rPr>
                <w:noProof/>
              </w:rPr>
              <w:instrText xml:space="preserve"> PAGEREF _Toc241352540 \h </w:instrText>
            </w:r>
            <w:r>
              <w:rPr>
                <w:noProof/>
              </w:rPr>
            </w:r>
            <w:r>
              <w:rPr>
                <w:noProof/>
              </w:rPr>
              <w:fldChar w:fldCharType="separate"/>
            </w:r>
            <w:r>
              <w:rPr>
                <w:noProof/>
              </w:rPr>
              <w:t>1214</w:t>
            </w:r>
            <w:r>
              <w:rPr>
                <w:noProof/>
              </w:rPr>
              <w:fldChar w:fldCharType="end"/>
            </w:r>
          </w:hyperlink>
        </w:p>
        <w:p w14:paraId="2D543CA5" w14:textId="11995464"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41" w:history="1">
            <w:r w:rsidRPr="00827DC2">
              <w:rPr>
                <w:rStyle w:val="Hyperlink"/>
                <w:rFonts w:ascii="Amazon Ember" w:eastAsia="Amazon Ember" w:hAnsi="Amazon Ember" w:cs="Amazon Ember"/>
                <w:noProof/>
              </w:rPr>
              <w:t>Neuseeland: Ankunft, erste Tage und Wochen</w:t>
            </w:r>
            <w:r>
              <w:rPr>
                <w:noProof/>
              </w:rPr>
              <w:tab/>
            </w:r>
            <w:r>
              <w:rPr>
                <w:noProof/>
              </w:rPr>
              <w:fldChar w:fldCharType="begin"/>
            </w:r>
            <w:r>
              <w:rPr>
                <w:noProof/>
              </w:rPr>
              <w:instrText xml:space="preserve"> PAGEREF _Toc241352541 \h </w:instrText>
            </w:r>
            <w:r>
              <w:rPr>
                <w:noProof/>
              </w:rPr>
            </w:r>
            <w:r>
              <w:rPr>
                <w:noProof/>
              </w:rPr>
              <w:fldChar w:fldCharType="separate"/>
            </w:r>
            <w:r>
              <w:rPr>
                <w:noProof/>
              </w:rPr>
              <w:t>1227</w:t>
            </w:r>
            <w:r>
              <w:rPr>
                <w:noProof/>
              </w:rPr>
              <w:fldChar w:fldCharType="end"/>
            </w:r>
          </w:hyperlink>
        </w:p>
        <w:p w14:paraId="13A74E53" w14:textId="4392155E"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42" w:history="1">
            <w:r w:rsidRPr="00827DC2">
              <w:rPr>
                <w:rStyle w:val="Hyperlink"/>
                <w:rFonts w:ascii="Amazon Ember" w:eastAsia="Amazon Ember" w:hAnsi="Amazon Ember" w:cs="Amazon Ember"/>
                <w:noProof/>
              </w:rPr>
              <w:t>Neuseeland: IRD-Nummer, Steuern, Bank und Kredit aufbauen</w:t>
            </w:r>
            <w:r>
              <w:rPr>
                <w:noProof/>
              </w:rPr>
              <w:tab/>
            </w:r>
            <w:r>
              <w:rPr>
                <w:noProof/>
              </w:rPr>
              <w:fldChar w:fldCharType="begin"/>
            </w:r>
            <w:r>
              <w:rPr>
                <w:noProof/>
              </w:rPr>
              <w:instrText xml:space="preserve"> PAGEREF _Toc241352542 \h </w:instrText>
            </w:r>
            <w:r>
              <w:rPr>
                <w:noProof/>
              </w:rPr>
            </w:r>
            <w:r>
              <w:rPr>
                <w:noProof/>
              </w:rPr>
              <w:fldChar w:fldCharType="separate"/>
            </w:r>
            <w:r>
              <w:rPr>
                <w:noProof/>
              </w:rPr>
              <w:t>1240</w:t>
            </w:r>
            <w:r>
              <w:rPr>
                <w:noProof/>
              </w:rPr>
              <w:fldChar w:fldCharType="end"/>
            </w:r>
          </w:hyperlink>
        </w:p>
        <w:p w14:paraId="14748B77" w14:textId="0386E428"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43" w:history="1">
            <w:r w:rsidRPr="00827DC2">
              <w:rPr>
                <w:rStyle w:val="Hyperlink"/>
                <w:rFonts w:ascii="Amazon Ember" w:eastAsia="Amazon Ember" w:hAnsi="Amazon Ember" w:cs="Amazon Ember"/>
                <w:noProof/>
              </w:rPr>
              <w:t>Neuseeland: Das Gesundheitssystem</w:t>
            </w:r>
            <w:r>
              <w:rPr>
                <w:noProof/>
              </w:rPr>
              <w:tab/>
            </w:r>
            <w:r>
              <w:rPr>
                <w:noProof/>
              </w:rPr>
              <w:fldChar w:fldCharType="begin"/>
            </w:r>
            <w:r>
              <w:rPr>
                <w:noProof/>
              </w:rPr>
              <w:instrText xml:space="preserve"> PAGEREF _Toc241352543 \h </w:instrText>
            </w:r>
            <w:r>
              <w:rPr>
                <w:noProof/>
              </w:rPr>
            </w:r>
            <w:r>
              <w:rPr>
                <w:noProof/>
              </w:rPr>
              <w:fldChar w:fldCharType="separate"/>
            </w:r>
            <w:r>
              <w:rPr>
                <w:noProof/>
              </w:rPr>
              <w:t>1254</w:t>
            </w:r>
            <w:r>
              <w:rPr>
                <w:noProof/>
              </w:rPr>
              <w:fldChar w:fldCharType="end"/>
            </w:r>
          </w:hyperlink>
        </w:p>
        <w:p w14:paraId="56170861" w14:textId="30CB3204"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44" w:history="1">
            <w:r w:rsidRPr="00827DC2">
              <w:rPr>
                <w:rStyle w:val="Hyperlink"/>
                <w:rFonts w:ascii="Amazon Ember" w:eastAsia="Amazon Ember" w:hAnsi="Amazon Ember" w:cs="Amazon Ember"/>
                <w:noProof/>
              </w:rPr>
              <w:t>Neuseeland: Wohnen und die besten Orte zum Leben</w:t>
            </w:r>
            <w:r>
              <w:rPr>
                <w:noProof/>
              </w:rPr>
              <w:tab/>
            </w:r>
            <w:r>
              <w:rPr>
                <w:noProof/>
              </w:rPr>
              <w:fldChar w:fldCharType="begin"/>
            </w:r>
            <w:r>
              <w:rPr>
                <w:noProof/>
              </w:rPr>
              <w:instrText xml:space="preserve"> PAGEREF _Toc241352544 \h </w:instrText>
            </w:r>
            <w:r>
              <w:rPr>
                <w:noProof/>
              </w:rPr>
            </w:r>
            <w:r>
              <w:rPr>
                <w:noProof/>
              </w:rPr>
              <w:fldChar w:fldCharType="separate"/>
            </w:r>
            <w:r>
              <w:rPr>
                <w:noProof/>
              </w:rPr>
              <w:t>1267</w:t>
            </w:r>
            <w:r>
              <w:rPr>
                <w:noProof/>
              </w:rPr>
              <w:fldChar w:fldCharType="end"/>
            </w:r>
          </w:hyperlink>
        </w:p>
        <w:p w14:paraId="4CA95B43" w14:textId="0FEE5302"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45" w:history="1">
            <w:r w:rsidRPr="00827DC2">
              <w:rPr>
                <w:rStyle w:val="Hyperlink"/>
                <w:rFonts w:ascii="Amazon Ember" w:eastAsia="Amazon Ember" w:hAnsi="Amazon Ember" w:cs="Amazon Ember"/>
                <w:noProof/>
              </w:rPr>
              <w:t>Neuseeland: Führerschein, Auto und Verkehrsregeln</w:t>
            </w:r>
            <w:r>
              <w:rPr>
                <w:noProof/>
              </w:rPr>
              <w:tab/>
            </w:r>
            <w:r>
              <w:rPr>
                <w:noProof/>
              </w:rPr>
              <w:fldChar w:fldCharType="begin"/>
            </w:r>
            <w:r>
              <w:rPr>
                <w:noProof/>
              </w:rPr>
              <w:instrText xml:space="preserve"> PAGEREF _Toc241352545 \h </w:instrText>
            </w:r>
            <w:r>
              <w:rPr>
                <w:noProof/>
              </w:rPr>
            </w:r>
            <w:r>
              <w:rPr>
                <w:noProof/>
              </w:rPr>
              <w:fldChar w:fldCharType="separate"/>
            </w:r>
            <w:r>
              <w:rPr>
                <w:noProof/>
              </w:rPr>
              <w:t>1281</w:t>
            </w:r>
            <w:r>
              <w:rPr>
                <w:noProof/>
              </w:rPr>
              <w:fldChar w:fldCharType="end"/>
            </w:r>
          </w:hyperlink>
        </w:p>
        <w:p w14:paraId="181EF401" w14:textId="3EA9CDC5"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46" w:history="1">
            <w:r w:rsidRPr="00827DC2">
              <w:rPr>
                <w:rStyle w:val="Hyperlink"/>
                <w:rFonts w:ascii="Amazon Ember" w:eastAsia="Amazon Ember" w:hAnsi="Amazon Ember" w:cs="Amazon Ember"/>
                <w:noProof/>
              </w:rPr>
              <w:t>Neuseeland: Alltagskultur und Umgangsformen</w:t>
            </w:r>
            <w:r>
              <w:rPr>
                <w:noProof/>
              </w:rPr>
              <w:tab/>
            </w:r>
            <w:r>
              <w:rPr>
                <w:noProof/>
              </w:rPr>
              <w:fldChar w:fldCharType="begin"/>
            </w:r>
            <w:r>
              <w:rPr>
                <w:noProof/>
              </w:rPr>
              <w:instrText xml:space="preserve"> PAGEREF _Toc241352546 \h </w:instrText>
            </w:r>
            <w:r>
              <w:rPr>
                <w:noProof/>
              </w:rPr>
            </w:r>
            <w:r>
              <w:rPr>
                <w:noProof/>
              </w:rPr>
              <w:fldChar w:fldCharType="separate"/>
            </w:r>
            <w:r>
              <w:rPr>
                <w:noProof/>
              </w:rPr>
              <w:t>1295</w:t>
            </w:r>
            <w:r>
              <w:rPr>
                <w:noProof/>
              </w:rPr>
              <w:fldChar w:fldCharType="end"/>
            </w:r>
          </w:hyperlink>
        </w:p>
        <w:p w14:paraId="76839BF5" w14:textId="471A95E2"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47" w:history="1">
            <w:r w:rsidRPr="00827DC2">
              <w:rPr>
                <w:rStyle w:val="Hyperlink"/>
                <w:rFonts w:ascii="Amazon Ember" w:eastAsia="Amazon Ember" w:hAnsi="Amazon Ember" w:cs="Amazon Ember"/>
                <w:noProof/>
              </w:rPr>
              <w:t>Neuseeland: Freunde finden und der Kulturschock der Distanz</w:t>
            </w:r>
            <w:r>
              <w:rPr>
                <w:noProof/>
              </w:rPr>
              <w:tab/>
            </w:r>
            <w:r>
              <w:rPr>
                <w:noProof/>
              </w:rPr>
              <w:fldChar w:fldCharType="begin"/>
            </w:r>
            <w:r>
              <w:rPr>
                <w:noProof/>
              </w:rPr>
              <w:instrText xml:space="preserve"> PAGEREF _Toc241352547 \h </w:instrText>
            </w:r>
            <w:r>
              <w:rPr>
                <w:noProof/>
              </w:rPr>
            </w:r>
            <w:r>
              <w:rPr>
                <w:noProof/>
              </w:rPr>
              <w:fldChar w:fldCharType="separate"/>
            </w:r>
            <w:r>
              <w:rPr>
                <w:noProof/>
              </w:rPr>
              <w:t>1307</w:t>
            </w:r>
            <w:r>
              <w:rPr>
                <w:noProof/>
              </w:rPr>
              <w:fldChar w:fldCharType="end"/>
            </w:r>
          </w:hyperlink>
        </w:p>
        <w:p w14:paraId="3202FECA" w14:textId="096CE4A4"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48" w:history="1">
            <w:r w:rsidRPr="00827DC2">
              <w:rPr>
                <w:rStyle w:val="Hyperlink"/>
                <w:rFonts w:ascii="Amazon Ember" w:eastAsia="Amazon Ember" w:hAnsi="Amazon Ember" w:cs="Amazon Ember"/>
                <w:noProof/>
              </w:rPr>
              <w:t>Neuseeland: Kinder, Schule und Spracheingewöhnung</w:t>
            </w:r>
            <w:r>
              <w:rPr>
                <w:noProof/>
              </w:rPr>
              <w:tab/>
            </w:r>
            <w:r>
              <w:rPr>
                <w:noProof/>
              </w:rPr>
              <w:fldChar w:fldCharType="begin"/>
            </w:r>
            <w:r>
              <w:rPr>
                <w:noProof/>
              </w:rPr>
              <w:instrText xml:space="preserve"> PAGEREF _Toc241352548 \h </w:instrText>
            </w:r>
            <w:r>
              <w:rPr>
                <w:noProof/>
              </w:rPr>
            </w:r>
            <w:r>
              <w:rPr>
                <w:noProof/>
              </w:rPr>
              <w:fldChar w:fldCharType="separate"/>
            </w:r>
            <w:r>
              <w:rPr>
                <w:noProof/>
              </w:rPr>
              <w:t>1320</w:t>
            </w:r>
            <w:r>
              <w:rPr>
                <w:noProof/>
              </w:rPr>
              <w:fldChar w:fldCharType="end"/>
            </w:r>
          </w:hyperlink>
        </w:p>
        <w:p w14:paraId="37F55DBB" w14:textId="660B045C"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49" w:history="1">
            <w:r w:rsidRPr="00827DC2">
              <w:rPr>
                <w:rStyle w:val="Hyperlink"/>
                <w:rFonts w:ascii="Amazon Ember" w:eastAsia="Amazon Ember" w:hAnsi="Amazon Ember" w:cs="Amazon Ember"/>
                <w:noProof/>
              </w:rPr>
              <w:t>Neuseeland: Arbeitswelt und Jobwechsel</w:t>
            </w:r>
            <w:r>
              <w:rPr>
                <w:noProof/>
              </w:rPr>
              <w:tab/>
            </w:r>
            <w:r>
              <w:rPr>
                <w:noProof/>
              </w:rPr>
              <w:fldChar w:fldCharType="begin"/>
            </w:r>
            <w:r>
              <w:rPr>
                <w:noProof/>
              </w:rPr>
              <w:instrText xml:space="preserve"> PAGEREF _Toc241352549 \h </w:instrText>
            </w:r>
            <w:r>
              <w:rPr>
                <w:noProof/>
              </w:rPr>
            </w:r>
            <w:r>
              <w:rPr>
                <w:noProof/>
              </w:rPr>
              <w:fldChar w:fldCharType="separate"/>
            </w:r>
            <w:r>
              <w:rPr>
                <w:noProof/>
              </w:rPr>
              <w:t>1334</w:t>
            </w:r>
            <w:r>
              <w:rPr>
                <w:noProof/>
              </w:rPr>
              <w:fldChar w:fldCharType="end"/>
            </w:r>
          </w:hyperlink>
        </w:p>
        <w:p w14:paraId="5B199A4F" w14:textId="29250240"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50" w:history="1">
            <w:r w:rsidRPr="00827DC2">
              <w:rPr>
                <w:rStyle w:val="Hyperlink"/>
                <w:rFonts w:ascii="Amazon Ember" w:eastAsia="Amazon Ember" w:hAnsi="Amazon Ember" w:cs="Amazon Ember"/>
                <w:noProof/>
              </w:rPr>
              <w:t>Neuseeland: Recht, Sicherheit und Polizeikontakt</w:t>
            </w:r>
            <w:r>
              <w:rPr>
                <w:noProof/>
              </w:rPr>
              <w:tab/>
            </w:r>
            <w:r>
              <w:rPr>
                <w:noProof/>
              </w:rPr>
              <w:fldChar w:fldCharType="begin"/>
            </w:r>
            <w:r>
              <w:rPr>
                <w:noProof/>
              </w:rPr>
              <w:instrText xml:space="preserve"> PAGEREF _Toc241352550 \h </w:instrText>
            </w:r>
            <w:r>
              <w:rPr>
                <w:noProof/>
              </w:rPr>
            </w:r>
            <w:r>
              <w:rPr>
                <w:noProof/>
              </w:rPr>
              <w:fldChar w:fldCharType="separate"/>
            </w:r>
            <w:r>
              <w:rPr>
                <w:noProof/>
              </w:rPr>
              <w:t>1347</w:t>
            </w:r>
            <w:r>
              <w:rPr>
                <w:noProof/>
              </w:rPr>
              <w:fldChar w:fldCharType="end"/>
            </w:r>
          </w:hyperlink>
        </w:p>
        <w:p w14:paraId="0041BE91" w14:textId="60B1DAA3"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51" w:history="1">
            <w:r w:rsidRPr="00827DC2">
              <w:rPr>
                <w:rStyle w:val="Hyperlink"/>
                <w:rFonts w:ascii="Amazon Ember" w:eastAsia="Amazon Ember" w:hAnsi="Amazon Ember" w:cs="Amazon Ember"/>
                <w:noProof/>
              </w:rPr>
              <w:t>Neuseeland: Staatsbürgerschaft und Steuerresidenz</w:t>
            </w:r>
            <w:r>
              <w:rPr>
                <w:noProof/>
              </w:rPr>
              <w:tab/>
            </w:r>
            <w:r>
              <w:rPr>
                <w:noProof/>
              </w:rPr>
              <w:fldChar w:fldCharType="begin"/>
            </w:r>
            <w:r>
              <w:rPr>
                <w:noProof/>
              </w:rPr>
              <w:instrText xml:space="preserve"> PAGEREF _Toc241352551 \h </w:instrText>
            </w:r>
            <w:r>
              <w:rPr>
                <w:noProof/>
              </w:rPr>
            </w:r>
            <w:r>
              <w:rPr>
                <w:noProof/>
              </w:rPr>
              <w:fldChar w:fldCharType="separate"/>
            </w:r>
            <w:r>
              <w:rPr>
                <w:noProof/>
              </w:rPr>
              <w:t>1362</w:t>
            </w:r>
            <w:r>
              <w:rPr>
                <w:noProof/>
              </w:rPr>
              <w:fldChar w:fldCharType="end"/>
            </w:r>
          </w:hyperlink>
        </w:p>
        <w:p w14:paraId="7538696F" w14:textId="60C253DC"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52" w:history="1">
            <w:r w:rsidRPr="00827DC2">
              <w:rPr>
                <w:rStyle w:val="Hyperlink"/>
                <w:rFonts w:ascii="Amazon Ember" w:eastAsia="Amazon Ember" w:hAnsi="Amazon Ember" w:cs="Amazon Ember"/>
                <w:noProof/>
              </w:rPr>
              <w:t>Anhang A: Die Master-Checkliste</w:t>
            </w:r>
            <w:r>
              <w:rPr>
                <w:noProof/>
              </w:rPr>
              <w:tab/>
            </w:r>
            <w:r>
              <w:rPr>
                <w:noProof/>
              </w:rPr>
              <w:fldChar w:fldCharType="begin"/>
            </w:r>
            <w:r>
              <w:rPr>
                <w:noProof/>
              </w:rPr>
              <w:instrText xml:space="preserve"> PAGEREF _Toc241352552 \h </w:instrText>
            </w:r>
            <w:r>
              <w:rPr>
                <w:noProof/>
              </w:rPr>
            </w:r>
            <w:r>
              <w:rPr>
                <w:noProof/>
              </w:rPr>
              <w:fldChar w:fldCharType="separate"/>
            </w:r>
            <w:r>
              <w:rPr>
                <w:noProof/>
              </w:rPr>
              <w:t>1374</w:t>
            </w:r>
            <w:r>
              <w:rPr>
                <w:noProof/>
              </w:rPr>
              <w:fldChar w:fldCharType="end"/>
            </w:r>
          </w:hyperlink>
        </w:p>
        <w:p w14:paraId="1031C057" w14:textId="254A5B88"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53" w:history="1">
            <w:r w:rsidRPr="00827DC2">
              <w:rPr>
                <w:rStyle w:val="Hyperlink"/>
                <w:rFonts w:ascii="Amazon Ember" w:eastAsia="Amazon Ember" w:hAnsi="Amazon Ember" w:cs="Amazon Ember"/>
                <w:noProof/>
              </w:rPr>
              <w:t>Anhang B: Glossar Deutsch–Englisch</w:t>
            </w:r>
            <w:r>
              <w:rPr>
                <w:noProof/>
              </w:rPr>
              <w:tab/>
            </w:r>
            <w:r>
              <w:rPr>
                <w:noProof/>
              </w:rPr>
              <w:fldChar w:fldCharType="begin"/>
            </w:r>
            <w:r>
              <w:rPr>
                <w:noProof/>
              </w:rPr>
              <w:instrText xml:space="preserve"> PAGEREF _Toc241352553 \h </w:instrText>
            </w:r>
            <w:r>
              <w:rPr>
                <w:noProof/>
              </w:rPr>
            </w:r>
            <w:r>
              <w:rPr>
                <w:noProof/>
              </w:rPr>
              <w:fldChar w:fldCharType="separate"/>
            </w:r>
            <w:r>
              <w:rPr>
                <w:noProof/>
              </w:rPr>
              <w:t>1401</w:t>
            </w:r>
            <w:r>
              <w:rPr>
                <w:noProof/>
              </w:rPr>
              <w:fldChar w:fldCharType="end"/>
            </w:r>
          </w:hyperlink>
        </w:p>
        <w:p w14:paraId="5FAC7297" w14:textId="71CF5A5B"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54" w:history="1">
            <w:r w:rsidRPr="00827DC2">
              <w:rPr>
                <w:rStyle w:val="Hyperlink"/>
                <w:rFonts w:ascii="Amazon Ember" w:eastAsia="Amazon Ember" w:hAnsi="Amazon Ember" w:cs="Amazon Ember"/>
                <w:noProof/>
              </w:rPr>
              <w:t>Anhang C: Umrechnungstabellen</w:t>
            </w:r>
            <w:r>
              <w:rPr>
                <w:noProof/>
              </w:rPr>
              <w:tab/>
            </w:r>
            <w:r>
              <w:rPr>
                <w:noProof/>
              </w:rPr>
              <w:fldChar w:fldCharType="begin"/>
            </w:r>
            <w:r>
              <w:rPr>
                <w:noProof/>
              </w:rPr>
              <w:instrText xml:space="preserve"> PAGEREF _Toc241352554 \h </w:instrText>
            </w:r>
            <w:r>
              <w:rPr>
                <w:noProof/>
              </w:rPr>
            </w:r>
            <w:r>
              <w:rPr>
                <w:noProof/>
              </w:rPr>
              <w:fldChar w:fldCharType="separate"/>
            </w:r>
            <w:r>
              <w:rPr>
                <w:noProof/>
              </w:rPr>
              <w:t>1430</w:t>
            </w:r>
            <w:r>
              <w:rPr>
                <w:noProof/>
              </w:rPr>
              <w:fldChar w:fldCharType="end"/>
            </w:r>
          </w:hyperlink>
        </w:p>
        <w:p w14:paraId="75B4F267" w14:textId="7D58928D"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55" w:history="1">
            <w:r w:rsidRPr="00827DC2">
              <w:rPr>
                <w:rStyle w:val="Hyperlink"/>
                <w:rFonts w:ascii="Amazon Ember" w:eastAsia="Amazon Ember" w:hAnsi="Amazon Ember" w:cs="Amazon Ember"/>
                <w:noProof/>
              </w:rPr>
              <w:t>Anhang D: Formulare und Abkürzungen</w:t>
            </w:r>
            <w:r>
              <w:rPr>
                <w:noProof/>
              </w:rPr>
              <w:tab/>
            </w:r>
            <w:r>
              <w:rPr>
                <w:noProof/>
              </w:rPr>
              <w:fldChar w:fldCharType="begin"/>
            </w:r>
            <w:r>
              <w:rPr>
                <w:noProof/>
              </w:rPr>
              <w:instrText xml:space="preserve"> PAGEREF _Toc241352555 \h </w:instrText>
            </w:r>
            <w:r>
              <w:rPr>
                <w:noProof/>
              </w:rPr>
            </w:r>
            <w:r>
              <w:rPr>
                <w:noProof/>
              </w:rPr>
              <w:fldChar w:fldCharType="separate"/>
            </w:r>
            <w:r>
              <w:rPr>
                <w:noProof/>
              </w:rPr>
              <w:t>1441</w:t>
            </w:r>
            <w:r>
              <w:rPr>
                <w:noProof/>
              </w:rPr>
              <w:fldChar w:fldCharType="end"/>
            </w:r>
          </w:hyperlink>
        </w:p>
        <w:p w14:paraId="39C45AAC" w14:textId="43C0A624"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56" w:history="1">
            <w:r w:rsidRPr="00827DC2">
              <w:rPr>
                <w:rStyle w:val="Hyperlink"/>
                <w:rFonts w:ascii="Amazon Ember" w:eastAsia="Amazon Ember" w:hAnsi="Amazon Ember" w:cs="Amazon Ember"/>
                <w:noProof/>
              </w:rPr>
              <w:t>Anhang E: Budgetbeispiele</w:t>
            </w:r>
            <w:r>
              <w:rPr>
                <w:noProof/>
              </w:rPr>
              <w:tab/>
            </w:r>
            <w:r>
              <w:rPr>
                <w:noProof/>
              </w:rPr>
              <w:fldChar w:fldCharType="begin"/>
            </w:r>
            <w:r>
              <w:rPr>
                <w:noProof/>
              </w:rPr>
              <w:instrText xml:space="preserve"> PAGEREF _Toc241352556 \h </w:instrText>
            </w:r>
            <w:r>
              <w:rPr>
                <w:noProof/>
              </w:rPr>
            </w:r>
            <w:r>
              <w:rPr>
                <w:noProof/>
              </w:rPr>
              <w:fldChar w:fldCharType="separate"/>
            </w:r>
            <w:r>
              <w:rPr>
                <w:noProof/>
              </w:rPr>
              <w:t>1452</w:t>
            </w:r>
            <w:r>
              <w:rPr>
                <w:noProof/>
              </w:rPr>
              <w:fldChar w:fldCharType="end"/>
            </w:r>
          </w:hyperlink>
        </w:p>
        <w:p w14:paraId="3CD738B3" w14:textId="6C258CEE"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57" w:history="1">
            <w:r w:rsidRPr="00827DC2">
              <w:rPr>
                <w:rStyle w:val="Hyperlink"/>
                <w:rFonts w:ascii="Amazon Ember" w:eastAsia="Amazon Ember" w:hAnsi="Amazon Ember" w:cs="Amazon Ember"/>
                <w:noProof/>
              </w:rPr>
              <w:t>Anhang F: Offizielle Quellen und Adressen</w:t>
            </w:r>
            <w:r>
              <w:rPr>
                <w:noProof/>
              </w:rPr>
              <w:tab/>
            </w:r>
            <w:r>
              <w:rPr>
                <w:noProof/>
              </w:rPr>
              <w:fldChar w:fldCharType="begin"/>
            </w:r>
            <w:r>
              <w:rPr>
                <w:noProof/>
              </w:rPr>
              <w:instrText xml:space="preserve"> PAGEREF _Toc241352557 \h </w:instrText>
            </w:r>
            <w:r>
              <w:rPr>
                <w:noProof/>
              </w:rPr>
            </w:r>
            <w:r>
              <w:rPr>
                <w:noProof/>
              </w:rPr>
              <w:fldChar w:fldCharType="separate"/>
            </w:r>
            <w:r>
              <w:rPr>
                <w:noProof/>
              </w:rPr>
              <w:t>1461</w:t>
            </w:r>
            <w:r>
              <w:rPr>
                <w:noProof/>
              </w:rPr>
              <w:fldChar w:fldCharType="end"/>
            </w:r>
          </w:hyperlink>
        </w:p>
        <w:p w14:paraId="27A6F80E" w14:textId="484377D2"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58" w:history="1">
            <w:r w:rsidRPr="00827DC2">
              <w:rPr>
                <w:rStyle w:val="Hyperlink"/>
                <w:rFonts w:ascii="Amazon Ember" w:eastAsia="Amazon Ember" w:hAnsi="Amazon Ember" w:cs="Amazon Ember"/>
                <w:noProof/>
              </w:rPr>
              <w:t>USA</w:t>
            </w:r>
            <w:r>
              <w:rPr>
                <w:noProof/>
              </w:rPr>
              <w:tab/>
            </w:r>
            <w:r>
              <w:rPr>
                <w:noProof/>
              </w:rPr>
              <w:fldChar w:fldCharType="begin"/>
            </w:r>
            <w:r>
              <w:rPr>
                <w:noProof/>
              </w:rPr>
              <w:instrText xml:space="preserve"> PAGEREF _Toc241352558 \h </w:instrText>
            </w:r>
            <w:r>
              <w:rPr>
                <w:noProof/>
              </w:rPr>
            </w:r>
            <w:r>
              <w:rPr>
                <w:noProof/>
              </w:rPr>
              <w:fldChar w:fldCharType="separate"/>
            </w:r>
            <w:r>
              <w:rPr>
                <w:noProof/>
              </w:rPr>
              <w:t>1462</w:t>
            </w:r>
            <w:r>
              <w:rPr>
                <w:noProof/>
              </w:rPr>
              <w:fldChar w:fldCharType="end"/>
            </w:r>
          </w:hyperlink>
        </w:p>
        <w:p w14:paraId="4B87006F" w14:textId="6483ED24"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59" w:history="1">
            <w:r w:rsidRPr="00827DC2">
              <w:rPr>
                <w:rStyle w:val="Hyperlink"/>
                <w:rFonts w:ascii="Amazon Ember" w:eastAsia="Amazon Ember" w:hAnsi="Amazon Ember" w:cs="Amazon Ember"/>
                <w:noProof/>
              </w:rPr>
              <w:t>Kanada</w:t>
            </w:r>
            <w:r>
              <w:rPr>
                <w:noProof/>
              </w:rPr>
              <w:tab/>
            </w:r>
            <w:r>
              <w:rPr>
                <w:noProof/>
              </w:rPr>
              <w:fldChar w:fldCharType="begin"/>
            </w:r>
            <w:r>
              <w:rPr>
                <w:noProof/>
              </w:rPr>
              <w:instrText xml:space="preserve"> PAGEREF _Toc241352559 \h </w:instrText>
            </w:r>
            <w:r>
              <w:rPr>
                <w:noProof/>
              </w:rPr>
            </w:r>
            <w:r>
              <w:rPr>
                <w:noProof/>
              </w:rPr>
              <w:fldChar w:fldCharType="separate"/>
            </w:r>
            <w:r>
              <w:rPr>
                <w:noProof/>
              </w:rPr>
              <w:t>1476</w:t>
            </w:r>
            <w:r>
              <w:rPr>
                <w:noProof/>
              </w:rPr>
              <w:fldChar w:fldCharType="end"/>
            </w:r>
          </w:hyperlink>
        </w:p>
        <w:p w14:paraId="152889E1" w14:textId="4B225D94"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60" w:history="1">
            <w:r w:rsidRPr="00827DC2">
              <w:rPr>
                <w:rStyle w:val="Hyperlink"/>
                <w:rFonts w:ascii="Amazon Ember" w:eastAsia="Amazon Ember" w:hAnsi="Amazon Ember" w:cs="Amazon Ember"/>
                <w:noProof/>
              </w:rPr>
              <w:t>Australien</w:t>
            </w:r>
            <w:r>
              <w:rPr>
                <w:noProof/>
              </w:rPr>
              <w:tab/>
            </w:r>
            <w:r>
              <w:rPr>
                <w:noProof/>
              </w:rPr>
              <w:fldChar w:fldCharType="begin"/>
            </w:r>
            <w:r>
              <w:rPr>
                <w:noProof/>
              </w:rPr>
              <w:instrText xml:space="preserve"> PAGEREF _Toc241352560 \h </w:instrText>
            </w:r>
            <w:r>
              <w:rPr>
                <w:noProof/>
              </w:rPr>
            </w:r>
            <w:r>
              <w:rPr>
                <w:noProof/>
              </w:rPr>
              <w:fldChar w:fldCharType="separate"/>
            </w:r>
            <w:r>
              <w:rPr>
                <w:noProof/>
              </w:rPr>
              <w:t>1483</w:t>
            </w:r>
            <w:r>
              <w:rPr>
                <w:noProof/>
              </w:rPr>
              <w:fldChar w:fldCharType="end"/>
            </w:r>
          </w:hyperlink>
        </w:p>
        <w:p w14:paraId="4F3E3143" w14:textId="67583554"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61" w:history="1">
            <w:r w:rsidRPr="00827DC2">
              <w:rPr>
                <w:rStyle w:val="Hyperlink"/>
                <w:rFonts w:ascii="Amazon Ember" w:eastAsia="Amazon Ember" w:hAnsi="Amazon Ember" w:cs="Amazon Ember"/>
                <w:noProof/>
              </w:rPr>
              <w:t>Neuseeland</w:t>
            </w:r>
            <w:r>
              <w:rPr>
                <w:noProof/>
              </w:rPr>
              <w:tab/>
            </w:r>
            <w:r>
              <w:rPr>
                <w:noProof/>
              </w:rPr>
              <w:fldChar w:fldCharType="begin"/>
            </w:r>
            <w:r>
              <w:rPr>
                <w:noProof/>
              </w:rPr>
              <w:instrText xml:space="preserve"> PAGEREF _Toc241352561 \h </w:instrText>
            </w:r>
            <w:r>
              <w:rPr>
                <w:noProof/>
              </w:rPr>
            </w:r>
            <w:r>
              <w:rPr>
                <w:noProof/>
              </w:rPr>
              <w:fldChar w:fldCharType="separate"/>
            </w:r>
            <w:r>
              <w:rPr>
                <w:noProof/>
              </w:rPr>
              <w:t>1489</w:t>
            </w:r>
            <w:r>
              <w:rPr>
                <w:noProof/>
              </w:rPr>
              <w:fldChar w:fldCharType="end"/>
            </w:r>
          </w:hyperlink>
        </w:p>
        <w:p w14:paraId="1FF4BDD8" w14:textId="089A0A5A"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62" w:history="1">
            <w:r w:rsidRPr="00827DC2">
              <w:rPr>
                <w:rStyle w:val="Hyperlink"/>
                <w:rFonts w:ascii="Amazon Ember" w:eastAsia="Amazon Ember" w:hAnsi="Amazon Ember" w:cs="Amazon Ember"/>
                <w:noProof/>
              </w:rPr>
              <w:t>Anhang G: Schnellfinder — Problem → Kapitel</w:t>
            </w:r>
            <w:r>
              <w:rPr>
                <w:noProof/>
              </w:rPr>
              <w:tab/>
            </w:r>
            <w:r>
              <w:rPr>
                <w:noProof/>
              </w:rPr>
              <w:fldChar w:fldCharType="begin"/>
            </w:r>
            <w:r>
              <w:rPr>
                <w:noProof/>
              </w:rPr>
              <w:instrText xml:space="preserve"> PAGEREF _Toc241352562 \h </w:instrText>
            </w:r>
            <w:r>
              <w:rPr>
                <w:noProof/>
              </w:rPr>
            </w:r>
            <w:r>
              <w:rPr>
                <w:noProof/>
              </w:rPr>
              <w:fldChar w:fldCharType="separate"/>
            </w:r>
            <w:r>
              <w:rPr>
                <w:noProof/>
              </w:rPr>
              <w:t>1495</w:t>
            </w:r>
            <w:r>
              <w:rPr>
                <w:noProof/>
              </w:rPr>
              <w:fldChar w:fldCharType="end"/>
            </w:r>
          </w:hyperlink>
        </w:p>
        <w:p w14:paraId="0B23CD88" w14:textId="496EF81C"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63" w:history="1">
            <w:r w:rsidRPr="00827DC2">
              <w:rPr>
                <w:rStyle w:val="Hyperlink"/>
                <w:rFonts w:ascii="Amazon Ember" w:eastAsia="Amazon Ember" w:hAnsi="Amazon Ember" w:cs="Amazon Ember"/>
                <w:noProof/>
              </w:rPr>
              <w:t>USA</w:t>
            </w:r>
            <w:r>
              <w:rPr>
                <w:noProof/>
              </w:rPr>
              <w:tab/>
            </w:r>
            <w:r>
              <w:rPr>
                <w:noProof/>
              </w:rPr>
              <w:fldChar w:fldCharType="begin"/>
            </w:r>
            <w:r>
              <w:rPr>
                <w:noProof/>
              </w:rPr>
              <w:instrText xml:space="preserve"> PAGEREF _Toc241352563 \h </w:instrText>
            </w:r>
            <w:r>
              <w:rPr>
                <w:noProof/>
              </w:rPr>
            </w:r>
            <w:r>
              <w:rPr>
                <w:noProof/>
              </w:rPr>
              <w:fldChar w:fldCharType="separate"/>
            </w:r>
            <w:r>
              <w:rPr>
                <w:noProof/>
              </w:rPr>
              <w:t>1496</w:t>
            </w:r>
            <w:r>
              <w:rPr>
                <w:noProof/>
              </w:rPr>
              <w:fldChar w:fldCharType="end"/>
            </w:r>
          </w:hyperlink>
        </w:p>
        <w:p w14:paraId="77908783" w14:textId="15DD71A7"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64" w:history="1">
            <w:r w:rsidRPr="00827DC2">
              <w:rPr>
                <w:rStyle w:val="Hyperlink"/>
                <w:rFonts w:ascii="Amazon Ember" w:eastAsia="Amazon Ember" w:hAnsi="Amazon Ember" w:cs="Amazon Ember"/>
                <w:noProof/>
              </w:rPr>
              <w:t>Kanada</w:t>
            </w:r>
            <w:r>
              <w:rPr>
                <w:noProof/>
              </w:rPr>
              <w:tab/>
            </w:r>
            <w:r>
              <w:rPr>
                <w:noProof/>
              </w:rPr>
              <w:fldChar w:fldCharType="begin"/>
            </w:r>
            <w:r>
              <w:rPr>
                <w:noProof/>
              </w:rPr>
              <w:instrText xml:space="preserve"> PAGEREF _Toc241352564 \h </w:instrText>
            </w:r>
            <w:r>
              <w:rPr>
                <w:noProof/>
              </w:rPr>
            </w:r>
            <w:r>
              <w:rPr>
                <w:noProof/>
              </w:rPr>
              <w:fldChar w:fldCharType="separate"/>
            </w:r>
            <w:r>
              <w:rPr>
                <w:noProof/>
              </w:rPr>
              <w:t>1501</w:t>
            </w:r>
            <w:r>
              <w:rPr>
                <w:noProof/>
              </w:rPr>
              <w:fldChar w:fldCharType="end"/>
            </w:r>
          </w:hyperlink>
        </w:p>
        <w:p w14:paraId="7EAB93C3" w14:textId="082382D1"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65" w:history="1">
            <w:r w:rsidRPr="00827DC2">
              <w:rPr>
                <w:rStyle w:val="Hyperlink"/>
                <w:rFonts w:ascii="Amazon Ember" w:eastAsia="Amazon Ember" w:hAnsi="Amazon Ember" w:cs="Amazon Ember"/>
                <w:noProof/>
              </w:rPr>
              <w:t>Australien</w:t>
            </w:r>
            <w:r>
              <w:rPr>
                <w:noProof/>
              </w:rPr>
              <w:tab/>
            </w:r>
            <w:r>
              <w:rPr>
                <w:noProof/>
              </w:rPr>
              <w:fldChar w:fldCharType="begin"/>
            </w:r>
            <w:r>
              <w:rPr>
                <w:noProof/>
              </w:rPr>
              <w:instrText xml:space="preserve"> PAGEREF _Toc241352565 \h </w:instrText>
            </w:r>
            <w:r>
              <w:rPr>
                <w:noProof/>
              </w:rPr>
            </w:r>
            <w:r>
              <w:rPr>
                <w:noProof/>
              </w:rPr>
              <w:fldChar w:fldCharType="separate"/>
            </w:r>
            <w:r>
              <w:rPr>
                <w:noProof/>
              </w:rPr>
              <w:t>1504</w:t>
            </w:r>
            <w:r>
              <w:rPr>
                <w:noProof/>
              </w:rPr>
              <w:fldChar w:fldCharType="end"/>
            </w:r>
          </w:hyperlink>
        </w:p>
        <w:p w14:paraId="1750A4B1" w14:textId="1951BF82"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66" w:history="1">
            <w:r w:rsidRPr="00827DC2">
              <w:rPr>
                <w:rStyle w:val="Hyperlink"/>
                <w:rFonts w:ascii="Amazon Ember" w:eastAsia="Amazon Ember" w:hAnsi="Amazon Ember" w:cs="Amazon Ember"/>
                <w:noProof/>
              </w:rPr>
              <w:t>Neuseeland</w:t>
            </w:r>
            <w:r>
              <w:rPr>
                <w:noProof/>
              </w:rPr>
              <w:tab/>
            </w:r>
            <w:r>
              <w:rPr>
                <w:noProof/>
              </w:rPr>
              <w:fldChar w:fldCharType="begin"/>
            </w:r>
            <w:r>
              <w:rPr>
                <w:noProof/>
              </w:rPr>
              <w:instrText xml:space="preserve"> PAGEREF _Toc241352566 \h </w:instrText>
            </w:r>
            <w:r>
              <w:rPr>
                <w:noProof/>
              </w:rPr>
            </w:r>
            <w:r>
              <w:rPr>
                <w:noProof/>
              </w:rPr>
              <w:fldChar w:fldCharType="separate"/>
            </w:r>
            <w:r>
              <w:rPr>
                <w:noProof/>
              </w:rPr>
              <w:t>1507</w:t>
            </w:r>
            <w:r>
              <w:rPr>
                <w:noProof/>
              </w:rPr>
              <w:fldChar w:fldCharType="end"/>
            </w:r>
          </w:hyperlink>
        </w:p>
        <w:p w14:paraId="0BCACFBA" w14:textId="7D3F859F"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67" w:history="1">
            <w:r w:rsidRPr="00827DC2">
              <w:rPr>
                <w:rStyle w:val="Hyperlink"/>
                <w:rFonts w:ascii="Amazon Ember" w:eastAsia="Amazon Ember" w:hAnsi="Amazon Ember" w:cs="Amazon Ember"/>
                <w:noProof/>
              </w:rPr>
              <w:t>Über den Autor</w:t>
            </w:r>
            <w:r>
              <w:rPr>
                <w:noProof/>
              </w:rPr>
              <w:tab/>
            </w:r>
            <w:r>
              <w:rPr>
                <w:noProof/>
              </w:rPr>
              <w:fldChar w:fldCharType="begin"/>
            </w:r>
            <w:r>
              <w:rPr>
                <w:noProof/>
              </w:rPr>
              <w:instrText xml:space="preserve"> PAGEREF _Toc241352567 \h </w:instrText>
            </w:r>
            <w:r>
              <w:rPr>
                <w:noProof/>
              </w:rPr>
            </w:r>
            <w:r>
              <w:rPr>
                <w:noProof/>
              </w:rPr>
              <w:fldChar w:fldCharType="separate"/>
            </w:r>
            <w:r>
              <w:rPr>
                <w:noProof/>
              </w:rPr>
              <w:t>1510</w:t>
            </w:r>
            <w:r>
              <w:rPr>
                <w:noProof/>
              </w:rPr>
              <w:fldChar w:fldCharType="end"/>
            </w:r>
          </w:hyperlink>
        </w:p>
        <w:p w14:paraId="7E8FD999" w14:textId="667EE344"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68" w:history="1">
            <w:r w:rsidRPr="00827DC2">
              <w:rPr>
                <w:rStyle w:val="Hyperlink"/>
                <w:rFonts w:ascii="Amazon Ember" w:eastAsia="Amazon Ember" w:hAnsi="Amazon Ember" w:cs="Amazon Ember"/>
                <w:noProof/>
              </w:rPr>
              <w:t>Eine kleine Bitte</w:t>
            </w:r>
            <w:r>
              <w:rPr>
                <w:noProof/>
              </w:rPr>
              <w:tab/>
            </w:r>
            <w:r>
              <w:rPr>
                <w:noProof/>
              </w:rPr>
              <w:fldChar w:fldCharType="begin"/>
            </w:r>
            <w:r>
              <w:rPr>
                <w:noProof/>
              </w:rPr>
              <w:instrText xml:space="preserve"> PAGEREF _Toc241352568 \h </w:instrText>
            </w:r>
            <w:r>
              <w:rPr>
                <w:noProof/>
              </w:rPr>
            </w:r>
            <w:r>
              <w:rPr>
                <w:noProof/>
              </w:rPr>
              <w:fldChar w:fldCharType="separate"/>
            </w:r>
            <w:r>
              <w:rPr>
                <w:noProof/>
              </w:rPr>
              <w:t>1511</w:t>
            </w:r>
            <w:r>
              <w:rPr>
                <w:noProof/>
              </w:rPr>
              <w:fldChar w:fldCharType="end"/>
            </w:r>
          </w:hyperlink>
        </w:p>
        <w:p w14:paraId="6F9BCA46" w14:textId="6807600C" w:rsidR="000A527C" w:rsidRDefault="000A527C">
          <w:pPr>
            <w:pStyle w:val="TOC2"/>
            <w:tabs>
              <w:tab w:val="right" w:leader="dot" w:pos="6470"/>
            </w:tabs>
            <w:rPr>
              <w:rFonts w:asciiTheme="minorHAnsi" w:eastAsiaTheme="minorEastAsia" w:hAnsiTheme="minorHAnsi" w:cstheme="minorBidi"/>
              <w:noProof/>
              <w:kern w:val="2"/>
              <w:sz w:val="24"/>
              <w:szCs w:val="24"/>
              <w:lang w:val="en-US"/>
              <w14:ligatures w14:val="standardContextual"/>
            </w:rPr>
          </w:pPr>
          <w:hyperlink w:anchor="_Toc241352569" w:history="1">
            <w:r w:rsidRPr="00827DC2">
              <w:rPr>
                <w:rStyle w:val="Hyperlink"/>
                <w:rFonts w:ascii="Amazon Ember" w:eastAsia="Amazon Ember" w:hAnsi="Amazon Ember" w:cs="Amazon Ember"/>
                <w:noProof/>
              </w:rPr>
              <w:t>Weitere Bücher des Autors</w:t>
            </w:r>
            <w:r>
              <w:rPr>
                <w:noProof/>
              </w:rPr>
              <w:tab/>
            </w:r>
            <w:r>
              <w:rPr>
                <w:noProof/>
              </w:rPr>
              <w:fldChar w:fldCharType="begin"/>
            </w:r>
            <w:r>
              <w:rPr>
                <w:noProof/>
              </w:rPr>
              <w:instrText xml:space="preserve"> PAGEREF _Toc241352569 \h </w:instrText>
            </w:r>
            <w:r>
              <w:rPr>
                <w:noProof/>
              </w:rPr>
            </w:r>
            <w:r>
              <w:rPr>
                <w:noProof/>
              </w:rPr>
              <w:fldChar w:fldCharType="separate"/>
            </w:r>
            <w:r>
              <w:rPr>
                <w:noProof/>
              </w:rPr>
              <w:t>1512</w:t>
            </w:r>
            <w:r>
              <w:rPr>
                <w:noProof/>
              </w:rPr>
              <w:fldChar w:fldCharType="end"/>
            </w:r>
          </w:hyperlink>
        </w:p>
        <w:p w14:paraId="70A4C28F" w14:textId="46ABDDD5" w:rsidR="00C1548D" w:rsidRDefault="009B1B4B">
          <w:r>
            <w:fldChar w:fldCharType="end"/>
          </w:r>
        </w:p>
      </w:sdtContent>
    </w:sdt>
    <w:p w14:paraId="70A4C290" w14:textId="77777777" w:rsidR="00C1548D" w:rsidRDefault="009B1B4B">
      <w:pPr>
        <w:pStyle w:val="Heading2"/>
        <w:keepNext/>
        <w:pageBreakBefore/>
        <w:jc w:val="center"/>
      </w:pPr>
      <w:bookmarkStart w:id="0" w:name="s1"/>
      <w:bookmarkStart w:id="1" w:name="_Toc241352444"/>
      <w:r>
        <w:rPr>
          <w:rFonts w:ascii="Amazon Ember" w:eastAsia="Amazon Ember" w:hAnsi="Amazon Ember" w:cs="Amazon Ember"/>
          <w:color w:val="0000FF"/>
          <w:sz w:val="36"/>
          <w:szCs w:val="36"/>
        </w:rPr>
        <w:lastRenderedPageBreak/>
        <w:t>Vorwort</w:t>
      </w:r>
      <w:bookmarkEnd w:id="0"/>
      <w:bookmarkEnd w:id="1"/>
    </w:p>
    <w:p w14:paraId="70A4C291" w14:textId="77777777" w:rsidR="00C1548D" w:rsidRDefault="009B1B4B">
      <w:pPr>
        <w:spacing w:after="140"/>
      </w:pPr>
      <w:r>
        <w:t>Es gibt Entscheidungen, die man mit einer Tabelle treffen kann, und Entscheidungen, bei denen die Tabelle nur ein Anfang ist. Der Umzug von Deutschland in die USA, nach Kanada, Australien oder Neuseeland gehört zur zweiten Sorte. Er betrifft Beruf, Geld, Gesundheit, Kinder, Freundschaften und die Frage, wo man sich zu Hause fühlt. Und er besteht aus Hunderten kleiner Aufgaben, von denen jede, wenn man sie übersieht, etwas kostet: Zeit, Geld oder Nerven.</w:t>
      </w:r>
    </w:p>
    <w:p w14:paraId="70A4C292" w14:textId="77777777" w:rsidR="00C1548D" w:rsidRDefault="009B1B4B">
      <w:pPr>
        <w:spacing w:after="140"/>
      </w:pPr>
      <w:r>
        <w:t>Ich habe über vierzig Jahre in der Halbleiterindustrie gearbeitet, zuerst in Deutschland, dann bei amerikanischen Start-ups. Heute lebe ich zwischen Kalifornien und Bayern. Ich kenne die USA und Deutschland aus dem Alltag, mit ihren Stärken und ihren Zumutungen, und ich habe über die Jahre viele Kolleginnen und Kollegen begleitet, die vor derselben Entscheidung standen wie du – manche zog es in die USA, andere nach Kanada, Australien oder Neuseeland. Die Fragen, die sich dabei stellen, ähneln sich mehr, als</w:t>
      </w:r>
      <w:r>
        <w:t xml:space="preserve"> man denkt: Was kostet mich das wirklich? Wie schnell komme ich zu einem sicheren Aufenthaltstitel? Was passiert mit meiner Rente, meiner Krankenversicherung, meinen Kindern? Deshalb ist aus dem ursprünglichen USA-Ratgeber diese vierteilige Auswanderer-Bibel geworden, mit derselben Sorgfalt recherchiert wie zuvor der USA-Teil. Die einen kommen mit rosaroten Erwartungen und werden von der Krankenversicherung, dem Visum oder der Einsamkeit im ersten Winter überrollt. Die anderen lassen sich von Horrorgeschich</w:t>
      </w:r>
      <w:r>
        <w:t>ten abschrecken und verpassen eine Chance, die für sie genau richtig gewesen wäre.</w:t>
      </w:r>
    </w:p>
    <w:p w14:paraId="70A4C293" w14:textId="77777777" w:rsidR="00C1548D" w:rsidRDefault="009B1B4B">
      <w:pPr>
        <w:spacing w:after="140"/>
      </w:pPr>
      <w:r>
        <w:t xml:space="preserve">Dieses Buch will beides vermeiden. Es ist als </w:t>
      </w:r>
      <w:r>
        <w:rPr>
          <w:b/>
          <w:bCs/>
        </w:rPr>
        <w:t>Bibel der Plus- und Minuspunkte</w:t>
      </w:r>
      <w:r>
        <w:t xml:space="preserve"> gedacht: Zu jedem Thema findest du die Vorteile und die Nachteile, die Fallen, die Kosten, die Sparmöglichkeiten und die nächsten Schritte. Es beginnt mit der Frage, ob du für einen Auslandsumzug überhaupt bereit bist, und einem Vergleich, welches </w:t>
      </w:r>
      <w:r>
        <w:lastRenderedPageBreak/>
        <w:t>der vier Länder am besten zu deiner Situation passt. Danach folgt ein gemeinsamer Teil zu allem, was mit dem Verlassen Deutschlands zu tun hat – Behörden, Steuern, Umzug, Dokumente –, unabhängig vom Ziel. Für die USA, Kanada, Australien und Neuseeland gibt es dan</w:t>
      </w:r>
      <w:r>
        <w:t>ach je einen eigenen, gleich aufgebauten Teil: Visum und Aufenthaltstitel, Ankunft, Steuern und Gesundheitssystem, Wohnen, Führerschein und Verkehr, Alltagskultur, Freundschaften, Kinder und Schule, Arbeitswelt, Recht und Sicherheit, bis hin zum Weg zur Staatsbürgerschaft. Wer zurückkehrt, findet den Plan B wieder im gemeinsamen Teil, denn die deutsche Seite der Rückkehr ist überall gleich.</w:t>
      </w:r>
    </w:p>
    <w:p w14:paraId="70A4C294" w14:textId="77777777" w:rsidR="00C1548D" w:rsidRDefault="009B1B4B">
      <w:pPr>
        <w:spacing w:after="140"/>
      </w:pPr>
      <w:r>
        <w:t>Vier Dinge solltest du von Anfang an wissen.</w:t>
      </w:r>
    </w:p>
    <w:p w14:paraId="70A4C295" w14:textId="77777777" w:rsidR="00C1548D" w:rsidRDefault="009B1B4B">
      <w:pPr>
        <w:spacing w:after="140"/>
      </w:pPr>
      <w:r>
        <w:rPr>
          <w:b/>
          <w:bCs/>
        </w:rPr>
        <w:t>Erstens: Die Regeln ändern sich.</w:t>
      </w:r>
      <w:r>
        <w:t xml:space="preserve"> Einwanderungsrecht wird in allen vier Ländern immer wieder umgebaut: bei Gebühren, Auswahlverfahren, Prüfungen und Bearbeitungszeiten. Jedes Kapitel nennt deshalb den Stand, auf dem seine Zahlen beruhen, und die offiziellen Quellen, bei denen du nachprüfen kannst, was inzwischen gilt. Dieses Buch nimmt dir das Prüfen nicht ab, aber es sagt dir, </w:t>
      </w:r>
      <w:r>
        <w:rPr>
          <w:i/>
          <w:iCs/>
        </w:rPr>
        <w:t>was</w:t>
      </w:r>
      <w:r>
        <w:t xml:space="preserve"> du prüfen musst und </w:t>
      </w:r>
      <w:r>
        <w:rPr>
          <w:i/>
          <w:iCs/>
        </w:rPr>
        <w:t>wo</w:t>
      </w:r>
      <w:r>
        <w:t>.</w:t>
      </w:r>
    </w:p>
    <w:p w14:paraId="70A4C296" w14:textId="77777777" w:rsidR="00C1548D" w:rsidRDefault="009B1B4B">
      <w:pPr>
        <w:spacing w:after="140"/>
      </w:pPr>
      <w:r>
        <w:rPr>
          <w:b/>
          <w:bCs/>
        </w:rPr>
        <w:t>Zweitens: Jedes dieser Länder ist mehrere Länder in einem.</w:t>
      </w:r>
      <w:r>
        <w:t xml:space="preserve"> Die USA bestehen aus fünfzig Bundesstaaten, Kanada aus zehn Provinzen und drei Territorien, Australien aus sechs Bundesstaaten und Territorien; selbst das kleinere, zentraler regierte Neuseeland kennt regionale Unterschiede. Führerschein, Schule, Steuern, Mietrecht und vieles mehr regelt vielerorts die jeweilige Region selbst. Wo das der Fall ist, erkläre ich das Prinzip und zeige es an einigen Beispielen. Für deinen Ort gilt am Ende die Regel deines Bundesstaates, deiner Provinz oder deines Territoriums.</w:t>
      </w:r>
    </w:p>
    <w:p w14:paraId="70A4C297" w14:textId="77777777" w:rsidR="00C1548D" w:rsidRDefault="009B1B4B">
      <w:pPr>
        <w:spacing w:after="140"/>
      </w:pPr>
      <w:r>
        <w:rPr>
          <w:b/>
          <w:bCs/>
        </w:rPr>
        <w:t>Drittens: Die vier Länder sind nicht austauschbar.</w:t>
      </w:r>
      <w:r>
        <w:t xml:space="preserve"> Ein schneller, planbarer Weg zum unbefristeten Aufenthaltstitel, ein staatliches Gesundheitssystem, die Nähe zu Deutschland oder das höchste Gehaltsniveau – das alles bekommst du nicht in einem Land gleichzeitig. Das Kapitel „Welches Land passt zu dir?“ hilft dir, deine </w:t>
      </w:r>
      <w:r>
        <w:lastRenderedPageBreak/>
        <w:t>eigenen Prioritäten zu ordnen, bevor du dich in die Tiefe eines einzelnen Länder-Teils stürzt.</w:t>
      </w:r>
    </w:p>
    <w:p w14:paraId="70A4C298" w14:textId="77777777" w:rsidR="00C1548D" w:rsidRDefault="009B1B4B">
      <w:pPr>
        <w:spacing w:after="140"/>
      </w:pPr>
      <w:r>
        <w:rPr>
          <w:b/>
          <w:bCs/>
        </w:rPr>
        <w:t>Viertens: Dieses Buch ist keine Beratung.</w:t>
      </w:r>
      <w:r>
        <w:t xml:space="preserve"> Bei Visum, Steuern, Immobilien und Vorsorge gilt: Lass dich von Fachleuten beraten, die deine Situation kennen. Was du hier lernst, hilft dir, die richtigen Fragen zu stellen und Angebote einzuordnen. Das spart Geld und schützt vor teuren Fehlern.</w:t>
      </w:r>
    </w:p>
    <w:p w14:paraId="70A4C299" w14:textId="77777777" w:rsidR="00C1548D" w:rsidRDefault="009B1B4B">
      <w:pPr>
        <w:spacing w:after="140"/>
      </w:pPr>
      <w:r>
        <w:t>Wenn dieses Buch dazu beiträgt, dass du eine gute Entscheidung triffst, sei es für den Umzug oder bewusst dagegen, hat es seinen Zweck erfüllt. Ich wünsche dir einen klaren Kopf, gute Nerven und einen guten Start, wo auch immer du ihn machst.</w:t>
      </w:r>
    </w:p>
    <w:p w14:paraId="70A4C29A" w14:textId="77777777" w:rsidR="00C1548D" w:rsidRDefault="009B1B4B">
      <w:pPr>
        <w:spacing w:after="140"/>
      </w:pPr>
      <w:r>
        <w:rPr>
          <w:i/>
          <w:iCs/>
        </w:rPr>
        <w:t>Lothar J. Musiol</w:t>
      </w:r>
    </w:p>
    <w:p w14:paraId="70A4C29B" w14:textId="77777777" w:rsidR="00C1548D" w:rsidRDefault="009B1B4B">
      <w:pPr>
        <w:pStyle w:val="Heading2"/>
        <w:keepNext/>
        <w:pageBreakBefore/>
        <w:jc w:val="center"/>
      </w:pPr>
      <w:bookmarkStart w:id="2" w:name="s2"/>
      <w:bookmarkStart w:id="3" w:name="_Toc241352445"/>
      <w:r>
        <w:rPr>
          <w:rFonts w:ascii="Amazon Ember" w:eastAsia="Amazon Ember" w:hAnsi="Amazon Ember" w:cs="Amazon Ember"/>
          <w:color w:val="0000FF"/>
          <w:sz w:val="36"/>
          <w:szCs w:val="36"/>
        </w:rPr>
        <w:lastRenderedPageBreak/>
        <w:t>So nutzt du dieses Buch</w:t>
      </w:r>
      <w:bookmarkEnd w:id="2"/>
      <w:bookmarkEnd w:id="3"/>
    </w:p>
    <w:p w14:paraId="70A4C29C" w14:textId="77777777" w:rsidR="00C1548D" w:rsidRDefault="009B1B4B">
      <w:pPr>
        <w:spacing w:after="140"/>
      </w:pPr>
      <w:r>
        <w:t>Du musst dieses Buch nicht von vorn bis hinten lesen. Es ist ein Nachschlagewerk mit rotem Faden: Die zehn Teile folgen dem zeitlichen Ablauf eines Umzugs, jedes Kapitel funktioniert aber auch allein.</w:t>
      </w:r>
    </w:p>
    <w:p w14:paraId="70A4C29D" w14:textId="77777777" w:rsidR="00C1548D" w:rsidRDefault="009B1B4B">
      <w:pPr>
        <w:pStyle w:val="Heading3"/>
        <w:keepNext/>
        <w:jc w:val="center"/>
      </w:pPr>
      <w:r>
        <w:rPr>
          <w:rFonts w:ascii="Amazon Ember" w:eastAsia="Amazon Ember" w:hAnsi="Amazon Ember" w:cs="Amazon Ember"/>
          <w:color w:val="0000FF"/>
          <w:sz w:val="36"/>
          <w:szCs w:val="36"/>
        </w:rPr>
        <w:t>Der Aufbau</w:t>
      </w:r>
    </w:p>
    <w:p w14:paraId="70A4C29E" w14:textId="77777777" w:rsidR="00C1548D" w:rsidRDefault="009B1B4B">
      <w:pPr>
        <w:spacing w:after="140"/>
      </w:pPr>
      <w:r>
        <w:rPr>
          <w:b/>
          <w:bCs/>
        </w:rPr>
        <w:t>Teil I</w:t>
      </w:r>
      <w:r>
        <w:t xml:space="preserve"> hilft dir zu entscheiden, ob und unter welchen Bedingungen der Umzug sinnvoll ist. </w:t>
      </w:r>
      <w:r>
        <w:rPr>
          <w:b/>
          <w:bCs/>
        </w:rPr>
        <w:t>Teil II</w:t>
      </w:r>
      <w:r>
        <w:t xml:space="preserve"> erklärt die Wege in die USA, vor allem H-1B, Green Card und den Studienweg. </w:t>
      </w:r>
      <w:r>
        <w:rPr>
          <w:b/>
          <w:bCs/>
        </w:rPr>
        <w:t>Teil III</w:t>
      </w:r>
      <w:r>
        <w:t xml:space="preserve"> behandelt Wohnort, Miete und Kauf. </w:t>
      </w:r>
      <w:r>
        <w:rPr>
          <w:b/>
          <w:bCs/>
        </w:rPr>
        <w:t>Teil IV</w:t>
      </w:r>
      <w:r>
        <w:t xml:space="preserve"> ist deine Aufgabenliste für Deutschland. </w:t>
      </w:r>
      <w:r>
        <w:rPr>
          <w:b/>
          <w:bCs/>
        </w:rPr>
        <w:t>Teil V</w:t>
      </w:r>
      <w:r>
        <w:t xml:space="preserve"> klärt, was in den Container gehört und was du drüben günstiger kaufst. </w:t>
      </w:r>
      <w:r>
        <w:rPr>
          <w:b/>
          <w:bCs/>
        </w:rPr>
        <w:t>Teil VI</w:t>
      </w:r>
      <w:r>
        <w:t xml:space="preserve"> begleitet dich durch die ersten Wochen. </w:t>
      </w:r>
      <w:r>
        <w:rPr>
          <w:b/>
          <w:bCs/>
        </w:rPr>
        <w:t>Teil VII</w:t>
      </w:r>
      <w:r>
        <w:t xml:space="preserve"> erklärt die Arbeitswelt und den Jobwechsel. </w:t>
      </w:r>
      <w:r>
        <w:rPr>
          <w:b/>
          <w:bCs/>
        </w:rPr>
        <w:t>Teil VIII</w:t>
      </w:r>
      <w:r>
        <w:t xml:space="preserve"> widmet sich Kultur, Freunden, Heimweh, Kleidung und Essen. </w:t>
      </w:r>
      <w:r>
        <w:rPr>
          <w:b/>
          <w:bCs/>
        </w:rPr>
        <w:t>Teil IX</w:t>
      </w:r>
      <w:r>
        <w:t xml:space="preserve"> gehört den Kindern und der Schule. </w:t>
      </w:r>
      <w:r>
        <w:rPr>
          <w:b/>
          <w:bCs/>
        </w:rPr>
        <w:t>Teil X</w:t>
      </w:r>
      <w:r>
        <w:t xml:space="preserve"> blickt auf Vorsorge, Recht, Staatsbürgerschaft und den Rückweg. Im Anhang findest du die Master-Checkliste, ein Glossar, Umrechnungstabellen, Formulare, Budgetbeispiele, Adressen und einen Schnellfinder.</w:t>
      </w:r>
    </w:p>
    <w:p w14:paraId="70A4C29F" w14:textId="77777777" w:rsidR="00C1548D" w:rsidRDefault="009B1B4B">
      <w:pPr>
        <w:pStyle w:val="Heading3"/>
        <w:keepNext/>
        <w:jc w:val="center"/>
      </w:pPr>
      <w:r>
        <w:rPr>
          <w:rFonts w:ascii="Amazon Ember" w:eastAsia="Amazon Ember" w:hAnsi="Amazon Ember" w:cs="Amazon Ember"/>
          <w:color w:val="0000FF"/>
          <w:sz w:val="36"/>
          <w:szCs w:val="36"/>
        </w:rPr>
        <w:t>Die wiederkehrenden Elemente</w:t>
      </w:r>
    </w:p>
    <w:p w14:paraId="70A4C2A0" w14:textId="77777777" w:rsidR="00C1548D" w:rsidRDefault="009B1B4B">
      <w:pPr>
        <w:spacing w:after="140"/>
      </w:pPr>
      <w:r>
        <w:t>Jedes Kapitel beginnt mit einer Kurzfassung und endet mit einer Checkliste und einem Stand-Hinweis. Dazwischen begegnen dir feste Bausteine: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10"/>
        <w:gridCol w:w="5170"/>
      </w:tblGrid>
      <w:tr w:rsidR="00C1548D" w14:paraId="70A4C2A3" w14:textId="77777777">
        <w:tblPrEx>
          <w:tblCellMar>
            <w:top w:w="0" w:type="dxa"/>
            <w:bottom w:w="0" w:type="dxa"/>
          </w:tblCellMar>
        </w:tblPrEx>
        <w:trPr>
          <w:cantSplit/>
          <w:tblHeader/>
        </w:trPr>
        <w:tc>
          <w:tcPr>
            <w:tcW w:w="13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2A1" w14:textId="77777777" w:rsidR="00C1548D" w:rsidRDefault="009B1B4B">
            <w:pPr>
              <w:spacing w:line="250" w:lineRule="auto"/>
            </w:pPr>
            <w:r>
              <w:rPr>
                <w:b/>
                <w:bCs/>
                <w:sz w:val="18"/>
                <w:szCs w:val="18"/>
              </w:rPr>
              <w:t>Baustein</w:t>
            </w:r>
          </w:p>
        </w:tc>
        <w:tc>
          <w:tcPr>
            <w:tcW w:w="51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2A2" w14:textId="77777777" w:rsidR="00C1548D" w:rsidRDefault="009B1B4B">
            <w:pPr>
              <w:spacing w:line="250" w:lineRule="auto"/>
            </w:pPr>
            <w:r>
              <w:rPr>
                <w:b/>
                <w:bCs/>
                <w:sz w:val="18"/>
                <w:szCs w:val="18"/>
              </w:rPr>
              <w:t>Bedeutung</w:t>
            </w:r>
          </w:p>
        </w:tc>
      </w:tr>
      <w:tr w:rsidR="00C1548D" w14:paraId="70A4C2A6" w14:textId="77777777">
        <w:tblPrEx>
          <w:tblCellMar>
            <w:top w:w="0" w:type="dxa"/>
            <w:bottom w:w="0" w:type="dxa"/>
          </w:tblCellMar>
        </w:tblPrEx>
        <w:trPr>
          <w:cantSplit/>
        </w:trPr>
        <w:tc>
          <w:tcPr>
            <w:tcW w:w="1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A4" w14:textId="77777777" w:rsidR="00C1548D" w:rsidRDefault="009B1B4B">
            <w:pPr>
              <w:spacing w:line="250" w:lineRule="auto"/>
            </w:pPr>
            <w:r>
              <w:rPr>
                <w:b/>
                <w:bCs/>
                <w:sz w:val="18"/>
                <w:szCs w:val="18"/>
              </w:rPr>
              <w:t>Kurz gesagt</w:t>
            </w:r>
          </w:p>
        </w:tc>
        <w:tc>
          <w:tcPr>
            <w:tcW w:w="5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A5" w14:textId="77777777" w:rsidR="00C1548D" w:rsidRDefault="009B1B4B">
            <w:pPr>
              <w:spacing w:line="250" w:lineRule="auto"/>
            </w:pPr>
            <w:r>
              <w:rPr>
                <w:sz w:val="18"/>
                <w:szCs w:val="18"/>
              </w:rPr>
              <w:t>Das Wichtigste in 60 Sekunden</w:t>
            </w:r>
          </w:p>
        </w:tc>
      </w:tr>
      <w:tr w:rsidR="00C1548D" w14:paraId="70A4C2A9" w14:textId="77777777">
        <w:tblPrEx>
          <w:tblCellMar>
            <w:top w:w="0" w:type="dxa"/>
            <w:bottom w:w="0" w:type="dxa"/>
          </w:tblCellMar>
        </w:tblPrEx>
        <w:trPr>
          <w:cantSplit/>
        </w:trPr>
        <w:tc>
          <w:tcPr>
            <w:tcW w:w="1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A7" w14:textId="77777777" w:rsidR="00C1548D" w:rsidRDefault="009B1B4B">
            <w:pPr>
              <w:spacing w:line="250" w:lineRule="auto"/>
            </w:pPr>
            <w:r>
              <w:rPr>
                <w:b/>
                <w:bCs/>
                <w:sz w:val="18"/>
                <w:szCs w:val="18"/>
              </w:rPr>
              <w:t>Plus und Minus</w:t>
            </w:r>
          </w:p>
        </w:tc>
        <w:tc>
          <w:tcPr>
            <w:tcW w:w="5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A8" w14:textId="77777777" w:rsidR="00C1548D" w:rsidRDefault="009B1B4B">
            <w:pPr>
              <w:spacing w:line="250" w:lineRule="auto"/>
            </w:pPr>
            <w:r>
              <w:rPr>
                <w:sz w:val="18"/>
                <w:szCs w:val="18"/>
              </w:rPr>
              <w:t>Vorteile und Nachteile eines Themas, nebeneinander</w:t>
            </w:r>
          </w:p>
        </w:tc>
      </w:tr>
      <w:tr w:rsidR="00C1548D" w14:paraId="70A4C2AC" w14:textId="77777777">
        <w:tblPrEx>
          <w:tblCellMar>
            <w:top w:w="0" w:type="dxa"/>
            <w:bottom w:w="0" w:type="dxa"/>
          </w:tblCellMar>
        </w:tblPrEx>
        <w:trPr>
          <w:cantSplit/>
        </w:trPr>
        <w:tc>
          <w:tcPr>
            <w:tcW w:w="1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AA" w14:textId="77777777" w:rsidR="00C1548D" w:rsidRDefault="009B1B4B">
            <w:pPr>
              <w:spacing w:line="250" w:lineRule="auto"/>
            </w:pPr>
            <w:r>
              <w:rPr>
                <w:b/>
                <w:bCs/>
                <w:sz w:val="18"/>
                <w:szCs w:val="18"/>
              </w:rPr>
              <w:t>Achtung</w:t>
            </w:r>
          </w:p>
        </w:tc>
        <w:tc>
          <w:tcPr>
            <w:tcW w:w="5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AB" w14:textId="77777777" w:rsidR="00C1548D" w:rsidRDefault="009B1B4B">
            <w:pPr>
              <w:spacing w:line="250" w:lineRule="auto"/>
            </w:pPr>
            <w:r>
              <w:rPr>
                <w:sz w:val="18"/>
                <w:szCs w:val="18"/>
              </w:rPr>
              <w:t>Eine Falle, die Geld oder Nerven kostet</w:t>
            </w:r>
          </w:p>
        </w:tc>
      </w:tr>
      <w:tr w:rsidR="00C1548D" w14:paraId="70A4C2AF" w14:textId="77777777">
        <w:tblPrEx>
          <w:tblCellMar>
            <w:top w:w="0" w:type="dxa"/>
            <w:bottom w:w="0" w:type="dxa"/>
          </w:tblCellMar>
        </w:tblPrEx>
        <w:trPr>
          <w:cantSplit/>
        </w:trPr>
        <w:tc>
          <w:tcPr>
            <w:tcW w:w="1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AD" w14:textId="77777777" w:rsidR="00C1548D" w:rsidRDefault="009B1B4B">
            <w:pPr>
              <w:spacing w:line="250" w:lineRule="auto"/>
            </w:pPr>
            <w:r>
              <w:rPr>
                <w:b/>
                <w:bCs/>
                <w:sz w:val="18"/>
                <w:szCs w:val="18"/>
              </w:rPr>
              <w:t>Spartipp</w:t>
            </w:r>
          </w:p>
        </w:tc>
        <w:tc>
          <w:tcPr>
            <w:tcW w:w="5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AE" w14:textId="77777777" w:rsidR="00C1548D" w:rsidRDefault="009B1B4B">
            <w:pPr>
              <w:spacing w:line="250" w:lineRule="auto"/>
            </w:pPr>
            <w:r>
              <w:rPr>
                <w:sz w:val="18"/>
                <w:szCs w:val="18"/>
              </w:rPr>
              <w:t>So sparst du Geld oder Zeit</w:t>
            </w:r>
          </w:p>
        </w:tc>
      </w:tr>
      <w:tr w:rsidR="00C1548D" w14:paraId="70A4C2B2" w14:textId="77777777">
        <w:tblPrEx>
          <w:tblCellMar>
            <w:top w:w="0" w:type="dxa"/>
            <w:bottom w:w="0" w:type="dxa"/>
          </w:tblCellMar>
        </w:tblPrEx>
        <w:trPr>
          <w:cantSplit/>
        </w:trPr>
        <w:tc>
          <w:tcPr>
            <w:tcW w:w="1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B0" w14:textId="77777777" w:rsidR="00C1548D" w:rsidRDefault="009B1B4B">
            <w:pPr>
              <w:spacing w:line="250" w:lineRule="auto"/>
            </w:pPr>
            <w:r>
              <w:rPr>
                <w:b/>
                <w:bCs/>
                <w:sz w:val="18"/>
                <w:szCs w:val="18"/>
              </w:rPr>
              <w:lastRenderedPageBreak/>
              <w:t>Merke</w:t>
            </w:r>
          </w:p>
        </w:tc>
        <w:tc>
          <w:tcPr>
            <w:tcW w:w="5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B1" w14:textId="77777777" w:rsidR="00C1548D" w:rsidRDefault="009B1B4B">
            <w:pPr>
              <w:spacing w:line="250" w:lineRule="auto"/>
            </w:pPr>
            <w:r>
              <w:rPr>
                <w:sz w:val="18"/>
                <w:szCs w:val="18"/>
              </w:rPr>
              <w:t>Ein Satz, der hängen bleiben soll</w:t>
            </w:r>
          </w:p>
        </w:tc>
      </w:tr>
      <w:tr w:rsidR="00C1548D" w14:paraId="70A4C2B5" w14:textId="77777777">
        <w:tblPrEx>
          <w:tblCellMar>
            <w:top w:w="0" w:type="dxa"/>
            <w:bottom w:w="0" w:type="dxa"/>
          </w:tblCellMar>
        </w:tblPrEx>
        <w:trPr>
          <w:cantSplit/>
        </w:trPr>
        <w:tc>
          <w:tcPr>
            <w:tcW w:w="1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B3" w14:textId="77777777" w:rsidR="00C1548D" w:rsidRDefault="009B1B4B">
            <w:pPr>
              <w:spacing w:line="250" w:lineRule="auto"/>
            </w:pPr>
            <w:r>
              <w:rPr>
                <w:b/>
                <w:bCs/>
                <w:sz w:val="18"/>
                <w:szCs w:val="18"/>
              </w:rPr>
              <w:t>Praxisbeispiel</w:t>
            </w:r>
          </w:p>
        </w:tc>
        <w:tc>
          <w:tcPr>
            <w:tcW w:w="5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B4" w14:textId="77777777" w:rsidR="00C1548D" w:rsidRDefault="009B1B4B">
            <w:pPr>
              <w:spacing w:line="250" w:lineRule="auto"/>
            </w:pPr>
            <w:r>
              <w:rPr>
                <w:sz w:val="18"/>
                <w:szCs w:val="18"/>
              </w:rPr>
              <w:t>Ein fiktives, aber typisches Szenario</w:t>
            </w:r>
          </w:p>
        </w:tc>
      </w:tr>
      <w:tr w:rsidR="00C1548D" w14:paraId="70A4C2B8" w14:textId="77777777">
        <w:tblPrEx>
          <w:tblCellMar>
            <w:top w:w="0" w:type="dxa"/>
            <w:bottom w:w="0" w:type="dxa"/>
          </w:tblCellMar>
        </w:tblPrEx>
        <w:trPr>
          <w:cantSplit/>
        </w:trPr>
        <w:tc>
          <w:tcPr>
            <w:tcW w:w="1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B6" w14:textId="77777777" w:rsidR="00C1548D" w:rsidRDefault="009B1B4B">
            <w:pPr>
              <w:spacing w:line="250" w:lineRule="auto"/>
            </w:pPr>
            <w:r>
              <w:rPr>
                <w:b/>
                <w:bCs/>
                <w:sz w:val="18"/>
                <w:szCs w:val="18"/>
              </w:rPr>
              <w:t>Checkliste</w:t>
            </w:r>
          </w:p>
        </w:tc>
        <w:tc>
          <w:tcPr>
            <w:tcW w:w="5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B7" w14:textId="77777777" w:rsidR="00C1548D" w:rsidRDefault="009B1B4B">
            <w:pPr>
              <w:spacing w:line="250" w:lineRule="auto"/>
            </w:pPr>
            <w:r>
              <w:rPr>
                <w:sz w:val="18"/>
                <w:szCs w:val="18"/>
              </w:rPr>
              <w:t>Was du jetzt erledigen solltest</w:t>
            </w:r>
          </w:p>
        </w:tc>
      </w:tr>
      <w:tr w:rsidR="00C1548D" w14:paraId="70A4C2BB" w14:textId="77777777">
        <w:tblPrEx>
          <w:tblCellMar>
            <w:top w:w="0" w:type="dxa"/>
            <w:bottom w:w="0" w:type="dxa"/>
          </w:tblCellMar>
        </w:tblPrEx>
        <w:trPr>
          <w:cantSplit/>
        </w:trPr>
        <w:tc>
          <w:tcPr>
            <w:tcW w:w="1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B9" w14:textId="77777777" w:rsidR="00C1548D" w:rsidRDefault="009B1B4B">
            <w:pPr>
              <w:spacing w:line="250" w:lineRule="auto"/>
            </w:pPr>
            <w:r>
              <w:rPr>
                <w:b/>
                <w:bCs/>
                <w:sz w:val="18"/>
                <w:szCs w:val="18"/>
              </w:rPr>
              <w:t>Stand</w:t>
            </w:r>
          </w:p>
        </w:tc>
        <w:tc>
          <w:tcPr>
            <w:tcW w:w="5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BA" w14:textId="77777777" w:rsidR="00C1548D" w:rsidRDefault="009B1B4B">
            <w:pPr>
              <w:spacing w:line="250" w:lineRule="auto"/>
            </w:pPr>
            <w:r>
              <w:rPr>
                <w:sz w:val="18"/>
                <w:szCs w:val="18"/>
              </w:rPr>
              <w:t>Wann die Zahlen erhoben wurden und was sich schnell ändert</w:t>
            </w:r>
          </w:p>
        </w:tc>
      </w:tr>
    </w:tbl>
    <w:p w14:paraId="70A4C2BC" w14:textId="77777777" w:rsidR="00C1548D" w:rsidRDefault="00C1548D">
      <w:pPr>
        <w:spacing w:line="180" w:lineRule="exact"/>
      </w:pPr>
    </w:p>
    <w:p w14:paraId="70A4C2BD" w14:textId="77777777" w:rsidR="00C1548D" w:rsidRDefault="009B1B4B">
      <w:pPr>
        <w:pStyle w:val="Heading3"/>
        <w:keepNext/>
        <w:jc w:val="center"/>
      </w:pPr>
      <w:r>
        <w:rPr>
          <w:rFonts w:ascii="Amazon Ember" w:eastAsia="Amazon Ember" w:hAnsi="Amazon Ember" w:cs="Amazon Ember"/>
          <w:color w:val="0000FF"/>
          <w:sz w:val="36"/>
          <w:szCs w:val="36"/>
        </w:rPr>
        <w:t>Fünf erfundene Menschen</w:t>
      </w:r>
    </w:p>
    <w:p w14:paraId="70A4C2BE" w14:textId="77777777" w:rsidR="00C1548D" w:rsidRDefault="009B1B4B">
      <w:pPr>
        <w:spacing w:after="140"/>
      </w:pPr>
      <w:r>
        <w:t xml:space="preserve">Damit die Regeln nicht abstrakt bleiben, begleiten dich fünf erfundene Personen durch das Buch. </w:t>
      </w:r>
      <w:r>
        <w:rPr>
          <w:b/>
          <w:bCs/>
        </w:rPr>
        <w:t>Familie Brandt</w:t>
      </w:r>
      <w:r>
        <w:t xml:space="preserve"> (Markus, Ingenieur bei einem Automobilzulieferer, Anna, Lehrerin, und die Kinder Lena und Jonas) zieht mit einem H-1B nach Michigan. </w:t>
      </w:r>
      <w:r>
        <w:rPr>
          <w:b/>
          <w:bCs/>
        </w:rPr>
        <w:t>Sabine Keller</w:t>
      </w:r>
      <w:r>
        <w:t xml:space="preserve">, Softwareentwicklerin, geht mit H-1B nach Seattle. </w:t>
      </w:r>
      <w:r>
        <w:rPr>
          <w:b/>
          <w:bCs/>
        </w:rPr>
        <w:t>Jan Hoffmann</w:t>
      </w:r>
      <w:r>
        <w:t xml:space="preserve">, Prozessingenieur in der Halbleiterfertigung, wird mit Frau und Sohn per L-1 nach Arizona versetzt. </w:t>
      </w:r>
      <w:r>
        <w:rPr>
          <w:b/>
          <w:bCs/>
        </w:rPr>
        <w:t>Felix Wagner</w:t>
      </w:r>
      <w:r>
        <w:t xml:space="preserve"> studiert mit einem F-1-Visum in Boston und hofft auf den späteren Wechsel. </w:t>
      </w:r>
      <w:r>
        <w:rPr>
          <w:b/>
          <w:bCs/>
        </w:rPr>
        <w:t>Miriam und Tobias Scholz</w:t>
      </w:r>
      <w:r>
        <w:t xml:space="preserve"> gründen mit einem E-2-Visum in North Carolina. Alle fünf sind frei erfunden. Sie sind so gezeichnet, dass ihre Erfahrungen typisch sind, aber sie sind keine Zeugenaussagen.</w:t>
      </w:r>
    </w:p>
    <w:p w14:paraId="70A4C2BF" w14:textId="77777777" w:rsidR="00C1548D" w:rsidRDefault="009B1B4B">
      <w:pPr>
        <w:pStyle w:val="Heading3"/>
        <w:keepNext/>
        <w:jc w:val="center"/>
      </w:pPr>
      <w:r>
        <w:rPr>
          <w:rFonts w:ascii="Amazon Ember" w:eastAsia="Amazon Ember" w:hAnsi="Amazon Ember" w:cs="Amazon Ember"/>
          <w:color w:val="0000FF"/>
          <w:sz w:val="36"/>
          <w:szCs w:val="36"/>
        </w:rPr>
        <w:t>Wie du Zahlen und Regeln behandelst</w:t>
      </w:r>
    </w:p>
    <w:p w14:paraId="70A4C2C0" w14:textId="77777777" w:rsidR="00C1548D" w:rsidRDefault="009B1B4B">
      <w:pPr>
        <w:spacing w:after="140"/>
      </w:pPr>
      <w:r>
        <w:t xml:space="preserve">Alle Zahlen tragen ein Datum, meist </w:t>
      </w:r>
      <w:r>
        <w:rPr>
          <w:b/>
          <w:bCs/>
        </w:rPr>
        <w:t>September 2026</w:t>
      </w:r>
      <w:r>
        <w:t>. Beträge stehen in US-Dollar (</w:t>
      </w:r>
      <w:r>
        <w:rPr>
          <w:b/>
          <w:bCs/>
        </w:rPr>
        <w:t>$</w:t>
      </w:r>
      <w:r>
        <w:t>), Größen in amerikanischen Einheiten mit metrischer Umrechnung. Einreise-, Steuer- und Gesundheitsregeln ändern sich schneller, als ein Buch gedruckt werden kann. Am Ende jedes Kapitels stehen deshalb die offiziellen Quellen: Rufe sie auf, bevor du handelst.</w:t>
      </w:r>
    </w:p>
    <w:p w14:paraId="70A4C2C1" w14:textId="77777777" w:rsidR="00C1548D" w:rsidRDefault="009B1B4B">
      <w:pPr>
        <w:pStyle w:val="Heading3"/>
        <w:keepNext/>
        <w:jc w:val="center"/>
      </w:pPr>
      <w:r>
        <w:rPr>
          <w:rFonts w:ascii="Amazon Ember" w:eastAsia="Amazon Ember" w:hAnsi="Amazon Ember" w:cs="Amazon Ember"/>
          <w:color w:val="0000FF"/>
          <w:sz w:val="36"/>
          <w:szCs w:val="36"/>
        </w:rPr>
        <w:t>Wege durch das Buch</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61"/>
        <w:gridCol w:w="3619"/>
      </w:tblGrid>
      <w:tr w:rsidR="00C1548D" w14:paraId="70A4C2C4" w14:textId="77777777">
        <w:tblPrEx>
          <w:tblCellMar>
            <w:top w:w="0" w:type="dxa"/>
            <w:bottom w:w="0" w:type="dxa"/>
          </w:tblCellMar>
        </w:tblPrEx>
        <w:trPr>
          <w:cantSplit/>
          <w:tblHeader/>
        </w:trPr>
        <w:tc>
          <w:tcPr>
            <w:tcW w:w="286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2C2" w14:textId="77777777" w:rsidR="00C1548D" w:rsidRDefault="009B1B4B">
            <w:pPr>
              <w:spacing w:line="250" w:lineRule="auto"/>
            </w:pPr>
            <w:r>
              <w:rPr>
                <w:b/>
                <w:bCs/>
                <w:sz w:val="18"/>
                <w:szCs w:val="18"/>
              </w:rPr>
              <w:t>Deine Lage</w:t>
            </w:r>
          </w:p>
        </w:tc>
        <w:tc>
          <w:tcPr>
            <w:tcW w:w="361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2C3" w14:textId="77777777" w:rsidR="00C1548D" w:rsidRDefault="009B1B4B">
            <w:pPr>
              <w:spacing w:line="250" w:lineRule="auto"/>
            </w:pPr>
            <w:r>
              <w:rPr>
                <w:b/>
                <w:bCs/>
                <w:sz w:val="18"/>
                <w:szCs w:val="18"/>
              </w:rPr>
              <w:t>Beginne mit</w:t>
            </w:r>
          </w:p>
        </w:tc>
      </w:tr>
      <w:tr w:rsidR="00C1548D" w14:paraId="70A4C2C7" w14:textId="77777777">
        <w:tblPrEx>
          <w:tblCellMar>
            <w:top w:w="0" w:type="dxa"/>
            <w:bottom w:w="0" w:type="dxa"/>
          </w:tblCellMar>
        </w:tblPrEx>
        <w:trPr>
          <w:cantSplit/>
        </w:trPr>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C5" w14:textId="77777777" w:rsidR="00C1548D" w:rsidRDefault="009B1B4B">
            <w:pPr>
              <w:spacing w:line="250" w:lineRule="auto"/>
            </w:pPr>
            <w:r>
              <w:rPr>
                <w:sz w:val="18"/>
                <w:szCs w:val="18"/>
              </w:rPr>
              <w:t>Ich bin noch unentschieden</w:t>
            </w:r>
          </w:p>
        </w:tc>
        <w:tc>
          <w:tcPr>
            <w:tcW w:w="3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C6" w14:textId="251F24E3" w:rsidR="00C1548D" w:rsidRDefault="009B1B4B">
            <w:pPr>
              <w:spacing w:line="250" w:lineRule="auto"/>
            </w:pPr>
            <w:r>
              <w:rPr>
                <w:sz w:val="18"/>
                <w:szCs w:val="18"/>
              </w:rPr>
              <w:t>Teil I (Kapitel </w:t>
            </w:r>
            <w:hyperlink w:anchor="k1" w:history="1">
              <w:r>
                <w:rPr>
                  <w:sz w:val="18"/>
                  <w:szCs w:val="18"/>
                </w:rPr>
                <w:t>1</w:t>
              </w:r>
            </w:hyperlink>
            <w:r>
              <w:rPr>
                <w:sz w:val="18"/>
                <w:szCs w:val="18"/>
              </w:rPr>
              <w:t>–</w:t>
            </w:r>
            <w:hyperlink w:anchor="k3" w:history="1">
              <w:r>
                <w:rPr>
                  <w:sz w:val="18"/>
                  <w:szCs w:val="18"/>
                </w:rPr>
                <w:t>3</w:t>
              </w:r>
            </w:hyperlink>
            <w:r>
              <w:rPr>
                <w:sz w:val="18"/>
                <w:szCs w:val="18"/>
              </w:rPr>
              <w:t>)</w:t>
            </w:r>
          </w:p>
        </w:tc>
      </w:tr>
      <w:tr w:rsidR="00C1548D" w14:paraId="70A4C2CA" w14:textId="77777777">
        <w:tblPrEx>
          <w:tblCellMar>
            <w:top w:w="0" w:type="dxa"/>
            <w:bottom w:w="0" w:type="dxa"/>
          </w:tblCellMar>
        </w:tblPrEx>
        <w:trPr>
          <w:cantSplit/>
        </w:trPr>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C8" w14:textId="77777777" w:rsidR="00C1548D" w:rsidRDefault="009B1B4B">
            <w:pPr>
              <w:spacing w:line="250" w:lineRule="auto"/>
            </w:pPr>
            <w:r>
              <w:rPr>
                <w:sz w:val="18"/>
                <w:szCs w:val="18"/>
              </w:rPr>
              <w:lastRenderedPageBreak/>
              <w:t>Ich habe ein Jobangebot</w:t>
            </w:r>
          </w:p>
        </w:tc>
        <w:tc>
          <w:tcPr>
            <w:tcW w:w="3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C9" w14:textId="3207568B" w:rsidR="00C1548D" w:rsidRDefault="009B1B4B">
            <w:pPr>
              <w:spacing w:line="250" w:lineRule="auto"/>
            </w:pPr>
            <w:r>
              <w:rPr>
                <w:sz w:val="18"/>
                <w:szCs w:val="18"/>
              </w:rPr>
              <w:t>Kapitel </w:t>
            </w:r>
            <w:hyperlink w:anchor="k5" w:history="1">
              <w:r>
                <w:rPr>
                  <w:sz w:val="18"/>
                  <w:szCs w:val="18"/>
                </w:rPr>
                <w:t>5</w:t>
              </w:r>
            </w:hyperlink>
            <w:r>
              <w:rPr>
                <w:sz w:val="18"/>
                <w:szCs w:val="18"/>
              </w:rPr>
              <w:t xml:space="preserve">, </w:t>
            </w:r>
            <w:hyperlink w:anchor="k11" w:history="1">
              <w:r>
                <w:rPr>
                  <w:sz w:val="18"/>
                  <w:szCs w:val="18"/>
                </w:rPr>
                <w:t>11</w:t>
              </w:r>
            </w:hyperlink>
            <w:r>
              <w:rPr>
                <w:sz w:val="18"/>
                <w:szCs w:val="18"/>
              </w:rPr>
              <w:t xml:space="preserve">, </w:t>
            </w:r>
            <w:hyperlink w:anchor="k15" w:history="1">
              <w:r>
                <w:rPr>
                  <w:sz w:val="18"/>
                  <w:szCs w:val="18"/>
                </w:rPr>
                <w:t>15</w:t>
              </w:r>
            </w:hyperlink>
            <w:r>
              <w:rPr>
                <w:sz w:val="18"/>
                <w:szCs w:val="18"/>
              </w:rPr>
              <w:t xml:space="preserve"> und die Master-Checkliste (Anhang </w:t>
            </w:r>
            <w:hyperlink w:anchor="anhang_a" w:history="1">
              <w:r>
                <w:rPr>
                  <w:sz w:val="18"/>
                  <w:szCs w:val="18"/>
                </w:rPr>
                <w:t>A</w:t>
              </w:r>
            </w:hyperlink>
            <w:r>
              <w:rPr>
                <w:sz w:val="18"/>
                <w:szCs w:val="18"/>
              </w:rPr>
              <w:t>)</w:t>
            </w:r>
          </w:p>
        </w:tc>
      </w:tr>
      <w:tr w:rsidR="00C1548D" w14:paraId="70A4C2CD" w14:textId="77777777">
        <w:tblPrEx>
          <w:tblCellMar>
            <w:top w:w="0" w:type="dxa"/>
            <w:bottom w:w="0" w:type="dxa"/>
          </w:tblCellMar>
        </w:tblPrEx>
        <w:trPr>
          <w:cantSplit/>
        </w:trPr>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CB" w14:textId="77777777" w:rsidR="00C1548D" w:rsidRDefault="009B1B4B">
            <w:pPr>
              <w:spacing w:line="250" w:lineRule="auto"/>
            </w:pPr>
            <w:r>
              <w:rPr>
                <w:sz w:val="18"/>
                <w:szCs w:val="18"/>
              </w:rPr>
              <w:t>Ich will über ein Studium gehen</w:t>
            </w:r>
          </w:p>
        </w:tc>
        <w:tc>
          <w:tcPr>
            <w:tcW w:w="3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CC" w14:textId="30E2368D" w:rsidR="00C1548D" w:rsidRDefault="009B1B4B">
            <w:pPr>
              <w:spacing w:line="250" w:lineRule="auto"/>
            </w:pPr>
            <w:r>
              <w:rPr>
                <w:sz w:val="18"/>
                <w:szCs w:val="18"/>
              </w:rPr>
              <w:t>Kapitel </w:t>
            </w:r>
            <w:hyperlink w:anchor="k8" w:history="1">
              <w:r>
                <w:rPr>
                  <w:sz w:val="18"/>
                  <w:szCs w:val="18"/>
                </w:rPr>
                <w:t>8</w:t>
              </w:r>
            </w:hyperlink>
            <w:r>
              <w:rPr>
                <w:sz w:val="18"/>
                <w:szCs w:val="18"/>
              </w:rPr>
              <w:t xml:space="preserve"> und </w:t>
            </w:r>
            <w:hyperlink w:anchor="k4" w:history="1">
              <w:r>
                <w:rPr>
                  <w:sz w:val="18"/>
                  <w:szCs w:val="18"/>
                </w:rPr>
                <w:t>4</w:t>
              </w:r>
            </w:hyperlink>
          </w:p>
        </w:tc>
      </w:tr>
      <w:tr w:rsidR="00C1548D" w14:paraId="70A4C2D0" w14:textId="77777777">
        <w:tblPrEx>
          <w:tblCellMar>
            <w:top w:w="0" w:type="dxa"/>
            <w:bottom w:w="0" w:type="dxa"/>
          </w:tblCellMar>
        </w:tblPrEx>
        <w:trPr>
          <w:cantSplit/>
        </w:trPr>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CE" w14:textId="77777777" w:rsidR="00C1548D" w:rsidRDefault="009B1B4B">
            <w:pPr>
              <w:spacing w:line="250" w:lineRule="auto"/>
            </w:pPr>
            <w:r>
              <w:rPr>
                <w:sz w:val="18"/>
                <w:szCs w:val="18"/>
              </w:rPr>
              <w:t>Ich habe Kinder</w:t>
            </w:r>
          </w:p>
        </w:tc>
        <w:tc>
          <w:tcPr>
            <w:tcW w:w="3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CF" w14:textId="3D3A48D9" w:rsidR="00C1548D" w:rsidRDefault="009B1B4B">
            <w:pPr>
              <w:spacing w:line="250" w:lineRule="auto"/>
            </w:pPr>
            <w:r>
              <w:rPr>
                <w:sz w:val="18"/>
                <w:szCs w:val="18"/>
              </w:rPr>
              <w:t>Teil IX (Kapitel </w:t>
            </w:r>
            <w:hyperlink w:anchor="k36" w:history="1">
              <w:r>
                <w:rPr>
                  <w:sz w:val="18"/>
                  <w:szCs w:val="18"/>
                </w:rPr>
                <w:t>36</w:t>
              </w:r>
            </w:hyperlink>
            <w:r>
              <w:rPr>
                <w:sz w:val="18"/>
                <w:szCs w:val="18"/>
              </w:rPr>
              <w:t>–</w:t>
            </w:r>
            <w:hyperlink w:anchor="k38" w:history="1">
              <w:r>
                <w:rPr>
                  <w:sz w:val="18"/>
                  <w:szCs w:val="18"/>
                </w:rPr>
                <w:t>38</w:t>
              </w:r>
            </w:hyperlink>
            <w:r>
              <w:rPr>
                <w:sz w:val="18"/>
                <w:szCs w:val="18"/>
              </w:rPr>
              <w:t>) und Kapitel </w:t>
            </w:r>
            <w:hyperlink w:anchor="k12" w:history="1">
              <w:r>
                <w:rPr>
                  <w:sz w:val="18"/>
                  <w:szCs w:val="18"/>
                </w:rPr>
                <w:t>12</w:t>
              </w:r>
            </w:hyperlink>
          </w:p>
        </w:tc>
      </w:tr>
      <w:tr w:rsidR="00C1548D" w14:paraId="70A4C2D3" w14:textId="77777777">
        <w:tblPrEx>
          <w:tblCellMar>
            <w:top w:w="0" w:type="dxa"/>
            <w:bottom w:w="0" w:type="dxa"/>
          </w:tblCellMar>
        </w:tblPrEx>
        <w:trPr>
          <w:cantSplit/>
        </w:trPr>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D1" w14:textId="77777777" w:rsidR="00C1548D" w:rsidRDefault="009B1B4B">
            <w:pPr>
              <w:spacing w:line="250" w:lineRule="auto"/>
            </w:pPr>
            <w:r>
              <w:rPr>
                <w:sz w:val="18"/>
                <w:szCs w:val="18"/>
              </w:rPr>
              <w:t>Ich muss schnell packen</w:t>
            </w:r>
          </w:p>
        </w:tc>
        <w:tc>
          <w:tcPr>
            <w:tcW w:w="3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D2" w14:textId="6DCD4420" w:rsidR="00C1548D" w:rsidRDefault="009B1B4B">
            <w:pPr>
              <w:spacing w:line="250" w:lineRule="auto"/>
            </w:pPr>
            <w:r>
              <w:rPr>
                <w:sz w:val="18"/>
                <w:szCs w:val="18"/>
              </w:rPr>
              <w:t>Kapitel </w:t>
            </w:r>
            <w:hyperlink w:anchor="k20" w:history="1">
              <w:r>
                <w:rPr>
                  <w:sz w:val="18"/>
                  <w:szCs w:val="18"/>
                </w:rPr>
                <w:t>20</w:t>
              </w:r>
            </w:hyperlink>
            <w:r>
              <w:rPr>
                <w:sz w:val="18"/>
                <w:szCs w:val="18"/>
              </w:rPr>
              <w:t xml:space="preserve"> und </w:t>
            </w:r>
            <w:hyperlink w:anchor="k21" w:history="1">
              <w:r>
                <w:rPr>
                  <w:sz w:val="18"/>
                  <w:szCs w:val="18"/>
                </w:rPr>
                <w:t>21</w:t>
              </w:r>
            </w:hyperlink>
          </w:p>
        </w:tc>
      </w:tr>
      <w:tr w:rsidR="00C1548D" w14:paraId="70A4C2D6" w14:textId="77777777">
        <w:tblPrEx>
          <w:tblCellMar>
            <w:top w:w="0" w:type="dxa"/>
            <w:bottom w:w="0" w:type="dxa"/>
          </w:tblCellMar>
        </w:tblPrEx>
        <w:trPr>
          <w:cantSplit/>
        </w:trPr>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D4" w14:textId="77777777" w:rsidR="00C1548D" w:rsidRDefault="009B1B4B">
            <w:pPr>
              <w:spacing w:line="250" w:lineRule="auto"/>
            </w:pPr>
            <w:r>
              <w:rPr>
                <w:sz w:val="18"/>
                <w:szCs w:val="18"/>
              </w:rPr>
              <w:t>Ich bin gerade gelandet</w:t>
            </w:r>
          </w:p>
        </w:tc>
        <w:tc>
          <w:tcPr>
            <w:tcW w:w="3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D5" w14:textId="141588E4" w:rsidR="00C1548D" w:rsidRDefault="009B1B4B">
            <w:pPr>
              <w:spacing w:line="250" w:lineRule="auto"/>
            </w:pPr>
            <w:r>
              <w:rPr>
                <w:sz w:val="18"/>
                <w:szCs w:val="18"/>
              </w:rPr>
              <w:t>Kapitel </w:t>
            </w:r>
            <w:hyperlink w:anchor="k23" w:history="1">
              <w:r>
                <w:rPr>
                  <w:sz w:val="18"/>
                  <w:szCs w:val="18"/>
                </w:rPr>
                <w:t>23</w:t>
              </w:r>
            </w:hyperlink>
            <w:r>
              <w:rPr>
                <w:sz w:val="18"/>
                <w:szCs w:val="18"/>
              </w:rPr>
              <w:t xml:space="preserve"> und </w:t>
            </w:r>
            <w:hyperlink w:anchor="k24" w:history="1">
              <w:r>
                <w:rPr>
                  <w:sz w:val="18"/>
                  <w:szCs w:val="18"/>
                </w:rPr>
                <w:t>24</w:t>
              </w:r>
            </w:hyperlink>
          </w:p>
        </w:tc>
      </w:tr>
      <w:tr w:rsidR="00C1548D" w14:paraId="70A4C2D9" w14:textId="77777777">
        <w:tblPrEx>
          <w:tblCellMar>
            <w:top w:w="0" w:type="dxa"/>
            <w:bottom w:w="0" w:type="dxa"/>
          </w:tblCellMar>
        </w:tblPrEx>
        <w:trPr>
          <w:cantSplit/>
        </w:trPr>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D7" w14:textId="77777777" w:rsidR="00C1548D" w:rsidRDefault="009B1B4B">
            <w:pPr>
              <w:spacing w:line="250" w:lineRule="auto"/>
            </w:pPr>
            <w:r>
              <w:rPr>
                <w:sz w:val="18"/>
                <w:szCs w:val="18"/>
              </w:rPr>
              <w:t>Ich habe meinen Job verloren</w:t>
            </w:r>
          </w:p>
        </w:tc>
        <w:tc>
          <w:tcPr>
            <w:tcW w:w="3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D8" w14:textId="15654D5A" w:rsidR="00C1548D" w:rsidRDefault="009B1B4B">
            <w:pPr>
              <w:spacing w:line="250" w:lineRule="auto"/>
            </w:pPr>
            <w:r>
              <w:rPr>
                <w:sz w:val="18"/>
                <w:szCs w:val="18"/>
              </w:rPr>
              <w:t>Kapitel </w:t>
            </w:r>
            <w:hyperlink w:anchor="k30" w:history="1">
              <w:r>
                <w:rPr>
                  <w:sz w:val="18"/>
                  <w:szCs w:val="18"/>
                </w:rPr>
                <w:t>30</w:t>
              </w:r>
            </w:hyperlink>
            <w:r>
              <w:rPr>
                <w:sz w:val="18"/>
                <w:szCs w:val="18"/>
              </w:rPr>
              <w:t xml:space="preserve"> (sofort)</w:t>
            </w:r>
          </w:p>
        </w:tc>
      </w:tr>
      <w:tr w:rsidR="00C1548D" w14:paraId="70A4C2DC" w14:textId="77777777">
        <w:tblPrEx>
          <w:tblCellMar>
            <w:top w:w="0" w:type="dxa"/>
            <w:bottom w:w="0" w:type="dxa"/>
          </w:tblCellMar>
        </w:tblPrEx>
        <w:trPr>
          <w:cantSplit/>
        </w:trPr>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DA" w14:textId="77777777" w:rsidR="00C1548D" w:rsidRDefault="009B1B4B">
            <w:pPr>
              <w:spacing w:line="250" w:lineRule="auto"/>
            </w:pPr>
            <w:r>
              <w:rPr>
                <w:sz w:val="18"/>
                <w:szCs w:val="18"/>
              </w:rPr>
              <w:t>Ich denke an die Rückkehr</w:t>
            </w:r>
          </w:p>
        </w:tc>
        <w:tc>
          <w:tcPr>
            <w:tcW w:w="3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DB" w14:textId="613E8177" w:rsidR="00C1548D" w:rsidRDefault="009B1B4B">
            <w:pPr>
              <w:spacing w:line="250" w:lineRule="auto"/>
            </w:pPr>
            <w:r>
              <w:rPr>
                <w:sz w:val="18"/>
                <w:szCs w:val="18"/>
              </w:rPr>
              <w:t>Kapitel </w:t>
            </w:r>
            <w:hyperlink w:anchor="k42" w:history="1">
              <w:r>
                <w:rPr>
                  <w:sz w:val="18"/>
                  <w:szCs w:val="18"/>
                </w:rPr>
                <w:t>42</w:t>
              </w:r>
            </w:hyperlink>
          </w:p>
        </w:tc>
      </w:tr>
    </w:tbl>
    <w:p w14:paraId="70A4C2DD" w14:textId="77777777" w:rsidR="00C1548D" w:rsidRDefault="00C1548D">
      <w:pPr>
        <w:spacing w:line="180" w:lineRule="exact"/>
      </w:pPr>
    </w:p>
    <w:p w14:paraId="70A4C2DE" w14:textId="77777777" w:rsidR="00C1548D" w:rsidRDefault="00C1548D">
      <w:pPr>
        <w:sectPr w:rsidR="00C1548D">
          <w:footerReference w:type="default" r:id="rId9"/>
          <w:pgSz w:w="8640" w:h="12960"/>
          <w:pgMar w:top="1080" w:right="1080" w:bottom="1100" w:left="1080" w:header="708" w:footer="708" w:gutter="0"/>
          <w:cols w:space="720"/>
          <w:docGrid w:linePitch="360"/>
        </w:sectPr>
      </w:pPr>
    </w:p>
    <w:p w14:paraId="70A4C2DF" w14:textId="77777777" w:rsidR="00C1548D" w:rsidRDefault="009B1B4B">
      <w:pPr>
        <w:pStyle w:val="Heading1"/>
        <w:jc w:val="center"/>
      </w:pPr>
      <w:bookmarkStart w:id="4" w:name="_Toc241352446"/>
      <w:r>
        <w:rPr>
          <w:rFonts w:ascii="Amazon Ember" w:eastAsia="Amazon Ember" w:hAnsi="Amazon Ember" w:cs="Amazon Ember"/>
          <w:color w:val="0000FF"/>
        </w:rPr>
        <w:lastRenderedPageBreak/>
        <w:t>TEIL UNIVERSAL — Bevor du dich entscheidest</w:t>
      </w:r>
      <w:bookmarkEnd w:id="4"/>
    </w:p>
    <w:p w14:paraId="70A4C2E0" w14:textId="77777777" w:rsidR="00C1548D" w:rsidRDefault="009B1B4B">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 und alles, was mit dem Verlassen Deutschlands zu tun hat, gehört hierher, unabhängig vom Ziel.</w:t>
      </w:r>
    </w:p>
    <w:p w14:paraId="70A4C2E1" w14:textId="77777777" w:rsidR="00C1548D" w:rsidRDefault="00C1548D">
      <w:pPr>
        <w:sectPr w:rsidR="00C1548D">
          <w:footerReference w:type="default" r:id="rId10"/>
          <w:pgSz w:w="8640" w:h="12960"/>
          <w:pgMar w:top="1080" w:right="1080" w:bottom="1100" w:left="1080" w:header="708" w:footer="708" w:gutter="0"/>
          <w:cols w:space="720"/>
          <w:vAlign w:val="center"/>
          <w:docGrid w:linePitch="360"/>
        </w:sectPr>
      </w:pPr>
    </w:p>
    <w:p w14:paraId="70A4C2E2" w14:textId="77777777" w:rsidR="00C1548D" w:rsidRDefault="009B1B4B">
      <w:pPr>
        <w:pStyle w:val="Heading2"/>
        <w:keepNext/>
        <w:pageBreakBefore/>
        <w:jc w:val="center"/>
      </w:pPr>
      <w:bookmarkStart w:id="5" w:name="_Toc241352447"/>
      <w:r>
        <w:rPr>
          <w:rFonts w:ascii="Amazon Ember" w:eastAsia="Amazon Ember" w:hAnsi="Amazon Ember" w:cs="Amazon Ember"/>
          <w:color w:val="0000FF"/>
          <w:sz w:val="36"/>
          <w:szCs w:val="36"/>
        </w:rPr>
        <w:lastRenderedPageBreak/>
        <w:t>Kapitel 1: Bist du überhaupt bereit dafür?</w:t>
      </w:r>
      <w:bookmarkEnd w:id="5"/>
    </w:p>
    <w:p w14:paraId="70A4C2E3" w14:textId="77777777" w:rsidR="00C1548D" w:rsidRDefault="009B1B4B">
      <w:pPr>
        <w:spacing w:after="140"/>
      </w:pPr>
      <w:r>
        <w:t>Um 23:47 Uhr sitzt du am Küchentisch, der Laptop-Bildschirm ist das einzige Licht im Raum, und der zwölfte geöffnete Tab heißt „Auswandern: USA oder doch lieber Kanada?“. Das Glas Wein daneben ist seit einer Stunde nicht mehr angerührt. Die drängendste Frage in diesem Moment ist aber gar nicht die nach dem Land. Es ist die Frage, ob du – mit deiner finanziellen Lage, deinem Beruf, deiner Familie, deiner Fähigkeit, mit Unsicherheit zu leben – überhaupt bereit für diesen Schritt bist, egal wohin er am Ende fü</w:t>
      </w:r>
      <w:r>
        <w:t>hrt.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2EA"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2E4" w14:textId="77777777" w:rsidR="00C1548D" w:rsidRDefault="009B1B4B">
            <w:pPr>
              <w:keepNext/>
              <w:spacing w:after="70" w:line="240" w:lineRule="auto"/>
            </w:pPr>
            <w:r>
              <w:rPr>
                <w:b/>
                <w:bCs/>
                <w:color w:val="1F3A5F"/>
                <w:spacing w:val="24"/>
                <w:sz w:val="16"/>
                <w:szCs w:val="16"/>
              </w:rPr>
              <w:t>KURZ GESAGT</w:t>
            </w:r>
          </w:p>
          <w:p w14:paraId="70A4C2E5" w14:textId="77777777" w:rsidR="00C1548D" w:rsidRDefault="009B1B4B" w:rsidP="009B1B4B">
            <w:pPr>
              <w:pStyle w:val="ListParagraph"/>
              <w:numPr>
                <w:ilvl w:val="0"/>
                <w:numId w:val="1"/>
              </w:numPr>
              <w:spacing w:after="50" w:line="264" w:lineRule="auto"/>
            </w:pPr>
            <w:r>
              <w:rPr>
                <w:sz w:val="20"/>
                <w:szCs w:val="20"/>
              </w:rPr>
              <w:t>Die Frage „Bin ich bereit?“ kommt vor der Frage „Wohin?“ – sie betrifft alle vier Zielländer gleichermaßen.</w:t>
            </w:r>
          </w:p>
          <w:p w14:paraId="70A4C2E6" w14:textId="77777777" w:rsidR="00C1548D" w:rsidRDefault="009B1B4B" w:rsidP="009B1B4B">
            <w:pPr>
              <w:pStyle w:val="ListParagraph"/>
              <w:numPr>
                <w:ilvl w:val="0"/>
                <w:numId w:val="1"/>
              </w:numPr>
              <w:spacing w:after="50" w:line="264" w:lineRule="auto"/>
            </w:pPr>
            <w:r>
              <w:rPr>
                <w:sz w:val="20"/>
                <w:szCs w:val="20"/>
              </w:rPr>
              <w:t>Acht Faktoren hängen nachweislich mit gelungener Anpassung im Ausland zusammen: Finanzen, Risikotoleranz, berufliche Übertragbarkeit, Familie, Sprache, frühere Auslandserfahrung, soziales Netz, Erwartungsmanagement.</w:t>
            </w:r>
          </w:p>
          <w:p w14:paraId="70A4C2E7" w14:textId="77777777" w:rsidR="00C1548D" w:rsidRDefault="009B1B4B" w:rsidP="009B1B4B">
            <w:pPr>
              <w:pStyle w:val="ListParagraph"/>
              <w:numPr>
                <w:ilvl w:val="0"/>
                <w:numId w:val="1"/>
              </w:numPr>
              <w:spacing w:after="50" w:line="264" w:lineRule="auto"/>
            </w:pPr>
            <w:r>
              <w:rPr>
                <w:sz w:val="20"/>
                <w:szCs w:val="20"/>
              </w:rPr>
              <w:t>Die oft zitierte Zahl, wonach 25 bis 40 % aller Auswanderer scheitern, ist ein widerlegter Mythos ohne belastbare Quelle.</w:t>
            </w:r>
          </w:p>
          <w:p w14:paraId="70A4C2E8" w14:textId="77777777" w:rsidR="00C1548D" w:rsidRDefault="009B1B4B" w:rsidP="009B1B4B">
            <w:pPr>
              <w:pStyle w:val="ListParagraph"/>
              <w:numPr>
                <w:ilvl w:val="0"/>
                <w:numId w:val="1"/>
              </w:numPr>
              <w:spacing w:after="50" w:line="264" w:lineRule="auto"/>
            </w:pPr>
            <w:r>
              <w:rPr>
                <w:sz w:val="20"/>
                <w:szCs w:val="20"/>
              </w:rPr>
              <w:t>Das Bewertungs-Raster in diesem Kapitel ist zum Ausfüllen gedacht, nicht zum Bestehen oder Durchfallen: Ein Warnsignal heißt „hier genauer hinschauen“, nicht „lass es bleiben“.</w:t>
            </w:r>
          </w:p>
          <w:p w14:paraId="70A4C2E9" w14:textId="77777777" w:rsidR="00C1548D" w:rsidRDefault="009B1B4B" w:rsidP="009B1B4B">
            <w:pPr>
              <w:pStyle w:val="ListParagraph"/>
              <w:numPr>
                <w:ilvl w:val="0"/>
                <w:numId w:val="1"/>
              </w:numPr>
              <w:spacing w:after="50" w:line="264" w:lineRule="auto"/>
            </w:pPr>
            <w:r>
              <w:rPr>
                <w:sz w:val="20"/>
                <w:szCs w:val="20"/>
              </w:rPr>
              <w:t>Am Ende weißt du, wo du stehst. Die Länderwahl selbst folgt im nächsten Kapitel.</w:t>
            </w:r>
          </w:p>
        </w:tc>
      </w:tr>
    </w:tbl>
    <w:p w14:paraId="70A4C2EB" w14:textId="77777777" w:rsidR="00C1548D" w:rsidRDefault="00C1548D">
      <w:pPr>
        <w:spacing w:line="220" w:lineRule="exact"/>
      </w:pPr>
    </w:p>
    <w:p w14:paraId="70A4C2EC" w14:textId="77777777" w:rsidR="00C1548D" w:rsidRDefault="009B1B4B">
      <w:pPr>
        <w:pStyle w:val="Heading3"/>
        <w:keepNext/>
        <w:jc w:val="center"/>
      </w:pPr>
      <w:r>
        <w:rPr>
          <w:rFonts w:ascii="Amazon Ember" w:eastAsia="Amazon Ember" w:hAnsi="Amazon Ember" w:cs="Amazon Ember"/>
          <w:color w:val="0000FF"/>
          <w:sz w:val="36"/>
          <w:szCs w:val="36"/>
        </w:rPr>
        <w:t>Warum diese Frage vor der Länderwahl steht</w:t>
      </w:r>
    </w:p>
    <w:p w14:paraId="70A4C2ED" w14:textId="77777777" w:rsidR="00C1548D" w:rsidRDefault="009B1B4B">
      <w:pPr>
        <w:spacing w:after="140"/>
      </w:pPr>
      <w:r>
        <w:t xml:space="preserve">Dieses Buch gliedert sich in einen gemeinsamen Teil für alle vier Zielländer und vier eigene Länder-Teile für USA, Kanada, Australien und Neuseeland. Die meisten Auswanderungsratgeber steigen direkt </w:t>
      </w:r>
      <w:r>
        <w:lastRenderedPageBreak/>
        <w:t>bei der Visumskategorie ein – Formular, Frist, Gebühr. Wichtig, aber das überspringt eine Frage, die dir keine Länderverwaltung stellen kann: Bist du, unabhängig vom Zielland, überhaupt in der Verfassung für diesen Schritt?</w:t>
      </w:r>
    </w:p>
    <w:p w14:paraId="70A4C2EE" w14:textId="77777777" w:rsidR="00C1548D" w:rsidRDefault="009B1B4B">
      <w:pPr>
        <w:spacing w:after="140"/>
      </w:pPr>
      <w:r>
        <w:t>Die Forschung zu Auslandsentsendungen und Migration – vor allem aus Personalpsychologie und Migrationsökonomie – hat in den vergangenen Jahrzehnten Faktoren identifiziert, die mit gelungener Anpassung im Ausland zusammenhängen. Keiner ist für sich ein Ausschlusskriterium oder eine Garantie, zusammengenommen ergeben sie aber ein brauchbares Bild davon, wo du stehst – bevor du dich mit H-1B-Lotterien, Punktesystemen oder Mangelberufslisten beschäftigst. Dieses Kapitel ordnet die Faktoren in ein Raster zum Aus</w:t>
      </w:r>
      <w:r>
        <w:t>füllen und räumt vorher mit der bekanntesten Falle auf: einer Zahl, die es so nie gegeben hat.</w:t>
      </w:r>
    </w:p>
    <w:p w14:paraId="70A4C2EF" w14:textId="77777777" w:rsidR="00C1548D" w:rsidRDefault="009B1B4B">
      <w:pPr>
        <w:spacing w:after="140"/>
      </w:pPr>
      <w:r>
        <w:t>Egal ob du allein ziehst, mit Partner oder mit Kindern im Schulalter: Die acht Faktoren gelten unabhängig davon, ob am Ende die USA, Kanada, Australien oder Neuseeland auf deiner Liste stehen. Das nächste Kapitel vergleicht die vier Länder entlang objektiver Kriterien wie Einwanderungssystem, Gesundheitsversorgung und Steuerlast; dieses Kapitel fragt nach etwas, das keine Behörde und keine Scorecard beantworten kann: Passt der Schritt an sich zu deinem Leben, so wie es gerade ist?</w:t>
      </w:r>
    </w:p>
    <w:p w14:paraId="70A4C2F0" w14:textId="77777777" w:rsidR="00C1548D" w:rsidRDefault="009B1B4B">
      <w:pPr>
        <w:pStyle w:val="Heading3"/>
        <w:keepNext/>
        <w:jc w:val="center"/>
      </w:pPr>
      <w:r>
        <w:rPr>
          <w:rFonts w:ascii="Amazon Ember" w:eastAsia="Amazon Ember" w:hAnsi="Amazon Ember" w:cs="Amazon Ember"/>
          <w:color w:val="0000FF"/>
          <w:sz w:val="36"/>
          <w:szCs w:val="36"/>
        </w:rPr>
        <w:t>Plus und Minus einer ehrlichen Bestandsaufnahme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2F3"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2F1"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2F2" w14:textId="77777777" w:rsidR="00C1548D" w:rsidRDefault="009B1B4B">
            <w:pPr>
              <w:spacing w:line="250" w:lineRule="auto"/>
            </w:pPr>
            <w:r>
              <w:rPr>
                <w:b/>
                <w:bCs/>
                <w:sz w:val="18"/>
                <w:szCs w:val="18"/>
              </w:rPr>
              <w:t>Minus</w:t>
            </w:r>
          </w:p>
        </w:tc>
      </w:tr>
      <w:tr w:rsidR="00C1548D" w14:paraId="70A4C2F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F4" w14:textId="77777777" w:rsidR="00C1548D" w:rsidRDefault="009B1B4B">
            <w:pPr>
              <w:spacing w:line="250" w:lineRule="auto"/>
            </w:pPr>
            <w:r>
              <w:rPr>
                <w:sz w:val="18"/>
                <w:szCs w:val="18"/>
              </w:rPr>
              <w:t>Deckt blinde Flecken auf, bevor sie zu teuren Überraschungen werden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F5" w14:textId="77777777" w:rsidR="00C1548D" w:rsidRDefault="009B1B4B">
            <w:pPr>
              <w:spacing w:line="250" w:lineRule="auto"/>
            </w:pPr>
            <w:r>
              <w:rPr>
                <w:sz w:val="18"/>
                <w:szCs w:val="18"/>
              </w:rPr>
              <w:t>Ersetzt keine rechtliche, steuerliche oder psychologische Fachberatung</w:t>
            </w:r>
          </w:p>
        </w:tc>
      </w:tr>
      <w:tr w:rsidR="00C1548D" w14:paraId="70A4C2F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F7" w14:textId="77777777" w:rsidR="00C1548D" w:rsidRDefault="009B1B4B">
            <w:pPr>
              <w:spacing w:line="250" w:lineRule="auto"/>
            </w:pPr>
            <w:r>
              <w:rPr>
                <w:sz w:val="18"/>
                <w:szCs w:val="18"/>
              </w:rPr>
              <w:t>Schafft eine gemeinsame Gesprächsgrundlage für Partner und Familie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F8" w14:textId="77777777" w:rsidR="00C1548D" w:rsidRDefault="009B1B4B">
            <w:pPr>
              <w:spacing w:line="250" w:lineRule="auto"/>
            </w:pPr>
            <w:r>
              <w:rPr>
                <w:sz w:val="18"/>
                <w:szCs w:val="18"/>
              </w:rPr>
              <w:t>Ein niedriger Wert kann kurzfristig verunsichern, wenn man ihn falsch liest</w:t>
            </w:r>
          </w:p>
        </w:tc>
      </w:tr>
      <w:tr w:rsidR="00C1548D" w14:paraId="70A4C2F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FA" w14:textId="77777777" w:rsidR="00C1548D" w:rsidRDefault="009B1B4B">
            <w:pPr>
              <w:spacing w:line="250" w:lineRule="auto"/>
            </w:pPr>
            <w:r>
              <w:rPr>
                <w:sz w:val="18"/>
                <w:szCs w:val="18"/>
              </w:rPr>
              <w:lastRenderedPageBreak/>
              <w:t>Nimmt einer vagen Angst die Kontur und macht sie konkret bearbeitbar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FB" w14:textId="77777777" w:rsidR="00C1548D" w:rsidRDefault="009B1B4B">
            <w:pPr>
              <w:spacing w:line="250" w:lineRule="auto"/>
            </w:pPr>
            <w:r>
              <w:rPr>
                <w:sz w:val="18"/>
                <w:szCs w:val="18"/>
              </w:rPr>
              <w:t>Kein validierter psychometrischer Test, sondern eine strukturierte Selbstauskunft</w:t>
            </w:r>
          </w:p>
        </w:tc>
      </w:tr>
      <w:tr w:rsidR="00C1548D" w14:paraId="70A4C2F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FD" w14:textId="77777777" w:rsidR="00C1548D" w:rsidRDefault="009B1B4B">
            <w:pPr>
              <w:spacing w:line="250" w:lineRule="auto"/>
            </w:pPr>
            <w:r>
              <w:rPr>
                <w:sz w:val="18"/>
                <w:szCs w:val="18"/>
              </w:rPr>
              <w:t>Lässt sich beliebig oft wiederholen, ohne Kosten oder Anmeldung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2FE" w14:textId="77777777" w:rsidR="00C1548D" w:rsidRDefault="009B1B4B">
            <w:pPr>
              <w:spacing w:line="250" w:lineRule="auto"/>
            </w:pPr>
            <w:r>
              <w:rPr>
                <w:sz w:val="18"/>
                <w:szCs w:val="18"/>
              </w:rPr>
              <w:t>Ehrliche Antworten setzen voraus, dass du dir selbst nichts vormachst</w:t>
            </w:r>
          </w:p>
        </w:tc>
      </w:tr>
    </w:tbl>
    <w:p w14:paraId="70A4C300" w14:textId="77777777" w:rsidR="00C1548D" w:rsidRDefault="00C1548D">
      <w:pPr>
        <w:spacing w:line="180" w:lineRule="exact"/>
      </w:pPr>
    </w:p>
    <w:p w14:paraId="70A4C301" w14:textId="77777777" w:rsidR="00C1548D" w:rsidRDefault="009B1B4B">
      <w:pPr>
        <w:pStyle w:val="Heading3"/>
        <w:keepNext/>
        <w:jc w:val="center"/>
      </w:pPr>
      <w:r>
        <w:rPr>
          <w:rFonts w:ascii="Amazon Ember" w:eastAsia="Amazon Ember" w:hAnsi="Amazon Ember" w:cs="Amazon Ember"/>
          <w:color w:val="0000FF"/>
          <w:sz w:val="36"/>
          <w:szCs w:val="36"/>
        </w:rPr>
        <w:t>Verbreiteter Irrtum: die angebliche Scheiterquote von 25 bis 40 %</w:t>
      </w:r>
    </w:p>
    <w:p w14:paraId="70A4C302" w14:textId="77777777" w:rsidR="00C1548D" w:rsidRDefault="009B1B4B">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w14:paraId="70A4C303" w14:textId="77777777" w:rsidR="00C1548D" w:rsidRDefault="009B1B4B">
      <w:pPr>
        <w:spacing w:after="140"/>
      </w:pPr>
      <w:r>
        <w:t>Die Migrationsforscherin Anne-Wil Harzing ist dieser Zahl in den 1990er-Jahren nachgegangen und wurde in einer 1979 erschienenen, selbst unbelegten Publikation zweier Unternehmensberater fündig – dem einzigen auffindbaren Ursprung. Seither wurde die Zahl in Fachartikeln und Ratgebern immer wieder zitiert, ohne dass jemand sie neu geprüft hätte: ein klassischer Fall von Zitierketten, die sich gegenseitig scheinbar bestätigen, ohne dass am Anfang je eine echte Erhebung stand.</w:t>
      </w:r>
    </w:p>
    <w:p w14:paraId="70A4C304" w14:textId="77777777" w:rsidR="00C1548D" w:rsidRDefault="009B1B4B">
      <w:pPr>
        <w:spacing w:after="140"/>
      </w:pPr>
      <w:r>
        <w:t>Belastbarer, aber deutlich enger gefasst, sind Umfragen unter Unternehmen zu ihren entsandten Fach- und Führungskräften: Danach werden familiäre Anpassungsprobleme als Grund für rund ein Drittel der vorzeitig abgebrochenen Auslandsentsendungen genannt – aber das betrifft ausschließlich bezahlte Firmenentsendungen mit Rückkehrgarantie, nicht die freiwillige, private Auswanderung, um die es in diesem Buch geht, und die zugrunde liegenden Erhebungen sind inzwischen ein Jahrzehnt oder älter.</w:t>
      </w:r>
    </w:p>
    <w:p w14:paraId="70A4C305" w14:textId="77777777" w:rsidR="00C1548D" w:rsidRDefault="009B1B4B">
      <w:pPr>
        <w:spacing w:after="140"/>
      </w:pPr>
      <w:r>
        <w:lastRenderedPageBreak/>
        <w:t xml:space="preserve">Für die ehrliche Bilanz bedeutet das: Es gibt schlicht keine verlässliche Zahl dafür, wie viele private Auswanderer scheitern oder was „Scheitern“ überhaupt genau bedeutet –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w:t>
      </w:r>
      <w:r>
        <w:t>Faktoren in deinem eigenen Leben.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08"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306" w14:textId="77777777" w:rsidR="00C1548D" w:rsidRDefault="009B1B4B">
            <w:pPr>
              <w:keepNext/>
              <w:spacing w:after="70" w:line="240" w:lineRule="auto"/>
            </w:pPr>
            <w:r>
              <w:rPr>
                <w:b/>
                <w:bCs/>
                <w:color w:val="8A6212"/>
                <w:spacing w:val="24"/>
                <w:sz w:val="16"/>
                <w:szCs w:val="16"/>
              </w:rPr>
              <w:t>MERKE</w:t>
            </w:r>
          </w:p>
          <w:p w14:paraId="70A4C307" w14:textId="77777777" w:rsidR="00C1548D" w:rsidRDefault="009B1B4B">
            <w:pPr>
              <w:spacing w:after="80" w:line="264" w:lineRule="auto"/>
            </w:pPr>
            <w:r>
              <w:rPr>
                <w:sz w:val="20"/>
                <w:szCs w:val="20"/>
              </w:rPr>
              <w:t>Es gibt keine verlässliche Zahl dafür, wie viele Auswanderer scheitern. Was zählt, ist nicht eine zitierte Statistik, sondern deine eigene, ehrliche Einschätzung der acht Faktoren in diesem Kapitel.</w:t>
            </w:r>
          </w:p>
        </w:tc>
      </w:tr>
    </w:tbl>
    <w:p w14:paraId="70A4C309" w14:textId="77777777" w:rsidR="00C1548D" w:rsidRDefault="00C1548D">
      <w:pPr>
        <w:spacing w:line="220" w:lineRule="exact"/>
      </w:pPr>
    </w:p>
    <w:p w14:paraId="70A4C30A" w14:textId="77777777" w:rsidR="00C1548D" w:rsidRDefault="009B1B4B">
      <w:pPr>
        <w:pStyle w:val="Heading3"/>
        <w:keepNext/>
        <w:jc w:val="center"/>
      </w:pPr>
      <w:r>
        <w:rPr>
          <w:rFonts w:ascii="Amazon Ember" w:eastAsia="Amazon Ember" w:hAnsi="Amazon Ember" w:cs="Amazon Ember"/>
          <w:color w:val="0000FF"/>
          <w:sz w:val="36"/>
          <w:szCs w:val="36"/>
        </w:rPr>
        <w:t>Das Bewertungs-Raster: acht Faktoren, eine ehrliche Bestandsaufnahme</w:t>
      </w:r>
    </w:p>
    <w:p w14:paraId="70A4C30B" w14:textId="77777777" w:rsidR="00C1548D" w:rsidRDefault="009B1B4B">
      <w:pPr>
        <w:spacing w:after="140"/>
      </w:pPr>
      <w:r>
        <w:t>Die folgende Tabelle fasst acht Faktoren zusammen, die in der Forschung zu Auslandsaufenthalten wiederholt mit gelungener Anpassung, Zufriedenheit oder – umgekehrt – mit Abbruch und Rückkehr in Verbindung stehen. Fülle sie in Ruhe aus, wenn möglich gemeinsam mit Partner oder Partnerin: Eine ehrliche 2 ist mehr wert als eine geschönte 4. Trage in die letzte Spalte eine Zahl von 1 (trifft kaum zu) bis 5 (trifft voll zu) ein – ein niedriger Wert ist kein Abbruchgrund, sondern eine Arbeitsliste.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1"/>
        <w:gridCol w:w="1926"/>
        <w:gridCol w:w="2403"/>
        <w:gridCol w:w="950"/>
      </w:tblGrid>
      <w:tr w:rsidR="00C1548D" w14:paraId="70A4C310" w14:textId="77777777">
        <w:tblPrEx>
          <w:tblCellMar>
            <w:top w:w="0" w:type="dxa"/>
            <w:bottom w:w="0" w:type="dxa"/>
          </w:tblCellMar>
        </w:tblPrEx>
        <w:trPr>
          <w:cantSplit/>
          <w:tblHeader/>
        </w:trPr>
        <w:tc>
          <w:tcPr>
            <w:tcW w:w="120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0C" w14:textId="77777777" w:rsidR="00C1548D" w:rsidRDefault="009B1B4B">
            <w:pPr>
              <w:spacing w:line="250" w:lineRule="auto"/>
            </w:pPr>
            <w:r>
              <w:rPr>
                <w:b/>
                <w:bCs/>
                <w:sz w:val="18"/>
                <w:szCs w:val="18"/>
              </w:rPr>
              <w:lastRenderedPageBreak/>
              <w:t>Faktor</w:t>
            </w:r>
          </w:p>
        </w:tc>
        <w:tc>
          <w:tcPr>
            <w:tcW w:w="192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0D" w14:textId="77777777" w:rsidR="00C1548D" w:rsidRDefault="009B1B4B">
            <w:pPr>
              <w:spacing w:line="250" w:lineRule="auto"/>
            </w:pPr>
            <w:r>
              <w:rPr>
                <w:b/>
                <w:bCs/>
                <w:sz w:val="18"/>
                <w:szCs w:val="18"/>
              </w:rPr>
              <w:t>Leitfrage zum Ausfüllen</w:t>
            </w:r>
          </w:p>
        </w:tc>
        <w:tc>
          <w:tcPr>
            <w:tcW w:w="24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0E" w14:textId="77777777" w:rsidR="00C1548D" w:rsidRDefault="009B1B4B">
            <w:pPr>
              <w:spacing w:line="250" w:lineRule="auto"/>
            </w:pPr>
            <w:r>
              <w:rPr>
                <w:b/>
                <w:bCs/>
                <w:sz w:val="18"/>
                <w:szCs w:val="18"/>
              </w:rPr>
              <w:t>Warnsignal</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0F" w14:textId="77777777" w:rsidR="00C1548D" w:rsidRDefault="009B1B4B">
            <w:pPr>
              <w:spacing w:line="250" w:lineRule="auto"/>
            </w:pPr>
            <w:r>
              <w:rPr>
                <w:b/>
                <w:bCs/>
                <w:sz w:val="18"/>
                <w:szCs w:val="18"/>
              </w:rPr>
              <w:t>Deine Einschätzung (1–5)</w:t>
            </w:r>
          </w:p>
        </w:tc>
      </w:tr>
      <w:tr w:rsidR="00C1548D" w14:paraId="70A4C315" w14:textId="77777777">
        <w:tblPrEx>
          <w:tblCellMar>
            <w:top w:w="0" w:type="dxa"/>
            <w:bottom w:w="0" w:type="dxa"/>
          </w:tblCellMar>
        </w:tblPrEx>
        <w:trPr>
          <w:cantSplit/>
        </w:trPr>
        <w:tc>
          <w:tcPr>
            <w:tcW w:w="12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1" w14:textId="77777777" w:rsidR="00C1548D" w:rsidRDefault="009B1B4B">
            <w:pPr>
              <w:spacing w:line="250" w:lineRule="auto"/>
            </w:pPr>
            <w:r>
              <w:rPr>
                <w:sz w:val="18"/>
                <w:szCs w:val="18"/>
              </w:rPr>
              <w:t>Finanzielle Rücklage</w:t>
            </w:r>
          </w:p>
        </w:tc>
        <w:tc>
          <w:tcPr>
            <w:tcW w:w="19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2" w14:textId="77777777" w:rsidR="00C1548D" w:rsidRDefault="009B1B4B">
            <w:pPr>
              <w:spacing w:line="250" w:lineRule="auto"/>
            </w:pPr>
            <w:r>
              <w:rPr>
                <w:sz w:val="18"/>
                <w:szCs w:val="18"/>
              </w:rPr>
              <w:t>Hast du mindestens 3–6 Monatsausgaben am Zielort plus Umzugskosten als Puffer, unabhängig vom ersten Gehalt?</w:t>
            </w:r>
          </w:p>
        </w:tc>
        <w:tc>
          <w:tcPr>
            <w:tcW w:w="2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3" w14:textId="77777777" w:rsidR="00C1548D" w:rsidRDefault="009B1B4B">
            <w:pPr>
              <w:spacing w:line="250" w:lineRule="auto"/>
            </w:pPr>
            <w:r>
              <w:rPr>
                <w:sz w:val="18"/>
                <w:szCs w:val="18"/>
              </w:rPr>
              <w:t>Die Rücklage hängt vollständig vom pünktlichen ersten Gehaltseingang im Ausland ab</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4" w14:textId="77777777" w:rsidR="00C1548D" w:rsidRDefault="00C1548D">
            <w:pPr>
              <w:spacing w:line="250" w:lineRule="auto"/>
            </w:pPr>
          </w:p>
        </w:tc>
      </w:tr>
      <w:tr w:rsidR="00C1548D" w14:paraId="70A4C31A" w14:textId="77777777">
        <w:tblPrEx>
          <w:tblCellMar>
            <w:top w:w="0" w:type="dxa"/>
            <w:bottom w:w="0" w:type="dxa"/>
          </w:tblCellMar>
        </w:tblPrEx>
        <w:trPr>
          <w:cantSplit/>
        </w:trPr>
        <w:tc>
          <w:tcPr>
            <w:tcW w:w="12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6" w14:textId="77777777" w:rsidR="00C1548D" w:rsidRDefault="009B1B4B">
            <w:pPr>
              <w:spacing w:line="250" w:lineRule="auto"/>
            </w:pPr>
            <w:r>
              <w:rPr>
                <w:sz w:val="18"/>
                <w:szCs w:val="18"/>
              </w:rPr>
              <w:t>Risikotoleranz</w:t>
            </w:r>
          </w:p>
        </w:tc>
        <w:tc>
          <w:tcPr>
            <w:tcW w:w="19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7" w14:textId="77777777" w:rsidR="00C1548D" w:rsidRDefault="009B1B4B">
            <w:pPr>
              <w:spacing w:line="250" w:lineRule="auto"/>
            </w:pPr>
            <w:r>
              <w:rPr>
                <w:sz w:val="18"/>
                <w:szCs w:val="18"/>
              </w:rPr>
              <w:t>Wie gehst du grundsätzlich mit Unsicherheit und Plänen um, die sich kurzfristig ändern?</w:t>
            </w:r>
          </w:p>
        </w:tc>
        <w:tc>
          <w:tcPr>
            <w:tcW w:w="2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8" w14:textId="77777777" w:rsidR="00C1548D" w:rsidRDefault="009B1B4B">
            <w:pPr>
              <w:spacing w:line="250" w:lineRule="auto"/>
            </w:pPr>
            <w:r>
              <w:rPr>
                <w:sz w:val="18"/>
                <w:szCs w:val="18"/>
              </w:rPr>
              <w:t>Schon kleinere Planänderungen im Alltag belasten dich stark</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9" w14:textId="77777777" w:rsidR="00C1548D" w:rsidRDefault="00C1548D">
            <w:pPr>
              <w:spacing w:line="250" w:lineRule="auto"/>
            </w:pPr>
          </w:p>
        </w:tc>
      </w:tr>
      <w:tr w:rsidR="00C1548D" w14:paraId="70A4C31F" w14:textId="77777777">
        <w:tblPrEx>
          <w:tblCellMar>
            <w:top w:w="0" w:type="dxa"/>
            <w:bottom w:w="0" w:type="dxa"/>
          </w:tblCellMar>
        </w:tblPrEx>
        <w:trPr>
          <w:cantSplit/>
        </w:trPr>
        <w:tc>
          <w:tcPr>
            <w:tcW w:w="12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B" w14:textId="77777777" w:rsidR="00C1548D" w:rsidRDefault="009B1B4B">
            <w:pPr>
              <w:spacing w:line="250" w:lineRule="auto"/>
            </w:pPr>
            <w:r>
              <w:rPr>
                <w:sz w:val="18"/>
                <w:szCs w:val="18"/>
              </w:rPr>
              <w:t>Berufliche Übertragbarkeit</w:t>
            </w:r>
          </w:p>
        </w:tc>
        <w:tc>
          <w:tcPr>
            <w:tcW w:w="19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C" w14:textId="77777777" w:rsidR="00C1548D" w:rsidRDefault="009B1B4B">
            <w:pPr>
              <w:spacing w:line="250" w:lineRule="auto"/>
            </w:pPr>
            <w:r>
              <w:rPr>
                <w:sz w:val="18"/>
                <w:szCs w:val="18"/>
              </w:rPr>
              <w:t>Ist dein Abschluss oder deine Berufszulassung im Zielland anerkennungsfähig, und kennst du die Dauer des Verfahrens?</w:t>
            </w:r>
          </w:p>
        </w:tc>
        <w:tc>
          <w:tcPr>
            <w:tcW w:w="2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D" w14:textId="77777777" w:rsidR="00C1548D" w:rsidRDefault="009B1B4B">
            <w:pPr>
              <w:spacing w:line="250" w:lineRule="auto"/>
            </w:pPr>
            <w:r>
              <w:rPr>
                <w:sz w:val="18"/>
                <w:szCs w:val="18"/>
              </w:rPr>
              <w:t>Das Anerkennungsverfahren deines Berufs hast du noch nicht geprüft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1E" w14:textId="77777777" w:rsidR="00C1548D" w:rsidRDefault="00C1548D">
            <w:pPr>
              <w:spacing w:line="250" w:lineRule="auto"/>
            </w:pPr>
          </w:p>
        </w:tc>
      </w:tr>
      <w:tr w:rsidR="00C1548D" w14:paraId="70A4C324" w14:textId="77777777">
        <w:tblPrEx>
          <w:tblCellMar>
            <w:top w:w="0" w:type="dxa"/>
            <w:bottom w:w="0" w:type="dxa"/>
          </w:tblCellMar>
        </w:tblPrEx>
        <w:trPr>
          <w:cantSplit/>
        </w:trPr>
        <w:tc>
          <w:tcPr>
            <w:tcW w:w="12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0" w14:textId="77777777" w:rsidR="00C1548D" w:rsidRDefault="009B1B4B">
            <w:pPr>
              <w:spacing w:line="250" w:lineRule="auto"/>
            </w:pPr>
            <w:r>
              <w:rPr>
                <w:sz w:val="18"/>
                <w:szCs w:val="18"/>
              </w:rPr>
              <w:t>Zustimmung von Partner/Kindern</w:t>
            </w:r>
          </w:p>
        </w:tc>
        <w:tc>
          <w:tcPr>
            <w:tcW w:w="19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1" w14:textId="77777777" w:rsidR="00C1548D" w:rsidRDefault="009B1B4B">
            <w:pPr>
              <w:spacing w:line="250" w:lineRule="auto"/>
            </w:pPr>
            <w:r>
              <w:rPr>
                <w:sz w:val="18"/>
                <w:szCs w:val="18"/>
              </w:rPr>
              <w:t>Steht die ganze Familie hinter dem Plan, nicht nur du allein?</w:t>
            </w:r>
          </w:p>
        </w:tc>
        <w:tc>
          <w:tcPr>
            <w:tcW w:w="2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2" w14:textId="77777777" w:rsidR="00C1548D" w:rsidRDefault="009B1B4B">
            <w:pPr>
              <w:spacing w:line="250" w:lineRule="auto"/>
            </w:pPr>
            <w:r>
              <w:rPr>
                <w:sz w:val="18"/>
                <w:szCs w:val="18"/>
              </w:rPr>
              <w:t>Partner oder ältere Kinder sind unentschlossen oder dagegen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3" w14:textId="77777777" w:rsidR="00C1548D" w:rsidRDefault="00C1548D">
            <w:pPr>
              <w:spacing w:line="250" w:lineRule="auto"/>
            </w:pPr>
          </w:p>
        </w:tc>
      </w:tr>
      <w:tr w:rsidR="00C1548D" w14:paraId="70A4C329" w14:textId="77777777">
        <w:tblPrEx>
          <w:tblCellMar>
            <w:top w:w="0" w:type="dxa"/>
            <w:bottom w:w="0" w:type="dxa"/>
          </w:tblCellMar>
        </w:tblPrEx>
        <w:trPr>
          <w:cantSplit/>
        </w:trPr>
        <w:tc>
          <w:tcPr>
            <w:tcW w:w="12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5" w14:textId="77777777" w:rsidR="00C1548D" w:rsidRDefault="009B1B4B">
            <w:pPr>
              <w:spacing w:line="250" w:lineRule="auto"/>
            </w:pPr>
            <w:r>
              <w:rPr>
                <w:sz w:val="18"/>
                <w:szCs w:val="18"/>
              </w:rPr>
              <w:t>Sprachniveau</w:t>
            </w:r>
          </w:p>
        </w:tc>
        <w:tc>
          <w:tcPr>
            <w:tcW w:w="19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6" w14:textId="77777777" w:rsidR="00C1548D" w:rsidRDefault="009B1B4B">
            <w:pPr>
              <w:spacing w:line="250" w:lineRule="auto"/>
            </w:pPr>
            <w:r>
              <w:rPr>
                <w:sz w:val="18"/>
                <w:szCs w:val="18"/>
              </w:rPr>
              <w:t>Reicht dein Englisch für Behördengänge und Fachjargon, nicht nur für Small Talk im Urlaub?</w:t>
            </w:r>
          </w:p>
        </w:tc>
        <w:tc>
          <w:tcPr>
            <w:tcW w:w="2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7" w14:textId="77777777" w:rsidR="00C1548D" w:rsidRDefault="009B1B4B">
            <w:pPr>
              <w:spacing w:line="250" w:lineRule="auto"/>
            </w:pPr>
            <w:r>
              <w:rPr>
                <w:sz w:val="18"/>
                <w:szCs w:val="18"/>
              </w:rPr>
              <w:t>Schon Behördendeutsch bereitet dir auf Deutsch Mühe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8" w14:textId="77777777" w:rsidR="00C1548D" w:rsidRDefault="00C1548D">
            <w:pPr>
              <w:spacing w:line="250" w:lineRule="auto"/>
            </w:pPr>
          </w:p>
        </w:tc>
      </w:tr>
      <w:tr w:rsidR="00C1548D" w14:paraId="70A4C32E" w14:textId="77777777">
        <w:tblPrEx>
          <w:tblCellMar>
            <w:top w:w="0" w:type="dxa"/>
            <w:bottom w:w="0" w:type="dxa"/>
          </w:tblCellMar>
        </w:tblPrEx>
        <w:trPr>
          <w:cantSplit/>
        </w:trPr>
        <w:tc>
          <w:tcPr>
            <w:tcW w:w="12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A" w14:textId="77777777" w:rsidR="00C1548D" w:rsidRDefault="009B1B4B">
            <w:pPr>
              <w:spacing w:line="250" w:lineRule="auto"/>
            </w:pPr>
            <w:r>
              <w:rPr>
                <w:sz w:val="18"/>
                <w:szCs w:val="18"/>
              </w:rPr>
              <w:t>Frühere Auslandserfahrung</w:t>
            </w:r>
          </w:p>
        </w:tc>
        <w:tc>
          <w:tcPr>
            <w:tcW w:w="19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B" w14:textId="77777777" w:rsidR="00C1548D" w:rsidRDefault="009B1B4B">
            <w:pPr>
              <w:spacing w:line="250" w:lineRule="auto"/>
            </w:pPr>
            <w:r>
              <w:rPr>
                <w:sz w:val="18"/>
                <w:szCs w:val="18"/>
              </w:rPr>
              <w:t>Hast du schon einmal mehrere Monate am Stück im Ausland gelebt, gearbeitet oder studiert?</w:t>
            </w:r>
          </w:p>
        </w:tc>
        <w:tc>
          <w:tcPr>
            <w:tcW w:w="2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C" w14:textId="77777777" w:rsidR="00C1548D" w:rsidRDefault="009B1B4B">
            <w:pPr>
              <w:spacing w:line="250" w:lineRule="auto"/>
            </w:pPr>
            <w:r>
              <w:rPr>
                <w:sz w:val="18"/>
                <w:szCs w:val="18"/>
              </w:rPr>
              <w:t>Kein Bezugspunkt dafür, wie sich Monate fern der Heimat anfühlen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D" w14:textId="77777777" w:rsidR="00C1548D" w:rsidRDefault="00C1548D">
            <w:pPr>
              <w:spacing w:line="250" w:lineRule="auto"/>
            </w:pPr>
          </w:p>
        </w:tc>
      </w:tr>
      <w:tr w:rsidR="00C1548D" w14:paraId="70A4C333" w14:textId="77777777">
        <w:tblPrEx>
          <w:tblCellMar>
            <w:top w:w="0" w:type="dxa"/>
            <w:bottom w:w="0" w:type="dxa"/>
          </w:tblCellMar>
        </w:tblPrEx>
        <w:trPr>
          <w:cantSplit/>
        </w:trPr>
        <w:tc>
          <w:tcPr>
            <w:tcW w:w="12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2F" w14:textId="77777777" w:rsidR="00C1548D" w:rsidRDefault="009B1B4B">
            <w:pPr>
              <w:spacing w:line="250" w:lineRule="auto"/>
            </w:pPr>
            <w:r>
              <w:rPr>
                <w:sz w:val="18"/>
                <w:szCs w:val="18"/>
              </w:rPr>
              <w:t>Soziales Unterstützungsnetz</w:t>
            </w:r>
          </w:p>
        </w:tc>
        <w:tc>
          <w:tcPr>
            <w:tcW w:w="19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30" w14:textId="77777777" w:rsidR="00C1548D" w:rsidRDefault="009B1B4B">
            <w:pPr>
              <w:spacing w:line="250" w:lineRule="auto"/>
            </w:pPr>
            <w:r>
              <w:rPr>
                <w:sz w:val="18"/>
                <w:szCs w:val="18"/>
              </w:rPr>
              <w:t>Kennst du bereits jemanden vor Ort oder eine Community, digital oder persönlich?</w:t>
            </w:r>
          </w:p>
        </w:tc>
        <w:tc>
          <w:tcPr>
            <w:tcW w:w="2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31" w14:textId="77777777" w:rsidR="00C1548D" w:rsidRDefault="009B1B4B">
            <w:pPr>
              <w:spacing w:line="250" w:lineRule="auto"/>
            </w:pPr>
            <w:r>
              <w:rPr>
                <w:sz w:val="18"/>
                <w:szCs w:val="18"/>
              </w:rPr>
              <w:t>Keine einzige Verbindung zum Zielland oder zu bestehenden Communitys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32" w14:textId="77777777" w:rsidR="00C1548D" w:rsidRDefault="00C1548D">
            <w:pPr>
              <w:spacing w:line="250" w:lineRule="auto"/>
            </w:pPr>
          </w:p>
        </w:tc>
      </w:tr>
      <w:tr w:rsidR="00C1548D" w14:paraId="70A4C338" w14:textId="77777777">
        <w:tblPrEx>
          <w:tblCellMar>
            <w:top w:w="0" w:type="dxa"/>
            <w:bottom w:w="0" w:type="dxa"/>
          </w:tblCellMar>
        </w:tblPrEx>
        <w:trPr>
          <w:cantSplit/>
        </w:trPr>
        <w:tc>
          <w:tcPr>
            <w:tcW w:w="12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34" w14:textId="77777777" w:rsidR="00C1548D" w:rsidRDefault="009B1B4B">
            <w:pPr>
              <w:spacing w:line="250" w:lineRule="auto"/>
            </w:pPr>
            <w:r>
              <w:rPr>
                <w:sz w:val="18"/>
                <w:szCs w:val="18"/>
              </w:rPr>
              <w:lastRenderedPageBreak/>
              <w:t>Erwartungsmanagement</w:t>
            </w:r>
          </w:p>
        </w:tc>
        <w:tc>
          <w:tcPr>
            <w:tcW w:w="19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35" w14:textId="77777777" w:rsidR="00C1548D" w:rsidRDefault="009B1B4B">
            <w:pPr>
              <w:spacing w:line="250" w:lineRule="auto"/>
            </w:pPr>
            <w:r>
              <w:rPr>
                <w:sz w:val="18"/>
                <w:szCs w:val="18"/>
              </w:rPr>
              <w:t>Stützt sich deine Vorstellung vom Alltag auf Recherche – oder vor allem auf Filme und Urlaubserinnerungen?</w:t>
            </w:r>
          </w:p>
        </w:tc>
        <w:tc>
          <w:tcPr>
            <w:tcW w:w="2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36" w14:textId="77777777" w:rsidR="00C1548D" w:rsidRDefault="009B1B4B">
            <w:pPr>
              <w:spacing w:line="250" w:lineRule="auto"/>
            </w:pPr>
            <w:r>
              <w:rPr>
                <w:sz w:val="18"/>
                <w:szCs w:val="18"/>
              </w:rPr>
              <w:t>Deine Erwartung speist sich hauptsächlich aus zwei Wochen Ferienreise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37" w14:textId="77777777" w:rsidR="00C1548D" w:rsidRDefault="00C1548D">
            <w:pPr>
              <w:spacing w:line="250" w:lineRule="auto"/>
            </w:pPr>
          </w:p>
        </w:tc>
      </w:tr>
    </w:tbl>
    <w:p w14:paraId="70A4C339"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3C"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33A" w14:textId="77777777" w:rsidR="00C1548D" w:rsidRDefault="009B1B4B">
            <w:pPr>
              <w:keepNext/>
              <w:spacing w:after="70" w:line="240" w:lineRule="auto"/>
            </w:pPr>
            <w:r>
              <w:rPr>
                <w:b/>
                <w:bCs/>
                <w:color w:val="4A5568"/>
                <w:spacing w:val="24"/>
                <w:sz w:val="16"/>
                <w:szCs w:val="16"/>
              </w:rPr>
              <w:t>PRAXISBEISPIEL · FIKTIV</w:t>
            </w:r>
          </w:p>
          <w:p w14:paraId="70A4C33B" w14:textId="77777777" w:rsidR="00C1548D" w:rsidRDefault="009B1B4B">
            <w:pPr>
              <w:spacing w:after="80" w:line="264" w:lineRule="auto"/>
            </w:pPr>
            <w:r>
              <w:rPr>
                <w:sz w:val="20"/>
                <w:szCs w:val="20"/>
              </w:rPr>
              <w:t>Jonas Ritter (fiktives Beispiel, nur in diesem und dem folgenden Kapitel verwendet), 33, Wirtschaftsinformatiker aus Freiburg, füllt das Raster mit seiner Partnerin Sarah, 30, Ergotherapeutin, und Tochter Mila, 4, gemeinsam aus. Bei der finanziellen Rücklage tragen beide eine 4 ein – sie haben bewusst zwölf statt sechs Monatsausgaben zurückgelegt. Unangenehmer wird es bei der beruflichen Übertragbarkeit: Sarah hat noch nicht geprüft, ob ihre Ausbildung im Zielland überhaupt anerkannt wird, und trägt ehrlich</w:t>
            </w:r>
            <w:r>
              <w:rPr>
                <w:sz w:val="20"/>
                <w:szCs w:val="20"/>
              </w:rPr>
              <w:t xml:space="preserve"> eine 2 ein. Das ist für die beiden kein Abbruchgrund, aber eine klare Aufgabe vor jeder weiteren Planung: die zuständige Anerkennungsstelle kontaktieren, bevor sie sich mit Visakategorien beschäftigen.</w:t>
            </w:r>
          </w:p>
        </w:tc>
      </w:tr>
    </w:tbl>
    <w:p w14:paraId="70A4C33D" w14:textId="77777777" w:rsidR="00C1548D" w:rsidRDefault="00C1548D">
      <w:pPr>
        <w:spacing w:line="220" w:lineRule="exact"/>
      </w:pPr>
    </w:p>
    <w:p w14:paraId="70A4C33E" w14:textId="77777777" w:rsidR="00C1548D" w:rsidRDefault="009B1B4B">
      <w:pPr>
        <w:pStyle w:val="Heading3"/>
        <w:keepNext/>
        <w:jc w:val="center"/>
      </w:pPr>
      <w:r>
        <w:rPr>
          <w:rFonts w:ascii="Amazon Ember" w:eastAsia="Amazon Ember" w:hAnsi="Amazon Ember" w:cs="Amazon Ember"/>
          <w:color w:val="0000FF"/>
          <w:sz w:val="36"/>
          <w:szCs w:val="36"/>
        </w:rPr>
        <w:t>Finanzielle Rücklage und Risikotoleranz</w:t>
      </w:r>
    </w:p>
    <w:p w14:paraId="70A4C33F" w14:textId="77777777" w:rsidR="00C1548D" w:rsidRDefault="009B1B4B">
      <w:pPr>
        <w:spacing w:after="140"/>
      </w:pPr>
      <w:r>
        <w:t xml:space="preserve">Für die finanzielle Rücklage gibt es keine amtliche deutsche Empfehlung – weder Auswärtiges Amt noch Bundesverwaltungsamt nennen eine feste Zahl. In der Praxis von Finanz- und Umzugsberatern hat sich eine Faustregel durchgesetzt: 3–6 Monatsausgaben am Zielort als Kernpuffer, dazu die eigentlichen Umzugskosten und ein Aufschlag von 3–5 % für Wechselkursschwankungen. Manche Ratgeber nennen für ein einzelnes Auswanderungsvorhaben Beispielsummen zwischen rund 8.500 $ für günstige und 42.000 $ für teure Ziele – </w:t>
      </w:r>
      <w:r>
        <w:lastRenderedPageBreak/>
        <w:t>Illustrationsbeispiele einzelner Blogs, keine geprüfte Norm, stark abhängig davon, ob du mit gesichertem Jobangebot ziehst oder ohne.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4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340" w14:textId="77777777" w:rsidR="00C1548D" w:rsidRDefault="009B1B4B">
            <w:pPr>
              <w:keepNext/>
              <w:spacing w:after="70" w:line="240" w:lineRule="auto"/>
            </w:pPr>
            <w:r>
              <w:rPr>
                <w:b/>
                <w:bCs/>
                <w:color w:val="9B2C2C"/>
                <w:spacing w:val="24"/>
                <w:sz w:val="16"/>
                <w:szCs w:val="16"/>
              </w:rPr>
              <w:t>ACHTUNG</w:t>
            </w:r>
          </w:p>
          <w:p w14:paraId="70A4C341" w14:textId="77777777" w:rsidR="00C1548D" w:rsidRDefault="009B1B4B">
            <w:pPr>
              <w:spacing w:after="80" w:line="264" w:lineRule="auto"/>
            </w:pPr>
            <w:r>
              <w:rPr>
                <w:sz w:val="20"/>
                <w:szCs w:val="20"/>
              </w:rPr>
              <w:t>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tc>
      </w:tr>
    </w:tbl>
    <w:p w14:paraId="70A4C343" w14:textId="77777777" w:rsidR="00C1548D" w:rsidRDefault="00C1548D">
      <w:pPr>
        <w:spacing w:line="220" w:lineRule="exact"/>
      </w:pPr>
    </w:p>
    <w:p w14:paraId="70A4C344" w14:textId="77777777" w:rsidR="00C1548D" w:rsidRDefault="009B1B4B">
      <w:pPr>
        <w:spacing w:after="140"/>
      </w:pPr>
      <w:r>
        <w:t>Eine grobe eigene Rechnung geht so: Nimm die erwartete Monatsmiete am Zielort, addiere die geschätzten monatlichen Lebenshaltungskosten für deine Haushaltsgröße und multipliziere die Summe mit sechs. Addiere die einmaligen Umzugskosten – Flüge, Transport, Kaution, Erstausstattung – sowie einen Puffer von 3–5 % für einen ungünstigen Wechselkurs zwischen Planung und Umzug. Das Ergebnis ist keine amtlich geprüfte Zahl, aber eine ehrlichere Grundlage als jede fremde Beispielsumme, weil sie auf deinen eigenen Za</w:t>
      </w:r>
      <w:r>
        <w:t>hlen beruht, nicht auf den Lebenshaltungskosten eines unbekannten Blog-Autors in einer anderen Stadt.</w:t>
      </w:r>
    </w:p>
    <w:p w14:paraId="70A4C345" w14:textId="77777777" w:rsidR="00C1548D" w:rsidRDefault="009B1B4B">
      <w:pPr>
        <w:spacing w:after="140"/>
      </w:pPr>
      <w:r>
        <w:t>Risikotoleranz lässt sich weder trainieren noch moralisch bewerten – sie gilt in der Migrationsforschung als relativ stabiler Persönlichkeitszug, ähnlich den großen Persönlichkeitsdimensionen der Psychologie. Menschen mit höherer Risikoaversion zeigen über viele untersuchte Länder hinweg im Schnitt eine geringere Umzugsbereitschaft; Offenheit für neue Erfahrungen und Extraversion hängen dagegen positiv damit zusammen. Diese Frage im Raster ist also kein Eignungstest, sondern ein ehrlicher Blick in den Spieg</w:t>
      </w:r>
      <w:r>
        <w:t>el: Wie reagierst du normalerweise, wenn ein Plan durcheinandergerät? Wer hier eine 2 einträgt, kann trotzdem auswandern – sollte aber bei Zielort und Vorbereitung bewusst mehr Struktur und Vorhersehbarkeit einplanen als jemand mit hoher Risikotoleranz.</w:t>
      </w:r>
    </w:p>
    <w:p w14:paraId="70A4C346" w14:textId="77777777" w:rsidR="00C1548D" w:rsidRDefault="009B1B4B">
      <w:pPr>
        <w:pStyle w:val="Heading3"/>
        <w:keepNext/>
        <w:jc w:val="center"/>
      </w:pPr>
      <w:r>
        <w:rPr>
          <w:rFonts w:ascii="Amazon Ember" w:eastAsia="Amazon Ember" w:hAnsi="Amazon Ember" w:cs="Amazon Ember"/>
          <w:color w:val="0000FF"/>
          <w:sz w:val="36"/>
          <w:szCs w:val="36"/>
        </w:rPr>
        <w:lastRenderedPageBreak/>
        <w:t>Berufliche Übertragbarkeit und Sprachniveau</w:t>
      </w:r>
    </w:p>
    <w:p w14:paraId="70A4C347" w14:textId="77777777" w:rsidR="00C1548D" w:rsidRDefault="009B1B4B">
      <w:pPr>
        <w:spacing w:after="140"/>
      </w:pPr>
      <w:r>
        <w:t>Von allen acht Faktoren ist die berufliche Übertragbarkeit am objektivsten prüfbar – und wird trotzdem am häufigsten nur „gefühlt“ statt recherchiert. Ob ein Abschluss oder eine Berufszulassung im Zielland anerkannt wird und wie lange das Verfahren dauert, ist eine der am besten belegten Stellschrauben für den Erfolg nach der Migration. Wie groß dieser Hebel sein kann, zeigt eine Studie zu einer deutschen Anerkennungsreform für Zuwanderer aus Nicht-EU-Staaten. Sie erhöhte den Anteil anerkannter ausländische</w:t>
      </w:r>
      <w:r>
        <w:t>r Qualifikationen um 15 %, die Beschäftigung in reglementierten Berufen um 18,6 % und die Löhne in diesen Berufen um 4 %. Die Studie betrifft zwar den umgekehrten Weg – Zuwanderung nach Deutschland –, zeigt aber, wie stark formale Anerkennung wirkt, in welche Richtung auch immer man wandert. Die konkreten Anerkennungsstellen für USA, Kanada, Australien und Neuseeland findest du im jeweiligen Länder-Teil; hier zählt nur, dir ehrlich einzugestehen, ob du das schon geprüft hast.</w:t>
      </w:r>
    </w:p>
    <w:p w14:paraId="70A4C348" w14:textId="77777777" w:rsidR="00C1548D" w:rsidRDefault="009B1B4B">
      <w:pPr>
        <w:spacing w:after="140"/>
      </w:pPr>
      <w:r>
        <w:t>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w:t>
      </w:r>
      <w:r>
        <w:t>m Gartenzaun erst einmal fremd zu fühlen – und umgekehrt sagt ein holpriger erster Small Talk nichts über deine berufliche Eignung aus.</w:t>
      </w:r>
    </w:p>
    <w:p w14:paraId="70A4C349" w14:textId="77777777" w:rsidR="00C1548D" w:rsidRDefault="009B1B4B">
      <w:pPr>
        <w:spacing w:after="140"/>
      </w:pPr>
      <w:r>
        <w:t xml:space="preserve">Für die berufliche Übertragbarkeit lohnt sich als erster Schritt eine gezielte Suche nach der zuständigen Anerkennungsstelle für deinen Beruf im wahrscheinlichsten Zielland – bei reglementierten Berufen </w:t>
      </w:r>
      <w:r>
        <w:lastRenderedPageBreak/>
        <w:t>wie Medizin, Pflege, Lehramt oder bestimmten Ingenieursberufen gibt es fast immer eine eigene Prüfbehörde mit eigenem Verfahren und eigener Bearbeitungszeit; bei vielen anderen Berufen zählt der Abschluss selbst weniger als die nachweisbare Berufserfahrung. Notiere dir dabei nicht nur, ob eine Anerkennung grundsätzlich möglich ist, sondern auch, wie lange sie realistisch dauert – diese Zahl brauchst du später ohnehin für die Zeitplanung im jeweiligen Länder-Teil.</w:t>
      </w:r>
    </w:p>
    <w:p w14:paraId="70A4C34A" w14:textId="77777777" w:rsidR="00C1548D" w:rsidRDefault="009B1B4B">
      <w:pPr>
        <w:pStyle w:val="Heading3"/>
        <w:keepNext/>
        <w:jc w:val="center"/>
      </w:pPr>
      <w:r>
        <w:rPr>
          <w:rFonts w:ascii="Amazon Ember" w:eastAsia="Amazon Ember" w:hAnsi="Amazon Ember" w:cs="Amazon Ember"/>
          <w:color w:val="0000FF"/>
          <w:sz w:val="36"/>
          <w:szCs w:val="36"/>
        </w:rPr>
        <w:t>Partner, Kinder und das soziale Netz</w:t>
      </w:r>
    </w:p>
    <w:p w14:paraId="70A4C34B" w14:textId="77777777" w:rsidR="00C1548D" w:rsidRDefault="009B1B4B">
      <w:pPr>
        <w:spacing w:after="140"/>
      </w:pPr>
      <w:r>
        <w:t xml:space="preserve">Kein Faktor wird in der Forschung zu Auslandsentsendungen so oft genannt wie die Familie. In Befragungen von Unternehmen ist Widerstand des Partners oder der Partnerin der mit Abstand häufigste Grund, ein Auslandsangebot abzulehnen – noch vor Gehalt oder Karrierebedenken. Das heißt nicht „Familie dagegen gleich Scheitern“: Partner können durch aktiven Aufbau eines eigenen sozialen Netzes am Zielort auch stabilisierend wirken, und die Forschungslage zum tatsächlichen Nettoeffekt gilt selbst unter Fachleuten </w:t>
      </w:r>
      <w:r>
        <w:t>als uneinheitlich. Wichtig ist, die Zustimmung nicht stillschweigend vorauszusetzen, sondern aktiv einzuholen – von jedem, der mitzieht, einschließlich älterer Kinder.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4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34C" w14:textId="77777777" w:rsidR="00C1548D" w:rsidRDefault="009B1B4B">
            <w:pPr>
              <w:keepNext/>
              <w:spacing w:after="70" w:line="240" w:lineRule="auto"/>
            </w:pPr>
            <w:r>
              <w:rPr>
                <w:b/>
                <w:bCs/>
                <w:color w:val="9B2C2C"/>
                <w:spacing w:val="24"/>
                <w:sz w:val="16"/>
                <w:szCs w:val="16"/>
              </w:rPr>
              <w:t>ACHTUNG</w:t>
            </w:r>
          </w:p>
          <w:p w14:paraId="70A4C34D" w14:textId="77777777" w:rsidR="00C1548D" w:rsidRDefault="009B1B4B">
            <w:pPr>
              <w:spacing w:after="80" w:line="264" w:lineRule="auto"/>
            </w:pPr>
            <w:r>
              <w:rPr>
                <w:sz w:val="20"/>
                <w:szCs w:val="20"/>
              </w:rPr>
              <w:t>Die zitierten Zahlen zu Partnerwiderstand und Abbruchgründen stammen fast ausschließlich aus Befragungen zu bezahlten Firmenentsendungen mit Rückkehrgarantie, nicht aus Studien zu freiwilliger Privatauswanderung. Die Übertragung ist plausibel – bei einer Auswanderung auf eigenes finanzielles Risiko, ohne das Sicherheitsnetz eines Konzerns, wiegt Familienzustimmung eher noch schwerer, nicht leichter.</w:t>
            </w:r>
          </w:p>
        </w:tc>
      </w:tr>
    </w:tbl>
    <w:p w14:paraId="70A4C34F" w14:textId="77777777" w:rsidR="00C1548D" w:rsidRDefault="00C1548D">
      <w:pPr>
        <w:spacing w:line="220" w:lineRule="exact"/>
      </w:pPr>
    </w:p>
    <w:p w14:paraId="70A4C350" w14:textId="77777777" w:rsidR="00C1548D" w:rsidRDefault="009B1B4B">
      <w:pPr>
        <w:spacing w:after="140"/>
      </w:pPr>
      <w:r>
        <w:t xml:space="preserve">Ein verwandter, aber eigenständiger Faktor ist das soziale Unterstützungsnetz: Emotionale und praktische Unterstützung – durch Familie, Freunde oder eine Community am Zielort – wirkt in mehreren Studien nachweislich schützend gegen Einsamkeit und </w:t>
      </w:r>
      <w:r>
        <w:lastRenderedPageBreak/>
        <w:t>psychische Belastung im Ausland. Das muss beim Start kein bestehender Freundeskreis vor Ort sein; ein Online-Netzwerk deutscher Auswanderer, ein erster Kontakt über den künftigen Arbeitgeber oder eine Kirchengemeinde zählen bereits. Wer hier eine niedrige Zahl einträgt, sollte diesen Punkt schon vor dem Umzug aktiv angehen, nicht erst danach.</w:t>
      </w:r>
    </w:p>
    <w:p w14:paraId="70A4C351" w14:textId="77777777" w:rsidR="00C1548D" w:rsidRDefault="009B1B4B">
      <w:pPr>
        <w:spacing w:after="140"/>
      </w:pPr>
      <w:r>
        <w:t>Für das Gespräch mit Partner oder Familie helfen vier konkrete Fragen mehr als ein allgemeines „Seid ihr dabei?“:</w:t>
      </w:r>
    </w:p>
    <w:p w14:paraId="70A4C352" w14:textId="77777777" w:rsidR="00C1548D" w:rsidRDefault="009B1B4B" w:rsidP="009B1B4B">
      <w:pPr>
        <w:pStyle w:val="ListParagraph"/>
        <w:numPr>
          <w:ilvl w:val="0"/>
          <w:numId w:val="1"/>
        </w:numPr>
        <w:spacing w:after="60"/>
      </w:pPr>
      <w:r>
        <w:t>Was würde dir am Zielort am meisten fehlen, und wie könnten wir das ausgleichen oder ersetzen?</w:t>
      </w:r>
    </w:p>
    <w:p w14:paraId="70A4C353" w14:textId="77777777" w:rsidR="00C1548D" w:rsidRDefault="009B1B4B" w:rsidP="009B1B4B">
      <w:pPr>
        <w:pStyle w:val="ListParagraph"/>
        <w:numPr>
          <w:ilvl w:val="0"/>
          <w:numId w:val="1"/>
        </w:numPr>
        <w:spacing w:after="60"/>
      </w:pPr>
      <w:r>
        <w:t>Woran würdest du in einem Jahr erkennen, dass sich der Umzug für dich persönlich gelohnt hat?</w:t>
      </w:r>
    </w:p>
    <w:p w14:paraId="70A4C354" w14:textId="77777777" w:rsidR="00C1548D" w:rsidRDefault="009B1B4B" w:rsidP="009B1B4B">
      <w:pPr>
        <w:pStyle w:val="ListParagraph"/>
        <w:numPr>
          <w:ilvl w:val="0"/>
          <w:numId w:val="1"/>
        </w:numPr>
        <w:spacing w:after="60"/>
      </w:pPr>
      <w:r>
        <w:t>Welcher Teil dieses Plans macht dir am meisten Sorgen, auch wenn er dir albern vorkommt?</w:t>
      </w:r>
    </w:p>
    <w:p w14:paraId="70A4C355" w14:textId="77777777" w:rsidR="00C1548D" w:rsidRDefault="009B1B4B" w:rsidP="009B1B4B">
      <w:pPr>
        <w:pStyle w:val="ListParagraph"/>
        <w:numPr>
          <w:ilvl w:val="0"/>
          <w:numId w:val="1"/>
        </w:numPr>
        <w:spacing w:after="60"/>
      </w:pPr>
      <w:r>
        <w:t>Was bräuchtest du, damit deine Antwort von einer 2 zu einer 4 wird?</w:t>
      </w:r>
    </w:p>
    <w:p w14:paraId="70A4C356" w14:textId="77777777" w:rsidR="00C1548D" w:rsidRDefault="00C1548D">
      <w:pPr>
        <w:spacing w:line="120" w:lineRule="exact"/>
      </w:pPr>
    </w:p>
    <w:p w14:paraId="70A4C357" w14:textId="77777777" w:rsidR="00C1548D" w:rsidRDefault="009B1B4B">
      <w:pPr>
        <w:spacing w:after="140"/>
      </w:pPr>
      <w:r>
        <w:t>Diese Fragen ersetzen keine ausführliche Aussprache, holen aber aus einem diffusen Bauchgefühl etwas Konkretes heraus, worüber sich reden lässt – das gilt für den Partner ebenso wie für ein Kind ab etwa zwölf Jahren, das seine Bedenken sonst leicht herunterschluckt, um niemanden zu enttäuschen.</w:t>
      </w:r>
    </w:p>
    <w:p w14:paraId="70A4C358" w14:textId="77777777" w:rsidR="00C1548D" w:rsidRDefault="009B1B4B">
      <w:pPr>
        <w:pStyle w:val="Heading3"/>
        <w:keepNext/>
        <w:jc w:val="center"/>
      </w:pPr>
      <w:r>
        <w:rPr>
          <w:rFonts w:ascii="Amazon Ember" w:eastAsia="Amazon Ember" w:hAnsi="Amazon Ember" w:cs="Amazon Ember"/>
          <w:color w:val="0000FF"/>
          <w:sz w:val="36"/>
          <w:szCs w:val="36"/>
        </w:rPr>
        <w:t>Frühere Erfahrung und Erwartungsmanagement</w:t>
      </w:r>
    </w:p>
    <w:p w14:paraId="70A4C359" w14:textId="77777777" w:rsidR="00C1548D" w:rsidRDefault="009B1B4B">
      <w:pPr>
        <w:spacing w:after="140"/>
      </w:pPr>
      <w:r>
        <w:t xml:space="preserve">„Ich habe ja schon mal ein Auslandssemester gemacht, das wird schon“ – dieser Gedanke ist verbreitet, aber nur teilweise durch Forschung gedeckt. Eine Meta-Analyse mehrerer Studien fand frühere Auslandserfahrung insgesamt als eher schwachen Prädiktor für die generelle Anpassung im Ausland, allerdings mit klarerem, wenn auch moderatem Effekt auf die Anpassung im Job und im täglichen Umgang mit anderen. Ihr größter nachweisbarer Nutzen </w:t>
      </w:r>
      <w:r>
        <w:lastRenderedPageBreak/>
        <w:t>liegt woanders: Sie unterstützt vor allem eines, realistische statt idealisierte Erwartungen zu bilden – und das führt zum letzten, vielleicht wichtigsten Faktor.</w:t>
      </w:r>
    </w:p>
    <w:p w14:paraId="70A4C35A" w14:textId="77777777" w:rsidR="00C1548D" w:rsidRDefault="009B1B4B">
      <w:pPr>
        <w:spacing w:after="140"/>
      </w:pPr>
      <w:r>
        <w:t>Die Theorie der erfüllten Erwartungen aus der Organisationspsychologie zeigt, auf Auslandsaufenthalte übertragen, einen klaren Zusammenhang: Je mehr sich die tatsächliche Erfahrung mit der vorherigen Erwartung deckt, desto höher fallen Zufriedenheit und Anpassung aus. Entscheidend ist nicht die Erwartung an sich, sondern die Richtung des Fehlers – unerwartet hohe Schwierigkeiten belasten psychisch deutlich stärker als Schwierigkeiten, mit denen von vornherein gerechnet wurde. Wer sich also vorab bewusst mit</w:t>
      </w:r>
      <w:r>
        <w:t xml:space="preserve"> den unschönen Seiten des Ziellandes beschäftigt – bürokratischen Hürden, Einsamkeitsphasen, einem holprigen ersten Jahr –, ist am Ende besser dran als jemand, der sich nur Hochglanzbilder ausgemalt hat.</w:t>
      </w:r>
    </w:p>
    <w:p w14:paraId="70A4C35B" w14:textId="77777777" w:rsidR="00C1548D" w:rsidRDefault="009B1B4B">
      <w:pPr>
        <w:spacing w:after="140"/>
      </w:pPr>
      <w:r>
        <w:t xml:space="preserve">Realistische Erwartungen entstehen nicht durch Wunschdenken, sondern durch konkrete Arbeit: ungeschönte Erfahrungsberichte lesen, in denen auch Rückschläge vorkommen, nicht nur schöne Fotos; mit Menschen sprechen, die schon dort leben, auch über unbequeme Themen wie Einsamkeit oder Behördenfrust; wo machbar, das Zielland vor der endgültigen Entscheidung mit einer längeren Reise abseits des Urlaubsprogramms kennenlernen – ein Wocheneinkauf im Supermarkt und ein Behördengang sagen oft mehr über den künftigen </w:t>
      </w:r>
      <w:r>
        <w:t>Alltag aus als eine Woche Sightseeing. Wer das bewusst tut, trägt in der letzten Zeile des Rasters keine geschönte 5 ein, sondern eine ehrliche, gut begründete Zahl.</w:t>
      </w:r>
    </w:p>
    <w:p w14:paraId="70A4C35C" w14:textId="77777777" w:rsidR="00C1548D" w:rsidRDefault="009B1B4B">
      <w:pPr>
        <w:pStyle w:val="Heading3"/>
        <w:keepNext/>
        <w:jc w:val="center"/>
      </w:pPr>
      <w:r>
        <w:rPr>
          <w:rFonts w:ascii="Amazon Ember" w:eastAsia="Amazon Ember" w:hAnsi="Amazon Ember" w:cs="Amazon Ember"/>
          <w:color w:val="0000FF"/>
          <w:sz w:val="36"/>
          <w:szCs w:val="36"/>
        </w:rPr>
        <w:t>Was dein Ergebnis bedeutet</w:t>
      </w:r>
    </w:p>
    <w:p w14:paraId="70A4C35D" w14:textId="77777777" w:rsidR="00C1548D" w:rsidRDefault="009B1B4B">
      <w:pPr>
        <w:spacing w:after="140"/>
      </w:pPr>
      <w:r>
        <w:t xml:space="preserve">Das Raster ist kein psychometrisch validierter Test – ein wissenschaftlich geprüftes Selbsttest-Verfahren speziell für private Auswanderer aus Deutschland gibt es schlicht nicht; die zugrunde liegende Forschung stammt größtenteils aus der Personalauswahl für Firmenentsendungen. Trotzdem ist es nützlich, weil es acht real </w:t>
      </w:r>
      <w:r>
        <w:lastRenderedPageBreak/>
        <w:t>belegte Einflussfaktoren an einem Ort versammelt, die sonst leicht übersehen werden.</w:t>
      </w:r>
    </w:p>
    <w:p w14:paraId="70A4C35E" w14:textId="77777777" w:rsidR="00C1548D" w:rsidRDefault="009B1B4B">
      <w:pPr>
        <w:spacing w:after="140"/>
      </w:pPr>
      <w:r>
        <w:t>Zwei oder drei niedrige Werte sind kein Grund, den Plan zu begraben – sie sind eine Liste offener Aufgaben. Problematisch wird es erst, wenn sich niedrige Werte über mehrere zentrale Faktoren häufen (etwa Finanzen, Familienzustimmung und Erwartungsmanagement zugleich) und du keinen konkreten Plan hast, sie anzugehen.</w:t>
      </w:r>
    </w:p>
    <w:p w14:paraId="70A4C35F" w14:textId="77777777" w:rsidR="00C1548D" w:rsidRDefault="009B1B4B">
      <w:pPr>
        <w:spacing w:after="140"/>
      </w:pPr>
      <w:r>
        <w:t>Sinnvoll ist es, das Raster an drei Zeitpunkten erneut auszufüllen, nicht nur einmal:</w:t>
      </w:r>
    </w:p>
    <w:p w14:paraId="70A4C360" w14:textId="77777777" w:rsidR="00C1548D" w:rsidRDefault="009B1B4B" w:rsidP="009B1B4B">
      <w:pPr>
        <w:pStyle w:val="ListParagraph"/>
        <w:numPr>
          <w:ilvl w:val="0"/>
          <w:numId w:val="1"/>
        </w:numPr>
        <w:spacing w:after="60"/>
      </w:pPr>
      <w:r>
        <w:t>Nach der ersten groben Recherche zu Visum, Beruf und Zielort, wenn aus vagen Vermutungen erste belastbare Fakten geworden sind.</w:t>
      </w:r>
    </w:p>
    <w:p w14:paraId="70A4C361" w14:textId="77777777" w:rsidR="00C1548D" w:rsidRDefault="009B1B4B" w:rsidP="009B1B4B">
      <w:pPr>
        <w:pStyle w:val="ListParagraph"/>
        <w:numPr>
          <w:ilvl w:val="0"/>
          <w:numId w:val="1"/>
        </w:numPr>
        <w:spacing w:after="60"/>
      </w:pPr>
      <w:r>
        <w:t>Nach einem konkreten Jobangebot oder einer Einladung zur Antragstellung, wenn aus einer Idee ein Termin mit echten Fristen wird.</w:t>
      </w:r>
    </w:p>
    <w:p w14:paraId="70A4C362" w14:textId="77777777" w:rsidR="00C1548D" w:rsidRDefault="009B1B4B" w:rsidP="009B1B4B">
      <w:pPr>
        <w:pStyle w:val="ListParagraph"/>
        <w:numPr>
          <w:ilvl w:val="0"/>
          <w:numId w:val="1"/>
        </w:numPr>
        <w:spacing w:after="60"/>
      </w:pPr>
      <w:r>
        <w:t>Etwa sechs Monate vor dem geplanten Abflug, wenn Rücklage, Wohnungssuche und Familienlage noch einmal einem Realitätscheck standhalten sollten.</w:t>
      </w:r>
    </w:p>
    <w:p w14:paraId="70A4C363" w14:textId="77777777" w:rsidR="00C1548D" w:rsidRDefault="00C1548D">
      <w:pPr>
        <w:spacing w:line="120" w:lineRule="exact"/>
      </w:pPr>
    </w:p>
    <w:p w14:paraId="70A4C364" w14:textId="77777777" w:rsidR="00C1548D" w:rsidRDefault="009B1B4B">
      <w:pPr>
        <w:spacing w:after="140"/>
      </w:pPr>
      <w:r>
        <w:t>Ein Wert, der sich zwischen zwei Durchgängen deutlich verschlechtert – etwa weil die Rücklage durch unerwartete Kosten geschmolzen ist –, ist ein wichtigeres Signal als ein einzelner niedriger Wert beim ersten Ausfüllen. Das Raster ist ein lebendiges Werkzeug, kein einmaliger Test.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6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C365" w14:textId="77777777" w:rsidR="00C1548D" w:rsidRDefault="009B1B4B">
            <w:pPr>
              <w:keepNext/>
              <w:spacing w:after="70" w:line="240" w:lineRule="auto"/>
            </w:pPr>
            <w:r>
              <w:rPr>
                <w:b/>
                <w:bCs/>
                <w:color w:val="2F6B3B"/>
                <w:spacing w:val="24"/>
                <w:sz w:val="16"/>
                <w:szCs w:val="16"/>
              </w:rPr>
              <w:lastRenderedPageBreak/>
              <w:t>SPARTIPP</w:t>
            </w:r>
          </w:p>
          <w:p w14:paraId="70A4C366" w14:textId="77777777" w:rsidR="00C1548D" w:rsidRDefault="009B1B4B">
            <w:pPr>
              <w:spacing w:after="80" w:line="264" w:lineRule="auto"/>
            </w:pPr>
            <w:r>
              <w:rPr>
                <w:sz w:val="20"/>
                <w:szCs w:val="20"/>
              </w:rPr>
              <w:t>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 er ersetzt keine rechtliche oder steuerliche Beratung, ist aber ein guter, gebührenfreier erster Schritt.</w:t>
            </w:r>
          </w:p>
        </w:tc>
      </w:tr>
    </w:tbl>
    <w:p w14:paraId="70A4C368" w14:textId="77777777" w:rsidR="00C1548D" w:rsidRDefault="00C1548D">
      <w:pPr>
        <w:spacing w:line="220" w:lineRule="exact"/>
      </w:pPr>
    </w:p>
    <w:p w14:paraId="70A4C369"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C36A" w14:textId="77777777" w:rsidR="00C1548D" w:rsidRDefault="009B1B4B">
      <w:pPr>
        <w:spacing w:after="140"/>
      </w:pPr>
      <w:r>
        <w:t>Fülle das Raster aus – wenn du nicht allein auswanderst, ausdrücklich gemeinsam mit allen, die mitziehen. Sprich offen über jede Zahl unter 3, statt sie zu übergehen. Am Ende zählt keine Gesamtpunktzahl, die du irgendwie erreichen oder verfehlen müsstest – ein solcher Schwellenwert wäre nur eine neue Version der widerlegten Scheiterquote vom Anfang dieses Kapitels. Was zählt: dass du für jedes Warnsignal einen nächsten Schritt kennst, bevor du dich endgültig festlegst.</w:t>
      </w:r>
    </w:p>
    <w:p w14:paraId="70A4C36B" w14:textId="77777777" w:rsidR="00C1548D" w:rsidRDefault="009B1B4B">
      <w:pPr>
        <w:spacing w:after="140"/>
      </w:pPr>
      <w:r>
        <w:t>Wer diese Bestandsaufnahme ehrlich macht, geht nicht schwächer, sondern besser vorbereitet in die nächste Frage dieses Buches: Welches der vier Länder passt überhaupt zu dir?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76"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36C" w14:textId="77777777" w:rsidR="00C1548D" w:rsidRDefault="009B1B4B">
            <w:pPr>
              <w:keepNext/>
              <w:spacing w:after="70" w:line="240" w:lineRule="auto"/>
            </w:pPr>
            <w:r>
              <w:rPr>
                <w:b/>
                <w:bCs/>
                <w:color w:val="1F6F78"/>
                <w:spacing w:val="24"/>
                <w:sz w:val="16"/>
                <w:szCs w:val="16"/>
              </w:rPr>
              <w:lastRenderedPageBreak/>
              <w:t>CHECKLISTE</w:t>
            </w:r>
          </w:p>
          <w:p w14:paraId="70A4C36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Bewertungs-Raster ausgefüllt, wenn möglich gemeinsam mit Partner oder Familie</w:t>
            </w:r>
          </w:p>
          <w:p w14:paraId="70A4C36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Finanzielle Rücklage anhand der eigenen Zielort-Kosten kalkuliert, nicht anhand fremder Beispielsummen</w:t>
            </w:r>
          </w:p>
          <w:p w14:paraId="70A4C36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Anerkennungsfähigkeit des eigenen Berufsabschlusses grob recherchiert</w:t>
            </w:r>
          </w:p>
          <w:p w14:paraId="70A4C37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Offenes Gespräch mit Partner und älteren Kindern über Zustimmung und Bedenken geführt</w:t>
            </w:r>
          </w:p>
          <w:p w14:paraId="70A4C37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Eigenes Englisch-Niveau für Fachjargon und Behördengänge ehrlich eingeschätzt</w:t>
            </w:r>
          </w:p>
          <w:p w14:paraId="70A4C37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Erste Ansätze für ein soziales Netz am möglichen Zielort gesucht (Online-Community, Kontakt über Arbeitgeber)</w:t>
            </w:r>
          </w:p>
          <w:p w14:paraId="70A4C37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Bewusst mit den unschönen Seiten des Ziellandes auseinandergesetzt, nicht nur mit Hochglanzbildern</w:t>
            </w:r>
          </w:p>
          <w:p w14:paraId="70A4C37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Kostenlose Erstberatung (zum Beispiel Raphaelswerk) in Betracht gezogen</w:t>
            </w:r>
          </w:p>
          <w:p w14:paraId="70A4C37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Raster nach einigen Wochen Recherche ein zweites Mal ausgefüllt</w:t>
            </w:r>
          </w:p>
        </w:tc>
      </w:tr>
    </w:tbl>
    <w:p w14:paraId="70A4C377" w14:textId="77777777" w:rsidR="00C1548D" w:rsidRDefault="00C1548D">
      <w:pPr>
        <w:spacing w:line="220" w:lineRule="exact"/>
      </w:pPr>
    </w:p>
    <w:p w14:paraId="70A4C378"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379" w14:textId="41AD5E24" w:rsidR="00C1548D" w:rsidRDefault="009B1B4B" w:rsidP="009B1B4B">
      <w:pPr>
        <w:pStyle w:val="ListParagraph"/>
        <w:numPr>
          <w:ilvl w:val="0"/>
          <w:numId w:val="1"/>
        </w:numPr>
        <w:spacing w:after="60"/>
      </w:pPr>
      <w:r>
        <w:t>Auswärtiges Amt — Fragenkatalog „Ich möchte aus Deutschland auswandern“ (</w:t>
      </w:r>
      <w:hyperlink r:id="rId11" w:history="1">
        <w:r>
          <w:rPr>
            <w:color w:val="0563C1"/>
            <w:u w:val="single"/>
          </w:rPr>
          <w:t>auswaertiges-amt.de</w:t>
        </w:r>
      </w:hyperlink>
      <w:r>
        <w:t>)</w:t>
      </w:r>
    </w:p>
    <w:p w14:paraId="70A4C37A" w14:textId="59160B32" w:rsidR="00C1548D" w:rsidRDefault="009B1B4B" w:rsidP="009B1B4B">
      <w:pPr>
        <w:pStyle w:val="ListParagraph"/>
        <w:numPr>
          <w:ilvl w:val="0"/>
          <w:numId w:val="1"/>
        </w:numPr>
        <w:spacing w:after="60"/>
      </w:pPr>
      <w:r>
        <w:t>Bundesverwaltungsamt — Checkliste für die Auswanderung, Basiswissen für den Schritt ins Ausland (</w:t>
      </w:r>
      <w:hyperlink r:id="rId12" w:history="1">
        <w:r>
          <w:rPr>
            <w:color w:val="0563C1"/>
            <w:u w:val="single"/>
          </w:rPr>
          <w:t>bva.bund.de</w:t>
        </w:r>
      </w:hyperlink>
      <w:r>
        <w:t>)</w:t>
      </w:r>
    </w:p>
    <w:p w14:paraId="70A4C37B" w14:textId="64E0082B" w:rsidR="00C1548D" w:rsidRDefault="009B1B4B" w:rsidP="009B1B4B">
      <w:pPr>
        <w:pStyle w:val="ListParagraph"/>
        <w:numPr>
          <w:ilvl w:val="0"/>
          <w:numId w:val="1"/>
        </w:numPr>
        <w:spacing w:after="60"/>
      </w:pPr>
      <w:r>
        <w:t>Raphaelswerk e. V. — Beratung Auswanderung, Auswanderungslotse (</w:t>
      </w:r>
      <w:hyperlink r:id="rId13" w:history="1">
        <w:r>
          <w:rPr>
            <w:color w:val="0563C1"/>
            <w:u w:val="single"/>
          </w:rPr>
          <w:t>raphaelswerk.de</w:t>
        </w:r>
      </w:hyperlink>
      <w:r>
        <w:t>)</w:t>
      </w:r>
    </w:p>
    <w:p w14:paraId="70A4C37C" w14:textId="659D07A6" w:rsidR="00C1548D" w:rsidRDefault="009B1B4B" w:rsidP="009B1B4B">
      <w:pPr>
        <w:pStyle w:val="ListParagraph"/>
        <w:numPr>
          <w:ilvl w:val="0"/>
          <w:numId w:val="1"/>
        </w:numPr>
        <w:spacing w:after="60"/>
      </w:pPr>
      <w:r>
        <w:t>Harzing, A.-W. — The Persistent Myth of High Expatriate Failure Rates (</w:t>
      </w:r>
      <w:hyperlink r:id="rId14" w:history="1">
        <w:r>
          <w:rPr>
            <w:color w:val="0563C1"/>
            <w:u w:val="single"/>
          </w:rPr>
          <w:t>harzing.com</w:t>
        </w:r>
      </w:hyperlink>
      <w:r>
        <w:t>)</w:t>
      </w:r>
    </w:p>
    <w:p w14:paraId="70A4C37D" w14:textId="06253C8A" w:rsidR="00C1548D" w:rsidRDefault="009B1B4B" w:rsidP="009B1B4B">
      <w:pPr>
        <w:pStyle w:val="ListParagraph"/>
        <w:numPr>
          <w:ilvl w:val="0"/>
          <w:numId w:val="1"/>
        </w:numPr>
        <w:spacing w:after="60"/>
      </w:pPr>
      <w:r>
        <w:t>IZA Institute of Labor Economics — Discussion Paper 17444 zur beruflichen Anerkennung (</w:t>
      </w:r>
      <w:hyperlink r:id="rId15" w:history="1">
        <w:r>
          <w:rPr>
            <w:color w:val="0563C1"/>
            <w:u w:val="single"/>
          </w:rPr>
          <w:t>iza.org</w:t>
        </w:r>
      </w:hyperlink>
      <w:r>
        <w:t>)</w:t>
      </w:r>
    </w:p>
    <w:p w14:paraId="70A4C37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81"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37F" w14:textId="77777777" w:rsidR="00C1548D" w:rsidRDefault="009B1B4B">
            <w:pPr>
              <w:keepNext/>
              <w:spacing w:after="70" w:line="240" w:lineRule="auto"/>
            </w:pPr>
            <w:r>
              <w:rPr>
                <w:b/>
                <w:bCs/>
                <w:color w:val="6B7280"/>
                <w:spacing w:val="24"/>
                <w:sz w:val="16"/>
                <w:szCs w:val="16"/>
              </w:rPr>
              <w:lastRenderedPageBreak/>
              <w:t>STAND</w:t>
            </w:r>
          </w:p>
          <w:p w14:paraId="70A4C380" w14:textId="77777777" w:rsidR="00C1548D" w:rsidRDefault="009B1B4B">
            <w:pPr>
              <w:spacing w:after="80" w:line="264" w:lineRule="auto"/>
            </w:pPr>
            <w:r>
              <w:rPr>
                <w:sz w:val="20"/>
                <w:szCs w:val="20"/>
              </w:rPr>
              <w:t>September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tc>
      </w:tr>
    </w:tbl>
    <w:p w14:paraId="70A4C382" w14:textId="77777777" w:rsidR="00C1548D" w:rsidRDefault="00C1548D">
      <w:pPr>
        <w:spacing w:line="220" w:lineRule="exact"/>
      </w:pPr>
    </w:p>
    <w:p w14:paraId="70A4C383" w14:textId="77777777" w:rsidR="00C1548D" w:rsidRDefault="009B1B4B">
      <w:pPr>
        <w:pStyle w:val="Heading2"/>
        <w:keepNext/>
        <w:pageBreakBefore/>
        <w:jc w:val="center"/>
      </w:pPr>
      <w:bookmarkStart w:id="6" w:name="_Toc241352448"/>
      <w:r>
        <w:rPr>
          <w:rFonts w:ascii="Amazon Ember" w:eastAsia="Amazon Ember" w:hAnsi="Amazon Ember" w:cs="Amazon Ember"/>
          <w:color w:val="0000FF"/>
          <w:sz w:val="36"/>
          <w:szCs w:val="36"/>
        </w:rPr>
        <w:lastRenderedPageBreak/>
        <w:t>Kapitel 2: Welches Land passt zu dir?</w:t>
      </w:r>
      <w:bookmarkEnd w:id="6"/>
    </w:p>
    <w:p w14:paraId="70A4C384" w14:textId="77777777" w:rsidR="00C1548D" w:rsidRDefault="009B1B4B">
      <w:pPr>
        <w:spacing w:after="140"/>
      </w:pPr>
      <w:r>
        <w:t>Du hast das Bewertungs-Raster aus dem vorigen Kapitel ausgefüllt, deine Familie steht hinter dem Plan, deine Rücklage ist kalkuliert – und trotzdem weißt du noch nicht, ob es die USA, Kanada, Australien oder Neuseeland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w:t>
      </w:r>
      <w:r>
        <w:t>de zwischen den vier Ländern offen – und gibt dir ein Werkzeug an die Hand, deine eigenen Prioritäten systematisch dagegenzuhalten.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8B"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385" w14:textId="77777777" w:rsidR="00C1548D" w:rsidRDefault="009B1B4B">
            <w:pPr>
              <w:keepNext/>
              <w:spacing w:after="70" w:line="240" w:lineRule="auto"/>
            </w:pPr>
            <w:r>
              <w:rPr>
                <w:b/>
                <w:bCs/>
                <w:color w:val="1F3A5F"/>
                <w:spacing w:val="24"/>
                <w:sz w:val="16"/>
                <w:szCs w:val="16"/>
              </w:rPr>
              <w:t>KURZ GESAGT</w:t>
            </w:r>
          </w:p>
          <w:p w14:paraId="70A4C386" w14:textId="77777777" w:rsidR="00C1548D" w:rsidRDefault="009B1B4B" w:rsidP="009B1B4B">
            <w:pPr>
              <w:pStyle w:val="ListParagraph"/>
              <w:numPr>
                <w:ilvl w:val="0"/>
                <w:numId w:val="1"/>
              </w:numPr>
              <w:spacing w:after="50" w:line="264" w:lineRule="auto"/>
            </w:pPr>
            <w:r>
              <w:rPr>
                <w:sz w:val="20"/>
                <w:szCs w:val="20"/>
              </w:rPr>
              <w:t>Die vier Länder unterscheiden sich stärker, als die gemeinsame Sprache Englisch vermuten lässt: Einwanderungssystem, Gesundheitssystem und Besteuerungsprinzip sind grundverschieden.</w:t>
            </w:r>
          </w:p>
          <w:p w14:paraId="70A4C387" w14:textId="77777777" w:rsidR="00C1548D" w:rsidRDefault="009B1B4B" w:rsidP="009B1B4B">
            <w:pPr>
              <w:pStyle w:val="ListParagraph"/>
              <w:numPr>
                <w:ilvl w:val="0"/>
                <w:numId w:val="1"/>
              </w:numPr>
              <w:spacing w:after="50" w:line="264" w:lineRule="auto"/>
            </w:pPr>
            <w:r>
              <w:rPr>
                <w:sz w:val="20"/>
                <w:szCs w:val="20"/>
              </w:rPr>
              <w:t>USA: Sponsoring durch den Arbeitgeber oder eine Lotterie, kein Punktesystem. Kanada, Australien und Neuseeland: Punktesysteme mit einer kalkulierbaren Mindestschwelle.</w:t>
            </w:r>
          </w:p>
          <w:p w14:paraId="70A4C388" w14:textId="77777777" w:rsidR="00C1548D" w:rsidRDefault="009B1B4B" w:rsidP="009B1B4B">
            <w:pPr>
              <w:pStyle w:val="ListParagraph"/>
              <w:numPr>
                <w:ilvl w:val="0"/>
                <w:numId w:val="1"/>
              </w:numPr>
              <w:spacing w:after="50" w:line="264" w:lineRule="auto"/>
            </w:pPr>
            <w:r>
              <w:rPr>
                <w:sz w:val="20"/>
                <w:szCs w:val="20"/>
              </w:rPr>
              <w:t>Der wichtigste steuerliche Kontrast: Die USA besteuern nach Staatsbürgerschaft weltweit, die anderen drei Länder nach Wohnsitz.</w:t>
            </w:r>
          </w:p>
          <w:p w14:paraId="70A4C389" w14:textId="77777777" w:rsidR="00C1548D" w:rsidRDefault="009B1B4B" w:rsidP="009B1B4B">
            <w:pPr>
              <w:pStyle w:val="ListParagraph"/>
              <w:numPr>
                <w:ilvl w:val="0"/>
                <w:numId w:val="1"/>
              </w:numPr>
              <w:spacing w:after="50" w:line="264" w:lineRule="auto"/>
            </w:pPr>
            <w:r>
              <w:rPr>
                <w:sz w:val="20"/>
                <w:szCs w:val="20"/>
              </w:rPr>
              <w:t>Die gewichtete Scorecard am Ende dieses Kapitels ordnet deine persönlichen Prioritäten den vier Ländern zu.</w:t>
            </w:r>
          </w:p>
          <w:p w14:paraId="70A4C38A" w14:textId="77777777" w:rsidR="00C1548D" w:rsidRDefault="009B1B4B" w:rsidP="009B1B4B">
            <w:pPr>
              <w:pStyle w:val="ListParagraph"/>
              <w:numPr>
                <w:ilvl w:val="0"/>
                <w:numId w:val="1"/>
              </w:numPr>
              <w:spacing w:after="50" w:line="264" w:lineRule="auto"/>
            </w:pPr>
            <w:r>
              <w:rPr>
                <w:sz w:val="20"/>
                <w:szCs w:val="20"/>
              </w:rPr>
              <w:t>Dieses Kapitel ist ein Startpunkt zur Eingrenzung, keine endgültige Entscheidung – für die Tiefe gehst du danach in den passenden Länder-Teil.</w:t>
            </w:r>
          </w:p>
        </w:tc>
      </w:tr>
    </w:tbl>
    <w:p w14:paraId="70A4C38C" w14:textId="77777777" w:rsidR="00C1548D" w:rsidRDefault="00C1548D">
      <w:pPr>
        <w:spacing w:line="220" w:lineRule="exact"/>
      </w:pPr>
    </w:p>
    <w:p w14:paraId="70A4C38D" w14:textId="77777777" w:rsidR="00C1548D" w:rsidRDefault="009B1B4B">
      <w:pPr>
        <w:pStyle w:val="Heading3"/>
        <w:keepNext/>
        <w:jc w:val="center"/>
      </w:pPr>
      <w:r>
        <w:rPr>
          <w:rFonts w:ascii="Amazon Ember" w:eastAsia="Amazon Ember" w:hAnsi="Amazon Ember" w:cs="Amazon Ember"/>
          <w:color w:val="0000FF"/>
          <w:sz w:val="36"/>
          <w:szCs w:val="36"/>
        </w:rPr>
        <w:lastRenderedPageBreak/>
        <w:t>Vier Einwanderungssysteme, ein grundsätzlicher Unterschied</w:t>
      </w:r>
    </w:p>
    <w:p w14:paraId="70A4C38E" w14:textId="77777777" w:rsidR="00C1548D" w:rsidRDefault="009B1B4B">
      <w:pPr>
        <w:spacing w:after="140"/>
      </w:pPr>
      <w:r>
        <w:t xml:space="preserve">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 bei Kanada über </w:t>
      </w:r>
      <w:r>
        <w:rPr>
          <w:i/>
          <w:iCs/>
        </w:rPr>
        <w:t>Express Entry</w:t>
      </w:r>
      <w:r>
        <w:t xml:space="preserve"> mit seinem </w:t>
      </w:r>
      <w:r>
        <w:rPr>
          <w:i/>
          <w:iCs/>
        </w:rPr>
        <w:t>Comprehensive Ranking System</w:t>
      </w:r>
      <w:r>
        <w:t xml:space="preserve">, bei Australien über die </w:t>
      </w:r>
      <w:r>
        <w:rPr>
          <w:i/>
          <w:iCs/>
        </w:rPr>
        <w:t>General Skilled Migration</w:t>
      </w:r>
      <w:r>
        <w:t xml:space="preserve"> mit ihren nummerierten Subclasses, bei Neuseeland über die </w:t>
      </w:r>
      <w:r>
        <w:rPr>
          <w:i/>
          <w:iCs/>
        </w:rPr>
        <w:t>Skilled Migrant Category</w:t>
      </w:r>
      <w:r>
        <w:t xml:space="preserve">. Neuseeland ergänzt das um die </w:t>
      </w:r>
      <w:r>
        <w:rPr>
          <w:i/>
          <w:iCs/>
        </w:rPr>
        <w:t>Green List</w:t>
      </w:r>
      <w:r>
        <w:t>, eine Mangelberufe-Liste, deren Angehörige unter bestimmten Voraussetzungen ganz ohne Punktesystem direkt einen Antrag auf Daueraufenthalt stellen können.</w:t>
      </w:r>
    </w:p>
    <w:p w14:paraId="70A4C38F" w14:textId="77777777" w:rsidR="00C1548D" w:rsidRDefault="009B1B4B">
      <w:pPr>
        <w:spacing w:after="140"/>
      </w:pPr>
      <w:r>
        <w:t xml:space="preserve">Die USA folgen einem grundsätzlich anderen Modell: kein allgemeines Scoring, sondern Sponsoring durch einen Arbeitgeber oder Familienangehörige, dazu separat die </w:t>
      </w:r>
      <w:r>
        <w:rPr>
          <w:i/>
          <w:iCs/>
        </w:rPr>
        <w:t>Diversity Visa Lottery</w:t>
      </w:r>
      <w:r>
        <w:t>, die für Deutschland in der Praxis kaum relevant ist. Die bekannteste Arbeitgeberkategorie, das H-1B-Visum, wird per Losverfahren unter allen Bewerbern vergeben, nicht nach Punkten – wer die formalen Voraussetzungen erfüllt, hat trotzdem keine Garantie auf eine Einladung.</w:t>
      </w:r>
    </w:p>
    <w:p w14:paraId="70A4C390" w14:textId="77777777" w:rsidR="00C1548D" w:rsidRDefault="009B1B4B">
      <w:pPr>
        <w:spacing w:after="140"/>
      </w:pPr>
      <w:r>
        <w:t>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kalkulierbar“: Bei Kanada, Australien und Neuseeland kannst du deinen Score schon h</w:t>
      </w:r>
      <w:r>
        <w:t xml:space="preserve">eute mit den offiziellen Rechnern ermitteln und gezielt daran arbeiten (Sprachtest wiederholen, zusätzliche </w:t>
      </w:r>
      <w:r>
        <w:lastRenderedPageBreak/>
        <w:t>Berufserfahrung sammeln); bei der US-Lotterie hilft das nicht, dort zählt bei gleicher Qualifikation der Zufall.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93"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391" w14:textId="77777777" w:rsidR="00C1548D" w:rsidRDefault="009B1B4B">
            <w:pPr>
              <w:keepNext/>
              <w:spacing w:after="70" w:line="240" w:lineRule="auto"/>
            </w:pPr>
            <w:r>
              <w:rPr>
                <w:b/>
                <w:bCs/>
                <w:color w:val="8A6212"/>
                <w:spacing w:val="24"/>
                <w:sz w:val="16"/>
                <w:szCs w:val="16"/>
              </w:rPr>
              <w:t>MERKE</w:t>
            </w:r>
          </w:p>
          <w:p w14:paraId="70A4C392" w14:textId="77777777" w:rsidR="00C1548D" w:rsidRDefault="009B1B4B">
            <w:pPr>
              <w:spacing w:after="80" w:line="264" w:lineRule="auto"/>
            </w:pPr>
            <w:r>
              <w:rPr>
                <w:sz w:val="20"/>
                <w:szCs w:val="20"/>
              </w:rPr>
              <w:t>Für Leser mit einem klar kalkulierbaren Profil – gutem Sprachtest, anerkanntem Abschluss, relevanter Berufserfahrung – sind Kanada, Australien und Neuseeland tendenziell besser im Voraus einschätzbar als der US-Weg. Wer dagegen bereits ein konkretes Jobangebot eines US-Arbeitgebers hat, sollte sich davon nicht abschrecken lassen: Ein bestehendes Angebot verschiebt die Rechnung erheblich.</w:t>
            </w:r>
          </w:p>
        </w:tc>
      </w:tr>
    </w:tbl>
    <w:p w14:paraId="70A4C394" w14:textId="77777777" w:rsidR="00C1548D" w:rsidRDefault="00C1548D">
      <w:pPr>
        <w:spacing w:line="220" w:lineRule="exact"/>
      </w:pPr>
    </w:p>
    <w:p w14:paraId="70A4C395" w14:textId="77777777" w:rsidR="00C1548D" w:rsidRDefault="009B1B4B">
      <w:pPr>
        <w:pStyle w:val="Heading3"/>
        <w:keepNext/>
        <w:jc w:val="center"/>
      </w:pPr>
      <w:r>
        <w:rPr>
          <w:rFonts w:ascii="Amazon Ember" w:eastAsia="Amazon Ember" w:hAnsi="Amazon Ember" w:cs="Amazon Ember"/>
          <w:color w:val="0000FF"/>
          <w:sz w:val="36"/>
          <w:szCs w:val="36"/>
        </w:rPr>
        <w:t>Plus und Minus: Punktesystem gegen Sponsoring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398"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96"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97" w14:textId="77777777" w:rsidR="00C1548D" w:rsidRDefault="009B1B4B">
            <w:pPr>
              <w:spacing w:line="250" w:lineRule="auto"/>
            </w:pPr>
            <w:r>
              <w:rPr>
                <w:b/>
                <w:bCs/>
                <w:sz w:val="18"/>
                <w:szCs w:val="18"/>
              </w:rPr>
              <w:t>Minus</w:t>
            </w:r>
          </w:p>
        </w:tc>
      </w:tr>
      <w:tr w:rsidR="00C1548D" w14:paraId="70A4C39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99" w14:textId="77777777" w:rsidR="00C1548D" w:rsidRDefault="009B1B4B">
            <w:pPr>
              <w:spacing w:line="250" w:lineRule="auto"/>
            </w:pPr>
            <w:r>
              <w:rPr>
                <w:sz w:val="18"/>
                <w:szCs w:val="18"/>
              </w:rPr>
              <w:t>Punktesysteme lassen sich mit offiziellen Rechnern selbst simulieren, lange vor der Antragstellung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9A" w14:textId="77777777" w:rsidR="00C1548D" w:rsidRDefault="009B1B4B">
            <w:pPr>
              <w:spacing w:line="250" w:lineRule="auto"/>
            </w:pPr>
            <w:r>
              <w:rPr>
                <w:sz w:val="18"/>
                <w:szCs w:val="18"/>
              </w:rPr>
              <w:t>Mindestschwellen steigen mit der Nachfrage und sind nicht garantiert stabil</w:t>
            </w:r>
          </w:p>
        </w:tc>
      </w:tr>
      <w:tr w:rsidR="00C1548D" w14:paraId="70A4C39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9C" w14:textId="77777777" w:rsidR="00C1548D" w:rsidRDefault="009B1B4B">
            <w:pPr>
              <w:spacing w:line="250" w:lineRule="auto"/>
            </w:pPr>
            <w:r>
              <w:rPr>
                <w:sz w:val="18"/>
                <w:szCs w:val="18"/>
              </w:rPr>
              <w:t>US-Sponsoring braucht keinen Mindest-Score, nur einen Arbeitgeber, der dich will</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9D" w14:textId="77777777" w:rsidR="00C1548D" w:rsidRDefault="009B1B4B">
            <w:pPr>
              <w:spacing w:line="250" w:lineRule="auto"/>
            </w:pPr>
            <w:r>
              <w:rPr>
                <w:sz w:val="18"/>
                <w:szCs w:val="18"/>
              </w:rPr>
              <w:t>Die US-Lotterie bleibt Zufall, selbst bei optimaler Qualifikation</w:t>
            </w:r>
          </w:p>
        </w:tc>
      </w:tr>
      <w:tr w:rsidR="00C1548D" w14:paraId="70A4C3A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9F" w14:textId="77777777" w:rsidR="00C1548D" w:rsidRDefault="009B1B4B">
            <w:pPr>
              <w:spacing w:line="250" w:lineRule="auto"/>
            </w:pPr>
            <w:r>
              <w:rPr>
                <w:sz w:val="18"/>
                <w:szCs w:val="18"/>
              </w:rPr>
              <w:t>Ein Jobangebot kann den gesamten US-Weg erheblich beschleunigen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A0" w14:textId="77777777" w:rsidR="00C1548D" w:rsidRDefault="009B1B4B">
            <w:pPr>
              <w:spacing w:line="250" w:lineRule="auto"/>
            </w:pPr>
            <w:r>
              <w:rPr>
                <w:sz w:val="18"/>
                <w:szCs w:val="18"/>
              </w:rPr>
              <w:t>Punktesysteme belohnen vor allem junge, gut ausgebildete Einzelpersonen stärker als ältere Bewerber oder Familien mit nur einem Hauptverdiener</w:t>
            </w:r>
          </w:p>
        </w:tc>
      </w:tr>
      <w:tr w:rsidR="00C1548D" w14:paraId="70A4C3A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A2" w14:textId="77777777" w:rsidR="00C1548D" w:rsidRDefault="009B1B4B">
            <w:pPr>
              <w:spacing w:line="250" w:lineRule="auto"/>
            </w:pPr>
            <w:r>
              <w:rPr>
                <w:sz w:val="18"/>
                <w:szCs w:val="18"/>
              </w:rPr>
              <w:t>Familienangehörige haben in den USA einen eigenen, etablierten Weg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A3" w14:textId="77777777" w:rsidR="00C1548D" w:rsidRDefault="009B1B4B">
            <w:pPr>
              <w:spacing w:line="250" w:lineRule="auto"/>
            </w:pPr>
            <w:r>
              <w:rPr>
                <w:sz w:val="18"/>
                <w:szCs w:val="18"/>
              </w:rPr>
              <w:t>Ein fehlender Score-Faktor (etwa das Alter) lässt sich bei Punktesystemen kaum kurzfristig ausgleichen</w:t>
            </w:r>
          </w:p>
        </w:tc>
      </w:tr>
    </w:tbl>
    <w:p w14:paraId="70A4C3A5" w14:textId="77777777" w:rsidR="00C1548D" w:rsidRDefault="00C1548D">
      <w:pPr>
        <w:spacing w:line="180" w:lineRule="exact"/>
      </w:pPr>
    </w:p>
    <w:p w14:paraId="70A4C3A6" w14:textId="77777777" w:rsidR="00C1548D" w:rsidRDefault="009B1B4B">
      <w:pPr>
        <w:pStyle w:val="Heading3"/>
        <w:keepNext/>
        <w:jc w:val="center"/>
      </w:pPr>
      <w:r>
        <w:rPr>
          <w:rFonts w:ascii="Amazon Ember" w:eastAsia="Amazon Ember" w:hAnsi="Amazon Ember" w:cs="Amazon Ember"/>
          <w:color w:val="0000FF"/>
          <w:sz w:val="36"/>
          <w:szCs w:val="36"/>
        </w:rPr>
        <w:t>Wie lange dauert es bis zum unbefristeten Aufenthaltstitel?</w:t>
      </w:r>
    </w:p>
    <w:p w14:paraId="70A4C3A7" w14:textId="77777777" w:rsidR="00C1548D" w:rsidRDefault="009B1B4B">
      <w:pPr>
        <w:spacing w:after="140"/>
      </w:pPr>
      <w:r>
        <w:t xml:space="preserve">Ein direkter Vergleich der Wartezeiten ist verlockend, aber mit Vorsicht zu genießen: Die vier Länder messen unterschiedliche Startpunkte. Die USA rechnen meist ab Beginn des </w:t>
      </w:r>
      <w:r>
        <w:lastRenderedPageBreak/>
        <w:t>Arbeitsmarktverfahrens, Kanada und Australien ab dem Zeitpunkt der Einladung zur Antragstellung – nicht ab dem ersten Eintrag in den Bewerber-Pool, der zusätzliche, kaum pauschal bezifferbare Zeit kosten kann.</w:t>
      </w:r>
    </w:p>
    <w:p w14:paraId="70A4C3A8" w14:textId="77777777" w:rsidR="00C1548D" w:rsidRDefault="009B1B4B">
      <w:pPr>
        <w:spacing w:after="140"/>
      </w:pPr>
      <w:r>
        <w:t xml:space="preserve">Für Deutsche mit den gängigen beruflichen Kategorien liegen die groben Richtwerte (Stand September 2026) bei: USA über die Kategorien EB-1 oder </w:t>
      </w:r>
      <w:r>
        <w:rPr>
          <w:i/>
          <w:iCs/>
        </w:rPr>
        <w:t>National Interest Waiver</w:t>
      </w:r>
      <w:r>
        <w:t xml:space="preserve"> rund 1–2,5 Jahre, über EB-2 oder EB-3 mit vorgeschaltetem Arbeitsmarktverfahren eher 2,5–4,5 Jahre. Kanada bearbeitet Anträge nach Einladung in der Regel innerhalb von rund 6 Monaten, wobei die Wartezeit bis zur Einladung selbst vom eigenen Punktescore abhängt. Australien braucht bei der unabhängigen Kategorie in der Hälfte der Fälle rund 6 Monate, in 9 von 10 Fällen bis zu 15 Monate; bei der staatlich nominierten Variante meist etwas weniger, zuzüglich 4–14 Wochen für die Nominierung selbst. Neuseeland is</w:t>
      </w:r>
      <w:r>
        <w:t>t bei der regulären Kategorie mit rund 2–4 Monaten am schnellsten, bei der Green List rund 6–10 Monate.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A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3A9" w14:textId="77777777" w:rsidR="00C1548D" w:rsidRDefault="009B1B4B">
            <w:pPr>
              <w:keepNext/>
              <w:spacing w:after="70" w:line="240" w:lineRule="auto"/>
            </w:pPr>
            <w:r>
              <w:rPr>
                <w:b/>
                <w:bCs/>
                <w:color w:val="9B2C2C"/>
                <w:spacing w:val="24"/>
                <w:sz w:val="16"/>
                <w:szCs w:val="16"/>
              </w:rPr>
              <w:t>ACHTUNG</w:t>
            </w:r>
          </w:p>
          <w:p w14:paraId="70A4C3AA" w14:textId="77777777" w:rsidR="00C1548D" w:rsidRDefault="009B1B4B">
            <w:pPr>
              <w:spacing w:after="80" w:line="264" w:lineRule="auto"/>
            </w:pPr>
            <w:r>
              <w:rPr>
                <w:sz w:val="20"/>
                <w:szCs w:val="20"/>
              </w:rPr>
              <w:t>Diese Zeiten ändern sich schnell und hängen stark von deiner konkreten Kategorie ab. Behandle sie als grobe Orientierung, nicht als Zusage – die aktuellen, verlässlichen Werte findest du im jeweiligen Länder-Teil und auf den offiziellen Behördenseiten.</w:t>
            </w:r>
          </w:p>
        </w:tc>
      </w:tr>
    </w:tbl>
    <w:p w14:paraId="70A4C3AC" w14:textId="77777777" w:rsidR="00C1548D" w:rsidRDefault="00C1548D">
      <w:pPr>
        <w:spacing w:line="220" w:lineRule="exact"/>
      </w:pPr>
    </w:p>
    <w:p w14:paraId="70A4C3AD" w14:textId="77777777" w:rsidR="00C1548D" w:rsidRDefault="009B1B4B">
      <w:pPr>
        <w:spacing w:after="140"/>
      </w:pPr>
      <w:r>
        <w:t xml:space="preserve">Bei den USA kommt eine zusätzliche Unsicherheit hinzu, die es bei den anderen drei Ländern so nicht gibt: Für einige Kategorien und Herkunftsländer legt der monatlich veröffentlichte </w:t>
      </w:r>
      <w:r>
        <w:rPr>
          <w:i/>
          <w:iCs/>
        </w:rPr>
        <w:t>Visa Bulletin</w:t>
      </w:r>
      <w:r>
        <w:t xml:space="preserve"> des Außenministeriums fest, ob überhaupt ein Antrag gestellt werden darf, unabhängig davon, wie weit dein eigenes Verfahren sonst fortgeschritten ist. Für Deutschland sind die gängigen Kategorien meist, aber nicht garantiert dauerhaft ohne Wartezeit offen – ein Rückschritt ist möglich und kommt gelegentlich vor. Dieser Punkt gehört, mit dem dann aktuellen Stand, ausführlich in den USA-Teil dieses Buches.</w:t>
      </w:r>
    </w:p>
    <w:p w14:paraId="70A4C3AE" w14:textId="77777777" w:rsidR="00C1548D" w:rsidRDefault="009B1B4B">
      <w:pPr>
        <w:pStyle w:val="Heading3"/>
        <w:keepNext/>
        <w:jc w:val="center"/>
      </w:pPr>
      <w:r>
        <w:rPr>
          <w:rFonts w:ascii="Amazon Ember" w:eastAsia="Amazon Ember" w:hAnsi="Amazon Ember" w:cs="Amazon Ember"/>
          <w:color w:val="0000FF"/>
          <w:sz w:val="36"/>
          <w:szCs w:val="36"/>
        </w:rPr>
        <w:lastRenderedPageBreak/>
        <w:t>Gesundheitssystem: vier verschiedene Modelle</w:t>
      </w:r>
    </w:p>
    <w:p w14:paraId="70A4C3AF" w14:textId="77777777" w:rsidR="00C1548D" w:rsidRDefault="009B1B4B">
      <w:pPr>
        <w:spacing w:after="140"/>
      </w:pPr>
      <w:r>
        <w:t>Kaum ein Bereich unterscheidet sich zwischen den vier Ländern so grundlegend wie die Gesundheitsversorgung – und kaum einer weicht so stark vom gewohnten deutschen System ab. Die USA haben kein universelles System: Die Mehrheit ist über den Arbeitgeber versichert, dazu kommen staatliche Programme für Ältere und Einkommensschwache sowie ein offener Markt für den Direktkauf einer Police – ein Teil der Bevölkerung bleibt schlicht unversichert. Wer in die USA zieht, muss sich aktiv und meist zügig selbst um Ver</w:t>
      </w:r>
      <w:r>
        <w:t>sicherungsschutz kümmern.</w:t>
      </w:r>
    </w:p>
    <w:p w14:paraId="70A4C3B0" w14:textId="77777777" w:rsidR="00C1548D" w:rsidRDefault="009B1B4B">
      <w:pPr>
        <w:spacing w:after="140"/>
      </w:pPr>
      <w:r>
        <w:t xml:space="preserve">Kanada und Neuseeland liegen näher am deutschen Gefühl „automatisch abgesichert“: Beide haben ein universelles, steuerfinanziertes System – in Kanada von den Provinzen verwaltet, in Neuseeland zentral über die staatliche Gesundheitsbehörde. Allerdings deckt auch dieses System nicht alles ab: Zahnmedizin, Augenheilkunde und Medikamente sind in Kanada je nach Provinz nur teilweise erstattet. Australien betreibt ein Mischsystem aus dem universellen </w:t>
      </w:r>
      <w:r>
        <w:rPr>
          <w:i/>
          <w:iCs/>
        </w:rPr>
        <w:t>Medicare</w:t>
      </w:r>
      <w:r>
        <w:t xml:space="preserve"> für Kernleistungen und einer verbreiteten, aber optionalen privaten Zusatzversicherung – strukturell näher am deutschen Nebeneinander von gesetzlicher und privater Absicherung als die anderen drei Länder.</w:t>
      </w:r>
    </w:p>
    <w:p w14:paraId="70A4C3B1" w14:textId="77777777" w:rsidR="00C1548D" w:rsidRDefault="009B1B4B">
      <w:pPr>
        <w:spacing w:after="140"/>
      </w:pPr>
      <w:r>
        <w:t>Details zu Wartezeiten, eventuellen zwischenstaatlichen Abkommen und den konkreten Kosten gehören in das Gesundheitskapitel des jeweiligen Länder-Teils – sie unterscheiden sich zu stark, um sie hier pauschal zusammenzufassen.</w:t>
      </w:r>
    </w:p>
    <w:p w14:paraId="70A4C3B2" w14:textId="77777777" w:rsidR="00C1548D" w:rsidRDefault="009B1B4B">
      <w:pPr>
        <w:spacing w:after="140"/>
      </w:pPr>
      <w:r>
        <w:t xml:space="preserve">Was das für deine Entscheidung bedeutet, hängt stark davon ab, wie du selbst tickst. Wer Sicherheit durch ein automatisches, staatlich organisiertes System braucht und keine Lust auf eigene Versicherungsentscheidungen hat, fühlt sich in Kanada oder Neuseeland vermutlich schneller zu Hause. Wer ohnehin gewohnt ist, private Zusatzversicherungen selbst zu vergleichen, findet in </w:t>
      </w:r>
      <w:r>
        <w:lastRenderedPageBreak/>
        <w:t>Australien ein System, das dem deutschen erstaunlich ähnlich funktioniert. Und wer in die USA zieht, sollte die Krankenversicherung nicht als Nebensache, sondern als eigenständigen, zeitkritischen Programmpunkt direkt nach der Zusage behandeln – das Kapitel im USA-Teil zeigt, wie das konkret abläuft.</w:t>
      </w:r>
    </w:p>
    <w:p w14:paraId="70A4C3B3" w14:textId="77777777" w:rsidR="00C1548D" w:rsidRDefault="009B1B4B">
      <w:pPr>
        <w:pStyle w:val="Heading3"/>
        <w:keepNext/>
        <w:jc w:val="center"/>
      </w:pPr>
      <w:r>
        <w:rPr>
          <w:rFonts w:ascii="Amazon Ember" w:eastAsia="Amazon Ember" w:hAnsi="Amazon Ember" w:cs="Amazon Ember"/>
          <w:color w:val="0000FF"/>
          <w:sz w:val="36"/>
          <w:szCs w:val="36"/>
        </w:rPr>
        <w:t>Steuerlast und das Besteuerungsprinzip</w:t>
      </w:r>
    </w:p>
    <w:p w14:paraId="70A4C3B4" w14:textId="77777777" w:rsidR="00C1548D" w:rsidRDefault="009B1B4B">
      <w:pPr>
        <w:spacing w:after="140"/>
      </w:pPr>
      <w:r>
        <w:t xml:space="preserve">Für einen groben Belastungsvergleich eignet sich der Steuerkeil (englisch </w:t>
      </w:r>
      <w:r>
        <w:rPr>
          <w:i/>
          <w:iCs/>
        </w:rPr>
        <w:t>Tax Wedge</w:t>
      </w:r>
      <w:r>
        <w:t xml:space="preserve">) der OECD am besten: Er addiert Einkommensteuer sowie Arbeitnehmer- und Arbeitgeber-Sozialabgaben abzüglich Familienleistungen und setzt sie ins Verhältnis zu den gesamten Arbeitskosten, für eine kinderlose Einzelperson beim Durchschnittslohn. Nach der OECD-Publikation </w:t>
      </w:r>
      <w:r>
        <w:rPr>
          <w:i/>
          <w:iCs/>
        </w:rPr>
        <w:t>Taxing Wages</w:t>
      </w:r>
      <w:r>
        <w:t xml:space="preserve"> liegen die USA bei 30,1 %, Kanada bei 32,0 % und Australien bei 29,6 % (jeweils 2024), Neuseeland mit 18,5 % (2025) deutlich darunter – zum Vergleich: Deutschland liegt bei 49,3 % (2025), der OECD-Durchschnitt bei 35,1 %. Neuseeland hat damit die mit Abstand niedrigste Gesamt-Abgabenlast der vier Länder, was du aber immer zusammen mit dem Leistungsumfang bei Rente und Gesundheit betrachten solltest, nicht isoliert als „billigstes Land“.</w:t>
      </w:r>
    </w:p>
    <w:p w14:paraId="70A4C3B5" w14:textId="77777777" w:rsidR="00C1548D" w:rsidRDefault="009B1B4B">
      <w:pPr>
        <w:spacing w:after="140"/>
      </w:pPr>
      <w:r>
        <w:t>Wichtiger als die Höhe ist für viele Auswanderer ein strukturelles Detail, das leicht übersehen wird: das Besteuerungsprinzip selbst. Kanada, Australien und Neuseeland besteuern nach dem Wohnsitzprinzip (</w:t>
      </w:r>
      <w:r>
        <w:rPr>
          <w:i/>
          <w:iCs/>
        </w:rPr>
        <w:t>residence-based taxation</w:t>
      </w:r>
      <w:r>
        <w:t>): Wer dort keinen Wohnsitz mehr hat, ist grundsätzlich auch nicht mehr steuerpflichtig gegenüber diesem Land, unabhängig vom Pass. Die USA dagegen besteuern nach dem Staatsbürgerschaftsprinzip (</w:t>
      </w:r>
      <w:r>
        <w:rPr>
          <w:i/>
          <w:iCs/>
        </w:rPr>
        <w:t>citizenship-based taxation</w:t>
      </w:r>
      <w:r>
        <w:t xml:space="preserve">) – das gilt nicht nur für US-Staatsbürger, sondern auch für Inhaber der Green Card. Diese Pflicht gegenüber der US-Steuerbehörde IRS bleibt bestehen, selbst wenn du längst wieder in </w:t>
      </w:r>
      <w:r>
        <w:lastRenderedPageBreak/>
        <w:t>Deutschland oder einem Drittland lebst, und endet erst mit einem formellen Verzicht auf Staatsbürgerschaft oder Green Card.</w:t>
      </w:r>
    </w:p>
    <w:p w14:paraId="70A4C3B6" w14:textId="77777777" w:rsidR="00C1548D" w:rsidRDefault="009B1B4B">
      <w:pPr>
        <w:spacing w:after="140"/>
      </w:pPr>
      <w:r>
        <w:t>Verbreiteter Irrtum: Wer die USA nach Jahren wieder verlässt, sei damit automatisch aus der US-Steuerpflicht heraus. Tatsächlich bleibt sie bestehen, bis der Status formell aufgegeben wird – ein Verfahren mit eigenen Gebühren und eigenem Papierkram, das der USA-Teil dieses Buches im Detail behandelt.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B9"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3B7" w14:textId="77777777" w:rsidR="00C1548D" w:rsidRDefault="009B1B4B">
            <w:pPr>
              <w:keepNext/>
              <w:spacing w:after="70" w:line="240" w:lineRule="auto"/>
            </w:pPr>
            <w:r>
              <w:rPr>
                <w:b/>
                <w:bCs/>
                <w:color w:val="8A6212"/>
                <w:spacing w:val="24"/>
                <w:sz w:val="16"/>
                <w:szCs w:val="16"/>
              </w:rPr>
              <w:t>MERKE</w:t>
            </w:r>
          </w:p>
          <w:p w14:paraId="70A4C3B8" w14:textId="77777777" w:rsidR="00C1548D" w:rsidRDefault="009B1B4B">
            <w:pPr>
              <w:spacing w:after="80" w:line="264" w:lineRule="auto"/>
            </w:pPr>
            <w:r>
              <w:rPr>
                <w:sz w:val="20"/>
                <w:szCs w:val="20"/>
              </w:rPr>
              <w:t>Nur die USA besteuern unter den vier Zielländern nach Staatsbürgerschaft, nicht nach Wohnsitz. Wer offenhalten will, eines Tages zurück nach Deutschland zu ziehen, sollte diesen Unterschied früh verstehen, nicht erst beim ersten Steuerbescheid nach der Rückkehr.</w:t>
            </w:r>
          </w:p>
        </w:tc>
      </w:tr>
    </w:tbl>
    <w:p w14:paraId="70A4C3BA" w14:textId="77777777" w:rsidR="00C1548D" w:rsidRDefault="00C1548D">
      <w:pPr>
        <w:spacing w:line="220" w:lineRule="exact"/>
      </w:pPr>
    </w:p>
    <w:p w14:paraId="70A4C3BB" w14:textId="77777777" w:rsidR="00C1548D" w:rsidRDefault="009B1B4B">
      <w:pPr>
        <w:pStyle w:val="Heading3"/>
        <w:keepNext/>
        <w:jc w:val="center"/>
      </w:pPr>
      <w:r>
        <w:rPr>
          <w:rFonts w:ascii="Amazon Ember" w:eastAsia="Amazon Ember" w:hAnsi="Amazon Ember" w:cs="Amazon Ember"/>
          <w:color w:val="0000FF"/>
          <w:sz w:val="36"/>
          <w:szCs w:val="36"/>
        </w:rPr>
        <w:t>Lebenshaltungskosten und Wohnort</w:t>
      </w:r>
    </w:p>
    <w:p w14:paraId="70A4C3BC" w14:textId="77777777" w:rsidR="00C1548D" w:rsidRDefault="009B1B4B">
      <w:pPr>
        <w:spacing w:after="140"/>
      </w:pPr>
      <w:r>
        <w:t>Ein häufig genutzter, wenn auch nicht amtlicher Anhaltspunkt für Lebenshaltungskosten ist der Index des Portals Numbeo, der auf nutzergenerierten Preisangaben beruht und New York als Referenzwert 100 setzt. Im Länderdurchschnitt liegen die USA bei 69,7 (plus Miete 54,8), Australien bei 71,4 (53,9), Kanada bei 61,3 (46,6) und Neuseeland bei 60,2 (43,9) – zum Vergleich Deutschland bei 68,0 (47,0).</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10"/>
        <w:gridCol w:w="2622"/>
        <w:gridCol w:w="1548"/>
      </w:tblGrid>
      <w:tr w:rsidR="00C1548D" w14:paraId="70A4C3C0" w14:textId="77777777">
        <w:tblPrEx>
          <w:tblCellMar>
            <w:top w:w="0" w:type="dxa"/>
            <w:bottom w:w="0" w:type="dxa"/>
          </w:tblCellMar>
        </w:tblPrEx>
        <w:trPr>
          <w:cantSplit/>
          <w:tblHeader/>
        </w:trPr>
        <w:tc>
          <w:tcPr>
            <w:tcW w:w="23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BD" w14:textId="77777777" w:rsidR="00C1548D" w:rsidRDefault="009B1B4B">
            <w:pPr>
              <w:spacing w:line="250" w:lineRule="auto"/>
            </w:pPr>
            <w:r>
              <w:rPr>
                <w:b/>
                <w:bCs/>
                <w:sz w:val="18"/>
                <w:szCs w:val="18"/>
              </w:rPr>
              <w:t>Land</w:t>
            </w:r>
          </w:p>
        </w:tc>
        <w:tc>
          <w:tcPr>
            <w:tcW w:w="262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BE" w14:textId="77777777" w:rsidR="00C1548D" w:rsidRDefault="009B1B4B">
            <w:pPr>
              <w:spacing w:line="250" w:lineRule="auto"/>
            </w:pPr>
            <w:r>
              <w:rPr>
                <w:b/>
                <w:bCs/>
                <w:sz w:val="18"/>
                <w:szCs w:val="18"/>
              </w:rPr>
              <w:t>Cost-of-Living-Index (NY = 100)</w:t>
            </w:r>
          </w:p>
        </w:tc>
        <w:tc>
          <w:tcPr>
            <w:tcW w:w="154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BF" w14:textId="77777777" w:rsidR="00C1548D" w:rsidRDefault="009B1B4B">
            <w:pPr>
              <w:spacing w:line="250" w:lineRule="auto"/>
            </w:pPr>
            <w:r>
              <w:rPr>
                <w:b/>
                <w:bCs/>
                <w:sz w:val="18"/>
                <w:szCs w:val="18"/>
              </w:rPr>
              <w:t>+ Miete</w:t>
            </w:r>
          </w:p>
        </w:tc>
      </w:tr>
      <w:tr w:rsidR="00C1548D" w14:paraId="70A4C3C4" w14:textId="77777777">
        <w:tblPrEx>
          <w:tblCellMar>
            <w:top w:w="0" w:type="dxa"/>
            <w:bottom w:w="0" w:type="dxa"/>
          </w:tblCellMar>
        </w:tblPrEx>
        <w:trPr>
          <w:cantSplit/>
        </w:trPr>
        <w:tc>
          <w:tcPr>
            <w:tcW w:w="2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1" w14:textId="77777777" w:rsidR="00C1548D" w:rsidRDefault="009B1B4B">
            <w:pPr>
              <w:spacing w:line="250" w:lineRule="auto"/>
            </w:pPr>
            <w:r>
              <w:rPr>
                <w:sz w:val="18"/>
                <w:szCs w:val="18"/>
              </w:rPr>
              <w:t>USA</w:t>
            </w:r>
          </w:p>
        </w:tc>
        <w:tc>
          <w:tcPr>
            <w:tcW w:w="2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2" w14:textId="77777777" w:rsidR="00C1548D" w:rsidRDefault="009B1B4B">
            <w:pPr>
              <w:spacing w:line="250" w:lineRule="auto"/>
            </w:pPr>
            <w:r>
              <w:rPr>
                <w:sz w:val="18"/>
                <w:szCs w:val="18"/>
              </w:rPr>
              <w:t>69,7</w:t>
            </w:r>
          </w:p>
        </w:tc>
        <w:tc>
          <w:tcPr>
            <w:tcW w:w="1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3" w14:textId="77777777" w:rsidR="00C1548D" w:rsidRDefault="009B1B4B">
            <w:pPr>
              <w:spacing w:line="250" w:lineRule="auto"/>
            </w:pPr>
            <w:r>
              <w:rPr>
                <w:sz w:val="18"/>
                <w:szCs w:val="18"/>
              </w:rPr>
              <w:t>54,8</w:t>
            </w:r>
          </w:p>
        </w:tc>
      </w:tr>
      <w:tr w:rsidR="00C1548D" w14:paraId="70A4C3C8" w14:textId="77777777">
        <w:tblPrEx>
          <w:tblCellMar>
            <w:top w:w="0" w:type="dxa"/>
            <w:bottom w:w="0" w:type="dxa"/>
          </w:tblCellMar>
        </w:tblPrEx>
        <w:trPr>
          <w:cantSplit/>
        </w:trPr>
        <w:tc>
          <w:tcPr>
            <w:tcW w:w="2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5" w14:textId="77777777" w:rsidR="00C1548D" w:rsidRDefault="009B1B4B">
            <w:pPr>
              <w:spacing w:line="250" w:lineRule="auto"/>
            </w:pPr>
            <w:r>
              <w:rPr>
                <w:sz w:val="18"/>
                <w:szCs w:val="18"/>
              </w:rPr>
              <w:t>Australien</w:t>
            </w:r>
          </w:p>
        </w:tc>
        <w:tc>
          <w:tcPr>
            <w:tcW w:w="2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6" w14:textId="77777777" w:rsidR="00C1548D" w:rsidRDefault="009B1B4B">
            <w:pPr>
              <w:spacing w:line="250" w:lineRule="auto"/>
            </w:pPr>
            <w:r>
              <w:rPr>
                <w:sz w:val="18"/>
                <w:szCs w:val="18"/>
              </w:rPr>
              <w:t>71,4</w:t>
            </w:r>
          </w:p>
        </w:tc>
        <w:tc>
          <w:tcPr>
            <w:tcW w:w="1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7" w14:textId="77777777" w:rsidR="00C1548D" w:rsidRDefault="009B1B4B">
            <w:pPr>
              <w:spacing w:line="250" w:lineRule="auto"/>
            </w:pPr>
            <w:r>
              <w:rPr>
                <w:sz w:val="18"/>
                <w:szCs w:val="18"/>
              </w:rPr>
              <w:t>53,9</w:t>
            </w:r>
          </w:p>
        </w:tc>
      </w:tr>
      <w:tr w:rsidR="00C1548D" w14:paraId="70A4C3CC" w14:textId="77777777">
        <w:tblPrEx>
          <w:tblCellMar>
            <w:top w:w="0" w:type="dxa"/>
            <w:bottom w:w="0" w:type="dxa"/>
          </w:tblCellMar>
        </w:tblPrEx>
        <w:trPr>
          <w:cantSplit/>
        </w:trPr>
        <w:tc>
          <w:tcPr>
            <w:tcW w:w="2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9" w14:textId="77777777" w:rsidR="00C1548D" w:rsidRDefault="009B1B4B">
            <w:pPr>
              <w:spacing w:line="250" w:lineRule="auto"/>
            </w:pPr>
            <w:r>
              <w:rPr>
                <w:sz w:val="18"/>
                <w:szCs w:val="18"/>
              </w:rPr>
              <w:t>Deutschland (Vergleich)</w:t>
            </w:r>
          </w:p>
        </w:tc>
        <w:tc>
          <w:tcPr>
            <w:tcW w:w="2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A" w14:textId="77777777" w:rsidR="00C1548D" w:rsidRDefault="009B1B4B">
            <w:pPr>
              <w:spacing w:line="250" w:lineRule="auto"/>
            </w:pPr>
            <w:r>
              <w:rPr>
                <w:sz w:val="18"/>
                <w:szCs w:val="18"/>
              </w:rPr>
              <w:t>68,0</w:t>
            </w:r>
          </w:p>
        </w:tc>
        <w:tc>
          <w:tcPr>
            <w:tcW w:w="1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B" w14:textId="77777777" w:rsidR="00C1548D" w:rsidRDefault="009B1B4B">
            <w:pPr>
              <w:spacing w:line="250" w:lineRule="auto"/>
            </w:pPr>
            <w:r>
              <w:rPr>
                <w:sz w:val="18"/>
                <w:szCs w:val="18"/>
              </w:rPr>
              <w:t>47,0</w:t>
            </w:r>
          </w:p>
        </w:tc>
      </w:tr>
      <w:tr w:rsidR="00C1548D" w14:paraId="70A4C3D0" w14:textId="77777777">
        <w:tblPrEx>
          <w:tblCellMar>
            <w:top w:w="0" w:type="dxa"/>
            <w:bottom w:w="0" w:type="dxa"/>
          </w:tblCellMar>
        </w:tblPrEx>
        <w:trPr>
          <w:cantSplit/>
        </w:trPr>
        <w:tc>
          <w:tcPr>
            <w:tcW w:w="2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D" w14:textId="77777777" w:rsidR="00C1548D" w:rsidRDefault="009B1B4B">
            <w:pPr>
              <w:spacing w:line="250" w:lineRule="auto"/>
            </w:pPr>
            <w:r>
              <w:rPr>
                <w:sz w:val="18"/>
                <w:szCs w:val="18"/>
              </w:rPr>
              <w:t>Kanada</w:t>
            </w:r>
          </w:p>
        </w:tc>
        <w:tc>
          <w:tcPr>
            <w:tcW w:w="2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E" w14:textId="77777777" w:rsidR="00C1548D" w:rsidRDefault="009B1B4B">
            <w:pPr>
              <w:spacing w:line="250" w:lineRule="auto"/>
            </w:pPr>
            <w:r>
              <w:rPr>
                <w:sz w:val="18"/>
                <w:szCs w:val="18"/>
              </w:rPr>
              <w:t>61,3</w:t>
            </w:r>
          </w:p>
        </w:tc>
        <w:tc>
          <w:tcPr>
            <w:tcW w:w="1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CF" w14:textId="77777777" w:rsidR="00C1548D" w:rsidRDefault="009B1B4B">
            <w:pPr>
              <w:spacing w:line="250" w:lineRule="auto"/>
            </w:pPr>
            <w:r>
              <w:rPr>
                <w:sz w:val="18"/>
                <w:szCs w:val="18"/>
              </w:rPr>
              <w:t>46,6</w:t>
            </w:r>
          </w:p>
        </w:tc>
      </w:tr>
      <w:tr w:rsidR="00C1548D" w14:paraId="70A4C3D4" w14:textId="77777777">
        <w:tblPrEx>
          <w:tblCellMar>
            <w:top w:w="0" w:type="dxa"/>
            <w:bottom w:w="0" w:type="dxa"/>
          </w:tblCellMar>
        </w:tblPrEx>
        <w:trPr>
          <w:cantSplit/>
        </w:trPr>
        <w:tc>
          <w:tcPr>
            <w:tcW w:w="2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D1" w14:textId="77777777" w:rsidR="00C1548D" w:rsidRDefault="009B1B4B">
            <w:pPr>
              <w:spacing w:line="250" w:lineRule="auto"/>
            </w:pPr>
            <w:r>
              <w:rPr>
                <w:sz w:val="18"/>
                <w:szCs w:val="18"/>
              </w:rPr>
              <w:t>Neuseeland</w:t>
            </w:r>
          </w:p>
        </w:tc>
        <w:tc>
          <w:tcPr>
            <w:tcW w:w="2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D2" w14:textId="77777777" w:rsidR="00C1548D" w:rsidRDefault="009B1B4B">
            <w:pPr>
              <w:spacing w:line="250" w:lineRule="auto"/>
            </w:pPr>
            <w:r>
              <w:rPr>
                <w:sz w:val="18"/>
                <w:szCs w:val="18"/>
              </w:rPr>
              <w:t>60,2</w:t>
            </w:r>
          </w:p>
        </w:tc>
        <w:tc>
          <w:tcPr>
            <w:tcW w:w="1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D3" w14:textId="77777777" w:rsidR="00C1548D" w:rsidRDefault="009B1B4B">
            <w:pPr>
              <w:spacing w:line="250" w:lineRule="auto"/>
            </w:pPr>
            <w:r>
              <w:rPr>
                <w:sz w:val="18"/>
                <w:szCs w:val="18"/>
              </w:rPr>
              <w:t>43,9</w:t>
            </w:r>
          </w:p>
        </w:tc>
      </w:tr>
    </w:tbl>
    <w:p w14:paraId="70A4C3D5" w14:textId="77777777" w:rsidR="00C1548D" w:rsidRDefault="00C1548D">
      <w:pPr>
        <w:spacing w:line="180" w:lineRule="exact"/>
      </w:pPr>
    </w:p>
    <w:p w14:paraId="70A4C3D6" w14:textId="77777777" w:rsidR="00C1548D" w:rsidRDefault="009B1B4B">
      <w:pPr>
        <w:spacing w:after="140"/>
      </w:pPr>
      <w:r>
        <w:t xml:space="preserve">Diese Länderdurchschnitte verdecken allerdings enorme Unterschiede zwischen einzelnen Städten. New York und San </w:t>
      </w:r>
      <w:r>
        <w:lastRenderedPageBreak/>
        <w:t>Francisco gehören zu den teuersten Orten der Welt, während Städte wie Houston oder Austin deutlich günstiger sind; Toronto und Vancouver liegen etwa auf deutschem Großstadtniveau, Auckland und Wellington eher darunter. Die Wahl der Stadt innerhalb eines Landes wirkt auf dein verfügbares Einkommen oft stärker als die Wahl zwischen den vier Ländern selbst – ein Punkt, den die jeweiligen Länder-Teile mit konkreten Städten vertiefen.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3D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3D7" w14:textId="77777777" w:rsidR="00C1548D" w:rsidRDefault="009B1B4B">
            <w:pPr>
              <w:keepNext/>
              <w:spacing w:after="70" w:line="240" w:lineRule="auto"/>
            </w:pPr>
            <w:r>
              <w:rPr>
                <w:b/>
                <w:bCs/>
                <w:color w:val="9B2C2C"/>
                <w:spacing w:val="24"/>
                <w:sz w:val="16"/>
                <w:szCs w:val="16"/>
              </w:rPr>
              <w:t>ACHTUNG</w:t>
            </w:r>
          </w:p>
          <w:p w14:paraId="70A4C3D8" w14:textId="77777777" w:rsidR="00C1548D" w:rsidRDefault="009B1B4B">
            <w:pPr>
              <w:spacing w:after="80" w:line="264" w:lineRule="auto"/>
            </w:pPr>
            <w:r>
              <w:rPr>
                <w:sz w:val="20"/>
                <w:szCs w:val="20"/>
              </w:rPr>
              <w:t>Numbeo-Werte stammen aus nutzergenerierten Umfragedaten, nicht aus amtlicher Statistik. Nutze sie als Orientierung für die Größenordnung, nicht als exakte Rechengrundlage für deinen persönlichen Finanzplan.</w:t>
            </w:r>
          </w:p>
        </w:tc>
      </w:tr>
    </w:tbl>
    <w:p w14:paraId="70A4C3DA" w14:textId="77777777" w:rsidR="00C1548D" w:rsidRDefault="00C1548D">
      <w:pPr>
        <w:spacing w:line="220" w:lineRule="exact"/>
      </w:pPr>
    </w:p>
    <w:p w14:paraId="70A4C3DB" w14:textId="77777777" w:rsidR="00C1548D" w:rsidRDefault="009B1B4B">
      <w:pPr>
        <w:pStyle w:val="Heading3"/>
        <w:keepNext/>
        <w:jc w:val="center"/>
      </w:pPr>
      <w:r>
        <w:rPr>
          <w:rFonts w:ascii="Amazon Ember" w:eastAsia="Amazon Ember" w:hAnsi="Amazon Ember" w:cs="Amazon Ember"/>
          <w:color w:val="0000FF"/>
          <w:sz w:val="36"/>
          <w:szCs w:val="36"/>
        </w:rPr>
        <w:t>Distanz, Flugzeit und Zeitverschiebung</w:t>
      </w:r>
    </w:p>
    <w:p w14:paraId="70A4C3DC" w14:textId="77777777" w:rsidR="00C1548D" w:rsidRDefault="009B1B4B">
      <w:pPr>
        <w:spacing w:after="140"/>
      </w:pPr>
      <w:r>
        <w:t xml:space="preserve">Ein Faktor, der bei der Entscheidung leicht untergeht, weil er sich nicht in eine Tabelle mit Gehältern und Steuern packen lässt: wie weit weg du tatsächlich sein wirst. Kanada liegt von den drei neuen Zielländern am nächsten an Deutschland – Toronto in rund 8 Stunden Flugzeit, Vancouver in etwas über 10. Die USA liegen je nach Küste ähnlich nah bis etwas weiter entfernt: Ostküstenstädte in rund 8–9 Stunden, die Westküste in rund 11 Stunden, jeweils meist als Direktflug. Australien und Neuseeland sind ohne </w:t>
      </w:r>
      <w:r>
        <w:t>Nonstop-Verbindung ab Deutschland erreichbar; nach Sydney vergehen inklusive Zwischenstopp knapp 20 Stunden, nach Auckland rund 24 Stunden.</w:t>
      </w:r>
    </w:p>
    <w:p w14:paraId="70A4C3DD" w14:textId="77777777" w:rsidR="00C1548D" w:rsidRDefault="009B1B4B">
      <w:pPr>
        <w:spacing w:after="140"/>
      </w:pPr>
      <w:r>
        <w:t xml:space="preserve">Die Zeitverschiebung verstärkt diesen Effekt zusätzlich: Die USA und Kanada liegen, je nach Zeitzone, 6–9 Stunden hinter Deutschland zurück – ein Telefonat am Feierabend ist dort noch früher Nachmittag. Australien liegt 8–9 Stunden voraus, Neuseeland sogar 11–12 Stunden voraus – nahezu eine vollständige Tag-Nacht-Umkehr. Für spontane Videoanrufe mit Eltern oder Geschwistern in Deutschland, für kurzfristige Heimflüge im Notfall oder für den x-ten </w:t>
      </w:r>
      <w:r>
        <w:lastRenderedPageBreak/>
        <w:t>verpassten Geburtstag ist das ein Unterschied, der sich erst im Alltag zeigt, aber schwer wiegt – überlege dir ehrlich, wie wichtig dir kurzfristige Erreichbarkeit ist, bevor du dich für ein Land auf der anderen Seite der Erde entscheidest.</w:t>
      </w:r>
    </w:p>
    <w:p w14:paraId="70A4C3DE" w14:textId="77777777" w:rsidR="00C1548D" w:rsidRDefault="009B1B4B">
      <w:pPr>
        <w:pStyle w:val="Heading3"/>
        <w:keepNext/>
        <w:jc w:val="center"/>
      </w:pPr>
      <w:r>
        <w:rPr>
          <w:rFonts w:ascii="Amazon Ember" w:eastAsia="Amazon Ember" w:hAnsi="Amazon Ember" w:cs="Amazon Ember"/>
          <w:color w:val="0000FF"/>
          <w:sz w:val="36"/>
          <w:szCs w:val="36"/>
        </w:rPr>
        <w:t>Klima und Landschaft</w:t>
      </w:r>
    </w:p>
    <w:p w14:paraId="70A4C3DF" w14:textId="77777777" w:rsidR="00C1548D" w:rsidRDefault="009B1B4B">
      <w:pPr>
        <w:spacing w:after="140"/>
      </w:pPr>
      <w:r>
        <w:t>Beim Klima gibt es kein objektiv „besseres“ Land, nur die Frage, was zu dir passt. Die USA bieten auf einer einzigen Landmasse fast jedes Klima der Welt, von subtropisch im Südosten über trockene Wüste im Südwesten bis kontinental-kalt im Norden – die Wahl des Bundesstaats entscheidet hier mehr als die Wahl des Landes. Kanada ist überwiegend kalt-kontinental mit langen, deutlich strengeren Wintern als in Deutschland, mit Ausnahme der milderen Pazifikküste um Vancouver. Australien ist im Landesinneren größte</w:t>
      </w:r>
      <w:r>
        <w:t xml:space="preserve">nteils trocken bis wüstenhaft, tropisch im Norden – dort, wo die meisten Einwanderer tatsächlich leben, an den Küsten um Sydney, Melbourne und Perth,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w:t>
      </w:r>
      <w:r>
        <w:t>Gegenteil möglichst nie wieder einen deutschen Novembernieselregen erleben will, sollte genauer hinschauen, denn sowohl die neuseeländische Nordinsel als auch weite Teile Kanadas sind selbst dafür bekannt, ziemlich viel Regen abzubekommen.</w:t>
      </w:r>
    </w:p>
    <w:p w14:paraId="70A4C3E0" w14:textId="77777777" w:rsidR="00C1548D" w:rsidRDefault="009B1B4B">
      <w:pPr>
        <w:pStyle w:val="Heading3"/>
        <w:keepNext/>
        <w:jc w:val="center"/>
      </w:pPr>
      <w:r>
        <w:rPr>
          <w:rFonts w:ascii="Amazon Ember" w:eastAsia="Amazon Ember" w:hAnsi="Amazon Ember" w:cs="Amazon Ember"/>
          <w:color w:val="0000FF"/>
          <w:sz w:val="36"/>
          <w:szCs w:val="36"/>
        </w:rPr>
        <w:t>Wie groß ist die deutsche Community vor Ort?</w:t>
      </w:r>
    </w:p>
    <w:p w14:paraId="70A4C3E1" w14:textId="77777777" w:rsidR="00C1548D" w:rsidRDefault="009B1B4B">
      <w:pPr>
        <w:spacing w:after="140"/>
      </w:pPr>
      <w:r>
        <w:t xml:space="preserve">Ein weicher, aber für viele Auswanderer spürbarer Faktor ist, wie viele Deutsche bereits im Zielland leben – als möglicher Anknüpfungspunkt für die ersten Monate, nicht als Ersatz für die </w:t>
      </w:r>
      <w:r>
        <w:lastRenderedPageBreak/>
        <w:t>Integration vor Ort. Die verfügbaren Zahlen sind allerdings mit Vorsicht zu lesen, weil jedes Land etwas anderes zählt. In den USA lebten 2024 rund 519.200 Personen mit deutscher 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w:t>
      </w:r>
      <w:r>
        <w:t>ch geprüften Sekundärquelle. Für Neuseeland gibt es keine belastbare aktuelle Zahl – ältere Erhebungen und kursierende Schätzungen widersprechen sich zu stark, um zitiert zu werden. Nimm diesen Punkt als groben Anhaltspunkt, nicht als entscheidendes Kriterium: Eine große deutsche Community vor Ort kann den Einstieg erleichtern, ersetzt aber weder eigene Sprachkenntnisse noch echte Freundschaften mit Menschen aus dem Zielland.</w:t>
      </w:r>
    </w:p>
    <w:p w14:paraId="70A4C3E2" w14:textId="77777777" w:rsidR="00C1548D" w:rsidRDefault="009B1B4B">
      <w:pPr>
        <w:pStyle w:val="Heading3"/>
        <w:keepNext/>
        <w:jc w:val="center"/>
      </w:pPr>
      <w:r>
        <w:rPr>
          <w:rFonts w:ascii="Amazon Ember" w:eastAsia="Amazon Ember" w:hAnsi="Amazon Ember" w:cs="Amazon Ember"/>
          <w:color w:val="0000FF"/>
          <w:sz w:val="36"/>
          <w:szCs w:val="36"/>
        </w:rPr>
        <w:t>Doppelte Staatsbürgerschaft: eine gute Nachricht vorweg</w:t>
      </w:r>
    </w:p>
    <w:p w14:paraId="70A4C3E3" w14:textId="77777777" w:rsidR="00C1548D" w:rsidRDefault="009B1B4B">
      <w:pPr>
        <w:spacing w:after="140"/>
      </w:pPr>
      <w:r>
        <w:t>Ein Punkt, der viele Leser beunruhigt, bevor sie ihn recherchiert haben, lässt sich schnell klären: Seit der Reform des deutschen Staatsangehörigkeitsrechts im Juni 2024 führt eine Einbürgerung in den USA, Kanada, Australien oder Neuseeland nicht mehr automatisch zum Verlust der deutschen Staatsangehörigkeit, und eine vorherige Beibehaltungsgenehmigung ist nicht mehr nötig. Alle vier Zielländer erlauben Mehrstaatigkeit ausdrücklich und verlangen bei der eigenen Einbürgerung keinen wirksamen Verzicht auf die</w:t>
      </w:r>
      <w:r>
        <w:t xml:space="preserve"> bisherige Staatsangehörigkeit. In dieser Frage unterscheiden sich die vier Länder also kaum – ein beruhigender Gleichstand, kein Auswahlkriterium. Den konkreten Weg zur jeweiligen Staatsbürgerschaft beschreibt der Länder-Teil deines Wunschlandes.</w:t>
      </w:r>
    </w:p>
    <w:p w14:paraId="70A4C3E4"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gewichtete Vergleichs-Scorecard</w:t>
      </w:r>
    </w:p>
    <w:p w14:paraId="70A4C3E5" w14:textId="77777777" w:rsidR="00C1548D" w:rsidRDefault="009B1B4B">
      <w:pPr>
        <w:spacing w:after="140"/>
      </w:pPr>
      <w:r>
        <w:t xml:space="preserve">Die folgende Tabelle übersetzt die wichtigsten Unterschiede aus diesem Kapitel in eine Punktzahl von 1 (ungünstig) bis 5 (günstig) je Land – eine vereinfachte, eigene Einordnung der oben genannten Fakten, kein amtliches Ranking. Trage zuerst in die zweite Spalte ein, wie wichtig dir jedes Kriterium persönlich ist (1 = unwichtig, 5 = entscheidend). Multipliziere diese Gewichtung anschließend für jedes Land mit dem jeweiligen Punktwert aus der dritten Spalte und trage die vier Ergebnisse in die letzte Spalte </w:t>
      </w:r>
      <w:r>
        <w:t>ein. Bei der Klimazeile gibt es bewusst keine vorgegebenen Punkte – trage dort ein, was deiner eigenen Präferenz entspricht.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66"/>
        <w:gridCol w:w="950"/>
        <w:gridCol w:w="1889"/>
        <w:gridCol w:w="1875"/>
      </w:tblGrid>
      <w:tr w:rsidR="00C1548D" w14:paraId="70A4C3EA" w14:textId="77777777">
        <w:tblPrEx>
          <w:tblCellMar>
            <w:top w:w="0" w:type="dxa"/>
            <w:bottom w:w="0" w:type="dxa"/>
          </w:tblCellMar>
        </w:tblPrEx>
        <w:trPr>
          <w:cantSplit/>
          <w:tblHeader/>
        </w:trPr>
        <w:tc>
          <w:tcPr>
            <w:tcW w:w="176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E6" w14:textId="77777777" w:rsidR="00C1548D" w:rsidRDefault="009B1B4B">
            <w:pPr>
              <w:spacing w:line="250" w:lineRule="auto"/>
            </w:pPr>
            <w:r>
              <w:rPr>
                <w:b/>
                <w:bCs/>
                <w:sz w:val="18"/>
                <w:szCs w:val="18"/>
              </w:rPr>
              <w:t>Kriterium</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E7" w14:textId="77777777" w:rsidR="00C1548D" w:rsidRDefault="009B1B4B">
            <w:pPr>
              <w:spacing w:line="250" w:lineRule="auto"/>
            </w:pPr>
            <w:r>
              <w:rPr>
                <w:b/>
                <w:bCs/>
                <w:sz w:val="18"/>
                <w:szCs w:val="18"/>
              </w:rPr>
              <w:t>Deine Gewichtung (1–5)</w:t>
            </w:r>
          </w:p>
        </w:tc>
        <w:tc>
          <w:tcPr>
            <w:tcW w:w="18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E8" w14:textId="77777777" w:rsidR="00C1548D" w:rsidRDefault="009B1B4B">
            <w:pPr>
              <w:spacing w:line="250" w:lineRule="auto"/>
            </w:pPr>
            <w:r>
              <w:rPr>
                <w:b/>
                <w:bCs/>
                <w:sz w:val="18"/>
                <w:szCs w:val="18"/>
              </w:rPr>
              <w:t>Punkte je Land (USA / Kanada / Australien / Neuseeland)</w:t>
            </w:r>
          </w:p>
        </w:tc>
        <w:tc>
          <w:tcPr>
            <w:tcW w:w="187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3E9" w14:textId="77777777" w:rsidR="00C1548D" w:rsidRDefault="009B1B4B">
            <w:pPr>
              <w:spacing w:line="250" w:lineRule="auto"/>
            </w:pPr>
            <w:r>
              <w:rPr>
                <w:b/>
                <w:bCs/>
                <w:sz w:val="18"/>
                <w:szCs w:val="18"/>
              </w:rPr>
              <w:t>Dein Ergebnis (Gewichtung × Punkte)</w:t>
            </w:r>
          </w:p>
        </w:tc>
      </w:tr>
      <w:tr w:rsidR="00C1548D" w14:paraId="70A4C3EF" w14:textId="77777777">
        <w:tblPrEx>
          <w:tblCellMar>
            <w:top w:w="0" w:type="dxa"/>
            <w:bottom w:w="0" w:type="dxa"/>
          </w:tblCellMar>
        </w:tblPrEx>
        <w:trPr>
          <w:cantSplit/>
        </w:trPr>
        <w:tc>
          <w:tcPr>
            <w:tcW w:w="17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EB" w14:textId="77777777" w:rsidR="00C1548D" w:rsidRDefault="009B1B4B">
            <w:pPr>
              <w:spacing w:line="250" w:lineRule="auto"/>
            </w:pPr>
            <w:r>
              <w:rPr>
                <w:sz w:val="18"/>
                <w:szCs w:val="18"/>
              </w:rPr>
              <w:t>Planbarkeit des Einwanderungswegs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EC" w14:textId="77777777" w:rsidR="00C1548D" w:rsidRDefault="00C1548D">
            <w:pPr>
              <w:spacing w:line="250" w:lineRule="auto"/>
            </w:pPr>
          </w:p>
        </w:tc>
        <w:tc>
          <w:tcPr>
            <w:tcW w:w="18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ED" w14:textId="77777777" w:rsidR="00C1548D" w:rsidRDefault="009B1B4B">
            <w:pPr>
              <w:spacing w:line="250" w:lineRule="auto"/>
            </w:pPr>
            <w:r>
              <w:rPr>
                <w:sz w:val="18"/>
                <w:szCs w:val="18"/>
              </w:rPr>
              <w:t>USA 2</w:t>
            </w:r>
            <w:r>
              <w:rPr>
                <w:sz w:val="18"/>
                <w:szCs w:val="18"/>
              </w:rPr>
              <w:br/>
            </w:r>
            <w:r>
              <w:rPr>
                <w:sz w:val="18"/>
                <w:szCs w:val="18"/>
              </w:rPr>
              <w:t>Kanada 5</w:t>
            </w:r>
            <w:r>
              <w:rPr>
                <w:sz w:val="18"/>
                <w:szCs w:val="18"/>
              </w:rPr>
              <w:br/>
            </w:r>
            <w:r>
              <w:rPr>
                <w:sz w:val="18"/>
                <w:szCs w:val="18"/>
              </w:rPr>
              <w:t>Australien 4</w:t>
            </w:r>
            <w:r>
              <w:rPr>
                <w:sz w:val="18"/>
                <w:szCs w:val="18"/>
              </w:rPr>
              <w:br/>
            </w:r>
            <w:r>
              <w:rPr>
                <w:sz w:val="18"/>
                <w:szCs w:val="18"/>
              </w:rPr>
              <w:t>Neuseeland 4</w:t>
            </w:r>
          </w:p>
        </w:tc>
        <w:tc>
          <w:tcPr>
            <w:tcW w:w="18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EE" w14:textId="77777777" w:rsidR="00C1548D" w:rsidRDefault="009B1B4B">
            <w:pPr>
              <w:spacing w:line="250" w:lineRule="auto"/>
            </w:pPr>
            <w:r>
              <w:rPr>
                <w:sz w:val="18"/>
                <w:szCs w:val="18"/>
              </w:rPr>
              <w:t>USA:</w:t>
            </w:r>
            <w:r>
              <w:rPr>
                <w:sz w:val="18"/>
                <w:szCs w:val="18"/>
              </w:rPr>
              <w:br/>
            </w:r>
            <w:r>
              <w:rPr>
                <w:sz w:val="18"/>
                <w:szCs w:val="18"/>
              </w:rPr>
              <w:t>Kanada:</w:t>
            </w:r>
            <w:r>
              <w:rPr>
                <w:sz w:val="18"/>
                <w:szCs w:val="18"/>
              </w:rPr>
              <w:br/>
            </w:r>
            <w:r>
              <w:rPr>
                <w:sz w:val="18"/>
                <w:szCs w:val="18"/>
              </w:rPr>
              <w:t>Australien:</w:t>
            </w:r>
            <w:r>
              <w:rPr>
                <w:sz w:val="18"/>
                <w:szCs w:val="18"/>
              </w:rPr>
              <w:br/>
            </w:r>
            <w:r>
              <w:rPr>
                <w:sz w:val="18"/>
                <w:szCs w:val="18"/>
              </w:rPr>
              <w:t>Neuseeland:</w:t>
            </w:r>
          </w:p>
        </w:tc>
      </w:tr>
      <w:tr w:rsidR="00C1548D" w14:paraId="70A4C3F4" w14:textId="77777777">
        <w:tblPrEx>
          <w:tblCellMar>
            <w:top w:w="0" w:type="dxa"/>
            <w:bottom w:w="0" w:type="dxa"/>
          </w:tblCellMar>
        </w:tblPrEx>
        <w:trPr>
          <w:cantSplit/>
        </w:trPr>
        <w:tc>
          <w:tcPr>
            <w:tcW w:w="17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0" w14:textId="77777777" w:rsidR="00C1548D" w:rsidRDefault="009B1B4B">
            <w:pPr>
              <w:spacing w:line="250" w:lineRule="auto"/>
            </w:pPr>
            <w:r>
              <w:rPr>
                <w:sz w:val="18"/>
                <w:szCs w:val="18"/>
              </w:rPr>
              <w:t>Geschwindigkeit bis zum unbefristeten Titel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1" w14:textId="77777777" w:rsidR="00C1548D" w:rsidRDefault="00C1548D">
            <w:pPr>
              <w:spacing w:line="250" w:lineRule="auto"/>
            </w:pPr>
          </w:p>
        </w:tc>
        <w:tc>
          <w:tcPr>
            <w:tcW w:w="18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2" w14:textId="77777777" w:rsidR="00C1548D" w:rsidRDefault="009B1B4B">
            <w:pPr>
              <w:spacing w:line="250" w:lineRule="auto"/>
            </w:pPr>
            <w:r>
              <w:rPr>
                <w:sz w:val="18"/>
                <w:szCs w:val="18"/>
              </w:rPr>
              <w:t>USA 2</w:t>
            </w:r>
            <w:r>
              <w:rPr>
                <w:sz w:val="18"/>
                <w:szCs w:val="18"/>
              </w:rPr>
              <w:br/>
            </w:r>
            <w:r>
              <w:rPr>
                <w:sz w:val="18"/>
                <w:szCs w:val="18"/>
              </w:rPr>
              <w:t>Kanada 4</w:t>
            </w:r>
            <w:r>
              <w:rPr>
                <w:sz w:val="18"/>
                <w:szCs w:val="18"/>
              </w:rPr>
              <w:br/>
            </w:r>
            <w:r>
              <w:rPr>
                <w:sz w:val="18"/>
                <w:szCs w:val="18"/>
              </w:rPr>
              <w:t>Australien 4</w:t>
            </w:r>
            <w:r>
              <w:rPr>
                <w:sz w:val="18"/>
                <w:szCs w:val="18"/>
              </w:rPr>
              <w:br/>
            </w:r>
            <w:r>
              <w:rPr>
                <w:sz w:val="18"/>
                <w:szCs w:val="18"/>
              </w:rPr>
              <w:t>Neuseeland 5</w:t>
            </w:r>
          </w:p>
        </w:tc>
        <w:tc>
          <w:tcPr>
            <w:tcW w:w="18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3" w14:textId="77777777" w:rsidR="00C1548D" w:rsidRDefault="009B1B4B">
            <w:pPr>
              <w:spacing w:line="250" w:lineRule="auto"/>
            </w:pPr>
            <w:r>
              <w:rPr>
                <w:sz w:val="18"/>
                <w:szCs w:val="18"/>
              </w:rPr>
              <w:t>USA:</w:t>
            </w:r>
            <w:r>
              <w:rPr>
                <w:sz w:val="18"/>
                <w:szCs w:val="18"/>
              </w:rPr>
              <w:br/>
            </w:r>
            <w:r>
              <w:rPr>
                <w:sz w:val="18"/>
                <w:szCs w:val="18"/>
              </w:rPr>
              <w:t>Kanada:</w:t>
            </w:r>
            <w:r>
              <w:rPr>
                <w:sz w:val="18"/>
                <w:szCs w:val="18"/>
              </w:rPr>
              <w:br/>
            </w:r>
            <w:r>
              <w:rPr>
                <w:sz w:val="18"/>
                <w:szCs w:val="18"/>
              </w:rPr>
              <w:t>Australien:</w:t>
            </w:r>
            <w:r>
              <w:rPr>
                <w:sz w:val="18"/>
                <w:szCs w:val="18"/>
              </w:rPr>
              <w:br/>
            </w:r>
            <w:r>
              <w:rPr>
                <w:sz w:val="18"/>
                <w:szCs w:val="18"/>
              </w:rPr>
              <w:t>Neuseeland:</w:t>
            </w:r>
          </w:p>
        </w:tc>
      </w:tr>
      <w:tr w:rsidR="00C1548D" w14:paraId="70A4C3F9" w14:textId="77777777">
        <w:tblPrEx>
          <w:tblCellMar>
            <w:top w:w="0" w:type="dxa"/>
            <w:bottom w:w="0" w:type="dxa"/>
          </w:tblCellMar>
        </w:tblPrEx>
        <w:trPr>
          <w:cantSplit/>
        </w:trPr>
        <w:tc>
          <w:tcPr>
            <w:tcW w:w="17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5" w14:textId="77777777" w:rsidR="00C1548D" w:rsidRDefault="009B1B4B">
            <w:pPr>
              <w:spacing w:line="250" w:lineRule="auto"/>
            </w:pPr>
            <w:r>
              <w:rPr>
                <w:sz w:val="18"/>
                <w:szCs w:val="18"/>
              </w:rPr>
              <w:t>Automatische Gesundheitsabsicherung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6" w14:textId="77777777" w:rsidR="00C1548D" w:rsidRDefault="00C1548D">
            <w:pPr>
              <w:spacing w:line="250" w:lineRule="auto"/>
            </w:pPr>
          </w:p>
        </w:tc>
        <w:tc>
          <w:tcPr>
            <w:tcW w:w="18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7" w14:textId="77777777" w:rsidR="00C1548D" w:rsidRDefault="009B1B4B">
            <w:pPr>
              <w:spacing w:line="250" w:lineRule="auto"/>
            </w:pPr>
            <w:r>
              <w:rPr>
                <w:sz w:val="18"/>
                <w:szCs w:val="18"/>
              </w:rPr>
              <w:t>USA 1</w:t>
            </w:r>
            <w:r>
              <w:rPr>
                <w:sz w:val="18"/>
                <w:szCs w:val="18"/>
              </w:rPr>
              <w:br/>
            </w:r>
            <w:r>
              <w:rPr>
                <w:sz w:val="18"/>
                <w:szCs w:val="18"/>
              </w:rPr>
              <w:t>Kanada 5</w:t>
            </w:r>
            <w:r>
              <w:rPr>
                <w:sz w:val="18"/>
                <w:szCs w:val="18"/>
              </w:rPr>
              <w:br/>
            </w:r>
            <w:r>
              <w:rPr>
                <w:sz w:val="18"/>
                <w:szCs w:val="18"/>
              </w:rPr>
              <w:t>Australien 4</w:t>
            </w:r>
            <w:r>
              <w:rPr>
                <w:sz w:val="18"/>
                <w:szCs w:val="18"/>
              </w:rPr>
              <w:br/>
            </w:r>
            <w:r>
              <w:rPr>
                <w:sz w:val="18"/>
                <w:szCs w:val="18"/>
              </w:rPr>
              <w:t>Neuseeland 5</w:t>
            </w:r>
          </w:p>
        </w:tc>
        <w:tc>
          <w:tcPr>
            <w:tcW w:w="18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8" w14:textId="77777777" w:rsidR="00C1548D" w:rsidRDefault="009B1B4B">
            <w:pPr>
              <w:spacing w:line="250" w:lineRule="auto"/>
            </w:pPr>
            <w:r>
              <w:rPr>
                <w:sz w:val="18"/>
                <w:szCs w:val="18"/>
              </w:rPr>
              <w:t>USA:</w:t>
            </w:r>
            <w:r>
              <w:rPr>
                <w:sz w:val="18"/>
                <w:szCs w:val="18"/>
              </w:rPr>
              <w:br/>
            </w:r>
            <w:r>
              <w:rPr>
                <w:sz w:val="18"/>
                <w:szCs w:val="18"/>
              </w:rPr>
              <w:t>Kanada:</w:t>
            </w:r>
            <w:r>
              <w:rPr>
                <w:sz w:val="18"/>
                <w:szCs w:val="18"/>
              </w:rPr>
              <w:br/>
            </w:r>
            <w:r>
              <w:rPr>
                <w:sz w:val="18"/>
                <w:szCs w:val="18"/>
              </w:rPr>
              <w:t>Australien:</w:t>
            </w:r>
            <w:r>
              <w:rPr>
                <w:sz w:val="18"/>
                <w:szCs w:val="18"/>
              </w:rPr>
              <w:br/>
            </w:r>
            <w:r>
              <w:rPr>
                <w:sz w:val="18"/>
                <w:szCs w:val="18"/>
              </w:rPr>
              <w:t>Neuseeland:</w:t>
            </w:r>
          </w:p>
        </w:tc>
      </w:tr>
      <w:tr w:rsidR="00C1548D" w14:paraId="70A4C3FE" w14:textId="77777777">
        <w:tblPrEx>
          <w:tblCellMar>
            <w:top w:w="0" w:type="dxa"/>
            <w:bottom w:w="0" w:type="dxa"/>
          </w:tblCellMar>
        </w:tblPrEx>
        <w:trPr>
          <w:cantSplit/>
        </w:trPr>
        <w:tc>
          <w:tcPr>
            <w:tcW w:w="17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A" w14:textId="77777777" w:rsidR="00C1548D" w:rsidRDefault="009B1B4B">
            <w:pPr>
              <w:spacing w:line="250" w:lineRule="auto"/>
            </w:pPr>
            <w:r>
              <w:rPr>
                <w:sz w:val="18"/>
                <w:szCs w:val="18"/>
              </w:rPr>
              <w:t>Niedrige Steuer- und Abgabenlast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B" w14:textId="77777777" w:rsidR="00C1548D" w:rsidRDefault="00C1548D">
            <w:pPr>
              <w:spacing w:line="250" w:lineRule="auto"/>
            </w:pPr>
          </w:p>
        </w:tc>
        <w:tc>
          <w:tcPr>
            <w:tcW w:w="18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C" w14:textId="77777777" w:rsidR="00C1548D" w:rsidRDefault="009B1B4B">
            <w:pPr>
              <w:spacing w:line="250" w:lineRule="auto"/>
            </w:pPr>
            <w:r>
              <w:rPr>
                <w:sz w:val="18"/>
                <w:szCs w:val="18"/>
              </w:rPr>
              <w:t>USA 3</w:t>
            </w:r>
            <w:r>
              <w:rPr>
                <w:sz w:val="18"/>
                <w:szCs w:val="18"/>
              </w:rPr>
              <w:br/>
            </w:r>
            <w:r>
              <w:rPr>
                <w:sz w:val="18"/>
                <w:szCs w:val="18"/>
              </w:rPr>
              <w:t>Kanada 2</w:t>
            </w:r>
            <w:r>
              <w:rPr>
                <w:sz w:val="18"/>
                <w:szCs w:val="18"/>
              </w:rPr>
              <w:br/>
            </w:r>
            <w:r>
              <w:rPr>
                <w:sz w:val="18"/>
                <w:szCs w:val="18"/>
              </w:rPr>
              <w:t>Australien 4</w:t>
            </w:r>
            <w:r>
              <w:rPr>
                <w:sz w:val="18"/>
                <w:szCs w:val="18"/>
              </w:rPr>
              <w:br/>
            </w:r>
            <w:r>
              <w:rPr>
                <w:sz w:val="18"/>
                <w:szCs w:val="18"/>
              </w:rPr>
              <w:t>Neuseeland 5</w:t>
            </w:r>
          </w:p>
        </w:tc>
        <w:tc>
          <w:tcPr>
            <w:tcW w:w="18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D" w14:textId="77777777" w:rsidR="00C1548D" w:rsidRDefault="009B1B4B">
            <w:pPr>
              <w:spacing w:line="250" w:lineRule="auto"/>
            </w:pPr>
            <w:r>
              <w:rPr>
                <w:sz w:val="18"/>
                <w:szCs w:val="18"/>
              </w:rPr>
              <w:t>USA:</w:t>
            </w:r>
            <w:r>
              <w:rPr>
                <w:sz w:val="18"/>
                <w:szCs w:val="18"/>
              </w:rPr>
              <w:br/>
            </w:r>
            <w:r>
              <w:rPr>
                <w:sz w:val="18"/>
                <w:szCs w:val="18"/>
              </w:rPr>
              <w:t>Kanada:</w:t>
            </w:r>
            <w:r>
              <w:rPr>
                <w:sz w:val="18"/>
                <w:szCs w:val="18"/>
              </w:rPr>
              <w:br/>
            </w:r>
            <w:r>
              <w:rPr>
                <w:sz w:val="18"/>
                <w:szCs w:val="18"/>
              </w:rPr>
              <w:t>Australien:</w:t>
            </w:r>
            <w:r>
              <w:rPr>
                <w:sz w:val="18"/>
                <w:szCs w:val="18"/>
              </w:rPr>
              <w:br/>
            </w:r>
            <w:r>
              <w:rPr>
                <w:sz w:val="18"/>
                <w:szCs w:val="18"/>
              </w:rPr>
              <w:t>Neuseeland:</w:t>
            </w:r>
          </w:p>
        </w:tc>
      </w:tr>
      <w:tr w:rsidR="00C1548D" w14:paraId="70A4C403" w14:textId="77777777">
        <w:tblPrEx>
          <w:tblCellMar>
            <w:top w:w="0" w:type="dxa"/>
            <w:bottom w:w="0" w:type="dxa"/>
          </w:tblCellMar>
        </w:tblPrEx>
        <w:trPr>
          <w:cantSplit/>
        </w:trPr>
        <w:tc>
          <w:tcPr>
            <w:tcW w:w="17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3FF" w14:textId="77777777" w:rsidR="00C1548D" w:rsidRDefault="009B1B4B">
            <w:pPr>
              <w:spacing w:line="250" w:lineRule="auto"/>
            </w:pPr>
            <w:r>
              <w:rPr>
                <w:sz w:val="18"/>
                <w:szCs w:val="18"/>
              </w:rPr>
              <w:t>Niedrige Lebenshaltungskosten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00" w14:textId="77777777" w:rsidR="00C1548D" w:rsidRDefault="00C1548D">
            <w:pPr>
              <w:spacing w:line="250" w:lineRule="auto"/>
            </w:pPr>
          </w:p>
        </w:tc>
        <w:tc>
          <w:tcPr>
            <w:tcW w:w="18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01" w14:textId="77777777" w:rsidR="00C1548D" w:rsidRDefault="009B1B4B">
            <w:pPr>
              <w:spacing w:line="250" w:lineRule="auto"/>
            </w:pPr>
            <w:r>
              <w:rPr>
                <w:sz w:val="18"/>
                <w:szCs w:val="18"/>
              </w:rPr>
              <w:t>USA 2</w:t>
            </w:r>
            <w:r>
              <w:rPr>
                <w:sz w:val="18"/>
                <w:szCs w:val="18"/>
              </w:rPr>
              <w:br/>
            </w:r>
            <w:r>
              <w:rPr>
                <w:sz w:val="18"/>
                <w:szCs w:val="18"/>
              </w:rPr>
              <w:t>Kanada 4</w:t>
            </w:r>
            <w:r>
              <w:rPr>
                <w:sz w:val="18"/>
                <w:szCs w:val="18"/>
              </w:rPr>
              <w:br/>
            </w:r>
            <w:r>
              <w:rPr>
                <w:sz w:val="18"/>
                <w:szCs w:val="18"/>
              </w:rPr>
              <w:t>Australien 1</w:t>
            </w:r>
            <w:r>
              <w:rPr>
                <w:sz w:val="18"/>
                <w:szCs w:val="18"/>
              </w:rPr>
              <w:br/>
            </w:r>
            <w:r>
              <w:rPr>
                <w:sz w:val="18"/>
                <w:szCs w:val="18"/>
              </w:rPr>
              <w:t>Neuseeland 5</w:t>
            </w:r>
          </w:p>
        </w:tc>
        <w:tc>
          <w:tcPr>
            <w:tcW w:w="18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02" w14:textId="77777777" w:rsidR="00C1548D" w:rsidRDefault="009B1B4B">
            <w:pPr>
              <w:spacing w:line="250" w:lineRule="auto"/>
            </w:pPr>
            <w:r>
              <w:rPr>
                <w:sz w:val="18"/>
                <w:szCs w:val="18"/>
              </w:rPr>
              <w:t>USA:</w:t>
            </w:r>
            <w:r>
              <w:rPr>
                <w:sz w:val="18"/>
                <w:szCs w:val="18"/>
              </w:rPr>
              <w:br/>
            </w:r>
            <w:r>
              <w:rPr>
                <w:sz w:val="18"/>
                <w:szCs w:val="18"/>
              </w:rPr>
              <w:t>Kanada:</w:t>
            </w:r>
            <w:r>
              <w:rPr>
                <w:sz w:val="18"/>
                <w:szCs w:val="18"/>
              </w:rPr>
              <w:br/>
            </w:r>
            <w:r>
              <w:rPr>
                <w:sz w:val="18"/>
                <w:szCs w:val="18"/>
              </w:rPr>
              <w:t>Australien:</w:t>
            </w:r>
            <w:r>
              <w:rPr>
                <w:sz w:val="18"/>
                <w:szCs w:val="18"/>
              </w:rPr>
              <w:br/>
            </w:r>
            <w:r>
              <w:rPr>
                <w:sz w:val="18"/>
                <w:szCs w:val="18"/>
              </w:rPr>
              <w:t>Neuseeland:</w:t>
            </w:r>
          </w:p>
        </w:tc>
      </w:tr>
      <w:tr w:rsidR="00C1548D" w14:paraId="70A4C408" w14:textId="77777777">
        <w:tblPrEx>
          <w:tblCellMar>
            <w:top w:w="0" w:type="dxa"/>
            <w:bottom w:w="0" w:type="dxa"/>
          </w:tblCellMar>
        </w:tblPrEx>
        <w:trPr>
          <w:cantSplit/>
        </w:trPr>
        <w:tc>
          <w:tcPr>
            <w:tcW w:w="17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04" w14:textId="77777777" w:rsidR="00C1548D" w:rsidRDefault="009B1B4B">
            <w:pPr>
              <w:spacing w:line="250" w:lineRule="auto"/>
            </w:pPr>
            <w:r>
              <w:rPr>
                <w:sz w:val="18"/>
                <w:szCs w:val="18"/>
              </w:rPr>
              <w:t>Nähe zu Deutschland (Flugzeit)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05" w14:textId="77777777" w:rsidR="00C1548D" w:rsidRDefault="00C1548D">
            <w:pPr>
              <w:spacing w:line="250" w:lineRule="auto"/>
            </w:pPr>
          </w:p>
        </w:tc>
        <w:tc>
          <w:tcPr>
            <w:tcW w:w="18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06" w14:textId="77777777" w:rsidR="00C1548D" w:rsidRDefault="009B1B4B">
            <w:pPr>
              <w:spacing w:line="250" w:lineRule="auto"/>
            </w:pPr>
            <w:r>
              <w:rPr>
                <w:sz w:val="18"/>
                <w:szCs w:val="18"/>
              </w:rPr>
              <w:t>USA 4</w:t>
            </w:r>
            <w:r>
              <w:rPr>
                <w:sz w:val="18"/>
                <w:szCs w:val="18"/>
              </w:rPr>
              <w:br/>
            </w:r>
            <w:r>
              <w:rPr>
                <w:sz w:val="18"/>
                <w:szCs w:val="18"/>
              </w:rPr>
              <w:t>Kanada 5</w:t>
            </w:r>
            <w:r>
              <w:rPr>
                <w:sz w:val="18"/>
                <w:szCs w:val="18"/>
              </w:rPr>
              <w:br/>
            </w:r>
            <w:r>
              <w:rPr>
                <w:sz w:val="18"/>
                <w:szCs w:val="18"/>
              </w:rPr>
              <w:t>Australien 2</w:t>
            </w:r>
            <w:r>
              <w:rPr>
                <w:sz w:val="18"/>
                <w:szCs w:val="18"/>
              </w:rPr>
              <w:br/>
            </w:r>
            <w:r>
              <w:rPr>
                <w:sz w:val="18"/>
                <w:szCs w:val="18"/>
              </w:rPr>
              <w:t>Neuseeland 1</w:t>
            </w:r>
          </w:p>
        </w:tc>
        <w:tc>
          <w:tcPr>
            <w:tcW w:w="18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07" w14:textId="77777777" w:rsidR="00C1548D" w:rsidRDefault="009B1B4B">
            <w:pPr>
              <w:spacing w:line="250" w:lineRule="auto"/>
            </w:pPr>
            <w:r>
              <w:rPr>
                <w:sz w:val="18"/>
                <w:szCs w:val="18"/>
              </w:rPr>
              <w:t>USA:</w:t>
            </w:r>
            <w:r>
              <w:rPr>
                <w:sz w:val="18"/>
                <w:szCs w:val="18"/>
              </w:rPr>
              <w:br/>
            </w:r>
            <w:r>
              <w:rPr>
                <w:sz w:val="18"/>
                <w:szCs w:val="18"/>
              </w:rPr>
              <w:t>Kanada:</w:t>
            </w:r>
            <w:r>
              <w:rPr>
                <w:sz w:val="18"/>
                <w:szCs w:val="18"/>
              </w:rPr>
              <w:br/>
            </w:r>
            <w:r>
              <w:rPr>
                <w:sz w:val="18"/>
                <w:szCs w:val="18"/>
              </w:rPr>
              <w:t>Australien:</w:t>
            </w:r>
            <w:r>
              <w:rPr>
                <w:sz w:val="18"/>
                <w:szCs w:val="18"/>
              </w:rPr>
              <w:br/>
            </w:r>
            <w:r>
              <w:rPr>
                <w:sz w:val="18"/>
                <w:szCs w:val="18"/>
              </w:rPr>
              <w:t>Neuseeland:</w:t>
            </w:r>
          </w:p>
        </w:tc>
      </w:tr>
      <w:tr w:rsidR="00C1548D" w14:paraId="70A4C40D" w14:textId="77777777">
        <w:tblPrEx>
          <w:tblCellMar>
            <w:top w:w="0" w:type="dxa"/>
            <w:bottom w:w="0" w:type="dxa"/>
          </w:tblCellMar>
        </w:tblPrEx>
        <w:trPr>
          <w:cantSplit/>
        </w:trPr>
        <w:tc>
          <w:tcPr>
            <w:tcW w:w="17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09" w14:textId="77777777" w:rsidR="00C1548D" w:rsidRDefault="009B1B4B">
            <w:pPr>
              <w:spacing w:line="250" w:lineRule="auto"/>
            </w:pPr>
            <w:r>
              <w:rPr>
                <w:sz w:val="18"/>
                <w:szCs w:val="18"/>
              </w:rPr>
              <w:lastRenderedPageBreak/>
              <w:t>Klima nach eigener Präferenz</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0A" w14:textId="77777777" w:rsidR="00C1548D" w:rsidRDefault="00C1548D">
            <w:pPr>
              <w:spacing w:line="250" w:lineRule="auto"/>
            </w:pPr>
          </w:p>
        </w:tc>
        <w:tc>
          <w:tcPr>
            <w:tcW w:w="18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0B" w14:textId="77777777" w:rsidR="00C1548D" w:rsidRDefault="009B1B4B">
            <w:pPr>
              <w:spacing w:line="250" w:lineRule="auto"/>
            </w:pPr>
            <w:r>
              <w:rPr>
                <w:sz w:val="18"/>
                <w:szCs w:val="18"/>
              </w:rPr>
              <w:t>nach eigener Einschätzung eintragen</w:t>
            </w:r>
          </w:p>
        </w:tc>
        <w:tc>
          <w:tcPr>
            <w:tcW w:w="18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0C" w14:textId="77777777" w:rsidR="00C1548D" w:rsidRDefault="009B1B4B">
            <w:pPr>
              <w:spacing w:line="250" w:lineRule="auto"/>
            </w:pPr>
            <w:r>
              <w:rPr>
                <w:sz w:val="18"/>
                <w:szCs w:val="18"/>
              </w:rPr>
              <w:t>USA:</w:t>
            </w:r>
            <w:r>
              <w:rPr>
                <w:sz w:val="18"/>
                <w:szCs w:val="18"/>
              </w:rPr>
              <w:br/>
            </w:r>
            <w:r>
              <w:rPr>
                <w:sz w:val="18"/>
                <w:szCs w:val="18"/>
              </w:rPr>
              <w:t>Kanada:</w:t>
            </w:r>
            <w:r>
              <w:rPr>
                <w:sz w:val="18"/>
                <w:szCs w:val="18"/>
              </w:rPr>
              <w:br/>
            </w:r>
            <w:r>
              <w:rPr>
                <w:sz w:val="18"/>
                <w:szCs w:val="18"/>
              </w:rPr>
              <w:t>Australien:</w:t>
            </w:r>
            <w:r>
              <w:rPr>
                <w:sz w:val="18"/>
                <w:szCs w:val="18"/>
              </w:rPr>
              <w:br/>
            </w:r>
            <w:r>
              <w:rPr>
                <w:sz w:val="18"/>
                <w:szCs w:val="18"/>
              </w:rPr>
              <w:t>Neuseeland:</w:t>
            </w:r>
          </w:p>
        </w:tc>
      </w:tr>
    </w:tbl>
    <w:p w14:paraId="70A4C40E" w14:textId="77777777" w:rsidR="00C1548D" w:rsidRDefault="00C1548D">
      <w:pPr>
        <w:spacing w:line="180" w:lineRule="exact"/>
      </w:pPr>
    </w:p>
    <w:p w14:paraId="70A4C40F" w14:textId="77777777" w:rsidR="00C1548D" w:rsidRDefault="009B1B4B">
      <w:pPr>
        <w:spacing w:after="140"/>
      </w:pPr>
      <w:r>
        <w:t>Addiere am Ende jede der vier Spalten getrennt für USA, Kanada, Australien und Neuseeland. Auf Papier oder in einer Tabellenkalkulation hast du mehr Platz als diese Buchseite; ergänze dort gern weitere eigene Kriterien, etwa ein bestehendes Jobangebot, Familie oder Freunde vor Ort oder eine bestimmte Berufschance, die diese allgemeine Übersicht nicht abbilden kann. Das Land mit der höchsten Summe verdient eine genauere Prüfung zuerst – es ist damit noch keine endgültige Entscheidung, sondern eine begründete</w:t>
      </w:r>
      <w:r>
        <w:t xml:space="preserve"> Reihenfolge.</w:t>
      </w:r>
    </w:p>
    <w:p w14:paraId="70A4C410" w14:textId="77777777" w:rsidR="00C1548D" w:rsidRDefault="009B1B4B">
      <w:pPr>
        <w:spacing w:after="140"/>
      </w:pPr>
      <w:r>
        <w:t>So könnte das in der Praxis aussehen: Wer als Gewichtung die automatische Gesundheitsabsicherung und die Nähe zu Deutschland jeweils mit 5 versieht, alles andere aber nur mit 2 oder 3, landet am Ende bei Kanada – dort punkten beide hoch gewichteten Kriterien gleichzeitig. Wer dagegen vor allem auf niedrige Steuer- und Abgabenlast und niedrige Lebenshaltungskosten Wert legt und die Entfernung niedrig gewichtet, weil ohnehin nur einmal im Jahr geflogen werden soll, landet eher bei Neuseeland. Und wer die Gesc</w:t>
      </w:r>
      <w:r>
        <w:t>hwindigkeit bis zum unbefristeten Titel hoch gewichtet, weil zum Beispiel schon ein befristeter Vertrag im Zielland tickt, wird die USA in dieser Übersicht tendenziell hintenanstellen – es sei denn, ein konkretes Jobangebot verändert die Rechnung, wie oben beim Einwanderungssystem beschrieben.</w:t>
      </w:r>
    </w:p>
    <w:p w14:paraId="70A4C411" w14:textId="77777777" w:rsidR="00C1548D" w:rsidRDefault="009B1B4B">
      <w:pPr>
        <w:pStyle w:val="Heading3"/>
        <w:keepNext/>
        <w:jc w:val="center"/>
      </w:pPr>
      <w:r>
        <w:rPr>
          <w:rFonts w:ascii="Amazon Ember" w:eastAsia="Amazon Ember" w:hAnsi="Amazon Ember" w:cs="Amazon Ember"/>
          <w:color w:val="0000FF"/>
          <w:sz w:val="36"/>
          <w:szCs w:val="36"/>
        </w:rPr>
        <w:lastRenderedPageBreak/>
        <w:t>Wenn du dich zwischen zwei Ländern nicht entscheiden kannst</w:t>
      </w:r>
    </w:p>
    <w:p w14:paraId="70A4C412" w14:textId="77777777" w:rsidR="00C1548D" w:rsidRDefault="009B1B4B">
      <w:pPr>
        <w:spacing w:after="140"/>
      </w:pPr>
      <w:r>
        <w:t>Landen am Ende zwei Länder mit einer sehr ähnlichen Summe nebeneinander, ist das kein Rechenfehler, sondern ein ehrliches Ergebnis: Beide passen ungefähr gleich gut zu deinen Prioritäten, zumindest auf dieser groben Ebene. In diesem Fall helfen drei Fragen weiter, die keine Tabelle beantworten kann. Erstens: Bei welchem der beiden Länder-Teile in diesem Buch fällt dir beim Lesen ein konkreterer, realistischerer nächster Schritt ein – ein Formular, eine Stadt, ein Ansprechpartner? Zweitens: Kennst du bereits</w:t>
      </w:r>
      <w:r>
        <w:t xml:space="preserve"> jemanden, der in einem der beiden Länder lebt und mit dem du einmal ehrlich sprechen könntest, bevor du dich festlegst? Drittens: Welches der beiden Ergebnisse überrascht dich mehr – und was sagt diese Überraschung über eine Priorität aus, die du in der Scorecard vielleicht zu niedrig gewichtet hast? Ein Unentschieden ist selten ein Zeichen dafür, dass die Entscheidung unmöglich ist; meistens zeigt es nur, dass ein Kriterium fehlt, das dir wichtiger ist, als du zunächst dachtest. Manchmal löst sich ein sch</w:t>
      </w:r>
      <w:r>
        <w:t>einbares Patt auch von selbst, sobald ein einzelner, sehr persönlicher Punkt dazukommt, den keine Tabelle vorwegnehmen kann – ein Jobangebot, das nur in einem der beiden Länder auf dem Tisch liegt, oder die Erkenntnis, dass eines der beiden Länder für deinen Beruf ein deutlich einfacheres Anerkennungsverfahren hat als das andere.</w:t>
      </w:r>
    </w:p>
    <w:p w14:paraId="70A4C413" w14:textId="77777777" w:rsidR="00C1548D" w:rsidRDefault="009B1B4B">
      <w:pPr>
        <w:pStyle w:val="Heading3"/>
        <w:keepNext/>
        <w:jc w:val="center"/>
      </w:pPr>
      <w:r>
        <w:rPr>
          <w:rFonts w:ascii="Amazon Ember" w:eastAsia="Amazon Ember" w:hAnsi="Amazon Ember" w:cs="Amazon Ember"/>
          <w:color w:val="0000FF"/>
          <w:sz w:val="36"/>
          <w:szCs w:val="36"/>
        </w:rPr>
        <w:t>Was dieser Vergleich nicht ersetzt</w:t>
      </w:r>
    </w:p>
    <w:p w14:paraId="70A4C414" w14:textId="77777777" w:rsidR="00C1548D" w:rsidRDefault="009B1B4B">
      <w:pPr>
        <w:spacing w:after="140"/>
      </w:pPr>
      <w:r>
        <w:t xml:space="preserve">Diese Scorecard ist bewusst grob. Sie kann kein konkretes Jobangebot, keine bereits dort lebende Familie und keine sehr persönliche Präferenz ersetzen, die sich in keiner Tabelle abbilden lässt. Sie ist ein Startpunkt zur Eingrenzung auf ein oder zwei Favoriten – nicht das letzte Wort. Sobald du eine Vorauswahl getroffen hast, lohnt sich die volle Tiefe des jeweiligen Länder-Teils: </w:t>
      </w:r>
      <w:r>
        <w:lastRenderedPageBreak/>
        <w:t>konkrete Visumswege, Städte, Kosten und die typischen Fallen, die diese Übersicht nicht zeigen kann.</w:t>
      </w:r>
    </w:p>
    <w:p w14:paraId="70A4C415" w14:textId="77777777" w:rsidR="00C1548D" w:rsidRDefault="009B1B4B">
      <w:pPr>
        <w:spacing w:after="140"/>
      </w:pPr>
      <w:r>
        <w:t>Nimm dir für das Ausfüllen bewusst Zeit und mach es nicht nebenbei am Handy. Die Gewichtung in der zweiten Spalte ist der eigentlich schwierige Teil dieser Übung, nicht die Multiplikation danach: Die meisten Menschen haben ein diffuses Gefühl, dass ihnen „irgendwie alles wichtig“ ist, bis sie gezwungen werden, Prioritäten tatsächlich gegeneinander abzuwägen. Wenn du mit Partner oder Familie ausfüllst, lohnt es sich, die Gewichtung zunächst getrennt vorzunehmen und die Ergebnisse erst danach zu vergleichen –</w:t>
      </w:r>
      <w:r>
        <w:t xml:space="preserve"> große Abweichungen bei einzelnen Kriterien sind oft aufschlussreicher als die fertige Summe selbst.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41D"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416" w14:textId="77777777" w:rsidR="00C1548D" w:rsidRDefault="009B1B4B">
            <w:pPr>
              <w:keepNext/>
              <w:spacing w:after="70" w:line="240" w:lineRule="auto"/>
            </w:pPr>
            <w:r>
              <w:rPr>
                <w:b/>
                <w:bCs/>
                <w:color w:val="1F6F78"/>
                <w:spacing w:val="24"/>
                <w:sz w:val="16"/>
                <w:szCs w:val="16"/>
              </w:rPr>
              <w:t>CHECKLISTE</w:t>
            </w:r>
          </w:p>
          <w:p w14:paraId="70A4C41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Prioritäten in der Scorecard gewichtet (1–5 je Kriterium)</w:t>
            </w:r>
          </w:p>
          <w:p w14:paraId="70A4C41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Alle vier Länder-Ergebnisse ausgerechnet und verglichen</w:t>
            </w:r>
          </w:p>
          <w:p w14:paraId="70A4C41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hier nicht abgebildete Kriterien ergänzt (Jobangebot, Familie, Freunde vor Ort)</w:t>
            </w:r>
          </w:p>
          <w:p w14:paraId="70A4C41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Besteuerungsprinzip des jeweiligen Favoriten verstanden, besonders bei den USA</w:t>
            </w:r>
          </w:p>
          <w:p w14:paraId="70A4C41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 bis zwei Favoriten festgelegt</w:t>
            </w:r>
          </w:p>
          <w:p w14:paraId="70A4C41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Entsprechenden Länder-Teil dieses Buches vollständig gelesen, bevor eine Entscheidung fällt</w:t>
            </w:r>
          </w:p>
        </w:tc>
      </w:tr>
    </w:tbl>
    <w:p w14:paraId="70A4C41E" w14:textId="77777777" w:rsidR="00C1548D" w:rsidRDefault="00C1548D">
      <w:pPr>
        <w:spacing w:line="220" w:lineRule="exact"/>
      </w:pPr>
    </w:p>
    <w:p w14:paraId="70A4C41F"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420" w14:textId="7FA2A64C" w:rsidR="00C1548D" w:rsidRDefault="009B1B4B" w:rsidP="009B1B4B">
      <w:pPr>
        <w:pStyle w:val="ListParagraph"/>
        <w:numPr>
          <w:ilvl w:val="0"/>
          <w:numId w:val="1"/>
        </w:numPr>
        <w:spacing w:after="60"/>
      </w:pPr>
      <w:r>
        <w:t>OECD — Taxing Wages, Steuerkeil-Vergleich (</w:t>
      </w:r>
      <w:hyperlink r:id="rId16" w:history="1">
        <w:r>
          <w:rPr>
            <w:color w:val="0563C1"/>
            <w:u w:val="single"/>
          </w:rPr>
          <w:t>oecd.org</w:t>
        </w:r>
      </w:hyperlink>
      <w:r>
        <w:t>)</w:t>
      </w:r>
    </w:p>
    <w:p w14:paraId="70A4C421" w14:textId="35D4378E" w:rsidR="00C1548D" w:rsidRDefault="009B1B4B" w:rsidP="009B1B4B">
      <w:pPr>
        <w:pStyle w:val="ListParagraph"/>
        <w:numPr>
          <w:ilvl w:val="0"/>
          <w:numId w:val="1"/>
        </w:numPr>
        <w:spacing w:after="60"/>
      </w:pPr>
      <w:r>
        <w:t>Bundesministerium der Justiz — Gesetze im Internet, Staatsangehörigkeitsgesetz (</w:t>
      </w:r>
      <w:hyperlink r:id="rId17" w:history="1">
        <w:r>
          <w:rPr>
            <w:color w:val="0563C1"/>
            <w:u w:val="single"/>
          </w:rPr>
          <w:t>gesetze-im-internet.de/stag</w:t>
        </w:r>
      </w:hyperlink>
      <w:r>
        <w:t>)</w:t>
      </w:r>
    </w:p>
    <w:p w14:paraId="70A4C422" w14:textId="00F0EFC8" w:rsidR="00C1548D" w:rsidRDefault="009B1B4B" w:rsidP="009B1B4B">
      <w:pPr>
        <w:pStyle w:val="ListParagraph"/>
        <w:numPr>
          <w:ilvl w:val="0"/>
          <w:numId w:val="1"/>
        </w:numPr>
        <w:spacing w:after="60"/>
      </w:pPr>
      <w:r>
        <w:t>Immigration, Refugees and Citizenship Canada — Express Entry (</w:t>
      </w:r>
      <w:hyperlink r:id="rId18" w:history="1">
        <w:r>
          <w:rPr>
            <w:color w:val="0563C1"/>
            <w:u w:val="single"/>
          </w:rPr>
          <w:t>canada.ca</w:t>
        </w:r>
      </w:hyperlink>
      <w:r>
        <w:t>)</w:t>
      </w:r>
    </w:p>
    <w:p w14:paraId="70A4C423" w14:textId="3E3A6735" w:rsidR="00C1548D" w:rsidRDefault="009B1B4B" w:rsidP="009B1B4B">
      <w:pPr>
        <w:pStyle w:val="ListParagraph"/>
        <w:numPr>
          <w:ilvl w:val="0"/>
          <w:numId w:val="1"/>
        </w:numPr>
        <w:spacing w:after="60"/>
      </w:pPr>
      <w:r>
        <w:t>Department of Home Affairs Australien — General Skilled Migration (</w:t>
      </w:r>
      <w:hyperlink r:id="rId19" w:history="1">
        <w:r>
          <w:rPr>
            <w:color w:val="0563C1"/>
            <w:u w:val="single"/>
          </w:rPr>
          <w:t>immi.homeaffairs.gov.au</w:t>
        </w:r>
      </w:hyperlink>
      <w:r>
        <w:t>)</w:t>
      </w:r>
    </w:p>
    <w:p w14:paraId="70A4C424" w14:textId="57812C9A" w:rsidR="00C1548D" w:rsidRDefault="009B1B4B" w:rsidP="009B1B4B">
      <w:pPr>
        <w:pStyle w:val="ListParagraph"/>
        <w:numPr>
          <w:ilvl w:val="0"/>
          <w:numId w:val="1"/>
        </w:numPr>
        <w:spacing w:after="60"/>
      </w:pPr>
      <w:r>
        <w:lastRenderedPageBreak/>
        <w:t>Immigration New Zealand — Skilled Migrant Category, Green List (</w:t>
      </w:r>
      <w:hyperlink r:id="rId20" w:history="1">
        <w:r>
          <w:rPr>
            <w:color w:val="0563C1"/>
            <w:u w:val="single"/>
          </w:rPr>
          <w:t>immigration.govt.nz</w:t>
        </w:r>
      </w:hyperlink>
      <w:r>
        <w:t>)</w:t>
      </w:r>
    </w:p>
    <w:p w14:paraId="70A4C425" w14:textId="32AF514C" w:rsidR="00C1548D" w:rsidRDefault="009B1B4B" w:rsidP="009B1B4B">
      <w:pPr>
        <w:pStyle w:val="ListParagraph"/>
        <w:numPr>
          <w:ilvl w:val="0"/>
          <w:numId w:val="1"/>
        </w:numPr>
        <w:spacing w:after="60"/>
      </w:pPr>
      <w:r>
        <w:t>Numbeo — Cost of Living Rankings (</w:t>
      </w:r>
      <w:hyperlink r:id="rId21" w:history="1">
        <w:r>
          <w:rPr>
            <w:color w:val="0563C1"/>
            <w:u w:val="single"/>
          </w:rPr>
          <w:t>numbeo.com</w:t>
        </w:r>
      </w:hyperlink>
      <w:r>
        <w:t>)</w:t>
      </w:r>
    </w:p>
    <w:p w14:paraId="70A4C42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429"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427" w14:textId="77777777" w:rsidR="00C1548D" w:rsidRDefault="009B1B4B">
            <w:pPr>
              <w:keepNext/>
              <w:spacing w:after="70" w:line="240" w:lineRule="auto"/>
            </w:pPr>
            <w:r>
              <w:rPr>
                <w:b/>
                <w:bCs/>
                <w:color w:val="6B7280"/>
                <w:spacing w:val="24"/>
                <w:sz w:val="16"/>
                <w:szCs w:val="16"/>
              </w:rPr>
              <w:t>STAND</w:t>
            </w:r>
          </w:p>
          <w:p w14:paraId="70A4C428" w14:textId="77777777" w:rsidR="00C1548D" w:rsidRDefault="009B1B4B">
            <w:pPr>
              <w:spacing w:after="80" w:line="264" w:lineRule="auto"/>
            </w:pPr>
            <w:r>
              <w:rPr>
                <w:sz w:val="20"/>
                <w:szCs w:val="20"/>
              </w:rPr>
              <w:t>September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tc>
      </w:tr>
    </w:tbl>
    <w:p w14:paraId="70A4C42A" w14:textId="77777777" w:rsidR="00C1548D" w:rsidRDefault="00C1548D">
      <w:pPr>
        <w:spacing w:line="220" w:lineRule="exact"/>
      </w:pPr>
    </w:p>
    <w:p w14:paraId="70A4C42B" w14:textId="77777777" w:rsidR="00C1548D" w:rsidRDefault="00C1548D">
      <w:pPr>
        <w:sectPr w:rsidR="00C1548D">
          <w:footerReference w:type="default" r:id="rId22"/>
          <w:pgSz w:w="8640" w:h="12960"/>
          <w:pgMar w:top="1080" w:right="1080" w:bottom="1100" w:left="1080" w:header="708" w:footer="708" w:gutter="0"/>
          <w:cols w:space="720"/>
          <w:docGrid w:linePitch="360"/>
        </w:sectPr>
      </w:pPr>
    </w:p>
    <w:p w14:paraId="70A4C42C" w14:textId="77777777" w:rsidR="00C1548D" w:rsidRDefault="009B1B4B">
      <w:pPr>
        <w:pStyle w:val="Heading1"/>
        <w:jc w:val="center"/>
      </w:pPr>
      <w:bookmarkStart w:id="7" w:name="_Toc241352449"/>
      <w:r>
        <w:rPr>
          <w:rFonts w:ascii="Amazon Ember" w:eastAsia="Amazon Ember" w:hAnsi="Amazon Ember" w:cs="Amazon Ember"/>
          <w:color w:val="0000FF"/>
        </w:rPr>
        <w:lastRenderedPageBreak/>
        <w:t>TEIL I — Die Entscheidung</w:t>
      </w:r>
      <w:bookmarkEnd w:id="7"/>
    </w:p>
    <w:p w14:paraId="70A4C42D" w14:textId="77777777" w:rsidR="00C1548D" w:rsidRDefault="009B1B4B">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w14:paraId="70A4C42E" w14:textId="77777777" w:rsidR="00C1548D" w:rsidRDefault="00C1548D">
      <w:pPr>
        <w:sectPr w:rsidR="00C1548D">
          <w:footerReference w:type="default" r:id="rId23"/>
          <w:pgSz w:w="8640" w:h="12960"/>
          <w:pgMar w:top="1080" w:right="1080" w:bottom="1100" w:left="1080" w:header="708" w:footer="708" w:gutter="0"/>
          <w:cols w:space="720"/>
          <w:vAlign w:val="center"/>
          <w:docGrid w:linePitch="360"/>
        </w:sectPr>
      </w:pPr>
    </w:p>
    <w:p w14:paraId="70A4C42F" w14:textId="77777777" w:rsidR="00C1548D" w:rsidRDefault="009B1B4B">
      <w:pPr>
        <w:pStyle w:val="Heading2"/>
        <w:keepNext/>
        <w:pageBreakBefore/>
        <w:jc w:val="center"/>
      </w:pPr>
      <w:bookmarkStart w:id="8" w:name="k1"/>
      <w:bookmarkStart w:id="9" w:name="_Toc241352450"/>
      <w:r>
        <w:rPr>
          <w:rFonts w:ascii="Amazon Ember" w:eastAsia="Amazon Ember" w:hAnsi="Amazon Ember" w:cs="Amazon Ember"/>
          <w:color w:val="0000FF"/>
          <w:sz w:val="36"/>
          <w:szCs w:val="36"/>
        </w:rPr>
        <w:lastRenderedPageBreak/>
        <w:t>Kapitel 1: Die ehrliche Bilanz: Was für die USA spricht und was dagegen</w:t>
      </w:r>
      <w:bookmarkEnd w:id="8"/>
      <w:bookmarkEnd w:id="9"/>
    </w:p>
    <w:p w14:paraId="70A4C430" w14:textId="77777777" w:rsidR="00C1548D" w:rsidRDefault="009B1B4B">
      <w:pPr>
        <w:spacing w:after="140"/>
      </w:pPr>
      <w:r>
        <w:t>Auf dem Küchentisch liegt ein Offer Letter aus Michigan, daneben ein Blatt Papier mit zwei Spalten: dafür, dagegen. Das Jahresgehalt sieht auf den ersten Blick nach dem Doppelten des deutschen Gehalts aus – bis die zweite Spalte wächst: Krankenversicherung, Kündigungsschutz, Urlaubstage, die Entfernung zu den Eltern. Genau diese Rechnung macht dieses Kapitel, Thema für Thema, ohne Werbesprache und ohne Abschreckung.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438"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431" w14:textId="77777777" w:rsidR="00C1548D" w:rsidRDefault="009B1B4B">
            <w:pPr>
              <w:keepNext/>
              <w:spacing w:after="70" w:line="240" w:lineRule="auto"/>
            </w:pPr>
            <w:r>
              <w:rPr>
                <w:b/>
                <w:bCs/>
                <w:color w:val="1F3A5F"/>
                <w:spacing w:val="24"/>
                <w:sz w:val="16"/>
                <w:szCs w:val="16"/>
              </w:rPr>
              <w:t>KURZ GESAGT</w:t>
            </w:r>
          </w:p>
          <w:p w14:paraId="70A4C432" w14:textId="77777777" w:rsidR="00C1548D" w:rsidRDefault="009B1B4B" w:rsidP="009B1B4B">
            <w:pPr>
              <w:pStyle w:val="ListParagraph"/>
              <w:numPr>
                <w:ilvl w:val="0"/>
                <w:numId w:val="1"/>
              </w:numPr>
              <w:spacing w:after="50" w:line="264" w:lineRule="auto"/>
            </w:pPr>
            <w:r>
              <w:rPr>
                <w:sz w:val="20"/>
                <w:szCs w:val="20"/>
              </w:rPr>
              <w:t>Die USA bieten oft deutlich höhere Brutto- und Nettogehälter, aber ohne das deutsche soziale Netz: kein Kündigungsschutz, kaum gesetzlicher Urlaub, Krankenversicherung hängt am Job.</w:t>
            </w:r>
          </w:p>
          <w:p w14:paraId="70A4C433" w14:textId="319C7B6C" w:rsidR="00C1548D" w:rsidRDefault="009B1B4B" w:rsidP="009B1B4B">
            <w:pPr>
              <w:pStyle w:val="ListParagraph"/>
              <w:numPr>
                <w:ilvl w:val="0"/>
                <w:numId w:val="1"/>
              </w:numPr>
              <w:spacing w:after="50" w:line="264" w:lineRule="auto"/>
            </w:pPr>
            <w:r>
              <w:rPr>
                <w:sz w:val="20"/>
                <w:szCs w:val="20"/>
              </w:rPr>
              <w:t>Rechne immer netto nach Steuern, Krankenversicherungsprämie und Wohnkosten – nicht das Bruttogehalt vergleichen (Kapitel </w:t>
            </w:r>
            <w:hyperlink w:anchor="k3" w:history="1">
              <w:r>
                <w:rPr>
                  <w:sz w:val="20"/>
                  <w:szCs w:val="20"/>
                </w:rPr>
                <w:t>3</w:t>
              </w:r>
            </w:hyperlink>
            <w:r>
              <w:rPr>
                <w:sz w:val="20"/>
                <w:szCs w:val="20"/>
              </w:rPr>
              <w:t>).</w:t>
            </w:r>
          </w:p>
          <w:p w14:paraId="70A4C434" w14:textId="77777777" w:rsidR="00C1548D" w:rsidRDefault="009B1B4B" w:rsidP="009B1B4B">
            <w:pPr>
              <w:pStyle w:val="ListParagraph"/>
              <w:numPr>
                <w:ilvl w:val="0"/>
                <w:numId w:val="1"/>
              </w:numPr>
              <w:spacing w:after="50" w:line="264" w:lineRule="auto"/>
            </w:pPr>
            <w:r>
              <w:rPr>
                <w:sz w:val="20"/>
                <w:szCs w:val="20"/>
              </w:rPr>
              <w:t>Bei einem Arbeitgeber-Visum hängen Einkommen, Krankenversicherung und Aufenthaltsstatus am selben Arbeitgeber: Ein Jobverlust trifft mehrere Fristen gleichzeitig.</w:t>
            </w:r>
          </w:p>
          <w:p w14:paraId="70A4C435" w14:textId="77777777" w:rsidR="00C1548D" w:rsidRDefault="009B1B4B" w:rsidP="009B1B4B">
            <w:pPr>
              <w:pStyle w:val="ListParagraph"/>
              <w:numPr>
                <w:ilvl w:val="0"/>
                <w:numId w:val="1"/>
              </w:numPr>
              <w:spacing w:after="50" w:line="264" w:lineRule="auto"/>
            </w:pPr>
            <w:r>
              <w:rPr>
                <w:sz w:val="20"/>
                <w:szCs w:val="20"/>
              </w:rPr>
              <w:t>Am stärksten vermissen Zugezogene die Verlässlichkeit des deutschen Sozialstaats sowie echte, tief gewachsene Freundschaften und die Nähe zur Familie.</w:t>
            </w:r>
          </w:p>
          <w:p w14:paraId="70A4C436" w14:textId="77777777" w:rsidR="00C1548D" w:rsidRDefault="009B1B4B" w:rsidP="009B1B4B">
            <w:pPr>
              <w:pStyle w:val="ListParagraph"/>
              <w:numPr>
                <w:ilvl w:val="0"/>
                <w:numId w:val="1"/>
              </w:numPr>
              <w:spacing w:after="50" w:line="264" w:lineRule="auto"/>
            </w:pPr>
            <w:r>
              <w:rPr>
                <w:sz w:val="20"/>
                <w:szCs w:val="20"/>
              </w:rPr>
              <w:t>Am meisten profitieren Fachkräfte in gefragten Berufen mit Arbeitgeber-Sponsoring; wer vor allem Sicherheit und ein enges Familiennetz braucht, sollte genauer rechnen.</w:t>
            </w:r>
          </w:p>
          <w:p w14:paraId="70A4C437" w14:textId="77777777" w:rsidR="00C1548D" w:rsidRDefault="009B1B4B" w:rsidP="009B1B4B">
            <w:pPr>
              <w:pStyle w:val="ListParagraph"/>
              <w:numPr>
                <w:ilvl w:val="0"/>
                <w:numId w:val="1"/>
              </w:numPr>
              <w:spacing w:after="50" w:line="264" w:lineRule="auto"/>
            </w:pPr>
            <w:r>
              <w:rPr>
                <w:sz w:val="20"/>
                <w:szCs w:val="20"/>
              </w:rPr>
              <w:t>Der amerikanische Traum ist real, aber selektiv: mehr Chance auf Aufstieg, aber auch mehr eigenes Risiko.</w:t>
            </w:r>
          </w:p>
        </w:tc>
      </w:tr>
    </w:tbl>
    <w:p w14:paraId="70A4C439" w14:textId="77777777" w:rsidR="00C1548D" w:rsidRDefault="00C1548D">
      <w:pPr>
        <w:spacing w:line="220" w:lineRule="exact"/>
      </w:pPr>
    </w:p>
    <w:p w14:paraId="70A4C43A" w14:textId="77777777" w:rsidR="00C1548D" w:rsidRDefault="009B1B4B">
      <w:pPr>
        <w:pStyle w:val="Heading3"/>
        <w:keepNext/>
        <w:jc w:val="center"/>
      </w:pPr>
      <w:r>
        <w:rPr>
          <w:rFonts w:ascii="Amazon Ember" w:eastAsia="Amazon Ember" w:hAnsi="Amazon Ember" w:cs="Amazon Ember"/>
          <w:color w:val="0000FF"/>
          <w:sz w:val="36"/>
          <w:szCs w:val="36"/>
        </w:rPr>
        <w:t>Karriere und Einkommen</w:t>
      </w:r>
    </w:p>
    <w:p w14:paraId="70A4C43B" w14:textId="00CEE2E9" w:rsidR="00C1548D" w:rsidRDefault="009B1B4B">
      <w:pPr>
        <w:spacing w:after="140"/>
      </w:pPr>
      <w:r>
        <w:t xml:space="preserve">Der erste Blick gilt dem Gehalt, und die Bilanz fällt meist positiv aus: US-Gehälter liegen für Fachkräfte oft merklich über deutschem Niveau, und Bonus, Aktienzuteilungen sowie der </w:t>
      </w:r>
      <w:r>
        <w:lastRenderedPageBreak/>
        <w:t>Arbeitgeberzuschuss zur Altersvorsorge (401(k)-Match) heben die Gesamtvergütung häufig um ein Viertel bis ein Drittel über das Grundgehalt. Ein Rechenbeispiel aus Kapitel </w:t>
      </w:r>
      <w:hyperlink w:anchor="k29" w:history="1">
        <w:r>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und Zurückhaltung gilt nicht als Bescheidenheit, sondern als Desinteresse.</w:t>
      </w:r>
    </w:p>
    <w:p w14:paraId="70A4C43C" w14:textId="09355949" w:rsidR="00C1548D" w:rsidRDefault="009B1B4B">
      <w:pPr>
        <w:spacing w:after="140"/>
      </w:pPr>
      <w:r>
        <w:t>Auch außerhalb der Tech-Branche gilt das: Ein Maschinenbauingenieur verdient bundesweit im Median 104.110 $ (Kapitel </w:t>
      </w:r>
      <w:hyperlink w:anchor="k12" w:history="1">
        <w:r>
          <w:t>12</w:t>
        </w:r>
      </w:hyperlink>
      <w:r>
        <w:t>) – spürbar mehr als das deutsche Pendant, wenn auch regional stark schwankend.</w:t>
      </w:r>
    </w:p>
    <w:p w14:paraId="70A4C43D" w14:textId="5239CC06" w:rsidR="00C1548D" w:rsidRDefault="009B1B4B">
      <w:pPr>
        <w:spacing w:after="140"/>
      </w:pPr>
      <w:r>
        <w:t>Die Kehrseite: Ein 13. Gehalt kennt das System nicht, Erfolg musst du selbst sichtbar machen (Kapitel </w:t>
      </w:r>
      <w:hyperlink w:anchor="k29" w:history="1">
        <w:r>
          <w:t>29</w:t>
        </w:r>
      </w:hyperlink>
      <w:r>
        <w:t>), und 2026 ist der Tech-Arbeitsmarkt so hart wie lange nicht – von Januar bis August 2026 kündigten US-Unternehmen laut einer Beratung 155.126 Tech-Stellen an, 52 % mehr als im Vorjahr (Kapitel </w:t>
      </w:r>
      <w:hyperlink w:anchor="k12" w:history="1">
        <w:r>
          <w:t>12</w:t>
        </w:r>
      </w:hyperlink>
      <w:r>
        <w:t>). Ein Arbeitgeber-Visum bindet zudem Einkommen und Aufenthalt an denselben Arbeitgeber (Kapitel </w:t>
      </w:r>
      <w:hyperlink w:anchor="k5" w:history="1">
        <w:r>
          <w:t>5</w:t>
        </w:r>
      </w:hyperlink>
      <w:r>
        <w:t>, Kapitel </w:t>
      </w:r>
      <w:hyperlink w:anchor="k30" w:history="1">
        <w:r>
          <w:t>30</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440"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C43E" w14:textId="77777777" w:rsidR="00C1548D" w:rsidRDefault="009B1B4B">
            <w:pPr>
              <w:keepNext/>
              <w:spacing w:after="70" w:line="240" w:lineRule="auto"/>
            </w:pPr>
            <w:r>
              <w:rPr>
                <w:b/>
                <w:bCs/>
                <w:color w:val="2F6B3B"/>
                <w:spacing w:val="24"/>
                <w:sz w:val="16"/>
                <w:szCs w:val="16"/>
              </w:rPr>
              <w:t>SPARTIPP</w:t>
            </w:r>
          </w:p>
          <w:p w14:paraId="70A4C43F" w14:textId="67A0A7F6" w:rsidR="00C1548D" w:rsidRDefault="009B1B4B">
            <w:pPr>
              <w:spacing w:after="80" w:line="264" w:lineRule="auto"/>
            </w:pPr>
            <w:r>
              <w:rPr>
                <w:sz w:val="20"/>
                <w:szCs w:val="20"/>
              </w:rPr>
              <w:t>Verhandle das Gesamtpaket, nicht nur das Grundgehalt. Sign-on-Bonus, Aktienzuteilungen und der Arbeitgeberzuschuss zur Altersvorsorge sind oft beweglicher als die Grundgehaltszahl und machen im Rechenbeispiel aus Kapitel </w:t>
            </w:r>
            <w:hyperlink w:anchor="k29" w:history="1">
              <w:r>
                <w:rPr>
                  <w:sz w:val="20"/>
                  <w:szCs w:val="20"/>
                </w:rPr>
                <w:t>29</w:t>
              </w:r>
            </w:hyperlink>
            <w:r>
              <w:rPr>
                <w:sz w:val="20"/>
                <w:szCs w:val="20"/>
              </w:rPr>
              <w:t xml:space="preserve"> einen erheblichen Teil der Gesamtvergütung aus.</w:t>
            </w:r>
          </w:p>
        </w:tc>
      </w:tr>
    </w:tbl>
    <w:p w14:paraId="70A4C441" w14:textId="77777777" w:rsidR="00C1548D" w:rsidRDefault="00C1548D">
      <w:pPr>
        <w:spacing w:line="22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15"/>
        <w:gridCol w:w="3165"/>
      </w:tblGrid>
      <w:tr w:rsidR="00C1548D" w14:paraId="70A4C444" w14:textId="77777777">
        <w:tblPrEx>
          <w:tblCellMar>
            <w:top w:w="0" w:type="dxa"/>
            <w:bottom w:w="0" w:type="dxa"/>
          </w:tblCellMar>
        </w:tblPrEx>
        <w:trPr>
          <w:cantSplit/>
          <w:tblHeader/>
        </w:trPr>
        <w:tc>
          <w:tcPr>
            <w:tcW w:w="331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42" w14:textId="77777777" w:rsidR="00C1548D" w:rsidRDefault="009B1B4B">
            <w:pPr>
              <w:spacing w:line="250" w:lineRule="auto"/>
            </w:pPr>
            <w:r>
              <w:rPr>
                <w:b/>
                <w:bCs/>
                <w:sz w:val="18"/>
                <w:szCs w:val="18"/>
              </w:rPr>
              <w:t>Plus</w:t>
            </w:r>
          </w:p>
        </w:tc>
        <w:tc>
          <w:tcPr>
            <w:tcW w:w="316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43" w14:textId="77777777" w:rsidR="00C1548D" w:rsidRDefault="009B1B4B">
            <w:pPr>
              <w:spacing w:line="250" w:lineRule="auto"/>
            </w:pPr>
            <w:r>
              <w:rPr>
                <w:b/>
                <w:bCs/>
                <w:sz w:val="18"/>
                <w:szCs w:val="18"/>
              </w:rPr>
              <w:t>Minus</w:t>
            </w:r>
          </w:p>
        </w:tc>
      </w:tr>
      <w:tr w:rsidR="00C1548D" w14:paraId="70A4C447" w14:textId="77777777">
        <w:tblPrEx>
          <w:tblCellMar>
            <w:top w:w="0" w:type="dxa"/>
            <w:bottom w:w="0" w:type="dxa"/>
          </w:tblCellMar>
        </w:tblPrEx>
        <w:trPr>
          <w:cantSplit/>
        </w:trPr>
        <w:tc>
          <w:tcPr>
            <w:tcW w:w="33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45" w14:textId="77777777" w:rsidR="00C1548D" w:rsidRDefault="009B1B4B">
            <w:pPr>
              <w:spacing w:line="250" w:lineRule="auto"/>
            </w:pPr>
            <w:r>
              <w:rPr>
                <w:sz w:val="18"/>
                <w:szCs w:val="18"/>
              </w:rPr>
              <w:t>Höhere Grund- und Gesamtgehälter, Verhandlungsspielraum</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46" w14:textId="77777777" w:rsidR="00C1548D" w:rsidRDefault="009B1B4B">
            <w:pPr>
              <w:spacing w:line="250" w:lineRule="auto"/>
            </w:pPr>
            <w:r>
              <w:rPr>
                <w:sz w:val="18"/>
                <w:szCs w:val="18"/>
              </w:rPr>
              <w:t>Kein 13. Gehalt, kein Tarifsystem</w:t>
            </w:r>
          </w:p>
        </w:tc>
      </w:tr>
      <w:tr w:rsidR="00C1548D" w14:paraId="70A4C44A" w14:textId="77777777">
        <w:tblPrEx>
          <w:tblCellMar>
            <w:top w:w="0" w:type="dxa"/>
            <w:bottom w:w="0" w:type="dxa"/>
          </w:tblCellMar>
        </w:tblPrEx>
        <w:trPr>
          <w:cantSplit/>
        </w:trPr>
        <w:tc>
          <w:tcPr>
            <w:tcW w:w="33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48" w14:textId="77777777" w:rsidR="00C1548D" w:rsidRDefault="009B1B4B">
            <w:pPr>
              <w:spacing w:line="250" w:lineRule="auto"/>
            </w:pPr>
            <w:r>
              <w:rPr>
                <w:sz w:val="18"/>
                <w:szCs w:val="18"/>
              </w:rPr>
              <w:t>Schneller Aufstieg und Jobwechsel ohne Sozialauswahl</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49" w14:textId="77777777" w:rsidR="00C1548D" w:rsidRDefault="009B1B4B">
            <w:pPr>
              <w:spacing w:line="250" w:lineRule="auto"/>
            </w:pPr>
            <w:r>
              <w:rPr>
                <w:sz w:val="18"/>
                <w:szCs w:val="18"/>
              </w:rPr>
              <w:t>Gehalt und Aufenthalt hängen am selben Arbeitgeber</w:t>
            </w:r>
          </w:p>
        </w:tc>
      </w:tr>
      <w:tr w:rsidR="00C1548D" w14:paraId="70A4C44D" w14:textId="77777777">
        <w:tblPrEx>
          <w:tblCellMar>
            <w:top w:w="0" w:type="dxa"/>
            <w:bottom w:w="0" w:type="dxa"/>
          </w:tblCellMar>
        </w:tblPrEx>
        <w:trPr>
          <w:cantSplit/>
        </w:trPr>
        <w:tc>
          <w:tcPr>
            <w:tcW w:w="33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4B" w14:textId="77777777" w:rsidR="00C1548D" w:rsidRDefault="009B1B4B">
            <w:pPr>
              <w:spacing w:line="250" w:lineRule="auto"/>
            </w:pPr>
            <w:r>
              <w:rPr>
                <w:sz w:val="18"/>
                <w:szCs w:val="18"/>
              </w:rPr>
              <w:lastRenderedPageBreak/>
              <w:t>Bonus, Aktien und 401(k)-Match heben das Paket an</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4C" w14:textId="77777777" w:rsidR="00C1548D" w:rsidRDefault="009B1B4B">
            <w:pPr>
              <w:spacing w:line="250" w:lineRule="auto"/>
            </w:pPr>
            <w:r>
              <w:rPr>
                <w:sz w:val="18"/>
                <w:szCs w:val="18"/>
              </w:rPr>
              <w:t>2026 härterer Arbeitsmarkt, besonders in der Tech-Branche</w:t>
            </w:r>
          </w:p>
        </w:tc>
      </w:tr>
    </w:tbl>
    <w:p w14:paraId="70A4C44E" w14:textId="77777777" w:rsidR="00C1548D" w:rsidRDefault="00C1548D">
      <w:pPr>
        <w:spacing w:line="180" w:lineRule="exact"/>
      </w:pPr>
    </w:p>
    <w:p w14:paraId="70A4C44F" w14:textId="22E2E1D4" w:rsidR="00C1548D" w:rsidRDefault="009B1B4B">
      <w:pPr>
        <w:spacing w:after="140"/>
      </w:pPr>
      <w:r>
        <w:t>Details und Rechenmodell: Kapitel </w:t>
      </w:r>
      <w:hyperlink w:anchor="k3" w:history="1">
        <w:r>
          <w:t>3</w:t>
        </w:r>
      </w:hyperlink>
      <w:r>
        <w:t xml:space="preserve">, </w:t>
      </w:r>
      <w:hyperlink w:anchor="k12" w:history="1">
        <w:r>
          <w:t>12</w:t>
        </w:r>
      </w:hyperlink>
      <w:r>
        <w:t xml:space="preserve"> und </w:t>
      </w:r>
      <w:hyperlink w:anchor="k29" w:history="1">
        <w:r>
          <w:t>29</w:t>
        </w:r>
      </w:hyperlink>
      <w:r>
        <w:t>.</w:t>
      </w:r>
    </w:p>
    <w:p w14:paraId="70A4C450" w14:textId="77777777" w:rsidR="00C1548D" w:rsidRDefault="009B1B4B">
      <w:pPr>
        <w:pStyle w:val="Heading3"/>
        <w:keepNext/>
        <w:jc w:val="center"/>
      </w:pPr>
      <w:r>
        <w:rPr>
          <w:rFonts w:ascii="Amazon Ember" w:eastAsia="Amazon Ember" w:hAnsi="Amazon Ember" w:cs="Amazon Ember"/>
          <w:color w:val="0000FF"/>
          <w:sz w:val="36"/>
          <w:szCs w:val="36"/>
        </w:rPr>
        <w:t>Steuern und Abgaben</w:t>
      </w:r>
    </w:p>
    <w:p w14:paraId="70A4C451" w14:textId="77777777" w:rsidR="00C1548D" w:rsidRDefault="009B1B4B">
      <w:pPr>
        <w:spacing w:after="140"/>
      </w:pPr>
      <w:r>
        <w:t>Verbreiteter Irrtum: Niedrige Einstiegssteuersätze in den USA bedeuten automatisch mehr Netto als in Deutschland. Tatsächlich fehlt in dieser Rechnung, was in Deutschland längst über die Sozialversicherung mitläuft und in den USA separat aus der eigenen Tasche kommt – allen voran die Krankenversicherung.</w:t>
      </w:r>
    </w:p>
    <w:p w14:paraId="70A4C452" w14:textId="1DDE148E" w:rsidR="00C1548D" w:rsidRDefault="009B1B4B">
      <w:pPr>
        <w:spacing w:after="140"/>
      </w:pPr>
      <w:r>
        <w:t>Die US-Einkommensteuer beginnt niedriger, mit hohem Standardabzug: 2026 sind das 16.100 $ für Einzelpersonen und 32.200 $ für Ehepaare (Kapitel </w:t>
      </w:r>
      <w:hyperlink w:anchor="k28" w:history="1">
        <w:r>
          <w:t>28</w:t>
        </w:r>
      </w:hyperlink>
      <w:r>
        <w:t>). Von 120.000 $ Bruttoeinkommen bleiben einer Einzelperson je nach Bundesstaat etwa 71 bis 78 % übrig; acht Bundesstaaten, darunter Texas, Florida und Tennessee, erheben gar keine Einkommensteuer auf Löhne. Zum Vergleich (grobe eigene Rechnung, Kapitel </w:t>
      </w:r>
      <w:hyperlink w:anchor="k28" w:history="1">
        <w:r>
          <w:t>28</w:t>
        </w:r>
      </w:hyperlink>
      <w:r>
        <w:t>): In Deutschland bleiben bei entsprechendem Bruttoeinkommen rund 58 % netto – darin sind allerdings Kranken-, Pflege- und Arbeitslosenversicherung schon enthalten, während du sie in den USA zusätzlich zahlst.</w:t>
      </w:r>
    </w:p>
    <w:p w14:paraId="70A4C453" w14:textId="5ACD20CE" w:rsidR="00C1548D" w:rsidRDefault="009B1B4B">
      <w:pPr>
        <w:spacing w:after="140"/>
      </w:pPr>
      <w:r>
        <w:t>Die Fallen stecken im Kleingedruckten: Du veranlagst dich selbst, ohne Steuerbescheid; sobald du steuerlich ansässig bist, schuldest du Steuern auf dein weltweites Einkommen und musst deutsche Konten und Vermögen bei US-Behörden melden (FBAR, Form 8938) – Versäumnis kostet bis in den sechsstelligen Bereich (Kapitel </w:t>
      </w:r>
      <w:hyperlink w:anchor="k28" w:history="1">
        <w:r>
          <w:t>28</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45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454" w14:textId="77777777" w:rsidR="00C1548D" w:rsidRDefault="009B1B4B">
            <w:pPr>
              <w:keepNext/>
              <w:spacing w:after="70" w:line="240" w:lineRule="auto"/>
            </w:pPr>
            <w:r>
              <w:rPr>
                <w:b/>
                <w:bCs/>
                <w:color w:val="9B2C2C"/>
                <w:spacing w:val="24"/>
                <w:sz w:val="16"/>
                <w:szCs w:val="16"/>
              </w:rPr>
              <w:lastRenderedPageBreak/>
              <w:t>ACHTUNG</w:t>
            </w:r>
          </w:p>
          <w:p w14:paraId="70A4C455" w14:textId="0629A718" w:rsidR="00C1548D" w:rsidRDefault="009B1B4B">
            <w:pPr>
              <w:spacing w:after="80" w:line="264" w:lineRule="auto"/>
            </w:pPr>
            <w:r>
              <w:rPr>
                <w:sz w:val="20"/>
                <w:szCs w:val="20"/>
              </w:rPr>
              <w:t>Vergleiche nie Bruttogehälter über den Atlantik. Erst wenn du Steuern, Krankenversicherungsprämie, Selbstbehalt und die realen Wohnkosten am Zielort abziehst, siehst du, ob ein US-Angebot wirklich mehr Netto bringt als der deutsche Job (Kapitel </w:t>
            </w:r>
            <w:hyperlink w:anchor="k3" w:history="1">
              <w:r>
                <w:rPr>
                  <w:sz w:val="20"/>
                  <w:szCs w:val="20"/>
                </w:rPr>
                <w:t>3</w:t>
              </w:r>
            </w:hyperlink>
            <w:r>
              <w:rPr>
                <w:sz w:val="20"/>
                <w:szCs w:val="20"/>
              </w:rPr>
              <w:t>, Kapitel </w:t>
            </w:r>
            <w:hyperlink w:anchor="k28" w:history="1">
              <w:r>
                <w:rPr>
                  <w:sz w:val="20"/>
                  <w:szCs w:val="20"/>
                </w:rPr>
                <w:t>28</w:t>
              </w:r>
            </w:hyperlink>
            <w:r>
              <w:rPr>
                <w:sz w:val="20"/>
                <w:szCs w:val="20"/>
              </w:rPr>
              <w:t>).</w:t>
            </w:r>
          </w:p>
        </w:tc>
      </w:tr>
    </w:tbl>
    <w:p w14:paraId="70A4C457" w14:textId="77777777" w:rsidR="00C1548D" w:rsidRDefault="00C1548D">
      <w:pPr>
        <w:spacing w:line="22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62"/>
        <w:gridCol w:w="3418"/>
      </w:tblGrid>
      <w:tr w:rsidR="00C1548D" w14:paraId="70A4C45A" w14:textId="77777777">
        <w:tblPrEx>
          <w:tblCellMar>
            <w:top w:w="0" w:type="dxa"/>
            <w:bottom w:w="0" w:type="dxa"/>
          </w:tblCellMar>
        </w:tblPrEx>
        <w:trPr>
          <w:cantSplit/>
          <w:tblHeader/>
        </w:trPr>
        <w:tc>
          <w:tcPr>
            <w:tcW w:w="306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58" w14:textId="77777777" w:rsidR="00C1548D" w:rsidRDefault="009B1B4B">
            <w:pPr>
              <w:spacing w:line="250" w:lineRule="auto"/>
            </w:pPr>
            <w:r>
              <w:rPr>
                <w:b/>
                <w:bCs/>
                <w:sz w:val="18"/>
                <w:szCs w:val="18"/>
              </w:rPr>
              <w:t>Plus</w:t>
            </w:r>
          </w:p>
        </w:tc>
        <w:tc>
          <w:tcPr>
            <w:tcW w:w="341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59" w14:textId="77777777" w:rsidR="00C1548D" w:rsidRDefault="009B1B4B">
            <w:pPr>
              <w:spacing w:line="250" w:lineRule="auto"/>
            </w:pPr>
            <w:r>
              <w:rPr>
                <w:b/>
                <w:bCs/>
                <w:sz w:val="18"/>
                <w:szCs w:val="18"/>
              </w:rPr>
              <w:t>Minus</w:t>
            </w:r>
          </w:p>
        </w:tc>
      </w:tr>
      <w:tr w:rsidR="00C1548D" w14:paraId="70A4C45D" w14:textId="77777777">
        <w:tblPrEx>
          <w:tblCellMar>
            <w:top w:w="0" w:type="dxa"/>
            <w:bottom w:w="0" w:type="dxa"/>
          </w:tblCellMar>
        </w:tblPrEx>
        <w:trPr>
          <w:cantSplit/>
        </w:trPr>
        <w:tc>
          <w:tcPr>
            <w:tcW w:w="30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5B" w14:textId="77777777" w:rsidR="00C1548D" w:rsidRDefault="009B1B4B">
            <w:pPr>
              <w:spacing w:line="250" w:lineRule="auto"/>
            </w:pPr>
            <w:r>
              <w:rPr>
                <w:sz w:val="18"/>
                <w:szCs w:val="18"/>
              </w:rPr>
              <w:t>Hoher Standardabzug, niedrige Einstiegssätze</w:t>
            </w:r>
          </w:p>
        </w:tc>
        <w:tc>
          <w:tcPr>
            <w:tcW w:w="34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5C" w14:textId="77777777" w:rsidR="00C1548D" w:rsidRDefault="009B1B4B">
            <w:pPr>
              <w:spacing w:line="250" w:lineRule="auto"/>
            </w:pPr>
            <w:r>
              <w:rPr>
                <w:sz w:val="18"/>
                <w:szCs w:val="18"/>
              </w:rPr>
              <w:t>Selbstveranlagung: Rechnung und Fristen liegen bei dir</w:t>
            </w:r>
          </w:p>
        </w:tc>
      </w:tr>
      <w:tr w:rsidR="00C1548D" w14:paraId="70A4C460" w14:textId="77777777">
        <w:tblPrEx>
          <w:tblCellMar>
            <w:top w:w="0" w:type="dxa"/>
            <w:bottom w:w="0" w:type="dxa"/>
          </w:tblCellMar>
        </w:tblPrEx>
        <w:trPr>
          <w:cantSplit/>
        </w:trPr>
        <w:tc>
          <w:tcPr>
            <w:tcW w:w="30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5E" w14:textId="77777777" w:rsidR="00C1548D" w:rsidRDefault="009B1B4B">
            <w:pPr>
              <w:spacing w:line="250" w:lineRule="auto"/>
            </w:pPr>
            <w:r>
              <w:rPr>
                <w:sz w:val="18"/>
                <w:szCs w:val="18"/>
              </w:rPr>
              <w:t>Acht Bundesstaaten ohne Einkommensteuer auf Löhne</w:t>
            </w:r>
          </w:p>
        </w:tc>
        <w:tc>
          <w:tcPr>
            <w:tcW w:w="34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5F" w14:textId="77777777" w:rsidR="00C1548D" w:rsidRDefault="009B1B4B">
            <w:pPr>
              <w:spacing w:line="250" w:lineRule="auto"/>
            </w:pPr>
            <w:r>
              <w:rPr>
                <w:sz w:val="18"/>
                <w:szCs w:val="18"/>
              </w:rPr>
              <w:t>Weltweites Einkommen und Meldepflichten mit hohen Strafen</w:t>
            </w:r>
          </w:p>
        </w:tc>
      </w:tr>
      <w:tr w:rsidR="00C1548D" w14:paraId="70A4C463" w14:textId="77777777">
        <w:tblPrEx>
          <w:tblCellMar>
            <w:top w:w="0" w:type="dxa"/>
            <w:bottom w:w="0" w:type="dxa"/>
          </w:tblCellMar>
        </w:tblPrEx>
        <w:trPr>
          <w:cantSplit/>
        </w:trPr>
        <w:tc>
          <w:tcPr>
            <w:tcW w:w="30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61" w14:textId="77777777" w:rsidR="00C1548D" w:rsidRDefault="009B1B4B">
            <w:pPr>
              <w:spacing w:line="250" w:lineRule="auto"/>
            </w:pPr>
            <w:r>
              <w:rPr>
                <w:sz w:val="18"/>
                <w:szCs w:val="18"/>
              </w:rPr>
              <w:t>Rentenversicherung und Medicare zusammen nur 7,65 %</w:t>
            </w:r>
          </w:p>
        </w:tc>
        <w:tc>
          <w:tcPr>
            <w:tcW w:w="34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62" w14:textId="77777777" w:rsidR="00C1548D" w:rsidRDefault="009B1B4B">
            <w:pPr>
              <w:spacing w:line="250" w:lineRule="auto"/>
            </w:pPr>
            <w:r>
              <w:rPr>
                <w:sz w:val="18"/>
                <w:szCs w:val="18"/>
              </w:rPr>
              <w:t>Krankenversicherung kommt zur Steuerlast noch hinzu</w:t>
            </w:r>
          </w:p>
        </w:tc>
      </w:tr>
    </w:tbl>
    <w:p w14:paraId="70A4C464" w14:textId="77777777" w:rsidR="00C1548D" w:rsidRDefault="00C1548D">
      <w:pPr>
        <w:spacing w:line="180" w:lineRule="exact"/>
      </w:pPr>
    </w:p>
    <w:p w14:paraId="70A4C465" w14:textId="2677DB86" w:rsidR="00C1548D" w:rsidRDefault="009B1B4B">
      <w:pPr>
        <w:spacing w:after="140"/>
      </w:pPr>
      <w:r>
        <w:t>Rechenbeispiele und Meldepflichten: Kapitel </w:t>
      </w:r>
      <w:hyperlink w:anchor="k28" w:history="1">
        <w:r>
          <w:t>28</w:t>
        </w:r>
      </w:hyperlink>
      <w:r>
        <w:t>; deutsche Seite (Wegzug, Rente): Kapitel </w:t>
      </w:r>
      <w:hyperlink w:anchor="k17" w:history="1">
        <w:r>
          <w:t>17</w:t>
        </w:r>
      </w:hyperlink>
      <w:r>
        <w:t>.</w:t>
      </w:r>
    </w:p>
    <w:p w14:paraId="70A4C466" w14:textId="77777777" w:rsidR="00C1548D" w:rsidRDefault="009B1B4B">
      <w:pPr>
        <w:pStyle w:val="Heading3"/>
        <w:keepNext/>
        <w:jc w:val="center"/>
      </w:pPr>
      <w:r>
        <w:rPr>
          <w:rFonts w:ascii="Amazon Ember" w:eastAsia="Amazon Ember" w:hAnsi="Amazon Ember" w:cs="Amazon Ember"/>
          <w:color w:val="0000FF"/>
          <w:sz w:val="36"/>
          <w:szCs w:val="36"/>
        </w:rPr>
        <w:t>Krankenversicherung und Absicherung</w:t>
      </w:r>
    </w:p>
    <w:p w14:paraId="70A4C467" w14:textId="6C274C2A" w:rsidR="00C1548D" w:rsidRDefault="009B1B4B">
      <w:pPr>
        <w:spacing w:after="140"/>
      </w:pPr>
      <w:r>
        <w:t>In Deutschland ist die Krankenversicherung Pflicht und unabhängig vom Job; in den USA hängt sie am Arbeitgeber, der im Schnitt rund 84 % der Prämie für Einzelpersonen und 74 % für Familien trägt (Kapitel </w:t>
      </w:r>
      <w:hyperlink w:anchor="k26" w:history="1">
        <w:r>
          <w:t>26</w:t>
        </w:r>
      </w:hyperlink>
      <w:r>
        <w:t>). Dazu kommen der Selbstbehalt (</w:t>
      </w:r>
      <w:r>
        <w:rPr>
          <w:i/>
          <w:iCs/>
        </w:rPr>
        <w:t>Deductible</w:t>
      </w:r>
      <w:r>
        <w:t>, im Schnitt 1.886 $) und Zuzahlungen bis zu einer Jahreshöchstgrenze der Eigenkosten (</w:t>
      </w:r>
      <w:r>
        <w:rPr>
          <w:i/>
          <w:iCs/>
        </w:rPr>
        <w:t>Out-of-Pocket Maximum</w:t>
      </w:r>
      <w:r>
        <w:t>, im Schnitt 4.423 $), die dein Risiko im Netzwerk wenigstens deckelt.</w:t>
      </w:r>
    </w:p>
    <w:p w14:paraId="70A4C468" w14:textId="6BAA601E" w:rsidR="00C1548D" w:rsidRDefault="009B1B4B">
      <w:pPr>
        <w:spacing w:after="140"/>
      </w:pPr>
      <w:r>
        <w:t>Die größte Falle kommt gleich zu Beginn: Zwischen Landung und Versicherungsbeginn liegt oft eine Wartefrist von bis zu 90 Tagen; mit Anmeldefristen und Arbeitsbeginn zusammen werden daraus schnell drei bis vier Monate ohne US-Deckung (Kapitel </w:t>
      </w:r>
      <w:hyperlink w:anchor="k26" w:history="1">
        <w:r>
          <w:t>26</w:t>
        </w:r>
      </w:hyperlink>
      <w:r>
        <w:t xml:space="preserve">). In der Praxis heißt das: Der erste verstauchte Knöchel oder die erste fiebrige Nacht treffen dich oft, bevor die Versicherungskarte überhaupt im Briefkasten liegt. Verlierst du den Job, kannst du die Deckung über die Fortführung der Arbeitgeberversicherung </w:t>
      </w:r>
      <w:r>
        <w:lastRenderedPageBreak/>
        <w:t>(COBRA) fortsetzen, zahlst dann aber die volle Prämie plus 2 % – rechnerisch rund 790 $ im Monat für eine Einzelperson.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46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469" w14:textId="77777777" w:rsidR="00C1548D" w:rsidRDefault="009B1B4B">
            <w:pPr>
              <w:keepNext/>
              <w:spacing w:after="70" w:line="240" w:lineRule="auto"/>
            </w:pPr>
            <w:r>
              <w:rPr>
                <w:b/>
                <w:bCs/>
                <w:color w:val="9B2C2C"/>
                <w:spacing w:val="24"/>
                <w:sz w:val="16"/>
                <w:szCs w:val="16"/>
              </w:rPr>
              <w:t>ACHTUNG</w:t>
            </w:r>
          </w:p>
          <w:p w14:paraId="70A4C46A" w14:textId="79AC2878" w:rsidR="00C1548D" w:rsidRDefault="009B1B4B">
            <w:pPr>
              <w:spacing w:after="80" w:line="264" w:lineRule="auto"/>
            </w:pPr>
            <w:r>
              <w:rPr>
                <w:sz w:val="20"/>
                <w:szCs w:val="20"/>
              </w:rPr>
              <w:t>Job, Krankenversicherung und bei einem Arbeitsvisum der Aufenthaltsstatus hängen an derselben Stelle: Ein Stellenabbau trifft dich doppelt, weil die Frist für einen neuen Sponsor (Kapitel </w:t>
            </w:r>
            <w:hyperlink w:anchor="k30" w:history="1">
              <w:r>
                <w:rPr>
                  <w:sz w:val="20"/>
                  <w:szCs w:val="20"/>
                </w:rPr>
                <w:t>30</w:t>
              </w:r>
            </w:hyperlink>
            <w:r>
              <w:rPr>
                <w:sz w:val="20"/>
                <w:szCs w:val="20"/>
              </w:rPr>
              <w:t>) parallel zur Frage läuft, wie du die Familie krankenversichert hältst. Plane beides zusammen, nicht getrennt.</w:t>
            </w:r>
          </w:p>
        </w:tc>
      </w:tr>
    </w:tbl>
    <w:p w14:paraId="70A4C46C" w14:textId="77777777" w:rsidR="00C1548D" w:rsidRDefault="00C1548D">
      <w:pPr>
        <w:spacing w:line="22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1"/>
        <w:gridCol w:w="3689"/>
      </w:tblGrid>
      <w:tr w:rsidR="00C1548D" w14:paraId="70A4C46F" w14:textId="77777777">
        <w:tblPrEx>
          <w:tblCellMar>
            <w:top w:w="0" w:type="dxa"/>
            <w:bottom w:w="0" w:type="dxa"/>
          </w:tblCellMar>
        </w:tblPrEx>
        <w:trPr>
          <w:cantSplit/>
          <w:tblHeader/>
        </w:trPr>
        <w:tc>
          <w:tcPr>
            <w:tcW w:w="279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6D" w14:textId="77777777" w:rsidR="00C1548D" w:rsidRDefault="009B1B4B">
            <w:pPr>
              <w:spacing w:line="250" w:lineRule="auto"/>
            </w:pPr>
            <w:r>
              <w:rPr>
                <w:b/>
                <w:bCs/>
                <w:sz w:val="18"/>
                <w:szCs w:val="18"/>
              </w:rPr>
              <w:t>Plus</w:t>
            </w:r>
          </w:p>
        </w:tc>
        <w:tc>
          <w:tcPr>
            <w:tcW w:w="36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6E" w14:textId="77777777" w:rsidR="00C1548D" w:rsidRDefault="009B1B4B">
            <w:pPr>
              <w:spacing w:line="250" w:lineRule="auto"/>
            </w:pPr>
            <w:r>
              <w:rPr>
                <w:b/>
                <w:bCs/>
                <w:sz w:val="18"/>
                <w:szCs w:val="18"/>
              </w:rPr>
              <w:t>Minus</w:t>
            </w:r>
          </w:p>
        </w:tc>
      </w:tr>
      <w:tr w:rsidR="00C1548D" w14:paraId="70A4C472" w14:textId="77777777">
        <w:tblPrEx>
          <w:tblCellMar>
            <w:top w:w="0" w:type="dxa"/>
            <w:bottom w:w="0" w:type="dxa"/>
          </w:tblCellMar>
        </w:tblPrEx>
        <w:trPr>
          <w:cantSplit/>
        </w:trPr>
        <w:tc>
          <w:tcPr>
            <w:tcW w:w="27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70" w14:textId="77777777" w:rsidR="00C1548D" w:rsidRDefault="009B1B4B">
            <w:pPr>
              <w:spacing w:line="250" w:lineRule="auto"/>
            </w:pPr>
            <w:r>
              <w:rPr>
                <w:sz w:val="18"/>
                <w:szCs w:val="18"/>
              </w:rPr>
              <w:t>Arbeitgeber trägt den Großteil der Prämie</w:t>
            </w:r>
          </w:p>
        </w:tc>
        <w:tc>
          <w:tcPr>
            <w:tcW w:w="3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71" w14:textId="77777777" w:rsidR="00C1548D" w:rsidRDefault="009B1B4B">
            <w:pPr>
              <w:spacing w:line="250" w:lineRule="auto"/>
            </w:pPr>
            <w:r>
              <w:rPr>
                <w:sz w:val="18"/>
                <w:szCs w:val="18"/>
              </w:rPr>
              <w:t>Deckung hängt am Job, Lücke von bis zu vier Monaten am Anfang</w:t>
            </w:r>
          </w:p>
        </w:tc>
      </w:tr>
      <w:tr w:rsidR="00C1548D" w14:paraId="70A4C475" w14:textId="77777777">
        <w:tblPrEx>
          <w:tblCellMar>
            <w:top w:w="0" w:type="dxa"/>
            <w:bottom w:w="0" w:type="dxa"/>
          </w:tblCellMar>
        </w:tblPrEx>
        <w:trPr>
          <w:cantSplit/>
        </w:trPr>
        <w:tc>
          <w:tcPr>
            <w:tcW w:w="27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73" w14:textId="77777777" w:rsidR="00C1548D" w:rsidRDefault="009B1B4B">
            <w:pPr>
              <w:spacing w:line="250" w:lineRule="auto"/>
            </w:pPr>
            <w:r>
              <w:rPr>
                <w:sz w:val="18"/>
                <w:szCs w:val="18"/>
              </w:rPr>
              <w:t>Out-of-Pocket-Maximum deckelt das Jahresrisiko</w:t>
            </w:r>
          </w:p>
        </w:tc>
        <w:tc>
          <w:tcPr>
            <w:tcW w:w="3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74" w14:textId="77777777" w:rsidR="00C1548D" w:rsidRDefault="009B1B4B">
            <w:pPr>
              <w:spacing w:line="250" w:lineRule="auto"/>
            </w:pPr>
            <w:r>
              <w:rPr>
                <w:sz w:val="18"/>
                <w:szCs w:val="18"/>
              </w:rPr>
              <w:t>Selbstbehalt und Zuzahlungen kommen zur Prämie hinzu</w:t>
            </w:r>
          </w:p>
        </w:tc>
      </w:tr>
      <w:tr w:rsidR="00C1548D" w14:paraId="70A4C478" w14:textId="77777777">
        <w:tblPrEx>
          <w:tblCellMar>
            <w:top w:w="0" w:type="dxa"/>
            <w:bottom w:w="0" w:type="dxa"/>
          </w:tblCellMar>
        </w:tblPrEx>
        <w:trPr>
          <w:cantSplit/>
        </w:trPr>
        <w:tc>
          <w:tcPr>
            <w:tcW w:w="27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76" w14:textId="77777777" w:rsidR="00C1548D" w:rsidRDefault="009B1B4B">
            <w:pPr>
              <w:spacing w:line="250" w:lineRule="auto"/>
            </w:pPr>
            <w:r>
              <w:rPr>
                <w:sz w:val="18"/>
                <w:szCs w:val="18"/>
              </w:rPr>
              <w:t>Vorsorge meist ohne Zuzahlung</w:t>
            </w:r>
          </w:p>
        </w:tc>
        <w:tc>
          <w:tcPr>
            <w:tcW w:w="3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77" w14:textId="77777777" w:rsidR="00C1548D" w:rsidRDefault="009B1B4B">
            <w:pPr>
              <w:spacing w:line="250" w:lineRule="auto"/>
            </w:pPr>
            <w:r>
              <w:rPr>
                <w:sz w:val="18"/>
                <w:szCs w:val="18"/>
              </w:rPr>
              <w:t>COBRA nach Jobverlust kostet die volle Prämie</w:t>
            </w:r>
          </w:p>
        </w:tc>
      </w:tr>
    </w:tbl>
    <w:p w14:paraId="70A4C479" w14:textId="77777777" w:rsidR="00C1548D" w:rsidRDefault="00C1548D">
      <w:pPr>
        <w:spacing w:line="180" w:lineRule="exact"/>
      </w:pPr>
    </w:p>
    <w:p w14:paraId="70A4C47A" w14:textId="5D957BC8" w:rsidR="00C1548D" w:rsidRDefault="009B1B4B">
      <w:pPr>
        <w:spacing w:after="140"/>
      </w:pPr>
      <w:r>
        <w:t>Ausführlich: Kapitel </w:t>
      </w:r>
      <w:hyperlink w:anchor="k26" w:history="1">
        <w:r>
          <w:t>26</w:t>
        </w:r>
      </w:hyperlink>
      <w:r>
        <w:t xml:space="preserve"> (System und Kosten), Kapitel </w:t>
      </w:r>
      <w:hyperlink w:anchor="k18" w:history="1">
        <w:r>
          <w:t>18</w:t>
        </w:r>
      </w:hyperlink>
      <w:r>
        <w:t xml:space="preserve"> (Vorbereitung in Deutschland).</w:t>
      </w:r>
    </w:p>
    <w:p w14:paraId="70A4C47B" w14:textId="77777777" w:rsidR="00C1548D" w:rsidRDefault="009B1B4B">
      <w:pPr>
        <w:pStyle w:val="Heading3"/>
        <w:keepNext/>
        <w:jc w:val="center"/>
      </w:pPr>
      <w:r>
        <w:rPr>
          <w:rFonts w:ascii="Amazon Ember" w:eastAsia="Amazon Ember" w:hAnsi="Amazon Ember" w:cs="Amazon Ember"/>
          <w:color w:val="0000FF"/>
          <w:sz w:val="36"/>
          <w:szCs w:val="36"/>
        </w:rPr>
        <w:t>Urlaub, Arbeitszeit und Kündigungsschutz</w:t>
      </w:r>
    </w:p>
    <w:p w14:paraId="70A4C47C" w14:textId="747623B9" w:rsidR="00C1548D" w:rsidRDefault="009B1B4B">
      <w:pPr>
        <w:spacing w:after="140"/>
      </w:pPr>
      <w:r>
        <w:t>Hier zeigt sich der größte kulturelle Bruch: In fast allen Bundesstaaten gilt Kündigung ohne Grund (</w:t>
      </w:r>
      <w:r>
        <w:rPr>
          <w:i/>
          <w:iCs/>
        </w:rPr>
        <w:t>At-will Employment</w:t>
      </w:r>
      <w:r>
        <w:t>) – weder du noch dein Arbeitgeber braucht einen Grund oder eine Frist; ein Kündigungsschutzgesetz wie in Deutschland gibt es nicht (Kapitel </w:t>
      </w:r>
      <w:hyperlink w:anchor="k29" w:history="1">
        <w:r>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bezahlte Feiertage oder Krankheitstage schreibt kein Bundesgesetz vor; im Schnitt bekommst du im ersten Jahr 11 bezahlte Urlaubstage, nach zehn Jahren 18 – in Deutschland sind es mindestens 20, meist </w:t>
      </w:r>
      <w:r>
        <w:lastRenderedPageBreak/>
        <w:t>25 bis 30. Auch Elternzeit ist bundesweit nur 12 Wochen unbezahlt garantiert, ve</w:t>
      </w:r>
      <w:r>
        <w:t>rglichen mit bis zu drei Jahren Elternzeit und Elterngeld in Deutschland.</w:t>
      </w:r>
    </w:p>
    <w:p w14:paraId="70A4C47D" w14:textId="4769BB2C" w:rsidR="00C1548D" w:rsidRDefault="009B1B4B">
      <w:pPr>
        <w:spacing w:after="140"/>
      </w:pPr>
      <w:r>
        <w:t>Die Gegenrechnung: Diese Flexibilität beschleunigt Jobwechsel und Beförderung, und wer verhandelt, kann Urlaubstage, Sign-on-Bonus und Homeoffice oft mitverhandeln (Kapitel </w:t>
      </w:r>
      <w:hyperlink w:anchor="k29" w:history="1">
        <w:r>
          <w:t>29</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5"/>
        <w:gridCol w:w="3575"/>
      </w:tblGrid>
      <w:tr w:rsidR="00C1548D" w14:paraId="70A4C480" w14:textId="77777777">
        <w:tblPrEx>
          <w:tblCellMar>
            <w:top w:w="0" w:type="dxa"/>
            <w:bottom w:w="0" w:type="dxa"/>
          </w:tblCellMar>
        </w:tblPrEx>
        <w:trPr>
          <w:cantSplit/>
          <w:tblHeader/>
        </w:trPr>
        <w:tc>
          <w:tcPr>
            <w:tcW w:w="290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7E" w14:textId="77777777" w:rsidR="00C1548D" w:rsidRDefault="009B1B4B">
            <w:pPr>
              <w:spacing w:line="250" w:lineRule="auto"/>
            </w:pPr>
            <w:r>
              <w:rPr>
                <w:b/>
                <w:bCs/>
                <w:sz w:val="18"/>
                <w:szCs w:val="18"/>
              </w:rPr>
              <w:t>Plus</w:t>
            </w:r>
          </w:p>
        </w:tc>
        <w:tc>
          <w:tcPr>
            <w:tcW w:w="357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7F" w14:textId="77777777" w:rsidR="00C1548D" w:rsidRDefault="009B1B4B">
            <w:pPr>
              <w:spacing w:line="250" w:lineRule="auto"/>
            </w:pPr>
            <w:r>
              <w:rPr>
                <w:b/>
                <w:bCs/>
                <w:sz w:val="18"/>
                <w:szCs w:val="18"/>
              </w:rPr>
              <w:t>Minus</w:t>
            </w:r>
          </w:p>
        </w:tc>
      </w:tr>
      <w:tr w:rsidR="00C1548D" w14:paraId="70A4C483" w14:textId="77777777">
        <w:tblPrEx>
          <w:tblCellMar>
            <w:top w:w="0" w:type="dxa"/>
            <w:bottom w:w="0" w:type="dxa"/>
          </w:tblCellMar>
        </w:tblPrEx>
        <w:trPr>
          <w:cantSplit/>
        </w:trPr>
        <w:tc>
          <w:tcPr>
            <w:tcW w:w="29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81" w14:textId="77777777" w:rsidR="00C1548D" w:rsidRDefault="009B1B4B">
            <w:pPr>
              <w:spacing w:line="250" w:lineRule="auto"/>
            </w:pPr>
            <w:r>
              <w:rPr>
                <w:sz w:val="18"/>
                <w:szCs w:val="18"/>
              </w:rPr>
              <w:t>Schneller Wechsel und Aufstieg ohne Tarifstufen</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82" w14:textId="77777777" w:rsidR="00C1548D" w:rsidRDefault="009B1B4B">
            <w:pPr>
              <w:spacing w:line="250" w:lineRule="auto"/>
            </w:pPr>
            <w:r>
              <w:rPr>
                <w:sz w:val="18"/>
                <w:szCs w:val="18"/>
              </w:rPr>
              <w:t>Kein Kündigungsschutz; bei Visum hängt der Aufenthalt am Job</w:t>
            </w:r>
          </w:p>
        </w:tc>
      </w:tr>
      <w:tr w:rsidR="00C1548D" w14:paraId="70A4C486" w14:textId="77777777">
        <w:tblPrEx>
          <w:tblCellMar>
            <w:top w:w="0" w:type="dxa"/>
            <w:bottom w:w="0" w:type="dxa"/>
          </w:tblCellMar>
        </w:tblPrEx>
        <w:trPr>
          <w:cantSplit/>
        </w:trPr>
        <w:tc>
          <w:tcPr>
            <w:tcW w:w="29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84" w14:textId="77777777" w:rsidR="00C1548D" w:rsidRDefault="009B1B4B">
            <w:pPr>
              <w:spacing w:line="250" w:lineRule="auto"/>
            </w:pPr>
            <w:r>
              <w:rPr>
                <w:sz w:val="18"/>
                <w:szCs w:val="18"/>
              </w:rPr>
              <w:t>Urlaub, Bonus und Homeoffice oft verhandelbar</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85" w14:textId="77777777" w:rsidR="00C1548D" w:rsidRDefault="009B1B4B">
            <w:pPr>
              <w:spacing w:line="250" w:lineRule="auto"/>
            </w:pPr>
            <w:r>
              <w:rPr>
                <w:sz w:val="18"/>
                <w:szCs w:val="18"/>
              </w:rPr>
              <w:t>Nur 11 bezahlte Urlaubstage im ersten Jahr im Schnitt</w:t>
            </w:r>
          </w:p>
        </w:tc>
      </w:tr>
      <w:tr w:rsidR="00C1548D" w14:paraId="70A4C489" w14:textId="77777777">
        <w:tblPrEx>
          <w:tblCellMar>
            <w:top w:w="0" w:type="dxa"/>
            <w:bottom w:w="0" w:type="dxa"/>
          </w:tblCellMar>
        </w:tblPrEx>
        <w:trPr>
          <w:cantSplit/>
        </w:trPr>
        <w:tc>
          <w:tcPr>
            <w:tcW w:w="29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87" w14:textId="77777777" w:rsidR="00C1548D" w:rsidRDefault="009B1B4B">
            <w:pPr>
              <w:spacing w:line="250" w:lineRule="auto"/>
            </w:pPr>
            <w:r>
              <w:rPr>
                <w:sz w:val="18"/>
                <w:szCs w:val="18"/>
              </w:rPr>
              <w:t>Flache Hierarchien, häufiges Feedback</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88" w14:textId="77777777" w:rsidR="00C1548D" w:rsidRDefault="009B1B4B">
            <w:pPr>
              <w:spacing w:line="250" w:lineRule="auto"/>
            </w:pPr>
            <w:r>
              <w:rPr>
                <w:sz w:val="18"/>
                <w:szCs w:val="18"/>
              </w:rPr>
              <w:t>Elternzeit bundesweit nur 12 Wochen, unbezahlt</w:t>
            </w:r>
          </w:p>
        </w:tc>
      </w:tr>
    </w:tbl>
    <w:p w14:paraId="70A4C48A" w14:textId="77777777" w:rsidR="00C1548D" w:rsidRDefault="00C1548D">
      <w:pPr>
        <w:spacing w:line="180" w:lineRule="exact"/>
      </w:pPr>
    </w:p>
    <w:p w14:paraId="70A4C48B" w14:textId="742F1EB9" w:rsidR="00C1548D" w:rsidRDefault="009B1B4B">
      <w:pPr>
        <w:spacing w:after="140"/>
      </w:pPr>
      <w:r>
        <w:t>Arbeitsrecht im Detail: Kapitel </w:t>
      </w:r>
      <w:hyperlink w:anchor="k29" w:history="1">
        <w:r>
          <w:t>29</w:t>
        </w:r>
      </w:hyperlink>
      <w:r>
        <w:t>; Jobverlust und Statusfristen: Kapitel </w:t>
      </w:r>
      <w:hyperlink w:anchor="k30" w:history="1">
        <w:r>
          <w:t>30</w:t>
        </w:r>
      </w:hyperlink>
      <w:r>
        <w:t>.</w:t>
      </w:r>
    </w:p>
    <w:p w14:paraId="70A4C48C" w14:textId="77777777" w:rsidR="00C1548D" w:rsidRDefault="009B1B4B">
      <w:pPr>
        <w:pStyle w:val="Heading3"/>
        <w:keepNext/>
        <w:jc w:val="center"/>
      </w:pPr>
      <w:r>
        <w:rPr>
          <w:rFonts w:ascii="Amazon Ember" w:eastAsia="Amazon Ember" w:hAnsi="Amazon Ember" w:cs="Amazon Ember"/>
          <w:color w:val="0000FF"/>
          <w:sz w:val="36"/>
          <w:szCs w:val="36"/>
        </w:rPr>
        <w:t>Wohnen und Raum</w:t>
      </w:r>
    </w:p>
    <w:p w14:paraId="70A4C48D" w14:textId="3BD1C452" w:rsidR="00C1548D" w:rsidRDefault="009B1B4B">
      <w:pPr>
        <w:spacing w:after="140"/>
      </w:pPr>
      <w:r>
        <w:t>Wohnraum ist in weiten Teilen der USA günstiger und großzügiger als in deutschen Großstädten – ein Median-Einfamilienhaus in Columbus oder Detroit kostet deutlich weniger als eine vergleichbare Wohnung in München, und die dreißigjährige Zinsbindung schützt vor steigenden Raten (Kapitel </w:t>
      </w:r>
      <w:hyperlink w:anchor="k14" w:history="1">
        <w:r>
          <w:t>14</w:t>
        </w:r>
      </w:hyperlink>
      <w:r>
        <w:t>). Die Kehrseite: Staatlich abgesicherte Kredite mit kleiner Anzahlung (FHA) stehen Visa-Inhabern seit Mai 2025 nicht mehr offen, und reguläre Kredite verlangen meist Sozialversicherungsnummer, US-Kredithistorie und oft ein Jahr Visum-Restlaufzeit (Kapitel </w:t>
      </w:r>
      <w:hyperlink w:anchor="k14" w:history="1">
        <w:r>
          <w:t>14</w:t>
        </w:r>
      </w:hyperlink>
      <w:r>
        <w:t>). Kauf und Verkauf kosten zusammen rund 10 % des Preises; bei 500.000 $ sind das rund 50.000 $, die bei einem erzwungenen Umzug nach einem Stellenabbau meist verloren sind.</w:t>
      </w:r>
    </w:p>
    <w:p w14:paraId="70A4C48E" w14:textId="5CE40D6E" w:rsidR="00C1548D" w:rsidRDefault="009B1B4B">
      <w:pPr>
        <w:spacing w:after="140"/>
      </w:pPr>
      <w:r>
        <w:t>Deshalb gilt fast überall dieselbe Regel: Miete zuerst; kaufe erst, wenn Job und Status stabil sind (Kapitel </w:t>
      </w:r>
      <w:hyperlink w:anchor="k12" w:history="1">
        <w:r>
          <w:t>12</w:t>
        </w:r>
      </w:hyperlink>
      <w:r>
        <w:t xml:space="preserve"> bis </w:t>
      </w:r>
      <w:hyperlink w:anchor="k14" w:history="1">
        <w:r>
          <w:t>14</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491"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8F" w14:textId="77777777" w:rsidR="00C1548D" w:rsidRDefault="009B1B4B">
            <w:pPr>
              <w:spacing w:line="250" w:lineRule="auto"/>
            </w:pPr>
            <w:r>
              <w:rPr>
                <w:b/>
                <w:bCs/>
                <w:sz w:val="18"/>
                <w:szCs w:val="18"/>
              </w:rPr>
              <w:lastRenderedPageBreak/>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90" w14:textId="77777777" w:rsidR="00C1548D" w:rsidRDefault="009B1B4B">
            <w:pPr>
              <w:spacing w:line="250" w:lineRule="auto"/>
            </w:pPr>
            <w:r>
              <w:rPr>
                <w:b/>
                <w:bCs/>
                <w:sz w:val="18"/>
                <w:szCs w:val="18"/>
              </w:rPr>
              <w:t>Minus</w:t>
            </w:r>
          </w:p>
        </w:tc>
      </w:tr>
      <w:tr w:rsidR="00C1548D" w14:paraId="70A4C49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92" w14:textId="77777777" w:rsidR="00C1548D" w:rsidRDefault="009B1B4B">
            <w:pPr>
              <w:spacing w:line="250" w:lineRule="auto"/>
            </w:pPr>
            <w:r>
              <w:rPr>
                <w:sz w:val="18"/>
                <w:szCs w:val="18"/>
              </w:rPr>
              <w:t>Mehr Wohnraum fürs Geld außerhalb der Küstenmetropolen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93" w14:textId="77777777" w:rsidR="00C1548D" w:rsidRDefault="009B1B4B">
            <w:pPr>
              <w:spacing w:line="250" w:lineRule="auto"/>
            </w:pPr>
            <w:r>
              <w:rPr>
                <w:sz w:val="18"/>
                <w:szCs w:val="18"/>
              </w:rPr>
              <w:t>FHA-Kredite für Visa-Inhaber gestrichen; hohe Anzahlung nötig</w:t>
            </w:r>
          </w:p>
        </w:tc>
      </w:tr>
      <w:tr w:rsidR="00C1548D" w14:paraId="70A4C49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95" w14:textId="77777777" w:rsidR="00C1548D" w:rsidRDefault="009B1B4B">
            <w:pPr>
              <w:spacing w:line="250" w:lineRule="auto"/>
            </w:pPr>
            <w:r>
              <w:rPr>
                <w:sz w:val="18"/>
                <w:szCs w:val="18"/>
              </w:rPr>
              <w:t>Dreißig Jahre fester Zins schützt vor steigenden Raten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96" w14:textId="77777777" w:rsidR="00C1548D" w:rsidRDefault="009B1B4B">
            <w:pPr>
              <w:spacing w:line="250" w:lineRule="auto"/>
            </w:pPr>
            <w:r>
              <w:rPr>
                <w:sz w:val="18"/>
                <w:szCs w:val="18"/>
              </w:rPr>
              <w:t>Kauf- und Verkaufskosten von zusammen rund 10 %</w:t>
            </w:r>
          </w:p>
        </w:tc>
      </w:tr>
      <w:tr w:rsidR="00C1548D" w14:paraId="70A4C49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98" w14:textId="77777777" w:rsidR="00C1548D" w:rsidRDefault="009B1B4B">
            <w:pPr>
              <w:spacing w:line="250" w:lineRule="auto"/>
            </w:pPr>
            <w:r>
              <w:rPr>
                <w:sz w:val="18"/>
                <w:szCs w:val="18"/>
              </w:rPr>
              <w:t>Acht Bundesstaaten ohne Einkommensteuer senken die Gesamtlast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99" w14:textId="77777777" w:rsidR="00C1548D" w:rsidRDefault="009B1B4B">
            <w:pPr>
              <w:spacing w:line="250" w:lineRule="auto"/>
            </w:pPr>
            <w:r>
              <w:rPr>
                <w:sz w:val="18"/>
                <w:szCs w:val="18"/>
              </w:rPr>
              <w:t>Job- und Visumrisiko macht einen schnellen Verkauf teuer</w:t>
            </w:r>
          </w:p>
        </w:tc>
      </w:tr>
    </w:tbl>
    <w:p w14:paraId="70A4C49B" w14:textId="77777777" w:rsidR="00C1548D" w:rsidRDefault="00C1548D">
      <w:pPr>
        <w:spacing w:line="180" w:lineRule="exact"/>
      </w:pPr>
    </w:p>
    <w:p w14:paraId="70A4C49C" w14:textId="35AE6B35" w:rsidR="00C1548D" w:rsidRDefault="009B1B4B">
      <w:pPr>
        <w:spacing w:after="140"/>
      </w:pPr>
      <w:r>
        <w:t>Regionen, Mieten, Kauf: Kapitel </w:t>
      </w:r>
      <w:hyperlink w:anchor="k12" w:history="1">
        <w:r>
          <w:t>12</w:t>
        </w:r>
      </w:hyperlink>
      <w:r>
        <w:t xml:space="preserve"> bis </w:t>
      </w:r>
      <w:hyperlink w:anchor="k14" w:history="1">
        <w:r>
          <w:t>14</w:t>
        </w:r>
      </w:hyperlink>
      <w:r>
        <w:t>.</w:t>
      </w:r>
    </w:p>
    <w:p w14:paraId="70A4C49D" w14:textId="77777777" w:rsidR="00C1548D" w:rsidRDefault="009B1B4B">
      <w:pPr>
        <w:pStyle w:val="Heading3"/>
        <w:keepNext/>
        <w:jc w:val="center"/>
      </w:pPr>
      <w:r>
        <w:rPr>
          <w:rFonts w:ascii="Amazon Ember" w:eastAsia="Amazon Ember" w:hAnsi="Amazon Ember" w:cs="Amazon Ember"/>
          <w:color w:val="0000FF"/>
          <w:sz w:val="36"/>
          <w:szCs w:val="36"/>
        </w:rPr>
        <w:t>Alltag und Service</w:t>
      </w:r>
    </w:p>
    <w:p w14:paraId="70A4C49E" w14:textId="422CE42F" w:rsidR="00C1548D" w:rsidRDefault="009B1B4B">
      <w:pPr>
        <w:spacing w:after="140"/>
      </w:pPr>
      <w:r>
        <w:t>Der Alltag ist freundlicher inszeniert, als Deutsche es gewohnt sind: guter Kundenservice, großzügige Rückgabefristen bei Ketten wie Costco oder Target, keine Meldepflicht beim Umzug (Kapitel </w:t>
      </w:r>
      <w:hyperlink w:anchor="k31" w:history="1">
        <w:r>
          <w:t>31</w:t>
        </w:r>
      </w:hyperlink>
      <w:r>
        <w:t>). Dafür kostet er mehr, als das Preisschild zeigt: Die Verkaufssteuer (</w:t>
      </w:r>
      <w:r>
        <w:rPr>
          <w:i/>
          <w:iCs/>
        </w:rPr>
        <w:t>Sales Tax</w:t>
      </w:r>
      <w:r>
        <w:t>) steht nicht im Preis, und im Restaurant kommen 18 bis 20 % Trinkgeld dazu – zusammen oft ein Viertel Aufschlag auf die Kartenpreise. Außerhalb weniger Großstädte wie New York, Boston oder Chicago brauchst du praktisch überall ein Auto, weil Supermarkt, Schule und Arbeit weit auseinanderliegen (Kapitel </w:t>
      </w:r>
      <w:hyperlink w:anchor="k27" w:history="1">
        <w:r>
          <w:t>27</w:t>
        </w:r>
      </w:hyperlink>
      <w:r>
        <w:t>, Kapitel </w:t>
      </w:r>
      <w:hyperlink w:anchor="k31" w:history="1">
        <w:r>
          <w:t>31</w:t>
        </w:r>
      </w:hyperlink>
      <w:r>
        <w:t>). Was dafür fehlt, ist deutsche Alltagsbürokratie: kein Einwohnermeldeamt, keine Anmeldepflicht, dafür ein Führerschein oder ein Personalausweis des Bundesstaats (</w:t>
      </w:r>
      <w:r>
        <w:rPr>
          <w:i/>
          <w:iCs/>
        </w:rPr>
        <w:t>State ID</w:t>
      </w:r>
      <w:r>
        <w:t>) als übliches Ausweisdokument.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94"/>
        <w:gridCol w:w="3386"/>
      </w:tblGrid>
      <w:tr w:rsidR="00C1548D" w14:paraId="70A4C4A1" w14:textId="77777777">
        <w:tblPrEx>
          <w:tblCellMar>
            <w:top w:w="0" w:type="dxa"/>
            <w:bottom w:w="0" w:type="dxa"/>
          </w:tblCellMar>
        </w:tblPrEx>
        <w:trPr>
          <w:cantSplit/>
          <w:tblHeader/>
        </w:trPr>
        <w:tc>
          <w:tcPr>
            <w:tcW w:w="309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9F" w14:textId="77777777" w:rsidR="00C1548D" w:rsidRDefault="009B1B4B">
            <w:pPr>
              <w:spacing w:line="250" w:lineRule="auto"/>
            </w:pPr>
            <w:r>
              <w:rPr>
                <w:b/>
                <w:bCs/>
                <w:sz w:val="18"/>
                <w:szCs w:val="18"/>
              </w:rPr>
              <w:t>Plus</w:t>
            </w:r>
          </w:p>
        </w:tc>
        <w:tc>
          <w:tcPr>
            <w:tcW w:w="338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A0" w14:textId="77777777" w:rsidR="00C1548D" w:rsidRDefault="009B1B4B">
            <w:pPr>
              <w:spacing w:line="250" w:lineRule="auto"/>
            </w:pPr>
            <w:r>
              <w:rPr>
                <w:b/>
                <w:bCs/>
                <w:sz w:val="18"/>
                <w:szCs w:val="18"/>
              </w:rPr>
              <w:t>Minus</w:t>
            </w:r>
          </w:p>
        </w:tc>
      </w:tr>
      <w:tr w:rsidR="00C1548D" w14:paraId="70A4C4A4" w14:textId="77777777">
        <w:tblPrEx>
          <w:tblCellMar>
            <w:top w:w="0" w:type="dxa"/>
            <w:bottom w:w="0" w:type="dxa"/>
          </w:tblCellMar>
        </w:tblPrEx>
        <w:trPr>
          <w:cantSplit/>
        </w:trPr>
        <w:tc>
          <w:tcPr>
            <w:tcW w:w="3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A2" w14:textId="77777777" w:rsidR="00C1548D" w:rsidRDefault="009B1B4B">
            <w:pPr>
              <w:spacing w:line="250" w:lineRule="auto"/>
            </w:pPr>
            <w:r>
              <w:rPr>
                <w:sz w:val="18"/>
                <w:szCs w:val="18"/>
              </w:rPr>
              <w:t>Freundlicher, lösungsorientierter Kundenservice</w:t>
            </w:r>
          </w:p>
        </w:tc>
        <w:tc>
          <w:tcPr>
            <w:tcW w:w="33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A3" w14:textId="77777777" w:rsidR="00C1548D" w:rsidRDefault="009B1B4B">
            <w:pPr>
              <w:spacing w:line="250" w:lineRule="auto"/>
            </w:pPr>
            <w:r>
              <w:rPr>
                <w:sz w:val="18"/>
                <w:szCs w:val="18"/>
              </w:rPr>
              <w:t>Sales Tax und Trinkgeld addieren real rund 25–30 %</w:t>
            </w:r>
          </w:p>
        </w:tc>
      </w:tr>
      <w:tr w:rsidR="00C1548D" w14:paraId="70A4C4A7" w14:textId="77777777">
        <w:tblPrEx>
          <w:tblCellMar>
            <w:top w:w="0" w:type="dxa"/>
            <w:bottom w:w="0" w:type="dxa"/>
          </w:tblCellMar>
        </w:tblPrEx>
        <w:trPr>
          <w:cantSplit/>
        </w:trPr>
        <w:tc>
          <w:tcPr>
            <w:tcW w:w="3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A5" w14:textId="77777777" w:rsidR="00C1548D" w:rsidRDefault="009B1B4B">
            <w:pPr>
              <w:spacing w:line="250" w:lineRule="auto"/>
            </w:pPr>
            <w:r>
              <w:rPr>
                <w:sz w:val="18"/>
                <w:szCs w:val="18"/>
              </w:rPr>
              <w:t>Großzügige Rückgabefristen bei vielen Ketten</w:t>
            </w:r>
          </w:p>
        </w:tc>
        <w:tc>
          <w:tcPr>
            <w:tcW w:w="33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A6" w14:textId="77777777" w:rsidR="00C1548D" w:rsidRDefault="009B1B4B">
            <w:pPr>
              <w:spacing w:line="250" w:lineRule="auto"/>
            </w:pPr>
            <w:r>
              <w:rPr>
                <w:sz w:val="18"/>
                <w:szCs w:val="18"/>
              </w:rPr>
              <w:t>Ohne Auto ist der Alltag meist nicht zu organisieren</w:t>
            </w:r>
          </w:p>
        </w:tc>
      </w:tr>
      <w:tr w:rsidR="00C1548D" w14:paraId="70A4C4AA" w14:textId="77777777">
        <w:tblPrEx>
          <w:tblCellMar>
            <w:top w:w="0" w:type="dxa"/>
            <w:bottom w:w="0" w:type="dxa"/>
          </w:tblCellMar>
        </w:tblPrEx>
        <w:trPr>
          <w:cantSplit/>
        </w:trPr>
        <w:tc>
          <w:tcPr>
            <w:tcW w:w="3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A8" w14:textId="77777777" w:rsidR="00C1548D" w:rsidRDefault="009B1B4B">
            <w:pPr>
              <w:spacing w:line="250" w:lineRule="auto"/>
            </w:pPr>
            <w:r>
              <w:rPr>
                <w:sz w:val="18"/>
                <w:szCs w:val="18"/>
              </w:rPr>
              <w:t>Keine Meldepflicht, wenig Alltagsbürokratie</w:t>
            </w:r>
          </w:p>
        </w:tc>
        <w:tc>
          <w:tcPr>
            <w:tcW w:w="33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A9" w14:textId="77777777" w:rsidR="00C1548D" w:rsidRDefault="009B1B4B">
            <w:pPr>
              <w:spacing w:line="250" w:lineRule="auto"/>
            </w:pPr>
            <w:r>
              <w:rPr>
                <w:sz w:val="18"/>
                <w:szCs w:val="18"/>
              </w:rPr>
              <w:t>Klagekultur und Haftungsverzichte (</w:t>
            </w:r>
            <w:r>
              <w:rPr>
                <w:i/>
                <w:iCs/>
                <w:sz w:val="18"/>
                <w:szCs w:val="18"/>
              </w:rPr>
              <w:t>Waivers</w:t>
            </w:r>
            <w:r>
              <w:rPr>
                <w:sz w:val="18"/>
                <w:szCs w:val="18"/>
              </w:rPr>
              <w:t>)</w:t>
            </w:r>
          </w:p>
        </w:tc>
      </w:tr>
    </w:tbl>
    <w:p w14:paraId="70A4C4AB" w14:textId="77777777" w:rsidR="00C1548D" w:rsidRDefault="00C1548D">
      <w:pPr>
        <w:spacing w:line="180" w:lineRule="exact"/>
      </w:pPr>
    </w:p>
    <w:p w14:paraId="70A4C4AC" w14:textId="474EE27E" w:rsidR="00C1548D" w:rsidRDefault="009B1B4B">
      <w:pPr>
        <w:spacing w:after="140"/>
      </w:pPr>
      <w:r>
        <w:t>Umgangsformen, Trinkgeld und Auto: Kapitel </w:t>
      </w:r>
      <w:hyperlink w:anchor="k27" w:history="1">
        <w:r>
          <w:t>27</w:t>
        </w:r>
      </w:hyperlink>
      <w:r>
        <w:t xml:space="preserve"> und </w:t>
      </w:r>
      <w:hyperlink w:anchor="k31" w:history="1">
        <w:r>
          <w:t>31</w:t>
        </w:r>
      </w:hyperlink>
      <w:r>
        <w:t>.</w:t>
      </w:r>
    </w:p>
    <w:p w14:paraId="70A4C4AD" w14:textId="77777777" w:rsidR="00C1548D" w:rsidRDefault="009B1B4B">
      <w:pPr>
        <w:pStyle w:val="Heading3"/>
        <w:keepNext/>
        <w:jc w:val="center"/>
      </w:pPr>
      <w:r>
        <w:rPr>
          <w:rFonts w:ascii="Amazon Ember" w:eastAsia="Amazon Ember" w:hAnsi="Amazon Ember" w:cs="Amazon Ember"/>
          <w:color w:val="0000FF"/>
          <w:sz w:val="36"/>
          <w:szCs w:val="36"/>
        </w:rPr>
        <w:lastRenderedPageBreak/>
        <w:t>Familie, Kinder und Schule</w:t>
      </w:r>
    </w:p>
    <w:p w14:paraId="70A4C4AE" w14:textId="0461AC43" w:rsidR="00C1548D" w:rsidRDefault="009B1B4B">
      <w:pPr>
        <w:spacing w:after="140"/>
      </w:pPr>
      <w:r>
        <w:t>Öffentliche Schulen sind kostenlos, verlangen weder Sozialversicherungsnummer noch Statusnachweis, bieten an der High School ein großes Kurswahlangebot und laufen bis in den Nachmittag mit Sport und Clubs an der Schule (Kapitel </w:t>
      </w:r>
      <w:hyperlink w:anchor="k36" w:history="1">
        <w:r>
          <w:t>36</w:t>
        </w:r>
      </w:hyperlink>
      <w:r>
        <w:t>). Der Haken: Die Adresse bestimmt die Schule, deren Qualität stark an der örtlichen Grundsteuer hängt – gefragte Schulbezirke kosten beim Kauf oder Mieten spürbar mehr. Sommerferien dauern 10 bis 12 Wochen statt sechs, Lockdown-Übungen gehören zum Schulalltag, und ein Umzug in den letzten beiden High-School-Jahren ist schwierig, weil das amerikanische Abschlusszeugnis nicht automatisch dem Abitur entspricht.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12"/>
        <w:gridCol w:w="3268"/>
      </w:tblGrid>
      <w:tr w:rsidR="00C1548D" w14:paraId="70A4C4B1" w14:textId="77777777">
        <w:tblPrEx>
          <w:tblCellMar>
            <w:top w:w="0" w:type="dxa"/>
            <w:bottom w:w="0" w:type="dxa"/>
          </w:tblCellMar>
        </w:tblPrEx>
        <w:trPr>
          <w:cantSplit/>
          <w:tblHeader/>
        </w:trPr>
        <w:tc>
          <w:tcPr>
            <w:tcW w:w="321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AF" w14:textId="77777777" w:rsidR="00C1548D" w:rsidRDefault="009B1B4B">
            <w:pPr>
              <w:spacing w:line="250" w:lineRule="auto"/>
            </w:pPr>
            <w:r>
              <w:rPr>
                <w:b/>
                <w:bCs/>
                <w:sz w:val="18"/>
                <w:szCs w:val="18"/>
              </w:rPr>
              <w:t>Plus</w:t>
            </w:r>
          </w:p>
        </w:tc>
        <w:tc>
          <w:tcPr>
            <w:tcW w:w="326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B0" w14:textId="77777777" w:rsidR="00C1548D" w:rsidRDefault="009B1B4B">
            <w:pPr>
              <w:spacing w:line="250" w:lineRule="auto"/>
            </w:pPr>
            <w:r>
              <w:rPr>
                <w:b/>
                <w:bCs/>
                <w:sz w:val="18"/>
                <w:szCs w:val="18"/>
              </w:rPr>
              <w:t>Minus</w:t>
            </w:r>
          </w:p>
        </w:tc>
      </w:tr>
      <w:tr w:rsidR="00C1548D" w14:paraId="70A4C4B4" w14:textId="77777777">
        <w:tblPrEx>
          <w:tblCellMar>
            <w:top w:w="0" w:type="dxa"/>
            <w:bottom w:w="0" w:type="dxa"/>
          </w:tblCellMar>
        </w:tblPrEx>
        <w:trPr>
          <w:cantSplit/>
        </w:trPr>
        <w:tc>
          <w:tcPr>
            <w:tcW w:w="32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B2" w14:textId="77777777" w:rsidR="00C1548D" w:rsidRDefault="009B1B4B">
            <w:pPr>
              <w:spacing w:line="250" w:lineRule="auto"/>
            </w:pPr>
            <w:r>
              <w:rPr>
                <w:sz w:val="18"/>
                <w:szCs w:val="18"/>
              </w:rPr>
              <w:t>Kostenlose öffentliche Schulen, keine SSN nötig</w:t>
            </w:r>
          </w:p>
        </w:tc>
        <w:tc>
          <w:tcPr>
            <w:tcW w:w="32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B3" w14:textId="77777777" w:rsidR="00C1548D" w:rsidRDefault="009B1B4B">
            <w:pPr>
              <w:spacing w:line="250" w:lineRule="auto"/>
            </w:pPr>
            <w:r>
              <w:rPr>
                <w:sz w:val="18"/>
                <w:szCs w:val="18"/>
              </w:rPr>
              <w:t>Schulqualität hängt am Wohnort und an der Grundsteuer</w:t>
            </w:r>
          </w:p>
        </w:tc>
      </w:tr>
      <w:tr w:rsidR="00C1548D" w14:paraId="70A4C4B7" w14:textId="77777777">
        <w:tblPrEx>
          <w:tblCellMar>
            <w:top w:w="0" w:type="dxa"/>
            <w:bottom w:w="0" w:type="dxa"/>
          </w:tblCellMar>
        </w:tblPrEx>
        <w:trPr>
          <w:cantSplit/>
        </w:trPr>
        <w:tc>
          <w:tcPr>
            <w:tcW w:w="32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B5" w14:textId="77777777" w:rsidR="00C1548D" w:rsidRDefault="009B1B4B">
            <w:pPr>
              <w:spacing w:line="250" w:lineRule="auto"/>
            </w:pPr>
            <w:r>
              <w:rPr>
                <w:sz w:val="18"/>
                <w:szCs w:val="18"/>
              </w:rPr>
              <w:t>Breites Kursangebot, Sport und Clubs an der Schule</w:t>
            </w:r>
          </w:p>
        </w:tc>
        <w:tc>
          <w:tcPr>
            <w:tcW w:w="32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B6" w14:textId="77777777" w:rsidR="00C1548D" w:rsidRDefault="009B1B4B">
            <w:pPr>
              <w:spacing w:line="250" w:lineRule="auto"/>
            </w:pPr>
            <w:r>
              <w:rPr>
                <w:sz w:val="18"/>
                <w:szCs w:val="18"/>
              </w:rPr>
              <w:t>10–12 Wochen Sommerferien: Betreuung kostet extra</w:t>
            </w:r>
          </w:p>
        </w:tc>
      </w:tr>
      <w:tr w:rsidR="00C1548D" w14:paraId="70A4C4BA" w14:textId="77777777">
        <w:tblPrEx>
          <w:tblCellMar>
            <w:top w:w="0" w:type="dxa"/>
            <w:bottom w:w="0" w:type="dxa"/>
          </w:tblCellMar>
        </w:tblPrEx>
        <w:trPr>
          <w:cantSplit/>
        </w:trPr>
        <w:tc>
          <w:tcPr>
            <w:tcW w:w="32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B8" w14:textId="77777777" w:rsidR="00C1548D" w:rsidRDefault="009B1B4B">
            <w:pPr>
              <w:spacing w:line="250" w:lineRule="auto"/>
            </w:pPr>
            <w:r>
              <w:rPr>
                <w:sz w:val="18"/>
                <w:szCs w:val="18"/>
              </w:rPr>
              <w:t>Gemeinsamer Schulweg statt früher Aufteilung nach Klasse 4</w:t>
            </w:r>
          </w:p>
        </w:tc>
        <w:tc>
          <w:tcPr>
            <w:tcW w:w="32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B9" w14:textId="77777777" w:rsidR="00C1548D" w:rsidRDefault="009B1B4B">
            <w:pPr>
              <w:spacing w:line="250" w:lineRule="auto"/>
            </w:pPr>
            <w:r>
              <w:rPr>
                <w:sz w:val="18"/>
                <w:szCs w:val="18"/>
              </w:rPr>
              <w:t>Umzug kurz vor dem Abschluss schwierig; Diploma ist nicht das Abitur</w:t>
            </w:r>
          </w:p>
        </w:tc>
      </w:tr>
    </w:tbl>
    <w:p w14:paraId="70A4C4BB" w14:textId="77777777" w:rsidR="00C1548D" w:rsidRDefault="00C1548D">
      <w:pPr>
        <w:spacing w:line="180" w:lineRule="exact"/>
      </w:pPr>
    </w:p>
    <w:p w14:paraId="70A4C4BC" w14:textId="0B1931A0" w:rsidR="00C1548D" w:rsidRDefault="009B1B4B">
      <w:pPr>
        <w:spacing w:after="140"/>
      </w:pPr>
      <w:r>
        <w:t>Schulwahl, Anmeldung, Sprache: Kapitel </w:t>
      </w:r>
      <w:hyperlink w:anchor="k36" w:history="1">
        <w:r>
          <w:t>36</w:t>
        </w:r>
      </w:hyperlink>
      <w:r>
        <w:t xml:space="preserve"> bis </w:t>
      </w:r>
      <w:hyperlink w:anchor="k38" w:history="1">
        <w:r>
          <w:t>38</w:t>
        </w:r>
      </w:hyperlink>
      <w:r>
        <w:t>.</w:t>
      </w:r>
    </w:p>
    <w:p w14:paraId="70A4C4BD" w14:textId="77777777" w:rsidR="00C1548D" w:rsidRDefault="009B1B4B">
      <w:pPr>
        <w:pStyle w:val="Heading3"/>
        <w:keepNext/>
        <w:jc w:val="center"/>
      </w:pPr>
      <w:r>
        <w:rPr>
          <w:rFonts w:ascii="Amazon Ember" w:eastAsia="Amazon Ember" w:hAnsi="Amazon Ember" w:cs="Amazon Ember"/>
          <w:color w:val="0000FF"/>
          <w:sz w:val="36"/>
          <w:szCs w:val="36"/>
        </w:rPr>
        <w:t>Natur und Klima</w:t>
      </w:r>
    </w:p>
    <w:p w14:paraId="70A4C4BE" w14:textId="6E469309" w:rsidR="00C1548D" w:rsidRDefault="009B1B4B">
      <w:pPr>
        <w:spacing w:after="140"/>
      </w:pPr>
      <w:r>
        <w:t>Kaum ein Land bietet so viel klimatische und landschaftliche Auswahl: von Wüstenhitze in Phoenix über milde Küsten in Kalifornien bis zu Winterstürmen im Mittleren Westen ist für jeden Geschmack etwas dabei – du kannst den Wohnort bewusst danach wählen (Kapitel </w:t>
      </w:r>
      <w:hyperlink w:anchor="k12" w:history="1">
        <w:r>
          <w:t>12</w:t>
        </w:r>
      </w:hyperlink>
      <w:r>
        <w:t xml:space="preserve">). Der Preis dieser Vielfalt: ein reales Naturgefahren-Risiko, das jede Metropolregion unterschiedlich trifft – Hurrikane an der Golfküste, Waldbrände in Kalifornien und Colorado, Erdbeben an der Westküste, Tornados im mittleren Süden, extreme Hitze in Phoenix und Houston. Das schlägt sich direkt in der Hausversicherung nieder: 300.000 $ Deckung kosten in Florida im </w:t>
      </w:r>
      <w:r>
        <w:lastRenderedPageBreak/>
        <w:t>Schnitt 6.432 $ im Jahr, in Kalifornien 2.040 $ (Kapitel </w:t>
      </w:r>
      <w:hyperlink w:anchor="k12" w:history="1">
        <w:r>
          <w:t>12</w:t>
        </w:r>
      </w:hyperlink>
      <w:r>
        <w:t>, Kapitel </w:t>
      </w:r>
      <w:hyperlink w:anchor="k14" w:history="1">
        <w:r>
          <w:t>14</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2"/>
        <w:gridCol w:w="3578"/>
      </w:tblGrid>
      <w:tr w:rsidR="00C1548D" w14:paraId="70A4C4C1" w14:textId="77777777">
        <w:tblPrEx>
          <w:tblCellMar>
            <w:top w:w="0" w:type="dxa"/>
            <w:bottom w:w="0" w:type="dxa"/>
          </w:tblCellMar>
        </w:tblPrEx>
        <w:trPr>
          <w:cantSplit/>
          <w:tblHeader/>
        </w:trPr>
        <w:tc>
          <w:tcPr>
            <w:tcW w:w="290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BF" w14:textId="77777777" w:rsidR="00C1548D" w:rsidRDefault="009B1B4B">
            <w:pPr>
              <w:spacing w:line="250" w:lineRule="auto"/>
            </w:pPr>
            <w:r>
              <w:rPr>
                <w:b/>
                <w:bCs/>
                <w:sz w:val="18"/>
                <w:szCs w:val="18"/>
              </w:rPr>
              <w:t>Plus</w:t>
            </w:r>
          </w:p>
        </w:tc>
        <w:tc>
          <w:tcPr>
            <w:tcW w:w="357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C0" w14:textId="77777777" w:rsidR="00C1548D" w:rsidRDefault="009B1B4B">
            <w:pPr>
              <w:spacing w:line="250" w:lineRule="auto"/>
            </w:pPr>
            <w:r>
              <w:rPr>
                <w:b/>
                <w:bCs/>
                <w:sz w:val="18"/>
                <w:szCs w:val="18"/>
              </w:rPr>
              <w:t>Minus</w:t>
            </w:r>
          </w:p>
        </w:tc>
      </w:tr>
      <w:tr w:rsidR="00C1548D" w14:paraId="70A4C4C4" w14:textId="77777777">
        <w:tblPrEx>
          <w:tblCellMar>
            <w:top w:w="0" w:type="dxa"/>
            <w:bottom w:w="0" w:type="dxa"/>
          </w:tblCellMar>
        </w:tblPrEx>
        <w:trPr>
          <w:cantSplit/>
        </w:trPr>
        <w:tc>
          <w:tcPr>
            <w:tcW w:w="29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C2" w14:textId="77777777" w:rsidR="00C1548D" w:rsidRDefault="009B1B4B">
            <w:pPr>
              <w:spacing w:line="250" w:lineRule="auto"/>
            </w:pPr>
            <w:r>
              <w:rPr>
                <w:sz w:val="18"/>
                <w:szCs w:val="18"/>
              </w:rPr>
              <w:t>Große Auswahl an Klima und Landschaft</w:t>
            </w:r>
          </w:p>
        </w:tc>
        <w:tc>
          <w:tcPr>
            <w:tcW w:w="35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C3" w14:textId="77777777" w:rsidR="00C1548D" w:rsidRDefault="009B1B4B">
            <w:pPr>
              <w:spacing w:line="250" w:lineRule="auto"/>
            </w:pPr>
            <w:r>
              <w:rPr>
                <w:sz w:val="18"/>
                <w:szCs w:val="18"/>
              </w:rPr>
              <w:t>Reale Risiken: Hurrikan, Waldbrand, Erdbeben, Tornado, Hitze</w:t>
            </w:r>
          </w:p>
        </w:tc>
      </w:tr>
      <w:tr w:rsidR="00C1548D" w14:paraId="70A4C4C7" w14:textId="77777777">
        <w:tblPrEx>
          <w:tblCellMar>
            <w:top w:w="0" w:type="dxa"/>
            <w:bottom w:w="0" w:type="dxa"/>
          </w:tblCellMar>
        </w:tblPrEx>
        <w:trPr>
          <w:cantSplit/>
        </w:trPr>
        <w:tc>
          <w:tcPr>
            <w:tcW w:w="29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C5" w14:textId="77777777" w:rsidR="00C1548D" w:rsidRDefault="009B1B4B">
            <w:pPr>
              <w:spacing w:line="250" w:lineRule="auto"/>
            </w:pPr>
            <w:r>
              <w:rPr>
                <w:sz w:val="18"/>
                <w:szCs w:val="18"/>
              </w:rPr>
              <w:t>Bewusste Wahl von warm bis vier Jahreszeiten möglich</w:t>
            </w:r>
          </w:p>
        </w:tc>
        <w:tc>
          <w:tcPr>
            <w:tcW w:w="35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C6" w14:textId="77777777" w:rsidR="00C1548D" w:rsidRDefault="009B1B4B">
            <w:pPr>
              <w:spacing w:line="250" w:lineRule="auto"/>
            </w:pPr>
            <w:r>
              <w:rPr>
                <w:sz w:val="18"/>
                <w:szCs w:val="18"/>
              </w:rPr>
              <w:t>Hausversicherung teils drei- bis vierfach so teuer wie anderswo</w:t>
            </w:r>
          </w:p>
        </w:tc>
      </w:tr>
    </w:tbl>
    <w:p w14:paraId="70A4C4C8" w14:textId="77777777" w:rsidR="00C1548D" w:rsidRDefault="00C1548D">
      <w:pPr>
        <w:spacing w:line="180" w:lineRule="exact"/>
      </w:pPr>
    </w:p>
    <w:p w14:paraId="70A4C4C9" w14:textId="6B64139D" w:rsidR="00C1548D" w:rsidRDefault="009B1B4B">
      <w:pPr>
        <w:spacing w:after="140"/>
      </w:pPr>
      <w:r>
        <w:t>Regionale Risikoprofile: Kapitel </w:t>
      </w:r>
      <w:hyperlink w:anchor="k12" w:history="1">
        <w:r>
          <w:t>12</w:t>
        </w:r>
      </w:hyperlink>
      <w:r>
        <w:t>; Versicherbarkeit beim Kauf: Kapitel </w:t>
      </w:r>
      <w:hyperlink w:anchor="k14" w:history="1">
        <w:r>
          <w:t>14</w:t>
        </w:r>
      </w:hyperlink>
      <w:r>
        <w:t>.</w:t>
      </w:r>
    </w:p>
    <w:p w14:paraId="70A4C4CA" w14:textId="77777777" w:rsidR="00C1548D" w:rsidRDefault="009B1B4B">
      <w:pPr>
        <w:pStyle w:val="Heading3"/>
        <w:keepNext/>
        <w:jc w:val="center"/>
      </w:pPr>
      <w:r>
        <w:rPr>
          <w:rFonts w:ascii="Amazon Ember" w:eastAsia="Amazon Ember" w:hAnsi="Amazon Ember" w:cs="Amazon Ember"/>
          <w:color w:val="0000FF"/>
          <w:sz w:val="36"/>
          <w:szCs w:val="36"/>
        </w:rPr>
        <w:t>Gesellschaft und Politik</w:t>
      </w:r>
    </w:p>
    <w:p w14:paraId="70A4C4CB" w14:textId="79356C01" w:rsidR="00C1548D" w:rsidRDefault="009B1B4B">
      <w:pPr>
        <w:spacing w:after="140"/>
      </w:pPr>
      <w:r>
        <w:t>Alltägliche Freundlichkeit fällt Deutschen oft leicht: offene Gespräche mit Fremden, große Toleranz gegenüber Akzenten und Zuwanderung, starkes Ehrenamt (Kapitel </w:t>
      </w:r>
      <w:hyperlink w:anchor="k31" w:history="1">
        <w:r>
          <w:t>31</w:t>
        </w:r>
      </w:hyperlink>
      <w:r>
        <w:t>) – bleibt aber oft oberflächlich, denn echte Freundschaften brauchen hier mehr Zeit als in Deutschland (Kapitel </w:t>
      </w:r>
      <w:hyperlink w:anchor="k32" w:history="1">
        <w:r>
          <w:t>32</w:t>
        </w:r>
      </w:hyperlink>
      <w:r>
        <w:t>). Politisch ist die Gesellschaft stärker polarisiert, als die meisten Deutschen es kennen; das Buch bewertet das nicht, nennt aber die Folgen: Waffen, Wahlen oder Gesundheitspolitik sind bei Fremden kein Small Talk, und als Nichtstaatsbürger unterliegst du zusätzlichen Einschränkungen, etwa bei Waffenbesitz und Wahlspenden (Kapitel </w:t>
      </w:r>
      <w:hyperlink w:anchor="k31" w:history="1">
        <w:r>
          <w:t>31</w:t>
        </w:r>
      </w:hyperlink>
      <w:r>
        <w:t>, Kapitel </w:t>
      </w:r>
      <w:hyperlink w:anchor="k40" w:history="1">
        <w:r>
          <w:t>40</w:t>
        </w:r>
      </w:hyperlink>
      <w:r>
        <w:t>). Dazu kommt echter Föderalismus: 50 Bundesstaaten, 50 Regelwerke, von der Verkaufssteuer bis zum Wettbewerbsverbot im Arbeitsvertrag. Religion und Staat sind strikt getrennt, eine Kirchensteuer gibt es nicht, und Vielfalt ist in den meisten Metropolregionen Alltag: Ein deutscher Akzent fällt dort kaum auf.</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70"/>
        <w:gridCol w:w="3410"/>
      </w:tblGrid>
      <w:tr w:rsidR="00C1548D" w14:paraId="70A4C4CE" w14:textId="77777777">
        <w:tblPrEx>
          <w:tblCellMar>
            <w:top w:w="0" w:type="dxa"/>
            <w:bottom w:w="0" w:type="dxa"/>
          </w:tblCellMar>
        </w:tblPrEx>
        <w:trPr>
          <w:cantSplit/>
          <w:tblHeader/>
        </w:trPr>
        <w:tc>
          <w:tcPr>
            <w:tcW w:w="30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CC" w14:textId="77777777" w:rsidR="00C1548D" w:rsidRDefault="009B1B4B">
            <w:pPr>
              <w:spacing w:line="250" w:lineRule="auto"/>
            </w:pPr>
            <w:r>
              <w:rPr>
                <w:b/>
                <w:bCs/>
                <w:sz w:val="18"/>
                <w:szCs w:val="18"/>
              </w:rPr>
              <w:t>Plus</w:t>
            </w:r>
          </w:p>
        </w:tc>
        <w:tc>
          <w:tcPr>
            <w:tcW w:w="34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CD" w14:textId="77777777" w:rsidR="00C1548D" w:rsidRDefault="009B1B4B">
            <w:pPr>
              <w:spacing w:line="250" w:lineRule="auto"/>
            </w:pPr>
            <w:r>
              <w:rPr>
                <w:b/>
                <w:bCs/>
                <w:sz w:val="18"/>
                <w:szCs w:val="18"/>
              </w:rPr>
              <w:t>Minus</w:t>
            </w:r>
          </w:p>
        </w:tc>
      </w:tr>
      <w:tr w:rsidR="00C1548D" w14:paraId="70A4C4D1" w14:textId="77777777">
        <w:tblPrEx>
          <w:tblCellMar>
            <w:top w:w="0" w:type="dxa"/>
            <w:bottom w:w="0" w:type="dxa"/>
          </w:tblCellMar>
        </w:tblPrEx>
        <w:trPr>
          <w:cantSplit/>
        </w:trPr>
        <w:tc>
          <w:tcPr>
            <w:tcW w:w="30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CF" w14:textId="77777777" w:rsidR="00C1548D" w:rsidRDefault="009B1B4B">
            <w:pPr>
              <w:spacing w:line="250" w:lineRule="auto"/>
            </w:pPr>
            <w:r>
              <w:rPr>
                <w:sz w:val="18"/>
                <w:szCs w:val="18"/>
              </w:rPr>
              <w:t>Offene Alltagskultur, hohe Toleranz gegenüber Zuwanderung</w:t>
            </w:r>
          </w:p>
        </w:tc>
        <w:tc>
          <w:tcPr>
            <w:tcW w:w="34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D0" w14:textId="77777777" w:rsidR="00C1548D" w:rsidRDefault="009B1B4B">
            <w:pPr>
              <w:spacing w:line="250" w:lineRule="auto"/>
            </w:pPr>
            <w:r>
              <w:rPr>
                <w:sz w:val="18"/>
                <w:szCs w:val="18"/>
              </w:rPr>
              <w:t>Politische Polarisierung prägt viele Gespräche</w:t>
            </w:r>
          </w:p>
        </w:tc>
      </w:tr>
      <w:tr w:rsidR="00C1548D" w14:paraId="70A4C4D4" w14:textId="77777777">
        <w:tblPrEx>
          <w:tblCellMar>
            <w:top w:w="0" w:type="dxa"/>
            <w:bottom w:w="0" w:type="dxa"/>
          </w:tblCellMar>
        </w:tblPrEx>
        <w:trPr>
          <w:cantSplit/>
        </w:trPr>
        <w:tc>
          <w:tcPr>
            <w:tcW w:w="30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D2" w14:textId="77777777" w:rsidR="00C1548D" w:rsidRDefault="009B1B4B">
            <w:pPr>
              <w:spacing w:line="250" w:lineRule="auto"/>
            </w:pPr>
            <w:r>
              <w:rPr>
                <w:sz w:val="18"/>
                <w:szCs w:val="18"/>
              </w:rPr>
              <w:t>Starkes Ehrenamt und Nachbarschaftshilfe</w:t>
            </w:r>
          </w:p>
        </w:tc>
        <w:tc>
          <w:tcPr>
            <w:tcW w:w="34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D3" w14:textId="77777777" w:rsidR="00C1548D" w:rsidRDefault="009B1B4B">
            <w:pPr>
              <w:spacing w:line="250" w:lineRule="auto"/>
            </w:pPr>
            <w:r>
              <w:rPr>
                <w:sz w:val="18"/>
                <w:szCs w:val="18"/>
              </w:rPr>
              <w:t>Als Nichtstaatsbürger: Grenzen bei Waffen und Wahlspenden</w:t>
            </w:r>
          </w:p>
        </w:tc>
      </w:tr>
      <w:tr w:rsidR="00C1548D" w14:paraId="70A4C4D7" w14:textId="77777777">
        <w:tblPrEx>
          <w:tblCellMar>
            <w:top w:w="0" w:type="dxa"/>
            <w:bottom w:w="0" w:type="dxa"/>
          </w:tblCellMar>
        </w:tblPrEx>
        <w:trPr>
          <w:cantSplit/>
        </w:trPr>
        <w:tc>
          <w:tcPr>
            <w:tcW w:w="30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D5" w14:textId="77777777" w:rsidR="00C1548D" w:rsidRDefault="009B1B4B">
            <w:pPr>
              <w:spacing w:line="250" w:lineRule="auto"/>
            </w:pPr>
            <w:r>
              <w:rPr>
                <w:sz w:val="18"/>
                <w:szCs w:val="18"/>
              </w:rPr>
              <w:t>Direkte, schnelle Kontakte im Alltag</w:t>
            </w:r>
          </w:p>
        </w:tc>
        <w:tc>
          <w:tcPr>
            <w:tcW w:w="34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D6" w14:textId="77777777" w:rsidR="00C1548D" w:rsidRDefault="009B1B4B">
            <w:pPr>
              <w:spacing w:line="250" w:lineRule="auto"/>
            </w:pPr>
            <w:r>
              <w:rPr>
                <w:sz w:val="18"/>
                <w:szCs w:val="18"/>
              </w:rPr>
              <w:t>50 Bundesstaaten, 50 Regelwerke – wenig Einheitlichkeit</w:t>
            </w:r>
          </w:p>
        </w:tc>
      </w:tr>
    </w:tbl>
    <w:p w14:paraId="70A4C4D8" w14:textId="77777777" w:rsidR="00C1548D" w:rsidRDefault="00C1548D">
      <w:pPr>
        <w:spacing w:line="180" w:lineRule="exact"/>
      </w:pPr>
    </w:p>
    <w:p w14:paraId="70A4C4D9" w14:textId="0BF929B3" w:rsidR="00C1548D" w:rsidRDefault="009B1B4B">
      <w:pPr>
        <w:spacing w:after="140"/>
      </w:pPr>
      <w:r>
        <w:t>Umgangsformen: Kapitel </w:t>
      </w:r>
      <w:hyperlink w:anchor="k31" w:history="1">
        <w:r>
          <w:t>31</w:t>
        </w:r>
      </w:hyperlink>
      <w:r>
        <w:t>; Recht im Alltag: Kapitel </w:t>
      </w:r>
      <w:hyperlink w:anchor="k40" w:history="1">
        <w:r>
          <w:t>40</w:t>
        </w:r>
      </w:hyperlink>
      <w:r>
        <w:t>.</w:t>
      </w:r>
    </w:p>
    <w:p w14:paraId="70A4C4DA" w14:textId="77777777" w:rsidR="00C1548D" w:rsidRDefault="009B1B4B">
      <w:pPr>
        <w:pStyle w:val="Heading3"/>
        <w:keepNext/>
        <w:jc w:val="center"/>
      </w:pPr>
      <w:r>
        <w:rPr>
          <w:rFonts w:ascii="Amazon Ember" w:eastAsia="Amazon Ember" w:hAnsi="Amazon Ember" w:cs="Amazon Ember"/>
          <w:color w:val="0000FF"/>
          <w:sz w:val="36"/>
          <w:szCs w:val="36"/>
        </w:rPr>
        <w:t>Sicherheit</w:t>
      </w:r>
    </w:p>
    <w:p w14:paraId="70A4C4DB" w14:textId="6C363EA1" w:rsidR="00C1548D" w:rsidRDefault="009B1B4B">
      <w:pPr>
        <w:spacing w:after="140"/>
      </w:pPr>
      <w: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 gesamtstaatlich ein deutlicher Unterschied. Diese Zahl verdeckt enorme regionale Unterschiede: Sicherheit hängt in den USA stärker als in Deutschland vom Viertel, der Stadt und dem Bun</w:t>
      </w:r>
      <w:r>
        <w:t>desstaat ab, nicht vom Landesdurchschnitt. Waffenrecht ist zudem Ländersache: In mehr als der Hälfte der Bundesstaaten darf man ohne Erlaubnisschein verdeckt eine Waffe tragen (</w:t>
      </w:r>
      <w:r>
        <w:t>Kapitel </w:t>
      </w:r>
      <w:hyperlink w:anchor="k31" w:history="1">
        <w:r>
          <w:t>31</w:t>
        </w:r>
      </w:hyperlink>
      <w:r>
        <w:t>, Kapitel </w:t>
      </w:r>
      <w:hyperlink w:anchor="k40" w:history="1">
        <w:r>
          <w:t>40</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4DE"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DC"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DD" w14:textId="77777777" w:rsidR="00C1548D" w:rsidRDefault="009B1B4B">
            <w:pPr>
              <w:spacing w:line="250" w:lineRule="auto"/>
            </w:pPr>
            <w:r>
              <w:rPr>
                <w:b/>
                <w:bCs/>
                <w:sz w:val="18"/>
                <w:szCs w:val="18"/>
              </w:rPr>
              <w:t>Minus</w:t>
            </w:r>
          </w:p>
        </w:tc>
      </w:tr>
      <w:tr w:rsidR="00C1548D" w14:paraId="70A4C4E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DF" w14:textId="77777777" w:rsidR="00C1548D" w:rsidRDefault="009B1B4B">
            <w:pPr>
              <w:spacing w:line="250" w:lineRule="auto"/>
            </w:pPr>
            <w:r>
              <w:rPr>
                <w:sz w:val="18"/>
                <w:szCs w:val="18"/>
              </w:rPr>
              <w:t>Viele Vororte und Kleinstädte mit sehr niedriger Kriminalität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E0" w14:textId="77777777" w:rsidR="00C1548D" w:rsidRDefault="009B1B4B">
            <w:pPr>
              <w:spacing w:line="250" w:lineRule="auto"/>
            </w:pPr>
            <w:r>
              <w:rPr>
                <w:sz w:val="18"/>
                <w:szCs w:val="18"/>
              </w:rPr>
              <w:t>Landesweite Tötungsrate rund sechsmal höher als in Deutschland</w:t>
            </w:r>
          </w:p>
        </w:tc>
      </w:tr>
      <w:tr w:rsidR="00C1548D" w14:paraId="70A4C4E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E2" w14:textId="77777777" w:rsidR="00C1548D" w:rsidRDefault="009B1B4B">
            <w:pPr>
              <w:spacing w:line="250" w:lineRule="auto"/>
            </w:pPr>
            <w:r>
              <w:rPr>
                <w:sz w:val="18"/>
                <w:szCs w:val="18"/>
              </w:rPr>
              <w:t>Community-Polizeiarbeit und Nachbarschaftsnetzwerke verbreitet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E3" w14:textId="77777777" w:rsidR="00C1548D" w:rsidRDefault="009B1B4B">
            <w:pPr>
              <w:spacing w:line="250" w:lineRule="auto"/>
            </w:pPr>
            <w:r>
              <w:rPr>
                <w:sz w:val="18"/>
                <w:szCs w:val="18"/>
              </w:rPr>
              <w:t>Waffenrecht ist Ländersache und stark uneinheitlich</w:t>
            </w:r>
          </w:p>
        </w:tc>
      </w:tr>
    </w:tbl>
    <w:p w14:paraId="70A4C4E5" w14:textId="77777777" w:rsidR="00C1548D" w:rsidRDefault="00C1548D">
      <w:pPr>
        <w:spacing w:line="180" w:lineRule="exact"/>
      </w:pPr>
    </w:p>
    <w:p w14:paraId="70A4C4E6" w14:textId="3C1A4492" w:rsidR="00C1548D" w:rsidRDefault="009B1B4B">
      <w:pPr>
        <w:spacing w:after="140"/>
      </w:pPr>
      <w:r>
        <w:t>Praktische Folgen für Nachbarschaft, Kinder und Alltag: Kapitel </w:t>
      </w:r>
      <w:hyperlink w:anchor="k40" w:history="1">
        <w:r>
          <w:t>40</w:t>
        </w:r>
      </w:hyperlink>
      <w:r>
        <w:t>.</w:t>
      </w:r>
    </w:p>
    <w:p w14:paraId="70A4C4E7" w14:textId="77777777" w:rsidR="00C1548D" w:rsidRDefault="009B1B4B">
      <w:pPr>
        <w:pStyle w:val="Heading3"/>
        <w:keepNext/>
        <w:jc w:val="center"/>
      </w:pPr>
      <w:r>
        <w:rPr>
          <w:rFonts w:ascii="Amazon Ember" w:eastAsia="Amazon Ember" w:hAnsi="Amazon Ember" w:cs="Amazon Ember"/>
          <w:color w:val="0000FF"/>
          <w:sz w:val="36"/>
          <w:szCs w:val="36"/>
        </w:rPr>
        <w:t>Nähe zur Heimat</w:t>
      </w:r>
    </w:p>
    <w:p w14:paraId="70A4C4E8" w14:textId="1A4D7C07" w:rsidR="00C1548D" w:rsidRDefault="009B1B4B">
      <w:pPr>
        <w:spacing w:after="140"/>
      </w:pPr>
      <w:r>
        <w:t>Die Entfernung ist die Konstante, die sich nicht wegrechnen lässt: Ein Flug nach Deutschland dauert von den meisten Zielorten 8 bis 11 Stunden, dazu kommt die Zeitverschiebung. Wer im Großraum einer der Nonstop-Städte landet – etwa Atlanta, Boston, Chicago, Detroit, New York, Charlotte oder Raleigh–Durham –, spart Umsteigezeit und Stress; ohne Nonstop-Verbindung, etwa ab Phoenix oder Columbus, wird jede Reise zur Tagesangelegenheit (Kapitel </w:t>
      </w:r>
      <w:hyperlink w:anchor="k12" w:history="1">
        <w:r>
          <w:t>12</w:t>
        </w:r>
      </w:hyperlink>
      <w:r>
        <w:t xml:space="preserve">). Deutsche Auslandsschulen, Konsulate und Goethe-Institute konzentrieren sich auf wenige Großräume; abseits davon bleibt die deutsche Community klein. Kurzfristige Besuche bei </w:t>
      </w:r>
      <w:r>
        <w:lastRenderedPageBreak/>
        <w:t>Krankheit oder einem Notfall sind teuer und aufwendig – ein Punkt, den viele erst nach dem Umzug wirklich spüren (Kapitel </w:t>
      </w:r>
      <w:hyperlink w:anchor="k32" w:history="1">
        <w:r>
          <w:t>32</w:t>
        </w:r>
      </w:hyperlink>
      <w:r>
        <w:t>, Kapitel </w:t>
      </w:r>
      <w:hyperlink w:anchor="k33" w:history="1">
        <w:r>
          <w:t>33</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27"/>
        <w:gridCol w:w="3153"/>
      </w:tblGrid>
      <w:tr w:rsidR="00C1548D" w14:paraId="70A4C4EB" w14:textId="77777777">
        <w:tblPrEx>
          <w:tblCellMar>
            <w:top w:w="0" w:type="dxa"/>
            <w:bottom w:w="0" w:type="dxa"/>
          </w:tblCellMar>
        </w:tblPrEx>
        <w:trPr>
          <w:cantSplit/>
          <w:tblHeader/>
        </w:trPr>
        <w:tc>
          <w:tcPr>
            <w:tcW w:w="332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E9" w14:textId="77777777" w:rsidR="00C1548D" w:rsidRDefault="009B1B4B">
            <w:pPr>
              <w:spacing w:line="250" w:lineRule="auto"/>
            </w:pPr>
            <w:r>
              <w:rPr>
                <w:b/>
                <w:bCs/>
                <w:sz w:val="18"/>
                <w:szCs w:val="18"/>
              </w:rPr>
              <w:t>Plus</w:t>
            </w:r>
          </w:p>
        </w:tc>
        <w:tc>
          <w:tcPr>
            <w:tcW w:w="31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4EA" w14:textId="77777777" w:rsidR="00C1548D" w:rsidRDefault="009B1B4B">
            <w:pPr>
              <w:spacing w:line="250" w:lineRule="auto"/>
            </w:pPr>
            <w:r>
              <w:rPr>
                <w:b/>
                <w:bCs/>
                <w:sz w:val="18"/>
                <w:szCs w:val="18"/>
              </w:rPr>
              <w:t>Minus</w:t>
            </w:r>
          </w:p>
        </w:tc>
      </w:tr>
      <w:tr w:rsidR="00C1548D" w14:paraId="70A4C4EE" w14:textId="77777777">
        <w:tblPrEx>
          <w:tblCellMar>
            <w:top w:w="0" w:type="dxa"/>
            <w:bottom w:w="0" w:type="dxa"/>
          </w:tblCellMar>
        </w:tblPrEx>
        <w:trPr>
          <w:cantSplit/>
        </w:trPr>
        <w:tc>
          <w:tcPr>
            <w:tcW w:w="3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EC" w14:textId="77777777" w:rsidR="00C1548D" w:rsidRDefault="009B1B4B">
            <w:pPr>
              <w:spacing w:line="250" w:lineRule="auto"/>
            </w:pPr>
            <w:r>
              <w:rPr>
                <w:sz w:val="18"/>
                <w:szCs w:val="18"/>
              </w:rPr>
              <w:t>Direktflüge ab vielen großen Metropolregionen</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ED" w14:textId="77777777" w:rsidR="00C1548D" w:rsidRDefault="009B1B4B">
            <w:pPr>
              <w:spacing w:line="250" w:lineRule="auto"/>
            </w:pPr>
            <w:r>
              <w:rPr>
                <w:sz w:val="18"/>
                <w:szCs w:val="18"/>
              </w:rPr>
              <w:t>8–11 Stunden Flugzeit plus Zeitverschiebung</w:t>
            </w:r>
          </w:p>
        </w:tc>
      </w:tr>
      <w:tr w:rsidR="00C1548D" w14:paraId="70A4C4F1" w14:textId="77777777">
        <w:tblPrEx>
          <w:tblCellMar>
            <w:top w:w="0" w:type="dxa"/>
            <w:bottom w:w="0" w:type="dxa"/>
          </w:tblCellMar>
        </w:tblPrEx>
        <w:trPr>
          <w:cantSplit/>
        </w:trPr>
        <w:tc>
          <w:tcPr>
            <w:tcW w:w="3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EF" w14:textId="77777777" w:rsidR="00C1548D" w:rsidRDefault="009B1B4B">
            <w:pPr>
              <w:spacing w:line="250" w:lineRule="auto"/>
            </w:pPr>
            <w:r>
              <w:rPr>
                <w:sz w:val="18"/>
                <w:szCs w:val="18"/>
              </w:rPr>
              <w:t>Deutsche Schulen, Konsulate und Goethe-Institute in Großräumen</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F0" w14:textId="77777777" w:rsidR="00C1548D" w:rsidRDefault="009B1B4B">
            <w:pPr>
              <w:spacing w:line="250" w:lineRule="auto"/>
            </w:pPr>
            <w:r>
              <w:rPr>
                <w:sz w:val="18"/>
                <w:szCs w:val="18"/>
              </w:rPr>
              <w:t>Spontanbesuche bei Notfällen kaum möglich</w:t>
            </w:r>
          </w:p>
        </w:tc>
      </w:tr>
      <w:tr w:rsidR="00C1548D" w14:paraId="70A4C4F4" w14:textId="77777777">
        <w:tblPrEx>
          <w:tblCellMar>
            <w:top w:w="0" w:type="dxa"/>
            <w:bottom w:w="0" w:type="dxa"/>
          </w:tblCellMar>
        </w:tblPrEx>
        <w:trPr>
          <w:cantSplit/>
        </w:trPr>
        <w:tc>
          <w:tcPr>
            <w:tcW w:w="3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F2" w14:textId="77777777" w:rsidR="00C1548D" w:rsidRDefault="009B1B4B">
            <w:pPr>
              <w:spacing w:line="250" w:lineRule="auto"/>
            </w:pPr>
            <w:r>
              <w:rPr>
                <w:sz w:val="18"/>
                <w:szCs w:val="18"/>
              </w:rPr>
              <w:t>Videotelefonie hält den Alltagskontakt einfach</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4F3" w14:textId="77777777" w:rsidR="00C1548D" w:rsidRDefault="009B1B4B">
            <w:pPr>
              <w:spacing w:line="250" w:lineRule="auto"/>
            </w:pPr>
            <w:r>
              <w:rPr>
                <w:sz w:val="18"/>
                <w:szCs w:val="18"/>
              </w:rPr>
              <w:t>Kleinere Orte ohne Nonstop-Flug und ohne deutsche Community</w:t>
            </w:r>
          </w:p>
        </w:tc>
      </w:tr>
    </w:tbl>
    <w:p w14:paraId="70A4C4F5" w14:textId="77777777" w:rsidR="00C1548D" w:rsidRDefault="00C1548D">
      <w:pPr>
        <w:spacing w:line="180" w:lineRule="exact"/>
      </w:pPr>
    </w:p>
    <w:p w14:paraId="70A4C4F6" w14:textId="76572428" w:rsidR="00C1548D" w:rsidRDefault="009B1B4B">
      <w:pPr>
        <w:spacing w:after="140"/>
      </w:pPr>
      <w:r>
        <w:t>Wohnortwahl, Flugverbindungen: Kapitel </w:t>
      </w:r>
      <w:hyperlink w:anchor="k12" w:history="1">
        <w:r>
          <w:t>12</w:t>
        </w:r>
      </w:hyperlink>
      <w:r>
        <w:t>; Heimweh, Anschluss: Kapitel </w:t>
      </w:r>
      <w:hyperlink w:anchor="k32" w:history="1">
        <w:r>
          <w:t>32</w:t>
        </w:r>
      </w:hyperlink>
      <w:r>
        <w:t xml:space="preserve"> und </w:t>
      </w:r>
      <w:hyperlink w:anchor="k33" w:history="1">
        <w:r>
          <w:t>33</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4F9"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4F7" w14:textId="77777777" w:rsidR="00C1548D" w:rsidRDefault="009B1B4B">
            <w:pPr>
              <w:keepNext/>
              <w:spacing w:after="70" w:line="240" w:lineRule="auto"/>
            </w:pPr>
            <w:r>
              <w:rPr>
                <w:b/>
                <w:bCs/>
                <w:color w:val="4A5568"/>
                <w:spacing w:val="24"/>
                <w:sz w:val="16"/>
                <w:szCs w:val="16"/>
              </w:rPr>
              <w:t>PRAXISBEISPIEL · FIKTIV</w:t>
            </w:r>
          </w:p>
          <w:p w14:paraId="70A4C4F8" w14:textId="77777777" w:rsidR="00C1548D" w:rsidRDefault="009B1B4B">
            <w:pPr>
              <w:spacing w:after="80" w:line="264" w:lineRule="auto"/>
            </w:pPr>
            <w:r>
              <w:rPr>
                <w:sz w:val="20"/>
                <w:szCs w:val="20"/>
              </w:rPr>
              <w:t>Familie Brandt (fiktiv) zieht mit H-1B-Status nach Auburn Hills bei Detroit: Markus, 38, als Maschinenbauingenieur, Anna, 36, zunächst ohne eigene Arbeitserlaubnis, mit Lena (9) und Jonas (5). Die Plus-Seite: Markus verdient deutlich mehr als in Deutschland, und Michigan besteuert mit rund 4,25 % moderat. Als die erste Gehaltsabrechnung kommt, rechnet Anna am Küchentisch zweimal nach, weil ihr die Zahl zu schön vorkommt, um wahr zu sein. Die Minus-Seite zeigt sich schnell: Bis die Krankenversicherung greift</w:t>
            </w:r>
            <w:r>
              <w:rPr>
                <w:sz w:val="20"/>
                <w:szCs w:val="20"/>
              </w:rPr>
              <w:t>, vergehen elf Wochen, die Kinder erhalten zunächst nur eine Steuernummer für Ausländer (ITIN) statt der Sozialversicherungsnummer (SSN) und bringen der Familie 3.400 $ weniger Kindergutschrift als geplant, und die Wohnungssuche richtet sich zuerst nach dem Schulbezirk, nicht nach dem Budget. Die Brandts mieten im ersten Jahr, bevor sie über einen Hauskauf entscheiden – für sie überwiegt trotz der Fallstricke das höhere Gehalt und die berufliche Perspektive.</w:t>
            </w:r>
          </w:p>
        </w:tc>
      </w:tr>
    </w:tbl>
    <w:p w14:paraId="70A4C4FA"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4F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4FB" w14:textId="77777777" w:rsidR="00C1548D" w:rsidRDefault="009B1B4B">
            <w:pPr>
              <w:keepNext/>
              <w:spacing w:after="70" w:line="240" w:lineRule="auto"/>
            </w:pPr>
            <w:r>
              <w:rPr>
                <w:b/>
                <w:bCs/>
                <w:color w:val="4A5568"/>
                <w:spacing w:val="24"/>
                <w:sz w:val="16"/>
                <w:szCs w:val="16"/>
              </w:rPr>
              <w:lastRenderedPageBreak/>
              <w:t>PRAXISBEISPIEL · FIKTIV</w:t>
            </w:r>
          </w:p>
          <w:p w14:paraId="70A4C4FC" w14:textId="6004798F" w:rsidR="00C1548D" w:rsidRDefault="009B1B4B">
            <w:pPr>
              <w:spacing w:after="80" w:line="264" w:lineRule="auto"/>
            </w:pPr>
            <w:r>
              <w:rPr>
                <w:sz w:val="20"/>
                <w:szCs w:val="20"/>
              </w:rPr>
              <w:t>Miriam und Tobias Scholz (fiktiv) wagen mit dem E-2-Visum (Kapitel </w:t>
            </w:r>
            <w:hyperlink w:anchor="k9" w:history="1">
              <w:r>
                <w:rPr>
                  <w:sz w:val="20"/>
                  <w:szCs w:val="20"/>
                </w:rPr>
                <w:t>9</w:t>
              </w:r>
            </w:hyperlink>
            <w:r>
              <w:rPr>
                <w:sz w:val="20"/>
                <w:szCs w:val="20"/>
              </w:rPr>
              <w:t>) den Schritt in den Großraum Raleigh–Durham: Miriam, 39, baut dort eine Dependance ihrer Designagentur auf, Tobias, 41, arbeitet zunächst für einen deutschen Auftraggeber weiter, die Kinder Ida (8) und Ben (3) kommen mit. Die Plus-Seite: unternehmerische Freiheit und ein wachsender Standort mit Universitäten und deutschen Firmen in der Nähe. Die Minus-Seite: Als Selbständige tragen sie die volle Krankenversicherungsprämie selbst, ein soziales Netz wie in Deutschland fehlt vollständig, und das Visum hängt a</w:t>
            </w:r>
            <w:r>
              <w:rPr>
                <w:sz w:val="20"/>
                <w:szCs w:val="20"/>
              </w:rPr>
              <w:t>m Fortbestand des Unternehmens – ein Rückschlag im Geschäft wäre zugleich ein Aufenthaltsrisiko.</w:t>
            </w:r>
          </w:p>
        </w:tc>
      </w:tr>
    </w:tbl>
    <w:p w14:paraId="70A4C4FE" w14:textId="77777777" w:rsidR="00C1548D" w:rsidRDefault="00C1548D">
      <w:pPr>
        <w:spacing w:line="220" w:lineRule="exact"/>
      </w:pPr>
    </w:p>
    <w:p w14:paraId="70A4C4FF" w14:textId="77777777" w:rsidR="00C1548D" w:rsidRDefault="009B1B4B">
      <w:pPr>
        <w:pStyle w:val="Heading3"/>
        <w:keepNext/>
        <w:jc w:val="center"/>
      </w:pPr>
      <w:r>
        <w:rPr>
          <w:rFonts w:ascii="Amazon Ember" w:eastAsia="Amazon Ember" w:hAnsi="Amazon Ember" w:cs="Amazon Ember"/>
          <w:color w:val="0000FF"/>
          <w:sz w:val="36"/>
          <w:szCs w:val="36"/>
        </w:rPr>
        <w:t>Wer profitiert, wer nicht</w:t>
      </w:r>
    </w:p>
    <w:p w14:paraId="70A4C500" w14:textId="05CCF9E0" w:rsidR="00C1548D" w:rsidRDefault="009B1B4B">
      <w:pPr>
        <w:spacing w:after="140"/>
      </w:pPr>
      <w:r>
        <w:t>Am stärksten profitieren Fachkräfte in gefragten Berufen mit Arbeitgeber-Sponsoring, die Eigenverantwortung gegen höheres Gehalt und schnelleren Aufstieg tauschen – etwa Sabine Keller (fiktiv), die als Softwareentwicklerin mit H-1B nach Seattle zieht und dort spürbar mehr verdient als in München, obwohl 2026 ausgerechnet die Tech-Branche unter Druck steht (Kapitel </w:t>
      </w:r>
      <w:hyperlink w:anchor="k12" w:history="1">
        <w:r>
          <w:t>12</w:t>
        </w:r>
      </w:hyperlink>
      <w:r>
        <w:t>). Geeignet ist er auch für alleinstehende Berufseinsteiger wie Felix Wagner (fiktiv), der über Studium und anschließende Arbeitserlaubnis einsteigt und noch keine feste Bindung an Ort oder Schule mitbringt, sowie für Fachkräfte mit konzerninternem Transfer wie Jan Hoffmann (fiktiv), dessen Versetzung nach Phoenix an einen bereits laufenden Fertigungsstandort führt, nicht an eine bloße Ankündigung. Wer dagegen einer reinen Absichtserklärung auf einer PowerPoint-Folie folgt, sollte doppelt nachfragen, wie fe</w:t>
      </w:r>
      <w:r>
        <w:t>st der Boden unter dem neuen Standort schon wirklich steht.</w:t>
      </w:r>
    </w:p>
    <w:p w14:paraId="70A4C501" w14:textId="72287584" w:rsidR="00C1548D" w:rsidRDefault="009B1B4B">
      <w:pPr>
        <w:spacing w:after="140"/>
      </w:pPr>
      <w:r>
        <w:t xml:space="preserve">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w:t>
      </w:r>
      <w:r>
        <w:lastRenderedPageBreak/>
        <w:t>Netz neu anzufangen, sollte besonders kritisch rechnen (Kapitel </w:t>
      </w:r>
      <w:hyperlink w:anchor="k3" w:history="1">
        <w:r>
          <w:t>3</w:t>
        </w:r>
      </w:hyperlink>
      <w:r>
        <w:t>). Familien mit Teenagern kurz vor dem Schulabschluss sollten zusätzlich den Umzugszeitpunkt genau prüfen (Kapitel </w:t>
      </w:r>
      <w:hyperlink w:anchor="k36" w:history="1">
        <w:r>
          <w:t>36</w:t>
        </w:r>
      </w:hyperlink>
      <w:r>
        <w:t>), und wer nur wegen einer einzelnen Chance geht, ohne Plan B, sollte sich vorher fragen, wie er auf einen Stellenabbau reagiert (Kapitel </w:t>
      </w:r>
      <w:hyperlink w:anchor="k30" w:history="1">
        <w:r>
          <w:t>30</w:t>
        </w:r>
      </w:hyperlink>
      <w:r>
        <w:t>).</w:t>
      </w:r>
    </w:p>
    <w:p w14:paraId="70A4C502" w14:textId="77777777" w:rsidR="00C1548D" w:rsidRDefault="009B1B4B">
      <w:pPr>
        <w:pStyle w:val="Heading3"/>
        <w:keepNext/>
        <w:jc w:val="center"/>
      </w:pPr>
      <w:r>
        <w:rPr>
          <w:rFonts w:ascii="Amazon Ember" w:eastAsia="Amazon Ember" w:hAnsi="Amazon Ember" w:cs="Amazon Ember"/>
          <w:color w:val="0000FF"/>
          <w:sz w:val="36"/>
          <w:szCs w:val="36"/>
        </w:rPr>
        <w:t>Was Auswanderer am häufigsten vermissen</w:t>
      </w:r>
    </w:p>
    <w:p w14:paraId="70A4C503" w14:textId="2E767809" w:rsidR="00C1548D" w:rsidRDefault="009B1B4B">
      <w:pPr>
        <w:spacing w:after="140"/>
      </w:pPr>
      <w: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 amerikanische Freundlichkeit ist real, bleibt aber oft an der Oberfläche, und ein „We should get together sometime” ist s</w:t>
      </w:r>
      <w:r>
        <w:t>elten wörtlich gemeint (</w:t>
      </w:r>
      <w:r>
        <w:t>Kapitel </w:t>
      </w:r>
      <w:hyperlink w:anchor="k31" w:history="1">
        <w:r>
          <w:t>31</w:t>
        </w:r>
      </w:hyperlink>
      <w:r>
        <w:t>, Kapitel </w:t>
      </w:r>
      <w:hyperlink w:anchor="k32" w:history="1">
        <w:r>
          <w:t>32</w:t>
        </w:r>
      </w:hyperlink>
      <w:r>
        <w:t>). Viele vermissen außerdem die kurzen Wege eines Alltags ohne Auto und schlicht die räumliche Nähe zu Eltern und Geschwistern, die bei Krankheit, an Feiertagen oder an einem gewöhnlichen Sonntag fehlt – dem spontanen Kaffee und Kuchen bei den Eltern, für den in den USA erst ein Flug gebucht werden müsste. Wer das vorher weiß, kann gezielt gegensteuern: mit Videoanrufen, geplanten Besuchen, einer deutschsprachigen Community vor Ort (Kapitel </w:t>
      </w:r>
      <w:hyperlink w:anchor="k32" w:history="1">
        <w:r>
          <w:t>32</w:t>
        </w:r>
      </w:hyperlink>
      <w:r>
        <w:t>) und einer realistischen Erwartung an die erste Zeit (Kapitel </w:t>
      </w:r>
      <w:hyperlink w:anchor="k33" w:history="1">
        <w:r>
          <w:t>33</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50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504" w14:textId="77777777" w:rsidR="00C1548D" w:rsidRDefault="009B1B4B">
            <w:pPr>
              <w:keepNext/>
              <w:spacing w:after="70" w:line="240" w:lineRule="auto"/>
            </w:pPr>
            <w:r>
              <w:rPr>
                <w:b/>
                <w:bCs/>
                <w:color w:val="8A6212"/>
                <w:spacing w:val="24"/>
                <w:sz w:val="16"/>
                <w:szCs w:val="16"/>
              </w:rPr>
              <w:t>MERKE</w:t>
            </w:r>
          </w:p>
          <w:p w14:paraId="70A4C505" w14:textId="77777777" w:rsidR="00C1548D" w:rsidRDefault="009B1B4B">
            <w:pPr>
              <w:spacing w:after="80" w:line="264" w:lineRule="auto"/>
            </w:pPr>
            <w:r>
              <w:rPr>
                <w:sz w:val="20"/>
                <w:szCs w:val="20"/>
              </w:rPr>
              <w:t>Keine der beiden Seiten dieser Bilanz ist grundsätzlich richtig oder falsch. Entscheidend ist, welches Risiko du eingehen willst: das deutsche Risiko eines flacheren Einkommens oder das amerikanische Risiko eines dünneren Auffangnetzes.</w:t>
            </w:r>
          </w:p>
        </w:tc>
      </w:tr>
    </w:tbl>
    <w:p w14:paraId="70A4C507" w14:textId="77777777" w:rsidR="00C1548D" w:rsidRDefault="00C1548D">
      <w:pPr>
        <w:spacing w:line="220" w:lineRule="exact"/>
      </w:pPr>
    </w:p>
    <w:p w14:paraId="70A4C508" w14:textId="77777777" w:rsidR="00C1548D" w:rsidRDefault="009B1B4B">
      <w:pPr>
        <w:pStyle w:val="Heading3"/>
        <w:keepNext/>
        <w:jc w:val="center"/>
      </w:pPr>
      <w:r>
        <w:rPr>
          <w:rFonts w:ascii="Amazon Ember" w:eastAsia="Amazon Ember" w:hAnsi="Amazon Ember" w:cs="Amazon Ember"/>
          <w:color w:val="0000FF"/>
          <w:sz w:val="36"/>
          <w:szCs w:val="36"/>
        </w:rPr>
        <w:lastRenderedPageBreak/>
        <w:t>Der amerikanische Traum: nüchtern betrachtet</w:t>
      </w:r>
    </w:p>
    <w:p w14:paraId="70A4C509" w14:textId="13AB9CD9" w:rsidR="00C1548D" w:rsidRDefault="009B1B4B">
      <w:pPr>
        <w:spacing w:after="140"/>
      </w:pPr>
      <w: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jedes Jahr kommen zahlreiche deutsche und andere Fachkräfte genau so ins Land, und viele verdienen und steigen schneller auf, als es in Deutschland üblich wäre (Kapitel </w:t>
      </w:r>
      <w:hyperlink w:anchor="k5" w:history="1">
        <w:r>
          <w:t>5</w:t>
        </w:r>
      </w:hyperlink>
      <w:r>
        <w:t xml:space="preserve"> bis </w:t>
      </w:r>
      <w:hyperlink w:anchor="k9" w:history="1">
        <w:r>
          <w:t>9</w:t>
        </w:r>
      </w:hyperlink>
      <w:r>
        <w:t>).</w:t>
      </w:r>
    </w:p>
    <w:p w14:paraId="70A4C50A" w14:textId="17695B6A" w:rsidR="00C1548D" w:rsidRDefault="009B1B4B">
      <w:pPr>
        <w:spacing w:after="140"/>
      </w:pPr>
      <w:r>
        <w:t>Der nüchterne Teil der Bilanz: Individualismus und Optimismus prägen die Gesellschaft, bedeuten aber auch, dass der Staat weniger auffängt als in Deutschland – bei Krankheit, Arbeitslosigkeit oder im Ruhestand bist du stärker auf dich selbst gestellt (Kapitel </w:t>
      </w:r>
      <w:hyperlink w:anchor="k31" w:history="1">
        <w:r>
          <w:t>31</w:t>
        </w:r>
      </w:hyperlink>
      <w:r>
        <w:t>, Kapitel </w:t>
      </w:r>
      <w:hyperlink w:anchor="k39" w:history="1">
        <w:r>
          <w:t>39</w:t>
        </w:r>
      </w:hyperlink>
      <w:r>
        <w:t>). Der amerikanische Traum ist damit weder Marketing noch Mythos, sondern ein reales Angebot mit realem Preis: mehr Chance, aber auch mehr eigenes Risiko.</w:t>
      </w:r>
    </w:p>
    <w:p w14:paraId="70A4C50B"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50E"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0C"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0D" w14:textId="77777777" w:rsidR="00C1548D" w:rsidRDefault="009B1B4B">
            <w:pPr>
              <w:spacing w:line="250" w:lineRule="auto"/>
            </w:pPr>
            <w:r>
              <w:rPr>
                <w:b/>
                <w:bCs/>
                <w:sz w:val="18"/>
                <w:szCs w:val="18"/>
              </w:rPr>
              <w:t>Minus</w:t>
            </w:r>
          </w:p>
        </w:tc>
      </w:tr>
      <w:tr w:rsidR="00C1548D" w14:paraId="70A4C51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0F" w14:textId="77777777" w:rsidR="00C1548D" w:rsidRDefault="009B1B4B">
            <w:pPr>
              <w:spacing w:line="250" w:lineRule="auto"/>
            </w:pPr>
            <w:r>
              <w:rPr>
                <w:sz w:val="18"/>
                <w:szCs w:val="18"/>
              </w:rPr>
              <w:t>Deutlich höhere Gehälter und schnellerer beruflicher Aufstieg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10" w14:textId="77777777" w:rsidR="00C1548D" w:rsidRDefault="009B1B4B">
            <w:pPr>
              <w:spacing w:line="250" w:lineRule="auto"/>
            </w:pPr>
            <w:r>
              <w:rPr>
                <w:sz w:val="18"/>
                <w:szCs w:val="18"/>
              </w:rPr>
              <w:t>Kein Kündigungsschutz; bei Arbeitsvisum hängt der Aufenthalt am Job</w:t>
            </w:r>
          </w:p>
        </w:tc>
      </w:tr>
      <w:tr w:rsidR="00C1548D" w14:paraId="70A4C51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12" w14:textId="77777777" w:rsidR="00C1548D" w:rsidRDefault="009B1B4B">
            <w:pPr>
              <w:spacing w:line="250" w:lineRule="auto"/>
            </w:pPr>
            <w:r>
              <w:rPr>
                <w:sz w:val="18"/>
                <w:szCs w:val="18"/>
              </w:rPr>
              <w:t>Niedrigere Einstiegssteuern, acht Staaten ganz ohne Einkommensteuer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13" w14:textId="77777777" w:rsidR="00C1548D" w:rsidRDefault="009B1B4B">
            <w:pPr>
              <w:spacing w:line="250" w:lineRule="auto"/>
            </w:pPr>
            <w:r>
              <w:rPr>
                <w:sz w:val="18"/>
                <w:szCs w:val="18"/>
              </w:rPr>
              <w:t>Krankenversicherung hängt am Arbeitgeber, mit Lücke am Anfang</w:t>
            </w:r>
          </w:p>
        </w:tc>
      </w:tr>
      <w:tr w:rsidR="00C1548D" w14:paraId="70A4C51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15" w14:textId="77777777" w:rsidR="00C1548D" w:rsidRDefault="009B1B4B">
            <w:pPr>
              <w:spacing w:line="250" w:lineRule="auto"/>
            </w:pPr>
            <w:r>
              <w:rPr>
                <w:sz w:val="18"/>
                <w:szCs w:val="18"/>
              </w:rPr>
              <w:t>Mehr und oft günstigerer Wohnraum außerhalb der Küstenmetropolen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16" w14:textId="77777777" w:rsidR="00C1548D" w:rsidRDefault="009B1B4B">
            <w:pPr>
              <w:spacing w:line="250" w:lineRule="auto"/>
            </w:pPr>
            <w:r>
              <w:rPr>
                <w:sz w:val="18"/>
                <w:szCs w:val="18"/>
              </w:rPr>
              <w:t>Kaufkosten von rund 10 % erschweren einen schnellen Wiederverkauf</w:t>
            </w:r>
          </w:p>
        </w:tc>
      </w:tr>
      <w:tr w:rsidR="00C1548D" w14:paraId="70A4C51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18" w14:textId="77777777" w:rsidR="00C1548D" w:rsidRDefault="009B1B4B">
            <w:pPr>
              <w:spacing w:line="250" w:lineRule="auto"/>
            </w:pPr>
            <w:r>
              <w:rPr>
                <w:sz w:val="18"/>
                <w:szCs w:val="18"/>
              </w:rPr>
              <w:t>Kostenlose, gute öffentliche Schulen mit großer Kurswahl</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19" w14:textId="77777777" w:rsidR="00C1548D" w:rsidRDefault="009B1B4B">
            <w:pPr>
              <w:spacing w:line="250" w:lineRule="auto"/>
            </w:pPr>
            <w:r>
              <w:rPr>
                <w:sz w:val="18"/>
                <w:szCs w:val="18"/>
              </w:rPr>
              <w:t>Schulqualität hängt am Wohnort; nur 10–12 Wochen Ferienbetreuung</w:t>
            </w:r>
          </w:p>
        </w:tc>
      </w:tr>
      <w:tr w:rsidR="00C1548D" w14:paraId="70A4C51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1B" w14:textId="77777777" w:rsidR="00C1548D" w:rsidRDefault="009B1B4B">
            <w:pPr>
              <w:spacing w:line="250" w:lineRule="auto"/>
            </w:pPr>
            <w:r>
              <w:rPr>
                <w:sz w:val="18"/>
                <w:szCs w:val="18"/>
              </w:rPr>
              <w:t>Offene, freundliche Alltagskultur und großes Ehrenamt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1C" w14:textId="77777777" w:rsidR="00C1548D" w:rsidRDefault="009B1B4B">
            <w:pPr>
              <w:spacing w:line="250" w:lineRule="auto"/>
            </w:pPr>
            <w:r>
              <w:rPr>
                <w:sz w:val="18"/>
                <w:szCs w:val="18"/>
              </w:rPr>
              <w:t>Politische Polarisierung, 50 unterschiedliche Rechtsordnungen</w:t>
            </w:r>
          </w:p>
        </w:tc>
      </w:tr>
      <w:tr w:rsidR="00C1548D" w14:paraId="70A4C52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1E" w14:textId="77777777" w:rsidR="00C1548D" w:rsidRDefault="009B1B4B">
            <w:pPr>
              <w:spacing w:line="250" w:lineRule="auto"/>
            </w:pPr>
            <w:r>
              <w:rPr>
                <w:sz w:val="18"/>
                <w:szCs w:val="18"/>
              </w:rPr>
              <w:t>Große klimatische und landschaftliche Vielfalt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1F" w14:textId="77777777" w:rsidR="00C1548D" w:rsidRDefault="009B1B4B">
            <w:pPr>
              <w:spacing w:line="250" w:lineRule="auto"/>
            </w:pPr>
            <w:r>
              <w:rPr>
                <w:sz w:val="18"/>
                <w:szCs w:val="18"/>
              </w:rPr>
              <w:t>Naturgefahren und Versicherungskosten regional sehr hoch</w:t>
            </w:r>
          </w:p>
        </w:tc>
      </w:tr>
      <w:tr w:rsidR="00C1548D" w14:paraId="70A4C52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21" w14:textId="77777777" w:rsidR="00C1548D" w:rsidRDefault="009B1B4B">
            <w:pPr>
              <w:spacing w:line="250" w:lineRule="auto"/>
            </w:pPr>
            <w:r>
              <w:rPr>
                <w:sz w:val="18"/>
                <w:szCs w:val="18"/>
              </w:rPr>
              <w:lastRenderedPageBreak/>
              <w:t>Direktflüge und deutsche Communitys in großen Metropolregionen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22" w14:textId="77777777" w:rsidR="00C1548D" w:rsidRDefault="009B1B4B">
            <w:pPr>
              <w:spacing w:line="250" w:lineRule="auto"/>
            </w:pPr>
            <w:r>
              <w:rPr>
                <w:sz w:val="18"/>
                <w:szCs w:val="18"/>
              </w:rPr>
              <w:t>8–11 Stunden Distanz zur Familie, kaum spontane Besuche</w:t>
            </w:r>
          </w:p>
        </w:tc>
      </w:tr>
    </w:tbl>
    <w:p w14:paraId="70A4C524" w14:textId="77777777" w:rsidR="00C1548D" w:rsidRDefault="00C1548D">
      <w:pPr>
        <w:spacing w:line="180" w:lineRule="exact"/>
      </w:pPr>
    </w:p>
    <w:p w14:paraId="70A4C525"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C526" w14:textId="4EB8C118" w:rsidR="00C1548D" w:rsidRDefault="009B1B4B">
      <w:pPr>
        <w:spacing w:after="140"/>
      </w:pPr>
      <w:r>
        <w:t>Nutze diese Bilanz als Startpunkt, nicht als Endergebnis: Trage deine eigenen Zahlen in das Rechenmodell aus Kapitel </w:t>
      </w:r>
      <w:hyperlink w:anchor="k3" w:history="1">
        <w:r>
          <w:t>3</w:t>
        </w:r>
      </w:hyperlink>
      <w:r>
        <w:t xml:space="preserve"> ein, bevor du eine Zusage unterschreibst, und sprich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history="1">
        <w:r>
          <w:t>42</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530"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527" w14:textId="77777777" w:rsidR="00C1548D" w:rsidRDefault="009B1B4B">
            <w:pPr>
              <w:keepNext/>
              <w:spacing w:after="70" w:line="240" w:lineRule="auto"/>
            </w:pPr>
            <w:r>
              <w:rPr>
                <w:b/>
                <w:bCs/>
                <w:color w:val="1F6F78"/>
                <w:spacing w:val="24"/>
                <w:sz w:val="16"/>
                <w:szCs w:val="16"/>
              </w:rPr>
              <w:t>CHECKLISTE</w:t>
            </w:r>
          </w:p>
          <w:p w14:paraId="70A4C528" w14:textId="153DF681"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Zahlen für Gehalt, Steuern, Krankenversicherung und Wohnkosten mit dem Rechenmodell aus Kapitel </w:t>
            </w:r>
            <w:hyperlink w:anchor="k3" w:history="1">
              <w:r>
                <w:rPr>
                  <w:sz w:val="20"/>
                  <w:szCs w:val="20"/>
                </w:rPr>
                <w:t>3</w:t>
              </w:r>
            </w:hyperlink>
            <w:r>
              <w:rPr>
                <w:sz w:val="20"/>
                <w:szCs w:val="20"/>
              </w:rPr>
              <w:t xml:space="preserve"> durchgerechnet</w:t>
            </w:r>
          </w:p>
          <w:p w14:paraId="70A4C52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Mit Partner oder Familie die drei wichtigsten Plus- und die drei wichtigsten Minuspunkte persönlich gewichtet</w:t>
            </w:r>
          </w:p>
          <w:p w14:paraId="70A4C52A" w14:textId="41C80933"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und über welchen Weg der Arbeitgeber ein Visum sponsert (Kapitel </w:t>
            </w:r>
            <w:hyperlink w:anchor="k4" w:history="1">
              <w:r>
                <w:rPr>
                  <w:sz w:val="20"/>
                  <w:szCs w:val="20"/>
                </w:rPr>
                <w:t>4</w:t>
              </w:r>
            </w:hyperlink>
            <w:r>
              <w:rPr>
                <w:sz w:val="20"/>
                <w:szCs w:val="20"/>
              </w:rPr>
              <w:t xml:space="preserve"> und </w:t>
            </w:r>
            <w:hyperlink w:anchor="k5" w:history="1">
              <w:r>
                <w:rPr>
                  <w:sz w:val="20"/>
                  <w:szCs w:val="20"/>
                </w:rPr>
                <w:t>5</w:t>
              </w:r>
            </w:hyperlink>
            <w:r>
              <w:rPr>
                <w:sz w:val="20"/>
                <w:szCs w:val="20"/>
              </w:rPr>
              <w:t>)</w:t>
            </w:r>
          </w:p>
          <w:p w14:paraId="70A4C52B" w14:textId="0656D172"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Die Lücke bei der Krankenversicherung nach der Landung realistisch eingeplant (Kapitel </w:t>
            </w:r>
            <w:hyperlink w:anchor="k26" w:history="1">
              <w:r>
                <w:rPr>
                  <w:sz w:val="20"/>
                  <w:szCs w:val="20"/>
                </w:rPr>
                <w:t>26</w:t>
              </w:r>
            </w:hyperlink>
            <w:r>
              <w:rPr>
                <w:sz w:val="20"/>
                <w:szCs w:val="20"/>
              </w:rPr>
              <w:t>)</w:t>
            </w:r>
          </w:p>
          <w:p w14:paraId="70A4C52C" w14:textId="25593881"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Wohnort und Schulbezirk vorläufig recherchiert, bevor Jobangebote verglichen werden (Kapitel </w:t>
            </w:r>
            <w:hyperlink w:anchor="k12" w:history="1">
              <w:r>
                <w:rPr>
                  <w:sz w:val="20"/>
                  <w:szCs w:val="20"/>
                </w:rPr>
                <w:t>12</w:t>
              </w:r>
            </w:hyperlink>
            <w:r>
              <w:rPr>
                <w:sz w:val="20"/>
                <w:szCs w:val="20"/>
              </w:rPr>
              <w:t>, Kapitel </w:t>
            </w:r>
            <w:hyperlink w:anchor="k36" w:history="1">
              <w:r>
                <w:rPr>
                  <w:sz w:val="20"/>
                  <w:szCs w:val="20"/>
                </w:rPr>
                <w:t>36</w:t>
              </w:r>
            </w:hyperlink>
            <w:r>
              <w:rPr>
                <w:sz w:val="20"/>
                <w:szCs w:val="20"/>
              </w:rPr>
              <w:t>)</w:t>
            </w:r>
          </w:p>
          <w:p w14:paraId="70A4C52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Geklärt, wie oft und wie schnell Besuche bei der Familie in Deutschland realistisch möglich sind</w:t>
            </w:r>
          </w:p>
          <w:p w14:paraId="70A4C52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Überlegt, wie viel Eigenverantwortung bei Gesundheit, Vorsorge und Jobwechsel für dich tragbar ist</w:t>
            </w:r>
          </w:p>
          <w:p w14:paraId="70A4C52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Einen ungefähren Zeithorizont für den USA-Aufenthalt festgelegt: einige Jahre, unbefristet oder offen</w:t>
            </w:r>
          </w:p>
        </w:tc>
      </w:tr>
    </w:tbl>
    <w:p w14:paraId="70A4C531" w14:textId="77777777" w:rsidR="00C1548D" w:rsidRDefault="00C1548D">
      <w:pPr>
        <w:spacing w:line="220" w:lineRule="exact"/>
      </w:pPr>
    </w:p>
    <w:p w14:paraId="70A4C532" w14:textId="77777777" w:rsidR="00C1548D" w:rsidRDefault="009B1B4B">
      <w:pPr>
        <w:pStyle w:val="Heading3"/>
        <w:keepNext/>
        <w:jc w:val="center"/>
      </w:pPr>
      <w:r>
        <w:rPr>
          <w:rFonts w:ascii="Amazon Ember" w:eastAsia="Amazon Ember" w:hAnsi="Amazon Ember" w:cs="Amazon Ember"/>
          <w:color w:val="0000FF"/>
          <w:sz w:val="36"/>
          <w:szCs w:val="36"/>
        </w:rPr>
        <w:lastRenderedPageBreak/>
        <w:t>Quellen und weiterführende Links</w:t>
      </w:r>
    </w:p>
    <w:p w14:paraId="70A4C533" w14:textId="3137B0EF" w:rsidR="00C1548D" w:rsidRDefault="009B1B4B" w:rsidP="009B1B4B">
      <w:pPr>
        <w:pStyle w:val="ListParagraph"/>
        <w:numPr>
          <w:ilvl w:val="0"/>
          <w:numId w:val="1"/>
        </w:numPr>
        <w:spacing w:after="60"/>
      </w:pPr>
      <w:r>
        <w:t>USCIS — Arbeitsvisa im Überblick (</w:t>
      </w:r>
      <w:hyperlink r:id="rId24" w:history="1">
        <w:r>
          <w:rPr>
            <w:color w:val="0563C1"/>
            <w:u w:val="single"/>
          </w:rPr>
          <w:t>uscis.gov/working-in-the-united-states</w:t>
        </w:r>
      </w:hyperlink>
      <w:r>
        <w:t>)</w:t>
      </w:r>
    </w:p>
    <w:p w14:paraId="70A4C534" w14:textId="4343E543" w:rsidR="00C1548D" w:rsidRDefault="009B1B4B" w:rsidP="009B1B4B">
      <w:pPr>
        <w:pStyle w:val="ListParagraph"/>
        <w:numPr>
          <w:ilvl w:val="0"/>
          <w:numId w:val="1"/>
        </w:numPr>
        <w:spacing w:after="60"/>
      </w:pPr>
      <w:r>
        <w:t>IRS — Steuersätze und Standardabzug (</w:t>
      </w:r>
      <w:hyperlink r:id="rId25" w:history="1">
        <w:r>
          <w:rPr>
            <w:color w:val="0563C1"/>
            <w:u w:val="single"/>
          </w:rPr>
          <w:t>irs.gov</w:t>
        </w:r>
      </w:hyperlink>
      <w:r>
        <w:t>)</w:t>
      </w:r>
    </w:p>
    <w:p w14:paraId="70A4C535" w14:textId="24099278" w:rsidR="00C1548D" w:rsidRDefault="009B1B4B" w:rsidP="009B1B4B">
      <w:pPr>
        <w:pStyle w:val="ListParagraph"/>
        <w:numPr>
          <w:ilvl w:val="0"/>
          <w:numId w:val="1"/>
        </w:numPr>
        <w:spacing w:after="60"/>
      </w:pPr>
      <w:hyperlink r:id="rId26" w:history="1">
        <w:r>
          <w:rPr>
            <w:color w:val="0563C1"/>
            <w:u w:val="single"/>
          </w:rPr>
          <w:t>healthcare.gov</w:t>
        </w:r>
      </w:hyperlink>
      <w:r>
        <w:t xml:space="preserve"> — Krankenversicherung und Marktplatz</w:t>
      </w:r>
    </w:p>
    <w:p w14:paraId="70A4C536" w14:textId="52B27D34" w:rsidR="00C1548D" w:rsidRDefault="009B1B4B" w:rsidP="009B1B4B">
      <w:pPr>
        <w:pStyle w:val="ListParagraph"/>
        <w:numPr>
          <w:ilvl w:val="0"/>
          <w:numId w:val="1"/>
        </w:numPr>
        <w:spacing w:after="60"/>
      </w:pPr>
      <w:r>
        <w:t>Weltbank / UNODC — Kriminalstatistik im Ländervergleich (</w:t>
      </w:r>
      <w:hyperlink r:id="rId27" w:history="1">
        <w:r>
          <w:rPr>
            <w:color w:val="0563C1"/>
            <w:u w:val="single"/>
          </w:rPr>
          <w:t>data.worldbank.org</w:t>
        </w:r>
      </w:hyperlink>
      <w:r>
        <w:t>, Suche: intentional homicides)</w:t>
      </w:r>
    </w:p>
    <w:p w14:paraId="70A4C537" w14:textId="7A424708" w:rsidR="00C1548D" w:rsidRDefault="009B1B4B" w:rsidP="009B1B4B">
      <w:pPr>
        <w:pStyle w:val="ListParagraph"/>
        <w:numPr>
          <w:ilvl w:val="0"/>
          <w:numId w:val="1"/>
        </w:numPr>
        <w:spacing w:after="60"/>
      </w:pPr>
      <w:r>
        <w:t>Bureau of Labor Statistics — Gehälter und Berufsausblick (</w:t>
      </w:r>
      <w:hyperlink r:id="rId28" w:history="1">
        <w:r>
          <w:rPr>
            <w:color w:val="0563C1"/>
            <w:u w:val="single"/>
          </w:rPr>
          <w:t>bls.gov/oes</w:t>
        </w:r>
      </w:hyperlink>
      <w:r>
        <w:t>)</w:t>
      </w:r>
    </w:p>
    <w:p w14:paraId="70A4C538" w14:textId="7079C754" w:rsidR="00C1548D" w:rsidRDefault="009B1B4B" w:rsidP="009B1B4B">
      <w:pPr>
        <w:pStyle w:val="ListParagraph"/>
        <w:numPr>
          <w:ilvl w:val="0"/>
          <w:numId w:val="1"/>
        </w:numPr>
        <w:spacing w:after="60"/>
      </w:pPr>
      <w:r>
        <w:t>Freddie Mac — Hypothekenzinsen (</w:t>
      </w:r>
      <w:hyperlink r:id="rId29" w:history="1">
        <w:r>
          <w:rPr>
            <w:color w:val="0563C1"/>
            <w:u w:val="single"/>
          </w:rPr>
          <w:t>freddiemac.com/pmms</w:t>
        </w:r>
      </w:hyperlink>
      <w:r>
        <w:t>)</w:t>
      </w:r>
    </w:p>
    <w:p w14:paraId="70A4C53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53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53A" w14:textId="77777777" w:rsidR="00C1548D" w:rsidRDefault="009B1B4B">
            <w:pPr>
              <w:keepNext/>
              <w:spacing w:after="70" w:line="240" w:lineRule="auto"/>
            </w:pPr>
            <w:r>
              <w:rPr>
                <w:b/>
                <w:bCs/>
                <w:color w:val="6B7280"/>
                <w:spacing w:val="24"/>
                <w:sz w:val="16"/>
                <w:szCs w:val="16"/>
              </w:rPr>
              <w:t>STAND</w:t>
            </w:r>
          </w:p>
          <w:p w14:paraId="70A4C53B" w14:textId="3E936ED7" w:rsidR="00C1548D" w:rsidRDefault="009B1B4B">
            <w:pPr>
              <w:spacing w:after="80" w:line="264" w:lineRule="auto"/>
            </w:pPr>
            <w:r>
              <w:rPr>
                <w:sz w:val="20"/>
                <w:szCs w:val="20"/>
              </w:rPr>
              <w:t>September 2026. Diese Bilanz beruht auf den Zahlen der Faktenblätter und der bereits vorliegenden Kapitel, Stand September 2026. Am schnellsten ändern sich: die Gebühren und das Losverfahren beim H-1B (Kapitel </w:t>
            </w:r>
            <w:hyperlink w:anchor="k5" w:history="1">
              <w:r>
                <w:rPr>
                  <w:sz w:val="20"/>
                  <w:szCs w:val="20"/>
                </w:rPr>
                <w:t>5</w:t>
              </w:r>
            </w:hyperlink>
            <w:r>
              <w:rPr>
                <w:sz w:val="20"/>
                <w:szCs w:val="20"/>
              </w:rPr>
              <w:t>), die Krankenversicherungs-Zuschüsse ab 2027 (Kapitel </w:t>
            </w:r>
            <w:hyperlink w:anchor="k26" w:history="1">
              <w:r>
                <w:rPr>
                  <w:sz w:val="20"/>
                  <w:szCs w:val="20"/>
                </w:rPr>
                <w:t>26</w:t>
              </w:r>
            </w:hyperlink>
            <w:r>
              <w:rPr>
                <w:sz w:val="20"/>
                <w:szCs w:val="20"/>
              </w:rPr>
              <w:t>), die Hypothekenzinsen (Kapitel </w:t>
            </w:r>
            <w:hyperlink w:anchor="k14" w:history="1">
              <w:r>
                <w:rPr>
                  <w:sz w:val="20"/>
                  <w:szCs w:val="20"/>
                </w:rPr>
                <w:t>14</w:t>
              </w:r>
            </w:hyperlink>
            <w:r>
              <w:rPr>
                <w:sz w:val="20"/>
                <w:szCs w:val="20"/>
              </w:rPr>
              <w:t>) und die politische Lage rund um Einwanderung. Prüfe vor einer Entscheidung die aktuellen Zahlen im jeweiligen Vertiefungskapitel.</w:t>
            </w:r>
          </w:p>
        </w:tc>
      </w:tr>
    </w:tbl>
    <w:p w14:paraId="70A4C53D" w14:textId="77777777" w:rsidR="00C1548D" w:rsidRDefault="00C1548D">
      <w:pPr>
        <w:spacing w:line="220" w:lineRule="exact"/>
      </w:pPr>
    </w:p>
    <w:p w14:paraId="70A4C53E" w14:textId="77777777" w:rsidR="00C1548D" w:rsidRDefault="009B1B4B">
      <w:pPr>
        <w:pStyle w:val="Heading2"/>
        <w:keepNext/>
        <w:pageBreakBefore/>
        <w:jc w:val="center"/>
      </w:pPr>
      <w:bookmarkStart w:id="10" w:name="k2"/>
      <w:bookmarkStart w:id="11" w:name="_Toc241352451"/>
      <w:r>
        <w:rPr>
          <w:rFonts w:ascii="Amazon Ember" w:eastAsia="Amazon Ember" w:hAnsi="Amazon Ember" w:cs="Amazon Ember"/>
          <w:color w:val="0000FF"/>
          <w:sz w:val="36"/>
          <w:szCs w:val="36"/>
        </w:rPr>
        <w:lastRenderedPageBreak/>
        <w:t>Kapitel 2: Die 25 größten Fallen</w:t>
      </w:r>
      <w:bookmarkEnd w:id="10"/>
      <w:bookmarkEnd w:id="11"/>
    </w:p>
    <w:p w14:paraId="70A4C53F" w14:textId="77777777" w:rsidR="00C1548D" w:rsidRDefault="009B1B4B">
      <w:pPr>
        <w:spacing w:after="140"/>
      </w:pPr>
      <w:r>
        <w:t>Der Job ist unterschrieben, die Kisten sind bestellt, der Flug gebucht –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w:t>
      </w:r>
      <w:r>
        <w:t xml:space="preserve"> in die Auswanderer am häufigsten laufen: mit Ursache, Preis und Ausweg.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545"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540" w14:textId="77777777" w:rsidR="00C1548D" w:rsidRDefault="009B1B4B">
            <w:pPr>
              <w:keepNext/>
              <w:spacing w:after="70" w:line="240" w:lineRule="auto"/>
            </w:pPr>
            <w:r>
              <w:rPr>
                <w:b/>
                <w:bCs/>
                <w:color w:val="1F3A5F"/>
                <w:spacing w:val="24"/>
                <w:sz w:val="16"/>
                <w:szCs w:val="16"/>
              </w:rPr>
              <w:t>KURZ GESAGT</w:t>
            </w:r>
          </w:p>
          <w:p w14:paraId="70A4C541" w14:textId="77777777" w:rsidR="00C1548D" w:rsidRDefault="009B1B4B" w:rsidP="009B1B4B">
            <w:pPr>
              <w:pStyle w:val="ListParagraph"/>
              <w:numPr>
                <w:ilvl w:val="0"/>
                <w:numId w:val="1"/>
              </w:numPr>
              <w:spacing w:after="50" w:line="264" w:lineRule="auto"/>
            </w:pPr>
            <w:r>
              <w:rPr>
                <w:sz w:val="20"/>
                <w:szCs w:val="20"/>
              </w:rPr>
              <w:t>Die teuersten Fehler beim Umzug in die USA liegen selten im Exotischen, sondern bei Visum, Geld, Wohnen und Familie – und stehen im Detail in den Fachkapiteln dieses Buchs.</w:t>
            </w:r>
          </w:p>
          <w:p w14:paraId="70A4C542" w14:textId="77777777" w:rsidR="00C1548D" w:rsidRDefault="009B1B4B" w:rsidP="009B1B4B">
            <w:pPr>
              <w:pStyle w:val="ListParagraph"/>
              <w:numPr>
                <w:ilvl w:val="0"/>
                <w:numId w:val="1"/>
              </w:numPr>
              <w:spacing w:after="50" w:line="264" w:lineRule="auto"/>
            </w:pPr>
            <w:r>
              <w:rPr>
                <w:sz w:val="20"/>
                <w:szCs w:val="20"/>
              </w:rPr>
              <w:t xml:space="preserve">Manche Fallen liegen außerhalb deiner Kontrolle (Lotterie, Kündigung, das </w:t>
            </w:r>
            <w:r>
              <w:rPr>
                <w:i/>
                <w:iCs/>
                <w:sz w:val="20"/>
                <w:szCs w:val="20"/>
              </w:rPr>
              <w:t>Age-out</w:t>
            </w:r>
            <w:r>
              <w:rPr>
                <w:sz w:val="20"/>
                <w:szCs w:val="20"/>
              </w:rPr>
              <w:t xml:space="preserve"> der Kinder mit 21), die meisten lassen sich mit Vorlauf entschärfen.</w:t>
            </w:r>
          </w:p>
          <w:p w14:paraId="70A4C543" w14:textId="77777777" w:rsidR="00C1548D" w:rsidRDefault="009B1B4B" w:rsidP="009B1B4B">
            <w:pPr>
              <w:pStyle w:val="ListParagraph"/>
              <w:numPr>
                <w:ilvl w:val="0"/>
                <w:numId w:val="1"/>
              </w:numPr>
              <w:spacing w:after="50" w:line="264" w:lineRule="auto"/>
            </w:pPr>
            <w:r>
              <w:rPr>
                <w:sz w:val="20"/>
                <w:szCs w:val="20"/>
              </w:rPr>
              <w:t>Eine Rücklage, Fristen im Kalender und ein Berater, der beide Länder kennt, verhindern die teuersten Überraschungen.</w:t>
            </w:r>
          </w:p>
          <w:p w14:paraId="70A4C544" w14:textId="77777777" w:rsidR="00C1548D" w:rsidRDefault="009B1B4B" w:rsidP="009B1B4B">
            <w:pPr>
              <w:pStyle w:val="ListParagraph"/>
              <w:numPr>
                <w:ilvl w:val="0"/>
                <w:numId w:val="1"/>
              </w:numPr>
              <w:spacing w:after="50" w:line="264" w:lineRule="auto"/>
            </w:pPr>
            <w:r>
              <w:rPr>
                <w:sz w:val="20"/>
                <w:szCs w:val="20"/>
              </w:rPr>
              <w:t>Jede der 25 Fallen verweist auf das Kapitel mit dem vollständigen Vorgehen.</w:t>
            </w:r>
          </w:p>
        </w:tc>
      </w:tr>
    </w:tbl>
    <w:p w14:paraId="70A4C546" w14:textId="77777777" w:rsidR="00C1548D" w:rsidRDefault="00C1548D">
      <w:pPr>
        <w:spacing w:line="220" w:lineRule="exact"/>
      </w:pPr>
    </w:p>
    <w:p w14:paraId="70A4C547" w14:textId="77777777" w:rsidR="00C1548D" w:rsidRDefault="009B1B4B">
      <w:pPr>
        <w:pStyle w:val="Heading3"/>
        <w:keepNext/>
        <w:jc w:val="center"/>
      </w:pPr>
      <w:r>
        <w:rPr>
          <w:rFonts w:ascii="Amazon Ember" w:eastAsia="Amazon Ember" w:hAnsi="Amazon Ember" w:cs="Amazon Ember"/>
          <w:color w:val="0000FF"/>
          <w:sz w:val="36"/>
          <w:szCs w:val="36"/>
        </w:rPr>
        <w:t>Visum, Status und Arbeitgeber (Fallen 1–6)</w:t>
      </w:r>
    </w:p>
    <w:p w14:paraId="70A4C548" w14:textId="733936E9" w:rsidR="00C1548D" w:rsidRDefault="009B1B4B" w:rsidP="009B1B4B">
      <w:pPr>
        <w:pStyle w:val="ListParagraph"/>
        <w:numPr>
          <w:ilvl w:val="0"/>
          <w:numId w:val="2"/>
        </w:numPr>
        <w:spacing w:after="60"/>
      </w:pPr>
      <w:r>
        <w:rPr>
          <w:b/>
          <w:bCs/>
        </w:rPr>
        <w:t>Das Visum hängt am Arbeitgeber.</w:t>
      </w:r>
      <w:r>
        <w:t xml:space="preserve"> Verbreiteter Irrtum: Ein genehmigtes Arbeitsvisum fühlt sich an wie eine langfristige Zusage, im Land bleiben zu dürfen. Tatsächlich ist es an eine einzige Stelle gekettet. Warum das passiert: H-1B, L-1, E-2 und die meisten Arbeitsvisa sind an einen einzigen Sponsor gebunden; ohne ihn erlischt der Status. Was es kostet: Nach einem Jobverlust bleiben dir derzeit bis zu 60 Tage, um einen </w:t>
      </w:r>
      <w:r>
        <w:lastRenderedPageBreak/>
        <w:t xml:space="preserve">neuen Sponsor, einen Statuswechsel oder die Ausreise zu organisieren – reicht das nicht, verlierst du Wohnung, Schule der </w:t>
      </w:r>
      <w:r>
        <w:t xml:space="preserve">Kinder und oft das laufende Green-Card-Verfahren. So vermeidest du es: Baue früh eine Rücklage von mindestens sechs Monatsfixkosten auf, halte dein berufliches Netzwerk aktiv, und kläre die </w:t>
      </w:r>
      <w:r>
        <w:rPr>
          <w:i/>
          <w:iCs/>
        </w:rPr>
        <w:t>Portabilität</w:t>
      </w:r>
      <w:r>
        <w:t xml:space="preserve"> nach AC21 mit dem neuen Arbeitgeber, bevor du kündigst (siehe Kapitel </w:t>
      </w:r>
      <w:hyperlink w:anchor="k5" w:history="1">
        <w:r>
          <w:t>5</w:t>
        </w:r>
      </w:hyperlink>
      <w:r>
        <w:t xml:space="preserve">, </w:t>
      </w:r>
      <w:hyperlink w:anchor="k9" w:history="1">
        <w:r>
          <w:t>9</w:t>
        </w:r>
      </w:hyperlink>
      <w:r>
        <w:t xml:space="preserve"> und </w:t>
      </w:r>
      <w:hyperlink w:anchor="k30" w:history="1">
        <w:r>
          <w:t>30</w:t>
        </w:r>
      </w:hyperlink>
      <w:r>
        <w:t>).</w:t>
      </w:r>
    </w:p>
    <w:p w14:paraId="70A4C549" w14:textId="016DDD37" w:rsidR="00C1548D" w:rsidRDefault="009B1B4B" w:rsidP="009B1B4B">
      <w:pPr>
        <w:pStyle w:val="ListParagraph"/>
        <w:numPr>
          <w:ilvl w:val="0"/>
          <w:numId w:val="2"/>
        </w:numPr>
        <w:spacing w:after="60"/>
      </w:pPr>
      <w:r>
        <w:rPr>
          <w:b/>
          <w:bCs/>
        </w:rPr>
        <w:t>Lotterie- und Gebührenrisiko.</w:t>
      </w:r>
      <w:r>
        <w:t xml:space="preserve"> Warum das passiert: Der H-1B ist gedeckelt; wer nicht bei einer Hochschule oder Forschungseinrichtung (</w:t>
      </w:r>
      <w:r>
        <w:rPr>
          <w:i/>
          <w:iCs/>
        </w:rPr>
        <w:t>Cap-exempt</w:t>
      </w:r>
      <w:r>
        <w:t>) arbeitet, braucht ein Los aus der jährlichen Lotterie im März. Was es kostet: Registrierung, Anwalt und Behördengebühren fallen oft schon vor der Auslosung an, mehrere Tausend Dollar, die bei einer Niete verloren sind, dazu ein weiteres Jahr Wartezeit; zusätzlich drohen politisch diskutierte Zusatzzahlungen, deren Umsetzung sich laufend ändert. Bei dieser Lotterie zahlst du die Teilnahmegebühr so oder so, gewinnst du nicht, bleibt nur der Trost, es im nächsten Jahr wieder zu versuchen. So vermeidest du es</w:t>
      </w:r>
      <w:r>
        <w:t xml:space="preserve">: Frage nach Cap-exempt-Arbeitgebern, sondiere Alternativen wie L-1 oder O-1, und plane finanziell wie zeitlich für mindestens einen gescheiterten Anlauf (siehe </w:t>
      </w:r>
      <w:r>
        <w:t>Kapitel </w:t>
      </w:r>
      <w:hyperlink w:anchor="k5" w:history="1">
        <w:r>
          <w:t>5</w:t>
        </w:r>
      </w:hyperlink>
      <w:r>
        <w:t xml:space="preserve"> und </w:t>
      </w:r>
      <w:hyperlink w:anchor="k9" w:history="1">
        <w:r>
          <w:t>9</w:t>
        </w:r>
      </w:hyperlink>
      <w:r>
        <w:t>).</w:t>
      </w:r>
    </w:p>
    <w:p w14:paraId="70A4C54A" w14:textId="56E1FE05" w:rsidR="00C1548D" w:rsidRDefault="009B1B4B" w:rsidP="009B1B4B">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prüfe Cap-exempt-Arbeitgeber mit Programmen für mitreisende Partner, kläre die Berufslizenz des Partners vo</w:t>
      </w:r>
      <w:r>
        <w:t xml:space="preserve">r der Arbeitserlaubnis, und plane die Wartezeit mit Kursen, Ehrenamt und Kontakten (siehe </w:t>
      </w:r>
      <w:r>
        <w:t>Kapitel </w:t>
      </w:r>
      <w:hyperlink w:anchor="k10" w:history="1">
        <w:r>
          <w:t>10</w:t>
        </w:r>
      </w:hyperlink>
      <w:r>
        <w:t xml:space="preserve">, </w:t>
      </w:r>
      <w:hyperlink w:anchor="k32" w:history="1">
        <w:r>
          <w:t>32</w:t>
        </w:r>
      </w:hyperlink>
      <w:r>
        <w:t xml:space="preserve"> und </w:t>
      </w:r>
      <w:hyperlink w:anchor="k33" w:history="1">
        <w:r>
          <w:t>33</w:t>
        </w:r>
      </w:hyperlink>
      <w:r>
        <w:t>).</w:t>
      </w:r>
    </w:p>
    <w:p w14:paraId="70A4C54B" w14:textId="55C18418" w:rsidR="00C1548D" w:rsidRDefault="009B1B4B" w:rsidP="009B1B4B">
      <w:pPr>
        <w:pStyle w:val="ListParagraph"/>
        <w:numPr>
          <w:ilvl w:val="0"/>
          <w:numId w:val="2"/>
        </w:numPr>
        <w:spacing w:after="60"/>
      </w:pPr>
      <w:r>
        <w:rPr>
          <w:b/>
          <w:bCs/>
        </w:rPr>
        <w:lastRenderedPageBreak/>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history="1">
        <w:r>
          <w:t>10</w:t>
        </w:r>
      </w:hyperlink>
      <w:r>
        <w:t xml:space="preserve"> und </w:t>
      </w:r>
      <w:hyperlink w:anchor="k38" w:history="1">
        <w:r>
          <w:t>38</w:t>
        </w:r>
      </w:hyperlink>
      <w:r>
        <w:t>).</w:t>
      </w:r>
    </w:p>
    <w:p w14:paraId="70A4C54C" w14:textId="7152980A" w:rsidR="00C1548D" w:rsidRDefault="009B1B4B" w:rsidP="009B1B4B">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w:t>
      </w:r>
      <w:r>
        <w:t xml:space="preserve">s dauerhaft, starte das Verfahren früh über den Arbeitgeber, und beobachte dein Herkunftsland im monatlichen Visa Bulletin (siehe </w:t>
      </w:r>
      <w:r>
        <w:t>Kapitel </w:t>
      </w:r>
      <w:hyperlink w:anchor="k6" w:history="1">
        <w:r>
          <w:t>6</w:t>
        </w:r>
      </w:hyperlink>
      <w:r>
        <w:t xml:space="preserve"> und </w:t>
      </w:r>
      <w:hyperlink w:anchor="k7" w:history="1">
        <w:r>
          <w:t>7</w:t>
        </w:r>
      </w:hyperlink>
      <w:r>
        <w:t>).</w:t>
      </w:r>
    </w:p>
    <w:p w14:paraId="70A4C54D" w14:textId="23984AA5" w:rsidR="00C1548D" w:rsidRDefault="009B1B4B" w:rsidP="009B1B4B">
      <w:pPr>
        <w:pStyle w:val="ListParagraph"/>
        <w:numPr>
          <w:ilvl w:val="0"/>
          <w:numId w:val="2"/>
        </w:numPr>
        <w:spacing w:after="60"/>
      </w:pPr>
      <w:r>
        <w:rPr>
          <w:b/>
          <w:bCs/>
        </w:rPr>
        <w:t>Kein Kündigungsschutz, dafür eine scharfe 60-Tage-Frist.</w:t>
      </w:r>
      <w:r>
        <w:t xml:space="preserve"> Warum das passiert: In den USA gilt fast überall </w:t>
      </w:r>
      <w:r>
        <w:rPr>
          <w:i/>
          <w:iCs/>
        </w:rPr>
        <w:t>At-will Employment</w:t>
      </w:r>
      <w:r>
        <w:t xml:space="preserve"> – beide Seiten können das Arbeitsverhältnis fristlos und ohne Grund beenden, ein Kündigungsschutzgesetz wie in Deutschland gibt es nicht. Der Abschied kann ähnlich schnell kommen, wie die Begrüßung freundlich war. Was es kostet: Ein </w:t>
      </w:r>
      <w:r>
        <w:rPr>
          <w:i/>
          <w:iCs/>
        </w:rPr>
        <w:t>Performance Improvement Plan</w:t>
      </w:r>
      <w:r>
        <w:t xml:space="preserve"> bereitet eine Kündigung oft nur vor, verhindert sie nicht, und mit dem Visum läuft parallel die 60-Tage-Frist aus Falle 1 – zwei Uhren gleichzeitig. So vermeidest du es: Verstehe ein Angebotsschreiben nie als Jobgarantie, sichere dich mit einer Rücklage ab, und </w:t>
      </w:r>
      <w:r>
        <w:lastRenderedPageBreak/>
        <w:t>dokumentiere Probleme am Arbeitsplatz frühzeitig schriftlich (siehe Kapitel </w:t>
      </w:r>
      <w:hyperlink w:anchor="k29" w:history="1">
        <w:r>
          <w:t>29</w:t>
        </w:r>
      </w:hyperlink>
      <w:r>
        <w:t xml:space="preserve"> und </w:t>
      </w:r>
      <w:hyperlink w:anchor="k30" w:history="1">
        <w:r>
          <w:t>30</w:t>
        </w:r>
      </w:hyperlink>
      <w:r>
        <w:t>).</w:t>
      </w:r>
    </w:p>
    <w:p w14:paraId="70A4C54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55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54F" w14:textId="77777777" w:rsidR="00C1548D" w:rsidRDefault="009B1B4B">
            <w:pPr>
              <w:keepNext/>
              <w:spacing w:after="70" w:line="240" w:lineRule="auto"/>
            </w:pPr>
            <w:r>
              <w:rPr>
                <w:b/>
                <w:bCs/>
                <w:color w:val="9B2C2C"/>
                <w:spacing w:val="24"/>
                <w:sz w:val="16"/>
                <w:szCs w:val="16"/>
              </w:rPr>
              <w:t>ACHTUNG</w:t>
            </w:r>
          </w:p>
          <w:p w14:paraId="70A4C550" w14:textId="77777777" w:rsidR="00C1548D" w:rsidRDefault="009B1B4B">
            <w:pPr>
              <w:spacing w:after="80" w:line="264" w:lineRule="auto"/>
            </w:pPr>
            <w:r>
              <w:rPr>
                <w:sz w:val="20"/>
                <w:szCs w:val="20"/>
              </w:rPr>
              <w:t>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tc>
      </w:tr>
    </w:tbl>
    <w:p w14:paraId="70A4C552" w14:textId="77777777" w:rsidR="00C1548D" w:rsidRDefault="00C1548D">
      <w:pPr>
        <w:spacing w:line="220" w:lineRule="exact"/>
      </w:pPr>
    </w:p>
    <w:p w14:paraId="70A4C553" w14:textId="77777777" w:rsidR="00C1548D" w:rsidRDefault="009B1B4B">
      <w:pPr>
        <w:pStyle w:val="Heading3"/>
        <w:keepNext/>
        <w:jc w:val="center"/>
      </w:pPr>
      <w:r>
        <w:rPr>
          <w:rFonts w:ascii="Amazon Ember" w:eastAsia="Amazon Ember" w:hAnsi="Amazon Ember" w:cs="Amazon Ember"/>
          <w:color w:val="0000FF"/>
          <w:sz w:val="36"/>
          <w:szCs w:val="36"/>
        </w:rPr>
        <w:t>Geld, Steuern und Vorsorge (Fallen 7–11)</w:t>
      </w:r>
    </w:p>
    <w:p w14:paraId="70A4C554" w14:textId="163D4AE3" w:rsidR="00C1548D" w:rsidRDefault="009B1B4B" w:rsidP="009B1B4B">
      <w:pPr>
        <w:pStyle w:val="ListParagraph"/>
        <w:numPr>
          <w:ilvl w:val="0"/>
          <w:numId w:val="3"/>
        </w:numPr>
        <w:spacing w:after="60"/>
      </w:pPr>
      <w:r>
        <w:rPr>
          <w:b/>
          <w:bCs/>
        </w:rPr>
        <w:t>Doppelbesteuerung, FBAR und die PFIC-Falle.</w:t>
      </w:r>
      <w:r>
        <w:t xml:space="preserve"> Warum das passiert: Sobald du als US-Steueransässiger giltst – durch Green Card oder den Tage-Test, unabhängig vom Visum –, zählt dein weltweites Einkommen, und deutsche Fonds und ETFs werden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history="1">
        <w:r>
          <w:t>17</w:t>
        </w:r>
      </w:hyperlink>
      <w:r>
        <w:t xml:space="preserve"> und </w:t>
      </w:r>
      <w:hyperlink w:anchor="k28" w:history="1">
        <w:r>
          <w:t>28</w:t>
        </w:r>
      </w:hyperlink>
      <w:r>
        <w:t>).</w:t>
      </w:r>
    </w:p>
    <w:p w14:paraId="70A4C555" w14:textId="57BB1136" w:rsidR="00C1548D" w:rsidRDefault="009B1B4B" w:rsidP="009B1B4B">
      <w:pPr>
        <w:pStyle w:val="ListParagraph"/>
        <w:numPr>
          <w:ilvl w:val="0"/>
          <w:numId w:val="3"/>
        </w:numPr>
        <w:spacing w:after="60"/>
      </w:pPr>
      <w:r>
        <w:rPr>
          <w:b/>
          <w:bCs/>
        </w:rPr>
        <w:t>Die Riester-Falle – differenzierter, als der Name klingt.</w:t>
      </w:r>
      <w:r>
        <w:t xml:space="preserve"> Warum das passiert: Viele Auswanderer fürchten, der Wegzug löse automatisch eine Rückzahlung der Riester-Zulagen aus – tatsächlich läuft ein bestehender Vertrag während der Ansparphase unbeschränkt weiter, ohne sofortige Folgen. Was es kostet: Kritisch wird es erst in der Auszahlungsphase – wohnst du dann außerhalb der EU und des EWR, muss der Anbieter Zulagen und Steuervorteile einbehalten und an den Fiskus abführen, ein spürbarer Betrag. So vermeidest du es: </w:t>
      </w:r>
      <w:r>
        <w:lastRenderedPageBreak/>
        <w:t>Fasse einen laufenden Vertrag während des Aufb</w:t>
      </w:r>
      <w:r>
        <w:t xml:space="preserve">aus nicht an, kalkuliere den Abzug realistisch ein, falls du die Rente in den USA antreten willst, und beachte, dass ab 2027 keine neuen Riester-Verträge mehr abgeschlossen werden (siehe </w:t>
      </w:r>
      <w:r>
        <w:t>Kapitel </w:t>
      </w:r>
      <w:hyperlink w:anchor="k17" w:history="1">
        <w:r>
          <w:t>17</w:t>
        </w:r>
      </w:hyperlink>
      <w:r>
        <w:t>).</w:t>
      </w:r>
    </w:p>
    <w:p w14:paraId="70A4C556" w14:textId="3B0F931D" w:rsidR="00C1548D" w:rsidRDefault="009B1B4B" w:rsidP="009B1B4B">
      <w:pPr>
        <w:pStyle w:val="ListParagraph"/>
        <w:numPr>
          <w:ilvl w:val="0"/>
          <w:numId w:val="3"/>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history="1">
        <w:r>
          <w:t>39</w:t>
        </w:r>
      </w:hyperlink>
      <w:r>
        <w:t>).</w:t>
      </w:r>
    </w:p>
    <w:p w14:paraId="70A4C557" w14:textId="180478E0" w:rsidR="00C1548D" w:rsidRDefault="009B1B4B" w:rsidP="009B1B4B">
      <w:pPr>
        <w:pStyle w:val="ListParagraph"/>
        <w:numPr>
          <w:ilvl w:val="0"/>
          <w:numId w:val="3"/>
        </w:numPr>
        <w:spacing w:after="60"/>
      </w:pPr>
      <w:r>
        <w:rPr>
          <w:b/>
          <w:bCs/>
        </w:rPr>
        <w:t>Wegzug und Abmeldung in Deutschland verschlafen.</w:t>
      </w:r>
      <w:r>
        <w:t xml:space="preserve"> Warum das passiert: Die Meldebehörde verlangt die Abmeldung binnen zwei Wochen nach dem Auszug, und viele Verträge – Rundfunkbeitrag, Versicherungen, Konten – enden nicht automatisch, sondern erst durch aktives Handeln. Was es kostet: bis zu 1.000 € Bußgeld für eine verspätete Abmeldung, dazu weiterlaufende Beiträge und Rundfunkgebühr, die sich über Monate summieren. So vermeidest du es: Erstelle eine Liste aller laufenden Verträge, melde dich rechtzeitig ab, lass dir eine Abmeldebescheinigung ausstellen u</w:t>
      </w:r>
      <w:r>
        <w:t xml:space="preserve">nd kopiere sie, und benenne einen Zustellungsbevollmächtigten für das Finanzamt (siehe </w:t>
      </w:r>
      <w:r>
        <w:t>Kapitel </w:t>
      </w:r>
      <w:hyperlink w:anchor="k16" w:history="1">
        <w:r>
          <w:t>16</w:t>
        </w:r>
      </w:hyperlink>
      <w:r>
        <w:t xml:space="preserve"> und </w:t>
      </w:r>
      <w:hyperlink w:anchor="k17" w:history="1">
        <w:r>
          <w:t>17</w:t>
        </w:r>
      </w:hyperlink>
      <w:r>
        <w:t>).</w:t>
      </w:r>
    </w:p>
    <w:p w14:paraId="70A4C558" w14:textId="261437B2" w:rsidR="00C1548D" w:rsidRDefault="009B1B4B" w:rsidP="009B1B4B">
      <w:pPr>
        <w:pStyle w:val="ListParagraph"/>
        <w:numPr>
          <w:ilvl w:val="0"/>
          <w:numId w:val="3"/>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Kreditkarten und pünktliche Zahlungen – am ersten Tag hast du keinen schlechten Score, sondern gar keinen. Was es kostet: Ohne Score sind Mietwohnungen, Handyverträge und günstige Kredite schwerer zu bekommen oder teurer, etwa durch höhere </w:t>
      </w:r>
      <w:r>
        <w:lastRenderedPageBreak/>
        <w:t>Kaution oder Vorauszahlung. So vermeidest du es: Beantrage früh eine besicherte Kreditkarte, zahle sie pünktlich und vollständig zurück, kündige die erste Karte später nicht vorschnell, und plane die ersten Monate m</w:t>
      </w:r>
      <w:r>
        <w:t xml:space="preserve">it alternativen Nachweisen (siehe </w:t>
      </w:r>
      <w:r>
        <w:t>Kapitel </w:t>
      </w:r>
      <w:hyperlink w:anchor="k24" w:history="1">
        <w:r>
          <w:t>24</w:t>
        </w:r>
      </w:hyperlink>
      <w:r>
        <w:t xml:space="preserve"> und </w:t>
      </w:r>
      <w:hyperlink w:anchor="k25" w:history="1">
        <w:r>
          <w:t>25</w:t>
        </w:r>
      </w:hyperlink>
      <w:r>
        <w:t>).</w:t>
      </w:r>
    </w:p>
    <w:p w14:paraId="70A4C55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55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55A" w14:textId="77777777" w:rsidR="00C1548D" w:rsidRDefault="009B1B4B">
            <w:pPr>
              <w:keepNext/>
              <w:spacing w:after="70" w:line="240" w:lineRule="auto"/>
            </w:pPr>
            <w:r>
              <w:rPr>
                <w:b/>
                <w:bCs/>
                <w:color w:val="9B2C2C"/>
                <w:spacing w:val="24"/>
                <w:sz w:val="16"/>
                <w:szCs w:val="16"/>
              </w:rPr>
              <w:t>ACHTUNG</w:t>
            </w:r>
          </w:p>
          <w:p w14:paraId="70A4C55B" w14:textId="77777777" w:rsidR="00C1548D" w:rsidRDefault="009B1B4B">
            <w:pPr>
              <w:spacing w:after="80" w:line="264" w:lineRule="auto"/>
            </w:pPr>
            <w:r>
              <w:rPr>
                <w:sz w:val="20"/>
                <w:szCs w:val="20"/>
              </w:rPr>
              <w:t>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tc>
      </w:tr>
    </w:tbl>
    <w:p w14:paraId="70A4C55D" w14:textId="77777777" w:rsidR="00C1548D" w:rsidRDefault="00C1548D">
      <w:pPr>
        <w:spacing w:line="220" w:lineRule="exact"/>
      </w:pPr>
    </w:p>
    <w:p w14:paraId="70A4C55E" w14:textId="77777777" w:rsidR="00C1548D" w:rsidRDefault="009B1B4B">
      <w:pPr>
        <w:pStyle w:val="Heading3"/>
        <w:keepNext/>
        <w:jc w:val="center"/>
      </w:pPr>
      <w:r>
        <w:rPr>
          <w:rFonts w:ascii="Amazon Ember" w:eastAsia="Amazon Ember" w:hAnsi="Amazon Ember" w:cs="Amazon Ember"/>
          <w:color w:val="0000FF"/>
          <w:sz w:val="36"/>
          <w:szCs w:val="36"/>
        </w:rPr>
        <w:t>Wohnen, Umzug und Alltagstechnik (Fallen 12–16)</w:t>
      </w:r>
    </w:p>
    <w:p w14:paraId="70A4C55F" w14:textId="2CBB3E82" w:rsidR="00C1548D" w:rsidRDefault="009B1B4B" w:rsidP="009B1B4B">
      <w:pPr>
        <w:pStyle w:val="ListParagraph"/>
        <w:numPr>
          <w:ilvl w:val="0"/>
          <w:numId w:val="4"/>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w:t>
      </w:r>
      <w:r>
        <w:t xml:space="preserve">te oder Vorauszahlungen von zwei bis zwölf Monatsmieten hinzu. So vermeidest du es: Bewirb dich mit Arbeitsvertrag, Einkommensnachweis und einem Angebot für Vorauszahlung oder Bürgschaftsdienst, statt auf einen persönlichen Bürgen zu hoffen, den kaum eine Verwaltung akzeptiert (siehe </w:t>
      </w:r>
      <w:r>
        <w:t>Kapitel </w:t>
      </w:r>
      <w:hyperlink w:anchor="k13" w:history="1">
        <w:r>
          <w:t>13</w:t>
        </w:r>
      </w:hyperlink>
      <w:r>
        <w:t>).</w:t>
      </w:r>
    </w:p>
    <w:p w14:paraId="70A4C560" w14:textId="60136E66" w:rsidR="00C1548D" w:rsidRDefault="009B1B4B" w:rsidP="009B1B4B">
      <w:pPr>
        <w:pStyle w:val="ListParagraph"/>
        <w:numPr>
          <w:ilvl w:val="0"/>
          <w:numId w:val="4"/>
        </w:numPr>
        <w:spacing w:after="60"/>
      </w:pPr>
      <w:r>
        <w:rPr>
          <w:b/>
          <w:bCs/>
        </w:rPr>
        <w:t>Die Kosten des Umzugs selbst.</w:t>
      </w:r>
      <w:r>
        <w:t xml:space="preserve"> Warum das passiert: Zwischen Sammelladung, Container, Luftfracht und Zwischenlagerung entstehen leicht mehrere Tausend Euro, und ein Umzugszuschuss des Arbeitgebers ist in den USA </w:t>
      </w:r>
      <w:r>
        <w:lastRenderedPageBreak/>
        <w:t xml:space="preserve">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history="1">
        <w:r>
          <w:t>20</w:t>
        </w:r>
      </w:hyperlink>
      <w:r>
        <w:t>).</w:t>
      </w:r>
    </w:p>
    <w:p w14:paraId="70A4C561" w14:textId="7C83087F" w:rsidR="00C1548D" w:rsidRDefault="009B1B4B" w:rsidP="009B1B4B">
      <w:pPr>
        <w:pStyle w:val="ListParagraph"/>
        <w:numPr>
          <w:ilvl w:val="0"/>
          <w:numId w:val="4"/>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w:t>
      </w:r>
      <w:r>
        <w:t xml:space="preserve">sich bei Geräten über 1.000 Watt ohnehin kaum. So vermeidest du es: Prüfe vor dem Packen das Typenschild jedes Geräts auf „100–240 V“, nimm nur Geräte mit diesem Bereich mit, und plane Küchengeräte, Lampen und größere Elektrogeräte als Neukauf vor Ort ein (siehe </w:t>
      </w:r>
      <w:r>
        <w:t>Kapitel </w:t>
      </w:r>
      <w:hyperlink w:anchor="k21" w:history="1">
        <w:r>
          <w:t>21</w:t>
        </w:r>
      </w:hyperlink>
      <w:r>
        <w:t>).</w:t>
      </w:r>
    </w:p>
    <w:p w14:paraId="70A4C562" w14:textId="64F3B39D" w:rsidR="00C1548D" w:rsidRDefault="009B1B4B" w:rsidP="009B1B4B">
      <w:pPr>
        <w:pStyle w:val="ListParagraph"/>
        <w:numPr>
          <w:ilvl w:val="0"/>
          <w:numId w:val="4"/>
        </w:numPr>
        <w:spacing w:after="60"/>
      </w:pPr>
      <w:r>
        <w:rPr>
          <w:b/>
          <w:bCs/>
        </w:rPr>
        <w:t>Zu früh ein Haus kaufen.</w:t>
      </w:r>
      <w:r>
        <w:t xml:space="preserve"> Warum das passiert: Nach Jahren des Mietens in Deutschland fühlt sich Kaufen nach dem folgerichtigen nächsten Schritt an, noch bevor du Viertel, Schulbezirk und Pendelwege wirklich kennst. Was es kostet: Kauf und Verkauf zusammen verschlingen rund 10 % des Preises, und viele Finanzierungen setzen eine Restlaufzeit des Visums von mindestens zwölf Monaten und oft zwei Jahre US-Arbeitshistorie voraus; ein zu früher Kauf bindet dich, wenn Job oder Status sich ändern. So vermeidest du es: Miete mindestens das e</w:t>
      </w:r>
      <w:r>
        <w:t xml:space="preserve">rste Jahr, baue nebenbei deine Kredithistorie auf, und </w:t>
      </w:r>
      <w:r>
        <w:lastRenderedPageBreak/>
        <w:t xml:space="preserve">rechne erst danach Kaufen gegen Mieten (siehe </w:t>
      </w:r>
      <w:r>
        <w:t>Kapitel </w:t>
      </w:r>
      <w:hyperlink w:anchor="k13" w:history="1">
        <w:r>
          <w:t>13</w:t>
        </w:r>
      </w:hyperlink>
      <w:r>
        <w:t xml:space="preserve"> und </w:t>
      </w:r>
      <w:hyperlink w:anchor="k14" w:history="1">
        <w:r>
          <w:t>14</w:t>
        </w:r>
      </w:hyperlink>
      <w:r>
        <w:t>).</w:t>
      </w:r>
    </w:p>
    <w:p w14:paraId="70A4C563" w14:textId="508F8006" w:rsidR="00C1548D" w:rsidRDefault="009B1B4B" w:rsidP="009B1B4B">
      <w:pPr>
        <w:pStyle w:val="ListParagraph"/>
        <w:numPr>
          <w:ilvl w:val="0"/>
          <w:numId w:val="4"/>
        </w:numPr>
        <w:spacing w:after="60"/>
      </w:pPr>
      <w:r>
        <w:rPr>
          <w:b/>
          <w:bCs/>
        </w:rPr>
        <w:t>Die Schulwahl ist die Wohnortwahl.</w:t>
      </w:r>
      <w:r>
        <w:t xml:space="preserve"> Warum das passiert: Die öffentliche Schule richtet sich strikt nach dem Schulbezirk (</w:t>
      </w:r>
      <w:r>
        <w:rPr>
          <w:i/>
          <w:iCs/>
        </w:rPr>
        <w:t>School District</w:t>
      </w:r>
      <w: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nutze Bewertungsportale nur als groben Anhaltspunkt, und sprich mit anderen Eltern vor Ort, bevor du dich festlegst (siehe Kapitel </w:t>
      </w:r>
      <w:hyperlink w:anchor="k12" w:history="1">
        <w:r>
          <w:t>12</w:t>
        </w:r>
      </w:hyperlink>
      <w:r>
        <w:t xml:space="preserve"> und </w:t>
      </w:r>
      <w:hyperlink w:anchor="k36" w:history="1">
        <w:r>
          <w:t>36</w:t>
        </w:r>
      </w:hyperlink>
      <w:r>
        <w:t>).</w:t>
      </w:r>
    </w:p>
    <w:p w14:paraId="70A4C564" w14:textId="77777777" w:rsidR="00C1548D" w:rsidRDefault="00C1548D">
      <w:pPr>
        <w:spacing w:line="120" w:lineRule="exact"/>
      </w:pPr>
    </w:p>
    <w:p w14:paraId="70A4C565" w14:textId="77777777" w:rsidR="00C1548D" w:rsidRDefault="009B1B4B">
      <w:pPr>
        <w:pStyle w:val="Heading3"/>
        <w:keepNext/>
        <w:jc w:val="center"/>
      </w:pPr>
      <w:r>
        <w:rPr>
          <w:rFonts w:ascii="Amazon Ember" w:eastAsia="Amazon Ember" w:hAnsi="Amazon Ember" w:cs="Amazon Ember"/>
          <w:color w:val="0000FF"/>
          <w:sz w:val="36"/>
          <w:szCs w:val="36"/>
        </w:rPr>
        <w:t>Familie, Gesundheit und Behörden (Fallen 17–20)</w:t>
      </w:r>
    </w:p>
    <w:p w14:paraId="70A4C566" w14:textId="4C7DFDB0" w:rsidR="00C1548D" w:rsidRDefault="009B1B4B" w:rsidP="009B1B4B">
      <w:pPr>
        <w:pStyle w:val="ListParagraph"/>
        <w:numPr>
          <w:ilvl w:val="0"/>
          <w:numId w:val="5"/>
        </w:numPr>
        <w:spacing w:after="60"/>
      </w:pPr>
      <w:r>
        <w:rPr>
          <w:b/>
          <w:bCs/>
        </w:rPr>
        <w:t>Versicherungslücken beim Übergang.</w:t>
      </w:r>
      <w:r>
        <w:t xml:space="preserve"> Warum das passiert: Zwischen dem Ende der deutschen Absicherung und dem Start der US-Krankenversicherung liegen oft drei bis vier Monate, weil Arbeitgeberpläne bis zu 90 Tage Wartefrist verlangen dürfen und die Deckung meist erst zum Monatsersten beginnt. Was es kostet: Ein Unfall oder eine Geburt in dieser Lücke kann Zehntausende Dollar aus eigener Tasche kosten. So vermeidest du es: Kündige die freiwillige deutsche Mitgliedschaft nie auf Verdacht, sondern erst nach Nachweis einer Anschlusslösung, schließ</w:t>
      </w:r>
      <w:r>
        <w:t xml:space="preserve">e für die Übergangszeit eine Auslandskrankenversicherung ab, und verhandle „Deckung ab Tag eins“ beim Jobangebot (siehe </w:t>
      </w:r>
      <w:r>
        <w:t>Kapitel </w:t>
      </w:r>
      <w:hyperlink w:anchor="k18" w:history="1">
        <w:r>
          <w:t>18</w:t>
        </w:r>
      </w:hyperlink>
      <w:r>
        <w:t xml:space="preserve"> und </w:t>
      </w:r>
      <w:hyperlink w:anchor="k26" w:history="1">
        <w:r>
          <w:t>26</w:t>
        </w:r>
      </w:hyperlink>
      <w:r>
        <w:t>).</w:t>
      </w:r>
    </w:p>
    <w:p w14:paraId="70A4C567" w14:textId="22C8649E" w:rsidR="00C1548D" w:rsidRDefault="009B1B4B" w:rsidP="009B1B4B">
      <w:pPr>
        <w:pStyle w:val="ListParagraph"/>
        <w:numPr>
          <w:ilvl w:val="0"/>
          <w:numId w:val="5"/>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t>
      </w:r>
      <w:r>
        <w:lastRenderedPageBreak/>
        <w:t>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w:t>
      </w:r>
      <w:r>
        <w:t xml:space="preserve">gesmutter und Au-pair-Ersatz, und plane die Betreuungskosten im Haushaltsbudget ein (siehe </w:t>
      </w:r>
      <w:r>
        <w:t>Kapitel </w:t>
      </w:r>
      <w:hyperlink w:anchor="k38" w:history="1">
        <w:r>
          <w:t>38</w:t>
        </w:r>
      </w:hyperlink>
      <w:r>
        <w:t>).</w:t>
      </w:r>
    </w:p>
    <w:p w14:paraId="70A4C568" w14:textId="508584E6" w:rsidR="00C1548D" w:rsidRDefault="009B1B4B" w:rsidP="009B1B4B">
      <w:pPr>
        <w:pStyle w:val="ListParagraph"/>
        <w:numPr>
          <w:ilvl w:val="0"/>
          <w:numId w:val="5"/>
        </w:numPr>
        <w:spacing w:after="60"/>
      </w:pPr>
      <w:r>
        <w:rPr>
          <w:b/>
          <w:bCs/>
        </w:rPr>
        <w:t>Geburt in den USA – Staatsbürgerschaft, Kosten, Fristen.</w:t>
      </w:r>
      <w:r>
        <w:t xml:space="preserve"> Warum das passiert: Ein in den USA geborenes Kind ist mit der Geburt automatisch US-Bürger, unabhängig vom Visum der Eltern; das ändert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melde das Ki</w:t>
      </w:r>
      <w:r>
        <w:t xml:space="preserve">nd sofort nach der Geburt im Plan an, und beantrage parallel deutsche Geburtsurkunde und Reisepass für das zugleich deutsche Kind (siehe </w:t>
      </w:r>
      <w:r>
        <w:t>Kapitel </w:t>
      </w:r>
      <w:hyperlink w:anchor="k26" w:history="1">
        <w:r>
          <w:t>26</w:t>
        </w:r>
      </w:hyperlink>
      <w:r>
        <w:t xml:space="preserve"> und </w:t>
      </w:r>
      <w:hyperlink w:anchor="k38" w:history="1">
        <w:r>
          <w:t>38</w:t>
        </w:r>
      </w:hyperlink>
      <w:r>
        <w:t>).</w:t>
      </w:r>
    </w:p>
    <w:p w14:paraId="70A4C569" w14:textId="7D7D0505" w:rsidR="00C1548D" w:rsidRDefault="009B1B4B" w:rsidP="009B1B4B">
      <w:pPr>
        <w:pStyle w:val="ListParagraph"/>
        <w:numPr>
          <w:ilvl w:val="0"/>
          <w:numId w:val="5"/>
        </w:numPr>
        <w:spacing w:after="60"/>
      </w:pPr>
      <w:r>
        <w:rPr>
          <w:b/>
          <w:bCs/>
        </w:rPr>
        <w:t>Die Ämterkette blockiert den Start.</w:t>
      </w:r>
      <w:r>
        <w:t xml:space="preserve"> Warum das passiert: Ohne Sozialversicherungsnummer (SSN) kein US-Bankkonto, ohne Bankkonto oft kein Handyvertrag mit Laufzeit, ohne beides manchmal keine Wohnung – die ersten Wochen hängen an einer strikten Reihenfolge, die viele Neuankömmlinge nicht kennen. Was es kostet: Wochen an Zeit und Umwegen über Prepaid-Tarife oder Bargeld, wenn die Reihenfolge missachtet wird. So vermeidest du es: Beantrage die SSN in der ersten Woche, informiere die Personalabteilung, dass sie noch fehlt, und überbrücke die Zwis</w:t>
      </w:r>
      <w:r>
        <w:t xml:space="preserve">chenzeit mit Prepaid-Lösungen statt auf einen Vertrag zu warten (siehe </w:t>
      </w:r>
      <w:r>
        <w:t>Kapitel </w:t>
      </w:r>
      <w:hyperlink w:anchor="k23" w:history="1">
        <w:r>
          <w:t>23</w:t>
        </w:r>
      </w:hyperlink>
      <w:r>
        <w:t xml:space="preserve"> und </w:t>
      </w:r>
      <w:hyperlink w:anchor="k24" w:history="1">
        <w:r>
          <w:t>24</w:t>
        </w:r>
      </w:hyperlink>
      <w:r>
        <w:t>).</w:t>
      </w:r>
    </w:p>
    <w:p w14:paraId="70A4C56A" w14:textId="77777777" w:rsidR="00C1548D" w:rsidRDefault="00C1548D">
      <w:pPr>
        <w:spacing w:line="120" w:lineRule="exact"/>
      </w:pPr>
    </w:p>
    <w:p w14:paraId="70A4C56B" w14:textId="77777777" w:rsidR="00C1548D" w:rsidRDefault="009B1B4B">
      <w:pPr>
        <w:pStyle w:val="Heading3"/>
        <w:keepNext/>
        <w:jc w:val="center"/>
      </w:pPr>
      <w:r>
        <w:rPr>
          <w:rFonts w:ascii="Amazon Ember" w:eastAsia="Amazon Ember" w:hAnsi="Amazon Ember" w:cs="Amazon Ember"/>
          <w:color w:val="0000FF"/>
          <w:sz w:val="36"/>
          <w:szCs w:val="36"/>
        </w:rPr>
        <w:lastRenderedPageBreak/>
        <w:t>Ankommen, Alltag und Rückkehr (Fallen 21–25)</w:t>
      </w:r>
    </w:p>
    <w:p w14:paraId="70A4C56C" w14:textId="3A575745" w:rsidR="00C1548D" w:rsidRDefault="009B1B4B" w:rsidP="009B1B4B">
      <w:pPr>
        <w:pStyle w:val="ListParagraph"/>
        <w:numPr>
          <w:ilvl w:val="0"/>
          <w:numId w:val="6"/>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w:t>
      </w:r>
      <w:r>
        <w:t xml:space="preserve"> So vermeidest du es: Suche aktiv Anschluss über Vereine, Nachbarschaft, Kirche oder Meetup-Gruppen, sprich offen über Heimweh statt es zu verdrängen, und hol dir Hilfe, wenn die Talsohle über Monate anhält (siehe </w:t>
      </w:r>
      <w:r>
        <w:t>Kapitel </w:t>
      </w:r>
      <w:hyperlink w:anchor="k32" w:history="1">
        <w:r>
          <w:t>32</w:t>
        </w:r>
      </w:hyperlink>
      <w:r>
        <w:t xml:space="preserve"> und </w:t>
      </w:r>
      <w:hyperlink w:anchor="k33" w:history="1">
        <w:r>
          <w:t>33</w:t>
        </w:r>
      </w:hyperlink>
      <w:r>
        <w:t>).</w:t>
      </w:r>
    </w:p>
    <w:p w14:paraId="70A4C56D" w14:textId="27FE4421" w:rsidR="00C1548D" w:rsidRDefault="009B1B4B" w:rsidP="009B1B4B">
      <w:pPr>
        <w:pStyle w:val="ListParagraph"/>
        <w:numPr>
          <w:ilvl w:val="0"/>
          <w:numId w:val="6"/>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history="1">
        <w:r>
          <w:t>36</w:t>
        </w:r>
      </w:hyperlink>
      <w:r>
        <w:t xml:space="preserve"> und </w:t>
      </w:r>
      <w:hyperlink w:anchor="k37" w:history="1">
        <w:r>
          <w:t>37</w:t>
        </w:r>
      </w:hyperlink>
      <w:r>
        <w:t>).</w:t>
      </w:r>
    </w:p>
    <w:p w14:paraId="70A4C56E" w14:textId="6CC85A46" w:rsidR="00C1548D" w:rsidRDefault="009B1B4B" w:rsidP="009B1B4B">
      <w:pPr>
        <w:pStyle w:val="ListParagraph"/>
        <w:numPr>
          <w:ilvl w:val="0"/>
          <w:numId w:val="6"/>
        </w:numPr>
        <w:spacing w:after="60"/>
      </w:pPr>
      <w:r>
        <w:rPr>
          <w:b/>
          <w:bCs/>
        </w:rPr>
        <w:t>Preise ohne Steuer und Trinkgeld.</w:t>
      </w:r>
      <w:r>
        <w:t xml:space="preserve"> Warum das passiert: Preisschilder zeigen in den USA den Nettopreis; die Verkaufssteuer (</w:t>
      </w:r>
      <w:r>
        <w:rPr>
          <w:i/>
          <w:iCs/>
        </w:rPr>
        <w:t>Sales Tax</w:t>
      </w:r>
      <w:r>
        <w:t xml:space="preserve">) kommt erst an der Kasse dazu, und in Restaurants, Bars und beim Friseur ist Trinkgeld Teil des Lohns, keine Kür. Was es kostet: Rechne mit rund einem Viertel Aufschlag auf den angezeigten Preis; üblich sind 18–20 % </w:t>
      </w:r>
      <w:r>
        <w:lastRenderedPageBreak/>
        <w:t>Trinkgeld vom Betrag vor Steuer, weniger fällt unangenehm auf. So vermeidest du es: Kalkuliere von Anfang an mit dem Aufschlag, informiere dich über die Sales Tax deines Bundesstaats und Landkreises, und gib in Restaurants nie unter 15 % (siehe Kapitel </w:t>
      </w:r>
      <w:hyperlink w:anchor="k31" w:history="1">
        <w:r>
          <w:t>31</w:t>
        </w:r>
      </w:hyperlink>
      <w:r>
        <w:t>).</w:t>
      </w:r>
    </w:p>
    <w:p w14:paraId="70A4C56F" w14:textId="594E89BD" w:rsidR="00C1548D" w:rsidRDefault="009B1B4B" w:rsidP="009B1B4B">
      <w:pPr>
        <w:pStyle w:val="ListParagraph"/>
        <w:numPr>
          <w:ilvl w:val="0"/>
          <w:numId w:val="6"/>
        </w:numPr>
        <w:spacing w:after="60"/>
      </w:pPr>
      <w:r>
        <w:rPr>
          <w:b/>
          <w:bCs/>
        </w:rPr>
        <w:t>DUI und Einwanderung.</w:t>
      </w:r>
      <w:r>
        <w:t xml:space="preserve"> Warum das passiert: Trunkenheit am Steuer (</w:t>
      </w:r>
      <w:r>
        <w:rPr>
          <w:i/>
          <w:iCs/>
        </w:rPr>
        <w:t>DUI</w:t>
      </w:r>
      <w:r>
        <w:t xml:space="preserve">)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w:t>
      </w:r>
      <w:r>
        <w:t xml:space="preserve">nutze feste Fahrdienste oder Rideshare, und meide Cannabis auch dort, wo einzelne Bundesstaaten es erlauben, denn bundesrechtlich bleibt es verboten (siehe </w:t>
      </w:r>
      <w:r>
        <w:t>Kapitel </w:t>
      </w:r>
      <w:hyperlink w:anchor="k27" w:history="1">
        <w:r>
          <w:t>27</w:t>
        </w:r>
      </w:hyperlink>
      <w:r>
        <w:t xml:space="preserve"> und </w:t>
      </w:r>
      <w:hyperlink w:anchor="k40" w:history="1">
        <w:r>
          <w:t>40</w:t>
        </w:r>
      </w:hyperlink>
      <w:r>
        <w:t>).</w:t>
      </w:r>
    </w:p>
    <w:p w14:paraId="70A4C570" w14:textId="65C7B48B" w:rsidR="00C1548D" w:rsidRDefault="009B1B4B" w:rsidP="009B1B4B">
      <w:pPr>
        <w:pStyle w:val="ListParagraph"/>
        <w:numPr>
          <w:ilvl w:val="0"/>
          <w:numId w:val="6"/>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und unterschätzt, wie viel Vorlauf eine Rückkehr braucht. Was es kostet: Ohne rechtzeitige Klärung drohen Deckungslücken, ein teurer Wiedereinstieg in die private Versicherung oder Ablehnungen wegen Vorerkrankungen. So vermeidest du es: Kläre Krankenversicherung, letzte US-Steuererklärung und, bei langer Green-Card-Zeit, die </w:t>
      </w:r>
      <w:r>
        <w:rPr>
          <w:i/>
          <w:iCs/>
        </w:rPr>
        <w:t>Exit Tax</w:t>
      </w:r>
      <w:r>
        <w:t xml:space="preserve"> mit drei bis sechs Monaten Vorlauf, und richte den Rückkehrzeitpunkt am deutschen Schuljahr der Kinder aus (siehe Kapitel </w:t>
      </w:r>
      <w:hyperlink w:anchor="k42" w:history="1">
        <w:r>
          <w:t>42</w:t>
        </w:r>
      </w:hyperlink>
      <w:r>
        <w:t>).</w:t>
      </w:r>
    </w:p>
    <w:p w14:paraId="70A4C571"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57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572" w14:textId="77777777" w:rsidR="00C1548D" w:rsidRDefault="009B1B4B">
            <w:pPr>
              <w:keepNext/>
              <w:spacing w:after="70" w:line="240" w:lineRule="auto"/>
            </w:pPr>
            <w:r>
              <w:rPr>
                <w:b/>
                <w:bCs/>
                <w:color w:val="9B2C2C"/>
                <w:spacing w:val="24"/>
                <w:sz w:val="16"/>
                <w:szCs w:val="16"/>
              </w:rPr>
              <w:lastRenderedPageBreak/>
              <w:t>ACHTUNG</w:t>
            </w:r>
          </w:p>
          <w:p w14:paraId="70A4C573" w14:textId="77777777" w:rsidR="00C1548D" w:rsidRDefault="009B1B4B">
            <w:pPr>
              <w:spacing w:after="80" w:line="264" w:lineRule="auto"/>
            </w:pPr>
            <w:r>
              <w:rPr>
                <w:sz w:val="20"/>
                <w:szCs w:val="20"/>
              </w:rPr>
              <w:t>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tc>
      </w:tr>
    </w:tbl>
    <w:p w14:paraId="70A4C575" w14:textId="77777777" w:rsidR="00C1548D" w:rsidRDefault="00C1548D">
      <w:pPr>
        <w:spacing w:line="220" w:lineRule="exact"/>
      </w:pPr>
    </w:p>
    <w:p w14:paraId="70A4C576"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579"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77"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78" w14:textId="77777777" w:rsidR="00C1548D" w:rsidRDefault="009B1B4B">
            <w:pPr>
              <w:spacing w:line="250" w:lineRule="auto"/>
            </w:pPr>
            <w:r>
              <w:rPr>
                <w:b/>
                <w:bCs/>
                <w:sz w:val="18"/>
                <w:szCs w:val="18"/>
              </w:rPr>
              <w:t>Minus</w:t>
            </w:r>
          </w:p>
        </w:tc>
      </w:tr>
      <w:tr w:rsidR="00C1548D" w14:paraId="70A4C57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7A" w14:textId="77777777" w:rsidR="00C1548D" w:rsidRDefault="009B1B4B">
            <w:pPr>
              <w:spacing w:line="250" w:lineRule="auto"/>
            </w:pPr>
            <w:r>
              <w:rPr>
                <w:sz w:val="18"/>
                <w:szCs w:val="18"/>
              </w:rPr>
              <w:t>Wer diese 25 Fallen kennt, vermeidet die teuersten Fehler schon vor dem Abflug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7B" w14:textId="77777777" w:rsidR="00C1548D" w:rsidRDefault="009B1B4B">
            <w:pPr>
              <w:spacing w:line="250" w:lineRule="auto"/>
            </w:pPr>
            <w:r>
              <w:rPr>
                <w:sz w:val="18"/>
                <w:szCs w:val="18"/>
              </w:rPr>
              <w:t>Manche Fallen liegen außerhalb deiner Kontrolle: Lotterie, Age-out, Kündigung</w:t>
            </w:r>
          </w:p>
        </w:tc>
      </w:tr>
      <w:tr w:rsidR="00C1548D" w14:paraId="70A4C57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7D" w14:textId="77777777" w:rsidR="00C1548D" w:rsidRDefault="009B1B4B">
            <w:pPr>
              <w:spacing w:line="250" w:lineRule="auto"/>
            </w:pPr>
            <w:r>
              <w:rPr>
                <w:sz w:val="18"/>
                <w:szCs w:val="18"/>
              </w:rPr>
              <w:t>Die meisten Kosten lassen sich mit Vorlauf auf ein Minimum drücken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7E" w14:textId="77777777" w:rsidR="00C1548D" w:rsidRDefault="009B1B4B">
            <w:pPr>
              <w:spacing w:line="250" w:lineRule="auto"/>
            </w:pPr>
            <w:r>
              <w:rPr>
                <w:sz w:val="18"/>
                <w:szCs w:val="18"/>
              </w:rPr>
              <w:t>Zwei Rechtssysteme gleichzeitig bedeuten dauerhaften Beratungsaufwand</w:t>
            </w:r>
          </w:p>
        </w:tc>
      </w:tr>
      <w:tr w:rsidR="00C1548D" w14:paraId="70A4C58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80" w14:textId="77777777" w:rsidR="00C1548D" w:rsidRDefault="009B1B4B">
            <w:pPr>
              <w:spacing w:line="250" w:lineRule="auto"/>
            </w:pPr>
            <w:r>
              <w:rPr>
                <w:sz w:val="18"/>
                <w:szCs w:val="18"/>
              </w:rPr>
              <w:t>Fristen wie die 60-Tage-Regel oder die Anmeldefrist für Neugeborene sind planbar, sobald du sie kennst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81" w14:textId="77777777" w:rsidR="00C1548D" w:rsidRDefault="009B1B4B">
            <w:pPr>
              <w:spacing w:line="250" w:lineRule="auto"/>
            </w:pPr>
            <w:r>
              <w:rPr>
                <w:sz w:val="18"/>
                <w:szCs w:val="18"/>
              </w:rPr>
              <w:t>Bürokratie in zwei Ländern verlangt Zeit, die du im Alltag erst einplanen musst</w:t>
            </w:r>
          </w:p>
        </w:tc>
      </w:tr>
      <w:tr w:rsidR="00C1548D" w14:paraId="70A4C58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83" w14:textId="77777777" w:rsidR="00C1548D" w:rsidRDefault="009B1B4B">
            <w:pPr>
              <w:spacing w:line="250" w:lineRule="auto"/>
            </w:pPr>
            <w:r>
              <w:rPr>
                <w:sz w:val="18"/>
                <w:szCs w:val="18"/>
              </w:rPr>
              <w:t>Jede Falle hier verweist auf ein Fachkapitel mit dem vollständigen Vorgehen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84" w14:textId="77777777" w:rsidR="00C1548D" w:rsidRDefault="009B1B4B">
            <w:pPr>
              <w:spacing w:line="250" w:lineRule="auto"/>
            </w:pPr>
            <w:r>
              <w:rPr>
                <w:sz w:val="18"/>
                <w:szCs w:val="18"/>
              </w:rPr>
              <w:t>Eine Liste ersetzt keine individuelle Rechts- und Steuerberatung</w:t>
            </w:r>
          </w:p>
        </w:tc>
      </w:tr>
    </w:tbl>
    <w:p w14:paraId="70A4C586" w14:textId="77777777" w:rsidR="00C1548D" w:rsidRDefault="00C1548D">
      <w:pPr>
        <w:spacing w:line="180" w:lineRule="exact"/>
      </w:pPr>
    </w:p>
    <w:p w14:paraId="70A4C587"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C588" w14:textId="3DB77A75" w:rsidR="00C1548D" w:rsidRDefault="009B1B4B">
      <w:pPr>
        <w:spacing w:after="140"/>
      </w:pPr>
      <w: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history="1">
        <w:r>
          <w:t>4</w:t>
        </w:r>
      </w:hyperlink>
      <w:r>
        <w:t xml:space="preserve"> bis </w:t>
      </w:r>
      <w:hyperlink w:anchor="k11" w:history="1">
        <w:r>
          <w:t>11</w:t>
        </w:r>
      </w:hyperlink>
      <w:r>
        <w:t>, Geld und Steuern in Kapitel </w:t>
      </w:r>
      <w:hyperlink w:anchor="k16" w:history="1">
        <w:r>
          <w:t>16</w:t>
        </w:r>
      </w:hyperlink>
      <w:r>
        <w:t xml:space="preserve">, </w:t>
      </w:r>
      <w:hyperlink w:anchor="k17" w:history="1">
        <w:r>
          <w:t>17</w:t>
        </w:r>
      </w:hyperlink>
      <w:r>
        <w:t xml:space="preserve">, </w:t>
      </w:r>
      <w:hyperlink w:anchor="k28" w:history="1">
        <w:r>
          <w:t>28</w:t>
        </w:r>
      </w:hyperlink>
      <w:r>
        <w:t xml:space="preserve"> und </w:t>
      </w:r>
      <w:hyperlink w:anchor="k39" w:history="1">
        <w:r>
          <w:t>39</w:t>
        </w:r>
      </w:hyperlink>
      <w:r>
        <w:t>, Wohnen und Ankommen in Kapitel </w:t>
      </w:r>
      <w:hyperlink w:anchor="k12" w:history="1">
        <w:r>
          <w:t>12</w:t>
        </w:r>
      </w:hyperlink>
      <w:r>
        <w:t xml:space="preserve"> bis </w:t>
      </w:r>
      <w:hyperlink w:anchor="k14" w:history="1">
        <w:r>
          <w:t>14</w:t>
        </w:r>
      </w:hyperlink>
      <w:r>
        <w:t xml:space="preserve"> und </w:t>
      </w:r>
      <w:hyperlink w:anchor="k20" w:history="1">
        <w:r>
          <w:t>20</w:t>
        </w:r>
      </w:hyperlink>
      <w:r>
        <w:t xml:space="preserve"> bis </w:t>
      </w:r>
      <w:hyperlink w:anchor="k27" w:history="1">
        <w:r>
          <w:t>27</w:t>
        </w:r>
      </w:hyperlink>
      <w:r>
        <w:t>, Familie und Alltag in Kapitel </w:t>
      </w:r>
      <w:hyperlink w:anchor="k31" w:history="1">
        <w:r>
          <w:t>31</w:t>
        </w:r>
      </w:hyperlink>
      <w:r>
        <w:t xml:space="preserve"> bis </w:t>
      </w:r>
      <w:hyperlink w:anchor="k38" w:history="1">
        <w:r>
          <w:t>38</w:t>
        </w:r>
      </w:hyperlink>
      <w:r>
        <w:t xml:space="preserve"> und </w:t>
      </w:r>
      <w:hyperlink w:anchor="k42" w:history="1">
        <w:r>
          <w:t>42</w:t>
        </w:r>
      </w:hyperlink>
      <w:r>
        <w:t>. Der Masterplan in Kapitel </w:t>
      </w:r>
      <w:hyperlink w:anchor="k15" w:history="1">
        <w:r>
          <w:t>15</w:t>
        </w:r>
      </w:hyperlink>
      <w:r>
        <w:t xml:space="preserve"> bringt alle Fristen anschließend in eine gemeinsame Zeitleiste.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594"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589" w14:textId="77777777" w:rsidR="00C1548D" w:rsidRDefault="009B1B4B">
            <w:pPr>
              <w:keepNext/>
              <w:spacing w:after="70" w:line="240" w:lineRule="auto"/>
            </w:pPr>
            <w:r>
              <w:rPr>
                <w:b/>
                <w:bCs/>
                <w:color w:val="1F6F78"/>
                <w:spacing w:val="24"/>
                <w:sz w:val="16"/>
                <w:szCs w:val="16"/>
              </w:rPr>
              <w:lastRenderedPageBreak/>
              <w:t>CHECKLISTE</w:t>
            </w:r>
          </w:p>
          <w:p w14:paraId="70A4C58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Rücklage von mindestens sechs Monatsfixkosten aufbauen, bevor du kündigst</w:t>
            </w:r>
          </w:p>
          <w:p w14:paraId="70A4C58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21. Geburtstag aller mitreisenden Kinder im Kalender notieren</w:t>
            </w:r>
          </w:p>
          <w:p w14:paraId="70A4C58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Deutsche Fondssparpläne vor dem steuerlichen Zuzug mit einem Steuerberater klären (PFIC)</w:t>
            </w:r>
          </w:p>
          <w:p w14:paraId="70A4C58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Alle deutschen Verträge und Konten für die Abmeldung auflisten</w:t>
            </w:r>
          </w:p>
          <w:p w14:paraId="70A4C58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Übergangsversicherung für die Lücke zwischen deutscher und US-Krankenversicherung abschließen</w:t>
            </w:r>
          </w:p>
          <w:p w14:paraId="70A4C58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Erste besicherte Kreditkarte gleich nach der SSN beantragen</w:t>
            </w:r>
          </w:p>
          <w:p w14:paraId="70A4C59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Schulbezirk vor der Wohnungssuche prüfen, nicht danach</w:t>
            </w:r>
          </w:p>
          <w:p w14:paraId="70A4C59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Typenschilder aller Elektrogeräte auf „100–240 V“ kontrollieren</w:t>
            </w:r>
          </w:p>
          <w:p w14:paraId="70A4C59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Betreuungsplatz für Kinder so früh wie möglich anfragen</w:t>
            </w:r>
          </w:p>
          <w:p w14:paraId="70A4C59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Sales Tax und Trinkgeld-Aufschlag ins Alltagsbudget einrechnen</w:t>
            </w:r>
          </w:p>
        </w:tc>
      </w:tr>
    </w:tbl>
    <w:p w14:paraId="70A4C595" w14:textId="77777777" w:rsidR="00C1548D" w:rsidRDefault="00C1548D">
      <w:pPr>
        <w:spacing w:line="220" w:lineRule="exact"/>
      </w:pPr>
    </w:p>
    <w:p w14:paraId="70A4C596"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597" w14:textId="662CB885" w:rsidR="00C1548D" w:rsidRDefault="009B1B4B" w:rsidP="009B1B4B">
      <w:pPr>
        <w:pStyle w:val="ListParagraph"/>
        <w:numPr>
          <w:ilvl w:val="0"/>
          <w:numId w:val="1"/>
        </w:numPr>
        <w:spacing w:after="60"/>
      </w:pPr>
      <w:r>
        <w:t>USCIS – Formulare und Statusfragen (</w:t>
      </w:r>
      <w:hyperlink r:id="rId30" w:history="1">
        <w:r>
          <w:rPr>
            <w:color w:val="0563C1"/>
            <w:u w:val="single"/>
          </w:rPr>
          <w:t>uscis.gov</w:t>
        </w:r>
      </w:hyperlink>
      <w:r>
        <w:t>)</w:t>
      </w:r>
    </w:p>
    <w:p w14:paraId="70A4C598" w14:textId="5C7CC3B7" w:rsidR="00C1548D" w:rsidRDefault="009B1B4B" w:rsidP="009B1B4B">
      <w:pPr>
        <w:pStyle w:val="ListParagraph"/>
        <w:numPr>
          <w:ilvl w:val="0"/>
          <w:numId w:val="1"/>
        </w:numPr>
        <w:spacing w:after="60"/>
      </w:pPr>
      <w:r>
        <w:t>IRS – Doppelbesteuerungsabkommen Deutschland–USA (</w:t>
      </w:r>
      <w:hyperlink r:id="rId31" w:history="1">
        <w:r>
          <w:rPr>
            <w:color w:val="0563C1"/>
            <w:u w:val="single"/>
          </w:rPr>
          <w:t>irs.gov/pub/irs-trty/germany.pdf</w:t>
        </w:r>
      </w:hyperlink>
      <w:r>
        <w:t>)</w:t>
      </w:r>
    </w:p>
    <w:p w14:paraId="70A4C599" w14:textId="2A3E6222" w:rsidR="00C1548D" w:rsidRDefault="009B1B4B" w:rsidP="009B1B4B">
      <w:pPr>
        <w:pStyle w:val="ListParagraph"/>
        <w:numPr>
          <w:ilvl w:val="0"/>
          <w:numId w:val="1"/>
        </w:numPr>
        <w:spacing w:after="60"/>
      </w:pPr>
      <w:r>
        <w:t>IRS – Vergleich FBAR und Form 8938 (</w:t>
      </w:r>
      <w:hyperlink r:id="rId32" w:history="1">
        <w:r>
          <w:rPr>
            <w:color w:val="0563C1"/>
            <w:u w:val="single"/>
          </w:rPr>
          <w:t>irs.gov/businesses/comparison-of-form-8938-and-fbar-requirements</w:t>
        </w:r>
      </w:hyperlink>
      <w:r>
        <w:t>)</w:t>
      </w:r>
    </w:p>
    <w:p w14:paraId="70A4C59A" w14:textId="722A81D9" w:rsidR="00C1548D" w:rsidRDefault="009B1B4B" w:rsidP="009B1B4B">
      <w:pPr>
        <w:pStyle w:val="ListParagraph"/>
        <w:numPr>
          <w:ilvl w:val="0"/>
          <w:numId w:val="1"/>
        </w:numPr>
        <w:spacing w:after="60"/>
      </w:pPr>
      <w:r>
        <w:t>Consumer Financial Protection Bureau – Credit Score und Verbraucherrechte (</w:t>
      </w:r>
      <w:hyperlink r:id="rId33" w:history="1">
        <w:r>
          <w:rPr>
            <w:color w:val="0563C1"/>
            <w:u w:val="single"/>
          </w:rPr>
          <w:t>consumerfinance.gov</w:t>
        </w:r>
      </w:hyperlink>
      <w:r>
        <w:t>)</w:t>
      </w:r>
    </w:p>
    <w:p w14:paraId="70A4C59B" w14:textId="7FD5064E" w:rsidR="00C1548D" w:rsidRDefault="009B1B4B" w:rsidP="009B1B4B">
      <w:pPr>
        <w:pStyle w:val="ListParagraph"/>
        <w:numPr>
          <w:ilvl w:val="0"/>
          <w:numId w:val="1"/>
        </w:numPr>
        <w:spacing w:after="60"/>
      </w:pPr>
      <w:r>
        <w:t>Child Care Aware of America – Kosten der Kinderbetreuung (</w:t>
      </w:r>
      <w:hyperlink r:id="rId34" w:history="1">
        <w:r>
          <w:rPr>
            <w:color w:val="0563C1"/>
            <w:u w:val="single"/>
          </w:rPr>
          <w:t>childcareaware.org</w:t>
        </w:r>
      </w:hyperlink>
      <w:r>
        <w:t>)</w:t>
      </w:r>
    </w:p>
    <w:p w14:paraId="70A4C59C" w14:textId="3C5075A4" w:rsidR="00C1548D" w:rsidRDefault="009B1B4B" w:rsidP="009B1B4B">
      <w:pPr>
        <w:pStyle w:val="ListParagraph"/>
        <w:numPr>
          <w:ilvl w:val="0"/>
          <w:numId w:val="1"/>
        </w:numPr>
        <w:spacing w:after="60"/>
      </w:pPr>
      <w:r>
        <w:t>Bundesfinanzministerium – FAQ zur Reform der privaten Altersvorsorge (</w:t>
      </w:r>
      <w:hyperlink r:id="rId35" w:history="1">
        <w:r>
          <w:rPr>
            <w:color w:val="0563C1"/>
            <w:u w:val="single"/>
          </w:rPr>
          <w:t>bundesfinanzministerium.de</w:t>
        </w:r>
      </w:hyperlink>
      <w:r>
        <w:t>)</w:t>
      </w:r>
    </w:p>
    <w:p w14:paraId="70A4C59D"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5A0"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59E" w14:textId="77777777" w:rsidR="00C1548D" w:rsidRDefault="009B1B4B">
            <w:pPr>
              <w:keepNext/>
              <w:spacing w:after="70" w:line="240" w:lineRule="auto"/>
            </w:pPr>
            <w:r>
              <w:rPr>
                <w:b/>
                <w:bCs/>
                <w:color w:val="6B7280"/>
                <w:spacing w:val="24"/>
                <w:sz w:val="16"/>
                <w:szCs w:val="16"/>
              </w:rPr>
              <w:lastRenderedPageBreak/>
              <w:t>STAND</w:t>
            </w:r>
          </w:p>
          <w:p w14:paraId="70A4C59F" w14:textId="77777777" w:rsidR="00C1548D" w:rsidRDefault="009B1B4B">
            <w:pPr>
              <w:spacing w:after="80" w:line="264" w:lineRule="auto"/>
            </w:pPr>
            <w:r>
              <w:rPr>
                <w:sz w:val="20"/>
                <w:szCs w:val="20"/>
              </w:rPr>
              <w:t>September 2026. Gebühren, Fristen und Schwellenwerte – etwa die H-1B-Zusatzzahlung, die 60-Tage-Frist, FBAR-Grenzen oder Kinderbetreuungskosten – ändern sich häufig und teils durch laufende Gerichtsverfahren. Prüfe vor jeder Entscheidung die aktuellen Angaben im jeweiligen Fachkapitel und auf den offiziellen Seiten.</w:t>
            </w:r>
          </w:p>
        </w:tc>
      </w:tr>
    </w:tbl>
    <w:p w14:paraId="70A4C5A1" w14:textId="77777777" w:rsidR="00C1548D" w:rsidRDefault="00C1548D">
      <w:pPr>
        <w:spacing w:line="220" w:lineRule="exact"/>
      </w:pPr>
    </w:p>
    <w:p w14:paraId="70A4C5A2" w14:textId="77777777" w:rsidR="00C1548D" w:rsidRDefault="009B1B4B">
      <w:pPr>
        <w:pStyle w:val="Heading2"/>
        <w:keepNext/>
        <w:pageBreakBefore/>
        <w:jc w:val="center"/>
      </w:pPr>
      <w:bookmarkStart w:id="12" w:name="k3"/>
      <w:bookmarkStart w:id="13" w:name="_Toc241352452"/>
      <w:r>
        <w:rPr>
          <w:rFonts w:ascii="Amazon Ember" w:eastAsia="Amazon Ember" w:hAnsi="Amazon Ember" w:cs="Amazon Ember"/>
          <w:color w:val="0000FF"/>
          <w:sz w:val="36"/>
          <w:szCs w:val="36"/>
        </w:rPr>
        <w:lastRenderedPageBreak/>
        <w:t>Kapitel 3: Lohnt es sich für mich? Rechnen, prüfen, entscheiden</w:t>
      </w:r>
      <w:bookmarkEnd w:id="12"/>
      <w:bookmarkEnd w:id="13"/>
    </w:p>
    <w:p w14:paraId="70A4C5A3" w14:textId="77777777" w:rsidR="00C1548D" w:rsidRDefault="009B1B4B">
      <w:pPr>
        <w:spacing w:after="140"/>
      </w:pPr>
      <w:r>
        <w:t>Auf dem Küchentisch liegt ein Jobangebot aus Seattle: 145.000 $ im Jahr, fast das Doppelte des aktuellen deutschen Bruttogehalts. Die Excel-Tabelle mit dem Vergleich ist in zehn Minuten fertig –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w:t>
      </w:r>
      <w:r>
        <w:t xml:space="preserve">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5AB"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5A4" w14:textId="77777777" w:rsidR="00C1548D" w:rsidRDefault="009B1B4B">
            <w:pPr>
              <w:keepNext/>
              <w:spacing w:after="70" w:line="240" w:lineRule="auto"/>
            </w:pPr>
            <w:r>
              <w:rPr>
                <w:b/>
                <w:bCs/>
                <w:color w:val="1F3A5F"/>
                <w:spacing w:val="24"/>
                <w:sz w:val="16"/>
                <w:szCs w:val="16"/>
              </w:rPr>
              <w:lastRenderedPageBreak/>
              <w:t>KURZ GESAGT</w:t>
            </w:r>
          </w:p>
          <w:p w14:paraId="70A4C5A5" w14:textId="77777777" w:rsidR="00C1548D" w:rsidRDefault="009B1B4B" w:rsidP="009B1B4B">
            <w:pPr>
              <w:pStyle w:val="ListParagraph"/>
              <w:numPr>
                <w:ilvl w:val="0"/>
                <w:numId w:val="1"/>
              </w:numPr>
              <w:spacing w:after="50" w:line="264" w:lineRule="auto"/>
            </w:pPr>
            <w:r>
              <w:rPr>
                <w:sz w:val="20"/>
                <w:szCs w:val="20"/>
              </w:rPr>
              <w:t>Vergleiche nie Brutto mit Brutto: Erst nach Steuern, Sozialabgaben, Krankenversicherung, Miete und Kinderbetreuung zeigt sich, was wirklich bleibt.</w:t>
            </w:r>
          </w:p>
          <w:p w14:paraId="70A4C5A6" w14:textId="77777777" w:rsidR="00C1548D" w:rsidRDefault="009B1B4B" w:rsidP="009B1B4B">
            <w:pPr>
              <w:pStyle w:val="ListParagraph"/>
              <w:numPr>
                <w:ilvl w:val="0"/>
                <w:numId w:val="1"/>
              </w:numPr>
              <w:spacing w:after="50" w:line="264" w:lineRule="auto"/>
            </w:pPr>
            <w:r>
              <w:rPr>
                <w:sz w:val="20"/>
                <w:szCs w:val="20"/>
              </w:rPr>
              <w:t>Drei vereinfachte Beispielrechnungen (Single, Paar, Familie mit zwei Kindern) zeigen den Rechenweg – und wie stark Bundesstaat, Stadt und Partnerstatus das Ergebnis verschieben.</w:t>
            </w:r>
          </w:p>
          <w:p w14:paraId="70A4C5A7" w14:textId="77777777" w:rsidR="00C1548D" w:rsidRDefault="009B1B4B" w:rsidP="009B1B4B">
            <w:pPr>
              <w:pStyle w:val="ListParagraph"/>
              <w:numPr>
                <w:ilvl w:val="0"/>
                <w:numId w:val="1"/>
              </w:numPr>
              <w:spacing w:after="50" w:line="264" w:lineRule="auto"/>
            </w:pPr>
            <w:r>
              <w:rPr>
                <w:sz w:val="20"/>
                <w:szCs w:val="20"/>
              </w:rPr>
              <w:t>Trenne Muss-, Kann- und Ausschlusskriterien in einer Entscheidungsmatrix, bevor Gefühl und Gehaltszahl durcheinandergeraten.</w:t>
            </w:r>
          </w:p>
          <w:p w14:paraId="70A4C5A8" w14:textId="77777777" w:rsidR="00C1548D" w:rsidRDefault="009B1B4B" w:rsidP="009B1B4B">
            <w:pPr>
              <w:pStyle w:val="ListParagraph"/>
              <w:numPr>
                <w:ilvl w:val="0"/>
                <w:numId w:val="1"/>
              </w:numPr>
              <w:spacing w:after="50" w:line="264" w:lineRule="auto"/>
            </w:pPr>
            <w:r>
              <w:rPr>
                <w:sz w:val="20"/>
                <w:szCs w:val="20"/>
              </w:rPr>
              <w:t>Der Familienrat gehört vor die Unterschrift: Partnerkarriere, Kinder je nach Lebensalter, Eltern in Deutschland, die Immobilie.</w:t>
            </w:r>
          </w:p>
          <w:p w14:paraId="70A4C5A9" w14:textId="77777777" w:rsidR="00C1548D" w:rsidRDefault="009B1B4B" w:rsidP="009B1B4B">
            <w:pPr>
              <w:pStyle w:val="ListParagraph"/>
              <w:numPr>
                <w:ilvl w:val="0"/>
                <w:numId w:val="1"/>
              </w:numPr>
              <w:spacing w:after="50" w:line="264" w:lineRule="auto"/>
            </w:pPr>
            <w:r>
              <w:rPr>
                <w:sz w:val="20"/>
                <w:szCs w:val="20"/>
              </w:rPr>
              <w:t>Verhandle mit dem Arbeitgeber, bevor du zusagst: Relocation, unabhängiger Anwalt, Green-Card-Sponsoring, Steuerberatung, Rückkehrklausel.</w:t>
            </w:r>
          </w:p>
          <w:p w14:paraId="70A4C5AA" w14:textId="0FE98DA5" w:rsidR="00C1548D" w:rsidRDefault="009B1B4B" w:rsidP="009B1B4B">
            <w:pPr>
              <w:pStyle w:val="ListParagraph"/>
              <w:numPr>
                <w:ilvl w:val="0"/>
                <w:numId w:val="1"/>
              </w:numPr>
              <w:spacing w:after="50" w:line="264" w:lineRule="auto"/>
            </w:pPr>
            <w:r>
              <w:rPr>
                <w:sz w:val="20"/>
                <w:szCs w:val="20"/>
              </w:rPr>
              <w:t>Denke in zwei bis drei Jahren statt „für immer“ – das nimmt Druck von der Entscheidung und lässt die Rückkehroption offen (Kapitel </w:t>
            </w:r>
            <w:hyperlink w:anchor="k42" w:history="1">
              <w:r>
                <w:rPr>
                  <w:sz w:val="20"/>
                  <w:szCs w:val="20"/>
                </w:rPr>
                <w:t>42</w:t>
              </w:r>
            </w:hyperlink>
            <w:r>
              <w:rPr>
                <w:sz w:val="20"/>
                <w:szCs w:val="20"/>
              </w:rPr>
              <w:t>).</w:t>
            </w:r>
          </w:p>
        </w:tc>
      </w:tr>
    </w:tbl>
    <w:p w14:paraId="70A4C5AC" w14:textId="77777777" w:rsidR="00C1548D" w:rsidRDefault="00C1548D">
      <w:pPr>
        <w:spacing w:line="220" w:lineRule="exact"/>
      </w:pPr>
    </w:p>
    <w:p w14:paraId="70A4C5AD" w14:textId="77777777" w:rsidR="00C1548D" w:rsidRDefault="009B1B4B">
      <w:pPr>
        <w:pStyle w:val="Heading3"/>
        <w:keepNext/>
        <w:jc w:val="center"/>
      </w:pPr>
      <w:r>
        <w:rPr>
          <w:rFonts w:ascii="Amazon Ember" w:eastAsia="Amazon Ember" w:hAnsi="Amazon Ember" w:cs="Amazon Ember"/>
          <w:color w:val="0000FF"/>
          <w:sz w:val="36"/>
          <w:szCs w:val="36"/>
        </w:rPr>
        <w:t>Warum der Brutto-Vergleich in die Irre führt</w:t>
      </w:r>
    </w:p>
    <w:p w14:paraId="70A4C5AE" w14:textId="086E86A5" w:rsidR="00C1548D" w:rsidRDefault="009B1B4B">
      <w:pPr>
        <w:spacing w:after="140"/>
      </w:pPr>
      <w:r>
        <w:t>In Deutschland kennst du dein Netto aus der Gehaltsabrechnung; in den USA musst du es selbst zusammensetzen: Bund, Bundesstaat und oft die Kommune erheben Steuern, dazu kommen Sozialabgaben (</w:t>
      </w:r>
      <w:r>
        <w:rPr>
          <w:i/>
          <w:iCs/>
        </w:rPr>
        <w:t>FICA</w:t>
      </w:r>
      <w:r>
        <w:t>) und, anders als in der gesetzlichen Krankenversicherung, ein eigener Krankenversicherungsbeitrag, der nicht in den Abgaben steckt (Kapitel </w:t>
      </w:r>
      <w:hyperlink w:anchor="k28" w:history="1">
        <w:r>
          <w:t>28</w:t>
        </w:r>
      </w:hyperlink>
      <w:r>
        <w:t>). Miete und, mit Kindern, Kinderbetreuung schwanken zusätzlich stark nach Ort (Kapitel </w:t>
      </w:r>
      <w:hyperlink w:anchor="k12" w:history="1">
        <w:r>
          <w:t>12</w:t>
        </w:r>
      </w:hyperlink>
      <w:r>
        <w:t xml:space="preserve"> bis </w:t>
      </w:r>
      <w:hyperlink w:anchor="k14" w:history="1">
        <w:r>
          <w:t>14</w:t>
        </w:r>
      </w:hyperlink>
      <w:r>
        <w:t xml:space="preserve"> und </w:t>
      </w:r>
      <w:hyperlink w:anchor="k38" w:history="1">
        <w:r>
          <w:t>38</w:t>
        </w:r>
      </w:hyperlink>
      <w:r>
        <w:t>). Ein Gehalt, das in Houston komfortabel ist, kann in San Francisco knapp werden. Wer das Bruttogehalt im Kopf einfach verdoppelt und schon die Sektkorken knallen lässt, hat die Rechnung meist zu früh beendet.</w:t>
      </w:r>
    </w:p>
    <w:p w14:paraId="70A4C5AF" w14:textId="6C47B93B" w:rsidR="00C1548D" w:rsidRDefault="009B1B4B">
      <w:pPr>
        <w:spacing w:after="140"/>
      </w:pPr>
      <w:r>
        <w:lastRenderedPageBreak/>
        <w:t>Die folgenden drei Rechnungen bauen auf den bereits geprüften Zahlen aus Kapitel </w:t>
      </w:r>
      <w:hyperlink w:anchor="k26" w:history="1">
        <w:r>
          <w:t>26</w:t>
        </w:r>
      </w:hyperlink>
      <w:r>
        <w:t xml:space="preserve">, </w:t>
      </w:r>
      <w:hyperlink w:anchor="k28" w:history="1">
        <w:r>
          <w:t>28</w:t>
        </w:r>
      </w:hyperlink>
      <w:r>
        <w:t xml:space="preserve">, </w:t>
      </w:r>
      <w:hyperlink w:anchor="k13" w:history="1">
        <w:r>
          <w:t>13</w:t>
        </w:r>
      </w:hyperlink>
      <w:r>
        <w:t xml:space="preserve">, </w:t>
      </w:r>
      <w:hyperlink w:anchor="k14" w:history="1">
        <w:r>
          <w:t>14</w:t>
        </w:r>
      </w:hyperlink>
      <w:r>
        <w:t xml:space="preserve"> und </w:t>
      </w:r>
      <w:hyperlink w:anchor="k38" w:history="1">
        <w:r>
          <w:t>38</w:t>
        </w:r>
      </w:hyperlink>
      <w:r>
        <w:t xml:space="preserve"> auf und führen sie erstmals zu einem vollständigen Netto-Vergleich zusammen. Sie sind bewusst vereinfacht: ohne 401(k) und Bonus, mit Durchschnittswerten statt deines konkreten Angebots, mit einer groben Näherung für die deutsche Seite. Die deutschen Zahlen stammen aus eigener Rechnung auf Basis des Einkommensteuertarifs und grober Sozialabgabenquoten; sie ersetzen keinen Gehaltsrechner.</w:t>
      </w:r>
    </w:p>
    <w:p w14:paraId="70A4C5B0" w14:textId="2EF73E43" w:rsidR="00C1548D" w:rsidRDefault="009B1B4B">
      <w:pPr>
        <w:spacing w:after="140"/>
      </w:pPr>
      <w:r>
        <w:t xml:space="preserve">Behalte zwei Dinge im Kopf: Erstens verschieben Bundesstaat und Stadt das Ergebnis stärker als das Gehalt selbst – </w:t>
      </w:r>
      <w:r>
        <w:t>Kapitel </w:t>
      </w:r>
      <w:hyperlink w:anchor="k28" w:history="1">
        <w:r>
          <w:t>28</w:t>
        </w:r>
      </w:hyperlink>
      <w:r>
        <w:t xml:space="preserve"> zeigt für dasselbe Bruttogehalt eine Spanne von mehreren Prozentpunkten Netto allein durch den Bundesstaat, und Kapitel </w:t>
      </w:r>
      <w:hyperlink w:anchor="k13" w:history="1">
        <w:r>
          <w:t>13</w:t>
        </w:r>
      </w:hyperlink>
      <w:r>
        <w:t xml:space="preserve"> zeigt bei der Miete eine Spanne vom Zwei- bis Dreifachen zwischen günstigen und teuren Metropolregionen. Zweitens: Die Rechnung hier ist ein Ausgangspunkt für dein eigenes Angebot, kein Ersatz dafür. Trage dein tatsächliches Gehalt, deinen Zielstaat und deine reale Miete ein, sobald du sie kennst.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5B3"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5B1" w14:textId="77777777" w:rsidR="00C1548D" w:rsidRDefault="009B1B4B">
            <w:pPr>
              <w:keepNext/>
              <w:spacing w:after="70" w:line="240" w:lineRule="auto"/>
            </w:pPr>
            <w:r>
              <w:rPr>
                <w:b/>
                <w:bCs/>
                <w:color w:val="6B7280"/>
                <w:spacing w:val="24"/>
                <w:sz w:val="16"/>
                <w:szCs w:val="16"/>
              </w:rPr>
              <w:t>KEIN RECHTSRAT</w:t>
            </w:r>
          </w:p>
          <w:p w14:paraId="70A4C5B2" w14:textId="77777777" w:rsidR="00C1548D" w:rsidRDefault="009B1B4B">
            <w:pPr>
              <w:spacing w:after="80" w:line="264" w:lineRule="auto"/>
            </w:pPr>
            <w:r>
              <w:rPr>
                <w:sz w:val="20"/>
                <w:szCs w:val="20"/>
              </w:rPr>
              <w:t>Dieses Kapitel rechnet vereinfachte Beispiele, keine Steuer- oder Finanzberatung. Jede der drei Rechnungen lässt Faktoren weg, die bei dir anders ausfallen: 401(k) und Bonus, Aktienvergütung, Kirchensteuer, dein tatsächlicher deutscher Grenzsteuersatz, das Ehegattensplitting. Nutze die Beispiele als Ausgangspunkt für deine eigene Rechnung, nicht als Ergebnis.</w:t>
            </w:r>
          </w:p>
        </w:tc>
      </w:tr>
    </w:tbl>
    <w:p w14:paraId="70A4C5B4" w14:textId="77777777" w:rsidR="00C1548D" w:rsidRDefault="00C1548D">
      <w:pPr>
        <w:spacing w:line="220" w:lineRule="exact"/>
      </w:pPr>
    </w:p>
    <w:p w14:paraId="70A4C5B5" w14:textId="77777777" w:rsidR="00C1548D" w:rsidRDefault="009B1B4B">
      <w:pPr>
        <w:pStyle w:val="Heading3"/>
        <w:keepNext/>
        <w:jc w:val="center"/>
      </w:pPr>
      <w:r>
        <w:rPr>
          <w:rFonts w:ascii="Amazon Ember" w:eastAsia="Amazon Ember" w:hAnsi="Amazon Ember" w:cs="Amazon Ember"/>
          <w:color w:val="0000FF"/>
          <w:sz w:val="36"/>
          <w:szCs w:val="36"/>
        </w:rPr>
        <w:t>Beispiel 1: Single</w:t>
      </w:r>
    </w:p>
    <w:p w14:paraId="70A4C5B6" w14:textId="14AB5EC1" w:rsidR="00C1548D" w:rsidRDefault="009B1B4B">
      <w:pPr>
        <w:spacing w:after="140"/>
      </w:pPr>
      <w:r>
        <w:t>Eine ledige Fachkraft mit 120.000 $ Jahresgehalt zieht mit H-1B-Status nach Seattle, Washington. Nach Kapitel </w:t>
      </w:r>
      <w:hyperlink w:anchor="k28" w:history="1">
        <w:r>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history="1">
        <w:r>
          <w:t>26</w:t>
        </w:r>
      </w:hyperlink>
      <w:r>
        <w:t xml:space="preserve">) und </w:t>
      </w:r>
      <w:r>
        <w:lastRenderedPageBreak/>
        <w:t>die Miete für eine 1BR-Wohnung in Seattle, im Schnitt 2.217 $ im Monat oder 26.604 $ im Jahr (Kapitel </w:t>
      </w:r>
      <w:hyperlink w:anchor="k13" w:history="1">
        <w:r>
          <w:t>13</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37"/>
        <w:gridCol w:w="2203"/>
        <w:gridCol w:w="1340"/>
      </w:tblGrid>
      <w:tr w:rsidR="00C1548D" w14:paraId="70A4C5BA" w14:textId="77777777">
        <w:tblPrEx>
          <w:tblCellMar>
            <w:top w:w="0" w:type="dxa"/>
            <w:bottom w:w="0" w:type="dxa"/>
          </w:tblCellMar>
        </w:tblPrEx>
        <w:trPr>
          <w:cantSplit/>
          <w:tblHeader/>
        </w:trPr>
        <w:tc>
          <w:tcPr>
            <w:tcW w:w="293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B7" w14:textId="77777777" w:rsidR="00C1548D" w:rsidRDefault="009B1B4B">
            <w:pPr>
              <w:spacing w:line="250" w:lineRule="auto"/>
            </w:pPr>
            <w:r>
              <w:rPr>
                <w:b/>
                <w:bCs/>
                <w:sz w:val="18"/>
                <w:szCs w:val="18"/>
              </w:rPr>
              <w:t>Posten pro Jahr</w:t>
            </w:r>
          </w:p>
        </w:tc>
        <w:tc>
          <w:tcPr>
            <w:tcW w:w="22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B8" w14:textId="77777777" w:rsidR="00C1548D" w:rsidRDefault="009B1B4B">
            <w:pPr>
              <w:spacing w:line="250" w:lineRule="auto"/>
            </w:pPr>
            <w:r>
              <w:rPr>
                <w:b/>
                <w:bCs/>
                <w:sz w:val="18"/>
                <w:szCs w:val="18"/>
              </w:rPr>
              <w:t>Deutschland (Näherung)</w:t>
            </w:r>
          </w:p>
        </w:tc>
        <w:tc>
          <w:tcPr>
            <w:tcW w:w="13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B9" w14:textId="77777777" w:rsidR="00C1548D" w:rsidRDefault="009B1B4B">
            <w:pPr>
              <w:spacing w:line="250" w:lineRule="auto"/>
            </w:pPr>
            <w:r>
              <w:rPr>
                <w:b/>
                <w:bCs/>
                <w:sz w:val="18"/>
                <w:szCs w:val="18"/>
              </w:rPr>
              <w:t>USA (Näherung)</w:t>
            </w:r>
          </w:p>
        </w:tc>
      </w:tr>
      <w:tr w:rsidR="00C1548D" w14:paraId="70A4C5BE" w14:textId="77777777">
        <w:tblPrEx>
          <w:tblCellMar>
            <w:top w:w="0" w:type="dxa"/>
            <w:bottom w:w="0" w:type="dxa"/>
          </w:tblCellMar>
        </w:tblPrEx>
        <w:trPr>
          <w:cantSplit/>
        </w:trPr>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BB" w14:textId="77777777" w:rsidR="00C1548D" w:rsidRDefault="009B1B4B">
            <w:pPr>
              <w:spacing w:line="250" w:lineRule="auto"/>
            </w:pPr>
            <w:r>
              <w:rPr>
                <w:sz w:val="18"/>
                <w:szCs w:val="18"/>
              </w:rPr>
              <w:t>Bruttogehalt</w:t>
            </w:r>
          </w:p>
        </w:tc>
        <w:tc>
          <w:tcPr>
            <w:tcW w:w="22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BC" w14:textId="77777777" w:rsidR="00C1548D" w:rsidRDefault="009B1B4B">
            <w:pPr>
              <w:spacing w:line="250" w:lineRule="auto"/>
            </w:pPr>
            <w:r>
              <w:rPr>
                <w:sz w:val="18"/>
                <w:szCs w:val="18"/>
              </w:rPr>
              <w:t>104.700 €</w:t>
            </w:r>
          </w:p>
        </w:tc>
        <w:tc>
          <w:tcPr>
            <w:tcW w:w="13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BD" w14:textId="77777777" w:rsidR="00C1548D" w:rsidRDefault="009B1B4B">
            <w:pPr>
              <w:spacing w:line="250" w:lineRule="auto"/>
            </w:pPr>
            <w:r>
              <w:rPr>
                <w:sz w:val="18"/>
                <w:szCs w:val="18"/>
              </w:rPr>
              <w:t>120.000 $</w:t>
            </w:r>
          </w:p>
        </w:tc>
      </w:tr>
      <w:tr w:rsidR="00C1548D" w14:paraId="70A4C5C2" w14:textId="77777777">
        <w:tblPrEx>
          <w:tblCellMar>
            <w:top w:w="0" w:type="dxa"/>
            <w:bottom w:w="0" w:type="dxa"/>
          </w:tblCellMar>
        </w:tblPrEx>
        <w:trPr>
          <w:cantSplit/>
        </w:trPr>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BF" w14:textId="77777777" w:rsidR="00C1548D" w:rsidRDefault="009B1B4B">
            <w:pPr>
              <w:spacing w:line="250" w:lineRule="auto"/>
            </w:pPr>
            <w:r>
              <w:rPr>
                <w:sz w:val="18"/>
                <w:szCs w:val="18"/>
              </w:rPr>
              <w:t>Steuern und Sozialabgaben</w:t>
            </w:r>
          </w:p>
        </w:tc>
        <w:tc>
          <w:tcPr>
            <w:tcW w:w="22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0" w14:textId="77777777" w:rsidR="00C1548D" w:rsidRDefault="009B1B4B">
            <w:pPr>
              <w:spacing w:line="250" w:lineRule="auto"/>
            </w:pPr>
            <w:r>
              <w:rPr>
                <w:sz w:val="18"/>
                <w:szCs w:val="18"/>
              </w:rPr>
              <w:t>44.300 €</w:t>
            </w:r>
          </w:p>
        </w:tc>
        <w:tc>
          <w:tcPr>
            <w:tcW w:w="13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1" w14:textId="77777777" w:rsidR="00C1548D" w:rsidRDefault="009B1B4B">
            <w:pPr>
              <w:spacing w:line="250" w:lineRule="auto"/>
            </w:pPr>
            <w:r>
              <w:rPr>
                <w:sz w:val="18"/>
                <w:szCs w:val="18"/>
              </w:rPr>
              <w:t>27.719 $</w:t>
            </w:r>
          </w:p>
        </w:tc>
      </w:tr>
      <w:tr w:rsidR="00C1548D" w14:paraId="70A4C5C6" w14:textId="77777777">
        <w:tblPrEx>
          <w:tblCellMar>
            <w:top w:w="0" w:type="dxa"/>
            <w:bottom w:w="0" w:type="dxa"/>
          </w:tblCellMar>
        </w:tblPrEx>
        <w:trPr>
          <w:cantSplit/>
        </w:trPr>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3" w14:textId="77777777" w:rsidR="00C1548D" w:rsidRDefault="009B1B4B">
            <w:pPr>
              <w:spacing w:line="250" w:lineRule="auto"/>
            </w:pPr>
            <w:r>
              <w:rPr>
                <w:sz w:val="18"/>
                <w:szCs w:val="18"/>
              </w:rPr>
              <w:t>Netto nach Steuern</w:t>
            </w:r>
          </w:p>
        </w:tc>
        <w:tc>
          <w:tcPr>
            <w:tcW w:w="22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4" w14:textId="77777777" w:rsidR="00C1548D" w:rsidRDefault="009B1B4B">
            <w:pPr>
              <w:spacing w:line="250" w:lineRule="auto"/>
            </w:pPr>
            <w:r>
              <w:rPr>
                <w:sz w:val="18"/>
                <w:szCs w:val="18"/>
              </w:rPr>
              <w:t>60.400 €</w:t>
            </w:r>
          </w:p>
        </w:tc>
        <w:tc>
          <w:tcPr>
            <w:tcW w:w="13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5" w14:textId="77777777" w:rsidR="00C1548D" w:rsidRDefault="009B1B4B">
            <w:pPr>
              <w:spacing w:line="250" w:lineRule="auto"/>
            </w:pPr>
            <w:r>
              <w:rPr>
                <w:sz w:val="18"/>
                <w:szCs w:val="18"/>
              </w:rPr>
              <w:t>92.281 $</w:t>
            </w:r>
          </w:p>
        </w:tc>
      </w:tr>
      <w:tr w:rsidR="00C1548D" w14:paraId="70A4C5CA" w14:textId="77777777">
        <w:tblPrEx>
          <w:tblCellMar>
            <w:top w:w="0" w:type="dxa"/>
            <w:bottom w:w="0" w:type="dxa"/>
          </w:tblCellMar>
        </w:tblPrEx>
        <w:trPr>
          <w:cantSplit/>
        </w:trPr>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7" w14:textId="77777777" w:rsidR="00C1548D" w:rsidRDefault="009B1B4B">
            <w:pPr>
              <w:spacing w:line="250" w:lineRule="auto"/>
            </w:pPr>
            <w:r>
              <w:rPr>
                <w:sz w:val="18"/>
                <w:szCs w:val="18"/>
              </w:rPr>
              <w:t>Krankenversicherung (Eigenanteil)</w:t>
            </w:r>
          </w:p>
        </w:tc>
        <w:tc>
          <w:tcPr>
            <w:tcW w:w="22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8" w14:textId="77777777" w:rsidR="00C1548D" w:rsidRDefault="009B1B4B">
            <w:pPr>
              <w:spacing w:line="250" w:lineRule="auto"/>
            </w:pPr>
            <w:r>
              <w:rPr>
                <w:sz w:val="18"/>
                <w:szCs w:val="18"/>
              </w:rPr>
              <w:t>in Sozialabgaben enthalten</w:t>
            </w:r>
          </w:p>
        </w:tc>
        <w:tc>
          <w:tcPr>
            <w:tcW w:w="13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9" w14:textId="77777777" w:rsidR="00C1548D" w:rsidRDefault="009B1B4B">
            <w:pPr>
              <w:spacing w:line="250" w:lineRule="auto"/>
            </w:pPr>
            <w:r>
              <w:rPr>
                <w:sz w:val="18"/>
                <w:szCs w:val="18"/>
              </w:rPr>
              <w:t>1.440 $</w:t>
            </w:r>
          </w:p>
        </w:tc>
      </w:tr>
      <w:tr w:rsidR="00C1548D" w14:paraId="70A4C5CE" w14:textId="77777777">
        <w:tblPrEx>
          <w:tblCellMar>
            <w:top w:w="0" w:type="dxa"/>
            <w:bottom w:w="0" w:type="dxa"/>
          </w:tblCellMar>
        </w:tblPrEx>
        <w:trPr>
          <w:cantSplit/>
        </w:trPr>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B" w14:textId="77777777" w:rsidR="00C1548D" w:rsidRDefault="009B1B4B">
            <w:pPr>
              <w:spacing w:line="250" w:lineRule="auto"/>
            </w:pPr>
            <w:r>
              <w:rPr>
                <w:sz w:val="18"/>
                <w:szCs w:val="18"/>
              </w:rPr>
              <w:t>Miete</w:t>
            </w:r>
          </w:p>
        </w:tc>
        <w:tc>
          <w:tcPr>
            <w:tcW w:w="22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C" w14:textId="77777777" w:rsidR="00C1548D" w:rsidRDefault="009B1B4B">
            <w:pPr>
              <w:spacing w:line="250" w:lineRule="auto"/>
            </w:pPr>
            <w:r>
              <w:rPr>
                <w:sz w:val="18"/>
                <w:szCs w:val="18"/>
              </w:rPr>
              <w:t>≈ 10.200 €</w:t>
            </w:r>
          </w:p>
        </w:tc>
        <w:tc>
          <w:tcPr>
            <w:tcW w:w="13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D" w14:textId="77777777" w:rsidR="00C1548D" w:rsidRDefault="009B1B4B">
            <w:pPr>
              <w:spacing w:line="250" w:lineRule="auto"/>
            </w:pPr>
            <w:r>
              <w:rPr>
                <w:sz w:val="18"/>
                <w:szCs w:val="18"/>
              </w:rPr>
              <w:t>26.604 $</w:t>
            </w:r>
          </w:p>
        </w:tc>
      </w:tr>
      <w:tr w:rsidR="00C1548D" w14:paraId="70A4C5D2" w14:textId="77777777">
        <w:tblPrEx>
          <w:tblCellMar>
            <w:top w:w="0" w:type="dxa"/>
            <w:bottom w:w="0" w:type="dxa"/>
          </w:tblCellMar>
        </w:tblPrEx>
        <w:trPr>
          <w:cantSplit/>
        </w:trPr>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CF" w14:textId="77777777" w:rsidR="00C1548D" w:rsidRDefault="009B1B4B">
            <w:pPr>
              <w:spacing w:line="250" w:lineRule="auto"/>
            </w:pPr>
            <w:r>
              <w:rPr>
                <w:sz w:val="18"/>
                <w:szCs w:val="18"/>
              </w:rPr>
              <w:t>Verfügbares Einkommen</w:t>
            </w:r>
          </w:p>
        </w:tc>
        <w:tc>
          <w:tcPr>
            <w:tcW w:w="22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D0" w14:textId="77777777" w:rsidR="00C1548D" w:rsidRDefault="009B1B4B">
            <w:pPr>
              <w:spacing w:line="250" w:lineRule="auto"/>
            </w:pPr>
            <w:r>
              <w:rPr>
                <w:sz w:val="18"/>
                <w:szCs w:val="18"/>
              </w:rPr>
              <w:t>≈ 50.200 €</w:t>
            </w:r>
          </w:p>
        </w:tc>
        <w:tc>
          <w:tcPr>
            <w:tcW w:w="13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D1" w14:textId="77777777" w:rsidR="00C1548D" w:rsidRDefault="009B1B4B">
            <w:pPr>
              <w:spacing w:line="250" w:lineRule="auto"/>
            </w:pPr>
            <w:r>
              <w:rPr>
                <w:sz w:val="18"/>
                <w:szCs w:val="18"/>
              </w:rPr>
              <w:t>64.237 $</w:t>
            </w:r>
          </w:p>
        </w:tc>
      </w:tr>
    </w:tbl>
    <w:p w14:paraId="70A4C5D3" w14:textId="77777777" w:rsidR="00C1548D" w:rsidRDefault="00C1548D">
      <w:pPr>
        <w:spacing w:line="180" w:lineRule="exact"/>
      </w:pPr>
    </w:p>
    <w:p w14:paraId="70A4C5D4" w14:textId="0A9AC354" w:rsidR="00C1548D" w:rsidRDefault="009B1B4B">
      <w:pPr>
        <w:spacing w:after="140"/>
      </w:pPr>
      <w:r>
        <w:t>Die deutsche Seite rechnet mit dem umgerechneten Bruttogehalt von rund 104.700 € (Kapitel </w:t>
      </w:r>
      <w:hyperlink w:anchor="k28" w:history="1">
        <w:r>
          <w:t>28</w:t>
        </w:r>
      </w:hyperlink>
      <w:r>
        <w:t>)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Warmmiete von rund 850 € im Monat. In diesem Beispiel bleibt der Single in Seattle trotz hoher Miete am Ende mehr übrig als in Deutschland – aber deutlich weniger, als der rei</w:t>
      </w:r>
      <w:r>
        <w:t>ne Brutto-Vergleich (120.000 $ gegen 104.700 €) suggeriert.</w:t>
      </w:r>
    </w:p>
    <w:p w14:paraId="70A4C5D5" w14:textId="4814120A" w:rsidR="00C1548D" w:rsidRDefault="009B1B4B">
      <w:pPr>
        <w:spacing w:after="140"/>
      </w:pPr>
      <w:r>
        <w:t>Wähle die ledige Fachkraft stattdessen eine günstigere Region wie Houston oder Austin statt Seattle, sinkt die Miete nach Kapitel </w:t>
      </w:r>
      <w:hyperlink w:anchor="k13" w:history="1">
        <w:r>
          <w:t>13</w:t>
        </w:r>
      </w:hyperlink>
      <w:r>
        <w:t xml:space="preserve"> auf rund die Hälfte, während Bruttogehalt und Steuerlast ähnlich bleiben können. Die Stadtwahl wirkt in diesem Beispiel stärker auf das verfügbare Einkommen als jeder realistische Gehaltsunterschied zwischen zwei Jobangeboten. Wer über die Gehaltszahl verhandelt, aber die Postleitzahl ignoriert, verhandelt am falschen Hebel.</w:t>
      </w:r>
    </w:p>
    <w:p w14:paraId="70A4C5D6" w14:textId="77777777" w:rsidR="00C1548D" w:rsidRDefault="009B1B4B">
      <w:pPr>
        <w:pStyle w:val="Heading3"/>
        <w:keepNext/>
        <w:jc w:val="center"/>
      </w:pPr>
      <w:r>
        <w:rPr>
          <w:rFonts w:ascii="Amazon Ember" w:eastAsia="Amazon Ember" w:hAnsi="Amazon Ember" w:cs="Amazon Ember"/>
          <w:color w:val="0000FF"/>
          <w:sz w:val="36"/>
          <w:szCs w:val="36"/>
        </w:rPr>
        <w:lastRenderedPageBreak/>
        <w:t>Beispiel 2: Paar ohne Kinder</w:t>
      </w:r>
    </w:p>
    <w:p w14:paraId="70A4C5D7" w14:textId="664FB95F" w:rsidR="00C1548D" w:rsidRDefault="009B1B4B">
      <w:pPr>
        <w:spacing w:after="140"/>
      </w:pPr>
      <w:r>
        <w:t>Ein Paar mit zusammen 150.000 $ Jahreseinkommen, beide berufstätig, zieht ebenfalls nach Washington und veranlagt gemeinsam (</w:t>
      </w:r>
      <w:r>
        <w:rPr>
          <w:i/>
          <w:iCs/>
        </w:rPr>
        <w:t>Married Filing Jointly</w:t>
      </w:r>
      <w:r>
        <w:t>). Die Bundessteuer vor Kindergutschrift beträgt nach dem Tarif aus Kapitel </w:t>
      </w:r>
      <w:hyperlink w:anchor="k28" w:history="1">
        <w:r>
          <w:t>28</w:t>
        </w:r>
      </w:hyperlink>
      <w:r>
        <w:t xml:space="preserve"> bei diesem Einkommen 15.340 $, dazu FICA von 11.475 $ und die washingtonspezifischen Umlagen von 2.081 $ – macht 28.896 $ Abzüge und 121.104 $ Netto (80,7 %).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80"/>
        <w:gridCol w:w="2197"/>
        <w:gridCol w:w="1303"/>
      </w:tblGrid>
      <w:tr w:rsidR="00C1548D" w14:paraId="70A4C5DB" w14:textId="77777777">
        <w:tblPrEx>
          <w:tblCellMar>
            <w:top w:w="0" w:type="dxa"/>
            <w:bottom w:w="0" w:type="dxa"/>
          </w:tblCellMar>
        </w:tblPrEx>
        <w:trPr>
          <w:cantSplit/>
          <w:tblHeader/>
        </w:trPr>
        <w:tc>
          <w:tcPr>
            <w:tcW w:w="298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D8" w14:textId="77777777" w:rsidR="00C1548D" w:rsidRDefault="009B1B4B">
            <w:pPr>
              <w:spacing w:line="250" w:lineRule="auto"/>
            </w:pPr>
            <w:r>
              <w:rPr>
                <w:b/>
                <w:bCs/>
                <w:sz w:val="18"/>
                <w:szCs w:val="18"/>
              </w:rPr>
              <w:t>Posten pro Jahr</w:t>
            </w:r>
          </w:p>
        </w:tc>
        <w:tc>
          <w:tcPr>
            <w:tcW w:w="21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D9" w14:textId="77777777" w:rsidR="00C1548D" w:rsidRDefault="009B1B4B">
            <w:pPr>
              <w:spacing w:line="250" w:lineRule="auto"/>
            </w:pPr>
            <w:r>
              <w:rPr>
                <w:b/>
                <w:bCs/>
                <w:sz w:val="18"/>
                <w:szCs w:val="18"/>
              </w:rPr>
              <w:t>Deutschland (Näherung)</w:t>
            </w:r>
          </w:p>
        </w:tc>
        <w:tc>
          <w:tcPr>
            <w:tcW w:w="13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DA" w14:textId="77777777" w:rsidR="00C1548D" w:rsidRDefault="009B1B4B">
            <w:pPr>
              <w:spacing w:line="250" w:lineRule="auto"/>
            </w:pPr>
            <w:r>
              <w:rPr>
                <w:b/>
                <w:bCs/>
                <w:sz w:val="18"/>
                <w:szCs w:val="18"/>
              </w:rPr>
              <w:t>USA (Näherung)</w:t>
            </w:r>
          </w:p>
        </w:tc>
      </w:tr>
      <w:tr w:rsidR="00C1548D" w14:paraId="70A4C5DF" w14:textId="77777777">
        <w:tblPrEx>
          <w:tblCellMar>
            <w:top w:w="0" w:type="dxa"/>
            <w:bottom w:w="0" w:type="dxa"/>
          </w:tblCellMar>
        </w:tblPrEx>
        <w:trPr>
          <w:cantSplit/>
        </w:trPr>
        <w:tc>
          <w:tcPr>
            <w:tcW w:w="2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DC" w14:textId="77777777" w:rsidR="00C1548D" w:rsidRDefault="009B1B4B">
            <w:pPr>
              <w:spacing w:line="250" w:lineRule="auto"/>
            </w:pPr>
            <w:r>
              <w:rPr>
                <w:sz w:val="18"/>
                <w:szCs w:val="18"/>
              </w:rPr>
              <w:t>Bruttogehalt (gemeinsam)</w:t>
            </w:r>
          </w:p>
        </w:tc>
        <w:tc>
          <w:tcPr>
            <w:tcW w:w="21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DD" w14:textId="77777777" w:rsidR="00C1548D" w:rsidRDefault="009B1B4B">
            <w:pPr>
              <w:spacing w:line="250" w:lineRule="auto"/>
            </w:pPr>
            <w:r>
              <w:rPr>
                <w:sz w:val="18"/>
                <w:szCs w:val="18"/>
              </w:rPr>
              <w:t>≈ 130.890 €</w:t>
            </w:r>
          </w:p>
        </w:tc>
        <w:tc>
          <w:tcPr>
            <w:tcW w:w="13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DE" w14:textId="77777777" w:rsidR="00C1548D" w:rsidRDefault="009B1B4B">
            <w:pPr>
              <w:spacing w:line="250" w:lineRule="auto"/>
            </w:pPr>
            <w:r>
              <w:rPr>
                <w:sz w:val="18"/>
                <w:szCs w:val="18"/>
              </w:rPr>
              <w:t>150.000 $</w:t>
            </w:r>
          </w:p>
        </w:tc>
      </w:tr>
      <w:tr w:rsidR="00C1548D" w14:paraId="70A4C5E3" w14:textId="77777777">
        <w:tblPrEx>
          <w:tblCellMar>
            <w:top w:w="0" w:type="dxa"/>
            <w:bottom w:w="0" w:type="dxa"/>
          </w:tblCellMar>
        </w:tblPrEx>
        <w:trPr>
          <w:cantSplit/>
        </w:trPr>
        <w:tc>
          <w:tcPr>
            <w:tcW w:w="2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0" w14:textId="77777777" w:rsidR="00C1548D" w:rsidRDefault="009B1B4B">
            <w:pPr>
              <w:spacing w:line="250" w:lineRule="auto"/>
            </w:pPr>
            <w:r>
              <w:rPr>
                <w:sz w:val="18"/>
                <w:szCs w:val="18"/>
              </w:rPr>
              <w:t>Steuern und Sozialabgaben</w:t>
            </w:r>
          </w:p>
        </w:tc>
        <w:tc>
          <w:tcPr>
            <w:tcW w:w="21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1" w14:textId="77777777" w:rsidR="00C1548D" w:rsidRDefault="009B1B4B">
            <w:pPr>
              <w:spacing w:line="250" w:lineRule="auto"/>
            </w:pPr>
            <w:r>
              <w:rPr>
                <w:sz w:val="18"/>
                <w:szCs w:val="18"/>
              </w:rPr>
              <w:t>≈ 56.300 €</w:t>
            </w:r>
          </w:p>
        </w:tc>
        <w:tc>
          <w:tcPr>
            <w:tcW w:w="13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2" w14:textId="77777777" w:rsidR="00C1548D" w:rsidRDefault="009B1B4B">
            <w:pPr>
              <w:spacing w:line="250" w:lineRule="auto"/>
            </w:pPr>
            <w:r>
              <w:rPr>
                <w:sz w:val="18"/>
                <w:szCs w:val="18"/>
              </w:rPr>
              <w:t>28.896 $</w:t>
            </w:r>
          </w:p>
        </w:tc>
      </w:tr>
      <w:tr w:rsidR="00C1548D" w14:paraId="70A4C5E7" w14:textId="77777777">
        <w:tblPrEx>
          <w:tblCellMar>
            <w:top w:w="0" w:type="dxa"/>
            <w:bottom w:w="0" w:type="dxa"/>
          </w:tblCellMar>
        </w:tblPrEx>
        <w:trPr>
          <w:cantSplit/>
        </w:trPr>
        <w:tc>
          <w:tcPr>
            <w:tcW w:w="2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4" w14:textId="77777777" w:rsidR="00C1548D" w:rsidRDefault="009B1B4B">
            <w:pPr>
              <w:spacing w:line="250" w:lineRule="auto"/>
            </w:pPr>
            <w:r>
              <w:rPr>
                <w:sz w:val="18"/>
                <w:szCs w:val="18"/>
              </w:rPr>
              <w:t>Netto nach Steuern</w:t>
            </w:r>
          </w:p>
        </w:tc>
        <w:tc>
          <w:tcPr>
            <w:tcW w:w="21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5" w14:textId="77777777" w:rsidR="00C1548D" w:rsidRDefault="009B1B4B">
            <w:pPr>
              <w:spacing w:line="250" w:lineRule="auto"/>
            </w:pPr>
            <w:r>
              <w:rPr>
                <w:sz w:val="18"/>
                <w:szCs w:val="18"/>
              </w:rPr>
              <w:t>≈ 74.600 €</w:t>
            </w:r>
          </w:p>
        </w:tc>
        <w:tc>
          <w:tcPr>
            <w:tcW w:w="13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6" w14:textId="77777777" w:rsidR="00C1548D" w:rsidRDefault="009B1B4B">
            <w:pPr>
              <w:spacing w:line="250" w:lineRule="auto"/>
            </w:pPr>
            <w:r>
              <w:rPr>
                <w:sz w:val="18"/>
                <w:szCs w:val="18"/>
              </w:rPr>
              <w:t>121.104 $</w:t>
            </w:r>
          </w:p>
        </w:tc>
      </w:tr>
      <w:tr w:rsidR="00C1548D" w14:paraId="70A4C5EB" w14:textId="77777777">
        <w:tblPrEx>
          <w:tblCellMar>
            <w:top w:w="0" w:type="dxa"/>
            <w:bottom w:w="0" w:type="dxa"/>
          </w:tblCellMar>
        </w:tblPrEx>
        <w:trPr>
          <w:cantSplit/>
        </w:trPr>
        <w:tc>
          <w:tcPr>
            <w:tcW w:w="2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8" w14:textId="77777777" w:rsidR="00C1548D" w:rsidRDefault="009B1B4B">
            <w:pPr>
              <w:spacing w:line="250" w:lineRule="auto"/>
            </w:pPr>
            <w:r>
              <w:rPr>
                <w:sz w:val="18"/>
                <w:szCs w:val="18"/>
              </w:rPr>
              <w:t>Krankenversicherung (Eigenanteil)</w:t>
            </w:r>
          </w:p>
        </w:tc>
        <w:tc>
          <w:tcPr>
            <w:tcW w:w="21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9" w14:textId="77777777" w:rsidR="00C1548D" w:rsidRDefault="009B1B4B">
            <w:pPr>
              <w:spacing w:line="250" w:lineRule="auto"/>
            </w:pPr>
            <w:r>
              <w:rPr>
                <w:sz w:val="18"/>
                <w:szCs w:val="18"/>
              </w:rPr>
              <w:t>in Sozialabgaben enthalten</w:t>
            </w:r>
          </w:p>
        </w:tc>
        <w:tc>
          <w:tcPr>
            <w:tcW w:w="13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A" w14:textId="77777777" w:rsidR="00C1548D" w:rsidRDefault="009B1B4B">
            <w:pPr>
              <w:spacing w:line="250" w:lineRule="auto"/>
            </w:pPr>
            <w:r>
              <w:rPr>
                <w:sz w:val="18"/>
                <w:szCs w:val="18"/>
              </w:rPr>
              <w:t>6.850 $</w:t>
            </w:r>
          </w:p>
        </w:tc>
      </w:tr>
      <w:tr w:rsidR="00C1548D" w14:paraId="70A4C5EF" w14:textId="77777777">
        <w:tblPrEx>
          <w:tblCellMar>
            <w:top w:w="0" w:type="dxa"/>
            <w:bottom w:w="0" w:type="dxa"/>
          </w:tblCellMar>
        </w:tblPrEx>
        <w:trPr>
          <w:cantSplit/>
        </w:trPr>
        <w:tc>
          <w:tcPr>
            <w:tcW w:w="2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C" w14:textId="77777777" w:rsidR="00C1548D" w:rsidRDefault="009B1B4B">
            <w:pPr>
              <w:spacing w:line="250" w:lineRule="auto"/>
            </w:pPr>
            <w:r>
              <w:rPr>
                <w:sz w:val="18"/>
                <w:szCs w:val="18"/>
              </w:rPr>
              <w:t>Miete</w:t>
            </w:r>
          </w:p>
        </w:tc>
        <w:tc>
          <w:tcPr>
            <w:tcW w:w="21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D" w14:textId="77777777" w:rsidR="00C1548D" w:rsidRDefault="009B1B4B">
            <w:pPr>
              <w:spacing w:line="250" w:lineRule="auto"/>
            </w:pPr>
            <w:r>
              <w:rPr>
                <w:sz w:val="18"/>
                <w:szCs w:val="18"/>
              </w:rPr>
              <w:t>≈ 12.600 €</w:t>
            </w:r>
          </w:p>
        </w:tc>
        <w:tc>
          <w:tcPr>
            <w:tcW w:w="13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EE" w14:textId="77777777" w:rsidR="00C1548D" w:rsidRDefault="009B1B4B">
            <w:pPr>
              <w:spacing w:line="250" w:lineRule="auto"/>
            </w:pPr>
            <w:r>
              <w:rPr>
                <w:sz w:val="18"/>
                <w:szCs w:val="18"/>
              </w:rPr>
              <w:t>26.604 $</w:t>
            </w:r>
          </w:p>
        </w:tc>
      </w:tr>
      <w:tr w:rsidR="00C1548D" w14:paraId="70A4C5F3" w14:textId="77777777">
        <w:tblPrEx>
          <w:tblCellMar>
            <w:top w:w="0" w:type="dxa"/>
            <w:bottom w:w="0" w:type="dxa"/>
          </w:tblCellMar>
        </w:tblPrEx>
        <w:trPr>
          <w:cantSplit/>
        </w:trPr>
        <w:tc>
          <w:tcPr>
            <w:tcW w:w="2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F0" w14:textId="77777777" w:rsidR="00C1548D" w:rsidRDefault="009B1B4B">
            <w:pPr>
              <w:spacing w:line="250" w:lineRule="auto"/>
            </w:pPr>
            <w:r>
              <w:rPr>
                <w:sz w:val="18"/>
                <w:szCs w:val="18"/>
              </w:rPr>
              <w:t>Verfügbares Einkommen</w:t>
            </w:r>
          </w:p>
        </w:tc>
        <w:tc>
          <w:tcPr>
            <w:tcW w:w="21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F1" w14:textId="77777777" w:rsidR="00C1548D" w:rsidRDefault="009B1B4B">
            <w:pPr>
              <w:spacing w:line="250" w:lineRule="auto"/>
            </w:pPr>
            <w:r>
              <w:rPr>
                <w:sz w:val="18"/>
                <w:szCs w:val="18"/>
              </w:rPr>
              <w:t>≈ 62.000 €</w:t>
            </w:r>
          </w:p>
        </w:tc>
        <w:tc>
          <w:tcPr>
            <w:tcW w:w="13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F2" w14:textId="77777777" w:rsidR="00C1548D" w:rsidRDefault="009B1B4B">
            <w:pPr>
              <w:spacing w:line="250" w:lineRule="auto"/>
            </w:pPr>
            <w:r>
              <w:rPr>
                <w:sz w:val="18"/>
                <w:szCs w:val="18"/>
              </w:rPr>
              <w:t>87.650 $</w:t>
            </w:r>
          </w:p>
        </w:tc>
      </w:tr>
    </w:tbl>
    <w:p w14:paraId="70A4C5F4" w14:textId="77777777" w:rsidR="00C1548D" w:rsidRDefault="00C1548D">
      <w:pPr>
        <w:spacing w:line="180" w:lineRule="exact"/>
      </w:pPr>
    </w:p>
    <w:p w14:paraId="70A4C5F5" w14:textId="71A39CB0" w:rsidR="00C1548D" w:rsidRDefault="009B1B4B">
      <w:pPr>
        <w:spacing w:after="140"/>
      </w:pPr>
      <w:r>
        <w:t>Für die Krankenversicherung setzen wir den Familientarif an (Ø 6.850 $, Kapitel </w:t>
      </w:r>
      <w:hyperlink w:anchor="k26" w:history="1">
        <w:r>
          <w:t>26</w:t>
        </w:r>
      </w:hyperlink>
      <w:r>
        <w:t>); er deckt eigentlich auch Kinder ab, ein eigener Durchschnitt für „Paar ohne Kinder“ liegt nicht vor, der Wert ist also eher eine vorsichtige Obergrenze. Für die deutsche Seite übertragen wir näherungsweise die Abgabenquote aus der 120.000-€-Zeile in Kapitel </w:t>
      </w:r>
      <w:hyperlink w:anchor="k28" w:history="1">
        <w:r>
          <w:t>28</w:t>
        </w:r>
      </w:hyperlink>
      <w:r>
        <w:t xml:space="preserve"> (rund 43 %) auf das etwas höhere gemeinsame Einkommen von 130.890 €; das Ehegattensplitting würde die tatsächliche Quote eher senken, der höhere Grenzsteuersatz sie eher heben – beide Effekte gleichen sich näherungsweise aus. Die Miete rechnet mit 75 m² zum bundesweiten Durchschnitt.</w:t>
      </w:r>
    </w:p>
    <w:p w14:paraId="70A4C5F6" w14:textId="360E37B6" w:rsidR="00C1548D" w:rsidRDefault="009B1B4B">
      <w:pPr>
        <w:spacing w:after="140"/>
      </w:pPr>
      <w:r>
        <w:t xml:space="preserve">Zwei Einkommen bringen bei der gemeinsamen Veranlagung einen spürbaren Vorteil gegenüber dem Single-Beispiel: Ein zweites Gehalt landet in den unteren, günstigeren Stufen des gemeinsamen Tarifs, nicht in der höchsten Stufe des ersten. Das gilt aber nur, wenn beide </w:t>
      </w:r>
      <w:r>
        <w:lastRenderedPageBreak/>
        <w:t>Partner tatsächlich arbeiten dürfen – bei H-4 ist das keineswegs sicher (Kapitel </w:t>
      </w:r>
      <w:hyperlink w:anchor="k10" w:history="1">
        <w:r>
          <w:t>10</w:t>
        </w:r>
      </w:hyperlink>
      <w:r>
        <w:t>).</w:t>
      </w:r>
    </w:p>
    <w:p w14:paraId="70A4C5F7" w14:textId="77777777" w:rsidR="00C1548D" w:rsidRDefault="009B1B4B">
      <w:pPr>
        <w:pStyle w:val="Heading3"/>
        <w:keepNext/>
        <w:jc w:val="center"/>
      </w:pPr>
      <w:r>
        <w:rPr>
          <w:rFonts w:ascii="Amazon Ember" w:eastAsia="Amazon Ember" w:hAnsi="Amazon Ember" w:cs="Amazon Ember"/>
          <w:color w:val="0000FF"/>
          <w:sz w:val="36"/>
          <w:szCs w:val="36"/>
        </w:rPr>
        <w:t>Beispiel 3: Familie mit zwei Kindern</w:t>
      </w:r>
    </w:p>
    <w:p w14:paraId="70A4C5F8" w14:textId="1FB7A253" w:rsidR="00C1548D" w:rsidRDefault="009B1B4B">
      <w:pPr>
        <w:spacing w:after="140"/>
      </w:pPr>
      <w:r>
        <w:t>Verdient ein Elternteil 150.000 $ im Michigan, während der andere mit H-4-Status zunächst nicht arbeiten darf – wie im Beispiel von Familie Brandt aus Kapitel </w:t>
      </w:r>
      <w:hyperlink w:anchor="k13" w:history="1">
        <w:r>
          <w:t>13</w:t>
        </w:r>
      </w:hyperlink>
      <w:r>
        <w:t xml:space="preserve"> und </w:t>
      </w:r>
      <w:hyperlink w:anchor="k28" w:history="1">
        <w:r>
          <w:t>28</w:t>
        </w:r>
      </w:hyperlink>
      <w:r>
        <w:t xml:space="preserve"> –, bleiben nach Bundessteuer, FICA und Michigan-Steuer 118.796 $ (79,2 %), weil die Kinder ohne Sozialversicherungsnummer nur die kleine Gutschrift von 500 $ statt 2.200 $ je Kind erhalten (Kapitel </w:t>
      </w:r>
      <w:hyperlink w:anchor="k28" w:history="1">
        <w:r>
          <w:t>28</w:t>
        </w:r>
      </w:hyperlink>
      <w:r>
        <w:t>). Miete und Krankenversicherung übernehmen wir aus denselben Kapiteln: 2.400 $ im Monat für das Reihenhaus (28.800 $ im Jahr, Kapitel </w:t>
      </w:r>
      <w:hyperlink w:anchor="k13" w:history="1">
        <w:r>
          <w:t>13</w:t>
        </w:r>
      </w:hyperlink>
      <w:r>
        <w:t>) und 6.850 $ Krankenversicherungsbeitrag im Familientarif (Kapitel </w:t>
      </w:r>
      <w:hyperlink w:anchor="k26" w:history="1">
        <w:r>
          <w:t>26</w:t>
        </w:r>
      </w:hyperlink>
      <w:r>
        <w:t>). Kinderbetreuung fällt hier nicht an, weil der Partner zu Hause bleibt.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22"/>
        <w:gridCol w:w="1683"/>
        <w:gridCol w:w="1975"/>
      </w:tblGrid>
      <w:tr w:rsidR="00C1548D" w14:paraId="70A4C5FC" w14:textId="77777777">
        <w:tblPrEx>
          <w:tblCellMar>
            <w:top w:w="0" w:type="dxa"/>
            <w:bottom w:w="0" w:type="dxa"/>
          </w:tblCellMar>
        </w:tblPrEx>
        <w:trPr>
          <w:cantSplit/>
          <w:tblHeader/>
        </w:trPr>
        <w:tc>
          <w:tcPr>
            <w:tcW w:w="282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F9" w14:textId="77777777" w:rsidR="00C1548D" w:rsidRDefault="009B1B4B">
            <w:pPr>
              <w:spacing w:line="250" w:lineRule="auto"/>
            </w:pPr>
            <w:r>
              <w:rPr>
                <w:b/>
                <w:bCs/>
                <w:sz w:val="18"/>
                <w:szCs w:val="18"/>
              </w:rPr>
              <w:t>Posten pro Jahr</w:t>
            </w:r>
          </w:p>
        </w:tc>
        <w:tc>
          <w:tcPr>
            <w:tcW w:w="16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FA" w14:textId="77777777" w:rsidR="00C1548D" w:rsidRDefault="009B1B4B">
            <w:pPr>
              <w:spacing w:line="250" w:lineRule="auto"/>
            </w:pPr>
            <w:r>
              <w:rPr>
                <w:b/>
                <w:bCs/>
                <w:sz w:val="18"/>
                <w:szCs w:val="18"/>
              </w:rPr>
              <w:t>Deutschland (Näherung)</w:t>
            </w:r>
          </w:p>
        </w:tc>
        <w:tc>
          <w:tcPr>
            <w:tcW w:w="197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5FB" w14:textId="77777777" w:rsidR="00C1548D" w:rsidRDefault="009B1B4B">
            <w:pPr>
              <w:spacing w:line="250" w:lineRule="auto"/>
            </w:pPr>
            <w:r>
              <w:rPr>
                <w:b/>
                <w:bCs/>
                <w:sz w:val="18"/>
                <w:szCs w:val="18"/>
              </w:rPr>
              <w:t>USA (Näherung)</w:t>
            </w:r>
          </w:p>
        </w:tc>
      </w:tr>
      <w:tr w:rsidR="00C1548D" w14:paraId="70A4C600" w14:textId="77777777">
        <w:tblPrEx>
          <w:tblCellMar>
            <w:top w:w="0" w:type="dxa"/>
            <w:bottom w:w="0" w:type="dxa"/>
          </w:tblCellMar>
        </w:tblPrEx>
        <w:trPr>
          <w:cantSplit/>
        </w:trPr>
        <w:tc>
          <w:tcPr>
            <w:tcW w:w="28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FD" w14:textId="77777777" w:rsidR="00C1548D" w:rsidRDefault="009B1B4B">
            <w:pPr>
              <w:spacing w:line="250" w:lineRule="auto"/>
            </w:pPr>
            <w:r>
              <w:rPr>
                <w:sz w:val="18"/>
                <w:szCs w:val="18"/>
              </w:rPr>
              <w:t>Bruttogehalt</w:t>
            </w:r>
          </w:p>
        </w:tc>
        <w:tc>
          <w:tcPr>
            <w:tcW w:w="16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FE" w14:textId="77777777" w:rsidR="00C1548D" w:rsidRDefault="009B1B4B">
            <w:pPr>
              <w:spacing w:line="250" w:lineRule="auto"/>
            </w:pPr>
            <w:r>
              <w:rPr>
                <w:sz w:val="18"/>
                <w:szCs w:val="18"/>
              </w:rPr>
              <w:t>≈ 130.890 €</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5FF" w14:textId="77777777" w:rsidR="00C1548D" w:rsidRDefault="009B1B4B">
            <w:pPr>
              <w:spacing w:line="250" w:lineRule="auto"/>
            </w:pPr>
            <w:r>
              <w:rPr>
                <w:sz w:val="18"/>
                <w:szCs w:val="18"/>
              </w:rPr>
              <w:t>150.000 $</w:t>
            </w:r>
          </w:p>
        </w:tc>
      </w:tr>
      <w:tr w:rsidR="00C1548D" w14:paraId="70A4C604" w14:textId="77777777">
        <w:tblPrEx>
          <w:tblCellMar>
            <w:top w:w="0" w:type="dxa"/>
            <w:bottom w:w="0" w:type="dxa"/>
          </w:tblCellMar>
        </w:tblPrEx>
        <w:trPr>
          <w:cantSplit/>
        </w:trPr>
        <w:tc>
          <w:tcPr>
            <w:tcW w:w="28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1" w14:textId="77777777" w:rsidR="00C1548D" w:rsidRDefault="009B1B4B">
            <w:pPr>
              <w:spacing w:line="250" w:lineRule="auto"/>
            </w:pPr>
            <w:r>
              <w:rPr>
                <w:sz w:val="18"/>
                <w:szCs w:val="18"/>
              </w:rPr>
              <w:t>Steuern und Sozialabgaben</w:t>
            </w:r>
          </w:p>
        </w:tc>
        <w:tc>
          <w:tcPr>
            <w:tcW w:w="16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2" w14:textId="77777777" w:rsidR="00C1548D" w:rsidRDefault="009B1B4B">
            <w:pPr>
              <w:spacing w:line="250" w:lineRule="auto"/>
            </w:pPr>
            <w:r>
              <w:rPr>
                <w:sz w:val="18"/>
                <w:szCs w:val="18"/>
              </w:rPr>
              <w:t>≈ 56.300 €</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3" w14:textId="77777777" w:rsidR="00C1548D" w:rsidRDefault="009B1B4B">
            <w:pPr>
              <w:spacing w:line="250" w:lineRule="auto"/>
            </w:pPr>
            <w:r>
              <w:rPr>
                <w:sz w:val="18"/>
                <w:szCs w:val="18"/>
              </w:rPr>
              <w:t>31.204 $</w:t>
            </w:r>
          </w:p>
        </w:tc>
      </w:tr>
      <w:tr w:rsidR="00C1548D" w14:paraId="70A4C608" w14:textId="77777777">
        <w:tblPrEx>
          <w:tblCellMar>
            <w:top w:w="0" w:type="dxa"/>
            <w:bottom w:w="0" w:type="dxa"/>
          </w:tblCellMar>
        </w:tblPrEx>
        <w:trPr>
          <w:cantSplit/>
        </w:trPr>
        <w:tc>
          <w:tcPr>
            <w:tcW w:w="28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5" w14:textId="77777777" w:rsidR="00C1548D" w:rsidRDefault="009B1B4B">
            <w:pPr>
              <w:spacing w:line="250" w:lineRule="auto"/>
            </w:pPr>
            <w:r>
              <w:rPr>
                <w:sz w:val="18"/>
                <w:szCs w:val="18"/>
              </w:rPr>
              <w:t>Netto nach Steuern</w:t>
            </w:r>
          </w:p>
        </w:tc>
        <w:tc>
          <w:tcPr>
            <w:tcW w:w="16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6" w14:textId="77777777" w:rsidR="00C1548D" w:rsidRDefault="009B1B4B">
            <w:pPr>
              <w:spacing w:line="250" w:lineRule="auto"/>
            </w:pPr>
            <w:r>
              <w:rPr>
                <w:sz w:val="18"/>
                <w:szCs w:val="18"/>
              </w:rPr>
              <w:t>≈ 74.600 €</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7" w14:textId="77777777" w:rsidR="00C1548D" w:rsidRDefault="009B1B4B">
            <w:pPr>
              <w:spacing w:line="250" w:lineRule="auto"/>
            </w:pPr>
            <w:r>
              <w:rPr>
                <w:sz w:val="18"/>
                <w:szCs w:val="18"/>
              </w:rPr>
              <w:t>118.796 $</w:t>
            </w:r>
          </w:p>
        </w:tc>
      </w:tr>
      <w:tr w:rsidR="00C1548D" w14:paraId="70A4C60C" w14:textId="77777777">
        <w:tblPrEx>
          <w:tblCellMar>
            <w:top w:w="0" w:type="dxa"/>
            <w:bottom w:w="0" w:type="dxa"/>
          </w:tblCellMar>
        </w:tblPrEx>
        <w:trPr>
          <w:cantSplit/>
        </w:trPr>
        <w:tc>
          <w:tcPr>
            <w:tcW w:w="28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9" w14:textId="77777777" w:rsidR="00C1548D" w:rsidRDefault="009B1B4B">
            <w:pPr>
              <w:spacing w:line="250" w:lineRule="auto"/>
            </w:pPr>
            <w:r>
              <w:rPr>
                <w:sz w:val="18"/>
                <w:szCs w:val="18"/>
              </w:rPr>
              <w:t>Kindergeld (zusätzliche Zahlung)</w:t>
            </w:r>
          </w:p>
        </w:tc>
        <w:tc>
          <w:tcPr>
            <w:tcW w:w="16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A" w14:textId="77777777" w:rsidR="00C1548D" w:rsidRDefault="009B1B4B">
            <w:pPr>
              <w:spacing w:line="250" w:lineRule="auto"/>
            </w:pPr>
            <w:r>
              <w:rPr>
                <w:sz w:val="18"/>
                <w:szCs w:val="18"/>
              </w:rPr>
              <w:t>+ 6.216 €</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B" w14:textId="77777777" w:rsidR="00C1548D" w:rsidRDefault="009B1B4B">
            <w:pPr>
              <w:spacing w:line="250" w:lineRule="auto"/>
            </w:pPr>
            <w:r>
              <w:rPr>
                <w:sz w:val="18"/>
                <w:szCs w:val="18"/>
              </w:rPr>
              <w:t>entfällt (wirkt bereits in der Steuer)</w:t>
            </w:r>
          </w:p>
        </w:tc>
      </w:tr>
      <w:tr w:rsidR="00C1548D" w14:paraId="70A4C610" w14:textId="77777777">
        <w:tblPrEx>
          <w:tblCellMar>
            <w:top w:w="0" w:type="dxa"/>
            <w:bottom w:w="0" w:type="dxa"/>
          </w:tblCellMar>
        </w:tblPrEx>
        <w:trPr>
          <w:cantSplit/>
        </w:trPr>
        <w:tc>
          <w:tcPr>
            <w:tcW w:w="28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D" w14:textId="77777777" w:rsidR="00C1548D" w:rsidRDefault="009B1B4B">
            <w:pPr>
              <w:spacing w:line="250" w:lineRule="auto"/>
            </w:pPr>
            <w:r>
              <w:rPr>
                <w:sz w:val="18"/>
                <w:szCs w:val="18"/>
              </w:rPr>
              <w:t>Krankenversicherung (Eigenanteil)</w:t>
            </w:r>
          </w:p>
        </w:tc>
        <w:tc>
          <w:tcPr>
            <w:tcW w:w="16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E" w14:textId="77777777" w:rsidR="00C1548D" w:rsidRDefault="009B1B4B">
            <w:pPr>
              <w:spacing w:line="250" w:lineRule="auto"/>
            </w:pPr>
            <w:r>
              <w:rPr>
                <w:sz w:val="18"/>
                <w:szCs w:val="18"/>
              </w:rPr>
              <w:t>in Sozialabgaben enthalten</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0F" w14:textId="77777777" w:rsidR="00C1548D" w:rsidRDefault="009B1B4B">
            <w:pPr>
              <w:spacing w:line="250" w:lineRule="auto"/>
            </w:pPr>
            <w:r>
              <w:rPr>
                <w:sz w:val="18"/>
                <w:szCs w:val="18"/>
              </w:rPr>
              <w:t>6.850 $</w:t>
            </w:r>
          </w:p>
        </w:tc>
      </w:tr>
      <w:tr w:rsidR="00C1548D" w14:paraId="70A4C614" w14:textId="77777777">
        <w:tblPrEx>
          <w:tblCellMar>
            <w:top w:w="0" w:type="dxa"/>
            <w:bottom w:w="0" w:type="dxa"/>
          </w:tblCellMar>
        </w:tblPrEx>
        <w:trPr>
          <w:cantSplit/>
        </w:trPr>
        <w:tc>
          <w:tcPr>
            <w:tcW w:w="28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11" w14:textId="77777777" w:rsidR="00C1548D" w:rsidRDefault="009B1B4B">
            <w:pPr>
              <w:spacing w:line="250" w:lineRule="auto"/>
            </w:pPr>
            <w:r>
              <w:rPr>
                <w:sz w:val="18"/>
                <w:szCs w:val="18"/>
              </w:rPr>
              <w:t>Miete</w:t>
            </w:r>
          </w:p>
        </w:tc>
        <w:tc>
          <w:tcPr>
            <w:tcW w:w="16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12" w14:textId="77777777" w:rsidR="00C1548D" w:rsidRDefault="009B1B4B">
            <w:pPr>
              <w:spacing w:line="250" w:lineRule="auto"/>
            </w:pPr>
            <w:r>
              <w:rPr>
                <w:sz w:val="18"/>
                <w:szCs w:val="18"/>
              </w:rPr>
              <w:t>≈ 26.760 €</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13" w14:textId="77777777" w:rsidR="00C1548D" w:rsidRDefault="009B1B4B">
            <w:pPr>
              <w:spacing w:line="250" w:lineRule="auto"/>
            </w:pPr>
            <w:r>
              <w:rPr>
                <w:sz w:val="18"/>
                <w:szCs w:val="18"/>
              </w:rPr>
              <w:t>28.800 $</w:t>
            </w:r>
          </w:p>
        </w:tc>
      </w:tr>
      <w:tr w:rsidR="00C1548D" w14:paraId="70A4C618" w14:textId="77777777">
        <w:tblPrEx>
          <w:tblCellMar>
            <w:top w:w="0" w:type="dxa"/>
            <w:bottom w:w="0" w:type="dxa"/>
          </w:tblCellMar>
        </w:tblPrEx>
        <w:trPr>
          <w:cantSplit/>
        </w:trPr>
        <w:tc>
          <w:tcPr>
            <w:tcW w:w="28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15" w14:textId="77777777" w:rsidR="00C1548D" w:rsidRDefault="009B1B4B">
            <w:pPr>
              <w:spacing w:line="250" w:lineRule="auto"/>
            </w:pPr>
            <w:r>
              <w:rPr>
                <w:sz w:val="18"/>
                <w:szCs w:val="18"/>
              </w:rPr>
              <w:t>Verfügbares Einkommen (vor Kinderbetreuung)</w:t>
            </w:r>
          </w:p>
        </w:tc>
        <w:tc>
          <w:tcPr>
            <w:tcW w:w="16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16" w14:textId="77777777" w:rsidR="00C1548D" w:rsidRDefault="009B1B4B">
            <w:pPr>
              <w:spacing w:line="250" w:lineRule="auto"/>
            </w:pPr>
            <w:r>
              <w:rPr>
                <w:sz w:val="18"/>
                <w:szCs w:val="18"/>
              </w:rPr>
              <w:t>≈ 54.100 €</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17" w14:textId="77777777" w:rsidR="00C1548D" w:rsidRDefault="009B1B4B">
            <w:pPr>
              <w:spacing w:line="250" w:lineRule="auto"/>
            </w:pPr>
            <w:r>
              <w:rPr>
                <w:sz w:val="18"/>
                <w:szCs w:val="18"/>
              </w:rPr>
              <w:t>83.146 $</w:t>
            </w:r>
          </w:p>
        </w:tc>
      </w:tr>
    </w:tbl>
    <w:p w14:paraId="70A4C619" w14:textId="77777777" w:rsidR="00C1548D" w:rsidRDefault="00C1548D">
      <w:pPr>
        <w:spacing w:line="180" w:lineRule="exact"/>
      </w:pPr>
    </w:p>
    <w:p w14:paraId="70A4C61A" w14:textId="077FECCF" w:rsidR="00C1548D" w:rsidRDefault="009B1B4B">
      <w:pPr>
        <w:spacing w:after="140"/>
      </w:pPr>
      <w:r>
        <w:t xml:space="preserve">Für die deutsche Miete nehmen wir, weil Familie Brandt aus dem Raum Stuttgart stammt, das Niveau einer deutschen Großstadt an (rund 18 € pro Quadratmeter, Durchschnitt der acht größten Städte, September 2026) statt des bundesweiten Durchschnitts – der Vergleich zeigt also, was diese Familie in Stuttgart gezahlt hätte, gegen das, was sie im Großraum Detroit tatsächlich zahlt. Das </w:t>
      </w:r>
      <w:r>
        <w:lastRenderedPageBreak/>
        <w:t>deutsche Kindergeld (259 € je Kind und Monat, Kapitel </w:t>
      </w:r>
      <w:hyperlink w:anchor="k38" w:history="1">
        <w:r>
          <w:t>38</w:t>
        </w:r>
      </w:hyperlink>
      <w:r>
        <w:t>) ist eine eigenständige Zahlung, kein Steuerabzug; die US-Kindergutschrift wirkt dagegen direkt in der Steuerrechnung und wurde bereits eingerechnet.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61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61B" w14:textId="77777777" w:rsidR="00C1548D" w:rsidRDefault="009B1B4B">
            <w:pPr>
              <w:keepNext/>
              <w:spacing w:after="70" w:line="240" w:lineRule="auto"/>
            </w:pPr>
            <w:r>
              <w:rPr>
                <w:b/>
                <w:bCs/>
                <w:color w:val="9B2C2C"/>
                <w:spacing w:val="24"/>
                <w:sz w:val="16"/>
                <w:szCs w:val="16"/>
              </w:rPr>
              <w:t>ACHTUNG</w:t>
            </w:r>
          </w:p>
          <w:p w14:paraId="70A4C61C" w14:textId="5D2001AB" w:rsidR="00C1548D" w:rsidRDefault="009B1B4B">
            <w:pPr>
              <w:spacing w:after="80" w:line="264" w:lineRule="auto"/>
            </w:pPr>
            <w:r>
              <w:rPr>
                <w:sz w:val="20"/>
                <w:szCs w:val="20"/>
              </w:rPr>
              <w:t>Dürfte der Partner arbeiten, kämen ein zweites Gehalt, aber auch Kinderbetreuungskosten von im Schnitt 13.184 $ je Kind und Jahr hinzu (Kapitel </w:t>
            </w:r>
            <w:hyperlink w:anchor="k38" w:history="1">
              <w:r>
                <w:rPr>
                  <w:sz w:val="20"/>
                  <w:szCs w:val="20"/>
                </w:rPr>
                <w:t>38</w:t>
              </w:r>
            </w:hyperlink>
            <w:r>
              <w:rPr>
                <w:sz w:val="20"/>
                <w:szCs w:val="20"/>
              </w:rPr>
              <w:t>) – bei zwei Kindern 26.368 $, die einen großen Teil des Zugewinns aufzehren. Für Au-pairs gilt: Familien mit H-1B, L-1 oder E-2 kommen dafür nicht infrage (Kapitel </w:t>
            </w:r>
            <w:hyperlink w:anchor="k38" w:history="1">
              <w:r>
                <w:rPr>
                  <w:sz w:val="20"/>
                  <w:szCs w:val="20"/>
                </w:rPr>
                <w:t>38</w:t>
              </w:r>
            </w:hyperlink>
            <w:r>
              <w:rPr>
                <w:sz w:val="20"/>
                <w:szCs w:val="20"/>
              </w:rPr>
              <w:t>). Rechne ein zweites Einkommen deshalb nicht ungeprüft in dein Budget ein, sondern erst, wenn Betreuung und Arbeitserlaubnis geklärt sind.</w:t>
            </w:r>
          </w:p>
        </w:tc>
      </w:tr>
    </w:tbl>
    <w:p w14:paraId="70A4C61E" w14:textId="77777777" w:rsidR="00C1548D" w:rsidRDefault="00C1548D">
      <w:pPr>
        <w:spacing w:line="220" w:lineRule="exact"/>
      </w:pPr>
    </w:p>
    <w:p w14:paraId="70A4C61F" w14:textId="77777777" w:rsidR="00C1548D" w:rsidRDefault="009B1B4B">
      <w:pPr>
        <w:pStyle w:val="Heading3"/>
        <w:keepNext/>
        <w:jc w:val="center"/>
      </w:pPr>
      <w:r>
        <w:rPr>
          <w:rFonts w:ascii="Amazon Ember" w:eastAsia="Amazon Ember" w:hAnsi="Amazon Ember" w:cs="Amazon Ember"/>
          <w:color w:val="0000FF"/>
          <w:sz w:val="36"/>
          <w:szCs w:val="36"/>
        </w:rPr>
        <w:t>Was die drei Rechnungen zeigen</w:t>
      </w:r>
    </w:p>
    <w:p w14:paraId="70A4C620" w14:textId="00E8BD44" w:rsidR="00C1548D" w:rsidRDefault="009B1B4B">
      <w:pPr>
        <w:spacing w:after="140"/>
      </w:pPr>
      <w:r>
        <w:t>Zum Vergleich in einer Währung, zur groben Orientierung: 1 € entsprach im Herbst 2026 etwa 1,1 bis 1,2 $ (EZB-Kurs 18. September 2026: 1,1460 $; bitte tagesaktuell prüfen). Umgerechnet blieben der Single-Beispielperson in Deutschland rund 57.500 $, dem Paar rund 71.000 $ und der Familie rund 62.000 $ (jeweils vor deutscher Kinderbetreuung) – gegenüber 64.237 $, 87.650 $ und 83.146 $ in den gerechneten US-Beispielen. In allen drei Fällen bleibt netto mehr übrig als der Brutto-Vergleich zeigt, aber deutlich w</w:t>
      </w:r>
      <w:r>
        <w:t>eniger als er suggeriert, und der Abstand hängt stark vom Wohnort ab: Ein Umzug von einer teuren deutschen Großstadt in eine günstige US-Region wie den Großraum Detroit vergrößert die Lücke; ein Umzug nach San Francisco oder New York verkleinert sie oder kehrt sie um (</w:t>
      </w:r>
      <w:r>
        <w:t>Kapitel </w:t>
      </w:r>
      <w:hyperlink w:anchor="k12" w:history="1">
        <w:r>
          <w:t>12</w:t>
        </w:r>
      </w:hyperlink>
      <w:r>
        <w:t xml:space="preserve"> und </w:t>
      </w:r>
      <w:hyperlink w:anchor="k13" w:history="1">
        <w:r>
          <w:t>13</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623"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621" w14:textId="77777777" w:rsidR="00C1548D" w:rsidRDefault="009B1B4B">
            <w:pPr>
              <w:keepNext/>
              <w:spacing w:after="70" w:line="240" w:lineRule="auto"/>
            </w:pPr>
            <w:r>
              <w:rPr>
                <w:b/>
                <w:bCs/>
                <w:color w:val="8A6212"/>
                <w:spacing w:val="24"/>
                <w:sz w:val="16"/>
                <w:szCs w:val="16"/>
              </w:rPr>
              <w:t>MERKE</w:t>
            </w:r>
          </w:p>
          <w:p w14:paraId="70A4C622" w14:textId="77777777" w:rsidR="00C1548D" w:rsidRDefault="009B1B4B">
            <w:pPr>
              <w:spacing w:after="80" w:line="264" w:lineRule="auto"/>
            </w:pPr>
            <w:r>
              <w:rPr>
                <w:sz w:val="20"/>
                <w:szCs w:val="20"/>
              </w:rPr>
              <w:t>Netto vor Brutto. Die einzige Zahl, die zählt, ist das, was am Monatsende übrig bleibt – nicht das Jahresgehalt im Angebotsschreiben.</w:t>
            </w:r>
          </w:p>
        </w:tc>
      </w:tr>
    </w:tbl>
    <w:p w14:paraId="70A4C624" w14:textId="77777777" w:rsidR="00C1548D" w:rsidRDefault="00C1548D">
      <w:pPr>
        <w:spacing w:line="220" w:lineRule="exact"/>
      </w:pPr>
    </w:p>
    <w:p w14:paraId="70A4C625"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Entscheidungsmatrix: Muss, Kann, Ausschluss</w:t>
      </w:r>
    </w:p>
    <w:p w14:paraId="70A4C626" w14:textId="77777777" w:rsidR="00C1548D" w:rsidRDefault="009B1B4B">
      <w:pPr>
        <w:spacing w:after="140"/>
      </w:pPr>
      <w:r>
        <w:t>Bevor die Zahlen zu einer Entscheidung werden, sortiere sie. Eine Matrix mit drei Kategorien trennt, was wirklich zählt, von dem, worüber ihr nur diskutiert.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1"/>
        <w:gridCol w:w="2265"/>
        <w:gridCol w:w="2864"/>
      </w:tblGrid>
      <w:tr w:rsidR="00C1548D" w14:paraId="70A4C62A" w14:textId="77777777">
        <w:tblPrEx>
          <w:tblCellMar>
            <w:top w:w="0" w:type="dxa"/>
            <w:bottom w:w="0" w:type="dxa"/>
          </w:tblCellMar>
        </w:tblPrEx>
        <w:trPr>
          <w:cantSplit/>
          <w:tblHeader/>
        </w:trPr>
        <w:tc>
          <w:tcPr>
            <w:tcW w:w="135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27" w14:textId="77777777" w:rsidR="00C1548D" w:rsidRDefault="009B1B4B">
            <w:pPr>
              <w:spacing w:line="250" w:lineRule="auto"/>
            </w:pPr>
            <w:r>
              <w:rPr>
                <w:b/>
                <w:bCs/>
                <w:sz w:val="18"/>
                <w:szCs w:val="18"/>
              </w:rPr>
              <w:t>Kategorie</w:t>
            </w:r>
          </w:p>
        </w:tc>
        <w:tc>
          <w:tcPr>
            <w:tcW w:w="226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28" w14:textId="77777777" w:rsidR="00C1548D" w:rsidRDefault="009B1B4B">
            <w:pPr>
              <w:spacing w:line="250" w:lineRule="auto"/>
            </w:pPr>
            <w:r>
              <w:rPr>
                <w:b/>
                <w:bCs/>
                <w:sz w:val="18"/>
                <w:szCs w:val="18"/>
              </w:rPr>
              <w:t>Was hineingehört</w:t>
            </w:r>
          </w:p>
        </w:tc>
        <w:tc>
          <w:tcPr>
            <w:tcW w:w="286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29" w14:textId="77777777" w:rsidR="00C1548D" w:rsidRDefault="009B1B4B">
            <w:pPr>
              <w:spacing w:line="250" w:lineRule="auto"/>
            </w:pPr>
            <w:r>
              <w:rPr>
                <w:b/>
                <w:bCs/>
                <w:sz w:val="18"/>
                <w:szCs w:val="18"/>
              </w:rPr>
              <w:t>Beispiel</w:t>
            </w:r>
          </w:p>
        </w:tc>
      </w:tr>
      <w:tr w:rsidR="00C1548D" w14:paraId="70A4C62E" w14:textId="77777777">
        <w:tblPrEx>
          <w:tblCellMar>
            <w:top w:w="0" w:type="dxa"/>
            <w:bottom w:w="0" w:type="dxa"/>
          </w:tblCellMar>
        </w:tblPrEx>
        <w:trPr>
          <w:cantSplit/>
        </w:trPr>
        <w:tc>
          <w:tcPr>
            <w:tcW w:w="13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2B" w14:textId="77777777" w:rsidR="00C1548D" w:rsidRDefault="009B1B4B">
            <w:pPr>
              <w:spacing w:line="250" w:lineRule="auto"/>
            </w:pPr>
            <w:r>
              <w:rPr>
                <w:sz w:val="18"/>
                <w:szCs w:val="18"/>
              </w:rPr>
              <w:t>Muss (unverzichtbar)</w:t>
            </w:r>
          </w:p>
        </w:tc>
        <w:tc>
          <w:tcPr>
            <w:tcW w:w="22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2C" w14:textId="77777777" w:rsidR="00C1548D" w:rsidRDefault="009B1B4B">
            <w:pPr>
              <w:spacing w:line="250" w:lineRule="auto"/>
            </w:pPr>
            <w:r>
              <w:rPr>
                <w:sz w:val="18"/>
                <w:szCs w:val="18"/>
              </w:rPr>
              <w:t>Bedingungen, ohne die ihr nicht geht</w:t>
            </w:r>
          </w:p>
        </w:tc>
        <w:tc>
          <w:tcPr>
            <w:tcW w:w="28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2D" w14:textId="2669CBD5" w:rsidR="00C1548D" w:rsidRDefault="009B1B4B">
            <w:pPr>
              <w:spacing w:line="250" w:lineRule="auto"/>
            </w:pPr>
            <w:r>
              <w:rPr>
                <w:sz w:val="18"/>
                <w:szCs w:val="18"/>
              </w:rPr>
              <w:t>Verfügbares Einkommen deckt eure Version der Rechnung oben; klare Perspektive auf eine Arbeitserlaubnis für den Partner (Kapitel </w:t>
            </w:r>
            <w:hyperlink w:anchor="k10" w:history="1">
              <w:r>
                <w:rPr>
                  <w:sz w:val="18"/>
                  <w:szCs w:val="18"/>
                </w:rPr>
                <w:t>10</w:t>
              </w:r>
            </w:hyperlink>
            <w:r>
              <w:rPr>
                <w:sz w:val="18"/>
                <w:szCs w:val="18"/>
              </w:rPr>
              <w:t>); Krankenversicherung ab einem feststehenden Datum (Kapitel </w:t>
            </w:r>
            <w:hyperlink w:anchor="k26" w:history="1">
              <w:r>
                <w:rPr>
                  <w:sz w:val="18"/>
                  <w:szCs w:val="18"/>
                </w:rPr>
                <w:t>26</w:t>
              </w:r>
            </w:hyperlink>
            <w:r>
              <w:rPr>
                <w:sz w:val="18"/>
                <w:szCs w:val="18"/>
              </w:rPr>
              <w:t>)</w:t>
            </w:r>
          </w:p>
        </w:tc>
      </w:tr>
      <w:tr w:rsidR="00C1548D" w14:paraId="70A4C632" w14:textId="77777777">
        <w:tblPrEx>
          <w:tblCellMar>
            <w:top w:w="0" w:type="dxa"/>
            <w:bottom w:w="0" w:type="dxa"/>
          </w:tblCellMar>
        </w:tblPrEx>
        <w:trPr>
          <w:cantSplit/>
        </w:trPr>
        <w:tc>
          <w:tcPr>
            <w:tcW w:w="13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2F" w14:textId="77777777" w:rsidR="00C1548D" w:rsidRDefault="009B1B4B">
            <w:pPr>
              <w:spacing w:line="250" w:lineRule="auto"/>
            </w:pPr>
            <w:r>
              <w:rPr>
                <w:sz w:val="18"/>
                <w:szCs w:val="18"/>
              </w:rPr>
              <w:t>Kann (verhandelbar)</w:t>
            </w:r>
          </w:p>
        </w:tc>
        <w:tc>
          <w:tcPr>
            <w:tcW w:w="22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30" w14:textId="77777777" w:rsidR="00C1548D" w:rsidRDefault="009B1B4B">
            <w:pPr>
              <w:spacing w:line="250" w:lineRule="auto"/>
            </w:pPr>
            <w:r>
              <w:rPr>
                <w:sz w:val="18"/>
                <w:szCs w:val="18"/>
              </w:rPr>
              <w:t>Wichtig, aber kein Abbruchgrund</w:t>
            </w:r>
          </w:p>
        </w:tc>
        <w:tc>
          <w:tcPr>
            <w:tcW w:w="28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31" w14:textId="57893565" w:rsidR="00C1548D" w:rsidRDefault="009B1B4B">
            <w:pPr>
              <w:spacing w:line="250" w:lineRule="auto"/>
            </w:pPr>
            <w:r>
              <w:rPr>
                <w:sz w:val="18"/>
                <w:szCs w:val="18"/>
              </w:rPr>
              <w:t>Bundesstaat oder Stadt (Kapitel </w:t>
            </w:r>
            <w:hyperlink w:anchor="k12" w:history="1">
              <w:r>
                <w:rPr>
                  <w:sz w:val="18"/>
                  <w:szCs w:val="18"/>
                </w:rPr>
                <w:t>12</w:t>
              </w:r>
            </w:hyperlink>
            <w:r>
              <w:rPr>
                <w:sz w:val="18"/>
                <w:szCs w:val="18"/>
              </w:rPr>
              <w:t>); Homeoffice-Anteil; Gehalt über dem Minimum; Zeitpunkt des Umzugs im Schuljahr</w:t>
            </w:r>
          </w:p>
        </w:tc>
      </w:tr>
      <w:tr w:rsidR="00C1548D" w14:paraId="70A4C636" w14:textId="77777777">
        <w:tblPrEx>
          <w:tblCellMar>
            <w:top w:w="0" w:type="dxa"/>
            <w:bottom w:w="0" w:type="dxa"/>
          </w:tblCellMar>
        </w:tblPrEx>
        <w:trPr>
          <w:cantSplit/>
        </w:trPr>
        <w:tc>
          <w:tcPr>
            <w:tcW w:w="13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33" w14:textId="77777777" w:rsidR="00C1548D" w:rsidRDefault="009B1B4B">
            <w:pPr>
              <w:spacing w:line="250" w:lineRule="auto"/>
            </w:pPr>
            <w:r>
              <w:rPr>
                <w:sz w:val="18"/>
                <w:szCs w:val="18"/>
              </w:rPr>
              <w:t>Ausschluss (K.-o.-Kriterium)</w:t>
            </w:r>
          </w:p>
        </w:tc>
        <w:tc>
          <w:tcPr>
            <w:tcW w:w="22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34" w14:textId="77777777" w:rsidR="00C1548D" w:rsidRDefault="009B1B4B">
            <w:pPr>
              <w:spacing w:line="250" w:lineRule="auto"/>
            </w:pPr>
            <w:r>
              <w:rPr>
                <w:sz w:val="18"/>
                <w:szCs w:val="18"/>
              </w:rPr>
              <w:t>Tritt eines ein, geht ihr nicht oder brecht ab</w:t>
            </w:r>
          </w:p>
        </w:tc>
        <w:tc>
          <w:tcPr>
            <w:tcW w:w="28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35" w14:textId="2AE5DCD8" w:rsidR="00C1548D" w:rsidRDefault="009B1B4B">
            <w:pPr>
              <w:spacing w:line="250" w:lineRule="auto"/>
            </w:pPr>
            <w:r>
              <w:rPr>
                <w:sz w:val="18"/>
                <w:szCs w:val="18"/>
              </w:rPr>
              <w:t>Kein Weg zur Green Card trotz Daueraufenthaltswunsch (Kapitel </w:t>
            </w:r>
            <w:hyperlink w:anchor="k6" w:history="1">
              <w:r>
                <w:rPr>
                  <w:sz w:val="18"/>
                  <w:szCs w:val="18"/>
                </w:rPr>
                <w:t>6</w:t>
              </w:r>
            </w:hyperlink>
            <w:r>
              <w:rPr>
                <w:sz w:val="18"/>
                <w:szCs w:val="18"/>
              </w:rPr>
              <w:t xml:space="preserve"> und </w:t>
            </w:r>
            <w:hyperlink w:anchor="k7" w:history="1">
              <w:r>
                <w:rPr>
                  <w:sz w:val="18"/>
                  <w:szCs w:val="18"/>
                </w:rPr>
                <w:t>7</w:t>
              </w:r>
            </w:hyperlink>
            <w:r>
              <w:rPr>
                <w:sz w:val="18"/>
                <w:szCs w:val="18"/>
              </w:rPr>
              <w:t>); ein Gesundheitszustand, der die US-Versicherung unbezahlbar macht (Kapitel </w:t>
            </w:r>
            <w:hyperlink w:anchor="k26" w:history="1">
              <w:r>
                <w:rPr>
                  <w:sz w:val="18"/>
                  <w:szCs w:val="18"/>
                </w:rPr>
                <w:t>26</w:t>
              </w:r>
            </w:hyperlink>
            <w:r>
              <w:rPr>
                <w:sz w:val="18"/>
                <w:szCs w:val="18"/>
              </w:rPr>
              <w:t>); ein pflegebedürftiger Elternteil ohne tragfähige Lösung</w:t>
            </w:r>
          </w:p>
        </w:tc>
      </w:tr>
    </w:tbl>
    <w:p w14:paraId="70A4C637" w14:textId="77777777" w:rsidR="00C1548D" w:rsidRDefault="00C1548D">
      <w:pPr>
        <w:spacing w:line="180" w:lineRule="exact"/>
      </w:pPr>
    </w:p>
    <w:p w14:paraId="70A4C638" w14:textId="77777777" w:rsidR="00C1548D" w:rsidRDefault="009B1B4B">
      <w:pPr>
        <w:spacing w:after="140"/>
      </w:pPr>
      <w:r>
        <w:t>Füllt die drei Spalten gemeinsam aus, bevor der Arbeitgeber ein konkretes Angebot vorlegt. Wer erst unter Zeitdruck entscheidet, verwechselt leicht ein Kann mit einem Muss.</w:t>
      </w:r>
    </w:p>
    <w:p w14:paraId="70A4C639" w14:textId="77777777" w:rsidR="00C1548D" w:rsidRDefault="009B1B4B">
      <w:pPr>
        <w:pStyle w:val="Heading3"/>
        <w:keepNext/>
        <w:jc w:val="center"/>
      </w:pPr>
      <w:r>
        <w:rPr>
          <w:rFonts w:ascii="Amazon Ember" w:eastAsia="Amazon Ember" w:hAnsi="Amazon Ember" w:cs="Amazon Ember"/>
          <w:color w:val="0000FF"/>
          <w:sz w:val="36"/>
          <w:szCs w:val="36"/>
        </w:rPr>
        <w:t>Der Familienrat: vier Fragen vor der Unterschrift</w:t>
      </w:r>
    </w:p>
    <w:p w14:paraId="70A4C63A" w14:textId="77777777" w:rsidR="00C1548D" w:rsidRDefault="009B1B4B">
      <w:pPr>
        <w:spacing w:after="140"/>
      </w:pPr>
      <w:r>
        <w:t>Die Zahlen sind nur ein Teil der Entscheidung. Vier Themen gehören an den Familientisch, bevor jemand unterschreibt.</w:t>
      </w:r>
    </w:p>
    <w:p w14:paraId="70A4C63B" w14:textId="33494413" w:rsidR="00C1548D" w:rsidRDefault="009B1B4B" w:rsidP="009B1B4B">
      <w:pPr>
        <w:pStyle w:val="ListParagraph"/>
        <w:numPr>
          <w:ilvl w:val="0"/>
          <w:numId w:val="1"/>
        </w:numPr>
        <w:spacing w:after="60"/>
      </w:pPr>
      <w:r>
        <w:rPr>
          <w:b/>
          <w:bCs/>
        </w:rPr>
        <w:lastRenderedPageBreak/>
        <w:t>Partnerkarriere.</w:t>
      </w:r>
      <w:r>
        <w:t xml:space="preserve"> Ob dein Partner überhaupt arbeiten darf, hängt vom Visumstyp ab: H-4 erlaubt es nur unter engen Voraussetzungen, L-2 und E-2 in der Regel großzügiger (Kapitel </w:t>
      </w:r>
      <w:hyperlink w:anchor="k10" w:history="1">
        <w:r>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w14:paraId="70A4C63C" w14:textId="4E589514" w:rsidR="00C1548D" w:rsidRDefault="009B1B4B" w:rsidP="009B1B4B">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history="1">
        <w:r>
          <w:t>38</w:t>
        </w:r>
      </w:hyperlink>
      <w:r>
        <w:t>). Schulkinder brauchen einen passenden Schuldistrikt, der wiederum den Wohnort mitbestimmt (Kapitel </w:t>
      </w:r>
      <w:hyperlink w:anchor="k12" w:history="1">
        <w:r>
          <w:t>12</w:t>
        </w:r>
      </w:hyperlink>
      <w:r>
        <w:t xml:space="preserve"> und </w:t>
      </w:r>
      <w:hyperlink w:anchor="k36" w:history="1">
        <w:r>
          <w:t>36</w:t>
        </w:r>
      </w:hyperlink>
      <w:r>
        <w:t>). Teenager verlieren beim Umzug in Klasse 10 bis 12 leicht Anschluss, weil der Notenschnitt schon ab Klasse 9 zählt, und ihr H-4- oder L-2-Status endet mit 21 (Kapitel </w:t>
      </w:r>
      <w:hyperlink w:anchor="k38" w:history="1">
        <w:r>
          <w:t>38</w:t>
        </w:r>
      </w:hyperlink>
      <w:r>
        <w:t>); wer mit älteren Kindern zieht, sollte den Zeitpunkt sorgfältig prüfen.</w:t>
      </w:r>
    </w:p>
    <w:p w14:paraId="70A4C63D" w14:textId="61D849F9" w:rsidR="00C1548D" w:rsidRDefault="009B1B4B" w:rsidP="009B1B4B">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history="1">
        <w:r>
          <w:t>39</w:t>
        </w:r>
      </w:hyperlink>
      <w:r>
        <w:t>). Der wöchentliche Videoanruf ersetzt keinen Griff nach der Hand im Krankenhausflur – wer das früh anerkennt, plant die Vertretung vor Ort ernster.</w:t>
      </w:r>
    </w:p>
    <w:p w14:paraId="70A4C63E" w14:textId="6B1210ED" w:rsidR="00C1548D" w:rsidRDefault="009B1B4B" w:rsidP="009B1B4B">
      <w:pPr>
        <w:pStyle w:val="ListParagraph"/>
        <w:numPr>
          <w:ilvl w:val="0"/>
          <w:numId w:val="1"/>
        </w:numPr>
        <w:spacing w:after="60"/>
      </w:pPr>
      <w:r>
        <w:rPr>
          <w:b/>
          <w:bCs/>
        </w:rPr>
        <w:t>Immobilien.</w:t>
      </w:r>
      <w:r>
        <w:t xml:space="preserve"> Eine deutsche Immobilie kannst du verkaufen, vermieten oder leer stehen lassen (Kapitel </w:t>
      </w:r>
      <w:hyperlink w:anchor="k14" w:history="1">
        <w:r>
          <w:t>14</w:t>
        </w:r>
      </w:hyperlink>
      <w:r>
        <w:t xml:space="preserve">). Verkauf innerhalb von zehn Jahren nach dem Kauf ist nach § 23 EStG grundsätzlich steuerpflichtig, Vermietung bleibt in beiden Ländern erklärungspflichtig, und wer in Dollar verdient, aber eine Euro-Immobilie hält, trägt zusätzlich ein Währungsrisiko. Ein Verkauf vor dem Wegzug schafft Klarheit und Eigenkapital </w:t>
      </w:r>
      <w:r>
        <w:lastRenderedPageBreak/>
        <w:t>für die Anzahlung in den USA; das Behalten hält die Rückkehr offen.</w:t>
      </w:r>
    </w:p>
    <w:p w14:paraId="70A4C63F"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642"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640" w14:textId="77777777" w:rsidR="00C1548D" w:rsidRDefault="009B1B4B">
            <w:pPr>
              <w:keepNext/>
              <w:spacing w:after="70" w:line="240" w:lineRule="auto"/>
            </w:pPr>
            <w:r>
              <w:rPr>
                <w:b/>
                <w:bCs/>
                <w:color w:val="4A5568"/>
                <w:spacing w:val="24"/>
                <w:sz w:val="16"/>
                <w:szCs w:val="16"/>
              </w:rPr>
              <w:t>PRAXISBEISPIEL · FIKTIV</w:t>
            </w:r>
          </w:p>
          <w:p w14:paraId="70A4C641" w14:textId="77777777" w:rsidR="00C1548D" w:rsidRDefault="009B1B4B">
            <w:pPr>
              <w:spacing w:after="80" w:line="264" w:lineRule="auto"/>
            </w:pPr>
            <w:r>
              <w:rPr>
                <w:sz w:val="20"/>
                <w:szCs w:val="20"/>
              </w:rPr>
              <w:t>Familie Hoffmann (fiktives Beispiel) bespricht vor der Zusage für Phoenix, Arizona, alle vier Punkte. Jan (46) geht mit L-1-Status, Katrin (44) erhält als L-2-Ehefrau in der Regel eine eigene Arbeitserlaubnis und will als Physiotherapeutin weiterarbeiten. Paul ist 15; die Familie rechnet nach, dass sein L-2-Status mit 21 endet und er bis dahin entweder die Green Card der Eltern mitträgt oder selbst den Status wechseln muss. Am Küchentisch fragt Paul nur, ob er dann zurück nach Dresden müsste; eine sichere A</w:t>
            </w:r>
            <w:r>
              <w:rPr>
                <w:sz w:val="20"/>
                <w:szCs w:val="20"/>
              </w:rPr>
              <w:t>ntwort haben seine Eltern nicht sofort, aber immerhin einen Zeitplan, an dem sie sich orientieren können. Jans Mutter in Dresden ist gesundheitlich stabil, aber allein; die Familie vereinbart feste Videotermine und einen jährlichen Langzeitbesuch. Ihre Eigentumswohnung vermieten sie, statt sie zu verkaufen.</w:t>
            </w:r>
          </w:p>
        </w:tc>
      </w:tr>
    </w:tbl>
    <w:p w14:paraId="70A4C643"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64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644" w14:textId="77777777" w:rsidR="00C1548D" w:rsidRDefault="009B1B4B">
            <w:pPr>
              <w:keepNext/>
              <w:spacing w:after="70" w:line="240" w:lineRule="auto"/>
            </w:pPr>
            <w:r>
              <w:rPr>
                <w:b/>
                <w:bCs/>
                <w:color w:val="9B2C2C"/>
                <w:spacing w:val="24"/>
                <w:sz w:val="16"/>
                <w:szCs w:val="16"/>
              </w:rPr>
              <w:t>ACHTUNG</w:t>
            </w:r>
          </w:p>
          <w:p w14:paraId="70A4C645" w14:textId="06601EF3" w:rsidR="00C1548D" w:rsidRDefault="009B1B4B">
            <w:pPr>
              <w:spacing w:after="80" w:line="264" w:lineRule="auto"/>
            </w:pPr>
            <w:r>
              <w:rPr>
                <w:sz w:val="20"/>
                <w:szCs w:val="20"/>
              </w:rPr>
              <w:t>Plane kein zweites Einkommen und keine großzügige Nachholung der Eltern ein, bevor du die rechtlichen Möglichkeiten geprüft hast (Kapitel </w:t>
            </w:r>
            <w:hyperlink w:anchor="k10" w:history="1">
              <w:r>
                <w:rPr>
                  <w:sz w:val="20"/>
                  <w:szCs w:val="20"/>
                </w:rPr>
                <w:t>10</w:t>
              </w:r>
            </w:hyperlink>
            <w:r>
              <w:rPr>
                <w:sz w:val="20"/>
                <w:szCs w:val="20"/>
              </w:rPr>
              <w:t>). Ein Familienrat, der nur über Gehalt und Stadt spricht, übersieht regelmäßig die teuerste Variable.</w:t>
            </w:r>
          </w:p>
        </w:tc>
      </w:tr>
    </w:tbl>
    <w:p w14:paraId="70A4C647" w14:textId="77777777" w:rsidR="00C1548D" w:rsidRDefault="00C1548D">
      <w:pPr>
        <w:spacing w:line="220" w:lineRule="exact"/>
      </w:pPr>
    </w:p>
    <w:p w14:paraId="70A4C648" w14:textId="77777777" w:rsidR="00C1548D" w:rsidRDefault="009B1B4B">
      <w:pPr>
        <w:pStyle w:val="Heading3"/>
        <w:keepNext/>
        <w:jc w:val="center"/>
      </w:pPr>
      <w:r>
        <w:rPr>
          <w:rFonts w:ascii="Amazon Ember" w:eastAsia="Amazon Ember" w:hAnsi="Amazon Ember" w:cs="Amazon Ember"/>
          <w:color w:val="0000FF"/>
          <w:sz w:val="36"/>
          <w:szCs w:val="36"/>
        </w:rPr>
        <w:t>Typische Rechenfehler</w:t>
      </w:r>
    </w:p>
    <w:p w14:paraId="70A4C649" w14:textId="77777777" w:rsidR="00C1548D" w:rsidRDefault="009B1B4B">
      <w:pPr>
        <w:spacing w:after="140"/>
      </w:pPr>
      <w:r>
        <w:t>Bevor die Verhandlungsliste an die Reihe kommt, lohnt der Blick auf die häufigsten Fehler bei der eigenen Rechnung:</w:t>
      </w:r>
    </w:p>
    <w:p w14:paraId="70A4C64A" w14:textId="77777777" w:rsidR="00C1548D" w:rsidRDefault="009B1B4B" w:rsidP="009B1B4B">
      <w:pPr>
        <w:pStyle w:val="ListParagraph"/>
        <w:numPr>
          <w:ilvl w:val="0"/>
          <w:numId w:val="1"/>
        </w:numPr>
        <w:spacing w:after="60"/>
      </w:pPr>
      <w:r>
        <w:rPr>
          <w:b/>
          <w:bCs/>
        </w:rPr>
        <w:t>Brutto mit Brutto vergleichen.</w:t>
      </w:r>
      <w:r>
        <w:t xml:space="preserve"> Ohne Bundesstaat, Krankenversicherung und Miete sagt die Zahl im Angebotsschreiben wenig aus (siehe oben).</w:t>
      </w:r>
    </w:p>
    <w:p w14:paraId="70A4C64B" w14:textId="77777777" w:rsidR="00C1548D" w:rsidRDefault="009B1B4B" w:rsidP="009B1B4B">
      <w:pPr>
        <w:pStyle w:val="ListParagraph"/>
        <w:numPr>
          <w:ilvl w:val="0"/>
          <w:numId w:val="1"/>
        </w:numPr>
        <w:spacing w:after="60"/>
      </w:pPr>
      <w:r>
        <w:rPr>
          <w:b/>
          <w:bCs/>
        </w:rPr>
        <w:t>Den Wechselkurs als fest behandeln.</w:t>
      </w:r>
      <w:r>
        <w:t xml:space="preserve"> Der Euro-Dollar-Kurs schwankt, und eine Rechnung von heute kann in einem Jahr anders aussehen – rechne mit einer Spanne, nicht mit einem Punktwert.</w:t>
      </w:r>
    </w:p>
    <w:p w14:paraId="70A4C64C" w14:textId="77777777" w:rsidR="00C1548D" w:rsidRDefault="009B1B4B" w:rsidP="009B1B4B">
      <w:pPr>
        <w:pStyle w:val="ListParagraph"/>
        <w:numPr>
          <w:ilvl w:val="0"/>
          <w:numId w:val="1"/>
        </w:numPr>
        <w:spacing w:after="60"/>
      </w:pPr>
      <w:r>
        <w:rPr>
          <w:b/>
          <w:bCs/>
        </w:rPr>
        <w:lastRenderedPageBreak/>
        <w:t>Ein zweites Einkommen fest einplanen</w:t>
      </w:r>
      <w:r>
        <w:t>, bevor die Arbeitserlaubnis des Partners geklärt ist (siehe Familienrat unten).</w:t>
      </w:r>
    </w:p>
    <w:p w14:paraId="70A4C64D" w14:textId="4E8EF519" w:rsidR="00C1548D" w:rsidRDefault="009B1B4B" w:rsidP="009B1B4B">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history="1">
        <w:r>
          <w:t>14</w:t>
        </w:r>
      </w:hyperlink>
      <w:r>
        <w:t xml:space="preserve"> und </w:t>
      </w:r>
      <w:hyperlink w:anchor="k42" w:history="1">
        <w:r>
          <w:t>42</w:t>
        </w:r>
      </w:hyperlink>
      <w:r>
        <w:t>).</w:t>
      </w:r>
    </w:p>
    <w:p w14:paraId="70A4C64E" w14:textId="77777777" w:rsidR="00C1548D" w:rsidRDefault="009B1B4B" w:rsidP="009B1B4B">
      <w:pPr>
        <w:pStyle w:val="ListParagraph"/>
        <w:numPr>
          <w:ilvl w:val="0"/>
          <w:numId w:val="1"/>
        </w:numPr>
        <w:spacing w:after="60"/>
      </w:pPr>
      <w:r>
        <w:rPr>
          <w:b/>
          <w:bCs/>
        </w:rPr>
        <w:t>US-Steuervorteile doppelt einplanen.</w:t>
      </w:r>
      <w:r>
        <w:t xml:space="preserve"> 401(k)-Beiträge und Einzelabzüge senken zwar die Steuer, sie sind aber gebundenes oder bereits ausgegebenes Geld, kein zusätzliches Netto.</w:t>
      </w:r>
    </w:p>
    <w:p w14:paraId="70A4C64F" w14:textId="77777777" w:rsidR="00C1548D" w:rsidRDefault="00C1548D">
      <w:pPr>
        <w:spacing w:line="120" w:lineRule="exact"/>
      </w:pPr>
    </w:p>
    <w:p w14:paraId="70A4C650" w14:textId="77777777" w:rsidR="00C1548D" w:rsidRDefault="009B1B4B">
      <w:pPr>
        <w:spacing w:after="140"/>
      </w:pPr>
      <w:r>
        <w:t>Jeder dieser Fehler für sich ist harmlos; zusammengerechnet verwandeln sie ein verlockendes Angebot in eine Zahl, die es nie gegeben hat.</w:t>
      </w:r>
    </w:p>
    <w:p w14:paraId="70A4C651" w14:textId="77777777" w:rsidR="00C1548D" w:rsidRDefault="009B1B4B">
      <w:pPr>
        <w:pStyle w:val="Heading3"/>
        <w:keepNext/>
        <w:jc w:val="center"/>
      </w:pPr>
      <w:r>
        <w:rPr>
          <w:rFonts w:ascii="Amazon Ember" w:eastAsia="Amazon Ember" w:hAnsi="Amazon Ember" w:cs="Amazon Ember"/>
          <w:color w:val="0000FF"/>
          <w:sz w:val="36"/>
          <w:szCs w:val="36"/>
        </w:rPr>
        <w:t>Die Verhandlungsliste an den Arbeitgeber</w:t>
      </w:r>
    </w:p>
    <w:p w14:paraId="70A4C652" w14:textId="77777777" w:rsidR="00C1548D" w:rsidRDefault="009B1B4B">
      <w:pPr>
        <w:spacing w:after="140"/>
      </w:pPr>
      <w:r>
        <w:t>Ein Angebot ist ein Ausgangspunkt, kein Endpunkt, und die eigene Rechnung zugleich die beste Vorbereitung auf das Gespräch: Wer weiß, wie viel nach Steuern, Krankenversicherung und Miete tatsächlich bleibt, verhandelt über Fakten statt über ein Bauchgefühl. Das gilt besonders für Deutsche, die das Feilschen ums Gehalt eher aus dem Basarurlaub kennen als aus dem eigenen Berufsleben – hier gehört es zum Geschäft, nicht zur Unhöflichkeit. Fünf Punkte lohnen ein Gespräch, bevor du zusagst:</w:t>
      </w:r>
    </w:p>
    <w:p w14:paraId="70A4C653" w14:textId="5012AA64" w:rsidR="00C1548D" w:rsidRDefault="009B1B4B" w:rsidP="009B1B4B">
      <w:pPr>
        <w:pStyle w:val="ListParagraph"/>
        <w:numPr>
          <w:ilvl w:val="0"/>
          <w:numId w:val="1"/>
        </w:numPr>
        <w:spacing w:after="60"/>
      </w:pPr>
      <w:r>
        <w:rPr>
          <w:b/>
          <w:bCs/>
        </w:rPr>
        <w:t>Relocation-Paket.</w:t>
      </w:r>
      <w:r>
        <w:t xml:space="preserve"> Frage nach Umzugskosten (Kapitel </w:t>
      </w:r>
      <w:hyperlink w:anchor="k20" w:history="1">
        <w:r>
          <w:t>20</w:t>
        </w:r>
      </w:hyperlink>
      <w:r>
        <w:t>), Flügen für die ganze Familie und einer Übergangswohnung; möbliertes Wohnen auf Zeit (</w:t>
      </w:r>
      <w:r>
        <w:rPr>
          <w:i/>
          <w:iCs/>
        </w:rPr>
        <w:t>Corporate Housing</w:t>
      </w:r>
      <w:r>
        <w:t>) kostet je nach Stadt und Größe grob 3.300 bis 7.400 $ im Monat (Kapitel </w:t>
      </w:r>
      <w:hyperlink w:anchor="k13" w:history="1">
        <w:r>
          <w:t>13</w:t>
        </w:r>
      </w:hyperlink>
      <w:r>
        <w:t>). Kläre, ob die Erstattung als Gross-up erfolgt, weil sie sonst steuerpflichtiger Lohn ist (Kapitel </w:t>
      </w:r>
      <w:hyperlink w:anchor="k28" w:history="1">
        <w:r>
          <w:t>28</w:t>
        </w:r>
      </w:hyperlink>
      <w:r>
        <w:t>).</w:t>
      </w:r>
    </w:p>
    <w:p w14:paraId="70A4C654" w14:textId="1037B127" w:rsidR="00C1548D" w:rsidRDefault="009B1B4B" w:rsidP="009B1B4B">
      <w:pPr>
        <w:pStyle w:val="ListParagraph"/>
        <w:numPr>
          <w:ilvl w:val="0"/>
          <w:numId w:val="1"/>
        </w:numPr>
        <w:spacing w:after="60"/>
      </w:pPr>
      <w:r>
        <w:rPr>
          <w:b/>
          <w:bCs/>
        </w:rPr>
        <w:t>Unabhängiger Anwalt.</w:t>
      </w:r>
      <w:r>
        <w:t xml:space="preserve"> Die Kanzlei, die deinen Arbeitgeber bei der H-1B-Petition begleitet – meist eine Pauschale von 2.000 bis </w:t>
      </w:r>
      <w:r>
        <w:lastRenderedPageBreak/>
        <w:t>5.000 $, die er trägt –, vertritt seine Interessen, nicht deine (Kapitel </w:t>
      </w:r>
      <w:hyperlink w:anchor="k11" w:history="1">
        <w:r>
          <w:t>11</w:t>
        </w:r>
      </w:hyperlink>
      <w:r>
        <w:t>). Frage, ob er eine Zweitmeinung für dich übernimmt, üblicherweise 300 bis 1.000 $, besonders bei Vorgeschichte oder komplexen Familienfällen.</w:t>
      </w:r>
    </w:p>
    <w:p w14:paraId="70A4C655" w14:textId="1ABFBA0C" w:rsidR="00C1548D" w:rsidRDefault="009B1B4B" w:rsidP="009B1B4B">
      <w:pPr>
        <w:pStyle w:val="ListParagraph"/>
        <w:numPr>
          <w:ilvl w:val="0"/>
          <w:numId w:val="1"/>
        </w:numPr>
        <w:spacing w:after="60"/>
      </w:pPr>
      <w:r>
        <w:rPr>
          <w:b/>
          <w:bCs/>
        </w:rPr>
        <w:t>Green-Card-Sponsoring.</w:t>
      </w:r>
      <w:r>
        <w:t xml:space="preserve"> Frage nach einem konkreten Zeitpunkt für den Start des PERM-Verfahrens; es dauert von der Arbeitsmarktprüfung bis zur Green Card oft zweieinhalb bis viereinhalb Jahre (Kapitel </w:t>
      </w:r>
      <w:hyperlink w:anchor="k6" w:history="1">
        <w:r>
          <w:t>6</w:t>
        </w:r>
      </w:hyperlink>
      <w:r>
        <w:t>). Der Arbeitgeber trägt PERM und die Petition I-140, du zahlst später die I-485-Gebühren für dich und deine Familie (1.440 $ je Erwachsenem, 950 $ je Kind unter 14).</w:t>
      </w:r>
    </w:p>
    <w:p w14:paraId="70A4C656" w14:textId="695F8DD3" w:rsidR="00C1548D" w:rsidRDefault="009B1B4B" w:rsidP="009B1B4B">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history="1">
        <w:r>
          <w:t>28</w:t>
        </w:r>
      </w:hyperlink>
      <w:r>
        <w:t>). Frage, ob das Relocation-Paket eine erste Beratung einschließt.</w:t>
      </w:r>
    </w:p>
    <w:p w14:paraId="70A4C657" w14:textId="130A08D7" w:rsidR="00C1548D" w:rsidRDefault="009B1B4B" w:rsidP="009B1B4B">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history="1">
        <w:r>
          <w:t>42</w:t>
        </w:r>
      </w:hyperlink>
      <w:r>
        <w:t>).</w:t>
      </w:r>
    </w:p>
    <w:p w14:paraId="70A4C658"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65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659" w14:textId="77777777" w:rsidR="00C1548D" w:rsidRDefault="009B1B4B">
            <w:pPr>
              <w:keepNext/>
              <w:spacing w:after="70" w:line="240" w:lineRule="auto"/>
            </w:pPr>
            <w:r>
              <w:rPr>
                <w:b/>
                <w:bCs/>
                <w:color w:val="9B2C2C"/>
                <w:spacing w:val="24"/>
                <w:sz w:val="16"/>
                <w:szCs w:val="16"/>
              </w:rPr>
              <w:t>ACHTUNG</w:t>
            </w:r>
          </w:p>
          <w:p w14:paraId="70A4C65A" w14:textId="77777777" w:rsidR="00C1548D" w:rsidRDefault="009B1B4B">
            <w:pPr>
              <w:spacing w:after="80" w:line="264" w:lineRule="auto"/>
            </w:pPr>
            <w:r>
              <w:rPr>
                <w:sz w:val="20"/>
                <w:szCs w:val="20"/>
              </w:rPr>
              <w:t>Ein mündliches „Das machen wir dann schon“ zu Green-Card-Sponsoring oder Rückkehrklausel ist im Ernstfall wertlos. Lass dir jeden Punkt, der Geld oder Status betrifft, schriftlich im Angebotsschreiben oder einer Zusatzvereinbarung bestätigen.</w:t>
            </w:r>
          </w:p>
        </w:tc>
      </w:tr>
    </w:tbl>
    <w:p w14:paraId="70A4C65C"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65F"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C65D" w14:textId="77777777" w:rsidR="00C1548D" w:rsidRDefault="009B1B4B">
            <w:pPr>
              <w:keepNext/>
              <w:spacing w:after="70" w:line="240" w:lineRule="auto"/>
            </w:pPr>
            <w:r>
              <w:rPr>
                <w:b/>
                <w:bCs/>
                <w:color w:val="2F6B3B"/>
                <w:spacing w:val="24"/>
                <w:sz w:val="16"/>
                <w:szCs w:val="16"/>
              </w:rPr>
              <w:t>SPARTIPP</w:t>
            </w:r>
          </w:p>
          <w:p w14:paraId="70A4C65E" w14:textId="77777777" w:rsidR="00C1548D" w:rsidRDefault="009B1B4B">
            <w:pPr>
              <w:spacing w:after="80" w:line="264" w:lineRule="auto"/>
            </w:pPr>
            <w:r>
              <w:rPr>
                <w:sz w:val="20"/>
                <w:szCs w:val="20"/>
              </w:rPr>
              <w:t>Für den ersten Überschlag reichen kostenlose Werkzeuge wie der IRS Tax Withholding Estimator; hebe dir den bezahlten Steuerberater für die endgültige Prüfung deines konkreten Angebots auf.</w:t>
            </w:r>
          </w:p>
        </w:tc>
      </w:tr>
    </w:tbl>
    <w:p w14:paraId="70A4C660" w14:textId="77777777" w:rsidR="00C1548D" w:rsidRDefault="00C1548D">
      <w:pPr>
        <w:spacing w:line="220" w:lineRule="exact"/>
      </w:pPr>
    </w:p>
    <w:p w14:paraId="70A4C661" w14:textId="77777777" w:rsidR="00C1548D" w:rsidRDefault="009B1B4B">
      <w:pPr>
        <w:pStyle w:val="Heading3"/>
        <w:keepNext/>
        <w:jc w:val="center"/>
      </w:pPr>
      <w:r>
        <w:rPr>
          <w:rFonts w:ascii="Amazon Ember" w:eastAsia="Amazon Ember" w:hAnsi="Amazon Ember" w:cs="Amazon Ember"/>
          <w:color w:val="0000FF"/>
          <w:sz w:val="36"/>
          <w:szCs w:val="36"/>
        </w:rPr>
        <w:lastRenderedPageBreak/>
        <w:t>Das Zwei-bis-drei-Jahre-Denken und die Rückkehroption</w:t>
      </w:r>
    </w:p>
    <w:p w14:paraId="70A4C662" w14:textId="76F3DA3F" w:rsidR="00C1548D" w:rsidRDefault="009B1B4B">
      <w:pPr>
        <w:spacing w:after="140"/>
      </w:pPr>
      <w: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w:t>
      </w:r>
      <w:r>
        <w:t>s. Eine Rückkehr ist normal: Verträge enden, Stellen fallen weg, Kinder werden älter, Eltern werden pflegebedürftig. Wer sie früh mitdenkt, braucht drei bis sechs Monate Vorlauf für Krankenversicherung, letzte US-Steuererklärung und den Umgang mit der Green Card (</w:t>
      </w:r>
      <w:r>
        <w:t>Kapitel </w:t>
      </w:r>
      <w:hyperlink w:anchor="k42" w:history="1">
        <w:r>
          <w:t>42</w:t>
        </w:r>
      </w:hyperlink>
      <w:r>
        <w:t>).</w:t>
      </w:r>
    </w:p>
    <w:p w14:paraId="70A4C663" w14:textId="769A101B" w:rsidR="00C1548D" w:rsidRDefault="009B1B4B">
      <w:pPr>
        <w:spacing w:after="140"/>
      </w:pPr>
      <w:r>
        <w:t>Der Zeithorizont passt auch zum Visumssystem: Ein H-1B-Status wird üblicherweise in Blöcken verlängert, und ein Green-Card-Verfahren über den Arbeitgeber dauert selbst im besten Fall mehrere Jahre (Kapitel </w:t>
      </w:r>
      <w:hyperlink w:anchor="k5" w:history="1">
        <w:r>
          <w:t>5</w:t>
        </w:r>
      </w:hyperlink>
      <w:r>
        <w:t xml:space="preserve"> und </w:t>
      </w:r>
      <w:hyperlink w:anchor="k6" w:history="1">
        <w:r>
          <w:t>6</w:t>
        </w:r>
      </w:hyperlink>
      <w:r>
        <w:t>). Zwei bis drei Jahre sind also kein willkürlicher Zeitraum, sondern die Zeitspanne, in der ohnehin die nächste Statusentscheidung ansteht. Nutzt sie bewusst: Legt fest, an welchen Kriterien ihr die Bilanz nach dieser Zeit festmacht – Gehalt, Wohlbefinden der Kinder, Fortschritt beim Green-Card-Verfahren –, statt die Frage erst zu stellen, wenn der Druck schon da ist.</w:t>
      </w:r>
    </w:p>
    <w:p w14:paraId="70A4C664"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667"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65"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66" w14:textId="77777777" w:rsidR="00C1548D" w:rsidRDefault="009B1B4B">
            <w:pPr>
              <w:spacing w:line="250" w:lineRule="auto"/>
            </w:pPr>
            <w:r>
              <w:rPr>
                <w:b/>
                <w:bCs/>
                <w:sz w:val="18"/>
                <w:szCs w:val="18"/>
              </w:rPr>
              <w:t>Minus</w:t>
            </w:r>
          </w:p>
        </w:tc>
      </w:tr>
      <w:tr w:rsidR="00C1548D" w14:paraId="70A4C66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68" w14:textId="77777777" w:rsidR="00C1548D" w:rsidRDefault="009B1B4B">
            <w:pPr>
              <w:spacing w:line="250" w:lineRule="auto"/>
            </w:pPr>
            <w:r>
              <w:rPr>
                <w:sz w:val="18"/>
                <w:szCs w:val="18"/>
              </w:rPr>
              <w:t>Nimmt Druck von einer Alles-oder-nichts-Entscheidung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69" w14:textId="38617A68" w:rsidR="00C1548D" w:rsidRDefault="009B1B4B">
            <w:pPr>
              <w:spacing w:line="250" w:lineRule="auto"/>
            </w:pPr>
            <w:r>
              <w:rPr>
                <w:sz w:val="18"/>
                <w:szCs w:val="18"/>
              </w:rPr>
              <w:t>Ein Zwölf-Monats-Mietvertrag und der Aufbau einer Kredithistorie brauchen trotzdem Verbindlichkeit (Kapitel </w:t>
            </w:r>
            <w:hyperlink w:anchor="k13" w:history="1">
              <w:r>
                <w:rPr>
                  <w:sz w:val="18"/>
                  <w:szCs w:val="18"/>
                </w:rPr>
                <w:t>13</w:t>
              </w:r>
            </w:hyperlink>
            <w:r>
              <w:rPr>
                <w:sz w:val="18"/>
                <w:szCs w:val="18"/>
              </w:rPr>
              <w:t xml:space="preserve"> und </w:t>
            </w:r>
            <w:hyperlink w:anchor="k25" w:history="1">
              <w:r>
                <w:rPr>
                  <w:sz w:val="18"/>
                  <w:szCs w:val="18"/>
                </w:rPr>
                <w:t>25</w:t>
              </w:r>
            </w:hyperlink>
            <w:r>
              <w:rPr>
                <w:sz w:val="18"/>
                <w:szCs w:val="18"/>
              </w:rPr>
              <w:t>)</w:t>
            </w:r>
          </w:p>
        </w:tc>
      </w:tr>
      <w:tr w:rsidR="00C1548D" w14:paraId="70A4C66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6B" w14:textId="77777777" w:rsidR="00C1548D" w:rsidRDefault="009B1B4B">
            <w:pPr>
              <w:spacing w:line="250" w:lineRule="auto"/>
            </w:pPr>
            <w:r>
              <w:rPr>
                <w:sz w:val="18"/>
                <w:szCs w:val="18"/>
              </w:rPr>
              <w:lastRenderedPageBreak/>
              <w:t>Erleichtert die Verhandlung einer Rückkehrklausel</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6C" w14:textId="6162B31E" w:rsidR="00C1548D" w:rsidRDefault="009B1B4B">
            <w:pPr>
              <w:spacing w:line="250" w:lineRule="auto"/>
            </w:pPr>
            <w:r>
              <w:rPr>
                <w:sz w:val="18"/>
                <w:szCs w:val="18"/>
              </w:rPr>
              <w:t>Eine ständige Rückzugsoption kann Integration und Sprachlernen bremsen (Kapitel </w:t>
            </w:r>
            <w:hyperlink w:anchor="k31" w:history="1">
              <w:r>
                <w:rPr>
                  <w:sz w:val="18"/>
                  <w:szCs w:val="18"/>
                </w:rPr>
                <w:t>31</w:t>
              </w:r>
            </w:hyperlink>
            <w:r>
              <w:rPr>
                <w:sz w:val="18"/>
                <w:szCs w:val="18"/>
              </w:rPr>
              <w:t xml:space="preserve"> bis </w:t>
            </w:r>
            <w:hyperlink w:anchor="k33" w:history="1">
              <w:r>
                <w:rPr>
                  <w:sz w:val="18"/>
                  <w:szCs w:val="18"/>
                </w:rPr>
                <w:t>33</w:t>
              </w:r>
            </w:hyperlink>
            <w:r>
              <w:rPr>
                <w:sz w:val="18"/>
                <w:szCs w:val="18"/>
              </w:rPr>
              <w:t xml:space="preserve"> und </w:t>
            </w:r>
            <w:hyperlink w:anchor="k37" w:history="1">
              <w:r>
                <w:rPr>
                  <w:sz w:val="18"/>
                  <w:szCs w:val="18"/>
                </w:rPr>
                <w:t>37</w:t>
              </w:r>
            </w:hyperlink>
            <w:r>
              <w:rPr>
                <w:sz w:val="18"/>
                <w:szCs w:val="18"/>
              </w:rPr>
              <w:t>)</w:t>
            </w:r>
          </w:p>
        </w:tc>
      </w:tr>
      <w:tr w:rsidR="00C1548D" w14:paraId="70A4C67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6E" w14:textId="77777777" w:rsidR="00C1548D" w:rsidRDefault="009B1B4B">
            <w:pPr>
              <w:spacing w:line="250" w:lineRule="auto"/>
            </w:pPr>
            <w:r>
              <w:rPr>
                <w:sz w:val="18"/>
                <w:szCs w:val="18"/>
              </w:rPr>
              <w:t>Macht Zwischenbilanzen mit der Familie normal, nicht dramatisch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6F" w14:textId="69983460" w:rsidR="00C1548D" w:rsidRDefault="009B1B4B">
            <w:pPr>
              <w:spacing w:line="250" w:lineRule="auto"/>
            </w:pPr>
            <w:r>
              <w:rPr>
                <w:sz w:val="18"/>
                <w:szCs w:val="18"/>
              </w:rPr>
              <w:t>Ein Hauskauf oder ein weit fortgeschrittenes Green-Card-Verfahren passt schlecht zu kurzen Etappen (Kapitel </w:t>
            </w:r>
            <w:hyperlink w:anchor="k14" w:history="1">
              <w:r>
                <w:rPr>
                  <w:sz w:val="18"/>
                  <w:szCs w:val="18"/>
                </w:rPr>
                <w:t>14</w:t>
              </w:r>
            </w:hyperlink>
            <w:r>
              <w:rPr>
                <w:sz w:val="18"/>
                <w:szCs w:val="18"/>
              </w:rPr>
              <w:t>)</w:t>
            </w:r>
          </w:p>
        </w:tc>
      </w:tr>
      <w:tr w:rsidR="00C1548D" w14:paraId="70A4C67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71" w14:textId="15AB322F" w:rsidR="00C1548D" w:rsidRDefault="009B1B4B">
            <w:pPr>
              <w:spacing w:line="250" w:lineRule="auto"/>
            </w:pPr>
            <w:r>
              <w:rPr>
                <w:sz w:val="18"/>
                <w:szCs w:val="18"/>
              </w:rPr>
              <w:t>Rückkehr ist nach Kapitel </w:t>
            </w:r>
            <w:hyperlink w:anchor="k42" w:history="1">
              <w:r>
                <w:rPr>
                  <w:sz w:val="18"/>
                  <w:szCs w:val="18"/>
                </w:rPr>
                <w:t>42</w:t>
              </w:r>
            </w:hyperlink>
            <w:r>
              <w:rPr>
                <w:sz w:val="18"/>
                <w:szCs w:val="18"/>
              </w:rPr>
              <w:t xml:space="preserve"> planbar, kein Scheitern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72" w14:textId="17825C1E" w:rsidR="00C1548D" w:rsidRDefault="009B1B4B">
            <w:pPr>
              <w:spacing w:line="250" w:lineRule="auto"/>
            </w:pPr>
            <w:r>
              <w:rPr>
                <w:sz w:val="18"/>
                <w:szCs w:val="18"/>
              </w:rPr>
              <w:t>Wer zu früh mental „auf Abruf“ lebt, investiert weniger in Freundschaften und Nachbarschaft (Kapitel </w:t>
            </w:r>
            <w:hyperlink w:anchor="k32" w:history="1">
              <w:r>
                <w:rPr>
                  <w:sz w:val="18"/>
                  <w:szCs w:val="18"/>
                </w:rPr>
                <w:t>32</w:t>
              </w:r>
            </w:hyperlink>
            <w:r>
              <w:rPr>
                <w:sz w:val="18"/>
                <w:szCs w:val="18"/>
              </w:rPr>
              <w:t>)</w:t>
            </w:r>
          </w:p>
        </w:tc>
      </w:tr>
    </w:tbl>
    <w:p w14:paraId="70A4C674" w14:textId="77777777" w:rsidR="00C1548D" w:rsidRDefault="00C1548D">
      <w:pPr>
        <w:spacing w:line="180" w:lineRule="exact"/>
      </w:pPr>
    </w:p>
    <w:p w14:paraId="70A4C675"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C676" w14:textId="77777777" w:rsidR="00C1548D" w:rsidRDefault="009B1B4B">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 und behältst das Zwei-bis-drei-Jahre-Denken als Sicherheitsnetz im Hinterkopf.</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681"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677" w14:textId="77777777" w:rsidR="00C1548D" w:rsidRDefault="009B1B4B">
            <w:pPr>
              <w:keepNext/>
              <w:spacing w:after="70" w:line="240" w:lineRule="auto"/>
            </w:pPr>
            <w:r>
              <w:rPr>
                <w:b/>
                <w:bCs/>
                <w:color w:val="1F6F78"/>
                <w:spacing w:val="24"/>
                <w:sz w:val="16"/>
                <w:szCs w:val="16"/>
              </w:rPr>
              <w:lastRenderedPageBreak/>
              <w:t>CHECKLISTE</w:t>
            </w:r>
          </w:p>
          <w:p w14:paraId="70A4C67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Netto-Rechnung mit deinem Gehalt, Zielstaat und deiner Familiengröße erstellen (Vorlage oben)</w:t>
            </w:r>
          </w:p>
          <w:p w14:paraId="70A4C679" w14:textId="57797E9D"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Partnerstatus und Arbeitserlaubnis-Perspektive klären (Kapitel </w:t>
            </w:r>
            <w:hyperlink w:anchor="k10" w:history="1">
              <w:r>
                <w:rPr>
                  <w:sz w:val="20"/>
                  <w:szCs w:val="20"/>
                </w:rPr>
                <w:t>10</w:t>
              </w:r>
            </w:hyperlink>
            <w:r>
              <w:rPr>
                <w:sz w:val="20"/>
                <w:szCs w:val="20"/>
              </w:rPr>
              <w:t>)</w:t>
            </w:r>
          </w:p>
          <w:p w14:paraId="70A4C67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Muss-, Kann- und Ausschlusskriterien schriftlich mit Partner oder Familie festlegen</w:t>
            </w:r>
          </w:p>
          <w:p w14:paraId="70A4C67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Familienrat zu Partnerkarriere, Kindern, Eltern und Immobilie abhalten</w:t>
            </w:r>
          </w:p>
          <w:p w14:paraId="70A4C67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Verhandlungsliste (Relocation, Anwalt, Green-Card-Sponsoring, Steuerberatung, Rückkehrklausel) vor der Zusage durchgehen</w:t>
            </w:r>
          </w:p>
          <w:p w14:paraId="70A4C67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Alle finanziell relevanten Zusagen schriftlich im Angebot oder einer Zusatzvereinbarung bestätigen lassen</w:t>
            </w:r>
          </w:p>
          <w:p w14:paraId="70A4C67E" w14:textId="3ED8BF04"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Umzugstermin, wenn möglich, am Schuljahr der Kinder ausrichten (Kapitel </w:t>
            </w:r>
            <w:hyperlink w:anchor="k15" w:history="1">
              <w:r>
                <w:rPr>
                  <w:sz w:val="20"/>
                  <w:szCs w:val="20"/>
                </w:rPr>
                <w:t>15</w:t>
              </w:r>
            </w:hyperlink>
            <w:r>
              <w:rPr>
                <w:sz w:val="20"/>
                <w:szCs w:val="20"/>
              </w:rPr>
              <w:t>)</w:t>
            </w:r>
          </w:p>
          <w:p w14:paraId="70A4C67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Zeithorizont von zwei bis drei Jahren und Rückkehroption offen in der Familie besprechen</w:t>
            </w:r>
          </w:p>
          <w:p w14:paraId="70A4C68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Unsicherheit Steuerberater und Einwanderungsanwalt vor der Unterschrift einbeziehen</w:t>
            </w:r>
          </w:p>
        </w:tc>
      </w:tr>
    </w:tbl>
    <w:p w14:paraId="70A4C682" w14:textId="77777777" w:rsidR="00C1548D" w:rsidRDefault="00C1548D">
      <w:pPr>
        <w:spacing w:line="220" w:lineRule="exact"/>
      </w:pPr>
    </w:p>
    <w:p w14:paraId="70A4C683"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684" w14:textId="49E7E7D1" w:rsidR="00C1548D" w:rsidRDefault="009B1B4B" w:rsidP="009B1B4B">
      <w:pPr>
        <w:pStyle w:val="ListParagraph"/>
        <w:numPr>
          <w:ilvl w:val="0"/>
          <w:numId w:val="1"/>
        </w:numPr>
        <w:spacing w:after="60"/>
      </w:pPr>
      <w:r>
        <w:t>IRS — Tax Withholding Estimator und aktuelle Steuersätze (</w:t>
      </w:r>
      <w:hyperlink r:id="rId36" w:history="1">
        <w:r>
          <w:rPr>
            <w:color w:val="0563C1"/>
            <w:u w:val="single"/>
          </w:rPr>
          <w:t>irs.gov/individuals/tax-withholding-estimator</w:t>
        </w:r>
      </w:hyperlink>
      <w:r>
        <w:t>)</w:t>
      </w:r>
    </w:p>
    <w:p w14:paraId="70A4C685" w14:textId="201FD8E4" w:rsidR="00C1548D" w:rsidRDefault="009B1B4B" w:rsidP="009B1B4B">
      <w:pPr>
        <w:pStyle w:val="ListParagraph"/>
        <w:numPr>
          <w:ilvl w:val="0"/>
          <w:numId w:val="1"/>
        </w:numPr>
        <w:spacing w:after="60"/>
      </w:pPr>
      <w:r>
        <w:t>KFF — Employer Health Benefits Survey (</w:t>
      </w:r>
      <w:hyperlink r:id="rId37" w:history="1">
        <w:r>
          <w:rPr>
            <w:color w:val="0563C1"/>
            <w:u w:val="single"/>
          </w:rPr>
          <w:t>kff.org/health-costs</w:t>
        </w:r>
      </w:hyperlink>
      <w:r>
        <w:t>)</w:t>
      </w:r>
    </w:p>
    <w:p w14:paraId="70A4C686" w14:textId="57B90FE6" w:rsidR="00C1548D" w:rsidRDefault="009B1B4B" w:rsidP="009B1B4B">
      <w:pPr>
        <w:pStyle w:val="ListParagraph"/>
        <w:numPr>
          <w:ilvl w:val="0"/>
          <w:numId w:val="1"/>
        </w:numPr>
        <w:spacing w:after="60"/>
      </w:pPr>
      <w:r>
        <w:t>USCIS — Green Card über den Arbeitgeber (</w:t>
      </w:r>
      <w:hyperlink r:id="rId38" w:history="1">
        <w:r>
          <w:rPr>
            <w:color w:val="0563C1"/>
            <w:u w:val="single"/>
          </w:rPr>
          <w:t>uscis.gov/green-card/green-card-eligibility/green-card-for-employment-based-immigrants</w:t>
        </w:r>
      </w:hyperlink>
      <w:r>
        <w:t>)</w:t>
      </w:r>
    </w:p>
    <w:p w14:paraId="70A4C687" w14:textId="32DA7205" w:rsidR="00C1548D" w:rsidRDefault="009B1B4B" w:rsidP="009B1B4B">
      <w:pPr>
        <w:pStyle w:val="ListParagraph"/>
        <w:numPr>
          <w:ilvl w:val="0"/>
          <w:numId w:val="1"/>
        </w:numPr>
        <w:spacing w:after="60"/>
      </w:pPr>
      <w:r>
        <w:t>Familienportal des Bundes — Kindergeld (</w:t>
      </w:r>
      <w:hyperlink r:id="rId39" w:history="1">
        <w:r>
          <w:rPr>
            <w:color w:val="0563C1"/>
            <w:u w:val="single"/>
          </w:rPr>
          <w:t>familienportal.de</w:t>
        </w:r>
      </w:hyperlink>
      <w:r>
        <w:t>)</w:t>
      </w:r>
    </w:p>
    <w:p w14:paraId="70A4C688" w14:textId="3152858E" w:rsidR="00C1548D" w:rsidRDefault="009B1B4B" w:rsidP="009B1B4B">
      <w:pPr>
        <w:pStyle w:val="ListParagraph"/>
        <w:numPr>
          <w:ilvl w:val="0"/>
          <w:numId w:val="1"/>
        </w:numPr>
        <w:spacing w:after="60"/>
      </w:pPr>
      <w:r>
        <w:t>Statistisches Bundesamt — Wohnen und Mieten in Deutschland (</w:t>
      </w:r>
      <w:hyperlink r:id="rId40" w:history="1">
        <w:r>
          <w:rPr>
            <w:color w:val="0563C1"/>
            <w:u w:val="single"/>
          </w:rPr>
          <w:t>destatis.de</w:t>
        </w:r>
      </w:hyperlink>
      <w:r>
        <w:t>)</w:t>
      </w:r>
    </w:p>
    <w:p w14:paraId="70A4C68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68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68A" w14:textId="77777777" w:rsidR="00C1548D" w:rsidRDefault="009B1B4B">
            <w:pPr>
              <w:keepNext/>
              <w:spacing w:after="70" w:line="240" w:lineRule="auto"/>
            </w:pPr>
            <w:r>
              <w:rPr>
                <w:b/>
                <w:bCs/>
                <w:color w:val="6B7280"/>
                <w:spacing w:val="24"/>
                <w:sz w:val="16"/>
                <w:szCs w:val="16"/>
              </w:rPr>
              <w:lastRenderedPageBreak/>
              <w:t>STAND</w:t>
            </w:r>
          </w:p>
          <w:p w14:paraId="70A4C68B" w14:textId="288F3EE6" w:rsidR="00C1548D" w:rsidRDefault="009B1B4B">
            <w:pPr>
              <w:spacing w:after="80" w:line="264" w:lineRule="auto"/>
            </w:pPr>
            <w:r>
              <w:rPr>
                <w:sz w:val="20"/>
                <w:szCs w:val="20"/>
              </w:rPr>
              <w:t>September 2026. Diese Rechenbeispiele sind vereinfachte Näherungen auf Basis der in Kapitel </w:t>
            </w:r>
            <w:hyperlink w:anchor="k13" w:history="1">
              <w:r>
                <w:rPr>
                  <w:sz w:val="20"/>
                  <w:szCs w:val="20"/>
                </w:rPr>
                <w:t>13</w:t>
              </w:r>
            </w:hyperlink>
            <w:r>
              <w:rPr>
                <w:sz w:val="20"/>
                <w:szCs w:val="20"/>
              </w:rPr>
              <w:t xml:space="preserve">, </w:t>
            </w:r>
            <w:hyperlink w:anchor="k14" w:history="1">
              <w:r>
                <w:rPr>
                  <w:sz w:val="20"/>
                  <w:szCs w:val="20"/>
                </w:rPr>
                <w:t>14</w:t>
              </w:r>
            </w:hyperlink>
            <w:r>
              <w:rPr>
                <w:sz w:val="20"/>
                <w:szCs w:val="20"/>
              </w:rPr>
              <w:t xml:space="preserve">, </w:t>
            </w:r>
            <w:hyperlink w:anchor="k26" w:history="1">
              <w:r>
                <w:rPr>
                  <w:sz w:val="20"/>
                  <w:szCs w:val="20"/>
                </w:rPr>
                <w:t>26</w:t>
              </w:r>
            </w:hyperlink>
            <w:r>
              <w:rPr>
                <w:sz w:val="20"/>
                <w:szCs w:val="20"/>
              </w:rPr>
              <w:t xml:space="preserve">, </w:t>
            </w:r>
            <w:hyperlink w:anchor="k28" w:history="1">
              <w:r>
                <w:rPr>
                  <w:sz w:val="20"/>
                  <w:szCs w:val="20"/>
                </w:rPr>
                <w:t>28</w:t>
              </w:r>
            </w:hyperlink>
            <w:r>
              <w:rPr>
                <w:sz w:val="20"/>
                <w:szCs w:val="20"/>
              </w:rPr>
              <w:t xml:space="preserve"> und </w:t>
            </w:r>
            <w:hyperlink w:anchor="k38" w:history="1">
              <w:r>
                <w:rPr>
                  <w:sz w:val="20"/>
                  <w:szCs w:val="20"/>
                </w:rPr>
                <w:t>38</w:t>
              </w:r>
            </w:hyperlink>
            <w:r>
              <w:rPr>
                <w:sz w:val="20"/>
                <w:szCs w:val="20"/>
              </w:rPr>
              <w:t xml:space="preserve"> geprüften Zahlen; sie ersetzen keine individuelle Steuer- oder Finanzberatung. Schnell ändern sich Steuersätze, Krankenversicherungsprämien, Mieten und der Wechselkurs. Rechne vor jeder Entscheidung mit deinen eigenen, aktuellen Zahlen.</w:t>
            </w:r>
          </w:p>
        </w:tc>
      </w:tr>
    </w:tbl>
    <w:p w14:paraId="70A4C68D" w14:textId="77777777" w:rsidR="00C1548D" w:rsidRDefault="00C1548D">
      <w:pPr>
        <w:spacing w:line="220" w:lineRule="exact"/>
      </w:pPr>
    </w:p>
    <w:p w14:paraId="70A4C68E" w14:textId="77777777" w:rsidR="00C1548D" w:rsidRDefault="00C1548D">
      <w:pPr>
        <w:sectPr w:rsidR="00C1548D">
          <w:footerReference w:type="default" r:id="rId41"/>
          <w:pgSz w:w="8640" w:h="12960"/>
          <w:pgMar w:top="1080" w:right="1080" w:bottom="1100" w:left="1080" w:header="708" w:footer="708" w:gutter="0"/>
          <w:cols w:space="720"/>
          <w:docGrid w:linePitch="360"/>
        </w:sectPr>
      </w:pPr>
    </w:p>
    <w:p w14:paraId="70A4C68F" w14:textId="77777777" w:rsidR="00C1548D" w:rsidRDefault="009B1B4B">
      <w:pPr>
        <w:pStyle w:val="Heading1"/>
        <w:jc w:val="center"/>
      </w:pPr>
      <w:bookmarkStart w:id="14" w:name="_Toc241352453"/>
      <w:r>
        <w:rPr>
          <w:rFonts w:ascii="Amazon Ember" w:eastAsia="Amazon Ember" w:hAnsi="Amazon Ember" w:cs="Amazon Ember"/>
          <w:color w:val="0000FF"/>
        </w:rPr>
        <w:lastRenderedPageBreak/>
        <w:t>TEIL II — Visum und Green Card</w:t>
      </w:r>
      <w:bookmarkEnd w:id="14"/>
    </w:p>
    <w:p w14:paraId="70A4C690" w14:textId="77777777" w:rsidR="00C1548D" w:rsidRDefault="009B1B4B">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w14:paraId="70A4C691" w14:textId="77777777" w:rsidR="00C1548D" w:rsidRDefault="00C1548D">
      <w:pPr>
        <w:sectPr w:rsidR="00C1548D">
          <w:footerReference w:type="default" r:id="rId42"/>
          <w:pgSz w:w="8640" w:h="12960"/>
          <w:pgMar w:top="1080" w:right="1080" w:bottom="1100" w:left="1080" w:header="708" w:footer="708" w:gutter="0"/>
          <w:cols w:space="720"/>
          <w:vAlign w:val="center"/>
          <w:docGrid w:linePitch="360"/>
        </w:sectPr>
      </w:pPr>
    </w:p>
    <w:p w14:paraId="70A4C692" w14:textId="77777777" w:rsidR="00C1548D" w:rsidRDefault="009B1B4B">
      <w:pPr>
        <w:pStyle w:val="Heading2"/>
        <w:keepNext/>
        <w:pageBreakBefore/>
        <w:jc w:val="center"/>
      </w:pPr>
      <w:bookmarkStart w:id="15" w:name="k4"/>
      <w:bookmarkStart w:id="16" w:name="_Toc241352454"/>
      <w:r>
        <w:rPr>
          <w:rFonts w:ascii="Amazon Ember" w:eastAsia="Amazon Ember" w:hAnsi="Amazon Ember" w:cs="Amazon Ember"/>
          <w:color w:val="0000FF"/>
          <w:sz w:val="36"/>
          <w:szCs w:val="36"/>
        </w:rPr>
        <w:lastRenderedPageBreak/>
        <w:t>Kapitel 4: Die Wege in die USA im Überblick</w:t>
      </w:r>
      <w:bookmarkEnd w:id="15"/>
      <w:bookmarkEnd w:id="16"/>
    </w:p>
    <w:p w14:paraId="70A4C693" w14:textId="4C867348" w:rsidR="00C1548D" w:rsidRDefault="009B1B4B">
      <w:pPr>
        <w:spacing w:after="140"/>
      </w:pPr>
      <w: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w:t>
      </w:r>
      <w:r>
        <w:t xml:space="preserve">pitel zeigt, welcher das ist, bevor die </w:t>
      </w:r>
      <w:r>
        <w:t>Kapitel </w:t>
      </w:r>
      <w:hyperlink w:anchor="k5" w:history="1">
        <w:r>
          <w:t>5</w:t>
        </w:r>
      </w:hyperlink>
      <w:r>
        <w:t xml:space="preserve"> bis </w:t>
      </w:r>
      <w:hyperlink w:anchor="k11" w:history="1">
        <w:r>
          <w:t>11</w:t>
        </w:r>
      </w:hyperlink>
      <w:r>
        <w:t xml:space="preserve"> ihn im Detail durchgehen.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69B"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694" w14:textId="77777777" w:rsidR="00C1548D" w:rsidRDefault="009B1B4B">
            <w:pPr>
              <w:keepNext/>
              <w:spacing w:after="70" w:line="240" w:lineRule="auto"/>
            </w:pPr>
            <w:r>
              <w:rPr>
                <w:b/>
                <w:bCs/>
                <w:color w:val="1F3A5F"/>
                <w:spacing w:val="24"/>
                <w:sz w:val="16"/>
                <w:szCs w:val="16"/>
              </w:rPr>
              <w:t>KURZ GESAGT</w:t>
            </w:r>
          </w:p>
          <w:p w14:paraId="70A4C695" w14:textId="77777777" w:rsidR="00C1548D" w:rsidRDefault="009B1B4B" w:rsidP="009B1B4B">
            <w:pPr>
              <w:pStyle w:val="ListParagraph"/>
              <w:numPr>
                <w:ilvl w:val="0"/>
                <w:numId w:val="1"/>
              </w:numPr>
              <w:spacing w:after="50" w:line="264" w:lineRule="auto"/>
            </w:pPr>
            <w:r>
              <w:rPr>
                <w:sz w:val="20"/>
                <w:szCs w:val="20"/>
              </w:rPr>
              <w:t xml:space="preserve">Ein </w:t>
            </w:r>
            <w:r>
              <w:rPr>
                <w:i/>
                <w:iCs/>
                <w:sz w:val="20"/>
                <w:szCs w:val="20"/>
              </w:rPr>
              <w:t>Visum</w:t>
            </w:r>
            <w:r>
              <w:rPr>
                <w:sz w:val="20"/>
                <w:szCs w:val="20"/>
              </w:rPr>
              <w:t xml:space="preserve"> ist der Einreisestempel im Pass, ausgestellt vom Konsulat. Ein </w:t>
            </w:r>
            <w:r>
              <w:rPr>
                <w:i/>
                <w:iCs/>
                <w:sz w:val="20"/>
                <w:szCs w:val="20"/>
              </w:rPr>
              <w:t>Status</w:t>
            </w:r>
            <w:r>
              <w:rPr>
                <w:sz w:val="20"/>
                <w:szCs w:val="20"/>
              </w:rPr>
              <w:t xml:space="preserve"> ist die Aufenthalts- und Arbeitserlaubnis danach, dokumentiert im I-94. Beides wird ständig verwechselt, ist aber rechtlich getrennt.</w:t>
            </w:r>
          </w:p>
          <w:p w14:paraId="70A4C696" w14:textId="77777777" w:rsidR="00C1548D" w:rsidRDefault="009B1B4B" w:rsidP="009B1B4B">
            <w:pPr>
              <w:pStyle w:val="ListParagraph"/>
              <w:numPr>
                <w:ilvl w:val="0"/>
                <w:numId w:val="1"/>
              </w:numPr>
              <w:spacing w:after="50" w:line="264" w:lineRule="auto"/>
            </w:pPr>
            <w:r>
              <w:rPr>
                <w:sz w:val="20"/>
                <w:szCs w:val="20"/>
              </w:rPr>
              <w:t xml:space="preserve">Das US-Recht unterscheidet </w:t>
            </w:r>
            <w:r>
              <w:rPr>
                <w:i/>
                <w:iCs/>
                <w:sz w:val="20"/>
                <w:szCs w:val="20"/>
              </w:rPr>
              <w:t>Nonimmigrants</w:t>
            </w:r>
            <w:r>
              <w:rPr>
                <w:sz w:val="20"/>
                <w:szCs w:val="20"/>
              </w:rPr>
              <w:t xml:space="preserve"> (Nichteinwanderer, befristet und zweckgebunden) und </w:t>
            </w:r>
            <w:r>
              <w:rPr>
                <w:i/>
                <w:iCs/>
                <w:sz w:val="20"/>
                <w:szCs w:val="20"/>
              </w:rPr>
              <w:t>Immigrants</w:t>
            </w:r>
            <w:r>
              <w:rPr>
                <w:sz w:val="20"/>
                <w:szCs w:val="20"/>
              </w:rPr>
              <w:t xml:space="preserve"> (Einwanderer mit Green Card, unbefristet). Die meisten Wege in diesem Buch beginnen als Nichteinwanderer.</w:t>
            </w:r>
          </w:p>
          <w:p w14:paraId="70A4C697" w14:textId="77777777" w:rsidR="00C1548D" w:rsidRDefault="009B1B4B" w:rsidP="009B1B4B">
            <w:pPr>
              <w:pStyle w:val="ListParagraph"/>
              <w:numPr>
                <w:ilvl w:val="0"/>
                <w:numId w:val="1"/>
              </w:numPr>
              <w:spacing w:after="50" w:line="264" w:lineRule="auto"/>
            </w:pPr>
            <w:r>
              <w:rPr>
                <w:i/>
                <w:iCs/>
                <w:sz w:val="20"/>
                <w:szCs w:val="20"/>
              </w:rPr>
              <w:t>Dual Intent</w:t>
            </w:r>
            <w:r>
              <w:rPr>
                <w:sz w:val="20"/>
                <w:szCs w:val="20"/>
              </w:rPr>
              <w:t xml:space="preserve"> (doppelte Absicht) erlaubt bei H-1B und L-1, gleichzeitig befristet zu arbeiten und die Green Card anzustreben. Andere Status verlangen den Nachweis, dass du wieder gehen willst.</w:t>
            </w:r>
          </w:p>
          <w:p w14:paraId="70A4C698" w14:textId="77777777" w:rsidR="00C1548D" w:rsidRDefault="009B1B4B" w:rsidP="009B1B4B">
            <w:pPr>
              <w:pStyle w:val="ListParagraph"/>
              <w:numPr>
                <w:ilvl w:val="0"/>
                <w:numId w:val="1"/>
              </w:numPr>
              <w:spacing w:after="50" w:line="264" w:lineRule="auto"/>
            </w:pPr>
            <w:r>
              <w:rPr>
                <w:sz w:val="20"/>
                <w:szCs w:val="20"/>
              </w:rPr>
              <w:t>Welcher Weg passt, hängt von deiner Lage ab: Jobangebot, Studium, Investition, Spitzenleistung, US-Partner oder reiner Besuch führen in unterschiedliche Kapitel.</w:t>
            </w:r>
          </w:p>
          <w:p w14:paraId="70A4C699" w14:textId="77777777" w:rsidR="00C1548D" w:rsidRDefault="009B1B4B" w:rsidP="009B1B4B">
            <w:pPr>
              <w:pStyle w:val="ListParagraph"/>
              <w:numPr>
                <w:ilvl w:val="0"/>
                <w:numId w:val="1"/>
              </w:numPr>
              <w:spacing w:after="50" w:line="264" w:lineRule="auto"/>
            </w:pPr>
            <w:r>
              <w:rPr>
                <w:sz w:val="20"/>
                <w:szCs w:val="20"/>
              </w:rPr>
              <w:t>Die Vergleichstabellen zeigen Voraussetzung, Dauer, Arbeitserlaubnis für dich und deinen Partner sowie den Weg zur Green Card auf einen Blick.</w:t>
            </w:r>
          </w:p>
          <w:p w14:paraId="70A4C69A" w14:textId="316816C4" w:rsidR="00C1548D" w:rsidRDefault="009B1B4B" w:rsidP="009B1B4B">
            <w:pPr>
              <w:pStyle w:val="ListParagraph"/>
              <w:numPr>
                <w:ilvl w:val="0"/>
                <w:numId w:val="1"/>
              </w:numPr>
              <w:spacing w:after="50" w:line="264" w:lineRule="auto"/>
            </w:pPr>
            <w:r>
              <w:rPr>
                <w:sz w:val="20"/>
                <w:szCs w:val="20"/>
              </w:rPr>
              <w:t>Details zu jedem Weg stehen in den Kapiteln </w:t>
            </w:r>
            <w:hyperlink w:anchor="k5" w:history="1">
              <w:r>
                <w:rPr>
                  <w:sz w:val="20"/>
                  <w:szCs w:val="20"/>
                </w:rPr>
                <w:t>5</w:t>
              </w:r>
            </w:hyperlink>
            <w:r>
              <w:rPr>
                <w:sz w:val="20"/>
                <w:szCs w:val="20"/>
              </w:rPr>
              <w:t xml:space="preserve"> bis </w:t>
            </w:r>
            <w:hyperlink w:anchor="k11" w:history="1">
              <w:r>
                <w:rPr>
                  <w:sz w:val="20"/>
                  <w:szCs w:val="20"/>
                </w:rPr>
                <w:t>11</w:t>
              </w:r>
            </w:hyperlink>
            <w:r>
              <w:rPr>
                <w:sz w:val="20"/>
                <w:szCs w:val="20"/>
              </w:rPr>
              <w:t>; hier geht es nur um die Einordnung.</w:t>
            </w:r>
          </w:p>
        </w:tc>
      </w:tr>
    </w:tbl>
    <w:p w14:paraId="70A4C69C" w14:textId="77777777" w:rsidR="00C1548D" w:rsidRDefault="00C1548D">
      <w:pPr>
        <w:spacing w:line="220" w:lineRule="exact"/>
      </w:pPr>
    </w:p>
    <w:p w14:paraId="70A4C69D" w14:textId="77777777" w:rsidR="00C1548D" w:rsidRDefault="009B1B4B">
      <w:pPr>
        <w:pStyle w:val="Heading3"/>
        <w:keepNext/>
        <w:jc w:val="center"/>
      </w:pPr>
      <w:r>
        <w:rPr>
          <w:rFonts w:ascii="Amazon Ember" w:eastAsia="Amazon Ember" w:hAnsi="Amazon Ember" w:cs="Amazon Ember"/>
          <w:color w:val="0000FF"/>
          <w:sz w:val="36"/>
          <w:szCs w:val="36"/>
        </w:rPr>
        <w:lastRenderedPageBreak/>
        <w:t>Visum und Status: zwei verschiedene Dinge</w:t>
      </w:r>
    </w:p>
    <w:p w14:paraId="70A4C69E" w14:textId="77777777" w:rsidR="00C1548D" w:rsidRDefault="009B1B4B">
      <w:pPr>
        <w:spacing w:after="140"/>
      </w:pPr>
      <w:r>
        <w:t xml:space="preserve">Der wichtigste Begriffsfehler zuerst, weil fast jeder ihn macht. Verbreiteter Irrtum: Wer das Visum im Pass kleben hat, hat auch schon die Zusage, bleiben zu dürfen. Tatsächlich ist das </w:t>
      </w:r>
      <w:r>
        <w:rPr>
          <w:i/>
          <w:iCs/>
        </w:rPr>
        <w:t>Visum</w:t>
      </w:r>
      <w:r>
        <w:t xml:space="preserve"> nur der Aufkleber oder Stempel im Pass, den ein Konsulat der USA im Ausland ausstellt – in deinem Fall meist in Frankfurt, Berlin oder München. Es ist nichts weiter als die Erlaubnis, an der Grenze vorzusprechen. Über die eigentliche Einreise entscheidet der Grenzschutz (</w:t>
      </w:r>
      <w:r>
        <w:rPr>
          <w:i/>
          <w:iCs/>
        </w:rPr>
        <w:t>Customs and Border Protection</w:t>
      </w:r>
      <w:r>
        <w:t xml:space="preserve">, CBP) am Flughafen. Er legt fest, wie lange und in welcher Kategorie du bleiben darfst, und dokumentiert das im elektronischen Einreisenachweis I-94. Dieser Eintrag heißt </w:t>
      </w:r>
      <w:r>
        <w:rPr>
          <w:i/>
          <w:iCs/>
        </w:rPr>
        <w:t>Status</w:t>
      </w:r>
      <w:r>
        <w:t xml:space="preserve"> – die tatsächliche Aufenthalts- und, je nach Kategorie, Arbeitserlaubnis im Land. Ein gültiges Visum garantiert also weder Einreise noch einen bestimmten Status; ein abgelaufenes Visum wiederum beendet nicht automatisch einen noch laufenden Status.</w:t>
      </w:r>
    </w:p>
    <w:p w14:paraId="70A4C69F" w14:textId="77777777" w:rsidR="00C1548D" w:rsidRDefault="009B1B4B">
      <w:pPr>
        <w:spacing w:after="140"/>
      </w:pPr>
      <w:r>
        <w:t>Drei Behörden teilen sich die Zuständigkeit: Die Einwanderungsbehörde USCIS genehmigt Anträge im Inland (etwa die Petition deines Arbeitgebers). Das Außenministerium (</w:t>
      </w:r>
      <w:r>
        <w:rPr>
          <w:i/>
          <w:iCs/>
        </w:rPr>
        <w:t>State Department</w:t>
      </w:r>
      <w:r>
        <w:t>, DOS) und seine Konsulate stellen das Visum aus. Der Grenzschutz CBP entscheidet über die Einreise selbst. Wer das nicht auseinanderhält, wundert sich später über Sätze wie „die Petition ist genehmigt, aber das Visum steht noch aus“.</w:t>
      </w:r>
    </w:p>
    <w:p w14:paraId="70A4C6A0" w14:textId="77777777" w:rsidR="00C1548D" w:rsidRDefault="009B1B4B">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w14:paraId="70A4C6A1" w14:textId="77777777" w:rsidR="00C1548D" w:rsidRDefault="009B1B4B">
      <w:pPr>
        <w:pStyle w:val="Heading3"/>
        <w:keepNext/>
        <w:jc w:val="center"/>
      </w:pPr>
      <w:r>
        <w:rPr>
          <w:rFonts w:ascii="Amazon Ember" w:eastAsia="Amazon Ember" w:hAnsi="Amazon Ember" w:cs="Amazon Ember"/>
          <w:color w:val="0000FF"/>
          <w:sz w:val="36"/>
          <w:szCs w:val="36"/>
        </w:rPr>
        <w:lastRenderedPageBreak/>
        <w:t>Nichteinwanderer und Einwanderer: zwei Rechtswelten</w:t>
      </w:r>
    </w:p>
    <w:p w14:paraId="70A4C6A2" w14:textId="4A179B13" w:rsidR="00C1548D" w:rsidRDefault="009B1B4B">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history="1">
        <w:r>
          <w:t>6</w:t>
        </w:r>
      </w:hyperlink>
      <w:r>
        <w:t>).</w:t>
      </w:r>
    </w:p>
    <w:p w14:paraId="70A4C6A3" w14:textId="77777777" w:rsidR="00C1548D" w:rsidRDefault="009B1B4B">
      <w:pPr>
        <w:spacing w:after="140"/>
      </w:pPr>
      <w:r>
        <w:t>Für die meisten Nichteinwanderer-Kategorien gilt gesetzlich eine Vermutung: Wer ein solches Visum beantragt, will angeblich nicht dauerhaft bleiben. Diese Vermutung musst du beim Interview widerlegen oder zumindest nicht aktiv befeuern – ein Grund, warum Konsulatsmitarbeiter bei F-1- oder B-1-Anträgen gezielt nach Bindungen an Deutschland fragen (Wohnung, Familie, Arbeitsvertrag).</w:t>
      </w:r>
    </w:p>
    <w:p w14:paraId="70A4C6A4" w14:textId="77777777" w:rsidR="00C1548D" w:rsidRDefault="009B1B4B">
      <w:pPr>
        <w:pStyle w:val="Heading3"/>
        <w:keepNext/>
        <w:jc w:val="center"/>
      </w:pPr>
      <w:r>
        <w:rPr>
          <w:rFonts w:ascii="Amazon Ember" w:eastAsia="Amazon Ember" w:hAnsi="Amazon Ember" w:cs="Amazon Ember"/>
          <w:color w:val="0000FF"/>
          <w:sz w:val="36"/>
          <w:szCs w:val="36"/>
        </w:rPr>
        <w:t>Dual Intent: darf ich zwei Dinge gleichzeitig wollen?</w:t>
      </w:r>
    </w:p>
    <w:p w14:paraId="70A4C6A5" w14:textId="0315951A" w:rsidR="00C1548D" w:rsidRDefault="009B1B4B">
      <w:pPr>
        <w:spacing w:after="140"/>
      </w:pPr>
      <w:r>
        <w:t xml:space="preserve">Zwei Kategorien machen eine wichtige Ausnahme: H-1B und L-1 erlauben </w:t>
      </w:r>
      <w:r>
        <w:rPr>
          <w:i/>
          <w:iCs/>
        </w:rPr>
        <w:t>Dual Intent</w:t>
      </w:r>
      <w: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history="1">
        <w:r>
          <w:t>7</w:t>
        </w:r>
      </w:hyperlink>
      <w:r>
        <w:t xml:space="preserve"> vergleicht beide Etappen im Detail).</w:t>
      </w:r>
    </w:p>
    <w:p w14:paraId="70A4C6A6" w14:textId="5A223E01" w:rsidR="00C1548D" w:rsidRDefault="009B1B4B">
      <w:pPr>
        <w:spacing w:after="140"/>
      </w:pPr>
      <w:r>
        <w:t xml:space="preserve">Alle anderen Wege in diesem Kapitel kennen kein Dual Intent. Wer mit F-1, J-1, O-1 oder ESTA einreist, muss glaubhaft machen, dass er </w:t>
      </w:r>
      <w:r>
        <w:lastRenderedPageBreak/>
        <w:t>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history="1">
        <w:r>
          <w:t>8</w:t>
        </w:r>
      </w:hyperlink>
      <w:r>
        <w:t xml:space="preserve"> (Studienweg) und Kapitel </w:t>
      </w:r>
      <w:hyperlink w:anchor="k9" w:history="1">
        <w:r>
          <w:t>9</w:t>
        </w:r>
      </w:hyperlink>
      <w:r>
        <w:t xml:space="preserve"> (weitere Wege).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6A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6A7" w14:textId="77777777" w:rsidR="00C1548D" w:rsidRDefault="009B1B4B">
            <w:pPr>
              <w:keepNext/>
              <w:spacing w:after="70" w:line="240" w:lineRule="auto"/>
            </w:pPr>
            <w:r>
              <w:rPr>
                <w:b/>
                <w:bCs/>
                <w:color w:val="9B2C2C"/>
                <w:spacing w:val="24"/>
                <w:sz w:val="16"/>
                <w:szCs w:val="16"/>
              </w:rPr>
              <w:t>ACHTUNG</w:t>
            </w:r>
          </w:p>
          <w:p w14:paraId="70A4C6A8" w14:textId="2D9871FE" w:rsidR="00C1548D" w:rsidRDefault="009B1B4B">
            <w:pPr>
              <w:spacing w:after="80" w:line="264" w:lineRule="auto"/>
            </w:pPr>
            <w:r>
              <w:rPr>
                <w:sz w:val="20"/>
                <w:szCs w:val="20"/>
              </w:rPr>
              <w:t>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Kapitel </w:t>
            </w:r>
            <w:hyperlink w:anchor="k9" w:history="1">
              <w:r>
                <w:rPr>
                  <w:sz w:val="20"/>
                  <w:szCs w:val="20"/>
                </w:rPr>
                <w:t>9</w:t>
              </w:r>
            </w:hyperlink>
            <w:r>
              <w:rPr>
                <w:sz w:val="20"/>
                <w:szCs w:val="20"/>
              </w:rPr>
              <w:t>).</w:t>
            </w:r>
          </w:p>
        </w:tc>
      </w:tr>
    </w:tbl>
    <w:p w14:paraId="70A4C6AA" w14:textId="77777777" w:rsidR="00C1548D" w:rsidRDefault="00C1548D">
      <w:pPr>
        <w:spacing w:line="220" w:lineRule="exact"/>
      </w:pPr>
    </w:p>
    <w:p w14:paraId="70A4C6AB" w14:textId="77777777" w:rsidR="00C1548D" w:rsidRDefault="009B1B4B">
      <w:pPr>
        <w:pStyle w:val="Heading3"/>
        <w:keepNext/>
        <w:jc w:val="center"/>
      </w:pPr>
      <w:r>
        <w:rPr>
          <w:rFonts w:ascii="Amazon Ember" w:eastAsia="Amazon Ember" w:hAnsi="Amazon Ember" w:cs="Amazon Ember"/>
          <w:color w:val="0000FF"/>
          <w:sz w:val="36"/>
          <w:szCs w:val="36"/>
        </w:rPr>
        <w:t>Dein Weg: der Entscheidungsbaum</w:t>
      </w:r>
    </w:p>
    <w:p w14:paraId="70A4C6AC" w14:textId="77777777" w:rsidR="00C1548D" w:rsidRDefault="009B1B4B">
      <w:pPr>
        <w:spacing w:after="140"/>
      </w:pPr>
      <w:r>
        <w:t>Die folgende Tabelle ordnet die häufigsten Ausgangslagen den passenden Kapiteln zu. Triffst du auf mehrere Zeilen zu, lies zunächst die, die deiner Hauptsituation am nächsten kommt, und prüfe die anderen als Alternative.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47"/>
        <w:gridCol w:w="2853"/>
        <w:gridCol w:w="980"/>
      </w:tblGrid>
      <w:tr w:rsidR="00C1548D" w14:paraId="70A4C6B0" w14:textId="77777777">
        <w:tblPrEx>
          <w:tblCellMar>
            <w:top w:w="0" w:type="dxa"/>
            <w:bottom w:w="0" w:type="dxa"/>
          </w:tblCellMar>
        </w:tblPrEx>
        <w:trPr>
          <w:cantSplit/>
          <w:tblHeader/>
        </w:trPr>
        <w:tc>
          <w:tcPr>
            <w:tcW w:w="264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AD" w14:textId="77777777" w:rsidR="00C1548D" w:rsidRDefault="009B1B4B">
            <w:pPr>
              <w:spacing w:line="250" w:lineRule="auto"/>
            </w:pPr>
            <w:r>
              <w:rPr>
                <w:b/>
                <w:bCs/>
                <w:sz w:val="18"/>
                <w:szCs w:val="18"/>
              </w:rPr>
              <w:t>Deine Situation</w:t>
            </w:r>
          </w:p>
        </w:tc>
        <w:tc>
          <w:tcPr>
            <w:tcW w:w="28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AE" w14:textId="77777777" w:rsidR="00C1548D" w:rsidRDefault="009B1B4B">
            <w:pPr>
              <w:spacing w:line="250" w:lineRule="auto"/>
            </w:pPr>
            <w:r>
              <w:rPr>
                <w:b/>
                <w:bCs/>
                <w:sz w:val="18"/>
                <w:szCs w:val="18"/>
              </w:rPr>
              <w:t>Passender Weg</w:t>
            </w:r>
          </w:p>
        </w:tc>
        <w:tc>
          <w:tcPr>
            <w:tcW w:w="98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AF" w14:textId="77777777" w:rsidR="00C1548D" w:rsidRDefault="009B1B4B">
            <w:pPr>
              <w:spacing w:line="250" w:lineRule="auto"/>
            </w:pPr>
            <w:r>
              <w:rPr>
                <w:b/>
                <w:bCs/>
                <w:sz w:val="18"/>
                <w:szCs w:val="18"/>
              </w:rPr>
              <w:t>Details in</w:t>
            </w:r>
          </w:p>
        </w:tc>
      </w:tr>
      <w:tr w:rsidR="00C1548D" w14:paraId="70A4C6B4" w14:textId="77777777">
        <w:tblPrEx>
          <w:tblCellMar>
            <w:top w:w="0" w:type="dxa"/>
            <w:bottom w:w="0" w:type="dxa"/>
          </w:tblCellMar>
        </w:tblPrEx>
        <w:trPr>
          <w:cantSplit/>
        </w:trPr>
        <w:tc>
          <w:tcPr>
            <w:tcW w:w="26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1" w14:textId="77777777" w:rsidR="00C1548D" w:rsidRDefault="009B1B4B">
            <w:pPr>
              <w:spacing w:line="250" w:lineRule="auto"/>
            </w:pPr>
            <w:r>
              <w:rPr>
                <w:sz w:val="18"/>
                <w:szCs w:val="18"/>
              </w:rPr>
              <w:t>Ich habe ein Jobangebot eines US-Arbeitgebers</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2" w14:textId="77777777" w:rsidR="00C1548D" w:rsidRDefault="009B1B4B">
            <w:pPr>
              <w:spacing w:line="250" w:lineRule="auto"/>
            </w:pPr>
            <w:r>
              <w:rPr>
                <w:sz w:val="18"/>
                <w:szCs w:val="18"/>
              </w:rPr>
              <w:t>H-1B, bei Konzernversetzung auch L-1</w:t>
            </w:r>
          </w:p>
        </w:tc>
        <w:tc>
          <w:tcPr>
            <w:tcW w:w="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3" w14:textId="2FFD0125" w:rsidR="00C1548D" w:rsidRDefault="009B1B4B">
            <w:pPr>
              <w:spacing w:line="250" w:lineRule="auto"/>
            </w:pPr>
            <w:r>
              <w:rPr>
                <w:sz w:val="18"/>
                <w:szCs w:val="18"/>
              </w:rPr>
              <w:t>Kapitel </w:t>
            </w:r>
            <w:hyperlink w:anchor="k5" w:history="1">
              <w:r>
                <w:rPr>
                  <w:sz w:val="18"/>
                  <w:szCs w:val="18"/>
                </w:rPr>
                <w:t>5</w:t>
              </w:r>
            </w:hyperlink>
            <w:r>
              <w:rPr>
                <w:sz w:val="18"/>
                <w:szCs w:val="18"/>
              </w:rPr>
              <w:t xml:space="preserve"> (und 9 für L-1)</w:t>
            </w:r>
          </w:p>
        </w:tc>
      </w:tr>
      <w:tr w:rsidR="00C1548D" w14:paraId="70A4C6B8" w14:textId="77777777">
        <w:tblPrEx>
          <w:tblCellMar>
            <w:top w:w="0" w:type="dxa"/>
            <w:bottom w:w="0" w:type="dxa"/>
          </w:tblCellMar>
        </w:tblPrEx>
        <w:trPr>
          <w:cantSplit/>
        </w:trPr>
        <w:tc>
          <w:tcPr>
            <w:tcW w:w="26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5" w14:textId="77777777" w:rsidR="00C1548D" w:rsidRDefault="009B1B4B">
            <w:pPr>
              <w:spacing w:line="250" w:lineRule="auto"/>
            </w:pPr>
            <w:r>
              <w:rPr>
                <w:sz w:val="18"/>
                <w:szCs w:val="18"/>
              </w:rPr>
              <w:t>Ich habe kein Jobangebot</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6" w14:textId="77777777" w:rsidR="00C1548D" w:rsidRDefault="009B1B4B">
            <w:pPr>
              <w:spacing w:line="250" w:lineRule="auto"/>
            </w:pPr>
            <w:r>
              <w:rPr>
                <w:sz w:val="18"/>
                <w:szCs w:val="18"/>
              </w:rPr>
              <w:t>Kein Direktweg ohne Sponsor, Kapital oder Nachweis; Studium oder eigene Investition prüfen</w:t>
            </w:r>
          </w:p>
        </w:tc>
        <w:tc>
          <w:tcPr>
            <w:tcW w:w="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7" w14:textId="5D810B5E" w:rsidR="00C1548D" w:rsidRDefault="009B1B4B">
            <w:pPr>
              <w:spacing w:line="250" w:lineRule="auto"/>
            </w:pPr>
            <w:r>
              <w:rPr>
                <w:sz w:val="18"/>
                <w:szCs w:val="18"/>
              </w:rPr>
              <w:t>Kapitel </w:t>
            </w:r>
            <w:hyperlink w:anchor="k9" w:history="1">
              <w:r>
                <w:rPr>
                  <w:sz w:val="18"/>
                  <w:szCs w:val="18"/>
                </w:rPr>
                <w:t>9</w:t>
              </w:r>
            </w:hyperlink>
          </w:p>
        </w:tc>
      </w:tr>
      <w:tr w:rsidR="00C1548D" w14:paraId="70A4C6BC" w14:textId="77777777">
        <w:tblPrEx>
          <w:tblCellMar>
            <w:top w:w="0" w:type="dxa"/>
            <w:bottom w:w="0" w:type="dxa"/>
          </w:tblCellMar>
        </w:tblPrEx>
        <w:trPr>
          <w:cantSplit/>
        </w:trPr>
        <w:tc>
          <w:tcPr>
            <w:tcW w:w="26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9" w14:textId="77777777" w:rsidR="00C1548D" w:rsidRDefault="009B1B4B">
            <w:pPr>
              <w:spacing w:line="250" w:lineRule="auto"/>
            </w:pPr>
            <w:r>
              <w:rPr>
                <w:sz w:val="18"/>
                <w:szCs w:val="18"/>
              </w:rPr>
              <w:t>Ich will studieren</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A" w14:textId="77777777" w:rsidR="00C1548D" w:rsidRDefault="009B1B4B">
            <w:pPr>
              <w:spacing w:line="250" w:lineRule="auto"/>
            </w:pPr>
            <w:r>
              <w:rPr>
                <w:sz w:val="18"/>
                <w:szCs w:val="18"/>
              </w:rPr>
              <w:t>F-1, danach OPT/STEM-OPT und Statuswechsel</w:t>
            </w:r>
          </w:p>
        </w:tc>
        <w:tc>
          <w:tcPr>
            <w:tcW w:w="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B" w14:textId="5A8C930F" w:rsidR="00C1548D" w:rsidRDefault="009B1B4B">
            <w:pPr>
              <w:spacing w:line="250" w:lineRule="auto"/>
            </w:pPr>
            <w:r>
              <w:rPr>
                <w:sz w:val="18"/>
                <w:szCs w:val="18"/>
              </w:rPr>
              <w:t>Kapitel </w:t>
            </w:r>
            <w:hyperlink w:anchor="k8" w:history="1">
              <w:r>
                <w:rPr>
                  <w:sz w:val="18"/>
                  <w:szCs w:val="18"/>
                </w:rPr>
                <w:t>8</w:t>
              </w:r>
            </w:hyperlink>
          </w:p>
        </w:tc>
      </w:tr>
      <w:tr w:rsidR="00C1548D" w14:paraId="70A4C6C0" w14:textId="77777777">
        <w:tblPrEx>
          <w:tblCellMar>
            <w:top w:w="0" w:type="dxa"/>
            <w:bottom w:w="0" w:type="dxa"/>
          </w:tblCellMar>
        </w:tblPrEx>
        <w:trPr>
          <w:cantSplit/>
        </w:trPr>
        <w:tc>
          <w:tcPr>
            <w:tcW w:w="26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D" w14:textId="77777777" w:rsidR="00C1548D" w:rsidRDefault="009B1B4B">
            <w:pPr>
              <w:spacing w:line="250" w:lineRule="auto"/>
            </w:pPr>
            <w:r>
              <w:rPr>
                <w:sz w:val="18"/>
                <w:szCs w:val="18"/>
              </w:rPr>
              <w:t>Ich will gründen oder investieren</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E" w14:textId="77777777" w:rsidR="00C1548D" w:rsidRDefault="009B1B4B">
            <w:pPr>
              <w:spacing w:line="250" w:lineRule="auto"/>
            </w:pPr>
            <w:r>
              <w:rPr>
                <w:sz w:val="18"/>
                <w:szCs w:val="18"/>
              </w:rPr>
              <w:t>E-2 (Deutschland ist Vertragsstaat)</w:t>
            </w:r>
          </w:p>
        </w:tc>
        <w:tc>
          <w:tcPr>
            <w:tcW w:w="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BF" w14:textId="3ED97E65" w:rsidR="00C1548D" w:rsidRDefault="009B1B4B">
            <w:pPr>
              <w:spacing w:line="250" w:lineRule="auto"/>
            </w:pPr>
            <w:r>
              <w:rPr>
                <w:sz w:val="18"/>
                <w:szCs w:val="18"/>
              </w:rPr>
              <w:t>Kapitel </w:t>
            </w:r>
            <w:hyperlink w:anchor="k9" w:history="1">
              <w:r>
                <w:rPr>
                  <w:sz w:val="18"/>
                  <w:szCs w:val="18"/>
                </w:rPr>
                <w:t>9</w:t>
              </w:r>
            </w:hyperlink>
          </w:p>
        </w:tc>
      </w:tr>
      <w:tr w:rsidR="00C1548D" w14:paraId="70A4C6C4" w14:textId="77777777">
        <w:tblPrEx>
          <w:tblCellMar>
            <w:top w:w="0" w:type="dxa"/>
            <w:bottom w:w="0" w:type="dxa"/>
          </w:tblCellMar>
        </w:tblPrEx>
        <w:trPr>
          <w:cantSplit/>
        </w:trPr>
        <w:tc>
          <w:tcPr>
            <w:tcW w:w="26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C1" w14:textId="77777777" w:rsidR="00C1548D" w:rsidRDefault="009B1B4B">
            <w:pPr>
              <w:spacing w:line="250" w:lineRule="auto"/>
            </w:pPr>
            <w:r>
              <w:rPr>
                <w:sz w:val="18"/>
                <w:szCs w:val="18"/>
              </w:rPr>
              <w:t>Ich bin fachlich eine Spitzenkraft mit Nachweisen</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C2" w14:textId="77777777" w:rsidR="00C1548D" w:rsidRDefault="009B1B4B">
            <w:pPr>
              <w:spacing w:line="250" w:lineRule="auto"/>
            </w:pPr>
            <w:r>
              <w:rPr>
                <w:sz w:val="18"/>
                <w:szCs w:val="18"/>
              </w:rPr>
              <w:t>O-1, langfristig auch EB-1 als Green-Card-Weg</w:t>
            </w:r>
          </w:p>
        </w:tc>
        <w:tc>
          <w:tcPr>
            <w:tcW w:w="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C3" w14:textId="1B984504" w:rsidR="00C1548D" w:rsidRDefault="009B1B4B">
            <w:pPr>
              <w:spacing w:line="250" w:lineRule="auto"/>
            </w:pPr>
            <w:r>
              <w:rPr>
                <w:sz w:val="18"/>
                <w:szCs w:val="18"/>
              </w:rPr>
              <w:t>Kapitel </w:t>
            </w:r>
            <w:hyperlink w:anchor="k9" w:history="1">
              <w:r>
                <w:rPr>
                  <w:sz w:val="18"/>
                  <w:szCs w:val="18"/>
                </w:rPr>
                <w:t>9</w:t>
              </w:r>
            </w:hyperlink>
            <w:r>
              <w:rPr>
                <w:sz w:val="18"/>
                <w:szCs w:val="18"/>
              </w:rPr>
              <w:t xml:space="preserve"> und </w:t>
            </w:r>
            <w:hyperlink w:anchor="k6" w:history="1">
              <w:r>
                <w:rPr>
                  <w:sz w:val="18"/>
                  <w:szCs w:val="18"/>
                </w:rPr>
                <w:t>6</w:t>
              </w:r>
            </w:hyperlink>
          </w:p>
        </w:tc>
      </w:tr>
      <w:tr w:rsidR="00C1548D" w14:paraId="70A4C6C8" w14:textId="77777777">
        <w:tblPrEx>
          <w:tblCellMar>
            <w:top w:w="0" w:type="dxa"/>
            <w:bottom w:w="0" w:type="dxa"/>
          </w:tblCellMar>
        </w:tblPrEx>
        <w:trPr>
          <w:cantSplit/>
        </w:trPr>
        <w:tc>
          <w:tcPr>
            <w:tcW w:w="26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C5" w14:textId="77777777" w:rsidR="00C1548D" w:rsidRDefault="009B1B4B">
            <w:pPr>
              <w:spacing w:line="250" w:lineRule="auto"/>
            </w:pPr>
            <w:r>
              <w:rPr>
                <w:sz w:val="18"/>
                <w:szCs w:val="18"/>
              </w:rPr>
              <w:t>Ich habe einen US-Partner</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C6" w14:textId="77777777" w:rsidR="00C1548D" w:rsidRDefault="009B1B4B">
            <w:pPr>
              <w:spacing w:line="250" w:lineRule="auto"/>
            </w:pPr>
            <w:r>
              <w:rPr>
                <w:sz w:val="18"/>
                <w:szCs w:val="18"/>
              </w:rPr>
              <w:t>Heirat, gegebenenfalls K-1-Verlobtenvisum</w:t>
            </w:r>
          </w:p>
        </w:tc>
        <w:tc>
          <w:tcPr>
            <w:tcW w:w="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C7" w14:textId="7961BE68" w:rsidR="00C1548D" w:rsidRDefault="009B1B4B">
            <w:pPr>
              <w:spacing w:line="250" w:lineRule="auto"/>
            </w:pPr>
            <w:r>
              <w:rPr>
                <w:sz w:val="18"/>
                <w:szCs w:val="18"/>
              </w:rPr>
              <w:t>Kapitel </w:t>
            </w:r>
            <w:hyperlink w:anchor="k9" w:history="1">
              <w:r>
                <w:rPr>
                  <w:sz w:val="18"/>
                  <w:szCs w:val="18"/>
                </w:rPr>
                <w:t>9</w:t>
              </w:r>
            </w:hyperlink>
          </w:p>
        </w:tc>
      </w:tr>
      <w:tr w:rsidR="00C1548D" w14:paraId="70A4C6CC" w14:textId="77777777">
        <w:tblPrEx>
          <w:tblCellMar>
            <w:top w:w="0" w:type="dxa"/>
            <w:bottom w:w="0" w:type="dxa"/>
          </w:tblCellMar>
        </w:tblPrEx>
        <w:trPr>
          <w:cantSplit/>
        </w:trPr>
        <w:tc>
          <w:tcPr>
            <w:tcW w:w="26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C9" w14:textId="77777777" w:rsidR="00C1548D" w:rsidRDefault="009B1B4B">
            <w:pPr>
              <w:spacing w:line="250" w:lineRule="auto"/>
            </w:pPr>
            <w:r>
              <w:rPr>
                <w:sz w:val="18"/>
                <w:szCs w:val="18"/>
              </w:rPr>
              <w:lastRenderedPageBreak/>
              <w:t>Ich will nur zu Besuch, zu Meetings oder Vorstellungsgesprächen</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CA" w14:textId="77777777" w:rsidR="00C1548D" w:rsidRDefault="009B1B4B">
            <w:pPr>
              <w:spacing w:line="250" w:lineRule="auto"/>
            </w:pPr>
            <w:r>
              <w:rPr>
                <w:sz w:val="18"/>
                <w:szCs w:val="18"/>
              </w:rPr>
              <w:t>ESTA oder B-1/B-2, keine Arbeit erlaubt</w:t>
            </w:r>
          </w:p>
        </w:tc>
        <w:tc>
          <w:tcPr>
            <w:tcW w:w="9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CB" w14:textId="68474BDD" w:rsidR="00C1548D" w:rsidRDefault="009B1B4B">
            <w:pPr>
              <w:spacing w:line="250" w:lineRule="auto"/>
            </w:pPr>
            <w:r>
              <w:rPr>
                <w:sz w:val="18"/>
                <w:szCs w:val="18"/>
              </w:rPr>
              <w:t>Kapitel </w:t>
            </w:r>
            <w:hyperlink w:anchor="k9" w:history="1">
              <w:r>
                <w:rPr>
                  <w:sz w:val="18"/>
                  <w:szCs w:val="18"/>
                </w:rPr>
                <w:t>9</w:t>
              </w:r>
            </w:hyperlink>
          </w:p>
        </w:tc>
      </w:tr>
    </w:tbl>
    <w:p w14:paraId="70A4C6CD" w14:textId="77777777" w:rsidR="00C1548D" w:rsidRDefault="00C1548D">
      <w:pPr>
        <w:spacing w:line="180" w:lineRule="exact"/>
      </w:pPr>
    </w:p>
    <w:p w14:paraId="70A4C6CE" w14:textId="59904B4C" w:rsidR="00C1548D" w:rsidRDefault="009B1B4B">
      <w:pPr>
        <w:spacing w:after="140"/>
      </w:pPr>
      <w:r>
        <w:t>Wer kein Jobangebot hat, sollte nicht resignieren, aber ehrlich rechnen: Der Studienweg kostet Zeit und Geld, ohne die Lotterie zu garantieren (Kapitel </w:t>
      </w:r>
      <w:hyperlink w:anchor="k8" w:history="1">
        <w:r>
          <w:t>8</w:t>
        </w:r>
      </w:hyperlink>
      <w:r>
        <w:t>); der Weg über außergewöhnliche Leistungen (O-1) verlangt eine Beweisakte, die die wenigsten von heute auf morgen zusammenstellen können; E-2 verlangt Kapital, das wirklich investiert und riskiert wird. Wer keinen der drei Wege ernsthaft gehen kann, sollte zuerst am Jobangebot arbeiten – die mit Abstand häufigste Eintrittskarte (siehe auch Kapitel </w:t>
      </w:r>
      <w:hyperlink w:anchor="k29" w:history="1">
        <w:r>
          <w:t>29</w:t>
        </w:r>
      </w:hyperlink>
      <w:r>
        <w:t xml:space="preserve"> zur Bewerbung aus Deutschland).</w:t>
      </w:r>
    </w:p>
    <w:p w14:paraId="70A4C6CF" w14:textId="77777777" w:rsidR="00C1548D" w:rsidRDefault="009B1B4B">
      <w:pPr>
        <w:pStyle w:val="Heading3"/>
        <w:keepNext/>
        <w:jc w:val="center"/>
      </w:pPr>
      <w:r>
        <w:rPr>
          <w:rFonts w:ascii="Amazon Ember" w:eastAsia="Amazon Ember" w:hAnsi="Amazon Ember" w:cs="Amazon Ember"/>
          <w:color w:val="0000FF"/>
          <w:sz w:val="36"/>
          <w:szCs w:val="36"/>
        </w:rPr>
        <w:t>Die Wege im Vergleich</w:t>
      </w:r>
    </w:p>
    <w:p w14:paraId="70A4C6D0" w14:textId="5EB1E1C4" w:rsidR="00C1548D" w:rsidRDefault="009B1B4B">
      <w:pPr>
        <w:spacing w:after="140"/>
      </w:pPr>
      <w:r>
        <w:t>Die beiden folgenden Tabellen zeigen dieselben neun Wege aus zwei Blickwinkeln: zuerst Voraussetzung, Dauer und deine eigene Arbeitserlaubnis, dann Partner, Weg zur Green Card und ein grober Kostenanhalt. Die Zahlen sind Behördengebühren (Stand September 2026); Anwaltskosten kommen fast immer dazu (Kapitel </w:t>
      </w:r>
      <w:hyperlink w:anchor="k11" w:history="1">
        <w:r>
          <w:t>11</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754"/>
        <w:gridCol w:w="2073"/>
        <w:gridCol w:w="1703"/>
      </w:tblGrid>
      <w:tr w:rsidR="00C1548D" w14:paraId="70A4C6D5"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D1" w14:textId="77777777" w:rsidR="00C1548D" w:rsidRDefault="009B1B4B">
            <w:pPr>
              <w:spacing w:line="250" w:lineRule="auto"/>
            </w:pPr>
            <w:r>
              <w:rPr>
                <w:b/>
                <w:bCs/>
                <w:sz w:val="18"/>
                <w:szCs w:val="18"/>
              </w:rPr>
              <w:t>Weg</w:t>
            </w:r>
          </w:p>
        </w:tc>
        <w:tc>
          <w:tcPr>
            <w:tcW w:w="175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D2" w14:textId="77777777" w:rsidR="00C1548D" w:rsidRDefault="009B1B4B">
            <w:pPr>
              <w:spacing w:line="250" w:lineRule="auto"/>
            </w:pPr>
            <w:r>
              <w:rPr>
                <w:b/>
                <w:bCs/>
                <w:sz w:val="18"/>
                <w:szCs w:val="18"/>
              </w:rPr>
              <w:t>Voraussetzung</w:t>
            </w:r>
          </w:p>
        </w:tc>
        <w:tc>
          <w:tcPr>
            <w:tcW w:w="207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D3" w14:textId="77777777" w:rsidR="00C1548D" w:rsidRDefault="009B1B4B">
            <w:pPr>
              <w:spacing w:line="250" w:lineRule="auto"/>
            </w:pPr>
            <w:r>
              <w:rPr>
                <w:b/>
                <w:bCs/>
                <w:sz w:val="18"/>
                <w:szCs w:val="18"/>
              </w:rPr>
              <w:t>Dauer</w:t>
            </w:r>
          </w:p>
        </w:tc>
        <w:tc>
          <w:tcPr>
            <w:tcW w:w="17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6D4" w14:textId="77777777" w:rsidR="00C1548D" w:rsidRDefault="009B1B4B">
            <w:pPr>
              <w:spacing w:line="250" w:lineRule="auto"/>
            </w:pPr>
            <w:r>
              <w:rPr>
                <w:b/>
                <w:bCs/>
                <w:sz w:val="18"/>
                <w:szCs w:val="18"/>
              </w:rPr>
              <w:t>Arbeit erlaubt (für dich)</w:t>
            </w:r>
          </w:p>
        </w:tc>
      </w:tr>
      <w:tr w:rsidR="00C1548D" w14:paraId="70A4C6D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D6" w14:textId="77777777" w:rsidR="00C1548D" w:rsidRDefault="009B1B4B">
            <w:pPr>
              <w:spacing w:line="250" w:lineRule="auto"/>
            </w:pPr>
            <w:r>
              <w:rPr>
                <w:sz w:val="18"/>
                <w:szCs w:val="18"/>
              </w:rPr>
              <w:t>H-1B</w:t>
            </w:r>
          </w:p>
        </w:tc>
        <w:tc>
          <w:tcPr>
            <w:tcW w:w="17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D7" w14:textId="77777777" w:rsidR="00C1548D" w:rsidRDefault="009B1B4B">
            <w:pPr>
              <w:spacing w:line="250" w:lineRule="auto"/>
            </w:pPr>
            <w:r>
              <w:rPr>
                <w:sz w:val="18"/>
                <w:szCs w:val="18"/>
              </w:rPr>
              <w:t>Jobangebot, Studienabschluss, Losverfahren (85.000 Plätze)</w:t>
            </w:r>
          </w:p>
        </w:tc>
        <w:tc>
          <w:tcPr>
            <w:tcW w:w="2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D8" w14:textId="77777777" w:rsidR="00C1548D" w:rsidRDefault="009B1B4B">
            <w:pPr>
              <w:spacing w:line="250" w:lineRule="auto"/>
            </w:pPr>
            <w:r>
              <w:rPr>
                <w:sz w:val="18"/>
                <w:szCs w:val="18"/>
              </w:rPr>
              <w:t>3 + 3 Jahre (max. 6)</w:t>
            </w:r>
          </w:p>
        </w:tc>
        <w:tc>
          <w:tcPr>
            <w:tcW w:w="1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D9" w14:textId="77777777" w:rsidR="00C1548D" w:rsidRDefault="009B1B4B">
            <w:pPr>
              <w:spacing w:line="250" w:lineRule="auto"/>
            </w:pPr>
            <w:r>
              <w:rPr>
                <w:sz w:val="18"/>
                <w:szCs w:val="18"/>
              </w:rPr>
              <w:t>Ja, nur beim Sponsor</w:t>
            </w:r>
          </w:p>
        </w:tc>
      </w:tr>
      <w:tr w:rsidR="00C1548D" w14:paraId="70A4C6D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DB" w14:textId="77777777" w:rsidR="00C1548D" w:rsidRDefault="009B1B4B">
            <w:pPr>
              <w:spacing w:line="250" w:lineRule="auto"/>
            </w:pPr>
            <w:r>
              <w:rPr>
                <w:sz w:val="18"/>
                <w:szCs w:val="18"/>
              </w:rPr>
              <w:t>L-1</w:t>
            </w:r>
          </w:p>
        </w:tc>
        <w:tc>
          <w:tcPr>
            <w:tcW w:w="17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DC" w14:textId="77777777" w:rsidR="00C1548D" w:rsidRDefault="009B1B4B">
            <w:pPr>
              <w:spacing w:line="250" w:lineRule="auto"/>
            </w:pPr>
            <w:r>
              <w:rPr>
                <w:sz w:val="18"/>
                <w:szCs w:val="18"/>
              </w:rPr>
              <w:t>1 Jahr im Konzern im Ausland, Versetzung als Führungskraft oder Spezialist</w:t>
            </w:r>
          </w:p>
        </w:tc>
        <w:tc>
          <w:tcPr>
            <w:tcW w:w="2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DD" w14:textId="77777777" w:rsidR="00C1548D" w:rsidRDefault="009B1B4B">
            <w:pPr>
              <w:spacing w:line="250" w:lineRule="auto"/>
            </w:pPr>
            <w:r>
              <w:rPr>
                <w:sz w:val="18"/>
                <w:szCs w:val="18"/>
              </w:rPr>
              <w:t>L-1A bis 7 Jahre, L-1B bis 5 Jahre</w:t>
            </w:r>
          </w:p>
        </w:tc>
        <w:tc>
          <w:tcPr>
            <w:tcW w:w="1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DE" w14:textId="77777777" w:rsidR="00C1548D" w:rsidRDefault="009B1B4B">
            <w:pPr>
              <w:spacing w:line="250" w:lineRule="auto"/>
            </w:pPr>
            <w:r>
              <w:rPr>
                <w:sz w:val="18"/>
                <w:szCs w:val="18"/>
              </w:rPr>
              <w:t>Ja, nur beim Sponsor</w:t>
            </w:r>
          </w:p>
        </w:tc>
      </w:tr>
      <w:tr w:rsidR="00C1548D" w14:paraId="70A4C6E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0" w14:textId="77777777" w:rsidR="00C1548D" w:rsidRDefault="009B1B4B">
            <w:pPr>
              <w:spacing w:line="250" w:lineRule="auto"/>
            </w:pPr>
            <w:r>
              <w:rPr>
                <w:sz w:val="18"/>
                <w:szCs w:val="18"/>
              </w:rPr>
              <w:t>O-1</w:t>
            </w:r>
          </w:p>
        </w:tc>
        <w:tc>
          <w:tcPr>
            <w:tcW w:w="17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1" w14:textId="77777777" w:rsidR="00C1548D" w:rsidRDefault="009B1B4B">
            <w:pPr>
              <w:spacing w:line="250" w:lineRule="auto"/>
            </w:pPr>
            <w:r>
              <w:rPr>
                <w:sz w:val="18"/>
                <w:szCs w:val="18"/>
              </w:rPr>
              <w:t>Außergewöhnliche Leistungen, strenge Beweislast</w:t>
            </w:r>
          </w:p>
        </w:tc>
        <w:tc>
          <w:tcPr>
            <w:tcW w:w="2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2" w14:textId="77777777" w:rsidR="00C1548D" w:rsidRDefault="009B1B4B">
            <w:pPr>
              <w:spacing w:line="250" w:lineRule="auto"/>
            </w:pPr>
            <w:r>
              <w:rPr>
                <w:sz w:val="18"/>
                <w:szCs w:val="18"/>
              </w:rPr>
              <w:t>3 Jahre, danach je 1 Jahr</w:t>
            </w:r>
          </w:p>
        </w:tc>
        <w:tc>
          <w:tcPr>
            <w:tcW w:w="1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3" w14:textId="77777777" w:rsidR="00C1548D" w:rsidRDefault="009B1B4B">
            <w:pPr>
              <w:spacing w:line="250" w:lineRule="auto"/>
            </w:pPr>
            <w:r>
              <w:rPr>
                <w:sz w:val="18"/>
                <w:szCs w:val="18"/>
              </w:rPr>
              <w:t>Ja, nur beim Sponsor oder Agenten</w:t>
            </w:r>
          </w:p>
        </w:tc>
      </w:tr>
      <w:tr w:rsidR="00C1548D" w14:paraId="70A4C6E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5" w14:textId="77777777" w:rsidR="00C1548D" w:rsidRDefault="009B1B4B">
            <w:pPr>
              <w:spacing w:line="250" w:lineRule="auto"/>
            </w:pPr>
            <w:r>
              <w:rPr>
                <w:sz w:val="18"/>
                <w:szCs w:val="18"/>
              </w:rPr>
              <w:lastRenderedPageBreak/>
              <w:t>E-2</w:t>
            </w:r>
          </w:p>
        </w:tc>
        <w:tc>
          <w:tcPr>
            <w:tcW w:w="17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6" w14:textId="77777777" w:rsidR="00C1548D" w:rsidRDefault="009B1B4B">
            <w:pPr>
              <w:spacing w:line="250" w:lineRule="auto"/>
            </w:pPr>
            <w:r>
              <w:rPr>
                <w:sz w:val="18"/>
                <w:szCs w:val="18"/>
              </w:rPr>
              <w:t>Substanzielle Investition, Führung oder Kontrolle des Unternehmens</w:t>
            </w:r>
          </w:p>
        </w:tc>
        <w:tc>
          <w:tcPr>
            <w:tcW w:w="2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7" w14:textId="77777777" w:rsidR="00C1548D" w:rsidRDefault="009B1B4B">
            <w:pPr>
              <w:spacing w:line="250" w:lineRule="auto"/>
            </w:pPr>
            <w:r>
              <w:rPr>
                <w:sz w:val="18"/>
                <w:szCs w:val="18"/>
              </w:rPr>
              <w:t>2 Jahre, unbegrenzt verlängerbar</w:t>
            </w:r>
          </w:p>
        </w:tc>
        <w:tc>
          <w:tcPr>
            <w:tcW w:w="1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8" w14:textId="77777777" w:rsidR="00C1548D" w:rsidRDefault="009B1B4B">
            <w:pPr>
              <w:spacing w:line="250" w:lineRule="auto"/>
            </w:pPr>
            <w:r>
              <w:rPr>
                <w:sz w:val="18"/>
                <w:szCs w:val="18"/>
              </w:rPr>
              <w:t>Ja, im eigenen Unternehmen</w:t>
            </w:r>
          </w:p>
        </w:tc>
      </w:tr>
      <w:tr w:rsidR="00C1548D" w14:paraId="70A4C6E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A" w14:textId="77777777" w:rsidR="00C1548D" w:rsidRDefault="009B1B4B">
            <w:pPr>
              <w:spacing w:line="250" w:lineRule="auto"/>
            </w:pPr>
            <w:r>
              <w:rPr>
                <w:sz w:val="18"/>
                <w:szCs w:val="18"/>
              </w:rPr>
              <w:t>F-1 (Studienweg)</w:t>
            </w:r>
          </w:p>
        </w:tc>
        <w:tc>
          <w:tcPr>
            <w:tcW w:w="17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B" w14:textId="77777777" w:rsidR="00C1548D" w:rsidRDefault="009B1B4B">
            <w:pPr>
              <w:spacing w:line="250" w:lineRule="auto"/>
            </w:pPr>
            <w:r>
              <w:rPr>
                <w:sz w:val="18"/>
                <w:szCs w:val="18"/>
              </w:rPr>
              <w:t>Zulassung an einer SEVP-Hochschule, Finanznachweis</w:t>
            </w:r>
          </w:p>
        </w:tc>
        <w:tc>
          <w:tcPr>
            <w:tcW w:w="2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C" w14:textId="77777777" w:rsidR="00C1548D" w:rsidRDefault="009B1B4B">
            <w:pPr>
              <w:spacing w:line="250" w:lineRule="auto"/>
            </w:pPr>
            <w:r>
              <w:rPr>
                <w:sz w:val="18"/>
                <w:szCs w:val="18"/>
              </w:rPr>
              <w:t>Studiendauer plus OPT 12 Monate (plus 24 bei MINT-Fächern)</w:t>
            </w:r>
          </w:p>
        </w:tc>
        <w:tc>
          <w:tcPr>
            <w:tcW w:w="1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D" w14:textId="77777777" w:rsidR="00C1548D" w:rsidRDefault="009B1B4B">
            <w:pPr>
              <w:spacing w:line="250" w:lineRule="auto"/>
            </w:pPr>
            <w:r>
              <w:rPr>
                <w:sz w:val="18"/>
                <w:szCs w:val="18"/>
              </w:rPr>
              <w:t>Stark eingeschränkt (Campus, CPT, OPT)</w:t>
            </w:r>
          </w:p>
        </w:tc>
      </w:tr>
      <w:tr w:rsidR="00C1548D" w14:paraId="70A4C6F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EF" w14:textId="77777777" w:rsidR="00C1548D" w:rsidRDefault="009B1B4B">
            <w:pPr>
              <w:spacing w:line="250" w:lineRule="auto"/>
            </w:pPr>
            <w:r>
              <w:rPr>
                <w:sz w:val="18"/>
                <w:szCs w:val="18"/>
              </w:rPr>
              <w:t>J-1</w:t>
            </w:r>
          </w:p>
        </w:tc>
        <w:tc>
          <w:tcPr>
            <w:tcW w:w="17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0" w14:textId="77777777" w:rsidR="00C1548D" w:rsidRDefault="009B1B4B">
            <w:pPr>
              <w:spacing w:line="250" w:lineRule="auto"/>
            </w:pPr>
            <w:r>
              <w:rPr>
                <w:sz w:val="18"/>
                <w:szCs w:val="18"/>
              </w:rPr>
              <w:t>Programmplatz (Forschung, Trainee, Au-pair)</w:t>
            </w:r>
          </w:p>
        </w:tc>
        <w:tc>
          <w:tcPr>
            <w:tcW w:w="2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1" w14:textId="77777777" w:rsidR="00C1548D" w:rsidRDefault="009B1B4B">
            <w:pPr>
              <w:spacing w:line="250" w:lineRule="auto"/>
            </w:pPr>
            <w:r>
              <w:rPr>
                <w:sz w:val="18"/>
                <w:szCs w:val="18"/>
              </w:rPr>
              <w:t>12 Monate bis 5 Jahre je nach Programm</w:t>
            </w:r>
          </w:p>
        </w:tc>
        <w:tc>
          <w:tcPr>
            <w:tcW w:w="1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2" w14:textId="77777777" w:rsidR="00C1548D" w:rsidRDefault="009B1B4B">
            <w:pPr>
              <w:spacing w:line="250" w:lineRule="auto"/>
            </w:pPr>
            <w:r>
              <w:rPr>
                <w:sz w:val="18"/>
                <w:szCs w:val="18"/>
              </w:rPr>
              <w:t>Nur im Rahmen des Programms</w:t>
            </w:r>
          </w:p>
        </w:tc>
      </w:tr>
      <w:tr w:rsidR="00C1548D" w14:paraId="70A4C6F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4" w14:textId="77777777" w:rsidR="00C1548D" w:rsidRDefault="009B1B4B">
            <w:pPr>
              <w:spacing w:line="250" w:lineRule="auto"/>
            </w:pPr>
            <w:r>
              <w:rPr>
                <w:sz w:val="18"/>
                <w:szCs w:val="18"/>
              </w:rPr>
              <w:t>ESTA / B-1</w:t>
            </w:r>
          </w:p>
        </w:tc>
        <w:tc>
          <w:tcPr>
            <w:tcW w:w="17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5" w14:textId="77777777" w:rsidR="00C1548D" w:rsidRDefault="009B1B4B">
            <w:pPr>
              <w:spacing w:line="250" w:lineRule="auto"/>
            </w:pPr>
            <w:r>
              <w:rPr>
                <w:sz w:val="18"/>
                <w:szCs w:val="18"/>
              </w:rPr>
              <w:t>Reisezweck Besuch, Meeting, Konferenz</w:t>
            </w:r>
          </w:p>
        </w:tc>
        <w:tc>
          <w:tcPr>
            <w:tcW w:w="2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6" w14:textId="77777777" w:rsidR="00C1548D" w:rsidRDefault="009B1B4B">
            <w:pPr>
              <w:spacing w:line="250" w:lineRule="auto"/>
            </w:pPr>
            <w:r>
              <w:rPr>
                <w:sz w:val="18"/>
                <w:szCs w:val="18"/>
              </w:rPr>
              <w:t>Bis 90 Tage (ESTA); B-1 im Einzelfall länger, nach Ermessen des Grenzschutzes</w:t>
            </w:r>
          </w:p>
        </w:tc>
        <w:tc>
          <w:tcPr>
            <w:tcW w:w="1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7" w14:textId="77777777" w:rsidR="00C1548D" w:rsidRDefault="009B1B4B">
            <w:pPr>
              <w:spacing w:line="250" w:lineRule="auto"/>
            </w:pPr>
            <w:r>
              <w:rPr>
                <w:sz w:val="18"/>
                <w:szCs w:val="18"/>
              </w:rPr>
              <w:t>Nein</w:t>
            </w:r>
          </w:p>
        </w:tc>
      </w:tr>
      <w:tr w:rsidR="00C1548D" w14:paraId="70A4C6F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9" w14:textId="77777777" w:rsidR="00C1548D" w:rsidRDefault="009B1B4B">
            <w:pPr>
              <w:spacing w:line="250" w:lineRule="auto"/>
            </w:pPr>
            <w:r>
              <w:rPr>
                <w:sz w:val="18"/>
                <w:szCs w:val="18"/>
              </w:rPr>
              <w:t>Heirat / K-1</w:t>
            </w:r>
          </w:p>
        </w:tc>
        <w:tc>
          <w:tcPr>
            <w:tcW w:w="17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A" w14:textId="77777777" w:rsidR="00C1548D" w:rsidRDefault="009B1B4B">
            <w:pPr>
              <w:spacing w:line="250" w:lineRule="auto"/>
            </w:pPr>
            <w:r>
              <w:rPr>
                <w:sz w:val="18"/>
                <w:szCs w:val="18"/>
              </w:rPr>
              <w:t>Ehe oder Verlobung mit einem US-Bürger</w:t>
            </w:r>
          </w:p>
        </w:tc>
        <w:tc>
          <w:tcPr>
            <w:tcW w:w="2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B" w14:textId="77777777" w:rsidR="00C1548D" w:rsidRDefault="009B1B4B">
            <w:pPr>
              <w:spacing w:line="250" w:lineRule="auto"/>
            </w:pPr>
            <w:r>
              <w:rPr>
                <w:sz w:val="18"/>
                <w:szCs w:val="18"/>
              </w:rPr>
              <w:t>K-1: 90 Tage bis zur Heirat, danach dauerhaft</w:t>
            </w:r>
          </w:p>
        </w:tc>
        <w:tc>
          <w:tcPr>
            <w:tcW w:w="1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C" w14:textId="77777777" w:rsidR="00C1548D" w:rsidRDefault="009B1B4B">
            <w:pPr>
              <w:spacing w:line="250" w:lineRule="auto"/>
            </w:pPr>
            <w:r>
              <w:rPr>
                <w:sz w:val="18"/>
                <w:szCs w:val="18"/>
              </w:rPr>
              <w:t>Ja, nach Statusanpassung beziehungsweise sofort mit Green Card</w:t>
            </w:r>
          </w:p>
        </w:tc>
      </w:tr>
      <w:tr w:rsidR="00C1548D" w14:paraId="70A4C70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E" w14:textId="77777777" w:rsidR="00C1548D" w:rsidRDefault="009B1B4B">
            <w:pPr>
              <w:spacing w:line="250" w:lineRule="auto"/>
            </w:pPr>
            <w:r>
              <w:rPr>
                <w:sz w:val="18"/>
                <w:szCs w:val="18"/>
              </w:rPr>
              <w:t>Green Card über Arbeitgeber</w:t>
            </w:r>
          </w:p>
        </w:tc>
        <w:tc>
          <w:tcPr>
            <w:tcW w:w="17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6FF" w14:textId="77777777" w:rsidR="00C1548D" w:rsidRDefault="009B1B4B">
            <w:pPr>
              <w:spacing w:line="250" w:lineRule="auto"/>
            </w:pPr>
            <w:r>
              <w:rPr>
                <w:sz w:val="18"/>
                <w:szCs w:val="18"/>
              </w:rPr>
              <w:t>Jobangebot plus Arbeitsmarktprüfung (PERM) oder Selbstpetition (NIW, EB-1A)</w:t>
            </w:r>
          </w:p>
        </w:tc>
        <w:tc>
          <w:tcPr>
            <w:tcW w:w="2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00" w14:textId="77777777" w:rsidR="00C1548D" w:rsidRDefault="009B1B4B">
            <w:pPr>
              <w:spacing w:line="250" w:lineRule="auto"/>
            </w:pPr>
            <w:r>
              <w:rPr>
                <w:sz w:val="18"/>
                <w:szCs w:val="18"/>
              </w:rPr>
              <w:t>Unbefristet (Verfahren rund 1–4,5 Jahre)</w:t>
            </w:r>
          </w:p>
        </w:tc>
        <w:tc>
          <w:tcPr>
            <w:tcW w:w="1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01" w14:textId="77777777" w:rsidR="00C1548D" w:rsidRDefault="009B1B4B">
            <w:pPr>
              <w:spacing w:line="250" w:lineRule="auto"/>
            </w:pPr>
            <w:r>
              <w:rPr>
                <w:sz w:val="18"/>
                <w:szCs w:val="18"/>
              </w:rPr>
              <w:t>Ja, uneingeschränkt</w:t>
            </w:r>
          </w:p>
        </w:tc>
      </w:tr>
    </w:tbl>
    <w:p w14:paraId="70A4C703" w14:textId="77777777" w:rsidR="00C1548D" w:rsidRDefault="00C1548D">
      <w:pPr>
        <w:spacing w:line="18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951"/>
        <w:gridCol w:w="1767"/>
        <w:gridCol w:w="1812"/>
      </w:tblGrid>
      <w:tr w:rsidR="00C1548D" w14:paraId="70A4C708"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04" w14:textId="77777777" w:rsidR="00C1548D" w:rsidRDefault="009B1B4B">
            <w:pPr>
              <w:spacing w:line="250" w:lineRule="auto"/>
            </w:pPr>
            <w:r>
              <w:rPr>
                <w:b/>
                <w:bCs/>
                <w:sz w:val="18"/>
                <w:szCs w:val="18"/>
              </w:rPr>
              <w:t>Weg</w:t>
            </w:r>
          </w:p>
        </w:tc>
        <w:tc>
          <w:tcPr>
            <w:tcW w:w="195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05" w14:textId="77777777" w:rsidR="00C1548D" w:rsidRDefault="009B1B4B">
            <w:pPr>
              <w:spacing w:line="250" w:lineRule="auto"/>
            </w:pPr>
            <w:r>
              <w:rPr>
                <w:b/>
                <w:bCs/>
                <w:sz w:val="18"/>
                <w:szCs w:val="18"/>
              </w:rPr>
              <w:t>Partner arbeitet?</w:t>
            </w:r>
          </w:p>
        </w:tc>
        <w:tc>
          <w:tcPr>
            <w:tcW w:w="176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06" w14:textId="77777777" w:rsidR="00C1548D" w:rsidRDefault="009B1B4B">
            <w:pPr>
              <w:spacing w:line="250" w:lineRule="auto"/>
            </w:pPr>
            <w:r>
              <w:rPr>
                <w:b/>
                <w:bCs/>
                <w:sz w:val="18"/>
                <w:szCs w:val="18"/>
              </w:rPr>
              <w:t>Weg zur Green Card</w:t>
            </w:r>
          </w:p>
        </w:tc>
        <w:tc>
          <w:tcPr>
            <w:tcW w:w="181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07" w14:textId="77777777" w:rsidR="00C1548D" w:rsidRDefault="009B1B4B">
            <w:pPr>
              <w:spacing w:line="250" w:lineRule="auto"/>
            </w:pPr>
            <w:r>
              <w:rPr>
                <w:b/>
                <w:bCs/>
                <w:sz w:val="18"/>
                <w:szCs w:val="18"/>
              </w:rPr>
              <w:t>Kosten (grober Anhalt)</w:t>
            </w:r>
          </w:p>
        </w:tc>
      </w:tr>
      <w:tr w:rsidR="00C1548D" w14:paraId="70A4C70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09" w14:textId="77777777" w:rsidR="00C1548D" w:rsidRDefault="009B1B4B">
            <w:pPr>
              <w:spacing w:line="250" w:lineRule="auto"/>
            </w:pPr>
            <w:r>
              <w:rPr>
                <w:sz w:val="18"/>
                <w:szCs w:val="18"/>
              </w:rPr>
              <w:t>H-1B</w:t>
            </w:r>
          </w:p>
        </w:tc>
        <w:tc>
          <w:tcPr>
            <w:tcW w:w="1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0A" w14:textId="77777777" w:rsidR="00C1548D" w:rsidRDefault="009B1B4B">
            <w:pPr>
              <w:spacing w:line="250" w:lineRule="auto"/>
            </w:pPr>
            <w:r>
              <w:rPr>
                <w:sz w:val="18"/>
                <w:szCs w:val="18"/>
              </w:rPr>
              <w:t>Erst mit H-4-Arbeitserlaubnis, ab genehmigter I-140</w:t>
            </w:r>
          </w:p>
        </w:tc>
        <w:tc>
          <w:tcPr>
            <w:tcW w:w="17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0B" w14:textId="77777777" w:rsidR="00C1548D" w:rsidRDefault="009B1B4B">
            <w:pPr>
              <w:spacing w:line="250" w:lineRule="auto"/>
            </w:pPr>
            <w:r>
              <w:rPr>
                <w:sz w:val="18"/>
                <w:szCs w:val="18"/>
              </w:rPr>
              <w:t>Ja, meist über den Arbeitgeber</w:t>
            </w:r>
          </w:p>
        </w:tc>
        <w:tc>
          <w:tcPr>
            <w:tcW w:w="1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0C" w14:textId="77777777" w:rsidR="00C1548D" w:rsidRDefault="009B1B4B">
            <w:pPr>
              <w:spacing w:line="250" w:lineRule="auto"/>
            </w:pPr>
            <w:r>
              <w:rPr>
                <w:sz w:val="18"/>
                <w:szCs w:val="18"/>
              </w:rPr>
              <w:t>Arbeitgeber ab rund 3.400 $; du 205 $ Visumgebühr</w:t>
            </w:r>
          </w:p>
        </w:tc>
      </w:tr>
      <w:tr w:rsidR="00C1548D" w14:paraId="70A4C71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0E" w14:textId="77777777" w:rsidR="00C1548D" w:rsidRDefault="009B1B4B">
            <w:pPr>
              <w:spacing w:line="250" w:lineRule="auto"/>
            </w:pPr>
            <w:r>
              <w:rPr>
                <w:sz w:val="18"/>
                <w:szCs w:val="18"/>
              </w:rPr>
              <w:t>L-1</w:t>
            </w:r>
          </w:p>
        </w:tc>
        <w:tc>
          <w:tcPr>
            <w:tcW w:w="1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0F" w14:textId="77777777" w:rsidR="00C1548D" w:rsidRDefault="009B1B4B">
            <w:pPr>
              <w:spacing w:line="250" w:lineRule="auto"/>
            </w:pPr>
            <w:r>
              <w:rPr>
                <w:sz w:val="18"/>
                <w:szCs w:val="18"/>
              </w:rPr>
              <w:t>Ja, ohne eigenen Antrag (L-2)</w:t>
            </w:r>
          </w:p>
        </w:tc>
        <w:tc>
          <w:tcPr>
            <w:tcW w:w="17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0" w14:textId="77777777" w:rsidR="00C1548D" w:rsidRDefault="009B1B4B">
            <w:pPr>
              <w:spacing w:line="250" w:lineRule="auto"/>
            </w:pPr>
            <w:r>
              <w:rPr>
                <w:sz w:val="18"/>
                <w:szCs w:val="18"/>
              </w:rPr>
              <w:t>Ja, oft EB-1C oder PERM</w:t>
            </w:r>
          </w:p>
        </w:tc>
        <w:tc>
          <w:tcPr>
            <w:tcW w:w="1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1" w14:textId="77777777" w:rsidR="00C1548D" w:rsidRDefault="009B1B4B">
            <w:pPr>
              <w:spacing w:line="250" w:lineRule="auto"/>
            </w:pPr>
            <w:r>
              <w:rPr>
                <w:sz w:val="18"/>
                <w:szCs w:val="18"/>
              </w:rPr>
              <w:t>Arbeitgeber ab rund 1.385 $; du 205 $ Visumgebühr</w:t>
            </w:r>
          </w:p>
        </w:tc>
      </w:tr>
      <w:tr w:rsidR="00C1548D" w14:paraId="70A4C71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3" w14:textId="77777777" w:rsidR="00C1548D" w:rsidRDefault="009B1B4B">
            <w:pPr>
              <w:spacing w:line="250" w:lineRule="auto"/>
            </w:pPr>
            <w:r>
              <w:rPr>
                <w:sz w:val="18"/>
                <w:szCs w:val="18"/>
              </w:rPr>
              <w:t>O-1</w:t>
            </w:r>
          </w:p>
        </w:tc>
        <w:tc>
          <w:tcPr>
            <w:tcW w:w="1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4" w14:textId="77777777" w:rsidR="00C1548D" w:rsidRDefault="009B1B4B">
            <w:pPr>
              <w:spacing w:line="250" w:lineRule="auto"/>
            </w:pPr>
            <w:r>
              <w:rPr>
                <w:sz w:val="18"/>
                <w:szCs w:val="18"/>
              </w:rPr>
              <w:t>Nein (O-3)</w:t>
            </w:r>
          </w:p>
        </w:tc>
        <w:tc>
          <w:tcPr>
            <w:tcW w:w="17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5" w14:textId="77777777" w:rsidR="00C1548D" w:rsidRDefault="009B1B4B">
            <w:pPr>
              <w:spacing w:line="250" w:lineRule="auto"/>
            </w:pPr>
            <w:r>
              <w:rPr>
                <w:sz w:val="18"/>
                <w:szCs w:val="18"/>
              </w:rPr>
              <w:t>Möglich über EB-1A, hohe Ablehnungsquote</w:t>
            </w:r>
          </w:p>
        </w:tc>
        <w:tc>
          <w:tcPr>
            <w:tcW w:w="1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6" w14:textId="77777777" w:rsidR="00C1548D" w:rsidRDefault="009B1B4B">
            <w:pPr>
              <w:spacing w:line="250" w:lineRule="auto"/>
            </w:pPr>
            <w:r>
              <w:rPr>
                <w:sz w:val="18"/>
                <w:szCs w:val="18"/>
              </w:rPr>
              <w:t>Arbeitgeber ab rund 1.055 $; du 205 $ Visumgebühr</w:t>
            </w:r>
          </w:p>
        </w:tc>
      </w:tr>
      <w:tr w:rsidR="00C1548D" w14:paraId="70A4C71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8" w14:textId="77777777" w:rsidR="00C1548D" w:rsidRDefault="009B1B4B">
            <w:pPr>
              <w:spacing w:line="250" w:lineRule="auto"/>
            </w:pPr>
            <w:r>
              <w:rPr>
                <w:sz w:val="18"/>
                <w:szCs w:val="18"/>
              </w:rPr>
              <w:t>E-2</w:t>
            </w:r>
          </w:p>
        </w:tc>
        <w:tc>
          <w:tcPr>
            <w:tcW w:w="1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9" w14:textId="77777777" w:rsidR="00C1548D" w:rsidRDefault="009B1B4B">
            <w:pPr>
              <w:spacing w:line="250" w:lineRule="auto"/>
            </w:pPr>
            <w:r>
              <w:rPr>
                <w:sz w:val="18"/>
                <w:szCs w:val="18"/>
              </w:rPr>
              <w:t>Ja, ohne eigenen Antrag</w:t>
            </w:r>
          </w:p>
        </w:tc>
        <w:tc>
          <w:tcPr>
            <w:tcW w:w="17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A" w14:textId="77777777" w:rsidR="00C1548D" w:rsidRDefault="009B1B4B">
            <w:pPr>
              <w:spacing w:line="250" w:lineRule="auto"/>
            </w:pPr>
            <w:r>
              <w:rPr>
                <w:sz w:val="18"/>
                <w:szCs w:val="18"/>
              </w:rPr>
              <w:t>Kein direkter Weg (kein Dual Intent)</w:t>
            </w:r>
          </w:p>
        </w:tc>
        <w:tc>
          <w:tcPr>
            <w:tcW w:w="1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B" w14:textId="77777777" w:rsidR="00C1548D" w:rsidRDefault="009B1B4B">
            <w:pPr>
              <w:spacing w:line="250" w:lineRule="auto"/>
            </w:pPr>
            <w:r>
              <w:rPr>
                <w:sz w:val="18"/>
                <w:szCs w:val="18"/>
              </w:rPr>
              <w:t>Investition plus 1.015 $ Petitionsgebühr; du 315 $ Visumgebühr</w:t>
            </w:r>
          </w:p>
        </w:tc>
      </w:tr>
      <w:tr w:rsidR="00C1548D" w14:paraId="70A4C72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D" w14:textId="77777777" w:rsidR="00C1548D" w:rsidRDefault="009B1B4B">
            <w:pPr>
              <w:spacing w:line="250" w:lineRule="auto"/>
            </w:pPr>
            <w:r>
              <w:rPr>
                <w:sz w:val="18"/>
                <w:szCs w:val="18"/>
              </w:rPr>
              <w:lastRenderedPageBreak/>
              <w:t>F-1 (Studienweg)</w:t>
            </w:r>
          </w:p>
        </w:tc>
        <w:tc>
          <w:tcPr>
            <w:tcW w:w="1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E" w14:textId="77777777" w:rsidR="00C1548D" w:rsidRDefault="009B1B4B">
            <w:pPr>
              <w:spacing w:line="250" w:lineRule="auto"/>
            </w:pPr>
            <w:r>
              <w:rPr>
                <w:sz w:val="18"/>
                <w:szCs w:val="18"/>
              </w:rPr>
              <w:t>Nein (F-2)</w:t>
            </w:r>
          </w:p>
        </w:tc>
        <w:tc>
          <w:tcPr>
            <w:tcW w:w="17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1F" w14:textId="77777777" w:rsidR="00C1548D" w:rsidRDefault="009B1B4B">
            <w:pPr>
              <w:spacing w:line="250" w:lineRule="auto"/>
            </w:pPr>
            <w:r>
              <w:rPr>
                <w:sz w:val="18"/>
                <w:szCs w:val="18"/>
              </w:rPr>
              <w:t>Nicht direkt; meist über einen späteren H-1B</w:t>
            </w:r>
          </w:p>
        </w:tc>
        <w:tc>
          <w:tcPr>
            <w:tcW w:w="1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0" w14:textId="77777777" w:rsidR="00C1548D" w:rsidRDefault="009B1B4B">
            <w:pPr>
              <w:spacing w:line="250" w:lineRule="auto"/>
            </w:pPr>
            <w:r>
              <w:rPr>
                <w:sz w:val="18"/>
                <w:szCs w:val="18"/>
              </w:rPr>
              <w:t>Studium ca. 70.000–150.000 $ für einen zweijährigen Master</w:t>
            </w:r>
          </w:p>
        </w:tc>
      </w:tr>
      <w:tr w:rsidR="00C1548D" w14:paraId="70A4C72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2" w14:textId="77777777" w:rsidR="00C1548D" w:rsidRDefault="009B1B4B">
            <w:pPr>
              <w:spacing w:line="250" w:lineRule="auto"/>
            </w:pPr>
            <w:r>
              <w:rPr>
                <w:sz w:val="18"/>
                <w:szCs w:val="18"/>
              </w:rPr>
              <w:t>J-1</w:t>
            </w:r>
          </w:p>
        </w:tc>
        <w:tc>
          <w:tcPr>
            <w:tcW w:w="1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3" w14:textId="77777777" w:rsidR="00C1548D" w:rsidRDefault="009B1B4B">
            <w:pPr>
              <w:spacing w:line="250" w:lineRule="auto"/>
            </w:pPr>
            <w:r>
              <w:rPr>
                <w:sz w:val="18"/>
                <w:szCs w:val="18"/>
              </w:rPr>
              <w:t>Nur mit eigenem Antrag (J-2)</w:t>
            </w:r>
          </w:p>
        </w:tc>
        <w:tc>
          <w:tcPr>
            <w:tcW w:w="17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4" w14:textId="77777777" w:rsidR="00C1548D" w:rsidRDefault="009B1B4B">
            <w:pPr>
              <w:spacing w:line="250" w:lineRule="auto"/>
            </w:pPr>
            <w:r>
              <w:rPr>
                <w:sz w:val="18"/>
                <w:szCs w:val="18"/>
              </w:rPr>
              <w:t>Nicht direkt; Zwei-Jahres-Sperre je nach Finanzierung prüfen</w:t>
            </w:r>
          </w:p>
        </w:tc>
        <w:tc>
          <w:tcPr>
            <w:tcW w:w="1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5" w14:textId="77777777" w:rsidR="00C1548D" w:rsidRDefault="009B1B4B">
            <w:pPr>
              <w:spacing w:line="250" w:lineRule="auto"/>
            </w:pPr>
            <w:r>
              <w:rPr>
                <w:sz w:val="18"/>
                <w:szCs w:val="18"/>
              </w:rPr>
              <w:t>220 $ SEVIS-Gebühr, 185 $ Visumgebühr, Sponsorkosten variieren</w:t>
            </w:r>
          </w:p>
        </w:tc>
      </w:tr>
      <w:tr w:rsidR="00C1548D" w14:paraId="70A4C72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7" w14:textId="77777777" w:rsidR="00C1548D" w:rsidRDefault="009B1B4B">
            <w:pPr>
              <w:spacing w:line="250" w:lineRule="auto"/>
            </w:pPr>
            <w:r>
              <w:rPr>
                <w:sz w:val="18"/>
                <w:szCs w:val="18"/>
              </w:rPr>
              <w:t>ESTA / B-1</w:t>
            </w:r>
          </w:p>
        </w:tc>
        <w:tc>
          <w:tcPr>
            <w:tcW w:w="1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8" w14:textId="77777777" w:rsidR="00C1548D" w:rsidRDefault="009B1B4B">
            <w:pPr>
              <w:spacing w:line="250" w:lineRule="auto"/>
            </w:pPr>
            <w:r>
              <w:rPr>
                <w:sz w:val="18"/>
                <w:szCs w:val="18"/>
              </w:rPr>
              <w:t>Entfällt (kein Aufenthaltsstatus)</w:t>
            </w:r>
          </w:p>
        </w:tc>
        <w:tc>
          <w:tcPr>
            <w:tcW w:w="17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9" w14:textId="77777777" w:rsidR="00C1548D" w:rsidRDefault="009B1B4B">
            <w:pPr>
              <w:spacing w:line="250" w:lineRule="auto"/>
            </w:pPr>
            <w:r>
              <w:rPr>
                <w:sz w:val="18"/>
                <w:szCs w:val="18"/>
              </w:rPr>
              <w:t>Nein</w:t>
            </w:r>
          </w:p>
        </w:tc>
        <w:tc>
          <w:tcPr>
            <w:tcW w:w="1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A" w14:textId="77777777" w:rsidR="00C1548D" w:rsidRDefault="009B1B4B">
            <w:pPr>
              <w:spacing w:line="250" w:lineRule="auto"/>
            </w:pPr>
            <w:r>
              <w:rPr>
                <w:sz w:val="18"/>
                <w:szCs w:val="18"/>
              </w:rPr>
              <w:t>40 $ (ESTA) bzw. 185 $ (B-1-Visum)</w:t>
            </w:r>
          </w:p>
        </w:tc>
      </w:tr>
      <w:tr w:rsidR="00C1548D" w14:paraId="70A4C73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C" w14:textId="77777777" w:rsidR="00C1548D" w:rsidRDefault="009B1B4B">
            <w:pPr>
              <w:spacing w:line="250" w:lineRule="auto"/>
            </w:pPr>
            <w:r>
              <w:rPr>
                <w:sz w:val="18"/>
                <w:szCs w:val="18"/>
              </w:rPr>
              <w:t>Heirat / K-1</w:t>
            </w:r>
          </w:p>
        </w:tc>
        <w:tc>
          <w:tcPr>
            <w:tcW w:w="1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D" w14:textId="77777777" w:rsidR="00C1548D" w:rsidRDefault="009B1B4B">
            <w:pPr>
              <w:spacing w:line="250" w:lineRule="auto"/>
            </w:pPr>
            <w:r>
              <w:rPr>
                <w:sz w:val="18"/>
                <w:szCs w:val="18"/>
              </w:rPr>
              <w:t>Entfällt, du bist der Partner</w:t>
            </w:r>
          </w:p>
        </w:tc>
        <w:tc>
          <w:tcPr>
            <w:tcW w:w="17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E" w14:textId="77777777" w:rsidR="00C1548D" w:rsidRDefault="009B1B4B">
            <w:pPr>
              <w:spacing w:line="250" w:lineRule="auto"/>
            </w:pPr>
            <w:r>
              <w:rPr>
                <w:sz w:val="18"/>
                <w:szCs w:val="18"/>
              </w:rPr>
              <w:t>Ist der Weg selbst</w:t>
            </w:r>
          </w:p>
        </w:tc>
        <w:tc>
          <w:tcPr>
            <w:tcW w:w="1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2F" w14:textId="77777777" w:rsidR="00C1548D" w:rsidRDefault="009B1B4B">
            <w:pPr>
              <w:spacing w:line="250" w:lineRule="auto"/>
            </w:pPr>
            <w:r>
              <w:rPr>
                <w:sz w:val="18"/>
                <w:szCs w:val="18"/>
              </w:rPr>
              <w:t>Rund 2.000–3.000 $ an Behördengebühren für Antrag und Statusanpassung</w:t>
            </w:r>
          </w:p>
        </w:tc>
      </w:tr>
      <w:tr w:rsidR="00C1548D" w14:paraId="70A4C73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31" w14:textId="77777777" w:rsidR="00C1548D" w:rsidRDefault="009B1B4B">
            <w:pPr>
              <w:spacing w:line="250" w:lineRule="auto"/>
            </w:pPr>
            <w:r>
              <w:rPr>
                <w:sz w:val="18"/>
                <w:szCs w:val="18"/>
              </w:rPr>
              <w:t>Green Card über Arbeitgeber</w:t>
            </w:r>
          </w:p>
        </w:tc>
        <w:tc>
          <w:tcPr>
            <w:tcW w:w="1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32" w14:textId="77777777" w:rsidR="00C1548D" w:rsidRDefault="009B1B4B">
            <w:pPr>
              <w:spacing w:line="250" w:lineRule="auto"/>
            </w:pPr>
            <w:r>
              <w:rPr>
                <w:sz w:val="18"/>
                <w:szCs w:val="18"/>
              </w:rPr>
              <w:t>Ja, frei, oder mit eigener Arbeitserlaubnis während das Verfahren läuft</w:t>
            </w:r>
          </w:p>
        </w:tc>
        <w:tc>
          <w:tcPr>
            <w:tcW w:w="17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33" w14:textId="77777777" w:rsidR="00C1548D" w:rsidRDefault="009B1B4B">
            <w:pPr>
              <w:spacing w:line="250" w:lineRule="auto"/>
            </w:pPr>
            <w:r>
              <w:rPr>
                <w:sz w:val="18"/>
                <w:szCs w:val="18"/>
              </w:rPr>
              <w:t>Ist der Weg selbst</w:t>
            </w:r>
          </w:p>
        </w:tc>
        <w:tc>
          <w:tcPr>
            <w:tcW w:w="1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34" w14:textId="77777777" w:rsidR="00C1548D" w:rsidRDefault="009B1B4B">
            <w:pPr>
              <w:spacing w:line="250" w:lineRule="auto"/>
            </w:pPr>
            <w:r>
              <w:rPr>
                <w:sz w:val="18"/>
                <w:szCs w:val="18"/>
              </w:rPr>
              <w:t>Arbeitgeber trägt PERM und I-140; du zahlst 1.440 $ je Erwachsenem für die Statusanpassung</w:t>
            </w:r>
          </w:p>
        </w:tc>
      </w:tr>
    </w:tbl>
    <w:p w14:paraId="70A4C736"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739"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737" w14:textId="77777777" w:rsidR="00C1548D" w:rsidRDefault="009B1B4B">
            <w:pPr>
              <w:keepNext/>
              <w:spacing w:after="70" w:line="240" w:lineRule="auto"/>
            </w:pPr>
            <w:r>
              <w:rPr>
                <w:b/>
                <w:bCs/>
                <w:color w:val="4A5568"/>
                <w:spacing w:val="24"/>
                <w:sz w:val="16"/>
                <w:szCs w:val="16"/>
              </w:rPr>
              <w:t>PRAXISBEISPIEL · FIKTIV</w:t>
            </w:r>
          </w:p>
          <w:p w14:paraId="70A4C738" w14:textId="77777777" w:rsidR="00C1548D" w:rsidRDefault="009B1B4B">
            <w:pPr>
              <w:spacing w:after="80" w:line="264" w:lineRule="auto"/>
            </w:pPr>
            <w:r>
              <w:rPr>
                <w:sz w:val="20"/>
                <w:szCs w:val="20"/>
              </w:rPr>
              <w:t xml:space="preserve">Familie Brandt prüfte zu Beginn drei Wege. Markus’ Arbeitgeber hatte zwar eine US-Tochter, aber Markus selbst hatte dort noch kein Jahr gearbeitet – für L-1 fehlte damit die Voraussetzung. Ein Studium kam für die vierköpfige Familie nicht infrage. Blieb der Direktweg: Registrierung zur H-1B-Lotterie im ersten Jahr ohne Losglück, die Absage kam nüchtern per E-Mail an einem gewöhnlichen Dienstagabend, im zweiten Anlauf dann die Zusage. Anna erhielt H-4 ohne Arbeitserlaubnis. Die Familie plant den Wechsel zur </w:t>
            </w:r>
            <w:r>
              <w:rPr>
                <w:sz w:val="20"/>
                <w:szCs w:val="20"/>
              </w:rPr>
              <w:t>Green Card über Markus’ Arbeitgeber, sobald der H-1B-Status gesichert ist.</w:t>
            </w:r>
          </w:p>
        </w:tc>
      </w:tr>
    </w:tbl>
    <w:p w14:paraId="70A4C73A" w14:textId="77777777" w:rsidR="00C1548D" w:rsidRDefault="00C1548D">
      <w:pPr>
        <w:spacing w:line="220" w:lineRule="exact"/>
      </w:pPr>
    </w:p>
    <w:p w14:paraId="70A4C73B" w14:textId="77777777" w:rsidR="00C1548D" w:rsidRDefault="009B1B4B">
      <w:pPr>
        <w:pStyle w:val="Heading3"/>
        <w:keepNext/>
        <w:jc w:val="center"/>
      </w:pPr>
      <w:r>
        <w:rPr>
          <w:rFonts w:ascii="Amazon Ember" w:eastAsia="Amazon Ember" w:hAnsi="Amazon Ember" w:cs="Amazon Ember"/>
          <w:color w:val="0000FF"/>
          <w:sz w:val="36"/>
          <w:szCs w:val="36"/>
        </w:rPr>
        <w:t>Realistische Zeitpläne</w:t>
      </w:r>
    </w:p>
    <w:p w14:paraId="70A4C73C" w14:textId="77777777" w:rsidR="00C1548D" w:rsidRDefault="009B1B4B">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9"/>
        <w:gridCol w:w="4551"/>
      </w:tblGrid>
      <w:tr w:rsidR="00C1548D" w14:paraId="70A4C73F" w14:textId="77777777">
        <w:tblPrEx>
          <w:tblCellMar>
            <w:top w:w="0" w:type="dxa"/>
            <w:bottom w:w="0" w:type="dxa"/>
          </w:tblCellMar>
        </w:tblPrEx>
        <w:trPr>
          <w:cantSplit/>
          <w:tblHeader/>
        </w:trPr>
        <w:tc>
          <w:tcPr>
            <w:tcW w:w="192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3D" w14:textId="77777777" w:rsidR="00C1548D" w:rsidRDefault="009B1B4B">
            <w:pPr>
              <w:spacing w:line="250" w:lineRule="auto"/>
            </w:pPr>
            <w:r>
              <w:rPr>
                <w:b/>
                <w:bCs/>
                <w:sz w:val="18"/>
                <w:szCs w:val="18"/>
              </w:rPr>
              <w:lastRenderedPageBreak/>
              <w:t>Weg</w:t>
            </w:r>
          </w:p>
        </w:tc>
        <w:tc>
          <w:tcPr>
            <w:tcW w:w="455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3E" w14:textId="77777777" w:rsidR="00C1548D" w:rsidRDefault="009B1B4B">
            <w:pPr>
              <w:spacing w:line="250" w:lineRule="auto"/>
            </w:pPr>
            <w:r>
              <w:rPr>
                <w:b/>
                <w:bCs/>
                <w:sz w:val="18"/>
                <w:szCs w:val="18"/>
              </w:rPr>
              <w:t>Realistischer Zeitplan</w:t>
            </w:r>
          </w:p>
        </w:tc>
      </w:tr>
      <w:tr w:rsidR="00C1548D" w14:paraId="70A4C742" w14:textId="77777777">
        <w:tblPrEx>
          <w:tblCellMar>
            <w:top w:w="0" w:type="dxa"/>
            <w:bottom w:w="0" w:type="dxa"/>
          </w:tblCellMar>
        </w:tblPrEx>
        <w:trPr>
          <w:cantSplit/>
        </w:trPr>
        <w:tc>
          <w:tcPr>
            <w:tcW w:w="19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40" w14:textId="77777777" w:rsidR="00C1548D" w:rsidRDefault="009B1B4B">
            <w:pPr>
              <w:spacing w:line="250" w:lineRule="auto"/>
            </w:pPr>
            <w:r>
              <w:rPr>
                <w:sz w:val="18"/>
                <w:szCs w:val="18"/>
              </w:rPr>
              <w:t>H-1B über Arbeitgeber</w:t>
            </w:r>
          </w:p>
        </w:tc>
        <w:tc>
          <w:tcPr>
            <w:tcW w:w="45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41" w14:textId="77777777" w:rsidR="00C1548D" w:rsidRDefault="009B1B4B">
            <w:pPr>
              <w:spacing w:line="250" w:lineRule="auto"/>
            </w:pPr>
            <w:r>
              <w:rPr>
                <w:sz w:val="18"/>
                <w:szCs w:val="18"/>
              </w:rPr>
              <w:t>Registrierung im März, Auswahl bis Ende März, Petition ab 1. April, Start 1. Oktober; oft erst im zweiten oder dritten Lotteriejahr ein Treffer</w:t>
            </w:r>
          </w:p>
        </w:tc>
      </w:tr>
      <w:tr w:rsidR="00C1548D" w14:paraId="70A4C745" w14:textId="77777777">
        <w:tblPrEx>
          <w:tblCellMar>
            <w:top w:w="0" w:type="dxa"/>
            <w:bottom w:w="0" w:type="dxa"/>
          </w:tblCellMar>
        </w:tblPrEx>
        <w:trPr>
          <w:cantSplit/>
        </w:trPr>
        <w:tc>
          <w:tcPr>
            <w:tcW w:w="19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43" w14:textId="77777777" w:rsidR="00C1548D" w:rsidRDefault="009B1B4B">
            <w:pPr>
              <w:spacing w:line="250" w:lineRule="auto"/>
            </w:pPr>
            <w:r>
              <w:rPr>
                <w:sz w:val="18"/>
                <w:szCs w:val="18"/>
              </w:rPr>
              <w:t>L-1 (Konzernversetzung)</w:t>
            </w:r>
          </w:p>
        </w:tc>
        <w:tc>
          <w:tcPr>
            <w:tcW w:w="45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44" w14:textId="77777777" w:rsidR="00C1548D" w:rsidRDefault="009B1B4B">
            <w:pPr>
              <w:spacing w:line="250" w:lineRule="auto"/>
            </w:pPr>
            <w:r>
              <w:rPr>
                <w:sz w:val="18"/>
                <w:szCs w:val="18"/>
              </w:rPr>
              <w:t>Meist einige Monate ab der Entscheidung des Konzerns; kein Losverfahren, oft der schnellste Weg</w:t>
            </w:r>
          </w:p>
        </w:tc>
      </w:tr>
      <w:tr w:rsidR="00C1548D" w14:paraId="70A4C748" w14:textId="77777777">
        <w:tblPrEx>
          <w:tblCellMar>
            <w:top w:w="0" w:type="dxa"/>
            <w:bottom w:w="0" w:type="dxa"/>
          </w:tblCellMar>
        </w:tblPrEx>
        <w:trPr>
          <w:cantSplit/>
        </w:trPr>
        <w:tc>
          <w:tcPr>
            <w:tcW w:w="19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46" w14:textId="77777777" w:rsidR="00C1548D" w:rsidRDefault="009B1B4B">
            <w:pPr>
              <w:spacing w:line="250" w:lineRule="auto"/>
            </w:pPr>
            <w:r>
              <w:rPr>
                <w:sz w:val="18"/>
                <w:szCs w:val="18"/>
              </w:rPr>
              <w:t>F-1 → OPT → H-1B</w:t>
            </w:r>
          </w:p>
        </w:tc>
        <w:tc>
          <w:tcPr>
            <w:tcW w:w="45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47" w14:textId="77777777" w:rsidR="00C1548D" w:rsidRDefault="009B1B4B">
            <w:pPr>
              <w:spacing w:line="250" w:lineRule="auto"/>
            </w:pPr>
            <w:r>
              <w:rPr>
                <w:sz w:val="18"/>
                <w:szCs w:val="18"/>
              </w:rPr>
              <w:t>Bewerbung rund ein Jahr vorher, Studium 1–2 Jahre, danach OPT und STEM-OPT mit bis zu drei bis vier H-1B-Losrunden: realistisch 3–6 Jahre bis zum gesicherten Arbeitsstatus</w:t>
            </w:r>
          </w:p>
        </w:tc>
      </w:tr>
      <w:tr w:rsidR="00C1548D" w14:paraId="70A4C74B" w14:textId="77777777">
        <w:tblPrEx>
          <w:tblCellMar>
            <w:top w:w="0" w:type="dxa"/>
            <w:bottom w:w="0" w:type="dxa"/>
          </w:tblCellMar>
        </w:tblPrEx>
        <w:trPr>
          <w:cantSplit/>
        </w:trPr>
        <w:tc>
          <w:tcPr>
            <w:tcW w:w="19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49" w14:textId="77777777" w:rsidR="00C1548D" w:rsidRDefault="009B1B4B">
            <w:pPr>
              <w:spacing w:line="250" w:lineRule="auto"/>
            </w:pPr>
            <w:r>
              <w:rPr>
                <w:sz w:val="18"/>
                <w:szCs w:val="18"/>
              </w:rPr>
              <w:t>E-2 (Investition)</w:t>
            </w:r>
          </w:p>
        </w:tc>
        <w:tc>
          <w:tcPr>
            <w:tcW w:w="45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4A" w14:textId="77777777" w:rsidR="00C1548D" w:rsidRDefault="009B1B4B">
            <w:pPr>
              <w:spacing w:line="250" w:lineRule="auto"/>
            </w:pPr>
            <w:r>
              <w:rPr>
                <w:sz w:val="18"/>
                <w:szCs w:val="18"/>
              </w:rPr>
              <w:t>Geschäftsplan und Kapitalnachweis vorbereiten, dann Antrag: oft 6–12 Monate</w:t>
            </w:r>
          </w:p>
        </w:tc>
      </w:tr>
      <w:tr w:rsidR="00C1548D" w14:paraId="70A4C74E" w14:textId="77777777">
        <w:tblPrEx>
          <w:tblCellMar>
            <w:top w:w="0" w:type="dxa"/>
            <w:bottom w:w="0" w:type="dxa"/>
          </w:tblCellMar>
        </w:tblPrEx>
        <w:trPr>
          <w:cantSplit/>
        </w:trPr>
        <w:tc>
          <w:tcPr>
            <w:tcW w:w="19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4C" w14:textId="77777777" w:rsidR="00C1548D" w:rsidRDefault="009B1B4B">
            <w:pPr>
              <w:spacing w:line="250" w:lineRule="auto"/>
            </w:pPr>
            <w:r>
              <w:rPr>
                <w:sz w:val="18"/>
                <w:szCs w:val="18"/>
              </w:rPr>
              <w:t>O-1 (Spitzenleistung)</w:t>
            </w:r>
          </w:p>
        </w:tc>
        <w:tc>
          <w:tcPr>
            <w:tcW w:w="45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4D" w14:textId="77777777" w:rsidR="00C1548D" w:rsidRDefault="009B1B4B">
            <w:pPr>
              <w:spacing w:line="250" w:lineRule="auto"/>
            </w:pPr>
            <w:r>
              <w:rPr>
                <w:sz w:val="18"/>
                <w:szCs w:val="18"/>
              </w:rPr>
              <w:t>Belegsammlung ist der Flaschenhals: oft 6–12 Monate Vorbereitung, danach zügige Bearbeitung</w:t>
            </w:r>
          </w:p>
        </w:tc>
      </w:tr>
      <w:tr w:rsidR="00C1548D" w14:paraId="70A4C751" w14:textId="77777777">
        <w:tblPrEx>
          <w:tblCellMar>
            <w:top w:w="0" w:type="dxa"/>
            <w:bottom w:w="0" w:type="dxa"/>
          </w:tblCellMar>
        </w:tblPrEx>
        <w:trPr>
          <w:cantSplit/>
        </w:trPr>
        <w:tc>
          <w:tcPr>
            <w:tcW w:w="19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4F" w14:textId="77777777" w:rsidR="00C1548D" w:rsidRDefault="009B1B4B">
            <w:pPr>
              <w:spacing w:line="250" w:lineRule="auto"/>
            </w:pPr>
            <w:r>
              <w:rPr>
                <w:sz w:val="18"/>
                <w:szCs w:val="18"/>
              </w:rPr>
              <w:t>Green Card über PERM</w:t>
            </w:r>
          </w:p>
        </w:tc>
        <w:tc>
          <w:tcPr>
            <w:tcW w:w="45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50" w14:textId="77777777" w:rsidR="00C1548D" w:rsidRDefault="009B1B4B">
            <w:pPr>
              <w:spacing w:line="250" w:lineRule="auto"/>
            </w:pPr>
            <w:r>
              <w:rPr>
                <w:sz w:val="18"/>
                <w:szCs w:val="18"/>
              </w:rPr>
              <w:t>Arbeitsmarktprüfung, PERM-Prüfung, I-140, dann I-485 oder Konsulat: rund 2,5–4,5 Jahre ab PERM-Start</w:t>
            </w:r>
          </w:p>
        </w:tc>
      </w:tr>
      <w:tr w:rsidR="00C1548D" w14:paraId="70A4C754" w14:textId="77777777">
        <w:tblPrEx>
          <w:tblCellMar>
            <w:top w:w="0" w:type="dxa"/>
            <w:bottom w:w="0" w:type="dxa"/>
          </w:tblCellMar>
        </w:tblPrEx>
        <w:trPr>
          <w:cantSplit/>
        </w:trPr>
        <w:tc>
          <w:tcPr>
            <w:tcW w:w="19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52" w14:textId="77777777" w:rsidR="00C1548D" w:rsidRDefault="009B1B4B">
            <w:pPr>
              <w:spacing w:line="250" w:lineRule="auto"/>
            </w:pPr>
            <w:r>
              <w:rPr>
                <w:sz w:val="18"/>
                <w:szCs w:val="18"/>
              </w:rPr>
              <w:t>Green Card durch Heirat</w:t>
            </w:r>
          </w:p>
        </w:tc>
        <w:tc>
          <w:tcPr>
            <w:tcW w:w="45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53" w14:textId="77777777" w:rsidR="00C1548D" w:rsidRDefault="009B1B4B">
            <w:pPr>
              <w:spacing w:line="250" w:lineRule="auto"/>
            </w:pPr>
            <w:r>
              <w:rPr>
                <w:sz w:val="18"/>
                <w:szCs w:val="18"/>
              </w:rPr>
              <w:t>Petition plus Konsularverfahren: rund 20–24 Monate; bei Antrag im Inland oft etwas schneller</w:t>
            </w:r>
          </w:p>
        </w:tc>
      </w:tr>
    </w:tbl>
    <w:p w14:paraId="70A4C755"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758"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756" w14:textId="77777777" w:rsidR="00C1548D" w:rsidRDefault="009B1B4B">
            <w:pPr>
              <w:keepNext/>
              <w:spacing w:after="70" w:line="240" w:lineRule="auto"/>
            </w:pPr>
            <w:r>
              <w:rPr>
                <w:b/>
                <w:bCs/>
                <w:color w:val="8A6212"/>
                <w:spacing w:val="24"/>
                <w:sz w:val="16"/>
                <w:szCs w:val="16"/>
              </w:rPr>
              <w:t>MERKE</w:t>
            </w:r>
          </w:p>
          <w:p w14:paraId="70A4C757" w14:textId="35353EFA" w:rsidR="00C1548D" w:rsidRDefault="009B1B4B">
            <w:pPr>
              <w:spacing w:after="80" w:line="264" w:lineRule="auto"/>
            </w:pPr>
            <w:r>
              <w:rPr>
                <w:sz w:val="20"/>
                <w:szCs w:val="20"/>
              </w:rPr>
              <w:t>Es gibt nicht den einen Weg in die USA, sondern für jede Lebenslage einen anderen. Die Kapitel </w:t>
            </w:r>
            <w:hyperlink w:anchor="k5" w:history="1">
              <w:r>
                <w:rPr>
                  <w:sz w:val="20"/>
                  <w:szCs w:val="20"/>
                </w:rPr>
                <w:t>5</w:t>
              </w:r>
            </w:hyperlink>
            <w:r>
              <w:rPr>
                <w:sz w:val="20"/>
                <w:szCs w:val="20"/>
              </w:rPr>
              <w:t xml:space="preserve"> bis </w:t>
            </w:r>
            <w:hyperlink w:anchor="k11" w:history="1">
              <w:r>
                <w:rPr>
                  <w:sz w:val="20"/>
                  <w:szCs w:val="20"/>
                </w:rPr>
                <w:t>11</w:t>
              </w:r>
            </w:hyperlink>
            <w:r>
              <w:rPr>
                <w:sz w:val="20"/>
                <w:szCs w:val="20"/>
              </w:rPr>
              <w:t xml:space="preserve"> gehen jeden im Detail durch; dieses Kapitel hilft dir nur, den passenden zu finden, bevor du dort weiterliest.</w:t>
            </w:r>
          </w:p>
        </w:tc>
      </w:tr>
    </w:tbl>
    <w:p w14:paraId="70A4C759"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75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75A" w14:textId="77777777" w:rsidR="00C1548D" w:rsidRDefault="009B1B4B">
            <w:pPr>
              <w:keepNext/>
              <w:spacing w:after="70" w:line="240" w:lineRule="auto"/>
            </w:pPr>
            <w:r>
              <w:rPr>
                <w:b/>
                <w:bCs/>
                <w:color w:val="9B2C2C"/>
                <w:spacing w:val="24"/>
                <w:sz w:val="16"/>
                <w:szCs w:val="16"/>
              </w:rPr>
              <w:t>ACHTUNG</w:t>
            </w:r>
          </w:p>
          <w:p w14:paraId="70A4C75B" w14:textId="265C4C63" w:rsidR="00C1548D" w:rsidRDefault="009B1B4B">
            <w:pPr>
              <w:spacing w:after="80" w:line="264" w:lineRule="auto"/>
            </w:pPr>
            <w:r>
              <w:rPr>
                <w:sz w:val="20"/>
                <w:szCs w:val="20"/>
              </w:rPr>
              <w:t>Regeln und Gebühren dieses Kapitels ändern sich 2026 besonders schnell. Mehrere Gerichtsverfahren zur H-1B-Zusatzgebühr und zur festen Aufenthaltsdauer bei F-1/J-1 laufen parallel (Kapitel </w:t>
            </w:r>
            <w:hyperlink w:anchor="k5" w:history="1">
              <w:r>
                <w:rPr>
                  <w:sz w:val="20"/>
                  <w:szCs w:val="20"/>
                </w:rPr>
                <w:t>5</w:t>
              </w:r>
            </w:hyperlink>
            <w:r>
              <w:rPr>
                <w:sz w:val="20"/>
                <w:szCs w:val="20"/>
              </w:rPr>
              <w:t xml:space="preserve"> und </w:t>
            </w:r>
            <w:hyperlink w:anchor="k8" w:history="1">
              <w:r>
                <w:rPr>
                  <w:sz w:val="20"/>
                  <w:szCs w:val="20"/>
                </w:rPr>
                <w:t>8</w:t>
              </w:r>
            </w:hyperlink>
            <w:r>
              <w:rPr>
                <w:sz w:val="20"/>
                <w:szCs w:val="20"/>
              </w:rPr>
              <w:t xml:space="preserve"> nennen den Stand). Verlass dich nie auf einen Zeitungsartikel von vor einem Jahr; prüfe uscis.gov und die Kanzlei deines Arbeitgebers vor jeder Entscheidung.</w:t>
            </w:r>
          </w:p>
        </w:tc>
      </w:tr>
    </w:tbl>
    <w:p w14:paraId="70A4C75D" w14:textId="77777777" w:rsidR="00C1548D" w:rsidRDefault="00C1548D">
      <w:pPr>
        <w:spacing w:line="220" w:lineRule="exact"/>
      </w:pPr>
    </w:p>
    <w:p w14:paraId="70A4C75E"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761"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5F"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60" w14:textId="77777777" w:rsidR="00C1548D" w:rsidRDefault="009B1B4B">
            <w:pPr>
              <w:spacing w:line="250" w:lineRule="auto"/>
            </w:pPr>
            <w:r>
              <w:rPr>
                <w:b/>
                <w:bCs/>
                <w:sz w:val="18"/>
                <w:szCs w:val="18"/>
              </w:rPr>
              <w:t>Minus</w:t>
            </w:r>
          </w:p>
        </w:tc>
      </w:tr>
      <w:tr w:rsidR="00C1548D" w14:paraId="70A4C76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62" w14:textId="77777777" w:rsidR="00C1548D" w:rsidRDefault="009B1B4B">
            <w:pPr>
              <w:spacing w:line="250" w:lineRule="auto"/>
            </w:pPr>
            <w:r>
              <w:rPr>
                <w:sz w:val="18"/>
                <w:szCs w:val="18"/>
              </w:rPr>
              <w:t>Ein Weg über den Arbeitgeber (H-1B, L-1) verlagert einen Großteil von Kosten und Bürokratie auf die Firma</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63" w14:textId="77777777" w:rsidR="00C1548D" w:rsidRDefault="009B1B4B">
            <w:pPr>
              <w:spacing w:line="250" w:lineRule="auto"/>
            </w:pPr>
            <w:r>
              <w:rPr>
                <w:sz w:val="18"/>
                <w:szCs w:val="18"/>
              </w:rPr>
              <w:t>Du bist an den Sponsor gebunden, oft über Jahre</w:t>
            </w:r>
          </w:p>
        </w:tc>
      </w:tr>
      <w:tr w:rsidR="00C1548D" w14:paraId="70A4C76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65" w14:textId="77777777" w:rsidR="00C1548D" w:rsidRDefault="009B1B4B">
            <w:pPr>
              <w:spacing w:line="250" w:lineRule="auto"/>
            </w:pPr>
            <w:r>
              <w:rPr>
                <w:sz w:val="18"/>
                <w:szCs w:val="18"/>
              </w:rPr>
              <w:t>Der Studienweg eröffnet mehrere Chancen auf die H-1B-Lotterie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66" w14:textId="77777777" w:rsidR="00C1548D" w:rsidRDefault="009B1B4B">
            <w:pPr>
              <w:spacing w:line="250" w:lineRule="auto"/>
            </w:pPr>
            <w:r>
              <w:rPr>
                <w:sz w:val="18"/>
                <w:szCs w:val="18"/>
              </w:rPr>
              <w:t>Er kostet zwei Jahre Studiengebühren und Lebenshaltung ohne Garantie auf ein Arbeitsvisum</w:t>
            </w:r>
          </w:p>
        </w:tc>
      </w:tr>
      <w:tr w:rsidR="00C1548D" w14:paraId="70A4C76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68" w14:textId="77777777" w:rsidR="00C1548D" w:rsidRDefault="009B1B4B">
            <w:pPr>
              <w:spacing w:line="250" w:lineRule="auto"/>
            </w:pPr>
            <w:r>
              <w:rPr>
                <w:sz w:val="18"/>
                <w:szCs w:val="18"/>
              </w:rPr>
              <w:t>Eigene Wege wie E-2 oder O-1 machen dich unabhängig vom Arbeitgeber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69" w14:textId="77777777" w:rsidR="00C1548D" w:rsidRDefault="009B1B4B">
            <w:pPr>
              <w:spacing w:line="250" w:lineRule="auto"/>
            </w:pPr>
            <w:r>
              <w:rPr>
                <w:sz w:val="18"/>
                <w:szCs w:val="18"/>
              </w:rPr>
              <w:t>Beide verlangen Kapital oder außergewöhnliche Nachweise, die nur wenige erfüllen</w:t>
            </w:r>
          </w:p>
        </w:tc>
      </w:tr>
      <w:tr w:rsidR="00C1548D" w14:paraId="70A4C76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6B" w14:textId="77777777" w:rsidR="00C1548D" w:rsidRDefault="009B1B4B">
            <w:pPr>
              <w:spacing w:line="250" w:lineRule="auto"/>
            </w:pPr>
            <w:r>
              <w:rPr>
                <w:sz w:val="18"/>
                <w:szCs w:val="18"/>
              </w:rPr>
              <w:t>Dual Intent bei H-1B und L-1 erlaubt, früh an die Green Card zu denken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6C" w14:textId="77777777" w:rsidR="00C1548D" w:rsidRDefault="009B1B4B">
            <w:pPr>
              <w:spacing w:line="250" w:lineRule="auto"/>
            </w:pPr>
            <w:r>
              <w:rPr>
                <w:sz w:val="18"/>
                <w:szCs w:val="18"/>
              </w:rPr>
              <w:t>Reine Besuchs-, Studien- und Austauschvisa erlauben das ausdrücklich nicht</w:t>
            </w:r>
          </w:p>
        </w:tc>
      </w:tr>
      <w:tr w:rsidR="00C1548D" w14:paraId="70A4C77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6E" w14:textId="77777777" w:rsidR="00C1548D" w:rsidRDefault="009B1B4B">
            <w:pPr>
              <w:spacing w:line="250" w:lineRule="auto"/>
            </w:pPr>
            <w:r>
              <w:rPr>
                <w:sz w:val="18"/>
                <w:szCs w:val="18"/>
              </w:rPr>
              <w:t>Mehrere Wege parallel im Blick zu behalten erhöht die Erfolgschance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6F" w14:textId="77777777" w:rsidR="00C1548D" w:rsidRDefault="009B1B4B">
            <w:pPr>
              <w:spacing w:line="250" w:lineRule="auto"/>
            </w:pPr>
            <w:r>
              <w:rPr>
                <w:sz w:val="18"/>
                <w:szCs w:val="18"/>
              </w:rPr>
              <w:t>Mehrgleisigkeit kostet Zeit, Geld und zusätzliche Anwaltsstunden</w:t>
            </w:r>
          </w:p>
        </w:tc>
      </w:tr>
    </w:tbl>
    <w:p w14:paraId="70A4C771" w14:textId="77777777" w:rsidR="00C1548D" w:rsidRDefault="00C1548D">
      <w:pPr>
        <w:spacing w:line="180" w:lineRule="exact"/>
      </w:pPr>
    </w:p>
    <w:p w14:paraId="70A4C772"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C773" w14:textId="4804770A" w:rsidR="00C1548D" w:rsidRDefault="009B1B4B">
      <w:pPr>
        <w:spacing w:after="140"/>
      </w:pPr>
      <w:r>
        <w:t>Ordne deine Situation grob in eine der sieben Zeilen des Entscheidungsbaums ein und lies das dort genannte Kapitel vollständig, bevor du eine Vorentscheidung triffst. Rechne parallel mit Kapitel </w:t>
      </w:r>
      <w:hyperlink w:anchor="k3" w:history="1">
        <w:r>
          <w:t>3</w:t>
        </w:r>
      </w:hyperlink>
      <w:r>
        <w:t xml:space="preserve"> durch, ob sich der Aufwand für dich finanziell und persönlich lohnt. Wenn du eine Familie mitnimmst, lies Kapitel </w:t>
      </w:r>
      <w:hyperlink w:anchor="k10" w:history="1">
        <w:r>
          <w:t>10</w:t>
        </w:r>
      </w:hyperlink>
      <w:r>
        <w:t xml:space="preserve"> zur Arbeitserlaubnis deines Partners, bevor du dich auf einen Weg festlegst – der Unterschied zwischen L-2 (Partner arbeitet sofort) und F-2 oder O-3 (Partner arbeitet gar nicht) verändert oft die ganze Rechnung. Kapitel </w:t>
      </w:r>
      <w:hyperlink w:anchor="k11" w:history="1">
        <w:r>
          <w:t>11</w:t>
        </w:r>
      </w:hyperlink>
      <w:r>
        <w:t xml:space="preserve"> zeigt danach, wie Antrag, Konsulat und Anwalt zusammenspielen, unabhängig davon, welchen Weg du wählst.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77D"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774" w14:textId="77777777" w:rsidR="00C1548D" w:rsidRDefault="009B1B4B">
            <w:pPr>
              <w:keepNext/>
              <w:spacing w:after="70" w:line="240" w:lineRule="auto"/>
            </w:pPr>
            <w:r>
              <w:rPr>
                <w:b/>
                <w:bCs/>
                <w:color w:val="1F6F78"/>
                <w:spacing w:val="24"/>
                <w:sz w:val="16"/>
                <w:szCs w:val="16"/>
              </w:rPr>
              <w:lastRenderedPageBreak/>
              <w:t>CHECKLISTE</w:t>
            </w:r>
          </w:p>
          <w:p w14:paraId="70A4C77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Ich habe meine Situation im Entscheidungsbaum eingeordnet (Jobangebot, Studium, Investition, Spitzenleistung, Partner, Besuch).</w:t>
            </w:r>
          </w:p>
          <w:p w14:paraId="70A4C77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Ich habe das passende Detailkapitel (5 bis 9) vollständig gelesen.</w:t>
            </w:r>
          </w:p>
          <w:p w14:paraId="70A4C77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Ich verstehe den Unterschied zwischen Visum und Status.</w:t>
            </w:r>
          </w:p>
          <w:p w14:paraId="70A4C77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Ich weiß, ob mein Weg Dual Intent erlaubt oder ob ich eine Rückkehrabsicht nachweisen muss.</w:t>
            </w:r>
          </w:p>
          <w:p w14:paraId="70A4C77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Ich habe realistische Zeit- und Kostenrahmen für meinen Weg notiert.</w:t>
            </w:r>
          </w:p>
          <w:p w14:paraId="70A4C77A" w14:textId="33B6574C"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Ich habe geprüft, ob und wie mein Partner arbeiten darf (Kapitel </w:t>
            </w:r>
            <w:hyperlink w:anchor="k10" w:history="1">
              <w:r>
                <w:rPr>
                  <w:sz w:val="20"/>
                  <w:szCs w:val="20"/>
                </w:rPr>
                <w:t>10</w:t>
              </w:r>
            </w:hyperlink>
            <w:r>
              <w:rPr>
                <w:sz w:val="20"/>
                <w:szCs w:val="20"/>
              </w:rPr>
              <w:t>).</w:t>
            </w:r>
          </w:p>
          <w:p w14:paraId="70A4C77B" w14:textId="2E22FCA8"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Ich habe mit Kapitel </w:t>
            </w:r>
            <w:hyperlink w:anchor="k3" w:history="1">
              <w:r>
                <w:rPr>
                  <w:sz w:val="20"/>
                  <w:szCs w:val="20"/>
                </w:rPr>
                <w:t>3</w:t>
              </w:r>
            </w:hyperlink>
            <w:r>
              <w:rPr>
                <w:sz w:val="20"/>
                <w:szCs w:val="20"/>
              </w:rPr>
              <w:t xml:space="preserve"> durchgerechnet, ob sich der Weg für mich lohnt.</w:t>
            </w:r>
          </w:p>
          <w:p w14:paraId="70A4C77C" w14:textId="2C9A5B61"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Ich habe geklärt, ob ich einen eigenen Anwalt brauche (Kapitel </w:t>
            </w:r>
            <w:hyperlink w:anchor="k11" w:history="1">
              <w:r>
                <w:rPr>
                  <w:sz w:val="20"/>
                  <w:szCs w:val="20"/>
                </w:rPr>
                <w:t>11</w:t>
              </w:r>
            </w:hyperlink>
            <w:r>
              <w:rPr>
                <w:sz w:val="20"/>
                <w:szCs w:val="20"/>
              </w:rPr>
              <w:t>).</w:t>
            </w:r>
          </w:p>
        </w:tc>
      </w:tr>
    </w:tbl>
    <w:p w14:paraId="70A4C77E" w14:textId="77777777" w:rsidR="00C1548D" w:rsidRDefault="00C1548D">
      <w:pPr>
        <w:spacing w:line="220" w:lineRule="exact"/>
      </w:pPr>
    </w:p>
    <w:p w14:paraId="70A4C77F"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780" w14:textId="5F583183" w:rsidR="00C1548D" w:rsidRDefault="009B1B4B" w:rsidP="009B1B4B">
      <w:pPr>
        <w:pStyle w:val="ListParagraph"/>
        <w:numPr>
          <w:ilvl w:val="0"/>
          <w:numId w:val="1"/>
        </w:numPr>
        <w:spacing w:after="60"/>
      </w:pPr>
      <w:r>
        <w:t>USCIS — Übersicht Arbeitsvisa (</w:t>
      </w:r>
      <w:hyperlink r:id="rId43" w:history="1">
        <w:r>
          <w:rPr>
            <w:color w:val="0563C1"/>
            <w:u w:val="single"/>
          </w:rPr>
          <w:t>uscis.gov/working-in-the-united-states</w:t>
        </w:r>
      </w:hyperlink>
      <w:r>
        <w:t>)</w:t>
      </w:r>
    </w:p>
    <w:p w14:paraId="70A4C781" w14:textId="516EE06C" w:rsidR="00C1548D" w:rsidRDefault="009B1B4B" w:rsidP="009B1B4B">
      <w:pPr>
        <w:pStyle w:val="ListParagraph"/>
        <w:numPr>
          <w:ilvl w:val="0"/>
          <w:numId w:val="1"/>
        </w:numPr>
        <w:spacing w:after="60"/>
      </w:pPr>
      <w:r>
        <w:t>USCIS — Übersicht Green Card und Kategorien (</w:t>
      </w:r>
      <w:hyperlink r:id="rId44" w:history="1">
        <w:r>
          <w:rPr>
            <w:color w:val="0563C1"/>
            <w:u w:val="single"/>
          </w:rPr>
          <w:t>uscis.gov/green-card</w:t>
        </w:r>
      </w:hyperlink>
      <w:r>
        <w:t>)</w:t>
      </w:r>
    </w:p>
    <w:p w14:paraId="70A4C782" w14:textId="3181F701" w:rsidR="00C1548D" w:rsidRDefault="009B1B4B" w:rsidP="009B1B4B">
      <w:pPr>
        <w:pStyle w:val="ListParagraph"/>
        <w:numPr>
          <w:ilvl w:val="0"/>
          <w:numId w:val="1"/>
        </w:numPr>
        <w:spacing w:after="60"/>
      </w:pPr>
      <w:r>
        <w:t>State Department — Visakategorien und Gebühren (</w:t>
      </w:r>
      <w:hyperlink r:id="rId45" w:history="1">
        <w:r>
          <w:rPr>
            <w:color w:val="0563C1"/>
            <w:u w:val="single"/>
          </w:rPr>
          <w:t>travel.state.gov/visa</w:t>
        </w:r>
      </w:hyperlink>
      <w:r>
        <w:t>)</w:t>
      </w:r>
    </w:p>
    <w:p w14:paraId="70A4C783" w14:textId="75C6A77E" w:rsidR="00C1548D" w:rsidRDefault="009B1B4B" w:rsidP="009B1B4B">
      <w:pPr>
        <w:pStyle w:val="ListParagraph"/>
        <w:numPr>
          <w:ilvl w:val="0"/>
          <w:numId w:val="1"/>
        </w:numPr>
        <w:spacing w:after="60"/>
      </w:pPr>
      <w:r>
        <w:t>State Department — monatliche Stichtage für die Green Card (</w:t>
      </w:r>
      <w:hyperlink r:id="rId46" w:history="1">
        <w:r>
          <w:rPr>
            <w:color w:val="0563C1"/>
            <w:u w:val="single"/>
          </w:rPr>
          <w:t>travel.state.gov/visa-bulletin</w:t>
        </w:r>
      </w:hyperlink>
      <w:r>
        <w:t>)</w:t>
      </w:r>
    </w:p>
    <w:p w14:paraId="70A4C784" w14:textId="6D8AD7E4" w:rsidR="00C1548D" w:rsidRDefault="009B1B4B" w:rsidP="009B1B4B">
      <w:pPr>
        <w:pStyle w:val="ListParagraph"/>
        <w:numPr>
          <w:ilvl w:val="0"/>
          <w:numId w:val="1"/>
        </w:numPr>
        <w:spacing w:after="60"/>
      </w:pPr>
      <w:r>
        <w:t>ICE — SEVIS-Gebühr und Studierendenstatus (</w:t>
      </w:r>
      <w:hyperlink r:id="rId47" w:history="1">
        <w:r>
          <w:rPr>
            <w:color w:val="0563C1"/>
            <w:u w:val="single"/>
          </w:rPr>
          <w:t>ice.gov/sevis</w:t>
        </w:r>
      </w:hyperlink>
      <w:r>
        <w:t>)</w:t>
      </w:r>
    </w:p>
    <w:p w14:paraId="70A4C785" w14:textId="65426A3E" w:rsidR="00C1548D" w:rsidRDefault="009B1B4B" w:rsidP="009B1B4B">
      <w:pPr>
        <w:pStyle w:val="ListParagraph"/>
        <w:numPr>
          <w:ilvl w:val="0"/>
          <w:numId w:val="1"/>
        </w:numPr>
        <w:spacing w:after="60"/>
      </w:pPr>
      <w:r>
        <w:t>CBP — ESTA und Visa Waiver Program (</w:t>
      </w:r>
      <w:hyperlink r:id="rId48" w:history="1">
        <w:r>
          <w:rPr>
            <w:color w:val="0563C1"/>
            <w:u w:val="single"/>
          </w:rPr>
          <w:t>cbp.gov/travel</w:t>
        </w:r>
      </w:hyperlink>
      <w:r>
        <w:t>)</w:t>
      </w:r>
    </w:p>
    <w:p w14:paraId="70A4C78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789"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787" w14:textId="77777777" w:rsidR="00C1548D" w:rsidRDefault="009B1B4B">
            <w:pPr>
              <w:keepNext/>
              <w:spacing w:after="70" w:line="240" w:lineRule="auto"/>
            </w:pPr>
            <w:r>
              <w:rPr>
                <w:b/>
                <w:bCs/>
                <w:color w:val="6B7280"/>
                <w:spacing w:val="24"/>
                <w:sz w:val="16"/>
                <w:szCs w:val="16"/>
              </w:rPr>
              <w:lastRenderedPageBreak/>
              <w:t>STAND</w:t>
            </w:r>
          </w:p>
          <w:p w14:paraId="70A4C788" w14:textId="77777777" w:rsidR="00C1548D" w:rsidRDefault="009B1B4B">
            <w:pPr>
              <w:spacing w:after="80" w:line="264" w:lineRule="auto"/>
            </w:pPr>
            <w:r>
              <w:rPr>
                <w:sz w:val="20"/>
                <w:szCs w:val="20"/>
              </w:rPr>
              <w:t>September 2026. Visumgebühren, Lotterie-Regeln und die Zusatzzahlung beim H-1B ändern sich derzeit besonders schnell; mehrere Gerichtsverfahren sind noch offen. Prüfe vor jeder Entscheidung die offiziellen Seiten und die Detailkapitel 5 bis 11.</w:t>
            </w:r>
          </w:p>
        </w:tc>
      </w:tr>
    </w:tbl>
    <w:p w14:paraId="70A4C78A" w14:textId="77777777" w:rsidR="00C1548D" w:rsidRDefault="00C1548D">
      <w:pPr>
        <w:spacing w:line="220" w:lineRule="exact"/>
      </w:pPr>
    </w:p>
    <w:p w14:paraId="70A4C78B" w14:textId="77777777" w:rsidR="00C1548D" w:rsidRDefault="009B1B4B">
      <w:pPr>
        <w:pStyle w:val="Heading2"/>
        <w:keepNext/>
        <w:pageBreakBefore/>
        <w:jc w:val="center"/>
      </w:pPr>
      <w:bookmarkStart w:id="17" w:name="k5"/>
      <w:bookmarkStart w:id="18" w:name="_Toc241352455"/>
      <w:r>
        <w:rPr>
          <w:rFonts w:ascii="Amazon Ember" w:eastAsia="Amazon Ember" w:hAnsi="Amazon Ember" w:cs="Amazon Ember"/>
          <w:color w:val="0000FF"/>
          <w:sz w:val="36"/>
          <w:szCs w:val="36"/>
        </w:rPr>
        <w:lastRenderedPageBreak/>
        <w:t>Kapitel 5: Das H-1B-Visum</w:t>
      </w:r>
      <w:bookmarkEnd w:id="17"/>
      <w:bookmarkEnd w:id="18"/>
    </w:p>
    <w:p w14:paraId="70A4C78C" w14:textId="77777777" w:rsidR="00C1548D" w:rsidRDefault="009B1B4B">
      <w:pPr>
        <w:spacing w:after="140"/>
      </w:pPr>
      <w:r>
        <w:t>Bis zum 31. März erfährt dein künftiger Arbeitgeber in einem Online-Konto bei der Einwanderungsbehörde USCIS, ob die Registrierung für dich ausgewählt wurde. Im März 2026 standen 85.000 Plätzen 211.600 gültige Registrierungen gegenüber, und erstmals entschied nicht nur das Los, sondern auch das Gehalt mit. Der H-1B ist der klassische Weg für Fachkräfte in die USA und zugleich das Visum, dessen Regeln und Gebühren sich seit 2025 am schnellsten ändern. Dieses Kapitel trennt deshalb streng: Was gilt heute, was</w:t>
      </w:r>
      <w:r>
        <w:t xml:space="preserve"> hat ein Gericht blockiert, und was ist nur vorgeschlagen?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794"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78D" w14:textId="77777777" w:rsidR="00C1548D" w:rsidRDefault="009B1B4B">
            <w:pPr>
              <w:keepNext/>
              <w:spacing w:after="70" w:line="240" w:lineRule="auto"/>
            </w:pPr>
            <w:r>
              <w:rPr>
                <w:b/>
                <w:bCs/>
                <w:color w:val="1F3A5F"/>
                <w:spacing w:val="24"/>
                <w:sz w:val="16"/>
                <w:szCs w:val="16"/>
              </w:rPr>
              <w:t>KURZ GESAGT</w:t>
            </w:r>
          </w:p>
          <w:p w14:paraId="70A4C78E" w14:textId="77777777" w:rsidR="00C1548D" w:rsidRDefault="009B1B4B" w:rsidP="009B1B4B">
            <w:pPr>
              <w:pStyle w:val="ListParagraph"/>
              <w:numPr>
                <w:ilvl w:val="0"/>
                <w:numId w:val="1"/>
              </w:numPr>
              <w:spacing w:after="50" w:line="264" w:lineRule="auto"/>
            </w:pPr>
            <w:r>
              <w:rPr>
                <w:sz w:val="20"/>
                <w:szCs w:val="20"/>
              </w:rPr>
              <w:t>Der H-1B ist ein befristetes Arbeitsvisum für Berufe, die ein Studium voraussetzen. Dein Arbeitgeber beantragt es, du bist an ihn gebunden. Die Laufzeit beträgt 3 + 3 Jahre.</w:t>
            </w:r>
          </w:p>
          <w:p w14:paraId="70A4C78F" w14:textId="77777777" w:rsidR="00C1548D" w:rsidRDefault="009B1B4B" w:rsidP="009B1B4B">
            <w:pPr>
              <w:pStyle w:val="ListParagraph"/>
              <w:numPr>
                <w:ilvl w:val="0"/>
                <w:numId w:val="1"/>
              </w:numPr>
              <w:spacing w:after="50" w:line="264" w:lineRule="auto"/>
            </w:pPr>
            <w:r>
              <w:rPr>
                <w:sz w:val="20"/>
                <w:szCs w:val="20"/>
              </w:rPr>
              <w:t>Für neue Fälle gibt es pro Jahr nur 85.000 Plätze (65.000 reguläre, 20.000 für Abschlüsse einer US-Hochschule mit Master). Registrierung im März, Arbeitsbeginn frühestens am 1. Oktober. Seit 2026 gewichtet das Los nach Lohnstufe: Level IV bekommt vier Lose, Level I eines.</w:t>
            </w:r>
          </w:p>
          <w:p w14:paraId="70A4C790" w14:textId="77777777" w:rsidR="00C1548D" w:rsidRDefault="009B1B4B" w:rsidP="009B1B4B">
            <w:pPr>
              <w:pStyle w:val="ListParagraph"/>
              <w:numPr>
                <w:ilvl w:val="0"/>
                <w:numId w:val="1"/>
              </w:numPr>
              <w:spacing w:after="50" w:line="264" w:lineRule="auto"/>
            </w:pPr>
            <w:r>
              <w:rPr>
                <w:sz w:val="20"/>
                <w:szCs w:val="20"/>
              </w:rPr>
              <w:t>Die 100.000-$-Zahlung für Personen außerhalb der USA ist bis zum 21. September 2027 verlängert, aber gerichtlich blockiert und wird derzeit nicht erhoben (Stand 20. September 2026). Die Vorschläge zu 103.265 $ und zum Wegfall der 60-Tage-Frist sind nicht in Kraft.</w:t>
            </w:r>
          </w:p>
          <w:p w14:paraId="70A4C791" w14:textId="77777777" w:rsidR="00C1548D" w:rsidRDefault="009B1B4B" w:rsidP="009B1B4B">
            <w:pPr>
              <w:pStyle w:val="ListParagraph"/>
              <w:numPr>
                <w:ilvl w:val="0"/>
                <w:numId w:val="1"/>
              </w:numPr>
              <w:spacing w:after="50" w:line="264" w:lineRule="auto"/>
            </w:pPr>
            <w:r>
              <w:rPr>
                <w:sz w:val="20"/>
                <w:szCs w:val="20"/>
              </w:rPr>
              <w:t>Die Behördengebühren des Arbeitgebers liegen bei Großbetrieben bei rund 3.400 $, ohne die optionale Beschleunigung (</w:t>
            </w:r>
            <w:r>
              <w:rPr>
                <w:i/>
                <w:iCs/>
                <w:sz w:val="20"/>
                <w:szCs w:val="20"/>
              </w:rPr>
              <w:t>Premium Processing</w:t>
            </w:r>
            <w:r>
              <w:rPr>
                <w:sz w:val="20"/>
                <w:szCs w:val="20"/>
              </w:rPr>
              <w:t>) und ohne Anwalt. Einen Teil davon darf er nicht von deinem Gehalt abziehen.</w:t>
            </w:r>
          </w:p>
          <w:p w14:paraId="70A4C792" w14:textId="77777777" w:rsidR="00C1548D" w:rsidRDefault="009B1B4B" w:rsidP="009B1B4B">
            <w:pPr>
              <w:pStyle w:val="ListParagraph"/>
              <w:numPr>
                <w:ilvl w:val="0"/>
                <w:numId w:val="1"/>
              </w:numPr>
              <w:spacing w:after="50" w:line="264" w:lineRule="auto"/>
            </w:pPr>
            <w:r>
              <w:rPr>
                <w:sz w:val="20"/>
                <w:szCs w:val="20"/>
              </w:rPr>
              <w:t>Hochschulen und Forschungseinrichtungen (</w:t>
            </w:r>
            <w:r>
              <w:rPr>
                <w:i/>
                <w:iCs/>
                <w:sz w:val="20"/>
                <w:szCs w:val="20"/>
              </w:rPr>
              <w:t>Cap-exempt</w:t>
            </w:r>
            <w:r>
              <w:rPr>
                <w:sz w:val="20"/>
                <w:szCs w:val="20"/>
              </w:rPr>
              <w:t>) brauchen keine Lotterie.</w:t>
            </w:r>
          </w:p>
          <w:p w14:paraId="70A4C793" w14:textId="77777777" w:rsidR="00C1548D" w:rsidRDefault="009B1B4B" w:rsidP="009B1B4B">
            <w:pPr>
              <w:pStyle w:val="ListParagraph"/>
              <w:numPr>
                <w:ilvl w:val="0"/>
                <w:numId w:val="1"/>
              </w:numPr>
              <w:spacing w:after="50" w:line="264" w:lineRule="auto"/>
            </w:pPr>
            <w:r>
              <w:rPr>
                <w:sz w:val="20"/>
                <w:szCs w:val="20"/>
              </w:rPr>
              <w:t>Den aktuellen Stand prüfst du auf uscis.gov, federalregister.gov und bei der Kanzlei deines Arbeitgebers.</w:t>
            </w:r>
          </w:p>
        </w:tc>
      </w:tr>
    </w:tbl>
    <w:p w14:paraId="70A4C795" w14:textId="77777777" w:rsidR="00C1548D" w:rsidRDefault="00C1548D">
      <w:pPr>
        <w:spacing w:line="220" w:lineRule="exact"/>
      </w:pPr>
    </w:p>
    <w:p w14:paraId="70A4C796"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der H-1B ist und was nicht</w:t>
      </w:r>
    </w:p>
    <w:p w14:paraId="70A4C797" w14:textId="77777777" w:rsidR="00C1548D" w:rsidRDefault="009B1B4B">
      <w:pPr>
        <w:spacing w:after="140"/>
      </w:pPr>
      <w:r>
        <w:t xml:space="preserve">Der H-1B ist ein Arbeitsvisum auf Zeit für </w:t>
      </w:r>
      <w:r>
        <w:rPr>
          <w:i/>
          <w:iCs/>
        </w:rPr>
        <w:t>Specialty Occupations</w:t>
      </w:r>
      <w:r>
        <w:t xml:space="preserve"> – Tätigkeiten, die ein Studium voraussetzen – und umfasst umgangssprachlich zweierlei: Das </w:t>
      </w:r>
      <w:r>
        <w:rPr>
          <w:i/>
          <w:iCs/>
        </w:rPr>
        <w:t>Visum</w:t>
      </w:r>
      <w:r>
        <w:t xml:space="preserve"> ist der Einreisestempel im Pass, den das Konsulat ausstellt, der </w:t>
      </w:r>
      <w:r>
        <w:rPr>
          <w:i/>
          <w:iCs/>
        </w:rPr>
        <w:t>Status</w:t>
      </w:r>
      <w:r>
        <w:t xml:space="preserve"> die Aufenthalts- und Arbeitserlaubnis nach der Einreise; sie steht im elektronischen Einreisenachweis I-94 (ausgestellt vom Grenzschutz CBP), und über sie wacht die Einwanderungsbehörde USCIS. Beides hängt an einem Antrag deines Arbeitgebers, der </w:t>
      </w:r>
      <w:r>
        <w:rPr>
          <w:i/>
          <w:iCs/>
        </w:rPr>
        <w:t>Petition</w:t>
      </w:r>
      <w:r>
        <w:t xml:space="preserve"> (Form I-129): Du kannst dich nicht selbst bewerben und darfst nur für den Arbeitgeber arbeiten, der sie gestellt hat.</w:t>
      </w:r>
    </w:p>
    <w:p w14:paraId="70A4C798" w14:textId="24A6D2F8" w:rsidR="00C1548D" w:rsidRDefault="009B1B4B">
      <w:pPr>
        <w:spacing w:after="140"/>
      </w:pPr>
      <w:r>
        <w:t xml:space="preserve">Ein Vorteil gegenüber vielen anderen Visa: Der H-1B erlaubt </w:t>
      </w:r>
      <w:r>
        <w:rPr>
          <w:i/>
          <w:iCs/>
        </w:rPr>
        <w:t>Dual Intent</w:t>
      </w:r>
      <w:r>
        <w:t>, die gleichzeitige Absicht, später eine Green Card zu beantragen, ohne dass dir das schadet (siehe Kapitel </w:t>
      </w:r>
      <w:hyperlink w:anchor="k6" w:history="1">
        <w:r>
          <w:t>6</w:t>
        </w:r>
      </w:hyperlink>
      <w:r>
        <w:t xml:space="preserve"> und </w:t>
      </w:r>
      <w:hyperlink w:anchor="k7" w:history="1">
        <w:r>
          <w:t>7</w:t>
        </w:r>
      </w:hyperlink>
      <w:r>
        <w:t>).</w:t>
      </w:r>
    </w:p>
    <w:p w14:paraId="70A4C799" w14:textId="027D0D6C" w:rsidR="00C1548D" w:rsidRDefault="009B1B4B">
      <w:pPr>
        <w:spacing w:after="140"/>
      </w:pPr>
      <w: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history="1">
        <w:r>
          <w:t>29</w:t>
        </w:r>
      </w:hyperlink>
      <w:r>
        <w:t>).</w:t>
      </w:r>
    </w:p>
    <w:p w14:paraId="70A4C79A" w14:textId="77777777" w:rsidR="00C1548D" w:rsidRDefault="009B1B4B">
      <w:pPr>
        <w:pStyle w:val="Heading3"/>
        <w:keepNext/>
        <w:jc w:val="center"/>
      </w:pPr>
      <w:r>
        <w:rPr>
          <w:rFonts w:ascii="Amazon Ember" w:eastAsia="Amazon Ember" w:hAnsi="Amazon Ember" w:cs="Amazon Ember"/>
          <w:color w:val="0000FF"/>
          <w:sz w:val="36"/>
          <w:szCs w:val="36"/>
        </w:rPr>
        <w:t>Voraussetzungen: Specialty Occupation und dein Abschluss</w:t>
      </w:r>
    </w:p>
    <w:p w14:paraId="70A4C79B" w14:textId="77777777" w:rsidR="00C1548D" w:rsidRDefault="009B1B4B">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w14:paraId="70A4C79C" w14:textId="77777777" w:rsidR="00C1548D" w:rsidRDefault="009B1B4B" w:rsidP="009B1B4B">
      <w:pPr>
        <w:pStyle w:val="ListParagraph"/>
        <w:numPr>
          <w:ilvl w:val="0"/>
          <w:numId w:val="1"/>
        </w:numPr>
        <w:spacing w:after="60"/>
      </w:pPr>
      <w:r>
        <w:t>Der Abschluss ist der übliche Mindeststandard für den Beruf.</w:t>
      </w:r>
    </w:p>
    <w:p w14:paraId="70A4C79D" w14:textId="77777777" w:rsidR="00C1548D" w:rsidRDefault="009B1B4B" w:rsidP="009B1B4B">
      <w:pPr>
        <w:pStyle w:val="ListParagraph"/>
        <w:numPr>
          <w:ilvl w:val="0"/>
          <w:numId w:val="1"/>
        </w:numPr>
        <w:spacing w:after="60"/>
      </w:pPr>
      <w:r>
        <w:t>Er ist bei vergleichbaren Stellen in der Branche üblich.</w:t>
      </w:r>
    </w:p>
    <w:p w14:paraId="70A4C79E" w14:textId="77777777" w:rsidR="00C1548D" w:rsidRDefault="009B1B4B" w:rsidP="009B1B4B">
      <w:pPr>
        <w:pStyle w:val="ListParagraph"/>
        <w:numPr>
          <w:ilvl w:val="0"/>
          <w:numId w:val="1"/>
        </w:numPr>
        <w:spacing w:after="60"/>
      </w:pPr>
      <w:r>
        <w:lastRenderedPageBreak/>
        <w:t>Der Arbeitgeber verlangt ihn regelmäßig für diese Stelle.</w:t>
      </w:r>
    </w:p>
    <w:p w14:paraId="70A4C79F" w14:textId="77777777" w:rsidR="00C1548D" w:rsidRDefault="009B1B4B" w:rsidP="009B1B4B">
      <w:pPr>
        <w:pStyle w:val="ListParagraph"/>
        <w:numPr>
          <w:ilvl w:val="0"/>
          <w:numId w:val="1"/>
        </w:numPr>
        <w:spacing w:after="60"/>
      </w:pPr>
      <w:r>
        <w:t>Die Aufgaben sind so komplex, dass sie üblicherweise einen solchen Abschluss voraussetzen.</w:t>
      </w:r>
    </w:p>
    <w:p w14:paraId="70A4C7A0" w14:textId="77777777" w:rsidR="00C1548D" w:rsidRDefault="00C1548D">
      <w:pPr>
        <w:spacing w:line="120" w:lineRule="exact"/>
      </w:pPr>
    </w:p>
    <w:p w14:paraId="70A4C7A1" w14:textId="77777777" w:rsidR="00C1548D" w:rsidRDefault="009B1B4B">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w14:paraId="70A4C7A2" w14:textId="332B35AE" w:rsidR="00C1548D" w:rsidRDefault="009B1B4B">
      <w:pPr>
        <w:spacing w:after="140"/>
      </w:pPr>
      <w:r>
        <w:t>Dein Abschluss muss einem US-Bachelor entsprechen. Für deutsche Bachelor-, Master- und Diplomabschlüsse belegt das in der Regel ein Bewertungsgutachten (</w:t>
      </w:r>
      <w:r>
        <w:rPr>
          <w:i/>
          <w:iCs/>
        </w:rPr>
        <w:t>Credential Evaluation</w:t>
      </w:r>
      <w: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history="1">
        <w:r>
          <w:t>4</w:t>
        </w:r>
      </w:hyperlink>
      <w:r>
        <w:t xml:space="preserve"> und </w:t>
      </w:r>
      <w:hyperlink w:anchor="k9" w:history="1">
        <w:r>
          <w:t>9</w:t>
        </w:r>
      </w:hyperlink>
      <w:r>
        <w:t>).</w:t>
      </w:r>
    </w:p>
    <w:p w14:paraId="70A4C7A3" w14:textId="59BFA4D0" w:rsidR="00C1548D" w:rsidRDefault="009B1B4B">
      <w:pPr>
        <w:spacing w:after="140"/>
      </w:pPr>
      <w:r>
        <w:t>Wer mehr als die Hälfte der Anteile an der eigenen Firma hält, bekommt Erstgenehmigung und erste Verlängerung nur für je 18 Monate. Das betrifft Gründer (siehe Kapitel </w:t>
      </w:r>
      <w:hyperlink w:anchor="k9" w:history="1">
        <w:r>
          <w:t>9</w:t>
        </w:r>
      </w:hyperlink>
      <w:r>
        <w:t>).</w:t>
      </w:r>
    </w:p>
    <w:p w14:paraId="70A4C7A4" w14:textId="77777777" w:rsidR="00C1548D" w:rsidRDefault="009B1B4B">
      <w:pPr>
        <w:pStyle w:val="Heading3"/>
        <w:keepNext/>
        <w:jc w:val="center"/>
      </w:pPr>
      <w:r>
        <w:rPr>
          <w:rFonts w:ascii="Amazon Ember" w:eastAsia="Amazon Ember" w:hAnsi="Amazon Ember" w:cs="Amazon Ember"/>
          <w:color w:val="0000FF"/>
          <w:sz w:val="36"/>
          <w:szCs w:val="36"/>
        </w:rPr>
        <w:t>Quote und Registrierung: 85.000 Plätze</w:t>
      </w:r>
    </w:p>
    <w:p w14:paraId="70A4C7A5" w14:textId="53AB8759" w:rsidR="00C1548D" w:rsidRDefault="009B1B4B">
      <w:pPr>
        <w:spacing w:after="140"/>
      </w:pPr>
      <w:r>
        <w:t xml:space="preserve">Die Höchstgrenze heißt </w:t>
      </w:r>
      <w:r>
        <w:rPr>
          <w:i/>
          <w:iCs/>
        </w:rPr>
        <w:t>Cap</w:t>
      </w:r>
      <w:r>
        <w:t>: 65.000 reguläre Plätze plus 20.000 im Master-Kontingent für Master- oder höhere Abschlüsse einer US-Hochschule, zusammen 85.000 neue Petitionen je Fiskaljahr. Das Fiskaljahr (</w:t>
      </w:r>
      <w:r>
        <w:rPr>
          <w:i/>
          <w:iCs/>
        </w:rPr>
        <w:t>Fiscal Year</w:t>
      </w:r>
      <w:r>
        <w:t xml:space="preserve">, FY) der US-Regierung läuft vom 1. Oktober </w:t>
      </w:r>
      <w:r>
        <w:lastRenderedPageBreak/>
        <w:t>bis 30. September; FY2027 reicht vom 1. Oktober 2026 bis 30. September 2027. Weil mehr Registrierungen eingehen als Plätze existieren, entscheidet ein Losverfahren. Wer in den USA einen Master gemacht hat, zählt für beide Kontingente (siehe Kapitel </w:t>
      </w:r>
      <w:hyperlink w:anchor="k8" w:history="1">
        <w:r>
          <w:t>8</w:t>
        </w:r>
      </w:hyperlink>
      <w:r>
        <w:t>).</w:t>
      </w:r>
    </w:p>
    <w:p w14:paraId="70A4C7A6" w14:textId="77777777" w:rsidR="00C1548D" w:rsidRDefault="009B1B4B">
      <w:pPr>
        <w:spacing w:after="140"/>
      </w:pPr>
      <w:r>
        <w:t>Der Arbeitgeber meldet dich im März online an (FY2027: 4. bis 19. März 2026) und zahlt 215 $ je Registrierung, nicht erstattbar. Registrieren mehrere Arbeitgeber dieselbe Person, zählt sie in der Auswahl nur einmal.</w:t>
      </w:r>
    </w:p>
    <w:p w14:paraId="70A4C7A7" w14:textId="77777777" w:rsidR="00C1548D" w:rsidRDefault="009B1B4B">
      <w:pPr>
        <w:pStyle w:val="Heading3"/>
        <w:keepNext/>
        <w:jc w:val="center"/>
      </w:pPr>
      <w:r>
        <w:rPr>
          <w:rFonts w:ascii="Amazon Ember" w:eastAsia="Amazon Ember" w:hAnsi="Amazon Ember" w:cs="Amazon Ember"/>
          <w:color w:val="0000FF"/>
          <w:sz w:val="36"/>
          <w:szCs w:val="36"/>
        </w:rPr>
        <w:t>Lohngewichtete Auswahl: Chancen nach Lohnstufe</w:t>
      </w:r>
    </w:p>
    <w:p w14:paraId="70A4C7A8" w14:textId="77777777" w:rsidR="00C1548D" w:rsidRDefault="009B1B4B">
      <w:pPr>
        <w:spacing w:after="140"/>
      </w:pPr>
      <w:r>
        <w:t>Seit der Runde für FY2027 ist die Auswahl lohngewichtet (Final Rule vom 29. Dezember 2025, gültig seit 27. Februar 2026). Der Arbeitgeber nennt die höchste der vier Lohnstufen (</w:t>
      </w:r>
      <w:r>
        <w:rPr>
          <w:i/>
          <w:iCs/>
        </w:rPr>
        <w:t>Level</w:t>
      </w:r>
      <w:r>
        <w:t xml:space="preserve"> I bis IV), die der angebotene Lohn für deine Berufsgruppe am Arbeitsort erreicht. Bei mehreren Arbeitsorten zählt das niedrigste Level, und ein Lohn unter Level I wird als Level I gemeldet. Je höher die Stufe, desto mehr Lose: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8"/>
        <w:gridCol w:w="1444"/>
        <w:gridCol w:w="1418"/>
        <w:gridCol w:w="2200"/>
      </w:tblGrid>
      <w:tr w:rsidR="00C1548D" w14:paraId="70A4C7AD" w14:textId="77777777">
        <w:tblPrEx>
          <w:tblCellMar>
            <w:top w:w="0" w:type="dxa"/>
            <w:bottom w:w="0" w:type="dxa"/>
          </w:tblCellMar>
        </w:tblPrEx>
        <w:trPr>
          <w:cantSplit/>
          <w:tblHeader/>
        </w:trPr>
        <w:tc>
          <w:tcPr>
            <w:tcW w:w="141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A9" w14:textId="77777777" w:rsidR="00C1548D" w:rsidRDefault="009B1B4B">
            <w:pPr>
              <w:spacing w:line="250" w:lineRule="auto"/>
            </w:pPr>
            <w:r>
              <w:rPr>
                <w:b/>
                <w:bCs/>
                <w:sz w:val="18"/>
                <w:szCs w:val="18"/>
              </w:rPr>
              <w:t>Stufe</w:t>
            </w:r>
          </w:p>
        </w:tc>
        <w:tc>
          <w:tcPr>
            <w:tcW w:w="144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AA" w14:textId="77777777" w:rsidR="00C1548D" w:rsidRDefault="009B1B4B">
            <w:pPr>
              <w:spacing w:line="250" w:lineRule="auto"/>
            </w:pPr>
            <w:r>
              <w:rPr>
                <w:b/>
                <w:bCs/>
                <w:sz w:val="18"/>
                <w:szCs w:val="18"/>
              </w:rPr>
              <w:t>Lohn ab Perzentil</w:t>
            </w:r>
          </w:p>
        </w:tc>
        <w:tc>
          <w:tcPr>
            <w:tcW w:w="141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AB" w14:textId="77777777" w:rsidR="00C1548D" w:rsidRDefault="009B1B4B">
            <w:pPr>
              <w:spacing w:line="250" w:lineRule="auto"/>
            </w:pPr>
            <w:r>
              <w:rPr>
                <w:b/>
                <w:bCs/>
                <w:sz w:val="18"/>
                <w:szCs w:val="18"/>
              </w:rPr>
              <w:t>Lose</w:t>
            </w:r>
          </w:p>
        </w:tc>
        <w:tc>
          <w:tcPr>
            <w:tcW w:w="22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AC" w14:textId="77777777" w:rsidR="00C1548D" w:rsidRDefault="009B1B4B">
            <w:pPr>
              <w:spacing w:line="250" w:lineRule="auto"/>
            </w:pPr>
            <w:r>
              <w:rPr>
                <w:b/>
                <w:bCs/>
                <w:sz w:val="18"/>
                <w:szCs w:val="18"/>
              </w:rPr>
              <w:t>Chance (DHS-Modell)</w:t>
            </w:r>
          </w:p>
        </w:tc>
      </w:tr>
      <w:tr w:rsidR="00C1548D" w14:paraId="70A4C7B2" w14:textId="77777777">
        <w:tblPrEx>
          <w:tblCellMar>
            <w:top w:w="0" w:type="dxa"/>
            <w:bottom w:w="0" w:type="dxa"/>
          </w:tblCellMar>
        </w:tblPrEx>
        <w:trPr>
          <w:cantSplit/>
        </w:trPr>
        <w:tc>
          <w:tcPr>
            <w:tcW w:w="14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AE" w14:textId="77777777" w:rsidR="00C1548D" w:rsidRDefault="009B1B4B">
            <w:pPr>
              <w:spacing w:line="250" w:lineRule="auto"/>
            </w:pPr>
            <w:r>
              <w:rPr>
                <w:sz w:val="18"/>
                <w:szCs w:val="18"/>
              </w:rPr>
              <w:t>Level I</w:t>
            </w:r>
          </w:p>
        </w:tc>
        <w:tc>
          <w:tcPr>
            <w:tcW w:w="14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AF" w14:textId="77777777" w:rsidR="00C1548D" w:rsidRDefault="009B1B4B">
            <w:pPr>
              <w:spacing w:line="250" w:lineRule="auto"/>
            </w:pPr>
            <w:r>
              <w:rPr>
                <w:sz w:val="18"/>
                <w:szCs w:val="18"/>
              </w:rPr>
              <w:t>17.</w:t>
            </w:r>
          </w:p>
        </w:tc>
        <w:tc>
          <w:tcPr>
            <w:tcW w:w="14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0" w14:textId="77777777" w:rsidR="00C1548D" w:rsidRDefault="009B1B4B">
            <w:pPr>
              <w:spacing w:line="250" w:lineRule="auto"/>
            </w:pPr>
            <w:r>
              <w:rPr>
                <w:sz w:val="18"/>
                <w:szCs w:val="18"/>
              </w:rPr>
              <w:t>1</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1" w14:textId="77777777" w:rsidR="00C1548D" w:rsidRDefault="009B1B4B">
            <w:pPr>
              <w:spacing w:line="250" w:lineRule="auto"/>
            </w:pPr>
            <w:r>
              <w:rPr>
                <w:sz w:val="18"/>
                <w:szCs w:val="18"/>
              </w:rPr>
              <w:t>ca. 15,3 %</w:t>
            </w:r>
          </w:p>
        </w:tc>
      </w:tr>
      <w:tr w:rsidR="00C1548D" w14:paraId="70A4C7B7" w14:textId="77777777">
        <w:tblPrEx>
          <w:tblCellMar>
            <w:top w:w="0" w:type="dxa"/>
            <w:bottom w:w="0" w:type="dxa"/>
          </w:tblCellMar>
        </w:tblPrEx>
        <w:trPr>
          <w:cantSplit/>
        </w:trPr>
        <w:tc>
          <w:tcPr>
            <w:tcW w:w="14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3" w14:textId="77777777" w:rsidR="00C1548D" w:rsidRDefault="009B1B4B">
            <w:pPr>
              <w:spacing w:line="250" w:lineRule="auto"/>
            </w:pPr>
            <w:r>
              <w:rPr>
                <w:sz w:val="18"/>
                <w:szCs w:val="18"/>
              </w:rPr>
              <w:t>Level II</w:t>
            </w:r>
          </w:p>
        </w:tc>
        <w:tc>
          <w:tcPr>
            <w:tcW w:w="14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4" w14:textId="77777777" w:rsidR="00C1548D" w:rsidRDefault="009B1B4B">
            <w:pPr>
              <w:spacing w:line="250" w:lineRule="auto"/>
            </w:pPr>
            <w:r>
              <w:rPr>
                <w:sz w:val="18"/>
                <w:szCs w:val="18"/>
              </w:rPr>
              <w:t>34.</w:t>
            </w:r>
          </w:p>
        </w:tc>
        <w:tc>
          <w:tcPr>
            <w:tcW w:w="14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5" w14:textId="77777777" w:rsidR="00C1548D" w:rsidRDefault="009B1B4B">
            <w:pPr>
              <w:spacing w:line="250" w:lineRule="auto"/>
            </w:pPr>
            <w:r>
              <w:rPr>
                <w:sz w:val="18"/>
                <w:szCs w:val="18"/>
              </w:rPr>
              <w:t>2</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6" w14:textId="77777777" w:rsidR="00C1548D" w:rsidRDefault="009B1B4B">
            <w:pPr>
              <w:spacing w:line="250" w:lineRule="auto"/>
            </w:pPr>
            <w:r>
              <w:rPr>
                <w:sz w:val="18"/>
                <w:szCs w:val="18"/>
              </w:rPr>
              <w:t>ca. 30,6 %</w:t>
            </w:r>
          </w:p>
        </w:tc>
      </w:tr>
      <w:tr w:rsidR="00C1548D" w14:paraId="70A4C7BC" w14:textId="77777777">
        <w:tblPrEx>
          <w:tblCellMar>
            <w:top w:w="0" w:type="dxa"/>
            <w:bottom w:w="0" w:type="dxa"/>
          </w:tblCellMar>
        </w:tblPrEx>
        <w:trPr>
          <w:cantSplit/>
        </w:trPr>
        <w:tc>
          <w:tcPr>
            <w:tcW w:w="14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8" w14:textId="77777777" w:rsidR="00C1548D" w:rsidRDefault="009B1B4B">
            <w:pPr>
              <w:spacing w:line="250" w:lineRule="auto"/>
            </w:pPr>
            <w:r>
              <w:rPr>
                <w:sz w:val="18"/>
                <w:szCs w:val="18"/>
              </w:rPr>
              <w:t>Level III</w:t>
            </w:r>
          </w:p>
        </w:tc>
        <w:tc>
          <w:tcPr>
            <w:tcW w:w="14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9" w14:textId="77777777" w:rsidR="00C1548D" w:rsidRDefault="009B1B4B">
            <w:pPr>
              <w:spacing w:line="250" w:lineRule="auto"/>
            </w:pPr>
            <w:r>
              <w:rPr>
                <w:sz w:val="18"/>
                <w:szCs w:val="18"/>
              </w:rPr>
              <w:t>50.</w:t>
            </w:r>
          </w:p>
        </w:tc>
        <w:tc>
          <w:tcPr>
            <w:tcW w:w="14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A" w14:textId="77777777" w:rsidR="00C1548D" w:rsidRDefault="009B1B4B">
            <w:pPr>
              <w:spacing w:line="250" w:lineRule="auto"/>
            </w:pPr>
            <w:r>
              <w:rPr>
                <w:sz w:val="18"/>
                <w:szCs w:val="18"/>
              </w:rPr>
              <w:t>3</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B" w14:textId="77777777" w:rsidR="00C1548D" w:rsidRDefault="009B1B4B">
            <w:pPr>
              <w:spacing w:line="250" w:lineRule="auto"/>
            </w:pPr>
            <w:r>
              <w:rPr>
                <w:sz w:val="18"/>
                <w:szCs w:val="18"/>
              </w:rPr>
              <w:t>ca. 45,9 %</w:t>
            </w:r>
          </w:p>
        </w:tc>
      </w:tr>
      <w:tr w:rsidR="00C1548D" w14:paraId="70A4C7C1" w14:textId="77777777">
        <w:tblPrEx>
          <w:tblCellMar>
            <w:top w:w="0" w:type="dxa"/>
            <w:bottom w:w="0" w:type="dxa"/>
          </w:tblCellMar>
        </w:tblPrEx>
        <w:trPr>
          <w:cantSplit/>
        </w:trPr>
        <w:tc>
          <w:tcPr>
            <w:tcW w:w="14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D" w14:textId="77777777" w:rsidR="00C1548D" w:rsidRDefault="009B1B4B">
            <w:pPr>
              <w:spacing w:line="250" w:lineRule="auto"/>
            </w:pPr>
            <w:r>
              <w:rPr>
                <w:sz w:val="18"/>
                <w:szCs w:val="18"/>
              </w:rPr>
              <w:t>Level IV</w:t>
            </w:r>
          </w:p>
        </w:tc>
        <w:tc>
          <w:tcPr>
            <w:tcW w:w="14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E" w14:textId="77777777" w:rsidR="00C1548D" w:rsidRDefault="009B1B4B">
            <w:pPr>
              <w:spacing w:line="250" w:lineRule="auto"/>
            </w:pPr>
            <w:r>
              <w:rPr>
                <w:sz w:val="18"/>
                <w:szCs w:val="18"/>
              </w:rPr>
              <w:t>67.</w:t>
            </w:r>
          </w:p>
        </w:tc>
        <w:tc>
          <w:tcPr>
            <w:tcW w:w="14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BF" w14:textId="77777777" w:rsidR="00C1548D" w:rsidRDefault="009B1B4B">
            <w:pPr>
              <w:spacing w:line="250" w:lineRule="auto"/>
            </w:pPr>
            <w:r>
              <w:rPr>
                <w:sz w:val="18"/>
                <w:szCs w:val="18"/>
              </w:rPr>
              <w:t>4</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C0" w14:textId="77777777" w:rsidR="00C1548D" w:rsidRDefault="009B1B4B">
            <w:pPr>
              <w:spacing w:line="250" w:lineRule="auto"/>
            </w:pPr>
            <w:r>
              <w:rPr>
                <w:sz w:val="18"/>
                <w:szCs w:val="18"/>
              </w:rPr>
              <w:t>ca. 61,2 %</w:t>
            </w:r>
          </w:p>
        </w:tc>
      </w:tr>
    </w:tbl>
    <w:p w14:paraId="70A4C7C2" w14:textId="77777777" w:rsidR="00C1548D" w:rsidRDefault="00C1548D">
      <w:pPr>
        <w:spacing w:line="180" w:lineRule="exact"/>
      </w:pPr>
    </w:p>
    <w:p w14:paraId="70A4C7C3" w14:textId="77777777" w:rsidR="00C1548D" w:rsidRDefault="009B1B4B">
      <w:pPr>
        <w:spacing w:after="140"/>
      </w:pPr>
      <w:r>
        <w:t>Die Prozentwerte sind eine Modellrechnung des Heimatschutzministeriums DHS auf Basis der Jahre FY2020 bis FY2024, keine Prognose für ein bestimmtes Jahr. Bei reinem Zufall lag der Wert bei rund 29,6 %.</w:t>
      </w:r>
    </w:p>
    <w:p w14:paraId="70A4C7C4" w14:textId="77777777" w:rsidR="00C1548D" w:rsidRDefault="009B1B4B">
      <w:pPr>
        <w:spacing w:after="140"/>
      </w:pPr>
      <w:r>
        <w:t xml:space="preserve">Was FY2027 wirklich zeigte: 211.600 ordnungsgemäße Registrierungen, 38,5 % weniger als im Vorjahr (343.981). Unter den Ausgewählten waren nur 17,7 % Level I, und 71,5 % hatten einen </w:t>
      </w:r>
      <w:r>
        <w:lastRenderedPageBreak/>
        <w:t>US-Master oder höher (FY2026: 57 %). Wie viele Registrierungen USCIS auswählte, hat die Behörde nicht veröffentlicht. Die im Netz kursierende Chance von rund 40 % ist nur 85.000 geteilt durch 211.600 und kein Beleg, denn USCIS wählt üblicherweise mehr aus, als Plätze da sind (FY2026: 120.141 Auswahlen).</w:t>
      </w:r>
    </w:p>
    <w:p w14:paraId="70A4C7C5" w14:textId="169D2870" w:rsidR="00C1548D" w:rsidRDefault="009B1B4B">
      <w:pPr>
        <w:spacing w:after="140"/>
      </w:pPr>
      <w: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w:t>
      </w:r>
      <w:r>
        <w:t xml:space="preserve">och nicht bestätigt). Was dann als Plan B bleibt, zeigen die </w:t>
      </w:r>
      <w:r>
        <w:t>Kapitel </w:t>
      </w:r>
      <w:hyperlink w:anchor="k7" w:history="1">
        <w:r>
          <w:t>7</w:t>
        </w:r>
      </w:hyperlink>
      <w:r>
        <w:t xml:space="preserve"> bis </w:t>
      </w:r>
      <w:hyperlink w:anchor="k9" w:history="1">
        <w:r>
          <w:t>9</w:t>
        </w:r>
      </w:hyperlink>
      <w:r>
        <w:t>. Vor der Registrierung solltest du dir sagen lassen, welche Stufe der Arbeitgeber meldet: Falsche Angaben machen die Registrierung ungültig.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7C8"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7C6" w14:textId="77777777" w:rsidR="00C1548D" w:rsidRDefault="009B1B4B">
            <w:pPr>
              <w:keepNext/>
              <w:spacing w:after="70" w:line="240" w:lineRule="auto"/>
            </w:pPr>
            <w:r>
              <w:rPr>
                <w:b/>
                <w:bCs/>
                <w:color w:val="4A5568"/>
                <w:spacing w:val="24"/>
                <w:sz w:val="16"/>
                <w:szCs w:val="16"/>
              </w:rPr>
              <w:t>PRAXISBEISPIEL · FIKTIV</w:t>
            </w:r>
          </w:p>
          <w:p w14:paraId="70A4C7C7" w14:textId="78312D7E" w:rsidR="00C1548D" w:rsidRDefault="009B1B4B">
            <w:pPr>
              <w:spacing w:after="80" w:line="264" w:lineRule="auto"/>
            </w:pPr>
            <w:r>
              <w:rPr>
                <w:sz w:val="20"/>
                <w:szCs w:val="20"/>
              </w:rPr>
              <w:t xml:space="preserve">Familie Brandt (fiktiv). Markus, 38, Maschinenbauingenieur, wird im ersten Anlauf nicht ausgewählt; die Registrierung (215 $) verfällt. Im zweiten Jahr meldet die Kanzlei des US-Unternehmens im Großraum Detroit seine Stelle als Level III an, also mit drei Losen statt einem. Ende März steht im Konto ein einziges Wort, das Markus noch ein zweites Mal nachliest, um sicherzugehen: ausgewählt. Anna, 36, und die Kinder Lena (9) und Jonas (5) reisen mit H-4-Visa nach; Anna darf zunächst nicht arbeiten (siehe </w:t>
            </w:r>
            <w:r>
              <w:rPr>
                <w:sz w:val="20"/>
                <w:szCs w:val="20"/>
              </w:rPr>
              <w:t>Kapitel </w:t>
            </w:r>
            <w:hyperlink w:anchor="k10" w:history="1">
              <w:r>
                <w:rPr>
                  <w:sz w:val="20"/>
                  <w:szCs w:val="20"/>
                </w:rPr>
                <w:t>10</w:t>
              </w:r>
            </w:hyperlink>
            <w:r>
              <w:rPr>
                <w:sz w:val="20"/>
                <w:szCs w:val="20"/>
              </w:rPr>
              <w:t>).</w:t>
            </w:r>
          </w:p>
        </w:tc>
      </w:tr>
    </w:tbl>
    <w:p w14:paraId="70A4C7C9" w14:textId="77777777" w:rsidR="00C1548D" w:rsidRDefault="00C1548D">
      <w:pPr>
        <w:spacing w:line="220" w:lineRule="exact"/>
      </w:pPr>
    </w:p>
    <w:p w14:paraId="70A4C7CA" w14:textId="77777777" w:rsidR="00C1548D" w:rsidRDefault="009B1B4B">
      <w:pPr>
        <w:pStyle w:val="Heading3"/>
        <w:keepNext/>
        <w:jc w:val="center"/>
      </w:pPr>
      <w:r>
        <w:rPr>
          <w:rFonts w:ascii="Amazon Ember" w:eastAsia="Amazon Ember" w:hAnsi="Amazon Ember" w:cs="Amazon Ember"/>
          <w:color w:val="0000FF"/>
          <w:sz w:val="36"/>
          <w:szCs w:val="36"/>
        </w:rPr>
        <w:t>Die 100.000-Dollar-Frage: gilt, blockiert, vorgeschlagen</w:t>
      </w:r>
    </w:p>
    <w:p w14:paraId="70A4C7CB" w14:textId="77777777" w:rsidR="00C1548D" w:rsidRDefault="009B1B4B">
      <w:pPr>
        <w:spacing w:after="140"/>
      </w:pPr>
      <w:r>
        <w:t xml:space="preserve">Weil Schlagzeilen Beschlüsse, Urteile und Entwürfe oft vermengen, ordnet die Übersicht die wichtigsten Regelungen nach ihrem Rechtsstatus (Stand 20. September 2026). Ein </w:t>
      </w:r>
      <w:r>
        <w:rPr>
          <w:i/>
          <w:iCs/>
        </w:rPr>
        <w:t>NPRM</w:t>
      </w:r>
      <w:r>
        <w:t xml:space="preserve"> (</w:t>
      </w:r>
      <w:r>
        <w:rPr>
          <w:i/>
          <w:iCs/>
        </w:rPr>
        <w:t xml:space="preserve">Notice of </w:t>
      </w:r>
      <w:r>
        <w:rPr>
          <w:i/>
          <w:iCs/>
        </w:rPr>
        <w:lastRenderedPageBreak/>
        <w:t>Proposed Rulemaking</w:t>
      </w:r>
      <w:r>
        <w:t>) ist der Entwurf einer Behörde, der nach einer Kommentarphase geändert oder verworfen werden kann.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28"/>
        <w:gridCol w:w="2632"/>
        <w:gridCol w:w="2120"/>
      </w:tblGrid>
      <w:tr w:rsidR="00C1548D" w14:paraId="70A4C7CF" w14:textId="77777777">
        <w:tblPrEx>
          <w:tblCellMar>
            <w:top w:w="0" w:type="dxa"/>
            <w:bottom w:w="0" w:type="dxa"/>
          </w:tblCellMar>
        </w:tblPrEx>
        <w:trPr>
          <w:cantSplit/>
          <w:tblHeader/>
        </w:trPr>
        <w:tc>
          <w:tcPr>
            <w:tcW w:w="17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CC" w14:textId="77777777" w:rsidR="00C1548D" w:rsidRDefault="009B1B4B">
            <w:pPr>
              <w:spacing w:line="250" w:lineRule="auto"/>
            </w:pPr>
            <w:r>
              <w:rPr>
                <w:b/>
                <w:bCs/>
                <w:sz w:val="18"/>
                <w:szCs w:val="18"/>
              </w:rPr>
              <w:t>Regelung</w:t>
            </w:r>
          </w:p>
        </w:tc>
        <w:tc>
          <w:tcPr>
            <w:tcW w:w="263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CD" w14:textId="77777777" w:rsidR="00C1548D" w:rsidRDefault="009B1B4B">
            <w:pPr>
              <w:spacing w:line="250" w:lineRule="auto"/>
            </w:pPr>
            <w:r>
              <w:rPr>
                <w:b/>
                <w:bCs/>
                <w:sz w:val="18"/>
                <w:szCs w:val="18"/>
              </w:rPr>
              <w:t>Rechtsstatus</w:t>
            </w:r>
          </w:p>
        </w:tc>
        <w:tc>
          <w:tcPr>
            <w:tcW w:w="212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7CE" w14:textId="77777777" w:rsidR="00C1548D" w:rsidRDefault="009B1B4B">
            <w:pPr>
              <w:spacing w:line="250" w:lineRule="auto"/>
            </w:pPr>
            <w:r>
              <w:rPr>
                <w:b/>
                <w:bCs/>
                <w:sz w:val="18"/>
                <w:szCs w:val="18"/>
              </w:rPr>
              <w:t>Betrifft dich, wenn …</w:t>
            </w:r>
          </w:p>
        </w:tc>
      </w:tr>
      <w:tr w:rsidR="00C1548D" w14:paraId="70A4C7D3" w14:textId="77777777">
        <w:tblPrEx>
          <w:tblCellMar>
            <w:top w:w="0" w:type="dxa"/>
            <w:bottom w:w="0" w:type="dxa"/>
          </w:tblCellMar>
        </w:tblPrEx>
        <w:trPr>
          <w:cantSplit/>
        </w:trPr>
        <w:tc>
          <w:tcPr>
            <w:tcW w:w="17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0" w14:textId="77777777" w:rsidR="00C1548D" w:rsidRDefault="009B1B4B">
            <w:pPr>
              <w:spacing w:line="250" w:lineRule="auto"/>
            </w:pPr>
            <w:r>
              <w:rPr>
                <w:sz w:val="18"/>
                <w:szCs w:val="18"/>
              </w:rPr>
              <w:t>Lohngewichtete Auswahl</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1" w14:textId="77777777" w:rsidR="00C1548D" w:rsidRDefault="009B1B4B">
            <w:pPr>
              <w:spacing w:line="250" w:lineRule="auto"/>
            </w:pPr>
            <w:r>
              <w:rPr>
                <w:sz w:val="18"/>
                <w:szCs w:val="18"/>
              </w:rPr>
              <w:t>Geltendes Recht seit 27. Februar 2026</w:t>
            </w:r>
          </w:p>
        </w:tc>
        <w:tc>
          <w:tcPr>
            <w:tcW w:w="21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2" w14:textId="77777777" w:rsidR="00C1548D" w:rsidRDefault="009B1B4B">
            <w:pPr>
              <w:spacing w:line="250" w:lineRule="auto"/>
            </w:pPr>
            <w:r>
              <w:rPr>
                <w:sz w:val="18"/>
                <w:szCs w:val="18"/>
              </w:rPr>
              <w:t>du dich für die Lotterie registrieren lässt</w:t>
            </w:r>
          </w:p>
        </w:tc>
      </w:tr>
      <w:tr w:rsidR="00C1548D" w14:paraId="70A4C7D7" w14:textId="77777777">
        <w:tblPrEx>
          <w:tblCellMar>
            <w:top w:w="0" w:type="dxa"/>
            <w:bottom w:w="0" w:type="dxa"/>
          </w:tblCellMar>
        </w:tblPrEx>
        <w:trPr>
          <w:cantSplit/>
        </w:trPr>
        <w:tc>
          <w:tcPr>
            <w:tcW w:w="17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4" w14:textId="77777777" w:rsidR="00C1548D" w:rsidRDefault="009B1B4B">
            <w:pPr>
              <w:spacing w:line="250" w:lineRule="auto"/>
            </w:pPr>
            <w:r>
              <w:rPr>
                <w:sz w:val="18"/>
                <w:szCs w:val="18"/>
              </w:rPr>
              <w:t>100.000-$-Zahlung (Proklamation 10973)</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5" w14:textId="77777777" w:rsidR="00C1548D" w:rsidRDefault="009B1B4B">
            <w:pPr>
              <w:spacing w:line="250" w:lineRule="auto"/>
            </w:pPr>
            <w:r>
              <w:rPr>
                <w:sz w:val="18"/>
                <w:szCs w:val="18"/>
              </w:rPr>
              <w:t>Bis 21. September 2027 verlängert, Umsetzung gerichtlich aufgehoben, Erhebung derzeit nicht möglich, Berufung anhängig</w:t>
            </w:r>
          </w:p>
        </w:tc>
        <w:tc>
          <w:tcPr>
            <w:tcW w:w="21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6" w14:textId="77777777" w:rsidR="00C1548D" w:rsidRDefault="009B1B4B">
            <w:pPr>
              <w:spacing w:line="250" w:lineRule="auto"/>
            </w:pPr>
            <w:r>
              <w:rPr>
                <w:sz w:val="18"/>
                <w:szCs w:val="18"/>
              </w:rPr>
              <w:t>du aus Deutschland über das Konsulat einreist</w:t>
            </w:r>
          </w:p>
        </w:tc>
      </w:tr>
      <w:tr w:rsidR="00C1548D" w14:paraId="70A4C7DB" w14:textId="77777777">
        <w:tblPrEx>
          <w:tblCellMar>
            <w:top w:w="0" w:type="dxa"/>
            <w:bottom w:w="0" w:type="dxa"/>
          </w:tblCellMar>
        </w:tblPrEx>
        <w:trPr>
          <w:cantSplit/>
        </w:trPr>
        <w:tc>
          <w:tcPr>
            <w:tcW w:w="17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8" w14:textId="77777777" w:rsidR="00C1548D" w:rsidRDefault="009B1B4B">
            <w:pPr>
              <w:spacing w:line="250" w:lineRule="auto"/>
            </w:pPr>
            <w:r>
              <w:rPr>
                <w:sz w:val="18"/>
                <w:szCs w:val="18"/>
              </w:rPr>
              <w:t>103.265-$-Gebühr</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9" w14:textId="77777777" w:rsidR="00C1548D" w:rsidRDefault="009B1B4B">
            <w:pPr>
              <w:spacing w:line="250" w:lineRule="auto"/>
            </w:pPr>
            <w:r>
              <w:rPr>
                <w:sz w:val="18"/>
                <w:szCs w:val="18"/>
              </w:rPr>
              <w:t>Nur Vorschlag (NPRM vom 25. August 2026), nicht in Kraft</w:t>
            </w:r>
          </w:p>
        </w:tc>
        <w:tc>
          <w:tcPr>
            <w:tcW w:w="21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A" w14:textId="77777777" w:rsidR="00C1548D" w:rsidRDefault="009B1B4B">
            <w:pPr>
              <w:spacing w:line="250" w:lineRule="auto"/>
            </w:pPr>
            <w:r>
              <w:rPr>
                <w:sz w:val="18"/>
                <w:szCs w:val="18"/>
              </w:rPr>
              <w:t>du dich ab FY2028 registrieren lässt</w:t>
            </w:r>
          </w:p>
        </w:tc>
      </w:tr>
      <w:tr w:rsidR="00C1548D" w14:paraId="70A4C7DF" w14:textId="77777777">
        <w:tblPrEx>
          <w:tblCellMar>
            <w:top w:w="0" w:type="dxa"/>
            <w:bottom w:w="0" w:type="dxa"/>
          </w:tblCellMar>
        </w:tblPrEx>
        <w:trPr>
          <w:cantSplit/>
        </w:trPr>
        <w:tc>
          <w:tcPr>
            <w:tcW w:w="17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C" w14:textId="77777777" w:rsidR="00C1548D" w:rsidRDefault="009B1B4B">
            <w:pPr>
              <w:spacing w:line="250" w:lineRule="auto"/>
            </w:pPr>
            <w:r>
              <w:rPr>
                <w:sz w:val="18"/>
                <w:szCs w:val="18"/>
              </w:rPr>
              <w:t>Wegfall der 60-Tage-Frist</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D" w14:textId="77777777" w:rsidR="00C1548D" w:rsidRDefault="009B1B4B">
            <w:pPr>
              <w:spacing w:line="250" w:lineRule="auto"/>
            </w:pPr>
            <w:r>
              <w:rPr>
                <w:sz w:val="18"/>
                <w:szCs w:val="18"/>
              </w:rPr>
              <w:t>Nur Vorschlag (NPRM vom 11. September 2026), nicht in Kraft</w:t>
            </w:r>
          </w:p>
        </w:tc>
        <w:tc>
          <w:tcPr>
            <w:tcW w:w="21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DE" w14:textId="77777777" w:rsidR="00C1548D" w:rsidRDefault="009B1B4B">
            <w:pPr>
              <w:spacing w:line="250" w:lineRule="auto"/>
            </w:pPr>
            <w:r>
              <w:rPr>
                <w:sz w:val="18"/>
                <w:szCs w:val="18"/>
              </w:rPr>
              <w:t>du deinen Job verlierst</w:t>
            </w:r>
          </w:p>
        </w:tc>
      </w:tr>
      <w:tr w:rsidR="00C1548D" w14:paraId="70A4C7E3" w14:textId="77777777">
        <w:tblPrEx>
          <w:tblCellMar>
            <w:top w:w="0" w:type="dxa"/>
            <w:bottom w:w="0" w:type="dxa"/>
          </w:tblCellMar>
        </w:tblPrEx>
        <w:trPr>
          <w:cantSplit/>
        </w:trPr>
        <w:tc>
          <w:tcPr>
            <w:tcW w:w="17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E0" w14:textId="77777777" w:rsidR="00C1548D" w:rsidRDefault="009B1B4B">
            <w:pPr>
              <w:spacing w:line="250" w:lineRule="auto"/>
            </w:pPr>
            <w:r>
              <w:rPr>
                <w:sz w:val="18"/>
                <w:szCs w:val="18"/>
              </w:rPr>
              <w:t>Höhere Lohnstufen (Arbeitsministerium DOL)</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E1" w14:textId="77777777" w:rsidR="00C1548D" w:rsidRDefault="009B1B4B">
            <w:pPr>
              <w:spacing w:line="250" w:lineRule="auto"/>
            </w:pPr>
            <w:r>
              <w:rPr>
                <w:sz w:val="18"/>
                <w:szCs w:val="18"/>
              </w:rPr>
              <w:t>Nur Entwurf vom 27. März 2026, bis 20. September 2026 keine Endfassung</w:t>
            </w:r>
          </w:p>
        </w:tc>
        <w:tc>
          <w:tcPr>
            <w:tcW w:w="21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7E2" w14:textId="77777777" w:rsidR="00C1548D" w:rsidRDefault="009B1B4B">
            <w:pPr>
              <w:spacing w:line="250" w:lineRule="auto"/>
            </w:pPr>
            <w:r>
              <w:rPr>
                <w:sz w:val="18"/>
                <w:szCs w:val="18"/>
              </w:rPr>
              <w:t>Gehalt und Lohnstufe deiner Stelle</w:t>
            </w:r>
          </w:p>
        </w:tc>
      </w:tr>
    </w:tbl>
    <w:p w14:paraId="70A4C7E4" w14:textId="77777777" w:rsidR="00C1548D" w:rsidRDefault="00C1548D">
      <w:pPr>
        <w:spacing w:line="180" w:lineRule="exact"/>
      </w:pPr>
    </w:p>
    <w:p w14:paraId="70A4C7E5" w14:textId="77777777" w:rsidR="00C1548D" w:rsidRDefault="009B1B4B">
      <w:pPr>
        <w:pStyle w:val="Heading4"/>
        <w:keepNext/>
        <w:jc w:val="center"/>
      </w:pPr>
      <w:r>
        <w:rPr>
          <w:rFonts w:ascii="Amazon Ember" w:eastAsia="Amazon Ember" w:hAnsi="Amazon Ember" w:cs="Amazon Ember"/>
          <w:color w:val="0000FF"/>
          <w:sz w:val="36"/>
          <w:szCs w:val="36"/>
        </w:rPr>
        <w:t>Was die Proklamation verlangt</w:t>
      </w:r>
    </w:p>
    <w:p w14:paraId="70A4C7E6" w14:textId="77777777" w:rsidR="00C1548D" w:rsidRDefault="009B1B4B">
      <w:pPr>
        <w:spacing w:after="140"/>
      </w:pPr>
      <w:r>
        <w:t>Die Proklamation 10973 des Präsidenten vom 19. September 2025 (wirksam seit 21. September 2025) knüpft die Einreise von H-1B-Beschäftigten an eine Zahlung des Arbeitgebers von 100.000 $, vorab über die Plattform pay.gov. Nach der Leitlinie von USCIS vom 20. Oktober 2025 betrifft das neue Petitionen für Personen außerhalb der USA, also den typischen Weg aus Deutschland über das Konsulat, weil ESTA keine Arbeit erlaubt und der H-1B immer ein Visum braucht. Auch Cap-exempt-Arbeitgeber sind erfasst.</w:t>
      </w:r>
    </w:p>
    <w:p w14:paraId="70A4C7E7" w14:textId="77777777" w:rsidR="00C1548D" w:rsidRDefault="009B1B4B">
      <w:pPr>
        <w:spacing w:after="140"/>
      </w:pPr>
      <w:r>
        <w:t>Nicht betroffen sind Petitionen von vor dem 21. September 2025, bereits erteilte Visa sowie im Inland genehmigte Statuswechsel, Verlängerungen und Arbeitgeberwechsel, etwa von F-1/OPT zu H-1B. Ausnahmen gewährt nur das DHS, laut USCIS in äußerst seltenen Fällen.</w:t>
      </w:r>
    </w:p>
    <w:p w14:paraId="70A4C7E8" w14:textId="77777777" w:rsidR="00C1548D" w:rsidRDefault="009B1B4B">
      <w:pPr>
        <w:pStyle w:val="Heading4"/>
        <w:keepNext/>
        <w:jc w:val="center"/>
      </w:pPr>
      <w:r>
        <w:rPr>
          <w:rFonts w:ascii="Amazon Ember" w:eastAsia="Amazon Ember" w:hAnsi="Amazon Ember" w:cs="Amazon Ember"/>
          <w:color w:val="0000FF"/>
          <w:sz w:val="36"/>
          <w:szCs w:val="36"/>
        </w:rPr>
        <w:lastRenderedPageBreak/>
        <w:t>Was die Gerichte daraus gemacht haben</w:t>
      </w:r>
    </w:p>
    <w:p w14:paraId="70A4C7E9" w14:textId="77777777" w:rsidR="00C1548D" w:rsidRDefault="009B1B4B">
      <w:pPr>
        <w:spacing w:after="140"/>
      </w:pPr>
      <w:r>
        <w:t xml:space="preserve">Am 8. Juni 2026 hob ein Bundesgericht in Massachusetts auf Klage von 20 Bundesstaaten die Umsetzungsrichtlinien auf (Begründung: eine Steuer ohne Ermächtigung durch den Kongress). Am 24. Juli 2026 lehnte der First Circuit ab, die Entscheidung bis zur Berufung auszusetzen. Damit kann die Zahlung derzeit nicht erhoben werden; nach Kanzleiberichten zur USCIS-FAQ vom 28. Juli 2026 dürfen Petitionen für Personen im Ausland ohne Zahlung eingereicht werden. USCIS erklärt zugleich, die Zahlung wieder zu verlangen, </w:t>
      </w:r>
      <w:r>
        <w:t>falls die Anordnung aufgehoben wird.</w:t>
      </w:r>
    </w:p>
    <w:p w14:paraId="70A4C7EA" w14:textId="77777777" w:rsidR="00C1548D" w:rsidRDefault="009B1B4B">
      <w:pPr>
        <w:spacing w:after="140"/>
      </w:pPr>
      <w:r>
        <w:t>Andere Gerichte urteilen anders: Die Klage der US-Handelskammer wies ein Bundesgericht in Washington am 23. Dezember 2025 ab, die Berufung liegt beim D.C. Circuit (Anhörung am 9. März 2026, keine Entscheidung bekannt). Eine weitere Klage in Kalifornien läuft. Am 18. September 2026 verlängerte der Präsident die Proklamation um zwölf Monate bis zum 21. September 2027; die Blockade der Erhebung ändert das nicht. Ein Verfahren, früher gezahlte Beträge zurückzuerhalten, ist nicht bekannt.</w:t>
      </w:r>
    </w:p>
    <w:p w14:paraId="70A4C7EB" w14:textId="77777777" w:rsidR="00C1548D" w:rsidRDefault="009B1B4B">
      <w:pPr>
        <w:pStyle w:val="Heading4"/>
        <w:keepNext/>
        <w:jc w:val="center"/>
      </w:pPr>
      <w:r>
        <w:rPr>
          <w:rFonts w:ascii="Amazon Ember" w:eastAsia="Amazon Ember" w:hAnsi="Amazon Ember" w:cs="Amazon Ember"/>
          <w:color w:val="0000FF"/>
          <w:sz w:val="36"/>
          <w:szCs w:val="36"/>
        </w:rPr>
        <w:t>Was nur vorgeschlagen ist</w:t>
      </w:r>
    </w:p>
    <w:p w14:paraId="70A4C7EC" w14:textId="6E72F80D" w:rsidR="00C1548D" w:rsidRDefault="009B1B4B">
      <w:pPr>
        <w:spacing w:after="140"/>
      </w:pPr>
      <w:r>
        <w:t>Am 25. August 2026 veröffentlichte das DHS einen Entwurf, nach dem für jede Cap-Petition 103.265 $ bei Einreichung fällig wären, zusätzlich zu allen anderen Gebühren und auch im Master-Kontingent. Mehrere Kanzleien lesen den Entwurf so, dass er auch Statuswechsel im Inland träfe, also F-1/OPT-Absolventen, die von der Proklamation ausgenommen sind (siehe Kapitel </w:t>
      </w:r>
      <w:hyperlink w:anchor="k8" w:history="1">
        <w:r>
          <w:t>8</w:t>
        </w:r>
      </w:hyperlink>
      <w:r>
        <w:t>); prüfe diese Lesart im Entwurfstext. Cap-exempt-Fälle, Verlängerungen, Änderungen und Arbeitgeberwechsel blieben ausgenommen.</w:t>
      </w:r>
    </w:p>
    <w:p w14:paraId="70A4C7ED" w14:textId="77777777" w:rsidR="00C1548D" w:rsidRDefault="009B1B4B">
      <w:pPr>
        <w:spacing w:after="140"/>
      </w:pPr>
      <w:r>
        <w:t xml:space="preserve">Die Kommentarfrist endet am 24. September 2026, ein Start wäre nach Kanzleiangaben frühestens in der Saison ab April 2027 </w:t>
      </w:r>
      <w:r>
        <w:lastRenderedPageBreak/>
        <w:t>(FY2028) denkbar, Klagen sind zu erwarten. Ob Arbeitgeber solche Beträge an dich weitergeben dürften, ist offen.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7F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7EE" w14:textId="77777777" w:rsidR="00C1548D" w:rsidRDefault="009B1B4B">
            <w:pPr>
              <w:keepNext/>
              <w:spacing w:after="70" w:line="240" w:lineRule="auto"/>
            </w:pPr>
            <w:r>
              <w:rPr>
                <w:b/>
                <w:bCs/>
                <w:color w:val="9B2C2C"/>
                <w:spacing w:val="24"/>
                <w:sz w:val="16"/>
                <w:szCs w:val="16"/>
              </w:rPr>
              <w:t>ACHTUNG</w:t>
            </w:r>
          </w:p>
          <w:p w14:paraId="70A4C7EF" w14:textId="77777777" w:rsidR="00C1548D" w:rsidRDefault="009B1B4B">
            <w:pPr>
              <w:spacing w:after="80" w:line="264" w:lineRule="auto"/>
            </w:pPr>
            <w:r>
              <w:rPr>
                <w:sz w:val="20"/>
                <w:szCs w:val="20"/>
              </w:rPr>
              <w:t>Blockiert heißt nicht abgeschafft. Die Gerichte können die Blockade aufheben, und dann verlangt USCIS die Zahlung wieder. Lass dir vom Arbeitgeber schriftlich sagen, wie er in diesem Fall vorgeht, und plane so, dass dein Jobangebot auch dann trägt.</w:t>
            </w:r>
          </w:p>
        </w:tc>
      </w:tr>
    </w:tbl>
    <w:p w14:paraId="70A4C7F1" w14:textId="77777777" w:rsidR="00C1548D" w:rsidRDefault="00C1548D">
      <w:pPr>
        <w:spacing w:line="220" w:lineRule="exact"/>
      </w:pPr>
    </w:p>
    <w:p w14:paraId="70A4C7F2" w14:textId="77777777" w:rsidR="00C1548D" w:rsidRDefault="009B1B4B">
      <w:pPr>
        <w:pStyle w:val="Heading4"/>
        <w:keepNext/>
        <w:jc w:val="center"/>
      </w:pPr>
      <w:r>
        <w:rPr>
          <w:rFonts w:ascii="Amazon Ember" w:eastAsia="Amazon Ember" w:hAnsi="Amazon Ember" w:cs="Amazon Ember"/>
          <w:color w:val="0000FF"/>
          <w:sz w:val="36"/>
          <w:szCs w:val="36"/>
        </w:rPr>
        <w:t>So prüfst du den Stand</w:t>
      </w:r>
    </w:p>
    <w:p w14:paraId="70A4C7F3" w14:textId="77777777" w:rsidR="00C1548D" w:rsidRDefault="009B1B4B" w:rsidP="009B1B4B">
      <w:pPr>
        <w:pStyle w:val="ListParagraph"/>
        <w:numPr>
          <w:ilvl w:val="0"/>
          <w:numId w:val="7"/>
        </w:numPr>
        <w:spacing w:after="60"/>
      </w:pPr>
      <w:r>
        <w:rPr>
          <w:b/>
          <w:bCs/>
        </w:rPr>
        <w:t>uscis.gov:</w:t>
      </w:r>
      <w:r>
        <w:t xml:space="preserve"> Die H-1B-FAQ unter „Alerts“ nennt, ob die Zahlung derzeit erhoben wird.</w:t>
      </w:r>
    </w:p>
    <w:p w14:paraId="70A4C7F4" w14:textId="77777777" w:rsidR="00C1548D" w:rsidRDefault="009B1B4B" w:rsidP="009B1B4B">
      <w:pPr>
        <w:pStyle w:val="ListParagraph"/>
        <w:numPr>
          <w:ilvl w:val="0"/>
          <w:numId w:val="7"/>
        </w:numPr>
        <w:spacing w:after="60"/>
      </w:pPr>
      <w:r>
        <w:rPr>
          <w:b/>
          <w:bCs/>
        </w:rPr>
        <w:t>federalregister.gov:</w:t>
      </w:r>
      <w:r>
        <w:t xml:space="preserve"> Suche nach „H-1B“. „Proposed Rule“ ist ein Entwurf, „Rule“ gilt. Die Akten der beiden Entwürfe tragen die Nummern USCIS-2026-0298 (103.265 $) und USCIS-2026-0364 (60-Tage-Frist).</w:t>
      </w:r>
    </w:p>
    <w:p w14:paraId="70A4C7F5" w14:textId="77777777" w:rsidR="00C1548D" w:rsidRDefault="009B1B4B" w:rsidP="009B1B4B">
      <w:pPr>
        <w:pStyle w:val="ListParagraph"/>
        <w:numPr>
          <w:ilvl w:val="0"/>
          <w:numId w:val="7"/>
        </w:numPr>
        <w:spacing w:after="60"/>
      </w:pPr>
      <w:r>
        <w:rPr>
          <w:b/>
          <w:bCs/>
        </w:rPr>
        <w:t>uscis.gov/g-1055:</w:t>
      </w:r>
      <w:r>
        <w:t xml:space="preserve"> Das Gebührenblatt führt die 100.000 $ weiter auf, auch wenn sie blockiert sind. Das ist kein Beleg für eine Erhebung.</w:t>
      </w:r>
    </w:p>
    <w:p w14:paraId="70A4C7F6" w14:textId="77777777" w:rsidR="00C1548D" w:rsidRDefault="009B1B4B" w:rsidP="009B1B4B">
      <w:pPr>
        <w:pStyle w:val="ListParagraph"/>
        <w:numPr>
          <w:ilvl w:val="0"/>
          <w:numId w:val="7"/>
        </w:numPr>
        <w:spacing w:after="60"/>
      </w:pPr>
      <w:r>
        <w:rPr>
          <w:b/>
          <w:bCs/>
        </w:rPr>
        <w:t>Kanzlei des Arbeitgebers:</w:t>
      </w:r>
      <w:r>
        <w:t xml:space="preserve"> Die Kanzlei verfolgt jede Veröffentlichung und kennt die Details.</w:t>
      </w:r>
    </w:p>
    <w:p w14:paraId="70A4C7F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7F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7F8" w14:textId="77777777" w:rsidR="00C1548D" w:rsidRDefault="009B1B4B">
            <w:pPr>
              <w:keepNext/>
              <w:spacing w:after="70" w:line="240" w:lineRule="auto"/>
            </w:pPr>
            <w:r>
              <w:rPr>
                <w:b/>
                <w:bCs/>
                <w:color w:val="8A6212"/>
                <w:spacing w:val="24"/>
                <w:sz w:val="16"/>
                <w:szCs w:val="16"/>
              </w:rPr>
              <w:t>MERKE</w:t>
            </w:r>
          </w:p>
          <w:p w14:paraId="70A4C7F9" w14:textId="77777777" w:rsidR="00C1548D" w:rsidRDefault="009B1B4B">
            <w:pPr>
              <w:spacing w:after="80" w:line="264" w:lineRule="auto"/>
            </w:pPr>
            <w:r>
              <w:rPr>
                <w:sz w:val="20"/>
                <w:szCs w:val="20"/>
              </w:rPr>
              <w:t>Ein Entwurf bindet niemanden, ein Gerichtsbeschluss gilt bis zur nächsten Instanz, eine Final Rule ab ihrem Startdatum. Frage bei jeder Meldung, in welche der drei Schubladen sie gehört.</w:t>
            </w:r>
          </w:p>
        </w:tc>
      </w:tr>
    </w:tbl>
    <w:p w14:paraId="70A4C7FB"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7FE"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7FC" w14:textId="77777777" w:rsidR="00C1548D" w:rsidRDefault="009B1B4B">
            <w:pPr>
              <w:keepNext/>
              <w:spacing w:after="70" w:line="240" w:lineRule="auto"/>
            </w:pPr>
            <w:r>
              <w:rPr>
                <w:b/>
                <w:bCs/>
                <w:color w:val="6B7280"/>
                <w:spacing w:val="24"/>
                <w:sz w:val="16"/>
                <w:szCs w:val="16"/>
              </w:rPr>
              <w:t>KEIN RECHTSRAT</w:t>
            </w:r>
          </w:p>
          <w:p w14:paraId="70A4C7FD" w14:textId="46F5AE4B" w:rsidR="00C1548D" w:rsidRDefault="009B1B4B">
            <w:pPr>
              <w:spacing w:after="80" w:line="264" w:lineRule="auto"/>
            </w:pPr>
            <w:r>
              <w:rPr>
                <w:sz w:val="20"/>
                <w:szCs w:val="20"/>
              </w:rPr>
              <w:t>Dieses Kapitel erklärt Regeln und Praxis, ersetzt aber keine Beratung durch eine Einwanderungsanwältin oder einen Einwanderungsanwalt. Wie du jemanden findest und was das kostet, steht in Kapitel </w:t>
            </w:r>
            <w:hyperlink w:anchor="k11" w:history="1">
              <w:r>
                <w:rPr>
                  <w:sz w:val="20"/>
                  <w:szCs w:val="20"/>
                </w:rPr>
                <w:t>11</w:t>
              </w:r>
            </w:hyperlink>
            <w:r>
              <w:rPr>
                <w:sz w:val="20"/>
                <w:szCs w:val="20"/>
              </w:rPr>
              <w:t>.</w:t>
            </w:r>
          </w:p>
        </w:tc>
      </w:tr>
    </w:tbl>
    <w:p w14:paraId="70A4C7FF" w14:textId="77777777" w:rsidR="00C1548D" w:rsidRDefault="00C1548D">
      <w:pPr>
        <w:spacing w:line="220" w:lineRule="exact"/>
      </w:pPr>
    </w:p>
    <w:p w14:paraId="70A4C800" w14:textId="77777777" w:rsidR="00C1548D" w:rsidRDefault="009B1B4B">
      <w:pPr>
        <w:pStyle w:val="Heading3"/>
        <w:keepNext/>
        <w:jc w:val="center"/>
      </w:pPr>
      <w:r>
        <w:rPr>
          <w:rFonts w:ascii="Amazon Ember" w:eastAsia="Amazon Ember" w:hAnsi="Amazon Ember" w:cs="Amazon Ember"/>
          <w:color w:val="0000FF"/>
          <w:sz w:val="36"/>
          <w:szCs w:val="36"/>
        </w:rPr>
        <w:lastRenderedPageBreak/>
        <w:t>Ablauf und Zeitplan: von der Registrierung bis zur Einreise</w:t>
      </w:r>
    </w:p>
    <w:p w14:paraId="70A4C801" w14:textId="77777777" w:rsidR="00C1548D" w:rsidRDefault="009B1B4B">
      <w:pPr>
        <w:spacing w:after="140"/>
      </w:pPr>
      <w:r>
        <w:t>Zwischen Registrierung und erstem Arbeitstag liegen mindestens sechs Monate, weil der Start frühestens am 1. Oktober erfolgt. Der Weg im Überblick (Termine nach FY2027, FY2028 voraussichtlich ähnlich):</w:t>
      </w:r>
    </w:p>
    <w:p w14:paraId="70A4C802" w14:textId="77777777" w:rsidR="00C1548D" w:rsidRDefault="009B1B4B" w:rsidP="009B1B4B">
      <w:pPr>
        <w:pStyle w:val="ListParagraph"/>
        <w:numPr>
          <w:ilvl w:val="0"/>
          <w:numId w:val="8"/>
        </w:numPr>
        <w:spacing w:after="60"/>
      </w:pPr>
      <w:r>
        <w:rPr>
          <w:b/>
          <w:bCs/>
        </w:rPr>
        <w:t>Vorbereitung (bis Februar).</w:t>
      </w:r>
      <w:r>
        <w:t xml:space="preserve"> Arbeitgeber und Kanzlei klären Stelle, Gehalt, Lohnstufe und Abschlussbewertung. Ohne verbindliche Jobzusage gibt es keine Registrierung.</w:t>
      </w:r>
    </w:p>
    <w:p w14:paraId="70A4C803" w14:textId="77777777" w:rsidR="00C1548D" w:rsidRDefault="009B1B4B" w:rsidP="009B1B4B">
      <w:pPr>
        <w:pStyle w:val="ListParagraph"/>
        <w:numPr>
          <w:ilvl w:val="0"/>
          <w:numId w:val="8"/>
        </w:numPr>
        <w:spacing w:after="60"/>
      </w:pPr>
      <w:r>
        <w:rPr>
          <w:b/>
          <w:bCs/>
        </w:rPr>
        <w:t>Registrierung (März).</w:t>
      </w:r>
      <w:r>
        <w:t xml:space="preserve"> Online, 215 $. Der Termin für 2027 steht offiziell noch nicht fest.</w:t>
      </w:r>
    </w:p>
    <w:p w14:paraId="70A4C804" w14:textId="77777777" w:rsidR="00C1548D" w:rsidRDefault="009B1B4B" w:rsidP="009B1B4B">
      <w:pPr>
        <w:pStyle w:val="ListParagraph"/>
        <w:numPr>
          <w:ilvl w:val="0"/>
          <w:numId w:val="8"/>
        </w:numPr>
        <w:spacing w:after="60"/>
      </w:pPr>
      <w:r>
        <w:rPr>
          <w:b/>
          <w:bCs/>
        </w:rPr>
        <w:t>Auswahl (bis 31. März).</w:t>
      </w:r>
      <w:r>
        <w:t xml:space="preserve"> USCIS benachrichtigt über das Konto des Arbeitgebers. Ohne Auswahl keine Cap-Petition.</w:t>
      </w:r>
    </w:p>
    <w:p w14:paraId="70A4C805" w14:textId="77777777" w:rsidR="00C1548D" w:rsidRDefault="009B1B4B" w:rsidP="009B1B4B">
      <w:pPr>
        <w:pStyle w:val="ListParagraph"/>
        <w:numPr>
          <w:ilvl w:val="0"/>
          <w:numId w:val="8"/>
        </w:numPr>
        <w:spacing w:after="60"/>
      </w:pPr>
      <w:r>
        <w:rPr>
          <w:b/>
          <w:bCs/>
        </w:rPr>
        <w:t>LCA.</w:t>
      </w:r>
      <w:r>
        <w:t xml:space="preserve"> Der Arbeitgeber reicht beim DOL die </w:t>
      </w:r>
      <w:r>
        <w:rPr>
          <w:i/>
          <w:iCs/>
        </w:rPr>
        <w:t>Labor Condition Application</w:t>
      </w:r>
      <w:r>
        <w:t xml:space="preserve"> (Form ETA-9035E) ein, in der er Lohn und Arbeitsbedingungen versichert. Das DOL prüft binnen sieben Werktagen auf Vollständigkeit; die LCA ist frühestens sechs Monate vor Beginn möglich.</w:t>
      </w:r>
    </w:p>
    <w:p w14:paraId="70A4C806" w14:textId="77777777" w:rsidR="00C1548D" w:rsidRDefault="009B1B4B" w:rsidP="009B1B4B">
      <w:pPr>
        <w:pStyle w:val="ListParagraph"/>
        <w:numPr>
          <w:ilvl w:val="0"/>
          <w:numId w:val="8"/>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w14:paraId="70A4C807" w14:textId="77777777" w:rsidR="00C1548D" w:rsidRDefault="009B1B4B" w:rsidP="009B1B4B">
      <w:pPr>
        <w:pStyle w:val="ListParagraph"/>
        <w:numPr>
          <w:ilvl w:val="0"/>
          <w:numId w:val="8"/>
        </w:numPr>
        <w:spacing w:after="60"/>
      </w:pPr>
      <w:r>
        <w:rPr>
          <w:b/>
          <w:bCs/>
        </w:rPr>
        <w:t>Entscheidung.</w:t>
      </w:r>
      <w:r>
        <w:t xml:space="preserve"> Die reguläre Bearbeitungszeit schwankt; die aktuelle zeigt USCIS auf der Seite „Processing Times“. Mit Premium Processing (Form I-907, 2.965 $) entscheidet USCIS binnen 15 Werktagen und erstattet die Gebühr bei Fristverfehlung. Eine Nachforderung von Unterlagen (</w:t>
      </w:r>
      <w:r>
        <w:rPr>
          <w:i/>
          <w:iCs/>
        </w:rPr>
        <w:t>Request for Evidence</w:t>
      </w:r>
      <w:r>
        <w:t>, RFE) stoppt die Frist.</w:t>
      </w:r>
    </w:p>
    <w:p w14:paraId="70A4C808" w14:textId="70373AEE" w:rsidR="00C1548D" w:rsidRDefault="009B1B4B" w:rsidP="009B1B4B">
      <w:pPr>
        <w:pStyle w:val="ListParagraph"/>
        <w:numPr>
          <w:ilvl w:val="0"/>
          <w:numId w:val="8"/>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w:t>
      </w:r>
      <w:r>
        <w:lastRenderedPageBreak/>
        <w:t xml:space="preserve">Konsulat; die Lücke bis zum 1. Oktober überbrückt die </w:t>
      </w:r>
      <w:r>
        <w:rPr>
          <w:i/>
          <w:iCs/>
        </w:rPr>
        <w:t>Cap-Gap</w:t>
      </w:r>
      <w:r>
        <w:t>-Regelung (siehe Kapitel </w:t>
      </w:r>
      <w:hyperlink w:anchor="k8" w:history="1">
        <w:r>
          <w:t>8</w:t>
        </w:r>
      </w:hyperlink>
      <w:r>
        <w:t>).</w:t>
      </w:r>
    </w:p>
    <w:p w14:paraId="70A4C809" w14:textId="77777777" w:rsidR="00C1548D" w:rsidRDefault="009B1B4B" w:rsidP="009B1B4B">
      <w:pPr>
        <w:pStyle w:val="ListParagraph"/>
        <w:numPr>
          <w:ilvl w:val="0"/>
          <w:numId w:val="8"/>
        </w:numPr>
        <w:spacing w:after="60"/>
      </w:pPr>
      <w:r>
        <w:rPr>
          <w:b/>
          <w:bCs/>
        </w:rPr>
        <w:t>Einreise.</w:t>
      </w:r>
      <w:r>
        <w:t xml:space="preserve"> Frühestens zehn Tage vor Beginn der Gültigkeit; CBP stellt den I-94 aus. Arbeiten darfst du erst ab dem Startdatum.</w:t>
      </w:r>
    </w:p>
    <w:p w14:paraId="70A4C80A" w14:textId="77777777" w:rsidR="00C1548D" w:rsidRDefault="00C1548D">
      <w:pPr>
        <w:spacing w:line="120" w:lineRule="exact"/>
      </w:pPr>
    </w:p>
    <w:p w14:paraId="70A4C80B" w14:textId="77777777" w:rsidR="00C1548D" w:rsidRDefault="009B1B4B">
      <w:pPr>
        <w:pStyle w:val="Heading4"/>
        <w:keepNext/>
        <w:jc w:val="center"/>
      </w:pPr>
      <w:r>
        <w:rPr>
          <w:rFonts w:ascii="Amazon Ember" w:eastAsia="Amazon Ember" w:hAnsi="Amazon Ember" w:cs="Amazon Ember"/>
          <w:color w:val="0000FF"/>
          <w:sz w:val="36"/>
          <w:szCs w:val="36"/>
        </w:rPr>
        <w:t>Das Konsulat in Deutschland</w:t>
      </w:r>
    </w:p>
    <w:p w14:paraId="70A4C80C" w14:textId="77777777" w:rsidR="00C1548D" w:rsidRDefault="009B1B4B">
      <w:pPr>
        <w:spacing w:after="140"/>
      </w:pPr>
      <w:r>
        <w:t>Zuständig sind die Botschaft Berlin und die Generalkonsulate Frankfurt und München. Seit dem 2. September 2025 müssen fast alle Antragstellenden persönlich zum Interview. Das Verfahren ohne Termin (</w:t>
      </w:r>
      <w:r>
        <w:rPr>
          <w:i/>
          <w:iCs/>
        </w:rPr>
        <w:t>Interview Waiver</w:t>
      </w:r>
      <w:r>
        <w:t>, „Dropbox“) gilt für H-1B nicht mehr, und laut Kanzleiberichten entfällt auch die frühere Ausnahme für Kinder unter 14 und Personen über 79. Den Antrag stellst du im Land deiner Staatsangehörigkeit oder deines Wohnsitzes.</w:t>
      </w:r>
    </w:p>
    <w:p w14:paraId="70A4C80D" w14:textId="598F9656" w:rsidR="00C1548D" w:rsidRDefault="009B1B4B">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verbindlich ist travel.state.gov. Seit dem 15. Dezember 2025 wertet das Konsulat auch Online-Profile aus: Stelle Social-Media-Konten vor dem Termin auf öffentlich und gleiche sie mit DS-160 und Petition ab. Einzelheiten zum Interview stehen in Kapitel </w:t>
      </w:r>
      <w:hyperlink w:anchor="k11" w:history="1">
        <w:r>
          <w:t>11</w:t>
        </w:r>
      </w:hyperlink>
      <w:r>
        <w:t>.</w:t>
      </w:r>
    </w:p>
    <w:p w14:paraId="70A4C80E" w14:textId="77777777" w:rsidR="00C1548D" w:rsidRDefault="009B1B4B">
      <w:pPr>
        <w:spacing w:after="140"/>
      </w:pPr>
      <w:r>
        <w:t>Beim Konsulat zahlst du die Antragsgebühr (MRV) von derzeit 205 $ für Petitionsvisa; der Betrag stammt aus Kanzleiübersichten 2026, die verbindliche Höhe steht unter travel.state.gov. Dazu kann die Visa Integrity Fee von 250 $ kommen, fällig bei Ausstellung. Die Erhebung ist nach den vorliegenden Berichten uneinheitlich; ob dein Konsulat sie verlangt, steht auf dessen Webseite.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81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80F" w14:textId="77777777" w:rsidR="00C1548D" w:rsidRDefault="009B1B4B">
            <w:pPr>
              <w:keepNext/>
              <w:spacing w:after="70" w:line="240" w:lineRule="auto"/>
            </w:pPr>
            <w:r>
              <w:rPr>
                <w:b/>
                <w:bCs/>
                <w:color w:val="9B2C2C"/>
                <w:spacing w:val="24"/>
                <w:sz w:val="16"/>
                <w:szCs w:val="16"/>
              </w:rPr>
              <w:lastRenderedPageBreak/>
              <w:t>ACHTUNG</w:t>
            </w:r>
          </w:p>
          <w:p w14:paraId="70A4C810" w14:textId="77777777" w:rsidR="00C1548D" w:rsidRDefault="009B1B4B">
            <w:pPr>
              <w:spacing w:after="80" w:line="264" w:lineRule="auto"/>
            </w:pPr>
            <w:r>
              <w:rPr>
                <w:sz w:val="20"/>
                <w:szCs w:val="20"/>
              </w:rPr>
              <w:t>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tc>
      </w:tr>
    </w:tbl>
    <w:p w14:paraId="70A4C812"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815"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C813" w14:textId="77777777" w:rsidR="00C1548D" w:rsidRDefault="009B1B4B">
            <w:pPr>
              <w:keepNext/>
              <w:spacing w:after="70" w:line="240" w:lineRule="auto"/>
            </w:pPr>
            <w:r>
              <w:rPr>
                <w:b/>
                <w:bCs/>
                <w:color w:val="2F6B3B"/>
                <w:spacing w:val="24"/>
                <w:sz w:val="16"/>
                <w:szCs w:val="16"/>
              </w:rPr>
              <w:t>SPARTIPP</w:t>
            </w:r>
          </w:p>
          <w:p w14:paraId="70A4C814" w14:textId="06C0DA77" w:rsidR="00C1548D" w:rsidRDefault="009B1B4B">
            <w:pPr>
              <w:spacing w:after="80" w:line="264" w:lineRule="auto"/>
            </w:pPr>
            <w:r>
              <w:rPr>
                <w:sz w:val="20"/>
                <w:szCs w:val="20"/>
              </w:rPr>
              <w:t>Buche Flug, Umzugsfirma und die Kündigung deiner Wohnung erst, wenn das Visum im Pass ist, und wähle stornierbare Tarife. Ein „Temporary Refusal“ (Prüfung nach Section 221(g)) kann die Erteilung verzögern und laut Kanzleien später die ESTA-Nutzung sperren (siehe Kapitel </w:t>
            </w:r>
            <w:hyperlink w:anchor="k11" w:history="1">
              <w:r>
                <w:rPr>
                  <w:sz w:val="20"/>
                  <w:szCs w:val="20"/>
                </w:rPr>
                <w:t>11</w:t>
              </w:r>
            </w:hyperlink>
            <w:r>
              <w:rPr>
                <w:sz w:val="20"/>
                <w:szCs w:val="20"/>
              </w:rPr>
              <w:t>).</w:t>
            </w:r>
          </w:p>
        </w:tc>
      </w:tr>
    </w:tbl>
    <w:p w14:paraId="70A4C816"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819"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817" w14:textId="77777777" w:rsidR="00C1548D" w:rsidRDefault="009B1B4B">
            <w:pPr>
              <w:keepNext/>
              <w:spacing w:after="70" w:line="240" w:lineRule="auto"/>
            </w:pPr>
            <w:r>
              <w:rPr>
                <w:b/>
                <w:bCs/>
                <w:color w:val="4A5568"/>
                <w:spacing w:val="24"/>
                <w:sz w:val="16"/>
                <w:szCs w:val="16"/>
              </w:rPr>
              <w:t>PRAXISBEISPIEL · FIKTIV</w:t>
            </w:r>
          </w:p>
          <w:p w14:paraId="70A4C818" w14:textId="77777777" w:rsidR="00C1548D" w:rsidRDefault="009B1B4B">
            <w:pPr>
              <w:spacing w:after="80" w:line="264" w:lineRule="auto"/>
            </w:pPr>
            <w:r>
              <w:rPr>
                <w:sz w:val="20"/>
                <w:szCs w:val="20"/>
              </w:rPr>
              <w:t>Sabine Keller (fiktiv), 33, Softwareentwicklerin in München, hat im Januar ein Angebot aus Seattle. Die Kanzlei ihres Arbeitgebers meldet sie im März als Level III an. Am 31. März steht im Konto: ausgewählt – die Nachricht erreicht sie zwischen zwei Terminen, und sie liest die Zeile zweimal. Im April geht die Petition mit Premium Processing hinaus (2.965 $), binnen 15 Werktagen liegt die Entscheidung vor. Sabine füllt das DS-160 aus, stellt ihre Profile auf öffentlich, zahlt 205 $ Konsulargebühr und bekommt</w:t>
            </w:r>
            <w:r>
              <w:rPr>
                <w:sz w:val="20"/>
                <w:szCs w:val="20"/>
              </w:rPr>
              <w:t xml:space="preserve"> einen Termin in München. Einreisen darf sie ab dem 21. September, arbeiten ab dem 1. Oktober. Alle Behördengebühren trägt der Arbeitgeber.</w:t>
            </w:r>
          </w:p>
        </w:tc>
      </w:tr>
    </w:tbl>
    <w:p w14:paraId="70A4C81A" w14:textId="77777777" w:rsidR="00C1548D" w:rsidRDefault="00C1548D">
      <w:pPr>
        <w:spacing w:line="220" w:lineRule="exact"/>
      </w:pPr>
    </w:p>
    <w:p w14:paraId="70A4C81B" w14:textId="77777777" w:rsidR="00C1548D" w:rsidRDefault="009B1B4B">
      <w:pPr>
        <w:pStyle w:val="Heading3"/>
        <w:keepNext/>
        <w:jc w:val="center"/>
      </w:pPr>
      <w:r>
        <w:rPr>
          <w:rFonts w:ascii="Amazon Ember" w:eastAsia="Amazon Ember" w:hAnsi="Amazon Ember" w:cs="Amazon Ember"/>
          <w:color w:val="0000FF"/>
          <w:sz w:val="36"/>
          <w:szCs w:val="36"/>
        </w:rPr>
        <w:t>Mindestlohn: Prevailing Wage und geplante Änderungen</w:t>
      </w:r>
    </w:p>
    <w:p w14:paraId="70A4C81C" w14:textId="77777777" w:rsidR="00C1548D" w:rsidRDefault="009B1B4B">
      <w:pPr>
        <w:spacing w:after="140"/>
      </w:pPr>
      <w:r>
        <w:t>In der LCA sichert der Arbeitgeber zu, dass er dir mindestens den höheren von zwei Beträgen zahlt: den Lohn vergleichbarer Beschäftigter im eigenen Betrieb oder den ortsüblichen Mindestlohn für den Beruf (</w:t>
      </w:r>
      <w:r>
        <w:rPr>
          <w:i/>
          <w:iCs/>
        </w:rPr>
        <w:t>Prevailing Wage</w:t>
      </w:r>
      <w:r>
        <w:t xml:space="preserve">). Diesen Wert liefert das DOL aus </w:t>
      </w:r>
      <w:r>
        <w:lastRenderedPageBreak/>
        <w:t>seiner Lohnstatistik OEWS (</w:t>
      </w:r>
      <w:r>
        <w:rPr>
          <w:i/>
          <w:iCs/>
        </w:rPr>
        <w:t>Occupational Employment and Wage Statistics</w:t>
      </w:r>
      <w:r>
        <w:t>), gestaffelt nach Beruf, Ort und Stufe. Die Stufen entsprechen den Perzentilen aus der Tabelle oben: Level I heißt, dass 17 % der Beschäftigten des Berufs am Ort weniger verdienen, bei Level IV sind es 67 %.</w:t>
      </w:r>
    </w:p>
    <w:p w14:paraId="70A4C81D" w14:textId="77777777" w:rsidR="00C1548D" w:rsidRDefault="009B1B4B">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w14:paraId="70A4C81E" w14:textId="77777777" w:rsidR="00C1548D" w:rsidRDefault="009B1B4B">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um rund 14.000 $ im Jahr, bei Level I um mehr als 30 %. Der Entwurf würde auch für Green-Card-Verfahren (PERM) gelten und ab Wirksamkeit auch für anhängige Anträge. Die Kommentarfrist endete am 26. Mai 2026; bis zum 20. September 2026 gibt es keine Endfassung.</w:t>
      </w:r>
    </w:p>
    <w:p w14:paraId="70A4C81F" w14:textId="77777777" w:rsidR="00C1548D" w:rsidRDefault="009B1B4B">
      <w:pPr>
        <w:spacing w:after="140"/>
      </w:pPr>
      <w:r>
        <w:t>Für dich heißt das: Ein Angebot, das heute Level III erreicht, könnte danach nur noch Level II erreichen, also weniger Lose bringen. Frage nach dem Abstand deines Gehalts zur nächsten Stufe.</w:t>
      </w:r>
    </w:p>
    <w:p w14:paraId="70A4C820" w14:textId="77777777" w:rsidR="00C1548D" w:rsidRDefault="009B1B4B">
      <w:pPr>
        <w:pStyle w:val="Heading3"/>
        <w:keepNext/>
        <w:jc w:val="center"/>
      </w:pPr>
      <w:r>
        <w:rPr>
          <w:rFonts w:ascii="Amazon Ember" w:eastAsia="Amazon Ember" w:hAnsi="Amazon Ember" w:cs="Amazon Ember"/>
          <w:color w:val="0000FF"/>
          <w:sz w:val="36"/>
          <w:szCs w:val="36"/>
        </w:rPr>
        <w:t>Was das alles kostet: wer zahlt was</w:t>
      </w:r>
    </w:p>
    <w:p w14:paraId="70A4C821" w14:textId="77777777" w:rsidR="00C1548D" w:rsidRDefault="009B1B4B">
      <w:pPr>
        <w:spacing w:after="140"/>
      </w:pPr>
      <w:r>
        <w:t>Die Tabelle zeigt die Posten mit Stand September 2026 (Quelle: USCIS-Gebührenblatt G-1055, Ausgabe 9. September 2026, sowie Kanzleiangaben). Als Kleinbetrieb gilt ein Arbeitgeber mit bis zu 25 Beschäftigten.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11"/>
        <w:gridCol w:w="2200"/>
        <w:gridCol w:w="950"/>
        <w:gridCol w:w="2019"/>
      </w:tblGrid>
      <w:tr w:rsidR="00C1548D" w14:paraId="70A4C826" w14:textId="77777777">
        <w:tblPrEx>
          <w:tblCellMar>
            <w:top w:w="0" w:type="dxa"/>
            <w:bottom w:w="0" w:type="dxa"/>
          </w:tblCellMar>
        </w:tblPrEx>
        <w:trPr>
          <w:cantSplit/>
          <w:tblHeader/>
        </w:trPr>
        <w:tc>
          <w:tcPr>
            <w:tcW w:w="131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822" w14:textId="77777777" w:rsidR="00C1548D" w:rsidRDefault="009B1B4B">
            <w:pPr>
              <w:spacing w:line="250" w:lineRule="auto"/>
            </w:pPr>
            <w:r>
              <w:rPr>
                <w:b/>
                <w:bCs/>
                <w:sz w:val="18"/>
                <w:szCs w:val="18"/>
              </w:rPr>
              <w:t>Posten</w:t>
            </w:r>
          </w:p>
        </w:tc>
        <w:tc>
          <w:tcPr>
            <w:tcW w:w="22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823" w14:textId="77777777" w:rsidR="00C1548D" w:rsidRDefault="009B1B4B">
            <w:pPr>
              <w:spacing w:line="250" w:lineRule="auto"/>
            </w:pPr>
            <w:r>
              <w:rPr>
                <w:b/>
                <w:bCs/>
                <w:sz w:val="18"/>
                <w:szCs w:val="18"/>
              </w:rPr>
              <w:t>Betrag</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824" w14:textId="77777777" w:rsidR="00C1548D" w:rsidRDefault="009B1B4B">
            <w:pPr>
              <w:spacing w:line="250" w:lineRule="auto"/>
            </w:pPr>
            <w:r>
              <w:rPr>
                <w:b/>
                <w:bCs/>
                <w:sz w:val="18"/>
                <w:szCs w:val="18"/>
              </w:rPr>
              <w:t>Zahlt</w:t>
            </w:r>
          </w:p>
        </w:tc>
        <w:tc>
          <w:tcPr>
            <w:tcW w:w="201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825" w14:textId="77777777" w:rsidR="00C1548D" w:rsidRDefault="009B1B4B">
            <w:pPr>
              <w:spacing w:line="250" w:lineRule="auto"/>
            </w:pPr>
            <w:r>
              <w:rPr>
                <w:b/>
                <w:bCs/>
                <w:sz w:val="18"/>
                <w:szCs w:val="18"/>
              </w:rPr>
              <w:t>Hinweis</w:t>
            </w:r>
          </w:p>
        </w:tc>
      </w:tr>
      <w:tr w:rsidR="00C1548D" w14:paraId="70A4C82B"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27" w14:textId="77777777" w:rsidR="00C1548D" w:rsidRDefault="009B1B4B">
            <w:pPr>
              <w:spacing w:line="250" w:lineRule="auto"/>
            </w:pPr>
            <w:r>
              <w:rPr>
                <w:sz w:val="18"/>
                <w:szCs w:val="18"/>
              </w:rPr>
              <w:t>Registrierung</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28" w14:textId="77777777" w:rsidR="00C1548D" w:rsidRDefault="009B1B4B">
            <w:pPr>
              <w:spacing w:line="250" w:lineRule="auto"/>
            </w:pPr>
            <w:r>
              <w:rPr>
                <w:sz w:val="18"/>
                <w:szCs w:val="18"/>
              </w:rPr>
              <w:t>215 $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29" w14:textId="77777777" w:rsidR="00C1548D" w:rsidRDefault="009B1B4B">
            <w:pPr>
              <w:spacing w:line="250" w:lineRule="auto"/>
            </w:pPr>
            <w:r>
              <w:rPr>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2A" w14:textId="77777777" w:rsidR="00C1548D" w:rsidRDefault="009B1B4B">
            <w:pPr>
              <w:spacing w:line="250" w:lineRule="auto"/>
            </w:pPr>
            <w:r>
              <w:rPr>
                <w:sz w:val="18"/>
                <w:szCs w:val="18"/>
              </w:rPr>
              <w:t>nicht erstattbar</w:t>
            </w:r>
          </w:p>
        </w:tc>
      </w:tr>
      <w:tr w:rsidR="00C1548D" w14:paraId="70A4C830"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2C" w14:textId="77777777" w:rsidR="00C1548D" w:rsidRDefault="009B1B4B">
            <w:pPr>
              <w:spacing w:line="250" w:lineRule="auto"/>
            </w:pPr>
            <w:r>
              <w:rPr>
                <w:sz w:val="18"/>
                <w:szCs w:val="18"/>
              </w:rPr>
              <w:lastRenderedPageBreak/>
              <w:t>Form I-129</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2D" w14:textId="77777777" w:rsidR="00C1548D" w:rsidRDefault="009B1B4B">
            <w:pPr>
              <w:spacing w:line="250" w:lineRule="auto"/>
            </w:pPr>
            <w:r>
              <w:rPr>
                <w:sz w:val="18"/>
                <w:szCs w:val="18"/>
              </w:rPr>
              <w:t>780 $ Papier, 730 $ online, 460 $ Kleinbetrieb und Non-Profit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2E" w14:textId="77777777" w:rsidR="00C1548D" w:rsidRDefault="009B1B4B">
            <w:pPr>
              <w:spacing w:line="250" w:lineRule="auto"/>
            </w:pPr>
            <w:r>
              <w:rPr>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2F" w14:textId="77777777" w:rsidR="00C1548D" w:rsidRDefault="009B1B4B">
            <w:pPr>
              <w:spacing w:line="250" w:lineRule="auto"/>
            </w:pPr>
            <w:r>
              <w:rPr>
                <w:sz w:val="18"/>
                <w:szCs w:val="18"/>
              </w:rPr>
              <w:t>Petitionsgebühr</w:t>
            </w:r>
          </w:p>
        </w:tc>
      </w:tr>
      <w:tr w:rsidR="00C1548D" w14:paraId="70A4C835"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1" w14:textId="77777777" w:rsidR="00C1548D" w:rsidRDefault="009B1B4B">
            <w:pPr>
              <w:spacing w:line="250" w:lineRule="auto"/>
            </w:pPr>
            <w:r>
              <w:rPr>
                <w:sz w:val="18"/>
                <w:szCs w:val="18"/>
              </w:rPr>
              <w:t>ACWIA-Gebühr (Ausbildungsabgabe)</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2" w14:textId="77777777" w:rsidR="00C1548D" w:rsidRDefault="009B1B4B">
            <w:pPr>
              <w:spacing w:line="250" w:lineRule="auto"/>
            </w:pPr>
            <w:r>
              <w:rPr>
                <w:sz w:val="18"/>
                <w:szCs w:val="18"/>
              </w:rPr>
              <w:t>1.500 $ (ab 26 Beschäftigte), 750 $ (bis 25)</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3" w14:textId="77777777" w:rsidR="00C1548D" w:rsidRDefault="009B1B4B">
            <w:pPr>
              <w:spacing w:line="250" w:lineRule="auto"/>
            </w:pPr>
            <w:r>
              <w:rPr>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4" w14:textId="77777777" w:rsidR="00C1548D" w:rsidRDefault="009B1B4B">
            <w:pPr>
              <w:spacing w:line="250" w:lineRule="auto"/>
            </w:pPr>
            <w:r>
              <w:rPr>
                <w:sz w:val="18"/>
                <w:szCs w:val="18"/>
              </w:rPr>
              <w:t>nicht vom Lohn abziehbar; Hochschulen befreit</w:t>
            </w:r>
          </w:p>
        </w:tc>
      </w:tr>
      <w:tr w:rsidR="00C1548D" w14:paraId="70A4C83A"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6" w14:textId="77777777" w:rsidR="00C1548D" w:rsidRDefault="009B1B4B">
            <w:pPr>
              <w:spacing w:line="250" w:lineRule="auto"/>
            </w:pPr>
            <w:r>
              <w:rPr>
                <w:sz w:val="18"/>
                <w:szCs w:val="18"/>
              </w:rPr>
              <w:t>Fraud-Prevention-Gebühr</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7" w14:textId="77777777" w:rsidR="00C1548D" w:rsidRDefault="009B1B4B">
            <w:pPr>
              <w:spacing w:line="250" w:lineRule="auto"/>
            </w:pPr>
            <w:r>
              <w:rPr>
                <w:sz w:val="18"/>
                <w:szCs w:val="18"/>
              </w:rPr>
              <w:t>500 $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8" w14:textId="77777777" w:rsidR="00C1548D" w:rsidRDefault="009B1B4B">
            <w:pPr>
              <w:spacing w:line="250" w:lineRule="auto"/>
            </w:pPr>
            <w:r>
              <w:rPr>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9" w14:textId="77777777" w:rsidR="00C1548D" w:rsidRDefault="009B1B4B">
            <w:pPr>
              <w:spacing w:line="250" w:lineRule="auto"/>
            </w:pPr>
            <w:r>
              <w:rPr>
                <w:sz w:val="18"/>
                <w:szCs w:val="18"/>
              </w:rPr>
              <w:t>nur Erstpetition und Arbeitgeberwechsel</w:t>
            </w:r>
          </w:p>
        </w:tc>
      </w:tr>
      <w:tr w:rsidR="00C1548D" w14:paraId="70A4C83F"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B" w14:textId="77777777" w:rsidR="00C1548D" w:rsidRDefault="009B1B4B">
            <w:pPr>
              <w:spacing w:line="250" w:lineRule="auto"/>
            </w:pPr>
            <w:r>
              <w:rPr>
                <w:sz w:val="18"/>
                <w:szCs w:val="18"/>
              </w:rPr>
              <w:t>Asylum Program Fee</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C" w14:textId="77777777" w:rsidR="00C1548D" w:rsidRDefault="009B1B4B">
            <w:pPr>
              <w:spacing w:line="250" w:lineRule="auto"/>
            </w:pPr>
            <w:r>
              <w:rPr>
                <w:sz w:val="18"/>
                <w:szCs w:val="18"/>
              </w:rPr>
              <w:t>600 $ (Kleinbetrieb 300 $, Non-Profit 0 $)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D" w14:textId="77777777" w:rsidR="00C1548D" w:rsidRDefault="009B1B4B">
            <w:pPr>
              <w:spacing w:line="250" w:lineRule="auto"/>
            </w:pPr>
            <w:r>
              <w:rPr>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3E" w14:textId="77777777" w:rsidR="00C1548D" w:rsidRDefault="009B1B4B">
            <w:pPr>
              <w:spacing w:line="250" w:lineRule="auto"/>
            </w:pPr>
            <w:r>
              <w:rPr>
                <w:sz w:val="18"/>
                <w:szCs w:val="18"/>
              </w:rPr>
              <w:t>gesetzliche Abgabe (Pub. L. 119-21)</w:t>
            </w:r>
          </w:p>
        </w:tc>
      </w:tr>
      <w:tr w:rsidR="00C1548D" w14:paraId="70A4C844"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0" w14:textId="77777777" w:rsidR="00C1548D" w:rsidRDefault="009B1B4B">
            <w:pPr>
              <w:spacing w:line="250" w:lineRule="auto"/>
            </w:pPr>
            <w:r>
              <w:rPr>
                <w:sz w:val="18"/>
                <w:szCs w:val="18"/>
              </w:rPr>
              <w:t>Premium Processing</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1" w14:textId="77777777" w:rsidR="00C1548D" w:rsidRDefault="009B1B4B">
            <w:pPr>
              <w:spacing w:line="250" w:lineRule="auto"/>
            </w:pPr>
            <w:r>
              <w:rPr>
                <w:sz w:val="18"/>
                <w:szCs w:val="18"/>
              </w:rPr>
              <w:t>2.965 $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2" w14:textId="77777777" w:rsidR="00C1548D" w:rsidRDefault="009B1B4B">
            <w:pPr>
              <w:spacing w:line="250" w:lineRule="auto"/>
            </w:pPr>
            <w:r>
              <w:rPr>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3" w14:textId="77777777" w:rsidR="00C1548D" w:rsidRDefault="009B1B4B">
            <w:pPr>
              <w:spacing w:line="250" w:lineRule="auto"/>
            </w:pPr>
            <w:r>
              <w:rPr>
                <w:sz w:val="18"/>
                <w:szCs w:val="18"/>
              </w:rPr>
              <w:t>optional; du darfst dich beteiligen</w:t>
            </w:r>
          </w:p>
        </w:tc>
      </w:tr>
      <w:tr w:rsidR="00C1548D" w14:paraId="70A4C849"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5" w14:textId="77777777" w:rsidR="00C1548D" w:rsidRDefault="009B1B4B">
            <w:pPr>
              <w:spacing w:line="250" w:lineRule="auto"/>
            </w:pPr>
            <w:r>
              <w:rPr>
                <w:sz w:val="18"/>
                <w:szCs w:val="18"/>
              </w:rPr>
              <w:t>Anwaltskosten</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6" w14:textId="77777777" w:rsidR="00C1548D" w:rsidRDefault="009B1B4B">
            <w:pPr>
              <w:spacing w:line="250" w:lineRule="auto"/>
            </w:pPr>
            <w:r>
              <w:rPr>
                <w:sz w:val="18"/>
                <w:szCs w:val="18"/>
              </w:rPr>
              <w:t>1.500–4.000 $ und mehr; RFE-Antwort 1.000–3.000 $ und mehr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7" w14:textId="77777777" w:rsidR="00C1548D" w:rsidRDefault="009B1B4B">
            <w:pPr>
              <w:spacing w:line="250" w:lineRule="auto"/>
            </w:pPr>
            <w:r>
              <w:rPr>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8" w14:textId="77777777" w:rsidR="00C1548D" w:rsidRDefault="009B1B4B">
            <w:pPr>
              <w:spacing w:line="250" w:lineRule="auto"/>
            </w:pPr>
            <w:r>
              <w:rPr>
                <w:sz w:val="18"/>
                <w:szCs w:val="18"/>
              </w:rPr>
              <w:t>Schätzung einer Kanzlei-Quelle 2026</w:t>
            </w:r>
          </w:p>
        </w:tc>
      </w:tr>
      <w:tr w:rsidR="00C1548D" w14:paraId="70A4C84E"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A" w14:textId="77777777" w:rsidR="00C1548D" w:rsidRDefault="009B1B4B">
            <w:pPr>
              <w:spacing w:line="250" w:lineRule="auto"/>
            </w:pPr>
            <w:r>
              <w:rPr>
                <w:sz w:val="18"/>
                <w:szCs w:val="18"/>
              </w:rPr>
              <w:t>Konsulargebühr (MRV)</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B" w14:textId="77777777" w:rsidR="00C1548D" w:rsidRDefault="009B1B4B">
            <w:pPr>
              <w:spacing w:line="250" w:lineRule="auto"/>
            </w:pPr>
            <w:r>
              <w:rPr>
                <w:sz w:val="18"/>
                <w:szCs w:val="18"/>
              </w:rPr>
              <w:t>205 $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C" w14:textId="77777777" w:rsidR="00C1548D" w:rsidRDefault="009B1B4B">
            <w:pPr>
              <w:spacing w:line="250" w:lineRule="auto"/>
            </w:pPr>
            <w:r>
              <w:rPr>
                <w:sz w:val="18"/>
                <w:szCs w:val="18"/>
              </w:rPr>
              <w:t>meist du</w:t>
            </w:r>
          </w:p>
        </w:tc>
        <w:tc>
          <w:tcPr>
            <w:tcW w:w="20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D" w14:textId="77777777" w:rsidR="00C1548D" w:rsidRDefault="009B1B4B">
            <w:pPr>
              <w:spacing w:line="250" w:lineRule="auto"/>
            </w:pPr>
            <w:r>
              <w:rPr>
                <w:sz w:val="18"/>
                <w:szCs w:val="18"/>
              </w:rPr>
              <w:t>nicht erstattbar</w:t>
            </w:r>
          </w:p>
        </w:tc>
      </w:tr>
      <w:tr w:rsidR="00C1548D" w14:paraId="70A4C853"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4F" w14:textId="77777777" w:rsidR="00C1548D" w:rsidRDefault="009B1B4B">
            <w:pPr>
              <w:spacing w:line="250" w:lineRule="auto"/>
            </w:pPr>
            <w:r>
              <w:rPr>
                <w:sz w:val="18"/>
                <w:szCs w:val="18"/>
              </w:rPr>
              <w:t>Visa Integrity Fee</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50" w14:textId="77777777" w:rsidR="00C1548D" w:rsidRDefault="009B1B4B">
            <w:pPr>
              <w:spacing w:line="250" w:lineRule="auto"/>
            </w:pPr>
            <w:r>
              <w:rPr>
                <w:sz w:val="18"/>
                <w:szCs w:val="18"/>
              </w:rPr>
              <w:t>250 $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51" w14:textId="77777777" w:rsidR="00C1548D" w:rsidRDefault="009B1B4B">
            <w:pPr>
              <w:spacing w:line="250" w:lineRule="auto"/>
            </w:pPr>
            <w:r>
              <w:rPr>
                <w:sz w:val="18"/>
                <w:szCs w:val="18"/>
              </w:rPr>
              <w:t>offen</w:t>
            </w:r>
          </w:p>
        </w:tc>
        <w:tc>
          <w:tcPr>
            <w:tcW w:w="20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52" w14:textId="77777777" w:rsidR="00C1548D" w:rsidRDefault="009B1B4B">
            <w:pPr>
              <w:spacing w:line="250" w:lineRule="auto"/>
            </w:pPr>
            <w:r>
              <w:rPr>
                <w:sz w:val="18"/>
                <w:szCs w:val="18"/>
              </w:rPr>
              <w:t>bei Ausstellung; Erhebung uneinheitlich</w:t>
            </w:r>
          </w:p>
        </w:tc>
      </w:tr>
      <w:tr w:rsidR="00C1548D" w14:paraId="70A4C858"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54" w14:textId="77777777" w:rsidR="00C1548D" w:rsidRDefault="009B1B4B">
            <w:pPr>
              <w:spacing w:line="250" w:lineRule="auto"/>
            </w:pPr>
            <w:r>
              <w:rPr>
                <w:sz w:val="18"/>
                <w:szCs w:val="18"/>
              </w:rPr>
              <w:t>Familie im Inland</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55" w14:textId="77777777" w:rsidR="00C1548D" w:rsidRDefault="009B1B4B">
            <w:pPr>
              <w:spacing w:line="250" w:lineRule="auto"/>
            </w:pPr>
            <w:r>
              <w:rPr>
                <w:sz w:val="18"/>
                <w:szCs w:val="18"/>
              </w:rPr>
              <w:t>I-539: 470 $ Papier, 420 $ online; H-4-EAD (I-765): 520 $ Papier, 470 $ online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56" w14:textId="77777777" w:rsidR="00C1548D" w:rsidRDefault="009B1B4B">
            <w:pPr>
              <w:spacing w:line="250" w:lineRule="auto"/>
            </w:pPr>
            <w:r>
              <w:rPr>
                <w:sz w:val="18"/>
                <w:szCs w:val="18"/>
              </w:rPr>
              <w:t>meist du</w:t>
            </w:r>
          </w:p>
        </w:tc>
        <w:tc>
          <w:tcPr>
            <w:tcW w:w="20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57" w14:textId="4F59DF9E" w:rsidR="00C1548D" w:rsidRDefault="009B1B4B">
            <w:pPr>
              <w:spacing w:line="250" w:lineRule="auto"/>
            </w:pPr>
            <w:r>
              <w:rPr>
                <w:sz w:val="18"/>
                <w:szCs w:val="18"/>
              </w:rPr>
              <w:t>Verhandlungssache (siehe Kapitel </w:t>
            </w:r>
            <w:hyperlink w:anchor="k10" w:history="1">
              <w:r>
                <w:rPr>
                  <w:sz w:val="18"/>
                  <w:szCs w:val="18"/>
                </w:rPr>
                <w:t>10</w:t>
              </w:r>
            </w:hyperlink>
            <w:r>
              <w:rPr>
                <w:sz w:val="18"/>
                <w:szCs w:val="18"/>
              </w:rPr>
              <w:t>)</w:t>
            </w:r>
          </w:p>
        </w:tc>
      </w:tr>
      <w:tr w:rsidR="00C1548D" w14:paraId="70A4C85D"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59" w14:textId="77777777" w:rsidR="00C1548D" w:rsidRDefault="009B1B4B">
            <w:pPr>
              <w:spacing w:line="250" w:lineRule="auto"/>
            </w:pPr>
            <w:r>
              <w:rPr>
                <w:sz w:val="18"/>
                <w:szCs w:val="18"/>
              </w:rPr>
              <w:t>100.000 $ / 103.265 $</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5A" w14:textId="77777777" w:rsidR="00C1548D" w:rsidRDefault="009B1B4B">
            <w:pPr>
              <w:spacing w:line="250" w:lineRule="auto"/>
            </w:pPr>
            <w:r>
              <w:rPr>
                <w:sz w:val="18"/>
                <w:szCs w:val="18"/>
              </w:rPr>
              <w:t>siehe oben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5B" w14:textId="77777777" w:rsidR="00C1548D" w:rsidRDefault="009B1B4B">
            <w:pPr>
              <w:spacing w:line="250" w:lineRule="auto"/>
            </w:pPr>
            <w:r>
              <w:rPr>
                <w:sz w:val="18"/>
                <w:szCs w:val="18"/>
              </w:rPr>
              <w:t>Arbeitgeber</w:t>
            </w:r>
          </w:p>
        </w:tc>
        <w:tc>
          <w:tcPr>
            <w:tcW w:w="20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5C" w14:textId="77777777" w:rsidR="00C1548D" w:rsidRDefault="009B1B4B">
            <w:pPr>
              <w:spacing w:line="250" w:lineRule="auto"/>
            </w:pPr>
            <w:r>
              <w:rPr>
                <w:sz w:val="18"/>
                <w:szCs w:val="18"/>
              </w:rPr>
              <w:t>blockiert bzw. nur Entwurf</w:t>
            </w:r>
          </w:p>
        </w:tc>
      </w:tr>
    </w:tbl>
    <w:p w14:paraId="70A4C85E" w14:textId="77777777" w:rsidR="00C1548D" w:rsidRDefault="00C1548D">
      <w:pPr>
        <w:spacing w:line="180" w:lineRule="exact"/>
      </w:pPr>
    </w:p>
    <w:p w14:paraId="70A4C85F" w14:textId="77777777" w:rsidR="00C1548D" w:rsidRDefault="009B1B4B">
      <w:pPr>
        <w:spacing w:after="140"/>
      </w:pPr>
      <w:r>
        <w:t>Für einen Großbetrieb summieren sich die Behördengebühren auf 3.380 $ bei Papiereinreichung (3.330 $ online), für einen Kleinbetrieb auf 2.010 $, jeweils plus 215 $ Registrierung (eigene Summe aus dem Gebührenblatt). Mit einem Anwaltshonorar von 1.500–4.000 $ sind das für einen Großbetrieb grob 5.100–7.600 $, mit Premium Processing 8.100–10.600 $.</w:t>
      </w:r>
    </w:p>
    <w:p w14:paraId="70A4C860" w14:textId="77777777" w:rsidR="00C1548D" w:rsidRDefault="009B1B4B">
      <w:pPr>
        <w:spacing w:after="140"/>
      </w:pPr>
      <w:r>
        <w:t>Die 9-11 Response and Biometric Entry-Exit Fee von 4.000 $ trifft nur Arbeitgeber mit mindestens 50 Beschäftigten, von denen mehr als die Hälfte H-1B oder L-1 haben, also vor allem Outsourcing-</w:t>
      </w:r>
      <w:r>
        <w:lastRenderedPageBreak/>
        <w:t>Firmen. Seit dem 9. September 2026 gilt sie auch bei Verlängerungen.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86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861" w14:textId="77777777" w:rsidR="00C1548D" w:rsidRDefault="009B1B4B">
            <w:pPr>
              <w:keepNext/>
              <w:spacing w:after="70" w:line="240" w:lineRule="auto"/>
            </w:pPr>
            <w:r>
              <w:rPr>
                <w:b/>
                <w:bCs/>
                <w:color w:val="9B2C2C"/>
                <w:spacing w:val="24"/>
                <w:sz w:val="16"/>
                <w:szCs w:val="16"/>
              </w:rPr>
              <w:t>ACHTUNG</w:t>
            </w:r>
          </w:p>
          <w:p w14:paraId="70A4C862" w14:textId="77777777" w:rsidR="00C1548D" w:rsidRDefault="009B1B4B">
            <w:pPr>
              <w:spacing w:after="80" w:line="264" w:lineRule="auto"/>
            </w:pPr>
            <w:r>
              <w:rPr>
                <w:sz w:val="20"/>
                <w:szCs w:val="20"/>
              </w:rPr>
              <w:t>Der Arbeitgeber darf die ACWIA-Gebühr nicht von dir zurückfordern, ebenso wenig Anwalts- und Petitionskosten, die zum H-1B-Programm gehören (20 CFR 655.731). Vertragsstrafen für vorzeitiges Ausscheiden sind unzulässig; Klauseln über echten pauschalierten Schadensersatz (</w:t>
            </w:r>
            <w:r>
              <w:rPr>
                <w:i/>
                <w:iCs/>
                <w:sz w:val="20"/>
                <w:szCs w:val="20"/>
              </w:rPr>
              <w:t>Liquidated Damages</w:t>
            </w:r>
            <w:r>
              <w:rPr>
                <w:sz w:val="20"/>
                <w:szCs w:val="20"/>
              </w:rPr>
              <w:t>) können nach Landesrecht dagegen erlaubt sein. Lass Rückzahlungsklauseln im Jobangebot (</w:t>
            </w:r>
            <w:r>
              <w:rPr>
                <w:i/>
                <w:iCs/>
                <w:sz w:val="20"/>
                <w:szCs w:val="20"/>
              </w:rPr>
              <w:t>Offer Letter</w:t>
            </w:r>
            <w:r>
              <w:rPr>
                <w:sz w:val="20"/>
                <w:szCs w:val="20"/>
              </w:rPr>
              <w:t>) prüfen, bevor du unterschreibst.</w:t>
            </w:r>
          </w:p>
        </w:tc>
      </w:tr>
    </w:tbl>
    <w:p w14:paraId="70A4C864"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86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C865" w14:textId="77777777" w:rsidR="00C1548D" w:rsidRDefault="009B1B4B">
            <w:pPr>
              <w:keepNext/>
              <w:spacing w:after="70" w:line="240" w:lineRule="auto"/>
            </w:pPr>
            <w:r>
              <w:rPr>
                <w:b/>
                <w:bCs/>
                <w:color w:val="2F6B3B"/>
                <w:spacing w:val="24"/>
                <w:sz w:val="16"/>
                <w:szCs w:val="16"/>
              </w:rPr>
              <w:t>SPARTIPP</w:t>
            </w:r>
          </w:p>
          <w:p w14:paraId="70A4C866" w14:textId="77777777" w:rsidR="00C1548D" w:rsidRDefault="009B1B4B">
            <w:pPr>
              <w:spacing w:after="80" w:line="264" w:lineRule="auto"/>
            </w:pPr>
            <w:r>
              <w:rPr>
                <w:sz w:val="20"/>
                <w:szCs w:val="20"/>
              </w:rPr>
              <w:t>Verhandle die Kosten, die bei dir landen, vor der Unterschrift: Konsulargebühren für dich und deine Familie, Visa Integrity Fee, H-4-Anträge und Umzug. Allein die Familienanträge im Inland kosten mehrere Hundert Dollar.</w:t>
            </w:r>
          </w:p>
        </w:tc>
      </w:tr>
    </w:tbl>
    <w:p w14:paraId="70A4C868" w14:textId="77777777" w:rsidR="00C1548D" w:rsidRDefault="00C1548D">
      <w:pPr>
        <w:spacing w:line="220" w:lineRule="exact"/>
      </w:pPr>
    </w:p>
    <w:p w14:paraId="70A4C869" w14:textId="77777777" w:rsidR="00C1548D" w:rsidRDefault="009B1B4B">
      <w:pPr>
        <w:pStyle w:val="Heading3"/>
        <w:keepNext/>
        <w:jc w:val="center"/>
      </w:pPr>
      <w:r>
        <w:rPr>
          <w:rFonts w:ascii="Amazon Ember" w:eastAsia="Amazon Ember" w:hAnsi="Amazon Ember" w:cs="Amazon Ember"/>
          <w:color w:val="0000FF"/>
          <w:sz w:val="36"/>
          <w:szCs w:val="36"/>
        </w:rPr>
        <w:t>Dauer: 3 + 3 Jahre und was danach kommt</w:t>
      </w:r>
    </w:p>
    <w:p w14:paraId="70A4C86A" w14:textId="77777777" w:rsidR="00C1548D" w:rsidRDefault="009B1B4B">
      <w:pPr>
        <w:spacing w:after="140"/>
      </w:pPr>
      <w:r>
        <w:t xml:space="preserve">Die Erstgenehmigung gilt bis zu drei Jahre, die Verlängerung um bis zu weitere drei: zusammen höchstens sechs Jahre. Darüber hinaus gibt es nur Verlängerungen im Zuge eines Green-Card-Verfahrens (nach den Regeln des Gesetzes </w:t>
      </w:r>
      <w:r>
        <w:rPr>
          <w:i/>
          <w:iCs/>
        </w:rPr>
        <w:t>AC21</w:t>
      </w:r>
      <w:r>
        <w:t>):</w:t>
      </w:r>
    </w:p>
    <w:p w14:paraId="70A4C86B" w14:textId="77777777" w:rsidR="00C1548D" w:rsidRDefault="009B1B4B" w:rsidP="009B1B4B">
      <w:pPr>
        <w:pStyle w:val="ListParagraph"/>
        <w:numPr>
          <w:ilvl w:val="0"/>
          <w:numId w:val="1"/>
        </w:numPr>
        <w:spacing w:after="60"/>
      </w:pPr>
      <w:r>
        <w:rPr>
          <w:b/>
          <w:bCs/>
        </w:rPr>
        <w:t>Drei-Jahres-Schritte,</w:t>
      </w:r>
      <w:r>
        <w:t xml:space="preserve"> wenn für dich eine I-140 (Einwanderungspetition des Arbeitgebers) genehmigt ist, aber noch kein Visum verfügbar ist. Das betrifft vor allem lange Warteschlangen wie bei Indien und China.</w:t>
      </w:r>
    </w:p>
    <w:p w14:paraId="70A4C86C" w14:textId="77777777" w:rsidR="00C1548D" w:rsidRDefault="009B1B4B" w:rsidP="009B1B4B">
      <w:pPr>
        <w:pStyle w:val="ListParagraph"/>
        <w:numPr>
          <w:ilvl w:val="0"/>
          <w:numId w:val="1"/>
        </w:numPr>
        <w:spacing w:after="60"/>
      </w:pPr>
      <w:r>
        <w:rPr>
          <w:b/>
          <w:bCs/>
        </w:rPr>
        <w:t>Ein-Jahres-Schritte,</w:t>
      </w:r>
      <w:r>
        <w:t xml:space="preserve"> wenn das Arbeitsmarktverfahren PERM oder die I-140 seit mindestens 365 Tagen anhängig ist.</w:t>
      </w:r>
    </w:p>
    <w:p w14:paraId="70A4C86D" w14:textId="77777777" w:rsidR="00C1548D" w:rsidRDefault="00C1548D">
      <w:pPr>
        <w:spacing w:line="120" w:lineRule="exact"/>
      </w:pPr>
    </w:p>
    <w:p w14:paraId="70A4C86E" w14:textId="77777777" w:rsidR="00C1548D" w:rsidRDefault="009B1B4B">
      <w:pPr>
        <w:spacing w:after="140"/>
      </w:pPr>
      <w:r>
        <w:t>Zeiten außerhalb der USA von mehr als 24 Stunden zählen nicht zu den sechs Jahren und lassen sich später zurückholen (</w:t>
      </w:r>
      <w:r>
        <w:rPr>
          <w:i/>
          <w:iCs/>
        </w:rPr>
        <w:t>Recapture</w:t>
      </w:r>
      <w:r>
        <w:t xml:space="preserve">). </w:t>
      </w:r>
      <w:r>
        <w:lastRenderedPageBreak/>
        <w:t>Den Nachweis (Pässe, I-94, Tickets) führt der Arbeitgeber – sammle also deine Reiseunterlagen. Sind die sechs Jahre ausgeschöpft, ist ein neuer H- oder L-Aufenthalt erst nach einem Jahr außerhalb der USA möglich.</w:t>
      </w:r>
    </w:p>
    <w:p w14:paraId="70A4C86F" w14:textId="39EBC10B" w:rsidR="00C1548D" w:rsidRDefault="009B1B4B">
      <w:pPr>
        <w:spacing w:after="140"/>
      </w:pPr>
      <w:r>
        <w:t>Für Deutsche ist die Green-Card-Warteschlange in der Regel deutlich kürzer als für Indien oder China. Den Ablauf (PERM, I-140, I-485) erklärt Kapitel </w:t>
      </w:r>
      <w:hyperlink w:anchor="k6" w:history="1">
        <w:r>
          <w:t>6</w:t>
        </w:r>
      </w:hyperlink>
      <w:r>
        <w:t>, den Vergleich mit dem H-1B Kapitel </w:t>
      </w:r>
      <w:hyperlink w:anchor="k7" w:history="1">
        <w:r>
          <w:t>7</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87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870" w14:textId="77777777" w:rsidR="00C1548D" w:rsidRDefault="009B1B4B">
            <w:pPr>
              <w:keepNext/>
              <w:spacing w:after="70" w:line="240" w:lineRule="auto"/>
            </w:pPr>
            <w:r>
              <w:rPr>
                <w:b/>
                <w:bCs/>
                <w:color w:val="8A6212"/>
                <w:spacing w:val="24"/>
                <w:sz w:val="16"/>
                <w:szCs w:val="16"/>
              </w:rPr>
              <w:t>MERKE</w:t>
            </w:r>
          </w:p>
          <w:p w14:paraId="70A4C871" w14:textId="1B4781E9" w:rsidR="00C1548D" w:rsidRDefault="009B1B4B">
            <w:pPr>
              <w:spacing w:after="80" w:line="264" w:lineRule="auto"/>
            </w:pPr>
            <w:r>
              <w:rPr>
                <w:sz w:val="20"/>
                <w:szCs w:val="20"/>
              </w:rPr>
              <w:t>Die Sechs-Jahres-Uhr läuft, solange du im H-1B-Status in den USA bist. Wann du das Green-Card-Verfahren starten solltest und wie du es vertraglich absicherst, klärt Kapitel </w:t>
            </w:r>
            <w:hyperlink w:anchor="k7" w:history="1">
              <w:r>
                <w:rPr>
                  <w:sz w:val="20"/>
                  <w:szCs w:val="20"/>
                </w:rPr>
                <w:t>7</w:t>
              </w:r>
            </w:hyperlink>
            <w:r>
              <w:rPr>
                <w:sz w:val="20"/>
                <w:szCs w:val="20"/>
              </w:rPr>
              <w:t>.</w:t>
            </w:r>
          </w:p>
        </w:tc>
      </w:tr>
    </w:tbl>
    <w:p w14:paraId="70A4C873" w14:textId="77777777" w:rsidR="00C1548D" w:rsidRDefault="00C1548D">
      <w:pPr>
        <w:spacing w:line="220" w:lineRule="exact"/>
      </w:pPr>
    </w:p>
    <w:p w14:paraId="70A4C874" w14:textId="77777777" w:rsidR="00C1548D" w:rsidRDefault="009B1B4B">
      <w:pPr>
        <w:pStyle w:val="Heading3"/>
        <w:keepNext/>
        <w:jc w:val="center"/>
      </w:pPr>
      <w:r>
        <w:rPr>
          <w:rFonts w:ascii="Amazon Ember" w:eastAsia="Amazon Ember" w:hAnsi="Amazon Ember" w:cs="Amazon Ember"/>
          <w:color w:val="0000FF"/>
          <w:sz w:val="36"/>
          <w:szCs w:val="36"/>
        </w:rPr>
        <w:t>Cap-exempt-Arbeitgeber: der Weg ohne Lotterie</w:t>
      </w:r>
    </w:p>
    <w:p w14:paraId="70A4C875" w14:textId="77777777" w:rsidR="00C1548D" w:rsidRDefault="009B1B4B">
      <w:pPr>
        <w:spacing w:after="140"/>
      </w:pPr>
      <w:r>
        <w:t>Manche Arbeitgeber unterliegen der Quote nicht (</w:t>
      </w:r>
      <w:r>
        <w:rPr>
          <w:i/>
          <w:iCs/>
        </w:rPr>
        <w:t>Cap-exempt</w:t>
      </w:r>
      <w:r>
        <w: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zudem weniger (I-129: 460 $, Asylum Program Fee: 0 $).</w:t>
      </w:r>
    </w:p>
    <w:p w14:paraId="70A4C876" w14:textId="77777777" w:rsidR="00C1548D" w:rsidRDefault="009B1B4B">
      <w:pPr>
        <w:spacing w:after="140"/>
      </w:pPr>
      <w:r>
        <w:t>Es gibt Grenzen. Die 100.000-$-Proklamation erfasst nach der USCIS-Leitlinie auch Cap-exempt-Arbeitgeber, wenn die Person aus dem Ausland kommt (derzeit blockiert); der Entwurf über 103.265 $ nimmt sie nach Kanzleiangaben aus. Wer später zu einem Arbeitgeber wechselt, der der Quote unterliegt (</w:t>
      </w:r>
      <w:r>
        <w:rPr>
          <w:i/>
          <w:iCs/>
        </w:rPr>
        <w:t>Cap-subject</w:t>
      </w:r>
      <w:r>
        <w:t>), etwa in die Industrie, braucht eine Registrierung im März und startet frühestens am 1. Oktober. Bis dahin ist Parallelbeschäftigung möglich, solange die Cap-exempt-Stelle besteht.</w:t>
      </w:r>
    </w:p>
    <w:p w14:paraId="70A4C877" w14:textId="77777777" w:rsidR="00C1548D" w:rsidRDefault="009B1B4B">
      <w:pPr>
        <w:pStyle w:val="Heading3"/>
        <w:keepNext/>
        <w:jc w:val="center"/>
      </w:pPr>
      <w:r>
        <w:rPr>
          <w:rFonts w:ascii="Amazon Ember" w:eastAsia="Amazon Ember" w:hAnsi="Amazon Ember" w:cs="Amazon Ember"/>
          <w:color w:val="0000FF"/>
          <w:sz w:val="36"/>
          <w:szCs w:val="36"/>
        </w:rPr>
        <w:lastRenderedPageBreak/>
        <w:t>Rechte und Pflichten</w:t>
      </w:r>
    </w:p>
    <w:p w14:paraId="70A4C878" w14:textId="77777777" w:rsidR="00C1548D" w:rsidRDefault="009B1B4B">
      <w:pPr>
        <w:spacing w:after="140"/>
      </w:pPr>
      <w:r>
        <w:rPr>
          <w:b/>
          <w:bCs/>
        </w:rPr>
        <w:t>Das steht dir zu:</w:t>
      </w:r>
    </w:p>
    <w:p w14:paraId="70A4C879" w14:textId="77777777" w:rsidR="00C1548D" w:rsidRDefault="009B1B4B" w:rsidP="009B1B4B">
      <w:pPr>
        <w:pStyle w:val="ListParagraph"/>
        <w:numPr>
          <w:ilvl w:val="0"/>
          <w:numId w:val="1"/>
        </w:numPr>
        <w:spacing w:after="60"/>
      </w:pPr>
      <w:r>
        <w:t>Arbeit beim Arbeitgeber der Petition, in der beschriebenen Stelle und am Ort der LCA.</w:t>
      </w:r>
    </w:p>
    <w:p w14:paraId="70A4C87A" w14:textId="77777777" w:rsidR="00C1548D" w:rsidRDefault="009B1B4B" w:rsidP="009B1B4B">
      <w:pPr>
        <w:pStyle w:val="ListParagraph"/>
        <w:numPr>
          <w:ilvl w:val="0"/>
          <w:numId w:val="1"/>
        </w:numPr>
        <w:spacing w:after="60"/>
      </w:pPr>
      <w:r>
        <w:t>Mindestens der zugesicherte Lohn (siehe oben) und Zusatzleistungen wie Krankenversicherung zu den Bedingungen, die vergleichbare US-Beschäftigte erhalten.</w:t>
      </w:r>
    </w:p>
    <w:p w14:paraId="70A4C87B" w14:textId="0335AECA" w:rsidR="00C1548D" w:rsidRDefault="009B1B4B" w:rsidP="009B1B4B">
      <w:pPr>
        <w:pStyle w:val="ListParagraph"/>
        <w:numPr>
          <w:ilvl w:val="0"/>
          <w:numId w:val="1"/>
        </w:numPr>
        <w:spacing w:after="60"/>
      </w:pPr>
      <w:r>
        <w:t>Ein Arbeitgeberwechsel ohne neue Lotterie (</w:t>
      </w:r>
      <w:r>
        <w:rPr>
          <w:i/>
          <w:iCs/>
        </w:rPr>
        <w:t>Portabilität</w:t>
      </w:r>
      <w:r>
        <w:t>): Du darfst beim neuen Arbeitgeber arbeiten, sobald dessen Petition eingereicht ist (siehe Kapitel </w:t>
      </w:r>
      <w:hyperlink w:anchor="k30" w:history="1">
        <w:r>
          <w:t>30</w:t>
        </w:r>
      </w:hyperlink>
      <w:r>
        <w:t>).</w:t>
      </w:r>
    </w:p>
    <w:p w14:paraId="70A4C87C" w14:textId="51D3EF81" w:rsidR="00C1548D" w:rsidRDefault="009B1B4B" w:rsidP="009B1B4B">
      <w:pPr>
        <w:pStyle w:val="ListParagraph"/>
        <w:numPr>
          <w:ilvl w:val="0"/>
          <w:numId w:val="1"/>
        </w:numPr>
        <w:spacing w:after="60"/>
      </w:pPr>
      <w:r>
        <w:t>Mitreise von Ehepartner und unverheirateten Kindern unter 21 mit H-4. Der Partner darf nur mit eigener Arbeitserlaubnis (</w:t>
      </w:r>
      <w:r>
        <w:rPr>
          <w:i/>
          <w:iCs/>
        </w:rPr>
        <w:t>H-4-EAD</w:t>
      </w:r>
      <w:r>
        <w:t>) arbeiten; die gibt es erst, wenn für dich eine I-140 genehmigt oder der H-1B über sechs Jahre hinaus verlängert ist (siehe Kapitel </w:t>
      </w:r>
      <w:hyperlink w:anchor="k10" w:history="1">
        <w:r>
          <w:t>10</w:t>
        </w:r>
      </w:hyperlink>
      <w:r>
        <w:t>).</w:t>
      </w:r>
    </w:p>
    <w:p w14:paraId="70A4C87D" w14:textId="77777777" w:rsidR="00C1548D" w:rsidRDefault="009B1B4B" w:rsidP="009B1B4B">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w14:paraId="70A4C87E" w14:textId="77777777" w:rsidR="00C1548D" w:rsidRDefault="00C1548D">
      <w:pPr>
        <w:spacing w:line="120" w:lineRule="exact"/>
      </w:pPr>
    </w:p>
    <w:p w14:paraId="70A4C87F" w14:textId="77777777" w:rsidR="00C1548D" w:rsidRDefault="009B1B4B">
      <w:pPr>
        <w:spacing w:after="140"/>
      </w:pPr>
      <w:r>
        <w:rPr>
          <w:b/>
          <w:bCs/>
        </w:rPr>
        <w:t>Das musst du:</w:t>
      </w:r>
    </w:p>
    <w:p w14:paraId="70A4C880" w14:textId="77777777" w:rsidR="00C1548D" w:rsidRDefault="009B1B4B" w:rsidP="009B1B4B">
      <w:pPr>
        <w:pStyle w:val="ListParagraph"/>
        <w:numPr>
          <w:ilvl w:val="0"/>
          <w:numId w:val="1"/>
        </w:numPr>
        <w:spacing w:after="60"/>
      </w:pPr>
      <w:r>
        <w:t>Nur für den Sponsor arbeiten. Nebenjob oder Freiberuflichkeit brauchen eine zweite Petition mit eigener LCA.</w:t>
      </w:r>
    </w:p>
    <w:p w14:paraId="70A4C881" w14:textId="4360F541" w:rsidR="00C1548D" w:rsidRDefault="009B1B4B" w:rsidP="009B1B4B">
      <w:pPr>
        <w:pStyle w:val="ListParagraph"/>
        <w:numPr>
          <w:ilvl w:val="0"/>
          <w:numId w:val="1"/>
        </w:numPr>
        <w:spacing w:after="60"/>
      </w:pPr>
      <w:r>
        <w:t>Wesentliche Änderungen (Umzug außerhalb des Beschäftigungsgebiets, neue Aufgaben) nur mit neuer LCA und geänderter Petition (siehe Kapitel </w:t>
      </w:r>
      <w:hyperlink w:anchor="k30" w:history="1">
        <w:r>
          <w:t>30</w:t>
        </w:r>
      </w:hyperlink>
      <w:r>
        <w:t>).</w:t>
      </w:r>
    </w:p>
    <w:p w14:paraId="70A4C882" w14:textId="77777777" w:rsidR="00C1548D" w:rsidRDefault="009B1B4B" w:rsidP="009B1B4B">
      <w:pPr>
        <w:pStyle w:val="ListParagraph"/>
        <w:numPr>
          <w:ilvl w:val="0"/>
          <w:numId w:val="1"/>
        </w:numPr>
        <w:spacing w:after="60"/>
      </w:pPr>
      <w:r>
        <w:t>Eine neue Adresse binnen zehn Tagen mit Formular AR-11 melden.</w:t>
      </w:r>
    </w:p>
    <w:p w14:paraId="70A4C883" w14:textId="77777777" w:rsidR="00C1548D" w:rsidRDefault="009B1B4B" w:rsidP="009B1B4B">
      <w:pPr>
        <w:pStyle w:val="ListParagraph"/>
        <w:numPr>
          <w:ilvl w:val="0"/>
          <w:numId w:val="1"/>
        </w:numPr>
        <w:spacing w:after="60"/>
      </w:pPr>
      <w:r>
        <w:t>Auf das I-94-Datum achten: Es entscheidet über deinen erlaubten Aufenthalt, nicht das Visum.</w:t>
      </w:r>
    </w:p>
    <w:p w14:paraId="70A4C884" w14:textId="77777777" w:rsidR="00C1548D" w:rsidRDefault="00C1548D">
      <w:pPr>
        <w:spacing w:line="120" w:lineRule="exact"/>
      </w:pPr>
    </w:p>
    <w:p w14:paraId="70A4C885" w14:textId="77777777" w:rsidR="00C1548D" w:rsidRDefault="009B1B4B">
      <w:pPr>
        <w:pStyle w:val="Heading4"/>
        <w:keepNext/>
        <w:jc w:val="center"/>
      </w:pPr>
      <w:r>
        <w:rPr>
          <w:rFonts w:ascii="Amazon Ember" w:eastAsia="Amazon Ember" w:hAnsi="Amazon Ember" w:cs="Amazon Ember"/>
          <w:color w:val="0000FF"/>
          <w:sz w:val="36"/>
          <w:szCs w:val="36"/>
        </w:rPr>
        <w:lastRenderedPageBreak/>
        <w:t>Wenn der Job endet</w:t>
      </w:r>
    </w:p>
    <w:p w14:paraId="70A4C886" w14:textId="77777777" w:rsidR="00C1548D" w:rsidRDefault="009B1B4B">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w14:paraId="70A4C887" w14:textId="77777777" w:rsidR="00C1548D" w:rsidRDefault="009B1B4B">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w14:paraId="70A4C888" w14:textId="10F4CFEF" w:rsidR="00C1548D" w:rsidRDefault="009B1B4B">
      <w:pPr>
        <w:spacing w:after="140"/>
      </w:pPr>
      <w:r>
        <w:t>Anders als in Deutschland gibt es keinen allgemeinen Kündigungsschutz (</w:t>
      </w:r>
      <w:r>
        <w:rPr>
          <w:i/>
          <w:iCs/>
        </w:rPr>
        <w:t>At-will Employment</w:t>
      </w:r>
      <w:r>
        <w:t>, Kündigung ohne Grund möglich) – und am Job hängt dein Status. Notfallplan, WARN Act, COBRA und Abfindung stehen in Kapitel </w:t>
      </w:r>
      <w:hyperlink w:anchor="k30" w:history="1">
        <w:r>
          <w:t>30</w:t>
        </w:r>
      </w:hyperlink>
      <w:r>
        <w:t>, das Arbeitsrecht in Kapitel </w:t>
      </w:r>
      <w:hyperlink w:anchor="k29" w:history="1">
        <w:r>
          <w:t>29</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88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889" w14:textId="77777777" w:rsidR="00C1548D" w:rsidRDefault="009B1B4B">
            <w:pPr>
              <w:keepNext/>
              <w:spacing w:after="70" w:line="240" w:lineRule="auto"/>
            </w:pPr>
            <w:r>
              <w:rPr>
                <w:b/>
                <w:bCs/>
                <w:color w:val="9B2C2C"/>
                <w:spacing w:val="24"/>
                <w:sz w:val="16"/>
                <w:szCs w:val="16"/>
              </w:rPr>
              <w:t>ACHTUNG</w:t>
            </w:r>
          </w:p>
          <w:p w14:paraId="70A4C88A" w14:textId="2D4E572A" w:rsidR="00C1548D" w:rsidRDefault="009B1B4B">
            <w:pPr>
              <w:spacing w:after="80" w:line="264" w:lineRule="auto"/>
            </w:pPr>
            <w:r>
              <w:rPr>
                <w:sz w:val="20"/>
                <w:szCs w:val="20"/>
              </w:rPr>
              <w:t>Kündige erst, wenn die Petition des neuen Arbeitgebers eingereicht ist. Die Portabilität greift mit der Einreichung einer nicht offensichtlich aussichtslosen Petition, nicht mit dem Angebot. Wechselst du von einem Cap-exempt-Arbeitgeber in einen Cap-subject-Job, brauchst du zuerst eine Registrierung im März (siehe Kapitel </w:t>
            </w:r>
            <w:hyperlink w:anchor="k30" w:history="1">
              <w:r>
                <w:rPr>
                  <w:sz w:val="20"/>
                  <w:szCs w:val="20"/>
                </w:rPr>
                <w:t>30</w:t>
              </w:r>
            </w:hyperlink>
            <w:r>
              <w:rPr>
                <w:sz w:val="20"/>
                <w:szCs w:val="20"/>
              </w:rPr>
              <w:t>).</w:t>
            </w:r>
          </w:p>
        </w:tc>
      </w:tr>
    </w:tbl>
    <w:p w14:paraId="70A4C88C" w14:textId="77777777" w:rsidR="00C1548D" w:rsidRDefault="00C1548D">
      <w:pPr>
        <w:spacing w:line="220" w:lineRule="exact"/>
      </w:pPr>
    </w:p>
    <w:p w14:paraId="70A4C88D" w14:textId="77777777" w:rsidR="00C1548D" w:rsidRDefault="009B1B4B">
      <w:pPr>
        <w:spacing w:after="140"/>
      </w:pPr>
      <w:r>
        <w:t>Seit dem 18. September 2026 sollen US-Behörden nach einer Präsidialverfügung (</w:t>
      </w:r>
      <w:r>
        <w:rPr>
          <w:i/>
          <w:iCs/>
        </w:rPr>
        <w:t>Executive Order</w:t>
      </w:r>
      <w:r>
        <w:t>) bei LCA, Petition und Visum auch frühere Entlassungen ähnlich qualifizierter US-Beschäftigter beim Arbeitgeber berücksichtigen; die Umsetzung ist offen. Kanzleien raten, im Bewerbungsprozess nach Stellenabbau in den letzten zwölf Monaten zu fragen.</w:t>
      </w:r>
    </w:p>
    <w:p w14:paraId="70A4C88E" w14:textId="77777777" w:rsidR="00C1548D" w:rsidRDefault="009B1B4B">
      <w:pPr>
        <w:pStyle w:val="Heading3"/>
        <w:keepNext/>
        <w:jc w:val="center"/>
      </w:pPr>
      <w:r>
        <w:rPr>
          <w:rFonts w:ascii="Amazon Ember" w:eastAsia="Amazon Ember" w:hAnsi="Amazon Ember" w:cs="Amazon Ember"/>
          <w:color w:val="0000FF"/>
          <w:sz w:val="36"/>
          <w:szCs w:val="36"/>
        </w:rPr>
        <w:lastRenderedPageBreak/>
        <w:t>Steuern und Sozialabgaben in Kürze</w:t>
      </w:r>
    </w:p>
    <w:p w14:paraId="70A4C88F" w14:textId="1D4427AB" w:rsidR="00C1548D" w:rsidRDefault="009B1B4B">
      <w:pPr>
        <w:spacing w:after="140"/>
      </w:pPr>
      <w:r>
        <w:t xml:space="preserve">Als H-1B-Beschäftigter bist du Arbeitnehmer im normalen US-Steuersystem. Vom Bruttogehalt gehen, noch bevor du es siehst, Bundessteuer, meist Bundesstaatssteuer und die Sozialabgaben </w:t>
      </w:r>
      <w:r>
        <w:rPr>
          <w:i/>
          <w:iCs/>
        </w:rPr>
        <w:t>FICA</w:t>
      </w:r>
      <w:r>
        <w:t xml:space="preserve"> ab: 2026 sind das 6,2 % </w:t>
      </w:r>
      <w:r>
        <w:rPr>
          <w:i/>
          <w:iCs/>
        </w:rPr>
        <w:t>Social Security</w:t>
      </w:r>
      <w:r>
        <w:t xml:space="preserve"> (bis 184.500 $ Jahreslohn) plus 1,45 % </w:t>
      </w:r>
      <w:r>
        <w:rPr>
          <w:i/>
          <w:iCs/>
        </w:rPr>
        <w:t>Medicare</w:t>
      </w:r>
      <w:r>
        <w:t xml:space="preserve"> ohne Grenze. Der Arbeitgeber zahlt dieselben Sätze noch einmal. Anders als F-1-Studierende bist du nicht befreit. Eine Doppelversicherung bei Entsendungen vermeidet das Sozialversicherungsabkommen zwischen Deutschland und den USA (siehe Kapitel </w:t>
      </w:r>
      <w:hyperlink w:anchor="k17" w:history="1">
        <w:r>
          <w:t>17</w:t>
        </w:r>
      </w:hyperlink>
      <w:r>
        <w:t>). Ab wann dein weltweites Einkommen in den USA steuerpflichtig ist und wie sich die Bundesstaaten unterscheiden, steht in Kapitel </w:t>
      </w:r>
      <w:hyperlink w:anchor="k28" w:history="1">
        <w:r>
          <w:t>28</w:t>
        </w:r>
      </w:hyperlink>
      <w:r>
        <w:t>.</w:t>
      </w:r>
    </w:p>
    <w:p w14:paraId="70A4C890"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77"/>
        <w:gridCol w:w="3403"/>
      </w:tblGrid>
      <w:tr w:rsidR="00C1548D" w14:paraId="70A4C893" w14:textId="77777777">
        <w:tblPrEx>
          <w:tblCellMar>
            <w:top w:w="0" w:type="dxa"/>
            <w:bottom w:w="0" w:type="dxa"/>
          </w:tblCellMar>
        </w:tblPrEx>
        <w:trPr>
          <w:cantSplit/>
          <w:tblHeader/>
        </w:trPr>
        <w:tc>
          <w:tcPr>
            <w:tcW w:w="30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891" w14:textId="77777777" w:rsidR="00C1548D" w:rsidRDefault="009B1B4B">
            <w:pPr>
              <w:spacing w:line="250" w:lineRule="auto"/>
            </w:pPr>
            <w:r>
              <w:rPr>
                <w:b/>
                <w:bCs/>
                <w:sz w:val="18"/>
                <w:szCs w:val="18"/>
              </w:rPr>
              <w:t>Plus</w:t>
            </w:r>
          </w:p>
        </w:tc>
        <w:tc>
          <w:tcPr>
            <w:tcW w:w="34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892" w14:textId="77777777" w:rsidR="00C1548D" w:rsidRDefault="009B1B4B">
            <w:pPr>
              <w:spacing w:line="250" w:lineRule="auto"/>
            </w:pPr>
            <w:r>
              <w:rPr>
                <w:b/>
                <w:bCs/>
                <w:sz w:val="18"/>
                <w:szCs w:val="18"/>
              </w:rPr>
              <w:t>Minus</w:t>
            </w:r>
          </w:p>
        </w:tc>
      </w:tr>
      <w:tr w:rsidR="00C1548D" w14:paraId="70A4C896" w14:textId="77777777">
        <w:tblPrEx>
          <w:tblCellMar>
            <w:top w:w="0" w:type="dxa"/>
            <w:bottom w:w="0" w:type="dxa"/>
          </w:tblCellMar>
        </w:tblPrEx>
        <w:trPr>
          <w:cantSplit/>
        </w:trPr>
        <w:tc>
          <w:tcPr>
            <w:tcW w:w="3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94" w14:textId="77777777" w:rsidR="00C1548D" w:rsidRDefault="009B1B4B">
            <w:pPr>
              <w:spacing w:line="250" w:lineRule="auto"/>
            </w:pPr>
            <w:r>
              <w:rPr>
                <w:sz w:val="18"/>
                <w:szCs w:val="18"/>
              </w:rPr>
              <w:t>Dual Intent: Der Weg zur Green Card bleibt offen</w:t>
            </w:r>
          </w:p>
        </w:tc>
        <w:tc>
          <w:tcPr>
            <w:tcW w:w="3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95" w14:textId="77777777" w:rsidR="00C1548D" w:rsidRDefault="009B1B4B">
            <w:pPr>
              <w:spacing w:line="250" w:lineRule="auto"/>
            </w:pPr>
            <w:r>
              <w:rPr>
                <w:sz w:val="18"/>
                <w:szCs w:val="18"/>
              </w:rPr>
              <w:t>Lotterie: Ohne Auswahl gibt es in diesem Jahr keinen H-1B</w:t>
            </w:r>
          </w:p>
        </w:tc>
      </w:tr>
      <w:tr w:rsidR="00C1548D" w14:paraId="70A4C899" w14:textId="77777777">
        <w:tblPrEx>
          <w:tblCellMar>
            <w:top w:w="0" w:type="dxa"/>
            <w:bottom w:w="0" w:type="dxa"/>
          </w:tblCellMar>
        </w:tblPrEx>
        <w:trPr>
          <w:cantSplit/>
        </w:trPr>
        <w:tc>
          <w:tcPr>
            <w:tcW w:w="3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97" w14:textId="77777777" w:rsidR="00C1548D" w:rsidRDefault="009B1B4B">
            <w:pPr>
              <w:spacing w:line="250" w:lineRule="auto"/>
            </w:pPr>
            <w:r>
              <w:rPr>
                <w:sz w:val="18"/>
                <w:szCs w:val="18"/>
              </w:rPr>
              <w:t>Der Arbeitgeber trägt fast alle Behördengebühren</w:t>
            </w:r>
          </w:p>
        </w:tc>
        <w:tc>
          <w:tcPr>
            <w:tcW w:w="3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98" w14:textId="77777777" w:rsidR="00C1548D" w:rsidRDefault="009B1B4B">
            <w:pPr>
              <w:spacing w:line="250" w:lineRule="auto"/>
            </w:pPr>
            <w:r>
              <w:rPr>
                <w:sz w:val="18"/>
                <w:szCs w:val="18"/>
              </w:rPr>
              <w:t>Regeln und Kosten ändern sich schnell (100.000 $, 103.265 $, Lohnstufen)</w:t>
            </w:r>
          </w:p>
        </w:tc>
      </w:tr>
      <w:tr w:rsidR="00C1548D" w14:paraId="70A4C89C" w14:textId="77777777">
        <w:tblPrEx>
          <w:tblCellMar>
            <w:top w:w="0" w:type="dxa"/>
            <w:bottom w:w="0" w:type="dxa"/>
          </w:tblCellMar>
        </w:tblPrEx>
        <w:trPr>
          <w:cantSplit/>
        </w:trPr>
        <w:tc>
          <w:tcPr>
            <w:tcW w:w="3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9A" w14:textId="77777777" w:rsidR="00C1548D" w:rsidRDefault="009B1B4B">
            <w:pPr>
              <w:spacing w:line="250" w:lineRule="auto"/>
            </w:pPr>
            <w:r>
              <w:rPr>
                <w:sz w:val="18"/>
                <w:szCs w:val="18"/>
              </w:rPr>
              <w:t>Arbeitgeberwechsel ohne neue Lotterie möglich</w:t>
            </w:r>
          </w:p>
        </w:tc>
        <w:tc>
          <w:tcPr>
            <w:tcW w:w="3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9B" w14:textId="77777777" w:rsidR="00C1548D" w:rsidRDefault="009B1B4B">
            <w:pPr>
              <w:spacing w:line="250" w:lineRule="auto"/>
            </w:pPr>
            <w:r>
              <w:rPr>
                <w:sz w:val="18"/>
                <w:szCs w:val="18"/>
              </w:rPr>
              <w:t>Bindung an den Sponsor; bei Jobverlust 60 Tage, deren Wegfall vorgeschlagen ist</w:t>
            </w:r>
          </w:p>
        </w:tc>
      </w:tr>
      <w:tr w:rsidR="00C1548D" w14:paraId="70A4C89F" w14:textId="77777777">
        <w:tblPrEx>
          <w:tblCellMar>
            <w:top w:w="0" w:type="dxa"/>
            <w:bottom w:w="0" w:type="dxa"/>
          </w:tblCellMar>
        </w:tblPrEx>
        <w:trPr>
          <w:cantSplit/>
        </w:trPr>
        <w:tc>
          <w:tcPr>
            <w:tcW w:w="3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9D" w14:textId="77777777" w:rsidR="00C1548D" w:rsidRDefault="009B1B4B">
            <w:pPr>
              <w:spacing w:line="250" w:lineRule="auto"/>
            </w:pPr>
            <w:r>
              <w:rPr>
                <w:sz w:val="18"/>
                <w:szCs w:val="18"/>
              </w:rPr>
              <w:t>Ehepartner und Kinder dürfen mitkommen</w:t>
            </w:r>
          </w:p>
        </w:tc>
        <w:tc>
          <w:tcPr>
            <w:tcW w:w="3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9E" w14:textId="77777777" w:rsidR="00C1548D" w:rsidRDefault="009B1B4B">
            <w:pPr>
              <w:spacing w:line="250" w:lineRule="auto"/>
            </w:pPr>
            <w:r>
              <w:rPr>
                <w:sz w:val="18"/>
                <w:szCs w:val="18"/>
              </w:rPr>
              <w:t>H-4-Partner dürfen meist nicht arbeiten</w:t>
            </w:r>
          </w:p>
        </w:tc>
      </w:tr>
      <w:tr w:rsidR="00C1548D" w14:paraId="70A4C8A2" w14:textId="77777777">
        <w:tblPrEx>
          <w:tblCellMar>
            <w:top w:w="0" w:type="dxa"/>
            <w:bottom w:w="0" w:type="dxa"/>
          </w:tblCellMar>
        </w:tblPrEx>
        <w:trPr>
          <w:cantSplit/>
        </w:trPr>
        <w:tc>
          <w:tcPr>
            <w:tcW w:w="3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A0" w14:textId="77777777" w:rsidR="00C1548D" w:rsidRDefault="009B1B4B">
            <w:pPr>
              <w:spacing w:line="250" w:lineRule="auto"/>
            </w:pPr>
            <w:r>
              <w:rPr>
                <w:sz w:val="18"/>
                <w:szCs w:val="18"/>
              </w:rPr>
              <w:t>Cap-exempt-Arbeitgeber (Hochschulen) ohne Lotterie</w:t>
            </w:r>
          </w:p>
        </w:tc>
        <w:tc>
          <w:tcPr>
            <w:tcW w:w="3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A1" w14:textId="77777777" w:rsidR="00C1548D" w:rsidRDefault="009B1B4B">
            <w:pPr>
              <w:spacing w:line="250" w:lineRule="auto"/>
            </w:pPr>
            <w:r>
              <w:rPr>
                <w:sz w:val="18"/>
                <w:szCs w:val="18"/>
              </w:rPr>
              <w:t>Konsulat: Interviewpflicht, Online-Prüfung, Wartezeiten</w:t>
            </w:r>
          </w:p>
        </w:tc>
      </w:tr>
      <w:tr w:rsidR="00C1548D" w14:paraId="70A4C8A5" w14:textId="77777777">
        <w:tblPrEx>
          <w:tblCellMar>
            <w:top w:w="0" w:type="dxa"/>
            <w:bottom w:w="0" w:type="dxa"/>
          </w:tblCellMar>
        </w:tblPrEx>
        <w:trPr>
          <w:cantSplit/>
        </w:trPr>
        <w:tc>
          <w:tcPr>
            <w:tcW w:w="3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A3" w14:textId="77777777" w:rsidR="00C1548D" w:rsidRDefault="009B1B4B">
            <w:pPr>
              <w:spacing w:line="250" w:lineRule="auto"/>
            </w:pPr>
            <w:r>
              <w:rPr>
                <w:sz w:val="18"/>
                <w:szCs w:val="18"/>
              </w:rPr>
              <w:t>Reisen mit gültigem Visum möglich</w:t>
            </w:r>
          </w:p>
        </w:tc>
        <w:tc>
          <w:tcPr>
            <w:tcW w:w="34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A4" w14:textId="77777777" w:rsidR="00C1548D" w:rsidRDefault="009B1B4B">
            <w:pPr>
              <w:spacing w:line="250" w:lineRule="auto"/>
            </w:pPr>
            <w:r>
              <w:rPr>
                <w:sz w:val="18"/>
                <w:szCs w:val="18"/>
              </w:rPr>
              <w:t>Höchstens sechs Jahre, danach nur mit Green-Card-Verfahren</w:t>
            </w:r>
          </w:p>
        </w:tc>
      </w:tr>
    </w:tbl>
    <w:p w14:paraId="70A4C8A6" w14:textId="77777777" w:rsidR="00C1548D" w:rsidRDefault="00C1548D">
      <w:pPr>
        <w:spacing w:line="180" w:lineRule="exact"/>
      </w:pPr>
    </w:p>
    <w:p w14:paraId="70A4C8A7"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C8A8" w14:textId="1C2BF34A" w:rsidR="00C1548D" w:rsidRDefault="009B1B4B">
      <w:pPr>
        <w:spacing w:after="140"/>
      </w:pPr>
      <w:r>
        <w:t>Kläre zuerst, ob der H-1B dein Weg ist (siehe Kapitel </w:t>
      </w:r>
      <w:hyperlink w:anchor="k4" w:history="1">
        <w:r>
          <w:t>4</w:t>
        </w:r>
      </w:hyperlink>
      <w:r>
        <w:t xml:space="preserve"> und </w:t>
      </w:r>
      <w:hyperlink w:anchor="k7" w:history="1">
        <w:r>
          <w:t>7</w:t>
        </w:r>
      </w:hyperlink>
      <w:r>
        <w:t xml:space="preserve">), und sprich früh mit Arbeitgebern über Sponsoring und Gehalt. Lass die Kanzlei prüfen, ob dein Abschluss zur Stelle passt und welche </w:t>
      </w:r>
      <w:r>
        <w:lastRenderedPageBreak/>
        <w:t>Lohnstufe erreicht wird. Alles zu Konsulat, Kanzlei und Kosten steht in Kapitel </w:t>
      </w:r>
      <w:hyperlink w:anchor="k11" w:history="1">
        <w:r>
          <w:t>11</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8B5" w14:textId="77777777">
        <w:tblPrEx>
          <w:tblCellMar>
            <w:top w:w="0" w:type="dxa"/>
            <w:bottom w:w="0" w:type="dxa"/>
          </w:tblCellMar>
        </w:tblPrEx>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8A9" w14:textId="77777777" w:rsidR="00C1548D" w:rsidRDefault="009B1B4B">
            <w:pPr>
              <w:keepNext/>
              <w:spacing w:after="70" w:line="240" w:lineRule="auto"/>
            </w:pPr>
            <w:r>
              <w:rPr>
                <w:b/>
                <w:bCs/>
                <w:color w:val="1F6F78"/>
                <w:spacing w:val="24"/>
                <w:sz w:val="16"/>
                <w:szCs w:val="16"/>
              </w:rPr>
              <w:t>CHECKLISTE</w:t>
            </w:r>
          </w:p>
          <w:p w14:paraId="70A4C8A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Studienfach und Stelle abgleichen: Passt dein Abschluss direkt zu den Aufgaben? Bewertungsgutachten mit der Kanzlei besprechen.</w:t>
            </w:r>
          </w:p>
          <w:p w14:paraId="70A4C8A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Arbeitgeber fragen, ob er H-1B sponsert, welche Lohnstufe er meldet und wer welche Gebühren trägt; alles schriftlich im Offer Letter festhalten.</w:t>
            </w:r>
          </w:p>
          <w:p w14:paraId="70A4C8A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Nachfragen, wie der Arbeitgeber mit 100.000 $ oder 103.265 $ umgeht, falls sie zurückkehren.</w:t>
            </w:r>
          </w:p>
          <w:p w14:paraId="70A4C8A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 Stellenabbau in den letzten zwölf Monaten fragen.</w:t>
            </w:r>
          </w:p>
          <w:p w14:paraId="70A4C8A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Zeitplan rückwärts vom 1. Oktober aufstellen; Registrierungstermin für 2027 auf uscis.gov beobachten.</w:t>
            </w:r>
          </w:p>
          <w:p w14:paraId="70A4C8A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jeder Entscheidung (Kündigung, Flug, Umzug) uscis.gov, federalregister.gov und die Kanzlei zum Stand befragen.</w:t>
            </w:r>
          </w:p>
          <w:p w14:paraId="70A4C8B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 der Genehmigung Kopien der Auswahlbenachrichtigung und des Genehmigungsbescheids (</w:t>
            </w:r>
            <w:r>
              <w:rPr>
                <w:i/>
                <w:iCs/>
                <w:sz w:val="20"/>
                <w:szCs w:val="20"/>
              </w:rPr>
              <w:t>Approval Notice</w:t>
            </w:r>
            <w:r>
              <w:rPr>
                <w:sz w:val="20"/>
                <w:szCs w:val="20"/>
              </w:rPr>
              <w:t>) sichern.</w:t>
            </w:r>
          </w:p>
          <w:p w14:paraId="70A4C8B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Konsulattermin buchen und Wartezeit auf travel.state.gov prüfen; Social-Media-Profile vorher auf öffentlich stellen.</w:t>
            </w:r>
          </w:p>
          <w:p w14:paraId="70A4C8B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Flüge und Wohnungskündigung erst nach Visumerteilung verbindlich machen.</w:t>
            </w:r>
          </w:p>
          <w:p w14:paraId="70A4C8B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Reiseunterlagen für die Sechs-Jahres-Zählung aufbewahren und die Green-Card-Planung mit dem Arbeitgeber besprechen.</w:t>
            </w:r>
          </w:p>
          <w:p w14:paraId="70A4C8B4" w14:textId="590E234F"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H-4-Anträge und Kosten für Partner und Kinder klären (siehe Kapitel </w:t>
            </w:r>
            <w:hyperlink w:anchor="k10" w:history="1">
              <w:r>
                <w:rPr>
                  <w:sz w:val="20"/>
                  <w:szCs w:val="20"/>
                </w:rPr>
                <w:t>10</w:t>
              </w:r>
            </w:hyperlink>
            <w:r>
              <w:rPr>
                <w:sz w:val="20"/>
                <w:szCs w:val="20"/>
              </w:rPr>
              <w:t>).</w:t>
            </w:r>
          </w:p>
        </w:tc>
      </w:tr>
    </w:tbl>
    <w:p w14:paraId="70A4C8B6" w14:textId="77777777" w:rsidR="00C1548D" w:rsidRDefault="00C1548D">
      <w:pPr>
        <w:spacing w:line="220" w:lineRule="exact"/>
      </w:pPr>
    </w:p>
    <w:p w14:paraId="70A4C8B7"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8B8" w14:textId="163E09E7" w:rsidR="00C1548D" w:rsidRDefault="009B1B4B" w:rsidP="009B1B4B">
      <w:pPr>
        <w:pStyle w:val="ListParagraph"/>
        <w:numPr>
          <w:ilvl w:val="0"/>
          <w:numId w:val="1"/>
        </w:numPr>
        <w:spacing w:after="60"/>
      </w:pPr>
      <w:r>
        <w:t>USCIS — H-1B und Specialty Occupations (</w:t>
      </w:r>
      <w:hyperlink r:id="rId49" w:history="1">
        <w:r>
          <w:rPr>
            <w:color w:val="0563C1"/>
            <w:u w:val="single"/>
          </w:rPr>
          <w:t>uscis.gov/working-in-the-united-states/h-1b-specialty-occupations</w:t>
        </w:r>
      </w:hyperlink>
      <w:r>
        <w:t>)</w:t>
      </w:r>
    </w:p>
    <w:p w14:paraId="70A4C8B9" w14:textId="7D0842B6" w:rsidR="00C1548D" w:rsidRDefault="009B1B4B" w:rsidP="009B1B4B">
      <w:pPr>
        <w:pStyle w:val="ListParagraph"/>
        <w:numPr>
          <w:ilvl w:val="0"/>
          <w:numId w:val="1"/>
        </w:numPr>
        <w:spacing w:after="60"/>
      </w:pPr>
      <w:r>
        <w:t>USCIS — aktuelle H-1B-FAQ zur 100.000-$-Zahlung (</w:t>
      </w:r>
      <w:hyperlink r:id="rId50" w:history="1">
        <w:r>
          <w:rPr>
            <w:color w:val="0563C1"/>
            <w:u w:val="single"/>
          </w:rPr>
          <w:t>uscis.gov/newsroom/alerts/h-1b-faq</w:t>
        </w:r>
      </w:hyperlink>
      <w:r>
        <w:t>)</w:t>
      </w:r>
    </w:p>
    <w:p w14:paraId="70A4C8BA" w14:textId="7545FC41" w:rsidR="00C1548D" w:rsidRDefault="009B1B4B" w:rsidP="009B1B4B">
      <w:pPr>
        <w:pStyle w:val="ListParagraph"/>
        <w:numPr>
          <w:ilvl w:val="0"/>
          <w:numId w:val="1"/>
        </w:numPr>
        <w:spacing w:after="60"/>
      </w:pPr>
      <w:r>
        <w:t>USCIS — Gebührenübersicht G-1055 (</w:t>
      </w:r>
      <w:hyperlink r:id="rId51" w:history="1">
        <w:r>
          <w:rPr>
            <w:color w:val="0563C1"/>
            <w:u w:val="single"/>
          </w:rPr>
          <w:t>uscis.gov/g-1055</w:t>
        </w:r>
      </w:hyperlink>
      <w:r>
        <w:t>)</w:t>
      </w:r>
    </w:p>
    <w:p w14:paraId="70A4C8BB" w14:textId="14D7D01F" w:rsidR="00C1548D" w:rsidRDefault="009B1B4B" w:rsidP="009B1B4B">
      <w:pPr>
        <w:pStyle w:val="ListParagraph"/>
        <w:numPr>
          <w:ilvl w:val="0"/>
          <w:numId w:val="1"/>
        </w:numPr>
        <w:spacing w:after="60"/>
      </w:pPr>
      <w:r>
        <w:lastRenderedPageBreak/>
        <w:t>Federal Register — Entwürfe und Final Rules, Suche nach „H-1B“ (</w:t>
      </w:r>
      <w:hyperlink r:id="rId52" w:history="1">
        <w:r>
          <w:rPr>
            <w:color w:val="0563C1"/>
            <w:u w:val="single"/>
          </w:rPr>
          <w:t>federalregister.gov</w:t>
        </w:r>
      </w:hyperlink>
      <w:r>
        <w:t>)</w:t>
      </w:r>
    </w:p>
    <w:p w14:paraId="70A4C8BC" w14:textId="6842ECE7" w:rsidR="00C1548D" w:rsidRDefault="009B1B4B" w:rsidP="009B1B4B">
      <w:pPr>
        <w:pStyle w:val="ListParagraph"/>
        <w:numPr>
          <w:ilvl w:val="0"/>
          <w:numId w:val="1"/>
        </w:numPr>
        <w:spacing w:after="60"/>
      </w:pPr>
      <w:r>
        <w:t>DOL — H-1B, LCA und Prevailing Wage (</w:t>
      </w:r>
      <w:hyperlink r:id="rId53" w:history="1">
        <w:r>
          <w:rPr>
            <w:color w:val="0563C1"/>
            <w:u w:val="single"/>
          </w:rPr>
          <w:t>dol.gov/agencies/eta/foreign-labor/programs/h-1b</w:t>
        </w:r>
      </w:hyperlink>
      <w:r>
        <w:t>)</w:t>
      </w:r>
    </w:p>
    <w:p w14:paraId="70A4C8BD" w14:textId="64EF9090" w:rsidR="00C1548D" w:rsidRDefault="009B1B4B" w:rsidP="009B1B4B">
      <w:pPr>
        <w:pStyle w:val="ListParagraph"/>
        <w:numPr>
          <w:ilvl w:val="0"/>
          <w:numId w:val="1"/>
        </w:numPr>
        <w:spacing w:after="60"/>
      </w:pPr>
      <w:r>
        <w:t>DOL Wage and Hour Division — Project Firewall (</w:t>
      </w:r>
      <w:hyperlink r:id="rId54" w:history="1">
        <w:r>
          <w:rPr>
            <w:color w:val="0563C1"/>
            <w:u w:val="single"/>
          </w:rPr>
          <w:t>dol.gov/agencies/whd/immigration/h1b/projectfirewall</w:t>
        </w:r>
      </w:hyperlink>
      <w:r>
        <w:t>)</w:t>
      </w:r>
    </w:p>
    <w:p w14:paraId="70A4C8BE" w14:textId="2230BA3F" w:rsidR="00C1548D" w:rsidRDefault="009B1B4B" w:rsidP="009B1B4B">
      <w:pPr>
        <w:pStyle w:val="ListParagraph"/>
        <w:numPr>
          <w:ilvl w:val="0"/>
          <w:numId w:val="1"/>
        </w:numPr>
        <w:spacing w:after="60"/>
      </w:pPr>
      <w:r>
        <w:t>State Department — Visagebühren und Wartezeiten (</w:t>
      </w:r>
      <w:hyperlink r:id="rId55" w:history="1">
        <w:r>
          <w:rPr>
            <w:color w:val="0563C1"/>
            <w:u w:val="single"/>
          </w:rPr>
          <w:t>travel.state.gov</w:t>
        </w:r>
      </w:hyperlink>
      <w:r>
        <w:t>)</w:t>
      </w:r>
    </w:p>
    <w:p w14:paraId="70A4C8BF" w14:textId="5359BC39" w:rsidR="00C1548D" w:rsidRDefault="009B1B4B" w:rsidP="009B1B4B">
      <w:pPr>
        <w:pStyle w:val="ListParagraph"/>
        <w:numPr>
          <w:ilvl w:val="0"/>
          <w:numId w:val="1"/>
        </w:numPr>
        <w:spacing w:after="60"/>
      </w:pPr>
      <w:r>
        <w:t>U.S. Botschaft und Konsulate in Deutschland — Visaverfahren (</w:t>
      </w:r>
      <w:hyperlink r:id="rId56" w:history="1">
        <w:r>
          <w:rPr>
            <w:color w:val="0563C1"/>
            <w:u w:val="single"/>
          </w:rPr>
          <w:t>de.usembassy.gov/visas</w:t>
        </w:r>
      </w:hyperlink>
      <w:r>
        <w:t>)</w:t>
      </w:r>
    </w:p>
    <w:p w14:paraId="70A4C8C0"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8C3"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8C1" w14:textId="77777777" w:rsidR="00C1548D" w:rsidRDefault="009B1B4B">
            <w:pPr>
              <w:keepNext/>
              <w:spacing w:after="70" w:line="240" w:lineRule="auto"/>
            </w:pPr>
            <w:r>
              <w:rPr>
                <w:b/>
                <w:bCs/>
                <w:color w:val="6B7280"/>
                <w:spacing w:val="24"/>
                <w:sz w:val="16"/>
                <w:szCs w:val="16"/>
              </w:rPr>
              <w:t>STAND</w:t>
            </w:r>
          </w:p>
          <w:p w14:paraId="70A4C8C2" w14:textId="77777777" w:rsidR="00C1548D" w:rsidRDefault="009B1B4B" w:rsidP="009B1B4B">
            <w:pPr>
              <w:pStyle w:val="ListParagraph"/>
              <w:numPr>
                <w:ilvl w:val="0"/>
                <w:numId w:val="9"/>
              </w:numPr>
              <w:spacing w:after="50" w:line="264" w:lineRule="auto"/>
            </w:pPr>
            <w:r>
              <w:rPr>
                <w:sz w:val="20"/>
                <w:szCs w:val="20"/>
              </w:rPr>
              <w:t>September 2026. Diese Angaben ändern sich besonders schnell: ob die 100.000-$-Zahlung wieder erhoben wird (Berufungen beim First Circuit und D.C. Circuit), ob der Vorschlag über 103.265 $ (Kommentarfrist bis 24. September 2026) und der Wegfall der 60-Tage-Frist (Kommentarfrist bis 10. November 2026) in Kraft treten, ob das DOL höhere Lohnstufen beschließt, dazu die USCIS-Gebühren, die Regeln der Registrierung im März 2027, die Konsulatswartezeiten und die Visagebühren. Prüfe vor jeder Entscheidung uscis.gov</w:t>
            </w:r>
            <w:r>
              <w:rPr>
                <w:sz w:val="20"/>
                <w:szCs w:val="20"/>
              </w:rPr>
              <w:t xml:space="preserve"> und federalregister.gov und sprich mit der Kanzlei deines Arbeitgebers.</w:t>
            </w:r>
          </w:p>
        </w:tc>
      </w:tr>
    </w:tbl>
    <w:p w14:paraId="70A4C8C4" w14:textId="77777777" w:rsidR="00C1548D" w:rsidRDefault="00C1548D">
      <w:pPr>
        <w:spacing w:line="220" w:lineRule="exact"/>
      </w:pPr>
    </w:p>
    <w:p w14:paraId="70A4C8C5" w14:textId="77777777" w:rsidR="00C1548D" w:rsidRDefault="009B1B4B">
      <w:pPr>
        <w:pStyle w:val="Heading2"/>
        <w:keepNext/>
        <w:pageBreakBefore/>
        <w:jc w:val="center"/>
      </w:pPr>
      <w:bookmarkStart w:id="19" w:name="k6"/>
      <w:bookmarkStart w:id="20" w:name="_Toc241352456"/>
      <w:r>
        <w:rPr>
          <w:rFonts w:ascii="Amazon Ember" w:eastAsia="Amazon Ember" w:hAnsi="Amazon Ember" w:cs="Amazon Ember"/>
          <w:color w:val="0000FF"/>
          <w:sz w:val="36"/>
          <w:szCs w:val="36"/>
        </w:rPr>
        <w:lastRenderedPageBreak/>
        <w:t>Kapitel 6: Die Green Card</w:t>
      </w:r>
      <w:bookmarkEnd w:id="19"/>
      <w:bookmarkEnd w:id="20"/>
    </w:p>
    <w:p w14:paraId="70A4C8C6" w14:textId="77777777" w:rsidR="00C1548D" w:rsidRDefault="009B1B4B">
      <w:pPr>
        <w:spacing w:after="140"/>
      </w:pPr>
      <w:r>
        <w:t xml:space="preserve">Im Visa Bulletin für September 2026, der monatlichen Stichtagsliste des State Department, steht bei der zweiten Arbeitskategorie (EB-2) in der Spalte „Rest der Welt“ ein einziger Buchstabe: C, für </w:t>
      </w:r>
      <w:r>
        <w:rPr>
          <w:i/>
          <w:iCs/>
        </w:rPr>
        <w:t>current</w:t>
      </w:r>
      <w:r>
        <w:t xml:space="preserve">, also ohne Wartezeit. In der Spalte für Indien steht dagegen ein U: </w:t>
      </w:r>
      <w:r>
        <w:rPr>
          <w:i/>
          <w:iCs/>
        </w:rPr>
        <w:t>unavailable</w:t>
      </w:r>
      <w:r>
        <w:t>, derzeit keine Visa. Gleicher Beruf, gleiche Qualifikation, anderes Geburtsland, und aus Monaten werden Jahre, bei Indien mehr als ein Jahrzehnt. Für Deutsche ist die Green Card deshalb weniger eine Frage der Warteschlange als der Vorbereitung: Wer früh, schriftlich abgesichert und mit der passenden Kategorie startet, kommt in der Regel gut durch.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8CE"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8C7" w14:textId="77777777" w:rsidR="00C1548D" w:rsidRDefault="009B1B4B">
            <w:pPr>
              <w:keepNext/>
              <w:spacing w:after="70" w:line="240" w:lineRule="auto"/>
            </w:pPr>
            <w:r>
              <w:rPr>
                <w:b/>
                <w:bCs/>
                <w:color w:val="1F3A5F"/>
                <w:spacing w:val="24"/>
                <w:sz w:val="16"/>
                <w:szCs w:val="16"/>
              </w:rPr>
              <w:t>KURZ GESAGT</w:t>
            </w:r>
          </w:p>
          <w:p w14:paraId="70A4C8C8" w14:textId="77777777" w:rsidR="00C1548D" w:rsidRDefault="009B1B4B" w:rsidP="009B1B4B">
            <w:pPr>
              <w:pStyle w:val="ListParagraph"/>
              <w:numPr>
                <w:ilvl w:val="0"/>
                <w:numId w:val="1"/>
              </w:numPr>
              <w:spacing w:after="50" w:line="264" w:lineRule="auto"/>
            </w:pPr>
            <w:r>
              <w:rPr>
                <w:sz w:val="20"/>
                <w:szCs w:val="20"/>
              </w:rPr>
              <w:t>Die Green Card (</w:t>
            </w:r>
            <w:r>
              <w:rPr>
                <w:i/>
                <w:iCs/>
                <w:sz w:val="20"/>
                <w:szCs w:val="20"/>
              </w:rPr>
              <w:t>Lawful Permanent Residence</w:t>
            </w:r>
            <w:r>
              <w:rPr>
                <w:sz w:val="20"/>
                <w:szCs w:val="20"/>
              </w:rPr>
              <w:t>, LPR) ist ein unbefristetes Aufenthaltsrecht mit freier Arbeitswahl. Die Plastikkarte gilt zehn Jahre und wird erneuert, der Status bleibt, solange die USA dein Lebensmittelpunkt sind.</w:t>
            </w:r>
          </w:p>
          <w:p w14:paraId="70A4C8C9" w14:textId="77777777" w:rsidR="00C1548D" w:rsidRDefault="009B1B4B" w:rsidP="009B1B4B">
            <w:pPr>
              <w:pStyle w:val="ListParagraph"/>
              <w:numPr>
                <w:ilvl w:val="0"/>
                <w:numId w:val="1"/>
              </w:numPr>
              <w:spacing w:after="50" w:line="264" w:lineRule="auto"/>
            </w:pPr>
            <w:r>
              <w:rPr>
                <w:sz w:val="20"/>
                <w:szCs w:val="20"/>
              </w:rPr>
              <w:t>Der Regelweg für Fachkräfte führt über den Arbeitgeber: Arbeitsmarktprüfung (</w:t>
            </w:r>
            <w:r>
              <w:rPr>
                <w:i/>
                <w:iCs/>
                <w:sz w:val="20"/>
                <w:szCs w:val="20"/>
              </w:rPr>
              <w:t>PERM</w:t>
            </w:r>
            <w:r>
              <w:rPr>
                <w:sz w:val="20"/>
                <w:szCs w:val="20"/>
              </w:rPr>
              <w:t>), Petition I-140, dann Statusanpassung I-485 im Inland oder Einwanderungsvisum über das Konsulat.</w:t>
            </w:r>
          </w:p>
          <w:p w14:paraId="70A4C8CA" w14:textId="77777777" w:rsidR="00C1548D" w:rsidRDefault="009B1B4B" w:rsidP="009B1B4B">
            <w:pPr>
              <w:pStyle w:val="ListParagraph"/>
              <w:numPr>
                <w:ilvl w:val="0"/>
                <w:numId w:val="1"/>
              </w:numPr>
              <w:spacing w:after="50" w:line="264" w:lineRule="auto"/>
            </w:pPr>
            <w:r>
              <w:rPr>
                <w:sz w:val="20"/>
                <w:szCs w:val="20"/>
              </w:rPr>
              <w:t>Stand September 2026: EB-1 und EB-2 sind für „Rest der Welt“ (also die meisten Deutschen) ohne Wartezeit, EB-3 nur für Priority Dates vor dem 1. September 2024. Das Oktober-Bulletin lag am 20. September 2026 noch nicht vor.</w:t>
            </w:r>
          </w:p>
          <w:p w14:paraId="70A4C8CB" w14:textId="77777777" w:rsidR="00C1548D" w:rsidRDefault="009B1B4B" w:rsidP="009B1B4B">
            <w:pPr>
              <w:pStyle w:val="ListParagraph"/>
              <w:numPr>
                <w:ilvl w:val="0"/>
                <w:numId w:val="1"/>
              </w:numPr>
              <w:spacing w:after="50" w:line="264" w:lineRule="auto"/>
            </w:pPr>
            <w:r>
              <w:rPr>
                <w:sz w:val="20"/>
                <w:szCs w:val="20"/>
              </w:rPr>
              <w:t>Die Zeit steckt im Verfahren, nicht im Stichtag: bei PERM rund 2,5–4,5 Jahre ab Start. Selbstpetitionen (NIW, EB-1A) gehen schneller, wurden 2026 aber nur zu etwa 49 % bzw. 41 % genehmigt.</w:t>
            </w:r>
          </w:p>
          <w:p w14:paraId="70A4C8CC" w14:textId="77777777" w:rsidR="00C1548D" w:rsidRDefault="009B1B4B" w:rsidP="009B1B4B">
            <w:pPr>
              <w:pStyle w:val="ListParagraph"/>
              <w:numPr>
                <w:ilvl w:val="0"/>
                <w:numId w:val="1"/>
              </w:numPr>
              <w:spacing w:after="50" w:line="264" w:lineRule="auto"/>
            </w:pPr>
            <w:r>
              <w:rPr>
                <w:sz w:val="20"/>
                <w:szCs w:val="20"/>
              </w:rPr>
              <w:t>Die Kosten der Arbeitsmarktprüfung trägt der Arbeitgeber, du zahlst die I-485-Gebühren für dich und deine Familie: 1.440 $ je Erwachsenem, 950 $ je Kind unter 14 (Papierantrag).</w:t>
            </w:r>
          </w:p>
          <w:p w14:paraId="70A4C8CD" w14:textId="77777777" w:rsidR="00C1548D" w:rsidRDefault="009B1B4B" w:rsidP="009B1B4B">
            <w:pPr>
              <w:pStyle w:val="ListParagraph"/>
              <w:numPr>
                <w:ilvl w:val="0"/>
                <w:numId w:val="1"/>
              </w:numPr>
              <w:spacing w:after="50" w:line="264" w:lineRule="auto"/>
            </w:pPr>
            <w:r>
              <w:rPr>
                <w:sz w:val="20"/>
                <w:szCs w:val="20"/>
              </w:rPr>
              <w:t>Als Green-Card-Inhaber wirst du weltweit in den USA besteuert, und Auslandsaufenthalte von mehr als 180 Tagen gefährden den Status.</w:t>
            </w:r>
          </w:p>
        </w:tc>
      </w:tr>
    </w:tbl>
    <w:p w14:paraId="70A4C8CF" w14:textId="77777777" w:rsidR="00C1548D" w:rsidRDefault="00C1548D">
      <w:pPr>
        <w:spacing w:line="220" w:lineRule="exact"/>
      </w:pPr>
    </w:p>
    <w:p w14:paraId="70A4C8D0"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die Green Card ist und was sie nicht ist</w:t>
      </w:r>
    </w:p>
    <w:p w14:paraId="70A4C8D1" w14:textId="77777777" w:rsidR="00C1548D" w:rsidRDefault="009B1B4B">
      <w:pPr>
        <w:spacing w:after="140"/>
      </w:pPr>
      <w:r>
        <w:t xml:space="preserve">Beim Begriff lohnt Genauigkeit: Ein </w:t>
      </w:r>
      <w:r>
        <w:rPr>
          <w:i/>
          <w:iCs/>
        </w:rPr>
        <w:t>Visum</w:t>
      </w:r>
      <w:r>
        <w:t xml:space="preserve"> ist der Einreisestempel im Pass, den das Konsulat ausstellt; die Green Card dagegen ein </w:t>
      </w:r>
      <w:r>
        <w:rPr>
          <w:i/>
          <w:iCs/>
        </w:rPr>
        <w:t>Status</w:t>
      </w:r>
      <w:r>
        <w:t xml:space="preserve"> – eine unbefristete Aufenthaltserlaubnis im Land. Nur die Plastikkarte hat ein Ablaufdatum, denn sie gilt zehn Jahre und wird in den letzten sechs Monaten davor erneuert (Form I-90, 465 $ Papier, 415 $ online).</w:t>
      </w:r>
    </w:p>
    <w:p w14:paraId="70A4C8D2" w14:textId="4F458FF8" w:rsidR="00C1548D" w:rsidRDefault="009B1B4B">
      <w:pPr>
        <w:spacing w:after="140"/>
      </w:pPr>
      <w:r>
        <w:t>Was sie dir gibt: Leben in jedem Bundesstaat, Arbeit für jeden Arbeitgeber oder Selbständigkeit, das Nachholen von Ehepartner und unverheirateten Kindern per Familienpetition (Kapitel </w:t>
      </w:r>
      <w:hyperlink w:anchor="k10" w:history="1">
        <w:r>
          <w:t>10</w:t>
        </w:r>
      </w:hyperlink>
      <w:r>
        <w:t>) und nach fünf Jahren die Einbürgerung (Kapitel </w:t>
      </w:r>
      <w:hyperlink w:anchor="k41" w:history="1">
        <w:r>
          <w:t>41</w:t>
        </w:r>
      </w:hyperlink>
      <w:r>
        <w:t>). Was sie nicht gibt: Wahlrecht, Stellen mit Staatsbürgerschaftserfordernis, ein unbegrenztes Recht auf Abwesenheit. Am nächsten kommt ihr die deutsche Niederlassungserlaubnis: unbefristet, freier Arbeitsmarkt, kein Wahlrecht. Und sie löst die enge Arbeitgeberbindung des H-1B (Kapitel </w:t>
      </w:r>
      <w:hyperlink w:anchor="k5" w:history="1">
        <w:r>
          <w:t>5</w:t>
        </w:r>
      </w:hyperlink>
      <w:r>
        <w:t>) – allerdings erst spät im Verfahren; der Vergleich beider Wege steht in Kapitel </w:t>
      </w:r>
      <w:hyperlink w:anchor="k7" w:history="1">
        <w:r>
          <w:t>7</w:t>
        </w:r>
      </w:hyperlink>
      <w:r>
        <w:t>.</w:t>
      </w:r>
    </w:p>
    <w:p w14:paraId="70A4C8D3" w14:textId="77777777" w:rsidR="00C1548D" w:rsidRDefault="009B1B4B">
      <w:pPr>
        <w:pStyle w:val="Heading3"/>
        <w:keepNext/>
        <w:jc w:val="center"/>
      </w:pPr>
      <w:r>
        <w:rPr>
          <w:rFonts w:ascii="Amazon Ember" w:eastAsia="Amazon Ember" w:hAnsi="Amazon Ember" w:cs="Amazon Ember"/>
          <w:color w:val="0000FF"/>
          <w:sz w:val="36"/>
          <w:szCs w:val="36"/>
        </w:rPr>
        <w:t>Die Wege im Überblick</w:t>
      </w:r>
    </w:p>
    <w:p w14:paraId="70A4C8D4" w14:textId="77777777" w:rsidR="00C1548D" w:rsidRDefault="009B1B4B">
      <w:pPr>
        <w:spacing w:after="140"/>
      </w:pPr>
      <w:r>
        <w:t>Es gibt fünf Türen: Arbeit, Familie, Investition, Lotterie und die 2025 eingeführte Gold Card – für die meisten Leser dieses Buchs die Arbeit. Die arbeitsbasierten Kategorien EB-1 bis EB-3 (</w:t>
      </w:r>
      <w:r>
        <w:rPr>
          <w:i/>
          <w:iCs/>
        </w:rPr>
        <w:t>Employment-Based</w:t>
      </w:r>
      <w:r>
        <w:t xml:space="preserve">) teilen sich ein Jahreslimit von 186.317 Visa fürs Fiskaljahr 2026 (EB-1 bis EB-5 zusammen). Ehepartner und unverheiratete Kinder unter 21 sind als </w:t>
      </w:r>
      <w:r>
        <w:rPr>
          <w:i/>
          <w:iCs/>
        </w:rPr>
        <w:t>Derivate</w:t>
      </w:r>
      <w:r>
        <w:t xml:space="preserve"> mitgeschützt und teilen Kategorie und Priority Date.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539"/>
        <w:gridCol w:w="950"/>
        <w:gridCol w:w="1041"/>
      </w:tblGrid>
      <w:tr w:rsidR="00C1548D" w14:paraId="70A4C8D9"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8D5" w14:textId="77777777" w:rsidR="00C1548D" w:rsidRDefault="009B1B4B">
            <w:pPr>
              <w:spacing w:line="250" w:lineRule="auto"/>
            </w:pPr>
            <w:r>
              <w:rPr>
                <w:b/>
                <w:bCs/>
                <w:sz w:val="18"/>
                <w:szCs w:val="18"/>
              </w:rPr>
              <w:t>Kategorie</w:t>
            </w:r>
          </w:p>
        </w:tc>
        <w:tc>
          <w:tcPr>
            <w:tcW w:w="353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8D6" w14:textId="77777777" w:rsidR="00C1548D" w:rsidRDefault="009B1B4B">
            <w:pPr>
              <w:spacing w:line="250" w:lineRule="auto"/>
            </w:pPr>
            <w:r>
              <w:rPr>
                <w:b/>
                <w:bCs/>
                <w:sz w:val="18"/>
                <w:szCs w:val="18"/>
              </w:rPr>
              <w:t>Für wen</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8D7" w14:textId="77777777" w:rsidR="00C1548D" w:rsidRDefault="009B1B4B">
            <w:pPr>
              <w:spacing w:line="250" w:lineRule="auto"/>
            </w:pPr>
            <w:r>
              <w:rPr>
                <w:b/>
                <w:bCs/>
                <w:sz w:val="18"/>
                <w:szCs w:val="18"/>
              </w:rPr>
              <w:t>PERM?</w:t>
            </w:r>
          </w:p>
        </w:tc>
        <w:tc>
          <w:tcPr>
            <w:tcW w:w="104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8D8" w14:textId="77777777" w:rsidR="00C1548D" w:rsidRDefault="009B1B4B">
            <w:pPr>
              <w:spacing w:line="250" w:lineRule="auto"/>
            </w:pPr>
            <w:r>
              <w:rPr>
                <w:b/>
                <w:bCs/>
                <w:sz w:val="18"/>
                <w:szCs w:val="18"/>
              </w:rPr>
              <w:t>I-140-Quote 2026</w:t>
            </w:r>
          </w:p>
        </w:tc>
      </w:tr>
      <w:tr w:rsidR="00C1548D" w14:paraId="70A4C8D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DA" w14:textId="77777777" w:rsidR="00C1548D" w:rsidRDefault="009B1B4B">
            <w:pPr>
              <w:spacing w:line="250" w:lineRule="auto"/>
            </w:pPr>
            <w:r>
              <w:rPr>
                <w:sz w:val="18"/>
                <w:szCs w:val="18"/>
              </w:rPr>
              <w:t>EB-1A</w:t>
            </w:r>
          </w:p>
        </w:tc>
        <w:tc>
          <w:tcPr>
            <w:tcW w:w="35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DB" w14:textId="77777777" w:rsidR="00C1548D" w:rsidRDefault="009B1B4B">
            <w:pPr>
              <w:spacing w:line="250" w:lineRule="auto"/>
            </w:pPr>
            <w:r>
              <w:rPr>
                <w:sz w:val="18"/>
                <w:szCs w:val="18"/>
              </w:rPr>
              <w:t>Außergewöhnliche Fähigkeiten, Selbstpetition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DC" w14:textId="77777777" w:rsidR="00C1548D" w:rsidRDefault="009B1B4B">
            <w:pPr>
              <w:spacing w:line="250" w:lineRule="auto"/>
            </w:pPr>
            <w:r>
              <w:rPr>
                <w:sz w:val="18"/>
                <w:szCs w:val="18"/>
              </w:rPr>
              <w:t>Nein</w:t>
            </w:r>
          </w:p>
        </w:tc>
        <w:tc>
          <w:tcPr>
            <w:tcW w:w="10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DD" w14:textId="77777777" w:rsidR="00C1548D" w:rsidRDefault="009B1B4B">
            <w:pPr>
              <w:spacing w:line="250" w:lineRule="auto"/>
            </w:pPr>
            <w:r>
              <w:rPr>
                <w:sz w:val="18"/>
                <w:szCs w:val="18"/>
              </w:rPr>
              <w:t>ca. 41 %</w:t>
            </w:r>
          </w:p>
        </w:tc>
      </w:tr>
      <w:tr w:rsidR="00C1548D" w14:paraId="70A4C8E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DF" w14:textId="77777777" w:rsidR="00C1548D" w:rsidRDefault="009B1B4B">
            <w:pPr>
              <w:spacing w:line="250" w:lineRule="auto"/>
            </w:pPr>
            <w:r>
              <w:rPr>
                <w:sz w:val="18"/>
                <w:szCs w:val="18"/>
              </w:rPr>
              <w:lastRenderedPageBreak/>
              <w:t>EB-1B</w:t>
            </w:r>
          </w:p>
        </w:tc>
        <w:tc>
          <w:tcPr>
            <w:tcW w:w="35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0" w14:textId="77777777" w:rsidR="00C1548D" w:rsidRDefault="009B1B4B">
            <w:pPr>
              <w:spacing w:line="250" w:lineRule="auto"/>
            </w:pPr>
            <w:r>
              <w:rPr>
                <w:sz w:val="18"/>
                <w:szCs w:val="18"/>
              </w:rPr>
              <w:t>Forschende, Professoren mit unbefristetem Angebot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1" w14:textId="77777777" w:rsidR="00C1548D" w:rsidRDefault="009B1B4B">
            <w:pPr>
              <w:spacing w:line="250" w:lineRule="auto"/>
            </w:pPr>
            <w:r>
              <w:rPr>
                <w:sz w:val="18"/>
                <w:szCs w:val="18"/>
              </w:rPr>
              <w:t>Nein</w:t>
            </w:r>
          </w:p>
        </w:tc>
        <w:tc>
          <w:tcPr>
            <w:tcW w:w="10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2" w14:textId="77777777" w:rsidR="00C1548D" w:rsidRDefault="009B1B4B">
            <w:pPr>
              <w:spacing w:line="250" w:lineRule="auto"/>
            </w:pPr>
            <w:r>
              <w:rPr>
                <w:sz w:val="18"/>
                <w:szCs w:val="18"/>
              </w:rPr>
              <w:t>ca. 94 %</w:t>
            </w:r>
          </w:p>
        </w:tc>
      </w:tr>
      <w:tr w:rsidR="00C1548D" w14:paraId="70A4C8E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4" w14:textId="77777777" w:rsidR="00C1548D" w:rsidRDefault="009B1B4B">
            <w:pPr>
              <w:spacing w:line="250" w:lineRule="auto"/>
            </w:pPr>
            <w:r>
              <w:rPr>
                <w:sz w:val="18"/>
                <w:szCs w:val="18"/>
              </w:rPr>
              <w:t>EB-1C</w:t>
            </w:r>
          </w:p>
        </w:tc>
        <w:tc>
          <w:tcPr>
            <w:tcW w:w="35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5" w14:textId="77777777" w:rsidR="00C1548D" w:rsidRDefault="009B1B4B">
            <w:pPr>
              <w:spacing w:line="250" w:lineRule="auto"/>
            </w:pPr>
            <w:r>
              <w:rPr>
                <w:sz w:val="18"/>
                <w:szCs w:val="18"/>
              </w:rPr>
              <w:t>Führungskräfte mit Konzernbezug (z. B. nach L-1A)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6" w14:textId="77777777" w:rsidR="00C1548D" w:rsidRDefault="009B1B4B">
            <w:pPr>
              <w:spacing w:line="250" w:lineRule="auto"/>
            </w:pPr>
            <w:r>
              <w:rPr>
                <w:sz w:val="18"/>
                <w:szCs w:val="18"/>
              </w:rPr>
              <w:t>Nein</w:t>
            </w:r>
          </w:p>
        </w:tc>
        <w:tc>
          <w:tcPr>
            <w:tcW w:w="10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7" w14:textId="77777777" w:rsidR="00C1548D" w:rsidRDefault="009B1B4B">
            <w:pPr>
              <w:spacing w:line="250" w:lineRule="auto"/>
            </w:pPr>
            <w:r>
              <w:rPr>
                <w:sz w:val="18"/>
                <w:szCs w:val="18"/>
              </w:rPr>
              <w:t>ca. 97 %</w:t>
            </w:r>
          </w:p>
        </w:tc>
      </w:tr>
      <w:tr w:rsidR="00C1548D" w14:paraId="70A4C8E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9" w14:textId="77777777" w:rsidR="00C1548D" w:rsidRDefault="009B1B4B">
            <w:pPr>
              <w:spacing w:line="250" w:lineRule="auto"/>
            </w:pPr>
            <w:r>
              <w:rPr>
                <w:sz w:val="18"/>
                <w:szCs w:val="18"/>
              </w:rPr>
              <w:t>EB-2</w:t>
            </w:r>
          </w:p>
        </w:tc>
        <w:tc>
          <w:tcPr>
            <w:tcW w:w="35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A" w14:textId="77777777" w:rsidR="00C1548D" w:rsidRDefault="009B1B4B">
            <w:pPr>
              <w:spacing w:line="250" w:lineRule="auto"/>
            </w:pPr>
            <w:r>
              <w:rPr>
                <w:sz w:val="18"/>
                <w:szCs w:val="18"/>
              </w:rPr>
              <w:t>Master oder Bachelor plus fünf Jahre Erfahrung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B" w14:textId="77777777" w:rsidR="00C1548D" w:rsidRDefault="009B1B4B">
            <w:pPr>
              <w:spacing w:line="250" w:lineRule="auto"/>
            </w:pPr>
            <w:r>
              <w:rPr>
                <w:sz w:val="18"/>
                <w:szCs w:val="18"/>
              </w:rPr>
              <w:t>Ja</w:t>
            </w:r>
          </w:p>
        </w:tc>
        <w:tc>
          <w:tcPr>
            <w:tcW w:w="10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C" w14:textId="77777777" w:rsidR="00C1548D" w:rsidRDefault="009B1B4B">
            <w:pPr>
              <w:spacing w:line="250" w:lineRule="auto"/>
            </w:pPr>
            <w:r>
              <w:rPr>
                <w:sz w:val="18"/>
                <w:szCs w:val="18"/>
              </w:rPr>
              <w:t>ca. 97 %</w:t>
            </w:r>
          </w:p>
        </w:tc>
      </w:tr>
      <w:tr w:rsidR="00C1548D" w14:paraId="70A4C8F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E" w14:textId="77777777" w:rsidR="00C1548D" w:rsidRDefault="009B1B4B">
            <w:pPr>
              <w:spacing w:line="250" w:lineRule="auto"/>
            </w:pPr>
            <w:r>
              <w:rPr>
                <w:sz w:val="18"/>
                <w:szCs w:val="18"/>
              </w:rPr>
              <w:t>EB-2 NIW</w:t>
            </w:r>
          </w:p>
        </w:tc>
        <w:tc>
          <w:tcPr>
            <w:tcW w:w="35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EF" w14:textId="77777777" w:rsidR="00C1548D" w:rsidRDefault="009B1B4B">
            <w:pPr>
              <w:spacing w:line="250" w:lineRule="auto"/>
            </w:pPr>
            <w:r>
              <w:rPr>
                <w:sz w:val="18"/>
                <w:szCs w:val="18"/>
              </w:rPr>
              <w:t>Vorhaben von nationalem Interesse, Selbstpetition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F0" w14:textId="77777777" w:rsidR="00C1548D" w:rsidRDefault="009B1B4B">
            <w:pPr>
              <w:spacing w:line="250" w:lineRule="auto"/>
            </w:pPr>
            <w:r>
              <w:rPr>
                <w:sz w:val="18"/>
                <w:szCs w:val="18"/>
              </w:rPr>
              <w:t>Nein</w:t>
            </w:r>
          </w:p>
        </w:tc>
        <w:tc>
          <w:tcPr>
            <w:tcW w:w="10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F1" w14:textId="77777777" w:rsidR="00C1548D" w:rsidRDefault="009B1B4B">
            <w:pPr>
              <w:spacing w:line="250" w:lineRule="auto"/>
            </w:pPr>
            <w:r>
              <w:rPr>
                <w:sz w:val="18"/>
                <w:szCs w:val="18"/>
              </w:rPr>
              <w:t>ca. 49 %</w:t>
            </w:r>
          </w:p>
        </w:tc>
      </w:tr>
      <w:tr w:rsidR="00C1548D" w14:paraId="70A4C8F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F3" w14:textId="77777777" w:rsidR="00C1548D" w:rsidRDefault="009B1B4B">
            <w:pPr>
              <w:spacing w:line="250" w:lineRule="auto"/>
            </w:pPr>
            <w:r>
              <w:rPr>
                <w:sz w:val="18"/>
                <w:szCs w:val="18"/>
              </w:rPr>
              <w:t>EB-3</w:t>
            </w:r>
          </w:p>
        </w:tc>
        <w:tc>
          <w:tcPr>
            <w:tcW w:w="35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F4" w14:textId="77777777" w:rsidR="00C1548D" w:rsidRDefault="009B1B4B">
            <w:pPr>
              <w:spacing w:line="250" w:lineRule="auto"/>
            </w:pPr>
            <w:r>
              <w:rPr>
                <w:sz w:val="18"/>
                <w:szCs w:val="18"/>
              </w:rPr>
              <w:t>Fachkräfte und Bachelor-Berufe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F5" w14:textId="77777777" w:rsidR="00C1548D" w:rsidRDefault="009B1B4B">
            <w:pPr>
              <w:spacing w:line="250" w:lineRule="auto"/>
            </w:pPr>
            <w:r>
              <w:rPr>
                <w:sz w:val="18"/>
                <w:szCs w:val="18"/>
              </w:rPr>
              <w:t>Ja</w:t>
            </w:r>
          </w:p>
        </w:tc>
        <w:tc>
          <w:tcPr>
            <w:tcW w:w="10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8F6" w14:textId="77777777" w:rsidR="00C1548D" w:rsidRDefault="009B1B4B">
            <w:pPr>
              <w:spacing w:line="250" w:lineRule="auto"/>
            </w:pPr>
            <w:r>
              <w:rPr>
                <w:sz w:val="18"/>
                <w:szCs w:val="18"/>
              </w:rPr>
              <w:t>ca. 97–98 %</w:t>
            </w:r>
          </w:p>
        </w:tc>
      </w:tr>
    </w:tbl>
    <w:p w14:paraId="70A4C8F8" w14:textId="77777777" w:rsidR="00C1548D" w:rsidRDefault="00C1548D">
      <w:pPr>
        <w:spacing w:line="180" w:lineRule="exact"/>
      </w:pPr>
    </w:p>
    <w:p w14:paraId="70A4C8F9" w14:textId="77777777" w:rsidR="00C1548D" w:rsidRDefault="009B1B4B">
      <w:pPr>
        <w:spacing w:after="140"/>
      </w:pPr>
      <w:r>
        <w:t xml:space="preserve">Die Quote ist der Anteil genehmigter an den entschiedenen I-140-Petitionen in den ersten drei Quartalen des Fiskaljahres 2026 (eigene Rechnung aus USCIS-Quartalsdaten). Sonderfälle wie die </w:t>
      </w:r>
      <w:r>
        <w:rPr>
          <w:i/>
          <w:iCs/>
        </w:rPr>
        <w:t>Schedule A</w:t>
      </w:r>
      <w:r>
        <w:t>, eine Liste von Mangelberufen (u. a. Pflegekräfte, Physiotherapeuten), kommen ohne PERM aus.</w:t>
      </w:r>
    </w:p>
    <w:p w14:paraId="70A4C8FA" w14:textId="77777777" w:rsidR="00C1548D" w:rsidRDefault="009B1B4B">
      <w:pPr>
        <w:spacing w:after="140"/>
      </w:pPr>
      <w:r>
        <w:t>Die Kategorie richtet sich nach den Anforderungen der Stelle, nicht allein nach deinem Lebenslauf: Verlangt sie einen Master, ist EB-2 möglich, derzeit ohne Stichtag; bei EB-3 gilt für Deutsche ein Stichtag, neue Fälle warten also. Die Anforderungen müssen der Stelle tatsächlich entsprechen – die Einstufung nimmt die Kanzlei vor.</w:t>
      </w:r>
    </w:p>
    <w:p w14:paraId="70A4C8FB" w14:textId="77777777" w:rsidR="00C1548D" w:rsidRDefault="009B1B4B">
      <w:pPr>
        <w:pStyle w:val="Heading3"/>
        <w:keepNext/>
        <w:jc w:val="center"/>
      </w:pPr>
      <w:r>
        <w:rPr>
          <w:rFonts w:ascii="Amazon Ember" w:eastAsia="Amazon Ember" w:hAnsi="Amazon Ember" w:cs="Amazon Ember"/>
          <w:color w:val="0000FF"/>
          <w:sz w:val="36"/>
          <w:szCs w:val="36"/>
        </w:rPr>
        <w:t>Selbstpetition: NIW und EB-1A</w:t>
      </w:r>
    </w:p>
    <w:p w14:paraId="70A4C8FC" w14:textId="77777777" w:rsidR="00C1548D" w:rsidRDefault="009B1B4B">
      <w:pPr>
        <w:spacing w:after="140"/>
      </w:pPr>
      <w:r>
        <w:t xml:space="preserve">Zwei Wege kommen ohne Arbeitgeber und PERM aus. Beim </w:t>
      </w:r>
      <w:r>
        <w:rPr>
          <w:i/>
          <w:iCs/>
        </w:rPr>
        <w:t>National Interest Waiver</w:t>
      </w:r>
      <w:r>
        <w:t xml:space="preserve"> (NIW, Verzicht auf Jobangebot und Arbeitsmarktprüfung) beantragst du die Green Card in EB-2 selbst, nach der Entscheidung </w:t>
      </w:r>
      <w:r>
        <w:rPr>
          <w:i/>
          <w:iCs/>
        </w:rPr>
        <w:t>Matter of Dhanasar</w:t>
      </w:r>
      <w:r>
        <w:t xml:space="preserve"> (2016) mit drei Prüfschritten: substanzieller Wert und nationale Bedeutung des Vorhabens, gute Position, es voranzubringen, und ein Verzicht auf das Jobangebot im US-Interesse. Die EB-1A verlangt einen </w:t>
      </w:r>
      <w:r>
        <w:lastRenderedPageBreak/>
        <w:t>Spitzenpreis oder drei von zehn Kriterien (etwa Veröffentlichungen, Gutachtertätigkeit, hohe Bezahlung) plus Gesamtwürdigung.</w:t>
      </w:r>
    </w:p>
    <w:p w14:paraId="70A4C8FD" w14:textId="77777777" w:rsidR="00C1548D" w:rsidRDefault="009B1B4B">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90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8FE" w14:textId="77777777" w:rsidR="00C1548D" w:rsidRDefault="009B1B4B">
            <w:pPr>
              <w:keepNext/>
              <w:spacing w:after="70" w:line="240" w:lineRule="auto"/>
            </w:pPr>
            <w:r>
              <w:rPr>
                <w:b/>
                <w:bCs/>
                <w:color w:val="9B2C2C"/>
                <w:spacing w:val="24"/>
                <w:sz w:val="16"/>
                <w:szCs w:val="16"/>
              </w:rPr>
              <w:t>ACHTUNG</w:t>
            </w:r>
          </w:p>
          <w:p w14:paraId="70A4C8FF" w14:textId="77777777" w:rsidR="00C1548D" w:rsidRDefault="009B1B4B">
            <w:pPr>
              <w:spacing w:after="80" w:line="264" w:lineRule="auto"/>
            </w:pPr>
            <w:r>
              <w:rPr>
                <w:sz w:val="20"/>
                <w:szCs w:val="20"/>
              </w:rPr>
              <w:t>Gut jede zweite NIW-Petition und rund sechs von zehn EB-1A-Petitionen wurden in den ersten drei Quartalen des Fiskaljahres 2026 abgelehnt. Die Quoten sagen nichts über deinen Einzelfall, sprechen aber gegen eine Selbstpetition ohne anwaltliche Vorprüfung – halte einen Plan B bereit: den Arbeitgeberweg mit PERM, parallel oder als Rückfall.</w:t>
            </w:r>
          </w:p>
        </w:tc>
      </w:tr>
    </w:tbl>
    <w:p w14:paraId="70A4C901" w14:textId="77777777" w:rsidR="00C1548D" w:rsidRDefault="00C1548D">
      <w:pPr>
        <w:spacing w:line="220" w:lineRule="exact"/>
      </w:pPr>
    </w:p>
    <w:p w14:paraId="70A4C902" w14:textId="77777777" w:rsidR="00C1548D" w:rsidRDefault="009B1B4B">
      <w:pPr>
        <w:pStyle w:val="Heading3"/>
        <w:keepNext/>
        <w:jc w:val="center"/>
      </w:pPr>
      <w:r>
        <w:rPr>
          <w:rFonts w:ascii="Amazon Ember" w:eastAsia="Amazon Ember" w:hAnsi="Amazon Ember" w:cs="Amazon Ember"/>
          <w:color w:val="0000FF"/>
          <w:sz w:val="36"/>
          <w:szCs w:val="36"/>
        </w:rPr>
        <w:t>Der Weg über den Arbeitgeber: PERM, I-140, I-485</w:t>
      </w:r>
    </w:p>
    <w:p w14:paraId="70A4C903" w14:textId="77777777" w:rsidR="00C1548D" w:rsidRDefault="009B1B4B">
      <w:pPr>
        <w:spacing w:after="140"/>
      </w:pPr>
      <w:r>
        <w:t xml:space="preserve">Verbreiteter Irrtum: Nach ein paar Jahren im H-1B kommt die Green Card irgendwann von selbst. Tatsächlich passiert nichts automatisch – ohne einen Arbeitgeber, der die Arbeitsmarktprüfung PERM anstößt, oder eine eigene Selbstpetition bleibst du auf Dauer im befristeten Status, auch nach zehn Jahren. Die meisten Fachkräfte gehen deshalb aktiv den folgenden Weg, oft aus dem H-1B oder L-1 heraus; beide Status erlauben </w:t>
      </w:r>
      <w:r>
        <w:rPr>
          <w:i/>
          <w:iCs/>
        </w:rPr>
        <w:t>Dual Intent</w:t>
      </w:r>
      <w:r>
        <w:t>, also die gleichzeitige Green-Card-Absicht. Er hat sechs Stationen:</w:t>
      </w:r>
    </w:p>
    <w:p w14:paraId="70A4C904" w14:textId="77777777" w:rsidR="00C1548D" w:rsidRDefault="009B1B4B" w:rsidP="009B1B4B">
      <w:pPr>
        <w:pStyle w:val="ListParagraph"/>
        <w:numPr>
          <w:ilvl w:val="0"/>
          <w:numId w:val="10"/>
        </w:numPr>
        <w:spacing w:after="60"/>
      </w:pPr>
      <w:r>
        <w:rPr>
          <w:b/>
          <w:bCs/>
        </w:rPr>
        <w:t>Lohnbescheid</w:t>
      </w:r>
      <w:r>
        <w:t xml:space="preserve"> (</w:t>
      </w:r>
      <w:r>
        <w:rPr>
          <w:i/>
          <w:iCs/>
        </w:rPr>
        <w:t>Prevailing Wage Determination</w:t>
      </w:r>
      <w:r>
        <w:t>, PWD): Das Arbeitsministerium DOL legt den Mindestlohn für Stelle und Arbeitsort fest (Form ETA-9141).</w:t>
      </w:r>
    </w:p>
    <w:p w14:paraId="70A4C905" w14:textId="77777777" w:rsidR="00C1548D" w:rsidRDefault="009B1B4B" w:rsidP="009B1B4B">
      <w:pPr>
        <w:pStyle w:val="ListParagraph"/>
        <w:numPr>
          <w:ilvl w:val="0"/>
          <w:numId w:val="10"/>
        </w:numPr>
        <w:spacing w:after="60"/>
      </w:pPr>
      <w:r>
        <w:rPr>
          <w:b/>
          <w:bCs/>
        </w:rPr>
        <w:lastRenderedPageBreak/>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w14:paraId="70A4C906" w14:textId="77777777" w:rsidR="00C1548D" w:rsidRDefault="009B1B4B" w:rsidP="009B1B4B">
      <w:pPr>
        <w:pStyle w:val="ListParagraph"/>
        <w:numPr>
          <w:ilvl w:val="0"/>
          <w:numId w:val="10"/>
        </w:numPr>
        <w:spacing w:after="60"/>
      </w:pPr>
      <w:r>
        <w:rPr>
          <w:b/>
          <w:bCs/>
        </w:rPr>
        <w:t>Antrag ETA-9089</w:t>
      </w:r>
      <w:r>
        <w:t xml:space="preserve"> über das Portal FLAG des DOL. Mit der Einreichung entsteht dein </w:t>
      </w:r>
      <w:r>
        <w:rPr>
          <w:i/>
          <w:iCs/>
        </w:rPr>
        <w:t>Priority Date</w:t>
      </w:r>
      <w:r>
        <w:t>, dein Platz in der Warteschlange.</w:t>
      </w:r>
    </w:p>
    <w:p w14:paraId="70A4C907" w14:textId="77777777" w:rsidR="00C1548D" w:rsidRDefault="009B1B4B" w:rsidP="009B1B4B">
      <w:pPr>
        <w:pStyle w:val="ListParagraph"/>
        <w:numPr>
          <w:ilvl w:val="0"/>
          <w:numId w:val="10"/>
        </w:numPr>
        <w:spacing w:after="60"/>
      </w:pPr>
      <w:r>
        <w:rPr>
          <w:b/>
          <w:bCs/>
        </w:rPr>
        <w:t>Prüfung und Zertifizierung:</w:t>
      </w:r>
      <w:r>
        <w:t xml:space="preserve"> Nach der Analystenprüfung bestätigt das DOL die PERM (</w:t>
      </w:r>
      <w:r>
        <w:rPr>
          <w:i/>
          <w:iCs/>
        </w:rPr>
        <w:t>Labor Certification</w:t>
      </w:r>
      <w:r>
        <w:t>), gültig 180 Tage für die nächste Station.</w:t>
      </w:r>
    </w:p>
    <w:p w14:paraId="70A4C908" w14:textId="77777777" w:rsidR="00C1548D" w:rsidRDefault="009B1B4B" w:rsidP="009B1B4B">
      <w:pPr>
        <w:pStyle w:val="ListParagraph"/>
        <w:numPr>
          <w:ilvl w:val="0"/>
          <w:numId w:val="10"/>
        </w:numPr>
        <w:spacing w:after="60"/>
      </w:pPr>
      <w:r>
        <w:rPr>
          <w:b/>
          <w:bCs/>
        </w:rPr>
        <w:t>Petition I-140</w:t>
      </w:r>
      <w:r>
        <w:t xml:space="preserve"> bei USCIS: Der Arbeitgeber weist Bedarf, Zahlungsfähigkeit und deine Qualifikation nach.</w:t>
      </w:r>
    </w:p>
    <w:p w14:paraId="70A4C909" w14:textId="77777777" w:rsidR="00C1548D" w:rsidRDefault="009B1B4B" w:rsidP="009B1B4B">
      <w:pPr>
        <w:pStyle w:val="ListParagraph"/>
        <w:numPr>
          <w:ilvl w:val="0"/>
          <w:numId w:val="10"/>
        </w:numPr>
        <w:spacing w:after="60"/>
      </w:pPr>
      <w:r>
        <w:rPr>
          <w:b/>
          <w:bCs/>
        </w:rPr>
        <w:t>I-485 oder Konsulat:</w:t>
      </w:r>
      <w:r>
        <w:t xml:space="preserve"> Sobald dein Priority Date erreicht ist, folgt die Statusanpassung im Inland oder das Einwanderungsvisum (nächster Abschnitt).</w:t>
      </w:r>
    </w:p>
    <w:p w14:paraId="70A4C90A" w14:textId="77777777" w:rsidR="00C1548D" w:rsidRDefault="00C1548D">
      <w:pPr>
        <w:spacing w:line="12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783"/>
        <w:gridCol w:w="2747"/>
      </w:tblGrid>
      <w:tr w:rsidR="00C1548D" w14:paraId="70A4C90E"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0B" w14:textId="77777777" w:rsidR="00C1548D" w:rsidRDefault="009B1B4B">
            <w:pPr>
              <w:spacing w:line="250" w:lineRule="auto"/>
            </w:pPr>
            <w:r>
              <w:rPr>
                <w:b/>
                <w:bCs/>
                <w:sz w:val="18"/>
                <w:szCs w:val="18"/>
              </w:rPr>
              <w:t>Schritt</w:t>
            </w:r>
          </w:p>
        </w:tc>
        <w:tc>
          <w:tcPr>
            <w:tcW w:w="27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0C" w14:textId="77777777" w:rsidR="00C1548D" w:rsidRDefault="009B1B4B">
            <w:pPr>
              <w:spacing w:line="250" w:lineRule="auto"/>
            </w:pPr>
            <w:r>
              <w:rPr>
                <w:b/>
                <w:bCs/>
                <w:sz w:val="18"/>
                <w:szCs w:val="18"/>
              </w:rPr>
              <w:t>Dauer (Stand September 2026)</w:t>
            </w:r>
          </w:p>
        </w:tc>
        <w:tc>
          <w:tcPr>
            <w:tcW w:w="274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0D" w14:textId="77777777" w:rsidR="00C1548D" w:rsidRDefault="009B1B4B">
            <w:pPr>
              <w:spacing w:line="250" w:lineRule="auto"/>
            </w:pPr>
            <w:r>
              <w:rPr>
                <w:b/>
                <w:bCs/>
                <w:sz w:val="18"/>
                <w:szCs w:val="18"/>
              </w:rPr>
              <w:t>Kosten und wer zahlt</w:t>
            </w:r>
          </w:p>
        </w:tc>
      </w:tr>
      <w:tr w:rsidR="00C1548D" w14:paraId="70A4C91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0F" w14:textId="77777777" w:rsidR="00C1548D" w:rsidRDefault="009B1B4B">
            <w:pPr>
              <w:spacing w:line="250" w:lineRule="auto"/>
            </w:pPr>
            <w:r>
              <w:rPr>
                <w:sz w:val="18"/>
                <w:szCs w:val="18"/>
              </w:rPr>
              <w:t>Lohnbescheid (PWD)</w:t>
            </w:r>
          </w:p>
        </w:tc>
        <w:tc>
          <w:tcPr>
            <w:tcW w:w="2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0" w14:textId="77777777" w:rsidR="00C1548D" w:rsidRDefault="009B1B4B">
            <w:pPr>
              <w:spacing w:line="250" w:lineRule="auto"/>
            </w:pPr>
            <w:r>
              <w:rPr>
                <w:sz w:val="18"/>
                <w:szCs w:val="18"/>
              </w:rPr>
              <w:t>ca. 3,5–4 Monate; DOL bearbeitet Anträge von Mai 2026</w:t>
            </w:r>
          </w:p>
        </w:tc>
        <w:tc>
          <w:tcPr>
            <w:tcW w:w="27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1" w14:textId="77777777" w:rsidR="00C1548D" w:rsidRDefault="009B1B4B">
            <w:pPr>
              <w:spacing w:line="250" w:lineRule="auto"/>
            </w:pPr>
            <w:r>
              <w:rPr>
                <w:sz w:val="18"/>
                <w:szCs w:val="18"/>
              </w:rPr>
              <w:t>Keine DOL-Gebühr</w:t>
            </w:r>
          </w:p>
        </w:tc>
      </w:tr>
      <w:tr w:rsidR="00C1548D" w14:paraId="70A4C91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3" w14:textId="77777777" w:rsidR="00C1548D" w:rsidRDefault="009B1B4B">
            <w:pPr>
              <w:spacing w:line="250" w:lineRule="auto"/>
            </w:pPr>
            <w:r>
              <w:rPr>
                <w:sz w:val="18"/>
                <w:szCs w:val="18"/>
              </w:rPr>
              <w:t>Stellensuche</w:t>
            </w:r>
          </w:p>
        </w:tc>
        <w:tc>
          <w:tcPr>
            <w:tcW w:w="2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4" w14:textId="77777777" w:rsidR="00C1548D" w:rsidRDefault="009B1B4B">
            <w:pPr>
              <w:spacing w:line="250" w:lineRule="auto"/>
            </w:pPr>
            <w:r>
              <w:rPr>
                <w:sz w:val="18"/>
                <w:szCs w:val="18"/>
              </w:rPr>
              <w:t>ca. 2–3 Monate (Schätzung)</w:t>
            </w:r>
          </w:p>
        </w:tc>
        <w:tc>
          <w:tcPr>
            <w:tcW w:w="27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5" w14:textId="77777777" w:rsidR="00C1548D" w:rsidRDefault="009B1B4B">
            <w:pPr>
              <w:spacing w:line="250" w:lineRule="auto"/>
            </w:pPr>
            <w:r>
              <w:rPr>
                <w:sz w:val="18"/>
                <w:szCs w:val="18"/>
              </w:rPr>
              <w:t>Anzeigen, Kanzlei: Arbeitgeber</w:t>
            </w:r>
          </w:p>
        </w:tc>
      </w:tr>
      <w:tr w:rsidR="00C1548D" w14:paraId="70A4C91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7" w14:textId="77777777" w:rsidR="00C1548D" w:rsidRDefault="009B1B4B">
            <w:pPr>
              <w:spacing w:line="250" w:lineRule="auto"/>
            </w:pPr>
            <w:r>
              <w:rPr>
                <w:sz w:val="18"/>
                <w:szCs w:val="18"/>
              </w:rPr>
              <w:t>PERM (ETA-9089)</w:t>
            </w:r>
          </w:p>
        </w:tc>
        <w:tc>
          <w:tcPr>
            <w:tcW w:w="2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8" w14:textId="77777777" w:rsidR="00C1548D" w:rsidRDefault="009B1B4B">
            <w:pPr>
              <w:spacing w:line="250" w:lineRule="auto"/>
            </w:pPr>
            <w:r>
              <w:rPr>
                <w:sz w:val="18"/>
                <w:szCs w:val="18"/>
              </w:rPr>
              <w:t>Analystenprüfung im Schnitt 336 Tage; Audit dauert länger</w:t>
            </w:r>
          </w:p>
        </w:tc>
        <w:tc>
          <w:tcPr>
            <w:tcW w:w="27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9" w14:textId="77777777" w:rsidR="00C1548D" w:rsidRDefault="009B1B4B">
            <w:pPr>
              <w:spacing w:line="250" w:lineRule="auto"/>
            </w:pPr>
            <w:r>
              <w:rPr>
                <w:sz w:val="18"/>
                <w:szCs w:val="18"/>
              </w:rPr>
              <w:t>Keine DOL-Gebühr; Arbeitgeber</w:t>
            </w:r>
          </w:p>
        </w:tc>
      </w:tr>
      <w:tr w:rsidR="00C1548D" w14:paraId="70A4C91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B" w14:textId="77777777" w:rsidR="00C1548D" w:rsidRDefault="009B1B4B">
            <w:pPr>
              <w:spacing w:line="250" w:lineRule="auto"/>
            </w:pPr>
            <w:r>
              <w:rPr>
                <w:sz w:val="18"/>
                <w:szCs w:val="18"/>
              </w:rPr>
              <w:t>I-140</w:t>
            </w:r>
          </w:p>
        </w:tc>
        <w:tc>
          <w:tcPr>
            <w:tcW w:w="2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C" w14:textId="77777777" w:rsidR="00C1548D" w:rsidRDefault="009B1B4B">
            <w:pPr>
              <w:spacing w:line="250" w:lineRule="auto"/>
            </w:pPr>
            <w:r>
              <w:rPr>
                <w:sz w:val="18"/>
                <w:szCs w:val="18"/>
              </w:rPr>
              <w:t xml:space="preserve">Reguläre Dauer schwankt; mit </w:t>
            </w:r>
            <w:r>
              <w:rPr>
                <w:i/>
                <w:iCs/>
                <w:sz w:val="18"/>
                <w:szCs w:val="18"/>
              </w:rPr>
              <w:t>Premium Processing</w:t>
            </w:r>
            <w:r>
              <w:rPr>
                <w:sz w:val="18"/>
                <w:szCs w:val="18"/>
              </w:rPr>
              <w:t xml:space="preserve"> (Form I-907) 15 Werktage (45 bei EB-1C und NIW)</w:t>
            </w:r>
          </w:p>
        </w:tc>
        <w:tc>
          <w:tcPr>
            <w:tcW w:w="27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D" w14:textId="77777777" w:rsidR="00C1548D" w:rsidRDefault="009B1B4B">
            <w:pPr>
              <w:spacing w:line="250" w:lineRule="auto"/>
            </w:pPr>
            <w:r>
              <w:rPr>
                <w:sz w:val="18"/>
                <w:szCs w:val="18"/>
              </w:rPr>
              <w:t>715 $ (online 665 $) plus 600 $ Asylum Program Fee; Premium 2.965 $</w:t>
            </w:r>
          </w:p>
        </w:tc>
      </w:tr>
      <w:tr w:rsidR="00C1548D" w14:paraId="70A4C92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1F" w14:textId="77777777" w:rsidR="00C1548D" w:rsidRDefault="009B1B4B">
            <w:pPr>
              <w:spacing w:line="250" w:lineRule="auto"/>
            </w:pPr>
            <w:r>
              <w:rPr>
                <w:sz w:val="18"/>
                <w:szCs w:val="18"/>
              </w:rPr>
              <w:t>I-485 im Inland</w:t>
            </w:r>
          </w:p>
        </w:tc>
        <w:tc>
          <w:tcPr>
            <w:tcW w:w="2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20" w14:textId="77777777" w:rsidR="00C1548D" w:rsidRDefault="009B1B4B">
            <w:pPr>
              <w:spacing w:line="250" w:lineRule="auto"/>
            </w:pPr>
            <w:r>
              <w:rPr>
                <w:sz w:val="18"/>
                <w:szCs w:val="18"/>
              </w:rPr>
              <w:t>ca. 8–24 Monate (Aggregatorenangaben)</w:t>
            </w:r>
          </w:p>
        </w:tc>
        <w:tc>
          <w:tcPr>
            <w:tcW w:w="27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21" w14:textId="77777777" w:rsidR="00C1548D" w:rsidRDefault="009B1B4B">
            <w:pPr>
              <w:spacing w:line="250" w:lineRule="auto"/>
            </w:pPr>
            <w:r>
              <w:rPr>
                <w:sz w:val="18"/>
                <w:szCs w:val="18"/>
              </w:rPr>
              <w:t>1.440 $ (online 1.390 $) je Erwachsenem: du</w:t>
            </w:r>
          </w:p>
        </w:tc>
      </w:tr>
    </w:tbl>
    <w:p w14:paraId="70A4C923" w14:textId="77777777" w:rsidR="00C1548D" w:rsidRDefault="00C1548D">
      <w:pPr>
        <w:spacing w:line="180" w:lineRule="exact"/>
      </w:pPr>
    </w:p>
    <w:p w14:paraId="70A4C924" w14:textId="77777777" w:rsidR="00C1548D" w:rsidRDefault="009B1B4B">
      <w:pPr>
        <w:spacing w:after="140"/>
      </w:pPr>
      <w:r>
        <w:t xml:space="preserve">Zum Tempo: Ende August 2026 prüfte das DOL PERM-Anträge vom November 2025 – wer heute einreicht, kann sich auf rund ein Jahr Wartezeit allein für diesen Schritt einstellen. Nach zertifizierter </w:t>
      </w:r>
      <w:r>
        <w:lastRenderedPageBreak/>
        <w:t>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92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925" w14:textId="77777777" w:rsidR="00C1548D" w:rsidRDefault="009B1B4B">
            <w:pPr>
              <w:keepNext/>
              <w:spacing w:after="70" w:line="240" w:lineRule="auto"/>
            </w:pPr>
            <w:r>
              <w:rPr>
                <w:b/>
                <w:bCs/>
                <w:color w:val="9B2C2C"/>
                <w:spacing w:val="24"/>
                <w:sz w:val="16"/>
                <w:szCs w:val="16"/>
              </w:rPr>
              <w:t>ACHTUNG</w:t>
            </w:r>
          </w:p>
          <w:p w14:paraId="70A4C926" w14:textId="77777777" w:rsidR="00C1548D" w:rsidRDefault="009B1B4B">
            <w:pPr>
              <w:spacing w:after="80" w:line="264" w:lineRule="auto"/>
            </w:pPr>
            <w:r>
              <w:rPr>
                <w:sz w:val="20"/>
                <w:szCs w:val="20"/>
              </w:rPr>
              <w:t>Kläre das Sponsoring vor der Vertragsunterschrift schriftlich: Wann startet der Arbeitgeber die PERM, wer zahlt was, was gilt bei einer Kündigung? Die Kosten der Arbeitsmarktprüfung (Anzeigen, Kanzlei) trägt der Arbeitgeber –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w:t>
            </w:r>
            <w:r>
              <w:rPr>
                <w:sz w:val="20"/>
                <w:szCs w:val="20"/>
              </w:rPr>
              <w:t>-9089, jeder Monat Zögern beim Start verschiebt alles.</w:t>
            </w:r>
          </w:p>
        </w:tc>
      </w:tr>
    </w:tbl>
    <w:p w14:paraId="70A4C928" w14:textId="77777777" w:rsidR="00C1548D" w:rsidRDefault="00C1548D">
      <w:pPr>
        <w:spacing w:line="220" w:lineRule="exact"/>
      </w:pPr>
    </w:p>
    <w:p w14:paraId="70A4C929" w14:textId="77777777" w:rsidR="00C1548D" w:rsidRDefault="009B1B4B">
      <w:pPr>
        <w:pStyle w:val="Heading3"/>
        <w:keepNext/>
        <w:jc w:val="center"/>
      </w:pPr>
      <w:r>
        <w:rPr>
          <w:rFonts w:ascii="Amazon Ember" w:eastAsia="Amazon Ember" w:hAnsi="Amazon Ember" w:cs="Amazon Ember"/>
          <w:color w:val="0000FF"/>
          <w:sz w:val="36"/>
          <w:szCs w:val="36"/>
        </w:rPr>
        <w:t>Nach der I-140: I-485, Arbeitserlaubnis, Jobwechsel</w:t>
      </w:r>
    </w:p>
    <w:p w14:paraId="70A4C92A" w14:textId="359E76BA" w:rsidR="00C1548D" w:rsidRDefault="009B1B4B">
      <w:pPr>
        <w:spacing w:after="140"/>
      </w:pPr>
      <w:r>
        <w:t>Ist dein Priority Date nach der USCIS-Tabelle bereits erreicht, kannst du I-140 und I-485 zusammen einreichen (</w:t>
      </w:r>
      <w:r>
        <w:rPr>
          <w:i/>
          <w:iCs/>
        </w:rPr>
        <w:t>Concurrent Filing</w:t>
      </w:r>
      <w:r>
        <w:t>) – im September 2026 gilt das für EB-1 und EB-2 (Rest der Welt), bei EB-3 nur für Priority Dates vor dem 1. September 2024. Mit dem I-485 beantragst du auf Wunsch eine Arbeitserlaubnis (</w:t>
      </w:r>
      <w:r>
        <w:rPr>
          <w:i/>
          <w:iCs/>
        </w:rPr>
        <w:t>Employment Authorization Document</w:t>
      </w:r>
      <w:r>
        <w:t>, EAD; Form I-765, 260 $) und ein Reisedokument (</w:t>
      </w:r>
      <w:r>
        <w:rPr>
          <w:i/>
          <w:iCs/>
        </w:rPr>
        <w:t>Advance Parole</w:t>
      </w:r>
      <w:r>
        <w:t>;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w:t>
      </w:r>
      <w:hyperlink w:anchor="k10" w:history="1">
        <w:r>
          <w:t>10</w:t>
        </w:r>
      </w:hyperlink>
      <w:r>
        <w:t>).</w:t>
      </w:r>
    </w:p>
    <w:p w14:paraId="70A4C92B" w14:textId="77777777" w:rsidR="00C1548D" w:rsidRDefault="009B1B4B">
      <w:pPr>
        <w:spacing w:after="140"/>
      </w:pPr>
      <w:r>
        <w:lastRenderedPageBreak/>
        <w:t>Was du selbst zahlst: die I-485-Gebühr je Antragsteller, dazu je nach Bedarf EAD und Advance Parole, den Arzt (für das Formular I-693 verlangt USCIS keine Gebühr, die Praxis schon) und Übersetzungen.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92E"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C92C" w14:textId="77777777" w:rsidR="00C1548D" w:rsidRDefault="009B1B4B">
            <w:pPr>
              <w:keepNext/>
              <w:spacing w:after="70" w:line="240" w:lineRule="auto"/>
            </w:pPr>
            <w:r>
              <w:rPr>
                <w:b/>
                <w:bCs/>
                <w:color w:val="2F6B3B"/>
                <w:spacing w:val="24"/>
                <w:sz w:val="16"/>
                <w:szCs w:val="16"/>
              </w:rPr>
              <w:t>SPARTIPP</w:t>
            </w:r>
          </w:p>
          <w:p w14:paraId="70A4C92D" w14:textId="77777777" w:rsidR="00C1548D" w:rsidRDefault="009B1B4B">
            <w:pPr>
              <w:spacing w:after="80" w:line="264" w:lineRule="auto"/>
            </w:pPr>
            <w:r>
              <w:rPr>
                <w:sz w:val="20"/>
                <w:szCs w:val="20"/>
              </w:rPr>
              <w:t>Reichst du den I-485 online ein, sparst du 50 $ je Antrag. Bei zwei Erwachsenen und zwei Kindern unter 14 sind das 200 $.</w:t>
            </w:r>
          </w:p>
        </w:tc>
      </w:tr>
    </w:tbl>
    <w:p w14:paraId="70A4C92F" w14:textId="77777777" w:rsidR="00C1548D" w:rsidRDefault="00C1548D">
      <w:pPr>
        <w:spacing w:line="220" w:lineRule="exact"/>
      </w:pPr>
    </w:p>
    <w:p w14:paraId="70A4C930" w14:textId="07007F0D" w:rsidR="00C1548D" w:rsidRDefault="009B1B4B">
      <w:pPr>
        <w:spacing w:after="140"/>
      </w:pPr>
      <w:r>
        <w:t>Nach 180 Tagen mit anhängigem I-485 darfst du den Arbeitgeber wechseln, wenn die I-140 genehmigt oder genehmigungsfähig ist und das neue Angebot in derselben oder einer ähnlichen Tätigkeit liegt (</w:t>
      </w:r>
      <w:r>
        <w:rPr>
          <w:i/>
          <w:iCs/>
        </w:rPr>
        <w:t>AC21</w:t>
      </w:r>
      <w:r>
        <w:t>, Kapitel </w:t>
      </w:r>
      <w:hyperlink w:anchor="k30" w:history="1">
        <w:r>
          <w:t>30</w:t>
        </w:r>
      </w:hyperlink>
      <w:r>
        <w:t>). Verlängerungen des H-1B über sechs Jahre hinaus erklärt Kapitel </w:t>
      </w:r>
      <w:hyperlink w:anchor="k5" w:history="1">
        <w:r>
          <w:t>5</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933"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931" w14:textId="77777777" w:rsidR="00C1548D" w:rsidRDefault="009B1B4B">
            <w:pPr>
              <w:keepNext/>
              <w:spacing w:after="70" w:line="240" w:lineRule="auto"/>
            </w:pPr>
            <w:r>
              <w:rPr>
                <w:b/>
                <w:bCs/>
                <w:color w:val="4A5568"/>
                <w:spacing w:val="24"/>
                <w:sz w:val="16"/>
                <w:szCs w:val="16"/>
              </w:rPr>
              <w:t>PRAXISBEISPIEL · FIKTIV</w:t>
            </w:r>
          </w:p>
          <w:p w14:paraId="70A4C932" w14:textId="77777777" w:rsidR="00C1548D" w:rsidRDefault="009B1B4B">
            <w:pPr>
              <w:spacing w:after="80" w:line="264" w:lineRule="auto"/>
            </w:pPr>
            <w:r>
              <w:rPr>
                <w:sz w:val="20"/>
                <w:szCs w:val="20"/>
              </w:rPr>
              <w:t>Familie Brandt (fiktiv). Markus, 38, arbeitet im Großraum Detroit im H-1B-Status. Im Arbeitsvertrag steht, dass der Arbeitgeber das Green-Card-Verfahren im ersten Jahr startet und die PERM-Kosten trägt. Die Kanzlei stuft die Stelle als EB-2 ein, weil sie einen Master verlangt. Lohnbescheid (4 Monate), Ausschreibung (3 Monate) und Analystenprüfung (rund 11 Monate) ergeben eine zertifizierte PERM nach gut anderthalb Jahren; die I-140 folgt mit Premium Processing. Ist EB-2 dann noch current, reicht die Kanzlei</w:t>
            </w:r>
            <w:r>
              <w:rPr>
                <w:sz w:val="20"/>
                <w:szCs w:val="20"/>
              </w:rPr>
              <w:t xml:space="preserve"> den I-485 für alle vier ein: 1.440 $ für Markus und Anna, 950 $ für Lena (9) und Jonas (5), zusammen 4.780 $ bei Papieranträgen. Anna beantragt zusätzlich eine eigene EAD (260 $) – die Arbeitserlaubnis, auf die sie seit der Ankunft gewartet hat. Gut drei Jahre nach dem Start rechnet die Kanzlei mit den Green Cards.</w:t>
            </w:r>
          </w:p>
        </w:tc>
      </w:tr>
    </w:tbl>
    <w:p w14:paraId="70A4C934" w14:textId="77777777" w:rsidR="00C1548D" w:rsidRDefault="00C1548D">
      <w:pPr>
        <w:spacing w:line="220" w:lineRule="exact"/>
      </w:pPr>
    </w:p>
    <w:p w14:paraId="70A4C935" w14:textId="77777777" w:rsidR="00C1548D" w:rsidRDefault="009B1B4B">
      <w:pPr>
        <w:pStyle w:val="Heading3"/>
        <w:keepNext/>
        <w:jc w:val="center"/>
      </w:pPr>
      <w:r>
        <w:rPr>
          <w:rFonts w:ascii="Amazon Ember" w:eastAsia="Amazon Ember" w:hAnsi="Amazon Ember" w:cs="Amazon Ember"/>
          <w:color w:val="0000FF"/>
          <w:sz w:val="36"/>
          <w:szCs w:val="36"/>
        </w:rPr>
        <w:t>Im Inland oder über das Konsulat?</w:t>
      </w:r>
    </w:p>
    <w:p w14:paraId="70A4C936" w14:textId="77777777" w:rsidR="00C1548D" w:rsidRDefault="009B1B4B">
      <w:pPr>
        <w:spacing w:after="140"/>
      </w:pPr>
      <w:r>
        <w:t>Ist deine Kategorie current oder dein Priority Date erreicht, führen zwei Türen zur Karte: Bei der Statusanpassung (</w:t>
      </w:r>
      <w:r>
        <w:rPr>
          <w:i/>
          <w:iCs/>
        </w:rPr>
        <w:t>Adjustment of Status</w:t>
      </w:r>
      <w:r>
        <w:t xml:space="preserve">, Form I-485) bleibst du in den USA und wechselst bei USCIS in den LPR-Status; beim </w:t>
      </w:r>
      <w:r>
        <w:rPr>
          <w:i/>
          <w:iCs/>
        </w:rPr>
        <w:t>Consular Processing</w:t>
      </w:r>
      <w:r>
        <w:t xml:space="preserve"> reist du mit einem Einwanderungsvisum ein – das Verfahren läuft über das Nationale </w:t>
      </w:r>
      <w:r>
        <w:lastRenderedPageBreak/>
        <w:t>Visumzentrum (</w:t>
      </w:r>
      <w:r>
        <w:rPr>
          <w:i/>
          <w:iCs/>
        </w:rPr>
        <w:t>National Visa Center</w:t>
      </w:r>
      <w:r>
        <w:t>, NVC) und das Generalkonsulat Frankfurt, das laut Kanzleiangaben alle Einwanderungsvisa für Deutschland bearbeitet.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778"/>
        <w:gridCol w:w="2752"/>
      </w:tblGrid>
      <w:tr w:rsidR="00C1548D" w14:paraId="70A4C93A"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37" w14:textId="77777777" w:rsidR="00C1548D" w:rsidRDefault="009B1B4B">
            <w:pPr>
              <w:spacing w:line="250" w:lineRule="auto"/>
            </w:pPr>
            <w:r>
              <w:rPr>
                <w:b/>
                <w:bCs/>
                <w:sz w:val="18"/>
                <w:szCs w:val="18"/>
              </w:rPr>
              <w:t>Kriterium</w:t>
            </w:r>
          </w:p>
        </w:tc>
        <w:tc>
          <w:tcPr>
            <w:tcW w:w="277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38" w14:textId="77777777" w:rsidR="00C1548D" w:rsidRDefault="009B1B4B">
            <w:pPr>
              <w:spacing w:line="250" w:lineRule="auto"/>
            </w:pPr>
            <w:r>
              <w:rPr>
                <w:b/>
                <w:bCs/>
                <w:sz w:val="18"/>
                <w:szCs w:val="18"/>
              </w:rPr>
              <w:t>I-485 im Inland</w:t>
            </w:r>
          </w:p>
        </w:tc>
        <w:tc>
          <w:tcPr>
            <w:tcW w:w="27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39" w14:textId="77777777" w:rsidR="00C1548D" w:rsidRDefault="009B1B4B">
            <w:pPr>
              <w:spacing w:line="250" w:lineRule="auto"/>
            </w:pPr>
            <w:r>
              <w:rPr>
                <w:b/>
                <w:bCs/>
                <w:sz w:val="18"/>
                <w:szCs w:val="18"/>
              </w:rPr>
              <w:t>Konsulat Frankfurt</w:t>
            </w:r>
          </w:p>
        </w:tc>
      </w:tr>
      <w:tr w:rsidR="00C1548D" w14:paraId="70A4C93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3B" w14:textId="77777777" w:rsidR="00C1548D" w:rsidRDefault="009B1B4B">
            <w:pPr>
              <w:spacing w:line="250" w:lineRule="auto"/>
            </w:pPr>
            <w:r>
              <w:rPr>
                <w:sz w:val="18"/>
                <w:szCs w:val="18"/>
              </w:rPr>
              <w:t>Geeignet für</w:t>
            </w:r>
          </w:p>
        </w:tc>
        <w:tc>
          <w:tcPr>
            <w:tcW w:w="27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3C" w14:textId="77777777" w:rsidR="00C1548D" w:rsidRDefault="009B1B4B">
            <w:pPr>
              <w:spacing w:line="250" w:lineRule="auto"/>
            </w:pPr>
            <w:r>
              <w:rPr>
                <w:sz w:val="18"/>
                <w:szCs w:val="18"/>
              </w:rPr>
              <w:t>Wer schon in H-1B oder L-1 im Land ist</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3D" w14:textId="77777777" w:rsidR="00C1548D" w:rsidRDefault="009B1B4B">
            <w:pPr>
              <w:spacing w:line="250" w:lineRule="auto"/>
            </w:pPr>
            <w:r>
              <w:rPr>
                <w:sz w:val="18"/>
                <w:szCs w:val="18"/>
              </w:rPr>
              <w:t>Wer in Deutschland lebt oder ausreist</w:t>
            </w:r>
          </w:p>
        </w:tc>
      </w:tr>
      <w:tr w:rsidR="00C1548D" w14:paraId="70A4C94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3F" w14:textId="77777777" w:rsidR="00C1548D" w:rsidRDefault="009B1B4B">
            <w:pPr>
              <w:spacing w:line="250" w:lineRule="auto"/>
            </w:pPr>
            <w:r>
              <w:rPr>
                <w:sz w:val="18"/>
                <w:szCs w:val="18"/>
              </w:rPr>
              <w:t>Dauer</w:t>
            </w:r>
          </w:p>
        </w:tc>
        <w:tc>
          <w:tcPr>
            <w:tcW w:w="27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40" w14:textId="77777777" w:rsidR="00C1548D" w:rsidRDefault="009B1B4B">
            <w:pPr>
              <w:spacing w:line="250" w:lineRule="auto"/>
            </w:pPr>
            <w:r>
              <w:rPr>
                <w:sz w:val="18"/>
                <w:szCs w:val="18"/>
              </w:rPr>
              <w:t>ca. 8–24 Monate</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41" w14:textId="77777777" w:rsidR="00C1548D" w:rsidRDefault="009B1B4B">
            <w:pPr>
              <w:spacing w:line="250" w:lineRule="auto"/>
            </w:pPr>
            <w:r>
              <w:rPr>
                <w:sz w:val="18"/>
                <w:szCs w:val="18"/>
              </w:rPr>
              <w:t>ca. 4–8 Monate nach I-140 (Schätzung)</w:t>
            </w:r>
          </w:p>
        </w:tc>
      </w:tr>
      <w:tr w:rsidR="00C1548D" w14:paraId="70A4C94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43" w14:textId="77777777" w:rsidR="00C1548D" w:rsidRDefault="009B1B4B">
            <w:pPr>
              <w:spacing w:line="250" w:lineRule="auto"/>
            </w:pPr>
            <w:r>
              <w:rPr>
                <w:sz w:val="18"/>
                <w:szCs w:val="18"/>
              </w:rPr>
              <w:t>Behördengebühren</w:t>
            </w:r>
          </w:p>
        </w:tc>
        <w:tc>
          <w:tcPr>
            <w:tcW w:w="27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44" w14:textId="77777777" w:rsidR="00C1548D" w:rsidRDefault="009B1B4B">
            <w:pPr>
              <w:spacing w:line="250" w:lineRule="auto"/>
            </w:pPr>
            <w:r>
              <w:rPr>
                <w:sz w:val="18"/>
                <w:szCs w:val="18"/>
              </w:rPr>
              <w:t>1.440 $ (online 1.390 $); Kind unter 14 mit Elternteil 950 $ (900 $)</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45" w14:textId="77777777" w:rsidR="00C1548D" w:rsidRDefault="009B1B4B">
            <w:pPr>
              <w:spacing w:line="250" w:lineRule="auto"/>
            </w:pPr>
            <w:r>
              <w:rPr>
                <w:sz w:val="18"/>
                <w:szCs w:val="18"/>
              </w:rPr>
              <w:t>Visumantrag DS-260 rund 345 $ je Person (Familienfälle 325 $); USCIS Immigrant Fee 235 $</w:t>
            </w:r>
          </w:p>
        </w:tc>
      </w:tr>
      <w:tr w:rsidR="00C1548D" w14:paraId="70A4C94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47" w14:textId="77777777" w:rsidR="00C1548D" w:rsidRDefault="009B1B4B">
            <w:pPr>
              <w:spacing w:line="250" w:lineRule="auto"/>
            </w:pPr>
            <w:r>
              <w:rPr>
                <w:sz w:val="18"/>
                <w:szCs w:val="18"/>
              </w:rPr>
              <w:t>Ärztliche Prüfung</w:t>
            </w:r>
          </w:p>
        </w:tc>
        <w:tc>
          <w:tcPr>
            <w:tcW w:w="27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48" w14:textId="77777777" w:rsidR="00C1548D" w:rsidRDefault="009B1B4B">
            <w:pPr>
              <w:spacing w:line="250" w:lineRule="auto"/>
            </w:pPr>
            <w:r>
              <w:rPr>
                <w:sz w:val="18"/>
                <w:szCs w:val="18"/>
              </w:rPr>
              <w:t xml:space="preserve">Formular I-693 bei einem </w:t>
            </w:r>
            <w:r>
              <w:rPr>
                <w:i/>
                <w:iCs/>
                <w:sz w:val="18"/>
                <w:szCs w:val="18"/>
              </w:rPr>
              <w:t>Civil Surgeon</w:t>
            </w:r>
            <w:r>
              <w:rPr>
                <w:sz w:val="18"/>
                <w:szCs w:val="18"/>
              </w:rPr>
              <w:t xml:space="preserve"> in den USA</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49" w14:textId="77777777" w:rsidR="00C1548D" w:rsidRDefault="009B1B4B">
            <w:pPr>
              <w:spacing w:line="250" w:lineRule="auto"/>
            </w:pPr>
            <w:r>
              <w:rPr>
                <w:sz w:val="18"/>
                <w:szCs w:val="18"/>
              </w:rPr>
              <w:t>Zugelassener Arzt (</w:t>
            </w:r>
            <w:r>
              <w:rPr>
                <w:i/>
                <w:iCs/>
                <w:sz w:val="18"/>
                <w:szCs w:val="18"/>
              </w:rPr>
              <w:t>Panel Physician</w:t>
            </w:r>
            <w:r>
              <w:rPr>
                <w:sz w:val="18"/>
                <w:szCs w:val="18"/>
              </w:rPr>
              <w:t>) in Deutschland</w:t>
            </w:r>
          </w:p>
        </w:tc>
      </w:tr>
      <w:tr w:rsidR="00C1548D" w14:paraId="70A4C94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4B" w14:textId="77777777" w:rsidR="00C1548D" w:rsidRDefault="009B1B4B">
            <w:pPr>
              <w:spacing w:line="250" w:lineRule="auto"/>
            </w:pPr>
            <w:r>
              <w:rPr>
                <w:sz w:val="18"/>
                <w:szCs w:val="18"/>
              </w:rPr>
              <w:t>Ergebnis</w:t>
            </w:r>
          </w:p>
        </w:tc>
        <w:tc>
          <w:tcPr>
            <w:tcW w:w="27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4C" w14:textId="77777777" w:rsidR="00C1548D" w:rsidRDefault="009B1B4B">
            <w:pPr>
              <w:spacing w:line="250" w:lineRule="auto"/>
            </w:pPr>
            <w:r>
              <w:rPr>
                <w:sz w:val="18"/>
                <w:szCs w:val="18"/>
              </w:rPr>
              <w:t>Green Card per Post</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4D" w14:textId="77777777" w:rsidR="00C1548D" w:rsidRDefault="009B1B4B">
            <w:pPr>
              <w:spacing w:line="250" w:lineRule="auto"/>
            </w:pPr>
            <w:r>
              <w:rPr>
                <w:sz w:val="18"/>
                <w:szCs w:val="18"/>
              </w:rPr>
              <w:t>Visum im Pass, nach der Einreise Green Card per Post</w:t>
            </w:r>
          </w:p>
        </w:tc>
      </w:tr>
    </w:tbl>
    <w:p w14:paraId="70A4C94F" w14:textId="77777777" w:rsidR="00C1548D" w:rsidRDefault="00C1548D">
      <w:pPr>
        <w:spacing w:line="180" w:lineRule="exact"/>
      </w:pPr>
    </w:p>
    <w:p w14:paraId="70A4C950" w14:textId="39EF5E2D" w:rsidR="00C1548D" w:rsidRDefault="009B1B4B">
      <w:pPr>
        <w:spacing w:after="140"/>
      </w:pPr>
      <w:r>
        <w:t>Die Beträge des Konsulats stammen aus Kanzleiangaben, die aktuelle Gebühr steht auf travel.state.gov. Das Einwanderungsvisum gilt meist sechs Monate; in dieser Zeit musst du einreisen. Fürs Interview brauchst du unter anderem Pass, Geburts-, gegebenenfalls Heiratsurkunde und ein polizeiliches Führungszeugnis – das deutsche ab 16 Jahren beim Bundesamt für Justiz (fuehrungszeugnis.bund.de), Verwendungszweck „zur Vorlage bei einer ausländischen Behörde“. Ob eine Übersetzung nötig ist, klärt das Konsulat (Näher</w:t>
      </w:r>
      <w:r>
        <w:t xml:space="preserve">es zu Übersetzungen und Apostillen in </w:t>
      </w:r>
      <w:r>
        <w:t>Kapitel </w:t>
      </w:r>
      <w:hyperlink w:anchor="k19" w:history="1">
        <w:r>
          <w:t>19</w:t>
        </w:r>
      </w:hyperlink>
      <w:r>
        <w:t>). Bei gut belegten arbeitsbasierten Fällen entscheidet USCIS im Inland häufig ohne Interview.</w:t>
      </w:r>
    </w:p>
    <w:p w14:paraId="70A4C951" w14:textId="77777777" w:rsidR="00C1548D" w:rsidRDefault="009B1B4B">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95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952" w14:textId="77777777" w:rsidR="00C1548D" w:rsidRDefault="009B1B4B">
            <w:pPr>
              <w:keepNext/>
              <w:spacing w:after="70" w:line="240" w:lineRule="auto"/>
            </w:pPr>
            <w:r>
              <w:rPr>
                <w:b/>
                <w:bCs/>
                <w:color w:val="9B2C2C"/>
                <w:spacing w:val="24"/>
                <w:sz w:val="16"/>
                <w:szCs w:val="16"/>
              </w:rPr>
              <w:lastRenderedPageBreak/>
              <w:t>ACHTUNG</w:t>
            </w:r>
          </w:p>
          <w:p w14:paraId="70A4C953" w14:textId="2DFCCCEF" w:rsidR="00C1548D" w:rsidRDefault="009B1B4B">
            <w:pPr>
              <w:spacing w:after="80" w:line="264" w:lineRule="auto"/>
            </w:pPr>
            <w:r>
              <w:rPr>
                <w:sz w:val="20"/>
                <w:szCs w:val="20"/>
              </w:rPr>
              <w:t>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(Kapitel </w:t>
            </w:r>
            <w:hyperlink w:anchor="k9" w:history="1">
              <w:r>
                <w:rPr>
                  <w:sz w:val="20"/>
                  <w:szCs w:val="20"/>
                </w:rPr>
                <w:t>9</w:t>
              </w:r>
            </w:hyperlink>
            <w:r>
              <w:rPr>
                <w:sz w:val="20"/>
                <w:szCs w:val="20"/>
              </w:rPr>
              <w:t>). Wer im Ausland lebt, geht das Konsularverfahren.</w:t>
            </w:r>
          </w:p>
        </w:tc>
      </w:tr>
    </w:tbl>
    <w:p w14:paraId="70A4C955" w14:textId="77777777" w:rsidR="00C1548D" w:rsidRDefault="00C1548D">
      <w:pPr>
        <w:spacing w:line="220" w:lineRule="exact"/>
      </w:pPr>
    </w:p>
    <w:p w14:paraId="70A4C956" w14:textId="77777777" w:rsidR="00C1548D" w:rsidRDefault="009B1B4B">
      <w:pPr>
        <w:pStyle w:val="Heading3"/>
        <w:keepNext/>
        <w:jc w:val="center"/>
      </w:pPr>
      <w:r>
        <w:rPr>
          <w:rFonts w:ascii="Amazon Ember" w:eastAsia="Amazon Ember" w:hAnsi="Amazon Ember" w:cs="Amazon Ember"/>
          <w:color w:val="0000FF"/>
          <w:sz w:val="36"/>
          <w:szCs w:val="36"/>
        </w:rPr>
        <w:t>Das Visa Bulletin lesen</w:t>
      </w:r>
    </w:p>
    <w:p w14:paraId="70A4C957" w14:textId="77777777" w:rsidR="00C1548D" w:rsidRDefault="009B1B4B">
      <w:pPr>
        <w:spacing w:after="140"/>
      </w:pPr>
      <w:r>
        <w:t xml:space="preserve">Die Zahl der Green Cards ist pro Kategorie gedeckelt, kein Land darf mehr als rund sieben Prozent aller Visa erhalten (FY2026: 28.862 je Land) – deshalb veröffentlicht das State Department monatlich das </w:t>
      </w:r>
      <w:r>
        <w:rPr>
          <w:i/>
          <w:iCs/>
        </w:rPr>
        <w:t>Visa Bulletin</w:t>
      </w:r>
      <w:r>
        <w:t>. Drei Begriffe erklären es:</w:t>
      </w:r>
    </w:p>
    <w:p w14:paraId="70A4C958" w14:textId="25AFAA60" w:rsidR="00C1548D" w:rsidRDefault="009B1B4B" w:rsidP="009B1B4B">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history="1">
        <w:r>
          <w:t>30</w:t>
        </w:r>
      </w:hyperlink>
      <w:r>
        <w:t>).</w:t>
      </w:r>
    </w:p>
    <w:p w14:paraId="70A4C959" w14:textId="77777777" w:rsidR="00C1548D" w:rsidRDefault="009B1B4B" w:rsidP="009B1B4B">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w14:paraId="70A4C95A" w14:textId="77777777" w:rsidR="00C1548D" w:rsidRDefault="009B1B4B" w:rsidP="009B1B4B">
      <w:pPr>
        <w:pStyle w:val="ListParagraph"/>
        <w:numPr>
          <w:ilvl w:val="0"/>
          <w:numId w:val="1"/>
        </w:numPr>
        <w:spacing w:after="60"/>
      </w:pPr>
      <w:r>
        <w:rPr>
          <w:b/>
          <w:bCs/>
        </w:rPr>
        <w:t>Zwei Tabellen:</w:t>
      </w:r>
      <w:r>
        <w:t xml:space="preserve"> </w:t>
      </w:r>
      <w:r>
        <w:rPr>
          <w:i/>
          <w:iCs/>
        </w:rPr>
        <w:t>Final Action Dates</w:t>
      </w:r>
      <w:r>
        <w:t xml:space="preserve"> zeigen, ab wann genehmigt werden darf, </w:t>
      </w:r>
      <w:r>
        <w:rPr>
          <w:i/>
          <w:iCs/>
        </w:rPr>
        <w:t>Dates for Filing</w:t>
      </w:r>
      <w:r>
        <w:t>, ab wann du einreichen darfst. Welche Tabelle für den I-485 zählt, legt USCIS monatlich fest: Stand 1. September 2026 gilt bei arbeitsbasierten Anträgen die Final-Action-, bei familienbasierten die Dates-for-Filing-Tabelle (uscis.gov/green-card).</w:t>
      </w:r>
    </w:p>
    <w:p w14:paraId="70A4C95B" w14:textId="77777777" w:rsidR="00C1548D" w:rsidRDefault="00C1548D">
      <w:pPr>
        <w:spacing w:line="120" w:lineRule="exact"/>
      </w:pPr>
    </w:p>
    <w:p w14:paraId="70A4C95C" w14:textId="77777777" w:rsidR="00C1548D" w:rsidRDefault="009B1B4B">
      <w:pPr>
        <w:spacing w:after="140"/>
      </w:pPr>
      <w:r>
        <w:t>Die geltende Spalte bestimmt dein Geburtsland (</w:t>
      </w:r>
      <w:r>
        <w:rPr>
          <w:i/>
          <w:iCs/>
        </w:rPr>
        <w:t>Country of Chargeability</w:t>
      </w:r>
      <w:r>
        <w:t>), nicht dein Pass – eine in Indien geborene Deutsche zählt zur Spalte Indien; die Zurechnung über den Ehepartner klärt im Zweifel die Kanzlei. „Rest der Welt“ ist die Spalte „All Chargeability Areas Except Those Listed“.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9"/>
        <w:gridCol w:w="1502"/>
        <w:gridCol w:w="1428"/>
        <w:gridCol w:w="1621"/>
      </w:tblGrid>
      <w:tr w:rsidR="00C1548D" w14:paraId="70A4C961" w14:textId="77777777">
        <w:tblPrEx>
          <w:tblCellMar>
            <w:top w:w="0" w:type="dxa"/>
            <w:bottom w:w="0" w:type="dxa"/>
          </w:tblCellMar>
        </w:tblPrEx>
        <w:trPr>
          <w:cantSplit/>
          <w:tblHeader/>
        </w:trPr>
        <w:tc>
          <w:tcPr>
            <w:tcW w:w="192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5D" w14:textId="77777777" w:rsidR="00C1548D" w:rsidRDefault="009B1B4B">
            <w:pPr>
              <w:spacing w:line="250" w:lineRule="auto"/>
            </w:pPr>
            <w:r>
              <w:rPr>
                <w:b/>
                <w:bCs/>
                <w:sz w:val="18"/>
                <w:szCs w:val="18"/>
              </w:rPr>
              <w:lastRenderedPageBreak/>
              <w:t>Final Action Dates, September 2026</w:t>
            </w:r>
          </w:p>
        </w:tc>
        <w:tc>
          <w:tcPr>
            <w:tcW w:w="150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5E" w14:textId="77777777" w:rsidR="00C1548D" w:rsidRDefault="009B1B4B">
            <w:pPr>
              <w:spacing w:line="250" w:lineRule="auto"/>
            </w:pPr>
            <w:r>
              <w:rPr>
                <w:b/>
                <w:bCs/>
                <w:sz w:val="18"/>
                <w:szCs w:val="18"/>
              </w:rPr>
              <w:t>Rest der Welt</w:t>
            </w:r>
          </w:p>
        </w:tc>
        <w:tc>
          <w:tcPr>
            <w:tcW w:w="14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5F" w14:textId="77777777" w:rsidR="00C1548D" w:rsidRDefault="009B1B4B">
            <w:pPr>
              <w:spacing w:line="250" w:lineRule="auto"/>
            </w:pPr>
            <w:r>
              <w:rPr>
                <w:b/>
                <w:bCs/>
                <w:sz w:val="18"/>
                <w:szCs w:val="18"/>
              </w:rPr>
              <w:t>China</w:t>
            </w:r>
          </w:p>
        </w:tc>
        <w:tc>
          <w:tcPr>
            <w:tcW w:w="162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60" w14:textId="77777777" w:rsidR="00C1548D" w:rsidRDefault="009B1B4B">
            <w:pPr>
              <w:spacing w:line="250" w:lineRule="auto"/>
            </w:pPr>
            <w:r>
              <w:rPr>
                <w:b/>
                <w:bCs/>
                <w:sz w:val="18"/>
                <w:szCs w:val="18"/>
              </w:rPr>
              <w:t>Indien</w:t>
            </w:r>
          </w:p>
        </w:tc>
      </w:tr>
      <w:tr w:rsidR="00C1548D" w14:paraId="70A4C966" w14:textId="77777777">
        <w:tblPrEx>
          <w:tblCellMar>
            <w:top w:w="0" w:type="dxa"/>
            <w:bottom w:w="0" w:type="dxa"/>
          </w:tblCellMar>
        </w:tblPrEx>
        <w:trPr>
          <w:cantSplit/>
        </w:trPr>
        <w:tc>
          <w:tcPr>
            <w:tcW w:w="19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2" w14:textId="77777777" w:rsidR="00C1548D" w:rsidRDefault="009B1B4B">
            <w:pPr>
              <w:spacing w:line="250" w:lineRule="auto"/>
            </w:pPr>
            <w:r>
              <w:rPr>
                <w:sz w:val="18"/>
                <w:szCs w:val="18"/>
              </w:rPr>
              <w:t>EB-1</w:t>
            </w:r>
          </w:p>
        </w:tc>
        <w:tc>
          <w:tcPr>
            <w:tcW w:w="15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3" w14:textId="77777777" w:rsidR="00C1548D" w:rsidRDefault="009B1B4B">
            <w:pPr>
              <w:spacing w:line="250" w:lineRule="auto"/>
            </w:pPr>
            <w:r>
              <w:rPr>
                <w:sz w:val="18"/>
                <w:szCs w:val="18"/>
              </w:rPr>
              <w:t>current (C)</w:t>
            </w:r>
          </w:p>
        </w:tc>
        <w:tc>
          <w:tcPr>
            <w:tcW w:w="14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4" w14:textId="77777777" w:rsidR="00C1548D" w:rsidRDefault="009B1B4B">
            <w:pPr>
              <w:spacing w:line="250" w:lineRule="auto"/>
            </w:pPr>
            <w:r>
              <w:rPr>
                <w:sz w:val="18"/>
                <w:szCs w:val="18"/>
              </w:rPr>
              <w:t>1. Juli 2023</w:t>
            </w:r>
          </w:p>
        </w:tc>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5" w14:textId="77777777" w:rsidR="00C1548D" w:rsidRDefault="009B1B4B">
            <w:pPr>
              <w:spacing w:line="250" w:lineRule="auto"/>
            </w:pPr>
            <w:r>
              <w:rPr>
                <w:sz w:val="18"/>
                <w:szCs w:val="18"/>
              </w:rPr>
              <w:t>15. Oktober 2022</w:t>
            </w:r>
          </w:p>
        </w:tc>
      </w:tr>
      <w:tr w:rsidR="00C1548D" w14:paraId="70A4C96B" w14:textId="77777777">
        <w:tblPrEx>
          <w:tblCellMar>
            <w:top w:w="0" w:type="dxa"/>
            <w:bottom w:w="0" w:type="dxa"/>
          </w:tblCellMar>
        </w:tblPrEx>
        <w:trPr>
          <w:cantSplit/>
        </w:trPr>
        <w:tc>
          <w:tcPr>
            <w:tcW w:w="19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7" w14:textId="77777777" w:rsidR="00C1548D" w:rsidRDefault="009B1B4B">
            <w:pPr>
              <w:spacing w:line="250" w:lineRule="auto"/>
            </w:pPr>
            <w:r>
              <w:rPr>
                <w:sz w:val="18"/>
                <w:szCs w:val="18"/>
              </w:rPr>
              <w:t>EB-2</w:t>
            </w:r>
          </w:p>
        </w:tc>
        <w:tc>
          <w:tcPr>
            <w:tcW w:w="15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8" w14:textId="77777777" w:rsidR="00C1548D" w:rsidRDefault="009B1B4B">
            <w:pPr>
              <w:spacing w:line="250" w:lineRule="auto"/>
            </w:pPr>
            <w:r>
              <w:rPr>
                <w:sz w:val="18"/>
                <w:szCs w:val="18"/>
              </w:rPr>
              <w:t>current (C)</w:t>
            </w:r>
          </w:p>
        </w:tc>
        <w:tc>
          <w:tcPr>
            <w:tcW w:w="14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9" w14:textId="77777777" w:rsidR="00C1548D" w:rsidRDefault="009B1B4B">
            <w:pPr>
              <w:spacing w:line="250" w:lineRule="auto"/>
            </w:pPr>
            <w:r>
              <w:rPr>
                <w:sz w:val="18"/>
                <w:szCs w:val="18"/>
              </w:rPr>
              <w:t>1. September 2021</w:t>
            </w:r>
          </w:p>
        </w:tc>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A" w14:textId="77777777" w:rsidR="00C1548D" w:rsidRDefault="009B1B4B">
            <w:pPr>
              <w:spacing w:line="250" w:lineRule="auto"/>
            </w:pPr>
            <w:r>
              <w:rPr>
                <w:sz w:val="18"/>
                <w:szCs w:val="18"/>
              </w:rPr>
              <w:t>nicht verfügbar (U)</w:t>
            </w:r>
          </w:p>
        </w:tc>
      </w:tr>
      <w:tr w:rsidR="00C1548D" w14:paraId="70A4C970" w14:textId="77777777">
        <w:tblPrEx>
          <w:tblCellMar>
            <w:top w:w="0" w:type="dxa"/>
            <w:bottom w:w="0" w:type="dxa"/>
          </w:tblCellMar>
        </w:tblPrEx>
        <w:trPr>
          <w:cantSplit/>
        </w:trPr>
        <w:tc>
          <w:tcPr>
            <w:tcW w:w="19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C" w14:textId="77777777" w:rsidR="00C1548D" w:rsidRDefault="009B1B4B">
            <w:pPr>
              <w:spacing w:line="250" w:lineRule="auto"/>
            </w:pPr>
            <w:r>
              <w:rPr>
                <w:sz w:val="18"/>
                <w:szCs w:val="18"/>
              </w:rPr>
              <w:t>EB-3</w:t>
            </w:r>
          </w:p>
        </w:tc>
        <w:tc>
          <w:tcPr>
            <w:tcW w:w="15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D" w14:textId="77777777" w:rsidR="00C1548D" w:rsidRDefault="009B1B4B">
            <w:pPr>
              <w:spacing w:line="250" w:lineRule="auto"/>
            </w:pPr>
            <w:r>
              <w:rPr>
                <w:sz w:val="18"/>
                <w:szCs w:val="18"/>
              </w:rPr>
              <w:t>1. September 2024</w:t>
            </w:r>
          </w:p>
        </w:tc>
        <w:tc>
          <w:tcPr>
            <w:tcW w:w="14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E" w14:textId="77777777" w:rsidR="00C1548D" w:rsidRDefault="009B1B4B">
            <w:pPr>
              <w:spacing w:line="250" w:lineRule="auto"/>
            </w:pPr>
            <w:r>
              <w:rPr>
                <w:sz w:val="18"/>
                <w:szCs w:val="18"/>
              </w:rPr>
              <w:t>1. Januar 2022</w:t>
            </w:r>
          </w:p>
        </w:tc>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6F" w14:textId="77777777" w:rsidR="00C1548D" w:rsidRDefault="009B1B4B">
            <w:pPr>
              <w:spacing w:line="250" w:lineRule="auto"/>
            </w:pPr>
            <w:r>
              <w:rPr>
                <w:sz w:val="18"/>
                <w:szCs w:val="18"/>
              </w:rPr>
              <w:t>1. Januar 2014</w:t>
            </w:r>
          </w:p>
        </w:tc>
      </w:tr>
    </w:tbl>
    <w:p w14:paraId="70A4C971" w14:textId="77777777" w:rsidR="00C1548D" w:rsidRDefault="00C1548D">
      <w:pPr>
        <w:spacing w:line="180" w:lineRule="exact"/>
      </w:pPr>
    </w:p>
    <w:p w14:paraId="70A4C972" w14:textId="77777777" w:rsidR="00C1548D" w:rsidRDefault="009B1B4B">
      <w:pPr>
        <w:spacing w:after="140"/>
      </w:pPr>
      <w:r>
        <w:t xml:space="preserve">Beispiel: Ein PERM-Antrag vom Oktober 2025 hat das Priority Date Oktober 2025. In EB-3 liegt das hinter dem Stichtag vom 1. September 2024 – noch keine Visa-Nummer; in EB-2 ist die Kategorie current, es geht sofort weiter. Eine in Indien geborene Kollegin mit demselben Datum wartet in EB-3 hinter dem Stichtag vom 1. Januar 2014 Jahre auf den Aufruf. Nach der Dates-for-Filing-Tabelle sind im September 2026 zwar alle drei arbeitsbasierten Kategorien für den Rest der Welt current, für den I-485 zählt aber die </w:t>
      </w:r>
      <w:r>
        <w:t>Final-Action-Tabelle.</w:t>
      </w:r>
    </w:p>
    <w:p w14:paraId="70A4C973" w14:textId="77777777" w:rsidR="00C1548D" w:rsidRDefault="009B1B4B">
      <w:pPr>
        <w:spacing w:after="140"/>
      </w:pPr>
      <w:r>
        <w:t>Der Verlauf zeigt das Tempo: EB-2 (Rest der Welt) stand im Oktober 2025 bei 1. Dezember 2023, im März 2026 bei 15. Oktober 2024, seit dem Bulletin für April 2026 ist es current. EB-3 rückte von 1. April 2023 auf 1. September 2024. Grund laut Bulletin: eine gesunkene Zahl ausgestellter Visa, begründet mit der Politik seit Januar 2025 – kein Dauerzustand.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97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974" w14:textId="77777777" w:rsidR="00C1548D" w:rsidRDefault="009B1B4B">
            <w:pPr>
              <w:keepNext/>
              <w:spacing w:after="70" w:line="240" w:lineRule="auto"/>
            </w:pPr>
            <w:r>
              <w:rPr>
                <w:b/>
                <w:bCs/>
                <w:color w:val="9B2C2C"/>
                <w:spacing w:val="24"/>
                <w:sz w:val="16"/>
                <w:szCs w:val="16"/>
              </w:rPr>
              <w:t>ACHTUNG</w:t>
            </w:r>
          </w:p>
          <w:p w14:paraId="70A4C975" w14:textId="77777777" w:rsidR="00C1548D" w:rsidRDefault="009B1B4B">
            <w:pPr>
              <w:spacing w:after="80" w:line="264" w:lineRule="auto"/>
            </w:pPr>
            <w:r>
              <w:rPr>
                <w:sz w:val="20"/>
                <w:szCs w:val="20"/>
              </w:rPr>
              <w:t xml:space="preserve">Das September-Bulletin warnt selbst, dass EB-2 vor Ende des Fiskaljahres am 30. September 2026 zurückgestuft oder unverfügbar werden kann. Am 1. Oktober beginnt das Fiskaljahr 2027 mit neuen Nummern; die Oktober-Werte lagen bei Redaktionsschluss (20. September 2026) noch nicht vor – prüfe sie auf travel.state.gov/visabulletin. Ist dein PD current und die I-140 genehmigt, reiche den I-485 sofort ein: Ein eingereichter Antrag bleibt bei einer späteren Rückstufung anhängig und wird entschieden, sobald dein PD </w:t>
            </w:r>
            <w:r>
              <w:rPr>
                <w:sz w:val="20"/>
                <w:szCs w:val="20"/>
              </w:rPr>
              <w:t>wieder vor dem Stichtag liegt.</w:t>
            </w:r>
          </w:p>
        </w:tc>
      </w:tr>
    </w:tbl>
    <w:p w14:paraId="70A4C977"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97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978" w14:textId="77777777" w:rsidR="00C1548D" w:rsidRDefault="009B1B4B">
            <w:pPr>
              <w:keepNext/>
              <w:spacing w:after="70" w:line="240" w:lineRule="auto"/>
            </w:pPr>
            <w:r>
              <w:rPr>
                <w:b/>
                <w:bCs/>
                <w:color w:val="8A6212"/>
                <w:spacing w:val="24"/>
                <w:sz w:val="16"/>
                <w:szCs w:val="16"/>
              </w:rPr>
              <w:lastRenderedPageBreak/>
              <w:t>MERKE</w:t>
            </w:r>
          </w:p>
          <w:p w14:paraId="70A4C979" w14:textId="77777777" w:rsidR="00C1548D" w:rsidRDefault="009B1B4B">
            <w:pPr>
              <w:spacing w:after="80" w:line="264" w:lineRule="auto"/>
            </w:pPr>
            <w:r>
              <w:rPr>
                <w:sz w:val="20"/>
                <w:szCs w:val="20"/>
              </w:rPr>
              <w:t>Die Wartezeit ergibt sich aus Geburtsland, Kategorie und Priority Date. Der Beruf allein entscheidet nichts.</w:t>
            </w:r>
          </w:p>
        </w:tc>
      </w:tr>
    </w:tbl>
    <w:p w14:paraId="70A4C97B" w14:textId="77777777" w:rsidR="00C1548D" w:rsidRDefault="00C1548D">
      <w:pPr>
        <w:spacing w:line="220" w:lineRule="exact"/>
      </w:pPr>
    </w:p>
    <w:p w14:paraId="70A4C97C" w14:textId="77777777" w:rsidR="00C1548D" w:rsidRDefault="009B1B4B">
      <w:pPr>
        <w:pStyle w:val="Heading3"/>
        <w:keepNext/>
        <w:jc w:val="center"/>
      </w:pPr>
      <w:r>
        <w:rPr>
          <w:rFonts w:ascii="Amazon Ember" w:eastAsia="Amazon Ember" w:hAnsi="Amazon Ember" w:cs="Amazon Ember"/>
          <w:color w:val="0000FF"/>
          <w:sz w:val="36"/>
          <w:szCs w:val="36"/>
        </w:rPr>
        <w:t>Wie lange dauert es wirklich?</w:t>
      </w:r>
    </w:p>
    <w:p w14:paraId="70A4C97D" w14:textId="77777777" w:rsidR="00C1548D" w:rsidRDefault="009B1B4B">
      <w:pPr>
        <w:spacing w:after="140"/>
      </w:pPr>
      <w:r>
        <w:t>Das Bulletin nennt Stichtage, aber nicht die Verfahrenszeit davor und danach. Die folgenden Spannen sind eigene Schätzungen aus den DOL- und USCIS-Daten (Stand Ende August 2026); im Einzelfall können sie deutlich abweichen.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64"/>
        <w:gridCol w:w="2311"/>
        <w:gridCol w:w="2405"/>
      </w:tblGrid>
      <w:tr w:rsidR="00C1548D" w14:paraId="70A4C981" w14:textId="77777777">
        <w:tblPrEx>
          <w:tblCellMar>
            <w:top w:w="0" w:type="dxa"/>
            <w:bottom w:w="0" w:type="dxa"/>
          </w:tblCellMar>
        </w:tblPrEx>
        <w:trPr>
          <w:cantSplit/>
          <w:tblHeader/>
        </w:trPr>
        <w:tc>
          <w:tcPr>
            <w:tcW w:w="176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7E" w14:textId="77777777" w:rsidR="00C1548D" w:rsidRDefault="009B1B4B">
            <w:pPr>
              <w:spacing w:line="250" w:lineRule="auto"/>
            </w:pPr>
            <w:r>
              <w:rPr>
                <w:b/>
                <w:bCs/>
                <w:sz w:val="18"/>
                <w:szCs w:val="18"/>
              </w:rPr>
              <w:t>Weg (Deutschland)</w:t>
            </w:r>
          </w:p>
        </w:tc>
        <w:tc>
          <w:tcPr>
            <w:tcW w:w="231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7F" w14:textId="77777777" w:rsidR="00C1548D" w:rsidRDefault="009B1B4B">
            <w:pPr>
              <w:spacing w:line="250" w:lineRule="auto"/>
            </w:pPr>
            <w:r>
              <w:rPr>
                <w:b/>
                <w:bCs/>
                <w:sz w:val="18"/>
                <w:szCs w:val="18"/>
              </w:rPr>
              <w:t>Gesamtdauer ab Start</w:t>
            </w:r>
          </w:p>
        </w:tc>
        <w:tc>
          <w:tcPr>
            <w:tcW w:w="240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80" w14:textId="77777777" w:rsidR="00C1548D" w:rsidRDefault="009B1B4B">
            <w:pPr>
              <w:spacing w:line="250" w:lineRule="auto"/>
            </w:pPr>
            <w:r>
              <w:rPr>
                <w:b/>
                <w:bCs/>
                <w:sz w:val="18"/>
                <w:szCs w:val="18"/>
              </w:rPr>
              <w:t>Was den Ausschlag gibt</w:t>
            </w:r>
          </w:p>
        </w:tc>
      </w:tr>
      <w:tr w:rsidR="00C1548D" w14:paraId="70A4C985"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82" w14:textId="77777777" w:rsidR="00C1548D" w:rsidRDefault="009B1B4B">
            <w:pPr>
              <w:spacing w:line="250" w:lineRule="auto"/>
            </w:pPr>
            <w:r>
              <w:rPr>
                <w:sz w:val="18"/>
                <w:szCs w:val="18"/>
              </w:rPr>
              <w:t>PERM, EB-2</w:t>
            </w:r>
          </w:p>
        </w:tc>
        <w:tc>
          <w:tcPr>
            <w:tcW w:w="2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83" w14:textId="77777777" w:rsidR="00C1548D" w:rsidRDefault="009B1B4B">
            <w:pPr>
              <w:spacing w:line="250" w:lineRule="auto"/>
            </w:pPr>
            <w:r>
              <w:rPr>
                <w:sz w:val="18"/>
                <w:szCs w:val="18"/>
              </w:rPr>
              <w:t>ca. 2,5–4,5 Jahre</w:t>
            </w:r>
          </w:p>
        </w:tc>
        <w:tc>
          <w:tcPr>
            <w:tcW w:w="24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84" w14:textId="77777777" w:rsidR="00C1548D" w:rsidRDefault="009B1B4B">
            <w:pPr>
              <w:spacing w:line="250" w:lineRule="auto"/>
            </w:pPr>
            <w:r>
              <w:rPr>
                <w:sz w:val="18"/>
                <w:szCs w:val="18"/>
              </w:rPr>
              <w:t>Analystenprüfung, I-485</w:t>
            </w:r>
          </w:p>
        </w:tc>
      </w:tr>
      <w:tr w:rsidR="00C1548D" w14:paraId="70A4C989"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86" w14:textId="77777777" w:rsidR="00C1548D" w:rsidRDefault="009B1B4B">
            <w:pPr>
              <w:spacing w:line="250" w:lineRule="auto"/>
            </w:pPr>
            <w:r>
              <w:rPr>
                <w:sz w:val="18"/>
                <w:szCs w:val="18"/>
              </w:rPr>
              <w:t>PERM, EB-3</w:t>
            </w:r>
          </w:p>
        </w:tc>
        <w:tc>
          <w:tcPr>
            <w:tcW w:w="2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87" w14:textId="77777777" w:rsidR="00C1548D" w:rsidRDefault="009B1B4B">
            <w:pPr>
              <w:spacing w:line="250" w:lineRule="auto"/>
            </w:pPr>
            <w:r>
              <w:rPr>
                <w:sz w:val="18"/>
                <w:szCs w:val="18"/>
              </w:rPr>
              <w:t>wie EB-2, plus Wartezeit</w:t>
            </w:r>
          </w:p>
        </w:tc>
        <w:tc>
          <w:tcPr>
            <w:tcW w:w="24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88" w14:textId="77777777" w:rsidR="00C1548D" w:rsidRDefault="009B1B4B">
            <w:pPr>
              <w:spacing w:line="250" w:lineRule="auto"/>
            </w:pPr>
            <w:r>
              <w:rPr>
                <w:sz w:val="18"/>
                <w:szCs w:val="18"/>
              </w:rPr>
              <w:t>Stichtag 1. September 2024</w:t>
            </w:r>
          </w:p>
        </w:tc>
      </w:tr>
      <w:tr w:rsidR="00C1548D" w14:paraId="70A4C98D"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8A" w14:textId="77777777" w:rsidR="00C1548D" w:rsidRDefault="009B1B4B">
            <w:pPr>
              <w:spacing w:line="250" w:lineRule="auto"/>
            </w:pPr>
            <w:r>
              <w:rPr>
                <w:sz w:val="18"/>
                <w:szCs w:val="18"/>
              </w:rPr>
              <w:t>EB-1C, EB-1A, NIW</w:t>
            </w:r>
          </w:p>
        </w:tc>
        <w:tc>
          <w:tcPr>
            <w:tcW w:w="2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8B" w14:textId="77777777" w:rsidR="00C1548D" w:rsidRDefault="009B1B4B">
            <w:pPr>
              <w:spacing w:line="250" w:lineRule="auto"/>
            </w:pPr>
            <w:r>
              <w:rPr>
                <w:sz w:val="18"/>
                <w:szCs w:val="18"/>
              </w:rPr>
              <w:t>ca. 1–2,5 Jahre bei Genehmigung</w:t>
            </w:r>
          </w:p>
        </w:tc>
        <w:tc>
          <w:tcPr>
            <w:tcW w:w="24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8C" w14:textId="77777777" w:rsidR="00C1548D" w:rsidRDefault="009B1B4B">
            <w:pPr>
              <w:spacing w:line="250" w:lineRule="auto"/>
            </w:pPr>
            <w:r>
              <w:rPr>
                <w:sz w:val="18"/>
                <w:szCs w:val="18"/>
              </w:rPr>
              <w:t>Ablehnungsrisiko</w:t>
            </w:r>
          </w:p>
        </w:tc>
      </w:tr>
      <w:tr w:rsidR="00C1548D" w14:paraId="70A4C991"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8E" w14:textId="77777777" w:rsidR="00C1548D" w:rsidRDefault="009B1B4B">
            <w:pPr>
              <w:spacing w:line="250" w:lineRule="auto"/>
            </w:pPr>
            <w:r>
              <w:rPr>
                <w:sz w:val="18"/>
                <w:szCs w:val="18"/>
              </w:rPr>
              <w:t>Ehepartner eines US-Bürgers</w:t>
            </w:r>
          </w:p>
        </w:tc>
        <w:tc>
          <w:tcPr>
            <w:tcW w:w="2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8F" w14:textId="77777777" w:rsidR="00C1548D" w:rsidRDefault="009B1B4B">
            <w:pPr>
              <w:spacing w:line="250" w:lineRule="auto"/>
            </w:pPr>
            <w:r>
              <w:rPr>
                <w:sz w:val="18"/>
                <w:szCs w:val="18"/>
              </w:rPr>
              <w:t>ca. 20–24 Monate</w:t>
            </w:r>
          </w:p>
        </w:tc>
        <w:tc>
          <w:tcPr>
            <w:tcW w:w="24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90" w14:textId="77777777" w:rsidR="00C1548D" w:rsidRDefault="009B1B4B">
            <w:pPr>
              <w:spacing w:line="250" w:lineRule="auto"/>
            </w:pPr>
            <w:r>
              <w:rPr>
                <w:sz w:val="18"/>
                <w:szCs w:val="18"/>
              </w:rPr>
              <w:t>I-130 ca. 17 Monate, dann Konsulat</w:t>
            </w:r>
          </w:p>
        </w:tc>
      </w:tr>
      <w:tr w:rsidR="00C1548D" w14:paraId="70A4C995"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92" w14:textId="77777777" w:rsidR="00C1548D" w:rsidRDefault="009B1B4B">
            <w:pPr>
              <w:spacing w:line="250" w:lineRule="auto"/>
            </w:pPr>
            <w:r>
              <w:rPr>
                <w:sz w:val="18"/>
                <w:szCs w:val="18"/>
              </w:rPr>
              <w:t>Indien, EB-3</w:t>
            </w:r>
          </w:p>
        </w:tc>
        <w:tc>
          <w:tcPr>
            <w:tcW w:w="2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93" w14:textId="77777777" w:rsidR="00C1548D" w:rsidRDefault="009B1B4B">
            <w:pPr>
              <w:spacing w:line="250" w:lineRule="auto"/>
            </w:pPr>
            <w:r>
              <w:rPr>
                <w:sz w:val="18"/>
                <w:szCs w:val="18"/>
              </w:rPr>
              <w:t>ca. 12–13 Jahre Rückstand</w:t>
            </w:r>
          </w:p>
        </w:tc>
        <w:tc>
          <w:tcPr>
            <w:tcW w:w="24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94" w14:textId="77777777" w:rsidR="00C1548D" w:rsidRDefault="009B1B4B">
            <w:pPr>
              <w:spacing w:line="250" w:lineRule="auto"/>
            </w:pPr>
            <w:r>
              <w:rPr>
                <w:sz w:val="18"/>
                <w:szCs w:val="18"/>
              </w:rPr>
              <w:t>Stichtag 2014</w:t>
            </w:r>
          </w:p>
        </w:tc>
      </w:tr>
    </w:tbl>
    <w:p w14:paraId="70A4C996" w14:textId="77777777" w:rsidR="00C1548D" w:rsidRDefault="00C1548D">
      <w:pPr>
        <w:spacing w:line="180" w:lineRule="exact"/>
      </w:pPr>
    </w:p>
    <w:p w14:paraId="70A4C997" w14:textId="77777777" w:rsidR="00C1548D" w:rsidRDefault="009B1B4B">
      <w:pPr>
        <w:spacing w:after="140"/>
      </w:pPr>
      <w:r>
        <w:t>Bei EB-2/EB-3 addieren sich Lohnbescheid (rund vier Monate), Stellensuche (zwei bis drei), Analystenprüfung (rund elf bis zwölf), I-140 (mit Premium etwa ein Monat) und I-485 (8–24) beziehungsweise Konsulat (vier bis acht) – gut zwei bis knapp vier Jahre in Einzelposten. Die Schätzung von 2,5–4,5 Jahren enthält zusätzlich einen Puffer für Nachforderungen (</w:t>
      </w:r>
      <w:r>
        <w:rPr>
          <w:i/>
          <w:iCs/>
        </w:rPr>
        <w:t>Requests for Evidence</w:t>
      </w:r>
      <w:r>
        <w:t>), Audits und Leerlauf zwischen den Schritten. Bei EB-1C, EB-1A und NIW entfällt der Arbeitsmarkttest – der Zeitgewinn. Wer mit H-1B startet, hat sechs Jahre Zeit, das reicht für Deutsche meist aus.</w:t>
      </w:r>
    </w:p>
    <w:p w14:paraId="70A4C998" w14:textId="77777777" w:rsidR="00C1548D" w:rsidRDefault="009B1B4B">
      <w:pPr>
        <w:pStyle w:val="Heading3"/>
        <w:keepNext/>
        <w:jc w:val="center"/>
      </w:pPr>
      <w:r>
        <w:rPr>
          <w:rFonts w:ascii="Amazon Ember" w:eastAsia="Amazon Ember" w:hAnsi="Amazon Ember" w:cs="Amazon Ember"/>
          <w:color w:val="0000FF"/>
          <w:sz w:val="36"/>
          <w:szCs w:val="36"/>
        </w:rPr>
        <w:t>Familie, Investor, Lotterie, Gold Card</w:t>
      </w:r>
    </w:p>
    <w:p w14:paraId="70A4C999" w14:textId="43667BA5" w:rsidR="00C1548D" w:rsidRDefault="009B1B4B" w:rsidP="009B1B4B">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w:t>
      </w:r>
      <w:r>
        <w:lastRenderedPageBreak/>
        <w:t xml:space="preserve">(DS-260 325 $, Verpflichtungserklärung I-864 mit 120 $ Prüfgebühr), Interview in Frankfurt, Immigrant Fee 235 $ – laut Kanzleien 2026 rund 17 Monate für die I-130, dann drei bis sechs beim Konsulat; bei rechtmäßiger Einreise geht auch der I-485 im Inland. Ehepartner eines Green-Card-Inhabers (Kategorie F2A) haben im September 2026 den Stichtag 22. August 2026, praktisch current </w:t>
      </w:r>
      <w:r>
        <w:t xml:space="preserve">– Engpass ist die I-130-Bearbeitung (mehr in </w:t>
      </w:r>
      <w:r>
        <w:t>Kapitel </w:t>
      </w:r>
      <w:hyperlink w:anchor="k9" w:history="1">
        <w:r>
          <w:t>9</w:t>
        </w:r>
      </w:hyperlink>
      <w:r>
        <w:t xml:space="preserve"> und </w:t>
      </w:r>
      <w:hyperlink w:anchor="k10" w:history="1">
        <w:r>
          <w:t>10</w:t>
        </w:r>
      </w:hyperlink>
      <w:r>
        <w:t>).</w:t>
      </w:r>
    </w:p>
    <w:p w14:paraId="70A4C99A" w14:textId="63B2524B" w:rsidR="00C1548D" w:rsidRDefault="009B1B4B" w:rsidP="009B1B4B">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history="1">
        <w:r>
          <w:t>9</w:t>
        </w:r>
      </w:hyperlink>
      <w:r>
        <w:t>).</w:t>
      </w:r>
    </w:p>
    <w:p w14:paraId="70A4C99B" w14:textId="252AF39C" w:rsidR="00C1548D" w:rsidRDefault="009B1B4B" w:rsidP="009B1B4B">
      <w:pPr>
        <w:pStyle w:val="ListParagraph"/>
        <w:numPr>
          <w:ilvl w:val="0"/>
          <w:numId w:val="1"/>
        </w:numPr>
        <w:spacing w:after="60"/>
      </w:pPr>
      <w:r>
        <w:rPr>
          <w:b/>
          <w:bCs/>
        </w:rPr>
        <w:t>Lotterie (Diversity Visa):</w:t>
      </w:r>
      <w:r>
        <w:t xml:space="preserve"> 55.000 Green Cards pro Jahr. Die Vergabe war seit Dezember 2025 ausgesetzt und läuft nach einem Gerichtsbeschluss vom 28. August 2026 wieder; das Programmjahr 2026 endet am 30. September, die Registrierung für 2027 ist nicht eröffnet. Als Plan taugt sie nicht (Kapitel </w:t>
      </w:r>
      <w:hyperlink w:anchor="k9" w:history="1">
        <w:r>
          <w:t>9</w:t>
        </w:r>
      </w:hyperlink>
      <w:r>
        <w:t>).</w:t>
      </w:r>
    </w:p>
    <w:p w14:paraId="70A4C99C" w14:textId="77777777" w:rsidR="00C1548D" w:rsidRDefault="009B1B4B" w:rsidP="009B1B4B">
      <w:pPr>
        <w:pStyle w:val="ListParagraph"/>
        <w:numPr>
          <w:ilvl w:val="0"/>
          <w:numId w:val="1"/>
        </w:numPr>
        <w:spacing w:after="60"/>
      </w:pPr>
      <w:r>
        <w:rPr>
          <w:b/>
          <w:bCs/>
        </w:rPr>
        <w:t>Gold Card:</w:t>
      </w:r>
      <w:r>
        <w:t xml:space="preserve"> Nur als Randnotiz: 1 Million $ „Geschenk“ (Firmen: 2 Millionen $ je Angestelltem) plus 15.000 $ Gebühr, eingeordnet in EB-1 oder EB-2. Bis Mitte 2026 war nur eine Genehmigung bekannt, eine Klage ist anhängig. Für Deutsche ist die Wartezeit ohnehin kein Argument, weil EB-1 und EB-2 derzeit current sind – wer eine Million Dollar übrig hat, braucht für die Green Card eher einen Steuerberater als einen Ratgeber.</w:t>
      </w:r>
    </w:p>
    <w:p w14:paraId="70A4C99D" w14:textId="77777777" w:rsidR="00C1548D" w:rsidRDefault="00C1548D">
      <w:pPr>
        <w:spacing w:line="120" w:lineRule="exact"/>
      </w:pPr>
    </w:p>
    <w:p w14:paraId="70A4C99E" w14:textId="77777777" w:rsidR="00C1548D" w:rsidRDefault="009B1B4B">
      <w:pPr>
        <w:pStyle w:val="Heading3"/>
        <w:keepNext/>
        <w:jc w:val="center"/>
      </w:pPr>
      <w:r>
        <w:rPr>
          <w:rFonts w:ascii="Amazon Ember" w:eastAsia="Amazon Ember" w:hAnsi="Amazon Ember" w:cs="Amazon Ember"/>
          <w:color w:val="0000FF"/>
          <w:sz w:val="36"/>
          <w:szCs w:val="36"/>
        </w:rPr>
        <w:t>Rechte und Pflichten</w:t>
      </w:r>
    </w:p>
    <w:p w14:paraId="70A4C99F" w14:textId="0C442BDD" w:rsidR="00C1548D" w:rsidRDefault="009B1B4B">
      <w:pPr>
        <w:spacing w:after="140"/>
      </w:pPr>
      <w:r>
        <w:rPr>
          <w:b/>
          <w:bCs/>
        </w:rPr>
        <w:t>Was du darfst.</w:t>
      </w:r>
      <w:r>
        <w:t xml:space="preserve"> Arbeiten für jeden Arbeitgeber, auch selbständig; wohnen, wo du willst; ohne Sponsor bleiben. Nach fünf Jahren Aufenthalt (drei bei dreijähriger Ehe mit einem US-Bürger) kannst </w:t>
      </w:r>
      <w:r>
        <w:lastRenderedPageBreak/>
        <w:t>du die Einbürgerung beantragen (Formular N-400, 760 $ Papier, 710 $ online; Kapitel </w:t>
      </w:r>
      <w:hyperlink w:anchor="k41" w:history="1">
        <w:r>
          <w:t>41</w:t>
        </w:r>
      </w:hyperlink>
      <w:r>
        <w:t>). Ein früh vermiedenes Missverständnis: Bei Bundeswahlen darfst du als Green-Card-Inhaber nicht abstimmen – wer es trotzdem tut, riskiert Strafverfahren und Statusverlust. Beim Führerscheinantrag (Kapitel </w:t>
      </w:r>
      <w:hyperlink w:anchor="k27" w:history="1">
        <w:r>
          <w:t>27</w:t>
        </w:r>
      </w:hyperlink>
      <w:r>
        <w:t>) taucht oft die Frage nach der Wählerregistrierung auf; als Nichtbürger lässt du sie aus.</w:t>
      </w:r>
    </w:p>
    <w:p w14:paraId="70A4C9A0" w14:textId="77777777" w:rsidR="00C1548D" w:rsidRDefault="009B1B4B">
      <w:pPr>
        <w:spacing w:after="140"/>
      </w:pPr>
      <w:r>
        <w:rPr>
          <w:b/>
          <w:bCs/>
        </w:rPr>
        <w:t>Was du musst:</w:t>
      </w:r>
    </w:p>
    <w:p w14:paraId="70A4C9A1" w14:textId="77777777" w:rsidR="00C1548D" w:rsidRDefault="009B1B4B" w:rsidP="009B1B4B">
      <w:pPr>
        <w:pStyle w:val="ListParagraph"/>
        <w:numPr>
          <w:ilvl w:val="0"/>
          <w:numId w:val="1"/>
        </w:numPr>
        <w:spacing w:after="60"/>
      </w:pPr>
      <w:r>
        <w:rPr>
          <w:b/>
          <w:bCs/>
        </w:rPr>
        <w:t>Adresse melden:</w:t>
      </w:r>
      <w:r>
        <w:t xml:space="preserve"> Jeder Umzug ist binnen zehn Tagen USCIS zu melden (Form AR-11).</w:t>
      </w:r>
    </w:p>
    <w:p w14:paraId="70A4C9A2" w14:textId="77777777" w:rsidR="00C1548D" w:rsidRDefault="009B1B4B" w:rsidP="009B1B4B">
      <w:pPr>
        <w:pStyle w:val="ListParagraph"/>
        <w:numPr>
          <w:ilvl w:val="0"/>
          <w:numId w:val="1"/>
        </w:numPr>
        <w:spacing w:after="60"/>
      </w:pPr>
      <w:r>
        <w:rPr>
          <w:b/>
          <w:bCs/>
        </w:rPr>
        <w:t>Karte mitführen:</w:t>
      </w:r>
      <w:r>
        <w:t xml:space="preserve"> Die Green Card gehört zu den Dokumenten, die du bei dir trägst.</w:t>
      </w:r>
    </w:p>
    <w:p w14:paraId="70A4C9A3" w14:textId="50760D65" w:rsidR="00C1548D" w:rsidRDefault="009B1B4B" w:rsidP="009B1B4B">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history="1">
        <w:r>
          <w:t>28</w:t>
        </w:r>
      </w:hyperlink>
      <w:r>
        <w:t>).</w:t>
      </w:r>
    </w:p>
    <w:p w14:paraId="70A4C9A4" w14:textId="77777777" w:rsidR="00C1548D" w:rsidRDefault="009B1B4B" w:rsidP="009B1B4B">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w14:paraId="70A4C9A5" w14:textId="77777777" w:rsidR="00C1548D" w:rsidRDefault="009B1B4B" w:rsidP="009B1B4B">
      <w:pPr>
        <w:pStyle w:val="ListParagraph"/>
        <w:numPr>
          <w:ilvl w:val="0"/>
          <w:numId w:val="1"/>
        </w:numPr>
        <w:spacing w:after="60"/>
      </w:pPr>
      <w:r>
        <w:rPr>
          <w:b/>
          <w:bCs/>
        </w:rPr>
        <w:t>Lebensmittelpunkt in den USA:</w:t>
      </w:r>
      <w:r>
        <w:t xml:space="preserve"> Alles Weitere hängt daran.</w:t>
      </w:r>
    </w:p>
    <w:p w14:paraId="70A4C9A6" w14:textId="77777777" w:rsidR="00C1548D" w:rsidRDefault="00C1548D">
      <w:pPr>
        <w:spacing w:line="120" w:lineRule="exact"/>
      </w:pPr>
    </w:p>
    <w:p w14:paraId="70A4C9A7" w14:textId="77777777" w:rsidR="00C1548D" w:rsidRDefault="009B1B4B">
      <w:pPr>
        <w:pStyle w:val="Heading3"/>
        <w:keepNext/>
        <w:jc w:val="center"/>
      </w:pPr>
      <w:r>
        <w:rPr>
          <w:rFonts w:ascii="Amazon Ember" w:eastAsia="Amazon Ember" w:hAnsi="Amazon Ember" w:cs="Amazon Ember"/>
          <w:color w:val="0000FF"/>
          <w:sz w:val="36"/>
          <w:szCs w:val="36"/>
        </w:rPr>
        <w:t>Reisen, Abwesenheit und der Verlust der Green Card</w:t>
      </w:r>
    </w:p>
    <w:p w14:paraId="70A4C9A8" w14:textId="77777777" w:rsidR="00C1548D" w:rsidRDefault="009B1B4B">
      <w:pPr>
        <w:spacing w:after="140"/>
      </w:pPr>
      <w:r>
        <w:t>Die Green Card erlaubt Reisen, bleibt aber nur gültig, solange die USA dein Lebensmittelpunkt sind – eine feste Tagesgrenze gibt es nicht, wohl aber Schwellen, an denen die Grenzschutzbehörde CBP hinsieht: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2"/>
        <w:gridCol w:w="3022"/>
        <w:gridCol w:w="2206"/>
      </w:tblGrid>
      <w:tr w:rsidR="00C1548D" w14:paraId="70A4C9AC" w14:textId="77777777">
        <w:tblPrEx>
          <w:tblCellMar>
            <w:top w:w="0" w:type="dxa"/>
            <w:bottom w:w="0" w:type="dxa"/>
          </w:tblCellMar>
        </w:tblPrEx>
        <w:trPr>
          <w:cantSplit/>
          <w:tblHeader/>
        </w:trPr>
        <w:tc>
          <w:tcPr>
            <w:tcW w:w="12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A9" w14:textId="77777777" w:rsidR="00C1548D" w:rsidRDefault="009B1B4B">
            <w:pPr>
              <w:spacing w:line="250" w:lineRule="auto"/>
            </w:pPr>
            <w:r>
              <w:rPr>
                <w:b/>
                <w:bCs/>
                <w:sz w:val="18"/>
                <w:szCs w:val="18"/>
              </w:rPr>
              <w:t>Auslandsaufenthalt</w:t>
            </w:r>
          </w:p>
        </w:tc>
        <w:tc>
          <w:tcPr>
            <w:tcW w:w="302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AA" w14:textId="77777777" w:rsidR="00C1548D" w:rsidRDefault="009B1B4B">
            <w:pPr>
              <w:spacing w:line="250" w:lineRule="auto"/>
            </w:pPr>
            <w:r>
              <w:rPr>
                <w:b/>
                <w:bCs/>
                <w:sz w:val="18"/>
                <w:szCs w:val="18"/>
              </w:rPr>
              <w:t>Folge</w:t>
            </w:r>
          </w:p>
        </w:tc>
        <w:tc>
          <w:tcPr>
            <w:tcW w:w="220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AB" w14:textId="77777777" w:rsidR="00C1548D" w:rsidRDefault="009B1B4B">
            <w:pPr>
              <w:spacing w:line="250" w:lineRule="auto"/>
            </w:pPr>
            <w:r>
              <w:rPr>
                <w:b/>
                <w:bCs/>
                <w:sz w:val="18"/>
                <w:szCs w:val="18"/>
              </w:rPr>
              <w:t>Was du tun kannst</w:t>
            </w:r>
          </w:p>
        </w:tc>
      </w:tr>
      <w:tr w:rsidR="00C1548D" w14:paraId="70A4C9B0" w14:textId="77777777">
        <w:tblPrEx>
          <w:tblCellMar>
            <w:top w:w="0" w:type="dxa"/>
            <w:bottom w:w="0" w:type="dxa"/>
          </w:tblCellMar>
        </w:tblPrEx>
        <w:trPr>
          <w:cantSplit/>
        </w:trPr>
        <w:tc>
          <w:tcPr>
            <w:tcW w:w="12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AD" w14:textId="77777777" w:rsidR="00C1548D" w:rsidRDefault="009B1B4B">
            <w:pPr>
              <w:spacing w:line="250" w:lineRule="auto"/>
            </w:pPr>
            <w:r>
              <w:rPr>
                <w:sz w:val="18"/>
                <w:szCs w:val="18"/>
              </w:rPr>
              <w:t>Unter sechs Monaten</w:t>
            </w:r>
          </w:p>
        </w:tc>
        <w:tc>
          <w:tcPr>
            <w:tcW w:w="30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AE" w14:textId="77777777" w:rsidR="00C1548D" w:rsidRDefault="009B1B4B">
            <w:pPr>
              <w:spacing w:line="250" w:lineRule="auto"/>
            </w:pPr>
            <w:r>
              <w:rPr>
                <w:sz w:val="18"/>
                <w:szCs w:val="18"/>
              </w:rPr>
              <w:t>In der Regel unproblematisch</w:t>
            </w:r>
          </w:p>
        </w:tc>
        <w:tc>
          <w:tcPr>
            <w:tcW w:w="22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AF" w14:textId="77777777" w:rsidR="00C1548D" w:rsidRDefault="009B1B4B">
            <w:pPr>
              <w:spacing w:line="250" w:lineRule="auto"/>
            </w:pPr>
            <w:r>
              <w:rPr>
                <w:sz w:val="18"/>
                <w:szCs w:val="18"/>
              </w:rPr>
              <w:t>Karte und Pass mitführen</w:t>
            </w:r>
          </w:p>
        </w:tc>
      </w:tr>
      <w:tr w:rsidR="00C1548D" w14:paraId="70A4C9B4" w14:textId="77777777">
        <w:tblPrEx>
          <w:tblCellMar>
            <w:top w:w="0" w:type="dxa"/>
            <w:bottom w:w="0" w:type="dxa"/>
          </w:tblCellMar>
        </w:tblPrEx>
        <w:trPr>
          <w:cantSplit/>
        </w:trPr>
        <w:tc>
          <w:tcPr>
            <w:tcW w:w="12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B1" w14:textId="77777777" w:rsidR="00C1548D" w:rsidRDefault="009B1B4B">
            <w:pPr>
              <w:spacing w:line="250" w:lineRule="auto"/>
            </w:pPr>
            <w:r>
              <w:rPr>
                <w:sz w:val="18"/>
                <w:szCs w:val="18"/>
              </w:rPr>
              <w:t>Mehr als 180 Tage</w:t>
            </w:r>
          </w:p>
        </w:tc>
        <w:tc>
          <w:tcPr>
            <w:tcW w:w="30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B2" w14:textId="77777777" w:rsidR="00C1548D" w:rsidRDefault="009B1B4B">
            <w:pPr>
              <w:spacing w:line="250" w:lineRule="auto"/>
            </w:pPr>
            <w:r>
              <w:rPr>
                <w:sz w:val="18"/>
                <w:szCs w:val="18"/>
              </w:rPr>
              <w:t>CBP prüft, ob du erneut zugelassen wirst (INA 101(a)(13)(C)(ii))</w:t>
            </w:r>
          </w:p>
        </w:tc>
        <w:tc>
          <w:tcPr>
            <w:tcW w:w="22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B3" w14:textId="77777777" w:rsidR="00C1548D" w:rsidRDefault="009B1B4B">
            <w:pPr>
              <w:spacing w:line="250" w:lineRule="auto"/>
            </w:pPr>
            <w:r>
              <w:rPr>
                <w:sz w:val="18"/>
                <w:szCs w:val="18"/>
              </w:rPr>
              <w:t>Bindungen belegen (Wohnung, Job, Steuern)</w:t>
            </w:r>
          </w:p>
        </w:tc>
      </w:tr>
      <w:tr w:rsidR="00C1548D" w14:paraId="70A4C9B8" w14:textId="77777777">
        <w:tblPrEx>
          <w:tblCellMar>
            <w:top w:w="0" w:type="dxa"/>
            <w:bottom w:w="0" w:type="dxa"/>
          </w:tblCellMar>
        </w:tblPrEx>
        <w:trPr>
          <w:cantSplit/>
        </w:trPr>
        <w:tc>
          <w:tcPr>
            <w:tcW w:w="12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B5" w14:textId="77777777" w:rsidR="00C1548D" w:rsidRDefault="009B1B4B">
            <w:pPr>
              <w:spacing w:line="250" w:lineRule="auto"/>
            </w:pPr>
            <w:r>
              <w:rPr>
                <w:sz w:val="18"/>
                <w:szCs w:val="18"/>
              </w:rPr>
              <w:lastRenderedPageBreak/>
              <w:t>Sechs bis zwölf Monate</w:t>
            </w:r>
          </w:p>
        </w:tc>
        <w:tc>
          <w:tcPr>
            <w:tcW w:w="30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B6" w14:textId="77777777" w:rsidR="00C1548D" w:rsidRDefault="009B1B4B">
            <w:pPr>
              <w:spacing w:line="250" w:lineRule="auto"/>
            </w:pPr>
            <w:r>
              <w:rPr>
                <w:sz w:val="18"/>
                <w:szCs w:val="18"/>
              </w:rPr>
              <w:t>Erhöhte Vermutung der Aufgabe; für die Einbürgerung gilt der Aufenthalt als unterbrochen (widerlegbar)</w:t>
            </w:r>
          </w:p>
        </w:tc>
        <w:tc>
          <w:tcPr>
            <w:tcW w:w="22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B7" w14:textId="77777777" w:rsidR="00C1548D" w:rsidRDefault="009B1B4B">
            <w:pPr>
              <w:spacing w:line="250" w:lineRule="auto"/>
            </w:pPr>
            <w:r>
              <w:rPr>
                <w:i/>
                <w:iCs/>
                <w:sz w:val="18"/>
                <w:szCs w:val="18"/>
              </w:rPr>
              <w:t>Reentry Permit</w:t>
            </w:r>
            <w:r>
              <w:rPr>
                <w:sz w:val="18"/>
                <w:szCs w:val="18"/>
              </w:rPr>
              <w:t xml:space="preserve"> vorher beantragen</w:t>
            </w:r>
          </w:p>
        </w:tc>
      </w:tr>
      <w:tr w:rsidR="00C1548D" w14:paraId="70A4C9BC" w14:textId="77777777">
        <w:tblPrEx>
          <w:tblCellMar>
            <w:top w:w="0" w:type="dxa"/>
            <w:bottom w:w="0" w:type="dxa"/>
          </w:tblCellMar>
        </w:tblPrEx>
        <w:trPr>
          <w:cantSplit/>
        </w:trPr>
        <w:tc>
          <w:tcPr>
            <w:tcW w:w="12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B9" w14:textId="77777777" w:rsidR="00C1548D" w:rsidRDefault="009B1B4B">
            <w:pPr>
              <w:spacing w:line="250" w:lineRule="auto"/>
            </w:pPr>
            <w:r>
              <w:rPr>
                <w:sz w:val="18"/>
                <w:szCs w:val="18"/>
              </w:rPr>
              <w:t>Ab einem Jahr</w:t>
            </w:r>
          </w:p>
        </w:tc>
        <w:tc>
          <w:tcPr>
            <w:tcW w:w="30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BA" w14:textId="77777777" w:rsidR="00C1548D" w:rsidRDefault="009B1B4B">
            <w:pPr>
              <w:spacing w:line="250" w:lineRule="auto"/>
            </w:pPr>
            <w:r>
              <w:rPr>
                <w:sz w:val="18"/>
                <w:szCs w:val="18"/>
              </w:rPr>
              <w:t>Green Card allein reicht nicht zur Wiedereinreise</w:t>
            </w:r>
          </w:p>
        </w:tc>
        <w:tc>
          <w:tcPr>
            <w:tcW w:w="22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BB" w14:textId="77777777" w:rsidR="00C1548D" w:rsidRDefault="009B1B4B">
            <w:pPr>
              <w:spacing w:line="250" w:lineRule="auto"/>
            </w:pPr>
            <w:r>
              <w:rPr>
                <w:sz w:val="18"/>
                <w:szCs w:val="18"/>
              </w:rPr>
              <w:t>Reentry Permit oder Rückkehrvisum SB-1</w:t>
            </w:r>
          </w:p>
        </w:tc>
      </w:tr>
    </w:tbl>
    <w:p w14:paraId="70A4C9BD" w14:textId="77777777" w:rsidR="00C1548D" w:rsidRDefault="00C1548D">
      <w:pPr>
        <w:spacing w:line="180" w:lineRule="exact"/>
      </w:pPr>
    </w:p>
    <w:p w14:paraId="70A4C9BE" w14:textId="77777777" w:rsidR="00C1548D" w:rsidRDefault="009B1B4B">
      <w:pPr>
        <w:spacing w:after="140"/>
      </w:pPr>
      <w:r>
        <w:t xml:space="preserve">Das </w:t>
      </w:r>
      <w:r>
        <w:rPr>
          <w:i/>
          <w:iCs/>
        </w:rPr>
        <w:t>Reentry Permit</w:t>
      </w:r>
      <w:r>
        <w:t xml:space="preserve"> (Form I-131, 630 $, nur auf Papier) gilt bis zu zwei Jahre; du beantragst es in den USA, mit Fingerabdrucktermin (Biometrie) vor der Ausreise. Es schützt vor dem Argument, dein Aufenthalt sei nicht mehr vorübergehend – nicht aber vor dem Vorwurf, du hättest deinen Wohnsitz längst verlegt. Das Rückkehrvisum SB-1 gibt es nur bei Verzögerung außerhalb deiner Kontrolle. Wer dem Grenzbeamten nach sieben Monaten in Deutschland erklärt, er sei nur kurz weg gewesen, hat ein Beweisproblem.</w:t>
      </w:r>
    </w:p>
    <w:p w14:paraId="70A4C9BF" w14:textId="77777777" w:rsidR="00C1548D" w:rsidRDefault="009B1B4B">
      <w:pPr>
        <w:spacing w:after="140"/>
      </w:pPr>
      <w:r>
        <w:t>Aufgabe (</w:t>
      </w:r>
      <w:r>
        <w:rPr>
          <w:i/>
          <w:iCs/>
        </w:rPr>
        <w:t>Abandonment</w:t>
      </w:r>
      <w:r>
        <w:t xml:space="preserve">): Du ziehst mit der Absicht weg, dauerhaft im Ausland zu leben. Indizien: lange Abwesenheit, ausländischer Wohnsitz, Steuererklärung als </w:t>
      </w:r>
      <w:r>
        <w:rPr>
          <w:i/>
          <w:iCs/>
        </w:rPr>
        <w:t>Nonresident</w:t>
      </w:r>
      <w:r>
        <w:t>. Kanzleien berichten 2025 und 2026 von häufigerer Zweitkontrolle (</w:t>
      </w:r>
      <w:r>
        <w:rPr>
          <w:i/>
          <w:iCs/>
        </w:rPr>
        <w:t>Secondary Inspection</w:t>
      </w:r>
      <w:r>
        <w:t>) bei der Wiedereinreise; halte Karte, Steuerbescheide und Mietvertrag griffbereit im Handgepäck, nicht erst zu Hause im Aktenordner.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9C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9C0" w14:textId="77777777" w:rsidR="00C1548D" w:rsidRDefault="009B1B4B">
            <w:pPr>
              <w:keepNext/>
              <w:spacing w:after="70" w:line="240" w:lineRule="auto"/>
            </w:pPr>
            <w:r>
              <w:rPr>
                <w:b/>
                <w:bCs/>
                <w:color w:val="9B2C2C"/>
                <w:spacing w:val="24"/>
                <w:sz w:val="16"/>
                <w:szCs w:val="16"/>
              </w:rPr>
              <w:t>ACHTUNG</w:t>
            </w:r>
          </w:p>
          <w:p w14:paraId="70A4C9C1" w14:textId="77777777" w:rsidR="00C1548D" w:rsidRDefault="009B1B4B">
            <w:pPr>
              <w:spacing w:after="80" w:line="264" w:lineRule="auto"/>
            </w:pPr>
            <w:r>
              <w:rPr>
                <w:sz w:val="20"/>
                <w:szCs w:val="20"/>
              </w:rPr>
              <w:t>Verlangt ein Grenzbeamter, das Formular I-407 (freiwillige Aufgabe der Green Card, kostenlos) zu unterschreiben, bist du dazu nicht verpflichtet. Kanzleien raten, nichts zu unterschreiben und ein Verfahren vor dem Einwanderungsrichter zu verlangen – bei Streit entscheidet nicht der Beamte am Schalter über den Statusverlust. Wer länger als sechs Monate weg sein will, beantragt das Reentry Permit vor der Ausreise.</w:t>
            </w:r>
          </w:p>
        </w:tc>
      </w:tr>
    </w:tbl>
    <w:p w14:paraId="70A4C9C3"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9C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9C4" w14:textId="77777777" w:rsidR="00C1548D" w:rsidRDefault="009B1B4B">
            <w:pPr>
              <w:keepNext/>
              <w:spacing w:after="70" w:line="240" w:lineRule="auto"/>
            </w:pPr>
            <w:r>
              <w:rPr>
                <w:b/>
                <w:bCs/>
                <w:color w:val="8A6212"/>
                <w:spacing w:val="24"/>
                <w:sz w:val="16"/>
                <w:szCs w:val="16"/>
              </w:rPr>
              <w:lastRenderedPageBreak/>
              <w:t>MERKE</w:t>
            </w:r>
          </w:p>
          <w:p w14:paraId="70A4C9C5" w14:textId="77777777" w:rsidR="00C1548D" w:rsidRDefault="009B1B4B">
            <w:pPr>
              <w:spacing w:after="80" w:line="264" w:lineRule="auto"/>
            </w:pPr>
            <w:r>
              <w:rPr>
                <w:sz w:val="20"/>
                <w:szCs w:val="20"/>
              </w:rPr>
              <w:t>Die Green Card bleibt, solange die USA dein Lebensmittelpunkt sind. Nicht die Tage im Reisepass allein entscheiden, sondern das Gesamtbild aus Wohnung, Arbeit, Steuern und Absicht.</w:t>
            </w:r>
          </w:p>
        </w:tc>
      </w:tr>
    </w:tbl>
    <w:p w14:paraId="70A4C9C7" w14:textId="77777777" w:rsidR="00C1548D" w:rsidRDefault="00C1548D">
      <w:pPr>
        <w:spacing w:line="220" w:lineRule="exact"/>
      </w:pPr>
    </w:p>
    <w:p w14:paraId="70A4C9C8" w14:textId="77777777" w:rsidR="00C1548D" w:rsidRDefault="009B1B4B">
      <w:pPr>
        <w:pStyle w:val="Heading3"/>
        <w:keepNext/>
        <w:jc w:val="center"/>
      </w:pPr>
      <w:r>
        <w:rPr>
          <w:rFonts w:ascii="Amazon Ember" w:eastAsia="Amazon Ember" w:hAnsi="Amazon Ember" w:cs="Amazon Ember"/>
          <w:color w:val="0000FF"/>
          <w:sz w:val="36"/>
          <w:szCs w:val="36"/>
        </w:rPr>
        <w:t>Die bedingte Green Card</w:t>
      </w:r>
    </w:p>
    <w:p w14:paraId="70A4C9C9" w14:textId="77777777" w:rsidR="00C1548D" w:rsidRDefault="009B1B4B">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 versäumst du die Frist, droht der Verlust des Status. EB-5-Investoren erhalten ebenfalls zunächst eine bedingte Karte (Aufhebung mit I-829, 3.750 $).</w:t>
      </w:r>
    </w:p>
    <w:p w14:paraId="70A4C9CA" w14:textId="77777777" w:rsidR="00C1548D" w:rsidRDefault="009B1B4B">
      <w:pPr>
        <w:pStyle w:val="Heading3"/>
        <w:keepNext/>
        <w:jc w:val="center"/>
      </w:pPr>
      <w:r>
        <w:rPr>
          <w:rFonts w:ascii="Amazon Ember" w:eastAsia="Amazon Ember" w:hAnsi="Amazon Ember" w:cs="Amazon Ember"/>
          <w:color w:val="0000FF"/>
          <w:sz w:val="36"/>
          <w:szCs w:val="36"/>
        </w:rPr>
        <w:t>Steuern: Ab der Green Card weltweit</w:t>
      </w:r>
    </w:p>
    <w:p w14:paraId="70A4C9CB" w14:textId="64A26531" w:rsidR="00C1548D" w:rsidRDefault="009B1B4B">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der Bericht über ausländische Bankkonten, und Form 8938). Das Doppelbesteuerungsabkommen Deutschland–USA mildert die doppelte Belastung, hebt sie aber nicht immer auf (Kapitel </w:t>
      </w:r>
      <w:hyperlink w:anchor="k28" w:history="1">
        <w:r>
          <w:t>28</w:t>
        </w:r>
      </w:hyperlink>
      <w:r>
        <w:t xml:space="preserve"> für die USA, Kapitel </w:t>
      </w:r>
      <w:hyperlink w:anchor="k17" w:history="1">
        <w:r>
          <w:t>17</w:t>
        </w:r>
      </w:hyperlink>
      <w:r>
        <w:t xml:space="preserve"> für die deutsche Seite). Kern ist die Dauer: Wer nach Deutschland zurückgeht und die Karte behält, bleibt steuerlich US-Resident, bis er sie formell aufgibt.</w:t>
      </w:r>
    </w:p>
    <w:p w14:paraId="70A4C9CC" w14:textId="3423FBA1" w:rsidR="00C1548D" w:rsidRDefault="009B1B4B">
      <w:pPr>
        <w:spacing w:after="140"/>
      </w:pPr>
      <w:r>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w:t>
      </w:r>
      <w:r>
        <w:lastRenderedPageBreak/>
        <w:t>910.000 $ (2026) sind steuerpflichtig. Wer alle Erklärungen lückenlos abgegeben hat und unter den Schwellen bleibt, ist nicht betroffen (zur Rückkehr: Kapitel </w:t>
      </w:r>
      <w:hyperlink w:anchor="k42" w:history="1">
        <w:r>
          <w:t>42</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9C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9CD" w14:textId="77777777" w:rsidR="00C1548D" w:rsidRDefault="009B1B4B">
            <w:pPr>
              <w:keepNext/>
              <w:spacing w:after="70" w:line="240" w:lineRule="auto"/>
            </w:pPr>
            <w:r>
              <w:rPr>
                <w:b/>
                <w:bCs/>
                <w:color w:val="9B2C2C"/>
                <w:spacing w:val="24"/>
                <w:sz w:val="16"/>
                <w:szCs w:val="16"/>
              </w:rPr>
              <w:t>ACHTUNG</w:t>
            </w:r>
          </w:p>
          <w:p w14:paraId="70A4C9CE" w14:textId="77777777" w:rsidR="00C1548D" w:rsidRDefault="009B1B4B">
            <w:pPr>
              <w:spacing w:after="80" w:line="264" w:lineRule="auto"/>
            </w:pPr>
            <w:r>
              <w:rPr>
                <w:sz w:val="20"/>
                <w:szCs w:val="20"/>
              </w:rPr>
              <w:t xml:space="preserve">Gib keine Steuererklärung als </w:t>
            </w:r>
            <w:r>
              <w:rPr>
                <w:i/>
                <w:iCs/>
                <w:sz w:val="20"/>
                <w:szCs w:val="20"/>
              </w:rPr>
              <w:t>Nonresident</w:t>
            </w:r>
            <w:r>
              <w:rPr>
                <w:sz w:val="20"/>
                <w:szCs w:val="20"/>
              </w:rPr>
              <w:t xml:space="preserve"> ab, solange du die Green Card besitzt, ohne dich vorher beraten zu lassen. USCIS wertet das als Indiz für die Aufgabe des Status.</w:t>
            </w:r>
          </w:p>
        </w:tc>
      </w:tr>
    </w:tbl>
    <w:p w14:paraId="70A4C9D0"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9D3"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9D1" w14:textId="77777777" w:rsidR="00C1548D" w:rsidRDefault="009B1B4B">
            <w:pPr>
              <w:keepNext/>
              <w:spacing w:after="70" w:line="240" w:lineRule="auto"/>
            </w:pPr>
            <w:r>
              <w:rPr>
                <w:b/>
                <w:bCs/>
                <w:color w:val="6B7280"/>
                <w:spacing w:val="24"/>
                <w:sz w:val="16"/>
                <w:szCs w:val="16"/>
              </w:rPr>
              <w:t>KEIN RECHTSRAT</w:t>
            </w:r>
          </w:p>
          <w:p w14:paraId="70A4C9D2" w14:textId="3A168E7B" w:rsidR="00C1548D" w:rsidRDefault="009B1B4B">
            <w:pPr>
              <w:spacing w:after="80" w:line="264" w:lineRule="auto"/>
            </w:pPr>
            <w:r>
              <w:rPr>
                <w:sz w:val="20"/>
                <w:szCs w:val="20"/>
              </w:rPr>
              <w:t>Dieses Kapitel erklärt Regeln und Praxis, ersetzt aber keine Beratung durch eine Einwanderungsanwältin, einen Einwanderungsanwalt oder einen Steuerberater. Wie du jemanden findest und was das kostet, steht in Kapitel </w:t>
            </w:r>
            <w:hyperlink w:anchor="k11" w:history="1">
              <w:r>
                <w:rPr>
                  <w:sz w:val="20"/>
                  <w:szCs w:val="20"/>
                </w:rPr>
                <w:t>11</w:t>
              </w:r>
            </w:hyperlink>
            <w:r>
              <w:rPr>
                <w:sz w:val="20"/>
                <w:szCs w:val="20"/>
              </w:rPr>
              <w:t>.</w:t>
            </w:r>
          </w:p>
        </w:tc>
      </w:tr>
    </w:tbl>
    <w:p w14:paraId="70A4C9D4" w14:textId="77777777" w:rsidR="00C1548D" w:rsidRDefault="00C1548D">
      <w:pPr>
        <w:spacing w:line="220" w:lineRule="exact"/>
      </w:pPr>
    </w:p>
    <w:p w14:paraId="70A4C9D5" w14:textId="77777777" w:rsidR="00C1548D" w:rsidRDefault="009B1B4B">
      <w:pPr>
        <w:pStyle w:val="Heading3"/>
        <w:keepNext/>
        <w:jc w:val="center"/>
      </w:pPr>
      <w:r>
        <w:rPr>
          <w:rFonts w:ascii="Amazon Ember" w:eastAsia="Amazon Ember" w:hAnsi="Amazon Ember" w:cs="Amazon Ember"/>
          <w:color w:val="0000FF"/>
          <w:sz w:val="36"/>
          <w:szCs w:val="36"/>
        </w:rPr>
        <w:t>Was sich seit 2025 geändert hat</w:t>
      </w:r>
    </w:p>
    <w:p w14:paraId="70A4C9D6" w14:textId="4F158836" w:rsidR="00C1548D" w:rsidRDefault="009B1B4B" w:rsidP="009B1B4B">
      <w:pPr>
        <w:pStyle w:val="ListParagraph"/>
        <w:numPr>
          <w:ilvl w:val="0"/>
          <w:numId w:val="1"/>
        </w:numPr>
        <w:spacing w:after="60"/>
      </w:pPr>
      <w:r>
        <w:rPr>
          <w:b/>
          <w:bCs/>
        </w:rPr>
        <w:t>Kinder (CSPA):</w:t>
      </w:r>
      <w:r>
        <w:t xml:space="preserve"> Für Anträge ab dem 15. August 2025 gilt für die Altersberechnung die Final-Action-Dates-Tabelle; bei EB-1 und EB-2 (Rest der Welt, derzeit current) besteht kaum Risiko. H-4-Kinder verlieren den H-4-Status mit 21 unabhängig davon (Kapitel </w:t>
      </w:r>
      <w:hyperlink w:anchor="k10" w:history="1">
        <w:r>
          <w:t>10</w:t>
        </w:r>
      </w:hyperlink>
      <w:r>
        <w:t>).</w:t>
      </w:r>
    </w:p>
    <w:p w14:paraId="70A4C9D7" w14:textId="77777777" w:rsidR="00C1548D" w:rsidRDefault="009B1B4B" w:rsidP="009B1B4B">
      <w:pPr>
        <w:pStyle w:val="ListParagraph"/>
        <w:numPr>
          <w:ilvl w:val="0"/>
          <w:numId w:val="1"/>
        </w:numPr>
        <w:spacing w:after="60"/>
      </w:pPr>
      <w:r>
        <w:rPr>
          <w:b/>
          <w:bCs/>
        </w:rPr>
        <w:t>Public Charge:</w:t>
      </w:r>
      <w:r>
        <w:t xml:space="preserve"> Die Endregel vom 20. Juli 2026 (91 FR 45324) gilt für I-485-Anträge ab dem 18. September 2026 und ersetzt die Regel von 2022. Officer würdigen alle relevanten Umstände im Einzelfall; Bezug von Medicaid, SNAP oder Wohngeld nach diesem Datum kann berücksichtigt werden, bei gesichertem Einkommen gilt das Risiko als gering (Einschätzung, keine Garantie). Frage vor Leistungsbezug während des Verfahrens die Kanzlei, nutze stets die aktuelle Formularausgabe.</w:t>
      </w:r>
    </w:p>
    <w:p w14:paraId="70A4C9D8" w14:textId="77777777" w:rsidR="00C1548D" w:rsidRDefault="009B1B4B" w:rsidP="009B1B4B">
      <w:pPr>
        <w:pStyle w:val="ListParagraph"/>
        <w:numPr>
          <w:ilvl w:val="0"/>
          <w:numId w:val="1"/>
        </w:numPr>
        <w:spacing w:after="60"/>
      </w:pPr>
      <w:r>
        <w:rPr>
          <w:b/>
          <w:bCs/>
        </w:rPr>
        <w:t>Länderspezifische Sperren:</w:t>
      </w:r>
      <w:r>
        <w:t xml:space="preserve"> Die Prüfsperren für bestimmte Staatsangehörigkeiten oder Geburtsländer und die Pause bei Einwanderungsvisa für 75 Länder nennen Deutschland nicht; Gerichte haben sie im Juni bzw. August 2026 aufgehoben </w:t>
      </w:r>
      <w:r>
        <w:lastRenderedPageBreak/>
        <w:t>(Berufungen sind möglich). Wer in einem Listenland geboren wurde, fragt die Kanzlei.</w:t>
      </w:r>
    </w:p>
    <w:p w14:paraId="70A4C9D9" w14:textId="77777777" w:rsidR="00C1548D" w:rsidRDefault="009B1B4B" w:rsidP="009B1B4B">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w14:paraId="70A4C9DA" w14:textId="77777777" w:rsidR="00C1548D" w:rsidRDefault="00C1548D">
      <w:pPr>
        <w:spacing w:line="120" w:lineRule="exact"/>
      </w:pPr>
    </w:p>
    <w:p w14:paraId="70A4C9DB"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9DE"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DC"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9DD" w14:textId="77777777" w:rsidR="00C1548D" w:rsidRDefault="009B1B4B">
            <w:pPr>
              <w:spacing w:line="250" w:lineRule="auto"/>
            </w:pPr>
            <w:r>
              <w:rPr>
                <w:b/>
                <w:bCs/>
                <w:sz w:val="18"/>
                <w:szCs w:val="18"/>
              </w:rPr>
              <w:t>Minus</w:t>
            </w:r>
          </w:p>
        </w:tc>
      </w:tr>
      <w:tr w:rsidR="00C1548D" w14:paraId="70A4C9E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DF" w14:textId="77777777" w:rsidR="00C1548D" w:rsidRDefault="009B1B4B">
            <w:pPr>
              <w:spacing w:line="250" w:lineRule="auto"/>
            </w:pPr>
            <w:r>
              <w:rPr>
                <w:sz w:val="18"/>
                <w:szCs w:val="18"/>
              </w:rPr>
              <w:t>Unbefristetes Aufenthaltsrecht, freie Arbeits- und Ortswahl</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E0" w14:textId="77777777" w:rsidR="00C1548D" w:rsidRDefault="009B1B4B">
            <w:pPr>
              <w:spacing w:line="250" w:lineRule="auto"/>
            </w:pPr>
            <w:r>
              <w:rPr>
                <w:sz w:val="18"/>
                <w:szCs w:val="18"/>
              </w:rPr>
              <w:t>Dauer bei PERM: 2,5–4,5 Jahre, bis zum I-485 an den Arbeitgeber gebunden</w:t>
            </w:r>
          </w:p>
        </w:tc>
      </w:tr>
      <w:tr w:rsidR="00C1548D" w14:paraId="70A4C9E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E2" w14:textId="77777777" w:rsidR="00C1548D" w:rsidRDefault="009B1B4B">
            <w:pPr>
              <w:spacing w:line="250" w:lineRule="auto"/>
            </w:pPr>
            <w:r>
              <w:rPr>
                <w:sz w:val="18"/>
                <w:szCs w:val="18"/>
              </w:rPr>
              <w:t>Für Deutsche derzeit EB-1 und EB-2 ohne Stichtag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E3" w14:textId="77777777" w:rsidR="00C1548D" w:rsidRDefault="009B1B4B">
            <w:pPr>
              <w:spacing w:line="250" w:lineRule="auto"/>
            </w:pPr>
            <w:r>
              <w:rPr>
                <w:sz w:val="18"/>
                <w:szCs w:val="18"/>
              </w:rPr>
              <w:t>Kategorien schwanken: Rückstufung möglich, EB-3 mit Stichtag</w:t>
            </w:r>
          </w:p>
        </w:tc>
      </w:tr>
      <w:tr w:rsidR="00C1548D" w14:paraId="70A4C9E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E5" w14:textId="77777777" w:rsidR="00C1548D" w:rsidRDefault="009B1B4B">
            <w:pPr>
              <w:spacing w:line="250" w:lineRule="auto"/>
            </w:pPr>
            <w:r>
              <w:rPr>
                <w:sz w:val="18"/>
                <w:szCs w:val="18"/>
              </w:rPr>
              <w:t>Ehepartner und Kinder ziehen mit; Partner kann per EAD arbeiten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E6" w14:textId="77777777" w:rsidR="00C1548D" w:rsidRDefault="009B1B4B">
            <w:pPr>
              <w:spacing w:line="250" w:lineRule="auto"/>
            </w:pPr>
            <w:r>
              <w:rPr>
                <w:sz w:val="18"/>
                <w:szCs w:val="18"/>
              </w:rPr>
              <w:t>Familie zahlt selbst: z. B. 4.780 $ I-485-Gebühren bei zwei Erwachsenen und zwei Kindern unter 14, plus Arzt und Übersetzungen</w:t>
            </w:r>
          </w:p>
        </w:tc>
      </w:tr>
      <w:tr w:rsidR="00C1548D" w14:paraId="70A4C9E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E8" w14:textId="77777777" w:rsidR="00C1548D" w:rsidRDefault="009B1B4B">
            <w:pPr>
              <w:spacing w:line="250" w:lineRule="auto"/>
            </w:pPr>
            <w:r>
              <w:rPr>
                <w:sz w:val="18"/>
                <w:szCs w:val="18"/>
              </w:rPr>
              <w:t>Kein Sponsor mehr nötig, stabile Grundlage für Hypothek und Schule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E9" w14:textId="77777777" w:rsidR="00C1548D" w:rsidRDefault="009B1B4B">
            <w:pPr>
              <w:spacing w:line="250" w:lineRule="auto"/>
            </w:pPr>
            <w:r>
              <w:rPr>
                <w:sz w:val="18"/>
                <w:szCs w:val="18"/>
              </w:rPr>
              <w:t>Weltweite Steuerpflicht, Meldepflichten, Exit Tax nach acht Jahren</w:t>
            </w:r>
          </w:p>
        </w:tc>
      </w:tr>
      <w:tr w:rsidR="00C1548D" w14:paraId="70A4C9E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EB" w14:textId="05FA4AB6" w:rsidR="00C1548D" w:rsidRDefault="009B1B4B">
            <w:pPr>
              <w:spacing w:line="250" w:lineRule="auto"/>
            </w:pPr>
            <w:r>
              <w:rPr>
                <w:sz w:val="18"/>
                <w:szCs w:val="18"/>
              </w:rPr>
              <w:t>Weg zur Einbürgerung und zum Doppelpass (Kapitel </w:t>
            </w:r>
            <w:hyperlink w:anchor="k41" w:history="1">
              <w:r>
                <w:rPr>
                  <w:sz w:val="18"/>
                  <w:szCs w:val="18"/>
                </w:rPr>
                <w:t>41</w:t>
              </w:r>
            </w:hyperlink>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EC" w14:textId="77777777" w:rsidR="00C1548D" w:rsidRDefault="009B1B4B">
            <w:pPr>
              <w:spacing w:line="250" w:lineRule="auto"/>
            </w:pPr>
            <w:r>
              <w:rPr>
                <w:sz w:val="18"/>
                <w:szCs w:val="18"/>
              </w:rPr>
              <w:t>Auslandsaufenthalte über 180 Tage gefährden den Status</w:t>
            </w:r>
          </w:p>
        </w:tc>
      </w:tr>
      <w:tr w:rsidR="00C1548D" w14:paraId="70A4C9F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EE" w14:textId="77777777" w:rsidR="00C1548D" w:rsidRDefault="009B1B4B">
            <w:pPr>
              <w:spacing w:line="250" w:lineRule="auto"/>
            </w:pPr>
            <w:r>
              <w:rPr>
                <w:sz w:val="18"/>
                <w:szCs w:val="18"/>
              </w:rPr>
              <w:t>Selbstpetition ohne Arbeitgeber möglich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9EF" w14:textId="77777777" w:rsidR="00C1548D" w:rsidRDefault="009B1B4B">
            <w:pPr>
              <w:spacing w:line="250" w:lineRule="auto"/>
            </w:pPr>
            <w:r>
              <w:rPr>
                <w:sz w:val="18"/>
                <w:szCs w:val="18"/>
              </w:rPr>
              <w:t>Bei NIW und EB-1A wurden im Fiskaljahr 2026 nur rund 49 % bzw. 41 % genehmigt</w:t>
            </w:r>
          </w:p>
        </w:tc>
      </w:tr>
    </w:tbl>
    <w:p w14:paraId="70A4C9F1" w14:textId="77777777" w:rsidR="00C1548D" w:rsidRDefault="00C1548D">
      <w:pPr>
        <w:spacing w:line="180" w:lineRule="exact"/>
      </w:pPr>
    </w:p>
    <w:p w14:paraId="70A4C9F2"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C9F3" w14:textId="1604BC11" w:rsidR="00C1548D" w:rsidRDefault="009B1B4B">
      <w:pPr>
        <w:spacing w:after="140"/>
      </w:pPr>
      <w: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history="1">
        <w:r>
          <w:t>11</w:t>
        </w:r>
      </w:hyperlink>
      <w:r>
        <w:t>). Ist dein Priority Date erreicht, handle zügig: Rund um den Fiskaljahreswechsel am 1. Oktober kann sich der Stichtag deiner Kategorie ändern.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A00"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9F4" w14:textId="77777777" w:rsidR="00C1548D" w:rsidRDefault="009B1B4B">
            <w:pPr>
              <w:keepNext/>
              <w:spacing w:after="70" w:line="240" w:lineRule="auto"/>
            </w:pPr>
            <w:r>
              <w:rPr>
                <w:b/>
                <w:bCs/>
                <w:color w:val="1F6F78"/>
                <w:spacing w:val="24"/>
                <w:sz w:val="16"/>
                <w:szCs w:val="16"/>
              </w:rPr>
              <w:lastRenderedPageBreak/>
              <w:t>CHECKLISTE</w:t>
            </w:r>
          </w:p>
          <w:p w14:paraId="70A4C9F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Geburtsland prüfen: Welche Spalte des Visa Bulletin gilt für dich?</w:t>
            </w:r>
          </w:p>
          <w:p w14:paraId="70A4C9F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der Vertragsunterschrift schriftlich klären: Startzeitpunkt der PERM, Kostenübernahme, Rückzahlungsklauseln</w:t>
            </w:r>
          </w:p>
          <w:p w14:paraId="70A4C9F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Kategorie mit der Kanzlei festlegen (EB-2, EB-3, EB-1C, NIW oder EB-1A) und einen Plan B bereithalten</w:t>
            </w:r>
          </w:p>
          <w:p w14:paraId="70A4C9F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Visa Bulletin monatlich prüfen (travel.state.gov/visabulletin), USCIS-Tabelle für den I-485 beachten</w:t>
            </w:r>
          </w:p>
          <w:p w14:paraId="70A4C9F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Priority Date notieren, Bescheide (I-797) und PERM-Zertifikat aufbewahren</w:t>
            </w:r>
          </w:p>
          <w:p w14:paraId="70A4C9F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Rücklage für die I-485-Gebühren der ganzen Familie und den Civil-Surgeon-Termin bilden</w:t>
            </w:r>
          </w:p>
          <w:p w14:paraId="70A4C9FB" w14:textId="43DD25AE"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Konsularverfahren früh Führungszeugnis, Geburts- und Heiratsurkunden besorgen (Kapitel </w:t>
            </w:r>
            <w:hyperlink w:anchor="k19" w:history="1">
              <w:r>
                <w:rPr>
                  <w:sz w:val="20"/>
                  <w:szCs w:val="20"/>
                </w:rPr>
                <w:t>19</w:t>
              </w:r>
            </w:hyperlink>
            <w:r>
              <w:rPr>
                <w:sz w:val="20"/>
                <w:szCs w:val="20"/>
              </w:rPr>
              <w:t>)</w:t>
            </w:r>
          </w:p>
          <w:p w14:paraId="70A4C9F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Alle Auslandsreisen mit Datum in einer Liste führen; vor Reisen über sechs Monate das Reentry Permit beantragen</w:t>
            </w:r>
          </w:p>
          <w:p w14:paraId="70A4C9F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Steuererklärungen lückenlos als Resident abgeben, keine Nonresident-Erklärung ohne Beratung</w:t>
            </w:r>
          </w:p>
          <w:p w14:paraId="70A4C9F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Adressänderungen binnen zehn Tagen melden (Form AR-11)</w:t>
            </w:r>
          </w:p>
          <w:p w14:paraId="70A4C9F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dem Bezug von Medicaid, SNAP oder Wohngeld während des Verfahrens die Kanzlei fragen</w:t>
            </w:r>
          </w:p>
        </w:tc>
      </w:tr>
    </w:tbl>
    <w:p w14:paraId="70A4CA01" w14:textId="77777777" w:rsidR="00C1548D" w:rsidRDefault="00C1548D">
      <w:pPr>
        <w:spacing w:line="220" w:lineRule="exact"/>
      </w:pPr>
    </w:p>
    <w:p w14:paraId="70A4CA02"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A03" w14:textId="65D2BBB9" w:rsidR="00C1548D" w:rsidRDefault="009B1B4B" w:rsidP="009B1B4B">
      <w:pPr>
        <w:pStyle w:val="ListParagraph"/>
        <w:numPr>
          <w:ilvl w:val="0"/>
          <w:numId w:val="1"/>
        </w:numPr>
        <w:spacing w:after="60"/>
      </w:pPr>
      <w:hyperlink r:id="rId57" w:history="1">
        <w:r>
          <w:rPr>
            <w:color w:val="0563C1"/>
            <w:u w:val="single"/>
          </w:rPr>
          <w:t>travel.state.gov/visabulletin</w:t>
        </w:r>
      </w:hyperlink>
      <w:r>
        <w:t xml:space="preserve"> — Visa Bulletin (Stichtage) und Konsulargebühren</w:t>
      </w:r>
    </w:p>
    <w:p w14:paraId="70A4CA04" w14:textId="0C553EB0" w:rsidR="00C1548D" w:rsidRDefault="009B1B4B" w:rsidP="009B1B4B">
      <w:pPr>
        <w:pStyle w:val="ListParagraph"/>
        <w:numPr>
          <w:ilvl w:val="0"/>
          <w:numId w:val="1"/>
        </w:numPr>
        <w:spacing w:after="60"/>
      </w:pPr>
      <w:hyperlink r:id="rId58" w:history="1">
        <w:r>
          <w:rPr>
            <w:color w:val="0563C1"/>
            <w:u w:val="single"/>
          </w:rPr>
          <w:t>uscis.gov/green-card</w:t>
        </w:r>
      </w:hyperlink>
      <w:r>
        <w:t xml:space="preserve"> — Wege, Verfahren, Tabellen für den I-485</w:t>
      </w:r>
    </w:p>
    <w:p w14:paraId="70A4CA05" w14:textId="24728D94" w:rsidR="00C1548D" w:rsidRDefault="009B1B4B" w:rsidP="009B1B4B">
      <w:pPr>
        <w:pStyle w:val="ListParagraph"/>
        <w:numPr>
          <w:ilvl w:val="0"/>
          <w:numId w:val="1"/>
        </w:numPr>
        <w:spacing w:after="60"/>
      </w:pPr>
      <w:hyperlink r:id="rId59" w:history="1">
        <w:r>
          <w:rPr>
            <w:color w:val="0563C1"/>
            <w:u w:val="single"/>
          </w:rPr>
          <w:t>uscis.gov/g-1055</w:t>
        </w:r>
      </w:hyperlink>
      <w:r>
        <w:t xml:space="preserve"> — Gebührenverzeichnis von USCIS</w:t>
      </w:r>
    </w:p>
    <w:p w14:paraId="70A4CA06" w14:textId="0AE063C8" w:rsidR="00C1548D" w:rsidRDefault="009B1B4B" w:rsidP="009B1B4B">
      <w:pPr>
        <w:pStyle w:val="ListParagraph"/>
        <w:numPr>
          <w:ilvl w:val="0"/>
          <w:numId w:val="1"/>
        </w:numPr>
        <w:spacing w:after="60"/>
      </w:pPr>
      <w:hyperlink r:id="rId60" w:history="1">
        <w:r>
          <w:rPr>
            <w:color w:val="0563C1"/>
            <w:u w:val="single"/>
          </w:rPr>
          <w:t>flag.dol.gov/processingtimes</w:t>
        </w:r>
      </w:hyperlink>
      <w:r>
        <w:t xml:space="preserve"> — Bearbeitungszeiten für Lohnbescheid und PERM</w:t>
      </w:r>
    </w:p>
    <w:p w14:paraId="70A4CA07" w14:textId="5DF4F151" w:rsidR="00C1548D" w:rsidRDefault="009B1B4B" w:rsidP="009B1B4B">
      <w:pPr>
        <w:pStyle w:val="ListParagraph"/>
        <w:numPr>
          <w:ilvl w:val="0"/>
          <w:numId w:val="1"/>
        </w:numPr>
        <w:spacing w:after="60"/>
      </w:pPr>
      <w:hyperlink r:id="rId61" w:history="1">
        <w:r>
          <w:rPr>
            <w:color w:val="0563C1"/>
            <w:u w:val="single"/>
          </w:rPr>
          <w:t>de.usembassy.gov</w:t>
        </w:r>
      </w:hyperlink>
      <w:r>
        <w:t xml:space="preserve"> — Botschaft und Konsulate in Deutschland (Einwanderungsvisa)</w:t>
      </w:r>
    </w:p>
    <w:p w14:paraId="70A4CA08" w14:textId="15F981B8" w:rsidR="00C1548D" w:rsidRDefault="009B1B4B" w:rsidP="009B1B4B">
      <w:pPr>
        <w:pStyle w:val="ListParagraph"/>
        <w:numPr>
          <w:ilvl w:val="0"/>
          <w:numId w:val="1"/>
        </w:numPr>
        <w:spacing w:after="60"/>
      </w:pPr>
      <w:hyperlink r:id="rId62" w:history="1">
        <w:r>
          <w:rPr>
            <w:color w:val="0563C1"/>
            <w:u w:val="single"/>
          </w:rPr>
          <w:t>federalregister.gov</w:t>
        </w:r>
      </w:hyperlink>
      <w:r>
        <w:t xml:space="preserve"> — Suche „Public Charge Ground of Inadmissibility“ (91 FR 45324)</w:t>
      </w:r>
    </w:p>
    <w:p w14:paraId="70A4CA09" w14:textId="28670545" w:rsidR="00C1548D" w:rsidRDefault="009B1B4B" w:rsidP="009B1B4B">
      <w:pPr>
        <w:pStyle w:val="ListParagraph"/>
        <w:numPr>
          <w:ilvl w:val="0"/>
          <w:numId w:val="1"/>
        </w:numPr>
        <w:spacing w:after="60"/>
      </w:pPr>
      <w:hyperlink r:id="rId63" w:history="1">
        <w:r>
          <w:rPr>
            <w:color w:val="0563C1"/>
            <w:u w:val="single"/>
          </w:rPr>
          <w:t>irs.gov/individuals/international-taxpayers</w:t>
        </w:r>
      </w:hyperlink>
      <w:r>
        <w:t xml:space="preserve"> — Steuerpflicht und Exit Tax</w:t>
      </w:r>
    </w:p>
    <w:p w14:paraId="70A4CA0A" w14:textId="667DF0E2" w:rsidR="00C1548D" w:rsidRDefault="009B1B4B" w:rsidP="009B1B4B">
      <w:pPr>
        <w:pStyle w:val="ListParagraph"/>
        <w:numPr>
          <w:ilvl w:val="0"/>
          <w:numId w:val="1"/>
        </w:numPr>
        <w:spacing w:after="60"/>
      </w:pPr>
      <w:hyperlink r:id="rId64" w:history="1">
        <w:r>
          <w:rPr>
            <w:color w:val="0563C1"/>
            <w:u w:val="single"/>
          </w:rPr>
          <w:t>sss.gov</w:t>
        </w:r>
      </w:hyperlink>
      <w:r>
        <w:t xml:space="preserve"> — Selective Service: Registrierungspflicht</w:t>
      </w:r>
    </w:p>
    <w:p w14:paraId="70A4CA0B"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A0E"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A0C" w14:textId="77777777" w:rsidR="00C1548D" w:rsidRDefault="009B1B4B">
            <w:pPr>
              <w:keepNext/>
              <w:spacing w:after="70" w:line="240" w:lineRule="auto"/>
            </w:pPr>
            <w:r>
              <w:rPr>
                <w:b/>
                <w:bCs/>
                <w:color w:val="6B7280"/>
                <w:spacing w:val="24"/>
                <w:sz w:val="16"/>
                <w:szCs w:val="16"/>
              </w:rPr>
              <w:t>STAND</w:t>
            </w:r>
          </w:p>
          <w:p w14:paraId="70A4CA0D" w14:textId="77777777" w:rsidR="00C1548D" w:rsidRDefault="009B1B4B" w:rsidP="009B1B4B">
            <w:pPr>
              <w:pStyle w:val="ListParagraph"/>
              <w:numPr>
                <w:ilvl w:val="0"/>
                <w:numId w:val="11"/>
              </w:numPr>
              <w:spacing w:after="50" w:line="264" w:lineRule="auto"/>
            </w:pPr>
            <w:r>
              <w:rPr>
                <w:sz w:val="20"/>
                <w:szCs w:val="20"/>
              </w:rPr>
              <w:t>September 2026. Diese Angaben ändern sich schnell: die Stichtage im Visa Bulletin (das Oktober-Bulletin mit den Werten für das Fiskaljahr 2027 lag bei Redaktionsschluss nicht vor), die Bearbeitungszeiten von DOL und USCIS, die Genehmigungsquoten bei NIW und EB-1A, Gebühren (G-1055), die Public-Charge-Regeln, Gold Card und Diversity Visa sowie Gerichtsentscheidungen. Prüfe vor jeder Entscheidung die offiziellen Seiten und die Kanzlei.</w:t>
            </w:r>
          </w:p>
        </w:tc>
      </w:tr>
    </w:tbl>
    <w:p w14:paraId="70A4CA0F" w14:textId="77777777" w:rsidR="00C1548D" w:rsidRDefault="00C1548D">
      <w:pPr>
        <w:spacing w:line="220" w:lineRule="exact"/>
      </w:pPr>
    </w:p>
    <w:p w14:paraId="70A4CA10" w14:textId="77777777" w:rsidR="00C1548D" w:rsidRDefault="009B1B4B">
      <w:pPr>
        <w:pStyle w:val="Heading2"/>
        <w:keepNext/>
        <w:pageBreakBefore/>
        <w:jc w:val="center"/>
      </w:pPr>
      <w:bookmarkStart w:id="21" w:name="k7"/>
      <w:bookmarkStart w:id="22" w:name="_Toc241352457"/>
      <w:r>
        <w:rPr>
          <w:rFonts w:ascii="Amazon Ember" w:eastAsia="Amazon Ember" w:hAnsi="Amazon Ember" w:cs="Amazon Ember"/>
          <w:color w:val="0000FF"/>
          <w:sz w:val="36"/>
          <w:szCs w:val="36"/>
        </w:rPr>
        <w:lastRenderedPageBreak/>
        <w:t>Kapitel 7: H-1B oder Green Card? Der direkte Vergleich</w:t>
      </w:r>
      <w:bookmarkEnd w:id="21"/>
      <w:bookmarkEnd w:id="22"/>
    </w:p>
    <w:p w14:paraId="70A4CA11" w14:textId="77777777" w:rsidR="00C1548D" w:rsidRDefault="009B1B4B">
      <w:pPr>
        <w:spacing w:after="140"/>
      </w:pPr>
      <w:r>
        <w:t xml:space="preserve">Im Jobangebot aus Detroit steht ein Satz, der nach Zusage klingt: </w:t>
      </w:r>
      <w:r>
        <w:rPr>
          <w:i/>
          <w:iCs/>
        </w:rPr>
        <w:t>The Company may sponsor you for permanent residence.</w:t>
      </w:r>
      <w:r>
        <w:t xml:space="preserv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gegenüber, zeichnet den klassischen Weg vom einen zum anderen nach und sagt ehrlich, wer die Green Card wirklich braucht.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A18"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A12" w14:textId="77777777" w:rsidR="00C1548D" w:rsidRDefault="009B1B4B">
            <w:pPr>
              <w:keepNext/>
              <w:spacing w:after="70" w:line="240" w:lineRule="auto"/>
            </w:pPr>
            <w:r>
              <w:rPr>
                <w:b/>
                <w:bCs/>
                <w:color w:val="1F3A5F"/>
                <w:spacing w:val="24"/>
                <w:sz w:val="16"/>
                <w:szCs w:val="16"/>
              </w:rPr>
              <w:t>KURZ GESAGT</w:t>
            </w:r>
          </w:p>
          <w:p w14:paraId="70A4CA13" w14:textId="77777777" w:rsidR="00C1548D" w:rsidRDefault="009B1B4B" w:rsidP="009B1B4B">
            <w:pPr>
              <w:pStyle w:val="ListParagraph"/>
              <w:numPr>
                <w:ilvl w:val="0"/>
                <w:numId w:val="1"/>
              </w:numPr>
              <w:spacing w:after="50" w:line="264" w:lineRule="auto"/>
            </w:pPr>
            <w:r>
              <w:rPr>
                <w:sz w:val="20"/>
                <w:szCs w:val="20"/>
              </w:rPr>
              <w:t>H-1B und Green Card sind zwei Etappen, keine Konkurrenten: Der H-1B erlaubt bis zu sechs Jahre Arbeit, gebunden an einen Arbeitgeber; die Green Card gilt unbefristet, erlaubt jeden Arbeitgeber und gibt dem Partner die Arbeitserlaubnis.</w:t>
            </w:r>
          </w:p>
          <w:p w14:paraId="70A4CA14" w14:textId="77777777" w:rsidR="00C1548D" w:rsidRDefault="009B1B4B" w:rsidP="009B1B4B">
            <w:pPr>
              <w:pStyle w:val="ListParagraph"/>
              <w:numPr>
                <w:ilvl w:val="0"/>
                <w:numId w:val="1"/>
              </w:numPr>
              <w:spacing w:after="50" w:line="264" w:lineRule="auto"/>
            </w:pPr>
            <w:r>
              <w:rPr>
                <w:sz w:val="20"/>
                <w:szCs w:val="20"/>
              </w:rPr>
              <w:t>Für Deutsche gilt im September 2026: EB-1 und EB-2 sind ohne Warteschlange („current“), EB-3 hat einen Stichtag (1. September 2024); das Verfahren über den Arbeitgeber dauert grob 2,5–4,5 Jahre, und das State Department warnt vor einer Rückstufung.</w:t>
            </w:r>
          </w:p>
          <w:p w14:paraId="70A4CA15" w14:textId="77777777" w:rsidR="00C1548D" w:rsidRDefault="009B1B4B" w:rsidP="009B1B4B">
            <w:pPr>
              <w:pStyle w:val="ListParagraph"/>
              <w:numPr>
                <w:ilvl w:val="0"/>
                <w:numId w:val="1"/>
              </w:numPr>
              <w:spacing w:after="50" w:line="264" w:lineRule="auto"/>
            </w:pPr>
            <w:r>
              <w:rPr>
                <w:sz w:val="20"/>
                <w:szCs w:val="20"/>
              </w:rPr>
              <w:t>Starte früh: Das Priority Date entsteht erst mit der PERM-Einreichung, während die Sechs-Jahres-Uhr des H-1B läuft. Lass Zeitpunkt, Kosten und Fortführung schriftlich zusagen – die PERM-Kosten trägt der Arbeitgeber.</w:t>
            </w:r>
          </w:p>
          <w:p w14:paraId="70A4CA16" w14:textId="64F2475D" w:rsidR="00C1548D" w:rsidRDefault="009B1B4B" w:rsidP="009B1B4B">
            <w:pPr>
              <w:pStyle w:val="ListParagraph"/>
              <w:numPr>
                <w:ilvl w:val="0"/>
                <w:numId w:val="1"/>
              </w:numPr>
              <w:spacing w:after="50" w:line="264" w:lineRule="auto"/>
            </w:pPr>
            <w:r>
              <w:rPr>
                <w:sz w:val="20"/>
                <w:szCs w:val="20"/>
              </w:rPr>
              <w:t>Klappt die Lotterie nicht: Plan A ist der nächste Anlauf oder ein quotenfreier Arbeitgeber, Plan B ein anderes Visum oder das Studium, Plan C die Green Card direkt (Kapitel </w:t>
            </w:r>
            <w:hyperlink w:anchor="k8" w:history="1">
              <w:r>
                <w:rPr>
                  <w:sz w:val="20"/>
                  <w:szCs w:val="20"/>
                </w:rPr>
                <w:t>8</w:t>
              </w:r>
            </w:hyperlink>
            <w:r>
              <w:rPr>
                <w:sz w:val="20"/>
                <w:szCs w:val="20"/>
              </w:rPr>
              <w:t xml:space="preserve"> und </w:t>
            </w:r>
            <w:hyperlink w:anchor="k9" w:history="1">
              <w:r>
                <w:rPr>
                  <w:sz w:val="20"/>
                  <w:szCs w:val="20"/>
                </w:rPr>
                <w:t>9</w:t>
              </w:r>
            </w:hyperlink>
            <w:r>
              <w:rPr>
                <w:sz w:val="20"/>
                <w:szCs w:val="20"/>
              </w:rPr>
              <w:t>).</w:t>
            </w:r>
          </w:p>
          <w:p w14:paraId="70A4CA17" w14:textId="77777777" w:rsidR="00C1548D" w:rsidRDefault="009B1B4B" w:rsidP="009B1B4B">
            <w:pPr>
              <w:pStyle w:val="ListParagraph"/>
              <w:numPr>
                <w:ilvl w:val="0"/>
                <w:numId w:val="1"/>
              </w:numPr>
              <w:spacing w:after="50" w:line="264" w:lineRule="auto"/>
            </w:pPr>
            <w:r>
              <w:rPr>
                <w:sz w:val="20"/>
                <w:szCs w:val="20"/>
              </w:rPr>
              <w:t>Nicht jeder braucht eine Green Card. Sie bringt Freiheit, aber auch weltweite Steuerpflicht und Pflichten beim Wohnsitz.</w:t>
            </w:r>
          </w:p>
        </w:tc>
      </w:tr>
    </w:tbl>
    <w:p w14:paraId="70A4CA19" w14:textId="77777777" w:rsidR="00C1548D" w:rsidRDefault="00C1548D">
      <w:pPr>
        <w:spacing w:line="220" w:lineRule="exact"/>
      </w:pPr>
    </w:p>
    <w:p w14:paraId="70A4CA1A" w14:textId="77777777" w:rsidR="00C1548D" w:rsidRDefault="009B1B4B">
      <w:pPr>
        <w:pStyle w:val="Heading3"/>
        <w:keepNext/>
        <w:jc w:val="center"/>
      </w:pPr>
      <w:r>
        <w:rPr>
          <w:rFonts w:ascii="Amazon Ember" w:eastAsia="Amazon Ember" w:hAnsi="Amazon Ember" w:cs="Amazon Ember"/>
          <w:color w:val="0000FF"/>
          <w:sz w:val="36"/>
          <w:szCs w:val="36"/>
        </w:rPr>
        <w:lastRenderedPageBreak/>
        <w:t>Zwei Etappen, kein Entweder-oder</w:t>
      </w:r>
    </w:p>
    <w:p w14:paraId="70A4CA1B" w14:textId="35D0A1EF" w:rsidR="00C1548D" w:rsidRDefault="009B1B4B">
      <w:pPr>
        <w:spacing w:after="140"/>
      </w:pPr>
      <w:r>
        <w:t>Wer fragt „H-1B oder Green Card?“, stellt die Frage schief. Verbreiteter Irrtum: Man müsse sich für eines von beidem entscheiden. Tatsächlich ist der H-1B ein befristeter Status: Du arbeitest für den sponsernden Arbeitgeber, insgesamt höchstens sechs Jahre (Kapitel </w:t>
      </w:r>
      <w:hyperlink w:anchor="k5" w:history="1">
        <w:r>
          <w:t>5</w:t>
        </w:r>
      </w:hyperlink>
      <w:r>
        <w:t xml:space="preserve">). Die Green Card (offiziell </w:t>
      </w:r>
      <w:r>
        <w:rPr>
          <w:i/>
          <w:iCs/>
        </w:rPr>
        <w:t>Lawful Permanent Residence</w:t>
      </w:r>
      <w:r>
        <w:t>, kurz LPR: unbefristetes Aufenthaltsrecht) ist das Ziel, das du meist über den Arbeitgeber erreichst (Kapitel </w:t>
      </w:r>
      <w:hyperlink w:anchor="k6" w:history="1">
        <w:r>
          <w:t>6</w:t>
        </w:r>
      </w:hyperlink>
      <w:r>
        <w:t>). Der H-1B erlaubt das ausdrücklich: Die Absicht, später die Green Card zu beantragen, schadet dir nicht (</w:t>
      </w:r>
      <w:r>
        <w:rPr>
          <w:i/>
          <w:iCs/>
        </w:rPr>
        <w:t>Dual Intent</w:t>
      </w:r>
      <w:r>
        <w:t>). Die eigentliche Entscheidung ist deshalb nicht das Ob, sondern der Zeitpunkt des Übergangs.</w:t>
      </w:r>
    </w:p>
    <w:p w14:paraId="70A4CA1C" w14:textId="77777777" w:rsidR="00C1548D" w:rsidRDefault="009B1B4B">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 ein Gedanke, der deutschen Ohren mit ihrer Vorliebe für feste Fristen erst einmal tröstlich vorkommt. In den USA liegt der Übergang zum unbefristeten Recht dagegen in der Hand des Arbeitgebers, dauert meist länger und beg</w:t>
      </w:r>
      <w:r>
        <w:t>innt erst mit dessen erstem Antrag.</w:t>
      </w:r>
    </w:p>
    <w:p w14:paraId="70A4CA1D" w14:textId="77777777" w:rsidR="00C1548D" w:rsidRDefault="009B1B4B">
      <w:pPr>
        <w:pStyle w:val="Heading3"/>
        <w:keepNext/>
        <w:jc w:val="center"/>
      </w:pPr>
      <w:r>
        <w:rPr>
          <w:rFonts w:ascii="Amazon Ember" w:eastAsia="Amazon Ember" w:hAnsi="Amazon Ember" w:cs="Amazon Ember"/>
          <w:color w:val="0000FF"/>
          <w:sz w:val="36"/>
          <w:szCs w:val="36"/>
        </w:rPr>
        <w:t>Der große Vergleich: 20 Kriterien</w:t>
      </w:r>
    </w:p>
    <w:p w14:paraId="70A4CA1E" w14:textId="1A48A71E" w:rsidR="00C1548D" w:rsidRDefault="009B1B4B">
      <w:pPr>
        <w:spacing w:after="140"/>
      </w:pPr>
      <w:r>
        <w:t>Die drei Tabellen stellen H-1B und erteilte Green Card gegenüber. Zwischen Antrag und Erteilung bleibst du meist im H-1B-Status; was du beim Jobwechsel darfst, steht in Kapitel </w:t>
      </w:r>
      <w:hyperlink w:anchor="k30" w:history="1">
        <w:r>
          <w:t>30</w:t>
        </w:r>
      </w:hyperlink>
      <w:r>
        <w:t>.</w:t>
      </w:r>
    </w:p>
    <w:p w14:paraId="70A4CA1F" w14:textId="77777777" w:rsidR="00C1548D" w:rsidRDefault="009B1B4B">
      <w:pPr>
        <w:pStyle w:val="Heading4"/>
        <w:keepNext/>
        <w:jc w:val="center"/>
      </w:pPr>
      <w:r>
        <w:rPr>
          <w:rFonts w:ascii="Amazon Ember" w:eastAsia="Amazon Ember" w:hAnsi="Amazon Ember" w:cs="Amazon Ember"/>
          <w:color w:val="0000FF"/>
          <w:sz w:val="36"/>
          <w:szCs w:val="36"/>
        </w:rPr>
        <w:lastRenderedPageBreak/>
        <w:t>Arbeit und Bindung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1"/>
        <w:gridCol w:w="2764"/>
        <w:gridCol w:w="2765"/>
      </w:tblGrid>
      <w:tr w:rsidR="00C1548D" w14:paraId="70A4CA23" w14:textId="77777777">
        <w:tblPrEx>
          <w:tblCellMar>
            <w:top w:w="0" w:type="dxa"/>
            <w:bottom w:w="0" w:type="dxa"/>
          </w:tblCellMar>
        </w:tblPrEx>
        <w:trPr>
          <w:cantSplit/>
          <w:tblHeader/>
        </w:trPr>
        <w:tc>
          <w:tcPr>
            <w:tcW w:w="95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20" w14:textId="77777777" w:rsidR="00C1548D" w:rsidRDefault="009B1B4B">
            <w:pPr>
              <w:spacing w:line="250" w:lineRule="auto"/>
            </w:pPr>
            <w:r>
              <w:rPr>
                <w:b/>
                <w:bCs/>
                <w:sz w:val="18"/>
                <w:szCs w:val="18"/>
              </w:rPr>
              <w:t>Kriterium</w:t>
            </w:r>
          </w:p>
        </w:tc>
        <w:tc>
          <w:tcPr>
            <w:tcW w:w="276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21" w14:textId="77777777" w:rsidR="00C1548D" w:rsidRDefault="009B1B4B">
            <w:pPr>
              <w:spacing w:line="250" w:lineRule="auto"/>
            </w:pPr>
            <w:r>
              <w:rPr>
                <w:b/>
                <w:bCs/>
                <w:sz w:val="18"/>
                <w:szCs w:val="18"/>
              </w:rPr>
              <w:t>H-1B</w:t>
            </w:r>
          </w:p>
        </w:tc>
        <w:tc>
          <w:tcPr>
            <w:tcW w:w="276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22" w14:textId="77777777" w:rsidR="00C1548D" w:rsidRDefault="009B1B4B">
            <w:pPr>
              <w:spacing w:line="250" w:lineRule="auto"/>
            </w:pPr>
            <w:r>
              <w:rPr>
                <w:b/>
                <w:bCs/>
                <w:sz w:val="18"/>
                <w:szCs w:val="18"/>
              </w:rPr>
              <w:t>Green Card</w:t>
            </w:r>
          </w:p>
        </w:tc>
      </w:tr>
      <w:tr w:rsidR="00C1548D" w14:paraId="70A4CA27" w14:textId="77777777">
        <w:tblPrEx>
          <w:tblCellMar>
            <w:top w:w="0" w:type="dxa"/>
            <w:bottom w:w="0" w:type="dxa"/>
          </w:tblCellMar>
        </w:tblPrEx>
        <w:trPr>
          <w:cantSplit/>
        </w:trPr>
        <w:tc>
          <w:tcPr>
            <w:tcW w:w="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24" w14:textId="77777777" w:rsidR="00C1548D" w:rsidRDefault="009B1B4B">
            <w:pPr>
              <w:spacing w:line="250" w:lineRule="auto"/>
            </w:pPr>
            <w:r>
              <w:rPr>
                <w:sz w:val="18"/>
                <w:szCs w:val="18"/>
              </w:rPr>
              <w:t>Rechtsnatur</w:t>
            </w:r>
          </w:p>
        </w:tc>
        <w:tc>
          <w:tcPr>
            <w:tcW w:w="2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25" w14:textId="77777777" w:rsidR="00C1548D" w:rsidRDefault="009B1B4B">
            <w:pPr>
              <w:spacing w:line="250" w:lineRule="auto"/>
            </w:pPr>
            <w:r>
              <w:rPr>
                <w:sz w:val="18"/>
                <w:szCs w:val="18"/>
              </w:rPr>
              <w:t>Befristeter Status (Nichteinwanderer), Dual Intent erlaubt</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26" w14:textId="77777777" w:rsidR="00C1548D" w:rsidRDefault="009B1B4B">
            <w:pPr>
              <w:spacing w:line="250" w:lineRule="auto"/>
            </w:pPr>
            <w:r>
              <w:rPr>
                <w:sz w:val="18"/>
                <w:szCs w:val="18"/>
              </w:rPr>
              <w:t>Unbefristetes Aufenthaltsrecht (LPR)</w:t>
            </w:r>
          </w:p>
        </w:tc>
      </w:tr>
      <w:tr w:rsidR="00C1548D" w14:paraId="70A4CA2B" w14:textId="77777777">
        <w:tblPrEx>
          <w:tblCellMar>
            <w:top w:w="0" w:type="dxa"/>
            <w:bottom w:w="0" w:type="dxa"/>
          </w:tblCellMar>
        </w:tblPrEx>
        <w:trPr>
          <w:cantSplit/>
        </w:trPr>
        <w:tc>
          <w:tcPr>
            <w:tcW w:w="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28" w14:textId="77777777" w:rsidR="00C1548D" w:rsidRDefault="009B1B4B">
            <w:pPr>
              <w:spacing w:line="250" w:lineRule="auto"/>
            </w:pPr>
            <w:r>
              <w:rPr>
                <w:sz w:val="18"/>
                <w:szCs w:val="18"/>
              </w:rPr>
              <w:t>Dauer</w:t>
            </w:r>
          </w:p>
        </w:tc>
        <w:tc>
          <w:tcPr>
            <w:tcW w:w="2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29" w14:textId="77777777" w:rsidR="00C1548D" w:rsidRDefault="009B1B4B">
            <w:pPr>
              <w:spacing w:line="250" w:lineRule="auto"/>
            </w:pPr>
            <w:r>
              <w:rPr>
                <w:sz w:val="18"/>
                <w:szCs w:val="18"/>
              </w:rPr>
              <w:t>3 + 3 Jahre; länger nur mit laufendem Green-Card-Verfahren</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2A" w14:textId="77777777" w:rsidR="00C1548D" w:rsidRDefault="009B1B4B">
            <w:pPr>
              <w:spacing w:line="250" w:lineRule="auto"/>
            </w:pPr>
            <w:r>
              <w:rPr>
                <w:sz w:val="18"/>
                <w:szCs w:val="18"/>
              </w:rPr>
              <w:t>Unbefristet; Karte alle 10 Jahre erneuern (I-90: 465 $ Papier, 415 $ online)</w:t>
            </w:r>
          </w:p>
        </w:tc>
      </w:tr>
      <w:tr w:rsidR="00C1548D" w14:paraId="70A4CA2F" w14:textId="77777777">
        <w:tblPrEx>
          <w:tblCellMar>
            <w:top w:w="0" w:type="dxa"/>
            <w:bottom w:w="0" w:type="dxa"/>
          </w:tblCellMar>
        </w:tblPrEx>
        <w:trPr>
          <w:cantSplit/>
        </w:trPr>
        <w:tc>
          <w:tcPr>
            <w:tcW w:w="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2C" w14:textId="77777777" w:rsidR="00C1548D" w:rsidRDefault="009B1B4B">
            <w:pPr>
              <w:spacing w:line="250" w:lineRule="auto"/>
            </w:pPr>
            <w:r>
              <w:rPr>
                <w:sz w:val="18"/>
                <w:szCs w:val="18"/>
              </w:rPr>
              <w:t>Zugang</w:t>
            </w:r>
          </w:p>
        </w:tc>
        <w:tc>
          <w:tcPr>
            <w:tcW w:w="2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2D" w14:textId="77777777" w:rsidR="00C1548D" w:rsidRDefault="009B1B4B">
            <w:pPr>
              <w:spacing w:line="250" w:lineRule="auto"/>
            </w:pPr>
            <w:r>
              <w:rPr>
                <w:sz w:val="18"/>
                <w:szCs w:val="18"/>
              </w:rPr>
              <w:t>Lotterie im März, 85.000 Plätze (Hochschulen quotenfrei); nur mit Jobzusage</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2E" w14:textId="77777777" w:rsidR="00C1548D" w:rsidRDefault="009B1B4B">
            <w:pPr>
              <w:spacing w:line="250" w:lineRule="auto"/>
            </w:pPr>
            <w:r>
              <w:rPr>
                <w:sz w:val="18"/>
                <w:szCs w:val="18"/>
              </w:rPr>
              <w:t>Kein Los, aber Jahreskontingente mit Warteschlange (Visa Bulletin)</w:t>
            </w:r>
          </w:p>
        </w:tc>
      </w:tr>
      <w:tr w:rsidR="00C1548D" w14:paraId="70A4CA33" w14:textId="77777777">
        <w:tblPrEx>
          <w:tblCellMar>
            <w:top w:w="0" w:type="dxa"/>
            <w:bottom w:w="0" w:type="dxa"/>
          </w:tblCellMar>
        </w:tblPrEx>
        <w:trPr>
          <w:cantSplit/>
        </w:trPr>
        <w:tc>
          <w:tcPr>
            <w:tcW w:w="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0" w14:textId="77777777" w:rsidR="00C1548D" w:rsidRDefault="009B1B4B">
            <w:pPr>
              <w:spacing w:line="250" w:lineRule="auto"/>
            </w:pPr>
            <w:r>
              <w:rPr>
                <w:sz w:val="18"/>
                <w:szCs w:val="18"/>
              </w:rPr>
              <w:t>Arbeitgeberbindung</w:t>
            </w:r>
          </w:p>
        </w:tc>
        <w:tc>
          <w:tcPr>
            <w:tcW w:w="2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1" w14:textId="77777777" w:rsidR="00C1548D" w:rsidRDefault="009B1B4B">
            <w:pPr>
              <w:spacing w:line="250" w:lineRule="auto"/>
            </w:pPr>
            <w:r>
              <w:rPr>
                <w:sz w:val="18"/>
                <w:szCs w:val="18"/>
              </w:rPr>
              <w:t>Nur der Sponsor, nur die beschriebene Stelle am beschriebenen Ort</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2" w14:textId="77777777" w:rsidR="00C1548D" w:rsidRDefault="009B1B4B">
            <w:pPr>
              <w:spacing w:line="250" w:lineRule="auto"/>
            </w:pPr>
            <w:r>
              <w:rPr>
                <w:sz w:val="18"/>
                <w:szCs w:val="18"/>
              </w:rPr>
              <w:t>Jeder Arbeitgeber, jede Tätigkeit</w:t>
            </w:r>
          </w:p>
        </w:tc>
      </w:tr>
      <w:tr w:rsidR="00C1548D" w14:paraId="70A4CA37" w14:textId="77777777">
        <w:tblPrEx>
          <w:tblCellMar>
            <w:top w:w="0" w:type="dxa"/>
            <w:bottom w:w="0" w:type="dxa"/>
          </w:tblCellMar>
        </w:tblPrEx>
        <w:trPr>
          <w:cantSplit/>
        </w:trPr>
        <w:tc>
          <w:tcPr>
            <w:tcW w:w="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4" w14:textId="77777777" w:rsidR="00C1548D" w:rsidRDefault="009B1B4B">
            <w:pPr>
              <w:spacing w:line="250" w:lineRule="auto"/>
            </w:pPr>
            <w:r>
              <w:rPr>
                <w:sz w:val="18"/>
                <w:szCs w:val="18"/>
              </w:rPr>
              <w:t>Jobwechsel</w:t>
            </w:r>
          </w:p>
        </w:tc>
        <w:tc>
          <w:tcPr>
            <w:tcW w:w="2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5" w14:textId="77777777" w:rsidR="00C1548D" w:rsidRDefault="009B1B4B">
            <w:pPr>
              <w:spacing w:line="250" w:lineRule="auto"/>
            </w:pPr>
            <w:r>
              <w:rPr>
                <w:sz w:val="18"/>
                <w:szCs w:val="18"/>
              </w:rPr>
              <w:t>Ohne neue Lotterie (Portabilität), aber mit neuer Petition des neuen Arbeitgebers</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6" w14:textId="77777777" w:rsidR="00C1548D" w:rsidRDefault="009B1B4B">
            <w:pPr>
              <w:spacing w:line="250" w:lineRule="auto"/>
            </w:pPr>
            <w:r>
              <w:rPr>
                <w:sz w:val="18"/>
                <w:szCs w:val="18"/>
              </w:rPr>
              <w:t>Frei, kein Antrag bei der Behörde</w:t>
            </w:r>
          </w:p>
        </w:tc>
      </w:tr>
      <w:tr w:rsidR="00C1548D" w14:paraId="70A4CA3B" w14:textId="77777777">
        <w:tblPrEx>
          <w:tblCellMar>
            <w:top w:w="0" w:type="dxa"/>
            <w:bottom w:w="0" w:type="dxa"/>
          </w:tblCellMar>
        </w:tblPrEx>
        <w:trPr>
          <w:cantSplit/>
        </w:trPr>
        <w:tc>
          <w:tcPr>
            <w:tcW w:w="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8" w14:textId="77777777" w:rsidR="00C1548D" w:rsidRDefault="009B1B4B">
            <w:pPr>
              <w:spacing w:line="250" w:lineRule="auto"/>
            </w:pPr>
            <w:r>
              <w:rPr>
                <w:sz w:val="18"/>
                <w:szCs w:val="18"/>
              </w:rPr>
              <w:t>Nebenjob, Selbständigkeit</w:t>
            </w:r>
          </w:p>
        </w:tc>
        <w:tc>
          <w:tcPr>
            <w:tcW w:w="2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9" w14:textId="77777777" w:rsidR="00C1548D" w:rsidRDefault="009B1B4B">
            <w:pPr>
              <w:spacing w:line="250" w:lineRule="auto"/>
            </w:pPr>
            <w:r>
              <w:rPr>
                <w:sz w:val="18"/>
                <w:szCs w:val="18"/>
              </w:rPr>
              <w:t>Nur mit zweiter Petition eines zweiten Arbeitgebers; freiberuflich nicht möglich</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A" w14:textId="77777777" w:rsidR="00C1548D" w:rsidRDefault="009B1B4B">
            <w:pPr>
              <w:spacing w:line="250" w:lineRule="auto"/>
            </w:pPr>
            <w:r>
              <w:rPr>
                <w:sz w:val="18"/>
                <w:szCs w:val="18"/>
              </w:rPr>
              <w:t>Erlaubt, auch Firmengründung</w:t>
            </w:r>
          </w:p>
        </w:tc>
      </w:tr>
      <w:tr w:rsidR="00C1548D" w14:paraId="70A4CA3F" w14:textId="77777777">
        <w:tblPrEx>
          <w:tblCellMar>
            <w:top w:w="0" w:type="dxa"/>
            <w:bottom w:w="0" w:type="dxa"/>
          </w:tblCellMar>
        </w:tblPrEx>
        <w:trPr>
          <w:cantSplit/>
        </w:trPr>
        <w:tc>
          <w:tcPr>
            <w:tcW w:w="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C" w14:textId="77777777" w:rsidR="00C1548D" w:rsidRDefault="009B1B4B">
            <w:pPr>
              <w:spacing w:line="250" w:lineRule="auto"/>
            </w:pPr>
            <w:r>
              <w:rPr>
                <w:sz w:val="18"/>
                <w:szCs w:val="18"/>
              </w:rPr>
              <w:t>Jobverlust</w:t>
            </w:r>
          </w:p>
        </w:tc>
        <w:tc>
          <w:tcPr>
            <w:tcW w:w="2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D" w14:textId="77777777" w:rsidR="00C1548D" w:rsidRDefault="009B1B4B">
            <w:pPr>
              <w:spacing w:line="250" w:lineRule="auto"/>
            </w:pPr>
            <w:r>
              <w:rPr>
                <w:sz w:val="18"/>
                <w:szCs w:val="18"/>
              </w:rPr>
              <w:t>Bis 60 Tage, dann Ausreise oder neuer Status (Wegfall vorgeschlagen)</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3E" w14:textId="77777777" w:rsidR="00C1548D" w:rsidRDefault="009B1B4B">
            <w:pPr>
              <w:spacing w:line="250" w:lineRule="auto"/>
            </w:pPr>
            <w:r>
              <w:rPr>
                <w:sz w:val="18"/>
                <w:szCs w:val="18"/>
              </w:rPr>
              <w:t>Status bleibt, kein Aufenthaltsdruck</w:t>
            </w:r>
          </w:p>
        </w:tc>
      </w:tr>
      <w:tr w:rsidR="00C1548D" w14:paraId="70A4CA43" w14:textId="77777777">
        <w:tblPrEx>
          <w:tblCellMar>
            <w:top w:w="0" w:type="dxa"/>
            <w:bottom w:w="0" w:type="dxa"/>
          </w:tblCellMar>
        </w:tblPrEx>
        <w:trPr>
          <w:cantSplit/>
        </w:trPr>
        <w:tc>
          <w:tcPr>
            <w:tcW w:w="9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40" w14:textId="77777777" w:rsidR="00C1548D" w:rsidRDefault="009B1B4B">
            <w:pPr>
              <w:spacing w:line="250" w:lineRule="auto"/>
            </w:pPr>
            <w:r>
              <w:rPr>
                <w:sz w:val="18"/>
                <w:szCs w:val="18"/>
              </w:rPr>
              <w:t>Umzug im Land</w:t>
            </w:r>
          </w:p>
        </w:tc>
        <w:tc>
          <w:tcPr>
            <w:tcW w:w="2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41" w14:textId="77777777" w:rsidR="00C1548D" w:rsidRDefault="009B1B4B">
            <w:pPr>
              <w:spacing w:line="250" w:lineRule="auto"/>
            </w:pPr>
            <w:r>
              <w:rPr>
                <w:sz w:val="18"/>
                <w:szCs w:val="18"/>
              </w:rPr>
              <w:t>Anderes Beschäftigungsgebiet: geänderte Petition mit neuer Lohnbestätigung (LCA)</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42" w14:textId="77777777" w:rsidR="00C1548D" w:rsidRDefault="009B1B4B">
            <w:pPr>
              <w:spacing w:line="250" w:lineRule="auto"/>
            </w:pPr>
            <w:r>
              <w:rPr>
                <w:sz w:val="18"/>
                <w:szCs w:val="18"/>
              </w:rPr>
              <w:t>Frei; Adresse binnen 10 Tagen melden (AR-11, gilt für alle)</w:t>
            </w:r>
          </w:p>
        </w:tc>
      </w:tr>
    </w:tbl>
    <w:p w14:paraId="70A4CA44" w14:textId="77777777" w:rsidR="00C1548D" w:rsidRDefault="00C1548D">
      <w:pPr>
        <w:spacing w:line="180" w:lineRule="exact"/>
      </w:pPr>
    </w:p>
    <w:p w14:paraId="70A4CA45" w14:textId="77777777" w:rsidR="00C1548D" w:rsidRDefault="009B1B4B">
      <w:pPr>
        <w:pStyle w:val="Heading4"/>
        <w:keepNext/>
        <w:jc w:val="center"/>
      </w:pPr>
      <w:r>
        <w:rPr>
          <w:rFonts w:ascii="Amazon Ember" w:eastAsia="Amazon Ember" w:hAnsi="Amazon Ember" w:cs="Amazon Ember"/>
          <w:color w:val="0000FF"/>
          <w:sz w:val="36"/>
          <w:szCs w:val="36"/>
        </w:rPr>
        <w:t>Familie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8"/>
        <w:gridCol w:w="2686"/>
        <w:gridCol w:w="2686"/>
      </w:tblGrid>
      <w:tr w:rsidR="00C1548D" w14:paraId="70A4CA49" w14:textId="77777777">
        <w:tblPrEx>
          <w:tblCellMar>
            <w:top w:w="0" w:type="dxa"/>
            <w:bottom w:w="0" w:type="dxa"/>
          </w:tblCellMar>
        </w:tblPrEx>
        <w:trPr>
          <w:cantSplit/>
          <w:tblHeader/>
        </w:trPr>
        <w:tc>
          <w:tcPr>
            <w:tcW w:w="110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46" w14:textId="77777777" w:rsidR="00C1548D" w:rsidRDefault="009B1B4B">
            <w:pPr>
              <w:spacing w:line="250" w:lineRule="auto"/>
            </w:pPr>
            <w:r>
              <w:rPr>
                <w:b/>
                <w:bCs/>
                <w:sz w:val="18"/>
                <w:szCs w:val="18"/>
              </w:rPr>
              <w:t>Kriterium</w:t>
            </w:r>
          </w:p>
        </w:tc>
        <w:tc>
          <w:tcPr>
            <w:tcW w:w="268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47" w14:textId="77777777" w:rsidR="00C1548D" w:rsidRDefault="009B1B4B">
            <w:pPr>
              <w:spacing w:line="250" w:lineRule="auto"/>
            </w:pPr>
            <w:r>
              <w:rPr>
                <w:b/>
                <w:bCs/>
                <w:sz w:val="18"/>
                <w:szCs w:val="18"/>
              </w:rPr>
              <w:t>H-1B</w:t>
            </w:r>
          </w:p>
        </w:tc>
        <w:tc>
          <w:tcPr>
            <w:tcW w:w="268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48" w14:textId="77777777" w:rsidR="00C1548D" w:rsidRDefault="009B1B4B">
            <w:pPr>
              <w:spacing w:line="250" w:lineRule="auto"/>
            </w:pPr>
            <w:r>
              <w:rPr>
                <w:b/>
                <w:bCs/>
                <w:sz w:val="18"/>
                <w:szCs w:val="18"/>
              </w:rPr>
              <w:t>Green Card</w:t>
            </w:r>
          </w:p>
        </w:tc>
      </w:tr>
      <w:tr w:rsidR="00C1548D" w14:paraId="70A4CA4D" w14:textId="77777777">
        <w:tblPrEx>
          <w:tblCellMar>
            <w:top w:w="0" w:type="dxa"/>
            <w:bottom w:w="0" w:type="dxa"/>
          </w:tblCellMar>
        </w:tblPrEx>
        <w:trPr>
          <w:cantSplit/>
        </w:trPr>
        <w:tc>
          <w:tcPr>
            <w:tcW w:w="1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4A" w14:textId="77777777" w:rsidR="00C1548D" w:rsidRDefault="009B1B4B">
            <w:pPr>
              <w:spacing w:line="250" w:lineRule="auto"/>
            </w:pPr>
            <w:r>
              <w:rPr>
                <w:sz w:val="18"/>
                <w:szCs w:val="18"/>
              </w:rPr>
              <w:t>Arbeit des Partners</w:t>
            </w:r>
          </w:p>
        </w:tc>
        <w:tc>
          <w:tcPr>
            <w:tcW w:w="26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4B" w14:textId="77777777" w:rsidR="00C1548D" w:rsidRDefault="009B1B4B">
            <w:pPr>
              <w:spacing w:line="250" w:lineRule="auto"/>
            </w:pPr>
            <w:r>
              <w:rPr>
                <w:sz w:val="18"/>
                <w:szCs w:val="18"/>
              </w:rPr>
              <w:t>H-4-Arbeitserlaubnis erst mit genehmigter I-140 oder Verlängerung über sechs Jahre hinaus</w:t>
            </w:r>
          </w:p>
        </w:tc>
        <w:tc>
          <w:tcPr>
            <w:tcW w:w="26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4C" w14:textId="77777777" w:rsidR="00C1548D" w:rsidRDefault="009B1B4B">
            <w:pPr>
              <w:spacing w:line="250" w:lineRule="auto"/>
            </w:pPr>
            <w:r>
              <w:rPr>
                <w:sz w:val="18"/>
                <w:szCs w:val="18"/>
              </w:rPr>
              <w:t>Partner arbeitet frei; schon bei laufender I-485 Arbeitserlaubnis möglich (260 $)</w:t>
            </w:r>
          </w:p>
        </w:tc>
      </w:tr>
      <w:tr w:rsidR="00C1548D" w14:paraId="70A4CA51" w14:textId="77777777">
        <w:tblPrEx>
          <w:tblCellMar>
            <w:top w:w="0" w:type="dxa"/>
            <w:bottom w:w="0" w:type="dxa"/>
          </w:tblCellMar>
        </w:tblPrEx>
        <w:trPr>
          <w:cantSplit/>
        </w:trPr>
        <w:tc>
          <w:tcPr>
            <w:tcW w:w="1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4E" w14:textId="77777777" w:rsidR="00C1548D" w:rsidRDefault="009B1B4B">
            <w:pPr>
              <w:spacing w:line="250" w:lineRule="auto"/>
            </w:pPr>
            <w:r>
              <w:rPr>
                <w:sz w:val="18"/>
                <w:szCs w:val="18"/>
              </w:rPr>
              <w:t>Kinder und Altersgrenze</w:t>
            </w:r>
          </w:p>
        </w:tc>
        <w:tc>
          <w:tcPr>
            <w:tcW w:w="26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4F" w14:textId="77777777" w:rsidR="00C1548D" w:rsidRDefault="009B1B4B">
            <w:pPr>
              <w:spacing w:line="250" w:lineRule="auto"/>
            </w:pPr>
            <w:r>
              <w:rPr>
                <w:sz w:val="18"/>
                <w:szCs w:val="18"/>
              </w:rPr>
              <w:t>H-4 endet mit dem 21. Geburtstag, dann ist ein eigener Status nötig</w:t>
            </w:r>
          </w:p>
        </w:tc>
        <w:tc>
          <w:tcPr>
            <w:tcW w:w="26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50" w14:textId="77777777" w:rsidR="00C1548D" w:rsidRDefault="009B1B4B">
            <w:pPr>
              <w:spacing w:line="250" w:lineRule="auto"/>
            </w:pPr>
            <w:r>
              <w:rPr>
                <w:sz w:val="18"/>
                <w:szCs w:val="18"/>
              </w:rPr>
              <w:t>Unverheiratete Kinder unter 21 sind mitberechtigt; die Regel CSPA schützt oft vor dem Herausaltern</w:t>
            </w:r>
          </w:p>
        </w:tc>
      </w:tr>
      <w:tr w:rsidR="00C1548D" w14:paraId="70A4CA55" w14:textId="77777777">
        <w:tblPrEx>
          <w:tblCellMar>
            <w:top w:w="0" w:type="dxa"/>
            <w:bottom w:w="0" w:type="dxa"/>
          </w:tblCellMar>
        </w:tblPrEx>
        <w:trPr>
          <w:cantSplit/>
        </w:trPr>
        <w:tc>
          <w:tcPr>
            <w:tcW w:w="1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52" w14:textId="77777777" w:rsidR="00C1548D" w:rsidRDefault="009B1B4B">
            <w:pPr>
              <w:spacing w:line="250" w:lineRule="auto"/>
            </w:pPr>
            <w:r>
              <w:rPr>
                <w:sz w:val="18"/>
                <w:szCs w:val="18"/>
              </w:rPr>
              <w:lastRenderedPageBreak/>
              <w:t>Studium der Kinder</w:t>
            </w:r>
          </w:p>
        </w:tc>
        <w:tc>
          <w:tcPr>
            <w:tcW w:w="26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53" w14:textId="77777777" w:rsidR="00C1548D" w:rsidRDefault="009B1B4B">
            <w:pPr>
              <w:spacing w:line="250" w:lineRule="auto"/>
            </w:pPr>
            <w:r>
              <w:rPr>
                <w:sz w:val="18"/>
                <w:szCs w:val="18"/>
              </w:rPr>
              <w:t>Je nach Bundesstaat oft Tarif für Nicht-Ansässige, keine Bundesstudienhilfe</w:t>
            </w:r>
          </w:p>
        </w:tc>
        <w:tc>
          <w:tcPr>
            <w:tcW w:w="26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54" w14:textId="77777777" w:rsidR="00C1548D" w:rsidRDefault="009B1B4B">
            <w:pPr>
              <w:spacing w:line="250" w:lineRule="auto"/>
            </w:pPr>
            <w:r>
              <w:rPr>
                <w:sz w:val="18"/>
                <w:szCs w:val="18"/>
              </w:rPr>
              <w:t>Bundesstudienhilfe (FAFSA) möglich; Tarife je nach Bundesstaat</w:t>
            </w:r>
          </w:p>
        </w:tc>
      </w:tr>
    </w:tbl>
    <w:p w14:paraId="70A4CA56" w14:textId="77777777" w:rsidR="00C1548D" w:rsidRDefault="00C1548D">
      <w:pPr>
        <w:spacing w:line="180" w:lineRule="exact"/>
      </w:pPr>
    </w:p>
    <w:p w14:paraId="70A4CA57" w14:textId="77777777" w:rsidR="00C1548D" w:rsidRDefault="009B1B4B">
      <w:pPr>
        <w:pStyle w:val="Heading4"/>
        <w:keepNext/>
        <w:jc w:val="center"/>
      </w:pPr>
      <w:r>
        <w:rPr>
          <w:rFonts w:ascii="Amazon Ember" w:eastAsia="Amazon Ember" w:hAnsi="Amazon Ember" w:cs="Amazon Ember"/>
          <w:color w:val="0000FF"/>
          <w:sz w:val="36"/>
          <w:szCs w:val="36"/>
        </w:rPr>
        <w:t>Reisen, Geld und Sicherheit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765"/>
        <w:gridCol w:w="2765"/>
      </w:tblGrid>
      <w:tr w:rsidR="00C1548D" w14:paraId="70A4CA5B"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58" w14:textId="77777777" w:rsidR="00C1548D" w:rsidRDefault="009B1B4B">
            <w:pPr>
              <w:spacing w:line="250" w:lineRule="auto"/>
            </w:pPr>
            <w:r>
              <w:rPr>
                <w:b/>
                <w:bCs/>
                <w:sz w:val="18"/>
                <w:szCs w:val="18"/>
              </w:rPr>
              <w:t>Kriterium</w:t>
            </w:r>
          </w:p>
        </w:tc>
        <w:tc>
          <w:tcPr>
            <w:tcW w:w="276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59" w14:textId="77777777" w:rsidR="00C1548D" w:rsidRDefault="009B1B4B">
            <w:pPr>
              <w:spacing w:line="250" w:lineRule="auto"/>
            </w:pPr>
            <w:r>
              <w:rPr>
                <w:b/>
                <w:bCs/>
                <w:sz w:val="18"/>
                <w:szCs w:val="18"/>
              </w:rPr>
              <w:t>H-1B</w:t>
            </w:r>
          </w:p>
        </w:tc>
        <w:tc>
          <w:tcPr>
            <w:tcW w:w="276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5A" w14:textId="77777777" w:rsidR="00C1548D" w:rsidRDefault="009B1B4B">
            <w:pPr>
              <w:spacing w:line="250" w:lineRule="auto"/>
            </w:pPr>
            <w:r>
              <w:rPr>
                <w:b/>
                <w:bCs/>
                <w:sz w:val="18"/>
                <w:szCs w:val="18"/>
              </w:rPr>
              <w:t>Green Card</w:t>
            </w:r>
          </w:p>
        </w:tc>
      </w:tr>
      <w:tr w:rsidR="00C1548D" w14:paraId="70A4CA5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5C" w14:textId="77777777" w:rsidR="00C1548D" w:rsidRDefault="009B1B4B">
            <w:pPr>
              <w:spacing w:line="250" w:lineRule="auto"/>
            </w:pPr>
            <w:r>
              <w:rPr>
                <w:sz w:val="18"/>
                <w:szCs w:val="18"/>
              </w:rPr>
              <w:t>Reisen</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5D" w14:textId="77777777" w:rsidR="00C1548D" w:rsidRDefault="009B1B4B">
            <w:pPr>
              <w:spacing w:line="250" w:lineRule="auto"/>
            </w:pPr>
            <w:r>
              <w:rPr>
                <w:sz w:val="18"/>
                <w:szCs w:val="18"/>
              </w:rPr>
              <w:t>Wiedereinreise mit gültigem Visum im Pass; ist es abgelaufen, neues Visum im Konsulat</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5E" w14:textId="77777777" w:rsidR="00C1548D" w:rsidRDefault="009B1B4B">
            <w:pPr>
              <w:spacing w:line="250" w:lineRule="auto"/>
            </w:pPr>
            <w:r>
              <w:rPr>
                <w:sz w:val="18"/>
                <w:szCs w:val="18"/>
              </w:rPr>
              <w:t>Wiedereinreise mit Green Card und Reisepass, kein Konsulat</w:t>
            </w:r>
          </w:p>
        </w:tc>
      </w:tr>
      <w:tr w:rsidR="00C1548D" w14:paraId="70A4CA6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0" w14:textId="77777777" w:rsidR="00C1548D" w:rsidRDefault="009B1B4B">
            <w:pPr>
              <w:spacing w:line="250" w:lineRule="auto"/>
            </w:pPr>
            <w:r>
              <w:rPr>
                <w:sz w:val="18"/>
                <w:szCs w:val="18"/>
              </w:rPr>
              <w:t>Lange Auslandszeit</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1" w14:textId="77777777" w:rsidR="00C1548D" w:rsidRDefault="009B1B4B">
            <w:pPr>
              <w:spacing w:line="250" w:lineRule="auto"/>
            </w:pPr>
            <w:r>
              <w:rPr>
                <w:sz w:val="18"/>
                <w:szCs w:val="18"/>
              </w:rPr>
              <w:t>Zeit im Ausland (über 24 Stunden) zählt nicht zu den sechs Jahren (Recapture)</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2" w14:textId="77777777" w:rsidR="00C1548D" w:rsidRDefault="009B1B4B">
            <w:pPr>
              <w:spacing w:line="250" w:lineRule="auto"/>
            </w:pPr>
            <w:r>
              <w:rPr>
                <w:sz w:val="18"/>
                <w:szCs w:val="18"/>
              </w:rPr>
              <w:t>Über 180 Tage: Prüfung durch den Grenzschutz; ab einem Jahr ohne Reentry Permit gilt die Karte nicht mehr als Einreisedokument</w:t>
            </w:r>
          </w:p>
        </w:tc>
      </w:tr>
      <w:tr w:rsidR="00C1548D" w14:paraId="70A4CA6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4" w14:textId="77777777" w:rsidR="00C1548D" w:rsidRDefault="009B1B4B">
            <w:pPr>
              <w:spacing w:line="250" w:lineRule="auto"/>
            </w:pPr>
            <w:r>
              <w:rPr>
                <w:sz w:val="18"/>
                <w:szCs w:val="18"/>
              </w:rPr>
              <w:t>Steuern</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5" w14:textId="77777777" w:rsidR="00C1548D" w:rsidRDefault="009B1B4B">
            <w:pPr>
              <w:spacing w:line="250" w:lineRule="auto"/>
            </w:pPr>
            <w:r>
              <w:rPr>
                <w:sz w:val="18"/>
                <w:szCs w:val="18"/>
              </w:rPr>
              <w:t>In der Regel steuerlich ansässig; die Ansässigkeit endet mit dem Wegzug</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6" w14:textId="77777777" w:rsidR="00C1548D" w:rsidRDefault="009B1B4B">
            <w:pPr>
              <w:spacing w:line="250" w:lineRule="auto"/>
            </w:pPr>
            <w:r>
              <w:rPr>
                <w:sz w:val="18"/>
                <w:szCs w:val="18"/>
              </w:rPr>
              <w:t>Weltweit steuerpflichtig bis zur formellen Aufgabe; ab 8 von 15 Jahren droht die Exit Tax</w:t>
            </w:r>
          </w:p>
        </w:tc>
      </w:tr>
      <w:tr w:rsidR="00C1548D" w14:paraId="70A4CA6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8" w14:textId="77777777" w:rsidR="00C1548D" w:rsidRDefault="009B1B4B">
            <w:pPr>
              <w:spacing w:line="250" w:lineRule="auto"/>
            </w:pPr>
            <w:r>
              <w:rPr>
                <w:sz w:val="18"/>
                <w:szCs w:val="18"/>
              </w:rPr>
              <w:t>Hypothek</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9" w14:textId="77777777" w:rsidR="00C1548D" w:rsidRDefault="009B1B4B">
            <w:pPr>
              <w:spacing w:line="250" w:lineRule="auto"/>
            </w:pPr>
            <w:r>
              <w:rPr>
                <w:sz w:val="18"/>
                <w:szCs w:val="18"/>
              </w:rPr>
              <w:t>Konformkredit möglich, oft mit Mindest-Restlaufzeit des Visums; FHA seit 25. Mai 2025 ausgeschlossen</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A" w14:textId="5C3967C3" w:rsidR="00C1548D" w:rsidRDefault="009B1B4B">
            <w:pPr>
              <w:spacing w:line="250" w:lineRule="auto"/>
            </w:pPr>
            <w:r>
              <w:rPr>
                <w:sz w:val="18"/>
                <w:szCs w:val="18"/>
              </w:rPr>
              <w:t>Zugang wie US-Bürger, auch FHA mit kleiner Anzahlung (Kapitel </w:t>
            </w:r>
            <w:hyperlink w:anchor="k14" w:history="1">
              <w:r>
                <w:rPr>
                  <w:sz w:val="18"/>
                  <w:szCs w:val="18"/>
                </w:rPr>
                <w:t>14</w:t>
              </w:r>
            </w:hyperlink>
            <w:r>
              <w:rPr>
                <w:sz w:val="18"/>
                <w:szCs w:val="18"/>
              </w:rPr>
              <w:t>)</w:t>
            </w:r>
          </w:p>
        </w:tc>
      </w:tr>
      <w:tr w:rsidR="00C1548D" w14:paraId="70A4CA6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C" w14:textId="77777777" w:rsidR="00C1548D" w:rsidRDefault="009B1B4B">
            <w:pPr>
              <w:spacing w:line="250" w:lineRule="auto"/>
            </w:pPr>
            <w:r>
              <w:rPr>
                <w:sz w:val="18"/>
                <w:szCs w:val="18"/>
              </w:rPr>
              <w:t>Krankenversicherung</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D" w14:textId="77777777" w:rsidR="00C1548D" w:rsidRDefault="009B1B4B">
            <w:pPr>
              <w:spacing w:line="250" w:lineRule="auto"/>
            </w:pPr>
            <w:r>
              <w:rPr>
                <w:sz w:val="18"/>
                <w:szCs w:val="18"/>
              </w:rPr>
              <w:t>Meist Arbeitgeberplan; ab 2027 keine Marktplatz-Zuschüsse</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6E" w14:textId="5DF5AE53" w:rsidR="00C1548D" w:rsidRDefault="009B1B4B">
            <w:pPr>
              <w:spacing w:line="250" w:lineRule="auto"/>
            </w:pPr>
            <w:r>
              <w:rPr>
                <w:sz w:val="18"/>
                <w:szCs w:val="18"/>
              </w:rPr>
              <w:t>Marktplatz-Zuschüsse je nach Einkommen möglich (Kapitel </w:t>
            </w:r>
            <w:hyperlink w:anchor="k26" w:history="1">
              <w:r>
                <w:rPr>
                  <w:sz w:val="18"/>
                  <w:szCs w:val="18"/>
                </w:rPr>
                <w:t>26</w:t>
              </w:r>
            </w:hyperlink>
            <w:r>
              <w:rPr>
                <w:sz w:val="18"/>
                <w:szCs w:val="18"/>
              </w:rPr>
              <w:t>)</w:t>
            </w:r>
          </w:p>
        </w:tc>
      </w:tr>
      <w:tr w:rsidR="00C1548D" w14:paraId="70A4CA7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0" w14:textId="77777777" w:rsidR="00C1548D" w:rsidRDefault="009B1B4B">
            <w:pPr>
              <w:spacing w:line="250" w:lineRule="auto"/>
            </w:pPr>
            <w:r>
              <w:rPr>
                <w:sz w:val="18"/>
                <w:szCs w:val="18"/>
              </w:rPr>
              <w:t>Arbeitslosengeld</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1" w14:textId="77777777" w:rsidR="00C1548D" w:rsidRDefault="009B1B4B">
            <w:pPr>
              <w:spacing w:line="250" w:lineRule="auto"/>
            </w:pPr>
            <w:r>
              <w:rPr>
                <w:sz w:val="18"/>
                <w:szCs w:val="18"/>
              </w:rPr>
              <w:t>Anspruch in der Praxis uneinheitlich, nicht einplanen</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2" w14:textId="77777777" w:rsidR="00C1548D" w:rsidRDefault="009B1B4B">
            <w:pPr>
              <w:spacing w:line="250" w:lineRule="auto"/>
            </w:pPr>
            <w:r>
              <w:rPr>
                <w:sz w:val="18"/>
                <w:szCs w:val="18"/>
              </w:rPr>
              <w:t>Regeln des Bundesstaats wie für andere Beschäftigte</w:t>
            </w:r>
          </w:p>
        </w:tc>
      </w:tr>
      <w:tr w:rsidR="00C1548D" w14:paraId="70A4CA7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4" w14:textId="77777777" w:rsidR="00C1548D" w:rsidRDefault="009B1B4B">
            <w:pPr>
              <w:spacing w:line="250" w:lineRule="auto"/>
            </w:pPr>
            <w:r>
              <w:rPr>
                <w:sz w:val="18"/>
                <w:szCs w:val="18"/>
              </w:rPr>
              <w:t>Kosten</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5" w14:textId="77777777" w:rsidR="00C1548D" w:rsidRDefault="009B1B4B">
            <w:pPr>
              <w:spacing w:line="250" w:lineRule="auto"/>
            </w:pPr>
            <w:r>
              <w:rPr>
                <w:sz w:val="18"/>
                <w:szCs w:val="18"/>
              </w:rPr>
              <w:t>Arbeitgeber zahlt Behördengebühren (Großbetrieb ca. 3.380 $); du meist Konsulat und Familienanträge</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6" w14:textId="77777777" w:rsidR="00C1548D" w:rsidRDefault="009B1B4B">
            <w:pPr>
              <w:spacing w:line="250" w:lineRule="auto"/>
            </w:pPr>
            <w:r>
              <w:rPr>
                <w:sz w:val="18"/>
                <w:szCs w:val="18"/>
              </w:rPr>
              <w:t>PERM und I-140 zahlt der Arbeitgeber; die I-485 meist du: 1.440 $ je Erwachsenem, 950 $ je Kind unter 14 mit Elternteil (Papier)</w:t>
            </w:r>
          </w:p>
        </w:tc>
      </w:tr>
      <w:tr w:rsidR="00C1548D" w14:paraId="70A4CA7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8" w14:textId="77777777" w:rsidR="00C1548D" w:rsidRDefault="009B1B4B">
            <w:pPr>
              <w:spacing w:line="250" w:lineRule="auto"/>
            </w:pPr>
            <w:r>
              <w:rPr>
                <w:sz w:val="18"/>
                <w:szCs w:val="18"/>
              </w:rPr>
              <w:t>Einbürgerung, Wahlrecht</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9" w14:textId="77777777" w:rsidR="00C1548D" w:rsidRDefault="009B1B4B">
            <w:pPr>
              <w:spacing w:line="250" w:lineRule="auto"/>
            </w:pPr>
            <w:r>
              <w:rPr>
                <w:sz w:val="18"/>
                <w:szCs w:val="18"/>
              </w:rPr>
              <w:t>Kein Weg zur Staatsbürgerschaft, kein Wahlrecht</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A" w14:textId="320C117A" w:rsidR="00C1548D" w:rsidRDefault="009B1B4B">
            <w:pPr>
              <w:spacing w:line="250" w:lineRule="auto"/>
            </w:pPr>
            <w:r>
              <w:rPr>
                <w:sz w:val="18"/>
                <w:szCs w:val="18"/>
              </w:rPr>
              <w:t>Einbürgerung frühestens nach 5 Jahren (</w:t>
            </w:r>
            <w:r>
              <w:rPr>
                <w:sz w:val="18"/>
                <w:szCs w:val="18"/>
              </w:rPr>
              <w:t>Kapitel </w:t>
            </w:r>
            <w:hyperlink w:anchor="k41" w:history="1">
              <w:r>
                <w:rPr>
                  <w:sz w:val="18"/>
                  <w:szCs w:val="18"/>
                </w:rPr>
                <w:t>41</w:t>
              </w:r>
            </w:hyperlink>
            <w:r>
              <w:rPr>
                <w:sz w:val="18"/>
                <w:szCs w:val="18"/>
              </w:rPr>
              <w:t>); Wahlrecht erst als Staatsbürger</w:t>
            </w:r>
          </w:p>
        </w:tc>
      </w:tr>
      <w:tr w:rsidR="00C1548D" w14:paraId="70A4CA7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C" w14:textId="77777777" w:rsidR="00C1548D" w:rsidRDefault="009B1B4B">
            <w:pPr>
              <w:spacing w:line="250" w:lineRule="auto"/>
            </w:pPr>
            <w:r>
              <w:rPr>
                <w:sz w:val="18"/>
                <w:szCs w:val="18"/>
              </w:rPr>
              <w:t>Regeländerungen</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D" w14:textId="77777777" w:rsidR="00C1548D" w:rsidRDefault="009B1B4B">
            <w:pPr>
              <w:spacing w:line="250" w:lineRule="auto"/>
            </w:pPr>
            <w:r>
              <w:rPr>
                <w:sz w:val="18"/>
                <w:szCs w:val="18"/>
              </w:rPr>
              <w:t>Stark betroffen: Lotterie, Gebühren, Lohnstufen, 60-Tage-Frist</w:t>
            </w:r>
          </w:p>
        </w:tc>
        <w:tc>
          <w:tcPr>
            <w:tcW w:w="2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7E" w14:textId="77777777" w:rsidR="00C1548D" w:rsidRDefault="009B1B4B">
            <w:pPr>
              <w:spacing w:line="250" w:lineRule="auto"/>
            </w:pPr>
            <w:r>
              <w:rPr>
                <w:sz w:val="18"/>
                <w:szCs w:val="18"/>
              </w:rPr>
              <w:t>Erteilte Karte stabiler; im Verfahren Risiko durch Stichtage, Prüfregeln, Gebühren</w:t>
            </w:r>
          </w:p>
        </w:tc>
      </w:tr>
    </w:tbl>
    <w:p w14:paraId="70A4CA80"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A83"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A81" w14:textId="77777777" w:rsidR="00C1548D" w:rsidRDefault="009B1B4B">
            <w:pPr>
              <w:keepNext/>
              <w:spacing w:after="70" w:line="240" w:lineRule="auto"/>
            </w:pPr>
            <w:r>
              <w:rPr>
                <w:b/>
                <w:bCs/>
                <w:color w:val="8A6212"/>
                <w:spacing w:val="24"/>
                <w:sz w:val="16"/>
                <w:szCs w:val="16"/>
              </w:rPr>
              <w:t>MERKE</w:t>
            </w:r>
          </w:p>
          <w:p w14:paraId="70A4CA82" w14:textId="77777777" w:rsidR="00C1548D" w:rsidRDefault="009B1B4B">
            <w:pPr>
              <w:spacing w:after="80" w:line="264" w:lineRule="auto"/>
            </w:pPr>
            <w:r>
              <w:rPr>
                <w:sz w:val="20"/>
                <w:szCs w:val="20"/>
              </w:rPr>
              <w:t>Die Green Card bringt dir nicht mehr Gehalt, sondern Verhandlungsmacht. Wer nicht mehr am Sponsor hängt, kann wechseln, pausieren oder gehen, ohne dass der Aufenthalt daran zerbricht.</w:t>
            </w:r>
          </w:p>
        </w:tc>
      </w:tr>
    </w:tbl>
    <w:p w14:paraId="70A4CA84" w14:textId="77777777" w:rsidR="00C1548D" w:rsidRDefault="00C1548D">
      <w:pPr>
        <w:spacing w:line="220" w:lineRule="exact"/>
      </w:pPr>
    </w:p>
    <w:p w14:paraId="70A4CA85" w14:textId="77777777" w:rsidR="00C1548D" w:rsidRDefault="009B1B4B">
      <w:pPr>
        <w:pStyle w:val="Heading3"/>
        <w:keepNext/>
        <w:jc w:val="center"/>
      </w:pPr>
      <w:r>
        <w:rPr>
          <w:rFonts w:ascii="Amazon Ember" w:eastAsia="Amazon Ember" w:hAnsi="Amazon Ember" w:cs="Amazon Ember"/>
          <w:color w:val="0000FF"/>
          <w:sz w:val="36"/>
          <w:szCs w:val="36"/>
        </w:rPr>
        <w:t>Der klassische Weg: vom H-1B zur Green Card</w:t>
      </w:r>
    </w:p>
    <w:p w14:paraId="70A4CA86" w14:textId="730DDC42" w:rsidR="00C1548D" w:rsidRDefault="009B1B4B">
      <w:pPr>
        <w:spacing w:after="140"/>
      </w:pPr>
      <w:r>
        <w:t>Die meisten, die mit dem Arbeitgeber einreisen und bleiben, gehen denselben Weg: H-1B (oder L-1, Kapitel </w:t>
      </w:r>
      <w:hyperlink w:anchor="k9" w:history="1">
        <w:r>
          <w:t>9</w:t>
        </w:r>
      </w:hyperlink>
      <w:r>
        <w:t>) und parallel drei Verfahrensschritte – das Arbeitsministerium (DOL) prüft, ob US-Arbeitskräfte fehlen, die Einwanderungsbehörde USCIS entscheidet über die Petition des Arbeitgebers (I-140) und deinen Antrag auf Statusanpassung (I-485). Die Zeitleiste zeigt einen typischen Ablauf mit Richtwerten (Stand September 2026); die Gesamtdauer ist eine Schätzung, keine Zusage.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36"/>
        <w:gridCol w:w="2923"/>
        <w:gridCol w:w="1471"/>
        <w:gridCol w:w="950"/>
      </w:tblGrid>
      <w:tr w:rsidR="00C1548D" w14:paraId="70A4CA8B" w14:textId="77777777">
        <w:tblPrEx>
          <w:tblCellMar>
            <w:top w:w="0" w:type="dxa"/>
            <w:bottom w:w="0" w:type="dxa"/>
          </w:tblCellMar>
        </w:tblPrEx>
        <w:trPr>
          <w:cantSplit/>
          <w:tblHeader/>
        </w:trPr>
        <w:tc>
          <w:tcPr>
            <w:tcW w:w="113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87" w14:textId="77777777" w:rsidR="00C1548D" w:rsidRDefault="009B1B4B">
            <w:pPr>
              <w:spacing w:line="250" w:lineRule="auto"/>
            </w:pPr>
            <w:r>
              <w:rPr>
                <w:b/>
                <w:bCs/>
                <w:sz w:val="18"/>
                <w:szCs w:val="18"/>
              </w:rPr>
              <w:t>Schritt</w:t>
            </w:r>
          </w:p>
        </w:tc>
        <w:tc>
          <w:tcPr>
            <w:tcW w:w="292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88" w14:textId="77777777" w:rsidR="00C1548D" w:rsidRDefault="009B1B4B">
            <w:pPr>
              <w:spacing w:line="250" w:lineRule="auto"/>
            </w:pPr>
            <w:r>
              <w:rPr>
                <w:b/>
                <w:bCs/>
                <w:sz w:val="18"/>
                <w:szCs w:val="18"/>
              </w:rPr>
              <w:t>Was passiert</w:t>
            </w:r>
          </w:p>
        </w:tc>
        <w:tc>
          <w:tcPr>
            <w:tcW w:w="147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89" w14:textId="77777777" w:rsidR="00C1548D" w:rsidRDefault="009B1B4B">
            <w:pPr>
              <w:spacing w:line="250" w:lineRule="auto"/>
            </w:pPr>
            <w:r>
              <w:rPr>
                <w:b/>
                <w:bCs/>
                <w:sz w:val="18"/>
                <w:szCs w:val="18"/>
              </w:rPr>
              <w:t>Dauer (ca.)</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8A" w14:textId="77777777" w:rsidR="00C1548D" w:rsidRDefault="009B1B4B">
            <w:pPr>
              <w:spacing w:line="250" w:lineRule="auto"/>
            </w:pPr>
            <w:r>
              <w:rPr>
                <w:b/>
                <w:bCs/>
                <w:sz w:val="18"/>
                <w:szCs w:val="18"/>
              </w:rPr>
              <w:t>Zahlt</w:t>
            </w:r>
          </w:p>
        </w:tc>
      </w:tr>
      <w:tr w:rsidR="00C1548D" w14:paraId="70A4CA90" w14:textId="77777777">
        <w:tblPrEx>
          <w:tblCellMar>
            <w:top w:w="0" w:type="dxa"/>
            <w:bottom w:w="0" w:type="dxa"/>
          </w:tblCellMar>
        </w:tblPrEx>
        <w:trPr>
          <w:cantSplit/>
        </w:trPr>
        <w:tc>
          <w:tcPr>
            <w:tcW w:w="11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8C" w14:textId="77777777" w:rsidR="00C1548D" w:rsidRDefault="009B1B4B">
            <w:pPr>
              <w:spacing w:line="250" w:lineRule="auto"/>
            </w:pPr>
            <w:r>
              <w:rPr>
                <w:sz w:val="18"/>
                <w:szCs w:val="18"/>
              </w:rPr>
              <w:t>Zusage im Vertrag</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8D" w14:textId="77777777" w:rsidR="00C1548D" w:rsidRDefault="009B1B4B">
            <w:pPr>
              <w:spacing w:line="250" w:lineRule="auto"/>
            </w:pPr>
            <w:r>
              <w:rPr>
                <w:sz w:val="18"/>
                <w:szCs w:val="18"/>
              </w:rPr>
              <w:t>Termin für den Start des Verfahrens festhalten</w:t>
            </w:r>
          </w:p>
        </w:tc>
        <w:tc>
          <w:tcPr>
            <w:tcW w:w="14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8E" w14:textId="77777777" w:rsidR="00C1548D" w:rsidRDefault="009B1B4B">
            <w:pPr>
              <w:spacing w:line="250" w:lineRule="auto"/>
            </w:pPr>
            <w:r>
              <w:rPr>
                <w:sz w:val="18"/>
                <w:szCs w:val="18"/>
              </w:rPr>
              <w:t>vor der Unterschrift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8F" w14:textId="77777777" w:rsidR="00C1548D" w:rsidRDefault="009B1B4B">
            <w:pPr>
              <w:spacing w:line="250" w:lineRule="auto"/>
            </w:pPr>
            <w:r>
              <w:rPr>
                <w:sz w:val="18"/>
                <w:szCs w:val="18"/>
              </w:rPr>
              <w:t>–</w:t>
            </w:r>
          </w:p>
        </w:tc>
      </w:tr>
      <w:tr w:rsidR="00C1548D" w14:paraId="70A4CA95" w14:textId="77777777">
        <w:tblPrEx>
          <w:tblCellMar>
            <w:top w:w="0" w:type="dxa"/>
            <w:bottom w:w="0" w:type="dxa"/>
          </w:tblCellMar>
        </w:tblPrEx>
        <w:trPr>
          <w:cantSplit/>
        </w:trPr>
        <w:tc>
          <w:tcPr>
            <w:tcW w:w="11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1" w14:textId="77777777" w:rsidR="00C1548D" w:rsidRDefault="009B1B4B">
            <w:pPr>
              <w:spacing w:line="250" w:lineRule="auto"/>
            </w:pPr>
            <w:r>
              <w:rPr>
                <w:sz w:val="18"/>
                <w:szCs w:val="18"/>
              </w:rPr>
              <w:t>H-1B-Start</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2" w14:textId="0E19FFFF" w:rsidR="00C1548D" w:rsidRDefault="009B1B4B">
            <w:pPr>
              <w:spacing w:line="250" w:lineRule="auto"/>
            </w:pPr>
            <w:r>
              <w:rPr>
                <w:sz w:val="18"/>
                <w:szCs w:val="18"/>
              </w:rPr>
              <w:t>Registrierung im März, Beginn frühestens 1. Oktober (Kapitel </w:t>
            </w:r>
            <w:hyperlink w:anchor="k5" w:history="1">
              <w:r>
                <w:rPr>
                  <w:sz w:val="18"/>
                  <w:szCs w:val="18"/>
                </w:rPr>
                <w:t>5</w:t>
              </w:r>
            </w:hyperlink>
            <w:r>
              <w:rPr>
                <w:sz w:val="18"/>
                <w:szCs w:val="18"/>
              </w:rPr>
              <w:t>)</w:t>
            </w:r>
          </w:p>
        </w:tc>
        <w:tc>
          <w:tcPr>
            <w:tcW w:w="14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3" w14:textId="77777777" w:rsidR="00C1548D" w:rsidRDefault="009B1B4B">
            <w:pPr>
              <w:spacing w:line="250" w:lineRule="auto"/>
            </w:pPr>
            <w:r>
              <w:rPr>
                <w:sz w:val="18"/>
                <w:szCs w:val="18"/>
              </w:rPr>
              <w:t>Monat 0</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4" w14:textId="77777777" w:rsidR="00C1548D" w:rsidRDefault="009B1B4B">
            <w:pPr>
              <w:spacing w:line="250" w:lineRule="auto"/>
            </w:pPr>
            <w:r>
              <w:rPr>
                <w:sz w:val="18"/>
                <w:szCs w:val="18"/>
              </w:rPr>
              <w:t>Arbeitgeber</w:t>
            </w:r>
          </w:p>
        </w:tc>
      </w:tr>
      <w:tr w:rsidR="00C1548D" w14:paraId="70A4CA9A" w14:textId="77777777">
        <w:tblPrEx>
          <w:tblCellMar>
            <w:top w:w="0" w:type="dxa"/>
            <w:bottom w:w="0" w:type="dxa"/>
          </w:tblCellMar>
        </w:tblPrEx>
        <w:trPr>
          <w:cantSplit/>
        </w:trPr>
        <w:tc>
          <w:tcPr>
            <w:tcW w:w="11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6" w14:textId="77777777" w:rsidR="00C1548D" w:rsidRDefault="009B1B4B">
            <w:pPr>
              <w:spacing w:line="250" w:lineRule="auto"/>
            </w:pPr>
            <w:r>
              <w:rPr>
                <w:sz w:val="18"/>
                <w:szCs w:val="18"/>
              </w:rPr>
              <w:t>Lohnfeststellung (PWD)</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7" w14:textId="77777777" w:rsidR="00C1548D" w:rsidRDefault="009B1B4B">
            <w:pPr>
              <w:spacing w:line="250" w:lineRule="auto"/>
            </w:pPr>
            <w:r>
              <w:rPr>
                <w:sz w:val="18"/>
                <w:szCs w:val="18"/>
              </w:rPr>
              <w:t>Das DOL legt den ortsüblichen Mindestlohn der Stelle fest (Prevailing Wage Determination, Form ETA-9141)</w:t>
            </w:r>
          </w:p>
        </w:tc>
        <w:tc>
          <w:tcPr>
            <w:tcW w:w="14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8" w14:textId="77777777" w:rsidR="00C1548D" w:rsidRDefault="009B1B4B">
            <w:pPr>
              <w:spacing w:line="250" w:lineRule="auto"/>
            </w:pPr>
            <w:r>
              <w:rPr>
                <w:sz w:val="18"/>
                <w:szCs w:val="18"/>
              </w:rPr>
              <w:t>3,5–4 Monate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9" w14:textId="77777777" w:rsidR="00C1548D" w:rsidRDefault="009B1B4B">
            <w:pPr>
              <w:spacing w:line="250" w:lineRule="auto"/>
            </w:pPr>
            <w:r>
              <w:rPr>
                <w:sz w:val="18"/>
                <w:szCs w:val="18"/>
              </w:rPr>
              <w:t>Arbeitgeber</w:t>
            </w:r>
          </w:p>
        </w:tc>
      </w:tr>
      <w:tr w:rsidR="00C1548D" w14:paraId="70A4CA9F" w14:textId="77777777">
        <w:tblPrEx>
          <w:tblCellMar>
            <w:top w:w="0" w:type="dxa"/>
            <w:bottom w:w="0" w:type="dxa"/>
          </w:tblCellMar>
        </w:tblPrEx>
        <w:trPr>
          <w:cantSplit/>
        </w:trPr>
        <w:tc>
          <w:tcPr>
            <w:tcW w:w="11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B" w14:textId="77777777" w:rsidR="00C1548D" w:rsidRDefault="009B1B4B">
            <w:pPr>
              <w:spacing w:line="250" w:lineRule="auto"/>
            </w:pPr>
            <w:r>
              <w:rPr>
                <w:sz w:val="18"/>
                <w:szCs w:val="18"/>
              </w:rPr>
              <w:t>Anzeigenphase</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C" w14:textId="77777777" w:rsidR="00C1548D" w:rsidRDefault="009B1B4B">
            <w:pPr>
              <w:spacing w:line="250" w:lineRule="auto"/>
            </w:pPr>
            <w:r>
              <w:rPr>
                <w:sz w:val="18"/>
                <w:szCs w:val="18"/>
              </w:rPr>
              <w:t>Arbeitgeber sucht öffentlich US-Bewerber, danach 30 Tage Ruhezeit</w:t>
            </w:r>
          </w:p>
        </w:tc>
        <w:tc>
          <w:tcPr>
            <w:tcW w:w="14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D" w14:textId="77777777" w:rsidR="00C1548D" w:rsidRDefault="009B1B4B">
            <w:pPr>
              <w:spacing w:line="250" w:lineRule="auto"/>
            </w:pPr>
            <w:r>
              <w:rPr>
                <w:sz w:val="18"/>
                <w:szCs w:val="18"/>
              </w:rPr>
              <w:t>2–3 Monate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9E" w14:textId="77777777" w:rsidR="00C1548D" w:rsidRDefault="009B1B4B">
            <w:pPr>
              <w:spacing w:line="250" w:lineRule="auto"/>
            </w:pPr>
            <w:r>
              <w:rPr>
                <w:sz w:val="18"/>
                <w:szCs w:val="18"/>
              </w:rPr>
              <w:t>Arbeitgeber</w:t>
            </w:r>
          </w:p>
        </w:tc>
      </w:tr>
      <w:tr w:rsidR="00C1548D" w14:paraId="70A4CAA4" w14:textId="77777777">
        <w:tblPrEx>
          <w:tblCellMar>
            <w:top w:w="0" w:type="dxa"/>
            <w:bottom w:w="0" w:type="dxa"/>
          </w:tblCellMar>
        </w:tblPrEx>
        <w:trPr>
          <w:cantSplit/>
        </w:trPr>
        <w:tc>
          <w:tcPr>
            <w:tcW w:w="11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0" w14:textId="77777777" w:rsidR="00C1548D" w:rsidRDefault="009B1B4B">
            <w:pPr>
              <w:spacing w:line="250" w:lineRule="auto"/>
            </w:pPr>
            <w:r>
              <w:rPr>
                <w:sz w:val="18"/>
                <w:szCs w:val="18"/>
              </w:rPr>
              <w:t>PERM (Form ETA-9089)</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1" w14:textId="77777777" w:rsidR="00C1548D" w:rsidRDefault="009B1B4B">
            <w:pPr>
              <w:spacing w:line="250" w:lineRule="auto"/>
            </w:pPr>
            <w:r>
              <w:rPr>
                <w:sz w:val="18"/>
                <w:szCs w:val="18"/>
              </w:rPr>
              <w:t>Einreichung beim DOL; damit entsteht das Priority Date</w:t>
            </w:r>
          </w:p>
        </w:tc>
        <w:tc>
          <w:tcPr>
            <w:tcW w:w="14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2" w14:textId="77777777" w:rsidR="00C1548D" w:rsidRDefault="009B1B4B">
            <w:pPr>
              <w:spacing w:line="250" w:lineRule="auto"/>
            </w:pPr>
            <w:r>
              <w:rPr>
                <w:sz w:val="18"/>
                <w:szCs w:val="18"/>
              </w:rPr>
              <w:t>Prüfung im Schnitt rund 11 Monate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3" w14:textId="77777777" w:rsidR="00C1548D" w:rsidRDefault="009B1B4B">
            <w:pPr>
              <w:spacing w:line="250" w:lineRule="auto"/>
            </w:pPr>
            <w:r>
              <w:rPr>
                <w:sz w:val="18"/>
                <w:szCs w:val="18"/>
              </w:rPr>
              <w:t>Arbeitgeber</w:t>
            </w:r>
          </w:p>
        </w:tc>
      </w:tr>
      <w:tr w:rsidR="00C1548D" w14:paraId="70A4CAA9" w14:textId="77777777">
        <w:tblPrEx>
          <w:tblCellMar>
            <w:top w:w="0" w:type="dxa"/>
            <w:bottom w:w="0" w:type="dxa"/>
          </w:tblCellMar>
        </w:tblPrEx>
        <w:trPr>
          <w:cantSplit/>
        </w:trPr>
        <w:tc>
          <w:tcPr>
            <w:tcW w:w="11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5" w14:textId="77777777" w:rsidR="00C1548D" w:rsidRDefault="009B1B4B">
            <w:pPr>
              <w:spacing w:line="250" w:lineRule="auto"/>
            </w:pPr>
            <w:r>
              <w:rPr>
                <w:sz w:val="18"/>
                <w:szCs w:val="18"/>
              </w:rPr>
              <w:t>I-140</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6" w14:textId="77777777" w:rsidR="00C1548D" w:rsidRDefault="009B1B4B">
            <w:pPr>
              <w:spacing w:line="250" w:lineRule="auto"/>
            </w:pPr>
            <w:r>
              <w:rPr>
                <w:sz w:val="18"/>
                <w:szCs w:val="18"/>
              </w:rPr>
              <w:t>Einwanderungspetition bei USCIS; mit Premium Processing (2.965 $) etwa 15 Werktage</w:t>
            </w:r>
          </w:p>
        </w:tc>
        <w:tc>
          <w:tcPr>
            <w:tcW w:w="14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7" w14:textId="77777777" w:rsidR="00C1548D" w:rsidRDefault="009B1B4B">
            <w:pPr>
              <w:spacing w:line="250" w:lineRule="auto"/>
            </w:pPr>
            <w:r>
              <w:rPr>
                <w:sz w:val="18"/>
                <w:szCs w:val="18"/>
              </w:rPr>
              <w:t>Wochen bis Monate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8" w14:textId="77777777" w:rsidR="00C1548D" w:rsidRDefault="009B1B4B">
            <w:pPr>
              <w:spacing w:line="250" w:lineRule="auto"/>
            </w:pPr>
            <w:r>
              <w:rPr>
                <w:sz w:val="18"/>
                <w:szCs w:val="18"/>
              </w:rPr>
              <w:t>Arbeitgeber</w:t>
            </w:r>
          </w:p>
        </w:tc>
      </w:tr>
      <w:tr w:rsidR="00C1548D" w14:paraId="70A4CAAE" w14:textId="77777777">
        <w:tblPrEx>
          <w:tblCellMar>
            <w:top w:w="0" w:type="dxa"/>
            <w:bottom w:w="0" w:type="dxa"/>
          </w:tblCellMar>
        </w:tblPrEx>
        <w:trPr>
          <w:cantSplit/>
        </w:trPr>
        <w:tc>
          <w:tcPr>
            <w:tcW w:w="11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A" w14:textId="77777777" w:rsidR="00C1548D" w:rsidRDefault="009B1B4B">
            <w:pPr>
              <w:spacing w:line="250" w:lineRule="auto"/>
            </w:pPr>
            <w:r>
              <w:rPr>
                <w:sz w:val="18"/>
                <w:szCs w:val="18"/>
              </w:rPr>
              <w:lastRenderedPageBreak/>
              <w:t>I-485</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B" w14:textId="77777777" w:rsidR="00C1548D" w:rsidRDefault="009B1B4B">
            <w:pPr>
              <w:spacing w:line="250" w:lineRule="auto"/>
            </w:pPr>
            <w:r>
              <w:rPr>
                <w:sz w:val="18"/>
                <w:szCs w:val="18"/>
              </w:rPr>
              <w:t>Antrag im Inland, bei „current“ gleichzeitig mit der I-140 möglich; Arbeitserlaubnis und Reisepapiere beantragbar</w:t>
            </w:r>
          </w:p>
        </w:tc>
        <w:tc>
          <w:tcPr>
            <w:tcW w:w="14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C" w14:textId="77777777" w:rsidR="00C1548D" w:rsidRDefault="009B1B4B">
            <w:pPr>
              <w:spacing w:line="250" w:lineRule="auto"/>
            </w:pPr>
            <w:r>
              <w:rPr>
                <w:sz w:val="18"/>
                <w:szCs w:val="18"/>
              </w:rPr>
              <w:t>8–24 Monate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D" w14:textId="77777777" w:rsidR="00C1548D" w:rsidRDefault="009B1B4B">
            <w:pPr>
              <w:spacing w:line="250" w:lineRule="auto"/>
            </w:pPr>
            <w:r>
              <w:rPr>
                <w:sz w:val="18"/>
                <w:szCs w:val="18"/>
              </w:rPr>
              <w:t>meist du</w:t>
            </w:r>
          </w:p>
        </w:tc>
      </w:tr>
      <w:tr w:rsidR="00C1548D" w14:paraId="70A4CAB3" w14:textId="77777777">
        <w:tblPrEx>
          <w:tblCellMar>
            <w:top w:w="0" w:type="dxa"/>
            <w:bottom w:w="0" w:type="dxa"/>
          </w:tblCellMar>
        </w:tblPrEx>
        <w:trPr>
          <w:cantSplit/>
        </w:trPr>
        <w:tc>
          <w:tcPr>
            <w:tcW w:w="11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AF" w14:textId="77777777" w:rsidR="00C1548D" w:rsidRDefault="009B1B4B">
            <w:pPr>
              <w:spacing w:line="250" w:lineRule="auto"/>
            </w:pPr>
            <w:r>
              <w:rPr>
                <w:sz w:val="18"/>
                <w:szCs w:val="18"/>
              </w:rPr>
              <w:t>Green Card</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B0" w14:textId="77777777" w:rsidR="00C1548D" w:rsidRDefault="009B1B4B">
            <w:pPr>
              <w:spacing w:line="250" w:lineRule="auto"/>
            </w:pPr>
            <w:r>
              <w:rPr>
                <w:sz w:val="18"/>
                <w:szCs w:val="18"/>
              </w:rPr>
              <w:t>Die Karte kommt per Post, die Familie erhält sie mit</w:t>
            </w:r>
          </w:p>
        </w:tc>
        <w:tc>
          <w:tcPr>
            <w:tcW w:w="14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B1" w14:textId="77777777" w:rsidR="00C1548D" w:rsidRDefault="009B1B4B">
            <w:pPr>
              <w:spacing w:line="250" w:lineRule="auto"/>
            </w:pPr>
            <w:r>
              <w:rPr>
                <w:sz w:val="18"/>
                <w:szCs w:val="18"/>
              </w:rPr>
              <w:t>Gesamt ca. 2,5–4,5 Jahre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B2" w14:textId="77777777" w:rsidR="00C1548D" w:rsidRDefault="009B1B4B">
            <w:pPr>
              <w:spacing w:line="250" w:lineRule="auto"/>
            </w:pPr>
            <w:r>
              <w:rPr>
                <w:sz w:val="18"/>
                <w:szCs w:val="18"/>
              </w:rPr>
              <w:t>–</w:t>
            </w:r>
          </w:p>
        </w:tc>
      </w:tr>
      <w:tr w:rsidR="00C1548D" w14:paraId="70A4CAB8" w14:textId="77777777">
        <w:tblPrEx>
          <w:tblCellMar>
            <w:top w:w="0" w:type="dxa"/>
            <w:bottom w:w="0" w:type="dxa"/>
          </w:tblCellMar>
        </w:tblPrEx>
        <w:trPr>
          <w:cantSplit/>
        </w:trPr>
        <w:tc>
          <w:tcPr>
            <w:tcW w:w="11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B4" w14:textId="77777777" w:rsidR="00C1548D" w:rsidRDefault="009B1B4B">
            <w:pPr>
              <w:spacing w:line="250" w:lineRule="auto"/>
            </w:pPr>
            <w:r>
              <w:rPr>
                <w:sz w:val="18"/>
                <w:szCs w:val="18"/>
              </w:rPr>
              <w:t>Einbürgerung (optional)</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B5" w14:textId="0ED33067" w:rsidR="00C1548D" w:rsidRDefault="009B1B4B">
            <w:pPr>
              <w:spacing w:line="250" w:lineRule="auto"/>
            </w:pPr>
            <w:r>
              <w:rPr>
                <w:sz w:val="18"/>
                <w:szCs w:val="18"/>
              </w:rPr>
              <w:t>Frühestens 5 Jahre nach der Erteilung (Kapitel </w:t>
            </w:r>
            <w:hyperlink w:anchor="k41" w:history="1">
              <w:r>
                <w:rPr>
                  <w:sz w:val="18"/>
                  <w:szCs w:val="18"/>
                </w:rPr>
                <w:t>41</w:t>
              </w:r>
            </w:hyperlink>
            <w:r>
              <w:rPr>
                <w:sz w:val="18"/>
                <w:szCs w:val="18"/>
              </w:rPr>
              <w:t>)</w:t>
            </w:r>
          </w:p>
        </w:tc>
        <w:tc>
          <w:tcPr>
            <w:tcW w:w="14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B6" w14:textId="77777777" w:rsidR="00C1548D" w:rsidRDefault="009B1B4B">
            <w:pPr>
              <w:spacing w:line="250" w:lineRule="auto"/>
            </w:pPr>
            <w:r>
              <w:rPr>
                <w:sz w:val="18"/>
                <w:szCs w:val="18"/>
              </w:rPr>
              <w:t>ab Erteilung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B7" w14:textId="77777777" w:rsidR="00C1548D" w:rsidRDefault="009B1B4B">
            <w:pPr>
              <w:spacing w:line="250" w:lineRule="auto"/>
            </w:pPr>
            <w:r>
              <w:rPr>
                <w:sz w:val="18"/>
                <w:szCs w:val="18"/>
              </w:rPr>
              <w:t>du</w:t>
            </w:r>
          </w:p>
        </w:tc>
      </w:tr>
    </w:tbl>
    <w:p w14:paraId="70A4CAB9" w14:textId="77777777" w:rsidR="00C1548D" w:rsidRDefault="00C1548D">
      <w:pPr>
        <w:spacing w:line="180" w:lineRule="exact"/>
      </w:pPr>
    </w:p>
    <w:p w14:paraId="70A4CABA" w14:textId="7F63B07B" w:rsidR="00C1548D" w:rsidRDefault="009B1B4B">
      <w:pPr>
        <w:spacing w:after="140"/>
      </w:pPr>
      <w: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history="1">
        <w:r>
          <w:t>6</w:t>
        </w:r>
      </w:hyperlink>
      <w:r>
        <w:t>).</w:t>
      </w:r>
    </w:p>
    <w:p w14:paraId="70A4CABB" w14:textId="0E1D3C79" w:rsidR="00C1548D" w:rsidRDefault="009B1B4B">
      <w:pPr>
        <w:spacing w:after="140"/>
      </w:pPr>
      <w:r>
        <w:t xml:space="preserve">Zwei Regeln des Gesetzes </w:t>
      </w:r>
      <w:r>
        <w:rPr>
          <w:i/>
          <w:iCs/>
        </w:rPr>
        <w:t>AC21</w:t>
      </w:r>
      <w:r>
        <w:t xml:space="preserve"> halten deinen H-1B über die sechs Jahre hinaus am Leben (Kapitel </w:t>
      </w:r>
      <w:hyperlink w:anchor="k5" w:history="1">
        <w:r>
          <w:t>5</w:t>
        </w:r>
      </w:hyperlink>
      <w:r>
        <w:t>): Ein-Jahres-Schritte, wenn PERM oder I-140 seit 365 Tagen anhängig ist, und Drei-Jahres-Schritte, wenn die I-140 genehmigt ist, für dich aber noch kein Visum zur Verfügung steht.</w:t>
      </w:r>
    </w:p>
    <w:p w14:paraId="70A4CABC" w14:textId="77777777" w:rsidR="00C1548D" w:rsidRDefault="009B1B4B">
      <w:pPr>
        <w:pStyle w:val="Heading4"/>
        <w:keepNext/>
        <w:jc w:val="center"/>
      </w:pPr>
      <w:r>
        <w:rPr>
          <w:rFonts w:ascii="Amazon Ember" w:eastAsia="Amazon Ember" w:hAnsi="Amazon Ember" w:cs="Amazon Ember"/>
          <w:color w:val="0000FF"/>
          <w:sz w:val="36"/>
          <w:szCs w:val="36"/>
        </w:rPr>
        <w:t>Die Lage für Deutsche (Stand 20. September 2026)</w:t>
      </w:r>
    </w:p>
    <w:p w14:paraId="70A4CABD" w14:textId="77777777" w:rsidR="00C1548D" w:rsidRDefault="009B1B4B">
      <w:pPr>
        <w:spacing w:after="140"/>
      </w:pPr>
      <w:r>
        <w:t xml:space="preserve">Für die Warteschlange zählt das Geburtsland. Deutsche gehören zur Gruppe „Rest der Welt“, nicht zu Indien oder China, wo die Wartezeiten Jahre bis Jahrzehnte betragen (Indien EB-3: Stichtag 1. Januar 2014). Das </w:t>
      </w:r>
      <w:r>
        <w:rPr>
          <w:i/>
          <w:iCs/>
        </w:rPr>
        <w:t>Visa Bulletin</w:t>
      </w:r>
      <w:r>
        <w:t>, die monatliche Stichtagsliste des State Department, nennt für September 2026 diese Stichtage (</w:t>
      </w:r>
      <w:r>
        <w:rPr>
          <w:i/>
          <w:iCs/>
        </w:rPr>
        <w:t>Final Action Dates</w:t>
      </w:r>
      <w:r>
        <w:t>) für arbeitsbasierte Anträge im Inland:</w:t>
      </w:r>
    </w:p>
    <w:p w14:paraId="70A4CABE" w14:textId="77777777" w:rsidR="00C1548D" w:rsidRDefault="009B1B4B" w:rsidP="009B1B4B">
      <w:pPr>
        <w:pStyle w:val="ListParagraph"/>
        <w:numPr>
          <w:ilvl w:val="0"/>
          <w:numId w:val="1"/>
        </w:numPr>
        <w:spacing w:after="60"/>
      </w:pPr>
      <w:r>
        <w:rPr>
          <w:b/>
          <w:bCs/>
        </w:rPr>
        <w:t>EB-1</w:t>
      </w:r>
      <w:r>
        <w:t xml:space="preserve"> (außergewöhnliche Fähigkeiten, Forschende, Konzernmanager): current, also ohne Wartezeit.</w:t>
      </w:r>
    </w:p>
    <w:p w14:paraId="70A4CABF" w14:textId="77777777" w:rsidR="00C1548D" w:rsidRDefault="009B1B4B" w:rsidP="009B1B4B">
      <w:pPr>
        <w:pStyle w:val="ListParagraph"/>
        <w:numPr>
          <w:ilvl w:val="0"/>
          <w:numId w:val="1"/>
        </w:numPr>
        <w:spacing w:after="60"/>
      </w:pPr>
      <w:r>
        <w:rPr>
          <w:b/>
          <w:bCs/>
        </w:rPr>
        <w:lastRenderedPageBreak/>
        <w:t>EB-2</w:t>
      </w:r>
      <w:r>
        <w:t xml:space="preserve"> (Master oder Bachelor plus fünf Jahre Berufserfahrung mit wachsender Verantwortung): current seit April 2026. Im Oktober 2025 lag der Stichtag noch beim 1. Dezember 2023.</w:t>
      </w:r>
    </w:p>
    <w:p w14:paraId="70A4CAC0" w14:textId="77777777" w:rsidR="00C1548D" w:rsidRDefault="009B1B4B" w:rsidP="009B1B4B">
      <w:pPr>
        <w:pStyle w:val="ListParagraph"/>
        <w:numPr>
          <w:ilvl w:val="0"/>
          <w:numId w:val="1"/>
        </w:numPr>
        <w:spacing w:after="60"/>
      </w:pPr>
      <w:r>
        <w:rPr>
          <w:b/>
          <w:bCs/>
        </w:rPr>
        <w:t>EB-3</w:t>
      </w:r>
      <w:r>
        <w:t xml:space="preserve"> (Bachelor oder Fachkräfte mit mindestens zwei Jahren Erfahrung): 1. September 2024. Nur Fälle mit früherem Priority Date kommen zum Zug, ein heute eingereichtes PERM liegt dahinter.</w:t>
      </w:r>
    </w:p>
    <w:p w14:paraId="70A4CAC1" w14:textId="77777777" w:rsidR="00C1548D" w:rsidRDefault="00C1548D">
      <w:pPr>
        <w:spacing w:line="120" w:lineRule="exact"/>
      </w:pPr>
    </w:p>
    <w:p w14:paraId="70A4CAC2" w14:textId="77777777" w:rsidR="00C1548D" w:rsidRDefault="009B1B4B">
      <w:pPr>
        <w:spacing w:after="140"/>
      </w:pPr>
      <w:r>
        <w:t>„Current“ heißt: Das Priority Date spielt keine Rolle, die I-485 kann zusammen mit der I-140 eingereicht werden (</w:t>
      </w:r>
      <w:r>
        <w:rPr>
          <w:i/>
          <w:iCs/>
        </w:rPr>
        <w:t>Concurrent Filing</w:t>
      </w:r>
      <w:r>
        <w:t>). Welche Kategorie gilt, bestimmen die Mindestanforderungen der Stelle, nicht dein Lebenslauf – frage die Kanzlei früh, ob die Stelle EB-2-fähig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AC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AC3" w14:textId="77777777" w:rsidR="00C1548D" w:rsidRDefault="009B1B4B">
            <w:pPr>
              <w:keepNext/>
              <w:spacing w:after="70" w:line="240" w:lineRule="auto"/>
            </w:pPr>
            <w:r>
              <w:rPr>
                <w:b/>
                <w:bCs/>
                <w:color w:val="9B2C2C"/>
                <w:spacing w:val="24"/>
                <w:sz w:val="16"/>
                <w:szCs w:val="16"/>
              </w:rPr>
              <w:t>ACHTUNG</w:t>
            </w:r>
          </w:p>
          <w:p w14:paraId="70A4CAC4" w14:textId="77777777" w:rsidR="00C1548D" w:rsidRDefault="009B1B4B">
            <w:pPr>
              <w:spacing w:after="80" w:line="264" w:lineRule="auto"/>
            </w:pPr>
            <w:r>
              <w:rPr>
                <w:sz w:val="20"/>
                <w:szCs w:val="20"/>
              </w:rPr>
              <w:t>„Current“ ist eine Momentaufnahme: Das Bulletin für September warnt, dass EB-2 vor Ende des Fiskaljahres zurückgestuft werden kann. Am 1. Oktober beginnt das Fiskaljahr 2027 (FY2027) mit neuen Kontingenten, die Oktober-Ausgabe lag am 20. September noch nicht vor. Das State Department führt die jüngste Beschleunigung auf gesunkene Visa-Ausstellung zurück – das kann sich umkehren. Plane nie so, als bliebe EB-2 current, und reiche die I-485 ein, sobald es möglich ist.</w:t>
            </w:r>
          </w:p>
        </w:tc>
      </w:tr>
    </w:tbl>
    <w:p w14:paraId="70A4CAC6" w14:textId="77777777" w:rsidR="00C1548D" w:rsidRDefault="00C1548D">
      <w:pPr>
        <w:spacing w:line="220" w:lineRule="exact"/>
      </w:pPr>
    </w:p>
    <w:p w14:paraId="70A4CAC7" w14:textId="77777777" w:rsidR="00C1548D" w:rsidRDefault="009B1B4B">
      <w:pPr>
        <w:pStyle w:val="Heading3"/>
        <w:keepNext/>
        <w:jc w:val="center"/>
      </w:pPr>
      <w:r>
        <w:rPr>
          <w:rFonts w:ascii="Amazon Ember" w:eastAsia="Amazon Ember" w:hAnsi="Amazon Ember" w:cs="Amazon Ember"/>
          <w:color w:val="0000FF"/>
          <w:sz w:val="36"/>
          <w:szCs w:val="36"/>
        </w:rPr>
        <w:t>Wann du startest und wie du es vertraglich absicherst</w:t>
      </w:r>
    </w:p>
    <w:p w14:paraId="70A4CAC8" w14:textId="77777777" w:rsidR="00C1548D" w:rsidRDefault="009B1B4B">
      <w:pPr>
        <w:spacing w:after="140"/>
      </w:pPr>
      <w:r>
        <w:t>Kein Arbeitgeber ist verpflichtet, ein Green-Card-Verfahren zu führen – ohne Zusage bleibt der H-1B ein Visum auf höchstens sechs Jahre. Zwei Fragen entscheiden, ob aus der Etappe ein Weg wird: wann das Verfahren beginnt und wie verbindlich die Zusage ist.</w:t>
      </w:r>
    </w:p>
    <w:p w14:paraId="70A4CAC9" w14:textId="77777777" w:rsidR="00C1548D" w:rsidRDefault="009B1B4B">
      <w:pPr>
        <w:spacing w:after="140"/>
      </w:pPr>
      <w:r>
        <w:rPr>
          <w:b/>
          <w:bCs/>
        </w:rPr>
        <w:t>Wann.</w:t>
      </w:r>
      <w:r>
        <w:t xml:space="preserve"> Das </w:t>
      </w:r>
      <w:r>
        <w:rPr>
          <w:i/>
          <w:iCs/>
        </w:rPr>
        <w:t>Priority Date</w:t>
      </w:r>
      <w:r>
        <w:t xml:space="preserve">, dein Platz in der Warteschlange, entsteht erst mit der Einreichung des PERM-Antrags, nicht mit dem Jobangebot – </w:t>
      </w:r>
      <w:r>
        <w:rPr>
          <w:i/>
          <w:iCs/>
        </w:rPr>
        <w:t>PERM</w:t>
      </w:r>
      <w:r>
        <w:t xml:space="preserve"> ist die Arbeitsmarktprüfung, bei der der </w:t>
      </w:r>
      <w:r>
        <w:lastRenderedPageBreak/>
        <w:t>Arbeitgeber nachweist, keine geeigneten US-Bewerber gefunden zu haben. Rechne rückwärts vom Ende der sechs Jahre:</w:t>
      </w:r>
    </w:p>
    <w:p w14:paraId="70A4CACA" w14:textId="77777777" w:rsidR="00C1548D" w:rsidRDefault="009B1B4B" w:rsidP="009B1B4B">
      <w:pPr>
        <w:pStyle w:val="ListParagraph"/>
        <w:numPr>
          <w:ilvl w:val="0"/>
          <w:numId w:val="12"/>
        </w:numPr>
        <w:spacing w:after="60"/>
      </w:pPr>
      <w:r>
        <w:t>Für eine Ein-Jahres-Verlängerung muss PERM oder I-140 mindestens 365 Tage anhängig sein. Die PERM-Einreichung muss also spätestens zu Beginn des sechsten Jahres liegen.</w:t>
      </w:r>
    </w:p>
    <w:p w14:paraId="70A4CACB" w14:textId="77777777" w:rsidR="00C1548D" w:rsidRDefault="009B1B4B" w:rsidP="009B1B4B">
      <w:pPr>
        <w:pStyle w:val="ListParagraph"/>
        <w:numPr>
          <w:ilvl w:val="0"/>
          <w:numId w:val="12"/>
        </w:numPr>
        <w:spacing w:after="60"/>
      </w:pPr>
      <w:r>
        <w:t>Davor liegen die Lohnfeststellung (derzeit 3,5–4 Monate) und die Anzeigenphase (2–3 Monate).</w:t>
      </w:r>
    </w:p>
    <w:p w14:paraId="70A4CACC" w14:textId="77777777" w:rsidR="00C1548D" w:rsidRDefault="009B1B4B" w:rsidP="009B1B4B">
      <w:pPr>
        <w:pStyle w:val="ListParagraph"/>
        <w:numPr>
          <w:ilvl w:val="0"/>
          <w:numId w:val="12"/>
        </w:numPr>
        <w:spacing w:after="60"/>
      </w:pPr>
      <w:r>
        <w:t>Der Startschuss muss demnach spätestens im fünften Jahr fallen (eigene Rechnung).</w:t>
      </w:r>
    </w:p>
    <w:p w14:paraId="70A4CACD" w14:textId="77777777" w:rsidR="00C1548D" w:rsidRDefault="00C1548D">
      <w:pPr>
        <w:spacing w:line="120" w:lineRule="exact"/>
      </w:pPr>
    </w:p>
    <w:p w14:paraId="70A4CACE" w14:textId="77777777" w:rsidR="00C1548D" w:rsidRDefault="009B1B4B">
      <w:pPr>
        <w:spacing w:after="140"/>
      </w:pPr>
      <w:r>
        <w:t>Das ist die Untergrenze, kein Plan: Eine Nachforderung, ein Audit oder ein Jobwechsel fressen den Puffer schnell. Vernünftig ist ein fester Termin in den ersten sechs bis zwölf Monaten – verhandle ein Datum statt eines offenen „später“.</w:t>
      </w:r>
    </w:p>
    <w:p w14:paraId="70A4CACF" w14:textId="77777777" w:rsidR="00C1548D" w:rsidRDefault="009B1B4B">
      <w:pPr>
        <w:spacing w:after="140"/>
      </w:pPr>
      <w:r>
        <w:rPr>
          <w:b/>
          <w:bCs/>
        </w:rPr>
        <w:t>Wie.</w:t>
      </w:r>
      <w:r>
        <w:t xml:space="preserve"> Lass diese Punkte vor der Unterschrift im Jobangebot (</w:t>
      </w:r>
      <w:r>
        <w:rPr>
          <w:i/>
          <w:iCs/>
        </w:rPr>
        <w:t>Offer Letter</w:t>
      </w:r>
      <w:r>
        <w:t>) oder im Arbeitsvertrag festhalten:</w:t>
      </w:r>
    </w:p>
    <w:p w14:paraId="70A4CAD0" w14:textId="77777777" w:rsidR="00C1548D" w:rsidRDefault="009B1B4B" w:rsidP="009B1B4B">
      <w:pPr>
        <w:pStyle w:val="ListParagraph"/>
        <w:numPr>
          <w:ilvl w:val="0"/>
          <w:numId w:val="1"/>
        </w:numPr>
        <w:spacing w:after="60"/>
      </w:pPr>
      <w:r>
        <w:rPr>
          <w:b/>
          <w:bCs/>
        </w:rPr>
        <w:t>Termin:</w:t>
      </w:r>
      <w:r>
        <w:t xml:space="preserve"> Der Arbeitgeber beantragt die Lohnfeststellung spätestens zu einem festen Zeitpunkt nach Arbeitsbeginn.</w:t>
      </w:r>
    </w:p>
    <w:p w14:paraId="70A4CAD1" w14:textId="77777777" w:rsidR="00C1548D" w:rsidRDefault="009B1B4B" w:rsidP="009B1B4B">
      <w:pPr>
        <w:pStyle w:val="ListParagraph"/>
        <w:numPr>
          <w:ilvl w:val="0"/>
          <w:numId w:val="1"/>
        </w:numPr>
        <w:spacing w:after="60"/>
      </w:pPr>
      <w:r>
        <w:rPr>
          <w:b/>
          <w:bCs/>
        </w:rPr>
        <w:t>Verbindlichkeit:</w:t>
      </w:r>
      <w:r>
        <w:t xml:space="preserve"> „wird“ statt „kann“ oder „prüft“ – eine Absichtserklärung ohne Datum hilft nicht.</w:t>
      </w:r>
    </w:p>
    <w:p w14:paraId="70A4CAD2" w14:textId="77777777" w:rsidR="00C1548D" w:rsidRDefault="009B1B4B" w:rsidP="009B1B4B">
      <w:pPr>
        <w:pStyle w:val="ListParagraph"/>
        <w:numPr>
          <w:ilvl w:val="0"/>
          <w:numId w:val="1"/>
        </w:numPr>
        <w:spacing w:after="60"/>
      </w:pPr>
      <w:r>
        <w:rPr>
          <w:b/>
          <w:bCs/>
        </w:rPr>
        <w:t>Kosten:</w:t>
      </w:r>
      <w:r>
        <w:t xml:space="preserve"> Der Arbeitgeber trägt alle PERM-Kosten und in der Praxis auch die I-140-Gebühren (715 $ Papier, 665 $ online, plus 600 $ </w:t>
      </w:r>
      <w:r>
        <w:rPr>
          <w:i/>
          <w:iCs/>
        </w:rPr>
        <w:t>Asylum Program Fee</w:t>
      </w:r>
      <w:r>
        <w:t>). Wer die I-485 der Familie zahlt, klärst du schriftlich.</w:t>
      </w:r>
    </w:p>
    <w:p w14:paraId="70A4CAD3" w14:textId="77777777" w:rsidR="00C1548D" w:rsidRDefault="009B1B4B" w:rsidP="009B1B4B">
      <w:pPr>
        <w:pStyle w:val="ListParagraph"/>
        <w:numPr>
          <w:ilvl w:val="0"/>
          <w:numId w:val="1"/>
        </w:numPr>
        <w:spacing w:after="60"/>
      </w:pPr>
      <w:r>
        <w:rPr>
          <w:b/>
          <w:bCs/>
        </w:rPr>
        <w:t>Durchführung:</w:t>
      </w:r>
      <w:r>
        <w:t xml:space="preserve"> Er führt das Verfahren bis zur Green Card fort, stellt nötige Bescheinigungen aus.</w:t>
      </w:r>
    </w:p>
    <w:p w14:paraId="70A4CAD4" w14:textId="77777777" w:rsidR="00C1548D" w:rsidRDefault="009B1B4B" w:rsidP="009B1B4B">
      <w:pPr>
        <w:pStyle w:val="ListParagraph"/>
        <w:numPr>
          <w:ilvl w:val="0"/>
          <w:numId w:val="1"/>
        </w:numPr>
        <w:spacing w:after="60"/>
      </w:pPr>
      <w:r>
        <w:rPr>
          <w:b/>
          <w:bCs/>
        </w:rPr>
        <w:t>Kündigung:</w:t>
      </w:r>
      <w:r>
        <w:t xml:space="preserve"> Frage, was mit dem Verfahren geschieht, wenn er dir kündigt. Garantieren kann er wenig, aber du solltest die Antwort kennen.</w:t>
      </w:r>
    </w:p>
    <w:p w14:paraId="70A4CAD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AD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AD6" w14:textId="77777777" w:rsidR="00C1548D" w:rsidRDefault="009B1B4B">
            <w:pPr>
              <w:keepNext/>
              <w:spacing w:after="70" w:line="240" w:lineRule="auto"/>
            </w:pPr>
            <w:r>
              <w:rPr>
                <w:b/>
                <w:bCs/>
                <w:color w:val="9B2C2C"/>
                <w:spacing w:val="24"/>
                <w:sz w:val="16"/>
                <w:szCs w:val="16"/>
              </w:rPr>
              <w:lastRenderedPageBreak/>
              <w:t>ACHTUNG</w:t>
            </w:r>
          </w:p>
          <w:p w14:paraId="70A4CAD7" w14:textId="79653784" w:rsidR="00C1548D" w:rsidRDefault="009B1B4B">
            <w:pPr>
              <w:spacing w:after="80" w:line="264" w:lineRule="auto"/>
            </w:pPr>
            <w:r>
              <w:rPr>
                <w:sz w:val="20"/>
                <w:szCs w:val="20"/>
              </w:rPr>
              <w:t>Die Kosten der PERM-Arbeitsmarktprüfung (Anzeigen, Anwalt) darf der Arbeitgeber weder ganz noch teilweise von dir zurückverlangen (20 CFR 656.12(b)); erlaubt ist nur ein eigener, gesonderter Anwalt auf eigene Kosten. Lass Rückzahlungsklauseln prüfen, bevor du unterschreibst (Kapitel </w:t>
            </w:r>
            <w:hyperlink w:anchor="k11" w:history="1">
              <w:r>
                <w:rPr>
                  <w:sz w:val="20"/>
                  <w:szCs w:val="20"/>
                </w:rPr>
                <w:t>11</w:t>
              </w:r>
            </w:hyperlink>
            <w:r>
              <w:rPr>
                <w:sz w:val="20"/>
                <w:szCs w:val="20"/>
              </w:rPr>
              <w:t>).</w:t>
            </w:r>
          </w:p>
        </w:tc>
      </w:tr>
    </w:tbl>
    <w:p w14:paraId="70A4CAD9"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ADC"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ADA" w14:textId="77777777" w:rsidR="00C1548D" w:rsidRDefault="009B1B4B">
            <w:pPr>
              <w:keepNext/>
              <w:spacing w:after="70" w:line="240" w:lineRule="auto"/>
            </w:pPr>
            <w:r>
              <w:rPr>
                <w:b/>
                <w:bCs/>
                <w:color w:val="4A5568"/>
                <w:spacing w:val="24"/>
                <w:sz w:val="16"/>
                <w:szCs w:val="16"/>
              </w:rPr>
              <w:t>PRAXISBEISPIEL · FIKTIV</w:t>
            </w:r>
          </w:p>
          <w:p w14:paraId="70A4CADB" w14:textId="77777777" w:rsidR="00C1548D" w:rsidRDefault="009B1B4B">
            <w:pPr>
              <w:spacing w:after="80" w:line="264" w:lineRule="auto"/>
            </w:pPr>
            <w:r>
              <w:rPr>
                <w:sz w:val="20"/>
                <w:szCs w:val="20"/>
              </w:rPr>
              <w:t>Familie Brandt (fiktiv). Im Entwurf des Jobangebots steht zunächst nur „the Company may sponsor you for permanent residence“ – derselbe Satz, der auch am Anfang dieses Kapitels steht. Markus, 38, lässt ihn vor der Unterschrift ändern: Der Arbeitgeber beantragt die Lohnfeststellung spätestens sieben Monate nach Arbeitsbeginn, trägt alle PERM- und I-140-Kosten und führt das Verfahren bis zur Green Card fort. Die Kanzlei ordnet die Stelle als EB-2 ein. Rechnet Markus mit der mittleren Dauer von 3,5 Jahren, lie</w:t>
            </w:r>
            <w:r>
              <w:rPr>
                <w:sz w:val="20"/>
                <w:szCs w:val="20"/>
              </w:rPr>
              <w:t>gt die Green Card im fünften Jahr in Detroit vor, noch vor dem Ende der sechs H-1B-Jahre. Die vier I-485-Anträge zahlt die Familie selbst: 2 × 1.440 $ für Markus und Anna, 2 × 950 $ für Lena (9) und Jonas (5), zusammen 4.780 $ (Papier), dazu 260 $ für Annas Arbeitserlaubnis.</w:t>
            </w:r>
          </w:p>
        </w:tc>
      </w:tr>
    </w:tbl>
    <w:p w14:paraId="70A4CADD"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AE0"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CADE" w14:textId="77777777" w:rsidR="00C1548D" w:rsidRDefault="009B1B4B">
            <w:pPr>
              <w:keepNext/>
              <w:spacing w:after="70" w:line="240" w:lineRule="auto"/>
            </w:pPr>
            <w:r>
              <w:rPr>
                <w:b/>
                <w:bCs/>
                <w:color w:val="2F6B3B"/>
                <w:spacing w:val="24"/>
                <w:sz w:val="16"/>
                <w:szCs w:val="16"/>
              </w:rPr>
              <w:t>SPARTIPP</w:t>
            </w:r>
          </w:p>
          <w:p w14:paraId="70A4CADF" w14:textId="77777777" w:rsidR="00C1548D" w:rsidRDefault="009B1B4B">
            <w:pPr>
              <w:spacing w:after="80" w:line="264" w:lineRule="auto"/>
            </w:pPr>
            <w:r>
              <w:rPr>
                <w:sz w:val="20"/>
                <w:szCs w:val="20"/>
              </w:rPr>
              <w:t>Kinder unter 14 zahlen die I-485 nur dann ermäßigt (950 $ Papier, 900 $ online statt 1.440 $ bzw. 1.390 $), wenn der Antrag zusammen mit dem eines Elternteils eingereicht wird. Reiche die Anträge der Familie deshalb gemeinsam ein.</w:t>
            </w:r>
          </w:p>
        </w:tc>
      </w:tr>
    </w:tbl>
    <w:p w14:paraId="70A4CAE1"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AE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AE2" w14:textId="77777777" w:rsidR="00C1548D" w:rsidRDefault="009B1B4B">
            <w:pPr>
              <w:keepNext/>
              <w:spacing w:after="70" w:line="240" w:lineRule="auto"/>
            </w:pPr>
            <w:r>
              <w:rPr>
                <w:b/>
                <w:bCs/>
                <w:color w:val="9B2C2C"/>
                <w:spacing w:val="24"/>
                <w:sz w:val="16"/>
                <w:szCs w:val="16"/>
              </w:rPr>
              <w:t>ACHTUNG</w:t>
            </w:r>
          </w:p>
          <w:p w14:paraId="70A4CAE3" w14:textId="65BED2DC" w:rsidR="00C1548D" w:rsidRDefault="009B1B4B">
            <w:pPr>
              <w:spacing w:after="80" w:line="264" w:lineRule="auto"/>
            </w:pPr>
            <w:r>
              <w:rPr>
                <w:sz w:val="20"/>
                <w:szCs w:val="20"/>
              </w:rPr>
              <w:t>Wer wechselt, bevor die I-140 genehmigt ist, beginnt beim neuen Arbeitgeber meist von vorn: Erst mit einer genehmigten I-140, mindestens 180 Tage alt, bleibt das Priority Date erhalten; erst mit einer I-485, seit 180 Tagen anhängig, kannst du in gleicher oder ähnlicher Tätigkeit wechseln, ohne neu anzufangen (Kapitel </w:t>
            </w:r>
            <w:hyperlink w:anchor="k30" w:history="1">
              <w:r>
                <w:rPr>
                  <w:sz w:val="20"/>
                  <w:szCs w:val="20"/>
                </w:rPr>
                <w:t>30</w:t>
              </w:r>
            </w:hyperlink>
            <w:r>
              <w:rPr>
                <w:sz w:val="20"/>
                <w:szCs w:val="20"/>
              </w:rPr>
              <w:t>).</w:t>
            </w:r>
          </w:p>
        </w:tc>
      </w:tr>
    </w:tbl>
    <w:p w14:paraId="70A4CAE5" w14:textId="77777777" w:rsidR="00C1548D" w:rsidRDefault="00C1548D">
      <w:pPr>
        <w:spacing w:line="220" w:lineRule="exact"/>
      </w:pPr>
    </w:p>
    <w:p w14:paraId="70A4CAE6" w14:textId="77777777" w:rsidR="00C1548D" w:rsidRDefault="009B1B4B">
      <w:pPr>
        <w:pStyle w:val="Heading3"/>
        <w:keepNext/>
        <w:jc w:val="center"/>
      </w:pPr>
      <w:r>
        <w:rPr>
          <w:rFonts w:ascii="Amazon Ember" w:eastAsia="Amazon Ember" w:hAnsi="Amazon Ember" w:cs="Amazon Ember"/>
          <w:color w:val="0000FF"/>
          <w:sz w:val="36"/>
          <w:szCs w:val="36"/>
        </w:rPr>
        <w:lastRenderedPageBreak/>
        <w:t>Wenn die Lotterie nicht klappt: Plan A, B und C</w:t>
      </w:r>
    </w:p>
    <w:p w14:paraId="70A4CAE7" w14:textId="3EF03D1E" w:rsidR="00C1548D" w:rsidRDefault="009B1B4B">
      <w:pPr>
        <w:spacing w:after="140"/>
      </w:pPr>
      <w:r>
        <w:t>Rechne mit der Absage: Im März 2026 standen 85.000 Plätzen 211.600 gültige Registrierungen gegenüber (Kapitel </w:t>
      </w:r>
      <w:hyperlink w:anchor="k5" w:history="1">
        <w:r>
          <w:t>5</w:t>
        </w:r>
      </w:hyperlink>
      <w:r>
        <w:t>). Lege den Ersatzweg fest, bevor du kündigst oder die Wohnung auflöst.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870"/>
        <w:gridCol w:w="2710"/>
        <w:gridCol w:w="950"/>
      </w:tblGrid>
      <w:tr w:rsidR="00C1548D" w14:paraId="70A4CAEC"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E8" w14:textId="77777777" w:rsidR="00C1548D" w:rsidRDefault="009B1B4B">
            <w:pPr>
              <w:spacing w:line="250" w:lineRule="auto"/>
            </w:pPr>
            <w:r>
              <w:rPr>
                <w:b/>
                <w:bCs/>
                <w:sz w:val="18"/>
                <w:szCs w:val="18"/>
              </w:rPr>
              <w:t>Plan</w:t>
            </w:r>
          </w:p>
        </w:tc>
        <w:tc>
          <w:tcPr>
            <w:tcW w:w="18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E9" w14:textId="77777777" w:rsidR="00C1548D" w:rsidRDefault="009B1B4B">
            <w:pPr>
              <w:spacing w:line="250" w:lineRule="auto"/>
            </w:pPr>
            <w:r>
              <w:rPr>
                <w:b/>
                <w:bCs/>
                <w:sz w:val="18"/>
                <w:szCs w:val="18"/>
              </w:rPr>
              <w:t>Weg</w:t>
            </w:r>
          </w:p>
        </w:tc>
        <w:tc>
          <w:tcPr>
            <w:tcW w:w="27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EA" w14:textId="77777777" w:rsidR="00C1548D" w:rsidRDefault="009B1B4B">
            <w:pPr>
              <w:spacing w:line="250" w:lineRule="auto"/>
            </w:pPr>
            <w:r>
              <w:rPr>
                <w:b/>
                <w:bCs/>
                <w:sz w:val="18"/>
                <w:szCs w:val="18"/>
              </w:rPr>
              <w:t>Was du brauchst</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AEB" w14:textId="77777777" w:rsidR="00C1548D" w:rsidRDefault="009B1B4B">
            <w:pPr>
              <w:spacing w:line="250" w:lineRule="auto"/>
            </w:pPr>
            <w:r>
              <w:rPr>
                <w:b/>
                <w:bCs/>
                <w:sz w:val="18"/>
                <w:szCs w:val="18"/>
              </w:rPr>
              <w:t>Kapitel</w:t>
            </w:r>
          </w:p>
        </w:tc>
      </w:tr>
      <w:tr w:rsidR="00C1548D" w14:paraId="70A4CAF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ED" w14:textId="77777777" w:rsidR="00C1548D" w:rsidRDefault="009B1B4B">
            <w:pPr>
              <w:spacing w:line="250" w:lineRule="auto"/>
            </w:pPr>
            <w:r>
              <w:rPr>
                <w:sz w:val="18"/>
                <w:szCs w:val="18"/>
              </w:rPr>
              <w:t>A</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EE" w14:textId="77777777" w:rsidR="00C1548D" w:rsidRDefault="009B1B4B">
            <w:pPr>
              <w:spacing w:line="250" w:lineRule="auto"/>
            </w:pPr>
            <w:r>
              <w:rPr>
                <w:sz w:val="18"/>
                <w:szCs w:val="18"/>
              </w:rPr>
              <w:t>Nächster Anlauf im März (FY2028 voraussichtlich März 2027, offiziell offen) oder quotenfreier Arbeitgeber (Hochschule, Forschung)</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EF" w14:textId="77777777" w:rsidR="00C1548D" w:rsidRDefault="009B1B4B">
            <w:pPr>
              <w:spacing w:line="250" w:lineRule="auto"/>
            </w:pPr>
            <w:r>
              <w:rPr>
                <w:sz w:val="18"/>
                <w:szCs w:val="18"/>
              </w:rPr>
              <w:t>Jobzusage, höhere Lohnstufe (Level IV = 4 Lose statt 1)</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F0" w14:textId="77777777" w:rsidR="00C1548D" w:rsidRDefault="009B1B4B">
            <w:pPr>
              <w:spacing w:line="250" w:lineRule="auto"/>
            </w:pPr>
            <w:r>
              <w:rPr>
                <w:sz w:val="18"/>
                <w:szCs w:val="18"/>
              </w:rPr>
              <w:t>5, 8</w:t>
            </w:r>
          </w:p>
        </w:tc>
      </w:tr>
      <w:tr w:rsidR="00C1548D" w14:paraId="70A4CAF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F2" w14:textId="77777777" w:rsidR="00C1548D" w:rsidRDefault="009B1B4B">
            <w:pPr>
              <w:spacing w:line="250" w:lineRule="auto"/>
            </w:pPr>
            <w:r>
              <w:rPr>
                <w:sz w:val="18"/>
                <w:szCs w:val="18"/>
              </w:rPr>
              <w:t>B</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F3" w14:textId="77777777" w:rsidR="00C1548D" w:rsidRDefault="009B1B4B">
            <w:pPr>
              <w:spacing w:line="250" w:lineRule="auto"/>
            </w:pPr>
            <w:r>
              <w:rPr>
                <w:sz w:val="18"/>
                <w:szCs w:val="18"/>
              </w:rPr>
              <w:t>L-1 (Konzernversetzung), O-1, E-2 oder Studium mit F-1 und OPT</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F4" w14:textId="77777777" w:rsidR="00C1548D" w:rsidRDefault="009B1B4B">
            <w:pPr>
              <w:spacing w:line="250" w:lineRule="auto"/>
            </w:pPr>
            <w:r>
              <w:rPr>
                <w:sz w:val="18"/>
                <w:szCs w:val="18"/>
              </w:rPr>
              <w:t>Konzernbezug, Spitzenleistung, Kapital oder Zeit und Geld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F5" w14:textId="77777777" w:rsidR="00C1548D" w:rsidRDefault="009B1B4B">
            <w:pPr>
              <w:spacing w:line="250" w:lineRule="auto"/>
            </w:pPr>
            <w:r>
              <w:rPr>
                <w:sz w:val="18"/>
                <w:szCs w:val="18"/>
              </w:rPr>
              <w:t>8, 9</w:t>
            </w:r>
          </w:p>
        </w:tc>
      </w:tr>
      <w:tr w:rsidR="00C1548D" w14:paraId="70A4CAF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F7" w14:textId="77777777" w:rsidR="00C1548D" w:rsidRDefault="009B1B4B">
            <w:pPr>
              <w:spacing w:line="250" w:lineRule="auto"/>
            </w:pPr>
            <w:r>
              <w:rPr>
                <w:sz w:val="18"/>
                <w:szCs w:val="18"/>
              </w:rPr>
              <w:t>C</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F8" w14:textId="77777777" w:rsidR="00C1548D" w:rsidRDefault="009B1B4B">
            <w:pPr>
              <w:spacing w:line="250" w:lineRule="auto"/>
            </w:pPr>
            <w:r>
              <w:rPr>
                <w:sz w:val="18"/>
                <w:szCs w:val="18"/>
              </w:rPr>
              <w:t>Green Card ohne H-1B: NIW oder EB-1A (Selbstpetition), EB-1C für Konzernmanager, Heirat</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F9" w14:textId="77777777" w:rsidR="00C1548D" w:rsidRDefault="009B1B4B">
            <w:pPr>
              <w:spacing w:line="250" w:lineRule="auto"/>
            </w:pPr>
            <w:r>
              <w:rPr>
                <w:sz w:val="18"/>
                <w:szCs w:val="18"/>
              </w:rPr>
              <w:t>Dichte Belege; Genehmigung im 3. Quartal FY2026: NIW 55 %, EB-1A 32 %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AFA" w14:textId="77777777" w:rsidR="00C1548D" w:rsidRDefault="009B1B4B">
            <w:pPr>
              <w:spacing w:line="250" w:lineRule="auto"/>
            </w:pPr>
            <w:r>
              <w:rPr>
                <w:sz w:val="18"/>
                <w:szCs w:val="18"/>
              </w:rPr>
              <w:t>6, 9</w:t>
            </w:r>
          </w:p>
        </w:tc>
      </w:tr>
    </w:tbl>
    <w:p w14:paraId="70A4CAFC" w14:textId="77777777" w:rsidR="00C1548D" w:rsidRDefault="00C1548D">
      <w:pPr>
        <w:spacing w:line="180" w:lineRule="exact"/>
      </w:pPr>
    </w:p>
    <w:p w14:paraId="70A4CAFD" w14:textId="4D296D1A" w:rsidR="00C1548D" w:rsidRDefault="009B1B4B">
      <w:pPr>
        <w:spacing w:after="140"/>
      </w:pPr>
      <w: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deutlich seltener (kumuliert NIW 49 %, EB-1A 41 %). Als Plan D bleibt Deutschland, ohne Niederlage: Der L-1 setzt ohnehin ein Jahr im Konzern im Auslan</w:t>
      </w:r>
      <w:r>
        <w:t>d voraus, und ein wachsendes Profil stärkt O-1 und NIW. Gold Card (1 Mio. $) und EB-5 sind Wege für Vermögende (</w:t>
      </w:r>
      <w:r>
        <w:t>Kapitel </w:t>
      </w:r>
      <w:hyperlink w:anchor="k9" w:history="1">
        <w:r>
          <w:t>9</w:t>
        </w:r>
      </w:hyperlink>
      <w:r>
        <w:t>).</w:t>
      </w:r>
    </w:p>
    <w:p w14:paraId="70A4CAFE" w14:textId="77777777" w:rsidR="00C1548D" w:rsidRDefault="009B1B4B">
      <w:pPr>
        <w:pStyle w:val="Heading3"/>
        <w:keepNext/>
        <w:jc w:val="center"/>
      </w:pPr>
      <w:r>
        <w:rPr>
          <w:rFonts w:ascii="Amazon Ember" w:eastAsia="Amazon Ember" w:hAnsi="Amazon Ember" w:cs="Amazon Ember"/>
          <w:color w:val="0000FF"/>
          <w:sz w:val="36"/>
          <w:szCs w:val="36"/>
        </w:rPr>
        <w:lastRenderedPageBreak/>
        <w:t>Wer wirklich eine Green Card braucht</w:t>
      </w:r>
    </w:p>
    <w:p w14:paraId="70A4CAFF" w14:textId="77777777" w:rsidR="00C1548D" w:rsidRDefault="009B1B4B">
      <w:pPr>
        <w:spacing w:after="140"/>
      </w:pPr>
      <w:r>
        <w:t>Die ehrliche Antwort: weniger Menschen, als es zu Beginn scheint, und mehr, als sie sich eingestehen. Viele planen zu Beginn in Jahren („drei, vielleicht fünf“) und merken erst nach der ersten Verlängerung, wie sehr sie inzwischen in Schulen, Freundschaften und Hypothek denken – und immer seltener in einem Rückflugtermin. Prüfe nüchtern, was zu dir passt.</w:t>
      </w:r>
    </w:p>
    <w:p w14:paraId="70A4CB00" w14:textId="77777777" w:rsidR="00C1548D" w:rsidRDefault="009B1B4B">
      <w:pPr>
        <w:spacing w:after="140"/>
      </w:pPr>
      <w:r>
        <w:t>Die Green Card lohnt sich vor allem, wenn du</w:t>
      </w:r>
    </w:p>
    <w:p w14:paraId="70A4CB01" w14:textId="77777777" w:rsidR="00C1548D" w:rsidRDefault="009B1B4B" w:rsidP="009B1B4B">
      <w:pPr>
        <w:pStyle w:val="ListParagraph"/>
        <w:numPr>
          <w:ilvl w:val="0"/>
          <w:numId w:val="1"/>
        </w:numPr>
        <w:spacing w:after="60"/>
      </w:pPr>
      <w:r>
        <w:t>länger als die sechs H-1B-Jahre bleiben willst oder das nicht sicher ausschließen kannst;</w:t>
      </w:r>
    </w:p>
    <w:p w14:paraId="70A4CB02" w14:textId="692AE9D6" w:rsidR="00C1548D" w:rsidRDefault="009B1B4B" w:rsidP="009B1B4B">
      <w:pPr>
        <w:pStyle w:val="ListParagraph"/>
        <w:numPr>
          <w:ilvl w:val="0"/>
          <w:numId w:val="1"/>
        </w:numPr>
        <w:spacing w:after="60"/>
      </w:pPr>
      <w:r>
        <w:t>deinem Partner nicht dauerhaft die Arbeit verwehren willst (Kapitel </w:t>
      </w:r>
      <w:hyperlink w:anchor="k10" w:history="1">
        <w:r>
          <w:t>10</w:t>
        </w:r>
      </w:hyperlink>
      <w:r>
        <w:t>);</w:t>
      </w:r>
    </w:p>
    <w:p w14:paraId="70A4CB03" w14:textId="77777777" w:rsidR="00C1548D" w:rsidRDefault="009B1B4B" w:rsidP="009B1B4B">
      <w:pPr>
        <w:pStyle w:val="ListParagraph"/>
        <w:numPr>
          <w:ilvl w:val="0"/>
          <w:numId w:val="1"/>
        </w:numPr>
        <w:spacing w:after="60"/>
      </w:pPr>
      <w:r>
        <w:t>Kinder hast, die in den USA zur Schule und später an die Universität gehen, samt Herausaltern mit 21;</w:t>
      </w:r>
    </w:p>
    <w:p w14:paraId="70A4CB04" w14:textId="42B8147E" w:rsidR="00C1548D" w:rsidRDefault="009B1B4B" w:rsidP="009B1B4B">
      <w:pPr>
        <w:pStyle w:val="ListParagraph"/>
        <w:numPr>
          <w:ilvl w:val="0"/>
          <w:numId w:val="1"/>
        </w:numPr>
        <w:spacing w:after="60"/>
      </w:pPr>
      <w:r>
        <w:t>ein Haus kaufen (Kapitel </w:t>
      </w:r>
      <w:hyperlink w:anchor="k14" w:history="1">
        <w:r>
          <w:t>14</w:t>
        </w:r>
      </w:hyperlink>
      <w:r>
        <w:t>) oder dich selbständig machen willst;</w:t>
      </w:r>
    </w:p>
    <w:p w14:paraId="70A4CB05" w14:textId="5F3AACE8" w:rsidR="00C1548D" w:rsidRDefault="009B1B4B" w:rsidP="009B1B4B">
      <w:pPr>
        <w:pStyle w:val="ListParagraph"/>
        <w:numPr>
          <w:ilvl w:val="0"/>
          <w:numId w:val="1"/>
        </w:numPr>
        <w:spacing w:after="60"/>
      </w:pPr>
      <w:r>
        <w:t>bei einem Stellenabbau nicht auch den Aufenthalt verlieren möchtest (Kapitel </w:t>
      </w:r>
      <w:hyperlink w:anchor="k30" w:history="1">
        <w:r>
          <w:t>30</w:t>
        </w:r>
      </w:hyperlink>
      <w:r>
        <w:t>).</w:t>
      </w:r>
    </w:p>
    <w:p w14:paraId="70A4CB06" w14:textId="77777777" w:rsidR="00C1548D" w:rsidRDefault="00C1548D">
      <w:pPr>
        <w:spacing w:line="120" w:lineRule="exact"/>
      </w:pPr>
    </w:p>
    <w:p w14:paraId="70A4CB07" w14:textId="77777777" w:rsidR="00C1548D" w:rsidRDefault="009B1B4B">
      <w:pPr>
        <w:spacing w:after="140"/>
      </w:pPr>
      <w:r>
        <w:t>Du kommst ohne Green Card gut aus, wenn du</w:t>
      </w:r>
    </w:p>
    <w:p w14:paraId="70A4CB08" w14:textId="787436B2" w:rsidR="00C1548D" w:rsidRDefault="009B1B4B" w:rsidP="009B1B4B">
      <w:pPr>
        <w:pStyle w:val="ListParagraph"/>
        <w:numPr>
          <w:ilvl w:val="0"/>
          <w:numId w:val="1"/>
        </w:numPr>
        <w:spacing w:after="60"/>
      </w:pPr>
      <w:r>
        <w:t>drei bis sechs Jahre Erfahrung sammeln und zurückkehren willst (Kapitel </w:t>
      </w:r>
      <w:hyperlink w:anchor="k42" w:history="1">
        <w:r>
          <w:t>42</w:t>
        </w:r>
      </w:hyperlink>
      <w:r>
        <w:t>);</w:t>
      </w:r>
    </w:p>
    <w:p w14:paraId="70A4CB09" w14:textId="045322F3" w:rsidR="00C1548D" w:rsidRDefault="009B1B4B" w:rsidP="009B1B4B">
      <w:pPr>
        <w:pStyle w:val="ListParagraph"/>
        <w:numPr>
          <w:ilvl w:val="0"/>
          <w:numId w:val="1"/>
        </w:numPr>
        <w:spacing w:after="60"/>
      </w:pPr>
      <w:r>
        <w:t>als Konzernbeschäftigter versetzt wirst und die Rückkehr fest eingeplant ist (Kapitel </w:t>
      </w:r>
      <w:hyperlink w:anchor="k9" w:history="1">
        <w:r>
          <w:t>9</w:t>
        </w:r>
      </w:hyperlink>
      <w:r>
        <w:t>);</w:t>
      </w:r>
    </w:p>
    <w:p w14:paraId="70A4CB0A" w14:textId="630DCFD8" w:rsidR="00C1548D" w:rsidRDefault="009B1B4B" w:rsidP="009B1B4B">
      <w:pPr>
        <w:pStyle w:val="ListParagraph"/>
        <w:numPr>
          <w:ilvl w:val="0"/>
          <w:numId w:val="1"/>
        </w:numPr>
        <w:spacing w:after="60"/>
      </w:pPr>
      <w:r>
        <w:t>deine steuerliche Lage in Deutschland nicht mit einer weltweiten US-Steuerpflicht belasten willst (Kapitel </w:t>
      </w:r>
      <w:hyperlink w:anchor="k17" w:history="1">
        <w:r>
          <w:t>17</w:t>
        </w:r>
      </w:hyperlink>
      <w:r>
        <w:t xml:space="preserve"> und </w:t>
      </w:r>
      <w:hyperlink w:anchor="k28" w:history="1">
        <w:r>
          <w:t>28</w:t>
        </w:r>
      </w:hyperlink>
      <w:r>
        <w:t>).</w:t>
      </w:r>
    </w:p>
    <w:p w14:paraId="70A4CB0B" w14:textId="77777777" w:rsidR="00C1548D" w:rsidRDefault="00C1548D">
      <w:pPr>
        <w:spacing w:line="120" w:lineRule="exact"/>
      </w:pPr>
    </w:p>
    <w:p w14:paraId="70A4CB0C" w14:textId="77777777" w:rsidR="00C1548D" w:rsidRDefault="009B1B4B">
      <w:pPr>
        <w:spacing w:after="140"/>
      </w:pPr>
      <w:r>
        <w:t xml:space="preserve">Die Karte kostet Freiheit an anderer Stelle: weltweite Steuerpflicht samt Meldepflichten für Auslandskonten, Wohnsitz in den USA, Adressmeldung, die Karte immer mitführen, für Männer von 18 bis 25 die Registrierung beim </w:t>
      </w:r>
      <w:r>
        <w:rPr>
          <w:i/>
          <w:iCs/>
        </w:rPr>
        <w:t>Selective Service</w:t>
      </w:r>
      <w:r>
        <w:t xml:space="preserve"> (Wehrerfassung). Die Option selbst kostet wenig: PERM und I-140 zahlt der Arbeitgeber, </w:t>
      </w:r>
      <w:r>
        <w:lastRenderedPageBreak/>
        <w:t>bezahlt wird erst mit der I-485 – die Entscheidung fällt also später, als der Start des Verfahrens vermuten lässt.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B0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B0D" w14:textId="77777777" w:rsidR="00C1548D" w:rsidRDefault="009B1B4B">
            <w:pPr>
              <w:keepNext/>
              <w:spacing w:after="70" w:line="240" w:lineRule="auto"/>
            </w:pPr>
            <w:r>
              <w:rPr>
                <w:b/>
                <w:bCs/>
                <w:color w:val="9B2C2C"/>
                <w:spacing w:val="24"/>
                <w:sz w:val="16"/>
                <w:szCs w:val="16"/>
              </w:rPr>
              <w:t>ACHTUNG</w:t>
            </w:r>
          </w:p>
          <w:p w14:paraId="70A4CB0E" w14:textId="1A639D28" w:rsidR="00C1548D" w:rsidRDefault="009B1B4B">
            <w:pPr>
              <w:spacing w:after="80" w:line="264" w:lineRule="auto"/>
            </w:pPr>
            <w:r>
              <w:rPr>
                <w:sz w:val="20"/>
                <w:szCs w:val="20"/>
              </w:rPr>
              <w:t xml:space="preserve">Die Green Card ist kein Sicherheitsnetz, das du aus Deutschland heraus behältst: Wer länger als 180 Tage weg ist, muss bei der Einreise mit Fragen rechnen, ab einem Jahr gilt die Karte ohne </w:t>
            </w:r>
            <w:r>
              <w:rPr>
                <w:i/>
                <w:iCs/>
                <w:sz w:val="20"/>
                <w:szCs w:val="20"/>
              </w:rPr>
              <w:t>Reentry Permit</w:t>
            </w:r>
            <w:r>
              <w:rPr>
                <w:sz w:val="20"/>
                <w:szCs w:val="20"/>
              </w:rPr>
              <w:t xml:space="preserve"> (Wiedereinreiseerlaubnis bis zu zwei Jahre, Antrag in den USA, 630 $) nicht mehr als Einreisedokument. Wer dauerhaft zurückzieht, gibt sie formell auf (Form I-407, 0 $) und unterschreibt nichts unter Druck an der Grenze. Wer die Karte in 8 der letzten 15 Jahre hatte und hohes Einkommen (durchschnittliche Einkommensteuer der letzten fünf Jahre über 211.000 $) oder Vermögen (ab 2 Mio. $) mitbringt, kann der </w:t>
            </w:r>
            <w:r>
              <w:rPr>
                <w:i/>
                <w:iCs/>
                <w:sz w:val="20"/>
                <w:szCs w:val="20"/>
              </w:rPr>
              <w:t>Exit Tax</w:t>
            </w:r>
            <w:r>
              <w:rPr>
                <w:sz w:val="20"/>
                <w:szCs w:val="20"/>
              </w:rPr>
              <w:t xml:space="preserve"> unterliegen (Kapitel </w:t>
            </w:r>
            <w:hyperlink w:anchor="k42" w:history="1">
              <w:r>
                <w:rPr>
                  <w:sz w:val="20"/>
                  <w:szCs w:val="20"/>
                </w:rPr>
                <w:t>42</w:t>
              </w:r>
            </w:hyperlink>
            <w:r>
              <w:rPr>
                <w:sz w:val="20"/>
                <w:szCs w:val="20"/>
              </w:rPr>
              <w:t>).</w:t>
            </w:r>
          </w:p>
        </w:tc>
      </w:tr>
    </w:tbl>
    <w:p w14:paraId="70A4CB10" w14:textId="77777777" w:rsidR="00C1548D" w:rsidRDefault="00C1548D">
      <w:pPr>
        <w:spacing w:line="220" w:lineRule="exact"/>
      </w:pPr>
    </w:p>
    <w:p w14:paraId="70A4CB11" w14:textId="77777777" w:rsidR="00C1548D" w:rsidRDefault="009B1B4B">
      <w:pPr>
        <w:pStyle w:val="Heading3"/>
        <w:keepNext/>
        <w:jc w:val="center"/>
      </w:pPr>
      <w:r>
        <w:rPr>
          <w:rFonts w:ascii="Amazon Ember" w:eastAsia="Amazon Ember" w:hAnsi="Amazon Ember" w:cs="Amazon Ember"/>
          <w:color w:val="0000FF"/>
          <w:sz w:val="36"/>
          <w:szCs w:val="36"/>
        </w:rPr>
        <w:t>Wie stabil ist welcher Status?</w:t>
      </w:r>
    </w:p>
    <w:p w14:paraId="70A4CB12" w14:textId="77777777" w:rsidR="00C1548D" w:rsidRDefault="009B1B4B">
      <w:pPr>
        <w:spacing w:after="140"/>
      </w:pPr>
      <w:r>
        <w:t>Beide Wege stehen unter politischer Beobachtung, aber unterschiedlich stark. Die Übersicht nennt nur, was für deine Planung zählt (Stand 20. September 2026), ohne die Maßnahmen zu bewerten.</w:t>
      </w:r>
    </w:p>
    <w:p w14:paraId="70A4CB13" w14:textId="2045CC2A" w:rsidR="00C1548D" w:rsidRDefault="009B1B4B">
      <w:pPr>
        <w:spacing w:after="140"/>
      </w:pPr>
      <w:r>
        <w:rPr>
          <w:b/>
          <w:bCs/>
        </w:rPr>
        <w:t>H-1B</w:t>
      </w:r>
      <w:r>
        <w:t xml:space="preserve"> (Einzelheiten Kapitel </w:t>
      </w:r>
      <w:hyperlink w:anchor="k5" w:history="1">
        <w:r>
          <w:t>5</w:t>
        </w:r>
      </w:hyperlink>
      <w:r>
        <w:t>): Die 100.000-$-Zahlung für Personen im Ausland ist bis 21. September 2027 verlängert, wegen eines Gerichtsbeschlusses aber derzeit nicht erhoben. Nur vorgeschlagen, nicht in Kraft: 103.265 $ je Petition mit Quotenplatz, Wegfall der 60-Tage-Frist, höhere Lohnstufen. Hinzu kommt eine Präsidialverfügung vom 18. September 2026, die frühere Arbeitgeber-Entlassungen in die Prüfung einbeziehen soll (Umsetzung offen).</w:t>
      </w:r>
    </w:p>
    <w:p w14:paraId="70A4CB14" w14:textId="575FD69F" w:rsidR="00C1548D" w:rsidRDefault="009B1B4B">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 xml:space="preserve">-Regel (Prüfung, ob du dauerhaft auf staatliche Leistungen angewiesen sein könntest) gilt für Anträge ab 18. September 2026; bei gesichertem Arbeitseinkommen dürfte das Risiko gering sein </w:t>
      </w:r>
      <w:r>
        <w:lastRenderedPageBreak/>
        <w:t>(Einschätzung, keine Garantie). Auch für die Einbürgerung gelten neue Prüfregeln (Kapitel </w:t>
      </w:r>
      <w:hyperlink w:anchor="k41" w:history="1">
        <w:r>
          <w:t>41</w:t>
        </w:r>
      </w:hyperlink>
      <w:r>
        <w:t>). Kanzleien berichten zudem häufigere Zusatzkontrollen an der Grenze: Führe Karte und Nachweise deiner Bindungen in die USA mit.</w:t>
      </w:r>
    </w:p>
    <w:p w14:paraId="70A4CB15" w14:textId="77777777" w:rsidR="00C1548D" w:rsidRDefault="009B1B4B">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w14:paraId="70A4CB16" w14:textId="77777777" w:rsidR="00C1548D" w:rsidRDefault="009B1B4B">
      <w:pPr>
        <w:pStyle w:val="Heading3"/>
        <w:keepNext/>
        <w:jc w:val="center"/>
      </w:pPr>
      <w:r>
        <w:rPr>
          <w:rFonts w:ascii="Amazon Ember" w:eastAsia="Amazon Ember" w:hAnsi="Amazon Ember" w:cs="Amazon Ember"/>
          <w:color w:val="0000FF"/>
          <w:sz w:val="36"/>
          <w:szCs w:val="36"/>
        </w:rPr>
        <w:t>Plus und Minus</w:t>
      </w:r>
    </w:p>
    <w:p w14:paraId="70A4CB17" w14:textId="77777777" w:rsidR="00C1548D" w:rsidRDefault="009B1B4B">
      <w:pPr>
        <w:spacing w:after="140"/>
      </w:pPr>
      <w:r>
        <w:t>Die Tabelle bewertet die Entscheidung, das Green-Card-Verfahren früh anzustoßen.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B1A"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18"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19" w14:textId="77777777" w:rsidR="00C1548D" w:rsidRDefault="009B1B4B">
            <w:pPr>
              <w:spacing w:line="250" w:lineRule="auto"/>
            </w:pPr>
            <w:r>
              <w:rPr>
                <w:b/>
                <w:bCs/>
                <w:sz w:val="18"/>
                <w:szCs w:val="18"/>
              </w:rPr>
              <w:t>Minus</w:t>
            </w:r>
          </w:p>
        </w:tc>
      </w:tr>
      <w:tr w:rsidR="00C1548D" w14:paraId="70A4CB1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1B" w14:textId="77777777" w:rsidR="00C1548D" w:rsidRDefault="009B1B4B">
            <w:pPr>
              <w:spacing w:line="250" w:lineRule="auto"/>
            </w:pPr>
            <w:r>
              <w:rPr>
                <w:sz w:val="18"/>
                <w:szCs w:val="18"/>
              </w:rPr>
              <w:t>Unabhängigkeit vom Sponsor: freier Jobwechsel, Nebenjob, Firmengründung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1C" w14:textId="77777777" w:rsidR="00C1548D" w:rsidRDefault="009B1B4B">
            <w:pPr>
              <w:spacing w:line="250" w:lineRule="auto"/>
            </w:pPr>
            <w:r>
              <w:rPr>
                <w:sz w:val="18"/>
                <w:szCs w:val="18"/>
              </w:rPr>
              <w:t>Verfahren dauert meist 2,5–4,5 Jahre, mit Stichtags- und Rückstufungsrisiko</w:t>
            </w:r>
          </w:p>
        </w:tc>
      </w:tr>
      <w:tr w:rsidR="00C1548D" w14:paraId="70A4CB2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1E" w14:textId="77777777" w:rsidR="00C1548D" w:rsidRDefault="009B1B4B">
            <w:pPr>
              <w:spacing w:line="250" w:lineRule="auto"/>
            </w:pPr>
            <w:r>
              <w:rPr>
                <w:sz w:val="18"/>
                <w:szCs w:val="18"/>
              </w:rPr>
              <w:t>Partner darf ohne Einschränkung arbeiten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1F" w14:textId="77777777" w:rsidR="00C1548D" w:rsidRDefault="009B1B4B">
            <w:pPr>
              <w:spacing w:line="250" w:lineRule="auto"/>
            </w:pPr>
            <w:r>
              <w:rPr>
                <w:sz w:val="18"/>
                <w:szCs w:val="18"/>
              </w:rPr>
              <w:t>Bis zur Erteilung bleibt die Bindung an den Sponsor</w:t>
            </w:r>
          </w:p>
        </w:tc>
      </w:tr>
      <w:tr w:rsidR="00C1548D" w14:paraId="70A4CB2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21" w14:textId="77777777" w:rsidR="00C1548D" w:rsidRDefault="009B1B4B">
            <w:pPr>
              <w:spacing w:line="250" w:lineRule="auto"/>
            </w:pPr>
            <w:r>
              <w:rPr>
                <w:sz w:val="18"/>
                <w:szCs w:val="18"/>
              </w:rPr>
              <w:t>Kinder altern mit 21 nicht heraus, Zugang zu Bundesstudienhilfe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22" w14:textId="77777777" w:rsidR="00C1548D" w:rsidRDefault="009B1B4B">
            <w:pPr>
              <w:spacing w:line="250" w:lineRule="auto"/>
            </w:pPr>
            <w:r>
              <w:rPr>
                <w:sz w:val="18"/>
                <w:szCs w:val="18"/>
              </w:rPr>
              <w:t>Kosten für die Familie: I-485 allein rund 4.780 $ für zwei Erwachsene und zwei Kinder unter 14</w:t>
            </w:r>
          </w:p>
        </w:tc>
      </w:tr>
      <w:tr w:rsidR="00C1548D" w14:paraId="70A4CB2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24" w14:textId="77777777" w:rsidR="00C1548D" w:rsidRDefault="009B1B4B">
            <w:pPr>
              <w:spacing w:line="250" w:lineRule="auto"/>
            </w:pPr>
            <w:r>
              <w:rPr>
                <w:sz w:val="18"/>
                <w:szCs w:val="18"/>
              </w:rPr>
              <w:t>Kein Ablauf nach sechs Jahren, kein Konsulat bei Reisen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25" w14:textId="6E000903" w:rsidR="00C1548D" w:rsidRDefault="009B1B4B">
            <w:pPr>
              <w:spacing w:line="250" w:lineRule="auto"/>
            </w:pPr>
            <w:r>
              <w:rPr>
                <w:sz w:val="18"/>
                <w:szCs w:val="18"/>
              </w:rPr>
              <w:t>Weltweite Steuerpflicht mit Meldepflichten (</w:t>
            </w:r>
            <w:r>
              <w:rPr>
                <w:sz w:val="18"/>
                <w:szCs w:val="18"/>
              </w:rPr>
              <w:t>Kapitel </w:t>
            </w:r>
            <w:hyperlink w:anchor="k28" w:history="1">
              <w:r>
                <w:rPr>
                  <w:sz w:val="18"/>
                  <w:szCs w:val="18"/>
                </w:rPr>
                <w:t>28</w:t>
              </w:r>
            </w:hyperlink>
            <w:r>
              <w:rPr>
                <w:sz w:val="18"/>
                <w:szCs w:val="18"/>
              </w:rPr>
              <w:t>)</w:t>
            </w:r>
          </w:p>
        </w:tc>
      </w:tr>
      <w:tr w:rsidR="00C1548D" w14:paraId="70A4CB2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27" w14:textId="77777777" w:rsidR="00C1548D" w:rsidRDefault="009B1B4B">
            <w:pPr>
              <w:spacing w:line="250" w:lineRule="auto"/>
            </w:pPr>
            <w:r>
              <w:rPr>
                <w:sz w:val="18"/>
                <w:szCs w:val="18"/>
              </w:rPr>
              <w:t>Bessere Hypothekenoptionen (FHA), Marktplatz-Zuschüsse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28" w14:textId="77777777" w:rsidR="00C1548D" w:rsidRDefault="009B1B4B">
            <w:pPr>
              <w:spacing w:line="250" w:lineRule="auto"/>
            </w:pPr>
            <w:r>
              <w:rPr>
                <w:sz w:val="18"/>
                <w:szCs w:val="18"/>
              </w:rPr>
              <w:t>Lange Abwesenheit gefährdet den Status</w:t>
            </w:r>
          </w:p>
        </w:tc>
      </w:tr>
      <w:tr w:rsidR="00C1548D" w14:paraId="70A4CB2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2A" w14:textId="77777777" w:rsidR="00C1548D" w:rsidRDefault="009B1B4B">
            <w:pPr>
              <w:spacing w:line="250" w:lineRule="auto"/>
            </w:pPr>
            <w:r>
              <w:rPr>
                <w:sz w:val="18"/>
                <w:szCs w:val="18"/>
              </w:rPr>
              <w:t>Einbürgerung nach 5 Jahren möglich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2B" w14:textId="77777777" w:rsidR="00C1548D" w:rsidRDefault="009B1B4B">
            <w:pPr>
              <w:spacing w:line="250" w:lineRule="auto"/>
            </w:pPr>
            <w:r>
              <w:rPr>
                <w:sz w:val="18"/>
                <w:szCs w:val="18"/>
              </w:rPr>
              <w:t>Exit Tax bei Aufgabe nach 8 von 15 Jahren, wenn Einkommen oder Vermögen hoch sind</w:t>
            </w:r>
          </w:p>
        </w:tc>
      </w:tr>
    </w:tbl>
    <w:p w14:paraId="70A4CB2D" w14:textId="77777777" w:rsidR="00C1548D" w:rsidRDefault="00C1548D">
      <w:pPr>
        <w:spacing w:line="180" w:lineRule="exact"/>
      </w:pPr>
    </w:p>
    <w:p w14:paraId="70A4CB2E"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CB2F" w14:textId="07A7FECB" w:rsidR="00C1548D" w:rsidRDefault="009B1B4B">
      <w:pPr>
        <w:spacing w:after="140"/>
      </w:pPr>
      <w:r>
        <w:t xml:space="preserve">Kläre zuerst mit deinem Partner oder deiner Partnerin, ob deine Familie länger als sechs Jahre bleiben könnte. Sprich dann mit dem Arbeitgeber über Termin, Kategorie und Kosten des Verfahrens, </w:t>
      </w:r>
      <w:r>
        <w:lastRenderedPageBreak/>
        <w:t>bevor du unterschreibst, und lass die Antwort in den Vertrag schreiben (zu Anwalt und Kosten: Kapitel </w:t>
      </w:r>
      <w:hyperlink w:anchor="k11" w:history="1">
        <w:r>
          <w:t>11</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B3B"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B30" w14:textId="77777777" w:rsidR="00C1548D" w:rsidRDefault="009B1B4B">
            <w:pPr>
              <w:keepNext/>
              <w:spacing w:after="70" w:line="240" w:lineRule="auto"/>
            </w:pPr>
            <w:r>
              <w:rPr>
                <w:b/>
                <w:bCs/>
                <w:color w:val="1F6F78"/>
                <w:spacing w:val="24"/>
                <w:sz w:val="16"/>
                <w:szCs w:val="16"/>
              </w:rPr>
              <w:t>CHECKLISTE</w:t>
            </w:r>
          </w:p>
          <w:p w14:paraId="70A4CB3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Bleibeabsicht klären: Wie lange möchte deine Familie realistisch bleiben – was bedeutet das für Partner, Kinder, Steuern?</w:t>
            </w:r>
          </w:p>
          <w:p w14:paraId="70A4CB3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Im Jobangebot festhalten: Termin für die Lohnfeststellung, Kostenübernahme für PERM und I-140, Fortführung bis zur Green Card.</w:t>
            </w:r>
          </w:p>
          <w:p w14:paraId="70A4CB3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Klären, welche Kategorie die Stelle hat (EB-2 oder EB-3) und ob die Mindestanforderungen erfüllt sind.</w:t>
            </w:r>
          </w:p>
          <w:p w14:paraId="70A4CB3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Rückwärts rechnen: Ende der sechs Jahre, PERM-Einreichung spätestens 365 Tage davor, gut sechs Monate Vorlauf davor.</w:t>
            </w:r>
          </w:p>
          <w:p w14:paraId="70A4CB3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jedem Schritt Visa Bulletin und USCIS-Filing-Charts prüfen; ist die Kategorie current, die I-485 ohne Verzug einreichen lassen.</w:t>
            </w:r>
          </w:p>
          <w:p w14:paraId="70A4CB3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Rücklage für Familienanträge bilden: I-485 je Person (1.440 $ bzw. 950 $ für Kinder unter 14), Arztuntersuchung, Arbeitserlaubnis.</w:t>
            </w:r>
          </w:p>
          <w:p w14:paraId="70A4CB3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jedem Jobwechsel klären, wo das Verfahren steht (Priority Date, I-140-Genehmigung, 180 Tage I-485).</w:t>
            </w:r>
          </w:p>
          <w:p w14:paraId="70A4CB3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Plan A, B und C mit Terminen aufschreiben, bevor du kündigst oder eine Wohnung auflöst.</w:t>
            </w:r>
          </w:p>
          <w:p w14:paraId="70A4CB39" w14:textId="6B6731A5"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Zeugnisse, Urkunden, Reisepässe und I-94-Nachweise sammeln (Kapitel </w:t>
            </w:r>
            <w:hyperlink w:anchor="k19" w:history="1">
              <w:r>
                <w:rPr>
                  <w:sz w:val="20"/>
                  <w:szCs w:val="20"/>
                </w:rPr>
                <w:t>19</w:t>
              </w:r>
            </w:hyperlink>
            <w:r>
              <w:rPr>
                <w:sz w:val="20"/>
                <w:szCs w:val="20"/>
              </w:rPr>
              <w:t>).</w:t>
            </w:r>
          </w:p>
          <w:p w14:paraId="70A4CB3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Neue Regeln regelmäßig prüfen: uscis.gov, federalregister.gov und die Kanzlei des Arbeitgebers.</w:t>
            </w:r>
          </w:p>
        </w:tc>
      </w:tr>
    </w:tbl>
    <w:p w14:paraId="70A4CB3C" w14:textId="77777777" w:rsidR="00C1548D" w:rsidRDefault="00C1548D">
      <w:pPr>
        <w:spacing w:line="220" w:lineRule="exact"/>
      </w:pPr>
    </w:p>
    <w:p w14:paraId="70A4CB3D"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B3E" w14:textId="20E66706" w:rsidR="00C1548D" w:rsidRDefault="009B1B4B" w:rsidP="009B1B4B">
      <w:pPr>
        <w:pStyle w:val="ListParagraph"/>
        <w:numPr>
          <w:ilvl w:val="0"/>
          <w:numId w:val="1"/>
        </w:numPr>
        <w:spacing w:after="60"/>
      </w:pPr>
      <w:r>
        <w:t>State Department — Visa Bulletin (</w:t>
      </w:r>
      <w:hyperlink r:id="rId65" w:history="1">
        <w:r>
          <w:rPr>
            <w:color w:val="0563C1"/>
            <w:u w:val="single"/>
          </w:rPr>
          <w:t>travel.state.gov</w:t>
        </w:r>
      </w:hyperlink>
      <w:r>
        <w:t>, Rubrik „Visa Bulletin“)</w:t>
      </w:r>
    </w:p>
    <w:p w14:paraId="70A4CB3F" w14:textId="3F8FC6BC" w:rsidR="00C1548D" w:rsidRDefault="009B1B4B" w:rsidP="009B1B4B">
      <w:pPr>
        <w:pStyle w:val="ListParagraph"/>
        <w:numPr>
          <w:ilvl w:val="0"/>
          <w:numId w:val="1"/>
        </w:numPr>
        <w:spacing w:after="60"/>
      </w:pPr>
      <w:r>
        <w:t>USCIS — Filing-Charts für die Statusanpassung (</w:t>
      </w:r>
      <w:hyperlink r:id="rId66" w:history="1">
        <w:r>
          <w:rPr>
            <w:color w:val="0563C1"/>
            <w:u w:val="single"/>
          </w:rPr>
          <w:t>uscis.gov</w:t>
        </w:r>
      </w:hyperlink>
      <w:r>
        <w:t>, Suche „Adjustment of Status Filing Charts“)</w:t>
      </w:r>
    </w:p>
    <w:p w14:paraId="70A4CB40" w14:textId="53DA17D2" w:rsidR="00C1548D" w:rsidRDefault="009B1B4B" w:rsidP="009B1B4B">
      <w:pPr>
        <w:pStyle w:val="ListParagraph"/>
        <w:numPr>
          <w:ilvl w:val="0"/>
          <w:numId w:val="1"/>
        </w:numPr>
        <w:spacing w:after="60"/>
      </w:pPr>
      <w:r>
        <w:t>DOL — Bearbeitungszeiten für PWD und PERM (</w:t>
      </w:r>
      <w:hyperlink r:id="rId67" w:history="1">
        <w:r>
          <w:rPr>
            <w:color w:val="0563C1"/>
            <w:u w:val="single"/>
          </w:rPr>
          <w:t>flag.dol.gov/processingtimes</w:t>
        </w:r>
      </w:hyperlink>
      <w:r>
        <w:t>)</w:t>
      </w:r>
    </w:p>
    <w:p w14:paraId="70A4CB41" w14:textId="12FB80BB" w:rsidR="00C1548D" w:rsidRDefault="009B1B4B" w:rsidP="009B1B4B">
      <w:pPr>
        <w:pStyle w:val="ListParagraph"/>
        <w:numPr>
          <w:ilvl w:val="0"/>
          <w:numId w:val="1"/>
        </w:numPr>
        <w:spacing w:after="60"/>
      </w:pPr>
      <w:r>
        <w:lastRenderedPageBreak/>
        <w:t>USCIS — Gebührenübersicht G-1055 (</w:t>
      </w:r>
      <w:hyperlink r:id="rId68" w:history="1">
        <w:r>
          <w:rPr>
            <w:color w:val="0563C1"/>
            <w:u w:val="single"/>
          </w:rPr>
          <w:t>uscis.gov/g-1055</w:t>
        </w:r>
      </w:hyperlink>
      <w:r>
        <w:t>)</w:t>
      </w:r>
    </w:p>
    <w:p w14:paraId="70A4CB42" w14:textId="181ED0C9" w:rsidR="00C1548D" w:rsidRDefault="009B1B4B" w:rsidP="009B1B4B">
      <w:pPr>
        <w:pStyle w:val="ListParagraph"/>
        <w:numPr>
          <w:ilvl w:val="0"/>
          <w:numId w:val="1"/>
        </w:numPr>
        <w:spacing w:after="60"/>
      </w:pPr>
      <w:r>
        <w:t>Arbeitsministerium — Kosten der Arbeitserlaubnis-Zertifizierung, 20 CFR 656.12 (</w:t>
      </w:r>
      <w:hyperlink r:id="rId69" w:history="1">
        <w:r>
          <w:rPr>
            <w:color w:val="0563C1"/>
            <w:u w:val="single"/>
          </w:rPr>
          <w:t>ecfr.gov</w:t>
        </w:r>
      </w:hyperlink>
      <w:r>
        <w:t>, Suche „20 CFR 656.12“)</w:t>
      </w:r>
    </w:p>
    <w:p w14:paraId="70A4CB43" w14:textId="37FF8CC1" w:rsidR="00C1548D" w:rsidRDefault="009B1B4B" w:rsidP="009B1B4B">
      <w:pPr>
        <w:pStyle w:val="ListParagraph"/>
        <w:numPr>
          <w:ilvl w:val="0"/>
          <w:numId w:val="1"/>
        </w:numPr>
        <w:spacing w:after="60"/>
      </w:pPr>
      <w:r>
        <w:t>Federal Register — Vorschläge und Endregeln, Suche „H-1B“ oder „public charge“ (</w:t>
      </w:r>
      <w:hyperlink r:id="rId70" w:history="1">
        <w:r>
          <w:rPr>
            <w:color w:val="0563C1"/>
            <w:u w:val="single"/>
          </w:rPr>
          <w:t>federalregister.gov</w:t>
        </w:r>
      </w:hyperlink>
      <w:r>
        <w:t>)</w:t>
      </w:r>
    </w:p>
    <w:p w14:paraId="70A4CB44" w14:textId="4001FD51" w:rsidR="00C1548D" w:rsidRDefault="009B1B4B" w:rsidP="009B1B4B">
      <w:pPr>
        <w:pStyle w:val="ListParagraph"/>
        <w:numPr>
          <w:ilvl w:val="0"/>
          <w:numId w:val="1"/>
        </w:numPr>
        <w:spacing w:after="60"/>
      </w:pPr>
      <w:r>
        <w:t>Aufenthaltsgesetz — § 18c, Niederlassungserlaubnis für Fachkräfte (</w:t>
      </w:r>
      <w:hyperlink r:id="rId71" w:history="1">
        <w:r>
          <w:rPr>
            <w:color w:val="0563C1"/>
            <w:u w:val="single"/>
          </w:rPr>
          <w:t>gesetze-im-internet.de/aufenthg_2004/__18c.html</w:t>
        </w:r>
      </w:hyperlink>
      <w:r>
        <w:t>)</w:t>
      </w:r>
    </w:p>
    <w:p w14:paraId="70A4CB4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B48"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B46" w14:textId="77777777" w:rsidR="00C1548D" w:rsidRDefault="009B1B4B">
            <w:pPr>
              <w:keepNext/>
              <w:spacing w:after="70" w:line="240" w:lineRule="auto"/>
            </w:pPr>
            <w:r>
              <w:rPr>
                <w:b/>
                <w:bCs/>
                <w:color w:val="6B7280"/>
                <w:spacing w:val="24"/>
                <w:sz w:val="16"/>
                <w:szCs w:val="16"/>
              </w:rPr>
              <w:t>STAND</w:t>
            </w:r>
          </w:p>
          <w:p w14:paraId="70A4CB47" w14:textId="77777777" w:rsidR="00C1548D" w:rsidRDefault="009B1B4B" w:rsidP="009B1B4B">
            <w:pPr>
              <w:pStyle w:val="ListParagraph"/>
              <w:numPr>
                <w:ilvl w:val="0"/>
                <w:numId w:val="13"/>
              </w:numPr>
              <w:spacing w:after="50" w:line="264" w:lineRule="auto"/>
            </w:pPr>
            <w:r>
              <w:rPr>
                <w:sz w:val="20"/>
                <w:szCs w:val="20"/>
              </w:rPr>
              <w:t>September 2026. Diese Angaben ändern sich schnell: die Stichtage im Visa Bulletin (Oktober-Ausgabe lag noch nicht vor, Rückstufung von EB-2 möglich), die Bearbeitungszeiten von DOL und USCIS, die USCIS-Gebühren, ob die 100.000-$-Zahlung wieder erhoben wird, ob die Vorschläge zu 103.265 $, zum Wegfall der 60-Tage-Frist und zu höheren Lohnstufen in Kraft treten, sowie die Regeln der Registrierung im März 2027. Prüfe vor jeder Entscheidung uscis.gov und federalregister.gov, sprich mit der Kanzlei deines Arbeit</w:t>
            </w:r>
            <w:r>
              <w:rPr>
                <w:sz w:val="20"/>
                <w:szCs w:val="20"/>
              </w:rPr>
              <w:t>gebers.</w:t>
            </w:r>
          </w:p>
        </w:tc>
      </w:tr>
    </w:tbl>
    <w:p w14:paraId="70A4CB49" w14:textId="77777777" w:rsidR="00C1548D" w:rsidRDefault="00C1548D">
      <w:pPr>
        <w:spacing w:line="220" w:lineRule="exact"/>
      </w:pPr>
    </w:p>
    <w:p w14:paraId="70A4CB4A" w14:textId="77777777" w:rsidR="00C1548D" w:rsidRDefault="009B1B4B">
      <w:pPr>
        <w:pStyle w:val="Heading2"/>
        <w:keepNext/>
        <w:pageBreakBefore/>
        <w:jc w:val="center"/>
      </w:pPr>
      <w:bookmarkStart w:id="23" w:name="k8"/>
      <w:bookmarkStart w:id="24" w:name="_Toc241352458"/>
      <w:r>
        <w:rPr>
          <w:rFonts w:ascii="Amazon Ember" w:eastAsia="Amazon Ember" w:hAnsi="Amazon Ember" w:cs="Amazon Ember"/>
          <w:color w:val="0000FF"/>
          <w:sz w:val="36"/>
          <w:szCs w:val="36"/>
        </w:rPr>
        <w:lastRenderedPageBreak/>
        <w:t>Kapitel 8: Der Studienweg: F-1, OPT und der spätere Statuswechsel</w:t>
      </w:r>
      <w:bookmarkEnd w:id="23"/>
      <w:bookmarkEnd w:id="24"/>
    </w:p>
    <w:p w14:paraId="70A4CB4B" w14:textId="77777777" w:rsidR="00C1548D" w:rsidRDefault="009B1B4B">
      <w:pPr>
        <w:spacing w:after="140"/>
      </w:pPr>
      <w: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w:t>
      </w:r>
      <w:r>
        <w:rPr>
          <w:i/>
          <w:iCs/>
        </w:rPr>
        <w:t>Optional Practical Training</w:t>
      </w:r>
      <w:r>
        <w:t>, OPT) und wechselst später im Inland in den H-1B-Status. Der Weg ist real, er ist aber teuer, und 2025/26 ist er unsicherer geworden, als er es lange war.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B53"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B4C" w14:textId="77777777" w:rsidR="00C1548D" w:rsidRDefault="009B1B4B">
            <w:pPr>
              <w:keepNext/>
              <w:spacing w:after="70" w:line="240" w:lineRule="auto"/>
            </w:pPr>
            <w:r>
              <w:rPr>
                <w:b/>
                <w:bCs/>
                <w:color w:val="1F3A5F"/>
                <w:spacing w:val="24"/>
                <w:sz w:val="16"/>
                <w:szCs w:val="16"/>
              </w:rPr>
              <w:t>KURZ GESAGT</w:t>
            </w:r>
          </w:p>
          <w:p w14:paraId="70A4CB4D" w14:textId="77777777" w:rsidR="00C1548D" w:rsidRDefault="009B1B4B" w:rsidP="009B1B4B">
            <w:pPr>
              <w:pStyle w:val="ListParagraph"/>
              <w:numPr>
                <w:ilvl w:val="0"/>
                <w:numId w:val="1"/>
              </w:numPr>
              <w:spacing w:after="50" w:line="264" w:lineRule="auto"/>
            </w:pPr>
            <w:r>
              <w:rPr>
                <w:sz w:val="20"/>
                <w:szCs w:val="20"/>
              </w:rPr>
              <w:t>F-1 ist ein Studentenstatus, kein Einwanderungsweg: Du musst glaubhaft machen, dass du zurückkehrst. Erst der H-1B-Status erlaubt offen den Wunsch nach einer Green Card (</w:t>
            </w:r>
            <w:r>
              <w:rPr>
                <w:i/>
                <w:iCs/>
                <w:sz w:val="20"/>
                <w:szCs w:val="20"/>
              </w:rPr>
              <w:t>Dual Intent</w:t>
            </w:r>
            <w:r>
              <w:rPr>
                <w:sz w:val="20"/>
                <w:szCs w:val="20"/>
              </w:rPr>
              <w:t>, doppelte Absicht).</w:t>
            </w:r>
          </w:p>
          <w:p w14:paraId="70A4CB4E" w14:textId="77777777" w:rsidR="00C1548D" w:rsidRDefault="009B1B4B" w:rsidP="009B1B4B">
            <w:pPr>
              <w:pStyle w:val="ListParagraph"/>
              <w:numPr>
                <w:ilvl w:val="0"/>
                <w:numId w:val="1"/>
              </w:numPr>
              <w:spacing w:after="50" w:line="264" w:lineRule="auto"/>
            </w:pPr>
            <w:r>
              <w:rPr>
                <w:sz w:val="20"/>
                <w:szCs w:val="20"/>
              </w:rPr>
              <w:t>Ablauf: Zulassung, Form I-20, Finanznachweis, SEVIS-Gebühr (350 $), Visum (185 $), Interview.</w:t>
            </w:r>
          </w:p>
          <w:p w14:paraId="70A4CB4F" w14:textId="77777777" w:rsidR="00C1548D" w:rsidRDefault="009B1B4B" w:rsidP="009B1B4B">
            <w:pPr>
              <w:pStyle w:val="ListParagraph"/>
              <w:numPr>
                <w:ilvl w:val="0"/>
                <w:numId w:val="1"/>
              </w:numPr>
              <w:spacing w:after="50" w:line="264" w:lineRule="auto"/>
            </w:pPr>
            <w:r>
              <w:rPr>
                <w:sz w:val="20"/>
                <w:szCs w:val="20"/>
              </w:rPr>
              <w:t>Ein zweijähriger Master kostet grob 70.000–150.000 $ mit Lebenshaltung und Krankenversicherung.</w:t>
            </w:r>
          </w:p>
          <w:p w14:paraId="70A4CB50" w14:textId="77777777" w:rsidR="00C1548D" w:rsidRDefault="009B1B4B" w:rsidP="009B1B4B">
            <w:pPr>
              <w:pStyle w:val="ListParagraph"/>
              <w:numPr>
                <w:ilvl w:val="0"/>
                <w:numId w:val="1"/>
              </w:numPr>
              <w:spacing w:after="50" w:line="264" w:lineRule="auto"/>
            </w:pPr>
            <w:r>
              <w:rPr>
                <w:sz w:val="20"/>
                <w:szCs w:val="20"/>
              </w:rPr>
              <w:t>Danach folgen OPT (12 Monate) und mit STEM-Abschluss (Naturwissenschaft, Technik, Ingenieurwesen, Mathematik) weitere 24 Monate: drei bis vier Chancen in der H-1B-Lotterie.</w:t>
            </w:r>
          </w:p>
          <w:p w14:paraId="70A4CB51" w14:textId="77777777" w:rsidR="00C1548D" w:rsidRDefault="009B1B4B" w:rsidP="009B1B4B">
            <w:pPr>
              <w:pStyle w:val="ListParagraph"/>
              <w:numPr>
                <w:ilvl w:val="0"/>
                <w:numId w:val="1"/>
              </w:numPr>
              <w:spacing w:after="50" w:line="264" w:lineRule="auto"/>
            </w:pPr>
            <w:r>
              <w:rPr>
                <w:sz w:val="20"/>
                <w:szCs w:val="20"/>
              </w:rPr>
              <w:t>Der Statuswechsel im Inland ist von der 100.000-$-Zahlung ausgenommen; ein Entwurf vom 25. August 2026 würde das ändern, ist aber nicht in Kraft.</w:t>
            </w:r>
          </w:p>
          <w:p w14:paraId="70A4CB52" w14:textId="77777777" w:rsidR="00C1548D" w:rsidRDefault="009B1B4B" w:rsidP="009B1B4B">
            <w:pPr>
              <w:pStyle w:val="ListParagraph"/>
              <w:numPr>
                <w:ilvl w:val="0"/>
                <w:numId w:val="1"/>
              </w:numPr>
              <w:spacing w:after="50" w:line="264" w:lineRule="auto"/>
            </w:pPr>
            <w:r>
              <w:rPr>
                <w:sz w:val="20"/>
                <w:szCs w:val="20"/>
              </w:rPr>
              <w:t>Die Regeln sind in Bewegung: SEVIS-Kündigungen, Social-Media-Prüfung, strengere CPT-Auslegung und eine gerichtlich gestoppte Regel zur festen Aufenthaltsdauer.</w:t>
            </w:r>
          </w:p>
        </w:tc>
      </w:tr>
    </w:tbl>
    <w:p w14:paraId="70A4CB54" w14:textId="77777777" w:rsidR="00C1548D" w:rsidRDefault="00C1548D">
      <w:pPr>
        <w:spacing w:line="220" w:lineRule="exact"/>
      </w:pPr>
    </w:p>
    <w:p w14:paraId="70A4CB55" w14:textId="77777777" w:rsidR="00C1548D" w:rsidRDefault="009B1B4B">
      <w:pPr>
        <w:pStyle w:val="Heading3"/>
        <w:keepNext/>
        <w:jc w:val="center"/>
      </w:pPr>
      <w:r>
        <w:rPr>
          <w:rFonts w:ascii="Amazon Ember" w:eastAsia="Amazon Ember" w:hAnsi="Amazon Ember" w:cs="Amazon Ember"/>
          <w:color w:val="0000FF"/>
          <w:sz w:val="36"/>
          <w:szCs w:val="36"/>
        </w:rPr>
        <w:lastRenderedPageBreak/>
        <w:t>Für wen sich der Weg lohnt</w:t>
      </w:r>
    </w:p>
    <w:p w14:paraId="70A4CB56" w14:textId="248D5653" w:rsidR="00C1548D" w:rsidRDefault="009B1B4B">
      <w:pPr>
        <w:spacing w:after="140"/>
      </w:pPr>
      <w: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history="1">
        <w:r>
          <w:t>5</w:t>
        </w:r>
      </w:hyperlink>
      <w:r>
        <w:t>).</w:t>
      </w:r>
    </w:p>
    <w:p w14:paraId="70A4CB57" w14:textId="77777777" w:rsidR="00C1548D" w:rsidRDefault="009B1B4B">
      <w:pPr>
        <w:spacing w:after="140"/>
      </w:pPr>
      <w:r>
        <w:t>Viele gehen ihn: Im Studienjahr 2024/25 waren 1.177.766 internationale Studierende in den USA eingeschrieben, 294.253 von ihnen arbeiteten mit OPT (+21 %). Aus Deutschland kamen 9.123 (Open Doors und DAAD).</w:t>
      </w:r>
    </w:p>
    <w:p w14:paraId="70A4CB58" w14:textId="77777777" w:rsidR="00C1548D" w:rsidRDefault="009B1B4B">
      <w:pPr>
        <w:spacing w:after="140"/>
      </w:pPr>
      <w:r>
        <w:rPr>
          <w:b/>
          <w:bCs/>
        </w:rPr>
        <w:t>Der Weg passt, wenn:</w:t>
      </w:r>
    </w:p>
    <w:p w14:paraId="70A4CB59" w14:textId="77777777" w:rsidR="00C1548D" w:rsidRDefault="009B1B4B" w:rsidP="009B1B4B">
      <w:pPr>
        <w:pStyle w:val="ListParagraph"/>
        <w:numPr>
          <w:ilvl w:val="0"/>
          <w:numId w:val="1"/>
        </w:numPr>
        <w:spacing w:after="60"/>
      </w:pPr>
      <w:r>
        <w:t>du den Master fachlich ohnehin willst, etwa in Informatik, Ingenieurwesen oder Naturwissenschaften,</w:t>
      </w:r>
    </w:p>
    <w:p w14:paraId="70A4CB5A" w14:textId="77777777" w:rsidR="00C1548D" w:rsidRDefault="009B1B4B" w:rsidP="009B1B4B">
      <w:pPr>
        <w:pStyle w:val="ListParagraph"/>
        <w:numPr>
          <w:ilvl w:val="0"/>
          <w:numId w:val="1"/>
        </w:numPr>
        <w:spacing w:after="60"/>
      </w:pPr>
      <w:r>
        <w:t>du die Kosten aus Ersparnissen, Familie oder Stipendium trägst und ein Scheitern der Lotterie finanziell verkraftest,</w:t>
      </w:r>
    </w:p>
    <w:p w14:paraId="70A4CB5B" w14:textId="77777777" w:rsidR="00C1548D" w:rsidRDefault="009B1B4B" w:rsidP="009B1B4B">
      <w:pPr>
        <w:pStyle w:val="ListParagraph"/>
        <w:numPr>
          <w:ilvl w:val="0"/>
          <w:numId w:val="1"/>
        </w:numPr>
        <w:spacing w:after="60"/>
      </w:pPr>
      <w:r>
        <w:t>du allein kommst oder mit einem Partner, der die Zeit ohne Arbeitserlaubnis übersteht.</w:t>
      </w:r>
    </w:p>
    <w:p w14:paraId="70A4CB5C" w14:textId="77777777" w:rsidR="00C1548D" w:rsidRDefault="00C1548D">
      <w:pPr>
        <w:spacing w:line="120" w:lineRule="exact"/>
      </w:pPr>
    </w:p>
    <w:p w14:paraId="70A4CB5D" w14:textId="77777777" w:rsidR="00C1548D" w:rsidRDefault="009B1B4B">
      <w:pPr>
        <w:spacing w:after="140"/>
      </w:pPr>
      <w:r>
        <w:rPr>
          <w:b/>
          <w:bCs/>
        </w:rPr>
        <w:t>Der Weg passt weniger, wenn:</w:t>
      </w:r>
    </w:p>
    <w:p w14:paraId="70A4CB5E" w14:textId="02160C44" w:rsidR="00C1548D" w:rsidRDefault="009B1B4B" w:rsidP="009B1B4B">
      <w:pPr>
        <w:pStyle w:val="ListParagraph"/>
        <w:numPr>
          <w:ilvl w:val="0"/>
          <w:numId w:val="1"/>
        </w:numPr>
        <w:spacing w:after="60"/>
      </w:pPr>
      <w:r>
        <w:t>du schon ein Jobangebot mit Sponsoring hast: Dann sind der direkte H-1B-Weg (Kapitel </w:t>
      </w:r>
      <w:hyperlink w:anchor="k5" w:history="1">
        <w:r>
          <w:t>5</w:t>
        </w:r>
      </w:hyperlink>
      <w:r>
        <w:t>) oder ein L-1 (Kapitel </w:t>
      </w:r>
      <w:hyperlink w:anchor="k9" w:history="1">
        <w:r>
          <w:t>9</w:t>
        </w:r>
      </w:hyperlink>
      <w:r>
        <w:t>) schneller und billiger,</w:t>
      </w:r>
    </w:p>
    <w:p w14:paraId="70A4CB5F" w14:textId="77777777" w:rsidR="00C1548D" w:rsidRDefault="009B1B4B" w:rsidP="009B1B4B">
      <w:pPr>
        <w:pStyle w:val="ListParagraph"/>
        <w:numPr>
          <w:ilvl w:val="0"/>
          <w:numId w:val="1"/>
        </w:numPr>
        <w:spacing w:after="60"/>
      </w:pPr>
      <w:r>
        <w:t>du berufserfahren bist und vor allem das Land wechseln willst: Zwei Jahre Einkommensverzicht kosten oft mehr als die Studiengebühren,</w:t>
      </w:r>
    </w:p>
    <w:p w14:paraId="70A4CB60" w14:textId="77777777" w:rsidR="00C1548D" w:rsidRDefault="009B1B4B" w:rsidP="009B1B4B">
      <w:pPr>
        <w:pStyle w:val="ListParagraph"/>
        <w:numPr>
          <w:ilvl w:val="0"/>
          <w:numId w:val="1"/>
        </w:numPr>
        <w:spacing w:after="60"/>
      </w:pPr>
      <w:r>
        <w:t>deine Familie auf ein zweites Einkommen angewiesen ist, denn ein Partner mit F-2-Status darf nicht arbeiten.</w:t>
      </w:r>
    </w:p>
    <w:p w14:paraId="70A4CB61" w14:textId="77777777" w:rsidR="00C1548D" w:rsidRDefault="00C1548D">
      <w:pPr>
        <w:spacing w:line="120" w:lineRule="exact"/>
      </w:pPr>
    </w:p>
    <w:p w14:paraId="70A4CB62" w14:textId="2689DE4F" w:rsidR="00C1548D" w:rsidRDefault="009B1B4B">
      <w:pPr>
        <w:spacing w:after="140"/>
      </w:pPr>
      <w:r>
        <w:t>Die ehrliche Rechnung: Studienkosten plus entgangenes Gehalt gegen die Chance auf einen Einstieg in den US-Arbeitsmarkt (Gehaltsspannen: Kapitel </w:t>
      </w:r>
      <w:hyperlink w:anchor="k29" w:history="1">
        <w:r>
          <w:t>29</w:t>
        </w:r>
      </w:hyperlink>
      <w:r>
        <w:t>, Entscheidungsrahmen: Kapitel </w:t>
      </w:r>
      <w:hyperlink w:anchor="k3" w:history="1">
        <w:r>
          <w:t>3</w:t>
        </w:r>
      </w:hyperlink>
      <w:r>
        <w:t>).</w:t>
      </w:r>
    </w:p>
    <w:p w14:paraId="70A4CB63" w14:textId="77777777" w:rsidR="00C1548D" w:rsidRDefault="009B1B4B">
      <w:pPr>
        <w:pStyle w:val="Heading3"/>
        <w:keepNext/>
        <w:jc w:val="center"/>
      </w:pPr>
      <w:r>
        <w:rPr>
          <w:rFonts w:ascii="Amazon Ember" w:eastAsia="Amazon Ember" w:hAnsi="Amazon Ember" w:cs="Amazon Ember"/>
          <w:color w:val="0000FF"/>
          <w:sz w:val="36"/>
          <w:szCs w:val="36"/>
        </w:rPr>
        <w:lastRenderedPageBreak/>
        <w:t>So läuft das F-1-Verfahren</w:t>
      </w:r>
    </w:p>
    <w:p w14:paraId="70A4CB64" w14:textId="77777777" w:rsidR="00C1548D" w:rsidRDefault="009B1B4B">
      <w:pPr>
        <w:spacing w:after="140"/>
      </w:pPr>
      <w:r>
        <w:t xml:space="preserve">Zuerst die saubere Trennung: Das </w:t>
      </w:r>
      <w:r>
        <w:rPr>
          <w:i/>
          <w:iCs/>
        </w:rPr>
        <w:t>F-1-Visum</w:t>
      </w:r>
      <w:r>
        <w:t xml:space="preserve"> steht im Pass und kommt vom Konsulat, es ist die Eintrittskarte. Der </w:t>
      </w:r>
      <w:r>
        <w:rPr>
          <w:i/>
          <w:iCs/>
        </w:rPr>
        <w:t>F-1-Status</w:t>
      </w:r>
      <w:r>
        <w:t xml:space="preserve"> entsteht bei der Einreise (Nachweis: I-94 und Form I-20) und erlaubt Aufenthalt und Studium. Der Ablauf in sieben Schritten:</w:t>
      </w:r>
    </w:p>
    <w:p w14:paraId="70A4CB65" w14:textId="77777777" w:rsidR="00C1548D" w:rsidRDefault="009B1B4B" w:rsidP="009B1B4B">
      <w:pPr>
        <w:pStyle w:val="ListParagraph"/>
        <w:numPr>
          <w:ilvl w:val="0"/>
          <w:numId w:val="14"/>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w14:paraId="70A4CB66" w14:textId="77777777" w:rsidR="00C1548D" w:rsidRDefault="009B1B4B" w:rsidP="009B1B4B">
      <w:pPr>
        <w:pStyle w:val="ListParagraph"/>
        <w:numPr>
          <w:ilvl w:val="0"/>
          <w:numId w:val="14"/>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w14:paraId="70A4CB67" w14:textId="77777777" w:rsidR="00C1548D" w:rsidRDefault="009B1B4B" w:rsidP="009B1B4B">
      <w:pPr>
        <w:pStyle w:val="ListParagraph"/>
        <w:numPr>
          <w:ilvl w:val="0"/>
          <w:numId w:val="14"/>
        </w:numPr>
        <w:spacing w:after="60"/>
      </w:pPr>
      <w:r>
        <w:rPr>
          <w:b/>
          <w:bCs/>
        </w:rPr>
        <w:t>Finanznachweis:</w:t>
      </w:r>
      <w:r>
        <w:t xml:space="preserve"> Du belegst mit Unterlagen, dass du die Kosten laut I-20 tragen kannst: Kontoauszüge, Stipendienbescheide, Förderzusagen von Angehörigen.</w:t>
      </w:r>
    </w:p>
    <w:p w14:paraId="70A4CB68" w14:textId="77777777" w:rsidR="00C1548D" w:rsidRDefault="009B1B4B" w:rsidP="009B1B4B">
      <w:pPr>
        <w:pStyle w:val="ListParagraph"/>
        <w:numPr>
          <w:ilvl w:val="0"/>
          <w:numId w:val="14"/>
        </w:numPr>
        <w:spacing w:after="60"/>
      </w:pPr>
      <w:r>
        <w:rPr>
          <w:b/>
          <w:bCs/>
        </w:rPr>
        <w:t>SEVIS-Gebühr:</w:t>
      </w:r>
      <w:r>
        <w:t xml:space="preserve"> Die Gebühr </w:t>
      </w:r>
      <w:r>
        <w:rPr>
          <w:i/>
          <w:iCs/>
        </w:rPr>
        <w:t>I-901</w:t>
      </w:r>
      <w:r>
        <w:t xml:space="preserve"> beträgt 350 $ und wird online bei der Einwanderungs- und Zollbehörde ICE bezahlt (</w:t>
      </w:r>
      <w:r>
        <w:rPr>
          <w:i/>
          <w:iCs/>
        </w:rPr>
        <w:t>SEVIS</w:t>
      </w:r>
      <w:r>
        <w:t xml:space="preserve"> ist die Datenbank, in der die Behörden Studierende erfassen). Die Quittung nimmst du zum Interview mit.</w:t>
      </w:r>
    </w:p>
    <w:p w14:paraId="70A4CB69" w14:textId="77777777" w:rsidR="00C1548D" w:rsidRDefault="009B1B4B" w:rsidP="009B1B4B">
      <w:pPr>
        <w:pStyle w:val="ListParagraph"/>
        <w:numPr>
          <w:ilvl w:val="0"/>
          <w:numId w:val="14"/>
        </w:numPr>
        <w:spacing w:after="60"/>
      </w:pPr>
      <w:r>
        <w:rPr>
          <w:b/>
          <w:bCs/>
        </w:rPr>
        <w:t>DS-160 und Visumgebühr:</w:t>
      </w:r>
      <w:r>
        <w:t xml:space="preserve"> Du füllst das Online-Formular DS-160 aus, samt Social-Media-Konten der letzten fünf Jahre, und zahlst 185 $.</w:t>
      </w:r>
    </w:p>
    <w:p w14:paraId="70A4CB6A" w14:textId="77777777" w:rsidR="00C1548D" w:rsidRDefault="009B1B4B" w:rsidP="009B1B4B">
      <w:pPr>
        <w:pStyle w:val="ListParagraph"/>
        <w:numPr>
          <w:ilvl w:val="0"/>
          <w:numId w:val="14"/>
        </w:numPr>
        <w:spacing w:after="60"/>
      </w:pPr>
      <w:r>
        <w:rPr>
          <w:b/>
          <w:bCs/>
        </w:rPr>
        <w:t>Interview</w:t>
      </w:r>
      <w:r>
        <w:t xml:space="preserve"> in der Botschaft Berlin oder den Konsulaten Frankfurt und München. Der Verzicht auf das Gespräch wurde im September 2025 weitgehend abgeschafft; rechne mit einem persönlichen Termin, buche früh (Wartezeiten: travel.state.gov). Bei der Visumausstellung kann zusätzlich die </w:t>
      </w:r>
      <w:r>
        <w:rPr>
          <w:i/>
          <w:iCs/>
        </w:rPr>
        <w:t>Visa Integrity Fee</w:t>
      </w:r>
      <w:r>
        <w:t xml:space="preserve"> von 250 $ anfallen; die Erhebung ist uneinheitlich, ein Erstattungsverfahren fehlt.</w:t>
      </w:r>
    </w:p>
    <w:p w14:paraId="70A4CB6B" w14:textId="77777777" w:rsidR="00C1548D" w:rsidRDefault="009B1B4B" w:rsidP="009B1B4B">
      <w:pPr>
        <w:pStyle w:val="ListParagraph"/>
        <w:numPr>
          <w:ilvl w:val="0"/>
          <w:numId w:val="14"/>
        </w:numPr>
        <w:spacing w:after="60"/>
      </w:pPr>
      <w:r>
        <w:rPr>
          <w:b/>
          <w:bCs/>
        </w:rPr>
        <w:lastRenderedPageBreak/>
        <w:t>Einreise:</w:t>
      </w:r>
      <w:r>
        <w:t xml:space="preserve"> Üblich ist die Einreise frühestens 30 Tage vor Programmbeginn; das Visum wird bis zu 365 Tage vorher ausgestellt. Der Grenzschutz (CBP) trägt deinen Status ein.</w:t>
      </w:r>
    </w:p>
    <w:p w14:paraId="70A4CB6C"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B6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B6D" w14:textId="77777777" w:rsidR="00C1548D" w:rsidRDefault="009B1B4B">
            <w:pPr>
              <w:keepNext/>
              <w:spacing w:after="70" w:line="240" w:lineRule="auto"/>
            </w:pPr>
            <w:r>
              <w:rPr>
                <w:b/>
                <w:bCs/>
                <w:color w:val="9B2C2C"/>
                <w:spacing w:val="24"/>
                <w:sz w:val="16"/>
                <w:szCs w:val="16"/>
              </w:rPr>
              <w:t>ACHTUNG</w:t>
            </w:r>
          </w:p>
          <w:p w14:paraId="70A4CB6E" w14:textId="77777777" w:rsidR="00C1548D" w:rsidRDefault="009B1B4B">
            <w:pPr>
              <w:spacing w:after="80" w:line="264" w:lineRule="auto"/>
            </w:pPr>
            <w:r>
              <w:rPr>
                <w:sz w:val="20"/>
                <w:szCs w:val="20"/>
              </w:rPr>
              <w:t>F-1 ist ein Visum für Personen ohne Einwanderungsabsicht. Das Konsulat prüft, ob du nach dem Studium zurückkehren willst (</w:t>
            </w:r>
            <w:r>
              <w:rPr>
                <w:i/>
                <w:iCs/>
                <w:sz w:val="20"/>
                <w:szCs w:val="20"/>
              </w:rPr>
              <w:t>INA 214(b)</w:t>
            </w:r>
            <w:r>
              <w:rPr>
                <w:sz w:val="20"/>
                <w:szCs w:val="20"/>
              </w:rPr>
              <w:t>):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tc>
      </w:tr>
    </w:tbl>
    <w:p w14:paraId="70A4CB70" w14:textId="77777777" w:rsidR="00C1548D" w:rsidRDefault="00C1548D">
      <w:pPr>
        <w:spacing w:line="220" w:lineRule="exact"/>
      </w:pPr>
    </w:p>
    <w:p w14:paraId="70A4CB71" w14:textId="77777777" w:rsidR="00C1548D" w:rsidRDefault="009B1B4B">
      <w:pPr>
        <w:pStyle w:val="Heading3"/>
        <w:keepNext/>
        <w:jc w:val="center"/>
      </w:pPr>
      <w:r>
        <w:rPr>
          <w:rFonts w:ascii="Amazon Ember" w:eastAsia="Amazon Ember" w:hAnsi="Amazon Ember" w:cs="Amazon Ember"/>
          <w:color w:val="0000FF"/>
          <w:sz w:val="36"/>
          <w:szCs w:val="36"/>
        </w:rPr>
        <w:t>Was das Studium kostet</w:t>
      </w:r>
    </w:p>
    <w:p w14:paraId="70A4CB72" w14:textId="77777777" w:rsidR="00C1548D" w:rsidRDefault="009B1B4B">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4"/>
        <w:gridCol w:w="1073"/>
        <w:gridCol w:w="3003"/>
      </w:tblGrid>
      <w:tr w:rsidR="00C1548D" w14:paraId="70A4CB76" w14:textId="77777777">
        <w:tblPrEx>
          <w:tblCellMar>
            <w:top w:w="0" w:type="dxa"/>
            <w:bottom w:w="0" w:type="dxa"/>
          </w:tblCellMar>
        </w:tblPrEx>
        <w:trPr>
          <w:cantSplit/>
          <w:tblHeader/>
        </w:trPr>
        <w:tc>
          <w:tcPr>
            <w:tcW w:w="240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73" w14:textId="77777777" w:rsidR="00C1548D" w:rsidRDefault="009B1B4B">
            <w:pPr>
              <w:spacing w:line="250" w:lineRule="auto"/>
            </w:pPr>
            <w:r>
              <w:rPr>
                <w:b/>
                <w:bCs/>
                <w:sz w:val="18"/>
                <w:szCs w:val="18"/>
              </w:rPr>
              <w:t>Posten</w:t>
            </w:r>
          </w:p>
        </w:tc>
        <w:tc>
          <w:tcPr>
            <w:tcW w:w="107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74" w14:textId="77777777" w:rsidR="00C1548D" w:rsidRDefault="009B1B4B">
            <w:pPr>
              <w:spacing w:line="250" w:lineRule="auto"/>
            </w:pPr>
            <w:r>
              <w:rPr>
                <w:b/>
                <w:bCs/>
                <w:sz w:val="18"/>
                <w:szCs w:val="18"/>
              </w:rPr>
              <w:t>Spanne pro Jahr</w:t>
            </w:r>
          </w:p>
        </w:tc>
        <w:tc>
          <w:tcPr>
            <w:tcW w:w="30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75" w14:textId="77777777" w:rsidR="00C1548D" w:rsidRDefault="009B1B4B">
            <w:pPr>
              <w:spacing w:line="250" w:lineRule="auto"/>
            </w:pPr>
            <w:r>
              <w:rPr>
                <w:b/>
                <w:bCs/>
                <w:sz w:val="18"/>
                <w:szCs w:val="18"/>
              </w:rPr>
              <w:t>Anmerkung</w:t>
            </w:r>
          </w:p>
        </w:tc>
      </w:tr>
      <w:tr w:rsidR="00C1548D" w14:paraId="70A4CB7A" w14:textId="77777777">
        <w:tblPrEx>
          <w:tblCellMar>
            <w:top w:w="0" w:type="dxa"/>
            <w:bottom w:w="0" w:type="dxa"/>
          </w:tblCellMar>
        </w:tblPrEx>
        <w:trPr>
          <w:cantSplit/>
        </w:trPr>
        <w:tc>
          <w:tcPr>
            <w:tcW w:w="24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77" w14:textId="77777777" w:rsidR="00C1548D" w:rsidRDefault="009B1B4B">
            <w:pPr>
              <w:spacing w:line="250" w:lineRule="auto"/>
            </w:pPr>
            <w:r>
              <w:rPr>
                <w:sz w:val="18"/>
                <w:szCs w:val="18"/>
              </w:rPr>
              <w:t>Studiengebühren, öffentliche Hochschule</w:t>
            </w:r>
          </w:p>
        </w:tc>
        <w:tc>
          <w:tcPr>
            <w:tcW w:w="1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78" w14:textId="77777777" w:rsidR="00C1548D" w:rsidRDefault="009B1B4B">
            <w:pPr>
              <w:spacing w:line="250" w:lineRule="auto"/>
            </w:pPr>
            <w:r>
              <w:rPr>
                <w:sz w:val="18"/>
                <w:szCs w:val="18"/>
              </w:rPr>
              <w:t>20.000–35.000 $</w:t>
            </w:r>
          </w:p>
        </w:tc>
        <w:tc>
          <w:tcPr>
            <w:tcW w:w="3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79" w14:textId="77777777" w:rsidR="00C1548D" w:rsidRDefault="009B1B4B">
            <w:pPr>
              <w:spacing w:line="250" w:lineRule="auto"/>
            </w:pPr>
            <w:r>
              <w:rPr>
                <w:sz w:val="18"/>
                <w:szCs w:val="18"/>
              </w:rPr>
              <w:t>Internationale zahlen meist den Auslandstarif</w:t>
            </w:r>
          </w:p>
        </w:tc>
      </w:tr>
      <w:tr w:rsidR="00C1548D" w14:paraId="70A4CB7E" w14:textId="77777777">
        <w:tblPrEx>
          <w:tblCellMar>
            <w:top w:w="0" w:type="dxa"/>
            <w:bottom w:w="0" w:type="dxa"/>
          </w:tblCellMar>
        </w:tblPrEx>
        <w:trPr>
          <w:cantSplit/>
        </w:trPr>
        <w:tc>
          <w:tcPr>
            <w:tcW w:w="24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7B" w14:textId="77777777" w:rsidR="00C1548D" w:rsidRDefault="009B1B4B">
            <w:pPr>
              <w:spacing w:line="250" w:lineRule="auto"/>
            </w:pPr>
            <w:r>
              <w:rPr>
                <w:sz w:val="18"/>
                <w:szCs w:val="18"/>
              </w:rPr>
              <w:t>Studiengebühren, private Hochschule</w:t>
            </w:r>
          </w:p>
        </w:tc>
        <w:tc>
          <w:tcPr>
            <w:tcW w:w="1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7C" w14:textId="77777777" w:rsidR="00C1548D" w:rsidRDefault="009B1B4B">
            <w:pPr>
              <w:spacing w:line="250" w:lineRule="auto"/>
            </w:pPr>
            <w:r>
              <w:rPr>
                <w:sz w:val="18"/>
                <w:szCs w:val="18"/>
              </w:rPr>
              <w:t>30.000–75.000 $</w:t>
            </w:r>
          </w:p>
        </w:tc>
        <w:tc>
          <w:tcPr>
            <w:tcW w:w="3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7D" w14:textId="77777777" w:rsidR="00C1548D" w:rsidRDefault="009B1B4B">
            <w:pPr>
              <w:spacing w:line="250" w:lineRule="auto"/>
            </w:pPr>
            <w:r>
              <w:rPr>
                <w:sz w:val="18"/>
                <w:szCs w:val="18"/>
              </w:rPr>
              <w:t>Boston University: 73.364 $ (2026/27)</w:t>
            </w:r>
          </w:p>
        </w:tc>
      </w:tr>
      <w:tr w:rsidR="00C1548D" w14:paraId="70A4CB82" w14:textId="77777777">
        <w:tblPrEx>
          <w:tblCellMar>
            <w:top w:w="0" w:type="dxa"/>
            <w:bottom w:w="0" w:type="dxa"/>
          </w:tblCellMar>
        </w:tblPrEx>
        <w:trPr>
          <w:cantSplit/>
        </w:trPr>
        <w:tc>
          <w:tcPr>
            <w:tcW w:w="24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7F" w14:textId="77777777" w:rsidR="00C1548D" w:rsidRDefault="009B1B4B">
            <w:pPr>
              <w:spacing w:line="250" w:lineRule="auto"/>
            </w:pPr>
            <w:r>
              <w:rPr>
                <w:sz w:val="18"/>
                <w:szCs w:val="18"/>
              </w:rPr>
              <w:t>Lebenshaltung inkl. Miete</w:t>
            </w:r>
          </w:p>
        </w:tc>
        <w:tc>
          <w:tcPr>
            <w:tcW w:w="1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80" w14:textId="77777777" w:rsidR="00C1548D" w:rsidRDefault="009B1B4B">
            <w:pPr>
              <w:spacing w:line="250" w:lineRule="auto"/>
            </w:pPr>
            <w:r>
              <w:rPr>
                <w:sz w:val="18"/>
                <w:szCs w:val="18"/>
              </w:rPr>
              <w:t>15.000–30.000 $</w:t>
            </w:r>
          </w:p>
        </w:tc>
        <w:tc>
          <w:tcPr>
            <w:tcW w:w="3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81" w14:textId="77777777" w:rsidR="00C1548D" w:rsidRDefault="009B1B4B">
            <w:pPr>
              <w:spacing w:line="250" w:lineRule="auto"/>
            </w:pPr>
            <w:r>
              <w:rPr>
                <w:sz w:val="18"/>
                <w:szCs w:val="18"/>
              </w:rPr>
              <w:t>Boston University: rund 27.000 $ für neun Monate</w:t>
            </w:r>
          </w:p>
        </w:tc>
      </w:tr>
      <w:tr w:rsidR="00C1548D" w14:paraId="70A4CB86" w14:textId="77777777">
        <w:tblPrEx>
          <w:tblCellMar>
            <w:top w:w="0" w:type="dxa"/>
            <w:bottom w:w="0" w:type="dxa"/>
          </w:tblCellMar>
        </w:tblPrEx>
        <w:trPr>
          <w:cantSplit/>
        </w:trPr>
        <w:tc>
          <w:tcPr>
            <w:tcW w:w="24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83" w14:textId="77777777" w:rsidR="00C1548D" w:rsidRDefault="009B1B4B">
            <w:pPr>
              <w:spacing w:line="250" w:lineRule="auto"/>
            </w:pPr>
            <w:r>
              <w:rPr>
                <w:sz w:val="18"/>
                <w:szCs w:val="18"/>
              </w:rPr>
              <w:t>Krankenversicherung</w:t>
            </w:r>
          </w:p>
        </w:tc>
        <w:tc>
          <w:tcPr>
            <w:tcW w:w="1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84" w14:textId="77777777" w:rsidR="00C1548D" w:rsidRDefault="009B1B4B">
            <w:pPr>
              <w:spacing w:line="250" w:lineRule="auto"/>
            </w:pPr>
            <w:r>
              <w:rPr>
                <w:sz w:val="18"/>
                <w:szCs w:val="18"/>
              </w:rPr>
              <w:t>1.800–4.000 $</w:t>
            </w:r>
          </w:p>
        </w:tc>
        <w:tc>
          <w:tcPr>
            <w:tcW w:w="3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85" w14:textId="77777777" w:rsidR="00C1548D" w:rsidRDefault="009B1B4B">
            <w:pPr>
              <w:spacing w:line="250" w:lineRule="auto"/>
            </w:pPr>
            <w:r>
              <w:rPr>
                <w:sz w:val="18"/>
                <w:szCs w:val="18"/>
              </w:rPr>
              <w:t>Uni-Plan; Boston University: 3.715 $</w:t>
            </w:r>
          </w:p>
        </w:tc>
      </w:tr>
      <w:tr w:rsidR="00C1548D" w14:paraId="70A4CB8A" w14:textId="77777777">
        <w:tblPrEx>
          <w:tblCellMar>
            <w:top w:w="0" w:type="dxa"/>
            <w:bottom w:w="0" w:type="dxa"/>
          </w:tblCellMar>
        </w:tblPrEx>
        <w:trPr>
          <w:cantSplit/>
        </w:trPr>
        <w:tc>
          <w:tcPr>
            <w:tcW w:w="24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87" w14:textId="77777777" w:rsidR="00C1548D" w:rsidRDefault="009B1B4B">
            <w:pPr>
              <w:spacing w:line="250" w:lineRule="auto"/>
            </w:pPr>
            <w:r>
              <w:rPr>
                <w:sz w:val="18"/>
                <w:szCs w:val="18"/>
              </w:rPr>
              <w:t>Einmalig: SEVIS, Visum, Integrity Fee</w:t>
            </w:r>
          </w:p>
        </w:tc>
        <w:tc>
          <w:tcPr>
            <w:tcW w:w="10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88" w14:textId="77777777" w:rsidR="00C1548D" w:rsidRDefault="009B1B4B">
            <w:pPr>
              <w:spacing w:line="250" w:lineRule="auto"/>
            </w:pPr>
            <w:r>
              <w:rPr>
                <w:sz w:val="18"/>
                <w:szCs w:val="18"/>
              </w:rPr>
              <w:t>785 $</w:t>
            </w:r>
          </w:p>
        </w:tc>
        <w:tc>
          <w:tcPr>
            <w:tcW w:w="3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89" w14:textId="77777777" w:rsidR="00C1548D" w:rsidRDefault="009B1B4B">
            <w:pPr>
              <w:spacing w:line="250" w:lineRule="auto"/>
            </w:pPr>
            <w:r>
              <w:rPr>
                <w:sz w:val="18"/>
                <w:szCs w:val="18"/>
              </w:rPr>
              <w:t>Summe aus 350, 185 und 250 $</w:t>
            </w:r>
          </w:p>
        </w:tc>
      </w:tr>
    </w:tbl>
    <w:p w14:paraId="70A4CB8B" w14:textId="77777777" w:rsidR="00C1548D" w:rsidRDefault="00C1548D">
      <w:pPr>
        <w:spacing w:line="180" w:lineRule="exact"/>
      </w:pPr>
    </w:p>
    <w:p w14:paraId="70A4CB8C" w14:textId="77777777" w:rsidR="00C1548D" w:rsidRDefault="009B1B4B">
      <w:pPr>
        <w:spacing w:after="140"/>
      </w:pPr>
      <w:r>
        <w:t xml:space="preserve">Für einen zweijährigen Master ergeben sich damit grob 70.000–150.000 $; ein einjähriges Programm halbiert den Betrag ungefähr. Elite-Universitäten liegen darüber: Die I-20 der Boston University </w:t>
      </w:r>
      <w:r>
        <w:lastRenderedPageBreak/>
        <w:t>weist für neun Monate 105.566 $ aus – diese Summe musst du im Visumverfahren belegen können.</w:t>
      </w:r>
    </w:p>
    <w:p w14:paraId="70A4CB8D" w14:textId="77777777" w:rsidR="00C1548D" w:rsidRDefault="009B1B4B">
      <w:pPr>
        <w:pStyle w:val="Heading3"/>
        <w:keepNext/>
        <w:jc w:val="center"/>
      </w:pPr>
      <w:r>
        <w:rPr>
          <w:rFonts w:ascii="Amazon Ember" w:eastAsia="Amazon Ember" w:hAnsi="Amazon Ember" w:cs="Amazon Ember"/>
          <w:color w:val="0000FF"/>
          <w:sz w:val="36"/>
          <w:szCs w:val="36"/>
        </w:rPr>
        <w:t>Finanzierung: Stipendien, Assistenzstellen, BAföG</w:t>
      </w:r>
    </w:p>
    <w:p w14:paraId="70A4CB8E" w14:textId="77777777" w:rsidR="00C1548D" w:rsidRDefault="009B1B4B" w:rsidP="009B1B4B">
      <w:pPr>
        <w:pStyle w:val="ListParagraph"/>
        <w:numPr>
          <w:ilvl w:val="0"/>
          <w:numId w:val="1"/>
        </w:numPr>
        <w:spacing w:after="60"/>
      </w:pPr>
      <w:r>
        <w:rPr>
          <w:b/>
          <w:bCs/>
        </w:rPr>
        <w:t>Fulbright:</w:t>
      </w:r>
      <w:r>
        <w:t xml:space="preserve"> Die Fulbright-Kommission in Deutschland vergibt in rund 20 Programmen bis zu 700 Stipendien pro Jahr. Master-Programme starten im August oder September 2027; neue Ausschreibungen erscheinen Ende 2026 oder Anfang 2027 (fulbright.de).</w:t>
      </w:r>
    </w:p>
    <w:p w14:paraId="70A4CB8F" w14:textId="77777777" w:rsidR="00C1548D" w:rsidRDefault="009B1B4B" w:rsidP="009B1B4B">
      <w:pPr>
        <w:pStyle w:val="ListParagraph"/>
        <w:numPr>
          <w:ilvl w:val="0"/>
          <w:numId w:val="1"/>
        </w:numPr>
        <w:spacing w:after="60"/>
      </w:pPr>
      <w:r>
        <w:rPr>
          <w:b/>
          <w:bCs/>
        </w:rPr>
        <w:t>DAAD:</w:t>
      </w:r>
      <w:r>
        <w:t xml:space="preserve">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daad.de).</w:t>
      </w:r>
    </w:p>
    <w:p w14:paraId="70A4CB90" w14:textId="77777777" w:rsidR="00C1548D" w:rsidRDefault="009B1B4B" w:rsidP="009B1B4B">
      <w:pPr>
        <w:pStyle w:val="ListParagraph"/>
        <w:numPr>
          <w:ilvl w:val="0"/>
          <w:numId w:val="1"/>
        </w:numPr>
        <w:spacing w:after="60"/>
      </w:pPr>
      <w:r>
        <w:rPr>
          <w:b/>
          <w:bCs/>
        </w:rPr>
        <w:t>Assistenzstellen:</w:t>
      </w:r>
      <w:r>
        <w:t xml:space="preserve"> Eine </w:t>
      </w:r>
      <w:r>
        <w:rPr>
          <w:i/>
          <w:iCs/>
        </w:rPr>
        <w:t>Teaching</w:t>
      </w:r>
      <w:r>
        <w:t xml:space="preserve"> oder </w:t>
      </w:r>
      <w:r>
        <w:rPr>
          <w:i/>
          <w:iCs/>
        </w:rPr>
        <w:t>Research Assistantship</w:t>
      </w:r>
      <w:r>
        <w:t xml:space="preserve"> (Lehr- oder Forschungsstelle mit Gehalt, oft mit Gebührenerlass) ist im Master selten, in der Promotion in STEM-Fächern üblich. Frage im Zulassungsverfahren gezielt danach.</w:t>
      </w:r>
    </w:p>
    <w:p w14:paraId="70A4CB91" w14:textId="77777777" w:rsidR="00C1548D" w:rsidRDefault="009B1B4B" w:rsidP="009B1B4B">
      <w:pPr>
        <w:pStyle w:val="ListParagraph"/>
        <w:numPr>
          <w:ilvl w:val="0"/>
          <w:numId w:val="1"/>
        </w:numPr>
        <w:spacing w:after="60"/>
      </w:pPr>
      <w:r>
        <w:rPr>
          <w:b/>
          <w:bCs/>
        </w:rPr>
        <w:t>Auslands-BAföG:</w:t>
      </w:r>
      <w:r>
        <w:t xml:space="preserve"> Nach § 5 Abs. 2 BAföG lässt sich ein Studium in den USA fördern, wenn es mindestens ein Semester oder sechs Monate dauert. Die Höhe hängt vom Einzelfall ab; Auskunft gibt das zuständige Amt für Ausbildungsförderung.</w:t>
      </w:r>
    </w:p>
    <w:p w14:paraId="70A4CB92"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B9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B93" w14:textId="77777777" w:rsidR="00C1548D" w:rsidRDefault="009B1B4B">
            <w:pPr>
              <w:keepNext/>
              <w:spacing w:after="70" w:line="240" w:lineRule="auto"/>
            </w:pPr>
            <w:r>
              <w:rPr>
                <w:b/>
                <w:bCs/>
                <w:color w:val="9B2C2C"/>
                <w:spacing w:val="24"/>
                <w:sz w:val="16"/>
                <w:szCs w:val="16"/>
              </w:rPr>
              <w:lastRenderedPageBreak/>
              <w:t>ACHTUNG</w:t>
            </w:r>
          </w:p>
          <w:p w14:paraId="70A4CB94" w14:textId="77777777" w:rsidR="00C1548D" w:rsidRDefault="009B1B4B">
            <w:pPr>
              <w:spacing w:after="80" w:line="264" w:lineRule="auto"/>
            </w:pPr>
            <w:r>
              <w:rPr>
                <w:sz w:val="20"/>
                <w:szCs w:val="20"/>
              </w:rPr>
              <w:t>Wer mit Regierungsgeld gefördert wird, etwa über Fulbright, bekommt oft ein J-1-Visum statt F-1 – dann kann die Zwei-Jahres-Regel (</w:t>
            </w:r>
            <w:r>
              <w:rPr>
                <w:i/>
                <w:iCs/>
                <w:sz w:val="20"/>
                <w:szCs w:val="20"/>
              </w:rPr>
              <w:t>Section 212(e)</w:t>
            </w:r>
            <w:r>
              <w:rPr>
                <w:sz w:val="20"/>
                <w:szCs w:val="20"/>
              </w:rPr>
              <w:t>) greifen: Du müsstest zwei Jahre außerhalb der USA verbringen, bevor du in H-1B, L-1 oder Green Card wechseln darfst, sofern kein Verzicht (</w:t>
            </w:r>
            <w:r>
              <w:rPr>
                <w:i/>
                <w:iCs/>
                <w:sz w:val="20"/>
                <w:szCs w:val="20"/>
              </w:rPr>
              <w:t>Waiver</w:t>
            </w:r>
            <w:r>
              <w:rPr>
                <w:sz w:val="20"/>
                <w:szCs w:val="20"/>
              </w:rPr>
              <w:t>) gewährt wird. Frage vor der Annahme schriftlich nach, welches Visum das Stipendium auslöst.</w:t>
            </w:r>
          </w:p>
        </w:tc>
      </w:tr>
    </w:tbl>
    <w:p w14:paraId="70A4CB96" w14:textId="77777777" w:rsidR="00C1548D" w:rsidRDefault="00C1548D">
      <w:pPr>
        <w:spacing w:line="220" w:lineRule="exact"/>
      </w:pPr>
    </w:p>
    <w:p w14:paraId="70A4CB97" w14:textId="77777777" w:rsidR="00C1548D" w:rsidRDefault="009B1B4B">
      <w:pPr>
        <w:pStyle w:val="Heading3"/>
        <w:keepNext/>
        <w:jc w:val="center"/>
      </w:pPr>
      <w:r>
        <w:rPr>
          <w:rFonts w:ascii="Amazon Ember" w:eastAsia="Amazon Ember" w:hAnsi="Amazon Ember" w:cs="Amazon Ember"/>
          <w:color w:val="0000FF"/>
          <w:sz w:val="36"/>
          <w:szCs w:val="36"/>
        </w:rPr>
        <w:t>Arbeiten während des Studiums</w:t>
      </w:r>
    </w:p>
    <w:p w14:paraId="70A4CB98" w14:textId="4805F8D5" w:rsidR="00C1548D" w:rsidRDefault="009B1B4B">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history="1">
        <w:r>
          <w:t>24</w:t>
        </w:r>
      </w:hyperlink>
      <w:r>
        <w:t>). Außerhalb des Campus ist Arbeit erst nach einem vollen akademischen Jahr und nur mit Genehmigung erlaubt; Lieferdienst, Freelance-Aufträge oder bezahlte Nachhilfe ohne Erlaubnis sind ein Statusverstoß.</w:t>
      </w:r>
    </w:p>
    <w:p w14:paraId="70A4CB99" w14:textId="77777777" w:rsidR="00C1548D" w:rsidRDefault="009B1B4B">
      <w:pPr>
        <w:spacing w:after="140"/>
      </w:pPr>
      <w:r>
        <w:t xml:space="preserve">Die wichtigste Genehmigung während des Studiums ist </w:t>
      </w:r>
      <w:r>
        <w:rPr>
          <w:i/>
          <w:iCs/>
        </w:rPr>
        <w:t>Curricular Practical Training</w:t>
      </w:r>
      <w:r>
        <w:t xml:space="preserve"> (CPT): ein Praktikum oder eine Stelle, die Teil deines Studiengangs ist. Dein DSO muss sie vor dem ersten Arbeitstag genehmigen und in SEVIS eintragen. Wer 12 Monate oder länger in Vollzeit-CPT arbeitet, verliert den Anspruch auf OPT.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B9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B9A" w14:textId="77777777" w:rsidR="00C1548D" w:rsidRDefault="009B1B4B">
            <w:pPr>
              <w:keepNext/>
              <w:spacing w:after="70" w:line="240" w:lineRule="auto"/>
            </w:pPr>
            <w:r>
              <w:rPr>
                <w:b/>
                <w:bCs/>
                <w:color w:val="9B2C2C"/>
                <w:spacing w:val="24"/>
                <w:sz w:val="16"/>
                <w:szCs w:val="16"/>
              </w:rPr>
              <w:lastRenderedPageBreak/>
              <w:t>ACHTUNG</w:t>
            </w:r>
          </w:p>
          <w:p w14:paraId="70A4CB9B" w14:textId="77777777" w:rsidR="00C1548D" w:rsidRDefault="009B1B4B">
            <w:pPr>
              <w:spacing w:after="80" w:line="264" w:lineRule="auto"/>
            </w:pPr>
            <w:r>
              <w:rPr>
                <w:sz w:val="20"/>
                <w:szCs w:val="20"/>
              </w:rPr>
              <w:t>Das SEVP hat am 12. und 24. August 2026 die Auslegung von CPT verengt: Das Praktikum muss verpflichtender Bestandteil des 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w:t>
            </w:r>
            <w:r>
              <w:rPr>
                <w:sz w:val="20"/>
                <w:szCs w:val="20"/>
              </w:rPr>
              <w:t>tikum im Programm verpflichtend ist.</w:t>
            </w:r>
          </w:p>
        </w:tc>
      </w:tr>
    </w:tbl>
    <w:p w14:paraId="70A4CB9D" w14:textId="77777777" w:rsidR="00C1548D" w:rsidRDefault="00C1548D">
      <w:pPr>
        <w:spacing w:line="220" w:lineRule="exact"/>
      </w:pPr>
    </w:p>
    <w:p w14:paraId="70A4CB9E" w14:textId="77777777" w:rsidR="00C1548D" w:rsidRDefault="009B1B4B">
      <w:pPr>
        <w:pStyle w:val="Heading3"/>
        <w:keepNext/>
        <w:jc w:val="center"/>
      </w:pPr>
      <w:r>
        <w:rPr>
          <w:rFonts w:ascii="Amazon Ember" w:eastAsia="Amazon Ember" w:hAnsi="Amazon Ember" w:cs="Amazon Ember"/>
          <w:color w:val="0000FF"/>
          <w:sz w:val="36"/>
          <w:szCs w:val="36"/>
        </w:rPr>
        <w:t>OPT und STEM-OPT</w:t>
      </w:r>
    </w:p>
    <w:p w14:paraId="70A4CB9F" w14:textId="77777777" w:rsidR="00C1548D" w:rsidRDefault="009B1B4B">
      <w:pPr>
        <w:spacing w:after="140"/>
      </w:pPr>
      <w:r>
        <w:t>OPT ist das Herzstück des Studienwegs: eine Arbeitserlaubnis (</w:t>
      </w:r>
      <w:r>
        <w:rPr>
          <w:i/>
          <w:iCs/>
        </w:rPr>
        <w:t>Employment Authorization Document</w:t>
      </w:r>
      <w:r>
        <w:t>, EAD) für Arbeit in deinem Fachgebiet. Du beantragst sie mit Form I-765 bei USCIS, nachdem dein DSO die Empfehlung in SEVIS eingetragen hat – arbeiten darfst du erst ab dem Startdatum auf der EAD-Karte.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3"/>
        <w:gridCol w:w="2415"/>
        <w:gridCol w:w="3112"/>
      </w:tblGrid>
      <w:tr w:rsidR="00C1548D" w14:paraId="70A4CBA3" w14:textId="77777777">
        <w:tblPrEx>
          <w:tblCellMar>
            <w:top w:w="0" w:type="dxa"/>
            <w:bottom w:w="0" w:type="dxa"/>
          </w:tblCellMar>
        </w:tblPrEx>
        <w:trPr>
          <w:cantSplit/>
          <w:tblHeader/>
        </w:trPr>
        <w:tc>
          <w:tcPr>
            <w:tcW w:w="9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A0" w14:textId="77777777" w:rsidR="00C1548D" w:rsidRDefault="00C1548D">
            <w:pPr>
              <w:spacing w:line="250" w:lineRule="auto"/>
            </w:pPr>
          </w:p>
        </w:tc>
        <w:tc>
          <w:tcPr>
            <w:tcW w:w="241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A1" w14:textId="77777777" w:rsidR="00C1548D" w:rsidRDefault="009B1B4B">
            <w:pPr>
              <w:spacing w:line="250" w:lineRule="auto"/>
            </w:pPr>
            <w:r>
              <w:rPr>
                <w:b/>
                <w:bCs/>
                <w:sz w:val="18"/>
                <w:szCs w:val="18"/>
              </w:rPr>
              <w:t>OPT</w:t>
            </w:r>
          </w:p>
        </w:tc>
        <w:tc>
          <w:tcPr>
            <w:tcW w:w="311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A2" w14:textId="77777777" w:rsidR="00C1548D" w:rsidRDefault="009B1B4B">
            <w:pPr>
              <w:spacing w:line="250" w:lineRule="auto"/>
            </w:pPr>
            <w:r>
              <w:rPr>
                <w:b/>
                <w:bCs/>
                <w:sz w:val="18"/>
                <w:szCs w:val="18"/>
              </w:rPr>
              <w:t>STEM-OPT-Verlängerung</w:t>
            </w:r>
          </w:p>
        </w:tc>
      </w:tr>
      <w:tr w:rsidR="00C1548D" w14:paraId="70A4CBA7" w14:textId="77777777">
        <w:tblPrEx>
          <w:tblCellMar>
            <w:top w:w="0" w:type="dxa"/>
            <w:bottom w:w="0" w:type="dxa"/>
          </w:tblCellMar>
        </w:tblPrEx>
        <w:trPr>
          <w:cantSplit/>
        </w:trPr>
        <w:tc>
          <w:tcPr>
            <w:tcW w:w="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A4" w14:textId="77777777" w:rsidR="00C1548D" w:rsidRDefault="009B1B4B">
            <w:pPr>
              <w:spacing w:line="250" w:lineRule="auto"/>
            </w:pPr>
            <w:r>
              <w:rPr>
                <w:sz w:val="18"/>
                <w:szCs w:val="18"/>
              </w:rPr>
              <w:t>Dauer</w:t>
            </w:r>
          </w:p>
        </w:tc>
        <w:tc>
          <w:tcPr>
            <w:tcW w:w="2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A5" w14:textId="77777777" w:rsidR="00C1548D" w:rsidRDefault="009B1B4B">
            <w:pPr>
              <w:spacing w:line="250" w:lineRule="auto"/>
            </w:pPr>
            <w:r>
              <w:rPr>
                <w:sz w:val="18"/>
                <w:szCs w:val="18"/>
              </w:rPr>
              <w:t>12 Monate je Abschlussniveau</w:t>
            </w:r>
          </w:p>
        </w:tc>
        <w:tc>
          <w:tcPr>
            <w:tcW w:w="31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A6" w14:textId="77777777" w:rsidR="00C1548D" w:rsidRDefault="009B1B4B">
            <w:pPr>
              <w:spacing w:line="250" w:lineRule="auto"/>
            </w:pPr>
            <w:r>
              <w:rPr>
                <w:sz w:val="18"/>
                <w:szCs w:val="18"/>
              </w:rPr>
              <w:t>zusätzlich 24 Monate (insgesamt 36)</w:t>
            </w:r>
          </w:p>
        </w:tc>
      </w:tr>
      <w:tr w:rsidR="00C1548D" w14:paraId="70A4CBAB" w14:textId="77777777">
        <w:tblPrEx>
          <w:tblCellMar>
            <w:top w:w="0" w:type="dxa"/>
            <w:bottom w:w="0" w:type="dxa"/>
          </w:tblCellMar>
        </w:tblPrEx>
        <w:trPr>
          <w:cantSplit/>
        </w:trPr>
        <w:tc>
          <w:tcPr>
            <w:tcW w:w="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A8" w14:textId="77777777" w:rsidR="00C1548D" w:rsidRDefault="009B1B4B">
            <w:pPr>
              <w:spacing w:line="250" w:lineRule="auto"/>
            </w:pPr>
            <w:r>
              <w:rPr>
                <w:sz w:val="18"/>
                <w:szCs w:val="18"/>
              </w:rPr>
              <w:t>Antrag</w:t>
            </w:r>
          </w:p>
        </w:tc>
        <w:tc>
          <w:tcPr>
            <w:tcW w:w="2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A9" w14:textId="77777777" w:rsidR="00C1548D" w:rsidRDefault="009B1B4B">
            <w:pPr>
              <w:spacing w:line="250" w:lineRule="auto"/>
            </w:pPr>
            <w:r>
              <w:rPr>
                <w:sz w:val="18"/>
                <w:szCs w:val="18"/>
              </w:rPr>
              <w:t>90 Tage vor bis 60 Tage nach Studienende</w:t>
            </w:r>
          </w:p>
        </w:tc>
        <w:tc>
          <w:tcPr>
            <w:tcW w:w="31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AA" w14:textId="77777777" w:rsidR="00C1548D" w:rsidRDefault="009B1B4B">
            <w:pPr>
              <w:spacing w:line="250" w:lineRule="auto"/>
            </w:pPr>
            <w:r>
              <w:rPr>
                <w:sz w:val="18"/>
                <w:szCs w:val="18"/>
              </w:rPr>
              <w:t>bis 90 Tage vor Ablauf der EAD</w:t>
            </w:r>
          </w:p>
        </w:tc>
      </w:tr>
      <w:tr w:rsidR="00C1548D" w14:paraId="70A4CBAF" w14:textId="77777777">
        <w:tblPrEx>
          <w:tblCellMar>
            <w:top w:w="0" w:type="dxa"/>
            <w:bottom w:w="0" w:type="dxa"/>
          </w:tblCellMar>
        </w:tblPrEx>
        <w:trPr>
          <w:cantSplit/>
        </w:trPr>
        <w:tc>
          <w:tcPr>
            <w:tcW w:w="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AC" w14:textId="77777777" w:rsidR="00C1548D" w:rsidRDefault="009B1B4B">
            <w:pPr>
              <w:spacing w:line="250" w:lineRule="auto"/>
            </w:pPr>
            <w:r>
              <w:rPr>
                <w:sz w:val="18"/>
                <w:szCs w:val="18"/>
              </w:rPr>
              <w:t>Bedingung</w:t>
            </w:r>
          </w:p>
        </w:tc>
        <w:tc>
          <w:tcPr>
            <w:tcW w:w="2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AD" w14:textId="77777777" w:rsidR="00C1548D" w:rsidRDefault="009B1B4B">
            <w:pPr>
              <w:spacing w:line="250" w:lineRule="auto"/>
            </w:pPr>
            <w:r>
              <w:rPr>
                <w:sz w:val="18"/>
                <w:szCs w:val="18"/>
              </w:rPr>
              <w:t>Stelle passt zum Fach, mind. 20 Std./Woche</w:t>
            </w:r>
          </w:p>
        </w:tc>
        <w:tc>
          <w:tcPr>
            <w:tcW w:w="31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AE" w14:textId="77777777" w:rsidR="00C1548D" w:rsidRDefault="009B1B4B">
            <w:pPr>
              <w:spacing w:line="250" w:lineRule="auto"/>
            </w:pPr>
            <w:r>
              <w:rPr>
                <w:sz w:val="18"/>
                <w:szCs w:val="18"/>
              </w:rPr>
              <w:t>STEM-Abschluss, E-Verify-Arbeitgeber, Ausbildungsplan</w:t>
            </w:r>
          </w:p>
        </w:tc>
      </w:tr>
      <w:tr w:rsidR="00C1548D" w14:paraId="70A4CBB3" w14:textId="77777777">
        <w:tblPrEx>
          <w:tblCellMar>
            <w:top w:w="0" w:type="dxa"/>
            <w:bottom w:w="0" w:type="dxa"/>
          </w:tblCellMar>
        </w:tblPrEx>
        <w:trPr>
          <w:cantSplit/>
        </w:trPr>
        <w:tc>
          <w:tcPr>
            <w:tcW w:w="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B0" w14:textId="77777777" w:rsidR="00C1548D" w:rsidRDefault="009B1B4B">
            <w:pPr>
              <w:spacing w:line="250" w:lineRule="auto"/>
            </w:pPr>
            <w:r>
              <w:rPr>
                <w:sz w:val="18"/>
                <w:szCs w:val="18"/>
              </w:rPr>
              <w:t>Arbeitslos höchstens</w:t>
            </w:r>
          </w:p>
        </w:tc>
        <w:tc>
          <w:tcPr>
            <w:tcW w:w="2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B1" w14:textId="77777777" w:rsidR="00C1548D" w:rsidRDefault="009B1B4B">
            <w:pPr>
              <w:spacing w:line="250" w:lineRule="auto"/>
            </w:pPr>
            <w:r>
              <w:rPr>
                <w:sz w:val="18"/>
                <w:szCs w:val="18"/>
              </w:rPr>
              <w:t>90 Tage</w:t>
            </w:r>
          </w:p>
        </w:tc>
        <w:tc>
          <w:tcPr>
            <w:tcW w:w="31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B2" w14:textId="77777777" w:rsidR="00C1548D" w:rsidRDefault="009B1B4B">
            <w:pPr>
              <w:spacing w:line="250" w:lineRule="auto"/>
            </w:pPr>
            <w:r>
              <w:rPr>
                <w:sz w:val="18"/>
                <w:szCs w:val="18"/>
              </w:rPr>
              <w:t>insgesamt 150 Tage</w:t>
            </w:r>
          </w:p>
        </w:tc>
      </w:tr>
    </w:tbl>
    <w:p w14:paraId="70A4CBB4" w14:textId="77777777" w:rsidR="00C1548D" w:rsidRDefault="00C1548D">
      <w:pPr>
        <w:spacing w:line="180" w:lineRule="exact"/>
      </w:pPr>
    </w:p>
    <w:p w14:paraId="70A4CBB5" w14:textId="77777777" w:rsidR="00C1548D" w:rsidRDefault="009B1B4B">
      <w:pPr>
        <w:spacing w:after="140"/>
      </w:pPr>
      <w:r>
        <w:t xml:space="preserve">Nach der DSO-Empfehlung bleiben 30 Tage für den OPT-Antrag (STEM-OPT: 60 Tage). Form I-765 kostet 520 $ auf Papier und 470 $ online, Premium Processing 1.780 $. </w:t>
      </w:r>
      <w:r>
        <w:rPr>
          <w:i/>
          <w:iCs/>
        </w:rPr>
        <w:t>E-Verify</w:t>
      </w:r>
      <w:r>
        <w:t xml:space="preserve"> ist das Online-System, mit dem Arbeitgeber die Arbeitsberechtigung prüfen; nicht jeder nimmt teil, und ohne E-Verify gibt es keine STEM-OPT. Arbeitgeber und du erstellt zudem einen Ausbildungsplan (Form I-983); die Behörde kann den Arbeitsplatz besuchen. Bei rechtzeitigem STEM-</w:t>
      </w:r>
      <w:r>
        <w:lastRenderedPageBreak/>
        <w:t>Antrag darfst du bis zu 180 Tage über das EAD-Ende hinaus weiterarbeiten. Eine zweite STEM-OPT gibt es nur mit einem höheren STEM-Abschluss.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BB8"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CBB6" w14:textId="77777777" w:rsidR="00C1548D" w:rsidRDefault="009B1B4B">
            <w:pPr>
              <w:keepNext/>
              <w:spacing w:after="70" w:line="240" w:lineRule="auto"/>
            </w:pPr>
            <w:r>
              <w:rPr>
                <w:b/>
                <w:bCs/>
                <w:color w:val="2F6B3B"/>
                <w:spacing w:val="24"/>
                <w:sz w:val="16"/>
                <w:szCs w:val="16"/>
              </w:rPr>
              <w:t>SPARTIPP</w:t>
            </w:r>
          </w:p>
          <w:p w14:paraId="70A4CBB7" w14:textId="77777777" w:rsidR="00C1548D" w:rsidRDefault="009B1B4B">
            <w:pPr>
              <w:spacing w:after="80" w:line="264" w:lineRule="auto"/>
            </w:pPr>
            <w:r>
              <w:rPr>
                <w:sz w:val="20"/>
                <w:szCs w:val="20"/>
              </w:rPr>
              <w:t>Reiche den I-765 online ein: 470 statt 520 $ pro Antrag. Beantrage früh, ab 90 Tage vor Studienende – wer zu spät dran ist, zahlt für Premium Processing 1.780 $.</w:t>
            </w:r>
          </w:p>
        </w:tc>
      </w:tr>
    </w:tbl>
    <w:p w14:paraId="70A4CBB9"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BB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BBA" w14:textId="77777777" w:rsidR="00C1548D" w:rsidRDefault="009B1B4B">
            <w:pPr>
              <w:keepNext/>
              <w:spacing w:after="70" w:line="240" w:lineRule="auto"/>
            </w:pPr>
            <w:r>
              <w:rPr>
                <w:b/>
                <w:bCs/>
                <w:color w:val="9B2C2C"/>
                <w:spacing w:val="24"/>
                <w:sz w:val="16"/>
                <w:szCs w:val="16"/>
              </w:rPr>
              <w:t>ACHTUNG</w:t>
            </w:r>
          </w:p>
          <w:p w14:paraId="70A4CBBB" w14:textId="77777777" w:rsidR="00C1548D" w:rsidRDefault="009B1B4B">
            <w:pPr>
              <w:spacing w:after="80" w:line="264" w:lineRule="auto"/>
            </w:pPr>
            <w:r>
              <w:rPr>
                <w:sz w:val="20"/>
                <w:szCs w:val="20"/>
              </w:rPr>
              <w:t>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tc>
      </w:tr>
    </w:tbl>
    <w:p w14:paraId="70A4CBBD" w14:textId="77777777" w:rsidR="00C1548D" w:rsidRDefault="00C1548D">
      <w:pPr>
        <w:spacing w:line="220" w:lineRule="exact"/>
      </w:pPr>
    </w:p>
    <w:p w14:paraId="70A4CBBE" w14:textId="77777777" w:rsidR="00C1548D" w:rsidRDefault="009B1B4B">
      <w:pPr>
        <w:spacing w:after="140"/>
      </w:pPr>
      <w:r>
        <w:t>OPT beruht auf einer Verordnung, nicht auf einem Gesetz, und lässt sich per Regel ändern –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w14:paraId="70A4CBBF" w14:textId="77777777" w:rsidR="00C1548D" w:rsidRDefault="009B1B4B">
      <w:pPr>
        <w:pStyle w:val="Heading3"/>
        <w:keepNext/>
        <w:jc w:val="center"/>
      </w:pPr>
      <w:r>
        <w:rPr>
          <w:rFonts w:ascii="Amazon Ember" w:eastAsia="Amazon Ember" w:hAnsi="Amazon Ember" w:cs="Amazon Ember"/>
          <w:color w:val="0000FF"/>
          <w:sz w:val="36"/>
          <w:szCs w:val="36"/>
        </w:rPr>
        <w:t>Der Statuswechsel: vom Studium zum H-1B</w:t>
      </w:r>
    </w:p>
    <w:p w14:paraId="70A4CBC0" w14:textId="1EE541EB" w:rsidR="00C1548D" w:rsidRDefault="009B1B4B">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den Statuswechsel im Inland von F-1 zu H-1B, ohne Ausreise und ohne Konsulat. Der H-1B-Status beginnt frühestens am 1. Oktober (Verfahren im Detail: Kapitel </w:t>
      </w:r>
      <w:hyperlink w:anchor="k5" w:history="1">
        <w:r>
          <w:t>5</w:t>
        </w:r>
      </w:hyperlink>
      <w:r>
        <w:t>).</w:t>
      </w:r>
    </w:p>
    <w:p w14:paraId="70A4CBC1" w14:textId="77777777" w:rsidR="00C1548D" w:rsidRDefault="009B1B4B">
      <w:pPr>
        <w:spacing w:after="140"/>
      </w:pPr>
      <w:r>
        <w:lastRenderedPageBreak/>
        <w:t xml:space="preserve">Ein Problem: Dein OPT endet oft vor dem 1. Oktober. Die </w:t>
      </w:r>
      <w:r>
        <w:rPr>
          <w:i/>
          <w:iCs/>
        </w:rPr>
        <w:t>Cap-Gap</w:t>
      </w:r>
      <w:r>
        <w:t>-Regel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BC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BC2" w14:textId="77777777" w:rsidR="00C1548D" w:rsidRDefault="009B1B4B">
            <w:pPr>
              <w:keepNext/>
              <w:spacing w:after="70" w:line="240" w:lineRule="auto"/>
            </w:pPr>
            <w:r>
              <w:rPr>
                <w:b/>
                <w:bCs/>
                <w:color w:val="9B2C2C"/>
                <w:spacing w:val="24"/>
                <w:sz w:val="16"/>
                <w:szCs w:val="16"/>
              </w:rPr>
              <w:t>ACHTUNG</w:t>
            </w:r>
          </w:p>
          <w:p w14:paraId="70A4CBC3" w14:textId="77777777" w:rsidR="00C1548D" w:rsidRDefault="009B1B4B">
            <w:pPr>
              <w:spacing w:after="80" w:line="264" w:lineRule="auto"/>
            </w:pPr>
            <w:r>
              <w:rPr>
                <w:sz w:val="20"/>
                <w:szCs w:val="20"/>
              </w:rPr>
              <w:t>Reise während des laufenden Statuswechsels oder der Cap-Gap-Zeit nur, wenn die Genehmigung schon vorliegt – sonst gilt die Petition als aufgegeben, und die Ausreise vor der Entscheidung kann die 100.000-$-Zahlung auslösen (derzeit gerichtlich blockiert). Kläre jede Reise vorher mit dem Anwalt des Arbeitgebers.</w:t>
            </w:r>
          </w:p>
        </w:tc>
      </w:tr>
    </w:tbl>
    <w:p w14:paraId="70A4CBC5" w14:textId="77777777" w:rsidR="00C1548D" w:rsidRDefault="00C1548D">
      <w:pPr>
        <w:spacing w:line="220" w:lineRule="exact"/>
      </w:pPr>
    </w:p>
    <w:p w14:paraId="70A4CBC6" w14:textId="77777777" w:rsidR="00C1548D" w:rsidRDefault="009B1B4B">
      <w:pPr>
        <w:spacing w:after="140"/>
      </w:pPr>
      <w:r>
        <w:t>Zur 100.000-$-Zahlung: Die Proklamation vom 19. September 2025 verlangt sie für neue Petitionen für Personen im Ausland. Für den Statuswechsel im Inland gilt sie nach der USCIS-Leitlinie vom 20. Oktober 2025 nicht, es sei denn, die Petition wird abgelehnt oder du reist vor der Entscheidung aus. Am 18. September 2026 wurde die Proklamation bis zum 21. September 2027 verlängert; die Erhebung ist seit dem Urteil vom 8. Juni 2026 gerichtlich blockiert. Ein DHS-Entwurf vom 25. August 2026 sieht 103.265 $ für Cap</w:t>
      </w:r>
      <w:r>
        <w:t>-Petitionen vor und würde nach drei Kanzleien auch den Inlandswechsel und das Master-Kontingent erfassen – ein Vorschlag, keine geltende Regel, der frühestens ab der Saison im April 2027 greifen könnte.</w:t>
      </w:r>
    </w:p>
    <w:p w14:paraId="70A4CBC7" w14:textId="77777777" w:rsidR="00C1548D" w:rsidRDefault="009B1B4B">
      <w:pPr>
        <w:pStyle w:val="Heading3"/>
        <w:keepNext/>
        <w:jc w:val="center"/>
      </w:pPr>
      <w:r>
        <w:rPr>
          <w:rFonts w:ascii="Amazon Ember" w:eastAsia="Amazon Ember" w:hAnsi="Amazon Ember" w:cs="Amazon Ember"/>
          <w:color w:val="0000FF"/>
          <w:sz w:val="36"/>
          <w:szCs w:val="36"/>
        </w:rPr>
        <w:t>Deine Chancen in der Lotterie</w:t>
      </w:r>
    </w:p>
    <w:p w14:paraId="70A4CBC8" w14:textId="77777777" w:rsidR="00C1548D" w:rsidRDefault="009B1B4B">
      <w:pPr>
        <w:spacing w:after="140"/>
      </w:pPr>
      <w:r>
        <w:t>Ein US-Master zählt doppelt: Neben den 65.000 regulären Plätzen gibt es 20.000 Plätze für Abschlüsse ab Master von US-Hochschulen (</w:t>
      </w:r>
      <w:r>
        <w:rPr>
          <w:i/>
          <w:iCs/>
        </w:rPr>
        <w:t>Master-Quote</w:t>
      </w:r>
      <w:r>
        <w:t xml:space="preserve">) – wer im regulären Durchgang nicht gezogen wird, kommt in eine zweite Auswahl für diese Plätze. Seit dem Fiskaljahr 2027 gewichtet USCIS zudem nach Lohn: Level IV, die höchste Lohnstufe, bringt vier Lose, Level I nur eines. DHS rechnete vor der </w:t>
      </w:r>
      <w:r>
        <w:lastRenderedPageBreak/>
        <w:t>Einführung mit Chancen von etwa 15 % (Level I) bis 61 % (Level IV), gegenüber etwa 30 % bei reinem Zufall.</w:t>
      </w:r>
    </w:p>
    <w:p w14:paraId="70A4CBC9" w14:textId="77777777" w:rsidR="00C1548D" w:rsidRDefault="009B1B4B">
      <w:pPr>
        <w:spacing w:after="140"/>
      </w:pPr>
      <w:r>
        <w:t>Die Zahlen für FY2027: 211.600 zulässige Registrierungen, rund 38 % weniger als im Vorjahr. 71,5 % der Ausgewählten hatten einen US-Master oder mehr (Vorjahr 57 %), nur 17,7 % lagen in Level I. Die Auswahlquote hat USCIS nicht genannt; im Vorjahr lag sie bei rund 35 % (120.141 von 343.981). DHS begründete die Gewichtung damit, dass zuvor etwa 80 % der Stellen in Level I oder II lagen und Einstiegsgehälter oft dorthin fallen. Lass dir vom Arbeitgeber vorab bestätigen, welche Lohnstufe dein Angebot erreicht –</w:t>
      </w:r>
      <w:r>
        <w:t xml:space="preserve"> sie bestimmt die Zahl deiner Lose.</w:t>
      </w:r>
    </w:p>
    <w:p w14:paraId="70A4CBCA" w14:textId="77777777" w:rsidR="00C1548D" w:rsidRDefault="009B1B4B">
      <w:pPr>
        <w:pStyle w:val="Heading3"/>
        <w:keepNext/>
        <w:jc w:val="center"/>
      </w:pPr>
      <w:r>
        <w:rPr>
          <w:rFonts w:ascii="Amazon Ember" w:eastAsia="Amazon Ember" w:hAnsi="Amazon Ember" w:cs="Amazon Ember"/>
          <w:color w:val="0000FF"/>
          <w:sz w:val="36"/>
          <w:szCs w:val="36"/>
        </w:rPr>
        <w:t>Die Zeitleiste: Studium, OPT, H-1B, Green Card</w:t>
      </w:r>
    </w:p>
    <w:p w14:paraId="70A4CBCB" w14:textId="77777777" w:rsidR="00C1548D" w:rsidRDefault="009B1B4B">
      <w:pPr>
        <w:spacing w:after="140"/>
      </w:pPr>
      <w:r>
        <w:t>Beispiel für einen Master-Abschluss im Mai 2028, abgeleitet aus den Fristen (kein festes Schema):</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5"/>
        <w:gridCol w:w="2206"/>
        <w:gridCol w:w="950"/>
        <w:gridCol w:w="2239"/>
      </w:tblGrid>
      <w:tr w:rsidR="00C1548D" w14:paraId="70A4CBD0" w14:textId="77777777">
        <w:tblPrEx>
          <w:tblCellMar>
            <w:top w:w="0" w:type="dxa"/>
            <w:bottom w:w="0" w:type="dxa"/>
          </w:tblCellMar>
        </w:tblPrEx>
        <w:trPr>
          <w:cantSplit/>
          <w:tblHeader/>
        </w:trPr>
        <w:tc>
          <w:tcPr>
            <w:tcW w:w="10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CC" w14:textId="77777777" w:rsidR="00C1548D" w:rsidRDefault="009B1B4B">
            <w:pPr>
              <w:spacing w:line="250" w:lineRule="auto"/>
            </w:pPr>
            <w:r>
              <w:rPr>
                <w:b/>
                <w:bCs/>
                <w:sz w:val="18"/>
                <w:szCs w:val="18"/>
              </w:rPr>
              <w:t>Phase</w:t>
            </w:r>
          </w:p>
        </w:tc>
        <w:tc>
          <w:tcPr>
            <w:tcW w:w="220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CD" w14:textId="77777777" w:rsidR="00C1548D" w:rsidRDefault="009B1B4B">
            <w:pPr>
              <w:spacing w:line="250" w:lineRule="auto"/>
            </w:pPr>
            <w:r>
              <w:rPr>
                <w:b/>
                <w:bCs/>
                <w:sz w:val="18"/>
                <w:szCs w:val="18"/>
              </w:rPr>
              <w:t>Zeitraum</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CE" w14:textId="77777777" w:rsidR="00C1548D" w:rsidRDefault="009B1B4B">
            <w:pPr>
              <w:spacing w:line="250" w:lineRule="auto"/>
            </w:pPr>
            <w:r>
              <w:rPr>
                <w:b/>
                <w:bCs/>
                <w:sz w:val="18"/>
                <w:szCs w:val="18"/>
              </w:rPr>
              <w:t>Status</w:t>
            </w:r>
          </w:p>
        </w:tc>
        <w:tc>
          <w:tcPr>
            <w:tcW w:w="223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BCF" w14:textId="77777777" w:rsidR="00C1548D" w:rsidRDefault="009B1B4B">
            <w:pPr>
              <w:spacing w:line="250" w:lineRule="auto"/>
            </w:pPr>
            <w:r>
              <w:rPr>
                <w:b/>
                <w:bCs/>
                <w:sz w:val="18"/>
                <w:szCs w:val="18"/>
              </w:rPr>
              <w:t>Wichtig</w:t>
            </w:r>
          </w:p>
        </w:tc>
      </w:tr>
      <w:tr w:rsidR="00C1548D" w14:paraId="70A4CBD5" w14:textId="77777777">
        <w:tblPrEx>
          <w:tblCellMar>
            <w:top w:w="0" w:type="dxa"/>
            <w:bottom w:w="0" w:type="dxa"/>
          </w:tblCellMar>
        </w:tblPrEx>
        <w:trPr>
          <w:cantSplit/>
        </w:trPr>
        <w:tc>
          <w:tcPr>
            <w:tcW w:w="1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1" w14:textId="77777777" w:rsidR="00C1548D" w:rsidRDefault="009B1B4B">
            <w:pPr>
              <w:spacing w:line="250" w:lineRule="auto"/>
            </w:pPr>
            <w:r>
              <w:rPr>
                <w:sz w:val="18"/>
                <w:szCs w:val="18"/>
              </w:rPr>
              <w:t>Zulassung, I-20, Visum</w:t>
            </w:r>
          </w:p>
        </w:tc>
        <w:tc>
          <w:tcPr>
            <w:tcW w:w="22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2" w14:textId="77777777" w:rsidR="00C1548D" w:rsidRDefault="009B1B4B">
            <w:pPr>
              <w:spacing w:line="250" w:lineRule="auto"/>
            </w:pPr>
            <w:r>
              <w:rPr>
                <w:sz w:val="18"/>
                <w:szCs w:val="18"/>
              </w:rPr>
              <w:t>2026, vor Studienstart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3" w14:textId="77777777" w:rsidR="00C1548D" w:rsidRDefault="009B1B4B">
            <w:pPr>
              <w:spacing w:line="250" w:lineRule="auto"/>
            </w:pPr>
            <w:r>
              <w:rPr>
                <w:sz w:val="18"/>
                <w:szCs w:val="18"/>
              </w:rPr>
              <w:t>F-1-Visum</w:t>
            </w:r>
          </w:p>
        </w:tc>
        <w:tc>
          <w:tcPr>
            <w:tcW w:w="22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4" w14:textId="77777777" w:rsidR="00C1548D" w:rsidRDefault="009B1B4B">
            <w:pPr>
              <w:spacing w:line="250" w:lineRule="auto"/>
            </w:pPr>
            <w:r>
              <w:rPr>
                <w:sz w:val="18"/>
                <w:szCs w:val="18"/>
              </w:rPr>
              <w:t>Finanznachweis, Interview</w:t>
            </w:r>
          </w:p>
        </w:tc>
      </w:tr>
      <w:tr w:rsidR="00C1548D" w14:paraId="70A4CBDA" w14:textId="77777777">
        <w:tblPrEx>
          <w:tblCellMar>
            <w:top w:w="0" w:type="dxa"/>
            <w:bottom w:w="0" w:type="dxa"/>
          </w:tblCellMar>
        </w:tblPrEx>
        <w:trPr>
          <w:cantSplit/>
        </w:trPr>
        <w:tc>
          <w:tcPr>
            <w:tcW w:w="1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6" w14:textId="77777777" w:rsidR="00C1548D" w:rsidRDefault="009B1B4B">
            <w:pPr>
              <w:spacing w:line="250" w:lineRule="auto"/>
            </w:pPr>
            <w:r>
              <w:rPr>
                <w:sz w:val="18"/>
                <w:szCs w:val="18"/>
              </w:rPr>
              <w:t>Master</w:t>
            </w:r>
          </w:p>
        </w:tc>
        <w:tc>
          <w:tcPr>
            <w:tcW w:w="22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7" w14:textId="77777777" w:rsidR="00C1548D" w:rsidRDefault="009B1B4B">
            <w:pPr>
              <w:spacing w:line="250" w:lineRule="auto"/>
            </w:pPr>
            <w:r>
              <w:rPr>
                <w:sz w:val="18"/>
                <w:szCs w:val="18"/>
              </w:rPr>
              <w:t>Aug. 2026 bis Mai 2028</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8" w14:textId="77777777" w:rsidR="00C1548D" w:rsidRDefault="009B1B4B">
            <w:pPr>
              <w:spacing w:line="250" w:lineRule="auto"/>
            </w:pPr>
            <w:r>
              <w:rPr>
                <w:sz w:val="18"/>
                <w:szCs w:val="18"/>
              </w:rPr>
              <w:t>F-1</w:t>
            </w:r>
          </w:p>
        </w:tc>
        <w:tc>
          <w:tcPr>
            <w:tcW w:w="22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9" w14:textId="77777777" w:rsidR="00C1548D" w:rsidRDefault="009B1B4B">
            <w:pPr>
              <w:spacing w:line="250" w:lineRule="auto"/>
            </w:pPr>
            <w:r>
              <w:rPr>
                <w:sz w:val="18"/>
                <w:szCs w:val="18"/>
              </w:rPr>
              <w:t>On-campus, CPT nach DSO-Freigabe</w:t>
            </w:r>
          </w:p>
        </w:tc>
      </w:tr>
      <w:tr w:rsidR="00C1548D" w14:paraId="70A4CBDF" w14:textId="77777777">
        <w:tblPrEx>
          <w:tblCellMar>
            <w:top w:w="0" w:type="dxa"/>
            <w:bottom w:w="0" w:type="dxa"/>
          </w:tblCellMar>
        </w:tblPrEx>
        <w:trPr>
          <w:cantSplit/>
        </w:trPr>
        <w:tc>
          <w:tcPr>
            <w:tcW w:w="1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B" w14:textId="77777777" w:rsidR="00C1548D" w:rsidRDefault="009B1B4B">
            <w:pPr>
              <w:spacing w:line="250" w:lineRule="auto"/>
            </w:pPr>
            <w:r>
              <w:rPr>
                <w:sz w:val="18"/>
                <w:szCs w:val="18"/>
              </w:rPr>
              <w:t>OPT</w:t>
            </w:r>
          </w:p>
        </w:tc>
        <w:tc>
          <w:tcPr>
            <w:tcW w:w="22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C" w14:textId="77777777" w:rsidR="00C1548D" w:rsidRDefault="009B1B4B">
            <w:pPr>
              <w:spacing w:line="250" w:lineRule="auto"/>
            </w:pPr>
            <w:r>
              <w:rPr>
                <w:sz w:val="18"/>
                <w:szCs w:val="18"/>
              </w:rPr>
              <w:t>Juni 2028 bis Mai 2029</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D" w14:textId="77777777" w:rsidR="00C1548D" w:rsidRDefault="009B1B4B">
            <w:pPr>
              <w:spacing w:line="250" w:lineRule="auto"/>
            </w:pPr>
            <w:r>
              <w:rPr>
                <w:sz w:val="18"/>
                <w:szCs w:val="18"/>
              </w:rPr>
              <w:t>F-1 mit EAD</w:t>
            </w:r>
          </w:p>
        </w:tc>
        <w:tc>
          <w:tcPr>
            <w:tcW w:w="22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DE" w14:textId="77777777" w:rsidR="00C1548D" w:rsidRDefault="009B1B4B">
            <w:pPr>
              <w:spacing w:line="250" w:lineRule="auto"/>
            </w:pPr>
            <w:r>
              <w:rPr>
                <w:sz w:val="18"/>
                <w:szCs w:val="18"/>
              </w:rPr>
              <w:t>höchstens 90 Tage arbeitslos</w:t>
            </w:r>
          </w:p>
        </w:tc>
      </w:tr>
      <w:tr w:rsidR="00C1548D" w14:paraId="70A4CBE4" w14:textId="77777777">
        <w:tblPrEx>
          <w:tblCellMar>
            <w:top w:w="0" w:type="dxa"/>
            <w:bottom w:w="0" w:type="dxa"/>
          </w:tblCellMar>
        </w:tblPrEx>
        <w:trPr>
          <w:cantSplit/>
        </w:trPr>
        <w:tc>
          <w:tcPr>
            <w:tcW w:w="1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0" w14:textId="77777777" w:rsidR="00C1548D" w:rsidRDefault="009B1B4B">
            <w:pPr>
              <w:spacing w:line="250" w:lineRule="auto"/>
            </w:pPr>
            <w:r>
              <w:rPr>
                <w:sz w:val="18"/>
                <w:szCs w:val="18"/>
              </w:rPr>
              <w:t>STEM-OPT</w:t>
            </w:r>
          </w:p>
        </w:tc>
        <w:tc>
          <w:tcPr>
            <w:tcW w:w="22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1" w14:textId="77777777" w:rsidR="00C1548D" w:rsidRDefault="009B1B4B">
            <w:pPr>
              <w:spacing w:line="250" w:lineRule="auto"/>
            </w:pPr>
            <w:r>
              <w:rPr>
                <w:sz w:val="18"/>
                <w:szCs w:val="18"/>
              </w:rPr>
              <w:t>Juni 2029 bis Mai 2031</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2" w14:textId="77777777" w:rsidR="00C1548D" w:rsidRDefault="009B1B4B">
            <w:pPr>
              <w:spacing w:line="250" w:lineRule="auto"/>
            </w:pPr>
            <w:r>
              <w:rPr>
                <w:sz w:val="18"/>
                <w:szCs w:val="18"/>
              </w:rPr>
              <w:t>F-1 mit STEM-EAD</w:t>
            </w:r>
          </w:p>
        </w:tc>
        <w:tc>
          <w:tcPr>
            <w:tcW w:w="22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3" w14:textId="77777777" w:rsidR="00C1548D" w:rsidRDefault="009B1B4B">
            <w:pPr>
              <w:spacing w:line="250" w:lineRule="auto"/>
            </w:pPr>
            <w:r>
              <w:rPr>
                <w:sz w:val="18"/>
                <w:szCs w:val="18"/>
              </w:rPr>
              <w:t>E-Verify, Form I-983</w:t>
            </w:r>
          </w:p>
        </w:tc>
      </w:tr>
      <w:tr w:rsidR="00C1548D" w14:paraId="70A4CBE9" w14:textId="77777777">
        <w:tblPrEx>
          <w:tblCellMar>
            <w:top w:w="0" w:type="dxa"/>
            <w:bottom w:w="0" w:type="dxa"/>
          </w:tblCellMar>
        </w:tblPrEx>
        <w:trPr>
          <w:cantSplit/>
        </w:trPr>
        <w:tc>
          <w:tcPr>
            <w:tcW w:w="1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5" w14:textId="77777777" w:rsidR="00C1548D" w:rsidRDefault="009B1B4B">
            <w:pPr>
              <w:spacing w:line="250" w:lineRule="auto"/>
            </w:pPr>
            <w:r>
              <w:rPr>
                <w:sz w:val="18"/>
                <w:szCs w:val="18"/>
              </w:rPr>
              <w:t>H-1B-Lotterien</w:t>
            </w:r>
          </w:p>
        </w:tc>
        <w:tc>
          <w:tcPr>
            <w:tcW w:w="22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6" w14:textId="77777777" w:rsidR="00C1548D" w:rsidRDefault="009B1B4B">
            <w:pPr>
              <w:spacing w:line="250" w:lineRule="auto"/>
            </w:pPr>
            <w:r>
              <w:rPr>
                <w:sz w:val="18"/>
                <w:szCs w:val="18"/>
              </w:rPr>
              <w:t>März 2028, 2029, 2030, mit Cap-Gap 2031</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7" w14:textId="77777777" w:rsidR="00C1548D" w:rsidRDefault="009B1B4B">
            <w:pPr>
              <w:spacing w:line="250" w:lineRule="auto"/>
            </w:pPr>
            <w:r>
              <w:rPr>
                <w:sz w:val="18"/>
                <w:szCs w:val="18"/>
              </w:rPr>
              <w:t>–</w:t>
            </w:r>
          </w:p>
        </w:tc>
        <w:tc>
          <w:tcPr>
            <w:tcW w:w="22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8" w14:textId="77777777" w:rsidR="00C1548D" w:rsidRDefault="009B1B4B">
            <w:pPr>
              <w:spacing w:line="250" w:lineRule="auto"/>
            </w:pPr>
            <w:r>
              <w:rPr>
                <w:sz w:val="18"/>
                <w:szCs w:val="18"/>
              </w:rPr>
              <w:t>drei bis vier Versuche</w:t>
            </w:r>
          </w:p>
        </w:tc>
      </w:tr>
      <w:tr w:rsidR="00C1548D" w14:paraId="70A4CBEE" w14:textId="77777777">
        <w:tblPrEx>
          <w:tblCellMar>
            <w:top w:w="0" w:type="dxa"/>
            <w:bottom w:w="0" w:type="dxa"/>
          </w:tblCellMar>
        </w:tblPrEx>
        <w:trPr>
          <w:cantSplit/>
        </w:trPr>
        <w:tc>
          <w:tcPr>
            <w:tcW w:w="1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A" w14:textId="77777777" w:rsidR="00C1548D" w:rsidRDefault="009B1B4B">
            <w:pPr>
              <w:spacing w:line="250" w:lineRule="auto"/>
            </w:pPr>
            <w:r>
              <w:rPr>
                <w:sz w:val="18"/>
                <w:szCs w:val="18"/>
              </w:rPr>
              <w:t>H-1B</w:t>
            </w:r>
          </w:p>
        </w:tc>
        <w:tc>
          <w:tcPr>
            <w:tcW w:w="22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B" w14:textId="77777777" w:rsidR="00C1548D" w:rsidRDefault="009B1B4B">
            <w:pPr>
              <w:spacing w:line="250" w:lineRule="auto"/>
            </w:pPr>
            <w:r>
              <w:rPr>
                <w:sz w:val="18"/>
                <w:szCs w:val="18"/>
              </w:rPr>
              <w:t>ab 1. Oktober nach Gewinn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C" w14:textId="77777777" w:rsidR="00C1548D" w:rsidRDefault="009B1B4B">
            <w:pPr>
              <w:spacing w:line="250" w:lineRule="auto"/>
            </w:pPr>
            <w:r>
              <w:rPr>
                <w:sz w:val="18"/>
                <w:szCs w:val="18"/>
              </w:rPr>
              <w:t>H-1B</w:t>
            </w:r>
          </w:p>
        </w:tc>
        <w:tc>
          <w:tcPr>
            <w:tcW w:w="22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D" w14:textId="77777777" w:rsidR="00C1548D" w:rsidRDefault="009B1B4B">
            <w:pPr>
              <w:spacing w:line="250" w:lineRule="auto"/>
            </w:pPr>
            <w:r>
              <w:rPr>
                <w:sz w:val="18"/>
                <w:szCs w:val="18"/>
              </w:rPr>
              <w:t>3 + 3 Jahre, Dual Intent</w:t>
            </w:r>
          </w:p>
        </w:tc>
      </w:tr>
      <w:tr w:rsidR="00C1548D" w14:paraId="70A4CBF3" w14:textId="77777777">
        <w:tblPrEx>
          <w:tblCellMar>
            <w:top w:w="0" w:type="dxa"/>
            <w:bottom w:w="0" w:type="dxa"/>
          </w:tblCellMar>
        </w:tblPrEx>
        <w:trPr>
          <w:cantSplit/>
        </w:trPr>
        <w:tc>
          <w:tcPr>
            <w:tcW w:w="1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EF" w14:textId="77777777" w:rsidR="00C1548D" w:rsidRDefault="009B1B4B">
            <w:pPr>
              <w:spacing w:line="250" w:lineRule="auto"/>
            </w:pPr>
            <w:r>
              <w:rPr>
                <w:sz w:val="18"/>
                <w:szCs w:val="18"/>
              </w:rPr>
              <w:t>Green Card</w:t>
            </w:r>
          </w:p>
        </w:tc>
        <w:tc>
          <w:tcPr>
            <w:tcW w:w="22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F0" w14:textId="77777777" w:rsidR="00C1548D" w:rsidRDefault="009B1B4B">
            <w:pPr>
              <w:spacing w:line="250" w:lineRule="auto"/>
            </w:pPr>
            <w:r>
              <w:rPr>
                <w:sz w:val="18"/>
                <w:szCs w:val="18"/>
              </w:rPr>
              <w:t>früh im H-1B starten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F1" w14:textId="77777777" w:rsidR="00C1548D" w:rsidRDefault="009B1B4B">
            <w:pPr>
              <w:spacing w:line="250" w:lineRule="auto"/>
            </w:pPr>
            <w:r>
              <w:rPr>
                <w:sz w:val="18"/>
                <w:szCs w:val="18"/>
              </w:rPr>
              <w:t>Green Card</w:t>
            </w:r>
          </w:p>
        </w:tc>
        <w:tc>
          <w:tcPr>
            <w:tcW w:w="22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BF2" w14:textId="06A9AFCD" w:rsidR="00C1548D" w:rsidRDefault="009B1B4B">
            <w:pPr>
              <w:spacing w:line="250" w:lineRule="auto"/>
            </w:pPr>
            <w:r>
              <w:rPr>
                <w:sz w:val="18"/>
                <w:szCs w:val="18"/>
              </w:rPr>
              <w:t>PERM, I-140, I-485 (Kapitel </w:t>
            </w:r>
            <w:hyperlink w:anchor="k6" w:history="1">
              <w:r>
                <w:rPr>
                  <w:sz w:val="18"/>
                  <w:szCs w:val="18"/>
                </w:rPr>
                <w:t>6</w:t>
              </w:r>
            </w:hyperlink>
            <w:r>
              <w:rPr>
                <w:sz w:val="18"/>
                <w:szCs w:val="18"/>
              </w:rPr>
              <w:t xml:space="preserve">, </w:t>
            </w:r>
            <w:hyperlink w:anchor="k7" w:history="1">
              <w:r>
                <w:rPr>
                  <w:sz w:val="18"/>
                  <w:szCs w:val="18"/>
                </w:rPr>
                <w:t>7</w:t>
              </w:r>
            </w:hyperlink>
            <w:r>
              <w:rPr>
                <w:sz w:val="18"/>
                <w:szCs w:val="18"/>
              </w:rPr>
              <w:t>)</w:t>
            </w:r>
          </w:p>
        </w:tc>
      </w:tr>
    </w:tbl>
    <w:p w14:paraId="70A4CBF4" w14:textId="77777777" w:rsidR="00C1548D" w:rsidRDefault="00C1548D">
      <w:pPr>
        <w:spacing w:line="180" w:lineRule="exact"/>
      </w:pPr>
    </w:p>
    <w:p w14:paraId="70A4CBF5" w14:textId="77777777" w:rsidR="00C1548D" w:rsidRDefault="009B1B4B">
      <w:pPr>
        <w:spacing w:after="140"/>
      </w:pPr>
      <w:r>
        <w:lastRenderedPageBreak/>
        <w:t>Voraussetzung für die späteren Versuche ist ein STEM-OPT-fähiger Job bei einem E-Verify-Arbeitgeber.</w:t>
      </w:r>
    </w:p>
    <w:p w14:paraId="70A4CBF6" w14:textId="77777777" w:rsidR="00C1548D" w:rsidRDefault="009B1B4B">
      <w:pPr>
        <w:pStyle w:val="Heading3"/>
        <w:keepNext/>
        <w:jc w:val="center"/>
      </w:pPr>
      <w:r>
        <w:rPr>
          <w:rFonts w:ascii="Amazon Ember" w:eastAsia="Amazon Ember" w:hAnsi="Amazon Ember" w:cs="Amazon Ember"/>
          <w:color w:val="0000FF"/>
          <w:sz w:val="36"/>
          <w:szCs w:val="36"/>
        </w:rPr>
        <w:t>Green Card: das Dual-Intent-Problem</w:t>
      </w:r>
    </w:p>
    <w:p w14:paraId="70A4CBF7" w14:textId="5C854FFC" w:rsidR="00C1548D" w:rsidRDefault="009B1B4B">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bewerten, ist Einzelfall und gehört in die Hände einer Kanzlei. Die übliche Route: F-1, OPT, H-1B, dann PERM und I-140 über den Arbeitgeber (Kapitel </w:t>
      </w:r>
      <w:hyperlink w:anchor="k6" w:history="1">
        <w:r>
          <w:t>6</w:t>
        </w:r>
      </w:hyperlink>
      <w:r>
        <w:t xml:space="preserve"> und </w:t>
      </w:r>
      <w:hyperlink w:anchor="k7" w:history="1">
        <w:r>
          <w:t>7</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BF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BF8" w14:textId="77777777" w:rsidR="00C1548D" w:rsidRDefault="009B1B4B">
            <w:pPr>
              <w:keepNext/>
              <w:spacing w:after="70" w:line="240" w:lineRule="auto"/>
            </w:pPr>
            <w:r>
              <w:rPr>
                <w:b/>
                <w:bCs/>
                <w:color w:val="8A6212"/>
                <w:spacing w:val="24"/>
                <w:sz w:val="16"/>
                <w:szCs w:val="16"/>
              </w:rPr>
              <w:t>MERKE</w:t>
            </w:r>
          </w:p>
          <w:p w14:paraId="70A4CBF9" w14:textId="77777777" w:rsidR="00C1548D" w:rsidRDefault="009B1B4B">
            <w:pPr>
              <w:spacing w:after="80" w:line="264" w:lineRule="auto"/>
            </w:pPr>
            <w:r>
              <w:rPr>
                <w:sz w:val="20"/>
                <w:szCs w:val="20"/>
              </w:rPr>
              <w:t>Der Studienweg kauft dir Zeit und Lotterie-Chancen, aber kein Aufenthaltsrecht. Erst mit dem H-1B-Status ist eine Green-Card-Absicht offen erlaubt.</w:t>
            </w:r>
          </w:p>
        </w:tc>
      </w:tr>
    </w:tbl>
    <w:p w14:paraId="70A4CBFB" w14:textId="77777777" w:rsidR="00C1548D" w:rsidRDefault="00C1548D">
      <w:pPr>
        <w:spacing w:line="220" w:lineRule="exact"/>
      </w:pPr>
    </w:p>
    <w:p w14:paraId="70A4CBFC" w14:textId="77777777" w:rsidR="00C1548D" w:rsidRDefault="009B1B4B">
      <w:pPr>
        <w:pStyle w:val="Heading3"/>
        <w:keepNext/>
        <w:jc w:val="center"/>
      </w:pPr>
      <w:r>
        <w:rPr>
          <w:rFonts w:ascii="Amazon Ember" w:eastAsia="Amazon Ember" w:hAnsi="Amazon Ember" w:cs="Amazon Ember"/>
          <w:color w:val="0000FF"/>
          <w:sz w:val="36"/>
          <w:szCs w:val="36"/>
        </w:rPr>
        <w:t>Plan B: Wenn die Lotterie nicht klappt</w:t>
      </w:r>
    </w:p>
    <w:p w14:paraId="70A4CBFD" w14:textId="77777777" w:rsidR="00C1548D" w:rsidRDefault="009B1B4B">
      <w:pPr>
        <w:spacing w:after="140"/>
      </w:pPr>
      <w:r>
        <w:t>Rechne von Anfang an damit, dass du mehrmals nicht gezogen wirst. Diese Wege bleiben:</w:t>
      </w:r>
    </w:p>
    <w:p w14:paraId="70A4CBFE" w14:textId="77777777" w:rsidR="00C1548D" w:rsidRDefault="009B1B4B" w:rsidP="009B1B4B">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w14:paraId="70A4CBFF" w14:textId="04850CB4" w:rsidR="00C1548D" w:rsidRDefault="009B1B4B" w:rsidP="009B1B4B">
      <w:pPr>
        <w:pStyle w:val="ListParagraph"/>
        <w:numPr>
          <w:ilvl w:val="0"/>
          <w:numId w:val="1"/>
        </w:numPr>
        <w:spacing w:after="60"/>
      </w:pPr>
      <w:r>
        <w:rPr>
          <w:b/>
          <w:bCs/>
        </w:rPr>
        <w:lastRenderedPageBreak/>
        <w:t>Cap-exempt-H-1B:</w:t>
      </w:r>
      <w:r>
        <w:t xml:space="preserve"> Hochschulen, verbundene gemeinnützige Einrichtungen und Forschungsinstitute unterliegen keiner Quote; die Einreichung ist ganzjährig möglich (Kapitel </w:t>
      </w:r>
      <w:hyperlink w:anchor="k5" w:history="1">
        <w:r>
          <w:t>5</w:t>
        </w:r>
      </w:hyperlink>
      <w:r>
        <w:t>).</w:t>
      </w:r>
    </w:p>
    <w:p w14:paraId="70A4CC00" w14:textId="184F345A" w:rsidR="00C1548D" w:rsidRDefault="009B1B4B" w:rsidP="009B1B4B">
      <w:pPr>
        <w:pStyle w:val="ListParagraph"/>
        <w:numPr>
          <w:ilvl w:val="0"/>
          <w:numId w:val="1"/>
        </w:numPr>
        <w:spacing w:after="60"/>
      </w:pPr>
      <w:r>
        <w:rPr>
          <w:b/>
          <w:bCs/>
        </w:rPr>
        <w:t>O-1:</w:t>
      </w:r>
      <w:r>
        <w:t xml:space="preserve"> für außergewöhnliche Leistungen, belegt über mindestens drei von acht Kriterien (Kapitel </w:t>
      </w:r>
      <w:hyperlink w:anchor="k9" w:history="1">
        <w:r>
          <w:t>9</w:t>
        </w:r>
      </w:hyperlink>
      <w:r>
        <w:t>).</w:t>
      </w:r>
    </w:p>
    <w:p w14:paraId="70A4CC01" w14:textId="343ED728" w:rsidR="00C1548D" w:rsidRDefault="009B1B4B" w:rsidP="009B1B4B">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history="1">
        <w:r>
          <w:t>9</w:t>
        </w:r>
      </w:hyperlink>
      <w:r>
        <w:t>).</w:t>
      </w:r>
    </w:p>
    <w:p w14:paraId="70A4CC02" w14:textId="0C0A83BF" w:rsidR="00C1548D" w:rsidRDefault="009B1B4B" w:rsidP="009B1B4B">
      <w:pPr>
        <w:pStyle w:val="ListParagraph"/>
        <w:numPr>
          <w:ilvl w:val="0"/>
          <w:numId w:val="1"/>
        </w:numPr>
        <w:spacing w:after="60"/>
      </w:pPr>
      <w:r>
        <w:rPr>
          <w:b/>
          <w:bCs/>
        </w:rPr>
        <w:t>E-2:</w:t>
      </w:r>
      <w:r>
        <w:t xml:space="preserve"> für Gründerinnen und Gründer mit eigener Investition; Deutschland ist Vertragsstaat (Kapitel </w:t>
      </w:r>
      <w:hyperlink w:anchor="k9" w:history="1">
        <w:r>
          <w:t>9</w:t>
        </w:r>
      </w:hyperlink>
      <w:r>
        <w:t>).</w:t>
      </w:r>
    </w:p>
    <w:p w14:paraId="70A4CC03" w14:textId="0D606B77" w:rsidR="00C1548D" w:rsidRDefault="009B1B4B" w:rsidP="009B1B4B">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history="1">
        <w:r>
          <w:t>6</w:t>
        </w:r>
      </w:hyperlink>
      <w:r>
        <w:t>).</w:t>
      </w:r>
    </w:p>
    <w:p w14:paraId="70A4CC04" w14:textId="77777777" w:rsidR="00C1548D" w:rsidRDefault="009B1B4B" w:rsidP="009B1B4B">
      <w:pPr>
        <w:pStyle w:val="ListParagraph"/>
        <w:numPr>
          <w:ilvl w:val="0"/>
          <w:numId w:val="1"/>
        </w:numPr>
        <w:spacing w:after="60"/>
      </w:pPr>
      <w:r>
        <w:rPr>
          <w:b/>
          <w:bCs/>
        </w:rPr>
        <w:t>Weiterer Abschluss:</w:t>
      </w:r>
      <w:r>
        <w:t xml:space="preserve"> Er bringt neues OPT, kostet aber erneut Zeit und Geld.</w:t>
      </w:r>
    </w:p>
    <w:p w14:paraId="70A4CC05" w14:textId="004AF1A4" w:rsidR="00C1548D" w:rsidRDefault="009B1B4B" w:rsidP="009B1B4B">
      <w:pPr>
        <w:pStyle w:val="ListParagraph"/>
        <w:numPr>
          <w:ilvl w:val="0"/>
          <w:numId w:val="1"/>
        </w:numPr>
        <w:spacing w:after="60"/>
      </w:pPr>
      <w:r>
        <w:rPr>
          <w:b/>
          <w:bCs/>
        </w:rPr>
        <w:t>Rückkehr:</w:t>
      </w:r>
      <w:r>
        <w:t xml:space="preserve"> Ein US-Abschluss und Berufserfahrung zählen auch in Deutschland (Kapitel </w:t>
      </w:r>
      <w:hyperlink w:anchor="k42" w:history="1">
        <w:r>
          <w:t>42</w:t>
        </w:r>
      </w:hyperlink>
      <w:r>
        <w:t>).</w:t>
      </w:r>
    </w:p>
    <w:p w14:paraId="70A4CC06" w14:textId="77777777" w:rsidR="00C1548D" w:rsidRDefault="00C1548D">
      <w:pPr>
        <w:spacing w:line="120" w:lineRule="exact"/>
      </w:pPr>
    </w:p>
    <w:p w14:paraId="70A4CC07" w14:textId="77777777" w:rsidR="00C1548D" w:rsidRDefault="009B1B4B">
      <w:pPr>
        <w:spacing w:after="140"/>
      </w:pPr>
      <w:r>
        <w:t>Nach dem Ende von OPT oder STEM-OPT bleiben dir 60 Tage zur Ausreise, wenn du nicht in einen anderen Status wechselst. Lege Plan B deshalb vor dem letzten OPT-Jahr fest, nicht danach.</w:t>
      </w:r>
    </w:p>
    <w:p w14:paraId="70A4CC08" w14:textId="77777777" w:rsidR="00C1548D" w:rsidRDefault="009B1B4B">
      <w:pPr>
        <w:pStyle w:val="Heading3"/>
        <w:keepNext/>
        <w:jc w:val="center"/>
      </w:pPr>
      <w:r>
        <w:rPr>
          <w:rFonts w:ascii="Amazon Ember" w:eastAsia="Amazon Ember" w:hAnsi="Amazon Ember" w:cs="Amazon Ember"/>
          <w:color w:val="0000FF"/>
          <w:sz w:val="36"/>
          <w:szCs w:val="36"/>
        </w:rPr>
        <w:t>Familie: Partner und Kinder mit F-2</w:t>
      </w:r>
    </w:p>
    <w:p w14:paraId="70A4CC09" w14:textId="220AEE16" w:rsidR="00C1548D" w:rsidRDefault="009B1B4B">
      <w:pPr>
        <w:spacing w:after="140"/>
      </w:pPr>
      <w: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history="1">
        <w:r>
          <w:t>36</w:t>
        </w:r>
      </w:hyperlink>
      <w:r>
        <w:t>). Rechne den Finanznachweis mit: Die I-20 der Boston University verlangt für einen Angehörigen 12.563 $ zusätzlich, für zwei 22.735 $. Nach dem Statuswechsel erhält der Partner H-4, mit Arbeitserlaubnis nur unter besonderen Bedingungen (Kapitel </w:t>
      </w:r>
      <w:hyperlink w:anchor="k10" w:history="1">
        <w:r>
          <w:t>10</w:t>
        </w:r>
      </w:hyperlink>
      <w:r>
        <w:t>).</w:t>
      </w:r>
    </w:p>
    <w:p w14:paraId="70A4CC0A" w14:textId="77777777" w:rsidR="00C1548D" w:rsidRDefault="009B1B4B">
      <w:pPr>
        <w:pStyle w:val="Heading3"/>
        <w:keepNext/>
        <w:jc w:val="center"/>
      </w:pPr>
      <w:r>
        <w:rPr>
          <w:rFonts w:ascii="Amazon Ember" w:eastAsia="Amazon Ember" w:hAnsi="Amazon Ember" w:cs="Amazon Ember"/>
          <w:color w:val="0000FF"/>
          <w:sz w:val="36"/>
          <w:szCs w:val="36"/>
        </w:rPr>
        <w:lastRenderedPageBreak/>
        <w:t>Krankenversicherung an der Uni</w:t>
      </w:r>
    </w:p>
    <w:p w14:paraId="70A4CC0B" w14:textId="1FB9A020" w:rsidR="00C1548D" w:rsidRDefault="009B1B4B">
      <w:pPr>
        <w:spacing w:after="140"/>
      </w:pPr>
      <w:r>
        <w:t>Eine bundesweite Pflicht für F-1-Studierende gibt es nicht, aber fast jede Hochschule verlangt einen Nachweis oder bucht ihren eigenen Plan automatisch. Ein Verzicht (</w:t>
      </w:r>
      <w:r>
        <w:rPr>
          <w:i/>
          <w:iCs/>
        </w:rPr>
        <w:t>Waiver</w:t>
      </w:r>
      <w: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history="1">
        <w:r>
          <w:t>18</w:t>
        </w:r>
      </w:hyperlink>
      <w:r>
        <w:t>); wie es mit Arbeitgeberversicherung und Alternativen weitergeht, steht in Kapitel </w:t>
      </w:r>
      <w:hyperlink w:anchor="k26" w:history="1">
        <w:r>
          <w:t>26</w:t>
        </w:r>
      </w:hyperlink>
      <w:r>
        <w:t>.</w:t>
      </w:r>
    </w:p>
    <w:p w14:paraId="70A4CC0C" w14:textId="77777777" w:rsidR="00C1548D" w:rsidRDefault="009B1B4B">
      <w:pPr>
        <w:pStyle w:val="Heading3"/>
        <w:keepNext/>
        <w:jc w:val="center"/>
      </w:pPr>
      <w:r>
        <w:rPr>
          <w:rFonts w:ascii="Amazon Ember" w:eastAsia="Amazon Ember" w:hAnsi="Amazon Ember" w:cs="Amazon Ember"/>
          <w:color w:val="0000FF"/>
          <w:sz w:val="36"/>
          <w:szCs w:val="36"/>
        </w:rPr>
        <w:t>Steuern als F-1</w:t>
      </w:r>
    </w:p>
    <w:p w14:paraId="70A4CC0D" w14:textId="77777777" w:rsidR="00C1548D" w:rsidRDefault="009B1B4B">
      <w:pPr>
        <w:spacing w:after="140"/>
      </w:pPr>
      <w:r>
        <w:t xml:space="preserve">Als F-1-Studierender bist du steuerlich zunächst Nichtresident: Fünf Kalenderjahre lang zählen deine Tage nicht für den </w:t>
      </w:r>
      <w:r>
        <w:rPr>
          <w:i/>
          <w:iCs/>
        </w:rPr>
        <w:t>Substantial Presence Test</w:t>
      </w:r>
      <w:r>
        <w:t xml:space="preserve"> (den Aufenthaltstest des IRS), wobei auch ein angefangenes Jahr als volles zählt. Für erlaubte Arbeit, auch OPT und CPT, bist du in dieser Zeit von Sozialversicherungs- und Medicare-Beiträgen (FICA) befreit; fälschlich abgezogen, holst du sie mit Form 8316 zurück. Im Beispiel der Zeitleiste (Einreise 2026) endet die Befreiung mit dem Jahr 2030, also noch während STEM-OPT.</w:t>
      </w:r>
    </w:p>
    <w:p w14:paraId="70A4CC0E" w14:textId="050A5492" w:rsidR="00C1548D" w:rsidRDefault="009B1B4B">
      <w:pPr>
        <w:spacing w:after="140"/>
      </w:pPr>
      <w: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history="1">
        <w:r>
          <w:t>28</w:t>
        </w:r>
      </w:hyperlink>
      <w:r>
        <w:t>, deutsche Seite: Kapitel </w:t>
      </w:r>
      <w:hyperlink w:anchor="k17" w:history="1">
        <w:r>
          <w:t>17</w:t>
        </w:r>
      </w:hyperlink>
      <w:r>
        <w:t>).</w:t>
      </w:r>
    </w:p>
    <w:p w14:paraId="70A4CC0F" w14:textId="77777777" w:rsidR="00C1548D" w:rsidRDefault="009B1B4B">
      <w:pPr>
        <w:pStyle w:val="Heading3"/>
        <w:keepNext/>
        <w:jc w:val="center"/>
      </w:pPr>
      <w:r>
        <w:rPr>
          <w:rFonts w:ascii="Amazon Ember" w:eastAsia="Amazon Ember" w:hAnsi="Amazon Ember" w:cs="Amazon Ember"/>
          <w:color w:val="0000FF"/>
          <w:sz w:val="36"/>
          <w:szCs w:val="36"/>
        </w:rPr>
        <w:lastRenderedPageBreak/>
        <w:t>Risiken und Änderungen 2025/26</w:t>
      </w:r>
    </w:p>
    <w:p w14:paraId="70A4CC10" w14:textId="77777777" w:rsidR="00C1548D" w:rsidRDefault="009B1B4B">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62"/>
        <w:gridCol w:w="2801"/>
        <w:gridCol w:w="2617"/>
      </w:tblGrid>
      <w:tr w:rsidR="00C1548D" w14:paraId="70A4CC14" w14:textId="77777777">
        <w:tblPrEx>
          <w:tblCellMar>
            <w:top w:w="0" w:type="dxa"/>
            <w:bottom w:w="0" w:type="dxa"/>
          </w:tblCellMar>
        </w:tblPrEx>
        <w:trPr>
          <w:cantSplit/>
          <w:tblHeader/>
        </w:trPr>
        <w:tc>
          <w:tcPr>
            <w:tcW w:w="106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11" w14:textId="77777777" w:rsidR="00C1548D" w:rsidRDefault="009B1B4B">
            <w:pPr>
              <w:spacing w:line="250" w:lineRule="auto"/>
            </w:pPr>
            <w:r>
              <w:rPr>
                <w:b/>
                <w:bCs/>
                <w:sz w:val="18"/>
                <w:szCs w:val="18"/>
              </w:rPr>
              <w:t>Thema</w:t>
            </w:r>
          </w:p>
        </w:tc>
        <w:tc>
          <w:tcPr>
            <w:tcW w:w="280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12" w14:textId="77777777" w:rsidR="00C1548D" w:rsidRDefault="009B1B4B">
            <w:pPr>
              <w:spacing w:line="250" w:lineRule="auto"/>
            </w:pPr>
            <w:r>
              <w:rPr>
                <w:b/>
                <w:bCs/>
                <w:sz w:val="18"/>
                <w:szCs w:val="18"/>
              </w:rPr>
              <w:t>Stand</w:t>
            </w:r>
          </w:p>
        </w:tc>
        <w:tc>
          <w:tcPr>
            <w:tcW w:w="261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13" w14:textId="77777777" w:rsidR="00C1548D" w:rsidRDefault="009B1B4B">
            <w:pPr>
              <w:spacing w:line="250" w:lineRule="auto"/>
            </w:pPr>
            <w:r>
              <w:rPr>
                <w:b/>
                <w:bCs/>
                <w:sz w:val="18"/>
                <w:szCs w:val="18"/>
              </w:rPr>
              <w:t>Was du tun kannst</w:t>
            </w:r>
          </w:p>
        </w:tc>
      </w:tr>
      <w:tr w:rsidR="00C1548D" w14:paraId="70A4CC18" w14:textId="77777777">
        <w:tblPrEx>
          <w:tblCellMar>
            <w:top w:w="0" w:type="dxa"/>
            <w:bottom w:w="0" w:type="dxa"/>
          </w:tblCellMar>
        </w:tblPrEx>
        <w:trPr>
          <w:cantSplit/>
        </w:trPr>
        <w:tc>
          <w:tcPr>
            <w:tcW w:w="10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15" w14:textId="77777777" w:rsidR="00C1548D" w:rsidRDefault="009B1B4B">
            <w:pPr>
              <w:spacing w:line="250" w:lineRule="auto"/>
            </w:pPr>
            <w:r>
              <w:rPr>
                <w:sz w:val="18"/>
                <w:szCs w:val="18"/>
              </w:rPr>
              <w:t>SEVIS-Kündigungen</w:t>
            </w:r>
          </w:p>
        </w:tc>
        <w:tc>
          <w:tcPr>
            <w:tcW w:w="28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16" w14:textId="77777777" w:rsidR="00C1548D" w:rsidRDefault="009B1B4B">
            <w:pPr>
              <w:spacing w:line="250" w:lineRule="auto"/>
            </w:pPr>
            <w:r>
              <w:rPr>
                <w:sz w:val="18"/>
                <w:szCs w:val="18"/>
              </w:rPr>
              <w:t>Im April 2025 wurden mehrere tausend Einträge beendet, teils wiederhergestellt; über 100 Klagen, Streit offen</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17" w14:textId="77777777" w:rsidR="00C1548D" w:rsidRDefault="009B1B4B">
            <w:pPr>
              <w:spacing w:line="250" w:lineRule="auto"/>
            </w:pPr>
            <w:r>
              <w:rPr>
                <w:sz w:val="18"/>
                <w:szCs w:val="18"/>
              </w:rPr>
              <w:t>Status sauber halten, I-20, I-94 und Belege aufbewahren</w:t>
            </w:r>
          </w:p>
        </w:tc>
      </w:tr>
      <w:tr w:rsidR="00C1548D" w14:paraId="70A4CC1C" w14:textId="77777777">
        <w:tblPrEx>
          <w:tblCellMar>
            <w:top w:w="0" w:type="dxa"/>
            <w:bottom w:w="0" w:type="dxa"/>
          </w:tblCellMar>
        </w:tblPrEx>
        <w:trPr>
          <w:cantSplit/>
        </w:trPr>
        <w:tc>
          <w:tcPr>
            <w:tcW w:w="10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19" w14:textId="77777777" w:rsidR="00C1548D" w:rsidRDefault="009B1B4B">
            <w:pPr>
              <w:spacing w:line="250" w:lineRule="auto"/>
            </w:pPr>
            <w:r>
              <w:rPr>
                <w:sz w:val="18"/>
                <w:szCs w:val="18"/>
              </w:rPr>
              <w:t>Social-Media-Prüfung</w:t>
            </w:r>
          </w:p>
        </w:tc>
        <w:tc>
          <w:tcPr>
            <w:tcW w:w="28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1A" w14:textId="77777777" w:rsidR="00C1548D" w:rsidRDefault="009B1B4B">
            <w:pPr>
              <w:spacing w:line="250" w:lineRule="auto"/>
            </w:pPr>
            <w:r>
              <w:rPr>
                <w:sz w:val="18"/>
                <w:szCs w:val="18"/>
              </w:rPr>
              <w:t>Seit 18. Juni 2025 für F/M/J, seit 15. Dezember 2025 auch für H-1B/H-4</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1B" w14:textId="77777777" w:rsidR="00C1548D" w:rsidRDefault="009B1B4B">
            <w:pPr>
              <w:spacing w:line="250" w:lineRule="auto"/>
            </w:pPr>
            <w:r>
              <w:rPr>
                <w:sz w:val="18"/>
                <w:szCs w:val="18"/>
              </w:rPr>
              <w:t>Profile öffentlich stellen, alles angeben</w:t>
            </w:r>
          </w:p>
        </w:tc>
      </w:tr>
      <w:tr w:rsidR="00C1548D" w14:paraId="70A4CC20" w14:textId="77777777">
        <w:tblPrEx>
          <w:tblCellMar>
            <w:top w:w="0" w:type="dxa"/>
            <w:bottom w:w="0" w:type="dxa"/>
          </w:tblCellMar>
        </w:tblPrEx>
        <w:trPr>
          <w:cantSplit/>
        </w:trPr>
        <w:tc>
          <w:tcPr>
            <w:tcW w:w="10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1D" w14:textId="77777777" w:rsidR="00C1548D" w:rsidRDefault="009B1B4B">
            <w:pPr>
              <w:spacing w:line="250" w:lineRule="auto"/>
            </w:pPr>
            <w:r>
              <w:rPr>
                <w:sz w:val="18"/>
                <w:szCs w:val="18"/>
              </w:rPr>
              <w:t>Feste Aufenthaltsdauer</w:t>
            </w:r>
          </w:p>
        </w:tc>
        <w:tc>
          <w:tcPr>
            <w:tcW w:w="28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1E" w14:textId="77777777" w:rsidR="00C1548D" w:rsidRDefault="009B1B4B">
            <w:pPr>
              <w:spacing w:line="250" w:lineRule="auto"/>
            </w:pPr>
            <w:r>
              <w:rPr>
                <w:sz w:val="18"/>
                <w:szCs w:val="18"/>
              </w:rPr>
              <w:t>DHS-Regel vom 17. Juli 2026 (höchstens 4 Jahre, Verlängerung per I-539) am 14. September 2026 gerichtlich gestoppt; Berufung erwartet</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1F" w14:textId="77777777" w:rsidR="00C1548D" w:rsidRDefault="009B1B4B">
            <w:pPr>
              <w:spacing w:line="250" w:lineRule="auto"/>
            </w:pPr>
            <w:r>
              <w:rPr>
                <w:sz w:val="18"/>
                <w:szCs w:val="18"/>
              </w:rPr>
              <w:t>I-20-Ende und Hinweise des DSO im Blick behalten</w:t>
            </w:r>
          </w:p>
        </w:tc>
      </w:tr>
      <w:tr w:rsidR="00C1548D" w14:paraId="70A4CC24" w14:textId="77777777">
        <w:tblPrEx>
          <w:tblCellMar>
            <w:top w:w="0" w:type="dxa"/>
            <w:bottom w:w="0" w:type="dxa"/>
          </w:tblCellMar>
        </w:tblPrEx>
        <w:trPr>
          <w:cantSplit/>
        </w:trPr>
        <w:tc>
          <w:tcPr>
            <w:tcW w:w="10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21" w14:textId="77777777" w:rsidR="00C1548D" w:rsidRDefault="009B1B4B">
            <w:pPr>
              <w:spacing w:line="250" w:lineRule="auto"/>
            </w:pPr>
            <w:r>
              <w:rPr>
                <w:sz w:val="18"/>
                <w:szCs w:val="18"/>
              </w:rPr>
              <w:t>CPT und OPT</w:t>
            </w:r>
          </w:p>
        </w:tc>
        <w:tc>
          <w:tcPr>
            <w:tcW w:w="28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22" w14:textId="77777777" w:rsidR="00C1548D" w:rsidRDefault="009B1B4B">
            <w:pPr>
              <w:spacing w:line="250" w:lineRule="auto"/>
            </w:pPr>
            <w:r>
              <w:rPr>
                <w:sz w:val="18"/>
                <w:szCs w:val="18"/>
              </w:rPr>
              <w:t>CPT-Leitlinie vom August 2026; OPT-Neufassung frühestens Februar 2027, Gebührenregel offen</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23" w14:textId="77777777" w:rsidR="00C1548D" w:rsidRDefault="009B1B4B">
            <w:pPr>
              <w:spacing w:line="250" w:lineRule="auto"/>
            </w:pPr>
            <w:r>
              <w:rPr>
                <w:sz w:val="18"/>
                <w:szCs w:val="18"/>
              </w:rPr>
              <w:t>Job früh suchen, Plan B parallel</w:t>
            </w:r>
          </w:p>
        </w:tc>
      </w:tr>
      <w:tr w:rsidR="00C1548D" w14:paraId="70A4CC28" w14:textId="77777777">
        <w:tblPrEx>
          <w:tblCellMar>
            <w:top w:w="0" w:type="dxa"/>
            <w:bottom w:w="0" w:type="dxa"/>
          </w:tblCellMar>
        </w:tblPrEx>
        <w:trPr>
          <w:cantSplit/>
        </w:trPr>
        <w:tc>
          <w:tcPr>
            <w:tcW w:w="10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25" w14:textId="77777777" w:rsidR="00C1548D" w:rsidRDefault="009B1B4B">
            <w:pPr>
              <w:spacing w:line="250" w:lineRule="auto"/>
            </w:pPr>
            <w:r>
              <w:rPr>
                <w:sz w:val="18"/>
                <w:szCs w:val="18"/>
              </w:rPr>
              <w:t>Markt und Einreise</w:t>
            </w:r>
          </w:p>
        </w:tc>
        <w:tc>
          <w:tcPr>
            <w:tcW w:w="28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26" w14:textId="77777777" w:rsidR="00C1548D" w:rsidRDefault="009B1B4B">
            <w:pPr>
              <w:spacing w:line="250" w:lineRule="auto"/>
            </w:pPr>
            <w:r>
              <w:rPr>
                <w:sz w:val="18"/>
                <w:szCs w:val="18"/>
              </w:rPr>
              <w:t>Neueinschreibungen Herbst 2025: −17 %; Prognose Herbst 2026: −6,2 bis −9,6 %; Einreisestopp für 39 Länder seit Dezember 2025, Deutschland nach bisherigem Stand nicht betroffen</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27" w14:textId="77777777" w:rsidR="00C1548D" w:rsidRDefault="009B1B4B">
            <w:pPr>
              <w:spacing w:line="250" w:lineRule="auto"/>
            </w:pPr>
            <w:r>
              <w:rPr>
                <w:sz w:val="18"/>
                <w:szCs w:val="18"/>
              </w:rPr>
              <w:t>Länderliste vor jeder Reise prüfen</w:t>
            </w:r>
          </w:p>
        </w:tc>
      </w:tr>
    </w:tbl>
    <w:p w14:paraId="70A4CC29"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C2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C2A" w14:textId="77777777" w:rsidR="00C1548D" w:rsidRDefault="009B1B4B">
            <w:pPr>
              <w:keepNext/>
              <w:spacing w:after="70" w:line="240" w:lineRule="auto"/>
            </w:pPr>
            <w:r>
              <w:rPr>
                <w:b/>
                <w:bCs/>
                <w:color w:val="9B2C2C"/>
                <w:spacing w:val="24"/>
                <w:sz w:val="16"/>
                <w:szCs w:val="16"/>
              </w:rPr>
              <w:t>ACHTUNG</w:t>
            </w:r>
          </w:p>
          <w:p w14:paraId="70A4CC2B" w14:textId="77777777" w:rsidR="00C1548D" w:rsidRDefault="009B1B4B">
            <w:pPr>
              <w:spacing w:after="80" w:line="264" w:lineRule="auto"/>
            </w:pPr>
            <w:r>
              <w:rPr>
                <w:sz w:val="20"/>
                <w:szCs w:val="20"/>
              </w:rPr>
              <w:t>Gib im DS-160 alle Social-Media-Konten der letzten fünf Jahre an. „Keine“ bei vorhandenen Konten gilt als Falschangabe und kann eine dauerhafte Sperre nach sich ziehen. Lösche keine Beiträge, um sie zu verbergen.</w:t>
            </w:r>
          </w:p>
        </w:tc>
      </w:tr>
    </w:tbl>
    <w:p w14:paraId="70A4CC2D"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C30"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C2E" w14:textId="77777777" w:rsidR="00C1548D" w:rsidRDefault="009B1B4B">
            <w:pPr>
              <w:keepNext/>
              <w:spacing w:after="70" w:line="240" w:lineRule="auto"/>
            </w:pPr>
            <w:r>
              <w:rPr>
                <w:b/>
                <w:bCs/>
                <w:color w:val="6B7280"/>
                <w:spacing w:val="24"/>
                <w:sz w:val="16"/>
                <w:szCs w:val="16"/>
              </w:rPr>
              <w:lastRenderedPageBreak/>
              <w:t>KEIN RECHTSRAT</w:t>
            </w:r>
          </w:p>
          <w:p w14:paraId="70A4CC2F" w14:textId="77777777" w:rsidR="00C1548D" w:rsidRDefault="009B1B4B">
            <w:pPr>
              <w:spacing w:after="80" w:line="264" w:lineRule="auto"/>
            </w:pPr>
            <w:r>
              <w:rPr>
                <w:sz w:val="20"/>
                <w:szCs w:val="20"/>
              </w:rPr>
              <w:t>Das ist keine Rechts- oder Steuerberatung. Status- und Visumfragen klärst du mit deinem DSO und einem Einwanderungsanwalt, Steuerfragen mit dem Auslandsbüro der Uni oder einer Steuerberatung mit Erfahrung bei Ausländern.</w:t>
            </w:r>
          </w:p>
        </w:tc>
      </w:tr>
    </w:tbl>
    <w:p w14:paraId="70A4CC31" w14:textId="77777777" w:rsidR="00C1548D" w:rsidRDefault="00C1548D">
      <w:pPr>
        <w:spacing w:line="220" w:lineRule="exact"/>
      </w:pPr>
    </w:p>
    <w:p w14:paraId="70A4CC32" w14:textId="77777777" w:rsidR="00C1548D" w:rsidRDefault="009B1B4B">
      <w:pPr>
        <w:pStyle w:val="Heading3"/>
        <w:keepNext/>
        <w:jc w:val="center"/>
      </w:pPr>
      <w:r>
        <w:rPr>
          <w:rFonts w:ascii="Amazon Ember" w:eastAsia="Amazon Ember" w:hAnsi="Amazon Ember" w:cs="Amazon Ember"/>
          <w:color w:val="0000FF"/>
          <w:sz w:val="36"/>
          <w:szCs w:val="36"/>
        </w:rPr>
        <w:t>Studium in Deutschland oder in den USA?</w:t>
      </w:r>
    </w:p>
    <w:p w14:paraId="70A4CC33" w14:textId="77777777" w:rsidR="00C1548D" w:rsidRDefault="009B1B4B">
      <w:pPr>
        <w:spacing w:after="140"/>
      </w:pPr>
      <w:r>
        <w:t>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w:t>
      </w:r>
      <w:r>
        <w:t xml:space="preserve"> sowie einen Sprachnachweis und rechnet Leistungen unterschiedlich an. Dafür bringt jedes Abschlussniveau ein neues OPT-Jahr, und ein Auslandssemester ist ein günstiger Probelauf – das Auslands-BAföG fördert schon ab einem Semester.</w:t>
      </w:r>
    </w:p>
    <w:p w14:paraId="70A4CC34" w14:textId="77777777" w:rsidR="00C1548D" w:rsidRDefault="009B1B4B">
      <w:pPr>
        <w:pStyle w:val="Heading3"/>
        <w:keepNext/>
        <w:jc w:val="center"/>
      </w:pPr>
      <w:r>
        <w:rPr>
          <w:rFonts w:ascii="Amazon Ember" w:eastAsia="Amazon Ember" w:hAnsi="Amazon Ember" w:cs="Amazon Ember"/>
          <w:color w:val="0000FF"/>
          <w:sz w:val="36"/>
          <w:szCs w:val="36"/>
        </w:rPr>
        <w:t>Promotion: F-1 oder J-1</w:t>
      </w:r>
    </w:p>
    <w:p w14:paraId="70A4CC35" w14:textId="77777777" w:rsidR="00C1548D" w:rsidRDefault="009B1B4B">
      <w:pPr>
        <w:spacing w:after="140"/>
      </w:pPr>
      <w:r>
        <w:t xml:space="preserve">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Gebührenerlass in der Regel nicht. Das übliche Visum ist F-1, bei Fulbright- oder DAAD-Mitteln kann es J-1 sein (siehe die Achtung zu Section 212(e)); später bieten Hochschulen und Forschungsinstitute </w:t>
      </w:r>
      <w:r>
        <w:lastRenderedPageBreak/>
        <w:t>Cap-exempt-Stellen. Die Zahl der Promotionsbewerbungen aus dem Ausland sank zuletzt um 21 % (NAFSA).</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C38"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C36" w14:textId="77777777" w:rsidR="00C1548D" w:rsidRDefault="009B1B4B">
            <w:pPr>
              <w:keepNext/>
              <w:spacing w:after="70" w:line="240" w:lineRule="auto"/>
            </w:pPr>
            <w:r>
              <w:rPr>
                <w:b/>
                <w:bCs/>
                <w:color w:val="4A5568"/>
                <w:spacing w:val="24"/>
                <w:sz w:val="16"/>
                <w:szCs w:val="16"/>
              </w:rPr>
              <w:t>PRAXISBEISPIEL · FIKTIV</w:t>
            </w:r>
          </w:p>
          <w:p w14:paraId="70A4CC37" w14:textId="574A2E56" w:rsidR="00C1548D" w:rsidRDefault="009B1B4B">
            <w:pPr>
              <w:spacing w:after="80" w:line="264" w:lineRule="auto"/>
            </w:pPr>
            <w:r>
              <w:rPr>
                <w:sz w:val="20"/>
                <w:szCs w:val="20"/>
              </w:rPr>
              <w:t>Felix Wagner (24, Bachelor Informatik aus Aachen, fiktiv) macht einen zweijährigen Master an einer privaten Universität im Raum Boston, Abschluss Mai 2028. Gebühren 2 × 34.000 $, Lebenshaltung 2 × 25.000 $, Versicherung 2 × 3.500 $: zusammen rund 125.000 $, gedeckt aus Ersparnissen, Familienhilfe und einer Assistenzstelle. Sein Pflichtpraktikum läuft als CPT. Ab Juni 2028 arbeitet er mit OPT bei einem Softwareunternehmen mit E-Verify. Die Registrierungen 2028 und 2029 gehen leer aus – zweimal öffnet er im M</w:t>
            </w:r>
            <w:r>
              <w:rPr>
                <w:sz w:val="20"/>
                <w:szCs w:val="20"/>
              </w:rPr>
              <w:t>ärz das USCIS-Portal und liest dieselbe Zeile: „not selected“. Nach einer Gehaltserhöhung (Level III) wird er im März 2030 gezogen und wechselt zum 1. Oktober 2030 im Inland zu H-1B. Später zieht er zu einem neuen Arbeitgeber nach Austin (</w:t>
            </w:r>
            <w:r>
              <w:rPr>
                <w:sz w:val="20"/>
                <w:szCs w:val="20"/>
              </w:rPr>
              <w:t>Kapitel </w:t>
            </w:r>
            <w:hyperlink w:anchor="k30" w:history="1">
              <w:r>
                <w:rPr>
                  <w:sz w:val="20"/>
                  <w:szCs w:val="20"/>
                </w:rPr>
                <w:t>30</w:t>
              </w:r>
            </w:hyperlink>
            <w:r>
              <w:rPr>
                <w:sz w:val="20"/>
                <w:szCs w:val="20"/>
              </w:rPr>
              <w:t>).</w:t>
            </w:r>
          </w:p>
        </w:tc>
      </w:tr>
    </w:tbl>
    <w:p w14:paraId="70A4CC39" w14:textId="77777777" w:rsidR="00C1548D" w:rsidRDefault="00C1548D">
      <w:pPr>
        <w:spacing w:line="220" w:lineRule="exact"/>
      </w:pPr>
    </w:p>
    <w:p w14:paraId="70A4CC3A"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C3D"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3B"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3C" w14:textId="77777777" w:rsidR="00C1548D" w:rsidRDefault="009B1B4B">
            <w:pPr>
              <w:spacing w:line="250" w:lineRule="auto"/>
            </w:pPr>
            <w:r>
              <w:rPr>
                <w:b/>
                <w:bCs/>
                <w:sz w:val="18"/>
                <w:szCs w:val="18"/>
              </w:rPr>
              <w:t>Minus</w:t>
            </w:r>
          </w:p>
        </w:tc>
      </w:tr>
      <w:tr w:rsidR="00C1548D" w14:paraId="70A4CC4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3E" w14:textId="77777777" w:rsidR="00C1548D" w:rsidRDefault="009B1B4B">
            <w:pPr>
              <w:spacing w:line="250" w:lineRule="auto"/>
            </w:pPr>
            <w:r>
              <w:rPr>
                <w:sz w:val="18"/>
                <w:szCs w:val="18"/>
              </w:rPr>
              <w:t>US-Abschluss und bis zu 36 Monate Arbeit mit OPT und STEM-OPT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3F" w14:textId="77777777" w:rsidR="00C1548D" w:rsidRDefault="009B1B4B">
            <w:pPr>
              <w:spacing w:line="250" w:lineRule="auto"/>
            </w:pPr>
            <w:r>
              <w:rPr>
                <w:sz w:val="18"/>
                <w:szCs w:val="18"/>
              </w:rPr>
              <w:t>Kosten von 70.000–150.000 $ ohne Garantie auf ein H-1B</w:t>
            </w:r>
          </w:p>
        </w:tc>
      </w:tr>
      <w:tr w:rsidR="00C1548D" w14:paraId="70A4CC4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41" w14:textId="77777777" w:rsidR="00C1548D" w:rsidRDefault="009B1B4B">
            <w:pPr>
              <w:spacing w:line="250" w:lineRule="auto"/>
            </w:pPr>
            <w:r>
              <w:rPr>
                <w:sz w:val="18"/>
                <w:szCs w:val="18"/>
              </w:rPr>
              <w:t>Statuswechsel im Inland: kein Konsulatstermin, derzeit keine 100.000-$-Zahlung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42" w14:textId="77777777" w:rsidR="00C1548D" w:rsidRDefault="009B1B4B">
            <w:pPr>
              <w:spacing w:line="250" w:lineRule="auto"/>
            </w:pPr>
            <w:r>
              <w:rPr>
                <w:sz w:val="18"/>
                <w:szCs w:val="18"/>
              </w:rPr>
              <w:t>Ein Entwurf (103.265 $) könnte das ab 2027 ändern</w:t>
            </w:r>
          </w:p>
        </w:tc>
      </w:tr>
      <w:tr w:rsidR="00C1548D" w14:paraId="70A4CC4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44" w14:textId="77777777" w:rsidR="00C1548D" w:rsidRDefault="009B1B4B">
            <w:pPr>
              <w:spacing w:line="250" w:lineRule="auto"/>
            </w:pPr>
            <w:r>
              <w:rPr>
                <w:sz w:val="18"/>
                <w:szCs w:val="18"/>
              </w:rPr>
              <w:t>Zwei Chancen pro Registrierung durch die Master-Quote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45" w14:textId="77777777" w:rsidR="00C1548D" w:rsidRDefault="009B1B4B">
            <w:pPr>
              <w:spacing w:line="250" w:lineRule="auto"/>
            </w:pPr>
            <w:r>
              <w:rPr>
                <w:sz w:val="18"/>
                <w:szCs w:val="18"/>
              </w:rPr>
              <w:t>Die Lohnstufe entscheidet über die Zahl der Lose</w:t>
            </w:r>
          </w:p>
        </w:tc>
      </w:tr>
      <w:tr w:rsidR="00C1548D" w14:paraId="70A4CC4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47" w14:textId="77777777" w:rsidR="00C1548D" w:rsidRDefault="009B1B4B">
            <w:pPr>
              <w:spacing w:line="250" w:lineRule="auto"/>
            </w:pPr>
            <w:r>
              <w:rPr>
                <w:sz w:val="18"/>
                <w:szCs w:val="18"/>
              </w:rPr>
              <w:t>Bis zu vier Lotterie-Versuche, ohne das Land zu verlassen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48" w14:textId="77777777" w:rsidR="00C1548D" w:rsidRDefault="009B1B4B">
            <w:pPr>
              <w:spacing w:line="250" w:lineRule="auto"/>
            </w:pPr>
            <w:r>
              <w:rPr>
                <w:sz w:val="18"/>
                <w:szCs w:val="18"/>
              </w:rPr>
              <w:t>OPT, CPT und Aufenthaltsdauer sind politisch beweglich</w:t>
            </w:r>
          </w:p>
        </w:tc>
      </w:tr>
      <w:tr w:rsidR="00C1548D" w14:paraId="70A4CC4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4A" w14:textId="77777777" w:rsidR="00C1548D" w:rsidRDefault="009B1B4B">
            <w:pPr>
              <w:spacing w:line="250" w:lineRule="auto"/>
            </w:pPr>
            <w:r>
              <w:rPr>
                <w:sz w:val="18"/>
                <w:szCs w:val="18"/>
              </w:rPr>
              <w:t>Du lernst Land und Arbeitsmarkt kennen, bevor du dich bindest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4B" w14:textId="77777777" w:rsidR="00C1548D" w:rsidRDefault="009B1B4B">
            <w:pPr>
              <w:spacing w:line="250" w:lineRule="auto"/>
            </w:pPr>
            <w:r>
              <w:rPr>
                <w:sz w:val="18"/>
                <w:szCs w:val="18"/>
              </w:rPr>
              <w:t>Der Partner darf mit F-2 nicht arbeiten</w:t>
            </w:r>
          </w:p>
        </w:tc>
      </w:tr>
      <w:tr w:rsidR="00C1548D" w14:paraId="70A4CC4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4D" w14:textId="77777777" w:rsidR="00C1548D" w:rsidRDefault="009B1B4B">
            <w:pPr>
              <w:spacing w:line="250" w:lineRule="auto"/>
            </w:pPr>
            <w:r>
              <w:rPr>
                <w:sz w:val="18"/>
                <w:szCs w:val="18"/>
              </w:rPr>
              <w:t>Netzwerk und Praxis im US-Arbeitsmarkt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4E" w14:textId="77777777" w:rsidR="00C1548D" w:rsidRDefault="009B1B4B">
            <w:pPr>
              <w:spacing w:line="250" w:lineRule="auto"/>
            </w:pPr>
            <w:r>
              <w:rPr>
                <w:sz w:val="18"/>
                <w:szCs w:val="18"/>
              </w:rPr>
              <w:t>Der Status hängt an Auflagen: Arbeitslosentage, Meldefristen, Rückkehrabsicht</w:t>
            </w:r>
          </w:p>
        </w:tc>
      </w:tr>
    </w:tbl>
    <w:p w14:paraId="70A4CC50"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C5D"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C51" w14:textId="77777777" w:rsidR="00C1548D" w:rsidRDefault="009B1B4B">
            <w:pPr>
              <w:keepNext/>
              <w:spacing w:after="70" w:line="240" w:lineRule="auto"/>
            </w:pPr>
            <w:r>
              <w:rPr>
                <w:b/>
                <w:bCs/>
                <w:color w:val="1F6F78"/>
                <w:spacing w:val="24"/>
                <w:sz w:val="16"/>
                <w:szCs w:val="16"/>
              </w:rPr>
              <w:lastRenderedPageBreak/>
              <w:t>CHECKLISTE</w:t>
            </w:r>
          </w:p>
          <w:p w14:paraId="70A4CC52" w14:textId="63BA492A"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Kosten für zwei Jahre mit der Tabelle und den I-20-Schätzungen deiner Wunschhochschulen durchrechnen (Kapitel </w:t>
            </w:r>
            <w:hyperlink w:anchor="k3" w:history="1">
              <w:r>
                <w:rPr>
                  <w:sz w:val="20"/>
                  <w:szCs w:val="20"/>
                </w:rPr>
                <w:t>3</w:t>
              </w:r>
            </w:hyperlink>
            <w:r>
              <w:rPr>
                <w:sz w:val="20"/>
                <w:szCs w:val="20"/>
              </w:rPr>
              <w:t>)</w:t>
            </w:r>
          </w:p>
          <w:p w14:paraId="70A4CC5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Beim DSO schriftlich klären: STEM-designiertes Programm, Praktikum als verpflichtender CPT-Bestandteil</w:t>
            </w:r>
          </w:p>
          <w:p w14:paraId="70A4CC5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Stipendienfristen notieren: DAAD (1. Oktober), Fulbright (Ausschreibung ab Ende 2026)</w:t>
            </w:r>
          </w:p>
          <w:p w14:paraId="70A4CC5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Nachfragen, ob ein Stipendium ein J-1-Visum mit Zwei-Jahres-Regel auslöst</w:t>
            </w:r>
          </w:p>
          <w:p w14:paraId="70A4CC5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Finanznachweis in Höhe der I-20-Kostenschätzung zusammenstellen</w:t>
            </w:r>
          </w:p>
          <w:p w14:paraId="70A4CC5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SEVIS-Gebühr zahlen, DS-160 mit allen Social-Media-Konten ausfüllen, Interviewtermin früh buchen</w:t>
            </w:r>
          </w:p>
          <w:p w14:paraId="70A4CC5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Bindungen an Deutschland für das Interview belegen und wahrheitsgemäß antworten</w:t>
            </w:r>
          </w:p>
          <w:p w14:paraId="70A4CC5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OPT-Antrag ab 90 Tage vor Studienende einplanen, Arbeitslosentage zählen, Meldungen binnen 10 Tagen abgeben</w:t>
            </w:r>
          </w:p>
          <w:p w14:paraId="70A4CC5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Für STEM-OPT nur Arbeitgeber mit E-Verify anpeilen; vor der Registrierung die Lohnstufe des Angebots klären</w:t>
            </w:r>
          </w:p>
          <w:p w14:paraId="70A4CC5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Plan B (Cap-exempt, O-1, L-1, E-2, Rückkehr) vor dem letzten OPT-Jahr festlegen</w:t>
            </w:r>
          </w:p>
          <w:p w14:paraId="70A4CC5C" w14:textId="14BC91FB"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Form 8843 jedes Jahr abgeben und die Kalenderjahre zählen (Kapitel </w:t>
            </w:r>
            <w:hyperlink w:anchor="k28" w:history="1">
              <w:r>
                <w:rPr>
                  <w:sz w:val="20"/>
                  <w:szCs w:val="20"/>
                </w:rPr>
                <w:t>28</w:t>
              </w:r>
            </w:hyperlink>
            <w:r>
              <w:rPr>
                <w:sz w:val="20"/>
                <w:szCs w:val="20"/>
              </w:rPr>
              <w:t>)</w:t>
            </w:r>
          </w:p>
        </w:tc>
      </w:tr>
    </w:tbl>
    <w:p w14:paraId="70A4CC5E" w14:textId="77777777" w:rsidR="00C1548D" w:rsidRDefault="00C1548D">
      <w:pPr>
        <w:spacing w:line="220" w:lineRule="exact"/>
      </w:pPr>
    </w:p>
    <w:p w14:paraId="70A4CC5F"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C60" w14:textId="2461F74F" w:rsidR="00C1548D" w:rsidRDefault="009B1B4B" w:rsidP="009B1B4B">
      <w:pPr>
        <w:pStyle w:val="ListParagraph"/>
        <w:numPr>
          <w:ilvl w:val="0"/>
          <w:numId w:val="1"/>
        </w:numPr>
        <w:spacing w:after="60"/>
      </w:pPr>
      <w:r>
        <w:t>Study in the States (DHS) — F-1, CPT, OPT, Cap-Gap (</w:t>
      </w:r>
      <w:hyperlink r:id="rId72" w:history="1">
        <w:r>
          <w:rPr>
            <w:color w:val="0563C1"/>
            <w:u w:val="single"/>
          </w:rPr>
          <w:t>studyinthestates.dhs.gov</w:t>
        </w:r>
      </w:hyperlink>
      <w:r>
        <w:t>)</w:t>
      </w:r>
    </w:p>
    <w:p w14:paraId="70A4CC61" w14:textId="45385B96" w:rsidR="00C1548D" w:rsidRDefault="009B1B4B" w:rsidP="009B1B4B">
      <w:pPr>
        <w:pStyle w:val="ListParagraph"/>
        <w:numPr>
          <w:ilvl w:val="0"/>
          <w:numId w:val="1"/>
        </w:numPr>
        <w:spacing w:after="60"/>
      </w:pPr>
      <w:r>
        <w:t>USCIS — OPT, STEM-OPT, Statuswechsel, H-1B (</w:t>
      </w:r>
      <w:hyperlink r:id="rId73" w:history="1">
        <w:r>
          <w:rPr>
            <w:color w:val="0563C1"/>
            <w:u w:val="single"/>
          </w:rPr>
          <w:t>uscis.gov/working-in-the-united-states/students-and-exchange-visitors</w:t>
        </w:r>
      </w:hyperlink>
      <w:r>
        <w:t>)</w:t>
      </w:r>
    </w:p>
    <w:p w14:paraId="70A4CC62" w14:textId="1192E600" w:rsidR="00C1548D" w:rsidRDefault="009B1B4B" w:rsidP="009B1B4B">
      <w:pPr>
        <w:pStyle w:val="ListParagraph"/>
        <w:numPr>
          <w:ilvl w:val="0"/>
          <w:numId w:val="1"/>
        </w:numPr>
        <w:spacing w:after="60"/>
      </w:pPr>
      <w:r>
        <w:t>USCIS — Gebührenübersicht (</w:t>
      </w:r>
      <w:hyperlink r:id="rId74" w:history="1">
        <w:r>
          <w:rPr>
            <w:color w:val="0563C1"/>
            <w:u w:val="single"/>
          </w:rPr>
          <w:t>uscis.gov/g-1055</w:t>
        </w:r>
      </w:hyperlink>
      <w:r>
        <w:t>)</w:t>
      </w:r>
    </w:p>
    <w:p w14:paraId="70A4CC63" w14:textId="2A2B05BD" w:rsidR="00C1548D" w:rsidRDefault="009B1B4B" w:rsidP="009B1B4B">
      <w:pPr>
        <w:pStyle w:val="ListParagraph"/>
        <w:numPr>
          <w:ilvl w:val="0"/>
          <w:numId w:val="1"/>
        </w:numPr>
        <w:spacing w:after="60"/>
      </w:pPr>
      <w:r>
        <w:t>ICE — SEVIS-Gebühr I-901 (</w:t>
      </w:r>
      <w:hyperlink r:id="rId75" w:history="1">
        <w:r>
          <w:rPr>
            <w:color w:val="0563C1"/>
            <w:u w:val="single"/>
          </w:rPr>
          <w:t>ice.gov/sevis/i901</w:t>
        </w:r>
      </w:hyperlink>
      <w:r>
        <w:t>)</w:t>
      </w:r>
    </w:p>
    <w:p w14:paraId="70A4CC64" w14:textId="2AAE1BDF" w:rsidR="00C1548D" w:rsidRDefault="009B1B4B" w:rsidP="009B1B4B">
      <w:pPr>
        <w:pStyle w:val="ListParagraph"/>
        <w:numPr>
          <w:ilvl w:val="0"/>
          <w:numId w:val="1"/>
        </w:numPr>
        <w:spacing w:after="60"/>
      </w:pPr>
      <w:r>
        <w:lastRenderedPageBreak/>
        <w:t>State Department — Studentenvisum, Termine (</w:t>
      </w:r>
      <w:hyperlink r:id="rId76" w:history="1">
        <w:r>
          <w:rPr>
            <w:color w:val="0563C1"/>
            <w:u w:val="single"/>
          </w:rPr>
          <w:t>travel.state.gov</w:t>
        </w:r>
      </w:hyperlink>
      <w:r>
        <w:t>)</w:t>
      </w:r>
    </w:p>
    <w:p w14:paraId="70A4CC65" w14:textId="05865F9F" w:rsidR="00C1548D" w:rsidRDefault="009B1B4B" w:rsidP="009B1B4B">
      <w:pPr>
        <w:pStyle w:val="ListParagraph"/>
        <w:numPr>
          <w:ilvl w:val="0"/>
          <w:numId w:val="1"/>
        </w:numPr>
        <w:spacing w:after="60"/>
      </w:pPr>
      <w:r>
        <w:t>IRS — Steuern für ausländische Studierende (</w:t>
      </w:r>
      <w:hyperlink r:id="rId77" w:history="1">
        <w:r>
          <w:rPr>
            <w:color w:val="0563C1"/>
            <w:u w:val="single"/>
          </w:rPr>
          <w:t>irs.gov/individuals/international-taxpayers</w:t>
        </w:r>
      </w:hyperlink>
      <w:r>
        <w:t>)</w:t>
      </w:r>
    </w:p>
    <w:p w14:paraId="70A4CC66" w14:textId="2751AF0D" w:rsidR="00C1548D" w:rsidRDefault="009B1B4B" w:rsidP="009B1B4B">
      <w:pPr>
        <w:pStyle w:val="ListParagraph"/>
        <w:numPr>
          <w:ilvl w:val="0"/>
          <w:numId w:val="1"/>
        </w:numPr>
        <w:spacing w:after="60"/>
      </w:pPr>
      <w:r>
        <w:t>DAAD und Fulbright Deutschland — Stipendien (</w:t>
      </w:r>
      <w:hyperlink r:id="rId78" w:history="1">
        <w:r>
          <w:rPr>
            <w:color w:val="0563C1"/>
            <w:u w:val="single"/>
          </w:rPr>
          <w:t>daad.de</w:t>
        </w:r>
      </w:hyperlink>
      <w:r>
        <w:t xml:space="preserve">, </w:t>
      </w:r>
      <w:hyperlink r:id="rId79" w:history="1">
        <w:r>
          <w:rPr>
            <w:color w:val="0563C1"/>
            <w:u w:val="single"/>
          </w:rPr>
          <w:t>fulbright.de</w:t>
        </w:r>
      </w:hyperlink>
      <w:r>
        <w:t>)</w:t>
      </w:r>
    </w:p>
    <w:p w14:paraId="70A4CC67" w14:textId="5DF801D0" w:rsidR="00C1548D" w:rsidRDefault="009B1B4B" w:rsidP="009B1B4B">
      <w:pPr>
        <w:pStyle w:val="ListParagraph"/>
        <w:numPr>
          <w:ilvl w:val="0"/>
          <w:numId w:val="1"/>
        </w:numPr>
        <w:spacing w:after="60"/>
      </w:pPr>
      <w:r>
        <w:t>Open Doors (IIE) — Zahlen internationaler Studierender (</w:t>
      </w:r>
      <w:hyperlink r:id="rId80" w:history="1">
        <w:r>
          <w:rPr>
            <w:color w:val="0563C1"/>
            <w:u w:val="single"/>
          </w:rPr>
          <w:t>opendoorsdata.org</w:t>
        </w:r>
      </w:hyperlink>
      <w:r>
        <w:t>)</w:t>
      </w:r>
    </w:p>
    <w:p w14:paraId="70A4CC68"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C6B"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C69" w14:textId="77777777" w:rsidR="00C1548D" w:rsidRDefault="009B1B4B">
            <w:pPr>
              <w:keepNext/>
              <w:spacing w:after="70" w:line="240" w:lineRule="auto"/>
            </w:pPr>
            <w:r>
              <w:rPr>
                <w:b/>
                <w:bCs/>
                <w:color w:val="6B7280"/>
                <w:spacing w:val="24"/>
                <w:sz w:val="16"/>
                <w:szCs w:val="16"/>
              </w:rPr>
              <w:t>STAND</w:t>
            </w:r>
          </w:p>
          <w:p w14:paraId="70A4CC6A" w14:textId="77777777" w:rsidR="00C1548D" w:rsidRDefault="009B1B4B">
            <w:pPr>
              <w:spacing w:after="80" w:line="264" w:lineRule="auto"/>
            </w:pPr>
            <w:r>
              <w:rPr>
                <w:sz w:val="20"/>
                <w:szCs w:val="20"/>
              </w:rPr>
              <w:t>September 2026 (Recherchestand 20. September 2026). Diese Angaben ändern sich schnell: Berufung gegen den Stopp der Aufenthaltsdauer-Regel, OPT-Neufassung und OPT-Gebühr, CPT-Leitlinien des SEVP, die 100.000-$-Proklamation (bis 21. September 2027) und der Entwurf über 103.265 $, USCIS-Gebühren, Stipendienraten und -fristen, H-1B-Registrierung im März 2027. Prüfe vor jeder Entscheidung die offiziellen Seiten und sprich mit deinem DSO.</w:t>
            </w:r>
          </w:p>
        </w:tc>
      </w:tr>
    </w:tbl>
    <w:p w14:paraId="70A4CC6C" w14:textId="77777777" w:rsidR="00C1548D" w:rsidRDefault="00C1548D">
      <w:pPr>
        <w:spacing w:line="220" w:lineRule="exact"/>
      </w:pPr>
    </w:p>
    <w:p w14:paraId="70A4CC6D" w14:textId="77777777" w:rsidR="00C1548D" w:rsidRDefault="009B1B4B">
      <w:pPr>
        <w:pStyle w:val="Heading2"/>
        <w:keepNext/>
        <w:pageBreakBefore/>
        <w:jc w:val="center"/>
      </w:pPr>
      <w:bookmarkStart w:id="25" w:name="k9"/>
      <w:bookmarkStart w:id="26" w:name="_Toc241352459"/>
      <w:r>
        <w:rPr>
          <w:rFonts w:ascii="Amazon Ember" w:eastAsia="Amazon Ember" w:hAnsi="Amazon Ember" w:cs="Amazon Ember"/>
          <w:color w:val="0000FF"/>
          <w:sz w:val="36"/>
          <w:szCs w:val="36"/>
        </w:rPr>
        <w:lastRenderedPageBreak/>
        <w:t>Kapitel 9: Weitere Wege: L-1, O-1, E-2, J-1, Lotterie, Heirat, Selbständigkeit</w:t>
      </w:r>
      <w:bookmarkEnd w:id="25"/>
      <w:bookmarkEnd w:id="26"/>
    </w:p>
    <w:p w14:paraId="70A4CC6E" w14:textId="77777777" w:rsidR="00C1548D" w:rsidRDefault="009B1B4B">
      <w:pPr>
        <w:spacing w:after="140"/>
      </w:pPr>
      <w:r>
        <w:t>Im März kommt die Absage aus der H-1B-Lotterie, im April fragt dein Abteilungsleiter beiläufig, ob du nicht für ein paar Jahre ins Schwesterwerk nach Phoenix wechseln möchtest. Oder ein Bekannter erzählt, er arbeite „einfach drei Monate von Austin aus“ für seinen Berliner Arbeitgeber, mit ESTA, das merke doch niemand. Beides gehört in dieses Kapitel: Neben H-1B und Studium gibt es ein gutes Dutzend weiterer Wege, von denen einige genau auf deine Lage passen. Und es gibt einen scheinbaren Weg, der keiner ist</w:t>
      </w:r>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C76"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C6F" w14:textId="77777777" w:rsidR="00C1548D" w:rsidRDefault="009B1B4B">
            <w:pPr>
              <w:keepNext/>
              <w:spacing w:after="70" w:line="240" w:lineRule="auto"/>
            </w:pPr>
            <w:r>
              <w:rPr>
                <w:b/>
                <w:bCs/>
                <w:color w:val="1F3A5F"/>
                <w:spacing w:val="24"/>
                <w:sz w:val="16"/>
                <w:szCs w:val="16"/>
              </w:rPr>
              <w:t>KURZ GESAGT</w:t>
            </w:r>
          </w:p>
          <w:p w14:paraId="70A4CC70" w14:textId="77777777" w:rsidR="00C1548D" w:rsidRDefault="009B1B4B" w:rsidP="009B1B4B">
            <w:pPr>
              <w:pStyle w:val="ListParagraph"/>
              <w:numPr>
                <w:ilvl w:val="0"/>
                <w:numId w:val="1"/>
              </w:numPr>
              <w:spacing w:after="50" w:line="264" w:lineRule="auto"/>
            </w:pPr>
            <w:r>
              <w:rPr>
                <w:sz w:val="20"/>
                <w:szCs w:val="20"/>
              </w:rPr>
              <w:t>Der L-1 ist für Beschäftigte internationaler Konzerne oft der direkteste Weg: keine Lotterie, keine Quote, der Partner darf arbeiten. Voraussetzung ist ein Jahr im Konzern im Ausland.</w:t>
            </w:r>
          </w:p>
          <w:p w14:paraId="70A4CC71" w14:textId="77777777" w:rsidR="00C1548D" w:rsidRDefault="009B1B4B" w:rsidP="009B1B4B">
            <w:pPr>
              <w:pStyle w:val="ListParagraph"/>
              <w:numPr>
                <w:ilvl w:val="0"/>
                <w:numId w:val="1"/>
              </w:numPr>
              <w:spacing w:after="50" w:line="264" w:lineRule="auto"/>
            </w:pPr>
            <w:r>
              <w:rPr>
                <w:sz w:val="20"/>
                <w:szCs w:val="20"/>
              </w:rPr>
              <w:t>O-1 (Spitzenleistung) und E-2 (eigene Investition; Deutschland ist Vertragsstaat) sind Nischenwege mit hoher Beweislast, passend nur, wenn du die Kriterien wirklich erfüllst.</w:t>
            </w:r>
          </w:p>
          <w:p w14:paraId="70A4CC72" w14:textId="77777777" w:rsidR="00C1548D" w:rsidRDefault="009B1B4B" w:rsidP="009B1B4B">
            <w:pPr>
              <w:pStyle w:val="ListParagraph"/>
              <w:numPr>
                <w:ilvl w:val="0"/>
                <w:numId w:val="1"/>
              </w:numPr>
              <w:spacing w:after="50" w:line="264" w:lineRule="auto"/>
            </w:pPr>
            <w:r>
              <w:rPr>
                <w:sz w:val="20"/>
                <w:szCs w:val="20"/>
              </w:rPr>
              <w:t>Das J-1 ist ein Austauschprogramm auf Zeit, kein Einwanderungsweg; die Zwei-Jahres-Regel kann den späteren Wechsel in ein Arbeitsvisum sperren.</w:t>
            </w:r>
          </w:p>
          <w:p w14:paraId="70A4CC73" w14:textId="77777777" w:rsidR="00C1548D" w:rsidRDefault="009B1B4B" w:rsidP="009B1B4B">
            <w:pPr>
              <w:pStyle w:val="ListParagraph"/>
              <w:numPr>
                <w:ilvl w:val="0"/>
                <w:numId w:val="1"/>
              </w:numPr>
              <w:spacing w:after="50" w:line="264" w:lineRule="auto"/>
            </w:pPr>
            <w:r>
              <w:rPr>
                <w:sz w:val="20"/>
                <w:szCs w:val="20"/>
              </w:rPr>
              <w:t>ESTA und B-1 erlauben Meetings, Kundenbesuche und Vorstellungsgespräche, aber keine Arbeit – auch nicht am Laptop für den deutschen Arbeitgeber.</w:t>
            </w:r>
          </w:p>
          <w:p w14:paraId="70A4CC74" w14:textId="77777777" w:rsidR="00C1548D" w:rsidRDefault="009B1B4B" w:rsidP="009B1B4B">
            <w:pPr>
              <w:pStyle w:val="ListParagraph"/>
              <w:numPr>
                <w:ilvl w:val="0"/>
                <w:numId w:val="1"/>
              </w:numPr>
              <w:spacing w:after="50" w:line="264" w:lineRule="auto"/>
            </w:pPr>
            <w:r>
              <w:rPr>
                <w:sz w:val="20"/>
                <w:szCs w:val="20"/>
              </w:rPr>
              <w:t>Lotterie, Heirat, EB-5 und Gold Card führen direkt zur Green Card, sind aber schlecht planbar, an Bedingungen geknüpft oder sehr teuer.</w:t>
            </w:r>
          </w:p>
          <w:p w14:paraId="70A4CC75" w14:textId="77777777" w:rsidR="00C1548D" w:rsidRDefault="009B1B4B" w:rsidP="009B1B4B">
            <w:pPr>
              <w:pStyle w:val="ListParagraph"/>
              <w:numPr>
                <w:ilvl w:val="0"/>
                <w:numId w:val="1"/>
              </w:numPr>
              <w:spacing w:after="50" w:line="264" w:lineRule="auto"/>
            </w:pPr>
            <w:r>
              <w:rPr>
                <w:sz w:val="20"/>
                <w:szCs w:val="20"/>
              </w:rPr>
              <w:t>Ein Visum für Freiberufler oder digitale Nomaden gibt es nicht.</w:t>
            </w:r>
          </w:p>
        </w:tc>
      </w:tr>
    </w:tbl>
    <w:p w14:paraId="70A4CC77" w14:textId="77777777" w:rsidR="00C1548D" w:rsidRDefault="00C1548D">
      <w:pPr>
        <w:spacing w:line="220" w:lineRule="exact"/>
      </w:pPr>
    </w:p>
    <w:p w14:paraId="70A4CC78" w14:textId="77777777" w:rsidR="00C1548D" w:rsidRDefault="009B1B4B">
      <w:pPr>
        <w:pStyle w:val="Heading3"/>
        <w:keepNext/>
        <w:jc w:val="center"/>
      </w:pPr>
      <w:r>
        <w:rPr>
          <w:rFonts w:ascii="Amazon Ember" w:eastAsia="Amazon Ember" w:hAnsi="Amazon Ember" w:cs="Amazon Ember"/>
          <w:color w:val="0000FF"/>
          <w:sz w:val="36"/>
          <w:szCs w:val="36"/>
        </w:rPr>
        <w:t>Die Wege im Überblick</w:t>
      </w:r>
    </w:p>
    <w:p w14:paraId="70A4CC79" w14:textId="77777777" w:rsidR="00C1548D" w:rsidRDefault="009B1B4B">
      <w:pPr>
        <w:spacing w:after="140"/>
      </w:pPr>
      <w:r>
        <w:t xml:space="preserve">Zwei Begriffe vorab, die fast alle Neulinge verwechseln: Das </w:t>
      </w:r>
      <w:r>
        <w:rPr>
          <w:i/>
          <w:iCs/>
        </w:rPr>
        <w:t>Visum</w:t>
      </w:r>
      <w:r>
        <w:t xml:space="preserve"> ist das Einreisedokument im Pass, ausgestellt vom Konsulat. Der </w:t>
      </w:r>
      <w:r>
        <w:rPr>
          <w:i/>
          <w:iCs/>
        </w:rPr>
        <w:t>Status</w:t>
      </w:r>
      <w:r>
        <w:t xml:space="preserve"> </w:t>
      </w:r>
      <w:r>
        <w:lastRenderedPageBreak/>
        <w:t>ist die Aufenthaltserlaubnis nach der Einreise, dokumentiert im Formular I-94, dem elektronischen Einreisenachweis. Die meisten Wege dieses Kapitels führen in einen zeitlich begrenzten Status (</w:t>
      </w:r>
      <w:r>
        <w:rPr>
          <w:i/>
          <w:iCs/>
        </w:rPr>
        <w:t>Nonimmigrant</w:t>
      </w:r>
      <w:r>
        <w:t>, Nichteinwanderer); nur Heirat, Lotterie und EB-5 führen unmittelbar zur Green Card. Die erste Tabelle zeigt, für wen welcher Weg gedacht ist, die zweite, was aus Partner und Green Card wird: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085"/>
        <w:gridCol w:w="2445"/>
      </w:tblGrid>
      <w:tr w:rsidR="00C1548D" w14:paraId="70A4CC7D"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7A" w14:textId="77777777" w:rsidR="00C1548D" w:rsidRDefault="009B1B4B">
            <w:pPr>
              <w:spacing w:line="250" w:lineRule="auto"/>
            </w:pPr>
            <w:r>
              <w:rPr>
                <w:b/>
                <w:bCs/>
                <w:sz w:val="18"/>
                <w:szCs w:val="18"/>
              </w:rPr>
              <w:t>Weg</w:t>
            </w:r>
          </w:p>
        </w:tc>
        <w:tc>
          <w:tcPr>
            <w:tcW w:w="30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7B" w14:textId="77777777" w:rsidR="00C1548D" w:rsidRDefault="009B1B4B">
            <w:pPr>
              <w:spacing w:line="250" w:lineRule="auto"/>
            </w:pPr>
            <w:r>
              <w:rPr>
                <w:b/>
                <w:bCs/>
                <w:sz w:val="18"/>
                <w:szCs w:val="18"/>
              </w:rPr>
              <w:t>Für wen</w:t>
            </w:r>
          </w:p>
        </w:tc>
        <w:tc>
          <w:tcPr>
            <w:tcW w:w="244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7C" w14:textId="77777777" w:rsidR="00C1548D" w:rsidRDefault="009B1B4B">
            <w:pPr>
              <w:spacing w:line="250" w:lineRule="auto"/>
            </w:pPr>
            <w:r>
              <w:rPr>
                <w:b/>
                <w:bCs/>
                <w:sz w:val="18"/>
                <w:szCs w:val="18"/>
              </w:rPr>
              <w:t>Dauer</w:t>
            </w:r>
          </w:p>
        </w:tc>
      </w:tr>
      <w:tr w:rsidR="00C1548D" w14:paraId="70A4CC8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7E" w14:textId="77777777" w:rsidR="00C1548D" w:rsidRDefault="009B1B4B">
            <w:pPr>
              <w:spacing w:line="250" w:lineRule="auto"/>
            </w:pPr>
            <w:r>
              <w:rPr>
                <w:sz w:val="18"/>
                <w:szCs w:val="18"/>
              </w:rPr>
              <w:t>L-1</w:t>
            </w:r>
          </w:p>
        </w:tc>
        <w:tc>
          <w:tcPr>
            <w:tcW w:w="3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7F" w14:textId="77777777" w:rsidR="00C1548D" w:rsidRDefault="009B1B4B">
            <w:pPr>
              <w:spacing w:line="250" w:lineRule="auto"/>
            </w:pPr>
            <w:r>
              <w:rPr>
                <w:sz w:val="18"/>
                <w:szCs w:val="18"/>
              </w:rPr>
              <w:t>Konzernbeschäftigte mit einem Jahr im Ausland</w:t>
            </w:r>
          </w:p>
        </w:tc>
        <w:tc>
          <w:tcPr>
            <w:tcW w:w="24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0" w14:textId="77777777" w:rsidR="00C1548D" w:rsidRDefault="009B1B4B">
            <w:pPr>
              <w:spacing w:line="250" w:lineRule="auto"/>
            </w:pPr>
            <w:r>
              <w:rPr>
                <w:sz w:val="18"/>
                <w:szCs w:val="18"/>
              </w:rPr>
              <w:t>L-1A bis 7 Jahre, L-1B bis 5 Jahre</w:t>
            </w:r>
          </w:p>
        </w:tc>
      </w:tr>
      <w:tr w:rsidR="00C1548D" w14:paraId="70A4CC8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2" w14:textId="77777777" w:rsidR="00C1548D" w:rsidRDefault="009B1B4B">
            <w:pPr>
              <w:spacing w:line="250" w:lineRule="auto"/>
            </w:pPr>
            <w:r>
              <w:rPr>
                <w:sz w:val="18"/>
                <w:szCs w:val="18"/>
              </w:rPr>
              <w:t>O-1</w:t>
            </w:r>
          </w:p>
        </w:tc>
        <w:tc>
          <w:tcPr>
            <w:tcW w:w="3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3" w14:textId="77777777" w:rsidR="00C1548D" w:rsidRDefault="009B1B4B">
            <w:pPr>
              <w:spacing w:line="250" w:lineRule="auto"/>
            </w:pPr>
            <w:r>
              <w:rPr>
                <w:sz w:val="18"/>
                <w:szCs w:val="18"/>
              </w:rPr>
              <w:t>Personen mit außergewöhnlichen Leistungen im Fach</w:t>
            </w:r>
          </w:p>
        </w:tc>
        <w:tc>
          <w:tcPr>
            <w:tcW w:w="24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4" w14:textId="77777777" w:rsidR="00C1548D" w:rsidRDefault="009B1B4B">
            <w:pPr>
              <w:spacing w:line="250" w:lineRule="auto"/>
            </w:pPr>
            <w:r>
              <w:rPr>
                <w:sz w:val="18"/>
                <w:szCs w:val="18"/>
              </w:rPr>
              <w:t>3 Jahre, danach jährlich verlängerbar</w:t>
            </w:r>
          </w:p>
        </w:tc>
      </w:tr>
      <w:tr w:rsidR="00C1548D" w14:paraId="70A4CC8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6" w14:textId="77777777" w:rsidR="00C1548D" w:rsidRDefault="009B1B4B">
            <w:pPr>
              <w:spacing w:line="250" w:lineRule="auto"/>
            </w:pPr>
            <w:r>
              <w:rPr>
                <w:sz w:val="18"/>
                <w:szCs w:val="18"/>
              </w:rPr>
              <w:t>E-2</w:t>
            </w:r>
          </w:p>
        </w:tc>
        <w:tc>
          <w:tcPr>
            <w:tcW w:w="3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7" w14:textId="77777777" w:rsidR="00C1548D" w:rsidRDefault="009B1B4B">
            <w:pPr>
              <w:spacing w:line="250" w:lineRule="auto"/>
            </w:pPr>
            <w:r>
              <w:rPr>
                <w:sz w:val="18"/>
                <w:szCs w:val="18"/>
              </w:rPr>
              <w:t>Investoren und Gründer aus dem Vertragsstaat Deutschland</w:t>
            </w:r>
          </w:p>
        </w:tc>
        <w:tc>
          <w:tcPr>
            <w:tcW w:w="24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8" w14:textId="77777777" w:rsidR="00C1548D" w:rsidRDefault="009B1B4B">
            <w:pPr>
              <w:spacing w:line="250" w:lineRule="auto"/>
            </w:pPr>
            <w:r>
              <w:rPr>
                <w:sz w:val="18"/>
                <w:szCs w:val="18"/>
              </w:rPr>
              <w:t>2 Jahre, unbegrenzt verlängerbar</w:t>
            </w:r>
          </w:p>
        </w:tc>
      </w:tr>
      <w:tr w:rsidR="00C1548D" w14:paraId="70A4CC8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A" w14:textId="77777777" w:rsidR="00C1548D" w:rsidRDefault="009B1B4B">
            <w:pPr>
              <w:spacing w:line="250" w:lineRule="auto"/>
            </w:pPr>
            <w:r>
              <w:rPr>
                <w:sz w:val="18"/>
                <w:szCs w:val="18"/>
              </w:rPr>
              <w:t>J-1</w:t>
            </w:r>
          </w:p>
        </w:tc>
        <w:tc>
          <w:tcPr>
            <w:tcW w:w="3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B" w14:textId="77777777" w:rsidR="00C1548D" w:rsidRDefault="009B1B4B">
            <w:pPr>
              <w:spacing w:line="250" w:lineRule="auto"/>
            </w:pPr>
            <w:r>
              <w:rPr>
                <w:sz w:val="18"/>
                <w:szCs w:val="18"/>
              </w:rPr>
              <w:t>Forschende, Praktikanten, Au-pairs</w:t>
            </w:r>
          </w:p>
        </w:tc>
        <w:tc>
          <w:tcPr>
            <w:tcW w:w="24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C" w14:textId="77777777" w:rsidR="00C1548D" w:rsidRDefault="009B1B4B">
            <w:pPr>
              <w:spacing w:line="250" w:lineRule="auto"/>
            </w:pPr>
            <w:r>
              <w:rPr>
                <w:sz w:val="18"/>
                <w:szCs w:val="18"/>
              </w:rPr>
              <w:t>je nach Programm 12 Monate bis 5 Jahre</w:t>
            </w:r>
          </w:p>
        </w:tc>
      </w:tr>
      <w:tr w:rsidR="00C1548D" w14:paraId="70A4CC9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E" w14:textId="77777777" w:rsidR="00C1548D" w:rsidRDefault="009B1B4B">
            <w:pPr>
              <w:spacing w:line="250" w:lineRule="auto"/>
            </w:pPr>
            <w:r>
              <w:rPr>
                <w:sz w:val="18"/>
                <w:szCs w:val="18"/>
              </w:rPr>
              <w:t>ESTA, B-1</w:t>
            </w:r>
          </w:p>
        </w:tc>
        <w:tc>
          <w:tcPr>
            <w:tcW w:w="3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8F" w14:textId="77777777" w:rsidR="00C1548D" w:rsidRDefault="009B1B4B">
            <w:pPr>
              <w:spacing w:line="250" w:lineRule="auto"/>
            </w:pPr>
            <w:r>
              <w:rPr>
                <w:sz w:val="18"/>
                <w:szCs w:val="18"/>
              </w:rPr>
              <w:t>Besuch und Geschäftstermine</w:t>
            </w:r>
          </w:p>
        </w:tc>
        <w:tc>
          <w:tcPr>
            <w:tcW w:w="24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90" w14:textId="77777777" w:rsidR="00C1548D" w:rsidRDefault="009B1B4B">
            <w:pPr>
              <w:spacing w:line="250" w:lineRule="auto"/>
            </w:pPr>
            <w:r>
              <w:rPr>
                <w:sz w:val="18"/>
                <w:szCs w:val="18"/>
              </w:rPr>
              <w:t>bis 90 Tage, keine Arbeit</w:t>
            </w:r>
          </w:p>
        </w:tc>
      </w:tr>
      <w:tr w:rsidR="00C1548D" w14:paraId="70A4CC9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92" w14:textId="77777777" w:rsidR="00C1548D" w:rsidRDefault="009B1B4B">
            <w:pPr>
              <w:spacing w:line="250" w:lineRule="auto"/>
            </w:pPr>
            <w:r>
              <w:rPr>
                <w:sz w:val="18"/>
                <w:szCs w:val="18"/>
              </w:rPr>
              <w:t>Heirat</w:t>
            </w:r>
          </w:p>
        </w:tc>
        <w:tc>
          <w:tcPr>
            <w:tcW w:w="3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93" w14:textId="77777777" w:rsidR="00C1548D" w:rsidRDefault="009B1B4B">
            <w:pPr>
              <w:spacing w:line="250" w:lineRule="auto"/>
            </w:pPr>
            <w:r>
              <w:rPr>
                <w:sz w:val="18"/>
                <w:szCs w:val="18"/>
              </w:rPr>
              <w:t>Partner eines US-Bürgers</w:t>
            </w:r>
          </w:p>
        </w:tc>
        <w:tc>
          <w:tcPr>
            <w:tcW w:w="24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94" w14:textId="77777777" w:rsidR="00C1548D" w:rsidRDefault="009B1B4B">
            <w:pPr>
              <w:spacing w:line="250" w:lineRule="auto"/>
            </w:pPr>
            <w:r>
              <w:rPr>
                <w:sz w:val="18"/>
                <w:szCs w:val="18"/>
              </w:rPr>
              <w:t>dauerhaft (Green Card)</w:t>
            </w:r>
          </w:p>
        </w:tc>
      </w:tr>
      <w:tr w:rsidR="00C1548D" w14:paraId="70A4CC9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96" w14:textId="77777777" w:rsidR="00C1548D" w:rsidRDefault="009B1B4B">
            <w:pPr>
              <w:spacing w:line="250" w:lineRule="auto"/>
            </w:pPr>
            <w:r>
              <w:rPr>
                <w:sz w:val="18"/>
                <w:szCs w:val="18"/>
              </w:rPr>
              <w:t>Lotterie, EB-5</w:t>
            </w:r>
          </w:p>
        </w:tc>
        <w:tc>
          <w:tcPr>
            <w:tcW w:w="30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97" w14:textId="77777777" w:rsidR="00C1548D" w:rsidRDefault="009B1B4B">
            <w:pPr>
              <w:spacing w:line="250" w:lineRule="auto"/>
            </w:pPr>
            <w:r>
              <w:rPr>
                <w:sz w:val="18"/>
                <w:szCs w:val="18"/>
              </w:rPr>
              <w:t>Losglück; Investoren ab 800.000 $</w:t>
            </w:r>
          </w:p>
        </w:tc>
        <w:tc>
          <w:tcPr>
            <w:tcW w:w="24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98" w14:textId="77777777" w:rsidR="00C1548D" w:rsidRDefault="009B1B4B">
            <w:pPr>
              <w:spacing w:line="250" w:lineRule="auto"/>
            </w:pPr>
            <w:r>
              <w:rPr>
                <w:sz w:val="18"/>
                <w:szCs w:val="18"/>
              </w:rPr>
              <w:t>dauerhaft (Green Card)</w:t>
            </w:r>
          </w:p>
        </w:tc>
      </w:tr>
    </w:tbl>
    <w:p w14:paraId="70A4CC9A" w14:textId="77777777" w:rsidR="00C1548D" w:rsidRDefault="00C1548D">
      <w:pPr>
        <w:spacing w:line="18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39"/>
        <w:gridCol w:w="2299"/>
        <w:gridCol w:w="3042"/>
      </w:tblGrid>
      <w:tr w:rsidR="00C1548D" w14:paraId="70A4CC9E" w14:textId="77777777">
        <w:tblPrEx>
          <w:tblCellMar>
            <w:top w:w="0" w:type="dxa"/>
            <w:bottom w:w="0" w:type="dxa"/>
          </w:tblCellMar>
        </w:tblPrEx>
        <w:trPr>
          <w:cantSplit/>
          <w:tblHeader/>
        </w:trPr>
        <w:tc>
          <w:tcPr>
            <w:tcW w:w="113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9B" w14:textId="77777777" w:rsidR="00C1548D" w:rsidRDefault="009B1B4B">
            <w:pPr>
              <w:spacing w:line="250" w:lineRule="auto"/>
            </w:pPr>
            <w:r>
              <w:rPr>
                <w:b/>
                <w:bCs/>
                <w:sz w:val="18"/>
                <w:szCs w:val="18"/>
              </w:rPr>
              <w:t>Weg</w:t>
            </w:r>
          </w:p>
        </w:tc>
        <w:tc>
          <w:tcPr>
            <w:tcW w:w="229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9C" w14:textId="77777777" w:rsidR="00C1548D" w:rsidRDefault="009B1B4B">
            <w:pPr>
              <w:spacing w:line="250" w:lineRule="auto"/>
            </w:pPr>
            <w:r>
              <w:rPr>
                <w:b/>
                <w:bCs/>
                <w:sz w:val="18"/>
                <w:szCs w:val="18"/>
              </w:rPr>
              <w:t>Partner arbeitet?</w:t>
            </w:r>
          </w:p>
        </w:tc>
        <w:tc>
          <w:tcPr>
            <w:tcW w:w="304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9D" w14:textId="77777777" w:rsidR="00C1548D" w:rsidRDefault="009B1B4B">
            <w:pPr>
              <w:spacing w:line="250" w:lineRule="auto"/>
            </w:pPr>
            <w:r>
              <w:rPr>
                <w:b/>
                <w:bCs/>
                <w:sz w:val="18"/>
                <w:szCs w:val="18"/>
              </w:rPr>
              <w:t>Weg zur Green Card</w:t>
            </w:r>
          </w:p>
        </w:tc>
      </w:tr>
      <w:tr w:rsidR="00C1548D" w14:paraId="70A4CCA2" w14:textId="77777777">
        <w:tblPrEx>
          <w:tblCellMar>
            <w:top w:w="0" w:type="dxa"/>
            <w:bottom w:w="0" w:type="dxa"/>
          </w:tblCellMar>
        </w:tblPrEx>
        <w:trPr>
          <w:cantSplit/>
        </w:trPr>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9F" w14:textId="77777777" w:rsidR="00C1548D" w:rsidRDefault="009B1B4B">
            <w:pPr>
              <w:spacing w:line="250" w:lineRule="auto"/>
            </w:pPr>
            <w:r>
              <w:rPr>
                <w:sz w:val="18"/>
                <w:szCs w:val="18"/>
              </w:rPr>
              <w:t>L-1</w:t>
            </w:r>
          </w:p>
        </w:tc>
        <w:tc>
          <w:tcPr>
            <w:tcW w:w="2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0" w14:textId="77777777" w:rsidR="00C1548D" w:rsidRDefault="009B1B4B">
            <w:pPr>
              <w:spacing w:line="250" w:lineRule="auto"/>
            </w:pPr>
            <w:r>
              <w:rPr>
                <w:sz w:val="18"/>
                <w:szCs w:val="18"/>
              </w:rPr>
              <w:t>Ja, ohne eigenen Antrag (L-2)</w:t>
            </w:r>
          </w:p>
        </w:tc>
        <w:tc>
          <w:tcPr>
            <w:tcW w:w="30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1" w14:textId="77777777" w:rsidR="00C1548D" w:rsidRDefault="009B1B4B">
            <w:pPr>
              <w:spacing w:line="250" w:lineRule="auto"/>
            </w:pPr>
            <w:r>
              <w:rPr>
                <w:sz w:val="18"/>
                <w:szCs w:val="18"/>
              </w:rPr>
              <w:t>Möglich; Manager oft über EB-1C, sonst PERM</w:t>
            </w:r>
          </w:p>
        </w:tc>
      </w:tr>
      <w:tr w:rsidR="00C1548D" w14:paraId="70A4CCA6" w14:textId="77777777">
        <w:tblPrEx>
          <w:tblCellMar>
            <w:top w:w="0" w:type="dxa"/>
            <w:bottom w:w="0" w:type="dxa"/>
          </w:tblCellMar>
        </w:tblPrEx>
        <w:trPr>
          <w:cantSplit/>
        </w:trPr>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3" w14:textId="77777777" w:rsidR="00C1548D" w:rsidRDefault="009B1B4B">
            <w:pPr>
              <w:spacing w:line="250" w:lineRule="auto"/>
            </w:pPr>
            <w:r>
              <w:rPr>
                <w:sz w:val="18"/>
                <w:szCs w:val="18"/>
              </w:rPr>
              <w:t>O-1</w:t>
            </w:r>
          </w:p>
        </w:tc>
        <w:tc>
          <w:tcPr>
            <w:tcW w:w="2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4" w14:textId="77777777" w:rsidR="00C1548D" w:rsidRDefault="009B1B4B">
            <w:pPr>
              <w:spacing w:line="250" w:lineRule="auto"/>
            </w:pPr>
            <w:r>
              <w:rPr>
                <w:sz w:val="18"/>
                <w:szCs w:val="18"/>
              </w:rPr>
              <w:t>Nein (O-3)</w:t>
            </w:r>
          </w:p>
        </w:tc>
        <w:tc>
          <w:tcPr>
            <w:tcW w:w="30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5" w14:textId="25D4727C" w:rsidR="00C1548D" w:rsidRDefault="009B1B4B">
            <w:pPr>
              <w:spacing w:line="250" w:lineRule="auto"/>
            </w:pPr>
            <w:r>
              <w:rPr>
                <w:sz w:val="18"/>
                <w:szCs w:val="18"/>
              </w:rPr>
              <w:t>Eigener Antrag nötig (Kapitel </w:t>
            </w:r>
            <w:hyperlink w:anchor="k6" w:history="1">
              <w:r>
                <w:rPr>
                  <w:sz w:val="18"/>
                  <w:szCs w:val="18"/>
                </w:rPr>
                <w:t>6</w:t>
              </w:r>
            </w:hyperlink>
            <w:r>
              <w:rPr>
                <w:sz w:val="18"/>
                <w:szCs w:val="18"/>
              </w:rPr>
              <w:t>)</w:t>
            </w:r>
          </w:p>
        </w:tc>
      </w:tr>
      <w:tr w:rsidR="00C1548D" w14:paraId="70A4CCAA" w14:textId="77777777">
        <w:tblPrEx>
          <w:tblCellMar>
            <w:top w:w="0" w:type="dxa"/>
            <w:bottom w:w="0" w:type="dxa"/>
          </w:tblCellMar>
        </w:tblPrEx>
        <w:trPr>
          <w:cantSplit/>
        </w:trPr>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7" w14:textId="77777777" w:rsidR="00C1548D" w:rsidRDefault="009B1B4B">
            <w:pPr>
              <w:spacing w:line="250" w:lineRule="auto"/>
            </w:pPr>
            <w:r>
              <w:rPr>
                <w:sz w:val="18"/>
                <w:szCs w:val="18"/>
              </w:rPr>
              <w:t>E-2</w:t>
            </w:r>
          </w:p>
        </w:tc>
        <w:tc>
          <w:tcPr>
            <w:tcW w:w="2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8" w14:textId="77777777" w:rsidR="00C1548D" w:rsidRDefault="009B1B4B">
            <w:pPr>
              <w:spacing w:line="250" w:lineRule="auto"/>
            </w:pPr>
            <w:r>
              <w:rPr>
                <w:sz w:val="18"/>
                <w:szCs w:val="18"/>
              </w:rPr>
              <w:t>Ja, bei jedem Arbeitgeber</w:t>
            </w:r>
          </w:p>
        </w:tc>
        <w:tc>
          <w:tcPr>
            <w:tcW w:w="30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9" w14:textId="77777777" w:rsidR="00C1548D" w:rsidRDefault="009B1B4B">
            <w:pPr>
              <w:spacing w:line="250" w:lineRule="auto"/>
            </w:pPr>
            <w:r>
              <w:rPr>
                <w:sz w:val="18"/>
                <w:szCs w:val="18"/>
              </w:rPr>
              <w:t>Kein direkter Weg</w:t>
            </w:r>
          </w:p>
        </w:tc>
      </w:tr>
      <w:tr w:rsidR="00C1548D" w14:paraId="70A4CCAE" w14:textId="77777777">
        <w:tblPrEx>
          <w:tblCellMar>
            <w:top w:w="0" w:type="dxa"/>
            <w:bottom w:w="0" w:type="dxa"/>
          </w:tblCellMar>
        </w:tblPrEx>
        <w:trPr>
          <w:cantSplit/>
        </w:trPr>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B" w14:textId="77777777" w:rsidR="00C1548D" w:rsidRDefault="009B1B4B">
            <w:pPr>
              <w:spacing w:line="250" w:lineRule="auto"/>
            </w:pPr>
            <w:r>
              <w:rPr>
                <w:sz w:val="18"/>
                <w:szCs w:val="18"/>
              </w:rPr>
              <w:t>J-1</w:t>
            </w:r>
          </w:p>
        </w:tc>
        <w:tc>
          <w:tcPr>
            <w:tcW w:w="2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C" w14:textId="77777777" w:rsidR="00C1548D" w:rsidRDefault="009B1B4B">
            <w:pPr>
              <w:spacing w:line="250" w:lineRule="auto"/>
            </w:pPr>
            <w:r>
              <w:rPr>
                <w:sz w:val="18"/>
                <w:szCs w:val="18"/>
              </w:rPr>
              <w:t>Nur mit Arbeitserlaubnis (J-2)</w:t>
            </w:r>
          </w:p>
        </w:tc>
        <w:tc>
          <w:tcPr>
            <w:tcW w:w="30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D" w14:textId="77777777" w:rsidR="00C1548D" w:rsidRDefault="009B1B4B">
            <w:pPr>
              <w:spacing w:line="250" w:lineRule="auto"/>
            </w:pPr>
            <w:r>
              <w:rPr>
                <w:sz w:val="18"/>
                <w:szCs w:val="18"/>
              </w:rPr>
              <w:t>Nicht direkt; Zwei-Jahres-Regel prüfen</w:t>
            </w:r>
          </w:p>
        </w:tc>
      </w:tr>
      <w:tr w:rsidR="00C1548D" w14:paraId="70A4CCB2" w14:textId="77777777">
        <w:tblPrEx>
          <w:tblCellMar>
            <w:top w:w="0" w:type="dxa"/>
            <w:bottom w:w="0" w:type="dxa"/>
          </w:tblCellMar>
        </w:tblPrEx>
        <w:trPr>
          <w:cantSplit/>
        </w:trPr>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AF" w14:textId="77777777" w:rsidR="00C1548D" w:rsidRDefault="009B1B4B">
            <w:pPr>
              <w:spacing w:line="250" w:lineRule="auto"/>
            </w:pPr>
            <w:r>
              <w:rPr>
                <w:sz w:val="18"/>
                <w:szCs w:val="18"/>
              </w:rPr>
              <w:t>ESTA, B-1</w:t>
            </w:r>
          </w:p>
        </w:tc>
        <w:tc>
          <w:tcPr>
            <w:tcW w:w="2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B0" w14:textId="77777777" w:rsidR="00C1548D" w:rsidRDefault="009B1B4B">
            <w:pPr>
              <w:spacing w:line="250" w:lineRule="auto"/>
            </w:pPr>
            <w:r>
              <w:rPr>
                <w:sz w:val="18"/>
                <w:szCs w:val="18"/>
              </w:rPr>
              <w:t>Nein</w:t>
            </w:r>
          </w:p>
        </w:tc>
        <w:tc>
          <w:tcPr>
            <w:tcW w:w="30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B1" w14:textId="77777777" w:rsidR="00C1548D" w:rsidRDefault="009B1B4B">
            <w:pPr>
              <w:spacing w:line="250" w:lineRule="auto"/>
            </w:pPr>
            <w:r>
              <w:rPr>
                <w:sz w:val="18"/>
                <w:szCs w:val="18"/>
              </w:rPr>
              <w:t>Nein</w:t>
            </w:r>
          </w:p>
        </w:tc>
      </w:tr>
      <w:tr w:rsidR="00C1548D" w14:paraId="70A4CCB6" w14:textId="77777777">
        <w:tblPrEx>
          <w:tblCellMar>
            <w:top w:w="0" w:type="dxa"/>
            <w:bottom w:w="0" w:type="dxa"/>
          </w:tblCellMar>
        </w:tblPrEx>
        <w:trPr>
          <w:cantSplit/>
        </w:trPr>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B3" w14:textId="77777777" w:rsidR="00C1548D" w:rsidRDefault="009B1B4B">
            <w:pPr>
              <w:spacing w:line="250" w:lineRule="auto"/>
            </w:pPr>
            <w:r>
              <w:rPr>
                <w:sz w:val="18"/>
                <w:szCs w:val="18"/>
              </w:rPr>
              <w:t>Heirat, Lotterie, EB-5</w:t>
            </w:r>
          </w:p>
        </w:tc>
        <w:tc>
          <w:tcPr>
            <w:tcW w:w="2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B4" w14:textId="77777777" w:rsidR="00C1548D" w:rsidRDefault="009B1B4B">
            <w:pPr>
              <w:spacing w:line="250" w:lineRule="auto"/>
            </w:pPr>
            <w:r>
              <w:rPr>
                <w:sz w:val="18"/>
                <w:szCs w:val="18"/>
              </w:rPr>
              <w:t>Mit der Green Card ja</w:t>
            </w:r>
          </w:p>
        </w:tc>
        <w:tc>
          <w:tcPr>
            <w:tcW w:w="30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B5" w14:textId="77777777" w:rsidR="00C1548D" w:rsidRDefault="009B1B4B">
            <w:pPr>
              <w:spacing w:line="250" w:lineRule="auto"/>
            </w:pPr>
            <w:r>
              <w:rPr>
                <w:sz w:val="18"/>
                <w:szCs w:val="18"/>
              </w:rPr>
              <w:t>Ist die Green Card</w:t>
            </w:r>
          </w:p>
        </w:tc>
      </w:tr>
    </w:tbl>
    <w:p w14:paraId="70A4CCB7" w14:textId="77777777" w:rsidR="00C1548D" w:rsidRDefault="00C1548D">
      <w:pPr>
        <w:spacing w:line="180" w:lineRule="exact"/>
      </w:pPr>
    </w:p>
    <w:p w14:paraId="70A4CCB8" w14:textId="35A0FF48" w:rsidR="00C1548D" w:rsidRDefault="009B1B4B">
      <w:pPr>
        <w:spacing w:after="140"/>
      </w:pPr>
      <w:r>
        <w:t xml:space="preserve">Nicht für Deutsche gibt es das TN (nur Kanada und Mexiko), das E-3 (nur Australien) und das H-1B1 (nur Chile und Singapur). Die Einreisebeschränkungen des Jahres 2026 treffen Deutsche nicht: </w:t>
      </w:r>
      <w:r>
        <w:lastRenderedPageBreak/>
        <w:t>Deutschland steht weder auf der Liste der 39 Länder (Proklamation vom 16. Dezember 2025) noch auf der Liste der 75 Länder mit Einwanderervisa-Pause, die ein Gericht am 21. August 2026 aufhob (Stand: 20.09.2026). Neu für alle Nichteinwanderervisa: die Visa Integrity Fee von 250 $, bisher uneinheitlich erhoben, und die Prüfung deiner Online-Profile (</w:t>
      </w:r>
      <w:r>
        <w:t>Kapitel </w:t>
      </w:r>
      <w:hyperlink w:anchor="k11" w:history="1">
        <w:r>
          <w:t>11</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CBB"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CB9" w14:textId="77777777" w:rsidR="00C1548D" w:rsidRDefault="009B1B4B">
            <w:pPr>
              <w:keepNext/>
              <w:spacing w:after="70" w:line="240" w:lineRule="auto"/>
            </w:pPr>
            <w:r>
              <w:rPr>
                <w:b/>
                <w:bCs/>
                <w:color w:val="8A6212"/>
                <w:spacing w:val="24"/>
                <w:sz w:val="16"/>
                <w:szCs w:val="16"/>
              </w:rPr>
              <w:t>MERKE</w:t>
            </w:r>
          </w:p>
          <w:p w14:paraId="70A4CCBA" w14:textId="77777777" w:rsidR="00C1548D" w:rsidRDefault="009B1B4B">
            <w:pPr>
              <w:spacing w:after="80" w:line="264" w:lineRule="auto"/>
            </w:pPr>
            <w:r>
              <w:rPr>
                <w:sz w:val="20"/>
                <w:szCs w:val="20"/>
              </w:rPr>
              <w:t>Jeder dieser Wege verlangt eine Eintrittskarte: ein Jahr im Konzern, eine Akte voller Belege, Kapital oder einen Programmplatz. Prüfe zuerst, welche du schon hast, und erst danach, welches Visum dir gefällt.</w:t>
            </w:r>
          </w:p>
        </w:tc>
      </w:tr>
    </w:tbl>
    <w:p w14:paraId="70A4CCBC" w14:textId="77777777" w:rsidR="00C1548D" w:rsidRDefault="00C1548D">
      <w:pPr>
        <w:spacing w:line="220" w:lineRule="exact"/>
      </w:pPr>
    </w:p>
    <w:p w14:paraId="70A4CCBD" w14:textId="77777777" w:rsidR="00C1548D" w:rsidRDefault="009B1B4B">
      <w:pPr>
        <w:pStyle w:val="Heading3"/>
        <w:keepNext/>
        <w:jc w:val="center"/>
      </w:pPr>
      <w:r>
        <w:rPr>
          <w:rFonts w:ascii="Amazon Ember" w:eastAsia="Amazon Ember" w:hAnsi="Amazon Ember" w:cs="Amazon Ember"/>
          <w:color w:val="0000FF"/>
          <w:sz w:val="36"/>
          <w:szCs w:val="36"/>
        </w:rPr>
        <w:t>L-1: die Versetzung im Konzern</w:t>
      </w:r>
    </w:p>
    <w:p w14:paraId="70A4CCBE" w14:textId="2C8CC2FC" w:rsidR="00C1548D" w:rsidRDefault="009B1B4B">
      <w:pPr>
        <w:spacing w:after="140"/>
      </w:pPr>
      <w:r>
        <w:t>Verbreiteter Irrtum: Wer keinen Treffer in der H-1B-Lotterie hat, hat keine Chance mehr auf ein Arbeitsvisum. Tatsächlich ist die Lotterie nur eine von mehreren Türen. Der L-1 (</w:t>
      </w:r>
      <w:r>
        <w:rPr>
          <w:i/>
          <w:iCs/>
        </w:rPr>
        <w:t>Intracompany Transferee</w:t>
      </w:r>
      <w:r>
        <w:t>, konzerninterne Versetzung) ist neben dem H-1B der zweite große Arbeitgeberweg. Für Beschäftigte internationaler Konzerne ist er oft der bessere: keine Registrierung, keine Lotterie, keine Jahresquote. Auch die 100.000-$-Zahlung, die die H-1B-Proklamation für Anträge aus dem Ausland vorsieht, betrifft ihn nicht (Stand: September 2026; siehe Kapitel </w:t>
      </w:r>
      <w:hyperlink w:anchor="k5" w:history="1">
        <w:r>
          <w:t>5</w:t>
        </w:r>
      </w:hyperlink>
      <w:r>
        <w:t>). Drei Voraussetzungen müssen stimmen:</w:t>
      </w:r>
    </w:p>
    <w:p w14:paraId="70A4CCBF" w14:textId="77777777" w:rsidR="00C1548D" w:rsidRDefault="009B1B4B" w:rsidP="009B1B4B">
      <w:pPr>
        <w:pStyle w:val="ListParagraph"/>
        <w:numPr>
          <w:ilvl w:val="0"/>
          <w:numId w:val="1"/>
        </w:numPr>
        <w:spacing w:after="60"/>
      </w:pPr>
      <w:r>
        <w:t>Dein Arbeitgeber in Deutschland und das US-Unternehmen gehören zur selben Gruppe: Mutter, Tochter, Zweigniederlassung oder Schwestergesellschaft.</w:t>
      </w:r>
    </w:p>
    <w:p w14:paraId="70A4CCC0" w14:textId="77777777" w:rsidR="00C1548D" w:rsidRDefault="009B1B4B" w:rsidP="009B1B4B">
      <w:pPr>
        <w:pStyle w:val="ListParagraph"/>
        <w:numPr>
          <w:ilvl w:val="0"/>
          <w:numId w:val="1"/>
        </w:numPr>
        <w:spacing w:after="60"/>
      </w:pPr>
      <w:r>
        <w:t>Du warst in den letzten drei Jahren mindestens ein Jahr ununterbrochen bei einem Konzernunternehmen im Ausland beschäftigt.</w:t>
      </w:r>
    </w:p>
    <w:p w14:paraId="70A4CCC1" w14:textId="77777777" w:rsidR="00C1548D" w:rsidRDefault="009B1B4B" w:rsidP="009B1B4B">
      <w:pPr>
        <w:pStyle w:val="ListParagraph"/>
        <w:numPr>
          <w:ilvl w:val="0"/>
          <w:numId w:val="1"/>
        </w:numPr>
        <w:spacing w:after="60"/>
      </w:pPr>
      <w:r>
        <w:t>Du wirst in den USA als Führungskraft oder Manager (L-1A) oder mit Spezialwissen (</w:t>
      </w:r>
      <w:r>
        <w:rPr>
          <w:i/>
          <w:iCs/>
        </w:rPr>
        <w:t>Specialized Knowledge</w:t>
      </w:r>
      <w:r>
        <w:t xml:space="preserve">, L-1B) eingesetzt. Spezialwissen heißt: besondere Kenntnisse über Produkte, </w:t>
      </w:r>
      <w:r>
        <w:lastRenderedPageBreak/>
        <w:t>Verfahren oder Prozesse des Unternehmens, nicht schlicht „ich bin gut in meinem Job“.</w:t>
      </w:r>
    </w:p>
    <w:p w14:paraId="70A4CCC2" w14:textId="77777777" w:rsidR="00C1548D" w:rsidRDefault="00C1548D">
      <w:pPr>
        <w:spacing w:line="120" w:lineRule="exact"/>
      </w:pPr>
    </w:p>
    <w:p w14:paraId="70A4CCC3" w14:textId="77777777" w:rsidR="00C1548D" w:rsidRDefault="009B1B4B">
      <w:pPr>
        <w:spacing w:after="140"/>
      </w:pPr>
      <w:r>
        <w:t>Die Erstzulassung gilt bis zu drei Jahre, für ein neu gegründetes US-Büro nur ein Jahr. Verlängert wird in Zwei-Jahres-Schritten, insgesamt höchstens sieben Jahre beim L-1A und fünf Jahre beim L-1B. Große Konzerne besitzen mitunter eine Sammelgenehmigung (</w:t>
      </w:r>
      <w:r>
        <w:rPr>
          <w:i/>
          <w:iCs/>
        </w:rPr>
        <w:t>Blanket L</w:t>
      </w:r>
      <w:r>
        <w:t>): Das US-Büro besteht seit mindestens einem Jahr, die Gruppe hat mindestens drei Einheiten, und eines von drei Kriterien ist erfüllt (zehn L-Genehmigungen in zwölf Monaten, 25 Millionen $ US-Umsatz oder 1.000 US-Beschäftigte) – dann entfällt der Einzelantrag bei USCIS, der Konzern stellt das Formular I-129S aus, und du gehst damit zum Konsulat.</w:t>
      </w:r>
    </w:p>
    <w:p w14:paraId="70A4CCC4" w14:textId="77777777" w:rsidR="00C1548D" w:rsidRDefault="009B1B4B">
      <w:pPr>
        <w:spacing w:after="140"/>
      </w:pPr>
      <w:r>
        <w:t>Die Kosten trägt in der Regel der Arbeitgeber. Für den Antrag (</w:t>
      </w:r>
      <w:r>
        <w:rPr>
          <w:i/>
          <w:iCs/>
        </w:rPr>
        <w:t>Petition</w:t>
      </w:r>
      <w:r>
        <w:t>)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fallen 205 $ Konsulargebühr und die Visa Integrity Fee von 250 $ an.</w:t>
      </w:r>
    </w:p>
    <w:p w14:paraId="70A4CCC5" w14:textId="54C3563F" w:rsidR="00C1548D" w:rsidRDefault="009B1B4B">
      <w:pPr>
        <w:spacing w:after="140"/>
      </w:pPr>
      <w:r>
        <w:t>Der Ehepartner erhält den Status L-2 und darf ohne eigenen Antrag arbeiten; der I-94 genügt als Nachweis. Kinder unter 21 gehen zur Schule, dürfen aber nicht arbeiten (Kapitel </w:t>
      </w:r>
      <w:hyperlink w:anchor="k10" w:history="1">
        <w:r>
          <w:t>10</w:t>
        </w:r>
      </w:hyperlink>
      <w:r>
        <w:t>). Wie beim H-1B schadet die Absicht, später die Green Card zu beantragen, nicht (</w:t>
      </w:r>
      <w:r>
        <w:rPr>
          <w:i/>
          <w:iCs/>
        </w:rPr>
        <w:t>Dual Intent</w:t>
      </w:r>
      <w:r>
        <w:t>); Manager und Führungskräfte kommen häufig über die Kategorie EB-1C ohne Arbeitsmarktprüfung zur Green Card, Spezialwissen-Fälle meist über das PERM-Verfahren (Kapitel </w:t>
      </w:r>
      <w:hyperlink w:anchor="k6" w:history="1">
        <w:r>
          <w:t>6</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CC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CC6" w14:textId="77777777" w:rsidR="00C1548D" w:rsidRDefault="009B1B4B">
            <w:pPr>
              <w:keepNext/>
              <w:spacing w:after="70" w:line="240" w:lineRule="auto"/>
            </w:pPr>
            <w:r>
              <w:rPr>
                <w:b/>
                <w:bCs/>
                <w:color w:val="9B2C2C"/>
                <w:spacing w:val="24"/>
                <w:sz w:val="16"/>
                <w:szCs w:val="16"/>
              </w:rPr>
              <w:lastRenderedPageBreak/>
              <w:t>ACHTUNG</w:t>
            </w:r>
          </w:p>
          <w:p w14:paraId="70A4CCC7" w14:textId="31647EDC" w:rsidR="00C1548D" w:rsidRDefault="009B1B4B">
            <w:pPr>
              <w:spacing w:after="80" w:line="264" w:lineRule="auto"/>
            </w:pPr>
            <w:r>
              <w:rPr>
                <w:sz w:val="20"/>
                <w:szCs w:val="20"/>
              </w:rPr>
              <w:t>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Kapitel </w:t>
            </w:r>
            <w:hyperlink w:anchor="k30" w:history="1">
              <w:r>
                <w:rPr>
                  <w:sz w:val="20"/>
                  <w:szCs w:val="20"/>
                </w:rPr>
                <w:t>30</w:t>
              </w:r>
            </w:hyperlink>
            <w:r>
              <w:rPr>
                <w:sz w:val="20"/>
                <w:szCs w:val="20"/>
              </w:rPr>
              <w:t>).</w:t>
            </w:r>
          </w:p>
        </w:tc>
      </w:tr>
    </w:tbl>
    <w:p w14:paraId="70A4CCC9"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CCC"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CCA" w14:textId="77777777" w:rsidR="00C1548D" w:rsidRDefault="009B1B4B">
            <w:pPr>
              <w:keepNext/>
              <w:spacing w:after="70" w:line="240" w:lineRule="auto"/>
            </w:pPr>
            <w:r>
              <w:rPr>
                <w:b/>
                <w:bCs/>
                <w:color w:val="4A5568"/>
                <w:spacing w:val="24"/>
                <w:sz w:val="16"/>
                <w:szCs w:val="16"/>
              </w:rPr>
              <w:t>PRAXISBEISPIEL · FIKTIV</w:t>
            </w:r>
          </w:p>
          <w:p w14:paraId="70A4CCCB" w14:textId="432F2099" w:rsidR="00C1548D" w:rsidRDefault="009B1B4B">
            <w:pPr>
              <w:spacing w:after="80" w:line="264" w:lineRule="auto"/>
            </w:pPr>
            <w:r>
              <w:rPr>
                <w:sz w:val="20"/>
                <w:szCs w:val="20"/>
              </w:rPr>
              <w:t>Jan Hoffmann (fiktiv), 46, Prozessingenieur in einem Dresdner Halbleiterwerk, arbeitet seit sechs Jahren für einen Konzern, der auch im Großraum Phoenix fertigt. Dort soll er neue Prozesslinien einführen. Als ihm die Kanzlei am Telefon bestätigt, dass für den L-1 weder Registrierung noch Lotterie nötig sind, fragt Jan zweimal nach – nach den zwei erfolglosen H-1B-Anläufen eines Kollegen klingt „keine Lotterie“ fast zu einfach. Weil er besonderes Verfahrenswissen mitbringt, beantragt der Arbeitgeber den L-1B</w:t>
            </w:r>
            <w:r>
              <w:rPr>
                <w:sz w:val="20"/>
                <w:szCs w:val="20"/>
              </w:rPr>
              <w:t xml:space="preserve"> mit Premium Processing und trägt die USCIS-Gebühren von rund 2.485 $; Jan zahlt 205 $ Konsulargebühr. Laut Terminportalen lag der nächste freie Termin im September 2026 in Berlin bei etwa einem Monat, in Frankfurt bei zwei. Katrin (44), Physiotherapeutin, darf als L-2 sofort arbeiten, braucht aber eine Lizenz aus Arizona (</w:t>
            </w:r>
            <w:r>
              <w:rPr>
                <w:sz w:val="20"/>
                <w:szCs w:val="20"/>
              </w:rPr>
              <w:t>Kapitel </w:t>
            </w:r>
            <w:hyperlink w:anchor="k10" w:history="1">
              <w:r>
                <w:rPr>
                  <w:sz w:val="20"/>
                  <w:szCs w:val="20"/>
                </w:rPr>
                <w:t>10</w:t>
              </w:r>
            </w:hyperlink>
            <w:r>
              <w:rPr>
                <w:sz w:val="20"/>
                <w:szCs w:val="20"/>
              </w:rPr>
              <w:t>). Paul (15) besucht die High School. Der L-1B endet nach spätestens fünf Jahren; für ein Bleiben muss der Konzern das Green-Card-Verfahren früh anstoßen.</w:t>
            </w:r>
          </w:p>
        </w:tc>
      </w:tr>
    </w:tbl>
    <w:p w14:paraId="70A4CCCD" w14:textId="77777777" w:rsidR="00C1548D" w:rsidRDefault="00C1548D">
      <w:pPr>
        <w:spacing w:line="220" w:lineRule="exact"/>
      </w:pPr>
    </w:p>
    <w:p w14:paraId="70A4CCCE" w14:textId="77777777" w:rsidR="00C1548D" w:rsidRDefault="009B1B4B">
      <w:pPr>
        <w:pStyle w:val="Heading3"/>
        <w:keepNext/>
        <w:jc w:val="center"/>
      </w:pPr>
      <w:r>
        <w:rPr>
          <w:rFonts w:ascii="Amazon Ember" w:eastAsia="Amazon Ember" w:hAnsi="Amazon Ember" w:cs="Amazon Ember"/>
          <w:color w:val="0000FF"/>
          <w:sz w:val="36"/>
          <w:szCs w:val="36"/>
        </w:rPr>
        <w:t>O-1: für herausragende Leistungen</w:t>
      </w:r>
    </w:p>
    <w:p w14:paraId="70A4CCCF" w14:textId="77777777" w:rsidR="00C1548D" w:rsidRDefault="009B1B4B">
      <w:pPr>
        <w:spacing w:after="140"/>
      </w:pPr>
      <w:r>
        <w:t>Der O-1 richtet sich an Menschen, die in ihrem Fach zur kleinen Spitze gehören. Ein tüchtiger Ingenieur oder eine solide Entwicklerin ist noch kein O-1-Fall; es braucht Belege. Der O-1A gilt für Wissenschaft, Bildung, Wirtschaft und Sport, der O-1B für Kunst; in Film und Fernsehen ist der Maßstab „außergewöhnliche Leistung“, sonst „anhaltende nationale oder internationale Anerkennung“.</w:t>
      </w:r>
    </w:p>
    <w:p w14:paraId="70A4CCD0" w14:textId="77777777" w:rsidR="00C1548D" w:rsidRDefault="009B1B4B">
      <w:pPr>
        <w:spacing w:after="140"/>
      </w:pPr>
      <w:r>
        <w:t xml:space="preserve">Nachweisen musst du einen bedeutenden internationalen Preis oder mindestens drei von acht Kriterien: Preise, Medienberichte über dich, wissenschaftliche Veröffentlichungen, Gutachtertätigkeit für </w:t>
      </w:r>
      <w:r>
        <w:lastRenderedPageBreak/>
        <w:t>Fachkollegen, Beiträge von wesentlicher Bedeutung, eine Schlüsselrolle in angesehenen Organisationen, ein überdurchschnittlich hohes Gehalt. Hinzu kommen ein Beratungsgutachten (</w:t>
      </w:r>
      <w:r>
        <w:rPr>
          <w:i/>
          <w:iCs/>
        </w:rPr>
        <w:t>Advisory Opinion</w:t>
      </w:r>
      <w:r>
        <w:t>) einer Fachorganisation, ein Vertrag oder eine Tätigkeitsbeschreibung und ein Reiseplan. Den Antrag stellt ein US-Arbeitgeber oder ein US-Agent, mindestens 45 Tage vor Beginn; du selbst kannst ihn nicht stellen.</w:t>
      </w:r>
    </w:p>
    <w:p w14:paraId="70A4CCD1" w14:textId="30BC721D" w:rsidR="00C1548D" w:rsidRDefault="009B1B4B">
      <w:pPr>
        <w:spacing w:after="140"/>
      </w:pPr>
      <w: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history="1">
        <w:r>
          <w:t>11</w:t>
        </w:r>
      </w:hyperlink>
      <w:r>
        <w:t>).</w:t>
      </w:r>
    </w:p>
    <w:p w14:paraId="70A4CCD2" w14:textId="77777777" w:rsidR="00C1548D" w:rsidRDefault="009B1B4B">
      <w:pPr>
        <w:spacing w:after="140"/>
      </w:pPr>
      <w:r>
        <w:t>Die Statistik klingt freundlich: Im Fiskaljahr 2025 genehmigte USCIS rund 94 % der abgeschlossenen O-Anträge (29.733 von 31.681; Kanzleiauswertung von USCIS-Daten, inklusive O-2-Begleitpersonal) – das zeigt nur, dass gut vorbereitete Akten meist durchgehen, über deine Chancen bei knapp erfüllten Kriterien sagt es wenig.</w:t>
      </w:r>
    </w:p>
    <w:p w14:paraId="70A4CCD3" w14:textId="008BAB06" w:rsidR="00C1548D" w:rsidRDefault="009B1B4B">
      <w:pPr>
        <w:spacing w:after="140"/>
      </w:pPr>
      <w:r>
        <w:t>Partner und Kinder unter 21 erhalten den Status O-3, dürfen studieren oder zur Schule gehen, aber nicht arbeiten (Kapitel </w:t>
      </w:r>
      <w:hyperlink w:anchor="k10" w:history="1">
        <w:r>
          <w:t>10</w:t>
        </w:r>
      </w:hyperlink>
      <w:r>
        <w:t>). Wer die Kriterien wirklich erfüllt, kann oft auch eine Green Card in den Kategorien für Personen mit außergewöhnlichen Fähigkeiten beantragen (Kapitel </w:t>
      </w:r>
      <w:hyperlink w:anchor="k6" w:history="1">
        <w:r>
          <w:t>6</w:t>
        </w:r>
      </w:hyperlink>
      <w:r>
        <w:t>); für Studierende, die in der H-1B-Lotterie scheitern, ist der O-1 ein möglicher Plan B (Kapitel </w:t>
      </w:r>
      <w:hyperlink w:anchor="k8" w:history="1">
        <w:r>
          <w:t>8</w:t>
        </w:r>
      </w:hyperlink>
      <w:r>
        <w:t>).</w:t>
      </w:r>
    </w:p>
    <w:p w14:paraId="70A4CCD4" w14:textId="77777777" w:rsidR="00C1548D" w:rsidRDefault="009B1B4B">
      <w:pPr>
        <w:pStyle w:val="Heading3"/>
        <w:keepNext/>
        <w:jc w:val="center"/>
      </w:pPr>
      <w:r>
        <w:rPr>
          <w:rFonts w:ascii="Amazon Ember" w:eastAsia="Amazon Ember" w:hAnsi="Amazon Ember" w:cs="Amazon Ember"/>
          <w:color w:val="0000FF"/>
          <w:sz w:val="36"/>
          <w:szCs w:val="36"/>
        </w:rPr>
        <w:t>E-1 und E-2: Handel und Investition</w:t>
      </w:r>
    </w:p>
    <w:p w14:paraId="70A4CCD5" w14:textId="77777777" w:rsidR="00C1548D" w:rsidRDefault="009B1B4B">
      <w:pPr>
        <w:spacing w:after="140"/>
      </w:pPr>
      <w:r>
        <w:t>Deutschland ist Vertragsstaat der E-Visa, ein echter Vorteil: Deutsche können als Händler (</w:t>
      </w:r>
      <w:r>
        <w:rPr>
          <w:i/>
          <w:iCs/>
        </w:rPr>
        <w:t>Treaty Trader</w:t>
      </w:r>
      <w:r>
        <w:t>, E-1) oder Investor (</w:t>
      </w:r>
      <w:r>
        <w:rPr>
          <w:i/>
          <w:iCs/>
        </w:rPr>
        <w:t>Treaty Investor</w:t>
      </w:r>
      <w:r>
        <w:t xml:space="preserve">, E-2) einreisen, ohne Lotterie und ohne sponsernden Arbeitgeber. Der E-1 setzt laufenden Handel voraus, der überwiegend – zu mehr als 50 % des Handelsvolumens – zwischen </w:t>
      </w:r>
      <w:r>
        <w:lastRenderedPageBreak/>
        <w:t>den USA und Deutschland stattfindet. Häufiger ist der E-2, um den es hier geht.</w:t>
      </w:r>
    </w:p>
    <w:p w14:paraId="70A4CCD6" w14:textId="77777777" w:rsidR="00C1548D" w:rsidRDefault="009B1B4B" w:rsidP="009B1B4B">
      <w:pPr>
        <w:pStyle w:val="ListParagraph"/>
        <w:numPr>
          <w:ilvl w:val="0"/>
          <w:numId w:val="1"/>
        </w:numPr>
        <w:spacing w:after="60"/>
      </w:pPr>
      <w:r>
        <w:rPr>
          <w:b/>
          <w:bCs/>
        </w:rPr>
        <w:t>Staatsangehörigkeit und Kontrolle:</w:t>
      </w:r>
      <w:r>
        <w:t xml:space="preserve"> Du bist deutsche Staatsangehörige oder deutscher Staatsangehöriger, besitzt mindestens die Hälfte des Unternehmens oder kontrollierst es operativ, und du entwickelst und leitest es selbst.</w:t>
      </w:r>
    </w:p>
    <w:p w14:paraId="70A4CCD7" w14:textId="77777777" w:rsidR="00C1548D" w:rsidRDefault="009B1B4B" w:rsidP="009B1B4B">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w14:paraId="70A4CCD8" w14:textId="77777777" w:rsidR="00C1548D" w:rsidRDefault="009B1B4B" w:rsidP="009B1B4B">
      <w:pPr>
        <w:pStyle w:val="ListParagraph"/>
        <w:numPr>
          <w:ilvl w:val="0"/>
          <w:numId w:val="1"/>
        </w:numPr>
        <w:spacing w:after="60"/>
      </w:pPr>
      <w:r>
        <w:rPr>
          <w:b/>
          <w:bCs/>
        </w:rPr>
        <w:t>Unternehmen:</w:t>
      </w:r>
      <w:r>
        <w:t xml:space="preserve"> Es muss echt sein und tatsächlich laufen. Es darf nicht „marginal“ sein, also mehr abwerfen als den knappen Lebensunterhalt der Familie. Das Geld muss bereits im Unternehmen stecken und ein Verlustrisiko tragen (</w:t>
      </w:r>
      <w:r>
        <w:rPr>
          <w:i/>
          <w:iCs/>
        </w:rPr>
        <w:t>at risk</w:t>
      </w:r>
      <w:r>
        <w:t>).</w:t>
      </w:r>
    </w:p>
    <w:p w14:paraId="70A4CCD9" w14:textId="77777777" w:rsidR="00C1548D" w:rsidRDefault="009B1B4B" w:rsidP="009B1B4B">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w14:paraId="70A4CCDA" w14:textId="77777777" w:rsidR="00C1548D" w:rsidRDefault="00C1548D">
      <w:pPr>
        <w:spacing w:line="120" w:lineRule="exact"/>
      </w:pPr>
    </w:p>
    <w:p w14:paraId="70A4CCDB" w14:textId="77777777" w:rsidR="00C1548D" w:rsidRDefault="009B1B4B">
      <w:pPr>
        <w:spacing w:after="140"/>
      </w:pPr>
      <w:r>
        <w:t>Die Zulassung gilt zwei Jahre und lässt sich in Zwei-Jahres-Schritten unbegrenzt verlängern, solange das Unternehmen die Bedingungen erfüllt. Das Visum im Pass kann länger gültig sein als ein einzelner Aufenthalt (Reziprozitätstabelle auf travel.state.gov). Die Konsulargebühr für E-Visa beträgt 315 $, dazu die Visa Integrity Fee von 250 $; wer den Status im Inland per Formular I-129 beantragt, zahlt an USCIS 1.015 $ (kleine Betriebe 510 $). Nach Kanzleiangaben bearbeitet in Deutschland allein das Generalkon</w:t>
      </w:r>
      <w:r>
        <w:t>sulat Frankfurt E-Visa (prüfe das auf de.usembassy.gov). Ein Anwalt ist hier kein Luxus: Businessplan, Investitionsnachweise und die Herkunft des Geldes müssen lückenlos belegt sein.</w:t>
      </w:r>
    </w:p>
    <w:p w14:paraId="70A4CCDC" w14:textId="13479B9F" w:rsidR="00C1548D" w:rsidRDefault="009B1B4B">
      <w:pPr>
        <w:spacing w:after="140"/>
      </w:pPr>
      <w:r>
        <w:t>Der Ehepartner darf ohne eigenen Antrag bei jedem Arbeitgeber arbeiten; Kinder unter 21 dürfen nicht arbeiten (Kapitel </w:t>
      </w:r>
      <w:hyperlink w:anchor="k10" w:history="1">
        <w:r>
          <w:t>10</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CD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CDD" w14:textId="77777777" w:rsidR="00C1548D" w:rsidRDefault="009B1B4B">
            <w:pPr>
              <w:keepNext/>
              <w:spacing w:after="70" w:line="240" w:lineRule="auto"/>
            </w:pPr>
            <w:r>
              <w:rPr>
                <w:b/>
                <w:bCs/>
                <w:color w:val="9B2C2C"/>
                <w:spacing w:val="24"/>
                <w:sz w:val="16"/>
                <w:szCs w:val="16"/>
              </w:rPr>
              <w:lastRenderedPageBreak/>
              <w:t>ACHTUNG</w:t>
            </w:r>
          </w:p>
          <w:p w14:paraId="70A4CCDE" w14:textId="0B2D6B54" w:rsidR="00C1548D" w:rsidRDefault="009B1B4B">
            <w:pPr>
              <w:spacing w:after="80" w:line="264" w:lineRule="auto"/>
            </w:pPr>
            <w:r>
              <w:rPr>
                <w:sz w:val="20"/>
                <w:szCs w:val="20"/>
              </w:rPr>
              <w:t>Der E-2 ist keine Green-Card-Schiene: Er setzt voraus, dass du nur vorübergehend bleibst, und die Investition kommt nicht zurück, wenn das Geschäft scheitert. Plane die Green Card über einen eigenen Weg (Kapitel </w:t>
            </w:r>
            <w:hyperlink w:anchor="k6" w:history="1">
              <w:r>
                <w:rPr>
                  <w:sz w:val="20"/>
                  <w:szCs w:val="20"/>
                </w:rPr>
                <w:t>6</w:t>
              </w:r>
            </w:hyperlink>
            <w:r>
              <w:rPr>
                <w:sz w:val="20"/>
                <w:szCs w:val="20"/>
              </w:rPr>
              <w:t>) und behandle das Geld als Risikokapital, nicht als Guthaben, das du jederzeit zurückholst.</w:t>
            </w:r>
          </w:p>
        </w:tc>
      </w:tr>
    </w:tbl>
    <w:p w14:paraId="70A4CCE0"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CE3"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CE1" w14:textId="77777777" w:rsidR="00C1548D" w:rsidRDefault="009B1B4B">
            <w:pPr>
              <w:keepNext/>
              <w:spacing w:after="70" w:line="240" w:lineRule="auto"/>
            </w:pPr>
            <w:r>
              <w:rPr>
                <w:b/>
                <w:bCs/>
                <w:color w:val="4A5568"/>
                <w:spacing w:val="24"/>
                <w:sz w:val="16"/>
                <w:szCs w:val="16"/>
              </w:rPr>
              <w:t>PRAXISBEISPIEL · FIKTIV</w:t>
            </w:r>
          </w:p>
          <w:p w14:paraId="70A4CCE2" w14:textId="58A10147" w:rsidR="00C1548D" w:rsidRDefault="009B1B4B">
            <w:pPr>
              <w:spacing w:after="80" w:line="264" w:lineRule="auto"/>
            </w:pPr>
            <w:r>
              <w:rPr>
                <w:sz w:val="20"/>
                <w:szCs w:val="20"/>
              </w:rPr>
              <w:t>Miriam Scholz (fiktiv), 39, führt in Deutschland eine Designagentur. Mit Tobias (41, Projektleiter) und den Kindern Ida (8) und Ben (3) will sie in den Raum Raleigh–Durham ziehen. Sie gründet eine US-Tochter in North Carolina, die ihr zu 100 % gehört, und investiert 150.000 $ in Büro, Ausstattung, Software und die ersten Gehälter. Der Businessplan sieht drei Stellen für US-Beschäftigte binnen zwei Jahren vor; die Herkunft des Geldes belegt sie mit Kontoauszügen. Als die Überweisung der ersten Tranche bestät</w:t>
            </w:r>
            <w:r>
              <w:rPr>
                <w:sz w:val="20"/>
                <w:szCs w:val="20"/>
              </w:rPr>
              <w:t>igt ist, klebt sie den Grundriss des künftigen Büros in Raleigh an die Küchenwand in Deutschland – von da an ist das Projekt für die ganze Familie sichtbar, nicht nur ein Ordner voller Formulare. Tobias darf als E-2-Partner ohne eigenen Antrag arbeiten, etwa bei einer US-Agentur. Ida geht zur Schule, Ben in die Vorschule. Nach zwei Jahren beantragt Miriam die Verlängerung; bis dahin muss die Firma tatsächlich laufen. Zur Green Card führt der E-2 nicht (</w:t>
            </w:r>
            <w:r>
              <w:rPr>
                <w:sz w:val="20"/>
                <w:szCs w:val="20"/>
              </w:rPr>
              <w:t>Kapitel </w:t>
            </w:r>
            <w:hyperlink w:anchor="k6" w:history="1">
              <w:r>
                <w:rPr>
                  <w:sz w:val="20"/>
                  <w:szCs w:val="20"/>
                </w:rPr>
                <w:t>6</w:t>
              </w:r>
            </w:hyperlink>
            <w:r>
              <w:rPr>
                <w:sz w:val="20"/>
                <w:szCs w:val="20"/>
              </w:rPr>
              <w:t>).</w:t>
            </w:r>
          </w:p>
        </w:tc>
      </w:tr>
    </w:tbl>
    <w:p w14:paraId="70A4CCE4" w14:textId="77777777" w:rsidR="00C1548D" w:rsidRDefault="00C1548D">
      <w:pPr>
        <w:spacing w:line="220" w:lineRule="exact"/>
      </w:pPr>
    </w:p>
    <w:p w14:paraId="70A4CCE5" w14:textId="77777777" w:rsidR="00C1548D" w:rsidRDefault="009B1B4B">
      <w:pPr>
        <w:pStyle w:val="Heading3"/>
        <w:keepNext/>
        <w:jc w:val="center"/>
      </w:pPr>
      <w:r>
        <w:rPr>
          <w:rFonts w:ascii="Amazon Ember" w:eastAsia="Amazon Ember" w:hAnsi="Amazon Ember" w:cs="Amazon Ember"/>
          <w:color w:val="0000FF"/>
          <w:sz w:val="36"/>
          <w:szCs w:val="36"/>
        </w:rPr>
        <w:t>J-1: Austausch auf Zeit</w:t>
      </w:r>
    </w:p>
    <w:p w14:paraId="70A4CCE6" w14:textId="77777777" w:rsidR="00C1548D" w:rsidRDefault="009B1B4B">
      <w:pPr>
        <w:spacing w:after="140"/>
      </w:pPr>
      <w:r>
        <w:t>Das J-1 (</w:t>
      </w:r>
      <w:r>
        <w:rPr>
          <w:i/>
          <w:iCs/>
        </w:rPr>
        <w:t>Exchange Visitor</w:t>
      </w:r>
      <w:r>
        <w:t>, Austauschbesucher) ist ein Programmvisum: Ein vom Außenministerium (State Department) zugelassener Sponsor – Hochschule, Forschungsinstitut oder Vermittlungsorganisation – nimmt dich in sein Programm auf und stellt das Formular DS-2019 aus, mit dem du das Visum beantragst. Die häufigsten Programme für Deutsche: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5"/>
        <w:gridCol w:w="1476"/>
        <w:gridCol w:w="3729"/>
      </w:tblGrid>
      <w:tr w:rsidR="00C1548D" w14:paraId="70A4CCEA" w14:textId="77777777">
        <w:tblPrEx>
          <w:tblCellMar>
            <w:top w:w="0" w:type="dxa"/>
            <w:bottom w:w="0" w:type="dxa"/>
          </w:tblCellMar>
        </w:tblPrEx>
        <w:trPr>
          <w:cantSplit/>
          <w:tblHeader/>
        </w:trPr>
        <w:tc>
          <w:tcPr>
            <w:tcW w:w="127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E7" w14:textId="77777777" w:rsidR="00C1548D" w:rsidRDefault="009B1B4B">
            <w:pPr>
              <w:spacing w:line="250" w:lineRule="auto"/>
            </w:pPr>
            <w:r>
              <w:rPr>
                <w:b/>
                <w:bCs/>
                <w:sz w:val="18"/>
                <w:szCs w:val="18"/>
              </w:rPr>
              <w:t>Programm</w:t>
            </w:r>
          </w:p>
        </w:tc>
        <w:tc>
          <w:tcPr>
            <w:tcW w:w="147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E8" w14:textId="77777777" w:rsidR="00C1548D" w:rsidRDefault="009B1B4B">
            <w:pPr>
              <w:spacing w:line="250" w:lineRule="auto"/>
            </w:pPr>
            <w:r>
              <w:rPr>
                <w:b/>
                <w:bCs/>
                <w:sz w:val="18"/>
                <w:szCs w:val="18"/>
              </w:rPr>
              <w:t>Dauer</w:t>
            </w:r>
          </w:p>
        </w:tc>
        <w:tc>
          <w:tcPr>
            <w:tcW w:w="372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CE9" w14:textId="77777777" w:rsidR="00C1548D" w:rsidRDefault="009B1B4B">
            <w:pPr>
              <w:spacing w:line="250" w:lineRule="auto"/>
            </w:pPr>
            <w:r>
              <w:rPr>
                <w:b/>
                <w:bCs/>
                <w:sz w:val="18"/>
                <w:szCs w:val="18"/>
              </w:rPr>
              <w:t>Voraussetzung</w:t>
            </w:r>
          </w:p>
        </w:tc>
      </w:tr>
      <w:tr w:rsidR="00C1548D" w14:paraId="70A4CCEE" w14:textId="77777777">
        <w:tblPrEx>
          <w:tblCellMar>
            <w:top w:w="0" w:type="dxa"/>
            <w:bottom w:w="0" w:type="dxa"/>
          </w:tblCellMar>
        </w:tblPrEx>
        <w:trPr>
          <w:cantSplit/>
        </w:trPr>
        <w:tc>
          <w:tcPr>
            <w:tcW w:w="12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EB" w14:textId="77777777" w:rsidR="00C1548D" w:rsidRDefault="009B1B4B">
            <w:pPr>
              <w:spacing w:line="250" w:lineRule="auto"/>
            </w:pPr>
            <w:r>
              <w:rPr>
                <w:sz w:val="18"/>
                <w:szCs w:val="18"/>
              </w:rPr>
              <w:t>Forschende, Professoren</w:t>
            </w:r>
          </w:p>
        </w:tc>
        <w:tc>
          <w:tcPr>
            <w:tcW w:w="14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EC" w14:textId="77777777" w:rsidR="00C1548D" w:rsidRDefault="009B1B4B">
            <w:pPr>
              <w:spacing w:line="250" w:lineRule="auto"/>
            </w:pPr>
            <w:r>
              <w:rPr>
                <w:sz w:val="18"/>
                <w:szCs w:val="18"/>
              </w:rPr>
              <w:t>bis 5 Jahre</w:t>
            </w:r>
          </w:p>
        </w:tc>
        <w:tc>
          <w:tcPr>
            <w:tcW w:w="37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ED" w14:textId="77777777" w:rsidR="00C1548D" w:rsidRDefault="009B1B4B">
            <w:pPr>
              <w:spacing w:line="250" w:lineRule="auto"/>
            </w:pPr>
            <w:r>
              <w:rPr>
                <w:sz w:val="18"/>
                <w:szCs w:val="18"/>
              </w:rPr>
              <w:t>Einladung einer US-Einrichtung</w:t>
            </w:r>
          </w:p>
        </w:tc>
      </w:tr>
      <w:tr w:rsidR="00C1548D" w14:paraId="70A4CCF2" w14:textId="77777777">
        <w:tblPrEx>
          <w:tblCellMar>
            <w:top w:w="0" w:type="dxa"/>
            <w:bottom w:w="0" w:type="dxa"/>
          </w:tblCellMar>
        </w:tblPrEx>
        <w:trPr>
          <w:cantSplit/>
        </w:trPr>
        <w:tc>
          <w:tcPr>
            <w:tcW w:w="12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EF" w14:textId="77777777" w:rsidR="00C1548D" w:rsidRDefault="009B1B4B">
            <w:pPr>
              <w:spacing w:line="250" w:lineRule="auto"/>
            </w:pPr>
            <w:r>
              <w:rPr>
                <w:sz w:val="18"/>
                <w:szCs w:val="18"/>
              </w:rPr>
              <w:lastRenderedPageBreak/>
              <w:t>Trainee</w:t>
            </w:r>
          </w:p>
        </w:tc>
        <w:tc>
          <w:tcPr>
            <w:tcW w:w="14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F0" w14:textId="77777777" w:rsidR="00C1548D" w:rsidRDefault="009B1B4B">
            <w:pPr>
              <w:spacing w:line="250" w:lineRule="auto"/>
            </w:pPr>
            <w:r>
              <w:rPr>
                <w:sz w:val="18"/>
                <w:szCs w:val="18"/>
              </w:rPr>
              <w:t>bis 18 Monate</w:t>
            </w:r>
          </w:p>
        </w:tc>
        <w:tc>
          <w:tcPr>
            <w:tcW w:w="37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F1" w14:textId="77777777" w:rsidR="00C1548D" w:rsidRDefault="009B1B4B">
            <w:pPr>
              <w:spacing w:line="250" w:lineRule="auto"/>
            </w:pPr>
            <w:r>
              <w:rPr>
                <w:sz w:val="18"/>
                <w:szCs w:val="18"/>
              </w:rPr>
              <w:t>Abschluss und ein Jahr Erfahrung oder fünf Jahre Berufserfahrung</w:t>
            </w:r>
          </w:p>
        </w:tc>
      </w:tr>
      <w:tr w:rsidR="00C1548D" w14:paraId="70A4CCF6" w14:textId="77777777">
        <w:tblPrEx>
          <w:tblCellMar>
            <w:top w:w="0" w:type="dxa"/>
            <w:bottom w:w="0" w:type="dxa"/>
          </w:tblCellMar>
        </w:tblPrEx>
        <w:trPr>
          <w:cantSplit/>
        </w:trPr>
        <w:tc>
          <w:tcPr>
            <w:tcW w:w="12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F3" w14:textId="77777777" w:rsidR="00C1548D" w:rsidRDefault="009B1B4B">
            <w:pPr>
              <w:spacing w:line="250" w:lineRule="auto"/>
            </w:pPr>
            <w:r>
              <w:rPr>
                <w:sz w:val="18"/>
                <w:szCs w:val="18"/>
              </w:rPr>
              <w:t>Intern (Praktikum)</w:t>
            </w:r>
          </w:p>
        </w:tc>
        <w:tc>
          <w:tcPr>
            <w:tcW w:w="14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F4" w14:textId="77777777" w:rsidR="00C1548D" w:rsidRDefault="009B1B4B">
            <w:pPr>
              <w:spacing w:line="250" w:lineRule="auto"/>
            </w:pPr>
            <w:r>
              <w:rPr>
                <w:sz w:val="18"/>
                <w:szCs w:val="18"/>
              </w:rPr>
              <w:t>bis 12 Monate</w:t>
            </w:r>
          </w:p>
        </w:tc>
        <w:tc>
          <w:tcPr>
            <w:tcW w:w="37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F5" w14:textId="77777777" w:rsidR="00C1548D" w:rsidRDefault="009B1B4B">
            <w:pPr>
              <w:spacing w:line="250" w:lineRule="auto"/>
            </w:pPr>
            <w:r>
              <w:rPr>
                <w:sz w:val="18"/>
                <w:szCs w:val="18"/>
              </w:rPr>
              <w:t>im Ausland eingeschrieben oder Abschluss vor weniger als zwölf Monaten</w:t>
            </w:r>
          </w:p>
        </w:tc>
      </w:tr>
      <w:tr w:rsidR="00C1548D" w14:paraId="70A4CCFA" w14:textId="77777777">
        <w:tblPrEx>
          <w:tblCellMar>
            <w:top w:w="0" w:type="dxa"/>
            <w:bottom w:w="0" w:type="dxa"/>
          </w:tblCellMar>
        </w:tblPrEx>
        <w:trPr>
          <w:cantSplit/>
        </w:trPr>
        <w:tc>
          <w:tcPr>
            <w:tcW w:w="12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F7" w14:textId="77777777" w:rsidR="00C1548D" w:rsidRDefault="009B1B4B">
            <w:pPr>
              <w:spacing w:line="250" w:lineRule="auto"/>
            </w:pPr>
            <w:r>
              <w:rPr>
                <w:sz w:val="18"/>
                <w:szCs w:val="18"/>
              </w:rPr>
              <w:t>Au-pair</w:t>
            </w:r>
          </w:p>
        </w:tc>
        <w:tc>
          <w:tcPr>
            <w:tcW w:w="14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F8" w14:textId="77777777" w:rsidR="00C1548D" w:rsidRDefault="009B1B4B">
            <w:pPr>
              <w:spacing w:line="250" w:lineRule="auto"/>
            </w:pPr>
            <w:r>
              <w:rPr>
                <w:sz w:val="18"/>
                <w:szCs w:val="18"/>
              </w:rPr>
              <w:t>12 Monate, plus 6, 9 oder 12</w:t>
            </w:r>
          </w:p>
        </w:tc>
        <w:tc>
          <w:tcPr>
            <w:tcW w:w="37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CF9" w14:textId="77777777" w:rsidR="00C1548D" w:rsidRDefault="009B1B4B">
            <w:pPr>
              <w:spacing w:line="250" w:lineRule="auto"/>
            </w:pPr>
            <w:r>
              <w:rPr>
                <w:sz w:val="18"/>
                <w:szCs w:val="18"/>
              </w:rPr>
              <w:t>18 bis 26 Jahre</w:t>
            </w:r>
          </w:p>
        </w:tc>
      </w:tr>
    </w:tbl>
    <w:p w14:paraId="70A4CCFB" w14:textId="77777777" w:rsidR="00C1548D" w:rsidRDefault="00C1548D">
      <w:pPr>
        <w:spacing w:line="180" w:lineRule="exact"/>
      </w:pPr>
    </w:p>
    <w:p w14:paraId="70A4CCFC" w14:textId="77777777" w:rsidR="00C1548D" w:rsidRDefault="009B1B4B">
      <w:pPr>
        <w:spacing w:after="140"/>
      </w:pPr>
      <w:r>
        <w:t>Nach fünf Jahren als Forschender gilt eine Sperre von zwei Jahren für eine Wiederholung. Trainees und Interns brauchen einen 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w14:paraId="70A4CCFD" w14:textId="56E2F2E2" w:rsidR="00C1548D" w:rsidRDefault="009B1B4B">
      <w:pPr>
        <w:spacing w:after="140"/>
      </w:pPr>
      <w: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history="1">
        <w:r>
          <w:t>10</w:t>
        </w:r>
      </w:hyperlink>
      <w:r>
        <w:t>). Für Studierende und Promovierende gilt meist der F-1 (Kapitel </w:t>
      </w:r>
      <w:hyperlink w:anchor="k8" w:history="1">
        <w:r>
          <w:t>8</w:t>
        </w:r>
      </w:hyperlink>
      <w:r>
        <w:t>).</w:t>
      </w:r>
    </w:p>
    <w:p w14:paraId="70A4CCFE" w14:textId="3FCB2E17" w:rsidR="00C1548D" w:rsidRDefault="009B1B4B">
      <w:pPr>
        <w:spacing w:after="140"/>
      </w:pPr>
      <w:r>
        <w:t>Wer als Forschender an eine Hochschule kommt, kann später oft ohne Lotterie in einen H-1B derselben Einrichtung wechseln, denn Hochschulen sind von der Quote befreit (</w:t>
      </w:r>
      <w:r>
        <w:rPr>
          <w:i/>
          <w:iCs/>
        </w:rPr>
        <w:t>Cap-exempt</w:t>
      </w:r>
      <w:r>
        <w:t>; Kapitel </w:t>
      </w:r>
      <w:hyperlink w:anchor="k5" w:history="1">
        <w:r>
          <w:t>5</w:t>
        </w:r>
      </w:hyperlink>
      <w:r>
        <w:t>) – vorausgesetzt, die Zwei-Jahres-Regel steht nicht im Weg.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0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CFF" w14:textId="77777777" w:rsidR="00C1548D" w:rsidRDefault="009B1B4B">
            <w:pPr>
              <w:keepNext/>
              <w:spacing w:after="70" w:line="240" w:lineRule="auto"/>
            </w:pPr>
            <w:r>
              <w:rPr>
                <w:b/>
                <w:bCs/>
                <w:color w:val="9B2C2C"/>
                <w:spacing w:val="24"/>
                <w:sz w:val="16"/>
                <w:szCs w:val="16"/>
              </w:rPr>
              <w:lastRenderedPageBreak/>
              <w:t>ACHTUNG</w:t>
            </w:r>
          </w:p>
          <w:p w14:paraId="70A4CD00" w14:textId="77777777" w:rsidR="00C1548D" w:rsidRDefault="009B1B4B">
            <w:pPr>
              <w:spacing w:after="80" w:line="264" w:lineRule="auto"/>
            </w:pPr>
            <w:r>
              <w:rPr>
                <w:sz w:val="20"/>
                <w:szCs w:val="20"/>
              </w:rPr>
              <w:t>Die Falle steht in Paragraf 212(e) des Einwanderungsgesetzes, der Zwei-Jahres-Regel (</w:t>
            </w:r>
            <w:r>
              <w:rPr>
                <w:i/>
                <w:iCs/>
                <w:sz w:val="20"/>
                <w:szCs w:val="20"/>
              </w:rPr>
              <w:t>Two-Year Home Residency Requirement</w:t>
            </w:r>
            <w:r>
              <w:rPr>
                <w:sz w:val="20"/>
                <w:szCs w:val="20"/>
              </w:rPr>
              <w:t>): Wer ihr unterliegt, muss zwei Jahre im Heimatland gelebt oder einen Verzicht (</w:t>
            </w:r>
            <w:r>
              <w:rPr>
                <w:i/>
                <w:iCs/>
                <w:sz w:val="20"/>
                <w:szCs w:val="20"/>
              </w:rPr>
              <w:t>Waiver</w:t>
            </w:r>
            <w:r>
              <w:rPr>
                <w:sz w:val="20"/>
                <w:szCs w:val="20"/>
              </w:rPr>
              <w:t>)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w:t>
            </w:r>
            <w:r>
              <w:rPr>
                <w:i/>
                <w:iCs/>
                <w:sz w:val="20"/>
                <w:szCs w:val="20"/>
              </w:rPr>
              <w:t>No Objection Letter</w:t>
            </w:r>
            <w:r>
              <w:rPr>
                <w:sz w:val="20"/>
                <w:szCs w:val="20"/>
              </w:rPr>
              <w:t>). Frage den Sponsor vor der Zusage schriftlich, ob die Regel für dich gilt.</w:t>
            </w:r>
          </w:p>
        </w:tc>
      </w:tr>
    </w:tbl>
    <w:p w14:paraId="70A4CD02" w14:textId="77777777" w:rsidR="00C1548D" w:rsidRDefault="00C1548D">
      <w:pPr>
        <w:spacing w:line="220" w:lineRule="exact"/>
      </w:pPr>
    </w:p>
    <w:p w14:paraId="70A4CD03" w14:textId="77777777" w:rsidR="00C1548D" w:rsidRDefault="009B1B4B">
      <w:pPr>
        <w:pStyle w:val="Heading3"/>
        <w:keepNext/>
        <w:jc w:val="center"/>
      </w:pPr>
      <w:r>
        <w:rPr>
          <w:rFonts w:ascii="Amazon Ember" w:eastAsia="Amazon Ember" w:hAnsi="Amazon Ember" w:cs="Amazon Ember"/>
          <w:color w:val="0000FF"/>
          <w:sz w:val="36"/>
          <w:szCs w:val="36"/>
        </w:rPr>
        <w:t>ESTA und B-1/B-2: was erlaubt ist und was nicht</w:t>
      </w:r>
    </w:p>
    <w:p w14:paraId="70A4CD04" w14:textId="77777777" w:rsidR="00C1548D" w:rsidRDefault="009B1B4B">
      <w:pPr>
        <w:spacing w:after="140"/>
      </w:pPr>
      <w:r>
        <w:t>Deutsche reisen für Geschäft oder Tourismus bis zu 90 Tage ohne Visum ein (</w:t>
      </w:r>
      <w:r>
        <w:rPr>
          <w:i/>
          <w:iCs/>
        </w:rPr>
        <w:t>Visa Waiver Program</w:t>
      </w:r>
      <w:r>
        <w:t>), mit einer Reisegenehmigung namens ESTA (</w:t>
      </w:r>
      <w:r>
        <w:rPr>
          <w:i/>
          <w:iCs/>
        </w:rPr>
        <w:t>Electronic System for Travel Authorization</w:t>
      </w:r>
      <w:r>
        <w:t>).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0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CD05" w14:textId="77777777" w:rsidR="00C1548D" w:rsidRDefault="009B1B4B">
            <w:pPr>
              <w:keepNext/>
              <w:spacing w:after="70" w:line="240" w:lineRule="auto"/>
            </w:pPr>
            <w:r>
              <w:rPr>
                <w:b/>
                <w:bCs/>
                <w:color w:val="2F6B3B"/>
                <w:spacing w:val="24"/>
                <w:sz w:val="16"/>
                <w:szCs w:val="16"/>
              </w:rPr>
              <w:t>SPARTIPP</w:t>
            </w:r>
          </w:p>
          <w:p w14:paraId="70A4CD06" w14:textId="77777777" w:rsidR="00C1548D" w:rsidRDefault="009B1B4B">
            <w:pPr>
              <w:spacing w:after="80" w:line="264" w:lineRule="auto"/>
            </w:pPr>
            <w:r>
              <w:rPr>
                <w:sz w:val="20"/>
                <w:szCs w:val="20"/>
              </w:rPr>
              <w:t>Beantrage ESTA nur über die offizielle Seite esta.cbp.dhs.gov (40 $). Drittanbieter mit ähnlich klingenden Adressen verlangen Aufschläge für dasselbe Formular.</w:t>
            </w:r>
          </w:p>
        </w:tc>
      </w:tr>
    </w:tbl>
    <w:p w14:paraId="70A4CD08" w14:textId="77777777" w:rsidR="00C1548D" w:rsidRDefault="00C1548D">
      <w:pPr>
        <w:spacing w:line="22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27"/>
        <w:gridCol w:w="3753"/>
      </w:tblGrid>
      <w:tr w:rsidR="00C1548D" w14:paraId="70A4CD0B" w14:textId="77777777">
        <w:tblPrEx>
          <w:tblCellMar>
            <w:top w:w="0" w:type="dxa"/>
            <w:bottom w:w="0" w:type="dxa"/>
          </w:tblCellMar>
        </w:tblPrEx>
        <w:trPr>
          <w:cantSplit/>
          <w:tblHeader/>
        </w:trPr>
        <w:tc>
          <w:tcPr>
            <w:tcW w:w="272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D09" w14:textId="77777777" w:rsidR="00C1548D" w:rsidRDefault="009B1B4B">
            <w:pPr>
              <w:spacing w:line="250" w:lineRule="auto"/>
            </w:pPr>
            <w:r>
              <w:rPr>
                <w:b/>
                <w:bCs/>
                <w:sz w:val="18"/>
                <w:szCs w:val="18"/>
              </w:rPr>
              <w:lastRenderedPageBreak/>
              <w:t>Erlaubt (B-1 und ESTA)</w:t>
            </w:r>
          </w:p>
        </w:tc>
        <w:tc>
          <w:tcPr>
            <w:tcW w:w="37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D0A" w14:textId="77777777" w:rsidR="00C1548D" w:rsidRDefault="009B1B4B">
            <w:pPr>
              <w:spacing w:line="250" w:lineRule="auto"/>
            </w:pPr>
            <w:r>
              <w:rPr>
                <w:b/>
                <w:bCs/>
                <w:sz w:val="18"/>
                <w:szCs w:val="18"/>
              </w:rPr>
              <w:t>Nicht erlaubt</w:t>
            </w:r>
          </w:p>
        </w:tc>
      </w:tr>
      <w:tr w:rsidR="00C1548D" w14:paraId="70A4CD0E" w14:textId="77777777">
        <w:tblPrEx>
          <w:tblCellMar>
            <w:top w:w="0" w:type="dxa"/>
            <w:bottom w:w="0" w:type="dxa"/>
          </w:tblCellMar>
        </w:tblPrEx>
        <w:trPr>
          <w:cantSplit/>
        </w:trPr>
        <w:tc>
          <w:tcPr>
            <w:tcW w:w="27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0C" w14:textId="77777777" w:rsidR="00C1548D" w:rsidRDefault="009B1B4B">
            <w:pPr>
              <w:spacing w:line="250" w:lineRule="auto"/>
            </w:pPr>
            <w:r>
              <w:rPr>
                <w:sz w:val="18"/>
                <w:szCs w:val="18"/>
              </w:rPr>
              <w:t>Meetings, Konferenzen, Messen</w:t>
            </w:r>
          </w:p>
        </w:tc>
        <w:tc>
          <w:tcPr>
            <w:tcW w:w="37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0D" w14:textId="77777777" w:rsidR="00C1548D" w:rsidRDefault="009B1B4B">
            <w:pPr>
              <w:spacing w:line="250" w:lineRule="auto"/>
            </w:pPr>
            <w:r>
              <w:rPr>
                <w:sz w:val="18"/>
                <w:szCs w:val="18"/>
              </w:rPr>
              <w:t>Am Laptop für den deutschen Arbeitgeber arbeiten, auch remote</w:t>
            </w:r>
          </w:p>
        </w:tc>
      </w:tr>
      <w:tr w:rsidR="00C1548D" w14:paraId="70A4CD11" w14:textId="77777777">
        <w:tblPrEx>
          <w:tblCellMar>
            <w:top w:w="0" w:type="dxa"/>
            <w:bottom w:w="0" w:type="dxa"/>
          </w:tblCellMar>
        </w:tblPrEx>
        <w:trPr>
          <w:cantSplit/>
        </w:trPr>
        <w:tc>
          <w:tcPr>
            <w:tcW w:w="27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0F" w14:textId="77777777" w:rsidR="00C1548D" w:rsidRDefault="009B1B4B">
            <w:pPr>
              <w:spacing w:line="250" w:lineRule="auto"/>
            </w:pPr>
            <w:r>
              <w:rPr>
                <w:sz w:val="18"/>
                <w:szCs w:val="18"/>
              </w:rPr>
              <w:t>Verträge verhandeln, Kunden treffen</w:t>
            </w:r>
          </w:p>
        </w:tc>
        <w:tc>
          <w:tcPr>
            <w:tcW w:w="37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10" w14:textId="77777777" w:rsidR="00C1548D" w:rsidRDefault="009B1B4B">
            <w:pPr>
              <w:spacing w:line="250" w:lineRule="auto"/>
            </w:pPr>
            <w:r>
              <w:rPr>
                <w:sz w:val="18"/>
                <w:szCs w:val="18"/>
              </w:rPr>
              <w:t>Bezahlte oder unbezahlte Mitarbeit in einer US-Firma</w:t>
            </w:r>
          </w:p>
        </w:tc>
      </w:tr>
      <w:tr w:rsidR="00C1548D" w14:paraId="70A4CD14" w14:textId="77777777">
        <w:tblPrEx>
          <w:tblCellMar>
            <w:top w:w="0" w:type="dxa"/>
            <w:bottom w:w="0" w:type="dxa"/>
          </w:tblCellMar>
        </w:tblPrEx>
        <w:trPr>
          <w:cantSplit/>
        </w:trPr>
        <w:tc>
          <w:tcPr>
            <w:tcW w:w="27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12" w14:textId="77777777" w:rsidR="00C1548D" w:rsidRDefault="009B1B4B">
            <w:pPr>
              <w:spacing w:line="250" w:lineRule="auto"/>
            </w:pPr>
            <w:r>
              <w:rPr>
                <w:sz w:val="18"/>
                <w:szCs w:val="18"/>
              </w:rPr>
              <w:t>Vorstellungsgespräche in den USA</w:t>
            </w:r>
          </w:p>
        </w:tc>
        <w:tc>
          <w:tcPr>
            <w:tcW w:w="37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13" w14:textId="77777777" w:rsidR="00C1548D" w:rsidRDefault="009B1B4B">
            <w:pPr>
              <w:spacing w:line="250" w:lineRule="auto"/>
            </w:pPr>
            <w:r>
              <w:rPr>
                <w:sz w:val="18"/>
                <w:szCs w:val="18"/>
              </w:rPr>
              <w:t>Probearbeiten, Praktikum, Einarbeitung</w:t>
            </w:r>
          </w:p>
        </w:tc>
      </w:tr>
      <w:tr w:rsidR="00C1548D" w14:paraId="70A4CD17" w14:textId="77777777">
        <w:tblPrEx>
          <w:tblCellMar>
            <w:top w:w="0" w:type="dxa"/>
            <w:bottom w:w="0" w:type="dxa"/>
          </w:tblCellMar>
        </w:tblPrEx>
        <w:trPr>
          <w:cantSplit/>
        </w:trPr>
        <w:tc>
          <w:tcPr>
            <w:tcW w:w="27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15" w14:textId="77777777" w:rsidR="00C1548D" w:rsidRDefault="009B1B4B">
            <w:pPr>
              <w:spacing w:line="250" w:lineRule="auto"/>
            </w:pPr>
            <w:r>
              <w:rPr>
                <w:sz w:val="18"/>
                <w:szCs w:val="18"/>
              </w:rPr>
              <w:t>Wohnungen, Schulen, Städte besichtigen</w:t>
            </w:r>
          </w:p>
        </w:tc>
        <w:tc>
          <w:tcPr>
            <w:tcW w:w="37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16" w14:textId="77777777" w:rsidR="00C1548D" w:rsidRDefault="009B1B4B">
            <w:pPr>
              <w:spacing w:line="250" w:lineRule="auto"/>
            </w:pPr>
            <w:r>
              <w:rPr>
                <w:sz w:val="18"/>
                <w:szCs w:val="18"/>
              </w:rPr>
              <w:t>Aufträge für US-Kunden ausführen</w:t>
            </w:r>
          </w:p>
        </w:tc>
      </w:tr>
    </w:tbl>
    <w:p w14:paraId="70A4CD18" w14:textId="77777777" w:rsidR="00C1548D" w:rsidRDefault="00C1548D">
      <w:pPr>
        <w:spacing w:line="180" w:lineRule="exact"/>
      </w:pPr>
    </w:p>
    <w:p w14:paraId="70A4CD19" w14:textId="77777777" w:rsidR="00C1548D" w:rsidRDefault="009B1B4B">
      <w:pPr>
        <w:spacing w:after="140"/>
      </w:pPr>
      <w:r>
        <w:t>Maßstab ist die Vorschrift 22 CFR 41.31: Ausgeschlossen sind Beschäftigung vor Ort und Arbeit gegen Bezahlung (</w:t>
      </w:r>
      <w:r>
        <w:rPr>
          <w:i/>
          <w:iCs/>
        </w:rPr>
        <w:t>local employment or labor for hire</w:t>
      </w:r>
      <w:r>
        <w:t>), auch unbezahlte produktive Arbeit für US-Quellen zählt dazu. Dass dein Arbeitgeber in Deutschland sitzt und das Gehalt auf ein deutsches Konto fließt, ändert daran nichts: Arbeit auf US-Boden bleibt Arbeit in den USA. Bei einzelnen E-Mails am Flughafen gibt es Grauzonen, aber keinen sicheren Hafen (</w:t>
      </w:r>
      <w:r>
        <w:rPr>
          <w:i/>
          <w:iCs/>
        </w:rPr>
        <w:t>Safe Harbor</w:t>
      </w:r>
      <w:r>
        <w:t>);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w14:paraId="70A4CD1A" w14:textId="77777777" w:rsidR="00C1548D" w:rsidRDefault="009B1B4B">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w:t>
      </w:r>
      <w:r>
        <w:t>om 10. Dezember 2025), einen Starttermin gibt es nicht.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1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D1B" w14:textId="77777777" w:rsidR="00C1548D" w:rsidRDefault="009B1B4B">
            <w:pPr>
              <w:keepNext/>
              <w:spacing w:after="70" w:line="240" w:lineRule="auto"/>
            </w:pPr>
            <w:r>
              <w:rPr>
                <w:b/>
                <w:bCs/>
                <w:color w:val="9B2C2C"/>
                <w:spacing w:val="24"/>
                <w:sz w:val="16"/>
                <w:szCs w:val="16"/>
              </w:rPr>
              <w:lastRenderedPageBreak/>
              <w:t>ACHTUNG</w:t>
            </w:r>
          </w:p>
          <w:p w14:paraId="70A4CD1C" w14:textId="77777777" w:rsidR="00C1548D" w:rsidRDefault="009B1B4B">
            <w:pPr>
              <w:spacing w:after="80" w:line="264" w:lineRule="auto"/>
            </w:pPr>
            <w:r>
              <w:rPr>
                <w:sz w:val="20"/>
                <w:szCs w:val="20"/>
              </w:rPr>
              <w:t>Arbeit auf ESTA oder B-1 kann zu Einreiseverweigerung, Visaentzug und Sperren für ESTA und spätere Visa führen. Wer sie bei einem späteren Antrag verschweigt, riskiert den Vorwurf der Falschangabe, mit möglicher Dauersperre – für den H-1B oder die Green Card der teuerste Fehler, den man vermeiden kann.</w:t>
            </w:r>
          </w:p>
        </w:tc>
      </w:tr>
    </w:tbl>
    <w:p w14:paraId="70A4CD1E" w14:textId="77777777" w:rsidR="00C1548D" w:rsidRDefault="00C1548D">
      <w:pPr>
        <w:spacing w:line="220" w:lineRule="exact"/>
      </w:pPr>
    </w:p>
    <w:p w14:paraId="70A4CD1F" w14:textId="77777777" w:rsidR="00C1548D" w:rsidRDefault="009B1B4B">
      <w:pPr>
        <w:pStyle w:val="Heading3"/>
        <w:keepNext/>
        <w:jc w:val="center"/>
      </w:pPr>
      <w:r>
        <w:rPr>
          <w:rFonts w:ascii="Amazon Ember" w:eastAsia="Amazon Ember" w:hAnsi="Amazon Ember" w:cs="Amazon Ember"/>
          <w:color w:val="0000FF"/>
          <w:sz w:val="36"/>
          <w:szCs w:val="36"/>
        </w:rPr>
        <w:t>Die Green-Card-Lotterie: Stand und Vorsicht</w:t>
      </w:r>
    </w:p>
    <w:p w14:paraId="70A4CD20" w14:textId="77777777" w:rsidR="00C1548D" w:rsidRDefault="009B1B4B">
      <w:pPr>
        <w:spacing w:after="140"/>
      </w:pPr>
      <w:r>
        <w:t xml:space="preserve">Das </w:t>
      </w:r>
      <w:r>
        <w:rPr>
          <w:i/>
          <w:iCs/>
        </w:rPr>
        <w:t>Diversity Visa Program</w:t>
      </w:r>
      <w:r>
        <w:t xml:space="preserve"> verlost jährlich 55.000 Green Cards an Staatsangehörige von Ländern mit geringer Einwanderung in die USA. Deutsche waren zuletzt teilnahmeberechtigt: Deutschland stand nicht auf der Ausschlussliste für DV-2026. Voraussetzung ist ein Schulabschluss oder qualifizierte Berufserfahrung, die Chancen sind gering: Bei DV-2026 standen rund 20,8 Millionen Einträgen rund 129.500 Ausgewählte und 55.000 Visa gegenüber, ausgewählt wurden also gut 0,6 % der Einträge, und auch die Auswahl garantiert kein Visum. Der Stand</w:t>
      </w:r>
      <w:r>
        <w:t xml:space="preserve"> am 20. September 2026:</w:t>
      </w:r>
    </w:p>
    <w:p w14:paraId="70A4CD21" w14:textId="77777777" w:rsidR="00C1548D" w:rsidRDefault="009B1B4B" w:rsidP="009B1B4B">
      <w:pPr>
        <w:pStyle w:val="ListParagraph"/>
        <w:numPr>
          <w:ilvl w:val="0"/>
          <w:numId w:val="1"/>
        </w:numPr>
        <w:spacing w:after="60"/>
      </w:pPr>
      <w:r>
        <w:rPr>
          <w:b/>
          <w:bCs/>
        </w:rPr>
        <w:t>DV-2027:</w:t>
      </w:r>
      <w:r>
        <w:t xml:space="preserve"> Die Registrierung hat nie geöffnet. Das Außenministerium kündigte am 5. November 2025 an, den Start „so bald wie praktikabel“ bekanntzugeben; einen Termin gibt es nicht. Für DV-2028 ebenfalls nicht.</w:t>
      </w:r>
    </w:p>
    <w:p w14:paraId="70A4CD22" w14:textId="77777777" w:rsidR="00C1548D" w:rsidRDefault="009B1B4B" w:rsidP="009B1B4B">
      <w:pPr>
        <w:pStyle w:val="ListParagraph"/>
        <w:numPr>
          <w:ilvl w:val="0"/>
          <w:numId w:val="1"/>
        </w:numPr>
        <w:spacing w:after="60"/>
      </w:pPr>
      <w:r>
        <w:rPr>
          <w:b/>
          <w:bCs/>
        </w:rPr>
        <w:t>Neue Regeln:</w:t>
      </w:r>
      <w:r>
        <w:t xml:space="preserve"> eine Registrierungsgebühr von 1 $ (Regel vom 16. September 2025) und ein Passscan (gültig seit 10. April 2026; nach Kanzleiangaben).</w:t>
      </w:r>
    </w:p>
    <w:p w14:paraId="70A4CD23" w14:textId="77777777" w:rsidR="00C1548D" w:rsidRDefault="009B1B4B" w:rsidP="009B1B4B">
      <w:pPr>
        <w:pStyle w:val="ListParagraph"/>
        <w:numPr>
          <w:ilvl w:val="0"/>
          <w:numId w:val="1"/>
        </w:numPr>
        <w:spacing w:after="60"/>
      </w:pPr>
      <w:r>
        <w:rPr>
          <w:b/>
          <w:bCs/>
        </w:rPr>
        <w:t>DV-2026:</w:t>
      </w:r>
      <w:r>
        <w:t xml:space="preserve"> Die Visavergabe war seit Dezember 2025 ausgesetzt. Am 28. August 2026 hob ein Bundesgericht die Aussetzung per einstweiliger Verfügung auf; das Außenministerium meldete am 31. August 2026 die Wiederaufnahme. Das Programmjahr endet am 30. September 2026, nicht ausgestellte Visa verfallen dann.</w:t>
      </w:r>
    </w:p>
    <w:p w14:paraId="70A4CD24" w14:textId="77777777" w:rsidR="00C1548D" w:rsidRDefault="00C1548D">
      <w:pPr>
        <w:spacing w:line="120" w:lineRule="exact"/>
      </w:pPr>
    </w:p>
    <w:p w14:paraId="70A4CD25" w14:textId="77777777" w:rsidR="00C1548D" w:rsidRDefault="009B1B4B">
      <w:pPr>
        <w:spacing w:after="140"/>
      </w:pPr>
      <w:r>
        <w:lastRenderedPageBreak/>
        <w:t>Als Planungsgrundlage taugt die Lotterie unter diesen Umständen nicht. Öffnet die Registrierung wieder, ist die Teilnahme ein Lotterielos, kein Plan.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2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D26" w14:textId="77777777" w:rsidR="00C1548D" w:rsidRDefault="009B1B4B">
            <w:pPr>
              <w:keepNext/>
              <w:spacing w:after="70" w:line="240" w:lineRule="auto"/>
            </w:pPr>
            <w:r>
              <w:rPr>
                <w:b/>
                <w:bCs/>
                <w:color w:val="9B2C2C"/>
                <w:spacing w:val="24"/>
                <w:sz w:val="16"/>
                <w:szCs w:val="16"/>
              </w:rPr>
              <w:t>ACHTUNG</w:t>
            </w:r>
          </w:p>
          <w:p w14:paraId="70A4CD27" w14:textId="77777777" w:rsidR="00C1548D" w:rsidRDefault="009B1B4B">
            <w:pPr>
              <w:spacing w:after="80" w:line="264" w:lineRule="auto"/>
            </w:pPr>
            <w:r>
              <w:rPr>
                <w:sz w:val="20"/>
                <w:szCs w:val="20"/>
              </w:rPr>
              <w:t>Melde dich nur über dvprogram.state.gov an. US-Vertretungen warnen vor Betrügern, die eine Anmeldung zu DV-2027 anbieten, obwohl sie gar nicht geöffnet ist. Wer für „bessere Chancen“ oder ein „garantiertes“ Ergebnis Geld verlangt, gehört nicht zum offiziellen Verfahren.</w:t>
            </w:r>
          </w:p>
        </w:tc>
      </w:tr>
    </w:tbl>
    <w:p w14:paraId="70A4CD29" w14:textId="77777777" w:rsidR="00C1548D" w:rsidRDefault="00C1548D">
      <w:pPr>
        <w:spacing w:line="220" w:lineRule="exact"/>
      </w:pPr>
    </w:p>
    <w:p w14:paraId="70A4CD2A" w14:textId="77777777" w:rsidR="00C1548D" w:rsidRDefault="009B1B4B">
      <w:pPr>
        <w:pStyle w:val="Heading3"/>
        <w:keepNext/>
        <w:jc w:val="center"/>
      </w:pPr>
      <w:r>
        <w:rPr>
          <w:rFonts w:ascii="Amazon Ember" w:eastAsia="Amazon Ember" w:hAnsi="Amazon Ember" w:cs="Amazon Ember"/>
          <w:color w:val="0000FF"/>
          <w:sz w:val="36"/>
          <w:szCs w:val="36"/>
        </w:rPr>
        <w:t>Heirat und Verlobtenvisum</w:t>
      </w:r>
    </w:p>
    <w:p w14:paraId="70A4CD2B" w14:textId="0D5EA231" w:rsidR="00C1548D" w:rsidRDefault="009B1B4B">
      <w:pPr>
        <w:spacing w:after="140"/>
      </w:pPr>
      <w:r>
        <w:t>Die Ehe mit einem US-Bürger oder einer US-Bürgerin ist ein echter Einwanderungsweg, aber keiner, den man sich zum Zweck der Einreise aussucht; eine Ehe nur für die Papiere ist strafbar. Es gibt zwei Routen (Green Card: Kapitel </w:t>
      </w:r>
      <w:hyperlink w:anchor="k6" w:history="1">
        <w:r>
          <w:t>6</w:t>
        </w:r>
      </w:hyperlink>
      <w:r>
        <w:t>, Rolle des Partners: Kapitel </w:t>
      </w:r>
      <w:hyperlink w:anchor="k10" w:history="1">
        <w:r>
          <w:t>10</w:t>
        </w:r>
      </w:hyperlink>
      <w:r>
        <w:t>).</w:t>
      </w:r>
    </w:p>
    <w:p w14:paraId="70A4CD2C" w14:textId="77777777" w:rsidR="00C1548D" w:rsidRDefault="009B1B4B" w:rsidP="009B1B4B">
      <w:pPr>
        <w:pStyle w:val="ListParagraph"/>
        <w:numPr>
          <w:ilvl w:val="0"/>
          <w:numId w:val="1"/>
        </w:numPr>
        <w:spacing w:after="60"/>
      </w:pPr>
      <w:r>
        <w:rPr>
          <w:b/>
          <w:bCs/>
        </w:rPr>
        <w:t>Verlobtenvisum K-1 (</w:t>
      </w:r>
      <w:r>
        <w:rPr>
          <w:b/>
          <w:bCs/>
          <w:i/>
          <w:iCs/>
        </w:rPr>
        <w:t>Fiancé(e) Visa</w:t>
      </w:r>
      <w:r>
        <w:rPr>
          <w:b/>
          <w:bCs/>
        </w:rPr>
        <w:t>):</w:t>
      </w:r>
      <w:r>
        <w:t xml:space="preserve">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1.390 $ online). Kanzleiangaben für 2026: USCIS braucht für den Antrag rund ein Jahr, dazu einige Monate beim Konsulat.</w:t>
      </w:r>
    </w:p>
    <w:p w14:paraId="70A4CD2D" w14:textId="77777777" w:rsidR="00C1548D" w:rsidRDefault="009B1B4B" w:rsidP="009B1B4B">
      <w:pPr>
        <w:pStyle w:val="ListParagraph"/>
        <w:numPr>
          <w:ilvl w:val="0"/>
          <w:numId w:val="1"/>
        </w:numPr>
        <w:spacing w:after="60"/>
      </w:pPr>
      <w:r>
        <w:rPr>
          <w:b/>
          <w:bCs/>
        </w:rPr>
        <w:t>Ehegattenvisum (IR-1 oder CR-1):</w:t>
      </w:r>
      <w:r>
        <w:t xml:space="preserve">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w14:paraId="70A4CD2E" w14:textId="77777777" w:rsidR="00C1548D" w:rsidRDefault="00C1548D">
      <w:pPr>
        <w:spacing w:line="120" w:lineRule="exact"/>
      </w:pPr>
    </w:p>
    <w:p w14:paraId="70A4CD2F" w14:textId="28838877" w:rsidR="00C1548D" w:rsidRDefault="009B1B4B">
      <w:pPr>
        <w:spacing w:after="140"/>
      </w:pPr>
      <w:r>
        <w:t xml:space="preserve">Ist der Partner nur Green-Card-Inhaber und kein Staatsbürger, gelten Wartezeiten nach dem </w:t>
      </w:r>
      <w:r>
        <w:rPr>
          <w:i/>
          <w:iCs/>
        </w:rPr>
        <w:t>Visa Bulletin</w:t>
      </w:r>
      <w:r>
        <w:t xml:space="preserve"> (Kapitel </w:t>
      </w:r>
      <w:hyperlink w:anchor="k6" w:history="1">
        <w:r>
          <w:t>6</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3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D30" w14:textId="77777777" w:rsidR="00C1548D" w:rsidRDefault="009B1B4B">
            <w:pPr>
              <w:keepNext/>
              <w:spacing w:after="70" w:line="240" w:lineRule="auto"/>
            </w:pPr>
            <w:r>
              <w:rPr>
                <w:b/>
                <w:bCs/>
                <w:color w:val="9B2C2C"/>
                <w:spacing w:val="24"/>
                <w:sz w:val="16"/>
                <w:szCs w:val="16"/>
              </w:rPr>
              <w:lastRenderedPageBreak/>
              <w:t>ACHTUNG</w:t>
            </w:r>
          </w:p>
          <w:p w14:paraId="70A4CD31" w14:textId="77777777" w:rsidR="00C1548D" w:rsidRDefault="009B1B4B">
            <w:pPr>
              <w:spacing w:after="80" w:line="264" w:lineRule="auto"/>
            </w:pPr>
            <w:r>
              <w:rPr>
                <w:sz w:val="20"/>
                <w:szCs w:val="20"/>
              </w:rPr>
              <w:t>Der US-Partner unterschreibt eine Verpflichtungserklärung (</w:t>
            </w:r>
            <w:r>
              <w:rPr>
                <w:i/>
                <w:iCs/>
                <w:sz w:val="20"/>
                <w:szCs w:val="20"/>
              </w:rPr>
              <w:t>Affidavit of Support</w:t>
            </w:r>
            <w:r>
              <w:rPr>
                <w:sz w:val="20"/>
                <w:szCs w:val="20"/>
              </w:rPr>
              <w:t>, Formular I-864) und muss ein Einkommen von mindestens 125 % der Armutsgrenze nachweisen; diese Pflicht endet in der Regel nicht durch Scheidung. Und wer mit ESTA einreist, um vor Ort zu heiraten und zu bleiben, riskiert den Vorwurf der Täuschung, wenn die Absicht schon bei der Einreise bestand. Lass beides von einem Anwalt prüfen.</w:t>
            </w:r>
          </w:p>
        </w:tc>
      </w:tr>
    </w:tbl>
    <w:p w14:paraId="70A4CD33" w14:textId="77777777" w:rsidR="00C1548D" w:rsidRDefault="00C1548D">
      <w:pPr>
        <w:spacing w:line="220" w:lineRule="exact"/>
      </w:pPr>
    </w:p>
    <w:p w14:paraId="70A4CD34" w14:textId="77777777" w:rsidR="00C1548D" w:rsidRDefault="009B1B4B">
      <w:pPr>
        <w:pStyle w:val="Heading3"/>
        <w:keepNext/>
        <w:jc w:val="center"/>
      </w:pPr>
      <w:r>
        <w:rPr>
          <w:rFonts w:ascii="Amazon Ember" w:eastAsia="Amazon Ember" w:hAnsi="Amazon Ember" w:cs="Amazon Ember"/>
          <w:color w:val="0000FF"/>
          <w:sz w:val="36"/>
          <w:szCs w:val="36"/>
        </w:rPr>
        <w:t>EB-5 und Gold Card: Wege für Vermögende</w:t>
      </w:r>
    </w:p>
    <w:p w14:paraId="70A4CD35" w14:textId="77777777" w:rsidR="00C1548D" w:rsidRDefault="009B1B4B">
      <w:pPr>
        <w:spacing w:after="140"/>
      </w:pPr>
      <w:r>
        <w:t>Der EB-5 ist die Investoren-Green-Card. Du investierst 800.000 $ in ein Projekt in einer ländlichen Region, einem Gebiet mit hoher Arbeitslosigkeit oder in Infrastruktur (</w:t>
      </w:r>
      <w:r>
        <w:rPr>
          <w:i/>
          <w:iCs/>
        </w:rPr>
        <w:t>Targeted Employment Area</w:t>
      </w:r>
      <w:r>
        <w:t xml:space="preserve">), sonst 1.050.000 $; dein Kapital muss mindestens zehn Vollzeitstellen für US-Beschäftigte schaffen. Rund 10.000 Visa gibt es pro Jahr; die Regionalzentren, über die viele Investoren einsteigen, sind bis 30. September 2027 zugelassen. An USCIS zahlst du für die Petition (I-526E) 3.675 $ plus 1.000 $ Integritätsfonds-Gebühr und später 3.750 $ für die Aufhebung der Bedingungen (I-829). Die Beträge stammen aus dem Gebührenblatt G-1055 (Ausgabe 09.09.2026), sind aber umstritten; prüfe das aktuelle Blatt. Dazu </w:t>
      </w:r>
      <w:r>
        <w:t>kommen Anwalts- und Projektkosten. Das Kapital ist Risikokapital; für die typische Fachkraft ist der EB-5 kein realistischer Weg.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3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D36" w14:textId="77777777" w:rsidR="00C1548D" w:rsidRDefault="009B1B4B">
            <w:pPr>
              <w:keepNext/>
              <w:spacing w:after="70" w:line="240" w:lineRule="auto"/>
            </w:pPr>
            <w:r>
              <w:rPr>
                <w:b/>
                <w:bCs/>
                <w:color w:val="9B2C2C"/>
                <w:spacing w:val="24"/>
                <w:sz w:val="16"/>
                <w:szCs w:val="16"/>
              </w:rPr>
              <w:t>ACHTUNG</w:t>
            </w:r>
          </w:p>
          <w:p w14:paraId="70A4CD37" w14:textId="77777777" w:rsidR="00C1548D" w:rsidRDefault="009B1B4B">
            <w:pPr>
              <w:spacing w:after="80" w:line="264" w:lineRule="auto"/>
            </w:pPr>
            <w:r>
              <w:rPr>
                <w:sz w:val="20"/>
                <w:szCs w:val="20"/>
              </w:rPr>
              <w:t>Wer eine I-526E-Petition bis zum 30. September 2026 einreicht, sichert sich die heutigen Investitionssummen (800.000 $ bzw. 1.050.000 $) für dieses Verfahren dauerhaft ab (</w:t>
            </w:r>
            <w:r>
              <w:rPr>
                <w:i/>
                <w:iCs/>
                <w:sz w:val="20"/>
                <w:szCs w:val="20"/>
              </w:rPr>
              <w:t>Grandfathering</w:t>
            </w:r>
            <w:r>
              <w:rPr>
                <w:sz w:val="20"/>
                <w:szCs w:val="20"/>
              </w:rPr>
              <w:t>), danach drohen höhere Beträge ab 2027. Für die ohnehin seltene Zielgruppe dieses Wegs ist das eine sehr kurzfristige Frist – prüfe sofort mit einer Kanzlei, ob das noch machbar ist.</w:t>
            </w:r>
          </w:p>
        </w:tc>
      </w:tr>
    </w:tbl>
    <w:p w14:paraId="70A4CD39" w14:textId="77777777" w:rsidR="00C1548D" w:rsidRDefault="00C1548D">
      <w:pPr>
        <w:spacing w:line="220" w:lineRule="exact"/>
      </w:pPr>
    </w:p>
    <w:p w14:paraId="70A4CD3A" w14:textId="0F6FFA77" w:rsidR="00C1548D" w:rsidRDefault="009B1B4B">
      <w:pPr>
        <w:spacing w:after="140"/>
      </w:pPr>
      <w:r>
        <w:lastRenderedPageBreak/>
        <w:t xml:space="preserve">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laut US-Handelsminister); gegen das Programm läuft eine Klage (AAUP gegen DHS, Bundesgericht in Washington). Wer eine reguläre Karte </w:t>
      </w:r>
      <w:r>
        <w:t>erhält, wird als Green-Card-Inhaber weltweit besteuert (</w:t>
      </w:r>
      <w:r>
        <w:t>Kapitel </w:t>
      </w:r>
      <w:hyperlink w:anchor="k6" w:history="1">
        <w:r>
          <w:t>6</w:t>
        </w:r>
      </w:hyperlink>
      <w:r>
        <w:t xml:space="preserve"> und </w:t>
      </w:r>
      <w:hyperlink w:anchor="k28" w:history="1">
        <w:r>
          <w:t>28</w:t>
        </w:r>
      </w:hyperlink>
      <w:r>
        <w:t>) – für die Lebensplanung ist sie nicht geeignet.</w:t>
      </w:r>
    </w:p>
    <w:p w14:paraId="70A4CD3B" w14:textId="77777777" w:rsidR="00C1548D" w:rsidRDefault="009B1B4B">
      <w:pPr>
        <w:pStyle w:val="Heading3"/>
        <w:keepNext/>
        <w:jc w:val="center"/>
      </w:pPr>
      <w:r>
        <w:rPr>
          <w:rFonts w:ascii="Amazon Ember" w:eastAsia="Amazon Ember" w:hAnsi="Amazon Ember" w:cs="Amazon Ember"/>
          <w:color w:val="0000FF"/>
          <w:sz w:val="36"/>
          <w:szCs w:val="36"/>
        </w:rPr>
        <w:t>Selbständige, Freiberufler, digitale Nomaden: die Falle</w:t>
      </w:r>
    </w:p>
    <w:p w14:paraId="70A4CD3C" w14:textId="77777777" w:rsidR="00C1548D" w:rsidRDefault="009B1B4B">
      <w:pPr>
        <w:spacing w:after="140"/>
      </w:pPr>
      <w:r>
        <w:t>Es gibt kein Freelancer-Visum und kein Digital-Nomad-Visum. Der Traum vom Laptop in Austin mit Kunden in Europa hat aufenthaltsrechtlich keine Grundlage (Stand 2026). H-1B, L-1 und O-1 sind an einen Arbeitgeber oder einen Agenten gebunden, eigene Aufträge nebenher sind damit nicht erlaubt. Das gilt auch für ESTA und B-1, siehe oben.</w:t>
      </w:r>
    </w:p>
    <w:p w14:paraId="70A4CD3D" w14:textId="45CB1C36" w:rsidR="00C1548D" w:rsidRDefault="009B1B4B">
      <w:pPr>
        <w:spacing w:after="140"/>
      </w:pPr>
      <w:r>
        <w:t>Was dir bleibt: eine eigene US-Firma mit E-2, wenn du das Kapital hast; eine US-Niederlassung deiner bestehenden Firma per L-1A (siehe unten); der O-1 über einen Agenten, wenn du Spitzenleistung nachweist; eine Anstellung mit Sponsor, bei der die Selbständigkeit ruht (Kapitel </w:t>
      </w:r>
      <w:hyperlink w:anchor="k5" w:history="1">
        <w:r>
          <w:t>5</w:t>
        </w:r>
      </w:hyperlink>
      <w:r>
        <w:t>); Green Card und Ehe, mit denen du frei arbeiten darfst (Kapitel </w:t>
      </w:r>
      <w:hyperlink w:anchor="k6" w:history="1">
        <w:r>
          <w:t>6</w:t>
        </w:r>
      </w:hyperlink>
      <w:r>
        <w:t>).</w:t>
      </w:r>
    </w:p>
    <w:p w14:paraId="70A4CD3E" w14:textId="2F773C44" w:rsidR="00C1548D" w:rsidRDefault="009B1B4B">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 das hat mit der Aufenthaltserlaubnis nichts zu tun (Kapitel </w:t>
      </w:r>
      <w:hyperlink w:anchor="k28" w:history="1">
        <w:r>
          <w:t>28</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41"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D3F" w14:textId="77777777" w:rsidR="00C1548D" w:rsidRDefault="009B1B4B">
            <w:pPr>
              <w:keepNext/>
              <w:spacing w:after="70" w:line="240" w:lineRule="auto"/>
            </w:pPr>
            <w:r>
              <w:rPr>
                <w:b/>
                <w:bCs/>
                <w:color w:val="8A6212"/>
                <w:spacing w:val="24"/>
                <w:sz w:val="16"/>
                <w:szCs w:val="16"/>
              </w:rPr>
              <w:lastRenderedPageBreak/>
              <w:t>MERKE</w:t>
            </w:r>
          </w:p>
          <w:p w14:paraId="70A4CD40" w14:textId="77777777" w:rsidR="00C1548D" w:rsidRDefault="009B1B4B">
            <w:pPr>
              <w:spacing w:after="80" w:line="264" w:lineRule="auto"/>
            </w:pPr>
            <w:r>
              <w:rPr>
                <w:sz w:val="20"/>
                <w:szCs w:val="20"/>
              </w:rPr>
              <w:t>Entscheidend ist der Ort, an dem du arbeitest, nicht der Sitz deines Arbeitgebers und nicht das Konto, auf dem das Geld landet.</w:t>
            </w:r>
          </w:p>
        </w:tc>
      </w:tr>
    </w:tbl>
    <w:p w14:paraId="70A4CD42" w14:textId="77777777" w:rsidR="00C1548D" w:rsidRDefault="00C1548D">
      <w:pPr>
        <w:spacing w:line="220" w:lineRule="exact"/>
      </w:pPr>
    </w:p>
    <w:p w14:paraId="70A4CD43" w14:textId="77777777" w:rsidR="00C1548D" w:rsidRDefault="009B1B4B">
      <w:pPr>
        <w:pStyle w:val="Heading3"/>
        <w:keepNext/>
        <w:jc w:val="center"/>
      </w:pPr>
      <w:r>
        <w:rPr>
          <w:rFonts w:ascii="Amazon Ember" w:eastAsia="Amazon Ember" w:hAnsi="Amazon Ember" w:cs="Amazon Ember"/>
          <w:color w:val="0000FF"/>
          <w:sz w:val="36"/>
          <w:szCs w:val="36"/>
        </w:rPr>
        <w:t>Start-up-Gründung</w:t>
      </w:r>
    </w:p>
    <w:p w14:paraId="70A4CD44" w14:textId="77777777" w:rsidR="00C1548D" w:rsidRDefault="009B1B4B">
      <w:pPr>
        <w:spacing w:after="140"/>
      </w:pPr>
      <w:r>
        <w:t>Eine Firma in Delaware online zu gründen, dauert einen Nachmittag; ein Aufenthaltsrecht folgt daraus nicht. Für Gründerinnen und Gründer kommen diese Wege infrage:</w:t>
      </w:r>
    </w:p>
    <w:p w14:paraId="70A4CD45" w14:textId="77777777" w:rsidR="00C1548D" w:rsidRDefault="009B1B4B" w:rsidP="009B1B4B">
      <w:pPr>
        <w:pStyle w:val="ListParagraph"/>
        <w:numPr>
          <w:ilvl w:val="0"/>
          <w:numId w:val="1"/>
        </w:numPr>
        <w:spacing w:after="60"/>
      </w:pPr>
      <w:r>
        <w:rPr>
          <w:b/>
          <w:bCs/>
        </w:rPr>
        <w:t>E-2:</w:t>
      </w:r>
      <w:r>
        <w:t xml:space="preserve"> Du investierst eigenes Kapital in die US-Firma (siehe oben). Das ist der häufigste Gründerweg für Deutsche.</w:t>
      </w:r>
    </w:p>
    <w:p w14:paraId="70A4CD46" w14:textId="77777777" w:rsidR="00C1548D" w:rsidRDefault="009B1B4B" w:rsidP="009B1B4B">
      <w:pPr>
        <w:pStyle w:val="ListParagraph"/>
        <w:numPr>
          <w:ilvl w:val="0"/>
          <w:numId w:val="1"/>
        </w:numPr>
        <w:spacing w:after="60"/>
      </w:pPr>
      <w:r>
        <w:rPr>
          <w:b/>
          <w:bCs/>
        </w:rPr>
        <w:t>L-1A mit neuem Büro (</w:t>
      </w:r>
      <w:r>
        <w:rPr>
          <w:b/>
          <w:bCs/>
          <w:i/>
          <w:iCs/>
        </w:rPr>
        <w:t>New Office</w:t>
      </w:r>
      <w:r>
        <w:rPr>
          <w:b/>
          <w:bCs/>
        </w:rPr>
        <w:t>):</w:t>
      </w:r>
      <w:r>
        <w:t xml:space="preserve"> Voraussetzung ist ein Jahr Leitung deiner deutschen Firma. Die US-Niederlassung braucht tatsächliche Räume, Finanzkraft und einen Plan; ein virtuelles Büro genügt nach den USCIS-Leitlinien in der Regel nicht. Die Erstzulassung gilt ein Jahr.</w:t>
      </w:r>
    </w:p>
    <w:p w14:paraId="70A4CD47" w14:textId="77777777" w:rsidR="00C1548D" w:rsidRDefault="009B1B4B" w:rsidP="009B1B4B">
      <w:pPr>
        <w:pStyle w:val="ListParagraph"/>
        <w:numPr>
          <w:ilvl w:val="0"/>
          <w:numId w:val="1"/>
        </w:numPr>
        <w:spacing w:after="60"/>
      </w:pPr>
      <w:r>
        <w:rPr>
          <w:b/>
          <w:bCs/>
        </w:rPr>
        <w:t>O-1:</w:t>
      </w:r>
      <w:r>
        <w:t xml:space="preserve"> Er passt, wenn deine Leistungen die Kriterien erfüllen (siehe oben).</w:t>
      </w:r>
    </w:p>
    <w:p w14:paraId="70A4CD48" w14:textId="77777777" w:rsidR="00C1548D" w:rsidRDefault="009B1B4B" w:rsidP="009B1B4B">
      <w:pPr>
        <w:pStyle w:val="ListParagraph"/>
        <w:numPr>
          <w:ilvl w:val="0"/>
          <w:numId w:val="1"/>
        </w:numPr>
        <w:spacing w:after="60"/>
      </w:pPr>
      <w:r>
        <w:rPr>
          <w:b/>
          <w:bCs/>
        </w:rPr>
        <w:t>International Entrepreneur Rule:</w:t>
      </w:r>
      <w:r>
        <w:t xml:space="preserve"> ein Sonderweg mit befristeter Einreiseerlaubnis (</w:t>
      </w:r>
      <w:r>
        <w:rPr>
          <w:i/>
          <w:iCs/>
        </w:rPr>
        <w:t>Parole</w:t>
      </w:r>
      <w:r>
        <w:t>, kein Visum; Formular I-941) für Gründer mit erheblichen Mitteln qualifizierter US-Investoren. Laut USCIS besteht das Programm weiter, die Schwellen liegen nach Kanzleiangaben bei gut 300.000 $ (Stand Oktober 2024), die Entscheidung ist Ermessenssache.</w:t>
      </w:r>
    </w:p>
    <w:p w14:paraId="70A4CD49" w14:textId="6CE96F8C" w:rsidR="00C1548D" w:rsidRDefault="009B1B4B" w:rsidP="009B1B4B">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history="1">
        <w:r>
          <w:t>5</w:t>
        </w:r>
      </w:hyperlink>
      <w:r>
        <w:t>).</w:t>
      </w:r>
    </w:p>
    <w:p w14:paraId="70A4CD4A" w14:textId="77777777" w:rsidR="00C1548D" w:rsidRDefault="00C1548D">
      <w:pPr>
        <w:spacing w:line="120" w:lineRule="exact"/>
      </w:pPr>
    </w:p>
    <w:p w14:paraId="70A4CD4B" w14:textId="77777777" w:rsidR="00C1548D" w:rsidRDefault="009B1B4B">
      <w:pPr>
        <w:spacing w:after="140"/>
      </w:pPr>
      <w:r>
        <w:t>Ein B-1 oder ESTA deckt nur die Vorbereitung ab: Gespräche mit Investoren, Marktbesuche, Formalitäten – sobald du das laufende Geschäft führst, arbeitest du.</w:t>
      </w:r>
    </w:p>
    <w:p w14:paraId="70A4CD4C"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D4F"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D4D"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D4E" w14:textId="77777777" w:rsidR="00C1548D" w:rsidRDefault="009B1B4B">
            <w:pPr>
              <w:spacing w:line="250" w:lineRule="auto"/>
            </w:pPr>
            <w:r>
              <w:rPr>
                <w:b/>
                <w:bCs/>
                <w:sz w:val="18"/>
                <w:szCs w:val="18"/>
              </w:rPr>
              <w:t>Minus</w:t>
            </w:r>
          </w:p>
        </w:tc>
      </w:tr>
      <w:tr w:rsidR="00C1548D" w14:paraId="70A4CD5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50" w14:textId="77777777" w:rsidR="00C1548D" w:rsidRDefault="009B1B4B">
            <w:pPr>
              <w:spacing w:line="250" w:lineRule="auto"/>
            </w:pPr>
            <w:r>
              <w:rPr>
                <w:sz w:val="18"/>
                <w:szCs w:val="18"/>
              </w:rPr>
              <w:t>Bei L-1, O-1, E-2 und J-1 gibt es weder Lotterie noch Jahresquote wie beim H-1B</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51" w14:textId="77777777" w:rsidR="00C1548D" w:rsidRDefault="009B1B4B">
            <w:pPr>
              <w:spacing w:line="250" w:lineRule="auto"/>
            </w:pPr>
            <w:r>
              <w:rPr>
                <w:sz w:val="18"/>
                <w:szCs w:val="18"/>
              </w:rPr>
              <w:t>Jeder Weg verlangt eine Eintrittskarte: Konzern, Spitzenakte, Kapital oder Programmplatz</w:t>
            </w:r>
          </w:p>
        </w:tc>
      </w:tr>
      <w:tr w:rsidR="00C1548D" w14:paraId="70A4CD5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53" w14:textId="77777777" w:rsidR="00C1548D" w:rsidRDefault="009B1B4B">
            <w:pPr>
              <w:spacing w:line="250" w:lineRule="auto"/>
            </w:pPr>
            <w:r>
              <w:rPr>
                <w:sz w:val="18"/>
                <w:szCs w:val="18"/>
              </w:rPr>
              <w:t>L-2- und E-2-Partner dürfen ohne eigenen Antrag arbeiten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54" w14:textId="77777777" w:rsidR="00C1548D" w:rsidRDefault="009B1B4B">
            <w:pPr>
              <w:spacing w:line="250" w:lineRule="auto"/>
            </w:pPr>
            <w:r>
              <w:rPr>
                <w:sz w:val="18"/>
                <w:szCs w:val="18"/>
              </w:rPr>
              <w:t>Beim O-1 dürfen Partner nicht arbeiten, beim J-2 ist ein Antrag nötig</w:t>
            </w:r>
          </w:p>
        </w:tc>
      </w:tr>
      <w:tr w:rsidR="00C1548D" w14:paraId="70A4CD5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56" w14:textId="77777777" w:rsidR="00C1548D" w:rsidRDefault="009B1B4B">
            <w:pPr>
              <w:spacing w:line="250" w:lineRule="auto"/>
            </w:pPr>
            <w:r>
              <w:rPr>
                <w:sz w:val="18"/>
                <w:szCs w:val="18"/>
              </w:rPr>
              <w:t>Der L-1 erlaubt Green-Card-Pläne (</w:t>
            </w:r>
            <w:r>
              <w:rPr>
                <w:i/>
                <w:iCs/>
                <w:sz w:val="18"/>
                <w:szCs w:val="18"/>
              </w:rPr>
              <w:t>Dual Intent</w:t>
            </w:r>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57" w14:textId="77777777" w:rsidR="00C1548D" w:rsidRDefault="009B1B4B">
            <w:pPr>
              <w:spacing w:line="250" w:lineRule="auto"/>
            </w:pPr>
            <w:r>
              <w:rPr>
                <w:sz w:val="18"/>
                <w:szCs w:val="18"/>
              </w:rPr>
              <w:t>L-1B endet nach fünf Jahren, L-1A nach sieben; E-2 und J-1 führen nicht zur Green Card</w:t>
            </w:r>
          </w:p>
        </w:tc>
      </w:tr>
      <w:tr w:rsidR="00C1548D" w14:paraId="70A4CD5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59" w14:textId="77777777" w:rsidR="00C1548D" w:rsidRDefault="009B1B4B">
            <w:pPr>
              <w:spacing w:line="250" w:lineRule="auto"/>
            </w:pPr>
            <w:r>
              <w:rPr>
                <w:sz w:val="18"/>
                <w:szCs w:val="18"/>
              </w:rPr>
              <w:t>E-2 lässt sich unbegrenzt, O-1 jährlich verlängern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5A" w14:textId="77777777" w:rsidR="00C1548D" w:rsidRDefault="009B1B4B">
            <w:pPr>
              <w:spacing w:line="250" w:lineRule="auto"/>
            </w:pPr>
            <w:r>
              <w:rPr>
                <w:sz w:val="18"/>
                <w:szCs w:val="18"/>
              </w:rPr>
              <w:t>Der Status hängt an Konzern, Firma oder Programm; bei Jobverlust bleibt nur eine kurze Frist</w:t>
            </w:r>
          </w:p>
        </w:tc>
      </w:tr>
      <w:tr w:rsidR="00C1548D" w14:paraId="70A4CD5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5C" w14:textId="77777777" w:rsidR="00C1548D" w:rsidRDefault="009B1B4B">
            <w:pPr>
              <w:spacing w:line="250" w:lineRule="auto"/>
            </w:pPr>
            <w:r>
              <w:rPr>
                <w:sz w:val="18"/>
                <w:szCs w:val="18"/>
              </w:rPr>
              <w:t>Bei L-1 und O-1 trägt meist der Arbeitgeber die USCIS-Gebühren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5D" w14:textId="77777777" w:rsidR="00C1548D" w:rsidRDefault="009B1B4B">
            <w:pPr>
              <w:spacing w:line="250" w:lineRule="auto"/>
            </w:pPr>
            <w:r>
              <w:rPr>
                <w:sz w:val="18"/>
                <w:szCs w:val="18"/>
              </w:rPr>
              <w:t>O-1 und E-2 brauchen aufwendige Belege und in der Praxis einen Anwalt</w:t>
            </w:r>
          </w:p>
        </w:tc>
      </w:tr>
      <w:tr w:rsidR="00C1548D" w14:paraId="70A4CD6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5F" w14:textId="77777777" w:rsidR="00C1548D" w:rsidRDefault="009B1B4B">
            <w:pPr>
              <w:spacing w:line="250" w:lineRule="auto"/>
            </w:pPr>
            <w:r>
              <w:rPr>
                <w:sz w:val="18"/>
                <w:szCs w:val="18"/>
              </w:rPr>
              <w:t>Deutsche sind E-2-berechtigt und von den Einreisestopps 2026 nicht betroffen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60" w14:textId="77777777" w:rsidR="00C1548D" w:rsidRDefault="009B1B4B">
            <w:pPr>
              <w:spacing w:line="250" w:lineRule="auto"/>
            </w:pPr>
            <w:r>
              <w:rPr>
                <w:sz w:val="18"/>
                <w:szCs w:val="18"/>
              </w:rPr>
              <w:t>Gebühren und Regeln ändern sich schnell (Visa Integrity Fee, Online-Prüfung)</w:t>
            </w:r>
          </w:p>
        </w:tc>
      </w:tr>
    </w:tbl>
    <w:p w14:paraId="70A4CD62" w14:textId="77777777" w:rsidR="00C1548D" w:rsidRDefault="00C1548D">
      <w:pPr>
        <w:spacing w:line="180" w:lineRule="exact"/>
      </w:pPr>
    </w:p>
    <w:p w14:paraId="70A4CD63"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CD64" w14:textId="77777777" w:rsidR="00C1548D" w:rsidRDefault="009B1B4B" w:rsidP="009B1B4B">
      <w:pPr>
        <w:pStyle w:val="ListParagraph"/>
        <w:numPr>
          <w:ilvl w:val="0"/>
          <w:numId w:val="15"/>
        </w:numPr>
        <w:spacing w:after="60"/>
      </w:pPr>
      <w:r>
        <w:t>Prüfe, welche Eintrittskarte du hast: Konzernverbindung mit einem Jahr im Ausland (L-1), belegbare Spitzenleistung (O-1), Kapital und Geschäftsidee (E-2) oder Programmplatz (J-1).</w:t>
      </w:r>
    </w:p>
    <w:p w14:paraId="70A4CD65" w14:textId="77777777" w:rsidR="00C1548D" w:rsidRDefault="009B1B4B" w:rsidP="009B1B4B">
      <w:pPr>
        <w:pStyle w:val="ListParagraph"/>
        <w:numPr>
          <w:ilvl w:val="0"/>
          <w:numId w:val="15"/>
        </w:numPr>
        <w:spacing w:after="60"/>
      </w:pPr>
      <w:r>
        <w:t>Frage als Konzernbeschäftigte oder Konzernbeschäftigter die Personalabteilung, ob Versetzungen in die USA üblich sind und der Konzern eine Sammelgenehmigung besitzt.</w:t>
      </w:r>
    </w:p>
    <w:p w14:paraId="70A4CD66" w14:textId="29AE728C" w:rsidR="00C1548D" w:rsidRDefault="009B1B4B" w:rsidP="009B1B4B">
      <w:pPr>
        <w:pStyle w:val="ListParagraph"/>
        <w:numPr>
          <w:ilvl w:val="0"/>
          <w:numId w:val="15"/>
        </w:numPr>
        <w:spacing w:after="60"/>
      </w:pPr>
      <w:r>
        <w:t>Lass bei O-1 und E-2 eine Ersteinschätzung durch eine Einwanderungsanwältin oder einen Einwanderungsanwalt machen, bevor du Geld einsetzt (Kapitel </w:t>
      </w:r>
      <w:hyperlink w:anchor="k11" w:history="1">
        <w:r>
          <w:t>11</w:t>
        </w:r>
      </w:hyperlink>
      <w:r>
        <w:t>).</w:t>
      </w:r>
    </w:p>
    <w:p w14:paraId="70A4CD67" w14:textId="77777777" w:rsidR="00C1548D" w:rsidRDefault="009B1B4B" w:rsidP="009B1B4B">
      <w:pPr>
        <w:pStyle w:val="ListParagraph"/>
        <w:numPr>
          <w:ilvl w:val="0"/>
          <w:numId w:val="15"/>
        </w:numPr>
        <w:spacing w:after="60"/>
      </w:pPr>
      <w:r>
        <w:t>Plane Erkundungsreisen und Vorstellungsgespräche mit ESTA, aber ohne Arbeit.</w:t>
      </w:r>
    </w:p>
    <w:p w14:paraId="70A4CD68" w14:textId="0D6D11D1" w:rsidR="00C1548D" w:rsidRDefault="009B1B4B" w:rsidP="009B1B4B">
      <w:pPr>
        <w:pStyle w:val="ListParagraph"/>
        <w:numPr>
          <w:ilvl w:val="0"/>
          <w:numId w:val="15"/>
        </w:numPr>
        <w:spacing w:after="60"/>
      </w:pPr>
      <w:r>
        <w:t>Halte einen Plan B bereit, etwa den Studienweg (Kapitel </w:t>
      </w:r>
      <w:hyperlink w:anchor="k8" w:history="1">
        <w:r>
          <w:t>8</w:t>
        </w:r>
      </w:hyperlink>
      <w:r>
        <w:t>).</w:t>
      </w:r>
    </w:p>
    <w:p w14:paraId="70A4CD6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6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D6A" w14:textId="77777777" w:rsidR="00C1548D" w:rsidRDefault="009B1B4B">
            <w:pPr>
              <w:keepNext/>
              <w:spacing w:after="70" w:line="240" w:lineRule="auto"/>
            </w:pPr>
            <w:r>
              <w:rPr>
                <w:b/>
                <w:bCs/>
                <w:color w:val="6B7280"/>
                <w:spacing w:val="24"/>
                <w:sz w:val="16"/>
                <w:szCs w:val="16"/>
              </w:rPr>
              <w:lastRenderedPageBreak/>
              <w:t>KEIN RECHTSRAT</w:t>
            </w:r>
          </w:p>
          <w:p w14:paraId="70A4CD6B" w14:textId="77777777" w:rsidR="00C1548D" w:rsidRDefault="009B1B4B">
            <w:pPr>
              <w:spacing w:after="80" w:line="264" w:lineRule="auto"/>
            </w:pPr>
            <w:r>
              <w:rPr>
                <w:sz w:val="20"/>
                <w:szCs w:val="20"/>
              </w:rPr>
              <w:t>Dieses Kapitel beschreibt Regeln und Praxis, ersetzt aber keine Beratung im Einzelfall. Ob L-1, O-1 oder E-2 für dich tragen, entscheidet sich an Details, die nur eine Einwanderungsanwältin oder ein Einwanderungsanwalt anhand deiner Unterlagen beurteilen kann.</w:t>
            </w:r>
          </w:p>
        </w:tc>
      </w:tr>
    </w:tbl>
    <w:p w14:paraId="70A4CD6D"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78"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D6E" w14:textId="77777777" w:rsidR="00C1548D" w:rsidRDefault="009B1B4B">
            <w:pPr>
              <w:keepNext/>
              <w:spacing w:after="70" w:line="240" w:lineRule="auto"/>
            </w:pPr>
            <w:r>
              <w:rPr>
                <w:b/>
                <w:bCs/>
                <w:color w:val="1F6F78"/>
                <w:spacing w:val="24"/>
                <w:sz w:val="16"/>
                <w:szCs w:val="16"/>
              </w:rPr>
              <w:t>CHECKLISTE</w:t>
            </w:r>
          </w:p>
          <w:p w14:paraId="70A4CD6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Eintrittskarte geklärt: Konzernjahr, Leistungsbelege, Kapital oder Programmplatz.</w:t>
            </w:r>
          </w:p>
          <w:p w14:paraId="70A4CD7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Konzernbeschäftigung: Personalabteilung nach Versetzung, L-1 und Blanket L gefragt; Zeit im Konzern im Ausland dokumentiert.</w:t>
            </w:r>
          </w:p>
          <w:p w14:paraId="70A4CD7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O-1: Belege gesammelt (Preise, Veröffentlichungen, Medienberichte, Gutachtertätigkeit, Gehalt) und gegen die acht Kriterien geprüft.</w:t>
            </w:r>
          </w:p>
          <w:p w14:paraId="70A4CD7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E-2: Businessplan, Investitionshöhe und Herkunft des Geldes mit einem Anwalt besprochen.</w:t>
            </w:r>
          </w:p>
          <w:p w14:paraId="70A4CD7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J-1: Sponsor schriftlich gefragt, ob die Zwei-Jahres-Regel (212(e)) gilt.</w:t>
            </w:r>
          </w:p>
          <w:p w14:paraId="70A4CD7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Reisen mit ESTA oder B-1 ohne jede Arbeit geplant; ESTA nur über die offizielle Seite beantragt.</w:t>
            </w:r>
          </w:p>
          <w:p w14:paraId="70A4CD7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Lotterie: nur dvprogram.state.gov genutzt, keine Zahlung an Vermittler.</w:t>
            </w:r>
          </w:p>
          <w:p w14:paraId="70A4CD7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Gebühren mit aktuellem USCIS-Gebührenblatt G-1055 abgeglichen.</w:t>
            </w:r>
          </w:p>
          <w:p w14:paraId="70A4CD77" w14:textId="533C14DD"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Plan B parallel festgelegt (Kapitel </w:t>
            </w:r>
            <w:hyperlink w:anchor="k5" w:history="1">
              <w:r>
                <w:rPr>
                  <w:sz w:val="20"/>
                  <w:szCs w:val="20"/>
                </w:rPr>
                <w:t>5</w:t>
              </w:r>
            </w:hyperlink>
            <w:r>
              <w:rPr>
                <w:sz w:val="20"/>
                <w:szCs w:val="20"/>
              </w:rPr>
              <w:t xml:space="preserve"> und </w:t>
            </w:r>
            <w:hyperlink w:anchor="k8" w:history="1">
              <w:r>
                <w:rPr>
                  <w:sz w:val="20"/>
                  <w:szCs w:val="20"/>
                </w:rPr>
                <w:t>8</w:t>
              </w:r>
            </w:hyperlink>
            <w:r>
              <w:rPr>
                <w:sz w:val="20"/>
                <w:szCs w:val="20"/>
              </w:rPr>
              <w:t>).</w:t>
            </w:r>
          </w:p>
        </w:tc>
      </w:tr>
    </w:tbl>
    <w:p w14:paraId="70A4CD79" w14:textId="77777777" w:rsidR="00C1548D" w:rsidRDefault="00C1548D">
      <w:pPr>
        <w:spacing w:line="220" w:lineRule="exact"/>
      </w:pPr>
    </w:p>
    <w:p w14:paraId="70A4CD7A"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D7B" w14:textId="71616851" w:rsidR="00C1548D" w:rsidRDefault="009B1B4B" w:rsidP="009B1B4B">
      <w:pPr>
        <w:pStyle w:val="ListParagraph"/>
        <w:numPr>
          <w:ilvl w:val="0"/>
          <w:numId w:val="1"/>
        </w:numPr>
        <w:spacing w:after="60"/>
      </w:pPr>
      <w:r>
        <w:t>USCIS — L-1, O-1, E-1/E-2 und weitere Arbeitsvisa (</w:t>
      </w:r>
      <w:hyperlink r:id="rId81" w:history="1">
        <w:r>
          <w:rPr>
            <w:color w:val="0563C1"/>
            <w:u w:val="single"/>
          </w:rPr>
          <w:t>uscis.gov/working-in-the-united-states/temporary-workers</w:t>
        </w:r>
      </w:hyperlink>
      <w:r>
        <w:t>)</w:t>
      </w:r>
    </w:p>
    <w:p w14:paraId="70A4CD7C" w14:textId="33684BEF" w:rsidR="00C1548D" w:rsidRDefault="009B1B4B" w:rsidP="009B1B4B">
      <w:pPr>
        <w:pStyle w:val="ListParagraph"/>
        <w:numPr>
          <w:ilvl w:val="0"/>
          <w:numId w:val="1"/>
        </w:numPr>
        <w:spacing w:after="60"/>
      </w:pPr>
      <w:r>
        <w:t>USCIS — Gebührenblatt G-1055 (</w:t>
      </w:r>
      <w:hyperlink r:id="rId82" w:history="1">
        <w:r>
          <w:rPr>
            <w:color w:val="0563C1"/>
            <w:u w:val="single"/>
          </w:rPr>
          <w:t>uscis.gov/g-1055</w:t>
        </w:r>
      </w:hyperlink>
      <w:r>
        <w:t>)</w:t>
      </w:r>
    </w:p>
    <w:p w14:paraId="70A4CD7D" w14:textId="01DCC3C7" w:rsidR="00C1548D" w:rsidRDefault="009B1B4B" w:rsidP="009B1B4B">
      <w:pPr>
        <w:pStyle w:val="ListParagraph"/>
        <w:numPr>
          <w:ilvl w:val="0"/>
          <w:numId w:val="1"/>
        </w:numPr>
        <w:spacing w:after="60"/>
      </w:pPr>
      <w:r>
        <w:t>USCIS — International Entrepreneur Rule (</w:t>
      </w:r>
      <w:hyperlink r:id="rId83" w:history="1">
        <w:r>
          <w:rPr>
            <w:color w:val="0563C1"/>
            <w:u w:val="single"/>
          </w:rPr>
          <w:t>uscis.gov/working-in-the-united-states/international-entrepreneur-rule</w:t>
        </w:r>
      </w:hyperlink>
      <w:r>
        <w:t>)</w:t>
      </w:r>
    </w:p>
    <w:p w14:paraId="70A4CD7E" w14:textId="368D3B6D" w:rsidR="00C1548D" w:rsidRDefault="009B1B4B" w:rsidP="009B1B4B">
      <w:pPr>
        <w:pStyle w:val="ListParagraph"/>
        <w:numPr>
          <w:ilvl w:val="0"/>
          <w:numId w:val="1"/>
        </w:numPr>
        <w:spacing w:after="60"/>
      </w:pPr>
      <w:r>
        <w:t>State Department — J-1-Austauschprogramme (</w:t>
      </w:r>
      <w:hyperlink r:id="rId84" w:history="1">
        <w:r>
          <w:rPr>
            <w:color w:val="0563C1"/>
            <w:u w:val="single"/>
          </w:rPr>
          <w:t>exchanges.state.gov</w:t>
        </w:r>
      </w:hyperlink>
      <w:r>
        <w:t>)</w:t>
      </w:r>
    </w:p>
    <w:p w14:paraId="70A4CD7F" w14:textId="664679D0" w:rsidR="00C1548D" w:rsidRDefault="009B1B4B" w:rsidP="009B1B4B">
      <w:pPr>
        <w:pStyle w:val="ListParagraph"/>
        <w:numPr>
          <w:ilvl w:val="0"/>
          <w:numId w:val="1"/>
        </w:numPr>
        <w:spacing w:after="60"/>
      </w:pPr>
      <w:r>
        <w:lastRenderedPageBreak/>
        <w:t>State Department — B-1-Visum, erlaubte Tätigkeiten (</w:t>
      </w:r>
      <w:hyperlink r:id="rId85" w:history="1">
        <w:r>
          <w:rPr>
            <w:color w:val="0563C1"/>
            <w:u w:val="single"/>
          </w:rPr>
          <w:t>travel.state.gov/content/travel/en/us-visas/business/b-1-fact-sheet.html</w:t>
        </w:r>
      </w:hyperlink>
      <w:r>
        <w:t>)</w:t>
      </w:r>
    </w:p>
    <w:p w14:paraId="70A4CD80" w14:textId="11396719" w:rsidR="00C1548D" w:rsidRDefault="009B1B4B" w:rsidP="009B1B4B">
      <w:pPr>
        <w:pStyle w:val="ListParagraph"/>
        <w:numPr>
          <w:ilvl w:val="0"/>
          <w:numId w:val="1"/>
        </w:numPr>
        <w:spacing w:after="60"/>
      </w:pPr>
      <w:r>
        <w:t>CBP — ESTA und Visa Waiver Program (</w:t>
      </w:r>
      <w:hyperlink r:id="rId86" w:history="1">
        <w:r>
          <w:rPr>
            <w:color w:val="0563C1"/>
            <w:u w:val="single"/>
          </w:rPr>
          <w:t>esta.cbp.dhs.gov</w:t>
        </w:r>
      </w:hyperlink>
      <w:r>
        <w:t xml:space="preserve">, </w:t>
      </w:r>
      <w:hyperlink r:id="rId87" w:history="1">
        <w:r>
          <w:rPr>
            <w:color w:val="0563C1"/>
            <w:u w:val="single"/>
          </w:rPr>
          <w:t>cbp.gov/travel/international-visitors/visa-waiver-program</w:t>
        </w:r>
      </w:hyperlink>
      <w:r>
        <w:t>)</w:t>
      </w:r>
    </w:p>
    <w:p w14:paraId="70A4CD81" w14:textId="24DEDDB0" w:rsidR="00C1548D" w:rsidRDefault="009B1B4B" w:rsidP="009B1B4B">
      <w:pPr>
        <w:pStyle w:val="ListParagraph"/>
        <w:numPr>
          <w:ilvl w:val="0"/>
          <w:numId w:val="1"/>
        </w:numPr>
        <w:spacing w:after="60"/>
      </w:pPr>
      <w:r>
        <w:t>State Department — Diversity-Visa-Anmeldung (</w:t>
      </w:r>
      <w:hyperlink r:id="rId88" w:history="1">
        <w:r>
          <w:rPr>
            <w:color w:val="0563C1"/>
            <w:u w:val="single"/>
          </w:rPr>
          <w:t>dvprogram.state.gov</w:t>
        </w:r>
      </w:hyperlink>
      <w:r>
        <w:t>)</w:t>
      </w:r>
    </w:p>
    <w:p w14:paraId="70A4CD82" w14:textId="26224AB7" w:rsidR="00C1548D" w:rsidRDefault="009B1B4B" w:rsidP="009B1B4B">
      <w:pPr>
        <w:pStyle w:val="ListParagraph"/>
        <w:numPr>
          <w:ilvl w:val="0"/>
          <w:numId w:val="1"/>
        </w:numPr>
        <w:spacing w:after="60"/>
      </w:pPr>
      <w:r>
        <w:t>US-Vertretungen in Deutschland — Visa (</w:t>
      </w:r>
      <w:hyperlink r:id="rId89" w:history="1">
        <w:r>
          <w:rPr>
            <w:color w:val="0563C1"/>
            <w:u w:val="single"/>
          </w:rPr>
          <w:t>de.usembassy.gov</w:t>
        </w:r>
      </w:hyperlink>
      <w:r>
        <w:t>)</w:t>
      </w:r>
    </w:p>
    <w:p w14:paraId="70A4CD83"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8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D84" w14:textId="77777777" w:rsidR="00C1548D" w:rsidRDefault="009B1B4B">
            <w:pPr>
              <w:keepNext/>
              <w:spacing w:after="70" w:line="240" w:lineRule="auto"/>
            </w:pPr>
            <w:r>
              <w:rPr>
                <w:b/>
                <w:bCs/>
                <w:color w:val="6B7280"/>
                <w:spacing w:val="24"/>
                <w:sz w:val="16"/>
                <w:szCs w:val="16"/>
              </w:rPr>
              <w:t>STAND</w:t>
            </w:r>
          </w:p>
          <w:p w14:paraId="70A4CD85" w14:textId="77777777" w:rsidR="00C1548D" w:rsidRDefault="009B1B4B">
            <w:pPr>
              <w:spacing w:after="80" w:line="264" w:lineRule="auto"/>
            </w:pPr>
            <w:r>
              <w:rPr>
                <w:sz w:val="20"/>
                <w:szCs w:val="20"/>
              </w:rPr>
              <w:t>September 2026 (Recherchestand 20.09.2026). Diese Angaben ändern sich schnell: USCIS-Gebühren (G-1055) und Visa Integrity Fee, die Diversity-Visa-Lotterie (DV-2026-Frist 30.09.2026, DV-2027-Start offen), die Klage gegen die Gold Card, die Pflicht zu Social-Media-Angaben bei ESTA (nur vorgeschlagen), der Entwurf zur Abschaffung der 60-Tage-Frist nach Jobverlust (Kommentare bis 10.11.2026) sowie die Regeln zu E-2 und Gründerwegen. Prüfe die offiziellen Seiten vor jeder Entscheidung.</w:t>
            </w:r>
          </w:p>
        </w:tc>
      </w:tr>
    </w:tbl>
    <w:p w14:paraId="70A4CD87" w14:textId="77777777" w:rsidR="00C1548D" w:rsidRDefault="00C1548D">
      <w:pPr>
        <w:spacing w:line="220" w:lineRule="exact"/>
      </w:pPr>
    </w:p>
    <w:p w14:paraId="70A4CD88" w14:textId="77777777" w:rsidR="00C1548D" w:rsidRDefault="009B1B4B">
      <w:pPr>
        <w:pStyle w:val="Heading2"/>
        <w:keepNext/>
        <w:pageBreakBefore/>
        <w:jc w:val="center"/>
      </w:pPr>
      <w:bookmarkStart w:id="27" w:name="k10"/>
      <w:bookmarkStart w:id="28" w:name="_Toc241352460"/>
      <w:r>
        <w:rPr>
          <w:rFonts w:ascii="Amazon Ember" w:eastAsia="Amazon Ember" w:hAnsi="Amazon Ember" w:cs="Amazon Ember"/>
          <w:color w:val="0000FF"/>
          <w:sz w:val="36"/>
          <w:szCs w:val="36"/>
        </w:rPr>
        <w:lastRenderedPageBreak/>
        <w:t>Kapitel 10: Ehepartner und Kinder im Visumssystem</w:t>
      </w:r>
      <w:bookmarkEnd w:id="27"/>
      <w:bookmarkEnd w:id="28"/>
    </w:p>
    <w:p w14:paraId="70A4CD89" w14:textId="77777777" w:rsidR="00C1548D" w:rsidRDefault="009B1B4B">
      <w:pPr>
        <w:spacing w:after="140"/>
      </w:pPr>
      <w:r>
        <w:t xml:space="preserve">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w:t>
      </w:r>
      <w:r>
        <w:t>an eine Altersgrenze stoßen und wie aus dem Mitreisen kein Stillstand wird.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91"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D8A" w14:textId="77777777" w:rsidR="00C1548D" w:rsidRDefault="009B1B4B">
            <w:pPr>
              <w:keepNext/>
              <w:spacing w:after="70" w:line="240" w:lineRule="auto"/>
            </w:pPr>
            <w:r>
              <w:rPr>
                <w:b/>
                <w:bCs/>
                <w:color w:val="1F3A5F"/>
                <w:spacing w:val="24"/>
                <w:sz w:val="16"/>
                <w:szCs w:val="16"/>
              </w:rPr>
              <w:t>KURZ GESAGT</w:t>
            </w:r>
          </w:p>
          <w:p w14:paraId="70A4CD8B" w14:textId="77777777" w:rsidR="00C1548D" w:rsidRDefault="009B1B4B" w:rsidP="009B1B4B">
            <w:pPr>
              <w:pStyle w:val="ListParagraph"/>
              <w:numPr>
                <w:ilvl w:val="0"/>
                <w:numId w:val="1"/>
              </w:numPr>
              <w:spacing w:after="50" w:line="264" w:lineRule="auto"/>
            </w:pPr>
            <w:r>
              <w:rPr>
                <w:sz w:val="20"/>
                <w:szCs w:val="20"/>
              </w:rPr>
              <w:t>Ehepartner und unverheiratete Kinder unter 21 erhalten einen abgeleiteten Status (H-4, L-2, E-2, F-2, J-2, O-3); endet der Status der Hauptperson, endet auch der abgeleitete.</w:t>
            </w:r>
          </w:p>
          <w:p w14:paraId="70A4CD8C" w14:textId="77777777" w:rsidR="00C1548D" w:rsidRDefault="009B1B4B" w:rsidP="009B1B4B">
            <w:pPr>
              <w:pStyle w:val="ListParagraph"/>
              <w:numPr>
                <w:ilvl w:val="0"/>
                <w:numId w:val="1"/>
              </w:numPr>
              <w:spacing w:after="50" w:line="264" w:lineRule="auto"/>
            </w:pPr>
            <w:r>
              <w:rPr>
                <w:sz w:val="20"/>
                <w:szCs w:val="20"/>
              </w:rPr>
              <w:t>Arbeiten darf der Partner bei L-2 und E-2 ohne eigenen Antrag, bei J-2 nach Antrag, bei H-4 nur mit Arbeitserlaubnis (erst nach genehmigter I-140 oder H-1B über sechs Jahre hinaus), bei F-2 und O-3 gar nicht.</w:t>
            </w:r>
          </w:p>
          <w:p w14:paraId="70A4CD8D" w14:textId="77777777" w:rsidR="00C1548D" w:rsidRDefault="009B1B4B" w:rsidP="009B1B4B">
            <w:pPr>
              <w:pStyle w:val="ListParagraph"/>
              <w:numPr>
                <w:ilvl w:val="0"/>
                <w:numId w:val="1"/>
              </w:numPr>
              <w:spacing w:after="50" w:line="264" w:lineRule="auto"/>
            </w:pPr>
            <w:r>
              <w:rPr>
                <w:sz w:val="20"/>
                <w:szCs w:val="20"/>
              </w:rPr>
              <w:t>Mit 21 endet der Status der Kinder (</w:t>
            </w:r>
            <w:r>
              <w:rPr>
                <w:i/>
                <w:iCs/>
                <w:sz w:val="20"/>
                <w:szCs w:val="20"/>
              </w:rPr>
              <w:t>Age-out</w:t>
            </w:r>
            <w:r>
              <w:rPr>
                <w:sz w:val="20"/>
                <w:szCs w:val="20"/>
              </w:rPr>
              <w:t xml:space="preserve">), auch wenn der Status der Eltern weiterläuft. Der </w:t>
            </w:r>
            <w:r>
              <w:rPr>
                <w:i/>
                <w:iCs/>
                <w:sz w:val="20"/>
                <w:szCs w:val="20"/>
              </w:rPr>
              <w:t>Child Status Protection Act</w:t>
            </w:r>
            <w:r>
              <w:rPr>
                <w:sz w:val="20"/>
                <w:szCs w:val="20"/>
              </w:rPr>
              <w:t xml:space="preserve"> schützt die Green-Card-Berechtigung, nicht den H-4.</w:t>
            </w:r>
          </w:p>
          <w:p w14:paraId="70A4CD8E" w14:textId="77777777" w:rsidR="00C1548D" w:rsidRDefault="009B1B4B" w:rsidP="009B1B4B">
            <w:pPr>
              <w:pStyle w:val="ListParagraph"/>
              <w:numPr>
                <w:ilvl w:val="0"/>
                <w:numId w:val="1"/>
              </w:numPr>
              <w:spacing w:after="50" w:line="264" w:lineRule="auto"/>
            </w:pPr>
            <w:r>
              <w:rPr>
                <w:sz w:val="20"/>
                <w:szCs w:val="20"/>
              </w:rPr>
              <w:t>Unverheiratete Paare erhalten keinen Partnerstatus: Wer gemeinsam ausreist, heiratet vorher. Gleichgeschlechtliche Ehen zählen; eine deutsche eingetragene Lebenspartnerschaft zählt nach dem USCIS-Handbuch nicht.</w:t>
            </w:r>
          </w:p>
          <w:p w14:paraId="70A4CD8F" w14:textId="77777777" w:rsidR="00C1548D" w:rsidRDefault="009B1B4B" w:rsidP="009B1B4B">
            <w:pPr>
              <w:pStyle w:val="ListParagraph"/>
              <w:numPr>
                <w:ilvl w:val="0"/>
                <w:numId w:val="1"/>
              </w:numPr>
              <w:spacing w:after="50" w:line="264" w:lineRule="auto"/>
            </w:pPr>
            <w:r>
              <w:rPr>
                <w:sz w:val="20"/>
                <w:szCs w:val="20"/>
              </w:rPr>
              <w:t>Berufsabschlüsse werden nicht bundesweit anerkannt. Lehrkräfte, Pflege und Medizin brauchen eine Lizenz des Bundesstaats; das Verfahren lässt sich oft vor der Arbeitserlaubnis beginnen.</w:t>
            </w:r>
          </w:p>
          <w:p w14:paraId="70A4CD90" w14:textId="3F79BD9B" w:rsidR="00C1548D" w:rsidRDefault="009B1B4B" w:rsidP="009B1B4B">
            <w:pPr>
              <w:pStyle w:val="ListParagraph"/>
              <w:numPr>
                <w:ilvl w:val="0"/>
                <w:numId w:val="1"/>
              </w:numPr>
              <w:spacing w:after="50" w:line="264" w:lineRule="auto"/>
            </w:pPr>
            <w:r>
              <w:rPr>
                <w:sz w:val="20"/>
                <w:szCs w:val="20"/>
              </w:rPr>
              <w:t>Wer nicht arbeiten darf, trägt die größte Last des Umzugs – plane Einkommenslücke und Isolation ein (Kapitel </w:t>
            </w:r>
            <w:hyperlink w:anchor="k32" w:history="1">
              <w:r>
                <w:rPr>
                  <w:sz w:val="20"/>
                  <w:szCs w:val="20"/>
                </w:rPr>
                <w:t>32</w:t>
              </w:r>
            </w:hyperlink>
            <w:r>
              <w:rPr>
                <w:sz w:val="20"/>
                <w:szCs w:val="20"/>
              </w:rPr>
              <w:t xml:space="preserve"> und </w:t>
            </w:r>
            <w:hyperlink w:anchor="k33" w:history="1">
              <w:r>
                <w:rPr>
                  <w:sz w:val="20"/>
                  <w:szCs w:val="20"/>
                </w:rPr>
                <w:t>33</w:t>
              </w:r>
            </w:hyperlink>
            <w:r>
              <w:rPr>
                <w:sz w:val="20"/>
                <w:szCs w:val="20"/>
              </w:rPr>
              <w:t>).</w:t>
            </w:r>
          </w:p>
        </w:tc>
      </w:tr>
    </w:tbl>
    <w:p w14:paraId="70A4CD92" w14:textId="77777777" w:rsidR="00C1548D" w:rsidRDefault="00C1548D">
      <w:pPr>
        <w:spacing w:line="220" w:lineRule="exact"/>
      </w:pPr>
    </w:p>
    <w:p w14:paraId="70A4CD93" w14:textId="77777777" w:rsidR="00C1548D" w:rsidRDefault="009B1B4B">
      <w:pPr>
        <w:pStyle w:val="Heading3"/>
        <w:keepNext/>
        <w:jc w:val="center"/>
      </w:pPr>
      <w:r>
        <w:rPr>
          <w:rFonts w:ascii="Amazon Ember" w:eastAsia="Amazon Ember" w:hAnsi="Amazon Ember" w:cs="Amazon Ember"/>
          <w:color w:val="0000FF"/>
          <w:sz w:val="36"/>
          <w:szCs w:val="36"/>
        </w:rPr>
        <w:lastRenderedPageBreak/>
        <w:t>Wer als Familie zählt</w:t>
      </w:r>
    </w:p>
    <w:p w14:paraId="70A4CD94" w14:textId="7CF4A756" w:rsidR="00C1548D" w:rsidRDefault="009B1B4B">
      <w:pPr>
        <w:spacing w:after="140"/>
      </w:pPr>
      <w: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history="1">
        <w:r>
          <w:t>11</w:t>
        </w:r>
      </w:hyperlink>
      <w:r>
        <w:t>), und erhält einen abgeleiteten Status (</w:t>
      </w:r>
      <w:r>
        <w:rPr>
          <w:i/>
          <w:iCs/>
        </w:rPr>
        <w:t>Dependent Status</w:t>
      </w:r>
      <w:r>
        <w:t>), der so lange gilt wie der Status der Hauptperson und mit ihm endet. Das Visum im Pass ermöglicht die Einreise, den erlaubten Aufenthalt legt der I-94 fest (Kapitel </w:t>
      </w:r>
      <w:hyperlink w:anchor="k5" w:history="1">
        <w:r>
          <w:t>5</w:t>
        </w:r>
      </w:hyperlink>
      <w:r>
        <w:t>). Verliert die Hauptperson die Stelle, läuft für die Familie dieselbe Frist wie für sie (Kapitel </w:t>
      </w:r>
      <w:hyperlink w:anchor="k30" w:history="1">
        <w:r>
          <w:t>30</w:t>
        </w:r>
      </w:hyperlink>
      <w:r>
        <w:t>).</w:t>
      </w:r>
    </w:p>
    <w:p w14:paraId="70A4CD95" w14:textId="1C356438" w:rsidR="00C1548D" w:rsidRDefault="009B1B4B">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Eine deutsche eingetragene Lebenspartnerschaft ist dagegen keine Ehe: Nach dem Handbuch (Band 6, Teil B, Kapitel </w:t>
      </w:r>
      <w:hyperlink w:anchor="k6" w:history="1">
        <w:r>
          <w:t>6</w:t>
        </w:r>
      </w:hyperlink>
      <w:r>
        <w:t>, Stand Oktober 2025) zählen Verbindungen nicht, die am Ort ihrer Begründung nicht als Ehe gelten. Das Standesamt kann sie umwandeln; besprich das mit der Kanzlei, bevor die Anträge laufen.</w:t>
      </w:r>
    </w:p>
    <w:p w14:paraId="70A4CD96" w14:textId="77777777" w:rsidR="00C1548D" w:rsidRDefault="009B1B4B">
      <w:pPr>
        <w:pStyle w:val="Heading3"/>
        <w:keepNext/>
        <w:jc w:val="center"/>
      </w:pPr>
      <w:r>
        <w:rPr>
          <w:rFonts w:ascii="Amazon Ember" w:eastAsia="Amazon Ember" w:hAnsi="Amazon Ember" w:cs="Amazon Ember"/>
          <w:color w:val="0000FF"/>
          <w:sz w:val="36"/>
          <w:szCs w:val="36"/>
        </w:rPr>
        <w:t>Unverheiratet? Dann vorher heiraten</w:t>
      </w:r>
    </w:p>
    <w:p w14:paraId="70A4CD97" w14:textId="0B9BCC23" w:rsidR="00C1548D" w:rsidRDefault="009B1B4B">
      <w:pPr>
        <w:spacing w:after="140"/>
      </w:pPr>
      <w: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history="1">
        <w:r>
          <w:t>5</w:t>
        </w:r>
      </w:hyperlink>
      <w:r>
        <w:t>), ein eigenes Studium (Kapitel </w:t>
      </w:r>
      <w:hyperlink w:anchor="k8" w:history="1">
        <w:r>
          <w:t>8</w:t>
        </w:r>
      </w:hyperlink>
      <w:r>
        <w:t xml:space="preserve">) oder Besuche mit ESTA (bis zu 90 Tage, ohne Arbeit; </w:t>
      </w:r>
      <w:r>
        <w:t>Kapitel </w:t>
      </w:r>
      <w:hyperlink w:anchor="k9" w:history="1">
        <w:r>
          <w:t>9</w:t>
        </w:r>
      </w:hyperlink>
      <w:r>
        <w:t>). Für ein gemeinsames Leben über Jahre taugt das selten.</w:t>
      </w:r>
    </w:p>
    <w:p w14:paraId="70A4CD98" w14:textId="74234090" w:rsidR="00C1548D" w:rsidRDefault="009B1B4B">
      <w:pPr>
        <w:spacing w:after="140"/>
      </w:pPr>
      <w:r>
        <w:lastRenderedPageBreak/>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history="1">
        <w:r>
          <w:t>19</w:t>
        </w:r>
      </w:hyperlink>
      <w:r>
        <w:t>. Kinder unverheirateter Eltern können ebenfalls mitreisen; für die Vaterschaft verlangen die Behörden Nachweise (frage die Kanzlei).</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9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D99" w14:textId="77777777" w:rsidR="00C1548D" w:rsidRDefault="009B1B4B">
            <w:pPr>
              <w:keepNext/>
              <w:spacing w:after="70" w:line="240" w:lineRule="auto"/>
            </w:pPr>
            <w:r>
              <w:rPr>
                <w:b/>
                <w:bCs/>
                <w:color w:val="9B2C2C"/>
                <w:spacing w:val="24"/>
                <w:sz w:val="16"/>
                <w:szCs w:val="16"/>
              </w:rPr>
              <w:t>ACHTUNG</w:t>
            </w:r>
          </w:p>
          <w:p w14:paraId="70A4CD9A" w14:textId="77777777" w:rsidR="00C1548D" w:rsidRDefault="009B1B4B">
            <w:pPr>
              <w:spacing w:after="80" w:line="264" w:lineRule="auto"/>
            </w:pPr>
            <w:r>
              <w:rPr>
                <w:sz w:val="20"/>
                <w:szCs w:val="20"/>
              </w:rPr>
              <w:t>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tc>
      </w:tr>
    </w:tbl>
    <w:p w14:paraId="70A4CD9C" w14:textId="77777777" w:rsidR="00C1548D" w:rsidRDefault="00C1548D">
      <w:pPr>
        <w:spacing w:line="220" w:lineRule="exact"/>
      </w:pPr>
    </w:p>
    <w:p w14:paraId="70A4CD9D" w14:textId="77777777" w:rsidR="00C1548D" w:rsidRDefault="009B1B4B">
      <w:pPr>
        <w:pStyle w:val="Heading3"/>
        <w:keepNext/>
        <w:jc w:val="center"/>
      </w:pPr>
      <w:r>
        <w:rPr>
          <w:rFonts w:ascii="Amazon Ember" w:eastAsia="Amazon Ember" w:hAnsi="Amazon Ember" w:cs="Amazon Ember"/>
          <w:color w:val="0000FF"/>
          <w:sz w:val="36"/>
          <w:szCs w:val="36"/>
        </w:rPr>
        <w:t>Die Status im Überblick</w:t>
      </w:r>
    </w:p>
    <w:p w14:paraId="70A4CD9E" w14:textId="77777777" w:rsidR="00C1548D" w:rsidRDefault="009B1B4B">
      <w:pPr>
        <w:spacing w:after="140"/>
      </w:pPr>
      <w:r>
        <w:t>Die Tabelle zeigt die Regel für Angehörige (Stand September 2026). Wer einen eigenen Status hat, etwa einen eigenen H-1B, folgt den Regeln dieses Status.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915"/>
        <w:gridCol w:w="1486"/>
        <w:gridCol w:w="2129"/>
      </w:tblGrid>
      <w:tr w:rsidR="00C1548D" w14:paraId="70A4CDA3"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D9F" w14:textId="77777777" w:rsidR="00C1548D" w:rsidRDefault="009B1B4B">
            <w:pPr>
              <w:spacing w:line="250" w:lineRule="auto"/>
            </w:pPr>
            <w:r>
              <w:rPr>
                <w:b/>
                <w:bCs/>
                <w:sz w:val="18"/>
                <w:szCs w:val="18"/>
              </w:rPr>
              <w:t>Status</w:t>
            </w:r>
          </w:p>
        </w:tc>
        <w:tc>
          <w:tcPr>
            <w:tcW w:w="191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DA0" w14:textId="77777777" w:rsidR="00C1548D" w:rsidRDefault="009B1B4B">
            <w:pPr>
              <w:spacing w:line="250" w:lineRule="auto"/>
            </w:pPr>
            <w:r>
              <w:rPr>
                <w:b/>
                <w:bCs/>
                <w:sz w:val="18"/>
                <w:szCs w:val="18"/>
              </w:rPr>
              <w:t>Partner darf arbeiten?</w:t>
            </w:r>
          </w:p>
        </w:tc>
        <w:tc>
          <w:tcPr>
            <w:tcW w:w="148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DA1" w14:textId="77777777" w:rsidR="00C1548D" w:rsidRDefault="009B1B4B">
            <w:pPr>
              <w:spacing w:line="250" w:lineRule="auto"/>
            </w:pPr>
            <w:r>
              <w:rPr>
                <w:b/>
                <w:bCs/>
                <w:sz w:val="18"/>
                <w:szCs w:val="18"/>
              </w:rPr>
              <w:t>Kinder unter 21</w:t>
            </w:r>
          </w:p>
        </w:tc>
        <w:tc>
          <w:tcPr>
            <w:tcW w:w="212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DA2" w14:textId="77777777" w:rsidR="00C1548D" w:rsidRDefault="009B1B4B">
            <w:pPr>
              <w:spacing w:line="250" w:lineRule="auto"/>
            </w:pPr>
            <w:r>
              <w:rPr>
                <w:b/>
                <w:bCs/>
                <w:sz w:val="18"/>
                <w:szCs w:val="18"/>
              </w:rPr>
              <w:t>Besonderheiten</w:t>
            </w:r>
          </w:p>
        </w:tc>
      </w:tr>
      <w:tr w:rsidR="00C1548D" w14:paraId="70A4CDA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A4" w14:textId="77777777" w:rsidR="00C1548D" w:rsidRDefault="009B1B4B">
            <w:pPr>
              <w:spacing w:line="250" w:lineRule="auto"/>
            </w:pPr>
            <w:r>
              <w:rPr>
                <w:sz w:val="18"/>
                <w:szCs w:val="18"/>
              </w:rPr>
              <w:t>H-4 (zu H-1B)</w:t>
            </w:r>
          </w:p>
        </w:tc>
        <w:tc>
          <w:tcPr>
            <w:tcW w:w="19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A5" w14:textId="77777777" w:rsidR="00C1548D" w:rsidRDefault="009B1B4B">
            <w:pPr>
              <w:spacing w:line="250" w:lineRule="auto"/>
            </w:pPr>
            <w:r>
              <w:rPr>
                <w:sz w:val="18"/>
                <w:szCs w:val="18"/>
              </w:rPr>
              <w:t>Nur mit Arbeitserlaubnis (H-4-EAD), erst nach genehmigter I-140 oder H-1B über 6 Jahre</w:t>
            </w:r>
          </w:p>
        </w:tc>
        <w:tc>
          <w:tcPr>
            <w:tcW w:w="14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A6" w14:textId="77777777" w:rsidR="00C1548D" w:rsidRDefault="009B1B4B">
            <w:pPr>
              <w:spacing w:line="250" w:lineRule="auto"/>
            </w:pPr>
            <w:r>
              <w:rPr>
                <w:sz w:val="18"/>
                <w:szCs w:val="18"/>
              </w:rPr>
              <w:t>Schule und Studium ja, Arbeit nein</w:t>
            </w:r>
          </w:p>
        </w:tc>
        <w:tc>
          <w:tcPr>
            <w:tcW w:w="2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A7" w14:textId="77777777" w:rsidR="00C1548D" w:rsidRDefault="009B1B4B">
            <w:pPr>
              <w:spacing w:line="250" w:lineRule="auto"/>
            </w:pPr>
            <w:r>
              <w:rPr>
                <w:sz w:val="18"/>
                <w:szCs w:val="18"/>
              </w:rPr>
              <w:t>Kein Job in den ersten Jahren; I-765: 520 $ Papier, 470 $ online</w:t>
            </w:r>
          </w:p>
        </w:tc>
      </w:tr>
      <w:tr w:rsidR="00C1548D" w14:paraId="70A4CDA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A9" w14:textId="77777777" w:rsidR="00C1548D" w:rsidRDefault="009B1B4B">
            <w:pPr>
              <w:spacing w:line="250" w:lineRule="auto"/>
            </w:pPr>
            <w:r>
              <w:rPr>
                <w:sz w:val="18"/>
                <w:szCs w:val="18"/>
              </w:rPr>
              <w:t>L-2 (zu L-1)</w:t>
            </w:r>
          </w:p>
        </w:tc>
        <w:tc>
          <w:tcPr>
            <w:tcW w:w="19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AA" w14:textId="77777777" w:rsidR="00C1548D" w:rsidRDefault="009B1B4B">
            <w:pPr>
              <w:spacing w:line="250" w:lineRule="auto"/>
            </w:pPr>
            <w:r>
              <w:rPr>
                <w:sz w:val="18"/>
                <w:szCs w:val="18"/>
              </w:rPr>
              <w:t>Ja, ohne Antrag; I-94 mit Kennung L-2S genügt</w:t>
            </w:r>
          </w:p>
        </w:tc>
        <w:tc>
          <w:tcPr>
            <w:tcW w:w="14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AB" w14:textId="77777777" w:rsidR="00C1548D" w:rsidRDefault="009B1B4B">
            <w:pPr>
              <w:spacing w:line="250" w:lineRule="auto"/>
            </w:pPr>
            <w:r>
              <w:rPr>
                <w:sz w:val="18"/>
                <w:szCs w:val="18"/>
              </w:rPr>
              <w:t>Schule ja, Arbeit nein</w:t>
            </w:r>
          </w:p>
        </w:tc>
        <w:tc>
          <w:tcPr>
            <w:tcW w:w="2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AC" w14:textId="77777777" w:rsidR="00C1548D" w:rsidRDefault="009B1B4B">
            <w:pPr>
              <w:spacing w:line="250" w:lineRule="auto"/>
            </w:pPr>
            <w:r>
              <w:rPr>
                <w:sz w:val="18"/>
                <w:szCs w:val="18"/>
              </w:rPr>
              <w:t>Lizenzpflichtige Berufe brauchen trotzdem eine Lizenz</w:t>
            </w:r>
          </w:p>
        </w:tc>
      </w:tr>
      <w:tr w:rsidR="00C1548D" w14:paraId="70A4CDB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AE" w14:textId="77777777" w:rsidR="00C1548D" w:rsidRDefault="009B1B4B">
            <w:pPr>
              <w:spacing w:line="250" w:lineRule="auto"/>
            </w:pPr>
            <w:r>
              <w:rPr>
                <w:sz w:val="18"/>
                <w:szCs w:val="18"/>
              </w:rPr>
              <w:t>E-2 (zu E-2-Investor)</w:t>
            </w:r>
          </w:p>
        </w:tc>
        <w:tc>
          <w:tcPr>
            <w:tcW w:w="19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AF" w14:textId="77777777" w:rsidR="00C1548D" w:rsidRDefault="009B1B4B">
            <w:pPr>
              <w:spacing w:line="250" w:lineRule="auto"/>
            </w:pPr>
            <w:r>
              <w:rPr>
                <w:sz w:val="18"/>
                <w:szCs w:val="18"/>
              </w:rPr>
              <w:t>Ja, ohne Antrag</w:t>
            </w:r>
          </w:p>
        </w:tc>
        <w:tc>
          <w:tcPr>
            <w:tcW w:w="14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0" w14:textId="77777777" w:rsidR="00C1548D" w:rsidRDefault="009B1B4B">
            <w:pPr>
              <w:spacing w:line="250" w:lineRule="auto"/>
            </w:pPr>
            <w:r>
              <w:rPr>
                <w:sz w:val="18"/>
                <w:szCs w:val="18"/>
              </w:rPr>
              <w:t>Schule ja, Arbeit nein</w:t>
            </w:r>
          </w:p>
        </w:tc>
        <w:tc>
          <w:tcPr>
            <w:tcW w:w="2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1" w14:textId="77777777" w:rsidR="00C1548D" w:rsidRDefault="009B1B4B">
            <w:pPr>
              <w:spacing w:line="250" w:lineRule="auto"/>
            </w:pPr>
            <w:r>
              <w:rPr>
                <w:sz w:val="18"/>
                <w:szCs w:val="18"/>
              </w:rPr>
              <w:t>Status hängt am laufenden Unternehmen</w:t>
            </w:r>
          </w:p>
        </w:tc>
      </w:tr>
      <w:tr w:rsidR="00C1548D" w14:paraId="70A4CDB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3" w14:textId="77777777" w:rsidR="00C1548D" w:rsidRDefault="009B1B4B">
            <w:pPr>
              <w:spacing w:line="250" w:lineRule="auto"/>
            </w:pPr>
            <w:r>
              <w:rPr>
                <w:sz w:val="18"/>
                <w:szCs w:val="18"/>
              </w:rPr>
              <w:lastRenderedPageBreak/>
              <w:t>F-2 (zu F-1)</w:t>
            </w:r>
          </w:p>
        </w:tc>
        <w:tc>
          <w:tcPr>
            <w:tcW w:w="19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4" w14:textId="77777777" w:rsidR="00C1548D" w:rsidRDefault="009B1B4B">
            <w:pPr>
              <w:spacing w:line="250" w:lineRule="auto"/>
            </w:pPr>
            <w:r>
              <w:rPr>
                <w:sz w:val="18"/>
                <w:szCs w:val="18"/>
              </w:rPr>
              <w:t>Nein; nur Freizeitstudium in Teilzeit</w:t>
            </w:r>
          </w:p>
        </w:tc>
        <w:tc>
          <w:tcPr>
            <w:tcW w:w="14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5" w14:textId="77777777" w:rsidR="00C1548D" w:rsidRDefault="009B1B4B">
            <w:pPr>
              <w:spacing w:line="250" w:lineRule="auto"/>
            </w:pPr>
            <w:r>
              <w:rPr>
                <w:sz w:val="18"/>
                <w:szCs w:val="18"/>
              </w:rPr>
              <w:t>Schule in Vollzeit</w:t>
            </w:r>
          </w:p>
        </w:tc>
        <w:tc>
          <w:tcPr>
            <w:tcW w:w="2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6" w14:textId="77777777" w:rsidR="00C1548D" w:rsidRDefault="009B1B4B">
            <w:pPr>
              <w:spacing w:line="250" w:lineRule="auto"/>
            </w:pPr>
            <w:r>
              <w:rPr>
                <w:sz w:val="18"/>
                <w:szCs w:val="18"/>
              </w:rPr>
              <w:t>Wechsel in F-1 per I-539 möglich</w:t>
            </w:r>
          </w:p>
        </w:tc>
      </w:tr>
      <w:tr w:rsidR="00C1548D" w14:paraId="70A4CDB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8" w14:textId="77777777" w:rsidR="00C1548D" w:rsidRDefault="009B1B4B">
            <w:pPr>
              <w:spacing w:line="250" w:lineRule="auto"/>
            </w:pPr>
            <w:r>
              <w:rPr>
                <w:sz w:val="18"/>
                <w:szCs w:val="18"/>
              </w:rPr>
              <w:t>J-2 (zu J-1)</w:t>
            </w:r>
          </w:p>
        </w:tc>
        <w:tc>
          <w:tcPr>
            <w:tcW w:w="19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9" w14:textId="77777777" w:rsidR="00C1548D" w:rsidRDefault="009B1B4B">
            <w:pPr>
              <w:spacing w:line="250" w:lineRule="auto"/>
            </w:pPr>
            <w:r>
              <w:rPr>
                <w:sz w:val="18"/>
                <w:szCs w:val="18"/>
              </w:rPr>
              <w:t>Ja, nach Antrag (I-765)</w:t>
            </w:r>
          </w:p>
        </w:tc>
        <w:tc>
          <w:tcPr>
            <w:tcW w:w="14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A" w14:textId="77777777" w:rsidR="00C1548D" w:rsidRDefault="009B1B4B">
            <w:pPr>
              <w:spacing w:line="250" w:lineRule="auto"/>
            </w:pPr>
            <w:r>
              <w:rPr>
                <w:sz w:val="18"/>
                <w:szCs w:val="18"/>
              </w:rPr>
              <w:t>Schule ja; Antrag auf Arbeitserlaubnis möglich</w:t>
            </w:r>
          </w:p>
        </w:tc>
        <w:tc>
          <w:tcPr>
            <w:tcW w:w="2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B" w14:textId="77777777" w:rsidR="00C1548D" w:rsidRDefault="009B1B4B">
            <w:pPr>
              <w:spacing w:line="250" w:lineRule="auto"/>
            </w:pPr>
            <w:r>
              <w:rPr>
                <w:sz w:val="18"/>
                <w:szCs w:val="18"/>
              </w:rPr>
              <w:t>Einkommen darf die J-1-Person nicht unterhalten</w:t>
            </w:r>
          </w:p>
        </w:tc>
      </w:tr>
      <w:tr w:rsidR="00C1548D" w14:paraId="70A4CDC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D" w14:textId="77777777" w:rsidR="00C1548D" w:rsidRDefault="009B1B4B">
            <w:pPr>
              <w:spacing w:line="250" w:lineRule="auto"/>
            </w:pPr>
            <w:r>
              <w:rPr>
                <w:sz w:val="18"/>
                <w:szCs w:val="18"/>
              </w:rPr>
              <w:t>O-3 (zu O-1)</w:t>
            </w:r>
          </w:p>
        </w:tc>
        <w:tc>
          <w:tcPr>
            <w:tcW w:w="19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E" w14:textId="77777777" w:rsidR="00C1548D" w:rsidRDefault="009B1B4B">
            <w:pPr>
              <w:spacing w:line="250" w:lineRule="auto"/>
            </w:pPr>
            <w:r>
              <w:rPr>
                <w:sz w:val="18"/>
                <w:szCs w:val="18"/>
              </w:rPr>
              <w:t>Nein</w:t>
            </w:r>
          </w:p>
        </w:tc>
        <w:tc>
          <w:tcPr>
            <w:tcW w:w="14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BF" w14:textId="77777777" w:rsidR="00C1548D" w:rsidRDefault="009B1B4B">
            <w:pPr>
              <w:spacing w:line="250" w:lineRule="auto"/>
            </w:pPr>
            <w:r>
              <w:rPr>
                <w:sz w:val="18"/>
                <w:szCs w:val="18"/>
              </w:rPr>
              <w:t>Schule ja, Arbeit nein</w:t>
            </w:r>
          </w:p>
        </w:tc>
        <w:tc>
          <w:tcPr>
            <w:tcW w:w="2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C0" w14:textId="77777777" w:rsidR="00C1548D" w:rsidRDefault="009B1B4B">
            <w:pPr>
              <w:spacing w:line="250" w:lineRule="auto"/>
            </w:pPr>
            <w:r>
              <w:rPr>
                <w:sz w:val="18"/>
                <w:szCs w:val="18"/>
              </w:rPr>
              <w:t>Studium erlaubt</w:t>
            </w:r>
          </w:p>
        </w:tc>
      </w:tr>
    </w:tbl>
    <w:p w14:paraId="70A4CDC2" w14:textId="77777777" w:rsidR="00C1548D" w:rsidRDefault="00C1548D">
      <w:pPr>
        <w:spacing w:line="180" w:lineRule="exact"/>
      </w:pPr>
    </w:p>
    <w:p w14:paraId="70A4CDC3" w14:textId="0AA78AF8" w:rsidR="00C1548D" w:rsidRDefault="009B1B4B">
      <w:pPr>
        <w:spacing w:after="140"/>
      </w:pPr>
      <w:r>
        <w:t>Schulbesuch ist in allen diesen Status erlaubt (Kapitel </w:t>
      </w:r>
      <w:hyperlink w:anchor="k36" w:history="1">
        <w:r>
          <w:t>36</w:t>
        </w:r>
      </w:hyperlink>
      <w:r>
        <w:t>).</w:t>
      </w:r>
    </w:p>
    <w:p w14:paraId="70A4CDC4" w14:textId="77777777" w:rsidR="00C1548D" w:rsidRDefault="009B1B4B">
      <w:pPr>
        <w:pStyle w:val="Heading3"/>
        <w:keepNext/>
        <w:jc w:val="center"/>
      </w:pPr>
      <w:r>
        <w:rPr>
          <w:rFonts w:ascii="Amazon Ember" w:eastAsia="Amazon Ember" w:hAnsi="Amazon Ember" w:cs="Amazon Ember"/>
          <w:color w:val="0000FF"/>
          <w:sz w:val="36"/>
          <w:szCs w:val="36"/>
        </w:rPr>
        <w:t>H-4 und H-4-Arbeitserlaubnis</w:t>
      </w:r>
    </w:p>
    <w:p w14:paraId="70A4CDC5" w14:textId="096CAD4E" w:rsidR="00C1548D" w:rsidRDefault="009B1B4B">
      <w:pPr>
        <w:spacing w:after="140"/>
      </w:pPr>
      <w: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history="1">
        <w:r>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history="1">
        <w:r>
          <w:t>24</w:t>
        </w:r>
      </w:hyperlink>
      <w:r>
        <w:t>). Die Krankenversicherung für Partner und Kinder läuft meist über den Arbeitgeberplan der Hauptperson (Kapitel </w:t>
      </w:r>
      <w:hyperlink w:anchor="k26" w:history="1">
        <w:r>
          <w:t>26</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C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DC6" w14:textId="77777777" w:rsidR="00C1548D" w:rsidRDefault="009B1B4B">
            <w:pPr>
              <w:keepNext/>
              <w:spacing w:after="70" w:line="240" w:lineRule="auto"/>
            </w:pPr>
            <w:r>
              <w:rPr>
                <w:b/>
                <w:bCs/>
                <w:color w:val="9B2C2C"/>
                <w:spacing w:val="24"/>
                <w:sz w:val="16"/>
                <w:szCs w:val="16"/>
              </w:rPr>
              <w:t>ACHTUNG</w:t>
            </w:r>
          </w:p>
          <w:p w14:paraId="70A4CDC7" w14:textId="77777777" w:rsidR="00C1548D" w:rsidRDefault="009B1B4B">
            <w:pPr>
              <w:spacing w:after="80" w:line="264" w:lineRule="auto"/>
            </w:pPr>
            <w:r>
              <w:rPr>
                <w:sz w:val="20"/>
                <w:szCs w:val="20"/>
              </w:rPr>
              <w:t>Arbeit ohne gültige Erlaubnis gefährdet deinen Status und kann spätere Anträge belasten. Echtes Ehrenamt bei einer gemeinnützigen Einrichtung ist in der Regel möglich, solange es unbezahlt ist und keine bezahlte Stelle ersetzt – im Zweifel fragst du vorher die Kanzlei.</w:t>
            </w:r>
          </w:p>
        </w:tc>
      </w:tr>
    </w:tbl>
    <w:p w14:paraId="70A4CDC9" w14:textId="77777777" w:rsidR="00C1548D" w:rsidRDefault="00C1548D">
      <w:pPr>
        <w:spacing w:line="220" w:lineRule="exact"/>
      </w:pPr>
    </w:p>
    <w:p w14:paraId="70A4CDCA" w14:textId="77777777" w:rsidR="00C1548D" w:rsidRDefault="009B1B4B">
      <w:pPr>
        <w:pStyle w:val="Heading4"/>
        <w:keepNext/>
        <w:jc w:val="center"/>
      </w:pPr>
      <w:r>
        <w:rPr>
          <w:rFonts w:ascii="Amazon Ember" w:eastAsia="Amazon Ember" w:hAnsi="Amazon Ember" w:cs="Amazon Ember"/>
          <w:color w:val="0000FF"/>
          <w:sz w:val="36"/>
          <w:szCs w:val="36"/>
        </w:rPr>
        <w:lastRenderedPageBreak/>
        <w:t>Wann es eine Arbeitserlaubnis gibt</w:t>
      </w:r>
    </w:p>
    <w:p w14:paraId="70A4CDCB" w14:textId="48EBD088" w:rsidR="00C1548D" w:rsidRDefault="009B1B4B">
      <w:pPr>
        <w:spacing w:after="140"/>
      </w:pPr>
      <w:r>
        <w:t>Die Arbeitserlaubnis (</w:t>
      </w:r>
      <w:r>
        <w:rPr>
          <w:i/>
          <w:iCs/>
        </w:rPr>
        <w:t>Employment Authorization Document</w:t>
      </w:r>
      <w:r>
        <w:t>, EAD) erhalten H-4-Ehepartner nur, wenn der H-1B-Inhaber eine genehmigte I-140 hat – also die Einwanderungspetition seines Arbeitgebers im Green-Card-Verfahren (Kapitel </w:t>
      </w:r>
      <w:hyperlink w:anchor="k6" w:history="1">
        <w:r>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w14:paraId="70A4CDCC" w14:textId="2115ECD9" w:rsidR="00C1548D" w:rsidRDefault="009B1B4B">
      <w:pPr>
        <w:spacing w:after="140"/>
      </w:pPr>
      <w:r>
        <w:t>Wie lange das dauert, hängt vom Start des Green-Card-Verfahrens ab. Beginnt der Arbeitgeber am ersten Tag, vergehen nach den Zeiten aus Kapitel </w:t>
      </w:r>
      <w:hyperlink w:anchor="k6" w:history="1">
        <w:r>
          <w:t>6</w:t>
        </w:r>
      </w:hyperlink>
      <w:r>
        <w:t xml:space="preserve"> gut anderthalb Jahre bis zur genehmigten I-140 (eigene Rechnung: Lohnfestlegung etwa vier Monate, Stellenanzeigen zwei bis drei, Prüfung beim Arbeitsministerium im August 2026 im Schnitt 336 Tage, dazu die I-140). Startet das Verfahren später, verschiebt sich alles – rechne mit mindestens zwei Jahren ohne zweites Einkommen (zum richtigen Startzeitpunkt: Kapitel </w:t>
      </w:r>
      <w:hyperlink w:anchor="k7" w:history="1">
        <w:r>
          <w:t>7</w:t>
        </w:r>
      </w:hyperlink>
      <w:r>
        <w:t>).</w:t>
      </w:r>
    </w:p>
    <w:p w14:paraId="70A4CDCD" w14:textId="24B4C04A" w:rsidR="00C1548D" w:rsidRDefault="009B1B4B">
      <w:pPr>
        <w:spacing w:after="140"/>
      </w:pPr>
      <w:r>
        <w:t>Seit dem 30. Oktober 2025 gibt es für Verlängerungsanträge keine automatische Verlängerung der Arbeitserlaubnis mehr (früher bis zu 540 Tage). Den Antrag darfst du bis zu 180 Tage vor Ablauf stellen; aktuelle Bearbeitungszeiten stehen auf uscis.gov („Processing Times“). Für H-4-Anträge gilt außerdem seit dem 15. Dezember 2025 die Prüfung von Online-Profilen (Kapitel </w:t>
      </w:r>
      <w:hyperlink w:anchor="k11" w:history="1">
        <w:r>
          <w:t>11</w:t>
        </w:r>
      </w:hyperlink>
      <w:r>
        <w:t>). Wird der H-1B im Inland verlängert, verlängerst du den H-4 mit Form I-539 (470 $ Papier, 420 $ online), für jede Person einzeln. Ob die Arbeitserlaubnis nach einem Jobverlust der Hauptperson weitergilt, bestätigt dir die Kanzlei (Kapitel </w:t>
      </w:r>
      <w:hyperlink w:anchor="k30" w:history="1">
        <w:r>
          <w:t>30</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D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DCE" w14:textId="77777777" w:rsidR="00C1548D" w:rsidRDefault="009B1B4B">
            <w:pPr>
              <w:keepNext/>
              <w:spacing w:after="70" w:line="240" w:lineRule="auto"/>
            </w:pPr>
            <w:r>
              <w:rPr>
                <w:b/>
                <w:bCs/>
                <w:color w:val="9B2C2C"/>
                <w:spacing w:val="24"/>
                <w:sz w:val="16"/>
                <w:szCs w:val="16"/>
              </w:rPr>
              <w:lastRenderedPageBreak/>
              <w:t>ACHTUNG</w:t>
            </w:r>
          </w:p>
          <w:p w14:paraId="70A4CDCF" w14:textId="77777777" w:rsidR="00C1548D" w:rsidRDefault="009B1B4B">
            <w:pPr>
              <w:spacing w:after="80" w:line="264" w:lineRule="auto"/>
            </w:pPr>
            <w:r>
              <w:rPr>
                <w:sz w:val="20"/>
                <w:szCs w:val="20"/>
              </w:rPr>
              <w:t>Reiche die Verlängerung der Arbeitserlaubnis so früh ein, wie es erlaubt ist, also 180 Tage vor Ablauf. Jeder Tag zwischen Ablaufdatum und neuer Karte ist Arbeitsverbot: Der Arbeitgeber darf dich dann nicht beschäftigen, und dein Gehalt fällt aus.</w:t>
            </w:r>
          </w:p>
        </w:tc>
      </w:tr>
    </w:tbl>
    <w:p w14:paraId="70A4CDD1" w14:textId="77777777" w:rsidR="00C1548D" w:rsidRDefault="00C1548D">
      <w:pPr>
        <w:spacing w:line="220" w:lineRule="exact"/>
      </w:pPr>
    </w:p>
    <w:p w14:paraId="70A4CDD2" w14:textId="77777777" w:rsidR="00C1548D" w:rsidRDefault="009B1B4B">
      <w:pPr>
        <w:pStyle w:val="Heading4"/>
        <w:keepNext/>
        <w:jc w:val="center"/>
      </w:pPr>
      <w:r>
        <w:rPr>
          <w:rFonts w:ascii="Amazon Ember" w:eastAsia="Amazon Ember" w:hAnsi="Amazon Ember" w:cs="Amazon Ember"/>
          <w:color w:val="0000FF"/>
          <w:sz w:val="36"/>
          <w:szCs w:val="36"/>
        </w:rPr>
        <w:t>Was sich ändern könnte</w:t>
      </w:r>
    </w:p>
    <w:p w14:paraId="70A4CDD3" w14:textId="77777777" w:rsidR="00C1548D" w:rsidRDefault="009B1B4B">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w:t>
      </w:r>
      <w:r>
        <w:t xml:space="preserve"> September 2026 nicht veröffentlicht. Offen ist, wen es träfe und ob bestehende Karten bis zum Ablauf weitergelten würden – ähnliche Pläne aus dem Jahr 2017 wurden nie umgesetzt, in Kraft ist nichts. Behandle die Arbeitserlaubnis dennoch als Zugabe, nicht als Grundlage: Das Familienbudget sollte mit einem Einkommen tragen.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D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DD4" w14:textId="77777777" w:rsidR="00C1548D" w:rsidRDefault="009B1B4B">
            <w:pPr>
              <w:keepNext/>
              <w:spacing w:after="70" w:line="240" w:lineRule="auto"/>
            </w:pPr>
            <w:r>
              <w:rPr>
                <w:b/>
                <w:bCs/>
                <w:color w:val="6B7280"/>
                <w:spacing w:val="24"/>
                <w:sz w:val="16"/>
                <w:szCs w:val="16"/>
              </w:rPr>
              <w:t>KEIN RECHTSRAT</w:t>
            </w:r>
          </w:p>
          <w:p w14:paraId="70A4CDD5" w14:textId="02E3895E" w:rsidR="00C1548D" w:rsidRDefault="009B1B4B">
            <w:pPr>
              <w:spacing w:after="80" w:line="264" w:lineRule="auto"/>
            </w:pPr>
            <w:r>
              <w:rPr>
                <w:sz w:val="20"/>
                <w:szCs w:val="20"/>
              </w:rPr>
              <w:t>Dieses Kapitel beschreibt Regeln und Praxis, ersetzt aber keine Beratung durch eine Einwanderungsanwältin oder einen Einwanderungsanwalt. Wie du jemanden findest, steht in Kapitel </w:t>
            </w:r>
            <w:hyperlink w:anchor="k11" w:history="1">
              <w:r>
                <w:rPr>
                  <w:sz w:val="20"/>
                  <w:szCs w:val="20"/>
                </w:rPr>
                <w:t>11</w:t>
              </w:r>
            </w:hyperlink>
            <w:r>
              <w:rPr>
                <w:sz w:val="20"/>
                <w:szCs w:val="20"/>
              </w:rPr>
              <w:t>.</w:t>
            </w:r>
          </w:p>
        </w:tc>
      </w:tr>
    </w:tbl>
    <w:p w14:paraId="70A4CDD7" w14:textId="77777777" w:rsidR="00C1548D" w:rsidRDefault="00C1548D">
      <w:pPr>
        <w:spacing w:line="220" w:lineRule="exact"/>
      </w:pPr>
    </w:p>
    <w:p w14:paraId="70A4CDD8" w14:textId="77777777" w:rsidR="00C1548D" w:rsidRDefault="009B1B4B">
      <w:pPr>
        <w:pStyle w:val="Heading3"/>
        <w:keepNext/>
        <w:jc w:val="center"/>
      </w:pPr>
      <w:r>
        <w:rPr>
          <w:rFonts w:ascii="Amazon Ember" w:eastAsia="Amazon Ember" w:hAnsi="Amazon Ember" w:cs="Amazon Ember"/>
          <w:color w:val="0000FF"/>
          <w:sz w:val="36"/>
          <w:szCs w:val="36"/>
        </w:rPr>
        <w:t>L-2, E-2, F-2 und J-2: die anderen Status</w:t>
      </w:r>
    </w:p>
    <w:p w14:paraId="70A4CDD9" w14:textId="77777777" w:rsidR="00C1548D" w:rsidRDefault="009B1B4B">
      <w:pPr>
        <w:spacing w:after="140"/>
      </w:pPr>
      <w:r>
        <w:rPr>
          <w:b/>
          <w:bCs/>
        </w:rPr>
        <w:t>L-2 und E-2.</w:t>
      </w:r>
      <w:r>
        <w:t xml:space="preserve"> Ehepartner von L-1- und E-2-Inhabern gelten als </w:t>
      </w:r>
      <w:r>
        <w:rPr>
          <w:i/>
          <w:iCs/>
        </w:rPr>
        <w:t>employment authorized incident to status</w:t>
      </w:r>
      <w:r>
        <w:t xml:space="preserve">, also allein wegen ihres Status als arbeitsberechtigt. Nach USCIS genügt als Nachweis ein gültiger I-94 mit der Kennung L-2S, für E-2 gilt dasselbe Prinzip mit der Kennung E-2S. Eine Arbeitserlaubniskarte kannst du zusätzlich </w:t>
      </w:r>
      <w:r>
        <w:lastRenderedPageBreak/>
        <w:t>beantragen (Form I-765), musst es aber nicht. Prüfe nach der Landung im I-94-Portal des Grenzschutzes (i94.cbp.dhs.gov), ob die Kennung mit dem „S“ eingetragen ist, und kläre Abweichungen sofort mit der Kanzlei. Der Partner darf bei jedem Arbeitgeber arbeiten, Kinder dürfen es nicht.</w:t>
      </w:r>
    </w:p>
    <w:p w14:paraId="70A4CDDA" w14:textId="659E2081" w:rsidR="00C1548D" w:rsidRDefault="009B1B4B">
      <w:pPr>
        <w:spacing w:after="140"/>
      </w:pPr>
      <w:r>
        <w:rPr>
          <w:b/>
          <w:bCs/>
        </w:rPr>
        <w:t>F-2.</w:t>
      </w:r>
      <w:r>
        <w:t xml:space="preserve"> Der Partner darf nicht arbeiten und nur ein Freizeitstudium in Teilzeit aufnehmen. Wer selbst studieren will, wechselt per Form I-539 in den F-1 (Kapitel </w:t>
      </w:r>
      <w:hyperlink w:anchor="k8" w:history="1">
        <w:r>
          <w:t>8</w:t>
        </w:r>
      </w:hyperlink>
      <w:r>
        <w:t>). Kinder besuchen die Schule in Vollzeit.</w:t>
      </w:r>
    </w:p>
    <w:p w14:paraId="70A4CDDB" w14:textId="266A7EEC" w:rsidR="00C1548D" w:rsidRDefault="009B1B4B">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 für ein Familienbudget auf zwei Gehältern keine verlässliche Grundlage (zur Zwei-Jahres-Heimatregel des J-1: Kapitel </w:t>
      </w:r>
      <w:hyperlink w:anchor="k9" w:history="1">
        <w:r>
          <w:t>9</w:t>
        </w:r>
      </w:hyperlink>
      <w:r>
        <w:t>).</w:t>
      </w:r>
    </w:p>
    <w:p w14:paraId="70A4CDDC" w14:textId="77777777" w:rsidR="00C1548D" w:rsidRDefault="009B1B4B">
      <w:pPr>
        <w:pStyle w:val="Heading3"/>
        <w:keepNext/>
        <w:jc w:val="center"/>
      </w:pPr>
      <w:r>
        <w:rPr>
          <w:rFonts w:ascii="Amazon Ember" w:eastAsia="Amazon Ember" w:hAnsi="Amazon Ember" w:cs="Amazon Ember"/>
          <w:color w:val="0000FF"/>
          <w:sz w:val="36"/>
          <w:szCs w:val="36"/>
        </w:rPr>
        <w:t>Kinder: Age-out mit 21 und der Child Status Protection Act</w:t>
      </w:r>
    </w:p>
    <w:p w14:paraId="70A4CDDD" w14:textId="77777777" w:rsidR="00C1548D" w:rsidRDefault="009B1B4B">
      <w:pPr>
        <w:spacing w:after="140"/>
      </w:pPr>
      <w:r>
        <w:t xml:space="preserve">Kinder sind im Einwanderungsrecht unverheiratet und unter 21. Am 21. Geburtstag verliert ein Kind seinen abgeleiteten Status, auch wenn der Status der Eltern noch Jahre läuft; eine Heirat beendet den Kinderstatus ebenfalls. Dieses Herauswachsen heißt </w:t>
      </w:r>
      <w:r>
        <w:rPr>
          <w:i/>
          <w:iCs/>
        </w:rPr>
        <w:t>Age-out</w:t>
      </w:r>
      <w:r>
        <w:t>. Rechne früh: Wer mit 16 einreist, wird nach fünf Jahren 21, wer mit 18, nach drei – der H-1B der Eltern läuft dann oft noch. Der Geburtstag, der in Deutschland nur eine Familienfeier ist, wird hier zum Stichtag mit Aktenzeichen.</w:t>
      </w:r>
    </w:p>
    <w:p w14:paraId="70A4CDDE" w14:textId="77777777" w:rsidR="00C1548D" w:rsidRDefault="009B1B4B">
      <w:pPr>
        <w:spacing w:after="140"/>
      </w:pPr>
      <w:r>
        <w:t>Was dann bleibt, sind vier Wege:</w:t>
      </w:r>
    </w:p>
    <w:p w14:paraId="70A4CDDF" w14:textId="6C575A63" w:rsidR="00C1548D" w:rsidRDefault="009B1B4B" w:rsidP="009B1B4B">
      <w:pPr>
        <w:pStyle w:val="ListParagraph"/>
        <w:numPr>
          <w:ilvl w:val="0"/>
          <w:numId w:val="1"/>
        </w:numPr>
        <w:spacing w:after="60"/>
      </w:pPr>
      <w:r>
        <w:rPr>
          <w:b/>
          <w:bCs/>
        </w:rPr>
        <w:t>Statuswechsel vor dem 21. Geburtstag</w:t>
      </w:r>
      <w:r>
        <w:t xml:space="preserve"> (</w:t>
      </w:r>
      <w:r>
        <w:rPr>
          <w:i/>
          <w:iCs/>
        </w:rPr>
        <w:t>Change of Status</w:t>
      </w:r>
      <w:r>
        <w:t xml:space="preserve">), meist in den F-1 für ein Studium: Form I-539 (470 $ Papier, 420 $ online) plus Zulassung und Form I-20 einer Hochschule </w:t>
      </w:r>
      <w:r>
        <w:lastRenderedPageBreak/>
        <w:t>(Kapitel </w:t>
      </w:r>
      <w:hyperlink w:anchor="k8" w:history="1">
        <w:r>
          <w:t>8</w:t>
        </w:r>
      </w:hyperlink>
      <w:r>
        <w:t>). Der Antrag muss gestellt sein, solange das Kind unter 21 ist und der H-4 gültig ist.</w:t>
      </w:r>
    </w:p>
    <w:p w14:paraId="70A4CDE0" w14:textId="0AAFD173" w:rsidR="00C1548D" w:rsidRDefault="009B1B4B" w:rsidP="009B1B4B">
      <w:pPr>
        <w:pStyle w:val="ListParagraph"/>
        <w:numPr>
          <w:ilvl w:val="0"/>
          <w:numId w:val="1"/>
        </w:numPr>
        <w:spacing w:after="60"/>
      </w:pPr>
      <w:r>
        <w:rPr>
          <w:b/>
          <w:bCs/>
        </w:rPr>
        <w:t>Ein eigener Arbeitsstatus,</w:t>
      </w:r>
      <w:r>
        <w:t xml:space="preserve"> etwa ein H-1B nach einem US-Abschluss (Kapitel </w:t>
      </w:r>
      <w:hyperlink w:anchor="k5" w:history="1">
        <w:r>
          <w:t>5</w:t>
        </w:r>
      </w:hyperlink>
      <w:r>
        <w:t xml:space="preserve"> und </w:t>
      </w:r>
      <w:hyperlink w:anchor="k8" w:history="1">
        <w:r>
          <w:t>8</w:t>
        </w:r>
      </w:hyperlink>
      <w:r>
        <w:t>).</w:t>
      </w:r>
    </w:p>
    <w:p w14:paraId="70A4CDE1" w14:textId="77777777" w:rsidR="00C1548D" w:rsidRDefault="009B1B4B" w:rsidP="009B1B4B">
      <w:pPr>
        <w:pStyle w:val="ListParagraph"/>
        <w:numPr>
          <w:ilvl w:val="0"/>
          <w:numId w:val="1"/>
        </w:numPr>
        <w:spacing w:after="60"/>
      </w:pPr>
      <w:r>
        <w:rPr>
          <w:b/>
          <w:bCs/>
        </w:rPr>
        <w:t>Die Green Card,</w:t>
      </w:r>
      <w:r>
        <w:t xml:space="preserve"> wenn das Kind im Verfahren der Eltern mitläuft (siehe unten).</w:t>
      </w:r>
    </w:p>
    <w:p w14:paraId="70A4CDE2" w14:textId="063E817F" w:rsidR="00C1548D" w:rsidRDefault="009B1B4B" w:rsidP="009B1B4B">
      <w:pPr>
        <w:pStyle w:val="ListParagraph"/>
        <w:numPr>
          <w:ilvl w:val="0"/>
          <w:numId w:val="1"/>
        </w:numPr>
        <w:spacing w:after="60"/>
      </w:pPr>
      <w:r>
        <w:rPr>
          <w:b/>
          <w:bCs/>
        </w:rPr>
        <w:t>Die Rückkehr</w:t>
      </w:r>
      <w:r>
        <w:t xml:space="preserve"> zum Studium oder Beruf in Deutschland (Kapitel </w:t>
      </w:r>
      <w:hyperlink w:anchor="k42" w:history="1">
        <w:r>
          <w:t>42</w:t>
        </w:r>
      </w:hyperlink>
      <w:r>
        <w:t>).</w:t>
      </w:r>
    </w:p>
    <w:p w14:paraId="70A4CDE3" w14:textId="77777777" w:rsidR="00C1548D" w:rsidRDefault="00C1548D">
      <w:pPr>
        <w:spacing w:line="120" w:lineRule="exact"/>
      </w:pPr>
    </w:p>
    <w:p w14:paraId="70A4CDE4" w14:textId="77924722" w:rsidR="00C1548D" w:rsidRDefault="009B1B4B">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dem monatlichen Stichtagsbericht des Außenministeriums (Kapitel </w:t>
      </w:r>
      <w:hyperlink w:anchor="k6" w:history="1">
        <w:r>
          <w:t>6</w:t>
        </w:r>
      </w:hyperlink>
      <w:r>
        <w:t>). Für Deutsche ist das im September 2026 günstig: EB-1 und EB-2 waren „current“, bei EB-3 lag der Stichtag beim 1. September 2024.</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E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DE5" w14:textId="77777777" w:rsidR="00C1548D" w:rsidRDefault="009B1B4B">
            <w:pPr>
              <w:keepNext/>
              <w:spacing w:after="70" w:line="240" w:lineRule="auto"/>
            </w:pPr>
            <w:r>
              <w:rPr>
                <w:b/>
                <w:bCs/>
                <w:color w:val="9B2C2C"/>
                <w:spacing w:val="24"/>
                <w:sz w:val="16"/>
                <w:szCs w:val="16"/>
              </w:rPr>
              <w:t>ACHTUNG</w:t>
            </w:r>
          </w:p>
          <w:p w14:paraId="70A4CDE6" w14:textId="77777777" w:rsidR="00C1548D" w:rsidRDefault="009B1B4B">
            <w:pPr>
              <w:spacing w:after="80" w:line="264" w:lineRule="auto"/>
            </w:pPr>
            <w:r>
              <w:rPr>
                <w:sz w:val="20"/>
                <w:szCs w:val="20"/>
              </w:rPr>
              <w:t>Der CSPA schützt nur die Green-Card-Berechtigung, nicht den H-4 – mit 21 endet der H-4 in jedem Fall. Steht das Kind bis dahin nicht im Green-Card-Antrag oder in einem neuen Status, endet sein rechtmäßiger Aufenthalt, oft mitten im College. Besprich den Zeitplan mit der Kanzlei, sobald ein Kind 17 ist, und prüfe bei jedem Meilenstein, wie alt es dann ist.</w:t>
            </w:r>
          </w:p>
        </w:tc>
      </w:tr>
    </w:tbl>
    <w:p w14:paraId="70A4CDE8" w14:textId="77777777" w:rsidR="00C1548D" w:rsidRDefault="00C1548D">
      <w:pPr>
        <w:spacing w:line="220" w:lineRule="exact"/>
      </w:pPr>
    </w:p>
    <w:p w14:paraId="70A4CDE9" w14:textId="77777777" w:rsidR="00C1548D" w:rsidRDefault="009B1B4B">
      <w:pPr>
        <w:spacing w:after="140"/>
      </w:pPr>
      <w:r>
        <w:t>Im Green-Card-Verfahren laufen Ehepartner und Kinder als Mitantragstellende (</w:t>
      </w:r>
      <w:r>
        <w:rPr>
          <w:i/>
          <w:iCs/>
        </w:rPr>
        <w:t>Derivate</w:t>
      </w:r>
      <w:r>
        <w:t>) mit und teilen Kategorie und Prioritätsdatum (</w:t>
      </w:r>
      <w:r>
        <w:rPr>
          <w:i/>
          <w:iCs/>
        </w:rPr>
        <w:t>Priority Date</w:t>
      </w:r>
      <w:r>
        <w:t xml:space="preserve">) der Hauptperson. Die Gebühren tragen in der Praxis die Beschäftigten: Das Formular I-485 kostet 1.440 $ (Papier) bzw. 1.390 $ (online), für Kinder unter 14, die mit einem Elternteil einreichen, 950 $ bzw. 900 $ – ein Paar mit zwei </w:t>
      </w:r>
      <w:r>
        <w:lastRenderedPageBreak/>
        <w:t>kleinen Kindern zahlt damit 4.780 $ (Papier) bzw. 4.580 $ (online), ohne Untersuchung, Anwalt sowie Arbeits- und Reiseerlaubnis (eigene Summe aus dem Gebührenblatt G-1055).</w:t>
      </w:r>
    </w:p>
    <w:p w14:paraId="70A4CDEA" w14:textId="6EFA4B78" w:rsidR="00C1548D" w:rsidRDefault="009B1B4B">
      <w:pPr>
        <w:spacing w:after="140"/>
      </w:pPr>
      <w:r>
        <w:t>Kinder, die in den USA zur Welt kommen, sind nach der Entscheidung des Supreme Court vom 30. Juni 2026 (</w:t>
      </w:r>
      <w:r>
        <w:rPr>
          <w:i/>
          <w:iCs/>
        </w:rPr>
        <w:t>Trump v. Barbara</w:t>
      </w:r>
      <w:r>
        <w:t>) US-Bürger und brauchen keinen Status, auch bei Eltern mit H-1B oder L-1. Einzelheiten und die deutsche Seite stehen in Kapitel </w:t>
      </w:r>
      <w:hyperlink w:anchor="k38" w:history="1">
        <w:r>
          <w:t>38</w:t>
        </w:r>
      </w:hyperlink>
      <w:r>
        <w:t xml:space="preserve"> und </w:t>
      </w:r>
      <w:hyperlink w:anchor="k41" w:history="1">
        <w:r>
          <w:t>41</w:t>
        </w:r>
      </w:hyperlink>
      <w:r>
        <w:t>.</w:t>
      </w:r>
    </w:p>
    <w:p w14:paraId="70A4CDEB" w14:textId="77777777" w:rsidR="00C1548D" w:rsidRDefault="009B1B4B">
      <w:pPr>
        <w:pStyle w:val="Heading3"/>
        <w:keepNext/>
        <w:jc w:val="center"/>
      </w:pPr>
      <w:r>
        <w:rPr>
          <w:rFonts w:ascii="Amazon Ember" w:eastAsia="Amazon Ember" w:hAnsi="Amazon Ember" w:cs="Amazon Ember"/>
          <w:color w:val="0000FF"/>
          <w:sz w:val="36"/>
          <w:szCs w:val="36"/>
        </w:rPr>
        <w:t>Studium mit H-4</w:t>
      </w:r>
    </w:p>
    <w:p w14:paraId="70A4CDEC" w14:textId="6ACCCCE4" w:rsidR="00C1548D" w:rsidRDefault="009B1B4B">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Kapitel </w:t>
      </w:r>
      <w:hyperlink w:anchor="k8" w:history="1">
        <w:r>
          <w:t>8</w:t>
        </w:r>
      </w:hyperlink>
      <w:r>
        <w:t>) oder bei Kindern kurz vor dem Age-out. Der F-1 ist anders als H-1B und L nicht von der Einwanderungsvermutung ausgenommen, sprich vor dem Wechsel mit der Kanzlei, wenn ein Green-Card-Verfahren läuft oder geplant ist.</w:t>
      </w:r>
    </w:p>
    <w:p w14:paraId="70A4CDED" w14:textId="77777777" w:rsidR="00C1548D" w:rsidRDefault="009B1B4B">
      <w:pPr>
        <w:spacing w:after="140"/>
      </w:pPr>
      <w:r>
        <w:t>Der große Unterschied ist der Preis: Laut College Board kostet ein Bachelor-Jahr 2025/26 an einer öffentlichen Hochschule im Durchschnitt 11.950 $ für Landeskinder (</w:t>
      </w:r>
      <w:r>
        <w:rPr>
          <w:i/>
          <w:iCs/>
        </w:rPr>
        <w:t>In-State</w:t>
      </w:r>
      <w:r>
        <w:t>), 31.880 $ für Auswärtige (</w:t>
      </w:r>
      <w:r>
        <w:rPr>
          <w:i/>
          <w:iCs/>
        </w:rPr>
        <w:t>Out-of-State</w:t>
      </w:r>
      <w:r>
        <w:t>) und 45.000 $ an einer privaten Hochschule, jeweils ohne Wohnen. Ein Community College im eigenen Bezirk kostet im Schnitt 4.150 $. Ob dich eine Hochschule als Landeskind einstuft, regeln Bundesstaat und oft die Hochschule selbst.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DF0"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CDEE" w14:textId="77777777" w:rsidR="00C1548D" w:rsidRDefault="009B1B4B">
            <w:pPr>
              <w:keepNext/>
              <w:spacing w:after="70" w:line="240" w:lineRule="auto"/>
            </w:pPr>
            <w:r>
              <w:rPr>
                <w:b/>
                <w:bCs/>
                <w:color w:val="2F6B3B"/>
                <w:spacing w:val="24"/>
                <w:sz w:val="16"/>
                <w:szCs w:val="16"/>
              </w:rPr>
              <w:lastRenderedPageBreak/>
              <w:t>SPARTIPP</w:t>
            </w:r>
          </w:p>
          <w:p w14:paraId="70A4CDEF" w14:textId="77777777" w:rsidR="00C1548D" w:rsidRDefault="009B1B4B">
            <w:pPr>
              <w:spacing w:after="80" w:line="264" w:lineRule="auto"/>
            </w:pPr>
            <w:r>
              <w:rPr>
                <w:sz w:val="20"/>
                <w:szCs w:val="20"/>
              </w:rPr>
              <w:t xml:space="preserve">Frage die Zulassungsstelle vor der Bewerbung, welche Regeln für Inhaber von H-4 zur </w:t>
            </w:r>
            <w:r>
              <w:rPr>
                <w:i/>
                <w:iCs/>
                <w:sz w:val="20"/>
                <w:szCs w:val="20"/>
              </w:rPr>
              <w:t>In-State Tuition</w:t>
            </w:r>
            <w:r>
              <w:rPr>
                <w:sz w:val="20"/>
                <w:szCs w:val="20"/>
              </w:rPr>
              <w:t xml:space="preserve"> gelten (Wohnsitzfrist, Nachweise). Im Durchschnitt trennen Landeskinder und Auswärtige fast 20.000 $ pro Jahr.</w:t>
            </w:r>
          </w:p>
        </w:tc>
      </w:tr>
    </w:tbl>
    <w:p w14:paraId="70A4CDF1" w14:textId="77777777" w:rsidR="00C1548D" w:rsidRDefault="00C1548D">
      <w:pPr>
        <w:spacing w:line="220" w:lineRule="exact"/>
      </w:pPr>
    </w:p>
    <w:p w14:paraId="70A4CDF2" w14:textId="0D07A326" w:rsidR="00C1548D" w:rsidRDefault="009B1B4B">
      <w:pPr>
        <w:spacing w:after="140"/>
      </w:pPr>
      <w:r>
        <w:t>Ein US-Master kann für den H-4-Partner zum Weg in einen eigenen Status werden: F-1, dann OPT und STEM-OPT (zusammen bis zu 36 Monate), dann ein eigener H-1B, auch im Master-Kontingent mit 20.000 Plätzen (Kapitel </w:t>
      </w:r>
      <w:hyperlink w:anchor="k5" w:history="1">
        <w:r>
          <w:t>5</w:t>
        </w:r>
      </w:hyperlink>
      <w:r>
        <w:t xml:space="preserve"> und </w:t>
      </w:r>
      <w:hyperlink w:anchor="k8" w:history="1">
        <w:r>
          <w:t>8</w:t>
        </w:r>
      </w:hyperlink>
      <w:r>
        <w:t>). Das ist teuer (Gesamtkosten im Schnitt rund 62.820 $ laut einer Auswertung von 2026, für alle Studierenden) und ohne Garantie, denn auch dieser Weg führt durch die Lotterie.</w:t>
      </w:r>
    </w:p>
    <w:p w14:paraId="70A4CDF3" w14:textId="77777777" w:rsidR="00C1548D" w:rsidRDefault="009B1B4B">
      <w:pPr>
        <w:pStyle w:val="Heading3"/>
        <w:keepNext/>
        <w:jc w:val="center"/>
      </w:pPr>
      <w:r>
        <w:rPr>
          <w:rFonts w:ascii="Amazon Ember" w:eastAsia="Amazon Ember" w:hAnsi="Amazon Ember" w:cs="Amazon Ember"/>
          <w:color w:val="0000FF"/>
          <w:sz w:val="36"/>
          <w:szCs w:val="36"/>
        </w:rPr>
        <w:t>Partnerkarriere, Berufsanerkennung und Lizenzen</w:t>
      </w:r>
    </w:p>
    <w:p w14:paraId="70A4CDF4" w14:textId="29450EDF" w:rsidR="00C1548D" w:rsidRDefault="009B1B4B">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und die Übersetzungen behandelt Kapitel </w:t>
      </w:r>
      <w:hyperlink w:anchor="k19" w:history="1">
        <w:r>
          <w:t>19</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70"/>
        <w:gridCol w:w="1870"/>
        <w:gridCol w:w="3240"/>
      </w:tblGrid>
      <w:tr w:rsidR="00C1548D" w14:paraId="70A4CDF8" w14:textId="77777777">
        <w:tblPrEx>
          <w:tblCellMar>
            <w:top w:w="0" w:type="dxa"/>
            <w:bottom w:w="0" w:type="dxa"/>
          </w:tblCellMar>
        </w:tblPrEx>
        <w:trPr>
          <w:cantSplit/>
          <w:tblHeader/>
        </w:trPr>
        <w:tc>
          <w:tcPr>
            <w:tcW w:w="13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DF5" w14:textId="77777777" w:rsidR="00C1548D" w:rsidRDefault="009B1B4B">
            <w:pPr>
              <w:spacing w:line="250" w:lineRule="auto"/>
            </w:pPr>
            <w:r>
              <w:rPr>
                <w:b/>
                <w:bCs/>
                <w:sz w:val="18"/>
                <w:szCs w:val="18"/>
              </w:rPr>
              <w:t>Beruf</w:t>
            </w:r>
          </w:p>
        </w:tc>
        <w:tc>
          <w:tcPr>
            <w:tcW w:w="18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DF6" w14:textId="77777777" w:rsidR="00C1548D" w:rsidRDefault="009B1B4B">
            <w:pPr>
              <w:spacing w:line="250" w:lineRule="auto"/>
            </w:pPr>
            <w:r>
              <w:rPr>
                <w:b/>
                <w:bCs/>
                <w:sz w:val="18"/>
                <w:szCs w:val="18"/>
              </w:rPr>
              <w:t>Wer entscheidet</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DF7" w14:textId="77777777" w:rsidR="00C1548D" w:rsidRDefault="009B1B4B">
            <w:pPr>
              <w:spacing w:line="250" w:lineRule="auto"/>
            </w:pPr>
            <w:r>
              <w:rPr>
                <w:b/>
                <w:bCs/>
                <w:sz w:val="18"/>
                <w:szCs w:val="18"/>
              </w:rPr>
              <w:t>Typischer Weg</w:t>
            </w:r>
          </w:p>
        </w:tc>
      </w:tr>
      <w:tr w:rsidR="00C1548D" w14:paraId="70A4CDFC" w14:textId="77777777">
        <w:tblPrEx>
          <w:tblCellMar>
            <w:top w:w="0" w:type="dxa"/>
            <w:bottom w:w="0" w:type="dxa"/>
          </w:tblCellMar>
        </w:tblPrEx>
        <w:trPr>
          <w:cantSplit/>
        </w:trPr>
        <w:tc>
          <w:tcPr>
            <w:tcW w:w="13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F9" w14:textId="77777777" w:rsidR="00C1548D" w:rsidRDefault="009B1B4B">
            <w:pPr>
              <w:spacing w:line="250" w:lineRule="auto"/>
            </w:pPr>
            <w:r>
              <w:rPr>
                <w:sz w:val="18"/>
                <w:szCs w:val="18"/>
              </w:rPr>
              <w:t>Lehrkräfte an öffentlichen Schulen</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FA" w14:textId="77777777" w:rsidR="00C1548D" w:rsidRDefault="009B1B4B">
            <w:pPr>
              <w:spacing w:line="250" w:lineRule="auto"/>
            </w:pPr>
            <w:r>
              <w:rPr>
                <w:sz w:val="18"/>
                <w:szCs w:val="18"/>
              </w:rPr>
              <w:t>Bildungsbehörde des Bundesstaats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FB" w14:textId="77777777" w:rsidR="00C1548D" w:rsidRDefault="009B1B4B">
            <w:pPr>
              <w:spacing w:line="250" w:lineRule="auto"/>
            </w:pPr>
            <w:r>
              <w:rPr>
                <w:sz w:val="18"/>
                <w:szCs w:val="18"/>
              </w:rPr>
              <w:t>Bewertung der Abschlüsse, Staatsprüfungen, Antrag</w:t>
            </w:r>
          </w:p>
        </w:tc>
      </w:tr>
      <w:tr w:rsidR="00C1548D" w14:paraId="70A4CE00" w14:textId="77777777">
        <w:tblPrEx>
          <w:tblCellMar>
            <w:top w:w="0" w:type="dxa"/>
            <w:bottom w:w="0" w:type="dxa"/>
          </w:tblCellMar>
        </w:tblPrEx>
        <w:trPr>
          <w:cantSplit/>
        </w:trPr>
        <w:tc>
          <w:tcPr>
            <w:tcW w:w="13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FD" w14:textId="77777777" w:rsidR="00C1548D" w:rsidRDefault="009B1B4B">
            <w:pPr>
              <w:spacing w:line="250" w:lineRule="auto"/>
            </w:pPr>
            <w:r>
              <w:rPr>
                <w:sz w:val="18"/>
                <w:szCs w:val="18"/>
              </w:rPr>
              <w:lastRenderedPageBreak/>
              <w:t>Pflege</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FE" w14:textId="77777777" w:rsidR="00C1548D" w:rsidRDefault="009B1B4B">
            <w:pPr>
              <w:spacing w:line="250" w:lineRule="auto"/>
            </w:pPr>
            <w:r>
              <w:rPr>
                <w:sz w:val="18"/>
                <w:szCs w:val="18"/>
              </w:rPr>
              <w:t>Landesbehörde (</w:t>
            </w:r>
            <w:r>
              <w:rPr>
                <w:i/>
                <w:iCs/>
                <w:sz w:val="18"/>
                <w:szCs w:val="18"/>
              </w:rPr>
              <w:t>Board of Nursing</w:t>
            </w:r>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DFF" w14:textId="77777777" w:rsidR="00C1548D" w:rsidRDefault="009B1B4B">
            <w:pPr>
              <w:spacing w:line="250" w:lineRule="auto"/>
            </w:pPr>
            <w:r>
              <w:rPr>
                <w:sz w:val="18"/>
                <w:szCs w:val="18"/>
              </w:rPr>
              <w:t>Bewertung der Ausbildung, bundesweite Prüfung (NCLEX), Antrag</w:t>
            </w:r>
          </w:p>
        </w:tc>
      </w:tr>
      <w:tr w:rsidR="00C1548D" w14:paraId="70A4CE04" w14:textId="77777777">
        <w:tblPrEx>
          <w:tblCellMar>
            <w:top w:w="0" w:type="dxa"/>
            <w:bottom w:w="0" w:type="dxa"/>
          </w:tblCellMar>
        </w:tblPrEx>
        <w:trPr>
          <w:cantSplit/>
        </w:trPr>
        <w:tc>
          <w:tcPr>
            <w:tcW w:w="13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01" w14:textId="77777777" w:rsidR="00C1548D" w:rsidRDefault="009B1B4B">
            <w:pPr>
              <w:spacing w:line="250" w:lineRule="auto"/>
            </w:pPr>
            <w:r>
              <w:rPr>
                <w:sz w:val="18"/>
                <w:szCs w:val="18"/>
              </w:rPr>
              <w:t>Physiotherapie</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02" w14:textId="77777777" w:rsidR="00C1548D" w:rsidRDefault="009B1B4B">
            <w:pPr>
              <w:spacing w:line="250" w:lineRule="auto"/>
            </w:pPr>
            <w:r>
              <w:rPr>
                <w:sz w:val="18"/>
                <w:szCs w:val="18"/>
              </w:rPr>
              <w:t>Landesbehörde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03" w14:textId="77777777" w:rsidR="00C1548D" w:rsidRDefault="009B1B4B">
            <w:pPr>
              <w:spacing w:line="250" w:lineRule="auto"/>
            </w:pPr>
            <w:r>
              <w:rPr>
                <w:sz w:val="18"/>
                <w:szCs w:val="18"/>
              </w:rPr>
              <w:t>Bewertung der Ausbildung, bundesweite Prüfung (NPTE), Antrag</w:t>
            </w:r>
          </w:p>
        </w:tc>
      </w:tr>
      <w:tr w:rsidR="00C1548D" w14:paraId="70A4CE08" w14:textId="77777777">
        <w:tblPrEx>
          <w:tblCellMar>
            <w:top w:w="0" w:type="dxa"/>
            <w:bottom w:w="0" w:type="dxa"/>
          </w:tblCellMar>
        </w:tblPrEx>
        <w:trPr>
          <w:cantSplit/>
        </w:trPr>
        <w:tc>
          <w:tcPr>
            <w:tcW w:w="13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05" w14:textId="77777777" w:rsidR="00C1548D" w:rsidRDefault="009B1B4B">
            <w:pPr>
              <w:spacing w:line="250" w:lineRule="auto"/>
            </w:pPr>
            <w:r>
              <w:rPr>
                <w:sz w:val="18"/>
                <w:szCs w:val="18"/>
              </w:rPr>
              <w:t>Medizin</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06" w14:textId="77777777" w:rsidR="00C1548D" w:rsidRDefault="009B1B4B">
            <w:pPr>
              <w:spacing w:line="250" w:lineRule="auto"/>
            </w:pPr>
            <w:r>
              <w:rPr>
                <w:sz w:val="18"/>
                <w:szCs w:val="18"/>
              </w:rPr>
              <w:t>Landesbehörde (</w:t>
            </w:r>
            <w:r>
              <w:rPr>
                <w:i/>
                <w:iCs/>
                <w:sz w:val="18"/>
                <w:szCs w:val="18"/>
              </w:rPr>
              <w:t>Medical Board</w:t>
            </w:r>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07" w14:textId="77777777" w:rsidR="00C1548D" w:rsidRDefault="009B1B4B">
            <w:pPr>
              <w:spacing w:line="250" w:lineRule="auto"/>
            </w:pPr>
            <w:r>
              <w:rPr>
                <w:sz w:val="18"/>
                <w:szCs w:val="18"/>
              </w:rPr>
              <w:t>ECFMG-Zertifizierung, US-Prüfungen, meist US-Facharztausbildung (</w:t>
            </w:r>
            <w:r>
              <w:rPr>
                <w:i/>
                <w:iCs/>
                <w:sz w:val="18"/>
                <w:szCs w:val="18"/>
              </w:rPr>
              <w:t>Residency</w:t>
            </w:r>
            <w:r>
              <w:rPr>
                <w:sz w:val="18"/>
                <w:szCs w:val="18"/>
              </w:rPr>
              <w:t>)</w:t>
            </w:r>
          </w:p>
        </w:tc>
      </w:tr>
    </w:tbl>
    <w:p w14:paraId="70A4CE09" w14:textId="77777777" w:rsidR="00C1548D" w:rsidRDefault="00C1548D">
      <w:pPr>
        <w:spacing w:line="180" w:lineRule="exact"/>
      </w:pPr>
    </w:p>
    <w:p w14:paraId="70A4CE0A" w14:textId="77777777" w:rsidR="00C1548D" w:rsidRDefault="009B1B4B">
      <w:pPr>
        <w:spacing w:after="140"/>
      </w:pPr>
      <w:r>
        <w:t>Die Regeln unterscheiden sich von Staat zu Staat, die Verfahren dauern oft Monate. Deshalb lohnt es, früh zu beginnen:</w:t>
      </w:r>
    </w:p>
    <w:p w14:paraId="70A4CE0B" w14:textId="77777777" w:rsidR="00C1548D" w:rsidRDefault="009B1B4B" w:rsidP="009B1B4B">
      <w:pPr>
        <w:pStyle w:val="ListParagraph"/>
        <w:numPr>
          <w:ilvl w:val="0"/>
          <w:numId w:val="16"/>
        </w:numPr>
        <w:spacing w:after="60"/>
      </w:pPr>
      <w:r>
        <w:rPr>
          <w:b/>
          <w:bCs/>
        </w:rPr>
        <w:t>Behörde finden:</w:t>
      </w:r>
      <w:r>
        <w:t xml:space="preserve"> Bundesstaat, Beruf und „licensing board“ suchen.</w:t>
      </w:r>
    </w:p>
    <w:p w14:paraId="70A4CE0C" w14:textId="77777777" w:rsidR="00C1548D" w:rsidRDefault="009B1B4B" w:rsidP="009B1B4B">
      <w:pPr>
        <w:pStyle w:val="ListParagraph"/>
        <w:numPr>
          <w:ilvl w:val="0"/>
          <w:numId w:val="16"/>
        </w:numPr>
        <w:spacing w:after="60"/>
      </w:pPr>
      <w:r>
        <w:rPr>
          <w:b/>
          <w:bCs/>
        </w:rPr>
        <w:t>Abschlüsse bewerten lassen:</w:t>
      </w:r>
      <w:r>
        <w:t xml:space="preserve"> Viele Behörden schreiben Dienst oder Berichtstyp vor.</w:t>
      </w:r>
    </w:p>
    <w:p w14:paraId="70A4CE0D" w14:textId="77777777" w:rsidR="00C1548D" w:rsidRDefault="009B1B4B" w:rsidP="009B1B4B">
      <w:pPr>
        <w:pStyle w:val="ListParagraph"/>
        <w:numPr>
          <w:ilvl w:val="0"/>
          <w:numId w:val="16"/>
        </w:numPr>
        <w:spacing w:after="60"/>
      </w:pPr>
      <w:r>
        <w:rPr>
          <w:b/>
          <w:bCs/>
        </w:rPr>
        <w:t>Prüfungen und Zusatzleistungen klären:</w:t>
      </w:r>
      <w:r>
        <w:t xml:space="preserve"> Kurse, Praxisstunden, Sprachnachweis.</w:t>
      </w:r>
    </w:p>
    <w:p w14:paraId="70A4CE0E" w14:textId="77777777" w:rsidR="00C1548D" w:rsidRDefault="009B1B4B" w:rsidP="009B1B4B">
      <w:pPr>
        <w:pStyle w:val="ListParagraph"/>
        <w:numPr>
          <w:ilvl w:val="0"/>
          <w:numId w:val="16"/>
        </w:numPr>
        <w:spacing w:after="60"/>
      </w:pPr>
      <w:r>
        <w:rPr>
          <w:b/>
          <w:bCs/>
        </w:rPr>
        <w:t>Antrag stellen:</w:t>
      </w:r>
      <w:r>
        <w:t xml:space="preserve"> Fristen und Gebühren beachten; frage vorher, ob die Behörde Aufenthaltsstatus oder SSN verlangt.</w:t>
      </w:r>
    </w:p>
    <w:p w14:paraId="70A4CE0F"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1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E10" w14:textId="77777777" w:rsidR="00C1548D" w:rsidRDefault="009B1B4B">
            <w:pPr>
              <w:keepNext/>
              <w:spacing w:after="70" w:line="240" w:lineRule="auto"/>
            </w:pPr>
            <w:r>
              <w:rPr>
                <w:b/>
                <w:bCs/>
                <w:color w:val="8A6212"/>
                <w:spacing w:val="24"/>
                <w:sz w:val="16"/>
                <w:szCs w:val="16"/>
              </w:rPr>
              <w:t>MERKE</w:t>
            </w:r>
          </w:p>
          <w:p w14:paraId="70A4CE11" w14:textId="77777777" w:rsidR="00C1548D" w:rsidRDefault="009B1B4B">
            <w:pPr>
              <w:spacing w:after="80" w:line="264" w:lineRule="auto"/>
            </w:pPr>
            <w:r>
              <w:rPr>
                <w:sz w:val="20"/>
                <w:szCs w:val="20"/>
              </w:rPr>
              <w:t>Aufenthaltsstatus, Arbeitserlaubnis und Berufslizenz sind drei getrennte Dinge. Für die Arbeit im erlernten Beruf brauchst du alle drei, und die Lizenz lässt sich oft schon vor der Arbeitserlaubnis erwerben.</w:t>
            </w:r>
          </w:p>
        </w:tc>
      </w:tr>
    </w:tbl>
    <w:p w14:paraId="70A4CE13"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16"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E14" w14:textId="77777777" w:rsidR="00C1548D" w:rsidRDefault="009B1B4B">
            <w:pPr>
              <w:keepNext/>
              <w:spacing w:after="70" w:line="240" w:lineRule="auto"/>
            </w:pPr>
            <w:r>
              <w:rPr>
                <w:b/>
                <w:bCs/>
                <w:color w:val="4A5568"/>
                <w:spacing w:val="24"/>
                <w:sz w:val="16"/>
                <w:szCs w:val="16"/>
              </w:rPr>
              <w:lastRenderedPageBreak/>
              <w:t>PRAXISBEISPIEL · FIKTIV</w:t>
            </w:r>
          </w:p>
          <w:p w14:paraId="70A4CE15" w14:textId="77777777" w:rsidR="00C1548D" w:rsidRDefault="009B1B4B">
            <w:pPr>
              <w:spacing w:after="80" w:line="264" w:lineRule="auto"/>
            </w:pPr>
            <w:r>
              <w:rPr>
                <w:sz w:val="20"/>
                <w:szCs w:val="20"/>
              </w:rPr>
              <w:t>Familie Brandt (fiktiv). Anna, 36, Grundschullehrerin, reist mit H-4 nach Michigan und darf zunächst nicht arbeiten. Sie nutzt die Zeit: Noch in Deutschland lässt sie Studium und Lehrerausbildung von einem Bewertungsdienst begutachten, der zu NACES oder AICE gehört, den Zusammenschlüssen anerkannter Dienste. Das Michigan Department of Education verlangt diesen Bericht (</w:t>
            </w:r>
            <w:r>
              <w:rPr>
                <w:i/>
                <w:iCs/>
                <w:sz w:val="20"/>
                <w:szCs w:val="20"/>
              </w:rPr>
              <w:t>Course-by-Course Evaluation</w:t>
            </w:r>
            <w:r>
              <w:rPr>
                <w:sz w:val="20"/>
                <w:szCs w:val="20"/>
              </w:rPr>
              <w:t>) statt deutscher Zeugnisse. Er zeigt, ob ihre Ausbildung als abgeschlossene Lehrerausbildung gilt und welche Prüfungen (</w:t>
            </w:r>
            <w:r>
              <w:rPr>
                <w:i/>
                <w:iCs/>
                <w:sz w:val="20"/>
                <w:szCs w:val="20"/>
              </w:rPr>
              <w:t>MTTC</w:t>
            </w:r>
            <w:r>
              <w:rPr>
                <w:sz w:val="20"/>
                <w:szCs w:val="20"/>
              </w:rPr>
              <w:t>) noch fehlen; hat sie nach der Zulassung im Ausland mindestens drei Jahre erfolgreich unterrichtet, kann sie laut Behörde davon befreit sein. Als der Bericht drei Monate später ankommt und bestätigt, dass ihre Berufserfahrung die MTTC-Pflicht aufhebt, ist das für Anna der erste Moment seit der Ausreise, an dem sich Michigan nach einem Plan anfühlt und nicht nur nach Warten. Die H-4-Arbeitserlaubnis kann sie erst beantragen, wenn Markus’ I-140 genehmigt ist. Bis dahin ist ihre Lehrbefähigung geklärt.</w:t>
            </w:r>
          </w:p>
        </w:tc>
      </w:tr>
    </w:tbl>
    <w:p w14:paraId="70A4CE17"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1A"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E18" w14:textId="77777777" w:rsidR="00C1548D" w:rsidRDefault="009B1B4B">
            <w:pPr>
              <w:keepNext/>
              <w:spacing w:after="70" w:line="240" w:lineRule="auto"/>
            </w:pPr>
            <w:r>
              <w:rPr>
                <w:b/>
                <w:bCs/>
                <w:color w:val="4A5568"/>
                <w:spacing w:val="24"/>
                <w:sz w:val="16"/>
                <w:szCs w:val="16"/>
              </w:rPr>
              <w:t>PRAXISBEISPIEL · FIKTIV</w:t>
            </w:r>
          </w:p>
          <w:p w14:paraId="70A4CE19" w14:textId="77777777" w:rsidR="00C1548D" w:rsidRDefault="009B1B4B">
            <w:pPr>
              <w:spacing w:after="80" w:line="264" w:lineRule="auto"/>
            </w:pPr>
            <w:r>
              <w:rPr>
                <w:sz w:val="20"/>
                <w:szCs w:val="20"/>
              </w:rPr>
              <w:t>Familie Hoffmann (fiktiv). Katrin, 44, Physiotherapeutin, darf als L-2-Ehefrau von Jan in Phoenix sofort arbeiten; ihr I-94 trägt die Kennung L-2S. Trotzdem kann sie nicht am ersten Tag in einer Praxis anfangen: Physiotherapie verlangt in Arizona wie in jedem Bundesstaat eine Lizenz, mit Bewertung der Ausbildung und bundesweiter Prüfung (NPTE). Katrin beginnt das Verfahren schon vor dem Umzug. Ihre Arbeitsberechtigung ist mit der Landung da, ihre Berufsberechtigung erst mit der Lizenz.</w:t>
            </w:r>
          </w:p>
        </w:tc>
      </w:tr>
    </w:tbl>
    <w:p w14:paraId="70A4CE1B" w14:textId="77777777" w:rsidR="00C1548D" w:rsidRDefault="00C1548D">
      <w:pPr>
        <w:spacing w:line="220" w:lineRule="exact"/>
      </w:pPr>
    </w:p>
    <w:p w14:paraId="70A4CE1C" w14:textId="77777777" w:rsidR="00C1548D" w:rsidRDefault="009B1B4B">
      <w:pPr>
        <w:pStyle w:val="Heading3"/>
        <w:keepNext/>
        <w:jc w:val="center"/>
      </w:pPr>
      <w:r>
        <w:rPr>
          <w:rFonts w:ascii="Amazon Ember" w:eastAsia="Amazon Ember" w:hAnsi="Amazon Ember" w:cs="Amazon Ember"/>
          <w:color w:val="0000FF"/>
          <w:sz w:val="36"/>
          <w:szCs w:val="36"/>
        </w:rPr>
        <w:t>Zwei Berufstätige, zwei Visa</w:t>
      </w:r>
    </w:p>
    <w:p w14:paraId="70A4CE1D" w14:textId="77777777" w:rsidR="00C1548D" w:rsidRDefault="009B1B4B">
      <w:pPr>
        <w:spacing w:after="140"/>
      </w:pPr>
      <w:r>
        <w:t>Viele Paare wollen nicht auf ein Einkommen setzen. Das geht, wenn jede Person einen eigenen Status hat. Die Wege im Überblick:</w:t>
      </w:r>
    </w:p>
    <w:p w14:paraId="70A4CE1E" w14:textId="295DE003" w:rsidR="00C1548D" w:rsidRDefault="009B1B4B" w:rsidP="009B1B4B">
      <w:pPr>
        <w:pStyle w:val="ListParagraph"/>
        <w:numPr>
          <w:ilvl w:val="0"/>
          <w:numId w:val="1"/>
        </w:numPr>
        <w:spacing w:after="60"/>
      </w:pPr>
      <w:r>
        <w:rPr>
          <w:b/>
          <w:bCs/>
        </w:rPr>
        <w:t>Zwei Sponsoren.</w:t>
      </w:r>
      <w:r>
        <w:t xml:space="preserve"> Beide bewerben sich bei Arbeitgebern, die Visa sponsern. Beim H-1B heißt das zwei Registrierungen im März und zwei unabhängige Lose. Gewinnt nur eine Person, reist die andere als H-4 mit und versucht es im Folgejahr erneut. Ein Statuswechsel vom H-4 zum H-1B im Inland fällt nach der USCIS-</w:t>
      </w:r>
      <w:r>
        <w:lastRenderedPageBreak/>
        <w:t>Leitlinie vom 20. Oktober 2025 nicht unter die 100.000-$-Zahlung; der Entwurf über 103.265 $ würde ihn nach Kanzleiangaben erfassen (Kapitel </w:t>
      </w:r>
      <w:hyperlink w:anchor="k5" w:history="1">
        <w:r>
          <w:t>5</w:t>
        </w:r>
      </w:hyperlink>
      <w:r>
        <w:t>).</w:t>
      </w:r>
    </w:p>
    <w:p w14:paraId="70A4CE1F" w14:textId="504844CE" w:rsidR="00C1548D" w:rsidRDefault="009B1B4B" w:rsidP="009B1B4B">
      <w:pPr>
        <w:pStyle w:val="ListParagraph"/>
        <w:numPr>
          <w:ilvl w:val="0"/>
          <w:numId w:val="1"/>
        </w:numPr>
        <w:spacing w:after="60"/>
      </w:pPr>
      <w:r>
        <w:rPr>
          <w:b/>
          <w:bCs/>
        </w:rPr>
        <w:t>Cap-exempt.</w:t>
      </w:r>
      <w:r>
        <w:t xml:space="preserve"> Eine Person arbeitet an einer Hochschule oder Forschungseinrichtung, ohne Lotterie (Kapitel </w:t>
      </w:r>
      <w:hyperlink w:anchor="k5" w:history="1">
        <w:r>
          <w:t>5</w:t>
        </w:r>
      </w:hyperlink>
      <w:r>
        <w:t>). Hochschulen bieten für Partner häufig Unterstützung an (</w:t>
      </w:r>
      <w:r>
        <w:rPr>
          <w:i/>
          <w:iCs/>
        </w:rPr>
        <w:t>Dual Career</w:t>
      </w:r>
      <w:r>
        <w:t>), fragen lohnt sich.</w:t>
      </w:r>
    </w:p>
    <w:p w14:paraId="70A4CE20" w14:textId="77777777" w:rsidR="00C1548D" w:rsidRDefault="009B1B4B" w:rsidP="009B1B4B">
      <w:pPr>
        <w:pStyle w:val="ListParagraph"/>
        <w:numPr>
          <w:ilvl w:val="0"/>
          <w:numId w:val="1"/>
        </w:numPr>
        <w:spacing w:after="60"/>
      </w:pPr>
      <w:r>
        <w:rPr>
          <w:b/>
          <w:bCs/>
        </w:rPr>
        <w:t>Gemischte Status.</w:t>
      </w:r>
      <w:r>
        <w:t xml:space="preserve"> Ein Partner mit L-1 oder E-2, der andere mit H-1B: möglich, aber jede Person hat eigene Fristen, eigene Bindung an den Arbeitgeber und einen eigenen Arbeitsort.</w:t>
      </w:r>
    </w:p>
    <w:p w14:paraId="70A4CE21" w14:textId="1940D861" w:rsidR="00C1548D" w:rsidRDefault="009B1B4B" w:rsidP="009B1B4B">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history="1">
        <w:r>
          <w:t>30</w:t>
        </w:r>
      </w:hyperlink>
      <w:r>
        <w:t>).</w:t>
      </w:r>
    </w:p>
    <w:p w14:paraId="70A4CE22" w14:textId="77777777" w:rsidR="00C1548D" w:rsidRDefault="00C1548D">
      <w:pPr>
        <w:spacing w:line="120" w:lineRule="exact"/>
      </w:pPr>
    </w:p>
    <w:p w14:paraId="70A4CE23" w14:textId="31CD541C" w:rsidR="00C1548D" w:rsidRDefault="009B1B4B">
      <w:pPr>
        <w:spacing w:after="140"/>
      </w:pPr>
      <w:r>
        <w:t>Der Preis zweier Karrieren ist die Ortsbindung: Ein Umzug in ein anderes Beschäftigungsgebiet verlangt bei jeder Person eine neue Arbeitsbedingungserklärung und eine geänderte Petition (Kapitel </w:t>
      </w:r>
      <w:hyperlink w:anchor="k30" w:history="1">
        <w:r>
          <w:t>30</w:t>
        </w:r>
      </w:hyperlink>
      <w:r>
        <w:t>). Für die Green Card können beide getrennt antreten, oder eine Person folgt der anderen als Mitantragstellende – das entscheidet die Kanzlei mit dir (Kapitel </w:t>
      </w:r>
      <w:hyperlink w:anchor="k6" w:history="1">
        <w:r>
          <w:t>6</w:t>
        </w:r>
      </w:hyperlink>
      <w:r>
        <w:t xml:space="preserve"> und </w:t>
      </w:r>
      <w:hyperlink w:anchor="k7" w:history="1">
        <w:r>
          <w:t>7</w:t>
        </w:r>
      </w:hyperlink>
      <w:r>
        <w:t>).</w:t>
      </w:r>
    </w:p>
    <w:p w14:paraId="70A4CE24" w14:textId="77777777" w:rsidR="00C1548D" w:rsidRDefault="009B1B4B">
      <w:pPr>
        <w:pStyle w:val="Heading3"/>
        <w:keepNext/>
        <w:jc w:val="center"/>
      </w:pPr>
      <w:r>
        <w:rPr>
          <w:rFonts w:ascii="Amazon Ember" w:eastAsia="Amazon Ember" w:hAnsi="Amazon Ember" w:cs="Amazon Ember"/>
          <w:color w:val="0000FF"/>
          <w:sz w:val="36"/>
          <w:szCs w:val="36"/>
        </w:rPr>
        <w:t>Der mitreisende Partner: Isolation und Einkommenslücke</w:t>
      </w:r>
    </w:p>
    <w:p w14:paraId="70A4CE25" w14:textId="77777777" w:rsidR="00C1548D" w:rsidRDefault="009B1B4B">
      <w:pPr>
        <w:spacing w:after="140"/>
      </w:pPr>
      <w:r>
        <w:t>Der mitreisende Partner ist der wunde Punkt des Systems. Die arbeitende Person hat Kollegen, die Kinder haben die Schule, wer zu Hause bleibt, hat oft nichts von beidem – nur die stille Wohnung am Nachmittag und die Frage, was man dem Nachbarn beim Small Talk auf „And what do you do?“ antwortet. Beim H-4 kommen Einkommenslücke, Karrierebruch und eine fehlende SSN zusammen, und das über Jahre. Sprich vor dem Abflug offen darüber, wer worauf verzichtet und wie lange, und vereinbart, wann ihr Bilanz zieht.</w:t>
      </w:r>
    </w:p>
    <w:p w14:paraId="70A4CE26" w14:textId="05640411" w:rsidR="00C1548D" w:rsidRDefault="009B1B4B">
      <w:pPr>
        <w:spacing w:after="140"/>
      </w:pPr>
      <w:r>
        <w:lastRenderedPageBreak/>
        <w:t>Die Wartezeit lässt sich nutzen: für Lizenzverfahren, Kurse (H-4 erlaubt Studium), Sprachpraxis, Ehrenamt und Kontakte (Anschluss finden: Kapitel </w:t>
      </w:r>
      <w:hyperlink w:anchor="k32" w:history="1">
        <w:r>
          <w:t>32</w:t>
        </w:r>
      </w:hyperlink>
      <w:r>
        <w:t>; Kulturschock, Krisenpunkte und wann Hilfe sinnvoll ist: Kapitel </w:t>
      </w:r>
      <w:hyperlink w:anchor="k33" w:history="1">
        <w:r>
          <w:t>33</w:t>
        </w:r>
      </w:hyperlink>
      <w:r>
        <w:t>).</w:t>
      </w:r>
    </w:p>
    <w:p w14:paraId="70A4CE27"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CE2A"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E28"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E29" w14:textId="77777777" w:rsidR="00C1548D" w:rsidRDefault="009B1B4B">
            <w:pPr>
              <w:spacing w:line="250" w:lineRule="auto"/>
            </w:pPr>
            <w:r>
              <w:rPr>
                <w:b/>
                <w:bCs/>
                <w:sz w:val="18"/>
                <w:szCs w:val="18"/>
              </w:rPr>
              <w:t>Minus</w:t>
            </w:r>
          </w:p>
        </w:tc>
      </w:tr>
      <w:tr w:rsidR="00C1548D" w14:paraId="70A4CE2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2B" w14:textId="77777777" w:rsidR="00C1548D" w:rsidRDefault="009B1B4B">
            <w:pPr>
              <w:spacing w:line="250" w:lineRule="auto"/>
            </w:pPr>
            <w:r>
              <w:rPr>
                <w:sz w:val="18"/>
                <w:szCs w:val="18"/>
              </w:rPr>
              <w:t>Ehepartner und Kinder reisen mit, ohne eigene Lotterie oder eigenen Sponsor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2C" w14:textId="77777777" w:rsidR="00C1548D" w:rsidRDefault="009B1B4B">
            <w:pPr>
              <w:spacing w:line="250" w:lineRule="auto"/>
            </w:pPr>
            <w:r>
              <w:rPr>
                <w:sz w:val="18"/>
                <w:szCs w:val="18"/>
              </w:rPr>
              <w:t>H-4-Partner dürfen in den ersten Jahren meist nicht arbeiten</w:t>
            </w:r>
          </w:p>
        </w:tc>
      </w:tr>
      <w:tr w:rsidR="00C1548D" w14:paraId="70A4CE3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2E" w14:textId="77777777" w:rsidR="00C1548D" w:rsidRDefault="009B1B4B">
            <w:pPr>
              <w:spacing w:line="250" w:lineRule="auto"/>
            </w:pPr>
            <w:r>
              <w:rPr>
                <w:sz w:val="18"/>
                <w:szCs w:val="18"/>
              </w:rPr>
              <w:t>L-2- und E-2-Partner arbeiten sofort und ohne eigenen Antrag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2F" w14:textId="77777777" w:rsidR="00C1548D" w:rsidRDefault="009B1B4B">
            <w:pPr>
              <w:spacing w:line="250" w:lineRule="auto"/>
            </w:pPr>
            <w:r>
              <w:rPr>
                <w:sz w:val="18"/>
                <w:szCs w:val="18"/>
              </w:rPr>
              <w:t>Die H-4-Arbeitserlaubnis ist Verordnungsrecht; ein Abschaffungsvorhaben steht auf der Agenda</w:t>
            </w:r>
          </w:p>
        </w:tc>
      </w:tr>
      <w:tr w:rsidR="00C1548D" w14:paraId="70A4CE3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31" w14:textId="77777777" w:rsidR="00C1548D" w:rsidRDefault="009B1B4B">
            <w:pPr>
              <w:spacing w:line="250" w:lineRule="auto"/>
            </w:pPr>
            <w:r>
              <w:rPr>
                <w:sz w:val="18"/>
                <w:szCs w:val="18"/>
              </w:rPr>
              <w:t>H-4 erlaubt Studium ohne Statuswechsel</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32" w14:textId="77777777" w:rsidR="00C1548D" w:rsidRDefault="009B1B4B">
            <w:pPr>
              <w:spacing w:line="250" w:lineRule="auto"/>
            </w:pPr>
            <w:r>
              <w:rPr>
                <w:sz w:val="18"/>
                <w:szCs w:val="18"/>
              </w:rPr>
              <w:t>Als Auswärtige kostet das Studium im Schnitt 31.880 $ statt 11.950 $ pro Jahr</w:t>
            </w:r>
          </w:p>
        </w:tc>
      </w:tr>
      <w:tr w:rsidR="00C1548D" w14:paraId="70A4CE3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34" w14:textId="77777777" w:rsidR="00C1548D" w:rsidRDefault="009B1B4B">
            <w:pPr>
              <w:spacing w:line="250" w:lineRule="auto"/>
            </w:pPr>
            <w:r>
              <w:rPr>
                <w:sz w:val="18"/>
                <w:szCs w:val="18"/>
              </w:rPr>
              <w:t>Die Familie läuft im Green-Card-Verfahren mit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35" w14:textId="77777777" w:rsidR="00C1548D" w:rsidRDefault="009B1B4B">
            <w:pPr>
              <w:spacing w:line="250" w:lineRule="auto"/>
            </w:pPr>
            <w:r>
              <w:rPr>
                <w:sz w:val="18"/>
                <w:szCs w:val="18"/>
              </w:rPr>
              <w:t>Kinder verlieren den Status mit 21 (Age-out)</w:t>
            </w:r>
          </w:p>
        </w:tc>
      </w:tr>
      <w:tr w:rsidR="00C1548D" w14:paraId="70A4CE3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37" w14:textId="77777777" w:rsidR="00C1548D" w:rsidRDefault="009B1B4B">
            <w:pPr>
              <w:spacing w:line="250" w:lineRule="auto"/>
            </w:pPr>
            <w:r>
              <w:rPr>
                <w:sz w:val="18"/>
                <w:szCs w:val="18"/>
              </w:rPr>
              <w:t>Kinder besuchen die öffentliche Schule ihres Distrikts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38" w14:textId="77777777" w:rsidR="00C1548D" w:rsidRDefault="009B1B4B">
            <w:pPr>
              <w:spacing w:line="250" w:lineRule="auto"/>
            </w:pPr>
            <w:r>
              <w:rPr>
                <w:sz w:val="18"/>
                <w:szCs w:val="18"/>
              </w:rPr>
              <w:t>Unverheiratete Paare erhalten keinen Partnerstatus</w:t>
            </w:r>
          </w:p>
        </w:tc>
      </w:tr>
      <w:tr w:rsidR="00C1548D" w14:paraId="70A4CE3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3A" w14:textId="77777777" w:rsidR="00C1548D" w:rsidRDefault="009B1B4B">
            <w:pPr>
              <w:spacing w:line="250" w:lineRule="auto"/>
            </w:pPr>
            <w:r>
              <w:rPr>
                <w:sz w:val="18"/>
                <w:szCs w:val="18"/>
              </w:rPr>
              <w:t>Die Wartezeit lässt sich für Lizenz, Studium und Weiterbildung nutzen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3B" w14:textId="77777777" w:rsidR="00C1548D" w:rsidRDefault="009B1B4B">
            <w:pPr>
              <w:spacing w:line="250" w:lineRule="auto"/>
            </w:pPr>
            <w:r>
              <w:rPr>
                <w:sz w:val="18"/>
                <w:szCs w:val="18"/>
              </w:rPr>
              <w:t>Berufslizenzen sind Sache jedes Bundesstaats und dauern oft Monate</w:t>
            </w:r>
          </w:p>
        </w:tc>
      </w:tr>
      <w:tr w:rsidR="00C1548D" w14:paraId="70A4CE3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3D" w14:textId="77777777" w:rsidR="00C1548D" w:rsidRDefault="009B1B4B">
            <w:pPr>
              <w:spacing w:line="250" w:lineRule="auto"/>
            </w:pPr>
            <w:r>
              <w:rPr>
                <w:sz w:val="18"/>
                <w:szCs w:val="18"/>
              </w:rPr>
              <w:t>Zwei eigene Status sichern zwei Einkommen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3E" w14:textId="77777777" w:rsidR="00C1548D" w:rsidRDefault="009B1B4B">
            <w:pPr>
              <w:spacing w:line="250" w:lineRule="auto"/>
            </w:pPr>
            <w:r>
              <w:rPr>
                <w:sz w:val="18"/>
                <w:szCs w:val="18"/>
              </w:rPr>
              <w:t>Einkommenslücke, Karrierepause und Isolation belasten die Beziehung</w:t>
            </w:r>
          </w:p>
        </w:tc>
      </w:tr>
    </w:tbl>
    <w:p w14:paraId="70A4CE40" w14:textId="77777777" w:rsidR="00C1548D" w:rsidRDefault="00C1548D">
      <w:pPr>
        <w:spacing w:line="180" w:lineRule="exact"/>
      </w:pPr>
    </w:p>
    <w:p w14:paraId="70A4CE41"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CE42" w14:textId="77777777" w:rsidR="00C1548D" w:rsidRDefault="009B1B4B">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4F" w14:textId="77777777">
        <w:tblPrEx>
          <w:tblCellMar>
            <w:top w:w="0" w:type="dxa"/>
            <w:bottom w:w="0" w:type="dxa"/>
          </w:tblCellMar>
        </w:tblPrEx>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E43" w14:textId="77777777" w:rsidR="00C1548D" w:rsidRDefault="009B1B4B">
            <w:pPr>
              <w:keepNext/>
              <w:spacing w:after="70" w:line="240" w:lineRule="auto"/>
            </w:pPr>
            <w:r>
              <w:rPr>
                <w:b/>
                <w:bCs/>
                <w:color w:val="1F6F78"/>
                <w:spacing w:val="24"/>
                <w:sz w:val="16"/>
                <w:szCs w:val="16"/>
              </w:rPr>
              <w:lastRenderedPageBreak/>
              <w:t>CHECKLISTE</w:t>
            </w:r>
          </w:p>
          <w:p w14:paraId="70A4CE44" w14:textId="441A0198"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Familienstand klären: Unverheiratete Paare heiraten vor dem Konsulatstermin; Heiratsurkunde, Übersetzung und Apostille mit Kapitel </w:t>
            </w:r>
            <w:hyperlink w:anchor="k19" w:history="1">
              <w:r>
                <w:rPr>
                  <w:sz w:val="20"/>
                  <w:szCs w:val="20"/>
                </w:rPr>
                <w:t>19</w:t>
              </w:r>
            </w:hyperlink>
            <w:r>
              <w:rPr>
                <w:sz w:val="20"/>
                <w:szCs w:val="20"/>
              </w:rPr>
              <w:t xml:space="preserve"> planen.</w:t>
            </w:r>
          </w:p>
          <w:p w14:paraId="70A4CE4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eingetragener Lebenspartnerschaft: Umwandlung in eine Ehe mit Standesamt und Kanzlei besprechen.</w:t>
            </w:r>
          </w:p>
          <w:p w14:paraId="70A4CE46" w14:textId="2CAC4480"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Für jede Person ein eigenes DS-160, einen Termin und die Gebühr einplanen; Social-Media-Profile vor dem Termin öffentlich stellen (Kapitel </w:t>
            </w:r>
            <w:hyperlink w:anchor="k11" w:history="1">
              <w:r>
                <w:rPr>
                  <w:sz w:val="20"/>
                  <w:szCs w:val="20"/>
                </w:rPr>
                <w:t>11</w:t>
              </w:r>
            </w:hyperlink>
            <w:r>
              <w:rPr>
                <w:sz w:val="20"/>
                <w:szCs w:val="20"/>
              </w:rPr>
              <w:t>).</w:t>
            </w:r>
          </w:p>
          <w:p w14:paraId="70A4CE4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Im Angebotsschreiben festhalten, wer die Kosten für Ehepartner und Kinder trägt (Konsulargebühren, I-539, Arbeitserlaubnis).</w:t>
            </w:r>
          </w:p>
          <w:p w14:paraId="70A4CE48" w14:textId="319F0718"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H-4: Haushaltsbudget mit einem Einkommen rechnen und den Start des Green-Card-Verfahrens mit dem Arbeitgeber klären (Kapitel </w:t>
            </w:r>
            <w:hyperlink w:anchor="k7" w:history="1">
              <w:r>
                <w:rPr>
                  <w:sz w:val="20"/>
                  <w:szCs w:val="20"/>
                </w:rPr>
                <w:t>7</w:t>
              </w:r>
            </w:hyperlink>
            <w:r>
              <w:rPr>
                <w:sz w:val="20"/>
                <w:szCs w:val="20"/>
              </w:rPr>
              <w:t>).</w:t>
            </w:r>
          </w:p>
          <w:p w14:paraId="70A4CE4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L-2 und E-2: nach der Landung den I-94 im Portal prüfen (Kennung L-2S bzw. E-2S).</w:t>
            </w:r>
          </w:p>
          <w:p w14:paraId="70A4CE4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Den 21. Geburtstag aller Kinder in den Kalender eintragen; Age-out-Plan mit der Kanzlei besprechen.</w:t>
            </w:r>
          </w:p>
          <w:p w14:paraId="70A4CE4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Lizenzpflichtigen Beruf des Partners erkennen: Behörde des Zielstaats, Bewertungsdienst, Prüfungen und Kosten erfragen.</w:t>
            </w:r>
          </w:p>
          <w:p w14:paraId="70A4CE4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Studium mit H-4: bei der Hochschule die Regeln zur In-State Tuition erfragen, bevor du dich bewirbst.</w:t>
            </w:r>
          </w:p>
          <w:p w14:paraId="70A4CE4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Verlängerung der Arbeitserlaubnis 180 Tage vor Ablauf einplanen; Kopien aller Bescheide sichern.</w:t>
            </w:r>
          </w:p>
          <w:p w14:paraId="70A4CE4E" w14:textId="5813EAA3"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Plan für die Wartezeit festlegen: Kurse, Ehrenamt, Kontakte, Termine für die gemeinsame Bilanz (Kapitel </w:t>
            </w:r>
            <w:hyperlink w:anchor="k32" w:history="1">
              <w:r>
                <w:rPr>
                  <w:sz w:val="20"/>
                  <w:szCs w:val="20"/>
                </w:rPr>
                <w:t>32</w:t>
              </w:r>
            </w:hyperlink>
            <w:r>
              <w:rPr>
                <w:sz w:val="20"/>
                <w:szCs w:val="20"/>
              </w:rPr>
              <w:t xml:space="preserve"> und </w:t>
            </w:r>
            <w:hyperlink w:anchor="k33" w:history="1">
              <w:r>
                <w:rPr>
                  <w:sz w:val="20"/>
                  <w:szCs w:val="20"/>
                </w:rPr>
                <w:t>33</w:t>
              </w:r>
            </w:hyperlink>
            <w:r>
              <w:rPr>
                <w:sz w:val="20"/>
                <w:szCs w:val="20"/>
              </w:rPr>
              <w:t>).</w:t>
            </w:r>
          </w:p>
        </w:tc>
      </w:tr>
    </w:tbl>
    <w:p w14:paraId="70A4CE50" w14:textId="77777777" w:rsidR="00C1548D" w:rsidRDefault="00C1548D">
      <w:pPr>
        <w:spacing w:line="220" w:lineRule="exact"/>
      </w:pPr>
    </w:p>
    <w:p w14:paraId="70A4CE51"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E52" w14:textId="7390B859" w:rsidR="00C1548D" w:rsidRDefault="009B1B4B" w:rsidP="009B1B4B">
      <w:pPr>
        <w:pStyle w:val="ListParagraph"/>
        <w:numPr>
          <w:ilvl w:val="0"/>
          <w:numId w:val="1"/>
        </w:numPr>
        <w:spacing w:after="60"/>
      </w:pPr>
      <w:r>
        <w:t>USCIS — Arbeitserlaubnis, Form I-765 (</w:t>
      </w:r>
      <w:hyperlink r:id="rId90" w:history="1">
        <w:r>
          <w:rPr>
            <w:color w:val="0563C1"/>
            <w:u w:val="single"/>
          </w:rPr>
          <w:t>uscis.gov/i-765</w:t>
        </w:r>
      </w:hyperlink>
      <w:r>
        <w:t>)</w:t>
      </w:r>
    </w:p>
    <w:p w14:paraId="70A4CE53" w14:textId="36514DBA" w:rsidR="00C1548D" w:rsidRDefault="009B1B4B" w:rsidP="009B1B4B">
      <w:pPr>
        <w:pStyle w:val="ListParagraph"/>
        <w:numPr>
          <w:ilvl w:val="0"/>
          <w:numId w:val="1"/>
        </w:numPr>
        <w:spacing w:after="60"/>
      </w:pPr>
      <w:r>
        <w:t>USCIS — Gebührenübersicht G-1055 (</w:t>
      </w:r>
      <w:hyperlink r:id="rId91" w:history="1">
        <w:r>
          <w:rPr>
            <w:color w:val="0563C1"/>
            <w:u w:val="single"/>
          </w:rPr>
          <w:t>uscis.gov/g-1055</w:t>
        </w:r>
      </w:hyperlink>
      <w:r>
        <w:t>)</w:t>
      </w:r>
    </w:p>
    <w:p w14:paraId="70A4CE54" w14:textId="1F7D00D1" w:rsidR="00C1548D" w:rsidRDefault="009B1B4B" w:rsidP="009B1B4B">
      <w:pPr>
        <w:pStyle w:val="ListParagraph"/>
        <w:numPr>
          <w:ilvl w:val="0"/>
          <w:numId w:val="1"/>
        </w:numPr>
        <w:spacing w:after="60"/>
      </w:pPr>
      <w:r>
        <w:t>USCIS — L-1A und Arbeitsberechtigung der L-2-Ehepartner (</w:t>
      </w:r>
      <w:hyperlink r:id="rId92" w:history="1">
        <w:r>
          <w:rPr>
            <w:color w:val="0563C1"/>
            <w:u w:val="single"/>
          </w:rPr>
          <w:t>uscis.gov/working-in-the-united-states/temporary-workers/l-1a-intracompany-transferee-executive-or-manager</w:t>
        </w:r>
      </w:hyperlink>
      <w:r>
        <w:t>)</w:t>
      </w:r>
    </w:p>
    <w:p w14:paraId="70A4CE55" w14:textId="05396F61" w:rsidR="00C1548D" w:rsidRDefault="009B1B4B" w:rsidP="009B1B4B">
      <w:pPr>
        <w:pStyle w:val="ListParagraph"/>
        <w:numPr>
          <w:ilvl w:val="0"/>
          <w:numId w:val="1"/>
        </w:numPr>
        <w:spacing w:after="60"/>
      </w:pPr>
      <w:r>
        <w:lastRenderedPageBreak/>
        <w:t>USCIS Policy Manual — Ehe und Ehepartner (</w:t>
      </w:r>
      <w:hyperlink r:id="rId93" w:history="1">
        <w:r>
          <w:rPr>
            <w:color w:val="0563C1"/>
            <w:u w:val="single"/>
          </w:rPr>
          <w:t>uscis.gov/policy-manual/volume-6-part-b-chapter-6</w:t>
        </w:r>
      </w:hyperlink>
      <w:r>
        <w:t>)</w:t>
      </w:r>
    </w:p>
    <w:p w14:paraId="70A4CE56" w14:textId="4F7662DF" w:rsidR="00C1548D" w:rsidRDefault="009B1B4B" w:rsidP="009B1B4B">
      <w:pPr>
        <w:pStyle w:val="ListParagraph"/>
        <w:numPr>
          <w:ilvl w:val="0"/>
          <w:numId w:val="1"/>
        </w:numPr>
        <w:spacing w:after="60"/>
      </w:pPr>
      <w:r>
        <w:t>USCIS Policy Manual — Child Status Protection Act (</w:t>
      </w:r>
      <w:hyperlink r:id="rId94" w:history="1">
        <w:r>
          <w:rPr>
            <w:color w:val="0563C1"/>
            <w:u w:val="single"/>
          </w:rPr>
          <w:t>uscis.gov/policy-manual/volume-7-part-a-chapter-7</w:t>
        </w:r>
      </w:hyperlink>
      <w:r>
        <w:t>)</w:t>
      </w:r>
    </w:p>
    <w:p w14:paraId="70A4CE57" w14:textId="3FAF1665" w:rsidR="00C1548D" w:rsidRDefault="009B1B4B" w:rsidP="009B1B4B">
      <w:pPr>
        <w:pStyle w:val="ListParagraph"/>
        <w:numPr>
          <w:ilvl w:val="0"/>
          <w:numId w:val="1"/>
        </w:numPr>
        <w:spacing w:after="60"/>
      </w:pPr>
      <w:r>
        <w:t>Grenzschutz CBP — I-94-Portal (</w:t>
      </w:r>
      <w:hyperlink r:id="rId95" w:history="1">
        <w:r>
          <w:rPr>
            <w:color w:val="0563C1"/>
            <w:u w:val="single"/>
          </w:rPr>
          <w:t>i94.cbp.dhs.gov</w:t>
        </w:r>
      </w:hyperlink>
      <w:r>
        <w:t>)</w:t>
      </w:r>
    </w:p>
    <w:p w14:paraId="70A4CE58" w14:textId="4A9D973D" w:rsidR="00C1548D" w:rsidRDefault="009B1B4B" w:rsidP="009B1B4B">
      <w:pPr>
        <w:pStyle w:val="ListParagraph"/>
        <w:numPr>
          <w:ilvl w:val="0"/>
          <w:numId w:val="1"/>
        </w:numPr>
        <w:spacing w:after="60"/>
      </w:pPr>
      <w:r>
        <w:t>Regelungsagenda der US-Regierung — Vorhaben RIN 1615-AD14 (</w:t>
      </w:r>
      <w:hyperlink r:id="rId96" w:history="1">
        <w:r>
          <w:rPr>
            <w:color w:val="0563C1"/>
            <w:u w:val="single"/>
          </w:rPr>
          <w:t>reginfo.gov</w:t>
        </w:r>
      </w:hyperlink>
      <w:r>
        <w:t>)</w:t>
      </w:r>
    </w:p>
    <w:p w14:paraId="70A4CE59" w14:textId="4FCBE5F4" w:rsidR="00C1548D" w:rsidRDefault="009B1B4B" w:rsidP="009B1B4B">
      <w:pPr>
        <w:pStyle w:val="ListParagraph"/>
        <w:numPr>
          <w:ilvl w:val="0"/>
          <w:numId w:val="1"/>
        </w:numPr>
        <w:spacing w:after="60"/>
      </w:pPr>
      <w:r>
        <w:t>Michigan Department of Education — Lehrkräfte aus dem Ausland (</w:t>
      </w:r>
      <w:hyperlink r:id="rId97" w:history="1">
        <w:r>
          <w:rPr>
            <w:color w:val="0563C1"/>
            <w:u w:val="single"/>
          </w:rPr>
          <w:t>michigan.gov/mde</w:t>
        </w:r>
      </w:hyperlink>
      <w:r>
        <w:t>, Suche: Out-of-Country Applicants)</w:t>
      </w:r>
    </w:p>
    <w:p w14:paraId="70A4CE5A"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5D"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E5B" w14:textId="77777777" w:rsidR="00C1548D" w:rsidRDefault="009B1B4B">
            <w:pPr>
              <w:keepNext/>
              <w:spacing w:after="70" w:line="240" w:lineRule="auto"/>
            </w:pPr>
            <w:r>
              <w:rPr>
                <w:b/>
                <w:bCs/>
                <w:color w:val="6B7280"/>
                <w:spacing w:val="24"/>
                <w:sz w:val="16"/>
                <w:szCs w:val="16"/>
              </w:rPr>
              <w:t>STAND</w:t>
            </w:r>
          </w:p>
          <w:p w14:paraId="70A4CE5C" w14:textId="5ADFBBE6" w:rsidR="00C1548D" w:rsidRDefault="009B1B4B" w:rsidP="009B1B4B">
            <w:pPr>
              <w:pStyle w:val="ListParagraph"/>
              <w:numPr>
                <w:ilvl w:val="0"/>
                <w:numId w:val="17"/>
              </w:numPr>
              <w:spacing w:after="50" w:line="264" w:lineRule="auto"/>
            </w:pPr>
            <w:r>
              <w:rPr>
                <w:sz w:val="20"/>
                <w:szCs w:val="20"/>
              </w:rPr>
              <w:t>September 2026. Diese Angaben ändern sich schnell: das Vorhaben zur Abschaffung der H-4-Arbeitserlaubnis (RIN 1615-AD14, kein Entwurf veröffentlicht), die Gebühren für I-765, I-539 und I-485 (G-1055), die Regeln zur Verlängerung von Arbeitserlaubnissen, die Stichtage im Visa Bulletin und damit der Schutz durch den CSPA, die Entwürfe zu 103.265 $ und zur 60-Tage-Frist (Kapitel </w:t>
            </w:r>
            <w:hyperlink w:anchor="k5" w:history="1">
              <w:r>
                <w:rPr>
                  <w:sz w:val="20"/>
                  <w:szCs w:val="20"/>
                </w:rPr>
                <w:t>5</w:t>
              </w:r>
            </w:hyperlink>
            <w:r>
              <w:rPr>
                <w:sz w:val="20"/>
                <w:szCs w:val="20"/>
              </w:rPr>
              <w:t>) sowie die Regeln der Bundesstaaten und Hochschulen zu Lizenzen und Studiengebühren. Prüfe vor jeder Entscheidung uscis.gov und die Kanzlei deines Arbeitgebers.</w:t>
            </w:r>
          </w:p>
        </w:tc>
      </w:tr>
    </w:tbl>
    <w:p w14:paraId="70A4CE5E" w14:textId="77777777" w:rsidR="00C1548D" w:rsidRDefault="00C1548D">
      <w:pPr>
        <w:spacing w:line="220" w:lineRule="exact"/>
      </w:pPr>
    </w:p>
    <w:p w14:paraId="70A4CE5F" w14:textId="77777777" w:rsidR="00C1548D" w:rsidRDefault="009B1B4B">
      <w:pPr>
        <w:pStyle w:val="Heading2"/>
        <w:keepNext/>
        <w:pageBreakBefore/>
        <w:jc w:val="center"/>
      </w:pPr>
      <w:bookmarkStart w:id="29" w:name="k11"/>
      <w:bookmarkStart w:id="30" w:name="_Toc241352461"/>
      <w:r>
        <w:rPr>
          <w:rFonts w:ascii="Amazon Ember" w:eastAsia="Amazon Ember" w:hAnsi="Amazon Ember" w:cs="Amazon Ember"/>
          <w:color w:val="0000FF"/>
          <w:sz w:val="36"/>
          <w:szCs w:val="36"/>
        </w:rPr>
        <w:lastRenderedPageBreak/>
        <w:t>Kapitel 11: Antrag, Konsulat, Anwalt, Kosten</w:t>
      </w:r>
      <w:bookmarkEnd w:id="29"/>
      <w:bookmarkEnd w:id="30"/>
    </w:p>
    <w:p w14:paraId="70A4CE60" w14:textId="77777777" w:rsidR="00C1548D" w:rsidRDefault="009B1B4B">
      <w:pPr>
        <w:spacing w:after="140"/>
      </w:pPr>
      <w:r>
        <w:t>Die Mail der Kanzlei kommt an einem Dienstagabend, Betreff: „Approved“. Im Anhang liegt der Genehmigungsbescheid (</w:t>
      </w:r>
      <w:r>
        <w:rPr>
          <w:i/>
          <w:iCs/>
        </w:rPr>
        <w:t>Form I-797</w:t>
      </w:r>
      <w:r>
        <w:t>), und du atmest auf – bis du weiterliest: DS-160 ausfüllen, Gebühr zahlen, Termin buchen, Interview. Die Genehmigung der Einwanderungsbehörde ist erst die erste von drei Entscheidungen. Dieses Kapitel führt durch alles, was danach kommt: wer was macht, was es kostet und wo es hakt.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68"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E61" w14:textId="77777777" w:rsidR="00C1548D" w:rsidRDefault="009B1B4B">
            <w:pPr>
              <w:keepNext/>
              <w:spacing w:after="70" w:line="240" w:lineRule="auto"/>
            </w:pPr>
            <w:r>
              <w:rPr>
                <w:b/>
                <w:bCs/>
                <w:color w:val="1F3A5F"/>
                <w:spacing w:val="24"/>
                <w:sz w:val="16"/>
                <w:szCs w:val="16"/>
              </w:rPr>
              <w:t>KURZ GESAGT</w:t>
            </w:r>
          </w:p>
          <w:p w14:paraId="70A4CE62" w14:textId="77777777" w:rsidR="00C1548D" w:rsidRDefault="009B1B4B" w:rsidP="009B1B4B">
            <w:pPr>
              <w:pStyle w:val="ListParagraph"/>
              <w:numPr>
                <w:ilvl w:val="0"/>
                <w:numId w:val="1"/>
              </w:numPr>
              <w:spacing w:after="50" w:line="264" w:lineRule="auto"/>
            </w:pPr>
            <w:r>
              <w:rPr>
                <w:sz w:val="20"/>
                <w:szCs w:val="20"/>
              </w:rPr>
              <w:t>Dein Arbeitgeber ist Antragsteller, zahlt die Petition und beauftragt die Kanzlei; diese vertritt ihn, nicht dich. DS-160, Konsulargebühr und Interview sind deine Sache.</w:t>
            </w:r>
          </w:p>
          <w:p w14:paraId="70A4CE63" w14:textId="77777777" w:rsidR="00C1548D" w:rsidRDefault="009B1B4B" w:rsidP="009B1B4B">
            <w:pPr>
              <w:pStyle w:val="ListParagraph"/>
              <w:numPr>
                <w:ilvl w:val="0"/>
                <w:numId w:val="1"/>
              </w:numPr>
              <w:spacing w:after="50" w:line="264" w:lineRule="auto"/>
            </w:pPr>
            <w:r>
              <w:rPr>
                <w:sz w:val="20"/>
                <w:szCs w:val="20"/>
              </w:rPr>
              <w:t>In Frankfurt, Berlin oder München erscheinst du persönlich: Ausnahmen vom Interview gibt es für H-1B und H-4 seit dem 2. September 2025 nicht mehr.</w:t>
            </w:r>
          </w:p>
          <w:p w14:paraId="70A4CE64" w14:textId="77777777" w:rsidR="00C1548D" w:rsidRDefault="009B1B4B" w:rsidP="009B1B4B">
            <w:pPr>
              <w:pStyle w:val="ListParagraph"/>
              <w:numPr>
                <w:ilvl w:val="0"/>
                <w:numId w:val="1"/>
              </w:numPr>
              <w:spacing w:after="50" w:line="264" w:lineRule="auto"/>
            </w:pPr>
            <w:r>
              <w:rPr>
                <w:sz w:val="20"/>
                <w:szCs w:val="20"/>
              </w:rPr>
              <w:t>Neu sind die Prüfung deiner Online-Profile (seit 15. Dezember 2025) und kürzere Fristen bei Nachforderungen (seit 5. August 2026); die 250 $ Visa Integrity Fee werden uneinheitlich erhoben.</w:t>
            </w:r>
          </w:p>
          <w:p w14:paraId="70A4CE65" w14:textId="77777777" w:rsidR="00C1548D" w:rsidRDefault="009B1B4B" w:rsidP="009B1B4B">
            <w:pPr>
              <w:pStyle w:val="ListParagraph"/>
              <w:numPr>
                <w:ilvl w:val="0"/>
                <w:numId w:val="1"/>
              </w:numPr>
              <w:spacing w:after="50" w:line="264" w:lineRule="auto"/>
            </w:pPr>
            <w:r>
              <w:rPr>
                <w:sz w:val="20"/>
                <w:szCs w:val="20"/>
              </w:rPr>
              <w:t>Deine Kosten: 205 $ je Person, dazu möglicherweise 250 $ je Visum. Der Arbeitgeber investiert grob 5.600–11.600 $ je H-1B-Erstpetition.</w:t>
            </w:r>
          </w:p>
          <w:p w14:paraId="70A4CE66" w14:textId="77777777" w:rsidR="00C1548D" w:rsidRDefault="009B1B4B" w:rsidP="009B1B4B">
            <w:pPr>
              <w:pStyle w:val="ListParagraph"/>
              <w:numPr>
                <w:ilvl w:val="0"/>
                <w:numId w:val="1"/>
              </w:numPr>
              <w:spacing w:after="50" w:line="264" w:lineRule="auto"/>
            </w:pPr>
            <w:r>
              <w:rPr>
                <w:sz w:val="20"/>
                <w:szCs w:val="20"/>
              </w:rPr>
              <w:t>Ein 221(g)-Vermerk (</w:t>
            </w:r>
            <w:r>
              <w:rPr>
                <w:i/>
                <w:iCs/>
                <w:sz w:val="20"/>
                <w:szCs w:val="20"/>
              </w:rPr>
              <w:t>Administrative Processing</w:t>
            </w:r>
            <w:r>
              <w:rPr>
                <w:sz w:val="20"/>
                <w:szCs w:val="20"/>
              </w:rPr>
              <w:t>) kann Wochen bis Monate dauern: Kündige erst, wenn das Visum im Pass steht.</w:t>
            </w:r>
          </w:p>
          <w:p w14:paraId="70A4CE67" w14:textId="77777777" w:rsidR="00C1548D" w:rsidRDefault="009B1B4B" w:rsidP="009B1B4B">
            <w:pPr>
              <w:pStyle w:val="ListParagraph"/>
              <w:numPr>
                <w:ilvl w:val="0"/>
                <w:numId w:val="1"/>
              </w:numPr>
              <w:spacing w:after="50" w:line="264" w:lineRule="auto"/>
            </w:pPr>
            <w:r>
              <w:rPr>
                <w:sz w:val="20"/>
                <w:szCs w:val="20"/>
              </w:rPr>
              <w:t>Vertreten dürfen dich nur zugelassene Anwälte, „Visa-Berater“ und Notare gehören nicht dazu.</w:t>
            </w:r>
          </w:p>
        </w:tc>
      </w:tr>
    </w:tbl>
    <w:p w14:paraId="70A4CE69" w14:textId="77777777" w:rsidR="00C1548D" w:rsidRDefault="00C1548D">
      <w:pPr>
        <w:spacing w:line="220" w:lineRule="exact"/>
      </w:pPr>
    </w:p>
    <w:p w14:paraId="70A4CE6A" w14:textId="77777777" w:rsidR="00C1548D" w:rsidRDefault="009B1B4B">
      <w:pPr>
        <w:pStyle w:val="Heading3"/>
        <w:keepNext/>
        <w:jc w:val="center"/>
      </w:pPr>
      <w:r>
        <w:rPr>
          <w:rFonts w:ascii="Amazon Ember" w:eastAsia="Amazon Ember" w:hAnsi="Amazon Ember" w:cs="Amazon Ember"/>
          <w:color w:val="0000FF"/>
          <w:sz w:val="36"/>
          <w:szCs w:val="36"/>
        </w:rPr>
        <w:lastRenderedPageBreak/>
        <w:t>Wer macht was: Arbeitgeber, Kanzlei und du</w:t>
      </w:r>
    </w:p>
    <w:p w14:paraId="70A4CE6B" w14:textId="0F63F956" w:rsidR="00C1548D" w:rsidRDefault="009B1B4B">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history="1">
        <w:r>
          <w:t>6</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1"/>
        <w:gridCol w:w="1868"/>
        <w:gridCol w:w="2171"/>
        <w:gridCol w:w="950"/>
      </w:tblGrid>
      <w:tr w:rsidR="00C1548D" w14:paraId="70A4CE70" w14:textId="77777777">
        <w:tblPrEx>
          <w:tblCellMar>
            <w:top w:w="0" w:type="dxa"/>
            <w:bottom w:w="0" w:type="dxa"/>
          </w:tblCellMar>
        </w:tblPrEx>
        <w:trPr>
          <w:cantSplit/>
          <w:tblHeader/>
        </w:trPr>
        <w:tc>
          <w:tcPr>
            <w:tcW w:w="149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E6C" w14:textId="77777777" w:rsidR="00C1548D" w:rsidRDefault="009B1B4B">
            <w:pPr>
              <w:spacing w:line="250" w:lineRule="auto"/>
            </w:pPr>
            <w:r>
              <w:rPr>
                <w:b/>
                <w:bCs/>
                <w:sz w:val="18"/>
                <w:szCs w:val="18"/>
              </w:rPr>
              <w:t>Schritt</w:t>
            </w:r>
          </w:p>
        </w:tc>
        <w:tc>
          <w:tcPr>
            <w:tcW w:w="186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E6D" w14:textId="77777777" w:rsidR="00C1548D" w:rsidRDefault="009B1B4B">
            <w:pPr>
              <w:spacing w:line="250" w:lineRule="auto"/>
            </w:pPr>
            <w:r>
              <w:rPr>
                <w:b/>
                <w:bCs/>
                <w:sz w:val="18"/>
                <w:szCs w:val="18"/>
              </w:rPr>
              <w:t>Arbeitgeber und Kanzlei</w:t>
            </w:r>
          </w:p>
        </w:tc>
        <w:tc>
          <w:tcPr>
            <w:tcW w:w="217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E6E" w14:textId="77777777" w:rsidR="00C1548D" w:rsidRDefault="009B1B4B">
            <w:pPr>
              <w:spacing w:line="250" w:lineRule="auto"/>
            </w:pPr>
            <w:r>
              <w:rPr>
                <w:b/>
                <w:bCs/>
                <w:sz w:val="18"/>
                <w:szCs w:val="18"/>
              </w:rPr>
              <w:t>Du</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E6F" w14:textId="77777777" w:rsidR="00C1548D" w:rsidRDefault="009B1B4B">
            <w:pPr>
              <w:spacing w:line="250" w:lineRule="auto"/>
            </w:pPr>
            <w:r>
              <w:rPr>
                <w:b/>
                <w:bCs/>
                <w:sz w:val="18"/>
                <w:szCs w:val="18"/>
              </w:rPr>
              <w:t>Zahlt</w:t>
            </w:r>
          </w:p>
        </w:tc>
      </w:tr>
      <w:tr w:rsidR="00C1548D" w14:paraId="70A4CE75"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1" w14:textId="77777777" w:rsidR="00C1548D" w:rsidRDefault="009B1B4B">
            <w:pPr>
              <w:spacing w:line="250" w:lineRule="auto"/>
            </w:pPr>
            <w:r>
              <w:rPr>
                <w:sz w:val="18"/>
                <w:szCs w:val="18"/>
              </w:rPr>
              <w:t>Lohn-Level, Diplombewertung</w:t>
            </w:r>
          </w:p>
        </w:tc>
        <w:tc>
          <w:tcPr>
            <w:tcW w:w="1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2" w14:textId="77777777" w:rsidR="00C1548D" w:rsidRDefault="009B1B4B">
            <w:pPr>
              <w:spacing w:line="250" w:lineRule="auto"/>
            </w:pPr>
            <w:r>
              <w:rPr>
                <w:sz w:val="18"/>
                <w:szCs w:val="18"/>
              </w:rPr>
              <w:t>prüfen und entscheiden</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3" w14:textId="77777777" w:rsidR="00C1548D" w:rsidRDefault="009B1B4B">
            <w:pPr>
              <w:spacing w:line="250" w:lineRule="auto"/>
            </w:pPr>
            <w:r>
              <w:rPr>
                <w:sz w:val="18"/>
                <w:szCs w:val="18"/>
              </w:rPr>
              <w:t>Zeugnisse und Lebenslauf liefern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4" w14:textId="77777777" w:rsidR="00C1548D" w:rsidRDefault="009B1B4B">
            <w:pPr>
              <w:spacing w:line="250" w:lineRule="auto"/>
            </w:pPr>
            <w:r>
              <w:rPr>
                <w:sz w:val="18"/>
                <w:szCs w:val="18"/>
              </w:rPr>
              <w:t>Arbeitgeber</w:t>
            </w:r>
          </w:p>
        </w:tc>
      </w:tr>
      <w:tr w:rsidR="00C1548D" w14:paraId="70A4CE7A"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6" w14:textId="77777777" w:rsidR="00C1548D" w:rsidRDefault="009B1B4B">
            <w:pPr>
              <w:spacing w:line="250" w:lineRule="auto"/>
            </w:pPr>
            <w:r>
              <w:rPr>
                <w:sz w:val="18"/>
                <w:szCs w:val="18"/>
              </w:rPr>
              <w:t>Registrierung (März)</w:t>
            </w:r>
          </w:p>
        </w:tc>
        <w:tc>
          <w:tcPr>
            <w:tcW w:w="1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7" w14:textId="77777777" w:rsidR="00C1548D" w:rsidRDefault="009B1B4B">
            <w:pPr>
              <w:spacing w:line="250" w:lineRule="auto"/>
            </w:pPr>
            <w:r>
              <w:rPr>
                <w:sz w:val="18"/>
                <w:szCs w:val="18"/>
              </w:rPr>
              <w:t>trägt ein, meldet das Lohn-Level</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8" w14:textId="77777777" w:rsidR="00C1548D" w:rsidRDefault="009B1B4B">
            <w:pPr>
              <w:spacing w:line="250" w:lineRule="auto"/>
            </w:pPr>
            <w:r>
              <w:rPr>
                <w:sz w:val="18"/>
                <w:szCs w:val="18"/>
              </w:rPr>
              <w:t>Passdaten korrekt melden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9" w14:textId="77777777" w:rsidR="00C1548D" w:rsidRDefault="009B1B4B">
            <w:pPr>
              <w:spacing w:line="250" w:lineRule="auto"/>
            </w:pPr>
            <w:r>
              <w:rPr>
                <w:sz w:val="18"/>
                <w:szCs w:val="18"/>
              </w:rPr>
              <w:t>Arbeitgeber</w:t>
            </w:r>
          </w:p>
        </w:tc>
      </w:tr>
      <w:tr w:rsidR="00C1548D" w14:paraId="70A4CE7F"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B" w14:textId="77777777" w:rsidR="00C1548D" w:rsidRDefault="009B1B4B">
            <w:pPr>
              <w:spacing w:line="250" w:lineRule="auto"/>
            </w:pPr>
            <w:r>
              <w:rPr>
                <w:sz w:val="18"/>
                <w:szCs w:val="18"/>
              </w:rPr>
              <w:t>LCA und Petition</w:t>
            </w:r>
          </w:p>
        </w:tc>
        <w:tc>
          <w:tcPr>
            <w:tcW w:w="1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C" w14:textId="77777777" w:rsidR="00C1548D" w:rsidRDefault="009B1B4B">
            <w:pPr>
              <w:spacing w:line="250" w:lineRule="auto"/>
            </w:pPr>
            <w:r>
              <w:rPr>
                <w:sz w:val="18"/>
                <w:szCs w:val="18"/>
              </w:rPr>
              <w:t>erstellen und reichen ein</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D" w14:textId="77777777" w:rsidR="00C1548D" w:rsidRDefault="009B1B4B">
            <w:pPr>
              <w:spacing w:line="250" w:lineRule="auto"/>
            </w:pPr>
            <w:r>
              <w:rPr>
                <w:sz w:val="18"/>
                <w:szCs w:val="18"/>
              </w:rPr>
              <w:t>Angaben prüfen, Rückfragen zügig beantworten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7E" w14:textId="77777777" w:rsidR="00C1548D" w:rsidRDefault="009B1B4B">
            <w:pPr>
              <w:spacing w:line="250" w:lineRule="auto"/>
            </w:pPr>
            <w:r>
              <w:rPr>
                <w:sz w:val="18"/>
                <w:szCs w:val="18"/>
              </w:rPr>
              <w:t>Arbeitgeber</w:t>
            </w:r>
          </w:p>
        </w:tc>
      </w:tr>
      <w:tr w:rsidR="00C1548D" w14:paraId="70A4CE84"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0" w14:textId="77777777" w:rsidR="00C1548D" w:rsidRDefault="009B1B4B">
            <w:pPr>
              <w:spacing w:line="250" w:lineRule="auto"/>
            </w:pPr>
            <w:r>
              <w:rPr>
                <w:sz w:val="18"/>
                <w:szCs w:val="18"/>
              </w:rPr>
              <w:t>Nachforderung (RFE)</w:t>
            </w:r>
          </w:p>
        </w:tc>
        <w:tc>
          <w:tcPr>
            <w:tcW w:w="1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1" w14:textId="77777777" w:rsidR="00C1548D" w:rsidRDefault="009B1B4B">
            <w:pPr>
              <w:spacing w:line="250" w:lineRule="auto"/>
            </w:pPr>
            <w:r>
              <w:rPr>
                <w:sz w:val="18"/>
                <w:szCs w:val="18"/>
              </w:rPr>
              <w:t>antwortet fristgerecht</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2" w14:textId="77777777" w:rsidR="00C1548D" w:rsidRDefault="009B1B4B">
            <w:pPr>
              <w:spacing w:line="250" w:lineRule="auto"/>
            </w:pPr>
            <w:r>
              <w:rPr>
                <w:sz w:val="18"/>
                <w:szCs w:val="18"/>
              </w:rPr>
              <w:t>Unterlagen binnen Tagen liefern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3" w14:textId="77777777" w:rsidR="00C1548D" w:rsidRDefault="009B1B4B">
            <w:pPr>
              <w:spacing w:line="250" w:lineRule="auto"/>
            </w:pPr>
            <w:r>
              <w:rPr>
                <w:sz w:val="18"/>
                <w:szCs w:val="18"/>
              </w:rPr>
              <w:t>Arbeitgeber</w:t>
            </w:r>
          </w:p>
        </w:tc>
      </w:tr>
      <w:tr w:rsidR="00C1548D" w14:paraId="70A4CE89"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5" w14:textId="77777777" w:rsidR="00C1548D" w:rsidRDefault="009B1B4B">
            <w:pPr>
              <w:spacing w:line="250" w:lineRule="auto"/>
            </w:pPr>
            <w:r>
              <w:rPr>
                <w:sz w:val="18"/>
                <w:szCs w:val="18"/>
              </w:rPr>
              <w:t>DS-160, Gebühr, Termin</w:t>
            </w:r>
          </w:p>
        </w:tc>
        <w:tc>
          <w:tcPr>
            <w:tcW w:w="1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6" w14:textId="77777777" w:rsidR="00C1548D" w:rsidRDefault="009B1B4B">
            <w:pPr>
              <w:spacing w:line="250" w:lineRule="auto"/>
            </w:pPr>
            <w:r>
              <w:rPr>
                <w:sz w:val="18"/>
                <w:szCs w:val="18"/>
              </w:rPr>
              <w:t>erklären den Ablauf</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7" w14:textId="77777777" w:rsidR="00C1548D" w:rsidRDefault="009B1B4B">
            <w:pPr>
              <w:spacing w:line="250" w:lineRule="auto"/>
            </w:pPr>
            <w:r>
              <w:rPr>
                <w:sz w:val="18"/>
                <w:szCs w:val="18"/>
              </w:rPr>
              <w:t>ausfüllen, zahlen, buchen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8" w14:textId="77777777" w:rsidR="00C1548D" w:rsidRDefault="009B1B4B">
            <w:pPr>
              <w:spacing w:line="250" w:lineRule="auto"/>
            </w:pPr>
            <w:r>
              <w:rPr>
                <w:sz w:val="18"/>
                <w:szCs w:val="18"/>
              </w:rPr>
              <w:t>du, oft erstattet</w:t>
            </w:r>
          </w:p>
        </w:tc>
      </w:tr>
      <w:tr w:rsidR="00C1548D" w14:paraId="70A4CE8E"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A" w14:textId="77777777" w:rsidR="00C1548D" w:rsidRDefault="009B1B4B">
            <w:pPr>
              <w:spacing w:line="250" w:lineRule="auto"/>
            </w:pPr>
            <w:r>
              <w:rPr>
                <w:sz w:val="18"/>
                <w:szCs w:val="18"/>
              </w:rPr>
              <w:t>Interview</w:t>
            </w:r>
          </w:p>
        </w:tc>
        <w:tc>
          <w:tcPr>
            <w:tcW w:w="1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B" w14:textId="77777777" w:rsidR="00C1548D" w:rsidRDefault="009B1B4B">
            <w:pPr>
              <w:spacing w:line="250" w:lineRule="auto"/>
            </w:pPr>
            <w:r>
              <w:rPr>
                <w:sz w:val="18"/>
                <w:szCs w:val="18"/>
              </w:rPr>
              <w:t>schicken Bescheid und Briefing</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C" w14:textId="77777777" w:rsidR="00C1548D" w:rsidRDefault="009B1B4B">
            <w:pPr>
              <w:spacing w:line="250" w:lineRule="auto"/>
            </w:pPr>
            <w:r>
              <w:rPr>
                <w:sz w:val="18"/>
                <w:szCs w:val="18"/>
              </w:rPr>
              <w:t>erscheinst persönlich</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D" w14:textId="77777777" w:rsidR="00C1548D" w:rsidRDefault="009B1B4B">
            <w:pPr>
              <w:spacing w:line="250" w:lineRule="auto"/>
            </w:pPr>
            <w:r>
              <w:rPr>
                <w:sz w:val="18"/>
                <w:szCs w:val="18"/>
              </w:rPr>
              <w:t>–</w:t>
            </w:r>
          </w:p>
        </w:tc>
      </w:tr>
      <w:tr w:rsidR="00C1548D" w14:paraId="70A4CE93"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8F" w14:textId="77777777" w:rsidR="00C1548D" w:rsidRDefault="009B1B4B">
            <w:pPr>
              <w:spacing w:line="250" w:lineRule="auto"/>
            </w:pPr>
            <w:r>
              <w:rPr>
                <w:sz w:val="18"/>
                <w:szCs w:val="18"/>
              </w:rPr>
              <w:t>Einreise, I-94</w:t>
            </w:r>
          </w:p>
        </w:tc>
        <w:tc>
          <w:tcPr>
            <w:tcW w:w="1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90" w14:textId="77777777" w:rsidR="00C1548D" w:rsidRDefault="009B1B4B">
            <w:pPr>
              <w:spacing w:line="250" w:lineRule="auto"/>
            </w:pPr>
            <w:r>
              <w:rPr>
                <w:sz w:val="18"/>
                <w:szCs w:val="18"/>
              </w:rPr>
              <w:t>–</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91" w14:textId="77777777" w:rsidR="00C1548D" w:rsidRDefault="009B1B4B">
            <w:pPr>
              <w:spacing w:line="250" w:lineRule="auto"/>
            </w:pPr>
            <w:r>
              <w:rPr>
                <w:sz w:val="18"/>
                <w:szCs w:val="18"/>
              </w:rPr>
              <w:t>prüfst den Eintrag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92" w14:textId="77777777" w:rsidR="00C1548D" w:rsidRDefault="009B1B4B">
            <w:pPr>
              <w:spacing w:line="250" w:lineRule="auto"/>
            </w:pPr>
            <w:r>
              <w:rPr>
                <w:sz w:val="18"/>
                <w:szCs w:val="18"/>
              </w:rPr>
              <w:t>–</w:t>
            </w:r>
          </w:p>
        </w:tc>
      </w:tr>
    </w:tbl>
    <w:p w14:paraId="70A4CE94" w14:textId="77777777" w:rsidR="00C1548D" w:rsidRDefault="00C1548D">
      <w:pPr>
        <w:spacing w:line="180" w:lineRule="exact"/>
      </w:pPr>
    </w:p>
    <w:p w14:paraId="70A4CE95" w14:textId="29DC5DF5" w:rsidR="00C1548D" w:rsidRDefault="009B1B4B">
      <w:pPr>
        <w:spacing w:after="140"/>
      </w:pPr>
      <w:r>
        <w:t>Wer bereits in den USA ist, etwa als Student mit Statuswechsel von F-1 zu H-1B, braucht kein Konsulat (Kapitel </w:t>
      </w:r>
      <w:hyperlink w:anchor="k8" w:history="1">
        <w:r>
          <w:t>8</w:t>
        </w:r>
      </w:hyperlink>
      <w:r>
        <w:t>). Für Ehepartner und Kinder (H-4) gilt der Ablauf ab dem DS-160 genauso – jede Person mit eigenem Formular und eigener Gebühr (Kapitel </w:t>
      </w:r>
      <w:hyperlink w:anchor="k10" w:history="1">
        <w:r>
          <w:t>10</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98"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E96" w14:textId="77777777" w:rsidR="00C1548D" w:rsidRDefault="009B1B4B">
            <w:pPr>
              <w:keepNext/>
              <w:spacing w:after="70" w:line="240" w:lineRule="auto"/>
            </w:pPr>
            <w:r>
              <w:rPr>
                <w:b/>
                <w:bCs/>
                <w:color w:val="8A6212"/>
                <w:spacing w:val="24"/>
                <w:sz w:val="16"/>
                <w:szCs w:val="16"/>
              </w:rPr>
              <w:lastRenderedPageBreak/>
              <w:t>MERKE</w:t>
            </w:r>
          </w:p>
          <w:p w14:paraId="70A4CE97" w14:textId="77777777" w:rsidR="00C1548D" w:rsidRDefault="009B1B4B">
            <w:pPr>
              <w:spacing w:after="80" w:line="264" w:lineRule="auto"/>
            </w:pPr>
            <w:r>
              <w:rPr>
                <w:sz w:val="20"/>
                <w:szCs w:val="20"/>
              </w:rPr>
              <w:t xml:space="preserve">Drei Stellen, drei Entscheidungen. USCIS genehmigt die Petition, das Konsulat erteilt das </w:t>
            </w:r>
            <w:r>
              <w:rPr>
                <w:i/>
                <w:iCs/>
                <w:sz w:val="20"/>
                <w:szCs w:val="20"/>
              </w:rPr>
              <w:t>Visum</w:t>
            </w:r>
            <w:r>
              <w:rPr>
                <w:sz w:val="20"/>
                <w:szCs w:val="20"/>
              </w:rPr>
              <w:t xml:space="preserve"> (das Einreisedokument im Pass), der Grenzschutz CBP gewährt bei der Einreise den </w:t>
            </w:r>
            <w:r>
              <w:rPr>
                <w:i/>
                <w:iCs/>
                <w:sz w:val="20"/>
                <w:szCs w:val="20"/>
              </w:rPr>
              <w:t>Status</w:t>
            </w:r>
            <w:r>
              <w:rPr>
                <w:sz w:val="20"/>
                <w:szCs w:val="20"/>
              </w:rPr>
              <w:t xml:space="preserve"> (das Aufenthaltsrecht, dokumentiert im I-94). Eine Genehmigung garantiert kein Visum, und ein Visum garantiert keine Einreise.</w:t>
            </w:r>
          </w:p>
        </w:tc>
      </w:tr>
    </w:tbl>
    <w:p w14:paraId="70A4CE99" w14:textId="77777777" w:rsidR="00C1548D" w:rsidRDefault="00C1548D">
      <w:pPr>
        <w:spacing w:line="220" w:lineRule="exact"/>
      </w:pPr>
    </w:p>
    <w:p w14:paraId="70A4CE9A" w14:textId="77777777" w:rsidR="00C1548D" w:rsidRDefault="009B1B4B">
      <w:pPr>
        <w:pStyle w:val="Heading3"/>
        <w:keepNext/>
        <w:jc w:val="center"/>
      </w:pPr>
      <w:r>
        <w:rPr>
          <w:rFonts w:ascii="Amazon Ember" w:eastAsia="Amazon Ember" w:hAnsi="Amazon Ember" w:cs="Amazon Ember"/>
          <w:color w:val="0000FF"/>
          <w:sz w:val="36"/>
          <w:szCs w:val="36"/>
        </w:rPr>
        <w:t>Einen eigenen Anwalt finden und bezahlen</w:t>
      </w:r>
    </w:p>
    <w:p w14:paraId="70A4CE9B" w14:textId="45B8CD9F" w:rsidR="00C1548D" w:rsidRDefault="009B1B4B">
      <w:pPr>
        <w:spacing w:after="140"/>
      </w:pPr>
      <w:r>
        <w:t>Ein eigener Anwalt lohnt sich, wenn dein Fall über den Standard hinausgeht: Du hast eine Vorgeschichte (verweigertes Visum, Aufenthalt über die erlaubte Zeit, Vorstrafe), du gründest selbst (E-2, O-1; Kapitel </w:t>
      </w:r>
      <w:hyperlink w:anchor="k9" w:history="1">
        <w:r>
          <w:t>9</w:t>
        </w:r>
      </w:hyperlink>
      <w:r>
        <w:t>), dein Arbeitgeber hat wenig Visa-Erfahrung, oder du willst eine Zweitmeinung zu Zeitplan, Lohn-Level und Risiken – die Kanzlei deines Arbeitgebers ist an dessen Interessen gebunden.</w:t>
      </w:r>
    </w:p>
    <w:p w14:paraId="70A4CE9C" w14:textId="77777777" w:rsidR="00C1548D" w:rsidRDefault="009B1B4B">
      <w:pPr>
        <w:spacing w:after="140"/>
      </w:pPr>
      <w:r>
        <w:t>Einwanderungsrecht ist Bundesrecht, deshalb genügt in der Regel die Zulassung in irgendeinem Bundesstaat; der Zielort spielt keine Rolle, Videotermine sind üblich. Die Anwaltskammer des Bundesstaats (</w:t>
      </w:r>
      <w:r>
        <w:rPr>
          <w:i/>
          <w:iCs/>
        </w:rPr>
        <w:t>State Bar</w:t>
      </w:r>
      <w:r>
        <w:t>) führt eine öffentliche Suche mit Zulassungsstatus und Disziplinarverfahren, der Berufsverband AILA betreibt unter ailalawyer.com eine Anwaltssuche. Frage im Erstgespräch nach der Zahl vergleichbarer Fälle pro Jahr, wer deinen Fall bearbeitet (Partner oder Mitarbeiter) und ob die Antwort auf eine Nachforderung im Preis enthalten ist. Lass dir alles schriftlich geben (</w:t>
      </w:r>
      <w:r>
        <w:rPr>
          <w:i/>
          <w:iCs/>
        </w:rPr>
        <w:t>Retainer Agreement</w:t>
      </w:r>
      <w:r>
        <w:t>).</w:t>
      </w:r>
    </w:p>
    <w:p w14:paraId="70A4CE9D" w14:textId="77777777" w:rsidR="00C1548D" w:rsidRDefault="009B1B4B">
      <w:pPr>
        <w:spacing w:after="140"/>
      </w:pPr>
      <w:r>
        <w:t>Die Honorare (Marktangaben von Kanzleien und Vergleichsportalen 2026, kein amtlicher Tarif):</w:t>
      </w:r>
    </w:p>
    <w:p w14:paraId="70A4CE9E" w14:textId="77777777" w:rsidR="00C1548D" w:rsidRDefault="009B1B4B" w:rsidP="009B1B4B">
      <w:pPr>
        <w:pStyle w:val="ListParagraph"/>
        <w:numPr>
          <w:ilvl w:val="0"/>
          <w:numId w:val="1"/>
        </w:numPr>
        <w:spacing w:after="60"/>
      </w:pPr>
      <w:r>
        <w:t>Erstberatung: 100–400 $, manche Kanzleien bieten sie kostenlos an.</w:t>
      </w:r>
    </w:p>
    <w:p w14:paraId="70A4CE9F" w14:textId="77777777" w:rsidR="00C1548D" w:rsidRDefault="009B1B4B" w:rsidP="009B1B4B">
      <w:pPr>
        <w:pStyle w:val="ListParagraph"/>
        <w:numPr>
          <w:ilvl w:val="0"/>
          <w:numId w:val="1"/>
        </w:numPr>
        <w:spacing w:after="60"/>
      </w:pPr>
      <w:r>
        <w:t>Stundensatz: meist 250–500 $, Spanne 150–600 $.</w:t>
      </w:r>
    </w:p>
    <w:p w14:paraId="70A4CEA0" w14:textId="77777777" w:rsidR="00C1548D" w:rsidRDefault="009B1B4B" w:rsidP="009B1B4B">
      <w:pPr>
        <w:pStyle w:val="ListParagraph"/>
        <w:numPr>
          <w:ilvl w:val="0"/>
          <w:numId w:val="1"/>
        </w:numPr>
        <w:spacing w:after="60"/>
      </w:pPr>
      <w:r>
        <w:lastRenderedPageBreak/>
        <w:t>H-1B-Erstpetition als Pauschale: meist 2.000–5.000 $, bezahlt vom Arbeitgeber.</w:t>
      </w:r>
    </w:p>
    <w:p w14:paraId="70A4CEA1" w14:textId="77777777" w:rsidR="00C1548D" w:rsidRDefault="009B1B4B" w:rsidP="009B1B4B">
      <w:pPr>
        <w:pStyle w:val="ListParagraph"/>
        <w:numPr>
          <w:ilvl w:val="0"/>
          <w:numId w:val="1"/>
        </w:numPr>
        <w:spacing w:after="60"/>
      </w:pPr>
      <w:r>
        <w:t>Antwort auf eine Nachforderung: 1.000–3.000 $, teils mehr; manche Pauschalen enthalten sie.</w:t>
      </w:r>
    </w:p>
    <w:p w14:paraId="70A4CEA2" w14:textId="77777777" w:rsidR="00C1548D" w:rsidRDefault="009B1B4B" w:rsidP="009B1B4B">
      <w:pPr>
        <w:pStyle w:val="ListParagraph"/>
        <w:numPr>
          <w:ilvl w:val="0"/>
          <w:numId w:val="1"/>
        </w:numPr>
        <w:spacing w:after="60"/>
      </w:pPr>
      <w:r>
        <w:t>Zweitmeinung für dich: ein bis zwei Stunden, also grob 300–1.000 $.</w:t>
      </w:r>
    </w:p>
    <w:p w14:paraId="70A4CEA3" w14:textId="77777777" w:rsidR="00C1548D" w:rsidRDefault="00C1548D">
      <w:pPr>
        <w:spacing w:line="120" w:lineRule="exact"/>
      </w:pPr>
    </w:p>
    <w:p w14:paraId="70A4CEA4" w14:textId="77777777" w:rsidR="00C1548D" w:rsidRDefault="009B1B4B">
      <w:pPr>
        <w:pStyle w:val="Heading3"/>
        <w:keepNext/>
        <w:jc w:val="center"/>
      </w:pPr>
      <w:r>
        <w:rPr>
          <w:rFonts w:ascii="Amazon Ember" w:eastAsia="Amazon Ember" w:hAnsi="Amazon Ember" w:cs="Amazon Ember"/>
          <w:color w:val="0000FF"/>
          <w:sz w:val="36"/>
          <w:szCs w:val="36"/>
        </w:rPr>
        <w:t>Plus und Minus</w:t>
      </w:r>
    </w:p>
    <w:p w14:paraId="70A4CEA5" w14:textId="77777777" w:rsidR="00C1548D" w:rsidRDefault="009B1B4B">
      <w:pPr>
        <w:spacing w:after="140"/>
      </w:pPr>
      <w:r>
        <w:t>Eigener Anwalt zusätzlich zur Kanzlei des Arbeitgebers: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59"/>
        <w:gridCol w:w="3221"/>
      </w:tblGrid>
      <w:tr w:rsidR="00C1548D" w14:paraId="70A4CEA8" w14:textId="77777777">
        <w:tblPrEx>
          <w:tblCellMar>
            <w:top w:w="0" w:type="dxa"/>
            <w:bottom w:w="0" w:type="dxa"/>
          </w:tblCellMar>
        </w:tblPrEx>
        <w:trPr>
          <w:cantSplit/>
          <w:tblHeader/>
        </w:trPr>
        <w:tc>
          <w:tcPr>
            <w:tcW w:w="325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EA6" w14:textId="77777777" w:rsidR="00C1548D" w:rsidRDefault="009B1B4B">
            <w:pPr>
              <w:spacing w:line="250" w:lineRule="auto"/>
            </w:pPr>
            <w:r>
              <w:rPr>
                <w:b/>
                <w:bCs/>
                <w:sz w:val="18"/>
                <w:szCs w:val="18"/>
              </w:rPr>
              <w:t>Plus</w:t>
            </w:r>
          </w:p>
        </w:tc>
        <w:tc>
          <w:tcPr>
            <w:tcW w:w="322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EA7" w14:textId="77777777" w:rsidR="00C1548D" w:rsidRDefault="009B1B4B">
            <w:pPr>
              <w:spacing w:line="250" w:lineRule="auto"/>
            </w:pPr>
            <w:r>
              <w:rPr>
                <w:b/>
                <w:bCs/>
                <w:sz w:val="18"/>
                <w:szCs w:val="18"/>
              </w:rPr>
              <w:t>Minus</w:t>
            </w:r>
          </w:p>
        </w:tc>
      </w:tr>
      <w:tr w:rsidR="00C1548D" w14:paraId="70A4CEAB" w14:textId="77777777">
        <w:tblPrEx>
          <w:tblCellMar>
            <w:top w:w="0" w:type="dxa"/>
            <w:bottom w:w="0" w:type="dxa"/>
          </w:tblCellMar>
        </w:tblPrEx>
        <w:trPr>
          <w:cantSplit/>
        </w:trPr>
        <w:tc>
          <w:tcPr>
            <w:tcW w:w="3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A9" w14:textId="77777777" w:rsidR="00C1548D" w:rsidRDefault="009B1B4B">
            <w:pPr>
              <w:spacing w:line="250" w:lineRule="auto"/>
            </w:pPr>
            <w:r>
              <w:rPr>
                <w:sz w:val="18"/>
                <w:szCs w:val="18"/>
              </w:rPr>
              <w:t>Berät nur dich, nicht deinen Arbeitgeber</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AA" w14:textId="77777777" w:rsidR="00C1548D" w:rsidRDefault="009B1B4B">
            <w:pPr>
              <w:spacing w:line="250" w:lineRule="auto"/>
            </w:pPr>
            <w:r>
              <w:rPr>
                <w:sz w:val="18"/>
                <w:szCs w:val="18"/>
              </w:rPr>
              <w:t>Erstberatung 100–400 $, danach 250–500 $ pro Stunde</w:t>
            </w:r>
          </w:p>
        </w:tc>
      </w:tr>
      <w:tr w:rsidR="00C1548D" w14:paraId="70A4CEAE" w14:textId="77777777">
        <w:tblPrEx>
          <w:tblCellMar>
            <w:top w:w="0" w:type="dxa"/>
            <w:bottom w:w="0" w:type="dxa"/>
          </w:tblCellMar>
        </w:tblPrEx>
        <w:trPr>
          <w:cantSplit/>
        </w:trPr>
        <w:tc>
          <w:tcPr>
            <w:tcW w:w="3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AC" w14:textId="77777777" w:rsidR="00C1548D" w:rsidRDefault="009B1B4B">
            <w:pPr>
              <w:spacing w:line="250" w:lineRule="auto"/>
            </w:pPr>
            <w:r>
              <w:rPr>
                <w:sz w:val="18"/>
                <w:szCs w:val="18"/>
              </w:rPr>
              <w:t>Zweitmeinung zu Lohn-Level, Zeitplan und Risiken</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AD" w14:textId="77777777" w:rsidR="00C1548D" w:rsidRDefault="009B1B4B">
            <w:pPr>
              <w:spacing w:line="250" w:lineRule="auto"/>
            </w:pPr>
            <w:r>
              <w:rPr>
                <w:sz w:val="18"/>
                <w:szCs w:val="18"/>
              </w:rPr>
              <w:t>Die Petition reicht weiter die Kanzlei des Arbeitgebers ein</w:t>
            </w:r>
          </w:p>
        </w:tc>
      </w:tr>
      <w:tr w:rsidR="00C1548D" w14:paraId="70A4CEB1" w14:textId="77777777">
        <w:tblPrEx>
          <w:tblCellMar>
            <w:top w:w="0" w:type="dxa"/>
            <w:bottom w:w="0" w:type="dxa"/>
          </w:tblCellMar>
        </w:tblPrEx>
        <w:trPr>
          <w:cantSplit/>
        </w:trPr>
        <w:tc>
          <w:tcPr>
            <w:tcW w:w="3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AF" w14:textId="77777777" w:rsidR="00C1548D" w:rsidRDefault="009B1B4B">
            <w:pPr>
              <w:spacing w:line="250" w:lineRule="auto"/>
            </w:pPr>
            <w:r>
              <w:rPr>
                <w:sz w:val="18"/>
                <w:szCs w:val="18"/>
              </w:rPr>
              <w:t>Bleibt Ansprechpartner, auch wenn du die Stelle wechselst</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B0" w14:textId="77777777" w:rsidR="00C1548D" w:rsidRDefault="009B1B4B">
            <w:pPr>
              <w:spacing w:line="250" w:lineRule="auto"/>
            </w:pPr>
            <w:r>
              <w:rPr>
                <w:sz w:val="18"/>
                <w:szCs w:val="18"/>
              </w:rPr>
              <w:t>Zwei Anwälte bedeuten mehr Abstimmung</w:t>
            </w:r>
          </w:p>
        </w:tc>
      </w:tr>
      <w:tr w:rsidR="00C1548D" w14:paraId="70A4CEB4" w14:textId="77777777">
        <w:tblPrEx>
          <w:tblCellMar>
            <w:top w:w="0" w:type="dxa"/>
            <w:bottom w:w="0" w:type="dxa"/>
          </w:tblCellMar>
        </w:tblPrEx>
        <w:trPr>
          <w:cantSplit/>
        </w:trPr>
        <w:tc>
          <w:tcPr>
            <w:tcW w:w="3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B2" w14:textId="77777777" w:rsidR="00C1548D" w:rsidRDefault="009B1B4B">
            <w:pPr>
              <w:spacing w:line="250" w:lineRule="auto"/>
            </w:pPr>
            <w:r>
              <w:rPr>
                <w:sz w:val="18"/>
                <w:szCs w:val="18"/>
              </w:rPr>
              <w:t>Hilft bei Vorgeschichte, Familie und Sonderfällen</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B3" w14:textId="77777777" w:rsidR="00C1548D" w:rsidRDefault="009B1B4B">
            <w:pPr>
              <w:spacing w:line="250" w:lineRule="auto"/>
            </w:pPr>
            <w:r>
              <w:rPr>
                <w:sz w:val="18"/>
                <w:szCs w:val="18"/>
              </w:rPr>
              <w:t>Auch er kann kein Ergebnis garantieren</w:t>
            </w:r>
          </w:p>
        </w:tc>
      </w:tr>
    </w:tbl>
    <w:p w14:paraId="70A4CEB5" w14:textId="77777777" w:rsidR="00C1548D" w:rsidRDefault="00C1548D">
      <w:pPr>
        <w:spacing w:line="180" w:lineRule="exact"/>
      </w:pPr>
    </w:p>
    <w:p w14:paraId="70A4CEB6" w14:textId="77777777" w:rsidR="00C1548D" w:rsidRDefault="009B1B4B">
      <w:pPr>
        <w:pStyle w:val="Heading3"/>
        <w:keepNext/>
        <w:jc w:val="center"/>
      </w:pPr>
      <w:r>
        <w:rPr>
          <w:rFonts w:ascii="Amazon Ember" w:eastAsia="Amazon Ember" w:hAnsi="Amazon Ember" w:cs="Amazon Ember"/>
          <w:color w:val="0000FF"/>
          <w:sz w:val="36"/>
          <w:szCs w:val="36"/>
        </w:rPr>
        <w:t>Betrug erkennen: Notario, Visa-Vermittler, falsche Sponsoren</w:t>
      </w:r>
    </w:p>
    <w:p w14:paraId="70A4CEB7" w14:textId="77777777" w:rsidR="00C1548D" w:rsidRDefault="009B1B4B">
      <w:pPr>
        <w:spacing w:after="140"/>
      </w:pPr>
      <w:r>
        <w:t xml:space="preserve">Die bekannteste Falle heißt </w:t>
      </w:r>
      <w:r>
        <w:rPr>
          <w:i/>
          <w:iCs/>
        </w:rPr>
        <w:t>Notario</w:t>
      </w:r>
      <w:r>
        <w:t xml:space="preserve">: In manchen Ländern ist der </w:t>
      </w:r>
      <w:r>
        <w:rPr>
          <w:i/>
          <w:iCs/>
        </w:rPr>
        <w:t>notario público</w:t>
      </w:r>
      <w:r>
        <w:t xml:space="preserve"> ein Jurist mit weitreichenden Befugnissen. In den USA beglaubigt ein </w:t>
      </w:r>
      <w:r>
        <w:rPr>
          <w:i/>
          <w:iCs/>
        </w:rPr>
        <w:t>Notary Public</w:t>
      </w:r>
      <w:r>
        <w:t xml:space="preserve"> nur Unterschriften; er ist kein Anwalt und darf keinen Rechtsrat geben. Der einzige Titel, den ein US-</w:t>
      </w:r>
      <w:r>
        <w:rPr>
          <w:i/>
          <w:iCs/>
        </w:rPr>
        <w:t>Notary Public</w:t>
      </w:r>
      <w:r>
        <w:t xml:space="preserve"> zuverlässig trägt, ist der eines Stempelkissenbesitzers. Auch wer beim Wort „Notar” an den deutschen Volljuristen denkt, liegt falsch. Betrüger nutzen die Verwechslung, kassieren Vorkasse und reichen falsche oder gar keine Formulare ein.</w:t>
      </w:r>
    </w:p>
    <w:p w14:paraId="70A4CEB8" w14:textId="075AAD5B" w:rsidR="00C1548D" w:rsidRDefault="009B1B4B">
      <w:pPr>
        <w:spacing w:after="140"/>
      </w:pPr>
      <w:r>
        <w:lastRenderedPageBreak/>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history="1">
        <w:r>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B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EB9" w14:textId="77777777" w:rsidR="00C1548D" w:rsidRDefault="009B1B4B">
            <w:pPr>
              <w:keepNext/>
              <w:spacing w:after="70" w:line="240" w:lineRule="auto"/>
            </w:pPr>
            <w:r>
              <w:rPr>
                <w:b/>
                <w:bCs/>
                <w:color w:val="9B2C2C"/>
                <w:spacing w:val="24"/>
                <w:sz w:val="16"/>
                <w:szCs w:val="16"/>
              </w:rPr>
              <w:t>ACHTUNG</w:t>
            </w:r>
          </w:p>
          <w:p w14:paraId="70A4CEBA" w14:textId="77777777" w:rsidR="00C1548D" w:rsidRDefault="009B1B4B">
            <w:pPr>
              <w:spacing w:after="80" w:line="264" w:lineRule="auto"/>
            </w:pPr>
            <w:r>
              <w:rPr>
                <w:sz w:val="20"/>
                <w:szCs w:val="20"/>
              </w:rPr>
              <w:t>Kein Anwalt, Vermittler oder „Berater“ kann ein Visum garantieren oder beschleunigen; Entscheidungen fallen nach Aktenlage, nicht nach Bekanntschaft. Prüfe die Zulassung bei der Anwaltskammer, bevor du zahlst, und unterschreibe nie ein leeres Formular.</w:t>
            </w:r>
          </w:p>
        </w:tc>
      </w:tr>
    </w:tbl>
    <w:p w14:paraId="70A4CEBC"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BF"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EBD" w14:textId="77777777" w:rsidR="00C1548D" w:rsidRDefault="009B1B4B">
            <w:pPr>
              <w:keepNext/>
              <w:spacing w:after="70" w:line="240" w:lineRule="auto"/>
            </w:pPr>
            <w:r>
              <w:rPr>
                <w:b/>
                <w:bCs/>
                <w:color w:val="6B7280"/>
                <w:spacing w:val="24"/>
                <w:sz w:val="16"/>
                <w:szCs w:val="16"/>
              </w:rPr>
              <w:t>KEIN RECHTSRAT</w:t>
            </w:r>
          </w:p>
          <w:p w14:paraId="70A4CEBE" w14:textId="77777777" w:rsidR="00C1548D" w:rsidRDefault="009B1B4B">
            <w:pPr>
              <w:spacing w:after="80" w:line="264" w:lineRule="auto"/>
            </w:pPr>
            <w:r>
              <w:rPr>
                <w:sz w:val="20"/>
                <w:szCs w:val="20"/>
              </w:rPr>
              <w:t>Dieses Kapitel beschreibt Verfahren und Praxis. Es ersetzt keine Beratung durch eine zugelassene Einwanderungsanwältin oder einen zugelassenen Einwanderungsanwalt. Regeln und Gebühren ändern sich; im Einzelfall entscheidet dein Sachverhalt.</w:t>
            </w:r>
          </w:p>
        </w:tc>
      </w:tr>
    </w:tbl>
    <w:p w14:paraId="70A4CEC0" w14:textId="77777777" w:rsidR="00C1548D" w:rsidRDefault="00C1548D">
      <w:pPr>
        <w:spacing w:line="220" w:lineRule="exact"/>
      </w:pPr>
    </w:p>
    <w:p w14:paraId="70A4CEC1" w14:textId="77777777" w:rsidR="00C1548D" w:rsidRDefault="009B1B4B">
      <w:pPr>
        <w:pStyle w:val="Heading3"/>
        <w:keepNext/>
        <w:jc w:val="center"/>
      </w:pPr>
      <w:r>
        <w:rPr>
          <w:rFonts w:ascii="Amazon Ember" w:eastAsia="Amazon Ember" w:hAnsi="Amazon Ember" w:cs="Amazon Ember"/>
          <w:color w:val="0000FF"/>
          <w:sz w:val="36"/>
          <w:szCs w:val="36"/>
        </w:rPr>
        <w:t>Das Konsularverfahren in Deutschland: die Schritte</w:t>
      </w:r>
    </w:p>
    <w:p w14:paraId="70A4CEC2" w14:textId="77777777" w:rsidR="00C1548D" w:rsidRDefault="009B1B4B">
      <w:pPr>
        <w:spacing w:after="140"/>
      </w:pPr>
      <w:r>
        <w:t>Mit ESTA reisen Deutsche in die USA, arbeiten dürfen sie damit nicht. Für H-1B, L-1 oder O-1 brauchst du ein Visum vom Konsulat. Der Ablauf, sobald USCIS genehmigt hat:</w:t>
      </w:r>
    </w:p>
    <w:p w14:paraId="70A4CEC3" w14:textId="77777777" w:rsidR="00C1548D" w:rsidRDefault="009B1B4B" w:rsidP="009B1B4B">
      <w:pPr>
        <w:pStyle w:val="ListParagraph"/>
        <w:numPr>
          <w:ilvl w:val="0"/>
          <w:numId w:val="18"/>
        </w:numPr>
        <w:spacing w:after="60"/>
      </w:pPr>
      <w:r>
        <w:rPr>
          <w:b/>
          <w:bCs/>
        </w:rPr>
        <w:t>Bescheid und Petitionsnummer.</w:t>
      </w:r>
      <w:r>
        <w:t xml:space="preserve"> Die Kanzlei schickt dir den Bescheid (Form I-797) mit der Nummer der Petition (</w:t>
      </w:r>
      <w:r>
        <w:rPr>
          <w:i/>
          <w:iCs/>
        </w:rPr>
        <w:t xml:space="preserve">Receipt </w:t>
      </w:r>
      <w:r>
        <w:rPr>
          <w:i/>
          <w:iCs/>
        </w:rPr>
        <w:lastRenderedPageBreak/>
        <w:t>Number</w:t>
      </w:r>
      <w:r>
        <w:t>), die das DS-160 verlangt. Bitte auch um Kopien von Petition und LCA, damit deine Angaben dazu passen.</w:t>
      </w:r>
    </w:p>
    <w:p w14:paraId="70A4CEC4" w14:textId="77777777" w:rsidR="00C1548D" w:rsidRDefault="009B1B4B" w:rsidP="009B1B4B">
      <w:pPr>
        <w:pStyle w:val="ListParagraph"/>
        <w:numPr>
          <w:ilvl w:val="0"/>
          <w:numId w:val="18"/>
        </w:numPr>
        <w:spacing w:after="60"/>
      </w:pPr>
      <w:r>
        <w:rPr>
          <w:b/>
          <w:bCs/>
        </w:rPr>
        <w:t>DS-160 ausfüllen.</w:t>
      </w:r>
      <w:r>
        <w:t xml:space="preserve"> Das Online-Formular (ceac.state.gov/genniv) ist kostenlos und auf Englisch. Es fragt nach Person, Reisen, Arbeitgebern, Ausbildung, Familie und Social-Media-Konten der letzten fünf Jahre. Drucke die Bestätigungsseite mit Barcode aus.</w:t>
      </w:r>
    </w:p>
    <w:p w14:paraId="70A4CEC5" w14:textId="77777777" w:rsidR="00C1548D" w:rsidRDefault="009B1B4B" w:rsidP="009B1B4B">
      <w:pPr>
        <w:pStyle w:val="ListParagraph"/>
        <w:numPr>
          <w:ilvl w:val="0"/>
          <w:numId w:val="18"/>
        </w:numPr>
        <w:spacing w:after="60"/>
      </w:pPr>
      <w:r>
        <w:rPr>
          <w:b/>
          <w:bCs/>
        </w:rPr>
        <w:t>Gebühr zahlen.</w:t>
      </w:r>
      <w:r>
        <w:t xml:space="preserve"> Die Konsulargebühr (</w:t>
      </w:r>
      <w:r>
        <w:rPr>
          <w:i/>
          <w:iCs/>
        </w:rPr>
        <w:t>MRV fee</w:t>
      </w:r>
      <w:r>
        <w:t>) beträgt 205 $ je Person, auch für H-4. Der Beleg gilt 365 Tage, ohne Zahlung gibt es keinen Termin. Ob für deine Staatsangehörigkeit zusätzlich eine Reziprozitätsgebühr anfällt, zeigt die Länderseite Deutschland auf travel.state.gov.</w:t>
      </w:r>
    </w:p>
    <w:p w14:paraId="70A4CEC6" w14:textId="77777777" w:rsidR="00C1548D" w:rsidRDefault="009B1B4B" w:rsidP="009B1B4B">
      <w:pPr>
        <w:pStyle w:val="ListParagraph"/>
        <w:numPr>
          <w:ilvl w:val="0"/>
          <w:numId w:val="18"/>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einem Monat, in München unter zwei Wochen. Familien buchen gemeinsam.</w:t>
      </w:r>
    </w:p>
    <w:p w14:paraId="70A4CEC7" w14:textId="77777777" w:rsidR="00C1548D" w:rsidRDefault="00C1548D">
      <w:pPr>
        <w:spacing w:line="120" w:lineRule="exact"/>
      </w:pPr>
    </w:p>
    <w:p w14:paraId="70A4CEC8" w14:textId="77777777" w:rsidR="00C1548D" w:rsidRDefault="009B1B4B">
      <w:pPr>
        <w:spacing w:after="140"/>
      </w:pPr>
      <w:r>
        <w:t xml:space="preserve">Die Wartezeiten schwanken wöchentlich; aktuelle Werte zeigt das </w:t>
      </w:r>
      <w:r>
        <w:rPr>
          <w:i/>
          <w:iCs/>
        </w:rPr>
        <w:t>Global Visa Wait Times</w:t>
      </w:r>
      <w:r>
        <w:t>-Tool auf travel.state.gov. Ein Standort mit kürzerer Wartezeit lohnt oft die Bahnfahrt, soweit das Portal ihn anbietet.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7"/>
        <w:gridCol w:w="2326"/>
        <w:gridCol w:w="2587"/>
      </w:tblGrid>
      <w:tr w:rsidR="00C1548D" w14:paraId="70A4CECC" w14:textId="77777777">
        <w:tblPrEx>
          <w:tblCellMar>
            <w:top w:w="0" w:type="dxa"/>
            <w:bottom w:w="0" w:type="dxa"/>
          </w:tblCellMar>
        </w:tblPrEx>
        <w:trPr>
          <w:cantSplit/>
          <w:tblHeader/>
        </w:trPr>
        <w:tc>
          <w:tcPr>
            <w:tcW w:w="156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EC9" w14:textId="77777777" w:rsidR="00C1548D" w:rsidRDefault="009B1B4B">
            <w:pPr>
              <w:spacing w:line="250" w:lineRule="auto"/>
            </w:pPr>
            <w:r>
              <w:rPr>
                <w:b/>
                <w:bCs/>
                <w:sz w:val="18"/>
                <w:szCs w:val="18"/>
              </w:rPr>
              <w:t>Standort</w:t>
            </w:r>
          </w:p>
        </w:tc>
        <w:tc>
          <w:tcPr>
            <w:tcW w:w="232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ECA" w14:textId="77777777" w:rsidR="00C1548D" w:rsidRDefault="009B1B4B">
            <w:pPr>
              <w:spacing w:line="250" w:lineRule="auto"/>
            </w:pPr>
            <w:r>
              <w:rPr>
                <w:b/>
                <w:bCs/>
                <w:sz w:val="18"/>
                <w:szCs w:val="18"/>
              </w:rPr>
              <w:t>Adresse und Telefon</w:t>
            </w:r>
          </w:p>
        </w:tc>
        <w:tc>
          <w:tcPr>
            <w:tcW w:w="258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ECB" w14:textId="77777777" w:rsidR="00C1548D" w:rsidRDefault="009B1B4B">
            <w:pPr>
              <w:spacing w:line="250" w:lineRule="auto"/>
            </w:pPr>
            <w:r>
              <w:rPr>
                <w:b/>
                <w:bCs/>
                <w:sz w:val="18"/>
                <w:szCs w:val="18"/>
              </w:rPr>
              <w:t>Zuständig für</w:t>
            </w:r>
          </w:p>
        </w:tc>
      </w:tr>
      <w:tr w:rsidR="00C1548D" w14:paraId="70A4CED0" w14:textId="77777777">
        <w:tblPrEx>
          <w:tblCellMar>
            <w:top w:w="0" w:type="dxa"/>
            <w:bottom w:w="0" w:type="dxa"/>
          </w:tblCellMar>
        </w:tblPrEx>
        <w:trPr>
          <w:cantSplit/>
        </w:trPr>
        <w:tc>
          <w:tcPr>
            <w:tcW w:w="15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CD" w14:textId="77777777" w:rsidR="00C1548D" w:rsidRDefault="009B1B4B">
            <w:pPr>
              <w:spacing w:line="250" w:lineRule="auto"/>
            </w:pPr>
            <w:r>
              <w:rPr>
                <w:sz w:val="18"/>
                <w:szCs w:val="18"/>
              </w:rPr>
              <w:t>Generalkonsulat Frankfurt</w:t>
            </w:r>
          </w:p>
        </w:tc>
        <w:tc>
          <w:tcPr>
            <w:tcW w:w="23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CE" w14:textId="77777777" w:rsidR="00C1548D" w:rsidRDefault="009B1B4B">
            <w:pPr>
              <w:spacing w:line="250" w:lineRule="auto"/>
            </w:pPr>
            <w:r>
              <w:rPr>
                <w:sz w:val="18"/>
                <w:szCs w:val="18"/>
              </w:rPr>
              <w:t>Gießener Str. 30, 60435 Frankfurt · (069) 7535-0</w:t>
            </w:r>
          </w:p>
        </w:tc>
        <w:tc>
          <w:tcPr>
            <w:tcW w:w="25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CF" w14:textId="77777777" w:rsidR="00C1548D" w:rsidRDefault="009B1B4B">
            <w:pPr>
              <w:spacing w:line="250" w:lineRule="auto"/>
            </w:pPr>
            <w:r>
              <w:rPr>
                <w:sz w:val="18"/>
                <w:szCs w:val="18"/>
              </w:rPr>
              <w:t>Nichteinwanderervisa für Baden-Württemberg, Hessen, Nordrhein-Westfalen, Rheinland-Pfalz und das Saarland; außerdem alle Einwanderungsvisa für ganz Deutschland (Green Card, Verlobten- und Ehepartnervisum)</w:t>
            </w:r>
          </w:p>
        </w:tc>
      </w:tr>
      <w:tr w:rsidR="00C1548D" w14:paraId="70A4CED4" w14:textId="77777777">
        <w:tblPrEx>
          <w:tblCellMar>
            <w:top w:w="0" w:type="dxa"/>
            <w:bottom w:w="0" w:type="dxa"/>
          </w:tblCellMar>
        </w:tblPrEx>
        <w:trPr>
          <w:cantSplit/>
        </w:trPr>
        <w:tc>
          <w:tcPr>
            <w:tcW w:w="15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D1" w14:textId="77777777" w:rsidR="00C1548D" w:rsidRDefault="009B1B4B">
            <w:pPr>
              <w:spacing w:line="250" w:lineRule="auto"/>
            </w:pPr>
            <w:r>
              <w:rPr>
                <w:sz w:val="18"/>
                <w:szCs w:val="18"/>
              </w:rPr>
              <w:t>US-Botschaft Berlin, Konsularabteilung</w:t>
            </w:r>
          </w:p>
        </w:tc>
        <w:tc>
          <w:tcPr>
            <w:tcW w:w="23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D2" w14:textId="77777777" w:rsidR="00C1548D" w:rsidRDefault="009B1B4B">
            <w:pPr>
              <w:spacing w:line="250" w:lineRule="auto"/>
            </w:pPr>
            <w:r>
              <w:rPr>
                <w:sz w:val="18"/>
                <w:szCs w:val="18"/>
              </w:rPr>
              <w:t>Clayallee 170, 14195 Berlin · (030) 8305-0</w:t>
            </w:r>
          </w:p>
        </w:tc>
        <w:tc>
          <w:tcPr>
            <w:tcW w:w="25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D3" w14:textId="77777777" w:rsidR="00C1548D" w:rsidRDefault="009B1B4B">
            <w:pPr>
              <w:spacing w:line="250" w:lineRule="auto"/>
            </w:pPr>
            <w:r>
              <w:rPr>
                <w:sz w:val="18"/>
                <w:szCs w:val="18"/>
              </w:rPr>
              <w:t>Nichteinwanderervisa für Berlin und die nordöstlichen Bundesländer</w:t>
            </w:r>
          </w:p>
        </w:tc>
      </w:tr>
      <w:tr w:rsidR="00C1548D" w14:paraId="70A4CED8" w14:textId="77777777">
        <w:tblPrEx>
          <w:tblCellMar>
            <w:top w:w="0" w:type="dxa"/>
            <w:bottom w:w="0" w:type="dxa"/>
          </w:tblCellMar>
        </w:tblPrEx>
        <w:trPr>
          <w:cantSplit/>
        </w:trPr>
        <w:tc>
          <w:tcPr>
            <w:tcW w:w="15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D5" w14:textId="77777777" w:rsidR="00C1548D" w:rsidRDefault="009B1B4B">
            <w:pPr>
              <w:spacing w:line="250" w:lineRule="auto"/>
            </w:pPr>
            <w:r>
              <w:rPr>
                <w:sz w:val="18"/>
                <w:szCs w:val="18"/>
              </w:rPr>
              <w:lastRenderedPageBreak/>
              <w:t>Generalkonsulat München</w:t>
            </w:r>
          </w:p>
        </w:tc>
        <w:tc>
          <w:tcPr>
            <w:tcW w:w="23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D6" w14:textId="77777777" w:rsidR="00C1548D" w:rsidRDefault="009B1B4B">
            <w:pPr>
              <w:spacing w:line="250" w:lineRule="auto"/>
            </w:pPr>
            <w:r>
              <w:rPr>
                <w:sz w:val="18"/>
                <w:szCs w:val="18"/>
              </w:rPr>
              <w:t>Königinstraße 5, 80539 München · (089) 2888-0</w:t>
            </w:r>
          </w:p>
        </w:tc>
        <w:tc>
          <w:tcPr>
            <w:tcW w:w="25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ED7" w14:textId="77777777" w:rsidR="00C1548D" w:rsidRDefault="009B1B4B">
            <w:pPr>
              <w:spacing w:line="250" w:lineRule="auto"/>
            </w:pPr>
            <w:r>
              <w:rPr>
                <w:sz w:val="18"/>
                <w:szCs w:val="18"/>
              </w:rPr>
              <w:t>Nichteinwanderervisa für Bayern</w:t>
            </w:r>
          </w:p>
        </w:tc>
      </w:tr>
    </w:tbl>
    <w:p w14:paraId="70A4CED9" w14:textId="77777777" w:rsidR="00C1548D" w:rsidRDefault="00C1548D">
      <w:pPr>
        <w:spacing w:line="180" w:lineRule="exact"/>
      </w:pPr>
    </w:p>
    <w:p w14:paraId="70A4CEDA" w14:textId="3597C732" w:rsidR="00C1548D" w:rsidRDefault="009B1B4B">
      <w:pPr>
        <w:spacing w:after="140"/>
      </w:pPr>
      <w:r>
        <w:t>Welche Vertretung zuständig ist, richtet sich nach deinem deutschen Wohnsitz, nicht nach freier Wahl; das DS-160-System schlägt sie automatisch vor. Beim Green-Card-Verfahren über das Konsulat (Kapitel </w:t>
      </w:r>
      <w:hyperlink w:anchor="k6" w:history="1">
        <w:r>
          <w:t>6</w:t>
        </w:r>
      </w:hyperlink>
      <w:r>
        <w:t>) sowie bei Verlobten- und Ehepartnervisa (Kapitel </w:t>
      </w:r>
      <w:hyperlink w:anchor="k9" w:history="1">
        <w:r>
          <w:t>9</w:t>
        </w:r>
      </w:hyperlink>
      <w:r>
        <w:t>) landest du unabhängig vom Wohnort in Frankfurt.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D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EDB" w14:textId="77777777" w:rsidR="00C1548D" w:rsidRDefault="009B1B4B">
            <w:pPr>
              <w:keepNext/>
              <w:spacing w:after="70" w:line="240" w:lineRule="auto"/>
            </w:pPr>
            <w:r>
              <w:rPr>
                <w:b/>
                <w:bCs/>
                <w:color w:val="9B2C2C"/>
                <w:spacing w:val="24"/>
                <w:sz w:val="16"/>
                <w:szCs w:val="16"/>
              </w:rPr>
              <w:t>ACHTUNG</w:t>
            </w:r>
          </w:p>
          <w:p w14:paraId="70A4CEDC" w14:textId="77777777" w:rsidR="00C1548D" w:rsidRDefault="009B1B4B">
            <w:pPr>
              <w:spacing w:after="80" w:line="264" w:lineRule="auto"/>
            </w:pPr>
            <w:r>
              <w:rPr>
                <w:sz w:val="20"/>
                <w:szCs w:val="20"/>
              </w:rPr>
              <w:t>Unvollständige oder falsche Angaben im DS-160 können zu einer dauerhaften Einreisesperre führen (</w:t>
            </w:r>
            <w:r>
              <w:rPr>
                <w:i/>
                <w:iCs/>
                <w:sz w:val="20"/>
                <w:szCs w:val="20"/>
              </w:rPr>
              <w:t>Misrepresentation</w:t>
            </w:r>
            <w:r>
              <w:rPr>
                <w:sz w:val="20"/>
                <w:szCs w:val="20"/>
              </w:rPr>
              <w:t>), das gilt auch für vergessene Konten: Wer „None“ angibt, obwohl Profile existieren, macht eine Falschangabe. Gleiche Jobtitel, Daten und Arbeitgeber mit Petition und Lebenslauf ab, bevor du auf „Absenden“ klickst.</w:t>
            </w:r>
          </w:p>
        </w:tc>
      </w:tr>
    </w:tbl>
    <w:p w14:paraId="70A4CEDE" w14:textId="77777777" w:rsidR="00C1548D" w:rsidRDefault="00C1548D">
      <w:pPr>
        <w:spacing w:line="220" w:lineRule="exact"/>
      </w:pPr>
    </w:p>
    <w:p w14:paraId="70A4CEDF" w14:textId="77777777" w:rsidR="00C1548D" w:rsidRDefault="009B1B4B">
      <w:pPr>
        <w:pStyle w:val="Heading3"/>
        <w:keepNext/>
        <w:jc w:val="center"/>
      </w:pPr>
      <w:r>
        <w:rPr>
          <w:rFonts w:ascii="Amazon Ember" w:eastAsia="Amazon Ember" w:hAnsi="Amazon Ember" w:cs="Amazon Ember"/>
          <w:color w:val="0000FF"/>
          <w:sz w:val="36"/>
          <w:szCs w:val="36"/>
        </w:rPr>
        <w:t>Das Interview: Regeln, Unterlagen, Fragen</w:t>
      </w:r>
    </w:p>
    <w:p w14:paraId="70A4CEE0" w14:textId="77777777" w:rsidR="00C1548D" w:rsidRDefault="009B1B4B">
      <w:pPr>
        <w:spacing w:after="140"/>
      </w:pPr>
      <w:r>
        <w:t>Das Interview ist Pflicht und findet persönlich statt, mit Fingerabdrücken vor Ort. Seit dem 2. September 2025 ist der Verzicht (</w:t>
      </w:r>
      <w:r>
        <w:rPr>
          <w:i/>
          <w:iCs/>
        </w:rPr>
        <w:t>Interview Waiver</w:t>
      </w:r>
      <w:r>
        <w:t>, im Alltag „Dropbox“) fast abgeschafft: Er gilt nur noch für Verlängerungen von B-Visa binnen zwölf Monaten nach Ablauf und für diplomatische Visa. Für H-1B und H-4 gibt es keine Ausnahme, auch Kinder unter 14 und Personen über 79 müssen erscheinen – dasselbe gilt später für jede Visumerneuerung. Anträge stellst du im Land deiner Staatsangehörigkeit oder deines Wohnsitzes (seit 6. September 2025); das Ausweichen in ein Drittland ist nicht mehr vorgesehen.</w:t>
      </w:r>
    </w:p>
    <w:p w14:paraId="70A4CEE1" w14:textId="77777777" w:rsidR="00C1548D" w:rsidRDefault="009B1B4B">
      <w:pPr>
        <w:spacing w:after="140"/>
      </w:pPr>
      <w:r>
        <w:t>Mitbringen solltest du, in einer Mappe:</w:t>
      </w:r>
    </w:p>
    <w:p w14:paraId="70A4CEE2" w14:textId="77777777" w:rsidR="00C1548D" w:rsidRDefault="009B1B4B" w:rsidP="009B1B4B">
      <w:pPr>
        <w:pStyle w:val="ListParagraph"/>
        <w:numPr>
          <w:ilvl w:val="0"/>
          <w:numId w:val="1"/>
        </w:numPr>
        <w:spacing w:after="60"/>
      </w:pPr>
      <w:r>
        <w:t>Reisepass (samt früherer Pässe mit US-Visa)</w:t>
      </w:r>
    </w:p>
    <w:p w14:paraId="70A4CEE3" w14:textId="77777777" w:rsidR="00C1548D" w:rsidRDefault="009B1B4B" w:rsidP="009B1B4B">
      <w:pPr>
        <w:pStyle w:val="ListParagraph"/>
        <w:numPr>
          <w:ilvl w:val="0"/>
          <w:numId w:val="1"/>
        </w:numPr>
        <w:spacing w:after="60"/>
      </w:pPr>
      <w:r>
        <w:lastRenderedPageBreak/>
        <w:t>Bestätigungsseite des DS-160, Terminbestätigung, Gebührenbeleg</w:t>
      </w:r>
    </w:p>
    <w:p w14:paraId="70A4CEE4" w14:textId="77777777" w:rsidR="00C1548D" w:rsidRDefault="009B1B4B" w:rsidP="009B1B4B">
      <w:pPr>
        <w:pStyle w:val="ListParagraph"/>
        <w:numPr>
          <w:ilvl w:val="0"/>
          <w:numId w:val="1"/>
        </w:numPr>
        <w:spacing w:after="60"/>
      </w:pPr>
      <w:r>
        <w:t>Genehmigungsbescheid I-797 (Original) und Kopie der Petition samt Arbeitgeberbrief und LCA</w:t>
      </w:r>
    </w:p>
    <w:p w14:paraId="70A4CEE5" w14:textId="0E895237" w:rsidR="00C1548D" w:rsidRDefault="009B1B4B" w:rsidP="009B1B4B">
      <w:pPr>
        <w:pStyle w:val="ListParagraph"/>
        <w:numPr>
          <w:ilvl w:val="0"/>
          <w:numId w:val="1"/>
        </w:numPr>
        <w:spacing w:after="60"/>
      </w:pPr>
      <w:r>
        <w:t>Diplome und Zeugnisse (Übersetzungen: Kapitel </w:t>
      </w:r>
      <w:hyperlink w:anchor="k19" w:history="1">
        <w:r>
          <w:t>19</w:t>
        </w:r>
      </w:hyperlink>
      <w:r>
        <w:t>), Lebenslauf, Arbeitszeugnisse</w:t>
      </w:r>
    </w:p>
    <w:p w14:paraId="70A4CEE6" w14:textId="77777777" w:rsidR="00C1548D" w:rsidRDefault="009B1B4B" w:rsidP="009B1B4B">
      <w:pPr>
        <w:pStyle w:val="ListParagraph"/>
        <w:numPr>
          <w:ilvl w:val="0"/>
          <w:numId w:val="1"/>
        </w:numPr>
        <w:spacing w:after="60"/>
      </w:pPr>
      <w:r>
        <w:t>bei H-4: Heirats- und Geburtsurkunden</w:t>
      </w:r>
    </w:p>
    <w:p w14:paraId="70A4CEE7" w14:textId="77777777" w:rsidR="00C1548D" w:rsidRDefault="00C1548D">
      <w:pPr>
        <w:spacing w:line="120" w:lineRule="exact"/>
      </w:pPr>
    </w:p>
    <w:p w14:paraId="70A4CEE8" w14:textId="77777777" w:rsidR="00C1548D" w:rsidRDefault="009B1B4B">
      <w:pPr>
        <w:spacing w:after="140"/>
      </w:pPr>
      <w:r>
        <w:t>Elektronische Geräte sind oft nur eingeschränkt erlaubt (Hinweise in der Terminbestätigung).</w:t>
      </w:r>
    </w:p>
    <w:p w14:paraId="70A4CEE9" w14:textId="77777777" w:rsidR="00C1548D" w:rsidRDefault="009B1B4B">
      <w:pPr>
        <w:spacing w:after="140"/>
      </w:pPr>
      <w:r>
        <w:t>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wahrheitsgemäß und im Einklang mit den Unterlagen; übe, deine Stelle in zwei englischen Sätzen zu erklären. Anders als bei Studien- oder Besuchervisa musst du nicht beweisen, dass du</w:t>
      </w:r>
      <w:r>
        <w:t xml:space="preserve"> zurückkehrst (</w:t>
      </w:r>
      <w:r>
        <w:rPr>
          <w:i/>
          <w:iCs/>
        </w:rPr>
        <w:t>Dual Intent</w:t>
      </w:r>
      <w:r>
        <w:t>), der H-1B verträgt spätere Green-Card-Pläne. Das Gespräch dauert oft nur wenige Minuten.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EC"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EEA" w14:textId="77777777" w:rsidR="00C1548D" w:rsidRDefault="009B1B4B">
            <w:pPr>
              <w:keepNext/>
              <w:spacing w:after="70" w:line="240" w:lineRule="auto"/>
            </w:pPr>
            <w:r>
              <w:rPr>
                <w:b/>
                <w:bCs/>
                <w:color w:val="4A5568"/>
                <w:spacing w:val="24"/>
                <w:sz w:val="16"/>
                <w:szCs w:val="16"/>
              </w:rPr>
              <w:t>PRAXISBEISPIEL · FIKTIV</w:t>
            </w:r>
          </w:p>
          <w:p w14:paraId="70A4CEEB" w14:textId="77777777" w:rsidR="00C1548D" w:rsidRDefault="009B1B4B">
            <w:pPr>
              <w:spacing w:after="80" w:line="264" w:lineRule="auto"/>
            </w:pPr>
            <w:r>
              <w:rPr>
                <w:sz w:val="20"/>
                <w:szCs w:val="20"/>
              </w:rPr>
              <w:t>Sabine Keller (33, München) bucht nach der Genehmigung ihres H-1B-Antrags den Termin im Konsulat München, wo der nächste Slot in zwei Wochen frei ist. Vorher gleicht sie DS-160 und Lebenslauf ab und stellt ihre Konten auf „öffentlich“. Am Schalter fragt die Beamtin nach Arbeitgeber, Aufgaben und Abschluss und behält nach vier Minuten den Pass. Kosten für Sabine: 205 $ Konsulargebühr, dazu 250 $ Visa Integrity Fee, falls erhoben. Sabine kündigt ihren Job erst, als der Pass mit dem Visum zurück ist. (Fiktives</w:t>
            </w:r>
            <w:r>
              <w:rPr>
                <w:sz w:val="20"/>
                <w:szCs w:val="20"/>
              </w:rPr>
              <w:t xml:space="preserve"> Beispiel.)</w:t>
            </w:r>
          </w:p>
        </w:tc>
      </w:tr>
    </w:tbl>
    <w:p w14:paraId="70A4CEED" w14:textId="77777777" w:rsidR="00C1548D" w:rsidRDefault="00C1548D">
      <w:pPr>
        <w:spacing w:line="220" w:lineRule="exact"/>
      </w:pPr>
    </w:p>
    <w:p w14:paraId="70A4CEEE" w14:textId="77777777" w:rsidR="00C1548D" w:rsidRDefault="009B1B4B">
      <w:pPr>
        <w:pStyle w:val="Heading3"/>
        <w:keepNext/>
        <w:jc w:val="center"/>
      </w:pPr>
      <w:r>
        <w:rPr>
          <w:rFonts w:ascii="Amazon Ember" w:eastAsia="Amazon Ember" w:hAnsi="Amazon Ember" w:cs="Amazon Ember"/>
          <w:color w:val="0000FF"/>
          <w:sz w:val="36"/>
          <w:szCs w:val="36"/>
        </w:rPr>
        <w:lastRenderedPageBreak/>
        <w:t>Nach dem Interview: Visum, Prüfung, Ablehnung</w:t>
      </w:r>
    </w:p>
    <w:p w14:paraId="70A4CEEF" w14:textId="080BFB79" w:rsidR="00C1548D" w:rsidRDefault="009B1B4B">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history="1">
        <w:r>
          <w:t>23</w:t>
        </w:r>
      </w:hyperlink>
      <w:r>
        <w:t>). Einreisen darfst du frühestens zehn Tage vor Beginn der Petition, arbeiten ab dem Startdatum.</w:t>
      </w:r>
    </w:p>
    <w:p w14:paraId="70A4CEF0" w14:textId="77777777" w:rsidR="00C1548D" w:rsidRDefault="009B1B4B">
      <w:pPr>
        <w:spacing w:after="140"/>
      </w:pPr>
      <w:r>
        <w:rPr>
          <w:b/>
          <w:bCs/>
        </w:rPr>
        <w:t>Administrative Processing (221(g)).</w:t>
      </w:r>
      <w:r>
        <w:t xml:space="preserve"> Manchmal entscheidet das Konsulat nicht sofort. Nach § 221(g) des </w:t>
      </w:r>
      <w:r>
        <w:rPr>
          <w:i/>
          <w:iCs/>
        </w:rPr>
        <w:t>Immigration and Nationality Act</w:t>
      </w:r>
      <w:r>
        <w:t xml:space="preserve"> (INA, dem Einwanderungsgesetz) kann es den Antrag vorläufig zurückstellen (</w:t>
      </w:r>
      <w:r>
        <w:rPr>
          <w:i/>
          <w:iCs/>
        </w:rPr>
        <w:t>temporary refusal</w:t>
      </w:r>
      <w:r>
        <w:t>): weil Unterlagen fehlen oder Prüfungen zu Hintergrund, Arbeitgeber oder Stelle laufen. Du erhältst ein Schreiben mit den Anforderungen. Laut State Department sind die meisten Fälle binnen 60 Tagen erledigt, eine Obergrenze gibt es nicht; Nachfragen sind erst nach 180 Tagen vorgesehen. Den Stand siehst du auf ceac.state.gov – wer die Seite in dieser Zeit täglich neu lädt, handelt nur menschlich. Buche keinen neuen Termin und stelle keinen neuen Antrag: Das beschleunigt nichts und kostet eine weitere Gebühr</w:t>
      </w:r>
      <w:r>
        <w:t xml:space="preserve">, lass die Kanzlei nachhaken. Kanzleien warnen zudem, dass ein </w:t>
      </w:r>
      <w:r>
        <w:rPr>
          <w:i/>
          <w:iCs/>
        </w:rPr>
        <w:t>temporary refusal</w:t>
      </w:r>
      <w:r>
        <w:t xml:space="preserve"> später die Nutzung von ESTA für Privatreisen erschweren kann; kläre das vor der nächsten Urlaubsreise.</w:t>
      </w:r>
    </w:p>
    <w:p w14:paraId="70A4CEF1" w14:textId="77777777" w:rsidR="00C1548D" w:rsidRDefault="009B1B4B">
      <w:pPr>
        <w:spacing w:after="140"/>
      </w:pPr>
      <w:r>
        <w:rPr>
          <w:b/>
          <w:bCs/>
        </w:rPr>
        <w:t>Ablehnung.</w:t>
      </w:r>
      <w:r>
        <w:t xml:space="preserve"> Eine endgültige Ablehnung kommt mit einem Schreiben, das die Rechtsgrundlage nennt: Zweifel an Stelle oder Qualifikation, widersprüchliche Angaben oder Falschangaben. Gegen Konsularentscheidungen gibt es in der Regel kein förmliches Rechtsmittel. Üblich ist ein neuer Antrag (neues DS-160, neue Gebühr) mit ausgeräumten Zweifeln und neuen Belegen; liegt das </w:t>
      </w:r>
      <w:r>
        <w:lastRenderedPageBreak/>
        <w:t>Problem in der Petition, klärt die Kanzlei es mit USCIS. Ehepartner und Kinder (H-4) hängen am Verfahren der Hauptperson.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EF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EF2" w14:textId="77777777" w:rsidR="00C1548D" w:rsidRDefault="009B1B4B">
            <w:pPr>
              <w:keepNext/>
              <w:spacing w:after="70" w:line="240" w:lineRule="auto"/>
            </w:pPr>
            <w:r>
              <w:rPr>
                <w:b/>
                <w:bCs/>
                <w:color w:val="9B2C2C"/>
                <w:spacing w:val="24"/>
                <w:sz w:val="16"/>
                <w:szCs w:val="16"/>
              </w:rPr>
              <w:t>ACHTUNG</w:t>
            </w:r>
          </w:p>
          <w:p w14:paraId="70A4CEF3" w14:textId="06FBACBF" w:rsidR="00C1548D" w:rsidRDefault="009B1B4B">
            <w:pPr>
              <w:spacing w:after="80" w:line="264" w:lineRule="auto"/>
            </w:pPr>
            <w:r>
              <w:rPr>
                <w:sz w:val="20"/>
                <w:szCs w:val="20"/>
              </w:rPr>
              <w:t>Kündige deinen Job erst, wenn das Visum im Pass steht, und buche Flüge und Container erst dann fest. Bei der Wohnung (in Deutschland meist drei Monate Kündigungsfrist) wägst du Kosten und Risiko ab und planst mit Puffer (Kapitel </w:t>
            </w:r>
            <w:hyperlink w:anchor="k15" w:history="1">
              <w:r>
                <w:rPr>
                  <w:sz w:val="20"/>
                  <w:szCs w:val="20"/>
                </w:rPr>
                <w:t>15</w:t>
              </w:r>
            </w:hyperlink>
            <w:r>
              <w:rPr>
                <w:sz w:val="20"/>
                <w:szCs w:val="20"/>
              </w:rPr>
              <w:t xml:space="preserve">, </w:t>
            </w:r>
            <w:hyperlink w:anchor="k16" w:history="1">
              <w:r>
                <w:rPr>
                  <w:sz w:val="20"/>
                  <w:szCs w:val="20"/>
                </w:rPr>
                <w:t>16</w:t>
              </w:r>
            </w:hyperlink>
            <w:r>
              <w:rPr>
                <w:sz w:val="20"/>
                <w:szCs w:val="20"/>
              </w:rPr>
              <w:t xml:space="preserve">, </w:t>
            </w:r>
            <w:hyperlink w:anchor="k20" w:history="1">
              <w:r>
                <w:rPr>
                  <w:sz w:val="20"/>
                  <w:szCs w:val="20"/>
                </w:rPr>
                <w:t>20</w:t>
              </w:r>
            </w:hyperlink>
            <w:r>
              <w:rPr>
                <w:sz w:val="20"/>
                <w:szCs w:val="20"/>
              </w:rPr>
              <w:t>). Ein 221(g)-Vermerk kann das Startdatum um Wochen verschieben.</w:t>
            </w:r>
          </w:p>
        </w:tc>
      </w:tr>
    </w:tbl>
    <w:p w14:paraId="70A4CEF5" w14:textId="77777777" w:rsidR="00C1548D" w:rsidRDefault="00C1548D">
      <w:pPr>
        <w:spacing w:line="220" w:lineRule="exact"/>
      </w:pPr>
    </w:p>
    <w:p w14:paraId="70A4CEF6" w14:textId="77777777" w:rsidR="00C1548D" w:rsidRDefault="009B1B4B">
      <w:pPr>
        <w:pStyle w:val="Heading3"/>
        <w:keepNext/>
        <w:jc w:val="center"/>
      </w:pPr>
      <w:r>
        <w:rPr>
          <w:rFonts w:ascii="Amazon Ember" w:eastAsia="Amazon Ember" w:hAnsi="Amazon Ember" w:cs="Amazon Ember"/>
          <w:color w:val="0000FF"/>
          <w:sz w:val="36"/>
          <w:szCs w:val="36"/>
        </w:rPr>
        <w:t>Aktuelle Verfahrensänderungen (Stand 20. September 2026)</w:t>
      </w:r>
    </w:p>
    <w:p w14:paraId="70A4CEF7" w14:textId="77777777" w:rsidR="00C1548D" w:rsidRDefault="009B1B4B">
      <w:pPr>
        <w:spacing w:after="140"/>
      </w:pPr>
      <w:r>
        <w:t>Das Verfahren ist seit 2025 strenger und teurer geworden. Wichtig ist die Trennung zwischen geltenden Regeln und bloßen Vorschlägen.</w:t>
      </w:r>
    </w:p>
    <w:p w14:paraId="70A4CEF8" w14:textId="77777777" w:rsidR="00C1548D" w:rsidRDefault="009B1B4B">
      <w:pPr>
        <w:spacing w:after="140"/>
      </w:pPr>
      <w:r>
        <w:rPr>
          <w:b/>
          <w:bCs/>
        </w:rPr>
        <w:t>Gilt heute:</w:t>
      </w:r>
    </w:p>
    <w:p w14:paraId="70A4CEF9" w14:textId="77777777" w:rsidR="00C1548D" w:rsidRDefault="009B1B4B" w:rsidP="009B1B4B">
      <w:pPr>
        <w:pStyle w:val="ListParagraph"/>
        <w:numPr>
          <w:ilvl w:val="0"/>
          <w:numId w:val="1"/>
        </w:numPr>
        <w:spacing w:after="60"/>
      </w:pPr>
      <w:r>
        <w:rPr>
          <w:b/>
          <w:bCs/>
        </w:rPr>
        <w:t>Interview für fast alle</w:t>
      </w:r>
      <w:r>
        <w:t xml:space="preserve"> und Antrag im Land der Staatsangehörigkeit oder des Wohnsitzes (siehe oben).</w:t>
      </w:r>
    </w:p>
    <w:p w14:paraId="70A4CEFA" w14:textId="77777777" w:rsidR="00C1548D" w:rsidRDefault="009B1B4B" w:rsidP="009B1B4B">
      <w:pPr>
        <w:pStyle w:val="ListParagraph"/>
        <w:numPr>
          <w:ilvl w:val="0"/>
          <w:numId w:val="1"/>
        </w:numPr>
        <w:spacing w:after="60"/>
      </w:pPr>
      <w:r>
        <w:rPr>
          <w:b/>
          <w:bCs/>
        </w:rPr>
        <w:t>Online-Präsenz-Prüfung</w:t>
      </w:r>
      <w:r>
        <w:t xml:space="preserve"> seit 15. Dezember 2025: H-1B- und H-4-Antragsteller sollen ihre Profile in sozialen Netzwerken öffentlich stellen. Laut Kanzleien achten Konsulate auf Widersprüche zu DS-160 und Petition, auf Feindseligkeit gegenüber den USA und bei H-1B auf die Beteiligung an „Zensur“ amerikanischer Bürger; berichtet wird eine interne Weisung, die Tätigkeiten in Content-Moderation, Faktenprüfung oder Online-Sicherheit erfasst. Private Profile können negative Schlüsse zulassen, Verzögerungen sind wahrscheinlicher – lösche </w:t>
      </w:r>
      <w:r>
        <w:t>nichts hektisch, kläre Zweifel vorher mit der Kanzlei.</w:t>
      </w:r>
    </w:p>
    <w:p w14:paraId="70A4CEFB" w14:textId="77777777" w:rsidR="00C1548D" w:rsidRDefault="009B1B4B" w:rsidP="009B1B4B">
      <w:pPr>
        <w:pStyle w:val="ListParagraph"/>
        <w:numPr>
          <w:ilvl w:val="0"/>
          <w:numId w:val="1"/>
        </w:numPr>
        <w:spacing w:after="60"/>
      </w:pPr>
      <w:r>
        <w:rPr>
          <w:b/>
          <w:bCs/>
        </w:rPr>
        <w:t>Visa Integrity Fee:</w:t>
      </w:r>
      <w:r>
        <w:t xml:space="preserve"> gesetzlich 250 $ je Visum, fällig bei Ausstellung, nicht für ESTA-Reisende. Die Erhebung ist uneinheitlich, ein Rückerstattungsverfahren nicht etabliert. Ob </w:t>
      </w:r>
      <w:r>
        <w:lastRenderedPageBreak/>
        <w:t>Frankfurt, Berlin und München sie aktuell verlangen, war nicht bestätigt – plane sie ein und frage bei der Buchung nach.</w:t>
      </w:r>
    </w:p>
    <w:p w14:paraId="70A4CEFC" w14:textId="3A48D691" w:rsidR="00C1548D" w:rsidRDefault="009B1B4B" w:rsidP="009B1B4B">
      <w:pPr>
        <w:pStyle w:val="ListParagraph"/>
        <w:numPr>
          <w:ilvl w:val="0"/>
          <w:numId w:val="1"/>
        </w:numPr>
        <w:spacing w:after="60"/>
      </w:pPr>
      <w:r>
        <w:rPr>
          <w:b/>
          <w:bCs/>
        </w:rPr>
        <w:t>100.000-$-Zahlung</w:t>
      </w:r>
      <w:r>
        <w:t xml:space="preserve"> (Proklamation 10973, am 18. September 2026 bis 21. September 2027 verlängert): Die Zahlung trifft neue Petitionen für Personen im Ausland, also grundsätzlich Deutsche im Konsularverfahren. Ein Gericht in Massachusetts hob die Umsetzung am 8. Juni 2026 auf, der First Circuit lehnte am 24. Juli 2026 die Aussetzung ab; derzeit wird die Zahlung nicht erhoben, die Berufung läuft, die Lage ist volatil (Kapitel </w:t>
      </w:r>
      <w:hyperlink w:anchor="k5" w:history="1">
        <w:r>
          <w:t>5</w:t>
        </w:r>
      </w:hyperlink>
      <w:r>
        <w:t>).</w:t>
      </w:r>
    </w:p>
    <w:p w14:paraId="70A4CEFD" w14:textId="77777777" w:rsidR="00C1548D" w:rsidRDefault="009B1B4B" w:rsidP="009B1B4B">
      <w:pPr>
        <w:pStyle w:val="ListParagraph"/>
        <w:numPr>
          <w:ilvl w:val="0"/>
          <w:numId w:val="1"/>
        </w:numPr>
        <w:spacing w:after="60"/>
      </w:pPr>
      <w:r>
        <w:rPr>
          <w:b/>
          <w:bCs/>
        </w:rPr>
        <w:t>Kürzere RFE-Fristen</w:t>
      </w:r>
      <w:r>
        <w:t xml:space="preserve"> seit 5. August 2026 (siehe unten).</w:t>
      </w:r>
    </w:p>
    <w:p w14:paraId="70A4CEFE" w14:textId="77777777" w:rsidR="00C1548D" w:rsidRDefault="00C1548D">
      <w:pPr>
        <w:spacing w:line="120" w:lineRule="exact"/>
      </w:pPr>
    </w:p>
    <w:p w14:paraId="70A4CEFF" w14:textId="77777777" w:rsidR="00C1548D" w:rsidRDefault="009B1B4B">
      <w:pPr>
        <w:spacing w:after="140"/>
      </w:pPr>
      <w:r>
        <w:rPr>
          <w:b/>
          <w:bCs/>
        </w:rPr>
        <w:t>Nur Vorschläge oder offen:</w:t>
      </w:r>
    </w:p>
    <w:p w14:paraId="70A4CF00" w14:textId="77777777" w:rsidR="00C1548D" w:rsidRDefault="009B1B4B" w:rsidP="009B1B4B">
      <w:pPr>
        <w:pStyle w:val="ListParagraph"/>
        <w:numPr>
          <w:ilvl w:val="0"/>
          <w:numId w:val="1"/>
        </w:numPr>
        <w:spacing w:after="60"/>
      </w:pPr>
      <w:r>
        <w:rPr>
          <w:b/>
          <w:bCs/>
        </w:rPr>
        <w:t>103.265 $ je Cap-Petition</w:t>
      </w:r>
      <w:r>
        <w:t xml:space="preserve"> (Entwurf vom 25. August 2026, Kommentare bis 24. September 2026): soll laut Kanzleien auch für Statuswechsel im Inland und das Master-Kontingent gelten; frühester Start: die Saison ab April 2027.</w:t>
      </w:r>
    </w:p>
    <w:p w14:paraId="70A4CF01" w14:textId="4D04446E" w:rsidR="00C1548D" w:rsidRDefault="009B1B4B" w:rsidP="009B1B4B">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history="1">
        <w:r>
          <w:t>30</w:t>
        </w:r>
      </w:hyperlink>
      <w:r>
        <w:t>).</w:t>
      </w:r>
    </w:p>
    <w:p w14:paraId="70A4CF02" w14:textId="77777777" w:rsidR="00C1548D" w:rsidRDefault="009B1B4B" w:rsidP="009B1B4B">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w14:paraId="70A4CF03" w14:textId="77777777" w:rsidR="00C1548D" w:rsidRDefault="009B1B4B" w:rsidP="009B1B4B">
      <w:pPr>
        <w:pStyle w:val="ListParagraph"/>
        <w:numPr>
          <w:ilvl w:val="0"/>
          <w:numId w:val="1"/>
        </w:numPr>
        <w:spacing w:after="60"/>
      </w:pPr>
      <w:r>
        <w:rPr>
          <w:b/>
          <w:bCs/>
        </w:rPr>
        <w:t>Executive Order vom 18. September 2026:</w:t>
      </w:r>
      <w:r>
        <w:t xml:space="preserve"> Entlassungen ähnlich qualifizierter US-Beschäftigter beim Arbeitgeber sollen bei LCA, Petition und Visum berücksichtigt werden; die Umsetzung ist offen. Frage vor dem Angebot nach Stellenabbau der letzten zwölf Monate.</w:t>
      </w:r>
    </w:p>
    <w:p w14:paraId="70A4CF04" w14:textId="77777777" w:rsidR="00C1548D" w:rsidRDefault="00C1548D">
      <w:pPr>
        <w:spacing w:line="120" w:lineRule="exact"/>
      </w:pPr>
    </w:p>
    <w:p w14:paraId="70A4CF05" w14:textId="77777777" w:rsidR="00C1548D" w:rsidRDefault="009B1B4B">
      <w:pPr>
        <w:pStyle w:val="Heading3"/>
        <w:keepNext/>
        <w:jc w:val="center"/>
      </w:pPr>
      <w:r>
        <w:rPr>
          <w:rFonts w:ascii="Amazon Ember" w:eastAsia="Amazon Ember" w:hAnsi="Amazon Ember" w:cs="Amazon Ember"/>
          <w:color w:val="0000FF"/>
          <w:sz w:val="36"/>
          <w:szCs w:val="36"/>
        </w:rPr>
        <w:t>Kosten im Überblick</w:t>
      </w:r>
    </w:p>
    <w:p w14:paraId="70A4CF06" w14:textId="77777777" w:rsidR="00C1548D" w:rsidRDefault="009B1B4B">
      <w:pPr>
        <w:spacing w:after="140"/>
      </w:pPr>
      <w:r>
        <w:t>Die Petition zahlt der Arbeitgeber, alles, was an dir als Person hängt, zahlst du oder verhandelst es. Zahlen Stand September 2026 (USCIS-Gebührenblatt G-1055, 22 CFR 22.1):</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950"/>
        <w:gridCol w:w="3297"/>
        <w:gridCol w:w="1283"/>
      </w:tblGrid>
      <w:tr w:rsidR="00C1548D" w14:paraId="70A4CF0B"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07" w14:textId="77777777" w:rsidR="00C1548D" w:rsidRDefault="009B1B4B">
            <w:pPr>
              <w:spacing w:line="250" w:lineRule="auto"/>
            </w:pPr>
            <w:r>
              <w:rPr>
                <w:b/>
                <w:bCs/>
                <w:sz w:val="18"/>
                <w:szCs w:val="18"/>
              </w:rPr>
              <w:lastRenderedPageBreak/>
              <w:t>Visum</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08" w14:textId="77777777" w:rsidR="00C1548D" w:rsidRDefault="009B1B4B">
            <w:pPr>
              <w:spacing w:line="250" w:lineRule="auto"/>
            </w:pPr>
            <w:r>
              <w:rPr>
                <w:b/>
                <w:bCs/>
                <w:sz w:val="18"/>
                <w:szCs w:val="18"/>
              </w:rPr>
              <w:t>Konsulat je Person</w:t>
            </w:r>
          </w:p>
        </w:tc>
        <w:tc>
          <w:tcPr>
            <w:tcW w:w="32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09" w14:textId="77777777" w:rsidR="00C1548D" w:rsidRDefault="009B1B4B">
            <w:pPr>
              <w:spacing w:line="250" w:lineRule="auto"/>
            </w:pPr>
            <w:r>
              <w:rPr>
                <w:b/>
                <w:bCs/>
                <w:sz w:val="18"/>
                <w:szCs w:val="18"/>
              </w:rPr>
              <w:t>Petition oder Verfahren</w:t>
            </w:r>
          </w:p>
        </w:tc>
        <w:tc>
          <w:tcPr>
            <w:tcW w:w="12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0A" w14:textId="77777777" w:rsidR="00C1548D" w:rsidRDefault="009B1B4B">
            <w:pPr>
              <w:spacing w:line="250" w:lineRule="auto"/>
            </w:pPr>
            <w:r>
              <w:rPr>
                <w:b/>
                <w:bCs/>
                <w:sz w:val="18"/>
                <w:szCs w:val="18"/>
              </w:rPr>
              <w:t>Zahlt die Petition</w:t>
            </w:r>
          </w:p>
        </w:tc>
      </w:tr>
      <w:tr w:rsidR="00C1548D" w14:paraId="70A4CF1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0C" w14:textId="77777777" w:rsidR="00C1548D" w:rsidRDefault="009B1B4B">
            <w:pPr>
              <w:spacing w:line="250" w:lineRule="auto"/>
            </w:pPr>
            <w:r>
              <w:rPr>
                <w:sz w:val="18"/>
                <w:szCs w:val="18"/>
              </w:rPr>
              <w:t>H-1B</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0D" w14:textId="77777777" w:rsidR="00C1548D" w:rsidRDefault="009B1B4B">
            <w:pPr>
              <w:spacing w:line="250" w:lineRule="auto"/>
            </w:pPr>
            <w:r>
              <w:rPr>
                <w:sz w:val="18"/>
                <w:szCs w:val="18"/>
              </w:rPr>
              <w:t>205 $</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0E" w14:textId="77777777" w:rsidR="00C1548D" w:rsidRDefault="009B1B4B">
            <w:pPr>
              <w:spacing w:line="250" w:lineRule="auto"/>
            </w:pPr>
            <w:r>
              <w:rPr>
                <w:sz w:val="18"/>
                <w:szCs w:val="18"/>
              </w:rPr>
              <w:t>ca. 3.380 $ (ab 26 Beschäftigte, Papier) bzw. 2.010 $ (Kleinbetrieb), plus 215 $ Registrierung</w:t>
            </w:r>
          </w:p>
        </w:tc>
        <w:tc>
          <w:tcPr>
            <w:tcW w:w="1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0F" w14:textId="77777777" w:rsidR="00C1548D" w:rsidRDefault="009B1B4B">
            <w:pPr>
              <w:spacing w:line="250" w:lineRule="auto"/>
            </w:pPr>
            <w:r>
              <w:rPr>
                <w:sz w:val="18"/>
                <w:szCs w:val="18"/>
              </w:rPr>
              <w:t>Arbeitgeber</w:t>
            </w:r>
          </w:p>
        </w:tc>
      </w:tr>
      <w:tr w:rsidR="00C1548D" w14:paraId="70A4CF1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1" w14:textId="77777777" w:rsidR="00C1548D" w:rsidRDefault="009B1B4B">
            <w:pPr>
              <w:spacing w:line="250" w:lineRule="auto"/>
            </w:pPr>
            <w:r>
              <w:rPr>
                <w:sz w:val="18"/>
                <w:szCs w:val="18"/>
              </w:rPr>
              <w:t>L-1</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2" w14:textId="77777777" w:rsidR="00C1548D" w:rsidRDefault="009B1B4B">
            <w:pPr>
              <w:spacing w:line="250" w:lineRule="auto"/>
            </w:pPr>
            <w:r>
              <w:rPr>
                <w:sz w:val="18"/>
                <w:szCs w:val="18"/>
              </w:rPr>
              <w:t>205 $</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3" w14:textId="77777777" w:rsidR="00C1548D" w:rsidRDefault="009B1B4B">
            <w:pPr>
              <w:spacing w:line="250" w:lineRule="auto"/>
            </w:pPr>
            <w:r>
              <w:rPr>
                <w:sz w:val="18"/>
                <w:szCs w:val="18"/>
              </w:rPr>
              <w:t>ca. 2.485 $ (Kleinbetrieb 1.495 $)</w:t>
            </w:r>
          </w:p>
        </w:tc>
        <w:tc>
          <w:tcPr>
            <w:tcW w:w="1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4" w14:textId="77777777" w:rsidR="00C1548D" w:rsidRDefault="009B1B4B">
            <w:pPr>
              <w:spacing w:line="250" w:lineRule="auto"/>
            </w:pPr>
            <w:r>
              <w:rPr>
                <w:sz w:val="18"/>
                <w:szCs w:val="18"/>
              </w:rPr>
              <w:t>Arbeitgeber</w:t>
            </w:r>
          </w:p>
        </w:tc>
      </w:tr>
      <w:tr w:rsidR="00C1548D" w14:paraId="70A4CF1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6" w14:textId="77777777" w:rsidR="00C1548D" w:rsidRDefault="009B1B4B">
            <w:pPr>
              <w:spacing w:line="250" w:lineRule="auto"/>
            </w:pPr>
            <w:r>
              <w:rPr>
                <w:sz w:val="18"/>
                <w:szCs w:val="18"/>
              </w:rPr>
              <w:t>O-1</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7" w14:textId="77777777" w:rsidR="00C1548D" w:rsidRDefault="009B1B4B">
            <w:pPr>
              <w:spacing w:line="250" w:lineRule="auto"/>
            </w:pPr>
            <w:r>
              <w:rPr>
                <w:sz w:val="18"/>
                <w:szCs w:val="18"/>
              </w:rPr>
              <w:t>205 $</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8" w14:textId="77777777" w:rsidR="00C1548D" w:rsidRDefault="009B1B4B">
            <w:pPr>
              <w:spacing w:line="250" w:lineRule="auto"/>
            </w:pPr>
            <w:r>
              <w:rPr>
                <w:sz w:val="18"/>
                <w:szCs w:val="18"/>
              </w:rPr>
              <w:t>ca. 1.655 $</w:t>
            </w:r>
          </w:p>
        </w:tc>
        <w:tc>
          <w:tcPr>
            <w:tcW w:w="1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9" w14:textId="77777777" w:rsidR="00C1548D" w:rsidRDefault="009B1B4B">
            <w:pPr>
              <w:spacing w:line="250" w:lineRule="auto"/>
            </w:pPr>
            <w:r>
              <w:rPr>
                <w:sz w:val="18"/>
                <w:szCs w:val="18"/>
              </w:rPr>
              <w:t>Arbeitgeber oder Agent</w:t>
            </w:r>
          </w:p>
        </w:tc>
      </w:tr>
      <w:tr w:rsidR="00C1548D" w14:paraId="70A4CF1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B" w14:textId="77777777" w:rsidR="00C1548D" w:rsidRDefault="009B1B4B">
            <w:pPr>
              <w:spacing w:line="250" w:lineRule="auto"/>
            </w:pPr>
            <w:r>
              <w:rPr>
                <w:sz w:val="18"/>
                <w:szCs w:val="18"/>
              </w:rPr>
              <w:t>E-2</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C" w14:textId="77777777" w:rsidR="00C1548D" w:rsidRDefault="009B1B4B">
            <w:pPr>
              <w:spacing w:line="250" w:lineRule="auto"/>
            </w:pPr>
            <w:r>
              <w:rPr>
                <w:sz w:val="18"/>
                <w:szCs w:val="18"/>
              </w:rPr>
              <w:t>315 $</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D" w14:textId="77777777" w:rsidR="00C1548D" w:rsidRDefault="009B1B4B">
            <w:pPr>
              <w:spacing w:line="250" w:lineRule="auto"/>
            </w:pPr>
            <w:r>
              <w:rPr>
                <w:sz w:val="18"/>
                <w:szCs w:val="18"/>
              </w:rPr>
              <w:t>im Konsulat keine Petition; I-129 (1.015 $) nur bei Statuswechsel im Inland</w:t>
            </w:r>
          </w:p>
        </w:tc>
        <w:tc>
          <w:tcPr>
            <w:tcW w:w="1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1E" w14:textId="77777777" w:rsidR="00C1548D" w:rsidRDefault="009B1B4B">
            <w:pPr>
              <w:spacing w:line="250" w:lineRule="auto"/>
            </w:pPr>
            <w:r>
              <w:rPr>
                <w:sz w:val="18"/>
                <w:szCs w:val="18"/>
              </w:rPr>
              <w:t>du selbst</w:t>
            </w:r>
          </w:p>
        </w:tc>
      </w:tr>
      <w:tr w:rsidR="00C1548D" w14:paraId="70A4CF2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20" w14:textId="77777777" w:rsidR="00C1548D" w:rsidRDefault="009B1B4B">
            <w:pPr>
              <w:spacing w:line="250" w:lineRule="auto"/>
            </w:pPr>
            <w:r>
              <w:rPr>
                <w:sz w:val="18"/>
                <w:szCs w:val="18"/>
              </w:rPr>
              <w:t>F-1</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21" w14:textId="77777777" w:rsidR="00C1548D" w:rsidRDefault="009B1B4B">
            <w:pPr>
              <w:spacing w:line="250" w:lineRule="auto"/>
            </w:pPr>
            <w:r>
              <w:rPr>
                <w:sz w:val="18"/>
                <w:szCs w:val="18"/>
              </w:rPr>
              <w:t>185 $</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22" w14:textId="77777777" w:rsidR="00C1548D" w:rsidRDefault="009B1B4B">
            <w:pPr>
              <w:spacing w:line="250" w:lineRule="auto"/>
            </w:pPr>
            <w:r>
              <w:rPr>
                <w:sz w:val="18"/>
                <w:szCs w:val="18"/>
              </w:rPr>
              <w:t>SEVIS-Gebühr 350 $</w:t>
            </w:r>
          </w:p>
        </w:tc>
        <w:tc>
          <w:tcPr>
            <w:tcW w:w="1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23" w14:textId="77777777" w:rsidR="00C1548D" w:rsidRDefault="009B1B4B">
            <w:pPr>
              <w:spacing w:line="250" w:lineRule="auto"/>
            </w:pPr>
            <w:r>
              <w:rPr>
                <w:sz w:val="18"/>
                <w:szCs w:val="18"/>
              </w:rPr>
              <w:t>du selbst</w:t>
            </w:r>
          </w:p>
        </w:tc>
      </w:tr>
      <w:tr w:rsidR="00C1548D" w14:paraId="70A4CF2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25" w14:textId="77777777" w:rsidR="00C1548D" w:rsidRDefault="009B1B4B">
            <w:pPr>
              <w:spacing w:line="250" w:lineRule="auto"/>
            </w:pPr>
            <w:r>
              <w:rPr>
                <w:sz w:val="18"/>
                <w:szCs w:val="18"/>
              </w:rPr>
              <w:t>J-1</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26" w14:textId="77777777" w:rsidR="00C1548D" w:rsidRDefault="009B1B4B">
            <w:pPr>
              <w:spacing w:line="250" w:lineRule="auto"/>
            </w:pPr>
            <w:r>
              <w:rPr>
                <w:sz w:val="18"/>
                <w:szCs w:val="18"/>
              </w:rPr>
              <w:t>185 $</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27" w14:textId="77777777" w:rsidR="00C1548D" w:rsidRDefault="009B1B4B">
            <w:pPr>
              <w:spacing w:line="250" w:lineRule="auto"/>
            </w:pPr>
            <w:r>
              <w:rPr>
                <w:sz w:val="18"/>
                <w:szCs w:val="18"/>
              </w:rPr>
              <w:t>SEVIS-Gebühr 220 $ (Au-pair 35 $)</w:t>
            </w:r>
          </w:p>
        </w:tc>
        <w:tc>
          <w:tcPr>
            <w:tcW w:w="1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28" w14:textId="77777777" w:rsidR="00C1548D" w:rsidRDefault="009B1B4B">
            <w:pPr>
              <w:spacing w:line="250" w:lineRule="auto"/>
            </w:pPr>
            <w:r>
              <w:rPr>
                <w:sz w:val="18"/>
                <w:szCs w:val="18"/>
              </w:rPr>
              <w:t>du oder Sponsor</w:t>
            </w:r>
          </w:p>
        </w:tc>
      </w:tr>
    </w:tbl>
    <w:p w14:paraId="70A4CF2A" w14:textId="77777777" w:rsidR="00C1548D" w:rsidRDefault="00C1548D">
      <w:pPr>
        <w:spacing w:line="180" w:lineRule="exact"/>
      </w:pPr>
    </w:p>
    <w:p w14:paraId="70A4CF2B" w14:textId="77777777" w:rsidR="00C1548D" w:rsidRDefault="009B1B4B">
      <w:pPr>
        <w:spacing w:after="140"/>
      </w:pPr>
      <w:r>
        <w:t xml:space="preserve">Hinzu kommen beim H-1B auf Wunsch </w:t>
      </w:r>
      <w:r>
        <w:rPr>
          <w:i/>
          <w:iCs/>
        </w:rPr>
        <w:t>Premium Processing</w:t>
      </w:r>
      <w:r>
        <w:t xml:space="preserve"> (beschleunigte Bearbeitung, Entscheidung binnen 15 Werktagen) für 2.965 $ und eine Zusatzgebühr von 4.000 $ (L-1: 4.500 $) für Firmen mit mindestens 50 Beschäftigten, von denen über die Hälfte im H-1B- oder L-1-Status arbeitet – sie trifft vor allem Outsourcing-Firmen. Rechnet man Registrierung (215 $), Behördengebühren (3.380 $) und Kanzlei (2.000–5.000 $) zusammen, kostet eine H-1B-Erstpetition den Arbeitgeber rund 5.600–8.600 $, mit Premium Processing rund 8.500–11.600 $ (eigene Rechnung, ohne 100.000-$</w:t>
      </w:r>
      <w:r>
        <w:t>-Zahlung).</w:t>
      </w:r>
    </w:p>
    <w:p w14:paraId="70A4CF2C" w14:textId="77777777" w:rsidR="00C1548D" w:rsidRDefault="009B1B4B">
      <w:pPr>
        <w:spacing w:after="140"/>
      </w:pPr>
      <w:r>
        <w:t>Was dich betrifft: Die ACWIA-Gebühr sowie Anwalts- und Petitionskosten darf der Arbeitgeber nicht vom Lohn zurückholen. Konsulargebühren, Visa Integrity Fee, H-4-Anträge und Umzug zahlst du, sofern nichts anderes vereinbart ist – eine feste Regel gibt es nicht, es zählt, was im Angebotsschreiben steht.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2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F2D" w14:textId="77777777" w:rsidR="00C1548D" w:rsidRDefault="009B1B4B">
            <w:pPr>
              <w:keepNext/>
              <w:spacing w:after="70" w:line="240" w:lineRule="auto"/>
            </w:pPr>
            <w:r>
              <w:rPr>
                <w:b/>
                <w:bCs/>
                <w:color w:val="4A5568"/>
                <w:spacing w:val="24"/>
                <w:sz w:val="16"/>
                <w:szCs w:val="16"/>
              </w:rPr>
              <w:lastRenderedPageBreak/>
              <w:t>PRAXISBEISPIEL · FIKTIV</w:t>
            </w:r>
          </w:p>
          <w:p w14:paraId="70A4CF2E" w14:textId="77777777" w:rsidR="00C1548D" w:rsidRDefault="009B1B4B">
            <w:pPr>
              <w:spacing w:after="80" w:line="264" w:lineRule="auto"/>
            </w:pPr>
            <w:r>
              <w:rPr>
                <w:sz w:val="20"/>
                <w:szCs w:val="20"/>
              </w:rPr>
              <w:t>Familie Brandt (Markus, Anna, Lena, Jonas) bucht vier Termine in München statt Frankfurt: Dort ist der nächste frei in zwei Wochen, in Frankfurt erst in acht. Die Rechnung: 4 × 205 $ = 820 $ Konsulargebühr, dazu möglicherweise 4 × 250 $ = 1.000 $ Visa Integrity Fee, zusammen bis zu 1.820 $. Im Angebot stand die Erstattung. Markus’ Interview endet mit einem 221(g)-Vermerk: Die Beamtin verlangt eine Arbeitgeberbestätigung und die Diplome. Nach fünf Wochen liegen alle vier Visa vor; das ist kein Richtwert. Als</w:t>
            </w:r>
            <w:r>
              <w:rPr>
                <w:sz w:val="20"/>
                <w:szCs w:val="20"/>
              </w:rPr>
              <w:t xml:space="preserve"> der Kurierumschlag mit den Pässen ankommt, breitet Anna alle vier aufgeschlagenen Visumseiten auf dem Küchentisch aus und fotografiert sie – der erste Beweis, dass der Umzug wirklich passiert. (Fiktives Beispiel.)</w:t>
            </w:r>
          </w:p>
        </w:tc>
      </w:tr>
    </w:tbl>
    <w:p w14:paraId="70A4CF30"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33"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CF31" w14:textId="77777777" w:rsidR="00C1548D" w:rsidRDefault="009B1B4B">
            <w:pPr>
              <w:keepNext/>
              <w:spacing w:after="70" w:line="240" w:lineRule="auto"/>
            </w:pPr>
            <w:r>
              <w:rPr>
                <w:b/>
                <w:bCs/>
                <w:color w:val="2F6B3B"/>
                <w:spacing w:val="24"/>
                <w:sz w:val="16"/>
                <w:szCs w:val="16"/>
              </w:rPr>
              <w:t>SPARTIPP</w:t>
            </w:r>
          </w:p>
          <w:p w14:paraId="70A4CF32" w14:textId="2D5A487A" w:rsidR="00C1548D" w:rsidRDefault="009B1B4B">
            <w:pPr>
              <w:spacing w:after="80" w:line="264" w:lineRule="auto"/>
            </w:pPr>
            <w:r>
              <w:rPr>
                <w:sz w:val="20"/>
                <w:szCs w:val="20"/>
              </w:rPr>
              <w:t>Lass dir im Angebotsschreiben ausdrücklich zusichern, dass der Arbeitgeber Konsulargebühren, Visa Integrity Fee und H-4-Kosten für die ganze Familie erstattet. Bei vier Personen sind das bis zu rund 1.800 $. Die Umzugskosten gehören in dieselbe Verhandlung (Kapitel </w:t>
            </w:r>
            <w:hyperlink w:anchor="k20" w:history="1">
              <w:r>
                <w:rPr>
                  <w:sz w:val="20"/>
                  <w:szCs w:val="20"/>
                </w:rPr>
                <w:t>20</w:t>
              </w:r>
            </w:hyperlink>
            <w:r>
              <w:rPr>
                <w:sz w:val="20"/>
                <w:szCs w:val="20"/>
              </w:rPr>
              <w:t>).</w:t>
            </w:r>
          </w:p>
        </w:tc>
      </w:tr>
    </w:tbl>
    <w:p w14:paraId="70A4CF34" w14:textId="77777777" w:rsidR="00C1548D" w:rsidRDefault="00C1548D">
      <w:pPr>
        <w:spacing w:line="220" w:lineRule="exact"/>
      </w:pPr>
    </w:p>
    <w:p w14:paraId="70A4CF35" w14:textId="77777777" w:rsidR="00C1548D" w:rsidRDefault="009B1B4B">
      <w:pPr>
        <w:pStyle w:val="Heading3"/>
        <w:keepNext/>
        <w:jc w:val="center"/>
      </w:pPr>
      <w:r>
        <w:rPr>
          <w:rFonts w:ascii="Amazon Ember" w:eastAsia="Amazon Ember" w:hAnsi="Amazon Ember" w:cs="Amazon Ember"/>
          <w:color w:val="0000FF"/>
          <w:sz w:val="36"/>
          <w:szCs w:val="36"/>
        </w:rPr>
        <w:t>Request for Evidence: wenn USCIS nachfragt</w:t>
      </w:r>
    </w:p>
    <w:p w14:paraId="70A4CF36" w14:textId="0EB8413C" w:rsidR="00C1548D" w:rsidRDefault="009B1B4B">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history="1">
        <w:r>
          <w:t>19</w:t>
        </w:r>
      </w:hyperlink>
      <w:r>
        <w:t>), Arbeitsort und Kunde bei Einsätzen bei Dritten sowie die Lohnhöhe.</w:t>
      </w:r>
    </w:p>
    <w:p w14:paraId="70A4CF37" w14:textId="77777777" w:rsidR="00C1548D" w:rsidRDefault="009B1B4B">
      <w:pPr>
        <w:spacing w:after="140"/>
      </w:pPr>
      <w:r>
        <w:t xml:space="preserve">Die Frist für die Antwort beträgt nach der Regel bis zu 84 Tage. Seit einer USCIS-Richtlinie vom 5. August 2026 dürfen Sachbearbeiter kürzere, fallbezogene Fristen setzen; Kanzleien berichten von RFE mit nur 30 Tagen. Die Antwort muss bei USCIS eingehen, nicht nur </w:t>
      </w:r>
      <w:r>
        <w:lastRenderedPageBreak/>
        <w:t>abgeschickt sein, und USCIS lehnt Anträge mit fehlenden Pflichtbelegen laut Kanzleien jetzt öfter ohne vorherige Nachforderung ab. Beim Premium Processing steht die 15-Werktage-Uhr während der RFE still. Die Antwort kostet 1.000–3.000 $ und geht zulasten des Arbeitgebers.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3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F38" w14:textId="77777777" w:rsidR="00C1548D" w:rsidRDefault="009B1B4B">
            <w:pPr>
              <w:keepNext/>
              <w:spacing w:after="70" w:line="240" w:lineRule="auto"/>
            </w:pPr>
            <w:r>
              <w:rPr>
                <w:b/>
                <w:bCs/>
                <w:color w:val="9B2C2C"/>
                <w:spacing w:val="24"/>
                <w:sz w:val="16"/>
                <w:szCs w:val="16"/>
              </w:rPr>
              <w:t>ACHTUNG</w:t>
            </w:r>
          </w:p>
          <w:p w14:paraId="70A4CF39" w14:textId="77777777" w:rsidR="00C1548D" w:rsidRDefault="009B1B4B">
            <w:pPr>
              <w:spacing w:after="80" w:line="264" w:lineRule="auto"/>
            </w:pPr>
            <w:r>
              <w:rPr>
                <w:sz w:val="20"/>
                <w:szCs w:val="20"/>
              </w:rPr>
              <w:t>Bei 30 Tagen zählt jede Woche. Halte Diplome, Zeugnisse, Arbeitszeugnisse und Stellenbeschreibung griffbereit, bleibe auch im Urlaub erreichbar und liefere angeforderte Unterlagen der Kanzlei binnen zwei Tagen.</w:t>
            </w:r>
          </w:p>
        </w:tc>
      </w:tr>
    </w:tbl>
    <w:p w14:paraId="70A4CF3B" w14:textId="77777777" w:rsidR="00C1548D" w:rsidRDefault="00C1548D">
      <w:pPr>
        <w:spacing w:line="220" w:lineRule="exact"/>
      </w:pPr>
    </w:p>
    <w:p w14:paraId="70A4CF3C" w14:textId="77777777" w:rsidR="00C1548D" w:rsidRDefault="009B1B4B">
      <w:pPr>
        <w:pStyle w:val="Heading3"/>
        <w:keepNext/>
        <w:jc w:val="center"/>
      </w:pPr>
      <w:r>
        <w:rPr>
          <w:rFonts w:ascii="Amazon Ember" w:eastAsia="Amazon Ember" w:hAnsi="Amazon Ember" w:cs="Amazon Ember"/>
          <w:color w:val="0000FF"/>
          <w:sz w:val="36"/>
          <w:szCs w:val="36"/>
        </w:rPr>
        <w:t>Zeitplan: vom Jobangebot bis zum Umzug</w:t>
      </w:r>
    </w:p>
    <w:p w14:paraId="70A4CF3D" w14:textId="77777777" w:rsidR="00C1548D" w:rsidRDefault="009B1B4B">
      <w:pPr>
        <w:spacing w:after="140"/>
      </w:pPr>
      <w:r>
        <w:t>Beim H-1B mit Lotterie bestimmt der Kalender alles. Die Tabelle zeigt die Saison FY2027 (Fiskaljahr 1. Oktober 2026 bis 30. September 2027); Zeiten ab der Entscheidung sind Praxis- und Aggregatorwerte: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8"/>
        <w:gridCol w:w="2289"/>
        <w:gridCol w:w="950"/>
        <w:gridCol w:w="2283"/>
      </w:tblGrid>
      <w:tr w:rsidR="00C1548D" w14:paraId="70A4CF42" w14:textId="77777777">
        <w:tblPrEx>
          <w:tblCellMar>
            <w:top w:w="0" w:type="dxa"/>
            <w:bottom w:w="0" w:type="dxa"/>
          </w:tblCellMar>
        </w:tblPrEx>
        <w:trPr>
          <w:cantSplit/>
          <w:tblHeader/>
        </w:trPr>
        <w:tc>
          <w:tcPr>
            <w:tcW w:w="95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3E" w14:textId="77777777" w:rsidR="00C1548D" w:rsidRDefault="009B1B4B">
            <w:pPr>
              <w:spacing w:line="250" w:lineRule="auto"/>
            </w:pPr>
            <w:r>
              <w:rPr>
                <w:b/>
                <w:bCs/>
                <w:sz w:val="18"/>
                <w:szCs w:val="18"/>
              </w:rPr>
              <w:t>Zeitpunkt</w:t>
            </w:r>
          </w:p>
        </w:tc>
        <w:tc>
          <w:tcPr>
            <w:tcW w:w="22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3F" w14:textId="77777777" w:rsidR="00C1548D" w:rsidRDefault="009B1B4B">
            <w:pPr>
              <w:spacing w:line="250" w:lineRule="auto"/>
            </w:pPr>
            <w:r>
              <w:rPr>
                <w:b/>
                <w:bCs/>
                <w:sz w:val="18"/>
                <w:szCs w:val="18"/>
              </w:rPr>
              <w:t>Schritt</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40" w14:textId="77777777" w:rsidR="00C1548D" w:rsidRDefault="009B1B4B">
            <w:pPr>
              <w:spacing w:line="250" w:lineRule="auto"/>
            </w:pPr>
            <w:r>
              <w:rPr>
                <w:b/>
                <w:bCs/>
                <w:sz w:val="18"/>
                <w:szCs w:val="18"/>
              </w:rPr>
              <w:t>Wer</w:t>
            </w:r>
          </w:p>
        </w:tc>
        <w:tc>
          <w:tcPr>
            <w:tcW w:w="22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41" w14:textId="77777777" w:rsidR="00C1548D" w:rsidRDefault="009B1B4B">
            <w:pPr>
              <w:spacing w:line="250" w:lineRule="auto"/>
            </w:pPr>
            <w:r>
              <w:rPr>
                <w:b/>
                <w:bCs/>
                <w:sz w:val="18"/>
                <w:szCs w:val="18"/>
              </w:rPr>
              <w:t>Dauer und Hinweis</w:t>
            </w:r>
          </w:p>
        </w:tc>
      </w:tr>
      <w:tr w:rsidR="00C1548D" w14:paraId="70A4CF47" w14:textId="77777777">
        <w:tblPrEx>
          <w:tblCellMar>
            <w:top w:w="0" w:type="dxa"/>
            <w:bottom w:w="0" w:type="dxa"/>
          </w:tblCellMar>
        </w:tblPrEx>
        <w:trPr>
          <w:cantSplit/>
        </w:trPr>
        <w:tc>
          <w:tcPr>
            <w:tcW w:w="9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43" w14:textId="77777777" w:rsidR="00C1548D" w:rsidRDefault="009B1B4B">
            <w:pPr>
              <w:spacing w:line="250" w:lineRule="auto"/>
            </w:pPr>
            <w:r>
              <w:rPr>
                <w:sz w:val="18"/>
                <w:szCs w:val="18"/>
              </w:rPr>
              <w:t>vor März</w:t>
            </w:r>
          </w:p>
        </w:tc>
        <w:tc>
          <w:tcPr>
            <w:tcW w:w="22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44" w14:textId="77777777" w:rsidR="00C1548D" w:rsidRDefault="009B1B4B">
            <w:pPr>
              <w:spacing w:line="250" w:lineRule="auto"/>
            </w:pPr>
            <w:r>
              <w:rPr>
                <w:sz w:val="18"/>
                <w:szCs w:val="18"/>
              </w:rPr>
              <w:t>Angebot, schriftliche Sponsoring-Zusage, Lohn-Level, Diplombewertung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45" w14:textId="77777777" w:rsidR="00C1548D" w:rsidRDefault="009B1B4B">
            <w:pPr>
              <w:spacing w:line="250" w:lineRule="auto"/>
            </w:pPr>
            <w:r>
              <w:rPr>
                <w:sz w:val="18"/>
                <w:szCs w:val="18"/>
              </w:rPr>
              <w:t>du, Arbeitgeber</w:t>
            </w:r>
          </w:p>
        </w:tc>
        <w:tc>
          <w:tcPr>
            <w:tcW w:w="2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46" w14:textId="40FA98B0" w:rsidR="00C1548D" w:rsidRDefault="009B1B4B">
            <w:pPr>
              <w:spacing w:line="250" w:lineRule="auto"/>
            </w:pPr>
            <w:r>
              <w:rPr>
                <w:sz w:val="18"/>
                <w:szCs w:val="18"/>
              </w:rPr>
              <w:t>muss vor der Registrierung stehen (Kapitel </w:t>
            </w:r>
            <w:hyperlink w:anchor="k5" w:history="1">
              <w:r>
                <w:rPr>
                  <w:sz w:val="18"/>
                  <w:szCs w:val="18"/>
                </w:rPr>
                <w:t>5</w:t>
              </w:r>
            </w:hyperlink>
            <w:r>
              <w:rPr>
                <w:sz w:val="18"/>
                <w:szCs w:val="18"/>
              </w:rPr>
              <w:t>)</w:t>
            </w:r>
          </w:p>
        </w:tc>
      </w:tr>
      <w:tr w:rsidR="00C1548D" w14:paraId="70A4CF4C" w14:textId="77777777">
        <w:tblPrEx>
          <w:tblCellMar>
            <w:top w:w="0" w:type="dxa"/>
            <w:bottom w:w="0" w:type="dxa"/>
          </w:tblCellMar>
        </w:tblPrEx>
        <w:trPr>
          <w:cantSplit/>
        </w:trPr>
        <w:tc>
          <w:tcPr>
            <w:tcW w:w="9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48" w14:textId="77777777" w:rsidR="00C1548D" w:rsidRDefault="009B1B4B">
            <w:pPr>
              <w:spacing w:line="250" w:lineRule="auto"/>
            </w:pPr>
            <w:r>
              <w:rPr>
                <w:sz w:val="18"/>
                <w:szCs w:val="18"/>
              </w:rPr>
              <w:t>März</w:t>
            </w:r>
          </w:p>
        </w:tc>
        <w:tc>
          <w:tcPr>
            <w:tcW w:w="22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49" w14:textId="77777777" w:rsidR="00C1548D" w:rsidRDefault="009B1B4B">
            <w:pPr>
              <w:spacing w:line="250" w:lineRule="auto"/>
            </w:pPr>
            <w:r>
              <w:rPr>
                <w:sz w:val="18"/>
                <w:szCs w:val="18"/>
              </w:rPr>
              <w:t>Registrierung (215 $)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4A" w14:textId="77777777" w:rsidR="00C1548D" w:rsidRDefault="009B1B4B">
            <w:pPr>
              <w:spacing w:line="250" w:lineRule="auto"/>
            </w:pPr>
            <w:r>
              <w:rPr>
                <w:sz w:val="18"/>
                <w:szCs w:val="18"/>
              </w:rPr>
              <w:t>Arbeitgeber</w:t>
            </w:r>
          </w:p>
        </w:tc>
        <w:tc>
          <w:tcPr>
            <w:tcW w:w="2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4B" w14:textId="77777777" w:rsidR="00C1548D" w:rsidRDefault="009B1B4B">
            <w:pPr>
              <w:spacing w:line="250" w:lineRule="auto"/>
            </w:pPr>
            <w:r>
              <w:rPr>
                <w:sz w:val="18"/>
                <w:szCs w:val="18"/>
              </w:rPr>
              <w:t>FY2027: 4.–19. März 2026; Ergebnis bis 31. März</w:t>
            </w:r>
          </w:p>
        </w:tc>
      </w:tr>
      <w:tr w:rsidR="00C1548D" w14:paraId="70A4CF51" w14:textId="77777777">
        <w:tblPrEx>
          <w:tblCellMar>
            <w:top w:w="0" w:type="dxa"/>
            <w:bottom w:w="0" w:type="dxa"/>
          </w:tblCellMar>
        </w:tblPrEx>
        <w:trPr>
          <w:cantSplit/>
        </w:trPr>
        <w:tc>
          <w:tcPr>
            <w:tcW w:w="9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4D" w14:textId="77777777" w:rsidR="00C1548D" w:rsidRDefault="009B1B4B">
            <w:pPr>
              <w:spacing w:line="250" w:lineRule="auto"/>
            </w:pPr>
            <w:r>
              <w:rPr>
                <w:sz w:val="18"/>
                <w:szCs w:val="18"/>
              </w:rPr>
              <w:t>April bis Juni</w:t>
            </w:r>
          </w:p>
        </w:tc>
        <w:tc>
          <w:tcPr>
            <w:tcW w:w="22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4E" w14:textId="77777777" w:rsidR="00C1548D" w:rsidRDefault="009B1B4B">
            <w:pPr>
              <w:spacing w:line="250" w:lineRule="auto"/>
            </w:pPr>
            <w:r>
              <w:rPr>
                <w:sz w:val="18"/>
                <w:szCs w:val="18"/>
              </w:rPr>
              <w:t>LCA, dann Petition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4F" w14:textId="77777777" w:rsidR="00C1548D" w:rsidRDefault="009B1B4B">
            <w:pPr>
              <w:spacing w:line="250" w:lineRule="auto"/>
            </w:pPr>
            <w:r>
              <w:rPr>
                <w:sz w:val="18"/>
                <w:szCs w:val="18"/>
              </w:rPr>
              <w:t>Kanzlei</w:t>
            </w:r>
          </w:p>
        </w:tc>
        <w:tc>
          <w:tcPr>
            <w:tcW w:w="2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0" w14:textId="77777777" w:rsidR="00C1548D" w:rsidRDefault="009B1B4B">
            <w:pPr>
              <w:spacing w:line="250" w:lineRule="auto"/>
            </w:pPr>
            <w:r>
              <w:rPr>
                <w:sz w:val="18"/>
                <w:szCs w:val="18"/>
              </w:rPr>
              <w:t>LCA-Prüfung sieben Werktage; Filing-Fenster mindestens 90 Tage</w:t>
            </w:r>
          </w:p>
        </w:tc>
      </w:tr>
      <w:tr w:rsidR="00C1548D" w14:paraId="70A4CF56" w14:textId="77777777">
        <w:tblPrEx>
          <w:tblCellMar>
            <w:top w:w="0" w:type="dxa"/>
            <w:bottom w:w="0" w:type="dxa"/>
          </w:tblCellMar>
        </w:tblPrEx>
        <w:trPr>
          <w:cantSplit/>
        </w:trPr>
        <w:tc>
          <w:tcPr>
            <w:tcW w:w="9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2" w14:textId="77777777" w:rsidR="00C1548D" w:rsidRDefault="009B1B4B">
            <w:pPr>
              <w:spacing w:line="250" w:lineRule="auto"/>
            </w:pPr>
            <w:r>
              <w:rPr>
                <w:sz w:val="18"/>
                <w:szCs w:val="18"/>
              </w:rPr>
              <w:t>nach Einreichung</w:t>
            </w:r>
          </w:p>
        </w:tc>
        <w:tc>
          <w:tcPr>
            <w:tcW w:w="22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3" w14:textId="77777777" w:rsidR="00C1548D" w:rsidRDefault="009B1B4B">
            <w:pPr>
              <w:spacing w:line="250" w:lineRule="auto"/>
            </w:pPr>
            <w:r>
              <w:rPr>
                <w:sz w:val="18"/>
                <w:szCs w:val="18"/>
              </w:rPr>
              <w:t>Entscheidung, ggf. RFE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4" w14:textId="77777777" w:rsidR="00C1548D" w:rsidRDefault="009B1B4B">
            <w:pPr>
              <w:spacing w:line="250" w:lineRule="auto"/>
            </w:pPr>
            <w:r>
              <w:rPr>
                <w:sz w:val="18"/>
                <w:szCs w:val="18"/>
              </w:rPr>
              <w:t>USCIS</w:t>
            </w:r>
          </w:p>
        </w:tc>
        <w:tc>
          <w:tcPr>
            <w:tcW w:w="2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5" w14:textId="77777777" w:rsidR="00C1548D" w:rsidRDefault="009B1B4B">
            <w:pPr>
              <w:spacing w:line="250" w:lineRule="auto"/>
            </w:pPr>
            <w:r>
              <w:rPr>
                <w:sz w:val="18"/>
                <w:szCs w:val="18"/>
              </w:rPr>
              <w:t>Premium 15 Werktage; regulär mehrere Monate (uscis.gov/processing-times)</w:t>
            </w:r>
          </w:p>
        </w:tc>
      </w:tr>
      <w:tr w:rsidR="00C1548D" w14:paraId="70A4CF5B" w14:textId="77777777">
        <w:tblPrEx>
          <w:tblCellMar>
            <w:top w:w="0" w:type="dxa"/>
            <w:bottom w:w="0" w:type="dxa"/>
          </w:tblCellMar>
        </w:tblPrEx>
        <w:trPr>
          <w:cantSplit/>
        </w:trPr>
        <w:tc>
          <w:tcPr>
            <w:tcW w:w="9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7" w14:textId="77777777" w:rsidR="00C1548D" w:rsidRDefault="009B1B4B">
            <w:pPr>
              <w:spacing w:line="250" w:lineRule="auto"/>
            </w:pPr>
            <w:r>
              <w:rPr>
                <w:sz w:val="18"/>
                <w:szCs w:val="18"/>
              </w:rPr>
              <w:lastRenderedPageBreak/>
              <w:t>nach Genehmigung</w:t>
            </w:r>
          </w:p>
        </w:tc>
        <w:tc>
          <w:tcPr>
            <w:tcW w:w="22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8" w14:textId="77777777" w:rsidR="00C1548D" w:rsidRDefault="009B1B4B">
            <w:pPr>
              <w:spacing w:line="250" w:lineRule="auto"/>
            </w:pPr>
            <w:r>
              <w:rPr>
                <w:sz w:val="18"/>
                <w:szCs w:val="18"/>
              </w:rPr>
              <w:t>DS-160, Gebühr, Termin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9" w14:textId="77777777" w:rsidR="00C1548D" w:rsidRDefault="009B1B4B">
            <w:pPr>
              <w:spacing w:line="250" w:lineRule="auto"/>
            </w:pPr>
            <w:r>
              <w:rPr>
                <w:sz w:val="18"/>
                <w:szCs w:val="18"/>
              </w:rPr>
              <w:t>du</w:t>
            </w:r>
          </w:p>
        </w:tc>
        <w:tc>
          <w:tcPr>
            <w:tcW w:w="2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A" w14:textId="77777777" w:rsidR="00C1548D" w:rsidRDefault="009B1B4B">
            <w:pPr>
              <w:spacing w:line="250" w:lineRule="auto"/>
            </w:pPr>
            <w:r>
              <w:rPr>
                <w:sz w:val="18"/>
                <w:szCs w:val="18"/>
              </w:rPr>
              <w:t>Frankfurt ca. zwei Monate, Berlin ca. ein Monat, München unter zwei Wochen</w:t>
            </w:r>
          </w:p>
        </w:tc>
      </w:tr>
      <w:tr w:rsidR="00C1548D" w14:paraId="70A4CF60" w14:textId="77777777">
        <w:tblPrEx>
          <w:tblCellMar>
            <w:top w:w="0" w:type="dxa"/>
            <w:bottom w:w="0" w:type="dxa"/>
          </w:tblCellMar>
        </w:tblPrEx>
        <w:trPr>
          <w:cantSplit/>
        </w:trPr>
        <w:tc>
          <w:tcPr>
            <w:tcW w:w="9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C" w14:textId="77777777" w:rsidR="00C1548D" w:rsidRDefault="009B1B4B">
            <w:pPr>
              <w:spacing w:line="250" w:lineRule="auto"/>
            </w:pPr>
            <w:r>
              <w:rPr>
                <w:sz w:val="18"/>
                <w:szCs w:val="18"/>
              </w:rPr>
              <w:t>Interviewtag</w:t>
            </w:r>
          </w:p>
        </w:tc>
        <w:tc>
          <w:tcPr>
            <w:tcW w:w="22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D" w14:textId="77777777" w:rsidR="00C1548D" w:rsidRDefault="009B1B4B">
            <w:pPr>
              <w:spacing w:line="250" w:lineRule="auto"/>
            </w:pPr>
            <w:r>
              <w:rPr>
                <w:sz w:val="18"/>
                <w:szCs w:val="18"/>
              </w:rPr>
              <w:t>Interview, ggf. 221(g)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E" w14:textId="77777777" w:rsidR="00C1548D" w:rsidRDefault="009B1B4B">
            <w:pPr>
              <w:spacing w:line="250" w:lineRule="auto"/>
            </w:pPr>
            <w:r>
              <w:rPr>
                <w:sz w:val="18"/>
                <w:szCs w:val="18"/>
              </w:rPr>
              <w:t>du</w:t>
            </w:r>
          </w:p>
        </w:tc>
        <w:tc>
          <w:tcPr>
            <w:tcW w:w="2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5F" w14:textId="77777777" w:rsidR="00C1548D" w:rsidRDefault="009B1B4B">
            <w:pPr>
              <w:spacing w:line="250" w:lineRule="auto"/>
            </w:pPr>
            <w:r>
              <w:rPr>
                <w:sz w:val="18"/>
                <w:szCs w:val="18"/>
              </w:rPr>
              <w:t>Wochen bis Monate bei 221(g)</w:t>
            </w:r>
          </w:p>
        </w:tc>
      </w:tr>
      <w:tr w:rsidR="00C1548D" w14:paraId="70A4CF65" w14:textId="77777777">
        <w:tblPrEx>
          <w:tblCellMar>
            <w:top w:w="0" w:type="dxa"/>
            <w:bottom w:w="0" w:type="dxa"/>
          </w:tblCellMar>
        </w:tblPrEx>
        <w:trPr>
          <w:cantSplit/>
        </w:trPr>
        <w:tc>
          <w:tcPr>
            <w:tcW w:w="9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1" w14:textId="77777777" w:rsidR="00C1548D" w:rsidRDefault="009B1B4B">
            <w:pPr>
              <w:spacing w:line="250" w:lineRule="auto"/>
            </w:pPr>
            <w:r>
              <w:rPr>
                <w:sz w:val="18"/>
                <w:szCs w:val="18"/>
              </w:rPr>
              <w:t>nach dem Visum</w:t>
            </w:r>
          </w:p>
        </w:tc>
        <w:tc>
          <w:tcPr>
            <w:tcW w:w="22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2" w14:textId="77777777" w:rsidR="00C1548D" w:rsidRDefault="009B1B4B">
            <w:pPr>
              <w:spacing w:line="250" w:lineRule="auto"/>
            </w:pPr>
            <w:r>
              <w:rPr>
                <w:sz w:val="18"/>
                <w:szCs w:val="18"/>
              </w:rPr>
              <w:t>Kündigung, Flug, Umzug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3" w14:textId="77777777" w:rsidR="00C1548D" w:rsidRDefault="009B1B4B">
            <w:pPr>
              <w:spacing w:line="250" w:lineRule="auto"/>
            </w:pPr>
            <w:r>
              <w:rPr>
                <w:sz w:val="18"/>
                <w:szCs w:val="18"/>
              </w:rPr>
              <w:t>du</w:t>
            </w:r>
          </w:p>
        </w:tc>
        <w:tc>
          <w:tcPr>
            <w:tcW w:w="2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4" w14:textId="325BEAD4" w:rsidR="00C1548D" w:rsidRDefault="009B1B4B">
            <w:pPr>
              <w:spacing w:line="250" w:lineRule="auto"/>
            </w:pPr>
            <w:r>
              <w:rPr>
                <w:sz w:val="18"/>
                <w:szCs w:val="18"/>
              </w:rPr>
              <w:t>Kündigungsfrist im Job einplanen; Kapitel </w:t>
            </w:r>
            <w:hyperlink w:anchor="k15" w:history="1">
              <w:r>
                <w:rPr>
                  <w:sz w:val="18"/>
                  <w:szCs w:val="18"/>
                </w:rPr>
                <w:t>15</w:t>
              </w:r>
            </w:hyperlink>
            <w:r>
              <w:rPr>
                <w:sz w:val="18"/>
                <w:szCs w:val="18"/>
              </w:rPr>
              <w:t xml:space="preserve"> und </w:t>
            </w:r>
            <w:hyperlink w:anchor="k20" w:history="1">
              <w:r>
                <w:rPr>
                  <w:sz w:val="18"/>
                  <w:szCs w:val="18"/>
                </w:rPr>
                <w:t>20</w:t>
              </w:r>
            </w:hyperlink>
          </w:p>
        </w:tc>
      </w:tr>
      <w:tr w:rsidR="00C1548D" w14:paraId="70A4CF6A" w14:textId="77777777">
        <w:tblPrEx>
          <w:tblCellMar>
            <w:top w:w="0" w:type="dxa"/>
            <w:bottom w:w="0" w:type="dxa"/>
          </w:tblCellMar>
        </w:tblPrEx>
        <w:trPr>
          <w:cantSplit/>
        </w:trPr>
        <w:tc>
          <w:tcPr>
            <w:tcW w:w="9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6" w14:textId="77777777" w:rsidR="00C1548D" w:rsidRDefault="009B1B4B">
            <w:pPr>
              <w:spacing w:line="250" w:lineRule="auto"/>
            </w:pPr>
            <w:r>
              <w:rPr>
                <w:sz w:val="18"/>
                <w:szCs w:val="18"/>
              </w:rPr>
              <w:t>frühestens 21. September</w:t>
            </w:r>
          </w:p>
        </w:tc>
        <w:tc>
          <w:tcPr>
            <w:tcW w:w="22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7" w14:textId="77777777" w:rsidR="00C1548D" w:rsidRDefault="009B1B4B">
            <w:pPr>
              <w:spacing w:line="250" w:lineRule="auto"/>
            </w:pPr>
            <w:r>
              <w:rPr>
                <w:sz w:val="18"/>
                <w:szCs w:val="18"/>
              </w:rPr>
              <w:t>Einreise, zehn Tage vor Petitionsbeginn 1. Oktober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8" w14:textId="77777777" w:rsidR="00C1548D" w:rsidRDefault="009B1B4B">
            <w:pPr>
              <w:spacing w:line="250" w:lineRule="auto"/>
            </w:pPr>
            <w:r>
              <w:rPr>
                <w:sz w:val="18"/>
                <w:szCs w:val="18"/>
              </w:rPr>
              <w:t>du</w:t>
            </w:r>
          </w:p>
        </w:tc>
        <w:tc>
          <w:tcPr>
            <w:tcW w:w="2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9" w14:textId="150BCB83" w:rsidR="00C1548D" w:rsidRDefault="009B1B4B">
            <w:pPr>
              <w:spacing w:line="250" w:lineRule="auto"/>
            </w:pPr>
            <w:r>
              <w:rPr>
                <w:sz w:val="18"/>
                <w:szCs w:val="18"/>
              </w:rPr>
              <w:t>Kapitel </w:t>
            </w:r>
            <w:hyperlink w:anchor="k23" w:history="1">
              <w:r>
                <w:rPr>
                  <w:sz w:val="18"/>
                  <w:szCs w:val="18"/>
                </w:rPr>
                <w:t>23</w:t>
              </w:r>
            </w:hyperlink>
          </w:p>
        </w:tc>
      </w:tr>
      <w:tr w:rsidR="00C1548D" w14:paraId="70A4CF6F" w14:textId="77777777">
        <w:tblPrEx>
          <w:tblCellMar>
            <w:top w:w="0" w:type="dxa"/>
            <w:bottom w:w="0" w:type="dxa"/>
          </w:tblCellMar>
        </w:tblPrEx>
        <w:trPr>
          <w:cantSplit/>
        </w:trPr>
        <w:tc>
          <w:tcPr>
            <w:tcW w:w="9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B" w14:textId="77777777" w:rsidR="00C1548D" w:rsidRDefault="009B1B4B">
            <w:pPr>
              <w:spacing w:line="250" w:lineRule="auto"/>
            </w:pPr>
            <w:r>
              <w:rPr>
                <w:sz w:val="18"/>
                <w:szCs w:val="18"/>
              </w:rPr>
              <w:t>ab 1. Oktober</w:t>
            </w:r>
          </w:p>
        </w:tc>
        <w:tc>
          <w:tcPr>
            <w:tcW w:w="22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C" w14:textId="77777777" w:rsidR="00C1548D" w:rsidRDefault="009B1B4B">
            <w:pPr>
              <w:spacing w:line="250" w:lineRule="auto"/>
            </w:pPr>
            <w:r>
              <w:rPr>
                <w:sz w:val="18"/>
                <w:szCs w:val="18"/>
              </w:rPr>
              <w:t>Arbeitsbeginn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D" w14:textId="77777777" w:rsidR="00C1548D" w:rsidRDefault="009B1B4B">
            <w:pPr>
              <w:spacing w:line="250" w:lineRule="auto"/>
            </w:pPr>
            <w:r>
              <w:rPr>
                <w:sz w:val="18"/>
                <w:szCs w:val="18"/>
              </w:rPr>
              <w:t>du</w:t>
            </w:r>
          </w:p>
        </w:tc>
        <w:tc>
          <w:tcPr>
            <w:tcW w:w="22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6E" w14:textId="77777777" w:rsidR="00C1548D" w:rsidRDefault="009B1B4B">
            <w:pPr>
              <w:spacing w:line="250" w:lineRule="auto"/>
            </w:pPr>
            <w:r>
              <w:rPr>
                <w:sz w:val="18"/>
                <w:szCs w:val="18"/>
              </w:rPr>
              <w:t>nicht vor dem Startdatum der Petition</w:t>
            </w:r>
          </w:p>
        </w:tc>
      </w:tr>
    </w:tbl>
    <w:p w14:paraId="70A4CF70" w14:textId="77777777" w:rsidR="00C1548D" w:rsidRDefault="00C1548D">
      <w:pPr>
        <w:spacing w:line="180" w:lineRule="exact"/>
      </w:pPr>
    </w:p>
    <w:p w14:paraId="70A4CF71" w14:textId="6FB7055A" w:rsidR="00C1548D" w:rsidRDefault="009B1B4B">
      <w:pPr>
        <w:spacing w:after="140"/>
      </w:pPr>
      <w: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history="1">
        <w:r>
          <w:t>5</w:t>
        </w:r>
      </w:hyperlink>
      <w:r>
        <w:t xml:space="preserve"> und </w:t>
      </w:r>
      <w:hyperlink w:anchor="k9" w:history="1">
        <w:r>
          <w:t>9</w:t>
        </w:r>
      </w:hyperlink>
      <w:r>
        <w:t>) dauert die Strecke von der Einreichung bis zum Visum mit Premium Processing oft nur wenige Monate (abgeleitet aus Premium-Frist und Terminwartezeiten, ohne Garantie).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7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F72" w14:textId="77777777" w:rsidR="00C1548D" w:rsidRDefault="009B1B4B">
            <w:pPr>
              <w:keepNext/>
              <w:spacing w:after="70" w:line="240" w:lineRule="auto"/>
            </w:pPr>
            <w:r>
              <w:rPr>
                <w:b/>
                <w:bCs/>
                <w:color w:val="9B2C2C"/>
                <w:spacing w:val="24"/>
                <w:sz w:val="16"/>
                <w:szCs w:val="16"/>
              </w:rPr>
              <w:t>ACHTUNG</w:t>
            </w:r>
          </w:p>
          <w:p w14:paraId="70A4CF73" w14:textId="6E13D658" w:rsidR="00C1548D" w:rsidRDefault="009B1B4B">
            <w:pPr>
              <w:spacing w:after="80" w:line="264" w:lineRule="auto"/>
            </w:pPr>
            <w:r>
              <w:rPr>
                <w:sz w:val="20"/>
                <w:szCs w:val="20"/>
              </w:rPr>
              <w:t>Ein Angebot im April bedeutet: Die März-Registrierung ist verpasst, der Start frühestens im Oktober des Folgejahres. Frage bei jedem Angebot, wann und wie der Arbeitgeber registriert, und plane ein Ausweichmodell (Kapitel </w:t>
            </w:r>
            <w:hyperlink w:anchor="k4" w:history="1">
              <w:r>
                <w:rPr>
                  <w:sz w:val="20"/>
                  <w:szCs w:val="20"/>
                </w:rPr>
                <w:t>4</w:t>
              </w:r>
            </w:hyperlink>
            <w:r>
              <w:rPr>
                <w:sz w:val="20"/>
                <w:szCs w:val="20"/>
              </w:rPr>
              <w:t>).</w:t>
            </w:r>
          </w:p>
        </w:tc>
      </w:tr>
    </w:tbl>
    <w:p w14:paraId="70A4CF75" w14:textId="77777777" w:rsidR="00C1548D" w:rsidRDefault="00C1548D">
      <w:pPr>
        <w:spacing w:line="220" w:lineRule="exact"/>
      </w:pPr>
    </w:p>
    <w:p w14:paraId="70A4CF76"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jetzt zu tun ist</w:t>
      </w:r>
    </w:p>
    <w:p w14:paraId="70A4CF77" w14:textId="77777777" w:rsidR="00C1548D" w:rsidRDefault="009B1B4B">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82"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CF78" w14:textId="77777777" w:rsidR="00C1548D" w:rsidRDefault="009B1B4B">
            <w:pPr>
              <w:keepNext/>
              <w:spacing w:after="70" w:line="240" w:lineRule="auto"/>
            </w:pPr>
            <w:r>
              <w:rPr>
                <w:b/>
                <w:bCs/>
                <w:color w:val="1F6F78"/>
                <w:spacing w:val="24"/>
                <w:sz w:val="16"/>
                <w:szCs w:val="16"/>
              </w:rPr>
              <w:t>CHECKLISTE</w:t>
            </w:r>
          </w:p>
          <w:p w14:paraId="70A4CF7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Angebotsschreiben: Sponsoring, Startdatum und Kostenübernahme (Konsulargebühren, Visa Integrity Fee, H-4, Umzug) schriftlich</w:t>
            </w:r>
          </w:p>
          <w:p w14:paraId="70A4CF7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Kanzlei, Ansprechperson und Kopien von Petition und LCA erfragt</w:t>
            </w:r>
          </w:p>
          <w:p w14:paraId="70A4CF7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Entschieden, ob du zusätzlich einen eigenen Anwalt brauchst; Zulassung bei der Anwaltskammer geprüft, Honorarvereinbarung schriftlich</w:t>
            </w:r>
          </w:p>
          <w:p w14:paraId="70A4CF7C" w14:textId="0F232F88"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Diplome, Zeugnisse, Arbeitszeugnisse und Lebenslauf bereit (Kapitel </w:t>
            </w:r>
            <w:hyperlink w:anchor="k19" w:history="1">
              <w:r>
                <w:rPr>
                  <w:sz w:val="20"/>
                  <w:szCs w:val="20"/>
                </w:rPr>
                <w:t>19</w:t>
              </w:r>
            </w:hyperlink>
            <w:r>
              <w:rPr>
                <w:sz w:val="20"/>
                <w:szCs w:val="20"/>
              </w:rPr>
              <w:t>); bei Familie Heirats- und Geburtsurkunden</w:t>
            </w:r>
          </w:p>
          <w:p w14:paraId="70A4CF7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DS-160 für jede Person ausgefüllt (Petitionsnummer aus dem Bescheid I-797), mit Petition und Lebenslauf abgeglichen, alle Social-Media-Konten angegeben</w:t>
            </w:r>
          </w:p>
          <w:p w14:paraId="70A4CF7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Konsulargebühr (205 $ je Person) gezahlt, Termin für die Familie gemeinsam gebucht, Standorte verglichen</w:t>
            </w:r>
          </w:p>
          <w:p w14:paraId="70A4CF7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Profile in sozialen Netzwerken vor dem Termin auf „öffentlich“ gestellt, nichts hektisch gelöscht</w:t>
            </w:r>
          </w:p>
          <w:p w14:paraId="70A4CF8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Interview-Mappe gepackt: Pass, DS-160-Bestätigung, Terminbestätigung, Gebührenbeleg, I-797, Kopien</w:t>
            </w:r>
          </w:p>
          <w:p w14:paraId="70A4CF8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Visum geprüft (Name, Kategorie, Datum); erst danach gekündigt, Flüge gebucht, Umzug beauftragt</w:t>
            </w:r>
          </w:p>
        </w:tc>
      </w:tr>
    </w:tbl>
    <w:p w14:paraId="70A4CF83" w14:textId="77777777" w:rsidR="00C1548D" w:rsidRDefault="00C1548D">
      <w:pPr>
        <w:spacing w:line="220" w:lineRule="exact"/>
      </w:pPr>
    </w:p>
    <w:p w14:paraId="70A4CF84"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CF85" w14:textId="4C6F7B6B" w:rsidR="00C1548D" w:rsidRDefault="009B1B4B" w:rsidP="009B1B4B">
      <w:pPr>
        <w:pStyle w:val="ListParagraph"/>
        <w:numPr>
          <w:ilvl w:val="0"/>
          <w:numId w:val="1"/>
        </w:numPr>
        <w:spacing w:after="60"/>
      </w:pPr>
      <w:r>
        <w:t xml:space="preserve">US-Außenministerium — Visa, Gebühren, Wartezeiten: </w:t>
      </w:r>
      <w:hyperlink r:id="rId98" w:history="1">
        <w:r>
          <w:rPr>
            <w:color w:val="0563C1"/>
            <w:u w:val="single"/>
          </w:rPr>
          <w:t>travel.state.gov/visas</w:t>
        </w:r>
      </w:hyperlink>
    </w:p>
    <w:p w14:paraId="70A4CF86" w14:textId="578E0200" w:rsidR="00C1548D" w:rsidRDefault="009B1B4B" w:rsidP="009B1B4B">
      <w:pPr>
        <w:pStyle w:val="ListParagraph"/>
        <w:numPr>
          <w:ilvl w:val="0"/>
          <w:numId w:val="1"/>
        </w:numPr>
        <w:spacing w:after="60"/>
      </w:pPr>
      <w:r>
        <w:lastRenderedPageBreak/>
        <w:t xml:space="preserve">US-Botschaft und Konsulate in Deutschland — Visaverfahren und Terminportal: </w:t>
      </w:r>
      <w:hyperlink r:id="rId99" w:history="1">
        <w:r>
          <w:rPr>
            <w:color w:val="0563C1"/>
            <w:u w:val="single"/>
          </w:rPr>
          <w:t>de.usembassy.gov/visas</w:t>
        </w:r>
      </w:hyperlink>
    </w:p>
    <w:p w14:paraId="70A4CF87" w14:textId="6B916A91" w:rsidR="00C1548D" w:rsidRDefault="009B1B4B" w:rsidP="009B1B4B">
      <w:pPr>
        <w:pStyle w:val="ListParagraph"/>
        <w:numPr>
          <w:ilvl w:val="0"/>
          <w:numId w:val="1"/>
        </w:numPr>
        <w:spacing w:after="60"/>
      </w:pPr>
      <w:r>
        <w:t xml:space="preserve">DS-160 und Statusabfrage: </w:t>
      </w:r>
      <w:hyperlink r:id="rId100" w:history="1">
        <w:r>
          <w:rPr>
            <w:color w:val="0563C1"/>
            <w:u w:val="single"/>
          </w:rPr>
          <w:t>ceac.state.gov/genniv</w:t>
        </w:r>
      </w:hyperlink>
    </w:p>
    <w:p w14:paraId="70A4CF88" w14:textId="03E4E05A" w:rsidR="00C1548D" w:rsidRDefault="009B1B4B" w:rsidP="009B1B4B">
      <w:pPr>
        <w:pStyle w:val="ListParagraph"/>
        <w:numPr>
          <w:ilvl w:val="0"/>
          <w:numId w:val="1"/>
        </w:numPr>
        <w:spacing w:after="60"/>
      </w:pPr>
      <w:r>
        <w:t xml:space="preserve">USCIS — Gebührenübersicht (G-1055): </w:t>
      </w:r>
      <w:hyperlink r:id="rId101" w:history="1">
        <w:r>
          <w:rPr>
            <w:color w:val="0563C1"/>
            <w:u w:val="single"/>
          </w:rPr>
          <w:t>uscis.gov/g-1055</w:t>
        </w:r>
      </w:hyperlink>
    </w:p>
    <w:p w14:paraId="70A4CF89" w14:textId="7FE74CD9" w:rsidR="00C1548D" w:rsidRDefault="009B1B4B" w:rsidP="009B1B4B">
      <w:pPr>
        <w:pStyle w:val="ListParagraph"/>
        <w:numPr>
          <w:ilvl w:val="0"/>
          <w:numId w:val="1"/>
        </w:numPr>
        <w:spacing w:after="60"/>
      </w:pPr>
      <w:r>
        <w:t xml:space="preserve">USCIS — H-1B: </w:t>
      </w:r>
      <w:hyperlink r:id="rId102" w:history="1">
        <w:r>
          <w:rPr>
            <w:color w:val="0563C1"/>
            <w:u w:val="single"/>
          </w:rPr>
          <w:t>uscis.gov/working-in-the-united-states/h-1b-specialty-occupations</w:t>
        </w:r>
      </w:hyperlink>
    </w:p>
    <w:p w14:paraId="70A4CF8A" w14:textId="2217507B" w:rsidR="00C1548D" w:rsidRDefault="009B1B4B" w:rsidP="009B1B4B">
      <w:pPr>
        <w:pStyle w:val="ListParagraph"/>
        <w:numPr>
          <w:ilvl w:val="0"/>
          <w:numId w:val="1"/>
        </w:numPr>
        <w:spacing w:after="60"/>
      </w:pPr>
      <w:r>
        <w:t xml:space="preserve">USCIS — Bearbeitungszeiten: </w:t>
      </w:r>
      <w:hyperlink r:id="rId103" w:history="1">
        <w:r>
          <w:rPr>
            <w:color w:val="0563C1"/>
            <w:u w:val="single"/>
          </w:rPr>
          <w:t>uscis.gov/processing-times</w:t>
        </w:r>
      </w:hyperlink>
    </w:p>
    <w:p w14:paraId="70A4CF8B" w14:textId="425B5792" w:rsidR="00C1548D" w:rsidRDefault="009B1B4B" w:rsidP="009B1B4B">
      <w:pPr>
        <w:pStyle w:val="ListParagraph"/>
        <w:numPr>
          <w:ilvl w:val="0"/>
          <w:numId w:val="1"/>
        </w:numPr>
        <w:spacing w:after="60"/>
      </w:pPr>
      <w:r>
        <w:t xml:space="preserve">USCIS — Betrug vermeiden: </w:t>
      </w:r>
      <w:hyperlink r:id="rId104" w:history="1">
        <w:r>
          <w:rPr>
            <w:color w:val="0563C1"/>
            <w:u w:val="single"/>
          </w:rPr>
          <w:t>uscis.gov/avoid-scams</w:t>
        </w:r>
      </w:hyperlink>
    </w:p>
    <w:p w14:paraId="70A4CF8C" w14:textId="0FFE6E8D" w:rsidR="00C1548D" w:rsidRDefault="009B1B4B" w:rsidP="009B1B4B">
      <w:pPr>
        <w:pStyle w:val="ListParagraph"/>
        <w:numPr>
          <w:ilvl w:val="0"/>
          <w:numId w:val="1"/>
        </w:numPr>
        <w:spacing w:after="60"/>
      </w:pPr>
      <w:r>
        <w:t xml:space="preserve">Verbraucherschutzbehörde FTC — Betrug melden: </w:t>
      </w:r>
      <w:hyperlink r:id="rId105" w:history="1">
        <w:r>
          <w:rPr>
            <w:color w:val="0563C1"/>
            <w:u w:val="single"/>
          </w:rPr>
          <w:t>reportfraud.ftc.gov</w:t>
        </w:r>
      </w:hyperlink>
    </w:p>
    <w:p w14:paraId="70A4CF8D"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90"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CF8E" w14:textId="77777777" w:rsidR="00C1548D" w:rsidRDefault="009B1B4B">
            <w:pPr>
              <w:keepNext/>
              <w:spacing w:after="70" w:line="240" w:lineRule="auto"/>
            </w:pPr>
            <w:r>
              <w:rPr>
                <w:b/>
                <w:bCs/>
                <w:color w:val="6B7280"/>
                <w:spacing w:val="24"/>
                <w:sz w:val="16"/>
                <w:szCs w:val="16"/>
              </w:rPr>
              <w:t>STAND</w:t>
            </w:r>
          </w:p>
          <w:p w14:paraId="70A4CF8F" w14:textId="77777777" w:rsidR="00C1548D" w:rsidRDefault="009B1B4B" w:rsidP="009B1B4B">
            <w:pPr>
              <w:pStyle w:val="ListParagraph"/>
              <w:numPr>
                <w:ilvl w:val="0"/>
                <w:numId w:val="19"/>
              </w:numPr>
              <w:spacing w:after="50" w:line="264" w:lineRule="auto"/>
            </w:pPr>
            <w:r>
              <w:rPr>
                <w:sz w:val="20"/>
                <w:szCs w:val="20"/>
              </w:rPr>
              <w:t>September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tc>
      </w:tr>
    </w:tbl>
    <w:p w14:paraId="70A4CF91" w14:textId="77777777" w:rsidR="00C1548D" w:rsidRDefault="00C1548D">
      <w:pPr>
        <w:spacing w:line="220" w:lineRule="exact"/>
      </w:pPr>
    </w:p>
    <w:p w14:paraId="70A4CF92" w14:textId="77777777" w:rsidR="00C1548D" w:rsidRDefault="00C1548D">
      <w:pPr>
        <w:sectPr w:rsidR="00C1548D">
          <w:footerReference w:type="default" r:id="rId106"/>
          <w:pgSz w:w="8640" w:h="12960"/>
          <w:pgMar w:top="1080" w:right="1080" w:bottom="1100" w:left="1080" w:header="708" w:footer="708" w:gutter="0"/>
          <w:cols w:space="720"/>
          <w:docGrid w:linePitch="360"/>
        </w:sectPr>
      </w:pPr>
    </w:p>
    <w:p w14:paraId="70A4CF93" w14:textId="77777777" w:rsidR="00C1548D" w:rsidRDefault="009B1B4B">
      <w:pPr>
        <w:pStyle w:val="Heading1"/>
        <w:jc w:val="center"/>
      </w:pPr>
      <w:bookmarkStart w:id="31" w:name="_Toc241352462"/>
      <w:r>
        <w:rPr>
          <w:rFonts w:ascii="Amazon Ember" w:eastAsia="Amazon Ember" w:hAnsi="Amazon Ember" w:cs="Amazon Ember"/>
          <w:color w:val="0000FF"/>
        </w:rPr>
        <w:lastRenderedPageBreak/>
        <w:t>TEIL III — Wohnort und Wohnen</w:t>
      </w:r>
      <w:bookmarkEnd w:id="31"/>
    </w:p>
    <w:p w14:paraId="70A4CF94" w14:textId="77777777" w:rsidR="00C1548D" w:rsidRDefault="009B1B4B">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w14:paraId="70A4CF95" w14:textId="77777777" w:rsidR="00C1548D" w:rsidRDefault="00C1548D">
      <w:pPr>
        <w:sectPr w:rsidR="00C1548D">
          <w:footerReference w:type="default" r:id="rId107"/>
          <w:pgSz w:w="8640" w:h="12960"/>
          <w:pgMar w:top="1080" w:right="1080" w:bottom="1100" w:left="1080" w:header="708" w:footer="708" w:gutter="0"/>
          <w:cols w:space="720"/>
          <w:vAlign w:val="center"/>
          <w:docGrid w:linePitch="360"/>
        </w:sectPr>
      </w:pPr>
    </w:p>
    <w:p w14:paraId="70A4CF96" w14:textId="77777777" w:rsidR="00C1548D" w:rsidRDefault="009B1B4B">
      <w:pPr>
        <w:pStyle w:val="Heading2"/>
        <w:keepNext/>
        <w:pageBreakBefore/>
        <w:jc w:val="center"/>
      </w:pPr>
      <w:bookmarkStart w:id="32" w:name="k12"/>
      <w:bookmarkStart w:id="33" w:name="_Toc241352463"/>
      <w:r>
        <w:rPr>
          <w:rFonts w:ascii="Amazon Ember" w:eastAsia="Amazon Ember" w:hAnsi="Amazon Ember" w:cs="Amazon Ember"/>
          <w:color w:val="0000FF"/>
          <w:sz w:val="36"/>
          <w:szCs w:val="36"/>
        </w:rPr>
        <w:lastRenderedPageBreak/>
        <w:t>Kapitel 12: Wo leben? Die besten Orte nach Berufsfeld</w:t>
      </w:r>
      <w:bookmarkEnd w:id="32"/>
      <w:bookmarkEnd w:id="33"/>
    </w:p>
    <w:p w14:paraId="70A4CF97" w14:textId="7656AA81" w:rsidR="00C1548D" w:rsidRDefault="009B1B4B">
      <w:pPr>
        <w:spacing w:after="140"/>
      </w:pPr>
      <w: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history="1">
        <w:r>
          <w:t>30</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9E"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CF98" w14:textId="77777777" w:rsidR="00C1548D" w:rsidRDefault="009B1B4B">
            <w:pPr>
              <w:keepNext/>
              <w:spacing w:after="70" w:line="240" w:lineRule="auto"/>
            </w:pPr>
            <w:r>
              <w:rPr>
                <w:b/>
                <w:bCs/>
                <w:color w:val="1F3A5F"/>
                <w:spacing w:val="24"/>
                <w:sz w:val="16"/>
                <w:szCs w:val="16"/>
              </w:rPr>
              <w:t>KURZ GESAGT</w:t>
            </w:r>
          </w:p>
          <w:p w14:paraId="70A4CF99" w14:textId="7B81555F" w:rsidR="00C1548D" w:rsidRDefault="009B1B4B" w:rsidP="009B1B4B">
            <w:pPr>
              <w:pStyle w:val="ListParagraph"/>
              <w:numPr>
                <w:ilvl w:val="0"/>
                <w:numId w:val="1"/>
              </w:numPr>
              <w:spacing w:after="50" w:line="264" w:lineRule="auto"/>
            </w:pPr>
            <w:r>
              <w:rPr>
                <w:sz w:val="20"/>
                <w:szCs w:val="20"/>
              </w:rPr>
              <w:t>Beim ersten Job bestimmt fast immer der Arbeitgeber den Ort; freie Wahl kommt meist erst beim zweiten oder dritten Job (Kapitel </w:t>
            </w:r>
            <w:hyperlink w:anchor="k30" w:history="1">
              <w:r>
                <w:rPr>
                  <w:sz w:val="20"/>
                  <w:szCs w:val="20"/>
                </w:rPr>
                <w:t>30</w:t>
              </w:r>
            </w:hyperlink>
            <w:r>
              <w:rPr>
                <w:sz w:val="20"/>
                <w:szCs w:val="20"/>
              </w:rPr>
              <w:t>).</w:t>
            </w:r>
          </w:p>
          <w:p w14:paraId="70A4CF9A" w14:textId="77777777" w:rsidR="00C1548D" w:rsidRDefault="009B1B4B" w:rsidP="009B1B4B">
            <w:pPr>
              <w:pStyle w:val="ListParagraph"/>
              <w:numPr>
                <w:ilvl w:val="0"/>
                <w:numId w:val="1"/>
              </w:numPr>
              <w:spacing w:after="50" w:line="264" w:lineRule="auto"/>
            </w:pPr>
            <w:r>
              <w:rPr>
                <w:sz w:val="20"/>
                <w:szCs w:val="20"/>
              </w:rPr>
              <w:t>Rechne Gehalt, Wohnkosten und Steuern immer zusammen: 130.000 $ bedeuten in Columbus etwas anderes als in San Francisco.</w:t>
            </w:r>
          </w:p>
          <w:p w14:paraId="70A4CF9B" w14:textId="77777777" w:rsidR="00C1548D" w:rsidRDefault="009B1B4B" w:rsidP="009B1B4B">
            <w:pPr>
              <w:pStyle w:val="ListParagraph"/>
              <w:numPr>
                <w:ilvl w:val="0"/>
                <w:numId w:val="1"/>
              </w:numPr>
              <w:spacing w:after="50" w:line="264" w:lineRule="auto"/>
            </w:pPr>
            <w:r>
              <w:rPr>
                <w:sz w:val="20"/>
                <w:szCs w:val="20"/>
              </w:rPr>
              <w:t>Tech zahlt am besten, aber 2026 mit Entlassungswelle und schwachem Einstiegsmarkt; Halbleiter-Jobs entstehen schon in Arizona, Idaho und Texas, in Ohio erst ab 2030.</w:t>
            </w:r>
          </w:p>
          <w:p w14:paraId="70A4CF9C" w14:textId="77777777" w:rsidR="00C1548D" w:rsidRDefault="009B1B4B" w:rsidP="009B1B4B">
            <w:pPr>
              <w:pStyle w:val="ListParagraph"/>
              <w:numPr>
                <w:ilvl w:val="0"/>
                <w:numId w:val="1"/>
              </w:numPr>
              <w:spacing w:after="50" w:line="264" w:lineRule="auto"/>
            </w:pPr>
            <w:r>
              <w:rPr>
                <w:sz w:val="20"/>
                <w:szCs w:val="20"/>
              </w:rPr>
              <w:t>Acht Bundesstaaten erheben keine Einkommensteuer – das ersetzt aber keine Rechnung mit Grundsteuer und Versicherung.</w:t>
            </w:r>
          </w:p>
          <w:p w14:paraId="70A4CF9D" w14:textId="6639DDC9" w:rsidR="00C1548D" w:rsidRDefault="009B1B4B" w:rsidP="009B1B4B">
            <w:pPr>
              <w:pStyle w:val="ListParagraph"/>
              <w:numPr>
                <w:ilvl w:val="0"/>
                <w:numId w:val="1"/>
              </w:numPr>
              <w:spacing w:after="50" w:line="264" w:lineRule="auto"/>
            </w:pPr>
            <w:r>
              <w:rPr>
                <w:sz w:val="20"/>
                <w:szCs w:val="20"/>
              </w:rPr>
              <w:t>Miete das erste Jahr, auch wenn du dich schon entschieden hast; das spart teure Fehlentscheidungen (Kapitel </w:t>
            </w:r>
            <w:hyperlink w:anchor="k13" w:history="1">
              <w:r>
                <w:rPr>
                  <w:sz w:val="20"/>
                  <w:szCs w:val="20"/>
                </w:rPr>
                <w:t>13</w:t>
              </w:r>
            </w:hyperlink>
            <w:r>
              <w:rPr>
                <w:sz w:val="20"/>
                <w:szCs w:val="20"/>
              </w:rPr>
              <w:t>, Kapitel </w:t>
            </w:r>
            <w:hyperlink w:anchor="k14" w:history="1">
              <w:r>
                <w:rPr>
                  <w:sz w:val="20"/>
                  <w:szCs w:val="20"/>
                </w:rPr>
                <w:t>14</w:t>
              </w:r>
            </w:hyperlink>
            <w:r>
              <w:rPr>
                <w:sz w:val="20"/>
                <w:szCs w:val="20"/>
              </w:rPr>
              <w:t>).</w:t>
            </w:r>
          </w:p>
        </w:tc>
      </w:tr>
    </w:tbl>
    <w:p w14:paraId="70A4CF9F" w14:textId="77777777" w:rsidR="00C1548D" w:rsidRDefault="00C1548D">
      <w:pPr>
        <w:spacing w:line="220" w:lineRule="exact"/>
      </w:pPr>
    </w:p>
    <w:p w14:paraId="70A4CFA0" w14:textId="77777777" w:rsidR="00C1548D" w:rsidRDefault="009B1B4B">
      <w:pPr>
        <w:pStyle w:val="Heading3"/>
        <w:keepNext/>
        <w:jc w:val="center"/>
      </w:pPr>
      <w:r>
        <w:rPr>
          <w:rFonts w:ascii="Amazon Ember" w:eastAsia="Amazon Ember" w:hAnsi="Amazon Ember" w:cs="Amazon Ember"/>
          <w:color w:val="0000FF"/>
          <w:sz w:val="36"/>
          <w:szCs w:val="36"/>
        </w:rPr>
        <w:t>Wenn der Job den Ort bestimmt – und warum sich das später ändert</w:t>
      </w:r>
    </w:p>
    <w:p w14:paraId="70A4CFA1" w14:textId="74D08549" w:rsidR="00C1548D" w:rsidRDefault="009B1B4B">
      <w:pPr>
        <w:spacing w:after="140"/>
      </w:pPr>
      <w:r>
        <w:t xml:space="preserve">Verbreiteter Irrtum: Wer ein Jobangebot in der Tasche hat, sucht sich aus, in welcher Stadt er lebt. Tatsächlich entscheidest du beim ersten Job in den USA selten selbst, wo du wohnst. Kommst du über </w:t>
      </w:r>
      <w:r>
        <w:lastRenderedPageBreak/>
        <w:t xml:space="preserve">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die dein Arbeitgeber beim Arbeitsministerium einreicht, bindet dich an dieses Gebiet; ein Umzug in eine andere Region braucht in der Regel eine neue Petition (Kapitel </w:t>
      </w:r>
      <w:hyperlink w:anchor="k30" w:history="1">
        <w:r>
          <w:t>30</w:t>
        </w:r>
      </w:hyperlink>
      <w:r>
        <w:t>). Wer über ein Studium kommt (F-1, OPT, Kapitel </w:t>
      </w:r>
      <w:hyperlink w:anchor="k8" w:history="1">
        <w:r>
          <w:t>8</w:t>
        </w:r>
      </w:hyperlink>
      <w:r>
        <w:t>), hat beim ersten Arbeitgeber ebenfalls wenig Spielraum, weil schon das Jobangebot selbst rar ist. Nur wer über E-2, L-1A oder O-1 selbständig oder als Führungskraft kommt (Kapitel </w:t>
      </w:r>
      <w:hyperlink w:anchor="k9" w:history="1">
        <w:r>
          <w:t>9</w:t>
        </w:r>
      </w:hyperlink>
      <w:r>
        <w:t>) oder bereits eine Green Card besitzt, wählt den Ort wirklich frei.</w:t>
      </w:r>
    </w:p>
    <w:p w14:paraId="70A4CFA2" w14:textId="63E5E777" w:rsidR="00C1548D" w:rsidRDefault="009B1B4B">
      <w:pPr>
        <w:spacing w:after="140"/>
      </w:pPr>
      <w:r>
        <w:t>Das klingt einschränkender, als es ist. Amerikaner bleiben im Median nur 3,9 Jahre bei einem Arbeitgeber (Kapitel </w:t>
      </w:r>
      <w:hyperlink w:anchor="k30" w:history="1">
        <w:r>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A5"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CFA3" w14:textId="77777777" w:rsidR="00C1548D" w:rsidRDefault="009B1B4B">
            <w:pPr>
              <w:keepNext/>
              <w:spacing w:after="70" w:line="240" w:lineRule="auto"/>
            </w:pPr>
            <w:r>
              <w:rPr>
                <w:b/>
                <w:bCs/>
                <w:color w:val="8A6212"/>
                <w:spacing w:val="24"/>
                <w:sz w:val="16"/>
                <w:szCs w:val="16"/>
              </w:rPr>
              <w:t>MERKE</w:t>
            </w:r>
          </w:p>
          <w:p w14:paraId="70A4CFA4" w14:textId="77777777" w:rsidR="00C1548D" w:rsidRDefault="009B1B4B">
            <w:pPr>
              <w:spacing w:after="80" w:line="264" w:lineRule="auto"/>
            </w:pPr>
            <w:r>
              <w:rPr>
                <w:sz w:val="20"/>
                <w:szCs w:val="20"/>
              </w:rPr>
              <w:t>Der erste Wohnort folgt fast immer dem ersten Job, nicht umgekehrt. Wer die Wahl hat, sollte die Kriterien dieses Kapitels schon beim Jobangebot prüfen, nicht erst nach der Zusage.</w:t>
            </w:r>
          </w:p>
        </w:tc>
      </w:tr>
    </w:tbl>
    <w:p w14:paraId="70A4CFA6" w14:textId="77777777" w:rsidR="00C1548D" w:rsidRDefault="00C1548D">
      <w:pPr>
        <w:spacing w:line="220" w:lineRule="exact"/>
      </w:pPr>
    </w:p>
    <w:p w14:paraId="70A4CFA7" w14:textId="77777777" w:rsidR="00C1548D" w:rsidRDefault="009B1B4B">
      <w:pPr>
        <w:pStyle w:val="Heading3"/>
        <w:keepNext/>
        <w:jc w:val="center"/>
      </w:pPr>
      <w:r>
        <w:rPr>
          <w:rFonts w:ascii="Amazon Ember" w:eastAsia="Amazon Ember" w:hAnsi="Amazon Ember" w:cs="Amazon Ember"/>
          <w:color w:val="0000FF"/>
          <w:sz w:val="36"/>
          <w:szCs w:val="36"/>
        </w:rPr>
        <w:t>Was bei der Wahl zählt: Gehalt, Kosten und Steuern</w:t>
      </w:r>
    </w:p>
    <w:p w14:paraId="70A4CFA8" w14:textId="081CAC21" w:rsidR="00C1548D" w:rsidRDefault="009B1B4B">
      <w:pPr>
        <w:spacing w:after="140"/>
      </w:pPr>
      <w:r>
        <w:t>Sobald du wählen kannst oder das zugewiesene Angebot bewerten willst, zählt zuerst das Verhältnis von Gehalt zu Lebenshaltungskosten, nicht das Gehalt allein (Kapitel </w:t>
      </w:r>
      <w:hyperlink w:anchor="k3" w:history="1">
        <w:r>
          <w:t>3</w:t>
        </w:r>
      </w:hyperlink>
      <w:r>
        <w:t xml:space="preserve"> zeigt das Rechenmodell). Ein Softwareentwickler verdient im Median </w:t>
      </w:r>
      <w:r>
        <w:lastRenderedPageBreak/>
        <w:t>213.110 $ in San José, aber ein Einfamilienhaus kostet dort 2.050.000 $; in Columbus, Ohio, sind es 122.340 $ Gehalt bei 363.100 $ Kaufpreis – ein deutlich günstigeres Verhältnis, auch wenn die absolute Zahl kleiner wirkt. Ein hohes Nominalgehalt in San Francisco oder Boston lässt nach Steuern und Wohnkosten oft weniger übrig als ein niedrigeres Gehalt in Columbus oder Raleigh – wer nur auf die Zahl im Angebotsschreiben schaut, wundert sich</w:t>
      </w:r>
      <w:r>
        <w:t xml:space="preserve"> am Monatsende, wohin das Geld verschwunden ist.</w:t>
      </w:r>
    </w:p>
    <w:p w14:paraId="70A4CFA9" w14:textId="30DD325F" w:rsidR="00C1548D" w:rsidRDefault="009B1B4B">
      <w:pPr>
        <w:spacing w:after="140"/>
      </w:pPr>
      <w: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history="1">
        <w:r>
          <w:t>28</w:t>
        </w:r>
      </w:hyperlink>
      <w:r>
        <w:t>. Die Grundsteuer (</w:t>
      </w:r>
      <w:r>
        <w:rPr>
          <w:i/>
          <w:iCs/>
        </w:rPr>
        <w:t>Property Tax</w:t>
      </w:r>
      <w:r>
        <w:t>) variiert ebenfalls stark, von rund 0,3 % des Hauswerts in Hawaii bis 1,9 % in New Jersey und Illinois (Kapitel </w:t>
      </w:r>
      <w:hyperlink w:anchor="k14" w:history="1">
        <w:r>
          <w:t>14</w:t>
        </w:r>
      </w:hyperlink>
      <w:r>
        <w:t>).</w:t>
      </w:r>
    </w:p>
    <w:p w14:paraId="70A4CFAA" w14:textId="72C00EE2" w:rsidR="00C1548D" w:rsidRDefault="009B1B4B">
      <w:pPr>
        <w:spacing w:after="140"/>
      </w:pPr>
      <w:r>
        <w:t>Für Familien ist Schulqualität oft das gewichtigste Kriterium: Die öffentliche Schule richtet sich nach dem Schulbezirk (</w:t>
      </w:r>
      <w:r>
        <w:rPr>
          <w:i/>
          <w:iCs/>
        </w:rPr>
        <w:t>School District</w:t>
      </w:r>
      <w:r>
        <w:t>) des Wohnorts, nicht nach der Stadt insgesamt, und gefragte Bezirke kosten beim Kauf oder Mieten einen spürbaren Aufschlag. Wie du Schulbezirke bewertest, erklärt Kapitel </w:t>
      </w:r>
      <w:hyperlink w:anchor="k36" w:history="1">
        <w:r>
          <w:t>36</w:t>
        </w:r>
      </w:hyperlink>
      <w:r>
        <w:t>; die Steckbriefe weiter unten nennen je Region Beispiele gefragter Bezirke.</w:t>
      </w:r>
    </w:p>
    <w:p w14:paraId="70A4CFAB" w14:textId="77777777" w:rsidR="00C1548D" w:rsidRDefault="009B1B4B">
      <w:pPr>
        <w:pStyle w:val="Heading3"/>
        <w:keepNext/>
        <w:jc w:val="center"/>
      </w:pPr>
      <w:r>
        <w:rPr>
          <w:rFonts w:ascii="Amazon Ember" w:eastAsia="Amazon Ember" w:hAnsi="Amazon Ember" w:cs="Amazon Ember"/>
          <w:color w:val="0000FF"/>
          <w:sz w:val="36"/>
          <w:szCs w:val="36"/>
        </w:rPr>
        <w:t>Klima, Naturgefahren und der Alltag vor Ort</w:t>
      </w:r>
    </w:p>
    <w:p w14:paraId="70A4CFAC" w14:textId="41DB8C9F" w:rsidR="00C1548D" w:rsidRDefault="009B1B4B">
      <w:pPr>
        <w:spacing w:after="140"/>
      </w:pPr>
      <w:r>
        <w:t xml:space="preserve">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w:t>
      </w:r>
      <w:r>
        <w:lastRenderedPageBreak/>
        <w:t>(Versicherbarkeit, Kapitel </w:t>
      </w:r>
      <w:hyperlink w:anchor="k14" w:history="1">
        <w:r>
          <w:t>14</w:t>
        </w:r>
      </w:hyperlink>
      <w:r>
        <w:t>), andere den Alltag – Hitzeperioden, Winterstürme, Rauch von Waldbränden.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653"/>
        <w:gridCol w:w="2877"/>
      </w:tblGrid>
      <w:tr w:rsidR="00C1548D" w14:paraId="70A4CFB0"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AD" w14:textId="77777777" w:rsidR="00C1548D" w:rsidRDefault="009B1B4B">
            <w:pPr>
              <w:spacing w:line="250" w:lineRule="auto"/>
            </w:pPr>
            <w:r>
              <w:rPr>
                <w:b/>
                <w:bCs/>
                <w:sz w:val="18"/>
                <w:szCs w:val="18"/>
              </w:rPr>
              <w:t>Naturgefahr</w:t>
            </w:r>
          </w:p>
        </w:tc>
        <w:tc>
          <w:tcPr>
            <w:tcW w:w="26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AE" w14:textId="77777777" w:rsidR="00C1548D" w:rsidRDefault="009B1B4B">
            <w:pPr>
              <w:spacing w:line="250" w:lineRule="auto"/>
            </w:pPr>
            <w:r>
              <w:rPr>
                <w:b/>
                <w:bCs/>
                <w:sz w:val="18"/>
                <w:szCs w:val="18"/>
              </w:rPr>
              <w:t>Betroffene Regionen (Beispiele)</w:t>
            </w:r>
          </w:p>
        </w:tc>
        <w:tc>
          <w:tcPr>
            <w:tcW w:w="28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AF" w14:textId="77777777" w:rsidR="00C1548D" w:rsidRDefault="009B1B4B">
            <w:pPr>
              <w:spacing w:line="250" w:lineRule="auto"/>
            </w:pPr>
            <w:r>
              <w:rPr>
                <w:b/>
                <w:bCs/>
                <w:sz w:val="18"/>
                <w:szCs w:val="18"/>
              </w:rPr>
              <w:t>Worauf du achtest</w:t>
            </w:r>
          </w:p>
        </w:tc>
      </w:tr>
      <w:tr w:rsidR="00C1548D" w14:paraId="70A4CFB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1" w14:textId="77777777" w:rsidR="00C1548D" w:rsidRDefault="009B1B4B">
            <w:pPr>
              <w:spacing w:line="250" w:lineRule="auto"/>
            </w:pPr>
            <w:r>
              <w:rPr>
                <w:sz w:val="18"/>
                <w:szCs w:val="18"/>
              </w:rPr>
              <w:t>Hurrikan</w:t>
            </w:r>
          </w:p>
        </w:tc>
        <w:tc>
          <w:tcPr>
            <w:tcW w:w="2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2" w14:textId="77777777" w:rsidR="00C1548D" w:rsidRDefault="009B1B4B">
            <w:pPr>
              <w:spacing w:line="250" w:lineRule="auto"/>
            </w:pPr>
            <w:r>
              <w:rPr>
                <w:sz w:val="18"/>
                <w:szCs w:val="18"/>
              </w:rPr>
              <w:t>Golfküste, Florida, Houston, Carolinas, teils Washington DC</w:t>
            </w:r>
          </w:p>
        </w:tc>
        <w:tc>
          <w:tcPr>
            <w:tcW w:w="28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3" w14:textId="77777777" w:rsidR="00C1548D" w:rsidRDefault="009B1B4B">
            <w:pPr>
              <w:spacing w:line="250" w:lineRule="auto"/>
            </w:pPr>
            <w:r>
              <w:rPr>
                <w:sz w:val="18"/>
                <w:szCs w:val="18"/>
              </w:rPr>
              <w:t>Sturmsaison Juni bis November, Evakuierungszonen, Selbstbehalt</w:t>
            </w:r>
          </w:p>
        </w:tc>
      </w:tr>
      <w:tr w:rsidR="00C1548D" w14:paraId="70A4CFB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5" w14:textId="77777777" w:rsidR="00C1548D" w:rsidRDefault="009B1B4B">
            <w:pPr>
              <w:spacing w:line="250" w:lineRule="auto"/>
            </w:pPr>
            <w:r>
              <w:rPr>
                <w:sz w:val="18"/>
                <w:szCs w:val="18"/>
              </w:rPr>
              <w:t>Waldbrand</w:t>
            </w:r>
          </w:p>
        </w:tc>
        <w:tc>
          <w:tcPr>
            <w:tcW w:w="2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6" w14:textId="77777777" w:rsidR="00C1548D" w:rsidRDefault="009B1B4B">
            <w:pPr>
              <w:spacing w:line="250" w:lineRule="auto"/>
            </w:pPr>
            <w:r>
              <w:rPr>
                <w:sz w:val="18"/>
                <w:szCs w:val="18"/>
              </w:rPr>
              <w:t>Kalifornien, Colorado, Pacific-Northwest-Rauch</w:t>
            </w:r>
          </w:p>
        </w:tc>
        <w:tc>
          <w:tcPr>
            <w:tcW w:w="28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7" w14:textId="77777777" w:rsidR="00C1548D" w:rsidRDefault="009B1B4B">
            <w:pPr>
              <w:spacing w:line="250" w:lineRule="auto"/>
            </w:pPr>
            <w:r>
              <w:rPr>
                <w:sz w:val="18"/>
                <w:szCs w:val="18"/>
              </w:rPr>
              <w:t>FEMA-Gefahrenkarten, Versicherbarkeit vor dem Kauf prüfen</w:t>
            </w:r>
          </w:p>
        </w:tc>
      </w:tr>
      <w:tr w:rsidR="00C1548D" w14:paraId="70A4CFB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9" w14:textId="77777777" w:rsidR="00C1548D" w:rsidRDefault="009B1B4B">
            <w:pPr>
              <w:spacing w:line="250" w:lineRule="auto"/>
            </w:pPr>
            <w:r>
              <w:rPr>
                <w:sz w:val="18"/>
                <w:szCs w:val="18"/>
              </w:rPr>
              <w:t>Erdbeben</w:t>
            </w:r>
          </w:p>
        </w:tc>
        <w:tc>
          <w:tcPr>
            <w:tcW w:w="2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A" w14:textId="77777777" w:rsidR="00C1548D" w:rsidRDefault="009B1B4B">
            <w:pPr>
              <w:spacing w:line="250" w:lineRule="auto"/>
            </w:pPr>
            <w:r>
              <w:rPr>
                <w:sz w:val="18"/>
                <w:szCs w:val="18"/>
              </w:rPr>
              <w:t>San Francisco/Los Angeles, Seattle/Portland, Salt Lake City</w:t>
            </w:r>
          </w:p>
        </w:tc>
        <w:tc>
          <w:tcPr>
            <w:tcW w:w="28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B" w14:textId="77777777" w:rsidR="00C1548D" w:rsidRDefault="009B1B4B">
            <w:pPr>
              <w:spacing w:line="250" w:lineRule="auto"/>
            </w:pPr>
            <w:r>
              <w:rPr>
                <w:sz w:val="18"/>
                <w:szCs w:val="18"/>
              </w:rPr>
              <w:t>Standardpolice deckt Erdbeben meist nicht; Zusatzpolice nötig</w:t>
            </w:r>
          </w:p>
        </w:tc>
      </w:tr>
      <w:tr w:rsidR="00C1548D" w14:paraId="70A4CFC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D" w14:textId="77777777" w:rsidR="00C1548D" w:rsidRDefault="009B1B4B">
            <w:pPr>
              <w:spacing w:line="250" w:lineRule="auto"/>
            </w:pPr>
            <w:r>
              <w:rPr>
                <w:sz w:val="18"/>
                <w:szCs w:val="18"/>
              </w:rPr>
              <w:t>Tornado</w:t>
            </w:r>
          </w:p>
        </w:tc>
        <w:tc>
          <w:tcPr>
            <w:tcW w:w="2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E" w14:textId="77777777" w:rsidR="00C1548D" w:rsidRDefault="009B1B4B">
            <w:pPr>
              <w:spacing w:line="250" w:lineRule="auto"/>
            </w:pPr>
            <w:r>
              <w:rPr>
                <w:sz w:val="18"/>
                <w:szCs w:val="18"/>
              </w:rPr>
              <w:t>Dallas, Houston, Nashville, Huntsville, Atlanta, Minneapolis</w:t>
            </w:r>
          </w:p>
        </w:tc>
        <w:tc>
          <w:tcPr>
            <w:tcW w:w="28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BF" w14:textId="77777777" w:rsidR="00C1548D" w:rsidRDefault="009B1B4B">
            <w:pPr>
              <w:spacing w:line="250" w:lineRule="auto"/>
            </w:pPr>
            <w:r>
              <w:rPr>
                <w:sz w:val="18"/>
                <w:szCs w:val="18"/>
              </w:rPr>
              <w:t>Sturmkeller oder sicherer Innenraum, Warn-Apps</w:t>
            </w:r>
          </w:p>
        </w:tc>
      </w:tr>
      <w:tr w:rsidR="00C1548D" w14:paraId="70A4CFC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C1" w14:textId="77777777" w:rsidR="00C1548D" w:rsidRDefault="009B1B4B">
            <w:pPr>
              <w:spacing w:line="250" w:lineRule="auto"/>
            </w:pPr>
            <w:r>
              <w:rPr>
                <w:sz w:val="18"/>
                <w:szCs w:val="18"/>
              </w:rPr>
              <w:t>Extreme Hitze</w:t>
            </w:r>
          </w:p>
        </w:tc>
        <w:tc>
          <w:tcPr>
            <w:tcW w:w="2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C2" w14:textId="77777777" w:rsidR="00C1548D" w:rsidRDefault="009B1B4B">
            <w:pPr>
              <w:spacing w:line="250" w:lineRule="auto"/>
            </w:pPr>
            <w:r>
              <w:rPr>
                <w:sz w:val="18"/>
                <w:szCs w:val="18"/>
              </w:rPr>
              <w:t>Phoenix, Austin, Houston, Dallas</w:t>
            </w:r>
          </w:p>
        </w:tc>
        <w:tc>
          <w:tcPr>
            <w:tcW w:w="28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C3" w14:textId="77777777" w:rsidR="00C1548D" w:rsidRDefault="009B1B4B">
            <w:pPr>
              <w:spacing w:line="250" w:lineRule="auto"/>
            </w:pPr>
            <w:r>
              <w:rPr>
                <w:sz w:val="18"/>
                <w:szCs w:val="18"/>
              </w:rPr>
              <w:t>Klimaanlage ist Pflichtausgabe, hohe Stromrechnung im Sommer</w:t>
            </w:r>
          </w:p>
        </w:tc>
      </w:tr>
      <w:tr w:rsidR="00C1548D" w14:paraId="70A4CFC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C5" w14:textId="77777777" w:rsidR="00C1548D" w:rsidRDefault="009B1B4B">
            <w:pPr>
              <w:spacing w:line="250" w:lineRule="auto"/>
            </w:pPr>
            <w:r>
              <w:rPr>
                <w:sz w:val="18"/>
                <w:szCs w:val="18"/>
              </w:rPr>
              <w:t>Strenger Winter</w:t>
            </w:r>
          </w:p>
        </w:tc>
        <w:tc>
          <w:tcPr>
            <w:tcW w:w="2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C6" w14:textId="77777777" w:rsidR="00C1548D" w:rsidRDefault="009B1B4B">
            <w:pPr>
              <w:spacing w:line="250" w:lineRule="auto"/>
            </w:pPr>
            <w:r>
              <w:rPr>
                <w:sz w:val="18"/>
                <w:szCs w:val="18"/>
              </w:rPr>
              <w:t>Minneapolis, Chicago, Denver, Upstate New York</w:t>
            </w:r>
          </w:p>
        </w:tc>
        <w:tc>
          <w:tcPr>
            <w:tcW w:w="28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CFC7" w14:textId="77777777" w:rsidR="00C1548D" w:rsidRDefault="009B1B4B">
            <w:pPr>
              <w:spacing w:line="250" w:lineRule="auto"/>
            </w:pPr>
            <w:r>
              <w:rPr>
                <w:sz w:val="18"/>
                <w:szCs w:val="18"/>
              </w:rPr>
              <w:t>Heizkosten, Winterreifen, Schneeräumpflicht am eigenen Grundstück</w:t>
            </w:r>
          </w:p>
        </w:tc>
      </w:tr>
    </w:tbl>
    <w:p w14:paraId="70A4CFC9" w14:textId="77777777" w:rsidR="00C1548D" w:rsidRDefault="00C1548D">
      <w:pPr>
        <w:spacing w:line="180" w:lineRule="exact"/>
      </w:pPr>
    </w:p>
    <w:p w14:paraId="70A4CFCA" w14:textId="77777777" w:rsidR="00C1548D" w:rsidRDefault="009B1B4B">
      <w:pPr>
        <w:spacing w:after="140"/>
      </w:pPr>
      <w:r>
        <w:t>Als Faustregel gilt: Wer eine Immobilie in einer Hochrisikozone kauft, holt vor der Kaufentscheidung ein Versicherungsangebot ein, nicht danach.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C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FCB" w14:textId="77777777" w:rsidR="00C1548D" w:rsidRDefault="009B1B4B">
            <w:pPr>
              <w:keepNext/>
              <w:spacing w:after="70" w:line="240" w:lineRule="auto"/>
            </w:pPr>
            <w:r>
              <w:rPr>
                <w:b/>
                <w:bCs/>
                <w:color w:val="9B2C2C"/>
                <w:spacing w:val="24"/>
                <w:sz w:val="16"/>
                <w:szCs w:val="16"/>
              </w:rPr>
              <w:t>ACHTUNG</w:t>
            </w:r>
          </w:p>
          <w:p w14:paraId="70A4CFCC" w14:textId="29ECFE97" w:rsidR="00C1548D" w:rsidRDefault="009B1B4B">
            <w:pPr>
              <w:spacing w:after="80" w:line="264" w:lineRule="auto"/>
            </w:pPr>
            <w:r>
              <w:rPr>
                <w:sz w:val="20"/>
                <w:szCs w:val="20"/>
              </w:rPr>
              <w:t xml:space="preserve">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w:t>
            </w:r>
            <w:r>
              <w:rPr>
                <w:i/>
                <w:iCs/>
                <w:sz w:val="20"/>
                <w:szCs w:val="20"/>
              </w:rPr>
              <w:t>FAIR Plan</w:t>
            </w:r>
            <w:r>
              <w:rPr>
                <w:sz w:val="20"/>
                <w:szCs w:val="20"/>
              </w:rPr>
              <w:t xml:space="preserve"> auf (663.000 Policen, Stand März 2026). Prüfe die Versicherbarkeit, bevor du kaufst (Kapitel </w:t>
            </w:r>
            <w:hyperlink w:anchor="k14" w:history="1">
              <w:r>
                <w:rPr>
                  <w:sz w:val="20"/>
                  <w:szCs w:val="20"/>
                </w:rPr>
                <w:t>14</w:t>
              </w:r>
            </w:hyperlink>
            <w:r>
              <w:rPr>
                <w:sz w:val="20"/>
                <w:szCs w:val="20"/>
              </w:rPr>
              <w:t>).</w:t>
            </w:r>
          </w:p>
        </w:tc>
      </w:tr>
    </w:tbl>
    <w:p w14:paraId="70A4CFCE" w14:textId="77777777" w:rsidR="00C1548D" w:rsidRDefault="00C1548D">
      <w:pPr>
        <w:spacing w:line="220" w:lineRule="exact"/>
      </w:pPr>
    </w:p>
    <w:p w14:paraId="70A4CFCF" w14:textId="77777777" w:rsidR="00C1548D" w:rsidRDefault="009B1B4B">
      <w:pPr>
        <w:pStyle w:val="Heading3"/>
        <w:keepNext/>
        <w:jc w:val="center"/>
      </w:pPr>
      <w:r>
        <w:rPr>
          <w:rFonts w:ascii="Amazon Ember" w:eastAsia="Amazon Ember" w:hAnsi="Amazon Ember" w:cs="Amazon Ember"/>
          <w:color w:val="0000FF"/>
          <w:sz w:val="36"/>
          <w:szCs w:val="36"/>
        </w:rPr>
        <w:lastRenderedPageBreak/>
        <w:t>Direktflüge, deutsche Community und ÖPNV</w:t>
      </w:r>
    </w:p>
    <w:p w14:paraId="70A4CFD0" w14:textId="77777777" w:rsidR="00C1548D" w:rsidRDefault="009B1B4B">
      <w:pPr>
        <w:spacing w:after="140"/>
      </w:pPr>
      <w:r>
        <w:t xml:space="preserve">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(Stand September 2026; Streckenpläne ändern sich saisonal). Ohne Nonstop-Verbindung reist du unter anderem ab Phoenix, Salt Lake City, Boise, Columbus, Nashville, </w:t>
      </w:r>
      <w:r>
        <w:t>Greenville–Spartanburg und Huntsville – meist mit Umstieg über eines der genannten Drehkreuze.</w:t>
      </w:r>
    </w:p>
    <w:p w14:paraId="70A4CFD1" w14:textId="77777777" w:rsidR="00C1548D" w:rsidRDefault="009B1B4B">
      <w:pPr>
        <w:spacing w:after="140"/>
      </w:pPr>
      <w:r>
        <w:t>Für Familien mit Kindern kann eine Deutsche Auslandsschule mit Deutschem Internationalen Abitur (</w:t>
      </w:r>
      <w:r>
        <w:rPr>
          <w:i/>
          <w:iCs/>
        </w:rPr>
        <w:t>DIA</w:t>
      </w:r>
      <w:r>
        <w:t>)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Washington; Goethe-Institute ergänzen das Netz in denselben Städten.</w:t>
      </w:r>
    </w:p>
    <w:p w14:paraId="70A4CFD2" w14:textId="1FBD5E78" w:rsidR="00C1548D" w:rsidRDefault="009B1B4B">
      <w:pPr>
        <w:spacing w:after="140"/>
      </w:pPr>
      <w: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history="1">
        <w:r>
          <w:t>27</w:t>
        </w:r>
      </w:hyperlink>
      <w:r>
        <w:t>.</w:t>
      </w:r>
    </w:p>
    <w:p w14:paraId="70A4CFD3" w14:textId="77777777" w:rsidR="00C1548D" w:rsidRDefault="009B1B4B">
      <w:pPr>
        <w:pStyle w:val="Heading3"/>
        <w:keepNext/>
        <w:jc w:val="center"/>
      </w:pPr>
      <w:r>
        <w:rPr>
          <w:rFonts w:ascii="Amazon Ember" w:eastAsia="Amazon Ember" w:hAnsi="Amazon Ember" w:cs="Amazon Ember"/>
          <w:color w:val="0000FF"/>
          <w:sz w:val="36"/>
          <w:szCs w:val="36"/>
        </w:rPr>
        <w:lastRenderedPageBreak/>
        <w:t>Tech, Software und Halbleiter: hohe Löhne, unsichere Zeiten</w:t>
      </w:r>
    </w:p>
    <w:p w14:paraId="70A4CFD4" w14:textId="5FD0BEDF" w:rsidR="00C1548D" w:rsidRDefault="009B1B4B">
      <w:pPr>
        <w:spacing w:after="140"/>
      </w:pPr>
      <w:r>
        <w:t>Softwareentwickler verdienen bundesweit im Median 135.980 $ im Jahr (Mai 2025) – in den teuersten Metros deutlich mehr: San José 213.110 $, San Francisco/Oakland 186.640 $, New York 166.830 $, Boston 166.090 $, Boulder 164.560 $, Los Angeles 160.920 $. Das beste Verhältnis von Gehalt zu Lebenshaltungskosten findest du eher in Raleigh–Durham (132.770–135.620 $), Atlanta (132.960 $), Dallas–Fort Worth (133.290 $), Charlotte (135.920 $) oder Phoenix (131.750 $) – Regionen mit spürbar niedrigeren Kauf- und Miet</w:t>
      </w:r>
      <w:r>
        <w:t>preisen. Seattle und der Großraum Washington sind ebenfalls wichtige Tech-Standorte (Amazon, Microsoft, Cloud-Rechenzentren); für sie liegen derzeit keine belastbaren Gehaltszahlen nach Metro vor. Sabine Keller (fiktiv) etwa zieht als Softwareentwicklerin mit H-1B-Visum nach Seattle, wo Amazon, Microsoft und ein dichtes Cloud- und KI-Ökosystem hohe Gehälter zahlen – aber auch die Entlassungswelle der Branche zuerst zuschlägt; was ein Stellenabbau (</w:t>
      </w:r>
      <w:r>
        <w:rPr>
          <w:i/>
          <w:iCs/>
        </w:rPr>
        <w:t>Layoff</w:t>
      </w:r>
      <w:r>
        <w:t>) für deinen Status bedeutet, erklärt Kapitel </w:t>
      </w:r>
      <w:hyperlink w:anchor="k30" w:history="1">
        <w:r>
          <w:t>30</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D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FD5" w14:textId="77777777" w:rsidR="00C1548D" w:rsidRDefault="009B1B4B">
            <w:pPr>
              <w:keepNext/>
              <w:spacing w:after="70" w:line="240" w:lineRule="auto"/>
            </w:pPr>
            <w:r>
              <w:rPr>
                <w:b/>
                <w:bCs/>
                <w:color w:val="9B2C2C"/>
                <w:spacing w:val="24"/>
                <w:sz w:val="16"/>
                <w:szCs w:val="16"/>
              </w:rPr>
              <w:t>ACHTUNG</w:t>
            </w:r>
          </w:p>
          <w:p w14:paraId="70A4CFD6" w14:textId="77777777" w:rsidR="00C1548D" w:rsidRDefault="009B1B4B">
            <w:pPr>
              <w:spacing w:after="80" w:line="264" w:lineRule="auto"/>
            </w:pPr>
            <w:r>
              <w:rPr>
                <w:sz w:val="20"/>
                <w:szCs w:val="20"/>
              </w:rPr>
              <w:t>Der Tech-Arbeitsmarkt ist 2026 merklich härter als noch vor zwei Jahren. Von Januar bis August 2026 kündigten US-Unternehmen laut einer Beratung 155.126 Tech-Stellen, 52 % mehr als im Vorjahreszeitraum; in rund einem Viertel der Ankündigungen nannten Unternehmen ausdrücklich Künstliche Intelligenz als Grund. Stellenanzeigen für Softwareentwickler lagen Mitte 2026 rund 27,5 % unter Vor-Pandemie-Niveau, und Einstiegsstellen für Berufsanfänger sanken zusätzlich um 7,5 % gegenüber dem Vorjahr. Ein Jobangebot in</w:t>
            </w:r>
            <w:r>
              <w:rPr>
                <w:sz w:val="20"/>
                <w:szCs w:val="20"/>
              </w:rPr>
              <w:t xml:space="preserve"> der Tech-Branche ist 2026 kein Selbstläufer mehr, besonders nicht für den ersten Job.</w:t>
            </w:r>
          </w:p>
        </w:tc>
      </w:tr>
    </w:tbl>
    <w:p w14:paraId="70A4CFD8" w14:textId="77777777" w:rsidR="00C1548D" w:rsidRDefault="00C1548D">
      <w:pPr>
        <w:spacing w:line="220" w:lineRule="exact"/>
      </w:pPr>
    </w:p>
    <w:p w14:paraId="70A4CFD9" w14:textId="77777777" w:rsidR="00C1548D" w:rsidRDefault="009B1B4B">
      <w:pPr>
        <w:spacing w:after="140"/>
      </w:pPr>
      <w:r>
        <w:t xml:space="preserve">Halbleiter-Standorte sind stark ortsgebunden, mit sehr unterschiedlichen Zeitplänen. In Arizona fertigt Intels Fab 52 in Chandler seit Oktober 2025 in Serie, und TSMC baut seine zweite Fabrik seit dem dritten Quartal 2026 aus (Serienproduktion ab </w:t>
      </w:r>
      <w:r>
        <w:lastRenderedPageBreak/>
        <w:t>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DC"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FDA" w14:textId="77777777" w:rsidR="00C1548D" w:rsidRDefault="009B1B4B">
            <w:pPr>
              <w:keepNext/>
              <w:spacing w:after="70" w:line="240" w:lineRule="auto"/>
            </w:pPr>
            <w:r>
              <w:rPr>
                <w:b/>
                <w:bCs/>
                <w:color w:val="4A5568"/>
                <w:spacing w:val="24"/>
                <w:sz w:val="16"/>
                <w:szCs w:val="16"/>
              </w:rPr>
              <w:t>PRAXISBEISPIEL · FIKTIV</w:t>
            </w:r>
          </w:p>
          <w:p w14:paraId="70A4CFDB" w14:textId="77777777" w:rsidR="00C1548D" w:rsidRDefault="009B1B4B">
            <w:pPr>
              <w:spacing w:after="80" w:line="264" w:lineRule="auto"/>
            </w:pPr>
            <w:r>
              <w:rPr>
                <w:sz w:val="20"/>
                <w:szCs w:val="20"/>
              </w:rPr>
              <w:t>Jan Hoffmann (fiktiv) wechselt als Prozessingenieur in der Halbleiterfertigung von Dresden mit einem L-1-Visum in den Großraum Phoenix, Arizona. Sein Arbeitgeber verlegt ihn an ein Werk, das seit Herbst 2025 in Serie fertigt – anders als das Intel-Werk in Ohio, das laut Zeitplan erst 2030/31 anläuft. Katrin, seine Frau, arbeitet als Physiotherapeutin und braucht in Arizona eine eigene Zulassung; Sohn Paul, 15, wechselt mitten im Schuljahr die Schule. Die Familie kalkuliert mit 477.700 $ Median-Kaufpreis für</w:t>
            </w:r>
            <w:r>
              <w:rPr>
                <w:sz w:val="20"/>
                <w:szCs w:val="20"/>
              </w:rPr>
              <w:t xml:space="preserve"> ein Einfamilienhaus und mietet im ersten Jahr für rund 1.480 $ eine Zweizimmerwohnung – auch, weil sie die Sommerhitze erst erleben will, bevor sie kauft: Schon der erste Weg zum Auto im August fühlt sich an, als hielte jemand einen Fön ins Gesicht, ein Wetter, das sich von Fotos allein nicht vorstellen lässt.</w:t>
            </w:r>
          </w:p>
        </w:tc>
      </w:tr>
    </w:tbl>
    <w:p w14:paraId="70A4CFDD"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E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FDE" w14:textId="77777777" w:rsidR="00C1548D" w:rsidRDefault="009B1B4B">
            <w:pPr>
              <w:keepNext/>
              <w:spacing w:after="70" w:line="240" w:lineRule="auto"/>
            </w:pPr>
            <w:r>
              <w:rPr>
                <w:b/>
                <w:bCs/>
                <w:color w:val="9B2C2C"/>
                <w:spacing w:val="24"/>
                <w:sz w:val="16"/>
                <w:szCs w:val="16"/>
              </w:rPr>
              <w:t>ACHTUNG</w:t>
            </w:r>
          </w:p>
          <w:p w14:paraId="70A4CFDF" w14:textId="77777777" w:rsidR="00C1548D" w:rsidRDefault="009B1B4B">
            <w:pPr>
              <w:spacing w:after="80" w:line="264" w:lineRule="auto"/>
            </w:pPr>
            <w:r>
              <w:rPr>
                <w:sz w:val="20"/>
                <w:szCs w:val="20"/>
              </w:rPr>
              <w:t>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tc>
      </w:tr>
    </w:tbl>
    <w:p w14:paraId="70A4CFE1" w14:textId="77777777" w:rsidR="00C1548D" w:rsidRDefault="00C1548D">
      <w:pPr>
        <w:spacing w:line="220" w:lineRule="exact"/>
      </w:pPr>
    </w:p>
    <w:p w14:paraId="70A4CFE2" w14:textId="77777777" w:rsidR="00C1548D" w:rsidRDefault="009B1B4B">
      <w:pPr>
        <w:pStyle w:val="Heading3"/>
        <w:keepNext/>
        <w:jc w:val="center"/>
      </w:pPr>
      <w:r>
        <w:rPr>
          <w:rFonts w:ascii="Amazon Ember" w:eastAsia="Amazon Ember" w:hAnsi="Amazon Ember" w:cs="Amazon Ember"/>
          <w:color w:val="0000FF"/>
          <w:sz w:val="36"/>
          <w:szCs w:val="36"/>
        </w:rPr>
        <w:t>Automobil und Maschinenbau: Zulieferer unter Zolldruck</w:t>
      </w:r>
    </w:p>
    <w:p w14:paraId="70A4CFE3" w14:textId="77777777" w:rsidR="00C1548D" w:rsidRDefault="009B1B4B">
      <w:pPr>
        <w:spacing w:after="140"/>
      </w:pPr>
      <w:r>
        <w:t xml:space="preserve">Deutsche Automobilhersteller und -zulieferer sind in den USA breit vertreten: BMW in Spartanburg/Greer, South Carolina (rund 43.000 gesicherte Arbeitsplätze laut einer Studie), Mercedes-Benz in Tuscaloosa/Vance, Alabama (seit 1997, rund 4 Millionen gefertigte </w:t>
      </w:r>
      <w:r>
        <w:lastRenderedPageBreak/>
        <w:t>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w:t>
      </w:r>
      <w:r>
        <w:t xml:space="preserve"> – die höchsten Gehälter gibt es eher außerhalb, in Denver (128.180 $), Ann Arbor (127.310 $) oder Houston (125.350 $).</w:t>
      </w:r>
    </w:p>
    <w:p w14:paraId="70A4CFE4" w14:textId="77777777" w:rsidR="00C1548D" w:rsidRDefault="009B1B4B">
      <w:pPr>
        <w:spacing w:after="140"/>
      </w:pPr>
      <w:r>
        <w:t>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 ob und wie das umgesetzt wird, war im September 2026 nicht abschließend geklärt. Deutsche Zulieferer bauen als Reaktion in Deutschland Stellen ab (Bosch, ZF, Schaeffler); welche Folgen das für die US-Werke selb</w:t>
      </w:r>
      <w:r>
        <w:t>st hat, ist nicht sicher beziffert.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E7"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CFE5" w14:textId="77777777" w:rsidR="00C1548D" w:rsidRDefault="009B1B4B">
            <w:pPr>
              <w:keepNext/>
              <w:spacing w:after="70" w:line="240" w:lineRule="auto"/>
            </w:pPr>
            <w:r>
              <w:rPr>
                <w:b/>
                <w:bCs/>
                <w:color w:val="4A5568"/>
                <w:spacing w:val="24"/>
                <w:sz w:val="16"/>
                <w:szCs w:val="16"/>
              </w:rPr>
              <w:lastRenderedPageBreak/>
              <w:t>PRAXISBEISPIEL · FIKTIV</w:t>
            </w:r>
          </w:p>
          <w:p w14:paraId="70A4CFE6" w14:textId="7669CEE2" w:rsidR="00C1548D" w:rsidRDefault="009B1B4B">
            <w:pPr>
              <w:spacing w:after="80" w:line="264" w:lineRule="auto"/>
            </w:pPr>
            <w:r>
              <w:rPr>
                <w:sz w:val="20"/>
                <w:szCs w:val="20"/>
              </w:rPr>
              <w:t>Familie Brandt (fiktiv) zieht mit H-1B-Visum in den Großraum Detroit, Michigan; Markus arbeitet dort als Maschinenbauingenieur bei einem Automobilzulieferer. Der Median-Kaufpreis für ein Einfamilienhaus liegt bei 311.800 $, deutlich unter dem US-Durchschnitt von 434.900 $, die Zweizimmermiete bei rund 1.100 $. Dass Michigan 4,25 % Einkommensteuer erhebt und die Stadt Detroit selbst zusätzlich eine Lohnsteuer verlangt, gleicht die niedrigen Wohnkosten teilweise aus. Weil die Zollpolitik die Zulieferbranche u</w:t>
            </w:r>
            <w:r>
              <w:rPr>
                <w:sz w:val="20"/>
                <w:szCs w:val="20"/>
              </w:rPr>
              <w:t>nter Druck setzt, fragt Markus im Vorstellungsgespräch offen nach der Auftragslage des Werks. Die Antwort des Personalchefs – ein vorsichtiges „Wir planen langfristig“ – klingt beruhigender, als sie gemeint ist, doch Markus nimmt den Job trotzdem an. Anna informiert sich parallel über die Schuldistrikte in Auburn Hills und Novi (</w:t>
            </w:r>
            <w:r>
              <w:rPr>
                <w:sz w:val="20"/>
                <w:szCs w:val="20"/>
              </w:rPr>
              <w:t>Kapitel </w:t>
            </w:r>
            <w:hyperlink w:anchor="k36" w:history="1">
              <w:r>
                <w:rPr>
                  <w:sz w:val="20"/>
                  <w:szCs w:val="20"/>
                </w:rPr>
                <w:t>36</w:t>
              </w:r>
            </w:hyperlink>
            <w:r>
              <w:rPr>
                <w:sz w:val="20"/>
                <w:szCs w:val="20"/>
              </w:rPr>
              <w:t>); im ersten Jahr mietet die Familie, bevor sie über einen Kauf entscheidet.</w:t>
            </w:r>
          </w:p>
        </w:tc>
      </w:tr>
    </w:tbl>
    <w:p w14:paraId="70A4CFE8"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E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FE9" w14:textId="77777777" w:rsidR="00C1548D" w:rsidRDefault="009B1B4B">
            <w:pPr>
              <w:keepNext/>
              <w:spacing w:after="70" w:line="240" w:lineRule="auto"/>
            </w:pPr>
            <w:r>
              <w:rPr>
                <w:b/>
                <w:bCs/>
                <w:color w:val="9B2C2C"/>
                <w:spacing w:val="24"/>
                <w:sz w:val="16"/>
                <w:szCs w:val="16"/>
              </w:rPr>
              <w:t>ACHTUNG</w:t>
            </w:r>
          </w:p>
          <w:p w14:paraId="70A4CFEA" w14:textId="77777777" w:rsidR="00C1548D" w:rsidRDefault="009B1B4B">
            <w:pPr>
              <w:spacing w:after="80" w:line="264" w:lineRule="auto"/>
            </w:pPr>
            <w:r>
              <w:rPr>
                <w:sz w:val="20"/>
                <w:szCs w:val="20"/>
              </w:rPr>
              <w:t>Wer für einen Job bei einem deutschen Automobilzulieferer in die USA zieht, erfragt die Auftragslage und Zollrisiken des konkreten Werks, nicht nur die Konzernzahlen. Stellenabbau in Deutschland ist keine verlässliche Prognose für den US-Standort, aber ein Warnsignal.</w:t>
            </w:r>
          </w:p>
        </w:tc>
      </w:tr>
    </w:tbl>
    <w:p w14:paraId="70A4CFEC" w14:textId="77777777" w:rsidR="00C1548D" w:rsidRDefault="00C1548D">
      <w:pPr>
        <w:spacing w:line="220" w:lineRule="exact"/>
      </w:pPr>
    </w:p>
    <w:p w14:paraId="70A4CFED" w14:textId="77777777" w:rsidR="00C1548D" w:rsidRDefault="009B1B4B">
      <w:pPr>
        <w:pStyle w:val="Heading3"/>
        <w:keepNext/>
        <w:jc w:val="center"/>
      </w:pPr>
      <w:r>
        <w:rPr>
          <w:rFonts w:ascii="Amazon Ember" w:eastAsia="Amazon Ember" w:hAnsi="Amazon Ember" w:cs="Amazon Ember"/>
          <w:color w:val="0000FF"/>
          <w:sz w:val="36"/>
          <w:szCs w:val="36"/>
        </w:rPr>
        <w:t>Pharma, Biotech, Medtech und Gesundheitsberufe</w:t>
      </w:r>
    </w:p>
    <w:p w14:paraId="70A4CFEE" w14:textId="77777777" w:rsidR="00C1548D" w:rsidRDefault="009B1B4B">
      <w:pPr>
        <w:spacing w:after="140"/>
      </w:pPr>
      <w:r>
        <w:t>Pharma- und Biotech-Unternehmen bündeln sich in wenigen Regionen: Boston/Cambridge und die San Francisco Bay Area für Forschung und Start-ups, San Diego für Biotech, der „Pharma-Gürtel“ zwischen New Jersey, New York und Philadelphia für Großkonzerne, Raleigh–Durham (Research Triangle Park) und der Großraum Washington/Maryland (Rockville, Gaithersburg) für Behörden- und Förder-Nähe. Deutsche Konzerne sind breit vertreten: Bayer (New Jersey, Kalifornien, North Carolina), Boehringer Ingelheim (Connecticut), Me</w:t>
      </w:r>
      <w:r>
        <w:t xml:space="preserve">rck KGaA/EMD Serono und Fresenius (Massachusetts), Siemens Healthineers (Pennsylvania), BioNTech </w:t>
      </w:r>
      <w:r>
        <w:lastRenderedPageBreak/>
        <w:t>(Massachusetts), B. Braun (Pennsylvania). Seit Herbst 2025 gilt für Marken-Arzneimittel ein Einfuhrzoll von 100 %, gedeckelt auf 15 % für Länder mit Handelsabkommen wie die EU; welche Folgen das für Produktionsentscheidungen in den USA hat, ist noch offen.</w:t>
      </w:r>
    </w:p>
    <w:p w14:paraId="70A4CFEF" w14:textId="39023D16" w:rsidR="00C1548D" w:rsidRDefault="009B1B4B">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history="1">
        <w:r>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w14:paraId="70A4CFF0" w14:textId="77777777" w:rsidR="00C1548D" w:rsidRDefault="009B1B4B">
      <w:pPr>
        <w:pStyle w:val="Heading3"/>
        <w:keepNext/>
        <w:jc w:val="center"/>
      </w:pPr>
      <w:r>
        <w:rPr>
          <w:rFonts w:ascii="Amazon Ember" w:eastAsia="Amazon Ember" w:hAnsi="Amazon Ember" w:cs="Amazon Ember"/>
          <w:color w:val="0000FF"/>
          <w:sz w:val="36"/>
          <w:szCs w:val="36"/>
        </w:rPr>
        <w:t>Finanzen, Energie und Luft-/Raumfahrt</w:t>
      </w:r>
    </w:p>
    <w:p w14:paraId="70A4CFF1" w14:textId="77777777" w:rsidR="00C1548D" w:rsidRDefault="009B1B4B">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w14:paraId="70A4CFF2" w14:textId="77777777" w:rsidR="00C1548D" w:rsidRDefault="009B1B4B">
      <w:pPr>
        <w:spacing w:after="140"/>
      </w:pPr>
      <w:r>
        <w:t xml:space="preserve">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w:t>
      </w:r>
      <w:r>
        <w:lastRenderedPageBreak/>
        <w:t>Elektroingenieure verdienen dort oft über 130.000 $ im Median (Houston 131.070 $).</w:t>
      </w:r>
    </w:p>
    <w:p w14:paraId="70A4CFF3" w14:textId="77777777" w:rsidR="00C1548D" w:rsidRDefault="009B1B4B">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CFF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CFF4" w14:textId="77777777" w:rsidR="00C1548D" w:rsidRDefault="009B1B4B">
            <w:pPr>
              <w:keepNext/>
              <w:spacing w:after="70" w:line="240" w:lineRule="auto"/>
            </w:pPr>
            <w:r>
              <w:rPr>
                <w:b/>
                <w:bCs/>
                <w:color w:val="9B2C2C"/>
                <w:spacing w:val="24"/>
                <w:sz w:val="16"/>
                <w:szCs w:val="16"/>
              </w:rPr>
              <w:t>ACHTUNG</w:t>
            </w:r>
          </w:p>
          <w:p w14:paraId="70A4CFF5" w14:textId="77777777" w:rsidR="00C1548D" w:rsidRDefault="009B1B4B">
            <w:pPr>
              <w:spacing w:after="80" w:line="264" w:lineRule="auto"/>
            </w:pPr>
            <w:r>
              <w:rPr>
                <w:sz w:val="20"/>
                <w:szCs w:val="20"/>
              </w:rPr>
              <w:t xml:space="preserve">Viele Stellen in der Rüstungs- und Raumfahrtindustrie verlangen eine </w:t>
            </w:r>
            <w:r>
              <w:rPr>
                <w:i/>
                <w:iCs/>
                <w:sz w:val="20"/>
                <w:szCs w:val="20"/>
              </w:rPr>
              <w:t>Security Clearance</w:t>
            </w:r>
            <w:r>
              <w:rPr>
                <w:sz w:val="20"/>
                <w:szCs w:val="20"/>
              </w:rPr>
              <w:t xml:space="preserve"> (Sicherheitsüberprüfung) und oft die US-Staatsbürgerschaft, weil sie der Exportkontrolle (ITAR/EAR) unterliegen. Für Inhaber eines Arbeitsvisums sind solche Stellen häufig von vornherein nicht zugänglich – frage vor der Bewerbung gezielt nach, ob die Position für Ausländer offen ist.</w:t>
            </w:r>
          </w:p>
        </w:tc>
      </w:tr>
    </w:tbl>
    <w:p w14:paraId="70A4CFF7" w14:textId="77777777" w:rsidR="00C1548D" w:rsidRDefault="00C1548D">
      <w:pPr>
        <w:spacing w:line="220" w:lineRule="exact"/>
      </w:pPr>
    </w:p>
    <w:p w14:paraId="70A4CFF8" w14:textId="77777777" w:rsidR="00C1548D" w:rsidRDefault="009B1B4B">
      <w:pPr>
        <w:pStyle w:val="Heading3"/>
        <w:keepNext/>
        <w:jc w:val="center"/>
      </w:pPr>
      <w:r>
        <w:rPr>
          <w:rFonts w:ascii="Amazon Ember" w:eastAsia="Amazon Ember" w:hAnsi="Amazon Ember" w:cs="Amazon Ember"/>
          <w:color w:val="0000FF"/>
          <w:sz w:val="36"/>
          <w:szCs w:val="36"/>
        </w:rPr>
        <w:t>Forschung, Handwerk und Selbständigkeit</w:t>
      </w:r>
    </w:p>
    <w:p w14:paraId="70A4CFF9" w14:textId="3FE34F1D" w:rsidR="00C1548D" w:rsidRDefault="009B1B4B">
      <w:pPr>
        <w:spacing w:after="140"/>
      </w:pPr>
      <w:r>
        <w:t>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der jährlichen Quote befreit (</w:t>
      </w:r>
      <w:r>
        <w:rPr>
          <w:i/>
          <w:iCs/>
        </w:rPr>
        <w:t>cap-exempt</w:t>
      </w:r>
      <w:r>
        <w:t>, Kapitel </w:t>
      </w:r>
      <w:hyperlink w:anchor="k5" w:history="1">
        <w:r>
          <w:t>5</w:t>
        </w:r>
      </w:hyperlink>
      <w:r>
        <w:t>) – ein Vorteil für den Einstieg.</w:t>
      </w:r>
    </w:p>
    <w:p w14:paraId="70A4CFFA" w14:textId="47F6A5A6" w:rsidR="00C1548D" w:rsidRDefault="009B1B4B">
      <w:pPr>
        <w:spacing w:after="140"/>
      </w:pPr>
      <w:r>
        <w:t xml:space="preserve">Handwerksberufe hängen stärker an Bundesstaat und Kommune als an der Metropolregion: Elektriker verdienen bundesweit im Median 63.190 $, mit den höchsten Werten in Portland (105.090 $), Chicago (102.350 $) und Detroit (81.990 $); am unteren Ende liegt Raleigh </w:t>
      </w:r>
      <w:r>
        <w:lastRenderedPageBreak/>
        <w:t>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w:t>
      </w:r>
      <w:r>
        <w:t>Kapitel </w:t>
      </w:r>
      <w:hyperlink w:anchor="k6" w:history="1">
        <w:r>
          <w:t>6</w:t>
        </w:r>
      </w:hyperlink>
      <w:r>
        <w:t>, Kapitel </w:t>
      </w:r>
      <w:hyperlink w:anchor="k9" w:history="1">
        <w:r>
          <w:t>9</w:t>
        </w:r>
      </w:hyperlink>
      <w:r>
        <w:t>). Nachfrage entsteht vor allem durch Rechenzentren, neue Fabriken und den Netzausbau, unter anderem in Virginia, Texas, Georgia, Ohio und Arizona.</w:t>
      </w:r>
    </w:p>
    <w:p w14:paraId="70A4CFFB" w14:textId="44939F59" w:rsidR="00C1548D" w:rsidRDefault="009B1B4B">
      <w:pPr>
        <w:spacing w:after="140"/>
      </w:pPr>
      <w:r>
        <w:t>Selbständigkeit allein verschafft kein Aufenthaltsrecht; die Wege führen über E-2 (für Deutsche offen), L-1A oder O-1 (Kapitel </w:t>
      </w:r>
      <w:hyperlink w:anchor="k9" w:history="1">
        <w:r>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w14:paraId="70A4CFFC" w14:textId="77777777" w:rsidR="00C1548D" w:rsidRDefault="009B1B4B">
      <w:pPr>
        <w:pStyle w:val="Heading3"/>
        <w:keepNext/>
        <w:jc w:val="center"/>
      </w:pPr>
      <w:r>
        <w:rPr>
          <w:rFonts w:ascii="Amazon Ember" w:eastAsia="Amazon Ember" w:hAnsi="Amazon Ember" w:cs="Amazon Ember"/>
          <w:color w:val="0000FF"/>
          <w:sz w:val="36"/>
          <w:szCs w:val="36"/>
        </w:rPr>
        <w:t>Steckbriefe: 26 Metropolregionen im Überblick</w:t>
      </w:r>
    </w:p>
    <w:p w14:paraId="70A4CFFD" w14:textId="77777777" w:rsidR="00C1548D" w:rsidRDefault="009B1B4B">
      <w:pPr>
        <w:spacing w:after="140"/>
      </w:pPr>
      <w:r>
        <w:t>Die folgenden Steckbriefe fassen Kaufpreis, Miete und Standortmerkmale von 26 Metropolregionen in drei geografischen Gruppen zusammen. Kaufpreise sind Mediane für bestehende Einfamilienhäuser (NAR, zweites Quartal 2026), Mieten die Stadt-Mediane für eine und zwei Zimmer (Zumper, August 2026, in Dollar pro Monat) – beide Werte schwanken je nach Quelle und ändern sich laufend, sieh sie als Orientierung. Wo keine Miete steht, lag zum Redaktionsschluss keine belastbare Stadt-Miete vor („nicht ermittelt“); nutze</w:t>
      </w:r>
      <w:r>
        <w:t xml:space="preserve"> Immobilienportale für aktuelle Werte.</w:t>
      </w:r>
    </w:p>
    <w:p w14:paraId="70A4CFFE" w14:textId="77777777" w:rsidR="00C1548D" w:rsidRDefault="009B1B4B">
      <w:pPr>
        <w:spacing w:after="140"/>
      </w:pPr>
      <w:r>
        <w:rPr>
          <w:b/>
          <w:bCs/>
        </w:rPr>
        <w:lastRenderedPageBreak/>
        <w:t>Westküste und Bergstaaten: hohe bis sehr hohe Kosten, Tech- und Halbleiternähe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698"/>
        <w:gridCol w:w="1866"/>
        <w:gridCol w:w="1966"/>
      </w:tblGrid>
      <w:tr w:rsidR="00C1548D" w14:paraId="70A4D003"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CFFF" w14:textId="77777777" w:rsidR="00C1548D" w:rsidRDefault="009B1B4B">
            <w:pPr>
              <w:spacing w:line="250" w:lineRule="auto"/>
            </w:pPr>
            <w:r>
              <w:rPr>
                <w:b/>
                <w:bCs/>
                <w:sz w:val="18"/>
                <w:szCs w:val="18"/>
              </w:rPr>
              <w:t>Region</w:t>
            </w:r>
          </w:p>
        </w:tc>
        <w:tc>
          <w:tcPr>
            <w:tcW w:w="169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00" w14:textId="77777777" w:rsidR="00C1548D" w:rsidRDefault="009B1B4B">
            <w:pPr>
              <w:spacing w:line="250" w:lineRule="auto"/>
            </w:pPr>
            <w:r>
              <w:rPr>
                <w:b/>
                <w:bCs/>
                <w:sz w:val="18"/>
                <w:szCs w:val="18"/>
              </w:rPr>
              <w:t>Stärken/Branchen</w:t>
            </w:r>
          </w:p>
        </w:tc>
        <w:tc>
          <w:tcPr>
            <w:tcW w:w="186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01" w14:textId="77777777" w:rsidR="00C1548D" w:rsidRDefault="009B1B4B">
            <w:pPr>
              <w:spacing w:line="250" w:lineRule="auto"/>
            </w:pPr>
            <w:r>
              <w:rPr>
                <w:b/>
                <w:bCs/>
                <w:sz w:val="18"/>
                <w:szCs w:val="18"/>
              </w:rPr>
              <w:t>Kosten (Kauf / Miete 1-Zi–2-Zi)</w:t>
            </w:r>
          </w:p>
        </w:tc>
        <w:tc>
          <w:tcPr>
            <w:tcW w:w="196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02" w14:textId="77777777" w:rsidR="00C1548D" w:rsidRDefault="009B1B4B">
            <w:pPr>
              <w:spacing w:line="250" w:lineRule="auto"/>
            </w:pPr>
            <w:r>
              <w:rPr>
                <w:b/>
                <w:bCs/>
                <w:sz w:val="18"/>
                <w:szCs w:val="18"/>
              </w:rPr>
              <w:t>Hinweise</w:t>
            </w:r>
          </w:p>
        </w:tc>
      </w:tr>
      <w:tr w:rsidR="00C1548D" w14:paraId="70A4D00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04" w14:textId="77777777" w:rsidR="00C1548D" w:rsidRDefault="009B1B4B">
            <w:pPr>
              <w:spacing w:line="250" w:lineRule="auto"/>
            </w:pPr>
            <w:r>
              <w:rPr>
                <w:sz w:val="18"/>
                <w:szCs w:val="18"/>
              </w:rPr>
              <w:t>San Francisco Bay/Silicon Valley</w:t>
            </w:r>
          </w:p>
        </w:tc>
        <w:tc>
          <w:tcPr>
            <w:tcW w:w="16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05" w14:textId="77777777" w:rsidR="00C1548D" w:rsidRDefault="009B1B4B">
            <w:pPr>
              <w:spacing w:line="250" w:lineRule="auto"/>
            </w:pPr>
            <w:r>
              <w:rPr>
                <w:sz w:val="18"/>
                <w:szCs w:val="18"/>
              </w:rPr>
              <w:t>Big Tech, KI, Halbleiter-Design, Biotech</w:t>
            </w:r>
          </w:p>
        </w:tc>
        <w:tc>
          <w:tcPr>
            <w:tcW w:w="18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06" w14:textId="77777777" w:rsidR="00C1548D" w:rsidRDefault="009B1B4B">
            <w:pPr>
              <w:spacing w:line="250" w:lineRule="auto"/>
            </w:pPr>
            <w:r>
              <w:rPr>
                <w:sz w:val="18"/>
                <w:szCs w:val="18"/>
              </w:rPr>
              <w:t>SF 1.500.000 $ / 4.300–6.120 $; San José 2.050.000 $ / 2.880–3.660 $</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07" w14:textId="77777777" w:rsidR="00C1548D" w:rsidRDefault="009B1B4B">
            <w:pPr>
              <w:spacing w:line="250" w:lineRule="auto"/>
            </w:pPr>
            <w:r>
              <w:rPr>
                <w:sz w:val="18"/>
                <w:szCs w:val="18"/>
              </w:rPr>
              <w:t>CA bis 13,3 %; Erdbeben, Waldbrandrauch; Nonstop</w:t>
            </w:r>
          </w:p>
        </w:tc>
      </w:tr>
      <w:tr w:rsidR="00C1548D" w14:paraId="70A4D00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09" w14:textId="77777777" w:rsidR="00C1548D" w:rsidRDefault="009B1B4B">
            <w:pPr>
              <w:spacing w:line="250" w:lineRule="auto"/>
            </w:pPr>
            <w:r>
              <w:rPr>
                <w:sz w:val="18"/>
                <w:szCs w:val="18"/>
              </w:rPr>
              <w:t>Seattle</w:t>
            </w:r>
          </w:p>
        </w:tc>
        <w:tc>
          <w:tcPr>
            <w:tcW w:w="16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0A" w14:textId="77777777" w:rsidR="00C1548D" w:rsidRDefault="009B1B4B">
            <w:pPr>
              <w:spacing w:line="250" w:lineRule="auto"/>
            </w:pPr>
            <w:r>
              <w:rPr>
                <w:sz w:val="18"/>
                <w:szCs w:val="18"/>
              </w:rPr>
              <w:t>Amazon, Microsoft, Boeing, Cloud/KI</w:t>
            </w:r>
          </w:p>
        </w:tc>
        <w:tc>
          <w:tcPr>
            <w:tcW w:w="18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0B" w14:textId="77777777" w:rsidR="00C1548D" w:rsidRDefault="009B1B4B">
            <w:pPr>
              <w:spacing w:line="250" w:lineRule="auto"/>
            </w:pPr>
            <w:r>
              <w:rPr>
                <w:sz w:val="18"/>
                <w:szCs w:val="18"/>
              </w:rPr>
              <w:t>815.000 $ / 1.930–2.720 $</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0C" w14:textId="77777777" w:rsidR="00C1548D" w:rsidRDefault="009B1B4B">
            <w:pPr>
              <w:spacing w:line="250" w:lineRule="auto"/>
            </w:pPr>
            <w:r>
              <w:rPr>
                <w:sz w:val="18"/>
                <w:szCs w:val="18"/>
              </w:rPr>
              <w:t>WA keine Lohnsteuer; Erdbebenrisiko; Nonstop</w:t>
            </w:r>
          </w:p>
        </w:tc>
      </w:tr>
      <w:tr w:rsidR="00C1548D" w14:paraId="70A4D01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0E" w14:textId="77777777" w:rsidR="00C1548D" w:rsidRDefault="009B1B4B">
            <w:pPr>
              <w:spacing w:line="250" w:lineRule="auto"/>
            </w:pPr>
            <w:r>
              <w:rPr>
                <w:sz w:val="18"/>
                <w:szCs w:val="18"/>
              </w:rPr>
              <w:t>Portland/Hillsboro</w:t>
            </w:r>
          </w:p>
        </w:tc>
        <w:tc>
          <w:tcPr>
            <w:tcW w:w="16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0F" w14:textId="77777777" w:rsidR="00C1548D" w:rsidRDefault="009B1B4B">
            <w:pPr>
              <w:spacing w:line="250" w:lineRule="auto"/>
            </w:pPr>
            <w:r>
              <w:rPr>
                <w:sz w:val="18"/>
                <w:szCs w:val="18"/>
              </w:rPr>
              <w:t>Intel-Forschung, Halbleiterausrüstung, adidas NA</w:t>
            </w:r>
          </w:p>
        </w:tc>
        <w:tc>
          <w:tcPr>
            <w:tcW w:w="18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0" w14:textId="77777777" w:rsidR="00C1548D" w:rsidRDefault="009B1B4B">
            <w:pPr>
              <w:spacing w:line="250" w:lineRule="auto"/>
            </w:pPr>
            <w:r>
              <w:rPr>
                <w:sz w:val="18"/>
                <w:szCs w:val="18"/>
              </w:rPr>
              <w:t>611.100 $ / 1.400–1.710 $</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1" w14:textId="77777777" w:rsidR="00C1548D" w:rsidRDefault="009B1B4B">
            <w:pPr>
              <w:spacing w:line="250" w:lineRule="auto"/>
            </w:pPr>
            <w:r>
              <w:rPr>
                <w:sz w:val="18"/>
                <w:szCs w:val="18"/>
              </w:rPr>
              <w:t>OR bis 9,9 %; Waldbrandrauch; kein Nonstop ganzjährig</w:t>
            </w:r>
          </w:p>
        </w:tc>
      </w:tr>
      <w:tr w:rsidR="00C1548D" w14:paraId="70A4D01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3" w14:textId="77777777" w:rsidR="00C1548D" w:rsidRDefault="009B1B4B">
            <w:pPr>
              <w:spacing w:line="250" w:lineRule="auto"/>
            </w:pPr>
            <w:r>
              <w:rPr>
                <w:sz w:val="18"/>
                <w:szCs w:val="18"/>
              </w:rPr>
              <w:t>Los Angeles/Orange County</w:t>
            </w:r>
          </w:p>
        </w:tc>
        <w:tc>
          <w:tcPr>
            <w:tcW w:w="16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4" w14:textId="77777777" w:rsidR="00C1548D" w:rsidRDefault="009B1B4B">
            <w:pPr>
              <w:spacing w:line="250" w:lineRule="auto"/>
            </w:pPr>
            <w:r>
              <w:rPr>
                <w:sz w:val="18"/>
                <w:szCs w:val="18"/>
              </w:rPr>
              <w:t>Medien, Luft-/Raumfahrt, Medtech</w:t>
            </w:r>
          </w:p>
        </w:tc>
        <w:tc>
          <w:tcPr>
            <w:tcW w:w="18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5" w14:textId="77777777" w:rsidR="00C1548D" w:rsidRDefault="009B1B4B">
            <w:pPr>
              <w:spacing w:line="250" w:lineRule="auto"/>
            </w:pPr>
            <w:r>
              <w:rPr>
                <w:sz w:val="18"/>
                <w:szCs w:val="18"/>
              </w:rPr>
              <w:t>LA 879.900 $ / 2.170–2.960 $; OC 1.485.000 $</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6" w14:textId="77777777" w:rsidR="00C1548D" w:rsidRDefault="009B1B4B">
            <w:pPr>
              <w:spacing w:line="250" w:lineRule="auto"/>
            </w:pPr>
            <w:r>
              <w:rPr>
                <w:sz w:val="18"/>
                <w:szCs w:val="18"/>
              </w:rPr>
              <w:t>CA-Steuer; Waldbrand, Erdbeben, Hitze; Nonstop</w:t>
            </w:r>
          </w:p>
        </w:tc>
      </w:tr>
      <w:tr w:rsidR="00C1548D" w14:paraId="70A4D01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8" w14:textId="77777777" w:rsidR="00C1548D" w:rsidRDefault="009B1B4B">
            <w:pPr>
              <w:spacing w:line="250" w:lineRule="auto"/>
            </w:pPr>
            <w:r>
              <w:rPr>
                <w:sz w:val="18"/>
                <w:szCs w:val="18"/>
              </w:rPr>
              <w:t>San Diego</w:t>
            </w:r>
          </w:p>
        </w:tc>
        <w:tc>
          <w:tcPr>
            <w:tcW w:w="16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9" w14:textId="77777777" w:rsidR="00C1548D" w:rsidRDefault="009B1B4B">
            <w:pPr>
              <w:spacing w:line="250" w:lineRule="auto"/>
            </w:pPr>
            <w:r>
              <w:rPr>
                <w:sz w:val="18"/>
                <w:szCs w:val="18"/>
              </w:rPr>
              <w:t>Biotech, Verteidigung, Telekom/Chips</w:t>
            </w:r>
          </w:p>
        </w:tc>
        <w:tc>
          <w:tcPr>
            <w:tcW w:w="18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A" w14:textId="77777777" w:rsidR="00C1548D" w:rsidRDefault="009B1B4B">
            <w:pPr>
              <w:spacing w:line="250" w:lineRule="auto"/>
            </w:pPr>
            <w:r>
              <w:rPr>
                <w:sz w:val="18"/>
                <w:szCs w:val="18"/>
              </w:rPr>
              <w:t>1.075.000 $ / 2.200–3.010 $</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B" w14:textId="77777777" w:rsidR="00C1548D" w:rsidRDefault="009B1B4B">
            <w:pPr>
              <w:spacing w:line="250" w:lineRule="auto"/>
            </w:pPr>
            <w:r>
              <w:rPr>
                <w:sz w:val="18"/>
                <w:szCs w:val="18"/>
              </w:rPr>
              <w:t>CA-Steuer; Waldbrand; Nonstop</w:t>
            </w:r>
          </w:p>
        </w:tc>
      </w:tr>
      <w:tr w:rsidR="00C1548D" w14:paraId="70A4D02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D" w14:textId="77777777" w:rsidR="00C1548D" w:rsidRDefault="009B1B4B">
            <w:pPr>
              <w:spacing w:line="250" w:lineRule="auto"/>
            </w:pPr>
            <w:r>
              <w:rPr>
                <w:sz w:val="18"/>
                <w:szCs w:val="18"/>
              </w:rPr>
              <w:t>Phoenix</w:t>
            </w:r>
          </w:p>
        </w:tc>
        <w:tc>
          <w:tcPr>
            <w:tcW w:w="16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E" w14:textId="77777777" w:rsidR="00C1548D" w:rsidRDefault="009B1B4B">
            <w:pPr>
              <w:spacing w:line="250" w:lineRule="auto"/>
            </w:pPr>
            <w:r>
              <w:rPr>
                <w:sz w:val="18"/>
                <w:szCs w:val="18"/>
              </w:rPr>
              <w:t>Intel, TSMC, Amkor, Rechenzentren</w:t>
            </w:r>
          </w:p>
        </w:tc>
        <w:tc>
          <w:tcPr>
            <w:tcW w:w="18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1F" w14:textId="77777777" w:rsidR="00C1548D" w:rsidRDefault="009B1B4B">
            <w:pPr>
              <w:spacing w:line="250" w:lineRule="auto"/>
            </w:pPr>
            <w:r>
              <w:rPr>
                <w:sz w:val="18"/>
                <w:szCs w:val="18"/>
              </w:rPr>
              <w:t>477.700 $ / 1.190–1.480 $</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0" w14:textId="77777777" w:rsidR="00C1548D" w:rsidRDefault="009B1B4B">
            <w:pPr>
              <w:spacing w:line="250" w:lineRule="auto"/>
            </w:pPr>
            <w:r>
              <w:rPr>
                <w:sz w:val="18"/>
                <w:szCs w:val="18"/>
              </w:rPr>
              <w:t>AZ 2,5 %; extreme Hitze, Wasserknappheit; kein Nonstop</w:t>
            </w:r>
          </w:p>
        </w:tc>
      </w:tr>
      <w:tr w:rsidR="00C1548D" w14:paraId="70A4D02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2" w14:textId="77777777" w:rsidR="00C1548D" w:rsidRDefault="009B1B4B">
            <w:pPr>
              <w:spacing w:line="250" w:lineRule="auto"/>
            </w:pPr>
            <w:r>
              <w:rPr>
                <w:sz w:val="18"/>
                <w:szCs w:val="18"/>
              </w:rPr>
              <w:t>Salt Lake City</w:t>
            </w:r>
          </w:p>
        </w:tc>
        <w:tc>
          <w:tcPr>
            <w:tcW w:w="16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3" w14:textId="77777777" w:rsidR="00C1548D" w:rsidRDefault="009B1B4B">
            <w:pPr>
              <w:spacing w:line="250" w:lineRule="auto"/>
            </w:pPr>
            <w:r>
              <w:rPr>
                <w:sz w:val="18"/>
                <w:szCs w:val="18"/>
              </w:rPr>
              <w:t>Fintech/Software, Luftfahrt, Halbleiter</w:t>
            </w:r>
          </w:p>
        </w:tc>
        <w:tc>
          <w:tcPr>
            <w:tcW w:w="18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4" w14:textId="77777777" w:rsidR="00C1548D" w:rsidRDefault="009B1B4B">
            <w:pPr>
              <w:spacing w:line="250" w:lineRule="auto"/>
            </w:pPr>
            <w:r>
              <w:rPr>
                <w:sz w:val="18"/>
                <w:szCs w:val="18"/>
              </w:rPr>
              <w:t>601.200 $ / 1.200–1.630 $</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5" w14:textId="77777777" w:rsidR="00C1548D" w:rsidRDefault="009B1B4B">
            <w:pPr>
              <w:spacing w:line="250" w:lineRule="auto"/>
            </w:pPr>
            <w:r>
              <w:rPr>
                <w:sz w:val="18"/>
                <w:szCs w:val="18"/>
              </w:rPr>
              <w:t>UT 4,5 %; Erdbebenrisiko; kein Nonstop</w:t>
            </w:r>
          </w:p>
        </w:tc>
      </w:tr>
      <w:tr w:rsidR="00C1548D" w14:paraId="70A4D02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7" w14:textId="77777777" w:rsidR="00C1548D" w:rsidRDefault="009B1B4B">
            <w:pPr>
              <w:spacing w:line="250" w:lineRule="auto"/>
            </w:pPr>
            <w:r>
              <w:rPr>
                <w:sz w:val="18"/>
                <w:szCs w:val="18"/>
              </w:rPr>
              <w:t>Boise</w:t>
            </w:r>
          </w:p>
        </w:tc>
        <w:tc>
          <w:tcPr>
            <w:tcW w:w="16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8" w14:textId="77777777" w:rsidR="00C1548D" w:rsidRDefault="009B1B4B">
            <w:pPr>
              <w:spacing w:line="250" w:lineRule="auto"/>
            </w:pPr>
            <w:r>
              <w:rPr>
                <w:sz w:val="18"/>
                <w:szCs w:val="18"/>
              </w:rPr>
              <w:t>Micron, HP, Software</w:t>
            </w:r>
          </w:p>
        </w:tc>
        <w:tc>
          <w:tcPr>
            <w:tcW w:w="18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9" w14:textId="77777777" w:rsidR="00C1548D" w:rsidRDefault="009B1B4B">
            <w:pPr>
              <w:spacing w:line="250" w:lineRule="auto"/>
            </w:pPr>
            <w:r>
              <w:rPr>
                <w:sz w:val="18"/>
                <w:szCs w:val="18"/>
              </w:rPr>
              <w:t>521.600 $ / 1.450–1.640 $</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A" w14:textId="77777777" w:rsidR="00C1548D" w:rsidRDefault="009B1B4B">
            <w:pPr>
              <w:spacing w:line="250" w:lineRule="auto"/>
            </w:pPr>
            <w:r>
              <w:rPr>
                <w:sz w:val="18"/>
                <w:szCs w:val="18"/>
              </w:rPr>
              <w:t>ID 5,3 %; Waldbrand; kein Nonstop, Mieten steigend</w:t>
            </w:r>
          </w:p>
        </w:tc>
      </w:tr>
      <w:tr w:rsidR="00C1548D" w14:paraId="70A4D03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C" w14:textId="77777777" w:rsidR="00C1548D" w:rsidRDefault="009B1B4B">
            <w:pPr>
              <w:spacing w:line="250" w:lineRule="auto"/>
            </w:pPr>
            <w:r>
              <w:rPr>
                <w:sz w:val="18"/>
                <w:szCs w:val="18"/>
              </w:rPr>
              <w:t>Denver/Boulder</w:t>
            </w:r>
          </w:p>
        </w:tc>
        <w:tc>
          <w:tcPr>
            <w:tcW w:w="16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D" w14:textId="77777777" w:rsidR="00C1548D" w:rsidRDefault="009B1B4B">
            <w:pPr>
              <w:spacing w:line="250" w:lineRule="auto"/>
            </w:pPr>
            <w:r>
              <w:rPr>
                <w:sz w:val="18"/>
                <w:szCs w:val="18"/>
              </w:rPr>
              <w:t>Luft-/Raumfahrt, Energie, Forschung, Software</w:t>
            </w:r>
          </w:p>
        </w:tc>
        <w:tc>
          <w:tcPr>
            <w:tcW w:w="18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E" w14:textId="77777777" w:rsidR="00C1548D" w:rsidRDefault="009B1B4B">
            <w:pPr>
              <w:spacing w:line="250" w:lineRule="auto"/>
            </w:pPr>
            <w:r>
              <w:rPr>
                <w:sz w:val="18"/>
                <w:szCs w:val="18"/>
              </w:rPr>
              <w:t>Denver 668.300 $ / 1.540–2.150 $; Boulder 841.500 $</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2F" w14:textId="77777777" w:rsidR="00C1548D" w:rsidRDefault="009B1B4B">
            <w:pPr>
              <w:spacing w:line="250" w:lineRule="auto"/>
            </w:pPr>
            <w:r>
              <w:rPr>
                <w:sz w:val="18"/>
                <w:szCs w:val="18"/>
              </w:rPr>
              <w:t>CO 4,4 %; Hagel, Höhenlage; Nonstop</w:t>
            </w:r>
          </w:p>
        </w:tc>
      </w:tr>
    </w:tbl>
    <w:p w14:paraId="70A4D031" w14:textId="77777777" w:rsidR="00C1548D" w:rsidRDefault="00C1548D">
      <w:pPr>
        <w:spacing w:line="180" w:lineRule="exact"/>
      </w:pPr>
    </w:p>
    <w:p w14:paraId="70A4D032" w14:textId="77777777" w:rsidR="00C1548D" w:rsidRDefault="009B1B4B">
      <w:pPr>
        <w:spacing w:after="140"/>
      </w:pPr>
      <w:r>
        <w:rPr>
          <w:b/>
          <w:bCs/>
        </w:rPr>
        <w:t>Süden, Texas und Südosten: Wachstumsregion, niedrige bis mittlere Kosten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983"/>
        <w:gridCol w:w="1660"/>
        <w:gridCol w:w="1887"/>
      </w:tblGrid>
      <w:tr w:rsidR="00C1548D" w14:paraId="70A4D037"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33" w14:textId="77777777" w:rsidR="00C1548D" w:rsidRDefault="009B1B4B">
            <w:pPr>
              <w:spacing w:line="250" w:lineRule="auto"/>
            </w:pPr>
            <w:r>
              <w:rPr>
                <w:b/>
                <w:bCs/>
                <w:sz w:val="18"/>
                <w:szCs w:val="18"/>
              </w:rPr>
              <w:lastRenderedPageBreak/>
              <w:t>Region</w:t>
            </w:r>
          </w:p>
        </w:tc>
        <w:tc>
          <w:tcPr>
            <w:tcW w:w="19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34" w14:textId="77777777" w:rsidR="00C1548D" w:rsidRDefault="009B1B4B">
            <w:pPr>
              <w:spacing w:line="250" w:lineRule="auto"/>
            </w:pPr>
            <w:r>
              <w:rPr>
                <w:b/>
                <w:bCs/>
                <w:sz w:val="18"/>
                <w:szCs w:val="18"/>
              </w:rPr>
              <w:t>Stärken/Branchen</w:t>
            </w:r>
          </w:p>
        </w:tc>
        <w:tc>
          <w:tcPr>
            <w:tcW w:w="16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35" w14:textId="77777777" w:rsidR="00C1548D" w:rsidRDefault="009B1B4B">
            <w:pPr>
              <w:spacing w:line="250" w:lineRule="auto"/>
            </w:pPr>
            <w:r>
              <w:rPr>
                <w:b/>
                <w:bCs/>
                <w:sz w:val="18"/>
                <w:szCs w:val="18"/>
              </w:rPr>
              <w:t>Kosten (Kauf / Miete 1-Zi–2-Zi)</w:t>
            </w:r>
          </w:p>
        </w:tc>
        <w:tc>
          <w:tcPr>
            <w:tcW w:w="188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36" w14:textId="77777777" w:rsidR="00C1548D" w:rsidRDefault="009B1B4B">
            <w:pPr>
              <w:spacing w:line="250" w:lineRule="auto"/>
            </w:pPr>
            <w:r>
              <w:rPr>
                <w:b/>
                <w:bCs/>
                <w:sz w:val="18"/>
                <w:szCs w:val="18"/>
              </w:rPr>
              <w:t>Hinweise</w:t>
            </w:r>
          </w:p>
        </w:tc>
      </w:tr>
      <w:tr w:rsidR="00C1548D" w14:paraId="70A4D03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38" w14:textId="77777777" w:rsidR="00C1548D" w:rsidRDefault="009B1B4B">
            <w:pPr>
              <w:spacing w:line="250" w:lineRule="auto"/>
            </w:pPr>
            <w:r>
              <w:rPr>
                <w:sz w:val="18"/>
                <w:szCs w:val="18"/>
              </w:rPr>
              <w:t>Austin</w:t>
            </w:r>
          </w:p>
        </w:tc>
        <w:tc>
          <w:tcPr>
            <w:tcW w:w="1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39" w14:textId="77777777" w:rsidR="00C1548D" w:rsidRDefault="009B1B4B">
            <w:pPr>
              <w:spacing w:line="250" w:lineRule="auto"/>
            </w:pPr>
            <w:r>
              <w:rPr>
                <w:sz w:val="18"/>
                <w:szCs w:val="18"/>
              </w:rPr>
              <w:t>Tesla, Oracle, Apple, Samsung, Infineon, SAP</w:t>
            </w:r>
          </w:p>
        </w:tc>
        <w:tc>
          <w:tcPr>
            <w:tcW w:w="16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3A" w14:textId="77777777" w:rsidR="00C1548D" w:rsidRDefault="009B1B4B">
            <w:pPr>
              <w:spacing w:line="250" w:lineRule="auto"/>
            </w:pPr>
            <w:r>
              <w:rPr>
                <w:sz w:val="18"/>
                <w:szCs w:val="18"/>
              </w:rPr>
              <w:t>485.400 $ / 1.260–1.610 $</w:t>
            </w:r>
          </w:p>
        </w:tc>
        <w:tc>
          <w:tcPr>
            <w:tcW w:w="18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3B" w14:textId="77777777" w:rsidR="00C1548D" w:rsidRDefault="009B1B4B">
            <w:pPr>
              <w:spacing w:line="250" w:lineRule="auto"/>
            </w:pPr>
            <w:r>
              <w:rPr>
                <w:sz w:val="18"/>
                <w:szCs w:val="18"/>
              </w:rPr>
              <w:t>TX steuerfrei; Hitze, Sturzfluten; Nonstop, Mieten fallend</w:t>
            </w:r>
          </w:p>
        </w:tc>
      </w:tr>
      <w:tr w:rsidR="00C1548D" w14:paraId="70A4D04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3D" w14:textId="77777777" w:rsidR="00C1548D" w:rsidRDefault="009B1B4B">
            <w:pPr>
              <w:spacing w:line="250" w:lineRule="auto"/>
            </w:pPr>
            <w:r>
              <w:rPr>
                <w:sz w:val="18"/>
                <w:szCs w:val="18"/>
              </w:rPr>
              <w:t>Dallas–Fort Worth</w:t>
            </w:r>
          </w:p>
        </w:tc>
        <w:tc>
          <w:tcPr>
            <w:tcW w:w="1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3E" w14:textId="77777777" w:rsidR="00C1548D" w:rsidRDefault="009B1B4B">
            <w:pPr>
              <w:spacing w:line="250" w:lineRule="auto"/>
            </w:pPr>
            <w:r>
              <w:rPr>
                <w:sz w:val="18"/>
                <w:szCs w:val="18"/>
              </w:rPr>
              <w:t>Finanzen, Telekom, Luftfahrt</w:t>
            </w:r>
          </w:p>
        </w:tc>
        <w:tc>
          <w:tcPr>
            <w:tcW w:w="16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3F" w14:textId="77777777" w:rsidR="00C1548D" w:rsidRDefault="009B1B4B">
            <w:pPr>
              <w:spacing w:line="250" w:lineRule="auto"/>
            </w:pPr>
            <w:r>
              <w:rPr>
                <w:sz w:val="18"/>
                <w:szCs w:val="18"/>
              </w:rPr>
              <w:t>380.100 $ / 1.270–1.810 $</w:t>
            </w:r>
          </w:p>
        </w:tc>
        <w:tc>
          <w:tcPr>
            <w:tcW w:w="18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0" w14:textId="77777777" w:rsidR="00C1548D" w:rsidRDefault="009B1B4B">
            <w:pPr>
              <w:spacing w:line="250" w:lineRule="auto"/>
            </w:pPr>
            <w:r>
              <w:rPr>
                <w:sz w:val="18"/>
                <w:szCs w:val="18"/>
              </w:rPr>
              <w:t>TX steuerfrei; Tornados, Eisstürme; Nonstop</w:t>
            </w:r>
          </w:p>
        </w:tc>
      </w:tr>
      <w:tr w:rsidR="00C1548D" w14:paraId="70A4D04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2" w14:textId="77777777" w:rsidR="00C1548D" w:rsidRDefault="009B1B4B">
            <w:pPr>
              <w:spacing w:line="250" w:lineRule="auto"/>
            </w:pPr>
            <w:r>
              <w:rPr>
                <w:sz w:val="18"/>
                <w:szCs w:val="18"/>
              </w:rPr>
              <w:t>Houston</w:t>
            </w:r>
          </w:p>
        </w:tc>
        <w:tc>
          <w:tcPr>
            <w:tcW w:w="1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3" w14:textId="77777777" w:rsidR="00C1548D" w:rsidRDefault="009B1B4B">
            <w:pPr>
              <w:spacing w:line="250" w:lineRule="auto"/>
            </w:pPr>
            <w:r>
              <w:rPr>
                <w:sz w:val="18"/>
                <w:szCs w:val="18"/>
              </w:rPr>
              <w:t>Öl/Gas, LNG, NASA, Medizin, Siemens Energy</w:t>
            </w:r>
          </w:p>
        </w:tc>
        <w:tc>
          <w:tcPr>
            <w:tcW w:w="16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4" w14:textId="77777777" w:rsidR="00C1548D" w:rsidRDefault="009B1B4B">
            <w:pPr>
              <w:spacing w:line="250" w:lineRule="auto"/>
            </w:pPr>
            <w:r>
              <w:rPr>
                <w:sz w:val="18"/>
                <w:szCs w:val="18"/>
              </w:rPr>
              <w:t>345.200 $ / 1.050–1.400 $</w:t>
            </w:r>
          </w:p>
        </w:tc>
        <w:tc>
          <w:tcPr>
            <w:tcW w:w="18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5" w14:textId="77777777" w:rsidR="00C1548D" w:rsidRDefault="009B1B4B">
            <w:pPr>
              <w:spacing w:line="250" w:lineRule="auto"/>
            </w:pPr>
            <w:r>
              <w:rPr>
                <w:sz w:val="18"/>
                <w:szCs w:val="18"/>
              </w:rPr>
              <w:t>TX steuerfrei; Hurrikan, Hitze; Nonstop</w:t>
            </w:r>
          </w:p>
        </w:tc>
      </w:tr>
      <w:tr w:rsidR="00C1548D" w14:paraId="70A4D04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7" w14:textId="77777777" w:rsidR="00C1548D" w:rsidRDefault="009B1B4B">
            <w:pPr>
              <w:spacing w:line="250" w:lineRule="auto"/>
            </w:pPr>
            <w:r>
              <w:rPr>
                <w:sz w:val="18"/>
                <w:szCs w:val="18"/>
              </w:rPr>
              <w:t>Raleigh–Durham</w:t>
            </w:r>
          </w:p>
        </w:tc>
        <w:tc>
          <w:tcPr>
            <w:tcW w:w="1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8" w14:textId="77777777" w:rsidR="00C1548D" w:rsidRDefault="009B1B4B">
            <w:pPr>
              <w:spacing w:line="250" w:lineRule="auto"/>
            </w:pPr>
            <w:r>
              <w:rPr>
                <w:sz w:val="18"/>
                <w:szCs w:val="18"/>
              </w:rPr>
              <w:t>Biotech/Pharma (RTP), Software, Universitäten</w:t>
            </w:r>
          </w:p>
        </w:tc>
        <w:tc>
          <w:tcPr>
            <w:tcW w:w="16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9" w14:textId="77777777" w:rsidR="00C1548D" w:rsidRDefault="009B1B4B">
            <w:pPr>
              <w:spacing w:line="250" w:lineRule="auto"/>
            </w:pPr>
            <w:r>
              <w:rPr>
                <w:sz w:val="18"/>
                <w:szCs w:val="18"/>
              </w:rPr>
              <w:t>Raleigh 466.700 $ / 1.270–1.500 $; Durham 478.900 $</w:t>
            </w:r>
          </w:p>
        </w:tc>
        <w:tc>
          <w:tcPr>
            <w:tcW w:w="18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A" w14:textId="77777777" w:rsidR="00C1548D" w:rsidRDefault="009B1B4B">
            <w:pPr>
              <w:spacing w:line="250" w:lineRule="auto"/>
            </w:pPr>
            <w:r>
              <w:rPr>
                <w:sz w:val="18"/>
                <w:szCs w:val="18"/>
              </w:rPr>
              <w:t>NC 3,99 %; Hurrikanreste; Nonstop; ≈ 24.000 Jobs bei dt. Firmen</w:t>
            </w:r>
          </w:p>
        </w:tc>
      </w:tr>
      <w:tr w:rsidR="00C1548D" w14:paraId="70A4D05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C" w14:textId="77777777" w:rsidR="00C1548D" w:rsidRDefault="009B1B4B">
            <w:pPr>
              <w:spacing w:line="250" w:lineRule="auto"/>
            </w:pPr>
            <w:r>
              <w:rPr>
                <w:sz w:val="18"/>
                <w:szCs w:val="18"/>
              </w:rPr>
              <w:t>Charlotte</w:t>
            </w:r>
          </w:p>
        </w:tc>
        <w:tc>
          <w:tcPr>
            <w:tcW w:w="1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D" w14:textId="77777777" w:rsidR="00C1548D" w:rsidRDefault="009B1B4B">
            <w:pPr>
              <w:spacing w:line="250" w:lineRule="auto"/>
            </w:pPr>
            <w:r>
              <w:rPr>
                <w:sz w:val="18"/>
                <w:szCs w:val="18"/>
              </w:rPr>
              <w:t>Banken, Siemens Energy, Autozulieferer (Fort Mill)</w:t>
            </w:r>
          </w:p>
        </w:tc>
        <w:tc>
          <w:tcPr>
            <w:tcW w:w="16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E" w14:textId="77777777" w:rsidR="00C1548D" w:rsidRDefault="009B1B4B">
            <w:pPr>
              <w:spacing w:line="250" w:lineRule="auto"/>
            </w:pPr>
            <w:r>
              <w:rPr>
                <w:sz w:val="18"/>
                <w:szCs w:val="18"/>
              </w:rPr>
              <w:t>434.000 $ / 1.430–1.700 $</w:t>
            </w:r>
          </w:p>
        </w:tc>
        <w:tc>
          <w:tcPr>
            <w:tcW w:w="18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4F" w14:textId="77777777" w:rsidR="00C1548D" w:rsidRDefault="009B1B4B">
            <w:pPr>
              <w:spacing w:line="250" w:lineRule="auto"/>
            </w:pPr>
            <w:r>
              <w:rPr>
                <w:sz w:val="18"/>
                <w:szCs w:val="18"/>
              </w:rPr>
              <w:t>NC 3,99 %; Hurrikanreste, Hitze; Nonstop</w:t>
            </w:r>
          </w:p>
        </w:tc>
      </w:tr>
      <w:tr w:rsidR="00C1548D" w14:paraId="70A4D05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1" w14:textId="77777777" w:rsidR="00C1548D" w:rsidRDefault="009B1B4B">
            <w:pPr>
              <w:spacing w:line="250" w:lineRule="auto"/>
            </w:pPr>
            <w:r>
              <w:rPr>
                <w:sz w:val="18"/>
                <w:szCs w:val="18"/>
              </w:rPr>
              <w:t>Atlanta</w:t>
            </w:r>
          </w:p>
        </w:tc>
        <w:tc>
          <w:tcPr>
            <w:tcW w:w="1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2" w14:textId="77777777" w:rsidR="00C1548D" w:rsidRDefault="009B1B4B">
            <w:pPr>
              <w:spacing w:line="250" w:lineRule="auto"/>
            </w:pPr>
            <w:r>
              <w:rPr>
                <w:sz w:val="18"/>
                <w:szCs w:val="18"/>
              </w:rPr>
              <w:t>Logistik, Fintech, Delta, Mercedes-Benz, Porsche</w:t>
            </w:r>
          </w:p>
        </w:tc>
        <w:tc>
          <w:tcPr>
            <w:tcW w:w="16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3" w14:textId="77777777" w:rsidR="00C1548D" w:rsidRDefault="009B1B4B">
            <w:pPr>
              <w:spacing w:line="250" w:lineRule="auto"/>
            </w:pPr>
            <w:r>
              <w:rPr>
                <w:sz w:val="18"/>
                <w:szCs w:val="18"/>
              </w:rPr>
              <w:t>387.000 $ / 1.660–2.100 $</w:t>
            </w:r>
          </w:p>
        </w:tc>
        <w:tc>
          <w:tcPr>
            <w:tcW w:w="18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4" w14:textId="77777777" w:rsidR="00C1548D" w:rsidRDefault="009B1B4B">
            <w:pPr>
              <w:spacing w:line="250" w:lineRule="auto"/>
            </w:pPr>
            <w:r>
              <w:rPr>
                <w:sz w:val="18"/>
                <w:szCs w:val="18"/>
              </w:rPr>
              <w:t>GA 5,19 % (auch: 4,99 %); Unwetter, Hitze; Nonstop</w:t>
            </w:r>
          </w:p>
        </w:tc>
      </w:tr>
      <w:tr w:rsidR="00C1548D" w14:paraId="70A4D05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6" w14:textId="77777777" w:rsidR="00C1548D" w:rsidRDefault="009B1B4B">
            <w:pPr>
              <w:spacing w:line="250" w:lineRule="auto"/>
            </w:pPr>
            <w:r>
              <w:rPr>
                <w:sz w:val="18"/>
                <w:szCs w:val="18"/>
              </w:rPr>
              <w:t>Nashville</w:t>
            </w:r>
          </w:p>
        </w:tc>
        <w:tc>
          <w:tcPr>
            <w:tcW w:w="1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7" w14:textId="77777777" w:rsidR="00C1548D" w:rsidRDefault="009B1B4B">
            <w:pPr>
              <w:spacing w:line="250" w:lineRule="auto"/>
            </w:pPr>
            <w:r>
              <w:rPr>
                <w:sz w:val="18"/>
                <w:szCs w:val="18"/>
              </w:rPr>
              <w:t>Gesundheitswirtschaft, Nissan NA, Oracle</w:t>
            </w:r>
          </w:p>
        </w:tc>
        <w:tc>
          <w:tcPr>
            <w:tcW w:w="16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8" w14:textId="77777777" w:rsidR="00C1548D" w:rsidRDefault="009B1B4B">
            <w:pPr>
              <w:spacing w:line="250" w:lineRule="auto"/>
            </w:pPr>
            <w:r>
              <w:rPr>
                <w:sz w:val="18"/>
                <w:szCs w:val="18"/>
              </w:rPr>
              <w:t>420.900 $ / 1.520–1.780 $</w:t>
            </w:r>
          </w:p>
        </w:tc>
        <w:tc>
          <w:tcPr>
            <w:tcW w:w="18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9" w14:textId="77777777" w:rsidR="00C1548D" w:rsidRDefault="009B1B4B">
            <w:pPr>
              <w:spacing w:line="250" w:lineRule="auto"/>
            </w:pPr>
            <w:r>
              <w:rPr>
                <w:sz w:val="18"/>
                <w:szCs w:val="18"/>
              </w:rPr>
              <w:t>TN steuerfrei; Tornados; kein Nonstop; VW Chattanooga ≈ 2 Std.</w:t>
            </w:r>
          </w:p>
        </w:tc>
      </w:tr>
      <w:tr w:rsidR="00C1548D" w14:paraId="70A4D05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B" w14:textId="77777777" w:rsidR="00C1548D" w:rsidRDefault="009B1B4B">
            <w:pPr>
              <w:spacing w:line="250" w:lineRule="auto"/>
            </w:pPr>
            <w:r>
              <w:rPr>
                <w:sz w:val="18"/>
                <w:szCs w:val="18"/>
              </w:rPr>
              <w:t>Greenville–Spartanburg</w:t>
            </w:r>
          </w:p>
        </w:tc>
        <w:tc>
          <w:tcPr>
            <w:tcW w:w="1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C" w14:textId="77777777" w:rsidR="00C1548D" w:rsidRDefault="009B1B4B">
            <w:pPr>
              <w:spacing w:line="250" w:lineRule="auto"/>
            </w:pPr>
            <w:r>
              <w:rPr>
                <w:sz w:val="18"/>
                <w:szCs w:val="18"/>
              </w:rPr>
              <w:t>BMW, Bosch, ZF, Dräxlmaier</w:t>
            </w:r>
          </w:p>
        </w:tc>
        <w:tc>
          <w:tcPr>
            <w:tcW w:w="16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D" w14:textId="77777777" w:rsidR="00C1548D" w:rsidRDefault="009B1B4B">
            <w:pPr>
              <w:spacing w:line="250" w:lineRule="auto"/>
            </w:pPr>
            <w:r>
              <w:rPr>
                <w:sz w:val="18"/>
                <w:szCs w:val="18"/>
              </w:rPr>
              <w:t>Greenville 354.400 $; Spartanburg 303.100 $</w:t>
            </w:r>
          </w:p>
        </w:tc>
        <w:tc>
          <w:tcPr>
            <w:tcW w:w="18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5E" w14:textId="77777777" w:rsidR="00C1548D" w:rsidRDefault="009B1B4B">
            <w:pPr>
              <w:spacing w:line="250" w:lineRule="auto"/>
            </w:pPr>
            <w:r>
              <w:rPr>
                <w:sz w:val="18"/>
                <w:szCs w:val="18"/>
              </w:rPr>
              <w:t>SC bis 6,0 %; Hurrikanreste; kein Nonstop, Charlotte ≈ 1,5–2 Std.</w:t>
            </w:r>
          </w:p>
        </w:tc>
      </w:tr>
      <w:tr w:rsidR="00C1548D" w14:paraId="70A4D06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60" w14:textId="77777777" w:rsidR="00C1548D" w:rsidRDefault="009B1B4B">
            <w:pPr>
              <w:spacing w:line="250" w:lineRule="auto"/>
            </w:pPr>
            <w:r>
              <w:rPr>
                <w:sz w:val="18"/>
                <w:szCs w:val="18"/>
              </w:rPr>
              <w:t>Huntsville</w:t>
            </w:r>
          </w:p>
        </w:tc>
        <w:tc>
          <w:tcPr>
            <w:tcW w:w="1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61" w14:textId="77777777" w:rsidR="00C1548D" w:rsidRDefault="009B1B4B">
            <w:pPr>
              <w:spacing w:line="250" w:lineRule="auto"/>
            </w:pPr>
            <w:r>
              <w:rPr>
                <w:sz w:val="18"/>
                <w:szCs w:val="18"/>
              </w:rPr>
              <w:t>NASA, Redstone Arsenal, Space Command (ab 2032)</w:t>
            </w:r>
          </w:p>
        </w:tc>
        <w:tc>
          <w:tcPr>
            <w:tcW w:w="16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62" w14:textId="77777777" w:rsidR="00C1548D" w:rsidRDefault="009B1B4B">
            <w:pPr>
              <w:spacing w:line="250" w:lineRule="auto"/>
            </w:pPr>
            <w:r>
              <w:rPr>
                <w:sz w:val="18"/>
                <w:szCs w:val="18"/>
              </w:rPr>
              <w:t>332.400 $</w:t>
            </w:r>
          </w:p>
        </w:tc>
        <w:tc>
          <w:tcPr>
            <w:tcW w:w="18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63" w14:textId="77777777" w:rsidR="00C1548D" w:rsidRDefault="009B1B4B">
            <w:pPr>
              <w:spacing w:line="250" w:lineRule="auto"/>
            </w:pPr>
            <w:r>
              <w:rPr>
                <w:sz w:val="18"/>
                <w:szCs w:val="18"/>
              </w:rPr>
              <w:t>AL 2–5 %; Tornados; kein Nonstop, oft Sicherheitsüberprüfung</w:t>
            </w:r>
          </w:p>
        </w:tc>
      </w:tr>
    </w:tbl>
    <w:p w14:paraId="70A4D065" w14:textId="77777777" w:rsidR="00C1548D" w:rsidRDefault="00C1548D">
      <w:pPr>
        <w:spacing w:line="180" w:lineRule="exact"/>
      </w:pPr>
    </w:p>
    <w:p w14:paraId="70A4D066" w14:textId="77777777" w:rsidR="00C1548D" w:rsidRDefault="009B1B4B">
      <w:pPr>
        <w:spacing w:after="140"/>
      </w:pPr>
      <w:r>
        <w:rPr>
          <w:b/>
          <w:bCs/>
        </w:rPr>
        <w:t>Mittlerer Westen und Nordosten: Industrie, Finanzen, Forschung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9"/>
        <w:gridCol w:w="1768"/>
        <w:gridCol w:w="1755"/>
        <w:gridCol w:w="1968"/>
      </w:tblGrid>
      <w:tr w:rsidR="00C1548D" w14:paraId="70A4D06B" w14:textId="77777777">
        <w:tblPrEx>
          <w:tblCellMar>
            <w:top w:w="0" w:type="dxa"/>
            <w:bottom w:w="0" w:type="dxa"/>
          </w:tblCellMar>
        </w:tblPrEx>
        <w:trPr>
          <w:cantSplit/>
          <w:tblHeader/>
        </w:trPr>
        <w:tc>
          <w:tcPr>
            <w:tcW w:w="9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67" w14:textId="77777777" w:rsidR="00C1548D" w:rsidRDefault="009B1B4B">
            <w:pPr>
              <w:spacing w:line="250" w:lineRule="auto"/>
            </w:pPr>
            <w:r>
              <w:rPr>
                <w:b/>
                <w:bCs/>
                <w:sz w:val="18"/>
                <w:szCs w:val="18"/>
              </w:rPr>
              <w:t>Region</w:t>
            </w:r>
          </w:p>
        </w:tc>
        <w:tc>
          <w:tcPr>
            <w:tcW w:w="176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68" w14:textId="77777777" w:rsidR="00C1548D" w:rsidRDefault="009B1B4B">
            <w:pPr>
              <w:spacing w:line="250" w:lineRule="auto"/>
            </w:pPr>
            <w:r>
              <w:rPr>
                <w:b/>
                <w:bCs/>
                <w:sz w:val="18"/>
                <w:szCs w:val="18"/>
              </w:rPr>
              <w:t>Stärken/Branchen</w:t>
            </w:r>
          </w:p>
        </w:tc>
        <w:tc>
          <w:tcPr>
            <w:tcW w:w="175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69" w14:textId="77777777" w:rsidR="00C1548D" w:rsidRDefault="009B1B4B">
            <w:pPr>
              <w:spacing w:line="250" w:lineRule="auto"/>
            </w:pPr>
            <w:r>
              <w:rPr>
                <w:b/>
                <w:bCs/>
                <w:sz w:val="18"/>
                <w:szCs w:val="18"/>
              </w:rPr>
              <w:t>Kosten (Kauf / Miete 1-Zi–2-Zi)</w:t>
            </w:r>
          </w:p>
        </w:tc>
        <w:tc>
          <w:tcPr>
            <w:tcW w:w="196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6A" w14:textId="77777777" w:rsidR="00C1548D" w:rsidRDefault="009B1B4B">
            <w:pPr>
              <w:spacing w:line="250" w:lineRule="auto"/>
            </w:pPr>
            <w:r>
              <w:rPr>
                <w:b/>
                <w:bCs/>
                <w:sz w:val="18"/>
                <w:szCs w:val="18"/>
              </w:rPr>
              <w:t>Hinweise</w:t>
            </w:r>
          </w:p>
        </w:tc>
      </w:tr>
      <w:tr w:rsidR="00C1548D" w14:paraId="70A4D070" w14:textId="77777777">
        <w:tblPrEx>
          <w:tblCellMar>
            <w:top w:w="0" w:type="dxa"/>
            <w:bottom w:w="0" w:type="dxa"/>
          </w:tblCellMar>
        </w:tblPrEx>
        <w:trPr>
          <w:cantSplit/>
        </w:trPr>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6C" w14:textId="77777777" w:rsidR="00C1548D" w:rsidRDefault="009B1B4B">
            <w:pPr>
              <w:spacing w:line="250" w:lineRule="auto"/>
            </w:pPr>
            <w:r>
              <w:rPr>
                <w:sz w:val="18"/>
                <w:szCs w:val="18"/>
              </w:rPr>
              <w:t>Minneapolis–St. Paul</w:t>
            </w:r>
          </w:p>
        </w:tc>
        <w:tc>
          <w:tcPr>
            <w:tcW w:w="17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6D" w14:textId="77777777" w:rsidR="00C1548D" w:rsidRDefault="009B1B4B">
            <w:pPr>
              <w:spacing w:line="250" w:lineRule="auto"/>
            </w:pPr>
            <w:r>
              <w:rPr>
                <w:sz w:val="18"/>
                <w:szCs w:val="18"/>
              </w:rPr>
              <w:t>Medtronic, Target, Finanzen, deutsche Grundschule</w:t>
            </w:r>
          </w:p>
        </w:tc>
        <w:tc>
          <w:tcPr>
            <w:tcW w:w="17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6E" w14:textId="77777777" w:rsidR="00C1548D" w:rsidRDefault="009B1B4B">
            <w:pPr>
              <w:spacing w:line="250" w:lineRule="auto"/>
            </w:pPr>
            <w:r>
              <w:rPr>
                <w:sz w:val="18"/>
                <w:szCs w:val="18"/>
              </w:rPr>
              <w:t>414.300 $ / 1.280–1.750 $</w:t>
            </w:r>
          </w:p>
        </w:tc>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6F" w14:textId="77777777" w:rsidR="00C1548D" w:rsidRDefault="009B1B4B">
            <w:pPr>
              <w:spacing w:line="250" w:lineRule="auto"/>
            </w:pPr>
            <w:r>
              <w:rPr>
                <w:sz w:val="18"/>
                <w:szCs w:val="18"/>
              </w:rPr>
              <w:t>MN bis 9,85 %; Extremkälte; kein Nonstop ganzjährig</w:t>
            </w:r>
          </w:p>
        </w:tc>
      </w:tr>
      <w:tr w:rsidR="00C1548D" w14:paraId="70A4D075" w14:textId="77777777">
        <w:tblPrEx>
          <w:tblCellMar>
            <w:top w:w="0" w:type="dxa"/>
            <w:bottom w:w="0" w:type="dxa"/>
          </w:tblCellMar>
        </w:tblPrEx>
        <w:trPr>
          <w:cantSplit/>
        </w:trPr>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1" w14:textId="77777777" w:rsidR="00C1548D" w:rsidRDefault="009B1B4B">
            <w:pPr>
              <w:spacing w:line="250" w:lineRule="auto"/>
            </w:pPr>
            <w:r>
              <w:rPr>
                <w:sz w:val="18"/>
                <w:szCs w:val="18"/>
              </w:rPr>
              <w:lastRenderedPageBreak/>
              <w:t>Chicago</w:t>
            </w:r>
          </w:p>
        </w:tc>
        <w:tc>
          <w:tcPr>
            <w:tcW w:w="17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2" w14:textId="77777777" w:rsidR="00C1548D" w:rsidRDefault="009B1B4B">
            <w:pPr>
              <w:spacing w:line="250" w:lineRule="auto"/>
            </w:pPr>
            <w:r>
              <w:rPr>
                <w:sz w:val="18"/>
                <w:szCs w:val="18"/>
              </w:rPr>
              <w:t>Finanzen, Logistik, Pharma, Industrie</w:t>
            </w:r>
          </w:p>
        </w:tc>
        <w:tc>
          <w:tcPr>
            <w:tcW w:w="17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3" w14:textId="77777777" w:rsidR="00C1548D" w:rsidRDefault="009B1B4B">
            <w:pPr>
              <w:spacing w:line="250" w:lineRule="auto"/>
            </w:pPr>
            <w:r>
              <w:rPr>
                <w:sz w:val="18"/>
                <w:szCs w:val="18"/>
              </w:rPr>
              <w:t>438.600 $ / 2.190–2.500 $</w:t>
            </w:r>
          </w:p>
        </w:tc>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4" w14:textId="77777777" w:rsidR="00C1548D" w:rsidRDefault="009B1B4B">
            <w:pPr>
              <w:spacing w:line="250" w:lineRule="auto"/>
            </w:pPr>
            <w:r>
              <w:rPr>
                <w:sz w:val="18"/>
                <w:szCs w:val="18"/>
              </w:rPr>
              <w:t>IL 4,95 %; Kälte, Hochwasser; Nonstop</w:t>
            </w:r>
          </w:p>
        </w:tc>
      </w:tr>
      <w:tr w:rsidR="00C1548D" w14:paraId="70A4D07A" w14:textId="77777777">
        <w:tblPrEx>
          <w:tblCellMar>
            <w:top w:w="0" w:type="dxa"/>
            <w:bottom w:w="0" w:type="dxa"/>
          </w:tblCellMar>
        </w:tblPrEx>
        <w:trPr>
          <w:cantSplit/>
        </w:trPr>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6" w14:textId="77777777" w:rsidR="00C1548D" w:rsidRDefault="009B1B4B">
            <w:pPr>
              <w:spacing w:line="250" w:lineRule="auto"/>
            </w:pPr>
            <w:r>
              <w:rPr>
                <w:sz w:val="18"/>
                <w:szCs w:val="18"/>
              </w:rPr>
              <w:t>Detroit/Ann Arbor</w:t>
            </w:r>
          </w:p>
        </w:tc>
        <w:tc>
          <w:tcPr>
            <w:tcW w:w="17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7" w14:textId="77777777" w:rsidR="00C1548D" w:rsidRDefault="009B1B4B">
            <w:pPr>
              <w:spacing w:line="250" w:lineRule="auto"/>
            </w:pPr>
            <w:r>
              <w:rPr>
                <w:sz w:val="18"/>
                <w:szCs w:val="18"/>
              </w:rPr>
              <w:t>Autoindustrie/Zulieferer, Universität Michigan</w:t>
            </w:r>
          </w:p>
        </w:tc>
        <w:tc>
          <w:tcPr>
            <w:tcW w:w="17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8" w14:textId="77777777" w:rsidR="00C1548D" w:rsidRDefault="009B1B4B">
            <w:pPr>
              <w:spacing w:line="250" w:lineRule="auto"/>
            </w:pPr>
            <w:r>
              <w:rPr>
                <w:sz w:val="18"/>
                <w:szCs w:val="18"/>
              </w:rPr>
              <w:t>Detroit 311.800 $ / 940–1.100 $; Ann Arbor 512.100 $</w:t>
            </w:r>
          </w:p>
        </w:tc>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9" w14:textId="77777777" w:rsidR="00C1548D" w:rsidRDefault="009B1B4B">
            <w:pPr>
              <w:spacing w:line="250" w:lineRule="auto"/>
            </w:pPr>
            <w:r>
              <w:rPr>
                <w:sz w:val="18"/>
                <w:szCs w:val="18"/>
              </w:rPr>
              <w:t>MI 4,25 % + Stadtsteuer; Winter; Nonstop</w:t>
            </w:r>
          </w:p>
        </w:tc>
      </w:tr>
      <w:tr w:rsidR="00C1548D" w14:paraId="70A4D07F" w14:textId="77777777">
        <w:tblPrEx>
          <w:tblCellMar>
            <w:top w:w="0" w:type="dxa"/>
            <w:bottom w:w="0" w:type="dxa"/>
          </w:tblCellMar>
        </w:tblPrEx>
        <w:trPr>
          <w:cantSplit/>
        </w:trPr>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B" w14:textId="77777777" w:rsidR="00C1548D" w:rsidRDefault="009B1B4B">
            <w:pPr>
              <w:spacing w:line="250" w:lineRule="auto"/>
            </w:pPr>
            <w:r>
              <w:rPr>
                <w:sz w:val="18"/>
                <w:szCs w:val="18"/>
              </w:rPr>
              <w:t>Columbus (Ohio)</w:t>
            </w:r>
          </w:p>
        </w:tc>
        <w:tc>
          <w:tcPr>
            <w:tcW w:w="17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C" w14:textId="77777777" w:rsidR="00C1548D" w:rsidRDefault="009B1B4B">
            <w:pPr>
              <w:spacing w:line="250" w:lineRule="auto"/>
            </w:pPr>
            <w:r>
              <w:rPr>
                <w:sz w:val="18"/>
                <w:szCs w:val="18"/>
              </w:rPr>
              <w:t>Versicherungen/Banken, künftig Intel (ab 2030)</w:t>
            </w:r>
          </w:p>
        </w:tc>
        <w:tc>
          <w:tcPr>
            <w:tcW w:w="17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D" w14:textId="77777777" w:rsidR="00C1548D" w:rsidRDefault="009B1B4B">
            <w:pPr>
              <w:spacing w:line="250" w:lineRule="auto"/>
            </w:pPr>
            <w:r>
              <w:rPr>
                <w:sz w:val="18"/>
                <w:szCs w:val="18"/>
              </w:rPr>
              <w:t>363.100 $ / 1.190–1.380 $</w:t>
            </w:r>
          </w:p>
        </w:tc>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7E" w14:textId="77777777" w:rsidR="00C1548D" w:rsidRDefault="009B1B4B">
            <w:pPr>
              <w:spacing w:line="250" w:lineRule="auto"/>
            </w:pPr>
            <w:r>
              <w:rPr>
                <w:sz w:val="18"/>
                <w:szCs w:val="18"/>
              </w:rPr>
              <w:t>OH 2,75 % + Kommunalsteuer; kein Nonstop</w:t>
            </w:r>
          </w:p>
        </w:tc>
      </w:tr>
      <w:tr w:rsidR="00C1548D" w14:paraId="70A4D084" w14:textId="77777777">
        <w:tblPrEx>
          <w:tblCellMar>
            <w:top w:w="0" w:type="dxa"/>
            <w:bottom w:w="0" w:type="dxa"/>
          </w:tblCellMar>
        </w:tblPrEx>
        <w:trPr>
          <w:cantSplit/>
        </w:trPr>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0" w14:textId="77777777" w:rsidR="00C1548D" w:rsidRDefault="009B1B4B">
            <w:pPr>
              <w:spacing w:line="250" w:lineRule="auto"/>
            </w:pPr>
            <w:r>
              <w:rPr>
                <w:sz w:val="18"/>
                <w:szCs w:val="18"/>
              </w:rPr>
              <w:t>Boston/Cambridge</w:t>
            </w:r>
          </w:p>
        </w:tc>
        <w:tc>
          <w:tcPr>
            <w:tcW w:w="17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1" w14:textId="77777777" w:rsidR="00C1548D" w:rsidRDefault="009B1B4B">
            <w:pPr>
              <w:spacing w:line="250" w:lineRule="auto"/>
            </w:pPr>
            <w:r>
              <w:rPr>
                <w:sz w:val="18"/>
                <w:szCs w:val="18"/>
              </w:rPr>
              <w:t>Biotech/Pharma, Harvard/MIT, Finanzen</w:t>
            </w:r>
          </w:p>
        </w:tc>
        <w:tc>
          <w:tcPr>
            <w:tcW w:w="17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2" w14:textId="77777777" w:rsidR="00C1548D" w:rsidRDefault="009B1B4B">
            <w:pPr>
              <w:spacing w:line="250" w:lineRule="auto"/>
            </w:pPr>
            <w:r>
              <w:rPr>
                <w:sz w:val="18"/>
                <w:szCs w:val="18"/>
              </w:rPr>
              <w:t>844.600 $ / 2.960–3.550 $</w:t>
            </w:r>
          </w:p>
        </w:tc>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3" w14:textId="77777777" w:rsidR="00C1548D" w:rsidRDefault="009B1B4B">
            <w:pPr>
              <w:spacing w:line="250" w:lineRule="auto"/>
            </w:pPr>
            <w:r>
              <w:rPr>
                <w:sz w:val="18"/>
                <w:szCs w:val="18"/>
              </w:rPr>
              <w:t>MA 5–9 %; Nor’easter, Winter; Nonstop; DIA-Schule</w:t>
            </w:r>
          </w:p>
        </w:tc>
      </w:tr>
      <w:tr w:rsidR="00C1548D" w14:paraId="70A4D089" w14:textId="77777777">
        <w:tblPrEx>
          <w:tblCellMar>
            <w:top w:w="0" w:type="dxa"/>
            <w:bottom w:w="0" w:type="dxa"/>
          </w:tblCellMar>
        </w:tblPrEx>
        <w:trPr>
          <w:cantSplit/>
        </w:trPr>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5" w14:textId="77777777" w:rsidR="00C1548D" w:rsidRDefault="009B1B4B">
            <w:pPr>
              <w:spacing w:line="250" w:lineRule="auto"/>
            </w:pPr>
            <w:r>
              <w:rPr>
                <w:sz w:val="18"/>
                <w:szCs w:val="18"/>
              </w:rPr>
              <w:t>New York/New Jersey</w:t>
            </w:r>
          </w:p>
        </w:tc>
        <w:tc>
          <w:tcPr>
            <w:tcW w:w="17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6" w14:textId="77777777" w:rsidR="00C1548D" w:rsidRDefault="009B1B4B">
            <w:pPr>
              <w:spacing w:line="250" w:lineRule="auto"/>
            </w:pPr>
            <w:r>
              <w:rPr>
                <w:sz w:val="18"/>
                <w:szCs w:val="18"/>
              </w:rPr>
              <w:t>Finanzen, Medien, Pharma, Tech</w:t>
            </w:r>
          </w:p>
        </w:tc>
        <w:tc>
          <w:tcPr>
            <w:tcW w:w="17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7" w14:textId="77777777" w:rsidR="00C1548D" w:rsidRDefault="009B1B4B">
            <w:pPr>
              <w:spacing w:line="250" w:lineRule="auto"/>
            </w:pPr>
            <w:r>
              <w:rPr>
                <w:sz w:val="18"/>
                <w:szCs w:val="18"/>
              </w:rPr>
              <w:t>802.400 $; NYC 4.500–5.410 $; Jersey City 2.830–3.100 $</w:t>
            </w:r>
          </w:p>
        </w:tc>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8" w14:textId="77777777" w:rsidR="00C1548D" w:rsidRDefault="009B1B4B">
            <w:pPr>
              <w:spacing w:line="250" w:lineRule="auto"/>
            </w:pPr>
            <w:r>
              <w:rPr>
                <w:sz w:val="18"/>
                <w:szCs w:val="18"/>
              </w:rPr>
              <w:t>NY bis 10,9 %; Hurrikan/Küstenflut; Nonstop; DIA-Schule</w:t>
            </w:r>
          </w:p>
        </w:tc>
      </w:tr>
      <w:tr w:rsidR="00C1548D" w14:paraId="70A4D08E" w14:textId="77777777">
        <w:tblPrEx>
          <w:tblCellMar>
            <w:top w:w="0" w:type="dxa"/>
            <w:bottom w:w="0" w:type="dxa"/>
          </w:tblCellMar>
        </w:tblPrEx>
        <w:trPr>
          <w:cantSplit/>
        </w:trPr>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A" w14:textId="77777777" w:rsidR="00C1548D" w:rsidRDefault="009B1B4B">
            <w:pPr>
              <w:spacing w:line="250" w:lineRule="auto"/>
            </w:pPr>
            <w:r>
              <w:rPr>
                <w:sz w:val="18"/>
                <w:szCs w:val="18"/>
              </w:rPr>
              <w:t>Washington DC/Nord-Virginia</w:t>
            </w:r>
          </w:p>
        </w:tc>
        <w:tc>
          <w:tcPr>
            <w:tcW w:w="17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B" w14:textId="77777777" w:rsidR="00C1548D" w:rsidRDefault="009B1B4B">
            <w:pPr>
              <w:spacing w:line="250" w:lineRule="auto"/>
            </w:pPr>
            <w:r>
              <w:rPr>
                <w:sz w:val="18"/>
                <w:szCs w:val="18"/>
              </w:rPr>
              <w:t>Bundesbehörden, Rüstung, Rechenzentren</w:t>
            </w:r>
          </w:p>
        </w:tc>
        <w:tc>
          <w:tcPr>
            <w:tcW w:w="17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C" w14:textId="77777777" w:rsidR="00C1548D" w:rsidRDefault="009B1B4B">
            <w:pPr>
              <w:spacing w:line="250" w:lineRule="auto"/>
            </w:pPr>
            <w:r>
              <w:rPr>
                <w:sz w:val="18"/>
                <w:szCs w:val="18"/>
              </w:rPr>
              <w:t>688.200 $ / 2.220–3.000 $</w:t>
            </w:r>
          </w:p>
        </w:tc>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D" w14:textId="77777777" w:rsidR="00C1548D" w:rsidRDefault="009B1B4B">
            <w:pPr>
              <w:spacing w:line="250" w:lineRule="auto"/>
            </w:pPr>
            <w:r>
              <w:rPr>
                <w:sz w:val="18"/>
                <w:szCs w:val="18"/>
              </w:rPr>
              <w:t>DC/VA/MD-Steuer unterschiedlich; Nonstop; DIA-Schule</w:t>
            </w:r>
          </w:p>
        </w:tc>
      </w:tr>
      <w:tr w:rsidR="00C1548D" w14:paraId="70A4D093" w14:textId="77777777">
        <w:tblPrEx>
          <w:tblCellMar>
            <w:top w:w="0" w:type="dxa"/>
            <w:bottom w:w="0" w:type="dxa"/>
          </w:tblCellMar>
        </w:tblPrEx>
        <w:trPr>
          <w:cantSplit/>
        </w:trPr>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8F" w14:textId="77777777" w:rsidR="00C1548D" w:rsidRDefault="009B1B4B">
            <w:pPr>
              <w:spacing w:line="250" w:lineRule="auto"/>
            </w:pPr>
            <w:r>
              <w:rPr>
                <w:sz w:val="18"/>
                <w:szCs w:val="18"/>
              </w:rPr>
              <w:t>Upstate New York (Syracuse, Albany)</w:t>
            </w:r>
          </w:p>
        </w:tc>
        <w:tc>
          <w:tcPr>
            <w:tcW w:w="17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90" w14:textId="77777777" w:rsidR="00C1548D" w:rsidRDefault="009B1B4B">
            <w:pPr>
              <w:spacing w:line="250" w:lineRule="auto"/>
            </w:pPr>
            <w:r>
              <w:rPr>
                <w:sz w:val="18"/>
                <w:szCs w:val="18"/>
              </w:rPr>
              <w:t>Halbleiter (GlobalFoundries, Micron im Bau)</w:t>
            </w:r>
          </w:p>
        </w:tc>
        <w:tc>
          <w:tcPr>
            <w:tcW w:w="17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91" w14:textId="77777777" w:rsidR="00C1548D" w:rsidRDefault="009B1B4B">
            <w:pPr>
              <w:spacing w:line="250" w:lineRule="auto"/>
            </w:pPr>
            <w:r>
              <w:rPr>
                <w:sz w:val="18"/>
                <w:szCs w:val="18"/>
              </w:rPr>
              <w:t>Syracuse 274.100 $ / 1.360–1.550 $; Albany 350.200 $</w:t>
            </w:r>
          </w:p>
        </w:tc>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92" w14:textId="77777777" w:rsidR="00C1548D" w:rsidRDefault="009B1B4B">
            <w:pPr>
              <w:spacing w:line="250" w:lineRule="auto"/>
            </w:pPr>
            <w:r>
              <w:rPr>
                <w:sz w:val="18"/>
                <w:szCs w:val="18"/>
              </w:rPr>
              <w:t>NY-Steuer, keine Lokalsteuer außerhalb NYC; kein Nonstop</w:t>
            </w:r>
          </w:p>
        </w:tc>
      </w:tr>
    </w:tbl>
    <w:p w14:paraId="70A4D094" w14:textId="77777777" w:rsidR="00C1548D" w:rsidRDefault="00C1548D">
      <w:pPr>
        <w:spacing w:line="180" w:lineRule="exact"/>
      </w:pPr>
    </w:p>
    <w:p w14:paraId="70A4D095" w14:textId="77777777" w:rsidR="00C1548D" w:rsidRDefault="009B1B4B">
      <w:pPr>
        <w:spacing w:after="140"/>
      </w:pPr>
      <w:r>
        <w:t>Weitere Nonstop-Ziele ohne eigenen Steckbrief: Miami, Orlando, Tampa, Las Vegas, Philadelphia, St. Louis.</w:t>
      </w:r>
    </w:p>
    <w:p w14:paraId="70A4D096" w14:textId="77777777" w:rsidR="00C1548D" w:rsidRDefault="009B1B4B">
      <w:pPr>
        <w:pStyle w:val="Heading3"/>
        <w:keepNext/>
        <w:jc w:val="center"/>
      </w:pPr>
      <w:r>
        <w:rPr>
          <w:rFonts w:ascii="Amazon Ember" w:eastAsia="Amazon Ember" w:hAnsi="Amazon Ember" w:cs="Amazon Ember"/>
          <w:color w:val="0000FF"/>
          <w:sz w:val="36"/>
          <w:szCs w:val="36"/>
        </w:rPr>
        <w:t>Bundesstaaten ohne Einkommensteuer</w:t>
      </w:r>
    </w:p>
    <w:p w14:paraId="70A4D097" w14:textId="4A21A641" w:rsidR="00C1548D" w:rsidRDefault="009B1B4B">
      <w:pPr>
        <w:spacing w:after="140"/>
      </w:pPr>
      <w:r>
        <w:t xml:space="preserve">Acht Bundesstaaten erheben keine Einkommensteuer auf Löhne: Alaska, Florida, Nevada, South Dakota, Tennessee, Texas, Wyoming und New Hampshire, das 2025 zusätzlich seine Zins- und Dividendensteuer strich. Washington erhebt zwar keine Lohnsteuer, dafür aber eine Kapitalgewinnsteuer auf hohe Gewinne und ab 2028 eine „Millionaires’ Tax“ von 9,9 % auf Einkommen über 1 Million $ (unterzeichnet 30. März 2026, Klage anhängig). Fehlende </w:t>
      </w:r>
      <w:r>
        <w:lastRenderedPageBreak/>
        <w:t>Einkommensteuer bedeutet nicht automatisch niedrige Gesamtkosten: Texas und Florida gleichen mit höherer Grundsteuer und Versicherung aus (</w:t>
      </w:r>
      <w:r>
        <w:t>Kapitel </w:t>
      </w:r>
      <w:hyperlink w:anchor="k14" w:history="1">
        <w:r>
          <w:t>14</w:t>
        </w:r>
      </w:hyperlink>
      <w:r>
        <w:t>), und Kalifornien bleibt mit bis zu 13,3 % Spitzensteuersatz trotzdem der teuerste Softwaremarkt des Landes.</w:t>
      </w:r>
    </w:p>
    <w:p w14:paraId="70A4D098" w14:textId="77777777" w:rsidR="00C1548D" w:rsidRDefault="009B1B4B">
      <w:pPr>
        <w:pStyle w:val="Heading3"/>
        <w:keepNext/>
        <w:jc w:val="center"/>
      </w:pPr>
      <w:r>
        <w:rPr>
          <w:rFonts w:ascii="Amazon Ember" w:eastAsia="Amazon Ember" w:hAnsi="Amazon Ember" w:cs="Amazon Ember"/>
          <w:color w:val="0000FF"/>
          <w:sz w:val="36"/>
          <w:szCs w:val="36"/>
        </w:rPr>
        <w:t>Politik und Recht als Standortfaktor</w:t>
      </w:r>
    </w:p>
    <w:p w14:paraId="70A4D099" w14:textId="77777777" w:rsidR="00C1548D" w:rsidRDefault="009B1B4B">
      <w:pPr>
        <w:spacing w:after="140"/>
      </w:pPr>
      <w:r>
        <w:t>Neben Steuern unterscheiden sich Bundesstaaten in Regeln, die deinen Alltag und deine Karriere direkt betreffen – hier rein sachlich, ohne Wertung.</w:t>
      </w:r>
    </w:p>
    <w:p w14:paraId="70A4D09A" w14:textId="324EE978" w:rsidR="00C1548D" w:rsidRDefault="009B1B4B">
      <w:pPr>
        <w:spacing w:after="140"/>
      </w:pPr>
      <w:r>
        <w:t>Wettbewerbsverbote sind in Kalifornien, Minnesota, North Dakota und Oklahoma weitgehend unwirksam, in Wyoming seit Juli 2025 nur noch mit engen Ausnahmen. Eine geplante bundesweite Verbotsregel der Handelsaufsicht FTC wurde im Februar 2026 wieder gestrichen; die Behörde prüft seitdem Einzelfälle. In den meisten anderen Staaten bindet dich eine Klausel im Arbeitsvertrag auch nach der Kündigung (Kapitel </w:t>
      </w:r>
      <w:hyperlink w:anchor="k29" w:history="1">
        <w:r>
          <w:t>29</w:t>
        </w:r>
      </w:hyperlink>
      <w:r>
        <w:t>).</w:t>
      </w:r>
    </w:p>
    <w:p w14:paraId="70A4D09B" w14:textId="77777777" w:rsidR="00C1548D" w:rsidRDefault="009B1B4B">
      <w:pPr>
        <w:spacing w:after="140"/>
      </w:pPr>
      <w:r>
        <w:t>Waffenrecht ist Ländersache: 29 Staaten erlauben das Führen einer Waffe ohne gesonderten Schein (</w:t>
      </w:r>
      <w:r>
        <w:rPr>
          <w:i/>
          <w:iCs/>
        </w:rPr>
        <w:t>Permitless Carry</w:t>
      </w:r>
      <w:r>
        <w:t>, Stand Februar 2025), darunter Texas, Georgia und Arizona; andere wie Kalifornien, New York, New Jersey, Massachusetts und Illinois verlangen eine Genehmigung, kennen Wartefristen oder beschränken Magazine und bestimmte Waffentypen.</w:t>
      </w:r>
    </w:p>
    <w:p w14:paraId="70A4D09C" w14:textId="111F28C4" w:rsidR="00C1548D" w:rsidRDefault="009B1B4B">
      <w:pPr>
        <w:spacing w:after="140"/>
      </w:pPr>
      <w:r>
        <w:t>Cannabis ist in 24 Bundesstaaten und dem Distrikt Washington für Erwachsene legal (Stand September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(Kapitel </w:t>
      </w:r>
      <w:hyperlink w:anchor="k6" w:history="1">
        <w:r>
          <w:t>6</w:t>
        </w:r>
      </w:hyperlink>
      <w:r>
        <w:t xml:space="preserve">, </w:t>
      </w:r>
      <w:r>
        <w:t>Kapitel </w:t>
      </w:r>
      <w:hyperlink w:anchor="k41" w:history="1">
        <w:r>
          <w:t>41</w:t>
        </w:r>
      </w:hyperlink>
      <w:r>
        <w:t>) – unabhängig vom Landesrecht am Wohnort.</w:t>
      </w:r>
    </w:p>
    <w:p w14:paraId="70A4D09D" w14:textId="77777777" w:rsidR="00C1548D" w:rsidRDefault="009B1B4B">
      <w:pPr>
        <w:spacing w:after="140"/>
      </w:pPr>
      <w:r>
        <w:lastRenderedPageBreak/>
        <w:t xml:space="preserve">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w:t>
      </w:r>
      <w:r>
        <w:rPr>
          <w:i/>
          <w:iCs/>
        </w:rPr>
        <w:t>Family and Medical Leave Act</w:t>
      </w:r>
      <w:r>
        <w:t>. Prüfe die Regeln deines Zielstaats bei Familienplanung.</w:t>
      </w:r>
    </w:p>
    <w:p w14:paraId="70A4D09E"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0A1"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9F"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A0" w14:textId="77777777" w:rsidR="00C1548D" w:rsidRDefault="009B1B4B">
            <w:pPr>
              <w:spacing w:line="250" w:lineRule="auto"/>
            </w:pPr>
            <w:r>
              <w:rPr>
                <w:b/>
                <w:bCs/>
                <w:sz w:val="18"/>
                <w:szCs w:val="18"/>
              </w:rPr>
              <w:t>Minus</w:t>
            </w:r>
          </w:p>
        </w:tc>
      </w:tr>
      <w:tr w:rsidR="00C1548D" w14:paraId="70A4D0A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A2" w14:textId="77777777" w:rsidR="00C1548D" w:rsidRDefault="009B1B4B">
            <w:pPr>
              <w:spacing w:line="250" w:lineRule="auto"/>
            </w:pPr>
            <w:r>
              <w:rPr>
                <w:sz w:val="18"/>
                <w:szCs w:val="18"/>
              </w:rPr>
              <w:t>Acht Bundesstaaten ohne Einkommensteuer senken die Steuerlast spürbar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A3" w14:textId="77777777" w:rsidR="00C1548D" w:rsidRDefault="009B1B4B">
            <w:pPr>
              <w:spacing w:line="250" w:lineRule="auto"/>
            </w:pPr>
            <w:r>
              <w:rPr>
                <w:sz w:val="18"/>
                <w:szCs w:val="18"/>
              </w:rPr>
              <w:t>Niedrige Steuer bedeutet oft höhere Grundsteuer oder Versicherung</w:t>
            </w:r>
          </w:p>
        </w:tc>
      </w:tr>
      <w:tr w:rsidR="00C1548D" w14:paraId="70A4D0A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A5" w14:textId="77777777" w:rsidR="00C1548D" w:rsidRDefault="009B1B4B">
            <w:pPr>
              <w:spacing w:line="250" w:lineRule="auto"/>
            </w:pPr>
            <w:r>
              <w:rPr>
                <w:sz w:val="18"/>
                <w:szCs w:val="18"/>
              </w:rPr>
              <w:t>Süden und Texas wachsen, mehr Jobs und neue Wohnungen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A6" w14:textId="77777777" w:rsidR="00C1548D" w:rsidRDefault="009B1B4B">
            <w:pPr>
              <w:spacing w:line="250" w:lineRule="auto"/>
            </w:pPr>
            <w:r>
              <w:rPr>
                <w:sz w:val="18"/>
                <w:szCs w:val="18"/>
              </w:rPr>
              <w:t>Wachstumsregionen bauen Infrastruktur oft langsamer nach als Bevölkerung</w:t>
            </w:r>
          </w:p>
        </w:tc>
      </w:tr>
      <w:tr w:rsidR="00C1548D" w14:paraId="70A4D0A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A8" w14:textId="77777777" w:rsidR="00C1548D" w:rsidRDefault="009B1B4B">
            <w:pPr>
              <w:spacing w:line="250" w:lineRule="auto"/>
            </w:pPr>
            <w:r>
              <w:rPr>
                <w:sz w:val="18"/>
                <w:szCs w:val="18"/>
              </w:rPr>
              <w:t>Halbleiter- und Energieprojekte schaffen neue, gut bezahlte Stellen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A9" w14:textId="77777777" w:rsidR="00C1548D" w:rsidRDefault="009B1B4B">
            <w:pPr>
              <w:spacing w:line="250" w:lineRule="auto"/>
            </w:pPr>
            <w:r>
              <w:rPr>
                <w:sz w:val="18"/>
                <w:szCs w:val="18"/>
              </w:rPr>
              <w:t>Viele Projekte, etwa in Ohio, liegen noch Jahre in der Zukunft</w:t>
            </w:r>
          </w:p>
        </w:tc>
      </w:tr>
      <w:tr w:rsidR="00C1548D" w14:paraId="70A4D0A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AB" w14:textId="77777777" w:rsidR="00C1548D" w:rsidRDefault="009B1B4B">
            <w:pPr>
              <w:spacing w:line="250" w:lineRule="auto"/>
            </w:pPr>
            <w:r>
              <w:rPr>
                <w:sz w:val="18"/>
                <w:szCs w:val="18"/>
              </w:rPr>
              <w:t>Große Metropolregionen bieten Direktflüge und deutsche Community</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AC" w14:textId="77777777" w:rsidR="00C1548D" w:rsidRDefault="009B1B4B">
            <w:pPr>
              <w:spacing w:line="250" w:lineRule="auto"/>
            </w:pPr>
            <w:r>
              <w:rPr>
                <w:sz w:val="18"/>
                <w:szCs w:val="18"/>
              </w:rPr>
              <w:t>Genau diese Regionen sind meist am teuersten</w:t>
            </w:r>
          </w:p>
        </w:tc>
      </w:tr>
      <w:tr w:rsidR="00C1548D" w14:paraId="70A4D0B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AE" w14:textId="77777777" w:rsidR="00C1548D" w:rsidRDefault="009B1B4B">
            <w:pPr>
              <w:spacing w:line="250" w:lineRule="auto"/>
            </w:pPr>
            <w:r>
              <w:rPr>
                <w:sz w:val="18"/>
                <w:szCs w:val="18"/>
              </w:rPr>
              <w:t>Kleinere Städte bieten deutlich günstigeren Wohnraum</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AF" w14:textId="77777777" w:rsidR="00C1548D" w:rsidRDefault="009B1B4B">
            <w:pPr>
              <w:spacing w:line="250" w:lineRule="auto"/>
            </w:pPr>
            <w:r>
              <w:rPr>
                <w:sz w:val="18"/>
                <w:szCs w:val="18"/>
              </w:rPr>
              <w:t>Niedrigere Gehälter, seltener Direktflug, kleinere deutsche Community</w:t>
            </w:r>
          </w:p>
        </w:tc>
      </w:tr>
      <w:tr w:rsidR="00C1548D" w14:paraId="70A4D0B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B1" w14:textId="77777777" w:rsidR="00C1548D" w:rsidRDefault="009B1B4B">
            <w:pPr>
              <w:spacing w:line="250" w:lineRule="auto"/>
            </w:pPr>
            <w:r>
              <w:rPr>
                <w:sz w:val="18"/>
                <w:szCs w:val="18"/>
              </w:rPr>
              <w:t>Der erste Job bringt oft einen konkreten, planbaren Ort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B2" w14:textId="77777777" w:rsidR="00C1548D" w:rsidRDefault="009B1B4B">
            <w:pPr>
              <w:spacing w:line="250" w:lineRule="auto"/>
            </w:pPr>
            <w:r>
              <w:rPr>
                <w:sz w:val="18"/>
                <w:szCs w:val="18"/>
              </w:rPr>
              <w:t>Wenig Mitsprache bei der Wahl, solange das Visum an den Arbeitgeber bindet</w:t>
            </w:r>
          </w:p>
        </w:tc>
      </w:tr>
    </w:tbl>
    <w:p w14:paraId="70A4D0B4" w14:textId="77777777" w:rsidR="00C1548D" w:rsidRDefault="00C1548D">
      <w:pPr>
        <w:spacing w:line="180" w:lineRule="exact"/>
      </w:pPr>
    </w:p>
    <w:p w14:paraId="70A4D0B5" w14:textId="77777777" w:rsidR="00C1548D" w:rsidRDefault="009B1B4B">
      <w:pPr>
        <w:pStyle w:val="Heading3"/>
        <w:keepNext/>
        <w:jc w:val="center"/>
      </w:pPr>
      <w:r>
        <w:rPr>
          <w:rFonts w:ascii="Amazon Ember" w:eastAsia="Amazon Ember" w:hAnsi="Amazon Ember" w:cs="Amazon Ember"/>
          <w:color w:val="0000FF"/>
          <w:sz w:val="36"/>
          <w:szCs w:val="36"/>
        </w:rPr>
        <w:t>Der erste Schritt: ein Jahr mieten, dann entscheiden</w:t>
      </w:r>
    </w:p>
    <w:p w14:paraId="70A4D0B6" w14:textId="1C857D34" w:rsidR="00C1548D" w:rsidRDefault="009B1B4B">
      <w:pPr>
        <w:spacing w:after="140"/>
      </w:pPr>
      <w:r>
        <w:t>Auch wenn du frei wählen kannst: Kaufe im ersten Jahr nicht. Ein Hauskauf kostet beim Ein- und beim Ausstieg zusammen rund 10 % des Preises an Neben- und Verkaufskosten (Kapitel </w:t>
      </w:r>
      <w:hyperlink w:anchor="k14" w:history="1">
        <w:r>
          <w:t>14</w:t>
        </w:r>
      </w:hyperlink>
      <w:r>
        <w:t xml:space="preserve">) – bei einem 500.000-$-Haus etwa 50.000 $, die bei einem Umzug innerhalb weniger Jahre meist verloren sind. Die Kreditprogramme für Käufer ohne US-Kredithistorie verlangen zudem 20 bis 50 % Anzahlung und </w:t>
      </w:r>
      <w:r>
        <w:lastRenderedPageBreak/>
        <w:t>höhere Zinsen; FHA-Kredite stehen Visuminhabern seit Mai 2025 gar nicht mehr offen (Kapitel </w:t>
      </w:r>
      <w:hyperlink w:anchor="k14" w:history="1">
        <w:r>
          <w:t>14</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0B9"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0B7" w14:textId="77777777" w:rsidR="00C1548D" w:rsidRDefault="009B1B4B">
            <w:pPr>
              <w:keepNext/>
              <w:spacing w:after="70" w:line="240" w:lineRule="auto"/>
            </w:pPr>
            <w:r>
              <w:rPr>
                <w:b/>
                <w:bCs/>
                <w:color w:val="2F6B3B"/>
                <w:spacing w:val="24"/>
                <w:sz w:val="16"/>
                <w:szCs w:val="16"/>
              </w:rPr>
              <w:t>SPARTIPP</w:t>
            </w:r>
          </w:p>
          <w:p w14:paraId="70A4D0B8" w14:textId="6681F7A9" w:rsidR="00C1548D" w:rsidRDefault="009B1B4B">
            <w:pPr>
              <w:spacing w:after="80" w:line="264" w:lineRule="auto"/>
            </w:pPr>
            <w:r>
              <w:rPr>
                <w:sz w:val="20"/>
                <w:szCs w:val="20"/>
              </w:rPr>
              <w:t>Miete das erste Jahr, auch wenn du überzeugt bist, langfristig zu bleiben. Du lernst Viertel, Schuldistrikt und Pendelzeiten aus eigener Erfahrung kennen, baust nebenbei eine US-Kredithistorie auf (Kapitel </w:t>
            </w:r>
            <w:hyperlink w:anchor="k25" w:history="1">
              <w:r>
                <w:rPr>
                  <w:sz w:val="20"/>
                  <w:szCs w:val="20"/>
                </w:rPr>
                <w:t>25</w:t>
              </w:r>
            </w:hyperlink>
            <w:r>
              <w:rPr>
                <w:sz w:val="20"/>
                <w:szCs w:val="20"/>
              </w:rPr>
              <w:t>) und behältst die Flexibilität, falls Job, Familie oder Aufenthaltsstatus sich ändern (Kapitel </w:t>
            </w:r>
            <w:hyperlink w:anchor="k30" w:history="1">
              <w:r>
                <w:rPr>
                  <w:sz w:val="20"/>
                  <w:szCs w:val="20"/>
                </w:rPr>
                <w:t>30</w:t>
              </w:r>
            </w:hyperlink>
            <w:r>
              <w:rPr>
                <w:sz w:val="20"/>
                <w:szCs w:val="20"/>
              </w:rPr>
              <w:t>). Erst danach lohnt sich der Vergleich von Miete und Kauf (Kapitel </w:t>
            </w:r>
            <w:hyperlink w:anchor="k13" w:history="1">
              <w:r>
                <w:rPr>
                  <w:sz w:val="20"/>
                  <w:szCs w:val="20"/>
                </w:rPr>
                <w:t>13</w:t>
              </w:r>
            </w:hyperlink>
            <w:r>
              <w:rPr>
                <w:sz w:val="20"/>
                <w:szCs w:val="20"/>
              </w:rPr>
              <w:t>, Kapitel </w:t>
            </w:r>
            <w:hyperlink w:anchor="k14" w:history="1">
              <w:r>
                <w:rPr>
                  <w:sz w:val="20"/>
                  <w:szCs w:val="20"/>
                </w:rPr>
                <w:t>14</w:t>
              </w:r>
            </w:hyperlink>
            <w:r>
              <w:rPr>
                <w:sz w:val="20"/>
                <w:szCs w:val="20"/>
              </w:rPr>
              <w:t>).</w:t>
            </w:r>
          </w:p>
        </w:tc>
      </w:tr>
    </w:tbl>
    <w:p w14:paraId="70A4D0BA" w14:textId="77777777" w:rsidR="00C1548D" w:rsidRDefault="00C1548D">
      <w:pPr>
        <w:spacing w:line="220" w:lineRule="exact"/>
      </w:pPr>
    </w:p>
    <w:p w14:paraId="70A4D0BB"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0BC" w14:textId="0421813D" w:rsidR="00C1548D" w:rsidRDefault="009B1B4B">
      <w:pPr>
        <w:spacing w:after="140"/>
      </w:pPr>
      <w: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w:t>
      </w:r>
      <w:hyperlink w:anchor="k3" w:history="1">
        <w:r>
          <w:t>3</w:t>
        </w:r>
      </w:hyperlink>
      <w:r>
        <w:t>, bevor du unterschreibst. Und plane von Anfang an mit einem Umzug in den ersten Jahren – das ist in den USA normal (Kapitel </w:t>
      </w:r>
      <w:hyperlink w:anchor="k30" w:history="1">
        <w:r>
          <w:t>30</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0C8"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0BD" w14:textId="77777777" w:rsidR="00C1548D" w:rsidRDefault="009B1B4B">
            <w:pPr>
              <w:keepNext/>
              <w:spacing w:after="70" w:line="240" w:lineRule="auto"/>
            </w:pPr>
            <w:r>
              <w:rPr>
                <w:b/>
                <w:bCs/>
                <w:color w:val="1F6F78"/>
                <w:spacing w:val="24"/>
                <w:sz w:val="16"/>
                <w:szCs w:val="16"/>
              </w:rPr>
              <w:lastRenderedPageBreak/>
              <w:t>CHECKLISTE</w:t>
            </w:r>
          </w:p>
          <w:p w14:paraId="70A4D0BE" w14:textId="4917C343"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Nettogehalt nach Bundes-, Landes- und gegebenenfalls Kommunalsteuer für den Zielort berechnet (Kapitel </w:t>
            </w:r>
            <w:hyperlink w:anchor="k3" w:history="1">
              <w:r>
                <w:rPr>
                  <w:sz w:val="20"/>
                  <w:szCs w:val="20"/>
                </w:rPr>
                <w:t>3</w:t>
              </w:r>
            </w:hyperlink>
            <w:r>
              <w:rPr>
                <w:sz w:val="20"/>
                <w:szCs w:val="20"/>
              </w:rPr>
              <w:t>, Kapitel </w:t>
            </w:r>
            <w:hyperlink w:anchor="k28" w:history="1">
              <w:r>
                <w:rPr>
                  <w:sz w:val="20"/>
                  <w:szCs w:val="20"/>
                </w:rPr>
                <w:t>28</w:t>
              </w:r>
            </w:hyperlink>
            <w:r>
              <w:rPr>
                <w:sz w:val="20"/>
                <w:szCs w:val="20"/>
              </w:rPr>
              <w:t>)</w:t>
            </w:r>
          </w:p>
          <w:p w14:paraId="70A4D0BF" w14:textId="7095F0B2"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Kauf- und Mietpreise der Zielregion mit dem eigenen Budget verglichen (Kapitel </w:t>
            </w:r>
            <w:hyperlink w:anchor="k13" w:history="1">
              <w:r>
                <w:rPr>
                  <w:sz w:val="20"/>
                  <w:szCs w:val="20"/>
                </w:rPr>
                <w:t>13</w:t>
              </w:r>
            </w:hyperlink>
            <w:r>
              <w:rPr>
                <w:sz w:val="20"/>
                <w:szCs w:val="20"/>
              </w:rPr>
              <w:t>, Kapitel </w:t>
            </w:r>
            <w:hyperlink w:anchor="k14" w:history="1">
              <w:r>
                <w:rPr>
                  <w:sz w:val="20"/>
                  <w:szCs w:val="20"/>
                </w:rPr>
                <w:t>14</w:t>
              </w:r>
            </w:hyperlink>
            <w:r>
              <w:rPr>
                <w:sz w:val="20"/>
                <w:szCs w:val="20"/>
              </w:rPr>
              <w:t>)</w:t>
            </w:r>
          </w:p>
          <w:p w14:paraId="70A4D0C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Naturgefahren der Region recherchiert und Versicherbarkeit grob eingeschätzt</w:t>
            </w:r>
          </w:p>
          <w:p w14:paraId="70A4D0C1" w14:textId="00AAA932"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Schuldistrikt geprüft, falls Kinder mitziehen (Kapitel </w:t>
            </w:r>
            <w:hyperlink w:anchor="k36" w:history="1">
              <w:r>
                <w:rPr>
                  <w:sz w:val="20"/>
                  <w:szCs w:val="20"/>
                </w:rPr>
                <w:t>36</w:t>
              </w:r>
            </w:hyperlink>
            <w:r>
              <w:rPr>
                <w:sz w:val="20"/>
                <w:szCs w:val="20"/>
              </w:rPr>
              <w:t>)</w:t>
            </w:r>
          </w:p>
          <w:p w14:paraId="70A4D0C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Direktflugverbindung oder realistische Umsteigezeit nach Deutschland ermittelt</w:t>
            </w:r>
          </w:p>
          <w:p w14:paraId="70A4D0C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Deutsche Community, Konsulat, Goethe-Institut oder deutsche Schule am Zielort recherchiert, falls relevant</w:t>
            </w:r>
          </w:p>
          <w:p w14:paraId="70A4D0C4" w14:textId="0ECC6900"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Geklärt, ob am Wohnort ein Auto nötig ist, und Budget dafür eingeplant (Kapitel </w:t>
            </w:r>
            <w:hyperlink w:anchor="k27" w:history="1">
              <w:r>
                <w:rPr>
                  <w:sz w:val="20"/>
                  <w:szCs w:val="20"/>
                </w:rPr>
                <w:t>27</w:t>
              </w:r>
            </w:hyperlink>
            <w:r>
              <w:rPr>
                <w:sz w:val="20"/>
                <w:szCs w:val="20"/>
              </w:rPr>
              <w:t>)</w:t>
            </w:r>
          </w:p>
          <w:p w14:paraId="70A4D0C5" w14:textId="3316221D"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Beim Arbeitgeber nachgefragt, wie genau das Beschäftigungsgebiet der Petition definiert ist (Kapitel </w:t>
            </w:r>
            <w:hyperlink w:anchor="k30" w:history="1">
              <w:r>
                <w:rPr>
                  <w:sz w:val="20"/>
                  <w:szCs w:val="20"/>
                </w:rPr>
                <w:t>30</w:t>
              </w:r>
            </w:hyperlink>
            <w:r>
              <w:rPr>
                <w:sz w:val="20"/>
                <w:szCs w:val="20"/>
              </w:rPr>
              <w:t>)</w:t>
            </w:r>
          </w:p>
          <w:p w14:paraId="70A4D0C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Entschieden, das erste Jahr zu mieten statt zu kaufen</w:t>
            </w:r>
          </w:p>
          <w:p w14:paraId="70A4D0C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Halbleiter-, Automobil- oder Energie-Jobs den aktuellen Projektstand direkt beim Arbeitgeber erfragt, nicht nur Presseankündigungen</w:t>
            </w:r>
          </w:p>
        </w:tc>
      </w:tr>
    </w:tbl>
    <w:p w14:paraId="70A4D0C9" w14:textId="77777777" w:rsidR="00C1548D" w:rsidRDefault="00C1548D">
      <w:pPr>
        <w:spacing w:line="220" w:lineRule="exact"/>
      </w:pPr>
    </w:p>
    <w:p w14:paraId="70A4D0CA"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0CB" w14:textId="4F4F6FE6" w:rsidR="00C1548D" w:rsidRDefault="009B1B4B" w:rsidP="009B1B4B">
      <w:pPr>
        <w:pStyle w:val="ListParagraph"/>
        <w:numPr>
          <w:ilvl w:val="0"/>
          <w:numId w:val="1"/>
        </w:numPr>
        <w:spacing w:after="60"/>
      </w:pPr>
      <w:r>
        <w:t xml:space="preserve">U.S. Bureau of Labor Statistics, Gehälter und Berufsausblick — </w:t>
      </w:r>
      <w:hyperlink r:id="rId108" w:history="1">
        <w:r>
          <w:rPr>
            <w:color w:val="0563C1"/>
            <w:u w:val="single"/>
          </w:rPr>
          <w:t>bls.gov</w:t>
        </w:r>
      </w:hyperlink>
    </w:p>
    <w:p w14:paraId="70A4D0CC" w14:textId="3F3E6A5C" w:rsidR="00C1548D" w:rsidRDefault="009B1B4B" w:rsidP="009B1B4B">
      <w:pPr>
        <w:pStyle w:val="ListParagraph"/>
        <w:numPr>
          <w:ilvl w:val="0"/>
          <w:numId w:val="1"/>
        </w:numPr>
        <w:spacing w:after="60"/>
      </w:pPr>
      <w:r>
        <w:t xml:space="preserve">National Association of Realtors, Metro-Kaufpreise — </w:t>
      </w:r>
      <w:hyperlink r:id="rId109" w:history="1">
        <w:r>
          <w:rPr>
            <w:color w:val="0563C1"/>
            <w:u w:val="single"/>
          </w:rPr>
          <w:t>nar.realtor</w:t>
        </w:r>
      </w:hyperlink>
    </w:p>
    <w:p w14:paraId="70A4D0CD" w14:textId="3A9B089E" w:rsidR="00C1548D" w:rsidRDefault="009B1B4B" w:rsidP="009B1B4B">
      <w:pPr>
        <w:pStyle w:val="ListParagraph"/>
        <w:numPr>
          <w:ilvl w:val="0"/>
          <w:numId w:val="1"/>
        </w:numPr>
        <w:spacing w:after="60"/>
      </w:pPr>
      <w:r>
        <w:t xml:space="preserve">Zumper National Rent Report — </w:t>
      </w:r>
      <w:hyperlink r:id="rId110" w:history="1">
        <w:r>
          <w:rPr>
            <w:color w:val="0563C1"/>
            <w:u w:val="single"/>
          </w:rPr>
          <w:t>zumper.com/rent-research</w:t>
        </w:r>
      </w:hyperlink>
    </w:p>
    <w:p w14:paraId="70A4D0CE" w14:textId="5034F4CD" w:rsidR="00C1548D" w:rsidRDefault="009B1B4B" w:rsidP="009B1B4B">
      <w:pPr>
        <w:pStyle w:val="ListParagraph"/>
        <w:numPr>
          <w:ilvl w:val="0"/>
          <w:numId w:val="1"/>
        </w:numPr>
        <w:spacing w:after="60"/>
      </w:pPr>
      <w:r>
        <w:t xml:space="preserve">U.S. Census Bureau, Bevölkerungs- und Wanderungsdaten — </w:t>
      </w:r>
      <w:hyperlink r:id="rId111" w:history="1">
        <w:r>
          <w:rPr>
            <w:color w:val="0563C1"/>
            <w:u w:val="single"/>
          </w:rPr>
          <w:t>census.gov</w:t>
        </w:r>
      </w:hyperlink>
    </w:p>
    <w:p w14:paraId="70A4D0CF" w14:textId="12418ADB" w:rsidR="00C1548D" w:rsidRDefault="009B1B4B" w:rsidP="009B1B4B">
      <w:pPr>
        <w:pStyle w:val="ListParagraph"/>
        <w:numPr>
          <w:ilvl w:val="0"/>
          <w:numId w:val="1"/>
        </w:numPr>
        <w:spacing w:after="60"/>
      </w:pPr>
      <w:r>
        <w:t xml:space="preserve">Tax Foundation, Bundesstaatensteuern — </w:t>
      </w:r>
      <w:hyperlink r:id="rId112" w:history="1">
        <w:r>
          <w:rPr>
            <w:color w:val="0563C1"/>
            <w:u w:val="single"/>
          </w:rPr>
          <w:t>taxfoundation.org</w:t>
        </w:r>
      </w:hyperlink>
    </w:p>
    <w:p w14:paraId="70A4D0D0" w14:textId="69C6E049" w:rsidR="00C1548D" w:rsidRDefault="009B1B4B" w:rsidP="009B1B4B">
      <w:pPr>
        <w:pStyle w:val="ListParagraph"/>
        <w:numPr>
          <w:ilvl w:val="0"/>
          <w:numId w:val="1"/>
        </w:numPr>
        <w:spacing w:after="60"/>
      </w:pPr>
      <w:r>
        <w:t xml:space="preserve">USCIS, H-1B und Arbeitgeberwechsel — </w:t>
      </w:r>
      <w:hyperlink r:id="rId113" w:history="1">
        <w:r>
          <w:rPr>
            <w:color w:val="0563C1"/>
            <w:u w:val="single"/>
          </w:rPr>
          <w:t>uscis.gov</w:t>
        </w:r>
      </w:hyperlink>
    </w:p>
    <w:p w14:paraId="70A4D0D1"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0D4"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0D2" w14:textId="77777777" w:rsidR="00C1548D" w:rsidRDefault="009B1B4B">
            <w:pPr>
              <w:keepNext/>
              <w:spacing w:after="70" w:line="240" w:lineRule="auto"/>
            </w:pPr>
            <w:r>
              <w:rPr>
                <w:b/>
                <w:bCs/>
                <w:color w:val="6B7280"/>
                <w:spacing w:val="24"/>
                <w:sz w:val="16"/>
                <w:szCs w:val="16"/>
              </w:rPr>
              <w:lastRenderedPageBreak/>
              <w:t>STAND</w:t>
            </w:r>
          </w:p>
          <w:p w14:paraId="70A4D0D3" w14:textId="77777777" w:rsidR="00C1548D" w:rsidRDefault="009B1B4B">
            <w:pPr>
              <w:spacing w:after="80" w:line="264" w:lineRule="auto"/>
            </w:pPr>
            <w:r>
              <w:rPr>
                <w:sz w:val="20"/>
                <w:szCs w:val="20"/>
              </w:rPr>
              <w:t>September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tc>
      </w:tr>
    </w:tbl>
    <w:p w14:paraId="70A4D0D5" w14:textId="77777777" w:rsidR="00C1548D" w:rsidRDefault="00C1548D">
      <w:pPr>
        <w:spacing w:line="220" w:lineRule="exact"/>
      </w:pPr>
    </w:p>
    <w:p w14:paraId="70A4D0D6" w14:textId="77777777" w:rsidR="00C1548D" w:rsidRDefault="009B1B4B">
      <w:pPr>
        <w:pStyle w:val="Heading2"/>
        <w:keepNext/>
        <w:pageBreakBefore/>
        <w:jc w:val="center"/>
      </w:pPr>
      <w:bookmarkStart w:id="34" w:name="k13"/>
      <w:bookmarkStart w:id="35" w:name="_Toc241352464"/>
      <w:r>
        <w:rPr>
          <w:rFonts w:ascii="Amazon Ember" w:eastAsia="Amazon Ember" w:hAnsi="Amazon Ember" w:cs="Amazon Ember"/>
          <w:color w:val="0000FF"/>
          <w:sz w:val="36"/>
          <w:szCs w:val="36"/>
        </w:rPr>
        <w:lastRenderedPageBreak/>
        <w:t>Kapitel 13: Mieten in den USA</w:t>
      </w:r>
      <w:bookmarkEnd w:id="34"/>
      <w:bookmarkEnd w:id="35"/>
    </w:p>
    <w:p w14:paraId="70A4D0D7" w14:textId="77777777" w:rsidR="00C1548D" w:rsidRDefault="009B1B4B">
      <w:pPr>
        <w:spacing w:after="140"/>
      </w:pPr>
      <w:r>
        <w:t xml:space="preserve">Die Hausverwaltung in Seattle antwortet binnen einer Stunde: Wohnung frei, Einkommen ausreichend, Visum gültig. Nur ein Feld im Antrag bleibt leer, der </w:t>
      </w:r>
      <w:r>
        <w:rPr>
          <w:i/>
          <w:iCs/>
        </w:rPr>
        <w:t>Credit Score</w:t>
      </w:r>
      <w:r>
        <w:t>, die Kreditwürdigkeit nach US-Art. Du hast keinen schlechten, du hast gar keinen. An dieser Stelle scheitern viele Neuankömmlinge, und deshalb lohnt sich Vorbereitung, bevor du das erste Inserat öffnest.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0DE"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0D8" w14:textId="77777777" w:rsidR="00C1548D" w:rsidRDefault="009B1B4B">
            <w:pPr>
              <w:keepNext/>
              <w:spacing w:after="70" w:line="240" w:lineRule="auto"/>
            </w:pPr>
            <w:r>
              <w:rPr>
                <w:b/>
                <w:bCs/>
                <w:color w:val="1F3A5F"/>
                <w:spacing w:val="24"/>
                <w:sz w:val="16"/>
                <w:szCs w:val="16"/>
              </w:rPr>
              <w:t>KURZ GESAGT</w:t>
            </w:r>
          </w:p>
          <w:p w14:paraId="70A4D0D9" w14:textId="77777777" w:rsidR="00C1548D" w:rsidRDefault="009B1B4B" w:rsidP="009B1B4B">
            <w:pPr>
              <w:pStyle w:val="ListParagraph"/>
              <w:numPr>
                <w:ilvl w:val="0"/>
                <w:numId w:val="1"/>
              </w:numPr>
              <w:spacing w:after="50" w:line="264" w:lineRule="auto"/>
            </w:pPr>
            <w:r>
              <w:rPr>
                <w:sz w:val="20"/>
                <w:szCs w:val="20"/>
              </w:rPr>
              <w:t>Standard ist ein Mietvertrag über zwölf Monate; verlangt wird meist ein Bruttoeinkommen vom Dreifachen der Monatsmiete (Faustregel, kein Gesetz).</w:t>
            </w:r>
          </w:p>
          <w:p w14:paraId="70A4D0DA" w14:textId="77777777" w:rsidR="00C1548D" w:rsidRDefault="009B1B4B" w:rsidP="009B1B4B">
            <w:pPr>
              <w:pStyle w:val="ListParagraph"/>
              <w:numPr>
                <w:ilvl w:val="0"/>
                <w:numId w:val="1"/>
              </w:numPr>
              <w:spacing w:after="50" w:line="264" w:lineRule="auto"/>
            </w:pPr>
            <w:r>
              <w:rPr>
                <w:sz w:val="20"/>
                <w:szCs w:val="20"/>
              </w:rPr>
              <w:t>Ohne US-Kredithistorie helfen Arbeitgeberbrief, Bürgschaftsdienst, Vorauszahlung oder ein Übergang über möbliertes Wohnen auf Zeit (</w:t>
            </w:r>
            <w:r>
              <w:rPr>
                <w:i/>
                <w:iCs/>
                <w:sz w:val="20"/>
                <w:szCs w:val="20"/>
              </w:rPr>
              <w:t>Corporate Housing</w:t>
            </w:r>
            <w:r>
              <w:rPr>
                <w:sz w:val="20"/>
                <w:szCs w:val="20"/>
              </w:rPr>
              <w:t>).</w:t>
            </w:r>
          </w:p>
          <w:p w14:paraId="70A4D0DB" w14:textId="77777777" w:rsidR="00C1548D" w:rsidRDefault="009B1B4B" w:rsidP="009B1B4B">
            <w:pPr>
              <w:pStyle w:val="ListParagraph"/>
              <w:numPr>
                <w:ilvl w:val="0"/>
                <w:numId w:val="1"/>
              </w:numPr>
              <w:spacing w:after="50" w:line="264" w:lineRule="auto"/>
            </w:pPr>
            <w:r>
              <w:rPr>
                <w:sz w:val="20"/>
                <w:szCs w:val="20"/>
              </w:rPr>
              <w:t>Mietrecht ist Ländersache: Kaution, Gebühren, Fristen und Mieterhöhungen unterscheiden sich je Bundesstaat und Stadt.</w:t>
            </w:r>
          </w:p>
          <w:p w14:paraId="70A4D0DC" w14:textId="77777777" w:rsidR="00C1548D" w:rsidRDefault="009B1B4B" w:rsidP="009B1B4B">
            <w:pPr>
              <w:pStyle w:val="ListParagraph"/>
              <w:numPr>
                <w:ilvl w:val="0"/>
                <w:numId w:val="1"/>
              </w:numPr>
              <w:spacing w:after="50" w:line="264" w:lineRule="auto"/>
            </w:pPr>
            <w:r>
              <w:rPr>
                <w:sz w:val="20"/>
                <w:szCs w:val="20"/>
              </w:rPr>
              <w:t>Beim Einzug fallen erste Miete, Kaution und Gebühren an, je nach Stadt grob 3.000–15.000 $; Nebenkosten und Versicherung kommen hinzu.</w:t>
            </w:r>
          </w:p>
          <w:p w14:paraId="70A4D0DD" w14:textId="77777777" w:rsidR="00C1548D" w:rsidRDefault="009B1B4B" w:rsidP="009B1B4B">
            <w:pPr>
              <w:pStyle w:val="ListParagraph"/>
              <w:numPr>
                <w:ilvl w:val="0"/>
                <w:numId w:val="1"/>
              </w:numPr>
              <w:spacing w:after="50" w:line="264" w:lineRule="auto"/>
            </w:pPr>
            <w:r>
              <w:rPr>
                <w:sz w:val="20"/>
                <w:szCs w:val="20"/>
              </w:rPr>
              <w:t>Die häufigsten Fallen: Fake-Inserate mit Vorauszahlung, versteckte Zusatzgebühren und in New York die Maklergebühr (seit Juni 2025 neu geregelt).</w:t>
            </w:r>
          </w:p>
        </w:tc>
      </w:tr>
    </w:tbl>
    <w:p w14:paraId="70A4D0DF" w14:textId="77777777" w:rsidR="00C1548D" w:rsidRDefault="00C1548D">
      <w:pPr>
        <w:spacing w:line="220" w:lineRule="exact"/>
      </w:pPr>
    </w:p>
    <w:p w14:paraId="70A4D0E0" w14:textId="77777777" w:rsidR="00C1548D" w:rsidRDefault="009B1B4B">
      <w:pPr>
        <w:pStyle w:val="Heading3"/>
        <w:keepNext/>
        <w:jc w:val="center"/>
      </w:pPr>
      <w:r>
        <w:rPr>
          <w:rFonts w:ascii="Amazon Ember" w:eastAsia="Amazon Ember" w:hAnsi="Amazon Ember" w:cs="Amazon Ember"/>
          <w:color w:val="0000FF"/>
          <w:sz w:val="36"/>
          <w:szCs w:val="36"/>
        </w:rPr>
        <w:t>Wohnungssuche: Portale, Größen, Zeitplan</w:t>
      </w:r>
    </w:p>
    <w:p w14:paraId="70A4D0E1" w14:textId="77777777" w:rsidR="00C1548D" w:rsidRDefault="009B1B4B">
      <w:pPr>
        <w:spacing w:after="140"/>
      </w:pPr>
      <w:r>
        <w:t>Die Suche läuft fast ausschließlich online: Portale wie Zillow, Apartments.com, Apartment List, Zumper und Realtor.com bündeln Inserate von Hausverwaltungen und Privatvermietern, mit Filtern für Preis, Zimmerzahl, Haustiere und Einzugsdatum. Große Wohnanlagen (</w:t>
      </w:r>
      <w:r>
        <w:rPr>
          <w:i/>
          <w:iCs/>
        </w:rPr>
        <w:t>Apartment Communities</w:t>
      </w:r>
      <w:r>
        <w:t xml:space="preserve">) führen freie Einheiten oft </w:t>
      </w:r>
      <w:r>
        <w:lastRenderedPageBreak/>
        <w:t>zusätzlich auf der eigenen Website. Auf Craigslist und Facebook Marketplace ist das Betrugsrisiko am höchsten (siehe unten).</w:t>
      </w:r>
    </w:p>
    <w:p w14:paraId="70A4D0E2" w14:textId="77777777" w:rsidR="00C1548D" w:rsidRDefault="009B1B4B">
      <w:pPr>
        <w:spacing w:after="140"/>
      </w:pPr>
      <w:r>
        <w:t xml:space="preserve">Verbreiteter Irrtum: Eine „2BR“-Wohnung hat zwei Zimmer, wie die Zahl suggeriert. Tatsächlich zählt die US-Zimmerzählung nur Schlafzimmer, Wohnzimmer und Küche bleiben außen vor – und weicht damit von Deutschland ab: Ein </w:t>
      </w:r>
      <w:r>
        <w:rPr>
          <w:i/>
          <w:iCs/>
        </w:rPr>
        <w:t>Studio</w:t>
      </w:r>
      <w:r>
        <w:t xml:space="preserve"> ist ein Einraumapartment, eine </w:t>
      </w:r>
      <w:r>
        <w:rPr>
          <w:i/>
          <w:iCs/>
        </w:rPr>
        <w:t>1BR</w:t>
      </w:r>
      <w:r>
        <w:t xml:space="preserve"> (One Bedroom, mit abgetrenntem Schlafzimmer) entspricht einer deutschen Zweizimmerwohnung, eine 2BR einer Dreizimmerwohnung. In größeren Anlagen lag die Durchschnittsfläche zuletzt bei 460 sq ft (43 m²) fürs Studio, 735 sq ft (68 m²) für 1BR, 1.095 sq ft (102 m²) für 2BR und 1.355 sq ft (126 m²) für 3BR (RentCafe/Yardi, Daten 2025). Außerhalb der Zentren gibt es neben Wohnungen auch Reihen- und Einfamilienhäuser zur Miete.</w:t>
      </w:r>
    </w:p>
    <w:p w14:paraId="70A4D0E3" w14:textId="77777777" w:rsidR="00C1548D" w:rsidRDefault="009B1B4B">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w14:paraId="70A4D0E4" w14:textId="77777777" w:rsidR="00C1548D" w:rsidRDefault="009B1B4B">
      <w:pPr>
        <w:pStyle w:val="Heading3"/>
        <w:keepNext/>
        <w:jc w:val="center"/>
      </w:pPr>
      <w:r>
        <w:rPr>
          <w:rFonts w:ascii="Amazon Ember" w:eastAsia="Amazon Ember" w:hAnsi="Amazon Ember" w:cs="Amazon Ember"/>
          <w:color w:val="0000FF"/>
          <w:sz w:val="36"/>
          <w:szCs w:val="36"/>
        </w:rPr>
        <w:t>Typische Mieten: Spannen nach Stadt</w:t>
      </w:r>
    </w:p>
    <w:p w14:paraId="70A4D0E5" w14:textId="77777777" w:rsidR="00C1548D" w:rsidRDefault="009B1B4B">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3"/>
        <w:gridCol w:w="1609"/>
        <w:gridCol w:w="1609"/>
        <w:gridCol w:w="1609"/>
      </w:tblGrid>
      <w:tr w:rsidR="00C1548D" w14:paraId="70A4D0EA" w14:textId="77777777">
        <w:tblPrEx>
          <w:tblCellMar>
            <w:top w:w="0" w:type="dxa"/>
            <w:bottom w:w="0" w:type="dxa"/>
          </w:tblCellMar>
        </w:tblPrEx>
        <w:trPr>
          <w:cantSplit/>
          <w:tblHeader/>
        </w:trPr>
        <w:tc>
          <w:tcPr>
            <w:tcW w:w="16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E6" w14:textId="77777777" w:rsidR="00C1548D" w:rsidRDefault="009B1B4B">
            <w:pPr>
              <w:spacing w:line="250" w:lineRule="auto"/>
            </w:pPr>
            <w:r>
              <w:rPr>
                <w:b/>
                <w:bCs/>
                <w:sz w:val="18"/>
                <w:szCs w:val="18"/>
              </w:rPr>
              <w:t>Stadt</w:t>
            </w:r>
          </w:p>
        </w:tc>
        <w:tc>
          <w:tcPr>
            <w:tcW w:w="160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E7" w14:textId="77777777" w:rsidR="00C1548D" w:rsidRDefault="009B1B4B">
            <w:pPr>
              <w:spacing w:line="250" w:lineRule="auto"/>
            </w:pPr>
            <w:r>
              <w:rPr>
                <w:b/>
                <w:bCs/>
                <w:sz w:val="18"/>
                <w:szCs w:val="18"/>
              </w:rPr>
              <w:t>Alle Größen</w:t>
            </w:r>
          </w:p>
        </w:tc>
        <w:tc>
          <w:tcPr>
            <w:tcW w:w="160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E8" w14:textId="77777777" w:rsidR="00C1548D" w:rsidRDefault="009B1B4B">
            <w:pPr>
              <w:spacing w:line="250" w:lineRule="auto"/>
            </w:pPr>
            <w:r>
              <w:rPr>
                <w:b/>
                <w:bCs/>
                <w:sz w:val="18"/>
                <w:szCs w:val="18"/>
              </w:rPr>
              <w:t>1BR</w:t>
            </w:r>
          </w:p>
        </w:tc>
        <w:tc>
          <w:tcPr>
            <w:tcW w:w="160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0E9" w14:textId="77777777" w:rsidR="00C1548D" w:rsidRDefault="009B1B4B">
            <w:pPr>
              <w:spacing w:line="250" w:lineRule="auto"/>
            </w:pPr>
            <w:r>
              <w:rPr>
                <w:b/>
                <w:bCs/>
                <w:sz w:val="18"/>
                <w:szCs w:val="18"/>
              </w:rPr>
              <w:t>2BR</w:t>
            </w:r>
          </w:p>
        </w:tc>
      </w:tr>
      <w:tr w:rsidR="00C1548D" w14:paraId="70A4D0EF" w14:textId="77777777">
        <w:tblPrEx>
          <w:tblCellMar>
            <w:top w:w="0" w:type="dxa"/>
            <w:bottom w:w="0" w:type="dxa"/>
          </w:tblCellMar>
        </w:tblPrEx>
        <w:trPr>
          <w:cantSplit/>
        </w:trPr>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EB" w14:textId="77777777" w:rsidR="00C1548D" w:rsidRDefault="009B1B4B">
            <w:pPr>
              <w:spacing w:line="250" w:lineRule="auto"/>
            </w:pPr>
            <w:r>
              <w:rPr>
                <w:sz w:val="18"/>
                <w:szCs w:val="18"/>
              </w:rPr>
              <w:t>New York City</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EC" w14:textId="77777777" w:rsidR="00C1548D" w:rsidRDefault="009B1B4B">
            <w:pPr>
              <w:spacing w:line="250" w:lineRule="auto"/>
            </w:pPr>
            <w:r>
              <w:rPr>
                <w:sz w:val="18"/>
                <w:szCs w:val="18"/>
              </w:rPr>
              <w:t>5.204</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ED" w14:textId="77777777" w:rsidR="00C1548D" w:rsidRDefault="009B1B4B">
            <w:pPr>
              <w:spacing w:line="250" w:lineRule="auto"/>
            </w:pPr>
            <w:r>
              <w:rPr>
                <w:sz w:val="18"/>
                <w:szCs w:val="18"/>
              </w:rPr>
              <w:t>5.227</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EE" w14:textId="77777777" w:rsidR="00C1548D" w:rsidRDefault="009B1B4B">
            <w:pPr>
              <w:spacing w:line="250" w:lineRule="auto"/>
            </w:pPr>
            <w:r>
              <w:rPr>
                <w:sz w:val="18"/>
                <w:szCs w:val="18"/>
              </w:rPr>
              <w:t>5.698</w:t>
            </w:r>
          </w:p>
        </w:tc>
      </w:tr>
      <w:tr w:rsidR="00C1548D" w14:paraId="70A4D0F4" w14:textId="77777777">
        <w:tblPrEx>
          <w:tblCellMar>
            <w:top w:w="0" w:type="dxa"/>
            <w:bottom w:w="0" w:type="dxa"/>
          </w:tblCellMar>
        </w:tblPrEx>
        <w:trPr>
          <w:cantSplit/>
        </w:trPr>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0" w14:textId="77777777" w:rsidR="00C1548D" w:rsidRDefault="009B1B4B">
            <w:pPr>
              <w:spacing w:line="250" w:lineRule="auto"/>
            </w:pPr>
            <w:r>
              <w:rPr>
                <w:sz w:val="18"/>
                <w:szCs w:val="18"/>
              </w:rPr>
              <w:t>San Francisco</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1" w14:textId="77777777" w:rsidR="00C1548D" w:rsidRDefault="009B1B4B">
            <w:pPr>
              <w:spacing w:line="250" w:lineRule="auto"/>
            </w:pPr>
            <w:r>
              <w:rPr>
                <w:sz w:val="18"/>
                <w:szCs w:val="18"/>
              </w:rPr>
              <w:t>3.964</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2" w14:textId="77777777" w:rsidR="00C1548D" w:rsidRDefault="009B1B4B">
            <w:pPr>
              <w:spacing w:line="250" w:lineRule="auto"/>
            </w:pPr>
            <w:r>
              <w:rPr>
                <w:sz w:val="18"/>
                <w:szCs w:val="18"/>
              </w:rPr>
              <w:t>3.859</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3" w14:textId="77777777" w:rsidR="00C1548D" w:rsidRDefault="009B1B4B">
            <w:pPr>
              <w:spacing w:line="250" w:lineRule="auto"/>
            </w:pPr>
            <w:r>
              <w:rPr>
                <w:sz w:val="18"/>
                <w:szCs w:val="18"/>
              </w:rPr>
              <w:t>4.998</w:t>
            </w:r>
          </w:p>
        </w:tc>
      </w:tr>
      <w:tr w:rsidR="00C1548D" w14:paraId="70A4D0F9" w14:textId="77777777">
        <w:tblPrEx>
          <w:tblCellMar>
            <w:top w:w="0" w:type="dxa"/>
            <w:bottom w:w="0" w:type="dxa"/>
          </w:tblCellMar>
        </w:tblPrEx>
        <w:trPr>
          <w:cantSplit/>
        </w:trPr>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5" w14:textId="77777777" w:rsidR="00C1548D" w:rsidRDefault="009B1B4B">
            <w:pPr>
              <w:spacing w:line="250" w:lineRule="auto"/>
            </w:pPr>
            <w:r>
              <w:rPr>
                <w:sz w:val="18"/>
                <w:szCs w:val="18"/>
              </w:rPr>
              <w:lastRenderedPageBreak/>
              <w:t>Boston</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6" w14:textId="77777777" w:rsidR="00C1548D" w:rsidRDefault="009B1B4B">
            <w:pPr>
              <w:spacing w:line="250" w:lineRule="auto"/>
            </w:pPr>
            <w:r>
              <w:rPr>
                <w:sz w:val="18"/>
                <w:szCs w:val="18"/>
              </w:rPr>
              <w:t>3.710</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7" w14:textId="77777777" w:rsidR="00C1548D" w:rsidRDefault="009B1B4B">
            <w:pPr>
              <w:spacing w:line="250" w:lineRule="auto"/>
            </w:pPr>
            <w:r>
              <w:rPr>
                <w:sz w:val="18"/>
                <w:szCs w:val="18"/>
              </w:rPr>
              <w:t>3.414</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8" w14:textId="77777777" w:rsidR="00C1548D" w:rsidRDefault="009B1B4B">
            <w:pPr>
              <w:spacing w:line="250" w:lineRule="auto"/>
            </w:pPr>
            <w:r>
              <w:rPr>
                <w:sz w:val="18"/>
                <w:szCs w:val="18"/>
              </w:rPr>
              <w:t>4.320</w:t>
            </w:r>
          </w:p>
        </w:tc>
      </w:tr>
      <w:tr w:rsidR="00C1548D" w14:paraId="70A4D0FE" w14:textId="77777777">
        <w:tblPrEx>
          <w:tblCellMar>
            <w:top w:w="0" w:type="dxa"/>
            <w:bottom w:w="0" w:type="dxa"/>
          </w:tblCellMar>
        </w:tblPrEx>
        <w:trPr>
          <w:cantSplit/>
        </w:trPr>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A" w14:textId="77777777" w:rsidR="00C1548D" w:rsidRDefault="009B1B4B">
            <w:pPr>
              <w:spacing w:line="250" w:lineRule="auto"/>
            </w:pPr>
            <w:r>
              <w:rPr>
                <w:sz w:val="18"/>
                <w:szCs w:val="18"/>
              </w:rPr>
              <w:t>Chicago</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B" w14:textId="77777777" w:rsidR="00C1548D" w:rsidRDefault="009B1B4B">
            <w:pPr>
              <w:spacing w:line="250" w:lineRule="auto"/>
            </w:pPr>
            <w:r>
              <w:rPr>
                <w:sz w:val="18"/>
                <w:szCs w:val="18"/>
              </w:rPr>
              <w:t>2.529</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C" w14:textId="77777777" w:rsidR="00C1548D" w:rsidRDefault="009B1B4B">
            <w:pPr>
              <w:spacing w:line="250" w:lineRule="auto"/>
            </w:pPr>
            <w:r>
              <w:rPr>
                <w:sz w:val="18"/>
                <w:szCs w:val="18"/>
              </w:rPr>
              <w:t>2.461</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D" w14:textId="77777777" w:rsidR="00C1548D" w:rsidRDefault="009B1B4B">
            <w:pPr>
              <w:spacing w:line="250" w:lineRule="auto"/>
            </w:pPr>
            <w:r>
              <w:rPr>
                <w:sz w:val="18"/>
                <w:szCs w:val="18"/>
              </w:rPr>
              <w:t>3.321</w:t>
            </w:r>
          </w:p>
        </w:tc>
      </w:tr>
      <w:tr w:rsidR="00C1548D" w14:paraId="70A4D103" w14:textId="77777777">
        <w:tblPrEx>
          <w:tblCellMar>
            <w:top w:w="0" w:type="dxa"/>
            <w:bottom w:w="0" w:type="dxa"/>
          </w:tblCellMar>
        </w:tblPrEx>
        <w:trPr>
          <w:cantSplit/>
        </w:trPr>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0FF" w14:textId="77777777" w:rsidR="00C1548D" w:rsidRDefault="009B1B4B">
            <w:pPr>
              <w:spacing w:line="250" w:lineRule="auto"/>
            </w:pPr>
            <w:r>
              <w:rPr>
                <w:sz w:val="18"/>
                <w:szCs w:val="18"/>
              </w:rPr>
              <w:t>Seattle</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0" w14:textId="77777777" w:rsidR="00C1548D" w:rsidRDefault="009B1B4B">
            <w:pPr>
              <w:spacing w:line="250" w:lineRule="auto"/>
            </w:pPr>
            <w:r>
              <w:rPr>
                <w:sz w:val="18"/>
                <w:szCs w:val="18"/>
              </w:rPr>
              <w:t>2.253</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1" w14:textId="77777777" w:rsidR="00C1548D" w:rsidRDefault="009B1B4B">
            <w:pPr>
              <w:spacing w:line="250" w:lineRule="auto"/>
            </w:pPr>
            <w:r>
              <w:rPr>
                <w:sz w:val="18"/>
                <w:szCs w:val="18"/>
              </w:rPr>
              <w:t>2.217</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2" w14:textId="77777777" w:rsidR="00C1548D" w:rsidRDefault="009B1B4B">
            <w:pPr>
              <w:spacing w:line="250" w:lineRule="auto"/>
            </w:pPr>
            <w:r>
              <w:rPr>
                <w:sz w:val="18"/>
                <w:szCs w:val="18"/>
              </w:rPr>
              <w:t>2.878</w:t>
            </w:r>
          </w:p>
        </w:tc>
      </w:tr>
      <w:tr w:rsidR="00C1548D" w14:paraId="70A4D108" w14:textId="77777777">
        <w:tblPrEx>
          <w:tblCellMar>
            <w:top w:w="0" w:type="dxa"/>
            <w:bottom w:w="0" w:type="dxa"/>
          </w:tblCellMar>
        </w:tblPrEx>
        <w:trPr>
          <w:cantSplit/>
        </w:trPr>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4" w14:textId="77777777" w:rsidR="00C1548D" w:rsidRDefault="009B1B4B">
            <w:pPr>
              <w:spacing w:line="250" w:lineRule="auto"/>
            </w:pPr>
            <w:r>
              <w:rPr>
                <w:sz w:val="18"/>
                <w:szCs w:val="18"/>
              </w:rPr>
              <w:t>Denver</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5" w14:textId="77777777" w:rsidR="00C1548D" w:rsidRDefault="009B1B4B">
            <w:pPr>
              <w:spacing w:line="250" w:lineRule="auto"/>
            </w:pPr>
            <w:r>
              <w:rPr>
                <w:sz w:val="18"/>
                <w:szCs w:val="18"/>
              </w:rPr>
              <w:t>1.914</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6" w14:textId="77777777" w:rsidR="00C1548D" w:rsidRDefault="009B1B4B">
            <w:pPr>
              <w:spacing w:line="250" w:lineRule="auto"/>
            </w:pPr>
            <w:r>
              <w:rPr>
                <w:sz w:val="18"/>
                <w:szCs w:val="18"/>
              </w:rPr>
              <w:t>1.716</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7" w14:textId="77777777" w:rsidR="00C1548D" w:rsidRDefault="009B1B4B">
            <w:pPr>
              <w:spacing w:line="250" w:lineRule="auto"/>
            </w:pPr>
            <w:r>
              <w:rPr>
                <w:sz w:val="18"/>
                <w:szCs w:val="18"/>
              </w:rPr>
              <w:t>2.230</w:t>
            </w:r>
          </w:p>
        </w:tc>
      </w:tr>
      <w:tr w:rsidR="00C1548D" w14:paraId="70A4D10D" w14:textId="77777777">
        <w:tblPrEx>
          <w:tblCellMar>
            <w:top w:w="0" w:type="dxa"/>
            <w:bottom w:w="0" w:type="dxa"/>
          </w:tblCellMar>
        </w:tblPrEx>
        <w:trPr>
          <w:cantSplit/>
        </w:trPr>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9" w14:textId="77777777" w:rsidR="00C1548D" w:rsidRDefault="009B1B4B">
            <w:pPr>
              <w:spacing w:line="250" w:lineRule="auto"/>
            </w:pPr>
            <w:r>
              <w:rPr>
                <w:sz w:val="18"/>
                <w:szCs w:val="18"/>
              </w:rPr>
              <w:t>Atlanta</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A" w14:textId="77777777" w:rsidR="00C1548D" w:rsidRDefault="009B1B4B">
            <w:pPr>
              <w:spacing w:line="250" w:lineRule="auto"/>
            </w:pPr>
            <w:r>
              <w:rPr>
                <w:sz w:val="18"/>
                <w:szCs w:val="18"/>
              </w:rPr>
              <w:t>1.804</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B" w14:textId="77777777" w:rsidR="00C1548D" w:rsidRDefault="009B1B4B">
            <w:pPr>
              <w:spacing w:line="250" w:lineRule="auto"/>
            </w:pPr>
            <w:r>
              <w:rPr>
                <w:sz w:val="18"/>
                <w:szCs w:val="18"/>
              </w:rPr>
              <w:t>1.627</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C" w14:textId="77777777" w:rsidR="00C1548D" w:rsidRDefault="009B1B4B">
            <w:pPr>
              <w:spacing w:line="250" w:lineRule="auto"/>
            </w:pPr>
            <w:r>
              <w:rPr>
                <w:sz w:val="18"/>
                <w:szCs w:val="18"/>
              </w:rPr>
              <w:t>1.901</w:t>
            </w:r>
          </w:p>
        </w:tc>
      </w:tr>
      <w:tr w:rsidR="00C1548D" w14:paraId="70A4D112" w14:textId="77777777">
        <w:tblPrEx>
          <w:tblCellMar>
            <w:top w:w="0" w:type="dxa"/>
            <w:bottom w:w="0" w:type="dxa"/>
          </w:tblCellMar>
        </w:tblPrEx>
        <w:trPr>
          <w:cantSplit/>
        </w:trPr>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E" w14:textId="77777777" w:rsidR="00C1548D" w:rsidRDefault="009B1B4B">
            <w:pPr>
              <w:spacing w:line="250" w:lineRule="auto"/>
            </w:pPr>
            <w:r>
              <w:rPr>
                <w:sz w:val="18"/>
                <w:szCs w:val="18"/>
              </w:rPr>
              <w:t>Austin</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0F" w14:textId="77777777" w:rsidR="00C1548D" w:rsidRDefault="009B1B4B">
            <w:pPr>
              <w:spacing w:line="250" w:lineRule="auto"/>
            </w:pPr>
            <w:r>
              <w:rPr>
                <w:sz w:val="18"/>
                <w:szCs w:val="18"/>
              </w:rPr>
              <w:t>1.641</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10" w14:textId="77777777" w:rsidR="00C1548D" w:rsidRDefault="009B1B4B">
            <w:pPr>
              <w:spacing w:line="250" w:lineRule="auto"/>
            </w:pPr>
            <w:r>
              <w:rPr>
                <w:sz w:val="18"/>
                <w:szCs w:val="18"/>
              </w:rPr>
              <w:t>1.421</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11" w14:textId="77777777" w:rsidR="00C1548D" w:rsidRDefault="009B1B4B">
            <w:pPr>
              <w:spacing w:line="250" w:lineRule="auto"/>
            </w:pPr>
            <w:r>
              <w:rPr>
                <w:sz w:val="18"/>
                <w:szCs w:val="18"/>
              </w:rPr>
              <w:t>1.812</w:t>
            </w:r>
          </w:p>
        </w:tc>
      </w:tr>
      <w:tr w:rsidR="00C1548D" w14:paraId="70A4D117" w14:textId="77777777">
        <w:tblPrEx>
          <w:tblCellMar>
            <w:top w:w="0" w:type="dxa"/>
            <w:bottom w:w="0" w:type="dxa"/>
          </w:tblCellMar>
        </w:tblPrEx>
        <w:trPr>
          <w:cantSplit/>
        </w:trPr>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13" w14:textId="77777777" w:rsidR="00C1548D" w:rsidRDefault="009B1B4B">
            <w:pPr>
              <w:spacing w:line="250" w:lineRule="auto"/>
            </w:pPr>
            <w:r>
              <w:rPr>
                <w:sz w:val="18"/>
                <w:szCs w:val="18"/>
              </w:rPr>
              <w:t>Raleigh</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14" w14:textId="77777777" w:rsidR="00C1548D" w:rsidRDefault="009B1B4B">
            <w:pPr>
              <w:spacing w:line="250" w:lineRule="auto"/>
            </w:pPr>
            <w:r>
              <w:rPr>
                <w:sz w:val="18"/>
                <w:szCs w:val="18"/>
              </w:rPr>
              <w:t>1.588</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15" w14:textId="77777777" w:rsidR="00C1548D" w:rsidRDefault="009B1B4B">
            <w:pPr>
              <w:spacing w:line="250" w:lineRule="auto"/>
            </w:pPr>
            <w:r>
              <w:rPr>
                <w:sz w:val="18"/>
                <w:szCs w:val="18"/>
              </w:rPr>
              <w:t>1.409</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16" w14:textId="77777777" w:rsidR="00C1548D" w:rsidRDefault="009B1B4B">
            <w:pPr>
              <w:spacing w:line="250" w:lineRule="auto"/>
            </w:pPr>
            <w:r>
              <w:rPr>
                <w:sz w:val="18"/>
                <w:szCs w:val="18"/>
              </w:rPr>
              <w:t>1.655</w:t>
            </w:r>
          </w:p>
        </w:tc>
      </w:tr>
      <w:tr w:rsidR="00C1548D" w14:paraId="70A4D11C" w14:textId="77777777">
        <w:tblPrEx>
          <w:tblCellMar>
            <w:top w:w="0" w:type="dxa"/>
            <w:bottom w:w="0" w:type="dxa"/>
          </w:tblCellMar>
        </w:tblPrEx>
        <w:trPr>
          <w:cantSplit/>
        </w:trPr>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18" w14:textId="77777777" w:rsidR="00C1548D" w:rsidRDefault="009B1B4B">
            <w:pPr>
              <w:spacing w:line="250" w:lineRule="auto"/>
            </w:pPr>
            <w:r>
              <w:rPr>
                <w:sz w:val="18"/>
                <w:szCs w:val="18"/>
              </w:rPr>
              <w:t>Houston</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19" w14:textId="77777777" w:rsidR="00C1548D" w:rsidRDefault="009B1B4B">
            <w:pPr>
              <w:spacing w:line="250" w:lineRule="auto"/>
            </w:pPr>
            <w:r>
              <w:rPr>
                <w:sz w:val="18"/>
                <w:szCs w:val="18"/>
              </w:rPr>
              <w:t>1.344</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1A" w14:textId="77777777" w:rsidR="00C1548D" w:rsidRDefault="009B1B4B">
            <w:pPr>
              <w:spacing w:line="250" w:lineRule="auto"/>
            </w:pPr>
            <w:r>
              <w:rPr>
                <w:sz w:val="18"/>
                <w:szCs w:val="18"/>
              </w:rPr>
              <w:t>1.191</w:t>
            </w:r>
          </w:p>
        </w:tc>
        <w:tc>
          <w:tcPr>
            <w:tcW w:w="16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1B" w14:textId="77777777" w:rsidR="00C1548D" w:rsidRDefault="009B1B4B">
            <w:pPr>
              <w:spacing w:line="250" w:lineRule="auto"/>
            </w:pPr>
            <w:r>
              <w:rPr>
                <w:sz w:val="18"/>
                <w:szCs w:val="18"/>
              </w:rPr>
              <w:t>1.506</w:t>
            </w:r>
          </w:p>
        </w:tc>
      </w:tr>
    </w:tbl>
    <w:p w14:paraId="70A4D11D" w14:textId="77777777" w:rsidR="00C1548D" w:rsidRDefault="00C1548D">
      <w:pPr>
        <w:spacing w:line="180" w:lineRule="exact"/>
      </w:pPr>
    </w:p>
    <w:p w14:paraId="70A4D11E" w14:textId="7E9F364B" w:rsidR="00C1548D" w:rsidRDefault="009B1B4B">
      <w:pPr>
        <w:spacing w:after="140"/>
      </w:pPr>
      <w: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history="1">
        <w:r>
          <w:t>12</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21"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11F" w14:textId="77777777" w:rsidR="00C1548D" w:rsidRDefault="009B1B4B">
            <w:pPr>
              <w:keepNext/>
              <w:spacing w:after="70" w:line="240" w:lineRule="auto"/>
            </w:pPr>
            <w:r>
              <w:rPr>
                <w:b/>
                <w:bCs/>
                <w:color w:val="2F6B3B"/>
                <w:spacing w:val="24"/>
                <w:sz w:val="16"/>
                <w:szCs w:val="16"/>
              </w:rPr>
              <w:t>SPARTIPP</w:t>
            </w:r>
          </w:p>
          <w:p w14:paraId="70A4D120" w14:textId="77777777" w:rsidR="00C1548D" w:rsidRDefault="009B1B4B">
            <w:pPr>
              <w:spacing w:after="80" w:line="264" w:lineRule="auto"/>
            </w:pPr>
            <w:r>
              <w:rPr>
                <w:sz w:val="20"/>
                <w:szCs w:val="20"/>
              </w:rPr>
              <w:t>Frage nach Sonderangeboten (</w:t>
            </w:r>
            <w:r>
              <w:rPr>
                <w:i/>
                <w:iCs/>
                <w:sz w:val="20"/>
                <w:szCs w:val="20"/>
              </w:rPr>
              <w:t>Specials</w:t>
            </w:r>
            <w:r>
              <w:rPr>
                <w:sz w:val="20"/>
                <w:szCs w:val="20"/>
              </w:rPr>
              <w:t>), etwa einem Gratismonat bei zwölf Monaten Laufzeit, und vergleiche mehrere Anlagen im selben Viertel. In Märkten mit hohem Leerstand lässt sich verhandeln.</w:t>
            </w:r>
          </w:p>
        </w:tc>
      </w:tr>
    </w:tbl>
    <w:p w14:paraId="70A4D122" w14:textId="77777777" w:rsidR="00C1548D" w:rsidRDefault="00C1548D">
      <w:pPr>
        <w:spacing w:line="220" w:lineRule="exact"/>
      </w:pPr>
    </w:p>
    <w:p w14:paraId="70A4D123" w14:textId="77777777" w:rsidR="00C1548D" w:rsidRDefault="009B1B4B">
      <w:pPr>
        <w:pStyle w:val="Heading3"/>
        <w:keepNext/>
        <w:jc w:val="center"/>
      </w:pPr>
      <w:r>
        <w:rPr>
          <w:rFonts w:ascii="Amazon Ember" w:eastAsia="Amazon Ember" w:hAnsi="Amazon Ember" w:cs="Amazon Ember"/>
          <w:color w:val="0000FF"/>
          <w:sz w:val="36"/>
          <w:szCs w:val="36"/>
        </w:rPr>
        <w:t>Bewerbung, Einkommen und Gebühren</w:t>
      </w:r>
    </w:p>
    <w:p w14:paraId="70A4D124" w14:textId="77777777" w:rsidR="00C1548D" w:rsidRDefault="009B1B4B">
      <w:pPr>
        <w:spacing w:after="140"/>
      </w:pPr>
      <w:r>
        <w:t>Wer aus Deutschland eine kurze Schufa-Auskunft und ein, zwei Gehaltsnachweise gewohnt ist, wird hier gründlicher durchleuchtet, als es die eigene Hausbank je tun würde. Der Ablauf: Besichtigung, Antrag (</w:t>
      </w:r>
      <w:r>
        <w:rPr>
          <w:i/>
          <w:iCs/>
        </w:rPr>
        <w:t>Application</w:t>
      </w:r>
      <w:r>
        <w:t>, mit Gebühr für jede erwachsene Person), Prüfung (</w:t>
      </w:r>
      <w:r>
        <w:rPr>
          <w:i/>
          <w:iCs/>
        </w:rPr>
        <w:t>Screening</w:t>
      </w:r>
      <w:r>
        <w:t>) von Kreditbericht, Einkommen und Vorvermietern, dann der Mietvertrag (</w:t>
      </w:r>
      <w:r>
        <w:rPr>
          <w:i/>
          <w:iCs/>
        </w:rPr>
        <w:t>Lease</w:t>
      </w:r>
      <w:r>
        <w:t xml:space="preserve">). Die Prüfung dauert meist 24 bis 72 Stunden, bei internationalen Fällen bis zu einer </w:t>
      </w:r>
      <w:r>
        <w:lastRenderedPageBreak/>
        <w:t>Woche. Bei der Unterschrift werden Kaution und erste Monatsmiete fällig, regional auch die letzte.</w:t>
      </w:r>
    </w:p>
    <w:p w14:paraId="70A4D125" w14:textId="77777777" w:rsidR="00C1548D" w:rsidRDefault="009B1B4B">
      <w:pPr>
        <w:spacing w:after="140"/>
      </w:pPr>
      <w:r>
        <w:t>Du brauchst Reisepass, Visum und I-94, den Arbeitsvertrag oder die Zusage (</w:t>
      </w:r>
      <w:r>
        <w:rPr>
          <w:i/>
          <w:iCs/>
        </w:rPr>
        <w:t>Offer Letter</w:t>
      </w:r>
      <w:r>
        <w:t>) mit Gehalt und Startdatum, Gehaltsabrechnungen, sofern vorhanden, und drei Monate Kontoauszüge. Übersetzungen kosten laut einem Anbieter 20–40 $ je Seite.</w:t>
      </w:r>
    </w:p>
    <w:p w14:paraId="70A4D126" w14:textId="77777777" w:rsidR="00C1548D" w:rsidRDefault="009B1B4B">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w14:paraId="70A4D127" w14:textId="77777777" w:rsidR="00C1548D" w:rsidRDefault="009B1B4B">
      <w:pPr>
        <w:spacing w:after="140"/>
      </w:pPr>
      <w:r>
        <w:t>Die Bewerbungsgebühr ist in einigen Staaten gedeckelt: New York 20 $, New Jersey 50 $ (seit 1. Mai 2026), Virginia 50 $ plus Fremdkosten, Kalifornien rund 66–69 $ (2026, an die Inflation gekoppelt; die Quellen weichen ab). Texas, Florida, Georgia und Illinois kennen keinen Deckel; Vermont und Massachusetts untersagen die Gebühr den Vermietern. Anbieter nennen 50–200 $ als üblich.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2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128" w14:textId="77777777" w:rsidR="00C1548D" w:rsidRDefault="009B1B4B">
            <w:pPr>
              <w:keepNext/>
              <w:spacing w:after="70" w:line="240" w:lineRule="auto"/>
            </w:pPr>
            <w:r>
              <w:rPr>
                <w:b/>
                <w:bCs/>
                <w:color w:val="9B2C2C"/>
                <w:spacing w:val="24"/>
                <w:sz w:val="16"/>
                <w:szCs w:val="16"/>
              </w:rPr>
              <w:t>ACHTUNG</w:t>
            </w:r>
          </w:p>
          <w:p w14:paraId="70A4D129" w14:textId="77777777" w:rsidR="00C1548D" w:rsidRDefault="009B1B4B">
            <w:pPr>
              <w:spacing w:after="80" w:line="264" w:lineRule="auto"/>
            </w:pPr>
            <w:r>
              <w:rPr>
                <w:sz w:val="20"/>
                <w:szCs w:val="20"/>
              </w:rPr>
              <w:t>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tc>
      </w:tr>
    </w:tbl>
    <w:p w14:paraId="70A4D12B" w14:textId="77777777" w:rsidR="00C1548D" w:rsidRDefault="00C1548D">
      <w:pPr>
        <w:spacing w:line="220" w:lineRule="exact"/>
      </w:pPr>
    </w:p>
    <w:p w14:paraId="70A4D12C" w14:textId="77777777" w:rsidR="00C1548D" w:rsidRDefault="009B1B4B">
      <w:pPr>
        <w:pStyle w:val="Heading3"/>
        <w:keepNext/>
        <w:jc w:val="center"/>
      </w:pPr>
      <w:r>
        <w:rPr>
          <w:rFonts w:ascii="Amazon Ember" w:eastAsia="Amazon Ember" w:hAnsi="Amazon Ember" w:cs="Amazon Ember"/>
          <w:color w:val="0000FF"/>
          <w:sz w:val="36"/>
          <w:szCs w:val="36"/>
        </w:rPr>
        <w:lastRenderedPageBreak/>
        <w:t>Mieten ohne Kredithistorie</w:t>
      </w:r>
    </w:p>
    <w:p w14:paraId="70A4D12D" w14:textId="620E8DFF" w:rsidR="00C1548D" w:rsidRDefault="009B1B4B">
      <w:pPr>
        <w:spacing w:after="140"/>
      </w:pPr>
      <w: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history="1">
        <w:r>
          <w:t>24</w:t>
        </w:r>
      </w:hyperlink>
      <w:r>
        <w:t>); die Steuernummer ITIN über das Formular W-7 dauert laut einem Anbieter sechs bis zehn Wochen. Wie du danach Kredit aufbaust, steht in Kapitel </w:t>
      </w:r>
      <w:hyperlink w:anchor="k25" w:history="1">
        <w:r>
          <w:t>25</w:t>
        </w:r>
      </w:hyperlink>
      <w:r>
        <w:t xml:space="preserve"> – bis dahin brauchst du Wege, die dem Vermieter das Risiko abnehmen: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5"/>
        <w:gridCol w:w="2216"/>
        <w:gridCol w:w="3009"/>
      </w:tblGrid>
      <w:tr w:rsidR="00C1548D" w14:paraId="70A4D131" w14:textId="77777777">
        <w:tblPrEx>
          <w:tblCellMar>
            <w:top w:w="0" w:type="dxa"/>
            <w:bottom w:w="0" w:type="dxa"/>
          </w:tblCellMar>
        </w:tblPrEx>
        <w:trPr>
          <w:cantSplit/>
          <w:tblHeader/>
        </w:trPr>
        <w:tc>
          <w:tcPr>
            <w:tcW w:w="125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2E" w14:textId="77777777" w:rsidR="00C1548D" w:rsidRDefault="009B1B4B">
            <w:pPr>
              <w:spacing w:line="250" w:lineRule="auto"/>
            </w:pPr>
            <w:r>
              <w:rPr>
                <w:b/>
                <w:bCs/>
                <w:sz w:val="18"/>
                <w:szCs w:val="18"/>
              </w:rPr>
              <w:t>Weg</w:t>
            </w:r>
          </w:p>
        </w:tc>
        <w:tc>
          <w:tcPr>
            <w:tcW w:w="221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2F" w14:textId="77777777" w:rsidR="00C1548D" w:rsidRDefault="009B1B4B">
            <w:pPr>
              <w:spacing w:line="250" w:lineRule="auto"/>
            </w:pPr>
            <w:r>
              <w:rPr>
                <w:b/>
                <w:bCs/>
                <w:sz w:val="18"/>
                <w:szCs w:val="18"/>
              </w:rPr>
              <w:t>Kosten</w:t>
            </w:r>
          </w:p>
        </w:tc>
        <w:tc>
          <w:tcPr>
            <w:tcW w:w="300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30" w14:textId="77777777" w:rsidR="00C1548D" w:rsidRDefault="009B1B4B">
            <w:pPr>
              <w:spacing w:line="250" w:lineRule="auto"/>
            </w:pPr>
            <w:r>
              <w:rPr>
                <w:b/>
                <w:bCs/>
                <w:sz w:val="18"/>
                <w:szCs w:val="18"/>
              </w:rPr>
              <w:t>Hinweis</w:t>
            </w:r>
          </w:p>
        </w:tc>
      </w:tr>
      <w:tr w:rsidR="00C1548D" w14:paraId="70A4D135" w14:textId="77777777">
        <w:tblPrEx>
          <w:tblCellMar>
            <w:top w:w="0" w:type="dxa"/>
            <w:bottom w:w="0" w:type="dxa"/>
          </w:tblCellMar>
        </w:tblPrEx>
        <w:trPr>
          <w:cantSplit/>
        </w:trPr>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32" w14:textId="77777777" w:rsidR="00C1548D" w:rsidRDefault="009B1B4B">
            <w:pPr>
              <w:spacing w:line="250" w:lineRule="auto"/>
            </w:pPr>
            <w:r>
              <w:rPr>
                <w:sz w:val="18"/>
                <w:szCs w:val="18"/>
              </w:rPr>
              <w:t>Arbeitgeberbrief</w:t>
            </w:r>
          </w:p>
        </w:tc>
        <w:tc>
          <w:tcPr>
            <w:tcW w:w="22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33" w14:textId="77777777" w:rsidR="00C1548D" w:rsidRDefault="009B1B4B">
            <w:pPr>
              <w:spacing w:line="250" w:lineRule="auto"/>
            </w:pPr>
            <w:r>
              <w:rPr>
                <w:sz w:val="18"/>
                <w:szCs w:val="18"/>
              </w:rPr>
              <w:t>keine</w:t>
            </w:r>
          </w:p>
        </w:tc>
        <w:tc>
          <w:tcPr>
            <w:tcW w:w="30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34" w14:textId="77777777" w:rsidR="00C1548D" w:rsidRDefault="009B1B4B">
            <w:pPr>
              <w:spacing w:line="250" w:lineRule="auto"/>
            </w:pPr>
            <w:r>
              <w:rPr>
                <w:sz w:val="18"/>
                <w:szCs w:val="18"/>
              </w:rPr>
              <w:t>Offer Letter mit Gehalt und Startdatum ersetzt Gehaltsabrechnungen; Grundlage für alle anderen Wege</w:t>
            </w:r>
          </w:p>
        </w:tc>
      </w:tr>
      <w:tr w:rsidR="00C1548D" w14:paraId="70A4D139" w14:textId="77777777">
        <w:tblPrEx>
          <w:tblCellMar>
            <w:top w:w="0" w:type="dxa"/>
            <w:bottom w:w="0" w:type="dxa"/>
          </w:tblCellMar>
        </w:tblPrEx>
        <w:trPr>
          <w:cantSplit/>
        </w:trPr>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36" w14:textId="77777777" w:rsidR="00C1548D" w:rsidRDefault="009B1B4B">
            <w:pPr>
              <w:spacing w:line="250" w:lineRule="auto"/>
            </w:pPr>
            <w:r>
              <w:rPr>
                <w:sz w:val="18"/>
                <w:szCs w:val="18"/>
              </w:rPr>
              <w:t>Höhere Kaution</w:t>
            </w:r>
          </w:p>
        </w:tc>
        <w:tc>
          <w:tcPr>
            <w:tcW w:w="22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37" w14:textId="77777777" w:rsidR="00C1548D" w:rsidRDefault="009B1B4B">
            <w:pPr>
              <w:spacing w:line="250" w:lineRule="auto"/>
            </w:pPr>
            <w:r>
              <w:rPr>
                <w:sz w:val="18"/>
                <w:szCs w:val="18"/>
              </w:rPr>
              <w:t>Zusatzbetrag, rückzahlbar</w:t>
            </w:r>
          </w:p>
        </w:tc>
        <w:tc>
          <w:tcPr>
            <w:tcW w:w="30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38" w14:textId="77777777" w:rsidR="00C1548D" w:rsidRDefault="009B1B4B">
            <w:pPr>
              <w:spacing w:line="250" w:lineRule="auto"/>
            </w:pPr>
            <w:r>
              <w:rPr>
                <w:sz w:val="18"/>
                <w:szCs w:val="18"/>
              </w:rPr>
              <w:t>Nur, wo kein Deckel gilt</w:t>
            </w:r>
          </w:p>
        </w:tc>
      </w:tr>
      <w:tr w:rsidR="00C1548D" w14:paraId="70A4D13D" w14:textId="77777777">
        <w:tblPrEx>
          <w:tblCellMar>
            <w:top w:w="0" w:type="dxa"/>
            <w:bottom w:w="0" w:type="dxa"/>
          </w:tblCellMar>
        </w:tblPrEx>
        <w:trPr>
          <w:cantSplit/>
        </w:trPr>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3A" w14:textId="77777777" w:rsidR="00C1548D" w:rsidRDefault="009B1B4B">
            <w:pPr>
              <w:spacing w:line="250" w:lineRule="auto"/>
            </w:pPr>
            <w:r>
              <w:rPr>
                <w:sz w:val="18"/>
                <w:szCs w:val="18"/>
              </w:rPr>
              <w:t>Bürgschaftsdienst</w:t>
            </w:r>
          </w:p>
        </w:tc>
        <w:tc>
          <w:tcPr>
            <w:tcW w:w="22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3B" w14:textId="77777777" w:rsidR="00C1548D" w:rsidRDefault="009B1B4B">
            <w:pPr>
              <w:spacing w:line="250" w:lineRule="auto"/>
            </w:pPr>
            <w:r>
              <w:rPr>
                <w:sz w:val="18"/>
                <w:szCs w:val="18"/>
              </w:rPr>
              <w:t>40–130 % einer Monatsmiete, einmalig für zwölf Monate</w:t>
            </w:r>
          </w:p>
        </w:tc>
        <w:tc>
          <w:tcPr>
            <w:tcW w:w="30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3C" w14:textId="77777777" w:rsidR="00C1548D" w:rsidRDefault="009B1B4B">
            <w:pPr>
              <w:spacing w:line="250" w:lineRule="auto"/>
            </w:pPr>
            <w:r>
              <w:rPr>
                <w:sz w:val="18"/>
                <w:szCs w:val="18"/>
              </w:rPr>
              <w:t>Insurent (nur NY, NJ, CT), TheGuarantors (u. a. NYC, LA, Chicago, Boston, Miami), Leap (bundesweit); Prüfung 24–48 Stunden</w:t>
            </w:r>
          </w:p>
        </w:tc>
      </w:tr>
      <w:tr w:rsidR="00C1548D" w14:paraId="70A4D141" w14:textId="77777777">
        <w:tblPrEx>
          <w:tblCellMar>
            <w:top w:w="0" w:type="dxa"/>
            <w:bottom w:w="0" w:type="dxa"/>
          </w:tblCellMar>
        </w:tblPrEx>
        <w:trPr>
          <w:cantSplit/>
        </w:trPr>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3E" w14:textId="77777777" w:rsidR="00C1548D" w:rsidRDefault="009B1B4B">
            <w:pPr>
              <w:spacing w:line="250" w:lineRule="auto"/>
            </w:pPr>
            <w:r>
              <w:rPr>
                <w:sz w:val="18"/>
                <w:szCs w:val="18"/>
              </w:rPr>
              <w:t>Persönlicher Bürge</w:t>
            </w:r>
          </w:p>
        </w:tc>
        <w:tc>
          <w:tcPr>
            <w:tcW w:w="22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3F" w14:textId="77777777" w:rsidR="00C1548D" w:rsidRDefault="009B1B4B">
            <w:pPr>
              <w:spacing w:line="250" w:lineRule="auto"/>
            </w:pPr>
            <w:r>
              <w:rPr>
                <w:sz w:val="18"/>
                <w:szCs w:val="18"/>
              </w:rPr>
              <w:t>keine</w:t>
            </w:r>
          </w:p>
        </w:tc>
        <w:tc>
          <w:tcPr>
            <w:tcW w:w="30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40" w14:textId="77777777" w:rsidR="00C1548D" w:rsidRDefault="009B1B4B">
            <w:pPr>
              <w:spacing w:line="250" w:lineRule="auto"/>
            </w:pPr>
            <w:r>
              <w:rPr>
                <w:sz w:val="18"/>
                <w:szCs w:val="18"/>
              </w:rPr>
              <w:t>Braucht US-Konto und Jahreseinkommen von 80–100× der Monatsmiete; für Neuankömmlinge selten</w:t>
            </w:r>
          </w:p>
        </w:tc>
      </w:tr>
      <w:tr w:rsidR="00C1548D" w14:paraId="70A4D145" w14:textId="77777777">
        <w:tblPrEx>
          <w:tblCellMar>
            <w:top w:w="0" w:type="dxa"/>
            <w:bottom w:w="0" w:type="dxa"/>
          </w:tblCellMar>
        </w:tblPrEx>
        <w:trPr>
          <w:cantSplit/>
        </w:trPr>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42" w14:textId="77777777" w:rsidR="00C1548D" w:rsidRDefault="009B1B4B">
            <w:pPr>
              <w:spacing w:line="250" w:lineRule="auto"/>
            </w:pPr>
            <w:r>
              <w:rPr>
                <w:sz w:val="18"/>
                <w:szCs w:val="18"/>
              </w:rPr>
              <w:t>Vorauszahlung oder Guthaben</w:t>
            </w:r>
          </w:p>
        </w:tc>
        <w:tc>
          <w:tcPr>
            <w:tcW w:w="22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43" w14:textId="77777777" w:rsidR="00C1548D" w:rsidRDefault="009B1B4B">
            <w:pPr>
              <w:spacing w:line="250" w:lineRule="auto"/>
            </w:pPr>
            <w:r>
              <w:rPr>
                <w:sz w:val="18"/>
                <w:szCs w:val="18"/>
              </w:rPr>
              <w:t>2–12 Monatsmieten im Voraus; Guthaben 6–12 Monatsmieten</w:t>
            </w:r>
          </w:p>
        </w:tc>
        <w:tc>
          <w:tcPr>
            <w:tcW w:w="30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44" w14:textId="77777777" w:rsidR="00C1548D" w:rsidRDefault="009B1B4B">
            <w:pPr>
              <w:spacing w:line="250" w:lineRule="auto"/>
            </w:pPr>
            <w:r>
              <w:rPr>
                <w:sz w:val="18"/>
                <w:szCs w:val="18"/>
              </w:rPr>
              <w:t>Verhandlungssache; ein Guthaben kann den Einkommensnachweis ersetzen</w:t>
            </w:r>
          </w:p>
        </w:tc>
      </w:tr>
    </w:tbl>
    <w:p w14:paraId="70A4D146" w14:textId="77777777" w:rsidR="00C1548D" w:rsidRDefault="00C1548D">
      <w:pPr>
        <w:spacing w:line="180" w:lineRule="exact"/>
      </w:pPr>
    </w:p>
    <w:p w14:paraId="70A4D147" w14:textId="77777777" w:rsidR="00C1548D" w:rsidRDefault="009B1B4B">
      <w:pPr>
        <w:spacing w:after="140"/>
      </w:pPr>
      <w:r>
        <w:t>Ein Rechenbeispiel: Bei 2.500 $ Monatsmiete kostet ein Bürgschaftsdienst zwischen 1.000 und 3.250 $. Anders als eine Kaution siehst du dieses Geld nicht wieder; erstattet wird die Prämie oft nur, wenn kein Mietvertrag zustande kommt.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4A"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148" w14:textId="77777777" w:rsidR="00C1548D" w:rsidRDefault="009B1B4B">
            <w:pPr>
              <w:keepNext/>
              <w:spacing w:after="70" w:line="240" w:lineRule="auto"/>
            </w:pPr>
            <w:r>
              <w:rPr>
                <w:b/>
                <w:bCs/>
                <w:color w:val="2F6B3B"/>
                <w:spacing w:val="24"/>
                <w:sz w:val="16"/>
                <w:szCs w:val="16"/>
              </w:rPr>
              <w:lastRenderedPageBreak/>
              <w:t>SPARTIPP</w:t>
            </w:r>
          </w:p>
          <w:p w14:paraId="70A4D149" w14:textId="04688742" w:rsidR="00C1548D" w:rsidRDefault="009B1B4B">
            <w:pPr>
              <w:spacing w:after="80" w:line="264" w:lineRule="auto"/>
            </w:pPr>
            <w:r>
              <w:rPr>
                <w:sz w:val="20"/>
                <w:szCs w:val="20"/>
              </w:rPr>
              <w:t>Hole bei mindestens zwei Bürgschaftsdiensten ein Angebot ein und frage, ob die Prämie bei Ablehnung erstattet wird. Ein US-Konto mit zwei bis drei Monaten Kontoauszügen stärkt jeden Antrag (Kapitel </w:t>
            </w:r>
            <w:hyperlink w:anchor="k25" w:history="1">
              <w:r>
                <w:rPr>
                  <w:sz w:val="20"/>
                  <w:szCs w:val="20"/>
                </w:rPr>
                <w:t>25</w:t>
              </w:r>
            </w:hyperlink>
            <w:r>
              <w:rPr>
                <w:sz w:val="20"/>
                <w:szCs w:val="20"/>
              </w:rPr>
              <w:t>).</w:t>
            </w:r>
          </w:p>
        </w:tc>
      </w:tr>
    </w:tbl>
    <w:p w14:paraId="70A4D14B" w14:textId="77777777" w:rsidR="00C1548D" w:rsidRDefault="00C1548D">
      <w:pPr>
        <w:spacing w:line="220" w:lineRule="exact"/>
      </w:pPr>
    </w:p>
    <w:p w14:paraId="70A4D14C" w14:textId="77777777" w:rsidR="00C1548D" w:rsidRDefault="009B1B4B">
      <w:pPr>
        <w:spacing w:after="140"/>
      </w:pPr>
      <w:r>
        <w:t xml:space="preserve">Der Dienst </w:t>
      </w:r>
      <w:r>
        <w:rPr>
          <w:i/>
          <w:iCs/>
        </w:rPr>
        <w:t>Nova Credit</w:t>
      </w:r>
      <w:r>
        <w:t xml:space="preserve"> übersetzt ausländische Kreditberichte ins US-Format; laut Anbieterangaben gehört Deutschland zu den angebundenen Ländern. Ob eine Verwaltung solche Berichte annimmt, klärst du vor der Bewerbung. Manche lassen sich zusätzlich von einer englischen Referenz deines bisherigen Vermieters und einer Schufa-Datenkopie überzeugen; das ist Kulanz, kein Standard.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4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14D" w14:textId="77777777" w:rsidR="00C1548D" w:rsidRDefault="009B1B4B">
            <w:pPr>
              <w:keepNext/>
              <w:spacing w:after="70" w:line="240" w:lineRule="auto"/>
            </w:pPr>
            <w:r>
              <w:rPr>
                <w:b/>
                <w:bCs/>
                <w:color w:val="9B2C2C"/>
                <w:spacing w:val="24"/>
                <w:sz w:val="16"/>
                <w:szCs w:val="16"/>
              </w:rPr>
              <w:t>ACHTUNG</w:t>
            </w:r>
          </w:p>
          <w:p w14:paraId="70A4D14E" w14:textId="77777777" w:rsidR="00C1548D" w:rsidRDefault="009B1B4B">
            <w:pPr>
              <w:spacing w:after="80" w:line="264" w:lineRule="auto"/>
            </w:pPr>
            <w:r>
              <w:rPr>
                <w:sz w:val="20"/>
                <w:szCs w:val="20"/>
              </w:rPr>
              <w:t>Lass dir schriftlich bestätigen, wofür ein Betrag gedacht ist (Kaution, Miete im Voraus oder Gebühr) und ob er zurückgezahlt wird. Wo ein Kautionsdeckel gilt, müssen darüber hinausgehende Beträge als vorausbezahlte Miete deklariert sein.</w:t>
            </w:r>
          </w:p>
        </w:tc>
      </w:tr>
    </w:tbl>
    <w:p w14:paraId="70A4D150" w14:textId="77777777" w:rsidR="00C1548D" w:rsidRDefault="00C1548D">
      <w:pPr>
        <w:spacing w:line="220" w:lineRule="exact"/>
      </w:pPr>
    </w:p>
    <w:p w14:paraId="70A4D151" w14:textId="77777777" w:rsidR="00C1548D" w:rsidRDefault="009B1B4B">
      <w:pPr>
        <w:pStyle w:val="Heading3"/>
        <w:keepNext/>
        <w:jc w:val="center"/>
      </w:pPr>
      <w:r>
        <w:rPr>
          <w:rFonts w:ascii="Amazon Ember" w:eastAsia="Amazon Ember" w:hAnsi="Amazon Ember" w:cs="Amazon Ember"/>
          <w:color w:val="0000FF"/>
          <w:sz w:val="36"/>
          <w:szCs w:val="36"/>
        </w:rPr>
        <w:t>Kaution und Kosten beim Einzug</w:t>
      </w:r>
    </w:p>
    <w:p w14:paraId="70A4D152" w14:textId="77777777" w:rsidR="00C1548D" w:rsidRDefault="009B1B4B">
      <w:pPr>
        <w:spacing w:after="140"/>
      </w:pPr>
      <w:r>
        <w:t>Die Kaution (</w:t>
      </w:r>
      <w:r>
        <w:rPr>
          <w:i/>
          <w:iCs/>
        </w:rPr>
        <w:t>Security Deposit</w:t>
      </w:r>
      <w:r>
        <w: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w14:paraId="70A4D153" w14:textId="25B10261" w:rsidR="00C1548D" w:rsidRDefault="009B1B4B">
      <w:pPr>
        <w:spacing w:after="140"/>
      </w:pPr>
      <w:r>
        <w:t>Zum Einzug kommen erste Monatsmiete, Kaution, Bewerbungsgebühr und gegebenenfalls eine Haustierkaution (Kapitel </w:t>
      </w:r>
      <w:hyperlink w:anchor="k22" w:history="1">
        <w:r>
          <w:t>22</w:t>
        </w:r>
      </w:hyperlink>
      <w:r>
        <w:t>) zusammen. Ein Anbieter beziffert die Einzugskosten inklusive Vermittlung für New York mit 6.000–15.000 $, Boston 4.500–10.000 $, Washington D. C. 3.800–7.200 $ und Chicago 2.900–5.750 $.</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56"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154" w14:textId="77777777" w:rsidR="00C1548D" w:rsidRDefault="009B1B4B">
            <w:pPr>
              <w:keepNext/>
              <w:spacing w:after="70" w:line="240" w:lineRule="auto"/>
            </w:pPr>
            <w:r>
              <w:rPr>
                <w:b/>
                <w:bCs/>
                <w:color w:val="4A5568"/>
                <w:spacing w:val="24"/>
                <w:sz w:val="16"/>
                <w:szCs w:val="16"/>
              </w:rPr>
              <w:lastRenderedPageBreak/>
              <w:t>PRAXISBEISPIEL · FIKTIV</w:t>
            </w:r>
          </w:p>
          <w:p w14:paraId="70A4D155" w14:textId="43CE37A0" w:rsidR="00C1548D" w:rsidRDefault="009B1B4B">
            <w:pPr>
              <w:spacing w:after="80" w:line="264" w:lineRule="auto"/>
            </w:pPr>
            <w:r>
              <w:rPr>
                <w:sz w:val="20"/>
                <w:szCs w:val="20"/>
              </w:rPr>
              <w:t>Familie Brandt (fiktiv) sucht im Großraum Detroit ein Reihenhaus mit drei Schlafzimmern für 2.400 $ im Monat. Die Verwaltung verlangt das Dreifache als Einkommen, also 7.200 $ brutto im Monat. Markus verdient 9.500 $ brutto; Anna hat H-4-Status und darf zunächst nicht arbeiten. Weil ein Credit Score fehlt, reichen die Brandts den Offer Letter und drei Monate Kontoauszüge ein; die Sachbearbeiterin blättert kurz irritiert durch das leere Feld, akzeptiert die Unterlagen dann aber anstandslos. Michigan begrenzt</w:t>
            </w:r>
            <w:r>
              <w:rPr>
                <w:sz w:val="20"/>
                <w:szCs w:val="20"/>
              </w:rPr>
              <w:t xml:space="preserve"> die Kaution auf 1,5 Monatsmieten, also 3.600 $. Am Einzugstag zahlen sie 2.400 $ erste Miete, 3.600 $ Kaution und zwei Bewerbungsgebühren zu je 40 $, zusammen 6.080 $. Das Geld muss auf dem US-Konto liegen, bevor der Container eintrifft (</w:t>
            </w:r>
            <w:r>
              <w:rPr>
                <w:sz w:val="20"/>
                <w:szCs w:val="20"/>
              </w:rPr>
              <w:t>Kapitel </w:t>
            </w:r>
            <w:hyperlink w:anchor="k20" w:history="1">
              <w:r>
                <w:rPr>
                  <w:sz w:val="20"/>
                  <w:szCs w:val="20"/>
                </w:rPr>
                <w:t>20</w:t>
              </w:r>
            </w:hyperlink>
            <w:r>
              <w:rPr>
                <w:sz w:val="20"/>
                <w:szCs w:val="20"/>
              </w:rPr>
              <w:t>).</w:t>
            </w:r>
          </w:p>
        </w:tc>
      </w:tr>
    </w:tbl>
    <w:p w14:paraId="70A4D157" w14:textId="77777777" w:rsidR="00C1548D" w:rsidRDefault="00C1548D">
      <w:pPr>
        <w:spacing w:line="220" w:lineRule="exact"/>
      </w:pPr>
    </w:p>
    <w:p w14:paraId="70A4D158" w14:textId="77777777" w:rsidR="00C1548D" w:rsidRDefault="009B1B4B">
      <w:pPr>
        <w:pStyle w:val="Heading3"/>
        <w:keepNext/>
        <w:jc w:val="center"/>
      </w:pPr>
      <w:r>
        <w:rPr>
          <w:rFonts w:ascii="Amazon Ember" w:eastAsia="Amazon Ember" w:hAnsi="Amazon Ember" w:cs="Amazon Ember"/>
          <w:color w:val="0000FF"/>
          <w:sz w:val="36"/>
          <w:szCs w:val="36"/>
        </w:rPr>
        <w:t>Der Mietvertrag: Laufzeit, Ausstieg, Untervermietung</w:t>
      </w:r>
    </w:p>
    <w:p w14:paraId="70A4D159" w14:textId="77777777" w:rsidR="00C1548D" w:rsidRDefault="009B1B4B">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w:t>
      </w:r>
      <w:r>
        <w:t>enigen Staaten.</w:t>
      </w:r>
    </w:p>
    <w:p w14:paraId="70A4D15A" w14:textId="77777777" w:rsidR="00C1548D" w:rsidRDefault="009B1B4B">
      <w:pPr>
        <w:spacing w:after="140"/>
      </w:pPr>
      <w:r>
        <w:t>Wer vorzeitig auszieht (</w:t>
      </w:r>
      <w:r>
        <w:rPr>
          <w:i/>
          <w:iCs/>
        </w:rPr>
        <w:t>Break Lease</w:t>
      </w:r>
      <w:r>
        <w:t>), kommt nicht so leicht davon, wie er vielleicht hofft: Er schuldet grundsätzlich weiter Miete. Typisch sind ein bis zwei Monatsmieten plus Verlust der Kaution (Anbieterangabe); manche Verträge nennen eine feste Ausstiegsgebühr. In den meisten Staaten muss sich der Vermieter zudem redlich um einen Nachmieter bemühen; du zahlst dann nur bis zur Neuvermietung.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5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15B" w14:textId="77777777" w:rsidR="00C1548D" w:rsidRDefault="009B1B4B">
            <w:pPr>
              <w:keepNext/>
              <w:spacing w:after="70" w:line="240" w:lineRule="auto"/>
            </w:pPr>
            <w:r>
              <w:rPr>
                <w:b/>
                <w:bCs/>
                <w:color w:val="9B2C2C"/>
                <w:spacing w:val="24"/>
                <w:sz w:val="16"/>
                <w:szCs w:val="16"/>
              </w:rPr>
              <w:lastRenderedPageBreak/>
              <w:t>ACHTUNG</w:t>
            </w:r>
          </w:p>
          <w:p w14:paraId="70A4D15C" w14:textId="216FE64D" w:rsidR="00C1548D" w:rsidRDefault="009B1B4B">
            <w:pPr>
              <w:spacing w:after="80" w:line="264" w:lineRule="auto"/>
            </w:pPr>
            <w:r>
              <w:rPr>
                <w:sz w:val="20"/>
                <w:szCs w:val="20"/>
              </w:rPr>
              <w:t>Ein Zwölf-Monats-Vertrag ist ein Risiko, wenn dein Arbeitgeber ohne Angabe von Gründen kündigen darf (</w:t>
            </w:r>
            <w:r>
              <w:rPr>
                <w:i/>
                <w:iCs/>
                <w:sz w:val="20"/>
                <w:szCs w:val="20"/>
              </w:rPr>
              <w:t>At-will Employment</w:t>
            </w:r>
            <w:r>
              <w:rPr>
                <w:sz w:val="20"/>
                <w:szCs w:val="20"/>
              </w:rPr>
              <w:t>, Kapitel </w:t>
            </w:r>
            <w:hyperlink w:anchor="k29" w:history="1">
              <w:r>
                <w:rPr>
                  <w:sz w:val="20"/>
                  <w:szCs w:val="20"/>
                </w:rPr>
                <w:t>29</w:t>
              </w:r>
            </w:hyperlink>
            <w:r>
              <w:rPr>
                <w:sz w:val="20"/>
                <w:szCs w:val="20"/>
              </w:rPr>
              <w:t>) und dein Aufenthaltsstatus am Job hängt (Kapitel </w:t>
            </w:r>
            <w:hyperlink w:anchor="k30" w:history="1">
              <w:r>
                <w:rPr>
                  <w:sz w:val="20"/>
                  <w:szCs w:val="20"/>
                </w:rPr>
                <w:t>30</w:t>
              </w:r>
            </w:hyperlink>
            <w:r>
              <w:rPr>
                <w:sz w:val="20"/>
                <w:szCs w:val="20"/>
              </w:rPr>
              <w:t>). Frage vor der Unterschrift nach der Break-Lease-Klausel, einer Ausstiegsgebühr oder einer kürzeren Laufzeit.</w:t>
            </w:r>
          </w:p>
        </w:tc>
      </w:tr>
    </w:tbl>
    <w:p w14:paraId="70A4D15E" w14:textId="77777777" w:rsidR="00C1548D" w:rsidRDefault="00C1548D">
      <w:pPr>
        <w:spacing w:line="220" w:lineRule="exact"/>
      </w:pPr>
    </w:p>
    <w:p w14:paraId="70A4D15F" w14:textId="77777777" w:rsidR="00C1548D" w:rsidRDefault="009B1B4B">
      <w:pPr>
        <w:spacing w:after="140"/>
      </w:pPr>
      <w:r>
        <w:t>Für Untervermietung (</w:t>
      </w:r>
      <w:r>
        <w:rPr>
          <w:i/>
          <w:iCs/>
        </w:rPr>
        <w:t>Sublease</w:t>
      </w:r>
      <w:r>
        <w:t>) oder Vertragsübernahme brauchst du in der Regel die schriftliche Zustimmung des Vermieters, je nach Vertrag und Landesrecht. Auch heimliche Untervermietung über Ferienportale kann die Kündigung nach sich ziehen. Beim Einzug fotografierst du jeden Raum und jeden Schaden und füllst die Übergabeliste (</w:t>
      </w:r>
      <w:r>
        <w:rPr>
          <w:i/>
          <w:iCs/>
        </w:rPr>
        <w:t>Move-in Checklist</w:t>
      </w:r>
      <w:r>
        <w:t>) aus; in Michigan ist eine Inventarliste gesetzlich vorgesehen, die du binnen sieben Tagen zurückgibst.</w:t>
      </w:r>
    </w:p>
    <w:p w14:paraId="70A4D160" w14:textId="77777777" w:rsidR="00C1548D" w:rsidRDefault="009B1B4B">
      <w:pPr>
        <w:pStyle w:val="Heading3"/>
        <w:keepNext/>
        <w:jc w:val="center"/>
      </w:pPr>
      <w:r>
        <w:rPr>
          <w:rFonts w:ascii="Amazon Ember" w:eastAsia="Amazon Ember" w:hAnsi="Amazon Ember" w:cs="Amazon Ember"/>
          <w:color w:val="0000FF"/>
          <w:sz w:val="36"/>
          <w:szCs w:val="36"/>
        </w:rPr>
        <w:t>Nebenkosten und Ausstattung</w:t>
      </w:r>
    </w:p>
    <w:p w14:paraId="70A4D161" w14:textId="77777777" w:rsidR="00C1548D" w:rsidRDefault="009B1B4B">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w14:paraId="70A4D162" w14:textId="77777777" w:rsidR="00C1548D" w:rsidRDefault="009B1B4B">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w14:paraId="70A4D163" w14:textId="77777777" w:rsidR="00C1548D" w:rsidRDefault="009B1B4B">
      <w:pPr>
        <w:spacing w:after="140"/>
      </w:pPr>
      <w:r>
        <w:t xml:space="preserve">In Inseraten meint </w:t>
      </w:r>
      <w:r>
        <w:rPr>
          <w:i/>
          <w:iCs/>
        </w:rPr>
        <w:t>Utilities included</w:t>
      </w:r>
      <w:r>
        <w:t xml:space="preserve"> meist nur Wasser und Müll; Strom und Internet zahlst du fast immer selbst. Frage, welche Posten pauschal enthalten sind.</w:t>
      </w:r>
    </w:p>
    <w:p w14:paraId="70A4D164" w14:textId="051F3B62" w:rsidR="00C1548D" w:rsidRDefault="009B1B4B">
      <w:pPr>
        <w:spacing w:after="140"/>
      </w:pPr>
      <w:r>
        <w:lastRenderedPageBreak/>
        <w:t>Herd und Kühlschrank gehören meist zur Wohnung, eine Spülmaschine häufig, und in Neubauten oft auch eine Waschmaschine; sonst gibt es einen Waschraum im Haus, ältere New Yorker Häuser haben häufig keinen (Erfahrungswerte, regional verschieden). Die leere Küche, die du aus deutschen Mietwohnungen kennst, ist in den USA die Ausnahme. Möbel organisierst du selbst; ob du sie mitbringst oder vor Ort kaufst, klärt Kapitel </w:t>
      </w:r>
      <w:hyperlink w:anchor="k21" w:history="1">
        <w:r>
          <w:t>21</w:t>
        </w:r>
      </w:hyperlink>
      <w:r>
        <w:t>.</w:t>
      </w:r>
    </w:p>
    <w:p w14:paraId="70A4D165" w14:textId="77777777" w:rsidR="00C1548D" w:rsidRDefault="009B1B4B">
      <w:pPr>
        <w:pStyle w:val="Heading3"/>
        <w:keepNext/>
        <w:jc w:val="center"/>
      </w:pPr>
      <w:r>
        <w:rPr>
          <w:rFonts w:ascii="Amazon Ember" w:eastAsia="Amazon Ember" w:hAnsi="Amazon Ember" w:cs="Amazon Ember"/>
          <w:color w:val="0000FF"/>
          <w:sz w:val="36"/>
          <w:szCs w:val="36"/>
        </w:rPr>
        <w:t>Renters Insurance</w:t>
      </w:r>
    </w:p>
    <w:p w14:paraId="70A4D166" w14:textId="77777777" w:rsidR="00C1548D" w:rsidRDefault="009B1B4B">
      <w:pPr>
        <w:spacing w:after="140"/>
      </w:pPr>
      <w:r>
        <w:t xml:space="preserve">Die </w:t>
      </w:r>
      <w:r>
        <w:rPr>
          <w:i/>
          <w:iCs/>
        </w:rPr>
        <w:t>Renters Insurance</w:t>
      </w:r>
      <w:r>
        <w:t xml:space="preserv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w14:paraId="70A4D167" w14:textId="1CAF679D" w:rsidR="00C1548D" w:rsidRDefault="009B1B4B">
      <w:pPr>
        <w:spacing w:after="140"/>
      </w:pPr>
      <w: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history="1">
        <w:r>
          <w:t>25</w:t>
        </w:r>
      </w:hyperlink>
      <w:r>
        <w:t>.</w:t>
      </w:r>
    </w:p>
    <w:p w14:paraId="70A4D168" w14:textId="77777777" w:rsidR="00C1548D" w:rsidRDefault="009B1B4B">
      <w:pPr>
        <w:pStyle w:val="Heading3"/>
        <w:keepNext/>
        <w:jc w:val="center"/>
      </w:pPr>
      <w:r>
        <w:rPr>
          <w:rFonts w:ascii="Amazon Ember" w:eastAsia="Amazon Ember" w:hAnsi="Amazon Ember" w:cs="Amazon Ember"/>
          <w:color w:val="0000FF"/>
          <w:sz w:val="36"/>
          <w:szCs w:val="36"/>
        </w:rPr>
        <w:t>Übergangswohnen: möbliert und Corporate Housing</w:t>
      </w:r>
    </w:p>
    <w:p w14:paraId="70A4D169" w14:textId="77777777" w:rsidR="00C1548D" w:rsidRDefault="009B1B4B">
      <w:pPr>
        <w:spacing w:after="140"/>
      </w:pPr>
      <w:r>
        <w:t>Corporate Housing sind möblierte Wohnungen auf Zeit, meist ab 30 Tagen Mindestaufenthalt, mit Strom und Internet im Preis. Sie geben dir Zeit für Bankkonto, SSN und Besichtigungen vor Ort.</w:t>
      </w:r>
    </w:p>
    <w:p w14:paraId="70A4D16A" w14:textId="77777777" w:rsidR="00C1548D" w:rsidRDefault="009B1B4B">
      <w:pPr>
        <w:spacing w:after="140"/>
      </w:pPr>
      <w:r>
        <w:t>Anbieterangaben für 2026: 1BR rund 3.300 $ im Monat (etwa 110 $ pro Tag), 2BR rund 5.300 $, 3BR rund 7.400 $. New York und San Francisco liegen bei etwa 4.000 $ für 1BR, Chicago bei 3.500 $, Los Angeles bei 3.000 $, Atlanta bei 2.000 $; in Spitzenlagen sind 5.000–</w:t>
      </w:r>
      <w:r>
        <w:lastRenderedPageBreak/>
        <w:t>7.500 $ üblich. Zwei Monate in einer 1BR kosten also rund 6.600 $. Längere Laufzeiten senken den Preis.</w:t>
      </w:r>
    </w:p>
    <w:p w14:paraId="70A4D16B" w14:textId="389F421F" w:rsidR="00C1548D" w:rsidRDefault="009B1B4B">
      <w:pPr>
        <w:spacing w:after="140"/>
      </w:pPr>
      <w:r>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history="1">
        <w:r>
          <w:t>23</w:t>
        </w:r>
      </w:hyperlink>
      <w:r>
        <w:t>.</w:t>
      </w:r>
    </w:p>
    <w:p w14:paraId="70A4D16C" w14:textId="77777777" w:rsidR="00C1548D" w:rsidRDefault="009B1B4B">
      <w:pPr>
        <w:pStyle w:val="Heading3"/>
        <w:keepNext/>
        <w:jc w:val="center"/>
      </w:pPr>
      <w:r>
        <w:rPr>
          <w:rFonts w:ascii="Amazon Ember" w:eastAsia="Amazon Ember" w:hAnsi="Amazon Ember" w:cs="Amazon Ember"/>
          <w:color w:val="0000FF"/>
          <w:sz w:val="36"/>
          <w:szCs w:val="36"/>
        </w:rPr>
        <w:t>Mieterrechte: 50 Staaten, 50 Regeln</w:t>
      </w:r>
    </w:p>
    <w:p w14:paraId="70A4D16D" w14:textId="77777777" w:rsidR="00C1548D" w:rsidRDefault="009B1B4B">
      <w:pPr>
        <w:spacing w:after="140"/>
      </w:pPr>
      <w:r>
        <w:t>Das Mietrecht (</w:t>
      </w:r>
      <w:r>
        <w:rPr>
          <w:i/>
          <w:iCs/>
        </w:rPr>
        <w:t>Landlord-Tenant Law</w:t>
      </w:r>
      <w:r>
        <w:t xml:space="preserve">) regeln die Bundesstaaten, teils die Städte – es gibt weder eine bundesweite Mietpreisbremse noch ein bundesweites Kündigungsschutzgesetz. Auf Bundesebene verbietet der </w:t>
      </w:r>
      <w:r>
        <w:rPr>
          <w:i/>
          <w:iCs/>
        </w:rPr>
        <w:t>Fair Housing Act</w:t>
      </w:r>
      <w:r>
        <w:t xml:space="preserve"> Benachteiligung bei der Wohnungsvergabe, unter anderem wegen der nationalen Herkunft; Beschwerden gehen an das Ministerium für Wohnungsbau und Stadtentwicklung (HUD). Die Tabelle zeigt, wie unterschiedlich die Landesregeln sind (Stand September 2026).</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973"/>
        <w:gridCol w:w="950"/>
        <w:gridCol w:w="2607"/>
      </w:tblGrid>
      <w:tr w:rsidR="00C1548D" w14:paraId="70A4D172"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6E" w14:textId="77777777" w:rsidR="00C1548D" w:rsidRDefault="009B1B4B">
            <w:pPr>
              <w:spacing w:line="250" w:lineRule="auto"/>
            </w:pPr>
            <w:r>
              <w:rPr>
                <w:b/>
                <w:bCs/>
                <w:sz w:val="18"/>
                <w:szCs w:val="18"/>
              </w:rPr>
              <w:t>Staat</w:t>
            </w:r>
          </w:p>
        </w:tc>
        <w:tc>
          <w:tcPr>
            <w:tcW w:w="197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6F" w14:textId="77777777" w:rsidR="00C1548D" w:rsidRDefault="009B1B4B">
            <w:pPr>
              <w:spacing w:line="250" w:lineRule="auto"/>
            </w:pPr>
            <w:r>
              <w:rPr>
                <w:b/>
                <w:bCs/>
                <w:sz w:val="18"/>
                <w:szCs w:val="18"/>
              </w:rPr>
              <w:t>Kaution</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70" w14:textId="77777777" w:rsidR="00C1548D" w:rsidRDefault="009B1B4B">
            <w:pPr>
              <w:spacing w:line="250" w:lineRule="auto"/>
            </w:pPr>
            <w:r>
              <w:rPr>
                <w:b/>
                <w:bCs/>
                <w:sz w:val="18"/>
                <w:szCs w:val="18"/>
              </w:rPr>
              <w:t>Frist bei Mietrückstand</w:t>
            </w:r>
          </w:p>
        </w:tc>
        <w:tc>
          <w:tcPr>
            <w:tcW w:w="260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71" w14:textId="77777777" w:rsidR="00C1548D" w:rsidRDefault="009B1B4B">
            <w:pPr>
              <w:spacing w:line="250" w:lineRule="auto"/>
            </w:pPr>
            <w:r>
              <w:rPr>
                <w:b/>
                <w:bCs/>
                <w:sz w:val="18"/>
                <w:szCs w:val="18"/>
              </w:rPr>
              <w:t>Besonderheit</w:t>
            </w:r>
          </w:p>
        </w:tc>
      </w:tr>
      <w:tr w:rsidR="00C1548D" w14:paraId="70A4D17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73" w14:textId="77777777" w:rsidR="00C1548D" w:rsidRDefault="009B1B4B">
            <w:pPr>
              <w:spacing w:line="250" w:lineRule="auto"/>
            </w:pPr>
            <w:r>
              <w:rPr>
                <w:sz w:val="18"/>
                <w:szCs w:val="18"/>
              </w:rPr>
              <w:t>Kalifornien</w:t>
            </w:r>
          </w:p>
        </w:tc>
        <w:tc>
          <w:tcPr>
            <w:tcW w:w="19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74" w14:textId="77777777" w:rsidR="00C1548D" w:rsidRDefault="009B1B4B">
            <w:pPr>
              <w:spacing w:line="250" w:lineRule="auto"/>
            </w:pPr>
            <w:r>
              <w:rPr>
                <w:sz w:val="18"/>
                <w:szCs w:val="18"/>
              </w:rPr>
              <w:t>höchstens 1 Monatsmiete; Rückgabe binnen 21 Tagen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75" w14:textId="77777777" w:rsidR="00C1548D" w:rsidRDefault="009B1B4B">
            <w:pPr>
              <w:spacing w:line="250" w:lineRule="auto"/>
            </w:pPr>
            <w:r>
              <w:rPr>
                <w:sz w:val="18"/>
                <w:szCs w:val="18"/>
              </w:rPr>
              <w:t>3 Tage</w:t>
            </w:r>
          </w:p>
        </w:tc>
        <w:tc>
          <w:tcPr>
            <w:tcW w:w="26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76" w14:textId="77777777" w:rsidR="00C1548D" w:rsidRDefault="009B1B4B">
            <w:pPr>
              <w:spacing w:line="250" w:lineRule="auto"/>
            </w:pPr>
            <w:r>
              <w:rPr>
                <w:sz w:val="18"/>
                <w:szCs w:val="18"/>
              </w:rPr>
              <w:t>Erhöhungen bei älteren Gebäuden auf 5 % plus Inflation, höchstens 10 % im Jahr begrenzt (bis 2030)</w:t>
            </w:r>
          </w:p>
        </w:tc>
      </w:tr>
      <w:tr w:rsidR="00C1548D" w14:paraId="70A4D17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78" w14:textId="77777777" w:rsidR="00C1548D" w:rsidRDefault="009B1B4B">
            <w:pPr>
              <w:spacing w:line="250" w:lineRule="auto"/>
            </w:pPr>
            <w:r>
              <w:rPr>
                <w:sz w:val="18"/>
                <w:szCs w:val="18"/>
              </w:rPr>
              <w:t>New York</w:t>
            </w:r>
          </w:p>
        </w:tc>
        <w:tc>
          <w:tcPr>
            <w:tcW w:w="19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79" w14:textId="77777777" w:rsidR="00C1548D" w:rsidRDefault="009B1B4B">
            <w:pPr>
              <w:spacing w:line="250" w:lineRule="auto"/>
            </w:pPr>
            <w:r>
              <w:rPr>
                <w:sz w:val="18"/>
                <w:szCs w:val="18"/>
              </w:rPr>
              <w:t>höchstens 1 Monatsmiete; Rückgabe binnen 14 Tagen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7A" w14:textId="77777777" w:rsidR="00C1548D" w:rsidRDefault="009B1B4B">
            <w:pPr>
              <w:spacing w:line="250" w:lineRule="auto"/>
            </w:pPr>
            <w:r>
              <w:rPr>
                <w:sz w:val="18"/>
                <w:szCs w:val="18"/>
              </w:rPr>
              <w:t>14 Tage</w:t>
            </w:r>
          </w:p>
        </w:tc>
        <w:tc>
          <w:tcPr>
            <w:tcW w:w="26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7B" w14:textId="77777777" w:rsidR="00C1548D" w:rsidRDefault="009B1B4B">
            <w:pPr>
              <w:spacing w:line="250" w:lineRule="auto"/>
            </w:pPr>
            <w:r>
              <w:rPr>
                <w:sz w:val="18"/>
                <w:szCs w:val="18"/>
              </w:rPr>
              <w:t>Mietstabilisierung in New York City; FARE Act</w:t>
            </w:r>
          </w:p>
        </w:tc>
      </w:tr>
      <w:tr w:rsidR="00C1548D" w14:paraId="70A4D18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7D" w14:textId="77777777" w:rsidR="00C1548D" w:rsidRDefault="009B1B4B">
            <w:pPr>
              <w:spacing w:line="250" w:lineRule="auto"/>
            </w:pPr>
            <w:r>
              <w:rPr>
                <w:sz w:val="18"/>
                <w:szCs w:val="18"/>
              </w:rPr>
              <w:t>Texas</w:t>
            </w:r>
          </w:p>
        </w:tc>
        <w:tc>
          <w:tcPr>
            <w:tcW w:w="19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7E" w14:textId="77777777" w:rsidR="00C1548D" w:rsidRDefault="009B1B4B">
            <w:pPr>
              <w:spacing w:line="250" w:lineRule="auto"/>
            </w:pPr>
            <w:r>
              <w:rPr>
                <w:sz w:val="18"/>
                <w:szCs w:val="18"/>
              </w:rPr>
              <w:t>kein Deckel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7F" w14:textId="77777777" w:rsidR="00C1548D" w:rsidRDefault="009B1B4B">
            <w:pPr>
              <w:spacing w:line="250" w:lineRule="auto"/>
            </w:pPr>
            <w:r>
              <w:rPr>
                <w:sz w:val="18"/>
                <w:szCs w:val="18"/>
              </w:rPr>
              <w:t>3 Tage</w:t>
            </w:r>
          </w:p>
        </w:tc>
        <w:tc>
          <w:tcPr>
            <w:tcW w:w="26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80" w14:textId="77777777" w:rsidR="00C1548D" w:rsidRDefault="009B1B4B">
            <w:pPr>
              <w:spacing w:line="250" w:lineRule="auto"/>
            </w:pPr>
            <w:r>
              <w:rPr>
                <w:sz w:val="18"/>
                <w:szCs w:val="18"/>
              </w:rPr>
              <w:t>Neue Räumungsverfahren seit 1. Januar 2026 (SB 38)</w:t>
            </w:r>
          </w:p>
        </w:tc>
      </w:tr>
      <w:tr w:rsidR="00C1548D" w14:paraId="70A4D18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82" w14:textId="77777777" w:rsidR="00C1548D" w:rsidRDefault="009B1B4B">
            <w:pPr>
              <w:spacing w:line="250" w:lineRule="auto"/>
            </w:pPr>
            <w:r>
              <w:rPr>
                <w:sz w:val="18"/>
                <w:szCs w:val="18"/>
              </w:rPr>
              <w:t>Michigan</w:t>
            </w:r>
          </w:p>
        </w:tc>
        <w:tc>
          <w:tcPr>
            <w:tcW w:w="19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83" w14:textId="77777777" w:rsidR="00C1548D" w:rsidRDefault="009B1B4B">
            <w:pPr>
              <w:spacing w:line="250" w:lineRule="auto"/>
            </w:pPr>
            <w:r>
              <w:rPr>
                <w:sz w:val="18"/>
                <w:szCs w:val="18"/>
              </w:rPr>
              <w:t>höchstens 1,5 Monatsmieten; Abrechnung binnen 30 Tagen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84" w14:textId="77777777" w:rsidR="00C1548D" w:rsidRDefault="009B1B4B">
            <w:pPr>
              <w:spacing w:line="250" w:lineRule="auto"/>
            </w:pPr>
            <w:r>
              <w:rPr>
                <w:sz w:val="18"/>
                <w:szCs w:val="18"/>
              </w:rPr>
              <w:t>7 Tage</w:t>
            </w:r>
          </w:p>
        </w:tc>
        <w:tc>
          <w:tcPr>
            <w:tcW w:w="26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85" w14:textId="77777777" w:rsidR="00C1548D" w:rsidRDefault="009B1B4B">
            <w:pPr>
              <w:spacing w:line="250" w:lineRule="auto"/>
            </w:pPr>
            <w:r>
              <w:rPr>
                <w:sz w:val="18"/>
                <w:szCs w:val="18"/>
              </w:rPr>
              <w:t>Doppelter Schadensersatz bei unrechtmäßigem Einbehalt</w:t>
            </w:r>
          </w:p>
        </w:tc>
      </w:tr>
      <w:tr w:rsidR="00C1548D" w14:paraId="70A4D18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87" w14:textId="77777777" w:rsidR="00C1548D" w:rsidRDefault="009B1B4B">
            <w:pPr>
              <w:spacing w:line="250" w:lineRule="auto"/>
            </w:pPr>
            <w:r>
              <w:rPr>
                <w:sz w:val="18"/>
                <w:szCs w:val="18"/>
              </w:rPr>
              <w:lastRenderedPageBreak/>
              <w:t>Washington</w:t>
            </w:r>
          </w:p>
        </w:tc>
        <w:tc>
          <w:tcPr>
            <w:tcW w:w="19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88" w14:textId="77777777" w:rsidR="00C1548D" w:rsidRDefault="009B1B4B">
            <w:pPr>
              <w:spacing w:line="250" w:lineRule="auto"/>
            </w:pPr>
            <w:r>
              <w:rPr>
                <w:sz w:val="18"/>
                <w:szCs w:val="18"/>
              </w:rPr>
              <w:t>kein landesweiter Deckel; Seattle: Kaution plus Gebühren höchstens 1 Monatsmiete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89" w14:textId="77777777" w:rsidR="00C1548D" w:rsidRDefault="009B1B4B">
            <w:pPr>
              <w:spacing w:line="250" w:lineRule="auto"/>
            </w:pPr>
            <w:r>
              <w:rPr>
                <w:sz w:val="18"/>
                <w:szCs w:val="18"/>
              </w:rPr>
              <w:t>14 Tage</w:t>
            </w:r>
          </w:p>
        </w:tc>
        <w:tc>
          <w:tcPr>
            <w:tcW w:w="26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8A" w14:textId="77777777" w:rsidR="00C1548D" w:rsidRDefault="009B1B4B">
            <w:pPr>
              <w:spacing w:line="250" w:lineRule="auto"/>
            </w:pPr>
            <w:r>
              <w:rPr>
                <w:sz w:val="18"/>
                <w:szCs w:val="18"/>
              </w:rPr>
              <w:t>Erhöhung höchstens 7 % plus Inflation, maximal 10 %; 90 Tage Vorlauf</w:t>
            </w:r>
          </w:p>
        </w:tc>
      </w:tr>
    </w:tbl>
    <w:p w14:paraId="70A4D18C" w14:textId="77777777" w:rsidR="00C1548D" w:rsidRDefault="00C1548D">
      <w:pPr>
        <w:spacing w:line="180" w:lineRule="exact"/>
      </w:pPr>
    </w:p>
    <w:p w14:paraId="70A4D18D" w14:textId="77777777" w:rsidR="00C1548D" w:rsidRDefault="009B1B4B">
      <w:pPr>
        <w:spacing w:after="140"/>
      </w:pPr>
      <w:r>
        <w:t>Die Fristen bei Mietrückstand zeigen den Kontrast zu Deutschland: Hier greift die fristlose Kündigung erst bei zwei Monatsmieten Rückstand, dort laufen Fristen in Tagen. Kannst du eine Miete nicht zahlen, sprich sofort mit dem Vermieter. Andererseits darf niemand eigenmächtig räumen: Schlösser wechseln oder Strom abstellen ist unzulässig, eine Räumung (</w:t>
      </w:r>
      <w:r>
        <w:rPr>
          <w:i/>
          <w:iCs/>
        </w:rPr>
        <w:t>Eviction</w:t>
      </w:r>
      <w:r>
        <w:t>) läuft über das Gericht.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90"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18E" w14:textId="77777777" w:rsidR="00C1548D" w:rsidRDefault="009B1B4B">
            <w:pPr>
              <w:keepNext/>
              <w:spacing w:after="70" w:line="240" w:lineRule="auto"/>
            </w:pPr>
            <w:r>
              <w:rPr>
                <w:b/>
                <w:bCs/>
                <w:color w:val="8A6212"/>
                <w:spacing w:val="24"/>
                <w:sz w:val="16"/>
                <w:szCs w:val="16"/>
              </w:rPr>
              <w:t>MERKE</w:t>
            </w:r>
          </w:p>
          <w:p w14:paraId="70A4D18F" w14:textId="77777777" w:rsidR="00C1548D" w:rsidRDefault="009B1B4B">
            <w:pPr>
              <w:spacing w:after="80" w:line="264" w:lineRule="auto"/>
            </w:pPr>
            <w:r>
              <w:rPr>
                <w:sz w:val="20"/>
                <w:szCs w:val="20"/>
              </w:rPr>
              <w:t>Mietrecht ist Landesrecht. Was in Kalifornien gilt, muss in Texas nicht gelten. Lies deshalb die Seiten deiner Landes- oder Stadtbehörde und deinen Vertrag, nicht einen Ratgeber aus einem anderen Staat.</w:t>
            </w:r>
          </w:p>
        </w:tc>
      </w:tr>
    </w:tbl>
    <w:p w14:paraId="70A4D191" w14:textId="77777777" w:rsidR="00C1548D" w:rsidRDefault="00C1548D">
      <w:pPr>
        <w:spacing w:line="220" w:lineRule="exact"/>
      </w:pPr>
    </w:p>
    <w:p w14:paraId="70A4D192" w14:textId="77777777" w:rsidR="00C1548D" w:rsidRDefault="009B1B4B">
      <w:pPr>
        <w:pStyle w:val="Heading3"/>
        <w:keepNext/>
        <w:jc w:val="center"/>
      </w:pPr>
      <w:r>
        <w:rPr>
          <w:rFonts w:ascii="Amazon Ember" w:eastAsia="Amazon Ember" w:hAnsi="Amazon Ember" w:cs="Amazon Ember"/>
          <w:color w:val="0000FF"/>
          <w:sz w:val="36"/>
          <w:szCs w:val="36"/>
        </w:rPr>
        <w:t>Vergleich mit dem deutschen Mietrecht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674"/>
        <w:gridCol w:w="2856"/>
      </w:tblGrid>
      <w:tr w:rsidR="00C1548D" w14:paraId="70A4D196"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93" w14:textId="77777777" w:rsidR="00C1548D" w:rsidRDefault="009B1B4B">
            <w:pPr>
              <w:spacing w:line="250" w:lineRule="auto"/>
            </w:pPr>
            <w:r>
              <w:rPr>
                <w:b/>
                <w:bCs/>
                <w:sz w:val="18"/>
                <w:szCs w:val="18"/>
              </w:rPr>
              <w:t>Thema</w:t>
            </w:r>
          </w:p>
        </w:tc>
        <w:tc>
          <w:tcPr>
            <w:tcW w:w="267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94" w14:textId="77777777" w:rsidR="00C1548D" w:rsidRDefault="009B1B4B">
            <w:pPr>
              <w:spacing w:line="250" w:lineRule="auto"/>
            </w:pPr>
            <w:r>
              <w:rPr>
                <w:b/>
                <w:bCs/>
                <w:sz w:val="18"/>
                <w:szCs w:val="18"/>
              </w:rPr>
              <w:t>Deutschland</w:t>
            </w:r>
          </w:p>
        </w:tc>
        <w:tc>
          <w:tcPr>
            <w:tcW w:w="285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95" w14:textId="77777777" w:rsidR="00C1548D" w:rsidRDefault="009B1B4B">
            <w:pPr>
              <w:spacing w:line="250" w:lineRule="auto"/>
            </w:pPr>
            <w:r>
              <w:rPr>
                <w:b/>
                <w:bCs/>
                <w:sz w:val="18"/>
                <w:szCs w:val="18"/>
              </w:rPr>
              <w:t>USA</w:t>
            </w:r>
          </w:p>
        </w:tc>
      </w:tr>
      <w:tr w:rsidR="00C1548D" w14:paraId="70A4D19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97" w14:textId="77777777" w:rsidR="00C1548D" w:rsidRDefault="009B1B4B">
            <w:pPr>
              <w:spacing w:line="250" w:lineRule="auto"/>
            </w:pPr>
            <w:r>
              <w:rPr>
                <w:sz w:val="18"/>
                <w:szCs w:val="18"/>
              </w:rPr>
              <w:t>Kündigungsschutz</w:t>
            </w:r>
          </w:p>
        </w:tc>
        <w:tc>
          <w:tcPr>
            <w:tcW w:w="26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98" w14:textId="77777777" w:rsidR="00C1548D" w:rsidRDefault="009B1B4B">
            <w:pPr>
              <w:spacing w:line="250" w:lineRule="auto"/>
            </w:pPr>
            <w:r>
              <w:rPr>
                <w:sz w:val="18"/>
                <w:szCs w:val="18"/>
              </w:rPr>
              <w:t>Unbefristet üblich; Vermieter braucht ein berechtigtes Interesse (z. B. Eigenbedarf), Fristen ab drei Monaten</w:t>
            </w:r>
          </w:p>
        </w:tc>
        <w:tc>
          <w:tcPr>
            <w:tcW w:w="28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99" w14:textId="77777777" w:rsidR="00C1548D" w:rsidRDefault="009B1B4B">
            <w:pPr>
              <w:spacing w:line="250" w:lineRule="auto"/>
            </w:pPr>
            <w:r>
              <w:rPr>
                <w:sz w:val="18"/>
                <w:szCs w:val="18"/>
              </w:rPr>
              <w:t>Meist zwölf Monate befristet; danach oft Verlängerung nach Ermessen des Vermieters, Kündigungsgründe nur in einzelnen Staaten (z. B. Kalifornien)</w:t>
            </w:r>
          </w:p>
        </w:tc>
      </w:tr>
      <w:tr w:rsidR="00C1548D" w14:paraId="70A4D19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9B" w14:textId="77777777" w:rsidR="00C1548D" w:rsidRDefault="009B1B4B">
            <w:pPr>
              <w:spacing w:line="250" w:lineRule="auto"/>
            </w:pPr>
            <w:r>
              <w:rPr>
                <w:sz w:val="18"/>
                <w:szCs w:val="18"/>
              </w:rPr>
              <w:t>Mietpreisbremse</w:t>
            </w:r>
          </w:p>
        </w:tc>
        <w:tc>
          <w:tcPr>
            <w:tcW w:w="26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9C" w14:textId="77777777" w:rsidR="00C1548D" w:rsidRDefault="009B1B4B">
            <w:pPr>
              <w:spacing w:line="250" w:lineRule="auto"/>
            </w:pPr>
            <w:r>
              <w:rPr>
                <w:sz w:val="18"/>
                <w:szCs w:val="18"/>
              </w:rPr>
              <w:t>In angespannten Märkten Neuvertrag höchstens 10 % über der ortsüblichen Vergleichsmiete; verlängert bis 31. Dezember 2029</w:t>
            </w:r>
          </w:p>
        </w:tc>
        <w:tc>
          <w:tcPr>
            <w:tcW w:w="28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9D" w14:textId="77777777" w:rsidR="00C1548D" w:rsidRDefault="009B1B4B">
            <w:pPr>
              <w:spacing w:line="250" w:lineRule="auto"/>
            </w:pPr>
            <w:r>
              <w:rPr>
                <w:sz w:val="18"/>
                <w:szCs w:val="18"/>
              </w:rPr>
              <w:t>Bundesweit keine; Begrenzungen nur in einzelnen Staaten und Städten (z. B. Kalifornien, Washington, New York City)</w:t>
            </w:r>
          </w:p>
        </w:tc>
      </w:tr>
      <w:tr w:rsidR="00C1548D" w14:paraId="70A4D1A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9F" w14:textId="77777777" w:rsidR="00C1548D" w:rsidRDefault="009B1B4B">
            <w:pPr>
              <w:spacing w:line="250" w:lineRule="auto"/>
            </w:pPr>
            <w:r>
              <w:rPr>
                <w:sz w:val="18"/>
                <w:szCs w:val="18"/>
              </w:rPr>
              <w:lastRenderedPageBreak/>
              <w:t>Nebenkosten</w:t>
            </w:r>
          </w:p>
        </w:tc>
        <w:tc>
          <w:tcPr>
            <w:tcW w:w="26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A0" w14:textId="77777777" w:rsidR="00C1548D" w:rsidRDefault="009B1B4B">
            <w:pPr>
              <w:spacing w:line="250" w:lineRule="auto"/>
            </w:pPr>
            <w:r>
              <w:rPr>
                <w:sz w:val="18"/>
                <w:szCs w:val="18"/>
              </w:rPr>
              <w:t>Vorauszahlung und jährliche Abrechnung mit Nachzahlung oder Guthaben</w:t>
            </w:r>
          </w:p>
        </w:tc>
        <w:tc>
          <w:tcPr>
            <w:tcW w:w="28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A1" w14:textId="77777777" w:rsidR="00C1548D" w:rsidRDefault="009B1B4B">
            <w:pPr>
              <w:spacing w:line="250" w:lineRule="auto"/>
            </w:pPr>
            <w:r>
              <w:rPr>
                <w:sz w:val="18"/>
                <w:szCs w:val="18"/>
              </w:rPr>
              <w:t>Strom, Gas, Internet direkt beim Versorger; Wasser und Müll pauschal oder monatlich; Jahresabrechnung selten</w:t>
            </w:r>
          </w:p>
        </w:tc>
      </w:tr>
      <w:tr w:rsidR="00C1548D" w14:paraId="70A4D1A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A3" w14:textId="77777777" w:rsidR="00C1548D" w:rsidRDefault="009B1B4B">
            <w:pPr>
              <w:spacing w:line="250" w:lineRule="auto"/>
            </w:pPr>
            <w:r>
              <w:rPr>
                <w:sz w:val="18"/>
                <w:szCs w:val="18"/>
              </w:rPr>
              <w:t>Kaution</w:t>
            </w:r>
          </w:p>
        </w:tc>
        <w:tc>
          <w:tcPr>
            <w:tcW w:w="26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A4" w14:textId="77777777" w:rsidR="00C1548D" w:rsidRDefault="009B1B4B">
            <w:pPr>
              <w:spacing w:line="250" w:lineRule="auto"/>
            </w:pPr>
            <w:r>
              <w:rPr>
                <w:sz w:val="18"/>
                <w:szCs w:val="18"/>
              </w:rPr>
              <w:t>Höchstens drei Nettokaltmieten (§ 551 BGB)</w:t>
            </w:r>
          </w:p>
        </w:tc>
        <w:tc>
          <w:tcPr>
            <w:tcW w:w="28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A5" w14:textId="77777777" w:rsidR="00C1548D" w:rsidRDefault="009B1B4B">
            <w:pPr>
              <w:spacing w:line="250" w:lineRule="auto"/>
            </w:pPr>
            <w:r>
              <w:rPr>
                <w:sz w:val="18"/>
                <w:szCs w:val="18"/>
              </w:rPr>
              <w:t>Deckel je Staat (eine Monatsmiete bis keiner); Rückgabe in 14–60 Tagen</w:t>
            </w:r>
          </w:p>
        </w:tc>
      </w:tr>
    </w:tbl>
    <w:p w14:paraId="70A4D1A7" w14:textId="77777777" w:rsidR="00C1548D" w:rsidRDefault="00C1548D">
      <w:pPr>
        <w:spacing w:line="180" w:lineRule="exact"/>
      </w:pPr>
    </w:p>
    <w:p w14:paraId="70A4D1A8" w14:textId="77777777" w:rsidR="00C1548D" w:rsidRDefault="009B1B4B">
      <w:pPr>
        <w:pStyle w:val="Heading3"/>
        <w:keepNext/>
        <w:jc w:val="center"/>
      </w:pPr>
      <w:r>
        <w:rPr>
          <w:rFonts w:ascii="Amazon Ember" w:eastAsia="Amazon Ember" w:hAnsi="Amazon Ember" w:cs="Amazon Ember"/>
          <w:color w:val="0000FF"/>
          <w:sz w:val="36"/>
          <w:szCs w:val="36"/>
        </w:rPr>
        <w:t>Fallen: Fake-Anzeigen und Vorauszahlungsbetrug</w:t>
      </w:r>
    </w:p>
    <w:p w14:paraId="70A4D1A9" w14:textId="77777777" w:rsidR="00C1548D" w:rsidRDefault="009B1B4B">
      <w:pPr>
        <w:spacing w:after="140"/>
      </w:pPr>
      <w:r>
        <w:t>Die Nachricht kommt erstaunlich schnell, klingt freundlich und bietet noch vor der ersten Besichtigung einen Link zur Anzahlung an –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w14:paraId="70A4D1AA" w14:textId="77777777" w:rsidR="00C1548D" w:rsidRDefault="009B1B4B">
      <w:pPr>
        <w:spacing w:after="140"/>
      </w:pPr>
      <w:r>
        <w:t>Warnsignale sind ein Preis weit unter dem Markt, die Forderung nach Vorauszahlung vor der Besichtigung, ein Objekt, das zugleich zum Verkauf steht, wechselnde Kontaktdaten und Zeitdruck. Weitere Muster: „Bonitätsprüfungen“ auf fremden Websites, die in Abo-Fallen oder Identitätsdiebstahl (SSN, Führerschein) münden, und gefälschte Codes für Schlüsselkästen.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A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1AB" w14:textId="77777777" w:rsidR="00C1548D" w:rsidRDefault="009B1B4B">
            <w:pPr>
              <w:keepNext/>
              <w:spacing w:after="70" w:line="240" w:lineRule="auto"/>
            </w:pPr>
            <w:r>
              <w:rPr>
                <w:b/>
                <w:bCs/>
                <w:color w:val="9B2C2C"/>
                <w:spacing w:val="24"/>
                <w:sz w:val="16"/>
                <w:szCs w:val="16"/>
              </w:rPr>
              <w:lastRenderedPageBreak/>
              <w:t>ACHTUNG</w:t>
            </w:r>
          </w:p>
          <w:p w14:paraId="70A4D1AC" w14:textId="77777777" w:rsidR="00C1548D" w:rsidRDefault="009B1B4B">
            <w:pPr>
              <w:spacing w:after="80" w:line="264" w:lineRule="auto"/>
            </w:pPr>
            <w:r>
              <w:rPr>
                <w:sz w:val="20"/>
                <w:szCs w:val="20"/>
              </w:rPr>
              <w:t>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tc>
      </w:tr>
    </w:tbl>
    <w:p w14:paraId="70A4D1AE" w14:textId="77777777" w:rsidR="00C1548D" w:rsidRDefault="00C1548D">
      <w:pPr>
        <w:spacing w:line="220" w:lineRule="exact"/>
      </w:pPr>
    </w:p>
    <w:p w14:paraId="70A4D1AF" w14:textId="77777777" w:rsidR="00C1548D" w:rsidRDefault="009B1B4B">
      <w:pPr>
        <w:pStyle w:val="Heading3"/>
        <w:keepNext/>
        <w:jc w:val="center"/>
      </w:pPr>
      <w:r>
        <w:rPr>
          <w:rFonts w:ascii="Amazon Ember" w:eastAsia="Amazon Ember" w:hAnsi="Amazon Ember" w:cs="Amazon Ember"/>
          <w:color w:val="0000FF"/>
          <w:sz w:val="36"/>
          <w:szCs w:val="36"/>
        </w:rPr>
        <w:t>Fallen: Junk Fees und Maklergebühr</w:t>
      </w:r>
    </w:p>
    <w:p w14:paraId="70A4D1B0" w14:textId="77777777" w:rsidR="00C1548D" w:rsidRDefault="009B1B4B">
      <w:pPr>
        <w:spacing w:after="140"/>
      </w:pPr>
      <w:r>
        <w:rPr>
          <w:i/>
          <w:iCs/>
        </w:rPr>
        <w:t>Junk Fees</w:t>
      </w:r>
      <w:r>
        <w:t xml:space="preserve">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w14:paraId="70A4D1B1" w14:textId="77777777" w:rsidR="00C1548D" w:rsidRDefault="009B1B4B">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B4"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1B2" w14:textId="77777777" w:rsidR="00C1548D" w:rsidRDefault="009B1B4B">
            <w:pPr>
              <w:keepNext/>
              <w:spacing w:after="70" w:line="240" w:lineRule="auto"/>
            </w:pPr>
            <w:r>
              <w:rPr>
                <w:b/>
                <w:bCs/>
                <w:color w:val="8A6212"/>
                <w:spacing w:val="24"/>
                <w:sz w:val="16"/>
                <w:szCs w:val="16"/>
              </w:rPr>
              <w:t>MERKE</w:t>
            </w:r>
          </w:p>
          <w:p w14:paraId="70A4D1B3" w14:textId="77777777" w:rsidR="00C1548D" w:rsidRDefault="009B1B4B">
            <w:pPr>
              <w:spacing w:after="80" w:line="264" w:lineRule="auto"/>
            </w:pPr>
            <w:r>
              <w:rPr>
                <w:sz w:val="20"/>
                <w:szCs w:val="20"/>
              </w:rPr>
              <w:t>Vergleiche Wohnungen nicht nach der Inseratsmiete, sondern nach den Gesamtkosten im Monat: Miete, Pflichtgebühren, Nebenkosten und Versicherung. Lass dir diese Summe vor der Bewerbung schriftlich nennen.</w:t>
            </w:r>
          </w:p>
        </w:tc>
      </w:tr>
    </w:tbl>
    <w:p w14:paraId="70A4D1B5" w14:textId="77777777" w:rsidR="00C1548D" w:rsidRDefault="00C1548D">
      <w:pPr>
        <w:spacing w:line="220" w:lineRule="exact"/>
      </w:pPr>
    </w:p>
    <w:p w14:paraId="70A4D1B6" w14:textId="77777777" w:rsidR="00C1548D" w:rsidRDefault="009B1B4B">
      <w:pPr>
        <w:spacing w:after="140"/>
      </w:pPr>
      <w:r>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w14:paraId="70A4D1B7" w14:textId="77777777" w:rsidR="00C1548D" w:rsidRDefault="009B1B4B">
      <w:pPr>
        <w:spacing w:after="140"/>
      </w:pPr>
      <w:r>
        <w:t xml:space="preserve">Du darfst freiwillig einen eigenen Makler beauftragen, doch niemand darf dich dazu zwingen; Prüfgebühren bleiben erlaubt. Bei </w:t>
      </w:r>
      <w:r>
        <w:lastRenderedPageBreak/>
        <w:t>Verstößen drohen Bußgeld, Rückerstattung und private Klagen. Das Berufungsgericht (2nd Circuit) wies die Klagen der Immobilienbranche am 13. Juli 2026 ab; weitere Rechtsmittel sind möglich.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B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1B8" w14:textId="77777777" w:rsidR="00C1548D" w:rsidRDefault="009B1B4B">
            <w:pPr>
              <w:keepNext/>
              <w:spacing w:after="70" w:line="240" w:lineRule="auto"/>
            </w:pPr>
            <w:r>
              <w:rPr>
                <w:b/>
                <w:bCs/>
                <w:color w:val="9B2C2C"/>
                <w:spacing w:val="24"/>
                <w:sz w:val="16"/>
                <w:szCs w:val="16"/>
              </w:rPr>
              <w:t>ACHTUNG</w:t>
            </w:r>
          </w:p>
          <w:p w14:paraId="70A4D1B9" w14:textId="77777777" w:rsidR="00C1548D" w:rsidRDefault="009B1B4B">
            <w:pPr>
              <w:spacing w:after="80" w:line="264" w:lineRule="auto"/>
            </w:pPr>
            <w:r>
              <w:rPr>
                <w:sz w:val="20"/>
                <w:szCs w:val="20"/>
              </w:rPr>
              <w:t>Verlangt in New York ein Makler des Vermieters Geld von dir, fordere die Zahlung zurück und melde den Fall der städtischen Verbraucherbehörde (DCWP). Außerhalb New Yorks unterscheiden sich Maklergebühren je Markt: Frage vor der Besichtigung, wer den Makler bezahlt.</w:t>
            </w:r>
          </w:p>
        </w:tc>
      </w:tr>
    </w:tbl>
    <w:p w14:paraId="70A4D1BB" w14:textId="77777777" w:rsidR="00C1548D" w:rsidRDefault="00C1548D">
      <w:pPr>
        <w:spacing w:line="220" w:lineRule="exact"/>
      </w:pPr>
    </w:p>
    <w:p w14:paraId="70A4D1BC" w14:textId="77777777" w:rsidR="00C1548D" w:rsidRDefault="009B1B4B">
      <w:pPr>
        <w:pStyle w:val="Heading3"/>
        <w:keepNext/>
        <w:jc w:val="center"/>
      </w:pPr>
      <w:r>
        <w:rPr>
          <w:rFonts w:ascii="Amazon Ember" w:eastAsia="Amazon Ember" w:hAnsi="Amazon Ember" w:cs="Amazon Ember"/>
          <w:color w:val="0000FF"/>
          <w:sz w:val="36"/>
          <w:szCs w:val="36"/>
        </w:rPr>
        <w:t>Auszug und Kaution zurück</w:t>
      </w:r>
    </w:p>
    <w:p w14:paraId="70A4D1BD" w14:textId="77777777" w:rsidR="00C1548D" w:rsidRDefault="009B1B4B">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w14:paraId="70A4D1BE" w14:textId="77777777" w:rsidR="00C1548D" w:rsidRDefault="009B1B4B">
      <w:pPr>
        <w:spacing w:after="140"/>
      </w:pPr>
      <w:r>
        <w:t xml:space="preserve">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w:t>
      </w:r>
      <w:r>
        <w:rPr>
          <w:i/>
          <w:iCs/>
        </w:rPr>
        <w:t>Small Claims Court</w:t>
      </w:r>
      <w:r>
        <w:t>, ein vereinfachtes Gericht für kleinere Streitwerte, meist ohne Anwalt.</w:t>
      </w:r>
    </w:p>
    <w:p w14:paraId="70A4D1BF"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1C2"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C0"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1C1" w14:textId="77777777" w:rsidR="00C1548D" w:rsidRDefault="009B1B4B">
            <w:pPr>
              <w:spacing w:line="250" w:lineRule="auto"/>
            </w:pPr>
            <w:r>
              <w:rPr>
                <w:b/>
                <w:bCs/>
                <w:sz w:val="18"/>
                <w:szCs w:val="18"/>
              </w:rPr>
              <w:t>Minus</w:t>
            </w:r>
          </w:p>
        </w:tc>
      </w:tr>
      <w:tr w:rsidR="00C1548D" w14:paraId="70A4D1C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C3" w14:textId="77777777" w:rsidR="00C1548D" w:rsidRDefault="009B1B4B">
            <w:pPr>
              <w:spacing w:line="250" w:lineRule="auto"/>
            </w:pPr>
            <w:r>
              <w:rPr>
                <w:sz w:val="18"/>
                <w:szCs w:val="18"/>
              </w:rPr>
              <w:t>Küchengeräte sind meist inklusive; neue Anlagen bieten Fitnessraum, Pool und Waschküche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C4" w14:textId="77777777" w:rsidR="00C1548D" w:rsidRDefault="009B1B4B">
            <w:pPr>
              <w:spacing w:line="250" w:lineRule="auto"/>
            </w:pPr>
            <w:r>
              <w:rPr>
                <w:sz w:val="18"/>
                <w:szCs w:val="18"/>
              </w:rPr>
              <w:t>Ohne Credit Score brauchst du Zusatzsicherheiten (Bürgschaft, Vorauszahlung, höhere Kaution)</w:t>
            </w:r>
          </w:p>
        </w:tc>
      </w:tr>
      <w:tr w:rsidR="00C1548D" w14:paraId="70A4D1C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C6" w14:textId="77777777" w:rsidR="00C1548D" w:rsidRDefault="009B1B4B">
            <w:pPr>
              <w:spacing w:line="250" w:lineRule="auto"/>
            </w:pPr>
            <w:r>
              <w:rPr>
                <w:sz w:val="18"/>
                <w:szCs w:val="18"/>
              </w:rPr>
              <w:t>Viele Märkte mit stagnierenden Mieten, Rabatten und Verhandlungsspielraum</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C7" w14:textId="77777777" w:rsidR="00C1548D" w:rsidRDefault="009B1B4B">
            <w:pPr>
              <w:spacing w:line="250" w:lineRule="auto"/>
            </w:pPr>
            <w:r>
              <w:rPr>
                <w:sz w:val="18"/>
                <w:szCs w:val="18"/>
              </w:rPr>
              <w:t>Beim Einzug fallen schnell 3.000–15.000 $ an</w:t>
            </w:r>
          </w:p>
        </w:tc>
      </w:tr>
      <w:tr w:rsidR="00C1548D" w14:paraId="70A4D1C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C9" w14:textId="77777777" w:rsidR="00C1548D" w:rsidRDefault="009B1B4B">
            <w:pPr>
              <w:spacing w:line="250" w:lineRule="auto"/>
            </w:pPr>
            <w:r>
              <w:rPr>
                <w:sz w:val="18"/>
                <w:szCs w:val="18"/>
              </w:rPr>
              <w:lastRenderedPageBreak/>
              <w:t>Reparaturen und Instandhaltung liegen beim Vermieter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CA" w14:textId="77777777" w:rsidR="00C1548D" w:rsidRDefault="009B1B4B">
            <w:pPr>
              <w:spacing w:line="250" w:lineRule="auto"/>
            </w:pPr>
            <w:r>
              <w:rPr>
                <w:sz w:val="18"/>
                <w:szCs w:val="18"/>
              </w:rPr>
              <w:t>Gebühren pro Person, Nebenkosten und Versicherung kommen obendrauf</w:t>
            </w:r>
          </w:p>
        </w:tc>
      </w:tr>
      <w:tr w:rsidR="00C1548D" w14:paraId="70A4D1C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CC" w14:textId="77777777" w:rsidR="00C1548D" w:rsidRDefault="009B1B4B">
            <w:pPr>
              <w:spacing w:line="250" w:lineRule="auto"/>
            </w:pPr>
            <w:r>
              <w:rPr>
                <w:sz w:val="18"/>
                <w:szCs w:val="18"/>
              </w:rPr>
              <w:t>Nach zwölf Monaten kannst du ohne Verkaufsrisiko weiterziehen (Job, Visum)</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CD" w14:textId="77777777" w:rsidR="00C1548D" w:rsidRDefault="009B1B4B">
            <w:pPr>
              <w:spacing w:line="250" w:lineRule="auto"/>
            </w:pPr>
            <w:r>
              <w:rPr>
                <w:sz w:val="18"/>
                <w:szCs w:val="18"/>
              </w:rPr>
              <w:t>Vorzeitiger Auszug kostet meist ein bis zwei Monatsmieten oder mehr</w:t>
            </w:r>
          </w:p>
        </w:tc>
      </w:tr>
      <w:tr w:rsidR="00C1548D" w14:paraId="70A4D1D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CF" w14:textId="77777777" w:rsidR="00C1548D" w:rsidRDefault="009B1B4B">
            <w:pPr>
              <w:spacing w:line="250" w:lineRule="auto"/>
            </w:pPr>
            <w:r>
              <w:rPr>
                <w:sz w:val="18"/>
                <w:szCs w:val="18"/>
              </w:rPr>
              <w:t>Suche, Antrag und Prüfung laufen digital, meist binnen Tagen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D0" w14:textId="77777777" w:rsidR="00C1548D" w:rsidRDefault="009B1B4B">
            <w:pPr>
              <w:spacing w:line="250" w:lineRule="auto"/>
            </w:pPr>
            <w:r>
              <w:rPr>
                <w:sz w:val="18"/>
                <w:szCs w:val="18"/>
              </w:rPr>
              <w:t>Mieterschutz ist Landesrecht und oft dünner als in Deutschland; Fristen bei Mietrückstand teils nur drei Tage</w:t>
            </w:r>
          </w:p>
        </w:tc>
      </w:tr>
      <w:tr w:rsidR="00C1548D" w14:paraId="70A4D1D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D2" w14:textId="77777777" w:rsidR="00C1548D" w:rsidRDefault="009B1B4B">
            <w:pPr>
              <w:spacing w:line="250" w:lineRule="auto"/>
            </w:pPr>
            <w:r>
              <w:rPr>
                <w:sz w:val="18"/>
                <w:szCs w:val="18"/>
              </w:rPr>
              <w:t>Miete ist planbar, ohne Grundsteuer und Reparaturrisiko</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1D3" w14:textId="77777777" w:rsidR="00C1548D" w:rsidRDefault="009B1B4B">
            <w:pPr>
              <w:spacing w:line="250" w:lineRule="auto"/>
            </w:pPr>
            <w:r>
              <w:rPr>
                <w:sz w:val="18"/>
                <w:szCs w:val="18"/>
              </w:rPr>
              <w:t>Betrug und Junk Fees treffen Neuankömmlinge aus dem Ausland besonders</w:t>
            </w:r>
          </w:p>
        </w:tc>
      </w:tr>
    </w:tbl>
    <w:p w14:paraId="70A4D1D5" w14:textId="77777777" w:rsidR="00C1548D" w:rsidRDefault="00C1548D">
      <w:pPr>
        <w:spacing w:line="180" w:lineRule="exact"/>
      </w:pPr>
    </w:p>
    <w:p w14:paraId="70A4D1D6"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1D7" w14:textId="3EDF4198" w:rsidR="00C1548D" w:rsidRDefault="009B1B4B">
      <w:pPr>
        <w:spacing w:after="140"/>
      </w:pPr>
      <w:r>
        <w:t>Lege vor dem Abflug dein Mietbudget nach der Dreifach-Regel fest, sammle deine Unterlagen und plane die ersten 30 Tage möbliert. Suche die Wohnung nach der Landung vor Ort, möglichst mit SSN und US-Konto (Kapitel </w:t>
      </w:r>
      <w:hyperlink w:anchor="k24" w:history="1">
        <w:r>
          <w:t>24</w:t>
        </w:r>
      </w:hyperlink>
      <w:r>
        <w:t xml:space="preserve"> und </w:t>
      </w:r>
      <w:hyperlink w:anchor="k25" w:history="1">
        <w:r>
          <w:t>25</w:t>
        </w:r>
      </w:hyperlink>
      <w:r>
        <w:t>). Ob später ein Kauf infrage kommt, klärt Kapitel </w:t>
      </w:r>
      <w:hyperlink w:anchor="k14" w:history="1">
        <w:r>
          <w:t>14</w:t>
        </w:r>
      </w:hyperlink>
      <w:r>
        <w:t>; als Faustregel gilt dort eine Haltedauer von mindestens fünf Jahren.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E4"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1D8" w14:textId="77777777" w:rsidR="00C1548D" w:rsidRDefault="009B1B4B">
            <w:pPr>
              <w:keepNext/>
              <w:spacing w:after="70" w:line="240" w:lineRule="auto"/>
            </w:pPr>
            <w:r>
              <w:rPr>
                <w:b/>
                <w:bCs/>
                <w:color w:val="1F6F78"/>
                <w:spacing w:val="24"/>
                <w:sz w:val="16"/>
                <w:szCs w:val="16"/>
              </w:rPr>
              <w:lastRenderedPageBreak/>
              <w:t>CHECKLISTE</w:t>
            </w:r>
          </w:p>
          <w:p w14:paraId="70A4D1D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Mietbudget festlegen: Monatsmiete höchstens ein Drittel des Bruttoeinkommens, dazu 150–300 $ Nebenkosten</w:t>
            </w:r>
          </w:p>
          <w:p w14:paraId="70A4D1D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Offer Letter mit Gehalt und Startdatum als PDF bereithalten</w:t>
            </w:r>
          </w:p>
          <w:p w14:paraId="70A4D1D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Drei Monate Kontoauszüge und eine englische Referenz des bisherigen Vermieters besorgen</w:t>
            </w:r>
          </w:p>
          <w:p w14:paraId="70A4D1D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Erste 30 Tage möbliert planen und den Arbeitgeber nach Relocation-Unterstützung fragen</w:t>
            </w:r>
          </w:p>
          <w:p w14:paraId="70A4D1DD" w14:textId="6E6D2B4B"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US-Konto so früh wie möglich eröffnen (Kapitel </w:t>
            </w:r>
            <w:hyperlink w:anchor="k25" w:history="1">
              <w:r>
                <w:rPr>
                  <w:sz w:val="20"/>
                  <w:szCs w:val="20"/>
                </w:rPr>
                <w:t>25</w:t>
              </w:r>
            </w:hyperlink>
            <w:r>
              <w:rPr>
                <w:sz w:val="20"/>
                <w:szCs w:val="20"/>
              </w:rPr>
              <w:t>)</w:t>
            </w:r>
          </w:p>
          <w:p w14:paraId="70A4D1D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jeder Bewerbung die Gesamtkosten im Monat (Miete, Pflichtgebühren, Nebenkosten) schriftlich erfragen</w:t>
            </w:r>
          </w:p>
          <w:p w14:paraId="70A4D1D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Bewerbungsgebühren pro Person und Wohnung zusammenrechnen</w:t>
            </w:r>
          </w:p>
          <w:p w14:paraId="70A4D1E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Nie zahlen, bevor du die Wohnung gesehen und einen Vertrag hast; Vermieter und Adresse prüfen</w:t>
            </w:r>
          </w:p>
          <w:p w14:paraId="70A4D1E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Mietvertrag komplett lesen: Laufzeit, Verlängerung, Break-Lease, Untervermietung, Gebühren</w:t>
            </w:r>
          </w:p>
          <w:p w14:paraId="70A4D1E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Renters Insurance abschließen und den Nachweis an die Verwaltung schicken</w:t>
            </w:r>
          </w:p>
          <w:p w14:paraId="70A4D1E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Beim Einzug jeden Raum fotografieren und die Übergabeliste ausfüllen</w:t>
            </w:r>
          </w:p>
        </w:tc>
      </w:tr>
    </w:tbl>
    <w:p w14:paraId="70A4D1E5" w14:textId="77777777" w:rsidR="00C1548D" w:rsidRDefault="00C1548D">
      <w:pPr>
        <w:spacing w:line="220" w:lineRule="exact"/>
      </w:pPr>
    </w:p>
    <w:p w14:paraId="70A4D1E6"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1E7" w14:textId="6BFA4A56" w:rsidR="00C1548D" w:rsidRDefault="009B1B4B" w:rsidP="009B1B4B">
      <w:pPr>
        <w:pStyle w:val="ListParagraph"/>
        <w:numPr>
          <w:ilvl w:val="0"/>
          <w:numId w:val="1"/>
        </w:numPr>
        <w:spacing w:after="60"/>
      </w:pPr>
      <w:r>
        <w:t>HUD (Ministerium für Wohnungsbau und Stadtentwicklung) — Fair Housing Act und Beschwerden bei Diskriminierung (</w:t>
      </w:r>
      <w:hyperlink r:id="rId114" w:history="1">
        <w:r>
          <w:rPr>
            <w:color w:val="0563C1"/>
            <w:u w:val="single"/>
          </w:rPr>
          <w:t>hud.gov/fairhousing</w:t>
        </w:r>
      </w:hyperlink>
      <w:r>
        <w:t>)</w:t>
      </w:r>
    </w:p>
    <w:p w14:paraId="70A4D1E8" w14:textId="3DF8F6F7" w:rsidR="00C1548D" w:rsidRDefault="009B1B4B" w:rsidP="009B1B4B">
      <w:pPr>
        <w:pStyle w:val="ListParagraph"/>
        <w:numPr>
          <w:ilvl w:val="0"/>
          <w:numId w:val="1"/>
        </w:numPr>
        <w:spacing w:after="60"/>
      </w:pPr>
      <w:r>
        <w:t>FTC — Warnungen zu Mietbetrug (</w:t>
      </w:r>
      <w:hyperlink r:id="rId115" w:history="1">
        <w:r>
          <w:rPr>
            <w:color w:val="0563C1"/>
            <w:u w:val="single"/>
          </w:rPr>
          <w:t>consumer.ftc.gov</w:t>
        </w:r>
      </w:hyperlink>
      <w:r>
        <w:t>) und Betrug melden (</w:t>
      </w:r>
      <w:hyperlink r:id="rId116" w:history="1">
        <w:r>
          <w:rPr>
            <w:color w:val="0563C1"/>
            <w:u w:val="single"/>
          </w:rPr>
          <w:t>reportfraud.ftc.gov</w:t>
        </w:r>
      </w:hyperlink>
      <w:r>
        <w:t>)</w:t>
      </w:r>
    </w:p>
    <w:p w14:paraId="70A4D1E9" w14:textId="63C61A77" w:rsidR="00C1548D" w:rsidRDefault="009B1B4B" w:rsidP="009B1B4B">
      <w:pPr>
        <w:pStyle w:val="ListParagraph"/>
        <w:numPr>
          <w:ilvl w:val="0"/>
          <w:numId w:val="1"/>
        </w:numPr>
        <w:spacing w:after="60"/>
      </w:pPr>
      <w:r>
        <w:t>NYC Department of Consumer and Worker Protection — FARE Act und Maklergebühren (</w:t>
      </w:r>
      <w:hyperlink r:id="rId117" w:history="1">
        <w:r>
          <w:rPr>
            <w:color w:val="0563C1"/>
            <w:u w:val="single"/>
          </w:rPr>
          <w:t>nyc.gov/site/dca/about/FAQ-Broker-Fees.page</w:t>
        </w:r>
      </w:hyperlink>
      <w:r>
        <w:t>)</w:t>
      </w:r>
    </w:p>
    <w:p w14:paraId="70A4D1EA" w14:textId="068300CF" w:rsidR="00C1548D" w:rsidRDefault="009B1B4B" w:rsidP="009B1B4B">
      <w:pPr>
        <w:pStyle w:val="ListParagraph"/>
        <w:numPr>
          <w:ilvl w:val="0"/>
          <w:numId w:val="1"/>
        </w:numPr>
        <w:spacing w:after="60"/>
      </w:pPr>
      <w:r>
        <w:lastRenderedPageBreak/>
        <w:t>Stadt Seattle — Kaution, Einzugsgebühren und Mieterrechte (</w:t>
      </w:r>
      <w:hyperlink r:id="rId118" w:history="1">
        <w:r>
          <w:rPr>
            <w:color w:val="0563C1"/>
            <w:u w:val="single"/>
          </w:rPr>
          <w:t>seattle.gov/rentinginseattle</w:t>
        </w:r>
      </w:hyperlink>
      <w:r>
        <w:t>)</w:t>
      </w:r>
    </w:p>
    <w:p w14:paraId="70A4D1EB" w14:textId="4E07F5EE" w:rsidR="00C1548D" w:rsidRDefault="009B1B4B" w:rsidP="009B1B4B">
      <w:pPr>
        <w:pStyle w:val="ListParagraph"/>
        <w:numPr>
          <w:ilvl w:val="0"/>
          <w:numId w:val="1"/>
        </w:numPr>
        <w:spacing w:after="60"/>
      </w:pPr>
      <w:r>
        <w:t>Michigan Legal Help — Kaution und Mietrückstand in Michigan (</w:t>
      </w:r>
      <w:hyperlink r:id="rId119" w:history="1">
        <w:r>
          <w:rPr>
            <w:color w:val="0563C1"/>
            <w:u w:val="single"/>
          </w:rPr>
          <w:t>michiganlegalhelp.org</w:t>
        </w:r>
      </w:hyperlink>
      <w:r>
        <w:t>)</w:t>
      </w:r>
    </w:p>
    <w:p w14:paraId="70A4D1EC" w14:textId="1DF7F214" w:rsidR="00C1548D" w:rsidRDefault="009B1B4B" w:rsidP="009B1B4B">
      <w:pPr>
        <w:pStyle w:val="ListParagraph"/>
        <w:numPr>
          <w:ilvl w:val="0"/>
          <w:numId w:val="1"/>
        </w:numPr>
        <w:spacing w:after="60"/>
      </w:pPr>
      <w:r>
        <w:t>Washington State Department of Commerce — Mieterhöhungen (</w:t>
      </w:r>
      <w:hyperlink r:id="rId120" w:history="1">
        <w:r>
          <w:rPr>
            <w:color w:val="0563C1"/>
            <w:u w:val="single"/>
          </w:rPr>
          <w:t>commerce.wa.gov/housing-policy/hb1217-landlord-resource-center</w:t>
        </w:r>
      </w:hyperlink>
      <w:r>
        <w:t>)</w:t>
      </w:r>
    </w:p>
    <w:p w14:paraId="70A4D1ED" w14:textId="6A7FD596" w:rsidR="00C1548D" w:rsidRDefault="009B1B4B" w:rsidP="009B1B4B">
      <w:pPr>
        <w:pStyle w:val="ListParagraph"/>
        <w:numPr>
          <w:ilvl w:val="0"/>
          <w:numId w:val="1"/>
        </w:numPr>
        <w:spacing w:after="60"/>
      </w:pPr>
      <w:r>
        <w:t>Bundesministerium der Justiz — deutsches Mietrecht, §§ 535 ff. BGB (</w:t>
      </w:r>
      <w:hyperlink r:id="rId121" w:history="1">
        <w:r>
          <w:rPr>
            <w:color w:val="0563C1"/>
            <w:u w:val="single"/>
          </w:rPr>
          <w:t>gesetze-im-internet.de/bgb</w:t>
        </w:r>
      </w:hyperlink>
      <w:r>
        <w:t>)</w:t>
      </w:r>
    </w:p>
    <w:p w14:paraId="70A4D1E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F1"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1EF" w14:textId="77777777" w:rsidR="00C1548D" w:rsidRDefault="009B1B4B">
            <w:pPr>
              <w:keepNext/>
              <w:spacing w:after="70" w:line="240" w:lineRule="auto"/>
            </w:pPr>
            <w:r>
              <w:rPr>
                <w:b/>
                <w:bCs/>
                <w:color w:val="6B7280"/>
                <w:spacing w:val="24"/>
                <w:sz w:val="16"/>
                <w:szCs w:val="16"/>
              </w:rPr>
              <w:t>STAND</w:t>
            </w:r>
          </w:p>
          <w:p w14:paraId="70A4D1F0" w14:textId="77777777" w:rsidR="00C1548D" w:rsidRDefault="009B1B4B">
            <w:pPr>
              <w:spacing w:after="80" w:line="264" w:lineRule="auto"/>
            </w:pPr>
            <w:r>
              <w:rPr>
                <w:sz w:val="20"/>
                <w:szCs w:val="20"/>
              </w:rPr>
              <w:t>September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tc>
      </w:tr>
    </w:tbl>
    <w:p w14:paraId="70A4D1F2" w14:textId="77777777" w:rsidR="00C1548D" w:rsidRDefault="00C1548D">
      <w:pPr>
        <w:spacing w:line="220" w:lineRule="exact"/>
      </w:pPr>
    </w:p>
    <w:p w14:paraId="70A4D1F3" w14:textId="77777777" w:rsidR="00C1548D" w:rsidRDefault="009B1B4B">
      <w:pPr>
        <w:pStyle w:val="Heading2"/>
        <w:keepNext/>
        <w:pageBreakBefore/>
        <w:jc w:val="center"/>
      </w:pPr>
      <w:bookmarkStart w:id="36" w:name="k14"/>
      <w:bookmarkStart w:id="37" w:name="_Toc241352465"/>
      <w:r>
        <w:rPr>
          <w:rFonts w:ascii="Amazon Ember" w:eastAsia="Amazon Ember" w:hAnsi="Amazon Ember" w:cs="Amazon Ember"/>
          <w:color w:val="0000FF"/>
          <w:sz w:val="36"/>
          <w:szCs w:val="36"/>
        </w:rPr>
        <w:lastRenderedPageBreak/>
        <w:t>Kapitel 14: Kaufen in den USA und Hypotheken-Know-how</w:t>
      </w:r>
      <w:bookmarkEnd w:id="36"/>
      <w:bookmarkEnd w:id="37"/>
    </w:p>
    <w:p w14:paraId="70A4D1F4" w14:textId="77777777" w:rsidR="00C1548D" w:rsidRDefault="009B1B4B">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1FC"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1F5" w14:textId="77777777" w:rsidR="00C1548D" w:rsidRDefault="009B1B4B">
            <w:pPr>
              <w:keepNext/>
              <w:spacing w:after="70" w:line="240" w:lineRule="auto"/>
            </w:pPr>
            <w:r>
              <w:rPr>
                <w:b/>
                <w:bCs/>
                <w:color w:val="1F3A5F"/>
                <w:spacing w:val="24"/>
                <w:sz w:val="16"/>
                <w:szCs w:val="16"/>
              </w:rPr>
              <w:t>KURZ GESAGT</w:t>
            </w:r>
          </w:p>
          <w:p w14:paraId="70A4D1F6" w14:textId="21D4EF39" w:rsidR="00C1548D" w:rsidRDefault="009B1B4B" w:rsidP="009B1B4B">
            <w:pPr>
              <w:pStyle w:val="ListParagraph"/>
              <w:numPr>
                <w:ilvl w:val="0"/>
                <w:numId w:val="1"/>
              </w:numPr>
              <w:spacing w:after="50" w:line="264" w:lineRule="auto"/>
            </w:pPr>
            <w:r>
              <w:rPr>
                <w:sz w:val="20"/>
                <w:szCs w:val="20"/>
              </w:rPr>
              <w:t>Kaufen lohnt sich rechnerisch meist erst nach fünf bis zehn Jahren am selben Ort: Kauf und Verkauf kosten zusammen rund 10 % des Preises. Das erste Jahr mietest du besser (Kapitel </w:t>
            </w:r>
            <w:hyperlink w:anchor="k13" w:history="1">
              <w:r>
                <w:rPr>
                  <w:sz w:val="20"/>
                  <w:szCs w:val="20"/>
                </w:rPr>
                <w:t>13</w:t>
              </w:r>
            </w:hyperlink>
            <w:r>
              <w:rPr>
                <w:sz w:val="20"/>
                <w:szCs w:val="20"/>
              </w:rPr>
              <w:t>).</w:t>
            </w:r>
          </w:p>
          <w:p w14:paraId="70A4D1F7" w14:textId="77777777" w:rsidR="00C1548D" w:rsidRDefault="009B1B4B" w:rsidP="009B1B4B">
            <w:pPr>
              <w:pStyle w:val="ListParagraph"/>
              <w:numPr>
                <w:ilvl w:val="0"/>
                <w:numId w:val="1"/>
              </w:numPr>
              <w:spacing w:after="50" w:line="264" w:lineRule="auto"/>
            </w:pPr>
            <w:r>
              <w:rPr>
                <w:sz w:val="20"/>
                <w:szCs w:val="20"/>
              </w:rPr>
              <w:t>FHA-Kredite (staatlich abgesicherte Kredite mit kleiner Anzahlung) stehen Visa-Inhabern seit 25. Mai 2025 nicht mehr offen. Bleiben Konformkredite nach den Regeln von Fannie Mae und Freddie Mac (mit SSN, US-Kredithistorie und oft mindestens einem Jahr Visum-Restlaufzeit) und Non-QM-Kredite mit 20–50 % Anzahlung.</w:t>
            </w:r>
          </w:p>
          <w:p w14:paraId="70A4D1F8" w14:textId="77777777" w:rsidR="00C1548D" w:rsidRDefault="009B1B4B" w:rsidP="009B1B4B">
            <w:pPr>
              <w:pStyle w:val="ListParagraph"/>
              <w:numPr>
                <w:ilvl w:val="0"/>
                <w:numId w:val="1"/>
              </w:numPr>
              <w:spacing w:after="50" w:line="264" w:lineRule="auto"/>
            </w:pPr>
            <w:r>
              <w:rPr>
                <w:sz w:val="20"/>
                <w:szCs w:val="20"/>
              </w:rPr>
              <w:t>Der 30-Jahres-Festzins lag am 17. September 2026 bei 6,95 %. Ein Haus für 500.000 $ kostet mit 20 % Anzahlung rund 3.314 $ im Monat, mit 10 % Anzahlung rund 3.833 $, jeweils mit Grundsteuer und Versicherung.</w:t>
            </w:r>
          </w:p>
          <w:p w14:paraId="70A4D1F9" w14:textId="77777777" w:rsidR="00C1548D" w:rsidRDefault="009B1B4B" w:rsidP="009B1B4B">
            <w:pPr>
              <w:pStyle w:val="ListParagraph"/>
              <w:numPr>
                <w:ilvl w:val="0"/>
                <w:numId w:val="1"/>
              </w:numPr>
              <w:spacing w:after="50" w:line="264" w:lineRule="auto"/>
            </w:pPr>
            <w:r>
              <w:rPr>
                <w:sz w:val="20"/>
                <w:szCs w:val="20"/>
              </w:rPr>
              <w:t>Zur Anzahlung kommen 2–5 % Abschlusskosten: Bei 500.000 $ Kaufpreis brauchst du 60.000–125.000 $ Bargeld.</w:t>
            </w:r>
          </w:p>
          <w:p w14:paraId="70A4D1FA" w14:textId="77777777" w:rsidR="00C1548D" w:rsidRDefault="009B1B4B" w:rsidP="009B1B4B">
            <w:pPr>
              <w:pStyle w:val="ListParagraph"/>
              <w:numPr>
                <w:ilvl w:val="0"/>
                <w:numId w:val="1"/>
              </w:numPr>
              <w:spacing w:after="50" w:line="264" w:lineRule="auto"/>
            </w:pPr>
            <w:r>
              <w:rPr>
                <w:sz w:val="20"/>
                <w:szCs w:val="20"/>
              </w:rPr>
              <w:t>Grundsteuer (etwa 0,3–1,9 % des Werts pro Jahr) und Hausversicherung (grob 1.000–7.000 $ pro Jahr) hängen stark vom Bundesstaat ab.</w:t>
            </w:r>
          </w:p>
          <w:p w14:paraId="70A4D1FB" w14:textId="77777777" w:rsidR="00C1548D" w:rsidRDefault="009B1B4B" w:rsidP="009B1B4B">
            <w:pPr>
              <w:pStyle w:val="ListParagraph"/>
              <w:numPr>
                <w:ilvl w:val="0"/>
                <w:numId w:val="1"/>
              </w:numPr>
              <w:spacing w:after="50" w:line="264" w:lineRule="auto"/>
            </w:pPr>
            <w:r>
              <w:rPr>
                <w:sz w:val="20"/>
                <w:szCs w:val="20"/>
              </w:rPr>
              <w:t>Statt Notar und Grundbuch arbeiten eine Titelgesellschaft und ein Treuhänder für dich; eine Titelversicherung deckt das Restrisiko.</w:t>
            </w:r>
          </w:p>
        </w:tc>
      </w:tr>
    </w:tbl>
    <w:p w14:paraId="70A4D1FD" w14:textId="77777777" w:rsidR="00C1548D" w:rsidRDefault="00C1548D">
      <w:pPr>
        <w:spacing w:line="220" w:lineRule="exact"/>
      </w:pPr>
    </w:p>
    <w:p w14:paraId="70A4D1FE" w14:textId="77777777" w:rsidR="00C1548D" w:rsidRDefault="009B1B4B">
      <w:pPr>
        <w:pStyle w:val="Heading3"/>
        <w:keepNext/>
        <w:jc w:val="center"/>
      </w:pPr>
      <w:r>
        <w:rPr>
          <w:rFonts w:ascii="Amazon Ember" w:eastAsia="Amazon Ember" w:hAnsi="Amazon Ember" w:cs="Amazon Ember"/>
          <w:color w:val="0000FF"/>
          <w:sz w:val="36"/>
          <w:szCs w:val="36"/>
        </w:rPr>
        <w:lastRenderedPageBreak/>
        <w:t>Mieten oder kaufen: die Rechnung</w:t>
      </w:r>
    </w:p>
    <w:p w14:paraId="70A4D1FF" w14:textId="77777777" w:rsidR="00C1548D" w:rsidRDefault="009B1B4B">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w14:paraId="70A4D200" w14:textId="77777777" w:rsidR="00C1548D" w:rsidRDefault="009B1B4B">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w14:paraId="70A4D201" w14:textId="77777777" w:rsidR="00C1548D" w:rsidRDefault="009B1B4B">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21"/>
        <w:gridCol w:w="1647"/>
        <w:gridCol w:w="1506"/>
        <w:gridCol w:w="1506"/>
      </w:tblGrid>
      <w:tr w:rsidR="00C1548D" w14:paraId="70A4D206" w14:textId="77777777">
        <w:tblPrEx>
          <w:tblCellMar>
            <w:top w:w="0" w:type="dxa"/>
            <w:bottom w:w="0" w:type="dxa"/>
          </w:tblCellMar>
        </w:tblPrEx>
        <w:trPr>
          <w:cantSplit/>
          <w:tblHeader/>
        </w:trPr>
        <w:tc>
          <w:tcPr>
            <w:tcW w:w="182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02" w14:textId="77777777" w:rsidR="00C1548D" w:rsidRDefault="009B1B4B">
            <w:pPr>
              <w:spacing w:line="250" w:lineRule="auto"/>
            </w:pPr>
            <w:r>
              <w:rPr>
                <w:b/>
                <w:bCs/>
                <w:sz w:val="18"/>
                <w:szCs w:val="18"/>
              </w:rPr>
              <w:t>Haltedauer</w:t>
            </w:r>
          </w:p>
        </w:tc>
        <w:tc>
          <w:tcPr>
            <w:tcW w:w="164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03" w14:textId="77777777" w:rsidR="00C1548D" w:rsidRDefault="009B1B4B">
            <w:pPr>
              <w:spacing w:line="250" w:lineRule="auto"/>
            </w:pPr>
            <w:r>
              <w:rPr>
                <w:b/>
                <w:bCs/>
                <w:sz w:val="18"/>
                <w:szCs w:val="18"/>
              </w:rPr>
              <w:t>Kein Wertzuwachs</w:t>
            </w:r>
          </w:p>
        </w:tc>
        <w:tc>
          <w:tcPr>
            <w:tcW w:w="150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04" w14:textId="77777777" w:rsidR="00C1548D" w:rsidRDefault="009B1B4B">
            <w:pPr>
              <w:spacing w:line="250" w:lineRule="auto"/>
            </w:pPr>
            <w:r>
              <w:rPr>
                <w:b/>
                <w:bCs/>
                <w:sz w:val="18"/>
                <w:szCs w:val="18"/>
              </w:rPr>
              <w:t>2 % pro Jahr</w:t>
            </w:r>
          </w:p>
        </w:tc>
        <w:tc>
          <w:tcPr>
            <w:tcW w:w="150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05" w14:textId="77777777" w:rsidR="00C1548D" w:rsidRDefault="009B1B4B">
            <w:pPr>
              <w:spacing w:line="250" w:lineRule="auto"/>
            </w:pPr>
            <w:r>
              <w:rPr>
                <w:b/>
                <w:bCs/>
                <w:sz w:val="18"/>
                <w:szCs w:val="18"/>
              </w:rPr>
              <w:t>4 % pro Jahr</w:t>
            </w:r>
          </w:p>
        </w:tc>
      </w:tr>
      <w:tr w:rsidR="00C1548D" w14:paraId="70A4D20B" w14:textId="77777777">
        <w:tblPrEx>
          <w:tblCellMar>
            <w:top w:w="0" w:type="dxa"/>
            <w:bottom w:w="0" w:type="dxa"/>
          </w:tblCellMar>
        </w:tblPrEx>
        <w:trPr>
          <w:cantSplit/>
        </w:trPr>
        <w:tc>
          <w:tcPr>
            <w:tcW w:w="18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07" w14:textId="77777777" w:rsidR="00C1548D" w:rsidRDefault="009B1B4B">
            <w:pPr>
              <w:spacing w:line="250" w:lineRule="auto"/>
            </w:pPr>
            <w:r>
              <w:rPr>
                <w:sz w:val="18"/>
                <w:szCs w:val="18"/>
              </w:rPr>
              <w:t>Drei Jahre</w:t>
            </w:r>
          </w:p>
        </w:tc>
        <w:tc>
          <w:tcPr>
            <w:tcW w:w="16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08" w14:textId="77777777" w:rsidR="00C1548D" w:rsidRDefault="009B1B4B">
            <w:pPr>
              <w:spacing w:line="250" w:lineRule="auto"/>
            </w:pPr>
            <w:r>
              <w:rPr>
                <w:sz w:val="18"/>
                <w:szCs w:val="18"/>
              </w:rPr>
              <w:t>5.296</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09" w14:textId="77777777" w:rsidR="00C1548D" w:rsidRDefault="009B1B4B">
            <w:pPr>
              <w:spacing w:line="250" w:lineRule="auto"/>
            </w:pPr>
            <w:r>
              <w:rPr>
                <w:sz w:val="18"/>
                <w:szCs w:val="18"/>
              </w:rPr>
              <w:t>4.540</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0A" w14:textId="77777777" w:rsidR="00C1548D" w:rsidRDefault="009B1B4B">
            <w:pPr>
              <w:spacing w:line="250" w:lineRule="auto"/>
            </w:pPr>
            <w:r>
              <w:rPr>
                <w:sz w:val="18"/>
                <w:szCs w:val="18"/>
              </w:rPr>
              <w:t>3.754</w:t>
            </w:r>
          </w:p>
        </w:tc>
      </w:tr>
      <w:tr w:rsidR="00C1548D" w14:paraId="70A4D210" w14:textId="77777777">
        <w:tblPrEx>
          <w:tblCellMar>
            <w:top w:w="0" w:type="dxa"/>
            <w:bottom w:w="0" w:type="dxa"/>
          </w:tblCellMar>
        </w:tblPrEx>
        <w:trPr>
          <w:cantSplit/>
        </w:trPr>
        <w:tc>
          <w:tcPr>
            <w:tcW w:w="18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0C" w14:textId="77777777" w:rsidR="00C1548D" w:rsidRDefault="009B1B4B">
            <w:pPr>
              <w:spacing w:line="250" w:lineRule="auto"/>
            </w:pPr>
            <w:r>
              <w:rPr>
                <w:sz w:val="18"/>
                <w:szCs w:val="18"/>
              </w:rPr>
              <w:t>Fünf Jahre</w:t>
            </w:r>
          </w:p>
        </w:tc>
        <w:tc>
          <w:tcPr>
            <w:tcW w:w="16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0D" w14:textId="77777777" w:rsidR="00C1548D" w:rsidRDefault="009B1B4B">
            <w:pPr>
              <w:spacing w:line="250" w:lineRule="auto"/>
            </w:pPr>
            <w:r>
              <w:rPr>
                <w:sz w:val="18"/>
                <w:szCs w:val="18"/>
              </w:rPr>
              <w:t>4.615</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0E" w14:textId="77777777" w:rsidR="00C1548D" w:rsidRDefault="009B1B4B">
            <w:pPr>
              <w:spacing w:line="250" w:lineRule="auto"/>
            </w:pPr>
            <w:r>
              <w:rPr>
                <w:sz w:val="18"/>
                <w:szCs w:val="18"/>
              </w:rPr>
              <w:t>3.875</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0F" w14:textId="77777777" w:rsidR="00C1548D" w:rsidRDefault="009B1B4B">
            <w:pPr>
              <w:spacing w:line="250" w:lineRule="auto"/>
            </w:pPr>
            <w:r>
              <w:rPr>
                <w:sz w:val="18"/>
                <w:szCs w:val="18"/>
              </w:rPr>
              <w:t>3.074</w:t>
            </w:r>
          </w:p>
        </w:tc>
      </w:tr>
      <w:tr w:rsidR="00C1548D" w14:paraId="70A4D215" w14:textId="77777777">
        <w:tblPrEx>
          <w:tblCellMar>
            <w:top w:w="0" w:type="dxa"/>
            <w:bottom w:w="0" w:type="dxa"/>
          </w:tblCellMar>
        </w:tblPrEx>
        <w:trPr>
          <w:cantSplit/>
        </w:trPr>
        <w:tc>
          <w:tcPr>
            <w:tcW w:w="18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11" w14:textId="77777777" w:rsidR="00C1548D" w:rsidRDefault="009B1B4B">
            <w:pPr>
              <w:spacing w:line="250" w:lineRule="auto"/>
            </w:pPr>
            <w:r>
              <w:rPr>
                <w:sz w:val="18"/>
                <w:szCs w:val="18"/>
              </w:rPr>
              <w:t>Sieben Jahre</w:t>
            </w:r>
          </w:p>
        </w:tc>
        <w:tc>
          <w:tcPr>
            <w:tcW w:w="16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12" w14:textId="77777777" w:rsidR="00C1548D" w:rsidRDefault="009B1B4B">
            <w:pPr>
              <w:spacing w:line="250" w:lineRule="auto"/>
            </w:pPr>
            <w:r>
              <w:rPr>
                <w:sz w:val="18"/>
                <w:szCs w:val="18"/>
              </w:rPr>
              <w:t>4.257</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13" w14:textId="77777777" w:rsidR="00C1548D" w:rsidRDefault="009B1B4B">
            <w:pPr>
              <w:spacing w:line="250" w:lineRule="auto"/>
            </w:pPr>
            <w:r>
              <w:rPr>
                <w:sz w:val="18"/>
                <w:szCs w:val="18"/>
              </w:rPr>
              <w:t>3.532</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14" w14:textId="77777777" w:rsidR="00C1548D" w:rsidRDefault="009B1B4B">
            <w:pPr>
              <w:spacing w:line="250" w:lineRule="auto"/>
            </w:pPr>
            <w:r>
              <w:rPr>
                <w:sz w:val="18"/>
                <w:szCs w:val="18"/>
              </w:rPr>
              <w:t>2.715</w:t>
            </w:r>
          </w:p>
        </w:tc>
      </w:tr>
      <w:tr w:rsidR="00C1548D" w14:paraId="70A4D21A" w14:textId="77777777">
        <w:tblPrEx>
          <w:tblCellMar>
            <w:top w:w="0" w:type="dxa"/>
            <w:bottom w:w="0" w:type="dxa"/>
          </w:tblCellMar>
        </w:tblPrEx>
        <w:trPr>
          <w:cantSplit/>
        </w:trPr>
        <w:tc>
          <w:tcPr>
            <w:tcW w:w="18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16" w14:textId="77777777" w:rsidR="00C1548D" w:rsidRDefault="009B1B4B">
            <w:pPr>
              <w:spacing w:line="250" w:lineRule="auto"/>
            </w:pPr>
            <w:r>
              <w:rPr>
                <w:sz w:val="18"/>
                <w:szCs w:val="18"/>
              </w:rPr>
              <w:lastRenderedPageBreak/>
              <w:t>Zehn Jahre</w:t>
            </w:r>
          </w:p>
        </w:tc>
        <w:tc>
          <w:tcPr>
            <w:tcW w:w="16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17" w14:textId="77777777" w:rsidR="00C1548D" w:rsidRDefault="009B1B4B">
            <w:pPr>
              <w:spacing w:line="250" w:lineRule="auto"/>
            </w:pPr>
            <w:r>
              <w:rPr>
                <w:sz w:val="18"/>
                <w:szCs w:val="18"/>
              </w:rPr>
              <w:t>3.875</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18" w14:textId="77777777" w:rsidR="00C1548D" w:rsidRDefault="009B1B4B">
            <w:pPr>
              <w:spacing w:line="250" w:lineRule="auto"/>
            </w:pPr>
            <w:r>
              <w:rPr>
                <w:sz w:val="18"/>
                <w:szCs w:val="18"/>
              </w:rPr>
              <w:t>3.173</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19" w14:textId="77777777" w:rsidR="00C1548D" w:rsidRDefault="009B1B4B">
            <w:pPr>
              <w:spacing w:line="250" w:lineRule="auto"/>
            </w:pPr>
            <w:r>
              <w:rPr>
                <w:sz w:val="18"/>
                <w:szCs w:val="18"/>
              </w:rPr>
              <w:t>2.332</w:t>
            </w:r>
          </w:p>
        </w:tc>
      </w:tr>
    </w:tbl>
    <w:p w14:paraId="70A4D21B" w14:textId="77777777" w:rsidR="00C1548D" w:rsidRDefault="00C1548D">
      <w:pPr>
        <w:spacing w:line="180" w:lineRule="exact"/>
      </w:pPr>
    </w:p>
    <w:p w14:paraId="70A4D21C" w14:textId="77777777" w:rsidR="00C1548D" w:rsidRDefault="009B1B4B">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w:t>
      </w:r>
      <w:r>
        <w:t>ünf Jahre“ ist die Untergrenze, keine Garantie. Bei 20 % Anzahlung ändert sich das Bild kaum (nach fünf Jahren: 4.343 $, 3.603 $ bzw. 2.802 $).</w:t>
      </w:r>
    </w:p>
    <w:p w14:paraId="70A4D21D" w14:textId="77777777" w:rsidR="00C1548D" w:rsidRDefault="009B1B4B">
      <w:pPr>
        <w:pStyle w:val="Heading3"/>
        <w:keepNext/>
        <w:jc w:val="center"/>
      </w:pPr>
      <w:r>
        <w:rPr>
          <w:rFonts w:ascii="Amazon Ember" w:eastAsia="Amazon Ember" w:hAnsi="Amazon Ember" w:cs="Amazon Ember"/>
          <w:color w:val="0000FF"/>
          <w:sz w:val="36"/>
          <w:szCs w:val="36"/>
        </w:rPr>
        <w:t>Jobrisiko, Liquidität und Verkaufskosten</w:t>
      </w:r>
    </w:p>
    <w:p w14:paraId="70A4D21E" w14:textId="762EA2CE" w:rsidR="00C1548D" w:rsidRDefault="009B1B4B">
      <w:pPr>
        <w:spacing w:after="140"/>
      </w:pPr>
      <w:r>
        <w:t>Bei einem Arbeitsvisum kommt ein Risiko hinzu, das ein Beschäftigter mit unbefristetem deutschem Vertrag nicht kennt: Dein Status hängt am Arbeitgeber (Kapitel </w:t>
      </w:r>
      <w:hyperlink w:anchor="k5" w:history="1">
        <w:r>
          <w:t>5</w:t>
        </w:r>
      </w:hyperlink>
      <w:r>
        <w:t>). Nach einem Stellenabbau bleibt meist höchstens ein Fenster von 60 Tagen, um einen neuen Sponsor zu finden oder auszureisen (Kapitel </w:t>
      </w:r>
      <w:hyperlink w:anchor="k30" w:history="1">
        <w:r>
          <w:t>30</w:t>
        </w:r>
      </w:hyperlink>
      <w:r>
        <w:t>). Wer dann verkaufen muss, zahlt die Rechnung von oben: Kaufkosten von 3 % und Verkaufskosten von 7 % sind bei 500.000 $ zusammen rund 50.000 $. Eine Rückkehr nach weniger als drei bis fünf Jahren endet deshalb meist mit Verlust.</w:t>
      </w:r>
    </w:p>
    <w:p w14:paraId="70A4D21F" w14:textId="77777777" w:rsidR="00C1548D" w:rsidRDefault="009B1B4B">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w14:paraId="70A4D220" w14:textId="11FF3597" w:rsidR="00C1548D" w:rsidRDefault="009B1B4B">
      <w:pPr>
        <w:spacing w:after="140"/>
      </w:pPr>
      <w:r>
        <w:lastRenderedPageBreak/>
        <w:t>Kaufen ist trotzdem vernünftig, wenn du mindestens fünf bis sieben Jahre am Ort bleiben willst, der Arbeitgeber stabil ist, das Green-Card-Verfahren weit fortgeschritten oder abgeschlossen ist (Kapitel </w:t>
      </w:r>
      <w:hyperlink w:anchor="k6" w:history="1">
        <w:r>
          <w:t>6</w:t>
        </w:r>
      </w:hyperlink>
      <w:r>
        <w:t>) und nach dem Kauf noch mehrere Monatsraten als Reserve bleiben.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223"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221" w14:textId="77777777" w:rsidR="00C1548D" w:rsidRDefault="009B1B4B">
            <w:pPr>
              <w:keepNext/>
              <w:spacing w:after="70" w:line="240" w:lineRule="auto"/>
            </w:pPr>
            <w:r>
              <w:rPr>
                <w:b/>
                <w:bCs/>
                <w:color w:val="8A6212"/>
                <w:spacing w:val="24"/>
                <w:sz w:val="16"/>
                <w:szCs w:val="16"/>
              </w:rPr>
              <w:t>MERKE</w:t>
            </w:r>
          </w:p>
          <w:p w14:paraId="70A4D222" w14:textId="77777777" w:rsidR="00C1548D" w:rsidRDefault="009B1B4B">
            <w:pPr>
              <w:spacing w:after="80" w:line="264" w:lineRule="auto"/>
            </w:pPr>
            <w:r>
              <w:rPr>
                <w:sz w:val="20"/>
                <w:szCs w:val="20"/>
              </w:rPr>
              <w:t>Wer kauft, wettet auf Bleiben. Die Kosten des Rückwegs von rund 10 % trägst du auch dann, wenn der Grund für den Umzug nicht in deiner Hand liegt.</w:t>
            </w:r>
          </w:p>
        </w:tc>
      </w:tr>
    </w:tbl>
    <w:p w14:paraId="70A4D224"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22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225" w14:textId="77777777" w:rsidR="00C1548D" w:rsidRDefault="009B1B4B">
            <w:pPr>
              <w:keepNext/>
              <w:spacing w:after="70" w:line="240" w:lineRule="auto"/>
            </w:pPr>
            <w:r>
              <w:rPr>
                <w:b/>
                <w:bCs/>
                <w:color w:val="2F6B3B"/>
                <w:spacing w:val="24"/>
                <w:sz w:val="16"/>
                <w:szCs w:val="16"/>
              </w:rPr>
              <w:t>SPARTIPP</w:t>
            </w:r>
          </w:p>
          <w:p w14:paraId="70A4D226" w14:textId="2BC72C84" w:rsidR="00C1548D" w:rsidRDefault="009B1B4B">
            <w:pPr>
              <w:spacing w:after="80" w:line="264" w:lineRule="auto"/>
            </w:pPr>
            <w:r>
              <w:rPr>
                <w:sz w:val="20"/>
                <w:szCs w:val="20"/>
              </w:rPr>
              <w:t>Miete 12 bis 24 Monate, bevor du kaufst. Du lernst Region, Pendelwege und Schuldistrikt kennen (Kapitel </w:t>
            </w:r>
            <w:hyperlink w:anchor="k12" w:history="1">
              <w:r>
                <w:rPr>
                  <w:sz w:val="20"/>
                  <w:szCs w:val="20"/>
                </w:rPr>
                <w:t>12</w:t>
              </w:r>
            </w:hyperlink>
            <w:r>
              <w:rPr>
                <w:sz w:val="20"/>
                <w:szCs w:val="20"/>
              </w:rPr>
              <w:t xml:space="preserve"> und </w:t>
            </w:r>
            <w:hyperlink w:anchor="k36" w:history="1">
              <w:r>
                <w:rPr>
                  <w:sz w:val="20"/>
                  <w:szCs w:val="20"/>
                </w:rPr>
                <w:t>36</w:t>
              </w:r>
            </w:hyperlink>
            <w:r>
              <w:rPr>
                <w:sz w:val="20"/>
                <w:szCs w:val="20"/>
              </w:rPr>
              <w:t>), vermeidest einen teuren Fehlkauf und baust die US-Kredithistorie auf, die Konformkredite ohnehin verlangen (Kapitel </w:t>
            </w:r>
            <w:hyperlink w:anchor="k25" w:history="1">
              <w:r>
                <w:rPr>
                  <w:sz w:val="20"/>
                  <w:szCs w:val="20"/>
                </w:rPr>
                <w:t>25</w:t>
              </w:r>
            </w:hyperlink>
            <w:r>
              <w:rPr>
                <w:sz w:val="20"/>
                <w:szCs w:val="20"/>
              </w:rPr>
              <w:t>).</w:t>
            </w:r>
          </w:p>
        </w:tc>
      </w:tr>
    </w:tbl>
    <w:p w14:paraId="70A4D228"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22B"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229" w14:textId="77777777" w:rsidR="00C1548D" w:rsidRDefault="009B1B4B">
            <w:pPr>
              <w:keepNext/>
              <w:spacing w:after="70" w:line="240" w:lineRule="auto"/>
            </w:pPr>
            <w:r>
              <w:rPr>
                <w:b/>
                <w:bCs/>
                <w:color w:val="4A5568"/>
                <w:spacing w:val="24"/>
                <w:sz w:val="16"/>
                <w:szCs w:val="16"/>
              </w:rPr>
              <w:t>PRAXISBEISPIEL · FIKTIV</w:t>
            </w:r>
          </w:p>
          <w:p w14:paraId="70A4D22A" w14:textId="77777777" w:rsidR="00C1548D" w:rsidRDefault="009B1B4B">
            <w:pPr>
              <w:spacing w:after="80" w:line="264" w:lineRule="auto"/>
            </w:pPr>
            <w:r>
              <w:rPr>
                <w:sz w:val="20"/>
                <w:szCs w:val="20"/>
              </w:rPr>
              <w:t>Familie Brandt (fiktives Beispiel) lebt seit vier Monaten im Großraum Detroit; Markus hat den H-1B-Status, das Green-Card-Verfahren steht am Anfang. Mit Lena (9) und Jonas (5) sucht die Familie einen guten Schuldistrikt und findet ein Haus für 400.000 $. Lena fragt bei der Besichtigung nur, ob ihr Bett ins neue Zimmer passt – für die Eltern eine Rechnung mit deutlich mehr Variablen. Bei 10 % Anzahlung (Darlehen 360.000 $, 6,95 %) kostet es 2.383 $ Rate, dazu 333 $ Grundsteuer (Annahme 1 %), 200 $ Versicheru</w:t>
            </w:r>
            <w:r>
              <w:rPr>
                <w:sz w:val="20"/>
                <w:szCs w:val="20"/>
              </w:rPr>
              <w:t>ng und 150 $ PMI, zusammen rund 3.066 $. Ein vergleichbares Haus zur Miete kostet 2.300 $. Der Kauf verlangt also 766 $ mehr im Monat, dazu etwa 333 $ Instandhaltung und 52.000 $ Bargeld, fast alle Ersparnisse. Ginge die Familie nach drei Jahren zurück, kostete der Verkauf rund 28.000 $ (7 %). Die Familie mietet vorerst und prüft den Kauf erneut, wenn die Green Card näher rückt.</w:t>
            </w:r>
          </w:p>
        </w:tc>
      </w:tr>
    </w:tbl>
    <w:p w14:paraId="70A4D22C" w14:textId="77777777" w:rsidR="00C1548D" w:rsidRDefault="00C1548D">
      <w:pPr>
        <w:spacing w:line="220" w:lineRule="exact"/>
      </w:pPr>
    </w:p>
    <w:p w14:paraId="70A4D22D" w14:textId="77777777" w:rsidR="00C1548D" w:rsidRDefault="009B1B4B">
      <w:pPr>
        <w:pStyle w:val="Heading3"/>
        <w:keepNext/>
        <w:jc w:val="center"/>
      </w:pPr>
      <w:r>
        <w:rPr>
          <w:rFonts w:ascii="Amazon Ember" w:eastAsia="Amazon Ember" w:hAnsi="Amazon Ember" w:cs="Amazon Ember"/>
          <w:color w:val="0000FF"/>
          <w:sz w:val="36"/>
          <w:szCs w:val="36"/>
        </w:rPr>
        <w:lastRenderedPageBreak/>
        <w:t>Voraussetzungen als Visa-Inhaber</w:t>
      </w:r>
    </w:p>
    <w:p w14:paraId="70A4D22E" w14:textId="77777777" w:rsidR="00C1548D" w:rsidRDefault="009B1B4B">
      <w:pPr>
        <w:spacing w:after="140"/>
      </w:pPr>
      <w:r>
        <w:t xml:space="preserve">Ausländer dürfen in den USA grundsätzlich Immobilien erwerben; Ausnahmen betreffen bestimmte Staatsangehörigkeiten (siehe unten). Die Hürde ist die Finanzierung: Die meisten Hypotheken für Selbstnutzer folgen den Regeln von </w:t>
      </w:r>
      <w:r>
        <w:rPr>
          <w:i/>
          <w:iCs/>
        </w:rPr>
        <w:t>Fannie Mae</w:t>
      </w:r>
      <w:r>
        <w:t xml:space="preserve"> und </w:t>
      </w:r>
      <w:r>
        <w:rPr>
          <w:i/>
          <w:iCs/>
        </w:rPr>
        <w:t>Freddie Mac</w:t>
      </w:r>
      <w:r>
        <w:t xml:space="preserve">, zwei staatlich beaufsichtigten Unternehmen, die Kredite aufkaufen – solche </w:t>
      </w:r>
      <w:r>
        <w:rPr>
          <w:i/>
          <w:iCs/>
        </w:rPr>
        <w:t>Konformkredite</w:t>
      </w:r>
      <w:r>
        <w:t xml:space="preserve"> (</w:t>
      </w:r>
      <w:r>
        <w:rPr>
          <w:i/>
          <w:iCs/>
        </w:rPr>
        <w:t>Conforming Loans</w:t>
      </w:r>
      <w:r>
        <w:t>) sind der Normalfall. Kreditgeber prüfen, ob du verlässlich zurückzahlst und, als Visa-Inhaber, ob dein Aufenthalt lange genug gesichert ist.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94"/>
        <w:gridCol w:w="4586"/>
      </w:tblGrid>
      <w:tr w:rsidR="00C1548D" w14:paraId="70A4D231" w14:textId="77777777">
        <w:tblPrEx>
          <w:tblCellMar>
            <w:top w:w="0" w:type="dxa"/>
            <w:bottom w:w="0" w:type="dxa"/>
          </w:tblCellMar>
        </w:tblPrEx>
        <w:trPr>
          <w:cantSplit/>
          <w:tblHeader/>
        </w:trPr>
        <w:tc>
          <w:tcPr>
            <w:tcW w:w="189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2F" w14:textId="77777777" w:rsidR="00C1548D" w:rsidRDefault="009B1B4B">
            <w:pPr>
              <w:spacing w:line="250" w:lineRule="auto"/>
            </w:pPr>
            <w:r>
              <w:rPr>
                <w:b/>
                <w:bCs/>
                <w:sz w:val="18"/>
                <w:szCs w:val="18"/>
              </w:rPr>
              <w:t>Voraussetzung</w:t>
            </w:r>
          </w:p>
        </w:tc>
        <w:tc>
          <w:tcPr>
            <w:tcW w:w="458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30" w14:textId="77777777" w:rsidR="00C1548D" w:rsidRDefault="009B1B4B">
            <w:pPr>
              <w:spacing w:line="250" w:lineRule="auto"/>
            </w:pPr>
            <w:r>
              <w:rPr>
                <w:b/>
                <w:bCs/>
                <w:sz w:val="18"/>
                <w:szCs w:val="18"/>
              </w:rPr>
              <w:t>Typische Anforderung</w:t>
            </w:r>
          </w:p>
        </w:tc>
      </w:tr>
      <w:tr w:rsidR="00C1548D" w14:paraId="70A4D234" w14:textId="77777777">
        <w:tblPrEx>
          <w:tblCellMar>
            <w:top w:w="0" w:type="dxa"/>
            <w:bottom w:w="0" w:type="dxa"/>
          </w:tblCellMar>
        </w:tblPrEx>
        <w:trPr>
          <w:cantSplit/>
        </w:trPr>
        <w:tc>
          <w:tcPr>
            <w:tcW w:w="18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32" w14:textId="77777777" w:rsidR="00C1548D" w:rsidRDefault="009B1B4B">
            <w:pPr>
              <w:spacing w:line="250" w:lineRule="auto"/>
            </w:pPr>
            <w:r>
              <w:rPr>
                <w:sz w:val="18"/>
                <w:szCs w:val="18"/>
              </w:rPr>
              <w:t>Sozialversicherungsnummer</w:t>
            </w:r>
          </w:p>
        </w:tc>
        <w:tc>
          <w:tcPr>
            <w:tcW w:w="45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33" w14:textId="09680D59" w:rsidR="00C1548D" w:rsidRDefault="009B1B4B">
            <w:pPr>
              <w:spacing w:line="250" w:lineRule="auto"/>
            </w:pPr>
            <w:r>
              <w:rPr>
                <w:sz w:val="18"/>
                <w:szCs w:val="18"/>
              </w:rPr>
              <w:t>SSN in der Praxis nötig (Kapitel </w:t>
            </w:r>
            <w:hyperlink w:anchor="k24" w:history="1">
              <w:r>
                <w:rPr>
                  <w:sz w:val="18"/>
                  <w:szCs w:val="18"/>
                </w:rPr>
                <w:t>24</w:t>
              </w:r>
            </w:hyperlink>
            <w:r>
              <w:rPr>
                <w:sz w:val="18"/>
                <w:szCs w:val="18"/>
              </w:rPr>
              <w:t>); eine ITIN akzeptieren nur einzelne Anbieter</w:t>
            </w:r>
          </w:p>
        </w:tc>
      </w:tr>
      <w:tr w:rsidR="00C1548D" w14:paraId="70A4D237" w14:textId="77777777">
        <w:tblPrEx>
          <w:tblCellMar>
            <w:top w:w="0" w:type="dxa"/>
            <w:bottom w:w="0" w:type="dxa"/>
          </w:tblCellMar>
        </w:tblPrEx>
        <w:trPr>
          <w:cantSplit/>
        </w:trPr>
        <w:tc>
          <w:tcPr>
            <w:tcW w:w="18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35" w14:textId="77777777" w:rsidR="00C1548D" w:rsidRDefault="009B1B4B">
            <w:pPr>
              <w:spacing w:line="250" w:lineRule="auto"/>
            </w:pPr>
            <w:r>
              <w:rPr>
                <w:sz w:val="18"/>
                <w:szCs w:val="18"/>
              </w:rPr>
              <w:t>Kreditwürdigkeit</w:t>
            </w:r>
          </w:p>
        </w:tc>
        <w:tc>
          <w:tcPr>
            <w:tcW w:w="45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36" w14:textId="77777777" w:rsidR="00C1548D" w:rsidRDefault="009B1B4B">
            <w:pPr>
              <w:spacing w:line="250" w:lineRule="auto"/>
            </w:pPr>
            <w:r>
              <w:rPr>
                <w:sz w:val="18"/>
                <w:szCs w:val="18"/>
              </w:rPr>
              <w:t>US-</w:t>
            </w:r>
            <w:r>
              <w:rPr>
                <w:i/>
                <w:iCs/>
                <w:sz w:val="18"/>
                <w:szCs w:val="18"/>
              </w:rPr>
              <w:t>Credit Score</w:t>
            </w:r>
            <w:r>
              <w:rPr>
                <w:sz w:val="18"/>
                <w:szCs w:val="18"/>
              </w:rPr>
              <w:t xml:space="preserve"> (meist FICO-Score); Fannie Mae verlangt im automatisierten Verfahren seit November 2025 keinen Mindestwert, Kreditgeber meist 620 oder mehr; manuelle Prüfung: 620 (Festzins), 640 (ARM)</w:t>
            </w:r>
          </w:p>
        </w:tc>
      </w:tr>
      <w:tr w:rsidR="00C1548D" w14:paraId="70A4D23A" w14:textId="77777777">
        <w:tblPrEx>
          <w:tblCellMar>
            <w:top w:w="0" w:type="dxa"/>
            <w:bottom w:w="0" w:type="dxa"/>
          </w:tblCellMar>
        </w:tblPrEx>
        <w:trPr>
          <w:cantSplit/>
        </w:trPr>
        <w:tc>
          <w:tcPr>
            <w:tcW w:w="18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38" w14:textId="77777777" w:rsidR="00C1548D" w:rsidRDefault="009B1B4B">
            <w:pPr>
              <w:spacing w:line="250" w:lineRule="auto"/>
            </w:pPr>
            <w:r>
              <w:rPr>
                <w:sz w:val="18"/>
                <w:szCs w:val="18"/>
              </w:rPr>
              <w:t>Beschäftigung</w:t>
            </w:r>
          </w:p>
        </w:tc>
        <w:tc>
          <w:tcPr>
            <w:tcW w:w="45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39" w14:textId="77777777" w:rsidR="00C1548D" w:rsidRDefault="009B1B4B">
            <w:pPr>
              <w:spacing w:line="250" w:lineRule="auto"/>
            </w:pPr>
            <w:r>
              <w:rPr>
                <w:sz w:val="18"/>
                <w:szCs w:val="18"/>
              </w:rPr>
              <w:t>Meist zwei Jahre US-Arbeitshistorie, bei Konzernversetzung verzichtbar; Arbeitgeberbrief und Gehaltsnachweise</w:t>
            </w:r>
          </w:p>
        </w:tc>
      </w:tr>
      <w:tr w:rsidR="00C1548D" w14:paraId="70A4D23D" w14:textId="77777777">
        <w:tblPrEx>
          <w:tblCellMar>
            <w:top w:w="0" w:type="dxa"/>
            <w:bottom w:w="0" w:type="dxa"/>
          </w:tblCellMar>
        </w:tblPrEx>
        <w:trPr>
          <w:cantSplit/>
        </w:trPr>
        <w:tc>
          <w:tcPr>
            <w:tcW w:w="18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3B" w14:textId="77777777" w:rsidR="00C1548D" w:rsidRDefault="009B1B4B">
            <w:pPr>
              <w:spacing w:line="250" w:lineRule="auto"/>
            </w:pPr>
            <w:r>
              <w:rPr>
                <w:sz w:val="18"/>
                <w:szCs w:val="18"/>
              </w:rPr>
              <w:t>Visum</w:t>
            </w:r>
          </w:p>
        </w:tc>
        <w:tc>
          <w:tcPr>
            <w:tcW w:w="45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3C" w14:textId="77777777" w:rsidR="00C1548D" w:rsidRDefault="009B1B4B">
            <w:pPr>
              <w:spacing w:line="250" w:lineRule="auto"/>
            </w:pPr>
            <w:r>
              <w:rPr>
                <w:sz w:val="18"/>
                <w:szCs w:val="18"/>
              </w:rPr>
              <w:t>Gültig beim Closing (Freddie Mac); Kreditgeber verlangen oft mindestens zwölf Monate Restlaufzeit oder Verlängerungsnachweis</w:t>
            </w:r>
          </w:p>
        </w:tc>
      </w:tr>
      <w:tr w:rsidR="00C1548D" w14:paraId="70A4D240" w14:textId="77777777">
        <w:tblPrEx>
          <w:tblCellMar>
            <w:top w:w="0" w:type="dxa"/>
            <w:bottom w:w="0" w:type="dxa"/>
          </w:tblCellMar>
        </w:tblPrEx>
        <w:trPr>
          <w:cantSplit/>
        </w:trPr>
        <w:tc>
          <w:tcPr>
            <w:tcW w:w="18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3E" w14:textId="77777777" w:rsidR="00C1548D" w:rsidRDefault="009B1B4B">
            <w:pPr>
              <w:spacing w:line="250" w:lineRule="auto"/>
            </w:pPr>
            <w:r>
              <w:rPr>
                <w:sz w:val="18"/>
                <w:szCs w:val="18"/>
              </w:rPr>
              <w:t>Anzahlung (</w:t>
            </w:r>
            <w:r>
              <w:rPr>
                <w:i/>
                <w:iCs/>
                <w:sz w:val="18"/>
                <w:szCs w:val="18"/>
              </w:rPr>
              <w:t>Down Payment</w:t>
            </w:r>
            <w:r>
              <w:rPr>
                <w:sz w:val="18"/>
                <w:szCs w:val="18"/>
              </w:rPr>
              <w:t>)</w:t>
            </w:r>
          </w:p>
        </w:tc>
        <w:tc>
          <w:tcPr>
            <w:tcW w:w="45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3F" w14:textId="77777777" w:rsidR="00C1548D" w:rsidRDefault="009B1B4B">
            <w:pPr>
              <w:spacing w:line="250" w:lineRule="auto"/>
            </w:pPr>
            <w:r>
              <w:rPr>
                <w:sz w:val="18"/>
                <w:szCs w:val="18"/>
              </w:rPr>
              <w:t>3–20 % je nach Programm, Erstkäufer im Median 10 % (NAR 2025); Herkunft nachweisen, Guthaben mindestens 60 Tage</w:t>
            </w:r>
          </w:p>
        </w:tc>
      </w:tr>
      <w:tr w:rsidR="00C1548D" w14:paraId="70A4D243" w14:textId="77777777">
        <w:tblPrEx>
          <w:tblCellMar>
            <w:top w:w="0" w:type="dxa"/>
            <w:bottom w:w="0" w:type="dxa"/>
          </w:tblCellMar>
        </w:tblPrEx>
        <w:trPr>
          <w:cantSplit/>
        </w:trPr>
        <w:tc>
          <w:tcPr>
            <w:tcW w:w="18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41" w14:textId="77777777" w:rsidR="00C1548D" w:rsidRDefault="009B1B4B">
            <w:pPr>
              <w:spacing w:line="250" w:lineRule="auto"/>
            </w:pPr>
            <w:r>
              <w:rPr>
                <w:sz w:val="18"/>
                <w:szCs w:val="18"/>
              </w:rPr>
              <w:t>Schuldenquote (</w:t>
            </w:r>
            <w:r>
              <w:rPr>
                <w:i/>
                <w:iCs/>
                <w:sz w:val="18"/>
                <w:szCs w:val="18"/>
              </w:rPr>
              <w:t>DTI</w:t>
            </w:r>
            <w:r>
              <w:rPr>
                <w:sz w:val="18"/>
                <w:szCs w:val="18"/>
              </w:rPr>
              <w:t>)</w:t>
            </w:r>
          </w:p>
        </w:tc>
        <w:tc>
          <w:tcPr>
            <w:tcW w:w="45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42" w14:textId="77777777" w:rsidR="00C1548D" w:rsidRDefault="009B1B4B">
            <w:pPr>
              <w:spacing w:line="250" w:lineRule="auto"/>
            </w:pPr>
            <w:r>
              <w:rPr>
                <w:sz w:val="18"/>
                <w:szCs w:val="18"/>
              </w:rPr>
              <w:t>Alle Monatsschulden im Verhältnis zum Bruttoeinkommen: Fannie Mae bis 50 %, manuell 36 % (bis 45 %)</w:t>
            </w:r>
          </w:p>
        </w:tc>
      </w:tr>
    </w:tbl>
    <w:p w14:paraId="70A4D244" w14:textId="77777777" w:rsidR="00C1548D" w:rsidRDefault="00C1548D">
      <w:pPr>
        <w:spacing w:line="180" w:lineRule="exact"/>
      </w:pPr>
    </w:p>
    <w:p w14:paraId="70A4D245" w14:textId="77777777" w:rsidR="00C1548D" w:rsidRDefault="009B1B4B">
      <w:pPr>
        <w:spacing w:after="140"/>
      </w:pPr>
      <w: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w:t>
      </w:r>
      <w:r>
        <w:rPr>
          <w:i/>
          <w:iCs/>
        </w:rPr>
        <w:t>Overlay</w:t>
      </w:r>
      <w:r>
        <w:t xml:space="preserve"> (Zusatzregel über die Agenturvorgabe hinaus): Je nach Anbieter sind es ein bis drei Jahre. Frage früh nach Restlaufzeit, Mindest-Score und Reserven. Deine deutsche Schufa-</w:t>
      </w:r>
      <w:r>
        <w:lastRenderedPageBreak/>
        <w:t>Historie zählt praktisch nicht; die Dienste für internationale Kreditberichte decken Deutschland nach den vorliegenden Angaben nicht sicher ab.</w:t>
      </w:r>
    </w:p>
    <w:p w14:paraId="70A4D246" w14:textId="77777777" w:rsidR="00C1548D" w:rsidRDefault="009B1B4B">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w:t>
      </w:r>
      <w:r>
        <w:t>o kein Ausschluss, aber ein Gespräch mit dem Kreditgeber wert.</w:t>
      </w:r>
    </w:p>
    <w:p w14:paraId="70A4D247" w14:textId="77777777" w:rsidR="00C1548D" w:rsidRDefault="009B1B4B">
      <w:pPr>
        <w:spacing w:after="140"/>
      </w:pPr>
      <w:r>
        <w:t>Zu den Einschränkungen beim Landerwerb: Texas (SB 17, seit 1. September 2025) und Florida (SB 264) beschränken den Erwerb durch Staatsangehörige oder Ansässige bestimmter Länder, darunter China, Russland, Iran und Nordkorea (Florida zusätzlich Kuba, Venezuela u. a.). Deutschland steht auf keiner dieser Listen. Prüfe die Rechtslage nur, wenn Mitkäufer einen anderen Pass haben.</w:t>
      </w:r>
    </w:p>
    <w:p w14:paraId="70A4D248" w14:textId="77777777" w:rsidR="00C1548D" w:rsidRDefault="009B1B4B">
      <w:pPr>
        <w:pStyle w:val="Heading3"/>
        <w:keepNext/>
        <w:jc w:val="center"/>
      </w:pPr>
      <w:r>
        <w:rPr>
          <w:rFonts w:ascii="Amazon Ember" w:eastAsia="Amazon Ember" w:hAnsi="Amazon Ember" w:cs="Amazon Ember"/>
          <w:color w:val="0000FF"/>
          <w:sz w:val="36"/>
          <w:szCs w:val="36"/>
        </w:rPr>
        <w:t>Welche Hypothek passt?</w:t>
      </w:r>
    </w:p>
    <w:p w14:paraId="70A4D249" w14:textId="77777777" w:rsidR="00C1548D" w:rsidRDefault="009B1B4B">
      <w:pPr>
        <w:spacing w:after="140"/>
      </w:pPr>
      <w:r>
        <w:t>Eine Hypothek (</w:t>
      </w:r>
      <w:r>
        <w:rPr>
          <w:i/>
          <w:iCs/>
        </w:rPr>
        <w:t>Mortgage</w:t>
      </w:r>
      <w:r>
        <w:t>) ist in den USA ein Ratenkredit über meist 15 oder 30 Jahre, gesichert durch das Haus. Beim 30-Jahres-Kredit bleibt der Zins üblicherweise die gesamte Laufzeit fest – in Deutschland ist eine Zinsbindung von 10 bis 15 Jahren üblich.</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12"/>
        <w:gridCol w:w="1185"/>
        <w:gridCol w:w="950"/>
        <w:gridCol w:w="3133"/>
      </w:tblGrid>
      <w:tr w:rsidR="00C1548D" w14:paraId="70A4D24E" w14:textId="77777777">
        <w:tblPrEx>
          <w:tblCellMar>
            <w:top w:w="0" w:type="dxa"/>
            <w:bottom w:w="0" w:type="dxa"/>
          </w:tblCellMar>
        </w:tblPrEx>
        <w:trPr>
          <w:cantSplit/>
          <w:tblHeader/>
        </w:trPr>
        <w:tc>
          <w:tcPr>
            <w:tcW w:w="121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4A" w14:textId="77777777" w:rsidR="00C1548D" w:rsidRDefault="009B1B4B">
            <w:pPr>
              <w:spacing w:line="250" w:lineRule="auto"/>
            </w:pPr>
            <w:r>
              <w:rPr>
                <w:b/>
                <w:bCs/>
                <w:sz w:val="18"/>
                <w:szCs w:val="18"/>
              </w:rPr>
              <w:t>Kreditart</w:t>
            </w:r>
          </w:p>
        </w:tc>
        <w:tc>
          <w:tcPr>
            <w:tcW w:w="11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4B" w14:textId="77777777" w:rsidR="00C1548D" w:rsidRDefault="009B1B4B">
            <w:pPr>
              <w:spacing w:line="250" w:lineRule="auto"/>
            </w:pPr>
            <w:r>
              <w:rPr>
                <w:b/>
                <w:bCs/>
                <w:sz w:val="18"/>
                <w:szCs w:val="18"/>
              </w:rPr>
              <w:t>Für Visa-Inhaber?</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4C" w14:textId="77777777" w:rsidR="00C1548D" w:rsidRDefault="009B1B4B">
            <w:pPr>
              <w:spacing w:line="250" w:lineRule="auto"/>
            </w:pPr>
            <w:r>
              <w:rPr>
                <w:b/>
                <w:bCs/>
                <w:sz w:val="18"/>
                <w:szCs w:val="18"/>
              </w:rPr>
              <w:t>Anzahlung</w:t>
            </w:r>
          </w:p>
        </w:tc>
        <w:tc>
          <w:tcPr>
            <w:tcW w:w="313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4D" w14:textId="77777777" w:rsidR="00C1548D" w:rsidRDefault="009B1B4B">
            <w:pPr>
              <w:spacing w:line="250" w:lineRule="auto"/>
            </w:pPr>
            <w:r>
              <w:rPr>
                <w:b/>
                <w:bCs/>
                <w:sz w:val="18"/>
                <w:szCs w:val="18"/>
              </w:rPr>
              <w:t>Kern</w:t>
            </w:r>
          </w:p>
        </w:tc>
      </w:tr>
      <w:tr w:rsidR="00C1548D" w14:paraId="70A4D253" w14:textId="77777777">
        <w:tblPrEx>
          <w:tblCellMar>
            <w:top w:w="0" w:type="dxa"/>
            <w:bottom w:w="0" w:type="dxa"/>
          </w:tblCellMar>
        </w:tblPrEx>
        <w:trPr>
          <w:cantSplit/>
        </w:trPr>
        <w:tc>
          <w:tcPr>
            <w:tcW w:w="12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4F" w14:textId="77777777" w:rsidR="00C1548D" w:rsidRDefault="009B1B4B">
            <w:pPr>
              <w:spacing w:line="250" w:lineRule="auto"/>
            </w:pPr>
            <w:r>
              <w:rPr>
                <w:sz w:val="18"/>
                <w:szCs w:val="18"/>
              </w:rPr>
              <w:t>Konventionell (Fannie/Freddie)</w:t>
            </w:r>
          </w:p>
        </w:tc>
        <w:tc>
          <w:tcPr>
            <w:tcW w:w="11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0" w14:textId="77777777" w:rsidR="00C1548D" w:rsidRDefault="009B1B4B">
            <w:pPr>
              <w:spacing w:line="250" w:lineRule="auto"/>
            </w:pPr>
            <w:r>
              <w:rPr>
                <w:sz w:val="18"/>
                <w:szCs w:val="18"/>
              </w:rPr>
              <w:t>Ja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1" w14:textId="77777777" w:rsidR="00C1548D" w:rsidRDefault="009B1B4B">
            <w:pPr>
              <w:spacing w:line="250" w:lineRule="auto"/>
            </w:pPr>
            <w:r>
              <w:rPr>
                <w:sz w:val="18"/>
                <w:szCs w:val="18"/>
              </w:rPr>
              <w:t>3–20 %</w:t>
            </w:r>
          </w:p>
        </w:tc>
        <w:tc>
          <w:tcPr>
            <w:tcW w:w="31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2" w14:textId="77777777" w:rsidR="00C1548D" w:rsidRDefault="009B1B4B">
            <w:pPr>
              <w:spacing w:line="250" w:lineRule="auto"/>
            </w:pPr>
            <w:r>
              <w:rPr>
                <w:sz w:val="18"/>
                <w:szCs w:val="18"/>
              </w:rPr>
              <w:t>SSN, US-Kredit, meist Score ab 620; PMI unter 20 %</w:t>
            </w:r>
          </w:p>
        </w:tc>
      </w:tr>
      <w:tr w:rsidR="00C1548D" w14:paraId="70A4D258" w14:textId="77777777">
        <w:tblPrEx>
          <w:tblCellMar>
            <w:top w:w="0" w:type="dxa"/>
            <w:bottom w:w="0" w:type="dxa"/>
          </w:tblCellMar>
        </w:tblPrEx>
        <w:trPr>
          <w:cantSplit/>
        </w:trPr>
        <w:tc>
          <w:tcPr>
            <w:tcW w:w="12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4" w14:textId="77777777" w:rsidR="00C1548D" w:rsidRDefault="009B1B4B">
            <w:pPr>
              <w:spacing w:line="250" w:lineRule="auto"/>
            </w:pPr>
            <w:r>
              <w:rPr>
                <w:sz w:val="18"/>
                <w:szCs w:val="18"/>
              </w:rPr>
              <w:lastRenderedPageBreak/>
              <w:t>FHA</w:t>
            </w:r>
          </w:p>
        </w:tc>
        <w:tc>
          <w:tcPr>
            <w:tcW w:w="11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5" w14:textId="77777777" w:rsidR="00C1548D" w:rsidRDefault="009B1B4B">
            <w:pPr>
              <w:spacing w:line="250" w:lineRule="auto"/>
            </w:pPr>
            <w:r>
              <w:rPr>
                <w:sz w:val="18"/>
                <w:szCs w:val="18"/>
              </w:rPr>
              <w:t>Nein, seit 25.05.2025</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6" w14:textId="77777777" w:rsidR="00C1548D" w:rsidRDefault="009B1B4B">
            <w:pPr>
              <w:spacing w:line="250" w:lineRule="auto"/>
            </w:pPr>
            <w:r>
              <w:rPr>
                <w:sz w:val="18"/>
                <w:szCs w:val="18"/>
              </w:rPr>
              <w:t>–</w:t>
            </w:r>
          </w:p>
        </w:tc>
        <w:tc>
          <w:tcPr>
            <w:tcW w:w="31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7" w14:textId="77777777" w:rsidR="00C1548D" w:rsidRDefault="009B1B4B">
            <w:pPr>
              <w:spacing w:line="250" w:lineRule="auto"/>
            </w:pPr>
            <w:r>
              <w:rPr>
                <w:sz w:val="18"/>
                <w:szCs w:val="18"/>
              </w:rPr>
              <w:t>Nur Bürger, Green-Card-Inhaber, Bürger von Mikronesien, Marshallinseln, Palau</w:t>
            </w:r>
          </w:p>
        </w:tc>
      </w:tr>
      <w:tr w:rsidR="00C1548D" w14:paraId="70A4D25D" w14:textId="77777777">
        <w:tblPrEx>
          <w:tblCellMar>
            <w:top w:w="0" w:type="dxa"/>
            <w:bottom w:w="0" w:type="dxa"/>
          </w:tblCellMar>
        </w:tblPrEx>
        <w:trPr>
          <w:cantSplit/>
        </w:trPr>
        <w:tc>
          <w:tcPr>
            <w:tcW w:w="12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9" w14:textId="77777777" w:rsidR="00C1548D" w:rsidRDefault="009B1B4B">
            <w:pPr>
              <w:spacing w:line="250" w:lineRule="auto"/>
            </w:pPr>
            <w:r>
              <w:rPr>
                <w:i/>
                <w:iCs/>
                <w:sz w:val="18"/>
                <w:szCs w:val="18"/>
              </w:rPr>
              <w:t>Jumbo</w:t>
            </w:r>
          </w:p>
        </w:tc>
        <w:tc>
          <w:tcPr>
            <w:tcW w:w="11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A" w14:textId="77777777" w:rsidR="00C1548D" w:rsidRDefault="009B1B4B">
            <w:pPr>
              <w:spacing w:line="250" w:lineRule="auto"/>
            </w:pPr>
            <w:r>
              <w:rPr>
                <w:sz w:val="18"/>
                <w:szCs w:val="18"/>
              </w:rPr>
              <w:t>Ja, Regeln je Kreditgeber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B" w14:textId="77777777" w:rsidR="00C1548D" w:rsidRDefault="009B1B4B">
            <w:pPr>
              <w:spacing w:line="250" w:lineRule="auto"/>
            </w:pPr>
            <w:r>
              <w:rPr>
                <w:sz w:val="18"/>
                <w:szCs w:val="18"/>
              </w:rPr>
              <w:t>je Kreditgeber</w:t>
            </w:r>
          </w:p>
        </w:tc>
        <w:tc>
          <w:tcPr>
            <w:tcW w:w="31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C" w14:textId="77777777" w:rsidR="00C1548D" w:rsidRDefault="009B1B4B">
            <w:pPr>
              <w:spacing w:line="250" w:lineRule="auto"/>
            </w:pPr>
            <w:r>
              <w:rPr>
                <w:sz w:val="18"/>
                <w:szCs w:val="18"/>
              </w:rPr>
              <w:t>Über der Kreditgrenze: 832.750 $ (2026), in Hochkostenregionen bis 1.249.125 $</w:t>
            </w:r>
          </w:p>
        </w:tc>
      </w:tr>
      <w:tr w:rsidR="00C1548D" w14:paraId="70A4D262" w14:textId="77777777">
        <w:tblPrEx>
          <w:tblCellMar>
            <w:top w:w="0" w:type="dxa"/>
            <w:bottom w:w="0" w:type="dxa"/>
          </w:tblCellMar>
        </w:tblPrEx>
        <w:trPr>
          <w:cantSplit/>
        </w:trPr>
        <w:tc>
          <w:tcPr>
            <w:tcW w:w="12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E" w14:textId="77777777" w:rsidR="00C1548D" w:rsidRDefault="009B1B4B">
            <w:pPr>
              <w:spacing w:line="250" w:lineRule="auto"/>
            </w:pPr>
            <w:r>
              <w:rPr>
                <w:i/>
                <w:iCs/>
                <w:sz w:val="18"/>
                <w:szCs w:val="18"/>
              </w:rPr>
              <w:t>Non-QM</w:t>
            </w:r>
            <w:r>
              <w:rPr>
                <w:sz w:val="18"/>
                <w:szCs w:val="18"/>
              </w:rPr>
              <w:t xml:space="preserve"> / </w:t>
            </w:r>
            <w:r>
              <w:rPr>
                <w:i/>
                <w:iCs/>
                <w:sz w:val="18"/>
                <w:szCs w:val="18"/>
              </w:rPr>
              <w:t>Foreign National</w:t>
            </w:r>
          </w:p>
        </w:tc>
        <w:tc>
          <w:tcPr>
            <w:tcW w:w="11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5F" w14:textId="77777777" w:rsidR="00C1548D" w:rsidRDefault="009B1B4B">
            <w:pPr>
              <w:spacing w:line="250" w:lineRule="auto"/>
            </w:pPr>
            <w:r>
              <w:rPr>
                <w:sz w:val="18"/>
                <w:szCs w:val="18"/>
              </w:rPr>
              <w:t>Ja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60" w14:textId="77777777" w:rsidR="00C1548D" w:rsidRDefault="009B1B4B">
            <w:pPr>
              <w:spacing w:line="250" w:lineRule="auto"/>
            </w:pPr>
            <w:r>
              <w:rPr>
                <w:sz w:val="18"/>
                <w:szCs w:val="18"/>
              </w:rPr>
              <w:t>20–50 %</w:t>
            </w:r>
          </w:p>
        </w:tc>
        <w:tc>
          <w:tcPr>
            <w:tcW w:w="31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61" w14:textId="77777777" w:rsidR="00C1548D" w:rsidRDefault="009B1B4B">
            <w:pPr>
              <w:spacing w:line="250" w:lineRule="auto"/>
            </w:pPr>
            <w:r>
              <w:rPr>
                <w:sz w:val="18"/>
                <w:szCs w:val="18"/>
              </w:rPr>
              <w:t>Kein US-Kredit nötig; Zinsaufschlag 0,5–2 Prozentpunkte; 6–12 Monate Reserven</w:t>
            </w:r>
          </w:p>
        </w:tc>
      </w:tr>
      <w:tr w:rsidR="00C1548D" w14:paraId="70A4D267" w14:textId="77777777">
        <w:tblPrEx>
          <w:tblCellMar>
            <w:top w:w="0" w:type="dxa"/>
            <w:bottom w:w="0" w:type="dxa"/>
          </w:tblCellMar>
        </w:tblPrEx>
        <w:trPr>
          <w:cantSplit/>
        </w:trPr>
        <w:tc>
          <w:tcPr>
            <w:tcW w:w="12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63" w14:textId="77777777" w:rsidR="00C1548D" w:rsidRDefault="009B1B4B">
            <w:pPr>
              <w:spacing w:line="250" w:lineRule="auto"/>
            </w:pPr>
            <w:r>
              <w:rPr>
                <w:i/>
                <w:iCs/>
                <w:sz w:val="18"/>
                <w:szCs w:val="18"/>
              </w:rPr>
              <w:t>DSCR</w:t>
            </w:r>
          </w:p>
        </w:tc>
        <w:tc>
          <w:tcPr>
            <w:tcW w:w="11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64" w14:textId="77777777" w:rsidR="00C1548D" w:rsidRDefault="009B1B4B">
            <w:pPr>
              <w:spacing w:line="250" w:lineRule="auto"/>
            </w:pPr>
            <w:r>
              <w:rPr>
                <w:sz w:val="18"/>
                <w:szCs w:val="18"/>
              </w:rPr>
              <w:t>Nur Vermietobjekte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65" w14:textId="77777777" w:rsidR="00C1548D" w:rsidRDefault="009B1B4B">
            <w:pPr>
              <w:spacing w:line="250" w:lineRule="auto"/>
            </w:pPr>
            <w:r>
              <w:rPr>
                <w:sz w:val="18"/>
                <w:szCs w:val="18"/>
              </w:rPr>
              <w:t>20–25 %</w:t>
            </w:r>
          </w:p>
        </w:tc>
        <w:tc>
          <w:tcPr>
            <w:tcW w:w="31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66" w14:textId="77777777" w:rsidR="00C1548D" w:rsidRDefault="009B1B4B">
            <w:pPr>
              <w:spacing w:line="250" w:lineRule="auto"/>
            </w:pPr>
            <w:r>
              <w:rPr>
                <w:sz w:val="18"/>
                <w:szCs w:val="18"/>
              </w:rPr>
              <w:t>Nicht für Eigennutzung</w:t>
            </w:r>
          </w:p>
        </w:tc>
      </w:tr>
      <w:tr w:rsidR="00C1548D" w14:paraId="70A4D26C" w14:textId="77777777">
        <w:tblPrEx>
          <w:tblCellMar>
            <w:top w:w="0" w:type="dxa"/>
            <w:bottom w:w="0" w:type="dxa"/>
          </w:tblCellMar>
        </w:tblPrEx>
        <w:trPr>
          <w:cantSplit/>
        </w:trPr>
        <w:tc>
          <w:tcPr>
            <w:tcW w:w="12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68" w14:textId="77777777" w:rsidR="00C1548D" w:rsidRDefault="009B1B4B">
            <w:pPr>
              <w:spacing w:line="250" w:lineRule="auto"/>
            </w:pPr>
            <w:r>
              <w:rPr>
                <w:sz w:val="18"/>
                <w:szCs w:val="18"/>
              </w:rPr>
              <w:t>ITIN-Kredit</w:t>
            </w:r>
          </w:p>
        </w:tc>
        <w:tc>
          <w:tcPr>
            <w:tcW w:w="11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69" w14:textId="77777777" w:rsidR="00C1548D" w:rsidRDefault="009B1B4B">
            <w:pPr>
              <w:spacing w:line="250" w:lineRule="auto"/>
            </w:pPr>
            <w:r>
              <w:rPr>
                <w:sz w:val="18"/>
                <w:szCs w:val="18"/>
              </w:rPr>
              <w:t>Non-QM-Nische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6A" w14:textId="77777777" w:rsidR="00C1548D" w:rsidRDefault="009B1B4B">
            <w:pPr>
              <w:spacing w:line="250" w:lineRule="auto"/>
            </w:pPr>
            <w:r>
              <w:rPr>
                <w:sz w:val="18"/>
                <w:szCs w:val="18"/>
              </w:rPr>
              <w:t>Anbieter nennen 10–30 %</w:t>
            </w:r>
          </w:p>
        </w:tc>
        <w:tc>
          <w:tcPr>
            <w:tcW w:w="31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6B" w14:textId="77777777" w:rsidR="00C1548D" w:rsidRDefault="009B1B4B">
            <w:pPr>
              <w:spacing w:line="250" w:lineRule="auto"/>
            </w:pPr>
            <w:r>
              <w:rPr>
                <w:sz w:val="18"/>
                <w:szCs w:val="18"/>
              </w:rPr>
              <w:t>Aufschlag laut Anbietern 1–3 Prozentpunkte; Konditionen schwanken stark</w:t>
            </w:r>
          </w:p>
        </w:tc>
      </w:tr>
    </w:tbl>
    <w:p w14:paraId="70A4D26D" w14:textId="77777777" w:rsidR="00C1548D" w:rsidRDefault="00C1548D">
      <w:pPr>
        <w:spacing w:line="180" w:lineRule="exact"/>
      </w:pPr>
    </w:p>
    <w:p w14:paraId="70A4D26E" w14:textId="77777777" w:rsidR="00C1548D" w:rsidRDefault="009B1B4B">
      <w:pPr>
        <w:spacing w:after="140"/>
      </w:pPr>
      <w:r>
        <w:rPr>
          <w:i/>
          <w:iCs/>
        </w:rPr>
        <w:t>Non-QM</w:t>
      </w:r>
      <w:r>
        <w:t xml:space="preserve"> steht für „Non-Qualified Mortgage“: Kredite außerhalb der Fannie-und-Freddie-Standards, bei denen der Kreditgeber das Risiko selbst trägt. </w:t>
      </w:r>
      <w:r>
        <w:rPr>
          <w:i/>
          <w:iCs/>
        </w:rPr>
        <w:t>Foreign-National-Kredite</w:t>
      </w:r>
      <w:r>
        <w:t xml:space="preserve"> richten sich an Ausländer ohne US-Kredithistorie; die Spannen stammen von Anbietern und ändern sich. Ein </w:t>
      </w:r>
      <w:r>
        <w:rPr>
          <w:i/>
          <w:iCs/>
        </w:rPr>
        <w:t>Jumbo-Kredit</w:t>
      </w:r>
      <w:r>
        <w:t xml:space="preserve"> liegt über der </w:t>
      </w:r>
      <w:r>
        <w:rPr>
          <w:i/>
          <w:iCs/>
        </w:rPr>
        <w:t>Conforming Loan Limit</w:t>
      </w:r>
      <w:r>
        <w:t>, der Obergrenze, bis zu der Fannie und Freddie Kredite kaufen (Festlegung der Bundesbehörde FHFA).</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27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26F" w14:textId="77777777" w:rsidR="00C1548D" w:rsidRDefault="009B1B4B">
            <w:pPr>
              <w:keepNext/>
              <w:spacing w:after="70" w:line="240" w:lineRule="auto"/>
            </w:pPr>
            <w:r>
              <w:rPr>
                <w:b/>
                <w:bCs/>
                <w:color w:val="9B2C2C"/>
                <w:spacing w:val="24"/>
                <w:sz w:val="16"/>
                <w:szCs w:val="16"/>
              </w:rPr>
              <w:t>ACHTUNG</w:t>
            </w:r>
          </w:p>
          <w:p w14:paraId="70A4D270" w14:textId="77777777" w:rsidR="00C1548D" w:rsidRDefault="009B1B4B">
            <w:pPr>
              <w:spacing w:after="80" w:line="264" w:lineRule="auto"/>
            </w:pPr>
            <w:r>
              <w:rPr>
                <w:sz w:val="20"/>
                <w:szCs w:val="20"/>
              </w:rPr>
              <w:t>Blogs, Foren und ältere Ratgeber versprechen Visa-Inhabern FHA-Kredite mit kleiner Anzahlung. Seit dem Mortgagee Letter 2025-09 (wirksam ab 25. Mai 2025) gilt das nicht mehr. Bis September 2026 wurde die Regel nicht zurückgenommen; sie kann sich aber jederzeit ändern. Verlass dich auf das aktuelle Angebot eines Kreditgebers, nicht auf eine Website.</w:t>
            </w:r>
          </w:p>
        </w:tc>
      </w:tr>
    </w:tbl>
    <w:p w14:paraId="70A4D272" w14:textId="77777777" w:rsidR="00C1548D" w:rsidRDefault="00C1548D">
      <w:pPr>
        <w:spacing w:line="220" w:lineRule="exact"/>
      </w:pPr>
    </w:p>
    <w:p w14:paraId="70A4D273" w14:textId="77777777" w:rsidR="00C1548D" w:rsidRDefault="009B1B4B">
      <w:pPr>
        <w:spacing w:after="140"/>
      </w:pPr>
      <w:r>
        <w:t xml:space="preserve">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w:t>
      </w:r>
      <w:r>
        <w:lastRenderedPageBreak/>
        <w:t>meisten konformen Krediten möglich; prüfe im Vertrag die Klausel zur Vorfälligkeitsentschädigung (</w:t>
      </w:r>
      <w:r>
        <w:rPr>
          <w:i/>
          <w:iCs/>
        </w:rPr>
        <w:t>Prepayment Penalty</w:t>
      </w:r>
      <w:r>
        <w:t>).</w:t>
      </w:r>
    </w:p>
    <w:p w14:paraId="70A4D274" w14:textId="77777777" w:rsidR="00C1548D" w:rsidRDefault="009B1B4B">
      <w:pPr>
        <w:spacing w:after="140"/>
      </w:pPr>
      <w:r>
        <w:t xml:space="preserve">Ein </w:t>
      </w:r>
      <w:r>
        <w:rPr>
          <w:i/>
          <w:iCs/>
        </w:rPr>
        <w:t>ARM</w:t>
      </w:r>
      <w:r>
        <w:t xml:space="preserve"> (</w:t>
      </w:r>
      <w:r>
        <w:rPr>
          <w:i/>
          <w:iCs/>
        </w:rPr>
        <w:t>Adjustable-Rate Mortgage</w:t>
      </w:r>
      <w:r>
        <w:t>, Kredit mit anpassbarem Zins) startet mit einem festen Zins und richtet ihn danach regelmäßig an einem Marktindex plus Aufschlag aus. Bei einem 5/6-ARM ist der Zins fünf Jahre fest, dann alle sechs Monate variabel. Übliche Grenzen (</w:t>
      </w:r>
      <w:r>
        <w:rPr>
          <w:i/>
          <w:iCs/>
        </w:rPr>
        <w:t>Caps</w:t>
      </w:r>
      <w:r>
        <w:t>) sind 2/1/5: höchstens 2 Prozentpunkte beim ersten Anpassen, danach höchstens 1 Prozentpunkt je Anpassung, insgesamt höchstens 5 Prozentpunkte über dem Startzins. Fannie Mae verlangt bei manueller Prüfung 640 statt 620. Der Zinsvorteil gegenüber dem Festzins schwankt mit dem Markt und wurde hier nicht ermittelt. Ein ARM passt am ehesten, wenn du sicher weißt, dass du innerhalb der Festphase verkaufst oder umschuldest; bleibst du länger, trägst du das Zinsrisiko. Rechne die Rate deshalb einmal mit dem höchs</w:t>
      </w:r>
      <w:r>
        <w:t>tmöglichen Zins durch (Startzins plus 5 Prozentpunkte). Sinkt der Zins später, kannst du auch einen Festzins-Kredit refinanzieren (neuer Kredit, neue Abschlusskosten).</w:t>
      </w:r>
    </w:p>
    <w:p w14:paraId="70A4D275" w14:textId="77777777" w:rsidR="00C1548D" w:rsidRDefault="009B1B4B">
      <w:pPr>
        <w:pStyle w:val="Heading3"/>
        <w:keepNext/>
        <w:jc w:val="center"/>
      </w:pPr>
      <w:r>
        <w:rPr>
          <w:rFonts w:ascii="Amazon Ember" w:eastAsia="Amazon Ember" w:hAnsi="Amazon Ember" w:cs="Amazon Ember"/>
          <w:color w:val="0000FF"/>
          <w:sz w:val="36"/>
          <w:szCs w:val="36"/>
        </w:rPr>
        <w:t>Zinsen, Points und Rate Lock</w:t>
      </w:r>
    </w:p>
    <w:p w14:paraId="70A4D276" w14:textId="77777777" w:rsidR="00C1548D" w:rsidRDefault="009B1B4B">
      <w:pPr>
        <w:spacing w:after="140"/>
      </w:pPr>
      <w:r>
        <w:t>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Anzahlung eher ein Achtel bis ein Viertel Prozentpunkt darüber. Ein halber Prozentpunkt verändert die Rate bei 400.000 $ Da</w:t>
      </w:r>
      <w:r>
        <w:t>rlehen um 130–140 $: 2.515 $ bei 6,45 %, 2.648 $ bei 6,95 %, 2.783 $ bei 7,45 %.</w:t>
      </w:r>
    </w:p>
    <w:p w14:paraId="70A4D277" w14:textId="77777777" w:rsidR="00C1548D" w:rsidRDefault="009B1B4B">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w:t>
      </w:r>
      <w:r>
        <w:lastRenderedPageBreak/>
        <w:t xml:space="preserve">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w14:paraId="70A4D278" w14:textId="77777777" w:rsidR="00C1548D" w:rsidRDefault="009B1B4B">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27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279" w14:textId="77777777" w:rsidR="00C1548D" w:rsidRDefault="009B1B4B">
            <w:pPr>
              <w:keepNext/>
              <w:spacing w:after="70" w:line="240" w:lineRule="auto"/>
            </w:pPr>
            <w:r>
              <w:rPr>
                <w:b/>
                <w:bCs/>
                <w:color w:val="9B2C2C"/>
                <w:spacing w:val="24"/>
                <w:sz w:val="16"/>
                <w:szCs w:val="16"/>
              </w:rPr>
              <w:t>ACHTUNG</w:t>
            </w:r>
          </w:p>
          <w:p w14:paraId="70A4D27A" w14:textId="77777777" w:rsidR="00C1548D" w:rsidRDefault="009B1B4B">
            <w:pPr>
              <w:spacing w:after="80" w:line="264" w:lineRule="auto"/>
            </w:pPr>
            <w:r>
              <w:rPr>
                <w:sz w:val="20"/>
                <w:szCs w:val="20"/>
              </w:rPr>
              <w:t>Ein Rate Lock läuft ab. Dauern Gutachten, Underwriting oder Titelprüfung länger als die gesicherte Frist, wird die Verlängerung teuer. Fällt der Marktzins danach, profitierst du in der Regel nicht. Ändert sich dein Antrag (Preis, Anzahlung, Bonität), kann sich auch der Zins ändern (CFPB). Wähle die Frist mit Puffer und ändere nach der Sicherung nichts mehr am Antrag.</w:t>
            </w:r>
          </w:p>
        </w:tc>
      </w:tr>
    </w:tbl>
    <w:p w14:paraId="70A4D27C"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27F"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27D" w14:textId="77777777" w:rsidR="00C1548D" w:rsidRDefault="009B1B4B">
            <w:pPr>
              <w:keepNext/>
              <w:spacing w:after="70" w:line="240" w:lineRule="auto"/>
            </w:pPr>
            <w:r>
              <w:rPr>
                <w:b/>
                <w:bCs/>
                <w:color w:val="2F6B3B"/>
                <w:spacing w:val="24"/>
                <w:sz w:val="16"/>
                <w:szCs w:val="16"/>
              </w:rPr>
              <w:t>SPARTIPP</w:t>
            </w:r>
          </w:p>
          <w:p w14:paraId="70A4D27E" w14:textId="77777777" w:rsidR="00C1548D" w:rsidRDefault="009B1B4B">
            <w:pPr>
              <w:spacing w:after="80" w:line="264" w:lineRule="auto"/>
            </w:pPr>
            <w:r>
              <w:rPr>
                <w:sz w:val="20"/>
                <w:szCs w:val="20"/>
              </w:rPr>
              <w:t>Hole mindestens drei Loan Estimates ein und vergleiche Zins, Points, Gebühren und Rate-Lock-Dauer. Das CFPB empfiehlt das, und es kostet meist nichts. Ein Kreditgeber, der Visa-Inhaber regelmäßig finanziert, kennt die Overlays und erspart dir Wochen.</w:t>
            </w:r>
          </w:p>
        </w:tc>
      </w:tr>
    </w:tbl>
    <w:p w14:paraId="70A4D280" w14:textId="77777777" w:rsidR="00C1548D" w:rsidRDefault="00C1548D">
      <w:pPr>
        <w:spacing w:line="220" w:lineRule="exact"/>
      </w:pPr>
    </w:p>
    <w:p w14:paraId="70A4D281" w14:textId="77777777" w:rsidR="00C1548D" w:rsidRDefault="009B1B4B">
      <w:pPr>
        <w:pStyle w:val="Heading3"/>
        <w:keepNext/>
        <w:jc w:val="center"/>
      </w:pPr>
      <w:r>
        <w:rPr>
          <w:rFonts w:ascii="Amazon Ember" w:eastAsia="Amazon Ember" w:hAnsi="Amazon Ember" w:cs="Amazon Ember"/>
          <w:color w:val="0000FF"/>
          <w:sz w:val="36"/>
          <w:szCs w:val="36"/>
        </w:rPr>
        <w:t>PMI und Escrow: was die Rate enthält</w:t>
      </w:r>
    </w:p>
    <w:p w14:paraId="70A4D282" w14:textId="77777777" w:rsidR="00C1548D" w:rsidRDefault="009B1B4B">
      <w:pPr>
        <w:spacing w:after="140"/>
      </w:pPr>
      <w:r>
        <w:rPr>
          <w:i/>
          <w:iCs/>
        </w:rPr>
        <w:t>PMI</w:t>
      </w:r>
      <w:r>
        <w:t xml:space="preserve"> (</w:t>
      </w:r>
      <w:r>
        <w:rPr>
          <w:i/>
          <w:iCs/>
        </w:rPr>
        <w:t>Private Mortgage Insurance</w:t>
      </w:r>
      <w:r>
        <w:t>)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w:t>
      </w:r>
      <w:r>
        <w:t xml:space="preserve"> 10 % Anzahlung und ohne </w:t>
      </w:r>
      <w:r>
        <w:lastRenderedPageBreak/>
        <w:t>Wertzuwachs sind das 100 Monate (gut acht Jahre) bis 80 % und 115 Monate bis 78 %; PMI kostet dann insgesamt 18.750–21.563 $. Beantrage die Löschung aktiv; verlass dich nicht darauf, dass jemand dich erinnert.</w:t>
      </w:r>
    </w:p>
    <w:p w14:paraId="70A4D283" w14:textId="77777777" w:rsidR="00C1548D" w:rsidRDefault="009B1B4B">
      <w:pPr>
        <w:spacing w:after="140"/>
      </w:pPr>
      <w:r>
        <w:t xml:space="preserve">Ein </w:t>
      </w:r>
      <w:r>
        <w:rPr>
          <w:i/>
          <w:iCs/>
        </w:rPr>
        <w:t>Escrow-Konto</w:t>
      </w:r>
      <w:r>
        <w:t xml:space="preserve"> (hier: Treuhandkonto beim Kreditgeber) sammelt monatlich ein Zwölftel von Grundsteuer und Hausversicherung und zahlt die Rechnungen für dich. Die Gesamtrate heißt PITI (</w:t>
      </w:r>
      <w:r>
        <w:rPr>
          <w:i/>
          <w:iCs/>
        </w:rPr>
        <w:t>Principal, Interest, Taxes, Insurance</w:t>
      </w:r>
      <w:r>
        <w:t xml:space="preserve">: Tilgung, Zins, Steuer, Versicherung). Steigen Steuer oder Prämie, steigt deine Rate, obwohl der Zins fest ist. Beim Kauf begegnet dir das Wort noch einmal anders: Ein neutraler </w:t>
      </w:r>
      <w:r>
        <w:rPr>
          <w:i/>
          <w:iCs/>
        </w:rPr>
        <w:t>Escrow Agent</w:t>
      </w:r>
      <w:r>
        <w:t xml:space="preserve"> verwahrt beim Closing Geld und Dokumente, bis alle Bedingungen erfüllt sind.</w:t>
      </w:r>
    </w:p>
    <w:p w14:paraId="70A4D284" w14:textId="77777777" w:rsidR="00C1548D" w:rsidRDefault="009B1B4B">
      <w:pPr>
        <w:pStyle w:val="Heading3"/>
        <w:keepNext/>
        <w:jc w:val="center"/>
      </w:pPr>
      <w:r>
        <w:rPr>
          <w:rFonts w:ascii="Amazon Ember" w:eastAsia="Amazon Ember" w:hAnsi="Amazon Ember" w:cs="Amazon Ember"/>
          <w:color w:val="0000FF"/>
          <w:sz w:val="36"/>
          <w:szCs w:val="36"/>
        </w:rPr>
        <w:t>Beispiel-Monatsrate mit Rechenweg</w:t>
      </w:r>
    </w:p>
    <w:p w14:paraId="70A4D285" w14:textId="77777777" w:rsidR="00C1548D" w:rsidRDefault="009B1B4B">
      <w:pPr>
        <w:spacing w:after="140"/>
      </w:pPr>
      <w:r>
        <w:t>Die Formel für die Rate aus Zins und Tilgung (</w:t>
      </w:r>
      <w:r>
        <w:rPr>
          <w:i/>
          <w:iCs/>
        </w:rPr>
        <w:t>Principal &amp; Interest</w:t>
      </w:r>
      <w:r>
        <w: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9"/>
        <w:gridCol w:w="1966"/>
        <w:gridCol w:w="2015"/>
      </w:tblGrid>
      <w:tr w:rsidR="00C1548D" w14:paraId="70A4D289" w14:textId="77777777">
        <w:tblPrEx>
          <w:tblCellMar>
            <w:top w:w="0" w:type="dxa"/>
            <w:bottom w:w="0" w:type="dxa"/>
          </w:tblCellMar>
        </w:tblPrEx>
        <w:trPr>
          <w:cantSplit/>
          <w:tblHeader/>
        </w:trPr>
        <w:tc>
          <w:tcPr>
            <w:tcW w:w="249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86" w14:textId="77777777" w:rsidR="00C1548D" w:rsidRDefault="009B1B4B">
            <w:pPr>
              <w:spacing w:line="250" w:lineRule="auto"/>
            </w:pPr>
            <w:r>
              <w:rPr>
                <w:b/>
                <w:bCs/>
                <w:sz w:val="18"/>
                <w:szCs w:val="18"/>
              </w:rPr>
              <w:t>Posten (Dollar pro Monat)</w:t>
            </w:r>
          </w:p>
        </w:tc>
        <w:tc>
          <w:tcPr>
            <w:tcW w:w="196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87" w14:textId="77777777" w:rsidR="00C1548D" w:rsidRDefault="009B1B4B">
            <w:pPr>
              <w:spacing w:line="250" w:lineRule="auto"/>
            </w:pPr>
            <w:r>
              <w:rPr>
                <w:b/>
                <w:bCs/>
                <w:sz w:val="18"/>
                <w:szCs w:val="18"/>
              </w:rPr>
              <w:t>20 % Anzahlung (Darlehen 400.000 $)</w:t>
            </w:r>
          </w:p>
        </w:tc>
        <w:tc>
          <w:tcPr>
            <w:tcW w:w="201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88" w14:textId="77777777" w:rsidR="00C1548D" w:rsidRDefault="009B1B4B">
            <w:pPr>
              <w:spacing w:line="250" w:lineRule="auto"/>
            </w:pPr>
            <w:r>
              <w:rPr>
                <w:b/>
                <w:bCs/>
                <w:sz w:val="18"/>
                <w:szCs w:val="18"/>
              </w:rPr>
              <w:t>10 % Anzahlung (Darlehen 450.000 $)</w:t>
            </w:r>
          </w:p>
        </w:tc>
      </w:tr>
      <w:tr w:rsidR="00C1548D" w14:paraId="70A4D28D" w14:textId="77777777">
        <w:tblPrEx>
          <w:tblCellMar>
            <w:top w:w="0" w:type="dxa"/>
            <w:bottom w:w="0" w:type="dxa"/>
          </w:tblCellMar>
        </w:tblPrEx>
        <w:trPr>
          <w:cantSplit/>
        </w:trPr>
        <w:tc>
          <w:tcPr>
            <w:tcW w:w="24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8A" w14:textId="77777777" w:rsidR="00C1548D" w:rsidRDefault="009B1B4B">
            <w:pPr>
              <w:spacing w:line="250" w:lineRule="auto"/>
            </w:pPr>
            <w:r>
              <w:rPr>
                <w:sz w:val="18"/>
                <w:szCs w:val="18"/>
              </w:rPr>
              <w:t>Tilgung und Zins (P&amp;I)</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8B" w14:textId="77777777" w:rsidR="00C1548D" w:rsidRDefault="009B1B4B">
            <w:pPr>
              <w:spacing w:line="250" w:lineRule="auto"/>
            </w:pPr>
            <w:r>
              <w:rPr>
                <w:sz w:val="18"/>
                <w:szCs w:val="18"/>
              </w:rPr>
              <w:t>2.647,79</w:t>
            </w:r>
          </w:p>
        </w:tc>
        <w:tc>
          <w:tcPr>
            <w:tcW w:w="20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8C" w14:textId="77777777" w:rsidR="00C1548D" w:rsidRDefault="009B1B4B">
            <w:pPr>
              <w:spacing w:line="250" w:lineRule="auto"/>
            </w:pPr>
            <w:r>
              <w:rPr>
                <w:sz w:val="18"/>
                <w:szCs w:val="18"/>
              </w:rPr>
              <w:t>2.978,77</w:t>
            </w:r>
          </w:p>
        </w:tc>
      </w:tr>
      <w:tr w:rsidR="00C1548D" w14:paraId="70A4D291" w14:textId="77777777">
        <w:tblPrEx>
          <w:tblCellMar>
            <w:top w:w="0" w:type="dxa"/>
            <w:bottom w:w="0" w:type="dxa"/>
          </w:tblCellMar>
        </w:tblPrEx>
        <w:trPr>
          <w:cantSplit/>
        </w:trPr>
        <w:tc>
          <w:tcPr>
            <w:tcW w:w="24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8E" w14:textId="77777777" w:rsidR="00C1548D" w:rsidRDefault="009B1B4B">
            <w:pPr>
              <w:spacing w:line="250" w:lineRule="auto"/>
            </w:pPr>
            <w:r>
              <w:rPr>
                <w:sz w:val="18"/>
                <w:szCs w:val="18"/>
              </w:rPr>
              <w:t>Grundsteuer</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8F" w14:textId="77777777" w:rsidR="00C1548D" w:rsidRDefault="009B1B4B">
            <w:pPr>
              <w:spacing w:line="250" w:lineRule="auto"/>
            </w:pPr>
            <w:r>
              <w:rPr>
                <w:sz w:val="18"/>
                <w:szCs w:val="18"/>
              </w:rPr>
              <w:t>416,67</w:t>
            </w:r>
          </w:p>
        </w:tc>
        <w:tc>
          <w:tcPr>
            <w:tcW w:w="20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0" w14:textId="77777777" w:rsidR="00C1548D" w:rsidRDefault="009B1B4B">
            <w:pPr>
              <w:spacing w:line="250" w:lineRule="auto"/>
            </w:pPr>
            <w:r>
              <w:rPr>
                <w:sz w:val="18"/>
                <w:szCs w:val="18"/>
              </w:rPr>
              <w:t>416,67</w:t>
            </w:r>
          </w:p>
        </w:tc>
      </w:tr>
      <w:tr w:rsidR="00C1548D" w14:paraId="70A4D295" w14:textId="77777777">
        <w:tblPrEx>
          <w:tblCellMar>
            <w:top w:w="0" w:type="dxa"/>
            <w:bottom w:w="0" w:type="dxa"/>
          </w:tblCellMar>
        </w:tblPrEx>
        <w:trPr>
          <w:cantSplit/>
        </w:trPr>
        <w:tc>
          <w:tcPr>
            <w:tcW w:w="24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2" w14:textId="77777777" w:rsidR="00C1548D" w:rsidRDefault="009B1B4B">
            <w:pPr>
              <w:spacing w:line="250" w:lineRule="auto"/>
            </w:pPr>
            <w:r>
              <w:rPr>
                <w:sz w:val="18"/>
                <w:szCs w:val="18"/>
              </w:rPr>
              <w:t>Versicherung</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3" w14:textId="77777777" w:rsidR="00C1548D" w:rsidRDefault="009B1B4B">
            <w:pPr>
              <w:spacing w:line="250" w:lineRule="auto"/>
            </w:pPr>
            <w:r>
              <w:rPr>
                <w:sz w:val="18"/>
                <w:szCs w:val="18"/>
              </w:rPr>
              <w:t>250,00</w:t>
            </w:r>
          </w:p>
        </w:tc>
        <w:tc>
          <w:tcPr>
            <w:tcW w:w="20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4" w14:textId="77777777" w:rsidR="00C1548D" w:rsidRDefault="009B1B4B">
            <w:pPr>
              <w:spacing w:line="250" w:lineRule="auto"/>
            </w:pPr>
            <w:r>
              <w:rPr>
                <w:sz w:val="18"/>
                <w:szCs w:val="18"/>
              </w:rPr>
              <w:t>250,00</w:t>
            </w:r>
          </w:p>
        </w:tc>
      </w:tr>
      <w:tr w:rsidR="00C1548D" w14:paraId="70A4D299" w14:textId="77777777">
        <w:tblPrEx>
          <w:tblCellMar>
            <w:top w:w="0" w:type="dxa"/>
            <w:bottom w:w="0" w:type="dxa"/>
          </w:tblCellMar>
        </w:tblPrEx>
        <w:trPr>
          <w:cantSplit/>
        </w:trPr>
        <w:tc>
          <w:tcPr>
            <w:tcW w:w="24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6" w14:textId="77777777" w:rsidR="00C1548D" w:rsidRDefault="009B1B4B">
            <w:pPr>
              <w:spacing w:line="250" w:lineRule="auto"/>
            </w:pPr>
            <w:r>
              <w:rPr>
                <w:sz w:val="18"/>
                <w:szCs w:val="18"/>
              </w:rPr>
              <w:t>PMI (0,5 %)</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7" w14:textId="77777777" w:rsidR="00C1548D" w:rsidRDefault="009B1B4B">
            <w:pPr>
              <w:spacing w:line="250" w:lineRule="auto"/>
            </w:pPr>
            <w:r>
              <w:rPr>
                <w:sz w:val="18"/>
                <w:szCs w:val="18"/>
              </w:rPr>
              <w:t>–</w:t>
            </w:r>
          </w:p>
        </w:tc>
        <w:tc>
          <w:tcPr>
            <w:tcW w:w="20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8" w14:textId="77777777" w:rsidR="00C1548D" w:rsidRDefault="009B1B4B">
            <w:pPr>
              <w:spacing w:line="250" w:lineRule="auto"/>
            </w:pPr>
            <w:r>
              <w:rPr>
                <w:sz w:val="18"/>
                <w:szCs w:val="18"/>
              </w:rPr>
              <w:t>187,50</w:t>
            </w:r>
          </w:p>
        </w:tc>
      </w:tr>
      <w:tr w:rsidR="00C1548D" w14:paraId="70A4D29D" w14:textId="77777777">
        <w:tblPrEx>
          <w:tblCellMar>
            <w:top w:w="0" w:type="dxa"/>
            <w:bottom w:w="0" w:type="dxa"/>
          </w:tblCellMar>
        </w:tblPrEx>
        <w:trPr>
          <w:cantSplit/>
        </w:trPr>
        <w:tc>
          <w:tcPr>
            <w:tcW w:w="24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A" w14:textId="77777777" w:rsidR="00C1548D" w:rsidRDefault="009B1B4B">
            <w:pPr>
              <w:spacing w:line="250" w:lineRule="auto"/>
            </w:pPr>
            <w:r>
              <w:rPr>
                <w:b/>
                <w:bCs/>
                <w:sz w:val="18"/>
                <w:szCs w:val="18"/>
              </w:rPr>
              <w:t>Summe</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B" w14:textId="77777777" w:rsidR="00C1548D" w:rsidRDefault="009B1B4B">
            <w:pPr>
              <w:spacing w:line="250" w:lineRule="auto"/>
            </w:pPr>
            <w:r>
              <w:rPr>
                <w:b/>
                <w:bCs/>
                <w:sz w:val="18"/>
                <w:szCs w:val="18"/>
              </w:rPr>
              <w:t>3.314,46</w:t>
            </w:r>
          </w:p>
        </w:tc>
        <w:tc>
          <w:tcPr>
            <w:tcW w:w="20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C" w14:textId="77777777" w:rsidR="00C1548D" w:rsidRDefault="009B1B4B">
            <w:pPr>
              <w:spacing w:line="250" w:lineRule="auto"/>
            </w:pPr>
            <w:r>
              <w:rPr>
                <w:b/>
                <w:bCs/>
                <w:sz w:val="18"/>
                <w:szCs w:val="18"/>
              </w:rPr>
              <w:t>3.832,93</w:t>
            </w:r>
          </w:p>
        </w:tc>
      </w:tr>
      <w:tr w:rsidR="00C1548D" w14:paraId="70A4D2A1" w14:textId="77777777">
        <w:tblPrEx>
          <w:tblCellMar>
            <w:top w:w="0" w:type="dxa"/>
            <w:bottom w:w="0" w:type="dxa"/>
          </w:tblCellMar>
        </w:tblPrEx>
        <w:trPr>
          <w:cantSplit/>
        </w:trPr>
        <w:tc>
          <w:tcPr>
            <w:tcW w:w="24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E" w14:textId="77777777" w:rsidR="00C1548D" w:rsidRDefault="009B1B4B">
            <w:pPr>
              <w:spacing w:line="250" w:lineRule="auto"/>
            </w:pPr>
            <w:r>
              <w:rPr>
                <w:sz w:val="18"/>
                <w:szCs w:val="18"/>
              </w:rPr>
              <w:t>Summe mit HOA (300 $ pro Monat)</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9F" w14:textId="77777777" w:rsidR="00C1548D" w:rsidRDefault="009B1B4B">
            <w:pPr>
              <w:spacing w:line="250" w:lineRule="auto"/>
            </w:pPr>
            <w:r>
              <w:rPr>
                <w:sz w:val="18"/>
                <w:szCs w:val="18"/>
              </w:rPr>
              <w:t>3.614,46</w:t>
            </w:r>
          </w:p>
        </w:tc>
        <w:tc>
          <w:tcPr>
            <w:tcW w:w="20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A0" w14:textId="77777777" w:rsidR="00C1548D" w:rsidRDefault="009B1B4B">
            <w:pPr>
              <w:spacing w:line="250" w:lineRule="auto"/>
            </w:pPr>
            <w:r>
              <w:rPr>
                <w:sz w:val="18"/>
                <w:szCs w:val="18"/>
              </w:rPr>
              <w:t>4.132,93</w:t>
            </w:r>
          </w:p>
        </w:tc>
      </w:tr>
      <w:tr w:rsidR="00C1548D" w14:paraId="70A4D2A5" w14:textId="77777777">
        <w:tblPrEx>
          <w:tblCellMar>
            <w:top w:w="0" w:type="dxa"/>
            <w:bottom w:w="0" w:type="dxa"/>
          </w:tblCellMar>
        </w:tblPrEx>
        <w:trPr>
          <w:cantSplit/>
        </w:trPr>
        <w:tc>
          <w:tcPr>
            <w:tcW w:w="24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A2" w14:textId="77777777" w:rsidR="00C1548D" w:rsidRDefault="009B1B4B">
            <w:pPr>
              <w:spacing w:line="250" w:lineRule="auto"/>
            </w:pPr>
            <w:r>
              <w:rPr>
                <w:sz w:val="18"/>
                <w:szCs w:val="18"/>
              </w:rPr>
              <w:t>Summe plus Instandhaltung (1 %)</w:t>
            </w:r>
          </w:p>
        </w:tc>
        <w:tc>
          <w:tcPr>
            <w:tcW w:w="19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A3" w14:textId="77777777" w:rsidR="00C1548D" w:rsidRDefault="009B1B4B">
            <w:pPr>
              <w:spacing w:line="250" w:lineRule="auto"/>
            </w:pPr>
            <w:r>
              <w:rPr>
                <w:sz w:val="18"/>
                <w:szCs w:val="18"/>
              </w:rPr>
              <w:t>3.731,12</w:t>
            </w:r>
          </w:p>
        </w:tc>
        <w:tc>
          <w:tcPr>
            <w:tcW w:w="20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A4" w14:textId="77777777" w:rsidR="00C1548D" w:rsidRDefault="009B1B4B">
            <w:pPr>
              <w:spacing w:line="250" w:lineRule="auto"/>
            </w:pPr>
            <w:r>
              <w:rPr>
                <w:sz w:val="18"/>
                <w:szCs w:val="18"/>
              </w:rPr>
              <w:t>4.249,60</w:t>
            </w:r>
          </w:p>
        </w:tc>
      </w:tr>
    </w:tbl>
    <w:p w14:paraId="70A4D2A6" w14:textId="77777777" w:rsidR="00C1548D" w:rsidRDefault="00C1548D">
      <w:pPr>
        <w:spacing w:line="180" w:lineRule="exact"/>
      </w:pPr>
    </w:p>
    <w:p w14:paraId="70A4D2A7" w14:textId="77777777" w:rsidR="00C1548D" w:rsidRDefault="009B1B4B">
      <w:pPr>
        <w:spacing w:after="140"/>
      </w:pPr>
      <w:r>
        <w:t>Die Bandbreite ist groß: Mit günstigen Annahmen (Grundsteuer 0,7 %, Versicherung 1.800 $, PMI 0,3 %) liegt die Summe bei 10 % Anzahlung bei 3.533 $, mit ungünstigen (1,9 %, 6.000 $, 1,0 %) bei 4.645 $; bei 20 % Anzahlung zwischen 3.089 $ und 3.939 $. Die Zinsen des ersten Jahres betragen 27.671 $ (Darlehen 400.000 $) bzw. 31.130 $ (450.000 $).</w:t>
      </w:r>
    </w:p>
    <w:p w14:paraId="70A4D2A8" w14:textId="77777777" w:rsidR="00C1548D" w:rsidRDefault="009B1B4B">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2AB"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2A9" w14:textId="77777777" w:rsidR="00C1548D" w:rsidRDefault="009B1B4B">
            <w:pPr>
              <w:keepNext/>
              <w:spacing w:after="70" w:line="240" w:lineRule="auto"/>
            </w:pPr>
            <w:r>
              <w:rPr>
                <w:b/>
                <w:bCs/>
                <w:color w:val="8A6212"/>
                <w:spacing w:val="24"/>
                <w:sz w:val="16"/>
                <w:szCs w:val="16"/>
              </w:rPr>
              <w:t>MERKE</w:t>
            </w:r>
          </w:p>
          <w:p w14:paraId="70A4D2AA" w14:textId="77777777" w:rsidR="00C1548D" w:rsidRDefault="009B1B4B">
            <w:pPr>
              <w:spacing w:after="80" w:line="264" w:lineRule="auto"/>
            </w:pPr>
            <w:r>
              <w:rPr>
                <w:sz w:val="20"/>
                <w:szCs w:val="20"/>
              </w:rPr>
              <w:t>Die Monatsrate ist nicht der Preis. Rechne mit der Gesamtbelastung aus Tilgung, Zins, Grundsteuer, Versicherung, PMI, HOA und Instandhaltung, und teste sie mit ungünstigen Werten.</w:t>
            </w:r>
          </w:p>
        </w:tc>
      </w:tr>
    </w:tbl>
    <w:p w14:paraId="70A4D2AC" w14:textId="77777777" w:rsidR="00C1548D" w:rsidRDefault="00C1548D">
      <w:pPr>
        <w:spacing w:line="220" w:lineRule="exact"/>
      </w:pPr>
    </w:p>
    <w:p w14:paraId="70A4D2AD" w14:textId="77777777" w:rsidR="00C1548D" w:rsidRDefault="009B1B4B">
      <w:pPr>
        <w:pStyle w:val="Heading3"/>
        <w:keepNext/>
        <w:jc w:val="center"/>
      </w:pPr>
      <w:r>
        <w:rPr>
          <w:rFonts w:ascii="Amazon Ember" w:eastAsia="Amazon Ember" w:hAnsi="Amazon Ember" w:cs="Amazon Ember"/>
          <w:color w:val="0000FF"/>
          <w:sz w:val="36"/>
          <w:szCs w:val="36"/>
        </w:rPr>
        <w:t>Der Kaufprozess in neun Schritten</w:t>
      </w:r>
    </w:p>
    <w:p w14:paraId="70A4D2AE" w14:textId="77777777" w:rsidR="00C1548D" w:rsidRDefault="009B1B4B" w:rsidP="009B1B4B">
      <w:pPr>
        <w:pStyle w:val="ListParagraph"/>
        <w:numPr>
          <w:ilvl w:val="0"/>
          <w:numId w:val="20"/>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w14:paraId="70A4D2AF" w14:textId="77777777" w:rsidR="00C1548D" w:rsidRDefault="009B1B4B" w:rsidP="009B1B4B">
      <w:pPr>
        <w:pStyle w:val="ListParagraph"/>
        <w:numPr>
          <w:ilvl w:val="0"/>
          <w:numId w:val="20"/>
        </w:numPr>
        <w:spacing w:after="60"/>
      </w:pPr>
      <w:r>
        <w:rPr>
          <w:b/>
          <w:bCs/>
        </w:rPr>
        <w:t>Makler wählen.</w:t>
      </w:r>
      <w:r>
        <w:t xml:space="preserve"> Seit 17. August 2024 gilt: keine Vergütungsangebote mehr in der Objektdatenbank (MLS) und ein schriftlicher Vertrag mit dem Käuferagenten (</w:t>
      </w:r>
      <w:r>
        <w:rPr>
          <w:i/>
          <w:iCs/>
        </w:rPr>
        <w:t>Buyer’s Agent</w:t>
      </w:r>
      <w:r>
        <w:t>) vor der ersten Besichtigung. Die Provision (Ø 2,42 %, Redfin, Q3 2025) ist verhandelbar; vereinbare sie schriftlich.</w:t>
      </w:r>
    </w:p>
    <w:p w14:paraId="70A4D2B0" w14:textId="77777777" w:rsidR="00C1548D" w:rsidRDefault="009B1B4B" w:rsidP="009B1B4B">
      <w:pPr>
        <w:pStyle w:val="ListParagraph"/>
        <w:numPr>
          <w:ilvl w:val="0"/>
          <w:numId w:val="20"/>
        </w:numPr>
        <w:spacing w:after="60"/>
      </w:pPr>
      <w:r>
        <w:rPr>
          <w:b/>
          <w:bCs/>
        </w:rPr>
        <w:t>Suchen, besichtigen, Angebot machen.</w:t>
      </w:r>
      <w:r>
        <w:t xml:space="preserve"> Das Angebot nennt Preis, </w:t>
      </w:r>
      <w:r>
        <w:rPr>
          <w:i/>
          <w:iCs/>
        </w:rPr>
        <w:t>Earnest Money</w:t>
      </w:r>
      <w:r>
        <w:t xml:space="preserve"> (Anzahlung als Ernstzeichen, meist 1–3 % des Preises, im Escrow verwahrt), Closing-Termin und </w:t>
      </w:r>
      <w:r>
        <w:rPr>
          <w:i/>
          <w:iCs/>
        </w:rPr>
        <w:t>Contingencies</w:t>
      </w:r>
      <w:r>
        <w:t xml:space="preserve"> (Rücktrittsklauseln für Inspektion, Finanzierung, </w:t>
      </w:r>
      <w:r>
        <w:lastRenderedPageBreak/>
        <w:t>Gutachten). Trittst du aus einem Grund zurück, den keine Contingency abdeckt, kann der Verkäufer das Earnest Money behalten.</w:t>
      </w:r>
    </w:p>
    <w:p w14:paraId="70A4D2B1" w14:textId="77777777" w:rsidR="00C1548D" w:rsidRDefault="009B1B4B" w:rsidP="009B1B4B">
      <w:pPr>
        <w:pStyle w:val="ListParagraph"/>
        <w:numPr>
          <w:ilvl w:val="0"/>
          <w:numId w:val="20"/>
        </w:numPr>
        <w:spacing w:after="60"/>
      </w:pPr>
      <w:r>
        <w:rPr>
          <w:b/>
          <w:bCs/>
        </w:rPr>
        <w:t>Kreditantrag.</w:t>
      </w:r>
      <w:r>
        <w:t xml:space="preserve"> Loan Estimate innerhalb von drei Werktagen, dann Rate Lock (siehe oben).</w:t>
      </w:r>
    </w:p>
    <w:p w14:paraId="70A4D2B2" w14:textId="77777777" w:rsidR="00C1548D" w:rsidRDefault="009B1B4B" w:rsidP="009B1B4B">
      <w:pPr>
        <w:pStyle w:val="ListParagraph"/>
        <w:numPr>
          <w:ilvl w:val="0"/>
          <w:numId w:val="20"/>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w14:paraId="70A4D2B3" w14:textId="77777777" w:rsidR="00C1548D" w:rsidRDefault="009B1B4B" w:rsidP="009B1B4B">
      <w:pPr>
        <w:pStyle w:val="ListParagraph"/>
        <w:numPr>
          <w:ilvl w:val="0"/>
          <w:numId w:val="20"/>
        </w:numPr>
        <w:spacing w:after="60"/>
      </w:pPr>
      <w:r>
        <w:rPr>
          <w:b/>
          <w:bCs/>
        </w:rPr>
        <w:t>Gutachten (</w:t>
      </w:r>
      <w:r>
        <w:rPr>
          <w:b/>
          <w:bCs/>
          <w:i/>
          <w:iCs/>
        </w:rPr>
        <w:t>Appraisal</w:t>
      </w:r>
      <w:r>
        <w:rPr>
          <w:b/>
          <w:bCs/>
        </w:rPr>
        <w:t>).</w:t>
      </w:r>
      <w:r>
        <w:t xml:space="preserve"> Der Kreditgeber beauftragt einen unabhängigen Gutachter (500–1.000 $ und mehr). Liegt der Wert unter dem Preis, finanziert der Kreditgeber nur bis zum niedrigeren Wert; die Lücke schließt du oder du verhandelst neu.</w:t>
      </w:r>
    </w:p>
    <w:p w14:paraId="70A4D2B4" w14:textId="77777777" w:rsidR="00C1548D" w:rsidRDefault="009B1B4B" w:rsidP="009B1B4B">
      <w:pPr>
        <w:pStyle w:val="ListParagraph"/>
        <w:numPr>
          <w:ilvl w:val="0"/>
          <w:numId w:val="20"/>
        </w:numPr>
        <w:spacing w:after="60"/>
      </w:pPr>
      <w:r>
        <w:rPr>
          <w:b/>
          <w:bCs/>
        </w:rPr>
        <w:t>Underwriting und Titelprüfung.</w:t>
      </w:r>
      <w:r>
        <w:t xml:space="preserve"> Der Kreditgeber prüft den Antrag abschließend. Die </w:t>
      </w:r>
      <w:r>
        <w:rPr>
          <w:i/>
          <w:iCs/>
        </w:rPr>
        <w:t>Title Company</w:t>
      </w:r>
      <w:r>
        <w:t xml:space="preserve"> (Titelgesellschaft) recherchiert die Eigentumshistorie: offene Pfandrechte, Steuerschulden, Ansprüche Dritter. Ein Jobwechsel oder neue Kreditlinien in dieser Phase können die Zusage gefährden, denn der Kreditgeber prüft Beschäftigung und Kredit vor dem Closing erneut.</w:t>
      </w:r>
    </w:p>
    <w:p w14:paraId="70A4D2B5" w14:textId="77777777" w:rsidR="00C1548D" w:rsidRDefault="009B1B4B" w:rsidP="009B1B4B">
      <w:pPr>
        <w:pStyle w:val="ListParagraph"/>
        <w:numPr>
          <w:ilvl w:val="0"/>
          <w:numId w:val="20"/>
        </w:numPr>
        <w:spacing w:after="60"/>
      </w:pPr>
      <w:r>
        <w:rPr>
          <w:b/>
          <w:bCs/>
        </w:rPr>
        <w:t>Closing Disclosure.</w:t>
      </w:r>
      <w:r>
        <w:t xml:space="preserve"> Die endgültige Kostenaufstellung muss mindestens drei Werktage vor dem Closing vorliegen; vergleiche sie mit dem Loan Estimate. Danach folgt der Rundgang durchs Haus (</w:t>
      </w:r>
      <w:r>
        <w:rPr>
          <w:i/>
          <w:iCs/>
        </w:rPr>
        <w:t>Final Walk-Through</w:t>
      </w:r>
      <w:r>
        <w:t>).</w:t>
      </w:r>
    </w:p>
    <w:p w14:paraId="70A4D2B6" w14:textId="77777777" w:rsidR="00C1548D" w:rsidRDefault="009B1B4B" w:rsidP="009B1B4B">
      <w:pPr>
        <w:pStyle w:val="ListParagraph"/>
        <w:numPr>
          <w:ilvl w:val="0"/>
          <w:numId w:val="20"/>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w14:paraId="70A4D2B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2B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2B8" w14:textId="77777777" w:rsidR="00C1548D" w:rsidRDefault="009B1B4B">
            <w:pPr>
              <w:keepNext/>
              <w:spacing w:after="70" w:line="240" w:lineRule="auto"/>
            </w:pPr>
            <w:r>
              <w:rPr>
                <w:b/>
                <w:bCs/>
                <w:color w:val="9B2C2C"/>
                <w:spacing w:val="24"/>
                <w:sz w:val="16"/>
                <w:szCs w:val="16"/>
              </w:rPr>
              <w:lastRenderedPageBreak/>
              <w:t>ACHTUNG</w:t>
            </w:r>
          </w:p>
          <w:p w14:paraId="70A4D2B9" w14:textId="77777777" w:rsidR="00C1548D" w:rsidRDefault="009B1B4B">
            <w:pPr>
              <w:spacing w:after="80" w:line="264" w:lineRule="auto"/>
            </w:pPr>
            <w:r>
              <w:rPr>
                <w:sz w:val="20"/>
                <w:szCs w:val="20"/>
              </w:rPr>
              <w:t>Überweisungsbetrug lauert kurz vor dem Closing: Kriminelle mailen gefälschte neue Kontodaten im Namen der Title Company. Bestätige jede Überweisungsanweisung telefonisch unter einer Nummer, die du selbst herausgesucht hast, nicht unter der aus der E-Mail. Bei Beträgen von mehreren Zehntausend Dollar ist das keine Übervorsicht.</w:t>
            </w:r>
          </w:p>
        </w:tc>
      </w:tr>
    </w:tbl>
    <w:p w14:paraId="70A4D2BB"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2B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2BC" w14:textId="77777777" w:rsidR="00C1548D" w:rsidRDefault="009B1B4B">
            <w:pPr>
              <w:keepNext/>
              <w:spacing w:after="70" w:line="240" w:lineRule="auto"/>
            </w:pPr>
            <w:r>
              <w:rPr>
                <w:b/>
                <w:bCs/>
                <w:color w:val="9B2C2C"/>
                <w:spacing w:val="24"/>
                <w:sz w:val="16"/>
                <w:szCs w:val="16"/>
              </w:rPr>
              <w:t>ACHTUNG</w:t>
            </w:r>
          </w:p>
          <w:p w14:paraId="70A4D2BD" w14:textId="77777777" w:rsidR="00C1548D" w:rsidRDefault="009B1B4B">
            <w:pPr>
              <w:spacing w:after="80" w:line="264" w:lineRule="auto"/>
            </w:pPr>
            <w:r>
              <w:rPr>
                <w:sz w:val="20"/>
                <w:szCs w:val="20"/>
              </w:rPr>
              <w:t xml:space="preserve">Bieterwettbewerb und </w:t>
            </w:r>
            <w:r>
              <w:rPr>
                <w:i/>
                <w:iCs/>
                <w:sz w:val="20"/>
                <w:szCs w:val="20"/>
              </w:rPr>
              <w:t>As-Is</w:t>
            </w:r>
            <w:r>
              <w:rPr>
                <w:sz w:val="20"/>
                <w:szCs w:val="20"/>
              </w:rPr>
              <w:t>-Verkäufe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tc>
      </w:tr>
    </w:tbl>
    <w:p w14:paraId="70A4D2BF" w14:textId="77777777" w:rsidR="00C1548D" w:rsidRDefault="00C1548D">
      <w:pPr>
        <w:spacing w:line="220" w:lineRule="exact"/>
      </w:pPr>
    </w:p>
    <w:p w14:paraId="70A4D2C0" w14:textId="77777777" w:rsidR="00C1548D" w:rsidRDefault="009B1B4B">
      <w:pPr>
        <w:pStyle w:val="Heading3"/>
        <w:keepNext/>
        <w:jc w:val="center"/>
      </w:pPr>
      <w:r>
        <w:rPr>
          <w:rFonts w:ascii="Amazon Ember" w:eastAsia="Amazon Ember" w:hAnsi="Amazon Ember" w:cs="Amazon Ember"/>
          <w:color w:val="0000FF"/>
          <w:sz w:val="36"/>
          <w:szCs w:val="36"/>
        </w:rPr>
        <w:t>Abschlusskosten und laufende Kosten</w:t>
      </w:r>
    </w:p>
    <w:p w14:paraId="70A4D2C1" w14:textId="77777777" w:rsidR="00C1548D" w:rsidRDefault="009B1B4B">
      <w:pPr>
        <w:spacing w:after="140"/>
      </w:pPr>
      <w:r>
        <w:t>Die Abschlusskosten (</w:t>
      </w:r>
      <w:r>
        <w:rPr>
          <w:i/>
          <w:iCs/>
        </w:rPr>
        <w:t>Closing Costs</w:t>
      </w:r>
      <w:r>
        <w:t>) betragen für Käufer 2–5 % des Kaufpreises, bei 500.000 $ also 10.000–25.000 $. Typische Posten: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6"/>
        <w:gridCol w:w="4124"/>
      </w:tblGrid>
      <w:tr w:rsidR="00C1548D" w14:paraId="70A4D2C4" w14:textId="77777777">
        <w:tblPrEx>
          <w:tblCellMar>
            <w:top w:w="0" w:type="dxa"/>
            <w:bottom w:w="0" w:type="dxa"/>
          </w:tblCellMar>
        </w:tblPrEx>
        <w:trPr>
          <w:cantSplit/>
          <w:tblHeader/>
        </w:trPr>
        <w:tc>
          <w:tcPr>
            <w:tcW w:w="235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C2" w14:textId="77777777" w:rsidR="00C1548D" w:rsidRDefault="009B1B4B">
            <w:pPr>
              <w:spacing w:line="250" w:lineRule="auto"/>
            </w:pPr>
            <w:r>
              <w:rPr>
                <w:b/>
                <w:bCs/>
                <w:sz w:val="18"/>
                <w:szCs w:val="18"/>
              </w:rPr>
              <w:t>Posten</w:t>
            </w:r>
          </w:p>
        </w:tc>
        <w:tc>
          <w:tcPr>
            <w:tcW w:w="412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C3" w14:textId="77777777" w:rsidR="00C1548D" w:rsidRDefault="009B1B4B">
            <w:pPr>
              <w:spacing w:line="250" w:lineRule="auto"/>
            </w:pPr>
            <w:r>
              <w:rPr>
                <w:b/>
                <w:bCs/>
                <w:sz w:val="18"/>
                <w:szCs w:val="18"/>
              </w:rPr>
              <w:t>Spanne</w:t>
            </w:r>
          </w:p>
        </w:tc>
      </w:tr>
      <w:tr w:rsidR="00C1548D" w14:paraId="70A4D2C7" w14:textId="77777777">
        <w:tblPrEx>
          <w:tblCellMar>
            <w:top w:w="0" w:type="dxa"/>
            <w:bottom w:w="0" w:type="dxa"/>
          </w:tblCellMar>
        </w:tblPrEx>
        <w:trPr>
          <w:cantSplit/>
        </w:trPr>
        <w:tc>
          <w:tcPr>
            <w:tcW w:w="23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C5" w14:textId="77777777" w:rsidR="00C1548D" w:rsidRDefault="009B1B4B">
            <w:pPr>
              <w:spacing w:line="250" w:lineRule="auto"/>
            </w:pPr>
            <w:r>
              <w:rPr>
                <w:sz w:val="18"/>
                <w:szCs w:val="18"/>
              </w:rPr>
              <w:t>Gutachten (</w:t>
            </w:r>
            <w:r>
              <w:rPr>
                <w:i/>
                <w:iCs/>
                <w:sz w:val="18"/>
                <w:szCs w:val="18"/>
              </w:rPr>
              <w:t>Appraisal</w:t>
            </w:r>
            <w:r>
              <w:rPr>
                <w:sz w:val="18"/>
                <w:szCs w:val="18"/>
              </w:rPr>
              <w:t>)</w:t>
            </w:r>
          </w:p>
        </w:tc>
        <w:tc>
          <w:tcPr>
            <w:tcW w:w="41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C6" w14:textId="77777777" w:rsidR="00C1548D" w:rsidRDefault="009B1B4B">
            <w:pPr>
              <w:spacing w:line="250" w:lineRule="auto"/>
            </w:pPr>
            <w:r>
              <w:rPr>
                <w:sz w:val="18"/>
                <w:szCs w:val="18"/>
              </w:rPr>
              <w:t>500–1.000 $ und mehr</w:t>
            </w:r>
          </w:p>
        </w:tc>
      </w:tr>
      <w:tr w:rsidR="00C1548D" w14:paraId="70A4D2CA" w14:textId="77777777">
        <w:tblPrEx>
          <w:tblCellMar>
            <w:top w:w="0" w:type="dxa"/>
            <w:bottom w:w="0" w:type="dxa"/>
          </w:tblCellMar>
        </w:tblPrEx>
        <w:trPr>
          <w:cantSplit/>
        </w:trPr>
        <w:tc>
          <w:tcPr>
            <w:tcW w:w="23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C8" w14:textId="77777777" w:rsidR="00C1548D" w:rsidRDefault="009B1B4B">
            <w:pPr>
              <w:spacing w:line="250" w:lineRule="auto"/>
            </w:pPr>
            <w:r>
              <w:rPr>
                <w:sz w:val="18"/>
                <w:szCs w:val="18"/>
              </w:rPr>
              <w:t>Titelversicherung des Kreditgebers</w:t>
            </w:r>
          </w:p>
        </w:tc>
        <w:tc>
          <w:tcPr>
            <w:tcW w:w="41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C9" w14:textId="77777777" w:rsidR="00C1548D" w:rsidRDefault="009B1B4B">
            <w:pPr>
              <w:spacing w:line="250" w:lineRule="auto"/>
            </w:pPr>
            <w:r>
              <w:rPr>
                <w:sz w:val="18"/>
                <w:szCs w:val="18"/>
              </w:rPr>
              <w:t>300–1.500 $ und mehr</w:t>
            </w:r>
          </w:p>
        </w:tc>
      </w:tr>
      <w:tr w:rsidR="00C1548D" w14:paraId="70A4D2CD" w14:textId="77777777">
        <w:tblPrEx>
          <w:tblCellMar>
            <w:top w:w="0" w:type="dxa"/>
            <w:bottom w:w="0" w:type="dxa"/>
          </w:tblCellMar>
        </w:tblPrEx>
        <w:trPr>
          <w:cantSplit/>
        </w:trPr>
        <w:tc>
          <w:tcPr>
            <w:tcW w:w="23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CB" w14:textId="77777777" w:rsidR="00C1548D" w:rsidRDefault="009B1B4B">
            <w:pPr>
              <w:spacing w:line="250" w:lineRule="auto"/>
            </w:pPr>
            <w:r>
              <w:rPr>
                <w:sz w:val="18"/>
                <w:szCs w:val="18"/>
              </w:rPr>
              <w:t>Titelrecherche (</w:t>
            </w:r>
            <w:r>
              <w:rPr>
                <w:i/>
                <w:iCs/>
                <w:sz w:val="18"/>
                <w:szCs w:val="18"/>
              </w:rPr>
              <w:t>Title Search</w:t>
            </w:r>
            <w:r>
              <w:rPr>
                <w:sz w:val="18"/>
                <w:szCs w:val="18"/>
              </w:rPr>
              <w:t>)</w:t>
            </w:r>
          </w:p>
        </w:tc>
        <w:tc>
          <w:tcPr>
            <w:tcW w:w="41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CC" w14:textId="77777777" w:rsidR="00C1548D" w:rsidRDefault="009B1B4B">
            <w:pPr>
              <w:spacing w:line="250" w:lineRule="auto"/>
            </w:pPr>
            <w:r>
              <w:rPr>
                <w:sz w:val="18"/>
                <w:szCs w:val="18"/>
              </w:rPr>
              <w:t>300–2.500 $ und mehr</w:t>
            </w:r>
          </w:p>
        </w:tc>
      </w:tr>
      <w:tr w:rsidR="00C1548D" w14:paraId="70A4D2D0" w14:textId="77777777">
        <w:tblPrEx>
          <w:tblCellMar>
            <w:top w:w="0" w:type="dxa"/>
            <w:bottom w:w="0" w:type="dxa"/>
          </w:tblCellMar>
        </w:tblPrEx>
        <w:trPr>
          <w:cantSplit/>
        </w:trPr>
        <w:tc>
          <w:tcPr>
            <w:tcW w:w="23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CE" w14:textId="77777777" w:rsidR="00C1548D" w:rsidRDefault="009B1B4B">
            <w:pPr>
              <w:spacing w:line="250" w:lineRule="auto"/>
            </w:pPr>
            <w:r>
              <w:rPr>
                <w:sz w:val="18"/>
                <w:szCs w:val="18"/>
              </w:rPr>
              <w:t>Inspektion</w:t>
            </w:r>
          </w:p>
        </w:tc>
        <w:tc>
          <w:tcPr>
            <w:tcW w:w="41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CF" w14:textId="77777777" w:rsidR="00C1548D" w:rsidRDefault="009B1B4B">
            <w:pPr>
              <w:spacing w:line="250" w:lineRule="auto"/>
            </w:pPr>
            <w:r>
              <w:rPr>
                <w:sz w:val="18"/>
                <w:szCs w:val="18"/>
              </w:rPr>
              <w:t>300–500 $</w:t>
            </w:r>
          </w:p>
        </w:tc>
      </w:tr>
      <w:tr w:rsidR="00C1548D" w14:paraId="70A4D2D3" w14:textId="77777777">
        <w:tblPrEx>
          <w:tblCellMar>
            <w:top w:w="0" w:type="dxa"/>
            <w:bottom w:w="0" w:type="dxa"/>
          </w:tblCellMar>
        </w:tblPrEx>
        <w:trPr>
          <w:cantSplit/>
        </w:trPr>
        <w:tc>
          <w:tcPr>
            <w:tcW w:w="23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D1" w14:textId="77777777" w:rsidR="00C1548D" w:rsidRDefault="009B1B4B">
            <w:pPr>
              <w:spacing w:line="250" w:lineRule="auto"/>
            </w:pPr>
            <w:r>
              <w:rPr>
                <w:sz w:val="18"/>
                <w:szCs w:val="18"/>
              </w:rPr>
              <w:t>Kreditgebühren</w:t>
            </w:r>
          </w:p>
        </w:tc>
        <w:tc>
          <w:tcPr>
            <w:tcW w:w="41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D2" w14:textId="77777777" w:rsidR="00C1548D" w:rsidRDefault="009B1B4B">
            <w:pPr>
              <w:spacing w:line="250" w:lineRule="auto"/>
            </w:pPr>
            <w:r>
              <w:rPr>
                <w:sz w:val="18"/>
                <w:szCs w:val="18"/>
              </w:rPr>
              <w:t>Origination 0–1 % des Darlehens; Bearbeitung 300–900 $; Underwriting 300–750 $</w:t>
            </w:r>
          </w:p>
        </w:tc>
      </w:tr>
      <w:tr w:rsidR="00C1548D" w14:paraId="70A4D2D6" w14:textId="77777777">
        <w:tblPrEx>
          <w:tblCellMar>
            <w:top w:w="0" w:type="dxa"/>
            <w:bottom w:w="0" w:type="dxa"/>
          </w:tblCellMar>
        </w:tblPrEx>
        <w:trPr>
          <w:cantSplit/>
        </w:trPr>
        <w:tc>
          <w:tcPr>
            <w:tcW w:w="23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D4" w14:textId="77777777" w:rsidR="00C1548D" w:rsidRDefault="009B1B4B">
            <w:pPr>
              <w:spacing w:line="250" w:lineRule="auto"/>
            </w:pPr>
            <w:r>
              <w:rPr>
                <w:sz w:val="18"/>
                <w:szCs w:val="18"/>
              </w:rPr>
              <w:t>Escrow-Gebühr</w:t>
            </w:r>
          </w:p>
        </w:tc>
        <w:tc>
          <w:tcPr>
            <w:tcW w:w="41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D5" w14:textId="77777777" w:rsidR="00C1548D" w:rsidRDefault="009B1B4B">
            <w:pPr>
              <w:spacing w:line="250" w:lineRule="auto"/>
            </w:pPr>
            <w:r>
              <w:rPr>
                <w:sz w:val="18"/>
                <w:szCs w:val="18"/>
              </w:rPr>
              <w:t>350–1.000 $ und mehr</w:t>
            </w:r>
          </w:p>
        </w:tc>
      </w:tr>
      <w:tr w:rsidR="00C1548D" w14:paraId="70A4D2D9" w14:textId="77777777">
        <w:tblPrEx>
          <w:tblCellMar>
            <w:top w:w="0" w:type="dxa"/>
            <w:bottom w:w="0" w:type="dxa"/>
          </w:tblCellMar>
        </w:tblPrEx>
        <w:trPr>
          <w:cantSplit/>
        </w:trPr>
        <w:tc>
          <w:tcPr>
            <w:tcW w:w="23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D7" w14:textId="77777777" w:rsidR="00C1548D" w:rsidRDefault="009B1B4B">
            <w:pPr>
              <w:spacing w:line="250" w:lineRule="auto"/>
            </w:pPr>
            <w:r>
              <w:rPr>
                <w:sz w:val="18"/>
                <w:szCs w:val="18"/>
              </w:rPr>
              <w:t>Eintragung (</w:t>
            </w:r>
            <w:r>
              <w:rPr>
                <w:i/>
                <w:iCs/>
                <w:sz w:val="18"/>
                <w:szCs w:val="18"/>
              </w:rPr>
              <w:t>Recording</w:t>
            </w:r>
            <w:r>
              <w:rPr>
                <w:sz w:val="18"/>
                <w:szCs w:val="18"/>
              </w:rPr>
              <w:t>)</w:t>
            </w:r>
          </w:p>
        </w:tc>
        <w:tc>
          <w:tcPr>
            <w:tcW w:w="41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D8" w14:textId="77777777" w:rsidR="00C1548D" w:rsidRDefault="009B1B4B">
            <w:pPr>
              <w:spacing w:line="250" w:lineRule="auto"/>
            </w:pPr>
            <w:r>
              <w:rPr>
                <w:sz w:val="18"/>
                <w:szCs w:val="18"/>
              </w:rPr>
              <w:t>20–250 $</w:t>
            </w:r>
          </w:p>
        </w:tc>
      </w:tr>
      <w:tr w:rsidR="00C1548D" w14:paraId="70A4D2DC" w14:textId="77777777">
        <w:tblPrEx>
          <w:tblCellMar>
            <w:top w:w="0" w:type="dxa"/>
            <w:bottom w:w="0" w:type="dxa"/>
          </w:tblCellMar>
        </w:tblPrEx>
        <w:trPr>
          <w:cantSplit/>
        </w:trPr>
        <w:tc>
          <w:tcPr>
            <w:tcW w:w="23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DA" w14:textId="77777777" w:rsidR="00C1548D" w:rsidRDefault="009B1B4B">
            <w:pPr>
              <w:spacing w:line="250" w:lineRule="auto"/>
            </w:pPr>
            <w:r>
              <w:rPr>
                <w:sz w:val="18"/>
                <w:szCs w:val="18"/>
              </w:rPr>
              <w:t>Vorauszahlungen (</w:t>
            </w:r>
            <w:r>
              <w:rPr>
                <w:i/>
                <w:iCs/>
                <w:sz w:val="18"/>
                <w:szCs w:val="18"/>
              </w:rPr>
              <w:t>Prepaids</w:t>
            </w:r>
            <w:r>
              <w:rPr>
                <w:sz w:val="18"/>
                <w:szCs w:val="18"/>
              </w:rPr>
              <w:t>)</w:t>
            </w:r>
          </w:p>
        </w:tc>
        <w:tc>
          <w:tcPr>
            <w:tcW w:w="41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DB" w14:textId="77777777" w:rsidR="00C1548D" w:rsidRDefault="009B1B4B">
            <w:pPr>
              <w:spacing w:line="250" w:lineRule="auto"/>
            </w:pPr>
            <w:r>
              <w:rPr>
                <w:sz w:val="18"/>
                <w:szCs w:val="18"/>
              </w:rPr>
              <w:t>1.000–4.500 $ und mehr (Steuern, Versicherung, Zinsen)</w:t>
            </w:r>
          </w:p>
        </w:tc>
      </w:tr>
    </w:tbl>
    <w:p w14:paraId="70A4D2DD" w14:textId="77777777" w:rsidR="00C1548D" w:rsidRDefault="00C1548D">
      <w:pPr>
        <w:spacing w:line="180" w:lineRule="exact"/>
      </w:pPr>
    </w:p>
    <w:p w14:paraId="70A4D2DE" w14:textId="77777777" w:rsidR="00C1548D" w:rsidRDefault="009B1B4B">
      <w:pPr>
        <w:spacing w:after="140"/>
      </w:pPr>
      <w:r>
        <w:lastRenderedPageBreak/>
        <w:t>Bargeld bei 500.000 $ Kaufpreis: 20 % Anzahlung plus Abschlusskosten sind 110.000–125.000 $, bei 10 % Anzahlung 60.000–75.000 $. Die Eigentümer-Titelversicherung (</w:t>
      </w:r>
      <w:r>
        <w:rPr>
          <w:i/>
          <w:iCs/>
        </w:rPr>
        <w:t>Owner’s Title Policy</w:t>
      </w:r>
      <w:r>
        <w:t>), die dich gegen verborgene Rechtsmängel schützt, kostet einmalig etwa 0,5–1 % des Preises. Wer sie zahlt, ist je nach Bundesstaat und Region verschieden: In Texas etwa trägt sie meist der Verkäufer.</w:t>
      </w:r>
    </w:p>
    <w:p w14:paraId="70A4D2DF" w14:textId="77777777" w:rsidR="00C1548D" w:rsidRDefault="009B1B4B">
      <w:pPr>
        <w:pStyle w:val="Heading4"/>
        <w:keepNext/>
        <w:jc w:val="center"/>
      </w:pPr>
      <w:r>
        <w:rPr>
          <w:rFonts w:ascii="Amazon Ember" w:eastAsia="Amazon Ember" w:hAnsi="Amazon Ember" w:cs="Amazon Ember"/>
          <w:color w:val="0000FF"/>
          <w:sz w:val="36"/>
          <w:szCs w:val="36"/>
        </w:rPr>
        <w:t>Grundsteuer</w:t>
      </w:r>
    </w:p>
    <w:p w14:paraId="70A4D2E0" w14:textId="77777777" w:rsidR="00C1548D" w:rsidRDefault="009B1B4B">
      <w:pPr>
        <w:spacing w:after="140"/>
      </w:pPr>
      <w:r>
        <w:t xml:space="preserve">Die </w:t>
      </w:r>
      <w:r>
        <w:rPr>
          <w:i/>
          <w:iCs/>
        </w:rPr>
        <w:t>Property Tax</w:t>
      </w:r>
      <w:r>
        <w:t xml:space="preserve"> (Grundsteuer) richtet sich nach dem Wert und dem Satz von Landkreis und Gemeinde. Im Durchschnitt beträgt der effektive Satz rund 0,9 % des Hauswerts pro Jahr (ACS 2024). Die Quellen weichen um bis zu 0,1 Prozentpunkte ab. Die Werte teilen die Median-Steuer durch den Median-Hauswert; Neukäufer zahlen oft mehr, weil neu bewertet wird.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5"/>
        <w:gridCol w:w="2107"/>
        <w:gridCol w:w="2658"/>
      </w:tblGrid>
      <w:tr w:rsidR="00C1548D" w14:paraId="70A4D2E4" w14:textId="77777777">
        <w:tblPrEx>
          <w:tblCellMar>
            <w:top w:w="0" w:type="dxa"/>
            <w:bottom w:w="0" w:type="dxa"/>
          </w:tblCellMar>
        </w:tblPrEx>
        <w:trPr>
          <w:cantSplit/>
          <w:tblHeader/>
        </w:trPr>
        <w:tc>
          <w:tcPr>
            <w:tcW w:w="171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E1" w14:textId="77777777" w:rsidR="00C1548D" w:rsidRDefault="009B1B4B">
            <w:pPr>
              <w:spacing w:line="250" w:lineRule="auto"/>
            </w:pPr>
            <w:r>
              <w:rPr>
                <w:b/>
                <w:bCs/>
                <w:sz w:val="18"/>
                <w:szCs w:val="18"/>
              </w:rPr>
              <w:t>Bundesstaat</w:t>
            </w:r>
          </w:p>
        </w:tc>
        <w:tc>
          <w:tcPr>
            <w:tcW w:w="210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E2" w14:textId="77777777" w:rsidR="00C1548D" w:rsidRDefault="009B1B4B">
            <w:pPr>
              <w:spacing w:line="250" w:lineRule="auto"/>
            </w:pPr>
            <w:r>
              <w:rPr>
                <w:b/>
                <w:bCs/>
                <w:sz w:val="18"/>
                <w:szCs w:val="18"/>
              </w:rPr>
              <w:t>Effektiver Satz</w:t>
            </w:r>
          </w:p>
        </w:tc>
        <w:tc>
          <w:tcPr>
            <w:tcW w:w="265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2E3" w14:textId="77777777" w:rsidR="00C1548D" w:rsidRDefault="009B1B4B">
            <w:pPr>
              <w:spacing w:line="250" w:lineRule="auto"/>
            </w:pPr>
            <w:r>
              <w:rPr>
                <w:b/>
                <w:bCs/>
                <w:sz w:val="18"/>
                <w:szCs w:val="18"/>
              </w:rPr>
              <w:t>Bei 500.000 $ Wert</w:t>
            </w:r>
          </w:p>
        </w:tc>
      </w:tr>
      <w:tr w:rsidR="00C1548D" w14:paraId="70A4D2E8" w14:textId="77777777">
        <w:tblPrEx>
          <w:tblCellMar>
            <w:top w:w="0" w:type="dxa"/>
            <w:bottom w:w="0" w:type="dxa"/>
          </w:tblCellMar>
        </w:tblPrEx>
        <w:trPr>
          <w:cantSplit/>
        </w:trPr>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E5" w14:textId="77777777" w:rsidR="00C1548D" w:rsidRDefault="009B1B4B">
            <w:pPr>
              <w:spacing w:line="250" w:lineRule="auto"/>
            </w:pPr>
            <w:r>
              <w:rPr>
                <w:sz w:val="18"/>
                <w:szCs w:val="18"/>
              </w:rPr>
              <w:t>New Jersey</w:t>
            </w:r>
          </w:p>
        </w:tc>
        <w:tc>
          <w:tcPr>
            <w:tcW w:w="21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E6" w14:textId="77777777" w:rsidR="00C1548D" w:rsidRDefault="009B1B4B">
            <w:pPr>
              <w:spacing w:line="250" w:lineRule="auto"/>
            </w:pPr>
            <w:r>
              <w:rPr>
                <w:sz w:val="18"/>
                <w:szCs w:val="18"/>
              </w:rPr>
              <w:t>≈ 1,9 %</w:t>
            </w:r>
          </w:p>
        </w:tc>
        <w:tc>
          <w:tcPr>
            <w:tcW w:w="2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E7" w14:textId="77777777" w:rsidR="00C1548D" w:rsidRDefault="009B1B4B">
            <w:pPr>
              <w:spacing w:line="250" w:lineRule="auto"/>
            </w:pPr>
            <w:r>
              <w:rPr>
                <w:sz w:val="18"/>
                <w:szCs w:val="18"/>
              </w:rPr>
              <w:t>≈ 9.500 $</w:t>
            </w:r>
          </w:p>
        </w:tc>
      </w:tr>
      <w:tr w:rsidR="00C1548D" w14:paraId="70A4D2EC" w14:textId="77777777">
        <w:tblPrEx>
          <w:tblCellMar>
            <w:top w:w="0" w:type="dxa"/>
            <w:bottom w:w="0" w:type="dxa"/>
          </w:tblCellMar>
        </w:tblPrEx>
        <w:trPr>
          <w:cantSplit/>
        </w:trPr>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E9" w14:textId="77777777" w:rsidR="00C1548D" w:rsidRDefault="009B1B4B">
            <w:pPr>
              <w:spacing w:line="250" w:lineRule="auto"/>
            </w:pPr>
            <w:r>
              <w:rPr>
                <w:sz w:val="18"/>
                <w:szCs w:val="18"/>
              </w:rPr>
              <w:t>Illinois</w:t>
            </w:r>
          </w:p>
        </w:tc>
        <w:tc>
          <w:tcPr>
            <w:tcW w:w="21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EA" w14:textId="77777777" w:rsidR="00C1548D" w:rsidRDefault="009B1B4B">
            <w:pPr>
              <w:spacing w:line="250" w:lineRule="auto"/>
            </w:pPr>
            <w:r>
              <w:rPr>
                <w:sz w:val="18"/>
                <w:szCs w:val="18"/>
              </w:rPr>
              <w:t>≈ 1,9 %</w:t>
            </w:r>
          </w:p>
        </w:tc>
        <w:tc>
          <w:tcPr>
            <w:tcW w:w="2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EB" w14:textId="77777777" w:rsidR="00C1548D" w:rsidRDefault="009B1B4B">
            <w:pPr>
              <w:spacing w:line="250" w:lineRule="auto"/>
            </w:pPr>
            <w:r>
              <w:rPr>
                <w:sz w:val="18"/>
                <w:szCs w:val="18"/>
              </w:rPr>
              <w:t>≈ 9.500 $</w:t>
            </w:r>
          </w:p>
        </w:tc>
      </w:tr>
      <w:tr w:rsidR="00C1548D" w14:paraId="70A4D2F0" w14:textId="77777777">
        <w:tblPrEx>
          <w:tblCellMar>
            <w:top w:w="0" w:type="dxa"/>
            <w:bottom w:w="0" w:type="dxa"/>
          </w:tblCellMar>
        </w:tblPrEx>
        <w:trPr>
          <w:cantSplit/>
        </w:trPr>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ED" w14:textId="77777777" w:rsidR="00C1548D" w:rsidRDefault="009B1B4B">
            <w:pPr>
              <w:spacing w:line="250" w:lineRule="auto"/>
            </w:pPr>
            <w:r>
              <w:rPr>
                <w:sz w:val="18"/>
                <w:szCs w:val="18"/>
              </w:rPr>
              <w:t>Texas</w:t>
            </w:r>
          </w:p>
        </w:tc>
        <w:tc>
          <w:tcPr>
            <w:tcW w:w="21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EE" w14:textId="77777777" w:rsidR="00C1548D" w:rsidRDefault="009B1B4B">
            <w:pPr>
              <w:spacing w:line="250" w:lineRule="auto"/>
            </w:pPr>
            <w:r>
              <w:rPr>
                <w:sz w:val="18"/>
                <w:szCs w:val="18"/>
              </w:rPr>
              <w:t>≈ 1,4–1,5 %</w:t>
            </w:r>
          </w:p>
        </w:tc>
        <w:tc>
          <w:tcPr>
            <w:tcW w:w="2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EF" w14:textId="77777777" w:rsidR="00C1548D" w:rsidRDefault="009B1B4B">
            <w:pPr>
              <w:spacing w:line="250" w:lineRule="auto"/>
            </w:pPr>
            <w:r>
              <w:rPr>
                <w:sz w:val="18"/>
                <w:szCs w:val="18"/>
              </w:rPr>
              <w:t>≈ 7.000–7.500 $</w:t>
            </w:r>
          </w:p>
        </w:tc>
      </w:tr>
      <w:tr w:rsidR="00C1548D" w14:paraId="70A4D2F4" w14:textId="77777777">
        <w:tblPrEx>
          <w:tblCellMar>
            <w:top w:w="0" w:type="dxa"/>
            <w:bottom w:w="0" w:type="dxa"/>
          </w:tblCellMar>
        </w:tblPrEx>
        <w:trPr>
          <w:cantSplit/>
        </w:trPr>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1" w14:textId="77777777" w:rsidR="00C1548D" w:rsidRDefault="009B1B4B">
            <w:pPr>
              <w:spacing w:line="250" w:lineRule="auto"/>
            </w:pPr>
            <w:r>
              <w:rPr>
                <w:sz w:val="18"/>
                <w:szCs w:val="18"/>
              </w:rPr>
              <w:t>New York</w:t>
            </w:r>
          </w:p>
        </w:tc>
        <w:tc>
          <w:tcPr>
            <w:tcW w:w="21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2" w14:textId="77777777" w:rsidR="00C1548D" w:rsidRDefault="009B1B4B">
            <w:pPr>
              <w:spacing w:line="250" w:lineRule="auto"/>
            </w:pPr>
            <w:r>
              <w:rPr>
                <w:sz w:val="18"/>
                <w:szCs w:val="18"/>
              </w:rPr>
              <w:t>≈ 1,3–1,4 %</w:t>
            </w:r>
          </w:p>
        </w:tc>
        <w:tc>
          <w:tcPr>
            <w:tcW w:w="2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3" w14:textId="77777777" w:rsidR="00C1548D" w:rsidRDefault="009B1B4B">
            <w:pPr>
              <w:spacing w:line="250" w:lineRule="auto"/>
            </w:pPr>
            <w:r>
              <w:rPr>
                <w:sz w:val="18"/>
                <w:szCs w:val="18"/>
              </w:rPr>
              <w:t>≈ 6.500–7.000 $</w:t>
            </w:r>
          </w:p>
        </w:tc>
      </w:tr>
      <w:tr w:rsidR="00C1548D" w14:paraId="70A4D2F8" w14:textId="77777777">
        <w:tblPrEx>
          <w:tblCellMar>
            <w:top w:w="0" w:type="dxa"/>
            <w:bottom w:w="0" w:type="dxa"/>
          </w:tblCellMar>
        </w:tblPrEx>
        <w:trPr>
          <w:cantSplit/>
        </w:trPr>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5" w14:textId="77777777" w:rsidR="00C1548D" w:rsidRDefault="009B1B4B">
            <w:pPr>
              <w:spacing w:line="250" w:lineRule="auto"/>
            </w:pPr>
            <w:r>
              <w:rPr>
                <w:sz w:val="18"/>
                <w:szCs w:val="18"/>
              </w:rPr>
              <w:t>Florida</w:t>
            </w:r>
          </w:p>
        </w:tc>
        <w:tc>
          <w:tcPr>
            <w:tcW w:w="21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6" w14:textId="77777777" w:rsidR="00C1548D" w:rsidRDefault="009B1B4B">
            <w:pPr>
              <w:spacing w:line="250" w:lineRule="auto"/>
            </w:pPr>
            <w:r>
              <w:rPr>
                <w:sz w:val="18"/>
                <w:szCs w:val="18"/>
              </w:rPr>
              <w:t>≈ 0,8 %</w:t>
            </w:r>
          </w:p>
        </w:tc>
        <w:tc>
          <w:tcPr>
            <w:tcW w:w="2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7" w14:textId="77777777" w:rsidR="00C1548D" w:rsidRDefault="009B1B4B">
            <w:pPr>
              <w:spacing w:line="250" w:lineRule="auto"/>
            </w:pPr>
            <w:r>
              <w:rPr>
                <w:sz w:val="18"/>
                <w:szCs w:val="18"/>
              </w:rPr>
              <w:t>≈ 4.000 $</w:t>
            </w:r>
          </w:p>
        </w:tc>
      </w:tr>
      <w:tr w:rsidR="00C1548D" w14:paraId="70A4D2FC" w14:textId="77777777">
        <w:tblPrEx>
          <w:tblCellMar>
            <w:top w:w="0" w:type="dxa"/>
            <w:bottom w:w="0" w:type="dxa"/>
          </w:tblCellMar>
        </w:tblPrEx>
        <w:trPr>
          <w:cantSplit/>
        </w:trPr>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9" w14:textId="77777777" w:rsidR="00C1548D" w:rsidRDefault="009B1B4B">
            <w:pPr>
              <w:spacing w:line="250" w:lineRule="auto"/>
            </w:pPr>
            <w:r>
              <w:rPr>
                <w:sz w:val="18"/>
                <w:szCs w:val="18"/>
              </w:rPr>
              <w:t>Kalifornien</w:t>
            </w:r>
          </w:p>
        </w:tc>
        <w:tc>
          <w:tcPr>
            <w:tcW w:w="21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A" w14:textId="77777777" w:rsidR="00C1548D" w:rsidRDefault="009B1B4B">
            <w:pPr>
              <w:spacing w:line="250" w:lineRule="auto"/>
            </w:pPr>
            <w:r>
              <w:rPr>
                <w:sz w:val="18"/>
                <w:szCs w:val="18"/>
              </w:rPr>
              <w:t>≈ 0,7–0,8 %</w:t>
            </w:r>
          </w:p>
        </w:tc>
        <w:tc>
          <w:tcPr>
            <w:tcW w:w="2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B" w14:textId="77777777" w:rsidR="00C1548D" w:rsidRDefault="009B1B4B">
            <w:pPr>
              <w:spacing w:line="250" w:lineRule="auto"/>
            </w:pPr>
            <w:r>
              <w:rPr>
                <w:sz w:val="18"/>
                <w:szCs w:val="18"/>
              </w:rPr>
              <w:t>≈ 3.500–4.000 $</w:t>
            </w:r>
          </w:p>
        </w:tc>
      </w:tr>
      <w:tr w:rsidR="00C1548D" w14:paraId="70A4D300" w14:textId="77777777">
        <w:tblPrEx>
          <w:tblCellMar>
            <w:top w:w="0" w:type="dxa"/>
            <w:bottom w:w="0" w:type="dxa"/>
          </w:tblCellMar>
        </w:tblPrEx>
        <w:trPr>
          <w:cantSplit/>
        </w:trPr>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D" w14:textId="77777777" w:rsidR="00C1548D" w:rsidRDefault="009B1B4B">
            <w:pPr>
              <w:spacing w:line="250" w:lineRule="auto"/>
            </w:pPr>
            <w:r>
              <w:rPr>
                <w:sz w:val="18"/>
                <w:szCs w:val="18"/>
              </w:rPr>
              <w:t>Hawaii</w:t>
            </w:r>
          </w:p>
        </w:tc>
        <w:tc>
          <w:tcPr>
            <w:tcW w:w="21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E" w14:textId="77777777" w:rsidR="00C1548D" w:rsidRDefault="009B1B4B">
            <w:pPr>
              <w:spacing w:line="250" w:lineRule="auto"/>
            </w:pPr>
            <w:r>
              <w:rPr>
                <w:sz w:val="18"/>
                <w:szCs w:val="18"/>
              </w:rPr>
              <w:t>≈ 0,3 %</w:t>
            </w:r>
          </w:p>
        </w:tc>
        <w:tc>
          <w:tcPr>
            <w:tcW w:w="2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2FF" w14:textId="77777777" w:rsidR="00C1548D" w:rsidRDefault="009B1B4B">
            <w:pPr>
              <w:spacing w:line="250" w:lineRule="auto"/>
            </w:pPr>
            <w:r>
              <w:rPr>
                <w:sz w:val="18"/>
                <w:szCs w:val="18"/>
              </w:rPr>
              <w:t>≈ 1.500 $</w:t>
            </w:r>
          </w:p>
        </w:tc>
      </w:tr>
    </w:tbl>
    <w:p w14:paraId="70A4D301" w14:textId="77777777" w:rsidR="00C1548D" w:rsidRDefault="00C1548D">
      <w:pPr>
        <w:spacing w:line="180" w:lineRule="exact"/>
      </w:pPr>
    </w:p>
    <w:p w14:paraId="70A4D302" w14:textId="4A5652F8" w:rsidR="00C1548D" w:rsidRDefault="009B1B4B">
      <w:pPr>
        <w:spacing w:after="140"/>
      </w:pPr>
      <w:r>
        <w:t>Texas hat keine Einkommensteuer, dafür eine hohe Grundsteuer (Kapitel </w:t>
      </w:r>
      <w:hyperlink w:anchor="k12" w:history="1">
        <w:r>
          <w:t>12</w:t>
        </w:r>
      </w:hyperlink>
      <w:r>
        <w:t xml:space="preserve"> und </w:t>
      </w:r>
      <w:hyperlink w:anchor="k28" w:history="1">
        <w:r>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w14:paraId="70A4D303" w14:textId="77777777" w:rsidR="00C1548D" w:rsidRDefault="009B1B4B">
      <w:pPr>
        <w:pStyle w:val="Heading4"/>
        <w:keepNext/>
        <w:jc w:val="center"/>
      </w:pPr>
      <w:r>
        <w:rPr>
          <w:rFonts w:ascii="Amazon Ember" w:eastAsia="Amazon Ember" w:hAnsi="Amazon Ember" w:cs="Amazon Ember"/>
          <w:color w:val="0000FF"/>
          <w:sz w:val="36"/>
          <w:szCs w:val="36"/>
        </w:rPr>
        <w:lastRenderedPageBreak/>
        <w:t>Hausversicherung</w:t>
      </w:r>
    </w:p>
    <w:p w14:paraId="70A4D304" w14:textId="77777777" w:rsidR="00C1548D" w:rsidRDefault="009B1B4B">
      <w:pPr>
        <w:spacing w:after="140"/>
      </w:pPr>
      <w:r>
        <w:t xml:space="preserve">Die </w:t>
      </w:r>
      <w:r>
        <w:rPr>
          <w:i/>
          <w:iCs/>
        </w:rPr>
        <w:t>Homeowners Insurance</w:t>
      </w:r>
      <w:r>
        <w:t xml:space="preserv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 rund das Achtfache für dieselbe Deckungssumme, nur an einem anderen Ort. Die Quellen widersprechen einander im Detai</w:t>
      </w:r>
      <w:r>
        <w:t>l (für Florida 3.382–6.432 $), weil Deckung, Selbstbehalt und Methodik verschieden sind. Nimm sie als Größenordnung.</w:t>
      </w:r>
    </w:p>
    <w:p w14:paraId="70A4D305" w14:textId="77777777" w:rsidR="00C1548D" w:rsidRDefault="009B1B4B">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30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306" w14:textId="77777777" w:rsidR="00C1548D" w:rsidRDefault="009B1B4B">
            <w:pPr>
              <w:keepNext/>
              <w:spacing w:after="70" w:line="240" w:lineRule="auto"/>
            </w:pPr>
            <w:r>
              <w:rPr>
                <w:b/>
                <w:bCs/>
                <w:color w:val="9B2C2C"/>
                <w:spacing w:val="24"/>
                <w:sz w:val="16"/>
                <w:szCs w:val="16"/>
              </w:rPr>
              <w:t>ACHTUNG</w:t>
            </w:r>
          </w:p>
          <w:p w14:paraId="70A4D307" w14:textId="77777777" w:rsidR="00C1548D" w:rsidRDefault="009B1B4B">
            <w:pPr>
              <w:spacing w:after="80" w:line="264" w:lineRule="auto"/>
            </w:pPr>
            <w:r>
              <w:rPr>
                <w:sz w:val="20"/>
                <w:szCs w:val="20"/>
              </w:rPr>
              <w:t>Die Standardpolice deckt weder Flut noch Erdbeben. Liegt das Haus in einer ausgewiesenen Hochrisiko-Flutzone (</w:t>
            </w:r>
            <w:r>
              <w:rPr>
                <w:i/>
                <w:iCs/>
                <w:sz w:val="20"/>
                <w:szCs w:val="20"/>
              </w:rPr>
              <w:t>Flood Zone</w:t>
            </w:r>
            <w:r>
              <w:rPr>
                <w:sz w:val="20"/>
                <w:szCs w:val="20"/>
              </w:rPr>
              <w:t>), verlangt der Kreditgeber in der Regel zusätzlich eine Flutversicherung. Hol vor dem Angebot ein Versicherungsangebot ein und prüfe die Flutkarte der Bundesbehörde FEMA. In Kalifornien und Florida ist manchmal schon der Abschluss einer Police das Problem.</w:t>
            </w:r>
          </w:p>
        </w:tc>
      </w:tr>
    </w:tbl>
    <w:p w14:paraId="70A4D309" w14:textId="77777777" w:rsidR="00C1548D" w:rsidRDefault="00C1548D">
      <w:pPr>
        <w:spacing w:line="220" w:lineRule="exact"/>
      </w:pPr>
    </w:p>
    <w:p w14:paraId="70A4D30A" w14:textId="77777777" w:rsidR="00C1548D" w:rsidRDefault="009B1B4B">
      <w:pPr>
        <w:pStyle w:val="Heading4"/>
        <w:keepNext/>
        <w:jc w:val="center"/>
      </w:pPr>
      <w:r>
        <w:rPr>
          <w:rFonts w:ascii="Amazon Ember" w:eastAsia="Amazon Ember" w:hAnsi="Amazon Ember" w:cs="Amazon Ember"/>
          <w:color w:val="0000FF"/>
          <w:sz w:val="36"/>
          <w:szCs w:val="36"/>
        </w:rPr>
        <w:t>HOA und Instandhaltung</w:t>
      </w:r>
    </w:p>
    <w:p w14:paraId="70A4D30B" w14:textId="77777777" w:rsidR="00C1548D" w:rsidRDefault="009B1B4B">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xml:space="preserve">) können die Gebühren darüber liegen; genaue Spannen wurden nicht </w:t>
      </w:r>
      <w:r>
        <w:lastRenderedPageBreak/>
        <w:t>ermittelt. Lies vor dem Kauf die HOA-Unterlagen: Regeln zu Fassade, Zaun, Vermietung, die Rücklagen und anstehende Sonderumlagen. Die Instandhaltung (Faustregel 1–2 % des Werts pro Jahr) kommt hinzu.</w:t>
      </w:r>
    </w:p>
    <w:p w14:paraId="70A4D30C" w14:textId="77777777" w:rsidR="00C1548D" w:rsidRDefault="009B1B4B">
      <w:pPr>
        <w:pStyle w:val="Heading3"/>
        <w:keepNext/>
        <w:jc w:val="center"/>
      </w:pPr>
      <w:r>
        <w:rPr>
          <w:rFonts w:ascii="Amazon Ember" w:eastAsia="Amazon Ember" w:hAnsi="Amazon Ember" w:cs="Amazon Ember"/>
          <w:color w:val="0000FF"/>
          <w:sz w:val="36"/>
          <w:szCs w:val="36"/>
        </w:rPr>
        <w:t>Steuervorteile</w:t>
      </w:r>
    </w:p>
    <w:p w14:paraId="70A4D30D" w14:textId="77777777" w:rsidR="00C1548D" w:rsidRDefault="009B1B4B">
      <w:pPr>
        <w:spacing w:after="140"/>
      </w:pPr>
      <w:r>
        <w:t>Kaufen bringt in den USA Abzugsmöglichkeiten, die du nur nutzt, wenn du die Einzelposten in der Steuererklärung angibst (</w:t>
      </w:r>
      <w:r>
        <w:rPr>
          <w:i/>
          <w:iCs/>
        </w:rPr>
        <w:t>Itemizing</w:t>
      </w:r>
      <w:r>
        <w:t>) statt den Standardabzug zu nehmen. Der Standardabzug 2026 beträgt 16.100 $ (Einzelperson) bzw. 32.200 $ (Ehepaar). Was du darüber hinaus abziehen kannst:</w:t>
      </w:r>
    </w:p>
    <w:p w14:paraId="70A4D30E" w14:textId="77777777" w:rsidR="00C1548D" w:rsidRDefault="009B1B4B" w:rsidP="009B1B4B">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w14:paraId="70A4D30F" w14:textId="77777777" w:rsidR="00C1548D" w:rsidRDefault="009B1B4B" w:rsidP="009B1B4B">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505.000 $ MAGI, 2025: ab 500.000 $) und fällt nicht unter 10.000 $. Er gilt bis 2029; ab 2030 sieht das Gesetz wieder 10.000 $ vor.</w:t>
      </w:r>
    </w:p>
    <w:p w14:paraId="70A4D310" w14:textId="77777777" w:rsidR="00C1548D" w:rsidRDefault="009B1B4B" w:rsidP="009B1B4B">
      <w:pPr>
        <w:pStyle w:val="ListParagraph"/>
        <w:numPr>
          <w:ilvl w:val="0"/>
          <w:numId w:val="1"/>
        </w:numPr>
        <w:spacing w:after="60"/>
      </w:pPr>
      <w:r>
        <w:rPr>
          <w:b/>
          <w:bCs/>
        </w:rPr>
        <w:t>PMI-Beiträge:</w:t>
      </w:r>
      <w:r>
        <w:t xml:space="preserv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w14:paraId="70A4D311" w14:textId="77777777" w:rsidR="00C1548D" w:rsidRDefault="00C1548D">
      <w:pPr>
        <w:spacing w:line="120" w:lineRule="exact"/>
      </w:pPr>
    </w:p>
    <w:p w14:paraId="70A4D312" w14:textId="77777777" w:rsidR="00C1548D" w:rsidRDefault="009B1B4B">
      <w:pPr>
        <w:spacing w:after="140"/>
      </w:pPr>
      <w:r>
        <w:t xml:space="preserve">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Landeseinkommensteuer kommt auf 39.700 $, das sind 7.500 $ über dem Standardabzug. Bei einem Grenzsteuersatz von 22 % </w:t>
      </w:r>
      <w:r>
        <w:lastRenderedPageBreak/>
        <w:t>(Beispielannahme) sind das rund 1.650 $ pro Jahr. Zinsen plus Grundsteuer allein liegen mit 32.700 $ kaum über dem Standardabzug – der Steuervorteil ist also häufig kleiner, als die Broschüren suggerieren.</w:t>
      </w:r>
    </w:p>
    <w:p w14:paraId="70A4D313" w14:textId="77777777" w:rsidR="00C1548D" w:rsidRDefault="009B1B4B">
      <w:pPr>
        <w:spacing w:after="140"/>
      </w:pPr>
      <w:r>
        <w:t>Beim Verkauf eines selbstgenutzten Hauses bleiben 250.000 $ Gewinn steuerfrei (Ehepaar 500.000 $), wenn du es in den vergangenen fünf Jahren mindestens 24 Monate besessen und bewohnt hast (IRS Topic 701). Wer als Nichtansässiger (</w:t>
      </w:r>
      <w:r>
        <w:rPr>
          <w:i/>
          <w:iCs/>
        </w:rPr>
        <w:t>Foreign Person</w:t>
      </w:r>
      <w:r>
        <w:t xml:space="preserve">) verkauft, etwa nach der Rückkehr nach Deutschland, muss mit einem Einbehalt nach </w:t>
      </w:r>
      <w:r>
        <w:rPr>
          <w:i/>
          <w:iCs/>
        </w:rPr>
        <w:t>FIRPTA</w:t>
      </w:r>
      <w:r>
        <w:t xml:space="preserve"> rechnen: Der Käufer behält grundsätzlich 15 % des Erlöses für das Finanzamt ein, bei Nutzung durch den Käufer als Wohnsitz gestaffelt weniger. Das ist eine Vorauszahlung, keine Endabrechnung.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31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314" w14:textId="77777777" w:rsidR="00C1548D" w:rsidRDefault="009B1B4B">
            <w:pPr>
              <w:keepNext/>
              <w:spacing w:after="70" w:line="240" w:lineRule="auto"/>
            </w:pPr>
            <w:r>
              <w:rPr>
                <w:b/>
                <w:bCs/>
                <w:color w:val="6B7280"/>
                <w:spacing w:val="24"/>
                <w:sz w:val="16"/>
                <w:szCs w:val="16"/>
              </w:rPr>
              <w:t>KEIN RECHTSRAT</w:t>
            </w:r>
          </w:p>
          <w:p w14:paraId="70A4D315" w14:textId="31518226" w:rsidR="00C1548D" w:rsidRDefault="009B1B4B">
            <w:pPr>
              <w:spacing w:after="80" w:line="264" w:lineRule="auto"/>
            </w:pPr>
            <w:r>
              <w:rPr>
                <w:sz w:val="20"/>
                <w:szCs w:val="20"/>
              </w:rPr>
              <w:t>Das ist keine Rechts-, Steuer- oder Finanzberatung. Ob du Zinsen und Steuern abziehen kannst, hängt von deiner steuerlichen Ansässigkeit (Kapitel </w:t>
            </w:r>
            <w:hyperlink w:anchor="k28" w:history="1">
              <w:r>
                <w:rPr>
                  <w:sz w:val="20"/>
                  <w:szCs w:val="20"/>
                </w:rPr>
                <w:t>28</w:t>
              </w:r>
            </w:hyperlink>
            <w:r>
              <w:rPr>
                <w:sz w:val="20"/>
                <w:szCs w:val="20"/>
              </w:rPr>
              <w:t xml:space="preserve">) und deiner Gesamtsituation ab. Lass dich vor dem Kauf von einem </w:t>
            </w:r>
            <w:r>
              <w:rPr>
                <w:i/>
                <w:iCs/>
                <w:sz w:val="20"/>
                <w:szCs w:val="20"/>
              </w:rPr>
              <w:t>CPA</w:t>
            </w:r>
            <w:r>
              <w:rPr>
                <w:sz w:val="20"/>
                <w:szCs w:val="20"/>
              </w:rPr>
              <w:t xml:space="preserve"> (</w:t>
            </w:r>
            <w:r>
              <w:rPr>
                <w:i/>
                <w:iCs/>
                <w:sz w:val="20"/>
                <w:szCs w:val="20"/>
              </w:rPr>
              <w:t>Certified Public Accountant</w:t>
            </w:r>
            <w:r>
              <w:rPr>
                <w:sz w:val="20"/>
                <w:szCs w:val="20"/>
              </w:rPr>
              <w:t>, in den USA zugelassener Steuer- und Finanzexperte) beraten, der auch die deutsche Seite kennt.</w:t>
            </w:r>
          </w:p>
        </w:tc>
      </w:tr>
    </w:tbl>
    <w:p w14:paraId="70A4D317" w14:textId="77777777" w:rsidR="00C1548D" w:rsidRDefault="00C1548D">
      <w:pPr>
        <w:spacing w:line="220" w:lineRule="exact"/>
      </w:pPr>
    </w:p>
    <w:p w14:paraId="70A4D318" w14:textId="77777777" w:rsidR="00C1548D" w:rsidRDefault="009B1B4B">
      <w:pPr>
        <w:pStyle w:val="Heading3"/>
        <w:keepNext/>
        <w:jc w:val="center"/>
      </w:pPr>
      <w:r>
        <w:rPr>
          <w:rFonts w:ascii="Amazon Ember" w:eastAsia="Amazon Ember" w:hAnsi="Amazon Ember" w:cs="Amazon Ember"/>
          <w:color w:val="0000FF"/>
          <w:sz w:val="36"/>
          <w:szCs w:val="36"/>
        </w:rPr>
        <w:t>Vergleich mit dem deutschen Kauf</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677"/>
        <w:gridCol w:w="2853"/>
      </w:tblGrid>
      <w:tr w:rsidR="00C1548D" w14:paraId="70A4D31C"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19" w14:textId="77777777" w:rsidR="00C1548D" w:rsidRDefault="009B1B4B">
            <w:pPr>
              <w:spacing w:line="250" w:lineRule="auto"/>
            </w:pPr>
            <w:r>
              <w:rPr>
                <w:b/>
                <w:bCs/>
                <w:sz w:val="18"/>
                <w:szCs w:val="18"/>
              </w:rPr>
              <w:t>Thema</w:t>
            </w:r>
          </w:p>
        </w:tc>
        <w:tc>
          <w:tcPr>
            <w:tcW w:w="26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1A" w14:textId="77777777" w:rsidR="00C1548D" w:rsidRDefault="009B1B4B">
            <w:pPr>
              <w:spacing w:line="250" w:lineRule="auto"/>
            </w:pPr>
            <w:r>
              <w:rPr>
                <w:b/>
                <w:bCs/>
                <w:sz w:val="18"/>
                <w:szCs w:val="18"/>
              </w:rPr>
              <w:t>Deutschland</w:t>
            </w:r>
          </w:p>
        </w:tc>
        <w:tc>
          <w:tcPr>
            <w:tcW w:w="28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1B" w14:textId="77777777" w:rsidR="00C1548D" w:rsidRDefault="009B1B4B">
            <w:pPr>
              <w:spacing w:line="250" w:lineRule="auto"/>
            </w:pPr>
            <w:r>
              <w:rPr>
                <w:b/>
                <w:bCs/>
                <w:sz w:val="18"/>
                <w:szCs w:val="18"/>
              </w:rPr>
              <w:t>USA</w:t>
            </w:r>
          </w:p>
        </w:tc>
      </w:tr>
      <w:tr w:rsidR="00C1548D" w14:paraId="70A4D32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1D" w14:textId="77777777" w:rsidR="00C1548D" w:rsidRDefault="009B1B4B">
            <w:pPr>
              <w:spacing w:line="250" w:lineRule="auto"/>
            </w:pPr>
            <w:r>
              <w:rPr>
                <w:sz w:val="18"/>
                <w:szCs w:val="18"/>
              </w:rPr>
              <w:t>Vertrag</w:t>
            </w:r>
          </w:p>
        </w:tc>
        <w:tc>
          <w:tcPr>
            <w:tcW w:w="26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1E" w14:textId="77777777" w:rsidR="00C1548D" w:rsidRDefault="009B1B4B">
            <w:pPr>
              <w:spacing w:line="250" w:lineRule="auto"/>
            </w:pPr>
            <w:r>
              <w:rPr>
                <w:sz w:val="18"/>
                <w:szCs w:val="18"/>
              </w:rPr>
              <w:t>Notar beurkundet den Kaufvertrag; Notar und Grundbuch ca. 1,5–2 %</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1F" w14:textId="77777777" w:rsidR="00C1548D" w:rsidRDefault="009B1B4B">
            <w:pPr>
              <w:spacing w:line="250" w:lineRule="auto"/>
            </w:pPr>
            <w:r>
              <w:rPr>
                <w:sz w:val="18"/>
                <w:szCs w:val="18"/>
              </w:rPr>
              <w:t>Standardvertrag über die Makler; Closing bei Title Company, Escrow oder (z. B. in New York) Anwalt</w:t>
            </w:r>
          </w:p>
        </w:tc>
      </w:tr>
      <w:tr w:rsidR="00C1548D" w14:paraId="70A4D32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1" w14:textId="77777777" w:rsidR="00C1548D" w:rsidRDefault="009B1B4B">
            <w:pPr>
              <w:spacing w:line="250" w:lineRule="auto"/>
            </w:pPr>
            <w:r>
              <w:rPr>
                <w:sz w:val="18"/>
                <w:szCs w:val="18"/>
              </w:rPr>
              <w:t>Eigentum</w:t>
            </w:r>
          </w:p>
        </w:tc>
        <w:tc>
          <w:tcPr>
            <w:tcW w:w="26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2" w14:textId="77777777" w:rsidR="00C1548D" w:rsidRDefault="009B1B4B">
            <w:pPr>
              <w:spacing w:line="250" w:lineRule="auto"/>
            </w:pPr>
            <w:r>
              <w:rPr>
                <w:sz w:val="18"/>
                <w:szCs w:val="18"/>
              </w:rPr>
              <w:t>Grundbuch mit öffentlichem Glauben</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3" w14:textId="77777777" w:rsidR="00C1548D" w:rsidRDefault="009B1B4B">
            <w:pPr>
              <w:spacing w:line="250" w:lineRule="auto"/>
            </w:pPr>
            <w:r>
              <w:rPr>
                <w:sz w:val="18"/>
                <w:szCs w:val="18"/>
              </w:rPr>
              <w:t>Register des Landkreises; Title Search und Title Insurance gegen versteckte Ansprüche</w:t>
            </w:r>
          </w:p>
        </w:tc>
      </w:tr>
      <w:tr w:rsidR="00C1548D" w14:paraId="70A4D32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5" w14:textId="77777777" w:rsidR="00C1548D" w:rsidRDefault="009B1B4B">
            <w:pPr>
              <w:spacing w:line="250" w:lineRule="auto"/>
            </w:pPr>
            <w:r>
              <w:rPr>
                <w:sz w:val="18"/>
                <w:szCs w:val="18"/>
              </w:rPr>
              <w:t>Steuer beim Kauf</w:t>
            </w:r>
          </w:p>
        </w:tc>
        <w:tc>
          <w:tcPr>
            <w:tcW w:w="26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6" w14:textId="77777777" w:rsidR="00C1548D" w:rsidRDefault="009B1B4B">
            <w:pPr>
              <w:spacing w:line="250" w:lineRule="auto"/>
            </w:pPr>
            <w:r>
              <w:rPr>
                <w:sz w:val="18"/>
                <w:szCs w:val="18"/>
              </w:rPr>
              <w:t>Grunderwerbsteuer 3,5 % (Bayern) bis 6,5 % (u. a. NRW, Brandenburg)</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7" w14:textId="77777777" w:rsidR="00C1548D" w:rsidRDefault="009B1B4B">
            <w:pPr>
              <w:spacing w:line="250" w:lineRule="auto"/>
            </w:pPr>
            <w:r>
              <w:rPr>
                <w:sz w:val="18"/>
                <w:szCs w:val="18"/>
              </w:rPr>
              <w:t>Keine bundesweite; einzelne Staaten und Städte erheben Übertragungssteuern</w:t>
            </w:r>
          </w:p>
        </w:tc>
      </w:tr>
      <w:tr w:rsidR="00C1548D" w14:paraId="70A4D32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9" w14:textId="77777777" w:rsidR="00C1548D" w:rsidRDefault="009B1B4B">
            <w:pPr>
              <w:spacing w:line="250" w:lineRule="auto"/>
            </w:pPr>
            <w:r>
              <w:rPr>
                <w:sz w:val="18"/>
                <w:szCs w:val="18"/>
              </w:rPr>
              <w:lastRenderedPageBreak/>
              <w:t>Makler</w:t>
            </w:r>
          </w:p>
        </w:tc>
        <w:tc>
          <w:tcPr>
            <w:tcW w:w="26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A" w14:textId="77777777" w:rsidR="00C1548D" w:rsidRDefault="009B1B4B">
            <w:pPr>
              <w:spacing w:line="250" w:lineRule="auto"/>
            </w:pPr>
            <w:r>
              <w:rPr>
                <w:sz w:val="18"/>
                <w:szCs w:val="18"/>
              </w:rPr>
              <w:t>Beim Kauf von Wohnung oder Haus hälftig (§ 656c BGB); Gesamtprovision üblich 5,95–7,14 %</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B" w14:textId="77777777" w:rsidR="00C1548D" w:rsidRDefault="009B1B4B">
            <w:pPr>
              <w:spacing w:line="250" w:lineRule="auto"/>
            </w:pPr>
            <w:r>
              <w:rPr>
                <w:sz w:val="18"/>
                <w:szCs w:val="18"/>
              </w:rPr>
              <w:t>Käuferagent Ø 2,42 %; Höhe und Zahler verhandelbar</w:t>
            </w:r>
          </w:p>
        </w:tc>
      </w:tr>
      <w:tr w:rsidR="00C1548D" w14:paraId="70A4D33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D" w14:textId="77777777" w:rsidR="00C1548D" w:rsidRDefault="009B1B4B">
            <w:pPr>
              <w:spacing w:line="250" w:lineRule="auto"/>
            </w:pPr>
            <w:r>
              <w:rPr>
                <w:sz w:val="18"/>
                <w:szCs w:val="18"/>
              </w:rPr>
              <w:t>Nebenkosten Käufer</w:t>
            </w:r>
          </w:p>
        </w:tc>
        <w:tc>
          <w:tcPr>
            <w:tcW w:w="26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E" w14:textId="77777777" w:rsidR="00C1548D" w:rsidRDefault="009B1B4B">
            <w:pPr>
              <w:spacing w:line="250" w:lineRule="auto"/>
            </w:pPr>
            <w:r>
              <w:rPr>
                <w:sz w:val="18"/>
                <w:szCs w:val="18"/>
              </w:rPr>
              <w:t>Grob 5 % (Bayern, ohne Makler) bis etwa 12 % (6,5 %-Länder, mit Makler)</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2F" w14:textId="77777777" w:rsidR="00C1548D" w:rsidRDefault="009B1B4B">
            <w:pPr>
              <w:spacing w:line="250" w:lineRule="auto"/>
            </w:pPr>
            <w:r>
              <w:rPr>
                <w:sz w:val="18"/>
                <w:szCs w:val="18"/>
              </w:rPr>
              <w:t>Closing Costs 2–5 %</w:t>
            </w:r>
          </w:p>
        </w:tc>
      </w:tr>
      <w:tr w:rsidR="00C1548D" w14:paraId="70A4D33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31" w14:textId="77777777" w:rsidR="00C1548D" w:rsidRDefault="009B1B4B">
            <w:pPr>
              <w:spacing w:line="250" w:lineRule="auto"/>
            </w:pPr>
            <w:r>
              <w:rPr>
                <w:sz w:val="18"/>
                <w:szCs w:val="18"/>
              </w:rPr>
              <w:t>Laufende Kosten</w:t>
            </w:r>
          </w:p>
        </w:tc>
        <w:tc>
          <w:tcPr>
            <w:tcW w:w="26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32" w14:textId="77777777" w:rsidR="00C1548D" w:rsidRDefault="009B1B4B">
            <w:pPr>
              <w:spacing w:line="250" w:lineRule="auto"/>
            </w:pPr>
            <w:r>
              <w:rPr>
                <w:sz w:val="18"/>
                <w:szCs w:val="18"/>
              </w:rPr>
              <w:t>Grundsteuer, Gebäudeversicherung, Instandhaltung; bei Wohnungen Hausgeld</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33" w14:textId="77777777" w:rsidR="00C1548D" w:rsidRDefault="009B1B4B">
            <w:pPr>
              <w:spacing w:line="250" w:lineRule="auto"/>
            </w:pPr>
            <w:r>
              <w:rPr>
                <w:sz w:val="18"/>
                <w:szCs w:val="18"/>
              </w:rPr>
              <w:t>Property Tax (Ø 0,9 %), Homeowners Insurance, HOA, Instandhaltung</w:t>
            </w:r>
          </w:p>
        </w:tc>
      </w:tr>
      <w:tr w:rsidR="00C1548D" w14:paraId="70A4D33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35" w14:textId="77777777" w:rsidR="00C1548D" w:rsidRDefault="009B1B4B">
            <w:pPr>
              <w:spacing w:line="250" w:lineRule="auto"/>
            </w:pPr>
            <w:r>
              <w:rPr>
                <w:sz w:val="18"/>
                <w:szCs w:val="18"/>
              </w:rPr>
              <w:t>Kredit</w:t>
            </w:r>
          </w:p>
        </w:tc>
        <w:tc>
          <w:tcPr>
            <w:tcW w:w="26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36" w14:textId="77777777" w:rsidR="00C1548D" w:rsidRDefault="009B1B4B">
            <w:pPr>
              <w:spacing w:line="250" w:lineRule="auto"/>
            </w:pPr>
            <w:r>
              <w:rPr>
                <w:sz w:val="18"/>
                <w:szCs w:val="18"/>
              </w:rPr>
              <w:t>Zinsbindung meist 10–15 Jahre, dann Anschlussfinanzierung</w:t>
            </w:r>
          </w:p>
        </w:tc>
        <w:tc>
          <w:tcPr>
            <w:tcW w:w="2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37" w14:textId="77777777" w:rsidR="00C1548D" w:rsidRDefault="009B1B4B">
            <w:pPr>
              <w:spacing w:line="250" w:lineRule="auto"/>
            </w:pPr>
            <w:r>
              <w:rPr>
                <w:sz w:val="18"/>
                <w:szCs w:val="18"/>
              </w:rPr>
              <w:t>30 Jahre fest üblich; Umschuldung möglich</w:t>
            </w:r>
          </w:p>
        </w:tc>
      </w:tr>
    </w:tbl>
    <w:p w14:paraId="70A4D339" w14:textId="77777777" w:rsidR="00C1548D" w:rsidRDefault="00C1548D">
      <w:pPr>
        <w:spacing w:line="180" w:lineRule="exact"/>
      </w:pPr>
    </w:p>
    <w:p w14:paraId="70A4D33A" w14:textId="77777777" w:rsidR="00C1548D" w:rsidRDefault="009B1B4B">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w14:paraId="70A4D33B" w14:textId="77777777" w:rsidR="00C1548D" w:rsidRDefault="009B1B4B">
      <w:pPr>
        <w:pStyle w:val="Heading3"/>
        <w:keepNext/>
        <w:jc w:val="center"/>
      </w:pPr>
      <w:r>
        <w:rPr>
          <w:rFonts w:ascii="Amazon Ember" w:eastAsia="Amazon Ember" w:hAnsi="Amazon Ember" w:cs="Amazon Ember"/>
          <w:color w:val="0000FF"/>
          <w:sz w:val="36"/>
          <w:szCs w:val="36"/>
        </w:rPr>
        <w:t>Immobilie in Deutschland behalten oder verkaufen</w:t>
      </w:r>
    </w:p>
    <w:p w14:paraId="70A4D33C" w14:textId="14F0F956" w:rsidR="00C1548D" w:rsidRDefault="009B1B4B">
      <w:pPr>
        <w:spacing w:after="140"/>
      </w:pPr>
      <w:r>
        <w:t>Wer eine Wohnung oder ein Haus in Deutschland besitzt, steht vor der Frage, ob er verkauft, vermietet oder leer lässt (Kapitel </w:t>
      </w:r>
      <w:hyperlink w:anchor="k17" w:history="1">
        <w:r>
          <w:t>17</w:t>
        </w:r>
      </w:hyperlink>
      <w:r>
        <w:t>, bei Rückkehr Kapitel </w:t>
      </w:r>
      <w:hyperlink w:anchor="k42" w:history="1">
        <w:r>
          <w:t>42</w:t>
        </w:r>
      </w:hyperlink>
      <w:r>
        <w:t>). Drei Punkte gehören in die Rechnung:</w:t>
      </w:r>
    </w:p>
    <w:p w14:paraId="70A4D33D" w14:textId="77777777" w:rsidR="00C1548D" w:rsidRDefault="009B1B4B" w:rsidP="009B1B4B">
      <w:pPr>
        <w:pStyle w:val="ListParagraph"/>
        <w:numPr>
          <w:ilvl w:val="0"/>
          <w:numId w:val="1"/>
        </w:numPr>
        <w:spacing w:after="60"/>
      </w:pPr>
      <w:r>
        <w:rPr>
          <w:b/>
          <w:bCs/>
        </w:rPr>
        <w:t>Steuer beim Verkauf.</w:t>
      </w:r>
      <w:r>
        <w:t xml:space="preserve"> Nach § 23 EStG ist ein Gewinn steuerpflichtig, wenn du innerhalb von zehn Jahren nach dem Kauf verkaufst. Steuerfrei bleibt der Verkauf, wenn du die Immobilie zwischen Kauf und Verkauf ausschließlich selbst bewohnt hast oder sie im Verkaufsjahr und in den zwei Jahren davor selbst nutzt; die Freigrenze beträgt 1.000 €. Wer mehr als zwei Jahre vor dem Verkauf ausgezogen ist und die Immobilie </w:t>
      </w:r>
      <w:r>
        <w:lastRenderedPageBreak/>
        <w:t>vermietet oder leerstehen lässt, verliert diese Ausnahme wohl (Folgerung; kläre das mit deinem Steuerberater vor dem W</w:t>
      </w:r>
      <w:r>
        <w:t>egzug).</w:t>
      </w:r>
    </w:p>
    <w:p w14:paraId="70A4D33E" w14:textId="25107125" w:rsidR="00C1548D" w:rsidRDefault="009B1B4B" w:rsidP="009B1B4B">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history="1">
        <w:r>
          <w:t>17</w:t>
        </w:r>
      </w:hyperlink>
      <w:r>
        <w:t xml:space="preserve"> und </w:t>
      </w:r>
      <w:hyperlink w:anchor="k28" w:history="1">
        <w:r>
          <w:t>28</w:t>
        </w:r>
      </w:hyperlink>
      <w:r>
        <w:t>). Rechne mit Verwaltung, Mietrecht und Kredit aus der Ferne.</w:t>
      </w:r>
    </w:p>
    <w:p w14:paraId="70A4D33F" w14:textId="77777777" w:rsidR="00C1548D" w:rsidRDefault="009B1B4B" w:rsidP="009B1B4B">
      <w:pPr>
        <w:pStyle w:val="ListParagraph"/>
        <w:numPr>
          <w:ilvl w:val="0"/>
          <w:numId w:val="1"/>
        </w:numPr>
        <w:spacing w:after="60"/>
      </w:pPr>
      <w:r>
        <w:rPr>
          <w:b/>
          <w:bCs/>
        </w:rPr>
        <w:t>Kreditwürdigkeit.</w:t>
      </w:r>
      <w:r>
        <w:t xml:space="preserve"> Eine laufende deutsche Kreditrate zählt bei US-Kreditgebern in der Regel zu deinen Schulden und senkt den finanzierbaren Kaufpreis in den USA.</w:t>
      </w:r>
    </w:p>
    <w:p w14:paraId="70A4D340" w14:textId="77777777" w:rsidR="00C1548D" w:rsidRDefault="00C1548D">
      <w:pPr>
        <w:spacing w:line="120" w:lineRule="exact"/>
      </w:pPr>
    </w:p>
    <w:p w14:paraId="70A4D341" w14:textId="77777777" w:rsidR="00C1548D" w:rsidRDefault="009B1B4B">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w14:paraId="70A4D342"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345"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43"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44" w14:textId="77777777" w:rsidR="00C1548D" w:rsidRDefault="009B1B4B">
            <w:pPr>
              <w:spacing w:line="250" w:lineRule="auto"/>
            </w:pPr>
            <w:r>
              <w:rPr>
                <w:b/>
                <w:bCs/>
                <w:sz w:val="18"/>
                <w:szCs w:val="18"/>
              </w:rPr>
              <w:t>Minus</w:t>
            </w:r>
          </w:p>
        </w:tc>
      </w:tr>
      <w:tr w:rsidR="00C1548D" w14:paraId="70A4D34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46" w14:textId="77777777" w:rsidR="00C1548D" w:rsidRDefault="009B1B4B">
            <w:pPr>
              <w:spacing w:line="250" w:lineRule="auto"/>
            </w:pPr>
            <w:r>
              <w:rPr>
                <w:sz w:val="18"/>
                <w:szCs w:val="18"/>
              </w:rPr>
              <w:t>Fester Zins über 30 Jahre, während Mieten steigen können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47" w14:textId="77777777" w:rsidR="00C1548D" w:rsidRDefault="009B1B4B">
            <w:pPr>
              <w:spacing w:line="250" w:lineRule="auto"/>
            </w:pPr>
            <w:r>
              <w:rPr>
                <w:sz w:val="18"/>
                <w:szCs w:val="18"/>
              </w:rPr>
              <w:t>Kauf- und Verkaufskosten von zusammen rund 10 %</w:t>
            </w:r>
          </w:p>
        </w:tc>
      </w:tr>
      <w:tr w:rsidR="00C1548D" w14:paraId="70A4D34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49" w14:textId="77777777" w:rsidR="00C1548D" w:rsidRDefault="009B1B4B">
            <w:pPr>
              <w:spacing w:line="250" w:lineRule="auto"/>
            </w:pPr>
            <w:r>
              <w:rPr>
                <w:sz w:val="18"/>
                <w:szCs w:val="18"/>
              </w:rPr>
              <w:t>Tilgung baut Eigenkapital auf, Wertzuwachs möglich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4A" w14:textId="77777777" w:rsidR="00C1548D" w:rsidRDefault="009B1B4B">
            <w:pPr>
              <w:spacing w:line="250" w:lineRule="auto"/>
            </w:pPr>
            <w:r>
              <w:rPr>
                <w:sz w:val="18"/>
                <w:szCs w:val="18"/>
              </w:rPr>
              <w:t>Visum- und Jobrisiko: Verkauf unter Zeitdruck</w:t>
            </w:r>
          </w:p>
        </w:tc>
      </w:tr>
      <w:tr w:rsidR="00C1548D" w14:paraId="70A4D34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4C" w14:textId="77777777" w:rsidR="00C1548D" w:rsidRDefault="009B1B4B">
            <w:pPr>
              <w:spacing w:line="250" w:lineRule="auto"/>
            </w:pPr>
            <w:r>
              <w:rPr>
                <w:sz w:val="18"/>
                <w:szCs w:val="18"/>
              </w:rPr>
              <w:t xml:space="preserve">Zinsen und Grundsteuer abziehbar (bei </w:t>
            </w:r>
            <w:r>
              <w:rPr>
                <w:i/>
                <w:iCs/>
                <w:sz w:val="18"/>
                <w:szCs w:val="18"/>
              </w:rPr>
              <w:t>Itemizing</w:t>
            </w:r>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4D" w14:textId="77777777" w:rsidR="00C1548D" w:rsidRDefault="009B1B4B">
            <w:pPr>
              <w:spacing w:line="250" w:lineRule="auto"/>
            </w:pPr>
            <w:r>
              <w:rPr>
                <w:sz w:val="18"/>
                <w:szCs w:val="18"/>
              </w:rPr>
              <w:t>Bargeldbedarf 60.000–125.000 $ bei 500.000 $ Preis</w:t>
            </w:r>
          </w:p>
        </w:tc>
      </w:tr>
      <w:tr w:rsidR="00C1548D" w14:paraId="70A4D35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4F" w14:textId="77777777" w:rsidR="00C1548D" w:rsidRDefault="009B1B4B">
            <w:pPr>
              <w:spacing w:line="250" w:lineRule="auto"/>
            </w:pPr>
            <w:r>
              <w:rPr>
                <w:sz w:val="18"/>
                <w:szCs w:val="18"/>
              </w:rPr>
              <w:t>Bis 250.000 $ (Ehepaar 500.000 $) Gewinn steuerfrei bei Selbstnutzung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50" w14:textId="77777777" w:rsidR="00C1548D" w:rsidRDefault="009B1B4B">
            <w:pPr>
              <w:spacing w:line="250" w:lineRule="auto"/>
            </w:pPr>
            <w:r>
              <w:rPr>
                <w:sz w:val="18"/>
                <w:szCs w:val="18"/>
              </w:rPr>
              <w:t>Zusatzkosten: Grundsteuer, Versicherung, HOA, Instandhaltung</w:t>
            </w:r>
          </w:p>
        </w:tc>
      </w:tr>
      <w:tr w:rsidR="00C1548D" w14:paraId="70A4D35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52" w14:textId="77777777" w:rsidR="00C1548D" w:rsidRDefault="009B1B4B">
            <w:pPr>
              <w:spacing w:line="250" w:lineRule="auto"/>
            </w:pPr>
            <w:r>
              <w:rPr>
                <w:sz w:val="18"/>
                <w:szCs w:val="18"/>
              </w:rPr>
              <w:t>Freiheit bei Umbau, Haustieren, Gestaltung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53" w14:textId="77777777" w:rsidR="00C1548D" w:rsidRDefault="009B1B4B">
            <w:pPr>
              <w:spacing w:line="250" w:lineRule="auto"/>
            </w:pPr>
            <w:r>
              <w:rPr>
                <w:sz w:val="18"/>
                <w:szCs w:val="18"/>
              </w:rPr>
              <w:t>Kreditzugang eng: FHA weg, Overlays, Non-QM mit 20–50 % Anzahlung</w:t>
            </w:r>
          </w:p>
        </w:tc>
      </w:tr>
      <w:tr w:rsidR="00C1548D" w14:paraId="70A4D35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55" w14:textId="77777777" w:rsidR="00C1548D" w:rsidRDefault="009B1B4B">
            <w:pPr>
              <w:spacing w:line="250" w:lineRule="auto"/>
            </w:pPr>
            <w:r>
              <w:rPr>
                <w:sz w:val="18"/>
                <w:szCs w:val="18"/>
              </w:rPr>
              <w:t>Stabilität für Kinder: gleiche Schule und Nachbarschaft über Jahre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56" w14:textId="77777777" w:rsidR="00C1548D" w:rsidRDefault="009B1B4B">
            <w:pPr>
              <w:spacing w:line="250" w:lineRule="auto"/>
            </w:pPr>
            <w:r>
              <w:rPr>
                <w:sz w:val="18"/>
                <w:szCs w:val="18"/>
              </w:rPr>
              <w:t>Zinsniveau hoch (6,95 %, höchster Stand seit Januar 2025)</w:t>
            </w:r>
          </w:p>
        </w:tc>
      </w:tr>
    </w:tbl>
    <w:p w14:paraId="70A4D358" w14:textId="77777777" w:rsidR="00C1548D" w:rsidRDefault="00C1548D">
      <w:pPr>
        <w:spacing w:line="180" w:lineRule="exact"/>
      </w:pPr>
    </w:p>
    <w:p w14:paraId="70A4D359"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jetzt zu tun ist</w:t>
      </w:r>
    </w:p>
    <w:p w14:paraId="70A4D35A" w14:textId="7D78DE9E" w:rsidR="00C1548D" w:rsidRDefault="009B1B4B">
      <w:pPr>
        <w:spacing w:after="140"/>
      </w:pPr>
      <w:r>
        <w:t>Nutze die ersten zwölf Monate für die Vorarbeit: SSN beantragen (Kapitel </w:t>
      </w:r>
      <w:hyperlink w:anchor="k24" w:history="1">
        <w:r>
          <w:t>24</w:t>
        </w:r>
      </w:hyperlink>
      <w:r>
        <w:t>), Konto und Kreditkarte für die Kredithistorie (Kapitel </w:t>
      </w:r>
      <w:hyperlink w:anchor="k25" w:history="1">
        <w:r>
          <w:t>25</w:t>
        </w:r>
      </w:hyperlink>
      <w:r>
        <w:t>), Anzahlung und Reserve ansparen. Zahle die Miete pünktlich, sie zählt bei einer nichttraditionellen Kredithistorie. Sprich mit zwei bis drei Kreditgebern, bevor du Häuser besichtigst, dann erst mit einem Makler. Der Steuerteil (Kapitel </w:t>
      </w:r>
      <w:hyperlink w:anchor="k28" w:history="1">
        <w:r>
          <w:t>28</w:t>
        </w:r>
      </w:hyperlink>
      <w:r>
        <w:t>) gehört vor die Unterschrift, nicht danach.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367"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35B" w14:textId="77777777" w:rsidR="00C1548D" w:rsidRDefault="009B1B4B">
            <w:pPr>
              <w:keepNext/>
              <w:spacing w:after="70" w:line="240" w:lineRule="auto"/>
            </w:pPr>
            <w:r>
              <w:rPr>
                <w:b/>
                <w:bCs/>
                <w:color w:val="1F6F78"/>
                <w:spacing w:val="24"/>
                <w:sz w:val="16"/>
                <w:szCs w:val="16"/>
              </w:rPr>
              <w:t>CHECKLISTE</w:t>
            </w:r>
          </w:p>
          <w:p w14:paraId="70A4D35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Bleibedauer ehrlich schätzen: mindestens fünf bis sieben Jahre am Ort? Aufenthaltsstatus und Stand des Green-Card-Verfahrens klären.</w:t>
            </w:r>
          </w:p>
          <w:p w14:paraId="70A4D35D" w14:textId="4BC4FEE6"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SSN beantragen und US-Kredithistorie aufbauen (Kapitel </w:t>
            </w:r>
            <w:hyperlink w:anchor="k24" w:history="1">
              <w:r>
                <w:rPr>
                  <w:sz w:val="20"/>
                  <w:szCs w:val="20"/>
                </w:rPr>
                <w:t>24</w:t>
              </w:r>
            </w:hyperlink>
            <w:r>
              <w:rPr>
                <w:sz w:val="20"/>
                <w:szCs w:val="20"/>
              </w:rPr>
              <w:t xml:space="preserve"> und </w:t>
            </w:r>
            <w:hyperlink w:anchor="k25" w:history="1">
              <w:r>
                <w:rPr>
                  <w:sz w:val="20"/>
                  <w:szCs w:val="20"/>
                </w:rPr>
                <w:t>25</w:t>
              </w:r>
            </w:hyperlink>
            <w:r>
              <w:rPr>
                <w:sz w:val="20"/>
                <w:szCs w:val="20"/>
              </w:rPr>
              <w:t>).</w:t>
            </w:r>
          </w:p>
          <w:p w14:paraId="70A4D35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Anzahlung, 2–5 % Abschlusskosten und eine Reserve von mehreren Monatsraten ansparen.</w:t>
            </w:r>
          </w:p>
          <w:p w14:paraId="70A4D35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Zwei bis drei Kreditgeber nach Overlays fragen: Visum-Restlaufzeit, Mindest-Score, Reserven, Anzahlung.</w:t>
            </w:r>
          </w:p>
          <w:p w14:paraId="70A4D36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Mindestens drei Loan Estimates vergleichen (Zins, Points, Gesamtkosten, Rate-Lock-Dauer).</w:t>
            </w:r>
          </w:p>
          <w:p w14:paraId="70A4D36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Pre-Approval einholen, bevor du besichtigst.</w:t>
            </w:r>
          </w:p>
          <w:p w14:paraId="70A4D36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dem Angebot: Versicherungsangebot, Flutzone, Grundsteuer der Gemeinde, HOA-Gebühren und -Regeln prüfen.</w:t>
            </w:r>
          </w:p>
          <w:p w14:paraId="70A4D36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Inspektion und Gutachten einplanen; Contingencies nur mit Bedacht streichen.</w:t>
            </w:r>
          </w:p>
          <w:p w14:paraId="70A4D36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dem Closing die Überweisungsdaten telefonisch bei der Title Company bestätigen.</w:t>
            </w:r>
          </w:p>
          <w:p w14:paraId="70A4D36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 dem Kauf: PMI-Löschung im Kalender notieren, Grundsteuerbescheid prüfen, Abzüge mit einem CPA klären.</w:t>
            </w:r>
          </w:p>
          <w:p w14:paraId="70A4D36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Deutsche Immobilie: Verkauf oder Vermietung vor dem Wegzug mit dem Steuerberater durchrechnen.</w:t>
            </w:r>
          </w:p>
        </w:tc>
      </w:tr>
    </w:tbl>
    <w:p w14:paraId="70A4D368" w14:textId="77777777" w:rsidR="00C1548D" w:rsidRDefault="00C1548D">
      <w:pPr>
        <w:spacing w:line="220" w:lineRule="exact"/>
      </w:pPr>
    </w:p>
    <w:p w14:paraId="70A4D369" w14:textId="77777777" w:rsidR="00C1548D" w:rsidRDefault="009B1B4B">
      <w:pPr>
        <w:pStyle w:val="Heading3"/>
        <w:keepNext/>
        <w:jc w:val="center"/>
      </w:pPr>
      <w:r>
        <w:rPr>
          <w:rFonts w:ascii="Amazon Ember" w:eastAsia="Amazon Ember" w:hAnsi="Amazon Ember" w:cs="Amazon Ember"/>
          <w:color w:val="0000FF"/>
          <w:sz w:val="36"/>
          <w:szCs w:val="36"/>
        </w:rPr>
        <w:lastRenderedPageBreak/>
        <w:t>Quellen und weiterführende Links</w:t>
      </w:r>
    </w:p>
    <w:p w14:paraId="70A4D36A" w14:textId="73720D9B" w:rsidR="00C1548D" w:rsidRDefault="009B1B4B" w:rsidP="009B1B4B">
      <w:pPr>
        <w:pStyle w:val="ListParagraph"/>
        <w:numPr>
          <w:ilvl w:val="0"/>
          <w:numId w:val="1"/>
        </w:numPr>
        <w:spacing w:after="60"/>
      </w:pPr>
      <w:r>
        <w:t>CFPB — Kaufen, Kredite, Loan Estimate, Rate Lock, PMI (</w:t>
      </w:r>
      <w:hyperlink r:id="rId122" w:history="1">
        <w:r>
          <w:rPr>
            <w:color w:val="0563C1"/>
            <w:u w:val="single"/>
          </w:rPr>
          <w:t>consumerfinance.gov/owning-a-home</w:t>
        </w:r>
      </w:hyperlink>
      <w:r>
        <w:t>)</w:t>
      </w:r>
    </w:p>
    <w:p w14:paraId="70A4D36B" w14:textId="62C2DDA5" w:rsidR="00C1548D" w:rsidRDefault="009B1B4B" w:rsidP="009B1B4B">
      <w:pPr>
        <w:pStyle w:val="ListParagraph"/>
        <w:numPr>
          <w:ilvl w:val="0"/>
          <w:numId w:val="1"/>
        </w:numPr>
        <w:spacing w:after="60"/>
      </w:pPr>
      <w:r>
        <w:t>Fannie Mae — Selling Guide zu Nicht-US-Bürgern und Kredithistorie (</w:t>
      </w:r>
      <w:hyperlink r:id="rId123" w:history="1">
        <w:r>
          <w:rPr>
            <w:color w:val="0563C1"/>
            <w:u w:val="single"/>
          </w:rPr>
          <w:t>selling-guide.fanniemae.com</w:t>
        </w:r>
      </w:hyperlink>
      <w:r>
        <w:t>)</w:t>
      </w:r>
    </w:p>
    <w:p w14:paraId="70A4D36C" w14:textId="570533BE" w:rsidR="00C1548D" w:rsidRDefault="009B1B4B" w:rsidP="009B1B4B">
      <w:pPr>
        <w:pStyle w:val="ListParagraph"/>
        <w:numPr>
          <w:ilvl w:val="0"/>
          <w:numId w:val="1"/>
        </w:numPr>
        <w:spacing w:after="60"/>
      </w:pPr>
      <w:r>
        <w:t>HUD — FHA-Regel für Nicht-Daueraufenthaltsberechtigte, Mortgagee Letter 2025-09 (</w:t>
      </w:r>
      <w:hyperlink r:id="rId124" w:history="1">
        <w:r>
          <w:rPr>
            <w:color w:val="0563C1"/>
            <w:u w:val="single"/>
          </w:rPr>
          <w:t>hud.gov/sites/default/files/OCHCO/documents/2025-09hsgml.pdf</w:t>
        </w:r>
      </w:hyperlink>
      <w:r>
        <w:t>)</w:t>
      </w:r>
    </w:p>
    <w:p w14:paraId="70A4D36D" w14:textId="512D0F90" w:rsidR="00C1548D" w:rsidRDefault="009B1B4B" w:rsidP="009B1B4B">
      <w:pPr>
        <w:pStyle w:val="ListParagraph"/>
        <w:numPr>
          <w:ilvl w:val="0"/>
          <w:numId w:val="1"/>
        </w:numPr>
        <w:spacing w:after="60"/>
      </w:pPr>
      <w:r>
        <w:t>Freddie Mac — wöchentliche Zinsumfrage (</w:t>
      </w:r>
      <w:hyperlink r:id="rId125" w:history="1">
        <w:r>
          <w:rPr>
            <w:color w:val="0563C1"/>
            <w:u w:val="single"/>
          </w:rPr>
          <w:t>freddiemac.com/pmms</w:t>
        </w:r>
      </w:hyperlink>
      <w:r>
        <w:t>)</w:t>
      </w:r>
    </w:p>
    <w:p w14:paraId="70A4D36E" w14:textId="4331744A" w:rsidR="00C1548D" w:rsidRDefault="009B1B4B" w:rsidP="009B1B4B">
      <w:pPr>
        <w:pStyle w:val="ListParagraph"/>
        <w:numPr>
          <w:ilvl w:val="0"/>
          <w:numId w:val="1"/>
        </w:numPr>
        <w:spacing w:after="60"/>
      </w:pPr>
      <w:r>
        <w:t>FHFA — Conforming Loan Limits (</w:t>
      </w:r>
      <w:hyperlink r:id="rId126" w:history="1">
        <w:r>
          <w:rPr>
            <w:color w:val="0563C1"/>
            <w:u w:val="single"/>
          </w:rPr>
          <w:t>fhfa.gov</w:t>
        </w:r>
      </w:hyperlink>
      <w:r>
        <w:t>)</w:t>
      </w:r>
    </w:p>
    <w:p w14:paraId="70A4D36F" w14:textId="75ADDBD6" w:rsidR="00C1548D" w:rsidRDefault="009B1B4B" w:rsidP="009B1B4B">
      <w:pPr>
        <w:pStyle w:val="ListParagraph"/>
        <w:numPr>
          <w:ilvl w:val="0"/>
          <w:numId w:val="1"/>
        </w:numPr>
        <w:spacing w:after="60"/>
      </w:pPr>
      <w:r>
        <w:t>IRS — Hypothekenzinsen und Hausverkauf (</w:t>
      </w:r>
      <w:hyperlink r:id="rId127" w:history="1">
        <w:r>
          <w:rPr>
            <w:color w:val="0563C1"/>
            <w:u w:val="single"/>
          </w:rPr>
          <w:t>irs.gov/publications/p936</w:t>
        </w:r>
      </w:hyperlink>
      <w:r>
        <w:t xml:space="preserve"> und </w:t>
      </w:r>
      <w:hyperlink r:id="rId128" w:history="1">
        <w:r>
          <w:rPr>
            <w:color w:val="0563C1"/>
            <w:u w:val="single"/>
          </w:rPr>
          <w:t>irs.gov/taxtopics/tc701</w:t>
        </w:r>
      </w:hyperlink>
      <w:r>
        <w:t>)</w:t>
      </w:r>
    </w:p>
    <w:p w14:paraId="70A4D370" w14:textId="50E16EAD" w:rsidR="00C1548D" w:rsidRDefault="009B1B4B" w:rsidP="009B1B4B">
      <w:pPr>
        <w:pStyle w:val="ListParagraph"/>
        <w:numPr>
          <w:ilvl w:val="0"/>
          <w:numId w:val="1"/>
        </w:numPr>
        <w:spacing w:after="60"/>
      </w:pPr>
      <w:r>
        <w:t>FEMA — Flutkarten (</w:t>
      </w:r>
      <w:hyperlink r:id="rId129" w:history="1">
        <w:r>
          <w:rPr>
            <w:color w:val="0563C1"/>
            <w:u w:val="single"/>
          </w:rPr>
          <w:t>fema.gov/flood-maps</w:t>
        </w:r>
      </w:hyperlink>
      <w:r>
        <w:t>)</w:t>
      </w:r>
    </w:p>
    <w:p w14:paraId="70A4D371" w14:textId="3CF5C52B" w:rsidR="00C1548D" w:rsidRDefault="009B1B4B" w:rsidP="009B1B4B">
      <w:pPr>
        <w:pStyle w:val="ListParagraph"/>
        <w:numPr>
          <w:ilvl w:val="0"/>
          <w:numId w:val="1"/>
        </w:numPr>
        <w:spacing w:after="60"/>
      </w:pPr>
      <w:r>
        <w:t>Gesetze im Internet — Spekulationsfrist bei Immobilien, § 23 EStG (</w:t>
      </w:r>
      <w:hyperlink r:id="rId130" w:history="1">
        <w:r>
          <w:rPr>
            <w:color w:val="0563C1"/>
            <w:u w:val="single"/>
          </w:rPr>
          <w:t>gesetze-im-internet.de/estg/__23.html</w:t>
        </w:r>
      </w:hyperlink>
      <w:r>
        <w:t>)</w:t>
      </w:r>
    </w:p>
    <w:p w14:paraId="70A4D372"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375"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373" w14:textId="77777777" w:rsidR="00C1548D" w:rsidRDefault="009B1B4B">
            <w:pPr>
              <w:keepNext/>
              <w:spacing w:after="70" w:line="240" w:lineRule="auto"/>
            </w:pPr>
            <w:r>
              <w:rPr>
                <w:b/>
                <w:bCs/>
                <w:color w:val="6B7280"/>
                <w:spacing w:val="24"/>
                <w:sz w:val="16"/>
                <w:szCs w:val="16"/>
              </w:rPr>
              <w:t>STAND</w:t>
            </w:r>
          </w:p>
          <w:p w14:paraId="70A4D374" w14:textId="77777777" w:rsidR="00C1548D" w:rsidRDefault="009B1B4B">
            <w:pPr>
              <w:spacing w:after="80" w:line="264" w:lineRule="auto"/>
            </w:pPr>
            <w:r>
              <w:rPr>
                <w:sz w:val="20"/>
                <w:szCs w:val="20"/>
              </w:rPr>
              <w:t>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tc>
      </w:tr>
    </w:tbl>
    <w:p w14:paraId="70A4D376" w14:textId="77777777" w:rsidR="00C1548D" w:rsidRDefault="00C1548D">
      <w:pPr>
        <w:spacing w:line="220" w:lineRule="exact"/>
      </w:pPr>
    </w:p>
    <w:p w14:paraId="70A4D377" w14:textId="77777777" w:rsidR="00C1548D" w:rsidRDefault="00C1548D">
      <w:pPr>
        <w:sectPr w:rsidR="00C1548D">
          <w:footerReference w:type="default" r:id="rId131"/>
          <w:pgSz w:w="8640" w:h="12960"/>
          <w:pgMar w:top="1080" w:right="1080" w:bottom="1100" w:left="1080" w:header="708" w:footer="708" w:gutter="0"/>
          <w:cols w:space="720"/>
          <w:docGrid w:linePitch="360"/>
        </w:sectPr>
      </w:pPr>
    </w:p>
    <w:p w14:paraId="70A4D378" w14:textId="77777777" w:rsidR="00C1548D" w:rsidRDefault="009B1B4B">
      <w:pPr>
        <w:pStyle w:val="Heading1"/>
        <w:jc w:val="center"/>
      </w:pPr>
      <w:bookmarkStart w:id="38" w:name="_Toc241352466"/>
      <w:r>
        <w:rPr>
          <w:rFonts w:ascii="Amazon Ember" w:eastAsia="Amazon Ember" w:hAnsi="Amazon Ember" w:cs="Amazon Ember"/>
          <w:color w:val="0000FF"/>
        </w:rPr>
        <w:lastRenderedPageBreak/>
        <w:t>TEIL IV — Vorbereitung in Deutschland</w:t>
      </w:r>
      <w:bookmarkEnd w:id="38"/>
    </w:p>
    <w:p w14:paraId="70A4D379" w14:textId="77777777" w:rsidR="00C1548D" w:rsidRDefault="009B1B4B">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w14:paraId="70A4D37A" w14:textId="77777777" w:rsidR="00C1548D" w:rsidRDefault="00C1548D">
      <w:pPr>
        <w:sectPr w:rsidR="00C1548D">
          <w:footerReference w:type="default" r:id="rId132"/>
          <w:pgSz w:w="8640" w:h="12960"/>
          <w:pgMar w:top="1080" w:right="1080" w:bottom="1100" w:left="1080" w:header="708" w:footer="708" w:gutter="0"/>
          <w:cols w:space="720"/>
          <w:vAlign w:val="center"/>
          <w:docGrid w:linePitch="360"/>
        </w:sectPr>
      </w:pPr>
    </w:p>
    <w:p w14:paraId="70A4D37B" w14:textId="77777777" w:rsidR="00C1548D" w:rsidRDefault="009B1B4B">
      <w:pPr>
        <w:pStyle w:val="Heading2"/>
        <w:keepNext/>
        <w:pageBreakBefore/>
        <w:jc w:val="center"/>
      </w:pPr>
      <w:bookmarkStart w:id="39" w:name="k15"/>
      <w:bookmarkStart w:id="40" w:name="_Toc241352467"/>
      <w:r>
        <w:rPr>
          <w:rFonts w:ascii="Amazon Ember" w:eastAsia="Amazon Ember" w:hAnsi="Amazon Ember" w:cs="Amazon Ember"/>
          <w:color w:val="0000FF"/>
          <w:sz w:val="36"/>
          <w:szCs w:val="36"/>
        </w:rPr>
        <w:lastRenderedPageBreak/>
        <w:t>Kapitel 15: Der Masterplan: Zeitleiste vom Entschluss bis zum Abflug</w:t>
      </w:r>
      <w:bookmarkEnd w:id="39"/>
      <w:bookmarkEnd w:id="40"/>
    </w:p>
    <w:p w14:paraId="70A4D37C" w14:textId="77777777" w:rsidR="00C1548D" w:rsidRDefault="009B1B4B">
      <w:pPr>
        <w:spacing w:after="140"/>
      </w:pPr>
      <w:r>
        <w:t>Familie Brandt aus Stuttgart (fiktives Beispiel) sitzt im Januar vor drei Kalendern gleichzeitig: dem der H-1B-Lotterie im März, dem der dreimonatigen Kündigungsfrist ihrer Wohnung und dem der Spedition, die am liebsten sechs bis acht Wochen vor der Verladung gebucht werden will. Keiner der drei wartet auf die anderen beiden, und doch hängen sie voneinander ab. Wer die Reihenfolge falsch plant, zahlt am Ende Doppelmiete oder steht am Stichtag ohne Container da. Dieses Kapitel legt die Zeitleiste fest, an de</w:t>
      </w:r>
      <w:r>
        <w:t>r sich der Rest des Buches orientiert.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384"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37D" w14:textId="77777777" w:rsidR="00C1548D" w:rsidRDefault="009B1B4B">
            <w:pPr>
              <w:keepNext/>
              <w:spacing w:after="70" w:line="240" w:lineRule="auto"/>
            </w:pPr>
            <w:r>
              <w:rPr>
                <w:b/>
                <w:bCs/>
                <w:color w:val="1F3A5F"/>
                <w:spacing w:val="24"/>
                <w:sz w:val="16"/>
                <w:szCs w:val="16"/>
              </w:rPr>
              <w:t>KURZ GESAGT</w:t>
            </w:r>
          </w:p>
          <w:p w14:paraId="70A4D37E" w14:textId="77777777" w:rsidR="00C1548D" w:rsidRDefault="009B1B4B" w:rsidP="009B1B4B">
            <w:pPr>
              <w:pStyle w:val="ListParagraph"/>
              <w:numPr>
                <w:ilvl w:val="0"/>
                <w:numId w:val="1"/>
              </w:numPr>
              <w:spacing w:after="50" w:line="264" w:lineRule="auto"/>
            </w:pPr>
            <w:r>
              <w:rPr>
                <w:sz w:val="20"/>
                <w:szCs w:val="20"/>
              </w:rPr>
              <w:t>Rechne rückwärts vom Abflugtermin, nicht vorwärts vom Entschluss: Der Abflugtag ist der Fixpunkt, alle Fristen laufen auf ihn zu.</w:t>
            </w:r>
          </w:p>
          <w:p w14:paraId="70A4D37F" w14:textId="77777777" w:rsidR="00C1548D" w:rsidRDefault="009B1B4B" w:rsidP="009B1B4B">
            <w:pPr>
              <w:pStyle w:val="ListParagraph"/>
              <w:numPr>
                <w:ilvl w:val="0"/>
                <w:numId w:val="1"/>
              </w:numPr>
              <w:spacing w:after="50" w:line="264" w:lineRule="auto"/>
            </w:pPr>
            <w:r>
              <w:rPr>
                <w:sz w:val="20"/>
                <w:szCs w:val="20"/>
              </w:rPr>
              <w:t>Der kritische Pfad heißt Visum vor Wohnungskündigung vor Verschiffung: Jeder Schritt braucht den vorherigen als sichere Grundlage.</w:t>
            </w:r>
          </w:p>
          <w:p w14:paraId="70A4D380" w14:textId="77777777" w:rsidR="00C1548D" w:rsidRDefault="009B1B4B" w:rsidP="009B1B4B">
            <w:pPr>
              <w:pStyle w:val="ListParagraph"/>
              <w:numPr>
                <w:ilvl w:val="0"/>
                <w:numId w:val="1"/>
              </w:numPr>
              <w:spacing w:after="50" w:line="264" w:lineRule="auto"/>
            </w:pPr>
            <w:r>
              <w:rPr>
                <w:sz w:val="20"/>
                <w:szCs w:val="20"/>
              </w:rPr>
              <w:t>Beim H-1B-Lotterieweg vergehen zwischen Jobangebot und Arbeitsbeginn acht bis 18 Monate; dieses Kapitel legt für Familie Brandt (fiktiv) die Beispielzeitleiste Januar bis Ende September fest.</w:t>
            </w:r>
          </w:p>
          <w:p w14:paraId="70A4D381" w14:textId="77777777" w:rsidR="00C1548D" w:rsidRDefault="009B1B4B" w:rsidP="009B1B4B">
            <w:pPr>
              <w:pStyle w:val="ListParagraph"/>
              <w:numPr>
                <w:ilvl w:val="0"/>
                <w:numId w:val="1"/>
              </w:numPr>
              <w:spacing w:after="50" w:line="264" w:lineRule="auto"/>
            </w:pPr>
            <w:r>
              <w:rPr>
                <w:sz w:val="20"/>
                <w:szCs w:val="20"/>
              </w:rPr>
              <w:t>Andere Wege wie L-1 oder E-2 sind planbarer und oft kürzer, weil die März-Lotterie entfällt.</w:t>
            </w:r>
          </w:p>
          <w:p w14:paraId="70A4D382" w14:textId="77777777" w:rsidR="00C1548D" w:rsidRDefault="009B1B4B" w:rsidP="009B1B4B">
            <w:pPr>
              <w:pStyle w:val="ListParagraph"/>
              <w:numPr>
                <w:ilvl w:val="0"/>
                <w:numId w:val="1"/>
              </w:numPr>
              <w:spacing w:after="50" w:line="264" w:lineRule="auto"/>
            </w:pPr>
            <w:r>
              <w:rPr>
                <w:sz w:val="20"/>
                <w:szCs w:val="20"/>
              </w:rPr>
              <w:t>Ein Schuljahreswechsel mitten im Herbst ist beim Lotterieweg fast unvermeidlich.</w:t>
            </w:r>
          </w:p>
          <w:p w14:paraId="70A4D383" w14:textId="77777777" w:rsidR="00C1548D" w:rsidRDefault="009B1B4B" w:rsidP="009B1B4B">
            <w:pPr>
              <w:pStyle w:val="ListParagraph"/>
              <w:numPr>
                <w:ilvl w:val="0"/>
                <w:numId w:val="1"/>
              </w:numPr>
              <w:spacing w:after="50" w:line="264" w:lineRule="auto"/>
            </w:pPr>
            <w:r>
              <w:rPr>
                <w:sz w:val="20"/>
                <w:szCs w:val="20"/>
              </w:rPr>
              <w:t>Nutze die Wartezeit vor der Genehmigung für alles, was keinen Visumsstatus braucht: Dokumente, Finanzen, Bewerbungen.</w:t>
            </w:r>
          </w:p>
        </w:tc>
      </w:tr>
    </w:tbl>
    <w:p w14:paraId="70A4D385" w14:textId="77777777" w:rsidR="00C1548D" w:rsidRDefault="00C1548D">
      <w:pPr>
        <w:spacing w:line="220" w:lineRule="exact"/>
      </w:pPr>
    </w:p>
    <w:p w14:paraId="70A4D386"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Zeitleiste: T–18 bis T–0</w:t>
      </w:r>
    </w:p>
    <w:p w14:paraId="70A4D387" w14:textId="16FDE538" w:rsidR="00C1548D" w:rsidRDefault="009B1B4B">
      <w:pPr>
        <w:spacing w:after="140"/>
      </w:pPr>
      <w:r>
        <w:t>T–0 ist der Abflugtag, nicht der heutige Tag: Jede Frist wird von dort aus rückwärts gezählt, wie es Kapitel </w:t>
      </w:r>
      <w:hyperlink w:anchor="k16" w:history="1">
        <w:r>
          <w:t>16</w:t>
        </w:r>
      </w:hyperlink>
      <w:r>
        <w:t xml:space="preserve">, </w:t>
      </w:r>
      <w:hyperlink w:anchor="k19" w:history="1">
        <w:r>
          <w:t>19</w:t>
        </w:r>
      </w:hyperlink>
      <w:r>
        <w:t xml:space="preserve"> und </w:t>
      </w:r>
      <w:hyperlink w:anchor="k20" w:history="1">
        <w:r>
          <w:t>20</w:t>
        </w:r>
      </w:hyperlink>
      <w:r>
        <w:t xml:space="preserve"> auch einzeln empfehlen. Die Zählweise erinnert an einen Countdown, und die letzten Wochen fühlen sich für die meisten Familien auch so an: viel Zählen, wenig Einfluss auf den Start selbst. Die Tabelle zeigt die Beispielzeitleiste von Familie Brandt für den H-1B-Lotterieweg, mit Abflug Ende September und Arbeitsbeginn am 1. Oktober, dem festen Start des Fiskaljahrs für H-1B-Petitionen. Die ersten Monate (T–18 bis T–9) haben kein festes Datum, sondern beginnen, sobald der Entschluss steht, und enden mit dem </w:t>
      </w:r>
      <w:r>
        <w:t>Jobangebot. Verbreiteter Irrtum: Wer die schriftliche Jobzusage in der Hand hält, hält den Rest oft für Formsache. Tatsächlich vergehen bis zum Arbeitsbeginn acht bis 18 Monate, und keine Etappe dazwischen lässt sich durch Eile abkürzen. Bei anderen Visumswegen verschieben sich die späteren Monate, das Prinzip bleibt gleich.</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200"/>
        <w:gridCol w:w="3380"/>
        <w:gridCol w:w="950"/>
      </w:tblGrid>
      <w:tr w:rsidR="00C1548D" w14:paraId="70A4D38C"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88" w14:textId="77777777" w:rsidR="00C1548D" w:rsidRDefault="009B1B4B">
            <w:pPr>
              <w:spacing w:line="250" w:lineRule="auto"/>
            </w:pPr>
            <w:r>
              <w:rPr>
                <w:b/>
                <w:bCs/>
                <w:sz w:val="18"/>
                <w:szCs w:val="18"/>
              </w:rPr>
              <w:t>T</w:t>
            </w:r>
          </w:p>
        </w:tc>
        <w:tc>
          <w:tcPr>
            <w:tcW w:w="12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89" w14:textId="77777777" w:rsidR="00C1548D" w:rsidRDefault="009B1B4B">
            <w:pPr>
              <w:spacing w:line="250" w:lineRule="auto"/>
            </w:pPr>
            <w:r>
              <w:rPr>
                <w:b/>
                <w:bCs/>
                <w:sz w:val="18"/>
                <w:szCs w:val="18"/>
              </w:rPr>
              <w:t>Monat (Beispiel Brandt)</w:t>
            </w:r>
          </w:p>
        </w:tc>
        <w:tc>
          <w:tcPr>
            <w:tcW w:w="338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8A" w14:textId="77777777" w:rsidR="00C1548D" w:rsidRDefault="009B1B4B">
            <w:pPr>
              <w:spacing w:line="250" w:lineRule="auto"/>
            </w:pPr>
            <w:r>
              <w:rPr>
                <w:b/>
                <w:bCs/>
                <w:sz w:val="18"/>
                <w:szCs w:val="18"/>
              </w:rPr>
              <w:t>Meilenstein</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8B" w14:textId="77777777" w:rsidR="00C1548D" w:rsidRDefault="009B1B4B">
            <w:pPr>
              <w:spacing w:line="250" w:lineRule="auto"/>
            </w:pPr>
            <w:r>
              <w:rPr>
                <w:b/>
                <w:bCs/>
                <w:sz w:val="18"/>
                <w:szCs w:val="18"/>
              </w:rPr>
              <w:t>Kapitel</w:t>
            </w:r>
          </w:p>
        </w:tc>
      </w:tr>
      <w:tr w:rsidR="00C1548D" w14:paraId="70A4D39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8D" w14:textId="77777777" w:rsidR="00C1548D" w:rsidRDefault="009B1B4B">
            <w:pPr>
              <w:spacing w:line="250" w:lineRule="auto"/>
            </w:pPr>
            <w:r>
              <w:rPr>
                <w:sz w:val="18"/>
                <w:szCs w:val="18"/>
              </w:rPr>
              <w:t>T–18 bis T–9</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8E" w14:textId="77777777" w:rsidR="00C1548D" w:rsidRDefault="009B1B4B">
            <w:pPr>
              <w:spacing w:line="250" w:lineRule="auto"/>
            </w:pPr>
            <w:r>
              <w:rPr>
                <w:sz w:val="18"/>
                <w:szCs w:val="18"/>
              </w:rPr>
              <w:t>vor Januar</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8F" w14:textId="77777777" w:rsidR="00C1548D" w:rsidRDefault="009B1B4B">
            <w:pPr>
              <w:spacing w:line="250" w:lineRule="auto"/>
            </w:pPr>
            <w:r>
              <w:rPr>
                <w:sz w:val="18"/>
                <w:szCs w:val="18"/>
              </w:rPr>
              <w:t>Entschluss fassen, Weg wählen, Englisch und Finanzen vorbereiten, Bewerbungen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0" w14:textId="77777777" w:rsidR="00C1548D" w:rsidRDefault="009B1B4B">
            <w:pPr>
              <w:spacing w:line="250" w:lineRule="auto"/>
            </w:pPr>
            <w:r>
              <w:rPr>
                <w:sz w:val="18"/>
                <w:szCs w:val="18"/>
              </w:rPr>
              <w:t>1–9</w:t>
            </w:r>
          </w:p>
        </w:tc>
      </w:tr>
      <w:tr w:rsidR="00C1548D" w14:paraId="70A4D39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2" w14:textId="77777777" w:rsidR="00C1548D" w:rsidRDefault="009B1B4B">
            <w:pPr>
              <w:spacing w:line="250" w:lineRule="auto"/>
            </w:pPr>
            <w:r>
              <w:rPr>
                <w:sz w:val="18"/>
                <w:szCs w:val="18"/>
              </w:rPr>
              <w:t>T–8</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3" w14:textId="77777777" w:rsidR="00C1548D" w:rsidRDefault="009B1B4B">
            <w:pPr>
              <w:spacing w:line="250" w:lineRule="auto"/>
            </w:pPr>
            <w:r>
              <w:rPr>
                <w:sz w:val="18"/>
                <w:szCs w:val="18"/>
              </w:rPr>
              <w:t>Januar</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4" w14:textId="77777777" w:rsidR="00C1548D" w:rsidRDefault="009B1B4B">
            <w:pPr>
              <w:spacing w:line="250" w:lineRule="auto"/>
            </w:pPr>
            <w:r>
              <w:rPr>
                <w:sz w:val="18"/>
                <w:szCs w:val="18"/>
              </w:rPr>
              <w:t>Jobangebot, schriftliche Sponsoring-Zusage, Lohn-Level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5" w14:textId="77777777" w:rsidR="00C1548D" w:rsidRDefault="009B1B4B">
            <w:pPr>
              <w:spacing w:line="250" w:lineRule="auto"/>
            </w:pPr>
            <w:r>
              <w:rPr>
                <w:sz w:val="18"/>
                <w:szCs w:val="18"/>
              </w:rPr>
              <w:t>5, 11</w:t>
            </w:r>
          </w:p>
        </w:tc>
      </w:tr>
      <w:tr w:rsidR="00C1548D" w14:paraId="70A4D39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7" w14:textId="77777777" w:rsidR="00C1548D" w:rsidRDefault="009B1B4B">
            <w:pPr>
              <w:spacing w:line="250" w:lineRule="auto"/>
            </w:pPr>
            <w:r>
              <w:rPr>
                <w:sz w:val="18"/>
                <w:szCs w:val="18"/>
              </w:rPr>
              <w:t>T–8 bis T–6</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8" w14:textId="77777777" w:rsidR="00C1548D" w:rsidRDefault="009B1B4B">
            <w:pPr>
              <w:spacing w:line="250" w:lineRule="auto"/>
            </w:pPr>
            <w:r>
              <w:rPr>
                <w:sz w:val="18"/>
                <w:szCs w:val="18"/>
              </w:rPr>
              <w:t>Januar–März</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9" w14:textId="77777777" w:rsidR="00C1548D" w:rsidRDefault="009B1B4B">
            <w:pPr>
              <w:spacing w:line="250" w:lineRule="auto"/>
            </w:pPr>
            <w:r>
              <w:rPr>
                <w:sz w:val="18"/>
                <w:szCs w:val="18"/>
              </w:rPr>
              <w:t>Zeugnisbewertung beauftragen, Pässe prüfen, Übersetzungen anstoßen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A" w14:textId="77777777" w:rsidR="00C1548D" w:rsidRDefault="009B1B4B">
            <w:pPr>
              <w:spacing w:line="250" w:lineRule="auto"/>
            </w:pPr>
            <w:r>
              <w:rPr>
                <w:sz w:val="18"/>
                <w:szCs w:val="18"/>
              </w:rPr>
              <w:t>19</w:t>
            </w:r>
          </w:p>
        </w:tc>
      </w:tr>
      <w:tr w:rsidR="00C1548D" w14:paraId="70A4D3A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C" w14:textId="77777777" w:rsidR="00C1548D" w:rsidRDefault="009B1B4B">
            <w:pPr>
              <w:spacing w:line="250" w:lineRule="auto"/>
            </w:pPr>
            <w:r>
              <w:rPr>
                <w:sz w:val="18"/>
                <w:szCs w:val="18"/>
              </w:rPr>
              <w:t>T–6</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D" w14:textId="77777777" w:rsidR="00C1548D" w:rsidRDefault="009B1B4B">
            <w:pPr>
              <w:spacing w:line="250" w:lineRule="auto"/>
            </w:pPr>
            <w:r>
              <w:rPr>
                <w:sz w:val="18"/>
                <w:szCs w:val="18"/>
              </w:rPr>
              <w:t>März</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E" w14:textId="77777777" w:rsidR="00C1548D" w:rsidRDefault="009B1B4B">
            <w:pPr>
              <w:spacing w:line="250" w:lineRule="auto"/>
            </w:pPr>
            <w:r>
              <w:rPr>
                <w:sz w:val="18"/>
                <w:szCs w:val="18"/>
              </w:rPr>
              <w:t>H-1B-Lotterie-Registrierung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9F" w14:textId="77777777" w:rsidR="00C1548D" w:rsidRDefault="009B1B4B">
            <w:pPr>
              <w:spacing w:line="250" w:lineRule="auto"/>
            </w:pPr>
            <w:r>
              <w:rPr>
                <w:sz w:val="18"/>
                <w:szCs w:val="18"/>
              </w:rPr>
              <w:t>5, 11</w:t>
            </w:r>
          </w:p>
        </w:tc>
      </w:tr>
      <w:tr w:rsidR="00C1548D" w14:paraId="70A4D3A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1" w14:textId="77777777" w:rsidR="00C1548D" w:rsidRDefault="009B1B4B">
            <w:pPr>
              <w:spacing w:line="250" w:lineRule="auto"/>
            </w:pPr>
            <w:r>
              <w:rPr>
                <w:sz w:val="18"/>
                <w:szCs w:val="18"/>
              </w:rPr>
              <w:t>T–5</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2" w14:textId="77777777" w:rsidR="00C1548D" w:rsidRDefault="009B1B4B">
            <w:pPr>
              <w:spacing w:line="250" w:lineRule="auto"/>
            </w:pPr>
            <w:r>
              <w:rPr>
                <w:sz w:val="18"/>
                <w:szCs w:val="18"/>
              </w:rPr>
              <w:t>Ende März/April</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3" w14:textId="77777777" w:rsidR="00C1548D" w:rsidRDefault="009B1B4B">
            <w:pPr>
              <w:spacing w:line="250" w:lineRule="auto"/>
            </w:pPr>
            <w:r>
              <w:rPr>
                <w:sz w:val="18"/>
                <w:szCs w:val="18"/>
              </w:rPr>
              <w:t>Auswahlergebnis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4" w14:textId="77777777" w:rsidR="00C1548D" w:rsidRDefault="009B1B4B">
            <w:pPr>
              <w:spacing w:line="250" w:lineRule="auto"/>
            </w:pPr>
            <w:r>
              <w:rPr>
                <w:sz w:val="18"/>
                <w:szCs w:val="18"/>
              </w:rPr>
              <w:t>11</w:t>
            </w:r>
          </w:p>
        </w:tc>
      </w:tr>
      <w:tr w:rsidR="00C1548D" w14:paraId="70A4D3A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6" w14:textId="77777777" w:rsidR="00C1548D" w:rsidRDefault="009B1B4B">
            <w:pPr>
              <w:spacing w:line="250" w:lineRule="auto"/>
            </w:pPr>
            <w:r>
              <w:rPr>
                <w:sz w:val="18"/>
                <w:szCs w:val="18"/>
              </w:rPr>
              <w:t>T–5 bis T–3</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7" w14:textId="77777777" w:rsidR="00C1548D" w:rsidRDefault="009B1B4B">
            <w:pPr>
              <w:spacing w:line="250" w:lineRule="auto"/>
            </w:pPr>
            <w:r>
              <w:rPr>
                <w:sz w:val="18"/>
                <w:szCs w:val="18"/>
              </w:rPr>
              <w:t>April–Juni</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8" w14:textId="77777777" w:rsidR="00C1548D" w:rsidRDefault="009B1B4B">
            <w:pPr>
              <w:spacing w:line="250" w:lineRule="auto"/>
            </w:pPr>
            <w:r>
              <w:rPr>
                <w:sz w:val="18"/>
                <w:szCs w:val="18"/>
              </w:rPr>
              <w:t>LCA, Petition, USCIS-Entscheidung, ggf. Nachforderung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9" w14:textId="77777777" w:rsidR="00C1548D" w:rsidRDefault="009B1B4B">
            <w:pPr>
              <w:spacing w:line="250" w:lineRule="auto"/>
            </w:pPr>
            <w:r>
              <w:rPr>
                <w:sz w:val="18"/>
                <w:szCs w:val="18"/>
              </w:rPr>
              <w:t>11</w:t>
            </w:r>
          </w:p>
        </w:tc>
      </w:tr>
      <w:tr w:rsidR="00C1548D" w14:paraId="70A4D3A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B" w14:textId="77777777" w:rsidR="00C1548D" w:rsidRDefault="009B1B4B">
            <w:pPr>
              <w:spacing w:line="250" w:lineRule="auto"/>
            </w:pPr>
            <w:r>
              <w:rPr>
                <w:sz w:val="18"/>
                <w:szCs w:val="18"/>
              </w:rPr>
              <w:t>T–4 bis T–3</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C" w14:textId="77777777" w:rsidR="00C1548D" w:rsidRDefault="009B1B4B">
            <w:pPr>
              <w:spacing w:line="250" w:lineRule="auto"/>
            </w:pPr>
            <w:r>
              <w:rPr>
                <w:sz w:val="18"/>
                <w:szCs w:val="18"/>
              </w:rPr>
              <w:t>Mai–Juni</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D" w14:textId="77777777" w:rsidR="00C1548D" w:rsidRDefault="009B1B4B">
            <w:pPr>
              <w:spacing w:line="250" w:lineRule="auto"/>
            </w:pPr>
            <w:r>
              <w:rPr>
                <w:sz w:val="18"/>
                <w:szCs w:val="18"/>
              </w:rPr>
              <w:t>Krankenkasse und Anwartschaft, Depot und PFIC, Rentenversicherung klären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AE" w14:textId="77777777" w:rsidR="00C1548D" w:rsidRDefault="009B1B4B">
            <w:pPr>
              <w:spacing w:line="250" w:lineRule="auto"/>
            </w:pPr>
            <w:r>
              <w:rPr>
                <w:sz w:val="18"/>
                <w:szCs w:val="18"/>
              </w:rPr>
              <w:t>17, 18</w:t>
            </w:r>
          </w:p>
        </w:tc>
      </w:tr>
      <w:tr w:rsidR="00C1548D" w14:paraId="70A4D3B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0" w14:textId="77777777" w:rsidR="00C1548D" w:rsidRDefault="009B1B4B">
            <w:pPr>
              <w:spacing w:line="250" w:lineRule="auto"/>
            </w:pPr>
            <w:r>
              <w:rPr>
                <w:sz w:val="18"/>
                <w:szCs w:val="18"/>
              </w:rPr>
              <w:t>T–3</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1" w14:textId="77777777" w:rsidR="00C1548D" w:rsidRDefault="009B1B4B">
            <w:pPr>
              <w:spacing w:line="250" w:lineRule="auto"/>
            </w:pPr>
            <w:r>
              <w:rPr>
                <w:sz w:val="18"/>
                <w:szCs w:val="18"/>
              </w:rPr>
              <w:t>Ende Juni</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2" w14:textId="77777777" w:rsidR="00C1548D" w:rsidRDefault="009B1B4B">
            <w:pPr>
              <w:spacing w:line="250" w:lineRule="auto"/>
            </w:pPr>
            <w:r>
              <w:rPr>
                <w:sz w:val="18"/>
                <w:szCs w:val="18"/>
              </w:rPr>
              <w:t>Wohnung kündigen, sobald Genehmigung und Interviewtermin feststehen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3" w14:textId="77777777" w:rsidR="00C1548D" w:rsidRDefault="009B1B4B">
            <w:pPr>
              <w:spacing w:line="250" w:lineRule="auto"/>
            </w:pPr>
            <w:r>
              <w:rPr>
                <w:sz w:val="18"/>
                <w:szCs w:val="18"/>
              </w:rPr>
              <w:t>16</w:t>
            </w:r>
          </w:p>
        </w:tc>
      </w:tr>
      <w:tr w:rsidR="00C1548D" w14:paraId="70A4D3B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5" w14:textId="77777777" w:rsidR="00C1548D" w:rsidRDefault="009B1B4B">
            <w:pPr>
              <w:spacing w:line="250" w:lineRule="auto"/>
            </w:pPr>
            <w:r>
              <w:rPr>
                <w:sz w:val="18"/>
                <w:szCs w:val="18"/>
              </w:rPr>
              <w:lastRenderedPageBreak/>
              <w:t>T–3 bis T–1</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6" w14:textId="77777777" w:rsidR="00C1548D" w:rsidRDefault="009B1B4B">
            <w:pPr>
              <w:spacing w:line="250" w:lineRule="auto"/>
            </w:pPr>
            <w:r>
              <w:rPr>
                <w:sz w:val="18"/>
                <w:szCs w:val="18"/>
              </w:rPr>
              <w:t>Juli–August</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7" w14:textId="77777777" w:rsidR="00C1548D" w:rsidRDefault="009B1B4B">
            <w:pPr>
              <w:spacing w:line="250" w:lineRule="auto"/>
            </w:pPr>
            <w:r>
              <w:rPr>
                <w:sz w:val="18"/>
                <w:szCs w:val="18"/>
              </w:rPr>
              <w:t>DS-160, Konsulargebühr, Interviewtermin, Interview</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8" w14:textId="77777777" w:rsidR="00C1548D" w:rsidRDefault="009B1B4B">
            <w:pPr>
              <w:spacing w:line="250" w:lineRule="auto"/>
            </w:pPr>
            <w:r>
              <w:rPr>
                <w:sz w:val="18"/>
                <w:szCs w:val="18"/>
              </w:rPr>
              <w:t>11</w:t>
            </w:r>
          </w:p>
        </w:tc>
      </w:tr>
      <w:tr w:rsidR="00C1548D" w14:paraId="70A4D3B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A" w14:textId="77777777" w:rsidR="00C1548D" w:rsidRDefault="009B1B4B">
            <w:pPr>
              <w:spacing w:line="250" w:lineRule="auto"/>
            </w:pPr>
            <w:r>
              <w:rPr>
                <w:sz w:val="18"/>
                <w:szCs w:val="18"/>
              </w:rPr>
              <w:t>T–1</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B" w14:textId="77777777" w:rsidR="00C1548D" w:rsidRDefault="009B1B4B">
            <w:pPr>
              <w:spacing w:line="250" w:lineRule="auto"/>
            </w:pPr>
            <w:r>
              <w:rPr>
                <w:sz w:val="18"/>
                <w:szCs w:val="18"/>
              </w:rPr>
              <w:t>August</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C" w14:textId="77777777" w:rsidR="00C1548D" w:rsidRDefault="009B1B4B">
            <w:pPr>
              <w:spacing w:line="250" w:lineRule="auto"/>
            </w:pPr>
            <w:r>
              <w:rPr>
                <w:sz w:val="18"/>
                <w:szCs w:val="18"/>
              </w:rPr>
              <w:t>Visum im Pass, Arbeitsvertrag kündigen, Spedition verbindlich buchen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D" w14:textId="77777777" w:rsidR="00C1548D" w:rsidRDefault="009B1B4B">
            <w:pPr>
              <w:spacing w:line="250" w:lineRule="auto"/>
            </w:pPr>
            <w:r>
              <w:rPr>
                <w:sz w:val="18"/>
                <w:szCs w:val="18"/>
              </w:rPr>
              <w:t>16, 20</w:t>
            </w:r>
          </w:p>
        </w:tc>
      </w:tr>
      <w:tr w:rsidR="00C1548D" w14:paraId="70A4D3C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BF" w14:textId="77777777" w:rsidR="00C1548D" w:rsidRDefault="009B1B4B">
            <w:pPr>
              <w:spacing w:line="250" w:lineRule="auto"/>
            </w:pPr>
            <w:r>
              <w:rPr>
                <w:sz w:val="18"/>
                <w:szCs w:val="18"/>
              </w:rPr>
              <w:t>T–1 bis T–0</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C0" w14:textId="77777777" w:rsidR="00C1548D" w:rsidRDefault="009B1B4B">
            <w:pPr>
              <w:spacing w:line="250" w:lineRule="auto"/>
            </w:pPr>
            <w:r>
              <w:rPr>
                <w:sz w:val="18"/>
                <w:szCs w:val="18"/>
              </w:rPr>
              <w:t>August–September</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C1" w14:textId="77777777" w:rsidR="00C1548D" w:rsidRDefault="009B1B4B">
            <w:pPr>
              <w:spacing w:line="250" w:lineRule="auto"/>
            </w:pPr>
            <w:r>
              <w:rPr>
                <w:sz w:val="18"/>
                <w:szCs w:val="18"/>
              </w:rPr>
              <w:t>Impfungen, Vorsorgevollmacht, Abmeldung, Verladung, Wohnungsübergabe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C2" w14:textId="77777777" w:rsidR="00C1548D" w:rsidRDefault="009B1B4B">
            <w:pPr>
              <w:spacing w:line="250" w:lineRule="auto"/>
            </w:pPr>
            <w:r>
              <w:rPr>
                <w:sz w:val="18"/>
                <w:szCs w:val="18"/>
              </w:rPr>
              <w:t>16, 18, 19, 20</w:t>
            </w:r>
          </w:p>
        </w:tc>
      </w:tr>
      <w:tr w:rsidR="00C1548D" w14:paraId="70A4D3C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C4" w14:textId="77777777" w:rsidR="00C1548D" w:rsidRDefault="009B1B4B">
            <w:pPr>
              <w:spacing w:line="250" w:lineRule="auto"/>
            </w:pPr>
            <w:r>
              <w:rPr>
                <w:sz w:val="18"/>
                <w:szCs w:val="18"/>
              </w:rPr>
              <w:t>T–0</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C5" w14:textId="77777777" w:rsidR="00C1548D" w:rsidRDefault="009B1B4B">
            <w:pPr>
              <w:spacing w:line="250" w:lineRule="auto"/>
            </w:pPr>
            <w:r>
              <w:rPr>
                <w:sz w:val="18"/>
                <w:szCs w:val="18"/>
              </w:rPr>
              <w:t>Ende September</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C6" w14:textId="77777777" w:rsidR="00C1548D" w:rsidRDefault="009B1B4B">
            <w:pPr>
              <w:spacing w:line="250" w:lineRule="auto"/>
            </w:pPr>
            <w:r>
              <w:rPr>
                <w:sz w:val="18"/>
                <w:szCs w:val="18"/>
              </w:rPr>
              <w:t>Abflug und Einreise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C7" w14:textId="77777777" w:rsidR="00C1548D" w:rsidRDefault="009B1B4B">
            <w:pPr>
              <w:spacing w:line="250" w:lineRule="auto"/>
            </w:pPr>
            <w:r>
              <w:rPr>
                <w:sz w:val="18"/>
                <w:szCs w:val="18"/>
              </w:rPr>
              <w:t>23</w:t>
            </w:r>
          </w:p>
        </w:tc>
      </w:tr>
      <w:tr w:rsidR="00C1548D" w14:paraId="70A4D3C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C9" w14:textId="77777777" w:rsidR="00C1548D" w:rsidRDefault="009B1B4B">
            <w:pPr>
              <w:spacing w:line="250" w:lineRule="auto"/>
            </w:pPr>
            <w:r>
              <w:rPr>
                <w:sz w:val="18"/>
                <w:szCs w:val="18"/>
              </w:rPr>
              <w:t>danach</w:t>
            </w:r>
          </w:p>
        </w:tc>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CA" w14:textId="77777777" w:rsidR="00C1548D" w:rsidRDefault="009B1B4B">
            <w:pPr>
              <w:spacing w:line="250" w:lineRule="auto"/>
            </w:pPr>
            <w:r>
              <w:rPr>
                <w:sz w:val="18"/>
                <w:szCs w:val="18"/>
              </w:rPr>
              <w:t>1. Oktober</w:t>
            </w:r>
          </w:p>
        </w:tc>
        <w:tc>
          <w:tcPr>
            <w:tcW w:w="3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CB" w14:textId="77777777" w:rsidR="00C1548D" w:rsidRDefault="009B1B4B">
            <w:pPr>
              <w:spacing w:line="250" w:lineRule="auto"/>
            </w:pPr>
            <w:r>
              <w:rPr>
                <w:sz w:val="18"/>
                <w:szCs w:val="18"/>
              </w:rPr>
              <w:t>Arbeitsbeginn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CC" w14:textId="77777777" w:rsidR="00C1548D" w:rsidRDefault="009B1B4B">
            <w:pPr>
              <w:spacing w:line="250" w:lineRule="auto"/>
            </w:pPr>
            <w:r>
              <w:rPr>
                <w:sz w:val="18"/>
                <w:szCs w:val="18"/>
              </w:rPr>
              <w:t>23–25</w:t>
            </w:r>
          </w:p>
        </w:tc>
      </w:tr>
    </w:tbl>
    <w:p w14:paraId="70A4D3CE"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3D1"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3CF" w14:textId="77777777" w:rsidR="00C1548D" w:rsidRDefault="009B1B4B">
            <w:pPr>
              <w:keepNext/>
              <w:spacing w:after="70" w:line="240" w:lineRule="auto"/>
            </w:pPr>
            <w:r>
              <w:rPr>
                <w:b/>
                <w:bCs/>
                <w:color w:val="8A6212"/>
                <w:spacing w:val="24"/>
                <w:sz w:val="16"/>
                <w:szCs w:val="16"/>
              </w:rPr>
              <w:t>MERKE</w:t>
            </w:r>
          </w:p>
          <w:p w14:paraId="70A4D3D0" w14:textId="6FCB9963" w:rsidR="00C1548D" w:rsidRDefault="009B1B4B">
            <w:pPr>
              <w:spacing w:after="80" w:line="264" w:lineRule="auto"/>
            </w:pPr>
            <w:r>
              <w:rPr>
                <w:sz w:val="20"/>
                <w:szCs w:val="20"/>
              </w:rPr>
              <w:t>Der Engpass in diesem Fahrplan ist selten das Visum selbst, sondern die drei Monate Kündigungsfrist deiner Wohnung, die nach deutschem Recht unabhängig vom Stand deines Visumsverfahrens läuft (Kapitel </w:t>
            </w:r>
            <w:hyperlink w:anchor="k16" w:history="1">
              <w:r>
                <w:rPr>
                  <w:sz w:val="20"/>
                  <w:szCs w:val="20"/>
                </w:rPr>
                <w:t>16</w:t>
              </w:r>
            </w:hyperlink>
            <w:r>
              <w:rPr>
                <w:sz w:val="20"/>
                <w:szCs w:val="20"/>
              </w:rPr>
              <w:t>).</w:t>
            </w:r>
          </w:p>
        </w:tc>
      </w:tr>
    </w:tbl>
    <w:p w14:paraId="70A4D3D2" w14:textId="77777777" w:rsidR="00C1548D" w:rsidRDefault="00C1548D">
      <w:pPr>
        <w:spacing w:line="220" w:lineRule="exact"/>
      </w:pPr>
    </w:p>
    <w:p w14:paraId="70A4D3D3" w14:textId="1C278968" w:rsidR="00C1548D" w:rsidRDefault="009B1B4B">
      <w:pPr>
        <w:spacing w:after="140"/>
      </w:pPr>
      <w:r>
        <w:t>Kommt das Jobangebot erst nach der März-Registrierung, verschiebt sich die ganze Kette um ein Jahr: Die Registrierung folgt erst im nächsten März, der Arbeitsbeginn frühestens am 1. Oktober des übernächsten Jahres (Kapitel </w:t>
      </w:r>
      <w:hyperlink w:anchor="k11" w:history="1">
        <w:r>
          <w:t>11</w:t>
        </w:r>
      </w:hyperlink>
      <w:r>
        <w:t>). Frage deshalb bei jedem Angebot ausdrücklich, ob und wann der Arbeitgeber registriert, und halte in der Zwischenzeit ein Ausweichmodell offen, etwa eine befristete Tätigkeit in Deutschland oder einen anderen Visumsweg (Kapitel </w:t>
      </w:r>
      <w:hyperlink w:anchor="k4" w:history="1">
        <w:r>
          <w:t>4</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3D6"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3D4" w14:textId="77777777" w:rsidR="00C1548D" w:rsidRDefault="009B1B4B">
            <w:pPr>
              <w:keepNext/>
              <w:spacing w:after="70" w:line="240" w:lineRule="auto"/>
            </w:pPr>
            <w:r>
              <w:rPr>
                <w:b/>
                <w:bCs/>
                <w:color w:val="4A5568"/>
                <w:spacing w:val="24"/>
                <w:sz w:val="16"/>
                <w:szCs w:val="16"/>
              </w:rPr>
              <w:lastRenderedPageBreak/>
              <w:t>PRAXISBEISPIEL · FIKTIV</w:t>
            </w:r>
          </w:p>
          <w:p w14:paraId="70A4D3D5" w14:textId="77777777" w:rsidR="00C1548D" w:rsidRDefault="009B1B4B">
            <w:pPr>
              <w:spacing w:after="80" w:line="264" w:lineRule="auto"/>
            </w:pPr>
            <w:r>
              <w:rPr>
                <w:sz w:val="20"/>
                <w:szCs w:val="20"/>
              </w:rPr>
              <w:t>Familie Brandt aus Stuttgart (fiktives Beispiel) bekommt im Januar das Jobangebot aus Michigan – der Anruf kommt an einem Dienstagabend mitten beim Abendessen, und Markus schreibt das Datum noch am Küchentisch auf einen Zettel, der bis zum Abflug am Kühlschrank hängen bleibt. Im März registriert der Arbeitgeber sie für die H-1B-Lotterie, Ende März steht die Auswahl fest. Bis Juni laufen LCA und Petition, dann die Genehmigung. Ende Juni kündigt Markus die Wohnung, sobald Interviewtermin und Genehmigung siche</w:t>
            </w:r>
            <w:r>
              <w:rPr>
                <w:sz w:val="20"/>
                <w:szCs w:val="20"/>
              </w:rPr>
              <w:t>r sind; das Mietverhältnis endet am 30. September. Im Juli und August folgen DS-160, Konsulartermin und Interview in München, danach liegt das Visum im Pass. Erst jetzt kündigt Markus seinen Arbeitsvertrag und bucht die Spedition verbindlich. Ende September fliegt die Familie, der Container kommt Wochen später nach. Lena und Jonas verpassen die ersten Schulwochen in Michigan, ein Kompromiss, den der 1. Oktober als Starttermin erzwingt.</w:t>
            </w:r>
          </w:p>
        </w:tc>
      </w:tr>
    </w:tbl>
    <w:p w14:paraId="70A4D3D7" w14:textId="77777777" w:rsidR="00C1548D" w:rsidRDefault="00C1548D">
      <w:pPr>
        <w:spacing w:line="220" w:lineRule="exact"/>
      </w:pPr>
    </w:p>
    <w:p w14:paraId="70A4D3D8" w14:textId="77777777" w:rsidR="00C1548D" w:rsidRDefault="009B1B4B">
      <w:pPr>
        <w:pStyle w:val="Heading3"/>
        <w:keepNext/>
        <w:jc w:val="center"/>
      </w:pPr>
      <w:r>
        <w:rPr>
          <w:rFonts w:ascii="Amazon Ember" w:eastAsia="Amazon Ember" w:hAnsi="Amazon Ember" w:cs="Amazon Ember"/>
          <w:color w:val="0000FF"/>
          <w:sz w:val="36"/>
          <w:szCs w:val="36"/>
        </w:rPr>
        <w:t>Der kritische Pfad: Visum, Wohnung, Verschiffung</w:t>
      </w:r>
    </w:p>
    <w:p w14:paraId="70A4D3D9" w14:textId="5A34589A" w:rsidR="00C1548D" w:rsidRDefault="009B1B4B">
      <w:pPr>
        <w:spacing w:after="140"/>
      </w:pPr>
      <w:r>
        <w:t>Drei Schritte hängen in fester Reihenfolge zusammen, und jeder frühere sichert den nächsten ab. Erst wenn die Petition genehmigt ist und ein Interviewtermin feststeht, hast du eine belastbare Grundlage, um die Wohnung zu kündigen (Kapitel </w:t>
      </w:r>
      <w:hyperlink w:anchor="k16" w:history="1">
        <w:r>
          <w:t>16</w:t>
        </w:r>
      </w:hyperlink>
      <w:r>
        <w:t>). Erst wenn die Wohnung gekündigt und der Übergabetermin bekannt ist, kannst du realistisch planen, wann die Spedition verladen soll (Kapitel </w:t>
      </w:r>
      <w:hyperlink w:anchor="k20" w:history="1">
        <w:r>
          <w:t>20</w:t>
        </w:r>
      </w:hyperlink>
      <w:r>
        <w:t>).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w14:paraId="70A4D3DA" w14:textId="77777777" w:rsidR="00C1548D" w:rsidRDefault="009B1B4B">
      <w:pPr>
        <w:spacing w:after="140"/>
      </w:pPr>
      <w:r>
        <w:t xml:space="preserve">Der Grund für diese Reihenfolge ist finanziell, nicht bürokratisch: Eine Kaution von mehreren Tausend Euro, eine dreimonatige Kündigungsfrist und eine Speditionsrechnung im vierstelligen Bereich lassen sich kaum rückgängig machen, sobald sie einmal </w:t>
      </w:r>
      <w:r>
        <w:lastRenderedPageBreak/>
        <w:t>laufen. Das Visum ist dagegen der einzige Schritt in der Kette, den weder du noch dein Arbeitgeber beschleunigen kannst; alles andere richtet sich danach, nicht umgekehrt.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3D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3DB" w14:textId="77777777" w:rsidR="00C1548D" w:rsidRDefault="009B1B4B">
            <w:pPr>
              <w:keepNext/>
              <w:spacing w:after="70" w:line="240" w:lineRule="auto"/>
            </w:pPr>
            <w:r>
              <w:rPr>
                <w:b/>
                <w:bCs/>
                <w:color w:val="9B2C2C"/>
                <w:spacing w:val="24"/>
                <w:sz w:val="16"/>
                <w:szCs w:val="16"/>
              </w:rPr>
              <w:t>ACHTUNG</w:t>
            </w:r>
          </w:p>
          <w:p w14:paraId="70A4D3DC" w14:textId="6FB2FC71" w:rsidR="00C1548D" w:rsidRDefault="009B1B4B">
            <w:pPr>
              <w:spacing w:after="80" w:line="264" w:lineRule="auto"/>
            </w:pPr>
            <w:r>
              <w:rPr>
                <w:sz w:val="20"/>
                <w:szCs w:val="20"/>
              </w:rPr>
              <w:t>Kündige die Wohnung nicht auf bloßen Verdacht (Kapitel </w:t>
            </w:r>
            <w:hyperlink w:anchor="k16" w:history="1">
              <w:r>
                <w:rPr>
                  <w:sz w:val="20"/>
                  <w:szCs w:val="20"/>
                </w:rPr>
                <w:t>16</w:t>
              </w:r>
            </w:hyperlink>
            <w:r>
              <w:rPr>
                <w:sz w:val="20"/>
                <w:szCs w:val="20"/>
              </w:rPr>
              <w:t>). Wer die drei Monate Frist trotzdem knapp ausreizen will, akzeptiert wie Familie Brandt im Beispiel ein kleines Restrisiko: Die Kündigung erfolgt, sobald Genehmigung und Interviewtermin feststehen, nicht erst mit dem Visum im Pass. Wäge dieses Risiko bewusst ab, nicht aus Zeitdruck.</w:t>
            </w:r>
          </w:p>
        </w:tc>
      </w:tr>
    </w:tbl>
    <w:p w14:paraId="70A4D3DE"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3E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3DF" w14:textId="77777777" w:rsidR="00C1548D" w:rsidRDefault="009B1B4B">
            <w:pPr>
              <w:keepNext/>
              <w:spacing w:after="70" w:line="240" w:lineRule="auto"/>
            </w:pPr>
            <w:r>
              <w:rPr>
                <w:b/>
                <w:bCs/>
                <w:color w:val="9B2C2C"/>
                <w:spacing w:val="24"/>
                <w:sz w:val="16"/>
                <w:szCs w:val="16"/>
              </w:rPr>
              <w:t>ACHTUNG</w:t>
            </w:r>
          </w:p>
          <w:p w14:paraId="70A4D3E0" w14:textId="424EFAFF" w:rsidR="00C1548D" w:rsidRDefault="009B1B4B">
            <w:pPr>
              <w:spacing w:after="80" w:line="264" w:lineRule="auto"/>
            </w:pPr>
            <w:r>
              <w:rPr>
                <w:sz w:val="20"/>
                <w:szCs w:val="20"/>
              </w:rPr>
              <w:t>Die Spedition empfiehlt eine Buchung sechs bis acht Wochen vor der Verladung (Kapitel </w:t>
            </w:r>
            <w:hyperlink w:anchor="k20" w:history="1">
              <w:r>
                <w:rPr>
                  <w:sz w:val="20"/>
                  <w:szCs w:val="20"/>
                </w:rPr>
                <w:t>20</w:t>
              </w:r>
            </w:hyperlink>
            <w:r>
              <w:rPr>
                <w:sz w:val="20"/>
                <w:szCs w:val="20"/>
              </w:rPr>
              <w:t>). Beim komprimierten Lotterieweg bleiben zwischen Visum im Pass und Abflug oft nur vier bis sechs Wochen. Buche trotzdem sofort verbindlich, sobald das Visum feststeht, und rechne von vornherein damit, dass der Container erst Wochen nach dir ankommt.</w:t>
            </w:r>
          </w:p>
        </w:tc>
      </w:tr>
    </w:tbl>
    <w:p w14:paraId="70A4D3E2" w14:textId="77777777" w:rsidR="00C1548D" w:rsidRDefault="00C1548D">
      <w:pPr>
        <w:spacing w:line="220" w:lineRule="exact"/>
      </w:pPr>
    </w:p>
    <w:p w14:paraId="70A4D3E3" w14:textId="77777777" w:rsidR="00C1548D" w:rsidRDefault="009B1B4B">
      <w:pPr>
        <w:pStyle w:val="Heading3"/>
        <w:keepNext/>
        <w:jc w:val="center"/>
      </w:pPr>
      <w:r>
        <w:rPr>
          <w:rFonts w:ascii="Amazon Ember" w:eastAsia="Amazon Ember" w:hAnsi="Amazon Ember" w:cs="Amazon Ember"/>
          <w:color w:val="0000FF"/>
          <w:sz w:val="36"/>
          <w:szCs w:val="36"/>
        </w:rPr>
        <w:t>Doppelmiete vermeiden</w:t>
      </w:r>
    </w:p>
    <w:p w14:paraId="70A4D3E4" w14:textId="35354F10" w:rsidR="00C1548D" w:rsidRDefault="009B1B4B">
      <w:pPr>
        <w:spacing w:after="140"/>
      </w:pPr>
      <w:r>
        <w:t>Doppelmiete entsteht auf zwei Arten: Du kündigst zu spät und zahlst nach dem Abflug noch für eine Wohnung, die du nicht mehr nutzt, oder du kündigst zu früh und stehst vor dem Abflug ohne Wohnung da, während das Visum noch nicht sicher ist. Die dreimonatige Kündigungsfrist (Kapitel </w:t>
      </w:r>
      <w:hyperlink w:anchor="k16" w:history="1">
        <w:r>
          <w:t>16</w:t>
        </w:r>
      </w:hyperlink>
      <w:r>
        <w:t>) läuft ab dem Zugang beim Vermieter, nicht ab dem Absenden, und endet immer zum Monatsende. Rechne deshalb rückwärts vom gewünschten letzten Miettag, nicht vorwärts vom Kündigungstag, und plane den Zugang so, dass das Mietende möglichst nah am tatsächlichen Abflugtermin liegt, ohne ihn zu unterschreiten. Bei einer Kaltmiete von 1.350 € (Beispiel Brandt, Kapitel </w:t>
      </w:r>
      <w:hyperlink w:anchor="k16" w:history="1">
        <w:r>
          <w:t>16</w:t>
        </w:r>
      </w:hyperlink>
      <w:r>
        <w:t>) kostet ein einziger falsch getroffener Stichtag schnell eine zusätzliche Monatsmiete; ein Nachmieter oder ein Aufhebungsvertrag mit dem Vermieter kann die letzten Wochen zusätzlich abfedern.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3E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3E5" w14:textId="77777777" w:rsidR="00C1548D" w:rsidRDefault="009B1B4B">
            <w:pPr>
              <w:keepNext/>
              <w:spacing w:after="70" w:line="240" w:lineRule="auto"/>
            </w:pPr>
            <w:r>
              <w:rPr>
                <w:b/>
                <w:bCs/>
                <w:color w:val="2F6B3B"/>
                <w:spacing w:val="24"/>
                <w:sz w:val="16"/>
                <w:szCs w:val="16"/>
              </w:rPr>
              <w:lastRenderedPageBreak/>
              <w:t>SPARTIPP</w:t>
            </w:r>
          </w:p>
          <w:p w14:paraId="70A4D3E6" w14:textId="6B1FEF13" w:rsidR="00C1548D" w:rsidRDefault="009B1B4B">
            <w:pPr>
              <w:spacing w:after="80" w:line="264" w:lineRule="auto"/>
            </w:pPr>
            <w:r>
              <w:rPr>
                <w:sz w:val="20"/>
                <w:szCs w:val="20"/>
              </w:rPr>
              <w:t>Nutze die Wartezeit zwischen Registrierung und Petition-Entscheidung für alles, was keinen Visumsstatus braucht: Zeugnisbewertung, Übersetzungen, Angebote von Speditionen einholen, Kontakt zum künftigen Schuldistrikt aufnehmen. Das verkürzt die eigentliche Endphase spürbar (Kapitel </w:t>
            </w:r>
            <w:hyperlink w:anchor="k19" w:history="1">
              <w:r>
                <w:rPr>
                  <w:sz w:val="20"/>
                  <w:szCs w:val="20"/>
                </w:rPr>
                <w:t>19</w:t>
              </w:r>
            </w:hyperlink>
            <w:r>
              <w:rPr>
                <w:sz w:val="20"/>
                <w:szCs w:val="20"/>
              </w:rPr>
              <w:t xml:space="preserve">, </w:t>
            </w:r>
            <w:hyperlink w:anchor="k20" w:history="1">
              <w:r>
                <w:rPr>
                  <w:sz w:val="20"/>
                  <w:szCs w:val="20"/>
                </w:rPr>
                <w:t>20</w:t>
              </w:r>
            </w:hyperlink>
            <w:r>
              <w:rPr>
                <w:sz w:val="20"/>
                <w:szCs w:val="20"/>
              </w:rPr>
              <w:t xml:space="preserve">, </w:t>
            </w:r>
            <w:hyperlink w:anchor="k36" w:history="1">
              <w:r>
                <w:rPr>
                  <w:sz w:val="20"/>
                  <w:szCs w:val="20"/>
                </w:rPr>
                <w:t>36</w:t>
              </w:r>
            </w:hyperlink>
            <w:r>
              <w:rPr>
                <w:sz w:val="20"/>
                <w:szCs w:val="20"/>
              </w:rPr>
              <w:t>).</w:t>
            </w:r>
          </w:p>
        </w:tc>
      </w:tr>
    </w:tbl>
    <w:p w14:paraId="70A4D3E8" w14:textId="77777777" w:rsidR="00C1548D" w:rsidRDefault="00C1548D">
      <w:pPr>
        <w:spacing w:line="220" w:lineRule="exact"/>
      </w:pPr>
    </w:p>
    <w:p w14:paraId="70A4D3E9" w14:textId="77777777" w:rsidR="00C1548D" w:rsidRDefault="009B1B4B">
      <w:pPr>
        <w:pStyle w:val="Heading3"/>
        <w:keepNext/>
        <w:jc w:val="center"/>
      </w:pPr>
      <w:r>
        <w:rPr>
          <w:rFonts w:ascii="Amazon Ember" w:eastAsia="Amazon Ember" w:hAnsi="Amazon Ember" w:cs="Amazon Ember"/>
          <w:color w:val="0000FF"/>
          <w:sz w:val="36"/>
          <w:szCs w:val="36"/>
        </w:rPr>
        <w:t>Wer macht was: Arbeitgeber, Anwalt, du</w:t>
      </w:r>
    </w:p>
    <w:p w14:paraId="70A4D3EA" w14:textId="4A353D7D" w:rsidR="00C1548D" w:rsidRDefault="009B1B4B">
      <w:pPr>
        <w:spacing w:after="140"/>
      </w:pPr>
      <w: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history="1">
        <w:r>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5"/>
        <w:gridCol w:w="1453"/>
        <w:gridCol w:w="1021"/>
        <w:gridCol w:w="2171"/>
      </w:tblGrid>
      <w:tr w:rsidR="00C1548D" w14:paraId="70A4D3EF" w14:textId="77777777">
        <w:tblPrEx>
          <w:tblCellMar>
            <w:top w:w="0" w:type="dxa"/>
            <w:bottom w:w="0" w:type="dxa"/>
          </w:tblCellMar>
        </w:tblPrEx>
        <w:trPr>
          <w:cantSplit/>
          <w:tblHeader/>
        </w:trPr>
        <w:tc>
          <w:tcPr>
            <w:tcW w:w="183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EB" w14:textId="77777777" w:rsidR="00C1548D" w:rsidRDefault="009B1B4B">
            <w:pPr>
              <w:spacing w:line="250" w:lineRule="auto"/>
            </w:pPr>
            <w:r>
              <w:rPr>
                <w:b/>
                <w:bCs/>
                <w:sz w:val="18"/>
                <w:szCs w:val="18"/>
              </w:rPr>
              <w:t>Aufgabe</w:t>
            </w:r>
          </w:p>
        </w:tc>
        <w:tc>
          <w:tcPr>
            <w:tcW w:w="14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EC" w14:textId="77777777" w:rsidR="00C1548D" w:rsidRDefault="009B1B4B">
            <w:pPr>
              <w:spacing w:line="250" w:lineRule="auto"/>
            </w:pPr>
            <w:r>
              <w:rPr>
                <w:b/>
                <w:bCs/>
                <w:sz w:val="18"/>
                <w:szCs w:val="18"/>
              </w:rPr>
              <w:t>Arbeitgeber/Kanzlei</w:t>
            </w:r>
          </w:p>
        </w:tc>
        <w:tc>
          <w:tcPr>
            <w:tcW w:w="102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ED" w14:textId="77777777" w:rsidR="00C1548D" w:rsidRDefault="009B1B4B">
            <w:pPr>
              <w:spacing w:line="250" w:lineRule="auto"/>
            </w:pPr>
            <w:r>
              <w:rPr>
                <w:b/>
                <w:bCs/>
                <w:sz w:val="18"/>
                <w:szCs w:val="18"/>
              </w:rPr>
              <w:t>Eigener Anwalt</w:t>
            </w:r>
          </w:p>
        </w:tc>
        <w:tc>
          <w:tcPr>
            <w:tcW w:w="217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3EE" w14:textId="77777777" w:rsidR="00C1548D" w:rsidRDefault="009B1B4B">
            <w:pPr>
              <w:spacing w:line="250" w:lineRule="auto"/>
            </w:pPr>
            <w:r>
              <w:rPr>
                <w:b/>
                <w:bCs/>
                <w:sz w:val="18"/>
                <w:szCs w:val="18"/>
              </w:rPr>
              <w:t>Du</w:t>
            </w:r>
          </w:p>
        </w:tc>
      </w:tr>
      <w:tr w:rsidR="00C1548D" w14:paraId="70A4D3F4" w14:textId="77777777">
        <w:tblPrEx>
          <w:tblCellMar>
            <w:top w:w="0" w:type="dxa"/>
            <w:bottom w:w="0" w:type="dxa"/>
          </w:tblCellMar>
        </w:tblPrEx>
        <w:trPr>
          <w:cantSplit/>
        </w:trPr>
        <w:tc>
          <w:tcPr>
            <w:tcW w:w="18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0" w14:textId="77777777" w:rsidR="00C1548D" w:rsidRDefault="009B1B4B">
            <w:pPr>
              <w:spacing w:line="250" w:lineRule="auto"/>
            </w:pPr>
            <w:r>
              <w:rPr>
                <w:sz w:val="18"/>
                <w:szCs w:val="18"/>
              </w:rPr>
              <w:t>Sponsoring-Zusage, Lohn-Level</w:t>
            </w:r>
          </w:p>
        </w:tc>
        <w:tc>
          <w:tcPr>
            <w:tcW w:w="14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1" w14:textId="77777777" w:rsidR="00C1548D" w:rsidRDefault="009B1B4B">
            <w:pPr>
              <w:spacing w:line="250" w:lineRule="auto"/>
            </w:pPr>
            <w:r>
              <w:rPr>
                <w:sz w:val="18"/>
                <w:szCs w:val="18"/>
              </w:rPr>
              <w:t>entscheidet, meldet</w:t>
            </w:r>
          </w:p>
        </w:tc>
        <w:tc>
          <w:tcPr>
            <w:tcW w:w="10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2" w14:textId="77777777" w:rsidR="00C1548D" w:rsidRDefault="009B1B4B">
            <w:pPr>
              <w:spacing w:line="250" w:lineRule="auto"/>
            </w:pPr>
            <w:r>
              <w:rPr>
                <w:sz w:val="18"/>
                <w:szCs w:val="18"/>
              </w:rPr>
              <w:t>prüft auf Wunsch</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3" w14:textId="77777777" w:rsidR="00C1548D" w:rsidRDefault="009B1B4B">
            <w:pPr>
              <w:spacing w:line="250" w:lineRule="auto"/>
            </w:pPr>
            <w:r>
              <w:rPr>
                <w:sz w:val="18"/>
                <w:szCs w:val="18"/>
              </w:rPr>
              <w:t>Zeugnisse und Lebenslauf liefern</w:t>
            </w:r>
          </w:p>
        </w:tc>
      </w:tr>
      <w:tr w:rsidR="00C1548D" w14:paraId="70A4D3F9" w14:textId="77777777">
        <w:tblPrEx>
          <w:tblCellMar>
            <w:top w:w="0" w:type="dxa"/>
            <w:bottom w:w="0" w:type="dxa"/>
          </w:tblCellMar>
        </w:tblPrEx>
        <w:trPr>
          <w:cantSplit/>
        </w:trPr>
        <w:tc>
          <w:tcPr>
            <w:tcW w:w="18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5" w14:textId="77777777" w:rsidR="00C1548D" w:rsidRDefault="009B1B4B">
            <w:pPr>
              <w:spacing w:line="250" w:lineRule="auto"/>
            </w:pPr>
            <w:r>
              <w:rPr>
                <w:sz w:val="18"/>
                <w:szCs w:val="18"/>
              </w:rPr>
              <w:t>Registrierung, LCA, Petition</w:t>
            </w:r>
          </w:p>
        </w:tc>
        <w:tc>
          <w:tcPr>
            <w:tcW w:w="14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6" w14:textId="77777777" w:rsidR="00C1548D" w:rsidRDefault="009B1B4B">
            <w:pPr>
              <w:spacing w:line="250" w:lineRule="auto"/>
            </w:pPr>
            <w:r>
              <w:rPr>
                <w:sz w:val="18"/>
                <w:szCs w:val="18"/>
              </w:rPr>
              <w:t>reicht ein, zahlt Gebühren</w:t>
            </w:r>
          </w:p>
        </w:tc>
        <w:tc>
          <w:tcPr>
            <w:tcW w:w="10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7" w14:textId="77777777" w:rsidR="00C1548D" w:rsidRDefault="009B1B4B">
            <w:pPr>
              <w:spacing w:line="250" w:lineRule="auto"/>
            </w:pPr>
            <w:r>
              <w:rPr>
                <w:sz w:val="18"/>
                <w:szCs w:val="18"/>
              </w:rPr>
              <w:t>Zweitmeinung möglich</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8" w14:textId="77777777" w:rsidR="00C1548D" w:rsidRDefault="009B1B4B">
            <w:pPr>
              <w:spacing w:line="250" w:lineRule="auto"/>
            </w:pPr>
            <w:r>
              <w:rPr>
                <w:sz w:val="18"/>
                <w:szCs w:val="18"/>
              </w:rPr>
              <w:t>Angaben prüfen, zügig antworten</w:t>
            </w:r>
          </w:p>
        </w:tc>
      </w:tr>
      <w:tr w:rsidR="00C1548D" w14:paraId="70A4D3FE" w14:textId="77777777">
        <w:tblPrEx>
          <w:tblCellMar>
            <w:top w:w="0" w:type="dxa"/>
            <w:bottom w:w="0" w:type="dxa"/>
          </w:tblCellMar>
        </w:tblPrEx>
        <w:trPr>
          <w:cantSplit/>
        </w:trPr>
        <w:tc>
          <w:tcPr>
            <w:tcW w:w="18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A" w14:textId="77777777" w:rsidR="00C1548D" w:rsidRDefault="009B1B4B">
            <w:pPr>
              <w:spacing w:line="250" w:lineRule="auto"/>
            </w:pPr>
            <w:r>
              <w:rPr>
                <w:sz w:val="18"/>
                <w:szCs w:val="18"/>
              </w:rPr>
              <w:t>Nachforderung (RFE)</w:t>
            </w:r>
          </w:p>
        </w:tc>
        <w:tc>
          <w:tcPr>
            <w:tcW w:w="14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B" w14:textId="77777777" w:rsidR="00C1548D" w:rsidRDefault="009B1B4B">
            <w:pPr>
              <w:spacing w:line="250" w:lineRule="auto"/>
            </w:pPr>
            <w:r>
              <w:rPr>
                <w:sz w:val="18"/>
                <w:szCs w:val="18"/>
              </w:rPr>
              <w:t>beauftragt Kanzlei, zahlt</w:t>
            </w:r>
          </w:p>
        </w:tc>
        <w:tc>
          <w:tcPr>
            <w:tcW w:w="10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C" w14:textId="77777777" w:rsidR="00C1548D" w:rsidRDefault="009B1B4B">
            <w:pPr>
              <w:spacing w:line="250" w:lineRule="auto"/>
            </w:pPr>
            <w:r>
              <w:rPr>
                <w:sz w:val="18"/>
                <w:szCs w:val="18"/>
              </w:rPr>
              <w:t>unterstützt, falls beauftragt</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D" w14:textId="77777777" w:rsidR="00C1548D" w:rsidRDefault="009B1B4B">
            <w:pPr>
              <w:spacing w:line="250" w:lineRule="auto"/>
            </w:pPr>
            <w:r>
              <w:rPr>
                <w:sz w:val="18"/>
                <w:szCs w:val="18"/>
              </w:rPr>
              <w:t>Unterlagen binnen Tagen liefern</w:t>
            </w:r>
          </w:p>
        </w:tc>
      </w:tr>
      <w:tr w:rsidR="00C1548D" w14:paraId="70A4D403" w14:textId="77777777">
        <w:tblPrEx>
          <w:tblCellMar>
            <w:top w:w="0" w:type="dxa"/>
            <w:bottom w:w="0" w:type="dxa"/>
          </w:tblCellMar>
        </w:tblPrEx>
        <w:trPr>
          <w:cantSplit/>
        </w:trPr>
        <w:tc>
          <w:tcPr>
            <w:tcW w:w="18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3FF" w14:textId="77777777" w:rsidR="00C1548D" w:rsidRDefault="009B1B4B">
            <w:pPr>
              <w:spacing w:line="250" w:lineRule="auto"/>
            </w:pPr>
            <w:r>
              <w:rPr>
                <w:sz w:val="18"/>
                <w:szCs w:val="18"/>
              </w:rPr>
              <w:t>DS-160, Interviewtermin</w:t>
            </w:r>
          </w:p>
        </w:tc>
        <w:tc>
          <w:tcPr>
            <w:tcW w:w="14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0" w14:textId="77777777" w:rsidR="00C1548D" w:rsidRDefault="009B1B4B">
            <w:pPr>
              <w:spacing w:line="250" w:lineRule="auto"/>
            </w:pPr>
            <w:r>
              <w:rPr>
                <w:sz w:val="18"/>
                <w:szCs w:val="18"/>
              </w:rPr>
              <w:t>erklärt Ablauf, erstattet oft</w:t>
            </w:r>
          </w:p>
        </w:tc>
        <w:tc>
          <w:tcPr>
            <w:tcW w:w="10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1" w14:textId="77777777" w:rsidR="00C1548D" w:rsidRDefault="009B1B4B">
            <w:pPr>
              <w:spacing w:line="250" w:lineRule="auto"/>
            </w:pPr>
            <w:r>
              <w:rPr>
                <w:sz w:val="18"/>
                <w:szCs w:val="18"/>
              </w:rPr>
              <w:t>–</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2" w14:textId="77777777" w:rsidR="00C1548D" w:rsidRDefault="009B1B4B">
            <w:pPr>
              <w:spacing w:line="250" w:lineRule="auto"/>
            </w:pPr>
            <w:r>
              <w:rPr>
                <w:sz w:val="18"/>
                <w:szCs w:val="18"/>
              </w:rPr>
              <w:t>ausfüllen, zahlen, erscheinen</w:t>
            </w:r>
          </w:p>
        </w:tc>
      </w:tr>
      <w:tr w:rsidR="00C1548D" w14:paraId="70A4D408" w14:textId="77777777">
        <w:tblPrEx>
          <w:tblCellMar>
            <w:top w:w="0" w:type="dxa"/>
            <w:bottom w:w="0" w:type="dxa"/>
          </w:tblCellMar>
        </w:tblPrEx>
        <w:trPr>
          <w:cantSplit/>
        </w:trPr>
        <w:tc>
          <w:tcPr>
            <w:tcW w:w="18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4" w14:textId="77777777" w:rsidR="00C1548D" w:rsidRDefault="009B1B4B">
            <w:pPr>
              <w:spacing w:line="250" w:lineRule="auto"/>
            </w:pPr>
            <w:r>
              <w:rPr>
                <w:sz w:val="18"/>
                <w:szCs w:val="18"/>
              </w:rPr>
              <w:t>Wohnung, Arbeitsvertrag kündigen</w:t>
            </w:r>
          </w:p>
        </w:tc>
        <w:tc>
          <w:tcPr>
            <w:tcW w:w="14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5" w14:textId="77777777" w:rsidR="00C1548D" w:rsidRDefault="009B1B4B">
            <w:pPr>
              <w:spacing w:line="250" w:lineRule="auto"/>
            </w:pPr>
            <w:r>
              <w:rPr>
                <w:sz w:val="18"/>
                <w:szCs w:val="18"/>
              </w:rPr>
              <w:t>verhandelt Aufhebungsvertrag</w:t>
            </w:r>
          </w:p>
        </w:tc>
        <w:tc>
          <w:tcPr>
            <w:tcW w:w="10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6" w14:textId="77777777" w:rsidR="00C1548D" w:rsidRDefault="009B1B4B">
            <w:pPr>
              <w:spacing w:line="250" w:lineRule="auto"/>
            </w:pPr>
            <w:r>
              <w:rPr>
                <w:sz w:val="18"/>
                <w:szCs w:val="18"/>
              </w:rPr>
              <w:t>–</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7" w14:textId="77777777" w:rsidR="00C1548D" w:rsidRDefault="009B1B4B">
            <w:pPr>
              <w:spacing w:line="250" w:lineRule="auto"/>
            </w:pPr>
            <w:r>
              <w:rPr>
                <w:sz w:val="18"/>
                <w:szCs w:val="18"/>
              </w:rPr>
              <w:t>kündigt schriftlich, sobald sicher</w:t>
            </w:r>
          </w:p>
        </w:tc>
      </w:tr>
      <w:tr w:rsidR="00C1548D" w14:paraId="70A4D40D" w14:textId="77777777">
        <w:tblPrEx>
          <w:tblCellMar>
            <w:top w:w="0" w:type="dxa"/>
            <w:bottom w:w="0" w:type="dxa"/>
          </w:tblCellMar>
        </w:tblPrEx>
        <w:trPr>
          <w:cantSplit/>
        </w:trPr>
        <w:tc>
          <w:tcPr>
            <w:tcW w:w="18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9" w14:textId="77777777" w:rsidR="00C1548D" w:rsidRDefault="009B1B4B">
            <w:pPr>
              <w:spacing w:line="250" w:lineRule="auto"/>
            </w:pPr>
            <w:r>
              <w:rPr>
                <w:sz w:val="18"/>
                <w:szCs w:val="18"/>
              </w:rPr>
              <w:lastRenderedPageBreak/>
              <w:t>Umzug, Spedition</w:t>
            </w:r>
          </w:p>
        </w:tc>
        <w:tc>
          <w:tcPr>
            <w:tcW w:w="14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A" w14:textId="77777777" w:rsidR="00C1548D" w:rsidRDefault="009B1B4B">
            <w:pPr>
              <w:spacing w:line="250" w:lineRule="auto"/>
            </w:pPr>
            <w:r>
              <w:rPr>
                <w:sz w:val="18"/>
                <w:szCs w:val="18"/>
              </w:rPr>
              <w:t>zahlt oft Pauschale</w:t>
            </w:r>
          </w:p>
        </w:tc>
        <w:tc>
          <w:tcPr>
            <w:tcW w:w="10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B" w14:textId="77777777" w:rsidR="00C1548D" w:rsidRDefault="009B1B4B">
            <w:pPr>
              <w:spacing w:line="250" w:lineRule="auto"/>
            </w:pPr>
            <w:r>
              <w:rPr>
                <w:sz w:val="18"/>
                <w:szCs w:val="18"/>
              </w:rPr>
              <w:t>–</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C" w14:textId="77777777" w:rsidR="00C1548D" w:rsidRDefault="009B1B4B">
            <w:pPr>
              <w:spacing w:line="250" w:lineRule="auto"/>
            </w:pPr>
            <w:r>
              <w:rPr>
                <w:sz w:val="18"/>
                <w:szCs w:val="18"/>
              </w:rPr>
              <w:t>Angebote einholen, buchen, packen</w:t>
            </w:r>
          </w:p>
        </w:tc>
      </w:tr>
      <w:tr w:rsidR="00C1548D" w14:paraId="70A4D412" w14:textId="77777777">
        <w:tblPrEx>
          <w:tblCellMar>
            <w:top w:w="0" w:type="dxa"/>
            <w:bottom w:w="0" w:type="dxa"/>
          </w:tblCellMar>
        </w:tblPrEx>
        <w:trPr>
          <w:cantSplit/>
        </w:trPr>
        <w:tc>
          <w:tcPr>
            <w:tcW w:w="18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E" w14:textId="77777777" w:rsidR="00C1548D" w:rsidRDefault="009B1B4B">
            <w:pPr>
              <w:spacing w:line="250" w:lineRule="auto"/>
            </w:pPr>
            <w:r>
              <w:rPr>
                <w:sz w:val="18"/>
                <w:szCs w:val="18"/>
              </w:rPr>
              <w:t>Dokumente, Apostillen, Vollmachten</w:t>
            </w:r>
          </w:p>
        </w:tc>
        <w:tc>
          <w:tcPr>
            <w:tcW w:w="14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0F" w14:textId="77777777" w:rsidR="00C1548D" w:rsidRDefault="009B1B4B">
            <w:pPr>
              <w:spacing w:line="250" w:lineRule="auto"/>
            </w:pPr>
            <w:r>
              <w:rPr>
                <w:sz w:val="18"/>
                <w:szCs w:val="18"/>
              </w:rPr>
              <w:t>–</w:t>
            </w:r>
          </w:p>
        </w:tc>
        <w:tc>
          <w:tcPr>
            <w:tcW w:w="10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10" w14:textId="77777777" w:rsidR="00C1548D" w:rsidRDefault="009B1B4B">
            <w:pPr>
              <w:spacing w:line="250" w:lineRule="auto"/>
            </w:pPr>
            <w:r>
              <w:rPr>
                <w:sz w:val="18"/>
                <w:szCs w:val="18"/>
              </w:rPr>
              <w:t>–</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11" w14:textId="77777777" w:rsidR="00C1548D" w:rsidRDefault="009B1B4B">
            <w:pPr>
              <w:spacing w:line="250" w:lineRule="auto"/>
            </w:pPr>
            <w:r>
              <w:rPr>
                <w:sz w:val="18"/>
                <w:szCs w:val="18"/>
              </w:rPr>
              <w:t>beschafft, lässt beurkunden, übersetzen</w:t>
            </w:r>
          </w:p>
        </w:tc>
      </w:tr>
      <w:tr w:rsidR="00C1548D" w14:paraId="70A4D417" w14:textId="77777777">
        <w:tblPrEx>
          <w:tblCellMar>
            <w:top w:w="0" w:type="dxa"/>
            <w:bottom w:w="0" w:type="dxa"/>
          </w:tblCellMar>
        </w:tblPrEx>
        <w:trPr>
          <w:cantSplit/>
        </w:trPr>
        <w:tc>
          <w:tcPr>
            <w:tcW w:w="18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13" w14:textId="77777777" w:rsidR="00C1548D" w:rsidRDefault="009B1B4B">
            <w:pPr>
              <w:spacing w:line="250" w:lineRule="auto"/>
            </w:pPr>
            <w:r>
              <w:rPr>
                <w:sz w:val="18"/>
                <w:szCs w:val="18"/>
              </w:rPr>
              <w:t>Krankenversicherung, Rente, Depot</w:t>
            </w:r>
          </w:p>
        </w:tc>
        <w:tc>
          <w:tcPr>
            <w:tcW w:w="14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14" w14:textId="77777777" w:rsidR="00C1548D" w:rsidRDefault="009B1B4B">
            <w:pPr>
              <w:spacing w:line="250" w:lineRule="auto"/>
            </w:pPr>
            <w:r>
              <w:rPr>
                <w:sz w:val="18"/>
                <w:szCs w:val="18"/>
              </w:rPr>
              <w:t>–</w:t>
            </w:r>
          </w:p>
        </w:tc>
        <w:tc>
          <w:tcPr>
            <w:tcW w:w="10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15" w14:textId="77777777" w:rsidR="00C1548D" w:rsidRDefault="009B1B4B">
            <w:pPr>
              <w:spacing w:line="250" w:lineRule="auto"/>
            </w:pPr>
            <w:r>
              <w:rPr>
                <w:sz w:val="18"/>
                <w:szCs w:val="18"/>
              </w:rPr>
              <w:t>–</w:t>
            </w:r>
          </w:p>
        </w:tc>
        <w:tc>
          <w:tcPr>
            <w:tcW w:w="21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16" w14:textId="77777777" w:rsidR="00C1548D" w:rsidRDefault="009B1B4B">
            <w:pPr>
              <w:spacing w:line="250" w:lineRule="auto"/>
            </w:pPr>
            <w:r>
              <w:rPr>
                <w:sz w:val="18"/>
                <w:szCs w:val="18"/>
              </w:rPr>
              <w:t>klärt mit Kasse, DRV, Steuerberater</w:t>
            </w:r>
          </w:p>
        </w:tc>
      </w:tr>
    </w:tbl>
    <w:p w14:paraId="70A4D418"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1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419" w14:textId="77777777" w:rsidR="00C1548D" w:rsidRDefault="009B1B4B">
            <w:pPr>
              <w:keepNext/>
              <w:spacing w:after="70" w:line="240" w:lineRule="auto"/>
            </w:pPr>
            <w:r>
              <w:rPr>
                <w:b/>
                <w:bCs/>
                <w:color w:val="9B2C2C"/>
                <w:spacing w:val="24"/>
                <w:sz w:val="16"/>
                <w:szCs w:val="16"/>
              </w:rPr>
              <w:t>ACHTUNG</w:t>
            </w:r>
          </w:p>
          <w:p w14:paraId="70A4D41A" w14:textId="3C57F9D8" w:rsidR="00C1548D" w:rsidRDefault="009B1B4B">
            <w:pPr>
              <w:spacing w:after="80" w:line="264" w:lineRule="auto"/>
            </w:pPr>
            <w:r>
              <w:rPr>
                <w:sz w:val="20"/>
                <w:szCs w:val="20"/>
              </w:rPr>
              <w:t>Ein 221(g)-Vermerk beim Interview oder eine Nachforderung mit nur 30 Tagen Frist (Kapitel </w:t>
            </w:r>
            <w:hyperlink w:anchor="k11" w:history="1">
              <w:r>
                <w:rPr>
                  <w:sz w:val="20"/>
                  <w:szCs w:val="20"/>
                </w:rPr>
                <w:t>11</w:t>
              </w:r>
            </w:hyperlink>
            <w:r>
              <w:rPr>
                <w:sz w:val="20"/>
                <w:szCs w:val="20"/>
              </w:rPr>
              <w:t>) verschiebt den ganzen Plan um Wochen. Lege deshalb schon bei der Wohnungskündigung und der Buchung der Spedition einen Puffer von zwei bis vier Wochen ein, statt exakt auf den Abflugtermin hin zu planen.</w:t>
            </w:r>
          </w:p>
        </w:tc>
      </w:tr>
    </w:tbl>
    <w:p w14:paraId="70A4D41C" w14:textId="77777777" w:rsidR="00C1548D" w:rsidRDefault="00C1548D">
      <w:pPr>
        <w:spacing w:line="220" w:lineRule="exact"/>
      </w:pPr>
    </w:p>
    <w:p w14:paraId="70A4D41D" w14:textId="77777777" w:rsidR="00C1548D" w:rsidRDefault="009B1B4B">
      <w:pPr>
        <w:pStyle w:val="Heading3"/>
        <w:keepNext/>
        <w:jc w:val="center"/>
      </w:pPr>
      <w:r>
        <w:rPr>
          <w:rFonts w:ascii="Amazon Ember" w:eastAsia="Amazon Ember" w:hAnsi="Amazon Ember" w:cs="Amazon Ember"/>
          <w:color w:val="0000FF"/>
          <w:sz w:val="36"/>
          <w:szCs w:val="36"/>
        </w:rPr>
        <w:t>Andere Wege: schneller oder anders getaktet</w:t>
      </w:r>
    </w:p>
    <w:p w14:paraId="70A4D41E" w14:textId="7E616EC7" w:rsidR="00C1548D" w:rsidRDefault="009B1B4B">
      <w:pPr>
        <w:spacing w:after="140"/>
      </w:pPr>
      <w:r>
        <w:t>Die Beispielzeitleiste von Familie Brandt gilt für den häufigsten, aber auch unberechenbarsten Weg: die H-1B-Lotterie. Andere Wege takten anders, und wer eine Wahl hat, plant damit deutlich entspannter. Eine konzerninterne Versetzung mit L-1 kennt keine Lotterie und kein festes Startfenster; von der Petition bis zum Visum vergehen mit Premium Processing oft nur wenige Monate, und du bestimmst den Starttermin weitgehend selbst (Kapitel </w:t>
      </w:r>
      <w:hyperlink w:anchor="k9" w:history="1">
        <w:r>
          <w:t>9</w:t>
        </w:r>
      </w:hyperlink>
      <w:r>
        <w:t>) – ein Luxus, von dem Lotterie-Kandidaten nur träumen können. Wer mit E-2 als Investor geht, braucht keine Petition bei USCIS, dafür eine solide Geschäftsplanung, die selbst Monate dauert (Kapitel </w:t>
      </w:r>
      <w:hyperlink w:anchor="k9" w:history="1">
        <w:r>
          <w:t>9</w:t>
        </w:r>
      </w:hyperlink>
      <w:r>
        <w:t>). Der Studienweg über F-1, OPT und den späteren Wechsel zu H-1B erstreckt sich über Jahre und hat seinen eigenen Kalender aus Semestern, OPT-Fristen und einer eigenen Lotterie-Runde (Kapitel </w:t>
      </w:r>
      <w:hyperlink w:anchor="k8" w:history="1">
        <w:r>
          <w:t>8</w:t>
        </w:r>
      </w:hyperlink>
      <w:r>
        <w:t xml:space="preserve">). Bei der Green Card über den Arbeitgeber bestimmen Bearbeitungszeit und Wartelisten nach Herkunftsland den </w:t>
      </w:r>
      <w:r>
        <w:lastRenderedPageBreak/>
        <w:t>Rhythmus, oft mehrere Jahre (Kapitel </w:t>
      </w:r>
      <w:hyperlink w:anchor="k6" w:history="1">
        <w:r>
          <w:t>6</w:t>
        </w:r>
      </w:hyperlink>
      <w:r>
        <w:t>). Der kritische Pfad selbst, Visum vor Wohnungskündigung vor Verschiffung, bleibt in jedem Fall gleich; nur die Monate, die du dafür einplanst, verschieben sich, und mit ihnen die Reihenfolge, in der du Kapitel </w:t>
      </w:r>
      <w:hyperlink w:anchor="k16" w:history="1">
        <w:r>
          <w:t>16</w:t>
        </w:r>
      </w:hyperlink>
      <w:r>
        <w:t xml:space="preserve"> bis </w:t>
      </w:r>
      <w:hyperlink w:anchor="k20" w:history="1">
        <w:r>
          <w:t>20</w:t>
        </w:r>
      </w:hyperlink>
      <w:r>
        <w:t xml:space="preserve"> abarbeitest.</w:t>
      </w:r>
    </w:p>
    <w:p w14:paraId="70A4D41F" w14:textId="77777777" w:rsidR="00C1548D" w:rsidRDefault="009B1B4B">
      <w:pPr>
        <w:pStyle w:val="Heading3"/>
        <w:keepNext/>
        <w:jc w:val="center"/>
      </w:pPr>
      <w:r>
        <w:rPr>
          <w:rFonts w:ascii="Amazon Ember" w:eastAsia="Amazon Ember" w:hAnsi="Amazon Ember" w:cs="Amazon Ember"/>
          <w:color w:val="0000FF"/>
          <w:sz w:val="36"/>
          <w:szCs w:val="36"/>
        </w:rPr>
        <w:t>Schuljahreswechsel mitdenken</w:t>
      </w:r>
    </w:p>
    <w:p w14:paraId="70A4D420" w14:textId="0EE309A5" w:rsidR="00C1548D" w:rsidRDefault="009B1B4B">
      <w:pPr>
        <w:spacing w:after="140"/>
      </w:pPr>
      <w:r>
        <w:t>Das amerikanische Schuljahr beginnt je nach Bundesstaat und Schuldistrikt meist Mitte oder Ende August, selten später als Anfang September (Kapitel </w:t>
      </w:r>
      <w:hyperlink w:anchor="k36" w:history="1">
        <w:r>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w:t>
      </w:r>
      <w:r>
        <w:t>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w14:paraId="70A4D421" w14:textId="77777777" w:rsidR="00C1548D" w:rsidRDefault="009B1B4B">
      <w:pPr>
        <w:pStyle w:val="Heading3"/>
        <w:keepNext/>
        <w:jc w:val="center"/>
      </w:pPr>
      <w:r>
        <w:rPr>
          <w:rFonts w:ascii="Amazon Ember" w:eastAsia="Amazon Ember" w:hAnsi="Amazon Ember" w:cs="Amazon Ember"/>
          <w:color w:val="0000FF"/>
          <w:sz w:val="36"/>
          <w:szCs w:val="36"/>
        </w:rPr>
        <w:t>Abschied nehmen und lose Enden schließen</w:t>
      </w:r>
    </w:p>
    <w:p w14:paraId="70A4D422" w14:textId="56DB171C" w:rsidR="00C1548D" w:rsidRDefault="009B1B4B">
      <w:pPr>
        <w:spacing w:after="140"/>
      </w:pPr>
      <w:r>
        <w:t>Der Masterplan ist eine Liste von Fristen, aber die letzten Wochen sind auch die letzten Wochen mit Menschen, Wohnung und Stadt, die du lange nicht wiedersiehst. Plane bewusst Zeit für Abschiedsbesuche bei Familie, Freunden und wichtigen Arztterminen ein, statt sie zwischen Kündigungen und Packkartons verschwinden zu lassen; Heimweh und Abschiedsschmerz sind normal und kein Zeichen einer falschen Entscheidung (Kapitel </w:t>
      </w:r>
      <w:hyperlink w:anchor="k33" w:history="1">
        <w:r>
          <w:t>33</w:t>
        </w:r>
      </w:hyperlink>
      <w:r>
        <w:t xml:space="preserve">). </w:t>
      </w:r>
      <w:r>
        <w:lastRenderedPageBreak/>
        <w:t>Parallel dazu läuft ein praktischer Nachlass in Deutschland: Möbel und Hausrat, die nicht mit dem Container reisen, verkaufst, verschenkst oder spendest du (Kapitel </w:t>
      </w:r>
      <w:hyperlink w:anchor="k21" w:history="1">
        <w:r>
          <w:t>21</w:t>
        </w:r>
      </w:hyperlink>
      <w:r>
        <w:t>), Vorsorgevollmacht, Patientenverfügung und Betreuungsverfügung stehen beim Notar (Kapitel </w:t>
      </w:r>
      <w:hyperlink w:anchor="k16" w:history="1">
        <w:r>
          <w:t>16</w:t>
        </w:r>
      </w:hyperlink>
      <w:r>
        <w:t>), und wer Immobilien, Unternehmensanteile oder ein Testament zu regeln hat, klärt das mit Steuerberater und Notar, bevor der Wohnsitz wechselt (Kapitel </w:t>
      </w:r>
      <w:hyperlink w:anchor="k17" w:history="1">
        <w:r>
          <w:t>17</w:t>
        </w:r>
      </w:hyperlink>
      <w:r>
        <w:t xml:space="preserve">, </w:t>
      </w:r>
      <w:hyperlink w:anchor="k39" w:history="1">
        <w:r>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w14:paraId="70A4D423"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426"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424"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425" w14:textId="77777777" w:rsidR="00C1548D" w:rsidRDefault="009B1B4B">
            <w:pPr>
              <w:spacing w:line="250" w:lineRule="auto"/>
            </w:pPr>
            <w:r>
              <w:rPr>
                <w:b/>
                <w:bCs/>
                <w:sz w:val="18"/>
                <w:szCs w:val="18"/>
              </w:rPr>
              <w:t>Minus</w:t>
            </w:r>
          </w:p>
        </w:tc>
      </w:tr>
      <w:tr w:rsidR="00C1548D" w14:paraId="70A4D42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27" w14:textId="77777777" w:rsidR="00C1548D" w:rsidRDefault="009B1B4B">
            <w:pPr>
              <w:spacing w:line="250" w:lineRule="auto"/>
            </w:pPr>
            <w:r>
              <w:rPr>
                <w:sz w:val="18"/>
                <w:szCs w:val="18"/>
              </w:rPr>
              <w:t>Wer rückwärts vom Abflug plant, erkennt Engpässe Monate im Voraus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28" w14:textId="77777777" w:rsidR="00C1548D" w:rsidRDefault="009B1B4B">
            <w:pPr>
              <w:spacing w:line="250" w:lineRule="auto"/>
            </w:pPr>
            <w:r>
              <w:rPr>
                <w:sz w:val="18"/>
                <w:szCs w:val="18"/>
              </w:rPr>
              <w:t>Der Lotterieweg lässt sich kaum beschleunigen, selbst mit perfektem Plan</w:t>
            </w:r>
          </w:p>
        </w:tc>
      </w:tr>
      <w:tr w:rsidR="00C1548D" w14:paraId="70A4D42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2A" w14:textId="77777777" w:rsidR="00C1548D" w:rsidRDefault="009B1B4B">
            <w:pPr>
              <w:spacing w:line="250" w:lineRule="auto"/>
            </w:pPr>
            <w:r>
              <w:rPr>
                <w:sz w:val="18"/>
                <w:szCs w:val="18"/>
              </w:rPr>
              <w:t>Dokumente und Bewertungen lassen sich schon vor der Genehmigung vorbereiten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2B" w14:textId="77777777" w:rsidR="00C1548D" w:rsidRDefault="009B1B4B">
            <w:pPr>
              <w:spacing w:line="250" w:lineRule="auto"/>
            </w:pPr>
            <w:r>
              <w:rPr>
                <w:sz w:val="18"/>
                <w:szCs w:val="18"/>
              </w:rPr>
              <w:t>Wer zu früh kündigt, trägt ein Restrisiko, falls sich das Visum verzögert</w:t>
            </w:r>
          </w:p>
        </w:tc>
      </w:tr>
      <w:tr w:rsidR="00C1548D" w14:paraId="70A4D42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2D" w14:textId="77777777" w:rsidR="00C1548D" w:rsidRDefault="009B1B4B">
            <w:pPr>
              <w:spacing w:line="250" w:lineRule="auto"/>
            </w:pPr>
            <w:r>
              <w:rPr>
                <w:sz w:val="18"/>
                <w:szCs w:val="18"/>
              </w:rPr>
              <w:t>Ein fester Fahrplan macht Doppelmiete und Leerstand seltener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2E" w14:textId="77777777" w:rsidR="00C1548D" w:rsidRDefault="009B1B4B">
            <w:pPr>
              <w:spacing w:line="250" w:lineRule="auto"/>
            </w:pPr>
            <w:r>
              <w:rPr>
                <w:sz w:val="18"/>
                <w:szCs w:val="18"/>
              </w:rPr>
              <w:t>Ein 221(g)-Vermerk oder eine Nachforderung verschiebt den ganzen Plan um Wochen</w:t>
            </w:r>
          </w:p>
        </w:tc>
      </w:tr>
      <w:tr w:rsidR="00C1548D" w14:paraId="70A4D43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30" w14:textId="77777777" w:rsidR="00C1548D" w:rsidRDefault="009B1B4B">
            <w:pPr>
              <w:spacing w:line="250" w:lineRule="auto"/>
            </w:pPr>
            <w:r>
              <w:rPr>
                <w:sz w:val="18"/>
                <w:szCs w:val="18"/>
              </w:rPr>
              <w:t>Klare Zuständigkeiten zwischen Arbeitgeber, Anwalt und dir vermeiden doppelte Arbeit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31" w14:textId="77777777" w:rsidR="00C1548D" w:rsidRDefault="009B1B4B">
            <w:pPr>
              <w:spacing w:line="250" w:lineRule="auto"/>
            </w:pPr>
            <w:r>
              <w:rPr>
                <w:sz w:val="18"/>
                <w:szCs w:val="18"/>
              </w:rPr>
              <w:t>Zu viele Abhängigkeiten in einer Woche erhöhen den Stress spürbar</w:t>
            </w:r>
          </w:p>
        </w:tc>
      </w:tr>
      <w:tr w:rsidR="00C1548D" w14:paraId="70A4D43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33" w14:textId="77777777" w:rsidR="00C1548D" w:rsidRDefault="009B1B4B">
            <w:pPr>
              <w:spacing w:line="250" w:lineRule="auto"/>
            </w:pPr>
            <w:r>
              <w:rPr>
                <w:sz w:val="18"/>
                <w:szCs w:val="18"/>
              </w:rPr>
              <w:t>Ein realistischer Puffer federt Verzögerungen ab</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34" w14:textId="77777777" w:rsidR="00C1548D" w:rsidRDefault="009B1B4B">
            <w:pPr>
              <w:spacing w:line="250" w:lineRule="auto"/>
            </w:pPr>
            <w:r>
              <w:rPr>
                <w:sz w:val="18"/>
                <w:szCs w:val="18"/>
              </w:rPr>
              <w:t>Ein zu großer Puffer verlängert die Zeit der Unsicherheit unnötig</w:t>
            </w:r>
          </w:p>
        </w:tc>
      </w:tr>
    </w:tbl>
    <w:p w14:paraId="70A4D436" w14:textId="77777777" w:rsidR="00C1548D" w:rsidRDefault="00C1548D">
      <w:pPr>
        <w:spacing w:line="180" w:lineRule="exact"/>
      </w:pPr>
    </w:p>
    <w:p w14:paraId="70A4D437"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438" w14:textId="2547CB9B" w:rsidR="00C1548D" w:rsidRDefault="009B1B4B">
      <w:pPr>
        <w:spacing w:after="140"/>
      </w:pPr>
      <w:r>
        <w:t>Die einzelnen Fristen stehen ausführlich in Kapitel </w:t>
      </w:r>
      <w:hyperlink w:anchor="k11" w:history="1">
        <w:r>
          <w:t>11</w:t>
        </w:r>
      </w:hyperlink>
      <w:r>
        <w:t xml:space="preserve"> und </w:t>
      </w:r>
      <w:hyperlink w:anchor="k16" w:history="1">
        <w:r>
          <w:t>16</w:t>
        </w:r>
      </w:hyperlink>
      <w:r>
        <w:t xml:space="preserve"> bis </w:t>
      </w:r>
      <w:hyperlink w:anchor="k20" w:history="1">
        <w:r>
          <w:t>20</w:t>
        </w:r>
      </w:hyperlink>
      <w:r>
        <w:t>; hier geht es nur noch darum, sie in die richtige Reihenfolge zu bringen.</w:t>
      </w:r>
    </w:p>
    <w:p w14:paraId="70A4D439" w14:textId="59BA6315" w:rsidR="00C1548D" w:rsidRDefault="009B1B4B" w:rsidP="009B1B4B">
      <w:pPr>
        <w:pStyle w:val="ListParagraph"/>
        <w:numPr>
          <w:ilvl w:val="0"/>
          <w:numId w:val="21"/>
        </w:numPr>
        <w:spacing w:after="60"/>
      </w:pPr>
      <w:r>
        <w:lastRenderedPageBreak/>
        <w:t>Trage den Abflugtermin oder das wahrscheinlichste Zeitfenster als Fixpunkt ein und rechne die Fristen aus Kapitel </w:t>
      </w:r>
      <w:hyperlink w:anchor="k16" w:history="1">
        <w:r>
          <w:t>16</w:t>
        </w:r>
      </w:hyperlink>
      <w:r>
        <w:t xml:space="preserve"> bis </w:t>
      </w:r>
      <w:hyperlink w:anchor="k20" w:history="1">
        <w:r>
          <w:t>20</w:t>
        </w:r>
      </w:hyperlink>
      <w:r>
        <w:t xml:space="preserve"> rückwärts.</w:t>
      </w:r>
    </w:p>
    <w:p w14:paraId="70A4D43A" w14:textId="77777777" w:rsidR="00C1548D" w:rsidRDefault="009B1B4B" w:rsidP="009B1B4B">
      <w:pPr>
        <w:pStyle w:val="ListParagraph"/>
        <w:numPr>
          <w:ilvl w:val="0"/>
          <w:numId w:val="21"/>
        </w:numPr>
        <w:spacing w:after="60"/>
      </w:pPr>
      <w:r>
        <w:t>Kläre mit Arbeitgeber und Kanzlei, wann Registrierung, Petition und Interviewtermin realistisch liegen, und plane deinen Puffer entsprechend.</w:t>
      </w:r>
    </w:p>
    <w:p w14:paraId="70A4D43B" w14:textId="77777777" w:rsidR="00C1548D" w:rsidRDefault="009B1B4B" w:rsidP="009B1B4B">
      <w:pPr>
        <w:pStyle w:val="ListParagraph"/>
        <w:numPr>
          <w:ilvl w:val="0"/>
          <w:numId w:val="21"/>
        </w:numPr>
        <w:spacing w:after="60"/>
      </w:pPr>
      <w:r>
        <w:t>Trage die drei kritischen Schritte, Visum, Wohnungskündigung und Verschiffung, als feste Reihenfolge in deinen Kalender ein, nicht als lose Liste.</w:t>
      </w:r>
    </w:p>
    <w:p w14:paraId="70A4D43C"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48"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43D" w14:textId="77777777" w:rsidR="00C1548D" w:rsidRDefault="009B1B4B">
            <w:pPr>
              <w:keepNext/>
              <w:spacing w:after="70" w:line="240" w:lineRule="auto"/>
            </w:pPr>
            <w:r>
              <w:rPr>
                <w:b/>
                <w:bCs/>
                <w:color w:val="1F6F78"/>
                <w:spacing w:val="24"/>
                <w:sz w:val="16"/>
                <w:szCs w:val="16"/>
              </w:rPr>
              <w:t>CHECKLISTE</w:t>
            </w:r>
          </w:p>
          <w:p w14:paraId="70A4D43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Abflugtermin oder realistisches Zeitfenster festgelegt und als Fixpunkt im Kalender markiert</w:t>
            </w:r>
          </w:p>
          <w:p w14:paraId="70A4D43F" w14:textId="440B0C2D"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Zeitleiste T–18 bis T–0 mit den Fristen aus Kapitel </w:t>
            </w:r>
            <w:hyperlink w:anchor="k11" w:history="1">
              <w:r>
                <w:rPr>
                  <w:sz w:val="20"/>
                  <w:szCs w:val="20"/>
                </w:rPr>
                <w:t>11</w:t>
              </w:r>
            </w:hyperlink>
            <w:r>
              <w:rPr>
                <w:sz w:val="20"/>
                <w:szCs w:val="20"/>
              </w:rPr>
              <w:t xml:space="preserve">, </w:t>
            </w:r>
            <w:hyperlink w:anchor="k16" w:history="1">
              <w:r>
                <w:rPr>
                  <w:sz w:val="20"/>
                  <w:szCs w:val="20"/>
                </w:rPr>
                <w:t>16</w:t>
              </w:r>
            </w:hyperlink>
            <w:r>
              <w:rPr>
                <w:sz w:val="20"/>
                <w:szCs w:val="20"/>
              </w:rPr>
              <w:t xml:space="preserve">, </w:t>
            </w:r>
            <w:hyperlink w:anchor="k17" w:history="1">
              <w:r>
                <w:rPr>
                  <w:sz w:val="20"/>
                  <w:szCs w:val="20"/>
                </w:rPr>
                <w:t>17</w:t>
              </w:r>
            </w:hyperlink>
            <w:r>
              <w:rPr>
                <w:sz w:val="20"/>
                <w:szCs w:val="20"/>
              </w:rPr>
              <w:t xml:space="preserve">, </w:t>
            </w:r>
            <w:hyperlink w:anchor="k18" w:history="1">
              <w:r>
                <w:rPr>
                  <w:sz w:val="20"/>
                  <w:szCs w:val="20"/>
                </w:rPr>
                <w:t>18</w:t>
              </w:r>
            </w:hyperlink>
            <w:r>
              <w:rPr>
                <w:sz w:val="20"/>
                <w:szCs w:val="20"/>
              </w:rPr>
              <w:t xml:space="preserve">, </w:t>
            </w:r>
            <w:hyperlink w:anchor="k19" w:history="1">
              <w:r>
                <w:rPr>
                  <w:sz w:val="20"/>
                  <w:szCs w:val="20"/>
                </w:rPr>
                <w:t>19</w:t>
              </w:r>
            </w:hyperlink>
            <w:r>
              <w:rPr>
                <w:sz w:val="20"/>
                <w:szCs w:val="20"/>
              </w:rPr>
              <w:t xml:space="preserve"> und </w:t>
            </w:r>
            <w:hyperlink w:anchor="k20" w:history="1">
              <w:r>
                <w:rPr>
                  <w:sz w:val="20"/>
                  <w:szCs w:val="20"/>
                </w:rPr>
                <w:t>20</w:t>
              </w:r>
            </w:hyperlink>
            <w:r>
              <w:rPr>
                <w:sz w:val="20"/>
                <w:szCs w:val="20"/>
              </w:rPr>
              <w:t xml:space="preserve"> abgeglichen</w:t>
            </w:r>
          </w:p>
          <w:p w14:paraId="70A4D44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Zeugnisbewertung vor der März-Registrierung beauftragt</w:t>
            </w:r>
          </w:p>
          <w:p w14:paraId="70A4D44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Wohnung erst gekündigt, sobald Genehmigung und Interviewtermin feststehen; Kündigungsfrist rückwärts gerechnet</w:t>
            </w:r>
          </w:p>
          <w:p w14:paraId="70A4D44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Arbeitsvertrag gekündigt oder Aufhebungsvertrag verhandelt, erst nach gesichertem Visum</w:t>
            </w:r>
          </w:p>
          <w:p w14:paraId="70A4D44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Spedition mit mehreren Festpreisangeboten verglichen und verbindlich gebucht, sobald das Visum im Pass ist</w:t>
            </w:r>
          </w:p>
          <w:p w14:paraId="70A4D44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Krankenversicherung, Anwartschaft und Rentenversicherung rechtzeitig vor dem Abflug angestoßen</w:t>
            </w:r>
          </w:p>
          <w:p w14:paraId="70A4D44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Schuldistrikt informiert und Schuljahreswechsel eingeplant, falls Kinder mitziehen</w:t>
            </w:r>
          </w:p>
          <w:p w14:paraId="70A4D44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Abschiedsbesuche und der Nachlass nicht mitgenommener Gegenstände eingeplant</w:t>
            </w:r>
          </w:p>
          <w:p w14:paraId="70A4D44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Puffer für Verzögerungen wie 221(g) oder Nachforderungen im Zeitplan berücksichtigt</w:t>
            </w:r>
          </w:p>
        </w:tc>
      </w:tr>
    </w:tbl>
    <w:p w14:paraId="70A4D449" w14:textId="77777777" w:rsidR="00C1548D" w:rsidRDefault="00C1548D">
      <w:pPr>
        <w:spacing w:line="220" w:lineRule="exact"/>
      </w:pPr>
    </w:p>
    <w:p w14:paraId="70A4D44A"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44B" w14:textId="5FCC83D1" w:rsidR="00C1548D" w:rsidRDefault="009B1B4B" w:rsidP="009B1B4B">
      <w:pPr>
        <w:pStyle w:val="ListParagraph"/>
        <w:numPr>
          <w:ilvl w:val="0"/>
          <w:numId w:val="1"/>
        </w:numPr>
        <w:spacing w:after="60"/>
      </w:pPr>
      <w:r>
        <w:t xml:space="preserve">USCIS — Bearbeitungszeiten: </w:t>
      </w:r>
      <w:hyperlink r:id="rId133" w:history="1">
        <w:r>
          <w:rPr>
            <w:color w:val="0563C1"/>
            <w:u w:val="single"/>
          </w:rPr>
          <w:t>uscis.gov/processing-times</w:t>
        </w:r>
      </w:hyperlink>
    </w:p>
    <w:p w14:paraId="70A4D44C" w14:textId="7EAFF385" w:rsidR="00C1548D" w:rsidRDefault="009B1B4B" w:rsidP="009B1B4B">
      <w:pPr>
        <w:pStyle w:val="ListParagraph"/>
        <w:numPr>
          <w:ilvl w:val="0"/>
          <w:numId w:val="1"/>
        </w:numPr>
        <w:spacing w:after="60"/>
      </w:pPr>
      <w:r>
        <w:lastRenderedPageBreak/>
        <w:t xml:space="preserve">USCIS — H-1B-Registrierung und Fristen: </w:t>
      </w:r>
      <w:hyperlink r:id="rId134" w:history="1">
        <w:r>
          <w:rPr>
            <w:color w:val="0563C1"/>
            <w:u w:val="single"/>
          </w:rPr>
          <w:t>uscis.gov/working-in-the-united-states/h-1b-specialty-occupations</w:t>
        </w:r>
      </w:hyperlink>
    </w:p>
    <w:p w14:paraId="70A4D44D" w14:textId="0509404B" w:rsidR="00C1548D" w:rsidRDefault="009B1B4B" w:rsidP="009B1B4B">
      <w:pPr>
        <w:pStyle w:val="ListParagraph"/>
        <w:numPr>
          <w:ilvl w:val="0"/>
          <w:numId w:val="1"/>
        </w:numPr>
        <w:spacing w:after="60"/>
      </w:pPr>
      <w:r>
        <w:t xml:space="preserve">US-Außenministerium — Terminwartezeiten der Konsulate: </w:t>
      </w:r>
      <w:hyperlink r:id="rId135" w:history="1">
        <w:r>
          <w:rPr>
            <w:color w:val="0563C1"/>
            <w:u w:val="single"/>
          </w:rPr>
          <w:t>travel.state.gov</w:t>
        </w:r>
      </w:hyperlink>
    </w:p>
    <w:p w14:paraId="70A4D44E" w14:textId="06437A4F" w:rsidR="00C1548D" w:rsidRDefault="009B1B4B" w:rsidP="009B1B4B">
      <w:pPr>
        <w:pStyle w:val="ListParagraph"/>
        <w:numPr>
          <w:ilvl w:val="0"/>
          <w:numId w:val="1"/>
        </w:numPr>
        <w:spacing w:after="60"/>
      </w:pPr>
      <w:r>
        <w:t xml:space="preserve">Gesetze im Internet — BGB § 573c, Kündigungsfrist Wohnraum: </w:t>
      </w:r>
      <w:hyperlink r:id="rId136" w:history="1">
        <w:r>
          <w:rPr>
            <w:color w:val="0563C1"/>
            <w:u w:val="single"/>
          </w:rPr>
          <w:t>gesetze-im-internet.de</w:t>
        </w:r>
      </w:hyperlink>
    </w:p>
    <w:p w14:paraId="70A4D44F" w14:textId="5A0D95F1" w:rsidR="00C1548D" w:rsidRDefault="009B1B4B" w:rsidP="009B1B4B">
      <w:pPr>
        <w:pStyle w:val="ListParagraph"/>
        <w:numPr>
          <w:ilvl w:val="0"/>
          <w:numId w:val="1"/>
        </w:numPr>
        <w:spacing w:after="60"/>
      </w:pPr>
      <w:r>
        <w:t xml:space="preserve">Deutsche Rentenversicherung — Beratung vor dem Umzug: </w:t>
      </w:r>
      <w:hyperlink r:id="rId137" w:history="1">
        <w:r>
          <w:rPr>
            <w:color w:val="0563C1"/>
            <w:u w:val="single"/>
          </w:rPr>
          <w:t>deutsche-rentenversicherung.de</w:t>
        </w:r>
      </w:hyperlink>
    </w:p>
    <w:p w14:paraId="70A4D450"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53"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451" w14:textId="77777777" w:rsidR="00C1548D" w:rsidRDefault="009B1B4B">
            <w:pPr>
              <w:keepNext/>
              <w:spacing w:after="70" w:line="240" w:lineRule="auto"/>
            </w:pPr>
            <w:r>
              <w:rPr>
                <w:b/>
                <w:bCs/>
                <w:color w:val="6B7280"/>
                <w:spacing w:val="24"/>
                <w:sz w:val="16"/>
                <w:szCs w:val="16"/>
              </w:rPr>
              <w:t>STAND</w:t>
            </w:r>
          </w:p>
          <w:p w14:paraId="70A4D452" w14:textId="0257DF7D" w:rsidR="00C1548D" w:rsidRDefault="009B1B4B">
            <w:pPr>
              <w:spacing w:after="80" w:line="264" w:lineRule="auto"/>
            </w:pPr>
            <w:r>
              <w:rPr>
                <w:sz w:val="20"/>
                <w:szCs w:val="20"/>
              </w:rPr>
              <w:t>September 2026. Diese Zeitleiste ist ein Beispielfahrplan für den H-1B-Lotterieweg von Familie Brandt (fiktiv); Registrierungsfenster, Bearbeitungszeiten und Terminwartezeiten der Konsulate ändern sich jährlich und stehen aktuell in Kapitel </w:t>
            </w:r>
            <w:hyperlink w:anchor="k11" w:history="1">
              <w:r>
                <w:rPr>
                  <w:sz w:val="20"/>
                  <w:szCs w:val="20"/>
                </w:rPr>
                <w:t>11</w:t>
              </w:r>
            </w:hyperlink>
            <w:r>
              <w:rPr>
                <w:sz w:val="20"/>
                <w:szCs w:val="20"/>
              </w:rPr>
              <w:t>. Bei anderen Visumswegen verschieben sich die Monate, der kritische Pfad aus Visum, Wohnungskündigung und Verschiffung bleibt gleich. Prüfe vor jeder Kündigung und Buchung die aktuellen Fristen in Kapitel </w:t>
            </w:r>
            <w:hyperlink w:anchor="k16" w:history="1">
              <w:r>
                <w:rPr>
                  <w:sz w:val="20"/>
                  <w:szCs w:val="20"/>
                </w:rPr>
                <w:t>16</w:t>
              </w:r>
            </w:hyperlink>
            <w:r>
              <w:rPr>
                <w:sz w:val="20"/>
                <w:szCs w:val="20"/>
              </w:rPr>
              <w:t xml:space="preserve"> bis </w:t>
            </w:r>
            <w:hyperlink w:anchor="k20" w:history="1">
              <w:r>
                <w:rPr>
                  <w:sz w:val="20"/>
                  <w:szCs w:val="20"/>
                </w:rPr>
                <w:t>20</w:t>
              </w:r>
            </w:hyperlink>
            <w:r>
              <w:rPr>
                <w:sz w:val="20"/>
                <w:szCs w:val="20"/>
              </w:rPr>
              <w:t>.</w:t>
            </w:r>
          </w:p>
        </w:tc>
      </w:tr>
    </w:tbl>
    <w:p w14:paraId="70A4D454" w14:textId="77777777" w:rsidR="00C1548D" w:rsidRDefault="00C1548D">
      <w:pPr>
        <w:spacing w:line="220" w:lineRule="exact"/>
      </w:pPr>
    </w:p>
    <w:p w14:paraId="70A4D455" w14:textId="77777777" w:rsidR="00C1548D" w:rsidRDefault="009B1B4B">
      <w:pPr>
        <w:pStyle w:val="Heading2"/>
        <w:keepNext/>
        <w:pageBreakBefore/>
        <w:jc w:val="center"/>
      </w:pPr>
      <w:bookmarkStart w:id="41" w:name="k16"/>
      <w:bookmarkStart w:id="42" w:name="_Toc241352468"/>
      <w:r>
        <w:rPr>
          <w:rFonts w:ascii="Amazon Ember" w:eastAsia="Amazon Ember" w:hAnsi="Amazon Ember" w:cs="Amazon Ember"/>
          <w:color w:val="0000FF"/>
          <w:sz w:val="36"/>
          <w:szCs w:val="36"/>
        </w:rPr>
        <w:lastRenderedPageBreak/>
        <w:t>Kapitel 16: Behörden, Verträge, Versicherungen abwickeln</w:t>
      </w:r>
      <w:bookmarkEnd w:id="41"/>
      <w:bookmarkEnd w:id="42"/>
    </w:p>
    <w:p w14:paraId="70A4D456" w14:textId="77777777" w:rsidR="00C1548D" w:rsidRDefault="009B1B4B">
      <w:pPr>
        <w:spacing w:after="140"/>
      </w:pPr>
      <w:r>
        <w:t>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Verträge laufen weiter, bis du sie beendest, und Vertragspartner erfahren vom Wegzug nur, wenn du es ihnen schreibst. Dieses Kapitel zeigt, was du wann kündigst, was du bewusst behältst und wie du dabei nichts Wichtiges verl</w:t>
      </w:r>
      <w:r>
        <w:t>ierst.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5D"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457" w14:textId="77777777" w:rsidR="00C1548D" w:rsidRDefault="009B1B4B">
            <w:pPr>
              <w:keepNext/>
              <w:spacing w:after="70" w:line="240" w:lineRule="auto"/>
            </w:pPr>
            <w:r>
              <w:rPr>
                <w:b/>
                <w:bCs/>
                <w:color w:val="1F3A5F"/>
                <w:spacing w:val="24"/>
                <w:sz w:val="16"/>
                <w:szCs w:val="16"/>
              </w:rPr>
              <w:t>KURZ GESAGT</w:t>
            </w:r>
          </w:p>
          <w:p w14:paraId="70A4D458" w14:textId="77777777" w:rsidR="00C1548D" w:rsidRDefault="009B1B4B" w:rsidP="009B1B4B">
            <w:pPr>
              <w:pStyle w:val="ListParagraph"/>
              <w:numPr>
                <w:ilvl w:val="0"/>
                <w:numId w:val="1"/>
              </w:numPr>
              <w:spacing w:after="50" w:line="264" w:lineRule="auto"/>
            </w:pPr>
            <w:r>
              <w:rPr>
                <w:sz w:val="20"/>
                <w:szCs w:val="20"/>
              </w:rPr>
              <w:t>Kein Vertrag endet mit dem Flug: Miete, Handy, Versicherungen, Rundfunkbeitrag und eine freiwillige Krankenversicherung laufen weiter, bis du kündigst oder abmeldest.</w:t>
            </w:r>
          </w:p>
          <w:p w14:paraId="70A4D459" w14:textId="77777777" w:rsidR="00C1548D" w:rsidRDefault="009B1B4B" w:rsidP="009B1B4B">
            <w:pPr>
              <w:pStyle w:val="ListParagraph"/>
              <w:numPr>
                <w:ilvl w:val="0"/>
                <w:numId w:val="1"/>
              </w:numPr>
              <w:spacing w:after="50" w:line="264" w:lineRule="auto"/>
            </w:pPr>
            <w:r>
              <w:rPr>
                <w:sz w:val="20"/>
                <w:szCs w:val="20"/>
              </w:rPr>
              <w:t>Abmelden musst du dich innerhalb von zwei Wochen nach dem Auszug, frühestens eine Woche vorher; ein Versäumnis kostet bis zu 1.000 € Bußgeld.</w:t>
            </w:r>
          </w:p>
          <w:p w14:paraId="70A4D45A" w14:textId="77777777" w:rsidR="00C1548D" w:rsidRDefault="009B1B4B" w:rsidP="009B1B4B">
            <w:pPr>
              <w:pStyle w:val="ListParagraph"/>
              <w:numPr>
                <w:ilvl w:val="0"/>
                <w:numId w:val="1"/>
              </w:numPr>
              <w:spacing w:after="50" w:line="264" w:lineRule="auto"/>
            </w:pPr>
            <w:r>
              <w:rPr>
                <w:sz w:val="20"/>
                <w:szCs w:val="20"/>
              </w:rPr>
              <w:t>Die längsten Fristen haben meist Wohnung (drei Monate) und Arbeitsvertrag (gesetzlich vier Wochen, vertraglich oft mehr). Kündige dort aber erst, wenn dein Visum sicher ist.</w:t>
            </w:r>
          </w:p>
          <w:p w14:paraId="70A4D45B" w14:textId="77777777" w:rsidR="00C1548D" w:rsidRDefault="009B1B4B" w:rsidP="009B1B4B">
            <w:pPr>
              <w:pStyle w:val="ListParagraph"/>
              <w:numPr>
                <w:ilvl w:val="0"/>
                <w:numId w:val="1"/>
              </w:numPr>
              <w:spacing w:after="50" w:line="264" w:lineRule="auto"/>
            </w:pPr>
            <w:r>
              <w:rPr>
                <w:sz w:val="20"/>
                <w:szCs w:val="20"/>
              </w:rPr>
              <w:t>Behalte ein deutsches Girokonto, eine Postadresse bei einer Vertrauensperson und deine Steuer-ID. Vollmachten lässt du vor dem Abflug beim Notar beurkunden.</w:t>
            </w:r>
          </w:p>
          <w:p w14:paraId="70A4D45C" w14:textId="77777777" w:rsidR="00C1548D" w:rsidRDefault="009B1B4B" w:rsidP="009B1B4B">
            <w:pPr>
              <w:pStyle w:val="ListParagraph"/>
              <w:numPr>
                <w:ilvl w:val="0"/>
                <w:numId w:val="1"/>
              </w:numPr>
              <w:spacing w:after="50" w:line="264" w:lineRule="auto"/>
            </w:pPr>
            <w:r>
              <w:rPr>
                <w:sz w:val="20"/>
                <w:szCs w:val="20"/>
              </w:rPr>
              <w:t>Kindergeld und Elterngeld enden in der Regel mit dem Wegzug; melde ihn der Familienkasse und der Elterngeldstelle.</w:t>
            </w:r>
          </w:p>
        </w:tc>
      </w:tr>
    </w:tbl>
    <w:p w14:paraId="70A4D45E" w14:textId="77777777" w:rsidR="00C1548D" w:rsidRDefault="00C1548D">
      <w:pPr>
        <w:spacing w:line="220" w:lineRule="exact"/>
      </w:pPr>
    </w:p>
    <w:p w14:paraId="70A4D45F" w14:textId="77777777" w:rsidR="00C1548D" w:rsidRDefault="009B1B4B">
      <w:pPr>
        <w:pStyle w:val="Heading3"/>
        <w:keepNext/>
        <w:jc w:val="center"/>
      </w:pPr>
      <w:r>
        <w:rPr>
          <w:rFonts w:ascii="Amazon Ember" w:eastAsia="Amazon Ember" w:hAnsi="Amazon Ember" w:cs="Amazon Ember"/>
          <w:color w:val="0000FF"/>
          <w:sz w:val="36"/>
          <w:szCs w:val="36"/>
        </w:rPr>
        <w:lastRenderedPageBreak/>
        <w:t>Zuerst die Vertragsliste, dann die Reihenfolge</w:t>
      </w:r>
    </w:p>
    <w:p w14:paraId="70A4D460" w14:textId="77777777" w:rsidR="00C1548D" w:rsidRDefault="009B1B4B">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w14:paraId="70A4D461" w14:textId="700C1C70" w:rsidR="00C1548D" w:rsidRDefault="009B1B4B">
      <w:pPr>
        <w:spacing w:after="140"/>
      </w:pPr>
      <w:r>
        <w:t>Die Reihenfolge folgt den Fristen: Was am längsten läuft, kündigst du zuerst. Das kollidiert mit der Unsicherheit beim Visum; wie du das entschärfst und Doppelmiete vermeidest, zeigt der Zeitplan in Kapitel </w:t>
      </w:r>
      <w:hyperlink w:anchor="k15" w:history="1">
        <w:r>
          <w:t>15</w:t>
        </w:r>
      </w:hyperlink>
      <w:r>
        <w:t>. Altersvorsorge (Riester, Rürup, Bausparen, Lebensversicherung) gehört nicht in die Kündigungswelle, denn ein Wegzug löst dort eigene Folgen aus (Kapitel </w:t>
      </w:r>
      <w:hyperlink w:anchor="k17" w:history="1">
        <w:r>
          <w:t>17</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6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462" w14:textId="77777777" w:rsidR="00C1548D" w:rsidRDefault="009B1B4B">
            <w:pPr>
              <w:keepNext/>
              <w:spacing w:after="70" w:line="240" w:lineRule="auto"/>
            </w:pPr>
            <w:r>
              <w:rPr>
                <w:b/>
                <w:bCs/>
                <w:color w:val="9B2C2C"/>
                <w:spacing w:val="24"/>
                <w:sz w:val="16"/>
                <w:szCs w:val="16"/>
              </w:rPr>
              <w:t>ACHTUNG</w:t>
            </w:r>
          </w:p>
          <w:p w14:paraId="70A4D463" w14:textId="2D7190ED" w:rsidR="00C1548D" w:rsidRDefault="009B1B4B">
            <w:pPr>
              <w:spacing w:after="80" w:line="264" w:lineRule="auto"/>
            </w:pPr>
            <w:r>
              <w:rPr>
                <w:sz w:val="20"/>
                <w:szCs w:val="20"/>
              </w:rPr>
              <w:t>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(Kapitel </w:t>
            </w:r>
            <w:hyperlink w:anchor="k11" w:history="1">
              <w:r>
                <w:rPr>
                  <w:sz w:val="20"/>
                  <w:szCs w:val="20"/>
                </w:rPr>
                <w:t>11</w:t>
              </w:r>
            </w:hyperlink>
            <w:r>
              <w:rPr>
                <w:sz w:val="20"/>
                <w:szCs w:val="20"/>
              </w:rPr>
              <w:t>).</w:t>
            </w:r>
          </w:p>
        </w:tc>
      </w:tr>
    </w:tbl>
    <w:p w14:paraId="70A4D465"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68"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466" w14:textId="77777777" w:rsidR="00C1548D" w:rsidRDefault="009B1B4B">
            <w:pPr>
              <w:keepNext/>
              <w:spacing w:after="70" w:line="240" w:lineRule="auto"/>
            </w:pPr>
            <w:r>
              <w:rPr>
                <w:b/>
                <w:bCs/>
                <w:color w:val="8A6212"/>
                <w:spacing w:val="24"/>
                <w:sz w:val="16"/>
                <w:szCs w:val="16"/>
              </w:rPr>
              <w:t>MERKE</w:t>
            </w:r>
          </w:p>
          <w:p w14:paraId="70A4D467" w14:textId="77777777" w:rsidR="00C1548D" w:rsidRDefault="009B1B4B">
            <w:pPr>
              <w:spacing w:after="80" w:line="264" w:lineRule="auto"/>
            </w:pPr>
            <w:r>
              <w:rPr>
                <w:sz w:val="20"/>
                <w:szCs w:val="20"/>
              </w:rPr>
              <w:t>Rechne jede Frist vom Abflugtermin rückwärts und lass dir jede Kündigung schriftlich bestätigen. Ohne Bestätigung kannst du im Streitfall weder Zugang noch Zeitpunkt beweisen.</w:t>
            </w:r>
          </w:p>
        </w:tc>
      </w:tr>
    </w:tbl>
    <w:p w14:paraId="70A4D469" w14:textId="77777777" w:rsidR="00C1548D" w:rsidRDefault="00C1548D">
      <w:pPr>
        <w:spacing w:line="220" w:lineRule="exact"/>
      </w:pPr>
    </w:p>
    <w:p w14:paraId="70A4D46A" w14:textId="77777777" w:rsidR="00C1548D" w:rsidRDefault="009B1B4B">
      <w:pPr>
        <w:pStyle w:val="Heading3"/>
        <w:keepNext/>
        <w:jc w:val="center"/>
      </w:pPr>
      <w:r>
        <w:rPr>
          <w:rFonts w:ascii="Amazon Ember" w:eastAsia="Amazon Ember" w:hAnsi="Amazon Ember" w:cs="Amazon Ember"/>
          <w:color w:val="0000FF"/>
          <w:sz w:val="36"/>
          <w:szCs w:val="36"/>
        </w:rPr>
        <w:t>Kündigungsfristen im Überblick</w:t>
      </w:r>
    </w:p>
    <w:p w14:paraId="70A4D46B" w14:textId="77777777" w:rsidR="00C1548D" w:rsidRDefault="009B1B4B">
      <w:pPr>
        <w:spacing w:after="140"/>
      </w:pPr>
      <w:r>
        <w:t>Die Tabelle nennt die gesetzliche Regel (Stand September 2026); dein Vertrag kann abweichen.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13"/>
        <w:gridCol w:w="2483"/>
        <w:gridCol w:w="2484"/>
      </w:tblGrid>
      <w:tr w:rsidR="00C1548D" w14:paraId="70A4D46F" w14:textId="77777777">
        <w:tblPrEx>
          <w:tblCellMar>
            <w:top w:w="0" w:type="dxa"/>
            <w:bottom w:w="0" w:type="dxa"/>
          </w:tblCellMar>
        </w:tblPrEx>
        <w:trPr>
          <w:cantSplit/>
          <w:tblHeader/>
        </w:trPr>
        <w:tc>
          <w:tcPr>
            <w:tcW w:w="151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46C" w14:textId="77777777" w:rsidR="00C1548D" w:rsidRDefault="009B1B4B">
            <w:pPr>
              <w:spacing w:line="250" w:lineRule="auto"/>
            </w:pPr>
            <w:r>
              <w:rPr>
                <w:b/>
                <w:bCs/>
                <w:sz w:val="18"/>
                <w:szCs w:val="18"/>
              </w:rPr>
              <w:lastRenderedPageBreak/>
              <w:t>Vertrag</w:t>
            </w:r>
          </w:p>
        </w:tc>
        <w:tc>
          <w:tcPr>
            <w:tcW w:w="24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46D" w14:textId="77777777" w:rsidR="00C1548D" w:rsidRDefault="009B1B4B">
            <w:pPr>
              <w:spacing w:line="250" w:lineRule="auto"/>
            </w:pPr>
            <w:r>
              <w:rPr>
                <w:b/>
                <w:bCs/>
                <w:sz w:val="18"/>
                <w:szCs w:val="18"/>
              </w:rPr>
              <w:t>Frist (Rechtsgrundlage)</w:t>
            </w:r>
          </w:p>
        </w:tc>
        <w:tc>
          <w:tcPr>
            <w:tcW w:w="248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46E" w14:textId="77777777" w:rsidR="00C1548D" w:rsidRDefault="009B1B4B">
            <w:pPr>
              <w:spacing w:line="250" w:lineRule="auto"/>
            </w:pPr>
            <w:r>
              <w:rPr>
                <w:b/>
                <w:bCs/>
                <w:sz w:val="18"/>
                <w:szCs w:val="18"/>
              </w:rPr>
              <w:t>Bei Auslandsumzug</w:t>
            </w:r>
          </w:p>
        </w:tc>
      </w:tr>
      <w:tr w:rsidR="00C1548D" w14:paraId="70A4D473" w14:textId="77777777">
        <w:tblPrEx>
          <w:tblCellMar>
            <w:top w:w="0" w:type="dxa"/>
            <w:bottom w:w="0" w:type="dxa"/>
          </w:tblCellMar>
        </w:tblPrEx>
        <w:trPr>
          <w:cantSplit/>
        </w:trPr>
        <w:tc>
          <w:tcPr>
            <w:tcW w:w="1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0" w14:textId="77777777" w:rsidR="00C1548D" w:rsidRDefault="009B1B4B">
            <w:pPr>
              <w:spacing w:line="250" w:lineRule="auto"/>
            </w:pPr>
            <w:r>
              <w:rPr>
                <w:sz w:val="18"/>
                <w:szCs w:val="18"/>
              </w:rPr>
              <w:t>Mietwohnung</w:t>
            </w:r>
          </w:p>
        </w:tc>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1" w14:textId="77777777" w:rsidR="00C1548D" w:rsidRDefault="009B1B4B">
            <w:pPr>
              <w:spacing w:line="250" w:lineRule="auto"/>
            </w:pPr>
            <w:r>
              <w:rPr>
                <w:sz w:val="18"/>
                <w:szCs w:val="18"/>
              </w:rPr>
              <w:t>drei Monate; Zugang bis zum dritten Werktag des Monats (§ 573c BGB)</w:t>
            </w:r>
          </w:p>
        </w:tc>
        <w:tc>
          <w:tcPr>
            <w:tcW w:w="24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2" w14:textId="77777777" w:rsidR="00C1548D" w:rsidRDefault="009B1B4B">
            <w:pPr>
              <w:spacing w:line="250" w:lineRule="auto"/>
            </w:pPr>
            <w:r>
              <w:rPr>
                <w:sz w:val="18"/>
                <w:szCs w:val="18"/>
              </w:rPr>
              <w:t>kein Sonderkündigungsrecht</w:t>
            </w:r>
          </w:p>
        </w:tc>
      </w:tr>
      <w:tr w:rsidR="00C1548D" w14:paraId="70A4D477" w14:textId="77777777">
        <w:tblPrEx>
          <w:tblCellMar>
            <w:top w:w="0" w:type="dxa"/>
            <w:bottom w:w="0" w:type="dxa"/>
          </w:tblCellMar>
        </w:tblPrEx>
        <w:trPr>
          <w:cantSplit/>
        </w:trPr>
        <w:tc>
          <w:tcPr>
            <w:tcW w:w="1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4" w14:textId="77777777" w:rsidR="00C1548D" w:rsidRDefault="009B1B4B">
            <w:pPr>
              <w:spacing w:line="250" w:lineRule="auto"/>
            </w:pPr>
            <w:r>
              <w:rPr>
                <w:sz w:val="18"/>
                <w:szCs w:val="18"/>
              </w:rPr>
              <w:t>Arbeitsvertrag</w:t>
            </w:r>
          </w:p>
        </w:tc>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5" w14:textId="77777777" w:rsidR="00C1548D" w:rsidRDefault="009B1B4B">
            <w:pPr>
              <w:spacing w:line="250" w:lineRule="auto"/>
            </w:pPr>
            <w:r>
              <w:rPr>
                <w:sz w:val="18"/>
                <w:szCs w:val="18"/>
              </w:rPr>
              <w:t>vier Wochen zum 15. oder Monatsende, in der Probezeit zwei Wochen; nur schriftlich (§§ 622, 623 BGB)</w:t>
            </w:r>
          </w:p>
        </w:tc>
        <w:tc>
          <w:tcPr>
            <w:tcW w:w="24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6" w14:textId="77777777" w:rsidR="00C1548D" w:rsidRDefault="009B1B4B">
            <w:pPr>
              <w:spacing w:line="250" w:lineRule="auto"/>
            </w:pPr>
            <w:r>
              <w:rPr>
                <w:sz w:val="18"/>
                <w:szCs w:val="18"/>
              </w:rPr>
              <w:t>Aufhebungsvertrag verhandeln</w:t>
            </w:r>
          </w:p>
        </w:tc>
      </w:tr>
      <w:tr w:rsidR="00C1548D" w14:paraId="70A4D47B" w14:textId="77777777">
        <w:tblPrEx>
          <w:tblCellMar>
            <w:top w:w="0" w:type="dxa"/>
            <w:bottom w:w="0" w:type="dxa"/>
          </w:tblCellMar>
        </w:tblPrEx>
        <w:trPr>
          <w:cantSplit/>
        </w:trPr>
        <w:tc>
          <w:tcPr>
            <w:tcW w:w="1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8" w14:textId="77777777" w:rsidR="00C1548D" w:rsidRDefault="009B1B4B">
            <w:pPr>
              <w:spacing w:line="250" w:lineRule="auto"/>
            </w:pPr>
            <w:r>
              <w:rPr>
                <w:sz w:val="18"/>
                <w:szCs w:val="18"/>
              </w:rPr>
              <w:t>Handy und Internet</w:t>
            </w:r>
          </w:p>
        </w:tc>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9" w14:textId="77777777" w:rsidR="00C1548D" w:rsidRDefault="009B1B4B">
            <w:pPr>
              <w:spacing w:line="250" w:lineRule="auto"/>
            </w:pPr>
            <w:r>
              <w:rPr>
                <w:sz w:val="18"/>
                <w:szCs w:val="18"/>
              </w:rPr>
              <w:t>Erstlaufzeit höchstens 24 Monate, danach ein Monat (§ 56 TKG)</w:t>
            </w:r>
          </w:p>
        </w:tc>
        <w:tc>
          <w:tcPr>
            <w:tcW w:w="24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A" w14:textId="77777777" w:rsidR="00C1548D" w:rsidRDefault="009B1B4B">
            <w:pPr>
              <w:spacing w:line="250" w:lineRule="auto"/>
            </w:pPr>
            <w:r>
              <w:rPr>
                <w:sz w:val="18"/>
                <w:szCs w:val="18"/>
              </w:rPr>
              <w:t>Sonderkündigung mit einem Monat, wenn der Anbieter am neuen Wohnort nicht leistet (§ 60 TKG); Anwendung auf die USA unklar</w:t>
            </w:r>
          </w:p>
        </w:tc>
      </w:tr>
      <w:tr w:rsidR="00C1548D" w14:paraId="70A4D47F" w14:textId="77777777">
        <w:tblPrEx>
          <w:tblCellMar>
            <w:top w:w="0" w:type="dxa"/>
            <w:bottom w:w="0" w:type="dxa"/>
          </w:tblCellMar>
        </w:tblPrEx>
        <w:trPr>
          <w:cantSplit/>
        </w:trPr>
        <w:tc>
          <w:tcPr>
            <w:tcW w:w="1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C" w14:textId="77777777" w:rsidR="00C1548D" w:rsidRDefault="009B1B4B">
            <w:pPr>
              <w:spacing w:line="250" w:lineRule="auto"/>
            </w:pPr>
            <w:r>
              <w:rPr>
                <w:sz w:val="18"/>
                <w:szCs w:val="18"/>
              </w:rPr>
              <w:t>Strom und Gas, Grundversorgung</w:t>
            </w:r>
          </w:p>
        </w:tc>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D" w14:textId="77777777" w:rsidR="00C1548D" w:rsidRDefault="009B1B4B">
            <w:pPr>
              <w:spacing w:line="250" w:lineRule="auto"/>
            </w:pPr>
            <w:r>
              <w:rPr>
                <w:sz w:val="18"/>
                <w:szCs w:val="18"/>
              </w:rPr>
              <w:t>zwei Wochen (§ 20 StromGVV)</w:t>
            </w:r>
          </w:p>
        </w:tc>
        <w:tc>
          <w:tcPr>
            <w:tcW w:w="24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7E" w14:textId="77777777" w:rsidR="00C1548D" w:rsidRDefault="009B1B4B">
            <w:pPr>
              <w:spacing w:line="250" w:lineRule="auto"/>
            </w:pPr>
            <w:r>
              <w:rPr>
                <w:sz w:val="18"/>
                <w:szCs w:val="18"/>
              </w:rPr>
              <w:t>keine Besonderheit</w:t>
            </w:r>
          </w:p>
        </w:tc>
      </w:tr>
      <w:tr w:rsidR="00C1548D" w14:paraId="70A4D483" w14:textId="77777777">
        <w:tblPrEx>
          <w:tblCellMar>
            <w:top w:w="0" w:type="dxa"/>
            <w:bottom w:w="0" w:type="dxa"/>
          </w:tblCellMar>
        </w:tblPrEx>
        <w:trPr>
          <w:cantSplit/>
        </w:trPr>
        <w:tc>
          <w:tcPr>
            <w:tcW w:w="1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0" w14:textId="77777777" w:rsidR="00C1548D" w:rsidRDefault="009B1B4B">
            <w:pPr>
              <w:spacing w:line="250" w:lineRule="auto"/>
            </w:pPr>
            <w:r>
              <w:rPr>
                <w:sz w:val="18"/>
                <w:szCs w:val="18"/>
              </w:rPr>
              <w:t>Strom und Gas, Sondervertrag</w:t>
            </w:r>
          </w:p>
        </w:tc>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1" w14:textId="77777777" w:rsidR="00C1548D" w:rsidRDefault="009B1B4B">
            <w:pPr>
              <w:spacing w:line="250" w:lineRule="auto"/>
            </w:pPr>
            <w:r>
              <w:rPr>
                <w:sz w:val="18"/>
                <w:szCs w:val="18"/>
              </w:rPr>
              <w:t>sechs Wochen bei Wohnsitzwechsel (§ 41b EnWG)</w:t>
            </w:r>
          </w:p>
        </w:tc>
        <w:tc>
          <w:tcPr>
            <w:tcW w:w="24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2" w14:textId="77777777" w:rsidR="00C1548D" w:rsidRDefault="009B1B4B">
            <w:pPr>
              <w:spacing w:line="250" w:lineRule="auto"/>
            </w:pPr>
            <w:r>
              <w:rPr>
                <w:sz w:val="18"/>
                <w:szCs w:val="18"/>
              </w:rPr>
              <w:t>Anwendung auf die USA unklar</w:t>
            </w:r>
          </w:p>
        </w:tc>
      </w:tr>
      <w:tr w:rsidR="00C1548D" w14:paraId="70A4D487" w14:textId="77777777">
        <w:tblPrEx>
          <w:tblCellMar>
            <w:top w:w="0" w:type="dxa"/>
            <w:bottom w:w="0" w:type="dxa"/>
          </w:tblCellMar>
        </w:tblPrEx>
        <w:trPr>
          <w:cantSplit/>
        </w:trPr>
        <w:tc>
          <w:tcPr>
            <w:tcW w:w="1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4" w14:textId="77777777" w:rsidR="00C1548D" w:rsidRDefault="009B1B4B">
            <w:pPr>
              <w:spacing w:line="250" w:lineRule="auto"/>
            </w:pPr>
            <w:r>
              <w:rPr>
                <w:sz w:val="18"/>
                <w:szCs w:val="18"/>
              </w:rPr>
              <w:t>Rundfunkbeitrag</w:t>
            </w:r>
          </w:p>
        </w:tc>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5" w14:textId="77777777" w:rsidR="00C1548D" w:rsidRDefault="009B1B4B">
            <w:pPr>
              <w:spacing w:line="250" w:lineRule="auto"/>
            </w:pPr>
            <w:r>
              <w:rPr>
                <w:sz w:val="18"/>
                <w:szCs w:val="18"/>
              </w:rPr>
              <w:t>keine Kündigung, sondern Abmeldung der Wohnung</w:t>
            </w:r>
          </w:p>
        </w:tc>
        <w:tc>
          <w:tcPr>
            <w:tcW w:w="24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6" w14:textId="77777777" w:rsidR="00C1548D" w:rsidRDefault="009B1B4B">
            <w:pPr>
              <w:spacing w:line="250" w:lineRule="auto"/>
            </w:pPr>
            <w:r>
              <w:rPr>
                <w:sz w:val="18"/>
                <w:szCs w:val="18"/>
              </w:rPr>
              <w:t>Nachweis beifügen</w:t>
            </w:r>
          </w:p>
        </w:tc>
      </w:tr>
      <w:tr w:rsidR="00C1548D" w14:paraId="70A4D48B" w14:textId="77777777">
        <w:tblPrEx>
          <w:tblCellMar>
            <w:top w:w="0" w:type="dxa"/>
            <w:bottom w:w="0" w:type="dxa"/>
          </w:tblCellMar>
        </w:tblPrEx>
        <w:trPr>
          <w:cantSplit/>
        </w:trPr>
        <w:tc>
          <w:tcPr>
            <w:tcW w:w="1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8" w14:textId="77777777" w:rsidR="00C1548D" w:rsidRDefault="009B1B4B">
            <w:pPr>
              <w:spacing w:line="250" w:lineRule="auto"/>
            </w:pPr>
            <w:r>
              <w:rPr>
                <w:sz w:val="18"/>
                <w:szCs w:val="18"/>
              </w:rPr>
              <w:t>Hausrat, Haftpflicht, Rechtsschutz</w:t>
            </w:r>
          </w:p>
        </w:tc>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9" w14:textId="77777777" w:rsidR="00C1548D" w:rsidRDefault="009B1B4B">
            <w:pPr>
              <w:spacing w:line="250" w:lineRule="auto"/>
            </w:pPr>
            <w:r>
              <w:rPr>
                <w:sz w:val="18"/>
                <w:szCs w:val="18"/>
              </w:rPr>
              <w:t>nach Vertragsbedingungen; Wegfall des Risikos sofort melden (§ 80 VVG)</w:t>
            </w:r>
          </w:p>
        </w:tc>
        <w:tc>
          <w:tcPr>
            <w:tcW w:w="24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A" w14:textId="77777777" w:rsidR="00C1548D" w:rsidRDefault="009B1B4B">
            <w:pPr>
              <w:spacing w:line="250" w:lineRule="auto"/>
            </w:pPr>
            <w:r>
              <w:rPr>
                <w:sz w:val="18"/>
                <w:szCs w:val="18"/>
              </w:rPr>
              <w:t>Frist im Vertrag prüfen</w:t>
            </w:r>
          </w:p>
        </w:tc>
      </w:tr>
      <w:tr w:rsidR="00C1548D" w14:paraId="70A4D48F" w14:textId="77777777">
        <w:tblPrEx>
          <w:tblCellMar>
            <w:top w:w="0" w:type="dxa"/>
            <w:bottom w:w="0" w:type="dxa"/>
          </w:tblCellMar>
        </w:tblPrEx>
        <w:trPr>
          <w:cantSplit/>
        </w:trPr>
        <w:tc>
          <w:tcPr>
            <w:tcW w:w="1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C" w14:textId="77777777" w:rsidR="00C1548D" w:rsidRDefault="009B1B4B">
            <w:pPr>
              <w:spacing w:line="250" w:lineRule="auto"/>
            </w:pPr>
            <w:r>
              <w:rPr>
                <w:sz w:val="18"/>
                <w:szCs w:val="18"/>
              </w:rPr>
              <w:t>Nachsendeauftrag</w:t>
            </w:r>
          </w:p>
        </w:tc>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D" w14:textId="77777777" w:rsidR="00C1548D" w:rsidRDefault="009B1B4B">
            <w:pPr>
              <w:spacing w:line="250" w:lineRule="auto"/>
            </w:pPr>
            <w:r>
              <w:rPr>
                <w:sz w:val="18"/>
                <w:szCs w:val="18"/>
              </w:rPr>
              <w:t>sechs Monate Laufzeit, fünf Werktage Vorlauf</w:t>
            </w:r>
          </w:p>
        </w:tc>
        <w:tc>
          <w:tcPr>
            <w:tcW w:w="24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8E" w14:textId="77777777" w:rsidR="00C1548D" w:rsidRDefault="009B1B4B">
            <w:pPr>
              <w:spacing w:line="250" w:lineRule="auto"/>
            </w:pPr>
            <w:r>
              <w:rPr>
                <w:sz w:val="18"/>
                <w:szCs w:val="18"/>
              </w:rPr>
              <w:t>Ausland eingeschränkt</w:t>
            </w:r>
          </w:p>
        </w:tc>
      </w:tr>
      <w:tr w:rsidR="00C1548D" w14:paraId="70A4D493" w14:textId="77777777">
        <w:tblPrEx>
          <w:tblCellMar>
            <w:top w:w="0" w:type="dxa"/>
            <w:bottom w:w="0" w:type="dxa"/>
          </w:tblCellMar>
        </w:tblPrEx>
        <w:trPr>
          <w:cantSplit/>
        </w:trPr>
        <w:tc>
          <w:tcPr>
            <w:tcW w:w="1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90" w14:textId="77777777" w:rsidR="00C1548D" w:rsidRDefault="009B1B4B">
            <w:pPr>
              <w:spacing w:line="250" w:lineRule="auto"/>
            </w:pPr>
            <w:r>
              <w:rPr>
                <w:sz w:val="18"/>
                <w:szCs w:val="18"/>
              </w:rPr>
              <w:t>Freiwillige gesetzliche Krankenversicherung</w:t>
            </w:r>
          </w:p>
        </w:tc>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91" w14:textId="77777777" w:rsidR="00C1548D" w:rsidRDefault="009B1B4B">
            <w:pPr>
              <w:spacing w:line="250" w:lineRule="auto"/>
            </w:pPr>
            <w:r>
              <w:rPr>
                <w:sz w:val="18"/>
                <w:szCs w:val="18"/>
              </w:rPr>
              <w:t>endet nicht automatisch mit dem Wegzug (§ 191 SGB V)</w:t>
            </w:r>
          </w:p>
        </w:tc>
        <w:tc>
          <w:tcPr>
            <w:tcW w:w="24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92" w14:textId="1CEB5A4E" w:rsidR="00C1548D" w:rsidRDefault="009B1B4B">
            <w:pPr>
              <w:spacing w:line="250" w:lineRule="auto"/>
            </w:pPr>
            <w:r>
              <w:rPr>
                <w:sz w:val="18"/>
                <w:szCs w:val="18"/>
              </w:rPr>
              <w:t>Kündigung oder Anwartschaft: Kapitel </w:t>
            </w:r>
            <w:hyperlink w:anchor="k18" w:history="1">
              <w:r>
                <w:rPr>
                  <w:sz w:val="18"/>
                  <w:szCs w:val="18"/>
                </w:rPr>
                <w:t>18</w:t>
              </w:r>
            </w:hyperlink>
          </w:p>
        </w:tc>
      </w:tr>
    </w:tbl>
    <w:p w14:paraId="70A4D494"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97"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495" w14:textId="77777777" w:rsidR="00C1548D" w:rsidRDefault="009B1B4B">
            <w:pPr>
              <w:keepNext/>
              <w:spacing w:after="70" w:line="240" w:lineRule="auto"/>
            </w:pPr>
            <w:r>
              <w:rPr>
                <w:b/>
                <w:bCs/>
                <w:color w:val="6B7280"/>
                <w:spacing w:val="24"/>
                <w:sz w:val="16"/>
                <w:szCs w:val="16"/>
              </w:rPr>
              <w:t>KEIN RECHTSRAT</w:t>
            </w:r>
          </w:p>
          <w:p w14:paraId="70A4D496" w14:textId="77777777" w:rsidR="00C1548D" w:rsidRDefault="009B1B4B">
            <w:pPr>
              <w:spacing w:after="80" w:line="264" w:lineRule="auto"/>
            </w:pPr>
            <w:r>
              <w:rPr>
                <w:sz w:val="20"/>
                <w:szCs w:val="20"/>
              </w:rPr>
              <w:t>Das ist keine Rechtsberatung. Miet-, Arbeits- und Versicherungsverträge können von der gesetzlichen Regel abweichen. Bei Streit helfen Mieterverein, Fachanwalt für Arbeitsrecht oder Verbraucherzentrale.</w:t>
            </w:r>
          </w:p>
        </w:tc>
      </w:tr>
    </w:tbl>
    <w:p w14:paraId="70A4D498" w14:textId="77777777" w:rsidR="00C1548D" w:rsidRDefault="00C1548D">
      <w:pPr>
        <w:spacing w:line="220" w:lineRule="exact"/>
      </w:pPr>
    </w:p>
    <w:p w14:paraId="70A4D499" w14:textId="77777777" w:rsidR="00C1548D" w:rsidRDefault="009B1B4B">
      <w:pPr>
        <w:pStyle w:val="Heading3"/>
        <w:keepNext/>
        <w:jc w:val="center"/>
      </w:pPr>
      <w:r>
        <w:rPr>
          <w:rFonts w:ascii="Amazon Ember" w:eastAsia="Amazon Ember" w:hAnsi="Amazon Ember" w:cs="Amazon Ember"/>
          <w:color w:val="0000FF"/>
          <w:sz w:val="36"/>
          <w:szCs w:val="36"/>
        </w:rPr>
        <w:lastRenderedPageBreak/>
        <w:t>Abmeldung: Frist, Bescheinigung, Wohnsitz behalten?</w:t>
      </w:r>
    </w:p>
    <w:p w14:paraId="70A4D49A" w14:textId="77777777" w:rsidR="00C1548D" w:rsidRDefault="009B1B4B">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w14:paraId="70A4D49B" w14:textId="2FA4CAD6" w:rsidR="00C1548D" w:rsidRDefault="009B1B4B">
      <w:pPr>
        <w:spacing w:after="140"/>
      </w:pPr>
      <w: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history="1">
        <w:r>
          <w:t>19</w:t>
        </w:r>
      </w:hyperlink>
      <w:r>
        <w:t>.</w:t>
      </w:r>
    </w:p>
    <w:p w14:paraId="70A4D49C" w14:textId="3DA41A9C" w:rsidR="00C1548D" w:rsidRDefault="009B1B4B">
      <w:pPr>
        <w:spacing w:after="140"/>
      </w:pPr>
      <w:r>
        <w:rPr>
          <w:b/>
          <w:bCs/>
        </w:rPr>
        <w:t>Wohnsitz behalten?</w:t>
      </w:r>
      <w:r>
        <w:t xml:space="preserve"> Solange du eine Wohnung im Inland bezogen hältst, entfällt nach dem Gesetzeswortlaut die Abmeldepflicht; sie zählt dann als Haupt- oder Nebenwohnung (§ 21 BMG). Der Preis: Eine behaltene Wohnung kann Folgen für Steuerpflicht, Krankenkasse und Kindergeld haben (Kapitel </w:t>
      </w:r>
      <w:hyperlink w:anchor="k17" w:history="1">
        <w:r>
          <w:t>17</w:t>
        </w:r>
      </w:hyperlink>
      <w:r>
        <w:t xml:space="preserve"> und </w:t>
      </w:r>
      <w:hyperlink w:anchor="k18" w:history="1">
        <w:r>
          <w:t>18</w:t>
        </w:r>
      </w:hyperlink>
      <w:r>
        <w:t>). Entscheide das vor dem Umzug, nicht danach.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9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49D" w14:textId="77777777" w:rsidR="00C1548D" w:rsidRDefault="009B1B4B">
            <w:pPr>
              <w:keepNext/>
              <w:spacing w:after="70" w:line="240" w:lineRule="auto"/>
            </w:pPr>
            <w:r>
              <w:rPr>
                <w:b/>
                <w:bCs/>
                <w:color w:val="9B2C2C"/>
                <w:spacing w:val="24"/>
                <w:sz w:val="16"/>
                <w:szCs w:val="16"/>
              </w:rPr>
              <w:t>ACHTUNG</w:t>
            </w:r>
          </w:p>
          <w:p w14:paraId="70A4D49E" w14:textId="77777777" w:rsidR="00C1548D" w:rsidRDefault="009B1B4B">
            <w:pPr>
              <w:spacing w:after="80" w:line="264" w:lineRule="auto"/>
            </w:pPr>
            <w:r>
              <w:rPr>
                <w:sz w:val="20"/>
                <w:szCs w:val="20"/>
              </w:rPr>
              <w:t>Bleibe nicht „pro forma“ bei Eltern oder Freunden gemeldet, wenn du dort nicht wohnst. Wer eine Scheinadresse bereitstellt, riskiert bis zu 50.000 € Bußgeld (§ 19 Abs. 6, § 54 BMG), und für dich kann die Anmeldung als Wohnsitz gewertet werden, mit steuerlichen Folgen.</w:t>
            </w:r>
          </w:p>
        </w:tc>
      </w:tr>
    </w:tbl>
    <w:p w14:paraId="70A4D4A0" w14:textId="77777777" w:rsidR="00C1548D" w:rsidRDefault="00C1548D">
      <w:pPr>
        <w:spacing w:line="220" w:lineRule="exact"/>
      </w:pPr>
    </w:p>
    <w:p w14:paraId="70A4D4A1" w14:textId="77777777" w:rsidR="00C1548D" w:rsidRDefault="009B1B4B">
      <w:pPr>
        <w:spacing w:after="140"/>
      </w:pPr>
      <w:r>
        <w:rPr>
          <w:b/>
          <w:bCs/>
        </w:rPr>
        <w:t>Für Männer bis 45:</w:t>
      </w:r>
      <w:r>
        <w:t xml:space="preserve"> Nach § 3 Abs. 2 Wehrpflichtgesetz brauchen Männer ab 17 Jahren grundsätzlich die Genehmigung des Karrierecenters der Bundeswehr für Auslandsaufenthalte von mehr als drei Monaten; die Wehrpflicht endet mit Ablauf des Jahres, in </w:t>
      </w:r>
      <w:r>
        <w:lastRenderedPageBreak/>
        <w:t>dem sie 45 werden. Das Verteidigungsministerium hat am 10. April 2026 verfügt, dass solche Anträge nicht gestellt werden müssen, solange der Wehrdienst freiwillig bleibt. Prüfe kurz vor dem Abflug, ob die Ausnahme noch gilt.</w:t>
      </w:r>
    </w:p>
    <w:p w14:paraId="70A4D4A2" w14:textId="77777777" w:rsidR="00C1548D" w:rsidRDefault="009B1B4B">
      <w:pPr>
        <w:pStyle w:val="Heading3"/>
        <w:keepNext/>
        <w:jc w:val="center"/>
      </w:pPr>
      <w:r>
        <w:rPr>
          <w:rFonts w:ascii="Amazon Ember" w:eastAsia="Amazon Ember" w:hAnsi="Amazon Ember" w:cs="Amazon Ember"/>
          <w:color w:val="0000FF"/>
          <w:sz w:val="36"/>
          <w:szCs w:val="36"/>
        </w:rPr>
        <w:t>Wohnung: Kündigung, Kaution, Übergabe</w:t>
      </w:r>
    </w:p>
    <w:p w14:paraId="70A4D4A3" w14:textId="77777777" w:rsidR="00C1548D" w:rsidRDefault="009B1B4B">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A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4A4" w14:textId="77777777" w:rsidR="00C1548D" w:rsidRDefault="009B1B4B">
            <w:pPr>
              <w:keepNext/>
              <w:spacing w:after="70" w:line="240" w:lineRule="auto"/>
            </w:pPr>
            <w:r>
              <w:rPr>
                <w:b/>
                <w:bCs/>
                <w:color w:val="9B2C2C"/>
                <w:spacing w:val="24"/>
                <w:sz w:val="16"/>
                <w:szCs w:val="16"/>
              </w:rPr>
              <w:t>ACHTUNG</w:t>
            </w:r>
          </w:p>
          <w:p w14:paraId="70A4D4A5" w14:textId="77777777" w:rsidR="00C1548D" w:rsidRDefault="009B1B4B">
            <w:pPr>
              <w:spacing w:after="80" w:line="264" w:lineRule="auto"/>
            </w:pPr>
            <w:r>
              <w:rPr>
                <w:sz w:val="20"/>
                <w:szCs w:val="20"/>
              </w:rPr>
              <w:t>Entscheidend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tc>
      </w:tr>
    </w:tbl>
    <w:p w14:paraId="70A4D4A7" w14:textId="77777777" w:rsidR="00C1548D" w:rsidRDefault="00C1548D">
      <w:pPr>
        <w:spacing w:line="220" w:lineRule="exact"/>
      </w:pPr>
    </w:p>
    <w:p w14:paraId="70A4D4A8" w14:textId="4926E3D3" w:rsidR="00C1548D" w:rsidRDefault="009B1B4B">
      <w:pPr>
        <w:spacing w:after="140"/>
      </w:pPr>
      <w: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w:t>
      </w:r>
      <w:r>
        <w:t xml:space="preserve">n Mieterverein. Kannst du den Termin nicht selbst wahrnehmen, bevollmächtige eine Person schriftlich. Eine kurze englische </w:t>
      </w:r>
      <w:r>
        <w:lastRenderedPageBreak/>
        <w:t>Referenz des Vermieters hilft bei der Wohnungssuche in den USA (</w:t>
      </w:r>
      <w:r>
        <w:t>Kapitel </w:t>
      </w:r>
      <w:hyperlink w:anchor="k13" w:history="1">
        <w:r>
          <w:t>13</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AB"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4A9" w14:textId="77777777" w:rsidR="00C1548D" w:rsidRDefault="009B1B4B">
            <w:pPr>
              <w:keepNext/>
              <w:spacing w:after="70" w:line="240" w:lineRule="auto"/>
            </w:pPr>
            <w:r>
              <w:rPr>
                <w:b/>
                <w:bCs/>
                <w:color w:val="2F6B3B"/>
                <w:spacing w:val="24"/>
                <w:sz w:val="16"/>
                <w:szCs w:val="16"/>
              </w:rPr>
              <w:t>SPARTIPP</w:t>
            </w:r>
          </w:p>
          <w:p w14:paraId="70A4D4AA" w14:textId="77777777" w:rsidR="00C1548D" w:rsidRDefault="009B1B4B">
            <w:pPr>
              <w:spacing w:after="80" w:line="264" w:lineRule="auto"/>
            </w:pPr>
            <w:r>
              <w:rPr>
                <w:sz w:val="20"/>
                <w:szCs w:val="20"/>
              </w:rPr>
              <w:t>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tc>
      </w:tr>
    </w:tbl>
    <w:p w14:paraId="70A4D4AC" w14:textId="77777777" w:rsidR="00C1548D" w:rsidRDefault="00C1548D">
      <w:pPr>
        <w:spacing w:line="220" w:lineRule="exact"/>
      </w:pPr>
    </w:p>
    <w:p w14:paraId="70A4D4AD" w14:textId="77777777" w:rsidR="00C1548D" w:rsidRDefault="009B1B4B">
      <w:pPr>
        <w:pStyle w:val="Heading3"/>
        <w:keepNext/>
        <w:jc w:val="center"/>
      </w:pPr>
      <w:r>
        <w:rPr>
          <w:rFonts w:ascii="Amazon Ember" w:eastAsia="Amazon Ember" w:hAnsi="Amazon Ember" w:cs="Amazon Ember"/>
          <w:color w:val="0000FF"/>
          <w:sz w:val="36"/>
          <w:szCs w:val="36"/>
        </w:rPr>
        <w:t>Arbeitsvertrag</w:t>
      </w:r>
    </w:p>
    <w:p w14:paraId="70A4D4AE" w14:textId="77777777" w:rsidR="00C1548D" w:rsidRDefault="009B1B4B">
      <w:pPr>
        <w:spacing w:after="140"/>
      </w:pPr>
      <w:r>
        <w:t>Als Arbeitnehmer kündigst du gesetzlich mit vier Wochen zum 15. oder zum Monatsende, in der Probezeit (höchstens sechs Monate) mit zwei Wochen (§ 622 BGB). Verträge und Tarifverträge dürfen längere Fristen vorsehen, für dich aber keine längeren als für den Arbeitgeber. Kündigung und Aufhebungsvertrag gelten nur schriftlich mit eigenhändiger Unterschrift; eine E-Mail ist unwirksam (§ 623 BGB).</w:t>
      </w:r>
    </w:p>
    <w:p w14:paraId="70A4D4AF" w14:textId="024C9BF6" w:rsidR="00C1548D" w:rsidRDefault="009B1B4B">
      <w:pPr>
        <w:spacing w:after="140"/>
      </w:pPr>
      <w: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history="1">
        <w:r>
          <w:t>17</w:t>
        </w:r>
      </w:hyperlink>
      <w:r>
        <w:t>). Wirst du innerhalb deines Konzerns versetzt (etwa mit L-1, Kapitel </w:t>
      </w:r>
      <w:hyperlink w:anchor="k9" w:history="1">
        <w:r>
          <w:t>9</w:t>
        </w:r>
      </w:hyperlink>
      <w:r>
        <w:t>), muss der deutsche Vertrag nicht enden; das verändert aber Sozialversicherung und Steuer (Kapitel </w:t>
      </w:r>
      <w:hyperlink w:anchor="k17" w:history="1">
        <w:r>
          <w:t>17</w:t>
        </w:r>
      </w:hyperlink>
      <w:r>
        <w:t xml:space="preserve"> und </w:t>
      </w:r>
      <w:hyperlink w:anchor="k18" w:history="1">
        <w:r>
          <w:t>18</w:t>
        </w:r>
      </w:hyperlink>
      <w:r>
        <w:t>).</w:t>
      </w:r>
    </w:p>
    <w:p w14:paraId="70A4D4B0" w14:textId="77777777" w:rsidR="00C1548D" w:rsidRDefault="009B1B4B">
      <w:pPr>
        <w:pStyle w:val="Heading3"/>
        <w:keepNext/>
        <w:jc w:val="center"/>
      </w:pPr>
      <w:r>
        <w:rPr>
          <w:rFonts w:ascii="Amazon Ember" w:eastAsia="Amazon Ember" w:hAnsi="Amazon Ember" w:cs="Amazon Ember"/>
          <w:color w:val="0000FF"/>
          <w:sz w:val="36"/>
          <w:szCs w:val="36"/>
        </w:rPr>
        <w:lastRenderedPageBreak/>
        <w:t>Handy, Internet, Energie, Rundfunkbeitrag und Kirche</w:t>
      </w:r>
    </w:p>
    <w:p w14:paraId="70A4D4B1" w14:textId="77777777" w:rsidR="00C1548D" w:rsidRDefault="009B1B4B">
      <w:pPr>
        <w:spacing w:after="140"/>
      </w:pPr>
      <w:r>
        <w:rPr>
          <w:b/>
          <w:bCs/>
        </w:rPr>
        <w:t>Handy und Internet:</w:t>
      </w:r>
      <w:r>
        <w:t xml:space="preserve">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w14:paraId="70A4D4B2" w14:textId="77777777" w:rsidR="00C1548D" w:rsidRDefault="009B1B4B">
      <w:pPr>
        <w:spacing w:after="140"/>
      </w:pPr>
      <w:r>
        <w:rPr>
          <w:b/>
          <w:bCs/>
        </w:rPr>
        <w:t>Strom und Gas:</w:t>
      </w:r>
      <w:r>
        <w:t xml:space="preserve"> Lies am Auszugstag die Zähler ab, fotografiere sie und melde die Stände dem Versorger. Ob der Sonderkündigungsgrund bei Wohnsitzwechsel für einen Umzug ins Ausland gilt, ist wie beim Handy offen.</w:t>
      </w:r>
    </w:p>
    <w:p w14:paraId="70A4D4B3" w14:textId="77777777" w:rsidR="00C1548D" w:rsidRDefault="009B1B4B">
      <w:pPr>
        <w:spacing w:after="140"/>
      </w:pPr>
      <w:r>
        <w:rPr>
          <w:b/>
          <w:bCs/>
        </w:rPr>
        <w:t>Rundfunkbeitrag:</w:t>
      </w:r>
      <w:r>
        <w:t xml:space="preserve"> 18,36 € im Monat je Wohnung (Stand 20. September 2026), rund 220 € im Jahr. Er endet nicht durch Kündigung, sondern durch Abmeldung der Wohnung im Online-Formular „Abmelden“ auf rundfunkbeitrag.de. Du brauchst die neunstellige Beitragsnummer und kannst Nachweise als Datei anhängen. Welche Nachweise verlangt werden und wie weit rückwirkend abgemeldet wird, nennt die Seite nicht. Melde dich deshalb sofort nach dem Auszug ab.</w:t>
      </w:r>
    </w:p>
    <w:p w14:paraId="70A4D4B4" w14:textId="77777777" w:rsidR="00C1548D" w:rsidRDefault="009B1B4B">
      <w:pPr>
        <w:spacing w:after="140"/>
      </w:pPr>
      <w:r>
        <w:rPr>
          <w:b/>
          <w:bCs/>
        </w:rPr>
        <w:t>Kirche:</w:t>
      </w:r>
      <w:r>
        <w:t xml:space="preserve"> Die Kirchensteuerpflicht knüpft nach den Landeskirchensteuergesetzen an Wohnsitz oder gewöhnlichen Aufenthalt im Inland und endet deshalb in der Regel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w:t>
      </w:r>
      <w:r>
        <w:t>die Mitgliedschaft bei kirchlicher Trauung, Patenschaft oder Beerdigung eine Rolle spielt.</w:t>
      </w:r>
    </w:p>
    <w:p w14:paraId="70A4D4B5" w14:textId="77777777" w:rsidR="00C1548D" w:rsidRDefault="009B1B4B">
      <w:pPr>
        <w:pStyle w:val="Heading3"/>
        <w:keepNext/>
        <w:jc w:val="center"/>
      </w:pPr>
      <w:r>
        <w:rPr>
          <w:rFonts w:ascii="Amazon Ember" w:eastAsia="Amazon Ember" w:hAnsi="Amazon Ember" w:cs="Amazon Ember"/>
          <w:color w:val="0000FF"/>
          <w:sz w:val="36"/>
          <w:szCs w:val="36"/>
        </w:rPr>
        <w:lastRenderedPageBreak/>
        <w:t>Versicherungen</w:t>
      </w:r>
    </w:p>
    <w:p w14:paraId="70A4D4B6" w14:textId="77777777" w:rsidR="00C1548D" w:rsidRDefault="009B1B4B">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35"/>
        <w:gridCol w:w="1947"/>
        <w:gridCol w:w="3198"/>
      </w:tblGrid>
      <w:tr w:rsidR="00C1548D" w14:paraId="70A4D4BA" w14:textId="77777777">
        <w:tblPrEx>
          <w:tblCellMar>
            <w:top w:w="0" w:type="dxa"/>
            <w:bottom w:w="0" w:type="dxa"/>
          </w:tblCellMar>
        </w:tblPrEx>
        <w:trPr>
          <w:cantSplit/>
          <w:tblHeader/>
        </w:trPr>
        <w:tc>
          <w:tcPr>
            <w:tcW w:w="133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4B7" w14:textId="77777777" w:rsidR="00C1548D" w:rsidRDefault="009B1B4B">
            <w:pPr>
              <w:spacing w:line="250" w:lineRule="auto"/>
            </w:pPr>
            <w:r>
              <w:rPr>
                <w:b/>
                <w:bCs/>
                <w:sz w:val="18"/>
                <w:szCs w:val="18"/>
              </w:rPr>
              <w:t>Versicherung</w:t>
            </w:r>
          </w:p>
        </w:tc>
        <w:tc>
          <w:tcPr>
            <w:tcW w:w="194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4B8" w14:textId="77777777" w:rsidR="00C1548D" w:rsidRDefault="009B1B4B">
            <w:pPr>
              <w:spacing w:line="250" w:lineRule="auto"/>
            </w:pPr>
            <w:r>
              <w:rPr>
                <w:b/>
                <w:bCs/>
                <w:sz w:val="18"/>
                <w:szCs w:val="18"/>
              </w:rPr>
              <w:t>Meist sinnvoll</w:t>
            </w:r>
          </w:p>
        </w:tc>
        <w:tc>
          <w:tcPr>
            <w:tcW w:w="319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4B9" w14:textId="77777777" w:rsidR="00C1548D" w:rsidRDefault="009B1B4B">
            <w:pPr>
              <w:spacing w:line="250" w:lineRule="auto"/>
            </w:pPr>
            <w:r>
              <w:rPr>
                <w:b/>
                <w:bCs/>
                <w:sz w:val="18"/>
                <w:szCs w:val="18"/>
              </w:rPr>
              <w:t>Das prüfst du</w:t>
            </w:r>
          </w:p>
        </w:tc>
      </w:tr>
      <w:tr w:rsidR="00C1548D" w14:paraId="70A4D4BE" w14:textId="77777777">
        <w:tblPrEx>
          <w:tblCellMar>
            <w:top w:w="0" w:type="dxa"/>
            <w:bottom w:w="0" w:type="dxa"/>
          </w:tblCellMar>
        </w:tblPrEx>
        <w:trPr>
          <w:cantSplit/>
        </w:trPr>
        <w:tc>
          <w:tcPr>
            <w:tcW w:w="13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BB" w14:textId="77777777" w:rsidR="00C1548D" w:rsidRDefault="009B1B4B">
            <w:pPr>
              <w:spacing w:line="250" w:lineRule="auto"/>
            </w:pPr>
            <w:r>
              <w:rPr>
                <w:sz w:val="18"/>
                <w:szCs w:val="18"/>
              </w:rPr>
              <w:t>Privathaftpflicht</w:t>
            </w:r>
          </w:p>
        </w:tc>
        <w:tc>
          <w:tcPr>
            <w:tcW w:w="19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BC" w14:textId="77777777" w:rsidR="00C1548D" w:rsidRDefault="009B1B4B">
            <w:pPr>
              <w:spacing w:line="250" w:lineRule="auto"/>
            </w:pPr>
            <w:r>
              <w:rPr>
                <w:sz w:val="18"/>
                <w:szCs w:val="18"/>
              </w:rPr>
              <w:t>zum Übergabetag kündigen</w:t>
            </w:r>
          </w:p>
        </w:tc>
        <w:tc>
          <w:tcPr>
            <w:tcW w:w="31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BD" w14:textId="58D2B6C3" w:rsidR="00C1548D" w:rsidRDefault="009B1B4B">
            <w:pPr>
              <w:spacing w:line="250" w:lineRule="auto"/>
            </w:pPr>
            <w:r>
              <w:rPr>
                <w:sz w:val="18"/>
                <w:szCs w:val="18"/>
              </w:rPr>
              <w:t>Auslandsschutz ist meist zeitlich begrenzt; in den USA neu abschließen (Kapitel </w:t>
            </w:r>
            <w:hyperlink w:anchor="k25" w:history="1">
              <w:r>
                <w:rPr>
                  <w:sz w:val="18"/>
                  <w:szCs w:val="18"/>
                </w:rPr>
                <w:t>25</w:t>
              </w:r>
            </w:hyperlink>
            <w:r>
              <w:rPr>
                <w:sz w:val="18"/>
                <w:szCs w:val="18"/>
              </w:rPr>
              <w:t>)</w:t>
            </w:r>
          </w:p>
        </w:tc>
      </w:tr>
      <w:tr w:rsidR="00C1548D" w14:paraId="70A4D4C2" w14:textId="77777777">
        <w:tblPrEx>
          <w:tblCellMar>
            <w:top w:w="0" w:type="dxa"/>
            <w:bottom w:w="0" w:type="dxa"/>
          </w:tblCellMar>
        </w:tblPrEx>
        <w:trPr>
          <w:cantSplit/>
        </w:trPr>
        <w:tc>
          <w:tcPr>
            <w:tcW w:w="13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BF" w14:textId="77777777" w:rsidR="00C1548D" w:rsidRDefault="009B1B4B">
            <w:pPr>
              <w:spacing w:line="250" w:lineRule="auto"/>
            </w:pPr>
            <w:r>
              <w:rPr>
                <w:sz w:val="18"/>
                <w:szCs w:val="18"/>
              </w:rPr>
              <w:t>Hausrat</w:t>
            </w:r>
          </w:p>
        </w:tc>
        <w:tc>
          <w:tcPr>
            <w:tcW w:w="19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0" w14:textId="77777777" w:rsidR="00C1548D" w:rsidRDefault="009B1B4B">
            <w:pPr>
              <w:spacing w:line="250" w:lineRule="auto"/>
            </w:pPr>
            <w:r>
              <w:rPr>
                <w:sz w:val="18"/>
                <w:szCs w:val="18"/>
              </w:rPr>
              <w:t>kündigen, sobald die Wohnung geräumt ist</w:t>
            </w:r>
          </w:p>
        </w:tc>
        <w:tc>
          <w:tcPr>
            <w:tcW w:w="31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1" w14:textId="53570D70" w:rsidR="00C1548D" w:rsidRDefault="009B1B4B">
            <w:pPr>
              <w:spacing w:line="250" w:lineRule="auto"/>
            </w:pPr>
            <w:r>
              <w:rPr>
                <w:sz w:val="18"/>
                <w:szCs w:val="18"/>
              </w:rPr>
              <w:t>Umzugsgut auf dem Transport gesondert versichern (Kapitel </w:t>
            </w:r>
            <w:hyperlink w:anchor="k20" w:history="1">
              <w:r>
                <w:rPr>
                  <w:sz w:val="18"/>
                  <w:szCs w:val="18"/>
                </w:rPr>
                <w:t>20</w:t>
              </w:r>
            </w:hyperlink>
            <w:r>
              <w:rPr>
                <w:sz w:val="18"/>
                <w:szCs w:val="18"/>
              </w:rPr>
              <w:t>)</w:t>
            </w:r>
          </w:p>
        </w:tc>
      </w:tr>
      <w:tr w:rsidR="00C1548D" w14:paraId="70A4D4C6" w14:textId="77777777">
        <w:tblPrEx>
          <w:tblCellMar>
            <w:top w:w="0" w:type="dxa"/>
            <w:bottom w:w="0" w:type="dxa"/>
          </w:tblCellMar>
        </w:tblPrEx>
        <w:trPr>
          <w:cantSplit/>
        </w:trPr>
        <w:tc>
          <w:tcPr>
            <w:tcW w:w="13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3" w14:textId="77777777" w:rsidR="00C1548D" w:rsidRDefault="009B1B4B">
            <w:pPr>
              <w:spacing w:line="250" w:lineRule="auto"/>
            </w:pPr>
            <w:r>
              <w:rPr>
                <w:sz w:val="18"/>
                <w:szCs w:val="18"/>
              </w:rPr>
              <w:t>Rechtsschutz</w:t>
            </w:r>
          </w:p>
        </w:tc>
        <w:tc>
          <w:tcPr>
            <w:tcW w:w="19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4" w14:textId="77777777" w:rsidR="00C1548D" w:rsidRDefault="009B1B4B">
            <w:pPr>
              <w:spacing w:line="250" w:lineRule="auto"/>
            </w:pPr>
            <w:r>
              <w:rPr>
                <w:sz w:val="18"/>
                <w:szCs w:val="18"/>
              </w:rPr>
              <w:t>meist kündigen</w:t>
            </w:r>
          </w:p>
        </w:tc>
        <w:tc>
          <w:tcPr>
            <w:tcW w:w="31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5" w14:textId="77777777" w:rsidR="00C1548D" w:rsidRDefault="009B1B4B">
            <w:pPr>
              <w:spacing w:line="250" w:lineRule="auto"/>
            </w:pPr>
            <w:r>
              <w:rPr>
                <w:sz w:val="18"/>
                <w:szCs w:val="18"/>
              </w:rPr>
              <w:t>an deutschen Wohnsitz gebunden; laufende Fälle vorher klären</w:t>
            </w:r>
          </w:p>
        </w:tc>
      </w:tr>
      <w:tr w:rsidR="00C1548D" w14:paraId="70A4D4CA" w14:textId="77777777">
        <w:tblPrEx>
          <w:tblCellMar>
            <w:top w:w="0" w:type="dxa"/>
            <w:bottom w:w="0" w:type="dxa"/>
          </w:tblCellMar>
        </w:tblPrEx>
        <w:trPr>
          <w:cantSplit/>
        </w:trPr>
        <w:tc>
          <w:tcPr>
            <w:tcW w:w="13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7" w14:textId="77777777" w:rsidR="00C1548D" w:rsidRDefault="009B1B4B">
            <w:pPr>
              <w:spacing w:line="250" w:lineRule="auto"/>
            </w:pPr>
            <w:r>
              <w:rPr>
                <w:sz w:val="18"/>
                <w:szCs w:val="18"/>
              </w:rPr>
              <w:t>Berufsunfähigkeit</w:t>
            </w:r>
          </w:p>
        </w:tc>
        <w:tc>
          <w:tcPr>
            <w:tcW w:w="19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8" w14:textId="77777777" w:rsidR="00C1548D" w:rsidRDefault="009B1B4B">
            <w:pPr>
              <w:spacing w:line="250" w:lineRule="auto"/>
            </w:pPr>
            <w:r>
              <w:rPr>
                <w:sz w:val="18"/>
                <w:szCs w:val="18"/>
              </w:rPr>
              <w:t>Fortführen prüfen</w:t>
            </w:r>
          </w:p>
        </w:tc>
        <w:tc>
          <w:tcPr>
            <w:tcW w:w="31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9" w14:textId="77777777" w:rsidR="00C1548D" w:rsidRDefault="009B1B4B">
            <w:pPr>
              <w:spacing w:line="250" w:lineRule="auto"/>
            </w:pPr>
            <w:r>
              <w:rPr>
                <w:sz w:val="18"/>
                <w:szCs w:val="18"/>
              </w:rPr>
              <w:t>Wohnsitz-, Auslands- und Meldeklauseln; Leistungsfall im Ausland</w:t>
            </w:r>
          </w:p>
        </w:tc>
      </w:tr>
      <w:tr w:rsidR="00C1548D" w14:paraId="70A4D4CE" w14:textId="77777777">
        <w:tblPrEx>
          <w:tblCellMar>
            <w:top w:w="0" w:type="dxa"/>
            <w:bottom w:w="0" w:type="dxa"/>
          </w:tblCellMar>
        </w:tblPrEx>
        <w:trPr>
          <w:cantSplit/>
        </w:trPr>
        <w:tc>
          <w:tcPr>
            <w:tcW w:w="13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B" w14:textId="77777777" w:rsidR="00C1548D" w:rsidRDefault="009B1B4B">
            <w:pPr>
              <w:spacing w:line="250" w:lineRule="auto"/>
            </w:pPr>
            <w:r>
              <w:rPr>
                <w:sz w:val="18"/>
                <w:szCs w:val="18"/>
              </w:rPr>
              <w:t>Risikoleben, Lebensversicherung</w:t>
            </w:r>
          </w:p>
        </w:tc>
        <w:tc>
          <w:tcPr>
            <w:tcW w:w="19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C" w14:textId="77777777" w:rsidR="00C1548D" w:rsidRDefault="009B1B4B">
            <w:pPr>
              <w:spacing w:line="250" w:lineRule="auto"/>
            </w:pPr>
            <w:r>
              <w:rPr>
                <w:sz w:val="18"/>
                <w:szCs w:val="18"/>
              </w:rPr>
              <w:t>Fortführen prüfen</w:t>
            </w:r>
          </w:p>
        </w:tc>
        <w:tc>
          <w:tcPr>
            <w:tcW w:w="31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D" w14:textId="77777777" w:rsidR="00C1548D" w:rsidRDefault="009B1B4B">
            <w:pPr>
              <w:spacing w:line="250" w:lineRule="auto"/>
            </w:pPr>
            <w:r>
              <w:rPr>
                <w:sz w:val="18"/>
                <w:szCs w:val="18"/>
              </w:rPr>
              <w:t>Adressmeldepflicht; ein Neuabschluss später ist teurer, weil du dann älter bist</w:t>
            </w:r>
          </w:p>
        </w:tc>
      </w:tr>
      <w:tr w:rsidR="00C1548D" w14:paraId="70A4D4D2" w14:textId="77777777">
        <w:tblPrEx>
          <w:tblCellMar>
            <w:top w:w="0" w:type="dxa"/>
            <w:bottom w:w="0" w:type="dxa"/>
          </w:tblCellMar>
        </w:tblPrEx>
        <w:trPr>
          <w:cantSplit/>
        </w:trPr>
        <w:tc>
          <w:tcPr>
            <w:tcW w:w="13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CF" w14:textId="77777777" w:rsidR="00C1548D" w:rsidRDefault="009B1B4B">
            <w:pPr>
              <w:spacing w:line="250" w:lineRule="auto"/>
            </w:pPr>
            <w:r>
              <w:rPr>
                <w:sz w:val="18"/>
                <w:szCs w:val="18"/>
              </w:rPr>
              <w:t>Kfz</w:t>
            </w:r>
          </w:p>
        </w:tc>
        <w:tc>
          <w:tcPr>
            <w:tcW w:w="19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D0" w14:textId="77777777" w:rsidR="00C1548D" w:rsidRDefault="009B1B4B">
            <w:pPr>
              <w:spacing w:line="250" w:lineRule="auto"/>
            </w:pPr>
            <w:r>
              <w:rPr>
                <w:sz w:val="18"/>
                <w:szCs w:val="18"/>
              </w:rPr>
              <w:t>mit Verkauf oder Abmeldung beenden</w:t>
            </w:r>
          </w:p>
        </w:tc>
        <w:tc>
          <w:tcPr>
            <w:tcW w:w="31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4D1" w14:textId="77777777" w:rsidR="00C1548D" w:rsidRDefault="009B1B4B">
            <w:pPr>
              <w:spacing w:line="250" w:lineRule="auto"/>
            </w:pPr>
            <w:r>
              <w:rPr>
                <w:sz w:val="18"/>
                <w:szCs w:val="18"/>
              </w:rPr>
              <w:t>Schadenfreiheitsbescheinigung auf Englisch anfordern</w:t>
            </w:r>
          </w:p>
        </w:tc>
      </w:tr>
    </w:tbl>
    <w:p w14:paraId="70A4D4D3" w14:textId="77777777" w:rsidR="00C1548D" w:rsidRDefault="00C1548D">
      <w:pPr>
        <w:spacing w:line="180" w:lineRule="exact"/>
      </w:pPr>
    </w:p>
    <w:p w14:paraId="70A4D4D4" w14:textId="7994848D" w:rsidR="00C1548D" w:rsidRDefault="009B1B4B">
      <w:pPr>
        <w:spacing w:after="140"/>
      </w:pPr>
      <w:r>
        <w:t>Die Schadenfreiheitsbescheinigung (SF-Klasse und Schadenverlauf) stellt der Versicherer auf Anfrage aus. Ob ein US-Versicherer sie anerkennt, ist uneinheitlich; die deutsche SF-Klasse zählt in den USA meist nicht (Kapitel </w:t>
      </w:r>
      <w:hyperlink w:anchor="k27" w:history="1">
        <w:r>
          <w:t>27</w:t>
        </w:r>
      </w:hyperlink>
      <w:r>
        <w:t>). Kranken-, Pflege- und Auslandsreisekrankenversicherung sind ein Sonderfall (Kapitel </w:t>
      </w:r>
      <w:hyperlink w:anchor="k18" w:history="1">
        <w:r>
          <w:t>18</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D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4D5" w14:textId="77777777" w:rsidR="00C1548D" w:rsidRDefault="009B1B4B">
            <w:pPr>
              <w:keepNext/>
              <w:spacing w:after="70" w:line="240" w:lineRule="auto"/>
            </w:pPr>
            <w:r>
              <w:rPr>
                <w:b/>
                <w:bCs/>
                <w:color w:val="9B2C2C"/>
                <w:spacing w:val="24"/>
                <w:sz w:val="16"/>
                <w:szCs w:val="16"/>
              </w:rPr>
              <w:lastRenderedPageBreak/>
              <w:t>ACHTUNG</w:t>
            </w:r>
          </w:p>
          <w:p w14:paraId="70A4D4D6" w14:textId="77777777" w:rsidR="00C1548D" w:rsidRDefault="009B1B4B">
            <w:pPr>
              <w:spacing w:after="80" w:line="264" w:lineRule="auto"/>
            </w:pPr>
            <w:r>
              <w:rPr>
                <w:sz w:val="20"/>
                <w:szCs w:val="20"/>
              </w:rPr>
              <w:t>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tc>
      </w:tr>
    </w:tbl>
    <w:p w14:paraId="70A4D4D8" w14:textId="77777777" w:rsidR="00C1548D" w:rsidRDefault="00C1548D">
      <w:pPr>
        <w:spacing w:line="220" w:lineRule="exact"/>
      </w:pPr>
    </w:p>
    <w:p w14:paraId="70A4D4D9" w14:textId="77777777" w:rsidR="00C1548D" w:rsidRDefault="009B1B4B">
      <w:pPr>
        <w:pStyle w:val="Heading3"/>
        <w:keepNext/>
        <w:jc w:val="center"/>
      </w:pPr>
      <w:r>
        <w:rPr>
          <w:rFonts w:ascii="Amazon Ember" w:eastAsia="Amazon Ember" w:hAnsi="Amazon Ember" w:cs="Amazon Ember"/>
          <w:color w:val="0000FF"/>
          <w:sz w:val="36"/>
          <w:szCs w:val="36"/>
        </w:rPr>
        <w:t>Bankkonten und Kreditkarten</w:t>
      </w:r>
    </w:p>
    <w:p w14:paraId="70A4D4DA" w14:textId="1EE8E361" w:rsidR="00C1548D" w:rsidRDefault="009B1B4B">
      <w:pPr>
        <w:spacing w:after="140"/>
      </w:pPr>
      <w:r>
        <w:t>Behalte dein deutsches Girokonto. Deutsche Konsulate identifizieren seit den Änderungen am Geldwäschegesetz niemanden mehr für Kontoeröffnungen, Kredite über 15.000 € oder Kreditkarten; ein 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w:t>
      </w:r>
      <w:r>
        <w:t>ots bei US-Wohnsitz ein oder kündigen sie (</w:t>
      </w:r>
      <w:r>
        <w:t>Kapitel </w:t>
      </w:r>
      <w:hyperlink w:anchor="k17" w:history="1">
        <w:r>
          <w:t>17</w:t>
        </w:r>
      </w:hyperlink>
      <w:r>
        <w:t>).</w:t>
      </w:r>
    </w:p>
    <w:p w14:paraId="70A4D4DB" w14:textId="1154DA6C" w:rsidR="00C1548D" w:rsidRDefault="009B1B4B">
      <w:pPr>
        <w:spacing w:after="140"/>
      </w:pPr>
      <w: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w:t>
      </w:r>
      <w:r>
        <w:t>Kapitel </w:t>
      </w:r>
      <w:hyperlink w:anchor="k25" w:history="1">
        <w:r>
          <w:t>25</w:t>
        </w:r>
      </w:hyperlink>
      <w:r>
        <w:t>); die Schufa hilft dabei nicht, ihr guter Ruf endet am Gate.</w:t>
      </w:r>
    </w:p>
    <w:p w14:paraId="70A4D4DC" w14:textId="77777777" w:rsidR="00C1548D" w:rsidRDefault="009B1B4B">
      <w:pPr>
        <w:pStyle w:val="Heading3"/>
        <w:keepNext/>
        <w:jc w:val="center"/>
      </w:pPr>
      <w:r>
        <w:rPr>
          <w:rFonts w:ascii="Amazon Ember" w:eastAsia="Amazon Ember" w:hAnsi="Amazon Ember" w:cs="Amazon Ember"/>
          <w:color w:val="0000FF"/>
          <w:sz w:val="36"/>
          <w:szCs w:val="36"/>
        </w:rPr>
        <w:t>Auto verkaufen, Post umleiten</w:t>
      </w:r>
    </w:p>
    <w:p w14:paraId="70A4D4DD" w14:textId="56E44A87" w:rsidR="00C1548D" w:rsidRDefault="009B1B4B">
      <w:pPr>
        <w:spacing w:after="140"/>
      </w:pPr>
      <w:r>
        <w:rPr>
          <w:b/>
          <w:bCs/>
        </w:rPr>
        <w:t>Auto:</w:t>
      </w:r>
      <w:r>
        <w:t xml:space="preserve"> Verkaufe das Auto in Deutschland, so spät, wie dein Alltag es erlaubt; eine Mitnahme ist aufwendig und selten sinnvoll (Kapitel </w:t>
      </w:r>
      <w:hyperlink w:anchor="k20" w:history="1">
        <w:r>
          <w:t>20</w:t>
        </w:r>
      </w:hyperlink>
      <w:r>
        <w:t xml:space="preserve"> und </w:t>
      </w:r>
      <w:hyperlink w:anchor="k27" w:history="1">
        <w:r>
          <w:t>27</w:t>
        </w:r>
      </w:hyperlink>
      <w:r>
        <w:t xml:space="preserve">). Halte den Kaufvertrag schriftlich fest (Datum, Kilometerstand, Preis) und übergib Schlüssel und Papiere erst nach </w:t>
      </w:r>
      <w:r>
        <w:lastRenderedPageBreak/>
        <w:t>Zahlungseingang. Melde den Verkauf der Zulassungsstelle und dem Kfz-Versicherer, damit Steuer und Beiträge enden.</w:t>
      </w:r>
    </w:p>
    <w:p w14:paraId="70A4D4DE" w14:textId="77777777" w:rsidR="00C1548D" w:rsidRDefault="009B1B4B">
      <w:pPr>
        <w:spacing w:after="140"/>
      </w:pPr>
      <w:r>
        <w:rPr>
          <w:b/>
          <w:bCs/>
        </w:rPr>
        <w:t>Post:</w:t>
      </w:r>
      <w:r>
        <w:t xml:space="preserve"> Der Nachsendeauftrag der Deutschen Post läuft sechs Monate und kostet im Inland 31,90 € online oder 34,90 € in der Poststation, bei fünf Werktagen Vorlauf. Ins Ausland ausgeschlossen sind unter 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w:t>
      </w:r>
      <w:r>
        <w:t>isten laufen auch, wenn du den Bescheid erst spät liest.</w:t>
      </w:r>
    </w:p>
    <w:p w14:paraId="70A4D4DF" w14:textId="77777777" w:rsidR="00C1548D" w:rsidRDefault="009B1B4B">
      <w:pPr>
        <w:pStyle w:val="Heading3"/>
        <w:keepNext/>
        <w:jc w:val="center"/>
      </w:pPr>
      <w:r>
        <w:rPr>
          <w:rFonts w:ascii="Amazon Ember" w:eastAsia="Amazon Ember" w:hAnsi="Amazon Ember" w:cs="Amazon Ember"/>
          <w:color w:val="0000FF"/>
          <w:sz w:val="36"/>
          <w:szCs w:val="36"/>
        </w:rPr>
        <w:t>Vollmachten und Vorsorge</w:t>
      </w:r>
    </w:p>
    <w:p w14:paraId="70A4D4E0" w14:textId="77777777" w:rsidR="00C1548D" w:rsidRDefault="009B1B4B">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w14:paraId="70A4D4E1" w14:textId="77777777" w:rsidR="00C1548D" w:rsidRDefault="009B1B4B" w:rsidP="009B1B4B">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w14:paraId="70A4D4E2" w14:textId="77777777" w:rsidR="00C1548D" w:rsidRDefault="009B1B4B" w:rsidP="009B1B4B">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w14:paraId="70A4D4E3" w14:textId="77777777" w:rsidR="00C1548D" w:rsidRDefault="009B1B4B" w:rsidP="009B1B4B">
      <w:pPr>
        <w:pStyle w:val="ListParagraph"/>
        <w:numPr>
          <w:ilvl w:val="0"/>
          <w:numId w:val="1"/>
        </w:numPr>
        <w:spacing w:after="60"/>
      </w:pPr>
      <w:r>
        <w:rPr>
          <w:b/>
          <w:bCs/>
        </w:rPr>
        <w:t>Betreuungsverfügung</w:t>
      </w:r>
      <w:r>
        <w:t xml:space="preserve"> für den Fall, dass ein Gericht eine Betreuung anordnen muss.</w:t>
      </w:r>
    </w:p>
    <w:p w14:paraId="70A4D4E4" w14:textId="77777777" w:rsidR="00C1548D" w:rsidRDefault="00C1548D">
      <w:pPr>
        <w:spacing w:line="120" w:lineRule="exact"/>
      </w:pPr>
    </w:p>
    <w:p w14:paraId="70A4D4E5" w14:textId="59C8C53D" w:rsidR="00C1548D" w:rsidRDefault="009B1B4B">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w:t>
      </w:r>
      <w:r>
        <w:lastRenderedPageBreak/>
        <w:t xml:space="preserve">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history="1">
        <w:r>
          <w:t>39</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E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4E6" w14:textId="77777777" w:rsidR="00C1548D" w:rsidRDefault="009B1B4B">
            <w:pPr>
              <w:keepNext/>
              <w:spacing w:after="70" w:line="240" w:lineRule="auto"/>
            </w:pPr>
            <w:r>
              <w:rPr>
                <w:b/>
                <w:bCs/>
                <w:color w:val="9B2C2C"/>
                <w:spacing w:val="24"/>
                <w:sz w:val="16"/>
                <w:szCs w:val="16"/>
              </w:rPr>
              <w:t>ACHTUNG</w:t>
            </w:r>
          </w:p>
          <w:p w14:paraId="70A4D4E7" w14:textId="77777777" w:rsidR="00C1548D" w:rsidRDefault="009B1B4B">
            <w:pPr>
              <w:spacing w:after="80" w:line="264" w:lineRule="auto"/>
            </w:pPr>
            <w:r>
              <w:rPr>
                <w:sz w:val="20"/>
                <w:szCs w:val="20"/>
              </w:rPr>
              <w:t>Warte nicht bis zur Ankunft. Aus den USA kannst du beim Konsulat nur Unterschriften beglaubigen lassen, keine Vorsorgedokumente beurkunden. Die Notarkosten richten sich in der Regel nach dem Vermögen; hole vorab ein Angebot ein.</w:t>
            </w:r>
          </w:p>
        </w:tc>
      </w:tr>
    </w:tbl>
    <w:p w14:paraId="70A4D4E9" w14:textId="77777777" w:rsidR="00C1548D" w:rsidRDefault="00C1548D">
      <w:pPr>
        <w:spacing w:line="220" w:lineRule="exact"/>
      </w:pPr>
    </w:p>
    <w:p w14:paraId="70A4D4EA" w14:textId="77777777" w:rsidR="00C1548D" w:rsidRDefault="009B1B4B">
      <w:pPr>
        <w:pStyle w:val="Heading3"/>
        <w:keepNext/>
        <w:jc w:val="center"/>
      </w:pPr>
      <w:r>
        <w:rPr>
          <w:rFonts w:ascii="Amazon Ember" w:eastAsia="Amazon Ember" w:hAnsi="Amazon Ember" w:cs="Amazon Ember"/>
          <w:color w:val="0000FF"/>
          <w:sz w:val="36"/>
          <w:szCs w:val="36"/>
        </w:rPr>
        <w:t>Elefand und Wahlrecht: Kontakt nach Deutschland</w:t>
      </w:r>
    </w:p>
    <w:p w14:paraId="70A4D4EB" w14:textId="77777777" w:rsidR="00C1548D" w:rsidRDefault="009B1B4B">
      <w:pPr>
        <w:spacing w:after="140"/>
      </w:pPr>
      <w:r>
        <w:t>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w:t>
      </w:r>
      <w:r>
        <w:t xml:space="preserve"> Wahltag. Bedingung ist unter anderem, dass du nach dem 14. Geburtstag mindestens drei Monate ununterbrochen in Deutschland gewohnt hast und das nicht länger als 25 Jahre zurückliegt.</w:t>
      </w:r>
    </w:p>
    <w:p w14:paraId="70A4D4EC" w14:textId="77777777" w:rsidR="00C1548D" w:rsidRDefault="009B1B4B">
      <w:pPr>
        <w:pStyle w:val="Heading3"/>
        <w:keepNext/>
        <w:jc w:val="center"/>
      </w:pPr>
      <w:r>
        <w:rPr>
          <w:rFonts w:ascii="Amazon Ember" w:eastAsia="Amazon Ember" w:hAnsi="Amazon Ember" w:cs="Amazon Ember"/>
          <w:color w:val="0000FF"/>
          <w:sz w:val="36"/>
          <w:szCs w:val="36"/>
        </w:rPr>
        <w:t>Familie: Kindergeld, Elterngeld, Kita, Schule</w:t>
      </w:r>
    </w:p>
    <w:p w14:paraId="70A4D4ED" w14:textId="77777777" w:rsidR="00C1548D" w:rsidRDefault="009B1B4B">
      <w:pPr>
        <w:spacing w:after="140"/>
      </w:pPr>
      <w:r>
        <w:rPr>
          <w:b/>
          <w:bCs/>
        </w:rPr>
        <w:t>Kindergeld:</w:t>
      </w:r>
      <w:r>
        <w:t xml:space="preserve"> Anspruch hat, wer im Inland wohnt oder sich gewöhnlich aufhält (§ 62 EStG) – nicht, wer nur die deutsche </w:t>
      </w:r>
      <w:r>
        <w:lastRenderedPageBreak/>
        <w:t>Staatsangehörigkeit behält, ein verbreiteter Irrtum. Ziehst du mit den Kindern in die USA, endet der Anspruch in der Regel mit dem Wegzug. Teile das der Familienkasse rechtzeitig mit; zu Unrecht gezahlte Beträge werden zurückgefordert.</w:t>
      </w:r>
    </w:p>
    <w:p w14:paraId="70A4D4EE" w14:textId="77777777" w:rsidR="00C1548D" w:rsidRDefault="009B1B4B">
      <w:pPr>
        <w:spacing w:after="140"/>
      </w:pPr>
      <w:r>
        <w:rPr>
          <w:b/>
          <w:bCs/>
        </w:rPr>
        <w:t>Elterngeld:</w:t>
      </w:r>
      <w:r>
        <w:t xml:space="preserve"> Voraussetzung ist ein Wohnsitz oder gewöhnlicher Aufenthalt in Deutschland (§ 1 BEEG). Ausnahmen gelten für vorübergehend Entsandte; wer dauerhaft mit einem US-Arbeitgeber auswandert, fällt in der Regel nicht darunter. Bist du im laufenden Bezug oder erwartest ein Baby, sprich vor dem Umzug mit der Elterngeldstelle.</w:t>
      </w:r>
    </w:p>
    <w:p w14:paraId="70A4D4EF" w14:textId="6EB6BC0E" w:rsidR="00C1548D" w:rsidRDefault="009B1B4B">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history="1">
        <w:r>
          <w:t>19</w:t>
        </w:r>
      </w:hyperlink>
      <w:r>
        <w:t xml:space="preserve"> und </w:t>
      </w:r>
      <w:hyperlink w:anchor="k36" w:history="1">
        <w:r>
          <w:t>36</w:t>
        </w:r>
      </w:hyperlink>
      <w:r>
        <w:t>).</w:t>
      </w:r>
    </w:p>
    <w:p w14:paraId="70A4D4F0" w14:textId="77777777" w:rsidR="00C1548D" w:rsidRDefault="009B1B4B">
      <w:pPr>
        <w:spacing w:after="140"/>
      </w:pPr>
      <w:r>
        <w:rPr>
          <w:b/>
          <w:bCs/>
        </w:rPr>
        <w:t>Sorgerecht:</w:t>
      </w:r>
      <w:r>
        <w:t xml:space="preserve"> Haben getrennt lebende Eltern das gemeinsame Sorgerecht, ist ein Umzug ins Ausland in der Regel nur mit Zustimmung des anderen Elternteils oder einer familiengerichtlichen Entscheidung möglich. Lass dich vorher familienrechtlich beraten.</w:t>
      </w:r>
    </w:p>
    <w:p w14:paraId="70A4D4F1" w14:textId="77777777" w:rsidR="00C1548D" w:rsidRDefault="009B1B4B">
      <w:pPr>
        <w:pStyle w:val="Heading3"/>
        <w:keepNext/>
        <w:jc w:val="center"/>
      </w:pPr>
      <w:r>
        <w:rPr>
          <w:rFonts w:ascii="Amazon Ember" w:eastAsia="Amazon Ember" w:hAnsi="Amazon Ember" w:cs="Amazon Ember"/>
          <w:color w:val="0000FF"/>
          <w:sz w:val="36"/>
          <w:szCs w:val="36"/>
        </w:rPr>
        <w:t>Was du in Deutschland unbedingt behalten solltest</w:t>
      </w:r>
    </w:p>
    <w:p w14:paraId="70A4D4F2" w14:textId="77777777" w:rsidR="00C1548D" w:rsidRDefault="009B1B4B">
      <w:pPr>
        <w:spacing w:after="140"/>
      </w:pPr>
      <w:r>
        <w:t>Ein sauberer Schnitt klingt aufgeräumt, kostet aber den Rückweg. Diese Dinge behältst du:</w:t>
      </w:r>
    </w:p>
    <w:p w14:paraId="70A4D4F3" w14:textId="77777777" w:rsidR="00C1548D" w:rsidRDefault="009B1B4B" w:rsidP="009B1B4B">
      <w:pPr>
        <w:pStyle w:val="ListParagraph"/>
        <w:numPr>
          <w:ilvl w:val="0"/>
          <w:numId w:val="1"/>
        </w:numPr>
        <w:spacing w:after="60"/>
      </w:pPr>
      <w:r>
        <w:rPr>
          <w:b/>
          <w:bCs/>
        </w:rPr>
        <w:t>Ein deutsches Girokonto</w:t>
      </w:r>
      <w:r>
        <w:t xml:space="preserve"> samt Kreditkarte, als Ziel für Rückzahlungen und Rückfallebene.</w:t>
      </w:r>
    </w:p>
    <w:p w14:paraId="70A4D4F4" w14:textId="4425C0F2" w:rsidR="00C1548D" w:rsidRDefault="009B1B4B" w:rsidP="009B1B4B">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w:t>
      </w:r>
      <w:r>
        <w:lastRenderedPageBreak/>
        <w:t>Inland benennst; das ist oft dieselbe Person oder deine Steuerberatung (Kapitel </w:t>
      </w:r>
      <w:hyperlink w:anchor="k17" w:history="1">
        <w:r>
          <w:t>17</w:t>
        </w:r>
      </w:hyperlink>
      <w:r>
        <w:t>).</w:t>
      </w:r>
    </w:p>
    <w:p w14:paraId="70A4D4F5" w14:textId="77777777" w:rsidR="00C1548D" w:rsidRDefault="009B1B4B" w:rsidP="009B1B4B">
      <w:pPr>
        <w:pStyle w:val="ListParagraph"/>
        <w:numPr>
          <w:ilvl w:val="0"/>
          <w:numId w:val="1"/>
        </w:numPr>
        <w:spacing w:after="60"/>
      </w:pPr>
      <w:r>
        <w:rPr>
          <w:b/>
          <w:bCs/>
        </w:rPr>
        <w:t>Deine Steuer-ID und deine Rentenversicherungsnummer.</w:t>
      </w:r>
      <w:r>
        <w:t xml:space="preserve"> Notiere beide und lege sie sicher ab.</w:t>
      </w:r>
    </w:p>
    <w:p w14:paraId="70A4D4F6" w14:textId="00508646" w:rsidR="00C1548D" w:rsidRDefault="009B1B4B" w:rsidP="009B1B4B">
      <w:pPr>
        <w:pStyle w:val="ListParagraph"/>
        <w:numPr>
          <w:ilvl w:val="0"/>
          <w:numId w:val="1"/>
        </w:numPr>
        <w:spacing w:after="60"/>
      </w:pPr>
      <w:r>
        <w:rPr>
          <w:b/>
          <w:bCs/>
        </w:rPr>
        <w:t>Den Rückweg in die Krankenversicherung.</w:t>
      </w:r>
      <w:r>
        <w:t xml:space="preserve"> Prüfe, ob eine Anwartschaft in der gesetzlichen oder privaten Krankenversicherung ihn offenhält (Kapitel </w:t>
      </w:r>
      <w:hyperlink w:anchor="k18" w:history="1">
        <w:r>
          <w:t>18</w:t>
        </w:r>
      </w:hyperlink>
      <w:r>
        <w:t xml:space="preserve"> und </w:t>
      </w:r>
      <w:hyperlink w:anchor="k42" w:history="1">
        <w:r>
          <w:t>42</w:t>
        </w:r>
      </w:hyperlink>
      <w:r>
        <w:t>).</w:t>
      </w:r>
    </w:p>
    <w:p w14:paraId="70A4D4F7" w14:textId="77777777" w:rsidR="00C1548D" w:rsidRDefault="009B1B4B" w:rsidP="009B1B4B">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w14:paraId="70A4D4F8" w14:textId="0CFD9D53" w:rsidR="00C1548D" w:rsidRDefault="009B1B4B" w:rsidP="009B1B4B">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history="1">
        <w:r>
          <w:t>19</w:t>
        </w:r>
      </w:hyperlink>
      <w:r>
        <w:t>).</w:t>
      </w:r>
    </w:p>
    <w:p w14:paraId="70A4D4F9" w14:textId="41F4E8FD" w:rsidR="00C1548D" w:rsidRDefault="009B1B4B" w:rsidP="009B1B4B">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history="1">
        <w:r>
          <w:t>41</w:t>
        </w:r>
      </w:hyperlink>
      <w:r>
        <w:t>).</w:t>
      </w:r>
    </w:p>
    <w:p w14:paraId="70A4D4FA"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4F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4FB" w14:textId="77777777" w:rsidR="00C1548D" w:rsidRDefault="009B1B4B">
            <w:pPr>
              <w:keepNext/>
              <w:spacing w:after="70" w:line="240" w:lineRule="auto"/>
            </w:pPr>
            <w:r>
              <w:rPr>
                <w:b/>
                <w:bCs/>
                <w:color w:val="4A5568"/>
                <w:spacing w:val="24"/>
                <w:sz w:val="16"/>
                <w:szCs w:val="16"/>
              </w:rPr>
              <w:t>PRAXISBEISPIEL · FIKTIV</w:t>
            </w:r>
          </w:p>
          <w:p w14:paraId="70A4D4FC" w14:textId="77777777" w:rsidR="00C1548D" w:rsidRDefault="009B1B4B">
            <w:pPr>
              <w:spacing w:after="80" w:line="264" w:lineRule="auto"/>
            </w:pPr>
            <w:r>
              <w:rPr>
                <w:sz w:val="20"/>
                <w:szCs w:val="20"/>
              </w:rPr>
              <w:t>Familie Brandt aus Stuttgart (fiktives Beispiel) will Ende September fliegen, passend zum H-1B-Start am 1. Oktober. Als die Genehmigung vorliegt und der Konsulatstermin feststeht, geht Markus am 28. Juni mit dem Kündigungsschreiben zur Post – er hat es dreimal gegengelesen, bevor er es als Einwurf-Einschreiben zustellen lässt, vor dem dritten Werktag im Juli; das Mietverhältnis endet am 30. September. Die Kaution von 4.050 € (dreimal 1.350 € Kaltmiete) soll auf das Stuttgarter Girokonto zurück, das die Fami</w:t>
            </w:r>
            <w:r>
              <w:rPr>
                <w:sz w:val="20"/>
                <w:szCs w:val="20"/>
              </w:rPr>
              <w:t>lie behält. Anna kündigt Haftpflicht und Hausrat zum Übergabetag, fordert vom Kfz-Versicherer eine englische Schadenfreiheitsbescheinigung an und meldet der Familienkasse den Wegzug. Annas Bruder erhält eine notarielle Vorsorgevollmacht und wird Postadresse der Familie. Eine Doppelmiete entsteht nicht.</w:t>
            </w:r>
          </w:p>
        </w:tc>
      </w:tr>
    </w:tbl>
    <w:p w14:paraId="70A4D4FE" w14:textId="77777777" w:rsidR="00C1548D" w:rsidRDefault="00C1548D">
      <w:pPr>
        <w:spacing w:line="220" w:lineRule="exact"/>
      </w:pPr>
    </w:p>
    <w:p w14:paraId="70A4D4FF"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502"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500"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501" w14:textId="77777777" w:rsidR="00C1548D" w:rsidRDefault="009B1B4B">
            <w:pPr>
              <w:spacing w:line="250" w:lineRule="auto"/>
            </w:pPr>
            <w:r>
              <w:rPr>
                <w:b/>
                <w:bCs/>
                <w:sz w:val="18"/>
                <w:szCs w:val="18"/>
              </w:rPr>
              <w:t>Minus</w:t>
            </w:r>
          </w:p>
        </w:tc>
      </w:tr>
      <w:tr w:rsidR="00C1548D" w14:paraId="70A4D50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03" w14:textId="77777777" w:rsidR="00C1548D" w:rsidRDefault="009B1B4B">
            <w:pPr>
              <w:spacing w:line="250" w:lineRule="auto"/>
            </w:pPr>
            <w:r>
              <w:rPr>
                <w:sz w:val="18"/>
                <w:szCs w:val="18"/>
              </w:rPr>
              <w:t>Ein deutsches Konto nimmt Kaution, Erstattungen und Rente auf und erleichtert den Rückweg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04" w14:textId="77777777" w:rsidR="00C1548D" w:rsidRDefault="009B1B4B">
            <w:pPr>
              <w:spacing w:line="250" w:lineRule="auto"/>
            </w:pPr>
            <w:r>
              <w:rPr>
                <w:sz w:val="18"/>
                <w:szCs w:val="18"/>
              </w:rPr>
              <w:t>Manche Banken schränken Konten bei US-Wohnsitz ein oder verlangen zusätzliche Erklärungen</w:t>
            </w:r>
          </w:p>
        </w:tc>
      </w:tr>
      <w:tr w:rsidR="00C1548D" w14:paraId="70A4D50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06" w14:textId="345E2A99" w:rsidR="00C1548D" w:rsidRDefault="009B1B4B">
            <w:pPr>
              <w:spacing w:line="250" w:lineRule="auto"/>
            </w:pPr>
            <w:r>
              <w:rPr>
                <w:sz w:val="18"/>
                <w:szCs w:val="18"/>
              </w:rPr>
              <w:t>Eine Anwartschaft hält die Rückkehr in die Krankenversicherung offen (Kapitel </w:t>
            </w:r>
            <w:hyperlink w:anchor="k18" w:history="1">
              <w:r>
                <w:rPr>
                  <w:sz w:val="18"/>
                  <w:szCs w:val="18"/>
                </w:rPr>
                <w:t>18</w:t>
              </w:r>
            </w:hyperlink>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07" w14:textId="77777777" w:rsidR="00C1548D" w:rsidRDefault="009B1B4B">
            <w:pPr>
              <w:spacing w:line="250" w:lineRule="auto"/>
            </w:pPr>
            <w:r>
              <w:rPr>
                <w:sz w:val="18"/>
                <w:szCs w:val="18"/>
              </w:rPr>
              <w:t>Kostet Beitrag, ohne dass du Leistungen erhältst</w:t>
            </w:r>
          </w:p>
        </w:tc>
      </w:tr>
      <w:tr w:rsidR="00C1548D" w14:paraId="70A4D50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09" w14:textId="77777777" w:rsidR="00C1548D" w:rsidRDefault="009B1B4B">
            <w:pPr>
              <w:spacing w:line="250" w:lineRule="auto"/>
            </w:pPr>
            <w:r>
              <w:rPr>
                <w:sz w:val="18"/>
                <w:szCs w:val="18"/>
              </w:rPr>
              <w:t>Fortgeführte Berufsunfähigkeits- und Risikolebensversicherung behalten die einmal geprüfte Gesundheitseinstufung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0A" w14:textId="77777777" w:rsidR="00C1548D" w:rsidRDefault="009B1B4B">
            <w:pPr>
              <w:spacing w:line="250" w:lineRule="auto"/>
            </w:pPr>
            <w:r>
              <w:rPr>
                <w:sz w:val="18"/>
                <w:szCs w:val="18"/>
              </w:rPr>
              <w:t>Wohnsitz- und Auslandsklauseln können im Leistungsfall Ärger machen; der Beitrag läuft weiter</w:t>
            </w:r>
          </w:p>
        </w:tc>
      </w:tr>
      <w:tr w:rsidR="00C1548D" w14:paraId="70A4D50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0C" w14:textId="77777777" w:rsidR="00C1548D" w:rsidRDefault="009B1B4B">
            <w:pPr>
              <w:spacing w:line="250" w:lineRule="auto"/>
            </w:pPr>
            <w:r>
              <w:rPr>
                <w:sz w:val="18"/>
                <w:szCs w:val="18"/>
              </w:rPr>
              <w:t>Eine bevollmächtigte Vertrauensperson fängt Post und Fristen ab</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0D" w14:textId="77777777" w:rsidR="00C1548D" w:rsidRDefault="009B1B4B">
            <w:pPr>
              <w:spacing w:line="250" w:lineRule="auto"/>
            </w:pPr>
            <w:r>
              <w:rPr>
                <w:sz w:val="18"/>
                <w:szCs w:val="18"/>
              </w:rPr>
              <w:t>Setzt dein volles Vertrauen voraus; Notar und Vorsorgeregister kosten Geld</w:t>
            </w:r>
          </w:p>
        </w:tc>
      </w:tr>
      <w:tr w:rsidR="00C1548D" w14:paraId="70A4D51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0F" w14:textId="77777777" w:rsidR="00C1548D" w:rsidRDefault="009B1B4B">
            <w:pPr>
              <w:spacing w:line="250" w:lineRule="auto"/>
            </w:pPr>
            <w:r>
              <w:rPr>
                <w:sz w:val="18"/>
                <w:szCs w:val="18"/>
              </w:rPr>
              <w:t>Eine behaltene Wohnung ist ein sicherer Hafen bei Rückkehr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10" w14:textId="77777777" w:rsidR="00C1548D" w:rsidRDefault="009B1B4B">
            <w:pPr>
              <w:spacing w:line="250" w:lineRule="auto"/>
            </w:pPr>
            <w:r>
              <w:rPr>
                <w:sz w:val="18"/>
                <w:szCs w:val="18"/>
              </w:rPr>
              <w:t>Kann Steuer- und Meldepflichten auslösen und kostet laufend Miete</w:t>
            </w:r>
          </w:p>
        </w:tc>
      </w:tr>
      <w:tr w:rsidR="00C1548D" w14:paraId="70A4D51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12" w14:textId="77777777" w:rsidR="00C1548D" w:rsidRDefault="009B1B4B">
            <w:pPr>
              <w:spacing w:line="250" w:lineRule="auto"/>
            </w:pPr>
            <w:r>
              <w:rPr>
                <w:sz w:val="18"/>
                <w:szCs w:val="18"/>
              </w:rPr>
              <w:t>Ein sauberer Schnitt bedeutet wenig Verwaltung und keine laufenden Kosten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13" w14:textId="3E275676" w:rsidR="00C1548D" w:rsidRDefault="009B1B4B">
            <w:pPr>
              <w:spacing w:line="250" w:lineRule="auto"/>
            </w:pPr>
            <w:r>
              <w:rPr>
                <w:sz w:val="18"/>
                <w:szCs w:val="18"/>
              </w:rPr>
              <w:t>Bei Rückkehr fehlen Konto, Versicherungshistorie und Wohnung (Kapitel </w:t>
            </w:r>
            <w:hyperlink w:anchor="k42" w:history="1">
              <w:r>
                <w:rPr>
                  <w:sz w:val="18"/>
                  <w:szCs w:val="18"/>
                </w:rPr>
                <w:t>42</w:t>
              </w:r>
            </w:hyperlink>
            <w:r>
              <w:rPr>
                <w:sz w:val="18"/>
                <w:szCs w:val="18"/>
              </w:rPr>
              <w:t>)</w:t>
            </w:r>
          </w:p>
        </w:tc>
      </w:tr>
    </w:tbl>
    <w:p w14:paraId="70A4D515" w14:textId="77777777" w:rsidR="00C1548D" w:rsidRDefault="00C1548D">
      <w:pPr>
        <w:spacing w:line="180" w:lineRule="exact"/>
      </w:pPr>
    </w:p>
    <w:p w14:paraId="70A4D516"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517" w14:textId="77777777" w:rsidR="00C1548D" w:rsidRDefault="009B1B4B" w:rsidP="009B1B4B">
      <w:pPr>
        <w:pStyle w:val="ListParagraph"/>
        <w:numPr>
          <w:ilvl w:val="0"/>
          <w:numId w:val="22"/>
        </w:numPr>
        <w:spacing w:after="60"/>
      </w:pPr>
      <w:r>
        <w:t>Erstelle heute die Vertragsliste und rechne die Kündigungstermine rückwärts vom Abflug.</w:t>
      </w:r>
    </w:p>
    <w:p w14:paraId="70A4D518" w14:textId="77777777" w:rsidR="00C1548D" w:rsidRDefault="009B1B4B" w:rsidP="009B1B4B">
      <w:pPr>
        <w:pStyle w:val="ListParagraph"/>
        <w:numPr>
          <w:ilvl w:val="0"/>
          <w:numId w:val="22"/>
        </w:numPr>
        <w:spacing w:after="60"/>
      </w:pPr>
      <w:r>
        <w:t>Buche früh Notar (Vollmachten) und Bürgeramt (Abmeldung).</w:t>
      </w:r>
    </w:p>
    <w:p w14:paraId="70A4D519" w14:textId="77777777" w:rsidR="00C1548D" w:rsidRDefault="009B1B4B" w:rsidP="009B1B4B">
      <w:pPr>
        <w:pStyle w:val="ListParagraph"/>
        <w:numPr>
          <w:ilvl w:val="0"/>
          <w:numId w:val="22"/>
        </w:numPr>
        <w:spacing w:after="60"/>
      </w:pPr>
      <w:r>
        <w:t>Kündige Wohnung und Arbeitsvertrag, sobald das Visum sicher ist, den Rest nach Frist.</w:t>
      </w:r>
    </w:p>
    <w:p w14:paraId="70A4D51A"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28" w14:textId="77777777">
        <w:tblPrEx>
          <w:tblCellMar>
            <w:top w:w="0" w:type="dxa"/>
            <w:bottom w:w="0" w:type="dxa"/>
          </w:tblCellMar>
        </w:tblPrEx>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51B" w14:textId="77777777" w:rsidR="00C1548D" w:rsidRDefault="009B1B4B">
            <w:pPr>
              <w:keepNext/>
              <w:spacing w:after="70" w:line="240" w:lineRule="auto"/>
            </w:pPr>
            <w:r>
              <w:rPr>
                <w:b/>
                <w:bCs/>
                <w:color w:val="1F6F78"/>
                <w:spacing w:val="24"/>
                <w:sz w:val="16"/>
                <w:szCs w:val="16"/>
              </w:rPr>
              <w:lastRenderedPageBreak/>
              <w:t>CHECKLISTE</w:t>
            </w:r>
          </w:p>
          <w:p w14:paraId="70A4D51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Vertragsliste aus zwölf Monaten Kontoauszügen erstellt, Kündigungstermine vom Abflug rückwärts berechnet</w:t>
            </w:r>
          </w:p>
          <w:p w14:paraId="70A4D51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Visum genehmigt und Termine mit Arbeitgeber und Anwalt abgestimmt, bevor Wohnung und Arbeitsvertrag gekündigt werden</w:t>
            </w:r>
          </w:p>
          <w:p w14:paraId="70A4D51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Mietvertrag schriftlich gekündigt (Zugang bis zum dritten Werktag), Übergabetermin und Kautionskonto mitgeteilt</w:t>
            </w:r>
          </w:p>
          <w:p w14:paraId="70A4D51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Arbeitsvertrag mit Unterschrift gekündigt oder Aufhebungsvertrag geschlossen, Arbeitszeugnis angefordert</w:t>
            </w:r>
          </w:p>
          <w:p w14:paraId="70A4D52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Abmeldung frühestens eine Woche vor dem Auszug erledigt, Abmeldebescheinigung mehrfach kopiert</w:t>
            </w:r>
          </w:p>
          <w:p w14:paraId="70A4D52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Rundfunkbeitrag, Handy, Internet, Strom und Gas beendet oder abgemeldet, Bestätigungen abgelegt</w:t>
            </w:r>
          </w:p>
          <w:p w14:paraId="70A4D52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Haftpflicht, Hausrat und Rechtsschutz zum Übergabetag gekündigt, Berufsunfähigkeits- und Risikolebensversicherung geprüft</w:t>
            </w:r>
          </w:p>
          <w:p w14:paraId="70A4D52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Schadenfreiheitsbescheinigung auf Englisch angefordert, Auto verkauft, Zulassungsstelle informiert</w:t>
            </w:r>
          </w:p>
          <w:p w14:paraId="70A4D52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Bank über Wegzug informiert, App-Verfahren für Überweisungen eingerichtet, Konto und Kreditkarte behalten</w:t>
            </w:r>
          </w:p>
          <w:p w14:paraId="70A4D52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Vorsorgevollmacht, Patientenverfügung und Betreuungsverfügung beim Notar beurkundet und registriert</w:t>
            </w:r>
          </w:p>
          <w:p w14:paraId="70A4D52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Familienkasse, Elterngeldstelle, Kita und Schule informiert, Zeugniskopien besorgt</w:t>
            </w:r>
          </w:p>
          <w:p w14:paraId="70A4D52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Nachsendeauftrag und Adressänderungen erledigt, Elefand-Eintrag nach der Ankunft eingeplant</w:t>
            </w:r>
          </w:p>
        </w:tc>
      </w:tr>
    </w:tbl>
    <w:p w14:paraId="70A4D529" w14:textId="77777777" w:rsidR="00C1548D" w:rsidRDefault="00C1548D">
      <w:pPr>
        <w:spacing w:line="220" w:lineRule="exact"/>
      </w:pPr>
    </w:p>
    <w:p w14:paraId="70A4D52A"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52B" w14:textId="7D4EB0C1" w:rsidR="00C1548D" w:rsidRDefault="009B1B4B" w:rsidP="009B1B4B">
      <w:pPr>
        <w:pStyle w:val="ListParagraph"/>
        <w:numPr>
          <w:ilvl w:val="0"/>
          <w:numId w:val="1"/>
        </w:numPr>
        <w:spacing w:after="60"/>
      </w:pPr>
      <w:r>
        <w:t xml:space="preserve">Bundesmeldegesetz, BGB, Telekommunikationsgesetz, Versicherungsvertragsgesetz, Wehrpflichtgesetz (Wortlaut) — </w:t>
      </w:r>
      <w:hyperlink r:id="rId138" w:history="1">
        <w:r>
          <w:rPr>
            <w:color w:val="0563C1"/>
            <w:u w:val="single"/>
          </w:rPr>
          <w:t>gesetze-im-internet.de</w:t>
        </w:r>
      </w:hyperlink>
    </w:p>
    <w:p w14:paraId="70A4D52C" w14:textId="79878A09" w:rsidR="00C1548D" w:rsidRDefault="009B1B4B" w:rsidP="009B1B4B">
      <w:pPr>
        <w:pStyle w:val="ListParagraph"/>
        <w:numPr>
          <w:ilvl w:val="0"/>
          <w:numId w:val="1"/>
        </w:numPr>
        <w:spacing w:after="60"/>
      </w:pPr>
      <w:r>
        <w:t xml:space="preserve">Rundfunkbeitrag, Abmeldung einer Wohnung — </w:t>
      </w:r>
      <w:hyperlink r:id="rId139" w:history="1">
        <w:r>
          <w:rPr>
            <w:color w:val="0563C1"/>
            <w:u w:val="single"/>
          </w:rPr>
          <w:t>rundfunkbeitrag.de</w:t>
        </w:r>
      </w:hyperlink>
    </w:p>
    <w:p w14:paraId="70A4D52D" w14:textId="03823B27" w:rsidR="00C1548D" w:rsidRDefault="009B1B4B" w:rsidP="009B1B4B">
      <w:pPr>
        <w:pStyle w:val="ListParagraph"/>
        <w:numPr>
          <w:ilvl w:val="0"/>
          <w:numId w:val="1"/>
        </w:numPr>
        <w:spacing w:after="60"/>
      </w:pPr>
      <w:r>
        <w:lastRenderedPageBreak/>
        <w:t xml:space="preserve">Nachsendeservice der Deutschen Post — </w:t>
      </w:r>
      <w:hyperlink r:id="rId140" w:history="1">
        <w:r>
          <w:rPr>
            <w:color w:val="0563C1"/>
            <w:u w:val="single"/>
          </w:rPr>
          <w:t>deutschepost.de/de/n/nachsendeservice.html</w:t>
        </w:r>
      </w:hyperlink>
    </w:p>
    <w:p w14:paraId="70A4D52E" w14:textId="1D677CB6" w:rsidR="00C1548D" w:rsidRDefault="009B1B4B" w:rsidP="009B1B4B">
      <w:pPr>
        <w:pStyle w:val="ListParagraph"/>
        <w:numPr>
          <w:ilvl w:val="0"/>
          <w:numId w:val="1"/>
        </w:numPr>
        <w:spacing w:after="60"/>
      </w:pPr>
      <w:r>
        <w:t xml:space="preserve">Deutsche Vertretungen in den USA: Beglaubigungen, Pässe, Wahlen — </w:t>
      </w:r>
      <w:hyperlink r:id="rId141" w:history="1">
        <w:r>
          <w:rPr>
            <w:color w:val="0563C1"/>
            <w:u w:val="single"/>
          </w:rPr>
          <w:t>germany.info/us-en/service</w:t>
        </w:r>
      </w:hyperlink>
    </w:p>
    <w:p w14:paraId="70A4D52F" w14:textId="69C73A3D" w:rsidR="00C1548D" w:rsidRDefault="009B1B4B" w:rsidP="009B1B4B">
      <w:pPr>
        <w:pStyle w:val="ListParagraph"/>
        <w:numPr>
          <w:ilvl w:val="0"/>
          <w:numId w:val="1"/>
        </w:numPr>
        <w:spacing w:after="60"/>
      </w:pPr>
      <w:r>
        <w:t xml:space="preserve">Auswärtiges Amt: Reise- und Sicherheitshinweise USA, Krisenvorsorgeliste — </w:t>
      </w:r>
      <w:hyperlink r:id="rId142" w:history="1">
        <w:r>
          <w:rPr>
            <w:color w:val="0563C1"/>
            <w:u w:val="single"/>
          </w:rPr>
          <w:t>auswaertiges-amt.de</w:t>
        </w:r>
      </w:hyperlink>
    </w:p>
    <w:p w14:paraId="70A4D530" w14:textId="24AE001B" w:rsidR="00C1548D" w:rsidRDefault="009B1B4B" w:rsidP="009B1B4B">
      <w:pPr>
        <w:pStyle w:val="ListParagraph"/>
        <w:numPr>
          <w:ilvl w:val="0"/>
          <w:numId w:val="1"/>
        </w:numPr>
        <w:spacing w:after="60"/>
      </w:pPr>
      <w:r>
        <w:t xml:space="preserve">Zentrales Vorsorgeregister der Bundesnotarkammer — </w:t>
      </w:r>
      <w:hyperlink r:id="rId143" w:history="1">
        <w:r>
          <w:rPr>
            <w:color w:val="0563C1"/>
            <w:u w:val="single"/>
          </w:rPr>
          <w:t>vorsorgeregister.de</w:t>
        </w:r>
      </w:hyperlink>
    </w:p>
    <w:p w14:paraId="70A4D531" w14:textId="735B4691" w:rsidR="00C1548D" w:rsidRDefault="009B1B4B" w:rsidP="009B1B4B">
      <w:pPr>
        <w:pStyle w:val="ListParagraph"/>
        <w:numPr>
          <w:ilvl w:val="0"/>
          <w:numId w:val="1"/>
        </w:numPr>
        <w:spacing w:after="60"/>
      </w:pPr>
      <w:r>
        <w:t xml:space="preserve">Kindergeld (Familienkasse) und Elterngeld — </w:t>
      </w:r>
      <w:hyperlink r:id="rId144" w:history="1">
        <w:r>
          <w:rPr>
            <w:color w:val="0563C1"/>
            <w:u w:val="single"/>
          </w:rPr>
          <w:t>arbeitsagentur.de</w:t>
        </w:r>
      </w:hyperlink>
      <w:r>
        <w:t xml:space="preserve"> und </w:t>
      </w:r>
      <w:hyperlink r:id="rId145" w:history="1">
        <w:r>
          <w:rPr>
            <w:color w:val="0563C1"/>
            <w:u w:val="single"/>
          </w:rPr>
          <w:t>familienportal.de</w:t>
        </w:r>
      </w:hyperlink>
    </w:p>
    <w:p w14:paraId="70A4D532" w14:textId="4D66F56B" w:rsidR="00C1548D" w:rsidRDefault="009B1B4B" w:rsidP="009B1B4B">
      <w:pPr>
        <w:pStyle w:val="ListParagraph"/>
        <w:numPr>
          <w:ilvl w:val="0"/>
          <w:numId w:val="1"/>
        </w:numPr>
        <w:spacing w:after="60"/>
      </w:pPr>
      <w:r>
        <w:t xml:space="preserve">Wehrdienst und Auslandsaufenthalt — </w:t>
      </w:r>
      <w:hyperlink r:id="rId146" w:history="1">
        <w:r>
          <w:rPr>
            <w:color w:val="0563C1"/>
            <w:u w:val="single"/>
          </w:rPr>
          <w:t>bmvg.de</w:t>
        </w:r>
      </w:hyperlink>
    </w:p>
    <w:p w14:paraId="70A4D533"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3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534" w14:textId="77777777" w:rsidR="00C1548D" w:rsidRDefault="009B1B4B">
            <w:pPr>
              <w:keepNext/>
              <w:spacing w:after="70" w:line="240" w:lineRule="auto"/>
            </w:pPr>
            <w:r>
              <w:rPr>
                <w:b/>
                <w:bCs/>
                <w:color w:val="6B7280"/>
                <w:spacing w:val="24"/>
                <w:sz w:val="16"/>
                <w:szCs w:val="16"/>
              </w:rPr>
              <w:t>STAND</w:t>
            </w:r>
          </w:p>
          <w:p w14:paraId="70A4D535" w14:textId="77777777" w:rsidR="00C1548D" w:rsidRDefault="009B1B4B">
            <w:pPr>
              <w:spacing w:after="80" w:line="264" w:lineRule="auto"/>
            </w:pPr>
            <w:r>
              <w:rPr>
                <w:sz w:val="20"/>
                <w:szCs w:val="20"/>
              </w:rPr>
              <w:t>September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tc>
      </w:tr>
    </w:tbl>
    <w:p w14:paraId="70A4D537" w14:textId="77777777" w:rsidR="00C1548D" w:rsidRDefault="00C1548D">
      <w:pPr>
        <w:spacing w:line="220" w:lineRule="exact"/>
      </w:pPr>
    </w:p>
    <w:p w14:paraId="70A4D538" w14:textId="77777777" w:rsidR="00C1548D" w:rsidRDefault="009B1B4B">
      <w:pPr>
        <w:pStyle w:val="Heading2"/>
        <w:keepNext/>
        <w:pageBreakBefore/>
        <w:jc w:val="center"/>
      </w:pPr>
      <w:bookmarkStart w:id="43" w:name="k17"/>
      <w:bookmarkStart w:id="44" w:name="_Toc241352469"/>
      <w:r>
        <w:rPr>
          <w:rFonts w:ascii="Amazon Ember" w:eastAsia="Amazon Ember" w:hAnsi="Amazon Ember" w:cs="Amazon Ember"/>
          <w:color w:val="0000FF"/>
          <w:sz w:val="36"/>
          <w:szCs w:val="36"/>
        </w:rPr>
        <w:lastRenderedPageBreak/>
        <w:t>Kapitel 17: Steuern, Rente und Geld: die deutsche Seite</w:t>
      </w:r>
      <w:bookmarkEnd w:id="43"/>
      <w:bookmarkEnd w:id="44"/>
    </w:p>
    <w:p w14:paraId="70A4D539" w14:textId="77777777" w:rsidR="00C1548D" w:rsidRDefault="009B1B4B">
      <w:pPr>
        <w:spacing w:after="140"/>
      </w:pPr>
      <w:r>
        <w:t>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 an Zeit, an Nerven und oft auch an Geld. Dieses Kapitel ordnet, was auf der</w:t>
      </w:r>
      <w:r>
        <w:t xml:space="preserve"> deutschen Seite vor dem Wegzug zu regeln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41"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53A" w14:textId="77777777" w:rsidR="00C1548D" w:rsidRDefault="009B1B4B">
            <w:pPr>
              <w:keepNext/>
              <w:spacing w:after="70" w:line="240" w:lineRule="auto"/>
            </w:pPr>
            <w:r>
              <w:rPr>
                <w:b/>
                <w:bCs/>
                <w:color w:val="1F3A5F"/>
                <w:spacing w:val="24"/>
                <w:sz w:val="16"/>
                <w:szCs w:val="16"/>
              </w:rPr>
              <w:t>KURZ GESAGT</w:t>
            </w:r>
          </w:p>
          <w:p w14:paraId="70A4D53B" w14:textId="77777777" w:rsidR="00C1548D" w:rsidRDefault="009B1B4B" w:rsidP="009B1B4B">
            <w:pPr>
              <w:pStyle w:val="ListParagraph"/>
              <w:numPr>
                <w:ilvl w:val="0"/>
                <w:numId w:val="1"/>
              </w:numPr>
              <w:spacing w:after="50" w:line="264" w:lineRule="auto"/>
            </w:pPr>
            <w:r>
              <w:rPr>
                <w:sz w:val="20"/>
                <w:szCs w:val="20"/>
              </w:rPr>
              <w:t>Mit dem Wegzug wirst du in Deutschland meist beschränkt steuerpflichtig – außer du behältst eine nutzbare Wohnung (Zweitwohnsitz-Falle).</w:t>
            </w:r>
          </w:p>
          <w:p w14:paraId="70A4D53C" w14:textId="77777777" w:rsidR="00C1548D" w:rsidRDefault="009B1B4B" w:rsidP="009B1B4B">
            <w:pPr>
              <w:pStyle w:val="ListParagraph"/>
              <w:numPr>
                <w:ilvl w:val="0"/>
                <w:numId w:val="1"/>
              </w:numPr>
              <w:spacing w:after="50" w:line="264" w:lineRule="auto"/>
            </w:pPr>
            <w:r>
              <w:rPr>
                <w:sz w:val="20"/>
                <w:szCs w:val="20"/>
              </w:rPr>
              <w:t>Besitzt du GmbH-Anteile oder eine Beteiligung ab 1 %: Prüfe die Wegzugsteuer nach § 6 AStG rechtzeitig.</w:t>
            </w:r>
          </w:p>
          <w:p w14:paraId="70A4D53D" w14:textId="77777777" w:rsidR="00C1548D" w:rsidRDefault="009B1B4B" w:rsidP="009B1B4B">
            <w:pPr>
              <w:pStyle w:val="ListParagraph"/>
              <w:numPr>
                <w:ilvl w:val="0"/>
                <w:numId w:val="1"/>
              </w:numPr>
              <w:spacing w:after="50" w:line="264" w:lineRule="auto"/>
            </w:pPr>
            <w:r>
              <w:rPr>
                <w:sz w:val="20"/>
                <w:szCs w:val="20"/>
              </w:rPr>
              <w:t>Deutsche Fonds und ETFs werden für die US-Steuer zur PFIC – kläre das vor dem US-Zuzug, nicht danach.</w:t>
            </w:r>
          </w:p>
          <w:p w14:paraId="70A4D53E" w14:textId="77777777" w:rsidR="00C1548D" w:rsidRDefault="009B1B4B" w:rsidP="009B1B4B">
            <w:pPr>
              <w:pStyle w:val="ListParagraph"/>
              <w:numPr>
                <w:ilvl w:val="0"/>
                <w:numId w:val="1"/>
              </w:numPr>
              <w:spacing w:after="50" w:line="264" w:lineRule="auto"/>
            </w:pPr>
            <w:r>
              <w:rPr>
                <w:sz w:val="20"/>
                <w:szCs w:val="20"/>
              </w:rPr>
              <w:t>Die deutsche gesetzliche Rente läuft weiter und wird für US-Ansässige nur in den USA besteuert.</w:t>
            </w:r>
          </w:p>
          <w:p w14:paraId="70A4D53F" w14:textId="77777777" w:rsidR="00C1548D" w:rsidRDefault="009B1B4B" w:rsidP="009B1B4B">
            <w:pPr>
              <w:pStyle w:val="ListParagraph"/>
              <w:numPr>
                <w:ilvl w:val="0"/>
                <w:numId w:val="1"/>
              </w:numPr>
              <w:spacing w:after="50" w:line="264" w:lineRule="auto"/>
            </w:pPr>
            <w:r>
              <w:rPr>
                <w:sz w:val="20"/>
                <w:szCs w:val="20"/>
              </w:rPr>
              <w:t>Riester, Depot und Bankkonto brauchen vor dem Abflug eine bewusste Entscheidung.</w:t>
            </w:r>
          </w:p>
          <w:p w14:paraId="70A4D540" w14:textId="77777777" w:rsidR="00C1548D" w:rsidRDefault="009B1B4B" w:rsidP="009B1B4B">
            <w:pPr>
              <w:pStyle w:val="ListParagraph"/>
              <w:numPr>
                <w:ilvl w:val="0"/>
                <w:numId w:val="1"/>
              </w:numPr>
              <w:spacing w:after="50" w:line="264" w:lineRule="auto"/>
            </w:pPr>
            <w:r>
              <w:rPr>
                <w:sz w:val="20"/>
                <w:szCs w:val="20"/>
              </w:rPr>
              <w:t>Für Überweisungen und Bargeld gelten Meldegrenzen, die du kennen solltest.</w:t>
            </w:r>
          </w:p>
        </w:tc>
      </w:tr>
    </w:tbl>
    <w:p w14:paraId="70A4D542"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45"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543" w14:textId="77777777" w:rsidR="00C1548D" w:rsidRDefault="009B1B4B">
            <w:pPr>
              <w:keepNext/>
              <w:spacing w:after="70" w:line="240" w:lineRule="auto"/>
            </w:pPr>
            <w:r>
              <w:rPr>
                <w:b/>
                <w:bCs/>
                <w:color w:val="6B7280"/>
                <w:spacing w:val="24"/>
                <w:sz w:val="16"/>
                <w:szCs w:val="16"/>
              </w:rPr>
              <w:lastRenderedPageBreak/>
              <w:t>KEIN RECHTSRAT</w:t>
            </w:r>
          </w:p>
          <w:p w14:paraId="70A4D544" w14:textId="77777777" w:rsidR="00C1548D" w:rsidRDefault="009B1B4B">
            <w:pPr>
              <w:spacing w:after="80" w:line="264" w:lineRule="auto"/>
            </w:pPr>
            <w:r>
              <w:rPr>
                <w:sz w:val="20"/>
                <w:szCs w:val="20"/>
              </w:rPr>
              <w:t>Dieses Kapitel erklärt Regeln und Zusammenhänge, ersetzt aber keine individuelle Steuer- oder Rechtsberatung: Steuerrecht, Sozialversicherungsrecht und das Doppelbesteuerungsabkommen hängen stark von deiner persönlichen Situation ab. Sprich vor dem Wegzug mit einem Steuerberater (siehe Abschnitt „Einen Steuerberater finden, der beide Länder kennt“).</w:t>
            </w:r>
          </w:p>
        </w:tc>
      </w:tr>
    </w:tbl>
    <w:p w14:paraId="70A4D546" w14:textId="77777777" w:rsidR="00C1548D" w:rsidRDefault="00C1548D">
      <w:pPr>
        <w:spacing w:line="220" w:lineRule="exact"/>
      </w:pPr>
    </w:p>
    <w:p w14:paraId="70A4D547" w14:textId="77777777" w:rsidR="00C1548D" w:rsidRDefault="009B1B4B">
      <w:pPr>
        <w:pStyle w:val="Heading3"/>
        <w:keepNext/>
        <w:jc w:val="center"/>
      </w:pPr>
      <w:r>
        <w:rPr>
          <w:rFonts w:ascii="Amazon Ember" w:eastAsia="Amazon Ember" w:hAnsi="Amazon Ember" w:cs="Amazon Ember"/>
          <w:color w:val="0000FF"/>
          <w:sz w:val="36"/>
          <w:szCs w:val="36"/>
        </w:rPr>
        <w:t>Vom unbeschränkten zum beschränkten Steuerpflichtigen</w:t>
      </w:r>
    </w:p>
    <w:p w14:paraId="70A4D548" w14:textId="77777777" w:rsidR="00C1548D" w:rsidRDefault="009B1B4B">
      <w:pPr>
        <w:spacing w:after="140"/>
      </w:pPr>
      <w:r>
        <w:t>Solange du in Deutschland wohnst, bist du unbeschränkt steuerpflichtig: Das Finanzamt besteuert dein Welteinkommen, dafür stehen dir Grundfreibetrag, Sonderausgaben und Kinderfreibeträge zu. Mit dem Wegzug ändert sich das – vorausgesetzt, du gibst den deutschen Wohnsitz wirklich auf.</w:t>
      </w:r>
    </w:p>
    <w:p w14:paraId="70A4D549" w14:textId="53BE19B5" w:rsidR="00C1548D" w:rsidRDefault="009B1B4B">
      <w:pPr>
        <w:spacing w:after="140"/>
      </w:pPr>
      <w:r>
        <w:t>Entscheidend ist § 8 der Abgabenordnung (AO): Ein Wohnsitz ist jede Wohnung, die du „beibehalten und benutzen wirst“ –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(siehe Kapitel </w:t>
      </w:r>
      <w:hyperlink w:anchor="k16" w:history="1">
        <w:r>
          <w:t>16</w:t>
        </w:r>
      </w:hyperlink>
      <w:r>
        <w:t>) für den entscheidenden Schritt. Tatsächlich ist sie nur ein Indiz; die Entscheidung trifft das Finanzamt anhand der tatsächlichen Wohnverhältnisse, nicht anhand des Meldezettels.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4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54A" w14:textId="77777777" w:rsidR="00C1548D" w:rsidRDefault="009B1B4B">
            <w:pPr>
              <w:keepNext/>
              <w:spacing w:after="70" w:line="240" w:lineRule="auto"/>
            </w:pPr>
            <w:r>
              <w:rPr>
                <w:b/>
                <w:bCs/>
                <w:color w:val="9B2C2C"/>
                <w:spacing w:val="24"/>
                <w:sz w:val="16"/>
                <w:szCs w:val="16"/>
              </w:rPr>
              <w:lastRenderedPageBreak/>
              <w:t>ACHTUNG</w:t>
            </w:r>
          </w:p>
          <w:p w14:paraId="70A4D54B" w14:textId="77777777" w:rsidR="00C1548D" w:rsidRDefault="009B1B4B">
            <w:pPr>
              <w:spacing w:after="80" w:line="264" w:lineRule="auto"/>
            </w:pPr>
            <w:r>
              <w:rPr>
                <w:sz w:val="20"/>
                <w:szCs w:val="20"/>
              </w:rPr>
              <w:t>Wer eine Wohnung in Deutschland „für alle Fälle“ behält, bleibt unbeschränkt steuerpflichtig – mit dem gesamten Welteinkommen, nicht nur den deutschen Einkünften. Die Zweitwohnsitz-Falle trifft vor allem Familien mit Rückkehroption. Wer der unbeschränkten Steuerpflicht wirklich entkommen will, muss die Wohnung verkaufen oder vollständig vermieten.</w:t>
            </w:r>
          </w:p>
        </w:tc>
      </w:tr>
    </w:tbl>
    <w:p w14:paraId="70A4D54D" w14:textId="77777777" w:rsidR="00C1548D" w:rsidRDefault="00C1548D">
      <w:pPr>
        <w:spacing w:line="220" w:lineRule="exact"/>
      </w:pPr>
    </w:p>
    <w:p w14:paraId="70A4D54E" w14:textId="77777777" w:rsidR="00C1548D" w:rsidRDefault="009B1B4B">
      <w:pPr>
        <w:spacing w:after="140"/>
      </w:pPr>
      <w:r>
        <w:t>Entstehen dadurch zwei Wohnsitze – einer in Deutschland, einer in den USA –, entscheidet das Doppelbesteuerungsabkommen (DBA), wo du steuerlich ansässig bist. Artikel 4 Absatz 2 gibt eine feste Prüfreihenfolge vor: zuerst die ständige Wohnstätte, dann der Mittelpunkt der Lebensinteressen, dann der gewöhnliche Aufenthalt, dann die Staatsangehörigkeit, notfalls ein Verständigungsverfahren zwischen beiden Finanzverwaltungen. Bei Familien, die mit Job und Kindern in die USA ziehen, liegt dieser Mittelpunkt fast</w:t>
      </w:r>
      <w:r>
        <w:t xml:space="preserve"> immer dort.</w:t>
      </w:r>
    </w:p>
    <w:p w14:paraId="70A4D54F" w14:textId="77777777" w:rsidR="00C1548D" w:rsidRDefault="009B1B4B">
      <w:pPr>
        <w:spacing w:after="140"/>
      </w:pPr>
      <w:r>
        <w:t>Als beschränkt Steuerpflichtiger besteuert das Finanzamt nur noch Einkünfte aus deutschen Quellen – etwa Miete, bestimmte Kapitalerträge oder in Deutschland verbrachte Arbeitstage. Der Tarif wird berechnet, als gälte der Grundfreibetrag nicht; Sonderausgaben und Kinderfreibeträge entfallen. Ein Antrag auf Behandlung als unbeschränkt steuerpflichtig (§ 1 Abs. 3 EStG) hilft nur, wenn mindestens 90 % deines Einkommens aus Deutschland stammen oder dein Auslandseinkommen unter dem Grundfreibetrag liegt – für ein</w:t>
      </w:r>
      <w:r>
        <w:t xml:space="preserve"> normales US-Gehalt praktisch nie der Fall. Wer weiterhin deutsche Einkünfte hat (Miete, Depot, § 6 AStG), sollte einen Zustellungsbevollmächtigten in Deutschland benennen (§ 123 AO), damit Post vom Finanzamt nicht ins Leere läuft.</w:t>
      </w:r>
    </w:p>
    <w:p w14:paraId="70A4D550" w14:textId="77777777" w:rsidR="00C1548D" w:rsidRDefault="009B1B4B">
      <w:pPr>
        <w:pStyle w:val="Heading3"/>
        <w:keepNext/>
        <w:jc w:val="center"/>
      </w:pPr>
      <w:r>
        <w:rPr>
          <w:rFonts w:ascii="Amazon Ember" w:eastAsia="Amazon Ember" w:hAnsi="Amazon Ember" w:cs="Amazon Ember"/>
          <w:color w:val="0000FF"/>
          <w:sz w:val="36"/>
          <w:szCs w:val="36"/>
        </w:rPr>
        <w:t>Die Wegzugsteuer nach § 6 AStG: nur bei echten Unternehmensanteilen</w:t>
      </w:r>
    </w:p>
    <w:p w14:paraId="70A4D551" w14:textId="77777777" w:rsidR="00C1548D" w:rsidRDefault="009B1B4B">
      <w:pPr>
        <w:spacing w:after="140"/>
      </w:pPr>
      <w:r>
        <w:t xml:space="preserve">Wer an einer Kapitalgesellschaft – GmbH, AG oder Start-up – mit mindestens 1 % beteiligt ist und mindestens 7 der letzten 12 Jahre in </w:t>
      </w:r>
      <w:r>
        <w:lastRenderedPageBreak/>
        <w:t>Deutschland unbeschränkt steuerpflichtig war, löst mit dem Wegzug die Wegzugsteuer nach § 6 Außensteuergesetz (AStG) aus. Das Finanzamt behandelt die Anteile so, als wären sie am Wegzugstag zum vollen Marktwert verkauft worden – auch wenn nichts verkauft wurde.</w:t>
      </w:r>
    </w:p>
    <w:p w14:paraId="70A4D552" w14:textId="77777777" w:rsidR="00C1548D" w:rsidRDefault="009B1B4B">
      <w:pPr>
        <w:spacing w:after="140"/>
      </w:pPr>
      <w:r>
        <w:t>Auf Antrag wird die Steuer in 7 gleichen Jahresraten gestundet, meist gegen Sicherheitsleistung und zinslos; die erste Rate ist einen Monat nach dem Steuerbescheid fällig, die weiteren jeweils zum 31. Juli. Kehrst du innerhalb von 7 Jahren nach Deutschland zurück (auf Antrag verlängerbar um bis zu 5 weitere Jahre), ohne die Anteile verkauft, übertragen oder hohe Ausschüttungen entnommen zu haben, entfällt die Steuer rückwirkend. Bis dahin musst du jährlich bis zum 31. Juli deine aktuelle Anschrift melden. A</w:t>
      </w:r>
      <w:r>
        <w:t xml:space="preserve">uf US-Seite erlaubt Artikel 13 Absatz 6 des DBA ein </w:t>
      </w:r>
      <w:r>
        <w:rPr>
          <w:i/>
          <w:iCs/>
        </w:rPr>
        <w:t>Step-up</w:t>
      </w:r>
      <w:r>
        <w:t>-Wahlrecht: Die USA können den Wert am Wegzugstag als neue Anschaffungskosten ansetzen, damit derselbe Wertzuwachs nicht doppelt besteuert wird.</w:t>
      </w:r>
    </w:p>
    <w:p w14:paraId="70A4D553" w14:textId="77777777" w:rsidR="00C1548D" w:rsidRDefault="009B1B4B">
      <w:pPr>
        <w:spacing w:after="140"/>
      </w:pPr>
      <w:r>
        <w:t>Ein Beispiel zur Größenordnung: Hältst du 5 % an einer GmbH, die dein Steuerberater beim Wegzug mit 400.000 € bewertet, bei ursprünglichen Anschaffungskosten von 40.000 €, gilt der fiktive Gewinn von 360.000 € als steuerpflichtig – unabhängig davon, ob du je einen Euro davon ausgezahlt bekommst. Die genaue Steuerlast hängt von Freibeträgen und dem Besteuerungsverfahren für Anteile nach § 17 EStG ab; das rechnet der Steuerberater vor dem Wegzug konkret vor.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5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554" w14:textId="77777777" w:rsidR="00C1548D" w:rsidRDefault="009B1B4B">
            <w:pPr>
              <w:keepNext/>
              <w:spacing w:after="70" w:line="240" w:lineRule="auto"/>
            </w:pPr>
            <w:r>
              <w:rPr>
                <w:b/>
                <w:bCs/>
                <w:color w:val="8A6212"/>
                <w:spacing w:val="24"/>
                <w:sz w:val="16"/>
                <w:szCs w:val="16"/>
              </w:rPr>
              <w:t>MERKE</w:t>
            </w:r>
          </w:p>
          <w:p w14:paraId="70A4D555" w14:textId="77777777" w:rsidR="00C1548D" w:rsidRDefault="009B1B4B">
            <w:pPr>
              <w:spacing w:after="80" w:line="264" w:lineRule="auto"/>
            </w:pPr>
            <w:r>
              <w:rPr>
                <w:sz w:val="20"/>
                <w:szCs w:val="20"/>
              </w:rPr>
              <w:t>§ 6 AStG betrifft nur echte Unternehmensbeteiligungen ab 1 %, nicht dein Aktien- oder ETF-Depot. Für Wertpapierdepots ist die PFIC-Regel das relevante Thema (siehe unten).</w:t>
            </w:r>
          </w:p>
        </w:tc>
      </w:tr>
    </w:tbl>
    <w:p w14:paraId="70A4D557" w14:textId="77777777" w:rsidR="00C1548D" w:rsidRDefault="00C1548D">
      <w:pPr>
        <w:spacing w:line="220" w:lineRule="exact"/>
      </w:pPr>
    </w:p>
    <w:p w14:paraId="70A4D558" w14:textId="77777777" w:rsidR="00C1548D" w:rsidRDefault="009B1B4B">
      <w:pPr>
        <w:pStyle w:val="Heading3"/>
        <w:keepNext/>
        <w:jc w:val="center"/>
      </w:pPr>
      <w:r>
        <w:rPr>
          <w:rFonts w:ascii="Amazon Ember" w:eastAsia="Amazon Ember" w:hAnsi="Amazon Ember" w:cs="Amazon Ember"/>
          <w:color w:val="0000FF"/>
          <w:sz w:val="36"/>
          <w:szCs w:val="36"/>
        </w:rPr>
        <w:lastRenderedPageBreak/>
        <w:t>Immobilien in Deutschland: vermieten oder verkaufen</w:t>
      </w:r>
    </w:p>
    <w:p w14:paraId="70A4D559" w14:textId="77777777" w:rsidR="00C1548D" w:rsidRDefault="009B1B4B">
      <w:pPr>
        <w:spacing w:after="140"/>
      </w:pPr>
      <w:r>
        <w:t>Wer eine Immobilie in Deutschland behält und vermietet, bleibt beschränkt steuerpflichtig –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w:t>
      </w:r>
      <w:r>
        <w:t>frist noch läuft.</w:t>
      </w:r>
    </w:p>
    <w:p w14:paraId="70A4D55A" w14:textId="77777777" w:rsidR="00C1548D" w:rsidRDefault="009B1B4B">
      <w:pPr>
        <w:spacing w:after="140"/>
      </w:pPr>
      <w:r>
        <w:t>Ein Beispiel: Wer sein Reihenhaus vor 7 Jahren für 300.000 € gekauft hat und es 3 Jahre nach dem Umzug in die USA für 380.000 € verkauft, versteuert den Gewinn von 80.000 € in Deutschland –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w:t>
      </w:r>
      <w:r>
        <w:t xml:space="preserve"> rechnet die deutsche an. Wer die Immobilie ohnehin irgendwann verkaufen will, sollte den Zeitpunkt – möglichst noch mit greifender Selbstnutzungsausnahme – vor dem Wegzug durchrechnen lassen.</w:t>
      </w:r>
    </w:p>
    <w:p w14:paraId="70A4D55B" w14:textId="77777777" w:rsidR="00C1548D" w:rsidRDefault="009B1B4B">
      <w:pPr>
        <w:pStyle w:val="Heading3"/>
        <w:keepNext/>
        <w:jc w:val="center"/>
      </w:pPr>
      <w:r>
        <w:rPr>
          <w:rFonts w:ascii="Amazon Ember" w:eastAsia="Amazon Ember" w:hAnsi="Amazon Ember" w:cs="Amazon Ember"/>
          <w:color w:val="0000FF"/>
          <w:sz w:val="36"/>
          <w:szCs w:val="36"/>
        </w:rPr>
        <w:t>Depot, Kapitalerträge und die Bankfrage</w:t>
      </w:r>
    </w:p>
    <w:p w14:paraId="70A4D55C" w14:textId="77777777" w:rsidR="00C1548D" w:rsidRDefault="009B1B4B">
      <w:pPr>
        <w:spacing w:after="140"/>
      </w:pPr>
      <w:r>
        <w:t>Auf Dividenden deutscher Unternehmen behält die Bank pauschal 26,375 % ein – 25 % Kapitalertragsteuer plus Solidaritätszuschlag (zusätzlich Kirchensteuer, falls zutreffend); für beschränkt Steuerpflichtige gilt das als abgeltend, eine Steuererklärung ist meist nicht nötig. Das DBA begrenzt die deutsche Quellensteuer für US-Ansässige auf 15 %; die Differenz forderst du mit einer US-</w:t>
      </w:r>
      <w:r>
        <w:lastRenderedPageBreak/>
        <w:t>Ansässigkeitsbescheinigung (IRS Form 6166) beim Bundeszentralamt für Steuern (BZSt) zurück. Zinsen und Kursgewinne aus frei handelbaren Wertpapieren sind für Nichtansässige nach dem DBA meist gar nicht in Deutschland steuerpflichtig.</w:t>
      </w:r>
    </w:p>
    <w:p w14:paraId="70A4D55D" w14:textId="77777777" w:rsidR="00C1548D" w:rsidRDefault="009B1B4B">
      <w:pPr>
        <w:spacing w:after="140"/>
      </w:pPr>
      <w:r>
        <w:t>Weniger klar ist die Bankpraxis: Deutsche Banken melden „US-Personen“ nach dem FATCA-Abkommen (</w:t>
      </w:r>
      <w:r>
        <w:rPr>
          <w:i/>
          <w:iCs/>
        </w:rPr>
        <w:t>Foreign Account Tax Compliance Act</w:t>
      </w:r>
      <w:r>
        <w:t>, das US-Gesetz zur Meldung von Auslandskonten) über das BZSt an die US-Steuerbehörde IRS und verlangen dafür eine Selbstauskunft zur Steuerresidenz. Ob einzelne Banken – etwa Direktbanken oder Neobroker – Konten und Depots von Kunden mit US-Wohnsitz einschränken oder kündigen, ist von Institut zu Institut unterschiedlich.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6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55E" w14:textId="77777777" w:rsidR="00C1548D" w:rsidRDefault="009B1B4B">
            <w:pPr>
              <w:keepNext/>
              <w:spacing w:after="70" w:line="240" w:lineRule="auto"/>
            </w:pPr>
            <w:r>
              <w:rPr>
                <w:b/>
                <w:bCs/>
                <w:color w:val="9B2C2C"/>
                <w:spacing w:val="24"/>
                <w:sz w:val="16"/>
                <w:szCs w:val="16"/>
              </w:rPr>
              <w:t>ACHTUNG</w:t>
            </w:r>
          </w:p>
          <w:p w14:paraId="70A4D55F" w14:textId="77777777" w:rsidR="00C1548D" w:rsidRDefault="009B1B4B">
            <w:pPr>
              <w:spacing w:after="80" w:line="264" w:lineRule="auto"/>
            </w:pPr>
            <w:r>
              <w:rPr>
                <w:sz w:val="20"/>
                <w:szCs w:val="20"/>
              </w:rPr>
              <w:t>Verlass dich nicht darauf, dass Konto und Depot nach dem Umzug unverändert weiterlaufen. Frag deine Bank vor dem Wegzug schriftlich, wie sie mit Kunden umgeht, die in den USA steuerpflichtig werden – Kündigung, Einschränkung oder Weiterführung sind alle möglich.</w:t>
            </w:r>
          </w:p>
        </w:tc>
      </w:tr>
    </w:tbl>
    <w:p w14:paraId="70A4D561" w14:textId="77777777" w:rsidR="00C1548D" w:rsidRDefault="00C1548D">
      <w:pPr>
        <w:spacing w:line="220" w:lineRule="exact"/>
      </w:pPr>
    </w:p>
    <w:p w14:paraId="70A4D562" w14:textId="2A160636" w:rsidR="00C1548D" w:rsidRDefault="009B1B4B">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die Summe aller ausländischen Konten zu irgendeinem Zeitpunkt im Jahr 10.000 $ übersteigt – Giro-, Spar- und Depotkonten zählen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w:t>
      </w:r>
      <w:r>
        <w:t xml:space="preserve">rt. Mehr zu Fristen und Strafen in </w:t>
      </w:r>
      <w:r>
        <w:t>Kapitel </w:t>
      </w:r>
      <w:hyperlink w:anchor="k28" w:history="1">
        <w:r>
          <w:t>28</w:t>
        </w:r>
      </w:hyperlink>
      <w:r>
        <w:t>.</w:t>
      </w:r>
    </w:p>
    <w:p w14:paraId="70A4D563"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PFIC-Falle: deutsche Fonds und ETFs vor dem Zuzug regeln</w:t>
      </w:r>
    </w:p>
    <w:p w14:paraId="70A4D564" w14:textId="51F702AE" w:rsidR="00C1548D" w:rsidRDefault="009B1B4B">
      <w:pPr>
        <w:spacing w:after="140"/>
      </w:pPr>
      <w:r>
        <w:t xml:space="preserve">Für die US-Steuer gelten fast alle im Ausland aufgelegten Investmentfonds und ETFs – auch die deutschen Fondssparpläne, mit denen halb Deutschland seine Altersvorsorge bestreitet – als </w:t>
      </w:r>
      <w:r>
        <w:rPr>
          <w:i/>
          <w:iCs/>
        </w:rPr>
        <w:t>Passive Foreign Investment Company</w:t>
      </w:r>
      <w:r>
        <w:t xml:space="preserve"> (PFIC, eine ausländische Kapitalanlage mit überwiegend passiven Erträgen). Der Name klingt dramatischer, als der biedere Sparplan es je verdient hätte; die steuerlichen Folgen sind es leider auch. Sobald du nach US-Recht steuerlich ansässig bist (siehe Kapitel </w:t>
      </w:r>
      <w:hyperlink w:anchor="k28" w:history="1">
        <w:r>
          <w:t>28</w:t>
        </w:r>
      </w:hyperlink>
      <w:r>
        <w:t>), greift ein Regelwerk, das spürbar härter ist als die normale Kapitalertragsbesteuerung.</w:t>
      </w:r>
    </w:p>
    <w:p w14:paraId="70A4D565" w14:textId="77777777" w:rsidR="00C1548D" w:rsidRDefault="009B1B4B">
      <w:pPr>
        <w:spacing w:after="140"/>
      </w:pPr>
      <w:r>
        <w:t xml:space="preserve">Im Standardfall werden Ausschüttungen und Verkaufsgewinne als </w:t>
      </w:r>
      <w:r>
        <w:rPr>
          <w:i/>
          <w:iCs/>
        </w:rPr>
        <w:t>Excess Distribution</w:t>
      </w:r>
      <w:r>
        <w:t xml:space="preserve">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w:t>
      </w:r>
      <w:r>
        <w:rPr>
          <w:i/>
          <w:iCs/>
        </w:rPr>
        <w:t>QEF</w:t>
      </w:r>
      <w:r>
        <w:t>-Wahl (laufende Besteuerung der anteiligen Fondserträge statt pauschaler Nachversteuerung) müsste die deutsche Fondsgesellschaft ein „PFIC Annual Information Statement“ liefern, was sie in der Praxis kaum tut; die Marktbewertung (</w:t>
      </w:r>
      <w:r>
        <w:rPr>
          <w:i/>
          <w:iCs/>
        </w:rPr>
        <w:t>Mark-to-Market</w:t>
      </w:r>
      <w:r>
        <w:t>) funktioniert nur für börsengehandelte Anteile, nicht für klassische Fondsanteile.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6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566" w14:textId="77777777" w:rsidR="00C1548D" w:rsidRDefault="009B1B4B">
            <w:pPr>
              <w:keepNext/>
              <w:spacing w:after="70" w:line="240" w:lineRule="auto"/>
            </w:pPr>
            <w:r>
              <w:rPr>
                <w:b/>
                <w:bCs/>
                <w:color w:val="9B2C2C"/>
                <w:spacing w:val="24"/>
                <w:sz w:val="16"/>
                <w:szCs w:val="16"/>
              </w:rPr>
              <w:t>ACHTUNG</w:t>
            </w:r>
          </w:p>
          <w:p w14:paraId="70A4D567" w14:textId="77777777" w:rsidR="00C1548D" w:rsidRDefault="009B1B4B">
            <w:pPr>
              <w:spacing w:after="80" w:line="264" w:lineRule="auto"/>
            </w:pPr>
            <w:r>
              <w:rPr>
                <w:sz w:val="20"/>
                <w:szCs w:val="20"/>
              </w:rPr>
              <w:t>Die PFIC-Regel greift ab dem Tag, an dem du steuerlich als US-ansässig giltst – das kann schon vor dem eigentlichen Umzug der Fall sein, wenn du dich vorher lange in den USA aufhältst. Wer Fonds und ETFs erst nach der Ankunft verkauft, hat die Falle oft schon ausgelöst.</w:t>
            </w:r>
          </w:p>
        </w:tc>
      </w:tr>
    </w:tbl>
    <w:p w14:paraId="70A4D569" w14:textId="77777777" w:rsidR="00C1548D" w:rsidRDefault="00C1548D">
      <w:pPr>
        <w:spacing w:line="220" w:lineRule="exact"/>
      </w:pPr>
    </w:p>
    <w:p w14:paraId="70A4D56A" w14:textId="3EC63587" w:rsidR="00C1548D" w:rsidRDefault="009B1B4B">
      <w:pPr>
        <w:spacing w:after="140"/>
      </w:pPr>
      <w:r>
        <w:lastRenderedPageBreak/>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history="1">
        <w:r>
          <w:t>28</w:t>
        </w:r>
      </w:hyperlink>
      <w:r>
        <w:t>, zur langfristigen Vermögensplanung in Kapitel </w:t>
      </w:r>
      <w:hyperlink w:anchor="k39" w:history="1">
        <w:r>
          <w:t>39</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6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56B" w14:textId="77777777" w:rsidR="00C1548D" w:rsidRDefault="009B1B4B">
            <w:pPr>
              <w:keepNext/>
              <w:spacing w:after="70" w:line="240" w:lineRule="auto"/>
            </w:pPr>
            <w:r>
              <w:rPr>
                <w:b/>
                <w:bCs/>
                <w:color w:val="4A5568"/>
                <w:spacing w:val="24"/>
                <w:sz w:val="16"/>
                <w:szCs w:val="16"/>
              </w:rPr>
              <w:t>PRAXISBEISPIEL · FIKTIV</w:t>
            </w:r>
          </w:p>
          <w:p w14:paraId="70A4D56C" w14:textId="77777777" w:rsidR="00C1548D" w:rsidRDefault="009B1B4B">
            <w:pPr>
              <w:spacing w:after="80" w:line="264" w:lineRule="auto"/>
            </w:pPr>
            <w:r>
              <w:rPr>
                <w:sz w:val="20"/>
                <w:szCs w:val="20"/>
              </w:rPr>
              <w:t>Familie Brandt hatte bei ihrer Bank in der Nähe von Stuttgart seit Jahren einen ETF-Sparplan auf einen weltweiten Aktienindex laufen. Als Markus’ H-1B-Antrag genehmigt war, saß das Paar beim Steuerberater eigentlich nur wegen der Wegzugsformalitäten – bis der einen Blick ins Depot warf und an die PFIC-Regel erinnerte: Nach dem Umzug nach Michigan wäre der Sparplan aus US-Sicht eine hoch besteuerte Excess Distribution gewesen, mit Formular 8621 für jedes einzelne Jahr. Die Familie verkaufte den Sparplan 2 Mo</w:t>
            </w:r>
            <w:r>
              <w:rPr>
                <w:sz w:val="20"/>
                <w:szCs w:val="20"/>
              </w:rPr>
              <w:t>nate vor dem Abflug, versteuerte den Gewinn regulär mit deutscher Abgeltungsteuer und eröffnete nach der Ankunft in Detroit ein Depot bei einem US-Broker für einen amerikanischen ETF.</w:t>
            </w:r>
          </w:p>
        </w:tc>
      </w:tr>
    </w:tbl>
    <w:p w14:paraId="70A4D56E" w14:textId="77777777" w:rsidR="00C1548D" w:rsidRDefault="00C1548D">
      <w:pPr>
        <w:spacing w:line="220" w:lineRule="exact"/>
      </w:pPr>
    </w:p>
    <w:p w14:paraId="70A4D56F" w14:textId="77777777" w:rsidR="00C1548D" w:rsidRDefault="009B1B4B">
      <w:pPr>
        <w:pStyle w:val="Heading3"/>
        <w:keepNext/>
        <w:jc w:val="center"/>
      </w:pPr>
      <w:r>
        <w:rPr>
          <w:rFonts w:ascii="Amazon Ember" w:eastAsia="Amazon Ember" w:hAnsi="Amazon Ember" w:cs="Amazon Ember"/>
          <w:color w:val="0000FF"/>
          <w:sz w:val="36"/>
          <w:szCs w:val="36"/>
        </w:rPr>
        <w:t>Riester, Rürup, bAV, Lebensversicherung, Bausparen</w:t>
      </w:r>
    </w:p>
    <w:p w14:paraId="70A4D570" w14:textId="77777777" w:rsidR="00C1548D" w:rsidRDefault="009B1B4B">
      <w:pPr>
        <w:spacing w:after="140"/>
      </w:pPr>
      <w:r>
        <w:t>Ein bestehender Riester-Vertrag läuft während der Ansparphase unverändert weiter –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w:t>
      </w:r>
      <w:r>
        <w:t>schlossen; bestehende genießen Bestandsschutz und laufen unverändert weiter.</w:t>
      </w:r>
    </w:p>
    <w:p w14:paraId="70A4D571" w14:textId="77777777" w:rsidR="00C1548D" w:rsidRDefault="009B1B4B">
      <w:pPr>
        <w:spacing w:after="140"/>
      </w:pPr>
      <w:r>
        <w:lastRenderedPageBreak/>
        <w:t>Ein Rürup-Vertrag lässt sich nicht kündigen oder beleihen; der Wegzug ändert daran nichts. Wie Auszahlungen an dich als dann beschränkt Steuerpflichtigen mit US-Wohnsitz steuerlich behandelt werden, ist nicht abschließend geklärt – frag gezielt beim Steuerberater nach. Ansprüche aus der betrieblichen Altersvorsorge (bAV) bleiben bei Unverfallbarkeit erhalten und lassen sich auch ins Ausland auszahlen; nach dem DBA wird eine solche private Rente nur im Wohnsitzstaat besteuert, also in den USA.</w:t>
      </w:r>
    </w:p>
    <w:p w14:paraId="70A4D572" w14:textId="77777777" w:rsidR="00C1548D" w:rsidRDefault="009B1B4B">
      <w:pPr>
        <w:spacing w:after="140"/>
      </w:pPr>
      <w: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w14:paraId="70A4D573" w14:textId="77777777" w:rsidR="00C1548D" w:rsidRDefault="009B1B4B">
      <w:pPr>
        <w:pStyle w:val="Heading3"/>
        <w:keepNext/>
        <w:jc w:val="center"/>
      </w:pPr>
      <w:r>
        <w:rPr>
          <w:rFonts w:ascii="Amazon Ember" w:eastAsia="Amazon Ember" w:hAnsi="Amazon Ember" w:cs="Amazon Ember"/>
          <w:color w:val="0000FF"/>
          <w:sz w:val="36"/>
          <w:szCs w:val="36"/>
        </w:rPr>
        <w:t>Die gesetzliche Rente: Wartezeit, Abkommen, freiwillige Beiträge</w:t>
      </w:r>
    </w:p>
    <w:p w14:paraId="70A4D574" w14:textId="77777777" w:rsidR="00C1548D" w:rsidRDefault="009B1B4B">
      <w:pPr>
        <w:spacing w:after="140"/>
      </w:pPr>
      <w:r>
        <w:t xml:space="preserve">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w:t>
      </w:r>
      <w:r>
        <w:t>– Ausland (DVKA) in Bonn. Wanderst du dagegen regulär aus – ohne Entsendung, etwa mit neuem Arbeitgeber vor Ort –, endet die deutsche Rentenversicherungspflicht, und du wirst nach US-Recht sozialversichert.</w:t>
      </w:r>
    </w:p>
    <w:p w14:paraId="70A4D575" w14:textId="77777777" w:rsidR="00C1548D" w:rsidRDefault="009B1B4B">
      <w:pPr>
        <w:spacing w:after="140"/>
      </w:pPr>
      <w:r>
        <w:lastRenderedPageBreak/>
        <w:t>Für die gesetzliche Rente gilt eine Wartezeit von 5 Jahren; deutsche und US-amerikanische Versicherungszeiten werden dafür zusammengerechnet, auch wenn am Ende jedes Land seine Rente separat aus den eigenen Zeiten berechnet und zahlt. In den USA sind dafür normalerweise 40 Credits nötig (etwa 10 Berufsjahre); das Abkommen hilft, Lücken zu überbrücken.</w:t>
      </w:r>
    </w:p>
    <w:p w14:paraId="70A4D576" w14:textId="77777777" w:rsidR="00C1548D" w:rsidRDefault="009B1B4B">
      <w:pPr>
        <w:spacing w:after="140"/>
      </w:pPr>
      <w:r>
        <w:t>Als Deutsche oder Deutscher kannst du freiwillige Beiträge zur Rentenversicherung jederzeit leisten, auch aus den USA; die Zahlung für ein Jahr muss bis zum 31. März des Folgejahres eingehen. 2026 liegt der Höchstbeitrag bei rund 1.571,70 € im Monat. Freiwillige Beiträge halten die Versicherungsbiografie lückenlos, sichern den Erwerbsminderungsschutz und erhöhen die spätere Rente.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79"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577" w14:textId="77777777" w:rsidR="00C1548D" w:rsidRDefault="009B1B4B">
            <w:pPr>
              <w:keepNext/>
              <w:spacing w:after="70" w:line="240" w:lineRule="auto"/>
            </w:pPr>
            <w:r>
              <w:rPr>
                <w:b/>
                <w:bCs/>
                <w:color w:val="2F6B3B"/>
                <w:spacing w:val="24"/>
                <w:sz w:val="16"/>
                <w:szCs w:val="16"/>
              </w:rPr>
              <w:t>SPARTIPP</w:t>
            </w:r>
          </w:p>
          <w:p w14:paraId="70A4D578" w14:textId="77777777" w:rsidR="00C1548D" w:rsidRDefault="009B1B4B">
            <w:pPr>
              <w:spacing w:after="80" w:line="264" w:lineRule="auto"/>
            </w:pPr>
            <w:r>
              <w:rPr>
                <w:sz w:val="20"/>
                <w:szCs w:val="20"/>
              </w:rPr>
              <w:t>Wer den Erwerbsminderungsschutz über freiwillige Mindestbeiträge zur Rentenversicherung aufrechterhält, kommt oft günstiger weg als mit einer neuen privaten Berufsunfähigkeitsversicherung in den USA – und sichert zugleich die spätere Rente ab.</w:t>
            </w:r>
          </w:p>
        </w:tc>
      </w:tr>
    </w:tbl>
    <w:p w14:paraId="70A4D57A" w14:textId="77777777" w:rsidR="00C1548D" w:rsidRDefault="00C1548D">
      <w:pPr>
        <w:spacing w:line="220" w:lineRule="exact"/>
      </w:pPr>
    </w:p>
    <w:p w14:paraId="70A4D57B" w14:textId="0A196333" w:rsidR="00C1548D" w:rsidRDefault="009B1B4B">
      <w:pPr>
        <w:spacing w:after="140"/>
      </w:pPr>
      <w: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w:t>
      </w:r>
      <w:r>
        <w:t xml:space="preserve">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w:t>
      </w:r>
      <w:r>
        <w:t>Kapitel </w:t>
      </w:r>
      <w:hyperlink w:anchor="k18" w:history="1">
        <w:r>
          <w:t>18</w:t>
        </w:r>
      </w:hyperlink>
      <w:r>
        <w:t xml:space="preserve">). Verbreiteter Irrtum: Viele befürchten, diese Rente </w:t>
      </w:r>
      <w:r>
        <w:lastRenderedPageBreak/>
        <w:t>werde am Ende doppelt besteuert, einmal in Deutschland und einmal in den USA. Tatsächlich gilt: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7E"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57C" w14:textId="77777777" w:rsidR="00C1548D" w:rsidRDefault="009B1B4B">
            <w:pPr>
              <w:keepNext/>
              <w:spacing w:after="70" w:line="240" w:lineRule="auto"/>
            </w:pPr>
            <w:r>
              <w:rPr>
                <w:b/>
                <w:bCs/>
                <w:color w:val="8A6212"/>
                <w:spacing w:val="24"/>
                <w:sz w:val="16"/>
                <w:szCs w:val="16"/>
              </w:rPr>
              <w:t>MERKE</w:t>
            </w:r>
          </w:p>
          <w:p w14:paraId="70A4D57D" w14:textId="77777777" w:rsidR="00C1548D" w:rsidRDefault="009B1B4B">
            <w:pPr>
              <w:spacing w:after="80" w:line="264" w:lineRule="auto"/>
            </w:pPr>
            <w:r>
              <w:rPr>
                <w:sz w:val="20"/>
                <w:szCs w:val="20"/>
              </w:rPr>
              <w:t>Nach Artikel 18 Absatz 5 des DBA wird die deutsche gesetzliche Rente für US-Ansässige ausschließlich in den USA besteuert, nicht in Deutschland.</w:t>
            </w:r>
          </w:p>
        </w:tc>
      </w:tr>
    </w:tbl>
    <w:p w14:paraId="70A4D57F" w14:textId="77777777" w:rsidR="00C1548D" w:rsidRDefault="00C1548D">
      <w:pPr>
        <w:spacing w:line="220" w:lineRule="exact"/>
      </w:pPr>
    </w:p>
    <w:p w14:paraId="70A4D580" w14:textId="77777777" w:rsidR="00C1548D" w:rsidRDefault="009B1B4B">
      <w:pPr>
        <w:pStyle w:val="Heading3"/>
        <w:keepNext/>
        <w:jc w:val="center"/>
      </w:pPr>
      <w:r>
        <w:rPr>
          <w:rFonts w:ascii="Amazon Ember" w:eastAsia="Amazon Ember" w:hAnsi="Amazon Ember" w:cs="Amazon Ember"/>
          <w:color w:val="0000FF"/>
          <w:sz w:val="36"/>
          <w:szCs w:val="36"/>
        </w:rPr>
        <w:t>Geld mitnehmen: Überweisung, Wechselkurs, Meldepflichten</w:t>
      </w:r>
    </w:p>
    <w:p w14:paraId="70A4D581" w14:textId="77777777" w:rsidR="00C1548D" w:rsidRDefault="009B1B4B">
      <w:pPr>
        <w:spacing w:after="140"/>
      </w:pPr>
      <w:r>
        <w:t>Überweisungen ins Ausland bis 50.000 € muss niemand melden – darüber hinaus meldet die Bank die Zahlung automatisch der Bundesbank (§ 67 Außenwirtschaftsverordnung). Das ist kein Hindernis, nur gut zu wissen, damit eine größere Überweisung – etwa der Verkaufserlös der Wohnung in einer Summe – nicht überrascht. Bargeld über 10.000 € muss beim Verlassen der EU beim Zoll angemeldet werden; bei der Einreise in die USA gilt dieselbe Grenze in Dollar über das Formular FinCEN 105 (die Bargeld-Anmeldung bei der US-</w:t>
      </w:r>
      <w:r>
        <w:t>Einreise).</w:t>
      </w:r>
    </w:p>
    <w:p w14:paraId="70A4D582" w14:textId="77777777" w:rsidR="00C1548D" w:rsidRDefault="009B1B4B">
      <w:pPr>
        <w:spacing w:after="140"/>
      </w:pPr>
      <w:r>
        <w:t>Zur groben Orientierung: 1 € entsprach im September 2026 etwa 1,15 $ (bitte tagesaktuell prüfen). Normale Banküberweisungen ins Ausland haben oft einen versteckt schlechten Wechselkurs zusätzlich zur Gebühr.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85"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583" w14:textId="77777777" w:rsidR="00C1548D" w:rsidRDefault="009B1B4B">
            <w:pPr>
              <w:keepNext/>
              <w:spacing w:after="70" w:line="240" w:lineRule="auto"/>
            </w:pPr>
            <w:r>
              <w:rPr>
                <w:b/>
                <w:bCs/>
                <w:color w:val="2F6B3B"/>
                <w:spacing w:val="24"/>
                <w:sz w:val="16"/>
                <w:szCs w:val="16"/>
              </w:rPr>
              <w:t>SPARTIPP</w:t>
            </w:r>
          </w:p>
          <w:p w14:paraId="70A4D584" w14:textId="77777777" w:rsidR="00C1548D" w:rsidRDefault="009B1B4B">
            <w:pPr>
              <w:spacing w:after="80" w:line="264" w:lineRule="auto"/>
            </w:pPr>
            <w:r>
              <w:rPr>
                <w:sz w:val="20"/>
                <w:szCs w:val="20"/>
              </w:rPr>
              <w:t>Für größere Beträge lohnt sich der Vergleich: Spezialisierte Dienste wie Wise rechnen meist zum Interbankenkurs plus transparenter Gebühr ab und sind bei größeren Summen oft spürbar günstiger als eine klassische Bank-Überweisung.</w:t>
            </w:r>
          </w:p>
        </w:tc>
      </w:tr>
    </w:tbl>
    <w:p w14:paraId="70A4D586" w14:textId="77777777" w:rsidR="00C1548D" w:rsidRDefault="00C1548D">
      <w:pPr>
        <w:spacing w:line="220" w:lineRule="exact"/>
      </w:pPr>
    </w:p>
    <w:p w14:paraId="70A4D587" w14:textId="77777777" w:rsidR="00C1548D" w:rsidRDefault="009B1B4B">
      <w:pPr>
        <w:pStyle w:val="Heading3"/>
        <w:keepNext/>
        <w:jc w:val="center"/>
      </w:pPr>
      <w:r>
        <w:rPr>
          <w:rFonts w:ascii="Amazon Ember" w:eastAsia="Amazon Ember" w:hAnsi="Amazon Ember" w:cs="Amazon Ember"/>
          <w:color w:val="0000FF"/>
          <w:sz w:val="36"/>
          <w:szCs w:val="36"/>
        </w:rPr>
        <w:lastRenderedPageBreak/>
        <w:t>Einen Steuerberater finden, der beide Länder kennt</w:t>
      </w:r>
    </w:p>
    <w:p w14:paraId="70A4D588" w14:textId="7DDA5E4D" w:rsidR="00C1548D" w:rsidRDefault="009B1B4B">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(EA, einen von der US-Steuerbehörde zugelassenen Steuerfachmann; siehe Kapitel </w:t>
      </w:r>
      <w:hyperlink w:anchor="k28" w:history="1">
        <w:r>
          <w:t>28</w:t>
        </w:r>
      </w:hyperlink>
      <w:r>
        <w:t>); nur wenige Kanzleien decken beide Systeme kompetent ab.</w:t>
      </w:r>
    </w:p>
    <w:p w14:paraId="70A4D589" w14:textId="77777777" w:rsidR="00C1548D" w:rsidRDefault="009B1B4B">
      <w:pPr>
        <w:spacing w:after="140"/>
      </w:pPr>
      <w:r>
        <w:t>Frag gezielt nach Erfahrung mit § 6 AStG, PFIC, FBAR und dem Doppelbesteuerungsabkommen Deutschland–USA, und lass dir vorab einen Kostenrahmen nennen –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 Ang</w:t>
      </w:r>
      <w:r>
        <w:t>ebote lohnen sich, gerade im ersten Jahr. Sinnvoll ist außerdem, den deutschen Steuerberater gleich als Zustellungsbevollmächtigten nach § 123 AO zu benennen, damit Post vom Finanzamt zuverlässig ankommt.</w:t>
      </w:r>
    </w:p>
    <w:p w14:paraId="70A4D58A" w14:textId="77777777" w:rsidR="00C1548D" w:rsidRDefault="009B1B4B">
      <w:pPr>
        <w:pStyle w:val="Heading3"/>
        <w:keepNext/>
        <w:jc w:val="center"/>
      </w:pPr>
      <w:r>
        <w:rPr>
          <w:rFonts w:ascii="Amazon Ember" w:eastAsia="Amazon Ember" w:hAnsi="Amazon Ember" w:cs="Amazon Ember"/>
          <w:color w:val="0000FF"/>
          <w:sz w:val="36"/>
          <w:szCs w:val="36"/>
        </w:rPr>
        <w:t>Erbschaftsteuer nach dem Wegzug</w:t>
      </w:r>
    </w:p>
    <w:p w14:paraId="70A4D58B" w14:textId="414AE068" w:rsidR="00C1548D" w:rsidRDefault="009B1B4B">
      <w:pPr>
        <w:spacing w:after="140"/>
      </w:pPr>
      <w:r>
        <w:t xml:space="preserve">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w:t>
      </w:r>
      <w:r>
        <w:lastRenderedPageBreak/>
        <w:t>Freibeträge und Gestaltungsmöglichkeiten gehören in die langfristige Vorsorgeplanung; siehe Kapitel </w:t>
      </w:r>
      <w:hyperlink w:anchor="k39" w:history="1">
        <w:r>
          <w:t>39</w:t>
        </w:r>
      </w:hyperlink>
      <w:r>
        <w:t>.</w:t>
      </w:r>
    </w:p>
    <w:p w14:paraId="70A4D58C"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58F"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58D"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58E" w14:textId="77777777" w:rsidR="00C1548D" w:rsidRDefault="009B1B4B">
            <w:pPr>
              <w:spacing w:line="250" w:lineRule="auto"/>
            </w:pPr>
            <w:r>
              <w:rPr>
                <w:b/>
                <w:bCs/>
                <w:sz w:val="18"/>
                <w:szCs w:val="18"/>
              </w:rPr>
              <w:t>Minus</w:t>
            </w:r>
          </w:p>
        </w:tc>
      </w:tr>
      <w:tr w:rsidR="00C1548D" w14:paraId="70A4D59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90" w14:textId="77777777" w:rsidR="00C1548D" w:rsidRDefault="009B1B4B">
            <w:pPr>
              <w:spacing w:line="250" w:lineRule="auto"/>
            </w:pPr>
            <w:r>
              <w:rPr>
                <w:sz w:val="18"/>
                <w:szCs w:val="18"/>
              </w:rPr>
              <w:t>Die gesetzliche Rente bleibt bestehen und wird weltweit ausgezahlt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91" w14:textId="77777777" w:rsidR="00C1548D" w:rsidRDefault="009B1B4B">
            <w:pPr>
              <w:spacing w:line="250" w:lineRule="auto"/>
            </w:pPr>
            <w:r>
              <w:rPr>
                <w:sz w:val="18"/>
                <w:szCs w:val="18"/>
              </w:rPr>
              <w:t>Ausländische Fonds und ETFs werden in den USA zur teuren PFIC</w:t>
            </w:r>
          </w:p>
        </w:tc>
      </w:tr>
      <w:tr w:rsidR="00C1548D" w14:paraId="70A4D59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93" w14:textId="77777777" w:rsidR="00C1548D" w:rsidRDefault="009B1B4B">
            <w:pPr>
              <w:spacing w:line="250" w:lineRule="auto"/>
            </w:pPr>
            <w:r>
              <w:rPr>
                <w:sz w:val="18"/>
                <w:szCs w:val="18"/>
              </w:rPr>
              <w:t>Das Doppelbesteuerungsabkommen verhindert doppelte Besteuerung derselben Rente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94" w14:textId="77777777" w:rsidR="00C1548D" w:rsidRDefault="009B1B4B">
            <w:pPr>
              <w:spacing w:line="250" w:lineRule="auto"/>
            </w:pPr>
            <w:r>
              <w:rPr>
                <w:sz w:val="18"/>
                <w:szCs w:val="18"/>
              </w:rPr>
              <w:t>Depot und Bankkonto können bei US-Wohnsitz eingeschränkt oder gekündigt werden</w:t>
            </w:r>
          </w:p>
        </w:tc>
      </w:tr>
      <w:tr w:rsidR="00C1548D" w14:paraId="70A4D59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96" w14:textId="77777777" w:rsidR="00C1548D" w:rsidRDefault="009B1B4B">
            <w:pPr>
              <w:spacing w:line="250" w:lineRule="auto"/>
            </w:pPr>
            <w:r>
              <w:rPr>
                <w:sz w:val="18"/>
                <w:szCs w:val="18"/>
              </w:rPr>
              <w:t>Freiwillige Rentenbeiträge sichern Wartezeit und Erwerbsminderungsschutz günstig ab</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97" w14:textId="77777777" w:rsidR="00C1548D" w:rsidRDefault="009B1B4B">
            <w:pPr>
              <w:spacing w:line="250" w:lineRule="auto"/>
            </w:pPr>
            <w:r>
              <w:rPr>
                <w:sz w:val="18"/>
                <w:szCs w:val="18"/>
              </w:rPr>
              <w:t>Die Wegzugsteuer nach § 6 AStG trifft Unternehmensanteile hart, wenn auch in Raten</w:t>
            </w:r>
          </w:p>
        </w:tc>
      </w:tr>
      <w:tr w:rsidR="00C1548D" w14:paraId="70A4D59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99" w14:textId="77777777" w:rsidR="00C1548D" w:rsidRDefault="009B1B4B">
            <w:pPr>
              <w:spacing w:line="250" w:lineRule="auto"/>
            </w:pPr>
            <w:r>
              <w:rPr>
                <w:sz w:val="18"/>
                <w:szCs w:val="18"/>
              </w:rPr>
              <w:t>Riester läuft während der Ansparphase unbeschränkt weiter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9A" w14:textId="77777777" w:rsidR="00C1548D" w:rsidRDefault="009B1B4B">
            <w:pPr>
              <w:spacing w:line="250" w:lineRule="auto"/>
            </w:pPr>
            <w:r>
              <w:rPr>
                <w:sz w:val="18"/>
                <w:szCs w:val="18"/>
              </w:rPr>
              <w:t>Zwei Steuersysteme bedeuten doppelte Beratungskosten und doppelte Meldepflichten</w:t>
            </w:r>
          </w:p>
        </w:tc>
      </w:tr>
      <w:tr w:rsidR="00C1548D" w14:paraId="70A4D59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9C" w14:textId="77777777" w:rsidR="00C1548D" w:rsidRDefault="009B1B4B">
            <w:pPr>
              <w:spacing w:line="250" w:lineRule="auto"/>
            </w:pPr>
            <w:r>
              <w:rPr>
                <w:sz w:val="18"/>
                <w:szCs w:val="18"/>
              </w:rPr>
              <w:t>Bausparvertrag und Lebensversicherung lassen sich oft fortführen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59D" w14:textId="77777777" w:rsidR="00C1548D" w:rsidRDefault="009B1B4B">
            <w:pPr>
              <w:spacing w:line="250" w:lineRule="auto"/>
            </w:pPr>
            <w:r>
              <w:rPr>
                <w:sz w:val="18"/>
                <w:szCs w:val="18"/>
              </w:rPr>
              <w:t>Die Zweitwohnsitz-Falle kann die unbeschränkte Steuerpflicht ungewollt verlängern</w:t>
            </w:r>
          </w:p>
        </w:tc>
      </w:tr>
    </w:tbl>
    <w:p w14:paraId="70A4D59F" w14:textId="77777777" w:rsidR="00C1548D" w:rsidRDefault="00C1548D">
      <w:pPr>
        <w:spacing w:line="180" w:lineRule="exact"/>
      </w:pPr>
    </w:p>
    <w:p w14:paraId="70A4D5A0"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5A1" w14:textId="77777777" w:rsidR="00C1548D" w:rsidRDefault="009B1B4B">
      <w:pPr>
        <w:spacing w:after="140"/>
      </w:pPr>
      <w:r>
        <w:t>Beginne mit den zeitkritischen Punkten: Depot und Fondssparpläne auf PFIC-Risiko prüfen, bevor du steuerlich in den USA ansässig wirst, und bei Unternehmensanteilen ab 1 % die Wegzugsteuer durchrechnen lassen. Kläre parallel, ob eine Wohnung in Deutschland zurückbleibt und ob das gewollt ist. Melde dich rechtzeitig bei der Deutschen Rentenversicherung für die Kontenklärung, informiere Bank und Versicherungen schriftlich über den Umzug und such dir einen Steuerberater für beide Länder. Alles Weitere – Überwe</w:t>
      </w:r>
      <w:r>
        <w:t>isungen, Bargeld, laufende Erklärungen – lässt sich mit dieser Vorarbeit deutlich entspannter erledigen.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AF"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5A2" w14:textId="77777777" w:rsidR="00C1548D" w:rsidRDefault="009B1B4B">
            <w:pPr>
              <w:keepNext/>
              <w:spacing w:after="70" w:line="240" w:lineRule="auto"/>
            </w:pPr>
            <w:r>
              <w:rPr>
                <w:b/>
                <w:bCs/>
                <w:color w:val="1F6F78"/>
                <w:spacing w:val="24"/>
                <w:sz w:val="16"/>
                <w:szCs w:val="16"/>
              </w:rPr>
              <w:lastRenderedPageBreak/>
              <w:t>CHECKLISTE</w:t>
            </w:r>
          </w:p>
          <w:p w14:paraId="70A4D5A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Prüfen, ob nach dem Wegzug eine nutzbare Wohnung in Deutschland zurückbleibt (Zweitwohnsitz-Falle)</w:t>
            </w:r>
          </w:p>
          <w:p w14:paraId="70A4D5A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Unternehmensanteilen ab 1 %: Wegzugsteuer nach § 6 AStG mit dem Steuerberater durchrechnen</w:t>
            </w:r>
          </w:p>
          <w:p w14:paraId="70A4D5A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Depot und Fondssparpläne auf PFIC-Risiko prüfen und vor dem Zuzug entscheiden: verkaufen oder behalten</w:t>
            </w:r>
          </w:p>
          <w:p w14:paraId="70A4D5A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Bank und Depotbank schriftlich über den künftigen US-Wohnsitz informieren</w:t>
            </w:r>
          </w:p>
          <w:p w14:paraId="70A4D5A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Rentenversicherungsverlauf klären lassen (Kontenklärung) und neue Anschrift der Deutschen Rentenversicherung melden</w:t>
            </w:r>
          </w:p>
          <w:p w14:paraId="70A4D5A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Prüfen, ob freiwillige Rentenbeiträge sinnvoll sind</w:t>
            </w:r>
          </w:p>
          <w:p w14:paraId="70A4D5A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Riester-Vertrag auf den geplanten Zeitpunkt der Auszahlungsphase prüfen</w:t>
            </w:r>
          </w:p>
          <w:p w14:paraId="70A4D5A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vermieteter Immobilie oder einer Immobilie, die noch keine zehn Jahre im Besitz ist: steuerliche Folgen von Vermietung oder Verkauf klären</w:t>
            </w:r>
          </w:p>
          <w:p w14:paraId="70A4D5A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Zustellungsbevollmächtigten in Deutschland benennen (§ 123 AO)</w:t>
            </w:r>
          </w:p>
          <w:p w14:paraId="70A4D5A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Steuerberater mit Erfahrung im deutsch-amerikanischen Steuerrecht finden</w:t>
            </w:r>
          </w:p>
          <w:p w14:paraId="70A4D5A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Meldegrenzen für Geldtransfers und Bargeld (50.000 € / 10.000 €) im Kopf behalten</w:t>
            </w:r>
          </w:p>
          <w:p w14:paraId="70A4D5AE" w14:textId="59E5E3DF"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 der Ankunft: US-Steuerpflichten wie FBAR, Formular 8938 und PFIC mit Kapitel </w:t>
            </w:r>
            <w:hyperlink w:anchor="k28" w:history="1">
              <w:r>
                <w:rPr>
                  <w:sz w:val="20"/>
                  <w:szCs w:val="20"/>
                </w:rPr>
                <w:t>28</w:t>
              </w:r>
            </w:hyperlink>
            <w:r>
              <w:rPr>
                <w:sz w:val="20"/>
                <w:szCs w:val="20"/>
              </w:rPr>
              <w:t xml:space="preserve"> abgleichen</w:t>
            </w:r>
          </w:p>
        </w:tc>
      </w:tr>
    </w:tbl>
    <w:p w14:paraId="70A4D5B0" w14:textId="77777777" w:rsidR="00C1548D" w:rsidRDefault="00C1548D">
      <w:pPr>
        <w:spacing w:line="220" w:lineRule="exact"/>
      </w:pPr>
    </w:p>
    <w:p w14:paraId="70A4D5B1"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5B2" w14:textId="03A631D2" w:rsidR="00C1548D" w:rsidRDefault="009B1B4B" w:rsidP="009B1B4B">
      <w:pPr>
        <w:pStyle w:val="ListParagraph"/>
        <w:numPr>
          <w:ilvl w:val="0"/>
          <w:numId w:val="1"/>
        </w:numPr>
        <w:spacing w:after="60"/>
      </w:pPr>
      <w:hyperlink r:id="rId147" w:history="1">
        <w:r>
          <w:rPr>
            <w:color w:val="0563C1"/>
            <w:u w:val="single"/>
          </w:rPr>
          <w:t>gesetze-im-internet.de</w:t>
        </w:r>
      </w:hyperlink>
      <w:r>
        <w:t xml:space="preserve"> – Einkommensteuergesetz, Außensteuergesetz, Abgabenordnung</w:t>
      </w:r>
    </w:p>
    <w:p w14:paraId="70A4D5B3" w14:textId="26D9CD88" w:rsidR="00C1548D" w:rsidRDefault="009B1B4B" w:rsidP="009B1B4B">
      <w:pPr>
        <w:pStyle w:val="ListParagraph"/>
        <w:numPr>
          <w:ilvl w:val="0"/>
          <w:numId w:val="1"/>
        </w:numPr>
        <w:spacing w:after="60"/>
      </w:pPr>
      <w:hyperlink r:id="rId148" w:history="1">
        <w:r>
          <w:rPr>
            <w:color w:val="0563C1"/>
            <w:u w:val="single"/>
          </w:rPr>
          <w:t>deutsche-rentenversicherung.de</w:t>
        </w:r>
      </w:hyperlink>
      <w:r>
        <w:t xml:space="preserve"> – Broschüre „Arbeit und Rente in Deutschland und in den USA“</w:t>
      </w:r>
    </w:p>
    <w:p w14:paraId="70A4D5B4" w14:textId="2470F021" w:rsidR="00C1548D" w:rsidRDefault="009B1B4B" w:rsidP="009B1B4B">
      <w:pPr>
        <w:pStyle w:val="ListParagraph"/>
        <w:numPr>
          <w:ilvl w:val="0"/>
          <w:numId w:val="1"/>
        </w:numPr>
        <w:spacing w:after="60"/>
      </w:pPr>
      <w:hyperlink r:id="rId149" w:history="1">
        <w:r>
          <w:rPr>
            <w:color w:val="0563C1"/>
            <w:u w:val="single"/>
          </w:rPr>
          <w:t>bzst.de</w:t>
        </w:r>
      </w:hyperlink>
      <w:r>
        <w:t xml:space="preserve"> – FATCA und Erstattung der Kapitalertragsteuer</w:t>
      </w:r>
    </w:p>
    <w:p w14:paraId="70A4D5B5" w14:textId="2245C9D4" w:rsidR="00C1548D" w:rsidRDefault="009B1B4B" w:rsidP="009B1B4B">
      <w:pPr>
        <w:pStyle w:val="ListParagraph"/>
        <w:numPr>
          <w:ilvl w:val="0"/>
          <w:numId w:val="1"/>
        </w:numPr>
        <w:spacing w:after="60"/>
      </w:pPr>
      <w:hyperlink r:id="rId150" w:history="1">
        <w:r>
          <w:rPr>
            <w:color w:val="0563C1"/>
            <w:u w:val="single"/>
          </w:rPr>
          <w:t>bundesfinanzministerium.de</w:t>
        </w:r>
      </w:hyperlink>
      <w:r>
        <w:t xml:space="preserve"> – FAQ zur Reform der privaten Altersvorsorge</w:t>
      </w:r>
    </w:p>
    <w:p w14:paraId="70A4D5B6" w14:textId="7BB9C040" w:rsidR="00C1548D" w:rsidRDefault="009B1B4B" w:rsidP="009B1B4B">
      <w:pPr>
        <w:pStyle w:val="ListParagraph"/>
        <w:numPr>
          <w:ilvl w:val="0"/>
          <w:numId w:val="1"/>
        </w:numPr>
        <w:spacing w:after="60"/>
      </w:pPr>
      <w:hyperlink r:id="rId151" w:history="1">
        <w:r>
          <w:rPr>
            <w:color w:val="0563C1"/>
            <w:u w:val="single"/>
          </w:rPr>
          <w:t>irs.gov/pub/irs-trty/germany.pdf</w:t>
        </w:r>
      </w:hyperlink>
      <w:r>
        <w:t xml:space="preserve"> – Doppelbesteuerungsabkommen Deutschland–USA</w:t>
      </w:r>
    </w:p>
    <w:p w14:paraId="70A4D5B7" w14:textId="51DC6B57" w:rsidR="00C1548D" w:rsidRDefault="009B1B4B" w:rsidP="009B1B4B">
      <w:pPr>
        <w:pStyle w:val="ListParagraph"/>
        <w:numPr>
          <w:ilvl w:val="0"/>
          <w:numId w:val="1"/>
        </w:numPr>
        <w:spacing w:after="60"/>
      </w:pPr>
      <w:hyperlink r:id="rId152" w:history="1">
        <w:r>
          <w:rPr>
            <w:color w:val="0563C1"/>
            <w:u w:val="single"/>
          </w:rPr>
          <w:t>irs.gov/instructions/i8621</w:t>
        </w:r>
      </w:hyperlink>
      <w:r>
        <w:t xml:space="preserve"> – Formular 8621 (PFIC)</w:t>
      </w:r>
    </w:p>
    <w:p w14:paraId="70A4D5B8"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BB"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5B9" w14:textId="77777777" w:rsidR="00C1548D" w:rsidRDefault="009B1B4B">
            <w:pPr>
              <w:keepNext/>
              <w:spacing w:after="70" w:line="240" w:lineRule="auto"/>
            </w:pPr>
            <w:r>
              <w:rPr>
                <w:b/>
                <w:bCs/>
                <w:color w:val="6B7280"/>
                <w:spacing w:val="24"/>
                <w:sz w:val="16"/>
                <w:szCs w:val="16"/>
              </w:rPr>
              <w:t>STAND</w:t>
            </w:r>
          </w:p>
          <w:p w14:paraId="70A4D5BA" w14:textId="77777777" w:rsidR="00C1548D" w:rsidRDefault="009B1B4B">
            <w:pPr>
              <w:spacing w:after="80" w:line="264" w:lineRule="auto"/>
            </w:pPr>
            <w:r>
              <w:rPr>
                <w:sz w:val="20"/>
                <w:szCs w:val="20"/>
              </w:rPr>
              <w:t>September 2026. Rentenwert, Beitragsbemessungsgrenzen, PFIC-Freigrenzen und die Riester-Reform ändern sich regelmäßig. Prüfe aktuelle Zahlen und Fristen vor jeder Entscheidung auf den offiziellen Seiten oder mit einem Steuerberater.</w:t>
            </w:r>
          </w:p>
        </w:tc>
      </w:tr>
    </w:tbl>
    <w:p w14:paraId="70A4D5BC" w14:textId="77777777" w:rsidR="00C1548D" w:rsidRDefault="00C1548D">
      <w:pPr>
        <w:spacing w:line="220" w:lineRule="exact"/>
      </w:pPr>
    </w:p>
    <w:p w14:paraId="70A4D5BD" w14:textId="77777777" w:rsidR="00C1548D" w:rsidRDefault="009B1B4B">
      <w:pPr>
        <w:pStyle w:val="Heading2"/>
        <w:keepNext/>
        <w:pageBreakBefore/>
        <w:jc w:val="center"/>
      </w:pPr>
      <w:bookmarkStart w:id="45" w:name="k18"/>
      <w:bookmarkStart w:id="46" w:name="_Toc241352470"/>
      <w:r>
        <w:rPr>
          <w:rFonts w:ascii="Amazon Ember" w:eastAsia="Amazon Ember" w:hAnsi="Amazon Ember" w:cs="Amazon Ember"/>
          <w:color w:val="0000FF"/>
          <w:sz w:val="36"/>
          <w:szCs w:val="36"/>
        </w:rPr>
        <w:lastRenderedPageBreak/>
        <w:t>Kapitel 18: Krankenversicherung und Gesundheit vor dem Abflug</w:t>
      </w:r>
      <w:bookmarkEnd w:id="45"/>
      <w:bookmarkEnd w:id="46"/>
    </w:p>
    <w:p w14:paraId="70A4D5BE" w14:textId="77777777" w:rsidR="00C1548D" w:rsidRDefault="009B1B4B">
      <w:pPr>
        <w:spacing w:after="140"/>
      </w:pPr>
      <w:r>
        <w:t>Drei Monate vor dem Abflug nach Michigan sitzt Anna Brandt (fiktiv) über zwei Listen: eine für Zahnarzt-, Augen- und Kinderarzttermine, eine für Fristen bei der Krankenkasse. Der neue Arbeitgeber meldet Markus zur Firmen-Krankenversicherung erst mit Arbeitsbeginn an, und bis die Deckung greift, können mehrere Monate vergehen. In dieser Zeit ist die Familie weder in Deutschland noch in den USA automatisch abgesichert. Was mit der deutschen Krankenversicherung beim Wegzug passiert, wie du die Lücke schließt u</w:t>
      </w:r>
      <w:r>
        <w:t>nd was du in Sachen Gesundheit vor dem Abflug erledigst, klärt dieses Kapitel.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C6"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5BF" w14:textId="77777777" w:rsidR="00C1548D" w:rsidRDefault="009B1B4B">
            <w:pPr>
              <w:keepNext/>
              <w:spacing w:after="70" w:line="240" w:lineRule="auto"/>
            </w:pPr>
            <w:r>
              <w:rPr>
                <w:b/>
                <w:bCs/>
                <w:color w:val="1F3A5F"/>
                <w:spacing w:val="24"/>
                <w:sz w:val="16"/>
                <w:szCs w:val="16"/>
              </w:rPr>
              <w:t>KURZ GESAGT</w:t>
            </w:r>
          </w:p>
          <w:p w14:paraId="70A4D5C0" w14:textId="77777777" w:rsidR="00C1548D" w:rsidRDefault="009B1B4B" w:rsidP="009B1B4B">
            <w:pPr>
              <w:pStyle w:val="ListParagraph"/>
              <w:numPr>
                <w:ilvl w:val="0"/>
                <w:numId w:val="1"/>
              </w:numPr>
              <w:spacing w:after="50" w:line="264" w:lineRule="auto"/>
            </w:pPr>
            <w:r>
              <w:rPr>
                <w:sz w:val="20"/>
                <w:szCs w:val="20"/>
              </w:rPr>
              <w:t>Die Pflichtmitgliedschaft in der GKV endet mit dem letzten Arbeitstag; eine freiwillige Mitgliedschaft endet nicht automatisch, sondern erst mit Kündigung und Nachweis einer anderen Absicherung.</w:t>
            </w:r>
          </w:p>
          <w:p w14:paraId="70A4D5C1" w14:textId="77777777" w:rsidR="00C1548D" w:rsidRDefault="009B1B4B" w:rsidP="009B1B4B">
            <w:pPr>
              <w:pStyle w:val="ListParagraph"/>
              <w:numPr>
                <w:ilvl w:val="0"/>
                <w:numId w:val="1"/>
              </w:numPr>
              <w:spacing w:after="50" w:line="264" w:lineRule="auto"/>
            </w:pPr>
            <w:r>
              <w:rPr>
                <w:sz w:val="20"/>
                <w:szCs w:val="20"/>
              </w:rPr>
              <w:t>Eine Anwartschaft bei GKV oder PKV hält dir die Rückkehr offen, kostet aber laufend Beitrag, ohne dass du davon in den USA etwas hast.</w:t>
            </w:r>
          </w:p>
          <w:p w14:paraId="70A4D5C2" w14:textId="77777777" w:rsidR="00C1548D" w:rsidRDefault="009B1B4B" w:rsidP="009B1B4B">
            <w:pPr>
              <w:pStyle w:val="ListParagraph"/>
              <w:numPr>
                <w:ilvl w:val="0"/>
                <w:numId w:val="1"/>
              </w:numPr>
              <w:spacing w:after="50" w:line="264" w:lineRule="auto"/>
            </w:pPr>
            <w:r>
              <w:rPr>
                <w:sz w:val="20"/>
                <w:szCs w:val="20"/>
              </w:rPr>
              <w:t>Zwischen deutscher Absicherung und dem Start der US-Versicherung liegt oft eine Lücke von mehreren Wochen bis Monaten, die eine Auslandskrankenversicherung überbrücken sollte.</w:t>
            </w:r>
          </w:p>
          <w:p w14:paraId="70A4D5C3" w14:textId="77777777" w:rsidR="00C1548D" w:rsidRDefault="009B1B4B" w:rsidP="009B1B4B">
            <w:pPr>
              <w:pStyle w:val="ListParagraph"/>
              <w:numPr>
                <w:ilvl w:val="0"/>
                <w:numId w:val="1"/>
              </w:numPr>
              <w:spacing w:after="50" w:line="264" w:lineRule="auto"/>
            </w:pPr>
            <w:r>
              <w:rPr>
                <w:sz w:val="20"/>
                <w:szCs w:val="20"/>
              </w:rPr>
              <w:t>Erledige Zahnarzt, Augenarzt, Kinderarzt und größere Vorsorgetermine vor dem Abflug: In den USA sind Zahn- und Augenbehandlung meist separat versichert und teuer.</w:t>
            </w:r>
          </w:p>
          <w:p w14:paraId="70A4D5C4" w14:textId="77777777" w:rsidR="00C1548D" w:rsidRDefault="009B1B4B" w:rsidP="009B1B4B">
            <w:pPr>
              <w:pStyle w:val="ListParagraph"/>
              <w:numPr>
                <w:ilvl w:val="0"/>
                <w:numId w:val="1"/>
              </w:numPr>
              <w:spacing w:after="50" w:line="264" w:lineRule="auto"/>
            </w:pPr>
            <w:r>
              <w:rPr>
                <w:sz w:val="20"/>
                <w:szCs w:val="20"/>
              </w:rPr>
              <w:t>Schulimpfpflichten regelt jeder Bundesstaat selbst; lass den Impfpass übersetzen und rechne mit Nachimpfungen.</w:t>
            </w:r>
          </w:p>
          <w:p w14:paraId="70A4D5C5" w14:textId="20240E26" w:rsidR="00C1548D" w:rsidRDefault="009B1B4B" w:rsidP="009B1B4B">
            <w:pPr>
              <w:pStyle w:val="ListParagraph"/>
              <w:numPr>
                <w:ilvl w:val="0"/>
                <w:numId w:val="1"/>
              </w:numPr>
              <w:spacing w:after="50" w:line="264" w:lineRule="auto"/>
            </w:pPr>
            <w:r>
              <w:rPr>
                <w:sz w:val="20"/>
                <w:szCs w:val="20"/>
              </w:rPr>
              <w:t>Bist du 55 oder älter oder verdienst du über der Versicherungspflichtgrenze, denk die Rückkehr in die GKV schon jetzt mit (Kapitel </w:t>
            </w:r>
            <w:hyperlink w:anchor="k42" w:history="1">
              <w:r>
                <w:rPr>
                  <w:sz w:val="20"/>
                  <w:szCs w:val="20"/>
                </w:rPr>
                <w:t>42</w:t>
              </w:r>
            </w:hyperlink>
            <w:r>
              <w:rPr>
                <w:sz w:val="20"/>
                <w:szCs w:val="20"/>
              </w:rPr>
              <w:t>).</w:t>
            </w:r>
          </w:p>
        </w:tc>
      </w:tr>
    </w:tbl>
    <w:p w14:paraId="70A4D5C7" w14:textId="77777777" w:rsidR="00C1548D" w:rsidRDefault="00C1548D">
      <w:pPr>
        <w:spacing w:line="220" w:lineRule="exact"/>
      </w:pPr>
    </w:p>
    <w:p w14:paraId="70A4D5C8"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mit deiner Krankenversicherung passiert, wenn du gehst</w:t>
      </w:r>
    </w:p>
    <w:p w14:paraId="70A4D5C9" w14:textId="77777777" w:rsidR="00C1548D" w:rsidRDefault="009B1B4B">
      <w:pPr>
        <w:spacing w:after="140"/>
      </w:pPr>
      <w:r>
        <w:t>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freiwillig versichert – etwa als Selbständiger, Beamter oder mit Einkommen über der Versicherungspflichtgrenze –, endet die Mitgliedschaft nicht automatisch mit dem Wegzug, sondern läuft weiter, bis du sie ak</w:t>
      </w:r>
      <w:r>
        <w:t>tiv kündigst (§ 191 SGB V). Die Kündigung wirkt zudem erst, wenn du der Kasse eine anderweitige Absicherung nachweist (§ 175 Abs. 4 SGB V); ohne diesen Nachweis bucht die Kasse den Beitrag ungerührt weiter.</w:t>
      </w:r>
    </w:p>
    <w:p w14:paraId="70A4D5CA" w14:textId="77777777" w:rsidR="00C1548D" w:rsidRDefault="009B1B4B">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CD"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5CB" w14:textId="77777777" w:rsidR="00C1548D" w:rsidRDefault="009B1B4B">
            <w:pPr>
              <w:keepNext/>
              <w:spacing w:after="70" w:line="240" w:lineRule="auto"/>
            </w:pPr>
            <w:r>
              <w:rPr>
                <w:b/>
                <w:bCs/>
                <w:color w:val="8A6212"/>
                <w:spacing w:val="24"/>
                <w:sz w:val="16"/>
                <w:szCs w:val="16"/>
              </w:rPr>
              <w:t>MERKE</w:t>
            </w:r>
          </w:p>
          <w:p w14:paraId="70A4D5CC" w14:textId="77777777" w:rsidR="00C1548D" w:rsidRDefault="009B1B4B">
            <w:pPr>
              <w:spacing w:after="80" w:line="264" w:lineRule="auto"/>
            </w:pPr>
            <w:r>
              <w:rPr>
                <w:sz w:val="20"/>
                <w:szCs w:val="20"/>
              </w:rPr>
              <w:t>Der Leistungsanspruch der GKV ruht im Ausland. Wer nicht kündigt oder in eine Anwartschaft wechselt, zahlt weiter Beitrag, ohne je eine Leistung dafür zu bekommen.</w:t>
            </w:r>
          </w:p>
        </w:tc>
      </w:tr>
    </w:tbl>
    <w:p w14:paraId="70A4D5CE"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D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5CF" w14:textId="77777777" w:rsidR="00C1548D" w:rsidRDefault="009B1B4B">
            <w:pPr>
              <w:keepNext/>
              <w:spacing w:after="70" w:line="240" w:lineRule="auto"/>
            </w:pPr>
            <w:r>
              <w:rPr>
                <w:b/>
                <w:bCs/>
                <w:color w:val="9B2C2C"/>
                <w:spacing w:val="24"/>
                <w:sz w:val="16"/>
                <w:szCs w:val="16"/>
              </w:rPr>
              <w:t>ACHTUNG</w:t>
            </w:r>
          </w:p>
          <w:p w14:paraId="70A4D5D0" w14:textId="77777777" w:rsidR="00C1548D" w:rsidRDefault="009B1B4B">
            <w:pPr>
              <w:spacing w:after="80" w:line="264" w:lineRule="auto"/>
            </w:pPr>
            <w:r>
              <w:rPr>
                <w:sz w:val="20"/>
                <w:szCs w:val="20"/>
              </w:rPr>
              <w:t>Kündige die freiwillige Mitgliedschaft nicht auf Verdacht. Sie wirkt erst mit Nachweis einer anderen Absicherung – kläre zuerst Anwartschaft oder Übergangsversicherung, sonst entsteht eine Lücke ganz ohne Schutz.</w:t>
            </w:r>
          </w:p>
        </w:tc>
      </w:tr>
    </w:tbl>
    <w:p w14:paraId="70A4D5D2" w14:textId="77777777" w:rsidR="00C1548D" w:rsidRDefault="00C1548D">
      <w:pPr>
        <w:spacing w:line="220" w:lineRule="exact"/>
      </w:pPr>
    </w:p>
    <w:p w14:paraId="70A4D5D3" w14:textId="77777777" w:rsidR="00C1548D" w:rsidRDefault="009B1B4B">
      <w:pPr>
        <w:pStyle w:val="Heading3"/>
        <w:keepNext/>
        <w:jc w:val="center"/>
      </w:pPr>
      <w:r>
        <w:rPr>
          <w:rFonts w:ascii="Amazon Ember" w:eastAsia="Amazon Ember" w:hAnsi="Amazon Ember" w:cs="Amazon Ember"/>
          <w:color w:val="0000FF"/>
          <w:sz w:val="36"/>
          <w:szCs w:val="36"/>
        </w:rPr>
        <w:lastRenderedPageBreak/>
        <w:t>Anwartschaft: die Rückkehr offen halten</w:t>
      </w:r>
    </w:p>
    <w:p w14:paraId="70A4D5D4" w14:textId="77777777" w:rsidR="00C1548D" w:rsidRDefault="009B1B4B">
      <w:pPr>
        <w:spacing w:after="140"/>
      </w:pPr>
      <w:r>
        <w:t>Eine Anwartschaftsversicherung ist kein gesetzlicher Anspruch, sondern ein Angebot der Kassen und Versicherer: Du zahlst einen reduzierten Beitrag dafür, dass du bei der Rückkehr ohne neue Wartezeit und – bei der PKV – ohne neue Gesundheitsprüfung wieder einsteigen kannst. Für die GKV bieten einzelne Kassen, etwa die Techniker Krankenkasse, eine solche Anwartschaft für längere außereuropäische Aufenthalte an, vor allem für Selbständige, freiwillig Versicherte und alle, die sonst bei der Rückkehr Probleme be</w:t>
      </w:r>
      <w:r>
        <w:t>kämen. Ein Auswanderer-Ratgeber nennt einen Richtwert von rund 70 € im Monat; Rechtsgrundlage, Vorversicherungszeit und Höhe legt aber jede Kasse selbst fest – frag konkret nach den Bedingungen.</w:t>
      </w:r>
    </w:p>
    <w:p w14:paraId="70A4D5D5" w14:textId="77777777" w:rsidR="00C1548D" w:rsidRDefault="009B1B4B">
      <w:pPr>
        <w:spacing w:after="140"/>
      </w:pPr>
      <w:r>
        <w:t>In der PKV unterscheidest du die kleine und die große Anwartschaft. Die kleine friert nur den Gesundheitszustand ein: Du kommst ohne neue Gesundheitsprüfung zurück, zahlst aber nach deinem tatsächlichen Eintrittsalter zum Zeitpunkt der Rückkehr. Sie kostet grob 5 bis 10 % des vollen Tarifbeitrags. Die große Anwartschaft erhält zusätzlich das ursprüngliche Eintrittsalter und die angesparten Alterungsrückstellungen; dafür kostet sie etwa 20 bis 45 % des Tarifbeitrags. Je länger der Auslandsaufenthalt und je w</w:t>
      </w:r>
      <w:r>
        <w:t>ahrscheinlicher eine Rückkehr im höheren Alter, desto eher lohnt sich die teurere Variante.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D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5D6" w14:textId="77777777" w:rsidR="00C1548D" w:rsidRDefault="009B1B4B">
            <w:pPr>
              <w:keepNext/>
              <w:spacing w:after="70" w:line="240" w:lineRule="auto"/>
            </w:pPr>
            <w:r>
              <w:rPr>
                <w:b/>
                <w:bCs/>
                <w:color w:val="9B2C2C"/>
                <w:spacing w:val="24"/>
                <w:sz w:val="16"/>
                <w:szCs w:val="16"/>
              </w:rPr>
              <w:t>ACHTUNG</w:t>
            </w:r>
          </w:p>
          <w:p w14:paraId="70A4D5D7" w14:textId="77777777" w:rsidR="00C1548D" w:rsidRDefault="009B1B4B">
            <w:pPr>
              <w:spacing w:after="80" w:line="264" w:lineRule="auto"/>
            </w:pPr>
            <w:r>
              <w:rPr>
                <w:sz w:val="20"/>
                <w:szCs w:val="20"/>
              </w:rPr>
              <w:t>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 nicht erst bei der Rückkehr in einigen Jahren. Das ist der eigentliche Wert der Anwartschaft.</w:t>
            </w:r>
          </w:p>
        </w:tc>
      </w:tr>
    </w:tbl>
    <w:p w14:paraId="70A4D5D9" w14:textId="77777777" w:rsidR="00C1548D" w:rsidRDefault="00C1548D">
      <w:pPr>
        <w:spacing w:line="220" w:lineRule="exact"/>
      </w:pPr>
    </w:p>
    <w:p w14:paraId="70A4D5DA" w14:textId="77777777" w:rsidR="00C1548D" w:rsidRDefault="009B1B4B">
      <w:pPr>
        <w:pStyle w:val="Heading3"/>
        <w:keepNext/>
        <w:jc w:val="center"/>
      </w:pPr>
      <w:r>
        <w:rPr>
          <w:rFonts w:ascii="Amazon Ember" w:eastAsia="Amazon Ember" w:hAnsi="Amazon Ember" w:cs="Amazon Ember"/>
          <w:color w:val="0000FF"/>
          <w:sz w:val="36"/>
          <w:szCs w:val="36"/>
        </w:rPr>
        <w:lastRenderedPageBreak/>
        <w:t>Wenn die Familienversicherung endet</w:t>
      </w:r>
    </w:p>
    <w:p w14:paraId="70A4D5DB" w14:textId="7D3A7358" w:rsidR="00C1548D" w:rsidRDefault="009B1B4B">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US-Arbeitgeberplan die ganze Familie: Ehepartner mit H-4- oder L-2-Status und Kinder lassen sich dort in der Regel mitversichern, sobald die Deckung des Hauptversicherten beginnt (Kapitel </w:t>
      </w:r>
      <w:hyperlink w:anchor="k26" w:history="1">
        <w:r>
          <w:t>26</w:t>
        </w:r>
      </w:hyperlink>
      <w:r>
        <w:t>). Bis dahin gilt dieselbe Lücke wie für die versicherte Person selbst – und dieselbe Lösung: eine Übergangsversicherung.</w:t>
      </w:r>
    </w:p>
    <w:p w14:paraId="70A4D5DC" w14:textId="77777777" w:rsidR="00C1548D" w:rsidRDefault="009B1B4B">
      <w:pPr>
        <w:pStyle w:val="Heading3"/>
        <w:keepNext/>
        <w:jc w:val="center"/>
      </w:pPr>
      <w:r>
        <w:rPr>
          <w:rFonts w:ascii="Amazon Ember" w:eastAsia="Amazon Ember" w:hAnsi="Amazon Ember" w:cs="Amazon Ember"/>
          <w:color w:val="0000FF"/>
          <w:sz w:val="36"/>
          <w:szCs w:val="36"/>
        </w:rPr>
        <w:t>Die Lücke überbrücken: Auslandskrankenversicherung als Übergang</w:t>
      </w:r>
    </w:p>
    <w:p w14:paraId="70A4D5DD" w14:textId="77777777" w:rsidR="00C1548D" w:rsidRDefault="009B1B4B">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 meist eine deutsche Auslandsreise- oder, bei längerer Lücke, eine Langzeit-Auslandskrankenversicherung.</w:t>
      </w:r>
    </w:p>
    <w:p w14:paraId="70A4D5DE" w14:textId="77777777" w:rsidR="00C1548D" w:rsidRDefault="009B1B4B">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w:t>
      </w:r>
      <w:r>
        <w:t>tten; sie schließen Vorerkrankungen, Schwangerschaft und Vorsorge in der Regel aus.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E1"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5DF" w14:textId="77777777" w:rsidR="00C1548D" w:rsidRDefault="009B1B4B">
            <w:pPr>
              <w:keepNext/>
              <w:spacing w:after="70" w:line="240" w:lineRule="auto"/>
            </w:pPr>
            <w:r>
              <w:rPr>
                <w:b/>
                <w:bCs/>
                <w:color w:val="2F6B3B"/>
                <w:spacing w:val="24"/>
                <w:sz w:val="16"/>
                <w:szCs w:val="16"/>
              </w:rPr>
              <w:lastRenderedPageBreak/>
              <w:t>SPARTIPP</w:t>
            </w:r>
          </w:p>
          <w:p w14:paraId="70A4D5E0" w14:textId="77777777" w:rsidR="00C1548D" w:rsidRDefault="009B1B4B">
            <w:pPr>
              <w:spacing w:after="80" w:line="264" w:lineRule="auto"/>
            </w:pPr>
            <w:r>
              <w:rPr>
                <w:sz w:val="20"/>
                <w:szCs w:val="20"/>
              </w:rPr>
              <w:t>Frag die Personalabteilung des neuen Arbeitgebers ausdrücklich, ob eine Deckung „ab Tag 1“ möglich ist oder ob sich die Wartefrist verkürzen lässt. Jeder Monat, den du so einsparst, ist ein Monat weniger Doppelbeitrag für die Übergangsversicherung.</w:t>
            </w:r>
          </w:p>
        </w:tc>
      </w:tr>
    </w:tbl>
    <w:p w14:paraId="70A4D5E2" w14:textId="77777777" w:rsidR="00C1548D" w:rsidRDefault="00C1548D">
      <w:pPr>
        <w:spacing w:line="220" w:lineRule="exact"/>
      </w:pPr>
    </w:p>
    <w:p w14:paraId="70A4D5E3" w14:textId="77777777" w:rsidR="00C1548D" w:rsidRDefault="009B1B4B">
      <w:pPr>
        <w:pStyle w:val="Heading3"/>
        <w:keepNext/>
        <w:jc w:val="center"/>
      </w:pPr>
      <w:r>
        <w:rPr>
          <w:rFonts w:ascii="Amazon Ember" w:eastAsia="Amazon Ember" w:hAnsi="Amazon Ember" w:cs="Amazon Ember"/>
          <w:color w:val="0000FF"/>
          <w:sz w:val="36"/>
          <w:szCs w:val="36"/>
        </w:rPr>
        <w:t>Vorsorge vor dem Abflug: Zähne, Augen, Kinderarzt</w:t>
      </w:r>
    </w:p>
    <w:p w14:paraId="70A4D5E4" w14:textId="1CF54B25" w:rsidR="00C1548D" w:rsidRDefault="009B1B4B">
      <w:pPr>
        <w:spacing w:after="140"/>
      </w:pPr>
      <w:r>
        <w:t>In den USA sind Zahn- und Augenbehandlungen für Erwachsene meist nicht Teil der Krankenversicherung, sondern eigene, oft zusätzlich zu zahlende Pläne mit Jahreshöchstleistung und Wartefristen für Zahnersatz (Kapitel </w:t>
      </w:r>
      <w:hyperlink w:anchor="k26" w:history="1">
        <w:r>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w14:paraId="70A4D5E5" w14:textId="77777777" w:rsidR="00C1548D" w:rsidRDefault="009B1B4B">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w14:paraId="70A4D5E6" w14:textId="77777777" w:rsidR="00C1548D" w:rsidRDefault="009B1B4B">
      <w:pPr>
        <w:pStyle w:val="Heading3"/>
        <w:keepNext/>
        <w:jc w:val="center"/>
      </w:pPr>
      <w:r>
        <w:rPr>
          <w:rFonts w:ascii="Amazon Ember" w:eastAsia="Amazon Ember" w:hAnsi="Amazon Ember" w:cs="Amazon Ember"/>
          <w:color w:val="0000FF"/>
          <w:sz w:val="36"/>
          <w:szCs w:val="36"/>
        </w:rPr>
        <w:lastRenderedPageBreak/>
        <w:t>Impfungen und die US-Schulimpfpflicht</w:t>
      </w:r>
    </w:p>
    <w:p w14:paraId="70A4D5E7" w14:textId="7384E94D" w:rsidR="00C1548D" w:rsidRDefault="009B1B4B">
      <w:pPr>
        <w:spacing w:after="140"/>
      </w:pPr>
      <w:r>
        <w:t>Ob und welche Impfungen ein Kind für Schule oder Kita braucht, regelt in den USA jeder Bundesstaat selbst, teils ergänzend der Schuldistrikt (Kapitel </w:t>
      </w:r>
      <w:hyperlink w:anchor="k36" w:history="1">
        <w:r>
          <w:t>36</w:t>
        </w:r>
      </w:hyperlink>
      <w:r>
        <w:t>).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Connecticut, Maine, New York und West Virginia; mehrere andere Staaten haben ihre Ausnahmeregeln 2025 und 2026 eher gelockert (Stand September 2026). Die genauen Vorgaben deines künftigen Bundesstaats und Schuldistri</w:t>
      </w:r>
      <w:r>
        <w:t>kts erfragst du am besten direkt bei der Schule.</w:t>
      </w:r>
    </w:p>
    <w:p w14:paraId="70A4D5E8" w14:textId="77777777" w:rsidR="00C1548D" w:rsidRDefault="009B1B4B">
      <w:pPr>
        <w:spacing w:after="140"/>
      </w:pPr>
      <w:r>
        <w:t>Ein vollständiger deutscher Impfpass wird meist anerkannt, wenn Datum und Impfstoffname erkennbar sind – doch die Dosierschemata der deutschen Ständigen Impfkommission (STIKO) und die US-amerikanischen weichen an einigen Stellen ab. Windpocken (Varizellen) verlangen in den USA meist zwei Dosen, eine Tdap-Auffrischung ist oft erst für die weiterführende Schule fällig. Rechne damit, dass der künftige Kinderarzt nachimpft, auch bei vollständig erfüllten STIKO-Empfehlungen.</w:t>
      </w:r>
    </w:p>
    <w:p w14:paraId="70A4D5E9" w14:textId="77777777" w:rsidR="00C1548D" w:rsidRDefault="009B1B4B">
      <w:pPr>
        <w:spacing w:after="140"/>
      </w:pPr>
      <w: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Stand September 2026 noch nicht entschieden. Die gesetzlichen Schulimpfpflichten der Bundesstaaten sind davon unabhängig und bislang unverändert.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EC"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5EA" w14:textId="77777777" w:rsidR="00C1548D" w:rsidRDefault="009B1B4B">
            <w:pPr>
              <w:keepNext/>
              <w:spacing w:after="70" w:line="240" w:lineRule="auto"/>
            </w:pPr>
            <w:r>
              <w:rPr>
                <w:b/>
                <w:bCs/>
                <w:color w:val="4A5568"/>
                <w:spacing w:val="24"/>
                <w:sz w:val="16"/>
                <w:szCs w:val="16"/>
              </w:rPr>
              <w:lastRenderedPageBreak/>
              <w:t>PRAXISBEISPIEL · FIKTIV</w:t>
            </w:r>
          </w:p>
          <w:p w14:paraId="70A4D5EB" w14:textId="77777777" w:rsidR="00C1548D" w:rsidRDefault="009B1B4B">
            <w:pPr>
              <w:spacing w:after="80" w:line="264" w:lineRule="auto"/>
            </w:pPr>
            <w:r>
              <w:rPr>
                <w:sz w:val="20"/>
                <w:szCs w:val="20"/>
              </w:rPr>
              <w:t>Familie Brandt (fiktiv) lässt Lena (9) und Jonas (5) sechs Wochen vor dem Abflug beim Kinderarzt durchchecken. Beide haben laut Impfpass alle STIKO-Impfungen, doch die künftige Schule in Michigan verlangt eine zweite Varizellen-Dosis, die in Deutschland früher nur einmal üblich war. Jonas findet die zweite Spritze „total unfair“, weil er dachte, das Impfen sei doch längst erledigt gewesen – der Kinderarzt impft trotzdem nach und stellt die Nachweise obendrein auf Englisch aus. Anna lässt den Impfpass beglau</w:t>
            </w:r>
            <w:r>
              <w:rPr>
                <w:sz w:val="20"/>
                <w:szCs w:val="20"/>
              </w:rPr>
              <w:t>bigt übersetzen, weil die Schule ein offizielles Dokument sehen will. Kosten: rund 90 € für die Nachimpfung, 60 € für die Übersetzung. (Fiktives Beispiel.)</w:t>
            </w:r>
          </w:p>
        </w:tc>
      </w:tr>
    </w:tbl>
    <w:p w14:paraId="70A4D5ED" w14:textId="77777777" w:rsidR="00C1548D" w:rsidRDefault="00C1548D">
      <w:pPr>
        <w:spacing w:line="220" w:lineRule="exact"/>
      </w:pPr>
    </w:p>
    <w:p w14:paraId="70A4D5EE" w14:textId="77777777" w:rsidR="00C1548D" w:rsidRDefault="009B1B4B">
      <w:pPr>
        <w:pStyle w:val="Heading3"/>
        <w:keepNext/>
        <w:jc w:val="center"/>
      </w:pPr>
      <w:r>
        <w:rPr>
          <w:rFonts w:ascii="Amazon Ember" w:eastAsia="Amazon Ember" w:hAnsi="Amazon Ember" w:cs="Amazon Ember"/>
          <w:color w:val="0000FF"/>
          <w:sz w:val="36"/>
          <w:szCs w:val="36"/>
        </w:rPr>
        <w:t>Impfpass und Krankenakte auf Englisch mitbringen</w:t>
      </w:r>
    </w:p>
    <w:p w14:paraId="70A4D5EF" w14:textId="42B6F910" w:rsidR="00C1548D" w:rsidRDefault="009B1B4B">
      <w:pPr>
        <w:spacing w:after="140"/>
      </w:pPr>
      <w:r>
        <w:t xml:space="preserve">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Datum und Impfstoffname; eine Apostille verlangt dafür in aller Regel </w:t>
      </w:r>
      <w:r>
        <w:t xml:space="preserve">niemand (Einzelheiten in </w:t>
      </w:r>
      <w:r>
        <w:t>Kapitel </w:t>
      </w:r>
      <w:hyperlink w:anchor="k19" w:history="1">
        <w:r>
          <w:t>19</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F2"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5F0" w14:textId="77777777" w:rsidR="00C1548D" w:rsidRDefault="009B1B4B">
            <w:pPr>
              <w:keepNext/>
              <w:spacing w:after="70" w:line="240" w:lineRule="auto"/>
            </w:pPr>
            <w:r>
              <w:rPr>
                <w:b/>
                <w:bCs/>
                <w:color w:val="2F6B3B"/>
                <w:spacing w:val="24"/>
                <w:sz w:val="16"/>
                <w:szCs w:val="16"/>
              </w:rPr>
              <w:t>SPARTIPP</w:t>
            </w:r>
          </w:p>
          <w:p w14:paraId="70A4D5F1" w14:textId="77777777" w:rsidR="00C1548D" w:rsidRDefault="009B1B4B">
            <w:pPr>
              <w:spacing w:after="80" w:line="264" w:lineRule="auto"/>
            </w:pPr>
            <w:r>
              <w:rPr>
                <w:sz w:val="20"/>
                <w:szCs w:val="20"/>
              </w:rPr>
              <w:t>Frag zuerst deine Ärzte, ob sie den Bericht direkt zweisprachig oder auf Englisch ausstellen. Das ist oft günstiger und schneller als eine nachträgliche beglaubigte Übersetzung durch ein externes Büro.</w:t>
            </w:r>
          </w:p>
        </w:tc>
      </w:tr>
    </w:tbl>
    <w:p w14:paraId="70A4D5F3" w14:textId="77777777" w:rsidR="00C1548D" w:rsidRDefault="00C1548D">
      <w:pPr>
        <w:spacing w:line="220" w:lineRule="exact"/>
      </w:pPr>
    </w:p>
    <w:p w14:paraId="70A4D5F4" w14:textId="77777777" w:rsidR="00C1548D" w:rsidRDefault="009B1B4B">
      <w:pPr>
        <w:pStyle w:val="Heading3"/>
        <w:keepNext/>
        <w:jc w:val="center"/>
      </w:pPr>
      <w:r>
        <w:rPr>
          <w:rFonts w:ascii="Amazon Ember" w:eastAsia="Amazon Ember" w:hAnsi="Amazon Ember" w:cs="Amazon Ember"/>
          <w:color w:val="0000FF"/>
          <w:sz w:val="36"/>
          <w:szCs w:val="36"/>
        </w:rPr>
        <w:lastRenderedPageBreak/>
        <w:t>Medikamente: Vorrat, Wirkstoffname, Einfuhr</w:t>
      </w:r>
    </w:p>
    <w:p w14:paraId="70A4D5F5" w14:textId="77777777" w:rsidR="00C1548D" w:rsidRDefault="009B1B4B">
      <w:pPr>
        <w:spacing w:after="140"/>
      </w:pPr>
      <w:r>
        <w:t>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in der Regel nicht, wohl aber den internationalen Wirkstoffnamen – aus Paracetamol wird dort etwa Acetaminophen, als hätten sich beide Länder stillschweigend auf unterschiedliche Wörter geeinigt.</w:t>
      </w:r>
    </w:p>
    <w:p w14:paraId="70A4D5F6" w14:textId="77777777" w:rsidR="00C1548D" w:rsidRDefault="009B1B4B">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F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5F7" w14:textId="77777777" w:rsidR="00C1548D" w:rsidRDefault="009B1B4B">
            <w:pPr>
              <w:keepNext/>
              <w:spacing w:after="70" w:line="240" w:lineRule="auto"/>
            </w:pPr>
            <w:r>
              <w:rPr>
                <w:b/>
                <w:bCs/>
                <w:color w:val="9B2C2C"/>
                <w:spacing w:val="24"/>
                <w:sz w:val="16"/>
                <w:szCs w:val="16"/>
              </w:rPr>
              <w:t>ACHTUNG</w:t>
            </w:r>
          </w:p>
          <w:p w14:paraId="70A4D5F8" w14:textId="77777777" w:rsidR="00C1548D" w:rsidRDefault="009B1B4B">
            <w:pPr>
              <w:spacing w:after="80" w:line="264" w:lineRule="auto"/>
            </w:pPr>
            <w:r>
              <w:rPr>
                <w:sz w:val="20"/>
                <w:szCs w:val="20"/>
              </w:rPr>
              <w:t>Verlass dich bei Rezepten nicht auf den deutschen Handelsnamen. Notiere für jedes Dauermedikament den Wirkstoffnamen und, falls bekannt, die US-Handelsbezeichnung – sonst stehst du in der amerikanischen Apotheke ohne verwertbares Rezept da.</w:t>
            </w:r>
          </w:p>
        </w:tc>
      </w:tr>
    </w:tbl>
    <w:p w14:paraId="70A4D5FA" w14:textId="77777777" w:rsidR="00C1548D" w:rsidRDefault="00C1548D">
      <w:pPr>
        <w:spacing w:line="220" w:lineRule="exact"/>
      </w:pPr>
    </w:p>
    <w:p w14:paraId="70A4D5FB" w14:textId="77777777" w:rsidR="00C1548D" w:rsidRDefault="009B1B4B">
      <w:pPr>
        <w:pStyle w:val="Heading3"/>
        <w:keepNext/>
        <w:jc w:val="center"/>
      </w:pPr>
      <w:r>
        <w:rPr>
          <w:rFonts w:ascii="Amazon Ember" w:eastAsia="Amazon Ember" w:hAnsi="Amazon Ember" w:cs="Amazon Ember"/>
          <w:color w:val="0000FF"/>
          <w:sz w:val="36"/>
          <w:szCs w:val="36"/>
        </w:rPr>
        <w:t>Der Weg zurück in die GKV</w:t>
      </w:r>
    </w:p>
    <w:p w14:paraId="70A4D5FC" w14:textId="6FE76F17" w:rsidR="00C1548D" w:rsidRDefault="009B1B4B">
      <w:pPr>
        <w:spacing w:after="140"/>
      </w:pPr>
      <w:r>
        <w:t xml:space="preserve">Verbreiteter Irrtum: Viele gehen davon aus, nach ein paar Jahren im Ausland könne man einfach wieder in die gesetzliche Kasse eintreten. Tatsächlich kommt, wer ohne Anwartschaft ausgewandert ist, nach der Rückkehr nicht automatisch und nicht immer zu </w:t>
      </w:r>
      <w:r>
        <w:lastRenderedPageBreak/>
        <w:t>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w:t>
      </w:r>
      <w:r>
        <w:t xml:space="preserve"> versicherungsfrei werden – und damit von der Rückkehr in die GKV ausgeschlossen bleiben. Genau diese Fälle sind der Grund, eine Anwartschaft schon vor der Abreise zu prüfen. Die vollständigen Regeln zur Rückkehr, samt Fristen und Sonderfällen, behandelt </w:t>
      </w:r>
      <w:r>
        <w:t>Kapitel </w:t>
      </w:r>
      <w:hyperlink w:anchor="k42" w:history="1">
        <w:r>
          <w:t>42</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5FF"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5FD" w14:textId="77777777" w:rsidR="00C1548D" w:rsidRDefault="009B1B4B">
            <w:pPr>
              <w:keepNext/>
              <w:spacing w:after="70" w:line="240" w:lineRule="auto"/>
            </w:pPr>
            <w:r>
              <w:rPr>
                <w:b/>
                <w:bCs/>
                <w:color w:val="6B7280"/>
                <w:spacing w:val="24"/>
                <w:sz w:val="16"/>
                <w:szCs w:val="16"/>
              </w:rPr>
              <w:t>KEIN RECHTSRAT</w:t>
            </w:r>
          </w:p>
          <w:p w14:paraId="70A4D5FE" w14:textId="77777777" w:rsidR="00C1548D" w:rsidRDefault="009B1B4B">
            <w:pPr>
              <w:spacing w:after="80" w:line="264" w:lineRule="auto"/>
            </w:pPr>
            <w:r>
              <w:rPr>
                <w:sz w:val="20"/>
                <w:szCs w:val="20"/>
              </w:rPr>
              <w:t>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tc>
      </w:tr>
    </w:tbl>
    <w:p w14:paraId="70A4D600" w14:textId="77777777" w:rsidR="00C1548D" w:rsidRDefault="00C1548D">
      <w:pPr>
        <w:spacing w:line="220" w:lineRule="exact"/>
      </w:pPr>
    </w:p>
    <w:p w14:paraId="70A4D601"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604"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02"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03" w14:textId="77777777" w:rsidR="00C1548D" w:rsidRDefault="009B1B4B">
            <w:pPr>
              <w:spacing w:line="250" w:lineRule="auto"/>
            </w:pPr>
            <w:r>
              <w:rPr>
                <w:b/>
                <w:bCs/>
                <w:sz w:val="18"/>
                <w:szCs w:val="18"/>
              </w:rPr>
              <w:t>Minus</w:t>
            </w:r>
          </w:p>
        </w:tc>
      </w:tr>
      <w:tr w:rsidR="00C1548D" w14:paraId="70A4D60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05" w14:textId="77777777" w:rsidR="00C1548D" w:rsidRDefault="009B1B4B">
            <w:pPr>
              <w:spacing w:line="250" w:lineRule="auto"/>
            </w:pPr>
            <w:r>
              <w:rPr>
                <w:sz w:val="18"/>
                <w:szCs w:val="18"/>
              </w:rPr>
              <w:t>Eine Anwartschaft sichert die Rückkehr ohne neue Gesundheitsprüfung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06" w14:textId="77777777" w:rsidR="00C1548D" w:rsidRDefault="009B1B4B">
            <w:pPr>
              <w:spacing w:line="250" w:lineRule="auto"/>
            </w:pPr>
            <w:r>
              <w:rPr>
                <w:sz w:val="18"/>
                <w:szCs w:val="18"/>
              </w:rPr>
              <w:t>Kostet laufend Beitrag, ohne dass du in den USA etwas davon hast</w:t>
            </w:r>
          </w:p>
        </w:tc>
      </w:tr>
      <w:tr w:rsidR="00C1548D" w14:paraId="70A4D60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08" w14:textId="77777777" w:rsidR="00C1548D" w:rsidRDefault="009B1B4B">
            <w:pPr>
              <w:spacing w:line="250" w:lineRule="auto"/>
            </w:pPr>
            <w:r>
              <w:rPr>
                <w:sz w:val="18"/>
                <w:szCs w:val="18"/>
              </w:rPr>
              <w:t>Kündigung der freiwilligen GKV spart sofort Beitrag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09" w14:textId="77777777" w:rsidR="00C1548D" w:rsidRDefault="009B1B4B">
            <w:pPr>
              <w:spacing w:line="250" w:lineRule="auto"/>
            </w:pPr>
            <w:r>
              <w:rPr>
                <w:sz w:val="18"/>
                <w:szCs w:val="18"/>
              </w:rPr>
              <w:t>Die Rückkehr kann an der Versicherungspflichtgrenze, an Selbständigkeit oder am hohen Einreisealter scheitern</w:t>
            </w:r>
          </w:p>
        </w:tc>
      </w:tr>
      <w:tr w:rsidR="00C1548D" w14:paraId="70A4D60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0B" w14:textId="77777777" w:rsidR="00C1548D" w:rsidRDefault="009B1B4B">
            <w:pPr>
              <w:spacing w:line="250" w:lineRule="auto"/>
            </w:pPr>
            <w:r>
              <w:rPr>
                <w:sz w:val="18"/>
                <w:szCs w:val="18"/>
              </w:rPr>
              <w:t>Die große PKV-Anwartschaft erhält Eintrittsalter und Alterungsrückstellungen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0C" w14:textId="77777777" w:rsidR="00C1548D" w:rsidRDefault="009B1B4B">
            <w:pPr>
              <w:spacing w:line="250" w:lineRule="auto"/>
            </w:pPr>
            <w:r>
              <w:rPr>
                <w:sz w:val="18"/>
                <w:szCs w:val="18"/>
              </w:rPr>
              <w:t>Deutlich teurer als die kleine Variante</w:t>
            </w:r>
          </w:p>
        </w:tc>
      </w:tr>
      <w:tr w:rsidR="00C1548D" w14:paraId="70A4D61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0E" w14:textId="77777777" w:rsidR="00C1548D" w:rsidRDefault="009B1B4B">
            <w:pPr>
              <w:spacing w:line="250" w:lineRule="auto"/>
            </w:pPr>
            <w:r>
              <w:rPr>
                <w:sz w:val="18"/>
                <w:szCs w:val="18"/>
              </w:rPr>
              <w:t>Eine Auslandskrankenversicherung schließt die Lücke bis zum US-Start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0F" w14:textId="77777777" w:rsidR="00C1548D" w:rsidRDefault="009B1B4B">
            <w:pPr>
              <w:spacing w:line="250" w:lineRule="auto"/>
            </w:pPr>
            <w:r>
              <w:rPr>
                <w:sz w:val="18"/>
                <w:szCs w:val="18"/>
              </w:rPr>
              <w:t>Deckt oft keine Vorerkrankungen, Schwangerschaft oder reine Vorsorge</w:t>
            </w:r>
          </w:p>
        </w:tc>
      </w:tr>
      <w:tr w:rsidR="00C1548D" w14:paraId="70A4D61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11" w14:textId="77777777" w:rsidR="00C1548D" w:rsidRDefault="009B1B4B">
            <w:pPr>
              <w:spacing w:line="250" w:lineRule="auto"/>
            </w:pPr>
            <w:r>
              <w:rPr>
                <w:sz w:val="18"/>
                <w:szCs w:val="18"/>
              </w:rPr>
              <w:lastRenderedPageBreak/>
              <w:t>Vorsorge in Deutschland ist meist günstiger und schneller organisiert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12" w14:textId="77777777" w:rsidR="00C1548D" w:rsidRDefault="009B1B4B">
            <w:pPr>
              <w:spacing w:line="250" w:lineRule="auto"/>
            </w:pPr>
            <w:r>
              <w:rPr>
                <w:sz w:val="18"/>
                <w:szCs w:val="18"/>
              </w:rPr>
              <w:t>Kostet Zeit im ohnehin engen Zeitplan vor dem Abflug</w:t>
            </w:r>
          </w:p>
        </w:tc>
      </w:tr>
      <w:tr w:rsidR="00C1548D" w14:paraId="70A4D61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14" w14:textId="77777777" w:rsidR="00C1548D" w:rsidRDefault="009B1B4B">
            <w:pPr>
              <w:spacing w:line="250" w:lineRule="auto"/>
            </w:pPr>
            <w:r>
              <w:rPr>
                <w:sz w:val="18"/>
                <w:szCs w:val="18"/>
              </w:rPr>
              <w:t>Ein vollständiger, übersetzter Impfpass beschleunigt die Schulanmeldung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15" w14:textId="77777777" w:rsidR="00C1548D" w:rsidRDefault="009B1B4B">
            <w:pPr>
              <w:spacing w:line="250" w:lineRule="auto"/>
            </w:pPr>
            <w:r>
              <w:rPr>
                <w:sz w:val="18"/>
                <w:szCs w:val="18"/>
              </w:rPr>
              <w:t>US-Schulen verlangen oft zusätzliche Dosen, die STIKO nicht vorsieht</w:t>
            </w:r>
          </w:p>
        </w:tc>
      </w:tr>
    </w:tbl>
    <w:p w14:paraId="70A4D617" w14:textId="77777777" w:rsidR="00C1548D" w:rsidRDefault="00C1548D">
      <w:pPr>
        <w:spacing w:line="180" w:lineRule="exact"/>
      </w:pPr>
    </w:p>
    <w:p w14:paraId="70A4D618"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619" w14:textId="77777777" w:rsidR="00C1548D" w:rsidRDefault="009B1B4B">
      <w:pPr>
        <w:spacing w:after="140"/>
      </w:pPr>
      <w:r>
        <w:t>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Medikamentenvorrat mit deinem Arzt und besorgst die englischen Rezepte. Sobald das Startdatum der US-Versicherung feststeht, s</w:t>
      </w:r>
      <w:r>
        <w:t>chließt du die Übergangsversicherung passgenau daran an.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25"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61A" w14:textId="77777777" w:rsidR="00C1548D" w:rsidRDefault="009B1B4B">
            <w:pPr>
              <w:keepNext/>
              <w:spacing w:after="70" w:line="240" w:lineRule="auto"/>
            </w:pPr>
            <w:r>
              <w:rPr>
                <w:b/>
                <w:bCs/>
                <w:color w:val="1F6F78"/>
                <w:spacing w:val="24"/>
                <w:sz w:val="16"/>
                <w:szCs w:val="16"/>
              </w:rPr>
              <w:lastRenderedPageBreak/>
              <w:t>CHECKLISTE</w:t>
            </w:r>
          </w:p>
          <w:p w14:paraId="70A4D61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Kläre mit deiner Krankenkasse, ob deine Mitgliedschaft freiwillig oder pflichtig ist und was der Wegzug dafür bedeutet</w:t>
            </w:r>
          </w:p>
          <w:p w14:paraId="70A4D61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Beantrage bei Bedarf eine GKV- oder PKV-Anwartschaft, solange du gesund bist</w:t>
            </w:r>
          </w:p>
          <w:p w14:paraId="70A4D61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Schließe eine Auslandsreise- oder Langzeit-Auslandskrankenversicherung ab, die an den Start der US-Versicherung anschließt</w:t>
            </w:r>
          </w:p>
          <w:p w14:paraId="70A4D61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Vereinbare Termine bei Zahnarzt, Augenarzt und Kinderarzt für die ganze Familie</w:t>
            </w:r>
          </w:p>
          <w:p w14:paraId="70A4D61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Lass fehlende oder in den USA zusätzlich verlangte Impfungen nachholen</w:t>
            </w:r>
          </w:p>
          <w:p w14:paraId="70A4D62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Lass den Impfpass mit Datum und Impfstoffnamen übersetzen</w:t>
            </w:r>
          </w:p>
          <w:p w14:paraId="70A4D62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Bitte deine Ärzte um einen englischen Arztbrief sowie Bildgebung auf CD, USB-Stick oder im Patientenportal</w:t>
            </w:r>
          </w:p>
          <w:p w14:paraId="70A4D62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Kläre mit deinem Arzt einen ausreichenden Medikamentenvorrat und lass dir ein englisches Rezept mit Wirkstoffnamen ausstellen</w:t>
            </w:r>
          </w:p>
          <w:p w14:paraId="70A4D62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Informiere dich vor der Einreise über Einfuhrregeln für deine konkreten Medikamente bei CBP oder der US-Botschaft</w:t>
            </w:r>
          </w:p>
          <w:p w14:paraId="70A4D624" w14:textId="692FD8FF"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Prüfe bei über 55-Jährigen oder Angestellten über der Versicherungspflichtgrenze die Rückkehroption gesondert (Kapitel </w:t>
            </w:r>
            <w:hyperlink w:anchor="k42" w:history="1">
              <w:r>
                <w:rPr>
                  <w:sz w:val="20"/>
                  <w:szCs w:val="20"/>
                </w:rPr>
                <w:t>42</w:t>
              </w:r>
            </w:hyperlink>
            <w:r>
              <w:rPr>
                <w:sz w:val="20"/>
                <w:szCs w:val="20"/>
              </w:rPr>
              <w:t>)</w:t>
            </w:r>
          </w:p>
        </w:tc>
      </w:tr>
    </w:tbl>
    <w:p w14:paraId="70A4D626" w14:textId="77777777" w:rsidR="00C1548D" w:rsidRDefault="00C1548D">
      <w:pPr>
        <w:spacing w:line="220" w:lineRule="exact"/>
      </w:pPr>
    </w:p>
    <w:p w14:paraId="70A4D627"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628" w14:textId="2758A557" w:rsidR="00C1548D" w:rsidRDefault="009B1B4B" w:rsidP="009B1B4B">
      <w:pPr>
        <w:pStyle w:val="ListParagraph"/>
        <w:numPr>
          <w:ilvl w:val="0"/>
          <w:numId w:val="1"/>
        </w:numPr>
        <w:spacing w:after="60"/>
      </w:pPr>
      <w:hyperlink r:id="rId153" w:history="1">
        <w:r>
          <w:rPr>
            <w:color w:val="0563C1"/>
            <w:u w:val="single"/>
          </w:rPr>
          <w:t>gesetze-im-internet.de</w:t>
        </w:r>
      </w:hyperlink>
      <w:r>
        <w:t xml:space="preserve"> — SGB V §§ 5, 6, 9, 10, 16, 175, 190, 191; VVG § 193</w:t>
      </w:r>
    </w:p>
    <w:p w14:paraId="70A4D629" w14:textId="3A6304F4" w:rsidR="00C1548D" w:rsidRDefault="009B1B4B" w:rsidP="009B1B4B">
      <w:pPr>
        <w:pStyle w:val="ListParagraph"/>
        <w:numPr>
          <w:ilvl w:val="0"/>
          <w:numId w:val="1"/>
        </w:numPr>
        <w:spacing w:after="60"/>
      </w:pPr>
      <w:r>
        <w:t>GKV-Spitzenverband — Beitragssätze und Rechengrößen 2026 (</w:t>
      </w:r>
      <w:hyperlink r:id="rId154" w:history="1">
        <w:r>
          <w:rPr>
            <w:color w:val="0563C1"/>
            <w:u w:val="single"/>
          </w:rPr>
          <w:t>gkv-spitzenverband.de</w:t>
        </w:r>
      </w:hyperlink>
      <w:r>
        <w:t>)</w:t>
      </w:r>
    </w:p>
    <w:p w14:paraId="70A4D62A" w14:textId="3C78C946" w:rsidR="00C1548D" w:rsidRDefault="009B1B4B" w:rsidP="009B1B4B">
      <w:pPr>
        <w:pStyle w:val="ListParagraph"/>
        <w:numPr>
          <w:ilvl w:val="0"/>
          <w:numId w:val="1"/>
        </w:numPr>
        <w:spacing w:after="60"/>
      </w:pPr>
      <w:r>
        <w:t>Techniker Krankenkasse — Anwartschaft bei Auslandsaufenthalt (</w:t>
      </w:r>
      <w:hyperlink r:id="rId155" w:history="1">
        <w:r>
          <w:rPr>
            <w:color w:val="0563C1"/>
            <w:u w:val="single"/>
          </w:rPr>
          <w:t>tk.de</w:t>
        </w:r>
      </w:hyperlink>
      <w:r>
        <w:t>)</w:t>
      </w:r>
    </w:p>
    <w:p w14:paraId="70A4D62B" w14:textId="07AB1542" w:rsidR="00C1548D" w:rsidRDefault="009B1B4B" w:rsidP="009B1B4B">
      <w:pPr>
        <w:pStyle w:val="ListParagraph"/>
        <w:numPr>
          <w:ilvl w:val="0"/>
          <w:numId w:val="1"/>
        </w:numPr>
        <w:spacing w:after="60"/>
      </w:pPr>
      <w:r>
        <w:t>KFF — School Vaccine Requirements (</w:t>
      </w:r>
      <w:hyperlink r:id="rId156" w:history="1">
        <w:r>
          <w:rPr>
            <w:color w:val="0563C1"/>
            <w:u w:val="single"/>
          </w:rPr>
          <w:t>kff.org</w:t>
        </w:r>
      </w:hyperlink>
      <w:r>
        <w:t>)</w:t>
      </w:r>
    </w:p>
    <w:p w14:paraId="70A4D62C" w14:textId="4DF8BBA3" w:rsidR="00C1548D" w:rsidRDefault="009B1B4B" w:rsidP="009B1B4B">
      <w:pPr>
        <w:pStyle w:val="ListParagraph"/>
        <w:numPr>
          <w:ilvl w:val="0"/>
          <w:numId w:val="1"/>
        </w:numPr>
        <w:spacing w:after="60"/>
      </w:pPr>
      <w:r>
        <w:t>CDC — Empfohlener Impfplan für Kinder (</w:t>
      </w:r>
      <w:hyperlink r:id="rId157" w:history="1">
        <w:r>
          <w:rPr>
            <w:color w:val="0563C1"/>
            <w:u w:val="single"/>
          </w:rPr>
          <w:t>cdc.gov/vaccines</w:t>
        </w:r>
      </w:hyperlink>
      <w:r>
        <w:t>)</w:t>
      </w:r>
    </w:p>
    <w:p w14:paraId="70A4D62D" w14:textId="61AE0F8A" w:rsidR="00C1548D" w:rsidRDefault="009B1B4B" w:rsidP="009B1B4B">
      <w:pPr>
        <w:pStyle w:val="ListParagraph"/>
        <w:numPr>
          <w:ilvl w:val="0"/>
          <w:numId w:val="1"/>
        </w:numPr>
        <w:spacing w:after="60"/>
      </w:pPr>
      <w:r>
        <w:lastRenderedPageBreak/>
        <w:t>U.S. Customs and Border Protection — Reisen mit Medikamenten (</w:t>
      </w:r>
      <w:hyperlink r:id="rId158" w:history="1">
        <w:r>
          <w:rPr>
            <w:color w:val="0563C1"/>
            <w:u w:val="single"/>
          </w:rPr>
          <w:t>cbp.gov</w:t>
        </w:r>
      </w:hyperlink>
      <w:r>
        <w:t>)</w:t>
      </w:r>
    </w:p>
    <w:p w14:paraId="70A4D62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31"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62F" w14:textId="77777777" w:rsidR="00C1548D" w:rsidRDefault="009B1B4B">
            <w:pPr>
              <w:keepNext/>
              <w:spacing w:after="70" w:line="240" w:lineRule="auto"/>
            </w:pPr>
            <w:r>
              <w:rPr>
                <w:b/>
                <w:bCs/>
                <w:color w:val="6B7280"/>
                <w:spacing w:val="24"/>
                <w:sz w:val="16"/>
                <w:szCs w:val="16"/>
              </w:rPr>
              <w:t>STAND</w:t>
            </w:r>
          </w:p>
          <w:p w14:paraId="70A4D630" w14:textId="5463516A" w:rsidR="00C1548D" w:rsidRDefault="009B1B4B">
            <w:pPr>
              <w:spacing w:after="80" w:line="264" w:lineRule="auto"/>
            </w:pPr>
            <w:r>
              <w:rPr>
                <w:sz w:val="20"/>
                <w:szCs w:val="20"/>
              </w:rPr>
              <w:t>September 2026. GKV-Beitragssätze, Versicherungspflichtgrenze und Anwartschaftskosten ändern sich jährlich; Rechtsgrundlage und Höhe der GKV-Anwartschaft legt jede Kasse selbst fest, die hier genannten 70 € sind nur ein Richtwert. Schulimpfpflichten sind Landesrecht und ändern sich von Schuljahr zu Schuljahr; prüfe sie beim zuständigen Schuldistrikt (Kapitel </w:t>
            </w:r>
            <w:hyperlink w:anchor="k36" w:history="1">
              <w:r>
                <w:rPr>
                  <w:sz w:val="20"/>
                  <w:szCs w:val="20"/>
                </w:rPr>
                <w:t>36</w:t>
              </w:r>
            </w:hyperlink>
            <w:r>
              <w:rPr>
                <w:sz w:val="20"/>
                <w:szCs w:val="20"/>
              </w:rPr>
              <w:t>), bevor du planst.</w:t>
            </w:r>
          </w:p>
        </w:tc>
      </w:tr>
    </w:tbl>
    <w:p w14:paraId="70A4D632" w14:textId="77777777" w:rsidR="00C1548D" w:rsidRDefault="00C1548D">
      <w:pPr>
        <w:spacing w:line="220" w:lineRule="exact"/>
      </w:pPr>
    </w:p>
    <w:p w14:paraId="70A4D633" w14:textId="77777777" w:rsidR="00C1548D" w:rsidRDefault="009B1B4B">
      <w:pPr>
        <w:pStyle w:val="Heading2"/>
        <w:keepNext/>
        <w:pageBreakBefore/>
        <w:jc w:val="center"/>
      </w:pPr>
      <w:bookmarkStart w:id="47" w:name="k19"/>
      <w:bookmarkStart w:id="48" w:name="_Toc241352471"/>
      <w:r>
        <w:rPr>
          <w:rFonts w:ascii="Amazon Ember" w:eastAsia="Amazon Ember" w:hAnsi="Amazon Ember" w:cs="Amazon Ember"/>
          <w:color w:val="0000FF"/>
          <w:sz w:val="36"/>
          <w:szCs w:val="36"/>
        </w:rPr>
        <w:lastRenderedPageBreak/>
        <w:t>Kapitel 19: Dokumente, Übersetzungen, Apostillen</w:t>
      </w:r>
      <w:bookmarkEnd w:id="47"/>
      <w:bookmarkEnd w:id="48"/>
    </w:p>
    <w:p w14:paraId="70A4D634" w14:textId="77777777" w:rsidR="00C1548D" w:rsidRDefault="009B1B4B">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das sich in Deutschland mit einem Besuch beim Standesamt besorgen ließe, aus den USA aber nur mit Wochen Wartezeit. Dieses Kapitel zeigt, welche Unterlagen du wofür brauchst, wann Apostille und Übersetzung nötig sind und </w:t>
      </w:r>
      <w:r>
        <w:t>in welcher Reihenfolge du vorgehst.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3C"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635" w14:textId="77777777" w:rsidR="00C1548D" w:rsidRDefault="009B1B4B">
            <w:pPr>
              <w:keepNext/>
              <w:spacing w:after="70" w:line="240" w:lineRule="auto"/>
            </w:pPr>
            <w:r>
              <w:rPr>
                <w:b/>
                <w:bCs/>
                <w:color w:val="1F3A5F"/>
                <w:spacing w:val="24"/>
                <w:sz w:val="16"/>
                <w:szCs w:val="16"/>
              </w:rPr>
              <w:t>KURZ GESAGT</w:t>
            </w:r>
          </w:p>
          <w:p w14:paraId="70A4D636" w14:textId="77777777" w:rsidR="00C1548D" w:rsidRDefault="009B1B4B" w:rsidP="009B1B4B">
            <w:pPr>
              <w:pStyle w:val="ListParagraph"/>
              <w:numPr>
                <w:ilvl w:val="0"/>
                <w:numId w:val="1"/>
              </w:numPr>
              <w:spacing w:after="50" w:line="264" w:lineRule="auto"/>
            </w:pPr>
            <w:r>
              <w:rPr>
                <w:sz w:val="20"/>
                <w:szCs w:val="20"/>
              </w:rPr>
              <w:t>Für Petition und Visum genügt meist eine vollständige englische Übersetzung mit Erklärung des Übersetzers; „vereidigt“ verlangt USCIS nicht. Eine Apostille brauchst du nur, wenn eine US-Stelle sie ausdrücklich fordert.</w:t>
            </w:r>
          </w:p>
          <w:p w14:paraId="70A4D637" w14:textId="77777777" w:rsidR="00C1548D" w:rsidRDefault="009B1B4B" w:rsidP="009B1B4B">
            <w:pPr>
              <w:pStyle w:val="ListParagraph"/>
              <w:numPr>
                <w:ilvl w:val="0"/>
                <w:numId w:val="1"/>
              </w:numPr>
              <w:spacing w:after="50" w:line="264" w:lineRule="auto"/>
            </w:pPr>
            <w:r>
              <w:rPr>
                <w:sz w:val="20"/>
                <w:szCs w:val="20"/>
              </w:rPr>
              <w:t>Apostillen stellen Landes- oder Bundesbehörden aus: meist 15–40 €, Dauer je nach Land etwa zwei bis zehn Wochen. Konsulate stellen keine aus.</w:t>
            </w:r>
          </w:p>
          <w:p w14:paraId="70A4D638" w14:textId="77777777" w:rsidR="00C1548D" w:rsidRDefault="009B1B4B" w:rsidP="009B1B4B">
            <w:pPr>
              <w:pStyle w:val="ListParagraph"/>
              <w:numPr>
                <w:ilvl w:val="0"/>
                <w:numId w:val="1"/>
              </w:numPr>
              <w:spacing w:after="50" w:line="264" w:lineRule="auto"/>
            </w:pPr>
            <w:r>
              <w:rPr>
                <w:sz w:val="20"/>
                <w:szCs w:val="20"/>
              </w:rPr>
              <w:t>Das Bewertungsgutachten für deinen Abschluss (WES oder ECE, ca. 110–240 $) ist für H-1B das wichtigste Papier. Es muss vor der Registrierung im März stehen.</w:t>
            </w:r>
          </w:p>
          <w:p w14:paraId="70A4D639" w14:textId="77777777" w:rsidR="00C1548D" w:rsidRDefault="009B1B4B" w:rsidP="009B1B4B">
            <w:pPr>
              <w:pStyle w:val="ListParagraph"/>
              <w:numPr>
                <w:ilvl w:val="0"/>
                <w:numId w:val="1"/>
              </w:numPr>
              <w:spacing w:after="50" w:line="264" w:lineRule="auto"/>
            </w:pPr>
            <w:r>
              <w:rPr>
                <w:sz w:val="20"/>
                <w:szCs w:val="20"/>
              </w:rPr>
              <w:t>Ärzte, Pflegekräfte, Lehrer, Handwerker und Ingenieure mit Prüfverantwortung brauchen eine Lizenz des Bundesstaats. Der Vorlauf reicht von Monaten bis zu Jahren.</w:t>
            </w:r>
          </w:p>
          <w:p w14:paraId="70A4D63A" w14:textId="77777777" w:rsidR="00C1548D" w:rsidRDefault="009B1B4B" w:rsidP="009B1B4B">
            <w:pPr>
              <w:pStyle w:val="ListParagraph"/>
              <w:numPr>
                <w:ilvl w:val="0"/>
                <w:numId w:val="1"/>
              </w:numPr>
              <w:spacing w:after="50" w:line="264" w:lineRule="auto"/>
            </w:pPr>
            <w:r>
              <w:rPr>
                <w:sz w:val="20"/>
                <w:szCs w:val="20"/>
              </w:rPr>
              <w:t>Reisepässe müssen den ganzen Aufenthalt abdecken; Kinderreisepässe gibt es nicht mehr. Erneuere im Inland, bevor du das Visum beantragst.</w:t>
            </w:r>
          </w:p>
          <w:p w14:paraId="70A4D63B" w14:textId="77777777" w:rsidR="00C1548D" w:rsidRDefault="009B1B4B" w:rsidP="009B1B4B">
            <w:pPr>
              <w:pStyle w:val="ListParagraph"/>
              <w:numPr>
                <w:ilvl w:val="0"/>
                <w:numId w:val="1"/>
              </w:numPr>
              <w:spacing w:after="50" w:line="264" w:lineRule="auto"/>
            </w:pPr>
            <w:r>
              <w:rPr>
                <w:sz w:val="20"/>
                <w:szCs w:val="20"/>
              </w:rPr>
              <w:t>Originale gehören ins Handgepäck, Scans verschlüsselt in die Cloud.</w:t>
            </w:r>
          </w:p>
        </w:tc>
      </w:tr>
    </w:tbl>
    <w:p w14:paraId="70A4D63D" w14:textId="77777777" w:rsidR="00C1548D" w:rsidRDefault="00C1548D">
      <w:pPr>
        <w:spacing w:line="220" w:lineRule="exact"/>
      </w:pPr>
    </w:p>
    <w:p w14:paraId="70A4D63E"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Dokumentenliste: was du wofür brauchst</w:t>
      </w:r>
    </w:p>
    <w:p w14:paraId="70A4D63F" w14:textId="3AB31E98" w:rsidR="00C1548D" w:rsidRDefault="009B1B4B">
      <w:pPr>
        <w:spacing w:after="140"/>
      </w:pPr>
      <w: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history="1">
        <w:r>
          <w:t>11</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79"/>
        <w:gridCol w:w="1292"/>
        <w:gridCol w:w="1619"/>
        <w:gridCol w:w="1990"/>
      </w:tblGrid>
      <w:tr w:rsidR="00C1548D" w14:paraId="70A4D644" w14:textId="77777777">
        <w:tblPrEx>
          <w:tblCellMar>
            <w:top w:w="0" w:type="dxa"/>
            <w:bottom w:w="0" w:type="dxa"/>
          </w:tblCellMar>
        </w:tblPrEx>
        <w:trPr>
          <w:cantSplit/>
          <w:tblHeader/>
        </w:trPr>
        <w:tc>
          <w:tcPr>
            <w:tcW w:w="157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40" w14:textId="77777777" w:rsidR="00C1548D" w:rsidRDefault="009B1B4B">
            <w:pPr>
              <w:spacing w:line="250" w:lineRule="auto"/>
            </w:pPr>
            <w:r>
              <w:rPr>
                <w:b/>
                <w:bCs/>
                <w:sz w:val="18"/>
                <w:szCs w:val="18"/>
              </w:rPr>
              <w:t>Dokument</w:t>
            </w:r>
          </w:p>
        </w:tc>
        <w:tc>
          <w:tcPr>
            <w:tcW w:w="129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41" w14:textId="77777777" w:rsidR="00C1548D" w:rsidRDefault="009B1B4B">
            <w:pPr>
              <w:spacing w:line="250" w:lineRule="auto"/>
            </w:pPr>
            <w:r>
              <w:rPr>
                <w:b/>
                <w:bCs/>
                <w:sz w:val="18"/>
                <w:szCs w:val="18"/>
              </w:rPr>
              <w:t>Wofür</w:t>
            </w:r>
          </w:p>
        </w:tc>
        <w:tc>
          <w:tcPr>
            <w:tcW w:w="161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42" w14:textId="77777777" w:rsidR="00C1548D" w:rsidRDefault="009B1B4B">
            <w:pPr>
              <w:spacing w:line="250" w:lineRule="auto"/>
            </w:pPr>
            <w:r>
              <w:rPr>
                <w:b/>
                <w:bCs/>
                <w:sz w:val="18"/>
                <w:szCs w:val="18"/>
              </w:rPr>
              <w:t>Apostille/Übersetzung</w:t>
            </w:r>
          </w:p>
        </w:tc>
        <w:tc>
          <w:tcPr>
            <w:tcW w:w="199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43" w14:textId="77777777" w:rsidR="00C1548D" w:rsidRDefault="009B1B4B">
            <w:pPr>
              <w:spacing w:line="250" w:lineRule="auto"/>
            </w:pPr>
            <w:r>
              <w:rPr>
                <w:b/>
                <w:bCs/>
                <w:sz w:val="18"/>
                <w:szCs w:val="18"/>
              </w:rPr>
              <w:t>Dauer und Kosten</w:t>
            </w:r>
          </w:p>
        </w:tc>
      </w:tr>
      <w:tr w:rsidR="00C1548D" w14:paraId="70A4D649" w14:textId="77777777">
        <w:tblPrEx>
          <w:tblCellMar>
            <w:top w:w="0" w:type="dxa"/>
            <w:bottom w:w="0" w:type="dxa"/>
          </w:tblCellMar>
        </w:tblPrEx>
        <w:trPr>
          <w:cantSplit/>
        </w:trPr>
        <w:tc>
          <w:tcPr>
            <w:tcW w:w="15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45" w14:textId="77777777" w:rsidR="00C1548D" w:rsidRDefault="009B1B4B">
            <w:pPr>
              <w:spacing w:line="250" w:lineRule="auto"/>
            </w:pPr>
            <w:r>
              <w:rPr>
                <w:sz w:val="18"/>
                <w:szCs w:val="18"/>
              </w:rPr>
              <w:t>Reisepass, jede Person</w:t>
            </w:r>
          </w:p>
        </w:tc>
        <w:tc>
          <w:tcPr>
            <w:tcW w:w="12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46" w14:textId="77777777" w:rsidR="00C1548D" w:rsidRDefault="009B1B4B">
            <w:pPr>
              <w:spacing w:line="250" w:lineRule="auto"/>
            </w:pPr>
            <w:r>
              <w:rPr>
                <w:sz w:val="18"/>
                <w:szCs w:val="18"/>
              </w:rPr>
              <w:t>Registrierung, Visum, Einreise</w:t>
            </w:r>
          </w:p>
        </w:tc>
        <w:tc>
          <w:tcPr>
            <w:tcW w:w="1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47" w14:textId="77777777" w:rsidR="00C1548D" w:rsidRDefault="009B1B4B">
            <w:pPr>
              <w:spacing w:line="250" w:lineRule="auto"/>
            </w:pPr>
            <w:r>
              <w:rPr>
                <w:sz w:val="18"/>
                <w:szCs w:val="18"/>
              </w:rPr>
              <w:t>keine</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48" w14:textId="77777777" w:rsidR="00C1548D" w:rsidRDefault="009B1B4B">
            <w:pPr>
              <w:spacing w:line="250" w:lineRule="auto"/>
            </w:pPr>
            <w:r>
              <w:rPr>
                <w:sz w:val="18"/>
                <w:szCs w:val="18"/>
              </w:rPr>
              <w:t>Inland 3–4 Wochen, Express 3 Werktage; 70 € (ab 24 Jahren), 37,50 € (darunter)</w:t>
            </w:r>
          </w:p>
        </w:tc>
      </w:tr>
      <w:tr w:rsidR="00C1548D" w14:paraId="70A4D64E" w14:textId="77777777">
        <w:tblPrEx>
          <w:tblCellMar>
            <w:top w:w="0" w:type="dxa"/>
            <w:bottom w:w="0" w:type="dxa"/>
          </w:tblCellMar>
        </w:tblPrEx>
        <w:trPr>
          <w:cantSplit/>
        </w:trPr>
        <w:tc>
          <w:tcPr>
            <w:tcW w:w="15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4A" w14:textId="77777777" w:rsidR="00C1548D" w:rsidRDefault="009B1B4B">
            <w:pPr>
              <w:spacing w:line="250" w:lineRule="auto"/>
            </w:pPr>
            <w:r>
              <w:rPr>
                <w:sz w:val="18"/>
                <w:szCs w:val="18"/>
              </w:rPr>
              <w:t>Geburts- und Heiratsurkunde (internationale Ausfertigung)</w:t>
            </w:r>
          </w:p>
        </w:tc>
        <w:tc>
          <w:tcPr>
            <w:tcW w:w="12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4B" w14:textId="77777777" w:rsidR="00C1548D" w:rsidRDefault="009B1B4B">
            <w:pPr>
              <w:spacing w:line="250" w:lineRule="auto"/>
            </w:pPr>
            <w:r>
              <w:rPr>
                <w:sz w:val="18"/>
                <w:szCs w:val="18"/>
              </w:rPr>
              <w:t>H-4-Visum, Green Card, Schule</w:t>
            </w:r>
          </w:p>
        </w:tc>
        <w:tc>
          <w:tcPr>
            <w:tcW w:w="1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4C" w14:textId="77777777" w:rsidR="00C1548D" w:rsidRDefault="009B1B4B">
            <w:pPr>
              <w:spacing w:line="250" w:lineRule="auto"/>
            </w:pPr>
            <w:r>
              <w:rPr>
                <w:sz w:val="18"/>
                <w:szCs w:val="18"/>
              </w:rPr>
              <w:t>Übersetzung auf Verlangen; Apostille nur, wenn gefordert</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4D" w14:textId="77777777" w:rsidR="00C1548D" w:rsidRDefault="009B1B4B">
            <w:pPr>
              <w:spacing w:line="250" w:lineRule="auto"/>
            </w:pPr>
            <w:r>
              <w:rPr>
                <w:sz w:val="18"/>
                <w:szCs w:val="18"/>
              </w:rPr>
              <w:t>Standesamt, meist 10–15 € je Urkunde; Dauer erfragen</w:t>
            </w:r>
          </w:p>
        </w:tc>
      </w:tr>
      <w:tr w:rsidR="00C1548D" w14:paraId="70A4D653" w14:textId="77777777">
        <w:tblPrEx>
          <w:tblCellMar>
            <w:top w:w="0" w:type="dxa"/>
            <w:bottom w:w="0" w:type="dxa"/>
          </w:tblCellMar>
        </w:tblPrEx>
        <w:trPr>
          <w:cantSplit/>
        </w:trPr>
        <w:tc>
          <w:tcPr>
            <w:tcW w:w="15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4F" w14:textId="77777777" w:rsidR="00C1548D" w:rsidRDefault="009B1B4B">
            <w:pPr>
              <w:spacing w:line="250" w:lineRule="auto"/>
            </w:pPr>
            <w:r>
              <w:rPr>
                <w:sz w:val="18"/>
                <w:szCs w:val="18"/>
              </w:rPr>
              <w:t>Diplom und Zeugnisse</w:t>
            </w:r>
          </w:p>
        </w:tc>
        <w:tc>
          <w:tcPr>
            <w:tcW w:w="12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0" w14:textId="77777777" w:rsidR="00C1548D" w:rsidRDefault="009B1B4B">
            <w:pPr>
              <w:spacing w:line="250" w:lineRule="auto"/>
            </w:pPr>
            <w:r>
              <w:rPr>
                <w:sz w:val="18"/>
                <w:szCs w:val="18"/>
              </w:rPr>
              <w:t>Zeugnisbewertung, Lizenz</w:t>
            </w:r>
          </w:p>
        </w:tc>
        <w:tc>
          <w:tcPr>
            <w:tcW w:w="1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1" w14:textId="77777777" w:rsidR="00C1548D" w:rsidRDefault="009B1B4B">
            <w:pPr>
              <w:spacing w:line="250" w:lineRule="auto"/>
            </w:pPr>
            <w:r>
              <w:rPr>
                <w:sz w:val="18"/>
                <w:szCs w:val="18"/>
              </w:rPr>
              <w:t>Übersetzung ja; Apostille nur auf Verlangen</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2" w14:textId="77777777" w:rsidR="00C1548D" w:rsidRDefault="009B1B4B">
            <w:pPr>
              <w:spacing w:line="250" w:lineRule="auto"/>
            </w:pPr>
            <w:r>
              <w:rPr>
                <w:sz w:val="18"/>
                <w:szCs w:val="18"/>
              </w:rPr>
              <w:t>beglaubigte Kopien beim Hochschulsekretariat</w:t>
            </w:r>
          </w:p>
        </w:tc>
      </w:tr>
      <w:tr w:rsidR="00C1548D" w14:paraId="70A4D658" w14:textId="77777777">
        <w:tblPrEx>
          <w:tblCellMar>
            <w:top w:w="0" w:type="dxa"/>
            <w:bottom w:w="0" w:type="dxa"/>
          </w:tblCellMar>
        </w:tblPrEx>
        <w:trPr>
          <w:cantSplit/>
        </w:trPr>
        <w:tc>
          <w:tcPr>
            <w:tcW w:w="15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4" w14:textId="77777777" w:rsidR="00C1548D" w:rsidRDefault="009B1B4B">
            <w:pPr>
              <w:spacing w:line="250" w:lineRule="auto"/>
            </w:pPr>
            <w:r>
              <w:rPr>
                <w:sz w:val="18"/>
                <w:szCs w:val="18"/>
              </w:rPr>
              <w:t>Zeugnisbewertung</w:t>
            </w:r>
          </w:p>
        </w:tc>
        <w:tc>
          <w:tcPr>
            <w:tcW w:w="12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5" w14:textId="77777777" w:rsidR="00C1548D" w:rsidRDefault="009B1B4B">
            <w:pPr>
              <w:spacing w:line="250" w:lineRule="auto"/>
            </w:pPr>
            <w:r>
              <w:rPr>
                <w:sz w:val="18"/>
                <w:szCs w:val="18"/>
              </w:rPr>
              <w:t>H-1B, Hochschule, Lizenz</w:t>
            </w:r>
          </w:p>
        </w:tc>
        <w:tc>
          <w:tcPr>
            <w:tcW w:w="1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6" w14:textId="77777777" w:rsidR="00C1548D" w:rsidRDefault="009B1B4B">
            <w:pPr>
              <w:spacing w:line="250" w:lineRule="auto"/>
            </w:pPr>
            <w:r>
              <w:rPr>
                <w:sz w:val="18"/>
                <w:szCs w:val="18"/>
              </w:rPr>
              <w:t>–</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7" w14:textId="77777777" w:rsidR="00C1548D" w:rsidRDefault="009B1B4B">
            <w:pPr>
              <w:spacing w:line="250" w:lineRule="auto"/>
            </w:pPr>
            <w:r>
              <w:rPr>
                <w:sz w:val="18"/>
                <w:szCs w:val="18"/>
              </w:rPr>
              <w:t>110–240 $, mehrere Wochen</w:t>
            </w:r>
          </w:p>
        </w:tc>
      </w:tr>
      <w:tr w:rsidR="00C1548D" w14:paraId="70A4D65D" w14:textId="77777777">
        <w:tblPrEx>
          <w:tblCellMar>
            <w:top w:w="0" w:type="dxa"/>
            <w:bottom w:w="0" w:type="dxa"/>
          </w:tblCellMar>
        </w:tblPrEx>
        <w:trPr>
          <w:cantSplit/>
        </w:trPr>
        <w:tc>
          <w:tcPr>
            <w:tcW w:w="15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9" w14:textId="77777777" w:rsidR="00C1548D" w:rsidRDefault="009B1B4B">
            <w:pPr>
              <w:spacing w:line="250" w:lineRule="auto"/>
            </w:pPr>
            <w:r>
              <w:rPr>
                <w:sz w:val="18"/>
                <w:szCs w:val="18"/>
              </w:rPr>
              <w:t>Arbeitszeugnisse, Arbeitsverträge</w:t>
            </w:r>
          </w:p>
        </w:tc>
        <w:tc>
          <w:tcPr>
            <w:tcW w:w="12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A" w14:textId="77777777" w:rsidR="00C1548D" w:rsidRDefault="009B1B4B">
            <w:pPr>
              <w:spacing w:line="250" w:lineRule="auto"/>
            </w:pPr>
            <w:r>
              <w:rPr>
                <w:sz w:val="18"/>
                <w:szCs w:val="18"/>
              </w:rPr>
              <w:t>Berufserfahrung belegen</w:t>
            </w:r>
          </w:p>
        </w:tc>
        <w:tc>
          <w:tcPr>
            <w:tcW w:w="1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B" w14:textId="77777777" w:rsidR="00C1548D" w:rsidRDefault="009B1B4B">
            <w:pPr>
              <w:spacing w:line="250" w:lineRule="auto"/>
            </w:pPr>
            <w:r>
              <w:rPr>
                <w:sz w:val="18"/>
                <w:szCs w:val="18"/>
              </w:rPr>
              <w:t>Übersetzung ja</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C" w14:textId="77777777" w:rsidR="00C1548D" w:rsidRDefault="009B1B4B">
            <w:pPr>
              <w:spacing w:line="250" w:lineRule="auto"/>
            </w:pPr>
            <w:r>
              <w:rPr>
                <w:sz w:val="18"/>
                <w:szCs w:val="18"/>
              </w:rPr>
              <w:t>beim Arbeitgeber anfordern</w:t>
            </w:r>
          </w:p>
        </w:tc>
      </w:tr>
      <w:tr w:rsidR="00C1548D" w14:paraId="70A4D662" w14:textId="77777777">
        <w:tblPrEx>
          <w:tblCellMar>
            <w:top w:w="0" w:type="dxa"/>
            <w:bottom w:w="0" w:type="dxa"/>
          </w:tblCellMar>
        </w:tblPrEx>
        <w:trPr>
          <w:cantSplit/>
        </w:trPr>
        <w:tc>
          <w:tcPr>
            <w:tcW w:w="15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E" w14:textId="77777777" w:rsidR="00C1548D" w:rsidRDefault="009B1B4B">
            <w:pPr>
              <w:spacing w:line="250" w:lineRule="auto"/>
            </w:pPr>
            <w:r>
              <w:rPr>
                <w:sz w:val="18"/>
                <w:szCs w:val="18"/>
              </w:rPr>
              <w:t>Führungszeugnis</w:t>
            </w:r>
          </w:p>
        </w:tc>
        <w:tc>
          <w:tcPr>
            <w:tcW w:w="12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5F" w14:textId="77777777" w:rsidR="00C1548D" w:rsidRDefault="009B1B4B">
            <w:pPr>
              <w:spacing w:line="250" w:lineRule="auto"/>
            </w:pPr>
            <w:r>
              <w:rPr>
                <w:sz w:val="18"/>
                <w:szCs w:val="18"/>
              </w:rPr>
              <w:t>Green Card im Konsularverfahren, Lizenzen</w:t>
            </w:r>
          </w:p>
        </w:tc>
        <w:tc>
          <w:tcPr>
            <w:tcW w:w="1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0" w14:textId="77777777" w:rsidR="00C1548D" w:rsidRDefault="009B1B4B">
            <w:pPr>
              <w:spacing w:line="250" w:lineRule="auto"/>
            </w:pPr>
            <w:r>
              <w:rPr>
                <w:sz w:val="18"/>
                <w:szCs w:val="18"/>
              </w:rPr>
              <w:t>Übersetzung ja; Apostille über das BfAA</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1" w14:textId="77777777" w:rsidR="00C1548D" w:rsidRDefault="009B1B4B">
            <w:pPr>
              <w:spacing w:line="250" w:lineRule="auto"/>
            </w:pPr>
            <w:r>
              <w:rPr>
                <w:sz w:val="18"/>
                <w:szCs w:val="18"/>
              </w:rPr>
              <w:t>13 €, Apostille ab 22 €; Wochen</w:t>
            </w:r>
          </w:p>
        </w:tc>
      </w:tr>
      <w:tr w:rsidR="00C1548D" w14:paraId="70A4D667" w14:textId="77777777">
        <w:tblPrEx>
          <w:tblCellMar>
            <w:top w:w="0" w:type="dxa"/>
            <w:bottom w:w="0" w:type="dxa"/>
          </w:tblCellMar>
        </w:tblPrEx>
        <w:trPr>
          <w:cantSplit/>
        </w:trPr>
        <w:tc>
          <w:tcPr>
            <w:tcW w:w="15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3" w14:textId="77777777" w:rsidR="00C1548D" w:rsidRDefault="009B1B4B">
            <w:pPr>
              <w:spacing w:line="250" w:lineRule="auto"/>
            </w:pPr>
            <w:r>
              <w:rPr>
                <w:sz w:val="18"/>
                <w:szCs w:val="18"/>
              </w:rPr>
              <w:t>Führerschein</w:t>
            </w:r>
          </w:p>
        </w:tc>
        <w:tc>
          <w:tcPr>
            <w:tcW w:w="12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4" w14:textId="77777777" w:rsidR="00C1548D" w:rsidRDefault="009B1B4B">
            <w:pPr>
              <w:spacing w:line="250" w:lineRule="auto"/>
            </w:pPr>
            <w:r>
              <w:rPr>
                <w:sz w:val="18"/>
                <w:szCs w:val="18"/>
              </w:rPr>
              <w:t>Fahren, Ausweis, Versicherung</w:t>
            </w:r>
          </w:p>
        </w:tc>
        <w:tc>
          <w:tcPr>
            <w:tcW w:w="1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5" w14:textId="745F0239" w:rsidR="00C1548D" w:rsidRDefault="009B1B4B">
            <w:pPr>
              <w:spacing w:line="250" w:lineRule="auto"/>
            </w:pPr>
            <w:r>
              <w:rPr>
                <w:sz w:val="18"/>
                <w:szCs w:val="18"/>
              </w:rPr>
              <w:t>je Bundesstaat verschieden (Kapitel </w:t>
            </w:r>
            <w:hyperlink w:anchor="k27" w:history="1">
              <w:r>
                <w:rPr>
                  <w:sz w:val="18"/>
                  <w:szCs w:val="18"/>
                </w:rPr>
                <w:t>27</w:t>
              </w:r>
            </w:hyperlink>
            <w:r>
              <w:rPr>
                <w:sz w:val="18"/>
                <w:szCs w:val="18"/>
              </w:rPr>
              <w:t>)</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6" w14:textId="77777777" w:rsidR="00C1548D" w:rsidRDefault="009B1B4B">
            <w:pPr>
              <w:spacing w:line="250" w:lineRule="auto"/>
            </w:pPr>
            <w:r>
              <w:rPr>
                <w:sz w:val="18"/>
                <w:szCs w:val="18"/>
              </w:rPr>
              <w:t>Original mitnehmen</w:t>
            </w:r>
          </w:p>
        </w:tc>
      </w:tr>
      <w:tr w:rsidR="00C1548D" w14:paraId="70A4D66C" w14:textId="77777777">
        <w:tblPrEx>
          <w:tblCellMar>
            <w:top w:w="0" w:type="dxa"/>
            <w:bottom w:w="0" w:type="dxa"/>
          </w:tblCellMar>
        </w:tblPrEx>
        <w:trPr>
          <w:cantSplit/>
        </w:trPr>
        <w:tc>
          <w:tcPr>
            <w:tcW w:w="15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8" w14:textId="77777777" w:rsidR="00C1548D" w:rsidRDefault="009B1B4B">
            <w:pPr>
              <w:spacing w:line="250" w:lineRule="auto"/>
            </w:pPr>
            <w:r>
              <w:rPr>
                <w:sz w:val="18"/>
                <w:szCs w:val="18"/>
              </w:rPr>
              <w:t>Impfpass, Schulzeugnisse der Kinder</w:t>
            </w:r>
          </w:p>
        </w:tc>
        <w:tc>
          <w:tcPr>
            <w:tcW w:w="12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9" w14:textId="77777777" w:rsidR="00C1548D" w:rsidRDefault="009B1B4B">
            <w:pPr>
              <w:spacing w:line="250" w:lineRule="auto"/>
            </w:pPr>
            <w:r>
              <w:rPr>
                <w:sz w:val="18"/>
                <w:szCs w:val="18"/>
              </w:rPr>
              <w:t>Schule, Kita, Arzt</w:t>
            </w:r>
          </w:p>
        </w:tc>
        <w:tc>
          <w:tcPr>
            <w:tcW w:w="1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A" w14:textId="7C88C27D" w:rsidR="00C1548D" w:rsidRDefault="009B1B4B">
            <w:pPr>
              <w:spacing w:line="250" w:lineRule="auto"/>
            </w:pPr>
            <w:r>
              <w:rPr>
                <w:sz w:val="18"/>
                <w:szCs w:val="18"/>
              </w:rPr>
              <w:t>Übersetzung; die Schule entscheidet (Kapitel </w:t>
            </w:r>
            <w:hyperlink w:anchor="k18" w:history="1">
              <w:r>
                <w:rPr>
                  <w:sz w:val="18"/>
                  <w:szCs w:val="18"/>
                </w:rPr>
                <w:t>18</w:t>
              </w:r>
            </w:hyperlink>
            <w:r>
              <w:rPr>
                <w:sz w:val="18"/>
                <w:szCs w:val="18"/>
              </w:rPr>
              <w:t xml:space="preserve">, </w:t>
            </w:r>
            <w:hyperlink w:anchor="k36" w:history="1">
              <w:r>
                <w:rPr>
                  <w:sz w:val="18"/>
                  <w:szCs w:val="18"/>
                </w:rPr>
                <w:t>36</w:t>
              </w:r>
            </w:hyperlink>
            <w:r>
              <w:rPr>
                <w:sz w:val="18"/>
                <w:szCs w:val="18"/>
              </w:rPr>
              <w:t>)</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B" w14:textId="77777777" w:rsidR="00C1548D" w:rsidRDefault="009B1B4B">
            <w:pPr>
              <w:spacing w:line="250" w:lineRule="auto"/>
            </w:pPr>
            <w:r>
              <w:rPr>
                <w:sz w:val="18"/>
                <w:szCs w:val="18"/>
              </w:rPr>
              <w:t>Arztpraxis, Schulsekretariat</w:t>
            </w:r>
          </w:p>
        </w:tc>
      </w:tr>
      <w:tr w:rsidR="00C1548D" w14:paraId="70A4D671" w14:textId="77777777">
        <w:tblPrEx>
          <w:tblCellMar>
            <w:top w:w="0" w:type="dxa"/>
            <w:bottom w:w="0" w:type="dxa"/>
          </w:tblCellMar>
        </w:tblPrEx>
        <w:trPr>
          <w:cantSplit/>
        </w:trPr>
        <w:tc>
          <w:tcPr>
            <w:tcW w:w="15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D" w14:textId="77777777" w:rsidR="00C1548D" w:rsidRDefault="009B1B4B">
            <w:pPr>
              <w:spacing w:line="250" w:lineRule="auto"/>
            </w:pPr>
            <w:r>
              <w:rPr>
                <w:sz w:val="18"/>
                <w:szCs w:val="18"/>
              </w:rPr>
              <w:lastRenderedPageBreak/>
              <w:t>Steuerbescheide, Gehaltsabrechnungen</w:t>
            </w:r>
          </w:p>
        </w:tc>
        <w:tc>
          <w:tcPr>
            <w:tcW w:w="12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E" w14:textId="77777777" w:rsidR="00C1548D" w:rsidRDefault="009B1B4B">
            <w:pPr>
              <w:spacing w:line="250" w:lineRule="auto"/>
            </w:pPr>
            <w:r>
              <w:rPr>
                <w:sz w:val="18"/>
                <w:szCs w:val="18"/>
              </w:rPr>
              <w:t>Mietbewerbung, Kredit</w:t>
            </w:r>
          </w:p>
        </w:tc>
        <w:tc>
          <w:tcPr>
            <w:tcW w:w="1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6F" w14:textId="77777777" w:rsidR="00C1548D" w:rsidRDefault="009B1B4B">
            <w:pPr>
              <w:spacing w:line="250" w:lineRule="auto"/>
            </w:pPr>
            <w:r>
              <w:rPr>
                <w:sz w:val="18"/>
                <w:szCs w:val="18"/>
              </w:rPr>
              <w:t>Übersetzung nur auf Anfrage</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70" w14:textId="77777777" w:rsidR="00C1548D" w:rsidRDefault="009B1B4B">
            <w:pPr>
              <w:spacing w:line="250" w:lineRule="auto"/>
            </w:pPr>
            <w:r>
              <w:rPr>
                <w:sz w:val="18"/>
                <w:szCs w:val="18"/>
              </w:rPr>
              <w:t>Kopien der letzten Jahre</w:t>
            </w:r>
          </w:p>
        </w:tc>
      </w:tr>
      <w:tr w:rsidR="00C1548D" w14:paraId="70A4D676" w14:textId="77777777">
        <w:tblPrEx>
          <w:tblCellMar>
            <w:top w:w="0" w:type="dxa"/>
            <w:bottom w:w="0" w:type="dxa"/>
          </w:tblCellMar>
        </w:tblPrEx>
        <w:trPr>
          <w:cantSplit/>
        </w:trPr>
        <w:tc>
          <w:tcPr>
            <w:tcW w:w="15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72" w14:textId="77777777" w:rsidR="00C1548D" w:rsidRDefault="009B1B4B">
            <w:pPr>
              <w:spacing w:line="250" w:lineRule="auto"/>
            </w:pPr>
            <w:r>
              <w:rPr>
                <w:sz w:val="18"/>
                <w:szCs w:val="18"/>
              </w:rPr>
              <w:t>SF-Klassen-Nachweis (Schadenfreiheitsbescheinigung)</w:t>
            </w:r>
          </w:p>
        </w:tc>
        <w:tc>
          <w:tcPr>
            <w:tcW w:w="12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73" w14:textId="271BE463" w:rsidR="00C1548D" w:rsidRDefault="009B1B4B">
            <w:pPr>
              <w:spacing w:line="250" w:lineRule="auto"/>
            </w:pPr>
            <w:r>
              <w:rPr>
                <w:sz w:val="18"/>
                <w:szCs w:val="18"/>
              </w:rPr>
              <w:t>US-Autoversicherung (Kapitel </w:t>
            </w:r>
            <w:hyperlink w:anchor="k25" w:history="1">
              <w:r>
                <w:rPr>
                  <w:sz w:val="18"/>
                  <w:szCs w:val="18"/>
                </w:rPr>
                <w:t>25</w:t>
              </w:r>
            </w:hyperlink>
            <w:r>
              <w:rPr>
                <w:sz w:val="18"/>
                <w:szCs w:val="18"/>
              </w:rPr>
              <w:t>)</w:t>
            </w:r>
          </w:p>
        </w:tc>
        <w:tc>
          <w:tcPr>
            <w:tcW w:w="16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74" w14:textId="77777777" w:rsidR="00C1548D" w:rsidRDefault="009B1B4B">
            <w:pPr>
              <w:spacing w:line="250" w:lineRule="auto"/>
            </w:pPr>
            <w:r>
              <w:rPr>
                <w:sz w:val="18"/>
                <w:szCs w:val="18"/>
              </w:rPr>
              <w:t>englische Fassung anfordern</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75" w14:textId="77777777" w:rsidR="00C1548D" w:rsidRDefault="009B1B4B">
            <w:pPr>
              <w:spacing w:line="250" w:lineRule="auto"/>
            </w:pPr>
            <w:r>
              <w:rPr>
                <w:sz w:val="18"/>
                <w:szCs w:val="18"/>
              </w:rPr>
              <w:t>beim Versicherer; Anerkennung uneinheitlich</w:t>
            </w:r>
          </w:p>
        </w:tc>
      </w:tr>
    </w:tbl>
    <w:p w14:paraId="70A4D677" w14:textId="77777777" w:rsidR="00C1548D" w:rsidRDefault="00C1548D">
      <w:pPr>
        <w:spacing w:line="180" w:lineRule="exact"/>
      </w:pPr>
    </w:p>
    <w:p w14:paraId="70A4D678" w14:textId="10172C58" w:rsidR="00C1548D" w:rsidRDefault="009B1B4B">
      <w:pPr>
        <w:spacing w:after="140"/>
      </w:pPr>
      <w:r>
        <w:t>Einkommensnachweise helfen später bei Miete und Kredit, denn dein deutscher Schufa-Score gilt in den USA nicht (Kapitel </w:t>
      </w:r>
      <w:hyperlink w:anchor="k13" w:history="1">
        <w:r>
          <w:t>13</w:t>
        </w:r>
      </w:hyperlink>
      <w:r>
        <w:t xml:space="preserve">, </w:t>
      </w:r>
      <w:hyperlink w:anchor="k25" w:history="1">
        <w:r>
          <w:t>25</w:t>
        </w:r>
      </w:hyperlink>
      <w:r>
        <w:t>).</w:t>
      </w:r>
    </w:p>
    <w:p w14:paraId="70A4D679" w14:textId="77777777" w:rsidR="00C1548D" w:rsidRDefault="009B1B4B">
      <w:pPr>
        <w:pStyle w:val="Heading3"/>
        <w:keepNext/>
        <w:jc w:val="center"/>
      </w:pPr>
      <w:r>
        <w:rPr>
          <w:rFonts w:ascii="Amazon Ember" w:eastAsia="Amazon Ember" w:hAnsi="Amazon Ember" w:cs="Amazon Ember"/>
          <w:color w:val="0000FF"/>
          <w:sz w:val="36"/>
          <w:szCs w:val="36"/>
        </w:rPr>
        <w:t>Apostille: Echtheitsvermerk für Sonderfälle</w:t>
      </w:r>
    </w:p>
    <w:p w14:paraId="70A4D67A" w14:textId="77777777" w:rsidR="00C1548D" w:rsidRDefault="009B1B4B">
      <w:pPr>
        <w:spacing w:after="140"/>
      </w:pPr>
      <w:r>
        <w:t xml:space="preserve">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USCIS-Anforderungen aber meist gar nicht nötig (Stand September 2026); frag die Kanzlei, bevor du bestellst. Fordern kann </w:t>
      </w:r>
      <w:r>
        <w:t>sie jede US-Stelle, die deutsche Urkunden prüfen will – etwa eine Lizenzbehörde, ein Gericht oder eine Hochschule.</w:t>
      </w:r>
    </w:p>
    <w:p w14:paraId="70A4D67B" w14:textId="77777777" w:rsidR="00C1548D" w:rsidRDefault="009B1B4B">
      <w:pPr>
        <w:spacing w:after="140"/>
      </w:pPr>
      <w:r>
        <w:t>Wer sie ausstellt, hängt von der Urkunde ab:</w:t>
      </w:r>
    </w:p>
    <w:p w14:paraId="70A4D67C" w14:textId="77777777" w:rsidR="00C1548D" w:rsidRDefault="009B1B4B" w:rsidP="009B1B4B">
      <w:pPr>
        <w:pStyle w:val="ListParagraph"/>
        <w:numPr>
          <w:ilvl w:val="0"/>
          <w:numId w:val="1"/>
        </w:numPr>
        <w:spacing w:after="60"/>
      </w:pPr>
      <w:r>
        <w:t>Notarielle Urkunden: die Präsidentin oder der Präsident des Landgerichts.</w:t>
      </w:r>
    </w:p>
    <w:p w14:paraId="70A4D67D" w14:textId="77777777" w:rsidR="00C1548D" w:rsidRDefault="009B1B4B" w:rsidP="009B1B4B">
      <w:pPr>
        <w:pStyle w:val="ListParagraph"/>
        <w:numPr>
          <w:ilvl w:val="0"/>
          <w:numId w:val="1"/>
        </w:numPr>
        <w:spacing w:after="60"/>
      </w:pPr>
      <w:r>
        <w:t>Personenstandsurkunden (Geburt, Heirat): Regierungspräsidium, Bezirksregierung oder Landesministerium, je nach Bundesland.</w:t>
      </w:r>
    </w:p>
    <w:p w14:paraId="70A4D67E" w14:textId="77777777" w:rsidR="00C1548D" w:rsidRDefault="009B1B4B" w:rsidP="009B1B4B">
      <w:pPr>
        <w:pStyle w:val="ListParagraph"/>
        <w:numPr>
          <w:ilvl w:val="0"/>
          <w:numId w:val="1"/>
        </w:numPr>
        <w:spacing w:after="60"/>
      </w:pPr>
      <w:r>
        <w:t xml:space="preserve">Bundesurkunden wie das Führungszeugnis: das Bundesamt für Auswärtige Angelegenheiten (BfAA) in Brandenburg an der </w:t>
      </w:r>
      <w:r>
        <w:lastRenderedPageBreak/>
        <w:t>Havel, nach Vorbeglaubigung durch die ausstellende Bundesbehörde; 22 € je Beglaubigung seit 1. Juli 2025.</w:t>
      </w:r>
    </w:p>
    <w:p w14:paraId="70A4D67F" w14:textId="77777777" w:rsidR="00C1548D" w:rsidRDefault="009B1B4B" w:rsidP="009B1B4B">
      <w:pPr>
        <w:pStyle w:val="ListParagraph"/>
        <w:numPr>
          <w:ilvl w:val="0"/>
          <w:numId w:val="1"/>
        </w:numPr>
        <w:spacing w:after="60"/>
      </w:pPr>
      <w:r>
        <w:t>Deutsche Botschaften und Konsulate: stellen keine Apostillen aus.</w:t>
      </w:r>
    </w:p>
    <w:p w14:paraId="70A4D680" w14:textId="01078BA2" w:rsidR="00C1548D" w:rsidRDefault="009B1B4B" w:rsidP="009B1B4B">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history="1">
        <w:r>
          <w:t>41</w:t>
        </w:r>
      </w:hyperlink>
      <w:r>
        <w:t xml:space="preserve">, </w:t>
      </w:r>
      <w:hyperlink w:anchor="k42" w:history="1">
        <w:r>
          <w:t>42</w:t>
        </w:r>
      </w:hyperlink>
      <w:r>
        <w:t>).</w:t>
      </w:r>
    </w:p>
    <w:p w14:paraId="70A4D681" w14:textId="77777777" w:rsidR="00C1548D" w:rsidRDefault="00C1548D">
      <w:pPr>
        <w:spacing w:line="120" w:lineRule="exact"/>
      </w:pPr>
    </w:p>
    <w:p w14:paraId="70A4D682" w14:textId="77777777" w:rsidR="00C1548D" w:rsidRDefault="009B1B4B">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8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683" w14:textId="77777777" w:rsidR="00C1548D" w:rsidRDefault="009B1B4B">
            <w:pPr>
              <w:keepNext/>
              <w:spacing w:after="70" w:line="240" w:lineRule="auto"/>
            </w:pPr>
            <w:r>
              <w:rPr>
                <w:b/>
                <w:bCs/>
                <w:color w:val="9B2C2C"/>
                <w:spacing w:val="24"/>
                <w:sz w:val="16"/>
                <w:szCs w:val="16"/>
              </w:rPr>
              <w:t>ACHTUNG</w:t>
            </w:r>
          </w:p>
          <w:p w14:paraId="70A4D684" w14:textId="77777777" w:rsidR="00C1548D" w:rsidRDefault="009B1B4B">
            <w:pPr>
              <w:spacing w:after="80" w:line="264" w:lineRule="auto"/>
            </w:pPr>
            <w:r>
              <w:rPr>
                <w:sz w:val="20"/>
                <w:szCs w:val="20"/>
              </w:rPr>
              <w:t>Eine Apostille gehört zu genau einer Urkunde; brauchst du sie für mehrere Stellen, sind mehrere Ausfertigungen nötig. Bestelle sie nicht auf Verdacht, aber starte sofort, wenn eine US-Stelle sie schriftlich fordert: Bis zu zehn Wochen sind realistisch.</w:t>
            </w:r>
          </w:p>
        </w:tc>
      </w:tr>
    </w:tbl>
    <w:p w14:paraId="70A4D686"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89"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687" w14:textId="77777777" w:rsidR="00C1548D" w:rsidRDefault="009B1B4B">
            <w:pPr>
              <w:keepNext/>
              <w:spacing w:after="70" w:line="240" w:lineRule="auto"/>
            </w:pPr>
            <w:r>
              <w:rPr>
                <w:b/>
                <w:bCs/>
                <w:color w:val="2F6B3B"/>
                <w:spacing w:val="24"/>
                <w:sz w:val="16"/>
                <w:szCs w:val="16"/>
              </w:rPr>
              <w:t>SPARTIPP</w:t>
            </w:r>
          </w:p>
          <w:p w14:paraId="70A4D688" w14:textId="77777777" w:rsidR="00C1548D" w:rsidRDefault="009B1B4B">
            <w:pPr>
              <w:spacing w:after="80" w:line="264" w:lineRule="auto"/>
            </w:pPr>
            <w:r>
              <w:rPr>
                <w:sz w:val="20"/>
                <w:szCs w:val="20"/>
              </w:rPr>
              <w:t>Bestelle Geburts- und Heiratsurkunden als mehrsprachige internationale Ausfertigung beim Standesamt des Geburts- oder Heiratsorts, gleich zwei- bis dreimal – das Auswärtige Amt empfiehlt sie für die USA. Konsulate stellen sie nicht aus, und jede Nachbestellung kostet Gebühr und Zeit.</w:t>
            </w:r>
          </w:p>
        </w:tc>
      </w:tr>
    </w:tbl>
    <w:p w14:paraId="70A4D68A" w14:textId="77777777" w:rsidR="00C1548D" w:rsidRDefault="00C1548D">
      <w:pPr>
        <w:spacing w:line="220" w:lineRule="exact"/>
      </w:pPr>
    </w:p>
    <w:p w14:paraId="70A4D68B" w14:textId="77777777" w:rsidR="00C1548D" w:rsidRDefault="009B1B4B">
      <w:pPr>
        <w:pStyle w:val="Heading3"/>
        <w:keepNext/>
        <w:jc w:val="center"/>
      </w:pPr>
      <w:r>
        <w:rPr>
          <w:rFonts w:ascii="Amazon Ember" w:eastAsia="Amazon Ember" w:hAnsi="Amazon Ember" w:cs="Amazon Ember"/>
          <w:color w:val="0000FF"/>
          <w:sz w:val="36"/>
          <w:szCs w:val="36"/>
        </w:rPr>
        <w:t>Übersetzungen: was USCIS und das Konsulat verlangen</w:t>
      </w:r>
    </w:p>
    <w:p w14:paraId="70A4D68C" w14:textId="77777777" w:rsidR="00C1548D" w:rsidRDefault="009B1B4B">
      <w:pPr>
        <w:spacing w:after="140"/>
      </w:pPr>
      <w:r>
        <w:t xml:space="preserve">USCIS verlangt für jede fremdsprachige Unterlage eine vollständige englische Übersetzung. Der Übersetzer bescheinigt schriftlich, dass sie vollständig und richtig ist und dass er das Englische und die Ausgangssprache beherrscht (8 CFR 103.2(b)(3)). Verbreiteter </w:t>
      </w:r>
      <w:r>
        <w:lastRenderedPageBreak/>
        <w:t>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w:t>
      </w:r>
      <w:r>
        <w:rPr>
          <w:i/>
          <w:iCs/>
        </w:rPr>
        <w:t>Certificate of Accuracy</w:t>
      </w:r>
      <w:r>
        <w:t>) mit Name, Anschrift, Datum und Unterschrift des Übersetzers. Ratsam ist ein unabhängiger Übersetzer oder ein Übersetzungsbüro, nicht du selbst oder Verwandte.</w:t>
      </w:r>
    </w:p>
    <w:p w14:paraId="70A4D68D" w14:textId="0954E705" w:rsidR="00C1548D" w:rsidRDefault="009B1B4B">
      <w:pPr>
        <w:spacing w:after="140"/>
      </w:pPr>
      <w: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history="1">
        <w:r>
          <w:t>11</w:t>
        </w:r>
      </w:hyperlink>
      <w:r>
        <w:t>).</w:t>
      </w:r>
    </w:p>
    <w:p w14:paraId="70A4D68E" w14:textId="77777777" w:rsidR="00C1548D" w:rsidRDefault="009B1B4B">
      <w:pPr>
        <w:spacing w:after="140"/>
      </w:pPr>
      <w:r>
        <w:t>Zeugnisse sind Fachtexte. Hole von zwei Büros Angebote mit Scans ein (abgerechnet wird meist pro Seite oder Normzeile), gib die Notenskala mit an und lass gleich mehrere Ausfertigungen anfertigen.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9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68F" w14:textId="77777777" w:rsidR="00C1548D" w:rsidRDefault="009B1B4B">
            <w:pPr>
              <w:keepNext/>
              <w:spacing w:after="70" w:line="240" w:lineRule="auto"/>
            </w:pPr>
            <w:r>
              <w:rPr>
                <w:b/>
                <w:bCs/>
                <w:color w:val="9B2C2C"/>
                <w:spacing w:val="24"/>
                <w:sz w:val="16"/>
                <w:szCs w:val="16"/>
              </w:rPr>
              <w:t>ACHTUNG</w:t>
            </w:r>
          </w:p>
          <w:p w14:paraId="70A4D690" w14:textId="77777777" w:rsidR="00C1548D" w:rsidRDefault="009B1B4B">
            <w:pPr>
              <w:spacing w:after="80" w:line="264" w:lineRule="auto"/>
            </w:pPr>
            <w:r>
              <w:rPr>
                <w:sz w:val="20"/>
                <w:szCs w:val="20"/>
              </w:rPr>
              <w:t>Lass Namen exakt wie im Reisepass schreiben, mit Umlauten und dem richtigen Namen (Geburts- oder Ehename). Weichen Zeugnisse, Urkunden und Pass voneinander ab, dient die Heiratsurkunde als Brücke. Abweichungen zwischen DS-160, Petition und Belegen können Nachfragen auslösen.</w:t>
            </w:r>
          </w:p>
        </w:tc>
      </w:tr>
    </w:tbl>
    <w:p w14:paraId="70A4D692" w14:textId="77777777" w:rsidR="00C1548D" w:rsidRDefault="00C1548D">
      <w:pPr>
        <w:spacing w:line="220" w:lineRule="exact"/>
      </w:pPr>
    </w:p>
    <w:p w14:paraId="70A4D693" w14:textId="77777777" w:rsidR="00C1548D" w:rsidRDefault="009B1B4B">
      <w:pPr>
        <w:pStyle w:val="Heading3"/>
        <w:keepNext/>
        <w:jc w:val="center"/>
      </w:pPr>
      <w:r>
        <w:rPr>
          <w:rFonts w:ascii="Amazon Ember" w:eastAsia="Amazon Ember" w:hAnsi="Amazon Ember" w:cs="Amazon Ember"/>
          <w:color w:val="0000FF"/>
          <w:sz w:val="36"/>
          <w:szCs w:val="36"/>
        </w:rPr>
        <w:t>Führungszeugnis und Polizeizeugnisse</w:t>
      </w:r>
    </w:p>
    <w:p w14:paraId="70A4D694" w14:textId="4BDAA6FB" w:rsidR="00C1548D" w:rsidRDefault="009B1B4B">
      <w:pPr>
        <w:spacing w:after="140"/>
      </w:pPr>
      <w:r>
        <w:t>Für Petition und Visum brauchst du meist keins. Verlangt wird es bei der Green Card im Konsularverfahren (Kapitel </w:t>
      </w:r>
      <w:hyperlink w:anchor="k6" w:history="1">
        <w:r>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w14:paraId="70A4D695" w14:textId="77777777" w:rsidR="00C1548D" w:rsidRDefault="009B1B4B">
      <w:pPr>
        <w:spacing w:after="140"/>
      </w:pPr>
      <w:r>
        <w:lastRenderedPageBreak/>
        <w:t xml:space="preserve">In Deutschland beantragst du das Zeugnis bei der Meldebehörde oder online über fuehrungszeugnis.bund.de;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w:t>
      </w:r>
      <w:r>
        <w:t>deutsche Original. Eine Apostille setzt die Vorbeglaubigung durch das Bundesamt für Justiz voraus, dann folgt das BfAA.</w:t>
      </w:r>
    </w:p>
    <w:p w14:paraId="70A4D696" w14:textId="77777777" w:rsidR="00C1548D" w:rsidRDefault="009B1B4B">
      <w:pPr>
        <w:spacing w:after="140"/>
      </w:pPr>
      <w:r>
        <w:t>Beim Einwanderervisum brauchen alle ab 16 Jahren ein Polizeizeugnis, soweit erhältlich, nach 22 CFR 42.65 auch aus anderen Ländern: aus dem aktuellen Wohnland ab sechs Monaten Aufenthalt, aus früheren Wohnländern ab einem Jahr. Wer im Ausland studiert oder gearbeitet hat, fragt diese Register früh an. Wie aktuell ein Zeugnis sein darf, steht in der Checkliste deines Verfahrens.</w:t>
      </w:r>
    </w:p>
    <w:p w14:paraId="70A4D697" w14:textId="77777777" w:rsidR="00C1548D" w:rsidRDefault="009B1B4B">
      <w:pPr>
        <w:pStyle w:val="Heading3"/>
        <w:keepNext/>
        <w:jc w:val="center"/>
      </w:pPr>
      <w:r>
        <w:rPr>
          <w:rFonts w:ascii="Amazon Ember" w:eastAsia="Amazon Ember" w:hAnsi="Amazon Ember" w:cs="Amazon Ember"/>
          <w:color w:val="0000FF"/>
          <w:sz w:val="36"/>
          <w:szCs w:val="36"/>
        </w:rPr>
        <w:t>Diplom-Bewertung: WES, ECE und die H-1B-Gleichwertigkeit</w:t>
      </w:r>
    </w:p>
    <w:p w14:paraId="70A4D698" w14:textId="490C0A39" w:rsidR="00C1548D" w:rsidRDefault="009B1B4B">
      <w:pPr>
        <w:spacing w:after="140"/>
      </w:pPr>
      <w:r>
        <w:t>Für H-1B muss dein Abschluss einem US-Bachelor oder mehr entsprechen (</w:t>
      </w:r>
      <w:r>
        <w:t>Kapitel </w:t>
      </w:r>
      <w:hyperlink w:anchor="k5" w:history="1">
        <w:r>
          <w:t>5</w:t>
        </w:r>
      </w:hyperlink>
      <w:r>
        <w:t>). Ein deutsches Zeugnis sagt einer US-Behörde wenig; deshalb legt die Kanzlei meist ein Bewertungsgutachten (</w:t>
      </w:r>
      <w:r>
        <w:rPr>
          <w:i/>
          <w:iCs/>
        </w:rPr>
        <w:t>Credential Evaluation</w:t>
      </w:r>
      <w:r>
        <w:t>) vor – von einem 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history="1">
        <w:r>
          <w:t>11</w:t>
        </w:r>
      </w:hyperlink>
      <w:r>
        <w:t>).</w:t>
      </w:r>
    </w:p>
    <w:p w14:paraId="70A4D699" w14:textId="77777777" w:rsidR="00C1548D" w:rsidRDefault="009B1B4B">
      <w:pPr>
        <w:spacing w:after="140"/>
      </w:pPr>
      <w:r>
        <w:t>Die Anbieter unterscheiden zwei Varianten. Die dokumentenbasierte Bewertung (</w:t>
      </w:r>
      <w:r>
        <w:rPr>
          <w:i/>
          <w:iCs/>
        </w:rPr>
        <w:t>Document-by-Document</w:t>
      </w:r>
      <w:r>
        <w:t>) nennt Abschluss und Gleichwertigkeit. Die Fach-für-Fach-Bewertung (</w:t>
      </w:r>
      <w:r>
        <w:rPr>
          <w:i/>
          <w:iCs/>
        </w:rPr>
        <w:t>Course-by-Course</w:t>
      </w:r>
      <w:r>
        <w:t xml:space="preserve">) </w:t>
      </w:r>
      <w:r>
        <w:lastRenderedPageBreak/>
        <w:t>listet zusätzlich Fächer, Credits und Notendurchschnitt; Hochschulen und Lizenzbehörden verlangen meist sie. Welche Variante sinnvoll ist, klärt die Kanzlei.</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9"/>
        <w:gridCol w:w="2309"/>
        <w:gridCol w:w="2482"/>
      </w:tblGrid>
      <w:tr w:rsidR="00C1548D" w14:paraId="70A4D69D" w14:textId="77777777">
        <w:tblPrEx>
          <w:tblCellMar>
            <w:top w:w="0" w:type="dxa"/>
            <w:bottom w:w="0" w:type="dxa"/>
          </w:tblCellMar>
        </w:tblPrEx>
        <w:trPr>
          <w:cantSplit/>
          <w:tblHeader/>
        </w:trPr>
        <w:tc>
          <w:tcPr>
            <w:tcW w:w="16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9A" w14:textId="77777777" w:rsidR="00C1548D" w:rsidRDefault="009B1B4B">
            <w:pPr>
              <w:spacing w:line="250" w:lineRule="auto"/>
            </w:pPr>
            <w:r>
              <w:rPr>
                <w:b/>
                <w:bCs/>
                <w:sz w:val="18"/>
                <w:szCs w:val="18"/>
              </w:rPr>
              <w:t>Variante</w:t>
            </w:r>
          </w:p>
        </w:tc>
        <w:tc>
          <w:tcPr>
            <w:tcW w:w="230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9B" w14:textId="77777777" w:rsidR="00C1548D" w:rsidRDefault="009B1B4B">
            <w:pPr>
              <w:spacing w:line="250" w:lineRule="auto"/>
            </w:pPr>
            <w:r>
              <w:rPr>
                <w:b/>
                <w:bCs/>
                <w:sz w:val="18"/>
                <w:szCs w:val="18"/>
              </w:rPr>
              <w:t>WES</w:t>
            </w:r>
          </w:p>
        </w:tc>
        <w:tc>
          <w:tcPr>
            <w:tcW w:w="248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9C" w14:textId="77777777" w:rsidR="00C1548D" w:rsidRDefault="009B1B4B">
            <w:pPr>
              <w:spacing w:line="250" w:lineRule="auto"/>
            </w:pPr>
            <w:r>
              <w:rPr>
                <w:b/>
                <w:bCs/>
                <w:sz w:val="18"/>
                <w:szCs w:val="18"/>
              </w:rPr>
              <w:t>ECE</w:t>
            </w:r>
          </w:p>
        </w:tc>
      </w:tr>
      <w:tr w:rsidR="00C1548D" w14:paraId="70A4D6A1" w14:textId="77777777">
        <w:tblPrEx>
          <w:tblCellMar>
            <w:top w:w="0" w:type="dxa"/>
            <w:bottom w:w="0" w:type="dxa"/>
          </w:tblCellMar>
        </w:tblPrEx>
        <w:trPr>
          <w:cantSplit/>
        </w:trPr>
        <w:tc>
          <w:tcPr>
            <w:tcW w:w="1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9E" w14:textId="77777777" w:rsidR="00C1548D" w:rsidRDefault="009B1B4B">
            <w:pPr>
              <w:spacing w:line="250" w:lineRule="auto"/>
            </w:pPr>
            <w:r>
              <w:rPr>
                <w:sz w:val="18"/>
                <w:szCs w:val="18"/>
              </w:rPr>
              <w:t>Dokumentenbasiert</w:t>
            </w:r>
          </w:p>
        </w:tc>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9F" w14:textId="77777777" w:rsidR="00C1548D" w:rsidRDefault="009B1B4B">
            <w:pPr>
              <w:spacing w:line="250" w:lineRule="auto"/>
            </w:pPr>
            <w:r>
              <w:rPr>
                <w:sz w:val="18"/>
                <w:szCs w:val="18"/>
              </w:rPr>
              <w:t>118 $ (ICAP-Paket 171 $)</w:t>
            </w:r>
          </w:p>
        </w:tc>
        <w:tc>
          <w:tcPr>
            <w:tcW w:w="248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A0" w14:textId="77777777" w:rsidR="00C1548D" w:rsidRDefault="009B1B4B">
            <w:pPr>
              <w:spacing w:line="250" w:lineRule="auto"/>
            </w:pPr>
            <w:r>
              <w:rPr>
                <w:sz w:val="18"/>
                <w:szCs w:val="18"/>
              </w:rPr>
              <w:t>110 $ (mit Notendurchschnitt 135 $)</w:t>
            </w:r>
          </w:p>
        </w:tc>
      </w:tr>
      <w:tr w:rsidR="00C1548D" w14:paraId="70A4D6A5" w14:textId="77777777">
        <w:tblPrEx>
          <w:tblCellMar>
            <w:top w:w="0" w:type="dxa"/>
            <w:bottom w:w="0" w:type="dxa"/>
          </w:tblCellMar>
        </w:tblPrEx>
        <w:trPr>
          <w:cantSplit/>
        </w:trPr>
        <w:tc>
          <w:tcPr>
            <w:tcW w:w="1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A2" w14:textId="77777777" w:rsidR="00C1548D" w:rsidRDefault="009B1B4B">
            <w:pPr>
              <w:spacing w:line="250" w:lineRule="auto"/>
            </w:pPr>
            <w:r>
              <w:rPr>
                <w:sz w:val="18"/>
                <w:szCs w:val="18"/>
              </w:rPr>
              <w:t>Fach für Fach</w:t>
            </w:r>
          </w:p>
        </w:tc>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A3" w14:textId="77777777" w:rsidR="00C1548D" w:rsidRDefault="009B1B4B">
            <w:pPr>
              <w:spacing w:line="250" w:lineRule="auto"/>
            </w:pPr>
            <w:r>
              <w:rPr>
                <w:sz w:val="18"/>
                <w:szCs w:val="18"/>
              </w:rPr>
              <w:t>186 $ (ICAP-Paket 239 $)</w:t>
            </w:r>
          </w:p>
        </w:tc>
        <w:tc>
          <w:tcPr>
            <w:tcW w:w="248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A4" w14:textId="77777777" w:rsidR="00C1548D" w:rsidRDefault="009B1B4B">
            <w:pPr>
              <w:spacing w:line="250" w:lineRule="auto"/>
            </w:pPr>
            <w:r>
              <w:rPr>
                <w:sz w:val="18"/>
                <w:szCs w:val="18"/>
              </w:rPr>
              <w:t>199 $</w:t>
            </w:r>
          </w:p>
        </w:tc>
      </w:tr>
    </w:tbl>
    <w:p w14:paraId="70A4D6A6" w14:textId="77777777" w:rsidR="00C1548D" w:rsidRDefault="00C1548D">
      <w:pPr>
        <w:spacing w:line="180" w:lineRule="exact"/>
      </w:pPr>
    </w:p>
    <w:p w14:paraId="70A4D6A7" w14:textId="556959F1" w:rsidR="00C1548D" w:rsidRDefault="009B1B4B">
      <w:pPr>
        <w:spacing w:after="140"/>
      </w:pPr>
      <w: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history="1">
        <w:r>
          <w:t>11</w:t>
        </w:r>
      </w:hyperlink>
      <w:r>
        <w:t>).</w:t>
      </w:r>
    </w:p>
    <w:p w14:paraId="70A4D6A8" w14:textId="70B85184" w:rsidR="00C1548D" w:rsidRDefault="009B1B4B">
      <w:pPr>
        <w:spacing w:after="140"/>
      </w:pPr>
      <w:r>
        <w:t>Wie ein deutscher Abschluss eingestuft wird, hängt vom Einzelfall ab. Bewertungsportale nennen als Regel: Ein dreijähriger Bachelor 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w:t>
      </w:r>
      <w:r>
        <w:t xml:space="preserve"> dafür sammelst du früh Arbeitszeugnisse und Verträge (</w:t>
      </w:r>
      <w:r>
        <w:t>Kapitel </w:t>
      </w:r>
      <w:hyperlink w:anchor="k5" w:history="1">
        <w:r>
          <w:t>5</w:t>
        </w:r>
      </w:hyperlink>
      <w:r>
        <w:t xml:space="preserve">, </w:t>
      </w:r>
      <w:hyperlink w:anchor="k9" w:history="1">
        <w:r>
          <w:t>9</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A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6A9" w14:textId="77777777" w:rsidR="00C1548D" w:rsidRDefault="009B1B4B">
            <w:pPr>
              <w:keepNext/>
              <w:spacing w:after="70" w:line="240" w:lineRule="auto"/>
            </w:pPr>
            <w:r>
              <w:rPr>
                <w:b/>
                <w:bCs/>
                <w:color w:val="9B2C2C"/>
                <w:spacing w:val="24"/>
                <w:sz w:val="16"/>
                <w:szCs w:val="16"/>
              </w:rPr>
              <w:t>ACHTUNG</w:t>
            </w:r>
          </w:p>
          <w:p w14:paraId="70A4D6AA" w14:textId="77777777" w:rsidR="00C1548D" w:rsidRDefault="009B1B4B">
            <w:pPr>
              <w:spacing w:after="80" w:line="264" w:lineRule="auto"/>
            </w:pPr>
            <w:r>
              <w:rPr>
                <w:sz w:val="20"/>
                <w:szCs w:val="20"/>
              </w:rPr>
              <w:t>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tc>
      </w:tr>
    </w:tbl>
    <w:p w14:paraId="70A4D6AC"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A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6AD" w14:textId="77777777" w:rsidR="00C1548D" w:rsidRDefault="009B1B4B">
            <w:pPr>
              <w:keepNext/>
              <w:spacing w:after="70" w:line="240" w:lineRule="auto"/>
            </w:pPr>
            <w:r>
              <w:rPr>
                <w:b/>
                <w:bCs/>
                <w:color w:val="4A5568"/>
                <w:spacing w:val="24"/>
                <w:sz w:val="16"/>
                <w:szCs w:val="16"/>
              </w:rPr>
              <w:lastRenderedPageBreak/>
              <w:t>PRAXISBEISPIEL · FIKTIV</w:t>
            </w:r>
          </w:p>
          <w:p w14:paraId="70A4D6AE" w14:textId="77777777" w:rsidR="00C1548D" w:rsidRDefault="009B1B4B">
            <w:pPr>
              <w:spacing w:after="80" w:line="264" w:lineRule="auto"/>
            </w:pPr>
            <w:r>
              <w:rPr>
                <w:sz w:val="20"/>
                <w:szCs w:val="20"/>
              </w:rPr>
              <w:t>Sabine Keller (fiktiv) bekommt im Dezember die Zusage, mitten im Weihnachtstrubel, und macht sich noch am selben Abend eine Liste. Das Hochschulsekretariat schickt nach drei Wochen beglaubigte Zeugniskopien, ein Übersetzungsbüro liefert nach einer weiteren Woche die englischen Fassungen. Die Kanzlei beauftragt eine Fach-für-Fach-Bewertung bei ECE (199 $, vom Arbeitgeber bezahlt) und legt sie im Februar in die Akte. Ende März steht das Ergebnis der Registrierung fest, und Sabine muss keine Unterlage mehr suc</w:t>
            </w:r>
            <w:r>
              <w:rPr>
                <w:sz w:val="20"/>
                <w:szCs w:val="20"/>
              </w:rPr>
              <w:t>hen. (Fiktives Beispiel.)</w:t>
            </w:r>
          </w:p>
        </w:tc>
      </w:tr>
    </w:tbl>
    <w:p w14:paraId="70A4D6B0" w14:textId="77777777" w:rsidR="00C1548D" w:rsidRDefault="00C1548D">
      <w:pPr>
        <w:spacing w:line="220" w:lineRule="exact"/>
      </w:pPr>
    </w:p>
    <w:p w14:paraId="70A4D6B1" w14:textId="77777777" w:rsidR="00C1548D" w:rsidRDefault="009B1B4B">
      <w:pPr>
        <w:pStyle w:val="Heading3"/>
        <w:keepNext/>
        <w:jc w:val="center"/>
      </w:pPr>
      <w:r>
        <w:rPr>
          <w:rFonts w:ascii="Amazon Ember" w:eastAsia="Amazon Ember" w:hAnsi="Amazon Ember" w:cs="Amazon Ember"/>
          <w:color w:val="0000FF"/>
          <w:sz w:val="36"/>
          <w:szCs w:val="36"/>
        </w:rPr>
        <w:t>Berufsanerkennung: Lizenzen sind Sache der Bundesstaaten</w:t>
      </w:r>
    </w:p>
    <w:p w14:paraId="70A4D6B2" w14:textId="77777777" w:rsidR="00C1548D" w:rsidRDefault="009B1B4B">
      <w:pPr>
        <w:spacing w:after="140"/>
      </w:pPr>
      <w:r>
        <w:t>In den USA gibt es keine zentrale Anerkennung ausländischer Abschlüsse – kein Amt, das einmal einen Stempel setzt und die Sache ist erledigt. Wer einen reglementierten Beruf ausübt, braucht die 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w:t>
      </w:r>
      <w:r>
        <w:t>orliegen, nicht schon zur Einreichung. Lizenzberufe haben darum den längsten Vorlauf.</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055"/>
        <w:gridCol w:w="1530"/>
        <w:gridCol w:w="1945"/>
      </w:tblGrid>
      <w:tr w:rsidR="00C1548D" w14:paraId="70A4D6B7"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B3" w14:textId="77777777" w:rsidR="00C1548D" w:rsidRDefault="009B1B4B">
            <w:pPr>
              <w:spacing w:line="250" w:lineRule="auto"/>
            </w:pPr>
            <w:r>
              <w:rPr>
                <w:b/>
                <w:bCs/>
                <w:sz w:val="18"/>
                <w:szCs w:val="18"/>
              </w:rPr>
              <w:t>Beruf</w:t>
            </w:r>
          </w:p>
        </w:tc>
        <w:tc>
          <w:tcPr>
            <w:tcW w:w="205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B4" w14:textId="77777777" w:rsidR="00C1548D" w:rsidRDefault="009B1B4B">
            <w:pPr>
              <w:spacing w:line="250" w:lineRule="auto"/>
            </w:pPr>
            <w:r>
              <w:rPr>
                <w:b/>
                <w:bCs/>
                <w:sz w:val="18"/>
                <w:szCs w:val="18"/>
              </w:rPr>
              <w:t>Was verlangt wird</w:t>
            </w:r>
          </w:p>
        </w:tc>
        <w:tc>
          <w:tcPr>
            <w:tcW w:w="153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B5" w14:textId="77777777" w:rsidR="00C1548D" w:rsidRDefault="009B1B4B">
            <w:pPr>
              <w:spacing w:line="250" w:lineRule="auto"/>
            </w:pPr>
            <w:r>
              <w:rPr>
                <w:b/>
                <w:bCs/>
                <w:sz w:val="18"/>
                <w:szCs w:val="18"/>
              </w:rPr>
              <w:t>Zuständig</w:t>
            </w:r>
          </w:p>
        </w:tc>
        <w:tc>
          <w:tcPr>
            <w:tcW w:w="194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B6" w14:textId="77777777" w:rsidR="00C1548D" w:rsidRDefault="009B1B4B">
            <w:pPr>
              <w:spacing w:line="250" w:lineRule="auto"/>
            </w:pPr>
            <w:r>
              <w:rPr>
                <w:b/>
                <w:bCs/>
                <w:sz w:val="18"/>
                <w:szCs w:val="18"/>
              </w:rPr>
              <w:t>Hinweis</w:t>
            </w:r>
          </w:p>
        </w:tc>
      </w:tr>
      <w:tr w:rsidR="00C1548D" w14:paraId="70A4D6B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B8" w14:textId="77777777" w:rsidR="00C1548D" w:rsidRDefault="009B1B4B">
            <w:pPr>
              <w:spacing w:line="250" w:lineRule="auto"/>
            </w:pPr>
            <w:r>
              <w:rPr>
                <w:sz w:val="18"/>
                <w:szCs w:val="18"/>
              </w:rPr>
              <w:t>Ingenieure</w:t>
            </w:r>
          </w:p>
        </w:tc>
        <w:tc>
          <w:tcPr>
            <w:tcW w:w="20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B9" w14:textId="77777777" w:rsidR="00C1548D" w:rsidRDefault="009B1B4B">
            <w:pPr>
              <w:spacing w:line="250" w:lineRule="auto"/>
            </w:pPr>
            <w:r>
              <w:rPr>
                <w:sz w:val="18"/>
                <w:szCs w:val="18"/>
              </w:rPr>
              <w:t>Für viele Industriejobs keine Lizenz; wer Pläne verantwortlich abzeichnet (Bau, Versorger, Beratung), braucht die PE-Lizenz</w:t>
            </w:r>
          </w:p>
        </w:tc>
        <w:tc>
          <w:tcPr>
            <w:tcW w:w="153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BA" w14:textId="77777777" w:rsidR="00C1548D" w:rsidRDefault="009B1B4B">
            <w:pPr>
              <w:spacing w:line="250" w:lineRule="auto"/>
            </w:pPr>
            <w:r>
              <w:rPr>
                <w:sz w:val="18"/>
                <w:szCs w:val="18"/>
              </w:rPr>
              <w:t>Lizenzbehörde des Bundesstaats, NCEES</w:t>
            </w:r>
          </w:p>
        </w:tc>
        <w:tc>
          <w:tcPr>
            <w:tcW w:w="19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BB" w14:textId="77777777" w:rsidR="00C1548D" w:rsidRDefault="009B1B4B">
            <w:pPr>
              <w:spacing w:line="250" w:lineRule="auto"/>
            </w:pPr>
            <w:r>
              <w:rPr>
                <w:sz w:val="18"/>
                <w:szCs w:val="18"/>
              </w:rPr>
              <w:t>mindestens 4 Jahre Berufserfahrung nach dem Studium</w:t>
            </w:r>
          </w:p>
        </w:tc>
      </w:tr>
      <w:tr w:rsidR="00C1548D" w14:paraId="70A4D6C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BD" w14:textId="77777777" w:rsidR="00C1548D" w:rsidRDefault="009B1B4B">
            <w:pPr>
              <w:spacing w:line="250" w:lineRule="auto"/>
            </w:pPr>
            <w:r>
              <w:rPr>
                <w:sz w:val="18"/>
                <w:szCs w:val="18"/>
              </w:rPr>
              <w:t>Ärzte</w:t>
            </w:r>
          </w:p>
        </w:tc>
        <w:tc>
          <w:tcPr>
            <w:tcW w:w="20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BE" w14:textId="77777777" w:rsidR="00C1548D" w:rsidRDefault="009B1B4B">
            <w:pPr>
              <w:spacing w:line="250" w:lineRule="auto"/>
            </w:pPr>
            <w:r>
              <w:rPr>
                <w:sz w:val="18"/>
                <w:szCs w:val="18"/>
              </w:rPr>
              <w:t>ECFMG-Zertifizierung: USMLE Step 1 und Step 2 CK, Englischtest OET Medicine; danach Weiterbildungsstelle und Landeslizenz</w:t>
            </w:r>
          </w:p>
        </w:tc>
        <w:tc>
          <w:tcPr>
            <w:tcW w:w="153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BF" w14:textId="77777777" w:rsidR="00C1548D" w:rsidRDefault="009B1B4B">
            <w:pPr>
              <w:spacing w:line="250" w:lineRule="auto"/>
            </w:pPr>
            <w:r>
              <w:rPr>
                <w:sz w:val="18"/>
                <w:szCs w:val="18"/>
              </w:rPr>
              <w:t xml:space="preserve">ECFMG, </w:t>
            </w:r>
            <w:r>
              <w:rPr>
                <w:i/>
                <w:iCs/>
                <w:sz w:val="18"/>
                <w:szCs w:val="18"/>
              </w:rPr>
              <w:t>State Medical Board</w:t>
            </w:r>
          </w:p>
        </w:tc>
        <w:tc>
          <w:tcPr>
            <w:tcW w:w="19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0" w14:textId="77777777" w:rsidR="00C1548D" w:rsidRDefault="009B1B4B">
            <w:pPr>
              <w:spacing w:line="250" w:lineRule="auto"/>
            </w:pPr>
            <w:r>
              <w:rPr>
                <w:sz w:val="18"/>
                <w:szCs w:val="18"/>
              </w:rPr>
              <w:t>deutsche Approbation ersetzt keine US-Lizenz</w:t>
            </w:r>
          </w:p>
        </w:tc>
      </w:tr>
      <w:tr w:rsidR="00C1548D" w14:paraId="70A4D6C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2" w14:textId="77777777" w:rsidR="00C1548D" w:rsidRDefault="009B1B4B">
            <w:pPr>
              <w:spacing w:line="250" w:lineRule="auto"/>
            </w:pPr>
            <w:r>
              <w:rPr>
                <w:sz w:val="18"/>
                <w:szCs w:val="18"/>
              </w:rPr>
              <w:lastRenderedPageBreak/>
              <w:t>Pflege und Therapie</w:t>
            </w:r>
          </w:p>
        </w:tc>
        <w:tc>
          <w:tcPr>
            <w:tcW w:w="20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3" w14:textId="77777777" w:rsidR="00C1548D" w:rsidRDefault="009B1B4B">
            <w:pPr>
              <w:spacing w:line="250" w:lineRule="auto"/>
            </w:pPr>
            <w:r>
              <w:rPr>
                <w:sz w:val="18"/>
                <w:szCs w:val="18"/>
              </w:rPr>
              <w:t>VisaScreen für neun Gesundheitsberufe, Englischtest; Pflege zusätzlich NCLEX-RN oder TruMerit-Prüfung</w:t>
            </w:r>
          </w:p>
        </w:tc>
        <w:tc>
          <w:tcPr>
            <w:tcW w:w="153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4" w14:textId="77777777" w:rsidR="00C1548D" w:rsidRDefault="009B1B4B">
            <w:pPr>
              <w:spacing w:line="250" w:lineRule="auto"/>
            </w:pPr>
            <w:r>
              <w:rPr>
                <w:sz w:val="18"/>
                <w:szCs w:val="18"/>
              </w:rPr>
              <w:t xml:space="preserve">TruMerit (früher CGFNS), </w:t>
            </w:r>
            <w:r>
              <w:rPr>
                <w:i/>
                <w:iCs/>
                <w:sz w:val="18"/>
                <w:szCs w:val="18"/>
              </w:rPr>
              <w:t>Board of Nursing</w:t>
            </w:r>
          </w:p>
        </w:tc>
        <w:tc>
          <w:tcPr>
            <w:tcW w:w="19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5" w14:textId="77777777" w:rsidR="00C1548D" w:rsidRDefault="009B1B4B">
            <w:pPr>
              <w:spacing w:line="250" w:lineRule="auto"/>
            </w:pPr>
            <w:r>
              <w:rPr>
                <w:sz w:val="18"/>
                <w:szCs w:val="18"/>
              </w:rPr>
              <w:t>kein NCLEX-Testzentrum in Deutschland</w:t>
            </w:r>
          </w:p>
        </w:tc>
      </w:tr>
      <w:tr w:rsidR="00C1548D" w14:paraId="70A4D6C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7" w14:textId="77777777" w:rsidR="00C1548D" w:rsidRDefault="009B1B4B">
            <w:pPr>
              <w:spacing w:line="250" w:lineRule="auto"/>
            </w:pPr>
            <w:r>
              <w:rPr>
                <w:sz w:val="18"/>
                <w:szCs w:val="18"/>
              </w:rPr>
              <w:t>Lehrer</w:t>
            </w:r>
          </w:p>
        </w:tc>
        <w:tc>
          <w:tcPr>
            <w:tcW w:w="20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8" w14:textId="77777777" w:rsidR="00C1548D" w:rsidRDefault="009B1B4B">
            <w:pPr>
              <w:spacing w:line="250" w:lineRule="auto"/>
            </w:pPr>
            <w:r>
              <w:rPr>
                <w:sz w:val="18"/>
                <w:szCs w:val="18"/>
              </w:rPr>
              <w:t>Lehrerlizenz des Bundesstaats, meist mit Zeugnisbewertung und Fachprüfungen</w:t>
            </w:r>
          </w:p>
        </w:tc>
        <w:tc>
          <w:tcPr>
            <w:tcW w:w="153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9" w14:textId="77777777" w:rsidR="00C1548D" w:rsidRDefault="009B1B4B">
            <w:pPr>
              <w:spacing w:line="250" w:lineRule="auto"/>
            </w:pPr>
            <w:r>
              <w:rPr>
                <w:sz w:val="18"/>
                <w:szCs w:val="18"/>
              </w:rPr>
              <w:t>Bildungsbehörde des Bundesstaats</w:t>
            </w:r>
          </w:p>
        </w:tc>
        <w:tc>
          <w:tcPr>
            <w:tcW w:w="19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A" w14:textId="77777777" w:rsidR="00C1548D" w:rsidRDefault="009B1B4B">
            <w:pPr>
              <w:spacing w:line="250" w:lineRule="auto"/>
            </w:pPr>
            <w:r>
              <w:rPr>
                <w:sz w:val="18"/>
                <w:szCs w:val="18"/>
              </w:rPr>
              <w:t>Regeln unterscheiden sich stark</w:t>
            </w:r>
          </w:p>
        </w:tc>
      </w:tr>
      <w:tr w:rsidR="00C1548D" w14:paraId="70A4D6D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C" w14:textId="77777777" w:rsidR="00C1548D" w:rsidRDefault="009B1B4B">
            <w:pPr>
              <w:spacing w:line="250" w:lineRule="auto"/>
            </w:pPr>
            <w:r>
              <w:rPr>
                <w:sz w:val="18"/>
                <w:szCs w:val="18"/>
              </w:rPr>
              <w:t>Handwerk (Elektro, Sanitär, Klima)</w:t>
            </w:r>
          </w:p>
        </w:tc>
        <w:tc>
          <w:tcPr>
            <w:tcW w:w="20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D" w14:textId="77777777" w:rsidR="00C1548D" w:rsidRDefault="009B1B4B">
            <w:pPr>
              <w:spacing w:line="250" w:lineRule="auto"/>
            </w:pPr>
            <w:r>
              <w:rPr>
                <w:sz w:val="18"/>
                <w:szCs w:val="18"/>
              </w:rPr>
              <w:t>Lizenz je Bundesstaat, teils je Kommune; Prüfung und Berufsjahre</w:t>
            </w:r>
          </w:p>
        </w:tc>
        <w:tc>
          <w:tcPr>
            <w:tcW w:w="153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E" w14:textId="77777777" w:rsidR="00C1548D" w:rsidRDefault="009B1B4B">
            <w:pPr>
              <w:spacing w:line="250" w:lineRule="auto"/>
            </w:pPr>
            <w:r>
              <w:rPr>
                <w:sz w:val="18"/>
                <w:szCs w:val="18"/>
              </w:rPr>
              <w:t>Lizenzstelle von Staat oder Kommune</w:t>
            </w:r>
          </w:p>
        </w:tc>
        <w:tc>
          <w:tcPr>
            <w:tcW w:w="19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CF" w14:textId="77777777" w:rsidR="00C1548D" w:rsidRDefault="009B1B4B">
            <w:pPr>
              <w:spacing w:line="250" w:lineRule="auto"/>
            </w:pPr>
            <w:r>
              <w:rPr>
                <w:sz w:val="18"/>
                <w:szCs w:val="18"/>
              </w:rPr>
              <w:t>Anrechnung deutscher Abschlüsse je Behörde verschieden</w:t>
            </w:r>
          </w:p>
        </w:tc>
      </w:tr>
    </w:tbl>
    <w:p w14:paraId="70A4D6D1" w14:textId="77777777" w:rsidR="00C1548D" w:rsidRDefault="00C1548D">
      <w:pPr>
        <w:spacing w:line="180" w:lineRule="exact"/>
      </w:pPr>
    </w:p>
    <w:p w14:paraId="70A4D6D2" w14:textId="543EF329" w:rsidR="00C1548D" w:rsidRDefault="009B1B4B">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das Visum dafür ist ein eigenes Thema (Kapitel </w:t>
      </w:r>
      <w:hyperlink w:anchor="k9" w:history="1">
        <w:r>
          <w:t>9</w:t>
        </w:r>
      </w:hyperlink>
      <w:r>
        <w:t>). Die ECFMG veröffentlicht ihre Anforderungen jährlich neu (ecfmg.org/certification-pathways). Für Pflege nennt TruMerit die Unterlagen; die NCLEX-Prüfung legst du außerhalb Deutschlands ab, etwa in Frankreich, Spanien oder Großbritannien.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D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6D3" w14:textId="77777777" w:rsidR="00C1548D" w:rsidRDefault="009B1B4B">
            <w:pPr>
              <w:keepNext/>
              <w:spacing w:after="70" w:line="240" w:lineRule="auto"/>
            </w:pPr>
            <w:r>
              <w:rPr>
                <w:b/>
                <w:bCs/>
                <w:color w:val="9B2C2C"/>
                <w:spacing w:val="24"/>
                <w:sz w:val="16"/>
                <w:szCs w:val="16"/>
              </w:rPr>
              <w:t>ACHTUNG</w:t>
            </w:r>
          </w:p>
          <w:p w14:paraId="70A4D6D4" w14:textId="77777777" w:rsidR="00C1548D" w:rsidRDefault="009B1B4B">
            <w:pPr>
              <w:spacing w:after="80" w:line="264" w:lineRule="auto"/>
            </w:pPr>
            <w:r>
              <w:rPr>
                <w:sz w:val="20"/>
                <w:szCs w:val="20"/>
              </w:rPr>
              <w:t>Ein Arbeitsvisum ist keine Berufserlaubnis. Auch mit H-1B darfst du einen lizenzpflichtigen Beruf erst ausüben, wenn der Bundesstaat die Lizenz erteilt hat. Frage die Lizenzbehörde des Ziel-Bundesstaats früh nach Fahrplan, Prüfungen und Gebühren.</w:t>
            </w:r>
          </w:p>
        </w:tc>
      </w:tr>
    </w:tbl>
    <w:p w14:paraId="70A4D6D6" w14:textId="77777777" w:rsidR="00C1548D" w:rsidRDefault="00C1548D">
      <w:pPr>
        <w:spacing w:line="220" w:lineRule="exact"/>
      </w:pPr>
    </w:p>
    <w:p w14:paraId="70A4D6D7" w14:textId="77777777" w:rsidR="00C1548D" w:rsidRDefault="009B1B4B">
      <w:pPr>
        <w:pStyle w:val="Heading3"/>
        <w:keepNext/>
        <w:jc w:val="center"/>
      </w:pPr>
      <w:r>
        <w:rPr>
          <w:rFonts w:ascii="Amazon Ember" w:eastAsia="Amazon Ember" w:hAnsi="Amazon Ember" w:cs="Amazon Ember"/>
          <w:color w:val="0000FF"/>
          <w:sz w:val="36"/>
          <w:szCs w:val="36"/>
        </w:rPr>
        <w:lastRenderedPageBreak/>
        <w:t>Reisepass: Gültigkeit, Termine und Kinderpässe</w:t>
      </w:r>
    </w:p>
    <w:p w14:paraId="70A4D6D8" w14:textId="3065DA26" w:rsidR="00C1548D" w:rsidRDefault="009B1B4B">
      <w:pPr>
        <w:spacing w:after="140"/>
      </w:pPr>
      <w: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history="1">
        <w:r>
          <w:t>5</w:t>
        </w:r>
      </w:hyperlink>
      <w:r>
        <w:t>). Läuft ein Pass in den ersten Jahren in den USA ab, erneuere ihn vorher. Das Visum klebt im Pass; nach einem Passwechsel trägst du beide Pässe bei dir.</w:t>
      </w:r>
    </w:p>
    <w:p w14:paraId="70A4D6D9" w14:textId="77777777" w:rsidR="00C1548D" w:rsidRDefault="009B1B4B">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w:t>
      </w:r>
      <w:r>
        <w:t xml:space="preserve"> gibt die Botschaft in Washington und acht Generalkonsulate, in Seattle keins; zuständig ist San Francisco.</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D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6DA" w14:textId="77777777" w:rsidR="00C1548D" w:rsidRDefault="009B1B4B">
            <w:pPr>
              <w:keepNext/>
              <w:spacing w:after="70" w:line="240" w:lineRule="auto"/>
            </w:pPr>
            <w:r>
              <w:rPr>
                <w:b/>
                <w:bCs/>
                <w:color w:val="9B2C2C"/>
                <w:spacing w:val="24"/>
                <w:sz w:val="16"/>
                <w:szCs w:val="16"/>
              </w:rPr>
              <w:t>ACHTUNG</w:t>
            </w:r>
          </w:p>
          <w:p w14:paraId="70A4D6DB" w14:textId="77777777" w:rsidR="00C1548D" w:rsidRDefault="009B1B4B">
            <w:pPr>
              <w:spacing w:after="80" w:line="264" w:lineRule="auto"/>
            </w:pPr>
            <w:r>
              <w:rPr>
                <w:sz w:val="20"/>
                <w:szCs w:val="20"/>
              </w:rPr>
              <w:t>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auch die Zustimmung des anderen Elternteils oder eine gerichtliche Entscheidung.</w:t>
            </w:r>
          </w:p>
        </w:tc>
      </w:tr>
    </w:tbl>
    <w:p w14:paraId="70A4D6DD"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E0"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6DE" w14:textId="77777777" w:rsidR="00C1548D" w:rsidRDefault="009B1B4B">
            <w:pPr>
              <w:keepNext/>
              <w:spacing w:after="70" w:line="240" w:lineRule="auto"/>
            </w:pPr>
            <w:r>
              <w:rPr>
                <w:b/>
                <w:bCs/>
                <w:color w:val="4A5568"/>
                <w:spacing w:val="24"/>
                <w:sz w:val="16"/>
                <w:szCs w:val="16"/>
              </w:rPr>
              <w:lastRenderedPageBreak/>
              <w:t>PRAXISBEISPIEL · FIKTIV</w:t>
            </w:r>
          </w:p>
          <w:p w14:paraId="70A4D6DF" w14:textId="77777777" w:rsidR="00C1548D" w:rsidRDefault="009B1B4B">
            <w:pPr>
              <w:spacing w:after="80" w:line="264" w:lineRule="auto"/>
            </w:pPr>
            <w:r>
              <w:rPr>
                <w:sz w:val="20"/>
                <w:szCs w:val="20"/>
              </w:rPr>
              <w:t>Familie Brandt (fiktiv) prüft im November die Pässe. Markus’ Pass läuft in zwei Jahren ab, mitten in der ersten Visumsperiode, also erneuert er ihn vorab (70 €). Lena (9) und Jonas (5) haben Kinderreisepässe von 2023; beide Eltern beantragen zwei ePässe (2 × 37,50 €) – Jonas posiert beim Passfototermin todernst wie ein kleiner Weltraumreisender, was ein brauchbares Foto erst im dritten Anlauf zulässt. Beim Standesamt bestellt Anna Heiratsurkunde und beide Geburtsurkunden in internationaler Ausfertigung, jew</w:t>
            </w:r>
            <w:r>
              <w:rPr>
                <w:sz w:val="20"/>
                <w:szCs w:val="20"/>
              </w:rPr>
              <w:t>eils doppelt. Mit Passfotos zahlen die Brandts rund 240 €. Erst mit den neuen Pässen buchen sie den Konsulatstermin, damit die richtigen Passnummern im Online-Visumantrag (DS-160) stehen. (Fiktives Beispiel.)</w:t>
            </w:r>
          </w:p>
        </w:tc>
      </w:tr>
    </w:tbl>
    <w:p w14:paraId="70A4D6E1" w14:textId="77777777" w:rsidR="00C1548D" w:rsidRDefault="00C1548D">
      <w:pPr>
        <w:spacing w:line="220" w:lineRule="exact"/>
      </w:pPr>
    </w:p>
    <w:p w14:paraId="70A4D6E2" w14:textId="77777777" w:rsidR="00C1548D" w:rsidRDefault="009B1B4B">
      <w:pPr>
        <w:pStyle w:val="Heading3"/>
        <w:keepNext/>
        <w:jc w:val="center"/>
      </w:pPr>
      <w:r>
        <w:rPr>
          <w:rFonts w:ascii="Amazon Ember" w:eastAsia="Amazon Ember" w:hAnsi="Amazon Ember" w:cs="Amazon Ember"/>
          <w:color w:val="0000FF"/>
          <w:sz w:val="36"/>
          <w:szCs w:val="36"/>
        </w:rPr>
        <w:t>Originale, Kopien, digitale Sicherung</w:t>
      </w:r>
    </w:p>
    <w:p w14:paraId="70A4D6E3" w14:textId="67B1A7FD" w:rsidR="00C1548D" w:rsidRDefault="009B1B4B">
      <w:pPr>
        <w:spacing w:after="140"/>
      </w:pPr>
      <w:r>
        <w:t>Der Container kann Wochen nach dir eintreffen (Kapitel </w:t>
      </w:r>
      <w:hyperlink w:anchor="k20" w:history="1">
        <w:r>
          <w:t>20</w:t>
        </w:r>
      </w:hyperlink>
      <w: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history="1">
        <w:r>
          <w:t>23</w:t>
        </w:r>
      </w:hyperlink>
      <w:r>
        <w:t>. Kopien der wichtigsten Unterlagen packst du getrennt ins Aufgabegepäck.</w:t>
      </w:r>
    </w:p>
    <w:p w14:paraId="70A4D6E4" w14:textId="3195AA73" w:rsidR="00C1548D" w:rsidRDefault="009B1B4B">
      <w:pPr>
        <w:spacing w:after="140"/>
      </w:pPr>
      <w: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history="1">
        <w:r>
          <w:t>23</w:t>
        </w:r>
      </w:hyperlink>
      <w:r>
        <w:t>).</w:t>
      </w:r>
    </w:p>
    <w:p w14:paraId="70A4D6E5" w14:textId="2C6E9A04" w:rsidR="00C1548D" w:rsidRDefault="009B1B4B">
      <w:pPr>
        <w:spacing w:after="140"/>
      </w:pPr>
      <w: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history="1">
        <w:r>
          <w:t>16</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6E8"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6E6" w14:textId="77777777" w:rsidR="00C1548D" w:rsidRDefault="009B1B4B">
            <w:pPr>
              <w:keepNext/>
              <w:spacing w:after="70" w:line="240" w:lineRule="auto"/>
            </w:pPr>
            <w:r>
              <w:rPr>
                <w:b/>
                <w:bCs/>
                <w:color w:val="8A6212"/>
                <w:spacing w:val="24"/>
                <w:sz w:val="16"/>
                <w:szCs w:val="16"/>
              </w:rPr>
              <w:lastRenderedPageBreak/>
              <w:t>MERKE</w:t>
            </w:r>
          </w:p>
          <w:p w14:paraId="70A4D6E7" w14:textId="77777777" w:rsidR="00C1548D" w:rsidRDefault="009B1B4B">
            <w:pPr>
              <w:spacing w:after="80" w:line="264" w:lineRule="auto"/>
            </w:pPr>
            <w:r>
              <w:rPr>
                <w:sz w:val="20"/>
                <w:szCs w:val="20"/>
              </w:rPr>
              <w:t>Apostille, Übersetzung und Bewertung sind drei verschiedene Dinge. Die Apostille bestätigt Echtheit, die Übersetzung schafft Verständlichkeit, die Bewertung belegt Gleichwertigkeit. Jede Stelle fordert nur das, was sie braucht; frage nach, statt alles auf Vorrat zu machen.</w:t>
            </w:r>
          </w:p>
        </w:tc>
      </w:tr>
    </w:tbl>
    <w:p w14:paraId="70A4D6E9" w14:textId="77777777" w:rsidR="00C1548D" w:rsidRDefault="00C1548D">
      <w:pPr>
        <w:spacing w:line="220" w:lineRule="exact"/>
      </w:pPr>
    </w:p>
    <w:p w14:paraId="70A4D6EA" w14:textId="77777777" w:rsidR="00C1548D" w:rsidRDefault="009B1B4B">
      <w:pPr>
        <w:pStyle w:val="Heading3"/>
        <w:keepNext/>
        <w:jc w:val="center"/>
      </w:pPr>
      <w:r>
        <w:rPr>
          <w:rFonts w:ascii="Amazon Ember" w:eastAsia="Amazon Ember" w:hAnsi="Amazon Ember" w:cs="Amazon Ember"/>
          <w:color w:val="0000FF"/>
          <w:sz w:val="36"/>
          <w:szCs w:val="36"/>
        </w:rPr>
        <w:t>Kosten und Zeitplan</w:t>
      </w:r>
    </w:p>
    <w:p w14:paraId="70A4D6EB" w14:textId="77777777" w:rsidR="00C1548D" w:rsidRDefault="009B1B4B">
      <w:pPr>
        <w:spacing w:after="140"/>
      </w:pPr>
      <w:r>
        <w:t>Die Reihenfolge folgt dem H-1B-Weg; bei anderen Wegen gilt derselbe Grundsatz: Pässe und Bewertung vor dem Antrag.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3"/>
        <w:gridCol w:w="2705"/>
        <w:gridCol w:w="2242"/>
      </w:tblGrid>
      <w:tr w:rsidR="00C1548D" w14:paraId="70A4D6EF" w14:textId="77777777">
        <w:tblPrEx>
          <w:tblCellMar>
            <w:top w:w="0" w:type="dxa"/>
            <w:bottom w:w="0" w:type="dxa"/>
          </w:tblCellMar>
        </w:tblPrEx>
        <w:trPr>
          <w:cantSplit/>
          <w:tblHeader/>
        </w:trPr>
        <w:tc>
          <w:tcPr>
            <w:tcW w:w="153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EC" w14:textId="77777777" w:rsidR="00C1548D" w:rsidRDefault="009B1B4B">
            <w:pPr>
              <w:spacing w:line="250" w:lineRule="auto"/>
            </w:pPr>
            <w:r>
              <w:rPr>
                <w:b/>
                <w:bCs/>
                <w:sz w:val="18"/>
                <w:szCs w:val="18"/>
              </w:rPr>
              <w:t>Wann</w:t>
            </w:r>
          </w:p>
        </w:tc>
        <w:tc>
          <w:tcPr>
            <w:tcW w:w="270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ED" w14:textId="77777777" w:rsidR="00C1548D" w:rsidRDefault="009B1B4B">
            <w:pPr>
              <w:spacing w:line="250" w:lineRule="auto"/>
            </w:pPr>
            <w:r>
              <w:rPr>
                <w:b/>
                <w:bCs/>
                <w:sz w:val="18"/>
                <w:szCs w:val="18"/>
              </w:rPr>
              <w:t>Was</w:t>
            </w:r>
          </w:p>
        </w:tc>
        <w:tc>
          <w:tcPr>
            <w:tcW w:w="224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6EE" w14:textId="77777777" w:rsidR="00C1548D" w:rsidRDefault="009B1B4B">
            <w:pPr>
              <w:spacing w:line="250" w:lineRule="auto"/>
            </w:pPr>
            <w:r>
              <w:rPr>
                <w:b/>
                <w:bCs/>
                <w:sz w:val="18"/>
                <w:szCs w:val="18"/>
              </w:rPr>
              <w:t>Vorlauf und Kosten</w:t>
            </w:r>
          </w:p>
        </w:tc>
      </w:tr>
      <w:tr w:rsidR="00C1548D" w14:paraId="70A4D6F3" w14:textId="77777777">
        <w:tblPrEx>
          <w:tblCellMar>
            <w:top w:w="0" w:type="dxa"/>
            <w:bottom w:w="0" w:type="dxa"/>
          </w:tblCellMar>
        </w:tblPrEx>
        <w:trPr>
          <w:cantSplit/>
        </w:trPr>
        <w:tc>
          <w:tcPr>
            <w:tcW w:w="15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0" w14:textId="77777777" w:rsidR="00C1548D" w:rsidRDefault="009B1B4B">
            <w:pPr>
              <w:spacing w:line="250" w:lineRule="auto"/>
            </w:pPr>
            <w:r>
              <w:rPr>
                <w:sz w:val="18"/>
                <w:szCs w:val="18"/>
              </w:rPr>
              <w:t>Sobald der Entschluss steht</w:t>
            </w:r>
          </w:p>
        </w:tc>
        <w:tc>
          <w:tcPr>
            <w:tcW w:w="27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1" w14:textId="77777777" w:rsidR="00C1548D" w:rsidRDefault="009B1B4B">
            <w:pPr>
              <w:spacing w:line="250" w:lineRule="auto"/>
            </w:pPr>
            <w:r>
              <w:rPr>
                <w:sz w:val="18"/>
                <w:szCs w:val="18"/>
              </w:rPr>
              <w:t>Pässe prüfen, Urkunden bestellen, Zeugnisse anfordern, Lizenzweg klären</w:t>
            </w:r>
          </w:p>
        </w:tc>
        <w:tc>
          <w:tcPr>
            <w:tcW w:w="22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2" w14:textId="77777777" w:rsidR="00C1548D" w:rsidRDefault="009B1B4B">
            <w:pPr>
              <w:spacing w:line="250" w:lineRule="auto"/>
            </w:pPr>
            <w:r>
              <w:rPr>
                <w:sz w:val="18"/>
                <w:szCs w:val="18"/>
              </w:rPr>
              <w:t>Standesamt und Hochschule: Wochen; Lizenzen: Monate bis Jahre</w:t>
            </w:r>
          </w:p>
        </w:tc>
      </w:tr>
      <w:tr w:rsidR="00C1548D" w14:paraId="70A4D6F7" w14:textId="77777777">
        <w:tblPrEx>
          <w:tblCellMar>
            <w:top w:w="0" w:type="dxa"/>
            <w:bottom w:w="0" w:type="dxa"/>
          </w:tblCellMar>
        </w:tblPrEx>
        <w:trPr>
          <w:cantSplit/>
        </w:trPr>
        <w:tc>
          <w:tcPr>
            <w:tcW w:w="15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4" w14:textId="77777777" w:rsidR="00C1548D" w:rsidRDefault="009B1B4B">
            <w:pPr>
              <w:spacing w:line="250" w:lineRule="auto"/>
            </w:pPr>
            <w:r>
              <w:rPr>
                <w:sz w:val="18"/>
                <w:szCs w:val="18"/>
              </w:rPr>
              <w:t>Bis Ende Februar</w:t>
            </w:r>
          </w:p>
        </w:tc>
        <w:tc>
          <w:tcPr>
            <w:tcW w:w="27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5" w14:textId="77777777" w:rsidR="00C1548D" w:rsidRDefault="009B1B4B">
            <w:pPr>
              <w:spacing w:line="250" w:lineRule="auto"/>
            </w:pPr>
            <w:r>
              <w:rPr>
                <w:sz w:val="18"/>
                <w:szCs w:val="18"/>
              </w:rPr>
              <w:t>Zeugnisbewertung und Übersetzungen fertig; Passdaten an die Kanzlei</w:t>
            </w:r>
          </w:p>
        </w:tc>
        <w:tc>
          <w:tcPr>
            <w:tcW w:w="22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6" w14:textId="77777777" w:rsidR="00C1548D" w:rsidRDefault="009B1B4B">
            <w:pPr>
              <w:spacing w:line="250" w:lineRule="auto"/>
            </w:pPr>
            <w:r>
              <w:rPr>
                <w:sz w:val="18"/>
                <w:szCs w:val="18"/>
              </w:rPr>
              <w:t>110–240 $, meist Arbeitgeber</w:t>
            </w:r>
          </w:p>
        </w:tc>
      </w:tr>
      <w:tr w:rsidR="00C1548D" w14:paraId="70A4D6FB" w14:textId="77777777">
        <w:tblPrEx>
          <w:tblCellMar>
            <w:top w:w="0" w:type="dxa"/>
            <w:bottom w:w="0" w:type="dxa"/>
          </w:tblCellMar>
        </w:tblPrEx>
        <w:trPr>
          <w:cantSplit/>
        </w:trPr>
        <w:tc>
          <w:tcPr>
            <w:tcW w:w="15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8" w14:textId="77777777" w:rsidR="00C1548D" w:rsidRDefault="009B1B4B">
            <w:pPr>
              <w:spacing w:line="250" w:lineRule="auto"/>
            </w:pPr>
            <w:r>
              <w:rPr>
                <w:sz w:val="18"/>
                <w:szCs w:val="18"/>
              </w:rPr>
              <w:t>Nach der Auswahl, vor dem Konsulatstermin</w:t>
            </w:r>
          </w:p>
        </w:tc>
        <w:tc>
          <w:tcPr>
            <w:tcW w:w="27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9" w14:textId="77777777" w:rsidR="00C1548D" w:rsidRDefault="009B1B4B">
            <w:pPr>
              <w:spacing w:line="250" w:lineRule="auto"/>
            </w:pPr>
            <w:r>
              <w:rPr>
                <w:sz w:val="18"/>
                <w:szCs w:val="18"/>
              </w:rPr>
              <w:t>Pässe erneuern, Apostillen und Führungszeugnis, soweit gefordert</w:t>
            </w:r>
          </w:p>
        </w:tc>
        <w:tc>
          <w:tcPr>
            <w:tcW w:w="22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A" w14:textId="77777777" w:rsidR="00C1548D" w:rsidRDefault="009B1B4B">
            <w:pPr>
              <w:spacing w:line="250" w:lineRule="auto"/>
            </w:pPr>
            <w:r>
              <w:rPr>
                <w:sz w:val="18"/>
                <w:szCs w:val="18"/>
              </w:rPr>
              <w:t>Pass 3–4 Wochen; Apostille 2–10 Wochen</w:t>
            </w:r>
          </w:p>
        </w:tc>
      </w:tr>
      <w:tr w:rsidR="00C1548D" w14:paraId="70A4D6FF" w14:textId="77777777">
        <w:tblPrEx>
          <w:tblCellMar>
            <w:top w:w="0" w:type="dxa"/>
            <w:bottom w:w="0" w:type="dxa"/>
          </w:tblCellMar>
        </w:tblPrEx>
        <w:trPr>
          <w:cantSplit/>
        </w:trPr>
        <w:tc>
          <w:tcPr>
            <w:tcW w:w="15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C" w14:textId="77777777" w:rsidR="00C1548D" w:rsidRDefault="009B1B4B">
            <w:pPr>
              <w:spacing w:line="250" w:lineRule="auto"/>
            </w:pPr>
            <w:r>
              <w:rPr>
                <w:sz w:val="18"/>
                <w:szCs w:val="18"/>
              </w:rPr>
              <w:t>4–6 Wochen vor Abflug</w:t>
            </w:r>
          </w:p>
        </w:tc>
        <w:tc>
          <w:tcPr>
            <w:tcW w:w="27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D" w14:textId="77777777" w:rsidR="00C1548D" w:rsidRDefault="009B1B4B">
            <w:pPr>
              <w:spacing w:line="250" w:lineRule="auto"/>
            </w:pPr>
            <w:r>
              <w:rPr>
                <w:sz w:val="18"/>
                <w:szCs w:val="18"/>
              </w:rPr>
              <w:t>Impfpass, Schulzeugnisse, SF-Nachweis übersetzen lassen; Scans; Ordner packen</w:t>
            </w:r>
          </w:p>
        </w:tc>
        <w:tc>
          <w:tcPr>
            <w:tcW w:w="22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6FE" w14:textId="77777777" w:rsidR="00C1548D" w:rsidRDefault="009B1B4B">
            <w:pPr>
              <w:spacing w:line="250" w:lineRule="auto"/>
            </w:pPr>
            <w:r>
              <w:rPr>
                <w:sz w:val="18"/>
                <w:szCs w:val="18"/>
              </w:rPr>
              <w:t>Übersetzung nach Angebot</w:t>
            </w:r>
          </w:p>
        </w:tc>
      </w:tr>
      <w:tr w:rsidR="00C1548D" w14:paraId="70A4D703" w14:textId="77777777">
        <w:tblPrEx>
          <w:tblCellMar>
            <w:top w:w="0" w:type="dxa"/>
            <w:bottom w:w="0" w:type="dxa"/>
          </w:tblCellMar>
        </w:tblPrEx>
        <w:trPr>
          <w:cantSplit/>
        </w:trPr>
        <w:tc>
          <w:tcPr>
            <w:tcW w:w="15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00" w14:textId="77777777" w:rsidR="00C1548D" w:rsidRDefault="009B1B4B">
            <w:pPr>
              <w:spacing w:line="250" w:lineRule="auto"/>
            </w:pPr>
            <w:r>
              <w:rPr>
                <w:sz w:val="18"/>
                <w:szCs w:val="18"/>
              </w:rPr>
              <w:t>Abflugtag</w:t>
            </w:r>
          </w:p>
        </w:tc>
        <w:tc>
          <w:tcPr>
            <w:tcW w:w="27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01" w14:textId="77777777" w:rsidR="00C1548D" w:rsidRDefault="009B1B4B">
            <w:pPr>
              <w:spacing w:line="250" w:lineRule="auto"/>
            </w:pPr>
            <w:r>
              <w:rPr>
                <w:sz w:val="18"/>
                <w:szCs w:val="18"/>
              </w:rPr>
              <w:t>Mappe mit Originalen ins Handgepäck</w:t>
            </w:r>
          </w:p>
        </w:tc>
        <w:tc>
          <w:tcPr>
            <w:tcW w:w="22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02" w14:textId="77777777" w:rsidR="00C1548D" w:rsidRDefault="009B1B4B">
            <w:pPr>
              <w:spacing w:line="250" w:lineRule="auto"/>
            </w:pPr>
            <w:r>
              <w:rPr>
                <w:sz w:val="18"/>
                <w:szCs w:val="18"/>
              </w:rPr>
              <w:t>–</w:t>
            </w:r>
          </w:p>
        </w:tc>
      </w:tr>
    </w:tbl>
    <w:p w14:paraId="70A4D704" w14:textId="77777777" w:rsidR="00C1548D" w:rsidRDefault="00C1548D">
      <w:pPr>
        <w:spacing w:line="180" w:lineRule="exact"/>
      </w:pPr>
    </w:p>
    <w:p w14:paraId="70A4D705" w14:textId="5BD57F9A" w:rsidR="00C1548D" w:rsidRDefault="009B1B4B">
      <w:pPr>
        <w:spacing w:after="140"/>
      </w:pPr>
      <w: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history="1">
        <w:r>
          <w:t>15</w:t>
        </w:r>
      </w:hyperlink>
      <w:r>
        <w:t>.</w:t>
      </w:r>
    </w:p>
    <w:p w14:paraId="70A4D706" w14:textId="77777777" w:rsidR="00C1548D" w:rsidRDefault="009B1B4B">
      <w:pPr>
        <w:pStyle w:val="Heading3"/>
        <w:keepNext/>
        <w:jc w:val="center"/>
      </w:pPr>
      <w:r>
        <w:rPr>
          <w:rFonts w:ascii="Amazon Ember" w:eastAsia="Amazon Ember" w:hAnsi="Amazon Ember" w:cs="Amazon Ember"/>
          <w:color w:val="0000FF"/>
          <w:sz w:val="36"/>
          <w:szCs w:val="36"/>
        </w:rPr>
        <w:t>Plus und Minus</w:t>
      </w:r>
    </w:p>
    <w:p w14:paraId="70A4D707" w14:textId="77777777" w:rsidR="00C1548D" w:rsidRDefault="009B1B4B">
      <w:pPr>
        <w:spacing w:after="140"/>
      </w:pPr>
      <w:r>
        <w:t>Dokumente früh besorgen und vorbereiten: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70A"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08" w14:textId="77777777" w:rsidR="00C1548D" w:rsidRDefault="009B1B4B">
            <w:pPr>
              <w:spacing w:line="250" w:lineRule="auto"/>
            </w:pPr>
            <w:r>
              <w:rPr>
                <w:b/>
                <w:bCs/>
                <w:sz w:val="18"/>
                <w:szCs w:val="18"/>
              </w:rPr>
              <w:lastRenderedPageBreak/>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09" w14:textId="77777777" w:rsidR="00C1548D" w:rsidRDefault="009B1B4B">
            <w:pPr>
              <w:spacing w:line="250" w:lineRule="auto"/>
            </w:pPr>
            <w:r>
              <w:rPr>
                <w:b/>
                <w:bCs/>
                <w:sz w:val="18"/>
                <w:szCs w:val="18"/>
              </w:rPr>
              <w:t>Minus</w:t>
            </w:r>
          </w:p>
        </w:tc>
      </w:tr>
      <w:tr w:rsidR="00C1548D" w14:paraId="70A4D70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0B" w14:textId="77777777" w:rsidR="00C1548D" w:rsidRDefault="009B1B4B">
            <w:pPr>
              <w:spacing w:line="250" w:lineRule="auto"/>
            </w:pPr>
            <w:r>
              <w:rPr>
                <w:sz w:val="18"/>
                <w:szCs w:val="18"/>
              </w:rPr>
              <w:t>Behördenwartezeiten von bis zu zehn Wochen fallen nicht in die heiße Phase vor dem Termin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0C" w14:textId="77777777" w:rsidR="00C1548D" w:rsidRDefault="009B1B4B">
            <w:pPr>
              <w:spacing w:line="250" w:lineRule="auto"/>
            </w:pPr>
            <w:r>
              <w:rPr>
                <w:sz w:val="18"/>
                <w:szCs w:val="18"/>
              </w:rPr>
              <w:t>Apostillen und Übersetzungen kosten Geld, auch wenn niemand sie verlangt</w:t>
            </w:r>
          </w:p>
        </w:tc>
      </w:tr>
      <w:tr w:rsidR="00C1548D" w14:paraId="70A4D71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0E" w14:textId="77777777" w:rsidR="00C1548D" w:rsidRDefault="009B1B4B">
            <w:pPr>
              <w:spacing w:line="250" w:lineRule="auto"/>
            </w:pPr>
            <w:r>
              <w:rPr>
                <w:sz w:val="18"/>
                <w:szCs w:val="18"/>
              </w:rPr>
              <w:t>Ein Satz Unterlagen deckt Visum, Schule, Lizenz und Mietbewerbung ab</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0F" w14:textId="77777777" w:rsidR="00C1548D" w:rsidRDefault="009B1B4B">
            <w:pPr>
              <w:spacing w:line="250" w:lineRule="auto"/>
            </w:pPr>
            <w:r>
              <w:rPr>
                <w:sz w:val="18"/>
                <w:szCs w:val="18"/>
              </w:rPr>
              <w:t>Manche Stellen wollen neuere Ausfertigungen als die auf Vorrat besorgten</w:t>
            </w:r>
          </w:p>
        </w:tc>
      </w:tr>
      <w:tr w:rsidR="00C1548D" w14:paraId="70A4D71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11" w14:textId="77777777" w:rsidR="00C1548D" w:rsidRDefault="009B1B4B">
            <w:pPr>
              <w:spacing w:line="250" w:lineRule="auto"/>
            </w:pPr>
            <w:r>
              <w:rPr>
                <w:sz w:val="18"/>
                <w:szCs w:val="18"/>
              </w:rPr>
              <w:t>Mit Originalen im Handgepäck und Scans in der Cloud überstehst du auch einen verspäteten Container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12" w14:textId="77777777" w:rsidR="00C1548D" w:rsidRDefault="009B1B4B">
            <w:pPr>
              <w:spacing w:line="250" w:lineRule="auto"/>
            </w:pPr>
            <w:r>
              <w:rPr>
                <w:sz w:val="18"/>
                <w:szCs w:val="18"/>
              </w:rPr>
              <w:t>Der Ordner im Handgepäck ist ein Verlustrisiko; Scans erfordern sauberen Umgang mit Zugangsdaten</w:t>
            </w:r>
          </w:p>
        </w:tc>
      </w:tr>
      <w:tr w:rsidR="00C1548D" w14:paraId="70A4D71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14" w14:textId="77777777" w:rsidR="00C1548D" w:rsidRDefault="009B1B4B">
            <w:pPr>
              <w:spacing w:line="250" w:lineRule="auto"/>
            </w:pPr>
            <w:r>
              <w:rPr>
                <w:sz w:val="18"/>
                <w:szCs w:val="18"/>
              </w:rPr>
              <w:t>Die Kanzlei erkennt Lücken (Studienjahre, Lizenz) rechtzeitig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15" w14:textId="77777777" w:rsidR="00C1548D" w:rsidRDefault="009B1B4B">
            <w:pPr>
              <w:spacing w:line="250" w:lineRule="auto"/>
            </w:pPr>
            <w:r>
              <w:rPr>
                <w:sz w:val="18"/>
                <w:szCs w:val="18"/>
              </w:rPr>
              <w:t>Manche Anforderungen zeigen sich erst im Verfahren, etwa durch eine Nachforderung</w:t>
            </w:r>
          </w:p>
        </w:tc>
      </w:tr>
    </w:tbl>
    <w:p w14:paraId="70A4D717"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24"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718" w14:textId="77777777" w:rsidR="00C1548D" w:rsidRDefault="009B1B4B">
            <w:pPr>
              <w:keepNext/>
              <w:spacing w:after="70" w:line="240" w:lineRule="auto"/>
            </w:pPr>
            <w:r>
              <w:rPr>
                <w:b/>
                <w:bCs/>
                <w:color w:val="1F6F78"/>
                <w:spacing w:val="24"/>
                <w:sz w:val="16"/>
                <w:szCs w:val="16"/>
              </w:rPr>
              <w:t>CHECKLISTE</w:t>
            </w:r>
          </w:p>
          <w:p w14:paraId="70A4D71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Ablaufdaten aller Reisepässe notieren; bei kurzer Restgültigkeit vor Registrierung und Visumantrag in Deutschland erneuern</w:t>
            </w:r>
          </w:p>
          <w:p w14:paraId="70A4D71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Für jedes Kind einen ePass beantragen (der Kinderreisepass genügt nicht)</w:t>
            </w:r>
          </w:p>
          <w:p w14:paraId="70A4D71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Mit der Kanzlei klären, welche Unterlagen USCIS und Konsulat sehen wollen und ob eine Apostille gefordert wird</w:t>
            </w:r>
          </w:p>
          <w:p w14:paraId="70A4D71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Diplome, Zeugnisse und Arbeitszeugnisse beschaffen; Zeugnisbewertung vor der März-Registrierung beauftragen lassen</w:t>
            </w:r>
          </w:p>
          <w:p w14:paraId="70A4D71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Geburts- und Heiratsurkunden als internationale Ausfertigung bestellen, zwei- bis dreimal</w:t>
            </w:r>
          </w:p>
          <w:p w14:paraId="70A4D71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Übersetzer mit Bescheinigung beauftragen; Namen exakt wie im Pass schreiben lassen</w:t>
            </w:r>
          </w:p>
          <w:p w14:paraId="70A4D71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Bedarf Führungszeugnis beantragen (13 €) und Vorlauf für die Apostille einplanen</w:t>
            </w:r>
          </w:p>
          <w:p w14:paraId="70A4D72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lizenzpflichtigem Beruf die Behörde des Ziel-Bundesstaats kontaktieren und einen Fahrplan erstellen</w:t>
            </w:r>
          </w:p>
          <w:p w14:paraId="70A4D72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Impfpass, Schulzeugnisse, SF-Nachweis und Steuerbescheide bereitlegen</w:t>
            </w:r>
          </w:p>
          <w:p w14:paraId="70A4D72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Alles scannen, verschlüsselt speichern und eine Kopie bei einer Vertrauensperson hinterlegen</w:t>
            </w:r>
          </w:p>
          <w:p w14:paraId="70A4D72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Originale in die Handgepäck-Mappe legen, nicht in den Container</w:t>
            </w:r>
          </w:p>
        </w:tc>
      </w:tr>
    </w:tbl>
    <w:p w14:paraId="70A4D725" w14:textId="77777777" w:rsidR="00C1548D" w:rsidRDefault="00C1548D">
      <w:pPr>
        <w:spacing w:line="220" w:lineRule="exact"/>
      </w:pPr>
    </w:p>
    <w:p w14:paraId="70A4D726" w14:textId="77777777" w:rsidR="00C1548D" w:rsidRDefault="009B1B4B">
      <w:pPr>
        <w:pStyle w:val="Heading3"/>
        <w:keepNext/>
        <w:jc w:val="center"/>
      </w:pPr>
      <w:r>
        <w:rPr>
          <w:rFonts w:ascii="Amazon Ember" w:eastAsia="Amazon Ember" w:hAnsi="Amazon Ember" w:cs="Amazon Ember"/>
          <w:color w:val="0000FF"/>
          <w:sz w:val="36"/>
          <w:szCs w:val="36"/>
        </w:rPr>
        <w:lastRenderedPageBreak/>
        <w:t>Quellen und weiterführende Links</w:t>
      </w:r>
    </w:p>
    <w:p w14:paraId="70A4D727" w14:textId="488D0C63" w:rsidR="00C1548D" w:rsidRDefault="009B1B4B" w:rsidP="009B1B4B">
      <w:pPr>
        <w:pStyle w:val="ListParagraph"/>
        <w:numPr>
          <w:ilvl w:val="0"/>
          <w:numId w:val="1"/>
        </w:numPr>
        <w:spacing w:after="60"/>
      </w:pPr>
      <w:r>
        <w:t>Auswärtiges Amt und Vertretungen — Pässe, Beurkundungen, Führungszeugnis (</w:t>
      </w:r>
      <w:hyperlink r:id="rId159" w:history="1">
        <w:r>
          <w:rPr>
            <w:color w:val="0563C1"/>
            <w:u w:val="single"/>
          </w:rPr>
          <w:t>germany.info/us-de/service</w:t>
        </w:r>
      </w:hyperlink>
      <w:r>
        <w:t>)</w:t>
      </w:r>
    </w:p>
    <w:p w14:paraId="70A4D728" w14:textId="1D83C75D" w:rsidR="00C1548D" w:rsidRDefault="009B1B4B" w:rsidP="009B1B4B">
      <w:pPr>
        <w:pStyle w:val="ListParagraph"/>
        <w:numPr>
          <w:ilvl w:val="0"/>
          <w:numId w:val="1"/>
        </w:numPr>
        <w:spacing w:after="60"/>
      </w:pPr>
      <w:r>
        <w:t>Bundesamt für Auswärtige Angelegenheiten — Apostillen für Bundesbehörden (</w:t>
      </w:r>
      <w:hyperlink r:id="rId160" w:history="1">
        <w:r>
          <w:rPr>
            <w:color w:val="0563C1"/>
            <w:u w:val="single"/>
          </w:rPr>
          <w:t>bfaa.diplo.de</w:t>
        </w:r>
      </w:hyperlink>
      <w:r>
        <w:t>)</w:t>
      </w:r>
    </w:p>
    <w:p w14:paraId="70A4D729" w14:textId="589D2366" w:rsidR="00C1548D" w:rsidRDefault="009B1B4B" w:rsidP="009B1B4B">
      <w:pPr>
        <w:pStyle w:val="ListParagraph"/>
        <w:numPr>
          <w:ilvl w:val="0"/>
          <w:numId w:val="1"/>
        </w:numPr>
        <w:spacing w:after="60"/>
      </w:pPr>
      <w:r>
        <w:t>Bundesamt für Justiz — Führungszeugnis, Antrag aus dem Ausland (</w:t>
      </w:r>
      <w:hyperlink r:id="rId161" w:history="1">
        <w:r>
          <w:rPr>
            <w:color w:val="0563C1"/>
            <w:u w:val="single"/>
          </w:rPr>
          <w:t>bundesjustizamt.de</w:t>
        </w:r>
      </w:hyperlink>
      <w:r>
        <w:t>)</w:t>
      </w:r>
    </w:p>
    <w:p w14:paraId="70A4D72A" w14:textId="4B264576" w:rsidR="00C1548D" w:rsidRDefault="009B1B4B" w:rsidP="009B1B4B">
      <w:pPr>
        <w:pStyle w:val="ListParagraph"/>
        <w:numPr>
          <w:ilvl w:val="0"/>
          <w:numId w:val="1"/>
        </w:numPr>
        <w:spacing w:after="60"/>
      </w:pPr>
      <w:r>
        <w:t>USCIS — Übersetzungen und Nachweise (</w:t>
      </w:r>
      <w:hyperlink r:id="rId162" w:history="1">
        <w:r>
          <w:rPr>
            <w:color w:val="0563C1"/>
            <w:u w:val="single"/>
          </w:rPr>
          <w:t>uscis.gov</w:t>
        </w:r>
      </w:hyperlink>
      <w:r>
        <w:t xml:space="preserve">; 8 CFR 103.2 unter </w:t>
      </w:r>
      <w:hyperlink r:id="rId163" w:history="1">
        <w:r>
          <w:rPr>
            <w:color w:val="0563C1"/>
            <w:u w:val="single"/>
          </w:rPr>
          <w:t>law.cornell.edu/cfr/text/8/103.2</w:t>
        </w:r>
      </w:hyperlink>
      <w:r>
        <w:t>)</w:t>
      </w:r>
    </w:p>
    <w:p w14:paraId="70A4D72B" w14:textId="38B4BA37" w:rsidR="00C1548D" w:rsidRDefault="009B1B4B" w:rsidP="009B1B4B">
      <w:pPr>
        <w:pStyle w:val="ListParagraph"/>
        <w:numPr>
          <w:ilvl w:val="0"/>
          <w:numId w:val="1"/>
        </w:numPr>
        <w:spacing w:after="60"/>
      </w:pPr>
      <w:r>
        <w:t>US-Außenministerium — Civil Documents FAQs (</w:t>
      </w:r>
      <w:hyperlink r:id="rId164" w:history="1">
        <w:r>
          <w:rPr>
            <w:color w:val="0563C1"/>
            <w:u w:val="single"/>
          </w:rPr>
          <w:t>travel.state.gov</w:t>
        </w:r>
      </w:hyperlink>
      <w:r>
        <w:t>, Suche „civil documents“)</w:t>
      </w:r>
    </w:p>
    <w:p w14:paraId="70A4D72C" w14:textId="050C4B06" w:rsidR="00C1548D" w:rsidRDefault="009B1B4B" w:rsidP="009B1B4B">
      <w:pPr>
        <w:pStyle w:val="ListParagraph"/>
        <w:numPr>
          <w:ilvl w:val="0"/>
          <w:numId w:val="1"/>
        </w:numPr>
        <w:spacing w:after="60"/>
      </w:pPr>
      <w:r>
        <w:t>WES und ECE — Zeugnisbewertung (</w:t>
      </w:r>
      <w:hyperlink r:id="rId165" w:history="1">
        <w:r>
          <w:rPr>
            <w:color w:val="0563C1"/>
            <w:u w:val="single"/>
          </w:rPr>
          <w:t>wes.org/evaluations</w:t>
        </w:r>
      </w:hyperlink>
      <w:r>
        <w:t xml:space="preserve">, </w:t>
      </w:r>
      <w:hyperlink r:id="rId166" w:history="1">
        <w:r>
          <w:rPr>
            <w:color w:val="0563C1"/>
            <w:u w:val="single"/>
          </w:rPr>
          <w:t>ece.org</w:t>
        </w:r>
      </w:hyperlink>
      <w:r>
        <w:t>); Mitglieder von NACES (</w:t>
      </w:r>
      <w:hyperlink r:id="rId167" w:history="1">
        <w:r>
          <w:rPr>
            <w:color w:val="0563C1"/>
            <w:u w:val="single"/>
          </w:rPr>
          <w:t>naces.org/members</w:t>
        </w:r>
      </w:hyperlink>
      <w:r>
        <w:t>)</w:t>
      </w:r>
    </w:p>
    <w:p w14:paraId="70A4D72D" w14:textId="7AFA6041" w:rsidR="00C1548D" w:rsidRDefault="009B1B4B" w:rsidP="009B1B4B">
      <w:pPr>
        <w:pStyle w:val="ListParagraph"/>
        <w:numPr>
          <w:ilvl w:val="0"/>
          <w:numId w:val="1"/>
        </w:numPr>
        <w:spacing w:after="60"/>
      </w:pPr>
      <w:r>
        <w:t>NCEES, ECFMG, TruMerit — Ingenieure, Ärzte, Pflege (</w:t>
      </w:r>
      <w:hyperlink r:id="rId168" w:history="1">
        <w:r>
          <w:rPr>
            <w:color w:val="0563C1"/>
            <w:u w:val="single"/>
          </w:rPr>
          <w:t>ncees.org/engineering/pe</w:t>
        </w:r>
      </w:hyperlink>
      <w:r>
        <w:t xml:space="preserve">, </w:t>
      </w:r>
      <w:hyperlink r:id="rId169" w:history="1">
        <w:r>
          <w:rPr>
            <w:color w:val="0563C1"/>
            <w:u w:val="single"/>
          </w:rPr>
          <w:t>ecfmg.org/certification-pathways</w:t>
        </w:r>
      </w:hyperlink>
      <w:r>
        <w:t xml:space="preserve">, </w:t>
      </w:r>
      <w:hyperlink r:id="rId170" w:history="1">
        <w:r>
          <w:rPr>
            <w:color w:val="0563C1"/>
            <w:u w:val="single"/>
          </w:rPr>
          <w:t>trumerit.org</w:t>
        </w:r>
      </w:hyperlink>
      <w:r>
        <w:t>)</w:t>
      </w:r>
    </w:p>
    <w:p w14:paraId="70A4D72E" w14:textId="5A1D4ACE" w:rsidR="00C1548D" w:rsidRDefault="009B1B4B" w:rsidP="009B1B4B">
      <w:pPr>
        <w:pStyle w:val="ListParagraph"/>
        <w:numPr>
          <w:ilvl w:val="0"/>
          <w:numId w:val="1"/>
        </w:numPr>
        <w:spacing w:after="60"/>
      </w:pPr>
      <w:r>
        <w:t>NCLEX — Prüfung für Pflegekräfte (</w:t>
      </w:r>
      <w:hyperlink r:id="rId171" w:history="1">
        <w:r>
          <w:rPr>
            <w:color w:val="0563C1"/>
            <w:u w:val="single"/>
          </w:rPr>
          <w:t>nclex.com</w:t>
        </w:r>
      </w:hyperlink>
      <w:r>
        <w:t>)</w:t>
      </w:r>
    </w:p>
    <w:p w14:paraId="70A4D72F"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32"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730" w14:textId="77777777" w:rsidR="00C1548D" w:rsidRDefault="009B1B4B">
            <w:pPr>
              <w:keepNext/>
              <w:spacing w:after="70" w:line="240" w:lineRule="auto"/>
            </w:pPr>
            <w:r>
              <w:rPr>
                <w:b/>
                <w:bCs/>
                <w:color w:val="6B7280"/>
                <w:spacing w:val="24"/>
                <w:sz w:val="16"/>
                <w:szCs w:val="16"/>
              </w:rPr>
              <w:t>STAND</w:t>
            </w:r>
          </w:p>
          <w:p w14:paraId="70A4D731" w14:textId="77777777" w:rsidR="00C1548D" w:rsidRDefault="009B1B4B">
            <w:pPr>
              <w:spacing w:after="80" w:line="264" w:lineRule="auto"/>
            </w:pPr>
            <w:r>
              <w:rPr>
                <w:sz w:val="20"/>
                <w:szCs w:val="20"/>
              </w:rPr>
              <w:t>September 2026. Diese Angaben ändern sich schnell: Gebühren von WES und ECE (WES kündigte 3 % mehr ab 1. Januar 2026 an), 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p>
        </w:tc>
      </w:tr>
    </w:tbl>
    <w:p w14:paraId="70A4D733" w14:textId="77777777" w:rsidR="00C1548D" w:rsidRDefault="00C1548D">
      <w:pPr>
        <w:spacing w:line="220" w:lineRule="exact"/>
      </w:pPr>
    </w:p>
    <w:p w14:paraId="70A4D734" w14:textId="77777777" w:rsidR="00C1548D" w:rsidRDefault="00C1548D">
      <w:pPr>
        <w:sectPr w:rsidR="00C1548D">
          <w:footerReference w:type="default" r:id="rId172"/>
          <w:pgSz w:w="8640" w:h="12960"/>
          <w:pgMar w:top="1080" w:right="1080" w:bottom="1100" w:left="1080" w:header="708" w:footer="708" w:gutter="0"/>
          <w:cols w:space="720"/>
          <w:docGrid w:linePitch="360"/>
        </w:sectPr>
      </w:pPr>
    </w:p>
    <w:p w14:paraId="70A4D735" w14:textId="77777777" w:rsidR="00C1548D" w:rsidRDefault="009B1B4B">
      <w:pPr>
        <w:pStyle w:val="Heading1"/>
        <w:jc w:val="center"/>
      </w:pPr>
      <w:bookmarkStart w:id="49" w:name="_Toc241352472"/>
      <w:r>
        <w:rPr>
          <w:rFonts w:ascii="Amazon Ember" w:eastAsia="Amazon Ember" w:hAnsi="Amazon Ember" w:cs="Amazon Ember"/>
          <w:color w:val="0000FF"/>
        </w:rPr>
        <w:lastRenderedPageBreak/>
        <w:t>TEIL V — Der Umzug</w:t>
      </w:r>
      <w:bookmarkEnd w:id="49"/>
    </w:p>
    <w:p w14:paraId="70A4D736" w14:textId="77777777" w:rsidR="00C1548D" w:rsidRDefault="009B1B4B">
      <w:pPr>
        <w:spacing w:after="160" w:line="300" w:lineRule="auto"/>
        <w:ind w:left="400" w:right="400"/>
        <w:jc w:val="center"/>
      </w:pPr>
      <w:r>
        <w:rPr>
          <w:i/>
          <w:iCs/>
          <w:sz w:val="24"/>
          <w:szCs w:val="24"/>
        </w:rPr>
        <w:t>Container, Koffer oder Neuanfang? Wie du Umzugskosten senkst, was in den Container gehört und was du drüben günstiger kaufst.</w:t>
      </w:r>
    </w:p>
    <w:p w14:paraId="70A4D737" w14:textId="77777777" w:rsidR="00C1548D" w:rsidRDefault="00C1548D">
      <w:pPr>
        <w:sectPr w:rsidR="00C1548D">
          <w:footerReference w:type="default" r:id="rId173"/>
          <w:pgSz w:w="8640" w:h="12960"/>
          <w:pgMar w:top="1080" w:right="1080" w:bottom="1100" w:left="1080" w:header="708" w:footer="708" w:gutter="0"/>
          <w:cols w:space="720"/>
          <w:vAlign w:val="center"/>
          <w:docGrid w:linePitch="360"/>
        </w:sectPr>
      </w:pPr>
    </w:p>
    <w:p w14:paraId="70A4D738" w14:textId="77777777" w:rsidR="00C1548D" w:rsidRDefault="009B1B4B">
      <w:pPr>
        <w:pStyle w:val="Heading2"/>
        <w:keepNext/>
        <w:pageBreakBefore/>
        <w:jc w:val="center"/>
      </w:pPr>
      <w:bookmarkStart w:id="50" w:name="k20"/>
      <w:bookmarkStart w:id="51" w:name="_Toc241352473"/>
      <w:r>
        <w:rPr>
          <w:rFonts w:ascii="Amazon Ember" w:eastAsia="Amazon Ember" w:hAnsi="Amazon Ember" w:cs="Amazon Ember"/>
          <w:color w:val="0000FF"/>
          <w:sz w:val="36"/>
          <w:szCs w:val="36"/>
        </w:rPr>
        <w:lastRenderedPageBreak/>
        <w:t>Kapitel 20: Container, Luftfracht oder Koffer: Umzug planen und Kosten sparen</w:t>
      </w:r>
      <w:bookmarkEnd w:id="50"/>
      <w:bookmarkEnd w:id="51"/>
    </w:p>
    <w:p w14:paraId="70A4D739" w14:textId="77777777" w:rsidR="00C1548D" w:rsidRDefault="009B1B4B">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w:t>
      </w:r>
      <w:r>
        <w:t>ikmeter, der mitfährt, kostet ungefähr so viel wie eine ordentliche Waschmaschine – nur dass die eigene Waschmaschine drüben ohnehin nicht funktioniert.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40"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73A" w14:textId="77777777" w:rsidR="00C1548D" w:rsidRDefault="009B1B4B">
            <w:pPr>
              <w:keepNext/>
              <w:spacing w:after="70" w:line="240" w:lineRule="auto"/>
            </w:pPr>
            <w:r>
              <w:rPr>
                <w:b/>
                <w:bCs/>
                <w:color w:val="1F3A5F"/>
                <w:spacing w:val="24"/>
                <w:sz w:val="16"/>
                <w:szCs w:val="16"/>
              </w:rPr>
              <w:lastRenderedPageBreak/>
              <w:t>KURZ GESAGT</w:t>
            </w:r>
          </w:p>
          <w:p w14:paraId="70A4D73B" w14:textId="77777777" w:rsidR="00C1548D" w:rsidRDefault="009B1B4B" w:rsidP="009B1B4B">
            <w:pPr>
              <w:pStyle w:val="ListParagraph"/>
              <w:numPr>
                <w:ilvl w:val="0"/>
                <w:numId w:val="1"/>
              </w:numPr>
              <w:spacing w:after="50" w:line="264" w:lineRule="auto"/>
            </w:pPr>
            <w:r>
              <w:rPr>
                <w:sz w:val="20"/>
                <w:szCs w:val="20"/>
              </w:rPr>
              <w:t>Du hast fünf Wege: Koffer, Paket, Luftfracht, Sammelladung und eigener Container. Ab Deutschland kostet eine Sammelladung 2.500–6.000 €, ein 20-ft-Container 4.000–7.500 € (Anbieterspannen 2026, meist ohne Zustellung in den USA).</w:t>
            </w:r>
          </w:p>
          <w:p w14:paraId="70A4D73C" w14:textId="77777777" w:rsidR="00C1548D" w:rsidRDefault="009B1B4B" w:rsidP="009B1B4B">
            <w:pPr>
              <w:pStyle w:val="ListParagraph"/>
              <w:numPr>
                <w:ilvl w:val="0"/>
                <w:numId w:val="1"/>
              </w:numPr>
              <w:spacing w:after="50" w:line="264" w:lineRule="auto"/>
            </w:pPr>
            <w:r>
              <w:rPr>
                <w:sz w:val="20"/>
                <w:szCs w:val="20"/>
              </w:rPr>
              <w:t>Per Schiff dauert es von Tür zu Tür vier bis zwölf Wochen. Plane eine Übergangslösung ohne Möbel ein.</w:t>
            </w:r>
          </w:p>
          <w:p w14:paraId="70A4D73D" w14:textId="77777777" w:rsidR="00C1548D" w:rsidRDefault="009B1B4B" w:rsidP="009B1B4B">
            <w:pPr>
              <w:pStyle w:val="ListParagraph"/>
              <w:numPr>
                <w:ilvl w:val="0"/>
                <w:numId w:val="1"/>
              </w:numPr>
              <w:spacing w:after="50" w:line="264" w:lineRule="auto"/>
            </w:pPr>
            <w:r>
              <w:rPr>
                <w:sz w:val="20"/>
                <w:szCs w:val="20"/>
              </w:rPr>
              <w:t>Zollfrei (</w:t>
            </w:r>
            <w:r>
              <w:rPr>
                <w:i/>
                <w:iCs/>
                <w:sz w:val="20"/>
                <w:szCs w:val="20"/>
              </w:rPr>
              <w:t>Free Entry</w:t>
            </w:r>
            <w:r>
              <w:rPr>
                <w:sz w:val="20"/>
                <w:szCs w:val="20"/>
              </w:rPr>
              <w:t xml:space="preserve">) kommt nur Gebrauchtes ins Land, das du mindestens ein Jahr genutzt hast. Dazu gehören die Zollerklärung </w:t>
            </w:r>
            <w:r>
              <w:rPr>
                <w:i/>
                <w:iCs/>
                <w:sz w:val="20"/>
                <w:szCs w:val="20"/>
              </w:rPr>
              <w:t>CBP Form 3299</w:t>
            </w:r>
            <w:r>
              <w:rPr>
                <w:sz w:val="20"/>
                <w:szCs w:val="20"/>
              </w:rPr>
              <w:t xml:space="preserve"> des US-Grenzschutzes CBP und eine englische Inventarliste; Neuware, Lebensmittel, Pflanzen und ungestempeltes Holz sind Fallen.</w:t>
            </w:r>
          </w:p>
          <w:p w14:paraId="70A4D73E" w14:textId="77777777" w:rsidR="00C1548D" w:rsidRDefault="009B1B4B" w:rsidP="009B1B4B">
            <w:pPr>
              <w:pStyle w:val="ListParagraph"/>
              <w:numPr>
                <w:ilvl w:val="0"/>
                <w:numId w:val="1"/>
              </w:numPr>
              <w:spacing w:after="50" w:line="264" w:lineRule="auto"/>
            </w:pPr>
            <w:r>
              <w:rPr>
                <w:sz w:val="20"/>
                <w:szCs w:val="20"/>
              </w:rPr>
              <w:t xml:space="preserve">Zahlt der Arbeitgeber den Umzug, ist das in den USA steuerpflichtiger Lohn. Ein </w:t>
            </w:r>
            <w:r>
              <w:rPr>
                <w:i/>
                <w:iCs/>
                <w:sz w:val="20"/>
                <w:szCs w:val="20"/>
              </w:rPr>
              <w:t>Gross-up</w:t>
            </w:r>
            <w:r>
              <w:rPr>
                <w:sz w:val="20"/>
                <w:szCs w:val="20"/>
              </w:rPr>
              <w:t xml:space="preserve"> (Aufstockung, damit netto der volle Betrag ankommt) verteuert die Leistung für ihn um etwa 30–55 %: Verhandle brutto und netto getrennt.</w:t>
            </w:r>
          </w:p>
          <w:p w14:paraId="70A4D73F" w14:textId="77777777" w:rsidR="00C1548D" w:rsidRDefault="009B1B4B" w:rsidP="009B1B4B">
            <w:pPr>
              <w:pStyle w:val="ListParagraph"/>
              <w:numPr>
                <w:ilvl w:val="0"/>
                <w:numId w:val="1"/>
              </w:numPr>
              <w:spacing w:after="50" w:line="264" w:lineRule="auto"/>
            </w:pPr>
            <w:r>
              <w:rPr>
                <w:sz w:val="20"/>
                <w:szCs w:val="20"/>
              </w:rPr>
              <w:t>Sparen kannst du mit weniger Volumen, Nebensaison, Sammelladung statt eigenem Container, Selbstpacken und einem Festpreis bis zur Haustür.</w:t>
            </w:r>
          </w:p>
        </w:tc>
      </w:tr>
    </w:tbl>
    <w:p w14:paraId="70A4D741" w14:textId="77777777" w:rsidR="00C1548D" w:rsidRDefault="00C1548D">
      <w:pPr>
        <w:spacing w:line="220" w:lineRule="exact"/>
      </w:pPr>
    </w:p>
    <w:p w14:paraId="70A4D742" w14:textId="77777777" w:rsidR="00C1548D" w:rsidRDefault="009B1B4B">
      <w:pPr>
        <w:pStyle w:val="Heading3"/>
        <w:keepNext/>
        <w:jc w:val="center"/>
      </w:pPr>
      <w:r>
        <w:rPr>
          <w:rFonts w:ascii="Amazon Ember" w:eastAsia="Amazon Ember" w:hAnsi="Amazon Ember" w:cs="Amazon Ember"/>
          <w:color w:val="0000FF"/>
          <w:sz w:val="36"/>
          <w:szCs w:val="36"/>
        </w:rPr>
        <w:t>Fünf Wege im Überblick</w:t>
      </w:r>
    </w:p>
    <w:p w14:paraId="70A4D743" w14:textId="77777777" w:rsidR="00C1548D" w:rsidRDefault="009B1B4B">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64"/>
        <w:gridCol w:w="2192"/>
        <w:gridCol w:w="2174"/>
        <w:gridCol w:w="950"/>
      </w:tblGrid>
      <w:tr w:rsidR="00C1548D" w14:paraId="70A4D748" w14:textId="77777777">
        <w:tblPrEx>
          <w:tblCellMar>
            <w:top w:w="0" w:type="dxa"/>
            <w:bottom w:w="0" w:type="dxa"/>
          </w:tblCellMar>
        </w:tblPrEx>
        <w:trPr>
          <w:cantSplit/>
          <w:tblHeader/>
        </w:trPr>
        <w:tc>
          <w:tcPr>
            <w:tcW w:w="116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44" w14:textId="77777777" w:rsidR="00C1548D" w:rsidRDefault="009B1B4B">
            <w:pPr>
              <w:spacing w:line="250" w:lineRule="auto"/>
            </w:pPr>
            <w:r>
              <w:rPr>
                <w:b/>
                <w:bCs/>
                <w:sz w:val="18"/>
                <w:szCs w:val="18"/>
              </w:rPr>
              <w:t>Weg</w:t>
            </w:r>
          </w:p>
        </w:tc>
        <w:tc>
          <w:tcPr>
            <w:tcW w:w="219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45" w14:textId="77777777" w:rsidR="00C1548D" w:rsidRDefault="009B1B4B">
            <w:pPr>
              <w:spacing w:line="250" w:lineRule="auto"/>
            </w:pPr>
            <w:r>
              <w:rPr>
                <w:b/>
                <w:bCs/>
                <w:sz w:val="18"/>
                <w:szCs w:val="18"/>
              </w:rPr>
              <w:t>Geeignet für</w:t>
            </w:r>
          </w:p>
        </w:tc>
        <w:tc>
          <w:tcPr>
            <w:tcW w:w="217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46" w14:textId="77777777" w:rsidR="00C1548D" w:rsidRDefault="009B1B4B">
            <w:pPr>
              <w:spacing w:line="250" w:lineRule="auto"/>
            </w:pPr>
            <w:r>
              <w:rPr>
                <w:b/>
                <w:bCs/>
                <w:sz w:val="18"/>
                <w:szCs w:val="18"/>
              </w:rPr>
              <w:t>Kosten</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47" w14:textId="77777777" w:rsidR="00C1548D" w:rsidRDefault="009B1B4B">
            <w:pPr>
              <w:spacing w:line="250" w:lineRule="auto"/>
            </w:pPr>
            <w:r>
              <w:rPr>
                <w:b/>
                <w:bCs/>
                <w:sz w:val="18"/>
                <w:szCs w:val="18"/>
              </w:rPr>
              <w:t>Dauer</w:t>
            </w:r>
          </w:p>
        </w:tc>
      </w:tr>
      <w:tr w:rsidR="00C1548D" w14:paraId="70A4D74D"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49" w14:textId="77777777" w:rsidR="00C1548D" w:rsidRDefault="009B1B4B">
            <w:pPr>
              <w:spacing w:line="250" w:lineRule="auto"/>
            </w:pPr>
            <w:r>
              <w:rPr>
                <w:sz w:val="18"/>
                <w:szCs w:val="18"/>
              </w:rPr>
              <w:t>Koffer (Fluggepäck)</w:t>
            </w:r>
          </w:p>
        </w:tc>
        <w:tc>
          <w:tcPr>
            <w:tcW w:w="21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4A" w14:textId="77777777" w:rsidR="00C1548D" w:rsidRDefault="009B1B4B">
            <w:pPr>
              <w:spacing w:line="250" w:lineRule="auto"/>
            </w:pPr>
            <w:r>
              <w:rPr>
                <w:sz w:val="18"/>
                <w:szCs w:val="18"/>
              </w:rPr>
              <w:t>Kleidung, Dokumente, Technik, Unersetzliches</w:t>
            </w:r>
          </w:p>
        </w:tc>
        <w:tc>
          <w:tcPr>
            <w:tcW w:w="21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4B" w14:textId="77777777" w:rsidR="00C1548D" w:rsidRDefault="009B1B4B">
            <w:pPr>
              <w:spacing w:line="250" w:lineRule="auto"/>
            </w:pPr>
            <w:r>
              <w:rPr>
                <w:sz w:val="18"/>
                <w:szCs w:val="18"/>
              </w:rPr>
              <w:t>Freigepäck des Tarifs, Zusatzgepäck nach Preisliste der Airline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4C" w14:textId="77777777" w:rsidR="00C1548D" w:rsidRDefault="009B1B4B">
            <w:pPr>
              <w:spacing w:line="250" w:lineRule="auto"/>
            </w:pPr>
            <w:r>
              <w:rPr>
                <w:sz w:val="18"/>
                <w:szCs w:val="18"/>
              </w:rPr>
              <w:t>fliegt mit dir</w:t>
            </w:r>
          </w:p>
        </w:tc>
      </w:tr>
      <w:tr w:rsidR="00C1548D" w14:paraId="70A4D752"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4E" w14:textId="77777777" w:rsidR="00C1548D" w:rsidRDefault="009B1B4B">
            <w:pPr>
              <w:spacing w:line="250" w:lineRule="auto"/>
            </w:pPr>
            <w:r>
              <w:rPr>
                <w:sz w:val="18"/>
                <w:szCs w:val="18"/>
              </w:rPr>
              <w:t>Paket (DHL)</w:t>
            </w:r>
          </w:p>
        </w:tc>
        <w:tc>
          <w:tcPr>
            <w:tcW w:w="21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4F" w14:textId="77777777" w:rsidR="00C1548D" w:rsidRDefault="009B1B4B">
            <w:pPr>
              <w:spacing w:line="250" w:lineRule="auto"/>
            </w:pPr>
            <w:r>
              <w:rPr>
                <w:sz w:val="18"/>
                <w:szCs w:val="18"/>
              </w:rPr>
              <w:t>wenige Kartons, Dringendes; bis 31,5 kg je Paket</w:t>
            </w:r>
          </w:p>
        </w:tc>
        <w:tc>
          <w:tcPr>
            <w:tcW w:w="21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0" w14:textId="77777777" w:rsidR="00C1548D" w:rsidRDefault="009B1B4B">
            <w:pPr>
              <w:spacing w:line="250" w:lineRule="auto"/>
            </w:pPr>
            <w:r>
              <w:rPr>
                <w:sz w:val="18"/>
                <w:szCs w:val="18"/>
              </w:rPr>
              <w:t>20 kg: 142,99 €, 31,5 kg: 207,99 €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1" w14:textId="77777777" w:rsidR="00C1548D" w:rsidRDefault="009B1B4B">
            <w:pPr>
              <w:spacing w:line="250" w:lineRule="auto"/>
            </w:pPr>
            <w:r>
              <w:rPr>
                <w:sz w:val="18"/>
                <w:szCs w:val="18"/>
              </w:rPr>
              <w:t>6–12 Werktage</w:t>
            </w:r>
          </w:p>
        </w:tc>
      </w:tr>
      <w:tr w:rsidR="00C1548D" w14:paraId="70A4D757"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3" w14:textId="77777777" w:rsidR="00C1548D" w:rsidRDefault="009B1B4B">
            <w:pPr>
              <w:spacing w:line="250" w:lineRule="auto"/>
            </w:pPr>
            <w:r>
              <w:rPr>
                <w:sz w:val="18"/>
                <w:szCs w:val="18"/>
              </w:rPr>
              <w:lastRenderedPageBreak/>
              <w:t>Luftfracht</w:t>
            </w:r>
          </w:p>
        </w:tc>
        <w:tc>
          <w:tcPr>
            <w:tcW w:w="21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4" w14:textId="77777777" w:rsidR="00C1548D" w:rsidRDefault="009B1B4B">
            <w:pPr>
              <w:spacing w:line="250" w:lineRule="auto"/>
            </w:pPr>
            <w:r>
              <w:rPr>
                <w:sz w:val="18"/>
                <w:szCs w:val="18"/>
              </w:rPr>
              <w:t>Dringendes, wenige Kubikmeter</w:t>
            </w:r>
          </w:p>
        </w:tc>
        <w:tc>
          <w:tcPr>
            <w:tcW w:w="21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5" w14:textId="77777777" w:rsidR="00C1548D" w:rsidRDefault="009B1B4B">
            <w:pPr>
              <w:spacing w:line="250" w:lineRule="auto"/>
            </w:pPr>
            <w:r>
              <w:rPr>
                <w:sz w:val="18"/>
                <w:szCs w:val="18"/>
              </w:rPr>
              <w:t>5–12 € je kg; 2 m³ etwa 1.200–2.200 €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6" w14:textId="77777777" w:rsidR="00C1548D" w:rsidRDefault="009B1B4B">
            <w:pPr>
              <w:spacing w:line="250" w:lineRule="auto"/>
            </w:pPr>
            <w:r>
              <w:rPr>
                <w:sz w:val="18"/>
                <w:szCs w:val="18"/>
              </w:rPr>
              <w:t>schneller als See</w:t>
            </w:r>
          </w:p>
        </w:tc>
      </w:tr>
      <w:tr w:rsidR="00C1548D" w14:paraId="70A4D75C"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8" w14:textId="77777777" w:rsidR="00C1548D" w:rsidRDefault="009B1B4B">
            <w:pPr>
              <w:spacing w:line="250" w:lineRule="auto"/>
            </w:pPr>
            <w:r>
              <w:rPr>
                <w:sz w:val="18"/>
                <w:szCs w:val="18"/>
              </w:rPr>
              <w:t>Sammelladung (LCL) oder Liftvan</w:t>
            </w:r>
          </w:p>
        </w:tc>
        <w:tc>
          <w:tcPr>
            <w:tcW w:w="21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9" w14:textId="77777777" w:rsidR="00C1548D" w:rsidRDefault="009B1B4B">
            <w:pPr>
              <w:spacing w:line="250" w:lineRule="auto"/>
            </w:pPr>
            <w:r>
              <w:rPr>
                <w:sz w:val="18"/>
                <w:szCs w:val="18"/>
              </w:rPr>
              <w:t>10–20 m³ (LCL), 4,85 m³ (Liftvan)</w:t>
            </w:r>
          </w:p>
        </w:tc>
        <w:tc>
          <w:tcPr>
            <w:tcW w:w="21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A" w14:textId="77777777" w:rsidR="00C1548D" w:rsidRDefault="009B1B4B">
            <w:pPr>
              <w:spacing w:line="250" w:lineRule="auto"/>
            </w:pPr>
            <w:r>
              <w:rPr>
                <w:sz w:val="18"/>
                <w:szCs w:val="18"/>
              </w:rPr>
              <w:t>LCL 2.500–6.000 €, Liftvan 2.000–3.000 €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B" w14:textId="77777777" w:rsidR="00C1548D" w:rsidRDefault="009B1B4B">
            <w:pPr>
              <w:spacing w:line="250" w:lineRule="auto"/>
            </w:pPr>
            <w:r>
              <w:rPr>
                <w:sz w:val="18"/>
                <w:szCs w:val="18"/>
              </w:rPr>
              <w:t>4–12 Wochen</w:t>
            </w:r>
          </w:p>
        </w:tc>
      </w:tr>
      <w:tr w:rsidR="00C1548D" w14:paraId="70A4D761"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D" w14:textId="77777777" w:rsidR="00C1548D" w:rsidRDefault="009B1B4B">
            <w:pPr>
              <w:spacing w:line="250" w:lineRule="auto"/>
            </w:pPr>
            <w:r>
              <w:rPr>
                <w:sz w:val="18"/>
                <w:szCs w:val="18"/>
              </w:rPr>
              <w:t>Container 20 ft</w:t>
            </w:r>
          </w:p>
        </w:tc>
        <w:tc>
          <w:tcPr>
            <w:tcW w:w="21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E" w14:textId="77777777" w:rsidR="00C1548D" w:rsidRDefault="009B1B4B">
            <w:pPr>
              <w:spacing w:line="250" w:lineRule="auto"/>
            </w:pPr>
            <w:r>
              <w:rPr>
                <w:sz w:val="18"/>
                <w:szCs w:val="18"/>
              </w:rPr>
              <w:t>28–33 m³, zwei bis drei Zimmer</w:t>
            </w:r>
          </w:p>
        </w:tc>
        <w:tc>
          <w:tcPr>
            <w:tcW w:w="21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5F" w14:textId="77777777" w:rsidR="00C1548D" w:rsidRDefault="009B1B4B">
            <w:pPr>
              <w:spacing w:line="250" w:lineRule="auto"/>
            </w:pPr>
            <w:r>
              <w:rPr>
                <w:sz w:val="18"/>
                <w:szCs w:val="18"/>
              </w:rPr>
              <w:t>4.000–7.500 €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60" w14:textId="77777777" w:rsidR="00C1548D" w:rsidRDefault="009B1B4B">
            <w:pPr>
              <w:spacing w:line="250" w:lineRule="auto"/>
            </w:pPr>
            <w:r>
              <w:rPr>
                <w:sz w:val="18"/>
                <w:szCs w:val="18"/>
              </w:rPr>
              <w:t>4–12 Wochen</w:t>
            </w:r>
          </w:p>
        </w:tc>
      </w:tr>
      <w:tr w:rsidR="00C1548D" w14:paraId="70A4D766"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62" w14:textId="77777777" w:rsidR="00C1548D" w:rsidRDefault="009B1B4B">
            <w:pPr>
              <w:spacing w:line="250" w:lineRule="auto"/>
            </w:pPr>
            <w:r>
              <w:rPr>
                <w:sz w:val="18"/>
                <w:szCs w:val="18"/>
              </w:rPr>
              <w:t>Container 40 ft</w:t>
            </w:r>
          </w:p>
        </w:tc>
        <w:tc>
          <w:tcPr>
            <w:tcW w:w="21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63" w14:textId="77777777" w:rsidR="00C1548D" w:rsidRDefault="009B1B4B">
            <w:pPr>
              <w:spacing w:line="250" w:lineRule="auto"/>
            </w:pPr>
            <w:r>
              <w:rPr>
                <w:sz w:val="18"/>
                <w:szCs w:val="18"/>
              </w:rPr>
              <w:t>55–68 m³, vier bis sechs Zimmer</w:t>
            </w:r>
          </w:p>
        </w:tc>
        <w:tc>
          <w:tcPr>
            <w:tcW w:w="21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64" w14:textId="77777777" w:rsidR="00C1548D" w:rsidRDefault="009B1B4B">
            <w:pPr>
              <w:spacing w:line="250" w:lineRule="auto"/>
            </w:pPr>
            <w:r>
              <w:rPr>
                <w:sz w:val="18"/>
                <w:szCs w:val="18"/>
              </w:rPr>
              <w:t>7.500–14.000 €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65" w14:textId="77777777" w:rsidR="00C1548D" w:rsidRDefault="009B1B4B">
            <w:pPr>
              <w:spacing w:line="250" w:lineRule="auto"/>
            </w:pPr>
            <w:r>
              <w:rPr>
                <w:sz w:val="18"/>
                <w:szCs w:val="18"/>
              </w:rPr>
              <w:t>4–12 Wochen</w:t>
            </w:r>
          </w:p>
        </w:tc>
      </w:tr>
    </w:tbl>
    <w:p w14:paraId="70A4D767" w14:textId="77777777" w:rsidR="00C1548D" w:rsidRDefault="00C1548D">
      <w:pPr>
        <w:spacing w:line="180" w:lineRule="exact"/>
      </w:pPr>
    </w:p>
    <w:p w14:paraId="70A4D768" w14:textId="77777777" w:rsidR="00C1548D" w:rsidRDefault="009B1B4B">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w14:paraId="70A4D769" w14:textId="77777777" w:rsidR="00C1548D" w:rsidRDefault="009B1B4B">
      <w:pPr>
        <w:spacing w:after="140"/>
      </w:pPr>
      <w:r>
        <w:t>Bei der Sammelladung (</w:t>
      </w:r>
      <w:r>
        <w:rPr>
          <w:i/>
          <w:iCs/>
        </w:rPr>
        <w:t>Less than Container Load</w:t>
      </w:r>
      <w:r>
        <w:t>, LCL) teilst du den Container mit anderen Kunden und zahlst nach Kubikmetern, rund 250–300 € je m³ (eigene Rechnung aus den Portalspannen). Nach der Faustregel der Portale ist LCL bis etwa 15 m³ günstiger, darüber der eigene 20-ft-Container (</w:t>
      </w:r>
      <w:r>
        <w:rPr>
          <w:i/>
          <w:iCs/>
        </w:rPr>
        <w:t>Full Container Load</w:t>
      </w:r>
      <w:r>
        <w:t xml:space="preserve">, FCL). Ein </w:t>
      </w:r>
      <w:r>
        <w:rPr>
          <w:i/>
          <w:iCs/>
        </w:rPr>
        <w:t>Liftvan</w:t>
      </w:r>
      <w:r>
        <w:t xml:space="preserve"> ist eine Transportkiste von rund 4,85 m³ für kleine Haushalte.</w:t>
      </w:r>
    </w:p>
    <w:p w14:paraId="70A4D76A" w14:textId="77777777" w:rsidR="00C1548D" w:rsidRDefault="009B1B4B">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6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76B" w14:textId="77777777" w:rsidR="00C1548D" w:rsidRDefault="009B1B4B">
            <w:pPr>
              <w:keepNext/>
              <w:spacing w:after="70" w:line="240" w:lineRule="auto"/>
            </w:pPr>
            <w:r>
              <w:rPr>
                <w:b/>
                <w:bCs/>
                <w:color w:val="4A5568"/>
                <w:spacing w:val="24"/>
                <w:sz w:val="16"/>
                <w:szCs w:val="16"/>
              </w:rPr>
              <w:lastRenderedPageBreak/>
              <w:t>PRAXISBEISPIEL · FIKTIV</w:t>
            </w:r>
          </w:p>
          <w:p w14:paraId="70A4D76C" w14:textId="77777777" w:rsidR="00C1548D" w:rsidRDefault="009B1B4B">
            <w:pPr>
              <w:spacing w:after="80" w:line="264" w:lineRule="auto"/>
            </w:pPr>
            <w:r>
              <w:rPr>
                <w:sz w:val="20"/>
                <w:szCs w:val="20"/>
              </w:rPr>
              <w:t>Sabine Keller (fiktiv, 33, Softwareentwicklerin) zieht von München nach Seattle. Sie fliegt mit zwei Koffern und schickt vorab vier Kartons à 20 kg per DHL-Paket: 4 × 142,99 € = 571,96 € (Preise 09/2026, sechs bis zwölf Werktage). Am Check-in-Schalter schiebt sie den zweiten Koffer noch einmal auf die Waage – randvoll, aber unter dem Limit. Möbel nimmt sie nicht mit; schon ein Liftvan hätte 2.000–3.000 € gekostet. Für eine 1BR rechnet sie mit 7.000–12.000 $ für Neuware mittlerer Qualität, mit IKEA und Gebra</w:t>
            </w:r>
            <w:r>
              <w:rPr>
                <w:sz w:val="20"/>
                <w:szCs w:val="20"/>
              </w:rPr>
              <w:t>uchtem 40–60 % weniger, also grob 2.800–7.200 $.</w:t>
            </w:r>
          </w:p>
        </w:tc>
      </w:tr>
    </w:tbl>
    <w:p w14:paraId="70A4D76E" w14:textId="77777777" w:rsidR="00C1548D" w:rsidRDefault="00C1548D">
      <w:pPr>
        <w:spacing w:line="220" w:lineRule="exact"/>
      </w:pPr>
    </w:p>
    <w:p w14:paraId="70A4D76F" w14:textId="77777777" w:rsidR="00C1548D" w:rsidRDefault="009B1B4B">
      <w:pPr>
        <w:pStyle w:val="Heading3"/>
        <w:keepNext/>
        <w:jc w:val="center"/>
      </w:pPr>
      <w:r>
        <w:rPr>
          <w:rFonts w:ascii="Amazon Ember" w:eastAsia="Amazon Ember" w:hAnsi="Amazon Ember" w:cs="Amazon Ember"/>
          <w:color w:val="0000FF"/>
          <w:sz w:val="36"/>
          <w:szCs w:val="36"/>
        </w:rPr>
        <w:t>Was wirklich in den Container gehört</w:t>
      </w:r>
    </w:p>
    <w:p w14:paraId="70A4D770" w14:textId="77777777" w:rsidR="00C1548D" w:rsidRDefault="009B1B4B">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einer Zweizimmerwohnung nach deutscher Zählung: Anbieter nennen dafür 7.000–12.000 $ in mittlerer Qualität, mit IKEA und Gebrauchtmöbeln 40–60 % weniger. Zur groben Orientierung: 1 € entsprach im September 2026 etwa 1,15 $ (bitte tagesaktuell prüfen).</w:t>
      </w:r>
    </w:p>
    <w:p w14:paraId="70A4D771" w14:textId="77777777" w:rsidR="00C1548D" w:rsidRDefault="009B1B4B">
      <w:pPr>
        <w:spacing w:after="140"/>
      </w:pPr>
      <w:r>
        <w:t>Verbreiteter Irrtum: Wer schon einmal umgezogen ist, denkt oft, die eigenen Möbel seien im neuen Zuhause billiger als neue – man hat sie ja bereits bezahlt. Beim Übersee-Umzug zählt aber nur, was der Transport zusätzlich kostet, und der frisst bei sperrigen Stücken schnell den vermeintlichen Vorteil auf. Ein Beispiel: Ein Dreisitzer-Sofa belegt grob geschätzt 2 m³, das sind 500–600 € Transport. Ein neues Sofa kostet in den USA 300–800 $ (Budget) oder 800–2.000 $ (Mittelklasse). Bei einem Erbstück, das du ni</w:t>
      </w:r>
      <w:r>
        <w:t>cht ersetzen kannst, fällt die Rechnung anders aus.</w:t>
      </w:r>
    </w:p>
    <w:p w14:paraId="70A4D772" w14:textId="58DC7607" w:rsidR="00C1548D" w:rsidRDefault="009B1B4B">
      <w:pPr>
        <w:spacing w:after="140"/>
      </w:pPr>
      <w:r>
        <w:t xml:space="preserve">Vieles passt außerdem technisch nicht: Das US-Netz liefert 120 V bei 60 Hz (Steckdosen Typ A und B). Wasserkocher, Toaster, Haartrockner und andere Heiz- und Motorgeräte lässt du zurück; </w:t>
      </w:r>
      <w:r>
        <w:lastRenderedPageBreak/>
        <w:t xml:space="preserve">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w:t>
      </w:r>
      <w:r>
        <w:t>Kapitel </w:t>
      </w:r>
      <w:hyperlink w:anchor="k21" w:history="1">
        <w:r>
          <w:t>21</w:t>
        </w:r>
      </w:hyperlink>
      <w:r>
        <w:t>, Haustiere reisen nicht im Umzugsgut (Kapitel </w:t>
      </w:r>
      <w:hyperlink w:anchor="k22" w:history="1">
        <w:r>
          <w:t>22</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75"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773" w14:textId="77777777" w:rsidR="00C1548D" w:rsidRDefault="009B1B4B">
            <w:pPr>
              <w:keepNext/>
              <w:spacing w:after="70" w:line="240" w:lineRule="auto"/>
            </w:pPr>
            <w:r>
              <w:rPr>
                <w:b/>
                <w:bCs/>
                <w:color w:val="8A6212"/>
                <w:spacing w:val="24"/>
                <w:sz w:val="16"/>
                <w:szCs w:val="16"/>
              </w:rPr>
              <w:t>MERKE</w:t>
            </w:r>
          </w:p>
          <w:p w14:paraId="70A4D774" w14:textId="77777777" w:rsidR="00C1548D" w:rsidRDefault="009B1B4B">
            <w:pPr>
              <w:spacing w:after="80" w:line="264" w:lineRule="auto"/>
            </w:pPr>
            <w:r>
              <w:rPr>
                <w:sz w:val="20"/>
                <w:szCs w:val="20"/>
              </w:rPr>
              <w:t>Jeder Kubikmeter im Container kostet rund 250–300 €. Nimm nur mit, was in den USA mehr kostet oder nicht zu ersetzen ist.</w:t>
            </w:r>
          </w:p>
        </w:tc>
      </w:tr>
    </w:tbl>
    <w:p w14:paraId="70A4D776" w14:textId="77777777" w:rsidR="00C1548D" w:rsidRDefault="00C1548D">
      <w:pPr>
        <w:spacing w:line="220" w:lineRule="exact"/>
      </w:pPr>
    </w:p>
    <w:p w14:paraId="70A4D777" w14:textId="77777777" w:rsidR="00C1548D" w:rsidRDefault="009B1B4B">
      <w:pPr>
        <w:pStyle w:val="Heading3"/>
        <w:keepNext/>
        <w:jc w:val="center"/>
      </w:pPr>
      <w:r>
        <w:rPr>
          <w:rFonts w:ascii="Amazon Ember" w:eastAsia="Amazon Ember" w:hAnsi="Amazon Ember" w:cs="Amazon Ember"/>
          <w:color w:val="0000FF"/>
          <w:sz w:val="36"/>
          <w:szCs w:val="36"/>
        </w:rPr>
        <w:t>Spedition wählen und Angebote vergleichen</w:t>
      </w:r>
    </w:p>
    <w:p w14:paraId="70A4D778" w14:textId="77777777" w:rsidR="00C1548D" w:rsidRDefault="009B1B4B">
      <w:pPr>
        <w:spacing w:after="140"/>
      </w:pPr>
      <w:r>
        <w:t>So gehst du vor:</w:t>
      </w:r>
    </w:p>
    <w:p w14:paraId="70A4D779" w14:textId="77777777" w:rsidR="00C1548D" w:rsidRDefault="009B1B4B" w:rsidP="009B1B4B">
      <w:pPr>
        <w:pStyle w:val="ListParagraph"/>
        <w:numPr>
          <w:ilvl w:val="0"/>
          <w:numId w:val="1"/>
        </w:numPr>
        <w:spacing w:after="60"/>
      </w:pPr>
      <w:r>
        <w:rPr>
          <w:b/>
          <w:bCs/>
        </w:rPr>
        <w:t>Drei Angebote,</w:t>
      </w:r>
      <w:r>
        <w:t xml:space="preserve"> jeweils nach Besichtigung vor Ort oder per Video-Survey (Rundgang per Videoanruf) – telefonische Schätzungen taugen nicht zum Vergleich.</w:t>
      </w:r>
    </w:p>
    <w:p w14:paraId="70A4D77A" w14:textId="77777777" w:rsidR="00C1548D" w:rsidRDefault="009B1B4B" w:rsidP="009B1B4B">
      <w:pPr>
        <w:pStyle w:val="ListParagraph"/>
        <w:numPr>
          <w:ilvl w:val="0"/>
          <w:numId w:val="1"/>
        </w:numPr>
        <w:spacing w:after="60"/>
      </w:pPr>
      <w:r>
        <w:rPr>
          <w:b/>
          <w:bCs/>
        </w:rPr>
        <w:t>Verbindlicher Festpreis</w:t>
      </w:r>
      <w:r>
        <w:t xml:space="preserve"> statt Schätzung, schriftlich und mit gleichem Leistungsumfang bei allen Anbietern.</w:t>
      </w:r>
    </w:p>
    <w:p w14:paraId="70A4D77B" w14:textId="77777777" w:rsidR="00C1548D" w:rsidRDefault="009B1B4B" w:rsidP="009B1B4B">
      <w:pPr>
        <w:pStyle w:val="ListParagraph"/>
        <w:numPr>
          <w:ilvl w:val="0"/>
          <w:numId w:val="1"/>
        </w:numPr>
        <w:spacing w:after="60"/>
      </w:pPr>
      <w:r>
        <w:rPr>
          <w:b/>
          <w:bCs/>
        </w:rPr>
        <w:t>Qualitätsnachweise:</w:t>
      </w:r>
      <w:r>
        <w:t xml:space="preserve"> </w:t>
      </w:r>
      <w:r>
        <w:rPr>
          <w:i/>
          <w:iCs/>
        </w:rPr>
        <w:t>FIDI-FAIM</w:t>
      </w:r>
      <w:r>
        <w:t xml:space="preserve"> (</w:t>
      </w:r>
      <w:r>
        <w:rPr>
          <w:i/>
          <w:iCs/>
        </w:rPr>
        <w:t>FIDI Accredited International Mover</w:t>
      </w:r>
      <w:r>
        <w:t xml:space="preserve">, Qualitätslabel des Umzugsverbands FIDI; Mitgliederliste auf fidi.org), auf US-Seite das Siegel </w:t>
      </w:r>
      <w:r>
        <w:rPr>
          <w:i/>
          <w:iCs/>
        </w:rPr>
        <w:t>AMSA ProMover</w:t>
      </w:r>
      <w:r>
        <w:t xml:space="preserve"> sowie USDOT- und MC-Nummer des Frachtführers, nachschlagbar bei der Bundesbehörde FMCSA (Aufsicht über den Lkw-Verkehr).</w:t>
      </w:r>
    </w:p>
    <w:p w14:paraId="70A4D77C" w14:textId="77777777" w:rsidR="00C1548D" w:rsidRDefault="009B1B4B" w:rsidP="009B1B4B">
      <w:pPr>
        <w:pStyle w:val="ListParagraph"/>
        <w:numPr>
          <w:ilvl w:val="0"/>
          <w:numId w:val="1"/>
        </w:numPr>
        <w:spacing w:after="60"/>
      </w:pPr>
      <w:r>
        <w:rPr>
          <w:b/>
          <w:bCs/>
        </w:rPr>
        <w:t>Zahlung</w:t>
      </w:r>
      <w:r>
        <w:t xml:space="preserve"> nie komplett im Voraus; kläre, wann die Restzahlung fällig wird.</w:t>
      </w:r>
    </w:p>
    <w:p w14:paraId="70A4D77D" w14:textId="2623EF61" w:rsidR="00C1548D" w:rsidRDefault="009B1B4B" w:rsidP="009B1B4B">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history="1">
        <w:r>
          <w:t>11</w:t>
        </w:r>
      </w:hyperlink>
      <w:r>
        <w:t>, Zeitleiste in Kapitel </w:t>
      </w:r>
      <w:hyperlink w:anchor="k15" w:history="1">
        <w:r>
          <w:t>15</w:t>
        </w:r>
      </w:hyperlink>
      <w:r>
        <w:t>).</w:t>
      </w:r>
    </w:p>
    <w:p w14:paraId="70A4D77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8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77F" w14:textId="77777777" w:rsidR="00C1548D" w:rsidRDefault="009B1B4B">
            <w:pPr>
              <w:keepNext/>
              <w:spacing w:after="70" w:line="240" w:lineRule="auto"/>
            </w:pPr>
            <w:r>
              <w:rPr>
                <w:b/>
                <w:bCs/>
                <w:color w:val="9B2C2C"/>
                <w:spacing w:val="24"/>
                <w:sz w:val="16"/>
                <w:szCs w:val="16"/>
              </w:rPr>
              <w:lastRenderedPageBreak/>
              <w:t>ACHTUNG</w:t>
            </w:r>
          </w:p>
          <w:p w14:paraId="70A4D780" w14:textId="77777777" w:rsidR="00C1548D" w:rsidRDefault="009B1B4B">
            <w:pPr>
              <w:spacing w:after="80" w:line="264" w:lineRule="auto"/>
            </w:pPr>
            <w:r>
              <w:rPr>
                <w:sz w:val="20"/>
                <w:szCs w:val="20"/>
              </w:rPr>
              <w:t>Ein Preis ist noch kein Preis bis zur Haustür. Zustellung Hafen–Haus, Zollabfertigung durch den Zollagenten (</w:t>
            </w:r>
            <w:r>
              <w:rPr>
                <w:i/>
                <w:iCs/>
                <w:sz w:val="20"/>
                <w:szCs w:val="20"/>
              </w:rPr>
              <w:t>Customs Broker</w:t>
            </w:r>
            <w:r>
              <w:rPr>
                <w:sz w:val="20"/>
                <w:szCs w:val="20"/>
              </w:rPr>
              <w:t>), Zuschläge für Treppen und lange Tragewege, Auspacken und Lagerung fehlen in Portalangeboten oft. Diese Posten schwanken stark: Lass dir jeden einzeln beziffern und vergleiche nur Tür-zu-Tür-Festpreise.</w:t>
            </w:r>
          </w:p>
        </w:tc>
      </w:tr>
    </w:tbl>
    <w:p w14:paraId="70A4D782" w14:textId="77777777" w:rsidR="00C1548D" w:rsidRDefault="00C1548D">
      <w:pPr>
        <w:spacing w:line="220" w:lineRule="exact"/>
      </w:pPr>
    </w:p>
    <w:p w14:paraId="70A4D783" w14:textId="77777777" w:rsidR="00C1548D" w:rsidRDefault="009B1B4B">
      <w:pPr>
        <w:pStyle w:val="Heading3"/>
        <w:keepNext/>
        <w:jc w:val="center"/>
      </w:pPr>
      <w:r>
        <w:rPr>
          <w:rFonts w:ascii="Amazon Ember" w:eastAsia="Amazon Ember" w:hAnsi="Amazon Ember" w:cs="Amazon Ember"/>
          <w:color w:val="0000FF"/>
          <w:sz w:val="36"/>
          <w:szCs w:val="36"/>
        </w:rPr>
        <w:t>Versicherung</w:t>
      </w:r>
    </w:p>
    <w:p w14:paraId="70A4D784" w14:textId="77777777" w:rsidR="00C1548D" w:rsidRDefault="009B1B4B">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w14:paraId="70A4D785" w14:textId="4BD217CE" w:rsidR="00C1548D" w:rsidRDefault="009B1B4B">
      <w:pPr>
        <w:spacing w:after="140"/>
      </w:pPr>
      <w:r>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history="1">
        <w:r>
          <w:t>16</w:t>
        </w:r>
      </w:hyperlink>
      <w:r>
        <w:t>).</w:t>
      </w:r>
    </w:p>
    <w:p w14:paraId="70A4D786" w14:textId="77777777" w:rsidR="00C1548D" w:rsidRDefault="009B1B4B">
      <w:pPr>
        <w:pStyle w:val="Heading3"/>
        <w:keepNext/>
        <w:jc w:val="center"/>
      </w:pPr>
      <w:r>
        <w:rPr>
          <w:rFonts w:ascii="Amazon Ember" w:eastAsia="Amazon Ember" w:hAnsi="Amazon Ember" w:cs="Amazon Ember"/>
          <w:color w:val="0000FF"/>
          <w:sz w:val="36"/>
          <w:szCs w:val="36"/>
        </w:rPr>
        <w:t>Zoll USA: zollfreie Einfuhr des Umzugsguts</w:t>
      </w:r>
    </w:p>
    <w:p w14:paraId="70A4D787" w14:textId="77777777" w:rsidR="00C1548D" w:rsidRDefault="009B1B4B">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w14:paraId="70A4D788" w14:textId="77777777" w:rsidR="00C1548D" w:rsidRDefault="009B1B4B" w:rsidP="009B1B4B">
      <w:pPr>
        <w:pStyle w:val="ListParagraph"/>
        <w:numPr>
          <w:ilvl w:val="0"/>
          <w:numId w:val="1"/>
        </w:numPr>
        <w:spacing w:after="60"/>
      </w:pPr>
      <w:r>
        <w:t>Du oder deine Familie habt die Gegenstände im Ausland mindestens ein Jahr genutzt. Das Jahr muss weder zusammenhängend sein noch unmittelbar vor der Einfuhr liegen.</w:t>
      </w:r>
    </w:p>
    <w:p w14:paraId="70A4D789" w14:textId="77777777" w:rsidR="00C1548D" w:rsidRDefault="009B1B4B" w:rsidP="009B1B4B">
      <w:pPr>
        <w:pStyle w:val="ListParagraph"/>
        <w:numPr>
          <w:ilvl w:val="0"/>
          <w:numId w:val="1"/>
        </w:numPr>
        <w:spacing w:after="60"/>
      </w:pPr>
      <w:r>
        <w:lastRenderedPageBreak/>
        <w:t>Die Sachen sind für den eigenen Haushalt bestimmt, nicht für Dritte und nicht zum Verkauf.</w:t>
      </w:r>
    </w:p>
    <w:p w14:paraId="70A4D78A" w14:textId="77777777" w:rsidR="00C1548D" w:rsidRDefault="009B1B4B" w:rsidP="009B1B4B">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w14:paraId="70A4D78B" w14:textId="77777777" w:rsidR="00C1548D" w:rsidRDefault="00C1548D">
      <w:pPr>
        <w:spacing w:line="120" w:lineRule="exact"/>
      </w:pPr>
    </w:p>
    <w:p w14:paraId="70A4D78C" w14:textId="42E5E9EB" w:rsidR="00C1548D" w:rsidRDefault="009B1B4B">
      <w:pPr>
        <w:spacing w:after="140"/>
      </w:pPr>
      <w:r>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history="1">
        <w:r>
          <w:t>27</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8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78D" w14:textId="77777777" w:rsidR="00C1548D" w:rsidRDefault="009B1B4B">
            <w:pPr>
              <w:keepNext/>
              <w:spacing w:after="70" w:line="240" w:lineRule="auto"/>
            </w:pPr>
            <w:r>
              <w:rPr>
                <w:b/>
                <w:bCs/>
                <w:color w:val="9B2C2C"/>
                <w:spacing w:val="24"/>
                <w:sz w:val="16"/>
                <w:szCs w:val="16"/>
              </w:rPr>
              <w:t>ACHTUNG</w:t>
            </w:r>
          </w:p>
          <w:p w14:paraId="70A4D78E" w14:textId="77777777" w:rsidR="00C1548D" w:rsidRDefault="009B1B4B">
            <w:pPr>
              <w:spacing w:after="80" w:line="264" w:lineRule="auto"/>
            </w:pPr>
            <w:r>
              <w:rPr>
                <w:sz w:val="20"/>
                <w:szCs w:val="20"/>
              </w:rPr>
              <w:t>Die Matratze vom Frühjahr, das im Sommer gekaufte Sofa: unter einem Jahr genutzt heißt verzollbar. Deklariere ehrlich, denn das Formular warnt, dass alle Angaben geprüft werden und falsche oder fehlende Angaben Strafen nach sich ziehen können. Neuware gehört nicht in den Container; auf Polstermöbel und Küchenschränke kommt zudem ein Zusatzzoll von etwa 25 % (Section 232, Stand 2026).</w:t>
            </w:r>
          </w:p>
        </w:tc>
      </w:tr>
    </w:tbl>
    <w:p w14:paraId="70A4D790" w14:textId="77777777" w:rsidR="00C1548D" w:rsidRDefault="00C1548D">
      <w:pPr>
        <w:spacing w:line="220" w:lineRule="exact"/>
      </w:pPr>
    </w:p>
    <w:p w14:paraId="70A4D791" w14:textId="77777777" w:rsidR="00C1548D" w:rsidRDefault="009B1B4B">
      <w:pPr>
        <w:spacing w:after="140"/>
      </w:pPr>
      <w:r>
        <w:t>So läuft die Abwicklung:</w:t>
      </w:r>
    </w:p>
    <w:p w14:paraId="70A4D792" w14:textId="77777777" w:rsidR="00C1548D" w:rsidRDefault="009B1B4B" w:rsidP="009B1B4B">
      <w:pPr>
        <w:pStyle w:val="ListParagraph"/>
        <w:numPr>
          <w:ilvl w:val="0"/>
          <w:numId w:val="23"/>
        </w:numPr>
        <w:spacing w:after="60"/>
      </w:pPr>
      <w:r>
        <w:rPr>
          <w:b/>
          <w:bCs/>
        </w:rPr>
        <w:t>Inventarliste</w:t>
      </w:r>
      <w:r>
        <w:t xml:space="preserve"> (Packliste) auf Englisch: Karton für Karton nummeriert, mit Inhalt und Wert. Sie dient Zoll und Versicherung; die Spedition liefert meist eine Vorlage.</w:t>
      </w:r>
    </w:p>
    <w:p w14:paraId="70A4D793" w14:textId="77777777" w:rsidR="00C1548D" w:rsidRDefault="009B1B4B" w:rsidP="009B1B4B">
      <w:pPr>
        <w:pStyle w:val="ListParagraph"/>
        <w:numPr>
          <w:ilvl w:val="0"/>
          <w:numId w:val="23"/>
        </w:numPr>
        <w:spacing w:after="60"/>
      </w:pPr>
      <w:r>
        <w:rPr>
          <w:b/>
          <w:bCs/>
        </w:rPr>
        <w:t>Zollagent:</w:t>
      </w:r>
      <w:r>
        <w:t xml:space="preserve"> Er wird meist über die Spedition gestellt und braucht eine Vollmacht, deinen Reisepass, Visum und I-94 (den elektronischen Einreise- und Aufenthaltsnachweis) oder die Green Card und das Inventar.</w:t>
      </w:r>
    </w:p>
    <w:p w14:paraId="70A4D794" w14:textId="77777777" w:rsidR="00C1548D" w:rsidRDefault="009B1B4B" w:rsidP="009B1B4B">
      <w:pPr>
        <w:pStyle w:val="ListParagraph"/>
        <w:numPr>
          <w:ilvl w:val="0"/>
          <w:numId w:val="23"/>
        </w:numPr>
        <w:spacing w:after="60"/>
      </w:pPr>
      <w:r>
        <w:rPr>
          <w:b/>
          <w:bCs/>
        </w:rPr>
        <w:t>Form 3299:</w:t>
      </w:r>
      <w:r>
        <w:t xml:space="preserve"> Teil I füllen alle aus, Teil II fragt nach deinem Aufenthaltsstatus. Welches Kästchen zu deinem Visum passt, klärt der Zollagent – wer aus Deutschland kommt, dem ist die Freude an exakt ausgefüllten Formularen ohnehin nicht fremd.</w:t>
      </w:r>
    </w:p>
    <w:p w14:paraId="70A4D795" w14:textId="77777777" w:rsidR="00C1548D" w:rsidRDefault="009B1B4B" w:rsidP="009B1B4B">
      <w:pPr>
        <w:pStyle w:val="ListParagraph"/>
        <w:numPr>
          <w:ilvl w:val="0"/>
          <w:numId w:val="23"/>
        </w:numPr>
        <w:spacing w:after="60"/>
      </w:pPr>
      <w:r>
        <w:rPr>
          <w:b/>
          <w:bCs/>
        </w:rPr>
        <w:t>Fehlende Erklärung:</w:t>
      </w:r>
      <w:r>
        <w:t xml:space="preserve"> Liegt sie bei der Ankunft nicht vor, kann eine Zollbürgschaft (</w:t>
      </w:r>
      <w:r>
        <w:rPr>
          <w:i/>
          <w:iCs/>
        </w:rPr>
        <w:t>Bond</w:t>
      </w:r>
      <w:r>
        <w:t>, CBP Form 301) hinterlegt werden; die Erklärung reichst du binnen sechs Monaten nach.</w:t>
      </w:r>
    </w:p>
    <w:p w14:paraId="70A4D796" w14:textId="77777777" w:rsidR="00C1548D" w:rsidRDefault="009B1B4B" w:rsidP="009B1B4B">
      <w:pPr>
        <w:pStyle w:val="ListParagraph"/>
        <w:numPr>
          <w:ilvl w:val="0"/>
          <w:numId w:val="23"/>
        </w:numPr>
        <w:spacing w:after="60"/>
      </w:pPr>
      <w:r>
        <w:rPr>
          <w:b/>
          <w:bCs/>
        </w:rPr>
        <w:lastRenderedPageBreak/>
        <w:t>Beschau:</w:t>
      </w:r>
      <w:r>
        <w:t xml:space="preserve"> Der Zoll darf den Container öffnen und prüfen. Das kann Zeit und Zusatzkosten bedeuten.</w:t>
      </w:r>
    </w:p>
    <w:p w14:paraId="70A4D797" w14:textId="77777777" w:rsidR="00C1548D" w:rsidRDefault="00C1548D">
      <w:pPr>
        <w:spacing w:line="120" w:lineRule="exact"/>
      </w:pPr>
    </w:p>
    <w:p w14:paraId="70A4D798" w14:textId="77777777" w:rsidR="00C1548D" w:rsidRDefault="009B1B4B">
      <w:pPr>
        <w:spacing w:after="140"/>
      </w:pPr>
      <w:r>
        <w:t>In 19 CFR 148.52 ist keine feste kurze Frist zwischen deiner Einreise und dem Eintreffen der Sendung erkennbar; beschränkt wird die sehr späte Einfuhr nach vielen Jahren. Die Praxis im Zielhafen klärst du trotzdem vorab schriftlich mit dem Zollagenten.</w:t>
      </w:r>
    </w:p>
    <w:p w14:paraId="70A4D799" w14:textId="77777777" w:rsidR="00C1548D" w:rsidRDefault="009B1B4B">
      <w:pPr>
        <w:spacing w:after="140"/>
      </w:pPr>
      <w:r>
        <w:t>Die Zolllage ist 2026 in Bewegung: Der Supreme Court kippte die auf das Notstandsgesetz IEEPA gestützten Zölle am 20. Februar 2026 (6:3); seit dem 24. Juli 2026 gelten Zölle nach Section 301 (für Waren aus der EU kombiniert 10 %), und die Zölle nach Section 232 auf Möbel, Autos, Stahl, Aluminium und Holz bleiben.</w:t>
      </w:r>
    </w:p>
    <w:p w14:paraId="70A4D79A" w14:textId="77777777" w:rsidR="00C1548D" w:rsidRDefault="009B1B4B">
      <w:pPr>
        <w:spacing w:after="140"/>
      </w:pPr>
      <w:r>
        <w:t>Ob sie zollfreies Umzugsgut treffen, ist offen: Von den früheren IEEPA-Zöllen waren Waren des Kapitels 98 des US-Zolltarifs, unter das Umzugsgut fällt, ausgenommen; für die neuen Zölle liegt keine bestätigte Aussage vor. Lass dir vom Zollagenten schriftlich bestätigen, dass dein Umzugsgut abgabenfrei eingeht.</w:t>
      </w:r>
    </w:p>
    <w:p w14:paraId="70A4D79B" w14:textId="77777777" w:rsidR="00C1548D" w:rsidRDefault="009B1B4B">
      <w:pPr>
        <w:pStyle w:val="Heading3"/>
        <w:keepNext/>
        <w:jc w:val="center"/>
      </w:pPr>
      <w:r>
        <w:rPr>
          <w:rFonts w:ascii="Amazon Ember" w:eastAsia="Amazon Ember" w:hAnsi="Amazon Ember" w:cs="Amazon Ember"/>
          <w:color w:val="0000FF"/>
          <w:sz w:val="36"/>
          <w:szCs w:val="36"/>
        </w:rPr>
        <w:t>Verbotenes und Beschränktes</w:t>
      </w:r>
    </w:p>
    <w:p w14:paraId="70A4D79C" w14:textId="77777777" w:rsidR="00C1548D" w:rsidRDefault="009B1B4B">
      <w:pPr>
        <w:spacing w:after="140"/>
      </w:pPr>
      <w:r>
        <w:t>Manches darfst du nicht oder nur mit Papieren einführen. Die Zollerklärung fragt es ausdrücklich ab.</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9"/>
        <w:gridCol w:w="3126"/>
        <w:gridCol w:w="2195"/>
      </w:tblGrid>
      <w:tr w:rsidR="00C1548D" w14:paraId="70A4D7A0" w14:textId="77777777">
        <w:tblPrEx>
          <w:tblCellMar>
            <w:top w:w="0" w:type="dxa"/>
            <w:bottom w:w="0" w:type="dxa"/>
          </w:tblCellMar>
        </w:tblPrEx>
        <w:trPr>
          <w:cantSplit/>
          <w:tblHeader/>
        </w:trPr>
        <w:tc>
          <w:tcPr>
            <w:tcW w:w="115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9D" w14:textId="77777777" w:rsidR="00C1548D" w:rsidRDefault="009B1B4B">
            <w:pPr>
              <w:spacing w:line="250" w:lineRule="auto"/>
            </w:pPr>
            <w:r>
              <w:rPr>
                <w:b/>
                <w:bCs/>
                <w:sz w:val="18"/>
                <w:szCs w:val="18"/>
              </w:rPr>
              <w:t>Ware</w:t>
            </w:r>
          </w:p>
        </w:tc>
        <w:tc>
          <w:tcPr>
            <w:tcW w:w="312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9E" w14:textId="77777777" w:rsidR="00C1548D" w:rsidRDefault="009B1B4B">
            <w:pPr>
              <w:spacing w:line="250" w:lineRule="auto"/>
            </w:pPr>
            <w:r>
              <w:rPr>
                <w:b/>
                <w:bCs/>
                <w:sz w:val="18"/>
                <w:szCs w:val="18"/>
              </w:rPr>
              <w:t>Regel (Stand 2026)</w:t>
            </w:r>
          </w:p>
        </w:tc>
        <w:tc>
          <w:tcPr>
            <w:tcW w:w="219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9F" w14:textId="77777777" w:rsidR="00C1548D" w:rsidRDefault="009B1B4B">
            <w:pPr>
              <w:spacing w:line="250" w:lineRule="auto"/>
            </w:pPr>
            <w:r>
              <w:rPr>
                <w:b/>
                <w:bCs/>
                <w:sz w:val="18"/>
                <w:szCs w:val="18"/>
              </w:rPr>
              <w:t>Was du tust</w:t>
            </w:r>
          </w:p>
        </w:tc>
      </w:tr>
      <w:tr w:rsidR="00C1548D" w14:paraId="70A4D7A4" w14:textId="77777777">
        <w:tblPrEx>
          <w:tblCellMar>
            <w:top w:w="0" w:type="dxa"/>
            <w:bottom w:w="0" w:type="dxa"/>
          </w:tblCellMar>
        </w:tblPrEx>
        <w:trPr>
          <w:cantSplit/>
        </w:trPr>
        <w:tc>
          <w:tcPr>
            <w:tcW w:w="11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1" w14:textId="77777777" w:rsidR="00C1548D" w:rsidRDefault="009B1B4B">
            <w:pPr>
              <w:spacing w:line="250" w:lineRule="auto"/>
            </w:pPr>
            <w:r>
              <w:rPr>
                <w:sz w:val="18"/>
                <w:szCs w:val="18"/>
              </w:rPr>
              <w:t>Lebensmittel</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2" w14:textId="77777777" w:rsidR="00C1548D" w:rsidRDefault="009B1B4B">
            <w:pPr>
              <w:spacing w:line="250" w:lineRule="auto"/>
            </w:pPr>
            <w:r>
              <w:rPr>
                <w:sz w:val="18"/>
                <w:szCs w:val="18"/>
              </w:rPr>
              <w:t>Frisches Obst, Gemüse, Fleisch und Wurst: verboten oder je nach Herkunftsland beschränkt</w:t>
            </w:r>
          </w:p>
        </w:tc>
        <w:tc>
          <w:tcPr>
            <w:tcW w:w="21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3" w14:textId="77777777" w:rsidR="00C1548D" w:rsidRDefault="009B1B4B">
            <w:pPr>
              <w:spacing w:line="250" w:lineRule="auto"/>
            </w:pPr>
            <w:r>
              <w:rPr>
                <w:sz w:val="18"/>
                <w:szCs w:val="18"/>
              </w:rPr>
              <w:t>Verbrauchen, verschenken, zurücklassen</w:t>
            </w:r>
          </w:p>
        </w:tc>
      </w:tr>
      <w:tr w:rsidR="00C1548D" w14:paraId="70A4D7A8" w14:textId="77777777">
        <w:tblPrEx>
          <w:tblCellMar>
            <w:top w:w="0" w:type="dxa"/>
            <w:bottom w:w="0" w:type="dxa"/>
          </w:tblCellMar>
        </w:tblPrEx>
        <w:trPr>
          <w:cantSplit/>
        </w:trPr>
        <w:tc>
          <w:tcPr>
            <w:tcW w:w="11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5" w14:textId="77777777" w:rsidR="00C1548D" w:rsidRDefault="009B1B4B">
            <w:pPr>
              <w:spacing w:line="250" w:lineRule="auto"/>
            </w:pPr>
            <w:r>
              <w:rPr>
                <w:sz w:val="18"/>
                <w:szCs w:val="18"/>
              </w:rPr>
              <w:t>Pflanzen, Samen, Erde</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6" w14:textId="77777777" w:rsidR="00C1548D" w:rsidRDefault="009B1B4B">
            <w:pPr>
              <w:spacing w:line="250" w:lineRule="auto"/>
            </w:pPr>
            <w:r>
              <w:rPr>
                <w:sz w:val="18"/>
                <w:szCs w:val="18"/>
              </w:rPr>
              <w:t>Ohne Genehmigung (</w:t>
            </w:r>
            <w:r>
              <w:rPr>
                <w:i/>
                <w:iCs/>
                <w:sz w:val="18"/>
                <w:szCs w:val="18"/>
              </w:rPr>
              <w:t>Permit</w:t>
            </w:r>
            <w:r>
              <w:rPr>
                <w:sz w:val="18"/>
                <w:szCs w:val="18"/>
              </w:rPr>
              <w:t>) des US-Landwirtschaftsministeriums USDA verboten</w:t>
            </w:r>
          </w:p>
        </w:tc>
        <w:tc>
          <w:tcPr>
            <w:tcW w:w="21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7" w14:textId="77777777" w:rsidR="00C1548D" w:rsidRDefault="009B1B4B">
            <w:pPr>
              <w:spacing w:line="250" w:lineRule="auto"/>
            </w:pPr>
            <w:r>
              <w:rPr>
                <w:sz w:val="18"/>
                <w:szCs w:val="18"/>
              </w:rPr>
              <w:t>Nicht mitnehmen, auch keine Kübelerde</w:t>
            </w:r>
          </w:p>
        </w:tc>
      </w:tr>
      <w:tr w:rsidR="00C1548D" w14:paraId="70A4D7AC" w14:textId="77777777">
        <w:tblPrEx>
          <w:tblCellMar>
            <w:top w:w="0" w:type="dxa"/>
            <w:bottom w:w="0" w:type="dxa"/>
          </w:tblCellMar>
        </w:tblPrEx>
        <w:trPr>
          <w:cantSplit/>
        </w:trPr>
        <w:tc>
          <w:tcPr>
            <w:tcW w:w="11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9" w14:textId="77777777" w:rsidR="00C1548D" w:rsidRDefault="009B1B4B">
            <w:pPr>
              <w:spacing w:line="250" w:lineRule="auto"/>
            </w:pPr>
            <w:r>
              <w:rPr>
                <w:sz w:val="18"/>
                <w:szCs w:val="18"/>
              </w:rPr>
              <w:t>Holz</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A" w14:textId="77777777" w:rsidR="00C1548D" w:rsidRDefault="009B1B4B">
            <w:pPr>
              <w:spacing w:line="250" w:lineRule="auto"/>
            </w:pPr>
            <w:r>
              <w:rPr>
                <w:sz w:val="18"/>
                <w:szCs w:val="18"/>
              </w:rPr>
              <w:t xml:space="preserve">Kisten, Paletten und Holzverpackung nur mit </w:t>
            </w:r>
            <w:r>
              <w:rPr>
                <w:i/>
                <w:iCs/>
                <w:sz w:val="18"/>
                <w:szCs w:val="18"/>
              </w:rPr>
              <w:t>ISPM-15</w:t>
            </w:r>
            <w:r>
              <w:rPr>
                <w:sz w:val="18"/>
                <w:szCs w:val="18"/>
              </w:rPr>
              <w:t>-Stempel (Pflanzenschutzstandard, Hitze- oder Begasungsbehandlung), sonst Zurückweisung</w:t>
            </w:r>
          </w:p>
        </w:tc>
        <w:tc>
          <w:tcPr>
            <w:tcW w:w="21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B" w14:textId="77777777" w:rsidR="00C1548D" w:rsidRDefault="009B1B4B">
            <w:pPr>
              <w:spacing w:line="250" w:lineRule="auto"/>
            </w:pPr>
            <w:r>
              <w:rPr>
                <w:sz w:val="18"/>
                <w:szCs w:val="18"/>
              </w:rPr>
              <w:t>Von der Spedition schriftlich bestätigen lassen</w:t>
            </w:r>
          </w:p>
        </w:tc>
      </w:tr>
      <w:tr w:rsidR="00C1548D" w14:paraId="70A4D7B0" w14:textId="77777777">
        <w:tblPrEx>
          <w:tblCellMar>
            <w:top w:w="0" w:type="dxa"/>
            <w:bottom w:w="0" w:type="dxa"/>
          </w:tblCellMar>
        </w:tblPrEx>
        <w:trPr>
          <w:cantSplit/>
        </w:trPr>
        <w:tc>
          <w:tcPr>
            <w:tcW w:w="11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D" w14:textId="77777777" w:rsidR="00C1548D" w:rsidRDefault="009B1B4B">
            <w:pPr>
              <w:spacing w:line="250" w:lineRule="auto"/>
            </w:pPr>
            <w:r>
              <w:rPr>
                <w:sz w:val="18"/>
                <w:szCs w:val="18"/>
              </w:rPr>
              <w:lastRenderedPageBreak/>
              <w:t>Elfenbein, Artenschutzware</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E" w14:textId="77777777" w:rsidR="00C1548D" w:rsidRDefault="009B1B4B">
            <w:pPr>
              <w:spacing w:line="250" w:lineRule="auto"/>
            </w:pPr>
            <w:r>
              <w:rPr>
                <w:sz w:val="18"/>
                <w:szCs w:val="18"/>
              </w:rPr>
              <w:t>Ohne CITES- und USFWS-Papiere verboten</w:t>
            </w:r>
          </w:p>
        </w:tc>
        <w:tc>
          <w:tcPr>
            <w:tcW w:w="21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AF" w14:textId="77777777" w:rsidR="00C1548D" w:rsidRDefault="009B1B4B">
            <w:pPr>
              <w:spacing w:line="250" w:lineRule="auto"/>
            </w:pPr>
            <w:r>
              <w:rPr>
                <w:sz w:val="18"/>
                <w:szCs w:val="18"/>
              </w:rPr>
              <w:t>Nicht mitnehmen</w:t>
            </w:r>
          </w:p>
        </w:tc>
      </w:tr>
      <w:tr w:rsidR="00C1548D" w14:paraId="70A4D7B4" w14:textId="77777777">
        <w:tblPrEx>
          <w:tblCellMar>
            <w:top w:w="0" w:type="dxa"/>
            <w:bottom w:w="0" w:type="dxa"/>
          </w:tblCellMar>
        </w:tblPrEx>
        <w:trPr>
          <w:cantSplit/>
        </w:trPr>
        <w:tc>
          <w:tcPr>
            <w:tcW w:w="11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1" w14:textId="77777777" w:rsidR="00C1548D" w:rsidRDefault="009B1B4B">
            <w:pPr>
              <w:spacing w:line="250" w:lineRule="auto"/>
            </w:pPr>
            <w:r>
              <w:rPr>
                <w:sz w:val="18"/>
                <w:szCs w:val="18"/>
              </w:rPr>
              <w:t>Waffen, Munition</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2" w14:textId="77777777" w:rsidR="00C1548D" w:rsidRDefault="009B1B4B">
            <w:pPr>
              <w:spacing w:line="250" w:lineRule="auto"/>
            </w:pPr>
            <w:r>
              <w:rPr>
                <w:sz w:val="18"/>
                <w:szCs w:val="18"/>
              </w:rPr>
              <w:t>Nur mit ATF-Formularen und Einfuhrgenehmigung</w:t>
            </w:r>
          </w:p>
        </w:tc>
        <w:tc>
          <w:tcPr>
            <w:tcW w:w="21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3" w14:textId="36891F16" w:rsidR="00C1548D" w:rsidRDefault="009B1B4B">
            <w:pPr>
              <w:spacing w:line="250" w:lineRule="auto"/>
            </w:pPr>
            <w:r>
              <w:rPr>
                <w:sz w:val="18"/>
                <w:szCs w:val="18"/>
              </w:rPr>
              <w:t>Nicht mitschicken (Kapitel </w:t>
            </w:r>
            <w:hyperlink w:anchor="k40" w:history="1">
              <w:r>
                <w:rPr>
                  <w:sz w:val="18"/>
                  <w:szCs w:val="18"/>
                </w:rPr>
                <w:t>40</w:t>
              </w:r>
            </w:hyperlink>
            <w:r>
              <w:rPr>
                <w:sz w:val="18"/>
                <w:szCs w:val="18"/>
              </w:rPr>
              <w:t>)</w:t>
            </w:r>
          </w:p>
        </w:tc>
      </w:tr>
      <w:tr w:rsidR="00C1548D" w14:paraId="70A4D7B8" w14:textId="77777777">
        <w:tblPrEx>
          <w:tblCellMar>
            <w:top w:w="0" w:type="dxa"/>
            <w:bottom w:w="0" w:type="dxa"/>
          </w:tblCellMar>
        </w:tblPrEx>
        <w:trPr>
          <w:cantSplit/>
        </w:trPr>
        <w:tc>
          <w:tcPr>
            <w:tcW w:w="11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5" w14:textId="77777777" w:rsidR="00C1548D" w:rsidRDefault="009B1B4B">
            <w:pPr>
              <w:spacing w:line="250" w:lineRule="auto"/>
            </w:pPr>
            <w:r>
              <w:rPr>
                <w:sz w:val="18"/>
                <w:szCs w:val="18"/>
              </w:rPr>
              <w:t>Alkohol, Tabak</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6" w14:textId="77777777" w:rsidR="00C1548D" w:rsidRDefault="009B1B4B">
            <w:pPr>
              <w:spacing w:line="250" w:lineRule="auto"/>
            </w:pPr>
            <w:r>
              <w:rPr>
                <w:sz w:val="18"/>
                <w:szCs w:val="18"/>
              </w:rPr>
              <w:t>Beschränkt, gesondert zu deklarieren</w:t>
            </w:r>
          </w:p>
        </w:tc>
        <w:tc>
          <w:tcPr>
            <w:tcW w:w="21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7" w14:textId="77777777" w:rsidR="00C1548D" w:rsidRDefault="009B1B4B">
            <w:pPr>
              <w:spacing w:line="250" w:lineRule="auto"/>
            </w:pPr>
            <w:r>
              <w:rPr>
                <w:sz w:val="18"/>
                <w:szCs w:val="18"/>
              </w:rPr>
              <w:t>Nicht mitschicken</w:t>
            </w:r>
          </w:p>
        </w:tc>
      </w:tr>
      <w:tr w:rsidR="00C1548D" w14:paraId="70A4D7BC" w14:textId="77777777">
        <w:tblPrEx>
          <w:tblCellMar>
            <w:top w:w="0" w:type="dxa"/>
            <w:bottom w:w="0" w:type="dxa"/>
          </w:tblCellMar>
        </w:tblPrEx>
        <w:trPr>
          <w:cantSplit/>
        </w:trPr>
        <w:tc>
          <w:tcPr>
            <w:tcW w:w="11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9" w14:textId="77777777" w:rsidR="00C1548D" w:rsidRDefault="009B1B4B">
            <w:pPr>
              <w:spacing w:line="250" w:lineRule="auto"/>
            </w:pPr>
            <w:r>
              <w:rPr>
                <w:sz w:val="18"/>
                <w:szCs w:val="18"/>
              </w:rPr>
              <w:t>Medikamente</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A" w14:textId="77777777" w:rsidR="00C1548D" w:rsidRDefault="009B1B4B">
            <w:pPr>
              <w:spacing w:line="250" w:lineRule="auto"/>
            </w:pPr>
            <w:r>
              <w:rPr>
                <w:sz w:val="18"/>
                <w:szCs w:val="18"/>
              </w:rPr>
              <w:t>Originalverpackung, Rezept, persönliche Menge (Praxisregel etwa 90 Tage); Betäubungsmittel, Cannabis und CBD problematisch</w:t>
            </w:r>
          </w:p>
        </w:tc>
        <w:tc>
          <w:tcPr>
            <w:tcW w:w="21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B" w14:textId="02AA555A" w:rsidR="00C1548D" w:rsidRDefault="009B1B4B">
            <w:pPr>
              <w:spacing w:line="250" w:lineRule="auto"/>
            </w:pPr>
            <w:r>
              <w:rPr>
                <w:sz w:val="18"/>
                <w:szCs w:val="18"/>
              </w:rPr>
              <w:t>Ins Handgepäck (Kapitel </w:t>
            </w:r>
            <w:hyperlink w:anchor="k18" w:history="1">
              <w:r>
                <w:rPr>
                  <w:sz w:val="18"/>
                  <w:szCs w:val="18"/>
                </w:rPr>
                <w:t>18</w:t>
              </w:r>
            </w:hyperlink>
            <w:r>
              <w:rPr>
                <w:sz w:val="18"/>
                <w:szCs w:val="18"/>
              </w:rPr>
              <w:t>)</w:t>
            </w:r>
          </w:p>
        </w:tc>
      </w:tr>
      <w:tr w:rsidR="00C1548D" w14:paraId="70A4D7C0" w14:textId="77777777">
        <w:tblPrEx>
          <w:tblCellMar>
            <w:top w:w="0" w:type="dxa"/>
            <w:bottom w:w="0" w:type="dxa"/>
          </w:tblCellMar>
        </w:tblPrEx>
        <w:trPr>
          <w:cantSplit/>
        </w:trPr>
        <w:tc>
          <w:tcPr>
            <w:tcW w:w="11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D" w14:textId="77777777" w:rsidR="00C1548D" w:rsidRDefault="009B1B4B">
            <w:pPr>
              <w:spacing w:line="250" w:lineRule="auto"/>
            </w:pPr>
            <w:r>
              <w:rPr>
                <w:sz w:val="18"/>
                <w:szCs w:val="18"/>
              </w:rPr>
              <w:t>Fälschungen</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E" w14:textId="77777777" w:rsidR="00C1548D" w:rsidRDefault="009B1B4B">
            <w:pPr>
              <w:spacing w:line="250" w:lineRule="auto"/>
            </w:pPr>
            <w:r>
              <w:rPr>
                <w:sz w:val="18"/>
                <w:szCs w:val="18"/>
              </w:rPr>
              <w:t>Verboten</w:t>
            </w:r>
          </w:p>
        </w:tc>
        <w:tc>
          <w:tcPr>
            <w:tcW w:w="21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BF" w14:textId="77777777" w:rsidR="00C1548D" w:rsidRDefault="009B1B4B">
            <w:pPr>
              <w:spacing w:line="250" w:lineRule="auto"/>
            </w:pPr>
            <w:r>
              <w:rPr>
                <w:sz w:val="18"/>
                <w:szCs w:val="18"/>
              </w:rPr>
              <w:t>Aussortieren</w:t>
            </w:r>
          </w:p>
        </w:tc>
      </w:tr>
    </w:tbl>
    <w:p w14:paraId="70A4D7C1"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C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7C2" w14:textId="77777777" w:rsidR="00C1548D" w:rsidRDefault="009B1B4B">
            <w:pPr>
              <w:keepNext/>
              <w:spacing w:after="70" w:line="240" w:lineRule="auto"/>
            </w:pPr>
            <w:r>
              <w:rPr>
                <w:b/>
                <w:bCs/>
                <w:color w:val="9B2C2C"/>
                <w:spacing w:val="24"/>
                <w:sz w:val="16"/>
                <w:szCs w:val="16"/>
              </w:rPr>
              <w:t>ACHTUNG</w:t>
            </w:r>
          </w:p>
          <w:p w14:paraId="70A4D7C3" w14:textId="77777777" w:rsidR="00C1548D" w:rsidRDefault="009B1B4B">
            <w:pPr>
              <w:spacing w:after="80" w:line="264" w:lineRule="auto"/>
            </w:pPr>
            <w:r>
              <w:rPr>
                <w:sz w:val="20"/>
                <w:szCs w:val="20"/>
              </w:rPr>
              <w:t>Vorratsschrank und Balkonkübel sind der klassische Anfängerfehler. Räume beides aus, bevor der Packer kommt, und deklariere Zweifelsfälle im Inventar, statt sie zu verschweigen.</w:t>
            </w:r>
          </w:p>
        </w:tc>
      </w:tr>
    </w:tbl>
    <w:p w14:paraId="70A4D7C5" w14:textId="77777777" w:rsidR="00C1548D" w:rsidRDefault="00C1548D">
      <w:pPr>
        <w:spacing w:line="220" w:lineRule="exact"/>
      </w:pPr>
    </w:p>
    <w:p w14:paraId="70A4D7C6" w14:textId="77777777" w:rsidR="00C1548D" w:rsidRDefault="009B1B4B">
      <w:pPr>
        <w:pStyle w:val="Heading3"/>
        <w:keepNext/>
        <w:jc w:val="center"/>
      </w:pPr>
      <w:r>
        <w:rPr>
          <w:rFonts w:ascii="Amazon Ember" w:eastAsia="Amazon Ember" w:hAnsi="Amazon Ember" w:cs="Amazon Ember"/>
          <w:color w:val="0000FF"/>
          <w:sz w:val="36"/>
          <w:szCs w:val="36"/>
        </w:rPr>
        <w:t>Ausfuhr aus Deutschland</w:t>
      </w:r>
    </w:p>
    <w:p w14:paraId="70A4D7C7" w14:textId="77777777" w:rsidR="00C1548D" w:rsidRDefault="009B1B4B">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w14:paraId="70A4D7C8" w14:textId="17773638" w:rsidR="00C1548D" w:rsidRDefault="009B1B4B">
      <w:pPr>
        <w:spacing w:after="140"/>
      </w:pPr>
      <w:r>
        <w:t xml:space="preserve">Bargeld und gleichgestellte Zahlungsmittel ab 10.000 € musst du bei der Ausreise in ein Nicht-EU-Land beim Zoll anmelden (EU-Verordnung 2018/1672). In den USA gilt ab mehr als 10.000 $ die Anmeldung mit </w:t>
      </w:r>
      <w:r>
        <w:rPr>
          <w:i/>
          <w:iCs/>
        </w:rPr>
        <w:t>FinCEN Form 105</w:t>
      </w:r>
      <w:r>
        <w:t xml:space="preserve"> (Meldung an das Finanzministerium) bei Ein- und Ausreise. Die Anmeldung ist legal, die Nichtanmeldung kann zu Beschlagnahme und Strafe führen. Aktuelle deutsche Regeln stehen auf zoll.de, Abmeldung und Kündigungen in Kapitel </w:t>
      </w:r>
      <w:hyperlink w:anchor="k16" w:history="1">
        <w:r>
          <w:t>16</w:t>
        </w:r>
      </w:hyperlink>
      <w:r>
        <w:t>.</w:t>
      </w:r>
    </w:p>
    <w:p w14:paraId="70A4D7C9" w14:textId="77777777" w:rsidR="00C1548D" w:rsidRDefault="009B1B4B">
      <w:pPr>
        <w:pStyle w:val="Heading3"/>
        <w:keepNext/>
        <w:jc w:val="center"/>
      </w:pPr>
      <w:r>
        <w:rPr>
          <w:rFonts w:ascii="Amazon Ember" w:eastAsia="Amazon Ember" w:hAnsi="Amazon Ember" w:cs="Amazon Ember"/>
          <w:color w:val="0000FF"/>
          <w:sz w:val="36"/>
          <w:szCs w:val="36"/>
        </w:rPr>
        <w:lastRenderedPageBreak/>
        <w:t>Das Relocation-Paket: steuerpflichtig und verhandelbar</w:t>
      </w:r>
    </w:p>
    <w:p w14:paraId="70A4D7CA" w14:textId="77777777" w:rsidR="00C1548D" w:rsidRDefault="009B1B4B">
      <w:pPr>
        <w:spacing w:after="140"/>
      </w:pPr>
      <w:r>
        <w:t>Arbeitgeber beteiligen sich in drei Formen an den Umzugskosten: die Pauschale (</w:t>
      </w:r>
      <w:r>
        <w:rPr>
          <w:i/>
          <w:iCs/>
        </w:rPr>
        <w:t>Lump Sum</w:t>
      </w:r>
      <w:r>
        <w:t>), ein fester Bruttobetrag, mit dem du den Umzug selbst organisierst; die Kostenerstattung gegen Belege bis zu einer Obergrenze (</w:t>
      </w:r>
      <w:r>
        <w:rPr>
          <w:i/>
          <w:iCs/>
        </w:rPr>
        <w:t>Cap</w:t>
      </w:r>
      <w:r>
        <w:t>); und der gemanagte Umzug (</w:t>
      </w:r>
      <w:r>
        <w:rPr>
          <w:i/>
          <w:iCs/>
        </w:rPr>
        <w:t>Managed Relocation</w:t>
      </w:r>
      <w:r>
        <w:t>), bei dem der Arbeitgeber einen Dienstleister beauftragt und direkt bezahlt.</w:t>
      </w:r>
    </w:p>
    <w:p w14:paraId="70A4D7CB" w14:textId="77777777" w:rsidR="00C1548D" w:rsidRDefault="009B1B4B">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w14:paraId="70A4D7CC" w14:textId="77777777" w:rsidR="00C1548D" w:rsidRDefault="009B1B4B">
      <w:pPr>
        <w:spacing w:after="140"/>
      </w:pPr>
      <w:r>
        <w:t xml:space="preserve">Der entscheidende Punkt: In den USA ist die Umzugskostenerstattung des Arbeitgebers steuerpflichtiger Lohn und erscheint im </w:t>
      </w:r>
      <w:r>
        <w:rPr>
          <w:i/>
          <w:iCs/>
        </w:rPr>
        <w:t>Form W-2</w:t>
      </w:r>
      <w:r>
        <w:t>, der jährlichen Lohnsteuerbescheinigung. Früher konnten Beschäftigte Umzugskosten unter Bedingungen absetzen, und Arbeitgeberzahlungen blieben steuerfrei; beides ist seit 2018 ausgesetzt. Das Steuergesetz vom 4. Juli 2025 (</w:t>
      </w:r>
      <w:r>
        <w:rPr>
          <w:i/>
          <w:iCs/>
        </w:rPr>
        <w:t>One Big Beautiful Bill Act</w:t>
      </w:r>
      <w:r>
        <w:t>, OBBBA, Public Law 119-21, § 70113) hat die Aussetzung dauerhaft gemacht. Ausnahmen gelten nur für aktive Militärangehörige mit Versetzungsbefehl und für Beschäftigte der Nachrichtendienste.</w:t>
      </w:r>
    </w:p>
    <w:p w14:paraId="70A4D7CD" w14:textId="4B8EF848" w:rsidR="00C1548D" w:rsidRDefault="009B1B4B">
      <w:pPr>
        <w:spacing w:after="140"/>
      </w:pPr>
      <w:r>
        <w:t>Auch bei Direktabrechnung zählt der bezahlte Rechnungsbetrag als Lohn, und eigene Umzugskosten kannst du nicht absetzen. Das ist ein Kontrast zu Deutschland, wo beruflich bedingte Umzugskosten steuerlich berücksichtigt werden können. Ob einzelne Bundesstaaten abweichen, ist nicht geprüft (US-Steuern: Kapitel </w:t>
      </w:r>
      <w:hyperlink w:anchor="k28" w:history="1">
        <w:r>
          <w:t>28</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D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7CE" w14:textId="77777777" w:rsidR="00C1548D" w:rsidRDefault="009B1B4B">
            <w:pPr>
              <w:keepNext/>
              <w:spacing w:after="70" w:line="240" w:lineRule="auto"/>
            </w:pPr>
            <w:r>
              <w:rPr>
                <w:b/>
                <w:bCs/>
                <w:color w:val="9B2C2C"/>
                <w:spacing w:val="24"/>
                <w:sz w:val="16"/>
                <w:szCs w:val="16"/>
              </w:rPr>
              <w:lastRenderedPageBreak/>
              <w:t>ACHTUNG</w:t>
            </w:r>
          </w:p>
          <w:p w14:paraId="70A4D7CF" w14:textId="77777777" w:rsidR="00C1548D" w:rsidRDefault="009B1B4B">
            <w:pPr>
              <w:spacing w:after="80" w:line="264" w:lineRule="auto"/>
            </w:pPr>
            <w:r>
              <w:rPr>
                <w:sz w:val="20"/>
                <w:szCs w:val="20"/>
              </w:rPr>
              <w:t>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tc>
      </w:tr>
    </w:tbl>
    <w:p w14:paraId="70A4D7D1" w14:textId="77777777" w:rsidR="00C1548D" w:rsidRDefault="00C1548D">
      <w:pPr>
        <w:spacing w:line="220" w:lineRule="exact"/>
      </w:pPr>
    </w:p>
    <w:p w14:paraId="70A4D7D2" w14:textId="77777777" w:rsidR="00C1548D" w:rsidRDefault="009B1B4B">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85"/>
        <w:gridCol w:w="1335"/>
        <w:gridCol w:w="2860"/>
      </w:tblGrid>
      <w:tr w:rsidR="00C1548D" w14:paraId="70A4D7D6" w14:textId="77777777">
        <w:tblPrEx>
          <w:tblCellMar>
            <w:top w:w="0" w:type="dxa"/>
            <w:bottom w:w="0" w:type="dxa"/>
          </w:tblCellMar>
        </w:tblPrEx>
        <w:trPr>
          <w:cantSplit/>
          <w:tblHeader/>
        </w:trPr>
        <w:tc>
          <w:tcPr>
            <w:tcW w:w="22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D3" w14:textId="77777777" w:rsidR="00C1548D" w:rsidRDefault="009B1B4B">
            <w:pPr>
              <w:spacing w:line="250" w:lineRule="auto"/>
            </w:pPr>
            <w:r>
              <w:rPr>
                <w:b/>
                <w:bCs/>
                <w:sz w:val="18"/>
                <w:szCs w:val="18"/>
              </w:rPr>
              <w:t>Angenommener Grenzsteuersatz</w:t>
            </w:r>
          </w:p>
        </w:tc>
        <w:tc>
          <w:tcPr>
            <w:tcW w:w="133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D4" w14:textId="77777777" w:rsidR="00C1548D" w:rsidRDefault="009B1B4B">
            <w:pPr>
              <w:spacing w:line="250" w:lineRule="auto"/>
            </w:pPr>
            <w:r>
              <w:rPr>
                <w:b/>
                <w:bCs/>
                <w:sz w:val="18"/>
                <w:szCs w:val="18"/>
              </w:rPr>
              <w:t>Aufschlag</w:t>
            </w:r>
          </w:p>
        </w:tc>
        <w:tc>
          <w:tcPr>
            <w:tcW w:w="28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7D5" w14:textId="77777777" w:rsidR="00C1548D" w:rsidRDefault="009B1B4B">
            <w:pPr>
              <w:spacing w:line="250" w:lineRule="auto"/>
            </w:pPr>
            <w:r>
              <w:rPr>
                <w:b/>
                <w:bCs/>
                <w:sz w:val="18"/>
                <w:szCs w:val="18"/>
              </w:rPr>
              <w:t>Für 10.000 $ netto nötig</w:t>
            </w:r>
          </w:p>
        </w:tc>
      </w:tr>
      <w:tr w:rsidR="00C1548D" w14:paraId="70A4D7DA" w14:textId="77777777">
        <w:tblPrEx>
          <w:tblCellMar>
            <w:top w:w="0" w:type="dxa"/>
            <w:bottom w:w="0" w:type="dxa"/>
          </w:tblCellMar>
        </w:tblPrEx>
        <w:trPr>
          <w:cantSplit/>
        </w:trPr>
        <w:tc>
          <w:tcPr>
            <w:tcW w:w="22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D7" w14:textId="77777777" w:rsidR="00C1548D" w:rsidRDefault="009B1B4B">
            <w:pPr>
              <w:spacing w:line="250" w:lineRule="auto"/>
            </w:pPr>
            <w:r>
              <w:rPr>
                <w:sz w:val="18"/>
                <w:szCs w:val="18"/>
              </w:rPr>
              <w:t>25 %</w:t>
            </w:r>
          </w:p>
        </w:tc>
        <w:tc>
          <w:tcPr>
            <w:tcW w:w="13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D8" w14:textId="77777777" w:rsidR="00C1548D" w:rsidRDefault="009B1B4B">
            <w:pPr>
              <w:spacing w:line="250" w:lineRule="auto"/>
            </w:pPr>
            <w:r>
              <w:rPr>
                <w:sz w:val="18"/>
                <w:szCs w:val="18"/>
              </w:rPr>
              <w:t>+33 %</w:t>
            </w:r>
          </w:p>
        </w:tc>
        <w:tc>
          <w:tcPr>
            <w:tcW w:w="2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D9" w14:textId="77777777" w:rsidR="00C1548D" w:rsidRDefault="009B1B4B">
            <w:pPr>
              <w:spacing w:line="250" w:lineRule="auto"/>
            </w:pPr>
            <w:r>
              <w:rPr>
                <w:sz w:val="18"/>
                <w:szCs w:val="18"/>
              </w:rPr>
              <w:t>13.333 $ brutto</w:t>
            </w:r>
          </w:p>
        </w:tc>
      </w:tr>
      <w:tr w:rsidR="00C1548D" w14:paraId="70A4D7DE" w14:textId="77777777">
        <w:tblPrEx>
          <w:tblCellMar>
            <w:top w:w="0" w:type="dxa"/>
            <w:bottom w:w="0" w:type="dxa"/>
          </w:tblCellMar>
        </w:tblPrEx>
        <w:trPr>
          <w:cantSplit/>
        </w:trPr>
        <w:tc>
          <w:tcPr>
            <w:tcW w:w="22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DB" w14:textId="77777777" w:rsidR="00C1548D" w:rsidRDefault="009B1B4B">
            <w:pPr>
              <w:spacing w:line="250" w:lineRule="auto"/>
            </w:pPr>
            <w:r>
              <w:rPr>
                <w:sz w:val="18"/>
                <w:szCs w:val="18"/>
              </w:rPr>
              <w:t>30 %</w:t>
            </w:r>
          </w:p>
        </w:tc>
        <w:tc>
          <w:tcPr>
            <w:tcW w:w="13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DC" w14:textId="77777777" w:rsidR="00C1548D" w:rsidRDefault="009B1B4B">
            <w:pPr>
              <w:spacing w:line="250" w:lineRule="auto"/>
            </w:pPr>
            <w:r>
              <w:rPr>
                <w:sz w:val="18"/>
                <w:szCs w:val="18"/>
              </w:rPr>
              <w:t>+43 %</w:t>
            </w:r>
          </w:p>
        </w:tc>
        <w:tc>
          <w:tcPr>
            <w:tcW w:w="2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DD" w14:textId="77777777" w:rsidR="00C1548D" w:rsidRDefault="009B1B4B">
            <w:pPr>
              <w:spacing w:line="250" w:lineRule="auto"/>
            </w:pPr>
            <w:r>
              <w:rPr>
                <w:sz w:val="18"/>
                <w:szCs w:val="18"/>
              </w:rPr>
              <w:t>14.286 $ brutto</w:t>
            </w:r>
          </w:p>
        </w:tc>
      </w:tr>
      <w:tr w:rsidR="00C1548D" w14:paraId="70A4D7E2" w14:textId="77777777">
        <w:tblPrEx>
          <w:tblCellMar>
            <w:top w:w="0" w:type="dxa"/>
            <w:bottom w:w="0" w:type="dxa"/>
          </w:tblCellMar>
        </w:tblPrEx>
        <w:trPr>
          <w:cantSplit/>
        </w:trPr>
        <w:tc>
          <w:tcPr>
            <w:tcW w:w="22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DF" w14:textId="77777777" w:rsidR="00C1548D" w:rsidRDefault="009B1B4B">
            <w:pPr>
              <w:spacing w:line="250" w:lineRule="auto"/>
            </w:pPr>
            <w:r>
              <w:rPr>
                <w:sz w:val="18"/>
                <w:szCs w:val="18"/>
              </w:rPr>
              <w:t>35 %</w:t>
            </w:r>
          </w:p>
        </w:tc>
        <w:tc>
          <w:tcPr>
            <w:tcW w:w="13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E0" w14:textId="77777777" w:rsidR="00C1548D" w:rsidRDefault="009B1B4B">
            <w:pPr>
              <w:spacing w:line="250" w:lineRule="auto"/>
            </w:pPr>
            <w:r>
              <w:rPr>
                <w:sz w:val="18"/>
                <w:szCs w:val="18"/>
              </w:rPr>
              <w:t>+54 %</w:t>
            </w:r>
          </w:p>
        </w:tc>
        <w:tc>
          <w:tcPr>
            <w:tcW w:w="2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7E1" w14:textId="77777777" w:rsidR="00C1548D" w:rsidRDefault="009B1B4B">
            <w:pPr>
              <w:spacing w:line="250" w:lineRule="auto"/>
            </w:pPr>
            <w:r>
              <w:rPr>
                <w:sz w:val="18"/>
                <w:szCs w:val="18"/>
              </w:rPr>
              <w:t>15.385 $ brutto</w:t>
            </w:r>
          </w:p>
        </w:tc>
      </w:tr>
    </w:tbl>
    <w:p w14:paraId="70A4D7E3" w14:textId="77777777" w:rsidR="00C1548D" w:rsidRDefault="00C1548D">
      <w:pPr>
        <w:spacing w:line="180" w:lineRule="exact"/>
      </w:pPr>
    </w:p>
    <w:p w14:paraId="70A4D7E4" w14:textId="5DA193D1" w:rsidR="00C1548D" w:rsidRDefault="009B1B4B">
      <w:pPr>
        <w:spacing w:after="140"/>
      </w:pPr>
      <w:r>
        <w:t>Die Sätze sind Rechenbeispiele; dein tatsächlicher Satz hängt von Einkommen, Bundesstaat und Veranlagung ab. Verhandelt wird vor der Unterschrift des Angebotsschreibens (</w:t>
      </w:r>
      <w:r>
        <w:rPr>
          <w:i/>
          <w:iCs/>
        </w:rPr>
        <w:t>Offer Letter</w:t>
      </w:r>
      <w:r>
        <w:t>), danach ist dein Spielraum klein. Die vollständige Verhandlungsliste steht in Kapitel </w:t>
      </w:r>
      <w:hyperlink w:anchor="k3" w:history="1">
        <w:r>
          <w:t>3</w:t>
        </w:r>
      </w:hyperlink>
      <w:r>
        <w:t>; für den Umzug gehören diese Punkte darauf:</w:t>
      </w:r>
    </w:p>
    <w:p w14:paraId="70A4D7E5" w14:textId="77777777" w:rsidR="00C1548D" w:rsidRDefault="009B1B4B" w:rsidP="009B1B4B">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w14:paraId="70A4D7E6" w14:textId="77777777" w:rsidR="00C1548D" w:rsidRDefault="009B1B4B" w:rsidP="009B1B4B">
      <w:pPr>
        <w:pStyle w:val="ListParagraph"/>
        <w:numPr>
          <w:ilvl w:val="0"/>
          <w:numId w:val="1"/>
        </w:numPr>
        <w:spacing w:after="60"/>
      </w:pPr>
      <w:r>
        <w:rPr>
          <w:b/>
          <w:bCs/>
        </w:rPr>
        <w:t>Form:</w:t>
      </w:r>
      <w:r>
        <w:t xml:space="preserve"> Eine Pauschale lässt dir Spielraum (was du nicht ausgibst, bleibt dir, versteuert), die Direktabrechnung entlastet dein Konto.</w:t>
      </w:r>
    </w:p>
    <w:p w14:paraId="70A4D7E7" w14:textId="037C950F" w:rsidR="00C1548D" w:rsidRDefault="009B1B4B" w:rsidP="009B1B4B">
      <w:pPr>
        <w:pStyle w:val="ListParagraph"/>
        <w:numPr>
          <w:ilvl w:val="0"/>
          <w:numId w:val="1"/>
        </w:numPr>
        <w:spacing w:after="60"/>
      </w:pPr>
      <w:r>
        <w:rPr>
          <w:b/>
          <w:bCs/>
        </w:rPr>
        <w:t>Umfang:</w:t>
      </w:r>
      <w:r>
        <w:t xml:space="preserve"> Sammelladung oder Container, Flüge für die ganze Familie, 30 bis 60 Tage möbliertes Wohnen (Kapitel </w:t>
      </w:r>
      <w:hyperlink w:anchor="k13" w:history="1">
        <w:r>
          <w:t>13</w:t>
        </w:r>
      </w:hyperlink>
      <w:r>
        <w:t>), Lagerung, Mietwagen.</w:t>
      </w:r>
    </w:p>
    <w:p w14:paraId="70A4D7E8" w14:textId="77777777" w:rsidR="00C1548D" w:rsidRDefault="009B1B4B" w:rsidP="009B1B4B">
      <w:pPr>
        <w:pStyle w:val="ListParagraph"/>
        <w:numPr>
          <w:ilvl w:val="0"/>
          <w:numId w:val="1"/>
        </w:numPr>
        <w:spacing w:after="60"/>
      </w:pPr>
      <w:r>
        <w:rPr>
          <w:b/>
          <w:bCs/>
        </w:rPr>
        <w:lastRenderedPageBreak/>
        <w:t>Zahlungszeitpunkt:</w:t>
      </w:r>
      <w:r>
        <w:t xml:space="preserve"> Das Geld fließt oft erst mit der ersten Gehaltsabrechnung, die Spedition will es früher. Verhandle einen Vorschuss oder die Direktabrechnung.</w:t>
      </w:r>
    </w:p>
    <w:p w14:paraId="70A4D7E9" w14:textId="0A3F528E" w:rsidR="00C1548D" w:rsidRDefault="009B1B4B" w:rsidP="009B1B4B">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Kapitel </w:t>
      </w:r>
      <w:hyperlink w:anchor="k29" w:history="1">
        <w:r>
          <w:t>29</w:t>
        </w:r>
      </w:hyperlink>
      <w:r>
        <w:t>) und danach, ob brutto oder netto zurückzuzahlen ist.</w:t>
      </w:r>
    </w:p>
    <w:p w14:paraId="70A4D7EA"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E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7EB" w14:textId="77777777" w:rsidR="00C1548D" w:rsidRDefault="009B1B4B">
            <w:pPr>
              <w:keepNext/>
              <w:spacing w:after="70" w:line="240" w:lineRule="auto"/>
            </w:pPr>
            <w:r>
              <w:rPr>
                <w:b/>
                <w:bCs/>
                <w:color w:val="9B2C2C"/>
                <w:spacing w:val="24"/>
                <w:sz w:val="16"/>
                <w:szCs w:val="16"/>
              </w:rPr>
              <w:t>ACHTUNG</w:t>
            </w:r>
          </w:p>
          <w:p w14:paraId="70A4D7EC" w14:textId="7DCD873F" w:rsidR="00C1548D" w:rsidRDefault="009B1B4B">
            <w:pPr>
              <w:spacing w:after="80" w:line="264" w:lineRule="auto"/>
            </w:pPr>
            <w:r>
              <w:rPr>
                <w:sz w:val="20"/>
                <w:szCs w:val="20"/>
              </w:rPr>
              <w:t>Vorfinanzierung und Klausel zusammen sind gefährlich. Kündigt der Arbeitgeber oder du selbst binnen der Frist, kann er zurückfordern, was längst ausgegeben ist. Halte einen Puffer auf dem US-Konto bereit, bevor der Container eintrifft (Kapitel </w:t>
            </w:r>
            <w:hyperlink w:anchor="k25" w:history="1">
              <w:r>
                <w:rPr>
                  <w:sz w:val="20"/>
                  <w:szCs w:val="20"/>
                </w:rPr>
                <w:t>25</w:t>
              </w:r>
            </w:hyperlink>
            <w:r>
              <w:rPr>
                <w:sz w:val="20"/>
                <w:szCs w:val="20"/>
              </w:rPr>
              <w:t>).</w:t>
            </w:r>
          </w:p>
        </w:tc>
      </w:tr>
    </w:tbl>
    <w:p w14:paraId="70A4D7EE"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F1"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7EF" w14:textId="77777777" w:rsidR="00C1548D" w:rsidRDefault="009B1B4B">
            <w:pPr>
              <w:keepNext/>
              <w:spacing w:after="70" w:line="240" w:lineRule="auto"/>
            </w:pPr>
            <w:r>
              <w:rPr>
                <w:b/>
                <w:bCs/>
                <w:color w:val="4A5568"/>
                <w:spacing w:val="24"/>
                <w:sz w:val="16"/>
                <w:szCs w:val="16"/>
              </w:rPr>
              <w:t>PRAXISBEISPIEL · FIKTIV</w:t>
            </w:r>
          </w:p>
          <w:p w14:paraId="70A4D7F0" w14:textId="77777777" w:rsidR="00C1548D" w:rsidRDefault="009B1B4B">
            <w:pPr>
              <w:spacing w:after="80" w:line="264" w:lineRule="auto"/>
            </w:pPr>
            <w:r>
              <w:rPr>
                <w:sz w:val="20"/>
                <w:szCs w:val="20"/>
              </w:rPr>
              <w:t>Familie Brandt (fiktiv) sortiert ihren Haushalt für Michigan auf 14 m³ aus: Kleidung, Bücher, Spielzeug, Küchenutensilien, Fahrräder. Drei Festpreise für die Sammelladung: 3.700 € (ohne Zustellung und Zollagent), 4.400 € und 4.900 € (beide bis zur Haustür). Sie nehmen 4.400 €, zum Kurs vom September 2026 rund 5.060 $. Der Arbeitgeber bietet 12.000 $ brutto; bei angenommenen 30 % Abzügen bleiben 8.400 $, nach der Spedition gut 3.300 $ für Flüge, Übergangswohnung und Mietwagen. Im Gespräch mit der Personalabt</w:t>
            </w:r>
            <w:r>
              <w:rPr>
                <w:sz w:val="20"/>
                <w:szCs w:val="20"/>
              </w:rPr>
              <w:t>eilung stellt Markus vor der Unterschrift nur eine Frage: „Ist das brutto oder netto?“ – und bittet um ein Gross-up auf 10.000 $ netto. Der Arbeitgeber zahlt dann 14.286 $ brutto, 2.286 $ mehr als zuerst, und die Familie hat 1.600 $ mehr netto. Die Rückzahlungsklausel soll nur anteilig gelten.</w:t>
            </w:r>
          </w:p>
        </w:tc>
      </w:tr>
    </w:tbl>
    <w:p w14:paraId="70A4D7F2" w14:textId="77777777" w:rsidR="00C1548D" w:rsidRDefault="00C1548D">
      <w:pPr>
        <w:spacing w:line="220" w:lineRule="exact"/>
      </w:pPr>
    </w:p>
    <w:p w14:paraId="70A4D7F3" w14:textId="77777777" w:rsidR="00C1548D" w:rsidRDefault="009B1B4B">
      <w:pPr>
        <w:pStyle w:val="Heading3"/>
        <w:keepNext/>
        <w:jc w:val="center"/>
      </w:pPr>
      <w:r>
        <w:rPr>
          <w:rFonts w:ascii="Amazon Ember" w:eastAsia="Amazon Ember" w:hAnsi="Amazon Ember" w:cs="Amazon Ember"/>
          <w:color w:val="0000FF"/>
          <w:sz w:val="36"/>
          <w:szCs w:val="36"/>
        </w:rPr>
        <w:t>Lagerung und die Zeit ohne Möbel</w:t>
      </w:r>
    </w:p>
    <w:p w14:paraId="70A4D7F4" w14:textId="77777777" w:rsidR="00C1548D" w:rsidRDefault="009B1B4B">
      <w:pPr>
        <w:spacing w:after="140"/>
      </w:pPr>
      <w:r>
        <w:t>Per Schiff kommt dein Hausrat Wochen nach dir an, und manchmal steht er vor der Tür, bevor die Wohnung bezugsfertig ist. Beides musst du überbrücken.</w:t>
      </w:r>
    </w:p>
    <w:p w14:paraId="70A4D7F5" w14:textId="4DC1637A" w:rsidR="00C1548D" w:rsidRDefault="009B1B4B">
      <w:pPr>
        <w:spacing w:after="140"/>
      </w:pPr>
      <w:r>
        <w:rPr>
          <w:b/>
          <w:bCs/>
        </w:rPr>
        <w:lastRenderedPageBreak/>
        <w:t>Ohne Möbel</w:t>
      </w:r>
      <w:r>
        <w:t xml:space="preserve"> hast du drei Wege. Du wohnst möbliert auf Zeit (</w:t>
      </w:r>
      <w:r>
        <w:rPr>
          <w:i/>
          <w:iCs/>
        </w:rPr>
        <w:t>Corporate Housing</w:t>
      </w:r>
      <w:r>
        <w:t>, Extended-Stay-Hotel, möblierte Monatsmiete); eine 1BR kostet nach Anbieterangaben rund 3.300 $ im Monat (Kapitel </w:t>
      </w:r>
      <w:hyperlink w:anchor="k13" w:history="1">
        <w:r>
          <w:t>13</w:t>
        </w:r>
      </w:hyperlink>
      <w:r>
        <w:t>). Oder du mietest unmöbliert und kaufst das Nötigste: Matratze, Bettwäsche, Handtücher und Geschirr bei IKEA, Target, Costco oder Amazon, gebraucht über Facebook Marketplace, Goodwill oder Habitat ReStore (Kapitel </w:t>
      </w:r>
      <w:hyperlink w:anchor="k21" w:history="1">
        <w:r>
          <w:t>21</w:t>
        </w:r>
      </w:hyperlink>
      <w:r>
        <w:t>). Oder du kombinierst: das Nötigste als Paket oder Luftfracht, den Rest per Schiff. Was ins Handgepäck gehört, steht in Kapitel </w:t>
      </w:r>
      <w:hyperlink w:anchor="k23" w:history="1">
        <w:r>
          <w:t>23</w:t>
        </w:r>
      </w:hyperlink>
      <w:r>
        <w:t>.</w:t>
      </w:r>
    </w:p>
    <w:p w14:paraId="70A4D7F6" w14:textId="77777777" w:rsidR="00C1548D" w:rsidRDefault="009B1B4B">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w14:paraId="70A4D7F7" w14:textId="1F9EAD1C" w:rsidR="00C1548D" w:rsidRDefault="009B1B4B">
      <w:pPr>
        <w:spacing w:after="140"/>
      </w:pPr>
      <w:r>
        <w:rPr>
          <w:b/>
          <w:bCs/>
        </w:rPr>
        <w:t>Lagerung in Deutschland:</w:t>
      </w:r>
      <w:r>
        <w:t xml:space="preserve"> Wer nur zwei bis drei Jahre bleiben will (</w:t>
      </w:r>
      <w:r>
        <w:t>Kapitel </w:t>
      </w:r>
      <w:hyperlink w:anchor="k3" w:history="1">
        <w:r>
          <w:t>3</w:t>
        </w:r>
      </w:hyperlink>
      <w:r>
        <w:t>) oder Erbstücke behalten möchte, lagert dort ein; die Preise schwanken regional, hole Angebote ein. Zum Rückumzug siehe Kapitel </w:t>
      </w:r>
      <w:hyperlink w:anchor="k42" w:history="1">
        <w:r>
          <w:t>42</w:t>
        </w:r>
      </w:hyperlink>
      <w:r>
        <w:t>.</w:t>
      </w:r>
    </w:p>
    <w:p w14:paraId="70A4D7F8" w14:textId="77777777" w:rsidR="00C1548D" w:rsidRDefault="009B1B4B">
      <w:pPr>
        <w:pStyle w:val="Heading3"/>
        <w:keepNext/>
        <w:jc w:val="center"/>
      </w:pPr>
      <w:r>
        <w:rPr>
          <w:rFonts w:ascii="Amazon Ember" w:eastAsia="Amazon Ember" w:hAnsi="Amazon Ember" w:cs="Amazon Ember"/>
          <w:color w:val="0000FF"/>
          <w:sz w:val="36"/>
          <w:szCs w:val="36"/>
        </w:rPr>
        <w:t>So sparst du</w:t>
      </w:r>
    </w:p>
    <w:p w14:paraId="70A4D7F9" w14:textId="77777777" w:rsidR="00C1548D" w:rsidRDefault="009B1B4B">
      <w:pPr>
        <w:spacing w:after="140"/>
      </w:pPr>
      <w:r>
        <w:t>Vier Hebel bringen das meiste.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7FC"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7FA" w14:textId="77777777" w:rsidR="00C1548D" w:rsidRDefault="009B1B4B">
            <w:pPr>
              <w:keepNext/>
              <w:spacing w:after="70" w:line="240" w:lineRule="auto"/>
            </w:pPr>
            <w:r>
              <w:rPr>
                <w:b/>
                <w:bCs/>
                <w:color w:val="2F6B3B"/>
                <w:spacing w:val="24"/>
                <w:sz w:val="16"/>
                <w:szCs w:val="16"/>
              </w:rPr>
              <w:t>SPARTIPP</w:t>
            </w:r>
          </w:p>
          <w:p w14:paraId="70A4D7FB" w14:textId="77777777" w:rsidR="00C1548D" w:rsidRDefault="009B1B4B">
            <w:pPr>
              <w:spacing w:after="80" w:line="264" w:lineRule="auto"/>
            </w:pPr>
            <w:r>
              <w:rPr>
                <w:sz w:val="20"/>
                <w:szCs w:val="20"/>
              </w:rPr>
              <w:t>Volumen senken. Jeder Kubikmeter Sammelladung kostet rund 250–300 €. Wer von 14 auf 10 m³ reduziert, spart grob 1.000–1.200 €. Verkaufe oder verschenke Sperriges und kaufe es in den USA gebraucht.</w:t>
            </w:r>
          </w:p>
        </w:tc>
      </w:tr>
    </w:tbl>
    <w:p w14:paraId="70A4D7FD"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00"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7FE" w14:textId="77777777" w:rsidR="00C1548D" w:rsidRDefault="009B1B4B">
            <w:pPr>
              <w:keepNext/>
              <w:spacing w:after="70" w:line="240" w:lineRule="auto"/>
            </w:pPr>
            <w:r>
              <w:rPr>
                <w:b/>
                <w:bCs/>
                <w:color w:val="2F6B3B"/>
                <w:spacing w:val="24"/>
                <w:sz w:val="16"/>
                <w:szCs w:val="16"/>
              </w:rPr>
              <w:lastRenderedPageBreak/>
              <w:t>SPARTIPP</w:t>
            </w:r>
          </w:p>
          <w:p w14:paraId="70A4D7FF" w14:textId="77777777" w:rsidR="00C1548D" w:rsidRDefault="009B1B4B">
            <w:pPr>
              <w:spacing w:after="80" w:line="264" w:lineRule="auto"/>
            </w:pPr>
            <w:r>
              <w:rPr>
                <w:sz w:val="20"/>
                <w:szCs w:val="20"/>
              </w:rPr>
              <w:t>Saison und Hafen beachten. Von Mai bis September ist der US-Umzugsmarkt ausgelastet; frage bei jedem Angebot nach dem Preisunterschied zu einem Termin außerhalb der Hochsaison. Ist dein Ziel von beiden Küsten aus erreichbar, vergleiche die Häfen: Die Ostküste ist meist günstiger und schneller.</w:t>
            </w:r>
          </w:p>
        </w:tc>
      </w:tr>
    </w:tbl>
    <w:p w14:paraId="70A4D801"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04"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802" w14:textId="77777777" w:rsidR="00C1548D" w:rsidRDefault="009B1B4B">
            <w:pPr>
              <w:keepNext/>
              <w:spacing w:after="70" w:line="240" w:lineRule="auto"/>
            </w:pPr>
            <w:r>
              <w:rPr>
                <w:b/>
                <w:bCs/>
                <w:color w:val="2F6B3B"/>
                <w:spacing w:val="24"/>
                <w:sz w:val="16"/>
                <w:szCs w:val="16"/>
              </w:rPr>
              <w:t>SPARTIPP</w:t>
            </w:r>
          </w:p>
          <w:p w14:paraId="70A4D803" w14:textId="77777777" w:rsidR="00C1548D" w:rsidRDefault="009B1B4B">
            <w:pPr>
              <w:spacing w:after="80" w:line="264" w:lineRule="auto"/>
            </w:pPr>
            <w:r>
              <w:rPr>
                <w:sz w:val="20"/>
                <w:szCs w:val="20"/>
              </w:rPr>
              <w:t>Selbst packen. Die Portalpreise enthalten das Einpacken. Lass dir ein Angebot mit und ohne Einpacken geben und packe Bücher, Kleidung und Spielzeug selbst. Führe die Inventarliste Karton für Karton und kläre vorab, wie selbstgepackte Kartons versichert sind.</w:t>
            </w:r>
          </w:p>
        </w:tc>
      </w:tr>
    </w:tbl>
    <w:p w14:paraId="70A4D805"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08"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806" w14:textId="77777777" w:rsidR="00C1548D" w:rsidRDefault="009B1B4B">
            <w:pPr>
              <w:keepNext/>
              <w:spacing w:after="70" w:line="240" w:lineRule="auto"/>
            </w:pPr>
            <w:r>
              <w:rPr>
                <w:b/>
                <w:bCs/>
                <w:color w:val="2F6B3B"/>
                <w:spacing w:val="24"/>
                <w:sz w:val="16"/>
                <w:szCs w:val="16"/>
              </w:rPr>
              <w:t>SPARTIPP</w:t>
            </w:r>
          </w:p>
          <w:p w14:paraId="70A4D807" w14:textId="77777777" w:rsidR="00C1548D" w:rsidRDefault="009B1B4B">
            <w:pPr>
              <w:spacing w:after="80" w:line="264" w:lineRule="auto"/>
            </w:pPr>
            <w:r>
              <w:rPr>
                <w:sz w:val="20"/>
                <w:szCs w:val="20"/>
              </w:rPr>
              <w:t>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tc>
      </w:tr>
    </w:tbl>
    <w:p w14:paraId="70A4D809" w14:textId="77777777" w:rsidR="00C1548D" w:rsidRDefault="00C1548D">
      <w:pPr>
        <w:spacing w:line="220" w:lineRule="exact"/>
      </w:pPr>
    </w:p>
    <w:p w14:paraId="70A4D80A"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80D"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80B"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80C" w14:textId="77777777" w:rsidR="00C1548D" w:rsidRDefault="009B1B4B">
            <w:pPr>
              <w:spacing w:line="250" w:lineRule="auto"/>
            </w:pPr>
            <w:r>
              <w:rPr>
                <w:b/>
                <w:bCs/>
                <w:sz w:val="18"/>
                <w:szCs w:val="18"/>
              </w:rPr>
              <w:t>Minus</w:t>
            </w:r>
          </w:p>
        </w:tc>
      </w:tr>
      <w:tr w:rsidR="00C1548D" w14:paraId="70A4D81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0E" w14:textId="77777777" w:rsidR="00C1548D" w:rsidRDefault="009B1B4B">
            <w:pPr>
              <w:spacing w:line="250" w:lineRule="auto"/>
            </w:pPr>
            <w:r>
              <w:rPr>
                <w:sz w:val="18"/>
                <w:szCs w:val="18"/>
              </w:rPr>
              <w:t>Vertraute Möbel, Bücher und Erinnerungsstücke sind nach Wochen da</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0F" w14:textId="77777777" w:rsidR="00C1548D" w:rsidRDefault="009B1B4B">
            <w:pPr>
              <w:spacing w:line="250" w:lineRule="auto"/>
            </w:pPr>
            <w:r>
              <w:rPr>
                <w:sz w:val="18"/>
                <w:szCs w:val="18"/>
              </w:rPr>
              <w:t>20-ft-Container: 4.000–7.500 € plus Zustellung in den USA</w:t>
            </w:r>
          </w:p>
        </w:tc>
      </w:tr>
      <w:tr w:rsidR="00C1548D" w14:paraId="70A4D81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11" w14:textId="77777777" w:rsidR="00C1548D" w:rsidRDefault="009B1B4B">
            <w:pPr>
              <w:spacing w:line="250" w:lineRule="auto"/>
            </w:pPr>
            <w:r>
              <w:rPr>
                <w:sz w:val="18"/>
                <w:szCs w:val="18"/>
              </w:rPr>
              <w:t>Gebrauchtes ist nach einem Jahr Nutzung zollfrei</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12" w14:textId="77777777" w:rsidR="00C1548D" w:rsidRDefault="009B1B4B">
            <w:pPr>
              <w:spacing w:line="250" w:lineRule="auto"/>
            </w:pPr>
            <w:r>
              <w:rPr>
                <w:sz w:val="18"/>
                <w:szCs w:val="18"/>
              </w:rPr>
              <w:t>Elektro (120 V), Betten und Küchengeräte passen oft nicht</w:t>
            </w:r>
          </w:p>
        </w:tc>
      </w:tr>
      <w:tr w:rsidR="00C1548D" w14:paraId="70A4D81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14" w14:textId="77777777" w:rsidR="00C1548D" w:rsidRDefault="009B1B4B">
            <w:pPr>
              <w:spacing w:line="250" w:lineRule="auto"/>
            </w:pPr>
            <w:r>
              <w:rPr>
                <w:sz w:val="18"/>
                <w:szCs w:val="18"/>
              </w:rPr>
              <w:t>Koffer und Paket sind schnell und gut kalkulierbar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15" w14:textId="77777777" w:rsidR="00C1548D" w:rsidRDefault="009B1B4B">
            <w:pPr>
              <w:spacing w:line="250" w:lineRule="auto"/>
            </w:pPr>
            <w:r>
              <w:rPr>
                <w:sz w:val="18"/>
                <w:szCs w:val="18"/>
              </w:rPr>
              <w:t>Paket: 6,60–7,15 € je kg, Koffer sind begrenzt</w:t>
            </w:r>
          </w:p>
        </w:tc>
      </w:tr>
      <w:tr w:rsidR="00C1548D" w14:paraId="70A4D81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17" w14:textId="77777777" w:rsidR="00C1548D" w:rsidRDefault="009B1B4B">
            <w:pPr>
              <w:spacing w:line="250" w:lineRule="auto"/>
            </w:pPr>
            <w:r>
              <w:rPr>
                <w:sz w:val="18"/>
                <w:szCs w:val="18"/>
              </w:rPr>
              <w:t>Neukauf vor Ort passt zu US-Größen und -Normen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18" w14:textId="77777777" w:rsidR="00C1548D" w:rsidRDefault="009B1B4B">
            <w:pPr>
              <w:spacing w:line="250" w:lineRule="auto"/>
            </w:pPr>
            <w:r>
              <w:rPr>
                <w:sz w:val="18"/>
                <w:szCs w:val="18"/>
              </w:rPr>
              <w:t>Neuausstattung einer 1BR: 7.000–12.000 $</w:t>
            </w:r>
          </w:p>
        </w:tc>
      </w:tr>
      <w:tr w:rsidR="00C1548D" w14:paraId="70A4D81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1A" w14:textId="77777777" w:rsidR="00C1548D" w:rsidRDefault="009B1B4B">
            <w:pPr>
              <w:spacing w:line="250" w:lineRule="auto"/>
            </w:pPr>
            <w:r>
              <w:rPr>
                <w:sz w:val="18"/>
                <w:szCs w:val="18"/>
              </w:rPr>
              <w:t>Ein Relocation-Paket kann die Kosten tragen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1B" w14:textId="77777777" w:rsidR="00C1548D" w:rsidRDefault="009B1B4B">
            <w:pPr>
              <w:spacing w:line="250" w:lineRule="auto"/>
            </w:pPr>
            <w:r>
              <w:rPr>
                <w:sz w:val="18"/>
                <w:szCs w:val="18"/>
              </w:rPr>
              <w:t>Steuerpflichtig, mit Rückzahlungsklausel und Vorfinanzierung</w:t>
            </w:r>
          </w:p>
        </w:tc>
      </w:tr>
      <w:tr w:rsidR="00C1548D" w14:paraId="70A4D81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1D" w14:textId="77777777" w:rsidR="00C1548D" w:rsidRDefault="009B1B4B">
            <w:pPr>
              <w:spacing w:line="250" w:lineRule="auto"/>
            </w:pPr>
            <w:r>
              <w:rPr>
                <w:sz w:val="18"/>
                <w:szCs w:val="18"/>
              </w:rPr>
              <w:lastRenderedPageBreak/>
              <w:t>Sammelladung senkt den Preis bei kleinen Mengen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1E" w14:textId="77777777" w:rsidR="00C1548D" w:rsidRDefault="009B1B4B">
            <w:pPr>
              <w:spacing w:line="250" w:lineRule="auto"/>
            </w:pPr>
            <w:r>
              <w:rPr>
                <w:sz w:val="18"/>
                <w:szCs w:val="18"/>
              </w:rPr>
              <w:t>Tür–Tür vier bis zwölf Wochen ohne Möbel</w:t>
            </w:r>
          </w:p>
        </w:tc>
      </w:tr>
    </w:tbl>
    <w:p w14:paraId="70A4D820" w14:textId="77777777" w:rsidR="00C1548D" w:rsidRDefault="00C1548D">
      <w:pPr>
        <w:spacing w:line="180" w:lineRule="exact"/>
      </w:pPr>
    </w:p>
    <w:p w14:paraId="70A4D821"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822" w14:textId="59064BCF" w:rsidR="00C1548D" w:rsidRDefault="009B1B4B" w:rsidP="009B1B4B">
      <w:pPr>
        <w:pStyle w:val="ListParagraph"/>
        <w:numPr>
          <w:ilvl w:val="0"/>
          <w:numId w:val="24"/>
        </w:numPr>
        <w:spacing w:after="60"/>
      </w:pPr>
      <w:r>
        <w:t>Miste aus und kläre die Umzugsleistungen des Arbeitgebers brutto und netto, bevor du unterschreibst (Kapitel </w:t>
      </w:r>
      <w:hyperlink w:anchor="k3" w:history="1">
        <w:r>
          <w:t>3</w:t>
        </w:r>
      </w:hyperlink>
      <w:r>
        <w:t xml:space="preserve"> und </w:t>
      </w:r>
      <w:hyperlink w:anchor="k21" w:history="1">
        <w:r>
          <w:t>21</w:t>
        </w:r>
      </w:hyperlink>
      <w:r>
        <w:t>).</w:t>
      </w:r>
    </w:p>
    <w:p w14:paraId="70A4D823" w14:textId="01678945" w:rsidR="00C1548D" w:rsidRDefault="009B1B4B" w:rsidP="009B1B4B">
      <w:pPr>
        <w:pStyle w:val="ListParagraph"/>
        <w:numPr>
          <w:ilvl w:val="0"/>
          <w:numId w:val="24"/>
        </w:numPr>
        <w:spacing w:after="60"/>
      </w:pPr>
      <w:r>
        <w:t>Hole drei Festpreisangebote ein, buche aber erst mit dem Visum im Pass (Kapitel </w:t>
      </w:r>
      <w:hyperlink w:anchor="k11" w:history="1">
        <w:r>
          <w:t>11</w:t>
        </w:r>
      </w:hyperlink>
      <w:r>
        <w:t>).</w:t>
      </w:r>
    </w:p>
    <w:p w14:paraId="70A4D824" w14:textId="550DD30A" w:rsidR="00C1548D" w:rsidRDefault="009B1B4B" w:rsidP="009B1B4B">
      <w:pPr>
        <w:pStyle w:val="ListParagraph"/>
        <w:numPr>
          <w:ilvl w:val="0"/>
          <w:numId w:val="24"/>
        </w:numPr>
        <w:spacing w:after="60"/>
      </w:pPr>
      <w:r>
        <w:t>Erstelle die Inventarliste, kläre Form 3299 mit dem Zollagenten und plane Übergangswohnen (Kapitel </w:t>
      </w:r>
      <w:hyperlink w:anchor="k13" w:history="1">
        <w:r>
          <w:t>13</w:t>
        </w:r>
      </w:hyperlink>
      <w:r>
        <w:t>); die Zeitleiste steht in Kapitel </w:t>
      </w:r>
      <w:hyperlink w:anchor="k15" w:history="1">
        <w:r>
          <w:t>15</w:t>
        </w:r>
      </w:hyperlink>
      <w:r>
        <w:t>.</w:t>
      </w:r>
    </w:p>
    <w:p w14:paraId="70A4D82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31"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826" w14:textId="77777777" w:rsidR="00C1548D" w:rsidRDefault="009B1B4B">
            <w:pPr>
              <w:keepNext/>
              <w:spacing w:after="70" w:line="240" w:lineRule="auto"/>
            </w:pPr>
            <w:r>
              <w:rPr>
                <w:b/>
                <w:bCs/>
                <w:color w:val="1F6F78"/>
                <w:spacing w:val="24"/>
                <w:sz w:val="16"/>
                <w:szCs w:val="16"/>
              </w:rPr>
              <w:t>CHECKLISTE</w:t>
            </w:r>
          </w:p>
          <w:p w14:paraId="70A4D82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Volumen in m³ geschätzt und ausgemistet</w:t>
            </w:r>
          </w:p>
          <w:p w14:paraId="70A4D82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Relocation-Bedingungen schriftlich geklärt: brutto oder netto, Gross-up, Direktabrechnung, Rückzahlungsklausel</w:t>
            </w:r>
          </w:p>
          <w:p w14:paraId="70A4D82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Drei Tür-zu-Tür-Festpreise nach Besichtigung oder Video-Survey eingeholt; FIDI-FAIM und AMSA ProMover geprüft</w:t>
            </w:r>
          </w:p>
          <w:p w14:paraId="70A4D82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Verbindlich gebucht erst mit dem Visum im Pass, sechs bis acht Wochen vor der Verladung</w:t>
            </w:r>
          </w:p>
          <w:p w14:paraId="70A4D82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Transportversicherung „all risk“ zum Wiederbeschaffungswert abgeschlossen</w:t>
            </w:r>
          </w:p>
          <w:p w14:paraId="70A4D82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Englische Inventarliste mit Werten erstellt; nur Gegenstände eingepackt, die du mindestens ein Jahr genutzt hast</w:t>
            </w:r>
          </w:p>
          <w:p w14:paraId="70A4D82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Zollagent, Vollmacht und CBP Form 3299 mit der Spedition abgestimmt</w:t>
            </w:r>
          </w:p>
          <w:p w14:paraId="70A4D82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Lebensmittel, Pflanzen, Erde, Holz ohne ISPM-15-Stempel, Alkohol und Waffen aussortiert; Medikamente ins Handgepäck</w:t>
            </w:r>
          </w:p>
          <w:p w14:paraId="70A4D82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Bargeld ab 10.000 € beim deutschen Zoll angemeldet</w:t>
            </w:r>
          </w:p>
          <w:p w14:paraId="70A4D83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Übergangswohnen gebucht und Puffer auf dem US-Konto bereitgestellt</w:t>
            </w:r>
          </w:p>
        </w:tc>
      </w:tr>
    </w:tbl>
    <w:p w14:paraId="70A4D832" w14:textId="77777777" w:rsidR="00C1548D" w:rsidRDefault="00C1548D">
      <w:pPr>
        <w:spacing w:line="220" w:lineRule="exact"/>
      </w:pPr>
    </w:p>
    <w:p w14:paraId="70A4D833" w14:textId="77777777" w:rsidR="00C1548D" w:rsidRDefault="009B1B4B">
      <w:pPr>
        <w:pStyle w:val="Heading3"/>
        <w:keepNext/>
        <w:jc w:val="center"/>
      </w:pPr>
      <w:r>
        <w:rPr>
          <w:rFonts w:ascii="Amazon Ember" w:eastAsia="Amazon Ember" w:hAnsi="Amazon Ember" w:cs="Amazon Ember"/>
          <w:color w:val="0000FF"/>
          <w:sz w:val="36"/>
          <w:szCs w:val="36"/>
        </w:rPr>
        <w:lastRenderedPageBreak/>
        <w:t>Quellen und weiterführende Links</w:t>
      </w:r>
    </w:p>
    <w:p w14:paraId="70A4D834" w14:textId="7A4F7213" w:rsidR="00C1548D" w:rsidRDefault="009B1B4B" w:rsidP="009B1B4B">
      <w:pPr>
        <w:pStyle w:val="ListParagraph"/>
        <w:numPr>
          <w:ilvl w:val="0"/>
          <w:numId w:val="1"/>
        </w:numPr>
        <w:spacing w:after="60"/>
      </w:pPr>
      <w:r>
        <w:t>U.S. Customs and Border Protection (CBP) — Zollerklärung für Umzugsgut, Form 3299 (</w:t>
      </w:r>
      <w:hyperlink r:id="rId174" w:history="1">
        <w:r>
          <w:rPr>
            <w:color w:val="0563C1"/>
            <w:u w:val="single"/>
          </w:rPr>
          <w:t>cbp.gov/document/forms/form-3299-declaration-free-entry-unaccompanied-articles</w:t>
        </w:r>
      </w:hyperlink>
      <w:r>
        <w:t>)</w:t>
      </w:r>
    </w:p>
    <w:p w14:paraId="70A4D835" w14:textId="05D8887A" w:rsidR="00C1548D" w:rsidRDefault="009B1B4B" w:rsidP="009B1B4B">
      <w:pPr>
        <w:pStyle w:val="ListParagraph"/>
        <w:numPr>
          <w:ilvl w:val="0"/>
          <w:numId w:val="1"/>
        </w:numPr>
        <w:spacing w:after="60"/>
      </w:pPr>
      <w:r>
        <w:t>Cornell Law School, Legal Information Institute — 19 CFR 148.52, Haushalts- und persönliche Gegenstände (</w:t>
      </w:r>
      <w:hyperlink r:id="rId175" w:history="1">
        <w:r>
          <w:rPr>
            <w:color w:val="0563C1"/>
            <w:u w:val="single"/>
          </w:rPr>
          <w:t>law.cornell.edu/cfr/text/19/148.52</w:t>
        </w:r>
      </w:hyperlink>
      <w:r>
        <w:t>)</w:t>
      </w:r>
    </w:p>
    <w:p w14:paraId="70A4D836" w14:textId="7872CDCA" w:rsidR="00C1548D" w:rsidRDefault="009B1B4B" w:rsidP="009B1B4B">
      <w:pPr>
        <w:pStyle w:val="ListParagraph"/>
        <w:numPr>
          <w:ilvl w:val="0"/>
          <w:numId w:val="1"/>
        </w:numPr>
        <w:spacing w:after="60"/>
      </w:pPr>
      <w:r>
        <w:t>USDA APHIS — Einfuhrregeln für Pflanzen, Erde und Lebensmittel (</w:t>
      </w:r>
      <w:hyperlink r:id="rId176" w:history="1">
        <w:r>
          <w:rPr>
            <w:color w:val="0563C1"/>
            <w:u w:val="single"/>
          </w:rPr>
          <w:t>aphis.usda.gov</w:t>
        </w:r>
      </w:hyperlink>
      <w:r>
        <w:t>)</w:t>
      </w:r>
    </w:p>
    <w:p w14:paraId="70A4D837" w14:textId="2B5080EE" w:rsidR="00C1548D" w:rsidRDefault="009B1B4B" w:rsidP="009B1B4B">
      <w:pPr>
        <w:pStyle w:val="ListParagraph"/>
        <w:numPr>
          <w:ilvl w:val="0"/>
          <w:numId w:val="1"/>
        </w:numPr>
        <w:spacing w:after="60"/>
      </w:pPr>
      <w:r>
        <w:t>IRS — Publication 15-B, steuerliche Behandlung von Leistungen des Arbeitgebers (</w:t>
      </w:r>
      <w:hyperlink r:id="rId177" w:history="1">
        <w:r>
          <w:rPr>
            <w:color w:val="0563C1"/>
            <w:u w:val="single"/>
          </w:rPr>
          <w:t>irs.gov/pub/irs-pdf/p15b.pdf</w:t>
        </w:r>
      </w:hyperlink>
      <w:r>
        <w:t>)</w:t>
      </w:r>
    </w:p>
    <w:p w14:paraId="70A4D838" w14:textId="1D169167" w:rsidR="00C1548D" w:rsidRDefault="009B1B4B" w:rsidP="009B1B4B">
      <w:pPr>
        <w:pStyle w:val="ListParagraph"/>
        <w:numPr>
          <w:ilvl w:val="0"/>
          <w:numId w:val="1"/>
        </w:numPr>
        <w:spacing w:after="60"/>
      </w:pPr>
      <w:r>
        <w:t>FIDI — Mitgliederliste zertifizierter Umzugsunternehmen (</w:t>
      </w:r>
      <w:hyperlink r:id="rId178" w:history="1">
        <w:r>
          <w:rPr>
            <w:color w:val="0563C1"/>
            <w:u w:val="single"/>
          </w:rPr>
          <w:t>fidi.org</w:t>
        </w:r>
      </w:hyperlink>
      <w:r>
        <w:t>)</w:t>
      </w:r>
    </w:p>
    <w:p w14:paraId="70A4D839" w14:textId="505DB42E" w:rsidR="00C1548D" w:rsidRDefault="009B1B4B" w:rsidP="009B1B4B">
      <w:pPr>
        <w:pStyle w:val="ListParagraph"/>
        <w:numPr>
          <w:ilvl w:val="0"/>
          <w:numId w:val="1"/>
        </w:numPr>
        <w:spacing w:after="60"/>
      </w:pPr>
      <w:r>
        <w:t>FMCSA — Registrierung von Frachtführern, USDOT- und MC-Nummer (</w:t>
      </w:r>
      <w:hyperlink r:id="rId179" w:history="1">
        <w:r>
          <w:rPr>
            <w:color w:val="0563C1"/>
            <w:u w:val="single"/>
          </w:rPr>
          <w:t>fmcsa.dot.gov</w:t>
        </w:r>
      </w:hyperlink>
      <w:r>
        <w:t>)</w:t>
      </w:r>
    </w:p>
    <w:p w14:paraId="70A4D83A" w14:textId="765F45B5" w:rsidR="00C1548D" w:rsidRDefault="009B1B4B" w:rsidP="009B1B4B">
      <w:pPr>
        <w:pStyle w:val="ListParagraph"/>
        <w:numPr>
          <w:ilvl w:val="0"/>
          <w:numId w:val="1"/>
        </w:numPr>
        <w:spacing w:after="60"/>
      </w:pPr>
      <w:r>
        <w:t>Zoll — Bargeld und Ausfuhr aus Deutschland (</w:t>
      </w:r>
      <w:hyperlink r:id="rId180" w:history="1">
        <w:r>
          <w:rPr>
            <w:color w:val="0563C1"/>
            <w:u w:val="single"/>
          </w:rPr>
          <w:t>zoll.de</w:t>
        </w:r>
      </w:hyperlink>
      <w:r>
        <w:t>)</w:t>
      </w:r>
    </w:p>
    <w:p w14:paraId="70A4D83B"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3E"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83C" w14:textId="77777777" w:rsidR="00C1548D" w:rsidRDefault="009B1B4B">
            <w:pPr>
              <w:keepNext/>
              <w:spacing w:after="70" w:line="240" w:lineRule="auto"/>
            </w:pPr>
            <w:r>
              <w:rPr>
                <w:b/>
                <w:bCs/>
                <w:color w:val="6B7280"/>
                <w:spacing w:val="24"/>
                <w:sz w:val="16"/>
                <w:szCs w:val="16"/>
              </w:rPr>
              <w:t>STAND</w:t>
            </w:r>
          </w:p>
          <w:p w14:paraId="70A4D83D" w14:textId="77777777" w:rsidR="00C1548D" w:rsidRDefault="009B1B4B">
            <w:pPr>
              <w:spacing w:after="80" w:line="264" w:lineRule="auto"/>
            </w:pPr>
            <w:r>
              <w:rPr>
                <w:sz w:val="20"/>
                <w:szCs w:val="20"/>
              </w:rPr>
              <w:t>September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p>
        </w:tc>
      </w:tr>
    </w:tbl>
    <w:p w14:paraId="70A4D83F" w14:textId="77777777" w:rsidR="00C1548D" w:rsidRDefault="00C1548D">
      <w:pPr>
        <w:spacing w:line="220" w:lineRule="exact"/>
      </w:pPr>
    </w:p>
    <w:p w14:paraId="70A4D840" w14:textId="77777777" w:rsidR="00C1548D" w:rsidRDefault="009B1B4B">
      <w:pPr>
        <w:pStyle w:val="Heading2"/>
        <w:keepNext/>
        <w:pageBreakBefore/>
        <w:jc w:val="center"/>
      </w:pPr>
      <w:bookmarkStart w:id="52" w:name="k21"/>
      <w:bookmarkStart w:id="53" w:name="_Toc241352474"/>
      <w:r>
        <w:rPr>
          <w:rFonts w:ascii="Amazon Ember" w:eastAsia="Amazon Ember" w:hAnsi="Amazon Ember" w:cs="Amazon Ember"/>
          <w:color w:val="0000FF"/>
          <w:sz w:val="36"/>
          <w:szCs w:val="36"/>
        </w:rPr>
        <w:lastRenderedPageBreak/>
        <w:t>Kapitel 21: Mitnehmen oder neu kaufen? Die Raum-für-Raum-Liste</w:t>
      </w:r>
      <w:bookmarkEnd w:id="52"/>
      <w:bookmarkEnd w:id="53"/>
    </w:p>
    <w:p w14:paraId="70A4D841" w14:textId="77777777" w:rsidR="00C1548D" w:rsidRDefault="009B1B4B">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48"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842" w14:textId="77777777" w:rsidR="00C1548D" w:rsidRDefault="009B1B4B">
            <w:pPr>
              <w:keepNext/>
              <w:spacing w:after="70" w:line="240" w:lineRule="auto"/>
            </w:pPr>
            <w:r>
              <w:rPr>
                <w:b/>
                <w:bCs/>
                <w:color w:val="1F3A5F"/>
                <w:spacing w:val="24"/>
                <w:sz w:val="16"/>
                <w:szCs w:val="16"/>
              </w:rPr>
              <w:t>KURZ GESAGT</w:t>
            </w:r>
          </w:p>
          <w:p w14:paraId="70A4D843" w14:textId="77777777" w:rsidR="00C1548D" w:rsidRDefault="009B1B4B" w:rsidP="009B1B4B">
            <w:pPr>
              <w:pStyle w:val="ListParagraph"/>
              <w:numPr>
                <w:ilvl w:val="0"/>
                <w:numId w:val="1"/>
              </w:numPr>
              <w:spacing w:after="50" w:line="264" w:lineRule="auto"/>
            </w:pPr>
            <w:r>
              <w:rPr>
                <w:sz w:val="20"/>
                <w:szCs w:val="20"/>
              </w:rPr>
              <w:t>Die US-Steckdose liefert 120 V bei 60 Hz. Geräte mit Netzteil „100–240 V“ laufen mit Adapter; Heiz- und Motorgeräte bleiben zurück.</w:t>
            </w:r>
          </w:p>
          <w:p w14:paraId="70A4D844" w14:textId="77777777" w:rsidR="00C1548D" w:rsidRDefault="009B1B4B" w:rsidP="009B1B4B">
            <w:pPr>
              <w:pStyle w:val="ListParagraph"/>
              <w:numPr>
                <w:ilvl w:val="0"/>
                <w:numId w:val="1"/>
              </w:numPr>
              <w:spacing w:after="50" w:line="264" w:lineRule="auto"/>
            </w:pPr>
            <w:r>
              <w:rPr>
                <w:sz w:val="20"/>
                <w:szCs w:val="20"/>
              </w:rPr>
              <w:t>Betten und Bettwäsche sind anders genormt (Queen: 152 × 203 cm). Matratzen, Lattenroste und Spannbetttücher kaufst du in den USA neu.</w:t>
            </w:r>
          </w:p>
          <w:p w14:paraId="70A4D845" w14:textId="77777777" w:rsidR="00C1548D" w:rsidRDefault="009B1B4B" w:rsidP="009B1B4B">
            <w:pPr>
              <w:pStyle w:val="ListParagraph"/>
              <w:numPr>
                <w:ilvl w:val="0"/>
                <w:numId w:val="1"/>
              </w:numPr>
              <w:spacing w:after="50" w:line="264" w:lineRule="auto"/>
            </w:pPr>
            <w:r>
              <w:rPr>
                <w:sz w:val="20"/>
                <w:szCs w:val="20"/>
              </w:rPr>
              <w:t>Mitnehmen lohnt sich für Persönliches, Bücher, Kleidung, gutes Küchenzubehör und wenige hochwertige Einzelstücke.</w:t>
            </w:r>
          </w:p>
          <w:p w14:paraId="70A4D846" w14:textId="77777777" w:rsidR="00C1548D" w:rsidRDefault="009B1B4B" w:rsidP="009B1B4B">
            <w:pPr>
              <w:pStyle w:val="ListParagraph"/>
              <w:numPr>
                <w:ilvl w:val="0"/>
                <w:numId w:val="1"/>
              </w:numPr>
              <w:spacing w:after="50" w:line="264" w:lineRule="auto"/>
            </w:pPr>
            <w:r>
              <w:rPr>
                <w:sz w:val="20"/>
                <w:szCs w:val="20"/>
              </w:rPr>
              <w:t>Ein 20-ft-Container kostet 4.000–7.500 € plus US-Zustellung. Eine 1BR neu einzurichten kostet 7.000–12.000 $, mit IKEA und Secondhand 40–60 % weniger.</w:t>
            </w:r>
          </w:p>
          <w:p w14:paraId="70A4D847" w14:textId="77777777" w:rsidR="00C1548D" w:rsidRDefault="009B1B4B" w:rsidP="009B1B4B">
            <w:pPr>
              <w:pStyle w:val="ListParagraph"/>
              <w:numPr>
                <w:ilvl w:val="0"/>
                <w:numId w:val="1"/>
              </w:numPr>
              <w:spacing w:after="50" w:line="264" w:lineRule="auto"/>
            </w:pPr>
            <w:r>
              <w:rPr>
                <w:sz w:val="20"/>
                <w:szCs w:val="20"/>
              </w:rPr>
              <w:t>Für die ersten zwei Wochen packst du Koffer, den Rest der Erstausstattung kaufst du vor Ort.</w:t>
            </w:r>
          </w:p>
        </w:tc>
      </w:tr>
    </w:tbl>
    <w:p w14:paraId="70A4D849" w14:textId="77777777" w:rsidR="00C1548D" w:rsidRDefault="00C1548D">
      <w:pPr>
        <w:spacing w:line="220" w:lineRule="exact"/>
      </w:pPr>
    </w:p>
    <w:p w14:paraId="70A4D84A" w14:textId="77777777" w:rsidR="00C1548D" w:rsidRDefault="009B1B4B">
      <w:pPr>
        <w:pStyle w:val="Heading3"/>
        <w:keepNext/>
        <w:jc w:val="center"/>
      </w:pPr>
      <w:r>
        <w:rPr>
          <w:rFonts w:ascii="Amazon Ember" w:eastAsia="Amazon Ember" w:hAnsi="Amazon Ember" w:cs="Amazon Ember"/>
          <w:color w:val="0000FF"/>
          <w:sz w:val="36"/>
          <w:szCs w:val="36"/>
        </w:rPr>
        <w:t>Die Entscheidungsregel: Fracht gegen Ersatz</w:t>
      </w:r>
    </w:p>
    <w:p w14:paraId="70A4D84B" w14:textId="77777777" w:rsidR="00C1548D" w:rsidRDefault="009B1B4B">
      <w:pPr>
        <w:spacing w:after="140"/>
      </w:pPr>
      <w:r>
        <w:t xml:space="preserve">Jeder Gegenstand muss drei Prüfungen bestehen. Erstens: Funktioniert er in den USA ohne Umbau, also bei Strom, Größe und Norm? Zweitens: Was kostet der Ersatz in den USA, verglichen mit Frachtanteil, Aufwand und Verkaufserlös in Deutschland? Drittens: </w:t>
      </w:r>
      <w:r>
        <w:lastRenderedPageBreak/>
        <w:t>Hängt Erinnerung oder unersetzbare Qualität daran? Fällt er bei der ersten Prüfung durch, ist die Sache entschieden. Bei der zweiten hilft eine grobe Rechnung.</w:t>
      </w:r>
    </w:p>
    <w:p w14:paraId="70A4D84C" w14:textId="2BE3FDCB" w:rsidR="00C1548D" w:rsidRDefault="009B1B4B">
      <w:pPr>
        <w:spacing w:after="140"/>
      </w:pPr>
      <w:r>
        <w:t>Die Portale nennen für einen 20-ft-Container (28–33 m³) 4.000–7.500 € ohne US-Zustellung und für eine Sammelladung von 10–20 m³ 2.500–6.000 € (Kapitel </w:t>
      </w:r>
      <w:hyperlink w:anchor="k20" w:history="1">
        <w:r>
          <w:t>20</w:t>
        </w:r>
      </w:hyperlink>
      <w:r>
        <w:t>).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(Stand September 2026).</w:t>
      </w:r>
    </w:p>
    <w:p w14:paraId="70A4D84D" w14:textId="6FD8AE30" w:rsidR="00C1548D" w:rsidRDefault="009B1B4B">
      <w:pPr>
        <w:spacing w:after="140"/>
      </w:pPr>
      <w:r>
        <w:t>Was zurückbleibt, verkaufst du über Kleinanzeigenportale, Flohmarkt oder Haushaltsauflösung, am besten in den letzten acht bis zwölf Wochen vor dem Abflug (Zeitplan: Kapitel </w:t>
      </w:r>
      <w:hyperlink w:anchor="k15" w:history="1">
        <w:r>
          <w:t>15</w:t>
        </w:r>
      </w:hyperlink>
      <w:r>
        <w:t>). Rechne mit einem Bruchteil des Neupreises; was übrig bleibt, verschenkst oder spendest du.</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5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84E" w14:textId="77777777" w:rsidR="00C1548D" w:rsidRDefault="009B1B4B">
            <w:pPr>
              <w:keepNext/>
              <w:spacing w:after="70" w:line="240" w:lineRule="auto"/>
            </w:pPr>
            <w:r>
              <w:rPr>
                <w:b/>
                <w:bCs/>
                <w:color w:val="9B2C2C"/>
                <w:spacing w:val="24"/>
                <w:sz w:val="16"/>
                <w:szCs w:val="16"/>
              </w:rPr>
              <w:t>ACHTUNG</w:t>
            </w:r>
          </w:p>
          <w:p w14:paraId="70A4D84F" w14:textId="0C3831AD" w:rsidR="00C1548D" w:rsidRDefault="009B1B4B">
            <w:pPr>
              <w:spacing w:after="80" w:line="264" w:lineRule="auto"/>
            </w:pPr>
            <w:r>
              <w:rPr>
                <w:sz w:val="20"/>
                <w:szCs w:val="20"/>
              </w:rPr>
              <w:t>Kaufe nichts Neues, um es mitzuschicken. Gegenstände, die du im Ausland weniger als ein Jahr genutzt hast, gelten nicht als zollfreies Umzugsgut (Kapitel </w:t>
            </w:r>
            <w:hyperlink w:anchor="k20" w:history="1">
              <w:r>
                <w:rPr>
                  <w:sz w:val="20"/>
                  <w:szCs w:val="20"/>
                </w:rPr>
                <w:t>20</w:t>
              </w:r>
            </w:hyperlink>
            <w:r>
              <w:rPr>
                <w:sz w:val="20"/>
                <w:szCs w:val="20"/>
              </w:rPr>
              <w:t>).</w:t>
            </w:r>
          </w:p>
        </w:tc>
      </w:tr>
    </w:tbl>
    <w:p w14:paraId="70A4D851"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54"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852" w14:textId="77777777" w:rsidR="00C1548D" w:rsidRDefault="009B1B4B">
            <w:pPr>
              <w:keepNext/>
              <w:spacing w:after="70" w:line="240" w:lineRule="auto"/>
            </w:pPr>
            <w:r>
              <w:rPr>
                <w:b/>
                <w:bCs/>
                <w:color w:val="8A6212"/>
                <w:spacing w:val="24"/>
                <w:sz w:val="16"/>
                <w:szCs w:val="16"/>
              </w:rPr>
              <w:t>MERKE</w:t>
            </w:r>
          </w:p>
          <w:p w14:paraId="70A4D853" w14:textId="77777777" w:rsidR="00C1548D" w:rsidRDefault="009B1B4B">
            <w:pPr>
              <w:spacing w:after="80" w:line="264" w:lineRule="auto"/>
            </w:pPr>
            <w:r>
              <w:rPr>
                <w:sz w:val="20"/>
                <w:szCs w:val="20"/>
              </w:rPr>
              <w:t>Ein Gegenstand fährt nur mit, wenn er ohne Umbau funktioniert und entweder sein Ersatz mehr kostet als Fracht und Aufwand oder er sich nicht ersetzen lässt.</w:t>
            </w:r>
          </w:p>
        </w:tc>
      </w:tr>
    </w:tbl>
    <w:p w14:paraId="70A4D855" w14:textId="77777777" w:rsidR="00C1548D" w:rsidRDefault="00C1548D">
      <w:pPr>
        <w:spacing w:line="220" w:lineRule="exact"/>
      </w:pPr>
    </w:p>
    <w:p w14:paraId="70A4D856" w14:textId="77777777" w:rsidR="00C1548D" w:rsidRDefault="009B1B4B">
      <w:pPr>
        <w:pStyle w:val="Heading3"/>
        <w:keepNext/>
        <w:jc w:val="center"/>
      </w:pPr>
      <w:r>
        <w:rPr>
          <w:rFonts w:ascii="Amazon Ember" w:eastAsia="Amazon Ember" w:hAnsi="Amazon Ember" w:cs="Amazon Ember"/>
          <w:color w:val="0000FF"/>
          <w:sz w:val="36"/>
          <w:szCs w:val="36"/>
        </w:rPr>
        <w:lastRenderedPageBreak/>
        <w:t>Zuerst: Strom, Steckdosen und Lampen</w:t>
      </w:r>
    </w:p>
    <w:p w14:paraId="70A4D857" w14:textId="77777777" w:rsidR="00C1548D" w:rsidRDefault="009B1B4B">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w14:paraId="70A4D858" w14:textId="77777777" w:rsidR="00C1548D" w:rsidRDefault="009B1B4B">
      <w:pPr>
        <w:spacing w:after="140"/>
      </w:pPr>
      <w:r>
        <w:t>Verbreiteter Irrtum: Ein Adapter aus dem Reisezubehör-Regal macht jedes deutsche Gerät startklar. Tatsächlich ändert er nur die Steckerform, nicht die Spannung. Für die Entscheidung gilt:</w:t>
      </w:r>
    </w:p>
    <w:p w14:paraId="70A4D859" w14:textId="77777777" w:rsidR="00C1548D" w:rsidRDefault="009B1B4B" w:rsidP="009B1B4B">
      <w:pPr>
        <w:pStyle w:val="ListParagraph"/>
        <w:numPr>
          <w:ilvl w:val="0"/>
          <w:numId w:val="1"/>
        </w:numPr>
        <w:spacing w:after="60"/>
      </w:pPr>
      <w:r>
        <w:rPr>
          <w:b/>
          <w:bCs/>
        </w:rPr>
        <w:t>Netzteil „Input 100–240 V, 50/60 Hz“:</w:t>
      </w:r>
      <w:r>
        <w:t xml:space="preserve"> läuft mit Adapter unverändert. Das trifft auf Laptop, Handy, Tablet, Kamera, Konsole, viele Router und LED-Lampen zu, meist auch auf die Ladegeräte von elektrischer Zahnbürste und Rasierer.</w:t>
      </w:r>
    </w:p>
    <w:p w14:paraId="70A4D85A" w14:textId="77777777" w:rsidR="00C1548D" w:rsidRDefault="009B1B4B" w:rsidP="009B1B4B">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w14:paraId="70A4D85B" w14:textId="77777777" w:rsidR="00C1548D" w:rsidRDefault="009B1B4B" w:rsidP="009B1B4B">
      <w:pPr>
        <w:pStyle w:val="ListParagraph"/>
        <w:numPr>
          <w:ilvl w:val="0"/>
          <w:numId w:val="1"/>
        </w:numPr>
        <w:spacing w:after="60"/>
      </w:pPr>
      <w:r>
        <w:rPr>
          <w:b/>
          <w:bCs/>
        </w:rPr>
        <w:t>Geräte mit Synchronmotor</w:t>
      </w:r>
      <w:r>
        <w:t xml:space="preserve"> (Plattenspieler, manche Uhren): laufen bei 60 Hz falsch. Nicht mitnehmen.</w:t>
      </w:r>
    </w:p>
    <w:p w14:paraId="70A4D85C" w14:textId="77777777" w:rsidR="00C1548D" w:rsidRDefault="009B1B4B" w:rsidP="009B1B4B">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w14:paraId="70A4D85D" w14:textId="77777777" w:rsidR="00C1548D" w:rsidRDefault="00C1548D">
      <w:pPr>
        <w:spacing w:line="120" w:lineRule="exact"/>
      </w:pPr>
    </w:p>
    <w:p w14:paraId="70A4D85E" w14:textId="77777777" w:rsidR="00C1548D" w:rsidRDefault="009B1B4B">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6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85F" w14:textId="77777777" w:rsidR="00C1548D" w:rsidRDefault="009B1B4B">
            <w:pPr>
              <w:keepNext/>
              <w:spacing w:after="70" w:line="240" w:lineRule="auto"/>
            </w:pPr>
            <w:r>
              <w:rPr>
                <w:b/>
                <w:bCs/>
                <w:color w:val="9B2C2C"/>
                <w:spacing w:val="24"/>
                <w:sz w:val="16"/>
                <w:szCs w:val="16"/>
              </w:rPr>
              <w:lastRenderedPageBreak/>
              <w:t>ACHTUNG</w:t>
            </w:r>
          </w:p>
          <w:p w14:paraId="70A4D860" w14:textId="77777777" w:rsidR="00C1548D" w:rsidRDefault="009B1B4B">
            <w:pPr>
              <w:spacing w:after="80" w:line="264" w:lineRule="auto"/>
            </w:pPr>
            <w:r>
              <w:rPr>
                <w:sz w:val="20"/>
                <w:szCs w:val="20"/>
              </w:rPr>
              <w:t>Ein Adapter schützt kein Gerät. Auch der Gedanke, ein 230-V-Gerät an die 240-V-Dose von Herd oder Trockner zu hängen, führt nicht weiter: Stecker, Absicherung und Frequenz passen nicht, und der Anschluss ist für andere Verbraucher gebaut.</w:t>
            </w:r>
          </w:p>
        </w:tc>
      </w:tr>
    </w:tbl>
    <w:p w14:paraId="70A4D862"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65"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863" w14:textId="77777777" w:rsidR="00C1548D" w:rsidRDefault="009B1B4B">
            <w:pPr>
              <w:keepNext/>
              <w:spacing w:after="70" w:line="240" w:lineRule="auto"/>
            </w:pPr>
            <w:r>
              <w:rPr>
                <w:b/>
                <w:bCs/>
                <w:color w:val="2F6B3B"/>
                <w:spacing w:val="24"/>
                <w:sz w:val="16"/>
                <w:szCs w:val="16"/>
              </w:rPr>
              <w:t>SPARTIPP</w:t>
            </w:r>
          </w:p>
          <w:p w14:paraId="70A4D864" w14:textId="77777777" w:rsidR="00C1548D" w:rsidRDefault="009B1B4B">
            <w:pPr>
              <w:spacing w:after="80" w:line="264" w:lineRule="auto"/>
            </w:pPr>
            <w:r>
              <w:rPr>
                <w:sz w:val="20"/>
                <w:szCs w:val="20"/>
              </w:rPr>
              <w:t>Fotografiere vor dem Verkauf die Typenschilder aller Elektrogeräte und notiere Eingangsspannung und Leistung in Watt. So verkaufst du kein Gerät, das du hättest behalten können, und schleppst keinen Toaster über den Atlantik.</w:t>
            </w:r>
          </w:p>
        </w:tc>
      </w:tr>
    </w:tbl>
    <w:p w14:paraId="70A4D866" w14:textId="77777777" w:rsidR="00C1548D" w:rsidRDefault="00C1548D">
      <w:pPr>
        <w:spacing w:line="220" w:lineRule="exact"/>
      </w:pPr>
    </w:p>
    <w:p w14:paraId="70A4D867" w14:textId="77777777" w:rsidR="00C1548D" w:rsidRDefault="009B1B4B">
      <w:pPr>
        <w:pStyle w:val="Heading3"/>
        <w:keepNext/>
        <w:jc w:val="center"/>
      </w:pPr>
      <w:r>
        <w:rPr>
          <w:rFonts w:ascii="Amazon Ember" w:eastAsia="Amazon Ember" w:hAnsi="Amazon Ember" w:cs="Amazon Ember"/>
          <w:color w:val="0000FF"/>
          <w:sz w:val="36"/>
          <w:szCs w:val="36"/>
        </w:rPr>
        <w:t>Schlafzimmer: Betten und Bettwäsche</w:t>
      </w:r>
    </w:p>
    <w:p w14:paraId="70A4D868" w14:textId="77777777" w:rsidR="00C1548D" w:rsidRDefault="009B1B4B">
      <w:pPr>
        <w:spacing w:after="140"/>
      </w:pPr>
      <w:r>
        <w:t>US-Matratzen haben eigene Maße, und die Unterschiede sind klein genug, um zu täuschen. Die Tabelle zeigt die fünf Größen mit der nächstliegenden deutschen Entsprechung (Näherungswerte).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11"/>
        <w:gridCol w:w="1287"/>
        <w:gridCol w:w="1516"/>
        <w:gridCol w:w="2366"/>
      </w:tblGrid>
      <w:tr w:rsidR="00C1548D" w14:paraId="70A4D86D" w14:textId="77777777">
        <w:tblPrEx>
          <w:tblCellMar>
            <w:top w:w="0" w:type="dxa"/>
            <w:bottom w:w="0" w:type="dxa"/>
          </w:tblCellMar>
        </w:tblPrEx>
        <w:trPr>
          <w:cantSplit/>
          <w:tblHeader/>
        </w:trPr>
        <w:tc>
          <w:tcPr>
            <w:tcW w:w="131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869" w14:textId="77777777" w:rsidR="00C1548D" w:rsidRDefault="009B1B4B">
            <w:pPr>
              <w:spacing w:line="250" w:lineRule="auto"/>
            </w:pPr>
            <w:r>
              <w:rPr>
                <w:b/>
                <w:bCs/>
                <w:sz w:val="18"/>
                <w:szCs w:val="18"/>
              </w:rPr>
              <w:t>US-Größe</w:t>
            </w:r>
          </w:p>
        </w:tc>
        <w:tc>
          <w:tcPr>
            <w:tcW w:w="128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86A" w14:textId="77777777" w:rsidR="00C1548D" w:rsidRDefault="009B1B4B">
            <w:pPr>
              <w:spacing w:line="250" w:lineRule="auto"/>
            </w:pPr>
            <w:r>
              <w:rPr>
                <w:b/>
                <w:bCs/>
                <w:sz w:val="18"/>
                <w:szCs w:val="18"/>
              </w:rPr>
              <w:t>Zoll</w:t>
            </w:r>
          </w:p>
        </w:tc>
        <w:tc>
          <w:tcPr>
            <w:tcW w:w="151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86B" w14:textId="77777777" w:rsidR="00C1548D" w:rsidRDefault="009B1B4B">
            <w:pPr>
              <w:spacing w:line="250" w:lineRule="auto"/>
            </w:pPr>
            <w:r>
              <w:rPr>
                <w:b/>
                <w:bCs/>
                <w:sz w:val="18"/>
                <w:szCs w:val="18"/>
              </w:rPr>
              <w:t>Zentimeter</w:t>
            </w:r>
          </w:p>
        </w:tc>
        <w:tc>
          <w:tcPr>
            <w:tcW w:w="236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86C" w14:textId="77777777" w:rsidR="00C1548D" w:rsidRDefault="009B1B4B">
            <w:pPr>
              <w:spacing w:line="250" w:lineRule="auto"/>
            </w:pPr>
            <w:r>
              <w:rPr>
                <w:b/>
                <w:bCs/>
                <w:sz w:val="18"/>
                <w:szCs w:val="18"/>
              </w:rPr>
              <w:t>Deutsche Entsprechung</w:t>
            </w:r>
          </w:p>
        </w:tc>
      </w:tr>
      <w:tr w:rsidR="00C1548D" w14:paraId="70A4D872"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6E" w14:textId="77777777" w:rsidR="00C1548D" w:rsidRDefault="009B1B4B">
            <w:pPr>
              <w:spacing w:line="250" w:lineRule="auto"/>
            </w:pPr>
            <w:r>
              <w:rPr>
                <w:sz w:val="18"/>
                <w:szCs w:val="18"/>
              </w:rPr>
              <w:t>Twin</w:t>
            </w:r>
          </w:p>
        </w:tc>
        <w:tc>
          <w:tcPr>
            <w:tcW w:w="1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6F" w14:textId="77777777" w:rsidR="00C1548D" w:rsidRDefault="009B1B4B">
            <w:pPr>
              <w:spacing w:line="250" w:lineRule="auto"/>
            </w:pPr>
            <w:r>
              <w:rPr>
                <w:sz w:val="18"/>
                <w:szCs w:val="18"/>
              </w:rPr>
              <w:t>38 × 75</w:t>
            </w:r>
          </w:p>
        </w:tc>
        <w:tc>
          <w:tcPr>
            <w:tcW w:w="1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0" w14:textId="77777777" w:rsidR="00C1548D" w:rsidRDefault="009B1B4B">
            <w:pPr>
              <w:spacing w:line="250" w:lineRule="auto"/>
            </w:pPr>
            <w:r>
              <w:rPr>
                <w:sz w:val="18"/>
                <w:szCs w:val="18"/>
              </w:rPr>
              <w:t>96,5 × 190,5</w:t>
            </w:r>
          </w:p>
        </w:tc>
        <w:tc>
          <w:tcPr>
            <w:tcW w:w="23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1" w14:textId="77777777" w:rsidR="00C1548D" w:rsidRDefault="009B1B4B">
            <w:pPr>
              <w:spacing w:line="250" w:lineRule="auto"/>
            </w:pPr>
            <w:r>
              <w:rPr>
                <w:sz w:val="18"/>
                <w:szCs w:val="18"/>
              </w:rPr>
              <w:t>90 × 200</w:t>
            </w:r>
          </w:p>
        </w:tc>
      </w:tr>
      <w:tr w:rsidR="00C1548D" w14:paraId="70A4D877"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3" w14:textId="77777777" w:rsidR="00C1548D" w:rsidRDefault="009B1B4B">
            <w:pPr>
              <w:spacing w:line="250" w:lineRule="auto"/>
            </w:pPr>
            <w:r>
              <w:rPr>
                <w:sz w:val="18"/>
                <w:szCs w:val="18"/>
              </w:rPr>
              <w:t>Full</w:t>
            </w:r>
          </w:p>
        </w:tc>
        <w:tc>
          <w:tcPr>
            <w:tcW w:w="1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4" w14:textId="77777777" w:rsidR="00C1548D" w:rsidRDefault="009B1B4B">
            <w:pPr>
              <w:spacing w:line="250" w:lineRule="auto"/>
            </w:pPr>
            <w:r>
              <w:rPr>
                <w:sz w:val="18"/>
                <w:szCs w:val="18"/>
              </w:rPr>
              <w:t>54 × 75</w:t>
            </w:r>
          </w:p>
        </w:tc>
        <w:tc>
          <w:tcPr>
            <w:tcW w:w="1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5" w14:textId="77777777" w:rsidR="00C1548D" w:rsidRDefault="009B1B4B">
            <w:pPr>
              <w:spacing w:line="250" w:lineRule="auto"/>
            </w:pPr>
            <w:r>
              <w:rPr>
                <w:sz w:val="18"/>
                <w:szCs w:val="18"/>
              </w:rPr>
              <w:t>137 × 190,5</w:t>
            </w:r>
          </w:p>
        </w:tc>
        <w:tc>
          <w:tcPr>
            <w:tcW w:w="23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6" w14:textId="77777777" w:rsidR="00C1548D" w:rsidRDefault="009B1B4B">
            <w:pPr>
              <w:spacing w:line="250" w:lineRule="auto"/>
            </w:pPr>
            <w:r>
              <w:rPr>
                <w:sz w:val="18"/>
                <w:szCs w:val="18"/>
              </w:rPr>
              <w:t>140 × 200</w:t>
            </w:r>
          </w:p>
        </w:tc>
      </w:tr>
      <w:tr w:rsidR="00C1548D" w14:paraId="70A4D87C"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8" w14:textId="77777777" w:rsidR="00C1548D" w:rsidRDefault="009B1B4B">
            <w:pPr>
              <w:spacing w:line="250" w:lineRule="auto"/>
            </w:pPr>
            <w:r>
              <w:rPr>
                <w:sz w:val="18"/>
                <w:szCs w:val="18"/>
              </w:rPr>
              <w:t>Queen</w:t>
            </w:r>
          </w:p>
        </w:tc>
        <w:tc>
          <w:tcPr>
            <w:tcW w:w="1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9" w14:textId="77777777" w:rsidR="00C1548D" w:rsidRDefault="009B1B4B">
            <w:pPr>
              <w:spacing w:line="250" w:lineRule="auto"/>
            </w:pPr>
            <w:r>
              <w:rPr>
                <w:sz w:val="18"/>
                <w:szCs w:val="18"/>
              </w:rPr>
              <w:t>60 × 80</w:t>
            </w:r>
          </w:p>
        </w:tc>
        <w:tc>
          <w:tcPr>
            <w:tcW w:w="1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A" w14:textId="77777777" w:rsidR="00C1548D" w:rsidRDefault="009B1B4B">
            <w:pPr>
              <w:spacing w:line="250" w:lineRule="auto"/>
            </w:pPr>
            <w:r>
              <w:rPr>
                <w:sz w:val="18"/>
                <w:szCs w:val="18"/>
              </w:rPr>
              <w:t>152 × 203</w:t>
            </w:r>
          </w:p>
        </w:tc>
        <w:tc>
          <w:tcPr>
            <w:tcW w:w="23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B" w14:textId="77777777" w:rsidR="00C1548D" w:rsidRDefault="009B1B4B">
            <w:pPr>
              <w:spacing w:line="250" w:lineRule="auto"/>
            </w:pPr>
            <w:r>
              <w:rPr>
                <w:sz w:val="18"/>
                <w:szCs w:val="18"/>
              </w:rPr>
              <w:t>160 × 200</w:t>
            </w:r>
          </w:p>
        </w:tc>
      </w:tr>
      <w:tr w:rsidR="00C1548D" w14:paraId="70A4D881"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D" w14:textId="77777777" w:rsidR="00C1548D" w:rsidRDefault="009B1B4B">
            <w:pPr>
              <w:spacing w:line="250" w:lineRule="auto"/>
            </w:pPr>
            <w:r>
              <w:rPr>
                <w:sz w:val="18"/>
                <w:szCs w:val="18"/>
              </w:rPr>
              <w:t>King</w:t>
            </w:r>
          </w:p>
        </w:tc>
        <w:tc>
          <w:tcPr>
            <w:tcW w:w="1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E" w14:textId="77777777" w:rsidR="00C1548D" w:rsidRDefault="009B1B4B">
            <w:pPr>
              <w:spacing w:line="250" w:lineRule="auto"/>
            </w:pPr>
            <w:r>
              <w:rPr>
                <w:sz w:val="18"/>
                <w:szCs w:val="18"/>
              </w:rPr>
              <w:t>76 × 80</w:t>
            </w:r>
          </w:p>
        </w:tc>
        <w:tc>
          <w:tcPr>
            <w:tcW w:w="1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7F" w14:textId="77777777" w:rsidR="00C1548D" w:rsidRDefault="009B1B4B">
            <w:pPr>
              <w:spacing w:line="250" w:lineRule="auto"/>
            </w:pPr>
            <w:r>
              <w:rPr>
                <w:sz w:val="18"/>
                <w:szCs w:val="18"/>
              </w:rPr>
              <w:t>193 × 203</w:t>
            </w:r>
          </w:p>
        </w:tc>
        <w:tc>
          <w:tcPr>
            <w:tcW w:w="23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80" w14:textId="77777777" w:rsidR="00C1548D" w:rsidRDefault="009B1B4B">
            <w:pPr>
              <w:spacing w:line="250" w:lineRule="auto"/>
            </w:pPr>
            <w:r>
              <w:rPr>
                <w:sz w:val="18"/>
                <w:szCs w:val="18"/>
              </w:rPr>
              <w:t>180 × 200 oder 200 × 200</w:t>
            </w:r>
          </w:p>
        </w:tc>
      </w:tr>
      <w:tr w:rsidR="00C1548D" w14:paraId="70A4D886"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82" w14:textId="77777777" w:rsidR="00C1548D" w:rsidRDefault="009B1B4B">
            <w:pPr>
              <w:spacing w:line="250" w:lineRule="auto"/>
            </w:pPr>
            <w:r>
              <w:rPr>
                <w:sz w:val="18"/>
                <w:szCs w:val="18"/>
              </w:rPr>
              <w:t>California King</w:t>
            </w:r>
          </w:p>
        </w:tc>
        <w:tc>
          <w:tcPr>
            <w:tcW w:w="1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83" w14:textId="77777777" w:rsidR="00C1548D" w:rsidRDefault="009B1B4B">
            <w:pPr>
              <w:spacing w:line="250" w:lineRule="auto"/>
            </w:pPr>
            <w:r>
              <w:rPr>
                <w:sz w:val="18"/>
                <w:szCs w:val="18"/>
              </w:rPr>
              <w:t>72 × 84</w:t>
            </w:r>
          </w:p>
        </w:tc>
        <w:tc>
          <w:tcPr>
            <w:tcW w:w="1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84" w14:textId="77777777" w:rsidR="00C1548D" w:rsidRDefault="009B1B4B">
            <w:pPr>
              <w:spacing w:line="250" w:lineRule="auto"/>
            </w:pPr>
            <w:r>
              <w:rPr>
                <w:sz w:val="18"/>
                <w:szCs w:val="18"/>
              </w:rPr>
              <w:t>183 × 213</w:t>
            </w:r>
          </w:p>
        </w:tc>
        <w:tc>
          <w:tcPr>
            <w:tcW w:w="23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85" w14:textId="77777777" w:rsidR="00C1548D" w:rsidRDefault="009B1B4B">
            <w:pPr>
              <w:spacing w:line="250" w:lineRule="auto"/>
            </w:pPr>
            <w:r>
              <w:rPr>
                <w:sz w:val="18"/>
                <w:szCs w:val="18"/>
              </w:rPr>
              <w:t>180 × 200</w:t>
            </w:r>
          </w:p>
        </w:tc>
      </w:tr>
    </w:tbl>
    <w:p w14:paraId="70A4D887" w14:textId="77777777" w:rsidR="00C1548D" w:rsidRDefault="00C1548D">
      <w:pPr>
        <w:spacing w:line="180" w:lineRule="exact"/>
      </w:pPr>
    </w:p>
    <w:p w14:paraId="70A4D888" w14:textId="77777777" w:rsidR="00C1548D" w:rsidRDefault="009B1B4B">
      <w:pPr>
        <w:spacing w:after="140"/>
      </w:pPr>
      <w: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w:t>
      </w:r>
      <w:r>
        <w:rPr>
          <w:i/>
          <w:iCs/>
        </w:rPr>
        <w:t>Deep Pocket</w:t>
      </w:r>
      <w:r>
        <w:t xml:space="preserve">). Als Unterbau dient statt des Lattenrosts oft ein </w:t>
      </w:r>
      <w:r>
        <w:rPr>
          <w:i/>
          <w:iCs/>
        </w:rPr>
        <w:t>Box Spring</w:t>
      </w:r>
      <w:r>
        <w:t xml:space="preserve"> (flacher Rahmen, mit oder ohne Federn) oder eine Plattform. Das US-Standardkissen (20 × 26 in) misst 51 × 66 cm, deutlich weniger als die gewohnten 80 × 80 cm.</w:t>
      </w:r>
    </w:p>
    <w:p w14:paraId="70A4D889" w14:textId="77777777" w:rsidR="00C1548D" w:rsidRDefault="009B1B4B">
      <w:pPr>
        <w:spacing w:after="140"/>
      </w:pPr>
      <w:r>
        <w:lastRenderedPageBreak/>
        <w:t>Deine deutschen Bettdecken (135 × 200 cm) kannst du weiter benutzen, sie wirken auf einem Queen- oder King-Bett aber schmal; US-Bezüge passen nur auf US-Decken. Handtücher sind unproblematisch: Nimm die Lieblingsstücke mit, den Rest ersetzt du vor Ort.</w:t>
      </w:r>
    </w:p>
    <w:p w14:paraId="70A4D88A" w14:textId="77777777" w:rsidR="00C1548D" w:rsidRDefault="009B1B4B">
      <w:pPr>
        <w:spacing w:after="140"/>
      </w:pPr>
      <w:r>
        <w:t>Bettgestelle, Lattenroste und Matratzen verkaufst du also, Bettwäsche kaufst du in US-Größe neu. Für eine Queen-Matratze rechnest du mit 400–1.200 $ (Markt-Durchschnitt 600–800 $, Stand 2026).</w:t>
      </w:r>
    </w:p>
    <w:p w14:paraId="70A4D88B" w14:textId="77777777" w:rsidR="00C1548D" w:rsidRDefault="009B1B4B">
      <w:pPr>
        <w:pStyle w:val="Heading3"/>
        <w:keepNext/>
        <w:jc w:val="center"/>
      </w:pPr>
      <w:r>
        <w:rPr>
          <w:rFonts w:ascii="Amazon Ember" w:eastAsia="Amazon Ember" w:hAnsi="Amazon Ember" w:cs="Amazon Ember"/>
          <w:color w:val="0000FF"/>
          <w:sz w:val="36"/>
          <w:szCs w:val="36"/>
        </w:rPr>
        <w:t>Wohn- und Esszimmer: Möbel</w:t>
      </w:r>
    </w:p>
    <w:p w14:paraId="70A4D88C" w14:textId="77777777" w:rsidR="00C1548D" w:rsidRDefault="009B1B4B">
      <w:pPr>
        <w:spacing w:after="140"/>
      </w:pPr>
      <w:r>
        <w:t>Die Wohnung bestimmt, was hineinpasst. Innentüren sind meist 80 in (203 cm) hoch und 24–36 in (61–91 cm) breit, Decken in der Regel 8 ft (244 cm) hoch. Miss hohe Schränke, breite Sofas und lange Tische vorab aus und vergleiche sie mit dem Grundriss. Einen Kleiderschrank brauchst du oft nicht: Die meisten US-Schlafzimmer haben eingebaute Wandschränke (</w:t>
      </w:r>
      <w:r>
        <w:rPr>
          <w:i/>
          <w:iCs/>
        </w:rPr>
        <w:t>Closets</w:t>
      </w:r>
      <w:r>
        <w:t>).</w:t>
      </w:r>
    </w:p>
    <w:p w14:paraId="70A4D88D" w14:textId="5826EF92" w:rsidR="00C1548D" w:rsidRDefault="009B1B4B">
      <w:pPr>
        <w:spacing w:after="140"/>
      </w:pPr>
      <w:r>
        <w:t>Für Neuware sind Möbel zurzeit ein Preistreiber. Auf importierte Polstermöbel, Küchenschränke und Waschtischunterschränke (</w:t>
      </w:r>
      <w:r>
        <w:rPr>
          <w:i/>
          <w:iCs/>
        </w:rPr>
        <w:t>Vanities</w:t>
      </w:r>
      <w:r>
        <w:t>) liegt seit Herbst 2025 ein Zoll von 25 % (Section 232). Die 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history="1">
        <w:r>
          <w:t>20</w:t>
        </w:r>
      </w:hyperlink>
      <w:r>
        <w:t>).</w:t>
      </w:r>
    </w:p>
    <w:p w14:paraId="70A4D88E" w14:textId="77777777" w:rsidR="00C1548D" w:rsidRDefault="009B1B4B">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w14:paraId="70A4D88F" w14:textId="77777777" w:rsidR="00C1548D" w:rsidRDefault="009B1B4B">
      <w:pPr>
        <w:pStyle w:val="Heading3"/>
        <w:keepNext/>
        <w:jc w:val="center"/>
      </w:pPr>
      <w:r>
        <w:rPr>
          <w:rFonts w:ascii="Amazon Ember" w:eastAsia="Amazon Ember" w:hAnsi="Amazon Ember" w:cs="Amazon Ember"/>
          <w:color w:val="0000FF"/>
          <w:sz w:val="36"/>
          <w:szCs w:val="36"/>
        </w:rPr>
        <w:lastRenderedPageBreak/>
        <w:t>Küche: Geräte, Töpfe, Herdtypen</w:t>
      </w:r>
    </w:p>
    <w:p w14:paraId="70A4D890" w14:textId="681E77DC" w:rsidR="00C1548D" w:rsidRDefault="009B1B4B">
      <w:pPr>
        <w:spacing w:after="140"/>
      </w:pPr>
      <w:r>
        <w:t>Anders als in vielen deutschen Mietwohnungen, in denen du die Küche selbst mitbringst, gehört die US-Küche zur Wohnung: Kühlschrank, Herd mit Backofen und meist auch ein Geschirrspüler sind da (Kapitel </w:t>
      </w:r>
      <w:hyperlink w:anchor="k13" w:history="1">
        <w:r>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w14:paraId="70A4D891" w14:textId="5252DBB4" w:rsidR="00C1548D" w:rsidRDefault="009B1B4B">
      <w:pPr>
        <w:spacing w:after="140"/>
      </w:pPr>
      <w: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history="1">
        <w:r>
          <w:t>35</w:t>
        </w:r>
      </w:hyperlink>
      <w:r>
        <w:t>).</w:t>
      </w:r>
    </w:p>
    <w:p w14:paraId="70A4D892" w14:textId="77777777" w:rsidR="00C1548D" w:rsidRDefault="009B1B4B" w:rsidP="009B1B4B">
      <w:pPr>
        <w:pStyle w:val="ListParagraph"/>
        <w:numPr>
          <w:ilvl w:val="0"/>
          <w:numId w:val="1"/>
        </w:numPr>
        <w:spacing w:after="60"/>
      </w:pPr>
      <w:r>
        <w:rPr>
          <w:b/>
          <w:bCs/>
        </w:rPr>
        <w:t>Mitnehmen:</w:t>
      </w:r>
      <w:r>
        <w:t xml:space="preserve"> gute Messer, Pfannen, Töpfe und Bräter, Backformen, Lieblingsgeschirr, Besteck, Küchenwaage, Mokkakanne.</w:t>
      </w:r>
    </w:p>
    <w:p w14:paraId="70A4D893" w14:textId="77777777" w:rsidR="00C1548D" w:rsidRDefault="009B1B4B" w:rsidP="009B1B4B">
      <w:pPr>
        <w:pStyle w:val="ListParagraph"/>
        <w:numPr>
          <w:ilvl w:val="0"/>
          <w:numId w:val="1"/>
        </w:numPr>
        <w:spacing w:after="60"/>
      </w:pPr>
      <w:r>
        <w:rPr>
          <w:b/>
          <w:bCs/>
        </w:rPr>
        <w:t>Verkaufen:</w:t>
      </w:r>
      <w:r>
        <w:t xml:space="preserve"> Wasserkocher, Toaster, Kaffeemaschine, Mixer, Küchenmaschine (Heizung oder Motor für 230 V).</w:t>
      </w:r>
    </w:p>
    <w:p w14:paraId="70A4D894" w14:textId="77777777" w:rsidR="00C1548D" w:rsidRDefault="009B1B4B" w:rsidP="009B1B4B">
      <w:pPr>
        <w:pStyle w:val="ListParagraph"/>
        <w:numPr>
          <w:ilvl w:val="0"/>
          <w:numId w:val="1"/>
        </w:numPr>
        <w:spacing w:after="60"/>
      </w:pPr>
      <w:r>
        <w:rPr>
          <w:b/>
          <w:bCs/>
        </w:rPr>
        <w:t>Neu kaufen:</w:t>
      </w:r>
      <w:r>
        <w:t xml:space="preserve"> Ratgeber nennen für eine funktionale Grundausstattung 150–400 $ und für 30 Basisteile 345–580 $ (2026).</w:t>
      </w:r>
    </w:p>
    <w:p w14:paraId="70A4D89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98"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896" w14:textId="77777777" w:rsidR="00C1548D" w:rsidRDefault="009B1B4B">
            <w:pPr>
              <w:keepNext/>
              <w:spacing w:after="70" w:line="240" w:lineRule="auto"/>
            </w:pPr>
            <w:r>
              <w:rPr>
                <w:b/>
                <w:bCs/>
                <w:color w:val="2F6B3B"/>
                <w:spacing w:val="24"/>
                <w:sz w:val="16"/>
                <w:szCs w:val="16"/>
              </w:rPr>
              <w:t>SPARTIPP</w:t>
            </w:r>
          </w:p>
          <w:p w14:paraId="70A4D897" w14:textId="77777777" w:rsidR="00C1548D" w:rsidRDefault="009B1B4B">
            <w:pPr>
              <w:spacing w:after="80" w:line="264" w:lineRule="auto"/>
            </w:pPr>
            <w:r>
              <w:rPr>
                <w:sz w:val="20"/>
                <w:szCs w:val="20"/>
              </w:rPr>
              <w:t>Töpfe, Geschirr und Besteck gibt es bei Goodwill und auf Estate Sales für einen Bruchteil des Neupreises. Kaufe dort, was dir nicht persönlich wichtig ist, und spare Container-Volumen für die guten Stücke.</w:t>
            </w:r>
          </w:p>
        </w:tc>
      </w:tr>
    </w:tbl>
    <w:p w14:paraId="70A4D899" w14:textId="77777777" w:rsidR="00C1548D" w:rsidRDefault="00C1548D">
      <w:pPr>
        <w:spacing w:line="220" w:lineRule="exact"/>
      </w:pPr>
    </w:p>
    <w:p w14:paraId="70A4D89A" w14:textId="77777777" w:rsidR="00C1548D" w:rsidRDefault="009B1B4B">
      <w:pPr>
        <w:pStyle w:val="Heading3"/>
        <w:keepNext/>
        <w:jc w:val="center"/>
      </w:pPr>
      <w:r>
        <w:rPr>
          <w:rFonts w:ascii="Amazon Ember" w:eastAsia="Amazon Ember" w:hAnsi="Amazon Ember" w:cs="Amazon Ember"/>
          <w:color w:val="0000FF"/>
          <w:sz w:val="36"/>
          <w:szCs w:val="36"/>
        </w:rPr>
        <w:lastRenderedPageBreak/>
        <w:t>Arbeitszimmer und Technik: Elektronik, Fernseher, Handy</w:t>
      </w:r>
    </w:p>
    <w:p w14:paraId="70A4D89B" w14:textId="77777777" w:rsidR="00C1548D" w:rsidRDefault="009B1B4B">
      <w:pPr>
        <w:spacing w:after="140"/>
      </w:pPr>
      <w:r>
        <w:t xml:space="preserve">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w:t>
      </w:r>
      <w:r>
        <w:t>bleibt so mitten in der letzten Staffel hinter der Ländersperre stecken.</w:t>
      </w:r>
    </w:p>
    <w:p w14:paraId="70A4D89C" w14:textId="181A6666" w:rsidR="00C1548D" w:rsidRDefault="009B1B4B">
      <w:pPr>
        <w:spacing w:after="140"/>
      </w:pPr>
      <w: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history="1">
        <w:r>
          <w:t>25</w:t>
        </w:r>
      </w:hyperlink>
      <w:r>
        <w:t>). Papier hat das Format Letter (8,5 × 11 in, 21,6 × 27,9 cm) statt DIN A4, und Ordner haben eine andere Lochung; Ordner und Locher kaufst du vor Ort.</w:t>
      </w:r>
    </w:p>
    <w:p w14:paraId="70A4D89D" w14:textId="39293EDB" w:rsidR="00C1548D" w:rsidRDefault="009B1B4B">
      <w:pPr>
        <w:spacing w:after="140"/>
      </w:pPr>
      <w: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history="1">
        <w:r>
          <w:t>23</w:t>
        </w:r>
      </w:hyperlink>
      <w:r>
        <w:t xml:space="preserve"> und </w:t>
      </w:r>
      <w:hyperlink w:anchor="k25" w:history="1">
        <w:r>
          <w:t>25</w:t>
        </w:r>
      </w:hyperlink>
      <w:r>
        <w:t>).</w:t>
      </w:r>
    </w:p>
    <w:p w14:paraId="70A4D89E" w14:textId="77777777" w:rsidR="00C1548D" w:rsidRDefault="009B1B4B">
      <w:pPr>
        <w:pStyle w:val="Heading3"/>
        <w:keepNext/>
        <w:jc w:val="center"/>
      </w:pPr>
      <w:r>
        <w:rPr>
          <w:rFonts w:ascii="Amazon Ember" w:eastAsia="Amazon Ember" w:hAnsi="Amazon Ember" w:cs="Amazon Ember"/>
          <w:color w:val="0000FF"/>
          <w:sz w:val="36"/>
          <w:szCs w:val="36"/>
        </w:rPr>
        <w:lastRenderedPageBreak/>
        <w:t>Keller und Garage: Werkzeug, Fahrräder, Sport</w:t>
      </w:r>
    </w:p>
    <w:p w14:paraId="70A4D89F" w14:textId="77777777" w:rsidR="00C1548D" w:rsidRDefault="009B1B4B">
      <w:pPr>
        <w:spacing w:after="140"/>
      </w:pPr>
      <w:r>
        <w:t xml:space="preserve">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w:t>
      </w:r>
      <w:r>
        <w:t>Ort. Kabelgebundene 230-V-Elektrowerkzeuge verkaufst du. Bei Akkuwerkzeug muss das Ladegerät 100–240 V abdecken. Ersatz gibt es in Baumärkten wie Home Depot und Lowe’s.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A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8A0" w14:textId="77777777" w:rsidR="00C1548D" w:rsidRDefault="009B1B4B">
            <w:pPr>
              <w:keepNext/>
              <w:spacing w:after="70" w:line="240" w:lineRule="auto"/>
            </w:pPr>
            <w:r>
              <w:rPr>
                <w:b/>
                <w:bCs/>
                <w:color w:val="9B2C2C"/>
                <w:spacing w:val="24"/>
                <w:sz w:val="16"/>
                <w:szCs w:val="16"/>
              </w:rPr>
              <w:t>ACHTUNG</w:t>
            </w:r>
          </w:p>
          <w:p w14:paraId="70A4D8A1" w14:textId="585F662C" w:rsidR="00C1548D" w:rsidRDefault="009B1B4B">
            <w:pPr>
              <w:spacing w:after="80" w:line="264" w:lineRule="auto"/>
            </w:pPr>
            <w:r>
              <w:rPr>
                <w:sz w:val="20"/>
                <w:szCs w:val="20"/>
              </w:rPr>
              <w:t>Lithium-Akkus (Akkuschrauber, E-Bike) gelten als Gefahrgut, und viele Umzugsfirmen schließen sie aus oder verlangen Sonderverpackung. Frage im Angebot ausdrücklich danach, bevor du Akkugeräte einplanst (mehr zu Verbotenem und Beschränktem im Umzugsgut: Kapitel </w:t>
            </w:r>
            <w:hyperlink w:anchor="k20" w:history="1">
              <w:r>
                <w:rPr>
                  <w:sz w:val="20"/>
                  <w:szCs w:val="20"/>
                </w:rPr>
                <w:t>20</w:t>
              </w:r>
            </w:hyperlink>
            <w:r>
              <w:rPr>
                <w:sz w:val="20"/>
                <w:szCs w:val="20"/>
              </w:rPr>
              <w:t>).</w:t>
            </w:r>
          </w:p>
        </w:tc>
      </w:tr>
    </w:tbl>
    <w:p w14:paraId="70A4D8A3" w14:textId="77777777" w:rsidR="00C1548D" w:rsidRDefault="00C1548D">
      <w:pPr>
        <w:spacing w:line="220" w:lineRule="exact"/>
      </w:pPr>
    </w:p>
    <w:p w14:paraId="70A4D8A4" w14:textId="2EA15BB8" w:rsidR="00C1548D" w:rsidRDefault="009B1B4B">
      <w:pPr>
        <w:spacing w:after="140"/>
      </w:pPr>
      <w:r>
        <w:t>Bei Fahrrädern lohnt sich das Mitnehmen für hochwertige Rennräder, Mountainbikes und Reiseräder, die du verpackt 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history="1">
        <w:r>
          <w:t>34</w:t>
        </w:r>
      </w:hyperlink>
      <w:r>
        <w:t>). Fitnessgeräte sind schwer und in den USA gebraucht leicht zu bekommen: verkaufen. Das Auto bleibt ebenfalls zurück; es lohnt sich fast nie (Kapitel </w:t>
      </w:r>
      <w:hyperlink w:anchor="k27" w:history="1">
        <w:r>
          <w:t>27</w:t>
        </w:r>
      </w:hyperlink>
      <w:r>
        <w:t>).</w:t>
      </w:r>
    </w:p>
    <w:p w14:paraId="70A4D8A5" w14:textId="77777777" w:rsidR="00C1548D" w:rsidRDefault="009B1B4B">
      <w:pPr>
        <w:pStyle w:val="Heading3"/>
        <w:keepNext/>
        <w:jc w:val="center"/>
      </w:pPr>
      <w:r>
        <w:rPr>
          <w:rFonts w:ascii="Amazon Ember" w:eastAsia="Amazon Ember" w:hAnsi="Amazon Ember" w:cs="Amazon Ember"/>
          <w:color w:val="0000FF"/>
          <w:sz w:val="36"/>
          <w:szCs w:val="36"/>
        </w:rPr>
        <w:lastRenderedPageBreak/>
        <w:t>Kinderzimmer, Regale, Kleiderschrank: Bücher, Kleidung, Spielzeug</w:t>
      </w:r>
    </w:p>
    <w:p w14:paraId="70A4D8A6" w14:textId="5D48B2C6" w:rsidR="00C1548D" w:rsidRDefault="009B1B4B">
      <w:pPr>
        <w:spacing w:after="140"/>
      </w:pPr>
      <w:r>
        <w:t>Bücher wiegen viel, sind im Sammelcontainer aber vergleichsweise günstig (Rechnung oben). Nimm deine Lieblingsbücher und die deutschen Kinderbücher mit; wie du Deutsch im Alltag der Kinder bewahrst, steht in Kapitel </w:t>
      </w:r>
      <w:hyperlink w:anchor="k37" w:history="1">
        <w:r>
          <w:t>37</w:t>
        </w:r>
      </w:hyperlink>
      <w:r>
        <w:t>. Den Rest verkaufst du oder spendest ihn, ein E-Reader spart Platz. Zur Kleidung siehe Kapitel </w:t>
      </w:r>
      <w:hyperlink w:anchor="k34" w:history="1">
        <w:r>
          <w:t>34</w:t>
        </w:r>
      </w:hyperlink>
      <w:r>
        <w:t>.</w:t>
      </w:r>
    </w:p>
    <w:p w14:paraId="70A4D8A7" w14:textId="77777777" w:rsidR="00C1548D" w:rsidRDefault="009B1B4B">
      <w:pPr>
        <w:spacing w:after="140"/>
      </w:pPr>
      <w:r>
        <w:t>Bei Spielzeug zählt, woran die Kinder hängen. Lieblingsstücke, Kuscheltiere, Lego und Puzzles nimmst du mit, alles Übrige kaufst du gebraucht: In Vorstädten gibt es am Wochenende Garagenverkäufe (</w:t>
      </w:r>
      <w:r>
        <w:rPr>
          <w:i/>
          <w:iCs/>
        </w:rPr>
        <w:t>Garage Sales</w:t>
      </w:r>
      <w:r>
        <w:t xml:space="preserve"> oder </w:t>
      </w:r>
      <w:r>
        <w:rPr>
          <w:i/>
          <w:iCs/>
        </w:rPr>
        <w:t>Yard Sales</w:t>
      </w:r>
      <w:r>
        <w:t>), bei denen Spielzeug und Kinderkleidung oft für kleine Beträge den Besitzer wechseln.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8A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8A8" w14:textId="77777777" w:rsidR="00C1548D" w:rsidRDefault="009B1B4B">
            <w:pPr>
              <w:keepNext/>
              <w:spacing w:after="70" w:line="240" w:lineRule="auto"/>
            </w:pPr>
            <w:r>
              <w:rPr>
                <w:b/>
                <w:bCs/>
                <w:color w:val="9B2C2C"/>
                <w:spacing w:val="24"/>
                <w:sz w:val="16"/>
                <w:szCs w:val="16"/>
              </w:rPr>
              <w:t>ACHTUNG</w:t>
            </w:r>
          </w:p>
          <w:p w14:paraId="70A4D8A9" w14:textId="00263243" w:rsidR="00C1548D" w:rsidRDefault="009B1B4B">
            <w:pPr>
              <w:spacing w:after="80" w:line="264" w:lineRule="auto"/>
            </w:pPr>
            <w:r>
              <w:rPr>
                <w:sz w:val="20"/>
                <w:szCs w:val="20"/>
              </w:rPr>
              <w:t>Kindersitze aus Deutschland folgen der europäischen ECE-Norm, nicht der US-Norm FMVSS 213, und gelten in den USA als nicht zugelassen. Kaufe Kindersitze vor Ort und prüfe die Vorgaben deines Bundesstaats (Kapitel </w:t>
            </w:r>
            <w:hyperlink w:anchor="k38" w:history="1">
              <w:r>
                <w:rPr>
                  <w:sz w:val="20"/>
                  <w:szCs w:val="20"/>
                </w:rPr>
                <w:t>38</w:t>
              </w:r>
            </w:hyperlink>
            <w:r>
              <w:rPr>
                <w:sz w:val="20"/>
                <w:szCs w:val="20"/>
              </w:rPr>
              <w:t>).</w:t>
            </w:r>
          </w:p>
        </w:tc>
      </w:tr>
    </w:tbl>
    <w:p w14:paraId="70A4D8AB" w14:textId="77777777" w:rsidR="00C1548D" w:rsidRDefault="00C1548D">
      <w:pPr>
        <w:spacing w:line="220" w:lineRule="exact"/>
      </w:pPr>
    </w:p>
    <w:p w14:paraId="70A4D8AC" w14:textId="77777777" w:rsidR="00C1548D" w:rsidRDefault="009B1B4B">
      <w:pPr>
        <w:pStyle w:val="Heading3"/>
        <w:keepNext/>
        <w:jc w:val="center"/>
      </w:pPr>
      <w:r>
        <w:rPr>
          <w:rFonts w:ascii="Amazon Ember" w:eastAsia="Amazon Ember" w:hAnsi="Amazon Ember" w:cs="Amazon Ember"/>
          <w:color w:val="0000FF"/>
          <w:sz w:val="36"/>
          <w:szCs w:val="36"/>
        </w:rPr>
        <w:t>Kunst und Erinnerungsstücke</w:t>
      </w:r>
    </w:p>
    <w:p w14:paraId="70A4D8AD" w14:textId="6F5EA5E0" w:rsidR="00C1548D" w:rsidRDefault="009B1B4B">
      <w:pPr>
        <w:spacing w:after="140"/>
      </w:pPr>
      <w: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history="1">
        <w:r>
          <w:t>20</w:t>
        </w:r>
      </w:hyperlink>
      <w:r>
        <w:t>). Lass Bilder und Spiegel in Kisten mit Kantenschutz packen. Schmuck, Uhren, Datenträger und Originaldokumente reisen bei dir.</w:t>
      </w:r>
    </w:p>
    <w:p w14:paraId="70A4D8AE" w14:textId="3FD39328" w:rsidR="00C1548D" w:rsidRDefault="009B1B4B">
      <w:pPr>
        <w:spacing w:after="140"/>
      </w:pPr>
      <w:r>
        <w:t xml:space="preserve">Kritisch sind Artenschutz und Kulturgut: Elfenbein ohne Genehmigung ist in den USA verboten, und für wertvolles Kulturgut </w:t>
      </w:r>
      <w:r>
        <w:lastRenderedPageBreak/>
        <w:t>brauchst du bei der Ausfuhr aus Deutschland unter Umständen eine Genehmigung (Kapitel </w:t>
      </w:r>
      <w:hyperlink w:anchor="k20" w:history="1">
        <w:r>
          <w:t>20</w:t>
        </w:r>
      </w:hyperlink>
      <w:r>
        <w:t>). Digitalisiere Fotos und Dokumente vorab. Ein paar vertraute Dinge an der Wand helfen außerdem gegen Heimweh (Kapitel </w:t>
      </w:r>
      <w:hyperlink w:anchor="k33" w:history="1">
        <w:r>
          <w:t>33</w:t>
        </w:r>
      </w:hyperlink>
      <w:r>
        <w:t>).</w:t>
      </w:r>
    </w:p>
    <w:p w14:paraId="70A4D8AF" w14:textId="77777777" w:rsidR="00C1548D" w:rsidRDefault="009B1B4B">
      <w:pPr>
        <w:pStyle w:val="Heading3"/>
        <w:keepNext/>
        <w:jc w:val="center"/>
      </w:pPr>
      <w:r>
        <w:rPr>
          <w:rFonts w:ascii="Amazon Ember" w:eastAsia="Amazon Ember" w:hAnsi="Amazon Ember" w:cs="Amazon Ember"/>
          <w:color w:val="0000FF"/>
          <w:sz w:val="36"/>
          <w:szCs w:val="36"/>
        </w:rPr>
        <w:t>Die Übersicht: Mitnehmen, verkaufen oder neu kaufen</w:t>
      </w:r>
    </w:p>
    <w:p w14:paraId="70A4D8B0" w14:textId="77777777" w:rsidR="00C1548D" w:rsidRDefault="009B1B4B">
      <w:pPr>
        <w:spacing w:after="140"/>
      </w:pPr>
      <w:r>
        <w:t>Die Tabelle fasst die Empfehlungen zusammen. Die Ersatzkosten sind Spannen aus Ratgeber- und Anbietertexten (Stand 2026) und zeigen die Größenordnung, keine Festpreise.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4"/>
        <w:gridCol w:w="1202"/>
        <w:gridCol w:w="1853"/>
        <w:gridCol w:w="2001"/>
      </w:tblGrid>
      <w:tr w:rsidR="00C1548D" w14:paraId="70A4D8B5" w14:textId="77777777">
        <w:tblPrEx>
          <w:tblCellMar>
            <w:top w:w="0" w:type="dxa"/>
            <w:bottom w:w="0" w:type="dxa"/>
          </w:tblCellMar>
        </w:tblPrEx>
        <w:trPr>
          <w:cantSplit/>
          <w:tblHeader/>
        </w:trPr>
        <w:tc>
          <w:tcPr>
            <w:tcW w:w="142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8B1" w14:textId="77777777" w:rsidR="00C1548D" w:rsidRDefault="009B1B4B">
            <w:pPr>
              <w:spacing w:line="250" w:lineRule="auto"/>
            </w:pPr>
            <w:r>
              <w:rPr>
                <w:b/>
                <w:bCs/>
                <w:sz w:val="18"/>
                <w:szCs w:val="18"/>
              </w:rPr>
              <w:t>Kategorie</w:t>
            </w:r>
          </w:p>
        </w:tc>
        <w:tc>
          <w:tcPr>
            <w:tcW w:w="120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8B2" w14:textId="77777777" w:rsidR="00C1548D" w:rsidRDefault="009B1B4B">
            <w:pPr>
              <w:spacing w:line="250" w:lineRule="auto"/>
            </w:pPr>
            <w:r>
              <w:rPr>
                <w:b/>
                <w:bCs/>
                <w:sz w:val="18"/>
                <w:szCs w:val="18"/>
              </w:rPr>
              <w:t>Empfehlung</w:t>
            </w:r>
          </w:p>
        </w:tc>
        <w:tc>
          <w:tcPr>
            <w:tcW w:w="18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8B3" w14:textId="77777777" w:rsidR="00C1548D" w:rsidRDefault="009B1B4B">
            <w:pPr>
              <w:spacing w:line="250" w:lineRule="auto"/>
            </w:pPr>
            <w:r>
              <w:rPr>
                <w:b/>
                <w:bCs/>
                <w:sz w:val="18"/>
                <w:szCs w:val="18"/>
              </w:rPr>
              <w:t>Warum</w:t>
            </w:r>
          </w:p>
        </w:tc>
        <w:tc>
          <w:tcPr>
            <w:tcW w:w="200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8B4" w14:textId="77777777" w:rsidR="00C1548D" w:rsidRDefault="009B1B4B">
            <w:pPr>
              <w:spacing w:line="250" w:lineRule="auto"/>
            </w:pPr>
            <w:r>
              <w:rPr>
                <w:b/>
                <w:bCs/>
                <w:sz w:val="18"/>
                <w:szCs w:val="18"/>
              </w:rPr>
              <w:t>Ersatzkosten in den USA</w:t>
            </w:r>
          </w:p>
        </w:tc>
      </w:tr>
      <w:tr w:rsidR="00C1548D" w14:paraId="70A4D8BA"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B6" w14:textId="77777777" w:rsidR="00C1548D" w:rsidRDefault="009B1B4B">
            <w:pPr>
              <w:spacing w:line="250" w:lineRule="auto"/>
            </w:pPr>
            <w:r>
              <w:rPr>
                <w:sz w:val="18"/>
                <w:szCs w:val="18"/>
              </w:rPr>
              <w:t>Standardmöbel, Sofa</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B7" w14:textId="77777777" w:rsidR="00C1548D" w:rsidRDefault="009B1B4B">
            <w:pPr>
              <w:spacing w:line="250" w:lineRule="auto"/>
            </w:pPr>
            <w:r>
              <w:rPr>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B8" w14:textId="77777777" w:rsidR="00C1548D" w:rsidRDefault="009B1B4B">
            <w:pPr>
              <w:spacing w:line="250" w:lineRule="auto"/>
            </w:pPr>
            <w:r>
              <w:rPr>
                <w:sz w:val="18"/>
                <w:szCs w:val="18"/>
              </w:rPr>
              <w:t>Fracht (250–600 € je Sofa) liegt nahe am Ersatz</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B9" w14:textId="77777777" w:rsidR="00C1548D" w:rsidRDefault="009B1B4B">
            <w:pPr>
              <w:spacing w:line="250" w:lineRule="auto"/>
            </w:pPr>
            <w:r>
              <w:rPr>
                <w:sz w:val="18"/>
                <w:szCs w:val="18"/>
              </w:rPr>
              <w:t>Sofa 800–2.000 $, Esstisch 500–2.000 $</w:t>
            </w:r>
          </w:p>
        </w:tc>
      </w:tr>
      <w:tr w:rsidR="00C1548D" w14:paraId="70A4D8BF"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BB" w14:textId="77777777" w:rsidR="00C1548D" w:rsidRDefault="009B1B4B">
            <w:pPr>
              <w:spacing w:line="250" w:lineRule="auto"/>
            </w:pPr>
            <w:r>
              <w:rPr>
                <w:sz w:val="18"/>
                <w:szCs w:val="18"/>
              </w:rPr>
              <w:t>Hochwertige Einzelstücke</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BC" w14:textId="77777777" w:rsidR="00C1548D" w:rsidRDefault="009B1B4B">
            <w:pPr>
              <w:spacing w:line="250" w:lineRule="auto"/>
            </w:pPr>
            <w:r>
              <w:rPr>
                <w:sz w:val="18"/>
                <w:szCs w:val="18"/>
              </w:rPr>
              <w:t>Mitnehmen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BD" w14:textId="77777777" w:rsidR="00C1548D" w:rsidRDefault="009B1B4B">
            <w:pPr>
              <w:spacing w:line="250" w:lineRule="auto"/>
            </w:pPr>
            <w:r>
              <w:rPr>
                <w:sz w:val="18"/>
                <w:szCs w:val="18"/>
              </w:rPr>
              <w:t>Ersatz teuer, Maße vorher prüfen</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BE" w14:textId="77777777" w:rsidR="00C1548D" w:rsidRDefault="009B1B4B">
            <w:pPr>
              <w:spacing w:line="250" w:lineRule="auto"/>
            </w:pPr>
            <w:r>
              <w:rPr>
                <w:sz w:val="18"/>
                <w:szCs w:val="18"/>
              </w:rPr>
              <w:t>Premium-Sofa 2.000–5.000 $ und mehr</w:t>
            </w:r>
          </w:p>
        </w:tc>
      </w:tr>
      <w:tr w:rsidR="00C1548D" w14:paraId="70A4D8C4"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0" w14:textId="77777777" w:rsidR="00C1548D" w:rsidRDefault="009B1B4B">
            <w:pPr>
              <w:spacing w:line="250" w:lineRule="auto"/>
            </w:pPr>
            <w:r>
              <w:rPr>
                <w:sz w:val="18"/>
                <w:szCs w:val="18"/>
              </w:rPr>
              <w:t>Betten, Matratzen, Lattenroste</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1" w14:textId="77777777" w:rsidR="00C1548D" w:rsidRDefault="009B1B4B">
            <w:pPr>
              <w:spacing w:line="250" w:lineRule="auto"/>
            </w:pPr>
            <w:r>
              <w:rPr>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2" w14:textId="77777777" w:rsidR="00C1548D" w:rsidRDefault="009B1B4B">
            <w:pPr>
              <w:spacing w:line="250" w:lineRule="auto"/>
            </w:pPr>
            <w:r>
              <w:rPr>
                <w:sz w:val="18"/>
                <w:szCs w:val="18"/>
              </w:rPr>
              <w:t>Andere Größen und Unterbauten</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3" w14:textId="77777777" w:rsidR="00C1548D" w:rsidRDefault="009B1B4B">
            <w:pPr>
              <w:spacing w:line="250" w:lineRule="auto"/>
            </w:pPr>
            <w:r>
              <w:rPr>
                <w:sz w:val="18"/>
                <w:szCs w:val="18"/>
              </w:rPr>
              <w:t>Queen-Matratze 400–1.200 $</w:t>
            </w:r>
          </w:p>
        </w:tc>
      </w:tr>
      <w:tr w:rsidR="00C1548D" w14:paraId="70A4D8C9"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5" w14:textId="77777777" w:rsidR="00C1548D" w:rsidRDefault="009B1B4B">
            <w:pPr>
              <w:spacing w:line="250" w:lineRule="auto"/>
            </w:pPr>
            <w:r>
              <w:rPr>
                <w:sz w:val="18"/>
                <w:szCs w:val="18"/>
              </w:rPr>
              <w:t>Bettwäsche</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6" w14:textId="77777777" w:rsidR="00C1548D" w:rsidRDefault="009B1B4B">
            <w:pPr>
              <w:spacing w:line="250" w:lineRule="auto"/>
            </w:pPr>
            <w:r>
              <w:rPr>
                <w:sz w:val="18"/>
                <w:szCs w:val="18"/>
              </w:rPr>
              <w:t>Neu kaufen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7" w14:textId="77777777" w:rsidR="00C1548D" w:rsidRDefault="009B1B4B">
            <w:pPr>
              <w:spacing w:line="250" w:lineRule="auto"/>
            </w:pPr>
            <w:r>
              <w:rPr>
                <w:sz w:val="18"/>
                <w:szCs w:val="18"/>
              </w:rPr>
              <w:t>Größen passen nicht</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8" w14:textId="77777777" w:rsidR="00C1548D" w:rsidRDefault="009B1B4B">
            <w:pPr>
              <w:spacing w:line="250" w:lineRule="auto"/>
            </w:pPr>
            <w:r>
              <w:rPr>
                <w:sz w:val="18"/>
                <w:szCs w:val="18"/>
              </w:rPr>
              <w:t>Sets ab niedrigen zweistelligen Beträgen</w:t>
            </w:r>
          </w:p>
        </w:tc>
      </w:tr>
      <w:tr w:rsidR="00C1548D" w14:paraId="70A4D8CE"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A" w14:textId="77777777" w:rsidR="00C1548D" w:rsidRDefault="009B1B4B">
            <w:pPr>
              <w:spacing w:line="250" w:lineRule="auto"/>
            </w:pPr>
            <w:r>
              <w:rPr>
                <w:sz w:val="18"/>
                <w:szCs w:val="18"/>
              </w:rPr>
              <w:t>Waschmaschine, Trockner</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B" w14:textId="77777777" w:rsidR="00C1548D" w:rsidRDefault="009B1B4B">
            <w:pPr>
              <w:spacing w:line="250" w:lineRule="auto"/>
            </w:pPr>
            <w:r>
              <w:rPr>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C" w14:textId="77777777" w:rsidR="00C1548D" w:rsidRDefault="009B1B4B">
            <w:pPr>
              <w:spacing w:line="250" w:lineRule="auto"/>
            </w:pPr>
            <w:r>
              <w:rPr>
                <w:sz w:val="18"/>
                <w:szCs w:val="18"/>
              </w:rPr>
              <w:t>230 V, oft in Wohnung vorhanden</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D" w14:textId="77777777" w:rsidR="00C1548D" w:rsidRDefault="009B1B4B">
            <w:pPr>
              <w:spacing w:line="250" w:lineRule="auto"/>
            </w:pPr>
            <w:r>
              <w:rPr>
                <w:sz w:val="18"/>
                <w:szCs w:val="18"/>
              </w:rPr>
              <w:t>Paar 1.000–2.300 $</w:t>
            </w:r>
          </w:p>
        </w:tc>
      </w:tr>
      <w:tr w:rsidR="00C1548D" w14:paraId="70A4D8D3"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CF" w14:textId="77777777" w:rsidR="00C1548D" w:rsidRDefault="009B1B4B">
            <w:pPr>
              <w:spacing w:line="250" w:lineRule="auto"/>
            </w:pPr>
            <w:r>
              <w:rPr>
                <w:sz w:val="18"/>
                <w:szCs w:val="18"/>
              </w:rPr>
              <w:t>Kühlschrank, Herd</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0" w14:textId="77777777" w:rsidR="00C1548D" w:rsidRDefault="009B1B4B">
            <w:pPr>
              <w:spacing w:line="250" w:lineRule="auto"/>
            </w:pPr>
            <w:r>
              <w:rPr>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1" w14:textId="77777777" w:rsidR="00C1548D" w:rsidRDefault="009B1B4B">
            <w:pPr>
              <w:spacing w:line="250" w:lineRule="auto"/>
            </w:pPr>
            <w:r>
              <w:rPr>
                <w:sz w:val="18"/>
                <w:szCs w:val="18"/>
              </w:rPr>
              <w:t>Zoll-Normen, Mietwohnung hat beides</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2" w14:textId="77777777" w:rsidR="00C1548D" w:rsidRDefault="009B1B4B">
            <w:pPr>
              <w:spacing w:line="250" w:lineRule="auto"/>
            </w:pPr>
            <w:r>
              <w:rPr>
                <w:sz w:val="18"/>
                <w:szCs w:val="18"/>
              </w:rPr>
              <w:t>Kühlschrank 600–2.300 $, Herd 600–1.300 $</w:t>
            </w:r>
          </w:p>
        </w:tc>
      </w:tr>
      <w:tr w:rsidR="00C1548D" w14:paraId="70A4D8D8"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4" w14:textId="77777777" w:rsidR="00C1548D" w:rsidRDefault="009B1B4B">
            <w:pPr>
              <w:spacing w:line="250" w:lineRule="auto"/>
            </w:pPr>
            <w:r>
              <w:rPr>
                <w:sz w:val="18"/>
                <w:szCs w:val="18"/>
              </w:rPr>
              <w:t>Wasserkocher, Toaster, Kaffeemaschine</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5" w14:textId="77777777" w:rsidR="00C1548D" w:rsidRDefault="009B1B4B">
            <w:pPr>
              <w:spacing w:line="250" w:lineRule="auto"/>
            </w:pPr>
            <w:r>
              <w:rPr>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6" w14:textId="77777777" w:rsidR="00C1548D" w:rsidRDefault="009B1B4B">
            <w:pPr>
              <w:spacing w:line="250" w:lineRule="auto"/>
            </w:pPr>
            <w:r>
              <w:rPr>
                <w:sz w:val="18"/>
                <w:szCs w:val="18"/>
              </w:rPr>
              <w:t>Leistung bei 120 V nur ¼–½</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7" w14:textId="77777777" w:rsidR="00C1548D" w:rsidRDefault="009B1B4B">
            <w:pPr>
              <w:spacing w:line="250" w:lineRule="auto"/>
            </w:pPr>
            <w:r>
              <w:rPr>
                <w:sz w:val="18"/>
                <w:szCs w:val="18"/>
              </w:rPr>
              <w:t>Küchen-Grundausstattung 150–400 $</w:t>
            </w:r>
          </w:p>
        </w:tc>
      </w:tr>
      <w:tr w:rsidR="00C1548D" w14:paraId="70A4D8DD"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9" w14:textId="77777777" w:rsidR="00C1548D" w:rsidRDefault="009B1B4B">
            <w:pPr>
              <w:spacing w:line="250" w:lineRule="auto"/>
            </w:pPr>
            <w:r>
              <w:rPr>
                <w:sz w:val="18"/>
                <w:szCs w:val="18"/>
              </w:rPr>
              <w:t>Töpfe, Messer, Geschirr</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A" w14:textId="77777777" w:rsidR="00C1548D" w:rsidRDefault="009B1B4B">
            <w:pPr>
              <w:spacing w:line="250" w:lineRule="auto"/>
            </w:pPr>
            <w:r>
              <w:rPr>
                <w:sz w:val="18"/>
                <w:szCs w:val="18"/>
              </w:rPr>
              <w:t>Mitnehmen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B" w14:textId="77777777" w:rsidR="00C1548D" w:rsidRDefault="009B1B4B">
            <w:pPr>
              <w:spacing w:line="250" w:lineRule="auto"/>
            </w:pPr>
            <w:r>
              <w:rPr>
                <w:sz w:val="18"/>
                <w:szCs w:val="18"/>
              </w:rPr>
              <w:t>Passen auf alle Herde, Qualität</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C" w14:textId="77777777" w:rsidR="00C1548D" w:rsidRDefault="009B1B4B">
            <w:pPr>
              <w:spacing w:line="250" w:lineRule="auto"/>
            </w:pPr>
            <w:r>
              <w:rPr>
                <w:sz w:val="18"/>
                <w:szCs w:val="18"/>
              </w:rPr>
              <w:t>30 Basisteile 345–580 $</w:t>
            </w:r>
          </w:p>
        </w:tc>
      </w:tr>
      <w:tr w:rsidR="00C1548D" w14:paraId="70A4D8E2"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E" w14:textId="77777777" w:rsidR="00C1548D" w:rsidRDefault="009B1B4B">
            <w:pPr>
              <w:spacing w:line="250" w:lineRule="auto"/>
            </w:pPr>
            <w:r>
              <w:rPr>
                <w:sz w:val="18"/>
                <w:szCs w:val="18"/>
              </w:rPr>
              <w:t>Fernseher</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DF" w14:textId="77777777" w:rsidR="00C1548D" w:rsidRDefault="009B1B4B">
            <w:pPr>
              <w:spacing w:line="250" w:lineRule="auto"/>
            </w:pPr>
            <w:r>
              <w:rPr>
                <w:sz w:val="18"/>
                <w:szCs w:val="18"/>
              </w:rPr>
              <w:t>Verkaufen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0" w14:textId="77777777" w:rsidR="00C1548D" w:rsidRDefault="009B1B4B">
            <w:pPr>
              <w:spacing w:line="250" w:lineRule="auto"/>
            </w:pPr>
            <w:r>
              <w:rPr>
                <w:sz w:val="18"/>
                <w:szCs w:val="18"/>
              </w:rPr>
              <w:t>Tuner nutzlos, US-Geräte günstig</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1" w14:textId="77777777" w:rsidR="00C1548D" w:rsidRDefault="009B1B4B">
            <w:pPr>
              <w:spacing w:line="250" w:lineRule="auto"/>
            </w:pPr>
            <w:r>
              <w:rPr>
                <w:sz w:val="18"/>
                <w:szCs w:val="18"/>
              </w:rPr>
              <w:t>55 Zoll, 4K: etwa 200–300 $</w:t>
            </w:r>
          </w:p>
        </w:tc>
      </w:tr>
      <w:tr w:rsidR="00C1548D" w14:paraId="70A4D8E7"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3" w14:textId="77777777" w:rsidR="00C1548D" w:rsidRDefault="009B1B4B">
            <w:pPr>
              <w:spacing w:line="250" w:lineRule="auto"/>
            </w:pPr>
            <w:r>
              <w:rPr>
                <w:sz w:val="18"/>
                <w:szCs w:val="18"/>
              </w:rPr>
              <w:t>Laptop, Handy, Tablet, Konsole</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4" w14:textId="77777777" w:rsidR="00C1548D" w:rsidRDefault="009B1B4B">
            <w:pPr>
              <w:spacing w:line="250" w:lineRule="auto"/>
            </w:pPr>
            <w:r>
              <w:rPr>
                <w:sz w:val="18"/>
                <w:szCs w:val="18"/>
              </w:rPr>
              <w:t>Mitnehmen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5" w14:textId="77777777" w:rsidR="00C1548D" w:rsidRDefault="009B1B4B">
            <w:pPr>
              <w:spacing w:line="250" w:lineRule="auto"/>
            </w:pPr>
            <w:r>
              <w:rPr>
                <w:sz w:val="18"/>
                <w:szCs w:val="18"/>
              </w:rPr>
              <w:t>Netzteile 100–240 V</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6" w14:textId="77777777" w:rsidR="00C1548D" w:rsidRDefault="009B1B4B">
            <w:pPr>
              <w:spacing w:line="250" w:lineRule="auto"/>
            </w:pPr>
            <w:r>
              <w:rPr>
                <w:sz w:val="18"/>
                <w:szCs w:val="18"/>
              </w:rPr>
              <w:t>Entfällt, Adapter genügt</w:t>
            </w:r>
          </w:p>
        </w:tc>
      </w:tr>
      <w:tr w:rsidR="00C1548D" w14:paraId="70A4D8EC"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8" w14:textId="77777777" w:rsidR="00C1548D" w:rsidRDefault="009B1B4B">
            <w:pPr>
              <w:spacing w:line="250" w:lineRule="auto"/>
            </w:pPr>
            <w:r>
              <w:rPr>
                <w:sz w:val="18"/>
                <w:szCs w:val="18"/>
              </w:rPr>
              <w:lastRenderedPageBreak/>
              <w:t>Werkzeug</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9" w14:textId="77777777" w:rsidR="00C1548D" w:rsidRDefault="009B1B4B">
            <w:pPr>
              <w:spacing w:line="250" w:lineRule="auto"/>
            </w:pPr>
            <w:r>
              <w:rPr>
                <w:sz w:val="18"/>
                <w:szCs w:val="18"/>
              </w:rPr>
              <w:t>Handwerkzeug mit, 230-V-Geräte verkaufen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A" w14:textId="77777777" w:rsidR="00C1548D" w:rsidRDefault="009B1B4B">
            <w:pPr>
              <w:spacing w:line="250" w:lineRule="auto"/>
            </w:pPr>
            <w:r>
              <w:rPr>
                <w:sz w:val="18"/>
                <w:szCs w:val="18"/>
              </w:rPr>
              <w:t>Zoll statt metrisch</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B" w14:textId="77777777" w:rsidR="00C1548D" w:rsidRDefault="009B1B4B">
            <w:pPr>
              <w:spacing w:line="250" w:lineRule="auto"/>
            </w:pPr>
            <w:r>
              <w:rPr>
                <w:sz w:val="18"/>
                <w:szCs w:val="18"/>
              </w:rPr>
              <w:t>Baumarkt vor Ort</w:t>
            </w:r>
          </w:p>
        </w:tc>
      </w:tr>
      <w:tr w:rsidR="00C1548D" w14:paraId="70A4D8F1"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D" w14:textId="77777777" w:rsidR="00C1548D" w:rsidRDefault="009B1B4B">
            <w:pPr>
              <w:spacing w:line="250" w:lineRule="auto"/>
            </w:pPr>
            <w:r>
              <w:rPr>
                <w:sz w:val="18"/>
                <w:szCs w:val="18"/>
              </w:rPr>
              <w:t>Fahrräder, Sport</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E" w14:textId="77777777" w:rsidR="00C1548D" w:rsidRDefault="009B1B4B">
            <w:pPr>
              <w:spacing w:line="250" w:lineRule="auto"/>
            </w:pPr>
            <w:r>
              <w:rPr>
                <w:sz w:val="18"/>
                <w:szCs w:val="18"/>
              </w:rPr>
              <w:t>Hochwertiges mitnehmen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EF" w14:textId="77777777" w:rsidR="00C1548D" w:rsidRDefault="009B1B4B">
            <w:pPr>
              <w:spacing w:line="250" w:lineRule="auto"/>
            </w:pPr>
            <w:r>
              <w:rPr>
                <w:sz w:val="18"/>
                <w:szCs w:val="18"/>
              </w:rPr>
              <w:t>Eingefahren, schwer ersetzbar</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0" w14:textId="77777777" w:rsidR="00C1548D" w:rsidRDefault="009B1B4B">
            <w:pPr>
              <w:spacing w:line="250" w:lineRule="auto"/>
            </w:pPr>
            <w:r>
              <w:rPr>
                <w:sz w:val="18"/>
                <w:szCs w:val="18"/>
              </w:rPr>
              <w:t>Alltagsräder gebraucht über Marketplace</w:t>
            </w:r>
          </w:p>
        </w:tc>
      </w:tr>
      <w:tr w:rsidR="00C1548D" w14:paraId="70A4D8F6"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2" w14:textId="77777777" w:rsidR="00C1548D" w:rsidRDefault="009B1B4B">
            <w:pPr>
              <w:spacing w:line="250" w:lineRule="auto"/>
            </w:pPr>
            <w:r>
              <w:rPr>
                <w:sz w:val="18"/>
                <w:szCs w:val="18"/>
              </w:rPr>
              <w:t>Bücher, Spielzeug</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3" w14:textId="77777777" w:rsidR="00C1548D" w:rsidRDefault="009B1B4B">
            <w:pPr>
              <w:spacing w:line="250" w:lineRule="auto"/>
            </w:pPr>
            <w:r>
              <w:rPr>
                <w:sz w:val="18"/>
                <w:szCs w:val="18"/>
              </w:rPr>
              <w:t>Auswahl mitnehmen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4" w14:textId="77777777" w:rsidR="00C1548D" w:rsidRDefault="009B1B4B">
            <w:pPr>
              <w:spacing w:line="250" w:lineRule="auto"/>
            </w:pPr>
            <w:r>
              <w:rPr>
                <w:sz w:val="18"/>
                <w:szCs w:val="18"/>
              </w:rPr>
              <w:t>Fracht 10–20 € je Karton</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5" w14:textId="77777777" w:rsidR="00C1548D" w:rsidRDefault="009B1B4B">
            <w:pPr>
              <w:spacing w:line="250" w:lineRule="auto"/>
            </w:pPr>
            <w:r>
              <w:rPr>
                <w:sz w:val="18"/>
                <w:szCs w:val="18"/>
              </w:rPr>
              <w:t>Deutsche Bücher kaum ersetzbar</w:t>
            </w:r>
          </w:p>
        </w:tc>
      </w:tr>
      <w:tr w:rsidR="00C1548D" w14:paraId="70A4D8FB"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7" w14:textId="77777777" w:rsidR="00C1548D" w:rsidRDefault="009B1B4B">
            <w:pPr>
              <w:spacing w:line="250" w:lineRule="auto"/>
            </w:pPr>
            <w:r>
              <w:rPr>
                <w:sz w:val="18"/>
                <w:szCs w:val="18"/>
              </w:rPr>
              <w:t>Kindersitze</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8" w14:textId="77777777" w:rsidR="00C1548D" w:rsidRDefault="009B1B4B">
            <w:pPr>
              <w:spacing w:line="250" w:lineRule="auto"/>
            </w:pPr>
            <w:r>
              <w:rPr>
                <w:sz w:val="18"/>
                <w:szCs w:val="18"/>
              </w:rPr>
              <w:t>Neu kaufen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9" w14:textId="77777777" w:rsidR="00C1548D" w:rsidRDefault="009B1B4B">
            <w:pPr>
              <w:spacing w:line="250" w:lineRule="auto"/>
            </w:pPr>
            <w:r>
              <w:rPr>
                <w:sz w:val="18"/>
                <w:szCs w:val="18"/>
              </w:rPr>
              <w:t>US-Norm FMVSS 213</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A" w14:textId="77777777" w:rsidR="00C1548D" w:rsidRDefault="009B1B4B">
            <w:pPr>
              <w:spacing w:line="250" w:lineRule="auto"/>
            </w:pPr>
            <w:r>
              <w:rPr>
                <w:sz w:val="18"/>
                <w:szCs w:val="18"/>
              </w:rPr>
              <w:t>Vor Ort im Fachhandel</w:t>
            </w:r>
          </w:p>
        </w:tc>
      </w:tr>
      <w:tr w:rsidR="00C1548D" w14:paraId="70A4D900" w14:textId="77777777">
        <w:tblPrEx>
          <w:tblCellMar>
            <w:top w:w="0" w:type="dxa"/>
            <w:bottom w:w="0" w:type="dxa"/>
          </w:tblCellMar>
        </w:tblPrEx>
        <w:trPr>
          <w:cantSplit/>
        </w:trPr>
        <w:tc>
          <w:tcPr>
            <w:tcW w:w="14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C" w14:textId="77777777" w:rsidR="00C1548D" w:rsidRDefault="009B1B4B">
            <w:pPr>
              <w:spacing w:line="250" w:lineRule="auto"/>
            </w:pPr>
            <w:r>
              <w:rPr>
                <w:sz w:val="18"/>
                <w:szCs w:val="18"/>
              </w:rPr>
              <w:t>Kunst, Erinnerungsstücke</w:t>
            </w:r>
          </w:p>
        </w:tc>
        <w:tc>
          <w:tcPr>
            <w:tcW w:w="12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D" w14:textId="77777777" w:rsidR="00C1548D" w:rsidRDefault="009B1B4B">
            <w:pPr>
              <w:spacing w:line="250" w:lineRule="auto"/>
            </w:pPr>
            <w:r>
              <w:rPr>
                <w:sz w:val="18"/>
                <w:szCs w:val="18"/>
              </w:rPr>
              <w:t>Mitnehmen</w:t>
            </w:r>
          </w:p>
        </w:tc>
        <w:tc>
          <w:tcPr>
            <w:tcW w:w="18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E" w14:textId="77777777" w:rsidR="00C1548D" w:rsidRDefault="009B1B4B">
            <w:pPr>
              <w:spacing w:line="250" w:lineRule="auto"/>
            </w:pPr>
            <w:r>
              <w:rPr>
                <w:sz w:val="18"/>
                <w:szCs w:val="18"/>
              </w:rPr>
              <w:t>Unersetzlich</w:t>
            </w:r>
          </w:p>
        </w:tc>
        <w:tc>
          <w:tcPr>
            <w:tcW w:w="2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8FF" w14:textId="77777777" w:rsidR="00C1548D" w:rsidRDefault="009B1B4B">
            <w:pPr>
              <w:spacing w:line="250" w:lineRule="auto"/>
            </w:pPr>
            <w:r>
              <w:rPr>
                <w:sz w:val="18"/>
                <w:szCs w:val="18"/>
              </w:rPr>
              <w:t>Nicht ersetzbar, Versicherungswert festhalten</w:t>
            </w:r>
          </w:p>
        </w:tc>
      </w:tr>
    </w:tbl>
    <w:p w14:paraId="70A4D901" w14:textId="77777777" w:rsidR="00C1548D" w:rsidRDefault="00C1548D">
      <w:pPr>
        <w:spacing w:line="180" w:lineRule="exact"/>
      </w:pPr>
    </w:p>
    <w:p w14:paraId="70A4D902" w14:textId="77777777" w:rsidR="00C1548D" w:rsidRDefault="009B1B4B">
      <w:pPr>
        <w:pStyle w:val="Heading3"/>
        <w:keepNext/>
        <w:jc w:val="center"/>
      </w:pPr>
      <w:r>
        <w:rPr>
          <w:rFonts w:ascii="Amazon Ember" w:eastAsia="Amazon Ember" w:hAnsi="Amazon Ember" w:cs="Amazon Ember"/>
          <w:color w:val="0000FF"/>
          <w:sz w:val="36"/>
          <w:szCs w:val="36"/>
        </w:rPr>
        <w:t>Erstausstattung: Budget und Kaufquellen</w:t>
      </w:r>
    </w:p>
    <w:p w14:paraId="70A4D903" w14:textId="39641FCC" w:rsidR="00C1548D" w:rsidRDefault="009B1B4B">
      <w:pPr>
        <w:spacing w:after="140"/>
      </w:pPr>
      <w:r>
        <w:t>Für eine komplett neue Ausstattung nennen Ratgeber in mittlerer Qualität (Stand 2026) 5.000–8.000 $ für ein Studio, 7.000–12.000 $ für eine 1BR und 12.000–22.000 $ für eine 2BR (Zimmerzählung: Kapitel </w:t>
      </w:r>
      <w:hyperlink w:anchor="k13" w:history="1">
        <w:r>
          <w:t>13</w:t>
        </w:r>
      </w:hyperlink>
      <w:r>
        <w:t>). Mit IKEA und Secondhand liegen die Kosten 40–60 % darunter. Die Spalte rechts ist daraus gerechnet: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2"/>
        <w:gridCol w:w="2503"/>
        <w:gridCol w:w="2485"/>
      </w:tblGrid>
      <w:tr w:rsidR="00C1548D" w14:paraId="70A4D907" w14:textId="77777777">
        <w:tblPrEx>
          <w:tblCellMar>
            <w:top w:w="0" w:type="dxa"/>
            <w:bottom w:w="0" w:type="dxa"/>
          </w:tblCellMar>
        </w:tblPrEx>
        <w:trPr>
          <w:cantSplit/>
          <w:tblHeader/>
        </w:trPr>
        <w:tc>
          <w:tcPr>
            <w:tcW w:w="149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04" w14:textId="77777777" w:rsidR="00C1548D" w:rsidRDefault="009B1B4B">
            <w:pPr>
              <w:spacing w:line="250" w:lineRule="auto"/>
            </w:pPr>
            <w:r>
              <w:rPr>
                <w:b/>
                <w:bCs/>
                <w:sz w:val="18"/>
                <w:szCs w:val="18"/>
              </w:rPr>
              <w:t>Wohnung</w:t>
            </w:r>
          </w:p>
        </w:tc>
        <w:tc>
          <w:tcPr>
            <w:tcW w:w="25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05" w14:textId="77777777" w:rsidR="00C1548D" w:rsidRDefault="009B1B4B">
            <w:pPr>
              <w:spacing w:line="250" w:lineRule="auto"/>
            </w:pPr>
            <w:r>
              <w:rPr>
                <w:b/>
                <w:bCs/>
                <w:sz w:val="18"/>
                <w:szCs w:val="18"/>
              </w:rPr>
              <w:t>Neumöbel, mittlere Qualität</w:t>
            </w:r>
          </w:p>
        </w:tc>
        <w:tc>
          <w:tcPr>
            <w:tcW w:w="24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06" w14:textId="77777777" w:rsidR="00C1548D" w:rsidRDefault="009B1B4B">
            <w:pPr>
              <w:spacing w:line="250" w:lineRule="auto"/>
            </w:pPr>
            <w:r>
              <w:rPr>
                <w:b/>
                <w:bCs/>
                <w:sz w:val="18"/>
                <w:szCs w:val="18"/>
              </w:rPr>
              <w:t>Mit IKEA und Secondhand</w:t>
            </w:r>
          </w:p>
        </w:tc>
      </w:tr>
      <w:tr w:rsidR="00C1548D" w14:paraId="70A4D90B" w14:textId="77777777">
        <w:tblPrEx>
          <w:tblCellMar>
            <w:top w:w="0" w:type="dxa"/>
            <w:bottom w:w="0" w:type="dxa"/>
          </w:tblCellMar>
        </w:tblPrEx>
        <w:trPr>
          <w:cantSplit/>
        </w:trPr>
        <w:tc>
          <w:tcPr>
            <w:tcW w:w="14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08" w14:textId="77777777" w:rsidR="00C1548D" w:rsidRDefault="009B1B4B">
            <w:pPr>
              <w:spacing w:line="250" w:lineRule="auto"/>
            </w:pPr>
            <w:r>
              <w:rPr>
                <w:sz w:val="18"/>
                <w:szCs w:val="18"/>
              </w:rPr>
              <w:t>Studio</w:t>
            </w:r>
          </w:p>
        </w:tc>
        <w:tc>
          <w:tcPr>
            <w:tcW w:w="25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09" w14:textId="77777777" w:rsidR="00C1548D" w:rsidRDefault="009B1B4B">
            <w:pPr>
              <w:spacing w:line="250" w:lineRule="auto"/>
            </w:pPr>
            <w:r>
              <w:rPr>
                <w:sz w:val="18"/>
                <w:szCs w:val="18"/>
              </w:rPr>
              <w:t>5.000–8.000 $</w:t>
            </w:r>
          </w:p>
        </w:tc>
        <w:tc>
          <w:tcPr>
            <w:tcW w:w="24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0A" w14:textId="77777777" w:rsidR="00C1548D" w:rsidRDefault="009B1B4B">
            <w:pPr>
              <w:spacing w:line="250" w:lineRule="auto"/>
            </w:pPr>
            <w:r>
              <w:rPr>
                <w:sz w:val="18"/>
                <w:szCs w:val="18"/>
              </w:rPr>
              <w:t>ca. 2.000–4.800 $</w:t>
            </w:r>
          </w:p>
        </w:tc>
      </w:tr>
      <w:tr w:rsidR="00C1548D" w14:paraId="70A4D90F" w14:textId="77777777">
        <w:tblPrEx>
          <w:tblCellMar>
            <w:top w:w="0" w:type="dxa"/>
            <w:bottom w:w="0" w:type="dxa"/>
          </w:tblCellMar>
        </w:tblPrEx>
        <w:trPr>
          <w:cantSplit/>
        </w:trPr>
        <w:tc>
          <w:tcPr>
            <w:tcW w:w="14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0C" w14:textId="77777777" w:rsidR="00C1548D" w:rsidRDefault="009B1B4B">
            <w:pPr>
              <w:spacing w:line="250" w:lineRule="auto"/>
            </w:pPr>
            <w:r>
              <w:rPr>
                <w:sz w:val="18"/>
                <w:szCs w:val="18"/>
              </w:rPr>
              <w:t>Wohnung mit 1BR</w:t>
            </w:r>
          </w:p>
        </w:tc>
        <w:tc>
          <w:tcPr>
            <w:tcW w:w="25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0D" w14:textId="77777777" w:rsidR="00C1548D" w:rsidRDefault="009B1B4B">
            <w:pPr>
              <w:spacing w:line="250" w:lineRule="auto"/>
            </w:pPr>
            <w:r>
              <w:rPr>
                <w:sz w:val="18"/>
                <w:szCs w:val="18"/>
              </w:rPr>
              <w:t>7.000–12.000 $</w:t>
            </w:r>
          </w:p>
        </w:tc>
        <w:tc>
          <w:tcPr>
            <w:tcW w:w="24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0E" w14:textId="77777777" w:rsidR="00C1548D" w:rsidRDefault="009B1B4B">
            <w:pPr>
              <w:spacing w:line="250" w:lineRule="auto"/>
            </w:pPr>
            <w:r>
              <w:rPr>
                <w:sz w:val="18"/>
                <w:szCs w:val="18"/>
              </w:rPr>
              <w:t>ca. 2.800–7.200 $</w:t>
            </w:r>
          </w:p>
        </w:tc>
      </w:tr>
      <w:tr w:rsidR="00C1548D" w14:paraId="70A4D913" w14:textId="77777777">
        <w:tblPrEx>
          <w:tblCellMar>
            <w:top w:w="0" w:type="dxa"/>
            <w:bottom w:w="0" w:type="dxa"/>
          </w:tblCellMar>
        </w:tblPrEx>
        <w:trPr>
          <w:cantSplit/>
        </w:trPr>
        <w:tc>
          <w:tcPr>
            <w:tcW w:w="14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10" w14:textId="77777777" w:rsidR="00C1548D" w:rsidRDefault="009B1B4B">
            <w:pPr>
              <w:spacing w:line="250" w:lineRule="auto"/>
            </w:pPr>
            <w:r>
              <w:rPr>
                <w:sz w:val="18"/>
                <w:szCs w:val="18"/>
              </w:rPr>
              <w:t>Wohnung mit 2BR</w:t>
            </w:r>
          </w:p>
        </w:tc>
        <w:tc>
          <w:tcPr>
            <w:tcW w:w="25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11" w14:textId="77777777" w:rsidR="00C1548D" w:rsidRDefault="009B1B4B">
            <w:pPr>
              <w:spacing w:line="250" w:lineRule="auto"/>
            </w:pPr>
            <w:r>
              <w:rPr>
                <w:sz w:val="18"/>
                <w:szCs w:val="18"/>
              </w:rPr>
              <w:t>12.000–22.000 $</w:t>
            </w:r>
          </w:p>
        </w:tc>
        <w:tc>
          <w:tcPr>
            <w:tcW w:w="24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12" w14:textId="77777777" w:rsidR="00C1548D" w:rsidRDefault="009B1B4B">
            <w:pPr>
              <w:spacing w:line="250" w:lineRule="auto"/>
            </w:pPr>
            <w:r>
              <w:rPr>
                <w:sz w:val="18"/>
                <w:szCs w:val="18"/>
              </w:rPr>
              <w:t>ca. 4.800–13.200 $</w:t>
            </w:r>
          </w:p>
        </w:tc>
      </w:tr>
    </w:tbl>
    <w:p w14:paraId="70A4D914" w14:textId="77777777" w:rsidR="00C1548D" w:rsidRDefault="00C1548D">
      <w:pPr>
        <w:spacing w:line="180" w:lineRule="exact"/>
      </w:pPr>
    </w:p>
    <w:p w14:paraId="70A4D915" w14:textId="013BDB88" w:rsidR="00C1548D" w:rsidRDefault="009B1B4B">
      <w:pPr>
        <w:spacing w:after="140"/>
      </w:pPr>
      <w:r>
        <w:t xml:space="preserve">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w:t>
      </w:r>
      <w:r>
        <w:lastRenderedPageBreak/>
        <w:t>Preisschilder zeigen den Preis ohne Verkaufssteuer (</w:t>
      </w:r>
      <w:r>
        <w:rPr>
          <w:i/>
          <w:iCs/>
        </w:rPr>
        <w:t>Sales Tax</w:t>
      </w:r>
      <w:r>
        <w:t>), die erst an der Kasse dazukommt (Kapitel </w:t>
      </w:r>
      <w:hyperlink w:anchor="k28" w:history="1">
        <w:r>
          <w:t>28</w:t>
        </w:r>
      </w:hyperlink>
      <w:r>
        <w:t>). In den ersten Wochen zahlst du meist sofort: Ratenkauf und Händlerkarten setzen oft einen Credit Score voraus (Kapitel </w:t>
      </w:r>
      <w:hyperlink w:anchor="k25" w:history="1">
        <w:r>
          <w:t>25</w:t>
        </w:r>
      </w:hyperlink>
      <w:r>
        <w:t>), also plane das Budget als Guthaben auf Konto und Karte ein.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18"/>
        <w:gridCol w:w="2294"/>
        <w:gridCol w:w="2968"/>
      </w:tblGrid>
      <w:tr w:rsidR="00C1548D" w14:paraId="70A4D919" w14:textId="77777777">
        <w:tblPrEx>
          <w:tblCellMar>
            <w:top w:w="0" w:type="dxa"/>
            <w:bottom w:w="0" w:type="dxa"/>
          </w:tblCellMar>
        </w:tblPrEx>
        <w:trPr>
          <w:cantSplit/>
          <w:tblHeader/>
        </w:trPr>
        <w:tc>
          <w:tcPr>
            <w:tcW w:w="121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16" w14:textId="77777777" w:rsidR="00C1548D" w:rsidRDefault="009B1B4B">
            <w:pPr>
              <w:spacing w:line="250" w:lineRule="auto"/>
            </w:pPr>
            <w:r>
              <w:rPr>
                <w:b/>
                <w:bCs/>
                <w:sz w:val="18"/>
                <w:szCs w:val="18"/>
              </w:rPr>
              <w:t>Quelle</w:t>
            </w:r>
          </w:p>
        </w:tc>
        <w:tc>
          <w:tcPr>
            <w:tcW w:w="229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17" w14:textId="77777777" w:rsidR="00C1548D" w:rsidRDefault="009B1B4B">
            <w:pPr>
              <w:spacing w:line="250" w:lineRule="auto"/>
            </w:pPr>
            <w:r>
              <w:rPr>
                <w:b/>
                <w:bCs/>
                <w:sz w:val="18"/>
                <w:szCs w:val="18"/>
              </w:rPr>
              <w:t>Wofür</w:t>
            </w:r>
          </w:p>
        </w:tc>
        <w:tc>
          <w:tcPr>
            <w:tcW w:w="296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18" w14:textId="77777777" w:rsidR="00C1548D" w:rsidRDefault="009B1B4B">
            <w:pPr>
              <w:spacing w:line="250" w:lineRule="auto"/>
            </w:pPr>
            <w:r>
              <w:rPr>
                <w:b/>
                <w:bCs/>
                <w:sz w:val="18"/>
                <w:szCs w:val="18"/>
              </w:rPr>
              <w:t>Hinweis</w:t>
            </w:r>
          </w:p>
        </w:tc>
      </w:tr>
      <w:tr w:rsidR="00C1548D" w14:paraId="70A4D91D" w14:textId="77777777">
        <w:tblPrEx>
          <w:tblCellMar>
            <w:top w:w="0" w:type="dxa"/>
            <w:bottom w:w="0" w:type="dxa"/>
          </w:tblCellMar>
        </w:tblPrEx>
        <w:trPr>
          <w:cantSplit/>
        </w:trPr>
        <w:tc>
          <w:tcPr>
            <w:tcW w:w="12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1A" w14:textId="77777777" w:rsidR="00C1548D" w:rsidRDefault="009B1B4B">
            <w:pPr>
              <w:spacing w:line="250" w:lineRule="auto"/>
            </w:pPr>
            <w:r>
              <w:rPr>
                <w:sz w:val="18"/>
                <w:szCs w:val="18"/>
              </w:rPr>
              <w:t>IKEA</w:t>
            </w:r>
          </w:p>
        </w:tc>
        <w:tc>
          <w:tcPr>
            <w:tcW w:w="22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1B" w14:textId="77777777" w:rsidR="00C1548D" w:rsidRDefault="009B1B4B">
            <w:pPr>
              <w:spacing w:line="250" w:lineRule="auto"/>
            </w:pPr>
            <w:r>
              <w:rPr>
                <w:sz w:val="18"/>
                <w:szCs w:val="18"/>
              </w:rPr>
              <w:t>Betten, Regale, Kommoden, Küchenzubehör</w:t>
            </w:r>
          </w:p>
        </w:tc>
        <w:tc>
          <w:tcPr>
            <w:tcW w:w="2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1C" w14:textId="77777777" w:rsidR="00C1548D" w:rsidRDefault="009B1B4B">
            <w:pPr>
              <w:spacing w:line="250" w:lineRule="auto"/>
            </w:pPr>
            <w:r>
              <w:rPr>
                <w:sz w:val="18"/>
                <w:szCs w:val="18"/>
              </w:rPr>
              <w:t>Lieferung ab 5 $ (klein) bzw. 49 $ (groß), Montage über Taskrabbit ab 52 $ (IKEA-Angaben)</w:t>
            </w:r>
          </w:p>
        </w:tc>
      </w:tr>
      <w:tr w:rsidR="00C1548D" w14:paraId="70A4D921" w14:textId="77777777">
        <w:tblPrEx>
          <w:tblCellMar>
            <w:top w:w="0" w:type="dxa"/>
            <w:bottom w:w="0" w:type="dxa"/>
          </w:tblCellMar>
        </w:tblPrEx>
        <w:trPr>
          <w:cantSplit/>
        </w:trPr>
        <w:tc>
          <w:tcPr>
            <w:tcW w:w="12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1E" w14:textId="77777777" w:rsidR="00C1548D" w:rsidRDefault="009B1B4B">
            <w:pPr>
              <w:spacing w:line="250" w:lineRule="auto"/>
            </w:pPr>
            <w:r>
              <w:rPr>
                <w:sz w:val="18"/>
                <w:szCs w:val="18"/>
              </w:rPr>
              <w:t>Costco</w:t>
            </w:r>
          </w:p>
        </w:tc>
        <w:tc>
          <w:tcPr>
            <w:tcW w:w="22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1F" w14:textId="77777777" w:rsidR="00C1548D" w:rsidRDefault="009B1B4B">
            <w:pPr>
              <w:spacing w:line="250" w:lineRule="auto"/>
            </w:pPr>
            <w:r>
              <w:rPr>
                <w:sz w:val="18"/>
                <w:szCs w:val="18"/>
              </w:rPr>
              <w:t>Sofas, Matratzen, Geräte, Großpackungen</w:t>
            </w:r>
          </w:p>
        </w:tc>
        <w:tc>
          <w:tcPr>
            <w:tcW w:w="2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0" w14:textId="77777777" w:rsidR="00C1548D" w:rsidRDefault="009B1B4B">
            <w:pPr>
              <w:spacing w:line="250" w:lineRule="auto"/>
            </w:pPr>
            <w:r>
              <w:rPr>
                <w:sz w:val="18"/>
                <w:szCs w:val="18"/>
              </w:rPr>
              <w:t>Mitgliedschaft 65 $ (Gold Star) oder 130 $ (Executive) im Jahr; kulante Rückgabe</w:t>
            </w:r>
          </w:p>
        </w:tc>
      </w:tr>
      <w:tr w:rsidR="00C1548D" w14:paraId="70A4D925" w14:textId="77777777">
        <w:tblPrEx>
          <w:tblCellMar>
            <w:top w:w="0" w:type="dxa"/>
            <w:bottom w:w="0" w:type="dxa"/>
          </w:tblCellMar>
        </w:tblPrEx>
        <w:trPr>
          <w:cantSplit/>
        </w:trPr>
        <w:tc>
          <w:tcPr>
            <w:tcW w:w="12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2" w14:textId="77777777" w:rsidR="00C1548D" w:rsidRDefault="009B1B4B">
            <w:pPr>
              <w:spacing w:line="250" w:lineRule="auto"/>
            </w:pPr>
            <w:r>
              <w:rPr>
                <w:sz w:val="18"/>
                <w:szCs w:val="18"/>
              </w:rPr>
              <w:t>Target, Wayfair</w:t>
            </w:r>
          </w:p>
        </w:tc>
        <w:tc>
          <w:tcPr>
            <w:tcW w:w="22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3" w14:textId="77777777" w:rsidR="00C1548D" w:rsidRDefault="009B1B4B">
            <w:pPr>
              <w:spacing w:line="250" w:lineRule="auto"/>
            </w:pPr>
            <w:r>
              <w:rPr>
                <w:sz w:val="18"/>
                <w:szCs w:val="18"/>
              </w:rPr>
              <w:t>Bettwäsche, Küche, Kleinmöbel; Online-Möbel</w:t>
            </w:r>
          </w:p>
        </w:tc>
        <w:tc>
          <w:tcPr>
            <w:tcW w:w="2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4" w14:textId="77777777" w:rsidR="00C1548D" w:rsidRDefault="009B1B4B">
            <w:pPr>
              <w:spacing w:line="250" w:lineRule="auto"/>
            </w:pPr>
            <w:r>
              <w:rPr>
                <w:sz w:val="18"/>
                <w:szCs w:val="18"/>
              </w:rPr>
              <w:t>Lieferzeit und Rückgabe vorher prüfen</w:t>
            </w:r>
          </w:p>
        </w:tc>
      </w:tr>
      <w:tr w:rsidR="00C1548D" w14:paraId="70A4D929" w14:textId="77777777">
        <w:tblPrEx>
          <w:tblCellMar>
            <w:top w:w="0" w:type="dxa"/>
            <w:bottom w:w="0" w:type="dxa"/>
          </w:tblCellMar>
        </w:tblPrEx>
        <w:trPr>
          <w:cantSplit/>
        </w:trPr>
        <w:tc>
          <w:tcPr>
            <w:tcW w:w="12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6" w14:textId="77777777" w:rsidR="00C1548D" w:rsidRDefault="009B1B4B">
            <w:pPr>
              <w:spacing w:line="250" w:lineRule="auto"/>
            </w:pPr>
            <w:r>
              <w:rPr>
                <w:sz w:val="18"/>
                <w:szCs w:val="18"/>
              </w:rPr>
              <w:t>Amazon</w:t>
            </w:r>
          </w:p>
        </w:tc>
        <w:tc>
          <w:tcPr>
            <w:tcW w:w="22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7" w14:textId="77777777" w:rsidR="00C1548D" w:rsidRDefault="009B1B4B">
            <w:pPr>
              <w:spacing w:line="250" w:lineRule="auto"/>
            </w:pPr>
            <w:r>
              <w:rPr>
                <w:sz w:val="18"/>
                <w:szCs w:val="18"/>
              </w:rPr>
              <w:t>Adapter, Leuchtmittel, Steckdosenleisten</w:t>
            </w:r>
          </w:p>
        </w:tc>
        <w:tc>
          <w:tcPr>
            <w:tcW w:w="2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8" w14:textId="77777777" w:rsidR="00C1548D" w:rsidRDefault="009B1B4B">
            <w:pPr>
              <w:spacing w:line="250" w:lineRule="auto"/>
            </w:pPr>
            <w:r>
              <w:rPr>
                <w:sz w:val="18"/>
                <w:szCs w:val="18"/>
              </w:rPr>
              <w:t>Preise vergleichen</w:t>
            </w:r>
          </w:p>
        </w:tc>
      </w:tr>
      <w:tr w:rsidR="00C1548D" w14:paraId="70A4D92D" w14:textId="77777777">
        <w:tblPrEx>
          <w:tblCellMar>
            <w:top w:w="0" w:type="dxa"/>
            <w:bottom w:w="0" w:type="dxa"/>
          </w:tblCellMar>
        </w:tblPrEx>
        <w:trPr>
          <w:cantSplit/>
        </w:trPr>
        <w:tc>
          <w:tcPr>
            <w:tcW w:w="12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A" w14:textId="77777777" w:rsidR="00C1548D" w:rsidRDefault="009B1B4B">
            <w:pPr>
              <w:spacing w:line="250" w:lineRule="auto"/>
            </w:pPr>
            <w:r>
              <w:rPr>
                <w:sz w:val="18"/>
                <w:szCs w:val="18"/>
              </w:rPr>
              <w:t>Facebook Marketplace, Craigslist</w:t>
            </w:r>
          </w:p>
        </w:tc>
        <w:tc>
          <w:tcPr>
            <w:tcW w:w="22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B" w14:textId="77777777" w:rsidR="00C1548D" w:rsidRDefault="009B1B4B">
            <w:pPr>
              <w:spacing w:line="250" w:lineRule="auto"/>
            </w:pPr>
            <w:r>
              <w:rPr>
                <w:sz w:val="18"/>
                <w:szCs w:val="18"/>
              </w:rPr>
              <w:t>Möbel, Geräte, Sportartikel gebraucht</w:t>
            </w:r>
          </w:p>
        </w:tc>
        <w:tc>
          <w:tcPr>
            <w:tcW w:w="2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C" w14:textId="77777777" w:rsidR="00C1548D" w:rsidRDefault="009B1B4B">
            <w:pPr>
              <w:spacing w:line="250" w:lineRule="auto"/>
            </w:pPr>
            <w:r>
              <w:rPr>
                <w:sz w:val="18"/>
                <w:szCs w:val="18"/>
              </w:rPr>
              <w:t>Selbst abholen; öffentlicher Treffpunkt</w:t>
            </w:r>
          </w:p>
        </w:tc>
      </w:tr>
      <w:tr w:rsidR="00C1548D" w14:paraId="70A4D931" w14:textId="77777777">
        <w:tblPrEx>
          <w:tblCellMar>
            <w:top w:w="0" w:type="dxa"/>
            <w:bottom w:w="0" w:type="dxa"/>
          </w:tblCellMar>
        </w:tblPrEx>
        <w:trPr>
          <w:cantSplit/>
        </w:trPr>
        <w:tc>
          <w:tcPr>
            <w:tcW w:w="12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E" w14:textId="77777777" w:rsidR="00C1548D" w:rsidRDefault="009B1B4B">
            <w:pPr>
              <w:spacing w:line="250" w:lineRule="auto"/>
            </w:pPr>
            <w:r>
              <w:rPr>
                <w:sz w:val="18"/>
                <w:szCs w:val="18"/>
              </w:rPr>
              <w:t>Goodwill, Habitat ReStore</w:t>
            </w:r>
          </w:p>
        </w:tc>
        <w:tc>
          <w:tcPr>
            <w:tcW w:w="22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2F" w14:textId="77777777" w:rsidR="00C1548D" w:rsidRDefault="009B1B4B">
            <w:pPr>
              <w:spacing w:line="250" w:lineRule="auto"/>
            </w:pPr>
            <w:r>
              <w:rPr>
                <w:sz w:val="18"/>
                <w:szCs w:val="18"/>
              </w:rPr>
              <w:t>Geschirr, Töpfe, Möbel, Baumaterial</w:t>
            </w:r>
          </w:p>
        </w:tc>
        <w:tc>
          <w:tcPr>
            <w:tcW w:w="2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30" w14:textId="77777777" w:rsidR="00C1548D" w:rsidRDefault="009B1B4B">
            <w:pPr>
              <w:spacing w:line="250" w:lineRule="auto"/>
            </w:pPr>
            <w:r>
              <w:rPr>
                <w:sz w:val="18"/>
                <w:szCs w:val="18"/>
              </w:rPr>
              <w:t>Läden gemeinnütziger Organisationen; Bestand wechselt</w:t>
            </w:r>
          </w:p>
        </w:tc>
      </w:tr>
      <w:tr w:rsidR="00C1548D" w14:paraId="70A4D935" w14:textId="77777777">
        <w:tblPrEx>
          <w:tblCellMar>
            <w:top w:w="0" w:type="dxa"/>
            <w:bottom w:w="0" w:type="dxa"/>
          </w:tblCellMar>
        </w:tblPrEx>
        <w:trPr>
          <w:cantSplit/>
        </w:trPr>
        <w:tc>
          <w:tcPr>
            <w:tcW w:w="12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32" w14:textId="77777777" w:rsidR="00C1548D" w:rsidRDefault="009B1B4B">
            <w:pPr>
              <w:spacing w:line="250" w:lineRule="auto"/>
            </w:pPr>
            <w:r>
              <w:rPr>
                <w:sz w:val="18"/>
                <w:szCs w:val="18"/>
              </w:rPr>
              <w:t>Estate Sales</w:t>
            </w:r>
          </w:p>
        </w:tc>
        <w:tc>
          <w:tcPr>
            <w:tcW w:w="22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33" w14:textId="77777777" w:rsidR="00C1548D" w:rsidRDefault="009B1B4B">
            <w:pPr>
              <w:spacing w:line="250" w:lineRule="auto"/>
            </w:pPr>
            <w:r>
              <w:rPr>
                <w:sz w:val="18"/>
                <w:szCs w:val="18"/>
              </w:rPr>
              <w:t>Möbel, Hausrat, Kunst</w:t>
            </w:r>
          </w:p>
        </w:tc>
        <w:tc>
          <w:tcPr>
            <w:tcW w:w="2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34" w14:textId="77777777" w:rsidR="00C1548D" w:rsidRDefault="009B1B4B">
            <w:pPr>
              <w:spacing w:line="250" w:lineRule="auto"/>
            </w:pPr>
            <w:r>
              <w:rPr>
                <w:sz w:val="18"/>
                <w:szCs w:val="18"/>
              </w:rPr>
              <w:t>Haushaltsauflösungen; Rabatte steigen im Verlauf</w:t>
            </w:r>
          </w:p>
        </w:tc>
      </w:tr>
    </w:tbl>
    <w:p w14:paraId="70A4D936" w14:textId="77777777" w:rsidR="00C1548D" w:rsidRDefault="00C1548D">
      <w:pPr>
        <w:spacing w:line="180" w:lineRule="exact"/>
      </w:pPr>
    </w:p>
    <w:p w14:paraId="70A4D937" w14:textId="77777777" w:rsidR="00C1548D" w:rsidRDefault="009B1B4B">
      <w:pPr>
        <w:spacing w:after="140"/>
      </w:pPr>
      <w:r>
        <w:t>Verbreiteter Irrtum: Gebrauchtmöbel aus den USA gelten hierzulande oft als Resterampe. Auf Estate Sales wechseln tatsächlich häufig hochwertige, kaum genutzte Stücke den Besitzer – weil ganze Haushalte auf einen Schlag aufgelöst werden, nicht weil jemand ausgemustert hat, was nichts mehr taugte.</w:t>
      </w:r>
    </w:p>
    <w:p w14:paraId="70A4D938" w14:textId="77777777" w:rsidR="00C1548D" w:rsidRDefault="009B1B4B">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3B"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939" w14:textId="77777777" w:rsidR="00C1548D" w:rsidRDefault="009B1B4B">
            <w:pPr>
              <w:keepNext/>
              <w:spacing w:after="70" w:line="240" w:lineRule="auto"/>
            </w:pPr>
            <w:r>
              <w:rPr>
                <w:b/>
                <w:bCs/>
                <w:color w:val="2F6B3B"/>
                <w:spacing w:val="24"/>
                <w:sz w:val="16"/>
                <w:szCs w:val="16"/>
              </w:rPr>
              <w:lastRenderedPageBreak/>
              <w:t>SPARTIPP</w:t>
            </w:r>
          </w:p>
          <w:p w14:paraId="70A4D93A" w14:textId="77777777" w:rsidR="00C1548D" w:rsidRDefault="009B1B4B">
            <w:pPr>
              <w:spacing w:after="80" w:line="264" w:lineRule="auto"/>
            </w:pPr>
            <w:r>
              <w:rPr>
                <w:sz w:val="20"/>
                <w:szCs w:val="20"/>
              </w:rPr>
              <w:t>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tc>
      </w:tr>
    </w:tbl>
    <w:p w14:paraId="70A4D93C"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3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93D" w14:textId="77777777" w:rsidR="00C1548D" w:rsidRDefault="009B1B4B">
            <w:pPr>
              <w:keepNext/>
              <w:spacing w:after="70" w:line="240" w:lineRule="auto"/>
            </w:pPr>
            <w:r>
              <w:rPr>
                <w:b/>
                <w:bCs/>
                <w:color w:val="9B2C2C"/>
                <w:spacing w:val="24"/>
                <w:sz w:val="16"/>
                <w:szCs w:val="16"/>
              </w:rPr>
              <w:t>ACHTUNG</w:t>
            </w:r>
          </w:p>
          <w:p w14:paraId="70A4D93E" w14:textId="77777777" w:rsidR="00C1548D" w:rsidRDefault="009B1B4B">
            <w:pPr>
              <w:spacing w:after="80" w:line="264" w:lineRule="auto"/>
            </w:pPr>
            <w:r>
              <w:rPr>
                <w:sz w:val="20"/>
                <w:szCs w:val="20"/>
              </w:rPr>
              <w:t>Prüfe gebrauchte Kinderprodukte (Betten, Hochstühle, Laufställe) vor dem Kauf auf Rückrufe bei der Verbraucherschutzbehörde CPSC (cpsc.gov/recalls). Bei Marketplace-Käufen triffst du Verkäufer an öffentlichen Orten und zahlst erst bei der Übergabe.</w:t>
            </w:r>
          </w:p>
        </w:tc>
      </w:tr>
    </w:tbl>
    <w:p w14:paraId="70A4D940"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43"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941" w14:textId="77777777" w:rsidR="00C1548D" w:rsidRDefault="009B1B4B">
            <w:pPr>
              <w:keepNext/>
              <w:spacing w:after="70" w:line="240" w:lineRule="auto"/>
            </w:pPr>
            <w:r>
              <w:rPr>
                <w:b/>
                <w:bCs/>
                <w:color w:val="4A5568"/>
                <w:spacing w:val="24"/>
                <w:sz w:val="16"/>
                <w:szCs w:val="16"/>
              </w:rPr>
              <w:t>PRAXISBEISPIEL · FIKTIV</w:t>
            </w:r>
          </w:p>
          <w:p w14:paraId="70A4D942" w14:textId="77777777" w:rsidR="00C1548D" w:rsidRDefault="009B1B4B">
            <w:pPr>
              <w:spacing w:after="80" w:line="264" w:lineRule="auto"/>
            </w:pPr>
            <w:r>
              <w:rPr>
                <w:sz w:val="20"/>
                <w:szCs w:val="20"/>
              </w:rPr>
              <w:t>Familie Brandt (fiktiv) zieht in ein Reihenhaus bei Detroit. Der ganze Hausrat würde einen 20-ft-Container füllen: 4.000–7.500 € plus US-Zustellung. Betten, Lattenroste, Waschmaschine und Wasserkocher wären in den USA ohnehin unbrauchbar. Also bucht Anna eine Sammelladung von etwa 10 m³ für rund 2.800 €: 60 Kartons mit Büchern, deutschen Kinderbüchern, Küchenmessern, Gusspfannen, Winterjacken, Lego und Erinnerungskisten, dazu vier Fahrräder und die Kommode von Annas Großmutter. Sofa, Esstisch, Betten und Ge</w:t>
            </w:r>
            <w:r>
              <w:rPr>
                <w:sz w:val="20"/>
                <w:szCs w:val="20"/>
              </w:rPr>
              <w:t>räte gehen über Kleinanzeigen weg. Vor Ort kaufen sie für rund 8.200 $ ein: Sofa bei Costco 1.300 $, Esstisch 700 $, Betten und Matratzen für vier Personen 2.000 $, Waschmaschine und Trockner 1.300 $, Regale, Kommoden, Fernseher und Kleinkram 2.900 $. Am ersten Samstag steht die ganze Familie eine Stunde vor der Sofa-Wand bei Costco, bis die Entscheidung fällt. Die Betten bestellen sie in der ersten Woche, den Rest in Etappen.</w:t>
            </w:r>
          </w:p>
        </w:tc>
      </w:tr>
    </w:tbl>
    <w:p w14:paraId="70A4D944" w14:textId="77777777" w:rsidR="00C1548D" w:rsidRDefault="00C1548D">
      <w:pPr>
        <w:spacing w:line="220" w:lineRule="exact"/>
      </w:pPr>
    </w:p>
    <w:p w14:paraId="70A4D945" w14:textId="77777777" w:rsidR="00C1548D" w:rsidRDefault="009B1B4B">
      <w:pPr>
        <w:pStyle w:val="Heading3"/>
        <w:keepNext/>
        <w:jc w:val="center"/>
      </w:pPr>
      <w:r>
        <w:rPr>
          <w:rFonts w:ascii="Amazon Ember" w:eastAsia="Amazon Ember" w:hAnsi="Amazon Ember" w:cs="Amazon Ember"/>
          <w:color w:val="0000FF"/>
          <w:sz w:val="36"/>
          <w:szCs w:val="36"/>
        </w:rPr>
        <w:t>Packliste für die ersten zwei Wochen</w:t>
      </w:r>
    </w:p>
    <w:p w14:paraId="70A4D946" w14:textId="4927F85F" w:rsidR="00C1548D" w:rsidRDefault="009B1B4B">
      <w:pPr>
        <w:spacing w:after="140"/>
      </w:pPr>
      <w:r>
        <w:t>Bis die Sammelladung ankommt, vergehen nach Portalangaben vier bis zwölf Wochen Tür zu Tür (Kapitel </w:t>
      </w:r>
      <w:hyperlink w:anchor="k20" w:history="1">
        <w:r>
          <w:t>20</w:t>
        </w:r>
      </w:hyperlink>
      <w:r>
        <w:t>). Die Handgepäckliste für den Landetag steht in Kapitel </w:t>
      </w:r>
      <w:hyperlink w:anchor="k23" w:history="1">
        <w:r>
          <w:t>23</w:t>
        </w:r>
      </w:hyperlink>
      <w:r>
        <w:t>. Hier geht es um die Zeit danach.</w:t>
      </w:r>
    </w:p>
    <w:p w14:paraId="70A4D947" w14:textId="77777777" w:rsidR="00C1548D" w:rsidRDefault="009B1B4B">
      <w:pPr>
        <w:spacing w:after="140"/>
      </w:pPr>
      <w:r>
        <w:rPr>
          <w:b/>
          <w:bCs/>
        </w:rPr>
        <w:t>Im Koffer, pro Person:</w:t>
      </w:r>
    </w:p>
    <w:p w14:paraId="70A4D948" w14:textId="72E2ED8C" w:rsidR="00C1548D" w:rsidRDefault="009B1B4B" w:rsidP="009B1B4B">
      <w:pPr>
        <w:pStyle w:val="ListParagraph"/>
        <w:numPr>
          <w:ilvl w:val="0"/>
          <w:numId w:val="1"/>
        </w:numPr>
        <w:spacing w:after="60"/>
      </w:pPr>
      <w:r>
        <w:lastRenderedPageBreak/>
        <w:t>Kleidung für 10 bis 14 Tage im Schichtenprinzip, passend zum Wetter am Zielort (Kapitel </w:t>
      </w:r>
      <w:hyperlink w:anchor="k34" w:history="1">
        <w:r>
          <w:t>34</w:t>
        </w:r>
      </w:hyperlink>
      <w:r>
        <w:t>), dazu ein bis zwei Business-Outfits für den Start</w:t>
      </w:r>
    </w:p>
    <w:p w14:paraId="70A4D949" w14:textId="77777777" w:rsidR="00C1548D" w:rsidRDefault="009B1B4B" w:rsidP="009B1B4B">
      <w:pPr>
        <w:pStyle w:val="ListParagraph"/>
        <w:numPr>
          <w:ilvl w:val="0"/>
          <w:numId w:val="1"/>
        </w:numPr>
        <w:spacing w:after="60"/>
      </w:pPr>
      <w:r>
        <w:t>ein bequemes und ein gutes Paar Schuhe</w:t>
      </w:r>
    </w:p>
    <w:p w14:paraId="70A4D94A" w14:textId="77777777" w:rsidR="00C1548D" w:rsidRDefault="009B1B4B" w:rsidP="009B1B4B">
      <w:pPr>
        <w:pStyle w:val="ListParagraph"/>
        <w:numPr>
          <w:ilvl w:val="0"/>
          <w:numId w:val="1"/>
        </w:numPr>
        <w:spacing w:after="60"/>
      </w:pPr>
      <w:r>
        <w:t>Reiseapotheke und Dauermedikamente in Originalverpackung mit Rezept</w:t>
      </w:r>
    </w:p>
    <w:p w14:paraId="70A4D94B" w14:textId="77777777" w:rsidR="00C1548D" w:rsidRDefault="009B1B4B" w:rsidP="009B1B4B">
      <w:pPr>
        <w:pStyle w:val="ListParagraph"/>
        <w:numPr>
          <w:ilvl w:val="0"/>
          <w:numId w:val="1"/>
        </w:numPr>
        <w:spacing w:after="60"/>
      </w:pPr>
      <w:r>
        <w:t>Ladegeräte und zwei bis drei Adapter für US-Steckdosen (Typ A/B)</w:t>
      </w:r>
    </w:p>
    <w:p w14:paraId="70A4D94C" w14:textId="77777777" w:rsidR="00C1548D" w:rsidRDefault="009B1B4B" w:rsidP="009B1B4B">
      <w:pPr>
        <w:pStyle w:val="ListParagraph"/>
        <w:numPr>
          <w:ilvl w:val="0"/>
          <w:numId w:val="1"/>
        </w:numPr>
        <w:spacing w:after="60"/>
      </w:pPr>
      <w:r>
        <w:t>ein Handtuch, bei Kindern Kuscheltier, Bücher und Spiele</w:t>
      </w:r>
    </w:p>
    <w:p w14:paraId="70A4D94D" w14:textId="77777777" w:rsidR="00C1548D" w:rsidRDefault="00C1548D">
      <w:pPr>
        <w:spacing w:line="120" w:lineRule="exact"/>
      </w:pPr>
    </w:p>
    <w:p w14:paraId="70A4D94E" w14:textId="77777777" w:rsidR="00C1548D" w:rsidRDefault="009B1B4B">
      <w:pPr>
        <w:spacing w:after="140"/>
      </w:pPr>
      <w:r>
        <w:rPr>
          <w:b/>
          <w:bCs/>
        </w:rPr>
        <w:t>Für eine noch leere Wohnung:</w:t>
      </w:r>
    </w:p>
    <w:p w14:paraId="70A4D94F" w14:textId="77777777" w:rsidR="00C1548D" w:rsidRDefault="009B1B4B" w:rsidP="009B1B4B">
      <w:pPr>
        <w:pStyle w:val="ListParagraph"/>
        <w:numPr>
          <w:ilvl w:val="0"/>
          <w:numId w:val="1"/>
        </w:numPr>
        <w:spacing w:after="60"/>
      </w:pPr>
      <w:r>
        <w:t>Schlafsack und Isomatte aus dem Outdoor-Bestand oder eine Luftmatratze, die du vor Ort kaufst</w:t>
      </w:r>
    </w:p>
    <w:p w14:paraId="70A4D950" w14:textId="77777777" w:rsidR="00C1548D" w:rsidRDefault="009B1B4B" w:rsidP="009B1B4B">
      <w:pPr>
        <w:pStyle w:val="ListParagraph"/>
        <w:numPr>
          <w:ilvl w:val="0"/>
          <w:numId w:val="1"/>
        </w:numPr>
        <w:spacing w:after="60"/>
      </w:pPr>
      <w:r>
        <w:t>ein Basisset für die Küche: Topf, Pfanne, Messer, Teller, Besteck für jede Person</w:t>
      </w:r>
    </w:p>
    <w:p w14:paraId="70A4D951" w14:textId="77777777" w:rsidR="00C1548D" w:rsidRDefault="00C1548D">
      <w:pPr>
        <w:spacing w:line="120" w:lineRule="exact"/>
      </w:pPr>
    </w:p>
    <w:p w14:paraId="70A4D952" w14:textId="0F98351D" w:rsidR="00C1548D" w:rsidRDefault="009B1B4B">
      <w:pPr>
        <w:spacing w:after="140"/>
      </w:pPr>
      <w:r>
        <w:t>Beim möblierten Wohnen auf Zeit fragst du vorab nach Bettwäsche und Geschirr (Kapitel </w:t>
      </w:r>
      <w:hyperlink w:anchor="k13" w:history="1">
        <w:r>
          <w:t>13</w:t>
        </w:r>
      </w:hyperlink>
      <w:r>
        <w:t>).</w:t>
      </w:r>
    </w:p>
    <w:p w14:paraId="70A4D953" w14:textId="77777777" w:rsidR="00C1548D" w:rsidRDefault="009B1B4B">
      <w:pPr>
        <w:spacing w:after="140"/>
      </w:pPr>
      <w:r>
        <w:rPr>
          <w:b/>
          <w:bCs/>
        </w:rPr>
        <w:t>In den ersten Tagen vor Ort kaufen:</w:t>
      </w:r>
    </w:p>
    <w:p w14:paraId="70A4D954" w14:textId="77777777" w:rsidR="00C1548D" w:rsidRDefault="009B1B4B" w:rsidP="009B1B4B">
      <w:pPr>
        <w:pStyle w:val="ListParagraph"/>
        <w:numPr>
          <w:ilvl w:val="0"/>
          <w:numId w:val="1"/>
        </w:numPr>
        <w:spacing w:after="60"/>
      </w:pPr>
      <w:r>
        <w:t>Bettwäsche in US-Größe, Kissen, Decken, Handtücher</w:t>
      </w:r>
    </w:p>
    <w:p w14:paraId="70A4D955" w14:textId="77777777" w:rsidR="00C1548D" w:rsidRDefault="009B1B4B" w:rsidP="009B1B4B">
      <w:pPr>
        <w:pStyle w:val="ListParagraph"/>
        <w:numPr>
          <w:ilvl w:val="0"/>
          <w:numId w:val="1"/>
        </w:numPr>
        <w:spacing w:after="60"/>
      </w:pPr>
      <w:r>
        <w:t>Toilettenpapier, Müllbeutel, Spülmittel, Putzzeug, Leuchtmittel</w:t>
      </w:r>
    </w:p>
    <w:p w14:paraId="70A4D956" w14:textId="77777777" w:rsidR="00C1548D" w:rsidRDefault="009B1B4B" w:rsidP="009B1B4B">
      <w:pPr>
        <w:pStyle w:val="ListParagraph"/>
        <w:numPr>
          <w:ilvl w:val="0"/>
          <w:numId w:val="1"/>
        </w:numPr>
        <w:spacing w:after="60"/>
      </w:pPr>
      <w:r>
        <w:t>Steckdosenleiste mit Überspannungsschutz</w:t>
      </w:r>
    </w:p>
    <w:p w14:paraId="70A4D957" w14:textId="77777777" w:rsidR="00C1548D" w:rsidRDefault="009B1B4B" w:rsidP="009B1B4B">
      <w:pPr>
        <w:pStyle w:val="ListParagraph"/>
        <w:numPr>
          <w:ilvl w:val="0"/>
          <w:numId w:val="1"/>
        </w:numPr>
        <w:spacing w:after="60"/>
      </w:pPr>
      <w:r>
        <w:t>Wasserkocher oder Kaffeemaschine für 120 V</w:t>
      </w:r>
    </w:p>
    <w:p w14:paraId="70A4D958" w14:textId="77777777" w:rsidR="00C1548D" w:rsidRDefault="00C1548D">
      <w:pPr>
        <w:spacing w:line="120" w:lineRule="exact"/>
      </w:pPr>
    </w:p>
    <w:p w14:paraId="70A4D959" w14:textId="239D3BC0" w:rsidR="00C1548D" w:rsidRDefault="009B1B4B">
      <w:pPr>
        <w:spacing w:after="140"/>
      </w:pPr>
      <w:r>
        <w:t>Was dir nach zwei Wochen fehlt, bestellst du besser vor Ort als aus Deutschland: Ein 20-kg-Paket per DHL kostet 142,99 € bei 6–12 Werktagen Laufzeit (Stand September 2026, Kapitel </w:t>
      </w:r>
      <w:hyperlink w:anchor="k20" w:history="1">
        <w:r>
          <w:t>20</w:t>
        </w:r>
      </w:hyperlink>
      <w:r>
        <w:t>). Es ist die Notlösung, nicht der Plan.</w:t>
      </w:r>
    </w:p>
    <w:p w14:paraId="70A4D95A" w14:textId="77777777" w:rsidR="00C1548D" w:rsidRDefault="009B1B4B">
      <w:pPr>
        <w:pStyle w:val="Heading3"/>
        <w:keepNext/>
        <w:jc w:val="center"/>
      </w:pPr>
      <w:r>
        <w:rPr>
          <w:rFonts w:ascii="Amazon Ember" w:eastAsia="Amazon Ember" w:hAnsi="Amazon Ember" w:cs="Amazon Ember"/>
          <w:color w:val="0000FF"/>
          <w:sz w:val="36"/>
          <w:szCs w:val="36"/>
        </w:rPr>
        <w:t>Plus und Minus</w:t>
      </w:r>
    </w:p>
    <w:p w14:paraId="70A4D95B" w14:textId="77777777" w:rsidR="00C1548D" w:rsidRDefault="009B1B4B">
      <w:pPr>
        <w:spacing w:after="140"/>
      </w:pPr>
      <w:r>
        <w:t>Die Bilanz gilt für den schlanken Umzug: wenig mitnehmen, vieles vor Ort neu kaufen.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95E"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5C" w14:textId="77777777" w:rsidR="00C1548D" w:rsidRDefault="009B1B4B">
            <w:pPr>
              <w:spacing w:line="250" w:lineRule="auto"/>
            </w:pPr>
            <w:r>
              <w:rPr>
                <w:b/>
                <w:bCs/>
                <w:sz w:val="18"/>
                <w:szCs w:val="18"/>
              </w:rPr>
              <w:lastRenderedPageBreak/>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5D" w14:textId="77777777" w:rsidR="00C1548D" w:rsidRDefault="009B1B4B">
            <w:pPr>
              <w:spacing w:line="250" w:lineRule="auto"/>
            </w:pPr>
            <w:r>
              <w:rPr>
                <w:b/>
                <w:bCs/>
                <w:sz w:val="18"/>
                <w:szCs w:val="18"/>
              </w:rPr>
              <w:t>Minus</w:t>
            </w:r>
          </w:p>
        </w:tc>
      </w:tr>
      <w:tr w:rsidR="00C1548D" w14:paraId="70A4D96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5F" w14:textId="355A79FD" w:rsidR="00C1548D" w:rsidRDefault="009B1B4B">
            <w:pPr>
              <w:spacing w:line="250" w:lineRule="auto"/>
            </w:pPr>
            <w:r>
              <w:rPr>
                <w:sz w:val="18"/>
                <w:szCs w:val="18"/>
              </w:rPr>
              <w:t>Weniger Fracht und weniger Zollpapier (Kapitel </w:t>
            </w:r>
            <w:hyperlink w:anchor="k20" w:history="1">
              <w:r>
                <w:rPr>
                  <w:sz w:val="18"/>
                  <w:szCs w:val="18"/>
                </w:rPr>
                <w:t>20</w:t>
              </w:r>
            </w:hyperlink>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60" w14:textId="77777777" w:rsidR="00C1548D" w:rsidRDefault="009B1B4B">
            <w:pPr>
              <w:spacing w:line="250" w:lineRule="auto"/>
            </w:pPr>
            <w:r>
              <w:rPr>
                <w:sz w:val="18"/>
                <w:szCs w:val="18"/>
              </w:rPr>
              <w:t>Hohe Ausgaben in den ersten Wochen, oft mehrere tausend Dollar</w:t>
            </w:r>
          </w:p>
        </w:tc>
      </w:tr>
      <w:tr w:rsidR="00C1548D" w14:paraId="70A4D96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62" w14:textId="77777777" w:rsidR="00C1548D" w:rsidRDefault="009B1B4B">
            <w:pPr>
              <w:spacing w:line="250" w:lineRule="auto"/>
            </w:pPr>
            <w:r>
              <w:rPr>
                <w:sz w:val="18"/>
                <w:szCs w:val="18"/>
              </w:rPr>
              <w:t>Alles passt zu Strom, Normen und Grundriss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63" w14:textId="77777777" w:rsidR="00C1548D" w:rsidRDefault="009B1B4B">
            <w:pPr>
              <w:spacing w:line="250" w:lineRule="auto"/>
            </w:pPr>
            <w:r>
              <w:rPr>
                <w:sz w:val="18"/>
                <w:szCs w:val="18"/>
              </w:rPr>
              <w:t>Zeit und Nerven für Einkauf, Lieferung und Aufbau</w:t>
            </w:r>
          </w:p>
        </w:tc>
      </w:tr>
      <w:tr w:rsidR="00C1548D" w14:paraId="70A4D96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65" w14:textId="77777777" w:rsidR="00C1548D" w:rsidRDefault="009B1B4B">
            <w:pPr>
              <w:spacing w:line="250" w:lineRule="auto"/>
            </w:pPr>
            <w:r>
              <w:rPr>
                <w:sz w:val="18"/>
                <w:szCs w:val="18"/>
              </w:rPr>
              <w:t>Der Verkauf entrümpelt und bringt etwas Geld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66" w14:textId="77777777" w:rsidR="00C1548D" w:rsidRDefault="009B1B4B">
            <w:pPr>
              <w:spacing w:line="250" w:lineRule="auto"/>
            </w:pPr>
            <w:r>
              <w:rPr>
                <w:sz w:val="18"/>
                <w:szCs w:val="18"/>
              </w:rPr>
              <w:t>Der Erlös liegt meist weit unter dem Neupreis</w:t>
            </w:r>
          </w:p>
        </w:tc>
      </w:tr>
      <w:tr w:rsidR="00C1548D" w14:paraId="70A4D96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68" w14:textId="77777777" w:rsidR="00C1548D" w:rsidRDefault="009B1B4B">
            <w:pPr>
              <w:spacing w:line="250" w:lineRule="auto"/>
            </w:pPr>
            <w:r>
              <w:rPr>
                <w:sz w:val="18"/>
                <w:szCs w:val="18"/>
              </w:rPr>
              <w:t>Die Ausstattung passt zur US-Wohnung mit Closets und Geräten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69" w14:textId="78FC312C" w:rsidR="00C1548D" w:rsidRDefault="009B1B4B">
            <w:pPr>
              <w:spacing w:line="250" w:lineRule="auto"/>
            </w:pPr>
            <w:r>
              <w:rPr>
                <w:sz w:val="18"/>
                <w:szCs w:val="18"/>
              </w:rPr>
              <w:t>Vertrautes fehlt am Anfang und kann das Ankommen erschweren (Kapitel </w:t>
            </w:r>
            <w:hyperlink w:anchor="k33" w:history="1">
              <w:r>
                <w:rPr>
                  <w:sz w:val="18"/>
                  <w:szCs w:val="18"/>
                </w:rPr>
                <w:t>33</w:t>
              </w:r>
            </w:hyperlink>
            <w:r>
              <w:rPr>
                <w:sz w:val="18"/>
                <w:szCs w:val="18"/>
              </w:rPr>
              <w:t>)</w:t>
            </w:r>
          </w:p>
        </w:tc>
      </w:tr>
      <w:tr w:rsidR="00C1548D" w14:paraId="70A4D96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6B" w14:textId="1719F260" w:rsidR="00C1548D" w:rsidRDefault="009B1B4B">
            <w:pPr>
              <w:spacing w:line="250" w:lineRule="auto"/>
            </w:pPr>
            <w:r>
              <w:rPr>
                <w:sz w:val="18"/>
                <w:szCs w:val="18"/>
              </w:rPr>
              <w:t>Ein späterer Umzug im Land bleibt leicht (Kapitel </w:t>
            </w:r>
            <w:hyperlink w:anchor="k30" w:history="1">
              <w:r>
                <w:rPr>
                  <w:sz w:val="18"/>
                  <w:szCs w:val="18"/>
                </w:rPr>
                <w:t>30</w:t>
              </w:r>
            </w:hyperlink>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6C" w14:textId="77777777" w:rsidR="00C1548D" w:rsidRDefault="009B1B4B">
            <w:pPr>
              <w:spacing w:line="250" w:lineRule="auto"/>
            </w:pPr>
            <w:r>
              <w:rPr>
                <w:sz w:val="18"/>
                <w:szCs w:val="18"/>
              </w:rPr>
              <w:t>Geräte und Möbel sind durch Zölle teurer geworden</w:t>
            </w:r>
          </w:p>
        </w:tc>
      </w:tr>
    </w:tbl>
    <w:p w14:paraId="70A4D96E" w14:textId="77777777" w:rsidR="00C1548D" w:rsidRDefault="00C1548D">
      <w:pPr>
        <w:spacing w:line="180" w:lineRule="exact"/>
      </w:pPr>
    </w:p>
    <w:p w14:paraId="70A4D96F"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970" w14:textId="1FD8B2B5" w:rsidR="00C1548D" w:rsidRDefault="009B1B4B">
      <w:pPr>
        <w:spacing w:after="140"/>
      </w:pPr>
      <w:r>
        <w:t>Lege ein Inventar an (Gegenstand, Maße, Eingangsspannung, Wert, Entscheidung) und sortiere in drei Stapel: mitnehmen, verkaufen, in den USA kaufen. Hole für das Mitnahmevolumen Angebote ein (Kapitel </w:t>
      </w:r>
      <w:hyperlink w:anchor="k20" w:history="1">
        <w:r>
          <w:t>20</w:t>
        </w:r>
      </w:hyperlink>
      <w:r>
        <w:t>), lege den Verkaufszeitraum in deinen Zeitplan (Kapitel </w:t>
      </w:r>
      <w:hyperlink w:anchor="k15" w:history="1">
        <w:r>
          <w:t>15</w:t>
        </w:r>
      </w:hyperlink>
      <w:r>
        <w:t>) und setze ein Budget für die Erstausstattung fest. Frage außerdem deinen Arbeitgeber, ob er dafür im Relocation-Paket etwas übernimmt.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7C"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971" w14:textId="77777777" w:rsidR="00C1548D" w:rsidRDefault="009B1B4B">
            <w:pPr>
              <w:keepNext/>
              <w:spacing w:after="70" w:line="240" w:lineRule="auto"/>
            </w:pPr>
            <w:r>
              <w:rPr>
                <w:b/>
                <w:bCs/>
                <w:color w:val="1F6F78"/>
                <w:spacing w:val="24"/>
                <w:sz w:val="16"/>
                <w:szCs w:val="16"/>
              </w:rPr>
              <w:lastRenderedPageBreak/>
              <w:t>CHECKLISTE</w:t>
            </w:r>
          </w:p>
          <w:p w14:paraId="70A4D97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Inventar aller Räume anlegen: Gegenstand, Maße, Eingangsspannung laut Typenschild, Wert, Entscheidung</w:t>
            </w:r>
          </w:p>
          <w:p w14:paraId="70A4D97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Jeden Gegenstand einsortieren: mitnehmen, verkaufen oder in den USA neu kaufen</w:t>
            </w:r>
          </w:p>
          <w:p w14:paraId="70A4D97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Nur mitnehmen, was ohne Umbau funktioniert und seit mindestens einem Jahr in Gebrauch ist</w:t>
            </w:r>
          </w:p>
          <w:p w14:paraId="70A4D97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Türen, Deckenhöhe und Grundriss der US-Wohnung mit den Möbelmaßen vergleichen</w:t>
            </w:r>
          </w:p>
          <w:p w14:paraId="70A4D97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Betten, Matratzen, Lattenroste und Spannbetttücher nicht mitnehmen (US-Größen)</w:t>
            </w:r>
          </w:p>
          <w:p w14:paraId="70A4D97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Verkaufen, Verschenken und Spenden acht bis zwölf Wochen vor dem Abflug starten</w:t>
            </w:r>
          </w:p>
          <w:p w14:paraId="70A4D97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Erstausstattungsbudget festlegen und Zahlungsmittel für die ersten Käufe klären</w:t>
            </w:r>
          </w:p>
          <w:p w14:paraId="70A4D97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Kindersitze nach US-Norm vor Ort einplanen</w:t>
            </w:r>
          </w:p>
          <w:p w14:paraId="70A4D97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älteren Handys die US-Netzbänder prüfen und den SIM-Lock aufheben lassen</w:t>
            </w:r>
          </w:p>
          <w:p w14:paraId="70A4D97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Koffer für die ersten zwei Wochen packen und Wertsachen ins Handgepäck legen</w:t>
            </w:r>
          </w:p>
        </w:tc>
      </w:tr>
    </w:tbl>
    <w:p w14:paraId="70A4D97D" w14:textId="77777777" w:rsidR="00C1548D" w:rsidRDefault="00C1548D">
      <w:pPr>
        <w:spacing w:line="220" w:lineRule="exact"/>
      </w:pPr>
    </w:p>
    <w:p w14:paraId="70A4D97E"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97F" w14:textId="2DCBC254" w:rsidR="00C1548D" w:rsidRDefault="009B1B4B" w:rsidP="009B1B4B">
      <w:pPr>
        <w:pStyle w:val="ListParagraph"/>
        <w:numPr>
          <w:ilvl w:val="0"/>
          <w:numId w:val="1"/>
        </w:numPr>
        <w:spacing w:after="60"/>
      </w:pPr>
      <w:r>
        <w:t xml:space="preserve">CBP (Zoll- und Grenzschutzbehörde) — Umzugsgut und Formular 3299: </w:t>
      </w:r>
      <w:hyperlink r:id="rId181" w:history="1">
        <w:r>
          <w:rPr>
            <w:color w:val="0563C1"/>
            <w:u w:val="single"/>
          </w:rPr>
          <w:t>cbp.gov</w:t>
        </w:r>
      </w:hyperlink>
      <w:r>
        <w:t xml:space="preserve"> (Suche „household effects“)</w:t>
      </w:r>
    </w:p>
    <w:p w14:paraId="70A4D980" w14:textId="5A80FE7D" w:rsidR="00C1548D" w:rsidRDefault="009B1B4B" w:rsidP="009B1B4B">
      <w:pPr>
        <w:pStyle w:val="ListParagraph"/>
        <w:numPr>
          <w:ilvl w:val="0"/>
          <w:numId w:val="1"/>
        </w:numPr>
        <w:spacing w:after="60"/>
      </w:pPr>
      <w:r>
        <w:t xml:space="preserve">Bundesvorschrift zum zollfreien Umzugsgut, 19 CFR § 148.52: </w:t>
      </w:r>
      <w:hyperlink r:id="rId182" w:history="1">
        <w:r>
          <w:rPr>
            <w:color w:val="0563C1"/>
            <w:u w:val="single"/>
          </w:rPr>
          <w:t>ecfr.gov</w:t>
        </w:r>
      </w:hyperlink>
      <w:r>
        <w:t xml:space="preserve"> (Suche „19 CFR 148.52“)</w:t>
      </w:r>
    </w:p>
    <w:p w14:paraId="70A4D981" w14:textId="74FEDAF3" w:rsidR="00C1548D" w:rsidRDefault="009B1B4B" w:rsidP="009B1B4B">
      <w:pPr>
        <w:pStyle w:val="ListParagraph"/>
        <w:numPr>
          <w:ilvl w:val="0"/>
          <w:numId w:val="1"/>
        </w:numPr>
        <w:spacing w:after="60"/>
      </w:pPr>
      <w:r>
        <w:t xml:space="preserve">Federal Register — Section-232-Zölle auf Holzprodukte, Polstermöbel und Schränke: </w:t>
      </w:r>
      <w:hyperlink r:id="rId183" w:history="1">
        <w:r>
          <w:rPr>
            <w:color w:val="0563C1"/>
            <w:u w:val="single"/>
          </w:rPr>
          <w:t>federalregister.gov</w:t>
        </w:r>
      </w:hyperlink>
      <w:r>
        <w:t xml:space="preserve"> (Suche „Timber, Lumber, and Their Derivative Products“)</w:t>
      </w:r>
    </w:p>
    <w:p w14:paraId="70A4D982" w14:textId="7A6CB157" w:rsidR="00C1548D" w:rsidRDefault="009B1B4B" w:rsidP="009B1B4B">
      <w:pPr>
        <w:pStyle w:val="ListParagraph"/>
        <w:numPr>
          <w:ilvl w:val="0"/>
          <w:numId w:val="1"/>
        </w:numPr>
        <w:spacing w:after="60"/>
      </w:pPr>
      <w:r>
        <w:t xml:space="preserve">NHTSA (Verkehrssicherheitsbehörde) — Kindersitze in den USA: </w:t>
      </w:r>
      <w:hyperlink r:id="rId184" w:history="1">
        <w:r>
          <w:rPr>
            <w:color w:val="0563C1"/>
            <w:u w:val="single"/>
          </w:rPr>
          <w:t>nhtsa.gov/vehicle-safety/car-seats-and-booster-seats</w:t>
        </w:r>
      </w:hyperlink>
    </w:p>
    <w:p w14:paraId="70A4D983" w14:textId="3F70C422" w:rsidR="00C1548D" w:rsidRDefault="009B1B4B" w:rsidP="009B1B4B">
      <w:pPr>
        <w:pStyle w:val="ListParagraph"/>
        <w:numPr>
          <w:ilvl w:val="0"/>
          <w:numId w:val="1"/>
        </w:numPr>
        <w:spacing w:after="60"/>
      </w:pPr>
      <w:r>
        <w:lastRenderedPageBreak/>
        <w:t xml:space="preserve">CPSC (Verbraucherschutzbehörde für Produktsicherheit) — Rückrufe: </w:t>
      </w:r>
      <w:hyperlink r:id="rId185" w:history="1">
        <w:r>
          <w:rPr>
            <w:color w:val="0563C1"/>
            <w:u w:val="single"/>
          </w:rPr>
          <w:t>cpsc.gov/recalls</w:t>
        </w:r>
      </w:hyperlink>
    </w:p>
    <w:p w14:paraId="70A4D984" w14:textId="67F0C9E4" w:rsidR="00C1548D" w:rsidRDefault="009B1B4B" w:rsidP="009B1B4B">
      <w:pPr>
        <w:pStyle w:val="ListParagraph"/>
        <w:numPr>
          <w:ilvl w:val="0"/>
          <w:numId w:val="1"/>
        </w:numPr>
        <w:spacing w:after="60"/>
      </w:pPr>
      <w:r>
        <w:t xml:space="preserve">IEC — Steckertypen und Netzspannung nach Land: </w:t>
      </w:r>
      <w:hyperlink r:id="rId186" w:history="1">
        <w:r>
          <w:rPr>
            <w:color w:val="0563C1"/>
            <w:u w:val="single"/>
          </w:rPr>
          <w:t>iec.ch/world-plugs</w:t>
        </w:r>
      </w:hyperlink>
    </w:p>
    <w:p w14:paraId="70A4D985" w14:textId="515927D9" w:rsidR="00C1548D" w:rsidRDefault="009B1B4B" w:rsidP="009B1B4B">
      <w:pPr>
        <w:pStyle w:val="ListParagraph"/>
        <w:numPr>
          <w:ilvl w:val="0"/>
          <w:numId w:val="1"/>
        </w:numPr>
        <w:spacing w:after="60"/>
      </w:pPr>
      <w:r>
        <w:t xml:space="preserve">Deutscher Zoll — Umzug und Ausfuhr: </w:t>
      </w:r>
      <w:hyperlink r:id="rId187" w:history="1">
        <w:r>
          <w:rPr>
            <w:color w:val="0563C1"/>
            <w:u w:val="single"/>
          </w:rPr>
          <w:t>zoll.de</w:t>
        </w:r>
      </w:hyperlink>
      <w:r>
        <w:t xml:space="preserve"> (Suche „Umzugsgut“)</w:t>
      </w:r>
    </w:p>
    <w:p w14:paraId="70A4D98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89"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987" w14:textId="77777777" w:rsidR="00C1548D" w:rsidRDefault="009B1B4B">
            <w:pPr>
              <w:keepNext/>
              <w:spacing w:after="70" w:line="240" w:lineRule="auto"/>
            </w:pPr>
            <w:r>
              <w:rPr>
                <w:b/>
                <w:bCs/>
                <w:color w:val="6B7280"/>
                <w:spacing w:val="24"/>
                <w:sz w:val="16"/>
                <w:szCs w:val="16"/>
              </w:rPr>
              <w:t>STAND</w:t>
            </w:r>
          </w:p>
          <w:p w14:paraId="70A4D988" w14:textId="77777777" w:rsidR="00C1548D" w:rsidRDefault="009B1B4B">
            <w:pPr>
              <w:spacing w:after="80" w:line="264" w:lineRule="auto"/>
            </w:pPr>
            <w:r>
              <w:rPr>
                <w:sz w:val="20"/>
                <w:szCs w:val="20"/>
              </w:rPr>
              <w:t>September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tc>
      </w:tr>
    </w:tbl>
    <w:p w14:paraId="70A4D98A" w14:textId="77777777" w:rsidR="00C1548D" w:rsidRDefault="00C1548D">
      <w:pPr>
        <w:spacing w:line="220" w:lineRule="exact"/>
      </w:pPr>
    </w:p>
    <w:p w14:paraId="70A4D98B" w14:textId="77777777" w:rsidR="00C1548D" w:rsidRDefault="009B1B4B">
      <w:pPr>
        <w:pStyle w:val="Heading2"/>
        <w:keepNext/>
        <w:pageBreakBefore/>
        <w:jc w:val="center"/>
      </w:pPr>
      <w:bookmarkStart w:id="54" w:name="k22"/>
      <w:bookmarkStart w:id="55" w:name="_Toc241352475"/>
      <w:r>
        <w:rPr>
          <w:rFonts w:ascii="Amazon Ember" w:eastAsia="Amazon Ember" w:hAnsi="Amazon Ember" w:cs="Amazon Ember"/>
          <w:color w:val="0000FF"/>
          <w:sz w:val="36"/>
          <w:szCs w:val="36"/>
        </w:rPr>
        <w:lastRenderedPageBreak/>
        <w:t>Kapitel 22: Haustiere: Einreise, Kosten, Alltag</w:t>
      </w:r>
      <w:bookmarkEnd w:id="54"/>
      <w:bookmarkEnd w:id="55"/>
    </w:p>
    <w:p w14:paraId="70A4D98C" w14:textId="77777777" w:rsidR="00C1548D" w:rsidRDefault="009B1B4B">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93"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98D" w14:textId="77777777" w:rsidR="00C1548D" w:rsidRDefault="009B1B4B">
            <w:pPr>
              <w:keepNext/>
              <w:spacing w:after="70" w:line="240" w:lineRule="auto"/>
            </w:pPr>
            <w:r>
              <w:rPr>
                <w:b/>
                <w:bCs/>
                <w:color w:val="1F3A5F"/>
                <w:spacing w:val="24"/>
                <w:sz w:val="16"/>
                <w:szCs w:val="16"/>
              </w:rPr>
              <w:t>KURZ GESAGT</w:t>
            </w:r>
          </w:p>
          <w:p w14:paraId="70A4D98E" w14:textId="77777777" w:rsidR="00C1548D" w:rsidRDefault="009B1B4B" w:rsidP="009B1B4B">
            <w:pPr>
              <w:pStyle w:val="ListParagraph"/>
              <w:numPr>
                <w:ilvl w:val="0"/>
                <w:numId w:val="1"/>
              </w:numPr>
              <w:spacing w:after="50" w:line="264" w:lineRule="auto"/>
            </w:pPr>
            <w:r>
              <w:rPr>
                <w:sz w:val="20"/>
                <w:szCs w:val="20"/>
              </w:rPr>
              <w:t>Für Hunde aus Deutschland verlangt die US-Seuchenschutzbehörde CDC (</w:t>
            </w:r>
            <w:r>
              <w:rPr>
                <w:i/>
                <w:iCs/>
                <w:sz w:val="20"/>
                <w:szCs w:val="20"/>
              </w:rPr>
              <w:t>Centers for Disease Control and Prevention</w:t>
            </w:r>
            <w:r>
              <w:rPr>
                <w:sz w:val="20"/>
                <w:szCs w:val="20"/>
              </w:rPr>
              <w:t xml:space="preserve">, Stand September 2026) die kostenlose </w:t>
            </w:r>
            <w:r>
              <w:rPr>
                <w:i/>
                <w:iCs/>
                <w:sz w:val="20"/>
                <w:szCs w:val="20"/>
              </w:rPr>
              <w:t>Dog Import Form</w:t>
            </w:r>
            <w:r>
              <w:rPr>
                <w:sz w:val="20"/>
                <w:szCs w:val="20"/>
              </w:rPr>
              <w:t>, ein Mindestalter von sechs Monaten, einen lesbaren Mikrochip und gesundes Aussehen. Katzen müssen nur gesund wirken.</w:t>
            </w:r>
          </w:p>
          <w:p w14:paraId="70A4D98F" w14:textId="77777777" w:rsidR="00C1548D" w:rsidRDefault="009B1B4B" w:rsidP="009B1B4B">
            <w:pPr>
              <w:pStyle w:val="ListParagraph"/>
              <w:numPr>
                <w:ilvl w:val="0"/>
                <w:numId w:val="1"/>
              </w:numPr>
              <w:spacing w:after="50" w:line="264" w:lineRule="auto"/>
            </w:pPr>
            <w:r>
              <w:rPr>
                <w:sz w:val="20"/>
                <w:szCs w:val="20"/>
              </w:rPr>
              <w:t>Eine Tollwutimpfung schreibt die CDC nicht vor. Bundesstaaten, Kommunen und Airlines verlangen sie in aller Regel trotzdem.</w:t>
            </w:r>
          </w:p>
          <w:p w14:paraId="70A4D990" w14:textId="77777777" w:rsidR="00C1548D" w:rsidRDefault="009B1B4B" w:rsidP="009B1B4B">
            <w:pPr>
              <w:pStyle w:val="ListParagraph"/>
              <w:numPr>
                <w:ilvl w:val="0"/>
                <w:numId w:val="1"/>
              </w:numPr>
              <w:spacing w:after="50" w:line="264" w:lineRule="auto"/>
            </w:pPr>
            <w:r>
              <w:rPr>
                <w:sz w:val="20"/>
                <w:szCs w:val="20"/>
              </w:rPr>
              <w:t>Die Reise kostet pro Tier 95–200 $ je Strecke in der Kabine oder 500–2.500 $ und mehr im Frachtraum. Hitzesperren und Rassenregeln entscheiden oft mehr als die CDC.</w:t>
            </w:r>
          </w:p>
          <w:p w14:paraId="70A4D991" w14:textId="77777777" w:rsidR="00C1548D" w:rsidRDefault="009B1B4B" w:rsidP="009B1B4B">
            <w:pPr>
              <w:pStyle w:val="ListParagraph"/>
              <w:numPr>
                <w:ilvl w:val="0"/>
                <w:numId w:val="1"/>
              </w:numPr>
              <w:spacing w:after="50" w:line="264" w:lineRule="auto"/>
            </w:pPr>
            <w:r>
              <w:rPr>
                <w:sz w:val="20"/>
                <w:szCs w:val="20"/>
              </w:rPr>
              <w:t>Laufende Kosten: 1.200–4.300 $ pro Jahr für einen Hund, dazu in Mietwohnungen meist Haustiermiete und Kaution.</w:t>
            </w:r>
          </w:p>
          <w:p w14:paraId="70A4D992" w14:textId="77777777" w:rsidR="00C1548D" w:rsidRDefault="009B1B4B" w:rsidP="009B1B4B">
            <w:pPr>
              <w:pStyle w:val="ListParagraph"/>
              <w:numPr>
                <w:ilvl w:val="0"/>
                <w:numId w:val="1"/>
              </w:numPr>
              <w:spacing w:after="50" w:line="264" w:lineRule="auto"/>
            </w:pPr>
            <w:r>
              <w:rPr>
                <w:sz w:val="20"/>
                <w:szCs w:val="20"/>
              </w:rPr>
              <w:t>Plane drei bis vier Monate Vorlauf, für Hawaii mindestens vier.</w:t>
            </w:r>
          </w:p>
        </w:tc>
      </w:tr>
    </w:tbl>
    <w:p w14:paraId="70A4D994" w14:textId="77777777" w:rsidR="00C1548D" w:rsidRDefault="00C1548D">
      <w:pPr>
        <w:spacing w:line="220" w:lineRule="exact"/>
      </w:pPr>
    </w:p>
    <w:p w14:paraId="70A4D995" w14:textId="77777777" w:rsidR="00C1548D" w:rsidRDefault="009B1B4B">
      <w:pPr>
        <w:pStyle w:val="Heading3"/>
        <w:keepNext/>
        <w:jc w:val="center"/>
      </w:pPr>
      <w:r>
        <w:rPr>
          <w:rFonts w:ascii="Amazon Ember" w:eastAsia="Amazon Ember" w:hAnsi="Amazon Ember" w:cs="Amazon Ember"/>
          <w:color w:val="0000FF"/>
          <w:sz w:val="36"/>
          <w:szCs w:val="36"/>
        </w:rPr>
        <w:t>Was die USA bei der Einreise verlangen</w:t>
      </w:r>
    </w:p>
    <w:p w14:paraId="70A4D996" w14:textId="77777777" w:rsidR="00C1548D" w:rsidRDefault="009B1B4B">
      <w:pPr>
        <w:spacing w:after="140"/>
      </w:pPr>
      <w:r>
        <w:rPr>
          <w:b/>
          <w:bCs/>
        </w:rPr>
        <w:t>Hunde.</w:t>
      </w:r>
      <w:r>
        <w:t xml:space="preserve"> Jeder Hund braucht die </w:t>
      </w:r>
      <w:r>
        <w:rPr>
          <w:i/>
          <w:iCs/>
        </w:rPr>
        <w:t>CDC Dog Import Form</w:t>
      </w:r>
      <w:r>
        <w:t xml:space="preserve">: online auszufüllen, kostenlos, ein Formular pro Tier. Du kannst sie bis zu sechs Monate vor der Reise oder am Reisetag ausfüllen. Die Quittung gilt sechs Monate, sofern der Hund in dieser Zeit in keinem </w:t>
      </w:r>
      <w:r>
        <w:lastRenderedPageBreak/>
        <w:t>Hochrisikoland war. Für Hunde aus Ländern ohne Hochrisiko-Einstufung gilt zusätzlich: mindestens sechs Monate alt, ein Mikrochip, den ein Universalscanner liest, gesundes Aussehen. Impf- oder Antikörpernachweise verlangt die CDC dann nicht. Deutschland steht nicht auf der Hochrisikoliste (CDC, Abruf 20. Se</w:t>
      </w:r>
      <w:r>
        <w:t>ptember 2026; die Regeln gelten unverändert seit 1. August 2024, die Liste wurde zuletzt am 15. April 2026 aktualisiert). Wer kurz vor dem Umzug einen Welpen anschafft, muss bis zum sechsten Lebensmonat warten.</w:t>
      </w:r>
    </w:p>
    <w:p w14:paraId="70A4D997" w14:textId="77777777" w:rsidR="00C1548D" w:rsidRDefault="009B1B4B">
      <w:pPr>
        <w:spacing w:after="140"/>
      </w:pPr>
      <w:r>
        <w:t>Verbreiteter Irrtum: Ohne Tollwutimpfung geht bei der Einreise angeblich gar nichts. Bundesrechtlich verlangt allein die CDC sie für Hunde aus Deutschland gar nicht – Mikrochip und ein ausgefülltes Formular reichen. Erst der Bundesstaat, die Fluggesellschaft oder die Kommune am Zielort macht die Spritze in der Praxis zur Pflicht.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9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998" w14:textId="77777777" w:rsidR="00C1548D" w:rsidRDefault="009B1B4B">
            <w:pPr>
              <w:keepNext/>
              <w:spacing w:after="70" w:line="240" w:lineRule="auto"/>
            </w:pPr>
            <w:r>
              <w:rPr>
                <w:b/>
                <w:bCs/>
                <w:color w:val="9B2C2C"/>
                <w:spacing w:val="24"/>
                <w:sz w:val="16"/>
                <w:szCs w:val="16"/>
              </w:rPr>
              <w:t>ACHTUNG</w:t>
            </w:r>
          </w:p>
          <w:p w14:paraId="70A4D999" w14:textId="77777777" w:rsidR="00C1548D" w:rsidRDefault="009B1B4B">
            <w:pPr>
              <w:spacing w:after="80" w:line="264" w:lineRule="auto"/>
            </w:pPr>
            <w:r>
              <w:rPr>
                <w:sz w:val="20"/>
                <w:szCs w:val="20"/>
              </w:rPr>
              <w:t>War dein Hund in den letzten sechs Monaten in einem Hochrisikoland, auch nur im Urlaub, gilt die einfache Regel nicht mehr. Dann verlangt die CDC unter anderem Tollwutimpfung, Antikörpernachweis und Gesundheitszeugnis. Prüfe die Liste auf cdc.gov/importation, bevor du einen Urlaub mit Hund buchst.</w:t>
            </w:r>
          </w:p>
        </w:tc>
      </w:tr>
    </w:tbl>
    <w:p w14:paraId="70A4D99B" w14:textId="77777777" w:rsidR="00C1548D" w:rsidRDefault="00C1548D">
      <w:pPr>
        <w:spacing w:line="220" w:lineRule="exact"/>
      </w:pPr>
    </w:p>
    <w:p w14:paraId="70A4D99C" w14:textId="77777777" w:rsidR="00C1548D" w:rsidRDefault="009B1B4B">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krank, kann vor der Einreise eine tierärztliche Untersuchung auf deine Kosten verlangt werden.</w:t>
      </w:r>
    </w:p>
    <w:p w14:paraId="70A4D99D" w14:textId="77777777" w:rsidR="00C1548D" w:rsidRDefault="009B1B4B">
      <w:pPr>
        <w:spacing w:after="140"/>
      </w:pPr>
      <w:r>
        <w:rPr>
          <w:b/>
          <w:bCs/>
        </w:rPr>
        <w:t>Hawaii und Guam</w:t>
      </w:r>
      <w:r>
        <w:t xml:space="preserve"> haben eigene Quarantäneregeln, auch für Tiere vom US-Festland. In Hawaii begrenzt das Programm „5 Day or Less“ die Quarantäne bei vollständigen Unterlagen auf höchstens fünf Tage, im Idealfall entfällt sie ganz. Es kostet 244 $ pro Tier (jeder weitere Tag 17,80 $) und verlangt mindestens zwei Tollwutimpfungen im Abstand von 30 Tagen sowie einen FAVN-Antikörpertest (Labor rund 115 $ pro Probe, Stand 2026). Fehlt </w:t>
      </w:r>
      <w:r>
        <w:lastRenderedPageBreak/>
        <w:t>etwas, drohen bis zu 120 Tage Quarantäne. Rechne mit mehreren Monaten Vorlauf.</w:t>
      </w:r>
    </w:p>
    <w:p w14:paraId="70A4D99E" w14:textId="77777777" w:rsidR="00C1548D" w:rsidRDefault="009B1B4B">
      <w:pPr>
        <w:spacing w:after="140"/>
      </w:pPr>
      <w:r>
        <w:rPr>
          <w:b/>
          <w:bCs/>
        </w:rPr>
        <w:t>Andere Tiere.</w:t>
      </w:r>
      <w:r>
        <w:t xml:space="preserve"> Für Vögel, Reptilien, Nager, Pferde und geschützte Arten gelten eigene Vorgaben des Landwirtschaftsministeriums (USDA, Behörde APHIS) und der Wildtierbehörde USFWS, teils mit Genehmigung oder Quarantäne. Kläre das Monate vorher.</w:t>
      </w:r>
    </w:p>
    <w:p w14:paraId="70A4D99F" w14:textId="77777777" w:rsidR="00C1548D" w:rsidRDefault="009B1B4B">
      <w:pPr>
        <w:pStyle w:val="Heading3"/>
        <w:keepNext/>
        <w:jc w:val="center"/>
      </w:pPr>
      <w:r>
        <w:rPr>
          <w:rFonts w:ascii="Amazon Ember" w:eastAsia="Amazon Ember" w:hAnsi="Amazon Ember" w:cs="Amazon Ember"/>
          <w:color w:val="0000FF"/>
          <w:sz w:val="36"/>
          <w:szCs w:val="36"/>
        </w:rPr>
        <w:t>Vorbereitung: Chip, Impfung, Papiere</w:t>
      </w:r>
    </w:p>
    <w:p w14:paraId="70A4D9A0" w14:textId="77777777" w:rsidR="00C1548D" w:rsidRDefault="009B1B4B">
      <w:pPr>
        <w:spacing w:after="140"/>
      </w:pPr>
      <w:r>
        <w:t>Beginne drei bis vier Monate vor dem Abflug:</w:t>
      </w:r>
    </w:p>
    <w:p w14:paraId="70A4D9A1" w14:textId="77777777" w:rsidR="00C1548D" w:rsidRDefault="009B1B4B" w:rsidP="009B1B4B">
      <w:pPr>
        <w:pStyle w:val="ListParagraph"/>
        <w:numPr>
          <w:ilvl w:val="0"/>
          <w:numId w:val="25"/>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w14:paraId="70A4D9A2" w14:textId="77777777" w:rsidR="00C1548D" w:rsidRDefault="009B1B4B" w:rsidP="009B1B4B">
      <w:pPr>
        <w:pStyle w:val="ListParagraph"/>
        <w:numPr>
          <w:ilvl w:val="0"/>
          <w:numId w:val="25"/>
        </w:numPr>
        <w:spacing w:after="60"/>
      </w:pPr>
      <w:r>
        <w:rPr>
          <w:b/>
          <w:bCs/>
        </w:rPr>
        <w:t>Airline und Route klären.</w:t>
      </w:r>
      <w:r>
        <w:t xml:space="preserve"> Kabine oder Frachtraum, Gewichtsgrenzen, Hitze- und Rassenregeln, Anmeldefrist (siehe nächster Abschnitt).</w:t>
      </w:r>
    </w:p>
    <w:p w14:paraId="70A4D9A3" w14:textId="77777777" w:rsidR="00C1548D" w:rsidRDefault="009B1B4B" w:rsidP="009B1B4B">
      <w:pPr>
        <w:pStyle w:val="ListParagraph"/>
        <w:numPr>
          <w:ilvl w:val="0"/>
          <w:numId w:val="25"/>
        </w:numPr>
        <w:spacing w:after="60"/>
      </w:pPr>
      <w:r>
        <w:rPr>
          <w:b/>
          <w:bCs/>
        </w:rPr>
        <w:t>Tierarzt-Check.</w:t>
      </w:r>
      <w:r>
        <w:t xml:space="preserve"> Gesundheit, Flugtauglichkeit (bei älteren Tieren und bei Herz- oder Atemproblemen ausdrücklich fragen) und aktuelle Tollwutimpfung im EU-Heimtierausweis.</w:t>
      </w:r>
    </w:p>
    <w:p w14:paraId="70A4D9A4" w14:textId="77777777" w:rsidR="00C1548D" w:rsidRDefault="009B1B4B" w:rsidP="009B1B4B">
      <w:pPr>
        <w:pStyle w:val="ListParagraph"/>
        <w:numPr>
          <w:ilvl w:val="0"/>
          <w:numId w:val="25"/>
        </w:numPr>
        <w:spacing w:after="60"/>
      </w:pPr>
      <w:r>
        <w:rPr>
          <w:b/>
          <w:bCs/>
        </w:rPr>
        <w:t>CDC-Formular.</w:t>
      </w:r>
      <w:r>
        <w:t xml:space="preserve"> Dog Import Form ausfüllen, Quittung ausdrucken und digital speichern.</w:t>
      </w:r>
    </w:p>
    <w:p w14:paraId="70A4D9A5" w14:textId="77777777" w:rsidR="00C1548D" w:rsidRDefault="009B1B4B" w:rsidP="009B1B4B">
      <w:pPr>
        <w:pStyle w:val="ListParagraph"/>
        <w:numPr>
          <w:ilvl w:val="0"/>
          <w:numId w:val="25"/>
        </w:numPr>
        <w:spacing w:after="60"/>
      </w:pPr>
      <w:r>
        <w:rPr>
          <w:b/>
          <w:bCs/>
        </w:rPr>
        <w:t>Gesundheitszeugnis.</w:t>
      </w:r>
      <w:r>
        <w:t xml:space="preserve"> Viele Airlines verlangen ein tierärztliches Zeugnis, das beim Abflug höchstens zehn Tage alt ist (laut Ratgebern etwa bei Lufthansa). Lass dir den Bedarf schriftlich bestätigen.</w:t>
      </w:r>
    </w:p>
    <w:p w14:paraId="70A4D9A6" w14:textId="77777777" w:rsidR="00C1548D" w:rsidRDefault="009B1B4B" w:rsidP="009B1B4B">
      <w:pPr>
        <w:pStyle w:val="ListParagraph"/>
        <w:numPr>
          <w:ilvl w:val="0"/>
          <w:numId w:val="25"/>
        </w:numPr>
        <w:spacing w:after="60"/>
      </w:pPr>
      <w:r>
        <w:rPr>
          <w:b/>
          <w:bCs/>
        </w:rPr>
        <w:t>Papiermappe</w:t>
      </w:r>
      <w:r>
        <w:t xml:space="preserve"> ins Handgepäck: Heimtierausweis, CDC-Quittung, Zeugnis, Chipnummer.</w:t>
      </w:r>
    </w:p>
    <w:p w14:paraId="70A4D9A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A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9A8" w14:textId="77777777" w:rsidR="00C1548D" w:rsidRDefault="009B1B4B">
            <w:pPr>
              <w:keepNext/>
              <w:spacing w:after="70" w:line="240" w:lineRule="auto"/>
            </w:pPr>
            <w:r>
              <w:rPr>
                <w:b/>
                <w:bCs/>
                <w:color w:val="8A6212"/>
                <w:spacing w:val="24"/>
                <w:sz w:val="16"/>
                <w:szCs w:val="16"/>
              </w:rPr>
              <w:lastRenderedPageBreak/>
              <w:t>MERKE</w:t>
            </w:r>
          </w:p>
          <w:p w14:paraId="70A4D9A9" w14:textId="77777777" w:rsidR="00C1548D" w:rsidRDefault="009B1B4B">
            <w:pPr>
              <w:spacing w:after="80" w:line="264" w:lineRule="auto"/>
            </w:pPr>
            <w:r>
              <w:rPr>
                <w:sz w:val="20"/>
                <w:szCs w:val="20"/>
              </w:rPr>
              <w:t>Die CDC ist die kleinste Hürde. Ob dein Tier mitkommt, wo es wohnen darf und was es kostet, entscheiden Airline, Vermieter, Kommune und Jahreszeit.</w:t>
            </w:r>
          </w:p>
        </w:tc>
      </w:tr>
    </w:tbl>
    <w:p w14:paraId="70A4D9AB" w14:textId="77777777" w:rsidR="00C1548D" w:rsidRDefault="00C1548D">
      <w:pPr>
        <w:spacing w:line="220" w:lineRule="exact"/>
      </w:pPr>
    </w:p>
    <w:p w14:paraId="70A4D9AC" w14:textId="77777777" w:rsidR="00C1548D" w:rsidRDefault="009B1B4B">
      <w:pPr>
        <w:pStyle w:val="Heading3"/>
        <w:keepNext/>
        <w:jc w:val="center"/>
      </w:pPr>
      <w:r>
        <w:rPr>
          <w:rFonts w:ascii="Amazon Ember" w:eastAsia="Amazon Ember" w:hAnsi="Amazon Ember" w:cs="Amazon Ember"/>
          <w:color w:val="0000FF"/>
          <w:sz w:val="36"/>
          <w:szCs w:val="36"/>
        </w:rPr>
        <w:t>Der Flug: Kabine oder Frachtraum</w:t>
      </w:r>
    </w:p>
    <w:p w14:paraId="70A4D9AD" w14:textId="77777777" w:rsidR="00C1548D" w:rsidRDefault="009B1B4B">
      <w:pPr>
        <w:spacing w:after="140"/>
      </w:pPr>
      <w:r>
        <w:t xml:space="preserve">In der </w:t>
      </w:r>
      <w:r>
        <w:rPr>
          <w:b/>
          <w:bCs/>
        </w:rPr>
        <w:t>Kabine</w:t>
      </w:r>
      <w:r>
        <w:t xml:space="preserv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w14:paraId="70A4D9AE" w14:textId="77777777" w:rsidR="00C1548D" w:rsidRDefault="009B1B4B">
      <w:pPr>
        <w:spacing w:after="140"/>
      </w:pPr>
      <w:r>
        <w:t xml:space="preserve">Alles Größere reist im </w:t>
      </w:r>
      <w:r>
        <w:rPr>
          <w:b/>
          <w:bCs/>
        </w:rPr>
        <w:t>Frachtraum</w:t>
      </w:r>
      <w:r>
        <w:t>,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B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9AF" w14:textId="77777777" w:rsidR="00C1548D" w:rsidRDefault="009B1B4B">
            <w:pPr>
              <w:keepNext/>
              <w:spacing w:after="70" w:line="240" w:lineRule="auto"/>
            </w:pPr>
            <w:r>
              <w:rPr>
                <w:b/>
                <w:bCs/>
                <w:color w:val="9B2C2C"/>
                <w:spacing w:val="24"/>
                <w:sz w:val="16"/>
                <w:szCs w:val="16"/>
              </w:rPr>
              <w:t>ACHTUNG</w:t>
            </w:r>
          </w:p>
          <w:p w14:paraId="70A4D9B0" w14:textId="77777777" w:rsidR="00C1548D" w:rsidRDefault="009B1B4B">
            <w:pPr>
              <w:spacing w:after="80" w:line="264" w:lineRule="auto"/>
            </w:pPr>
            <w:r>
              <w:rPr>
                <w:sz w:val="20"/>
                <w:szCs w:val="20"/>
              </w:rPr>
              <w:t>Hitze ist die häufigste Sperre. Der Frachtraum hält laut Lufthansa 45–85 °F (7–29 °C). Kurzköpfige Rassen wie Mops, Bulldogge, Boxer oder Shih Tzu reisen dort nicht, wenn es am Abflug-, Umstiegs- oder 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w:t>
            </w:r>
            <w:r>
              <w:rPr>
                <w:sz w:val="20"/>
                <w:szCs w:val="20"/>
              </w:rPr>
              <w:t>lich.</w:t>
            </w:r>
          </w:p>
        </w:tc>
      </w:tr>
    </w:tbl>
    <w:p w14:paraId="70A4D9B2" w14:textId="77777777" w:rsidR="00C1548D" w:rsidRDefault="00C1548D">
      <w:pPr>
        <w:spacing w:line="220" w:lineRule="exact"/>
      </w:pPr>
    </w:p>
    <w:p w14:paraId="70A4D9B3"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die Reise kostet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81"/>
        <w:gridCol w:w="3199"/>
      </w:tblGrid>
      <w:tr w:rsidR="00C1548D" w14:paraId="70A4D9B6" w14:textId="77777777">
        <w:tblPrEx>
          <w:tblCellMar>
            <w:top w:w="0" w:type="dxa"/>
            <w:bottom w:w="0" w:type="dxa"/>
          </w:tblCellMar>
        </w:tblPrEx>
        <w:trPr>
          <w:cantSplit/>
          <w:tblHeader/>
        </w:trPr>
        <w:tc>
          <w:tcPr>
            <w:tcW w:w="328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B4" w14:textId="77777777" w:rsidR="00C1548D" w:rsidRDefault="009B1B4B">
            <w:pPr>
              <w:spacing w:line="250" w:lineRule="auto"/>
            </w:pPr>
            <w:r>
              <w:rPr>
                <w:b/>
                <w:bCs/>
                <w:sz w:val="18"/>
                <w:szCs w:val="18"/>
              </w:rPr>
              <w:t>Posten</w:t>
            </w:r>
          </w:p>
        </w:tc>
        <w:tc>
          <w:tcPr>
            <w:tcW w:w="319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B5" w14:textId="77777777" w:rsidR="00C1548D" w:rsidRDefault="009B1B4B">
            <w:pPr>
              <w:spacing w:line="250" w:lineRule="auto"/>
            </w:pPr>
            <w:r>
              <w:rPr>
                <w:b/>
                <w:bCs/>
                <w:sz w:val="18"/>
                <w:szCs w:val="18"/>
              </w:rPr>
              <w:t>Spanne pro Tier (Stand 2026)</w:t>
            </w:r>
          </w:p>
        </w:tc>
      </w:tr>
      <w:tr w:rsidR="00C1548D" w14:paraId="70A4D9B9" w14:textId="77777777">
        <w:tblPrEx>
          <w:tblCellMar>
            <w:top w:w="0" w:type="dxa"/>
            <w:bottom w:w="0" w:type="dxa"/>
          </w:tblCellMar>
        </w:tblPrEx>
        <w:trPr>
          <w:cantSplit/>
        </w:trPr>
        <w:tc>
          <w:tcPr>
            <w:tcW w:w="32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B7" w14:textId="77777777" w:rsidR="00C1548D" w:rsidRDefault="009B1B4B">
            <w:pPr>
              <w:spacing w:line="250" w:lineRule="auto"/>
            </w:pPr>
            <w:r>
              <w:rPr>
                <w:sz w:val="18"/>
                <w:szCs w:val="18"/>
              </w:rPr>
              <w:t>Tierarzt, Tests, Formalitäten</w:t>
            </w:r>
          </w:p>
        </w:tc>
        <w:tc>
          <w:tcPr>
            <w:tcW w:w="31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B8" w14:textId="77777777" w:rsidR="00C1548D" w:rsidRDefault="009B1B4B">
            <w:pPr>
              <w:spacing w:line="250" w:lineRule="auto"/>
            </w:pPr>
            <w:r>
              <w:rPr>
                <w:sz w:val="18"/>
                <w:szCs w:val="18"/>
              </w:rPr>
              <w:t>250–800 $</w:t>
            </w:r>
          </w:p>
        </w:tc>
      </w:tr>
      <w:tr w:rsidR="00C1548D" w14:paraId="70A4D9BC" w14:textId="77777777">
        <w:tblPrEx>
          <w:tblCellMar>
            <w:top w:w="0" w:type="dxa"/>
            <w:bottom w:w="0" w:type="dxa"/>
          </w:tblCellMar>
        </w:tblPrEx>
        <w:trPr>
          <w:cantSplit/>
        </w:trPr>
        <w:tc>
          <w:tcPr>
            <w:tcW w:w="32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BA" w14:textId="77777777" w:rsidR="00C1548D" w:rsidRDefault="009B1B4B">
            <w:pPr>
              <w:spacing w:line="250" w:lineRule="auto"/>
            </w:pPr>
            <w:r>
              <w:rPr>
                <w:sz w:val="18"/>
                <w:szCs w:val="18"/>
              </w:rPr>
              <w:t>Transportbox</w:t>
            </w:r>
          </w:p>
        </w:tc>
        <w:tc>
          <w:tcPr>
            <w:tcW w:w="31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BB" w14:textId="77777777" w:rsidR="00C1548D" w:rsidRDefault="009B1B4B">
            <w:pPr>
              <w:spacing w:line="250" w:lineRule="auto"/>
            </w:pPr>
            <w:r>
              <w:rPr>
                <w:sz w:val="18"/>
                <w:szCs w:val="18"/>
              </w:rPr>
              <w:t>50–400 $</w:t>
            </w:r>
          </w:p>
        </w:tc>
      </w:tr>
      <w:tr w:rsidR="00C1548D" w14:paraId="70A4D9BF" w14:textId="77777777">
        <w:tblPrEx>
          <w:tblCellMar>
            <w:top w:w="0" w:type="dxa"/>
            <w:bottom w:w="0" w:type="dxa"/>
          </w:tblCellMar>
        </w:tblPrEx>
        <w:trPr>
          <w:cantSplit/>
        </w:trPr>
        <w:tc>
          <w:tcPr>
            <w:tcW w:w="32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BD" w14:textId="77777777" w:rsidR="00C1548D" w:rsidRDefault="009B1B4B">
            <w:pPr>
              <w:spacing w:line="250" w:lineRule="auto"/>
            </w:pPr>
            <w:r>
              <w:rPr>
                <w:sz w:val="18"/>
                <w:szCs w:val="18"/>
              </w:rPr>
              <w:t>Flug in der Kabine</w:t>
            </w:r>
          </w:p>
        </w:tc>
        <w:tc>
          <w:tcPr>
            <w:tcW w:w="31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BE" w14:textId="77777777" w:rsidR="00C1548D" w:rsidRDefault="009B1B4B">
            <w:pPr>
              <w:spacing w:line="250" w:lineRule="auto"/>
            </w:pPr>
            <w:r>
              <w:rPr>
                <w:sz w:val="18"/>
                <w:szCs w:val="18"/>
              </w:rPr>
              <w:t>95–200 $ je Strecke</w:t>
            </w:r>
          </w:p>
        </w:tc>
      </w:tr>
      <w:tr w:rsidR="00C1548D" w14:paraId="70A4D9C2" w14:textId="77777777">
        <w:tblPrEx>
          <w:tblCellMar>
            <w:top w:w="0" w:type="dxa"/>
            <w:bottom w:w="0" w:type="dxa"/>
          </w:tblCellMar>
        </w:tblPrEx>
        <w:trPr>
          <w:cantSplit/>
        </w:trPr>
        <w:tc>
          <w:tcPr>
            <w:tcW w:w="32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C0" w14:textId="77777777" w:rsidR="00C1548D" w:rsidRDefault="009B1B4B">
            <w:pPr>
              <w:spacing w:line="250" w:lineRule="auto"/>
            </w:pPr>
            <w:r>
              <w:rPr>
                <w:sz w:val="18"/>
                <w:szCs w:val="18"/>
              </w:rPr>
              <w:t>Flug im Frachtraum</w:t>
            </w:r>
          </w:p>
        </w:tc>
        <w:tc>
          <w:tcPr>
            <w:tcW w:w="31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C1" w14:textId="77777777" w:rsidR="00C1548D" w:rsidRDefault="009B1B4B">
            <w:pPr>
              <w:spacing w:line="250" w:lineRule="auto"/>
            </w:pPr>
            <w:r>
              <w:rPr>
                <w:sz w:val="18"/>
                <w:szCs w:val="18"/>
              </w:rPr>
              <w:t>500–2.500 $ und mehr</w:t>
            </w:r>
          </w:p>
        </w:tc>
      </w:tr>
      <w:tr w:rsidR="00C1548D" w14:paraId="70A4D9C5" w14:textId="77777777">
        <w:tblPrEx>
          <w:tblCellMar>
            <w:top w:w="0" w:type="dxa"/>
            <w:bottom w:w="0" w:type="dxa"/>
          </w:tblCellMar>
        </w:tblPrEx>
        <w:trPr>
          <w:cantSplit/>
        </w:trPr>
        <w:tc>
          <w:tcPr>
            <w:tcW w:w="32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C3" w14:textId="77777777" w:rsidR="00C1548D" w:rsidRDefault="009B1B4B">
            <w:pPr>
              <w:spacing w:line="250" w:lineRule="auto"/>
            </w:pPr>
            <w:r>
              <w:rPr>
                <w:sz w:val="18"/>
                <w:szCs w:val="18"/>
              </w:rPr>
              <w:t>Full-Service-Tiertransport</w:t>
            </w:r>
          </w:p>
        </w:tc>
        <w:tc>
          <w:tcPr>
            <w:tcW w:w="31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C4" w14:textId="77777777" w:rsidR="00C1548D" w:rsidRDefault="009B1B4B">
            <w:pPr>
              <w:spacing w:line="250" w:lineRule="auto"/>
            </w:pPr>
            <w:r>
              <w:rPr>
                <w:sz w:val="18"/>
                <w:szCs w:val="18"/>
              </w:rPr>
              <w:t>4.000–12.000 $ und mehr</w:t>
            </w:r>
          </w:p>
        </w:tc>
      </w:tr>
    </w:tbl>
    <w:p w14:paraId="70A4D9C6" w14:textId="77777777" w:rsidR="00C1548D" w:rsidRDefault="00C1548D">
      <w:pPr>
        <w:spacing w:line="180" w:lineRule="exact"/>
      </w:pPr>
    </w:p>
    <w:p w14:paraId="70A4D9C7" w14:textId="77777777" w:rsidR="00C1548D" w:rsidRDefault="009B1B4B">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CA"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9C8" w14:textId="77777777" w:rsidR="00C1548D" w:rsidRDefault="009B1B4B">
            <w:pPr>
              <w:keepNext/>
              <w:spacing w:after="70" w:line="240" w:lineRule="auto"/>
            </w:pPr>
            <w:r>
              <w:rPr>
                <w:b/>
                <w:bCs/>
                <w:color w:val="2F6B3B"/>
                <w:spacing w:val="24"/>
                <w:sz w:val="16"/>
                <w:szCs w:val="16"/>
              </w:rPr>
              <w:t>SPARTIPP</w:t>
            </w:r>
          </w:p>
          <w:p w14:paraId="70A4D9C9" w14:textId="0057BD8C" w:rsidR="00C1548D" w:rsidRDefault="009B1B4B">
            <w:pPr>
              <w:spacing w:after="80" w:line="264" w:lineRule="auto"/>
            </w:pPr>
            <w:r>
              <w:rPr>
                <w:sz w:val="20"/>
                <w:szCs w:val="20"/>
              </w:rPr>
              <w:t>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(Kapitel </w:t>
            </w:r>
            <w:hyperlink w:anchor="k20" w:history="1">
              <w:r>
                <w:rPr>
                  <w:sz w:val="20"/>
                  <w:szCs w:val="20"/>
                </w:rPr>
                <w:t>20</w:t>
              </w:r>
            </w:hyperlink>
            <w:r>
              <w:rPr>
                <w:sz w:val="20"/>
                <w:szCs w:val="20"/>
              </w:rPr>
              <w:t>).</w:t>
            </w:r>
          </w:p>
        </w:tc>
      </w:tr>
    </w:tbl>
    <w:p w14:paraId="70A4D9CB"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CE"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9CC" w14:textId="77777777" w:rsidR="00C1548D" w:rsidRDefault="009B1B4B">
            <w:pPr>
              <w:keepNext/>
              <w:spacing w:after="70" w:line="240" w:lineRule="auto"/>
            </w:pPr>
            <w:r>
              <w:rPr>
                <w:b/>
                <w:bCs/>
                <w:color w:val="4A5568"/>
                <w:spacing w:val="24"/>
                <w:sz w:val="16"/>
                <w:szCs w:val="16"/>
              </w:rPr>
              <w:lastRenderedPageBreak/>
              <w:t>PRAXISBEISPIEL · FIKTIV</w:t>
            </w:r>
          </w:p>
          <w:p w14:paraId="70A4D9CD" w14:textId="77777777" w:rsidR="00C1548D" w:rsidRDefault="009B1B4B">
            <w:pPr>
              <w:spacing w:after="80" w:line="264" w:lineRule="auto"/>
            </w:pPr>
            <w:r>
              <w:rPr>
                <w:sz w:val="20"/>
                <w:szCs w:val="20"/>
              </w:rPr>
              <w:t>Familie Hoffmann (fiktiv) zieht von Dresden nach Phoenix und nimmt Bruno mit, einen Labrador-Mischling mit 27 kg. Die Kabine scheidet aus, also bleibt der Frachtraum. Die Airline nennt für den Zielflughafen eine Hitzegrenze, und Phoenix liegt im Sommer regelmäßig darüber; die Hoffmanns planen die Ankunft deshalb außerhalb der Sommermonate. Wochen vorher übt Bruno in der Transportbox schlafen, bis er sie freiwillig als Rückzugsort ansteuert. Am Cargo-Terminal in Phoenix bellt er schon durch die Wand, bevor d</w:t>
            </w:r>
            <w:r>
              <w:rPr>
                <w:sz w:val="20"/>
                <w:szCs w:val="20"/>
              </w:rPr>
              <w:t>ie Box auf dem Rollwagen erscheint – die Hoffmanns hören ihn, bevor sie ihn sehen. Kosten pro Tier: Tierarzt und Zeugnis 400 $, Box 250 $, Frachtflug 1.600 $, zusammen 2.250 $. In der Wohnanlage kommen 50 $ Haustiermiete im Monat, 300 $ Kaution und 250 $ Einmalgebühr dazu, im ersten Jahr also 1.150 $. Die deutsche Hundesteuer entfällt, dafür fällt die Lizenz des Countys an.</w:t>
            </w:r>
          </w:p>
        </w:tc>
      </w:tr>
    </w:tbl>
    <w:p w14:paraId="70A4D9CF" w14:textId="77777777" w:rsidR="00C1548D" w:rsidRDefault="00C1548D">
      <w:pPr>
        <w:spacing w:line="220" w:lineRule="exact"/>
      </w:pPr>
    </w:p>
    <w:p w14:paraId="70A4D9D0" w14:textId="77777777" w:rsidR="00C1548D" w:rsidRDefault="009B1B4B">
      <w:pPr>
        <w:pStyle w:val="Heading3"/>
        <w:keepNext/>
        <w:jc w:val="center"/>
      </w:pPr>
      <w:r>
        <w:rPr>
          <w:rFonts w:ascii="Amazon Ember" w:eastAsia="Amazon Ember" w:hAnsi="Amazon Ember" w:cs="Amazon Ember"/>
          <w:color w:val="0000FF"/>
          <w:sz w:val="36"/>
          <w:szCs w:val="36"/>
        </w:rPr>
        <w:t>Ankunft: Kontrolle, Abholung, erste Tage</w:t>
      </w:r>
    </w:p>
    <w:p w14:paraId="70A4D9D1" w14:textId="065F5B5B" w:rsidR="00C1548D" w:rsidRDefault="009B1B4B">
      <w:pPr>
        <w:spacing w:after="140"/>
      </w:pPr>
      <w: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history="1">
        <w:r>
          <w:t>23</w:t>
        </w:r>
      </w:hyperlink>
      <w:r>
        <w:t>).</w:t>
      </w:r>
    </w:p>
    <w:p w14:paraId="70A4D9D2" w14:textId="2A24D7B1" w:rsidR="00C1548D" w:rsidRDefault="009B1B4B">
      <w:pPr>
        <w:spacing w:after="140"/>
      </w:pPr>
      <w:r>
        <w:t xml:space="preserve">Kläre vor dem Abflug, ob deine Übergangsunterkunft (Hotel, </w:t>
      </w:r>
      <w:r>
        <w:rPr>
          <w:i/>
          <w:iCs/>
        </w:rPr>
        <w:t>Corporate Housing</w:t>
      </w:r>
      <w:r>
        <w:t>, möbliertes Wohnen auf Zeit) Tiere erlaubt und was das kostet; oft fallen Zuschläge an. Tierfutter mit Fleisch- oder Milchbestandteilen kann bei der Einfuhr beschränkt sein, kaufe es lieber vor Ort (Kapitel </w:t>
      </w:r>
      <w:hyperlink w:anchor="k20" w:history="1">
        <w:r>
          <w:t>20</w:t>
        </w:r>
      </w:hyperlink>
      <w:r>
        <w:t>). In der ersten Woche suchst du einen Tierarzt, änderst Adresse und Telefonnummer beim Chipregister und beantragst die Lizenz.</w:t>
      </w:r>
    </w:p>
    <w:p w14:paraId="70A4D9D3" w14:textId="77777777" w:rsidR="00C1548D" w:rsidRDefault="009B1B4B">
      <w:pPr>
        <w:pStyle w:val="Heading3"/>
        <w:keepNext/>
        <w:jc w:val="center"/>
      </w:pPr>
      <w:r>
        <w:rPr>
          <w:rFonts w:ascii="Amazon Ember" w:eastAsia="Amazon Ember" w:hAnsi="Amazon Ember" w:cs="Amazon Ember"/>
          <w:color w:val="0000FF"/>
          <w:sz w:val="36"/>
          <w:szCs w:val="36"/>
        </w:rPr>
        <w:lastRenderedPageBreak/>
        <w:t>Wohnen mit Tier: Miete, Rassenlisten, HOA</w:t>
      </w:r>
    </w:p>
    <w:p w14:paraId="70A4D9D4" w14:textId="77777777" w:rsidR="00C1548D" w:rsidRDefault="009B1B4B">
      <w:pPr>
        <w:spacing w:after="140"/>
      </w:pPr>
      <w:r>
        <w:t>Rund 80 % der Mietwohnungen erlauben Tiere (Branchenangabe), doch für die meisten kostet das extra: 72 % der tierfreundlichen Objekte verlangen Haustiermiete (Branchenverband NAA). Typische Posten: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0"/>
        <w:gridCol w:w="4240"/>
      </w:tblGrid>
      <w:tr w:rsidR="00C1548D" w14:paraId="70A4D9D7" w14:textId="77777777">
        <w:tblPrEx>
          <w:tblCellMar>
            <w:top w:w="0" w:type="dxa"/>
            <w:bottom w:w="0" w:type="dxa"/>
          </w:tblCellMar>
        </w:tblPrEx>
        <w:trPr>
          <w:cantSplit/>
          <w:tblHeader/>
        </w:trPr>
        <w:tc>
          <w:tcPr>
            <w:tcW w:w="2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D5" w14:textId="77777777" w:rsidR="00C1548D" w:rsidRDefault="009B1B4B">
            <w:pPr>
              <w:spacing w:line="250" w:lineRule="auto"/>
            </w:pPr>
            <w:r>
              <w:rPr>
                <w:b/>
                <w:bCs/>
                <w:sz w:val="18"/>
                <w:szCs w:val="18"/>
              </w:rPr>
              <w:t>Posten</w:t>
            </w:r>
          </w:p>
        </w:tc>
        <w:tc>
          <w:tcPr>
            <w:tcW w:w="4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D6" w14:textId="77777777" w:rsidR="00C1548D" w:rsidRDefault="009B1B4B">
            <w:pPr>
              <w:spacing w:line="250" w:lineRule="auto"/>
            </w:pPr>
            <w:r>
              <w:rPr>
                <w:b/>
                <w:bCs/>
                <w:sz w:val="18"/>
                <w:szCs w:val="18"/>
              </w:rPr>
              <w:t>Spanne</w:t>
            </w:r>
          </w:p>
        </w:tc>
      </w:tr>
      <w:tr w:rsidR="00C1548D" w14:paraId="70A4D9DA" w14:textId="77777777">
        <w:tblPrEx>
          <w:tblCellMar>
            <w:top w:w="0" w:type="dxa"/>
            <w:bottom w:w="0" w:type="dxa"/>
          </w:tblCellMar>
        </w:tblPrEx>
        <w:trPr>
          <w:cantSplit/>
        </w:trPr>
        <w:tc>
          <w:tcPr>
            <w:tcW w:w="2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D8" w14:textId="77777777" w:rsidR="00C1548D" w:rsidRDefault="009B1B4B">
            <w:pPr>
              <w:spacing w:line="250" w:lineRule="auto"/>
            </w:pPr>
            <w:r>
              <w:rPr>
                <w:sz w:val="18"/>
                <w:szCs w:val="18"/>
              </w:rPr>
              <w:t>Haustiermiete (</w:t>
            </w:r>
            <w:r>
              <w:rPr>
                <w:i/>
                <w:iCs/>
                <w:sz w:val="18"/>
                <w:szCs w:val="18"/>
              </w:rPr>
              <w:t>Pet Rent</w:t>
            </w:r>
            <w:r>
              <w:rPr>
                <w:sz w:val="18"/>
                <w:szCs w:val="18"/>
              </w:rPr>
              <w:t>)</w:t>
            </w:r>
          </w:p>
        </w:tc>
        <w:tc>
          <w:tcPr>
            <w:tcW w:w="4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D9" w14:textId="77777777" w:rsidR="00C1548D" w:rsidRDefault="009B1B4B">
            <w:pPr>
              <w:spacing w:line="250" w:lineRule="auto"/>
            </w:pPr>
            <w:r>
              <w:rPr>
                <w:sz w:val="18"/>
                <w:szCs w:val="18"/>
              </w:rPr>
              <w:t>Ø 50 $/Monat (Hund), 35 $ (Katze); Großstädte 50–75 $</w:t>
            </w:r>
          </w:p>
        </w:tc>
      </w:tr>
      <w:tr w:rsidR="00C1548D" w14:paraId="70A4D9DD" w14:textId="77777777">
        <w:tblPrEx>
          <w:tblCellMar>
            <w:top w:w="0" w:type="dxa"/>
            <w:bottom w:w="0" w:type="dxa"/>
          </w:tblCellMar>
        </w:tblPrEx>
        <w:trPr>
          <w:cantSplit/>
        </w:trPr>
        <w:tc>
          <w:tcPr>
            <w:tcW w:w="2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DB" w14:textId="77777777" w:rsidR="00C1548D" w:rsidRDefault="009B1B4B">
            <w:pPr>
              <w:spacing w:line="250" w:lineRule="auto"/>
            </w:pPr>
            <w:r>
              <w:rPr>
                <w:sz w:val="18"/>
                <w:szCs w:val="18"/>
              </w:rPr>
              <w:t>Tierkaution (</w:t>
            </w:r>
            <w:r>
              <w:rPr>
                <w:i/>
                <w:iCs/>
                <w:sz w:val="18"/>
                <w:szCs w:val="18"/>
              </w:rPr>
              <w:t>Pet Deposit</w:t>
            </w:r>
            <w:r>
              <w:rPr>
                <w:sz w:val="18"/>
                <w:szCs w:val="18"/>
              </w:rPr>
              <w:t>)</w:t>
            </w:r>
          </w:p>
        </w:tc>
        <w:tc>
          <w:tcPr>
            <w:tcW w:w="4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DC" w14:textId="77777777" w:rsidR="00C1548D" w:rsidRDefault="009B1B4B">
            <w:pPr>
              <w:spacing w:line="250" w:lineRule="auto"/>
            </w:pPr>
            <w:r>
              <w:rPr>
                <w:sz w:val="18"/>
                <w:szCs w:val="18"/>
              </w:rPr>
              <w:t>200–500 $; San Francisco, New York 400–600 $</w:t>
            </w:r>
          </w:p>
        </w:tc>
      </w:tr>
      <w:tr w:rsidR="00C1548D" w14:paraId="70A4D9E0" w14:textId="77777777">
        <w:tblPrEx>
          <w:tblCellMar>
            <w:top w:w="0" w:type="dxa"/>
            <w:bottom w:w="0" w:type="dxa"/>
          </w:tblCellMar>
        </w:tblPrEx>
        <w:trPr>
          <w:cantSplit/>
        </w:trPr>
        <w:tc>
          <w:tcPr>
            <w:tcW w:w="2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DE" w14:textId="77777777" w:rsidR="00C1548D" w:rsidRDefault="009B1B4B">
            <w:pPr>
              <w:spacing w:line="250" w:lineRule="auto"/>
            </w:pPr>
            <w:r>
              <w:rPr>
                <w:sz w:val="18"/>
                <w:szCs w:val="18"/>
              </w:rPr>
              <w:t>Einmalgebühr (</w:t>
            </w:r>
            <w:r>
              <w:rPr>
                <w:i/>
                <w:iCs/>
                <w:sz w:val="18"/>
                <w:szCs w:val="18"/>
              </w:rPr>
              <w:t>Pet Fee</w:t>
            </w:r>
            <w:r>
              <w:rPr>
                <w:sz w:val="18"/>
                <w:szCs w:val="18"/>
              </w:rPr>
              <w:t>)</w:t>
            </w:r>
          </w:p>
        </w:tc>
        <w:tc>
          <w:tcPr>
            <w:tcW w:w="4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DF" w14:textId="77777777" w:rsidR="00C1548D" w:rsidRDefault="009B1B4B">
            <w:pPr>
              <w:spacing w:line="250" w:lineRule="auto"/>
            </w:pPr>
            <w:r>
              <w:rPr>
                <w:sz w:val="18"/>
                <w:szCs w:val="18"/>
              </w:rPr>
              <w:t>150–300 $, meist nicht erstattbar</w:t>
            </w:r>
          </w:p>
        </w:tc>
      </w:tr>
    </w:tbl>
    <w:p w14:paraId="70A4D9E1" w14:textId="77777777" w:rsidR="00C1548D" w:rsidRDefault="00C1548D">
      <w:pPr>
        <w:spacing w:line="180" w:lineRule="exact"/>
      </w:pPr>
    </w:p>
    <w:p w14:paraId="70A4D9E2" w14:textId="77777777" w:rsidR="00C1548D" w:rsidRDefault="009B1B4B">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E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9E3" w14:textId="77777777" w:rsidR="00C1548D" w:rsidRDefault="009B1B4B">
            <w:pPr>
              <w:keepNext/>
              <w:spacing w:after="70" w:line="240" w:lineRule="auto"/>
            </w:pPr>
            <w:r>
              <w:rPr>
                <w:b/>
                <w:bCs/>
                <w:color w:val="9B2C2C"/>
                <w:spacing w:val="24"/>
                <w:sz w:val="16"/>
                <w:szCs w:val="16"/>
              </w:rPr>
              <w:t>ACHTUNG</w:t>
            </w:r>
          </w:p>
          <w:p w14:paraId="70A4D9E4" w14:textId="7FE6ACAC" w:rsidR="00C1548D" w:rsidRDefault="009B1B4B">
            <w:pPr>
              <w:spacing w:after="80" w:line="264" w:lineRule="auto"/>
            </w:pPr>
            <w:r>
              <w:rPr>
                <w:sz w:val="20"/>
                <w:szCs w:val="20"/>
              </w:rPr>
              <w:t>Kläre Rasse, Gewicht und Zahl der Tiere, bevor du dich bewirbst, denn die Bewerbungsgebühr ist bei Ablehnung meist verloren (Kapitel </w:t>
            </w:r>
            <w:hyperlink w:anchor="k13" w:history="1">
              <w:r>
                <w:rPr>
                  <w:sz w:val="20"/>
                  <w:szCs w:val="20"/>
                </w:rPr>
                <w:t>13</w:t>
              </w:r>
            </w:hyperlink>
            <w:r>
              <w:rPr>
                <w:sz w:val="20"/>
                <w:szCs w:val="20"/>
              </w:rPr>
              <w:t>). Verschweige das Tier nie: Ein nicht gemeldetes Tier ist ein Vertragsverstoß und kann Nachzahlung oder Kündigung bedeuten.</w:t>
            </w:r>
          </w:p>
        </w:tc>
      </w:tr>
    </w:tbl>
    <w:p w14:paraId="70A4D9E6" w14:textId="77777777" w:rsidR="00C1548D" w:rsidRDefault="00C1548D">
      <w:pPr>
        <w:spacing w:line="220" w:lineRule="exact"/>
      </w:pPr>
    </w:p>
    <w:p w14:paraId="70A4D9E7" w14:textId="48947645" w:rsidR="00C1548D" w:rsidRDefault="009B1B4B">
      <w:pPr>
        <w:spacing w:after="140"/>
      </w:pPr>
      <w:r>
        <w:t>Wer später kauft, begegnet der Eigentümergemeinschaft (</w:t>
      </w:r>
      <w:r>
        <w:rPr>
          <w:i/>
          <w:iCs/>
        </w:rPr>
        <w:t>Homeowners Association</w:t>
      </w:r>
      <w:r>
        <w:t>, HOA). Ihre Satzung kann Zahl, Gewicht und Rassen begrenzen; lies sie vor dem Kauf (Kapitel </w:t>
      </w:r>
      <w:hyperlink w:anchor="k14" w:history="1">
        <w:r>
          <w:t>14</w:t>
        </w:r>
      </w:hyperlink>
      <w:r>
        <w:t xml:space="preserve">). Assistenzhunde für Menschen mit Behinderung unterliegen Sonderregeln des </w:t>
      </w:r>
      <w:r>
        <w:rPr>
          <w:i/>
          <w:iCs/>
        </w:rPr>
        <w:t>Fair Housing Act</w:t>
      </w:r>
      <w:r>
        <w:t>, des Bundesgesetzes gegen Diskriminierung beim Wohnen; ihre Halter zahlen in der Regel keine Haustiergebühren. Ein Schlupfloch für gewöhnliche Haustiere ist das nicht.</w:t>
      </w:r>
    </w:p>
    <w:p w14:paraId="70A4D9E8" w14:textId="77777777" w:rsidR="00C1548D" w:rsidRDefault="009B1B4B">
      <w:pPr>
        <w:pStyle w:val="Heading3"/>
        <w:keepNext/>
        <w:jc w:val="center"/>
      </w:pPr>
      <w:r>
        <w:rPr>
          <w:rFonts w:ascii="Amazon Ember" w:eastAsia="Amazon Ember" w:hAnsi="Amazon Ember" w:cs="Amazon Ember"/>
          <w:color w:val="0000FF"/>
          <w:sz w:val="36"/>
          <w:szCs w:val="36"/>
        </w:rPr>
        <w:lastRenderedPageBreak/>
        <w:t>Alltag: Tierarzt, Versicherung, Lizenz, Leine</w:t>
      </w:r>
    </w:p>
    <w:p w14:paraId="70A4D9E9" w14:textId="77777777" w:rsidR="00C1548D" w:rsidRDefault="009B1B4B">
      <w:pPr>
        <w:spacing w:after="140"/>
      </w:pPr>
      <w:r>
        <w:rPr>
          <w:b/>
          <w:bCs/>
        </w:rPr>
        <w:t>Kosten.</w:t>
      </w:r>
      <w:r>
        <w:t xml:space="preserve">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verhandeln lernen. Verlange deshalb vor jeder Behandlung einen Kostenvoranschlag (</w:t>
      </w:r>
      <w:r>
        <w:rPr>
          <w:i/>
          <w:iCs/>
        </w:rPr>
        <w:t>Estimate</w:t>
      </w:r>
      <w:r>
        <w:t>). Notfallkliniken sind deutlich teurer, ein verschluckter Fremdkörper oder ein Kreuzbandriss kostet schnell mehrere Tausend Dollar. In vielen Regionen gehört eine monatliche Herzwurm-Vorsorge (</w:t>
      </w:r>
      <w:r>
        <w:rPr>
          <w:i/>
          <w:iCs/>
        </w:rPr>
        <w:t>Heartworm Prevention</w:t>
      </w:r>
      <w:r>
        <w:t>) zum Standard; frage den Tierarzt.</w:t>
      </w:r>
    </w:p>
    <w:p w14:paraId="70A4D9EA" w14:textId="06EEBA7F" w:rsidR="00C1548D" w:rsidRDefault="009B1B4B">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history="1">
        <w:r>
          <w:t>25</w:t>
        </w:r>
      </w:hyperlink>
      <w:r>
        <w:t>).</w:t>
      </w:r>
    </w:p>
    <w:p w14:paraId="70A4D9EB" w14:textId="77777777" w:rsidR="00C1548D" w:rsidRDefault="009B1B4B">
      <w:pPr>
        <w:spacing w:after="140"/>
      </w:pPr>
      <w:r>
        <w:rPr>
          <w:b/>
          <w:bCs/>
        </w:rPr>
        <w:t>Lizenz und Leine.</w:t>
      </w:r>
      <w:r>
        <w:t xml:space="preserve"> Eine Hundesteuer wie in Deutschland gibt es nicht; stattdessen kostet die jährliche Hundelizenz (</w:t>
      </w:r>
      <w:r>
        <w:rPr>
          <w:i/>
          <w:iCs/>
        </w:rPr>
        <w:t>Dog License</w:t>
      </w:r>
      <w:r>
        <w:t>)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außerhalb des eigenen Grundstücks, Freilauf nur in ausgewiesenen Hundeparks (</w:t>
      </w:r>
      <w:r>
        <w:rPr>
          <w:i/>
          <w:iCs/>
        </w:rPr>
        <w:t>Dog Parks</w:t>
      </w:r>
      <w:r>
        <w:t>), Kotbeutel Pflicht, in vielen Nationalparks kein Hund auf Wanderwegen.</w:t>
      </w:r>
    </w:p>
    <w:p w14:paraId="70A4D9EC" w14:textId="77777777" w:rsidR="00C1548D" w:rsidRDefault="009B1B4B">
      <w:pPr>
        <w:spacing w:after="140"/>
      </w:pPr>
      <w:r>
        <w:rPr>
          <w:b/>
          <w:bCs/>
        </w:rPr>
        <w:lastRenderedPageBreak/>
        <w:t>Hitze.</w:t>
      </w:r>
      <w:r>
        <w:t xml:space="preserv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w14:paraId="70A4D9ED" w14:textId="77777777" w:rsidR="00C1548D" w:rsidRDefault="009B1B4B">
      <w:pPr>
        <w:pStyle w:val="Heading3"/>
        <w:keepNext/>
        <w:jc w:val="center"/>
      </w:pPr>
      <w:r>
        <w:rPr>
          <w:rFonts w:ascii="Amazon Ember" w:eastAsia="Amazon Ember" w:hAnsi="Amazon Ember" w:cs="Amazon Ember"/>
          <w:color w:val="0000FF"/>
          <w:sz w:val="36"/>
          <w:szCs w:val="36"/>
        </w:rPr>
        <w:t>Rückreise nach Europa</w:t>
      </w:r>
    </w:p>
    <w:p w14:paraId="70A4D9EE" w14:textId="24FB2880" w:rsidR="00C1548D" w:rsidRDefault="009B1B4B">
      <w:pPr>
        <w:spacing w:after="140"/>
      </w:pPr>
      <w:r>
        <w:t>Auch der Weg zurück will geplant sein (Kapitel </w:t>
      </w:r>
      <w:hyperlink w:anchor="k42" w:history="1">
        <w:r>
          <w:t>42</w:t>
        </w:r>
      </w:hyperlink>
      <w:r>
        <w:t>). Laut APHIS (Seite vom 2. September 2026) gilt für Hunde und Katzen bei nicht gewerblicher Reise mit höchstens fünf Tieren:</w:t>
      </w:r>
    </w:p>
    <w:p w14:paraId="70A4D9EF" w14:textId="77777777" w:rsidR="00C1548D" w:rsidRDefault="009B1B4B" w:rsidP="009B1B4B">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w14:paraId="70A4D9F0" w14:textId="77777777" w:rsidR="00C1548D" w:rsidRDefault="009B1B4B" w:rsidP="009B1B4B">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w14:paraId="70A4D9F1" w14:textId="77777777" w:rsidR="00C1548D" w:rsidRDefault="009B1B4B" w:rsidP="009B1B4B">
      <w:pPr>
        <w:pStyle w:val="ListParagraph"/>
        <w:numPr>
          <w:ilvl w:val="0"/>
          <w:numId w:val="1"/>
        </w:numPr>
        <w:spacing w:after="60"/>
      </w:pPr>
      <w:r>
        <w:t>Ob ein in Deutschland ausgestellter EU-Heimtierausweis das Zeugnis ersetzt, klärst du vorab mit APHIS und deinem Tierarzt.</w:t>
      </w:r>
    </w:p>
    <w:p w14:paraId="70A4D9F2"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9F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9F3" w14:textId="77777777" w:rsidR="00C1548D" w:rsidRDefault="009B1B4B">
            <w:pPr>
              <w:keepNext/>
              <w:spacing w:after="70" w:line="240" w:lineRule="auto"/>
            </w:pPr>
            <w:r>
              <w:rPr>
                <w:b/>
                <w:bCs/>
                <w:color w:val="9B2C2C"/>
                <w:spacing w:val="24"/>
                <w:sz w:val="16"/>
                <w:szCs w:val="16"/>
              </w:rPr>
              <w:t>ACHTUNG</w:t>
            </w:r>
          </w:p>
          <w:p w14:paraId="70A4D9F4" w14:textId="77777777" w:rsidR="00C1548D" w:rsidRDefault="009B1B4B">
            <w:pPr>
              <w:spacing w:after="80" w:line="264" w:lineRule="auto"/>
            </w:pPr>
            <w:r>
              <w:rPr>
                <w:sz w:val="20"/>
                <w:szCs w:val="20"/>
              </w:rPr>
              <w:t>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tc>
      </w:tr>
    </w:tbl>
    <w:p w14:paraId="70A4D9F6" w14:textId="77777777" w:rsidR="00C1548D" w:rsidRDefault="00C1548D">
      <w:pPr>
        <w:spacing w:line="220" w:lineRule="exact"/>
      </w:pPr>
    </w:p>
    <w:p w14:paraId="70A4D9F7"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9FA"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F8"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9F9" w14:textId="77777777" w:rsidR="00C1548D" w:rsidRDefault="009B1B4B">
            <w:pPr>
              <w:spacing w:line="250" w:lineRule="auto"/>
            </w:pPr>
            <w:r>
              <w:rPr>
                <w:b/>
                <w:bCs/>
                <w:sz w:val="18"/>
                <w:szCs w:val="18"/>
              </w:rPr>
              <w:t>Minus</w:t>
            </w:r>
          </w:p>
        </w:tc>
      </w:tr>
      <w:tr w:rsidR="00C1548D" w14:paraId="70A4D9F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FB" w14:textId="77777777" w:rsidR="00C1548D" w:rsidRDefault="009B1B4B">
            <w:pPr>
              <w:spacing w:line="250" w:lineRule="auto"/>
            </w:pPr>
            <w:r>
              <w:rPr>
                <w:sz w:val="18"/>
                <w:szCs w:val="18"/>
              </w:rPr>
              <w:t>Der Hund bleibt in der Familie, das erleichtert vor allem Kindern das Ankommen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FC" w14:textId="77777777" w:rsidR="00C1548D" w:rsidRDefault="009B1B4B">
            <w:pPr>
              <w:spacing w:line="250" w:lineRule="auto"/>
            </w:pPr>
            <w:r>
              <w:rPr>
                <w:sz w:val="18"/>
                <w:szCs w:val="18"/>
              </w:rPr>
              <w:t>Reisekosten von 500 $ bis mehrere Tausend Dollar pro Tier</w:t>
            </w:r>
          </w:p>
        </w:tc>
      </w:tr>
      <w:tr w:rsidR="00C1548D" w14:paraId="70A4DA0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FE" w14:textId="77777777" w:rsidR="00C1548D" w:rsidRDefault="009B1B4B">
            <w:pPr>
              <w:spacing w:line="250" w:lineRule="auto"/>
            </w:pPr>
            <w:r>
              <w:rPr>
                <w:sz w:val="18"/>
                <w:szCs w:val="18"/>
              </w:rPr>
              <w:t>Für Hunde aus Deutschland genügt bundesweit ein kostenloses Online-Formular, kein Bluttest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9FF" w14:textId="77777777" w:rsidR="00C1548D" w:rsidRDefault="009B1B4B">
            <w:pPr>
              <w:spacing w:line="250" w:lineRule="auto"/>
            </w:pPr>
            <w:r>
              <w:rPr>
                <w:sz w:val="18"/>
                <w:szCs w:val="18"/>
              </w:rPr>
              <w:t>Hitzesperren und Kurzkopf-Regeln können Termin und Route bestimmen</w:t>
            </w:r>
          </w:p>
        </w:tc>
      </w:tr>
      <w:tr w:rsidR="00C1548D" w14:paraId="70A4DA0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01" w14:textId="77777777" w:rsidR="00C1548D" w:rsidRDefault="009B1B4B">
            <w:pPr>
              <w:spacing w:line="250" w:lineRule="auto"/>
            </w:pPr>
            <w:r>
              <w:rPr>
                <w:sz w:val="18"/>
                <w:szCs w:val="18"/>
              </w:rPr>
              <w:t>Rund 80 % der Mietwohnungen erlauben Tiere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02" w14:textId="77777777" w:rsidR="00C1548D" w:rsidRDefault="009B1B4B">
            <w:pPr>
              <w:spacing w:line="250" w:lineRule="auto"/>
            </w:pPr>
            <w:r>
              <w:rPr>
                <w:sz w:val="18"/>
                <w:szCs w:val="18"/>
              </w:rPr>
              <w:t>Haustiermiete, Kaution und Gebühren verteuern das Wohnen, Rassenlisten schließen manche Hunde aus</w:t>
            </w:r>
          </w:p>
        </w:tc>
      </w:tr>
      <w:tr w:rsidR="00C1548D" w14:paraId="70A4DA0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04" w14:textId="77777777" w:rsidR="00C1548D" w:rsidRDefault="009B1B4B">
            <w:pPr>
              <w:spacing w:line="250" w:lineRule="auto"/>
            </w:pPr>
            <w:r>
              <w:rPr>
                <w:sz w:val="18"/>
                <w:szCs w:val="18"/>
              </w:rPr>
              <w:t>Hundeparks gehören in vielen Städten zum Standard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05" w14:textId="77777777" w:rsidR="00C1548D" w:rsidRDefault="009B1B4B">
            <w:pPr>
              <w:spacing w:line="250" w:lineRule="auto"/>
            </w:pPr>
            <w:r>
              <w:rPr>
                <w:sz w:val="18"/>
                <w:szCs w:val="18"/>
              </w:rPr>
              <w:t>Tierarztpreise sind nicht gedeckelt, Notfälle werden schnell vierstellig</w:t>
            </w:r>
          </w:p>
        </w:tc>
      </w:tr>
      <w:tr w:rsidR="00C1548D" w14:paraId="70A4DA0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07" w14:textId="77777777" w:rsidR="00C1548D" w:rsidRDefault="009B1B4B">
            <w:pPr>
              <w:spacing w:line="250" w:lineRule="auto"/>
            </w:pPr>
            <w:r>
              <w:rPr>
                <w:sz w:val="18"/>
                <w:szCs w:val="18"/>
              </w:rPr>
              <w:t>Tierversicherungen federn hohe Rechnungen ab</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08" w14:textId="77777777" w:rsidR="00C1548D" w:rsidRDefault="009B1B4B">
            <w:pPr>
              <w:spacing w:line="250" w:lineRule="auto"/>
            </w:pPr>
            <w:r>
              <w:rPr>
                <w:sz w:val="18"/>
                <w:szCs w:val="18"/>
              </w:rPr>
              <w:t>Die Rückreise verlangt ein neues Zeugnis mit APHIS-Beglaubigung und straffe Fristen</w:t>
            </w:r>
          </w:p>
        </w:tc>
      </w:tr>
    </w:tbl>
    <w:p w14:paraId="70A4DA0A"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A17"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A0B" w14:textId="77777777" w:rsidR="00C1548D" w:rsidRDefault="009B1B4B">
            <w:pPr>
              <w:keepNext/>
              <w:spacing w:after="70" w:line="240" w:lineRule="auto"/>
            </w:pPr>
            <w:r>
              <w:rPr>
                <w:b/>
                <w:bCs/>
                <w:color w:val="1F6F78"/>
                <w:spacing w:val="24"/>
                <w:sz w:val="16"/>
                <w:szCs w:val="16"/>
              </w:rPr>
              <w:lastRenderedPageBreak/>
              <w:t>CHECKLISTE</w:t>
            </w:r>
          </w:p>
          <w:p w14:paraId="70A4DA0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Chip prüfen: 15-stellige ISO-Nummer lesbar, in Heimtierausweis und Register eingetragen</w:t>
            </w:r>
          </w:p>
          <w:p w14:paraId="70A4DA0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Airline schriftlich fragen: Kabine oder Frachtraum, Gewicht, Kurzkopf- und Hitzeregeln, Anmeldefrist, Zeugnis</w:t>
            </w:r>
          </w:p>
          <w:p w14:paraId="70A4DA0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Drei bis vier Monate vor Abflug zum Tierarzt: Flugtauglichkeit, Tollwutimpfung aktuell</w:t>
            </w:r>
          </w:p>
          <w:p w14:paraId="70A4DA0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Prüfen, ob der Hund in den letzten sechs Monaten in einem Hochrisikoland war</w:t>
            </w:r>
          </w:p>
          <w:p w14:paraId="70A4DA1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Transportbox kaufen und mehrere Wochen vorher gewöhnen</w:t>
            </w:r>
          </w:p>
          <w:p w14:paraId="70A4DA1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CDC Dog Import Form pro Hund ausfüllen, Quittung ausdrucken und digital speichern</w:t>
            </w:r>
          </w:p>
          <w:p w14:paraId="70A4DA1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Gesundheitszeugnis nach Airline-Vorgabe besorgen (beim Abflug höchstens zehn Tage alt)</w:t>
            </w:r>
          </w:p>
          <w:p w14:paraId="70A4DA1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Tierregeln, Rassenliste, Haustiermiete und Kaution klären, bevor du dich für Wohnung oder Übergangsunterkunft bewirbst</w:t>
            </w:r>
          </w:p>
          <w:p w14:paraId="70A4DA1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Papiermappe ins Handgepäck legen und den Abholort am Zielflughafen erfragen</w:t>
            </w:r>
          </w:p>
          <w:p w14:paraId="70A4DA1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 der Ankunft Tierarzt suchen, Lizenz beantragen, Chipregister aktualisieren, Versicherung prüfen</w:t>
            </w:r>
          </w:p>
          <w:p w14:paraId="70A4DA1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Für die Rückreise Impfstatus und Chip dokumentieren und die APHIS-Regeln früh ansehen</w:t>
            </w:r>
          </w:p>
        </w:tc>
      </w:tr>
    </w:tbl>
    <w:p w14:paraId="70A4DA18" w14:textId="77777777" w:rsidR="00C1548D" w:rsidRDefault="00C1548D">
      <w:pPr>
        <w:spacing w:line="220" w:lineRule="exact"/>
      </w:pPr>
    </w:p>
    <w:p w14:paraId="70A4DA19"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A1A" w14:textId="0263F557" w:rsidR="00C1548D" w:rsidRDefault="009B1B4B" w:rsidP="009B1B4B">
      <w:pPr>
        <w:pStyle w:val="ListParagraph"/>
        <w:numPr>
          <w:ilvl w:val="0"/>
          <w:numId w:val="1"/>
        </w:numPr>
        <w:spacing w:after="60"/>
      </w:pPr>
      <w:r>
        <w:t>CDC — Einfuhr von Hunden und Katzen, Hochrisikoländer, Dog Import Form (</w:t>
      </w:r>
      <w:hyperlink r:id="rId188" w:history="1">
        <w:r>
          <w:rPr>
            <w:color w:val="0563C1"/>
            <w:u w:val="single"/>
          </w:rPr>
          <w:t>cdc.gov/importation</w:t>
        </w:r>
      </w:hyperlink>
      <w:r>
        <w:t>)</w:t>
      </w:r>
    </w:p>
    <w:p w14:paraId="70A4DA1B" w14:textId="3D9A5461" w:rsidR="00C1548D" w:rsidRDefault="009B1B4B" w:rsidP="009B1B4B">
      <w:pPr>
        <w:pStyle w:val="ListParagraph"/>
        <w:numPr>
          <w:ilvl w:val="0"/>
          <w:numId w:val="1"/>
        </w:numPr>
        <w:spacing w:after="60"/>
      </w:pPr>
      <w:r>
        <w:t>USDA APHIS — Reisen mit Haustieren, Rückreise in die EU (</w:t>
      </w:r>
      <w:hyperlink r:id="rId189" w:history="1">
        <w:r>
          <w:rPr>
            <w:color w:val="0563C1"/>
            <w:u w:val="single"/>
          </w:rPr>
          <w:t>aphis.usda.gov/pet-travel</w:t>
        </w:r>
      </w:hyperlink>
      <w:r>
        <w:t>)</w:t>
      </w:r>
    </w:p>
    <w:p w14:paraId="70A4DA1C" w14:textId="7FE7704B" w:rsidR="00C1548D" w:rsidRDefault="009B1B4B" w:rsidP="009B1B4B">
      <w:pPr>
        <w:pStyle w:val="ListParagraph"/>
        <w:numPr>
          <w:ilvl w:val="0"/>
          <w:numId w:val="1"/>
        </w:numPr>
        <w:spacing w:after="60"/>
      </w:pPr>
      <w:r>
        <w:t>Hawaii Department of Agriculture — Quarantäneprogramm für Tiere (</w:t>
      </w:r>
      <w:hyperlink r:id="rId190" w:history="1">
        <w:r>
          <w:rPr>
            <w:color w:val="0563C1"/>
            <w:u w:val="single"/>
          </w:rPr>
          <w:t>dab.hawaii.gov/ai</w:t>
        </w:r>
      </w:hyperlink>
      <w:r>
        <w:t>)</w:t>
      </w:r>
    </w:p>
    <w:p w14:paraId="70A4DA1D" w14:textId="68389150" w:rsidR="00C1548D" w:rsidRDefault="009B1B4B" w:rsidP="009B1B4B">
      <w:pPr>
        <w:pStyle w:val="ListParagraph"/>
        <w:numPr>
          <w:ilvl w:val="0"/>
          <w:numId w:val="1"/>
        </w:numPr>
        <w:spacing w:after="60"/>
      </w:pPr>
      <w:r>
        <w:t>Maricopa County — Hundelizenz als Beispiel (</w:t>
      </w:r>
      <w:hyperlink r:id="rId191" w:history="1">
        <w:r>
          <w:rPr>
            <w:color w:val="0563C1"/>
            <w:u w:val="single"/>
          </w:rPr>
          <w:t>maricopa.gov/226/Dog-License</w:t>
        </w:r>
      </w:hyperlink>
      <w:r>
        <w:t>)</w:t>
      </w:r>
    </w:p>
    <w:p w14:paraId="70A4DA1E" w14:textId="6CA061DC" w:rsidR="00C1548D" w:rsidRDefault="009B1B4B" w:rsidP="009B1B4B">
      <w:pPr>
        <w:pStyle w:val="ListParagraph"/>
        <w:numPr>
          <w:ilvl w:val="0"/>
          <w:numId w:val="1"/>
        </w:numPr>
        <w:spacing w:after="60"/>
      </w:pPr>
      <w:r>
        <w:lastRenderedPageBreak/>
        <w:t>U.S. Fish and Wildlife Service — Einfuhr geschützter Arten (</w:t>
      </w:r>
      <w:hyperlink r:id="rId192" w:history="1">
        <w:r>
          <w:rPr>
            <w:color w:val="0563C1"/>
            <w:u w:val="single"/>
          </w:rPr>
          <w:t>fws.gov</w:t>
        </w:r>
      </w:hyperlink>
      <w:r>
        <w:t>)</w:t>
      </w:r>
    </w:p>
    <w:p w14:paraId="70A4DA1F" w14:textId="5B2140C5" w:rsidR="00C1548D" w:rsidRDefault="009B1B4B" w:rsidP="009B1B4B">
      <w:pPr>
        <w:pStyle w:val="ListParagraph"/>
        <w:numPr>
          <w:ilvl w:val="0"/>
          <w:numId w:val="1"/>
        </w:numPr>
        <w:spacing w:after="60"/>
      </w:pPr>
      <w:r>
        <w:t>Zoll — Einreise mit Heimtieren nach Deutschland (</w:t>
      </w:r>
      <w:hyperlink r:id="rId193" w:history="1">
        <w:r>
          <w:rPr>
            <w:color w:val="0563C1"/>
            <w:u w:val="single"/>
          </w:rPr>
          <w:t>zoll.de</w:t>
        </w:r>
      </w:hyperlink>
      <w:r>
        <w:t>, Suchbegriff „Heimtiere“)</w:t>
      </w:r>
    </w:p>
    <w:p w14:paraId="70A4DA20"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A23"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A21" w14:textId="77777777" w:rsidR="00C1548D" w:rsidRDefault="009B1B4B">
            <w:pPr>
              <w:keepNext/>
              <w:spacing w:after="70" w:line="240" w:lineRule="auto"/>
            </w:pPr>
            <w:r>
              <w:rPr>
                <w:b/>
                <w:bCs/>
                <w:color w:val="6B7280"/>
                <w:spacing w:val="24"/>
                <w:sz w:val="16"/>
                <w:szCs w:val="16"/>
              </w:rPr>
              <w:t>STAND</w:t>
            </w:r>
          </w:p>
          <w:p w14:paraId="70A4DA22" w14:textId="77777777" w:rsidR="00C1548D" w:rsidRDefault="009B1B4B" w:rsidP="009B1B4B">
            <w:pPr>
              <w:pStyle w:val="ListParagraph"/>
              <w:numPr>
                <w:ilvl w:val="0"/>
                <w:numId w:val="26"/>
              </w:numPr>
              <w:spacing w:after="50" w:line="264" w:lineRule="auto"/>
            </w:pPr>
            <w:r>
              <w:rPr>
                <w:sz w:val="20"/>
                <w:szCs w:val="20"/>
              </w:rPr>
              <w:t>September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p>
        </w:tc>
      </w:tr>
    </w:tbl>
    <w:p w14:paraId="70A4DA24" w14:textId="77777777" w:rsidR="00C1548D" w:rsidRDefault="00C1548D">
      <w:pPr>
        <w:spacing w:line="220" w:lineRule="exact"/>
      </w:pPr>
    </w:p>
    <w:p w14:paraId="70A4DA25" w14:textId="77777777" w:rsidR="00C1548D" w:rsidRDefault="00C1548D">
      <w:pPr>
        <w:sectPr w:rsidR="00C1548D">
          <w:footerReference w:type="default" r:id="rId194"/>
          <w:pgSz w:w="8640" w:h="12960"/>
          <w:pgMar w:top="1080" w:right="1080" w:bottom="1100" w:left="1080" w:header="708" w:footer="708" w:gutter="0"/>
          <w:cols w:space="720"/>
          <w:docGrid w:linePitch="360"/>
        </w:sectPr>
      </w:pPr>
    </w:p>
    <w:p w14:paraId="70A4DA26" w14:textId="77777777" w:rsidR="00C1548D" w:rsidRDefault="009B1B4B">
      <w:pPr>
        <w:pStyle w:val="Heading1"/>
        <w:jc w:val="center"/>
      </w:pPr>
      <w:bookmarkStart w:id="56" w:name="_Toc241352476"/>
      <w:r>
        <w:rPr>
          <w:rFonts w:ascii="Amazon Ember" w:eastAsia="Amazon Ember" w:hAnsi="Amazon Ember" w:cs="Amazon Ember"/>
          <w:color w:val="0000FF"/>
        </w:rPr>
        <w:lastRenderedPageBreak/>
        <w:t>TEIL VI — Ankommen</w:t>
      </w:r>
      <w:bookmarkEnd w:id="56"/>
    </w:p>
    <w:p w14:paraId="70A4DA27" w14:textId="77777777" w:rsidR="00C1548D" w:rsidRDefault="009B1B4B">
      <w:pPr>
        <w:spacing w:after="160" w:line="300" w:lineRule="auto"/>
        <w:ind w:left="400" w:right="400"/>
        <w:jc w:val="center"/>
      </w:pPr>
      <w:r>
        <w:rPr>
          <w:i/>
          <w:iCs/>
          <w:sz w:val="24"/>
          <w:szCs w:val="24"/>
        </w:rPr>
        <w:t>Die ersten Tage und Wochen: Einreise, Sozialversicherungsnummer, Bank, Krankenversicherung, Führerschein und Steuern.</w:t>
      </w:r>
    </w:p>
    <w:p w14:paraId="70A4DA28" w14:textId="77777777" w:rsidR="00C1548D" w:rsidRDefault="00C1548D">
      <w:pPr>
        <w:sectPr w:rsidR="00C1548D">
          <w:footerReference w:type="default" r:id="rId195"/>
          <w:pgSz w:w="8640" w:h="12960"/>
          <w:pgMar w:top="1080" w:right="1080" w:bottom="1100" w:left="1080" w:header="708" w:footer="708" w:gutter="0"/>
          <w:cols w:space="720"/>
          <w:vAlign w:val="center"/>
          <w:docGrid w:linePitch="360"/>
        </w:sectPr>
      </w:pPr>
    </w:p>
    <w:p w14:paraId="70A4DA29" w14:textId="77777777" w:rsidR="00C1548D" w:rsidRDefault="009B1B4B">
      <w:pPr>
        <w:pStyle w:val="Heading2"/>
        <w:keepNext/>
        <w:pageBreakBefore/>
        <w:jc w:val="center"/>
      </w:pPr>
      <w:bookmarkStart w:id="57" w:name="k23"/>
      <w:bookmarkStart w:id="58" w:name="_Toc241352477"/>
      <w:r>
        <w:rPr>
          <w:rFonts w:ascii="Amazon Ember" w:eastAsia="Amazon Ember" w:hAnsi="Amazon Ember" w:cs="Amazon Ember"/>
          <w:color w:val="0000FF"/>
          <w:sz w:val="36"/>
          <w:szCs w:val="36"/>
        </w:rPr>
        <w:lastRenderedPageBreak/>
        <w:t>Kapitel 23: Landung, Einreise und die ersten 72 Stunden</w:t>
      </w:r>
      <w:bookmarkEnd w:id="57"/>
      <w:bookmarkEnd w:id="58"/>
    </w:p>
    <w:p w14:paraId="70A4DA2A" w14:textId="77777777" w:rsidR="00C1548D" w:rsidRDefault="009B1B4B">
      <w:pPr>
        <w:spacing w:after="140"/>
      </w:pPr>
      <w:r>
        <w:t>Die Augen brennen vom Nachtflug, im Rollkoffer klappert irgendetwas Loses, und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A31"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A2B" w14:textId="77777777" w:rsidR="00C1548D" w:rsidRDefault="009B1B4B">
            <w:pPr>
              <w:keepNext/>
              <w:spacing w:after="70" w:line="240" w:lineRule="auto"/>
            </w:pPr>
            <w:r>
              <w:rPr>
                <w:b/>
                <w:bCs/>
                <w:color w:val="1F3A5F"/>
                <w:spacing w:val="24"/>
                <w:sz w:val="16"/>
                <w:szCs w:val="16"/>
              </w:rPr>
              <w:t>KURZ GESAGT</w:t>
            </w:r>
          </w:p>
          <w:p w14:paraId="70A4DA2C" w14:textId="77777777" w:rsidR="00C1548D" w:rsidRDefault="009B1B4B" w:rsidP="009B1B4B">
            <w:pPr>
              <w:pStyle w:val="ListParagraph"/>
              <w:numPr>
                <w:ilvl w:val="0"/>
                <w:numId w:val="1"/>
              </w:numPr>
              <w:spacing w:after="50" w:line="264" w:lineRule="auto"/>
            </w:pPr>
            <w:r>
              <w:rPr>
                <w:sz w:val="20"/>
                <w:szCs w:val="20"/>
              </w:rPr>
              <w:t xml:space="preserve">Das Visum bringt dich an die Grenze; Status und Ablaufdatum legt der Grenzschutz (CBP) fest, beides im elektronischen </w:t>
            </w:r>
            <w:r>
              <w:rPr>
                <w:i/>
                <w:iCs/>
                <w:sz w:val="20"/>
                <w:szCs w:val="20"/>
              </w:rPr>
              <w:t>Form I-94</w:t>
            </w:r>
            <w:r>
              <w:rPr>
                <w:sz w:val="20"/>
                <w:szCs w:val="20"/>
              </w:rPr>
              <w:t>, dem Einreisenachweis.</w:t>
            </w:r>
          </w:p>
          <w:p w14:paraId="70A4DA2D" w14:textId="77777777" w:rsidR="00C1548D" w:rsidRDefault="009B1B4B" w:rsidP="009B1B4B">
            <w:pPr>
              <w:pStyle w:val="ListParagraph"/>
              <w:numPr>
                <w:ilvl w:val="0"/>
                <w:numId w:val="1"/>
              </w:numPr>
              <w:spacing w:after="50" w:line="264" w:lineRule="auto"/>
            </w:pPr>
            <w:r>
              <w:rPr>
                <w:sz w:val="20"/>
                <w:szCs w:val="20"/>
              </w:rPr>
              <w:t>Für H-1B darfst du frühestens 10 Tage vor Petitionsbeginn landen; arbeiten darfst du erst ab dem Startdatum.</w:t>
            </w:r>
          </w:p>
          <w:p w14:paraId="70A4DA2E" w14:textId="77777777" w:rsidR="00C1548D" w:rsidRDefault="009B1B4B" w:rsidP="009B1B4B">
            <w:pPr>
              <w:pStyle w:val="ListParagraph"/>
              <w:numPr>
                <w:ilvl w:val="0"/>
                <w:numId w:val="1"/>
              </w:numPr>
              <w:spacing w:after="50" w:line="264" w:lineRule="auto"/>
            </w:pPr>
            <w:r>
              <w:rPr>
                <w:sz w:val="20"/>
                <w:szCs w:val="20"/>
              </w:rPr>
              <w:t>Alle Papiere gehören ins Handgepäck; den I-94 rufst du noch am Ankunftstag online ab.</w:t>
            </w:r>
          </w:p>
          <w:p w14:paraId="70A4DA2F" w14:textId="77777777" w:rsidR="00C1548D" w:rsidRDefault="009B1B4B" w:rsidP="009B1B4B">
            <w:pPr>
              <w:pStyle w:val="ListParagraph"/>
              <w:numPr>
                <w:ilvl w:val="0"/>
                <w:numId w:val="1"/>
              </w:numPr>
              <w:spacing w:after="50" w:line="264" w:lineRule="auto"/>
            </w:pPr>
            <w:r>
              <w:rPr>
                <w:sz w:val="20"/>
                <w:szCs w:val="20"/>
              </w:rPr>
              <w:t xml:space="preserve">Am ersten Arbeitstag brauchst du Originale für die </w:t>
            </w:r>
            <w:r>
              <w:rPr>
                <w:i/>
                <w:iCs/>
                <w:sz w:val="20"/>
                <w:szCs w:val="20"/>
              </w:rPr>
              <w:t>Form I-9</w:t>
            </w:r>
            <w:r>
              <w:rPr>
                <w:sz w:val="20"/>
                <w:szCs w:val="20"/>
              </w:rPr>
              <w:t xml:space="preserve"> (Nachweis der Arbeitserlaubnis), ein W-4 und Bankdaten.</w:t>
            </w:r>
          </w:p>
          <w:p w14:paraId="70A4DA30" w14:textId="77777777" w:rsidR="00C1548D" w:rsidRDefault="009B1B4B" w:rsidP="009B1B4B">
            <w:pPr>
              <w:pStyle w:val="ListParagraph"/>
              <w:numPr>
                <w:ilvl w:val="0"/>
                <w:numId w:val="1"/>
              </w:numPr>
              <w:spacing w:after="50" w:line="264" w:lineRule="auto"/>
            </w:pPr>
            <w:r>
              <w:rPr>
                <w:sz w:val="20"/>
                <w:szCs w:val="20"/>
              </w:rPr>
              <w:t>Der Notruf lautet 911. Betrüger suchen gezielt Neuankömmlinge.</w:t>
            </w:r>
          </w:p>
        </w:tc>
      </w:tr>
    </w:tbl>
    <w:p w14:paraId="70A4DA32" w14:textId="77777777" w:rsidR="00C1548D" w:rsidRDefault="00C1548D">
      <w:pPr>
        <w:spacing w:line="220" w:lineRule="exact"/>
      </w:pPr>
    </w:p>
    <w:p w14:paraId="70A4DA33" w14:textId="77777777" w:rsidR="00C1548D" w:rsidRDefault="009B1B4B">
      <w:pPr>
        <w:pStyle w:val="Heading3"/>
        <w:keepNext/>
        <w:jc w:val="center"/>
      </w:pPr>
      <w:r>
        <w:rPr>
          <w:rFonts w:ascii="Amazon Ember" w:eastAsia="Amazon Ember" w:hAnsi="Amazon Ember" w:cs="Amazon Ember"/>
          <w:color w:val="0000FF"/>
          <w:sz w:val="36"/>
          <w:szCs w:val="36"/>
        </w:rPr>
        <w:t>Frühester Einreisetag und Flugbuchung</w:t>
      </w:r>
    </w:p>
    <w:p w14:paraId="70A4DA34" w14:textId="213D592F" w:rsidR="00C1548D" w:rsidRDefault="009B1B4B">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Nach dem Ende bleiben 10 Tage Puffer zum Ausreisen, nicht zum </w:t>
      </w:r>
      <w:r>
        <w:lastRenderedPageBreak/>
        <w:t>Weiterarbeiten. H-4-Familienmitglieder reisen meist im selben Zeitraum ein (Kapitel </w:t>
      </w:r>
      <w:hyperlink w:anchor="k10" w:history="1">
        <w:r>
          <w:t>10</w:t>
        </w:r>
      </w:hyperlink>
      <w:r>
        <w:t>).</w:t>
      </w:r>
    </w:p>
    <w:p w14:paraId="70A4DA35" w14:textId="2ABAF5E3" w:rsidR="00C1548D" w:rsidRDefault="009B1B4B">
      <w:pPr>
        <w:spacing w:after="140"/>
      </w:pPr>
      <w:r>
        <w:t>Buche den Flug erst nach dem Visum im Pass (Kapitel </w:t>
      </w:r>
      <w:hyperlink w:anchor="k11" w:history="1">
        <w:r>
          <w:t>11</w:t>
        </w:r>
      </w:hyperlink>
      <w:r>
        <w:t>), mit ein bis zwei Tagen Puffer vor dem Startdatum: So kostet ein gestrichener Anschlussflug nicht den ersten Arbeitstag. Das Zehn-Tage-Fenster auszunutzen ist Abwägungssache (siehe Plus und Minus).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A3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A36" w14:textId="77777777" w:rsidR="00C1548D" w:rsidRDefault="009B1B4B">
            <w:pPr>
              <w:keepNext/>
              <w:spacing w:after="70" w:line="240" w:lineRule="auto"/>
            </w:pPr>
            <w:r>
              <w:rPr>
                <w:b/>
                <w:bCs/>
                <w:color w:val="9B2C2C"/>
                <w:spacing w:val="24"/>
                <w:sz w:val="16"/>
                <w:szCs w:val="16"/>
              </w:rPr>
              <w:t>ACHTUNG</w:t>
            </w:r>
          </w:p>
          <w:p w14:paraId="70A4DA37" w14:textId="77777777" w:rsidR="00C1548D" w:rsidRDefault="009B1B4B">
            <w:pPr>
              <w:spacing w:after="80" w:line="264" w:lineRule="auto"/>
            </w:pPr>
            <w:r>
              <w:rPr>
                <w:sz w:val="20"/>
                <w:szCs w:val="20"/>
              </w:rPr>
              <w:t>Arbeite nicht vor dem Startdatum der Petition, auch nicht unbezahlt oder aus dem Hotel — das kann als unerlaubte Beschäftigung gelten und deinen Status gefährden. Lege Onboarding-Termine auf das Startdatum oder danach.</w:t>
            </w:r>
          </w:p>
        </w:tc>
      </w:tr>
    </w:tbl>
    <w:p w14:paraId="70A4DA39" w14:textId="77777777" w:rsidR="00C1548D" w:rsidRDefault="00C1548D">
      <w:pPr>
        <w:spacing w:line="220" w:lineRule="exact"/>
      </w:pPr>
    </w:p>
    <w:p w14:paraId="70A4DA3A" w14:textId="77777777" w:rsidR="00C1548D" w:rsidRDefault="009B1B4B">
      <w:pPr>
        <w:pStyle w:val="Heading3"/>
        <w:keepNext/>
        <w:jc w:val="center"/>
      </w:pPr>
      <w:r>
        <w:rPr>
          <w:rFonts w:ascii="Amazon Ember" w:eastAsia="Amazon Ember" w:hAnsi="Amazon Ember" w:cs="Amazon Ember"/>
          <w:color w:val="0000FF"/>
          <w:sz w:val="36"/>
          <w:szCs w:val="36"/>
        </w:rPr>
        <w:t>Was ins Handgepäck gehört</w:t>
      </w:r>
    </w:p>
    <w:p w14:paraId="70A4DA3B" w14:textId="77777777" w:rsidR="00C1548D" w:rsidRDefault="009B1B4B">
      <w:pPr>
        <w:spacing w:after="140"/>
      </w:pPr>
      <w:r>
        <w:t>Der Koffer kann Stunden oder Tage nach dir ankommen, die Papiere dürfen es nicht: Packe alles Folgende in eine Handgepäck-Mappe und fotografiere jede Seite für eine Cloud.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3"/>
        <w:gridCol w:w="2577"/>
      </w:tblGrid>
      <w:tr w:rsidR="00C1548D" w14:paraId="70A4DA3E" w14:textId="77777777">
        <w:tblPrEx>
          <w:tblCellMar>
            <w:top w:w="0" w:type="dxa"/>
            <w:bottom w:w="0" w:type="dxa"/>
          </w:tblCellMar>
        </w:tblPrEx>
        <w:trPr>
          <w:cantSplit/>
          <w:tblHeader/>
        </w:trPr>
        <w:tc>
          <w:tcPr>
            <w:tcW w:w="39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A3C" w14:textId="77777777" w:rsidR="00C1548D" w:rsidRDefault="009B1B4B">
            <w:pPr>
              <w:spacing w:line="250" w:lineRule="auto"/>
            </w:pPr>
            <w:r>
              <w:rPr>
                <w:b/>
                <w:bCs/>
                <w:sz w:val="18"/>
                <w:szCs w:val="18"/>
              </w:rPr>
              <w:t>Dokument</w:t>
            </w:r>
          </w:p>
        </w:tc>
        <w:tc>
          <w:tcPr>
            <w:tcW w:w="25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A3D" w14:textId="77777777" w:rsidR="00C1548D" w:rsidRDefault="009B1B4B">
            <w:pPr>
              <w:spacing w:line="250" w:lineRule="auto"/>
            </w:pPr>
            <w:r>
              <w:rPr>
                <w:b/>
                <w:bCs/>
                <w:sz w:val="18"/>
                <w:szCs w:val="18"/>
              </w:rPr>
              <w:t>Wozu</w:t>
            </w:r>
          </w:p>
        </w:tc>
      </w:tr>
      <w:tr w:rsidR="00C1548D" w14:paraId="70A4DA41" w14:textId="77777777">
        <w:tblPrEx>
          <w:tblCellMar>
            <w:top w:w="0" w:type="dxa"/>
            <w:bottom w:w="0" w:type="dxa"/>
          </w:tblCellMar>
        </w:tblPrEx>
        <w:trPr>
          <w:cantSplit/>
        </w:trPr>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3F" w14:textId="77777777" w:rsidR="00C1548D" w:rsidRDefault="009B1B4B">
            <w:pPr>
              <w:spacing w:line="250" w:lineRule="auto"/>
            </w:pPr>
            <w:r>
              <w:rPr>
                <w:sz w:val="18"/>
                <w:szCs w:val="18"/>
              </w:rPr>
              <w:t>Reisepass mit Visum, für jedes Familienmitglied</w:t>
            </w:r>
          </w:p>
        </w:tc>
        <w:tc>
          <w:tcPr>
            <w:tcW w:w="2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40" w14:textId="77777777" w:rsidR="00C1548D" w:rsidRDefault="009B1B4B">
            <w:pPr>
              <w:spacing w:line="250" w:lineRule="auto"/>
            </w:pPr>
            <w:r>
              <w:rPr>
                <w:sz w:val="18"/>
                <w:szCs w:val="18"/>
              </w:rPr>
              <w:t>Einreise</w:t>
            </w:r>
          </w:p>
        </w:tc>
      </w:tr>
      <w:tr w:rsidR="00C1548D" w14:paraId="70A4DA44" w14:textId="77777777">
        <w:tblPrEx>
          <w:tblCellMar>
            <w:top w:w="0" w:type="dxa"/>
            <w:bottom w:w="0" w:type="dxa"/>
          </w:tblCellMar>
        </w:tblPrEx>
        <w:trPr>
          <w:cantSplit/>
        </w:trPr>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42" w14:textId="77777777" w:rsidR="00C1548D" w:rsidRDefault="009B1B4B">
            <w:pPr>
              <w:spacing w:line="250" w:lineRule="auto"/>
            </w:pPr>
            <w:r>
              <w:rPr>
                <w:sz w:val="18"/>
                <w:szCs w:val="18"/>
              </w:rPr>
              <w:t>Genehmigungsbescheid Form I-797, Original</w:t>
            </w:r>
          </w:p>
        </w:tc>
        <w:tc>
          <w:tcPr>
            <w:tcW w:w="2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43" w14:textId="77777777" w:rsidR="00C1548D" w:rsidRDefault="009B1B4B">
            <w:pPr>
              <w:spacing w:line="250" w:lineRule="auto"/>
            </w:pPr>
            <w:r>
              <w:rPr>
                <w:sz w:val="18"/>
                <w:szCs w:val="18"/>
              </w:rPr>
              <w:t>Belegt Arbeitgeber, Zeitraum, Kategorie</w:t>
            </w:r>
          </w:p>
        </w:tc>
      </w:tr>
      <w:tr w:rsidR="00C1548D" w14:paraId="70A4DA47" w14:textId="77777777">
        <w:tblPrEx>
          <w:tblCellMar>
            <w:top w:w="0" w:type="dxa"/>
            <w:bottom w:w="0" w:type="dxa"/>
          </w:tblCellMar>
        </w:tblPrEx>
        <w:trPr>
          <w:cantSplit/>
        </w:trPr>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45" w14:textId="77777777" w:rsidR="00C1548D" w:rsidRDefault="009B1B4B">
            <w:pPr>
              <w:spacing w:line="250" w:lineRule="auto"/>
            </w:pPr>
            <w:r>
              <w:rPr>
                <w:sz w:val="18"/>
                <w:szCs w:val="18"/>
              </w:rPr>
              <w:t>Arbeitgeberbrief mit Startdatum und Ansprechpartner in der Personalabteilung</w:t>
            </w:r>
          </w:p>
        </w:tc>
        <w:tc>
          <w:tcPr>
            <w:tcW w:w="2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46" w14:textId="77777777" w:rsidR="00C1548D" w:rsidRDefault="009B1B4B">
            <w:pPr>
              <w:spacing w:line="250" w:lineRule="auto"/>
            </w:pPr>
            <w:r>
              <w:rPr>
                <w:sz w:val="18"/>
                <w:szCs w:val="18"/>
              </w:rPr>
              <w:t>Rückfragen zu Job und Start</w:t>
            </w:r>
          </w:p>
        </w:tc>
      </w:tr>
      <w:tr w:rsidR="00C1548D" w14:paraId="70A4DA4A" w14:textId="77777777">
        <w:tblPrEx>
          <w:tblCellMar>
            <w:top w:w="0" w:type="dxa"/>
            <w:bottom w:w="0" w:type="dxa"/>
          </w:tblCellMar>
        </w:tblPrEx>
        <w:trPr>
          <w:cantSplit/>
        </w:trPr>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48" w14:textId="77777777" w:rsidR="00C1548D" w:rsidRDefault="009B1B4B">
            <w:pPr>
              <w:spacing w:line="250" w:lineRule="auto"/>
            </w:pPr>
            <w:r>
              <w:rPr>
                <w:sz w:val="18"/>
                <w:szCs w:val="18"/>
              </w:rPr>
              <w:t>Buchung der ersten Unterkunft</w:t>
            </w:r>
          </w:p>
        </w:tc>
        <w:tc>
          <w:tcPr>
            <w:tcW w:w="2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49" w14:textId="77777777" w:rsidR="00C1548D" w:rsidRDefault="009B1B4B">
            <w:pPr>
              <w:spacing w:line="250" w:lineRule="auto"/>
            </w:pPr>
            <w:r>
              <w:rPr>
                <w:sz w:val="18"/>
                <w:szCs w:val="18"/>
              </w:rPr>
              <w:t>CBP fragt nach der Adresse</w:t>
            </w:r>
          </w:p>
        </w:tc>
      </w:tr>
      <w:tr w:rsidR="00C1548D" w14:paraId="70A4DA4D" w14:textId="77777777">
        <w:tblPrEx>
          <w:tblCellMar>
            <w:top w:w="0" w:type="dxa"/>
            <w:bottom w:w="0" w:type="dxa"/>
          </w:tblCellMar>
        </w:tblPrEx>
        <w:trPr>
          <w:cantSplit/>
        </w:trPr>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4B" w14:textId="4CC77BA4" w:rsidR="00C1548D" w:rsidRDefault="009B1B4B">
            <w:pPr>
              <w:spacing w:line="250" w:lineRule="auto"/>
            </w:pPr>
            <w:r>
              <w:rPr>
                <w:sz w:val="18"/>
                <w:szCs w:val="18"/>
              </w:rPr>
              <w:t>Heirats- und Geburtsurkunden, Originale (Kapitel </w:t>
            </w:r>
            <w:hyperlink w:anchor="k19" w:history="1">
              <w:r>
                <w:rPr>
                  <w:sz w:val="18"/>
                  <w:szCs w:val="18"/>
                </w:rPr>
                <w:t>19</w:t>
              </w:r>
            </w:hyperlink>
            <w:r>
              <w:rPr>
                <w:sz w:val="18"/>
                <w:szCs w:val="18"/>
              </w:rPr>
              <w:t>)</w:t>
            </w:r>
          </w:p>
        </w:tc>
        <w:tc>
          <w:tcPr>
            <w:tcW w:w="2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4C" w14:textId="77777777" w:rsidR="00C1548D" w:rsidRDefault="009B1B4B">
            <w:pPr>
              <w:spacing w:line="250" w:lineRule="auto"/>
            </w:pPr>
            <w:r>
              <w:rPr>
                <w:sz w:val="18"/>
                <w:szCs w:val="18"/>
              </w:rPr>
              <w:t>Familiennachweis für H-4, später Behörden</w:t>
            </w:r>
          </w:p>
        </w:tc>
      </w:tr>
      <w:tr w:rsidR="00C1548D" w14:paraId="70A4DA50" w14:textId="77777777">
        <w:tblPrEx>
          <w:tblCellMar>
            <w:top w:w="0" w:type="dxa"/>
            <w:bottom w:w="0" w:type="dxa"/>
          </w:tblCellMar>
        </w:tblPrEx>
        <w:trPr>
          <w:cantSplit/>
        </w:trPr>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4E" w14:textId="77777777" w:rsidR="00C1548D" w:rsidRDefault="009B1B4B">
            <w:pPr>
              <w:spacing w:line="250" w:lineRule="auto"/>
            </w:pPr>
            <w:r>
              <w:rPr>
                <w:sz w:val="18"/>
                <w:szCs w:val="18"/>
              </w:rPr>
              <w:t>Impfausweise und Zeugnisse der Kinder</w:t>
            </w:r>
          </w:p>
        </w:tc>
        <w:tc>
          <w:tcPr>
            <w:tcW w:w="2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4F" w14:textId="5818B4A3" w:rsidR="00C1548D" w:rsidRDefault="009B1B4B">
            <w:pPr>
              <w:spacing w:line="250" w:lineRule="auto"/>
            </w:pPr>
            <w:r>
              <w:rPr>
                <w:sz w:val="18"/>
                <w:szCs w:val="18"/>
              </w:rPr>
              <w:t>Schulanmeldung (Kapitel </w:t>
            </w:r>
            <w:hyperlink w:anchor="k36" w:history="1">
              <w:r>
                <w:rPr>
                  <w:sz w:val="18"/>
                  <w:szCs w:val="18"/>
                </w:rPr>
                <w:t>36</w:t>
              </w:r>
            </w:hyperlink>
            <w:r>
              <w:rPr>
                <w:sz w:val="18"/>
                <w:szCs w:val="18"/>
              </w:rPr>
              <w:t>)</w:t>
            </w:r>
          </w:p>
        </w:tc>
      </w:tr>
      <w:tr w:rsidR="00C1548D" w14:paraId="70A4DA53" w14:textId="77777777">
        <w:tblPrEx>
          <w:tblCellMar>
            <w:top w:w="0" w:type="dxa"/>
            <w:bottom w:w="0" w:type="dxa"/>
          </w:tblCellMar>
        </w:tblPrEx>
        <w:trPr>
          <w:cantSplit/>
        </w:trPr>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51" w14:textId="77777777" w:rsidR="00C1548D" w:rsidRDefault="009B1B4B">
            <w:pPr>
              <w:spacing w:line="250" w:lineRule="auto"/>
            </w:pPr>
            <w:r>
              <w:rPr>
                <w:sz w:val="18"/>
                <w:szCs w:val="18"/>
              </w:rPr>
              <w:t>Führerschein und Internationaler Führerschein</w:t>
            </w:r>
          </w:p>
        </w:tc>
        <w:tc>
          <w:tcPr>
            <w:tcW w:w="2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52" w14:textId="386F3B97" w:rsidR="00C1548D" w:rsidRDefault="009B1B4B">
            <w:pPr>
              <w:spacing w:line="250" w:lineRule="auto"/>
            </w:pPr>
            <w:r>
              <w:rPr>
                <w:sz w:val="18"/>
                <w:szCs w:val="18"/>
              </w:rPr>
              <w:t>Mietwagen (Kapitel </w:t>
            </w:r>
            <w:hyperlink w:anchor="k27" w:history="1">
              <w:r>
                <w:rPr>
                  <w:sz w:val="18"/>
                  <w:szCs w:val="18"/>
                </w:rPr>
                <w:t>27</w:t>
              </w:r>
            </w:hyperlink>
            <w:r>
              <w:rPr>
                <w:sz w:val="18"/>
                <w:szCs w:val="18"/>
              </w:rPr>
              <w:t>)</w:t>
            </w:r>
          </w:p>
        </w:tc>
      </w:tr>
      <w:tr w:rsidR="00C1548D" w14:paraId="70A4DA56" w14:textId="77777777">
        <w:tblPrEx>
          <w:tblCellMar>
            <w:top w:w="0" w:type="dxa"/>
            <w:bottom w:w="0" w:type="dxa"/>
          </w:tblCellMar>
        </w:tblPrEx>
        <w:trPr>
          <w:cantSplit/>
        </w:trPr>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54" w14:textId="77777777" w:rsidR="00C1548D" w:rsidRDefault="009B1B4B">
            <w:pPr>
              <w:spacing w:line="250" w:lineRule="auto"/>
            </w:pPr>
            <w:r>
              <w:rPr>
                <w:sz w:val="18"/>
                <w:szCs w:val="18"/>
              </w:rPr>
              <w:t>Medikamente in Originalverpackung, Arztbrief</w:t>
            </w:r>
          </w:p>
        </w:tc>
        <w:tc>
          <w:tcPr>
            <w:tcW w:w="2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55" w14:textId="77777777" w:rsidR="00C1548D" w:rsidRDefault="009B1B4B">
            <w:pPr>
              <w:spacing w:line="250" w:lineRule="auto"/>
            </w:pPr>
            <w:r>
              <w:rPr>
                <w:sz w:val="18"/>
                <w:szCs w:val="18"/>
              </w:rPr>
              <w:t>Vorrat bis zur Versicherung</w:t>
            </w:r>
          </w:p>
        </w:tc>
      </w:tr>
      <w:tr w:rsidR="00C1548D" w14:paraId="70A4DA59" w14:textId="77777777">
        <w:tblPrEx>
          <w:tblCellMar>
            <w:top w:w="0" w:type="dxa"/>
            <w:bottom w:w="0" w:type="dxa"/>
          </w:tblCellMar>
        </w:tblPrEx>
        <w:trPr>
          <w:cantSplit/>
        </w:trPr>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57" w14:textId="77777777" w:rsidR="00C1548D" w:rsidRDefault="009B1B4B">
            <w:pPr>
              <w:spacing w:line="250" w:lineRule="auto"/>
            </w:pPr>
            <w:r>
              <w:rPr>
                <w:sz w:val="18"/>
                <w:szCs w:val="18"/>
              </w:rPr>
              <w:t>Nummern von Personalabteilung und Einwanderungsanwalt auf Papier</w:t>
            </w:r>
          </w:p>
        </w:tc>
        <w:tc>
          <w:tcPr>
            <w:tcW w:w="2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58" w14:textId="77777777" w:rsidR="00C1548D" w:rsidRDefault="009B1B4B">
            <w:pPr>
              <w:spacing w:line="250" w:lineRule="auto"/>
            </w:pPr>
            <w:r>
              <w:rPr>
                <w:sz w:val="18"/>
                <w:szCs w:val="18"/>
              </w:rPr>
              <w:t>Falls das Handy ausfällt</w:t>
            </w:r>
          </w:p>
        </w:tc>
      </w:tr>
      <w:tr w:rsidR="00C1548D" w14:paraId="70A4DA5C" w14:textId="77777777">
        <w:tblPrEx>
          <w:tblCellMar>
            <w:top w:w="0" w:type="dxa"/>
            <w:bottom w:w="0" w:type="dxa"/>
          </w:tblCellMar>
        </w:tblPrEx>
        <w:trPr>
          <w:cantSplit/>
        </w:trPr>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5A" w14:textId="77777777" w:rsidR="00C1548D" w:rsidRDefault="009B1B4B">
            <w:pPr>
              <w:spacing w:line="250" w:lineRule="auto"/>
            </w:pPr>
            <w:r>
              <w:rPr>
                <w:sz w:val="18"/>
                <w:szCs w:val="18"/>
              </w:rPr>
              <w:t>Mit Hund: Quittung des CDC Dog Import Form</w:t>
            </w:r>
          </w:p>
        </w:tc>
        <w:tc>
          <w:tcPr>
            <w:tcW w:w="2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5B" w14:textId="2BF75B43" w:rsidR="00C1548D" w:rsidRDefault="009B1B4B">
            <w:pPr>
              <w:spacing w:line="250" w:lineRule="auto"/>
            </w:pPr>
            <w:r>
              <w:rPr>
                <w:sz w:val="18"/>
                <w:szCs w:val="18"/>
              </w:rPr>
              <w:t>Kontrolle bei der Einreise (Kapitel </w:t>
            </w:r>
            <w:hyperlink w:anchor="k22" w:history="1">
              <w:r>
                <w:rPr>
                  <w:sz w:val="18"/>
                  <w:szCs w:val="18"/>
                </w:rPr>
                <w:t>22</w:t>
              </w:r>
            </w:hyperlink>
            <w:r>
              <w:rPr>
                <w:sz w:val="18"/>
                <w:szCs w:val="18"/>
              </w:rPr>
              <w:t>)</w:t>
            </w:r>
          </w:p>
        </w:tc>
      </w:tr>
    </w:tbl>
    <w:p w14:paraId="70A4DA5D"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A6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A5E" w14:textId="77777777" w:rsidR="00C1548D" w:rsidRDefault="009B1B4B">
            <w:pPr>
              <w:keepNext/>
              <w:spacing w:after="70" w:line="240" w:lineRule="auto"/>
            </w:pPr>
            <w:r>
              <w:rPr>
                <w:b/>
                <w:bCs/>
                <w:color w:val="9B2C2C"/>
                <w:spacing w:val="24"/>
                <w:sz w:val="16"/>
                <w:szCs w:val="16"/>
              </w:rPr>
              <w:t>ACHTUNG</w:t>
            </w:r>
          </w:p>
          <w:p w14:paraId="70A4DA5F" w14:textId="77777777" w:rsidR="00C1548D" w:rsidRDefault="009B1B4B">
            <w:pPr>
              <w:spacing w:after="80" w:line="264" w:lineRule="auto"/>
            </w:pPr>
            <w:r>
              <w:rPr>
                <w:sz w:val="20"/>
                <w:szCs w:val="20"/>
              </w:rPr>
              <w:t>Kein Original gehört in den aufgegebenen Koffer: Ein verspäteter Koffer wird nachgeliefert, ein verlorener Genehmigungsbescheid ist mühsam zu ersetzen.</w:t>
            </w:r>
          </w:p>
        </w:tc>
      </w:tr>
    </w:tbl>
    <w:p w14:paraId="70A4DA61" w14:textId="77777777" w:rsidR="00C1548D" w:rsidRDefault="00C1548D">
      <w:pPr>
        <w:spacing w:line="220" w:lineRule="exact"/>
      </w:pPr>
    </w:p>
    <w:p w14:paraId="70A4DA62" w14:textId="77777777" w:rsidR="00C1548D" w:rsidRDefault="009B1B4B">
      <w:pPr>
        <w:pStyle w:val="Heading3"/>
        <w:keepNext/>
        <w:jc w:val="center"/>
      </w:pPr>
      <w:r>
        <w:rPr>
          <w:rFonts w:ascii="Amazon Ember" w:eastAsia="Amazon Ember" w:hAnsi="Amazon Ember" w:cs="Amazon Ember"/>
          <w:color w:val="0000FF"/>
          <w:sz w:val="36"/>
          <w:szCs w:val="36"/>
        </w:rPr>
        <w:t>Die Einreisekontrolle bei CBP</w:t>
      </w:r>
    </w:p>
    <w:p w14:paraId="70A4DA63" w14:textId="77777777" w:rsidR="00C1548D" w:rsidRDefault="009B1B4B">
      <w:pPr>
        <w:spacing w:after="140"/>
      </w:pPr>
      <w:r>
        <w:t>Nach der Landung folgst du den Schildern zur Einreisekontrolle (</w:t>
      </w:r>
      <w:r>
        <w:rPr>
          <w:i/>
          <w:iCs/>
        </w:rPr>
        <w:t>Immigration</w:t>
      </w:r>
      <w:r>
        <w:t xml:space="preserve">), hinein in die Schlange für ausländische Reisepässe, wo Koffergriffe quietschen und ein Dutzend Sprachen durcheinander murmeln. Am Schalter prüft ein Beamter der </w:t>
      </w:r>
      <w:r>
        <w:rPr>
          <w:i/>
          <w:iCs/>
        </w:rPr>
        <w:t>Customs and Border Protection</w:t>
      </w:r>
      <w:r>
        <w:t xml:space="preserve"> (CBP, dem Grenzschutz) Pass und Visum, nimmt ein Foto auf und fragt nach Zweck, Arbeitgeber, Adresse und Dauer. Er kann weitere biometrische Daten wie Fingerabdrücke verlangen.</w:t>
      </w:r>
    </w:p>
    <w:p w14:paraId="70A4DA64" w14:textId="77777777" w:rsidR="00C1548D" w:rsidRDefault="009B1B4B">
      <w:pPr>
        <w:spacing w:after="140"/>
      </w:pPr>
      <w:r>
        <w:t>Seit dem 26. Dezember 2025 darf CBP alle Nicht-US-Bürger bei Ein- und Ausreise fotografieren (Federal Register, 27. Oktober 2025): Das Foto ist Routine, kein Verdachtsmoment.</w:t>
      </w:r>
    </w:p>
    <w:p w14:paraId="70A4DA65" w14:textId="77777777" w:rsidR="00C1548D" w:rsidRDefault="009B1B4B">
      <w:pPr>
        <w:spacing w:after="140"/>
      </w:pPr>
      <w:r>
        <w:t xml:space="preserve">Antworte kurz, ruhig und wahrheitsgemäß auf Englisch, etwa: </w:t>
      </w:r>
      <w:r>
        <w:rPr>
          <w:i/>
          <w:iCs/>
        </w:rPr>
        <w:t>„I am starting a job as a software engineer at [company name] in Seattle. My H-1B status begins on October 1.“</w:t>
      </w:r>
      <w:r>
        <w:t xml:space="preserve"> Falsche Angaben gelten als Täuschung und können eine dauerhafte Einreisesperre nach sich ziehen; ‚Das weiß ich nicht genau‘ ist besser als eine Vermutung. Telefonieren und Fotografieren sind in der Kontrollzone untersagt.</w:t>
      </w:r>
    </w:p>
    <w:p w14:paraId="70A4DA66" w14:textId="77777777" w:rsidR="00C1548D" w:rsidRDefault="009B1B4B">
      <w:pPr>
        <w:pStyle w:val="Heading3"/>
        <w:keepNext/>
        <w:jc w:val="center"/>
      </w:pPr>
      <w:r>
        <w:rPr>
          <w:rFonts w:ascii="Amazon Ember" w:eastAsia="Amazon Ember" w:hAnsi="Amazon Ember" w:cs="Amazon Ember"/>
          <w:color w:val="0000FF"/>
          <w:sz w:val="36"/>
          <w:szCs w:val="36"/>
        </w:rPr>
        <w:t>Die zweite Kontrolle</w:t>
      </w:r>
    </w:p>
    <w:p w14:paraId="70A4DA67" w14:textId="77777777" w:rsidR="00C1548D" w:rsidRDefault="009B1B4B">
      <w:pPr>
        <w:spacing w:after="140"/>
      </w:pPr>
      <w:r>
        <w:t xml:space="preserve">Manchmal schickt dich der Beamte zur </w:t>
      </w:r>
      <w:r>
        <w:rPr>
          <w:i/>
          <w:iCs/>
        </w:rPr>
        <w:t>Secondary Inspection</w:t>
      </w:r>
      <w:r>
        <w:t>, einer ausführlicheren Befragung im Nebenraum – kein Vorwurf, Gründe sind Stichproben, Namensähnlichkeiten in Datenbanken, unklare Jobangaben oder fehlende Unterlagen. Sie dauert Minuten bis Stunden; sage der abholenden Person Bescheid und plane keinen knappen Anschluss.</w:t>
      </w:r>
    </w:p>
    <w:p w14:paraId="70A4DA68" w14:textId="77777777" w:rsidR="00C1548D" w:rsidRDefault="009B1B4B">
      <w:pPr>
        <w:spacing w:after="140"/>
      </w:pPr>
      <w:r>
        <w:lastRenderedPageBreak/>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w14:paraId="70A4DA69" w14:textId="77777777" w:rsidR="00C1548D" w:rsidRDefault="009B1B4B">
      <w:pPr>
        <w:spacing w:after="140"/>
      </w:pPr>
      <w:r>
        <w:t>CBP darf Handys und Laptops bei der Einreise durchsehen, geregelt in einer im Januar 2026 neu gefassten Richtlinie (CBP Directive 3340-049B). Verweigert ein Nicht-US-Bürger die Mitwirkung, riskiert er, dass CBP das Gerät einbehält oder die Einreise verweigert. Kläre vorab mit dem Arbeitgeber den Umgang mit vertraulichen Firmendaten auf dem Gerät.</w:t>
      </w:r>
    </w:p>
    <w:p w14:paraId="70A4DA6A" w14:textId="77777777" w:rsidR="00C1548D" w:rsidRDefault="009B1B4B">
      <w:pPr>
        <w:pStyle w:val="Heading3"/>
        <w:keepNext/>
        <w:jc w:val="center"/>
      </w:pPr>
      <w:r>
        <w:rPr>
          <w:rFonts w:ascii="Amazon Ember" w:eastAsia="Amazon Ember" w:hAnsi="Amazon Ember" w:cs="Amazon Ember"/>
          <w:color w:val="0000FF"/>
          <w:sz w:val="36"/>
          <w:szCs w:val="36"/>
        </w:rPr>
        <w:t>Der I-94: Nachweis deines Status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A6D"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A6B" w14:textId="77777777" w:rsidR="00C1548D" w:rsidRDefault="009B1B4B">
            <w:pPr>
              <w:keepNext/>
              <w:spacing w:after="70" w:line="240" w:lineRule="auto"/>
            </w:pPr>
            <w:r>
              <w:rPr>
                <w:b/>
                <w:bCs/>
                <w:color w:val="8A6212"/>
                <w:spacing w:val="24"/>
                <w:sz w:val="16"/>
                <w:szCs w:val="16"/>
              </w:rPr>
              <w:t>MERKE</w:t>
            </w:r>
          </w:p>
          <w:p w14:paraId="70A4DA6C" w14:textId="77777777" w:rsidR="00C1548D" w:rsidRDefault="009B1B4B">
            <w:pPr>
              <w:spacing w:after="80" w:line="264" w:lineRule="auto"/>
            </w:pPr>
            <w:r>
              <w:rPr>
                <w:sz w:val="20"/>
                <w:szCs w:val="20"/>
              </w:rPr>
              <w:t>Das Visum im Pass ist nur die Eintrittskarte. Status und Ablaufdatum legt CBP bei der Zulassung fest; sie stehen im I-94, nicht im Visum.</w:t>
            </w:r>
          </w:p>
        </w:tc>
      </w:tr>
    </w:tbl>
    <w:p w14:paraId="70A4DA6E" w14:textId="77777777" w:rsidR="00C1548D" w:rsidRDefault="00C1548D">
      <w:pPr>
        <w:spacing w:line="220" w:lineRule="exact"/>
      </w:pPr>
    </w:p>
    <w:p w14:paraId="70A4DA6F" w14:textId="77777777" w:rsidR="00C1548D" w:rsidRDefault="009B1B4B">
      <w:pPr>
        <w:spacing w:after="140"/>
      </w:pPr>
      <w:r>
        <w:t>Am Flughafen bekommst du meist keinen Papier-I-94: CBP erfasst die Einreise elektronisch, du rufst den Nachweis selbst ab, auf i94.cbp.dhs.gov unter „Get Most Recent I-94“, mit Name, Geburtsdatum und Passdaten. Speichere das PDF, gib es der Personalabteilung; jedes Familienmitglied hat einen eigenen I-94. Fehlt der Datensatz noch, versuche es nach einigen Stunden erneut.</w:t>
      </w:r>
    </w:p>
    <w:p w14:paraId="70A4DA70" w14:textId="77777777" w:rsidR="00C1548D" w:rsidRDefault="009B1B4B">
      <w:pPr>
        <w:spacing w:after="140"/>
      </w:pPr>
      <w:r>
        <w:t>Prüfe vier Angaben: Name und Geburtsdatum wie im Pass, Zulassungskategorie (H-1B: H1B, H-4: H4) und Ablaufdatum (</w:t>
      </w:r>
      <w:r>
        <w:rPr>
          <w:i/>
          <w:iCs/>
        </w:rPr>
        <w:t>Admit Until Date</w:t>
      </w:r>
      <w:r>
        <w:t>), passend zum Ende des Zeitraums im Bescheid. Namen mit Umlaut oder ß erscheinen in der maschinenlesbaren Passzeile als AE, OE, UE und SS; achte darauf, dass Sozialversicherungskarte, Führerschein und Bankkonto später dieselbe Schreibweise nutzen.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A7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A71" w14:textId="77777777" w:rsidR="00C1548D" w:rsidRDefault="009B1B4B">
            <w:pPr>
              <w:keepNext/>
              <w:spacing w:after="70" w:line="240" w:lineRule="auto"/>
            </w:pPr>
            <w:r>
              <w:rPr>
                <w:b/>
                <w:bCs/>
                <w:color w:val="9B2C2C"/>
                <w:spacing w:val="24"/>
                <w:sz w:val="16"/>
                <w:szCs w:val="16"/>
              </w:rPr>
              <w:lastRenderedPageBreak/>
              <w:t>ACHTUNG</w:t>
            </w:r>
          </w:p>
          <w:p w14:paraId="70A4DA72" w14:textId="77777777" w:rsidR="00C1548D" w:rsidRDefault="009B1B4B">
            <w:pPr>
              <w:spacing w:after="80" w:line="264" w:lineRule="auto"/>
            </w:pPr>
            <w:r>
              <w:rPr>
                <w:sz w:val="20"/>
                <w:szCs w:val="20"/>
              </w:rPr>
              <w:t>Ein Fehler im I-94 fällt sonst erst bei SSN, Führerschein oder Verlängerung auf. CBP kann ihn in einer Nachprüfungsstelle (</w:t>
            </w:r>
            <w:r>
              <w:rPr>
                <w:i/>
                <w:iCs/>
                <w:sz w:val="20"/>
                <w:szCs w:val="20"/>
              </w:rPr>
              <w:t>Deferred Inspection</w:t>
            </w:r>
            <w:r>
              <w:rPr>
                <w:sz w:val="20"/>
                <w:szCs w:val="20"/>
              </w:rPr>
              <w:t>) am Flughafen korrigieren, in der Regel gebührenfrei. Melde ihn sofort Arbeitgeber und Anwalt.</w:t>
            </w:r>
          </w:p>
        </w:tc>
      </w:tr>
    </w:tbl>
    <w:p w14:paraId="70A4DA74"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A77"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A75" w14:textId="77777777" w:rsidR="00C1548D" w:rsidRDefault="009B1B4B">
            <w:pPr>
              <w:keepNext/>
              <w:spacing w:after="70" w:line="240" w:lineRule="auto"/>
            </w:pPr>
            <w:r>
              <w:rPr>
                <w:b/>
                <w:bCs/>
                <w:color w:val="4A5568"/>
                <w:spacing w:val="24"/>
                <w:sz w:val="16"/>
                <w:szCs w:val="16"/>
              </w:rPr>
              <w:t>PRAXISBEISPIEL · FIKTIV</w:t>
            </w:r>
          </w:p>
          <w:p w14:paraId="70A4DA76" w14:textId="77777777" w:rsidR="00C1548D" w:rsidRDefault="009B1B4B">
            <w:pPr>
              <w:spacing w:after="80" w:line="264" w:lineRule="auto"/>
            </w:pPr>
            <w:r>
              <w:rPr>
                <w:sz w:val="20"/>
                <w:szCs w:val="20"/>
              </w:rPr>
              <w:t>Sabine Keller (fiktiv, 33, Softwareentwicklerin) landet am Samstag, dem 26. September, um 16 Uhr in Seattle. Ihre H-1B-Petition beginnt am 1. Oktober; einreisen durfte sie ab dem 21. September. Der Beamte fragt nach Arbeitgeber und Adresse, macht ein Foto und lässt sie durch – „Welcome to the United States“, mehr Zeremonie ist nicht vorgesehen, und erst im Taxi merkt sie, wie lange sie die Luft angehalten hatte. Im Aparthotel (950 $ für fünf Nächte) ruft sie den I-94 ab: Kategorie H1B, gültig bis 30. Septem</w:t>
            </w:r>
            <w:r>
              <w:rPr>
                <w:sz w:val="20"/>
                <w:szCs w:val="20"/>
              </w:rPr>
              <w:t>ber 2029, Name korrekt. Das PDF geht an die Personalabteilung. Um 21 Uhr Ortszeit schläft sie ein, um 3 Uhr ist sie hellwach: Seattle liegt 9 Stunden hinter München. Die fünf Tage Puffer nutzt sie für SIM, Bank und Wohnungsbesichtigungen.</w:t>
            </w:r>
          </w:p>
        </w:tc>
      </w:tr>
    </w:tbl>
    <w:p w14:paraId="70A4DA78" w14:textId="77777777" w:rsidR="00C1548D" w:rsidRDefault="00C1548D">
      <w:pPr>
        <w:spacing w:line="220" w:lineRule="exact"/>
      </w:pPr>
    </w:p>
    <w:p w14:paraId="70A4DA79" w14:textId="77777777" w:rsidR="00C1548D" w:rsidRDefault="009B1B4B">
      <w:pPr>
        <w:pStyle w:val="Heading3"/>
        <w:keepNext/>
        <w:jc w:val="center"/>
      </w:pPr>
      <w:r>
        <w:rPr>
          <w:rFonts w:ascii="Amazon Ember" w:eastAsia="Amazon Ember" w:hAnsi="Amazon Ember" w:cs="Amazon Ember"/>
          <w:color w:val="0000FF"/>
          <w:sz w:val="36"/>
          <w:szCs w:val="36"/>
        </w:rPr>
        <w:t>Zoll und Bargeld</w:t>
      </w:r>
    </w:p>
    <w:p w14:paraId="70A4DA7A" w14:textId="77777777" w:rsidR="00C1548D" w:rsidRDefault="009B1B4B">
      <w:pPr>
        <w:spacing w:after="140"/>
      </w:pPr>
      <w:r>
        <w:t>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Mandarine in deiner Jackentasche als du für den gesamten Rückflug – nimm es ihm nicht übel, er tut nur seinen Job. Bargeld, Reiseschecks und Inhaberpapiere von zusammen mehr als 10.000 $ melde</w:t>
      </w:r>
      <w:r>
        <w:t>st du mit dem Formular FinCEN 105 — die Anmeldung ist legal, Verschweigen führt zu Beschlagnahme und Strafe.</w:t>
      </w:r>
    </w:p>
    <w:p w14:paraId="70A4DA7B" w14:textId="5FD5E690" w:rsidR="00C1548D" w:rsidRDefault="009B1B4B">
      <w:pPr>
        <w:spacing w:after="140"/>
      </w:pPr>
      <w:r>
        <w:t>Gebrauchte persönliche Sachen, mindestens ein Jahr im Ausland genutzt, kommen zollfrei ins Land, Neuware im Koffer kann zollpflichtig sein. Den Container behandelt Kapitel </w:t>
      </w:r>
      <w:hyperlink w:anchor="k20" w:history="1">
        <w:r>
          <w:t>20</w:t>
        </w:r>
      </w:hyperlink>
      <w:r>
        <w:t>.</w:t>
      </w:r>
    </w:p>
    <w:p w14:paraId="70A4DA7C"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erste Nacht: Unterkunft, Transport, Mietwagen</w:t>
      </w:r>
    </w:p>
    <w:p w14:paraId="70A4DA7D" w14:textId="7E1E503B" w:rsidR="00C1548D" w:rsidRDefault="009B1B4B">
      <w:pPr>
        <w:spacing w:after="140"/>
      </w:pPr>
      <w:r>
        <w:t>Buche die ersten Nächte im Voraus, mit kostenloser Stornierung. Eine Wohnung mietest du besser vor Ort (Kapitel </w:t>
      </w:r>
      <w:hyperlink w:anchor="k13" w:history="1">
        <w:r>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history="1">
        <w:r>
          <w:t>28</w:t>
        </w:r>
      </w:hyperlink>
      <w:r>
        <w:t>).</w:t>
      </w:r>
    </w:p>
    <w:p w14:paraId="70A4DA7E" w14:textId="77777777" w:rsidR="00C1548D" w:rsidRDefault="009B1B4B">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w14:paraId="70A4DA7F" w14:textId="453A5CCA" w:rsidR="00C1548D" w:rsidRDefault="009B1B4B">
      <w:pPr>
        <w:spacing w:after="140"/>
      </w:pPr>
      <w:r>
        <w:t>In Detroit, Phoenix oder Houston brauchst du bald ein Auto, in Seattle, Boston oder New York oft nicht (Kapitel </w:t>
      </w:r>
      <w:hyperlink w:anchor="k27" w:history="1">
        <w:r>
          <w:t>27</w:t>
        </w:r>
      </w:hyperlink>
      <w:r>
        <w:t>).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Staaten Pflicht. Kläre vor der Unterschrift Haftpflicht- und Kaskodeckung; Kindersitze sind vorgeschrieben, die Regeln setzt jeder Bundesstaat.</w:t>
      </w:r>
    </w:p>
    <w:p w14:paraId="70A4DA80" w14:textId="77777777" w:rsidR="00C1548D" w:rsidRDefault="009B1B4B">
      <w:pPr>
        <w:spacing w:after="140"/>
      </w:pPr>
      <w:r>
        <w:t>Fahre nach dem Nachtflug nicht sofort selbst: Ein ausgeruhter zweiter Tag ist sicherer.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A83"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A81" w14:textId="77777777" w:rsidR="00C1548D" w:rsidRDefault="009B1B4B">
            <w:pPr>
              <w:keepNext/>
              <w:spacing w:after="70" w:line="240" w:lineRule="auto"/>
            </w:pPr>
            <w:r>
              <w:rPr>
                <w:b/>
                <w:bCs/>
                <w:color w:val="2F6B3B"/>
                <w:spacing w:val="24"/>
                <w:sz w:val="16"/>
                <w:szCs w:val="16"/>
              </w:rPr>
              <w:lastRenderedPageBreak/>
              <w:t>SPARTIPP</w:t>
            </w:r>
          </w:p>
          <w:p w14:paraId="70A4DA82" w14:textId="77777777" w:rsidR="00C1548D" w:rsidRDefault="009B1B4B">
            <w:pPr>
              <w:spacing w:after="80" w:line="264" w:lineRule="auto"/>
            </w:pPr>
            <w:r>
              <w:rPr>
                <w:sz w:val="20"/>
                <w:szCs w:val="20"/>
              </w:rPr>
              <w:t>Mietwagen in der Stadt statt am Flughafen sparen oft Flughafenzuschläge. In Städten mit gutem Nahverkehr mietest du nur für die Wochenenden der Wohnungssuche.</w:t>
            </w:r>
          </w:p>
        </w:tc>
      </w:tr>
    </w:tbl>
    <w:p w14:paraId="70A4DA84" w14:textId="77777777" w:rsidR="00C1548D" w:rsidRDefault="00C1548D">
      <w:pPr>
        <w:spacing w:line="220" w:lineRule="exact"/>
      </w:pPr>
    </w:p>
    <w:p w14:paraId="70A4DA85" w14:textId="77777777" w:rsidR="00C1548D" w:rsidRDefault="009B1B4B">
      <w:pPr>
        <w:pStyle w:val="Heading3"/>
        <w:keepNext/>
        <w:jc w:val="center"/>
      </w:pPr>
      <w:r>
        <w:rPr>
          <w:rFonts w:ascii="Amazon Ember" w:eastAsia="Amazon Ember" w:hAnsi="Amazon Ember" w:cs="Amazon Ember"/>
          <w:color w:val="0000FF"/>
          <w:sz w:val="36"/>
          <w:szCs w:val="36"/>
        </w:rPr>
        <w:t>Handy und Geld</w:t>
      </w:r>
    </w:p>
    <w:p w14:paraId="70A4DA86" w14:textId="74B06008" w:rsidR="00C1548D" w:rsidRDefault="009B1B4B">
      <w:pPr>
        <w:spacing w:after="140"/>
      </w:pPr>
      <w:r>
        <w:t>Deutsche Tarife haben in den USA kein EU-Roaming; prüfe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history="1">
        <w:r>
          <w:t>25</w:t>
        </w:r>
      </w:hyperlink>
      <w:r>
        <w:t>). Behalte deine deutsche Nummer als Zweit-SIM für SMS-Codes der Bank.</w:t>
      </w:r>
    </w:p>
    <w:p w14:paraId="70A4DA87" w14:textId="20E45697" w:rsidR="00C1548D" w:rsidRDefault="009B1B4B">
      <w:pPr>
        <w:spacing w:after="140"/>
      </w:pPr>
      <w: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history="1">
        <w:r>
          <w:t>31</w:t>
        </w:r>
      </w:hyperlink>
      <w:r>
        <w:t>); ein Konto eröffnest du in den ersten Tagen (Kapitel </w:t>
      </w:r>
      <w:hyperlink w:anchor="k25" w:history="1">
        <w:r>
          <w:t>25</w:t>
        </w:r>
      </w:hyperlink>
      <w:r>
        <w:t>).</w:t>
      </w:r>
    </w:p>
    <w:p w14:paraId="70A4DA88" w14:textId="77777777" w:rsidR="00C1548D" w:rsidRDefault="009B1B4B">
      <w:pPr>
        <w:pStyle w:val="Heading3"/>
        <w:keepNext/>
        <w:jc w:val="center"/>
      </w:pPr>
      <w:r>
        <w:rPr>
          <w:rFonts w:ascii="Amazon Ember" w:eastAsia="Amazon Ember" w:hAnsi="Amazon Ember" w:cs="Amazon Ember"/>
          <w:color w:val="0000FF"/>
          <w:sz w:val="36"/>
          <w:szCs w:val="36"/>
        </w:rPr>
        <w:t>Kinder und Jetlag</w:t>
      </w:r>
    </w:p>
    <w:p w14:paraId="70A4DA89" w14:textId="77777777" w:rsidR="00C1548D" w:rsidRDefault="009B1B4B">
      <w:pPr>
        <w:spacing w:after="140"/>
      </w:pPr>
      <w:r>
        <w:t>Die Zeitverschiebung beträgt nach Detroit, Boston oder Raleigh 6 Stunden, nach Texas 7, nach Seattle 9 — in der Woche zwischen den Zeitumstellungen Ende Oktober und Anfang November eine 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w14:paraId="70A4DA8A" w14:textId="49B8EFAF" w:rsidR="00C1548D" w:rsidRDefault="009B1B4B">
      <w:pPr>
        <w:spacing w:after="140"/>
      </w:pPr>
      <w:r>
        <w:lastRenderedPageBreak/>
        <w:t>Plane für den zweiten Vormittag keine festen Termine; Schulanmeldung und Kita gehören nicht in die ersten 72 Stunden (Kapitel </w:t>
      </w:r>
      <w:hyperlink w:anchor="k36" w:history="1">
        <w:r>
          <w:t>36</w:t>
        </w:r>
      </w:hyperlink>
      <w:r>
        <w:t>). Sprich vor dem Abflug mit dem Kinderarzt, bevor du Schlafmittel oder Melatonin gibst. Reist ein Elternteil allein mit den Kindern, hilft eine englische Einverständniserklärung des anderen.</w:t>
      </w:r>
    </w:p>
    <w:p w14:paraId="70A4DA8B" w14:textId="77777777" w:rsidR="00C1548D" w:rsidRDefault="009B1B4B">
      <w:pPr>
        <w:pStyle w:val="Heading3"/>
        <w:keepNext/>
        <w:jc w:val="center"/>
      </w:pPr>
      <w:r>
        <w:rPr>
          <w:rFonts w:ascii="Amazon Ember" w:eastAsia="Amazon Ember" w:hAnsi="Amazon Ember" w:cs="Amazon Ember"/>
          <w:color w:val="0000FF"/>
          <w:sz w:val="36"/>
          <w:szCs w:val="36"/>
        </w:rPr>
        <w:t>Notruf 911</w:t>
      </w:r>
    </w:p>
    <w:p w14:paraId="70A4DA8C" w14:textId="77777777" w:rsidR="00C1548D" w:rsidRDefault="009B1B4B">
      <w:pPr>
        <w:spacing w:after="140"/>
      </w:pPr>
      <w:r>
        <w:t>Der Notruf für Polizei, Feuerwehr und Rettungsdienst lautet in den USA 911, eine Nummer statt 110 und 112, und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w:t>
      </w:r>
      <w:r>
        <w:t>r 1-800-222-1222.</w:t>
      </w:r>
    </w:p>
    <w:p w14:paraId="70A4DA8D" w14:textId="24C5108A" w:rsidR="00C1548D" w:rsidRDefault="009B1B4B">
      <w:pPr>
        <w:spacing w:after="140"/>
      </w:pPr>
      <w:r>
        <w:t>Bei Fieber, Verstauchung oder Infekt ist meist eine Walk-in-Klinik (</w:t>
      </w:r>
      <w:r>
        <w:rPr>
          <w:i/>
          <w:iCs/>
        </w:rPr>
        <w:t>Urgent Care</w:t>
      </w:r>
      <w:r>
        <w:t>) richtig, nicht der Rettungswagen (Kapitel </w:t>
      </w:r>
      <w:hyperlink w:anchor="k26" w:history="1">
        <w:r>
          <w:t>26</w:t>
        </w:r>
      </w:hyperlink>
      <w:r>
        <w:t>). Deine Auslandskrankenversicherung sollte ab der Landung gelten, bis die Versicherung des Arbeitgebers beginnt (Kapitel </w:t>
      </w:r>
      <w:hyperlink w:anchor="k18" w:history="1">
        <w:r>
          <w:t>18</w:t>
        </w:r>
      </w:hyperlink>
      <w:r>
        <w:t>).</w:t>
      </w:r>
    </w:p>
    <w:p w14:paraId="70A4DA8E" w14:textId="77777777" w:rsidR="00C1548D" w:rsidRDefault="009B1B4B">
      <w:pPr>
        <w:pStyle w:val="Heading3"/>
        <w:keepNext/>
        <w:jc w:val="center"/>
      </w:pPr>
      <w:r>
        <w:rPr>
          <w:rFonts w:ascii="Amazon Ember" w:eastAsia="Amazon Ember" w:hAnsi="Amazon Ember" w:cs="Amazon Ember"/>
          <w:color w:val="0000FF"/>
          <w:sz w:val="36"/>
          <w:szCs w:val="36"/>
        </w:rPr>
        <w:t>Erste Besorgungen</w:t>
      </w:r>
    </w:p>
    <w:p w14:paraId="70A4DA8F" w14:textId="522CEF47" w:rsidR="00C1548D" w:rsidRDefault="009B1B4B">
      <w:pPr>
        <w:spacing w:after="140"/>
      </w:pPr>
      <w:r>
        <w:t>Für die ersten Tage reicht ein Einkauf im Supermarkt oder Drogeriemarkt: Wasser, Frühstück, Snacks, Toilettenartikel. Ladegeräte mit dem Aufdruck 100–240 V laufen mit Adapter an der US-Steckdose (120 V, Typ A/B); Föhn, Wasserkocher und Toaster aus Deutschland nicht (Kapitel </w:t>
      </w:r>
      <w:hyperlink w:anchor="k21" w:history="1">
        <w:r>
          <w:t>21</w:t>
        </w:r>
      </w:hyperlink>
      <w:r>
        <w:t>). Preisschilder nennen den Preis ohne Verkaufssteuer (</w:t>
      </w:r>
      <w:r>
        <w:rPr>
          <w:i/>
          <w:iCs/>
        </w:rPr>
        <w:t>Sales Tax</w:t>
      </w:r>
      <w:r>
        <w:t>), die erst an der Kasse dazukommt (Kapitel </w:t>
      </w:r>
      <w:hyperlink w:anchor="k31" w:history="1">
        <w:r>
          <w:t>31</w:t>
        </w:r>
      </w:hyperlink>
      <w:r>
        <w:t>).</w:t>
      </w:r>
    </w:p>
    <w:p w14:paraId="70A4DA90" w14:textId="7437EE87" w:rsidR="00C1548D" w:rsidRDefault="009B1B4B">
      <w:pPr>
        <w:spacing w:after="140"/>
      </w:pPr>
      <w:r>
        <w:t xml:space="preserve">In der Apotheke heißt Paracetamol </w:t>
      </w:r>
      <w:r>
        <w:rPr>
          <w:i/>
          <w:iCs/>
        </w:rPr>
        <w:t>Acetaminophen</w:t>
      </w:r>
      <w:r>
        <w:t xml:space="preserve"> (Marke Tylenol), Ibuprofen gibt es als Advil oder Motrin; für Kinder gibt es eigene </w:t>
      </w:r>
      <w:r>
        <w:lastRenderedPageBreak/>
        <w:t>Präparate mit Dosierung nach Gewicht — lass dich beraten. Betten und Möbel: Kapitel </w:t>
      </w:r>
      <w:hyperlink w:anchor="k21" w:history="1">
        <w:r>
          <w:t>21</w:t>
        </w:r>
      </w:hyperlink>
      <w:r>
        <w:t>.</w:t>
      </w:r>
    </w:p>
    <w:p w14:paraId="70A4DA91" w14:textId="77777777" w:rsidR="00C1548D" w:rsidRDefault="009B1B4B">
      <w:pPr>
        <w:spacing w:after="140"/>
      </w:pPr>
      <w:r>
        <w:t>Verbreiteter Irrtum: Viele suchen in den ersten Tagen reflexhaft nach dem amerikanischen Pendant zum Einwohnermeldeamt – es gibt keins. Ziehst du aus der Übergangsunterkunft in die Wohnung, meldest du die neue Adresse stattdessen binnen 10 Tagen mit dem Formular AR-11 an USCIS (uscis.gov/ar-11).</w:t>
      </w:r>
    </w:p>
    <w:p w14:paraId="70A4DA92" w14:textId="77777777" w:rsidR="00C1548D" w:rsidRDefault="009B1B4B">
      <w:pPr>
        <w:pStyle w:val="Heading3"/>
        <w:keepNext/>
        <w:jc w:val="center"/>
      </w:pPr>
      <w:r>
        <w:rPr>
          <w:rFonts w:ascii="Amazon Ember" w:eastAsia="Amazon Ember" w:hAnsi="Amazon Ember" w:cs="Amazon Ember"/>
          <w:color w:val="0000FF"/>
          <w:sz w:val="36"/>
          <w:szCs w:val="36"/>
        </w:rPr>
        <w:t>Onboarding beim Arbeitgeber: I-9, W-4, Direktüberweisung</w:t>
      </w:r>
    </w:p>
    <w:p w14:paraId="70A4DA93" w14:textId="77777777" w:rsidR="00C1548D" w:rsidRDefault="009B1B4B">
      <w:pPr>
        <w:spacing w:after="140"/>
      </w:pPr>
      <w:r>
        <w:t>Am ersten Arbeitstag unterschreibst du einen Stapel Papiere; drei Formulare sind entscheidend.</w:t>
      </w:r>
    </w:p>
    <w:p w14:paraId="70A4DA94" w14:textId="77777777" w:rsidR="00C1548D" w:rsidRDefault="009B1B4B">
      <w:pPr>
        <w:spacing w:after="140"/>
      </w:pPr>
      <w:r>
        <w:rPr>
          <w:b/>
          <w:bCs/>
        </w:rPr>
        <w:t>Form I-9.</w:t>
      </w:r>
      <w:r>
        <w:t xml:space="preserve"> Mit ihr bestätigt der Arbeitgeber, dass du arbeiten darfst. Du füllst Abschnitt 1 spätestens am ersten Arbeitstag aus, der Arbeitgeber prüft in Abschnitt 2 innerhalb von drei Werktagen deine Originaldokumente. Als H-1B-Inhaber legst du meist Reisepass und I-94 vor.</w:t>
      </w:r>
    </w:p>
    <w:p w14:paraId="70A4DA95" w14:textId="77777777" w:rsidR="00C1548D" w:rsidRDefault="009B1B4B">
      <w:pPr>
        <w:spacing w:after="140"/>
      </w:pPr>
      <w:r>
        <w:t>Welches zulässige Dokument du zeigst, entscheidest du; der Arbeitgeber darf keins vorschreiben. Die aktuelle Ausgabe trägt das Datum 01/20/25, zugelassen bis 31. Mai 2027 (USCIS). Bringe Originale, keine Kopien.</w:t>
      </w:r>
    </w:p>
    <w:p w14:paraId="70A4DA96" w14:textId="20E4EF1C" w:rsidR="00C1548D" w:rsidRDefault="009B1B4B">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heikel: Steuerlicher Status als Ansässiger oder Nichtansässiger verändert das Ausfüllen. Frage die Lohnbuchhaltung (</w:t>
      </w:r>
      <w:r>
        <w:rPr>
          <w:i/>
          <w:iCs/>
        </w:rPr>
        <w:t>Payroll</w:t>
      </w:r>
      <w:r>
        <w:t>) und lies Kapitel </w:t>
      </w:r>
      <w:hyperlink w:anchor="k28" w:history="1">
        <w:r>
          <w:t>28</w:t>
        </w:r>
      </w:hyperlink>
      <w:r>
        <w:t xml:space="preserve"> vor der Unterschrift. Fehlt die SSN noch, ist das am ersten Tag normal; sage der Personalabteilung, dass du sie beantragst (Kapitel </w:t>
      </w:r>
      <w:hyperlink w:anchor="k24" w:history="1">
        <w:r>
          <w:t>24</w:t>
        </w:r>
      </w:hyperlink>
      <w:r>
        <w:t>).</w:t>
      </w:r>
    </w:p>
    <w:p w14:paraId="70A4DA97" w14:textId="1DAA10C3" w:rsidR="00C1548D" w:rsidRDefault="009B1B4B">
      <w:pPr>
        <w:spacing w:after="140"/>
      </w:pPr>
      <w:r>
        <w:rPr>
          <w:b/>
          <w:bCs/>
        </w:rPr>
        <w:t>Direktüberweisung.</w:t>
      </w:r>
      <w:r>
        <w:t xml:space="preserve"> Die meisten Arbeitgeber zahlen per </w:t>
      </w:r>
      <w:r>
        <w:rPr>
          <w:i/>
          <w:iCs/>
        </w:rPr>
        <w:t>Direct Deposit</w:t>
      </w:r>
      <w:r>
        <w:t xml:space="preserve">: Du nennst Bank, Routing Number (neunstellige Bankkennung) und Account Number (Kontonummer); ohne Konto </w:t>
      </w:r>
      <w:r>
        <w:lastRenderedPageBreak/>
        <w:t>frage nach Scheck oder Lohnkarte. Das erste Gehalt kommt je nach Rhythmus oft erst zwei bis vier Wochen nach Start; plane Rücklagen ein. Für die Krankenversicherung gilt meist eine Anmeldefrist von rund 30 Tagen (Kapitel </w:t>
      </w:r>
      <w:hyperlink w:anchor="k26" w:history="1">
        <w:r>
          <w:t>26</w:t>
        </w:r>
      </w:hyperlink>
      <w:r>
        <w:t>).</w:t>
      </w:r>
    </w:p>
    <w:p w14:paraId="70A4DA98" w14:textId="77777777" w:rsidR="00C1548D" w:rsidRDefault="009B1B4B">
      <w:pPr>
        <w:pStyle w:val="Heading3"/>
        <w:keepNext/>
        <w:jc w:val="center"/>
      </w:pPr>
      <w:r>
        <w:rPr>
          <w:rFonts w:ascii="Amazon Ember" w:eastAsia="Amazon Ember" w:hAnsi="Amazon Ember" w:cs="Amazon Ember"/>
          <w:color w:val="0000FF"/>
          <w:sz w:val="36"/>
          <w:szCs w:val="36"/>
        </w:rPr>
        <w:t>Betrugsmaschen für Neuankömmlinge</w:t>
      </w:r>
    </w:p>
    <w:p w14:paraId="70A4DA99" w14:textId="77777777" w:rsidR="00C1548D" w:rsidRDefault="009B1B4B">
      <w:pPr>
        <w:spacing w:after="140"/>
      </w:pPr>
      <w:r>
        <w:t>Wer neu ist, kennt weder Behörden noch Abläufe, und das nutzen Betrüger. Vier Muster kehren immer wieder:</w:t>
      </w:r>
    </w:p>
    <w:p w14:paraId="70A4DA9A" w14:textId="7AEE9E61" w:rsidR="00C1548D" w:rsidRDefault="009B1B4B" w:rsidP="009B1B4B">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history="1">
        <w:r>
          <w:t>13</w:t>
        </w:r>
      </w:hyperlink>
      <w:r>
        <w:t>).</w:t>
      </w:r>
    </w:p>
    <w:p w14:paraId="70A4DA9B" w14:textId="77777777" w:rsidR="00C1548D" w:rsidRDefault="009B1B4B" w:rsidP="009B1B4B">
      <w:pPr>
        <w:pStyle w:val="ListParagraph"/>
        <w:numPr>
          <w:ilvl w:val="0"/>
          <w:numId w:val="1"/>
        </w:numPr>
        <w:spacing w:after="60"/>
      </w:pPr>
      <w:r>
        <w:rPr>
          <w:b/>
          <w:bCs/>
        </w:rPr>
        <w:t>Anruf einer Behörde:</w:t>
      </w:r>
      <w:r>
        <w:t xml:space="preserve"> Angebliche IRS-, SSA- oder USCIS-Beamte drohen mit Festnahme, Abschiebung oder gesperrter SSN und verlangen sofortige Zahlung. Diese Behörden fordern nie Zahlung per Geschenkkarte, Kryptowährung oder an Privatpersonen. Lege auf, suche die Nummer selbst auf der offiziellen Website.</w:t>
      </w:r>
    </w:p>
    <w:p w14:paraId="70A4DA9C" w14:textId="77777777" w:rsidR="00C1548D" w:rsidRDefault="009B1B4B" w:rsidP="009B1B4B">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w14:paraId="70A4DA9D" w14:textId="77777777" w:rsidR="00C1548D" w:rsidRDefault="009B1B4B" w:rsidP="009B1B4B">
      <w:pPr>
        <w:pStyle w:val="ListParagraph"/>
        <w:numPr>
          <w:ilvl w:val="0"/>
          <w:numId w:val="1"/>
        </w:numPr>
        <w:spacing w:after="60"/>
      </w:pPr>
      <w:r>
        <w:rPr>
          <w:b/>
          <w:bCs/>
        </w:rPr>
        <w:t>Visa-Berater und Zoll-SMS:</w:t>
      </w:r>
      <w:r>
        <w:t xml:space="preserve"> Rechtsrat zum Einwanderungsrecht dürfen nur zugelassene Anwälte oder akkreditierte Vertreter geben; Formulare gibt es kostenlos bei uscis.gov. Auch „Dein Container hängt im Zoll, zahle jetzt“ ist Betrug.</w:t>
      </w:r>
    </w:p>
    <w:p w14:paraId="70A4DA9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AA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A9F" w14:textId="77777777" w:rsidR="00C1548D" w:rsidRDefault="009B1B4B">
            <w:pPr>
              <w:keepNext/>
              <w:spacing w:after="70" w:line="240" w:lineRule="auto"/>
            </w:pPr>
            <w:r>
              <w:rPr>
                <w:b/>
                <w:bCs/>
                <w:color w:val="9B2C2C"/>
                <w:spacing w:val="24"/>
                <w:sz w:val="16"/>
                <w:szCs w:val="16"/>
              </w:rPr>
              <w:lastRenderedPageBreak/>
              <w:t>ACHTUNG</w:t>
            </w:r>
          </w:p>
          <w:p w14:paraId="70A4DAA0" w14:textId="1AEAC598" w:rsidR="00C1548D" w:rsidRDefault="009B1B4B">
            <w:pPr>
              <w:spacing w:after="80" w:line="264" w:lineRule="auto"/>
            </w:pPr>
            <w:r>
              <w:rPr>
                <w:sz w:val="20"/>
                <w:szCs w:val="20"/>
              </w:rPr>
              <w:t>Betrüger arbeiten mit Zeitdruck. Zahle nie sofort und nie per Geschenkkarte, Zelle oder Kryptowährung an Fremde; solche Zahlungen lassen sich meist nicht zurückholen (Kapitel </w:t>
            </w:r>
            <w:hyperlink w:anchor="k25" w:history="1">
              <w:r>
                <w:rPr>
                  <w:sz w:val="20"/>
                  <w:szCs w:val="20"/>
                </w:rPr>
                <w:t>25</w:t>
              </w:r>
            </w:hyperlink>
            <w:r>
              <w:rPr>
                <w:sz w:val="20"/>
                <w:szCs w:val="20"/>
              </w:rPr>
              <w:t>). Melde Betrugsversuche auf reportfraud.ftc.gov.</w:t>
            </w:r>
          </w:p>
        </w:tc>
      </w:tr>
    </w:tbl>
    <w:p w14:paraId="70A4DAA2" w14:textId="77777777" w:rsidR="00C1548D" w:rsidRDefault="00C1548D">
      <w:pPr>
        <w:spacing w:line="220" w:lineRule="exact"/>
      </w:pPr>
    </w:p>
    <w:p w14:paraId="70A4DAA3" w14:textId="77777777" w:rsidR="00C1548D" w:rsidRDefault="009B1B4B">
      <w:pPr>
        <w:pStyle w:val="Heading3"/>
        <w:keepNext/>
        <w:jc w:val="center"/>
      </w:pPr>
      <w:r>
        <w:rPr>
          <w:rFonts w:ascii="Amazon Ember" w:eastAsia="Amazon Ember" w:hAnsi="Amazon Ember" w:cs="Amazon Ember"/>
          <w:color w:val="0000FF"/>
          <w:sz w:val="36"/>
          <w:szCs w:val="36"/>
        </w:rPr>
        <w:t>Die ersten 72 Stunden als Stundenplan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448"/>
        <w:gridCol w:w="2132"/>
        <w:gridCol w:w="950"/>
      </w:tblGrid>
      <w:tr w:rsidR="00C1548D" w14:paraId="70A4DAA8"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AA4" w14:textId="77777777" w:rsidR="00C1548D" w:rsidRDefault="009B1B4B">
            <w:pPr>
              <w:spacing w:line="250" w:lineRule="auto"/>
            </w:pPr>
            <w:r>
              <w:rPr>
                <w:b/>
                <w:bCs/>
                <w:sz w:val="18"/>
                <w:szCs w:val="18"/>
              </w:rPr>
              <w:t>Zeit nach Landung</w:t>
            </w:r>
          </w:p>
        </w:tc>
        <w:tc>
          <w:tcPr>
            <w:tcW w:w="244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AA5" w14:textId="77777777" w:rsidR="00C1548D" w:rsidRDefault="009B1B4B">
            <w:pPr>
              <w:spacing w:line="250" w:lineRule="auto"/>
            </w:pPr>
            <w:r>
              <w:rPr>
                <w:b/>
                <w:bCs/>
                <w:sz w:val="18"/>
                <w:szCs w:val="18"/>
              </w:rPr>
              <w:t>Aufgabe</w:t>
            </w:r>
          </w:p>
        </w:tc>
        <w:tc>
          <w:tcPr>
            <w:tcW w:w="213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AA6" w14:textId="77777777" w:rsidR="00C1548D" w:rsidRDefault="009B1B4B">
            <w:pPr>
              <w:spacing w:line="250" w:lineRule="auto"/>
            </w:pPr>
            <w:r>
              <w:rPr>
                <w:b/>
                <w:bCs/>
                <w:sz w:val="18"/>
                <w:szCs w:val="18"/>
              </w:rPr>
              <w:t>Worauf du achtest</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AA7" w14:textId="77777777" w:rsidR="00C1548D" w:rsidRDefault="009B1B4B">
            <w:pPr>
              <w:spacing w:line="250" w:lineRule="auto"/>
            </w:pPr>
            <w:r>
              <w:rPr>
                <w:b/>
                <w:bCs/>
                <w:sz w:val="18"/>
                <w:szCs w:val="18"/>
              </w:rPr>
              <w:t>Mehr dazu</w:t>
            </w:r>
          </w:p>
        </w:tc>
      </w:tr>
      <w:tr w:rsidR="00C1548D" w14:paraId="70A4DAA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A9" w14:textId="77777777" w:rsidR="00C1548D" w:rsidRDefault="009B1B4B">
            <w:pPr>
              <w:spacing w:line="250" w:lineRule="auto"/>
            </w:pPr>
            <w:r>
              <w:rPr>
                <w:sz w:val="18"/>
                <w:szCs w:val="18"/>
              </w:rPr>
              <w:t>0–2 Stunden</w:t>
            </w:r>
          </w:p>
        </w:tc>
        <w:tc>
          <w:tcPr>
            <w:tcW w:w="24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AA" w14:textId="77777777" w:rsidR="00C1548D" w:rsidRDefault="009B1B4B">
            <w:pPr>
              <w:spacing w:line="250" w:lineRule="auto"/>
            </w:pPr>
            <w:r>
              <w:rPr>
                <w:sz w:val="18"/>
                <w:szCs w:val="18"/>
              </w:rPr>
              <w:t>Passkontrolle, Gepäck, Zoll</w:t>
            </w:r>
          </w:p>
        </w:tc>
        <w:tc>
          <w:tcPr>
            <w:tcW w:w="21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AB" w14:textId="77777777" w:rsidR="00C1548D" w:rsidRDefault="009B1B4B">
            <w:pPr>
              <w:spacing w:line="250" w:lineRule="auto"/>
            </w:pPr>
            <w:r>
              <w:rPr>
                <w:sz w:val="18"/>
                <w:szCs w:val="18"/>
              </w:rPr>
              <w:t>Papiere griffbereit, kurze wahre Antworten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AC" w14:textId="77777777" w:rsidR="00C1548D" w:rsidRDefault="009B1B4B">
            <w:pPr>
              <w:spacing w:line="250" w:lineRule="auto"/>
            </w:pPr>
            <w:r>
              <w:rPr>
                <w:sz w:val="18"/>
                <w:szCs w:val="18"/>
              </w:rPr>
              <w:t>–</w:t>
            </w:r>
          </w:p>
        </w:tc>
      </w:tr>
      <w:tr w:rsidR="00C1548D" w14:paraId="70A4DAB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AE" w14:textId="77777777" w:rsidR="00C1548D" w:rsidRDefault="009B1B4B">
            <w:pPr>
              <w:spacing w:line="250" w:lineRule="auto"/>
            </w:pPr>
            <w:r>
              <w:rPr>
                <w:sz w:val="18"/>
                <w:szCs w:val="18"/>
              </w:rPr>
              <w:t>2–4 Stunden</w:t>
            </w:r>
          </w:p>
        </w:tc>
        <w:tc>
          <w:tcPr>
            <w:tcW w:w="24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AF" w14:textId="77777777" w:rsidR="00C1548D" w:rsidRDefault="009B1B4B">
            <w:pPr>
              <w:spacing w:line="250" w:lineRule="auto"/>
            </w:pPr>
            <w:r>
              <w:rPr>
                <w:sz w:val="18"/>
                <w:szCs w:val="18"/>
              </w:rPr>
              <w:t>Fahrt zur Unterkunft, eSIM aktivieren, Familie und Personalabteilung informieren</w:t>
            </w:r>
          </w:p>
        </w:tc>
        <w:tc>
          <w:tcPr>
            <w:tcW w:w="21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0" w14:textId="77777777" w:rsidR="00C1548D" w:rsidRDefault="009B1B4B">
            <w:pPr>
              <w:spacing w:line="250" w:lineRule="auto"/>
            </w:pPr>
            <w:r>
              <w:rPr>
                <w:sz w:val="18"/>
                <w:szCs w:val="18"/>
              </w:rPr>
              <w:t>Offizielles Taxi oder App</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1" w14:textId="2C5118D0" w:rsidR="00C1548D" w:rsidRDefault="009B1B4B">
            <w:pPr>
              <w:spacing w:line="250" w:lineRule="auto"/>
            </w:pPr>
            <w:r>
              <w:rPr>
                <w:sz w:val="18"/>
                <w:szCs w:val="18"/>
              </w:rPr>
              <w:t>Kapitel </w:t>
            </w:r>
            <w:hyperlink w:anchor="k25" w:history="1">
              <w:r>
                <w:rPr>
                  <w:sz w:val="18"/>
                  <w:szCs w:val="18"/>
                </w:rPr>
                <w:t>25</w:t>
              </w:r>
            </w:hyperlink>
          </w:p>
        </w:tc>
      </w:tr>
      <w:tr w:rsidR="00C1548D" w14:paraId="70A4DAB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3" w14:textId="77777777" w:rsidR="00C1548D" w:rsidRDefault="009B1B4B">
            <w:pPr>
              <w:spacing w:line="250" w:lineRule="auto"/>
            </w:pPr>
            <w:r>
              <w:rPr>
                <w:sz w:val="18"/>
                <w:szCs w:val="18"/>
              </w:rPr>
              <w:t>4–8 Stunden</w:t>
            </w:r>
          </w:p>
        </w:tc>
        <w:tc>
          <w:tcPr>
            <w:tcW w:w="24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4" w14:textId="77777777" w:rsidR="00C1548D" w:rsidRDefault="009B1B4B">
            <w:pPr>
              <w:spacing w:line="250" w:lineRule="auto"/>
            </w:pPr>
            <w:r>
              <w:rPr>
                <w:sz w:val="18"/>
                <w:szCs w:val="18"/>
              </w:rPr>
              <w:t>I-94 abrufen und prüfen, leichtes Abendessen, bis etwa 21 Uhr Ortszeit wach bleiben</w:t>
            </w:r>
          </w:p>
        </w:tc>
        <w:tc>
          <w:tcPr>
            <w:tcW w:w="21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5" w14:textId="77777777" w:rsidR="00C1548D" w:rsidRDefault="009B1B4B">
            <w:pPr>
              <w:spacing w:line="250" w:lineRule="auto"/>
            </w:pPr>
            <w:r>
              <w:rPr>
                <w:sz w:val="18"/>
                <w:szCs w:val="18"/>
              </w:rPr>
              <w:t>Fehler sofort melden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6" w14:textId="77777777" w:rsidR="00C1548D" w:rsidRDefault="009B1B4B">
            <w:pPr>
              <w:spacing w:line="250" w:lineRule="auto"/>
            </w:pPr>
            <w:r>
              <w:rPr>
                <w:sz w:val="18"/>
                <w:szCs w:val="18"/>
              </w:rPr>
              <w:t>–</w:t>
            </w:r>
          </w:p>
        </w:tc>
      </w:tr>
      <w:tr w:rsidR="00C1548D" w14:paraId="70A4DAB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8" w14:textId="77777777" w:rsidR="00C1548D" w:rsidRDefault="009B1B4B">
            <w:pPr>
              <w:spacing w:line="250" w:lineRule="auto"/>
            </w:pPr>
            <w:r>
              <w:rPr>
                <w:sz w:val="18"/>
                <w:szCs w:val="18"/>
              </w:rPr>
              <w:t>8–24 Stunden</w:t>
            </w:r>
          </w:p>
        </w:tc>
        <w:tc>
          <w:tcPr>
            <w:tcW w:w="24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9" w14:textId="77777777" w:rsidR="00C1548D" w:rsidRDefault="009B1B4B">
            <w:pPr>
              <w:spacing w:line="250" w:lineRule="auto"/>
            </w:pPr>
            <w:r>
              <w:rPr>
                <w:sz w:val="18"/>
                <w:szCs w:val="18"/>
              </w:rPr>
              <w:t>Schlafen, Frühstück, Basiseinkauf</w:t>
            </w:r>
          </w:p>
        </w:tc>
        <w:tc>
          <w:tcPr>
            <w:tcW w:w="21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A" w14:textId="77777777" w:rsidR="00C1548D" w:rsidRDefault="009B1B4B">
            <w:pPr>
              <w:spacing w:line="250" w:lineRule="auto"/>
            </w:pPr>
            <w:r>
              <w:rPr>
                <w:sz w:val="18"/>
                <w:szCs w:val="18"/>
              </w:rPr>
              <w:t>Keine großen Entscheidungen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B" w14:textId="10CC7D2D" w:rsidR="00C1548D" w:rsidRDefault="009B1B4B">
            <w:pPr>
              <w:spacing w:line="250" w:lineRule="auto"/>
            </w:pPr>
            <w:r>
              <w:rPr>
                <w:sz w:val="18"/>
                <w:szCs w:val="18"/>
              </w:rPr>
              <w:t>Kapitel </w:t>
            </w:r>
            <w:hyperlink w:anchor="k35" w:history="1">
              <w:r>
                <w:rPr>
                  <w:sz w:val="18"/>
                  <w:szCs w:val="18"/>
                </w:rPr>
                <w:t>35</w:t>
              </w:r>
            </w:hyperlink>
          </w:p>
        </w:tc>
      </w:tr>
      <w:tr w:rsidR="00C1548D" w14:paraId="70A4DAC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D" w14:textId="77777777" w:rsidR="00C1548D" w:rsidRDefault="009B1B4B">
            <w:pPr>
              <w:spacing w:line="250" w:lineRule="auto"/>
            </w:pPr>
            <w:r>
              <w:rPr>
                <w:sz w:val="18"/>
                <w:szCs w:val="18"/>
              </w:rPr>
              <w:t>24–36 Stunden</w:t>
            </w:r>
          </w:p>
        </w:tc>
        <w:tc>
          <w:tcPr>
            <w:tcW w:w="24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E" w14:textId="77777777" w:rsidR="00C1548D" w:rsidRDefault="009B1B4B">
            <w:pPr>
              <w:spacing w:line="250" w:lineRule="auto"/>
            </w:pPr>
            <w:r>
              <w:rPr>
                <w:sz w:val="18"/>
                <w:szCs w:val="18"/>
              </w:rPr>
              <w:t>Bank, SSN-Termin planen, Mietwagen abholen</w:t>
            </w:r>
          </w:p>
        </w:tc>
        <w:tc>
          <w:tcPr>
            <w:tcW w:w="21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BF" w14:textId="77777777" w:rsidR="00C1548D" w:rsidRDefault="009B1B4B">
            <w:pPr>
              <w:spacing w:line="250" w:lineRule="auto"/>
            </w:pPr>
            <w:r>
              <w:rPr>
                <w:sz w:val="18"/>
                <w:szCs w:val="18"/>
              </w:rPr>
              <w:t>Originale und I-94 mitnehmen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0" w14:textId="2EC7AF3B" w:rsidR="00C1548D" w:rsidRDefault="009B1B4B">
            <w:pPr>
              <w:spacing w:line="250" w:lineRule="auto"/>
            </w:pPr>
            <w:r>
              <w:rPr>
                <w:sz w:val="18"/>
                <w:szCs w:val="18"/>
              </w:rPr>
              <w:t>Kapitel </w:t>
            </w:r>
            <w:hyperlink w:anchor="k24" w:history="1">
              <w:r>
                <w:rPr>
                  <w:sz w:val="18"/>
                  <w:szCs w:val="18"/>
                </w:rPr>
                <w:t>24</w:t>
              </w:r>
            </w:hyperlink>
            <w:r>
              <w:rPr>
                <w:sz w:val="18"/>
                <w:szCs w:val="18"/>
              </w:rPr>
              <w:t xml:space="preserve">, </w:t>
            </w:r>
            <w:hyperlink w:anchor="k25" w:history="1">
              <w:r>
                <w:rPr>
                  <w:sz w:val="18"/>
                  <w:szCs w:val="18"/>
                </w:rPr>
                <w:t>25</w:t>
              </w:r>
            </w:hyperlink>
            <w:r>
              <w:rPr>
                <w:sz w:val="18"/>
                <w:szCs w:val="18"/>
              </w:rPr>
              <w:t xml:space="preserve">, </w:t>
            </w:r>
            <w:hyperlink w:anchor="k27" w:history="1">
              <w:r>
                <w:rPr>
                  <w:sz w:val="18"/>
                  <w:szCs w:val="18"/>
                </w:rPr>
                <w:t>27</w:t>
              </w:r>
            </w:hyperlink>
          </w:p>
        </w:tc>
      </w:tr>
      <w:tr w:rsidR="00C1548D" w14:paraId="70A4DAC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2" w14:textId="77777777" w:rsidR="00C1548D" w:rsidRDefault="009B1B4B">
            <w:pPr>
              <w:spacing w:line="250" w:lineRule="auto"/>
            </w:pPr>
            <w:r>
              <w:rPr>
                <w:sz w:val="18"/>
                <w:szCs w:val="18"/>
              </w:rPr>
              <w:t>36–48 Stunden</w:t>
            </w:r>
          </w:p>
        </w:tc>
        <w:tc>
          <w:tcPr>
            <w:tcW w:w="24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3" w14:textId="77777777" w:rsidR="00C1548D" w:rsidRDefault="009B1B4B">
            <w:pPr>
              <w:spacing w:line="250" w:lineRule="auto"/>
            </w:pPr>
            <w:r>
              <w:rPr>
                <w:sz w:val="18"/>
                <w:szCs w:val="18"/>
              </w:rPr>
              <w:t>Wohnungen und Arbeitsweg ansehen</w:t>
            </w:r>
          </w:p>
        </w:tc>
        <w:tc>
          <w:tcPr>
            <w:tcW w:w="21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4" w14:textId="77777777" w:rsidR="00C1548D" w:rsidRDefault="009B1B4B">
            <w:pPr>
              <w:spacing w:line="250" w:lineRule="auto"/>
            </w:pPr>
            <w:r>
              <w:rPr>
                <w:sz w:val="18"/>
                <w:szCs w:val="18"/>
              </w:rPr>
              <w:t>Nichts anzahlen vor Besichtigung und Vertrag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5" w14:textId="6065782E" w:rsidR="00C1548D" w:rsidRDefault="009B1B4B">
            <w:pPr>
              <w:spacing w:line="250" w:lineRule="auto"/>
            </w:pPr>
            <w:r>
              <w:rPr>
                <w:sz w:val="18"/>
                <w:szCs w:val="18"/>
              </w:rPr>
              <w:t>Kapitel </w:t>
            </w:r>
            <w:hyperlink w:anchor="k13" w:history="1">
              <w:r>
                <w:rPr>
                  <w:sz w:val="18"/>
                  <w:szCs w:val="18"/>
                </w:rPr>
                <w:t>13</w:t>
              </w:r>
            </w:hyperlink>
          </w:p>
        </w:tc>
      </w:tr>
      <w:tr w:rsidR="00C1548D" w14:paraId="70A4DAC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7" w14:textId="77777777" w:rsidR="00C1548D" w:rsidRDefault="009B1B4B">
            <w:pPr>
              <w:spacing w:line="250" w:lineRule="auto"/>
            </w:pPr>
            <w:r>
              <w:rPr>
                <w:sz w:val="18"/>
                <w:szCs w:val="18"/>
              </w:rPr>
              <w:t>48–60 Stunden</w:t>
            </w:r>
          </w:p>
        </w:tc>
        <w:tc>
          <w:tcPr>
            <w:tcW w:w="24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8" w14:textId="77777777" w:rsidR="00C1548D" w:rsidRDefault="009B1B4B">
            <w:pPr>
              <w:spacing w:line="250" w:lineRule="auto"/>
            </w:pPr>
            <w:r>
              <w:rPr>
                <w:sz w:val="18"/>
                <w:szCs w:val="18"/>
              </w:rPr>
              <w:t>Onboarding vorbereiten: I-9-Originale, Bankdaten, W-4-Fragen</w:t>
            </w:r>
          </w:p>
        </w:tc>
        <w:tc>
          <w:tcPr>
            <w:tcW w:w="21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9" w14:textId="77777777" w:rsidR="00C1548D" w:rsidRDefault="009B1B4B">
            <w:pPr>
              <w:spacing w:line="250" w:lineRule="auto"/>
            </w:pPr>
            <w:r>
              <w:rPr>
                <w:sz w:val="18"/>
                <w:szCs w:val="18"/>
              </w:rPr>
              <w:t>Startdatum und ersten Termin bestätigen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A" w14:textId="03A22FEC" w:rsidR="00C1548D" w:rsidRDefault="009B1B4B">
            <w:pPr>
              <w:spacing w:line="250" w:lineRule="auto"/>
            </w:pPr>
            <w:r>
              <w:rPr>
                <w:sz w:val="18"/>
                <w:szCs w:val="18"/>
              </w:rPr>
              <w:t>Kapitel </w:t>
            </w:r>
            <w:hyperlink w:anchor="k28" w:history="1">
              <w:r>
                <w:rPr>
                  <w:sz w:val="18"/>
                  <w:szCs w:val="18"/>
                </w:rPr>
                <w:t>28</w:t>
              </w:r>
            </w:hyperlink>
          </w:p>
        </w:tc>
      </w:tr>
      <w:tr w:rsidR="00C1548D" w14:paraId="70A4DAD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C" w14:textId="77777777" w:rsidR="00C1548D" w:rsidRDefault="009B1B4B">
            <w:pPr>
              <w:spacing w:line="250" w:lineRule="auto"/>
            </w:pPr>
            <w:r>
              <w:rPr>
                <w:sz w:val="18"/>
                <w:szCs w:val="18"/>
              </w:rPr>
              <w:t>60–72 Stunden</w:t>
            </w:r>
          </w:p>
        </w:tc>
        <w:tc>
          <w:tcPr>
            <w:tcW w:w="24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D" w14:textId="77777777" w:rsidR="00C1548D" w:rsidRDefault="009B1B4B">
            <w:pPr>
              <w:spacing w:line="250" w:lineRule="auto"/>
            </w:pPr>
            <w:r>
              <w:rPr>
                <w:sz w:val="18"/>
                <w:szCs w:val="18"/>
              </w:rPr>
              <w:t>Urgent Care, Kinderarzt, Apotheke heraussuchen; Wochenplan</w:t>
            </w:r>
          </w:p>
        </w:tc>
        <w:tc>
          <w:tcPr>
            <w:tcW w:w="21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E" w14:textId="77777777" w:rsidR="00C1548D" w:rsidRDefault="009B1B4B">
            <w:pPr>
              <w:spacing w:line="250" w:lineRule="auto"/>
            </w:pPr>
            <w:r>
              <w:rPr>
                <w:sz w:val="18"/>
                <w:szCs w:val="18"/>
              </w:rPr>
              <w:t>Versicherung womöglich noch nicht aktiv</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CF" w14:textId="43C7F80F" w:rsidR="00C1548D" w:rsidRDefault="009B1B4B">
            <w:pPr>
              <w:spacing w:line="250" w:lineRule="auto"/>
            </w:pPr>
            <w:r>
              <w:rPr>
                <w:sz w:val="18"/>
                <w:szCs w:val="18"/>
              </w:rPr>
              <w:t>Kapitel </w:t>
            </w:r>
            <w:hyperlink w:anchor="k26" w:history="1">
              <w:r>
                <w:rPr>
                  <w:sz w:val="18"/>
                  <w:szCs w:val="18"/>
                </w:rPr>
                <w:t>26</w:t>
              </w:r>
            </w:hyperlink>
          </w:p>
        </w:tc>
      </w:tr>
    </w:tbl>
    <w:p w14:paraId="70A4DAD1" w14:textId="77777777" w:rsidR="00C1548D" w:rsidRDefault="00C1548D">
      <w:pPr>
        <w:spacing w:line="180" w:lineRule="exact"/>
      </w:pPr>
    </w:p>
    <w:p w14:paraId="70A4DAD2"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p w14:paraId="70A4DAD3" w14:textId="77777777" w:rsidR="00C1548D" w:rsidRDefault="009B1B4B">
      <w:pPr>
        <w:spacing w:after="140"/>
      </w:pPr>
      <w:r>
        <w:t>Bewertet wird, so früh wie erlaubt zu landen – bis zu 10 Tage vor dem Startdatum.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AD6"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AD4"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AD5" w14:textId="77777777" w:rsidR="00C1548D" w:rsidRDefault="009B1B4B">
            <w:pPr>
              <w:spacing w:line="250" w:lineRule="auto"/>
            </w:pPr>
            <w:r>
              <w:rPr>
                <w:b/>
                <w:bCs/>
                <w:sz w:val="18"/>
                <w:szCs w:val="18"/>
              </w:rPr>
              <w:t>Minus</w:t>
            </w:r>
          </w:p>
        </w:tc>
      </w:tr>
      <w:tr w:rsidR="00C1548D" w14:paraId="70A4DAD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D7" w14:textId="77777777" w:rsidR="00C1548D" w:rsidRDefault="009B1B4B">
            <w:pPr>
              <w:spacing w:line="250" w:lineRule="auto"/>
            </w:pPr>
            <w:r>
              <w:rPr>
                <w:sz w:val="18"/>
                <w:szCs w:val="18"/>
              </w:rPr>
              <w:t>Zeit für Jetlag, Bank und Besichtigungen ohne Arbeitsdruck</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D8" w14:textId="77777777" w:rsidR="00C1548D" w:rsidRDefault="009B1B4B">
            <w:pPr>
              <w:spacing w:line="250" w:lineRule="auto"/>
            </w:pPr>
            <w:r>
              <w:rPr>
                <w:sz w:val="18"/>
                <w:szCs w:val="18"/>
              </w:rPr>
              <w:t>Kein Gehalt vor dem Startdatum, arbeiten darfst du noch nicht</w:t>
            </w:r>
          </w:p>
        </w:tc>
      </w:tr>
      <w:tr w:rsidR="00C1548D" w14:paraId="70A4DAD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DA" w14:textId="77777777" w:rsidR="00C1548D" w:rsidRDefault="009B1B4B">
            <w:pPr>
              <w:spacing w:line="250" w:lineRule="auto"/>
            </w:pPr>
            <w:r>
              <w:rPr>
                <w:sz w:val="18"/>
                <w:szCs w:val="18"/>
              </w:rPr>
              <w:t>Puffer bei Flugausfall oder zweiter Kontrolle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DB" w14:textId="77777777" w:rsidR="00C1548D" w:rsidRDefault="009B1B4B">
            <w:pPr>
              <w:spacing w:line="250" w:lineRule="auto"/>
            </w:pPr>
            <w:r>
              <w:rPr>
                <w:sz w:val="18"/>
                <w:szCs w:val="18"/>
              </w:rPr>
              <w:t>Mehr Tage für Unterkunft und Mietwagen</w:t>
            </w:r>
          </w:p>
        </w:tc>
      </w:tr>
      <w:tr w:rsidR="00C1548D" w14:paraId="70A4DAD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DD" w14:textId="77777777" w:rsidR="00C1548D" w:rsidRDefault="009B1B4B">
            <w:pPr>
              <w:spacing w:line="250" w:lineRule="auto"/>
            </w:pPr>
            <w:r>
              <w:rPr>
                <w:sz w:val="18"/>
                <w:szCs w:val="18"/>
              </w:rPr>
              <w:t>Zeit, den I-94 zu prüfen und Fehler zu korrigieren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DE" w14:textId="77777777" w:rsidR="00C1548D" w:rsidRDefault="009B1B4B">
            <w:pPr>
              <w:spacing w:line="250" w:lineRule="auto"/>
            </w:pPr>
            <w:r>
              <w:rPr>
                <w:sz w:val="18"/>
                <w:szCs w:val="18"/>
              </w:rPr>
              <w:t>Doppelte Kosten, solange Wohnung und Job in Deutschland laufen</w:t>
            </w:r>
          </w:p>
        </w:tc>
      </w:tr>
      <w:tr w:rsidR="00C1548D" w14:paraId="70A4DAE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E0" w14:textId="10AE5453" w:rsidR="00C1548D" w:rsidRDefault="009B1B4B">
            <w:pPr>
              <w:spacing w:line="250" w:lineRule="auto"/>
            </w:pPr>
            <w:r>
              <w:rPr>
                <w:sz w:val="18"/>
                <w:szCs w:val="18"/>
              </w:rPr>
              <w:t>Wohnung persönlich statt nach Fotos besichtigen (Kapitel </w:t>
            </w:r>
            <w:hyperlink w:anchor="k13" w:history="1">
              <w:r>
                <w:rPr>
                  <w:sz w:val="18"/>
                  <w:szCs w:val="18"/>
                </w:rPr>
                <w:t>13</w:t>
              </w:r>
            </w:hyperlink>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E1" w14:textId="77777777" w:rsidR="00C1548D" w:rsidRDefault="009B1B4B">
            <w:pPr>
              <w:spacing w:line="250" w:lineRule="auto"/>
            </w:pPr>
            <w:r>
              <w:rPr>
                <w:sz w:val="18"/>
                <w:szCs w:val="18"/>
              </w:rPr>
              <w:t>Wer den frühesten Landetag verrechnet, riskiert die Zurückweisung</w:t>
            </w:r>
          </w:p>
        </w:tc>
      </w:tr>
      <w:tr w:rsidR="00C1548D" w14:paraId="70A4DAE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E3" w14:textId="77777777" w:rsidR="00C1548D" w:rsidRDefault="009B1B4B">
            <w:pPr>
              <w:spacing w:line="250" w:lineRule="auto"/>
            </w:pPr>
            <w:r>
              <w:rPr>
                <w:sz w:val="18"/>
                <w:szCs w:val="18"/>
              </w:rPr>
              <w:t>Kinder erholen sich vor dem Start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AE4" w14:textId="77777777" w:rsidR="00C1548D" w:rsidRDefault="009B1B4B">
            <w:pPr>
              <w:spacing w:line="250" w:lineRule="auto"/>
            </w:pPr>
            <w:r>
              <w:rPr>
                <w:sz w:val="18"/>
                <w:szCs w:val="18"/>
              </w:rPr>
              <w:t>Leerlauf, wenn die Familie noch getrennt ist</w:t>
            </w:r>
          </w:p>
        </w:tc>
      </w:tr>
    </w:tbl>
    <w:p w14:paraId="70A4DAE6" w14:textId="77777777" w:rsidR="00C1548D" w:rsidRDefault="00C1548D">
      <w:pPr>
        <w:spacing w:line="180" w:lineRule="exact"/>
      </w:pPr>
    </w:p>
    <w:p w14:paraId="70A4DAE7"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AE8" w14:textId="77777777" w:rsidR="00C1548D" w:rsidRDefault="009B1B4B">
      <w:pPr>
        <w:spacing w:after="140"/>
      </w:pPr>
      <w:r>
        <w:t>Lege den Landetag anhand des Von-Datums im Genehmigungsbescheid fest, packe die Handgepäckmappe und richte vor dem Abflug die eSIM ein. Am Ankunftstag zählen nur drei Dinge: Einreise, I-94 abrufen, schlafen.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AF4"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AE9" w14:textId="77777777" w:rsidR="00C1548D" w:rsidRDefault="009B1B4B">
            <w:pPr>
              <w:keepNext/>
              <w:spacing w:after="70" w:line="240" w:lineRule="auto"/>
            </w:pPr>
            <w:r>
              <w:rPr>
                <w:b/>
                <w:bCs/>
                <w:color w:val="1F6F78"/>
                <w:spacing w:val="24"/>
                <w:sz w:val="16"/>
                <w:szCs w:val="16"/>
              </w:rPr>
              <w:lastRenderedPageBreak/>
              <w:t>CHECKLISTE</w:t>
            </w:r>
          </w:p>
          <w:p w14:paraId="70A4DAE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Landetag festgelegt (frühestens 10 Tage vor dem Von-Datum im Bescheid)</w:t>
            </w:r>
          </w:p>
          <w:p w14:paraId="70A4DAE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Handgepäckmappe gepackt: Pässe mit Visum, Bescheid im Original, Arbeitgeberbrief, Urkunden, Impfausweise</w:t>
            </w:r>
          </w:p>
          <w:p w14:paraId="70A4DAE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Digitale Kopien in der Cloud, Nummern von Personalabteilung und Anwalt auf Papier</w:t>
            </w:r>
          </w:p>
          <w:p w14:paraId="70A4DAE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Erste Unterkunft für mindestens fünf Nächte mit Stornierungsoption gebucht, Transfer geplant</w:t>
            </w:r>
          </w:p>
          <w:p w14:paraId="70A4DAE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eSIM oder Prepaid-SIM eingerichtet, deutsche Nummer als Zweit-SIM behalten</w:t>
            </w:r>
          </w:p>
          <w:p w14:paraId="70A4DAE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Kreditkarte dabei, 200–300 $ Bargeld, insgesamt unter 10.000 $</w:t>
            </w:r>
          </w:p>
          <w:p w14:paraId="70A4DAF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Am Ankunftstag den I-94 jedes Familienmitglieds abgerufen, geprüft und gesichert</w:t>
            </w:r>
          </w:p>
          <w:p w14:paraId="70A4DAF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911 und Adresse der Unterkunft im Handy, Auslandskrankenversicherung gilt ab Landung</w:t>
            </w:r>
          </w:p>
          <w:p w14:paraId="70A4DAF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Originale für die Form I-9 und Bankdaten für das Gehalt bereitgelegt</w:t>
            </w:r>
          </w:p>
          <w:p w14:paraId="70A4DAF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Erste Termine gebucht: Bank, SSN-Antrag, Wohnungsbesichtigungen</w:t>
            </w:r>
          </w:p>
        </w:tc>
      </w:tr>
    </w:tbl>
    <w:p w14:paraId="70A4DAF5" w14:textId="77777777" w:rsidR="00C1548D" w:rsidRDefault="00C1548D">
      <w:pPr>
        <w:spacing w:line="220" w:lineRule="exact"/>
      </w:pPr>
    </w:p>
    <w:p w14:paraId="70A4DAF6"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AF7" w14:textId="25995177" w:rsidR="00C1548D" w:rsidRDefault="009B1B4B" w:rsidP="009B1B4B">
      <w:pPr>
        <w:pStyle w:val="ListParagraph"/>
        <w:numPr>
          <w:ilvl w:val="0"/>
          <w:numId w:val="1"/>
        </w:numPr>
        <w:spacing w:after="60"/>
      </w:pPr>
      <w:r>
        <w:t>CBP — Einreise und Einreisenachweis I-94 (</w:t>
      </w:r>
      <w:hyperlink r:id="rId196" w:history="1">
        <w:r>
          <w:rPr>
            <w:color w:val="0563C1"/>
            <w:u w:val="single"/>
          </w:rPr>
          <w:t>cbp.gov/travel/international-visitors/i-94</w:t>
        </w:r>
      </w:hyperlink>
      <w:r>
        <w:t>)</w:t>
      </w:r>
    </w:p>
    <w:p w14:paraId="70A4DAF8" w14:textId="278519EA" w:rsidR="00C1548D" w:rsidRDefault="009B1B4B" w:rsidP="009B1B4B">
      <w:pPr>
        <w:pStyle w:val="ListParagraph"/>
        <w:numPr>
          <w:ilvl w:val="0"/>
          <w:numId w:val="1"/>
        </w:numPr>
        <w:spacing w:after="60"/>
      </w:pPr>
      <w:r>
        <w:t>CBP — Abruf des elektronischen I-94 (</w:t>
      </w:r>
      <w:hyperlink r:id="rId197" w:history="1">
        <w:r>
          <w:rPr>
            <w:color w:val="0563C1"/>
            <w:u w:val="single"/>
          </w:rPr>
          <w:t>i94.cbp.dhs.gov</w:t>
        </w:r>
      </w:hyperlink>
      <w:r>
        <w:t>)</w:t>
      </w:r>
    </w:p>
    <w:p w14:paraId="70A4DAF9" w14:textId="04C958C0" w:rsidR="00C1548D" w:rsidRDefault="009B1B4B" w:rsidP="009B1B4B">
      <w:pPr>
        <w:pStyle w:val="ListParagraph"/>
        <w:numPr>
          <w:ilvl w:val="0"/>
          <w:numId w:val="1"/>
        </w:numPr>
        <w:spacing w:after="60"/>
      </w:pPr>
      <w:r>
        <w:t>Federal Register — Biometrieregel bei Ein- und Ausreise, 27. Oktober 2025 (</w:t>
      </w:r>
      <w:hyperlink r:id="rId198" w:history="1">
        <w:r>
          <w:rPr>
            <w:color w:val="0563C1"/>
            <w:u w:val="single"/>
          </w:rPr>
          <w:t>federalregister.gov/d/2025-19655</w:t>
        </w:r>
      </w:hyperlink>
      <w:r>
        <w:t>)</w:t>
      </w:r>
    </w:p>
    <w:p w14:paraId="70A4DAFA" w14:textId="2E648FB0" w:rsidR="00C1548D" w:rsidRDefault="009B1B4B" w:rsidP="009B1B4B">
      <w:pPr>
        <w:pStyle w:val="ListParagraph"/>
        <w:numPr>
          <w:ilvl w:val="0"/>
          <w:numId w:val="1"/>
        </w:numPr>
        <w:spacing w:after="60"/>
      </w:pPr>
      <w:r>
        <w:t>USCIS — Form I-9 (</w:t>
      </w:r>
      <w:hyperlink r:id="rId199" w:history="1">
        <w:r>
          <w:rPr>
            <w:color w:val="0563C1"/>
            <w:u w:val="single"/>
          </w:rPr>
          <w:t>uscis.gov/i-9</w:t>
        </w:r>
      </w:hyperlink>
      <w:r>
        <w:t>)</w:t>
      </w:r>
    </w:p>
    <w:p w14:paraId="70A4DAFB" w14:textId="23A75FA7" w:rsidR="00C1548D" w:rsidRDefault="009B1B4B" w:rsidP="009B1B4B">
      <w:pPr>
        <w:pStyle w:val="ListParagraph"/>
        <w:numPr>
          <w:ilvl w:val="0"/>
          <w:numId w:val="1"/>
        </w:numPr>
        <w:spacing w:after="60"/>
      </w:pPr>
      <w:r>
        <w:t>IRS — Form W-4 (</w:t>
      </w:r>
      <w:hyperlink r:id="rId200" w:history="1">
        <w:r>
          <w:rPr>
            <w:color w:val="0563C1"/>
            <w:u w:val="single"/>
          </w:rPr>
          <w:t>irs.gov/forms-pubs/about-form-w-4</w:t>
        </w:r>
      </w:hyperlink>
      <w:r>
        <w:t>)</w:t>
      </w:r>
    </w:p>
    <w:p w14:paraId="70A4DAFC" w14:textId="03B2D1D0" w:rsidR="00C1548D" w:rsidRDefault="009B1B4B" w:rsidP="009B1B4B">
      <w:pPr>
        <w:pStyle w:val="ListParagraph"/>
        <w:numPr>
          <w:ilvl w:val="0"/>
          <w:numId w:val="1"/>
        </w:numPr>
        <w:spacing w:after="60"/>
      </w:pPr>
      <w:r>
        <w:t>Federal Trade Commission — Betrug melden (</w:t>
      </w:r>
      <w:hyperlink r:id="rId201" w:history="1">
        <w:r>
          <w:rPr>
            <w:color w:val="0563C1"/>
            <w:u w:val="single"/>
          </w:rPr>
          <w:t>reportfraud.ftc.gov</w:t>
        </w:r>
      </w:hyperlink>
      <w:r>
        <w:t>)</w:t>
      </w:r>
    </w:p>
    <w:p w14:paraId="70A4DAFD" w14:textId="58808528" w:rsidR="00C1548D" w:rsidRDefault="009B1B4B" w:rsidP="009B1B4B">
      <w:pPr>
        <w:pStyle w:val="ListParagraph"/>
        <w:numPr>
          <w:ilvl w:val="0"/>
          <w:numId w:val="1"/>
        </w:numPr>
        <w:spacing w:after="60"/>
      </w:pPr>
      <w:r>
        <w:lastRenderedPageBreak/>
        <w:t>Deutsche Botschaft und Konsulate in den USA — Hilfe im Notfall (</w:t>
      </w:r>
      <w:hyperlink r:id="rId202" w:history="1">
        <w:r>
          <w:rPr>
            <w:color w:val="0563C1"/>
            <w:u w:val="single"/>
          </w:rPr>
          <w:t>germany.info</w:t>
        </w:r>
      </w:hyperlink>
      <w:r>
        <w:t>)</w:t>
      </w:r>
    </w:p>
    <w:p w14:paraId="70A4DAF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01"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AFF" w14:textId="77777777" w:rsidR="00C1548D" w:rsidRDefault="009B1B4B">
            <w:pPr>
              <w:keepNext/>
              <w:spacing w:after="70" w:line="240" w:lineRule="auto"/>
            </w:pPr>
            <w:r>
              <w:rPr>
                <w:b/>
                <w:bCs/>
                <w:color w:val="6B7280"/>
                <w:spacing w:val="24"/>
                <w:sz w:val="16"/>
                <w:szCs w:val="16"/>
              </w:rPr>
              <w:t>STAND</w:t>
            </w:r>
          </w:p>
          <w:p w14:paraId="70A4DB00" w14:textId="6F4DF992" w:rsidR="00C1548D" w:rsidRDefault="009B1B4B">
            <w:pPr>
              <w:spacing w:after="80" w:line="264" w:lineRule="auto"/>
            </w:pPr>
            <w:r>
              <w:rPr>
                <w:sz w:val="20"/>
                <w:szCs w:val="20"/>
              </w:rPr>
              <w:t>September 2026. Diese Angaben ändern sich schnell: Kontroll- und Biometriepraxis von CBP (Regel seit 26. Dezember 2025, Geräterichtlinie seit Januar 2026), Ausgabe der Form I-9 (aktuell 01/20/25, zugelassen bis 31. Mai 2027), Preise für Unterkunft, Mietwagen und Mobilfunk sowie die H-1B-Regeln (Kapitel </w:t>
            </w:r>
            <w:hyperlink w:anchor="k5" w:history="1">
              <w:r>
                <w:rPr>
                  <w:sz w:val="20"/>
                  <w:szCs w:val="20"/>
                </w:rPr>
                <w:t>5</w:t>
              </w:r>
            </w:hyperlink>
            <w:r>
              <w:rPr>
                <w:sz w:val="20"/>
                <w:szCs w:val="20"/>
              </w:rPr>
              <w:t xml:space="preserve"> und </w:t>
            </w:r>
            <w:hyperlink w:anchor="k11" w:history="1">
              <w:r>
                <w:rPr>
                  <w:sz w:val="20"/>
                  <w:szCs w:val="20"/>
                </w:rPr>
                <w:t>11</w:t>
              </w:r>
            </w:hyperlink>
            <w:r>
              <w:rPr>
                <w:sz w:val="20"/>
                <w:szCs w:val="20"/>
              </w:rPr>
              <w:t>). Prüfe vor dem Abflug cbp.gov und die Reisehinweise des Auswärtigen Amts.</w:t>
            </w:r>
          </w:p>
        </w:tc>
      </w:tr>
    </w:tbl>
    <w:p w14:paraId="70A4DB02" w14:textId="77777777" w:rsidR="00C1548D" w:rsidRDefault="00C1548D">
      <w:pPr>
        <w:spacing w:line="220" w:lineRule="exact"/>
      </w:pPr>
    </w:p>
    <w:p w14:paraId="70A4DB03" w14:textId="77777777" w:rsidR="00C1548D" w:rsidRDefault="009B1B4B">
      <w:pPr>
        <w:pStyle w:val="Heading2"/>
        <w:keepNext/>
        <w:pageBreakBefore/>
        <w:jc w:val="center"/>
      </w:pPr>
      <w:bookmarkStart w:id="59" w:name="k24"/>
      <w:bookmarkStart w:id="60" w:name="_Toc241352478"/>
      <w:r>
        <w:rPr>
          <w:rFonts w:ascii="Amazon Ember" w:eastAsia="Amazon Ember" w:hAnsi="Amazon Ember" w:cs="Amazon Ember"/>
          <w:color w:val="0000FF"/>
          <w:sz w:val="36"/>
          <w:szCs w:val="36"/>
        </w:rPr>
        <w:lastRenderedPageBreak/>
        <w:t>Kapitel 24: Die Social Security Number (SSN) und die ITIN</w:t>
      </w:r>
      <w:bookmarkEnd w:id="59"/>
      <w:bookmarkEnd w:id="60"/>
    </w:p>
    <w:p w14:paraId="70A4DB04" w14:textId="77777777" w:rsidR="00C1548D" w:rsidRDefault="009B1B4B">
      <w:pPr>
        <w:spacing w:after="140"/>
      </w:pPr>
      <w:r>
        <w:t xml:space="preserve">Am ersten Arbeitstag schiebt dir die Personalabteilung ein Formular hin und fragt nach einer neunstelligen Zahl, die du vielleicht noch gar nicht hast: der </w:t>
      </w:r>
      <w:r>
        <w:rPr>
          <w:i/>
          <w:iCs/>
        </w:rPr>
        <w:t>Social Security Number</w:t>
      </w:r>
      <w:r>
        <w:t xml:space="preserve"> (SSN), der Sozialversicherungsnummer. Ohne sie läuft trotzdem schon vieles an – Job, Wohnungssuche, Handyvertrag –, nur eben mit Umwegen. Dieses Kapitel zeigt, wer eine SSN bekommt, wie du sie beantragst, wie du die ersten Wochen ohne sie überstehst und wann stattdessen eine ITIN reicht.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0B"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B05" w14:textId="77777777" w:rsidR="00C1548D" w:rsidRDefault="009B1B4B">
            <w:pPr>
              <w:keepNext/>
              <w:spacing w:after="70" w:line="240" w:lineRule="auto"/>
            </w:pPr>
            <w:r>
              <w:rPr>
                <w:b/>
                <w:bCs/>
                <w:color w:val="1F3A5F"/>
                <w:spacing w:val="24"/>
                <w:sz w:val="16"/>
                <w:szCs w:val="16"/>
              </w:rPr>
              <w:t>KURZ GESAGT</w:t>
            </w:r>
          </w:p>
          <w:p w14:paraId="70A4DB06" w14:textId="77777777" w:rsidR="00C1548D" w:rsidRDefault="009B1B4B" w:rsidP="009B1B4B">
            <w:pPr>
              <w:pStyle w:val="ListParagraph"/>
              <w:numPr>
                <w:ilvl w:val="0"/>
                <w:numId w:val="1"/>
              </w:numPr>
              <w:spacing w:after="50" w:line="264" w:lineRule="auto"/>
            </w:pPr>
            <w:r>
              <w:rPr>
                <w:sz w:val="20"/>
                <w:szCs w:val="20"/>
              </w:rPr>
              <w:t>Die SSN beantragst du mit Formular SS-5, meist persönlich im Büro der Sozialversicherungsbehörde SSA, frühestens 10 Tage nach der Einreise.</w:t>
            </w:r>
          </w:p>
          <w:p w14:paraId="70A4DB07" w14:textId="77777777" w:rsidR="00C1548D" w:rsidRDefault="009B1B4B" w:rsidP="009B1B4B">
            <w:pPr>
              <w:pStyle w:val="ListParagraph"/>
              <w:numPr>
                <w:ilvl w:val="0"/>
                <w:numId w:val="1"/>
              </w:numPr>
              <w:spacing w:after="50" w:line="264" w:lineRule="auto"/>
            </w:pPr>
            <w:r>
              <w:rPr>
                <w:sz w:val="20"/>
                <w:szCs w:val="20"/>
              </w:rPr>
              <w:t>Ob du eine SSN bekommst, hängt vom Visumstatus ab: Hauptantragsteller bei H-1B, L-1, E-2, O-1 und J-1 ja, mitreisende Familienmitglieder oft nur mit eigener Arbeitserlaubnis.</w:t>
            </w:r>
          </w:p>
          <w:p w14:paraId="70A4DB08" w14:textId="77777777" w:rsidR="00C1548D" w:rsidRDefault="009B1B4B" w:rsidP="009B1B4B">
            <w:pPr>
              <w:pStyle w:val="ListParagraph"/>
              <w:numPr>
                <w:ilvl w:val="0"/>
                <w:numId w:val="1"/>
              </w:numPr>
              <w:spacing w:after="50" w:line="264" w:lineRule="auto"/>
            </w:pPr>
            <w:r>
              <w:rPr>
                <w:sz w:val="20"/>
                <w:szCs w:val="20"/>
              </w:rPr>
              <w:t>Bank, Handy, Wohnung und Strom funktionieren auch ohne SSN – mit anderen Nachweisen.</w:t>
            </w:r>
          </w:p>
          <w:p w14:paraId="70A4DB09" w14:textId="77777777" w:rsidR="00C1548D" w:rsidRDefault="009B1B4B" w:rsidP="009B1B4B">
            <w:pPr>
              <w:pStyle w:val="ListParagraph"/>
              <w:numPr>
                <w:ilvl w:val="0"/>
                <w:numId w:val="1"/>
              </w:numPr>
              <w:spacing w:after="50" w:line="264" w:lineRule="auto"/>
            </w:pPr>
            <w:r>
              <w:rPr>
                <w:sz w:val="20"/>
                <w:szCs w:val="20"/>
              </w:rPr>
              <w:t>Wer keine SSN bekommt, etwa ein Ehepartner mit H-4 ohne Arbeitserlaubnis, braucht für die Steuererklärung eine ITIN (Formular W-7).</w:t>
            </w:r>
          </w:p>
          <w:p w14:paraId="70A4DB0A" w14:textId="77777777" w:rsidR="00C1548D" w:rsidRDefault="009B1B4B" w:rsidP="009B1B4B">
            <w:pPr>
              <w:pStyle w:val="ListParagraph"/>
              <w:numPr>
                <w:ilvl w:val="0"/>
                <w:numId w:val="1"/>
              </w:numPr>
              <w:spacing w:after="50" w:line="264" w:lineRule="auto"/>
            </w:pPr>
            <w:r>
              <w:rPr>
                <w:sz w:val="20"/>
                <w:szCs w:val="20"/>
              </w:rPr>
              <w:t xml:space="preserve">Schütze die SSN wie ein Passwort: </w:t>
            </w:r>
            <w:r>
              <w:rPr>
                <w:i/>
                <w:iCs/>
                <w:sz w:val="20"/>
                <w:szCs w:val="20"/>
              </w:rPr>
              <w:t>Credit Freeze</w:t>
            </w:r>
            <w:r>
              <w:rPr>
                <w:sz w:val="20"/>
                <w:szCs w:val="20"/>
              </w:rPr>
              <w:t xml:space="preserve"> und IRS-Identitätsschutz-PIN verhindern, dass Fremde sie missbrauchen.</w:t>
            </w:r>
          </w:p>
        </w:tc>
      </w:tr>
    </w:tbl>
    <w:p w14:paraId="70A4DB0C" w14:textId="77777777" w:rsidR="00C1548D" w:rsidRDefault="00C1548D">
      <w:pPr>
        <w:spacing w:line="220" w:lineRule="exact"/>
      </w:pPr>
    </w:p>
    <w:p w14:paraId="70A4DB0D" w14:textId="77777777" w:rsidR="00C1548D" w:rsidRDefault="009B1B4B">
      <w:pPr>
        <w:pStyle w:val="Heading3"/>
        <w:keepNext/>
        <w:jc w:val="center"/>
      </w:pPr>
      <w:r>
        <w:rPr>
          <w:rFonts w:ascii="Amazon Ember" w:eastAsia="Amazon Ember" w:hAnsi="Amazon Ember" w:cs="Amazon Ember"/>
          <w:color w:val="0000FF"/>
          <w:sz w:val="36"/>
          <w:szCs w:val="36"/>
        </w:rPr>
        <w:t>Was die SSN ist und wofür du sie brauchst</w:t>
      </w:r>
    </w:p>
    <w:p w14:paraId="70A4DB0E" w14:textId="77777777" w:rsidR="00C1548D" w:rsidRDefault="009B1B4B">
      <w:pPr>
        <w:spacing w:after="140"/>
      </w:pPr>
      <w:r>
        <w:t xml:space="preserve">Die SSN wurde 1936 eingeführt, um Beiträge zur gesetzlichen Rente zu verfolgen. Heute ist sie weit mehr: Arbeitgeber brauchen sie für Lohnsteuer und Meldung an die Sozialversicherung, Banken und </w:t>
      </w:r>
      <w:r>
        <w:lastRenderedPageBreak/>
        <w:t xml:space="preserve">Kreditkartenfirmen für die Bonitätsprüfung, Vermieter oft für den </w:t>
      </w:r>
      <w:r>
        <w:rPr>
          <w:i/>
          <w:iCs/>
        </w:rPr>
        <w:t>Credit Report</w:t>
      </w:r>
      <w:r>
        <w:t xml:space="preserve"> (die US-Schufa-Auskunft), und ohne sie öffnet keine Behörde ein Konto bei my Social Security. Kaum ein Formular in den ersten Monaten kommt ohne diese eine Zahl aus. Die Nummer besteht aus neun Ziffern (Format XXX-XX-XXXX), ausgegeben von der SSA.</w:t>
      </w:r>
    </w:p>
    <w:p w14:paraId="70A4DB0F" w14:textId="77777777" w:rsidR="00C1548D" w:rsidRDefault="009B1B4B">
      <w:pPr>
        <w:pStyle w:val="Heading3"/>
        <w:keepNext/>
        <w:jc w:val="center"/>
      </w:pPr>
      <w:r>
        <w:rPr>
          <w:rFonts w:ascii="Amazon Ember" w:eastAsia="Amazon Ember" w:hAnsi="Amazon Ember" w:cs="Amazon Ember"/>
          <w:color w:val="0000FF"/>
          <w:sz w:val="36"/>
          <w:szCs w:val="36"/>
        </w:rPr>
        <w:t>Vergleich: SSN, Steuer-ID und Rentenversicherungsnummer</w:t>
      </w:r>
    </w:p>
    <w:p w14:paraId="70A4DB10" w14:textId="77777777" w:rsidR="00C1548D" w:rsidRDefault="009B1B4B">
      <w:pPr>
        <w:spacing w:after="140"/>
      </w:pPr>
      <w:r>
        <w:t xml:space="preserve">Verbreiteter Irrtum: Die SSN sei so etwas wie die amerikanische Steuer-ID, nur mit anderem Namen. Tatsächlich steckt mehr dahinter – für deutsche Neuankömmlinge ist die SSN gewöhnungsbedürftig, weil Deutschland aus Datenschutzgründen bewusst kein einheitliches Personenkennzeichen hat. Die elfstellige </w:t>
      </w:r>
      <w:r>
        <w:rPr>
          <w:i/>
          <w:iCs/>
        </w:rPr>
        <w:t>Steuerliche Identifikationsnummer</w:t>
      </w:r>
      <w:r>
        <w:t xml:space="preserve"> (Steuer-ID) und die zwölfstellige Rentenversicherungsnummer sind getrennte Systeme mit getrenntem Zweck. Die SSN vereint beide Rollen – und wird zusätzlich als praktischer Generalausweis für Kredit, Miete und Handy genutzt. Genau das macht sie in den USA so nützlich und ihren Missbrauch so folgenreich.</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140"/>
        <w:gridCol w:w="1435"/>
        <w:gridCol w:w="1955"/>
      </w:tblGrid>
      <w:tr w:rsidR="00C1548D" w14:paraId="70A4DB15"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11" w14:textId="77777777" w:rsidR="00C1548D" w:rsidRDefault="009B1B4B">
            <w:pPr>
              <w:spacing w:line="250" w:lineRule="auto"/>
            </w:pPr>
            <w:r>
              <w:rPr>
                <w:b/>
                <w:bCs/>
                <w:sz w:val="18"/>
                <w:szCs w:val="18"/>
              </w:rPr>
              <w:t>Merkmal</w:t>
            </w:r>
          </w:p>
        </w:tc>
        <w:tc>
          <w:tcPr>
            <w:tcW w:w="21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12" w14:textId="77777777" w:rsidR="00C1548D" w:rsidRDefault="009B1B4B">
            <w:pPr>
              <w:spacing w:line="250" w:lineRule="auto"/>
            </w:pPr>
            <w:r>
              <w:rPr>
                <w:b/>
                <w:bCs/>
                <w:sz w:val="18"/>
                <w:szCs w:val="18"/>
              </w:rPr>
              <w:t>SSN (USA)</w:t>
            </w:r>
          </w:p>
        </w:tc>
        <w:tc>
          <w:tcPr>
            <w:tcW w:w="143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13" w14:textId="77777777" w:rsidR="00C1548D" w:rsidRDefault="009B1B4B">
            <w:pPr>
              <w:spacing w:line="250" w:lineRule="auto"/>
            </w:pPr>
            <w:r>
              <w:rPr>
                <w:b/>
                <w:bCs/>
                <w:sz w:val="18"/>
                <w:szCs w:val="18"/>
              </w:rPr>
              <w:t>Steuer-ID (Deutschland)</w:t>
            </w:r>
          </w:p>
        </w:tc>
        <w:tc>
          <w:tcPr>
            <w:tcW w:w="195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14" w14:textId="77777777" w:rsidR="00C1548D" w:rsidRDefault="009B1B4B">
            <w:pPr>
              <w:spacing w:line="250" w:lineRule="auto"/>
            </w:pPr>
            <w:r>
              <w:rPr>
                <w:b/>
                <w:bCs/>
                <w:sz w:val="18"/>
                <w:szCs w:val="18"/>
              </w:rPr>
              <w:t>Rentenversicherungsnummer (Deutschland)</w:t>
            </w:r>
          </w:p>
        </w:tc>
      </w:tr>
      <w:tr w:rsidR="00C1548D" w14:paraId="70A4DB1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16" w14:textId="77777777" w:rsidR="00C1548D" w:rsidRDefault="009B1B4B">
            <w:pPr>
              <w:spacing w:line="250" w:lineRule="auto"/>
            </w:pPr>
            <w:r>
              <w:rPr>
                <w:sz w:val="18"/>
                <w:szCs w:val="18"/>
              </w:rPr>
              <w:t>Vergeben von</w:t>
            </w:r>
          </w:p>
        </w:tc>
        <w:tc>
          <w:tcPr>
            <w:tcW w:w="2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17" w14:textId="77777777" w:rsidR="00C1548D" w:rsidRDefault="009B1B4B">
            <w:pPr>
              <w:spacing w:line="250" w:lineRule="auto"/>
            </w:pPr>
            <w:r>
              <w:rPr>
                <w:sz w:val="18"/>
                <w:szCs w:val="18"/>
              </w:rPr>
              <w:t>Sozialversicherungsbehörde SSA</w:t>
            </w:r>
          </w:p>
        </w:tc>
        <w:tc>
          <w:tcPr>
            <w:tcW w:w="14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18" w14:textId="77777777" w:rsidR="00C1548D" w:rsidRDefault="009B1B4B">
            <w:pPr>
              <w:spacing w:line="250" w:lineRule="auto"/>
            </w:pPr>
            <w:r>
              <w:rPr>
                <w:sz w:val="18"/>
                <w:szCs w:val="18"/>
              </w:rPr>
              <w:t>Bundeszentralamt für Steuern</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19" w14:textId="77777777" w:rsidR="00C1548D" w:rsidRDefault="009B1B4B">
            <w:pPr>
              <w:spacing w:line="250" w:lineRule="auto"/>
            </w:pPr>
            <w:r>
              <w:rPr>
                <w:sz w:val="18"/>
                <w:szCs w:val="18"/>
              </w:rPr>
              <w:t>Deutsche Rentenversicherung</w:t>
            </w:r>
          </w:p>
        </w:tc>
      </w:tr>
      <w:tr w:rsidR="00C1548D" w14:paraId="70A4DB1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1B" w14:textId="77777777" w:rsidR="00C1548D" w:rsidRDefault="009B1B4B">
            <w:pPr>
              <w:spacing w:line="250" w:lineRule="auto"/>
            </w:pPr>
            <w:r>
              <w:rPr>
                <w:sz w:val="18"/>
                <w:szCs w:val="18"/>
              </w:rPr>
              <w:t>Zweck</w:t>
            </w:r>
          </w:p>
        </w:tc>
        <w:tc>
          <w:tcPr>
            <w:tcW w:w="2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1C" w14:textId="77777777" w:rsidR="00C1548D" w:rsidRDefault="009B1B4B">
            <w:pPr>
              <w:spacing w:line="250" w:lineRule="auto"/>
            </w:pPr>
            <w:r>
              <w:rPr>
                <w:sz w:val="18"/>
                <w:szCs w:val="18"/>
              </w:rPr>
              <w:t>Sozialversicherung, Steuer, Arbeitsnachweis, faktisch auch Bonität</w:t>
            </w:r>
          </w:p>
        </w:tc>
        <w:tc>
          <w:tcPr>
            <w:tcW w:w="14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1D" w14:textId="77777777" w:rsidR="00C1548D" w:rsidRDefault="009B1B4B">
            <w:pPr>
              <w:spacing w:line="250" w:lineRule="auto"/>
            </w:pPr>
            <w:r>
              <w:rPr>
                <w:sz w:val="18"/>
                <w:szCs w:val="18"/>
              </w:rPr>
              <w:t>nur Steuerverfahren</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1E" w14:textId="77777777" w:rsidR="00C1548D" w:rsidRDefault="009B1B4B">
            <w:pPr>
              <w:spacing w:line="250" w:lineRule="auto"/>
            </w:pPr>
            <w:r>
              <w:rPr>
                <w:sz w:val="18"/>
                <w:szCs w:val="18"/>
              </w:rPr>
              <w:t>nur gesetzliche Rentenversicherung</w:t>
            </w:r>
          </w:p>
        </w:tc>
      </w:tr>
      <w:tr w:rsidR="00C1548D" w14:paraId="70A4DB2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20" w14:textId="77777777" w:rsidR="00C1548D" w:rsidRDefault="009B1B4B">
            <w:pPr>
              <w:spacing w:line="250" w:lineRule="auto"/>
            </w:pPr>
            <w:r>
              <w:rPr>
                <w:sz w:val="18"/>
                <w:szCs w:val="18"/>
              </w:rPr>
              <w:t>Format</w:t>
            </w:r>
          </w:p>
        </w:tc>
        <w:tc>
          <w:tcPr>
            <w:tcW w:w="2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21" w14:textId="77777777" w:rsidR="00C1548D" w:rsidRDefault="009B1B4B">
            <w:pPr>
              <w:spacing w:line="250" w:lineRule="auto"/>
            </w:pPr>
            <w:r>
              <w:rPr>
                <w:sz w:val="18"/>
                <w:szCs w:val="18"/>
              </w:rPr>
              <w:t>neun Ziffern</w:t>
            </w:r>
          </w:p>
        </w:tc>
        <w:tc>
          <w:tcPr>
            <w:tcW w:w="14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22" w14:textId="77777777" w:rsidR="00C1548D" w:rsidRDefault="009B1B4B">
            <w:pPr>
              <w:spacing w:line="250" w:lineRule="auto"/>
            </w:pPr>
            <w:r>
              <w:rPr>
                <w:sz w:val="18"/>
                <w:szCs w:val="18"/>
              </w:rPr>
              <w:t>elf Ziffern</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23" w14:textId="77777777" w:rsidR="00C1548D" w:rsidRDefault="009B1B4B">
            <w:pPr>
              <w:spacing w:line="250" w:lineRule="auto"/>
            </w:pPr>
            <w:r>
              <w:rPr>
                <w:sz w:val="18"/>
                <w:szCs w:val="18"/>
              </w:rPr>
              <w:t>zwölf Zeichen (Bereich, Geburtsdatum, Buchstabe, Prüfziffern)</w:t>
            </w:r>
          </w:p>
        </w:tc>
      </w:tr>
      <w:tr w:rsidR="00C1548D" w14:paraId="70A4DB2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25" w14:textId="77777777" w:rsidR="00C1548D" w:rsidRDefault="009B1B4B">
            <w:pPr>
              <w:spacing w:line="250" w:lineRule="auto"/>
            </w:pPr>
            <w:r>
              <w:rPr>
                <w:sz w:val="18"/>
                <w:szCs w:val="18"/>
              </w:rPr>
              <w:lastRenderedPageBreak/>
              <w:t>Wird verlangt bei</w:t>
            </w:r>
          </w:p>
        </w:tc>
        <w:tc>
          <w:tcPr>
            <w:tcW w:w="2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26" w14:textId="77777777" w:rsidR="00C1548D" w:rsidRDefault="009B1B4B">
            <w:pPr>
              <w:spacing w:line="250" w:lineRule="auto"/>
            </w:pPr>
            <w:r>
              <w:rPr>
                <w:sz w:val="18"/>
                <w:szCs w:val="18"/>
              </w:rPr>
              <w:t>Job, Bank, Kredit, Miete, Handy, Versicherung</w:t>
            </w:r>
          </w:p>
        </w:tc>
        <w:tc>
          <w:tcPr>
            <w:tcW w:w="14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27" w14:textId="77777777" w:rsidR="00C1548D" w:rsidRDefault="009B1B4B">
            <w:pPr>
              <w:spacing w:line="250" w:lineRule="auto"/>
            </w:pPr>
            <w:r>
              <w:rPr>
                <w:sz w:val="18"/>
                <w:szCs w:val="18"/>
              </w:rPr>
              <w:t>Finanzamt, Arbeitgeber, Kindergeldkasse</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28" w14:textId="77777777" w:rsidR="00C1548D" w:rsidRDefault="009B1B4B">
            <w:pPr>
              <w:spacing w:line="250" w:lineRule="auto"/>
            </w:pPr>
            <w:r>
              <w:rPr>
                <w:sz w:val="18"/>
                <w:szCs w:val="18"/>
              </w:rPr>
              <w:t>nur beim Arbeitgeber für die Rentenversicherung</w:t>
            </w:r>
          </w:p>
        </w:tc>
      </w:tr>
    </w:tbl>
    <w:p w14:paraId="70A4DB2A"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2D"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B2B" w14:textId="77777777" w:rsidR="00C1548D" w:rsidRDefault="009B1B4B">
            <w:pPr>
              <w:keepNext/>
              <w:spacing w:after="70" w:line="240" w:lineRule="auto"/>
            </w:pPr>
            <w:r>
              <w:rPr>
                <w:b/>
                <w:bCs/>
                <w:color w:val="8A6212"/>
                <w:spacing w:val="24"/>
                <w:sz w:val="16"/>
                <w:szCs w:val="16"/>
              </w:rPr>
              <w:t>MERKE</w:t>
            </w:r>
          </w:p>
          <w:p w14:paraId="70A4DB2C" w14:textId="77777777" w:rsidR="00C1548D" w:rsidRDefault="009B1B4B">
            <w:pPr>
              <w:spacing w:after="80" w:line="264" w:lineRule="auto"/>
            </w:pPr>
            <w:r>
              <w:rPr>
                <w:sz w:val="20"/>
                <w:szCs w:val="20"/>
              </w:rPr>
              <w:t>Gleiche Behörde bedeutet nicht gleiche Nummer, gleiche Nummer bedeutet nicht gleicher Schutz. Weil die SSN so vielseitig verlangt wird, ist ein Datenleck in den USA folgenreicher als der Verlust der deutschen Steuer-ID.</w:t>
            </w:r>
          </w:p>
        </w:tc>
      </w:tr>
    </w:tbl>
    <w:p w14:paraId="70A4DB2E" w14:textId="77777777" w:rsidR="00C1548D" w:rsidRDefault="00C1548D">
      <w:pPr>
        <w:spacing w:line="220" w:lineRule="exact"/>
      </w:pPr>
    </w:p>
    <w:p w14:paraId="70A4DB2F" w14:textId="77777777" w:rsidR="00C1548D" w:rsidRDefault="009B1B4B">
      <w:pPr>
        <w:pStyle w:val="Heading3"/>
        <w:keepNext/>
        <w:jc w:val="center"/>
      </w:pPr>
      <w:r>
        <w:rPr>
          <w:rFonts w:ascii="Amazon Ember" w:eastAsia="Amazon Ember" w:hAnsi="Amazon Ember" w:cs="Amazon Ember"/>
          <w:color w:val="0000FF"/>
          <w:sz w:val="36"/>
          <w:szCs w:val="36"/>
        </w:rPr>
        <w:t>Wer bekommt eine SSN – nach Visumtyp</w:t>
      </w:r>
    </w:p>
    <w:p w14:paraId="70A4DB30" w14:textId="77777777" w:rsidR="00C1548D" w:rsidRDefault="009B1B4B">
      <w:pPr>
        <w:spacing w:after="140"/>
      </w:pPr>
      <w:r>
        <w:t>Die SSA vergibt eine SSN „mit Arbeitserlaubnis“ nur, wenn der Status das Arbeiten in den USA erlaubt und du das mit einem passenden Dokument belegst (SSA-Regelwerk POMS RM 10211.420, Stand April 2026). Für Familienmitglieder ohne eigene Arbeitserlaubnis bearbeitet die SSA den Antrag grundsätzlich nicht.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1"/>
        <w:gridCol w:w="2358"/>
        <w:gridCol w:w="2501"/>
      </w:tblGrid>
      <w:tr w:rsidR="00C1548D" w14:paraId="70A4DB34" w14:textId="77777777">
        <w:tblPrEx>
          <w:tblCellMar>
            <w:top w:w="0" w:type="dxa"/>
            <w:bottom w:w="0" w:type="dxa"/>
          </w:tblCellMar>
        </w:tblPrEx>
        <w:trPr>
          <w:cantSplit/>
          <w:tblHeader/>
        </w:trPr>
        <w:tc>
          <w:tcPr>
            <w:tcW w:w="162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31" w14:textId="77777777" w:rsidR="00C1548D" w:rsidRDefault="009B1B4B">
            <w:pPr>
              <w:spacing w:line="250" w:lineRule="auto"/>
            </w:pPr>
            <w:r>
              <w:rPr>
                <w:b/>
                <w:bCs/>
                <w:sz w:val="18"/>
                <w:szCs w:val="18"/>
              </w:rPr>
              <w:t>Status</w:t>
            </w:r>
          </w:p>
        </w:tc>
        <w:tc>
          <w:tcPr>
            <w:tcW w:w="235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32" w14:textId="77777777" w:rsidR="00C1548D" w:rsidRDefault="009B1B4B">
            <w:pPr>
              <w:spacing w:line="250" w:lineRule="auto"/>
            </w:pPr>
            <w:r>
              <w:rPr>
                <w:b/>
                <w:bCs/>
                <w:sz w:val="18"/>
                <w:szCs w:val="18"/>
              </w:rPr>
              <w:t>SSN mit Arbeitserlaubnis?</w:t>
            </w:r>
          </w:p>
        </w:tc>
        <w:tc>
          <w:tcPr>
            <w:tcW w:w="250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33" w14:textId="77777777" w:rsidR="00C1548D" w:rsidRDefault="009B1B4B">
            <w:pPr>
              <w:spacing w:line="250" w:lineRule="auto"/>
            </w:pPr>
            <w:r>
              <w:rPr>
                <w:b/>
                <w:bCs/>
                <w:sz w:val="18"/>
                <w:szCs w:val="18"/>
              </w:rPr>
              <w:t>Nachweis</w:t>
            </w:r>
          </w:p>
        </w:tc>
      </w:tr>
      <w:tr w:rsidR="00C1548D" w14:paraId="70A4DB38" w14:textId="77777777">
        <w:tblPrEx>
          <w:tblCellMar>
            <w:top w:w="0" w:type="dxa"/>
            <w:bottom w:w="0" w:type="dxa"/>
          </w:tblCellMar>
        </w:tblPrEx>
        <w:trPr>
          <w:cantSplit/>
        </w:trPr>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35" w14:textId="77777777" w:rsidR="00C1548D" w:rsidRDefault="009B1B4B">
            <w:pPr>
              <w:spacing w:line="250" w:lineRule="auto"/>
            </w:pPr>
            <w:r>
              <w:rPr>
                <w:sz w:val="18"/>
                <w:szCs w:val="18"/>
              </w:rPr>
              <w:t>H-1B, L-1, E-2, O-1 (Hauptantragsteller)</w:t>
            </w:r>
          </w:p>
        </w:tc>
        <w:tc>
          <w:tcPr>
            <w:tcW w:w="23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36" w14:textId="77777777" w:rsidR="00C1548D" w:rsidRDefault="009B1B4B">
            <w:pPr>
              <w:spacing w:line="250" w:lineRule="auto"/>
            </w:pPr>
            <w:r>
              <w:rPr>
                <w:sz w:val="18"/>
                <w:szCs w:val="18"/>
              </w:rPr>
              <w:t>Ja, automatisch mit dem Status</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37" w14:textId="77777777" w:rsidR="00C1548D" w:rsidRDefault="009B1B4B">
            <w:pPr>
              <w:spacing w:line="250" w:lineRule="auto"/>
            </w:pPr>
            <w:r>
              <w:rPr>
                <w:sz w:val="18"/>
                <w:szCs w:val="18"/>
              </w:rPr>
              <w:t>I-94 mit passender Klasse</w:t>
            </w:r>
          </w:p>
        </w:tc>
      </w:tr>
      <w:tr w:rsidR="00C1548D" w14:paraId="70A4DB3C" w14:textId="77777777">
        <w:tblPrEx>
          <w:tblCellMar>
            <w:top w:w="0" w:type="dxa"/>
            <w:bottom w:w="0" w:type="dxa"/>
          </w:tblCellMar>
        </w:tblPrEx>
        <w:trPr>
          <w:cantSplit/>
        </w:trPr>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39" w14:textId="77777777" w:rsidR="00C1548D" w:rsidRDefault="009B1B4B">
            <w:pPr>
              <w:spacing w:line="250" w:lineRule="auto"/>
            </w:pPr>
            <w:r>
              <w:rPr>
                <w:sz w:val="18"/>
                <w:szCs w:val="18"/>
              </w:rPr>
              <w:t>H-4 (Ehepartner/Kinder)</w:t>
            </w:r>
          </w:p>
        </w:tc>
        <w:tc>
          <w:tcPr>
            <w:tcW w:w="23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3A" w14:textId="77777777" w:rsidR="00C1548D" w:rsidRDefault="009B1B4B">
            <w:pPr>
              <w:spacing w:line="250" w:lineRule="auto"/>
            </w:pPr>
            <w:r>
              <w:rPr>
                <w:sz w:val="18"/>
                <w:szCs w:val="18"/>
              </w:rPr>
              <w:t>Nur mit eigener Arbeitserlaubnis (EAD, Kategorie C-26)</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3B" w14:textId="77777777" w:rsidR="00C1548D" w:rsidRDefault="009B1B4B">
            <w:pPr>
              <w:spacing w:line="250" w:lineRule="auto"/>
            </w:pPr>
            <w:r>
              <w:rPr>
                <w:sz w:val="18"/>
                <w:szCs w:val="18"/>
              </w:rPr>
              <w:t>sonst keine SSN</w:t>
            </w:r>
          </w:p>
        </w:tc>
      </w:tr>
      <w:tr w:rsidR="00C1548D" w14:paraId="70A4DB40" w14:textId="77777777">
        <w:tblPrEx>
          <w:tblCellMar>
            <w:top w:w="0" w:type="dxa"/>
            <w:bottom w:w="0" w:type="dxa"/>
          </w:tblCellMar>
        </w:tblPrEx>
        <w:trPr>
          <w:cantSplit/>
        </w:trPr>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3D" w14:textId="77777777" w:rsidR="00C1548D" w:rsidRDefault="009B1B4B">
            <w:pPr>
              <w:spacing w:line="250" w:lineRule="auto"/>
            </w:pPr>
            <w:r>
              <w:rPr>
                <w:sz w:val="18"/>
                <w:szCs w:val="18"/>
              </w:rPr>
              <w:t>L-2/L-2S, E-2S (Ehepartner)</w:t>
            </w:r>
          </w:p>
        </w:tc>
        <w:tc>
          <w:tcPr>
            <w:tcW w:w="23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3E" w14:textId="77777777" w:rsidR="00C1548D" w:rsidRDefault="009B1B4B">
            <w:pPr>
              <w:spacing w:line="250" w:lineRule="auto"/>
            </w:pPr>
            <w:r>
              <w:rPr>
                <w:sz w:val="18"/>
                <w:szCs w:val="18"/>
              </w:rPr>
              <w:t>Ja, automatisch mit dem Status</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3F" w14:textId="77777777" w:rsidR="00C1548D" w:rsidRDefault="009B1B4B">
            <w:pPr>
              <w:spacing w:line="250" w:lineRule="auto"/>
            </w:pPr>
            <w:r>
              <w:rPr>
                <w:sz w:val="18"/>
                <w:szCs w:val="18"/>
              </w:rPr>
              <w:t>I-94 mit L-2/L-2S bzw. E-2S</w:t>
            </w:r>
          </w:p>
        </w:tc>
      </w:tr>
      <w:tr w:rsidR="00C1548D" w14:paraId="70A4DB44" w14:textId="77777777">
        <w:tblPrEx>
          <w:tblCellMar>
            <w:top w:w="0" w:type="dxa"/>
            <w:bottom w:w="0" w:type="dxa"/>
          </w:tblCellMar>
        </w:tblPrEx>
        <w:trPr>
          <w:cantSplit/>
        </w:trPr>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1" w14:textId="77777777" w:rsidR="00C1548D" w:rsidRDefault="009B1B4B">
            <w:pPr>
              <w:spacing w:line="250" w:lineRule="auto"/>
            </w:pPr>
            <w:r>
              <w:rPr>
                <w:sz w:val="18"/>
                <w:szCs w:val="18"/>
              </w:rPr>
              <w:t>J-1</w:t>
            </w:r>
          </w:p>
        </w:tc>
        <w:tc>
          <w:tcPr>
            <w:tcW w:w="23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2" w14:textId="77777777" w:rsidR="00C1548D" w:rsidRDefault="009B1B4B">
            <w:pPr>
              <w:spacing w:line="250" w:lineRule="auto"/>
            </w:pPr>
            <w:r>
              <w:rPr>
                <w:sz w:val="18"/>
                <w:szCs w:val="18"/>
              </w:rPr>
              <w:t>Ja, als Teil des Austauschprogramms</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3" w14:textId="77777777" w:rsidR="00C1548D" w:rsidRDefault="009B1B4B">
            <w:pPr>
              <w:spacing w:line="250" w:lineRule="auto"/>
            </w:pPr>
            <w:r>
              <w:rPr>
                <w:sz w:val="18"/>
                <w:szCs w:val="18"/>
              </w:rPr>
              <w:t>DS-2019/I-94, bei Studierenden meist Sponsorbrief</w:t>
            </w:r>
          </w:p>
        </w:tc>
      </w:tr>
      <w:tr w:rsidR="00C1548D" w14:paraId="70A4DB48" w14:textId="77777777">
        <w:tblPrEx>
          <w:tblCellMar>
            <w:top w:w="0" w:type="dxa"/>
            <w:bottom w:w="0" w:type="dxa"/>
          </w:tblCellMar>
        </w:tblPrEx>
        <w:trPr>
          <w:cantSplit/>
        </w:trPr>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5" w14:textId="77777777" w:rsidR="00C1548D" w:rsidRDefault="009B1B4B">
            <w:pPr>
              <w:spacing w:line="250" w:lineRule="auto"/>
            </w:pPr>
            <w:r>
              <w:rPr>
                <w:sz w:val="18"/>
                <w:szCs w:val="18"/>
              </w:rPr>
              <w:t>J-2 (Ehepartner/Kinder)</w:t>
            </w:r>
          </w:p>
        </w:tc>
        <w:tc>
          <w:tcPr>
            <w:tcW w:w="23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6" w14:textId="77777777" w:rsidR="00C1548D" w:rsidRDefault="009B1B4B">
            <w:pPr>
              <w:spacing w:line="250" w:lineRule="auto"/>
            </w:pPr>
            <w:r>
              <w:rPr>
                <w:sz w:val="18"/>
                <w:szCs w:val="18"/>
              </w:rPr>
              <w:t>Nur mit eigener Arbeitserlaubnis (EAD)</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7" w14:textId="77777777" w:rsidR="00C1548D" w:rsidRDefault="009B1B4B">
            <w:pPr>
              <w:spacing w:line="250" w:lineRule="auto"/>
            </w:pPr>
            <w:r>
              <w:rPr>
                <w:sz w:val="18"/>
                <w:szCs w:val="18"/>
              </w:rPr>
              <w:t>sonst keine SSN</w:t>
            </w:r>
          </w:p>
        </w:tc>
      </w:tr>
      <w:tr w:rsidR="00C1548D" w14:paraId="70A4DB4C" w14:textId="77777777">
        <w:tblPrEx>
          <w:tblCellMar>
            <w:top w:w="0" w:type="dxa"/>
            <w:bottom w:w="0" w:type="dxa"/>
          </w:tblCellMar>
        </w:tblPrEx>
        <w:trPr>
          <w:cantSplit/>
        </w:trPr>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9" w14:textId="77777777" w:rsidR="00C1548D" w:rsidRDefault="009B1B4B">
            <w:pPr>
              <w:spacing w:line="250" w:lineRule="auto"/>
            </w:pPr>
            <w:r>
              <w:rPr>
                <w:sz w:val="18"/>
                <w:szCs w:val="18"/>
              </w:rPr>
              <w:lastRenderedPageBreak/>
              <w:t>F-1</w:t>
            </w:r>
          </w:p>
        </w:tc>
        <w:tc>
          <w:tcPr>
            <w:tcW w:w="23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A" w14:textId="77777777" w:rsidR="00C1548D" w:rsidRDefault="009B1B4B">
            <w:pPr>
              <w:spacing w:line="250" w:lineRule="auto"/>
            </w:pPr>
            <w:r>
              <w:rPr>
                <w:sz w:val="18"/>
                <w:szCs w:val="18"/>
              </w:rPr>
              <w:t>Nur mit Arbeitsnachweis</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B" w14:textId="77777777" w:rsidR="00C1548D" w:rsidRDefault="009B1B4B">
            <w:pPr>
              <w:spacing w:line="250" w:lineRule="auto"/>
            </w:pPr>
            <w:r>
              <w:rPr>
                <w:sz w:val="18"/>
                <w:szCs w:val="18"/>
              </w:rPr>
              <w:t>on-campus: I-20 + Jobnachweis; CPT: I-20; OPT: EAD (Kategorie C-3)</w:t>
            </w:r>
          </w:p>
        </w:tc>
      </w:tr>
      <w:tr w:rsidR="00C1548D" w14:paraId="70A4DB50" w14:textId="77777777">
        <w:tblPrEx>
          <w:tblCellMar>
            <w:top w:w="0" w:type="dxa"/>
            <w:bottom w:w="0" w:type="dxa"/>
          </w:tblCellMar>
        </w:tblPrEx>
        <w:trPr>
          <w:cantSplit/>
        </w:trPr>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D" w14:textId="77777777" w:rsidR="00C1548D" w:rsidRDefault="009B1B4B">
            <w:pPr>
              <w:spacing w:line="250" w:lineRule="auto"/>
            </w:pPr>
            <w:r>
              <w:rPr>
                <w:sz w:val="18"/>
                <w:szCs w:val="18"/>
              </w:rPr>
              <w:t>Green Card (Immigrant Visa, Einreise)</w:t>
            </w:r>
          </w:p>
        </w:tc>
        <w:tc>
          <w:tcPr>
            <w:tcW w:w="23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E" w14:textId="77777777" w:rsidR="00C1548D" w:rsidRDefault="009B1B4B">
            <w:pPr>
              <w:spacing w:line="250" w:lineRule="auto"/>
            </w:pPr>
            <w:r>
              <w:rPr>
                <w:sz w:val="18"/>
                <w:szCs w:val="18"/>
              </w:rPr>
              <w:t>Ja, automatisch</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4F" w14:textId="77777777" w:rsidR="00C1548D" w:rsidRDefault="009B1B4B">
            <w:pPr>
              <w:spacing w:line="250" w:lineRule="auto"/>
            </w:pPr>
            <w:r>
              <w:rPr>
                <w:sz w:val="18"/>
                <w:szCs w:val="18"/>
              </w:rPr>
              <w:t>Antrag im DS-260 (siehe unten)</w:t>
            </w:r>
          </w:p>
        </w:tc>
      </w:tr>
    </w:tbl>
    <w:p w14:paraId="70A4DB51" w14:textId="77777777" w:rsidR="00C1548D" w:rsidRDefault="00C1548D">
      <w:pPr>
        <w:spacing w:line="180" w:lineRule="exact"/>
      </w:pPr>
    </w:p>
    <w:p w14:paraId="70A4DB52" w14:textId="5B6CD15D" w:rsidR="00C1548D" w:rsidRDefault="009B1B4B">
      <w:pPr>
        <w:spacing w:after="140"/>
      </w:pPr>
      <w:r>
        <w:t xml:space="preserve">Ein Kind mit L-2 oder E-2S ist selbst arbeitsberechtigt und bekommt daher eine SSN; ein H-4- oder J-2-Kind unter 21 ohne eigene EAD in der Regel nicht (dazu unten mehr). Für Green-Card-Inhaber über </w:t>
      </w:r>
      <w:r>
        <w:rPr>
          <w:i/>
          <w:iCs/>
        </w:rPr>
        <w:t>Adjustment of Status</w:t>
      </w:r>
      <w:r>
        <w:t xml:space="preserve"> (Statuswechsel im Land, Formular I-485, Kapitel </w:t>
      </w:r>
      <w:hyperlink w:anchor="k6" w:history="1">
        <w:r>
          <w:t>6</w:t>
        </w:r>
      </w:hyperlink>
      <w:r>
        <w:t>) läuft die SSN-Vergabe weiterhin automatisch über USCIS und SSA.</w:t>
      </w:r>
    </w:p>
    <w:p w14:paraId="70A4DB53" w14:textId="77777777" w:rsidR="00C1548D" w:rsidRDefault="009B1B4B">
      <w:pPr>
        <w:pStyle w:val="Heading3"/>
        <w:keepNext/>
        <w:jc w:val="center"/>
      </w:pPr>
      <w:r>
        <w:rPr>
          <w:rFonts w:ascii="Amazon Ember" w:eastAsia="Amazon Ember" w:hAnsi="Amazon Ember" w:cs="Amazon Ember"/>
          <w:color w:val="0000FF"/>
          <w:sz w:val="36"/>
          <w:szCs w:val="36"/>
        </w:rPr>
        <w:t>Der Antrag: SS-5 Schritt für Schritt</w:t>
      </w:r>
    </w:p>
    <w:p w14:paraId="70A4DB54" w14:textId="77777777" w:rsidR="00C1548D" w:rsidRDefault="009B1B4B" w:rsidP="009B1B4B">
      <w:pPr>
        <w:pStyle w:val="ListParagraph"/>
        <w:numPr>
          <w:ilvl w:val="0"/>
          <w:numId w:val="27"/>
        </w:numPr>
        <w:spacing w:after="60"/>
      </w:pPr>
      <w:r>
        <w:rPr>
          <w:b/>
          <w:bCs/>
        </w:rPr>
        <w:t>Warten.</w:t>
      </w:r>
      <w:r>
        <w:t xml:space="preserve"> Beantrage die SSN frühestens 10 Tage nach der Einreise. CBP übermittelt deine Einreisedaten erst mit Verzögerung an die SSA; ohne diesen Eintrag im System lehnt die SSA den Antrag ab oder verzögert ihn. Studierende brauchen zusätzlich einen aktiven SEVIS-Datensatz.</w:t>
      </w:r>
    </w:p>
    <w:p w14:paraId="70A4DB55" w14:textId="7B0E4E52" w:rsidR="00C1548D" w:rsidRDefault="009B1B4B" w:rsidP="009B1B4B">
      <w:pPr>
        <w:pStyle w:val="ListParagraph"/>
        <w:numPr>
          <w:ilvl w:val="0"/>
          <w:numId w:val="27"/>
        </w:numPr>
        <w:spacing w:after="60"/>
      </w:pPr>
      <w:r>
        <w:rPr>
          <w:b/>
          <w:bCs/>
        </w:rPr>
        <w:t>Unterlagen zusammenstellen.</w:t>
      </w:r>
      <w:r>
        <w:t xml:space="preserve"> Reisepass im Original, Visum, ausgedruckter I-94 (i94.cbp.dhs.gov, siehe Kapitel </w:t>
      </w:r>
      <w:hyperlink w:anchor="k23" w:history="1">
        <w:r>
          <w:t>23</w:t>
        </w:r>
      </w:hyperlink>
      <w:r>
        <w:t>), Genehmigungsbescheid I-797, ausgefülltes Formular SS-5 (Ausgabe 12-2024), bei Studierenden ergänzend I-20 oder DS-2019 mit Bestätigung der Hochschule. Ein Arbeitgeberbrief mit Startdatum ist nicht immer Pflicht, wird aber empfohlen und von manchen Büros trotzdem verlangt.</w:t>
      </w:r>
    </w:p>
    <w:p w14:paraId="70A4DB56" w14:textId="77777777" w:rsidR="00C1548D" w:rsidRDefault="009B1B4B" w:rsidP="009B1B4B">
      <w:pPr>
        <w:pStyle w:val="ListParagraph"/>
        <w:numPr>
          <w:ilvl w:val="0"/>
          <w:numId w:val="27"/>
        </w:numPr>
        <w:spacing w:after="60"/>
      </w:pPr>
      <w:r>
        <w:rPr>
          <w:b/>
          <w:bCs/>
        </w:rPr>
        <w:t>Termin im SSA-Büro.</w:t>
      </w:r>
      <w:r>
        <w:t xml:space="preserve"> Die meisten Büros arbeiten mit Termin; Wartezeiten schwanken stark je nach Standort. Für Nichtbürger läuft der Antrag 2026 weiterhin über den persönlichen Termin oder den Postweg – die seit Februar 2026 angebotene vollständig digitale Beantragung gilt bislang nur für bestimmte Ersatzkarten- und Namensänderungsfälle von US-Bürgern mit US-Adresse.</w:t>
      </w:r>
    </w:p>
    <w:p w14:paraId="70A4DB57" w14:textId="77777777" w:rsidR="00C1548D" w:rsidRDefault="009B1B4B" w:rsidP="009B1B4B">
      <w:pPr>
        <w:pStyle w:val="ListParagraph"/>
        <w:numPr>
          <w:ilvl w:val="0"/>
          <w:numId w:val="27"/>
        </w:numPr>
        <w:spacing w:after="60"/>
      </w:pPr>
      <w:r>
        <w:rPr>
          <w:b/>
          <w:bCs/>
        </w:rPr>
        <w:lastRenderedPageBreak/>
        <w:t>Bearbeitung abwarten.</w:t>
      </w:r>
      <w:r>
        <w:t xml:space="preserve"> Nach dem Termin dauert es meist 10 bis 14 Tage, bei H-1B-Fällen laut Kanzleien eher 2 bis 3 Wochen, bei zusätzlicher Prüfung 1 bis 3 Monate. Die Karte kommt per Post an deine US-Adresse, nicht sofort am Schalter.</w:t>
      </w:r>
    </w:p>
    <w:p w14:paraId="70A4DB58" w14:textId="77777777" w:rsidR="00C1548D" w:rsidRDefault="00C1548D">
      <w:pPr>
        <w:spacing w:line="120" w:lineRule="exact"/>
      </w:pPr>
    </w:p>
    <w:p w14:paraId="70A4DB59" w14:textId="77777777" w:rsidR="00C1548D" w:rsidRDefault="009B1B4B">
      <w:pPr>
        <w:spacing w:after="140"/>
      </w:pPr>
      <w:r>
        <w:t>Bei einer Green Card über das Konsulat (</w:t>
      </w:r>
      <w:r>
        <w:rPr>
          <w:i/>
          <w:iCs/>
        </w:rPr>
        <w:t>Immigrant Visa</w:t>
      </w:r>
      <w:r>
        <w:t>) läuft es anders: Der SSN-Antrag steckt bereits im Formular DS-260 (</w:t>
      </w:r>
      <w:r>
        <w:rPr>
          <w:i/>
          <w:iCs/>
        </w:rPr>
        <w:t>Enumeration at Entry</w:t>
      </w:r>
      <w:r>
        <w:t>), du musst dafür die SSN-Option ankreuzen und eine gültige US-Adresse angeben. Nach der Einreise übermittelt das Heimatschutzministerium (DHS) die Daten automatisch an die SSA; die Karte kommt 7 bis 10 Werktage nach der Ankunft, ohne Büro-Besuch.</w:t>
      </w:r>
    </w:p>
    <w:p w14:paraId="70A4DB5A" w14:textId="77777777" w:rsidR="00C1548D" w:rsidRDefault="009B1B4B">
      <w:pPr>
        <w:spacing w:after="140"/>
      </w:pPr>
      <w:r>
        <w:t>Die automatische SSN-Vergabe über USCIS-Anträge (</w:t>
      </w:r>
      <w:r>
        <w:rPr>
          <w:i/>
          <w:iCs/>
        </w:rPr>
        <w:t>Enumeration Beyond Entry</w:t>
      </w:r>
      <w:r>
        <w:t>, EBE, etwa bei I-765-Arbeitserlaubnissen oder der Einbürgerung) ist seit dem 19. März 2025 ausgesetzt; wer betroffen ist, muss weiterhin persönlich zur SSA. Eine Wiederaufnahme war bis zum Stand dieses Kapitels nicht bestätigt – prüfe den aktuellen Stand vor dem Termin.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5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B5B" w14:textId="77777777" w:rsidR="00C1548D" w:rsidRDefault="009B1B4B">
            <w:pPr>
              <w:keepNext/>
              <w:spacing w:after="70" w:line="240" w:lineRule="auto"/>
            </w:pPr>
            <w:r>
              <w:rPr>
                <w:b/>
                <w:bCs/>
                <w:color w:val="9B2C2C"/>
                <w:spacing w:val="24"/>
                <w:sz w:val="16"/>
                <w:szCs w:val="16"/>
              </w:rPr>
              <w:t>ACHTUNG</w:t>
            </w:r>
          </w:p>
          <w:p w14:paraId="70A4DB5C" w14:textId="77777777" w:rsidR="00C1548D" w:rsidRDefault="009B1B4B">
            <w:pPr>
              <w:spacing w:after="80" w:line="264" w:lineRule="auto"/>
            </w:pPr>
            <w:r>
              <w:rPr>
                <w:sz w:val="20"/>
                <w:szCs w:val="20"/>
              </w:rPr>
              <w:t>Ein zu früher Antrag scheitert. Ohne den I-94-Eintrag im SSA-System wird der Antrag abgelehnt oder verschleppt; warte die 10 Tage ab, auch wenn Arbeitgeber oder Bank drängen.</w:t>
            </w:r>
          </w:p>
        </w:tc>
      </w:tr>
    </w:tbl>
    <w:p w14:paraId="70A4DB5E"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61"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B5F" w14:textId="77777777" w:rsidR="00C1548D" w:rsidRDefault="009B1B4B">
            <w:pPr>
              <w:keepNext/>
              <w:spacing w:after="70" w:line="240" w:lineRule="auto"/>
            </w:pPr>
            <w:r>
              <w:rPr>
                <w:b/>
                <w:bCs/>
                <w:color w:val="2F6B3B"/>
                <w:spacing w:val="24"/>
                <w:sz w:val="16"/>
                <w:szCs w:val="16"/>
              </w:rPr>
              <w:t>SPARTIPP</w:t>
            </w:r>
          </w:p>
          <w:p w14:paraId="70A4DB60" w14:textId="77777777" w:rsidR="00C1548D" w:rsidRDefault="009B1B4B">
            <w:pPr>
              <w:spacing w:after="80" w:line="264" w:lineRule="auto"/>
            </w:pPr>
            <w:r>
              <w:rPr>
                <w:sz w:val="20"/>
                <w:szCs w:val="20"/>
              </w:rPr>
              <w:t>Die SSA verlangt für SS-5 und Ersatzkarte keine Gebühr. Websites, die Geld für „schnellere Bearbeitung“ oder das Ausfüllen des Formulars verlangen, sind überteuerte Drittanbieter oder Betrug.</w:t>
            </w:r>
          </w:p>
        </w:tc>
      </w:tr>
    </w:tbl>
    <w:p w14:paraId="70A4DB62" w14:textId="77777777" w:rsidR="00C1548D" w:rsidRDefault="00C1548D">
      <w:pPr>
        <w:spacing w:line="220" w:lineRule="exact"/>
      </w:pPr>
    </w:p>
    <w:p w14:paraId="70A4DB63" w14:textId="77777777" w:rsidR="00C1548D" w:rsidRDefault="009B1B4B">
      <w:pPr>
        <w:pStyle w:val="Heading3"/>
        <w:keepNext/>
        <w:jc w:val="center"/>
      </w:pPr>
      <w:r>
        <w:rPr>
          <w:rFonts w:ascii="Amazon Ember" w:eastAsia="Amazon Ember" w:hAnsi="Amazon Ember" w:cs="Amazon Ember"/>
          <w:color w:val="0000FF"/>
          <w:sz w:val="36"/>
          <w:szCs w:val="36"/>
        </w:rPr>
        <w:t>Leben ohne SSN in der Übergangszeit</w:t>
      </w:r>
    </w:p>
    <w:p w14:paraId="70A4DB64" w14:textId="77777777" w:rsidR="00C1548D" w:rsidRDefault="009B1B4B">
      <w:pPr>
        <w:spacing w:after="140"/>
      </w:pPr>
      <w:r>
        <w:t>Die SSN kommt selten am ersten Tag – plane die Übergangszeit ein, statt auf sie zu warten.</w:t>
      </w:r>
    </w:p>
    <w:p w14:paraId="70A4DB65" w14:textId="1299B594" w:rsidR="00C1548D" w:rsidRDefault="009B1B4B" w:rsidP="009B1B4B">
      <w:pPr>
        <w:pStyle w:val="ListParagraph"/>
        <w:numPr>
          <w:ilvl w:val="0"/>
          <w:numId w:val="1"/>
        </w:numPr>
        <w:spacing w:after="60"/>
      </w:pPr>
      <w:r>
        <w:rPr>
          <w:b/>
          <w:bCs/>
        </w:rPr>
        <w:lastRenderedPageBreak/>
        <w:t>Arbeitgeber:</w:t>
      </w:r>
      <w:r>
        <w:t xml:space="preserve"> Er darf dich ohne SSN beschäftigen; für die Form I-9 (Kapitel </w:t>
      </w:r>
      <w:hyperlink w:anchor="k23" w:history="1">
        <w:r>
          <w:t>23</w:t>
        </w:r>
      </w:hyperlink>
      <w:r>
        <w:t>) ist keine SSN nötig, außer bei bestimmten E-Verify-Feldern. Die Lohnbuchhaltung trägt „Applied For“ ein und korrigiert es, sobald die Karte da ist.</w:t>
      </w:r>
    </w:p>
    <w:p w14:paraId="70A4DB66" w14:textId="4404FB5E" w:rsidR="00C1548D" w:rsidRDefault="009B1B4B" w:rsidP="009B1B4B">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history="1">
        <w:r>
          <w:t>25</w:t>
        </w:r>
      </w:hyperlink>
      <w:r>
        <w:t>.</w:t>
      </w:r>
    </w:p>
    <w:p w14:paraId="70A4DB67" w14:textId="4F514EB3" w:rsidR="00C1548D" w:rsidRDefault="009B1B4B" w:rsidP="009B1B4B">
      <w:pPr>
        <w:pStyle w:val="ListParagraph"/>
        <w:numPr>
          <w:ilvl w:val="0"/>
          <w:numId w:val="1"/>
        </w:numPr>
        <w:spacing w:after="60"/>
      </w:pPr>
      <w:r>
        <w:rPr>
          <w:b/>
          <w:bCs/>
        </w:rPr>
        <w:t>Handy:</w:t>
      </w:r>
      <w:r>
        <w:t xml:space="preserve"> Prepaid-Tarife verlangen keine SSN; ein Laufzeitvertrag (</w:t>
      </w:r>
      <w:r>
        <w:rPr>
          <w:i/>
          <w:iCs/>
        </w:rPr>
        <w:t>Postpaid</w:t>
      </w:r>
      <w:r>
        <w:t>) verlangt meist SSN und Bonitätsprüfung oder eine Kaution (Kapitel </w:t>
      </w:r>
      <w:hyperlink w:anchor="k25" w:history="1">
        <w:r>
          <w:t>25</w:t>
        </w:r>
      </w:hyperlink>
      <w:r>
        <w:t>).</w:t>
      </w:r>
    </w:p>
    <w:p w14:paraId="70A4DB68" w14:textId="5D4C3C25" w:rsidR="00C1548D" w:rsidRDefault="009B1B4B" w:rsidP="009B1B4B">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history="1">
        <w:r>
          <w:t>13</w:t>
        </w:r>
      </w:hyperlink>
      <w:r>
        <w:t>).</w:t>
      </w:r>
    </w:p>
    <w:p w14:paraId="70A4DB69" w14:textId="77777777" w:rsidR="00C1548D" w:rsidRDefault="009B1B4B" w:rsidP="009B1B4B">
      <w:pPr>
        <w:pStyle w:val="ListParagraph"/>
        <w:numPr>
          <w:ilvl w:val="0"/>
          <w:numId w:val="1"/>
        </w:numPr>
        <w:spacing w:after="60"/>
      </w:pPr>
      <w:r>
        <w:rPr>
          <w:b/>
          <w:bCs/>
        </w:rPr>
        <w:t>Strom und Gas:</w:t>
      </w:r>
      <w:r>
        <w:t xml:space="preserve"> Der Versorger verlangt ohne SSN meist eine Kaution oder akzeptiert ein </w:t>
      </w:r>
      <w:r>
        <w:rPr>
          <w:i/>
          <w:iCs/>
        </w:rPr>
        <w:t>Letter of Credit</w:t>
      </w:r>
      <w:r>
        <w:t xml:space="preserve"> (Bonitätsnachweis) des vorherigen Versorgers.</w:t>
      </w:r>
    </w:p>
    <w:p w14:paraId="70A4DB6A" w14:textId="7A44594E" w:rsidR="00C1548D" w:rsidRDefault="009B1B4B" w:rsidP="009B1B4B">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Formular SSA-L676). Die SSA stellt es kostenlos aus, oft noch am selben Tag – aber nur, wenn du tatsächlich keinen Anspruch auf eine SSN hast (Kapitel </w:t>
      </w:r>
      <w:hyperlink w:anchor="k27" w:history="1">
        <w:r>
          <w:t>27</w:t>
        </w:r>
      </w:hyperlink>
      <w:r>
        <w:t>).</w:t>
      </w:r>
    </w:p>
    <w:p w14:paraId="70A4DB6B"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6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B6C" w14:textId="77777777" w:rsidR="00C1548D" w:rsidRDefault="009B1B4B">
            <w:pPr>
              <w:keepNext/>
              <w:spacing w:after="70" w:line="240" w:lineRule="auto"/>
            </w:pPr>
            <w:r>
              <w:rPr>
                <w:b/>
                <w:bCs/>
                <w:color w:val="9B2C2C"/>
                <w:spacing w:val="24"/>
                <w:sz w:val="16"/>
                <w:szCs w:val="16"/>
              </w:rPr>
              <w:t>ACHTUNG</w:t>
            </w:r>
          </w:p>
          <w:p w14:paraId="70A4DB6D" w14:textId="77777777" w:rsidR="00C1548D" w:rsidRDefault="009B1B4B">
            <w:pPr>
              <w:spacing w:after="80" w:line="264" w:lineRule="auto"/>
            </w:pPr>
            <w:r>
              <w:rPr>
                <w:sz w:val="20"/>
                <w:szCs w:val="20"/>
              </w:rPr>
              <w:t>Eine SSN „ohne Arbeitserlaubnis“ (</w:t>
            </w:r>
            <w:r>
              <w:rPr>
                <w:i/>
                <w:iCs/>
                <w:sz w:val="20"/>
                <w:szCs w:val="20"/>
              </w:rPr>
              <w:t>Non-work-SSN</w:t>
            </w:r>
            <w:r>
              <w:rPr>
                <w:sz w:val="20"/>
                <w:szCs w:val="20"/>
              </w:rPr>
              <w:t xml:space="preserve">) gibt es nur in engen Ausnahmefällen: wenn ein Bundes- oder Landesgesetz sie ausdrücklich für eine Sozialleistung verlangt, belegt durch ein Behördenschreiben mit Original-Unterschrift. Bankkonto, Handyvertrag, Miete, Kredit und Führerschein zählen ausdrücklich </w:t>
            </w:r>
            <w:r>
              <w:rPr>
                <w:b/>
                <w:bCs/>
                <w:sz w:val="20"/>
                <w:szCs w:val="20"/>
              </w:rPr>
              <w:t>nicht</w:t>
            </w:r>
            <w:r>
              <w:rPr>
                <w:sz w:val="20"/>
                <w:szCs w:val="20"/>
              </w:rPr>
              <w:t xml:space="preserve"> dazu (SSA-Regelwerk POMS RM 10211.600). Verlass dich stattdessen auf die Übergangslösungen oben.</w:t>
            </w:r>
          </w:p>
        </w:tc>
      </w:tr>
    </w:tbl>
    <w:p w14:paraId="70A4DB6F" w14:textId="77777777" w:rsidR="00C1548D" w:rsidRDefault="00C1548D">
      <w:pPr>
        <w:spacing w:line="220" w:lineRule="exact"/>
      </w:pPr>
    </w:p>
    <w:p w14:paraId="70A4DB70" w14:textId="77777777" w:rsidR="00C1548D" w:rsidRDefault="009B1B4B">
      <w:pPr>
        <w:pStyle w:val="Heading3"/>
        <w:keepNext/>
        <w:jc w:val="center"/>
      </w:pPr>
      <w:r>
        <w:rPr>
          <w:rFonts w:ascii="Amazon Ember" w:eastAsia="Amazon Ember" w:hAnsi="Amazon Ember" w:cs="Amazon Ember"/>
          <w:color w:val="0000FF"/>
          <w:sz w:val="36"/>
          <w:szCs w:val="36"/>
        </w:rPr>
        <w:lastRenderedPageBreak/>
        <w:t>Schutz vor Missbrauch</w:t>
      </w:r>
    </w:p>
    <w:p w14:paraId="70A4DB71" w14:textId="77777777" w:rsidR="00C1548D" w:rsidRDefault="009B1B4B">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w14:paraId="70A4DB72" w14:textId="77777777" w:rsidR="00C1548D" w:rsidRDefault="009B1B4B">
      <w:pPr>
        <w:spacing w:after="140"/>
      </w:pPr>
      <w:r>
        <w:t>Weil die SSN so oft verlangt wird, ist sie ein beliebtes Ziel für Identitätsdiebstahl: Die Bundesverbraucherschutzbehörde FTC zählte 2025 rund 3,0 Millionen Betrugsmeldungen mit 15,9 Milliarden Dollar gemeldetem Schaden, gegenüber 2,6 Millionen Meldungen und über 12 Milliarden Dollar im Jahr davor. Zwei kostenlose Werkzeuge schützen dich:</w:t>
      </w:r>
    </w:p>
    <w:p w14:paraId="70A4DB73" w14:textId="77777777" w:rsidR="00C1548D" w:rsidRDefault="009B1B4B" w:rsidP="009B1B4B">
      <w:pPr>
        <w:pStyle w:val="ListParagraph"/>
        <w:numPr>
          <w:ilvl w:val="0"/>
          <w:numId w:val="1"/>
        </w:numPr>
        <w:spacing w:after="60"/>
      </w:pPr>
      <w:r>
        <w:rPr>
          <w:b/>
          <w:bCs/>
        </w:rPr>
        <w:t>Credit Freeze</w:t>
      </w:r>
      <w:r>
        <w:t xml:space="preserve"> (Kontosperre bei den drei großen Auskunfteien Equifax, Experian und TransUnion): kostenlos, gilt bis zur eigenen Aufhebung, hat keinen Einfluss auf den Score. Beantrage ihn bei allen drei Stellen einzeln und hebe ihn nur kurz auf, wenn du selbst einen Kredit oder Vertrag beantragst. Ein </w:t>
      </w:r>
      <w:r>
        <w:rPr>
          <w:i/>
          <w:iCs/>
        </w:rPr>
        <w:t>Fraud Alert</w:t>
      </w:r>
      <w:r>
        <w:t xml:space="preserve"> (Betrugswarnung) reicht kürzer: ein Jahr, in der erweiterten Form sieben Jahre.</w:t>
      </w:r>
    </w:p>
    <w:p w14:paraId="70A4DB74" w14:textId="77777777" w:rsidR="00C1548D" w:rsidRDefault="009B1B4B" w:rsidP="009B1B4B">
      <w:pPr>
        <w:pStyle w:val="ListParagraph"/>
        <w:numPr>
          <w:ilvl w:val="0"/>
          <w:numId w:val="1"/>
        </w:numPr>
        <w:spacing w:after="60"/>
      </w:pPr>
      <w:r>
        <w:rPr>
          <w:b/>
          <w:bCs/>
        </w:rPr>
        <w:t>IRS Identity Protection PIN (IP PIN):</w:t>
      </w:r>
      <w:r>
        <w:t xml:space="preserve">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beziehungsweise 168.000 $ bei gemeinsamer Veranlagung) oder ein Termin im Taxpayer Assistance Center.</w:t>
      </w:r>
    </w:p>
    <w:p w14:paraId="70A4DB7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7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B76" w14:textId="77777777" w:rsidR="00C1548D" w:rsidRDefault="009B1B4B">
            <w:pPr>
              <w:keepNext/>
              <w:spacing w:after="70" w:line="240" w:lineRule="auto"/>
            </w:pPr>
            <w:r>
              <w:rPr>
                <w:b/>
                <w:bCs/>
                <w:color w:val="9B2C2C"/>
                <w:spacing w:val="24"/>
                <w:sz w:val="16"/>
                <w:szCs w:val="16"/>
              </w:rPr>
              <w:lastRenderedPageBreak/>
              <w:t>ACHTUNG</w:t>
            </w:r>
          </w:p>
          <w:p w14:paraId="70A4DB77" w14:textId="77777777" w:rsidR="00C1548D" w:rsidRDefault="009B1B4B">
            <w:pPr>
              <w:spacing w:after="80" w:line="264" w:lineRule="auto"/>
            </w:pPr>
            <w:r>
              <w:rPr>
                <w:sz w:val="20"/>
                <w:szCs w:val="20"/>
              </w:rPr>
              <w:t>Telefonanrufe angeblicher SSA- oder IRS-Mitarbeiter, die mit Verhaftung, Abschiebung oder einer „gesperrten SSN“ drohen und sofortige Zahlung per Geschenkkarte oder Überweisung verlangen, sind Betrug. Beide Behörden rufen nicht so an. Lege auf, und melde den Anruf auf reportfraud.ftc.gov.</w:t>
            </w:r>
          </w:p>
        </w:tc>
      </w:tr>
    </w:tbl>
    <w:p w14:paraId="70A4DB79" w14:textId="77777777" w:rsidR="00C1548D" w:rsidRDefault="00C1548D">
      <w:pPr>
        <w:spacing w:line="220" w:lineRule="exact"/>
      </w:pPr>
    </w:p>
    <w:p w14:paraId="70A4DB7A" w14:textId="77777777" w:rsidR="00C1548D" w:rsidRDefault="009B1B4B">
      <w:pPr>
        <w:pStyle w:val="Heading3"/>
        <w:keepNext/>
        <w:jc w:val="center"/>
      </w:pPr>
      <w:r>
        <w:rPr>
          <w:rFonts w:ascii="Amazon Ember" w:eastAsia="Amazon Ember" w:hAnsi="Amazon Ember" w:cs="Amazon Ember"/>
          <w:color w:val="0000FF"/>
          <w:sz w:val="36"/>
          <w:szCs w:val="36"/>
        </w:rPr>
        <w:t>Kinder, Partner und Neugeborene</w:t>
      </w:r>
    </w:p>
    <w:p w14:paraId="70A4DB7B" w14:textId="77777777" w:rsidR="00C1548D" w:rsidRDefault="009B1B4B">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w14:paraId="70A4DB7C" w14:textId="261C3B54" w:rsidR="00C1548D" w:rsidRDefault="009B1B4B">
      <w:pPr>
        <w:spacing w:after="140"/>
      </w:pPr>
      <w: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history="1">
        <w:r>
          <w:t>28</w:t>
        </w:r>
      </w:hyperlink>
      <w:r>
        <w:t>). Für Ehepartner gilt dieselbe Logik: Wer mit H-4 oder J-2 keine EAD hat, bleibt ohne SSN, bis die Arbeitserlaubnis kommt (Kapitel </w:t>
      </w:r>
      <w:hyperlink w:anchor="k10" w:history="1">
        <w:r>
          <w:t>10</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7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B7D" w14:textId="77777777" w:rsidR="00C1548D" w:rsidRDefault="009B1B4B">
            <w:pPr>
              <w:keepNext/>
              <w:spacing w:after="70" w:line="240" w:lineRule="auto"/>
            </w:pPr>
            <w:r>
              <w:rPr>
                <w:b/>
                <w:bCs/>
                <w:color w:val="4A5568"/>
                <w:spacing w:val="24"/>
                <w:sz w:val="16"/>
                <w:szCs w:val="16"/>
              </w:rPr>
              <w:lastRenderedPageBreak/>
              <w:t>PRAXISBEISPIEL · FIKTIV</w:t>
            </w:r>
          </w:p>
          <w:p w14:paraId="70A4DB7E" w14:textId="77777777" w:rsidR="00C1548D" w:rsidRDefault="009B1B4B">
            <w:pPr>
              <w:spacing w:after="80" w:line="264" w:lineRule="auto"/>
            </w:pPr>
            <w:r>
              <w:rPr>
                <w:sz w:val="20"/>
                <w:szCs w:val="20"/>
              </w:rPr>
              <w:t>Sabine Keller (fiktiv, 33, Softwareentwicklerin) landet am 26. September in Seattle, ihr H-1B-Status beginnt am 1. Oktober. Am 6. Oktober – 10 Tage nach der Einreise – geht sie mit Pass, I-94-Ausdruck und I-797 zum SSA-Termin, den sie schon aus Deutschland online gebucht hatte. Das Formular SS-5 hatte sie vorher zu Hause ausgefüllt. Im Wartezimmer sitzen Neuankömmlinge aus einem Dutzend Ländern, alle mit demselben dünnen Aktenordner unterm Arm. Der Sachbearbeiter prüft die Originale, ein Arbeitgeberbrief wi</w:t>
            </w:r>
            <w:r>
              <w:rPr>
                <w:sz w:val="20"/>
                <w:szCs w:val="20"/>
              </w:rPr>
              <w:t>rd nicht verlangt. Zwei Wochen später liegt die Karte im Briefkasten; bis dahin lief ihr erstes Gehalt mit dem Vermerk „Applied For“.</w:t>
            </w:r>
          </w:p>
        </w:tc>
      </w:tr>
    </w:tbl>
    <w:p w14:paraId="70A4DB80" w14:textId="77777777" w:rsidR="00C1548D" w:rsidRDefault="00C1548D">
      <w:pPr>
        <w:spacing w:line="220" w:lineRule="exact"/>
      </w:pPr>
    </w:p>
    <w:p w14:paraId="70A4DB81" w14:textId="77777777" w:rsidR="00C1548D" w:rsidRDefault="009B1B4B">
      <w:pPr>
        <w:pStyle w:val="Heading3"/>
        <w:keepNext/>
        <w:jc w:val="center"/>
      </w:pPr>
      <w:r>
        <w:rPr>
          <w:rFonts w:ascii="Amazon Ember" w:eastAsia="Amazon Ember" w:hAnsi="Amazon Ember" w:cs="Amazon Ember"/>
          <w:color w:val="0000FF"/>
          <w:sz w:val="36"/>
          <w:szCs w:val="36"/>
        </w:rPr>
        <w:t>Ersatzkarte</w:t>
      </w:r>
    </w:p>
    <w:p w14:paraId="70A4DB82" w14:textId="77777777" w:rsidR="00C1548D" w:rsidRDefault="009B1B4B">
      <w:pPr>
        <w:spacing w:after="140"/>
      </w:pPr>
      <w:r>
        <w:t>Geht die Karte verloren oder ändert sich dein Name, bekommst du eine Ersatzkarte – begrenzt auf drei pro Kalenderjahr und zehn im gesamten Leben (seit Dezember 2005) –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w:t>
      </w:r>
      <w:r>
        <w:t>ffen; als Neuankömmling beantragst du die Ersatzkarte im SSA-Büro, wieder mit Formular SS-5.</w:t>
      </w:r>
    </w:p>
    <w:p w14:paraId="70A4DB83" w14:textId="77777777" w:rsidR="00C1548D" w:rsidRDefault="009B1B4B">
      <w:pPr>
        <w:pStyle w:val="Heading3"/>
        <w:keepNext/>
        <w:jc w:val="center"/>
      </w:pPr>
      <w:r>
        <w:rPr>
          <w:rFonts w:ascii="Amazon Ember" w:eastAsia="Amazon Ember" w:hAnsi="Amazon Ember" w:cs="Amazon Ember"/>
          <w:color w:val="0000FF"/>
          <w:sz w:val="36"/>
          <w:szCs w:val="36"/>
        </w:rPr>
        <w:t>Die ITIN kurz</w:t>
      </w:r>
    </w:p>
    <w:p w14:paraId="70A4DB84" w14:textId="77777777" w:rsidR="00C1548D" w:rsidRDefault="009B1B4B">
      <w:pPr>
        <w:spacing w:after="140"/>
      </w:pPr>
      <w:r>
        <w:t xml:space="preserve">Wer keinen Anspruch auf eine SSN hat, aber steuerpflichtig ist, braucht eine </w:t>
      </w:r>
      <w:r>
        <w:rPr>
          <w:i/>
          <w:iCs/>
        </w:rPr>
        <w:t>Individual Taxpayer Identification Number</w:t>
      </w:r>
      <w:r>
        <w:t xml:space="preserve"> (ITIN), eine neunstellige Steuernummer für Ausländer. Das betrifft vor allem Ehepartner ohne Arbeitserlaubnis, Kinder ohne SSN und Investoren oder Ruheständler mit US-Einkünften.</w:t>
      </w:r>
    </w:p>
    <w:p w14:paraId="70A4DB85" w14:textId="7D423652" w:rsidR="00C1548D" w:rsidRDefault="009B1B4B">
      <w:pPr>
        <w:spacing w:after="140"/>
      </w:pPr>
      <w:r>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w:t>
      </w:r>
      <w:r>
        <w:lastRenderedPageBreak/>
        <w:t>(</w:t>
      </w:r>
      <w:r>
        <w:t>Kapitel </w:t>
      </w:r>
      <w:hyperlink w:anchor="k28" w:history="1">
        <w:r>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w14:paraId="70A4DB86" w14:textId="77777777" w:rsidR="00C1548D" w:rsidRDefault="009B1B4B">
      <w:pPr>
        <w:spacing w:after="140"/>
      </w:pPr>
      <w:r>
        <w:t xml:space="preserve">Du beantragst die ITIN mit Formular W-7 zusammen mit der fristgerechten Steuererklärung, nicht separat. Die Bearbeitung dauert etwa 7 Wochen, zwischen dem 15. Januar und dem 30. April oder bei Anträgen aus dem Ausland eher 9 bis 11 Wochen; die Bestätigung kommt als Mitteilung CP565. Einreichen kannst du per Post an das IRS-Servicecenter in Austin, über ein Taxpayer Assistance Center, eine VITA-Beratungsstelle oder einen zugelassenen </w:t>
      </w:r>
      <w:r>
        <w:rPr>
          <w:i/>
          <w:iCs/>
        </w:rPr>
        <w:t>Acceptance Agent</w:t>
      </w:r>
      <w:r>
        <w:t xml:space="preserve"> (gegen Gebühr, die je nach Anbieter stark schwankt). In der Praxis verfällt eine ITIN, wenn sie drei Steuerjahre in Folge nicht in einer Erklärung auftaucht; die Erneuerung läuft wieder über Formular W-7.</w:t>
      </w:r>
    </w:p>
    <w:p w14:paraId="70A4DB87" w14:textId="77777777" w:rsidR="00C1548D" w:rsidRDefault="009B1B4B">
      <w:pPr>
        <w:pStyle w:val="Heading3"/>
        <w:keepNext/>
        <w:jc w:val="center"/>
      </w:pPr>
      <w:r>
        <w:rPr>
          <w:rFonts w:ascii="Amazon Ember" w:eastAsia="Amazon Ember" w:hAnsi="Amazon Ember" w:cs="Amazon Ember"/>
          <w:color w:val="0000FF"/>
          <w:sz w:val="36"/>
          <w:szCs w:val="36"/>
        </w:rPr>
        <w:t>SSN und Sozialversicherungsansprüche</w:t>
      </w:r>
    </w:p>
    <w:p w14:paraId="70A4DB88" w14:textId="77777777" w:rsidR="00C1548D" w:rsidRDefault="009B1B4B">
      <w:pPr>
        <w:spacing w:after="140"/>
      </w:pPr>
      <w:r>
        <w:t xml:space="preserve">Für die reguläre US-Rente brauchst du in aller Regel 40 </w:t>
      </w:r>
      <w:r>
        <w:rPr>
          <w:i/>
          <w:iCs/>
        </w:rPr>
        <w:t>Credits</w:t>
      </w:r>
      <w:r>
        <w:t xml:space="preserve"> (auch </w:t>
      </w:r>
      <w:r>
        <w:rPr>
          <w:i/>
          <w:iCs/>
        </w:rPr>
        <w:t>Quarters of Coverage</w:t>
      </w:r>
      <w:r>
        <w:t xml:space="preserve"> genannt) – vereinfacht: ein Mindesteinkommen in jedem der 40 Kalendervierteljahre, höchstens vier pro Jahr, also rechnerisch etwa 10 Jahre versicherungspflichtige Arbeit. Wer nach wenigen Jahren zurück nach Deutschland geht, erreicht diese Grenze oft nicht allein aus US-Beiträgen.</w:t>
      </w:r>
    </w:p>
    <w:p w14:paraId="70A4DB89" w14:textId="38F60E50" w:rsidR="00C1548D" w:rsidRDefault="009B1B4B">
      <w:pPr>
        <w:spacing w:after="140"/>
      </w:pPr>
      <w:r>
        <w:t xml:space="preserve">Hier greift das deutsch-amerikanische Sozialversicherungsabkommen (in Kraft seit 1979): Es rechnet deutsche und amerikanische Versicherungszeiten zusammen, um die Mindestzeit für eine (dann anteilige) US-Rente zu erreichen – vorausgesetzt, du hast mindestens sechs eigene US-Credits, etwa eineinhalb Jahre Arbeit, gesammelt. Das Abkommen verhindert außerdem, dass du bei einer befristeten Entsendung in beide Systeme gleichzeitig einzahlst. Was das für deine gesetzliche Rente in Deutschland bedeutet, behandelt </w:t>
      </w:r>
      <w:r>
        <w:t>Kapitel </w:t>
      </w:r>
      <w:hyperlink w:anchor="k17" w:history="1">
        <w:r>
          <w:t>17</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8C"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B8A" w14:textId="77777777" w:rsidR="00C1548D" w:rsidRDefault="009B1B4B">
            <w:pPr>
              <w:keepNext/>
              <w:spacing w:after="70" w:line="240" w:lineRule="auto"/>
            </w:pPr>
            <w:r>
              <w:rPr>
                <w:b/>
                <w:bCs/>
                <w:color w:val="8A6212"/>
                <w:spacing w:val="24"/>
                <w:sz w:val="16"/>
                <w:szCs w:val="16"/>
              </w:rPr>
              <w:lastRenderedPageBreak/>
              <w:t>MERKE</w:t>
            </w:r>
          </w:p>
          <w:p w14:paraId="70A4DB8B" w14:textId="77777777" w:rsidR="00C1548D" w:rsidRDefault="009B1B4B">
            <w:pPr>
              <w:spacing w:after="80" w:line="264" w:lineRule="auto"/>
            </w:pPr>
            <w:r>
              <w:rPr>
                <w:sz w:val="20"/>
                <w:szCs w:val="20"/>
              </w:rPr>
              <w:t>Die SSN sichert nicht automatisch eine US-Rente. Erst 40 Credits oder das Zusammenrechnen über das Sozialversicherungsabkommen begründen einen Anspruch – kurze Aufenthalte zählen trotzdem für die spätere Zusammenrechnung.</w:t>
            </w:r>
          </w:p>
        </w:tc>
      </w:tr>
    </w:tbl>
    <w:p w14:paraId="70A4DB8D" w14:textId="77777777" w:rsidR="00C1548D" w:rsidRDefault="00C1548D">
      <w:pPr>
        <w:spacing w:line="220" w:lineRule="exact"/>
      </w:pPr>
    </w:p>
    <w:p w14:paraId="70A4DB8E"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B91"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8F"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90" w14:textId="77777777" w:rsidR="00C1548D" w:rsidRDefault="009B1B4B">
            <w:pPr>
              <w:spacing w:line="250" w:lineRule="auto"/>
            </w:pPr>
            <w:r>
              <w:rPr>
                <w:b/>
                <w:bCs/>
                <w:sz w:val="18"/>
                <w:szCs w:val="18"/>
              </w:rPr>
              <w:t>Minus</w:t>
            </w:r>
          </w:p>
        </w:tc>
      </w:tr>
      <w:tr w:rsidR="00C1548D" w14:paraId="70A4DB9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92" w14:textId="77777777" w:rsidR="00C1548D" w:rsidRDefault="009B1B4B">
            <w:pPr>
              <w:spacing w:line="250" w:lineRule="auto"/>
            </w:pPr>
            <w:r>
              <w:rPr>
                <w:sz w:val="18"/>
                <w:szCs w:val="18"/>
              </w:rPr>
              <w:t>Öffnet Bank, Kreditkarte und Handyvertrag zu normalen Konditionen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93" w14:textId="77777777" w:rsidR="00C1548D" w:rsidRDefault="009B1B4B">
            <w:pPr>
              <w:spacing w:line="250" w:lineRule="auto"/>
            </w:pPr>
            <w:r>
              <w:rPr>
                <w:sz w:val="18"/>
                <w:szCs w:val="18"/>
              </w:rPr>
              <w:t>Ohne SSN dauern viele Alltagsdinge länger oder brauchen Umwege</w:t>
            </w:r>
          </w:p>
        </w:tc>
      </w:tr>
      <w:tr w:rsidR="00C1548D" w14:paraId="70A4DB9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95" w14:textId="77777777" w:rsidR="00C1548D" w:rsidRDefault="009B1B4B">
            <w:pPr>
              <w:spacing w:line="250" w:lineRule="auto"/>
            </w:pPr>
            <w:r>
              <w:rPr>
                <w:sz w:val="18"/>
                <w:szCs w:val="18"/>
              </w:rPr>
              <w:t>Baut eine US-Kreditgeschichte auf, die später bei Miete und Hypothek zählt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96" w14:textId="77777777" w:rsidR="00C1548D" w:rsidRDefault="009B1B4B">
            <w:pPr>
              <w:spacing w:line="250" w:lineRule="auto"/>
            </w:pPr>
            <w:r>
              <w:rPr>
                <w:sz w:val="18"/>
                <w:szCs w:val="18"/>
              </w:rPr>
              <w:t>Als Generalschlüssel betrifft ein Datenleck gleich mehrere Lebensbereiche</w:t>
            </w:r>
          </w:p>
        </w:tc>
      </w:tr>
      <w:tr w:rsidR="00C1548D" w14:paraId="70A4DB9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98" w14:textId="77777777" w:rsidR="00C1548D" w:rsidRDefault="009B1B4B">
            <w:pPr>
              <w:spacing w:line="250" w:lineRule="auto"/>
            </w:pPr>
            <w:r>
              <w:rPr>
                <w:sz w:val="18"/>
                <w:szCs w:val="18"/>
              </w:rPr>
              <w:t>Sichert Ansprüche aus dem Sozialversicherungsabkommen (40 Credits, Zusammenrechnung)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99" w14:textId="77777777" w:rsidR="00C1548D" w:rsidRDefault="009B1B4B">
            <w:pPr>
              <w:spacing w:line="250" w:lineRule="auto"/>
            </w:pPr>
            <w:r>
              <w:rPr>
                <w:sz w:val="18"/>
                <w:szCs w:val="18"/>
              </w:rPr>
              <w:t>Antrag nur persönlich mit Termin, Wartezeiten schwanken</w:t>
            </w:r>
          </w:p>
        </w:tc>
      </w:tr>
      <w:tr w:rsidR="00C1548D" w14:paraId="70A4DB9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9B" w14:textId="77777777" w:rsidR="00C1548D" w:rsidRDefault="009B1B4B">
            <w:pPr>
              <w:spacing w:line="250" w:lineRule="auto"/>
            </w:pPr>
            <w:r>
              <w:rPr>
                <w:sz w:val="18"/>
                <w:szCs w:val="18"/>
              </w:rPr>
              <w:t>Die ITIN überbrückt die Steuerpflicht auch ohne SSN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9C" w14:textId="77777777" w:rsidR="00C1548D" w:rsidRDefault="009B1B4B">
            <w:pPr>
              <w:spacing w:line="250" w:lineRule="auto"/>
            </w:pPr>
            <w:r>
              <w:rPr>
                <w:sz w:val="18"/>
                <w:szCs w:val="18"/>
              </w:rPr>
              <w:t>ITIN bringt weder Kreditwürdigkeit noch Sozialleistungen</w:t>
            </w:r>
          </w:p>
        </w:tc>
      </w:tr>
    </w:tbl>
    <w:p w14:paraId="70A4DB9E" w14:textId="77777777" w:rsidR="00C1548D" w:rsidRDefault="00C1548D">
      <w:pPr>
        <w:spacing w:line="180" w:lineRule="exact"/>
      </w:pPr>
    </w:p>
    <w:p w14:paraId="70A4DB9F"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BA0" w14:textId="77777777" w:rsidR="00C1548D" w:rsidRDefault="009B1B4B">
      <w:pPr>
        <w:spacing w:after="140"/>
      </w:pPr>
      <w:r>
        <w:t>Buche den SSA-Termin, sobald 10 Tage seit der Einreise vergangen sind, und nimm alle Originale mit. Kläre parallel, ob dein Ehepartner oder deine Kinder eine SSN oder eine ITIN brauchen, und richte für die Übergangszeit Bank, Handy und Wohnung mit den Alternativnachweisen ein. Sobald die Karte da ist, sichere sie sofort mit Credit Freeze und IP PIN.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AC"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BA1" w14:textId="77777777" w:rsidR="00C1548D" w:rsidRDefault="009B1B4B">
            <w:pPr>
              <w:keepNext/>
              <w:spacing w:after="70" w:line="240" w:lineRule="auto"/>
            </w:pPr>
            <w:r>
              <w:rPr>
                <w:b/>
                <w:bCs/>
                <w:color w:val="1F6F78"/>
                <w:spacing w:val="24"/>
                <w:sz w:val="16"/>
                <w:szCs w:val="16"/>
              </w:rPr>
              <w:lastRenderedPageBreak/>
              <w:t>CHECKLISTE</w:t>
            </w:r>
          </w:p>
          <w:p w14:paraId="70A4DBA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I-94 ist mindestens 10 Tage alt, bevor du zur SSA gehst</w:t>
            </w:r>
          </w:p>
          <w:p w14:paraId="70A4DBA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Formular SS-5 ausgefüllt, Pass, Visum, I-94-Ausdruck und I-797 im Original bereitgelegt</w:t>
            </w:r>
          </w:p>
          <w:p w14:paraId="70A4DBA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Termin im SSA-Büro vereinbart, wo möglich vorab online</w:t>
            </w:r>
          </w:p>
          <w:p w14:paraId="70A4DBA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Arbeitgeber über „Applied For“ informiert, falls der Job vor der SSN beginnt</w:t>
            </w:r>
          </w:p>
          <w:p w14:paraId="70A4DBA6" w14:textId="1A05CDBD"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Übergangslösungen für Bank, Handy, Wohnung und Strom geklärt (Kapitel </w:t>
            </w:r>
            <w:hyperlink w:anchor="k13" w:history="1">
              <w:r>
                <w:rPr>
                  <w:sz w:val="20"/>
                  <w:szCs w:val="20"/>
                </w:rPr>
                <w:t>13</w:t>
              </w:r>
            </w:hyperlink>
            <w:r>
              <w:rPr>
                <w:sz w:val="20"/>
                <w:szCs w:val="20"/>
              </w:rPr>
              <w:t xml:space="preserve">, </w:t>
            </w:r>
            <w:hyperlink w:anchor="k25" w:history="1">
              <w:r>
                <w:rPr>
                  <w:sz w:val="20"/>
                  <w:szCs w:val="20"/>
                </w:rPr>
                <w:t>25</w:t>
              </w:r>
            </w:hyperlink>
            <w:r>
              <w:rPr>
                <w:sz w:val="20"/>
                <w:szCs w:val="20"/>
              </w:rPr>
              <w:t>)</w:t>
            </w:r>
          </w:p>
          <w:p w14:paraId="70A4DBA7" w14:textId="3B3422D5"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Für Familienmitglieder ohne Arbeitserlaubnis geprüft: SSN oder ITIN (Kapitel </w:t>
            </w:r>
            <w:hyperlink w:anchor="k10" w:history="1">
              <w:r>
                <w:rPr>
                  <w:sz w:val="20"/>
                  <w:szCs w:val="20"/>
                </w:rPr>
                <w:t>10</w:t>
              </w:r>
            </w:hyperlink>
            <w:r>
              <w:rPr>
                <w:sz w:val="20"/>
                <w:szCs w:val="20"/>
              </w:rPr>
              <w:t>)</w:t>
            </w:r>
          </w:p>
          <w:p w14:paraId="70A4DBA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Sobald die SSN da ist: Credit Freeze bei allen drei Auskunfteien eingerichtet</w:t>
            </w:r>
          </w:p>
          <w:p w14:paraId="70A4DBA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IRS Identity Protection PIN über das IRS Online Account beantragt</w:t>
            </w:r>
          </w:p>
          <w:p w14:paraId="70A4DBA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Ersatzkarte nur bei echtem Bedarf beantragt, Limit im Kopf (3 pro Jahr, 10 im Leben)</w:t>
            </w:r>
          </w:p>
          <w:p w14:paraId="70A4DBAB" w14:textId="7803E8FA"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geplanter Rückkehr: Sozialversicherungsabkommen und Zusammenrechnung im Blick (Kapitel </w:t>
            </w:r>
            <w:hyperlink w:anchor="k17" w:history="1">
              <w:r>
                <w:rPr>
                  <w:sz w:val="20"/>
                  <w:szCs w:val="20"/>
                </w:rPr>
                <w:t>17</w:t>
              </w:r>
            </w:hyperlink>
            <w:r>
              <w:rPr>
                <w:sz w:val="20"/>
                <w:szCs w:val="20"/>
              </w:rPr>
              <w:t>)</w:t>
            </w:r>
          </w:p>
        </w:tc>
      </w:tr>
    </w:tbl>
    <w:p w14:paraId="70A4DBAD" w14:textId="77777777" w:rsidR="00C1548D" w:rsidRDefault="00C1548D">
      <w:pPr>
        <w:spacing w:line="220" w:lineRule="exact"/>
      </w:pPr>
    </w:p>
    <w:p w14:paraId="70A4DBAE"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BAF" w14:textId="2D7D70EA" w:rsidR="00C1548D" w:rsidRDefault="009B1B4B" w:rsidP="009B1B4B">
      <w:pPr>
        <w:pStyle w:val="ListParagraph"/>
        <w:numPr>
          <w:ilvl w:val="0"/>
          <w:numId w:val="1"/>
        </w:numPr>
        <w:spacing w:after="60"/>
      </w:pPr>
      <w:r>
        <w:t>SSA — Formular SS-5 (</w:t>
      </w:r>
      <w:hyperlink r:id="rId203" w:history="1">
        <w:r>
          <w:rPr>
            <w:color w:val="0563C1"/>
            <w:u w:val="single"/>
          </w:rPr>
          <w:t>ssa.gov/forms/ss-5.pdf</w:t>
        </w:r>
      </w:hyperlink>
      <w:r>
        <w:t>)</w:t>
      </w:r>
    </w:p>
    <w:p w14:paraId="70A4DBB0" w14:textId="7839CE22" w:rsidR="00C1548D" w:rsidRDefault="009B1B4B" w:rsidP="009B1B4B">
      <w:pPr>
        <w:pStyle w:val="ListParagraph"/>
        <w:numPr>
          <w:ilvl w:val="0"/>
          <w:numId w:val="1"/>
        </w:numPr>
        <w:spacing w:after="60"/>
      </w:pPr>
      <w:r>
        <w:t>SSA — Sozialversicherungsabkommen mit Deutschland (</w:t>
      </w:r>
      <w:hyperlink r:id="rId204" w:history="1">
        <w:r>
          <w:rPr>
            <w:color w:val="0563C1"/>
            <w:u w:val="single"/>
          </w:rPr>
          <w:t>ssa.gov/international/Agreement_Pamphlets/germany.html</w:t>
        </w:r>
      </w:hyperlink>
      <w:r>
        <w:t>)</w:t>
      </w:r>
    </w:p>
    <w:p w14:paraId="70A4DBB1" w14:textId="662A9EFB" w:rsidR="00C1548D" w:rsidRDefault="009B1B4B" w:rsidP="009B1B4B">
      <w:pPr>
        <w:pStyle w:val="ListParagraph"/>
        <w:numPr>
          <w:ilvl w:val="0"/>
          <w:numId w:val="1"/>
        </w:numPr>
        <w:spacing w:after="60"/>
      </w:pPr>
      <w:r>
        <w:t>SSA — Social Security Number und Karte (</w:t>
      </w:r>
      <w:hyperlink r:id="rId205" w:history="1">
        <w:r>
          <w:rPr>
            <w:color w:val="0563C1"/>
            <w:u w:val="single"/>
          </w:rPr>
          <w:t>ssa.gov/number-card</w:t>
        </w:r>
      </w:hyperlink>
      <w:r>
        <w:t>)</w:t>
      </w:r>
    </w:p>
    <w:p w14:paraId="70A4DBB2" w14:textId="0E3C71E9" w:rsidR="00C1548D" w:rsidRDefault="009B1B4B" w:rsidP="009B1B4B">
      <w:pPr>
        <w:pStyle w:val="ListParagraph"/>
        <w:numPr>
          <w:ilvl w:val="0"/>
          <w:numId w:val="1"/>
        </w:numPr>
        <w:spacing w:after="60"/>
      </w:pPr>
      <w:r>
        <w:t>IRS — ITIN beantragen (</w:t>
      </w:r>
      <w:hyperlink r:id="rId206" w:history="1">
        <w:r>
          <w:rPr>
            <w:color w:val="0563C1"/>
            <w:u w:val="single"/>
          </w:rPr>
          <w:t>irs.gov/individuals/how-do-i-apply-for-an-itin</w:t>
        </w:r>
      </w:hyperlink>
      <w:r>
        <w:t>)</w:t>
      </w:r>
    </w:p>
    <w:p w14:paraId="70A4DBB3" w14:textId="28AAF653" w:rsidR="00C1548D" w:rsidRDefault="009B1B4B" w:rsidP="009B1B4B">
      <w:pPr>
        <w:pStyle w:val="ListParagraph"/>
        <w:numPr>
          <w:ilvl w:val="0"/>
          <w:numId w:val="1"/>
        </w:numPr>
        <w:spacing w:after="60"/>
      </w:pPr>
      <w:r>
        <w:t>IRS — Identity Protection PIN (</w:t>
      </w:r>
      <w:hyperlink r:id="rId207" w:history="1">
        <w:r>
          <w:rPr>
            <w:color w:val="0563C1"/>
            <w:u w:val="single"/>
          </w:rPr>
          <w:t>irs.gov/identity-theft-fraud-scams/get-an-identity-protection-pin</w:t>
        </w:r>
      </w:hyperlink>
      <w:r>
        <w:t>)</w:t>
      </w:r>
    </w:p>
    <w:p w14:paraId="70A4DBB4" w14:textId="601ADA98" w:rsidR="00C1548D" w:rsidRDefault="009B1B4B" w:rsidP="009B1B4B">
      <w:pPr>
        <w:pStyle w:val="ListParagraph"/>
        <w:numPr>
          <w:ilvl w:val="0"/>
          <w:numId w:val="1"/>
        </w:numPr>
        <w:spacing w:after="60"/>
      </w:pPr>
      <w:r>
        <w:t>FTC — Credit Freeze und Fraud Alert (</w:t>
      </w:r>
      <w:hyperlink r:id="rId208" w:history="1">
        <w:r>
          <w:rPr>
            <w:color w:val="0563C1"/>
            <w:u w:val="single"/>
          </w:rPr>
          <w:t>consumer.ftc.gov/articles/what-know-about-credit-freezes-fraud-alerts</w:t>
        </w:r>
      </w:hyperlink>
      <w:r>
        <w:t>)</w:t>
      </w:r>
    </w:p>
    <w:p w14:paraId="70A4DBB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B8"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BB6" w14:textId="77777777" w:rsidR="00C1548D" w:rsidRDefault="009B1B4B">
            <w:pPr>
              <w:keepNext/>
              <w:spacing w:after="70" w:line="240" w:lineRule="auto"/>
            </w:pPr>
            <w:r>
              <w:rPr>
                <w:b/>
                <w:bCs/>
                <w:color w:val="6B7280"/>
                <w:spacing w:val="24"/>
                <w:sz w:val="16"/>
                <w:szCs w:val="16"/>
              </w:rPr>
              <w:lastRenderedPageBreak/>
              <w:t>STAND</w:t>
            </w:r>
          </w:p>
          <w:p w14:paraId="70A4DBB7" w14:textId="77777777" w:rsidR="00C1548D" w:rsidRDefault="009B1B4B">
            <w:pPr>
              <w:spacing w:after="80" w:line="264" w:lineRule="auto"/>
            </w:pPr>
            <w:r>
              <w:rPr>
                <w:sz w:val="20"/>
                <w:szCs w:val="20"/>
              </w:rPr>
              <w:t>September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p>
        </w:tc>
      </w:tr>
    </w:tbl>
    <w:p w14:paraId="70A4DBB9" w14:textId="77777777" w:rsidR="00C1548D" w:rsidRDefault="00C1548D">
      <w:pPr>
        <w:spacing w:line="220" w:lineRule="exact"/>
      </w:pPr>
    </w:p>
    <w:p w14:paraId="70A4DBBA" w14:textId="77777777" w:rsidR="00C1548D" w:rsidRDefault="009B1B4B">
      <w:pPr>
        <w:pStyle w:val="Heading2"/>
        <w:keepNext/>
        <w:pageBreakBefore/>
        <w:jc w:val="center"/>
      </w:pPr>
      <w:bookmarkStart w:id="61" w:name="k25"/>
      <w:bookmarkStart w:id="62" w:name="_Toc241352479"/>
      <w:r>
        <w:rPr>
          <w:rFonts w:ascii="Amazon Ember" w:eastAsia="Amazon Ember" w:hAnsi="Amazon Ember" w:cs="Amazon Ember"/>
          <w:color w:val="0000FF"/>
          <w:sz w:val="36"/>
          <w:szCs w:val="36"/>
        </w:rPr>
        <w:lastRenderedPageBreak/>
        <w:t>Kapitel 25: Bank, Kredit, Versicherungen: Geld im Alltag</w:t>
      </w:r>
      <w:bookmarkEnd w:id="61"/>
      <w:bookmarkEnd w:id="62"/>
    </w:p>
    <w:p w14:paraId="70A4DBBB" w14:textId="34265BFC" w:rsidR="00C1548D" w:rsidRDefault="009B1B4B">
      <w:pPr>
        <w:spacing w:after="140"/>
      </w:pPr>
      <w:r>
        <w:t xml:space="preserve">Du hast in Deutschland nie eine Rechnung zu spät bezahlt, deine Schufa-Auskunft ist makellos – und trotzdem lehnt dich der Mobilfunkanbieter in den USA für einen normalen Vertrag ab oder verlangt eine hohe Kaution. Der Grund ist banal: Für die amerikanischen Auskunfteien existierst du schlicht nicht. Jahrzehnte pünktlicher Zahlungen in Deutschland zählen hier nichts – du startest bei deiner </w:t>
      </w:r>
      <w:r>
        <w:rPr>
          <w:i/>
          <w:iCs/>
        </w:rPr>
        <w:t>Kreditwürdigkeit</w:t>
      </w:r>
      <w:r>
        <w:t xml:space="preserve"> (</w:t>
      </w:r>
      <w:r>
        <w:rPr>
          <w:i/>
          <w:iCs/>
        </w:rPr>
        <w:t>Credit Score</w:t>
      </w:r>
      <w:r>
        <w:t xml:space="preserve">, meist der </w:t>
      </w:r>
      <w:r>
        <w:rPr>
          <w:i/>
          <w:iCs/>
        </w:rPr>
        <w:t>FICO-Score</w:t>
      </w:r>
      <w:r>
        <w:t>) bei null, nicht bei schlecht. Das betrifft nicht nur Kreditkarten, sondern auch Handyvertrag, Autokredit und manchmal die Miete (Kapitel </w:t>
      </w:r>
      <w:hyperlink w:anchor="k13" w:history="1">
        <w:r>
          <w:t>13</w:t>
        </w:r>
      </w:hyperlink>
      <w:r>
        <w:t>). Wer das von Anfang an versteht und gezielt gegensteuert, hat nach sechs bis zwölf Monaten meist einen soliden Score. Wer es ignoriert, zahlt Jahre zu hohe Zinsen.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C3"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BBC" w14:textId="77777777" w:rsidR="00C1548D" w:rsidRDefault="009B1B4B">
            <w:pPr>
              <w:keepNext/>
              <w:spacing w:after="70" w:line="240" w:lineRule="auto"/>
            </w:pPr>
            <w:r>
              <w:rPr>
                <w:b/>
                <w:bCs/>
                <w:color w:val="1F3A5F"/>
                <w:spacing w:val="24"/>
                <w:sz w:val="16"/>
                <w:szCs w:val="16"/>
              </w:rPr>
              <w:t>KURZ GESAGT</w:t>
            </w:r>
          </w:p>
          <w:p w14:paraId="70A4DBBD" w14:textId="284FCCAF" w:rsidR="00C1548D" w:rsidRDefault="009B1B4B" w:rsidP="009B1B4B">
            <w:pPr>
              <w:pStyle w:val="ListParagraph"/>
              <w:numPr>
                <w:ilvl w:val="0"/>
                <w:numId w:val="1"/>
              </w:numPr>
              <w:spacing w:after="50" w:line="264" w:lineRule="auto"/>
            </w:pPr>
            <w:r>
              <w:rPr>
                <w:sz w:val="20"/>
                <w:szCs w:val="20"/>
              </w:rPr>
              <w:t>Ein US-Bankkonto lässt sich bei vielen Banken auch ohne SSN eröffnen (Pass, Visum, I-94 genügen oft); die SSN vereinfacht vieles (Kapitel </w:t>
            </w:r>
            <w:hyperlink w:anchor="k24" w:history="1">
              <w:r>
                <w:rPr>
                  <w:sz w:val="20"/>
                  <w:szCs w:val="20"/>
                </w:rPr>
                <w:t>24</w:t>
              </w:r>
            </w:hyperlink>
            <w:r>
              <w:rPr>
                <w:sz w:val="20"/>
                <w:szCs w:val="20"/>
              </w:rPr>
              <w:t>).</w:t>
            </w:r>
          </w:p>
          <w:p w14:paraId="70A4DBBE" w14:textId="77777777" w:rsidR="00C1548D" w:rsidRDefault="009B1B4B" w:rsidP="009B1B4B">
            <w:pPr>
              <w:pStyle w:val="ListParagraph"/>
              <w:numPr>
                <w:ilvl w:val="0"/>
                <w:numId w:val="1"/>
              </w:numPr>
              <w:spacing w:after="50" w:line="264" w:lineRule="auto"/>
            </w:pPr>
            <w:r>
              <w:rPr>
                <w:sz w:val="20"/>
                <w:szCs w:val="20"/>
              </w:rPr>
              <w:t xml:space="preserve">Schecks, </w:t>
            </w:r>
            <w:r>
              <w:rPr>
                <w:i/>
                <w:iCs/>
                <w:sz w:val="20"/>
                <w:szCs w:val="20"/>
              </w:rPr>
              <w:t>ACH</w:t>
            </w:r>
            <w:r>
              <w:rPr>
                <w:sz w:val="20"/>
                <w:szCs w:val="20"/>
              </w:rPr>
              <w:t xml:space="preserve">, </w:t>
            </w:r>
            <w:r>
              <w:rPr>
                <w:i/>
                <w:iCs/>
                <w:sz w:val="20"/>
                <w:szCs w:val="20"/>
              </w:rPr>
              <w:t>Zelle</w:t>
            </w:r>
            <w:r>
              <w:rPr>
                <w:sz w:val="20"/>
                <w:szCs w:val="20"/>
              </w:rPr>
              <w:t xml:space="preserve"> und </w:t>
            </w:r>
            <w:r>
              <w:rPr>
                <w:i/>
                <w:iCs/>
                <w:sz w:val="20"/>
                <w:szCs w:val="20"/>
              </w:rPr>
              <w:t>Venmo</w:t>
            </w:r>
            <w:r>
              <w:rPr>
                <w:sz w:val="20"/>
                <w:szCs w:val="20"/>
              </w:rPr>
              <w:t xml:space="preserve"> sind die vier Wege, wie Geld im US-Alltag fließt – jeder mit eigenen Regeln und Risiken.</w:t>
            </w:r>
          </w:p>
          <w:p w14:paraId="70A4DBBF" w14:textId="77777777" w:rsidR="00C1548D" w:rsidRDefault="009B1B4B" w:rsidP="009B1B4B">
            <w:pPr>
              <w:pStyle w:val="ListParagraph"/>
              <w:numPr>
                <w:ilvl w:val="0"/>
                <w:numId w:val="1"/>
              </w:numPr>
              <w:spacing w:after="50" w:line="264" w:lineRule="auto"/>
            </w:pPr>
            <w:r>
              <w:rPr>
                <w:sz w:val="20"/>
                <w:szCs w:val="20"/>
              </w:rPr>
              <w:t>Deine deutsche Bonität zählt in den USA nicht: Du baust deine Kreditwürdigkeit über eine gesicherte Kreditkarte, geringe Auslastung und pünktliche Zahlungen neu auf.</w:t>
            </w:r>
          </w:p>
          <w:p w14:paraId="70A4DBC0" w14:textId="77777777" w:rsidR="00C1548D" w:rsidRDefault="009B1B4B" w:rsidP="009B1B4B">
            <w:pPr>
              <w:pStyle w:val="ListParagraph"/>
              <w:numPr>
                <w:ilvl w:val="0"/>
                <w:numId w:val="1"/>
              </w:numPr>
              <w:spacing w:after="50" w:line="264" w:lineRule="auto"/>
            </w:pPr>
            <w:r>
              <w:rPr>
                <w:sz w:val="20"/>
                <w:szCs w:val="20"/>
              </w:rPr>
              <w:t>Kreditkarten kosten bei Restschuld im Schnitt über 20 % Zinsen im Jahr (Stand 2026) – die eine feste Regel lautet: Rechnung jeden Monat vollständig begleichen.</w:t>
            </w:r>
          </w:p>
          <w:p w14:paraId="70A4DBC1" w14:textId="77777777" w:rsidR="00C1548D" w:rsidRDefault="009B1B4B" w:rsidP="009B1B4B">
            <w:pPr>
              <w:pStyle w:val="ListParagraph"/>
              <w:numPr>
                <w:ilvl w:val="0"/>
                <w:numId w:val="1"/>
              </w:numPr>
              <w:spacing w:after="50" w:line="264" w:lineRule="auto"/>
            </w:pPr>
            <w:r>
              <w:rPr>
                <w:sz w:val="20"/>
                <w:szCs w:val="20"/>
              </w:rPr>
              <w:t>Renters-, Umbrella-, Term-Life- und Disability-Versicherung schließen Lücken, die es in Deutschland in dieser Form nicht gibt.</w:t>
            </w:r>
          </w:p>
          <w:p w14:paraId="70A4DBC2" w14:textId="77777777" w:rsidR="00C1548D" w:rsidRDefault="009B1B4B" w:rsidP="009B1B4B">
            <w:pPr>
              <w:pStyle w:val="ListParagraph"/>
              <w:numPr>
                <w:ilvl w:val="0"/>
                <w:numId w:val="1"/>
              </w:numPr>
              <w:spacing w:after="50" w:line="264" w:lineRule="auto"/>
            </w:pPr>
            <w:r>
              <w:rPr>
                <w:sz w:val="20"/>
                <w:szCs w:val="20"/>
              </w:rPr>
              <w:t>Ein Notgroschen von drei bis sechs Monatsausgaben ist in den USA wichtiger als in Deutschland, weil Kündigungsschutz und ein dichtes soziales Netz fehlen.</w:t>
            </w:r>
          </w:p>
        </w:tc>
      </w:tr>
    </w:tbl>
    <w:p w14:paraId="70A4DBC4" w14:textId="77777777" w:rsidR="00C1548D" w:rsidRDefault="00C1548D">
      <w:pPr>
        <w:spacing w:line="220" w:lineRule="exact"/>
      </w:pPr>
    </w:p>
    <w:p w14:paraId="70A4DBC5" w14:textId="77777777" w:rsidR="00C1548D" w:rsidRDefault="009B1B4B">
      <w:pPr>
        <w:pStyle w:val="Heading3"/>
        <w:keepNext/>
        <w:jc w:val="center"/>
      </w:pPr>
      <w:r>
        <w:rPr>
          <w:rFonts w:ascii="Amazon Ember" w:eastAsia="Amazon Ember" w:hAnsi="Amazon Ember" w:cs="Amazon Ember"/>
          <w:color w:val="0000FF"/>
          <w:sz w:val="36"/>
          <w:szCs w:val="36"/>
        </w:rPr>
        <w:lastRenderedPageBreak/>
        <w:t>Ein Bankkonto eröffnen — mit und ohne SSN</w:t>
      </w:r>
    </w:p>
    <w:p w14:paraId="70A4DBC6" w14:textId="77777777" w:rsidR="00C1548D" w:rsidRDefault="009B1B4B">
      <w:pPr>
        <w:spacing w:after="140"/>
      </w:pPr>
      <w:r>
        <w:t xml:space="preserve">Ohne US-Bankkonto geht im Alltag wenig: Gehalt, Miete, die meisten Rechnungen und fast jede App laufen darüber. Die klassische Kombination: ein </w:t>
      </w:r>
      <w:r>
        <w:rPr>
          <w:i/>
          <w:iCs/>
        </w:rPr>
        <w:t>Checking Account</w:t>
      </w:r>
      <w:r>
        <w:t xml:space="preserve"> (Girokonto mit Debitkarte für den täglichen Zahlungsverkehr) plus ein </w:t>
      </w:r>
      <w:r>
        <w:rPr>
          <w:i/>
          <w:iCs/>
        </w:rPr>
        <w:t>Savings Account</w:t>
      </w:r>
      <w:r>
        <w:t xml:space="preserve"> (Sparkonto, meist mit etwas Zins, aber begrenzten Abhebungen pro Monat). Landesweite Banken wie Chase, Bank of America oder Wells Fargo haben Filialen fast überall; regionale Banken und Kreditgenossenschaften (</w:t>
      </w:r>
      <w:r>
        <w:rPr>
          <w:i/>
          <w:iCs/>
        </w:rPr>
        <w:t>Credit Unions</w:t>
      </w:r>
      <w:r>
        <w:t>) bieten oft bessere Konditionen bei kleinerem Filialnetz.</w:t>
      </w:r>
    </w:p>
    <w:p w14:paraId="70A4DBC7" w14:textId="7673831E" w:rsidR="00C1548D" w:rsidRDefault="009B1B4B">
      <w:pPr>
        <w:spacing w:after="140"/>
      </w:pPr>
      <w:r>
        <w:t>Für die Eröffnung verlangen die meisten Banken Reisepass, Visum, den I-94-Ausdruck und einen Adressnachweis; ohne SSN akzeptieren viele Institute stattdessen eine ITIN oder verlangen sie innerhalb einiger Wochen nachzureichen (Kapitel </w:t>
      </w:r>
      <w:hyperlink w:anchor="k24" w:history="1">
        <w:r>
          <w:t>24</w:t>
        </w:r>
      </w:hyperlink>
      <w:r>
        <w:t>). Eine erste Einzahlung von meist 25 bis 100 $ eröffnet das Konto. Frag gezielt nach einem Konto ohne monatliche Kontoführungsgebühr (</w:t>
      </w:r>
      <w:r>
        <w:rPr>
          <w:i/>
          <w:iCs/>
        </w:rPr>
        <w:t>Monthly Maintenance Fee</w:t>
      </w:r>
      <w:r>
        <w:t>) — meist vermeidbar durch Mindestbestand oder Gehaltseingang per Direktüberweisung. Die deutsche Girocard funktioniert in den USA praktisch nie (Kapitel </w:t>
      </w:r>
      <w:hyperlink w:anchor="k23" w:history="1">
        <w:r>
          <w:t>23</w:t>
        </w:r>
      </w:hyperlink>
      <w:r>
        <w:t>); für Kaution und Mietwagen brauchst du ohnehin eine Kreditkarte.</w:t>
      </w:r>
    </w:p>
    <w:p w14:paraId="70A4DBC8" w14:textId="77777777" w:rsidR="00C1548D" w:rsidRDefault="009B1B4B">
      <w:pPr>
        <w:spacing w:after="140"/>
      </w:pPr>
      <w:r>
        <w:t>Einlagen sind bei den meisten Banken durch die staatliche Einlagensicherung FDIC (</w:t>
      </w:r>
      <w:r>
        <w:rPr>
          <w:i/>
          <w:iCs/>
        </w:rPr>
        <w:t>Federal Deposit Insurance Corporation</w:t>
      </w:r>
      <w:r>
        <w:t>) bis 250.000 $ je Bank und Kontoinhaber abgesichert – deutlich mehr als die 100.000 € der deutschen Einlagensicherung. Kreditgenossenschaften nutzen mit der NCUA eine vergleichbare Absicherung.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C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BC9" w14:textId="77777777" w:rsidR="00C1548D" w:rsidRDefault="009B1B4B">
            <w:pPr>
              <w:keepNext/>
              <w:spacing w:after="70" w:line="240" w:lineRule="auto"/>
            </w:pPr>
            <w:r>
              <w:rPr>
                <w:b/>
                <w:bCs/>
                <w:color w:val="9B2C2C"/>
                <w:spacing w:val="24"/>
                <w:sz w:val="16"/>
                <w:szCs w:val="16"/>
              </w:rPr>
              <w:lastRenderedPageBreak/>
              <w:t>ACHTUNG</w:t>
            </w:r>
          </w:p>
          <w:p w14:paraId="70A4DBCA" w14:textId="77777777" w:rsidR="00C1548D" w:rsidRDefault="009B1B4B">
            <w:pPr>
              <w:spacing w:after="80" w:line="264" w:lineRule="auto"/>
            </w:pPr>
            <w:r>
              <w:rPr>
                <w:sz w:val="20"/>
                <w:szCs w:val="20"/>
              </w:rPr>
              <w:t>Manche Banken sperren ein „Pending“-Konto oder schränken es ein, wenn SSN oder ITIN nicht innerhalb der vereinbarten Frist nachgereicht werden. Frag bei der Kontoeröffnung ausdrücklich nach dieser Frist und trage sie in deinen Kalender ein.</w:t>
            </w:r>
          </w:p>
        </w:tc>
      </w:tr>
    </w:tbl>
    <w:p w14:paraId="70A4DBCC" w14:textId="77777777" w:rsidR="00C1548D" w:rsidRDefault="00C1548D">
      <w:pPr>
        <w:spacing w:line="220" w:lineRule="exact"/>
      </w:pPr>
    </w:p>
    <w:p w14:paraId="70A4DBCD" w14:textId="77777777" w:rsidR="00C1548D" w:rsidRDefault="009B1B4B">
      <w:pPr>
        <w:pStyle w:val="Heading3"/>
        <w:keepNext/>
        <w:jc w:val="center"/>
      </w:pPr>
      <w:r>
        <w:rPr>
          <w:rFonts w:ascii="Amazon Ember" w:eastAsia="Amazon Ember" w:hAnsi="Amazon Ember" w:cs="Amazon Ember"/>
          <w:color w:val="0000FF"/>
          <w:sz w:val="36"/>
          <w:szCs w:val="36"/>
        </w:rPr>
        <w:t>Geld bewegen: Schecks, ACH, Zelle und Venmo</w:t>
      </w:r>
    </w:p>
    <w:p w14:paraId="70A4DBCE" w14:textId="77777777" w:rsidR="00C1548D" w:rsidRDefault="009B1B4B">
      <w:pPr>
        <w:spacing w:after="140"/>
      </w:pPr>
      <w:r>
        <w:t>Der Scheck (</w:t>
      </w:r>
      <w:r>
        <w:rPr>
          <w:i/>
          <w:iCs/>
        </w:rPr>
        <w:t>Check</w:t>
      </w:r>
      <w:r>
        <w:t>) ist in den USA lebendiger als in Deutschland: Manche Vermieter, Kautionen und private Zahlungen laufen noch damit. Er braucht Datum, Empfänger, Betrag in Ziffern und Worten sowie deine Unterschrift; die Bank-App liest ihn per Fotoscan ein (</w:t>
      </w:r>
      <w:r>
        <w:rPr>
          <w:i/>
          <w:iCs/>
        </w:rPr>
        <w:t>Mobile Deposit</w:t>
      </w:r>
      <w:r>
        <w:t>). Reicht das Guthaben nicht, platzt der Scheck (</w:t>
      </w:r>
      <w:r>
        <w:rPr>
          <w:i/>
          <w:iCs/>
        </w:rPr>
        <w:t>Bounced Check</w:t>
      </w:r>
      <w:r>
        <w:t>) — das löst Gebühren bei dir und beim Empfänger aus, kontrolliere also den Kontostand vorher.</w:t>
      </w:r>
    </w:p>
    <w:p w14:paraId="70A4DBCF" w14:textId="77777777" w:rsidR="00C1548D" w:rsidRDefault="009B1B4B">
      <w:pPr>
        <w:spacing w:after="140"/>
      </w:pPr>
      <w:r>
        <w:rPr>
          <w:i/>
          <w:iCs/>
        </w:rPr>
        <w:t>ACH</w:t>
      </w:r>
      <w:r>
        <w:t xml:space="preserve"> (</w:t>
      </w:r>
      <w:r>
        <w:rPr>
          <w:i/>
          <w:iCs/>
        </w:rPr>
        <w:t>Automated Clearing House</w:t>
      </w:r>
      <w:r>
        <w:t>, das US-Verrechnungsnetz für Bank-zu-Bank-Zahlungen) transportiert Gehalt, Mieten und Rechnungen im Hintergrund; du gibst dafür Routing Number (neunstellige Bankkennung) und Account Number (Kontonummer) an. Eine ACH-Zahlung dauert meist ein bis drei Werktage und kostet in der Regel nichts.</w:t>
      </w:r>
    </w:p>
    <w:p w14:paraId="70A4DBD0" w14:textId="77777777" w:rsidR="00C1548D" w:rsidRDefault="009B1B4B">
      <w:pPr>
        <w:spacing w:after="140"/>
      </w:pPr>
      <w:r>
        <w:rPr>
          <w:i/>
          <w:iCs/>
        </w:rPr>
        <w:t>Zelle</w:t>
      </w:r>
      <w:r>
        <w:t xml:space="preserv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w:t>
      </w:r>
      <w:r>
        <w:rPr>
          <w:i/>
          <w:iCs/>
        </w:rPr>
        <w:t>Venmo</w:t>
      </w:r>
      <w:r>
        <w:t xml:space="preserve"> (gehört zu PayPal) funktioniert ähnlich, ist aber eine eigene App mit Guthabenfunktion und einem standardmäßig sichtbaren sozialen Feed der Transaktionen; Zahlungen an dein Bankkonto sind kostenlos in ein bis drei Werktagen oder gegen eine kleine Gebühr </w:t>
      </w:r>
      <w:r>
        <w:lastRenderedPageBreak/>
        <w:t>sofort — stelle die Sichtbarkeit in den Einstellungen auf privat. Für wiederkehrende Rechnungen wie Strom, Internet oder Versicherung bieten praktisch alle Banken zusätzlich Online-Rechnungsversand (</w:t>
      </w:r>
      <w:r>
        <w:rPr>
          <w:i/>
          <w:iCs/>
        </w:rPr>
        <w:t>Bill Pay</w:t>
      </w:r>
      <w:r>
        <w:t>) direkt in der App: Du hinterlegst den Empfänger einmal, danach überweist die Bank automatisch oder verschickt sogar selbst einen Scheck an Empfänger ohne elektronischen Zugang.</w:t>
      </w:r>
    </w:p>
    <w:p w14:paraId="70A4DBD1" w14:textId="77777777" w:rsidR="00C1548D" w:rsidRDefault="009B1B4B">
      <w:pPr>
        <w:pStyle w:val="Heading3"/>
        <w:keepNext/>
        <w:jc w:val="center"/>
      </w:pPr>
      <w:r>
        <w:rPr>
          <w:rFonts w:ascii="Amazon Ember" w:eastAsia="Amazon Ember" w:hAnsi="Amazon Ember" w:cs="Amazon Ember"/>
          <w:color w:val="0000FF"/>
          <w:sz w:val="36"/>
          <w:szCs w:val="36"/>
        </w:rPr>
        <w:t>Geld aus Deutschland überweisen</w:t>
      </w:r>
    </w:p>
    <w:p w14:paraId="70A4DBD2" w14:textId="5A71167A" w:rsidR="00C1548D" w:rsidRDefault="009B1B4B">
      <w:pPr>
        <w:spacing w:after="140"/>
      </w:pPr>
      <w:r>
        <w:t xml:space="preserve">Eine klassische Auslandsüberweisung über </w:t>
      </w:r>
      <w:r>
        <w:rPr>
          <w:i/>
          <w:iCs/>
        </w:rPr>
        <w:t>SWIFT</w:t>
      </w:r>
      <w: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i/>
          <w:iCs/>
        </w:rPr>
        <w:t>Mid-Market Rate</w:t>
      </w:r>
      <w:r>
        <w:t>) und weisen die Gebühr offen aus; bei derselben Summe liegen die Gesamtkosten oft nur bei wenigen Dollar, ein großer Teil binnen Minuten da. Bei sehr großen Summen, etwa einer Immobilien-Anzahlung (Kapitel </w:t>
      </w:r>
      <w:hyperlink w:anchor="k14" w:history="1">
        <w:r>
          <w:t>14</w:t>
        </w:r>
      </w:hyperlink>
      <w:r>
        <w:t>), kann sich das Bild verschieben – vergleiche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history="1">
        <w:r>
          <w:t>28</w:t>
        </w:r>
      </w:hyperlink>
      <w:r>
        <w:t xml:space="preserve"> im Blick behalten. Zur Orientierung: 1 € entsprach im Herbst 2026 etwa 1,1–1,2 $ (bitte tagesaktuell prüfen).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D5"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BD3" w14:textId="77777777" w:rsidR="00C1548D" w:rsidRDefault="009B1B4B">
            <w:pPr>
              <w:keepNext/>
              <w:spacing w:after="70" w:line="240" w:lineRule="auto"/>
            </w:pPr>
            <w:r>
              <w:rPr>
                <w:b/>
                <w:bCs/>
                <w:color w:val="2F6B3B"/>
                <w:spacing w:val="24"/>
                <w:sz w:val="16"/>
                <w:szCs w:val="16"/>
              </w:rPr>
              <w:t>SPARTIPP</w:t>
            </w:r>
          </w:p>
          <w:p w14:paraId="70A4DBD4" w14:textId="77777777" w:rsidR="00C1548D" w:rsidRDefault="009B1B4B">
            <w:pPr>
              <w:spacing w:after="80" w:line="264" w:lineRule="auto"/>
            </w:pPr>
            <w:r>
              <w:rPr>
                <w:sz w:val="20"/>
                <w:szCs w:val="20"/>
              </w:rPr>
              <w:t>Wähle, solange du noch deutsche Karten nutzt, eine Kreditkarte ohne Auslandseinsatzentgelt (</w:t>
            </w:r>
            <w:r>
              <w:rPr>
                <w:i/>
                <w:iCs/>
                <w:sz w:val="20"/>
                <w:szCs w:val="20"/>
              </w:rPr>
              <w:t>Foreign Transaction Fee</w:t>
            </w:r>
            <w:r>
              <w:rPr>
                <w:sz w:val="20"/>
                <w:szCs w:val="20"/>
              </w:rPr>
              <w:t>). In der Übergangszeit mit doppeltem Haushalt spart das bei jeder Zahlung in Dollar spürbar Geld.</w:t>
            </w:r>
          </w:p>
        </w:tc>
      </w:tr>
    </w:tbl>
    <w:p w14:paraId="70A4DBD6" w14:textId="77777777" w:rsidR="00C1548D" w:rsidRDefault="00C1548D">
      <w:pPr>
        <w:spacing w:line="220" w:lineRule="exact"/>
      </w:pPr>
    </w:p>
    <w:p w14:paraId="70A4DBD7" w14:textId="77777777" w:rsidR="00C1548D" w:rsidRDefault="009B1B4B">
      <w:pPr>
        <w:pStyle w:val="Heading3"/>
        <w:keepNext/>
        <w:jc w:val="center"/>
      </w:pPr>
      <w:r>
        <w:rPr>
          <w:rFonts w:ascii="Amazon Ember" w:eastAsia="Amazon Ember" w:hAnsi="Amazon Ember" w:cs="Amazon Ember"/>
          <w:color w:val="0000FF"/>
          <w:sz w:val="36"/>
          <w:szCs w:val="36"/>
        </w:rPr>
        <w:lastRenderedPageBreak/>
        <w:t>Kreditwürdigkeit aufbauen: FICO-Score und Schufa im Vergleich</w:t>
      </w:r>
    </w:p>
    <w:p w14:paraId="70A4DBD8" w14:textId="77777777" w:rsidR="00C1548D" w:rsidRDefault="009B1B4B">
      <w:pPr>
        <w:spacing w:after="140"/>
      </w:pPr>
      <w:r>
        <w:t xml:space="preserve">Der </w:t>
      </w:r>
      <w:r>
        <w:rPr>
          <w:i/>
          <w:iCs/>
        </w:rPr>
        <w:t>FICO-Score</w:t>
      </w:r>
      <w:r>
        <w:t xml:space="preserv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und genau das ist für Vermieter, Handyanbieter und Kreditgeber das eigentliche Pro</w:t>
      </w:r>
      <w:r>
        <w:t>blem. Der Score beeinflusst weit mehr als nur Kredite: Vermieter, Mobilfunkanbieter und in manchen Bundesstaaten sogar Arbeitgeber bei einer Hintergrundprüfung werfen vor Vertragsabschluss einen Blick darauf.</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3"/>
        <w:gridCol w:w="2655"/>
        <w:gridCol w:w="2872"/>
      </w:tblGrid>
      <w:tr w:rsidR="00C1548D" w14:paraId="70A4DBDC" w14:textId="77777777">
        <w:tblPrEx>
          <w:tblCellMar>
            <w:top w:w="0" w:type="dxa"/>
            <w:bottom w:w="0" w:type="dxa"/>
          </w:tblCellMar>
        </w:tblPrEx>
        <w:trPr>
          <w:cantSplit/>
          <w:tblHeader/>
        </w:trPr>
        <w:tc>
          <w:tcPr>
            <w:tcW w:w="9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D9" w14:textId="77777777" w:rsidR="00C1548D" w:rsidRDefault="009B1B4B">
            <w:pPr>
              <w:spacing w:line="250" w:lineRule="auto"/>
            </w:pPr>
            <w:r>
              <w:rPr>
                <w:b/>
                <w:bCs/>
                <w:sz w:val="18"/>
                <w:szCs w:val="18"/>
              </w:rPr>
              <w:t>Merkmal</w:t>
            </w:r>
          </w:p>
        </w:tc>
        <w:tc>
          <w:tcPr>
            <w:tcW w:w="265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DA" w14:textId="77777777" w:rsidR="00C1548D" w:rsidRDefault="009B1B4B">
            <w:pPr>
              <w:spacing w:line="250" w:lineRule="auto"/>
            </w:pPr>
            <w:r>
              <w:rPr>
                <w:b/>
                <w:bCs/>
                <w:sz w:val="18"/>
                <w:szCs w:val="18"/>
              </w:rPr>
              <w:t>Schufa (Deutschland)</w:t>
            </w:r>
          </w:p>
        </w:tc>
        <w:tc>
          <w:tcPr>
            <w:tcW w:w="287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BDB" w14:textId="77777777" w:rsidR="00C1548D" w:rsidRDefault="009B1B4B">
            <w:pPr>
              <w:spacing w:line="250" w:lineRule="auto"/>
            </w:pPr>
            <w:r>
              <w:rPr>
                <w:b/>
                <w:bCs/>
                <w:sz w:val="18"/>
                <w:szCs w:val="18"/>
              </w:rPr>
              <w:t>FICO-Score (USA)</w:t>
            </w:r>
          </w:p>
        </w:tc>
      </w:tr>
      <w:tr w:rsidR="00C1548D" w14:paraId="70A4DBE0" w14:textId="77777777">
        <w:tblPrEx>
          <w:tblCellMar>
            <w:top w:w="0" w:type="dxa"/>
            <w:bottom w:w="0" w:type="dxa"/>
          </w:tblCellMar>
        </w:tblPrEx>
        <w:trPr>
          <w:cantSplit/>
        </w:trPr>
        <w:tc>
          <w:tcPr>
            <w:tcW w:w="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DD" w14:textId="77777777" w:rsidR="00C1548D" w:rsidRDefault="009B1B4B">
            <w:pPr>
              <w:spacing w:line="250" w:lineRule="auto"/>
            </w:pPr>
            <w:r>
              <w:rPr>
                <w:sz w:val="18"/>
                <w:szCs w:val="18"/>
              </w:rPr>
              <w:t>Skala</w:t>
            </w:r>
          </w:p>
        </w:tc>
        <w:tc>
          <w:tcPr>
            <w:tcW w:w="26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DE" w14:textId="77777777" w:rsidR="00C1548D" w:rsidRDefault="009B1B4B">
            <w:pPr>
              <w:spacing w:line="250" w:lineRule="auto"/>
            </w:pPr>
            <w:r>
              <w:rPr>
                <w:sz w:val="18"/>
                <w:szCs w:val="18"/>
              </w:rPr>
              <w:t>0–100 % (Wahrscheinlichkeit)</w:t>
            </w:r>
          </w:p>
        </w:tc>
        <w:tc>
          <w:tcPr>
            <w:tcW w:w="2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DF" w14:textId="77777777" w:rsidR="00C1548D" w:rsidRDefault="009B1B4B">
            <w:pPr>
              <w:spacing w:line="250" w:lineRule="auto"/>
            </w:pPr>
            <w:r>
              <w:rPr>
                <w:sz w:val="18"/>
                <w:szCs w:val="18"/>
              </w:rPr>
              <w:t>300–850 Punkte</w:t>
            </w:r>
          </w:p>
        </w:tc>
      </w:tr>
      <w:tr w:rsidR="00C1548D" w14:paraId="70A4DBE4" w14:textId="77777777">
        <w:tblPrEx>
          <w:tblCellMar>
            <w:top w:w="0" w:type="dxa"/>
            <w:bottom w:w="0" w:type="dxa"/>
          </w:tblCellMar>
        </w:tblPrEx>
        <w:trPr>
          <w:cantSplit/>
        </w:trPr>
        <w:tc>
          <w:tcPr>
            <w:tcW w:w="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E1" w14:textId="77777777" w:rsidR="00C1548D" w:rsidRDefault="009B1B4B">
            <w:pPr>
              <w:spacing w:line="250" w:lineRule="auto"/>
            </w:pPr>
            <w:r>
              <w:rPr>
                <w:sz w:val="18"/>
                <w:szCs w:val="18"/>
              </w:rPr>
              <w:t>Auskunfteien</w:t>
            </w:r>
          </w:p>
        </w:tc>
        <w:tc>
          <w:tcPr>
            <w:tcW w:w="26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E2" w14:textId="77777777" w:rsidR="00C1548D" w:rsidRDefault="009B1B4B">
            <w:pPr>
              <w:spacing w:line="250" w:lineRule="auto"/>
            </w:pPr>
            <w:r>
              <w:rPr>
                <w:sz w:val="18"/>
                <w:szCs w:val="18"/>
              </w:rPr>
              <w:t>im Kern eine, die Schufa dominiert</w:t>
            </w:r>
          </w:p>
        </w:tc>
        <w:tc>
          <w:tcPr>
            <w:tcW w:w="2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E3" w14:textId="77777777" w:rsidR="00C1548D" w:rsidRDefault="009B1B4B">
            <w:pPr>
              <w:spacing w:line="250" w:lineRule="auto"/>
            </w:pPr>
            <w:r>
              <w:rPr>
                <w:sz w:val="18"/>
                <w:szCs w:val="18"/>
              </w:rPr>
              <w:t>drei große Bureaus (Equifax, Experian, TransUnion), oft mit leicht abweichenden Werten</w:t>
            </w:r>
          </w:p>
        </w:tc>
      </w:tr>
      <w:tr w:rsidR="00C1548D" w14:paraId="70A4DBE8" w14:textId="77777777">
        <w:tblPrEx>
          <w:tblCellMar>
            <w:top w:w="0" w:type="dxa"/>
            <w:bottom w:w="0" w:type="dxa"/>
          </w:tblCellMar>
        </w:tblPrEx>
        <w:trPr>
          <w:cantSplit/>
        </w:trPr>
        <w:tc>
          <w:tcPr>
            <w:tcW w:w="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E5" w14:textId="77777777" w:rsidR="00C1548D" w:rsidRDefault="009B1B4B">
            <w:pPr>
              <w:spacing w:line="250" w:lineRule="auto"/>
            </w:pPr>
            <w:r>
              <w:rPr>
                <w:sz w:val="18"/>
                <w:szCs w:val="18"/>
              </w:rPr>
              <w:t>Kostenlose Auskunft</w:t>
            </w:r>
          </w:p>
        </w:tc>
        <w:tc>
          <w:tcPr>
            <w:tcW w:w="26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E6" w14:textId="77777777" w:rsidR="00C1548D" w:rsidRDefault="009B1B4B">
            <w:pPr>
              <w:spacing w:line="250" w:lineRule="auto"/>
            </w:pPr>
            <w:r>
              <w:rPr>
                <w:sz w:val="18"/>
                <w:szCs w:val="18"/>
              </w:rPr>
              <w:t>einmal jährlich, Art. 15 DSGVO</w:t>
            </w:r>
          </w:p>
        </w:tc>
        <w:tc>
          <w:tcPr>
            <w:tcW w:w="2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E7" w14:textId="77777777" w:rsidR="00C1548D" w:rsidRDefault="009B1B4B">
            <w:pPr>
              <w:spacing w:line="250" w:lineRule="auto"/>
            </w:pPr>
            <w:r>
              <w:rPr>
                <w:sz w:val="18"/>
                <w:szCs w:val="18"/>
              </w:rPr>
              <w:t>einmal jährlich je Bureau über annualcreditreport.com</w:t>
            </w:r>
          </w:p>
        </w:tc>
      </w:tr>
      <w:tr w:rsidR="00C1548D" w14:paraId="70A4DBEC" w14:textId="77777777">
        <w:tblPrEx>
          <w:tblCellMar>
            <w:top w:w="0" w:type="dxa"/>
            <w:bottom w:w="0" w:type="dxa"/>
          </w:tblCellMar>
        </w:tblPrEx>
        <w:trPr>
          <w:cantSplit/>
        </w:trPr>
        <w:tc>
          <w:tcPr>
            <w:tcW w:w="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E9" w14:textId="77777777" w:rsidR="00C1548D" w:rsidRDefault="009B1B4B">
            <w:pPr>
              <w:spacing w:line="250" w:lineRule="auto"/>
            </w:pPr>
            <w:r>
              <w:rPr>
                <w:sz w:val="18"/>
                <w:szCs w:val="18"/>
              </w:rPr>
              <w:t>Beim Umzug in die USA</w:t>
            </w:r>
          </w:p>
        </w:tc>
        <w:tc>
          <w:tcPr>
            <w:tcW w:w="26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EA" w14:textId="77777777" w:rsidR="00C1548D" w:rsidRDefault="009B1B4B">
            <w:pPr>
              <w:spacing w:line="250" w:lineRule="auto"/>
            </w:pPr>
            <w:r>
              <w:rPr>
                <w:sz w:val="18"/>
                <w:szCs w:val="18"/>
              </w:rPr>
              <w:t>zählt nicht, kein automatischer Import deiner Schufa-Historie</w:t>
            </w:r>
          </w:p>
        </w:tc>
        <w:tc>
          <w:tcPr>
            <w:tcW w:w="2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BEB" w14:textId="77777777" w:rsidR="00C1548D" w:rsidRDefault="009B1B4B">
            <w:pPr>
              <w:spacing w:line="250" w:lineRule="auto"/>
            </w:pPr>
            <w:r>
              <w:rPr>
                <w:sz w:val="18"/>
                <w:szCs w:val="18"/>
              </w:rPr>
              <w:t>Start ohne jeden Score, unabhängig von deiner Bonität in Deutschland</w:t>
            </w:r>
          </w:p>
        </w:tc>
      </w:tr>
    </w:tbl>
    <w:p w14:paraId="70A4DBED"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F0"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BEE" w14:textId="77777777" w:rsidR="00C1548D" w:rsidRDefault="009B1B4B">
            <w:pPr>
              <w:keepNext/>
              <w:spacing w:after="70" w:line="240" w:lineRule="auto"/>
            </w:pPr>
            <w:r>
              <w:rPr>
                <w:b/>
                <w:bCs/>
                <w:color w:val="8A6212"/>
                <w:spacing w:val="24"/>
                <w:sz w:val="16"/>
                <w:szCs w:val="16"/>
              </w:rPr>
              <w:t>MERKE</w:t>
            </w:r>
          </w:p>
          <w:p w14:paraId="70A4DBEF" w14:textId="77777777" w:rsidR="00C1548D" w:rsidRDefault="009B1B4B">
            <w:pPr>
              <w:spacing w:after="80" w:line="264" w:lineRule="auto"/>
            </w:pPr>
            <w:r>
              <w:rPr>
                <w:sz w:val="20"/>
                <w:szCs w:val="20"/>
              </w:rPr>
              <w:t>Kreditwürdigkeit in den USA ist ein eigenes, vom Schufa-System vollständig getrenntes Verfahren. Niemand kann deine deutsche Bonität „mitnehmen“ – du baust sie neu auf.</w:t>
            </w:r>
          </w:p>
        </w:tc>
      </w:tr>
    </w:tbl>
    <w:p w14:paraId="70A4DBF1" w14:textId="77777777" w:rsidR="00C1548D" w:rsidRDefault="00C1548D">
      <w:pPr>
        <w:spacing w:line="220" w:lineRule="exact"/>
      </w:pPr>
    </w:p>
    <w:p w14:paraId="70A4DBF2" w14:textId="77777777" w:rsidR="00C1548D" w:rsidRDefault="009B1B4B">
      <w:pPr>
        <w:spacing w:after="140"/>
      </w:pPr>
      <w:r>
        <w:t xml:space="preserve">Verbreiteter Irrtum: Es gebe längst eine Abkürzung – eine App, die die deutsche Schufa-Historie einfach in einen FICO-Score übersetzt. Ein Anbieter namens Nova Credit wirbt tatsächlich mit einem </w:t>
      </w:r>
      <w:r>
        <w:rPr>
          <w:i/>
          <w:iCs/>
        </w:rPr>
        <w:t xml:space="preserve">Credit </w:t>
      </w:r>
      <w:r>
        <w:rPr>
          <w:i/>
          <w:iCs/>
        </w:rPr>
        <w:lastRenderedPageBreak/>
        <w:t>Passport</w:t>
      </w:r>
      <w:r>
        <w:t xml:space="preserve">,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w:t>
      </w:r>
      <w:r>
        <w:rPr>
          <w:i/>
          <w:iCs/>
        </w:rPr>
        <w:t>Credit-Builder Loan</w:t>
      </w:r>
      <w:r>
        <w:t xml:space="preserve"> an: Du „leihst“ dir einen kleinen Betrag, der zunächst auf einem gesperrten Konto liegt und in festen Raten zurückgezahlt wird; erst danach wird die Summe freigegeben – auch diese pünktlichen Raten meldet die Bank an die drei Bureaus.</w:t>
      </w:r>
    </w:p>
    <w:p w14:paraId="70A4DBF3" w14:textId="77777777" w:rsidR="00C1548D" w:rsidRDefault="009B1B4B">
      <w:pPr>
        <w:pStyle w:val="Heading3"/>
        <w:keepNext/>
        <w:jc w:val="center"/>
      </w:pPr>
      <w:r>
        <w:rPr>
          <w:rFonts w:ascii="Amazon Ember" w:eastAsia="Amazon Ember" w:hAnsi="Amazon Ember" w:cs="Amazon Ember"/>
          <w:color w:val="0000FF"/>
          <w:sz w:val="36"/>
          <w:szCs w:val="36"/>
        </w:rPr>
        <w:t>Die gesicherte Kreditkarte: der Einstieg in die US-Bonität</w:t>
      </w:r>
    </w:p>
    <w:p w14:paraId="70A4DBF4" w14:textId="77777777" w:rsidR="00C1548D" w:rsidRDefault="009B1B4B">
      <w:pPr>
        <w:spacing w:after="140"/>
      </w:pPr>
      <w:r>
        <w:t>Der zuverlässigste Weg zum ersten Score ist eine gesicherte Kreditkarte (</w:t>
      </w:r>
      <w:r>
        <w:rPr>
          <w:i/>
          <w:iCs/>
        </w:rPr>
        <w:t>Secured Credit Card</w:t>
      </w:r>
      <w:r>
        <w:t>): Du hinterlegst eine Kaution, meist 200 bis 500 $ (bei manchen Anbietern bis zu 3.000 $), die zugleich 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w:t>
      </w:r>
      <w:r>
        <w:t>ck.</w:t>
      </w:r>
    </w:p>
    <w:p w14:paraId="70A4DBF5" w14:textId="77777777" w:rsidR="00C1548D" w:rsidRDefault="009B1B4B">
      <w:pPr>
        <w:spacing w:after="140"/>
      </w:pPr>
      <w:r>
        <w:t>Entscheidend für den Score ist die Auslastung (</w:t>
      </w:r>
      <w:r>
        <w:rPr>
          <w:i/>
          <w:iCs/>
        </w:rPr>
        <w:t>Credit Utilization</w:t>
      </w:r>
      <w:r>
        <w:t>): Halte den genutzten Betrag dauerhaft unter 30 % des Limits, im Idealfall unter 10 %. Eine zweite Möglichkeit, schneller Historie aufzubauen, ist der Status als autorisierter Nutzer (</w:t>
      </w:r>
      <w:r>
        <w:rPr>
          <w:i/>
          <w:iCs/>
        </w:rPr>
        <w:t>Authorized User</w:t>
      </w:r>
      <w:r>
        <w:t>) auf der Karte eines Partners oder einer vertrauten Person mit langer, sauberer Zahlungshistorie – ob und wie stark das den eigenen Score stützt, hängt vom Kartenanbieter ab.</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F8"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BF6" w14:textId="77777777" w:rsidR="00C1548D" w:rsidRDefault="009B1B4B">
            <w:pPr>
              <w:keepNext/>
              <w:spacing w:after="70" w:line="240" w:lineRule="auto"/>
            </w:pPr>
            <w:r>
              <w:rPr>
                <w:b/>
                <w:bCs/>
                <w:color w:val="4A5568"/>
                <w:spacing w:val="24"/>
                <w:sz w:val="16"/>
                <w:szCs w:val="16"/>
              </w:rPr>
              <w:lastRenderedPageBreak/>
              <w:t>PRAXISBEISPIEL · FIKTIV</w:t>
            </w:r>
          </w:p>
          <w:p w14:paraId="70A4DBF7" w14:textId="77777777" w:rsidR="00C1548D" w:rsidRDefault="009B1B4B">
            <w:pPr>
              <w:spacing w:after="80" w:line="264" w:lineRule="auto"/>
            </w:pPr>
            <w:r>
              <w:rPr>
                <w:sz w:val="20"/>
                <w:szCs w:val="20"/>
              </w:rPr>
              <w:t>Sabine Keller zieht mit H-1B nach Seattle und hat trotz makelloser Schufa keinen US-Score. Bei ihrer Gehaltsbank eröffnet Sabine ein Konto und beantragt dort eine gesicherte Kreditkarte mit 500 $ Kaution, dazu ein separates Sparkonto für den Notgroschen. Jede Rechnung zahlt Sabine vollständig und pünktlich, die Auslastung hält sie unter 10 %, und in den ersten sechs Monaten beantragt sie keine weitere Karte. Nach sieben Monaten meldet ihr die Bank einen Score von 682; die Push-Nachricht mit der Zahl muss si</w:t>
            </w:r>
            <w:r>
              <w:rPr>
                <w:sz w:val="20"/>
                <w:szCs w:val="20"/>
              </w:rPr>
              <w:t>e erst zweimal lesen, bevor sie begreift, dass das gut ist. Die Bank bietet die Umstellung auf eine reguläre Karte mit Meilen-Programm an – ohne Kaution, mit höherem Limit.</w:t>
            </w:r>
          </w:p>
        </w:tc>
      </w:tr>
    </w:tbl>
    <w:p w14:paraId="70A4DBF9"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BF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BFA" w14:textId="77777777" w:rsidR="00C1548D" w:rsidRDefault="009B1B4B">
            <w:pPr>
              <w:keepNext/>
              <w:spacing w:after="70" w:line="240" w:lineRule="auto"/>
            </w:pPr>
            <w:r>
              <w:rPr>
                <w:b/>
                <w:bCs/>
                <w:color w:val="9B2C2C"/>
                <w:spacing w:val="24"/>
                <w:sz w:val="16"/>
                <w:szCs w:val="16"/>
              </w:rPr>
              <w:t>ACHTUNG</w:t>
            </w:r>
          </w:p>
          <w:p w14:paraId="70A4DBFB" w14:textId="77777777" w:rsidR="00C1548D" w:rsidRDefault="009B1B4B">
            <w:pPr>
              <w:spacing w:after="80" w:line="264" w:lineRule="auto"/>
            </w:pPr>
            <w:r>
              <w:rPr>
                <w:sz w:val="20"/>
                <w:szCs w:val="20"/>
              </w:rPr>
              <w:t>Zu viele Kartenanträge in kurzer Zeit lösen jeweils eine harte Anfrage (</w:t>
            </w:r>
            <w:r>
              <w:rPr>
                <w:i/>
                <w:iCs/>
                <w:sz w:val="20"/>
                <w:szCs w:val="20"/>
              </w:rPr>
              <w:t>Hard Inquiry</w:t>
            </w:r>
            <w:r>
              <w:rPr>
                <w:sz w:val="20"/>
                <w:szCs w:val="20"/>
              </w:rPr>
              <w:t>) aus und senken den Score kurzfristig. Kündige außerdem deine erste Karte nach dem Aufbau nicht vorschnell: Die Karte verlängert die Länge deiner Kredithistorie, die dauerhaft in den Score einfließt.</w:t>
            </w:r>
          </w:p>
        </w:tc>
      </w:tr>
    </w:tbl>
    <w:p w14:paraId="70A4DBFD" w14:textId="77777777" w:rsidR="00C1548D" w:rsidRDefault="00C1548D">
      <w:pPr>
        <w:spacing w:line="220" w:lineRule="exact"/>
      </w:pPr>
    </w:p>
    <w:p w14:paraId="70A4DBFE" w14:textId="77777777" w:rsidR="00C1548D" w:rsidRDefault="009B1B4B">
      <w:pPr>
        <w:pStyle w:val="Heading3"/>
        <w:keepNext/>
        <w:jc w:val="center"/>
      </w:pPr>
      <w:r>
        <w:rPr>
          <w:rFonts w:ascii="Amazon Ember" w:eastAsia="Amazon Ember" w:hAnsi="Amazon Ember" w:cs="Amazon Ember"/>
          <w:color w:val="0000FF"/>
          <w:sz w:val="36"/>
          <w:szCs w:val="36"/>
        </w:rPr>
        <w:t>Kreditkartenkultur: hohe Zinsen, eine klare Regel</w:t>
      </w:r>
    </w:p>
    <w:p w14:paraId="70A4DBFF" w14:textId="77777777" w:rsidR="00C1548D" w:rsidRDefault="009B1B4B">
      <w:pPr>
        <w:spacing w:after="140"/>
      </w:pPr>
      <w:r>
        <w:t>US-Kreditkarten sind fester Alltag – für Miete, Lebensmittel, Cashback und Meilenprogramme, die es in Deutschland kaum gibt. Der Preis dafür ist hoch: Der durchschnittliche effektive Jahreszins (</w:t>
      </w:r>
      <w:r>
        <w:rPr>
          <w:i/>
          <w:iCs/>
        </w:rPr>
        <w:t>APR</w:t>
      </w:r>
      <w:r>
        <w:t xml:space="preserve">, </w:t>
      </w:r>
      <w:r>
        <w:rPr>
          <w:i/>
          <w:iCs/>
        </w:rPr>
        <w:t>Annual Percentage Rate</w:t>
      </w:r>
      <w:r>
        <w:t>) lag 2026 bei allen Karten bei rund 21 %, bei Karten mit tatsächlicher Restschuld bei gut 22 % und bei neuen Kartenangeboten bei knapp 24 %; gesicherte Karten liegen mit rund 26 % noch darüber. Wer nur den Mindestbetrag (</w:t>
      </w:r>
      <w:r>
        <w:rPr>
          <w:i/>
          <w:iCs/>
        </w:rPr>
        <w:t>Minimum Payment</w:t>
      </w:r>
      <w:r>
        <w:t>) zahlt, zahlt jahrelang fast nur Zinsen, kaum die eigentliche Schuld ab.</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0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C00" w14:textId="77777777" w:rsidR="00C1548D" w:rsidRDefault="009B1B4B">
            <w:pPr>
              <w:keepNext/>
              <w:spacing w:after="70" w:line="240" w:lineRule="auto"/>
            </w:pPr>
            <w:r>
              <w:rPr>
                <w:b/>
                <w:bCs/>
                <w:color w:val="8A6212"/>
                <w:spacing w:val="24"/>
                <w:sz w:val="16"/>
                <w:szCs w:val="16"/>
              </w:rPr>
              <w:lastRenderedPageBreak/>
              <w:t>MERKE</w:t>
            </w:r>
          </w:p>
          <w:p w14:paraId="70A4DC01" w14:textId="77777777" w:rsidR="00C1548D" w:rsidRDefault="009B1B4B">
            <w:pPr>
              <w:spacing w:after="80" w:line="264" w:lineRule="auto"/>
            </w:pPr>
            <w:r>
              <w:rPr>
                <w:sz w:val="20"/>
                <w:szCs w:val="20"/>
              </w:rPr>
              <w:t>Die einzige verlässliche Regel im US-Kreditkartensystem lautet: Zahle die Rechnung jeden Monat vollständig (</w:t>
            </w:r>
            <w:r>
              <w:rPr>
                <w:i/>
                <w:iCs/>
                <w:sz w:val="20"/>
                <w:szCs w:val="20"/>
              </w:rPr>
              <w:t>Pay in Full</w:t>
            </w:r>
            <w:r>
              <w:rPr>
                <w:sz w:val="20"/>
                <w:szCs w:val="20"/>
              </w:rPr>
              <w:t>). Nur dann fallen keine Zinsen an, und Cashback und Meilen sind tatsächlich ein Vorteil statt eines teuren Nebeneffekts.</w:t>
            </w:r>
          </w:p>
        </w:tc>
      </w:tr>
    </w:tbl>
    <w:p w14:paraId="70A4DC03" w14:textId="77777777" w:rsidR="00C1548D" w:rsidRDefault="00C1548D">
      <w:pPr>
        <w:spacing w:line="220" w:lineRule="exact"/>
      </w:pPr>
    </w:p>
    <w:p w14:paraId="70A4DC04" w14:textId="77777777" w:rsidR="00C1548D" w:rsidRDefault="009B1B4B">
      <w:pPr>
        <w:pStyle w:val="Heading3"/>
        <w:keepNext/>
        <w:jc w:val="center"/>
      </w:pPr>
      <w:r>
        <w:rPr>
          <w:rFonts w:ascii="Amazon Ember" w:eastAsia="Amazon Ember" w:hAnsi="Amazon Ember" w:cs="Amazon Ember"/>
          <w:color w:val="0000FF"/>
          <w:sz w:val="36"/>
          <w:szCs w:val="36"/>
        </w:rPr>
        <w:t>Mobilfunk und Internet ohne Kredithistorie</w:t>
      </w:r>
    </w:p>
    <w:p w14:paraId="70A4DC05" w14:textId="77777777" w:rsidR="00C1548D" w:rsidRDefault="009B1B4B">
      <w:pPr>
        <w:spacing w:after="140"/>
      </w:pPr>
      <w:r>
        <w:t>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w:t>
      </w:r>
      <w:r>
        <w:t>t sich deshalb oft ein Prepaid-Tarif desselben Netzbetreibers, später umgewandelt in Postpaid. Bei Familientarifen reicht häufig eine bonitätsgeprüfte Hauptperson; weitere Leitungen für Partner oder Kinder lassen sich meist ohne eigene Prüfung ergänzen. Internetanbieter für die Wohnung verfahren ähnlich: Kaution statt Bonitätsprüfung ohne Kredithistorie.</w:t>
      </w:r>
    </w:p>
    <w:p w14:paraId="70A4DC06" w14:textId="77777777" w:rsidR="00C1548D" w:rsidRDefault="009B1B4B">
      <w:pPr>
        <w:pStyle w:val="Heading3"/>
        <w:keepNext/>
        <w:jc w:val="center"/>
      </w:pPr>
      <w:r>
        <w:rPr>
          <w:rFonts w:ascii="Amazon Ember" w:eastAsia="Amazon Ember" w:hAnsi="Amazon Ember" w:cs="Amazon Ember"/>
          <w:color w:val="0000FF"/>
          <w:sz w:val="36"/>
          <w:szCs w:val="36"/>
        </w:rPr>
        <w:t>Versicherungen im Alltag: was du wirklich brauchst</w:t>
      </w:r>
    </w:p>
    <w:p w14:paraId="70A4DC07" w14:textId="7EA7745D" w:rsidR="00C1548D" w:rsidRDefault="009B1B4B">
      <w:pPr>
        <w:spacing w:after="140"/>
      </w:pPr>
      <w: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history="1">
        <w:r>
          <w:t>27</w:t>
        </w:r>
      </w:hyperlink>
      <w:r>
        <w:t>.</w:t>
      </w:r>
    </w:p>
    <w:p w14:paraId="70A4DC08" w14:textId="12823800" w:rsidR="00C1548D" w:rsidRDefault="009B1B4B" w:rsidP="009B1B4B">
      <w:pPr>
        <w:pStyle w:val="ListParagraph"/>
        <w:numPr>
          <w:ilvl w:val="0"/>
          <w:numId w:val="1"/>
        </w:numPr>
        <w:spacing w:after="60"/>
      </w:pPr>
      <w:r>
        <w:rPr>
          <w:b/>
          <w:bCs/>
        </w:rPr>
        <w:lastRenderedPageBreak/>
        <w:t>Renters Insurance</w:t>
      </w:r>
      <w:r>
        <w:t xml:space="preserve"> (Mieterversicherung, bündelt Hausrat und private Haftpflicht) kostet meist 15 bis 25 $ im Monat (180–300 $ im Jahr), je nach Bundesstaat auch 13 bis 36 $; sie ist oft Vertragsbedingung des Vermieters (Kapitel </w:t>
      </w:r>
      <w:hyperlink w:anchor="k13" w:history="1">
        <w:r>
          <w:t>13</w:t>
        </w:r>
      </w:hyperlink>
      <w:r>
        <w:t>). Der eigene Score wirkt sich hier ebenfalls auf den Preis aus: Bei schwacher Bonität kann die Jahresprämie nach Marktanalysen von rund 150 $ auf über 450 $ steigen.</w:t>
      </w:r>
    </w:p>
    <w:p w14:paraId="70A4DC09" w14:textId="4767FC06" w:rsidR="00C1548D" w:rsidRDefault="009B1B4B" w:rsidP="009B1B4B">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die deutsche Schadenfreiheitsklasse zählt meist nicht, und schwache Bonität kann die Prämie in vielen Staaten deutlich erhöhen –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history="1">
        <w:r>
          <w:t>27</w:t>
        </w:r>
      </w:hyperlink>
      <w:r>
        <w:t>.</w:t>
      </w:r>
    </w:p>
    <w:p w14:paraId="70A4DC0A" w14:textId="52CFF267" w:rsidR="00C1548D" w:rsidRDefault="009B1B4B" w:rsidP="009B1B4B">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Vermögen, ein Haus (Kapitel </w:t>
      </w:r>
      <w:hyperlink w:anchor="k14" w:history="1">
        <w:r>
          <w:t>14</w:t>
        </w:r>
      </w:hyperlink>
      <w:r>
        <w:t>) oder ein erhöhtes Haftungsrisiko hast, etwa durch Hund, Pool oder häufige Gäste.</w:t>
      </w:r>
    </w:p>
    <w:p w14:paraId="70A4DC0B" w14:textId="4089B7FE" w:rsidR="00C1548D" w:rsidRDefault="009B1B4B" w:rsidP="009B1B4B">
      <w:pPr>
        <w:pStyle w:val="ListParagraph"/>
        <w:numPr>
          <w:ilvl w:val="0"/>
          <w:numId w:val="1"/>
        </w:numPr>
        <w:spacing w:after="60"/>
      </w:pPr>
      <w:r>
        <w:rPr>
          <w:b/>
          <w:bCs/>
        </w:rPr>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history="1">
        <w:r>
          <w:t>39</w:t>
        </w:r>
      </w:hyperlink>
      <w:r>
        <w:t>.</w:t>
      </w:r>
    </w:p>
    <w:p w14:paraId="70A4DC0C" w14:textId="77777777" w:rsidR="00C1548D" w:rsidRDefault="009B1B4B" w:rsidP="009B1B4B">
      <w:pPr>
        <w:pStyle w:val="ListParagraph"/>
        <w:numPr>
          <w:ilvl w:val="0"/>
          <w:numId w:val="1"/>
        </w:numPr>
        <w:spacing w:after="60"/>
      </w:pPr>
      <w:r>
        <w:rPr>
          <w:b/>
          <w:bCs/>
        </w:rPr>
        <w:t>Disability Insurance</w:t>
      </w:r>
      <w:r>
        <w:t xml:space="preserv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w:t>
      </w:r>
      <w:r>
        <w:lastRenderedPageBreak/>
        <w:t>ersten Berufsjahren in den USA lohnt sich ein Blick darauf, weil ein Anspruch auf die staatliche Erwerbsunfähigkeitsrente über Social Security in der Regel erst nach ausreichend eingezahlten Quartalen entsteht – frisch Zu</w:t>
      </w:r>
      <w:r>
        <w:t>gewanderte haben diese Absicherung meist noch nicht.</w:t>
      </w:r>
    </w:p>
    <w:p w14:paraId="70A4DC0D"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1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C0E" w14:textId="77777777" w:rsidR="00C1548D" w:rsidRDefault="009B1B4B">
            <w:pPr>
              <w:keepNext/>
              <w:spacing w:after="70" w:line="240" w:lineRule="auto"/>
            </w:pPr>
            <w:r>
              <w:rPr>
                <w:b/>
                <w:bCs/>
                <w:color w:val="9B2C2C"/>
                <w:spacing w:val="24"/>
                <w:sz w:val="16"/>
                <w:szCs w:val="16"/>
              </w:rPr>
              <w:t>ACHTUNG</w:t>
            </w:r>
          </w:p>
          <w:p w14:paraId="70A4DC0F" w14:textId="6D3A1330" w:rsidR="00C1548D" w:rsidRDefault="009B1B4B">
            <w:pPr>
              <w:spacing w:after="80" w:line="264" w:lineRule="auto"/>
            </w:pPr>
            <w:r>
              <w:rPr>
                <w:sz w:val="20"/>
                <w:szCs w:val="20"/>
              </w:rPr>
              <w:t>Prüfe vor Abschluss jeder Zusatzpolice, was deine Arbeitgeberversicherung bereits abdeckt (Krankenversicherung: Kapitel </w:t>
            </w:r>
            <w:hyperlink w:anchor="k26" w:history="1">
              <w:r>
                <w:rPr>
                  <w:sz w:val="20"/>
                  <w:szCs w:val="20"/>
                </w:rPr>
                <w:t>26</w:t>
              </w:r>
            </w:hyperlink>
            <w:r>
              <w:rPr>
                <w:sz w:val="20"/>
                <w:szCs w:val="20"/>
              </w:rPr>
              <w:t>; Disability oft im Leistungspaket). Doppelter Schutz kostet doppelt, ohne doppelten Nutzen zu bringen.</w:t>
            </w:r>
          </w:p>
        </w:tc>
      </w:tr>
    </w:tbl>
    <w:p w14:paraId="70A4DC11" w14:textId="77777777" w:rsidR="00C1548D" w:rsidRDefault="00C1548D">
      <w:pPr>
        <w:spacing w:line="220" w:lineRule="exact"/>
      </w:pPr>
    </w:p>
    <w:p w14:paraId="70A4DC12" w14:textId="77777777" w:rsidR="00C1548D" w:rsidRDefault="009B1B4B">
      <w:pPr>
        <w:pStyle w:val="Heading3"/>
        <w:keepNext/>
        <w:jc w:val="center"/>
      </w:pPr>
      <w:r>
        <w:rPr>
          <w:rFonts w:ascii="Amazon Ember" w:eastAsia="Amazon Ember" w:hAnsi="Amazon Ember" w:cs="Amazon Ember"/>
          <w:color w:val="0000FF"/>
          <w:sz w:val="36"/>
          <w:szCs w:val="36"/>
        </w:rPr>
        <w:t>Identitätsdiebstahl: vorbeugen und reagieren</w:t>
      </w:r>
    </w:p>
    <w:p w14:paraId="70A4DC13" w14:textId="77777777" w:rsidR="00C1548D" w:rsidRDefault="009B1B4B">
      <w:pPr>
        <w:spacing w:after="140"/>
      </w:pPr>
      <w:r>
        <w:t xml:space="preserve">Weil so viel über SSN, Kreditkarte und Bankkonto läuft, ist Identitätsdiebstahl in den USA ein reales Risiko: Die Verbraucherschutzbehörde FTC zählte 2025 rund drei Millionen Betrugsmeldungen mit gemeldeten Schäden von 15,9 Milliarden $. Ein </w:t>
      </w:r>
      <w:r>
        <w:rPr>
          <w:i/>
          <w:iCs/>
        </w:rPr>
        <w:t>Credit Freeze</w:t>
      </w:r>
      <w:r>
        <w:t xml:space="preserve"> (Sperre der Kreditauskunft) ist bei allen drei Bureaus kostenlos, bleibt bis zur Aufhebung bestehen und beeinflusst deinen Score nicht; beantrage ihn bei Equifax, Experian und TransUnion einzeln und hebe ihn vor einer eigenen Kreditanfrage vorübergehend auf. Ein </w:t>
      </w:r>
      <w:r>
        <w:rPr>
          <w:i/>
          <w:iCs/>
        </w:rPr>
        <w:t>Fraud Alert</w:t>
      </w:r>
      <w:r>
        <w:t xml:space="preserve"> ist schwächer, aber schneller eingerichtet: ein Jahr im Basis-, sieben Jahre im erweiterten Fall. Beim IRS schützt eine </w:t>
      </w:r>
      <w:r>
        <w:rPr>
          <w:i/>
          <w:iCs/>
        </w:rPr>
        <w:t>Identity Protection PIN</w:t>
      </w:r>
      <w:r>
        <w:t xml:space="preserve"> (IP-PIN), über das IRS Online Account beantragbar für jede Person mit SSN oder ITIN, vor betrügerischen Steuererklärungen auf deinen Namen.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1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C14" w14:textId="77777777" w:rsidR="00C1548D" w:rsidRDefault="009B1B4B">
            <w:pPr>
              <w:keepNext/>
              <w:spacing w:after="70" w:line="240" w:lineRule="auto"/>
            </w:pPr>
            <w:r>
              <w:rPr>
                <w:b/>
                <w:bCs/>
                <w:color w:val="9B2C2C"/>
                <w:spacing w:val="24"/>
                <w:sz w:val="16"/>
                <w:szCs w:val="16"/>
              </w:rPr>
              <w:lastRenderedPageBreak/>
              <w:t>ACHTUNG</w:t>
            </w:r>
          </w:p>
          <w:p w14:paraId="70A4DC15" w14:textId="77777777" w:rsidR="00C1548D" w:rsidRDefault="009B1B4B">
            <w:pPr>
              <w:spacing w:after="80" w:line="264" w:lineRule="auto"/>
            </w:pPr>
            <w:r>
              <w:rPr>
                <w:sz w:val="20"/>
                <w:szCs w:val="20"/>
              </w:rPr>
              <w:t>Eine Zelle- oder Drahtüberweisung (</w:t>
            </w:r>
            <w:r>
              <w:rPr>
                <w:i/>
                <w:iCs/>
                <w:sz w:val="20"/>
                <w:szCs w:val="20"/>
              </w:rPr>
              <w:t>Wire Transfer</w:t>
            </w:r>
            <w:r>
              <w:rPr>
                <w:sz w:val="20"/>
                <w:szCs w:val="20"/>
              </w:rPr>
              <w:t>) lässt sich fast nie zurückholen, eine Kreditkartenzahlung dagegen meist per Rückbuchung (</w:t>
            </w:r>
            <w:r>
              <w:rPr>
                <w:i/>
                <w:iCs/>
                <w:sz w:val="20"/>
                <w:szCs w:val="20"/>
              </w:rPr>
              <w:t>Chargeback</w:t>
            </w:r>
            <w:r>
              <w:rPr>
                <w:sz w:val="20"/>
                <w:szCs w:val="20"/>
              </w:rPr>
              <w:t>). Zahle deshalb größere oder unbekannte Beträge nach Möglichkeit mit Kreditkarte, nicht per Zelle oder Überweisung.</w:t>
            </w:r>
          </w:p>
        </w:tc>
      </w:tr>
    </w:tbl>
    <w:p w14:paraId="70A4DC17" w14:textId="77777777" w:rsidR="00C1548D" w:rsidRDefault="00C1548D">
      <w:pPr>
        <w:spacing w:line="220" w:lineRule="exact"/>
      </w:pPr>
    </w:p>
    <w:p w14:paraId="70A4DC18" w14:textId="3C8449D0" w:rsidR="00C1548D" w:rsidRDefault="009B1B4B">
      <w:pPr>
        <w:spacing w:after="140"/>
      </w:pPr>
      <w:r>
        <w:t>Ist etwas schiefgelaufen, ist IdentityTheft.gov der richtige erste Schritt: Die Seite erstellt einen individuellen Wiederherstellungsplan. Betrugsversuche meldest du zusätzlich auf ReportFraud.ftc.gov. Bewahre deine SSN-Karte deshalb möglichst zu 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history="1">
        <w:r>
          <w:t>40</w:t>
        </w:r>
      </w:hyperlink>
      <w:r>
        <w:t>.</w:t>
      </w:r>
    </w:p>
    <w:p w14:paraId="70A4DC19" w14:textId="77777777" w:rsidR="00C1548D" w:rsidRDefault="009B1B4B">
      <w:pPr>
        <w:pStyle w:val="Heading3"/>
        <w:keepNext/>
        <w:jc w:val="center"/>
      </w:pPr>
      <w:r>
        <w:rPr>
          <w:rFonts w:ascii="Amazon Ember" w:eastAsia="Amazon Ember" w:hAnsi="Amazon Ember" w:cs="Amazon Ember"/>
          <w:color w:val="0000FF"/>
          <w:sz w:val="36"/>
          <w:szCs w:val="36"/>
        </w:rPr>
        <w:t>Notgroschen</w:t>
      </w:r>
    </w:p>
    <w:p w14:paraId="70A4DC1A" w14:textId="4E7C3177" w:rsidR="00C1548D" w:rsidRDefault="009B1B4B">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Kapitel </w:t>
      </w:r>
      <w:hyperlink w:anchor="k29" w:history="1">
        <w:r>
          <w:t>29</w:t>
        </w:r>
      </w:hyperlink>
      <w:r>
        <w:t xml:space="preserve"> und </w:t>
      </w:r>
      <w:hyperlink w:anchor="k30" w:history="1">
        <w:r>
          <w:t>30</w:t>
        </w:r>
      </w:hyperlink>
      <w:r>
        <w:t>), und bis eine neue Krankenversicherung greift, können Wochen vergehen (</w:t>
      </w:r>
      <w:r>
        <w:t>Kapitel </w:t>
      </w:r>
      <w:hyperlink w:anchor="k26" w:history="1">
        <w:r>
          <w:t>26</w:t>
        </w:r>
      </w:hyperlink>
      <w:r>
        <w:t>). Ein hochverzinstes Sparkonto (</w:t>
      </w:r>
      <w:r>
        <w:rPr>
          <w:i/>
          <w:iCs/>
        </w:rPr>
        <w:t>High-Yield Savings Account</w:t>
      </w:r>
      <w:r>
        <w:t>), getrennt vom Checking Account, verhindert, dass das Polster im Alltag verschwindet, und wirft nebenbei Zins ab. Bei monatlichen Fixkosten von beispielsweise 3.500 $ bedeutet das ein Polster von 10.500 bis 21.000 $ – eine Summe, die sich über das erste bis zweite Jahr schrittweise aufbauen lässt, nicht auf einen Schlag.</w:t>
      </w:r>
    </w:p>
    <w:p w14:paraId="70A4DC1B"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C1E"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1C"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1D" w14:textId="77777777" w:rsidR="00C1548D" w:rsidRDefault="009B1B4B">
            <w:pPr>
              <w:spacing w:line="250" w:lineRule="auto"/>
            </w:pPr>
            <w:r>
              <w:rPr>
                <w:b/>
                <w:bCs/>
                <w:sz w:val="18"/>
                <w:szCs w:val="18"/>
              </w:rPr>
              <w:t>Minus</w:t>
            </w:r>
          </w:p>
        </w:tc>
      </w:tr>
      <w:tr w:rsidR="00C1548D" w14:paraId="70A4DC2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1F" w14:textId="77777777" w:rsidR="00C1548D" w:rsidRDefault="009B1B4B">
            <w:pPr>
              <w:spacing w:line="250" w:lineRule="auto"/>
            </w:pPr>
            <w:r>
              <w:rPr>
                <w:sz w:val="18"/>
                <w:szCs w:val="18"/>
              </w:rPr>
              <w:t>Konto und erste Karte lassen sich oft binnen weniger Tage eröffnen, auch ohne SSN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20" w14:textId="77777777" w:rsidR="00C1548D" w:rsidRDefault="009B1B4B">
            <w:pPr>
              <w:spacing w:line="250" w:lineRule="auto"/>
            </w:pPr>
            <w:r>
              <w:rPr>
                <w:sz w:val="18"/>
                <w:szCs w:val="18"/>
              </w:rPr>
              <w:t>Kreditwürdigkeit startet trotz makelloser Schufa bei null</w:t>
            </w:r>
          </w:p>
        </w:tc>
      </w:tr>
      <w:tr w:rsidR="00C1548D" w14:paraId="70A4DC2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22" w14:textId="77777777" w:rsidR="00C1548D" w:rsidRDefault="009B1B4B">
            <w:pPr>
              <w:spacing w:line="250" w:lineRule="auto"/>
            </w:pPr>
            <w:r>
              <w:rPr>
                <w:sz w:val="18"/>
                <w:szCs w:val="18"/>
              </w:rPr>
              <w:t>Mobile Banking, Zelle, Venmo und Fintechs wie Wise sind ausgereift und meist kostenlos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23" w14:textId="77777777" w:rsidR="00C1548D" w:rsidRDefault="009B1B4B">
            <w:pPr>
              <w:spacing w:line="250" w:lineRule="auto"/>
            </w:pPr>
            <w:r>
              <w:rPr>
                <w:sz w:val="18"/>
                <w:szCs w:val="18"/>
              </w:rPr>
              <w:t>Ohne Score hohe Zinsen oder Ablehnungen bei Handy, Auto und teils Miete</w:t>
            </w:r>
          </w:p>
        </w:tc>
      </w:tr>
      <w:tr w:rsidR="00C1548D" w14:paraId="70A4DC2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25" w14:textId="77777777" w:rsidR="00C1548D" w:rsidRDefault="009B1B4B">
            <w:pPr>
              <w:spacing w:line="250" w:lineRule="auto"/>
            </w:pPr>
            <w:r>
              <w:rPr>
                <w:sz w:val="18"/>
                <w:szCs w:val="18"/>
              </w:rPr>
              <w:t>Kreditkarten bieten Cashback und Meilen, die es in Deutschland selten gibt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26" w14:textId="77777777" w:rsidR="00C1548D" w:rsidRDefault="009B1B4B">
            <w:pPr>
              <w:spacing w:line="250" w:lineRule="auto"/>
            </w:pPr>
            <w:r>
              <w:rPr>
                <w:sz w:val="18"/>
                <w:szCs w:val="18"/>
              </w:rPr>
              <w:t>Kreditkartenzinsen von 20 % oder mehr bestrafen jede offene Restschuld hart</w:t>
            </w:r>
          </w:p>
        </w:tc>
      </w:tr>
      <w:tr w:rsidR="00C1548D" w14:paraId="70A4DC2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28" w14:textId="77777777" w:rsidR="00C1548D" w:rsidRDefault="009B1B4B">
            <w:pPr>
              <w:spacing w:line="250" w:lineRule="auto"/>
            </w:pPr>
            <w:r>
              <w:rPr>
                <w:sz w:val="18"/>
                <w:szCs w:val="18"/>
              </w:rPr>
              <w:t>Versicherungen wie Umbrella lassen sich individuell zuschneiden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29" w14:textId="77777777" w:rsidR="00C1548D" w:rsidRDefault="009B1B4B">
            <w:pPr>
              <w:spacing w:line="250" w:lineRule="auto"/>
            </w:pPr>
            <w:r>
              <w:rPr>
                <w:sz w:val="18"/>
                <w:szCs w:val="18"/>
              </w:rPr>
              <w:t>Fast nichts ist gesetzlich vorgeschrieben – die Verantwortung liegt bei dir</w:t>
            </w:r>
          </w:p>
        </w:tc>
      </w:tr>
    </w:tbl>
    <w:p w14:paraId="70A4DC2B" w14:textId="77777777" w:rsidR="00C1548D" w:rsidRDefault="00C1548D">
      <w:pPr>
        <w:spacing w:line="180" w:lineRule="exact"/>
      </w:pPr>
    </w:p>
    <w:p w14:paraId="70A4DC2C"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C2D" w14:textId="635FBEE1" w:rsidR="00C1548D" w:rsidRDefault="009B1B4B">
      <w:pPr>
        <w:spacing w:after="140"/>
      </w:pPr>
      <w:r>
        <w:t>Eröffne dein Bankkonto in den ersten Tagen nach Ankunft (Kapitel </w:t>
      </w:r>
      <w:hyperlink w:anchor="k23" w:history="1">
        <w:r>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3B"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C2E" w14:textId="77777777" w:rsidR="00C1548D" w:rsidRDefault="009B1B4B">
            <w:pPr>
              <w:keepNext/>
              <w:spacing w:after="70" w:line="240" w:lineRule="auto"/>
            </w:pPr>
            <w:r>
              <w:rPr>
                <w:b/>
                <w:bCs/>
                <w:color w:val="1F6F78"/>
                <w:spacing w:val="24"/>
                <w:sz w:val="16"/>
                <w:szCs w:val="16"/>
              </w:rPr>
              <w:lastRenderedPageBreak/>
              <w:t>CHECKLISTE</w:t>
            </w:r>
          </w:p>
          <w:p w14:paraId="70A4DC2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Bankkonto eröffnet (Pass, Visum, I-94, Adressnachweis dabei)</w:t>
            </w:r>
          </w:p>
          <w:p w14:paraId="70A4DC3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Frist für Nachreichen von SSN oder ITIN beim Konto notiert</w:t>
            </w:r>
          </w:p>
          <w:p w14:paraId="70A4DC3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Zelle und Venmo eingerichtet, Datenschutz-Einstellungen bei Venmo geprüft</w:t>
            </w:r>
          </w:p>
          <w:p w14:paraId="70A4DC3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Kosten von Bank-Überweisung und Fintech-Anbieter für Zahlungen aus Deutschland verglichen</w:t>
            </w:r>
          </w:p>
          <w:p w14:paraId="70A4DC3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Gesicherte Kreditkarte beantragt, Kaution hinterlegt</w:t>
            </w:r>
          </w:p>
          <w:p w14:paraId="70A4DC3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Daueranweisung zur vollständigen monatlichen Zahlung der Kreditkartenrechnung eingerichtet</w:t>
            </w:r>
          </w:p>
          <w:p w14:paraId="70A4DC3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Nova-Credit-Unterstützung für Deutschland direkt beim Kartenanbieter geprüft, nicht vorausgesetzt</w:t>
            </w:r>
          </w:p>
          <w:p w14:paraId="70A4DC3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Prepaid- oder Postpaid-Tarif für Handy und Internet gewählt</w:t>
            </w:r>
          </w:p>
          <w:p w14:paraId="70A4DC3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Renters Insurance abgeschlossen, falls vom Vermieter verlangt oder sinnvoll</w:t>
            </w:r>
          </w:p>
          <w:p w14:paraId="70A4DC3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Bedarf an Umbrella-, Term-Life- und Disability-Versicherung geprüft</w:t>
            </w:r>
          </w:p>
          <w:p w14:paraId="70A4DC3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Credit Freeze bei Equifax, Experian und TransUnion eingerichtet oder bewusst offengelassen</w:t>
            </w:r>
          </w:p>
          <w:p w14:paraId="70A4DC3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Notgroschen auf separatem Sparkonto angelegt</w:t>
            </w:r>
          </w:p>
        </w:tc>
      </w:tr>
    </w:tbl>
    <w:p w14:paraId="70A4DC3C" w14:textId="77777777" w:rsidR="00C1548D" w:rsidRDefault="00C1548D">
      <w:pPr>
        <w:spacing w:line="220" w:lineRule="exact"/>
      </w:pPr>
    </w:p>
    <w:p w14:paraId="70A4DC3D"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C3E" w14:textId="5F6FB31F" w:rsidR="00C1548D" w:rsidRDefault="009B1B4B" w:rsidP="009B1B4B">
      <w:pPr>
        <w:pStyle w:val="ListParagraph"/>
        <w:numPr>
          <w:ilvl w:val="0"/>
          <w:numId w:val="1"/>
        </w:numPr>
        <w:spacing w:after="60"/>
      </w:pPr>
      <w:hyperlink r:id="rId209" w:history="1">
        <w:r>
          <w:rPr>
            <w:color w:val="0563C1"/>
            <w:u w:val="single"/>
          </w:rPr>
          <w:t>myfico.com</w:t>
        </w:r>
      </w:hyperlink>
      <w:r>
        <w:t xml:space="preserve"> – Aufbau und Faktoren des FICO-Scores</w:t>
      </w:r>
    </w:p>
    <w:p w14:paraId="70A4DC3F" w14:textId="7E0ECEDF" w:rsidR="00C1548D" w:rsidRDefault="009B1B4B" w:rsidP="009B1B4B">
      <w:pPr>
        <w:pStyle w:val="ListParagraph"/>
        <w:numPr>
          <w:ilvl w:val="0"/>
          <w:numId w:val="1"/>
        </w:numPr>
        <w:spacing w:after="60"/>
      </w:pPr>
      <w:hyperlink r:id="rId210" w:history="1">
        <w:r>
          <w:rPr>
            <w:color w:val="0563C1"/>
            <w:u w:val="single"/>
          </w:rPr>
          <w:t>annualcreditreport.com</w:t>
        </w:r>
      </w:hyperlink>
      <w:r>
        <w:t xml:space="preserve"> – kostenlose Kreditauskunft aller drei Bureaus</w:t>
      </w:r>
    </w:p>
    <w:p w14:paraId="70A4DC40" w14:textId="75BB0D0E" w:rsidR="00C1548D" w:rsidRDefault="009B1B4B" w:rsidP="009B1B4B">
      <w:pPr>
        <w:pStyle w:val="ListParagraph"/>
        <w:numPr>
          <w:ilvl w:val="0"/>
          <w:numId w:val="1"/>
        </w:numPr>
        <w:spacing w:after="60"/>
      </w:pPr>
      <w:hyperlink r:id="rId211" w:history="1">
        <w:r>
          <w:rPr>
            <w:color w:val="0563C1"/>
            <w:u w:val="single"/>
          </w:rPr>
          <w:t>federalreserve.gov/releases/g19</w:t>
        </w:r>
      </w:hyperlink>
      <w:r>
        <w:t xml:space="preserve"> – offizielle Statistik zu Kreditkartenzinsen</w:t>
      </w:r>
    </w:p>
    <w:p w14:paraId="70A4DC41" w14:textId="68E590DF" w:rsidR="00C1548D" w:rsidRDefault="009B1B4B" w:rsidP="009B1B4B">
      <w:pPr>
        <w:pStyle w:val="ListParagraph"/>
        <w:numPr>
          <w:ilvl w:val="0"/>
          <w:numId w:val="1"/>
        </w:numPr>
        <w:spacing w:after="60"/>
      </w:pPr>
      <w:hyperlink r:id="rId212" w:history="1">
        <w:r>
          <w:rPr>
            <w:color w:val="0563C1"/>
            <w:u w:val="single"/>
          </w:rPr>
          <w:t>consumer.ftc.gov/articles/what-know-about-credit-freezes-fraud-alerts</w:t>
        </w:r>
      </w:hyperlink>
      <w:r>
        <w:t xml:space="preserve"> – Credit Freeze und Fraud Alert</w:t>
      </w:r>
    </w:p>
    <w:p w14:paraId="70A4DC42" w14:textId="240939AF" w:rsidR="00C1548D" w:rsidRDefault="009B1B4B" w:rsidP="009B1B4B">
      <w:pPr>
        <w:pStyle w:val="ListParagraph"/>
        <w:numPr>
          <w:ilvl w:val="0"/>
          <w:numId w:val="1"/>
        </w:numPr>
        <w:spacing w:after="60"/>
      </w:pPr>
      <w:hyperlink r:id="rId213" w:history="1">
        <w:r>
          <w:rPr>
            <w:color w:val="0563C1"/>
            <w:u w:val="single"/>
          </w:rPr>
          <w:t>identitytheft.gov</w:t>
        </w:r>
      </w:hyperlink>
      <w:r>
        <w:t xml:space="preserve"> – Hilfe nach Identitätsdiebstahl</w:t>
      </w:r>
    </w:p>
    <w:p w14:paraId="70A4DC43" w14:textId="633A614B" w:rsidR="00C1548D" w:rsidRDefault="009B1B4B" w:rsidP="009B1B4B">
      <w:pPr>
        <w:pStyle w:val="ListParagraph"/>
        <w:numPr>
          <w:ilvl w:val="0"/>
          <w:numId w:val="1"/>
        </w:numPr>
        <w:spacing w:after="60"/>
      </w:pPr>
      <w:hyperlink r:id="rId214" w:history="1">
        <w:r>
          <w:rPr>
            <w:color w:val="0563C1"/>
            <w:u w:val="single"/>
          </w:rPr>
          <w:t>irs.gov/identity-theft-fraud-scams/get-an-identity-protection-pin</w:t>
        </w:r>
      </w:hyperlink>
      <w:r>
        <w:t xml:space="preserve"> – IP-PIN beantragen</w:t>
      </w:r>
    </w:p>
    <w:p w14:paraId="70A4DC44" w14:textId="6C620B79" w:rsidR="00C1548D" w:rsidRDefault="009B1B4B" w:rsidP="009B1B4B">
      <w:pPr>
        <w:pStyle w:val="ListParagraph"/>
        <w:numPr>
          <w:ilvl w:val="0"/>
          <w:numId w:val="1"/>
        </w:numPr>
        <w:spacing w:after="60"/>
      </w:pPr>
      <w:hyperlink r:id="rId215" w:history="1">
        <w:r>
          <w:rPr>
            <w:color w:val="0563C1"/>
            <w:u w:val="single"/>
          </w:rPr>
          <w:t>novacredit.com/credit-passport</w:t>
        </w:r>
      </w:hyperlink>
      <w:r>
        <w:t xml:space="preserve"> – Nova Credit / Credit Passport</w:t>
      </w:r>
    </w:p>
    <w:p w14:paraId="70A4DC45" w14:textId="446854FD" w:rsidR="00C1548D" w:rsidRDefault="009B1B4B" w:rsidP="009B1B4B">
      <w:pPr>
        <w:pStyle w:val="ListParagraph"/>
        <w:numPr>
          <w:ilvl w:val="0"/>
          <w:numId w:val="1"/>
        </w:numPr>
        <w:spacing w:after="60"/>
      </w:pPr>
      <w:hyperlink r:id="rId216" w:history="1">
        <w:r>
          <w:rPr>
            <w:color w:val="0563C1"/>
            <w:u w:val="single"/>
          </w:rPr>
          <w:t>wise.com</w:t>
        </w:r>
      </w:hyperlink>
      <w:r>
        <w:t xml:space="preserve"> – Beispiel für einen Fintech-Anbieter für Auslandsüberweisungen</w:t>
      </w:r>
    </w:p>
    <w:p w14:paraId="70A4DC4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49"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C47" w14:textId="77777777" w:rsidR="00C1548D" w:rsidRDefault="009B1B4B">
            <w:pPr>
              <w:keepNext/>
              <w:spacing w:after="70" w:line="240" w:lineRule="auto"/>
            </w:pPr>
            <w:r>
              <w:rPr>
                <w:b/>
                <w:bCs/>
                <w:color w:val="6B7280"/>
                <w:spacing w:val="24"/>
                <w:sz w:val="16"/>
                <w:szCs w:val="16"/>
              </w:rPr>
              <w:t>STAND</w:t>
            </w:r>
          </w:p>
          <w:p w14:paraId="70A4DC48" w14:textId="77777777" w:rsidR="00C1548D" w:rsidRDefault="009B1B4B">
            <w:pPr>
              <w:spacing w:after="80" w:line="264" w:lineRule="auto"/>
            </w:pPr>
            <w:r>
              <w:rPr>
                <w:sz w:val="20"/>
                <w:szCs w:val="20"/>
              </w:rPr>
              <w:t>September 2026. Schnell ändern sich: Kreditkartenzinsen, Versicherungsprämien, Wechselkurse und die Länderliste von Anbietern wie Nova Credit. Prüfe vor jeder Entscheidung die aktuellen Werte bei deiner Bank, deinem Versicherer oder den genannten Quellen.</w:t>
            </w:r>
          </w:p>
        </w:tc>
      </w:tr>
    </w:tbl>
    <w:p w14:paraId="70A4DC4A" w14:textId="77777777" w:rsidR="00C1548D" w:rsidRDefault="00C1548D">
      <w:pPr>
        <w:spacing w:line="220" w:lineRule="exact"/>
      </w:pPr>
    </w:p>
    <w:p w14:paraId="70A4DC4B" w14:textId="77777777" w:rsidR="00C1548D" w:rsidRDefault="009B1B4B">
      <w:pPr>
        <w:pStyle w:val="Heading2"/>
        <w:keepNext/>
        <w:pageBreakBefore/>
        <w:jc w:val="center"/>
      </w:pPr>
      <w:bookmarkStart w:id="63" w:name="k26"/>
      <w:bookmarkStart w:id="64" w:name="_Toc241352480"/>
      <w:r>
        <w:rPr>
          <w:rFonts w:ascii="Amazon Ember" w:eastAsia="Amazon Ember" w:hAnsi="Amazon Ember" w:cs="Amazon Ember"/>
          <w:color w:val="0000FF"/>
          <w:sz w:val="36"/>
          <w:szCs w:val="36"/>
        </w:rPr>
        <w:lastRenderedPageBreak/>
        <w:t>Kapitel 26: Das US-Gesundheitssystem für Neuankömmlinge</w:t>
      </w:r>
      <w:bookmarkEnd w:id="63"/>
      <w:bookmarkEnd w:id="64"/>
    </w:p>
    <w:p w14:paraId="70A4DC4C" w14:textId="77777777" w:rsidR="00C1548D" w:rsidRDefault="009B1B4B">
      <w:pPr>
        <w:spacing w:after="140"/>
      </w:pPr>
      <w:r>
        <w:t>Es ist Samstagabend, du bist seit drei Wochen in den USA, und dein Kind hat hohes Fieber. Einen amerikanischen Kinderarzt hast du noch nicht, und die Krankenversicherung deines Arbeitgebers beginnt erst in sieben Wochen. Das ist kein Pech, sondern eine Folge des Systems: In den USA hängt die Krankenversicherung am Job, und zwischen Landung und Versicherungsbeginn liegt oft eine Lücke. Dieses Kapitel erklärt, wie das System funktioniert, was es kostet und wie du die ersten Monate überbrückst.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54"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C4D" w14:textId="77777777" w:rsidR="00C1548D" w:rsidRDefault="009B1B4B">
            <w:pPr>
              <w:keepNext/>
              <w:spacing w:after="70" w:line="240" w:lineRule="auto"/>
            </w:pPr>
            <w:r>
              <w:rPr>
                <w:b/>
                <w:bCs/>
                <w:color w:val="1F3A5F"/>
                <w:spacing w:val="24"/>
                <w:sz w:val="16"/>
                <w:szCs w:val="16"/>
              </w:rPr>
              <w:t>KURZ GESAGT</w:t>
            </w:r>
          </w:p>
          <w:p w14:paraId="70A4DC4E" w14:textId="77777777" w:rsidR="00C1548D" w:rsidRDefault="009B1B4B" w:rsidP="009B1B4B">
            <w:pPr>
              <w:pStyle w:val="ListParagraph"/>
              <w:numPr>
                <w:ilvl w:val="0"/>
                <w:numId w:val="1"/>
              </w:numPr>
              <w:spacing w:after="50" w:line="264" w:lineRule="auto"/>
            </w:pPr>
            <w:r>
              <w:rPr>
                <w:sz w:val="20"/>
                <w:szCs w:val="20"/>
              </w:rPr>
              <w:t>Als Beschäftigter bist du meist über den Arbeitgeber versichert (2025: 53,5 % der Bevölkerung) — keine Einheitskasse, sondern Pläne privater Versicherer, die du jedes Jahr neu wählst.</w:t>
            </w:r>
          </w:p>
          <w:p w14:paraId="70A4DC4F" w14:textId="77777777" w:rsidR="00C1548D" w:rsidRDefault="009B1B4B" w:rsidP="009B1B4B">
            <w:pPr>
              <w:pStyle w:val="ListParagraph"/>
              <w:numPr>
                <w:ilvl w:val="0"/>
                <w:numId w:val="1"/>
              </w:numPr>
              <w:spacing w:after="50" w:line="264" w:lineRule="auto"/>
            </w:pPr>
            <w:r>
              <w:rPr>
                <w:sz w:val="20"/>
                <w:szCs w:val="20"/>
              </w:rPr>
              <w:t>Du zahlst dreifach: Beitrag (</w:t>
            </w:r>
            <w:r>
              <w:rPr>
                <w:i/>
                <w:iCs/>
                <w:sz w:val="20"/>
                <w:szCs w:val="20"/>
              </w:rPr>
              <w:t>Premium</w:t>
            </w:r>
            <w:r>
              <w:rPr>
                <w:sz w:val="20"/>
                <w:szCs w:val="20"/>
              </w:rPr>
              <w:t>, im Schnitt ca. 120 $ im Monat für dich, ca. 571 $ für die Familie), Selbstbehalt (</w:t>
            </w:r>
            <w:r>
              <w:rPr>
                <w:i/>
                <w:iCs/>
                <w:sz w:val="20"/>
                <w:szCs w:val="20"/>
              </w:rPr>
              <w:t>Deductible</w:t>
            </w:r>
            <w:r>
              <w:rPr>
                <w:sz w:val="20"/>
                <w:szCs w:val="20"/>
              </w:rPr>
              <w:t>, im Schnitt 1.886 $) und Zuzahlungen bis zur Jahreshöchstgrenze der Eigenkosten (</w:t>
            </w:r>
            <w:r>
              <w:rPr>
                <w:i/>
                <w:iCs/>
                <w:sz w:val="20"/>
                <w:szCs w:val="20"/>
              </w:rPr>
              <w:t>Out-of-Pocket Maximum</w:t>
            </w:r>
            <w:r>
              <w:rPr>
                <w:sz w:val="20"/>
                <w:szCs w:val="20"/>
              </w:rPr>
              <w:t>, im Schnitt 4.423 $).</w:t>
            </w:r>
          </w:p>
          <w:p w14:paraId="70A4DC50" w14:textId="77777777" w:rsidR="00C1548D" w:rsidRDefault="009B1B4B" w:rsidP="009B1B4B">
            <w:pPr>
              <w:pStyle w:val="ListParagraph"/>
              <w:numPr>
                <w:ilvl w:val="0"/>
                <w:numId w:val="1"/>
              </w:numPr>
              <w:spacing w:after="50" w:line="264" w:lineRule="auto"/>
            </w:pPr>
            <w:r>
              <w:rPr>
                <w:sz w:val="20"/>
                <w:szCs w:val="20"/>
              </w:rPr>
              <w:t>Die Deckung beginnt oft erst nach einer Wartefrist von bis zu 90 Tagen; die Einschreibefrist beträgt meist 30 Tage. Plane für die Lücke bis zu drei oder vier Monate Überbrückung ein.</w:t>
            </w:r>
          </w:p>
          <w:p w14:paraId="70A4DC51" w14:textId="77777777" w:rsidR="00C1548D" w:rsidRDefault="009B1B4B" w:rsidP="009B1B4B">
            <w:pPr>
              <w:pStyle w:val="ListParagraph"/>
              <w:numPr>
                <w:ilvl w:val="0"/>
                <w:numId w:val="1"/>
              </w:numPr>
              <w:spacing w:after="50" w:line="264" w:lineRule="auto"/>
            </w:pPr>
            <w:r>
              <w:rPr>
                <w:sz w:val="20"/>
                <w:szCs w:val="20"/>
              </w:rPr>
              <w:t xml:space="preserve">Bei Fieber, Verstauchung oder Infekt ist meist </w:t>
            </w:r>
            <w:r>
              <w:rPr>
                <w:i/>
                <w:iCs/>
                <w:sz w:val="20"/>
                <w:szCs w:val="20"/>
              </w:rPr>
              <w:t>Urgent Care</w:t>
            </w:r>
            <w:r>
              <w:rPr>
                <w:sz w:val="20"/>
                <w:szCs w:val="20"/>
              </w:rPr>
              <w:t xml:space="preserve"> (Walk-in-Klinik) oder Telemedizin richtig, nicht die Notaufnahme. Bei Lebensgefahr wählst du den Notruf 911.</w:t>
            </w:r>
          </w:p>
          <w:p w14:paraId="70A4DC52" w14:textId="77777777" w:rsidR="00C1548D" w:rsidRDefault="009B1B4B" w:rsidP="009B1B4B">
            <w:pPr>
              <w:pStyle w:val="ListParagraph"/>
              <w:numPr>
                <w:ilvl w:val="0"/>
                <w:numId w:val="1"/>
              </w:numPr>
              <w:spacing w:after="50" w:line="264" w:lineRule="auto"/>
            </w:pPr>
            <w:r>
              <w:rPr>
                <w:sz w:val="20"/>
                <w:szCs w:val="20"/>
              </w:rPr>
              <w:t>Zahn und Augen sind getrennte Pläne. Rechnungen zahlst du erst nach dem Abgleich mit der Abrechnung deines Versicherers.</w:t>
            </w:r>
          </w:p>
          <w:p w14:paraId="70A4DC53" w14:textId="77777777" w:rsidR="00C1548D" w:rsidRDefault="009B1B4B" w:rsidP="009B1B4B">
            <w:pPr>
              <w:pStyle w:val="ListParagraph"/>
              <w:numPr>
                <w:ilvl w:val="0"/>
                <w:numId w:val="1"/>
              </w:numPr>
              <w:spacing w:after="50" w:line="264" w:lineRule="auto"/>
            </w:pPr>
            <w:r>
              <w:rPr>
                <w:sz w:val="20"/>
                <w:szCs w:val="20"/>
              </w:rPr>
              <w:t>Marktplatz-Zuschüsse gibt es ab 2027 nur noch für Green-Card-Inhaber; Visa-Inhaber können weiter zum Vollpreis kaufen.</w:t>
            </w:r>
          </w:p>
        </w:tc>
      </w:tr>
    </w:tbl>
    <w:p w14:paraId="70A4DC55" w14:textId="77777777" w:rsidR="00C1548D" w:rsidRDefault="00C1548D">
      <w:pPr>
        <w:spacing w:line="220" w:lineRule="exact"/>
      </w:pPr>
    </w:p>
    <w:p w14:paraId="70A4DC56" w14:textId="77777777" w:rsidR="00C1548D" w:rsidRDefault="009B1B4B">
      <w:pPr>
        <w:pStyle w:val="Heading3"/>
        <w:keepNext/>
        <w:jc w:val="center"/>
      </w:pPr>
      <w:r>
        <w:rPr>
          <w:rFonts w:ascii="Amazon Ember" w:eastAsia="Amazon Ember" w:hAnsi="Amazon Ember" w:cs="Amazon Ember"/>
          <w:color w:val="0000FF"/>
          <w:sz w:val="36"/>
          <w:szCs w:val="36"/>
        </w:rPr>
        <w:lastRenderedPageBreak/>
        <w:t>Das Prinzip: Versicherung hängt am Arbeitgeber</w:t>
      </w:r>
    </w:p>
    <w:p w14:paraId="70A4DC57" w14:textId="77777777" w:rsidR="00C1548D" w:rsidRDefault="009B1B4B">
      <w:pPr>
        <w:spacing w:after="140"/>
      </w:pPr>
      <w:r>
        <w:t xml:space="preserve">Nach dem Statistikamt Census waren 2025 rund 53,5 % der US-Bevölkerung über einen Arbeitgeber versichert, 20,1 % über </w:t>
      </w:r>
      <w:r>
        <w:rPr>
          <w:i/>
          <w:iCs/>
        </w:rPr>
        <w:t>Medicare</w:t>
      </w:r>
      <w:r>
        <w:t xml:space="preserve"> (ab 65), 17,1 % über </w:t>
      </w:r>
      <w:r>
        <w:rPr>
          <w:i/>
          <w:iCs/>
        </w:rPr>
        <w:t>Medicaid</w:t>
      </w:r>
      <w:r>
        <w:t xml:space="preserve"> (Geringverdienende) und 10,5 % über selbst gekaufte Pläne — Mehrfachdeckung ist möglich, die Werte ergeben deshalb nicht 100 %. Unversichert waren 7,9 % (26,7 Millionen Menschen). Nach der Arbeitgeberumfrage der Stiftung KFF bieten 61 % der Firmen ab zehn Beschäftigten eine Versicherung an: 97 % ab 200 Beschäftigten, aber nur 59 % der kleineren. Frage im Bewerbungsprozess deshalb nach dem Leistungspaket (</w:t>
      </w:r>
      <w:r>
        <w:rPr>
          <w:i/>
          <w:iCs/>
        </w:rPr>
        <w:t>Benefits</w:t>
      </w:r>
      <w:r>
        <w:t>), nicht nur nach dem Gehalt.</w:t>
      </w:r>
    </w:p>
    <w:p w14:paraId="70A4DC58" w14:textId="77777777" w:rsidR="00C1548D" w:rsidRDefault="009B1B4B">
      <w:pPr>
        <w:spacing w:after="140"/>
      </w:pPr>
      <w:r>
        <w:t>Verbreiteter Irrtum: „Krankenversicherung“ klinge nach einem System wie der GKV, nur eben amerikanisch organisiert. Tatsächlich kennen die USA, anders als die gesetzliche Krankenversicherung (GKV)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w:t>
      </w:r>
      <w:r>
        <w:t>gen abgleichen.</w:t>
      </w:r>
    </w:p>
    <w:p w14:paraId="70A4DC59" w14:textId="5043C3F0" w:rsidR="00C1548D" w:rsidRDefault="009B1B4B">
      <w:pPr>
        <w:spacing w:after="140"/>
      </w:pPr>
      <w:r>
        <w:t>Eine bundesweite Versicherungspflicht mit Strafzahlung gibt es seit 2019 nicht mehr, einzelne Staaten wie Massachusetts und New Jersey haben eine eigene. Unversichert zu sein bleibt für Neuankömmlinge dennoch riskant: Notaufnahmen von Krankenhäusern mit Medicare-Zulassung müssen dich nach dem Bundesgesetz EMTALA untersuchen und stabilisieren, unabhängig von deiner Zahlungsfähigkeit — kostenlos ist das nicht, die Rechnung kommt später. Vorbereitung in Deutschland (GKV-Austritt, Anwartschaft): Kapitel </w:t>
      </w:r>
      <w:hyperlink w:anchor="k18" w:history="1">
        <w:r>
          <w:t>18</w:t>
        </w:r>
      </w:hyperlink>
      <w:r>
        <w:t>; der Weg zurück in die GKV: Kapitel </w:t>
      </w:r>
      <w:hyperlink w:anchor="k42" w:history="1">
        <w:r>
          <w:t>42</w:t>
        </w:r>
      </w:hyperlink>
      <w:r>
        <w:t>.</w:t>
      </w:r>
    </w:p>
    <w:p w14:paraId="70A4DC5A" w14:textId="77777777" w:rsidR="00C1548D" w:rsidRDefault="009B1B4B">
      <w:pPr>
        <w:pStyle w:val="Heading3"/>
        <w:keepNext/>
        <w:jc w:val="center"/>
      </w:pPr>
      <w:r>
        <w:rPr>
          <w:rFonts w:ascii="Amazon Ember" w:eastAsia="Amazon Ember" w:hAnsi="Amazon Ember" w:cs="Amazon Ember"/>
          <w:color w:val="0000FF"/>
          <w:sz w:val="36"/>
          <w:szCs w:val="36"/>
        </w:rPr>
        <w:lastRenderedPageBreak/>
        <w:t>Plantypen: HMO, PPO, HDHP und HSA</w:t>
      </w:r>
    </w:p>
    <w:p w14:paraId="70A4DC5B" w14:textId="77777777" w:rsidR="00C1548D" w:rsidRDefault="009B1B4B">
      <w:pPr>
        <w:spacing w:after="140"/>
      </w:pPr>
      <w:r>
        <w:t>Dein Arbeitgeber bietet oft mehrere Pläne an. Sie unterscheiden sich im Netzwerk (</w:t>
      </w:r>
      <w:r>
        <w:rPr>
          <w:i/>
          <w:iCs/>
        </w:rPr>
        <w:t>Network</w:t>
      </w:r>
      <w:r>
        <w:t>: die Ärzte und Kliniken, mit denen der Versicherer Preise vereinbart hat) und in der Kostenverteilung. Die Tabelle zeigt die vier häufigsten Typen und ihren Anteil bei Arbeitgeberplänen 2025 (KFF).</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63"/>
        <w:gridCol w:w="2967"/>
        <w:gridCol w:w="950"/>
      </w:tblGrid>
      <w:tr w:rsidR="00C1548D" w14:paraId="70A4DC5F" w14:textId="77777777">
        <w:tblPrEx>
          <w:tblCellMar>
            <w:top w:w="0" w:type="dxa"/>
            <w:bottom w:w="0" w:type="dxa"/>
          </w:tblCellMar>
        </w:tblPrEx>
        <w:trPr>
          <w:cantSplit/>
          <w:tblHeader/>
        </w:trPr>
        <w:tc>
          <w:tcPr>
            <w:tcW w:w="256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5C" w14:textId="77777777" w:rsidR="00C1548D" w:rsidRDefault="009B1B4B">
            <w:pPr>
              <w:spacing w:line="250" w:lineRule="auto"/>
            </w:pPr>
            <w:r>
              <w:rPr>
                <w:b/>
                <w:bCs/>
                <w:sz w:val="18"/>
                <w:szCs w:val="18"/>
              </w:rPr>
              <w:t>Plantyp</w:t>
            </w:r>
          </w:p>
        </w:tc>
        <w:tc>
          <w:tcPr>
            <w:tcW w:w="296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5D" w14:textId="77777777" w:rsidR="00C1548D" w:rsidRDefault="009B1B4B">
            <w:pPr>
              <w:spacing w:line="250" w:lineRule="auto"/>
            </w:pPr>
            <w:r>
              <w:rPr>
                <w:b/>
                <w:bCs/>
                <w:sz w:val="18"/>
                <w:szCs w:val="18"/>
              </w:rPr>
              <w:t>So funktioniert er</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5E" w14:textId="77777777" w:rsidR="00C1548D" w:rsidRDefault="009B1B4B">
            <w:pPr>
              <w:spacing w:line="250" w:lineRule="auto"/>
            </w:pPr>
            <w:r>
              <w:rPr>
                <w:b/>
                <w:bCs/>
                <w:sz w:val="18"/>
                <w:szCs w:val="18"/>
              </w:rPr>
              <w:t>Anteil</w:t>
            </w:r>
          </w:p>
        </w:tc>
      </w:tr>
      <w:tr w:rsidR="00C1548D" w14:paraId="70A4DC63" w14:textId="77777777">
        <w:tblPrEx>
          <w:tblCellMar>
            <w:top w:w="0" w:type="dxa"/>
            <w:bottom w:w="0" w:type="dxa"/>
          </w:tblCellMar>
        </w:tblPrEx>
        <w:trPr>
          <w:cantSplit/>
        </w:trPr>
        <w:tc>
          <w:tcPr>
            <w:tcW w:w="25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0" w14:textId="77777777" w:rsidR="00C1548D" w:rsidRDefault="009B1B4B">
            <w:pPr>
              <w:spacing w:line="250" w:lineRule="auto"/>
            </w:pPr>
            <w:r>
              <w:rPr>
                <w:i/>
                <w:iCs/>
                <w:sz w:val="18"/>
                <w:szCs w:val="18"/>
              </w:rPr>
              <w:t>PPO</w:t>
            </w:r>
            <w:r>
              <w:rPr>
                <w:sz w:val="18"/>
                <w:szCs w:val="18"/>
              </w:rPr>
              <w:t xml:space="preserve"> (Preferred Provider Organization)</w:t>
            </w:r>
          </w:p>
        </w:tc>
        <w:tc>
          <w:tcPr>
            <w:tcW w:w="29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1" w14:textId="77777777" w:rsidR="00C1548D" w:rsidRDefault="009B1B4B">
            <w:pPr>
              <w:spacing w:line="250" w:lineRule="auto"/>
            </w:pPr>
            <w:r>
              <w:rPr>
                <w:sz w:val="18"/>
                <w:szCs w:val="18"/>
              </w:rPr>
              <w:t>Netzwerk günstiger; Ärzte außerhalb möglich, aber teurer; Facharzt ohne Überweisung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2" w14:textId="77777777" w:rsidR="00C1548D" w:rsidRDefault="009B1B4B">
            <w:pPr>
              <w:spacing w:line="250" w:lineRule="auto"/>
            </w:pPr>
            <w:r>
              <w:rPr>
                <w:sz w:val="18"/>
                <w:szCs w:val="18"/>
              </w:rPr>
              <w:t>46 %</w:t>
            </w:r>
          </w:p>
        </w:tc>
      </w:tr>
      <w:tr w:rsidR="00C1548D" w14:paraId="70A4DC67" w14:textId="77777777">
        <w:tblPrEx>
          <w:tblCellMar>
            <w:top w:w="0" w:type="dxa"/>
            <w:bottom w:w="0" w:type="dxa"/>
          </w:tblCellMar>
        </w:tblPrEx>
        <w:trPr>
          <w:cantSplit/>
        </w:trPr>
        <w:tc>
          <w:tcPr>
            <w:tcW w:w="25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4" w14:textId="77777777" w:rsidR="00C1548D" w:rsidRDefault="009B1B4B">
            <w:pPr>
              <w:spacing w:line="250" w:lineRule="auto"/>
            </w:pPr>
            <w:r>
              <w:rPr>
                <w:i/>
                <w:iCs/>
                <w:sz w:val="18"/>
                <w:szCs w:val="18"/>
              </w:rPr>
              <w:t>HDHP</w:t>
            </w:r>
            <w:r>
              <w:rPr>
                <w:sz w:val="18"/>
                <w:szCs w:val="18"/>
              </w:rPr>
              <w:t xml:space="preserve"> (High Deductible Health Plan) mit Sparoption</w:t>
            </w:r>
          </w:p>
        </w:tc>
        <w:tc>
          <w:tcPr>
            <w:tcW w:w="29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5" w14:textId="77777777" w:rsidR="00C1548D" w:rsidRDefault="009B1B4B">
            <w:pPr>
              <w:spacing w:line="250" w:lineRule="auto"/>
            </w:pPr>
            <w:r>
              <w:rPr>
                <w:sz w:val="18"/>
                <w:szCs w:val="18"/>
              </w:rPr>
              <w:t>Niedrigere Prämie, hoher Selbstbehalt, meist mit HSA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6" w14:textId="77777777" w:rsidR="00C1548D" w:rsidRDefault="009B1B4B">
            <w:pPr>
              <w:spacing w:line="250" w:lineRule="auto"/>
            </w:pPr>
            <w:r>
              <w:rPr>
                <w:sz w:val="18"/>
                <w:szCs w:val="18"/>
              </w:rPr>
              <w:t>33 %</w:t>
            </w:r>
          </w:p>
        </w:tc>
      </w:tr>
      <w:tr w:rsidR="00C1548D" w14:paraId="70A4DC6B" w14:textId="77777777">
        <w:tblPrEx>
          <w:tblCellMar>
            <w:top w:w="0" w:type="dxa"/>
            <w:bottom w:w="0" w:type="dxa"/>
          </w:tblCellMar>
        </w:tblPrEx>
        <w:trPr>
          <w:cantSplit/>
        </w:trPr>
        <w:tc>
          <w:tcPr>
            <w:tcW w:w="25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8" w14:textId="77777777" w:rsidR="00C1548D" w:rsidRDefault="009B1B4B">
            <w:pPr>
              <w:spacing w:line="250" w:lineRule="auto"/>
            </w:pPr>
            <w:r>
              <w:rPr>
                <w:i/>
                <w:iCs/>
                <w:sz w:val="18"/>
                <w:szCs w:val="18"/>
              </w:rPr>
              <w:t>HMO</w:t>
            </w:r>
            <w:r>
              <w:rPr>
                <w:sz w:val="18"/>
                <w:szCs w:val="18"/>
              </w:rPr>
              <w:t xml:space="preserve"> (Health Maintenance Organization)</w:t>
            </w:r>
          </w:p>
        </w:tc>
        <w:tc>
          <w:tcPr>
            <w:tcW w:w="29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9" w14:textId="77777777" w:rsidR="00C1548D" w:rsidRDefault="009B1B4B">
            <w:pPr>
              <w:spacing w:line="250" w:lineRule="auto"/>
            </w:pPr>
            <w:r>
              <w:rPr>
                <w:sz w:val="18"/>
                <w:szCs w:val="18"/>
              </w:rPr>
              <w:t>Meist nur Netzwerkärzte (außer im Notfall); der Hausarzt steuert Überweisungen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A" w14:textId="77777777" w:rsidR="00C1548D" w:rsidRDefault="009B1B4B">
            <w:pPr>
              <w:spacing w:line="250" w:lineRule="auto"/>
            </w:pPr>
            <w:r>
              <w:rPr>
                <w:sz w:val="18"/>
                <w:szCs w:val="18"/>
              </w:rPr>
              <w:t>12 %</w:t>
            </w:r>
          </w:p>
        </w:tc>
      </w:tr>
      <w:tr w:rsidR="00C1548D" w14:paraId="70A4DC6F" w14:textId="77777777">
        <w:tblPrEx>
          <w:tblCellMar>
            <w:top w:w="0" w:type="dxa"/>
            <w:bottom w:w="0" w:type="dxa"/>
          </w:tblCellMar>
        </w:tblPrEx>
        <w:trPr>
          <w:cantSplit/>
        </w:trPr>
        <w:tc>
          <w:tcPr>
            <w:tcW w:w="25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C" w14:textId="77777777" w:rsidR="00C1548D" w:rsidRDefault="009B1B4B">
            <w:pPr>
              <w:spacing w:line="250" w:lineRule="auto"/>
            </w:pPr>
            <w:r>
              <w:rPr>
                <w:i/>
                <w:iCs/>
                <w:sz w:val="18"/>
                <w:szCs w:val="18"/>
              </w:rPr>
              <w:t>POS</w:t>
            </w:r>
            <w:r>
              <w:rPr>
                <w:sz w:val="18"/>
                <w:szCs w:val="18"/>
              </w:rPr>
              <w:t xml:space="preserve"> (Point of Service)</w:t>
            </w:r>
          </w:p>
        </w:tc>
        <w:tc>
          <w:tcPr>
            <w:tcW w:w="29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D" w14:textId="77777777" w:rsidR="00C1548D" w:rsidRDefault="009B1B4B">
            <w:pPr>
              <w:spacing w:line="250" w:lineRule="auto"/>
            </w:pPr>
            <w:r>
              <w:rPr>
                <w:sz w:val="18"/>
                <w:szCs w:val="18"/>
              </w:rPr>
              <w:t>Mischform: Netzwerk günstiger, Facharzt per Überweisung des Hausarztes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6E" w14:textId="77777777" w:rsidR="00C1548D" w:rsidRDefault="009B1B4B">
            <w:pPr>
              <w:spacing w:line="250" w:lineRule="auto"/>
            </w:pPr>
            <w:r>
              <w:rPr>
                <w:sz w:val="18"/>
                <w:szCs w:val="18"/>
              </w:rPr>
              <w:t>9 %</w:t>
            </w:r>
          </w:p>
        </w:tc>
      </w:tr>
    </w:tbl>
    <w:p w14:paraId="70A4DC70" w14:textId="77777777" w:rsidR="00C1548D" w:rsidRDefault="00C1548D">
      <w:pPr>
        <w:spacing w:line="180" w:lineRule="exact"/>
      </w:pPr>
    </w:p>
    <w:p w14:paraId="70A4DC71" w14:textId="77777777" w:rsidR="00C1548D" w:rsidRDefault="009B1B4B">
      <w:pPr>
        <w:spacing w:after="140"/>
      </w:pPr>
      <w:r>
        <w:t xml:space="preserve">Dazu kommt der </w:t>
      </w:r>
      <w:r>
        <w:rPr>
          <w:i/>
          <w:iCs/>
        </w:rPr>
        <w:t>EPO</w:t>
      </w:r>
      <w:r>
        <w:t xml:space="preserve"> (Exclusive Provider Organization), der wie ein HMO nur das Netzwerk bezahlt. HMO-Pläne sind meist günstiger, bei 47 % ihrer Versicherten gibt es keinen Selbstbehalt; dafür schränken sie die Arztwahl ein. Beim PPO zahlst du für die Freiheit mehr Prämie.</w:t>
      </w:r>
    </w:p>
    <w:p w14:paraId="70A4DC72" w14:textId="425FD8B5" w:rsidR="00C1548D" w:rsidRDefault="009B1B4B">
      <w:pPr>
        <w:spacing w:after="140"/>
      </w:pPr>
      <w:r>
        <w:t xml:space="preserve">Der HDHP verlangt einen hohen Selbstbehalt: 2026 mindestens 1.700 $ für Einzelpersonen und 3.400 $ für Familien (2027: 1.750 $ und 3.500 $). Dafür darfst du ein </w:t>
      </w:r>
      <w:r>
        <w:rPr>
          <w:i/>
          <w:iCs/>
        </w:rPr>
        <w:t>Health Savings Account</w:t>
      </w:r>
      <w:r>
        <w:t xml:space="preserve"> (HSA) führen, ein steuerbegünstigtes Gesundheitssparkonto. Einzahlen darfst du 2026 bis zu 4.400 $ (Einzelperson) bzw. 8.750 $ (Familie), 2027 bis zu 4.500 $ bzw. 9.000 $; ab 55 Jahren kommen 1.000 $ hinzu. Das Guthaben gehört dir, verfällt nicht und darf für Arzt-, Zahn- und Augenkosten entnommen werden. Viele Arbeitgeber zahlen einen Beitrag ein; steuerliche Details, auch der Staaten: Kapitel </w:t>
      </w:r>
      <w:hyperlink w:anchor="k28" w:history="1">
        <w:r>
          <w:t>28</w:t>
        </w:r>
      </w:hyperlink>
      <w:r>
        <w:t>.</w:t>
      </w:r>
    </w:p>
    <w:p w14:paraId="70A4DC73" w14:textId="77777777" w:rsidR="00C1548D" w:rsidRDefault="009B1B4B">
      <w:pPr>
        <w:spacing w:after="140"/>
      </w:pPr>
      <w:r>
        <w:lastRenderedPageBreak/>
        <w:t>Junge, gesunde Beschäftigte fahren mit dem HDHP oft gut; wer Kinder, eine chronische Erkrankung oder einen geplanten Eingriff hat, rechnet besser mit PPO oder HMO.</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7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C74" w14:textId="77777777" w:rsidR="00C1548D" w:rsidRDefault="009B1B4B">
            <w:pPr>
              <w:keepNext/>
              <w:spacing w:after="70" w:line="240" w:lineRule="auto"/>
            </w:pPr>
            <w:r>
              <w:rPr>
                <w:b/>
                <w:bCs/>
                <w:color w:val="8A6212"/>
                <w:spacing w:val="24"/>
                <w:sz w:val="16"/>
                <w:szCs w:val="16"/>
              </w:rPr>
              <w:t>MERKE</w:t>
            </w:r>
          </w:p>
          <w:p w14:paraId="70A4DC75" w14:textId="77777777" w:rsidR="00C1548D" w:rsidRDefault="009B1B4B">
            <w:pPr>
              <w:spacing w:after="80" w:line="264" w:lineRule="auto"/>
            </w:pPr>
            <w:r>
              <w:rPr>
                <w:sz w:val="20"/>
                <w:szCs w:val="20"/>
              </w:rPr>
              <w:t>Vergleiche Pläne nie nur nach der Prämie. Rechne für jeden Plan das teuerste Jahr (12 × Monatsprämie + Out-of-Pocket-Maximum) und das wahrscheinliche Jahr (12 × Monatsprämie + die Arztkosten, die du erwartest). Prüfe zuerst, ob deine Ärzte im Netzwerk sind.</w:t>
            </w:r>
          </w:p>
        </w:tc>
      </w:tr>
    </w:tbl>
    <w:p w14:paraId="70A4DC77" w14:textId="77777777" w:rsidR="00C1548D" w:rsidRDefault="00C1548D">
      <w:pPr>
        <w:spacing w:line="220" w:lineRule="exact"/>
      </w:pPr>
    </w:p>
    <w:p w14:paraId="70A4DC78" w14:textId="77777777" w:rsidR="00C1548D" w:rsidRDefault="009B1B4B">
      <w:pPr>
        <w:pStyle w:val="Heading3"/>
        <w:keepNext/>
        <w:jc w:val="center"/>
      </w:pPr>
      <w:r>
        <w:rPr>
          <w:rFonts w:ascii="Amazon Ember" w:eastAsia="Amazon Ember" w:hAnsi="Amazon Ember" w:cs="Amazon Ember"/>
          <w:color w:val="0000FF"/>
          <w:sz w:val="36"/>
          <w:szCs w:val="36"/>
        </w:rPr>
        <w:t>Die Begriffe im Überblick</w:t>
      </w:r>
    </w:p>
    <w:p w14:paraId="70A4DC79" w14:textId="77777777" w:rsidR="00C1548D" w:rsidRDefault="009B1B4B">
      <w:pPr>
        <w:spacing w:after="140"/>
      </w:pPr>
      <w:r>
        <w:t>Ein guter Teil des amerikanischen Krankenversicherungsalltags besteht aus acht Wörtern. Die Beispiele beziehen sich auf einen fiktiven Plan: Premium 120 $ im Monat, Deductible 1.500 $, Coinsurance 20 %, Out-of-Pocket-Maximum 4.000 $, Hausarzt-Copay 30 $.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7"/>
        <w:gridCol w:w="3261"/>
        <w:gridCol w:w="1852"/>
      </w:tblGrid>
      <w:tr w:rsidR="00C1548D" w14:paraId="70A4DC7D" w14:textId="77777777">
        <w:tblPrEx>
          <w:tblCellMar>
            <w:top w:w="0" w:type="dxa"/>
            <w:bottom w:w="0" w:type="dxa"/>
          </w:tblCellMar>
        </w:tblPrEx>
        <w:trPr>
          <w:cantSplit/>
          <w:tblHeader/>
        </w:trPr>
        <w:tc>
          <w:tcPr>
            <w:tcW w:w="136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7A" w14:textId="77777777" w:rsidR="00C1548D" w:rsidRDefault="009B1B4B">
            <w:pPr>
              <w:spacing w:line="250" w:lineRule="auto"/>
            </w:pPr>
            <w:r>
              <w:rPr>
                <w:b/>
                <w:bCs/>
                <w:sz w:val="18"/>
                <w:szCs w:val="18"/>
              </w:rPr>
              <w:t>Begriff</w:t>
            </w:r>
          </w:p>
        </w:tc>
        <w:tc>
          <w:tcPr>
            <w:tcW w:w="326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7B" w14:textId="77777777" w:rsidR="00C1548D" w:rsidRDefault="009B1B4B">
            <w:pPr>
              <w:spacing w:line="250" w:lineRule="auto"/>
            </w:pPr>
            <w:r>
              <w:rPr>
                <w:b/>
                <w:bCs/>
                <w:sz w:val="18"/>
                <w:szCs w:val="18"/>
              </w:rPr>
              <w:t>Bedeutung</w:t>
            </w:r>
          </w:p>
        </w:tc>
        <w:tc>
          <w:tcPr>
            <w:tcW w:w="18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7C" w14:textId="77777777" w:rsidR="00C1548D" w:rsidRDefault="009B1B4B">
            <w:pPr>
              <w:spacing w:line="250" w:lineRule="auto"/>
            </w:pPr>
            <w:r>
              <w:rPr>
                <w:b/>
                <w:bCs/>
                <w:sz w:val="18"/>
                <w:szCs w:val="18"/>
              </w:rPr>
              <w:t>Beispiel</w:t>
            </w:r>
          </w:p>
        </w:tc>
      </w:tr>
      <w:tr w:rsidR="00C1548D" w14:paraId="70A4DC81" w14:textId="77777777">
        <w:tblPrEx>
          <w:tblCellMar>
            <w:top w:w="0" w:type="dxa"/>
            <w:bottom w:w="0" w:type="dxa"/>
          </w:tblCellMar>
        </w:tblPrEx>
        <w:trPr>
          <w:cantSplit/>
        </w:trPr>
        <w:tc>
          <w:tcPr>
            <w:tcW w:w="13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7E" w14:textId="77777777" w:rsidR="00C1548D" w:rsidRDefault="009B1B4B">
            <w:pPr>
              <w:spacing w:line="250" w:lineRule="auto"/>
            </w:pPr>
            <w:r>
              <w:rPr>
                <w:i/>
                <w:iCs/>
                <w:sz w:val="18"/>
                <w:szCs w:val="18"/>
              </w:rPr>
              <w:t>Premium</w:t>
            </w:r>
          </w:p>
        </w:tc>
        <w:tc>
          <w:tcPr>
            <w:tcW w:w="32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7F" w14:textId="77777777" w:rsidR="00C1548D" w:rsidRDefault="009B1B4B">
            <w:pPr>
              <w:spacing w:line="250" w:lineRule="auto"/>
            </w:pPr>
            <w:r>
              <w:rPr>
                <w:sz w:val="18"/>
                <w:szCs w:val="18"/>
              </w:rPr>
              <w:t>Monatsbeitrag; fällt immer an, auch ohne Arztbesuch</w:t>
            </w:r>
          </w:p>
        </w:tc>
        <w:tc>
          <w:tcPr>
            <w:tcW w:w="18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0" w14:textId="77777777" w:rsidR="00C1548D" w:rsidRDefault="009B1B4B">
            <w:pPr>
              <w:spacing w:line="250" w:lineRule="auto"/>
            </w:pPr>
            <w:r>
              <w:rPr>
                <w:sz w:val="18"/>
                <w:szCs w:val="18"/>
              </w:rPr>
              <w:t>120 $ im Monat, vom Gehalt abgezogen</w:t>
            </w:r>
          </w:p>
        </w:tc>
      </w:tr>
      <w:tr w:rsidR="00C1548D" w14:paraId="70A4DC85" w14:textId="77777777">
        <w:tblPrEx>
          <w:tblCellMar>
            <w:top w:w="0" w:type="dxa"/>
            <w:bottom w:w="0" w:type="dxa"/>
          </w:tblCellMar>
        </w:tblPrEx>
        <w:trPr>
          <w:cantSplit/>
        </w:trPr>
        <w:tc>
          <w:tcPr>
            <w:tcW w:w="13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2" w14:textId="77777777" w:rsidR="00C1548D" w:rsidRDefault="009B1B4B">
            <w:pPr>
              <w:spacing w:line="250" w:lineRule="auto"/>
            </w:pPr>
            <w:r>
              <w:rPr>
                <w:i/>
                <w:iCs/>
                <w:sz w:val="18"/>
                <w:szCs w:val="18"/>
              </w:rPr>
              <w:t>Deductible</w:t>
            </w:r>
          </w:p>
        </w:tc>
        <w:tc>
          <w:tcPr>
            <w:tcW w:w="32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3" w14:textId="77777777" w:rsidR="00C1548D" w:rsidRDefault="009B1B4B">
            <w:pPr>
              <w:spacing w:line="250" w:lineRule="auto"/>
            </w:pPr>
            <w:r>
              <w:rPr>
                <w:sz w:val="18"/>
                <w:szCs w:val="18"/>
              </w:rPr>
              <w:t>Selbstbehalt: der Betrag pro Jahr, den du zuerst selbst zahlst</w:t>
            </w:r>
          </w:p>
        </w:tc>
        <w:tc>
          <w:tcPr>
            <w:tcW w:w="18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4" w14:textId="77777777" w:rsidR="00C1548D" w:rsidRDefault="009B1B4B">
            <w:pPr>
              <w:spacing w:line="250" w:lineRule="auto"/>
            </w:pPr>
            <w:r>
              <w:rPr>
                <w:sz w:val="18"/>
                <w:szCs w:val="18"/>
              </w:rPr>
              <w:t>1.500 $</w:t>
            </w:r>
          </w:p>
        </w:tc>
      </w:tr>
      <w:tr w:rsidR="00C1548D" w14:paraId="70A4DC89" w14:textId="77777777">
        <w:tblPrEx>
          <w:tblCellMar>
            <w:top w:w="0" w:type="dxa"/>
            <w:bottom w:w="0" w:type="dxa"/>
          </w:tblCellMar>
        </w:tblPrEx>
        <w:trPr>
          <w:cantSplit/>
        </w:trPr>
        <w:tc>
          <w:tcPr>
            <w:tcW w:w="13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6" w14:textId="77777777" w:rsidR="00C1548D" w:rsidRDefault="009B1B4B">
            <w:pPr>
              <w:spacing w:line="250" w:lineRule="auto"/>
            </w:pPr>
            <w:r>
              <w:rPr>
                <w:i/>
                <w:iCs/>
                <w:sz w:val="18"/>
                <w:szCs w:val="18"/>
              </w:rPr>
              <w:t>Copay</w:t>
            </w:r>
          </w:p>
        </w:tc>
        <w:tc>
          <w:tcPr>
            <w:tcW w:w="32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7" w14:textId="77777777" w:rsidR="00C1548D" w:rsidRDefault="009B1B4B">
            <w:pPr>
              <w:spacing w:line="250" w:lineRule="auto"/>
            </w:pPr>
            <w:r>
              <w:rPr>
                <w:sz w:val="18"/>
                <w:szCs w:val="18"/>
              </w:rPr>
              <w:t>Zuzahlung als Festbetrag pro Besuch oder Rezept</w:t>
            </w:r>
          </w:p>
        </w:tc>
        <w:tc>
          <w:tcPr>
            <w:tcW w:w="18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8" w14:textId="77777777" w:rsidR="00C1548D" w:rsidRDefault="009B1B4B">
            <w:pPr>
              <w:spacing w:line="250" w:lineRule="auto"/>
            </w:pPr>
            <w:r>
              <w:rPr>
                <w:sz w:val="18"/>
                <w:szCs w:val="18"/>
              </w:rPr>
              <w:t>30 $ beim Hausarzt</w:t>
            </w:r>
          </w:p>
        </w:tc>
      </w:tr>
      <w:tr w:rsidR="00C1548D" w14:paraId="70A4DC8D" w14:textId="77777777">
        <w:tblPrEx>
          <w:tblCellMar>
            <w:top w:w="0" w:type="dxa"/>
            <w:bottom w:w="0" w:type="dxa"/>
          </w:tblCellMar>
        </w:tblPrEx>
        <w:trPr>
          <w:cantSplit/>
        </w:trPr>
        <w:tc>
          <w:tcPr>
            <w:tcW w:w="13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A" w14:textId="77777777" w:rsidR="00C1548D" w:rsidRDefault="009B1B4B">
            <w:pPr>
              <w:spacing w:line="250" w:lineRule="auto"/>
            </w:pPr>
            <w:r>
              <w:rPr>
                <w:i/>
                <w:iCs/>
                <w:sz w:val="18"/>
                <w:szCs w:val="18"/>
              </w:rPr>
              <w:t>Coinsurance</w:t>
            </w:r>
          </w:p>
        </w:tc>
        <w:tc>
          <w:tcPr>
            <w:tcW w:w="32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B" w14:textId="77777777" w:rsidR="00C1548D" w:rsidRDefault="009B1B4B">
            <w:pPr>
              <w:spacing w:line="250" w:lineRule="auto"/>
            </w:pPr>
            <w:r>
              <w:rPr>
                <w:sz w:val="18"/>
                <w:szCs w:val="18"/>
              </w:rPr>
              <w:t>Prozentuale Beteiligung, die nach dem Deductible weiterläuft</w:t>
            </w:r>
          </w:p>
        </w:tc>
        <w:tc>
          <w:tcPr>
            <w:tcW w:w="18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C" w14:textId="77777777" w:rsidR="00C1548D" w:rsidRDefault="009B1B4B">
            <w:pPr>
              <w:spacing w:line="250" w:lineRule="auto"/>
            </w:pPr>
            <w:r>
              <w:rPr>
                <w:sz w:val="18"/>
                <w:szCs w:val="18"/>
              </w:rPr>
              <w:t>20 % der Klinikrechnung</w:t>
            </w:r>
          </w:p>
        </w:tc>
      </w:tr>
      <w:tr w:rsidR="00C1548D" w14:paraId="70A4DC91" w14:textId="77777777">
        <w:tblPrEx>
          <w:tblCellMar>
            <w:top w:w="0" w:type="dxa"/>
            <w:bottom w:w="0" w:type="dxa"/>
          </w:tblCellMar>
        </w:tblPrEx>
        <w:trPr>
          <w:cantSplit/>
        </w:trPr>
        <w:tc>
          <w:tcPr>
            <w:tcW w:w="13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E" w14:textId="77777777" w:rsidR="00C1548D" w:rsidRDefault="009B1B4B">
            <w:pPr>
              <w:spacing w:line="250" w:lineRule="auto"/>
            </w:pPr>
            <w:r>
              <w:rPr>
                <w:i/>
                <w:iCs/>
                <w:sz w:val="18"/>
                <w:szCs w:val="18"/>
              </w:rPr>
              <w:t>Out-of-Pocket Maximum</w:t>
            </w:r>
          </w:p>
        </w:tc>
        <w:tc>
          <w:tcPr>
            <w:tcW w:w="32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8F" w14:textId="77777777" w:rsidR="00C1548D" w:rsidRDefault="009B1B4B">
            <w:pPr>
              <w:spacing w:line="250" w:lineRule="auto"/>
            </w:pPr>
            <w:r>
              <w:rPr>
                <w:sz w:val="18"/>
                <w:szCs w:val="18"/>
              </w:rPr>
              <w:t>Jahreshöchstgrenze deiner Eigenkosten; danach zahlt der Plan 100 % (nur im Netzwerk, ohne Premium)</w:t>
            </w:r>
          </w:p>
        </w:tc>
        <w:tc>
          <w:tcPr>
            <w:tcW w:w="18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90" w14:textId="77777777" w:rsidR="00C1548D" w:rsidRDefault="009B1B4B">
            <w:pPr>
              <w:spacing w:line="250" w:lineRule="auto"/>
            </w:pPr>
            <w:r>
              <w:rPr>
                <w:sz w:val="18"/>
                <w:szCs w:val="18"/>
              </w:rPr>
              <w:t>4.000 $</w:t>
            </w:r>
          </w:p>
        </w:tc>
      </w:tr>
      <w:tr w:rsidR="00C1548D" w14:paraId="70A4DC95" w14:textId="77777777">
        <w:tblPrEx>
          <w:tblCellMar>
            <w:top w:w="0" w:type="dxa"/>
            <w:bottom w:w="0" w:type="dxa"/>
          </w:tblCellMar>
        </w:tblPrEx>
        <w:trPr>
          <w:cantSplit/>
        </w:trPr>
        <w:tc>
          <w:tcPr>
            <w:tcW w:w="13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92" w14:textId="77777777" w:rsidR="00C1548D" w:rsidRDefault="009B1B4B">
            <w:pPr>
              <w:spacing w:line="250" w:lineRule="auto"/>
            </w:pPr>
            <w:r>
              <w:rPr>
                <w:i/>
                <w:iCs/>
                <w:sz w:val="18"/>
                <w:szCs w:val="18"/>
              </w:rPr>
              <w:t>In-Network</w:t>
            </w:r>
            <w:r>
              <w:rPr>
                <w:sz w:val="18"/>
                <w:szCs w:val="18"/>
              </w:rPr>
              <w:t xml:space="preserve"> / </w:t>
            </w:r>
            <w:r>
              <w:rPr>
                <w:i/>
                <w:iCs/>
                <w:sz w:val="18"/>
                <w:szCs w:val="18"/>
              </w:rPr>
              <w:t>Out-of-Network</w:t>
            </w:r>
          </w:p>
        </w:tc>
        <w:tc>
          <w:tcPr>
            <w:tcW w:w="32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93" w14:textId="77777777" w:rsidR="00C1548D" w:rsidRDefault="009B1B4B">
            <w:pPr>
              <w:spacing w:line="250" w:lineRule="auto"/>
            </w:pPr>
            <w:r>
              <w:rPr>
                <w:sz w:val="18"/>
                <w:szCs w:val="18"/>
              </w:rPr>
              <w:t>Anbieter mit bzw. ohne Preisvertrag deines Plans; außerhalb zahlst du mehr oder alles</w:t>
            </w:r>
          </w:p>
        </w:tc>
        <w:tc>
          <w:tcPr>
            <w:tcW w:w="18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94" w14:textId="77777777" w:rsidR="00C1548D" w:rsidRDefault="009B1B4B">
            <w:pPr>
              <w:spacing w:line="250" w:lineRule="auto"/>
            </w:pPr>
            <w:r>
              <w:rPr>
                <w:sz w:val="18"/>
                <w:szCs w:val="18"/>
              </w:rPr>
              <w:t>Netzwerk 200 $, außerhalb 600 $</w:t>
            </w:r>
          </w:p>
        </w:tc>
      </w:tr>
      <w:tr w:rsidR="00C1548D" w14:paraId="70A4DC99" w14:textId="77777777">
        <w:tblPrEx>
          <w:tblCellMar>
            <w:top w:w="0" w:type="dxa"/>
            <w:bottom w:w="0" w:type="dxa"/>
          </w:tblCellMar>
        </w:tblPrEx>
        <w:trPr>
          <w:cantSplit/>
        </w:trPr>
        <w:tc>
          <w:tcPr>
            <w:tcW w:w="13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96" w14:textId="77777777" w:rsidR="00C1548D" w:rsidRDefault="009B1B4B">
            <w:pPr>
              <w:spacing w:line="250" w:lineRule="auto"/>
            </w:pPr>
            <w:r>
              <w:rPr>
                <w:i/>
                <w:iCs/>
                <w:sz w:val="18"/>
                <w:szCs w:val="18"/>
              </w:rPr>
              <w:t>EOB</w:t>
            </w:r>
            <w:r>
              <w:rPr>
                <w:sz w:val="18"/>
                <w:szCs w:val="18"/>
              </w:rPr>
              <w:t xml:space="preserve"> (</w:t>
            </w:r>
            <w:r>
              <w:rPr>
                <w:i/>
                <w:iCs/>
                <w:sz w:val="18"/>
                <w:szCs w:val="18"/>
              </w:rPr>
              <w:t>Explanation of Benefits</w:t>
            </w:r>
            <w:r>
              <w:rPr>
                <w:sz w:val="18"/>
                <w:szCs w:val="18"/>
              </w:rPr>
              <w:t>)</w:t>
            </w:r>
          </w:p>
        </w:tc>
        <w:tc>
          <w:tcPr>
            <w:tcW w:w="32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97" w14:textId="77777777" w:rsidR="00C1548D" w:rsidRDefault="009B1B4B">
            <w:pPr>
              <w:spacing w:line="250" w:lineRule="auto"/>
            </w:pPr>
            <w:r>
              <w:rPr>
                <w:sz w:val="18"/>
                <w:szCs w:val="18"/>
              </w:rPr>
              <w:t>Abrechnungsübersicht des Versicherers, ausdrücklich keine Rechnung</w:t>
            </w:r>
          </w:p>
        </w:tc>
        <w:tc>
          <w:tcPr>
            <w:tcW w:w="18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98" w14:textId="77777777" w:rsidR="00C1548D" w:rsidRDefault="009B1B4B">
            <w:pPr>
              <w:spacing w:line="250" w:lineRule="auto"/>
            </w:pPr>
            <w:r>
              <w:rPr>
                <w:sz w:val="18"/>
                <w:szCs w:val="18"/>
              </w:rPr>
              <w:t>Aufschrift „This is not a bill“</w:t>
            </w:r>
          </w:p>
        </w:tc>
      </w:tr>
      <w:tr w:rsidR="00C1548D" w14:paraId="70A4DC9D" w14:textId="77777777">
        <w:tblPrEx>
          <w:tblCellMar>
            <w:top w:w="0" w:type="dxa"/>
            <w:bottom w:w="0" w:type="dxa"/>
          </w:tblCellMar>
        </w:tblPrEx>
        <w:trPr>
          <w:cantSplit/>
        </w:trPr>
        <w:tc>
          <w:tcPr>
            <w:tcW w:w="13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9A" w14:textId="77777777" w:rsidR="00C1548D" w:rsidRDefault="009B1B4B">
            <w:pPr>
              <w:spacing w:line="250" w:lineRule="auto"/>
            </w:pPr>
            <w:r>
              <w:rPr>
                <w:i/>
                <w:iCs/>
                <w:sz w:val="18"/>
                <w:szCs w:val="18"/>
              </w:rPr>
              <w:lastRenderedPageBreak/>
              <w:t>Prior Authorization</w:t>
            </w:r>
          </w:p>
        </w:tc>
        <w:tc>
          <w:tcPr>
            <w:tcW w:w="32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9B" w14:textId="77777777" w:rsidR="00C1548D" w:rsidRDefault="009B1B4B">
            <w:pPr>
              <w:spacing w:line="250" w:lineRule="auto"/>
            </w:pPr>
            <w:r>
              <w:rPr>
                <w:sz w:val="18"/>
                <w:szCs w:val="18"/>
              </w:rPr>
              <w:t>Vorab-Genehmigung des Versicherers für teure Leistungen wie MRT oder Operation</w:t>
            </w:r>
          </w:p>
        </w:tc>
        <w:tc>
          <w:tcPr>
            <w:tcW w:w="18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9C" w14:textId="77777777" w:rsidR="00C1548D" w:rsidRDefault="009B1B4B">
            <w:pPr>
              <w:spacing w:line="250" w:lineRule="auto"/>
            </w:pPr>
            <w:r>
              <w:rPr>
                <w:sz w:val="18"/>
                <w:szCs w:val="18"/>
              </w:rPr>
              <w:t>Ohne sie zahlst du im Zweifel selbst</w:t>
            </w:r>
          </w:p>
        </w:tc>
      </w:tr>
    </w:tbl>
    <w:p w14:paraId="70A4DC9E" w14:textId="77777777" w:rsidR="00C1548D" w:rsidRDefault="00C1548D">
      <w:pPr>
        <w:spacing w:line="180" w:lineRule="exact"/>
      </w:pPr>
    </w:p>
    <w:p w14:paraId="70A4DC9F" w14:textId="77777777" w:rsidR="00C1548D" w:rsidRDefault="009B1B4B">
      <w:pPr>
        <w:spacing w:after="140"/>
      </w:pPr>
      <w:r>
        <w:t>Ein Rechenbeispiel mit diesem Plan: Nach einem Unfall vereinbart das Krankenhaus mit dem Versicherer einen Preis von 12.000 $. Du zahlst die ersten 1.500 $ (Deductible) und 20 % der restlichen 10.500 $ (2.100 $), zusammen 3.600 $. Bei 40.000 $ Behandlungskosten wärst du bei 4.000 $ gedeckelt. Dazu kommen deine Prämien und alles, was außerhalb des Netzwerks anfällt. Dass ausgerechnet das Dokument mit Beträgen, Fristen und Referenznummern großspurig „This is not a bill“ auf sich trägt, gehört zu den ersten kl</w:t>
      </w:r>
      <w:r>
        <w:t>einen kulturellen Rätseln des amerikanischen Gesundheitssystems.</w:t>
      </w:r>
    </w:p>
    <w:p w14:paraId="70A4DCA0" w14:textId="77777777" w:rsidR="00C1548D" w:rsidRDefault="009B1B4B">
      <w:pPr>
        <w:spacing w:after="140"/>
      </w:pPr>
      <w:r>
        <w:t xml:space="preserve">Die gesetzliche Obergrenze nach dem </w:t>
      </w:r>
      <w:r>
        <w:rPr>
          <w:i/>
          <w:iCs/>
        </w:rPr>
        <w:t>Affordable Care Act</w:t>
      </w:r>
      <w:r>
        <w:t xml:space="preserve"> (ACA, dem Gesundheitsgesetz von 2010) liegt im Netzwerk 2026 bei 10.600 $ (Einzelperson) bzw. 21.200 $ (Familie); für 2027 werden nach ersten Berichten 12.000 $ bzw. 24.000 $ genannt.</w:t>
      </w:r>
    </w:p>
    <w:p w14:paraId="70A4DCA1" w14:textId="77777777" w:rsidR="00C1548D" w:rsidRDefault="009B1B4B">
      <w:pPr>
        <w:pStyle w:val="Heading3"/>
        <w:keepNext/>
        <w:jc w:val="center"/>
      </w:pPr>
      <w:r>
        <w:rPr>
          <w:rFonts w:ascii="Amazon Ember" w:eastAsia="Amazon Ember" w:hAnsi="Amazon Ember" w:cs="Amazon Ember"/>
          <w:color w:val="0000FF"/>
          <w:sz w:val="36"/>
          <w:szCs w:val="36"/>
        </w:rPr>
        <w:t>Was das kostet: Zahlen und der Vergleich mit der GKV</w:t>
      </w:r>
    </w:p>
    <w:p w14:paraId="70A4DCA2" w14:textId="77777777" w:rsidR="00C1548D" w:rsidRDefault="009B1B4B">
      <w:pPr>
        <w:spacing w:after="140"/>
      </w:pPr>
      <w:r>
        <w:t>Nach der KFF-Umfrage 2025 kostet ein Arbeitgeberplan im Schnitt 9.325 $ im Jahr für eine Einzelperson und 26.993 $ für eine Familie, den Großteil trägt der Arbeitgeber. Beschäftigte zahlen im Schnitt 1.440 $ im Jahr (16 %, ca. 120 $ im Monat) bzw. 6.850 $ für die Familie (26 %, ca. 571 $ im Monat); in Firmen mit 10 bis 199 Beschäftigten liegt der Familienanteil im Schnitt bei 36 %.</w:t>
      </w:r>
    </w:p>
    <w:p w14:paraId="70A4DCA3" w14:textId="77777777" w:rsidR="00C1548D" w:rsidRDefault="009B1B4B">
      <w:pPr>
        <w:spacing w:after="140"/>
      </w:pPr>
      <w:r>
        <w:t xml:space="preserve">Dazu kommen die Eigenkosten: 88 % der Versicherten haben einen Deductible, im Schnitt 1.886 $ (nur Pläne mit Deductible, Einzelperson). In Firmen mit 10 bis 199 Beschäftigten sind es im Schnitt 2.631 $, in großen 1.670 $. Das Out-of-Pocket-Maximum beträgt im Schnitt 4.423 $. Der Hausarztbesuch kostet im Schnitt </w:t>
      </w:r>
      <w:r>
        <w:lastRenderedPageBreak/>
        <w:t>27 $ Copay, der Facharzt 45 $; bei Krankenhausaufnahmen zahlen 65 % der Versicherten eine Coinsurance von durchschnittlich 20 %. Das sind Durchschnitte: Dein Plan kann deutlich abweichen.</w:t>
      </w:r>
    </w:p>
    <w:p w14:paraId="70A4DCA4" w14:textId="77777777" w:rsidR="00C1548D" w:rsidRDefault="009B1B4B">
      <w:pPr>
        <w:spacing w:after="140"/>
      </w:pPr>
      <w:r>
        <w:t>Der Vergleich mit der GKV ist nicht eins zu eins möglich: Die GKV rechnet nach Einkommen ohne Selbstbehalt, der US-Plan zieht einen festen Beitrag ab und verlangt Eigenbeteiligung.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736"/>
        <w:gridCol w:w="2794"/>
      </w:tblGrid>
      <w:tr w:rsidR="00C1548D" w14:paraId="70A4DCA8"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A5" w14:textId="77777777" w:rsidR="00C1548D" w:rsidRDefault="009B1B4B">
            <w:pPr>
              <w:spacing w:line="250" w:lineRule="auto"/>
            </w:pPr>
            <w:r>
              <w:rPr>
                <w:b/>
                <w:bCs/>
                <w:sz w:val="18"/>
                <w:szCs w:val="18"/>
              </w:rPr>
              <w:t>Kriterium</w:t>
            </w:r>
          </w:p>
        </w:tc>
        <w:tc>
          <w:tcPr>
            <w:tcW w:w="273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A6" w14:textId="77777777" w:rsidR="00C1548D" w:rsidRDefault="009B1B4B">
            <w:pPr>
              <w:spacing w:line="250" w:lineRule="auto"/>
            </w:pPr>
            <w:r>
              <w:rPr>
                <w:b/>
                <w:bCs/>
                <w:sz w:val="18"/>
                <w:szCs w:val="18"/>
              </w:rPr>
              <w:t>GKV (Deutschland)</w:t>
            </w:r>
          </w:p>
        </w:tc>
        <w:tc>
          <w:tcPr>
            <w:tcW w:w="279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A7" w14:textId="77777777" w:rsidR="00C1548D" w:rsidRDefault="009B1B4B">
            <w:pPr>
              <w:spacing w:line="250" w:lineRule="auto"/>
            </w:pPr>
            <w:r>
              <w:rPr>
                <w:b/>
                <w:bCs/>
                <w:sz w:val="18"/>
                <w:szCs w:val="18"/>
              </w:rPr>
              <w:t>US-Arbeitgeberplan</w:t>
            </w:r>
          </w:p>
        </w:tc>
      </w:tr>
      <w:tr w:rsidR="00C1548D" w14:paraId="70A4DCA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A9" w14:textId="77777777" w:rsidR="00C1548D" w:rsidRDefault="009B1B4B">
            <w:pPr>
              <w:spacing w:line="250" w:lineRule="auto"/>
            </w:pPr>
            <w:r>
              <w:rPr>
                <w:sz w:val="18"/>
                <w:szCs w:val="18"/>
              </w:rPr>
              <w:t>Beitrag</w:t>
            </w:r>
          </w:p>
        </w:tc>
        <w:tc>
          <w:tcPr>
            <w:tcW w:w="27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AA" w14:textId="77777777" w:rsidR="00C1548D" w:rsidRDefault="009B1B4B">
            <w:pPr>
              <w:spacing w:line="250" w:lineRule="auto"/>
            </w:pPr>
            <w:r>
              <w:rPr>
                <w:sz w:val="18"/>
                <w:szCs w:val="18"/>
              </w:rPr>
              <w:t>2026: 14,6 % plus durchschnittlicher Zusatzbeitrag 2,9 % = 17,5 % vom Brutto; Arbeitnehmer 8,75 % (ca. 350 € bei 4.000 € brutto)</w:t>
            </w:r>
          </w:p>
        </w:tc>
        <w:tc>
          <w:tcPr>
            <w:tcW w:w="27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AB" w14:textId="77777777" w:rsidR="00C1548D" w:rsidRDefault="009B1B4B">
            <w:pPr>
              <w:spacing w:line="250" w:lineRule="auto"/>
            </w:pPr>
            <w:r>
              <w:rPr>
                <w:sz w:val="18"/>
                <w:szCs w:val="18"/>
              </w:rPr>
              <w:t>Fester Betrag je Plan, im Schnitt ca. 120 $ (Einzelperson) bzw. ca. 571 $ (Familie) im Monat, unabhängig vom Gehalt</w:t>
            </w:r>
          </w:p>
        </w:tc>
      </w:tr>
      <w:tr w:rsidR="00C1548D" w14:paraId="70A4DCB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AD" w14:textId="77777777" w:rsidR="00C1548D" w:rsidRDefault="009B1B4B">
            <w:pPr>
              <w:spacing w:line="250" w:lineRule="auto"/>
            </w:pPr>
            <w:r>
              <w:rPr>
                <w:sz w:val="18"/>
                <w:szCs w:val="18"/>
              </w:rPr>
              <w:t>Selbstbeteiligung</w:t>
            </w:r>
          </w:p>
        </w:tc>
        <w:tc>
          <w:tcPr>
            <w:tcW w:w="27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AE" w14:textId="77777777" w:rsidR="00C1548D" w:rsidRDefault="009B1B4B">
            <w:pPr>
              <w:spacing w:line="250" w:lineRule="auto"/>
            </w:pPr>
            <w:r>
              <w:rPr>
                <w:sz w:val="18"/>
                <w:szCs w:val="18"/>
              </w:rPr>
              <w:t>Nur kleine Zuzahlungen, kein Selbstbehalt</w:t>
            </w:r>
          </w:p>
        </w:tc>
        <w:tc>
          <w:tcPr>
            <w:tcW w:w="27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AF" w14:textId="77777777" w:rsidR="00C1548D" w:rsidRDefault="009B1B4B">
            <w:pPr>
              <w:spacing w:line="250" w:lineRule="auto"/>
            </w:pPr>
            <w:r>
              <w:rPr>
                <w:sz w:val="18"/>
                <w:szCs w:val="18"/>
              </w:rPr>
              <w:t>Deductible, Copays und Coinsurance bis zum Out-of-Pocket-Maximum</w:t>
            </w:r>
          </w:p>
        </w:tc>
      </w:tr>
      <w:tr w:rsidR="00C1548D" w14:paraId="70A4DCB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1" w14:textId="77777777" w:rsidR="00C1548D" w:rsidRDefault="009B1B4B">
            <w:pPr>
              <w:spacing w:line="250" w:lineRule="auto"/>
            </w:pPr>
            <w:r>
              <w:rPr>
                <w:sz w:val="18"/>
                <w:szCs w:val="18"/>
              </w:rPr>
              <w:t>Arztwahl</w:t>
            </w:r>
          </w:p>
        </w:tc>
        <w:tc>
          <w:tcPr>
            <w:tcW w:w="27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2" w14:textId="77777777" w:rsidR="00C1548D" w:rsidRDefault="009B1B4B">
            <w:pPr>
              <w:spacing w:line="250" w:lineRule="auto"/>
            </w:pPr>
            <w:r>
              <w:rPr>
                <w:sz w:val="18"/>
                <w:szCs w:val="18"/>
              </w:rPr>
              <w:t>Freie Wahl unter allen Kassenärzten</w:t>
            </w:r>
          </w:p>
        </w:tc>
        <w:tc>
          <w:tcPr>
            <w:tcW w:w="27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3" w14:textId="77777777" w:rsidR="00C1548D" w:rsidRDefault="009B1B4B">
            <w:pPr>
              <w:spacing w:line="250" w:lineRule="auto"/>
            </w:pPr>
            <w:r>
              <w:rPr>
                <w:sz w:val="18"/>
                <w:szCs w:val="18"/>
              </w:rPr>
              <w:t>Nur Netzwerk; außerhalb teurer oder ungedeckt</w:t>
            </w:r>
          </w:p>
        </w:tc>
      </w:tr>
      <w:tr w:rsidR="00C1548D" w14:paraId="70A4DCB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5" w14:textId="77777777" w:rsidR="00C1548D" w:rsidRDefault="009B1B4B">
            <w:pPr>
              <w:spacing w:line="250" w:lineRule="auto"/>
            </w:pPr>
            <w:r>
              <w:rPr>
                <w:sz w:val="18"/>
                <w:szCs w:val="18"/>
              </w:rPr>
              <w:t>Wartezeit auf Termine</w:t>
            </w:r>
          </w:p>
        </w:tc>
        <w:tc>
          <w:tcPr>
            <w:tcW w:w="27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6" w14:textId="77777777" w:rsidR="00C1548D" w:rsidRDefault="009B1B4B">
            <w:pPr>
              <w:spacing w:line="250" w:lineRule="auto"/>
            </w:pPr>
            <w:r>
              <w:rPr>
                <w:sz w:val="18"/>
                <w:szCs w:val="18"/>
              </w:rPr>
              <w:t>Facharzttermine dauern oft Wochen</w:t>
            </w:r>
          </w:p>
        </w:tc>
        <w:tc>
          <w:tcPr>
            <w:tcW w:w="27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7" w14:textId="77777777" w:rsidR="00C1548D" w:rsidRDefault="009B1B4B">
            <w:pPr>
              <w:spacing w:line="250" w:lineRule="auto"/>
            </w:pPr>
            <w:r>
              <w:rPr>
                <w:sz w:val="18"/>
                <w:szCs w:val="18"/>
              </w:rPr>
              <w:t>Hausarzt im Schnitt 23,5 Tage (15 Großstädte, Umfrage 2025), je nach Stadt merklich mehr</w:t>
            </w:r>
          </w:p>
        </w:tc>
      </w:tr>
      <w:tr w:rsidR="00C1548D" w14:paraId="70A4DCB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9" w14:textId="77777777" w:rsidR="00C1548D" w:rsidRDefault="009B1B4B">
            <w:pPr>
              <w:spacing w:line="250" w:lineRule="auto"/>
            </w:pPr>
            <w:r>
              <w:rPr>
                <w:sz w:val="18"/>
                <w:szCs w:val="18"/>
              </w:rPr>
              <w:t>Familie</w:t>
            </w:r>
          </w:p>
        </w:tc>
        <w:tc>
          <w:tcPr>
            <w:tcW w:w="27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A" w14:textId="77777777" w:rsidR="00C1548D" w:rsidRDefault="009B1B4B">
            <w:pPr>
              <w:spacing w:line="250" w:lineRule="auto"/>
            </w:pPr>
            <w:r>
              <w:rPr>
                <w:sz w:val="18"/>
                <w:szCs w:val="18"/>
              </w:rPr>
              <w:t>Kinder und nicht erwerbstätige Partner beitragsfrei mitversichert</w:t>
            </w:r>
          </w:p>
        </w:tc>
        <w:tc>
          <w:tcPr>
            <w:tcW w:w="27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B" w14:textId="77777777" w:rsidR="00C1548D" w:rsidRDefault="009B1B4B">
            <w:pPr>
              <w:spacing w:line="250" w:lineRule="auto"/>
            </w:pPr>
            <w:r>
              <w:rPr>
                <w:sz w:val="18"/>
                <w:szCs w:val="18"/>
              </w:rPr>
              <w:t>Familientarif; Partner und Kinder müssen angemeldet und bezahlt werden</w:t>
            </w:r>
          </w:p>
        </w:tc>
      </w:tr>
      <w:tr w:rsidR="00C1548D" w14:paraId="70A4DCC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D" w14:textId="77777777" w:rsidR="00C1548D" w:rsidRDefault="009B1B4B">
            <w:pPr>
              <w:spacing w:line="250" w:lineRule="auto"/>
            </w:pPr>
            <w:r>
              <w:rPr>
                <w:sz w:val="18"/>
                <w:szCs w:val="18"/>
              </w:rPr>
              <w:t>Bürokratie</w:t>
            </w:r>
          </w:p>
        </w:tc>
        <w:tc>
          <w:tcPr>
            <w:tcW w:w="27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E" w14:textId="77777777" w:rsidR="00C1548D" w:rsidRDefault="009B1B4B">
            <w:pPr>
              <w:spacing w:line="250" w:lineRule="auto"/>
            </w:pPr>
            <w:r>
              <w:rPr>
                <w:sz w:val="18"/>
                <w:szCs w:val="18"/>
              </w:rPr>
              <w:t>Gesundheitskarte, kaum Rechnungen</w:t>
            </w:r>
          </w:p>
        </w:tc>
        <w:tc>
          <w:tcPr>
            <w:tcW w:w="27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BF" w14:textId="77777777" w:rsidR="00C1548D" w:rsidRDefault="009B1B4B">
            <w:pPr>
              <w:spacing w:line="250" w:lineRule="auto"/>
            </w:pPr>
            <w:r>
              <w:rPr>
                <w:sz w:val="18"/>
                <w:szCs w:val="18"/>
              </w:rPr>
              <w:t>EOBs, mehrere Rechnungen, Netzwerkprüfung, Vorabgenehmigungen</w:t>
            </w:r>
          </w:p>
        </w:tc>
      </w:tr>
      <w:tr w:rsidR="00C1548D" w14:paraId="70A4DCC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C1" w14:textId="77777777" w:rsidR="00C1548D" w:rsidRDefault="009B1B4B">
            <w:pPr>
              <w:spacing w:line="250" w:lineRule="auto"/>
            </w:pPr>
            <w:r>
              <w:rPr>
                <w:sz w:val="18"/>
                <w:szCs w:val="18"/>
              </w:rPr>
              <w:t>Kosten im Notfall</w:t>
            </w:r>
          </w:p>
        </w:tc>
        <w:tc>
          <w:tcPr>
            <w:tcW w:w="27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C2" w14:textId="77777777" w:rsidR="00C1548D" w:rsidRDefault="009B1B4B">
            <w:pPr>
              <w:spacing w:line="250" w:lineRule="auto"/>
            </w:pPr>
            <w:r>
              <w:rPr>
                <w:sz w:val="18"/>
                <w:szCs w:val="18"/>
              </w:rPr>
              <w:t>Rettungsdienst und Klinik über die Karte, kleine Zuzahlungen</w:t>
            </w:r>
          </w:p>
        </w:tc>
        <w:tc>
          <w:tcPr>
            <w:tcW w:w="27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C3" w14:textId="77777777" w:rsidR="00C1548D" w:rsidRDefault="009B1B4B">
            <w:pPr>
              <w:spacing w:line="250" w:lineRule="auto"/>
            </w:pPr>
            <w:r>
              <w:rPr>
                <w:sz w:val="18"/>
                <w:szCs w:val="18"/>
              </w:rPr>
              <w:t>Notaufnahme bis zum Deductible oft aus eigener Tasche; Krankenwagen extra</w:t>
            </w:r>
          </w:p>
        </w:tc>
      </w:tr>
    </w:tbl>
    <w:p w14:paraId="70A4DCC5" w14:textId="77777777" w:rsidR="00C1548D" w:rsidRDefault="00C1548D">
      <w:pPr>
        <w:spacing w:line="180" w:lineRule="exact"/>
      </w:pPr>
    </w:p>
    <w:p w14:paraId="70A4DCC6" w14:textId="77777777" w:rsidR="00C1548D" w:rsidRDefault="009B1B4B">
      <w:pPr>
        <w:spacing w:after="140"/>
      </w:pPr>
      <w:r>
        <w:t>Wer viel verdient, zahlt in Deutschland bis zur Beitragsbemessungsgrenze mehr; wer mehrere Kinder hat, spürt in den USA den Familientarif. Die Pflegeversicherung kommt in Deutschland hinzu.</w:t>
      </w:r>
    </w:p>
    <w:p w14:paraId="70A4DCC7" w14:textId="77777777" w:rsidR="00C1548D" w:rsidRDefault="009B1B4B">
      <w:pPr>
        <w:pStyle w:val="Heading3"/>
        <w:keepNext/>
        <w:jc w:val="center"/>
      </w:pPr>
      <w:r>
        <w:rPr>
          <w:rFonts w:ascii="Amazon Ember" w:eastAsia="Amazon Ember" w:hAnsi="Amazon Ember" w:cs="Amazon Ember"/>
          <w:color w:val="0000FF"/>
          <w:sz w:val="36"/>
          <w:szCs w:val="36"/>
        </w:rPr>
        <w:lastRenderedPageBreak/>
        <w:t>Beginn der Deckung: Wartefrist, Einschreibefrist und die Lücke</w:t>
      </w:r>
    </w:p>
    <w:p w14:paraId="70A4DCC8" w14:textId="77777777" w:rsidR="00C1548D" w:rsidRDefault="009B1B4B">
      <w:pPr>
        <w:spacing w:after="140"/>
      </w:pPr>
      <w:r>
        <w:t>Der Arbeitsvertrag beginnt am ersten Arbeitstag, die Krankenversicherung oft nicht: Das Gesetz erlaubt Arbeitgebern eine Wartefrist (</w:t>
      </w:r>
      <w:r>
        <w:rPr>
          <w:i/>
          <w:iCs/>
        </w:rPr>
        <w:t>Waiting Period</w:t>
      </w:r>
      <w:r>
        <w:t>) von höchstens 90 Tagen (45 CFR 147.116), zusätzlich eine Orientierungsphase bis zu einem Monat. 2025 hatten 68 % der Versicherten eine Wartefrist, im Schnitt 1,8 Monate; 15 % warteten drei Monate oder länger. Häufig heißt es „Deckung ab dem 1. des Monats nach 30, 60 oder 90 Tagen“ — wer zum 15. Januar anfängt und 60 Tage warten muss, ist erst ab 1. April versichert.</w:t>
      </w:r>
    </w:p>
    <w:p w14:paraId="70A4DCC9" w14:textId="77777777" w:rsidR="00C1548D" w:rsidRDefault="009B1B4B">
      <w:pPr>
        <w:spacing w:after="140"/>
      </w:pPr>
      <w:r>
        <w:t>Die Einschreibefrist (</w:t>
      </w:r>
      <w:r>
        <w:rPr>
          <w:i/>
          <w:iCs/>
        </w:rPr>
        <w:t>Enrollment Window</w:t>
      </w:r>
      <w:r>
        <w:t xml:space="preserve">) legt der Plan fest; üblich sind 30 Tage ab Anspruchsbeginn. Wer sie verpasst, bleibt meist bis zur nächsten </w:t>
      </w:r>
      <w:r>
        <w:rPr>
          <w:i/>
          <w:iCs/>
        </w:rPr>
        <w:t>Open Enrollment</w:t>
      </w:r>
      <w:r>
        <w:t xml:space="preserve"> (jährliche Wahlphase, oft im Herbst) ohne Arbeitgeberdeckung. Außerhalb der Wahlphase änderst du den Plan nur bei einem Lebensereignis wie Heirat, Geburt oder Adoption; bei Geburt und Adoption gilt im Arbeitgeberplan ein Sonderfenster von 30 Tagen.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C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CCA" w14:textId="77777777" w:rsidR="00C1548D" w:rsidRDefault="009B1B4B">
            <w:pPr>
              <w:keepNext/>
              <w:spacing w:after="70" w:line="240" w:lineRule="auto"/>
            </w:pPr>
            <w:r>
              <w:rPr>
                <w:b/>
                <w:bCs/>
                <w:color w:val="9B2C2C"/>
                <w:spacing w:val="24"/>
                <w:sz w:val="16"/>
                <w:szCs w:val="16"/>
              </w:rPr>
              <w:t>ACHTUNG</w:t>
            </w:r>
          </w:p>
          <w:p w14:paraId="70A4DCCB" w14:textId="77777777" w:rsidR="00C1548D" w:rsidRDefault="009B1B4B">
            <w:pPr>
              <w:spacing w:after="80" w:line="264" w:lineRule="auto"/>
            </w:pPr>
            <w:r>
              <w:rPr>
                <w:sz w:val="20"/>
                <w:szCs w:val="20"/>
              </w:rPr>
              <w:t>Melde dich und deine Familie in der ersten Arbeitswoche an und notiere die Frist. Ein verpasster Stichtag kostet dich im schlimmsten Fall Monate ohne Arbeitgeberplan.</w:t>
            </w:r>
          </w:p>
        </w:tc>
      </w:tr>
    </w:tbl>
    <w:p w14:paraId="70A4DCCD" w14:textId="77777777" w:rsidR="00C1548D" w:rsidRDefault="00C1548D">
      <w:pPr>
        <w:spacing w:line="220" w:lineRule="exact"/>
      </w:pPr>
    </w:p>
    <w:p w14:paraId="70A4DCCE" w14:textId="77777777" w:rsidR="00C1548D" w:rsidRDefault="009B1B4B">
      <w:pPr>
        <w:spacing w:after="140"/>
      </w:pPr>
      <w:r>
        <w:t>Rechne die Lücke ehrlich durch: Landung, Arbeitsbeginn (oft einige Wochen später), Wartefrist, Deckung meist zum Monatsersten — zusammen können bis zu drei oder vier Monate ohne US-Deckung entstehen, Partner und Kinder folgen derselben Frist. Viele Pläne laufen zudem im Kalenderjahr: Am 1. Januar beginnen Deductible und Out-of-Pocket-Maximum von vorn, wer im Oktober startet, kann zwei Selbstbehalte in drei Monaten zahlen.</w:t>
      </w:r>
    </w:p>
    <w:p w14:paraId="70A4DCCF" w14:textId="77777777" w:rsidR="00C1548D" w:rsidRDefault="009B1B4B">
      <w:pPr>
        <w:spacing w:after="140"/>
      </w:pPr>
      <w:r>
        <w:t>So überbrückst du die Lücke:</w:t>
      </w:r>
    </w:p>
    <w:p w14:paraId="70A4DCD0" w14:textId="715A2EBD" w:rsidR="00C1548D" w:rsidRDefault="009B1B4B" w:rsidP="009B1B4B">
      <w:pPr>
        <w:pStyle w:val="ListParagraph"/>
        <w:numPr>
          <w:ilvl w:val="0"/>
          <w:numId w:val="1"/>
        </w:numPr>
        <w:spacing w:after="60"/>
      </w:pPr>
      <w:r>
        <w:rPr>
          <w:b/>
          <w:bCs/>
        </w:rPr>
        <w:lastRenderedPageBreak/>
        <w:t>Auslandskrankenversicherung aus Deutschland:</w:t>
      </w:r>
      <w:r>
        <w:t xml:space="preserve"> Prüfe, ob sie bei Wohnsitzverlegung greift und wie lange (Kapitel </w:t>
      </w:r>
      <w:hyperlink w:anchor="k18" w:history="1">
        <w:r>
          <w:t>18</w:t>
        </w:r>
      </w:hyperlink>
      <w:r>
        <w:t>).</w:t>
      </w:r>
    </w:p>
    <w:p w14:paraId="70A4DCD1" w14:textId="77777777" w:rsidR="00C1548D" w:rsidRDefault="009B1B4B" w:rsidP="009B1B4B">
      <w:pPr>
        <w:pStyle w:val="ListParagraph"/>
        <w:numPr>
          <w:ilvl w:val="0"/>
          <w:numId w:val="1"/>
        </w:numPr>
        <w:spacing w:after="60"/>
      </w:pPr>
      <w:r>
        <w:rPr>
          <w:b/>
          <w:bCs/>
        </w:rPr>
        <w:t>Reiseversicherung für die USA</w:t>
      </w:r>
      <w:r>
        <w:t xml:space="preserve"> (</w:t>
      </w:r>
      <w:r>
        <w:rPr>
          <w:i/>
          <w:iCs/>
        </w:rPr>
        <w:t>Visitor-</w:t>
      </w:r>
      <w:r>
        <w:t xml:space="preserve"> oder </w:t>
      </w:r>
      <w:r>
        <w:rPr>
          <w:i/>
          <w:iCs/>
        </w:rPr>
        <w:t>Travel-Medical-Plan</w:t>
      </w:r>
      <w:r>
        <w:t>): deckt meist akute Krankheit und Unfall; Vorerkrankungen, Schwangerschaft und Vorsorge sind oft ausgeschlossen.</w:t>
      </w:r>
    </w:p>
    <w:p w14:paraId="70A4DCD2" w14:textId="77777777" w:rsidR="00C1548D" w:rsidRDefault="009B1B4B" w:rsidP="009B1B4B">
      <w:pPr>
        <w:pStyle w:val="ListParagraph"/>
        <w:numPr>
          <w:ilvl w:val="0"/>
          <w:numId w:val="1"/>
        </w:numPr>
        <w:spacing w:after="60"/>
      </w:pPr>
      <w:r>
        <w:rPr>
          <w:b/>
          <w:bCs/>
        </w:rPr>
        <w:t>Kurzzeitpläne</w:t>
      </w:r>
      <w:r>
        <w:t xml:space="preserve"> (</w:t>
      </w:r>
      <w:r>
        <w:rPr>
          <w:i/>
          <w:iCs/>
        </w:rPr>
        <w:t>Short-Term Limited Duration Insurance</w:t>
      </w:r>
      <w:r>
        <w:t>):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14:paraId="70A4DCD3" w14:textId="77777777" w:rsidR="00C1548D" w:rsidRDefault="009B1B4B" w:rsidP="009B1B4B">
      <w:pPr>
        <w:pStyle w:val="ListParagraph"/>
        <w:numPr>
          <w:ilvl w:val="0"/>
          <w:numId w:val="1"/>
        </w:numPr>
        <w:spacing w:after="60"/>
      </w:pPr>
      <w:r>
        <w:rPr>
          <w:b/>
          <w:bCs/>
        </w:rPr>
        <w:t>Marktplatz</w:t>
      </w:r>
      <w:r>
        <w:t xml:space="preserve"> (</w:t>
      </w:r>
      <w:r>
        <w:rPr>
          <w:i/>
          <w:iCs/>
        </w:rPr>
        <w:t>Marketplace</w:t>
      </w:r>
      <w:r>
        <w:t>): Der Umzug aus dem Ausland löst ein Sonderfenster aus, meist 60 Tage. Als Visa-Inhaber darfst du kaufen, ab 2027 ohne Zuschuss (siehe unten). Prüfe die Kündigungsfrist, damit du zum Start der Arbeitgeberdeckung aussteigen kannst.</w:t>
      </w:r>
    </w:p>
    <w:p w14:paraId="70A4DCD4" w14:textId="77777777" w:rsidR="00C1548D" w:rsidRDefault="009B1B4B" w:rsidP="009B1B4B">
      <w:pPr>
        <w:pStyle w:val="ListParagraph"/>
        <w:numPr>
          <w:ilvl w:val="0"/>
          <w:numId w:val="1"/>
        </w:numPr>
        <w:spacing w:after="60"/>
      </w:pPr>
      <w:r>
        <w:rPr>
          <w:b/>
          <w:bCs/>
        </w:rPr>
        <w:t>Verhandeln:</w:t>
      </w:r>
      <w:r>
        <w:t xml:space="preserve"> Frage im Jobangebot nach Deckung ab Tag 1 oder einer kürzeren Wartefrist.</w:t>
      </w:r>
    </w:p>
    <w:p w14:paraId="70A4DCD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D8"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CD6" w14:textId="77777777" w:rsidR="00C1548D" w:rsidRDefault="009B1B4B">
            <w:pPr>
              <w:keepNext/>
              <w:spacing w:after="70" w:line="240" w:lineRule="auto"/>
            </w:pPr>
            <w:r>
              <w:rPr>
                <w:b/>
                <w:bCs/>
                <w:color w:val="4A5568"/>
                <w:spacing w:val="24"/>
                <w:sz w:val="16"/>
                <w:szCs w:val="16"/>
              </w:rPr>
              <w:t>PRAXISBEISPIEL · FIKTIV</w:t>
            </w:r>
          </w:p>
          <w:p w14:paraId="70A4DCD7" w14:textId="77777777" w:rsidR="00C1548D" w:rsidRDefault="009B1B4B">
            <w:pPr>
              <w:spacing w:after="80" w:line="264" w:lineRule="auto"/>
            </w:pPr>
            <w:r>
              <w:rPr>
                <w:sz w:val="20"/>
                <w:szCs w:val="20"/>
              </w:rPr>
              <w:t>Familie Brandt (fiktiv) landet Mitte Juli in der Region Detroit. Markus beginnt am 1. August; laut Benefits-Unterlagen startet die Deckung am 1. des Monats nach 60 Tagen, also am 1. Oktober. Bis dahin sind es gut elf Wochen ohne US-Versicherung; die Familie überbrückt sie mit der Auslandskrankenversicherung aus Deutschland und meldet alle vier in der ersten Arbeitswoche im Portal der Personalabteilung (HR) an (Einschreibefrist: 30 Tage). Ende August hat Jonas (5) Ohrenschmerzen: Der Besuch in der Urgent Car</w:t>
            </w:r>
            <w:r>
              <w:rPr>
                <w:sz w:val="20"/>
                <w:szCs w:val="20"/>
              </w:rPr>
              <w:t>e kostet bar 190 $, bezahlt mit der Kreditkarte, weil noch niemand in der Familie Bargeld in dieser Höhe dabeihat. Markus reicht die Quittung bei der deutschen Versicherung ein.</w:t>
            </w:r>
          </w:p>
        </w:tc>
      </w:tr>
    </w:tbl>
    <w:p w14:paraId="70A4DCD9" w14:textId="77777777" w:rsidR="00C1548D" w:rsidRDefault="00C1548D">
      <w:pPr>
        <w:spacing w:line="220" w:lineRule="exact"/>
      </w:pPr>
    </w:p>
    <w:p w14:paraId="70A4DCDA" w14:textId="77777777" w:rsidR="00C1548D" w:rsidRDefault="009B1B4B">
      <w:pPr>
        <w:pStyle w:val="Heading3"/>
        <w:keepNext/>
        <w:jc w:val="center"/>
      </w:pPr>
      <w:r>
        <w:rPr>
          <w:rFonts w:ascii="Amazon Ember" w:eastAsia="Amazon Ember" w:hAnsi="Amazon Ember" w:cs="Amazon Ember"/>
          <w:color w:val="0000FF"/>
          <w:sz w:val="36"/>
          <w:szCs w:val="36"/>
        </w:rPr>
        <w:lastRenderedPageBreak/>
        <w:t>Arzt finden: Netzwerk, Hausarzt, Urgent Care und Notaufnahme</w:t>
      </w:r>
    </w:p>
    <w:p w14:paraId="70A4DCDB" w14:textId="77777777" w:rsidR="00C1548D" w:rsidRDefault="009B1B4B">
      <w:pPr>
        <w:spacing w:after="140"/>
      </w:pPr>
      <w:r>
        <w:t>Suche Ärzte über das Verzeichnis deines Versicherers (</w:t>
      </w:r>
      <w:r>
        <w:rPr>
          <w:i/>
          <w:iCs/>
        </w:rPr>
        <w:t>Find a Doctor</w:t>
      </w:r>
      <w:r>
        <w:t>), verlasse dich aber nicht allein darauf: Die Listen sind gelegentlich veraltet. Rufe an und frage wörtlich: „Are you in-network with my plan, and are you accepting new patients?“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D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CDC" w14:textId="77777777" w:rsidR="00C1548D" w:rsidRDefault="009B1B4B">
            <w:pPr>
              <w:keepNext/>
              <w:spacing w:after="70" w:line="240" w:lineRule="auto"/>
            </w:pPr>
            <w:r>
              <w:rPr>
                <w:b/>
                <w:bCs/>
                <w:color w:val="9B2C2C"/>
                <w:spacing w:val="24"/>
                <w:sz w:val="16"/>
                <w:szCs w:val="16"/>
              </w:rPr>
              <w:t>ACHTUNG</w:t>
            </w:r>
          </w:p>
          <w:p w14:paraId="70A4DCDD" w14:textId="77777777" w:rsidR="00C1548D" w:rsidRDefault="009B1B4B">
            <w:pPr>
              <w:spacing w:after="80" w:line="264" w:lineRule="auto"/>
            </w:pPr>
            <w:r>
              <w:rPr>
                <w:sz w:val="20"/>
                <w:szCs w:val="20"/>
              </w:rPr>
              <w:t>„We accept your insurance“ heißt nicht, dass die Praxis in deinem Netzwerk ist. Frage nach dem genauen Plannamen und lass dir das „in-network“ bestätigen. Auch in Netzwerk-Krankenhäusern können einzelne Ärzte (Anästhesie, Labor, Radiologie) außerhalb des Netzwerks arbeiten.</w:t>
            </w:r>
          </w:p>
        </w:tc>
      </w:tr>
    </w:tbl>
    <w:p w14:paraId="70A4DCDF" w14:textId="77777777" w:rsidR="00C1548D" w:rsidRDefault="00C1548D">
      <w:pPr>
        <w:spacing w:line="220" w:lineRule="exact"/>
      </w:pPr>
    </w:p>
    <w:p w14:paraId="70A4DCE0" w14:textId="77777777" w:rsidR="00C1548D" w:rsidRDefault="009B1B4B">
      <w:pPr>
        <w:spacing w:after="140"/>
      </w:pPr>
      <w:r>
        <w:t>Der Hausarzt (</w:t>
      </w:r>
      <w:r>
        <w:rPr>
          <w:i/>
          <w:iCs/>
        </w:rPr>
        <w:t>Primary Care Physician</w:t>
      </w:r>
      <w:r>
        <w:t>, PCP) ist die erste Anlaufstelle für Vorsorge, Impfungen, Rezepte und Überweisungen. Im HMO und POS brauchst du ihn, im PPO ist er ratsam. Neupatienten warten oft Wochen (siehe Tabelle oben) — buche früh, auch ohne akuten Anlass. Der jährliche Check-up (</w:t>
      </w:r>
      <w:r>
        <w:rPr>
          <w:i/>
          <w:iCs/>
        </w:rPr>
        <w:t>Annual Physical</w:t>
      </w:r>
      <w:r>
        <w:t>) zählt zur Vorsorge (</w:t>
      </w:r>
      <w:r>
        <w:rPr>
          <w:i/>
          <w:iCs/>
        </w:rPr>
        <w:t>Preventive Care</w:t>
      </w:r>
      <w:r>
        <w:t>) und ist im Netzwerk meist ohne Zuzahlung. Viele Pläne bieten Telemedizin (</w:t>
      </w:r>
      <w:r>
        <w:rPr>
          <w:i/>
          <w:iCs/>
        </w:rPr>
        <w:t>Telehealth</w:t>
      </w:r>
      <w:r>
        <w:t>) als günstigen Erstkontakt.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27"/>
        <w:gridCol w:w="1626"/>
        <w:gridCol w:w="2427"/>
      </w:tblGrid>
      <w:tr w:rsidR="00C1548D" w14:paraId="70A4DCE4" w14:textId="77777777">
        <w:tblPrEx>
          <w:tblCellMar>
            <w:top w:w="0" w:type="dxa"/>
            <w:bottom w:w="0" w:type="dxa"/>
          </w:tblCellMar>
        </w:tblPrEx>
        <w:trPr>
          <w:cantSplit/>
          <w:tblHeader/>
        </w:trPr>
        <w:tc>
          <w:tcPr>
            <w:tcW w:w="242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E1" w14:textId="77777777" w:rsidR="00C1548D" w:rsidRDefault="009B1B4B">
            <w:pPr>
              <w:spacing w:line="250" w:lineRule="auto"/>
            </w:pPr>
            <w:r>
              <w:rPr>
                <w:b/>
                <w:bCs/>
                <w:sz w:val="18"/>
                <w:szCs w:val="18"/>
              </w:rPr>
              <w:t>Situation</w:t>
            </w:r>
          </w:p>
        </w:tc>
        <w:tc>
          <w:tcPr>
            <w:tcW w:w="162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E2" w14:textId="77777777" w:rsidR="00C1548D" w:rsidRDefault="009B1B4B">
            <w:pPr>
              <w:spacing w:line="250" w:lineRule="auto"/>
            </w:pPr>
            <w:r>
              <w:rPr>
                <w:b/>
                <w:bCs/>
                <w:sz w:val="18"/>
                <w:szCs w:val="18"/>
              </w:rPr>
              <w:t>Wohin</w:t>
            </w:r>
          </w:p>
        </w:tc>
        <w:tc>
          <w:tcPr>
            <w:tcW w:w="242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CE3" w14:textId="77777777" w:rsidR="00C1548D" w:rsidRDefault="009B1B4B">
            <w:pPr>
              <w:spacing w:line="250" w:lineRule="auto"/>
            </w:pPr>
            <w:r>
              <w:rPr>
                <w:b/>
                <w:bCs/>
                <w:sz w:val="18"/>
                <w:szCs w:val="18"/>
              </w:rPr>
              <w:t>Preisrahmen</w:t>
            </w:r>
          </w:p>
        </w:tc>
      </w:tr>
      <w:tr w:rsidR="00C1548D" w14:paraId="70A4DCE8" w14:textId="77777777">
        <w:tblPrEx>
          <w:tblCellMar>
            <w:top w:w="0" w:type="dxa"/>
            <w:bottom w:w="0" w:type="dxa"/>
          </w:tblCellMar>
        </w:tblPrEx>
        <w:trPr>
          <w:cantSplit/>
        </w:trPr>
        <w:tc>
          <w:tcPr>
            <w:tcW w:w="24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E5" w14:textId="77777777" w:rsidR="00C1548D" w:rsidRDefault="009B1B4B">
            <w:pPr>
              <w:spacing w:line="250" w:lineRule="auto"/>
            </w:pPr>
            <w:r>
              <w:rPr>
                <w:sz w:val="18"/>
                <w:szCs w:val="18"/>
              </w:rPr>
              <w:t>Lebensbedrohlich: Brustschmerz, Atemnot, Schlaganfallzeichen, starke Blutung</w:t>
            </w:r>
          </w:p>
        </w:tc>
        <w:tc>
          <w:tcPr>
            <w:tcW w:w="16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E6" w14:textId="77777777" w:rsidR="00C1548D" w:rsidRDefault="009B1B4B">
            <w:pPr>
              <w:spacing w:line="250" w:lineRule="auto"/>
            </w:pPr>
            <w:r>
              <w:rPr>
                <w:sz w:val="18"/>
                <w:szCs w:val="18"/>
              </w:rPr>
              <w:t>911 anrufen, Notaufnahme (</w:t>
            </w:r>
            <w:r>
              <w:rPr>
                <w:i/>
                <w:iCs/>
                <w:sz w:val="18"/>
                <w:szCs w:val="18"/>
              </w:rPr>
              <w:t>Emergency Room</w:t>
            </w:r>
            <w:r>
              <w:rPr>
                <w:sz w:val="18"/>
                <w:szCs w:val="18"/>
              </w:rPr>
              <w:t>, ER)</w:t>
            </w:r>
          </w:p>
        </w:tc>
        <w:tc>
          <w:tcPr>
            <w:tcW w:w="24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E7" w14:textId="77777777" w:rsidR="00C1548D" w:rsidRDefault="009B1B4B">
            <w:pPr>
              <w:spacing w:line="250" w:lineRule="auto"/>
            </w:pPr>
            <w:r>
              <w:rPr>
                <w:sz w:val="18"/>
                <w:szCs w:val="18"/>
              </w:rPr>
              <w:t>Durchschnittlicher vereinbarter Preis 2021: 1.317 $ (nur Arzt) bis 2.909 $ (mit Nebenleistungen)</w:t>
            </w:r>
          </w:p>
        </w:tc>
      </w:tr>
      <w:tr w:rsidR="00C1548D" w14:paraId="70A4DCEC" w14:textId="77777777">
        <w:tblPrEx>
          <w:tblCellMar>
            <w:top w:w="0" w:type="dxa"/>
            <w:bottom w:w="0" w:type="dxa"/>
          </w:tblCellMar>
        </w:tblPrEx>
        <w:trPr>
          <w:cantSplit/>
        </w:trPr>
        <w:tc>
          <w:tcPr>
            <w:tcW w:w="24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E9" w14:textId="77777777" w:rsidR="00C1548D" w:rsidRDefault="009B1B4B">
            <w:pPr>
              <w:spacing w:line="250" w:lineRule="auto"/>
            </w:pPr>
            <w:r>
              <w:rPr>
                <w:sz w:val="18"/>
                <w:szCs w:val="18"/>
              </w:rPr>
              <w:t>Akut, nicht lebensbedrohlich: Fieber, Verstauchung, kleine Wunde, Harnwegsinfekt</w:t>
            </w:r>
          </w:p>
        </w:tc>
        <w:tc>
          <w:tcPr>
            <w:tcW w:w="16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EA" w14:textId="77777777" w:rsidR="00C1548D" w:rsidRDefault="009B1B4B">
            <w:pPr>
              <w:spacing w:line="250" w:lineRule="auto"/>
            </w:pPr>
            <w:r>
              <w:rPr>
                <w:sz w:val="18"/>
                <w:szCs w:val="18"/>
              </w:rPr>
              <w:t>Urgent Care, ohne Termin</w:t>
            </w:r>
          </w:p>
        </w:tc>
        <w:tc>
          <w:tcPr>
            <w:tcW w:w="24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EB" w14:textId="77777777" w:rsidR="00C1548D" w:rsidRDefault="009B1B4B">
            <w:pPr>
              <w:spacing w:line="250" w:lineRule="auto"/>
            </w:pPr>
            <w:r>
              <w:rPr>
                <w:sz w:val="18"/>
                <w:szCs w:val="18"/>
              </w:rPr>
              <w:t>Durchschnittspreis 2022: 220 $; Eigenanteil meist wie beim Hausarzt (Beispiele 9–83 $)</w:t>
            </w:r>
          </w:p>
        </w:tc>
      </w:tr>
      <w:tr w:rsidR="00C1548D" w14:paraId="70A4DCF0" w14:textId="77777777">
        <w:tblPrEx>
          <w:tblCellMar>
            <w:top w:w="0" w:type="dxa"/>
            <w:bottom w:w="0" w:type="dxa"/>
          </w:tblCellMar>
        </w:tblPrEx>
        <w:trPr>
          <w:cantSplit/>
        </w:trPr>
        <w:tc>
          <w:tcPr>
            <w:tcW w:w="24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ED" w14:textId="77777777" w:rsidR="00C1548D" w:rsidRDefault="009B1B4B">
            <w:pPr>
              <w:spacing w:line="250" w:lineRule="auto"/>
            </w:pPr>
            <w:r>
              <w:rPr>
                <w:sz w:val="18"/>
                <w:szCs w:val="18"/>
              </w:rPr>
              <w:t>Beratung, Rezept, leichter Infekt</w:t>
            </w:r>
          </w:p>
        </w:tc>
        <w:tc>
          <w:tcPr>
            <w:tcW w:w="16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EE" w14:textId="77777777" w:rsidR="00C1548D" w:rsidRDefault="009B1B4B">
            <w:pPr>
              <w:spacing w:line="250" w:lineRule="auto"/>
            </w:pPr>
            <w:r>
              <w:rPr>
                <w:sz w:val="18"/>
                <w:szCs w:val="18"/>
              </w:rPr>
              <w:t>Hausarzt oder Telemedizin</w:t>
            </w:r>
          </w:p>
        </w:tc>
        <w:tc>
          <w:tcPr>
            <w:tcW w:w="24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CEF" w14:textId="77777777" w:rsidR="00C1548D" w:rsidRDefault="009B1B4B">
            <w:pPr>
              <w:spacing w:line="250" w:lineRule="auto"/>
            </w:pPr>
            <w:r>
              <w:rPr>
                <w:sz w:val="18"/>
                <w:szCs w:val="18"/>
              </w:rPr>
              <w:t>Copay im Schnitt 27 $</w:t>
            </w:r>
          </w:p>
        </w:tc>
      </w:tr>
    </w:tbl>
    <w:p w14:paraId="70A4DCF1" w14:textId="77777777" w:rsidR="00C1548D" w:rsidRDefault="00C1548D">
      <w:pPr>
        <w:spacing w:line="180" w:lineRule="exact"/>
      </w:pPr>
    </w:p>
    <w:p w14:paraId="70A4DCF2" w14:textId="77777777" w:rsidR="00C1548D" w:rsidRDefault="009B1B4B">
      <w:pPr>
        <w:spacing w:after="140"/>
      </w:pPr>
      <w:r>
        <w:t xml:space="preserve">Die Preise stammen vom Health Care Cost Institute (Daten kommerziell Versicherter) und sind nicht dein Eigenanteil. Ohne Versicherung nennen Verbraucherportale für die Notaufnahme grob </w:t>
      </w:r>
      <w:r>
        <w:lastRenderedPageBreak/>
        <w:t>1.500–3.000 $, für Urgent Care 125–300 $. Im Netzwerk deckelt das Out-of-Pocket-Maximum dein Risiko; ohne Versicherung fehlt dieser Deckel, dann helfen Preisverhandlung, Zahlungsplan und Kostenübernahme (siehe unten).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F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CF3" w14:textId="77777777" w:rsidR="00C1548D" w:rsidRDefault="009B1B4B">
            <w:pPr>
              <w:keepNext/>
              <w:spacing w:after="70" w:line="240" w:lineRule="auto"/>
            </w:pPr>
            <w:r>
              <w:rPr>
                <w:b/>
                <w:bCs/>
                <w:color w:val="9B2C2C"/>
                <w:spacing w:val="24"/>
                <w:sz w:val="16"/>
                <w:szCs w:val="16"/>
              </w:rPr>
              <w:t>ACHTUNG</w:t>
            </w:r>
          </w:p>
          <w:p w14:paraId="70A4DCF4" w14:textId="77777777" w:rsidR="00C1548D" w:rsidRDefault="009B1B4B">
            <w:pPr>
              <w:spacing w:after="80" w:line="264" w:lineRule="auto"/>
            </w:pPr>
            <w:r>
              <w:rPr>
                <w:sz w:val="20"/>
                <w:szCs w:val="20"/>
              </w:rPr>
              <w:t>Der Krankenwagen ist die Lücke im System. Der No Surprises Act schützt bei Boden-Rettungswagen nicht: 2018 enthielten 51 % der Notfallfahrten in Großarbeitgeberplänen einen Out-of-Network-Anteil. Verbraucherportale nennen meist mehrere Hundert bis über 1.000 $ je Fahrt plus Meilenzuschlag. Über 20 Staaten haben eigene Schutzgesetze (Stand Februar 2026), die nicht für alle Arbeitgeberpläne gelten. Bei Lebensgefahr wählst du trotzdem 911; die Rechnung lässt sich später prüfen und verhandeln.</w:t>
            </w:r>
          </w:p>
        </w:tc>
      </w:tr>
    </w:tbl>
    <w:p w14:paraId="70A4DCF6" w14:textId="77777777" w:rsidR="00C1548D" w:rsidRDefault="00C1548D">
      <w:pPr>
        <w:spacing w:line="220" w:lineRule="exact"/>
      </w:pPr>
    </w:p>
    <w:p w14:paraId="70A4DCF7" w14:textId="77777777" w:rsidR="00C1548D" w:rsidRDefault="009B1B4B">
      <w:pPr>
        <w:pStyle w:val="Heading3"/>
        <w:keepNext/>
        <w:jc w:val="center"/>
      </w:pPr>
      <w:r>
        <w:rPr>
          <w:rFonts w:ascii="Amazon Ember" w:eastAsia="Amazon Ember" w:hAnsi="Amazon Ember" w:cs="Amazon Ember"/>
          <w:color w:val="0000FF"/>
          <w:sz w:val="36"/>
          <w:szCs w:val="36"/>
        </w:rPr>
        <w:t>Rezepte und Apotheken</w:t>
      </w:r>
    </w:p>
    <w:p w14:paraId="70A4DCF8" w14:textId="7FC227CE" w:rsidR="00C1548D" w:rsidRDefault="009B1B4B">
      <w:pPr>
        <w:spacing w:after="140"/>
      </w:pPr>
      <w:r>
        <w:t xml:space="preserve">Medikamente kaufst du in der </w:t>
      </w:r>
      <w:r>
        <w:rPr>
          <w:i/>
          <w:iCs/>
        </w:rPr>
        <w:t>Pharmacy</w:t>
      </w:r>
      <w:r>
        <w:t xml:space="preserve"> (Apotheke), die oft in Drogerie- und Supermarktketten steckt. Ein deutsches Rezept löst sie nicht ein; du brauchst eine Verschreibung eines in den USA zugelassenen Arztes (Vorrat und Arztbrief: Kapitel </w:t>
      </w:r>
      <w:hyperlink w:anchor="k18" w:history="1">
        <w:r>
          <w:t>18</w:t>
        </w:r>
      </w:hyperlink>
      <w:r>
        <w:t xml:space="preserve">). Wirkstoffnamen helfen: Paracetamol heißt in den USA </w:t>
      </w:r>
      <w:r>
        <w:rPr>
          <w:i/>
          <w:iCs/>
        </w:rPr>
        <w:t>Acetaminophen</w:t>
      </w:r>
      <w:r>
        <w:t>. Frei verkäufliche Mittel (</w:t>
      </w:r>
      <w:r>
        <w:rPr>
          <w:i/>
          <w:iCs/>
        </w:rPr>
        <w:t>Over-the-Counter</w:t>
      </w:r>
      <w:r>
        <w:t>, OTC) gibt es in großer Auswahl.</w:t>
      </w:r>
    </w:p>
    <w:p w14:paraId="70A4DCF9" w14:textId="77777777" w:rsidR="00C1548D" w:rsidRDefault="009B1B4B">
      <w:pPr>
        <w:spacing w:after="140"/>
      </w:pPr>
      <w:r>
        <w:t>Pläne führen eine Arzneimittelliste (</w:t>
      </w:r>
      <w:r>
        <w:rPr>
          <w:i/>
          <w:iCs/>
        </w:rPr>
        <w:t>Formulary</w:t>
      </w:r>
      <w:r>
        <w:t>) mit Preisstufen. Im Schnitt zahlst du bei Plänen mit mindestens drei Stufen 12 $ Copay für Generika, 40 $ für bevorzugte Markenpräparate und 71 $ für nicht bevorzugte (KFF 2025). Generika sind wirkstoffgleich und billiger: Laut der Arzneimittelbehörde FDA sinkt der Preis mit einem Wettbewerber um etwa 30 %, mit fünf um etwa 85 %.</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CFC"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CFA" w14:textId="77777777" w:rsidR="00C1548D" w:rsidRDefault="009B1B4B">
            <w:pPr>
              <w:keepNext/>
              <w:spacing w:after="70" w:line="240" w:lineRule="auto"/>
            </w:pPr>
            <w:r>
              <w:rPr>
                <w:b/>
                <w:bCs/>
                <w:color w:val="2F6B3B"/>
                <w:spacing w:val="24"/>
                <w:sz w:val="16"/>
                <w:szCs w:val="16"/>
              </w:rPr>
              <w:lastRenderedPageBreak/>
              <w:t>SPARTIPP</w:t>
            </w:r>
          </w:p>
          <w:p w14:paraId="70A4DCFB" w14:textId="77777777" w:rsidR="00C1548D" w:rsidRDefault="009B1B4B">
            <w:pPr>
              <w:spacing w:after="80" w:line="264" w:lineRule="auto"/>
            </w:pPr>
            <w:r>
              <w:rPr>
                <w:sz w:val="20"/>
                <w:szCs w:val="20"/>
              </w:rPr>
              <w:t>Rabattkarten und Apps wie GoodRx zeigen Barpreise je Apotheke. Bei billigen Generika liegt der Barpreis oft unter dem Copay. Nachteil: Der Kauf läuft außerhalb der Versicherung und zählt meist nicht auf Deductible und Out-of-Pocket-Maximum. Vergleiche beides vor dem Bezahlen und frage nach 90-Tage-Packungen oder Versandapotheke (</w:t>
            </w:r>
            <w:r>
              <w:rPr>
                <w:i/>
                <w:iCs/>
                <w:sz w:val="20"/>
                <w:szCs w:val="20"/>
              </w:rPr>
              <w:t>Mail Order</w:t>
            </w:r>
            <w:r>
              <w:rPr>
                <w:sz w:val="20"/>
                <w:szCs w:val="20"/>
              </w:rPr>
              <w:t>).</w:t>
            </w:r>
          </w:p>
        </w:tc>
      </w:tr>
    </w:tbl>
    <w:p w14:paraId="70A4DCFD" w14:textId="77777777" w:rsidR="00C1548D" w:rsidRDefault="00C1548D">
      <w:pPr>
        <w:spacing w:line="220" w:lineRule="exact"/>
      </w:pPr>
    </w:p>
    <w:p w14:paraId="70A4DCFE" w14:textId="77777777" w:rsidR="00C1548D" w:rsidRDefault="009B1B4B">
      <w:pPr>
        <w:pStyle w:val="Heading3"/>
        <w:keepNext/>
        <w:jc w:val="center"/>
      </w:pPr>
      <w:r>
        <w:rPr>
          <w:rFonts w:ascii="Amazon Ember" w:eastAsia="Amazon Ember" w:hAnsi="Amazon Ember" w:cs="Amazon Ember"/>
          <w:color w:val="0000FF"/>
          <w:sz w:val="36"/>
          <w:szCs w:val="36"/>
        </w:rPr>
        <w:t>Zahn und Augen: getrennte Welten</w:t>
      </w:r>
    </w:p>
    <w:p w14:paraId="70A4DCFF" w14:textId="77777777" w:rsidR="00C1548D" w:rsidRDefault="009B1B4B">
      <w:pPr>
        <w:spacing w:after="140"/>
      </w:pPr>
      <w:r>
        <w:t>Zahn- und Augenleistungen für Erwachsene sind in der Krankenversicherung meist nicht enthalten. Dafür gibt es eigene Pläne (</w:t>
      </w:r>
      <w:r>
        <w:rPr>
          <w:i/>
          <w:iCs/>
        </w:rPr>
        <w:t>Dental</w:t>
      </w:r>
      <w:r>
        <w:t xml:space="preserve"> und </w:t>
      </w:r>
      <w:r>
        <w:rPr>
          <w:i/>
          <w:iCs/>
        </w:rPr>
        <w:t>Vision</w:t>
      </w:r>
      <w:r>
        <w:t>), oft über den Arbeitgeber gegen einen kleinen Zusatzbeitrag. Dental-Pläne haben eine Jahreshöchstleistung (</w:t>
      </w:r>
      <w:r>
        <w:rPr>
          <w:i/>
          <w:iCs/>
        </w:rPr>
        <w:t>Annual Maximum</w:t>
      </w:r>
      <w:r>
        <w:t>) von meist 1.000–2.000 $; darüber zahlst du selbst. Kontrolle und Reinigung werden häufig voll erstattet, Füllungen und Kronen zu einem geringeren Anteil; bei Einzelverträgen gelten für größere Leistungen oft sechs bis zwölf Monate Wartefrist (Arbeitgeberpläne meist ohne). Kieferorthopädie hat meist ein Lebenszeit-Maximum von 1.000–3.000 $ und wird oft zur Hälfte erstattet.</w:t>
      </w:r>
    </w:p>
    <w:p w14:paraId="70A4DD00" w14:textId="77777777" w:rsidR="00C1548D" w:rsidRDefault="009B1B4B">
      <w:pPr>
        <w:spacing w:after="140"/>
      </w:pPr>
      <w:r>
        <w:t>Ohne Versicherung liegen die Preise so (Spannen laut Verbraucherportalen 2026, regional stark schwankend):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8"/>
        <w:gridCol w:w="3672"/>
      </w:tblGrid>
      <w:tr w:rsidR="00C1548D" w14:paraId="70A4DD03" w14:textId="77777777">
        <w:tblPrEx>
          <w:tblCellMar>
            <w:top w:w="0" w:type="dxa"/>
            <w:bottom w:w="0" w:type="dxa"/>
          </w:tblCellMar>
        </w:tblPrEx>
        <w:trPr>
          <w:cantSplit/>
          <w:tblHeader/>
        </w:trPr>
        <w:tc>
          <w:tcPr>
            <w:tcW w:w="280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D01" w14:textId="77777777" w:rsidR="00C1548D" w:rsidRDefault="009B1B4B">
            <w:pPr>
              <w:spacing w:line="250" w:lineRule="auto"/>
            </w:pPr>
            <w:r>
              <w:rPr>
                <w:b/>
                <w:bCs/>
                <w:sz w:val="18"/>
                <w:szCs w:val="18"/>
              </w:rPr>
              <w:t>Leistung</w:t>
            </w:r>
          </w:p>
        </w:tc>
        <w:tc>
          <w:tcPr>
            <w:tcW w:w="367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D02" w14:textId="77777777" w:rsidR="00C1548D" w:rsidRDefault="009B1B4B">
            <w:pPr>
              <w:spacing w:line="250" w:lineRule="auto"/>
            </w:pPr>
            <w:r>
              <w:rPr>
                <w:b/>
                <w:bCs/>
                <w:sz w:val="18"/>
                <w:szCs w:val="18"/>
              </w:rPr>
              <w:t>Preis ohne Versicherung</w:t>
            </w:r>
          </w:p>
        </w:tc>
      </w:tr>
      <w:tr w:rsidR="00C1548D" w14:paraId="70A4DD06" w14:textId="77777777">
        <w:tblPrEx>
          <w:tblCellMar>
            <w:top w:w="0" w:type="dxa"/>
            <w:bottom w:w="0" w:type="dxa"/>
          </w:tblCellMar>
        </w:tblPrEx>
        <w:trPr>
          <w:cantSplit/>
        </w:trPr>
        <w:tc>
          <w:tcPr>
            <w:tcW w:w="28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04" w14:textId="77777777" w:rsidR="00C1548D" w:rsidRDefault="009B1B4B">
            <w:pPr>
              <w:spacing w:line="250" w:lineRule="auto"/>
            </w:pPr>
            <w:r>
              <w:rPr>
                <w:sz w:val="18"/>
                <w:szCs w:val="18"/>
              </w:rPr>
              <w:t>Kontrolle mit Röntgen und Reinigung</w:t>
            </w:r>
          </w:p>
        </w:tc>
        <w:tc>
          <w:tcPr>
            <w:tcW w:w="36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05" w14:textId="77777777" w:rsidR="00C1548D" w:rsidRDefault="009B1B4B">
            <w:pPr>
              <w:spacing w:line="250" w:lineRule="auto"/>
            </w:pPr>
            <w:r>
              <w:rPr>
                <w:sz w:val="18"/>
                <w:szCs w:val="18"/>
              </w:rPr>
              <w:t>150–350 $</w:t>
            </w:r>
          </w:p>
        </w:tc>
      </w:tr>
      <w:tr w:rsidR="00C1548D" w14:paraId="70A4DD09" w14:textId="77777777">
        <w:tblPrEx>
          <w:tblCellMar>
            <w:top w:w="0" w:type="dxa"/>
            <w:bottom w:w="0" w:type="dxa"/>
          </w:tblCellMar>
        </w:tblPrEx>
        <w:trPr>
          <w:cantSplit/>
        </w:trPr>
        <w:tc>
          <w:tcPr>
            <w:tcW w:w="28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07" w14:textId="77777777" w:rsidR="00C1548D" w:rsidRDefault="009B1B4B">
            <w:pPr>
              <w:spacing w:line="250" w:lineRule="auto"/>
            </w:pPr>
            <w:r>
              <w:rPr>
                <w:sz w:val="18"/>
                <w:szCs w:val="18"/>
              </w:rPr>
              <w:t>Füllung (je Zahn)</w:t>
            </w:r>
          </w:p>
        </w:tc>
        <w:tc>
          <w:tcPr>
            <w:tcW w:w="36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08" w14:textId="77777777" w:rsidR="00C1548D" w:rsidRDefault="009B1B4B">
            <w:pPr>
              <w:spacing w:line="250" w:lineRule="auto"/>
            </w:pPr>
            <w:r>
              <w:rPr>
                <w:sz w:val="18"/>
                <w:szCs w:val="18"/>
              </w:rPr>
              <w:t>150–300 $, teils bis 600 $</w:t>
            </w:r>
          </w:p>
        </w:tc>
      </w:tr>
      <w:tr w:rsidR="00C1548D" w14:paraId="70A4DD0C" w14:textId="77777777">
        <w:tblPrEx>
          <w:tblCellMar>
            <w:top w:w="0" w:type="dxa"/>
            <w:bottom w:w="0" w:type="dxa"/>
          </w:tblCellMar>
        </w:tblPrEx>
        <w:trPr>
          <w:cantSplit/>
        </w:trPr>
        <w:tc>
          <w:tcPr>
            <w:tcW w:w="28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0A" w14:textId="77777777" w:rsidR="00C1548D" w:rsidRDefault="009B1B4B">
            <w:pPr>
              <w:spacing w:line="250" w:lineRule="auto"/>
            </w:pPr>
            <w:r>
              <w:rPr>
                <w:sz w:val="18"/>
                <w:szCs w:val="18"/>
              </w:rPr>
              <w:t>Krone (je Zahn)</w:t>
            </w:r>
          </w:p>
        </w:tc>
        <w:tc>
          <w:tcPr>
            <w:tcW w:w="36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0B" w14:textId="77777777" w:rsidR="00C1548D" w:rsidRDefault="009B1B4B">
            <w:pPr>
              <w:spacing w:line="250" w:lineRule="auto"/>
            </w:pPr>
            <w:r>
              <w:rPr>
                <w:sz w:val="18"/>
                <w:szCs w:val="18"/>
              </w:rPr>
              <w:t>800–1.700 $, Vollkeramik oder Gold bis 3.000 $</w:t>
            </w:r>
          </w:p>
        </w:tc>
      </w:tr>
      <w:tr w:rsidR="00C1548D" w14:paraId="70A4DD0F" w14:textId="77777777">
        <w:tblPrEx>
          <w:tblCellMar>
            <w:top w:w="0" w:type="dxa"/>
            <w:bottom w:w="0" w:type="dxa"/>
          </w:tblCellMar>
        </w:tblPrEx>
        <w:trPr>
          <w:cantSplit/>
        </w:trPr>
        <w:tc>
          <w:tcPr>
            <w:tcW w:w="28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0D" w14:textId="77777777" w:rsidR="00C1548D" w:rsidRDefault="009B1B4B">
            <w:pPr>
              <w:spacing w:line="250" w:lineRule="auto"/>
            </w:pPr>
            <w:r>
              <w:rPr>
                <w:sz w:val="18"/>
                <w:szCs w:val="18"/>
              </w:rPr>
              <w:t>Augenuntersuchung</w:t>
            </w:r>
          </w:p>
        </w:tc>
        <w:tc>
          <w:tcPr>
            <w:tcW w:w="36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0E" w14:textId="77777777" w:rsidR="00C1548D" w:rsidRDefault="009B1B4B">
            <w:pPr>
              <w:spacing w:line="250" w:lineRule="auto"/>
            </w:pPr>
            <w:r>
              <w:rPr>
                <w:sz w:val="18"/>
                <w:szCs w:val="18"/>
              </w:rPr>
              <w:t>70–110 $ (Ketten), 120–250 $ (Optiker)</w:t>
            </w:r>
          </w:p>
        </w:tc>
      </w:tr>
      <w:tr w:rsidR="00C1548D" w14:paraId="70A4DD12" w14:textId="77777777">
        <w:tblPrEx>
          <w:tblCellMar>
            <w:top w:w="0" w:type="dxa"/>
            <w:bottom w:w="0" w:type="dxa"/>
          </w:tblCellMar>
        </w:tblPrEx>
        <w:trPr>
          <w:cantSplit/>
        </w:trPr>
        <w:tc>
          <w:tcPr>
            <w:tcW w:w="28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10" w14:textId="77777777" w:rsidR="00C1548D" w:rsidRDefault="009B1B4B">
            <w:pPr>
              <w:spacing w:line="250" w:lineRule="auto"/>
            </w:pPr>
            <w:r>
              <w:rPr>
                <w:sz w:val="18"/>
                <w:szCs w:val="18"/>
              </w:rPr>
              <w:t>Brille (Gestell und Gläser)</w:t>
            </w:r>
          </w:p>
        </w:tc>
        <w:tc>
          <w:tcPr>
            <w:tcW w:w="36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11" w14:textId="77777777" w:rsidR="00C1548D" w:rsidRDefault="009B1B4B">
            <w:pPr>
              <w:spacing w:line="250" w:lineRule="auto"/>
            </w:pPr>
            <w:r>
              <w:rPr>
                <w:sz w:val="18"/>
                <w:szCs w:val="18"/>
              </w:rPr>
              <w:t>ca. 180–400 $</w:t>
            </w:r>
          </w:p>
        </w:tc>
      </w:tr>
    </w:tbl>
    <w:p w14:paraId="70A4DD13"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16"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D14" w14:textId="77777777" w:rsidR="00C1548D" w:rsidRDefault="009B1B4B">
            <w:pPr>
              <w:keepNext/>
              <w:spacing w:after="70" w:line="240" w:lineRule="auto"/>
            </w:pPr>
            <w:r>
              <w:rPr>
                <w:b/>
                <w:bCs/>
                <w:color w:val="2F6B3B"/>
                <w:spacing w:val="24"/>
                <w:sz w:val="16"/>
                <w:szCs w:val="16"/>
              </w:rPr>
              <w:lastRenderedPageBreak/>
              <w:t>SPARTIPP</w:t>
            </w:r>
          </w:p>
          <w:p w14:paraId="70A4DD15" w14:textId="3DE94112" w:rsidR="00C1548D" w:rsidRDefault="009B1B4B">
            <w:pPr>
              <w:spacing w:after="80" w:line="264" w:lineRule="auto"/>
            </w:pPr>
            <w:r>
              <w:rPr>
                <w:sz w:val="20"/>
                <w:szCs w:val="20"/>
              </w:rPr>
              <w:t>Zahnarztschulen der Universitäten und Gesundheitszentren (</w:t>
            </w:r>
            <w:r>
              <w:rPr>
                <w:i/>
                <w:iCs/>
                <w:sz w:val="20"/>
                <w:szCs w:val="20"/>
              </w:rPr>
              <w:t>Community Health Centers</w:t>
            </w:r>
            <w:r>
              <w:rPr>
                <w:sz w:val="20"/>
                <w:szCs w:val="20"/>
              </w:rPr>
              <w:t>) behandeln oft deutlich günstiger. Praxen bieten Unversicherten teils Jahresmitgliedschaften (200–400 $) mit Rabatt an; frage nach einem Selbstzahler-Nachlass. Aufwendige Zahnbehandlungen und die Brille erledigst du besser noch in Deutschland (Kapitel </w:t>
            </w:r>
            <w:hyperlink w:anchor="k18" w:history="1">
              <w:r>
                <w:rPr>
                  <w:sz w:val="20"/>
                  <w:szCs w:val="20"/>
                </w:rPr>
                <w:t>18</w:t>
              </w:r>
            </w:hyperlink>
            <w:r>
              <w:rPr>
                <w:sz w:val="20"/>
                <w:szCs w:val="20"/>
              </w:rPr>
              <w:t>).</w:t>
            </w:r>
          </w:p>
        </w:tc>
      </w:tr>
    </w:tbl>
    <w:p w14:paraId="70A4DD17" w14:textId="77777777" w:rsidR="00C1548D" w:rsidRDefault="00C1548D">
      <w:pPr>
        <w:spacing w:line="220" w:lineRule="exact"/>
      </w:pPr>
    </w:p>
    <w:p w14:paraId="70A4DD18" w14:textId="77777777" w:rsidR="00C1548D" w:rsidRDefault="009B1B4B">
      <w:pPr>
        <w:pStyle w:val="Heading3"/>
        <w:keepNext/>
        <w:jc w:val="center"/>
      </w:pPr>
      <w:r>
        <w:rPr>
          <w:rFonts w:ascii="Amazon Ember" w:eastAsia="Amazon Ember" w:hAnsi="Amazon Ember" w:cs="Amazon Ember"/>
          <w:color w:val="0000FF"/>
          <w:sz w:val="36"/>
          <w:szCs w:val="36"/>
        </w:rPr>
        <w:t>Kinder, Impfungen und Vorsorge</w:t>
      </w:r>
    </w:p>
    <w:p w14:paraId="70A4DD19" w14:textId="3C897212" w:rsidR="00C1548D" w:rsidRDefault="009B1B4B">
      <w:pPr>
        <w:spacing w:after="140"/>
      </w:pPr>
      <w:r>
        <w:t>Kinder meldest du über den Familientarif an. Vorsorgetermine beim Kinderarzt (</w:t>
      </w:r>
      <w:r>
        <w:rPr>
          <w:i/>
          <w:iCs/>
        </w:rPr>
        <w:t>Well-Child Visits</w:t>
      </w:r>
      <w:r>
        <w:t xml:space="preserve">) und empfohlene Impfungen sind im Netzwerk meist ohne Zuzahlung. Suche den </w:t>
      </w:r>
      <w:r>
        <w:rPr>
          <w:i/>
          <w:iCs/>
        </w:rPr>
        <w:t>Pediatrician</w:t>
      </w:r>
      <w:r>
        <w:t xml:space="preserve"> früh und bringe Impfpass, Vorsorgeheft und Befunde in englischer Übersetzung mit (Kapitel </w:t>
      </w:r>
      <w:hyperlink w:anchor="k19" w:history="1">
        <w:r>
          <w:t>19</w:t>
        </w:r>
      </w:hyperlink>
      <w:r>
        <w:t>). Ein Neugeborenes meldest du im Arbeitgeberplan binnen 30 Tagen an, die Deckung gilt rückwirkend ab Geburt; beim Marktplatz gelten 60 Tage. Eine Geburt kostet im Arbeitgeberplan im Schnitt 20.416 $, der Eigenanteil liegt bei 2.743 $ (Peterson-KFF, Daten 2021–2023). Schwangerschaft, Geburt und Elternzeit behandelt Kapitel </w:t>
      </w:r>
      <w:hyperlink w:anchor="k38" w:history="1">
        <w:r>
          <w:t>38</w:t>
        </w:r>
      </w:hyperlink>
      <w:r>
        <w:t>; Überbrückungspläne schließen sie oft aus.</w:t>
      </w:r>
    </w:p>
    <w:p w14:paraId="70A4DD1A" w14:textId="4E025462" w:rsidR="00C1548D" w:rsidRDefault="009B1B4B">
      <w:pPr>
        <w:spacing w:after="140"/>
      </w:pPr>
      <w:r>
        <w:t>Die Schulimpfpflicht ist Landesrecht: Nach der KFF-Übersicht vom August 2026 verlangen alle 50 Staaten Nachweise für MMR (Masern, Mumps, Röteln), DTaP (Diphtherie, Tetanus, Keuchhusten), Polio und Windpocken, 49 auch Hepatitis B. Medizinische Ausnahmen gibt es überall, nicht-medizinische entfallen in Kalifornien, Connecticut, Maine, New York und West Virginia. Die Dosenzahlen weichen teils von den STIKO-Empfehlungen ab; lass Kinderarzt und Schule den Status abgleichen (Kapitel </w:t>
      </w:r>
      <w:hyperlink w:anchor="k36" w:history="1">
        <w:r>
          <w:t>36</w:t>
        </w:r>
      </w:hyperlink>
      <w:r>
        <w:t>).</w:t>
      </w:r>
    </w:p>
    <w:p w14:paraId="70A4DD1B" w14:textId="77777777" w:rsidR="00C1548D" w:rsidRDefault="009B1B4B">
      <w:pPr>
        <w:spacing w:after="140"/>
      </w:pPr>
      <w:r>
        <w:t xml:space="preserve">Zur Lage 2026: Der im Januar geänderte Kinder-Impfplan der Gesundheitsbehörde CDC ist seit dem 16. März 2026 gerichtlich ausgesetzt, das Berufungsverfahren läuft. Die Schulpflichten ändern </w:t>
      </w:r>
      <w:r>
        <w:lastRenderedPageBreak/>
        <w:t>sich dadurch nicht automatisch; frage Kinderarzt und Gesundheitsbehörde deines Staates nach dem Stand.</w:t>
      </w:r>
    </w:p>
    <w:p w14:paraId="70A4DD1C" w14:textId="77777777" w:rsidR="00C1548D" w:rsidRDefault="009B1B4B">
      <w:pPr>
        <w:pStyle w:val="Heading3"/>
        <w:keepNext/>
        <w:jc w:val="center"/>
      </w:pPr>
      <w:r>
        <w:rPr>
          <w:rFonts w:ascii="Amazon Ember" w:eastAsia="Amazon Ember" w:hAnsi="Amazon Ember" w:cs="Amazon Ember"/>
          <w:color w:val="0000FF"/>
          <w:sz w:val="36"/>
          <w:szCs w:val="36"/>
        </w:rPr>
        <w:t>Psychotherapie und Krisenhilfe</w:t>
      </w:r>
    </w:p>
    <w:p w14:paraId="70A4DD1D" w14:textId="77777777" w:rsidR="00C1548D" w:rsidRDefault="009B1B4B">
      <w:pPr>
        <w:spacing w:after="140"/>
      </w:pPr>
      <w:r>
        <w:t>Psychotherapie läuft über frei praktizierende Therapeuten, die nicht immer mit Versicherern abrechnen. Eine Sitzung kostet ohne Versicherung etwa 80–200 $; das gemeinnützige Open Path Collective vermittelt Sitzungen für 40–70 $ (einmalig 65 $ Mitgliedsgebühr), im Netzwerk zahlst du meist nur einen Copay. Der Zugang ist nicht überall leicht: Nur 70 % der Arbeitgeber glauben, dass ihr größter Plan zeitnah psychische Hilfe bietet (beim Hausarzt 92 %).</w:t>
      </w:r>
    </w:p>
    <w:p w14:paraId="70A4DD1E" w14:textId="77777777" w:rsidR="00C1548D" w:rsidRDefault="009B1B4B">
      <w:pPr>
        <w:spacing w:after="140"/>
      </w:pPr>
      <w:r>
        <w:t xml:space="preserve">Viele Arbeitgeber haben ein </w:t>
      </w:r>
      <w:r>
        <w:rPr>
          <w:i/>
          <w:iCs/>
        </w:rPr>
        <w:t>Employee Assistance Program</w:t>
      </w:r>
      <w:r>
        <w:t xml:space="preserve"> (EAP) mit einigen kostenlosen Sitzungen; die Zahl steht im Programm. Telehealth ist verbreitet, der Therapeut ist meist im Bundesstaat des Patienten zugelassen. Deutschsprachige Therapeuten findest du über Psychology Today (Sprachfilter „German“) und FindTreatment.gov.</w:t>
      </w:r>
    </w:p>
    <w:p w14:paraId="70A4DD1F" w14:textId="2F9FAA77" w:rsidR="00C1548D" w:rsidRDefault="009B1B4B">
      <w:pPr>
        <w:spacing w:after="140"/>
      </w:pPr>
      <w:r>
        <w:t xml:space="preserve">In akuten Krisen erreichst du die </w:t>
      </w:r>
      <w:r>
        <w:rPr>
          <w:i/>
          <w:iCs/>
        </w:rPr>
        <w:t>988 Suicide &amp; Crisis Lifeline</w:t>
      </w:r>
      <w:r>
        <w:t xml:space="preserve"> rund um die Uhr per Anruf, SMS oder Chat, kostenlos, mit Dolmetschern in über 240 Sprachen. Bei Lebensgefahr wählst du 911. Heimweh, Kulturschock und Paare unter Stress: </w:t>
      </w:r>
      <w:r>
        <w:t>Kapitel </w:t>
      </w:r>
      <w:hyperlink w:anchor="k33" w:history="1">
        <w:r>
          <w:t>33</w:t>
        </w:r>
      </w:hyperlink>
      <w:r>
        <w:t>.</w:t>
      </w:r>
    </w:p>
    <w:p w14:paraId="70A4DD20" w14:textId="77777777" w:rsidR="00C1548D" w:rsidRDefault="009B1B4B">
      <w:pPr>
        <w:pStyle w:val="Heading3"/>
        <w:keepNext/>
        <w:jc w:val="center"/>
      </w:pPr>
      <w:r>
        <w:rPr>
          <w:rFonts w:ascii="Amazon Ember" w:eastAsia="Amazon Ember" w:hAnsi="Amazon Ember" w:cs="Amazon Ember"/>
          <w:color w:val="0000FF"/>
          <w:sz w:val="36"/>
          <w:szCs w:val="36"/>
        </w:rPr>
        <w:t>Rechnungen lesen, prüfen und verhandeln</w:t>
      </w:r>
    </w:p>
    <w:p w14:paraId="70A4DD21" w14:textId="77777777" w:rsidR="00C1548D" w:rsidRDefault="009B1B4B">
      <w:pPr>
        <w:spacing w:after="140"/>
      </w:pPr>
      <w:r>
        <w:t>Nach einem Arztbesuch kommt zuerst die EOB, sie zeigt, was die Praxis berechnet hat (</w:t>
      </w:r>
      <w:r>
        <w:rPr>
          <w:i/>
          <w:iCs/>
        </w:rPr>
        <w:t>Billed</w:t>
      </w:r>
      <w:r>
        <w:t>), den mit dem Netzwerk vereinbarten Preis (</w:t>
      </w:r>
      <w:r>
        <w:rPr>
          <w:i/>
          <w:iCs/>
        </w:rPr>
        <w:t>Allowed Amount</w:t>
      </w:r>
      <w:r>
        <w:t>), was der Plan zahlt und was du schuldest. Erst danach folgt die Rechnung, oft in mehreren Teilen — Klinik, Arzt, Labor, Radiologie und Anästhesie schicken getrennt.</w:t>
      </w:r>
    </w:p>
    <w:p w14:paraId="70A4DD22" w14:textId="77777777" w:rsidR="00C1548D" w:rsidRDefault="009B1B4B" w:rsidP="009B1B4B">
      <w:pPr>
        <w:pStyle w:val="ListParagraph"/>
        <w:numPr>
          <w:ilvl w:val="0"/>
          <w:numId w:val="28"/>
        </w:numPr>
        <w:spacing w:after="60"/>
      </w:pPr>
      <w:r>
        <w:lastRenderedPageBreak/>
        <w:t>Warte auf die EOB und gleiche sie mit jeder Rechnung ab. Zahle nur den Betrag, den die EOB als deinen Anteil ausweist.</w:t>
      </w:r>
    </w:p>
    <w:p w14:paraId="70A4DD23" w14:textId="77777777" w:rsidR="00C1548D" w:rsidRDefault="009B1B4B" w:rsidP="009B1B4B">
      <w:pPr>
        <w:pStyle w:val="ListParagraph"/>
        <w:numPr>
          <w:ilvl w:val="0"/>
          <w:numId w:val="28"/>
        </w:numPr>
        <w:spacing w:after="60"/>
      </w:pPr>
      <w:r>
        <w:t>Fordere bei Unklarheiten eine Einzelaufstellung (</w:t>
      </w:r>
      <w:r>
        <w:rPr>
          <w:i/>
          <w:iCs/>
        </w:rPr>
        <w:t>Itemized Bill</w:t>
      </w:r>
      <w:r>
        <w:t>) an und prüfe sie auf doppelte Posten und falsche Leistungen.</w:t>
      </w:r>
    </w:p>
    <w:p w14:paraId="70A4DD24" w14:textId="77777777" w:rsidR="00C1548D" w:rsidRDefault="009B1B4B" w:rsidP="009B1B4B">
      <w:pPr>
        <w:pStyle w:val="ListParagraph"/>
        <w:numPr>
          <w:ilvl w:val="0"/>
          <w:numId w:val="28"/>
        </w:numPr>
        <w:spacing w:after="60"/>
      </w:pPr>
      <w:r>
        <w:t>Widersprich Fehlern schriftlich beim Versicherer (</w:t>
      </w:r>
      <w:r>
        <w:rPr>
          <w:i/>
          <w:iCs/>
        </w:rPr>
        <w:t>Appeal</w:t>
      </w:r>
      <w:r>
        <w:t>). Notiere bei jedem Anruf Datum, Name und Referenznummer.</w:t>
      </w:r>
    </w:p>
    <w:p w14:paraId="70A4DD25" w14:textId="77777777" w:rsidR="00C1548D" w:rsidRDefault="009B1B4B" w:rsidP="009B1B4B">
      <w:pPr>
        <w:pStyle w:val="ListParagraph"/>
        <w:numPr>
          <w:ilvl w:val="0"/>
          <w:numId w:val="28"/>
        </w:numPr>
        <w:spacing w:after="60"/>
      </w:pPr>
      <w:r>
        <w:t>Verhandle: Frage nach zinslosem Zahlungsplan, Selbstzahler-Rabatt oder Nachlass bei Sofortzahlung.</w:t>
      </w:r>
    </w:p>
    <w:p w14:paraId="70A4DD26" w14:textId="77777777" w:rsidR="00C1548D" w:rsidRDefault="009B1B4B" w:rsidP="009B1B4B">
      <w:pPr>
        <w:pStyle w:val="ListParagraph"/>
        <w:numPr>
          <w:ilvl w:val="0"/>
          <w:numId w:val="28"/>
        </w:numPr>
        <w:spacing w:after="60"/>
      </w:pPr>
      <w:r>
        <w:t xml:space="preserve">Beantrage bei gemeinnützigen Krankenhäusern </w:t>
      </w:r>
      <w:r>
        <w:rPr>
          <w:i/>
          <w:iCs/>
        </w:rPr>
        <w:t>Financial Assistance</w:t>
      </w:r>
      <w:r>
        <w:t xml:space="preserve"> (Kostenübernahme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14:paraId="70A4DD2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2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D28" w14:textId="77777777" w:rsidR="00C1548D" w:rsidRDefault="009B1B4B">
            <w:pPr>
              <w:keepNext/>
              <w:spacing w:after="70" w:line="240" w:lineRule="auto"/>
            </w:pPr>
            <w:r>
              <w:rPr>
                <w:b/>
                <w:bCs/>
                <w:color w:val="9B2C2C"/>
                <w:spacing w:val="24"/>
                <w:sz w:val="16"/>
                <w:szCs w:val="16"/>
              </w:rPr>
              <w:t>ACHTUNG</w:t>
            </w:r>
          </w:p>
          <w:p w14:paraId="70A4DD29" w14:textId="1A19BEBC" w:rsidR="00C1548D" w:rsidRDefault="009B1B4B">
            <w:pPr>
              <w:spacing w:after="80" w:line="264" w:lineRule="auto"/>
            </w:pPr>
            <w:r>
              <w:rPr>
                <w:sz w:val="20"/>
                <w:szCs w:val="20"/>
              </w:rPr>
              <w:t>Ignoriere Rechnungen nie: Unbezahlte Beträge gehen an Inkasso. Eine Bundesregel, die Medical Debt aus Kreditberichten verbannt hätte, wurde am 11. Juli 2025 gerichtlich aufgehoben. Die drei großen Auskunfteien melden freiwillig keine bezahlten Forderungen und keine unter 500 $, und 15 Staaten haben eigene Gesetze. Zur Kreditwürdigkeit siehe Kapitel </w:t>
            </w:r>
            <w:hyperlink w:anchor="k25" w:history="1">
              <w:r>
                <w:rPr>
                  <w:sz w:val="20"/>
                  <w:szCs w:val="20"/>
                </w:rPr>
                <w:t>25</w:t>
              </w:r>
            </w:hyperlink>
            <w:r>
              <w:rPr>
                <w:sz w:val="20"/>
                <w:szCs w:val="20"/>
              </w:rPr>
              <w:t>.</w:t>
            </w:r>
          </w:p>
        </w:tc>
      </w:tr>
    </w:tbl>
    <w:p w14:paraId="70A4DD2B" w14:textId="77777777" w:rsidR="00C1548D" w:rsidRDefault="00C1548D">
      <w:pPr>
        <w:spacing w:line="220" w:lineRule="exact"/>
      </w:pPr>
    </w:p>
    <w:p w14:paraId="70A4DD2C" w14:textId="77777777" w:rsidR="00C1548D" w:rsidRDefault="009B1B4B">
      <w:pPr>
        <w:spacing w:after="140"/>
      </w:pPr>
      <w:r>
        <w:t xml:space="preserve">Der </w:t>
      </w:r>
      <w:r>
        <w:rPr>
          <w:i/>
          <w:iCs/>
        </w:rPr>
        <w:t>No Surprises Act</w:t>
      </w:r>
      <w:r>
        <w:t xml:space="preserve"> (seit 1. Januar 2022) verbietet überraschende Zusatzrechnungen (</w:t>
      </w:r>
      <w:r>
        <w:rPr>
          <w:i/>
          <w:iCs/>
        </w:rPr>
        <w:t>Balance Billing</w:t>
      </w:r>
      <w:r>
        <w:t>) in drei Fällen: bei Notfallbehandlung, auch außerhalb des Netzwerks; bei Ärzten außerhalb des Netzwerks in einem Netzwerk-Krankenhaus oder einer Netzwerk-Ambulanz; und bei Luftrettung — dann zahlst du nur den Netzwerk-Anteil. Bei planbaren Leistungen kann dir ein Anbieter ein Formular zum Verzicht auf den Schutz vorlegen; unterschreibe es nicht unter Zeitdruck. Als Selbstzahler hast du bei Terminen ab drei Werktagen Vorlauf Anspruch auf einen Kostenvoranschlag (</w:t>
      </w:r>
      <w:r>
        <w:rPr>
          <w:i/>
          <w:iCs/>
        </w:rPr>
        <w:t>Good Faith Estimate</w:t>
      </w:r>
      <w:r>
        <w:t xml:space="preserve">); liegt die Rechnung um </w:t>
      </w:r>
      <w:r>
        <w:lastRenderedPageBreak/>
        <w:t>400 $ oder mehr darüber, kannst du ein Streitverfahren einleiten. Beschwerden: CMS-Hotline 1-800-985-3059.</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2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D2D" w14:textId="77777777" w:rsidR="00C1548D" w:rsidRDefault="009B1B4B">
            <w:pPr>
              <w:keepNext/>
              <w:spacing w:after="70" w:line="240" w:lineRule="auto"/>
            </w:pPr>
            <w:r>
              <w:rPr>
                <w:b/>
                <w:bCs/>
                <w:color w:val="4A5568"/>
                <w:spacing w:val="24"/>
                <w:sz w:val="16"/>
                <w:szCs w:val="16"/>
              </w:rPr>
              <w:t>PRAXISBEISPIEL · FIKTIV</w:t>
            </w:r>
          </w:p>
          <w:p w14:paraId="70A4DD2E" w14:textId="77777777" w:rsidR="00C1548D" w:rsidRDefault="009B1B4B">
            <w:pPr>
              <w:spacing w:after="80" w:line="264" w:lineRule="auto"/>
            </w:pPr>
            <w:r>
              <w:rPr>
                <w:sz w:val="20"/>
                <w:szCs w:val="20"/>
              </w:rPr>
              <w:t>Familie Brandt (fiktiv), Deductible 1.500 $ pro Person. Im November bricht sich Lena (9) beim Schulsport das Handgelenk: Urgent Care, Röntgen, Schiene – stolz hält sie zu Hause ihren pinken Gips hoch, als wäre er ein Souvenir. Zwei Wochen später kommen zwei EOBs und zwei Rechnungen. Die Urgent Care berechnet 1.180 $, vereinbart sind 640 $. Die Radiologiepraxis, die das Bild befundet hat, berechnet 210 $, vereinbart sind 85 $. Weil Lenas Deductible noch offen ist, schuldet die Familie 640 $ plus 85 $, also 7</w:t>
            </w:r>
            <w:r>
              <w:rPr>
                <w:sz w:val="20"/>
                <w:szCs w:val="20"/>
              </w:rPr>
              <w:t>25 $, und nicht 1.390 $. Markus gleicht EOBs und Rechnungen ab, zahlt die vereinbarten Beträge und legt die Belege in einen Ordner. Von Lenas Deductible bleiben 775 $.</w:t>
            </w:r>
          </w:p>
        </w:tc>
      </w:tr>
    </w:tbl>
    <w:p w14:paraId="70A4DD30" w14:textId="77777777" w:rsidR="00C1548D" w:rsidRDefault="00C1548D">
      <w:pPr>
        <w:spacing w:line="220" w:lineRule="exact"/>
      </w:pPr>
    </w:p>
    <w:p w14:paraId="70A4DD31" w14:textId="77777777" w:rsidR="00C1548D" w:rsidRDefault="009B1B4B">
      <w:pPr>
        <w:pStyle w:val="Heading3"/>
        <w:keepNext/>
        <w:jc w:val="center"/>
      </w:pPr>
      <w:r>
        <w:rPr>
          <w:rFonts w:ascii="Amazon Ember" w:eastAsia="Amazon Ember" w:hAnsi="Amazon Ember" w:cs="Amazon Ember"/>
          <w:color w:val="0000FF"/>
          <w:sz w:val="36"/>
          <w:szCs w:val="36"/>
        </w:rPr>
        <w:t>Jobverlust: COBRA und Marktplatz</w:t>
      </w:r>
    </w:p>
    <w:p w14:paraId="70A4DD32" w14:textId="77777777" w:rsidR="00C1548D" w:rsidRDefault="009B1B4B">
      <w:pPr>
        <w:spacing w:after="140"/>
      </w:pPr>
      <w:r>
        <w:t>Endet der Job, endet meist auch die Arbeitgeberdeckung, je nach Firma am letzten Arbeitstag oder zum Monatsende. Es bleiben drei Wege:</w:t>
      </w:r>
    </w:p>
    <w:p w14:paraId="70A4DD33" w14:textId="77777777" w:rsidR="00C1548D" w:rsidRDefault="009B1B4B" w:rsidP="009B1B4B">
      <w:pPr>
        <w:pStyle w:val="ListParagraph"/>
        <w:numPr>
          <w:ilvl w:val="0"/>
          <w:numId w:val="1"/>
        </w:numPr>
        <w:spacing w:after="60"/>
      </w:pPr>
      <w:r>
        <w:rPr>
          <w:b/>
          <w:bCs/>
        </w:rPr>
        <w:t>COBRA:</w:t>
      </w:r>
      <w:r>
        <w:t xml:space="preserve"> Du führst den bisherigen Plan fort, bei Kündigung oder Stundenkürzung 18 Monate, bei Folgeereignissen wie Scheidung oder Tod des Versicherten bis zu 36 Monate. Das gilt bei Arbeitgebern ab 20 Beschäftigten. Du zahlst die volle Prämie (Arbeitgeber- und Arbeitnehmeranteil) plus 2 %: rechnerisch aus dem KFF-Durchschnitt ca. 790 $ im Monat für die Einzelperson und ca. 2.290 $ für die Familie.</w:t>
      </w:r>
    </w:p>
    <w:p w14:paraId="70A4DD34" w14:textId="77777777" w:rsidR="00C1548D" w:rsidRDefault="009B1B4B" w:rsidP="009B1B4B">
      <w:pPr>
        <w:pStyle w:val="ListParagraph"/>
        <w:numPr>
          <w:ilvl w:val="0"/>
          <w:numId w:val="1"/>
        </w:numPr>
        <w:spacing w:after="60"/>
      </w:pPr>
      <w:r>
        <w:rPr>
          <w:b/>
          <w:bCs/>
        </w:rPr>
        <w:t>Marktplatz:</w:t>
      </w:r>
      <w:r>
        <w:t xml:space="preserve"> Der Verlust der Arbeitgeberdeckung löst ein Sonderfenster aus (60 Tage vor bis 60 Tage nach dem Verlust). Ab 2027 für Visa-Inhaber ohne Zuschuss.</w:t>
      </w:r>
    </w:p>
    <w:p w14:paraId="70A4DD35" w14:textId="77777777" w:rsidR="00C1548D" w:rsidRDefault="009B1B4B" w:rsidP="009B1B4B">
      <w:pPr>
        <w:pStyle w:val="ListParagraph"/>
        <w:numPr>
          <w:ilvl w:val="0"/>
          <w:numId w:val="1"/>
        </w:numPr>
        <w:spacing w:after="60"/>
      </w:pPr>
      <w:r>
        <w:rPr>
          <w:b/>
          <w:bCs/>
        </w:rPr>
        <w:t>Partnerplan:</w:t>
      </w:r>
      <w:r>
        <w:t xml:space="preserve"> Hat dein Partner einen eigenen Arbeitgeberplan, kannst du dort einsteigen; auch das ist ein Sonderfenster.</w:t>
      </w:r>
    </w:p>
    <w:p w14:paraId="70A4DD3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3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D37" w14:textId="77777777" w:rsidR="00C1548D" w:rsidRDefault="009B1B4B">
            <w:pPr>
              <w:keepNext/>
              <w:spacing w:after="70" w:line="240" w:lineRule="auto"/>
            </w:pPr>
            <w:r>
              <w:rPr>
                <w:b/>
                <w:bCs/>
                <w:color w:val="9B2C2C"/>
                <w:spacing w:val="24"/>
                <w:sz w:val="16"/>
                <w:szCs w:val="16"/>
              </w:rPr>
              <w:lastRenderedPageBreak/>
              <w:t>ACHTUNG</w:t>
            </w:r>
          </w:p>
          <w:p w14:paraId="70A4DD38" w14:textId="77777777" w:rsidR="00C1548D" w:rsidRDefault="009B1B4B">
            <w:pPr>
              <w:spacing w:after="80" w:line="264" w:lineRule="auto"/>
            </w:pPr>
            <w:r>
              <w:rPr>
                <w:sz w:val="20"/>
                <w:szCs w:val="20"/>
              </w:rPr>
              <w:t>Die COBRA-Wahlfrist beträgt 60 Tage ab dem Verlust bzw. der Mitteilung, die erste Zahlung ist binnen 45 Tagen nach der Wahl fällig. Die Deckung gilt rückwirkend ab dem Verlust, du kannst COBRA also auch nach einem Notfall in der Wahlfrist noch wählen, musst dann aber alle Beiträge nachzahlen. Verschleppe die Entscheidung trotzdem nicht.</w:t>
            </w:r>
          </w:p>
        </w:tc>
      </w:tr>
    </w:tbl>
    <w:p w14:paraId="70A4DD3A" w14:textId="77777777" w:rsidR="00C1548D" w:rsidRDefault="00C1548D">
      <w:pPr>
        <w:spacing w:line="220" w:lineRule="exact"/>
      </w:pPr>
    </w:p>
    <w:p w14:paraId="70A4DD3B" w14:textId="50343994" w:rsidR="00C1548D" w:rsidRDefault="009B1B4B">
      <w:pPr>
        <w:spacing w:after="140"/>
      </w:pPr>
      <w:r>
        <w:t>Der Aufenthaltsstatus läuft nach einer Kündigung nur begrenzt weiter (Kapitel </w:t>
      </w:r>
      <w:hyperlink w:anchor="k30" w:history="1">
        <w:r>
          <w:t>30</w:t>
        </w:r>
      </w:hyperlink>
      <w:r>
        <w:t>); die Versicherungsfristen und die Statusfristen sind zwei getrennte Uhren.</w:t>
      </w:r>
    </w:p>
    <w:p w14:paraId="70A4DD3C" w14:textId="77777777" w:rsidR="00C1548D" w:rsidRDefault="009B1B4B">
      <w:pPr>
        <w:pStyle w:val="Heading3"/>
        <w:keepNext/>
        <w:jc w:val="center"/>
      </w:pPr>
      <w:r>
        <w:rPr>
          <w:rFonts w:ascii="Amazon Ember" w:eastAsia="Amazon Ember" w:hAnsi="Amazon Ember" w:cs="Amazon Ember"/>
          <w:color w:val="0000FF"/>
          <w:sz w:val="36"/>
          <w:szCs w:val="36"/>
        </w:rPr>
        <w:t>Marktplatz und Zuschüsse: der Stand für Visa-Inhaber</w:t>
      </w:r>
    </w:p>
    <w:p w14:paraId="70A4DD3D" w14:textId="77777777" w:rsidR="00C1548D" w:rsidRDefault="009B1B4B">
      <w:pPr>
        <w:spacing w:after="140"/>
      </w:pPr>
      <w:r>
        <w:t>Der Marktplatz (</w:t>
      </w:r>
      <w:r>
        <w:rPr>
          <w:i/>
          <w:iCs/>
        </w:rPr>
        <w:t>Marketplace</w:t>
      </w:r>
      <w:r>
        <w:t>, über healthcare.gov oder das Portal deines Staates) verkauft Pläne in vier Stufen: Bronze, Silber, Gold und Platin, die im Schnitt etwa 60, 70, 80 und 90 % der Kosten übernehmen. Kaufen dürfen auch rechtmäßig Anwesende (</w:t>
      </w:r>
      <w:r>
        <w:rPr>
          <w:i/>
          <w:iCs/>
        </w:rPr>
        <w:t>Lawfully Present</w:t>
      </w:r>
      <w:r>
        <w:t>), darunter Inhaber von Arbeits- und Studentenvisa. Die Einschreibung für 2027 läuft vom 1. November 2026 bis 15. Januar 2027; Deckung ab 1. Januar gibt es bei Wahl bis 15. Dezember, sonst ab 1. Februar.</w:t>
      </w:r>
    </w:p>
    <w:p w14:paraId="70A4DD3E" w14:textId="77777777" w:rsidR="00C1548D" w:rsidRDefault="009B1B4B">
      <w:pPr>
        <w:spacing w:after="140"/>
      </w:pPr>
      <w:r>
        <w:t>Der Bund bezuschusst Prämien (</w:t>
      </w:r>
      <w:r>
        <w:rPr>
          <w:i/>
          <w:iCs/>
        </w:rPr>
        <w:t>Premium Tax Credit</w:t>
      </w:r>
      <w:r>
        <w:t>) für Haushalte bis 400 % der Armutsgrenze. Stand September 2026: Die erhöhten Zuschüsse sind Ende 2025 ausgelaufen und bisher nicht wiederhergestellt, die 400-%-Grenze gilt wieder (für 2027 nach den Richtwerten von 2026 gerechnet rund 63.840 $ für eine Person und 132.000 $ für eine vierköpfige Familie). Die Prämien stiegen 2026 stark (Benchmark-Plan +26 %); für 2027 beantragen Versicherer im Median +15 %.</w:t>
      </w:r>
    </w:p>
    <w:p w14:paraId="70A4DD3F" w14:textId="77777777" w:rsidR="00C1548D" w:rsidRDefault="009B1B4B">
      <w:pPr>
        <w:spacing w:after="140"/>
      </w:pPr>
      <w:r>
        <w:t>Zusätzlich gilt nach dem Gesetz „One Big Beautiful Bill Act“ (Juli 2025): Ab 1. Januar 2027 erhalten nur noch Green-Card-Inhaber und wenige andere Gruppen (kubanische und haitianische Einreisende, Bürger pazifischer Assoziierungsstaaten, COFA) Marktplatz-</w:t>
      </w:r>
      <w:r>
        <w:lastRenderedPageBreak/>
        <w:t>Zuschüsse. Inhaber von Arbeits- und Studentenvisa (H-1B, L-1, F-1, J-1 u. a.) verlieren sie, dürfen aber weiter zum Vollpreis kaufen. Überzahlte Vorschuss-Zuschüsse musst du ab dem Steuerjahr 2026 vollständig zurückzahlen.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4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D40" w14:textId="77777777" w:rsidR="00C1548D" w:rsidRDefault="009B1B4B">
            <w:pPr>
              <w:keepNext/>
              <w:spacing w:after="70" w:line="240" w:lineRule="auto"/>
            </w:pPr>
            <w:r>
              <w:rPr>
                <w:b/>
                <w:bCs/>
                <w:color w:val="9B2C2C"/>
                <w:spacing w:val="24"/>
                <w:sz w:val="16"/>
                <w:szCs w:val="16"/>
              </w:rPr>
              <w:t>ACHTUNG</w:t>
            </w:r>
          </w:p>
          <w:p w14:paraId="70A4DD41" w14:textId="77777777" w:rsidR="00C1548D" w:rsidRDefault="009B1B4B">
            <w:pPr>
              <w:spacing w:after="80" w:line="264" w:lineRule="auto"/>
            </w:pPr>
            <w:r>
              <w:rPr>
                <w:sz w:val="20"/>
                <w:szCs w:val="20"/>
              </w:rPr>
              <w:t>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tc>
      </w:tr>
    </w:tbl>
    <w:p w14:paraId="70A4DD43" w14:textId="77777777" w:rsidR="00C1548D" w:rsidRDefault="00C1548D">
      <w:pPr>
        <w:spacing w:line="220" w:lineRule="exact"/>
      </w:pPr>
    </w:p>
    <w:p w14:paraId="70A4DD44" w14:textId="37ACDB9A" w:rsidR="00C1548D" w:rsidRDefault="009B1B4B">
      <w:pPr>
        <w:spacing w:after="140"/>
      </w:pPr>
      <w:r>
        <w:t>Medicaid und CHIP (staatliche, einkommensabhängige Programme) sind ab 1. Oktober 2026 bundesfinanziert nur noch für Green-Card-Inhaber nach fünfjähriger Wartezeit und wenige andere Gruppen; Kinder und Schwangere sind in vielen Staaten über Sonderoptionen weiter abgedeckt. Für Arbeitsvisum-Familien spielt Medicaid wegen des Einkommens selten eine Rolle. Wer später eine Green Card beantragt, klärt den Bezug staatlicher Leistungen vorher mit dem Einwanderungsanwalt (Kapitel </w:t>
      </w:r>
      <w:hyperlink w:anchor="k11" w:history="1">
        <w:r>
          <w:t>11</w:t>
        </w:r>
      </w:hyperlink>
      <w:r>
        <w:t>).</w:t>
      </w:r>
    </w:p>
    <w:p w14:paraId="70A4DD45" w14:textId="77777777" w:rsidR="00C1548D" w:rsidRDefault="009B1B4B">
      <w:pPr>
        <w:pStyle w:val="Heading3"/>
        <w:keepNext/>
        <w:jc w:val="center"/>
      </w:pPr>
      <w:r>
        <w:rPr>
          <w:rFonts w:ascii="Amazon Ember" w:eastAsia="Amazon Ember" w:hAnsi="Amazon Ember" w:cs="Amazon Ember"/>
          <w:color w:val="0000FF"/>
          <w:sz w:val="36"/>
          <w:szCs w:val="36"/>
        </w:rPr>
        <w:t>Studierende: F-1 und J-1</w:t>
      </w:r>
    </w:p>
    <w:p w14:paraId="70A4DD46" w14:textId="05CCFCB2" w:rsidR="00C1548D" w:rsidRDefault="009B1B4B">
      <w:pPr>
        <w:spacing w:after="140"/>
      </w:pPr>
      <w:r>
        <w:t>Für J-1-Austauschbesucher und J-2-Angehörige schreibt die Bundesregel 22 CFR 62.14 eine Versicherung für das gesamte Programm vor: mindestens 100.000 $ je Unfall oder Krankheit, 25.000 $ für Repatriierung, 50.000 $ für Evakuierung, Selbstbehalt höchstens 500 $, Coinsurance höchstens 25 %. Für F-1-Studierende gibt es keine Bundespflicht, doch die meisten Hochschulen verlangen den Uni-Plan (</w:t>
      </w:r>
      <w:r>
        <w:rPr>
          <w:i/>
          <w:iCs/>
        </w:rPr>
        <w:t>Student Health Insurance Plan</w:t>
      </w:r>
      <w:r>
        <w:t>, SHIP) oder den Nachweis eines gleichwertigen Plans (</w:t>
      </w:r>
      <w:r>
        <w:rPr>
          <w:i/>
          <w:iCs/>
        </w:rPr>
        <w:t>Waiver</w:t>
      </w:r>
      <w:r>
        <w:t>). Veröffentlichte Tarife mehrerer Hochschulen für 2026/27 liegen bei etwa 1.900–3.900 $ pro Jahr; Angehörige kosten meist extra. Marktplatz-Zuschüsse entfallen für F-1 und J-1 ab 2027; prüfe das Enddatum deines Plans vor dem Abschluss (Kapitel </w:t>
      </w:r>
      <w:hyperlink w:anchor="k8" w:history="1">
        <w:r>
          <w:t>8</w:t>
        </w:r>
      </w:hyperlink>
      <w:r>
        <w:t>).</w:t>
      </w:r>
    </w:p>
    <w:p w14:paraId="70A4DD47"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D4A"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D48"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D49" w14:textId="77777777" w:rsidR="00C1548D" w:rsidRDefault="009B1B4B">
            <w:pPr>
              <w:spacing w:line="250" w:lineRule="auto"/>
            </w:pPr>
            <w:r>
              <w:rPr>
                <w:b/>
                <w:bCs/>
                <w:sz w:val="18"/>
                <w:szCs w:val="18"/>
              </w:rPr>
              <w:t>Minus</w:t>
            </w:r>
          </w:p>
        </w:tc>
      </w:tr>
      <w:tr w:rsidR="00C1548D" w14:paraId="70A4DD4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4B" w14:textId="77777777" w:rsidR="00C1548D" w:rsidRDefault="009B1B4B">
            <w:pPr>
              <w:spacing w:line="250" w:lineRule="auto"/>
            </w:pPr>
            <w:r>
              <w:rPr>
                <w:sz w:val="18"/>
                <w:szCs w:val="18"/>
              </w:rPr>
              <w:t>Arbeitgeber tragen im Schnitt ca. 84 % (Einzelperson) bzw. ca. 74 % (Familie) der Prämie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4C" w14:textId="77777777" w:rsidR="00C1548D" w:rsidRDefault="009B1B4B">
            <w:pPr>
              <w:spacing w:line="250" w:lineRule="auto"/>
            </w:pPr>
            <w:r>
              <w:rPr>
                <w:sz w:val="18"/>
                <w:szCs w:val="18"/>
              </w:rPr>
              <w:t>Deckung hängt am Job: COBRA kostet rechnerisch ca. 790 $ im Monat</w:t>
            </w:r>
          </w:p>
        </w:tc>
      </w:tr>
      <w:tr w:rsidR="00C1548D" w14:paraId="70A4DD5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4E" w14:textId="77777777" w:rsidR="00C1548D" w:rsidRDefault="009B1B4B">
            <w:pPr>
              <w:spacing w:line="250" w:lineRule="auto"/>
            </w:pPr>
            <w:r>
              <w:rPr>
                <w:sz w:val="18"/>
                <w:szCs w:val="18"/>
              </w:rPr>
              <w:t>Das Out-of-Pocket-Maximum begrenzt das Jahresrisiko im Netzwerk</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4F" w14:textId="77777777" w:rsidR="00C1548D" w:rsidRDefault="009B1B4B">
            <w:pPr>
              <w:spacing w:line="250" w:lineRule="auto"/>
            </w:pPr>
            <w:r>
              <w:rPr>
                <w:sz w:val="18"/>
                <w:szCs w:val="18"/>
              </w:rPr>
              <w:t>Lücke zwischen Ankunft und Deckungsbeginn von bis zu drei oder vier Monaten</w:t>
            </w:r>
          </w:p>
        </w:tc>
      </w:tr>
      <w:tr w:rsidR="00C1548D" w14:paraId="70A4DD5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51" w14:textId="77777777" w:rsidR="00C1548D" w:rsidRDefault="009B1B4B">
            <w:pPr>
              <w:spacing w:line="250" w:lineRule="auto"/>
            </w:pPr>
            <w:r>
              <w:rPr>
                <w:sz w:val="18"/>
                <w:szCs w:val="18"/>
              </w:rPr>
              <w:t>Vorsorge und empfohlene Impfungen meist ohne Zuzahlung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52" w14:textId="77777777" w:rsidR="00C1548D" w:rsidRDefault="009B1B4B">
            <w:pPr>
              <w:spacing w:line="250" w:lineRule="auto"/>
            </w:pPr>
            <w:r>
              <w:rPr>
                <w:sz w:val="18"/>
                <w:szCs w:val="18"/>
              </w:rPr>
              <w:t>Selbstbehalt und Zuzahlungen kommen zur Prämie hinzu</w:t>
            </w:r>
          </w:p>
        </w:tc>
      </w:tr>
      <w:tr w:rsidR="00C1548D" w14:paraId="70A4DD5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54" w14:textId="77777777" w:rsidR="00C1548D" w:rsidRDefault="009B1B4B">
            <w:pPr>
              <w:spacing w:line="250" w:lineRule="auto"/>
            </w:pPr>
            <w:r>
              <w:rPr>
                <w:sz w:val="18"/>
                <w:szCs w:val="18"/>
              </w:rPr>
              <w:t>Urgent Care und Telemedizin decken Alltagsfälle ohne Notaufnahmepreis ab</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55" w14:textId="77777777" w:rsidR="00C1548D" w:rsidRDefault="009B1B4B">
            <w:pPr>
              <w:spacing w:line="250" w:lineRule="auto"/>
            </w:pPr>
            <w:r>
              <w:rPr>
                <w:sz w:val="18"/>
                <w:szCs w:val="18"/>
              </w:rPr>
              <w:t>Netzwerkgrenzen, Vorabgenehmigungen, mehrere Rechnungen</w:t>
            </w:r>
          </w:p>
        </w:tc>
      </w:tr>
      <w:tr w:rsidR="00C1548D" w14:paraId="70A4DD5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57" w14:textId="77777777" w:rsidR="00C1548D" w:rsidRDefault="009B1B4B">
            <w:pPr>
              <w:spacing w:line="250" w:lineRule="auto"/>
            </w:pPr>
            <w:r>
              <w:rPr>
                <w:sz w:val="18"/>
                <w:szCs w:val="18"/>
              </w:rPr>
              <w:t>HSA: steuerbegünstigtes Gesundheitskonto, das dir gehört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58" w14:textId="77777777" w:rsidR="00C1548D" w:rsidRDefault="009B1B4B">
            <w:pPr>
              <w:spacing w:line="250" w:lineRule="auto"/>
            </w:pPr>
            <w:r>
              <w:rPr>
                <w:sz w:val="18"/>
                <w:szCs w:val="18"/>
              </w:rPr>
              <w:t>Zahn und Augen getrennt, mit Jahreshöchstleistung</w:t>
            </w:r>
          </w:p>
        </w:tc>
      </w:tr>
      <w:tr w:rsidR="00C1548D" w14:paraId="70A4DD5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5A" w14:textId="77777777" w:rsidR="00C1548D" w:rsidRDefault="009B1B4B">
            <w:pPr>
              <w:spacing w:line="250" w:lineRule="auto"/>
            </w:pPr>
            <w:r>
              <w:rPr>
                <w:sz w:val="18"/>
                <w:szCs w:val="18"/>
              </w:rPr>
              <w:t>Beim PPO Facharzt ohne Überweisung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5B" w14:textId="77777777" w:rsidR="00C1548D" w:rsidRDefault="009B1B4B">
            <w:pPr>
              <w:spacing w:line="250" w:lineRule="auto"/>
            </w:pPr>
            <w:r>
              <w:rPr>
                <w:sz w:val="18"/>
                <w:szCs w:val="18"/>
              </w:rPr>
              <w:t>Boden-Rettungswagen nicht durch den No Surprises Act geschützt</w:t>
            </w:r>
          </w:p>
        </w:tc>
      </w:tr>
      <w:tr w:rsidR="00C1548D" w14:paraId="70A4DD5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5D" w14:textId="77777777" w:rsidR="00C1548D" w:rsidRDefault="009B1B4B">
            <w:pPr>
              <w:spacing w:line="250" w:lineRule="auto"/>
            </w:pPr>
            <w:r>
              <w:rPr>
                <w:sz w:val="18"/>
                <w:szCs w:val="18"/>
              </w:rPr>
              <w:t>Wahl zwischen mehreren Plänen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5E" w14:textId="77777777" w:rsidR="00C1548D" w:rsidRDefault="009B1B4B">
            <w:pPr>
              <w:spacing w:line="250" w:lineRule="auto"/>
            </w:pPr>
            <w:r>
              <w:rPr>
                <w:sz w:val="18"/>
                <w:szCs w:val="18"/>
              </w:rPr>
              <w:t>Plan-Jahr oft ab 1. Januar: Der Selbstbehalt beginnt von vorn</w:t>
            </w:r>
          </w:p>
        </w:tc>
      </w:tr>
    </w:tbl>
    <w:p w14:paraId="70A4DD60"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6C"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D61" w14:textId="77777777" w:rsidR="00C1548D" w:rsidRDefault="009B1B4B">
            <w:pPr>
              <w:keepNext/>
              <w:spacing w:after="70" w:line="240" w:lineRule="auto"/>
            </w:pPr>
            <w:r>
              <w:rPr>
                <w:b/>
                <w:bCs/>
                <w:color w:val="1F6F78"/>
                <w:spacing w:val="24"/>
                <w:sz w:val="16"/>
                <w:szCs w:val="16"/>
              </w:rPr>
              <w:lastRenderedPageBreak/>
              <w:t>CHECKLISTE</w:t>
            </w:r>
          </w:p>
          <w:p w14:paraId="70A4DD6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der Zusage beim HR schriftlich klären: Deckungsbeginn, Wartefrist, Einschreibefrist, Familienprämie, HSA-Beitrag</w:t>
            </w:r>
          </w:p>
          <w:p w14:paraId="70A4DD63" w14:textId="38927345"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Überbrückung für die Lücke bis zum Deckungsbeginn organisieren (Kapitel </w:t>
            </w:r>
            <w:hyperlink w:anchor="k18" w:history="1">
              <w:r>
                <w:rPr>
                  <w:sz w:val="20"/>
                  <w:szCs w:val="20"/>
                </w:rPr>
                <w:t>18</w:t>
              </w:r>
            </w:hyperlink>
            <w:r>
              <w:rPr>
                <w:sz w:val="20"/>
                <w:szCs w:val="20"/>
              </w:rPr>
              <w:t>)</w:t>
            </w:r>
          </w:p>
          <w:p w14:paraId="70A4DD6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Am ersten Arbeitstag die Einschreibefrist notieren und die ganze Familie fristgerecht anmelden</w:t>
            </w:r>
          </w:p>
          <w:p w14:paraId="70A4DD6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Plan wählen: teuerstes Jahr (12 × Prämie + Out-of-Pocket-Maximum) ausrechnen, Netzwerk prüfen</w:t>
            </w:r>
          </w:p>
          <w:p w14:paraId="70A4DD6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Hausarzt und Kinderarzt suchen, „in-network“ telefonisch bestätigen lassen, Termin buchen</w:t>
            </w:r>
          </w:p>
          <w:p w14:paraId="70A4DD6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Nächste Urgent Care, Telemedizin-Zugang und Notaufnahme im Netzwerk notieren</w:t>
            </w:r>
          </w:p>
          <w:p w14:paraId="70A4DD6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Impfpass, Vorsorgeheft und Befunde in englischer Übersetzung bereithalten</w:t>
            </w:r>
          </w:p>
          <w:p w14:paraId="70A4DD6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Dental- und Vision-Plan gesondert prüfen und wählen</w:t>
            </w:r>
          </w:p>
          <w:p w14:paraId="70A4DD6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Jede Rechnung erst nach Abgleich mit der EOB zahlen; Belege und Gesprächsnotizen abheften</w:t>
            </w:r>
          </w:p>
          <w:p w14:paraId="70A4DD6B" w14:textId="3746B77E"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Fristen für den Jobverlust notieren: COBRA-Wahl 60 Tage, Marktplatz-Sonderfenster, Statusfristen (Kapitel </w:t>
            </w:r>
            <w:hyperlink w:anchor="k30" w:history="1">
              <w:r>
                <w:rPr>
                  <w:sz w:val="20"/>
                  <w:szCs w:val="20"/>
                </w:rPr>
                <w:t>30</w:t>
              </w:r>
            </w:hyperlink>
            <w:r>
              <w:rPr>
                <w:sz w:val="20"/>
                <w:szCs w:val="20"/>
              </w:rPr>
              <w:t>)</w:t>
            </w:r>
          </w:p>
        </w:tc>
      </w:tr>
    </w:tbl>
    <w:p w14:paraId="70A4DD6D" w14:textId="77777777" w:rsidR="00C1548D" w:rsidRDefault="00C1548D">
      <w:pPr>
        <w:spacing w:line="220" w:lineRule="exact"/>
      </w:pPr>
    </w:p>
    <w:p w14:paraId="70A4DD6E"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D6F" w14:textId="500DF6B5" w:rsidR="00C1548D" w:rsidRDefault="009B1B4B" w:rsidP="009B1B4B">
      <w:pPr>
        <w:pStyle w:val="ListParagraph"/>
        <w:numPr>
          <w:ilvl w:val="0"/>
          <w:numId w:val="1"/>
        </w:numPr>
        <w:spacing w:after="60"/>
      </w:pPr>
      <w:hyperlink r:id="rId217" w:history="1">
        <w:r>
          <w:rPr>
            <w:color w:val="0563C1"/>
            <w:u w:val="single"/>
          </w:rPr>
          <w:t>healthcare.gov</w:t>
        </w:r>
      </w:hyperlink>
      <w:r>
        <w:t xml:space="preserve"> — Marktplatz, Plantypen, Sonderfenster, Einwanderungsstatus</w:t>
      </w:r>
    </w:p>
    <w:p w14:paraId="70A4DD70" w14:textId="1B21F4AB" w:rsidR="00C1548D" w:rsidRDefault="009B1B4B" w:rsidP="009B1B4B">
      <w:pPr>
        <w:pStyle w:val="ListParagraph"/>
        <w:numPr>
          <w:ilvl w:val="0"/>
          <w:numId w:val="1"/>
        </w:numPr>
        <w:spacing w:after="60"/>
      </w:pPr>
      <w:hyperlink r:id="rId218" w:history="1">
        <w:r>
          <w:rPr>
            <w:color w:val="0563C1"/>
            <w:u w:val="single"/>
          </w:rPr>
          <w:t>cms.gov/nosurprises/consumers</w:t>
        </w:r>
      </w:hyperlink>
      <w:r>
        <w:t xml:space="preserve"> — No Surprises Act, Kostenvoranschlag, Beschwerdestelle</w:t>
      </w:r>
    </w:p>
    <w:p w14:paraId="70A4DD71" w14:textId="16D1D05B" w:rsidR="00C1548D" w:rsidRDefault="009B1B4B" w:rsidP="009B1B4B">
      <w:pPr>
        <w:pStyle w:val="ListParagraph"/>
        <w:numPr>
          <w:ilvl w:val="0"/>
          <w:numId w:val="1"/>
        </w:numPr>
        <w:spacing w:after="60"/>
      </w:pPr>
      <w:hyperlink r:id="rId219" w:history="1">
        <w:r>
          <w:rPr>
            <w:color w:val="0563C1"/>
            <w:u w:val="single"/>
          </w:rPr>
          <w:t>dol.gov/agencies/ebsa</w:t>
        </w:r>
      </w:hyperlink>
      <w:r>
        <w:t xml:space="preserve"> — COBRA, Wartefristen, Newborns’ Act</w:t>
      </w:r>
    </w:p>
    <w:p w14:paraId="70A4DD72" w14:textId="5ED126C9" w:rsidR="00C1548D" w:rsidRDefault="009B1B4B" w:rsidP="009B1B4B">
      <w:pPr>
        <w:pStyle w:val="ListParagraph"/>
        <w:numPr>
          <w:ilvl w:val="0"/>
          <w:numId w:val="1"/>
        </w:numPr>
        <w:spacing w:after="60"/>
      </w:pPr>
      <w:hyperlink r:id="rId220" w:history="1">
        <w:r>
          <w:rPr>
            <w:color w:val="0563C1"/>
            <w:u w:val="single"/>
          </w:rPr>
          <w:t>irs.gov/publications/p969</w:t>
        </w:r>
      </w:hyperlink>
      <w:r>
        <w:t xml:space="preserve"> — HSA und HDHP, jährliche Grenzwerte</w:t>
      </w:r>
    </w:p>
    <w:p w14:paraId="70A4DD73" w14:textId="116FB598" w:rsidR="00C1548D" w:rsidRDefault="009B1B4B" w:rsidP="009B1B4B">
      <w:pPr>
        <w:pStyle w:val="ListParagraph"/>
        <w:numPr>
          <w:ilvl w:val="0"/>
          <w:numId w:val="1"/>
        </w:numPr>
        <w:spacing w:after="60"/>
      </w:pPr>
      <w:hyperlink r:id="rId221" w:history="1">
        <w:r>
          <w:rPr>
            <w:color w:val="0563C1"/>
            <w:u w:val="single"/>
          </w:rPr>
          <w:t>kff.org/health-costs/2025-employer-health-benefits-survey</w:t>
        </w:r>
      </w:hyperlink>
      <w:r>
        <w:t xml:space="preserve"> — Prämien, Selbstbehalte, Wartefristen</w:t>
      </w:r>
    </w:p>
    <w:p w14:paraId="70A4DD74" w14:textId="7006E720" w:rsidR="00C1548D" w:rsidRDefault="009B1B4B" w:rsidP="009B1B4B">
      <w:pPr>
        <w:pStyle w:val="ListParagraph"/>
        <w:numPr>
          <w:ilvl w:val="0"/>
          <w:numId w:val="1"/>
        </w:numPr>
        <w:spacing w:after="60"/>
      </w:pPr>
      <w:hyperlink r:id="rId222" w:history="1">
        <w:r>
          <w:rPr>
            <w:color w:val="0563C1"/>
            <w:u w:val="single"/>
          </w:rPr>
          <w:t>census.gov/library/publications/2026/demo/p60-291.html</w:t>
        </w:r>
      </w:hyperlink>
      <w:r>
        <w:t xml:space="preserve"> — Versichertenstatistik 2025</w:t>
      </w:r>
    </w:p>
    <w:p w14:paraId="70A4DD75" w14:textId="7AC47FE2" w:rsidR="00C1548D" w:rsidRDefault="009B1B4B" w:rsidP="009B1B4B">
      <w:pPr>
        <w:pStyle w:val="ListParagraph"/>
        <w:numPr>
          <w:ilvl w:val="0"/>
          <w:numId w:val="1"/>
        </w:numPr>
        <w:spacing w:after="60"/>
      </w:pPr>
      <w:hyperlink r:id="rId223" w:history="1">
        <w:r>
          <w:rPr>
            <w:color w:val="0563C1"/>
            <w:u w:val="single"/>
          </w:rPr>
          <w:t>988lifeline.org</w:t>
        </w:r>
      </w:hyperlink>
      <w:r>
        <w:t xml:space="preserve"> — Krisenhilfe rund um die Uhr</w:t>
      </w:r>
    </w:p>
    <w:p w14:paraId="70A4DD76" w14:textId="23B6E632" w:rsidR="00C1548D" w:rsidRDefault="009B1B4B" w:rsidP="009B1B4B">
      <w:pPr>
        <w:pStyle w:val="ListParagraph"/>
        <w:numPr>
          <w:ilvl w:val="0"/>
          <w:numId w:val="1"/>
        </w:numPr>
        <w:spacing w:after="60"/>
      </w:pPr>
      <w:hyperlink r:id="rId224" w:history="1">
        <w:r>
          <w:rPr>
            <w:color w:val="0563C1"/>
            <w:u w:val="single"/>
          </w:rPr>
          <w:t>findtreatment.gov</w:t>
        </w:r>
      </w:hyperlink>
      <w:r>
        <w:t xml:space="preserve"> — Therapeutensuche der Bundesbehörde SAMHSA</w:t>
      </w:r>
    </w:p>
    <w:p w14:paraId="70A4DD7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7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D78" w14:textId="77777777" w:rsidR="00C1548D" w:rsidRDefault="009B1B4B">
            <w:pPr>
              <w:keepNext/>
              <w:spacing w:after="70" w:line="240" w:lineRule="auto"/>
            </w:pPr>
            <w:r>
              <w:rPr>
                <w:b/>
                <w:bCs/>
                <w:color w:val="6B7280"/>
                <w:spacing w:val="24"/>
                <w:sz w:val="16"/>
                <w:szCs w:val="16"/>
              </w:rPr>
              <w:t>STAND</w:t>
            </w:r>
          </w:p>
          <w:p w14:paraId="70A4DD79" w14:textId="77777777" w:rsidR="00C1548D" w:rsidRDefault="009B1B4B">
            <w:pPr>
              <w:spacing w:after="80" w:line="264" w:lineRule="auto"/>
            </w:pPr>
            <w:r>
              <w:rPr>
                <w:sz w:val="20"/>
                <w:szCs w:val="20"/>
              </w:rPr>
              <w:t>September 2026. Diese Angaben ändern sich schnell: Marktplatz-Zuschüsse und Statusprüfung ab 1. Januar 2027, Medicaid- und CHIP-Regeln ab 1. Oktober 2026, die endgültigen Prämien für 2027 (Herbst 2026), HSA- und Out-of-Pocket-Grenzwerte, Kurzzeitpläne sowie der CDC-Impfplan mit den laufenden Gerichtsverfahren. Kostenangaben sind Durchschnitte aus 2025 und 2026 (KFF, HCCI, Verbraucherportale); dein Plan kann stark abweichen. Prüfe vor jeder Entscheidung healthcare.gov und die Unterlagen deines Arbeitgebers.</w:t>
            </w:r>
          </w:p>
        </w:tc>
      </w:tr>
    </w:tbl>
    <w:p w14:paraId="70A4DD7B" w14:textId="77777777" w:rsidR="00C1548D" w:rsidRDefault="00C1548D">
      <w:pPr>
        <w:spacing w:line="220" w:lineRule="exact"/>
      </w:pPr>
    </w:p>
    <w:p w14:paraId="70A4DD7C" w14:textId="77777777" w:rsidR="00C1548D" w:rsidRDefault="009B1B4B">
      <w:pPr>
        <w:pStyle w:val="Heading2"/>
        <w:keepNext/>
        <w:pageBreakBefore/>
        <w:jc w:val="center"/>
      </w:pPr>
      <w:bookmarkStart w:id="65" w:name="k27"/>
      <w:bookmarkStart w:id="66" w:name="_Toc241352481"/>
      <w:r>
        <w:rPr>
          <w:rFonts w:ascii="Amazon Ember" w:eastAsia="Amazon Ember" w:hAnsi="Amazon Ember" w:cs="Amazon Ember"/>
          <w:color w:val="0000FF"/>
          <w:sz w:val="36"/>
          <w:szCs w:val="36"/>
        </w:rPr>
        <w:lastRenderedPageBreak/>
        <w:t>Kapitel 27: Führerschein, Auto und Mobilität</w:t>
      </w:r>
      <w:bookmarkEnd w:id="65"/>
      <w:bookmarkEnd w:id="66"/>
    </w:p>
    <w:p w14:paraId="70A4DD7D" w14:textId="77777777" w:rsidR="00C1548D" w:rsidRDefault="009B1B4B">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85"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D7E" w14:textId="77777777" w:rsidR="00C1548D" w:rsidRDefault="009B1B4B">
            <w:pPr>
              <w:keepNext/>
              <w:spacing w:after="70" w:line="240" w:lineRule="auto"/>
            </w:pPr>
            <w:r>
              <w:rPr>
                <w:b/>
                <w:bCs/>
                <w:color w:val="1F3A5F"/>
                <w:spacing w:val="24"/>
                <w:sz w:val="16"/>
                <w:szCs w:val="16"/>
              </w:rPr>
              <w:t>KURZ GESAGT</w:t>
            </w:r>
          </w:p>
          <w:p w14:paraId="70A4DD7F" w14:textId="77777777" w:rsidR="00C1548D" w:rsidRDefault="009B1B4B" w:rsidP="009B1B4B">
            <w:pPr>
              <w:pStyle w:val="ListParagraph"/>
              <w:numPr>
                <w:ilvl w:val="0"/>
                <w:numId w:val="1"/>
              </w:numPr>
              <w:spacing w:after="50" w:line="264" w:lineRule="auto"/>
            </w:pPr>
            <w:r>
              <w:rPr>
                <w:sz w:val="20"/>
                <w:szCs w:val="20"/>
              </w:rPr>
              <w:t>Als Besucher darfst du meist bis zu 90 Tage mit dem deutschen Führerschein fahren. Sobald du Einwohner bist, gilt die Frist deines Bundesstaates: zehn Tage in Kalifornien, 30 in Washington, 90 in Texas.</w:t>
            </w:r>
          </w:p>
          <w:p w14:paraId="70A4DD80" w14:textId="77777777" w:rsidR="00C1548D" w:rsidRDefault="009B1B4B" w:rsidP="009B1B4B">
            <w:pPr>
              <w:pStyle w:val="ListParagraph"/>
              <w:numPr>
                <w:ilvl w:val="0"/>
                <w:numId w:val="1"/>
              </w:numPr>
              <w:spacing w:after="50" w:line="264" w:lineRule="auto"/>
            </w:pPr>
            <w:r>
              <w:rPr>
                <w:sz w:val="20"/>
                <w:szCs w:val="20"/>
              </w:rPr>
              <w:t>Ob du Prüfungen ablegen musst, entscheidet der Staat. Laut Quellen tauschen u. a. Texas, Washington, Arizona, Colorado, Michigan, Illinois, Massachusetts und Virginia ohne Prüfung; Kalifornien und New York verlangen sie.</w:t>
            </w:r>
          </w:p>
          <w:p w14:paraId="70A4DD81" w14:textId="77777777" w:rsidR="00C1548D" w:rsidRDefault="009B1B4B" w:rsidP="009B1B4B">
            <w:pPr>
              <w:pStyle w:val="ListParagraph"/>
              <w:numPr>
                <w:ilvl w:val="0"/>
                <w:numId w:val="1"/>
              </w:numPr>
              <w:spacing w:after="50" w:line="264" w:lineRule="auto"/>
            </w:pPr>
            <w:r>
              <w:rPr>
                <w:sz w:val="20"/>
                <w:szCs w:val="20"/>
              </w:rPr>
              <w:t>Die Reihenfolge lautet: SSN, Führerschein, Versicherung, Kauf, Zulassung.</w:t>
            </w:r>
          </w:p>
          <w:p w14:paraId="70A4DD82" w14:textId="77777777" w:rsidR="00C1548D" w:rsidRDefault="009B1B4B" w:rsidP="009B1B4B">
            <w:pPr>
              <w:pStyle w:val="ListParagraph"/>
              <w:numPr>
                <w:ilvl w:val="0"/>
                <w:numId w:val="1"/>
              </w:numPr>
              <w:spacing w:after="50" w:line="264" w:lineRule="auto"/>
            </w:pPr>
            <w:r>
              <w:rPr>
                <w:sz w:val="20"/>
                <w:szCs w:val="20"/>
              </w:rPr>
              <w:t xml:space="preserve">Neuwagen kosteten im August 2026 im Schnitt 50.089 $, </w:t>
            </w:r>
            <w:r>
              <w:rPr>
                <w:i/>
                <w:iCs/>
                <w:sz w:val="20"/>
                <w:szCs w:val="20"/>
              </w:rPr>
              <w:t>Full Coverage</w:t>
            </w:r>
            <w:r>
              <w:rPr>
                <w:sz w:val="20"/>
                <w:szCs w:val="20"/>
              </w:rPr>
              <w:t xml:space="preserve"> (Haftpflicht plus Kasko) 2.241–2.922 $ im Jahr. Die deutsche SF-Klasse zählt meist nicht, und ohne Kredithistorie sind die Zinsen hoch.</w:t>
            </w:r>
          </w:p>
          <w:p w14:paraId="70A4DD83" w14:textId="77777777" w:rsidR="00C1548D" w:rsidRDefault="009B1B4B" w:rsidP="009B1B4B">
            <w:pPr>
              <w:pStyle w:val="ListParagraph"/>
              <w:numPr>
                <w:ilvl w:val="0"/>
                <w:numId w:val="1"/>
              </w:numPr>
              <w:spacing w:after="50" w:line="264" w:lineRule="auto"/>
            </w:pPr>
            <w:r>
              <w:rPr>
                <w:sz w:val="20"/>
                <w:szCs w:val="20"/>
              </w:rPr>
              <w:t xml:space="preserve">Die US-Grenze liegt bei 0,08 % BAC (Blutalkoholkonzentration), das sind 0,8 Promille. Ein </w:t>
            </w:r>
            <w:r>
              <w:rPr>
                <w:i/>
                <w:iCs/>
                <w:sz w:val="20"/>
                <w:szCs w:val="20"/>
              </w:rPr>
              <w:t>DUI</w:t>
            </w:r>
            <w:r>
              <w:rPr>
                <w:sz w:val="20"/>
                <w:szCs w:val="20"/>
              </w:rPr>
              <w:t xml:space="preserve"> (Fahren unter Alkoholeinfluss) kann deinen Aufenthaltsstatus gefährden.</w:t>
            </w:r>
          </w:p>
          <w:p w14:paraId="70A4DD84" w14:textId="77777777" w:rsidR="00C1548D" w:rsidRDefault="009B1B4B" w:rsidP="009B1B4B">
            <w:pPr>
              <w:pStyle w:val="ListParagraph"/>
              <w:numPr>
                <w:ilvl w:val="0"/>
                <w:numId w:val="1"/>
              </w:numPr>
              <w:spacing w:after="50" w:line="264" w:lineRule="auto"/>
            </w:pPr>
            <w:r>
              <w:rPr>
                <w:sz w:val="20"/>
                <w:szCs w:val="20"/>
              </w:rPr>
              <w:t>Ein Auto aus Deutschland mitzubringen lohnt fast nie.</w:t>
            </w:r>
          </w:p>
        </w:tc>
      </w:tr>
    </w:tbl>
    <w:p w14:paraId="70A4DD86" w14:textId="77777777" w:rsidR="00C1548D" w:rsidRDefault="00C1548D">
      <w:pPr>
        <w:spacing w:line="220" w:lineRule="exact"/>
      </w:pPr>
    </w:p>
    <w:p w14:paraId="70A4DD87" w14:textId="77777777" w:rsidR="00C1548D" w:rsidRDefault="009B1B4B">
      <w:pPr>
        <w:pStyle w:val="Heading3"/>
        <w:keepNext/>
        <w:jc w:val="center"/>
      </w:pPr>
      <w:r>
        <w:rPr>
          <w:rFonts w:ascii="Amazon Ember" w:eastAsia="Amazon Ember" w:hAnsi="Amazon Ember" w:cs="Amazon Ember"/>
          <w:color w:val="0000FF"/>
          <w:sz w:val="36"/>
          <w:szCs w:val="36"/>
        </w:rPr>
        <w:lastRenderedPageBreak/>
        <w:t>Wie lange dein deutscher Führerschein gilt</w:t>
      </w:r>
    </w:p>
    <w:p w14:paraId="70A4DD88" w14:textId="77777777" w:rsidR="00C1548D" w:rsidRDefault="009B1B4B">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in der Regel 90 Tage, unter Bedingungen bis zu einem Jahr. Danach brauchst du die Lizenz des Staates, in dem du wohnst.</w:t>
      </w:r>
    </w:p>
    <w:p w14:paraId="70A4DD89" w14:textId="77777777" w:rsidR="00C1548D" w:rsidRDefault="009B1B4B">
      <w:pPr>
        <w:spacing w:after="140"/>
      </w:pPr>
      <w:r>
        <w:t xml:space="preserve">Der </w:t>
      </w:r>
      <w:r>
        <w:rPr>
          <w:i/>
          <w:iCs/>
        </w:rPr>
        <w:t>Internationale Führerschein</w:t>
      </w:r>
      <w:r>
        <w:t xml:space="preserve"> (</w:t>
      </w:r>
      <w:r>
        <w:rPr>
          <w:i/>
          <w:iCs/>
        </w:rPr>
        <w:t>International Driving Permit</w:t>
      </w:r>
      <w:r>
        <w: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w14:paraId="70A4DD8A" w14:textId="77777777" w:rsidR="00C1548D" w:rsidRDefault="009B1B4B">
      <w:pPr>
        <w:spacing w:after="140"/>
      </w:pPr>
      <w:r>
        <w:t>Wichtiger als die 90 Tage ist die Frist für neue Einwohner, sie beginnt nicht mit der Landung, sondern mit der Wohnsitznahme, die jeder Staat selbst definiert — im Zweifel zählt der Tag, an dem du dort deinen Wohnsitz begründest.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8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D8B" w14:textId="77777777" w:rsidR="00C1548D" w:rsidRDefault="009B1B4B">
            <w:pPr>
              <w:keepNext/>
              <w:spacing w:after="70" w:line="240" w:lineRule="auto"/>
            </w:pPr>
            <w:r>
              <w:rPr>
                <w:b/>
                <w:bCs/>
                <w:color w:val="9B2C2C"/>
                <w:spacing w:val="24"/>
                <w:sz w:val="16"/>
                <w:szCs w:val="16"/>
              </w:rPr>
              <w:t>ACHTUNG</w:t>
            </w:r>
          </w:p>
          <w:p w14:paraId="70A4DD8C" w14:textId="77777777" w:rsidR="00C1548D" w:rsidRDefault="009B1B4B">
            <w:pPr>
              <w:spacing w:after="80" w:line="264" w:lineRule="auto"/>
            </w:pPr>
            <w:r>
              <w:rPr>
                <w:sz w:val="20"/>
                <w:szCs w:val="20"/>
              </w:rPr>
              <w:t>Kalifornien gibt neuen Einwohnern nur zehn Tage. Wer die Frist seines Staates verpasst, fährt ohne gültige Lizenz und riskiert Bußgelder und Ärger mit dem Versicherer. Prüfe die Frist, bevor du fliegst, nicht danach.</w:t>
            </w:r>
          </w:p>
        </w:tc>
      </w:tr>
    </w:tbl>
    <w:p w14:paraId="70A4DD8E" w14:textId="77777777" w:rsidR="00C1548D" w:rsidRDefault="00C1548D">
      <w:pPr>
        <w:spacing w:line="220" w:lineRule="exact"/>
      </w:pPr>
    </w:p>
    <w:p w14:paraId="70A4DD8F" w14:textId="77777777" w:rsidR="00C1548D" w:rsidRDefault="009B1B4B">
      <w:pPr>
        <w:pStyle w:val="Heading3"/>
        <w:keepNext/>
        <w:jc w:val="center"/>
      </w:pPr>
      <w:r>
        <w:rPr>
          <w:rFonts w:ascii="Amazon Ember" w:eastAsia="Amazon Ember" w:hAnsi="Amazon Ember" w:cs="Amazon Ember"/>
          <w:color w:val="0000FF"/>
          <w:sz w:val="36"/>
          <w:szCs w:val="36"/>
        </w:rPr>
        <w:lastRenderedPageBreak/>
        <w:t>Umschreiben oder Prüfung: Die Lage nach Bundesstaat</w:t>
      </w:r>
    </w:p>
    <w:p w14:paraId="70A4DD90" w14:textId="77777777" w:rsidR="00C1548D" w:rsidRDefault="009B1B4B">
      <w:pPr>
        <w:spacing w:after="140"/>
      </w:pPr>
      <w:r>
        <w:t>Hat ein Staat ein Abkommen (</w:t>
      </w:r>
      <w:r>
        <w:rPr>
          <w:i/>
          <w:iCs/>
        </w:rPr>
        <w:t>Reciprocity</w:t>
      </w:r>
      <w:r>
        <w:t>) mit Deutschland, tauschst du den deutschen Führerschein gegen eine US-Lizenz, ohne Wissens- und Fahrprüfung abzulegen. Ohne Abkommen musst du beide Prüfungen bestehen. Die Tabelle fasst zusammen, was Behörden, Konsulate und Ratgeber nennen (Stand September 2026).</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1"/>
        <w:gridCol w:w="3798"/>
        <w:gridCol w:w="1681"/>
      </w:tblGrid>
      <w:tr w:rsidR="00C1548D" w14:paraId="70A4DD94" w14:textId="77777777">
        <w:tblPrEx>
          <w:tblCellMar>
            <w:top w:w="0" w:type="dxa"/>
            <w:bottom w:w="0" w:type="dxa"/>
          </w:tblCellMar>
        </w:tblPrEx>
        <w:trPr>
          <w:cantSplit/>
          <w:tblHeader/>
        </w:trPr>
        <w:tc>
          <w:tcPr>
            <w:tcW w:w="100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D91" w14:textId="77777777" w:rsidR="00C1548D" w:rsidRDefault="009B1B4B">
            <w:pPr>
              <w:spacing w:line="250" w:lineRule="auto"/>
            </w:pPr>
            <w:r>
              <w:rPr>
                <w:b/>
                <w:bCs/>
                <w:sz w:val="18"/>
                <w:szCs w:val="18"/>
              </w:rPr>
              <w:t>Staat</w:t>
            </w:r>
          </w:p>
        </w:tc>
        <w:tc>
          <w:tcPr>
            <w:tcW w:w="379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D92" w14:textId="77777777" w:rsidR="00C1548D" w:rsidRDefault="009B1B4B">
            <w:pPr>
              <w:spacing w:line="250" w:lineRule="auto"/>
            </w:pPr>
            <w:r>
              <w:rPr>
                <w:b/>
                <w:bCs/>
                <w:sz w:val="18"/>
                <w:szCs w:val="18"/>
              </w:rPr>
              <w:t>Deutscher Führerschein</w:t>
            </w:r>
          </w:p>
        </w:tc>
        <w:tc>
          <w:tcPr>
            <w:tcW w:w="168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D93" w14:textId="77777777" w:rsidR="00C1548D" w:rsidRDefault="009B1B4B">
            <w:pPr>
              <w:spacing w:line="250" w:lineRule="auto"/>
            </w:pPr>
            <w:r>
              <w:rPr>
                <w:b/>
                <w:bCs/>
                <w:sz w:val="18"/>
                <w:szCs w:val="18"/>
              </w:rPr>
              <w:t>Frist ab Wohnsitznahme</w:t>
            </w:r>
          </w:p>
        </w:tc>
      </w:tr>
      <w:tr w:rsidR="00C1548D" w14:paraId="70A4DD98"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95" w14:textId="77777777" w:rsidR="00C1548D" w:rsidRDefault="009B1B4B">
            <w:pPr>
              <w:spacing w:line="250" w:lineRule="auto"/>
            </w:pPr>
            <w:r>
              <w:rPr>
                <w:sz w:val="18"/>
                <w:szCs w:val="18"/>
              </w:rPr>
              <w:t>Arizona</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96" w14:textId="77777777" w:rsidR="00C1548D" w:rsidRDefault="009B1B4B">
            <w:pPr>
              <w:spacing w:line="250" w:lineRule="auto"/>
            </w:pPr>
            <w:r>
              <w:rPr>
                <w:sz w:val="18"/>
                <w:szCs w:val="18"/>
              </w:rPr>
              <w:t>Umtausch ohne Prüfungen</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97" w14:textId="77777777" w:rsidR="00C1548D" w:rsidRDefault="009B1B4B">
            <w:pPr>
              <w:spacing w:line="250" w:lineRule="auto"/>
            </w:pPr>
            <w:r>
              <w:rPr>
                <w:sz w:val="18"/>
                <w:szCs w:val="18"/>
              </w:rPr>
              <w:t>beim DMV erfragen</w:t>
            </w:r>
          </w:p>
        </w:tc>
      </w:tr>
      <w:tr w:rsidR="00C1548D" w14:paraId="70A4DD9C"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99" w14:textId="77777777" w:rsidR="00C1548D" w:rsidRDefault="009B1B4B">
            <w:pPr>
              <w:spacing w:line="250" w:lineRule="auto"/>
            </w:pPr>
            <w:r>
              <w:rPr>
                <w:sz w:val="18"/>
                <w:szCs w:val="18"/>
              </w:rPr>
              <w:t>Colorado</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9A" w14:textId="77777777" w:rsidR="00C1548D" w:rsidRDefault="009B1B4B">
            <w:pPr>
              <w:spacing w:line="250" w:lineRule="auto"/>
            </w:pPr>
            <w:r>
              <w:rPr>
                <w:sz w:val="18"/>
                <w:szCs w:val="18"/>
              </w:rPr>
              <w:t>Umtausch ohne Prüfungen</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9B" w14:textId="77777777" w:rsidR="00C1548D" w:rsidRDefault="009B1B4B">
            <w:pPr>
              <w:spacing w:line="250" w:lineRule="auto"/>
            </w:pPr>
            <w:r>
              <w:rPr>
                <w:sz w:val="18"/>
                <w:szCs w:val="18"/>
              </w:rPr>
              <w:t>beim DMV erfragen</w:t>
            </w:r>
          </w:p>
        </w:tc>
      </w:tr>
      <w:tr w:rsidR="00C1548D" w14:paraId="70A4DDA0"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9D" w14:textId="77777777" w:rsidR="00C1548D" w:rsidRDefault="009B1B4B">
            <w:pPr>
              <w:spacing w:line="250" w:lineRule="auto"/>
            </w:pPr>
            <w:r>
              <w:rPr>
                <w:sz w:val="18"/>
                <w:szCs w:val="18"/>
              </w:rPr>
              <w:t>Illinois</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9E" w14:textId="77777777" w:rsidR="00C1548D" w:rsidRDefault="009B1B4B">
            <w:pPr>
              <w:spacing w:line="250" w:lineRule="auto"/>
            </w:pPr>
            <w:r>
              <w:rPr>
                <w:sz w:val="18"/>
                <w:szCs w:val="18"/>
              </w:rPr>
              <w:t>im Regelfall ohne Prüfung</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9F" w14:textId="77777777" w:rsidR="00C1548D" w:rsidRDefault="009B1B4B">
            <w:pPr>
              <w:spacing w:line="250" w:lineRule="auto"/>
            </w:pPr>
            <w:r>
              <w:rPr>
                <w:sz w:val="18"/>
                <w:szCs w:val="18"/>
              </w:rPr>
              <w:t>beim DMV erfragen</w:t>
            </w:r>
          </w:p>
        </w:tc>
      </w:tr>
      <w:tr w:rsidR="00C1548D" w14:paraId="70A4DDA4"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1" w14:textId="77777777" w:rsidR="00C1548D" w:rsidRDefault="009B1B4B">
            <w:pPr>
              <w:spacing w:line="250" w:lineRule="auto"/>
            </w:pPr>
            <w:r>
              <w:rPr>
                <w:sz w:val="18"/>
                <w:szCs w:val="18"/>
              </w:rPr>
              <w:t>Massachusetts</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2" w14:textId="77777777" w:rsidR="00C1548D" w:rsidRDefault="009B1B4B">
            <w:pPr>
              <w:spacing w:line="250" w:lineRule="auto"/>
            </w:pPr>
            <w:r>
              <w:rPr>
                <w:sz w:val="18"/>
                <w:szCs w:val="18"/>
              </w:rPr>
              <w:t>ohne Prüfung, mit Konsulatsbescheinigung</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3" w14:textId="77777777" w:rsidR="00C1548D" w:rsidRDefault="009B1B4B">
            <w:pPr>
              <w:spacing w:line="250" w:lineRule="auto"/>
            </w:pPr>
            <w:r>
              <w:rPr>
                <w:sz w:val="18"/>
                <w:szCs w:val="18"/>
              </w:rPr>
              <w:t>beim DMV erfragen</w:t>
            </w:r>
          </w:p>
        </w:tc>
      </w:tr>
      <w:tr w:rsidR="00C1548D" w14:paraId="70A4DDA8"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5" w14:textId="77777777" w:rsidR="00C1548D" w:rsidRDefault="009B1B4B">
            <w:pPr>
              <w:spacing w:line="250" w:lineRule="auto"/>
            </w:pPr>
            <w:r>
              <w:rPr>
                <w:sz w:val="18"/>
                <w:szCs w:val="18"/>
              </w:rPr>
              <w:t>Michigan</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6" w14:textId="77777777" w:rsidR="00C1548D" w:rsidRDefault="009B1B4B">
            <w:pPr>
              <w:spacing w:line="250" w:lineRule="auto"/>
            </w:pPr>
            <w:r>
              <w:rPr>
                <w:sz w:val="18"/>
                <w:szCs w:val="18"/>
              </w:rPr>
              <w:t>im Regelfall ohne Prüfung</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7" w14:textId="77777777" w:rsidR="00C1548D" w:rsidRDefault="009B1B4B">
            <w:pPr>
              <w:spacing w:line="250" w:lineRule="auto"/>
            </w:pPr>
            <w:r>
              <w:rPr>
                <w:sz w:val="18"/>
                <w:szCs w:val="18"/>
              </w:rPr>
              <w:t>beim DMV erfragen</w:t>
            </w:r>
          </w:p>
        </w:tc>
      </w:tr>
      <w:tr w:rsidR="00C1548D" w14:paraId="70A4DDAC"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9" w14:textId="77777777" w:rsidR="00C1548D" w:rsidRDefault="009B1B4B">
            <w:pPr>
              <w:spacing w:line="250" w:lineRule="auto"/>
            </w:pPr>
            <w:r>
              <w:rPr>
                <w:sz w:val="18"/>
                <w:szCs w:val="18"/>
              </w:rPr>
              <w:t>Texas</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A" w14:textId="77777777" w:rsidR="00C1548D" w:rsidRDefault="009B1B4B">
            <w:pPr>
              <w:spacing w:line="250" w:lineRule="auto"/>
            </w:pPr>
            <w:r>
              <w:rPr>
                <w:sz w:val="18"/>
                <w:szCs w:val="18"/>
              </w:rPr>
              <w:t>ohne Prüfungen, evtl. Übersetzung</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B" w14:textId="77777777" w:rsidR="00C1548D" w:rsidRDefault="009B1B4B">
            <w:pPr>
              <w:spacing w:line="250" w:lineRule="auto"/>
            </w:pPr>
            <w:r>
              <w:rPr>
                <w:sz w:val="18"/>
                <w:szCs w:val="18"/>
              </w:rPr>
              <w:t>90 Tage</w:t>
            </w:r>
          </w:p>
        </w:tc>
      </w:tr>
      <w:tr w:rsidR="00C1548D" w14:paraId="70A4DDB0"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D" w14:textId="77777777" w:rsidR="00C1548D" w:rsidRDefault="009B1B4B">
            <w:pPr>
              <w:spacing w:line="250" w:lineRule="auto"/>
            </w:pPr>
            <w:r>
              <w:rPr>
                <w:sz w:val="18"/>
                <w:szCs w:val="18"/>
              </w:rPr>
              <w:t>Virginia</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E" w14:textId="77777777" w:rsidR="00C1548D" w:rsidRDefault="009B1B4B">
            <w:pPr>
              <w:spacing w:line="250" w:lineRule="auto"/>
            </w:pPr>
            <w:r>
              <w:rPr>
                <w:sz w:val="18"/>
                <w:szCs w:val="18"/>
              </w:rPr>
              <w:t>ohne Fahrprüfung</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AF" w14:textId="77777777" w:rsidR="00C1548D" w:rsidRDefault="009B1B4B">
            <w:pPr>
              <w:spacing w:line="250" w:lineRule="auto"/>
            </w:pPr>
            <w:r>
              <w:rPr>
                <w:sz w:val="18"/>
                <w:szCs w:val="18"/>
              </w:rPr>
              <w:t>beim DMV erfragen</w:t>
            </w:r>
          </w:p>
        </w:tc>
      </w:tr>
      <w:tr w:rsidR="00C1548D" w14:paraId="70A4DDB4"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1" w14:textId="77777777" w:rsidR="00C1548D" w:rsidRDefault="009B1B4B">
            <w:pPr>
              <w:spacing w:line="250" w:lineRule="auto"/>
            </w:pPr>
            <w:r>
              <w:rPr>
                <w:sz w:val="18"/>
                <w:szCs w:val="18"/>
              </w:rPr>
              <w:t>Washington</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2" w14:textId="77777777" w:rsidR="00C1548D" w:rsidRDefault="009B1B4B">
            <w:pPr>
              <w:spacing w:line="250" w:lineRule="auto"/>
            </w:pPr>
            <w:r>
              <w:rPr>
                <w:sz w:val="18"/>
                <w:szCs w:val="18"/>
              </w:rPr>
              <w:t>ohne Prüfung</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3" w14:textId="77777777" w:rsidR="00C1548D" w:rsidRDefault="009B1B4B">
            <w:pPr>
              <w:spacing w:line="250" w:lineRule="auto"/>
            </w:pPr>
            <w:r>
              <w:rPr>
                <w:sz w:val="18"/>
                <w:szCs w:val="18"/>
              </w:rPr>
              <w:t>30 Tage</w:t>
            </w:r>
          </w:p>
        </w:tc>
      </w:tr>
      <w:tr w:rsidR="00C1548D" w14:paraId="70A4DDB8"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5" w14:textId="77777777" w:rsidR="00C1548D" w:rsidRDefault="009B1B4B">
            <w:pPr>
              <w:spacing w:line="250" w:lineRule="auto"/>
            </w:pPr>
            <w:r>
              <w:rPr>
                <w:sz w:val="18"/>
                <w:szCs w:val="18"/>
              </w:rPr>
              <w:t>Oregon</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6" w14:textId="77777777" w:rsidR="00C1548D" w:rsidRDefault="009B1B4B">
            <w:pPr>
              <w:spacing w:line="250" w:lineRule="auto"/>
            </w:pPr>
            <w:r>
              <w:rPr>
                <w:sz w:val="18"/>
                <w:szCs w:val="18"/>
              </w:rPr>
              <w:t>Wissenstest entfällt, Fahrprüfung nur unter Bedingungen</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7" w14:textId="77777777" w:rsidR="00C1548D" w:rsidRDefault="009B1B4B">
            <w:pPr>
              <w:spacing w:line="250" w:lineRule="auto"/>
            </w:pPr>
            <w:r>
              <w:rPr>
                <w:sz w:val="18"/>
                <w:szCs w:val="18"/>
              </w:rPr>
              <w:t>beim DMV erfragen</w:t>
            </w:r>
          </w:p>
        </w:tc>
      </w:tr>
      <w:tr w:rsidR="00C1548D" w14:paraId="70A4DDBC"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9" w14:textId="77777777" w:rsidR="00C1548D" w:rsidRDefault="009B1B4B">
            <w:pPr>
              <w:spacing w:line="250" w:lineRule="auto"/>
            </w:pPr>
            <w:r>
              <w:rPr>
                <w:sz w:val="18"/>
                <w:szCs w:val="18"/>
              </w:rPr>
              <w:t>Kalifornien</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A" w14:textId="77777777" w:rsidR="00C1548D" w:rsidRDefault="009B1B4B">
            <w:pPr>
              <w:spacing w:line="250" w:lineRule="auto"/>
            </w:pPr>
            <w:r>
              <w:rPr>
                <w:sz w:val="18"/>
                <w:szCs w:val="18"/>
              </w:rPr>
              <w:t>Wissens- und Fahrprüfung</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B" w14:textId="77777777" w:rsidR="00C1548D" w:rsidRDefault="009B1B4B">
            <w:pPr>
              <w:spacing w:line="250" w:lineRule="auto"/>
            </w:pPr>
            <w:r>
              <w:rPr>
                <w:sz w:val="18"/>
                <w:szCs w:val="18"/>
              </w:rPr>
              <w:t>10 Tage</w:t>
            </w:r>
          </w:p>
        </w:tc>
      </w:tr>
      <w:tr w:rsidR="00C1548D" w14:paraId="70A4DDC0"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D" w14:textId="77777777" w:rsidR="00C1548D" w:rsidRDefault="009B1B4B">
            <w:pPr>
              <w:spacing w:line="250" w:lineRule="auto"/>
            </w:pPr>
            <w:r>
              <w:rPr>
                <w:sz w:val="18"/>
                <w:szCs w:val="18"/>
              </w:rPr>
              <w:t>New York</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E" w14:textId="77777777" w:rsidR="00C1548D" w:rsidRDefault="009B1B4B">
            <w:pPr>
              <w:spacing w:line="250" w:lineRule="auto"/>
            </w:pPr>
            <w:r>
              <w:rPr>
                <w:sz w:val="18"/>
                <w:szCs w:val="18"/>
              </w:rPr>
              <w:t>Wissenstest, Fahrprüfung, 5-Stunden-Kurs</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BF" w14:textId="77777777" w:rsidR="00C1548D" w:rsidRDefault="009B1B4B">
            <w:pPr>
              <w:spacing w:line="250" w:lineRule="auto"/>
            </w:pPr>
            <w:r>
              <w:rPr>
                <w:sz w:val="18"/>
                <w:szCs w:val="18"/>
              </w:rPr>
              <w:t>beim DMV erfragen</w:t>
            </w:r>
          </w:p>
        </w:tc>
      </w:tr>
      <w:tr w:rsidR="00C1548D" w14:paraId="70A4DDC4"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1" w14:textId="77777777" w:rsidR="00C1548D" w:rsidRDefault="009B1B4B">
            <w:pPr>
              <w:spacing w:line="250" w:lineRule="auto"/>
            </w:pPr>
            <w:r>
              <w:rPr>
                <w:sz w:val="18"/>
                <w:szCs w:val="18"/>
              </w:rPr>
              <w:t>Utah</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2" w14:textId="77777777" w:rsidR="00C1548D" w:rsidRDefault="009B1B4B">
            <w:pPr>
              <w:spacing w:line="250" w:lineRule="auto"/>
            </w:pPr>
            <w:r>
              <w:rPr>
                <w:sz w:val="18"/>
                <w:szCs w:val="18"/>
              </w:rPr>
              <w:t>Prüfungen (Deutschland nicht gelistet)</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3" w14:textId="77777777" w:rsidR="00C1548D" w:rsidRDefault="009B1B4B">
            <w:pPr>
              <w:spacing w:line="250" w:lineRule="auto"/>
            </w:pPr>
            <w:r>
              <w:rPr>
                <w:sz w:val="18"/>
                <w:szCs w:val="18"/>
              </w:rPr>
              <w:t>beim DMV erfragen</w:t>
            </w:r>
          </w:p>
        </w:tc>
      </w:tr>
      <w:tr w:rsidR="00C1548D" w14:paraId="70A4DDC8"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5" w14:textId="77777777" w:rsidR="00C1548D" w:rsidRDefault="009B1B4B">
            <w:pPr>
              <w:spacing w:line="250" w:lineRule="auto"/>
            </w:pPr>
            <w:r>
              <w:rPr>
                <w:sz w:val="18"/>
                <w:szCs w:val="18"/>
              </w:rPr>
              <w:t>Georgia</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6" w14:textId="77777777" w:rsidR="00C1548D" w:rsidRDefault="009B1B4B">
            <w:pPr>
              <w:spacing w:line="250" w:lineRule="auto"/>
            </w:pPr>
            <w:r>
              <w:rPr>
                <w:sz w:val="18"/>
                <w:szCs w:val="18"/>
              </w:rPr>
              <w:t>Prüfungen zu erwarten (Deutschland nicht gelistet)</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7" w14:textId="77777777" w:rsidR="00C1548D" w:rsidRDefault="009B1B4B">
            <w:pPr>
              <w:spacing w:line="250" w:lineRule="auto"/>
            </w:pPr>
            <w:r>
              <w:rPr>
                <w:sz w:val="18"/>
                <w:szCs w:val="18"/>
              </w:rPr>
              <w:t>beim DMV erfragen</w:t>
            </w:r>
          </w:p>
        </w:tc>
      </w:tr>
      <w:tr w:rsidR="00C1548D" w14:paraId="70A4DDCC"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9" w14:textId="77777777" w:rsidR="00C1548D" w:rsidRDefault="009B1B4B">
            <w:pPr>
              <w:spacing w:line="250" w:lineRule="auto"/>
            </w:pPr>
            <w:r>
              <w:rPr>
                <w:sz w:val="18"/>
                <w:szCs w:val="18"/>
              </w:rPr>
              <w:t>North Carolina</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A" w14:textId="77777777" w:rsidR="00C1548D" w:rsidRDefault="009B1B4B">
            <w:pPr>
              <w:spacing w:line="250" w:lineRule="auto"/>
            </w:pPr>
            <w:r>
              <w:rPr>
                <w:sz w:val="18"/>
                <w:szCs w:val="18"/>
              </w:rPr>
              <w:t>Verzicht nur für US-Lizenzen genannt</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B" w14:textId="77777777" w:rsidR="00C1548D" w:rsidRDefault="009B1B4B">
            <w:pPr>
              <w:spacing w:line="250" w:lineRule="auto"/>
            </w:pPr>
            <w:r>
              <w:rPr>
                <w:sz w:val="18"/>
                <w:szCs w:val="18"/>
              </w:rPr>
              <w:t>60 Tage</w:t>
            </w:r>
          </w:p>
        </w:tc>
      </w:tr>
      <w:tr w:rsidR="00C1548D" w14:paraId="70A4DDD0" w14:textId="77777777">
        <w:tblPrEx>
          <w:tblCellMar>
            <w:top w:w="0" w:type="dxa"/>
            <w:bottom w:w="0" w:type="dxa"/>
          </w:tblCellMar>
        </w:tblPrEx>
        <w:trPr>
          <w:cantSplit/>
        </w:trPr>
        <w:tc>
          <w:tcPr>
            <w:tcW w:w="10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D" w14:textId="77777777" w:rsidR="00C1548D" w:rsidRDefault="009B1B4B">
            <w:pPr>
              <w:spacing w:line="250" w:lineRule="auto"/>
            </w:pPr>
            <w:r>
              <w:rPr>
                <w:sz w:val="18"/>
                <w:szCs w:val="18"/>
              </w:rPr>
              <w:t>Florida</w:t>
            </w:r>
          </w:p>
        </w:tc>
        <w:tc>
          <w:tcPr>
            <w:tcW w:w="3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E" w14:textId="77777777" w:rsidR="00C1548D" w:rsidRDefault="009B1B4B">
            <w:pPr>
              <w:spacing w:line="250" w:lineRule="auto"/>
            </w:pPr>
            <w:r>
              <w:rPr>
                <w:sz w:val="18"/>
                <w:szCs w:val="18"/>
              </w:rPr>
              <w:t>nicht ermittelt</w:t>
            </w:r>
          </w:p>
        </w:tc>
        <w:tc>
          <w:tcPr>
            <w:tcW w:w="1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CF" w14:textId="77777777" w:rsidR="00C1548D" w:rsidRDefault="009B1B4B">
            <w:pPr>
              <w:spacing w:line="250" w:lineRule="auto"/>
            </w:pPr>
            <w:r>
              <w:rPr>
                <w:sz w:val="18"/>
                <w:szCs w:val="18"/>
              </w:rPr>
              <w:t>30 Tage</w:t>
            </w:r>
          </w:p>
        </w:tc>
      </w:tr>
    </w:tbl>
    <w:p w14:paraId="70A4DDD1" w14:textId="77777777" w:rsidR="00C1548D" w:rsidRDefault="00C1548D">
      <w:pPr>
        <w:spacing w:line="180" w:lineRule="exact"/>
      </w:pPr>
    </w:p>
    <w:p w14:paraId="70A4DDD2" w14:textId="77777777" w:rsidR="00C1548D" w:rsidRDefault="009B1B4B">
      <w:pPr>
        <w:spacing w:after="140"/>
      </w:pPr>
      <w:r>
        <w:t xml:space="preserve">Für Maryland nennen Ratgeber ebenfalls den Umtausch ohne Prüfung. Für alle übrigen Staaten und jede Abweichung gilt: Suche auf der Behördenseite nach </w:t>
      </w:r>
      <w:r>
        <w:rPr>
          <w:i/>
          <w:iCs/>
        </w:rPr>
        <w:t>foreign license</w:t>
      </w:r>
      <w:r>
        <w:t xml:space="preserve">, </w:t>
      </w:r>
      <w:r>
        <w:rPr>
          <w:i/>
          <w:iCs/>
        </w:rPr>
        <w:t>out-of-country</w:t>
      </w:r>
      <w:r>
        <w:t xml:space="preserve"> oder </w:t>
      </w:r>
      <w:r>
        <w:rPr>
          <w:i/>
          <w:iCs/>
        </w:rPr>
        <w:lastRenderedPageBreak/>
        <w:t>reciprocity</w:t>
      </w:r>
      <w:r>
        <w:t xml:space="preserve"> und frage vor dem Termin nach — die Listen ändern sich. Die Behörde heißt nicht überall </w:t>
      </w:r>
      <w:r>
        <w:rPr>
          <w:i/>
          <w:iCs/>
        </w:rPr>
        <w:t>DMV</w:t>
      </w:r>
      <w:r>
        <w:t xml:space="preserve"> (</w:t>
      </w:r>
      <w:r>
        <w:rPr>
          <w:i/>
          <w:iCs/>
        </w:rPr>
        <w:t>Department of Motor Vehicles</w:t>
      </w:r>
      <w:r>
        <w:t xml:space="preserve">, die Kfz- und Führerscheinbehörde): In Texas ist es die DPS, in Washington die DOL, in Massachusetts die RMV, in Michigan und Illinois das Büro des </w:t>
      </w:r>
      <w:r>
        <w:rPr>
          <w:i/>
          <w:iCs/>
        </w:rPr>
        <w:t>Secretary of State</w:t>
      </w:r>
      <w:r>
        <w:t>. Im Buch steht „DMV“ für sie alle.</w:t>
      </w:r>
    </w:p>
    <w:p w14:paraId="70A4DDD3" w14:textId="77777777" w:rsidR="00C1548D" w:rsidRDefault="009B1B4B">
      <w:pPr>
        <w:pStyle w:val="Heading3"/>
        <w:keepNext/>
        <w:jc w:val="center"/>
      </w:pPr>
      <w:r>
        <w:rPr>
          <w:rFonts w:ascii="Amazon Ember" w:eastAsia="Amazon Ember" w:hAnsi="Amazon Ember" w:cs="Amazon Ember"/>
          <w:color w:val="0000FF"/>
          <w:sz w:val="36"/>
          <w:szCs w:val="36"/>
        </w:rPr>
        <w:t>Der Weg zur US-Lizenz Schritt für Schritt</w:t>
      </w:r>
    </w:p>
    <w:p w14:paraId="70A4DDD4" w14:textId="77777777" w:rsidR="00C1548D" w:rsidRDefault="009B1B4B" w:rsidP="009B1B4B">
      <w:pPr>
        <w:pStyle w:val="ListParagraph"/>
        <w:numPr>
          <w:ilvl w:val="0"/>
          <w:numId w:val="29"/>
        </w:numPr>
        <w:spacing w:after="60"/>
      </w:pPr>
      <w:r>
        <w:rPr>
          <w:b/>
          <w:bCs/>
        </w:rPr>
        <w:t>Termin buchen:</w:t>
      </w:r>
      <w:r>
        <w:t xml:space="preserve"> Fast alle Behörden vergeben Termine online, oft mit mehreren Wochen Vorlauf. Buche in der ersten Woche.</w:t>
      </w:r>
    </w:p>
    <w:p w14:paraId="70A4DDD5" w14:textId="204044B0" w:rsidR="00C1548D" w:rsidRDefault="009B1B4B" w:rsidP="009B1B4B">
      <w:pPr>
        <w:pStyle w:val="ListParagraph"/>
        <w:numPr>
          <w:ilvl w:val="0"/>
          <w:numId w:val="29"/>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history="1">
        <w:r>
          <w:t>24</w:t>
        </w:r>
      </w:hyperlink>
      <w:r>
        <w:t>).</w:t>
      </w:r>
    </w:p>
    <w:p w14:paraId="70A4DDD6" w14:textId="77777777" w:rsidR="00C1548D" w:rsidRDefault="009B1B4B" w:rsidP="009B1B4B">
      <w:pPr>
        <w:pStyle w:val="ListParagraph"/>
        <w:numPr>
          <w:ilvl w:val="0"/>
          <w:numId w:val="29"/>
        </w:numPr>
        <w:spacing w:after="60"/>
      </w:pPr>
      <w:r>
        <w:rPr>
          <w:b/>
          <w:bCs/>
        </w:rPr>
        <w:t>Unterlagen:</w:t>
      </w:r>
      <w:r>
        <w:t xml:space="preserve"> Reisepass, Nachweis des legalen Aufenthalts (Visum und I-94 oder Green Card), Wohnsitznachweise, der deutsche Führerschein (er sollte noch mindestens 60 Tage gültig sein) und die Gebühr, die je Staat verschieden ist.</w:t>
      </w:r>
    </w:p>
    <w:p w14:paraId="70A4DDD7" w14:textId="77777777" w:rsidR="00C1548D" w:rsidRDefault="009B1B4B" w:rsidP="009B1B4B">
      <w:pPr>
        <w:pStyle w:val="ListParagraph"/>
        <w:numPr>
          <w:ilvl w:val="0"/>
          <w:numId w:val="29"/>
        </w:numPr>
        <w:spacing w:after="60"/>
      </w:pPr>
      <w:r>
        <w:rPr>
          <w:b/>
          <w:bCs/>
        </w:rPr>
        <w:t>Vor Ort:</w:t>
      </w:r>
      <w:r>
        <w:t xml:space="preserve"> Sehtest und gegebenenfalls Wissens- und Fahrprüfung. Für die Fahrprüfung brauchst du ein versichertes Auto und eine Begleitperson mit Führerschein.</w:t>
      </w:r>
    </w:p>
    <w:p w14:paraId="70A4DDD8" w14:textId="77777777" w:rsidR="00C1548D" w:rsidRDefault="009B1B4B" w:rsidP="009B1B4B">
      <w:pPr>
        <w:pStyle w:val="ListParagraph"/>
        <w:numPr>
          <w:ilvl w:val="0"/>
          <w:numId w:val="29"/>
        </w:numPr>
        <w:spacing w:after="60"/>
      </w:pPr>
      <w:r>
        <w:rPr>
          <w:b/>
          <w:bCs/>
        </w:rPr>
        <w:t>Ergebnis:</w:t>
      </w:r>
      <w:r>
        <w:t xml:space="preserve"> Die Lizenz von Nichtbürgern ist meist auf die Dauer des Aufenthalts befristet (</w:t>
      </w:r>
      <w:r>
        <w:rPr>
          <w:i/>
          <w:iCs/>
        </w:rPr>
        <w:t>Limited Term</w:t>
      </w:r>
      <w:r>
        <w:t>), etwa bis zum Ende deines H-1B-Zeitraums.</w:t>
      </w:r>
    </w:p>
    <w:p w14:paraId="70A4DDD9" w14:textId="77777777" w:rsidR="00C1548D" w:rsidRDefault="00C1548D">
      <w:pPr>
        <w:spacing w:line="120" w:lineRule="exact"/>
      </w:pPr>
    </w:p>
    <w:p w14:paraId="70A4DDDA" w14:textId="77777777" w:rsidR="00C1548D" w:rsidRDefault="009B1B4B">
      <w:pPr>
        <w:spacing w:after="140"/>
      </w:pPr>
      <w:r>
        <w:t xml:space="preserve">Einige Staaten verlangen bei vorübergehendem Aufenthalt zusätzlich eine </w:t>
      </w:r>
      <w:r>
        <w:rPr>
          <w:i/>
          <w:iCs/>
        </w:rPr>
        <w:t>Konsularische Führerscheinbescheinigung</w:t>
      </w:r>
      <w:r>
        <w:t xml:space="preserve">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w:t>
      </w:r>
      <w:r>
        <w:lastRenderedPageBreak/>
        <w:t>Frage außerdem, ob das DMV deine deutsche Karte behält, und mache vorher Kopien.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D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DDB" w14:textId="77777777" w:rsidR="00C1548D" w:rsidRDefault="009B1B4B">
            <w:pPr>
              <w:keepNext/>
              <w:spacing w:after="70" w:line="240" w:lineRule="auto"/>
            </w:pPr>
            <w:r>
              <w:rPr>
                <w:b/>
                <w:bCs/>
                <w:color w:val="4A5568"/>
                <w:spacing w:val="24"/>
                <w:sz w:val="16"/>
                <w:szCs w:val="16"/>
              </w:rPr>
              <w:t>PRAXISBEISPIEL · FIKTIV</w:t>
            </w:r>
          </w:p>
          <w:p w14:paraId="70A4DDDC" w14:textId="77777777" w:rsidR="00C1548D" w:rsidRDefault="009B1B4B">
            <w:pPr>
              <w:spacing w:after="80" w:line="264" w:lineRule="auto"/>
            </w:pPr>
            <w:r>
              <w:rPr>
                <w:sz w:val="20"/>
                <w:szCs w:val="20"/>
              </w:rPr>
              <w:t xml:space="preserve">Sabine Keller (fiktiv) landet Anfang März in Seattle. Ihre Wohnung liegt nahe einer Haltestelle der Stadtbahn, ein Auto braucht sie zunächst nicht. Die Frist in Washington beträgt 30 Tage, also bucht sie in der ersten Woche einen Termin für Tag 24: Termine sind knapp, und bis dahin muss die SSN vorliegen. Beim </w:t>
            </w:r>
            <w:r>
              <w:rPr>
                <w:i/>
                <w:iCs/>
                <w:sz w:val="20"/>
                <w:szCs w:val="20"/>
              </w:rPr>
              <w:t>Department of Licensing</w:t>
            </w:r>
            <w:r>
              <w:rPr>
                <w:sz w:val="20"/>
                <w:szCs w:val="20"/>
              </w:rPr>
              <w:t xml:space="preserve"> legt sie den deutschen Führerschein vor, besteht den Sehtest und legt laut DOL keine Prüfung ab. Ihre neue Karte ist auf die Dauer ihres H-1B-Status befristet.</w:t>
            </w:r>
          </w:p>
        </w:tc>
      </w:tr>
    </w:tbl>
    <w:p w14:paraId="70A4DDDE" w14:textId="77777777" w:rsidR="00C1548D" w:rsidRDefault="00C1548D">
      <w:pPr>
        <w:spacing w:line="220" w:lineRule="exact"/>
      </w:pPr>
    </w:p>
    <w:p w14:paraId="70A4DDDF" w14:textId="77777777" w:rsidR="00C1548D" w:rsidRDefault="009B1B4B">
      <w:pPr>
        <w:pStyle w:val="Heading3"/>
        <w:keepNext/>
        <w:jc w:val="center"/>
      </w:pPr>
      <w:r>
        <w:rPr>
          <w:rFonts w:ascii="Amazon Ember" w:eastAsia="Amazon Ember" w:hAnsi="Amazon Ember" w:cs="Amazon Ember"/>
          <w:color w:val="0000FF"/>
          <w:sz w:val="36"/>
          <w:szCs w:val="36"/>
        </w:rPr>
        <w:t>REAL ID und Inlandsflüge</w:t>
      </w:r>
    </w:p>
    <w:p w14:paraId="70A4DDE0" w14:textId="77777777" w:rsidR="00C1548D" w:rsidRDefault="009B1B4B">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w14:paraId="70A4DDE1" w14:textId="77777777" w:rsidR="00C1548D" w:rsidRDefault="009B1B4B">
      <w:pPr>
        <w:pStyle w:val="Heading3"/>
        <w:keepNext/>
        <w:jc w:val="center"/>
      </w:pPr>
      <w:r>
        <w:rPr>
          <w:rFonts w:ascii="Amazon Ember" w:eastAsia="Amazon Ember" w:hAnsi="Amazon Ember" w:cs="Amazon Ember"/>
          <w:color w:val="0000FF"/>
          <w:sz w:val="36"/>
          <w:szCs w:val="36"/>
        </w:rPr>
        <w:t>Autokauf: Preis, Steuer und Gebühren</w:t>
      </w:r>
    </w:p>
    <w:p w14:paraId="70A4DDE2" w14:textId="77777777" w:rsidR="00C1548D" w:rsidRDefault="009B1B4B">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573"/>
        <w:gridCol w:w="2957"/>
      </w:tblGrid>
      <w:tr w:rsidR="00C1548D" w14:paraId="70A4DDE6"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DE3" w14:textId="77777777" w:rsidR="00C1548D" w:rsidRDefault="009B1B4B">
            <w:pPr>
              <w:spacing w:line="250" w:lineRule="auto"/>
            </w:pPr>
            <w:r>
              <w:rPr>
                <w:b/>
                <w:bCs/>
                <w:sz w:val="18"/>
                <w:szCs w:val="18"/>
              </w:rPr>
              <w:t>Posten</w:t>
            </w:r>
          </w:p>
        </w:tc>
        <w:tc>
          <w:tcPr>
            <w:tcW w:w="257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DE4" w14:textId="77777777" w:rsidR="00C1548D" w:rsidRDefault="009B1B4B">
            <w:pPr>
              <w:spacing w:line="250" w:lineRule="auto"/>
            </w:pPr>
            <w:r>
              <w:rPr>
                <w:b/>
                <w:bCs/>
                <w:sz w:val="18"/>
                <w:szCs w:val="18"/>
              </w:rPr>
              <w:t>Was dahintersteckt</w:t>
            </w:r>
          </w:p>
        </w:tc>
        <w:tc>
          <w:tcPr>
            <w:tcW w:w="295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DE5" w14:textId="77777777" w:rsidR="00C1548D" w:rsidRDefault="009B1B4B">
            <w:pPr>
              <w:spacing w:line="250" w:lineRule="auto"/>
            </w:pPr>
            <w:r>
              <w:rPr>
                <w:b/>
                <w:bCs/>
                <w:sz w:val="18"/>
                <w:szCs w:val="18"/>
              </w:rPr>
              <w:t>Größenordnung</w:t>
            </w:r>
          </w:p>
        </w:tc>
      </w:tr>
      <w:tr w:rsidR="00C1548D" w14:paraId="70A4DDE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E7" w14:textId="77777777" w:rsidR="00C1548D" w:rsidRDefault="009B1B4B">
            <w:pPr>
              <w:spacing w:line="250" w:lineRule="auto"/>
            </w:pPr>
            <w:r>
              <w:rPr>
                <w:i/>
                <w:iCs/>
                <w:sz w:val="18"/>
                <w:szCs w:val="18"/>
              </w:rPr>
              <w:t>Sales Tax</w:t>
            </w:r>
          </w:p>
        </w:tc>
        <w:tc>
          <w:tcPr>
            <w:tcW w:w="2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E8" w14:textId="77777777" w:rsidR="00C1548D" w:rsidRDefault="009B1B4B">
            <w:pPr>
              <w:spacing w:line="250" w:lineRule="auto"/>
            </w:pPr>
            <w:r>
              <w:rPr>
                <w:sz w:val="18"/>
                <w:szCs w:val="18"/>
              </w:rPr>
              <w:t>Verkaufssteuer des Staates plus lokale Zuschläge</w:t>
            </w:r>
          </w:p>
        </w:tc>
        <w:tc>
          <w:tcPr>
            <w:tcW w:w="2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E9" w14:textId="77777777" w:rsidR="00C1548D" w:rsidRDefault="009B1B4B">
            <w:pPr>
              <w:spacing w:line="250" w:lineRule="auto"/>
            </w:pPr>
            <w:r>
              <w:rPr>
                <w:sz w:val="18"/>
                <w:szCs w:val="18"/>
              </w:rPr>
              <w:t>0 % bis ca. 10 %; keine allgemeine Sales Tax in Oregon, Montana, New Hampshire</w:t>
            </w:r>
          </w:p>
        </w:tc>
      </w:tr>
      <w:tr w:rsidR="00C1548D" w14:paraId="70A4DDE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EB" w14:textId="77777777" w:rsidR="00C1548D" w:rsidRDefault="009B1B4B">
            <w:pPr>
              <w:spacing w:line="250" w:lineRule="auto"/>
            </w:pPr>
            <w:r>
              <w:rPr>
                <w:i/>
                <w:iCs/>
                <w:sz w:val="18"/>
                <w:szCs w:val="18"/>
              </w:rPr>
              <w:lastRenderedPageBreak/>
              <w:t>Doc Fee</w:t>
            </w:r>
          </w:p>
        </w:tc>
        <w:tc>
          <w:tcPr>
            <w:tcW w:w="2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EC" w14:textId="77777777" w:rsidR="00C1548D" w:rsidRDefault="009B1B4B">
            <w:pPr>
              <w:spacing w:line="250" w:lineRule="auto"/>
            </w:pPr>
            <w:r>
              <w:rPr>
                <w:sz w:val="18"/>
                <w:szCs w:val="18"/>
              </w:rPr>
              <w:t>Bearbeitungsgebühr des Händlers</w:t>
            </w:r>
          </w:p>
        </w:tc>
        <w:tc>
          <w:tcPr>
            <w:tcW w:w="2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ED" w14:textId="77777777" w:rsidR="00C1548D" w:rsidRDefault="009B1B4B">
            <w:pPr>
              <w:spacing w:line="250" w:lineRule="auto"/>
            </w:pPr>
            <w:r>
              <w:rPr>
                <w:sz w:val="18"/>
                <w:szCs w:val="18"/>
              </w:rPr>
              <w:t>22 Staaten mit Deckel (Kalifornien 85 $, New York 175 $, Texas 225 $ als Richtwert, Illinois 377,63 $), sonst oft 500–999 $</w:t>
            </w:r>
          </w:p>
        </w:tc>
      </w:tr>
      <w:tr w:rsidR="00C1548D" w14:paraId="70A4DDF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EF" w14:textId="77777777" w:rsidR="00C1548D" w:rsidRDefault="009B1B4B">
            <w:pPr>
              <w:spacing w:line="250" w:lineRule="auto"/>
            </w:pPr>
            <w:r>
              <w:rPr>
                <w:sz w:val="18"/>
                <w:szCs w:val="18"/>
              </w:rPr>
              <w:t>Zulassung</w:t>
            </w:r>
          </w:p>
        </w:tc>
        <w:tc>
          <w:tcPr>
            <w:tcW w:w="2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F0" w14:textId="77777777" w:rsidR="00C1548D" w:rsidRDefault="009B1B4B">
            <w:pPr>
              <w:spacing w:line="250" w:lineRule="auto"/>
            </w:pPr>
            <w:r>
              <w:rPr>
                <w:i/>
                <w:iCs/>
                <w:sz w:val="18"/>
                <w:szCs w:val="18"/>
              </w:rPr>
              <w:t>Title</w:t>
            </w:r>
            <w:r>
              <w:rPr>
                <w:sz w:val="18"/>
                <w:szCs w:val="18"/>
              </w:rPr>
              <w:t xml:space="preserve">, </w:t>
            </w:r>
            <w:r>
              <w:rPr>
                <w:i/>
                <w:iCs/>
                <w:sz w:val="18"/>
                <w:szCs w:val="18"/>
              </w:rPr>
              <w:t>Registration</w:t>
            </w:r>
            <w:r>
              <w:rPr>
                <w:sz w:val="18"/>
                <w:szCs w:val="18"/>
              </w:rPr>
              <w:t>, Kennzeichen</w:t>
            </w:r>
          </w:p>
        </w:tc>
        <w:tc>
          <w:tcPr>
            <w:tcW w:w="2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F1" w14:textId="77777777" w:rsidR="00C1548D" w:rsidRDefault="009B1B4B">
            <w:pPr>
              <w:spacing w:line="250" w:lineRule="auto"/>
            </w:pPr>
            <w:r>
              <w:rPr>
                <w:sz w:val="18"/>
                <w:szCs w:val="18"/>
              </w:rPr>
              <w:t>je Staat verschieden</w:t>
            </w:r>
          </w:p>
        </w:tc>
      </w:tr>
      <w:tr w:rsidR="00C1548D" w14:paraId="70A4DDF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F3" w14:textId="77777777" w:rsidR="00C1548D" w:rsidRDefault="009B1B4B">
            <w:pPr>
              <w:spacing w:line="250" w:lineRule="auto"/>
            </w:pPr>
            <w:r>
              <w:rPr>
                <w:sz w:val="18"/>
                <w:szCs w:val="18"/>
              </w:rPr>
              <w:t>Zusatzprodukte</w:t>
            </w:r>
          </w:p>
        </w:tc>
        <w:tc>
          <w:tcPr>
            <w:tcW w:w="2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F4" w14:textId="77777777" w:rsidR="00C1548D" w:rsidRDefault="009B1B4B">
            <w:pPr>
              <w:spacing w:line="250" w:lineRule="auto"/>
            </w:pPr>
            <w:r>
              <w:rPr>
                <w:sz w:val="18"/>
                <w:szCs w:val="18"/>
              </w:rPr>
              <w:t>Garantieverlängerung, Schutzpakete</w:t>
            </w:r>
          </w:p>
        </w:tc>
        <w:tc>
          <w:tcPr>
            <w:tcW w:w="2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DF5" w14:textId="77777777" w:rsidR="00C1548D" w:rsidRDefault="009B1B4B">
            <w:pPr>
              <w:spacing w:line="250" w:lineRule="auto"/>
            </w:pPr>
            <w:r>
              <w:rPr>
                <w:sz w:val="18"/>
                <w:szCs w:val="18"/>
              </w:rPr>
              <w:t>meist verzichtbar</w:t>
            </w:r>
          </w:p>
        </w:tc>
      </w:tr>
    </w:tbl>
    <w:p w14:paraId="70A4DDF7" w14:textId="77777777" w:rsidR="00C1548D" w:rsidRDefault="00C1548D">
      <w:pPr>
        <w:spacing w:line="180" w:lineRule="exact"/>
      </w:pPr>
    </w:p>
    <w:p w14:paraId="70A4DDF8" w14:textId="77777777" w:rsidR="00C1548D" w:rsidRDefault="009B1B4B">
      <w:pPr>
        <w:spacing w:after="140"/>
      </w:pPr>
      <w:r>
        <w:t xml:space="preserve">Ein kompakter SUV für 37.722 $ kostet mit 7 % Sales Tax und 400 $ Doc Fee rund 40.800 $, bevor die Zulassung dazukommt (eigene Rechnung). Verhandle deshalb den </w:t>
      </w:r>
      <w:r>
        <w:rPr>
          <w:i/>
          <w:iCs/>
        </w:rPr>
        <w:t>Out-the-Door-Preis</w:t>
      </w:r>
      <w:r>
        <w:t xml:space="preserve">, den Endpreis mit allen Steuern und Gebühren, und lass ihn schriftlich bestätigen. Bei Gebrauchten prüfst du die Fahrzeughistorie (z. B. </w:t>
      </w:r>
      <w:r>
        <w:rPr>
          <w:i/>
          <w:iCs/>
        </w:rPr>
        <w:t>Carfax</w:t>
      </w:r>
      <w:r>
        <w:t>) auf Vorschäden und lässt das Auto vor dem Kauf von einer unabhängigen Werkstatt ansehen.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F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DF9" w14:textId="77777777" w:rsidR="00C1548D" w:rsidRDefault="009B1B4B">
            <w:pPr>
              <w:keepNext/>
              <w:spacing w:after="70" w:line="240" w:lineRule="auto"/>
            </w:pPr>
            <w:r>
              <w:rPr>
                <w:b/>
                <w:bCs/>
                <w:color w:val="9B2C2C"/>
                <w:spacing w:val="24"/>
                <w:sz w:val="16"/>
                <w:szCs w:val="16"/>
              </w:rPr>
              <w:t>ACHTUNG</w:t>
            </w:r>
          </w:p>
          <w:p w14:paraId="70A4DDFA" w14:textId="77777777" w:rsidR="00C1548D" w:rsidRDefault="009B1B4B">
            <w:pPr>
              <w:spacing w:after="80" w:line="264" w:lineRule="auto"/>
            </w:pPr>
            <w:r>
              <w:rPr>
                <w:sz w:val="20"/>
                <w:szCs w:val="20"/>
              </w:rPr>
              <w:t>Händler fragen gern zuerst: „Welche Monatsrate darf es sein?“ Damit lassen sich Preis, Laufzeit und Zins verstecken. Nenne keine Wunschrate, sondern verhandle zuerst den Out-the-Door-Preis und danach getrennt die Finanzierung.</w:t>
            </w:r>
          </w:p>
        </w:tc>
      </w:tr>
    </w:tbl>
    <w:p w14:paraId="70A4DDFC"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DFF"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DFD" w14:textId="77777777" w:rsidR="00C1548D" w:rsidRDefault="009B1B4B">
            <w:pPr>
              <w:keepNext/>
              <w:spacing w:after="70" w:line="240" w:lineRule="auto"/>
            </w:pPr>
            <w:r>
              <w:rPr>
                <w:b/>
                <w:bCs/>
                <w:color w:val="8A6212"/>
                <w:spacing w:val="24"/>
                <w:sz w:val="16"/>
                <w:szCs w:val="16"/>
              </w:rPr>
              <w:t>MERKE</w:t>
            </w:r>
          </w:p>
          <w:p w14:paraId="70A4DDFE" w14:textId="77777777" w:rsidR="00C1548D" w:rsidRDefault="009B1B4B">
            <w:pPr>
              <w:spacing w:after="80" w:line="264" w:lineRule="auto"/>
            </w:pPr>
            <w:r>
              <w:rPr>
                <w:sz w:val="20"/>
                <w:szCs w:val="20"/>
              </w:rPr>
              <w:t>Erst SSN und Führerschein, dann Versicherung, dann Kauf, dann Zulassung. Händler und Kreditgeber verlangen vor der Übergabe fast immer einen Versicherungsnachweis, die Zulassung braucht ihn ebenfalls.</w:t>
            </w:r>
          </w:p>
        </w:tc>
      </w:tr>
    </w:tbl>
    <w:p w14:paraId="70A4DE00" w14:textId="77777777" w:rsidR="00C1548D" w:rsidRDefault="00C1548D">
      <w:pPr>
        <w:spacing w:line="220" w:lineRule="exact"/>
      </w:pPr>
    </w:p>
    <w:p w14:paraId="70A4DE01" w14:textId="77777777" w:rsidR="00C1548D" w:rsidRDefault="009B1B4B">
      <w:pPr>
        <w:pStyle w:val="Heading3"/>
        <w:keepNext/>
        <w:jc w:val="center"/>
      </w:pPr>
      <w:r>
        <w:rPr>
          <w:rFonts w:ascii="Amazon Ember" w:eastAsia="Amazon Ember" w:hAnsi="Amazon Ember" w:cs="Amazon Ember"/>
          <w:color w:val="0000FF"/>
          <w:sz w:val="36"/>
          <w:szCs w:val="36"/>
        </w:rPr>
        <w:t>Finanzierung ohne Kredithistorie und Leasing</w:t>
      </w:r>
    </w:p>
    <w:p w14:paraId="70A4DE02" w14:textId="485C4190" w:rsidR="00C1548D" w:rsidRDefault="009B1B4B">
      <w:pPr>
        <w:spacing w:after="140"/>
      </w:pPr>
      <w:r>
        <w:t>Als Neuankömmling hast du keine Kreditwürdigkeit im US-Sinn (</w:t>
      </w:r>
      <w:r>
        <w:rPr>
          <w:i/>
          <w:iCs/>
        </w:rPr>
        <w:t>Credit Score</w:t>
      </w:r>
      <w:r>
        <w:t>; wie du sie aufbaust, steht in Kapitel </w:t>
      </w:r>
      <w:hyperlink w:anchor="k25" w:history="1">
        <w:r>
          <w:t>25</w:t>
        </w:r>
      </w:hyperlink>
      <w:r>
        <w:t xml:space="preserve">). Kreditgeber stufen dich deshalb oft niedrig ein; die Zinsen zeigen, was das kostet. </w:t>
      </w:r>
      <w:r>
        <w:lastRenderedPageBreak/>
        <w:t>Nach Experian (erstes Quartal 2026) lag der Durchschnittszins für Neuwagen bei 6,39 %: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66"/>
        <w:gridCol w:w="2914"/>
      </w:tblGrid>
      <w:tr w:rsidR="00C1548D" w14:paraId="70A4DE05" w14:textId="77777777">
        <w:tblPrEx>
          <w:tblCellMar>
            <w:top w:w="0" w:type="dxa"/>
            <w:bottom w:w="0" w:type="dxa"/>
          </w:tblCellMar>
        </w:tblPrEx>
        <w:trPr>
          <w:cantSplit/>
          <w:tblHeader/>
        </w:trPr>
        <w:tc>
          <w:tcPr>
            <w:tcW w:w="356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03" w14:textId="77777777" w:rsidR="00C1548D" w:rsidRDefault="009B1B4B">
            <w:pPr>
              <w:spacing w:line="250" w:lineRule="auto"/>
            </w:pPr>
            <w:r>
              <w:rPr>
                <w:b/>
                <w:bCs/>
                <w:sz w:val="18"/>
                <w:szCs w:val="18"/>
              </w:rPr>
              <w:t>Bonitätsgruppe</w:t>
            </w:r>
          </w:p>
        </w:tc>
        <w:tc>
          <w:tcPr>
            <w:tcW w:w="291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04" w14:textId="77777777" w:rsidR="00C1548D" w:rsidRDefault="009B1B4B">
            <w:pPr>
              <w:spacing w:line="250" w:lineRule="auto"/>
            </w:pPr>
            <w:r>
              <w:rPr>
                <w:b/>
                <w:bCs/>
                <w:sz w:val="18"/>
                <w:szCs w:val="18"/>
              </w:rPr>
              <w:t>Zins Neuwagen</w:t>
            </w:r>
          </w:p>
        </w:tc>
      </w:tr>
      <w:tr w:rsidR="00C1548D" w14:paraId="70A4DE08" w14:textId="77777777">
        <w:tblPrEx>
          <w:tblCellMar>
            <w:top w:w="0" w:type="dxa"/>
            <w:bottom w:w="0" w:type="dxa"/>
          </w:tblCellMar>
        </w:tblPrEx>
        <w:trPr>
          <w:cantSplit/>
        </w:trPr>
        <w:tc>
          <w:tcPr>
            <w:tcW w:w="35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06" w14:textId="77777777" w:rsidR="00C1548D" w:rsidRDefault="009B1B4B">
            <w:pPr>
              <w:spacing w:line="250" w:lineRule="auto"/>
            </w:pPr>
            <w:r>
              <w:rPr>
                <w:sz w:val="18"/>
                <w:szCs w:val="18"/>
              </w:rPr>
              <w:t>Superprime</w:t>
            </w:r>
          </w:p>
        </w:tc>
        <w:tc>
          <w:tcPr>
            <w:tcW w:w="291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07" w14:textId="77777777" w:rsidR="00C1548D" w:rsidRDefault="009B1B4B">
            <w:pPr>
              <w:spacing w:line="250" w:lineRule="auto"/>
            </w:pPr>
            <w:r>
              <w:rPr>
                <w:sz w:val="18"/>
                <w:szCs w:val="18"/>
              </w:rPr>
              <w:t>4,55 %</w:t>
            </w:r>
          </w:p>
        </w:tc>
      </w:tr>
      <w:tr w:rsidR="00C1548D" w14:paraId="70A4DE0B" w14:textId="77777777">
        <w:tblPrEx>
          <w:tblCellMar>
            <w:top w:w="0" w:type="dxa"/>
            <w:bottom w:w="0" w:type="dxa"/>
          </w:tblCellMar>
        </w:tblPrEx>
        <w:trPr>
          <w:cantSplit/>
        </w:trPr>
        <w:tc>
          <w:tcPr>
            <w:tcW w:w="35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09" w14:textId="77777777" w:rsidR="00C1548D" w:rsidRDefault="009B1B4B">
            <w:pPr>
              <w:spacing w:line="250" w:lineRule="auto"/>
            </w:pPr>
            <w:r>
              <w:rPr>
                <w:sz w:val="18"/>
                <w:szCs w:val="18"/>
              </w:rPr>
              <w:t>Prime</w:t>
            </w:r>
          </w:p>
        </w:tc>
        <w:tc>
          <w:tcPr>
            <w:tcW w:w="291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0A" w14:textId="77777777" w:rsidR="00C1548D" w:rsidRDefault="009B1B4B">
            <w:pPr>
              <w:spacing w:line="250" w:lineRule="auto"/>
            </w:pPr>
            <w:r>
              <w:rPr>
                <w:sz w:val="18"/>
                <w:szCs w:val="18"/>
              </w:rPr>
              <w:t>6,23 %</w:t>
            </w:r>
          </w:p>
        </w:tc>
      </w:tr>
      <w:tr w:rsidR="00C1548D" w14:paraId="70A4DE0E" w14:textId="77777777">
        <w:tblPrEx>
          <w:tblCellMar>
            <w:top w:w="0" w:type="dxa"/>
            <w:bottom w:w="0" w:type="dxa"/>
          </w:tblCellMar>
        </w:tblPrEx>
        <w:trPr>
          <w:cantSplit/>
        </w:trPr>
        <w:tc>
          <w:tcPr>
            <w:tcW w:w="35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0C" w14:textId="77777777" w:rsidR="00C1548D" w:rsidRDefault="009B1B4B">
            <w:pPr>
              <w:spacing w:line="250" w:lineRule="auto"/>
            </w:pPr>
            <w:r>
              <w:rPr>
                <w:sz w:val="18"/>
                <w:szCs w:val="18"/>
              </w:rPr>
              <w:t>Near-Prime</w:t>
            </w:r>
          </w:p>
        </w:tc>
        <w:tc>
          <w:tcPr>
            <w:tcW w:w="291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0D" w14:textId="77777777" w:rsidR="00C1548D" w:rsidRDefault="009B1B4B">
            <w:pPr>
              <w:spacing w:line="250" w:lineRule="auto"/>
            </w:pPr>
            <w:r>
              <w:rPr>
                <w:sz w:val="18"/>
                <w:szCs w:val="18"/>
              </w:rPr>
              <w:t>9,67 %</w:t>
            </w:r>
          </w:p>
        </w:tc>
      </w:tr>
      <w:tr w:rsidR="00C1548D" w14:paraId="70A4DE11" w14:textId="77777777">
        <w:tblPrEx>
          <w:tblCellMar>
            <w:top w:w="0" w:type="dxa"/>
            <w:bottom w:w="0" w:type="dxa"/>
          </w:tblCellMar>
        </w:tblPrEx>
        <w:trPr>
          <w:cantSplit/>
        </w:trPr>
        <w:tc>
          <w:tcPr>
            <w:tcW w:w="35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0F" w14:textId="77777777" w:rsidR="00C1548D" w:rsidRDefault="009B1B4B">
            <w:pPr>
              <w:spacing w:line="250" w:lineRule="auto"/>
            </w:pPr>
            <w:r>
              <w:rPr>
                <w:sz w:val="18"/>
                <w:szCs w:val="18"/>
              </w:rPr>
              <w:t>Subprime</w:t>
            </w:r>
          </w:p>
        </w:tc>
        <w:tc>
          <w:tcPr>
            <w:tcW w:w="291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10" w14:textId="77777777" w:rsidR="00C1548D" w:rsidRDefault="009B1B4B">
            <w:pPr>
              <w:spacing w:line="250" w:lineRule="auto"/>
            </w:pPr>
            <w:r>
              <w:rPr>
                <w:sz w:val="18"/>
                <w:szCs w:val="18"/>
              </w:rPr>
              <w:t>13,44 %</w:t>
            </w:r>
          </w:p>
        </w:tc>
      </w:tr>
      <w:tr w:rsidR="00C1548D" w14:paraId="70A4DE14" w14:textId="77777777">
        <w:tblPrEx>
          <w:tblCellMar>
            <w:top w:w="0" w:type="dxa"/>
            <w:bottom w:w="0" w:type="dxa"/>
          </w:tblCellMar>
        </w:tblPrEx>
        <w:trPr>
          <w:cantSplit/>
        </w:trPr>
        <w:tc>
          <w:tcPr>
            <w:tcW w:w="35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12" w14:textId="77777777" w:rsidR="00C1548D" w:rsidRDefault="009B1B4B">
            <w:pPr>
              <w:spacing w:line="250" w:lineRule="auto"/>
            </w:pPr>
            <w:r>
              <w:rPr>
                <w:sz w:val="18"/>
                <w:szCs w:val="18"/>
              </w:rPr>
              <w:t>Deep Subprime</w:t>
            </w:r>
          </w:p>
        </w:tc>
        <w:tc>
          <w:tcPr>
            <w:tcW w:w="291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13" w14:textId="77777777" w:rsidR="00C1548D" w:rsidRDefault="009B1B4B">
            <w:pPr>
              <w:spacing w:line="250" w:lineRule="auto"/>
            </w:pPr>
            <w:r>
              <w:rPr>
                <w:sz w:val="18"/>
                <w:szCs w:val="18"/>
              </w:rPr>
              <w:t>16,01 %</w:t>
            </w:r>
          </w:p>
        </w:tc>
      </w:tr>
    </w:tbl>
    <w:p w14:paraId="70A4DE15" w14:textId="77777777" w:rsidR="00C1548D" w:rsidRDefault="00C1548D">
      <w:pPr>
        <w:spacing w:line="180" w:lineRule="exact"/>
      </w:pPr>
    </w:p>
    <w:p w14:paraId="70A4DE16" w14:textId="77777777" w:rsidR="00C1548D" w:rsidRDefault="009B1B4B">
      <w:pPr>
        <w:spacing w:after="140"/>
      </w:pPr>
      <w:r>
        <w:t>Gebrauchtwagen lagen im Schnitt bei 11,43 %, in einer Spanne von 6,30 % bis 21,77 %. Bei 35.000 $ Kredit über 60 Monate ohne Anzahlung zahlst du bei 4,55 % rund 653 $ im Monat, bei 13,44 % rund 804 $: über die Laufzeit gut 9.000 $ mehr Zinsen (eigene Rechnung). Diese Ausgangslage lässt sich verbessern:</w:t>
      </w:r>
    </w:p>
    <w:p w14:paraId="70A4DE17" w14:textId="77777777" w:rsidR="00C1548D" w:rsidRDefault="009B1B4B" w:rsidP="009B1B4B">
      <w:pPr>
        <w:pStyle w:val="ListParagraph"/>
        <w:numPr>
          <w:ilvl w:val="0"/>
          <w:numId w:val="1"/>
        </w:numPr>
        <w:spacing w:after="60"/>
      </w:pPr>
      <w:r>
        <w:rPr>
          <w:b/>
          <w:bCs/>
        </w:rPr>
        <w:t>Anzahlung:</w:t>
      </w:r>
      <w:r>
        <w:t xml:space="preserve"> 10–20 % senken Rate und Zins. Wer bar zahlen kann, umgeht das Problem.</w:t>
      </w:r>
    </w:p>
    <w:p w14:paraId="70A4DE18" w14:textId="77777777" w:rsidR="00C1548D" w:rsidRDefault="009B1B4B" w:rsidP="009B1B4B">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w14:paraId="70A4DE19" w14:textId="77777777" w:rsidR="00C1548D" w:rsidRDefault="009B1B4B" w:rsidP="009B1B4B">
      <w:pPr>
        <w:pStyle w:val="ListParagraph"/>
        <w:numPr>
          <w:ilvl w:val="0"/>
          <w:numId w:val="1"/>
        </w:numPr>
        <w:spacing w:after="60"/>
      </w:pPr>
      <w:r>
        <w:rPr>
          <w:b/>
          <w:bCs/>
        </w:rPr>
        <w:t>Bürge (</w:t>
      </w:r>
      <w:r>
        <w:rPr>
          <w:b/>
          <w:bCs/>
          <w:i/>
          <w:iCs/>
        </w:rPr>
        <w:t>Co-Signer</w:t>
      </w:r>
      <w:r>
        <w:rPr>
          <w:b/>
          <w:bCs/>
        </w:rPr>
        <w:t>):</w:t>
      </w:r>
      <w:r>
        <w:t xml:space="preserve"> Eine Person mit US-Bonität haftet mit.</w:t>
      </w:r>
    </w:p>
    <w:p w14:paraId="70A4DE1A" w14:textId="77777777" w:rsidR="00C1548D" w:rsidRDefault="009B1B4B" w:rsidP="009B1B4B">
      <w:pPr>
        <w:pStyle w:val="ListParagraph"/>
        <w:numPr>
          <w:ilvl w:val="0"/>
          <w:numId w:val="1"/>
        </w:numPr>
        <w:spacing w:after="60"/>
      </w:pPr>
      <w:r>
        <w:rPr>
          <w:b/>
          <w:bCs/>
        </w:rPr>
        <w:t>Spezialanbieter:</w:t>
      </w:r>
      <w:r>
        <w:t xml:space="preserve"> Manche prüfen Einkommen und Kontoverlauf statt des Scores; vergleiche die Zinsen genau.</w:t>
      </w:r>
    </w:p>
    <w:p w14:paraId="70A4DE1B" w14:textId="77777777" w:rsidR="00C1548D" w:rsidRDefault="00C1548D">
      <w:pPr>
        <w:spacing w:line="120" w:lineRule="exact"/>
      </w:pPr>
    </w:p>
    <w:p w14:paraId="70A4DE1C" w14:textId="77777777" w:rsidR="00C1548D" w:rsidRDefault="009B1B4B">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E1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E1D" w14:textId="77777777" w:rsidR="00C1548D" w:rsidRDefault="009B1B4B">
            <w:pPr>
              <w:keepNext/>
              <w:spacing w:after="70" w:line="240" w:lineRule="auto"/>
            </w:pPr>
            <w:r>
              <w:rPr>
                <w:b/>
                <w:bCs/>
                <w:color w:val="4A5568"/>
                <w:spacing w:val="24"/>
                <w:sz w:val="16"/>
                <w:szCs w:val="16"/>
              </w:rPr>
              <w:lastRenderedPageBreak/>
              <w:t>PRAXISBEISPIEL · FIKTIV</w:t>
            </w:r>
          </w:p>
          <w:p w14:paraId="70A4DE1E" w14:textId="77777777" w:rsidR="00C1548D" w:rsidRDefault="009B1B4B">
            <w:pPr>
              <w:spacing w:after="80" w:line="264" w:lineRule="auto"/>
            </w:pPr>
            <w:r>
              <w:rPr>
                <w:sz w:val="20"/>
                <w:szCs w:val="20"/>
              </w:rPr>
              <w:t>Markus Brandt (fiktiv) hat in Michigan seinen deutschen Führerschein getauscht und findet einen zwei Jahre alten SUV für 27.000 $. Der Händler bietet ohne Kredithistorie 12,9 % über 60 Monate. Die Kreditunion, bei der sein Gehaltskonto liegt, bietet bei 20 % Anzahlung (5.400 $) 8,9 % auf die restlichen 21.600 $. Die Rate sinkt von rund 490 $ auf rund 447 $, die Zinsen über fünf Jahre um rund 2.580 $ (eigene Rechnung) – der Papierkram bei der Kreditunion dauert länger als der eigentliche Autokauf, aber die E</w:t>
            </w:r>
            <w:r>
              <w:rPr>
                <w:sz w:val="20"/>
                <w:szCs w:val="20"/>
              </w:rPr>
              <w:t>rsparnis reicht locker für den nächsten Familienurlaub.</w:t>
            </w:r>
          </w:p>
        </w:tc>
      </w:tr>
    </w:tbl>
    <w:p w14:paraId="70A4DE20" w14:textId="77777777" w:rsidR="00C1548D" w:rsidRDefault="00C1548D">
      <w:pPr>
        <w:spacing w:line="220" w:lineRule="exact"/>
      </w:pPr>
    </w:p>
    <w:p w14:paraId="70A4DE21" w14:textId="77777777" w:rsidR="00C1548D" w:rsidRDefault="009B1B4B">
      <w:pPr>
        <w:pStyle w:val="Heading3"/>
        <w:keepNext/>
        <w:jc w:val="center"/>
      </w:pPr>
      <w:r>
        <w:rPr>
          <w:rFonts w:ascii="Amazon Ember" w:eastAsia="Amazon Ember" w:hAnsi="Amazon Ember" w:cs="Amazon Ember"/>
          <w:color w:val="0000FF"/>
          <w:sz w:val="36"/>
          <w:szCs w:val="36"/>
        </w:rPr>
        <w:t>Autoversicherung: Preis, Kredit und die SF-Klasse</w:t>
      </w:r>
    </w:p>
    <w:p w14:paraId="70A4DE22" w14:textId="77777777" w:rsidR="00C1548D" w:rsidRDefault="009B1B4B">
      <w:pPr>
        <w:spacing w:after="140"/>
      </w:pPr>
      <w:r>
        <w:t>In fast allen Staaten ist die Haftpflicht (</w:t>
      </w:r>
      <w:r>
        <w:rPr>
          <w:i/>
          <w:iCs/>
        </w:rPr>
        <w:t>Liability</w:t>
      </w:r>
      <w:r>
        <w:t>) Pflicht, und ohne Versicherungsnachweis gibt es keine Zulassung. Der Vollschutz (</w:t>
      </w:r>
      <w:r>
        <w:rPr>
          <w:i/>
          <w:iCs/>
        </w:rPr>
        <w:t>Full Coverage</w:t>
      </w:r>
      <w:r>
        <w:t xml:space="preserve">) besteht aus Haftpflicht, </w:t>
      </w:r>
      <w:r>
        <w:rPr>
          <w:i/>
          <w:iCs/>
        </w:rPr>
        <w:t>Collision</w:t>
      </w:r>
      <w:r>
        <w:t xml:space="preserve"> (Schäden am eigenen Auto nach einem Unfall) und </w:t>
      </w:r>
      <w:r>
        <w:rPr>
          <w:i/>
          <w:iCs/>
        </w:rPr>
        <w:t>Comprehensive</w:t>
      </w:r>
      <w:r>
        <w:t xml:space="preserve"> (Diebstahl, Hagel, Wildschaden), entspricht also Haftpflicht plus Voll- und Teilkasko. Dazu wählst du meist die </w:t>
      </w:r>
      <w:r>
        <w:rPr>
          <w:i/>
          <w:iCs/>
        </w:rPr>
        <w:t>UM/UIM-Deckung</w:t>
      </w:r>
      <w:r>
        <w:t xml:space="preserve"> (</w:t>
      </w:r>
      <w:r>
        <w:rPr>
          <w:i/>
          <w:iCs/>
        </w:rPr>
        <w:t>Uninsured/Underinsured Motorist</w:t>
      </w:r>
      <w:r>
        <w:t>), die greift, wenn der Unfallgegner nicht oder zu niedrig versichert ist. Die Mindesthaftpflicht ist je Staat verschieden und oft niedrig.</w:t>
      </w:r>
    </w:p>
    <w:p w14:paraId="70A4DE23" w14:textId="77777777" w:rsidR="00C1548D" w:rsidRDefault="009B1B4B">
      <w:pPr>
        <w:spacing w:after="140"/>
      </w:pPr>
      <w:r>
        <w:t>Full Coverage kostete 2026 im Schnitt 2.241 $ (Insurify), 2.575 $ (MoneyGeek) oder 2.922 $ (Experian) im Jahr, 11,3 % mehr als im Vorjahr. Wohnort, Fahrzeug und Fahrerhistorie wirken auf den Preis, in den meisten Staaten auch der Credit Score: Schlechte Bonität kann die Prämie laut Bankrate um bis zu 105 % erhöhen. Einige Staaten verbieten das, u. a. Kalifornien, Hawaii und Massachusetts.</w:t>
      </w:r>
    </w:p>
    <w:p w14:paraId="70A4DE24" w14:textId="0090AF1C" w:rsidR="00C1548D" w:rsidRDefault="009B1B4B">
      <w:pPr>
        <w:spacing w:after="140"/>
      </w:pPr>
      <w:r>
        <w:t xml:space="preserve">Die deutsche Schadenfreiheitsklasse (SF-Klasse) zählt meist nicht: US-Versicherer sehen dich als neuen Fahrer ohne US-Historie, das DMV kann keine deutschen Akten abfragen. Einzelne Anbieter </w:t>
      </w:r>
      <w:r>
        <w:lastRenderedPageBreak/>
        <w:t>berücksichtigen Vorversicherungen aus dem Ausland, nach eigenen Angaben etwa State Farm. Lass dir deshalb vom deutschen Versicherer eine englische Bescheinigung über deine schadenfreien Jahre ausstellen (Kündigung und Abmeldung in Deutschland: Kapitel </w:t>
      </w:r>
      <w:hyperlink w:anchor="k16" w:history="1">
        <w:r>
          <w:t>16</w:t>
        </w:r>
      </w:hyperlink>
      <w:r>
        <w:t>) und frage jeden Anbieter danach.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E2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E25" w14:textId="77777777" w:rsidR="00C1548D" w:rsidRDefault="009B1B4B">
            <w:pPr>
              <w:keepNext/>
              <w:spacing w:after="70" w:line="240" w:lineRule="auto"/>
            </w:pPr>
            <w:r>
              <w:rPr>
                <w:b/>
                <w:bCs/>
                <w:color w:val="2F6B3B"/>
                <w:spacing w:val="24"/>
                <w:sz w:val="16"/>
                <w:szCs w:val="16"/>
              </w:rPr>
              <w:t>SPARTIPP</w:t>
            </w:r>
          </w:p>
          <w:p w14:paraId="70A4DE26" w14:textId="43D743B7" w:rsidR="00C1548D" w:rsidRDefault="009B1B4B">
            <w:pPr>
              <w:spacing w:after="80" w:line="264" w:lineRule="auto"/>
            </w:pPr>
            <w:r>
              <w:rPr>
                <w:sz w:val="20"/>
                <w:szCs w:val="20"/>
              </w:rPr>
              <w:t>Hole mindestens drei Angebote mit identischer Deckung ein, frage nach einem höheren Selbstbehalt (</w:t>
            </w:r>
            <w:r>
              <w:rPr>
                <w:i/>
                <w:iCs/>
                <w:sz w:val="20"/>
                <w:szCs w:val="20"/>
              </w:rPr>
              <w:t>Deductible</w:t>
            </w:r>
            <w:r>
              <w:rPr>
                <w:sz w:val="20"/>
                <w:szCs w:val="20"/>
              </w:rPr>
              <w:t>) und nach Rabatt für ein Paket mit der Mieterversicherung. Mehr zu Versicherungen im Alltag: Kapitel </w:t>
            </w:r>
            <w:hyperlink w:anchor="k25" w:history="1">
              <w:r>
                <w:rPr>
                  <w:sz w:val="20"/>
                  <w:szCs w:val="20"/>
                </w:rPr>
                <w:t>25</w:t>
              </w:r>
            </w:hyperlink>
            <w:r>
              <w:rPr>
                <w:sz w:val="20"/>
                <w:szCs w:val="20"/>
              </w:rPr>
              <w:t>.</w:t>
            </w:r>
          </w:p>
        </w:tc>
      </w:tr>
    </w:tbl>
    <w:p w14:paraId="70A4DE28" w14:textId="77777777" w:rsidR="00C1548D" w:rsidRDefault="00C1548D">
      <w:pPr>
        <w:spacing w:line="220" w:lineRule="exact"/>
      </w:pPr>
    </w:p>
    <w:p w14:paraId="70A4DE29" w14:textId="77777777" w:rsidR="00C1548D" w:rsidRDefault="009B1B4B">
      <w:pPr>
        <w:pStyle w:val="Heading3"/>
        <w:keepNext/>
        <w:jc w:val="center"/>
      </w:pPr>
      <w:r>
        <w:rPr>
          <w:rFonts w:ascii="Amazon Ember" w:eastAsia="Amazon Ember" w:hAnsi="Amazon Ember" w:cs="Amazon Ember"/>
          <w:color w:val="0000FF"/>
          <w:sz w:val="36"/>
          <w:szCs w:val="36"/>
        </w:rPr>
        <w:t>Zulassung: Title, Registration, Kennzeichen</w:t>
      </w:r>
    </w:p>
    <w:p w14:paraId="70A4DE2A" w14:textId="77777777" w:rsidR="00C1548D" w:rsidRDefault="009B1B4B">
      <w:pPr>
        <w:spacing w:after="140"/>
      </w:pPr>
      <w:r>
        <w:t xml:space="preserve">Kaufst du beim Händler, erledigt er die Zulassung meist gegen Gebühr; beim Privatkauf gehst du selbst zum DMV. Der </w:t>
      </w:r>
      <w:r>
        <w:rPr>
          <w:i/>
          <w:iCs/>
        </w:rPr>
        <w:t>Title</w:t>
      </w:r>
      <w:r>
        <w:t xml:space="preserve"> ist die Eigentumsurkunde, die </w:t>
      </w:r>
      <w:r>
        <w:rPr>
          <w:i/>
          <w:iCs/>
        </w:rPr>
        <w:t>Registration</w:t>
      </w:r>
      <w:r>
        <w:t xml:space="preserve"> die Zulassung mit Kennzeichen (</w:t>
      </w:r>
      <w:r>
        <w:rPr>
          <w:i/>
          <w:iCs/>
        </w:rPr>
        <w:t>License Plate</w:t>
      </w:r>
      <w:r>
        <w:t>).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w14:paraId="70A4DE2B" w14:textId="77777777" w:rsidR="00C1548D" w:rsidRDefault="009B1B4B">
      <w:pPr>
        <w:pStyle w:val="Heading3"/>
        <w:keepNext/>
        <w:jc w:val="center"/>
      </w:pPr>
      <w:r>
        <w:rPr>
          <w:rFonts w:ascii="Amazon Ember" w:eastAsia="Amazon Ember" w:hAnsi="Amazon Ember" w:cs="Amazon Ember"/>
          <w:color w:val="0000FF"/>
          <w:sz w:val="36"/>
          <w:szCs w:val="36"/>
        </w:rPr>
        <w:t>Verkehrsregeln, die Deutsche überraschen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25"/>
        <w:gridCol w:w="2885"/>
        <w:gridCol w:w="1870"/>
      </w:tblGrid>
      <w:tr w:rsidR="00C1548D" w14:paraId="70A4DE2F" w14:textId="77777777">
        <w:tblPrEx>
          <w:tblCellMar>
            <w:top w:w="0" w:type="dxa"/>
            <w:bottom w:w="0" w:type="dxa"/>
          </w:tblCellMar>
        </w:tblPrEx>
        <w:trPr>
          <w:cantSplit/>
          <w:tblHeader/>
        </w:trPr>
        <w:tc>
          <w:tcPr>
            <w:tcW w:w="172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2C" w14:textId="77777777" w:rsidR="00C1548D" w:rsidRDefault="009B1B4B">
            <w:pPr>
              <w:spacing w:line="250" w:lineRule="auto"/>
            </w:pPr>
            <w:r>
              <w:rPr>
                <w:b/>
                <w:bCs/>
                <w:sz w:val="18"/>
                <w:szCs w:val="18"/>
              </w:rPr>
              <w:t>Situation</w:t>
            </w:r>
          </w:p>
        </w:tc>
        <w:tc>
          <w:tcPr>
            <w:tcW w:w="28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2D" w14:textId="77777777" w:rsidR="00C1548D" w:rsidRDefault="009B1B4B">
            <w:pPr>
              <w:spacing w:line="250" w:lineRule="auto"/>
            </w:pPr>
            <w:r>
              <w:rPr>
                <w:b/>
                <w:bCs/>
                <w:sz w:val="18"/>
                <w:szCs w:val="18"/>
              </w:rPr>
              <w:t>USA</w:t>
            </w:r>
          </w:p>
        </w:tc>
        <w:tc>
          <w:tcPr>
            <w:tcW w:w="18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2E" w14:textId="77777777" w:rsidR="00C1548D" w:rsidRDefault="009B1B4B">
            <w:pPr>
              <w:spacing w:line="250" w:lineRule="auto"/>
            </w:pPr>
            <w:r>
              <w:rPr>
                <w:b/>
                <w:bCs/>
                <w:sz w:val="18"/>
                <w:szCs w:val="18"/>
              </w:rPr>
              <w:t>Deutschland</w:t>
            </w:r>
          </w:p>
        </w:tc>
      </w:tr>
      <w:tr w:rsidR="00C1548D" w14:paraId="70A4DE33"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0" w14:textId="77777777" w:rsidR="00C1548D" w:rsidRDefault="009B1B4B">
            <w:pPr>
              <w:spacing w:line="250" w:lineRule="auto"/>
            </w:pPr>
            <w:r>
              <w:rPr>
                <w:sz w:val="18"/>
                <w:szCs w:val="18"/>
              </w:rPr>
              <w:t>Rechtsabbiegen bei Rot</w:t>
            </w:r>
          </w:p>
        </w:tc>
        <w:tc>
          <w:tcPr>
            <w:tcW w:w="28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1" w14:textId="77777777" w:rsidR="00C1548D" w:rsidRDefault="009B1B4B">
            <w:pPr>
              <w:spacing w:line="250" w:lineRule="auto"/>
            </w:pPr>
            <w:r>
              <w:rPr>
                <w:sz w:val="18"/>
                <w:szCs w:val="18"/>
              </w:rPr>
              <w:t>Nach vollem Halt erlaubt, außer bei „No Turn on Red“; in New York City verboten, sofern nicht beschildert</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2" w14:textId="77777777" w:rsidR="00C1548D" w:rsidRDefault="009B1B4B">
            <w:pPr>
              <w:spacing w:line="250" w:lineRule="auto"/>
            </w:pPr>
            <w:r>
              <w:rPr>
                <w:sz w:val="18"/>
                <w:szCs w:val="18"/>
              </w:rPr>
              <w:t>Nur mit Grünpfeil-Schild</w:t>
            </w:r>
          </w:p>
        </w:tc>
      </w:tr>
      <w:tr w:rsidR="00C1548D" w14:paraId="70A4DE37"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4" w14:textId="77777777" w:rsidR="00C1548D" w:rsidRDefault="009B1B4B">
            <w:pPr>
              <w:spacing w:line="250" w:lineRule="auto"/>
            </w:pPr>
            <w:r>
              <w:rPr>
                <w:sz w:val="18"/>
                <w:szCs w:val="18"/>
              </w:rPr>
              <w:lastRenderedPageBreak/>
              <w:t>Kreuzung mit vier Stoppschildern</w:t>
            </w:r>
          </w:p>
        </w:tc>
        <w:tc>
          <w:tcPr>
            <w:tcW w:w="28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5" w14:textId="77777777" w:rsidR="00C1548D" w:rsidRDefault="009B1B4B">
            <w:pPr>
              <w:spacing w:line="250" w:lineRule="auto"/>
            </w:pPr>
            <w:r>
              <w:rPr>
                <w:sz w:val="18"/>
                <w:szCs w:val="18"/>
              </w:rPr>
              <w:t>Wer zuerst hält, fährt zuerst; bei gleichzeitigem Halt hat rechts Vorfahrt</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6" w14:textId="77777777" w:rsidR="00C1548D" w:rsidRDefault="009B1B4B">
            <w:pPr>
              <w:spacing w:line="250" w:lineRule="auto"/>
            </w:pPr>
            <w:r>
              <w:rPr>
                <w:sz w:val="18"/>
                <w:szCs w:val="18"/>
              </w:rPr>
              <w:t>Rechts vor links oder Vorfahrtsschilder</w:t>
            </w:r>
          </w:p>
        </w:tc>
      </w:tr>
      <w:tr w:rsidR="00C1548D" w14:paraId="70A4DE3B"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8" w14:textId="77777777" w:rsidR="00C1548D" w:rsidRDefault="009B1B4B">
            <w:pPr>
              <w:spacing w:line="250" w:lineRule="auto"/>
            </w:pPr>
            <w:r>
              <w:rPr>
                <w:sz w:val="18"/>
                <w:szCs w:val="18"/>
              </w:rPr>
              <w:t>Schulbus mit roten Blinklichtern</w:t>
            </w:r>
          </w:p>
        </w:tc>
        <w:tc>
          <w:tcPr>
            <w:tcW w:w="28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9" w14:textId="77777777" w:rsidR="00C1548D" w:rsidRDefault="009B1B4B">
            <w:pPr>
              <w:spacing w:line="250" w:lineRule="auto"/>
            </w:pPr>
            <w:r>
              <w:rPr>
                <w:sz w:val="18"/>
                <w:szCs w:val="18"/>
              </w:rPr>
              <w:t>Halt in beide Richtungen; bei getrennten Fahrbahnen je Staat nur der Folgeverkehr</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A" w14:textId="77777777" w:rsidR="00C1548D" w:rsidRDefault="009B1B4B">
            <w:pPr>
              <w:spacing w:line="250" w:lineRule="auto"/>
            </w:pPr>
            <w:r>
              <w:rPr>
                <w:sz w:val="18"/>
                <w:szCs w:val="18"/>
              </w:rPr>
              <w:t>Kein direktes Gegenstück</w:t>
            </w:r>
          </w:p>
        </w:tc>
      </w:tr>
      <w:tr w:rsidR="00C1548D" w14:paraId="70A4DE3F"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C" w14:textId="77777777" w:rsidR="00C1548D" w:rsidRDefault="009B1B4B">
            <w:pPr>
              <w:spacing w:line="250" w:lineRule="auto"/>
            </w:pPr>
            <w:r>
              <w:rPr>
                <w:sz w:val="18"/>
                <w:szCs w:val="18"/>
              </w:rPr>
              <w:t>Einsatzfahrzeug am Seitenstreifen (</w:t>
            </w:r>
            <w:r>
              <w:rPr>
                <w:i/>
                <w:iCs/>
                <w:sz w:val="18"/>
                <w:szCs w:val="18"/>
              </w:rPr>
              <w:t>Move Over</w:t>
            </w:r>
            <w:r>
              <w:rPr>
                <w:sz w:val="18"/>
                <w:szCs w:val="18"/>
              </w:rPr>
              <w:t>)</w:t>
            </w:r>
          </w:p>
        </w:tc>
        <w:tc>
          <w:tcPr>
            <w:tcW w:w="28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D" w14:textId="77777777" w:rsidR="00C1548D" w:rsidRDefault="009B1B4B">
            <w:pPr>
              <w:spacing w:line="250" w:lineRule="auto"/>
            </w:pPr>
            <w:r>
              <w:rPr>
                <w:sz w:val="18"/>
                <w:szCs w:val="18"/>
              </w:rPr>
              <w:t>Spur wechseln oder Tempo stark senken; in allen Staaten Pflicht</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3E" w14:textId="77777777" w:rsidR="00C1548D" w:rsidRDefault="009B1B4B">
            <w:pPr>
              <w:spacing w:line="250" w:lineRule="auto"/>
            </w:pPr>
            <w:r>
              <w:rPr>
                <w:sz w:val="18"/>
                <w:szCs w:val="18"/>
              </w:rPr>
              <w:t>Rettungsgasse im Stau</w:t>
            </w:r>
          </w:p>
        </w:tc>
      </w:tr>
      <w:tr w:rsidR="00C1548D" w14:paraId="70A4DE43"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40" w14:textId="77777777" w:rsidR="00C1548D" w:rsidRDefault="009B1B4B">
            <w:pPr>
              <w:spacing w:line="250" w:lineRule="auto"/>
            </w:pPr>
            <w:r>
              <w:rPr>
                <w:sz w:val="18"/>
                <w:szCs w:val="18"/>
              </w:rPr>
              <w:t>Tempo</w:t>
            </w:r>
          </w:p>
        </w:tc>
        <w:tc>
          <w:tcPr>
            <w:tcW w:w="28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41" w14:textId="77777777" w:rsidR="00C1548D" w:rsidRDefault="009B1B4B">
            <w:pPr>
              <w:spacing w:line="250" w:lineRule="auto"/>
            </w:pPr>
            <w:r>
              <w:rPr>
                <w:sz w:val="18"/>
                <w:szCs w:val="18"/>
              </w:rPr>
              <w:t>Meilen pro Stunde; Highways meist 55–80 mph (ca. 89–129 km/h), teils bis 85 mph (ca. 137 km/h)</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42" w14:textId="77777777" w:rsidR="00C1548D" w:rsidRDefault="009B1B4B">
            <w:pPr>
              <w:spacing w:line="250" w:lineRule="auto"/>
            </w:pPr>
            <w:r>
              <w:rPr>
                <w:sz w:val="18"/>
                <w:szCs w:val="18"/>
              </w:rPr>
              <w:t>Autobahn ohne allgemeines Limit</w:t>
            </w:r>
          </w:p>
        </w:tc>
      </w:tr>
      <w:tr w:rsidR="00C1548D" w14:paraId="70A4DE47"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44" w14:textId="77777777" w:rsidR="00C1548D" w:rsidRDefault="009B1B4B">
            <w:pPr>
              <w:spacing w:line="250" w:lineRule="auto"/>
            </w:pPr>
            <w:r>
              <w:rPr>
                <w:sz w:val="18"/>
                <w:szCs w:val="18"/>
              </w:rPr>
              <w:t>Alkohol</w:t>
            </w:r>
          </w:p>
        </w:tc>
        <w:tc>
          <w:tcPr>
            <w:tcW w:w="28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45" w14:textId="77777777" w:rsidR="00C1548D" w:rsidRDefault="009B1B4B">
            <w:pPr>
              <w:spacing w:line="250" w:lineRule="auto"/>
            </w:pPr>
            <w:r>
              <w:rPr>
                <w:sz w:val="18"/>
                <w:szCs w:val="18"/>
              </w:rPr>
              <w:t>0,08 % BAC = 0,8 Promille; unter 21 praktisch null</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46" w14:textId="77777777" w:rsidR="00C1548D" w:rsidRDefault="009B1B4B">
            <w:pPr>
              <w:spacing w:line="250" w:lineRule="auto"/>
            </w:pPr>
            <w:r>
              <w:rPr>
                <w:sz w:val="18"/>
                <w:szCs w:val="18"/>
              </w:rPr>
              <w:t>0,5 Promille; in der Probezeit 0,0</w:t>
            </w:r>
          </w:p>
        </w:tc>
      </w:tr>
      <w:tr w:rsidR="00C1548D" w14:paraId="70A4DE4B"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48" w14:textId="77777777" w:rsidR="00C1548D" w:rsidRDefault="009B1B4B">
            <w:pPr>
              <w:spacing w:line="250" w:lineRule="auto"/>
            </w:pPr>
            <w:r>
              <w:rPr>
                <w:sz w:val="18"/>
                <w:szCs w:val="18"/>
              </w:rPr>
              <w:t>Getriebe</w:t>
            </w:r>
          </w:p>
        </w:tc>
        <w:tc>
          <w:tcPr>
            <w:tcW w:w="28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49" w14:textId="77777777" w:rsidR="00C1548D" w:rsidRDefault="009B1B4B">
            <w:pPr>
              <w:spacing w:line="250" w:lineRule="auto"/>
            </w:pPr>
            <w:r>
              <w:rPr>
                <w:sz w:val="18"/>
                <w:szCs w:val="18"/>
              </w:rPr>
              <w:t>Automatik ist der Standard</w:t>
            </w:r>
          </w:p>
        </w:tc>
        <w:tc>
          <w:tcPr>
            <w:tcW w:w="18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4A" w14:textId="77777777" w:rsidR="00C1548D" w:rsidRDefault="009B1B4B">
            <w:pPr>
              <w:spacing w:line="250" w:lineRule="auto"/>
            </w:pPr>
            <w:r>
              <w:rPr>
                <w:sz w:val="18"/>
                <w:szCs w:val="18"/>
              </w:rPr>
              <w:t>Schaltwagen noch häufig</w:t>
            </w:r>
          </w:p>
        </w:tc>
      </w:tr>
    </w:tbl>
    <w:p w14:paraId="70A4DE4C" w14:textId="77777777" w:rsidR="00C1548D" w:rsidRDefault="00C1548D">
      <w:pPr>
        <w:spacing w:line="180" w:lineRule="exact"/>
      </w:pPr>
    </w:p>
    <w:p w14:paraId="70A4DE4D" w14:textId="49E97B53" w:rsidR="00C1548D" w:rsidRDefault="009B1B4B">
      <w:pPr>
        <w:spacing w:after="140"/>
      </w:pPr>
      <w:r>
        <w:t>Wer aus einem Land ohne generelles Tempolimit kommt, gewöhnt sich überraschend schnell an 65 mph – der eigentliche Kulturschock kommt eher andersherum, beim ersten Deutschlandbesuch danach. Auf mehrspurigen Straßen wird oft rechts überholt. Das Handy am Steuer regelt jeder Staat selbst, in vielen ist nur Freisprechen erlaubt; bei einer Polizeikontrolle bleibst du im Auto und hältst die Hände sichtbar (mehr dazu in Kapitel </w:t>
      </w:r>
      <w:hyperlink w:anchor="k40" w:history="1">
        <w:r>
          <w:t>40</w:t>
        </w:r>
      </w:hyperlink>
      <w:r>
        <w:t>). Kindersitze und Regeln für Jugendliche behandelt Kapitel </w:t>
      </w:r>
      <w:hyperlink w:anchor="k38" w:history="1">
        <w:r>
          <w:t>38</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E5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E4E" w14:textId="77777777" w:rsidR="00C1548D" w:rsidRDefault="009B1B4B">
            <w:pPr>
              <w:keepNext/>
              <w:spacing w:after="70" w:line="240" w:lineRule="auto"/>
            </w:pPr>
            <w:r>
              <w:rPr>
                <w:b/>
                <w:bCs/>
                <w:color w:val="9B2C2C"/>
                <w:spacing w:val="24"/>
                <w:sz w:val="16"/>
                <w:szCs w:val="16"/>
              </w:rPr>
              <w:t>ACHTUNG</w:t>
            </w:r>
          </w:p>
          <w:p w14:paraId="70A4DE4F" w14:textId="77777777" w:rsidR="00C1548D" w:rsidRDefault="009B1B4B">
            <w:pPr>
              <w:spacing w:after="80" w:line="264" w:lineRule="auto"/>
            </w:pPr>
            <w:r>
              <w:rPr>
                <w:sz w:val="20"/>
                <w:szCs w:val="20"/>
              </w:rPr>
              <w:t>Wer einen haltenden Schulbus mit roten Blinklichtern und ausgeklapptem Stoppschild passiert, riskiert hohe Strafen. Der Fehler passiert Deutschen leicht, weil es hier keine Entsprechung gibt.</w:t>
            </w:r>
          </w:p>
        </w:tc>
      </w:tr>
    </w:tbl>
    <w:p w14:paraId="70A4DE51" w14:textId="77777777" w:rsidR="00C1548D" w:rsidRDefault="00C1548D">
      <w:pPr>
        <w:spacing w:line="220" w:lineRule="exact"/>
      </w:pPr>
    </w:p>
    <w:p w14:paraId="70A4DE52" w14:textId="77777777" w:rsidR="00C1548D" w:rsidRDefault="009B1B4B">
      <w:pPr>
        <w:pStyle w:val="Heading3"/>
        <w:keepNext/>
        <w:jc w:val="center"/>
      </w:pPr>
      <w:r>
        <w:rPr>
          <w:rFonts w:ascii="Amazon Ember" w:eastAsia="Amazon Ember" w:hAnsi="Amazon Ember" w:cs="Amazon Ember"/>
          <w:color w:val="0000FF"/>
          <w:sz w:val="36"/>
          <w:szCs w:val="36"/>
        </w:rPr>
        <w:t>Verstöße und DUI</w:t>
      </w:r>
    </w:p>
    <w:p w14:paraId="70A4DE53" w14:textId="77777777" w:rsidR="00C1548D" w:rsidRDefault="009B1B4B">
      <w:pPr>
        <w:spacing w:after="140"/>
      </w:pPr>
      <w:r>
        <w:t>Verstöße kosten ein Bußgeld (</w:t>
      </w:r>
      <w:r>
        <w:rPr>
          <w:i/>
          <w:iCs/>
        </w:rPr>
        <w:t>Fine</w:t>
      </w:r>
      <w:r>
        <w:t>) und in den meisten Staaten Punkte im Führerscheinregister — genug Punkte führen zum Entzug der Lizenz. Einen Strafzettel (</w:t>
      </w:r>
      <w:r>
        <w:rPr>
          <w:i/>
          <w:iCs/>
        </w:rPr>
        <w:t>Ticket</w:t>
      </w:r>
      <w:r>
        <w:t xml:space="preserve">) ignorierst du nicht: Unbezahlte </w:t>
      </w:r>
      <w:r>
        <w:lastRenderedPageBreak/>
        <w:t>Strafen können weitere Folgen bis zur Sperre haben, und danach steigt meist auch die Versicherungsprämie.</w:t>
      </w:r>
    </w:p>
    <w:p w14:paraId="70A4DE54" w14:textId="77777777" w:rsidR="00C1548D" w:rsidRDefault="009B1B4B">
      <w:pPr>
        <w:spacing w:after="140"/>
      </w:pPr>
      <w:r>
        <w:rPr>
          <w:i/>
          <w:iCs/>
        </w:rPr>
        <w:t>DUI</w:t>
      </w:r>
      <w:r>
        <w:t xml:space="preserve"> (</w:t>
      </w:r>
      <w:r>
        <w:rPr>
          <w:i/>
          <w:iCs/>
        </w:rPr>
        <w:t>Driving Under the Influence</w:t>
      </w:r>
      <w:r>
        <w:t>, in manchen Staaten DWI) ist das Fahren unter Alkohol- oder Drogeneinfluss; die Grenze liegt bei 0,08 % BAC (</w:t>
      </w:r>
      <w:r>
        <w:rPr>
          <w:i/>
          <w:iCs/>
        </w:rPr>
        <w:t>Blood Alcohol Concentration</w:t>
      </w:r>
      <w:r>
        <w:t>) —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E5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E55" w14:textId="77777777" w:rsidR="00C1548D" w:rsidRDefault="009B1B4B">
            <w:pPr>
              <w:keepNext/>
              <w:spacing w:after="70" w:line="240" w:lineRule="auto"/>
            </w:pPr>
            <w:r>
              <w:rPr>
                <w:b/>
                <w:bCs/>
                <w:color w:val="9B2C2C"/>
                <w:spacing w:val="24"/>
                <w:sz w:val="16"/>
                <w:szCs w:val="16"/>
              </w:rPr>
              <w:t>ACHTUNG</w:t>
            </w:r>
          </w:p>
          <w:p w14:paraId="70A4DE56" w14:textId="63C5DE02" w:rsidR="00C1548D" w:rsidRDefault="009B1B4B">
            <w:pPr>
              <w:spacing w:after="80" w:line="264" w:lineRule="auto"/>
            </w:pPr>
            <w:r>
              <w:rPr>
                <w:sz w:val="20"/>
                <w:szCs w:val="20"/>
              </w:rPr>
              <w:t>Ein DUI kann für Nichtbürger zusätzlich Folgen für Visum und Green Card haben, etwa eine Überprüfung oder einen Widerruf. Die Wirkung hängt von Delikt, Ausgang und Status ab und wird in Kapitel </w:t>
            </w:r>
            <w:hyperlink w:anchor="k40" w:history="1">
              <w:r>
                <w:rPr>
                  <w:sz w:val="20"/>
                  <w:szCs w:val="20"/>
                </w:rPr>
                <w:t>40</w:t>
              </w:r>
            </w:hyperlink>
            <w:r>
              <w:rPr>
                <w:sz w:val="20"/>
                <w:szCs w:val="20"/>
              </w:rPr>
              <w:t xml:space="preserve"> eingeordnet. Die sichere Regel: Trink nichts, wenn du fährst, und nimm ein Taxi oder einen Fahrdienst.</w:t>
            </w:r>
          </w:p>
        </w:tc>
      </w:tr>
    </w:tbl>
    <w:p w14:paraId="70A4DE58" w14:textId="77777777" w:rsidR="00C1548D" w:rsidRDefault="00C1548D">
      <w:pPr>
        <w:spacing w:line="220" w:lineRule="exact"/>
      </w:pPr>
    </w:p>
    <w:p w14:paraId="70A4DE59" w14:textId="77777777" w:rsidR="00C1548D" w:rsidRDefault="009B1B4B">
      <w:pPr>
        <w:pStyle w:val="Heading3"/>
        <w:keepNext/>
        <w:jc w:val="center"/>
      </w:pPr>
      <w:r>
        <w:rPr>
          <w:rFonts w:ascii="Amazon Ember" w:eastAsia="Amazon Ember" w:hAnsi="Amazon Ember" w:cs="Amazon Ember"/>
          <w:color w:val="0000FF"/>
          <w:sz w:val="36"/>
          <w:szCs w:val="36"/>
        </w:rPr>
        <w:t>Tanken, Maut und Elektroautos</w:t>
      </w:r>
    </w:p>
    <w:p w14:paraId="70A4DE5A" w14:textId="77777777" w:rsidR="00C1548D" w:rsidRDefault="009B1B4B">
      <w:pPr>
        <w:spacing w:after="140"/>
      </w:pPr>
      <w:r>
        <w:t>Nach der Energiebehörde EIA kostete eine Gallone (</w:t>
      </w:r>
      <w:r>
        <w:rPr>
          <w:i/>
          <w:iCs/>
        </w:rPr>
        <w:t>Gallon</w:t>
      </w:r>
      <w:r>
        <w:t>, ca. 3,8 Liter) Regular am 14. September 2026 im Schnitt 4,32 $, gut 1,14 $ pro Liter. Ein Jahr zuvor waren es 3,17 $. Die Preise unterscheiden sich stark: Golfküste 3,85 $, Ostküste 4,19 $, Westküste 5,47 $, Kalifornien 5,83 $. Der Automobilclub AAA meldete am 19. September im Schnitt 4,48 $. Du tankst meist selbst; manche Zapfsäulen verlangen die US-Postleitzahl der Karte (</w:t>
      </w:r>
      <w:r>
        <w:rPr>
          <w:i/>
          <w:iCs/>
        </w:rPr>
        <w:t>ZIP Code</w:t>
      </w:r>
      <w:r>
        <w:t>) — mit einer deutschen Karte scheitert das, und du stehst ratlos vor dem Kartenleser, bis dir jemand am Nachbarzapfhahn zuruft, dass du drinnen an der Kasse vorab bezahlen musst.</w:t>
      </w:r>
    </w:p>
    <w:p w14:paraId="70A4DE5B" w14:textId="77777777" w:rsidR="00C1548D" w:rsidRDefault="009B1B4B">
      <w:pPr>
        <w:spacing w:after="140"/>
      </w:pPr>
      <w:r>
        <w:t>Mautstraßen (</w:t>
      </w:r>
      <w:r>
        <w:rPr>
          <w:i/>
          <w:iCs/>
        </w:rPr>
        <w:t>Toll Roads</w:t>
      </w:r>
      <w:r>
        <w:t xml:space="preserve">) sind regional: E-ZPass im Nordosten und Mittleren Westen (rund 19 Staaten), SunPass in Florida, TxTag und TollTag in Texas, FasTrak in Kalifornien, Good To Go in Washington. Viele Straßen sind bargeldlos; die Abrechnung über das Kennzeichen </w:t>
      </w:r>
      <w:r>
        <w:lastRenderedPageBreak/>
        <w:t>kostet einen Aufschlag. Mietwagen berechnen eine Transpondergebühr.</w:t>
      </w:r>
    </w:p>
    <w:p w14:paraId="70A4DE5C" w14:textId="77777777" w:rsidR="00C1548D" w:rsidRDefault="009B1B4B">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w14:paraId="70A4DE5D" w14:textId="77777777" w:rsidR="00C1548D" w:rsidRDefault="009B1B4B">
      <w:pPr>
        <w:pStyle w:val="Heading3"/>
        <w:keepNext/>
        <w:jc w:val="center"/>
      </w:pPr>
      <w:r>
        <w:rPr>
          <w:rFonts w:ascii="Amazon Ember" w:eastAsia="Amazon Ember" w:hAnsi="Amazon Ember" w:cs="Amazon Ember"/>
          <w:color w:val="0000FF"/>
          <w:sz w:val="36"/>
          <w:szCs w:val="36"/>
        </w:rPr>
        <w:t>ÖPNV: Brauchst du ein Auto?</w:t>
      </w:r>
    </w:p>
    <w:p w14:paraId="70A4DE5E" w14:textId="37C57405" w:rsidR="00C1548D" w:rsidRDefault="009B1B4B">
      <w:pPr>
        <w:spacing w:after="140"/>
      </w:pPr>
      <w:r>
        <w:t>Ob du ein Auto brauchst, entscheidet die Stadt und mehr noch das Viertel. Prüfe den Nahverkehr, bevor du eine Wohnung mietest (Kapitel </w:t>
      </w:r>
      <w:hyperlink w:anchor="k12" w:history="1">
        <w:r>
          <w:t>12</w:t>
        </w:r>
      </w:hyperlink>
      <w:r>
        <w:t xml:space="preserve"> und </w:t>
      </w:r>
      <w:hyperlink w:anchor="k13" w:history="1">
        <w:r>
          <w:t>13</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5"/>
        <w:gridCol w:w="2748"/>
        <w:gridCol w:w="2747"/>
      </w:tblGrid>
      <w:tr w:rsidR="00C1548D" w14:paraId="70A4DE62" w14:textId="77777777">
        <w:tblPrEx>
          <w:tblCellMar>
            <w:top w:w="0" w:type="dxa"/>
            <w:bottom w:w="0" w:type="dxa"/>
          </w:tblCellMar>
        </w:tblPrEx>
        <w:trPr>
          <w:cantSplit/>
          <w:tblHeader/>
        </w:trPr>
        <w:tc>
          <w:tcPr>
            <w:tcW w:w="9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5F" w14:textId="77777777" w:rsidR="00C1548D" w:rsidRDefault="009B1B4B">
            <w:pPr>
              <w:spacing w:line="250" w:lineRule="auto"/>
            </w:pPr>
            <w:r>
              <w:rPr>
                <w:b/>
                <w:bCs/>
                <w:sz w:val="18"/>
                <w:szCs w:val="18"/>
              </w:rPr>
              <w:t>Kategorie</w:t>
            </w:r>
          </w:p>
        </w:tc>
        <w:tc>
          <w:tcPr>
            <w:tcW w:w="274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60" w14:textId="77777777" w:rsidR="00C1548D" w:rsidRDefault="009B1B4B">
            <w:pPr>
              <w:spacing w:line="250" w:lineRule="auto"/>
            </w:pPr>
            <w:r>
              <w:rPr>
                <w:b/>
                <w:bCs/>
                <w:sz w:val="18"/>
                <w:szCs w:val="18"/>
              </w:rPr>
              <w:t>Beispiele</w:t>
            </w:r>
          </w:p>
        </w:tc>
        <w:tc>
          <w:tcPr>
            <w:tcW w:w="274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61" w14:textId="77777777" w:rsidR="00C1548D" w:rsidRDefault="009B1B4B">
            <w:pPr>
              <w:spacing w:line="250" w:lineRule="auto"/>
            </w:pPr>
            <w:r>
              <w:rPr>
                <w:b/>
                <w:bCs/>
                <w:sz w:val="18"/>
                <w:szCs w:val="18"/>
              </w:rPr>
              <w:t>Alltag</w:t>
            </w:r>
          </w:p>
        </w:tc>
      </w:tr>
      <w:tr w:rsidR="00C1548D" w14:paraId="70A4DE66" w14:textId="77777777">
        <w:tblPrEx>
          <w:tblCellMar>
            <w:top w:w="0" w:type="dxa"/>
            <w:bottom w:w="0" w:type="dxa"/>
          </w:tblCellMar>
        </w:tblPrEx>
        <w:trPr>
          <w:cantSplit/>
        </w:trPr>
        <w:tc>
          <w:tcPr>
            <w:tcW w:w="9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63" w14:textId="77777777" w:rsidR="00C1548D" w:rsidRDefault="009B1B4B">
            <w:pPr>
              <w:spacing w:line="250" w:lineRule="auto"/>
            </w:pPr>
            <w:r>
              <w:rPr>
                <w:sz w:val="18"/>
                <w:szCs w:val="18"/>
              </w:rPr>
              <w:t>Autofrei realistisch</w:t>
            </w:r>
          </w:p>
        </w:tc>
        <w:tc>
          <w:tcPr>
            <w:tcW w:w="27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64" w14:textId="77777777" w:rsidR="00C1548D" w:rsidRDefault="009B1B4B">
            <w:pPr>
              <w:spacing w:line="250" w:lineRule="auto"/>
            </w:pPr>
            <w:r>
              <w:rPr>
                <w:sz w:val="18"/>
                <w:szCs w:val="18"/>
              </w:rPr>
              <w:t>New York (U-Bahn rund um die Uhr), Boston, Washington, Chicago, Bay Area, Philadelphia, Seattle, Portland</w:t>
            </w:r>
          </w:p>
        </w:tc>
        <w:tc>
          <w:tcPr>
            <w:tcW w:w="27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65" w14:textId="77777777" w:rsidR="00C1548D" w:rsidRDefault="009B1B4B">
            <w:pPr>
              <w:spacing w:line="250" w:lineRule="auto"/>
            </w:pPr>
            <w:r>
              <w:rPr>
                <w:sz w:val="18"/>
                <w:szCs w:val="18"/>
              </w:rPr>
              <w:t>Kernstadt ohne Auto möglich; für Ausflüge Mietwagen oder Carsharing</w:t>
            </w:r>
          </w:p>
        </w:tc>
      </w:tr>
      <w:tr w:rsidR="00C1548D" w14:paraId="70A4DE6A" w14:textId="77777777">
        <w:tblPrEx>
          <w:tblCellMar>
            <w:top w:w="0" w:type="dxa"/>
            <w:bottom w:w="0" w:type="dxa"/>
          </w:tblCellMar>
        </w:tblPrEx>
        <w:trPr>
          <w:cantSplit/>
        </w:trPr>
        <w:tc>
          <w:tcPr>
            <w:tcW w:w="9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67" w14:textId="77777777" w:rsidR="00C1548D" w:rsidRDefault="009B1B4B">
            <w:pPr>
              <w:spacing w:line="250" w:lineRule="auto"/>
            </w:pPr>
            <w:r>
              <w:rPr>
                <w:sz w:val="18"/>
                <w:szCs w:val="18"/>
              </w:rPr>
              <w:t>Auto meist nötig</w:t>
            </w:r>
          </w:p>
        </w:tc>
        <w:tc>
          <w:tcPr>
            <w:tcW w:w="27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68" w14:textId="77777777" w:rsidR="00C1548D" w:rsidRDefault="009B1B4B">
            <w:pPr>
              <w:spacing w:line="250" w:lineRule="auto"/>
            </w:pPr>
            <w:r>
              <w:rPr>
                <w:sz w:val="18"/>
                <w:szCs w:val="18"/>
              </w:rPr>
              <w:t>Texas, Sun-Belt-Metropolen wie Phoenix und Atlanta, die meisten Vorstädte</w:t>
            </w:r>
          </w:p>
        </w:tc>
        <w:tc>
          <w:tcPr>
            <w:tcW w:w="27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69" w14:textId="77777777" w:rsidR="00C1548D" w:rsidRDefault="009B1B4B">
            <w:pPr>
              <w:spacing w:line="250" w:lineRule="auto"/>
            </w:pPr>
            <w:r>
              <w:rPr>
                <w:sz w:val="18"/>
                <w:szCs w:val="18"/>
              </w:rPr>
              <w:t>Arbeit, Schule und Einkauf nur mit Auto</w:t>
            </w:r>
          </w:p>
        </w:tc>
      </w:tr>
    </w:tbl>
    <w:p w14:paraId="70A4DE6B" w14:textId="77777777" w:rsidR="00C1548D" w:rsidRDefault="00C1548D">
      <w:pPr>
        <w:spacing w:line="180" w:lineRule="exact"/>
      </w:pPr>
    </w:p>
    <w:p w14:paraId="70A4DE6C" w14:textId="77777777" w:rsidR="00C1548D" w:rsidRDefault="009B1B4B">
      <w:pPr>
        <w:spacing w:after="140"/>
      </w:pPr>
      <w:r>
        <w:t>Auch ohne Auto lohnt sich die Lizenz oder die staatliche ID-Card, denn im Alltag ist sie der Standardausweis.</w:t>
      </w:r>
    </w:p>
    <w:p w14:paraId="70A4DE6D" w14:textId="77777777" w:rsidR="00C1548D" w:rsidRDefault="009B1B4B">
      <w:pPr>
        <w:pStyle w:val="Heading3"/>
        <w:keepNext/>
        <w:jc w:val="center"/>
      </w:pPr>
      <w:r>
        <w:rPr>
          <w:rFonts w:ascii="Amazon Ember" w:eastAsia="Amazon Ember" w:hAnsi="Amazon Ember" w:cs="Amazon Ember"/>
          <w:color w:val="0000FF"/>
          <w:sz w:val="36"/>
          <w:szCs w:val="36"/>
        </w:rPr>
        <w:t>Auto aus Deutschland mitbringen: Lohnt fast nie</w:t>
      </w:r>
    </w:p>
    <w:p w14:paraId="70A4DE6E" w14:textId="77777777" w:rsidR="00C1548D" w:rsidRDefault="009B1B4B">
      <w:pPr>
        <w:spacing w:after="140"/>
      </w:pPr>
      <w:r>
        <w:t xml:space="preserve">Für die Einfuhr brauchst du die Formulare </w:t>
      </w:r>
      <w:r>
        <w:rPr>
          <w:i/>
          <w:iCs/>
        </w:rPr>
        <w:t>EPA 3520-1</w:t>
      </w:r>
      <w:r>
        <w:t xml:space="preserve"> (Abgas) und </w:t>
      </w:r>
      <w:r>
        <w:rPr>
          <w:i/>
          <w:iCs/>
        </w:rPr>
        <w:t>DOT HS-7</w:t>
      </w:r>
      <w:r>
        <w:t xml:space="preserve"> (Sicherheit); auf Pkw fallen 2,5 % Zoll an (auf Trucks 25 %). Erfüllt das Fahrzeug die US-Normen nicht, und das gilt für viele europäische Modelle, geht es nur über zugelassene Umrüster (</w:t>
      </w:r>
      <w:r>
        <w:rPr>
          <w:i/>
          <w:iCs/>
        </w:rPr>
        <w:t>Independent Commercial Importer</w:t>
      </w:r>
      <w:r>
        <w:t xml:space="preserve"> für die EPA, </w:t>
      </w:r>
      <w:r>
        <w:rPr>
          <w:i/>
          <w:iCs/>
        </w:rPr>
        <w:t>Registered Importer</w:t>
      </w:r>
      <w:r>
        <w:t xml:space="preserve"> für die DOT), mit Bond und Umbaukosten. Ausnahmen gibt es für die </w:t>
      </w:r>
      <w:r>
        <w:lastRenderedPageBreak/>
        <w:t>DOT ab 25 Jahren (Stand September 2026: Baujahr bis 09/2001) und für die EPA ab 21 Jahren.</w:t>
      </w:r>
    </w:p>
    <w:p w14:paraId="70A4DE6F" w14:textId="686A16C1" w:rsidR="00C1548D" w:rsidRDefault="009B1B4B">
      <w:pPr>
        <w:spacing w:after="140"/>
      </w:pPr>
      <w:r>
        <w:t>Dazu kommen 1.300–3.000 € für die Verschiffung (siehe Kapitel </w:t>
      </w:r>
      <w:hyperlink w:anchor="k20" w:history="1">
        <w:r>
          <w:t>20</w:t>
        </w:r>
      </w:hyperlink>
      <w: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history="1">
        <w:r>
          <w:t>16</w:t>
        </w:r>
      </w:hyperlink>
      <w:r>
        <w:t>), in den USA kaufst du vor Ort.</w:t>
      </w:r>
    </w:p>
    <w:p w14:paraId="70A4DE70" w14:textId="77777777" w:rsidR="00C1548D" w:rsidRDefault="009B1B4B">
      <w:pPr>
        <w:pStyle w:val="Heading3"/>
        <w:keepNext/>
        <w:jc w:val="center"/>
      </w:pPr>
      <w:r>
        <w:rPr>
          <w:rFonts w:ascii="Amazon Ember" w:eastAsia="Amazon Ember" w:hAnsi="Amazon Ember" w:cs="Amazon Ember"/>
          <w:color w:val="0000FF"/>
          <w:sz w:val="36"/>
          <w:szCs w:val="36"/>
        </w:rPr>
        <w:t>Andere Lizenzen: Angeln, Jagen, Amateurfunk</w:t>
      </w:r>
    </w:p>
    <w:p w14:paraId="70A4DE71" w14:textId="77777777" w:rsidR="00C1548D" w:rsidRDefault="009B1B4B">
      <w:pPr>
        <w:spacing w:after="140"/>
      </w:pPr>
      <w:r>
        <w:t>Auch abseits vom Auto gilt: Fast jede Freizeit-Lizenz regelt der Bundesstaat, nicht Washington, und die Logik ist oft das Gegenteil der deutschen.</w:t>
      </w:r>
    </w:p>
    <w:p w14:paraId="70A4DE72" w14:textId="77777777" w:rsidR="00C1548D" w:rsidRDefault="009B1B4B">
      <w:pPr>
        <w:spacing w:after="140"/>
      </w:pPr>
      <w:r>
        <w:rPr>
          <w:b/>
          <w:bCs/>
        </w:rPr>
        <w:t>Angeln.</w:t>
      </w:r>
      <w:r>
        <w:t xml:space="preserve"> Eine Prüfung wie den deutschen Fischereischein gibt es praktisch nirgends. Die </w:t>
      </w:r>
      <w:r>
        <w:rPr>
          <w:i/>
          <w:iCs/>
        </w:rPr>
        <w:t>Fishing License</w:t>
      </w:r>
      <w:r>
        <w:t xml:space="preserve"> ist eine reine Gebühren-Sache – Alter und Wohnsitz angeben, online oder beim </w:t>
      </w:r>
      <w:r>
        <w:rPr>
          <w:i/>
          <w:iCs/>
        </w:rPr>
        <w:t>Department of Fish and Wildlife</w:t>
      </w:r>
      <w:r>
        <w:t xml:space="preserve"> des Staates bezahlen, oft für einen einzelnen Tag, eine Woche oder ein Jahr, fertig.</w:t>
      </w:r>
    </w:p>
    <w:p w14:paraId="70A4DE73" w14:textId="77777777" w:rsidR="00C1548D" w:rsidRDefault="009B1B4B">
      <w:pPr>
        <w:spacing w:after="140"/>
      </w:pPr>
      <w:r>
        <w:rPr>
          <w:b/>
          <w:bCs/>
        </w:rPr>
        <w:t>Jagen.</w:t>
      </w:r>
      <w:r>
        <w:t xml:space="preserve"> Hier ist es umgekehrt strenger: Fast jeder Staat verlangt vor der ersten Jagdlizenz einen </w:t>
      </w:r>
      <w:r>
        <w:rPr>
          <w:i/>
          <w:iCs/>
        </w:rPr>
        <w:t>Hunter Education</w:t>
      </w:r>
      <w:r>
        <w:t>-Kurs mit Prüfung, Sicherheit und Ethik. Der deutsche Jagdschein zählt nicht automatisch; ob eine ausländische Ausbildung den Kurs ersetzt, legt jeder Staat für sich fest – frag vor der Anmeldung direkt bei der Wildtierbehörde (</w:t>
      </w:r>
      <w:r>
        <w:rPr>
          <w:i/>
          <w:iCs/>
        </w:rPr>
        <w:t>Fish and Wildlife Agency</w:t>
      </w:r>
      <w:r>
        <w:t>) des Zielstaats nach, nicht erst am Schalter.</w:t>
      </w:r>
    </w:p>
    <w:p w14:paraId="70A4DE74" w14:textId="77777777" w:rsidR="00C1548D" w:rsidRDefault="009B1B4B">
      <w:pPr>
        <w:spacing w:after="140"/>
      </w:pPr>
      <w:r>
        <w:rPr>
          <w:b/>
          <w:bCs/>
        </w:rPr>
        <w:t>Amateurfunk.</w:t>
      </w:r>
      <w:r>
        <w:t xml:space="preserve"> Die deutsche Amateurfunkgenehmigung der Bundesnetzagentur gilt für Einwohner nicht weiter; das CEPT-Abkommen hilft nur kurzen touristischen Aufenthalten. Wer </w:t>
      </w:r>
      <w:r>
        <w:lastRenderedPageBreak/>
        <w:t xml:space="preserve">dauerhaft senden will, braucht eine eigene, von der FCC ausgestellte Lizenz. Die Prüfung (Klassen von </w:t>
      </w:r>
      <w:r>
        <w:rPr>
          <w:i/>
          <w:iCs/>
        </w:rPr>
        <w:t>Technician</w:t>
      </w:r>
      <w:r>
        <w:t xml:space="preserve"> bis </w:t>
      </w:r>
      <w:r>
        <w:rPr>
          <w:i/>
          <w:iCs/>
        </w:rPr>
        <w:t>Extra</w:t>
      </w:r>
      <w:r>
        <w:t xml:space="preserve">) läuft ohne Morsecode als Multiple-Choice-Test, Vorbereitungsfragen gibt es online, und lokale </w:t>
      </w:r>
      <w:r>
        <w:rPr>
          <w:i/>
          <w:iCs/>
        </w:rPr>
        <w:t>Volunteer Examiner</w:t>
      </w:r>
      <w:r>
        <w:t>-Teams nehmen sie ab.</w:t>
      </w:r>
    </w:p>
    <w:p w14:paraId="70A4DE75"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E78"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76"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77" w14:textId="77777777" w:rsidR="00C1548D" w:rsidRDefault="009B1B4B">
            <w:pPr>
              <w:spacing w:line="250" w:lineRule="auto"/>
            </w:pPr>
            <w:r>
              <w:rPr>
                <w:b/>
                <w:bCs/>
                <w:sz w:val="18"/>
                <w:szCs w:val="18"/>
              </w:rPr>
              <w:t>Minus</w:t>
            </w:r>
          </w:p>
        </w:tc>
      </w:tr>
      <w:tr w:rsidR="00C1548D" w14:paraId="70A4DE7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79" w14:textId="77777777" w:rsidR="00C1548D" w:rsidRDefault="009B1B4B">
            <w:pPr>
              <w:spacing w:line="250" w:lineRule="auto"/>
            </w:pPr>
            <w:r>
              <w:rPr>
                <w:sz w:val="18"/>
                <w:szCs w:val="18"/>
              </w:rPr>
              <w:t>In vielen Staaten tauschst du den deutschen Führerschein ohne Prüfung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7A" w14:textId="77777777" w:rsidR="00C1548D" w:rsidRDefault="009B1B4B">
            <w:pPr>
              <w:spacing w:line="250" w:lineRule="auto"/>
            </w:pPr>
            <w:r>
              <w:rPr>
                <w:sz w:val="18"/>
                <w:szCs w:val="18"/>
              </w:rPr>
              <w:t>In Kalifornien und New York musst du Wissens- und Fahrprüfung ablegen</w:t>
            </w:r>
          </w:p>
        </w:tc>
      </w:tr>
      <w:tr w:rsidR="00C1548D" w14:paraId="70A4DE7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7C" w14:textId="77777777" w:rsidR="00C1548D" w:rsidRDefault="009B1B4B">
            <w:pPr>
              <w:spacing w:line="250" w:lineRule="auto"/>
            </w:pPr>
            <w:r>
              <w:rPr>
                <w:sz w:val="18"/>
                <w:szCs w:val="18"/>
              </w:rPr>
              <w:t>Automatik, breite Straßen und große Parkplätze machen das Fahren entspannt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7D" w14:textId="77777777" w:rsidR="00C1548D" w:rsidRDefault="009B1B4B">
            <w:pPr>
              <w:spacing w:line="250" w:lineRule="auto"/>
            </w:pPr>
            <w:r>
              <w:rPr>
                <w:sz w:val="18"/>
                <w:szCs w:val="18"/>
              </w:rPr>
              <w:t>Außerhalb der Großstädte kommst du ohne Auto kaum durch den Alltag</w:t>
            </w:r>
          </w:p>
        </w:tc>
      </w:tr>
      <w:tr w:rsidR="00C1548D" w14:paraId="70A4DE8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7F" w14:textId="77777777" w:rsidR="00C1548D" w:rsidRDefault="009B1B4B">
            <w:pPr>
              <w:spacing w:line="250" w:lineRule="auto"/>
            </w:pPr>
            <w:r>
              <w:rPr>
                <w:sz w:val="18"/>
                <w:szCs w:val="18"/>
              </w:rPr>
              <w:t>Fahrzeughistorie und Marktpreise lassen sich online prüfen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80" w14:textId="77777777" w:rsidR="00C1548D" w:rsidRDefault="009B1B4B">
            <w:pPr>
              <w:spacing w:line="250" w:lineRule="auto"/>
            </w:pPr>
            <w:r>
              <w:rPr>
                <w:sz w:val="18"/>
                <w:szCs w:val="18"/>
              </w:rPr>
              <w:t>Neuwagen im Schnitt über 50.000 $, ohne Kredithistorie hohe Zinsen</w:t>
            </w:r>
          </w:p>
        </w:tc>
      </w:tr>
      <w:tr w:rsidR="00C1548D" w14:paraId="70A4DE8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82" w14:textId="77777777" w:rsidR="00C1548D" w:rsidRDefault="009B1B4B">
            <w:pPr>
              <w:spacing w:line="250" w:lineRule="auto"/>
            </w:pPr>
            <w:r>
              <w:rPr>
                <w:sz w:val="18"/>
                <w:szCs w:val="18"/>
              </w:rPr>
              <w:t>Großstädte mit gutem Nahverkehr erlauben ein autofreies Leben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83" w14:textId="77777777" w:rsidR="00C1548D" w:rsidRDefault="009B1B4B">
            <w:pPr>
              <w:spacing w:line="250" w:lineRule="auto"/>
            </w:pPr>
            <w:r>
              <w:rPr>
                <w:sz w:val="18"/>
                <w:szCs w:val="18"/>
              </w:rPr>
              <w:t>Full Coverage im Schnitt 2.241–2.922 $ im Jahr, Tendenz steigend</w:t>
            </w:r>
          </w:p>
        </w:tc>
      </w:tr>
      <w:tr w:rsidR="00C1548D" w14:paraId="70A4DE8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85" w14:textId="77777777" w:rsidR="00C1548D" w:rsidRDefault="009B1B4B">
            <w:pPr>
              <w:spacing w:line="250" w:lineRule="auto"/>
            </w:pPr>
            <w:r>
              <w:rPr>
                <w:sz w:val="18"/>
                <w:szCs w:val="18"/>
              </w:rPr>
              <w:t>Lizenz oder ID-Card dient als Standardausweis im Alltag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86" w14:textId="77777777" w:rsidR="00C1548D" w:rsidRDefault="009B1B4B">
            <w:pPr>
              <w:spacing w:line="250" w:lineRule="auto"/>
            </w:pPr>
            <w:r>
              <w:rPr>
                <w:sz w:val="18"/>
                <w:szCs w:val="18"/>
              </w:rPr>
              <w:t>Deutsche SF-Klasse zählt meist nicht, der Credit Score wirkt auf den Preis</w:t>
            </w:r>
          </w:p>
        </w:tc>
      </w:tr>
      <w:tr w:rsidR="00C1548D" w14:paraId="70A4DE8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88" w14:textId="77777777" w:rsidR="00C1548D" w:rsidRDefault="009B1B4B">
            <w:pPr>
              <w:spacing w:line="250" w:lineRule="auto"/>
            </w:pPr>
            <w:r>
              <w:rPr>
                <w:sz w:val="18"/>
                <w:szCs w:val="18"/>
              </w:rPr>
              <w:t>Maut fällt vor allem regional an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89" w14:textId="77777777" w:rsidR="00C1548D" w:rsidRDefault="009B1B4B">
            <w:pPr>
              <w:spacing w:line="250" w:lineRule="auto"/>
            </w:pPr>
            <w:r>
              <w:rPr>
                <w:sz w:val="18"/>
                <w:szCs w:val="18"/>
              </w:rPr>
              <w:t>Alkohol am Steuer: Grenze 0,08 % BAC, harte Folgen bis zum Statusrisiko</w:t>
            </w:r>
          </w:p>
        </w:tc>
      </w:tr>
    </w:tbl>
    <w:p w14:paraId="70A4DE8B" w14:textId="77777777" w:rsidR="00C1548D" w:rsidRDefault="00C1548D">
      <w:pPr>
        <w:spacing w:line="180" w:lineRule="exact"/>
      </w:pPr>
    </w:p>
    <w:p w14:paraId="70A4DE8C"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DE8D" w14:textId="77777777" w:rsidR="00C1548D" w:rsidRDefault="009B1B4B" w:rsidP="009B1B4B">
      <w:pPr>
        <w:pStyle w:val="ListParagraph"/>
        <w:numPr>
          <w:ilvl w:val="0"/>
          <w:numId w:val="30"/>
        </w:numPr>
        <w:spacing w:after="60"/>
      </w:pPr>
      <w:r>
        <w:t>Vor dem Abflug: Regel deines Staates prüfen, IDP beantragen, SF-Klassen-Bescheinigung anfordern.</w:t>
      </w:r>
    </w:p>
    <w:p w14:paraId="70A4DE8E" w14:textId="688926BE" w:rsidR="00C1548D" w:rsidRDefault="009B1B4B" w:rsidP="009B1B4B">
      <w:pPr>
        <w:pStyle w:val="ListParagraph"/>
        <w:numPr>
          <w:ilvl w:val="0"/>
          <w:numId w:val="30"/>
        </w:numPr>
        <w:spacing w:after="60"/>
      </w:pPr>
      <w:r>
        <w:t>In der ersten Woche: SSN beantragen (Kapitel </w:t>
      </w:r>
      <w:hyperlink w:anchor="k24" w:history="1">
        <w:r>
          <w:t>24</w:t>
        </w:r>
      </w:hyperlink>
      <w:r>
        <w:t>) und DMV-Termin buchen.</w:t>
      </w:r>
    </w:p>
    <w:p w14:paraId="70A4DE8F" w14:textId="77777777" w:rsidR="00C1548D" w:rsidRDefault="009B1B4B" w:rsidP="009B1B4B">
      <w:pPr>
        <w:pStyle w:val="ListParagraph"/>
        <w:numPr>
          <w:ilvl w:val="0"/>
          <w:numId w:val="30"/>
        </w:numPr>
        <w:spacing w:after="60"/>
      </w:pPr>
      <w:r>
        <w:t>Vor dem Autokauf: Konto bei einer Kreditunion eröffnen, Versicherungsangebote vergleichen und den Out-the-Door-Preis schriftlich verlangen.</w:t>
      </w:r>
    </w:p>
    <w:p w14:paraId="70A4DE90"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E9E"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DE91" w14:textId="77777777" w:rsidR="00C1548D" w:rsidRDefault="009B1B4B">
            <w:pPr>
              <w:keepNext/>
              <w:spacing w:after="70" w:line="240" w:lineRule="auto"/>
            </w:pPr>
            <w:r>
              <w:rPr>
                <w:b/>
                <w:bCs/>
                <w:color w:val="1F6F78"/>
                <w:spacing w:val="24"/>
                <w:sz w:val="16"/>
                <w:szCs w:val="16"/>
              </w:rPr>
              <w:lastRenderedPageBreak/>
              <w:t>CHECKLISTE</w:t>
            </w:r>
          </w:p>
          <w:p w14:paraId="70A4DE9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Frist und Prüfungspflicht deines Bundesstaates auf der DMV-Seite geprüft</w:t>
            </w:r>
          </w:p>
          <w:p w14:paraId="70A4DE9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Internationalen Führerschein vor der Abmeldung in Deutschland beantragt</w:t>
            </w:r>
          </w:p>
          <w:p w14:paraId="70A4DE9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Deutschen Führerschein (noch mindestens 60 Tage gültig) und Kopien bereit</w:t>
            </w:r>
          </w:p>
          <w:p w14:paraId="70A4DE9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Falls verlangt: KBA-Auskünfte (FAER, ZFER, höchstens vier Wochen alt) und Konsulatsbescheinigung geklärt</w:t>
            </w:r>
          </w:p>
          <w:p w14:paraId="70A4DE9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Englische Bescheinigung der schadenfreien Jahre vom deutschen Kfz-Versicherer angefordert</w:t>
            </w:r>
          </w:p>
          <w:p w14:paraId="70A4DE9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DMV-Termin gebucht, Unterlagen zusammengestellt (Pass, Visum oder I-94, Wohnsitznachweise, SSN)</w:t>
            </w:r>
          </w:p>
          <w:p w14:paraId="70A4DE9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REAL-ID-konforme Karte beantragt oder Reisepass für Inlandsflüge eingeplant</w:t>
            </w:r>
          </w:p>
          <w:p w14:paraId="70A4DE9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Mindestens drei Versicherungsangebote mit identischer Deckung eingeholt</w:t>
            </w:r>
          </w:p>
          <w:p w14:paraId="70A4DE9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Finanzierung per Vorabgenehmigung bei einer Kreditunion geklärt</w:t>
            </w:r>
          </w:p>
          <w:p w14:paraId="70A4DE9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Zulassungsfrist (10–30 Tage je Staat) notiert</w:t>
            </w:r>
          </w:p>
          <w:p w14:paraId="70A4DE9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Nahverkehrsanbindung vor der Wohnungswahl geprüft</w:t>
            </w:r>
          </w:p>
          <w:p w14:paraId="70A4DE9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Bedarf: Angel-, Jagd- oder Amateurfunklizenz bei der zuständigen Bundesstaats- bzw. FCC-Stelle erfragt</w:t>
            </w:r>
          </w:p>
        </w:tc>
      </w:tr>
    </w:tbl>
    <w:p w14:paraId="70A4DE9F" w14:textId="77777777" w:rsidR="00C1548D" w:rsidRDefault="00C1548D">
      <w:pPr>
        <w:spacing w:line="220" w:lineRule="exact"/>
      </w:pPr>
    </w:p>
    <w:p w14:paraId="70A4DEA0"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DEA1" w14:textId="4FC52EA6" w:rsidR="00C1548D" w:rsidRDefault="009B1B4B" w:rsidP="009B1B4B">
      <w:pPr>
        <w:pStyle w:val="ListParagraph"/>
        <w:numPr>
          <w:ilvl w:val="0"/>
          <w:numId w:val="1"/>
        </w:numPr>
        <w:spacing w:after="60"/>
      </w:pPr>
      <w:r>
        <w:t>Generalkonsulate und Auswärtiges Amt — Führerschein in den USA (</w:t>
      </w:r>
      <w:hyperlink r:id="rId225" w:history="1">
        <w:r>
          <w:rPr>
            <w:color w:val="0563C1"/>
            <w:u w:val="single"/>
          </w:rPr>
          <w:t>germany.info/us-de</w:t>
        </w:r>
      </w:hyperlink>
      <w:r>
        <w:t>)</w:t>
      </w:r>
    </w:p>
    <w:p w14:paraId="70A4DEA2" w14:textId="581FCE3C" w:rsidR="00C1548D" w:rsidRDefault="009B1B4B" w:rsidP="009B1B4B">
      <w:pPr>
        <w:pStyle w:val="ListParagraph"/>
        <w:numPr>
          <w:ilvl w:val="0"/>
          <w:numId w:val="1"/>
        </w:numPr>
        <w:spacing w:after="60"/>
      </w:pPr>
      <w:r>
        <w:t>Führerscheinbehörden der Staaten — Regeln für ausländische Lizenzen (</w:t>
      </w:r>
      <w:hyperlink r:id="rId226" w:history="1">
        <w:r>
          <w:rPr>
            <w:color w:val="0563C1"/>
            <w:u w:val="single"/>
          </w:rPr>
          <w:t>dmv.ca.gov</w:t>
        </w:r>
      </w:hyperlink>
      <w:r>
        <w:t xml:space="preserve">, </w:t>
      </w:r>
      <w:hyperlink r:id="rId227" w:history="1">
        <w:r>
          <w:rPr>
            <w:color w:val="0563C1"/>
            <w:u w:val="single"/>
          </w:rPr>
          <w:t>dmv.ny.gov</w:t>
        </w:r>
      </w:hyperlink>
      <w:r>
        <w:t xml:space="preserve">, </w:t>
      </w:r>
      <w:hyperlink r:id="rId228" w:history="1">
        <w:r>
          <w:rPr>
            <w:color w:val="0563C1"/>
            <w:u w:val="single"/>
          </w:rPr>
          <w:t>dps.texas.gov</w:t>
        </w:r>
      </w:hyperlink>
      <w:r>
        <w:t xml:space="preserve">, </w:t>
      </w:r>
      <w:hyperlink r:id="rId229" w:history="1">
        <w:r>
          <w:rPr>
            <w:color w:val="0563C1"/>
            <w:u w:val="single"/>
          </w:rPr>
          <w:t>dol.wa.gov</w:t>
        </w:r>
      </w:hyperlink>
      <w:r>
        <w:t xml:space="preserve">, </w:t>
      </w:r>
      <w:hyperlink r:id="rId230" w:history="1">
        <w:r>
          <w:rPr>
            <w:color w:val="0563C1"/>
            <w:u w:val="single"/>
          </w:rPr>
          <w:t>dmv.colorado.gov</w:t>
        </w:r>
      </w:hyperlink>
      <w:r>
        <w:t>)</w:t>
      </w:r>
    </w:p>
    <w:p w14:paraId="70A4DEA3" w14:textId="027623D8" w:rsidR="00C1548D" w:rsidRDefault="009B1B4B" w:rsidP="009B1B4B">
      <w:pPr>
        <w:pStyle w:val="ListParagraph"/>
        <w:numPr>
          <w:ilvl w:val="0"/>
          <w:numId w:val="1"/>
        </w:numPr>
        <w:spacing w:after="60"/>
      </w:pPr>
      <w:r>
        <w:t xml:space="preserve">Weitere Staaten — </w:t>
      </w:r>
      <w:hyperlink r:id="rId231" w:history="1">
        <w:r>
          <w:rPr>
            <w:color w:val="0563C1"/>
            <w:u w:val="single"/>
          </w:rPr>
          <w:t>ncdot.gov/dmv</w:t>
        </w:r>
      </w:hyperlink>
      <w:r>
        <w:t xml:space="preserve">, </w:t>
      </w:r>
      <w:hyperlink r:id="rId232" w:history="1">
        <w:r>
          <w:rPr>
            <w:color w:val="0563C1"/>
            <w:u w:val="single"/>
          </w:rPr>
          <w:t>flhsmv.gov</w:t>
        </w:r>
      </w:hyperlink>
      <w:r>
        <w:t xml:space="preserve">, </w:t>
      </w:r>
      <w:hyperlink r:id="rId233" w:history="1">
        <w:r>
          <w:rPr>
            <w:color w:val="0563C1"/>
            <w:u w:val="single"/>
          </w:rPr>
          <w:t>oregon.gov/odot/dmv</w:t>
        </w:r>
      </w:hyperlink>
      <w:r>
        <w:t xml:space="preserve">, </w:t>
      </w:r>
      <w:hyperlink r:id="rId234" w:history="1">
        <w:r>
          <w:rPr>
            <w:color w:val="0563C1"/>
            <w:u w:val="single"/>
          </w:rPr>
          <w:t>dld.utah.gov</w:t>
        </w:r>
      </w:hyperlink>
    </w:p>
    <w:p w14:paraId="70A4DEA4" w14:textId="6CB1F47A" w:rsidR="00C1548D" w:rsidRDefault="009B1B4B" w:rsidP="009B1B4B">
      <w:pPr>
        <w:pStyle w:val="ListParagraph"/>
        <w:numPr>
          <w:ilvl w:val="0"/>
          <w:numId w:val="1"/>
        </w:numPr>
        <w:spacing w:after="60"/>
      </w:pPr>
      <w:r>
        <w:lastRenderedPageBreak/>
        <w:t>Flughafensicherheit TSA — REAL ID und ConfirmID (</w:t>
      </w:r>
      <w:hyperlink r:id="rId235" w:history="1">
        <w:r>
          <w:rPr>
            <w:color w:val="0563C1"/>
            <w:u w:val="single"/>
          </w:rPr>
          <w:t>tsa.gov/real-id</w:t>
        </w:r>
      </w:hyperlink>
      <w:r>
        <w:t>)</w:t>
      </w:r>
    </w:p>
    <w:p w14:paraId="70A4DEA5" w14:textId="5CBFE0CC" w:rsidR="00C1548D" w:rsidRDefault="009B1B4B" w:rsidP="009B1B4B">
      <w:pPr>
        <w:pStyle w:val="ListParagraph"/>
        <w:numPr>
          <w:ilvl w:val="0"/>
          <w:numId w:val="1"/>
        </w:numPr>
        <w:spacing w:after="60"/>
      </w:pPr>
      <w:r>
        <w:t>Zoll- und Grenzschutzbehörde CBP — Fahrzeuge einführen (</w:t>
      </w:r>
      <w:hyperlink r:id="rId236" w:history="1">
        <w:r>
          <w:rPr>
            <w:color w:val="0563C1"/>
            <w:u w:val="single"/>
          </w:rPr>
          <w:t>cbp.gov/trade/basic-import-export/importing-car</w:t>
        </w:r>
      </w:hyperlink>
      <w:r>
        <w:t>)</w:t>
      </w:r>
    </w:p>
    <w:p w14:paraId="70A4DEA6" w14:textId="070B3004" w:rsidR="00C1548D" w:rsidRDefault="009B1B4B" w:rsidP="009B1B4B">
      <w:pPr>
        <w:pStyle w:val="ListParagraph"/>
        <w:numPr>
          <w:ilvl w:val="0"/>
          <w:numId w:val="1"/>
        </w:numPr>
        <w:spacing w:after="60"/>
      </w:pPr>
      <w:r>
        <w:t>Energiebehörde EIA — Benzinpreise (</w:t>
      </w:r>
      <w:hyperlink r:id="rId237" w:history="1">
        <w:r>
          <w:rPr>
            <w:color w:val="0563C1"/>
            <w:u w:val="single"/>
          </w:rPr>
          <w:t>eia.gov/petroleum/gasdiesel</w:t>
        </w:r>
      </w:hyperlink>
      <w:r>
        <w:t>)</w:t>
      </w:r>
    </w:p>
    <w:p w14:paraId="70A4DEA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EA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EA8" w14:textId="77777777" w:rsidR="00C1548D" w:rsidRDefault="009B1B4B">
            <w:pPr>
              <w:keepNext/>
              <w:spacing w:after="70" w:line="240" w:lineRule="auto"/>
            </w:pPr>
            <w:r>
              <w:rPr>
                <w:b/>
                <w:bCs/>
                <w:color w:val="6B7280"/>
                <w:spacing w:val="24"/>
                <w:sz w:val="16"/>
                <w:szCs w:val="16"/>
              </w:rPr>
              <w:t>STAND</w:t>
            </w:r>
          </w:p>
          <w:p w14:paraId="70A4DEA9" w14:textId="77777777" w:rsidR="00C1548D" w:rsidRDefault="009B1B4B">
            <w:pPr>
              <w:spacing w:after="80" w:line="264" w:lineRule="auto"/>
            </w:pPr>
            <w:r>
              <w:rPr>
                <w:sz w:val="20"/>
                <w:szCs w:val="20"/>
              </w:rPr>
              <w:t>September 2026. Schnell ändern sich: die Reziprozitätslisten, Fristen und Gebühren der Bundesstaaten, TSA-Regeln, Auto- und Benzinpreise, Kreditzinsen, Versicherungsprämien, die Zölle auf Fahrzeuge und die Förderung von Elektroautos in den Staaten. Prüfe vor jeder Entscheidung die Seite deiner DMV.</w:t>
            </w:r>
          </w:p>
        </w:tc>
      </w:tr>
    </w:tbl>
    <w:p w14:paraId="70A4DEAB" w14:textId="77777777" w:rsidR="00C1548D" w:rsidRDefault="00C1548D">
      <w:pPr>
        <w:spacing w:line="220" w:lineRule="exact"/>
      </w:pPr>
    </w:p>
    <w:p w14:paraId="70A4DEAC" w14:textId="77777777" w:rsidR="00C1548D" w:rsidRDefault="009B1B4B">
      <w:pPr>
        <w:pStyle w:val="Heading2"/>
        <w:keepNext/>
        <w:pageBreakBefore/>
        <w:jc w:val="center"/>
      </w:pPr>
      <w:bookmarkStart w:id="67" w:name="k28"/>
      <w:bookmarkStart w:id="68" w:name="_Toc241352482"/>
      <w:r>
        <w:rPr>
          <w:rFonts w:ascii="Amazon Ember" w:eastAsia="Amazon Ember" w:hAnsi="Amazon Ember" w:cs="Amazon Ember"/>
          <w:color w:val="0000FF"/>
          <w:sz w:val="36"/>
          <w:szCs w:val="36"/>
        </w:rPr>
        <w:lastRenderedPageBreak/>
        <w:t>Kapitel 28: Steuern in den USA verständlich erklärt</w:t>
      </w:r>
      <w:bookmarkEnd w:id="67"/>
      <w:bookmarkEnd w:id="68"/>
    </w:p>
    <w:p w14:paraId="70A4DEAD" w14:textId="77777777" w:rsidR="00C1548D" w:rsidRDefault="009B1B4B">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und musst deutsche Konten melden, auch wenn darauf kaum Zinsen anfallen. Dieses Kapitel ordnet das System, rechnet ein Beispiel</w:t>
      </w:r>
      <w:r>
        <w:t xml:space="preserve"> durch und zeigt die teuren Fallen.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EB5"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DEAE" w14:textId="77777777" w:rsidR="00C1548D" w:rsidRDefault="009B1B4B">
            <w:pPr>
              <w:keepNext/>
              <w:spacing w:after="70" w:line="240" w:lineRule="auto"/>
            </w:pPr>
            <w:r>
              <w:rPr>
                <w:b/>
                <w:bCs/>
                <w:color w:val="1F3A5F"/>
                <w:spacing w:val="24"/>
                <w:sz w:val="16"/>
                <w:szCs w:val="16"/>
              </w:rPr>
              <w:t>KURZ GESAGT</w:t>
            </w:r>
          </w:p>
          <w:p w14:paraId="70A4DEAF" w14:textId="77777777" w:rsidR="00C1548D" w:rsidRDefault="009B1B4B" w:rsidP="009B1B4B">
            <w:pPr>
              <w:pStyle w:val="ListParagraph"/>
              <w:numPr>
                <w:ilvl w:val="0"/>
                <w:numId w:val="1"/>
              </w:numPr>
              <w:spacing w:after="50" w:line="264" w:lineRule="auto"/>
            </w:pPr>
            <w:r>
              <w:rPr>
                <w:sz w:val="20"/>
                <w:szCs w:val="20"/>
              </w:rPr>
              <w:t>Steuern erheben der Bund (Einkommensteuer, Sozialabgaben), der Bundesstaat (Einkommen- und Verkaufssteuer) und die Kommune (vor allem Grundsteuer). Steuerjahr ist das Kalenderjahr; die Erklärung für 2026 ist am 15. April 2027 fällig.</w:t>
            </w:r>
          </w:p>
          <w:p w14:paraId="70A4DEB0" w14:textId="77777777" w:rsidR="00C1548D" w:rsidRDefault="009B1B4B" w:rsidP="009B1B4B">
            <w:pPr>
              <w:pStyle w:val="ListParagraph"/>
              <w:numPr>
                <w:ilvl w:val="0"/>
                <w:numId w:val="1"/>
              </w:numPr>
              <w:spacing w:after="50" w:line="264" w:lineRule="auto"/>
            </w:pPr>
            <w:r>
              <w:rPr>
                <w:sz w:val="20"/>
                <w:szCs w:val="20"/>
              </w:rPr>
              <w:t>Bund 2026: Standardabzug 16.100 $ (Einzelperson) bzw. 32.200 $ (Ehepaar), Sätze von 10 bis 37 %. Statt Kindergeld gibt es eine Gutschrift von 2.200 $ je Kind; sie setzt eine Sozialversicherungsnummer (</w:t>
            </w:r>
            <w:r>
              <w:rPr>
                <w:i/>
                <w:iCs/>
                <w:sz w:val="20"/>
                <w:szCs w:val="20"/>
              </w:rPr>
              <w:t>Social Security Number</w:t>
            </w:r>
            <w:r>
              <w:rPr>
                <w:sz w:val="20"/>
                <w:szCs w:val="20"/>
              </w:rPr>
              <w:t>, SSN) mit Arbeitserlaubnis voraus.</w:t>
            </w:r>
          </w:p>
          <w:p w14:paraId="70A4DEB1" w14:textId="77777777" w:rsidR="00C1548D" w:rsidRDefault="009B1B4B" w:rsidP="009B1B4B">
            <w:pPr>
              <w:pStyle w:val="ListParagraph"/>
              <w:numPr>
                <w:ilvl w:val="0"/>
                <w:numId w:val="1"/>
              </w:numPr>
              <w:spacing w:after="50" w:line="264" w:lineRule="auto"/>
            </w:pPr>
            <w:r>
              <w:rPr>
                <w:sz w:val="20"/>
                <w:szCs w:val="20"/>
              </w:rPr>
              <w:t>Steuerlich ansässig wirst du durch die Green Card oder den Tage-Test (</w:t>
            </w:r>
            <w:r>
              <w:rPr>
                <w:i/>
                <w:iCs/>
                <w:sz w:val="20"/>
                <w:szCs w:val="20"/>
              </w:rPr>
              <w:t>Substantial Presence Test</w:t>
            </w:r>
            <w:r>
              <w:rPr>
                <w:sz w:val="20"/>
                <w:szCs w:val="20"/>
              </w:rPr>
              <w:t>), nicht durch das Visum. Dann gilt dein weltweites Einkommen.</w:t>
            </w:r>
          </w:p>
          <w:p w14:paraId="70A4DEB2" w14:textId="77777777" w:rsidR="00C1548D" w:rsidRDefault="009B1B4B" w:rsidP="009B1B4B">
            <w:pPr>
              <w:pStyle w:val="ListParagraph"/>
              <w:numPr>
                <w:ilvl w:val="0"/>
                <w:numId w:val="1"/>
              </w:numPr>
              <w:spacing w:after="50" w:line="264" w:lineRule="auto"/>
            </w:pPr>
            <w:r>
              <w:rPr>
                <w:sz w:val="20"/>
                <w:szCs w:val="20"/>
              </w:rPr>
              <w:t>Die großen Fallen sind Meldepflichten: Auslandskonten über 10.000 $ (FBAR), Auslandsvermögen (Form 8938) und deutsche Fonds (PFIC). Die Strafen reichen bis in den sechsstelligen Bereich.</w:t>
            </w:r>
          </w:p>
          <w:p w14:paraId="70A4DEB3" w14:textId="77777777" w:rsidR="00C1548D" w:rsidRDefault="009B1B4B" w:rsidP="009B1B4B">
            <w:pPr>
              <w:pStyle w:val="ListParagraph"/>
              <w:numPr>
                <w:ilvl w:val="0"/>
                <w:numId w:val="1"/>
              </w:numPr>
              <w:spacing w:after="50" w:line="264" w:lineRule="auto"/>
            </w:pPr>
            <w:r>
              <w:rPr>
                <w:sz w:val="20"/>
                <w:szCs w:val="20"/>
              </w:rPr>
              <w:t>Näherung 2026: Von 120.000 $ brutto bleiben einer Einzelperson in Texas etwa 78 %, in Kalifornien etwa 71 % (ohne Krankenversicherung und 401(k)).</w:t>
            </w:r>
          </w:p>
          <w:p w14:paraId="70A4DEB4" w14:textId="77777777" w:rsidR="00C1548D" w:rsidRDefault="009B1B4B" w:rsidP="009B1B4B">
            <w:pPr>
              <w:pStyle w:val="ListParagraph"/>
              <w:numPr>
                <w:ilvl w:val="0"/>
                <w:numId w:val="1"/>
              </w:numPr>
              <w:spacing w:after="50" w:line="264" w:lineRule="auto"/>
            </w:pPr>
            <w:r>
              <w:rPr>
                <w:sz w:val="20"/>
                <w:szCs w:val="20"/>
              </w:rPr>
              <w:t>Im Einreisejahr lohnt sich ein zugelassener Steuerexperte (</w:t>
            </w:r>
            <w:r>
              <w:rPr>
                <w:i/>
                <w:iCs/>
                <w:sz w:val="20"/>
                <w:szCs w:val="20"/>
              </w:rPr>
              <w:t>CPA</w:t>
            </w:r>
            <w:r>
              <w:rPr>
                <w:sz w:val="20"/>
                <w:szCs w:val="20"/>
              </w:rPr>
              <w:t xml:space="preserve"> oder </w:t>
            </w:r>
            <w:r>
              <w:rPr>
                <w:i/>
                <w:iCs/>
                <w:sz w:val="20"/>
                <w:szCs w:val="20"/>
              </w:rPr>
              <w:t>Enrolled Agent</w:t>
            </w:r>
            <w:r>
              <w:rPr>
                <w:sz w:val="20"/>
                <w:szCs w:val="20"/>
              </w:rPr>
              <w:t>); das kostet meist 800–2.500 $.</w:t>
            </w:r>
          </w:p>
        </w:tc>
      </w:tr>
    </w:tbl>
    <w:p w14:paraId="70A4DEB6" w14:textId="77777777" w:rsidR="00C1548D" w:rsidRDefault="00C1548D">
      <w:pPr>
        <w:spacing w:line="220" w:lineRule="exact"/>
      </w:pPr>
    </w:p>
    <w:p w14:paraId="70A4DEB7" w14:textId="77777777" w:rsidR="00C1548D" w:rsidRDefault="009B1B4B">
      <w:pPr>
        <w:pStyle w:val="Heading3"/>
        <w:keepNext/>
        <w:jc w:val="center"/>
      </w:pPr>
      <w:r>
        <w:rPr>
          <w:rFonts w:ascii="Amazon Ember" w:eastAsia="Amazon Ember" w:hAnsi="Amazon Ember" w:cs="Amazon Ember"/>
          <w:color w:val="0000FF"/>
          <w:sz w:val="36"/>
          <w:szCs w:val="36"/>
        </w:rPr>
        <w:lastRenderedPageBreak/>
        <w:t>Drei Ebenen, eine Selbstveranlagung</w:t>
      </w:r>
    </w:p>
    <w:p w14:paraId="70A4DEB8" w14:textId="77777777" w:rsidR="00C1548D" w:rsidRDefault="009B1B4B">
      <w:pPr>
        <w:spacing w:after="140"/>
      </w:pPr>
      <w:r>
        <w:t>Der Bund erhebt die Einkommensteuer (</w:t>
      </w:r>
      <w:r>
        <w:rPr>
          <w:i/>
          <w:iCs/>
        </w:rPr>
        <w:t>Federal Income Tax</w:t>
      </w:r>
      <w:r>
        <w:t>)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w:t>
      </w:r>
      <w:r>
        <w:rPr>
          <w:i/>
          <w:iCs/>
        </w:rPr>
        <w:t>Property Tax</w:t>
      </w:r>
      <w:r>
        <w:t>), einzelne auch eine Stadt-Einkommensteuer, dazu die Verkaufssteuer (</w:t>
      </w:r>
      <w:r>
        <w:rPr>
          <w:i/>
          <w:iCs/>
        </w:rPr>
        <w:t>Sales Tax</w:t>
      </w:r>
      <w:r>
        <w:t>), die anders als die deutsche Mehrwertsteuer nicht im Preis steht.</w:t>
      </w:r>
    </w:p>
    <w:p w14:paraId="70A4DEB9" w14:textId="77777777" w:rsidR="00C1548D" w:rsidRDefault="009B1B4B">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EB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DEBA" w14:textId="77777777" w:rsidR="00C1548D" w:rsidRDefault="009B1B4B">
            <w:pPr>
              <w:keepNext/>
              <w:spacing w:after="70" w:line="240" w:lineRule="auto"/>
            </w:pPr>
            <w:r>
              <w:rPr>
                <w:b/>
                <w:bCs/>
                <w:color w:val="6B7280"/>
                <w:spacing w:val="24"/>
                <w:sz w:val="16"/>
                <w:szCs w:val="16"/>
              </w:rPr>
              <w:t>KEIN RECHTSRAT</w:t>
            </w:r>
          </w:p>
          <w:p w14:paraId="70A4DEBB" w14:textId="77777777" w:rsidR="00C1548D" w:rsidRDefault="009B1B4B">
            <w:pPr>
              <w:spacing w:after="80" w:line="264" w:lineRule="auto"/>
            </w:pPr>
            <w:r>
              <w:rPr>
                <w:sz w:val="20"/>
                <w:szCs w:val="20"/>
              </w:rPr>
              <w:t>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tc>
      </w:tr>
    </w:tbl>
    <w:p w14:paraId="70A4DEBD" w14:textId="77777777" w:rsidR="00C1548D" w:rsidRDefault="00C1548D">
      <w:pPr>
        <w:spacing w:line="220" w:lineRule="exact"/>
      </w:pPr>
    </w:p>
    <w:p w14:paraId="70A4DEBE" w14:textId="77777777" w:rsidR="00C1548D" w:rsidRDefault="009B1B4B">
      <w:pPr>
        <w:pStyle w:val="Heading3"/>
        <w:keepNext/>
        <w:jc w:val="center"/>
      </w:pPr>
      <w:r>
        <w:rPr>
          <w:rFonts w:ascii="Amazon Ember" w:eastAsia="Amazon Ember" w:hAnsi="Amazon Ember" w:cs="Amazon Ember"/>
          <w:color w:val="0000FF"/>
          <w:sz w:val="36"/>
          <w:szCs w:val="36"/>
        </w:rPr>
        <w:t>Die Bundeseinkommensteuer 2026</w:t>
      </w:r>
    </w:p>
    <w:p w14:paraId="70A4DEBF" w14:textId="0354BED3" w:rsidR="00C1548D" w:rsidRDefault="009B1B4B">
      <w:pPr>
        <w:spacing w:after="140"/>
      </w:pPr>
      <w:r>
        <w:t>Die Rechnung ist einfacher als in Deutschland. Vom Bruttoeinkommen ziehst du den Standardabzug (</w:t>
      </w:r>
      <w:r>
        <w:rPr>
          <w:i/>
          <w:iCs/>
        </w:rPr>
        <w:t>Standard Deduction</w:t>
      </w:r>
      <w:r>
        <w:t>) ab: 2026 sind das 16.100 $ für Einzelpersonen, 32.200 $ für Ehepaare und 24.150 $ für Alleinerziehende (</w:t>
      </w:r>
      <w:r>
        <w:rPr>
          <w:i/>
          <w:iCs/>
        </w:rPr>
        <w:t>Head of Household</w:t>
      </w:r>
      <w:r>
        <w:t xml:space="preserve">). </w:t>
      </w:r>
      <w:r>
        <w:lastRenderedPageBreak/>
        <w:t>Nur wenn deine Einzelabzüge (</w:t>
      </w:r>
      <w:r>
        <w:rPr>
          <w:i/>
          <w:iCs/>
        </w:rPr>
        <w:t>Itemized Deductions</w:t>
      </w:r>
      <w:r>
        <w:t>) höher ausfallen, etwa durch Hypothekenzinsen und Grundsteuer, lohnt sich der Einzelnachweis (Kapitel </w:t>
      </w:r>
      <w:hyperlink w:anchor="k14" w:history="1">
        <w:r>
          <w:t>14</w:t>
        </w:r>
      </w:hyperlink>
      <w:r>
        <w:t>). Auf den Rest wendest du gestaffelte Sätze an; einen Freibetrag pro Kopf gibt es nicht. Ehepaare veranlagen sich meist gemeinsam (</w:t>
      </w:r>
      <w:r>
        <w:rPr>
          <w:i/>
          <w:iCs/>
        </w:rPr>
        <w:t>Married Filing Jointly</w:t>
      </w:r>
      <w:r>
        <w:t>, MFJ), auch bei nur einem Einkommen.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47"/>
        <w:gridCol w:w="3309"/>
        <w:gridCol w:w="1924"/>
      </w:tblGrid>
      <w:tr w:rsidR="00C1548D" w14:paraId="70A4DEC3" w14:textId="77777777">
        <w:tblPrEx>
          <w:tblCellMar>
            <w:top w:w="0" w:type="dxa"/>
            <w:bottom w:w="0" w:type="dxa"/>
          </w:tblCellMar>
        </w:tblPrEx>
        <w:trPr>
          <w:cantSplit/>
          <w:tblHeader/>
        </w:trPr>
        <w:tc>
          <w:tcPr>
            <w:tcW w:w="124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C0" w14:textId="77777777" w:rsidR="00C1548D" w:rsidRDefault="009B1B4B">
            <w:pPr>
              <w:spacing w:line="250" w:lineRule="auto"/>
            </w:pPr>
            <w:r>
              <w:rPr>
                <w:b/>
                <w:bCs/>
                <w:sz w:val="18"/>
                <w:szCs w:val="18"/>
              </w:rPr>
              <w:t>Satz</w:t>
            </w:r>
          </w:p>
        </w:tc>
        <w:tc>
          <w:tcPr>
            <w:tcW w:w="330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C1" w14:textId="77777777" w:rsidR="00C1548D" w:rsidRDefault="009B1B4B">
            <w:pPr>
              <w:spacing w:line="250" w:lineRule="auto"/>
            </w:pPr>
            <w:r>
              <w:rPr>
                <w:b/>
                <w:bCs/>
                <w:sz w:val="18"/>
                <w:szCs w:val="18"/>
              </w:rPr>
              <w:t>Einzelperson: zu versteuerndes Einkommen bis (in $)</w:t>
            </w:r>
          </w:p>
        </w:tc>
        <w:tc>
          <w:tcPr>
            <w:tcW w:w="192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C2" w14:textId="77777777" w:rsidR="00C1548D" w:rsidRDefault="009B1B4B">
            <w:pPr>
              <w:spacing w:line="250" w:lineRule="auto"/>
            </w:pPr>
            <w:r>
              <w:rPr>
                <w:b/>
                <w:bCs/>
                <w:sz w:val="18"/>
                <w:szCs w:val="18"/>
              </w:rPr>
              <w:t>Ehepaar (MFJ): bis (in $)</w:t>
            </w:r>
          </w:p>
        </w:tc>
      </w:tr>
      <w:tr w:rsidR="00C1548D" w14:paraId="70A4DEC7" w14:textId="77777777">
        <w:tblPrEx>
          <w:tblCellMar>
            <w:top w:w="0" w:type="dxa"/>
            <w:bottom w:w="0" w:type="dxa"/>
          </w:tblCellMar>
        </w:tblPrEx>
        <w:trPr>
          <w:cantSplit/>
        </w:trPr>
        <w:tc>
          <w:tcPr>
            <w:tcW w:w="12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C4" w14:textId="77777777" w:rsidR="00C1548D" w:rsidRDefault="009B1B4B">
            <w:pPr>
              <w:spacing w:line="250" w:lineRule="auto"/>
            </w:pPr>
            <w:r>
              <w:rPr>
                <w:sz w:val="18"/>
                <w:szCs w:val="18"/>
              </w:rPr>
              <w:t>10 %</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C5" w14:textId="77777777" w:rsidR="00C1548D" w:rsidRDefault="009B1B4B">
            <w:pPr>
              <w:spacing w:line="250" w:lineRule="auto"/>
            </w:pPr>
            <w:r>
              <w:rPr>
                <w:sz w:val="18"/>
                <w:szCs w:val="18"/>
              </w:rPr>
              <w:t>12.400</w:t>
            </w:r>
          </w:p>
        </w:tc>
        <w:tc>
          <w:tcPr>
            <w:tcW w:w="19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C6" w14:textId="77777777" w:rsidR="00C1548D" w:rsidRDefault="009B1B4B">
            <w:pPr>
              <w:spacing w:line="250" w:lineRule="auto"/>
            </w:pPr>
            <w:r>
              <w:rPr>
                <w:sz w:val="18"/>
                <w:szCs w:val="18"/>
              </w:rPr>
              <w:t>24.800</w:t>
            </w:r>
          </w:p>
        </w:tc>
      </w:tr>
      <w:tr w:rsidR="00C1548D" w14:paraId="70A4DECB" w14:textId="77777777">
        <w:tblPrEx>
          <w:tblCellMar>
            <w:top w:w="0" w:type="dxa"/>
            <w:bottom w:w="0" w:type="dxa"/>
          </w:tblCellMar>
        </w:tblPrEx>
        <w:trPr>
          <w:cantSplit/>
        </w:trPr>
        <w:tc>
          <w:tcPr>
            <w:tcW w:w="12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C8" w14:textId="77777777" w:rsidR="00C1548D" w:rsidRDefault="009B1B4B">
            <w:pPr>
              <w:spacing w:line="250" w:lineRule="auto"/>
            </w:pPr>
            <w:r>
              <w:rPr>
                <w:sz w:val="18"/>
                <w:szCs w:val="18"/>
              </w:rPr>
              <w:t>12 %</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C9" w14:textId="77777777" w:rsidR="00C1548D" w:rsidRDefault="009B1B4B">
            <w:pPr>
              <w:spacing w:line="250" w:lineRule="auto"/>
            </w:pPr>
            <w:r>
              <w:rPr>
                <w:sz w:val="18"/>
                <w:szCs w:val="18"/>
              </w:rPr>
              <w:t>50.400</w:t>
            </w:r>
          </w:p>
        </w:tc>
        <w:tc>
          <w:tcPr>
            <w:tcW w:w="19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CA" w14:textId="77777777" w:rsidR="00C1548D" w:rsidRDefault="009B1B4B">
            <w:pPr>
              <w:spacing w:line="250" w:lineRule="auto"/>
            </w:pPr>
            <w:r>
              <w:rPr>
                <w:sz w:val="18"/>
                <w:szCs w:val="18"/>
              </w:rPr>
              <w:t>100.800</w:t>
            </w:r>
          </w:p>
        </w:tc>
      </w:tr>
      <w:tr w:rsidR="00C1548D" w14:paraId="70A4DECF" w14:textId="77777777">
        <w:tblPrEx>
          <w:tblCellMar>
            <w:top w:w="0" w:type="dxa"/>
            <w:bottom w:w="0" w:type="dxa"/>
          </w:tblCellMar>
        </w:tblPrEx>
        <w:trPr>
          <w:cantSplit/>
        </w:trPr>
        <w:tc>
          <w:tcPr>
            <w:tcW w:w="12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CC" w14:textId="77777777" w:rsidR="00C1548D" w:rsidRDefault="009B1B4B">
            <w:pPr>
              <w:spacing w:line="250" w:lineRule="auto"/>
            </w:pPr>
            <w:r>
              <w:rPr>
                <w:sz w:val="18"/>
                <w:szCs w:val="18"/>
              </w:rPr>
              <w:t>22 %</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CD" w14:textId="77777777" w:rsidR="00C1548D" w:rsidRDefault="009B1B4B">
            <w:pPr>
              <w:spacing w:line="250" w:lineRule="auto"/>
            </w:pPr>
            <w:r>
              <w:rPr>
                <w:sz w:val="18"/>
                <w:szCs w:val="18"/>
              </w:rPr>
              <w:t>105.700</w:t>
            </w:r>
          </w:p>
        </w:tc>
        <w:tc>
          <w:tcPr>
            <w:tcW w:w="19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CE" w14:textId="77777777" w:rsidR="00C1548D" w:rsidRDefault="009B1B4B">
            <w:pPr>
              <w:spacing w:line="250" w:lineRule="auto"/>
            </w:pPr>
            <w:r>
              <w:rPr>
                <w:sz w:val="18"/>
                <w:szCs w:val="18"/>
              </w:rPr>
              <w:t>211.400</w:t>
            </w:r>
          </w:p>
        </w:tc>
      </w:tr>
      <w:tr w:rsidR="00C1548D" w14:paraId="70A4DED3" w14:textId="77777777">
        <w:tblPrEx>
          <w:tblCellMar>
            <w:top w:w="0" w:type="dxa"/>
            <w:bottom w:w="0" w:type="dxa"/>
          </w:tblCellMar>
        </w:tblPrEx>
        <w:trPr>
          <w:cantSplit/>
        </w:trPr>
        <w:tc>
          <w:tcPr>
            <w:tcW w:w="12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0" w14:textId="77777777" w:rsidR="00C1548D" w:rsidRDefault="009B1B4B">
            <w:pPr>
              <w:spacing w:line="250" w:lineRule="auto"/>
            </w:pPr>
            <w:r>
              <w:rPr>
                <w:sz w:val="18"/>
                <w:szCs w:val="18"/>
              </w:rPr>
              <w:t>24 %</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1" w14:textId="77777777" w:rsidR="00C1548D" w:rsidRDefault="009B1B4B">
            <w:pPr>
              <w:spacing w:line="250" w:lineRule="auto"/>
            </w:pPr>
            <w:r>
              <w:rPr>
                <w:sz w:val="18"/>
                <w:szCs w:val="18"/>
              </w:rPr>
              <w:t>201.775</w:t>
            </w:r>
          </w:p>
        </w:tc>
        <w:tc>
          <w:tcPr>
            <w:tcW w:w="19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2" w14:textId="77777777" w:rsidR="00C1548D" w:rsidRDefault="009B1B4B">
            <w:pPr>
              <w:spacing w:line="250" w:lineRule="auto"/>
            </w:pPr>
            <w:r>
              <w:rPr>
                <w:sz w:val="18"/>
                <w:szCs w:val="18"/>
              </w:rPr>
              <w:t>403.550</w:t>
            </w:r>
          </w:p>
        </w:tc>
      </w:tr>
      <w:tr w:rsidR="00C1548D" w14:paraId="70A4DED7" w14:textId="77777777">
        <w:tblPrEx>
          <w:tblCellMar>
            <w:top w:w="0" w:type="dxa"/>
            <w:bottom w:w="0" w:type="dxa"/>
          </w:tblCellMar>
        </w:tblPrEx>
        <w:trPr>
          <w:cantSplit/>
        </w:trPr>
        <w:tc>
          <w:tcPr>
            <w:tcW w:w="12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4" w14:textId="77777777" w:rsidR="00C1548D" w:rsidRDefault="009B1B4B">
            <w:pPr>
              <w:spacing w:line="250" w:lineRule="auto"/>
            </w:pPr>
            <w:r>
              <w:rPr>
                <w:sz w:val="18"/>
                <w:szCs w:val="18"/>
              </w:rPr>
              <w:t>32 %</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5" w14:textId="77777777" w:rsidR="00C1548D" w:rsidRDefault="009B1B4B">
            <w:pPr>
              <w:spacing w:line="250" w:lineRule="auto"/>
            </w:pPr>
            <w:r>
              <w:rPr>
                <w:sz w:val="18"/>
                <w:szCs w:val="18"/>
              </w:rPr>
              <w:t>256.225</w:t>
            </w:r>
          </w:p>
        </w:tc>
        <w:tc>
          <w:tcPr>
            <w:tcW w:w="19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6" w14:textId="77777777" w:rsidR="00C1548D" w:rsidRDefault="009B1B4B">
            <w:pPr>
              <w:spacing w:line="250" w:lineRule="auto"/>
            </w:pPr>
            <w:r>
              <w:rPr>
                <w:sz w:val="18"/>
                <w:szCs w:val="18"/>
              </w:rPr>
              <w:t>512.450</w:t>
            </w:r>
          </w:p>
        </w:tc>
      </w:tr>
      <w:tr w:rsidR="00C1548D" w14:paraId="70A4DEDB" w14:textId="77777777">
        <w:tblPrEx>
          <w:tblCellMar>
            <w:top w:w="0" w:type="dxa"/>
            <w:bottom w:w="0" w:type="dxa"/>
          </w:tblCellMar>
        </w:tblPrEx>
        <w:trPr>
          <w:cantSplit/>
        </w:trPr>
        <w:tc>
          <w:tcPr>
            <w:tcW w:w="12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8" w14:textId="77777777" w:rsidR="00C1548D" w:rsidRDefault="009B1B4B">
            <w:pPr>
              <w:spacing w:line="250" w:lineRule="auto"/>
            </w:pPr>
            <w:r>
              <w:rPr>
                <w:sz w:val="18"/>
                <w:szCs w:val="18"/>
              </w:rPr>
              <w:t>35 %</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9" w14:textId="77777777" w:rsidR="00C1548D" w:rsidRDefault="009B1B4B">
            <w:pPr>
              <w:spacing w:line="250" w:lineRule="auto"/>
            </w:pPr>
            <w:r>
              <w:rPr>
                <w:sz w:val="18"/>
                <w:szCs w:val="18"/>
              </w:rPr>
              <w:t>640.600</w:t>
            </w:r>
          </w:p>
        </w:tc>
        <w:tc>
          <w:tcPr>
            <w:tcW w:w="19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A" w14:textId="77777777" w:rsidR="00C1548D" w:rsidRDefault="009B1B4B">
            <w:pPr>
              <w:spacing w:line="250" w:lineRule="auto"/>
            </w:pPr>
            <w:r>
              <w:rPr>
                <w:sz w:val="18"/>
                <w:szCs w:val="18"/>
              </w:rPr>
              <w:t>768.700</w:t>
            </w:r>
          </w:p>
        </w:tc>
      </w:tr>
      <w:tr w:rsidR="00C1548D" w14:paraId="70A4DEDF" w14:textId="77777777">
        <w:tblPrEx>
          <w:tblCellMar>
            <w:top w:w="0" w:type="dxa"/>
            <w:bottom w:w="0" w:type="dxa"/>
          </w:tblCellMar>
        </w:tblPrEx>
        <w:trPr>
          <w:cantSplit/>
        </w:trPr>
        <w:tc>
          <w:tcPr>
            <w:tcW w:w="12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C" w14:textId="77777777" w:rsidR="00C1548D" w:rsidRDefault="009B1B4B">
            <w:pPr>
              <w:spacing w:line="250" w:lineRule="auto"/>
            </w:pPr>
            <w:r>
              <w:rPr>
                <w:sz w:val="18"/>
                <w:szCs w:val="18"/>
              </w:rPr>
              <w:t>37 %</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D" w14:textId="77777777" w:rsidR="00C1548D" w:rsidRDefault="009B1B4B">
            <w:pPr>
              <w:spacing w:line="250" w:lineRule="auto"/>
            </w:pPr>
            <w:r>
              <w:rPr>
                <w:sz w:val="18"/>
                <w:szCs w:val="18"/>
              </w:rPr>
              <w:t>darüber</w:t>
            </w:r>
          </w:p>
        </w:tc>
        <w:tc>
          <w:tcPr>
            <w:tcW w:w="19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DE" w14:textId="77777777" w:rsidR="00C1548D" w:rsidRDefault="009B1B4B">
            <w:pPr>
              <w:spacing w:line="250" w:lineRule="auto"/>
            </w:pPr>
            <w:r>
              <w:rPr>
                <w:sz w:val="18"/>
                <w:szCs w:val="18"/>
              </w:rPr>
              <w:t>darüber</w:t>
            </w:r>
          </w:p>
        </w:tc>
      </w:tr>
    </w:tbl>
    <w:p w14:paraId="70A4DEE0" w14:textId="77777777" w:rsidR="00C1548D" w:rsidRDefault="00C1548D">
      <w:pPr>
        <w:spacing w:line="180" w:lineRule="exact"/>
      </w:pPr>
    </w:p>
    <w:p w14:paraId="70A4DEE1" w14:textId="77777777" w:rsidR="00C1548D" w:rsidRDefault="009B1B4B">
      <w:pPr>
        <w:spacing w:after="140"/>
      </w:pPr>
      <w:r>
        <w:t>Jeder Satz gilt nur für den Teil des Einkommens innerhalb seiner Stufe: Wer 120.000 $ verdient, zahlt nicht 22 % auf alles. Gewinne aus Wertpapieren, die du länger als ein Jahr hältst, werden niedriger besteuert (Einzelperson: 0 % bis 49.450 $, 15 % bis 545.500 $, darüber 20 %).</w:t>
      </w:r>
    </w:p>
    <w:p w14:paraId="70A4DEE2" w14:textId="77777777" w:rsidR="00C1548D" w:rsidRDefault="009B1B4B">
      <w:pPr>
        <w:spacing w:after="140"/>
      </w:pPr>
      <w:r>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EE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EE3" w14:textId="77777777" w:rsidR="00C1548D" w:rsidRDefault="009B1B4B">
            <w:pPr>
              <w:keepNext/>
              <w:spacing w:after="70" w:line="240" w:lineRule="auto"/>
            </w:pPr>
            <w:r>
              <w:rPr>
                <w:b/>
                <w:bCs/>
                <w:color w:val="9B2C2C"/>
                <w:spacing w:val="24"/>
                <w:sz w:val="16"/>
                <w:szCs w:val="16"/>
              </w:rPr>
              <w:lastRenderedPageBreak/>
              <w:t>ACHTUNG</w:t>
            </w:r>
          </w:p>
          <w:p w14:paraId="70A4DEE4" w14:textId="7F9C6AD9" w:rsidR="00C1548D" w:rsidRDefault="009B1B4B">
            <w:pPr>
              <w:spacing w:after="80" w:line="264" w:lineRule="auto"/>
            </w:pPr>
            <w:r>
              <w:rPr>
                <w:sz w:val="20"/>
                <w:szCs w:val="20"/>
              </w:rPr>
              <w:t xml:space="preserve">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w:t>
            </w:r>
            <w:r>
              <w:rPr>
                <w:i/>
                <w:iCs/>
                <w:sz w:val="20"/>
                <w:szCs w:val="20"/>
              </w:rPr>
              <w:t>ITIN</w:t>
            </w:r>
            <w:r>
              <w:rPr>
                <w:sz w:val="20"/>
                <w:szCs w:val="20"/>
              </w:rPr>
              <w:t>, die Steuernummer für Ausländer ohne SSN. Für sie gibt es nur 500 $ (</w:t>
            </w:r>
            <w:r>
              <w:rPr>
                <w:i/>
                <w:iCs/>
                <w:sz w:val="20"/>
                <w:szCs w:val="20"/>
              </w:rPr>
              <w:t>Credit for Other Dependents</w:t>
            </w:r>
            <w:r>
              <w:rPr>
                <w:sz w:val="20"/>
                <w:szCs w:val="20"/>
              </w:rPr>
              <w:t>). Bei zwei Kindern fehlen 3.400 $ pro Jahr. Plane die Gutschrift erst ein, wenn die SSN feststeht (Kapitel </w:t>
            </w:r>
            <w:hyperlink w:anchor="k24" w:history="1">
              <w:r>
                <w:rPr>
                  <w:sz w:val="20"/>
                  <w:szCs w:val="20"/>
                </w:rPr>
                <w:t>24</w:t>
              </w:r>
            </w:hyperlink>
            <w:r>
              <w:rPr>
                <w:sz w:val="20"/>
                <w:szCs w:val="20"/>
              </w:rPr>
              <w:t>).</w:t>
            </w:r>
          </w:p>
        </w:tc>
      </w:tr>
    </w:tbl>
    <w:p w14:paraId="70A4DEE6" w14:textId="77777777" w:rsidR="00C1548D" w:rsidRDefault="00C1548D">
      <w:pPr>
        <w:spacing w:line="220" w:lineRule="exact"/>
      </w:pPr>
    </w:p>
    <w:p w14:paraId="70A4DEE7" w14:textId="77777777" w:rsidR="00C1548D" w:rsidRDefault="009B1B4B">
      <w:pPr>
        <w:pStyle w:val="Heading3"/>
        <w:keepNext/>
        <w:jc w:val="center"/>
      </w:pPr>
      <w:r>
        <w:rPr>
          <w:rFonts w:ascii="Amazon Ember" w:eastAsia="Amazon Ember" w:hAnsi="Amazon Ember" w:cs="Amazon Ember"/>
          <w:color w:val="0000FF"/>
          <w:sz w:val="36"/>
          <w:szCs w:val="36"/>
        </w:rPr>
        <w:t>Die Gehaltsabrechnung lesen</w:t>
      </w:r>
    </w:p>
    <w:p w14:paraId="70A4DEE8" w14:textId="77777777" w:rsidR="00C1548D" w:rsidRDefault="009B1B4B">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753"/>
        <w:gridCol w:w="2777"/>
      </w:tblGrid>
      <w:tr w:rsidR="00C1548D" w14:paraId="70A4DEEC"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E9" w14:textId="77777777" w:rsidR="00C1548D" w:rsidRDefault="009B1B4B">
            <w:pPr>
              <w:spacing w:line="250" w:lineRule="auto"/>
            </w:pPr>
            <w:r>
              <w:rPr>
                <w:b/>
                <w:bCs/>
                <w:sz w:val="18"/>
                <w:szCs w:val="18"/>
              </w:rPr>
              <w:t>Posten</w:t>
            </w:r>
          </w:p>
        </w:tc>
        <w:tc>
          <w:tcPr>
            <w:tcW w:w="27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EA" w14:textId="77777777" w:rsidR="00C1548D" w:rsidRDefault="009B1B4B">
            <w:pPr>
              <w:spacing w:line="250" w:lineRule="auto"/>
            </w:pPr>
            <w:r>
              <w:rPr>
                <w:b/>
                <w:bCs/>
                <w:sz w:val="18"/>
                <w:szCs w:val="18"/>
              </w:rPr>
              <w:t>Bedeutung</w:t>
            </w:r>
          </w:p>
        </w:tc>
        <w:tc>
          <w:tcPr>
            <w:tcW w:w="27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EEB" w14:textId="77777777" w:rsidR="00C1548D" w:rsidRDefault="009B1B4B">
            <w:pPr>
              <w:spacing w:line="250" w:lineRule="auto"/>
            </w:pPr>
            <w:r>
              <w:rPr>
                <w:b/>
                <w:bCs/>
                <w:sz w:val="18"/>
                <w:szCs w:val="18"/>
              </w:rPr>
              <w:t>2026</w:t>
            </w:r>
          </w:p>
        </w:tc>
      </w:tr>
      <w:tr w:rsidR="00C1548D" w14:paraId="70A4DEF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ED" w14:textId="77777777" w:rsidR="00C1548D" w:rsidRDefault="009B1B4B">
            <w:pPr>
              <w:spacing w:line="250" w:lineRule="auto"/>
            </w:pPr>
            <w:r>
              <w:rPr>
                <w:i/>
                <w:iCs/>
                <w:sz w:val="18"/>
                <w:szCs w:val="18"/>
              </w:rPr>
              <w:t>Pre-Tax Deductions</w:t>
            </w:r>
          </w:p>
        </w:tc>
        <w:tc>
          <w:tcPr>
            <w:tcW w:w="27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EE" w14:textId="77777777" w:rsidR="00C1548D" w:rsidRDefault="009B1B4B">
            <w:pPr>
              <w:spacing w:line="250" w:lineRule="auto"/>
            </w:pPr>
            <w:r>
              <w:rPr>
                <w:sz w:val="18"/>
                <w:szCs w:val="18"/>
              </w:rPr>
              <w:t>Abzüge vor der Steuer: 401(k), Krankenversicherung, HSA/FSA</w:t>
            </w:r>
          </w:p>
        </w:tc>
        <w:tc>
          <w:tcPr>
            <w:tcW w:w="27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EF" w14:textId="77777777" w:rsidR="00C1548D" w:rsidRDefault="009B1B4B">
            <w:pPr>
              <w:spacing w:line="250" w:lineRule="auto"/>
            </w:pPr>
            <w:r>
              <w:rPr>
                <w:sz w:val="18"/>
                <w:szCs w:val="18"/>
              </w:rPr>
              <w:t>mindern das steuerpflichtige Gehalt</w:t>
            </w:r>
          </w:p>
        </w:tc>
      </w:tr>
      <w:tr w:rsidR="00C1548D" w14:paraId="70A4DEF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1" w14:textId="77777777" w:rsidR="00C1548D" w:rsidRDefault="009B1B4B">
            <w:pPr>
              <w:spacing w:line="250" w:lineRule="auto"/>
            </w:pPr>
            <w:r>
              <w:rPr>
                <w:i/>
                <w:iCs/>
                <w:sz w:val="18"/>
                <w:szCs w:val="18"/>
              </w:rPr>
              <w:t>Federal Income Tax</w:t>
            </w:r>
          </w:p>
        </w:tc>
        <w:tc>
          <w:tcPr>
            <w:tcW w:w="27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2" w14:textId="77777777" w:rsidR="00C1548D" w:rsidRDefault="009B1B4B">
            <w:pPr>
              <w:spacing w:line="250" w:lineRule="auto"/>
            </w:pPr>
            <w:r>
              <w:rPr>
                <w:sz w:val="18"/>
                <w:szCs w:val="18"/>
              </w:rPr>
              <w:t>Einbehalt nach deinem W-4</w:t>
            </w:r>
          </w:p>
        </w:tc>
        <w:tc>
          <w:tcPr>
            <w:tcW w:w="27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3" w14:textId="77777777" w:rsidR="00C1548D" w:rsidRDefault="009B1B4B">
            <w:pPr>
              <w:spacing w:line="250" w:lineRule="auto"/>
            </w:pPr>
            <w:r>
              <w:rPr>
                <w:sz w:val="18"/>
                <w:szCs w:val="18"/>
              </w:rPr>
              <w:t>Vorschuss auf die Jahressteuer</w:t>
            </w:r>
          </w:p>
        </w:tc>
      </w:tr>
      <w:tr w:rsidR="00C1548D" w14:paraId="70A4DEF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5" w14:textId="77777777" w:rsidR="00C1548D" w:rsidRDefault="009B1B4B">
            <w:pPr>
              <w:spacing w:line="250" w:lineRule="auto"/>
            </w:pPr>
            <w:r>
              <w:rPr>
                <w:i/>
                <w:iCs/>
                <w:sz w:val="18"/>
                <w:szCs w:val="18"/>
              </w:rPr>
              <w:t>Social Security</w:t>
            </w:r>
          </w:p>
        </w:tc>
        <w:tc>
          <w:tcPr>
            <w:tcW w:w="27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6" w14:textId="77777777" w:rsidR="00C1548D" w:rsidRDefault="009B1B4B">
            <w:pPr>
              <w:spacing w:line="250" w:lineRule="auto"/>
            </w:pPr>
            <w:r>
              <w:rPr>
                <w:sz w:val="18"/>
                <w:szCs w:val="18"/>
              </w:rPr>
              <w:t>Rentenversicherung</w:t>
            </w:r>
          </w:p>
        </w:tc>
        <w:tc>
          <w:tcPr>
            <w:tcW w:w="27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7" w14:textId="77777777" w:rsidR="00C1548D" w:rsidRDefault="009B1B4B">
            <w:pPr>
              <w:spacing w:line="250" w:lineRule="auto"/>
            </w:pPr>
            <w:r>
              <w:rPr>
                <w:sz w:val="18"/>
                <w:szCs w:val="18"/>
              </w:rPr>
              <w:t>6,2 % bis 184.500 $</w:t>
            </w:r>
          </w:p>
        </w:tc>
      </w:tr>
      <w:tr w:rsidR="00C1548D" w14:paraId="70A4DEF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9" w14:textId="77777777" w:rsidR="00C1548D" w:rsidRDefault="009B1B4B">
            <w:pPr>
              <w:spacing w:line="250" w:lineRule="auto"/>
            </w:pPr>
            <w:r>
              <w:rPr>
                <w:i/>
                <w:iCs/>
                <w:sz w:val="18"/>
                <w:szCs w:val="18"/>
              </w:rPr>
              <w:t>Medicare</w:t>
            </w:r>
          </w:p>
        </w:tc>
        <w:tc>
          <w:tcPr>
            <w:tcW w:w="27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A" w14:textId="77777777" w:rsidR="00C1548D" w:rsidRDefault="009B1B4B">
            <w:pPr>
              <w:spacing w:line="250" w:lineRule="auto"/>
            </w:pPr>
            <w:r>
              <w:rPr>
                <w:sz w:val="18"/>
                <w:szCs w:val="18"/>
              </w:rPr>
              <w:t>Krankenversicherung für Ältere</w:t>
            </w:r>
          </w:p>
        </w:tc>
        <w:tc>
          <w:tcPr>
            <w:tcW w:w="27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B" w14:textId="77777777" w:rsidR="00C1548D" w:rsidRDefault="009B1B4B">
            <w:pPr>
              <w:spacing w:line="250" w:lineRule="auto"/>
            </w:pPr>
            <w:r>
              <w:rPr>
                <w:sz w:val="18"/>
                <w:szCs w:val="18"/>
              </w:rPr>
              <w:t>1,45 % ohne Grenze; ab 200.000 $ Lohn zusätzlich 0,9 %</w:t>
            </w:r>
          </w:p>
        </w:tc>
      </w:tr>
      <w:tr w:rsidR="00C1548D" w14:paraId="70A4DF0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D" w14:textId="77777777" w:rsidR="00C1548D" w:rsidRDefault="009B1B4B">
            <w:pPr>
              <w:spacing w:line="250" w:lineRule="auto"/>
            </w:pPr>
            <w:r>
              <w:rPr>
                <w:i/>
                <w:iCs/>
                <w:sz w:val="18"/>
                <w:szCs w:val="18"/>
              </w:rPr>
              <w:t>State Income Tax</w:t>
            </w:r>
          </w:p>
        </w:tc>
        <w:tc>
          <w:tcPr>
            <w:tcW w:w="27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E" w14:textId="77777777" w:rsidR="00C1548D" w:rsidRDefault="009B1B4B">
            <w:pPr>
              <w:spacing w:line="250" w:lineRule="auto"/>
            </w:pPr>
            <w:r>
              <w:rPr>
                <w:sz w:val="18"/>
                <w:szCs w:val="18"/>
              </w:rPr>
              <w:t>Einkommensteuer des Staats</w:t>
            </w:r>
          </w:p>
        </w:tc>
        <w:tc>
          <w:tcPr>
            <w:tcW w:w="27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EFF" w14:textId="77777777" w:rsidR="00C1548D" w:rsidRDefault="009B1B4B">
            <w:pPr>
              <w:spacing w:line="250" w:lineRule="auto"/>
            </w:pPr>
            <w:r>
              <w:rPr>
                <w:sz w:val="18"/>
                <w:szCs w:val="18"/>
              </w:rPr>
              <w:t>je Staat 0 % bis rund 10 %</w:t>
            </w:r>
          </w:p>
        </w:tc>
      </w:tr>
      <w:tr w:rsidR="00C1548D" w14:paraId="70A4DF0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01" w14:textId="77777777" w:rsidR="00C1548D" w:rsidRDefault="009B1B4B">
            <w:pPr>
              <w:spacing w:line="250" w:lineRule="auto"/>
            </w:pPr>
            <w:r>
              <w:rPr>
                <w:sz w:val="18"/>
                <w:szCs w:val="18"/>
              </w:rPr>
              <w:t>Staatsumlagen</w:t>
            </w:r>
          </w:p>
        </w:tc>
        <w:tc>
          <w:tcPr>
            <w:tcW w:w="27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02" w14:textId="77777777" w:rsidR="00C1548D" w:rsidRDefault="009B1B4B">
            <w:pPr>
              <w:spacing w:line="250" w:lineRule="auto"/>
            </w:pPr>
            <w:r>
              <w:rPr>
                <w:sz w:val="18"/>
                <w:szCs w:val="18"/>
              </w:rPr>
              <w:t xml:space="preserve">Kalifornien </w:t>
            </w:r>
            <w:r>
              <w:rPr>
                <w:i/>
                <w:iCs/>
                <w:sz w:val="18"/>
                <w:szCs w:val="18"/>
              </w:rPr>
              <w:t>SDI</w:t>
            </w:r>
            <w:r>
              <w:rPr>
                <w:sz w:val="18"/>
                <w:szCs w:val="18"/>
              </w:rPr>
              <w:t xml:space="preserve"> (Lohnersatz bei Krankheit); Washington </w:t>
            </w:r>
            <w:r>
              <w:rPr>
                <w:i/>
                <w:iCs/>
                <w:sz w:val="18"/>
                <w:szCs w:val="18"/>
              </w:rPr>
              <w:t>Paid Family &amp; Medical Leave</w:t>
            </w:r>
          </w:p>
        </w:tc>
        <w:tc>
          <w:tcPr>
            <w:tcW w:w="27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03" w14:textId="77777777" w:rsidR="00C1548D" w:rsidRDefault="009B1B4B">
            <w:pPr>
              <w:spacing w:line="250" w:lineRule="auto"/>
            </w:pPr>
            <w:r>
              <w:rPr>
                <w:sz w:val="18"/>
                <w:szCs w:val="18"/>
              </w:rPr>
              <w:t>CA 1,3 % ohne Deckel; WA 1,13 % bis 184.500 $, davon trägst du etwa 71 %</w:t>
            </w:r>
          </w:p>
        </w:tc>
      </w:tr>
    </w:tbl>
    <w:p w14:paraId="70A4DF05" w14:textId="77777777" w:rsidR="00C1548D" w:rsidRDefault="00C1548D">
      <w:pPr>
        <w:spacing w:line="180" w:lineRule="exact"/>
      </w:pPr>
    </w:p>
    <w:p w14:paraId="70A4DF06" w14:textId="1C6D25EA" w:rsidR="00C1548D" w:rsidRDefault="009B1B4B">
      <w:pPr>
        <w:spacing w:after="140"/>
      </w:pPr>
      <w:r>
        <w:t>Der Arbeitgeber zahlt die FICA-Sätze noch einmal. Die Krankenversicherung steckt nicht in FICA, ihre Prämie steht als eigener Abzug (</w:t>
      </w:r>
      <w:r>
        <w:t>Kapitel </w:t>
      </w:r>
      <w:hyperlink w:anchor="k26" w:history="1">
        <w:r>
          <w:t>26</w:t>
        </w:r>
      </w:hyperlink>
      <w:r>
        <w:t xml:space="preserve">). Die deutschen Sozialabgaben von rund 20–22 % (bis zur Bemessungsgrenze) enthalten dagegen Kranken-, </w:t>
      </w:r>
      <w:r>
        <w:lastRenderedPageBreak/>
        <w:t>Pflege-, Renten- und Arbeitslosenversicherung; in den USA zahlt die Arbeitslosenversicherung der Arbeitgeber. Wer von einem deutschen Arbeitgeber entsandt wird, kann über das Sozialversicherungsabkommen von der US-Sozialversicherung befreit sein (Kapitel </w:t>
      </w:r>
      <w:hyperlink w:anchor="k17" w:history="1">
        <w:r>
          <w:t>17</w:t>
        </w:r>
      </w:hyperlink>
      <w:r>
        <w:t xml:space="preserve"> und </w:t>
      </w:r>
      <w:hyperlink w:anchor="k39" w:history="1">
        <w:r>
          <w:t>39</w:t>
        </w:r>
      </w:hyperlink>
      <w:r>
        <w:t>).</w:t>
      </w:r>
    </w:p>
    <w:p w14:paraId="70A4DF07" w14:textId="77777777" w:rsidR="00C1548D" w:rsidRDefault="009B1B4B">
      <w:pPr>
        <w:spacing w:after="140"/>
      </w:pPr>
      <w:r>
        <w:t>Drei Stellen, an denen es Neulinge erwischt:</w:t>
      </w:r>
    </w:p>
    <w:p w14:paraId="70A4DF08" w14:textId="77777777" w:rsidR="00C1548D" w:rsidRDefault="009B1B4B" w:rsidP="009B1B4B">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w14:paraId="70A4DF09" w14:textId="17A25909" w:rsidR="00C1548D" w:rsidRDefault="009B1B4B" w:rsidP="009B1B4B">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15. Juni, 15. September, 15. Januar). Zur Aktienvergütung siehe Kapitel </w:t>
      </w:r>
      <w:hyperlink w:anchor="k29" w:history="1">
        <w:r>
          <w:t>29</w:t>
        </w:r>
      </w:hyperlink>
      <w:r>
        <w:t>.</w:t>
      </w:r>
    </w:p>
    <w:p w14:paraId="70A4DF0A" w14:textId="77777777" w:rsidR="00C1548D" w:rsidRDefault="009B1B4B" w:rsidP="009B1B4B">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w14:paraId="70A4DF0B"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F0E"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DF0C" w14:textId="77777777" w:rsidR="00C1548D" w:rsidRDefault="009B1B4B">
            <w:pPr>
              <w:keepNext/>
              <w:spacing w:after="70" w:line="240" w:lineRule="auto"/>
            </w:pPr>
            <w:r>
              <w:rPr>
                <w:b/>
                <w:bCs/>
                <w:color w:val="2F6B3B"/>
                <w:spacing w:val="24"/>
                <w:sz w:val="16"/>
                <w:szCs w:val="16"/>
              </w:rPr>
              <w:t>SPARTIPP</w:t>
            </w:r>
          </w:p>
          <w:p w14:paraId="70A4DF0D" w14:textId="1A778DC4" w:rsidR="00C1548D" w:rsidRDefault="009B1B4B">
            <w:pPr>
              <w:spacing w:after="80" w:line="264" w:lineRule="auto"/>
            </w:pPr>
            <w:r>
              <w:rPr>
                <w:sz w:val="20"/>
                <w:szCs w:val="20"/>
              </w:rPr>
              <w:t>Beiträge zum klassischen 401(k) (2026: bis 24.500 $) und zum HSA (4.400 $ Einzelperson, 8.750 $ Familie) mindern dein steuerpflichtiges Gehalt. Im 22-%-Bereich spart ein Beitrag von 10.000 $ rund 2.200 $ Bundessteuer, dazu kommt die Staatssteuer. Ein Arbeitgeberzuschuss (</w:t>
            </w:r>
            <w:r>
              <w:rPr>
                <w:i/>
                <w:iCs/>
                <w:sz w:val="20"/>
                <w:szCs w:val="20"/>
              </w:rPr>
              <w:t>Match</w:t>
            </w:r>
            <w:r>
              <w:rPr>
                <w:sz w:val="20"/>
                <w:szCs w:val="20"/>
              </w:rPr>
              <w:t>) ist zusätzliches Gehalt (Kapitel </w:t>
            </w:r>
            <w:hyperlink w:anchor="k29" w:history="1">
              <w:r>
                <w:rPr>
                  <w:sz w:val="20"/>
                  <w:szCs w:val="20"/>
                </w:rPr>
                <w:t>29</w:t>
              </w:r>
            </w:hyperlink>
            <w:r>
              <w:rPr>
                <w:sz w:val="20"/>
                <w:szCs w:val="20"/>
              </w:rPr>
              <w:t>). Kalifornien und New Jersey besteuern HSA-Beiträge weiterhin auf Staatsebene. Die Konten im Detail: Kapitel </w:t>
            </w:r>
            <w:hyperlink w:anchor="k39" w:history="1">
              <w:r>
                <w:rPr>
                  <w:sz w:val="20"/>
                  <w:szCs w:val="20"/>
                </w:rPr>
                <w:t>39</w:t>
              </w:r>
            </w:hyperlink>
            <w:r>
              <w:rPr>
                <w:sz w:val="20"/>
                <w:szCs w:val="20"/>
              </w:rPr>
              <w:t>; die HSA-Regeln: Kapitel </w:t>
            </w:r>
            <w:hyperlink w:anchor="k26" w:history="1">
              <w:r>
                <w:rPr>
                  <w:sz w:val="20"/>
                  <w:szCs w:val="20"/>
                </w:rPr>
                <w:t>26</w:t>
              </w:r>
            </w:hyperlink>
            <w:r>
              <w:rPr>
                <w:sz w:val="20"/>
                <w:szCs w:val="20"/>
              </w:rPr>
              <w:t>.</w:t>
            </w:r>
          </w:p>
        </w:tc>
      </w:tr>
    </w:tbl>
    <w:p w14:paraId="70A4DF0F" w14:textId="77777777" w:rsidR="00C1548D" w:rsidRDefault="00C1548D">
      <w:pPr>
        <w:spacing w:line="220" w:lineRule="exact"/>
      </w:pPr>
    </w:p>
    <w:p w14:paraId="70A4DF10" w14:textId="77777777" w:rsidR="00C1548D" w:rsidRDefault="009B1B4B">
      <w:pPr>
        <w:pStyle w:val="Heading3"/>
        <w:keepNext/>
        <w:jc w:val="center"/>
      </w:pPr>
      <w:r>
        <w:rPr>
          <w:rFonts w:ascii="Amazon Ember" w:eastAsia="Amazon Ember" w:hAnsi="Amazon Ember" w:cs="Amazon Ember"/>
          <w:color w:val="0000FF"/>
          <w:sz w:val="36"/>
          <w:szCs w:val="36"/>
        </w:rPr>
        <w:t>Steuerresidenz: Wann du in den USA steuerpflichtig wirst</w:t>
      </w:r>
    </w:p>
    <w:p w14:paraId="70A4DF11" w14:textId="77777777" w:rsidR="00C1548D" w:rsidRDefault="009B1B4B">
      <w:pPr>
        <w:spacing w:after="140"/>
      </w:pPr>
      <w:r>
        <w:t xml:space="preserve">Verbreiteter Irrtum: Wer nur ein Arbeitsvisum hat, bleibe steuerlich Ausländer und damit von der US-Steuer auf sein </w:t>
      </w:r>
      <w:r>
        <w:lastRenderedPageBreak/>
        <w:t>Auslandseinkommen verschont. Tatsächlich zählt für die Steuer nicht dein Visum, sondern deine Ansässigkeit. Visum und Status regeln nur, ob du einreisen und arbeiten darfst. Die IRS unterscheidet steuerlich zwei Gruppen:</w:t>
      </w:r>
    </w:p>
    <w:p w14:paraId="70A4DF12" w14:textId="77777777" w:rsidR="00C1548D" w:rsidRDefault="009B1B4B" w:rsidP="009B1B4B">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w14:paraId="70A4DF13" w14:textId="77777777" w:rsidR="00C1548D" w:rsidRDefault="009B1B4B" w:rsidP="009B1B4B">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w14:paraId="70A4DF14" w14:textId="77777777" w:rsidR="00C1548D" w:rsidRDefault="00C1548D">
      <w:pPr>
        <w:spacing w:line="120" w:lineRule="exact"/>
      </w:pPr>
    </w:p>
    <w:p w14:paraId="70A4DF15" w14:textId="77777777" w:rsidR="00C1548D" w:rsidRDefault="009B1B4B">
      <w:pPr>
        <w:spacing w:after="140"/>
      </w:pPr>
      <w:r>
        <w:t>Ansässig bist du bei einer von zwei Bedingungen: Der Green-Card-Test macht dich ab dem ersten Tag als Green-Card-Inhaber (</w:t>
      </w:r>
      <w:r>
        <w:rPr>
          <w:i/>
          <w:iCs/>
        </w:rPr>
        <w:t>LPR</w:t>
      </w:r>
      <w:r>
        <w:t xml:space="preserve">) ansässig. Der </w:t>
      </w:r>
      <w:r>
        <w:rPr>
          <w:i/>
          <w:iCs/>
        </w:rPr>
        <w:t>Substantial Presence Test</w:t>
      </w:r>
      <w:r>
        <w:t>: Du warst mindestens 31 Tage im laufenden Jahr in den USA und erreichst mindestens 183 gewichtete Tage, nämlich laufendes Jahr × 1 + Vorjahr × ⅓ + Vorvorjahr × ⅙. Beispiele für das Einreisejahr (eigene Rechnung): Wer am 1. Juli 2026 einreist, kommt auf 184 Tage und ist ab 1. Juli ansässig. Wer am 1. Oktober 2026 einreist, kommt auf 92 Tage, ist 2026 nichtansässig und ab 2027 ansässig.</w:t>
      </w:r>
    </w:p>
    <w:p w14:paraId="70A4DF16" w14:textId="77777777" w:rsidR="00C1548D" w:rsidRDefault="009B1B4B">
      <w:pPr>
        <w:spacing w:after="140"/>
      </w:pPr>
      <w:r>
        <w:t>Im Jahr der Einreise ergibt sich häufig ein Doppelstatus (</w:t>
      </w:r>
      <w:r>
        <w:rPr>
          <w:i/>
          <w:iCs/>
        </w:rPr>
        <w:t>Dual-Status</w:t>
      </w:r>
      <w:r>
        <w:t>): ein Teil des Jahres nichtansässig, ein Teil ansässig. Dann gibt es keinen Standardabzug und meist keine gemeinsame Veranlagung. Unter Bedingungen kannst du wählen, schon ab Einreise als ansässig zu gelten (</w:t>
      </w:r>
      <w:r>
        <w:rPr>
          <w:i/>
          <w:iCs/>
        </w:rPr>
        <w:t>First-Year Choice</w:t>
      </w:r>
      <w:r>
        <w:t>); ob das nützt, rechnet ein Steuerexperte durch.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F19"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DF17" w14:textId="77777777" w:rsidR="00C1548D" w:rsidRDefault="009B1B4B">
            <w:pPr>
              <w:keepNext/>
              <w:spacing w:after="70" w:line="240" w:lineRule="auto"/>
            </w:pPr>
            <w:r>
              <w:rPr>
                <w:b/>
                <w:bCs/>
                <w:color w:val="8A6212"/>
                <w:spacing w:val="24"/>
                <w:sz w:val="16"/>
                <w:szCs w:val="16"/>
              </w:rPr>
              <w:t>MERKE</w:t>
            </w:r>
          </w:p>
          <w:p w14:paraId="70A4DF18" w14:textId="77777777" w:rsidR="00C1548D" w:rsidRDefault="009B1B4B">
            <w:pPr>
              <w:spacing w:after="80" w:line="264" w:lineRule="auto"/>
            </w:pPr>
            <w:r>
              <w:rPr>
                <w:sz w:val="20"/>
                <w:szCs w:val="20"/>
              </w:rPr>
              <w:t>Steuerlich zählen Green Card und gezählte Tage, nicht das Visum. Wer ansässig ist, meldet Einkommen und Vermögen weltweit, auch wenn die Steuerlast klein ausfällt.</w:t>
            </w:r>
          </w:p>
        </w:tc>
      </w:tr>
    </w:tbl>
    <w:p w14:paraId="70A4DF1A"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F1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F1B" w14:textId="77777777" w:rsidR="00C1548D" w:rsidRDefault="009B1B4B">
            <w:pPr>
              <w:keepNext/>
              <w:spacing w:after="70" w:line="240" w:lineRule="auto"/>
            </w:pPr>
            <w:r>
              <w:rPr>
                <w:b/>
                <w:bCs/>
                <w:color w:val="4A5568"/>
                <w:spacing w:val="24"/>
                <w:sz w:val="16"/>
                <w:szCs w:val="16"/>
              </w:rPr>
              <w:lastRenderedPageBreak/>
              <w:t>PRAXISBEISPIEL · FIKTIV</w:t>
            </w:r>
          </w:p>
          <w:p w14:paraId="70A4DF1C" w14:textId="77777777" w:rsidR="00C1548D" w:rsidRDefault="009B1B4B">
            <w:pPr>
              <w:spacing w:after="80" w:line="264" w:lineRule="auto"/>
            </w:pPr>
            <w:r>
              <w:rPr>
                <w:sz w:val="20"/>
                <w:szCs w:val="20"/>
              </w:rPr>
              <w:t>Sabine Keller (fiktives Beispiel) zieht am 1. Oktober 2026 für ihre H-1B-Stelle nach Seattle. Bis Jahresende ist sie 92 Tage in den USA, also unter 183. Für 2026 gilt sie als nichtansässig, erklärt nur ihr US-Gehalt mit Form 1040-NR und lässt das deutsche Gehalt bis September außen vor. Ab 2027 ist sie mit 365 Tagen ansässig. Dann zählt ihr weltweites Einkommen, und ihr Konto in München ist meldepflichtig – der Kalender mit allen Ein- und Ausreisen, den sie seit dem ersten Arbeitstag pflichtbewusst führt, z</w:t>
            </w:r>
            <w:r>
              <w:rPr>
                <w:sz w:val="20"/>
                <w:szCs w:val="20"/>
              </w:rPr>
              <w:t>ahlt sich hier zum ersten Mal aus.</w:t>
            </w:r>
          </w:p>
        </w:tc>
      </w:tr>
    </w:tbl>
    <w:p w14:paraId="70A4DF1E"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F2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F1F" w14:textId="77777777" w:rsidR="00C1548D" w:rsidRDefault="009B1B4B">
            <w:pPr>
              <w:keepNext/>
              <w:spacing w:after="70" w:line="240" w:lineRule="auto"/>
            </w:pPr>
            <w:r>
              <w:rPr>
                <w:b/>
                <w:bCs/>
                <w:color w:val="9B2C2C"/>
                <w:spacing w:val="24"/>
                <w:sz w:val="16"/>
                <w:szCs w:val="16"/>
              </w:rPr>
              <w:t>ACHTUNG</w:t>
            </w:r>
          </w:p>
          <w:p w14:paraId="70A4DF20" w14:textId="77777777" w:rsidR="00C1548D" w:rsidRDefault="009B1B4B">
            <w:pPr>
              <w:spacing w:after="80" w:line="264" w:lineRule="auto"/>
            </w:pPr>
            <w:r>
              <w:rPr>
                <w:sz w:val="20"/>
                <w:szCs w:val="20"/>
              </w:rPr>
              <w:t>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tc>
      </w:tr>
    </w:tbl>
    <w:p w14:paraId="70A4DF22" w14:textId="77777777" w:rsidR="00C1548D" w:rsidRDefault="00C1548D">
      <w:pPr>
        <w:spacing w:line="220" w:lineRule="exact"/>
      </w:pPr>
    </w:p>
    <w:p w14:paraId="70A4DF23" w14:textId="4DFAE807" w:rsidR="00C1548D" w:rsidRDefault="009B1B4B">
      <w:pPr>
        <w:spacing w:after="140"/>
      </w:pPr>
      <w:r>
        <w:t>Green-Card-Inhaber bleiben steuerlich ansässig, bis sie den Status aufgeben oder verlieren, auch wenn sie wieder in Deutschland leben (Kapitel </w:t>
      </w:r>
      <w:hyperlink w:anchor="k41" w:history="1">
        <w:r>
          <w:t>41</w:t>
        </w:r>
      </w:hyperlink>
      <w:r>
        <w:t xml:space="preserve"> und </w:t>
      </w:r>
      <w:hyperlink w:anchor="k42" w:history="1">
        <w:r>
          <w:t>42</w:t>
        </w:r>
      </w:hyperlink>
      <w:r>
        <w:t>). Die Bundesstaaten haben eigene Ansässigkeitsregeln und verlangen bei Zu- oder Wegzug im Jahr oft Teiljahreserklärungen.</w:t>
      </w:r>
    </w:p>
    <w:p w14:paraId="70A4DF24" w14:textId="77777777" w:rsidR="00C1548D" w:rsidRDefault="009B1B4B">
      <w:pPr>
        <w:pStyle w:val="Heading3"/>
        <w:keepNext/>
        <w:jc w:val="center"/>
      </w:pPr>
      <w:r>
        <w:rPr>
          <w:rFonts w:ascii="Amazon Ember" w:eastAsia="Amazon Ember" w:hAnsi="Amazon Ember" w:cs="Amazon Ember"/>
          <w:color w:val="0000FF"/>
          <w:sz w:val="36"/>
          <w:szCs w:val="36"/>
        </w:rPr>
        <w:t>Weltweites Einkommen, Abkommen und Anrechnung</w:t>
      </w:r>
    </w:p>
    <w:p w14:paraId="70A4DF25" w14:textId="77777777" w:rsidR="00C1548D" w:rsidRDefault="009B1B4B">
      <w:pPr>
        <w:spacing w:after="140"/>
      </w:pPr>
      <w:r>
        <w:t>Als Ansässiger versteuerst du, was du weltweit verdienst: deutsche Mieten, Zinsen, Dividenden, Kapitalgewinne, Renten. Zwei Bausteine verhindern eine doppelte Belastung.</w:t>
      </w:r>
    </w:p>
    <w:p w14:paraId="70A4DF26" w14:textId="77777777" w:rsidR="00C1548D" w:rsidRDefault="009B1B4B">
      <w:pPr>
        <w:spacing w:after="140"/>
      </w:pPr>
      <w:r>
        <w:t>Der erste ist das Doppelbesteuerungsabkommen (DBA) Deutschland–USA von 1989 (Änderungsprotokoll 2006). Bei doppelter Ansässigkeit entscheidet es nach fester Reihenfolge (</w:t>
      </w:r>
      <w:r>
        <w:rPr>
          <w:i/>
          <w:iCs/>
        </w:rPr>
        <w:t>Tie-Breaker</w:t>
      </w:r>
      <w:r>
        <w:t xml:space="preserve">, Artikel 4): ständige Wohnstätte, Mittelpunkt der Lebensinteressen, gewöhnlicher Aufenthalt, Staatsangehörigkeit, </w:t>
      </w:r>
      <w:r>
        <w:lastRenderedPageBreak/>
        <w:t xml:space="preserve">zuletzt eine Verständigung der Behörden. Die </w:t>
      </w:r>
      <w:r>
        <w:rPr>
          <w:i/>
          <w:iCs/>
        </w:rPr>
        <w:t>Saving Clause</w:t>
      </w:r>
      <w:r>
        <w:t xml:space="preserv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w14:paraId="70A4DF27" w14:textId="0EC51514" w:rsidR="00C1548D" w:rsidRDefault="009B1B4B">
      <w:pPr>
        <w:spacing w:after="140"/>
      </w:pPr>
      <w:r>
        <w:t>Der zweite Baustein ist die Anrechnung ausländischer Steuern (</w:t>
      </w:r>
      <w:r>
        <w:rPr>
          <w:i/>
          <w:iCs/>
        </w:rPr>
        <w:t>Foreign Tax Credit</w:t>
      </w:r>
      <w:r>
        <w:t xml:space="preserve">, Form 1116): Bereits gezahlte deutsche Einkommensteuer wird auf die US-Steuer auf dieselben Einkünfte 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mit Abschreibung), die deutsche Steuer wird angerechnet. Deutsche Kapitalertragsteuer über dem Abkommenssatz lässt sich beim Bundeszentralamt für Steuern (BZSt) zurückfordern. Wegzug, Kapitalerträge und Immobilien aus deutscher Sicht: Kapitel </w:t>
      </w:r>
      <w:hyperlink w:anchor="k17" w:history="1">
        <w:r>
          <w:t>17</w:t>
        </w:r>
      </w:hyperlink>
      <w:r>
        <w:t>.</w:t>
      </w:r>
    </w:p>
    <w:p w14:paraId="70A4DF28" w14:textId="77777777" w:rsidR="00C1548D" w:rsidRDefault="009B1B4B">
      <w:pPr>
        <w:pStyle w:val="Heading3"/>
        <w:keepNext/>
        <w:jc w:val="center"/>
      </w:pPr>
      <w:r>
        <w:rPr>
          <w:rFonts w:ascii="Amazon Ember" w:eastAsia="Amazon Ember" w:hAnsi="Amazon Ember" w:cs="Amazon Ember"/>
          <w:color w:val="0000FF"/>
          <w:sz w:val="36"/>
          <w:szCs w:val="36"/>
        </w:rPr>
        <w:t>Meldepflichten für Auslandsvermögen</w:t>
      </w:r>
    </w:p>
    <w:p w14:paraId="70A4DF29" w14:textId="77777777" w:rsidR="00C1548D" w:rsidRDefault="009B1B4B">
      <w:pPr>
        <w:spacing w:after="140"/>
      </w:pPr>
      <w:r>
        <w:t>Neben der Steuer verlangen die USA Meldungen über Vermögen im Ausland, auch wenn darauf keine Steuer anfällt. Ein vergessenes Sparbuch aus Kindertagen mit ein paar hundert Euro Restguthaben zählt dabei genauso wie das Aktiendepot – die Regel fragt nicht nach der Höhe der Zinsen, sondern nach der bloßen Existenz des Kontos. Vier Meldungen betreffen typische Zuzügler.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981"/>
        <w:gridCol w:w="1315"/>
        <w:gridCol w:w="2234"/>
      </w:tblGrid>
      <w:tr w:rsidR="00C1548D" w14:paraId="70A4DF2E"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2A" w14:textId="77777777" w:rsidR="00C1548D" w:rsidRDefault="009B1B4B">
            <w:pPr>
              <w:spacing w:line="250" w:lineRule="auto"/>
            </w:pPr>
            <w:r>
              <w:rPr>
                <w:b/>
                <w:bCs/>
                <w:sz w:val="18"/>
                <w:szCs w:val="18"/>
              </w:rPr>
              <w:t>Meldung</w:t>
            </w:r>
          </w:p>
        </w:tc>
        <w:tc>
          <w:tcPr>
            <w:tcW w:w="198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2B" w14:textId="77777777" w:rsidR="00C1548D" w:rsidRDefault="009B1B4B">
            <w:pPr>
              <w:spacing w:line="250" w:lineRule="auto"/>
            </w:pPr>
            <w:r>
              <w:rPr>
                <w:b/>
                <w:bCs/>
                <w:sz w:val="18"/>
                <w:szCs w:val="18"/>
              </w:rPr>
              <w:t>Schwelle</w:t>
            </w:r>
          </w:p>
        </w:tc>
        <w:tc>
          <w:tcPr>
            <w:tcW w:w="131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2C" w14:textId="77777777" w:rsidR="00C1548D" w:rsidRDefault="009B1B4B">
            <w:pPr>
              <w:spacing w:line="250" w:lineRule="auto"/>
            </w:pPr>
            <w:r>
              <w:rPr>
                <w:b/>
                <w:bCs/>
                <w:sz w:val="18"/>
                <w:szCs w:val="18"/>
              </w:rPr>
              <w:t>Frist</w:t>
            </w:r>
          </w:p>
        </w:tc>
        <w:tc>
          <w:tcPr>
            <w:tcW w:w="223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2D" w14:textId="77777777" w:rsidR="00C1548D" w:rsidRDefault="009B1B4B">
            <w:pPr>
              <w:spacing w:line="250" w:lineRule="auto"/>
            </w:pPr>
            <w:r>
              <w:rPr>
                <w:b/>
                <w:bCs/>
                <w:sz w:val="18"/>
                <w:szCs w:val="18"/>
              </w:rPr>
              <w:t>Strafe (Start)</w:t>
            </w:r>
          </w:p>
        </w:tc>
      </w:tr>
      <w:tr w:rsidR="00C1548D" w14:paraId="70A4DF3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2F" w14:textId="77777777" w:rsidR="00C1548D" w:rsidRDefault="009B1B4B">
            <w:pPr>
              <w:spacing w:line="250" w:lineRule="auto"/>
            </w:pPr>
            <w:r>
              <w:rPr>
                <w:sz w:val="18"/>
                <w:szCs w:val="18"/>
              </w:rPr>
              <w:t>FBAR (FinCEN 114)</w:t>
            </w:r>
          </w:p>
        </w:tc>
        <w:tc>
          <w:tcPr>
            <w:tcW w:w="19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0" w14:textId="77777777" w:rsidR="00C1548D" w:rsidRDefault="009B1B4B">
            <w:pPr>
              <w:spacing w:line="250" w:lineRule="auto"/>
            </w:pPr>
            <w:r>
              <w:rPr>
                <w:sz w:val="18"/>
                <w:szCs w:val="18"/>
              </w:rPr>
              <w:t>Auslandskonten zusammen über 10.000 $ zu irgendeinem Zeitpunkt</w:t>
            </w:r>
          </w:p>
        </w:tc>
        <w:tc>
          <w:tcPr>
            <w:tcW w:w="13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1" w14:textId="77777777" w:rsidR="00C1548D" w:rsidRDefault="009B1B4B">
            <w:pPr>
              <w:spacing w:line="250" w:lineRule="auto"/>
            </w:pPr>
            <w:r>
              <w:rPr>
                <w:sz w:val="18"/>
                <w:szCs w:val="18"/>
              </w:rPr>
              <w:t>15. April, automatisch bis 15. Oktober</w:t>
            </w:r>
          </w:p>
        </w:tc>
        <w:tc>
          <w:tcPr>
            <w:tcW w:w="2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2" w14:textId="77777777" w:rsidR="00C1548D" w:rsidRDefault="009B1B4B">
            <w:pPr>
              <w:spacing w:line="250" w:lineRule="auto"/>
            </w:pPr>
            <w:r>
              <w:rPr>
                <w:sz w:val="18"/>
                <w:szCs w:val="18"/>
              </w:rPr>
              <w:t>nicht vorsätzlich bis 16.536 $; vorsätzlich der höhere Betrag aus 165.353 $ und 50 % des Kontos</w:t>
            </w:r>
          </w:p>
        </w:tc>
      </w:tr>
      <w:tr w:rsidR="00C1548D" w14:paraId="70A4DF3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4" w14:textId="77777777" w:rsidR="00C1548D" w:rsidRDefault="009B1B4B">
            <w:pPr>
              <w:spacing w:line="250" w:lineRule="auto"/>
            </w:pPr>
            <w:r>
              <w:rPr>
                <w:sz w:val="18"/>
                <w:szCs w:val="18"/>
              </w:rPr>
              <w:lastRenderedPageBreak/>
              <w:t>Form 8938 (FATCA)</w:t>
            </w:r>
          </w:p>
        </w:tc>
        <w:tc>
          <w:tcPr>
            <w:tcW w:w="19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5" w14:textId="77777777" w:rsidR="00C1548D" w:rsidRDefault="009B1B4B">
            <w:pPr>
              <w:spacing w:line="250" w:lineRule="auto"/>
            </w:pPr>
            <w:r>
              <w:rPr>
                <w:sz w:val="18"/>
                <w:szCs w:val="18"/>
              </w:rPr>
              <w:t>Einzelperson: über 50.000 $ am Jahresende oder 75.000 $ jederzeit; Ehepaar 100.000 $ bzw. 150.000 $</w:t>
            </w:r>
          </w:p>
        </w:tc>
        <w:tc>
          <w:tcPr>
            <w:tcW w:w="13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6" w14:textId="77777777" w:rsidR="00C1548D" w:rsidRDefault="009B1B4B">
            <w:pPr>
              <w:spacing w:line="250" w:lineRule="auto"/>
            </w:pPr>
            <w:r>
              <w:rPr>
                <w:sz w:val="18"/>
                <w:szCs w:val="18"/>
              </w:rPr>
              <w:t>mit der Steuererklärung</w:t>
            </w:r>
          </w:p>
        </w:tc>
        <w:tc>
          <w:tcPr>
            <w:tcW w:w="2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7" w14:textId="77777777" w:rsidR="00C1548D" w:rsidRDefault="009B1B4B">
            <w:pPr>
              <w:spacing w:line="250" w:lineRule="auto"/>
            </w:pPr>
            <w:r>
              <w:rPr>
                <w:sz w:val="18"/>
                <w:szCs w:val="18"/>
              </w:rPr>
              <w:t>10.000 $, dazu bis 50.000 $</w:t>
            </w:r>
          </w:p>
        </w:tc>
      </w:tr>
      <w:tr w:rsidR="00C1548D" w14:paraId="70A4DF3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9" w14:textId="77777777" w:rsidR="00C1548D" w:rsidRDefault="009B1B4B">
            <w:pPr>
              <w:spacing w:line="250" w:lineRule="auto"/>
            </w:pPr>
            <w:r>
              <w:rPr>
                <w:sz w:val="18"/>
                <w:szCs w:val="18"/>
              </w:rPr>
              <w:t>Form 8621 (PFIC)</w:t>
            </w:r>
          </w:p>
        </w:tc>
        <w:tc>
          <w:tcPr>
            <w:tcW w:w="19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A" w14:textId="77777777" w:rsidR="00C1548D" w:rsidRDefault="009B1B4B">
            <w:pPr>
              <w:spacing w:line="250" w:lineRule="auto"/>
            </w:pPr>
            <w:r>
              <w:rPr>
                <w:sz w:val="18"/>
                <w:szCs w:val="18"/>
              </w:rPr>
              <w:t>jeder ausländische Fonds; entfällt bis 25.000 $ (Ehepaar 50.000 $) ohne Verkauf</w:t>
            </w:r>
          </w:p>
        </w:tc>
        <w:tc>
          <w:tcPr>
            <w:tcW w:w="13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B" w14:textId="77777777" w:rsidR="00C1548D" w:rsidRDefault="009B1B4B">
            <w:pPr>
              <w:spacing w:line="250" w:lineRule="auto"/>
            </w:pPr>
            <w:r>
              <w:rPr>
                <w:sz w:val="18"/>
                <w:szCs w:val="18"/>
              </w:rPr>
              <w:t>mit der Steuererklärung</w:t>
            </w:r>
          </w:p>
        </w:tc>
        <w:tc>
          <w:tcPr>
            <w:tcW w:w="2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C" w14:textId="77777777" w:rsidR="00C1548D" w:rsidRDefault="009B1B4B">
            <w:pPr>
              <w:spacing w:line="250" w:lineRule="auto"/>
            </w:pPr>
            <w:r>
              <w:rPr>
                <w:sz w:val="18"/>
                <w:szCs w:val="18"/>
              </w:rPr>
              <w:t>Steuer zum Höchstsatz plus Zinsen</w:t>
            </w:r>
          </w:p>
        </w:tc>
      </w:tr>
      <w:tr w:rsidR="00C1548D" w14:paraId="70A4DF4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E" w14:textId="77777777" w:rsidR="00C1548D" w:rsidRDefault="009B1B4B">
            <w:pPr>
              <w:spacing w:line="250" w:lineRule="auto"/>
            </w:pPr>
            <w:r>
              <w:rPr>
                <w:sz w:val="18"/>
                <w:szCs w:val="18"/>
              </w:rPr>
              <w:t>Form 3520</w:t>
            </w:r>
          </w:p>
        </w:tc>
        <w:tc>
          <w:tcPr>
            <w:tcW w:w="19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3F" w14:textId="77777777" w:rsidR="00C1548D" w:rsidRDefault="009B1B4B">
            <w:pPr>
              <w:spacing w:line="250" w:lineRule="auto"/>
            </w:pPr>
            <w:r>
              <w:rPr>
                <w:sz w:val="18"/>
                <w:szCs w:val="18"/>
              </w:rPr>
              <w:t>Erbschaft oder Schenkung von Ausländern über 100.000 $ im Jahr</w:t>
            </w:r>
          </w:p>
        </w:tc>
        <w:tc>
          <w:tcPr>
            <w:tcW w:w="13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40" w14:textId="77777777" w:rsidR="00C1548D" w:rsidRDefault="009B1B4B">
            <w:pPr>
              <w:spacing w:line="250" w:lineRule="auto"/>
            </w:pPr>
            <w:r>
              <w:rPr>
                <w:sz w:val="18"/>
                <w:szCs w:val="18"/>
              </w:rPr>
              <w:t>mit der Steuererklärung</w:t>
            </w:r>
          </w:p>
        </w:tc>
        <w:tc>
          <w:tcPr>
            <w:tcW w:w="2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41" w14:textId="77777777" w:rsidR="00C1548D" w:rsidRDefault="009B1B4B">
            <w:pPr>
              <w:spacing w:line="250" w:lineRule="auto"/>
            </w:pPr>
            <w:r>
              <w:rPr>
                <w:sz w:val="18"/>
                <w:szCs w:val="18"/>
              </w:rPr>
              <w:t>5 % je Monat, höchstens 25 %</w:t>
            </w:r>
          </w:p>
        </w:tc>
      </w:tr>
    </w:tbl>
    <w:p w14:paraId="70A4DF43" w14:textId="77777777" w:rsidR="00C1548D" w:rsidRDefault="00C1548D">
      <w:pPr>
        <w:spacing w:line="180" w:lineRule="exact"/>
      </w:pPr>
    </w:p>
    <w:p w14:paraId="70A4DF44" w14:textId="77777777" w:rsidR="00C1548D" w:rsidRDefault="009B1B4B">
      <w:pPr>
        <w:spacing w:after="140"/>
      </w:pPr>
      <w:r>
        <w:t>Die FBAR-Beträge stammen von Januar 2025 und gelten nach einer Vorgabe des Weißen Hauses auch für 2026 unverändert.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F4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F45" w14:textId="77777777" w:rsidR="00C1548D" w:rsidRDefault="009B1B4B">
            <w:pPr>
              <w:keepNext/>
              <w:spacing w:after="70" w:line="240" w:lineRule="auto"/>
            </w:pPr>
            <w:r>
              <w:rPr>
                <w:b/>
                <w:bCs/>
                <w:color w:val="9B2C2C"/>
                <w:spacing w:val="24"/>
                <w:sz w:val="16"/>
                <w:szCs w:val="16"/>
              </w:rPr>
              <w:t>ACHTUNG</w:t>
            </w:r>
          </w:p>
          <w:p w14:paraId="70A4DF46" w14:textId="77777777" w:rsidR="00C1548D" w:rsidRDefault="009B1B4B">
            <w:pPr>
              <w:spacing w:after="80" w:line="264" w:lineRule="auto"/>
            </w:pPr>
            <w:r>
              <w:rPr>
                <w:sz w:val="20"/>
                <w:szCs w:val="20"/>
              </w:rPr>
              <w:t xml:space="preserve">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w:t>
            </w:r>
            <w:r>
              <w:rPr>
                <w:i/>
                <w:iCs/>
                <w:sz w:val="20"/>
                <w:szCs w:val="20"/>
              </w:rPr>
              <w:t>Bittner v. United States</w:t>
            </w:r>
            <w:r>
              <w:rPr>
                <w:sz w:val="20"/>
                <w:szCs w:val="20"/>
              </w:rPr>
              <w:t xml:space="preserve"> (2023) gilt die Strafe für nicht vorsätzliche Fehler je Bericht, nicht je Konto. Wer Versäumnisse entdeckt, holt vor einer Nachmeldung Rat bei einem auf Auslandsfälle spezialisierten Steuerexperten oder Anwalt.</w:t>
            </w:r>
          </w:p>
        </w:tc>
      </w:tr>
    </w:tbl>
    <w:p w14:paraId="70A4DF48"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F4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F49" w14:textId="77777777" w:rsidR="00C1548D" w:rsidRDefault="009B1B4B">
            <w:pPr>
              <w:keepNext/>
              <w:spacing w:after="70" w:line="240" w:lineRule="auto"/>
            </w:pPr>
            <w:r>
              <w:rPr>
                <w:b/>
                <w:bCs/>
                <w:color w:val="9B2C2C"/>
                <w:spacing w:val="24"/>
                <w:sz w:val="16"/>
                <w:szCs w:val="16"/>
              </w:rPr>
              <w:lastRenderedPageBreak/>
              <w:t>ACHTUNG</w:t>
            </w:r>
          </w:p>
          <w:p w14:paraId="70A4DF4A" w14:textId="77777777" w:rsidR="00C1548D" w:rsidRDefault="009B1B4B">
            <w:pPr>
              <w:spacing w:after="80" w:line="264" w:lineRule="auto"/>
            </w:pPr>
            <w:r>
              <w:rPr>
                <w:sz w:val="20"/>
                <w:szCs w:val="20"/>
              </w:rPr>
              <w:t>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tc>
      </w:tr>
    </w:tbl>
    <w:p w14:paraId="70A4DF4C"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F4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F4D" w14:textId="77777777" w:rsidR="00C1548D" w:rsidRDefault="009B1B4B">
            <w:pPr>
              <w:keepNext/>
              <w:spacing w:after="70" w:line="240" w:lineRule="auto"/>
            </w:pPr>
            <w:r>
              <w:rPr>
                <w:b/>
                <w:bCs/>
                <w:color w:val="9B2C2C"/>
                <w:spacing w:val="24"/>
                <w:sz w:val="16"/>
                <w:szCs w:val="16"/>
              </w:rPr>
              <w:t>ACHTUNG</w:t>
            </w:r>
          </w:p>
          <w:p w14:paraId="70A4DF4E" w14:textId="67D14F23" w:rsidR="00C1548D" w:rsidRDefault="009B1B4B">
            <w:pPr>
              <w:spacing w:after="80" w:line="264" w:lineRule="auto"/>
            </w:pPr>
            <w:r>
              <w:rPr>
                <w:sz w:val="20"/>
                <w:szCs w:val="20"/>
              </w:rPr>
              <w:t xml:space="preserve">Deutsche Fonds und ETFs gelten für US-Steuerpflichtige in der Regel als </w:t>
            </w:r>
            <w:r>
              <w:rPr>
                <w:i/>
                <w:iCs/>
                <w:sz w:val="20"/>
                <w:szCs w:val="20"/>
              </w:rPr>
              <w:t>PFIC</w:t>
            </w:r>
            <w:r>
              <w:rPr>
                <w:sz w:val="20"/>
                <w:szCs w:val="20"/>
              </w:rPr>
              <w:t xml:space="preserve"> (</w:t>
            </w:r>
            <w:r>
              <w:rPr>
                <w:i/>
                <w:iCs/>
                <w:sz w:val="20"/>
                <w:szCs w:val="20"/>
              </w:rPr>
              <w:t>Passive Foreign Investment Company</w:t>
            </w:r>
            <w:r>
              <w:rPr>
                <w:sz w:val="20"/>
                <w:szCs w:val="20"/>
              </w:rPr>
              <w:t xml:space="preserve">, passive ausländische Kapitalgesellschaft). Im Standardregime werden Gewinne und Ausschüttungen auf die Haltejahre verteilt und ältere Jahre zum Höchstsatz plus Zinsen besteuert; der günstige Kapitalgewinnsatz entfällt. Die Alternativen (laufende Versteuerung per </w:t>
            </w:r>
            <w:r>
              <w:rPr>
                <w:i/>
                <w:iCs/>
                <w:sz w:val="20"/>
                <w:szCs w:val="20"/>
              </w:rPr>
              <w:t>QEF</w:t>
            </w:r>
            <w:r>
              <w:rPr>
                <w:sz w:val="20"/>
                <w:szCs w:val="20"/>
              </w:rPr>
              <w:t xml:space="preserve">-Wahl, jährliche Bewertung per </w:t>
            </w:r>
            <w:r>
              <w:rPr>
                <w:i/>
                <w:iCs/>
                <w:sz w:val="20"/>
                <w:szCs w:val="20"/>
              </w:rPr>
              <w:t>Mark-to-Market</w:t>
            </w:r>
            <w:r>
              <w:rPr>
                <w:sz w:val="20"/>
                <w:szCs w:val="20"/>
              </w:rPr>
              <w:t>) scheitern bei deutschen Fonds oft an fehlenden Unterlagen oder der Börsenzulassung. Kläre deshalb vor dem Zuzug, ob du Fonds verkaufst (deutsche Steuer vorher prüfen), und kaufe danach nur in den USA aufgelegte ETFs (Kapitel </w:t>
            </w:r>
            <w:hyperlink w:anchor="k17" w:history="1">
              <w:r>
                <w:rPr>
                  <w:sz w:val="20"/>
                  <w:szCs w:val="20"/>
                </w:rPr>
                <w:t>17</w:t>
              </w:r>
            </w:hyperlink>
            <w:r>
              <w:rPr>
                <w:sz w:val="20"/>
                <w:szCs w:val="20"/>
              </w:rPr>
              <w:t xml:space="preserve"> und </w:t>
            </w:r>
            <w:hyperlink w:anchor="k39" w:history="1">
              <w:r>
                <w:rPr>
                  <w:sz w:val="20"/>
                  <w:szCs w:val="20"/>
                </w:rPr>
                <w:t>39</w:t>
              </w:r>
            </w:hyperlink>
            <w:r>
              <w:rPr>
                <w:sz w:val="20"/>
                <w:szCs w:val="20"/>
              </w:rPr>
              <w:t>).</w:t>
            </w:r>
          </w:p>
        </w:tc>
      </w:tr>
    </w:tbl>
    <w:p w14:paraId="70A4DF50" w14:textId="77777777" w:rsidR="00C1548D" w:rsidRDefault="00C1548D">
      <w:pPr>
        <w:spacing w:line="220" w:lineRule="exact"/>
      </w:pPr>
    </w:p>
    <w:p w14:paraId="70A4DF51" w14:textId="77777777" w:rsidR="00C1548D" w:rsidRDefault="009B1B4B">
      <w:pPr>
        <w:spacing w:after="140"/>
      </w:pPr>
      <w:r>
        <w:t>Bei Form 3520 fällt meist keine US-Steuer an; die Meldung ist trotzdem Pflicht. Für Riester, Rürup, Kapitallebensversicherung und Bausparvertrag gibt es keine eindeutige IRS-Leitlinie: Behandle sie als Einzelfall für einen Berater mit Auslandserfahrung.</w:t>
      </w:r>
    </w:p>
    <w:p w14:paraId="70A4DF52" w14:textId="77777777" w:rsidR="00C1548D" w:rsidRDefault="009B1B4B">
      <w:pPr>
        <w:pStyle w:val="Heading3"/>
        <w:keepNext/>
        <w:jc w:val="center"/>
      </w:pPr>
      <w:r>
        <w:rPr>
          <w:rFonts w:ascii="Amazon Ember" w:eastAsia="Amazon Ember" w:hAnsi="Amazon Ember" w:cs="Amazon Ember"/>
          <w:color w:val="0000FF"/>
          <w:sz w:val="36"/>
          <w:szCs w:val="36"/>
        </w:rPr>
        <w:t>Bundesstaaten und Kommunen: Was du zusätzlich zahlst</w:t>
      </w:r>
    </w:p>
    <w:p w14:paraId="70A4DF53" w14:textId="77777777" w:rsidR="00C1548D" w:rsidRDefault="009B1B4B">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9"/>
        <w:gridCol w:w="2989"/>
        <w:gridCol w:w="1116"/>
        <w:gridCol w:w="1116"/>
      </w:tblGrid>
      <w:tr w:rsidR="00C1548D" w14:paraId="70A4DF58" w14:textId="77777777">
        <w:tblPrEx>
          <w:tblCellMar>
            <w:top w:w="0" w:type="dxa"/>
            <w:bottom w:w="0" w:type="dxa"/>
          </w:tblCellMar>
        </w:tblPrEx>
        <w:trPr>
          <w:cantSplit/>
          <w:tblHeader/>
        </w:trPr>
        <w:tc>
          <w:tcPr>
            <w:tcW w:w="125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54" w14:textId="77777777" w:rsidR="00C1548D" w:rsidRDefault="009B1B4B">
            <w:pPr>
              <w:spacing w:line="250" w:lineRule="auto"/>
            </w:pPr>
            <w:r>
              <w:rPr>
                <w:b/>
                <w:bCs/>
                <w:sz w:val="18"/>
                <w:szCs w:val="18"/>
              </w:rPr>
              <w:lastRenderedPageBreak/>
              <w:t>Staat</w:t>
            </w:r>
          </w:p>
        </w:tc>
        <w:tc>
          <w:tcPr>
            <w:tcW w:w="29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55" w14:textId="77777777" w:rsidR="00C1548D" w:rsidRDefault="009B1B4B">
            <w:pPr>
              <w:spacing w:line="250" w:lineRule="auto"/>
            </w:pPr>
            <w:r>
              <w:rPr>
                <w:b/>
                <w:bCs/>
                <w:sz w:val="18"/>
                <w:szCs w:val="18"/>
              </w:rPr>
              <w:t>Einkommensteuer</w:t>
            </w:r>
          </w:p>
        </w:tc>
        <w:tc>
          <w:tcPr>
            <w:tcW w:w="111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56" w14:textId="77777777" w:rsidR="00C1548D" w:rsidRDefault="009B1B4B">
            <w:pPr>
              <w:spacing w:line="250" w:lineRule="auto"/>
            </w:pPr>
            <w:r>
              <w:rPr>
                <w:b/>
                <w:bCs/>
                <w:sz w:val="18"/>
                <w:szCs w:val="18"/>
              </w:rPr>
              <w:t>Sales Tax</w:t>
            </w:r>
          </w:p>
        </w:tc>
        <w:tc>
          <w:tcPr>
            <w:tcW w:w="111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57" w14:textId="77777777" w:rsidR="00C1548D" w:rsidRDefault="009B1B4B">
            <w:pPr>
              <w:spacing w:line="250" w:lineRule="auto"/>
            </w:pPr>
            <w:r>
              <w:rPr>
                <w:b/>
                <w:bCs/>
                <w:sz w:val="18"/>
                <w:szCs w:val="18"/>
              </w:rPr>
              <w:t>Grundsteuer</w:t>
            </w:r>
          </w:p>
        </w:tc>
      </w:tr>
      <w:tr w:rsidR="00C1548D" w14:paraId="70A4DF5D" w14:textId="77777777">
        <w:tblPrEx>
          <w:tblCellMar>
            <w:top w:w="0" w:type="dxa"/>
            <w:bottom w:w="0" w:type="dxa"/>
          </w:tblCellMar>
        </w:tblPrEx>
        <w:trPr>
          <w:cantSplit/>
        </w:trPr>
        <w:tc>
          <w:tcPr>
            <w:tcW w:w="1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59" w14:textId="77777777" w:rsidR="00C1548D" w:rsidRDefault="009B1B4B">
            <w:pPr>
              <w:spacing w:line="250" w:lineRule="auto"/>
            </w:pPr>
            <w:r>
              <w:rPr>
                <w:sz w:val="18"/>
                <w:szCs w:val="18"/>
              </w:rPr>
              <w:t>Texas</w:t>
            </w:r>
          </w:p>
        </w:tc>
        <w:tc>
          <w:tcPr>
            <w:tcW w:w="2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5A" w14:textId="77777777" w:rsidR="00C1548D" w:rsidRDefault="009B1B4B">
            <w:pPr>
              <w:spacing w:line="250" w:lineRule="auto"/>
            </w:pPr>
            <w:r>
              <w:rPr>
                <w:sz w:val="18"/>
                <w:szCs w:val="18"/>
              </w:rPr>
              <w:t>keine</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5B" w14:textId="77777777" w:rsidR="00C1548D" w:rsidRDefault="009B1B4B">
            <w:pPr>
              <w:spacing w:line="250" w:lineRule="auto"/>
            </w:pPr>
            <w:r>
              <w:rPr>
                <w:sz w:val="18"/>
                <w:szCs w:val="18"/>
              </w:rPr>
              <w:t>8,20 %</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5C" w14:textId="77777777" w:rsidR="00C1548D" w:rsidRDefault="009B1B4B">
            <w:pPr>
              <w:spacing w:line="250" w:lineRule="auto"/>
            </w:pPr>
            <w:r>
              <w:rPr>
                <w:sz w:val="18"/>
                <w:szCs w:val="18"/>
              </w:rPr>
              <w:t>1,2–1,5 %</w:t>
            </w:r>
          </w:p>
        </w:tc>
      </w:tr>
      <w:tr w:rsidR="00C1548D" w14:paraId="70A4DF62" w14:textId="77777777">
        <w:tblPrEx>
          <w:tblCellMar>
            <w:top w:w="0" w:type="dxa"/>
            <w:bottom w:w="0" w:type="dxa"/>
          </w:tblCellMar>
        </w:tblPrEx>
        <w:trPr>
          <w:cantSplit/>
        </w:trPr>
        <w:tc>
          <w:tcPr>
            <w:tcW w:w="1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5E" w14:textId="77777777" w:rsidR="00C1548D" w:rsidRDefault="009B1B4B">
            <w:pPr>
              <w:spacing w:line="250" w:lineRule="auto"/>
            </w:pPr>
            <w:r>
              <w:rPr>
                <w:sz w:val="18"/>
                <w:szCs w:val="18"/>
              </w:rPr>
              <w:t>Washington</w:t>
            </w:r>
          </w:p>
        </w:tc>
        <w:tc>
          <w:tcPr>
            <w:tcW w:w="2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5F" w14:textId="77777777" w:rsidR="00C1548D" w:rsidRDefault="009B1B4B">
            <w:pPr>
              <w:spacing w:line="250" w:lineRule="auto"/>
            </w:pPr>
            <w:r>
              <w:rPr>
                <w:sz w:val="18"/>
                <w:szCs w:val="18"/>
              </w:rPr>
              <w:t>keine auf Löhne</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0" w14:textId="77777777" w:rsidR="00C1548D" w:rsidRDefault="009B1B4B">
            <w:pPr>
              <w:spacing w:line="250" w:lineRule="auto"/>
            </w:pPr>
            <w:r>
              <w:rPr>
                <w:sz w:val="18"/>
                <w:szCs w:val="18"/>
              </w:rPr>
              <w:t>9,57 %</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1" w14:textId="77777777" w:rsidR="00C1548D" w:rsidRDefault="009B1B4B">
            <w:pPr>
              <w:spacing w:line="250" w:lineRule="auto"/>
            </w:pPr>
            <w:r>
              <w:rPr>
                <w:sz w:val="18"/>
                <w:szCs w:val="18"/>
              </w:rPr>
              <w:t>0,7–0,8 %</w:t>
            </w:r>
          </w:p>
        </w:tc>
      </w:tr>
      <w:tr w:rsidR="00C1548D" w14:paraId="70A4DF67" w14:textId="77777777">
        <w:tblPrEx>
          <w:tblCellMar>
            <w:top w:w="0" w:type="dxa"/>
            <w:bottom w:w="0" w:type="dxa"/>
          </w:tblCellMar>
        </w:tblPrEx>
        <w:trPr>
          <w:cantSplit/>
        </w:trPr>
        <w:tc>
          <w:tcPr>
            <w:tcW w:w="1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3" w14:textId="77777777" w:rsidR="00C1548D" w:rsidRDefault="009B1B4B">
            <w:pPr>
              <w:spacing w:line="250" w:lineRule="auto"/>
            </w:pPr>
            <w:r>
              <w:rPr>
                <w:sz w:val="18"/>
                <w:szCs w:val="18"/>
              </w:rPr>
              <w:t>Florida</w:t>
            </w:r>
          </w:p>
        </w:tc>
        <w:tc>
          <w:tcPr>
            <w:tcW w:w="2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4" w14:textId="77777777" w:rsidR="00C1548D" w:rsidRDefault="009B1B4B">
            <w:pPr>
              <w:spacing w:line="250" w:lineRule="auto"/>
            </w:pPr>
            <w:r>
              <w:rPr>
                <w:sz w:val="18"/>
                <w:szCs w:val="18"/>
              </w:rPr>
              <w:t>keine</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5" w14:textId="77777777" w:rsidR="00C1548D" w:rsidRDefault="009B1B4B">
            <w:pPr>
              <w:spacing w:line="250" w:lineRule="auto"/>
            </w:pPr>
            <w:r>
              <w:rPr>
                <w:sz w:val="18"/>
                <w:szCs w:val="18"/>
              </w:rPr>
              <w:t>6,98 %</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6" w14:textId="77777777" w:rsidR="00C1548D" w:rsidRDefault="009B1B4B">
            <w:pPr>
              <w:spacing w:line="250" w:lineRule="auto"/>
            </w:pPr>
            <w:r>
              <w:rPr>
                <w:sz w:val="18"/>
                <w:szCs w:val="18"/>
              </w:rPr>
              <w:t>0,8 %</w:t>
            </w:r>
          </w:p>
        </w:tc>
      </w:tr>
      <w:tr w:rsidR="00C1548D" w14:paraId="70A4DF6C" w14:textId="77777777">
        <w:tblPrEx>
          <w:tblCellMar>
            <w:top w:w="0" w:type="dxa"/>
            <w:bottom w:w="0" w:type="dxa"/>
          </w:tblCellMar>
        </w:tblPrEx>
        <w:trPr>
          <w:cantSplit/>
        </w:trPr>
        <w:tc>
          <w:tcPr>
            <w:tcW w:w="1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8" w14:textId="77777777" w:rsidR="00C1548D" w:rsidRDefault="009B1B4B">
            <w:pPr>
              <w:spacing w:line="250" w:lineRule="auto"/>
            </w:pPr>
            <w:r>
              <w:rPr>
                <w:sz w:val="18"/>
                <w:szCs w:val="18"/>
              </w:rPr>
              <w:t>Arizona</w:t>
            </w:r>
          </w:p>
        </w:tc>
        <w:tc>
          <w:tcPr>
            <w:tcW w:w="2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9" w14:textId="77777777" w:rsidR="00C1548D" w:rsidRDefault="009B1B4B">
            <w:pPr>
              <w:spacing w:line="250" w:lineRule="auto"/>
            </w:pPr>
            <w:r>
              <w:rPr>
                <w:sz w:val="18"/>
                <w:szCs w:val="18"/>
              </w:rPr>
              <w:t>2,5 % flach</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A" w14:textId="77777777" w:rsidR="00C1548D" w:rsidRDefault="009B1B4B">
            <w:pPr>
              <w:spacing w:line="250" w:lineRule="auto"/>
            </w:pPr>
            <w:r>
              <w:rPr>
                <w:sz w:val="18"/>
                <w:szCs w:val="18"/>
              </w:rPr>
              <w:t>8,54 %</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B" w14:textId="77777777" w:rsidR="00C1548D" w:rsidRDefault="009B1B4B">
            <w:pPr>
              <w:spacing w:line="250" w:lineRule="auto"/>
            </w:pPr>
            <w:r>
              <w:rPr>
                <w:sz w:val="18"/>
                <w:szCs w:val="18"/>
              </w:rPr>
              <w:t>0,4 %</w:t>
            </w:r>
          </w:p>
        </w:tc>
      </w:tr>
      <w:tr w:rsidR="00C1548D" w14:paraId="70A4DF71" w14:textId="77777777">
        <w:tblPrEx>
          <w:tblCellMar>
            <w:top w:w="0" w:type="dxa"/>
            <w:bottom w:w="0" w:type="dxa"/>
          </w:tblCellMar>
        </w:tblPrEx>
        <w:trPr>
          <w:cantSplit/>
        </w:trPr>
        <w:tc>
          <w:tcPr>
            <w:tcW w:w="1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D" w14:textId="77777777" w:rsidR="00C1548D" w:rsidRDefault="009B1B4B">
            <w:pPr>
              <w:spacing w:line="250" w:lineRule="auto"/>
            </w:pPr>
            <w:r>
              <w:rPr>
                <w:sz w:val="18"/>
                <w:szCs w:val="18"/>
              </w:rPr>
              <w:t>North Carolina</w:t>
            </w:r>
          </w:p>
        </w:tc>
        <w:tc>
          <w:tcPr>
            <w:tcW w:w="2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E" w14:textId="77777777" w:rsidR="00C1548D" w:rsidRDefault="009B1B4B">
            <w:pPr>
              <w:spacing w:line="250" w:lineRule="auto"/>
            </w:pPr>
            <w:r>
              <w:rPr>
                <w:sz w:val="18"/>
                <w:szCs w:val="18"/>
              </w:rPr>
              <w:t>3,99 % flach</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6F" w14:textId="77777777" w:rsidR="00C1548D" w:rsidRDefault="009B1B4B">
            <w:pPr>
              <w:spacing w:line="250" w:lineRule="auto"/>
            </w:pPr>
            <w:r>
              <w:rPr>
                <w:sz w:val="18"/>
                <w:szCs w:val="18"/>
              </w:rPr>
              <w:t>7,10 %</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0" w14:textId="77777777" w:rsidR="00C1548D" w:rsidRDefault="009B1B4B">
            <w:pPr>
              <w:spacing w:line="250" w:lineRule="auto"/>
            </w:pPr>
            <w:r>
              <w:rPr>
                <w:sz w:val="18"/>
                <w:szCs w:val="18"/>
              </w:rPr>
              <w:t>0,6 %</w:t>
            </w:r>
          </w:p>
        </w:tc>
      </w:tr>
      <w:tr w:rsidR="00C1548D" w14:paraId="70A4DF76" w14:textId="77777777">
        <w:tblPrEx>
          <w:tblCellMar>
            <w:top w:w="0" w:type="dxa"/>
            <w:bottom w:w="0" w:type="dxa"/>
          </w:tblCellMar>
        </w:tblPrEx>
        <w:trPr>
          <w:cantSplit/>
        </w:trPr>
        <w:tc>
          <w:tcPr>
            <w:tcW w:w="1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2" w14:textId="77777777" w:rsidR="00C1548D" w:rsidRDefault="009B1B4B">
            <w:pPr>
              <w:spacing w:line="250" w:lineRule="auto"/>
            </w:pPr>
            <w:r>
              <w:rPr>
                <w:sz w:val="18"/>
                <w:szCs w:val="18"/>
              </w:rPr>
              <w:t>Michigan</w:t>
            </w:r>
          </w:p>
        </w:tc>
        <w:tc>
          <w:tcPr>
            <w:tcW w:w="2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3" w14:textId="77777777" w:rsidR="00C1548D" w:rsidRDefault="009B1B4B">
            <w:pPr>
              <w:spacing w:line="250" w:lineRule="auto"/>
            </w:pPr>
            <w:r>
              <w:rPr>
                <w:sz w:val="18"/>
                <w:szCs w:val="18"/>
              </w:rPr>
              <w:t>4,25 % flach, dazu Stadtsteuern</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4" w14:textId="77777777" w:rsidR="00C1548D" w:rsidRDefault="009B1B4B">
            <w:pPr>
              <w:spacing w:line="250" w:lineRule="auto"/>
            </w:pPr>
            <w:r>
              <w:rPr>
                <w:sz w:val="18"/>
                <w:szCs w:val="18"/>
              </w:rPr>
              <w:t>6,00 %</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5" w14:textId="77777777" w:rsidR="00C1548D" w:rsidRDefault="009B1B4B">
            <w:pPr>
              <w:spacing w:line="250" w:lineRule="auto"/>
            </w:pPr>
            <w:r>
              <w:rPr>
                <w:sz w:val="18"/>
                <w:szCs w:val="18"/>
              </w:rPr>
              <w:t>1,1–1,2 %</w:t>
            </w:r>
          </w:p>
        </w:tc>
      </w:tr>
      <w:tr w:rsidR="00C1548D" w14:paraId="70A4DF7B" w14:textId="77777777">
        <w:tblPrEx>
          <w:tblCellMar>
            <w:top w:w="0" w:type="dxa"/>
            <w:bottom w:w="0" w:type="dxa"/>
          </w:tblCellMar>
        </w:tblPrEx>
        <w:trPr>
          <w:cantSplit/>
        </w:trPr>
        <w:tc>
          <w:tcPr>
            <w:tcW w:w="1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7" w14:textId="77777777" w:rsidR="00C1548D" w:rsidRDefault="009B1B4B">
            <w:pPr>
              <w:spacing w:line="250" w:lineRule="auto"/>
            </w:pPr>
            <w:r>
              <w:rPr>
                <w:sz w:val="18"/>
                <w:szCs w:val="18"/>
              </w:rPr>
              <w:t>Illinois</w:t>
            </w:r>
          </w:p>
        </w:tc>
        <w:tc>
          <w:tcPr>
            <w:tcW w:w="2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8" w14:textId="77777777" w:rsidR="00C1548D" w:rsidRDefault="009B1B4B">
            <w:pPr>
              <w:spacing w:line="250" w:lineRule="auto"/>
            </w:pPr>
            <w:r>
              <w:rPr>
                <w:sz w:val="18"/>
                <w:szCs w:val="18"/>
              </w:rPr>
              <w:t>4,95 % flach</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9" w14:textId="77777777" w:rsidR="00C1548D" w:rsidRDefault="009B1B4B">
            <w:pPr>
              <w:spacing w:line="250" w:lineRule="auto"/>
            </w:pPr>
            <w:r>
              <w:rPr>
                <w:sz w:val="18"/>
                <w:szCs w:val="18"/>
              </w:rPr>
              <w:t>8,98 %</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A" w14:textId="77777777" w:rsidR="00C1548D" w:rsidRDefault="009B1B4B">
            <w:pPr>
              <w:spacing w:line="250" w:lineRule="auto"/>
            </w:pPr>
            <w:r>
              <w:rPr>
                <w:sz w:val="18"/>
                <w:szCs w:val="18"/>
              </w:rPr>
              <w:t>1,8–2,0 %</w:t>
            </w:r>
          </w:p>
        </w:tc>
      </w:tr>
      <w:tr w:rsidR="00C1548D" w14:paraId="70A4DF80" w14:textId="77777777">
        <w:tblPrEx>
          <w:tblCellMar>
            <w:top w:w="0" w:type="dxa"/>
            <w:bottom w:w="0" w:type="dxa"/>
          </w:tblCellMar>
        </w:tblPrEx>
        <w:trPr>
          <w:cantSplit/>
        </w:trPr>
        <w:tc>
          <w:tcPr>
            <w:tcW w:w="1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C" w14:textId="77777777" w:rsidR="00C1548D" w:rsidRDefault="009B1B4B">
            <w:pPr>
              <w:spacing w:line="250" w:lineRule="auto"/>
            </w:pPr>
            <w:r>
              <w:rPr>
                <w:sz w:val="18"/>
                <w:szCs w:val="18"/>
              </w:rPr>
              <w:t>New Jersey</w:t>
            </w:r>
          </w:p>
        </w:tc>
        <w:tc>
          <w:tcPr>
            <w:tcW w:w="2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D" w14:textId="77777777" w:rsidR="00C1548D" w:rsidRDefault="009B1B4B">
            <w:pPr>
              <w:spacing w:line="250" w:lineRule="auto"/>
            </w:pPr>
            <w:r>
              <w:rPr>
                <w:sz w:val="18"/>
                <w:szCs w:val="18"/>
              </w:rPr>
              <w:t>bis 10,75 %</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E" w14:textId="77777777" w:rsidR="00C1548D" w:rsidRDefault="009B1B4B">
            <w:pPr>
              <w:spacing w:line="250" w:lineRule="auto"/>
            </w:pPr>
            <w:r>
              <w:rPr>
                <w:sz w:val="18"/>
                <w:szCs w:val="18"/>
              </w:rPr>
              <w:t>6,60 %</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7F" w14:textId="77777777" w:rsidR="00C1548D" w:rsidRDefault="009B1B4B">
            <w:pPr>
              <w:spacing w:line="250" w:lineRule="auto"/>
            </w:pPr>
            <w:r>
              <w:rPr>
                <w:sz w:val="18"/>
                <w:szCs w:val="18"/>
              </w:rPr>
              <w:t>1,7–1,9 %</w:t>
            </w:r>
          </w:p>
        </w:tc>
      </w:tr>
      <w:tr w:rsidR="00C1548D" w14:paraId="70A4DF85" w14:textId="77777777">
        <w:tblPrEx>
          <w:tblCellMar>
            <w:top w:w="0" w:type="dxa"/>
            <w:bottom w:w="0" w:type="dxa"/>
          </w:tblCellMar>
        </w:tblPrEx>
        <w:trPr>
          <w:cantSplit/>
        </w:trPr>
        <w:tc>
          <w:tcPr>
            <w:tcW w:w="12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81" w14:textId="77777777" w:rsidR="00C1548D" w:rsidRDefault="009B1B4B">
            <w:pPr>
              <w:spacing w:line="250" w:lineRule="auto"/>
            </w:pPr>
            <w:r>
              <w:rPr>
                <w:sz w:val="18"/>
                <w:szCs w:val="18"/>
              </w:rPr>
              <w:t>Kalifornien</w:t>
            </w:r>
          </w:p>
        </w:tc>
        <w:tc>
          <w:tcPr>
            <w:tcW w:w="2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82" w14:textId="77777777" w:rsidR="00C1548D" w:rsidRDefault="009B1B4B">
            <w:pPr>
              <w:spacing w:line="250" w:lineRule="auto"/>
            </w:pPr>
            <w:r>
              <w:rPr>
                <w:sz w:val="18"/>
                <w:szCs w:val="18"/>
              </w:rPr>
              <w:t>1–12,3 % (+1 % ab 1 Mio. $), dazu SDI 1,3 %</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83" w14:textId="77777777" w:rsidR="00C1548D" w:rsidRDefault="009B1B4B">
            <w:pPr>
              <w:spacing w:line="250" w:lineRule="auto"/>
            </w:pPr>
            <w:r>
              <w:rPr>
                <w:sz w:val="18"/>
                <w:szCs w:val="18"/>
              </w:rPr>
              <w:t>9,03 %</w:t>
            </w:r>
          </w:p>
        </w:tc>
        <w:tc>
          <w:tcPr>
            <w:tcW w:w="11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84" w14:textId="77777777" w:rsidR="00C1548D" w:rsidRDefault="009B1B4B">
            <w:pPr>
              <w:spacing w:line="250" w:lineRule="auto"/>
            </w:pPr>
            <w:r>
              <w:rPr>
                <w:sz w:val="18"/>
                <w:szCs w:val="18"/>
              </w:rPr>
              <w:t>0,7–0,8 %</w:t>
            </w:r>
          </w:p>
        </w:tc>
      </w:tr>
    </w:tbl>
    <w:p w14:paraId="70A4DF86" w14:textId="77777777" w:rsidR="00C1548D" w:rsidRDefault="00C1548D">
      <w:pPr>
        <w:spacing w:line="180" w:lineRule="exact"/>
      </w:pPr>
    </w:p>
    <w:p w14:paraId="70A4DF87" w14:textId="77777777" w:rsidR="00C1548D" w:rsidRDefault="009B1B4B">
      <w:pPr>
        <w:spacing w:after="140"/>
      </w:pPr>
      <w:r>
        <w:t>Ohne Einkommensteuer heißt nicht steuerfrei. Texas gleicht das über hohe Grundsteuern aus. Washington hat eine der höchsten Verkaufssteuern, seit 1. Oktober 2025 auch auf viele Dienstleistungen, und besteuert Kapitalgewinne (7 %, über 1 Mio. $ Gewinn 9,9 %; Immobilien und Altersvorsorge ausgenommen). Eine Einkommensteuer von 9,9 % auf Einkommen über 1 Mio. $ ab 2028 ist beschlossen; eine Klage wird erwartet, der Ausgang ist offen.</w:t>
      </w:r>
    </w:p>
    <w:p w14:paraId="70A4DF88" w14:textId="6E21BE9B" w:rsidR="00C1548D" w:rsidRDefault="009B1B4B">
      <w:pPr>
        <w:spacing w:after="140"/>
      </w:pPr>
      <w:r>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w:t>
      </w:r>
      <w:r>
        <w:t xml:space="preserve"> New York City erhebt grob 3–4 %. Die Grundsteuer hängt von Landkreis, Bewertung und Freibeträgen ab; Neukäufer zahlen oft mehr als langjährige Nachbarn (</w:t>
      </w:r>
      <w:r>
        <w:t>Kapitel </w:t>
      </w:r>
      <w:hyperlink w:anchor="k14" w:history="1">
        <w:r>
          <w:t>14</w:t>
        </w:r>
      </w:hyperlink>
      <w:r>
        <w:t>). Ein Steuervorteil kann durch höhere Wohnkosten aufgezehrt werden (Kapitel </w:t>
      </w:r>
      <w:hyperlink w:anchor="k12" w:history="1">
        <w:r>
          <w:t>12</w:t>
        </w:r>
      </w:hyperlink>
      <w:r>
        <w:t>).</w:t>
      </w:r>
    </w:p>
    <w:p w14:paraId="70A4DF89" w14:textId="77777777" w:rsidR="00C1548D" w:rsidRDefault="009B1B4B">
      <w:pPr>
        <w:pStyle w:val="Heading3"/>
        <w:keepNext/>
        <w:jc w:val="center"/>
      </w:pPr>
      <w:r>
        <w:rPr>
          <w:rFonts w:ascii="Amazon Ember" w:eastAsia="Amazon Ember" w:hAnsi="Amazon Ember" w:cs="Amazon Ember"/>
          <w:color w:val="0000FF"/>
          <w:sz w:val="36"/>
          <w:szCs w:val="36"/>
        </w:rPr>
        <w:lastRenderedPageBreak/>
        <w:t>Beispielrechnung: Von brutto zu netto</w:t>
      </w:r>
    </w:p>
    <w:p w14:paraId="70A4DF8A" w14:textId="77777777" w:rsidR="00C1548D" w:rsidRDefault="009B1B4B">
      <w:pPr>
        <w:spacing w:after="140"/>
      </w:pPr>
      <w:r>
        <w:t>Die Rechnung ist eine Näherung für 2026. Annahmen: ein ganzes Jahr ansässig, nur Standardabzug, kein 401(k), kein HSA, keine Prämie für die Krankenversicherung, keine Miete, keine Kinderbetreuung.</w:t>
      </w:r>
    </w:p>
    <w:p w14:paraId="70A4DF8B" w14:textId="77777777" w:rsidR="00C1548D" w:rsidRDefault="009B1B4B">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5"/>
        <w:gridCol w:w="1573"/>
        <w:gridCol w:w="1255"/>
        <w:gridCol w:w="2397"/>
      </w:tblGrid>
      <w:tr w:rsidR="00C1548D" w14:paraId="70A4DF90" w14:textId="77777777">
        <w:tblPrEx>
          <w:tblCellMar>
            <w:top w:w="0" w:type="dxa"/>
            <w:bottom w:w="0" w:type="dxa"/>
          </w:tblCellMar>
        </w:tblPrEx>
        <w:trPr>
          <w:cantSplit/>
          <w:tblHeader/>
        </w:trPr>
        <w:tc>
          <w:tcPr>
            <w:tcW w:w="125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8C" w14:textId="77777777" w:rsidR="00C1548D" w:rsidRDefault="009B1B4B">
            <w:pPr>
              <w:spacing w:line="250" w:lineRule="auto"/>
            </w:pPr>
            <w:r>
              <w:rPr>
                <w:b/>
                <w:bCs/>
                <w:sz w:val="18"/>
                <w:szCs w:val="18"/>
              </w:rPr>
              <w:t>Staat</w:t>
            </w:r>
          </w:p>
        </w:tc>
        <w:tc>
          <w:tcPr>
            <w:tcW w:w="157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8D" w14:textId="77777777" w:rsidR="00C1548D" w:rsidRDefault="009B1B4B">
            <w:pPr>
              <w:spacing w:line="250" w:lineRule="auto"/>
            </w:pPr>
            <w:r>
              <w:rPr>
                <w:b/>
                <w:bCs/>
                <w:sz w:val="18"/>
                <w:szCs w:val="18"/>
              </w:rPr>
              <w:t>Bund + FICA (in $)</w:t>
            </w:r>
          </w:p>
        </w:tc>
        <w:tc>
          <w:tcPr>
            <w:tcW w:w="125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8E" w14:textId="77777777" w:rsidR="00C1548D" w:rsidRDefault="009B1B4B">
            <w:pPr>
              <w:spacing w:line="250" w:lineRule="auto"/>
            </w:pPr>
            <w:r>
              <w:rPr>
                <w:b/>
                <w:bCs/>
                <w:sz w:val="18"/>
                <w:szCs w:val="18"/>
              </w:rPr>
              <w:t>Staat (in $)</w:t>
            </w:r>
          </w:p>
        </w:tc>
        <w:tc>
          <w:tcPr>
            <w:tcW w:w="23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8F" w14:textId="77777777" w:rsidR="00C1548D" w:rsidRDefault="009B1B4B">
            <w:pPr>
              <w:spacing w:line="250" w:lineRule="auto"/>
            </w:pPr>
            <w:r>
              <w:rPr>
                <w:b/>
                <w:bCs/>
                <w:sz w:val="18"/>
                <w:szCs w:val="18"/>
              </w:rPr>
              <w:t>Netto (in $, Anteil)</w:t>
            </w:r>
          </w:p>
        </w:tc>
      </w:tr>
      <w:tr w:rsidR="00C1548D" w14:paraId="70A4DF95" w14:textId="77777777">
        <w:tblPrEx>
          <w:tblCellMar>
            <w:top w:w="0" w:type="dxa"/>
            <w:bottom w:w="0" w:type="dxa"/>
          </w:tblCellMar>
        </w:tblPrEx>
        <w:trPr>
          <w:cantSplit/>
        </w:trPr>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1" w14:textId="77777777" w:rsidR="00C1548D" w:rsidRDefault="009B1B4B">
            <w:pPr>
              <w:spacing w:line="250" w:lineRule="auto"/>
            </w:pPr>
            <w:r>
              <w:rPr>
                <w:sz w:val="18"/>
                <w:szCs w:val="18"/>
              </w:rPr>
              <w:t>Texas</w:t>
            </w:r>
          </w:p>
        </w:tc>
        <w:tc>
          <w:tcPr>
            <w:tcW w:w="1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2" w14:textId="77777777" w:rsidR="00C1548D" w:rsidRDefault="009B1B4B">
            <w:pPr>
              <w:spacing w:line="250" w:lineRule="auto"/>
            </w:pPr>
            <w:r>
              <w:rPr>
                <w:sz w:val="18"/>
                <w:szCs w:val="18"/>
              </w:rPr>
              <w:t>26.750</w:t>
            </w:r>
          </w:p>
        </w:tc>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3" w14:textId="77777777" w:rsidR="00C1548D" w:rsidRDefault="009B1B4B">
            <w:pPr>
              <w:spacing w:line="250" w:lineRule="auto"/>
            </w:pPr>
            <w:r>
              <w:rPr>
                <w:sz w:val="18"/>
                <w:szCs w:val="18"/>
              </w:rPr>
              <w:t>0</w:t>
            </w:r>
          </w:p>
        </w:tc>
        <w:tc>
          <w:tcPr>
            <w:tcW w:w="2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4" w14:textId="77777777" w:rsidR="00C1548D" w:rsidRDefault="009B1B4B">
            <w:pPr>
              <w:spacing w:line="250" w:lineRule="auto"/>
            </w:pPr>
            <w:r>
              <w:rPr>
                <w:sz w:val="18"/>
                <w:szCs w:val="18"/>
              </w:rPr>
              <w:t>93.250 (77,7 %)</w:t>
            </w:r>
          </w:p>
        </w:tc>
      </w:tr>
      <w:tr w:rsidR="00C1548D" w14:paraId="70A4DF9A" w14:textId="77777777">
        <w:tblPrEx>
          <w:tblCellMar>
            <w:top w:w="0" w:type="dxa"/>
            <w:bottom w:w="0" w:type="dxa"/>
          </w:tblCellMar>
        </w:tblPrEx>
        <w:trPr>
          <w:cantSplit/>
        </w:trPr>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6" w14:textId="77777777" w:rsidR="00C1548D" w:rsidRDefault="009B1B4B">
            <w:pPr>
              <w:spacing w:line="250" w:lineRule="auto"/>
            </w:pPr>
            <w:r>
              <w:rPr>
                <w:sz w:val="18"/>
                <w:szCs w:val="18"/>
              </w:rPr>
              <w:t>Washington</w:t>
            </w:r>
          </w:p>
        </w:tc>
        <w:tc>
          <w:tcPr>
            <w:tcW w:w="1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7" w14:textId="77777777" w:rsidR="00C1548D" w:rsidRDefault="009B1B4B">
            <w:pPr>
              <w:spacing w:line="250" w:lineRule="auto"/>
            </w:pPr>
            <w:r>
              <w:rPr>
                <w:sz w:val="18"/>
                <w:szCs w:val="18"/>
              </w:rPr>
              <w:t>26.750</w:t>
            </w:r>
          </w:p>
        </w:tc>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8" w14:textId="77777777" w:rsidR="00C1548D" w:rsidRDefault="009B1B4B">
            <w:pPr>
              <w:spacing w:line="250" w:lineRule="auto"/>
            </w:pPr>
            <w:r>
              <w:rPr>
                <w:sz w:val="18"/>
                <w:szCs w:val="18"/>
              </w:rPr>
              <w:t>1.665</w:t>
            </w:r>
          </w:p>
        </w:tc>
        <w:tc>
          <w:tcPr>
            <w:tcW w:w="2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9" w14:textId="77777777" w:rsidR="00C1548D" w:rsidRDefault="009B1B4B">
            <w:pPr>
              <w:spacing w:line="250" w:lineRule="auto"/>
            </w:pPr>
            <w:r>
              <w:rPr>
                <w:sz w:val="18"/>
                <w:szCs w:val="18"/>
              </w:rPr>
              <w:t>91.585 (76,3 %)</w:t>
            </w:r>
          </w:p>
        </w:tc>
      </w:tr>
      <w:tr w:rsidR="00C1548D" w14:paraId="70A4DF9F" w14:textId="77777777">
        <w:tblPrEx>
          <w:tblCellMar>
            <w:top w:w="0" w:type="dxa"/>
            <w:bottom w:w="0" w:type="dxa"/>
          </w:tblCellMar>
        </w:tblPrEx>
        <w:trPr>
          <w:cantSplit/>
        </w:trPr>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B" w14:textId="77777777" w:rsidR="00C1548D" w:rsidRDefault="009B1B4B">
            <w:pPr>
              <w:spacing w:line="250" w:lineRule="auto"/>
            </w:pPr>
            <w:r>
              <w:rPr>
                <w:sz w:val="18"/>
                <w:szCs w:val="18"/>
              </w:rPr>
              <w:t>Michigan</w:t>
            </w:r>
          </w:p>
        </w:tc>
        <w:tc>
          <w:tcPr>
            <w:tcW w:w="1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C" w14:textId="77777777" w:rsidR="00C1548D" w:rsidRDefault="009B1B4B">
            <w:pPr>
              <w:spacing w:line="250" w:lineRule="auto"/>
            </w:pPr>
            <w:r>
              <w:rPr>
                <w:sz w:val="18"/>
                <w:szCs w:val="18"/>
              </w:rPr>
              <w:t>26.750</w:t>
            </w:r>
          </w:p>
        </w:tc>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D" w14:textId="77777777" w:rsidR="00C1548D" w:rsidRDefault="009B1B4B">
            <w:pPr>
              <w:spacing w:line="250" w:lineRule="auto"/>
            </w:pPr>
            <w:r>
              <w:rPr>
                <w:sz w:val="18"/>
                <w:szCs w:val="18"/>
              </w:rPr>
              <w:t>4.854</w:t>
            </w:r>
          </w:p>
        </w:tc>
        <w:tc>
          <w:tcPr>
            <w:tcW w:w="2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9E" w14:textId="77777777" w:rsidR="00C1548D" w:rsidRDefault="009B1B4B">
            <w:pPr>
              <w:spacing w:line="250" w:lineRule="auto"/>
            </w:pPr>
            <w:r>
              <w:rPr>
                <w:sz w:val="18"/>
                <w:szCs w:val="18"/>
              </w:rPr>
              <w:t>88.396 (73,7 %)</w:t>
            </w:r>
          </w:p>
        </w:tc>
      </w:tr>
      <w:tr w:rsidR="00C1548D" w14:paraId="70A4DFA4" w14:textId="77777777">
        <w:tblPrEx>
          <w:tblCellMar>
            <w:top w:w="0" w:type="dxa"/>
            <w:bottom w:w="0" w:type="dxa"/>
          </w:tblCellMar>
        </w:tblPrEx>
        <w:trPr>
          <w:cantSplit/>
        </w:trPr>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A0" w14:textId="77777777" w:rsidR="00C1548D" w:rsidRDefault="009B1B4B">
            <w:pPr>
              <w:spacing w:line="250" w:lineRule="auto"/>
            </w:pPr>
            <w:r>
              <w:rPr>
                <w:sz w:val="18"/>
                <w:szCs w:val="18"/>
              </w:rPr>
              <w:t>Kalifornien</w:t>
            </w:r>
          </w:p>
        </w:tc>
        <w:tc>
          <w:tcPr>
            <w:tcW w:w="1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A1" w14:textId="77777777" w:rsidR="00C1548D" w:rsidRDefault="009B1B4B">
            <w:pPr>
              <w:spacing w:line="250" w:lineRule="auto"/>
            </w:pPr>
            <w:r>
              <w:rPr>
                <w:sz w:val="18"/>
                <w:szCs w:val="18"/>
              </w:rPr>
              <w:t>26.750</w:t>
            </w:r>
          </w:p>
        </w:tc>
        <w:tc>
          <w:tcPr>
            <w:tcW w:w="12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A2" w14:textId="77777777" w:rsidR="00C1548D" w:rsidRDefault="009B1B4B">
            <w:pPr>
              <w:spacing w:line="250" w:lineRule="auto"/>
            </w:pPr>
            <w:r>
              <w:rPr>
                <w:sz w:val="18"/>
                <w:szCs w:val="18"/>
              </w:rPr>
              <w:t>8.475</w:t>
            </w:r>
          </w:p>
        </w:tc>
        <w:tc>
          <w:tcPr>
            <w:tcW w:w="2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A3" w14:textId="77777777" w:rsidR="00C1548D" w:rsidRDefault="009B1B4B">
            <w:pPr>
              <w:spacing w:line="250" w:lineRule="auto"/>
            </w:pPr>
            <w:r>
              <w:rPr>
                <w:sz w:val="18"/>
                <w:szCs w:val="18"/>
              </w:rPr>
              <w:t>84.775 (70,6 %)</w:t>
            </w:r>
          </w:p>
        </w:tc>
      </w:tr>
    </w:tbl>
    <w:p w14:paraId="70A4DFA5" w14:textId="77777777" w:rsidR="00C1548D" w:rsidRDefault="00C1548D">
      <w:pPr>
        <w:spacing w:line="180" w:lineRule="exact"/>
      </w:pPr>
    </w:p>
    <w:p w14:paraId="70A4DFA6" w14:textId="77777777" w:rsidR="00C1548D" w:rsidRDefault="009B1B4B">
      <w:pPr>
        <w:spacing w:after="140"/>
      </w:pPr>
      <w:r>
        <w:t xml:space="preserve">Inhaber eines Nichteinwanderervisums wie H-1B sind seit 1. Januar 2026 von </w:t>
      </w:r>
      <w:r>
        <w:rPr>
          <w:i/>
          <w:iCs/>
        </w:rPr>
        <w:t>WA Cares</w:t>
      </w:r>
      <w:r>
        <w:t xml:space="preserve"> befreit; in Washington bleiben ihnen dann 92.281 $ (76,9 %).</w:t>
      </w:r>
    </w:p>
    <w:p w14:paraId="70A4DFA7" w14:textId="77777777" w:rsidR="00C1548D" w:rsidRDefault="009B1B4B">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105"/>
        <w:gridCol w:w="2173"/>
        <w:gridCol w:w="2252"/>
      </w:tblGrid>
      <w:tr w:rsidR="00C1548D" w14:paraId="70A4DFAC"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A8" w14:textId="77777777" w:rsidR="00C1548D" w:rsidRDefault="009B1B4B">
            <w:pPr>
              <w:spacing w:line="250" w:lineRule="auto"/>
            </w:pPr>
            <w:r>
              <w:rPr>
                <w:b/>
                <w:bCs/>
                <w:sz w:val="18"/>
                <w:szCs w:val="18"/>
              </w:rPr>
              <w:t>Staat</w:t>
            </w:r>
          </w:p>
        </w:tc>
        <w:tc>
          <w:tcPr>
            <w:tcW w:w="110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A9" w14:textId="77777777" w:rsidR="00C1548D" w:rsidRDefault="009B1B4B">
            <w:pPr>
              <w:spacing w:line="250" w:lineRule="auto"/>
            </w:pPr>
            <w:r>
              <w:rPr>
                <w:b/>
                <w:bCs/>
                <w:sz w:val="18"/>
                <w:szCs w:val="18"/>
              </w:rPr>
              <w:t>Staatssteuer (in $)</w:t>
            </w:r>
          </w:p>
        </w:tc>
        <w:tc>
          <w:tcPr>
            <w:tcW w:w="217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AA" w14:textId="77777777" w:rsidR="00C1548D" w:rsidRDefault="009B1B4B">
            <w:pPr>
              <w:spacing w:line="250" w:lineRule="auto"/>
            </w:pPr>
            <w:r>
              <w:rPr>
                <w:b/>
                <w:bCs/>
                <w:sz w:val="18"/>
                <w:szCs w:val="18"/>
              </w:rPr>
              <w:t>Netto mit Gutschrift (in $)</w:t>
            </w:r>
          </w:p>
        </w:tc>
        <w:tc>
          <w:tcPr>
            <w:tcW w:w="22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AB" w14:textId="77777777" w:rsidR="00C1548D" w:rsidRDefault="009B1B4B">
            <w:pPr>
              <w:spacing w:line="250" w:lineRule="auto"/>
            </w:pPr>
            <w:r>
              <w:rPr>
                <w:b/>
                <w:bCs/>
                <w:sz w:val="18"/>
                <w:szCs w:val="18"/>
              </w:rPr>
              <w:t>Netto bei ITIN-Kindern (in $)</w:t>
            </w:r>
          </w:p>
        </w:tc>
      </w:tr>
      <w:tr w:rsidR="00C1548D" w14:paraId="70A4DFB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AD" w14:textId="77777777" w:rsidR="00C1548D" w:rsidRDefault="009B1B4B">
            <w:pPr>
              <w:spacing w:line="250" w:lineRule="auto"/>
            </w:pPr>
            <w:r>
              <w:rPr>
                <w:sz w:val="18"/>
                <w:szCs w:val="18"/>
              </w:rPr>
              <w:t>Texas</w:t>
            </w:r>
          </w:p>
        </w:tc>
        <w:tc>
          <w:tcPr>
            <w:tcW w:w="11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AE" w14:textId="77777777" w:rsidR="00C1548D" w:rsidRDefault="009B1B4B">
            <w:pPr>
              <w:spacing w:line="250" w:lineRule="auto"/>
            </w:pPr>
            <w:r>
              <w:rPr>
                <w:sz w:val="18"/>
                <w:szCs w:val="18"/>
              </w:rPr>
              <w:t>0</w:t>
            </w:r>
          </w:p>
        </w:tc>
        <w:tc>
          <w:tcPr>
            <w:tcW w:w="21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AF" w14:textId="77777777" w:rsidR="00C1548D" w:rsidRDefault="009B1B4B">
            <w:pPr>
              <w:spacing w:line="250" w:lineRule="auto"/>
            </w:pPr>
            <w:r>
              <w:rPr>
                <w:sz w:val="18"/>
                <w:szCs w:val="18"/>
              </w:rPr>
              <w:t>127.585 (85,1 %)</w:t>
            </w:r>
          </w:p>
        </w:tc>
        <w:tc>
          <w:tcPr>
            <w:tcW w:w="22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0" w14:textId="77777777" w:rsidR="00C1548D" w:rsidRDefault="009B1B4B">
            <w:pPr>
              <w:spacing w:line="250" w:lineRule="auto"/>
            </w:pPr>
            <w:r>
              <w:rPr>
                <w:sz w:val="18"/>
                <w:szCs w:val="18"/>
              </w:rPr>
              <w:t>124.185 (82,8 %)</w:t>
            </w:r>
          </w:p>
        </w:tc>
      </w:tr>
      <w:tr w:rsidR="00C1548D" w14:paraId="70A4DFB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2" w14:textId="77777777" w:rsidR="00C1548D" w:rsidRDefault="009B1B4B">
            <w:pPr>
              <w:spacing w:line="250" w:lineRule="auto"/>
            </w:pPr>
            <w:r>
              <w:rPr>
                <w:sz w:val="18"/>
                <w:szCs w:val="18"/>
              </w:rPr>
              <w:lastRenderedPageBreak/>
              <w:t>Washington</w:t>
            </w:r>
          </w:p>
        </w:tc>
        <w:tc>
          <w:tcPr>
            <w:tcW w:w="11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3" w14:textId="77777777" w:rsidR="00C1548D" w:rsidRDefault="009B1B4B">
            <w:pPr>
              <w:spacing w:line="250" w:lineRule="auto"/>
            </w:pPr>
            <w:r>
              <w:rPr>
                <w:sz w:val="18"/>
                <w:szCs w:val="18"/>
              </w:rPr>
              <w:t>2.081</w:t>
            </w:r>
          </w:p>
        </w:tc>
        <w:tc>
          <w:tcPr>
            <w:tcW w:w="21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4" w14:textId="77777777" w:rsidR="00C1548D" w:rsidRDefault="009B1B4B">
            <w:pPr>
              <w:spacing w:line="250" w:lineRule="auto"/>
            </w:pPr>
            <w:r>
              <w:rPr>
                <w:sz w:val="18"/>
                <w:szCs w:val="18"/>
              </w:rPr>
              <w:t>125.504 (83,7 %)</w:t>
            </w:r>
          </w:p>
        </w:tc>
        <w:tc>
          <w:tcPr>
            <w:tcW w:w="22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5" w14:textId="77777777" w:rsidR="00C1548D" w:rsidRDefault="009B1B4B">
            <w:pPr>
              <w:spacing w:line="250" w:lineRule="auto"/>
            </w:pPr>
            <w:r>
              <w:rPr>
                <w:sz w:val="18"/>
                <w:szCs w:val="18"/>
              </w:rPr>
              <w:t>122.104 (81,4 %)</w:t>
            </w:r>
          </w:p>
        </w:tc>
      </w:tr>
      <w:tr w:rsidR="00C1548D" w14:paraId="70A4DFB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7" w14:textId="77777777" w:rsidR="00C1548D" w:rsidRDefault="009B1B4B">
            <w:pPr>
              <w:spacing w:line="250" w:lineRule="auto"/>
            </w:pPr>
            <w:r>
              <w:rPr>
                <w:sz w:val="18"/>
                <w:szCs w:val="18"/>
              </w:rPr>
              <w:t>Michigan</w:t>
            </w:r>
          </w:p>
        </w:tc>
        <w:tc>
          <w:tcPr>
            <w:tcW w:w="11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8" w14:textId="77777777" w:rsidR="00C1548D" w:rsidRDefault="009B1B4B">
            <w:pPr>
              <w:spacing w:line="250" w:lineRule="auto"/>
            </w:pPr>
            <w:r>
              <w:rPr>
                <w:sz w:val="18"/>
                <w:szCs w:val="18"/>
              </w:rPr>
              <w:t>5.389</w:t>
            </w:r>
          </w:p>
        </w:tc>
        <w:tc>
          <w:tcPr>
            <w:tcW w:w="21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9" w14:textId="77777777" w:rsidR="00C1548D" w:rsidRDefault="009B1B4B">
            <w:pPr>
              <w:spacing w:line="250" w:lineRule="auto"/>
            </w:pPr>
            <w:r>
              <w:rPr>
                <w:sz w:val="18"/>
                <w:szCs w:val="18"/>
              </w:rPr>
              <w:t>122.196 (81,5 %)</w:t>
            </w:r>
          </w:p>
        </w:tc>
        <w:tc>
          <w:tcPr>
            <w:tcW w:w="22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A" w14:textId="77777777" w:rsidR="00C1548D" w:rsidRDefault="009B1B4B">
            <w:pPr>
              <w:spacing w:line="250" w:lineRule="auto"/>
            </w:pPr>
            <w:r>
              <w:rPr>
                <w:sz w:val="18"/>
                <w:szCs w:val="18"/>
              </w:rPr>
              <w:t>118.796 (79,2 %)</w:t>
            </w:r>
          </w:p>
        </w:tc>
      </w:tr>
      <w:tr w:rsidR="00C1548D" w14:paraId="70A4DFC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C" w14:textId="77777777" w:rsidR="00C1548D" w:rsidRDefault="009B1B4B">
            <w:pPr>
              <w:spacing w:line="250" w:lineRule="auto"/>
            </w:pPr>
            <w:r>
              <w:rPr>
                <w:sz w:val="18"/>
                <w:szCs w:val="18"/>
              </w:rPr>
              <w:t>Kalifornien</w:t>
            </w:r>
          </w:p>
        </w:tc>
        <w:tc>
          <w:tcPr>
            <w:tcW w:w="11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D" w14:textId="77777777" w:rsidR="00C1548D" w:rsidRDefault="009B1B4B">
            <w:pPr>
              <w:spacing w:line="250" w:lineRule="auto"/>
            </w:pPr>
            <w:r>
              <w:rPr>
                <w:sz w:val="18"/>
                <w:szCs w:val="18"/>
              </w:rPr>
              <w:t>6.549</w:t>
            </w:r>
          </w:p>
        </w:tc>
        <w:tc>
          <w:tcPr>
            <w:tcW w:w="21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E" w14:textId="77777777" w:rsidR="00C1548D" w:rsidRDefault="009B1B4B">
            <w:pPr>
              <w:spacing w:line="250" w:lineRule="auto"/>
            </w:pPr>
            <w:r>
              <w:rPr>
                <w:sz w:val="18"/>
                <w:szCs w:val="18"/>
              </w:rPr>
              <w:t>121.036 (80,7 %)</w:t>
            </w:r>
          </w:p>
        </w:tc>
        <w:tc>
          <w:tcPr>
            <w:tcW w:w="22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BF" w14:textId="77777777" w:rsidR="00C1548D" w:rsidRDefault="009B1B4B">
            <w:pPr>
              <w:spacing w:line="250" w:lineRule="auto"/>
            </w:pPr>
            <w:r>
              <w:rPr>
                <w:sz w:val="18"/>
                <w:szCs w:val="18"/>
              </w:rPr>
              <w:t>117.636 (78,4 %)</w:t>
            </w:r>
          </w:p>
        </w:tc>
      </w:tr>
    </w:tbl>
    <w:p w14:paraId="70A4DFC1"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FC4"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DFC2" w14:textId="77777777" w:rsidR="00C1548D" w:rsidRDefault="009B1B4B">
            <w:pPr>
              <w:keepNext/>
              <w:spacing w:after="70" w:line="240" w:lineRule="auto"/>
            </w:pPr>
            <w:r>
              <w:rPr>
                <w:b/>
                <w:bCs/>
                <w:color w:val="4A5568"/>
                <w:spacing w:val="24"/>
                <w:sz w:val="16"/>
                <w:szCs w:val="16"/>
              </w:rPr>
              <w:t>PRAXISBEISPIEL · FIKTIV</w:t>
            </w:r>
          </w:p>
          <w:p w14:paraId="70A4DFC3" w14:textId="77777777" w:rsidR="00C1548D" w:rsidRDefault="009B1B4B">
            <w:pPr>
              <w:spacing w:after="80" w:line="264" w:lineRule="auto"/>
            </w:pPr>
            <w:r>
              <w:rPr>
                <w:sz w:val="20"/>
                <w:szCs w:val="20"/>
              </w:rPr>
              <w:t>Familie Brandt (fiktives Beispiel) zieht nach Michigan. Markus verdient 150.000 $, Anna arbeitet zunächst nicht. Lena (9) und Jonas (5) reisen mit H-4-Status ein und haben nur eine ITIN. Die Brandts hatten mit 2 × 2.200 $ Kindergutschrift geplant, bekommen aber 2 × 500 $: 3.400 $ weniger. Netto bleiben nach der Näherung rund 118.800 $ statt 122.200 $, jeweils ohne Krankenversicherung, 401(k) und mögliche Stadtsteuer. Die Familie streicht die Gutschrift aus dem Budget und klärt, ob die Kinder später eine SSN</w:t>
            </w:r>
            <w:r>
              <w:rPr>
                <w:sz w:val="20"/>
                <w:szCs w:val="20"/>
              </w:rPr>
              <w:t xml:space="preserve"> erhalten.</w:t>
            </w:r>
          </w:p>
        </w:tc>
      </w:tr>
    </w:tbl>
    <w:p w14:paraId="70A4DFC5" w14:textId="77777777" w:rsidR="00C1548D" w:rsidRDefault="00C1548D">
      <w:pPr>
        <w:spacing w:line="220" w:lineRule="exact"/>
      </w:pPr>
    </w:p>
    <w:p w14:paraId="70A4DFC6" w14:textId="7B9B540E" w:rsidR="00C1548D" w:rsidRDefault="009B1B4B">
      <w:pPr>
        <w:spacing w:after="140"/>
      </w:pPr>
      <w: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history="1">
        <w:r>
          <w:t>26</w:t>
        </w:r>
      </w:hyperlink>
      <w:r>
        <w:t>), 401(k), Einzelabzüge, Kinderbetreuung. In Washington ist die Family-Leave-Umlage mit dem Arbeitnehmeranteil von 71,43 % angesetzt.</w:t>
      </w:r>
    </w:p>
    <w:p w14:paraId="70A4DFC7" w14:textId="77777777" w:rsidR="00C1548D" w:rsidRDefault="009B1B4B">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w:t>
      </w:r>
      <w:r>
        <w:t xml:space="preserve">chland etwa 58 % bleiben. Der Vergleich hinkt: Die deutschen </w:t>
      </w:r>
      <w:r>
        <w:lastRenderedPageBreak/>
        <w:t>Abgaben schließen Kranken-, Pflege- und Arbeitslosenversicherung ein, in den USA kommen Prämie und Eigenbeteiligung der Krankenversicherung hinzu. Eine beitragsfreie Familienmitversicherung gibt es dort nicht; dem Kindergeld entspricht die Kindergutschrift.</w:t>
      </w:r>
    </w:p>
    <w:p w14:paraId="70A4DFC8" w14:textId="77777777" w:rsidR="00C1548D" w:rsidRDefault="009B1B4B">
      <w:pPr>
        <w:pStyle w:val="Heading3"/>
        <w:keepNext/>
        <w:jc w:val="center"/>
      </w:pPr>
      <w:r>
        <w:rPr>
          <w:rFonts w:ascii="Amazon Ember" w:eastAsia="Amazon Ember" w:hAnsi="Amazon Ember" w:cs="Amazon Ember"/>
          <w:color w:val="0000FF"/>
          <w:sz w:val="36"/>
          <w:szCs w:val="36"/>
        </w:rPr>
        <w:t>Studierende: Nichtansässig mit Form 8843</w:t>
      </w:r>
    </w:p>
    <w:p w14:paraId="70A4DFC9" w14:textId="129F1914" w:rsidR="00C1548D" w:rsidRDefault="009B1B4B">
      <w:pPr>
        <w:spacing w:after="140"/>
      </w:pPr>
      <w:r>
        <w:t xml:space="preserve">Wer mit F-1-, J-1-, M-1- oder Q-Visum studiert, hat eine Sonderregel: Die Anwesenheitstage zählen fünf Kalenderjahre lang nicht für den </w:t>
      </w:r>
      <w:r>
        <w:rPr>
          <w:i/>
          <w:iCs/>
        </w:rPr>
        <w:t>Substantial Presence Test</w:t>
      </w:r>
      <w:r>
        <w:t>, wobei jedes angefangene Kalenderjahr zählt. Für J- und Q-Lehrende und Forschende gilt die Ausnahme höchstens in zwei von sechs Jahren. In dieser Zeit bist du meist nichtansässig,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history="1">
        <w:r>
          <w:t>8</w:t>
        </w:r>
      </w:hyperlink>
      <w:r>
        <w:t>).</w:t>
      </w:r>
    </w:p>
    <w:p w14:paraId="70A4DFCA" w14:textId="77777777" w:rsidR="00C1548D" w:rsidRDefault="009B1B4B">
      <w:pPr>
        <w:spacing w:after="140"/>
      </w:pPr>
      <w:r>
        <w:t>Zwei Erleichterungen gibt es: Nichtansässige Studierende mit erlaubter Arbeit sind von FICA befreit (Angehörige mit F-2 oder J-2 nicht), und das DBA (Artikel 20) stellt Unterhaltszahlungen aus Deutschland steuerfrei sowie bis zu vier Jahre lang Arbeitseinkommen bis 9.000 $ pro Jahr; das gilt nicht für US-Bürger und Green-Card-Inhaber. Gängige Software wie TurboTax kann kein Form 1040-NR; nutze Software für Nichtansässige wie Sprintax oder einen Steuerexperten.</w:t>
      </w:r>
    </w:p>
    <w:p w14:paraId="70A4DFCB" w14:textId="77777777" w:rsidR="00C1548D" w:rsidRDefault="009B1B4B">
      <w:pPr>
        <w:pStyle w:val="Heading3"/>
        <w:keepNext/>
        <w:jc w:val="center"/>
      </w:pPr>
      <w:r>
        <w:rPr>
          <w:rFonts w:ascii="Amazon Ember" w:eastAsia="Amazon Ember" w:hAnsi="Amazon Ember" w:cs="Amazon Ember"/>
          <w:color w:val="0000FF"/>
          <w:sz w:val="36"/>
          <w:szCs w:val="36"/>
        </w:rPr>
        <w:t>Steuerexperten, Software und Kosten</w:t>
      </w:r>
    </w:p>
    <w:p w14:paraId="70A4DFCC" w14:textId="77777777" w:rsidR="00C1548D" w:rsidRDefault="009B1B4B">
      <w:pPr>
        <w:spacing w:after="140"/>
      </w:pPr>
      <w:r>
        <w:t xml:space="preserve">Im einfachen Fall (nur Lohn laut W-2, Standardabzug, keine Auslandskonten) genügt Software. Die IRS bietet kostenlose Software bis 89.000 $ Einkommen (Wert für 2025) und ausfüllbare </w:t>
      </w:r>
      <w:r>
        <w:lastRenderedPageBreak/>
        <w:t>Formulare für alle (</w:t>
      </w:r>
      <w:r>
        <w:rPr>
          <w:i/>
          <w:iCs/>
        </w:rPr>
        <w:t>Free File</w:t>
      </w:r>
      <w:r>
        <w:t xml:space="preserve">). Im Einreisejahr, bei Auslandsvermögen oder Aktienvergütung lohnt ein Profi. Ein </w:t>
      </w:r>
      <w:r>
        <w:rPr>
          <w:i/>
          <w:iCs/>
        </w:rPr>
        <w:t>CPA</w:t>
      </w:r>
      <w:r>
        <w:t xml:space="preserve"> (</w:t>
      </w:r>
      <w:r>
        <w:rPr>
          <w:i/>
          <w:iCs/>
        </w:rPr>
        <w:t>Certified Public Accountant</w:t>
      </w:r>
      <w:r>
        <w:t xml:space="preserve">) ist ein staatlich zugelassener Wirtschafts- und Steuerexperte, ein </w:t>
      </w:r>
      <w:r>
        <w:rPr>
          <w:i/>
          <w:iCs/>
        </w:rPr>
        <w:t>Enrolled Agent</w:t>
      </w:r>
      <w:r>
        <w:t xml:space="preserve"> (EA) ein von der IRS geprüfter Steuerspezialist. Einfache Steuerersteller (</w:t>
      </w:r>
      <w:r>
        <w:rPr>
          <w:i/>
          <w:iCs/>
        </w:rPr>
        <w:t>Unenrolled Preparer</w:t>
      </w:r>
      <w:r>
        <w:t>) brauchen nur eine Registriernummer (</w:t>
      </w:r>
      <w:r>
        <w:rPr>
          <w:i/>
          <w:iCs/>
        </w:rPr>
        <w:t>PTIN</w:t>
      </w:r>
      <w:r>
        <w:t>), aber keine Mindestqualifikation.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10"/>
        <w:gridCol w:w="2199"/>
        <w:gridCol w:w="1671"/>
      </w:tblGrid>
      <w:tr w:rsidR="00C1548D" w14:paraId="70A4DFD0" w14:textId="77777777">
        <w:tblPrEx>
          <w:tblCellMar>
            <w:top w:w="0" w:type="dxa"/>
            <w:bottom w:w="0" w:type="dxa"/>
          </w:tblCellMar>
        </w:tblPrEx>
        <w:trPr>
          <w:cantSplit/>
          <w:tblHeader/>
        </w:trPr>
        <w:tc>
          <w:tcPr>
            <w:tcW w:w="26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CD" w14:textId="77777777" w:rsidR="00C1548D" w:rsidRDefault="009B1B4B">
            <w:pPr>
              <w:spacing w:line="250" w:lineRule="auto"/>
            </w:pPr>
            <w:r>
              <w:rPr>
                <w:b/>
                <w:bCs/>
                <w:sz w:val="18"/>
                <w:szCs w:val="18"/>
              </w:rPr>
              <w:t>Situation</w:t>
            </w:r>
          </w:p>
        </w:tc>
        <w:tc>
          <w:tcPr>
            <w:tcW w:w="219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CE" w14:textId="77777777" w:rsidR="00C1548D" w:rsidRDefault="009B1B4B">
            <w:pPr>
              <w:spacing w:line="250" w:lineRule="auto"/>
            </w:pPr>
            <w:r>
              <w:rPr>
                <w:b/>
                <w:bCs/>
                <w:sz w:val="18"/>
                <w:szCs w:val="18"/>
              </w:rPr>
              <w:t>Wer</w:t>
            </w:r>
          </w:p>
        </w:tc>
        <w:tc>
          <w:tcPr>
            <w:tcW w:w="167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CF" w14:textId="77777777" w:rsidR="00C1548D" w:rsidRDefault="009B1B4B">
            <w:pPr>
              <w:spacing w:line="250" w:lineRule="auto"/>
            </w:pPr>
            <w:r>
              <w:rPr>
                <w:b/>
                <w:bCs/>
                <w:sz w:val="18"/>
                <w:szCs w:val="18"/>
              </w:rPr>
              <w:t>Grobe Kosten</w:t>
            </w:r>
          </w:p>
        </w:tc>
      </w:tr>
      <w:tr w:rsidR="00C1548D" w14:paraId="70A4DFD4" w14:textId="77777777">
        <w:tblPrEx>
          <w:tblCellMar>
            <w:top w:w="0" w:type="dxa"/>
            <w:bottom w:w="0" w:type="dxa"/>
          </w:tblCellMar>
        </w:tblPrEx>
        <w:trPr>
          <w:cantSplit/>
        </w:trPr>
        <w:tc>
          <w:tcPr>
            <w:tcW w:w="26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1" w14:textId="77777777" w:rsidR="00C1548D" w:rsidRDefault="009B1B4B">
            <w:pPr>
              <w:spacing w:line="250" w:lineRule="auto"/>
            </w:pPr>
            <w:r>
              <w:rPr>
                <w:sz w:val="18"/>
                <w:szCs w:val="18"/>
              </w:rPr>
              <w:t>Einfacher Fall</w:t>
            </w:r>
          </w:p>
        </w:tc>
        <w:tc>
          <w:tcPr>
            <w:tcW w:w="21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2" w14:textId="77777777" w:rsidR="00C1548D" w:rsidRDefault="009B1B4B">
            <w:pPr>
              <w:spacing w:line="250" w:lineRule="auto"/>
            </w:pPr>
            <w:r>
              <w:rPr>
                <w:sz w:val="18"/>
                <w:szCs w:val="18"/>
              </w:rPr>
              <w:t>Software</w:t>
            </w:r>
          </w:p>
        </w:tc>
        <w:tc>
          <w:tcPr>
            <w:tcW w:w="16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3" w14:textId="77777777" w:rsidR="00C1548D" w:rsidRDefault="009B1B4B">
            <w:pPr>
              <w:spacing w:line="250" w:lineRule="auto"/>
            </w:pPr>
            <w:r>
              <w:rPr>
                <w:sz w:val="18"/>
                <w:szCs w:val="18"/>
              </w:rPr>
              <w:t>0–150 $ (Bund) plus Staat</w:t>
            </w:r>
          </w:p>
        </w:tc>
      </w:tr>
      <w:tr w:rsidR="00C1548D" w14:paraId="70A4DFD8" w14:textId="77777777">
        <w:tblPrEx>
          <w:tblCellMar>
            <w:top w:w="0" w:type="dxa"/>
            <w:bottom w:w="0" w:type="dxa"/>
          </w:tblCellMar>
        </w:tblPrEx>
        <w:trPr>
          <w:cantSplit/>
        </w:trPr>
        <w:tc>
          <w:tcPr>
            <w:tcW w:w="26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5" w14:textId="77777777" w:rsidR="00C1548D" w:rsidRDefault="009B1B4B">
            <w:pPr>
              <w:spacing w:line="250" w:lineRule="auto"/>
            </w:pPr>
            <w:r>
              <w:rPr>
                <w:sz w:val="18"/>
                <w:szCs w:val="18"/>
              </w:rPr>
              <w:t>Einfacher Fall</w:t>
            </w:r>
          </w:p>
        </w:tc>
        <w:tc>
          <w:tcPr>
            <w:tcW w:w="21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6" w14:textId="77777777" w:rsidR="00C1548D" w:rsidRDefault="009B1B4B">
            <w:pPr>
              <w:spacing w:line="250" w:lineRule="auto"/>
            </w:pPr>
            <w:r>
              <w:rPr>
                <w:sz w:val="18"/>
                <w:szCs w:val="18"/>
              </w:rPr>
              <w:t>CPA oder EA</w:t>
            </w:r>
          </w:p>
        </w:tc>
        <w:tc>
          <w:tcPr>
            <w:tcW w:w="16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7" w14:textId="77777777" w:rsidR="00C1548D" w:rsidRDefault="009B1B4B">
            <w:pPr>
              <w:spacing w:line="250" w:lineRule="auto"/>
            </w:pPr>
            <w:r>
              <w:rPr>
                <w:sz w:val="18"/>
                <w:szCs w:val="18"/>
              </w:rPr>
              <w:t>300–800 $</w:t>
            </w:r>
          </w:p>
        </w:tc>
      </w:tr>
      <w:tr w:rsidR="00C1548D" w14:paraId="70A4DFDC" w14:textId="77777777">
        <w:tblPrEx>
          <w:tblCellMar>
            <w:top w:w="0" w:type="dxa"/>
            <w:bottom w:w="0" w:type="dxa"/>
          </w:tblCellMar>
        </w:tblPrEx>
        <w:trPr>
          <w:cantSplit/>
        </w:trPr>
        <w:tc>
          <w:tcPr>
            <w:tcW w:w="26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9" w14:textId="77777777" w:rsidR="00C1548D" w:rsidRDefault="009B1B4B">
            <w:pPr>
              <w:spacing w:line="250" w:lineRule="auto"/>
            </w:pPr>
            <w:r>
              <w:rPr>
                <w:sz w:val="18"/>
                <w:szCs w:val="18"/>
              </w:rPr>
              <w:t>Erstjahr mit Doppelstatus, FBAR, Form 8938</w:t>
            </w:r>
          </w:p>
        </w:tc>
        <w:tc>
          <w:tcPr>
            <w:tcW w:w="21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A" w14:textId="77777777" w:rsidR="00C1548D" w:rsidRDefault="009B1B4B">
            <w:pPr>
              <w:spacing w:line="250" w:lineRule="auto"/>
            </w:pPr>
            <w:r>
              <w:rPr>
                <w:sz w:val="18"/>
                <w:szCs w:val="18"/>
              </w:rPr>
              <w:t>CPA oder EA mit Auslandserfahrung</w:t>
            </w:r>
          </w:p>
        </w:tc>
        <w:tc>
          <w:tcPr>
            <w:tcW w:w="16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B" w14:textId="77777777" w:rsidR="00C1548D" w:rsidRDefault="009B1B4B">
            <w:pPr>
              <w:spacing w:line="250" w:lineRule="auto"/>
            </w:pPr>
            <w:r>
              <w:rPr>
                <w:sz w:val="18"/>
                <w:szCs w:val="18"/>
              </w:rPr>
              <w:t>800–2.500 $</w:t>
            </w:r>
          </w:p>
        </w:tc>
      </w:tr>
      <w:tr w:rsidR="00C1548D" w14:paraId="70A4DFE0" w14:textId="77777777">
        <w:tblPrEx>
          <w:tblCellMar>
            <w:top w:w="0" w:type="dxa"/>
            <w:bottom w:w="0" w:type="dxa"/>
          </w:tblCellMar>
        </w:tblPrEx>
        <w:trPr>
          <w:cantSplit/>
        </w:trPr>
        <w:tc>
          <w:tcPr>
            <w:tcW w:w="26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D" w14:textId="77777777" w:rsidR="00C1548D" w:rsidRDefault="009B1B4B">
            <w:pPr>
              <w:spacing w:line="250" w:lineRule="auto"/>
            </w:pPr>
            <w:r>
              <w:rPr>
                <w:sz w:val="18"/>
                <w:szCs w:val="18"/>
              </w:rPr>
              <w:t>Deutsche Immobilie, Fonds, Nachmeldung</w:t>
            </w:r>
          </w:p>
        </w:tc>
        <w:tc>
          <w:tcPr>
            <w:tcW w:w="21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E" w14:textId="77777777" w:rsidR="00C1548D" w:rsidRDefault="009B1B4B">
            <w:pPr>
              <w:spacing w:line="250" w:lineRule="auto"/>
            </w:pPr>
            <w:r>
              <w:rPr>
                <w:sz w:val="18"/>
                <w:szCs w:val="18"/>
              </w:rPr>
              <w:t>Berater für grenzüberschreitende Fälle</w:t>
            </w:r>
          </w:p>
        </w:tc>
        <w:tc>
          <w:tcPr>
            <w:tcW w:w="16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DF" w14:textId="77777777" w:rsidR="00C1548D" w:rsidRDefault="009B1B4B">
            <w:pPr>
              <w:spacing w:line="250" w:lineRule="auto"/>
            </w:pPr>
            <w:r>
              <w:rPr>
                <w:sz w:val="18"/>
                <w:szCs w:val="18"/>
              </w:rPr>
              <w:t>1.500–4.000 $ und mehr</w:t>
            </w:r>
          </w:p>
        </w:tc>
      </w:tr>
    </w:tbl>
    <w:p w14:paraId="70A4DFE1" w14:textId="77777777" w:rsidR="00C1548D" w:rsidRDefault="00C1548D">
      <w:pPr>
        <w:spacing w:line="180" w:lineRule="exact"/>
      </w:pPr>
    </w:p>
    <w:p w14:paraId="70A4DFE2" w14:textId="77777777" w:rsidR="00C1548D" w:rsidRDefault="009B1B4B">
      <w:pPr>
        <w:spacing w:after="140"/>
      </w:pPr>
      <w:r>
        <w:t>Das sind grobe Erfahrungswerte, keine amtlichen Zahlen; jedes Form 8621 kostet meist 100–300 $ extra. Hole Angebote ein und frage nach Erfahrung mit dem DBA Deutschland–USA, PFIC und Form 3520. Warnzeichen sind ein Honorar als Prozentsatz der Erstattung und Steuerersteller ohne PTIN oder Unterschrift (</w:t>
      </w:r>
      <w:r>
        <w:rPr>
          <w:i/>
          <w:iCs/>
        </w:rPr>
        <w:t>Ghost Preparer</w:t>
      </w:r>
      <w:r>
        <w:t>) –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w14:paraId="70A4DFE3" w14:textId="77777777" w:rsidR="00C1548D" w:rsidRDefault="009B1B4B">
      <w:pPr>
        <w:pStyle w:val="Heading3"/>
        <w:keepNext/>
        <w:jc w:val="center"/>
      </w:pPr>
      <w:r>
        <w:rPr>
          <w:rFonts w:ascii="Amazon Ember" w:eastAsia="Amazon Ember" w:hAnsi="Amazon Ember" w:cs="Amazon Ember"/>
          <w:color w:val="0000FF"/>
          <w:sz w:val="36"/>
          <w:szCs w:val="36"/>
        </w:rPr>
        <w:t>Fristen, Strafen und Betrug</w:t>
      </w:r>
    </w:p>
    <w:p w14:paraId="70A4DFE4" w14:textId="77777777" w:rsidR="00C1548D" w:rsidRDefault="009B1B4B" w:rsidP="009B1B4B">
      <w:pPr>
        <w:pStyle w:val="ListParagraph"/>
        <w:numPr>
          <w:ilvl w:val="0"/>
          <w:numId w:val="1"/>
        </w:numPr>
        <w:spacing w:after="60"/>
      </w:pPr>
      <w:r>
        <w:rPr>
          <w:b/>
          <w:bCs/>
        </w:rPr>
        <w:t>31. Januar:</w:t>
      </w:r>
      <w:r>
        <w:t xml:space="preserve"> Der Arbeitgeber stellt das W-2 aus.</w:t>
      </w:r>
    </w:p>
    <w:p w14:paraId="70A4DFE5" w14:textId="77777777" w:rsidR="00C1548D" w:rsidRDefault="009B1B4B" w:rsidP="009B1B4B">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w14:paraId="70A4DFE6" w14:textId="77777777" w:rsidR="00C1548D" w:rsidRDefault="009B1B4B" w:rsidP="009B1B4B">
      <w:pPr>
        <w:pStyle w:val="ListParagraph"/>
        <w:numPr>
          <w:ilvl w:val="0"/>
          <w:numId w:val="1"/>
        </w:numPr>
        <w:spacing w:after="60"/>
      </w:pPr>
      <w:r>
        <w:rPr>
          <w:b/>
          <w:bCs/>
        </w:rPr>
        <w:lastRenderedPageBreak/>
        <w:t>15. Juni:</w:t>
      </w:r>
      <w:r>
        <w:t xml:space="preserve"> Frist für Nichtansässige ohne Lohn; wer am 15. April außerhalb der USA lebt, hat automatisch bis 15. Juni.</w:t>
      </w:r>
    </w:p>
    <w:p w14:paraId="70A4DFE7" w14:textId="77777777" w:rsidR="00C1548D" w:rsidRDefault="009B1B4B" w:rsidP="009B1B4B">
      <w:pPr>
        <w:pStyle w:val="ListParagraph"/>
        <w:numPr>
          <w:ilvl w:val="0"/>
          <w:numId w:val="1"/>
        </w:numPr>
        <w:spacing w:after="60"/>
      </w:pPr>
      <w:r>
        <w:rPr>
          <w:b/>
          <w:bCs/>
        </w:rPr>
        <w:t>15. Oktober:</w:t>
      </w:r>
      <w:r>
        <w:t xml:space="preserve"> FBAR automatisch verlängert. Für 2025 endet die verlängerte Steuerfrist am 15. Oktober 2026.</w:t>
      </w:r>
    </w:p>
    <w:p w14:paraId="70A4DFE8" w14:textId="77777777" w:rsidR="00C1548D" w:rsidRDefault="00C1548D">
      <w:pPr>
        <w:spacing w:line="120" w:lineRule="exact"/>
      </w:pPr>
    </w:p>
    <w:p w14:paraId="70A4DFE9" w14:textId="77777777" w:rsidR="00C1548D" w:rsidRDefault="009B1B4B">
      <w:pPr>
        <w:spacing w:after="140"/>
      </w:pPr>
      <w: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bei nachvollziehbarem Grund (</w:t>
      </w:r>
      <w:r>
        <w:rPr>
          <w:i/>
          <w:iCs/>
        </w:rPr>
        <w:t>Reasonable Cause</w:t>
      </w:r>
      <w:r>
        <w:t>) oder als Erstverstoß (</w:t>
      </w:r>
      <w:r>
        <w:rPr>
          <w:i/>
          <w:iCs/>
        </w:rPr>
        <w:t>First-Time Abatement</w:t>
      </w:r>
      <w:r>
        <w:t>) möglich.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DFE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DFEA" w14:textId="77777777" w:rsidR="00C1548D" w:rsidRDefault="009B1B4B">
            <w:pPr>
              <w:keepNext/>
              <w:spacing w:after="70" w:line="240" w:lineRule="auto"/>
            </w:pPr>
            <w:r>
              <w:rPr>
                <w:b/>
                <w:bCs/>
                <w:color w:val="9B2C2C"/>
                <w:spacing w:val="24"/>
                <w:sz w:val="16"/>
                <w:szCs w:val="16"/>
              </w:rPr>
              <w:t>ACHTUNG</w:t>
            </w:r>
          </w:p>
          <w:p w14:paraId="70A4DFEB" w14:textId="77777777" w:rsidR="00C1548D" w:rsidRDefault="009B1B4B">
            <w:pPr>
              <w:spacing w:after="80" w:line="264" w:lineRule="auto"/>
            </w:pPr>
            <w:r>
              <w:rPr>
                <w:sz w:val="20"/>
                <w:szCs w:val="20"/>
              </w:rPr>
              <w:t>Betrüger geben sich am Telefon als IRS aus, drohen mit Verhaftung oder Abschiebung und verlangen sofortige Zahlung. Neuankömmlinge sind beliebte Ziele. Die IRS meldet sich zuerst per Post, droht nicht und lässt Rückfragen zu. Lege auf, prüfe den Vorgang auf irs.gov und melde Phishing an phishing@irs.gov.</w:t>
            </w:r>
          </w:p>
        </w:tc>
      </w:tr>
    </w:tbl>
    <w:p w14:paraId="70A4DFED" w14:textId="77777777" w:rsidR="00C1548D" w:rsidRDefault="00C1548D">
      <w:pPr>
        <w:spacing w:line="220" w:lineRule="exact"/>
      </w:pPr>
    </w:p>
    <w:p w14:paraId="70A4DFEE"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DFF1"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EF"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DFF0" w14:textId="77777777" w:rsidR="00C1548D" w:rsidRDefault="009B1B4B">
            <w:pPr>
              <w:spacing w:line="250" w:lineRule="auto"/>
            </w:pPr>
            <w:r>
              <w:rPr>
                <w:b/>
                <w:bCs/>
                <w:sz w:val="18"/>
                <w:szCs w:val="18"/>
              </w:rPr>
              <w:t>Minus</w:t>
            </w:r>
          </w:p>
        </w:tc>
      </w:tr>
      <w:tr w:rsidR="00C1548D" w14:paraId="70A4DFF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F2" w14:textId="77777777" w:rsidR="00C1548D" w:rsidRDefault="009B1B4B">
            <w:pPr>
              <w:spacing w:line="250" w:lineRule="auto"/>
            </w:pPr>
            <w:r>
              <w:rPr>
                <w:sz w:val="18"/>
                <w:szCs w:val="18"/>
              </w:rPr>
              <w:t>Hoher Standardabzug und niedrige Einstiegssätze: von 120.000 $ bleiben je nach Staat 71–78 % (vor Krankenversicherung)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F3" w14:textId="77777777" w:rsidR="00C1548D" w:rsidRDefault="009B1B4B">
            <w:pPr>
              <w:spacing w:line="250" w:lineRule="auto"/>
            </w:pPr>
            <w:r>
              <w:rPr>
                <w:sz w:val="18"/>
                <w:szCs w:val="18"/>
              </w:rPr>
              <w:t>Selbstveranlagung: Rechnung, Fristen und Fehler liegen bei dir</w:t>
            </w:r>
          </w:p>
        </w:tc>
      </w:tr>
      <w:tr w:rsidR="00C1548D" w14:paraId="70A4DFF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F5" w14:textId="77777777" w:rsidR="00C1548D" w:rsidRDefault="009B1B4B">
            <w:pPr>
              <w:spacing w:line="250" w:lineRule="auto"/>
            </w:pPr>
            <w:r>
              <w:rPr>
                <w:sz w:val="18"/>
                <w:szCs w:val="18"/>
              </w:rPr>
              <w:t>Staaten ohne Einkommensteuer wie Texas, Florida und Washington (auf Löhne)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F6" w14:textId="77777777" w:rsidR="00C1548D" w:rsidRDefault="009B1B4B">
            <w:pPr>
              <w:spacing w:line="250" w:lineRule="auto"/>
            </w:pPr>
            <w:r>
              <w:rPr>
                <w:sz w:val="18"/>
                <w:szCs w:val="18"/>
              </w:rPr>
              <w:t>Weltweites Einkommen und Meldepflichten (FBAR, Form 8938, PFIC) mit hohen Strafen</w:t>
            </w:r>
          </w:p>
        </w:tc>
      </w:tr>
      <w:tr w:rsidR="00C1548D" w14:paraId="70A4DFF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F8" w14:textId="77777777" w:rsidR="00C1548D" w:rsidRDefault="009B1B4B">
            <w:pPr>
              <w:spacing w:line="250" w:lineRule="auto"/>
            </w:pPr>
            <w:r>
              <w:rPr>
                <w:sz w:val="18"/>
                <w:szCs w:val="18"/>
              </w:rPr>
              <w:t>Rentenversicherung und Medicare zusammen nur 7,65 %</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F9" w14:textId="77777777" w:rsidR="00C1548D" w:rsidRDefault="009B1B4B">
            <w:pPr>
              <w:spacing w:line="250" w:lineRule="auto"/>
            </w:pPr>
            <w:r>
              <w:rPr>
                <w:sz w:val="18"/>
                <w:szCs w:val="18"/>
              </w:rPr>
              <w:t>Krankenversicherung, Sales Tax und Grundsteuer kommen obendrauf; Preise stehen ohne Steuer im Regal</w:t>
            </w:r>
          </w:p>
        </w:tc>
      </w:tr>
      <w:tr w:rsidR="00C1548D" w14:paraId="70A4DFF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FB" w14:textId="77777777" w:rsidR="00C1548D" w:rsidRDefault="009B1B4B">
            <w:pPr>
              <w:spacing w:line="250" w:lineRule="auto"/>
            </w:pPr>
            <w:r>
              <w:rPr>
                <w:sz w:val="18"/>
                <w:szCs w:val="18"/>
              </w:rPr>
              <w:t>401(k) und HSA senken die Steuer, der Arbeitgeber-Match ist Zusatzgehalt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FC" w14:textId="77777777" w:rsidR="00C1548D" w:rsidRDefault="009B1B4B">
            <w:pPr>
              <w:spacing w:line="250" w:lineRule="auto"/>
            </w:pPr>
            <w:r>
              <w:rPr>
                <w:sz w:val="18"/>
                <w:szCs w:val="18"/>
              </w:rPr>
              <w:t>Kinder ohne SSN: nur 500 statt 2.200 $ Gutschrift je Kind</w:t>
            </w:r>
          </w:p>
        </w:tc>
      </w:tr>
      <w:tr w:rsidR="00C1548D" w14:paraId="70A4E00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FE" w14:textId="77777777" w:rsidR="00C1548D" w:rsidRDefault="009B1B4B">
            <w:pPr>
              <w:spacing w:line="250" w:lineRule="auto"/>
            </w:pPr>
            <w:r>
              <w:rPr>
                <w:sz w:val="18"/>
                <w:szCs w:val="18"/>
              </w:rPr>
              <w:t>Anrechnung und Abkommen verhindern Doppelbesteuerung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DFFF" w14:textId="77777777" w:rsidR="00C1548D" w:rsidRDefault="009B1B4B">
            <w:pPr>
              <w:spacing w:line="250" w:lineRule="auto"/>
            </w:pPr>
            <w:r>
              <w:rPr>
                <w:sz w:val="18"/>
                <w:szCs w:val="18"/>
              </w:rPr>
              <w:t>Einreisejahr und Steuerexperte kosten Zeit und 800–2.500 $</w:t>
            </w:r>
          </w:p>
        </w:tc>
      </w:tr>
      <w:tr w:rsidR="00C1548D" w14:paraId="70A4E00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01" w14:textId="77777777" w:rsidR="00C1548D" w:rsidRDefault="009B1B4B">
            <w:pPr>
              <w:spacing w:line="250" w:lineRule="auto"/>
            </w:pPr>
            <w:r>
              <w:rPr>
                <w:sz w:val="18"/>
                <w:szCs w:val="18"/>
              </w:rPr>
              <w:lastRenderedPageBreak/>
              <w:t>Erstattung per E-Filing oft nach wenigen Wochen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02" w14:textId="77777777" w:rsidR="00C1548D" w:rsidRDefault="009B1B4B">
            <w:pPr>
              <w:spacing w:line="250" w:lineRule="auto"/>
            </w:pPr>
            <w:r>
              <w:rPr>
                <w:sz w:val="18"/>
                <w:szCs w:val="18"/>
              </w:rPr>
              <w:t>Zusätzliche Staatserklärung, teils Stadtsteuern</w:t>
            </w:r>
          </w:p>
        </w:tc>
      </w:tr>
    </w:tbl>
    <w:p w14:paraId="70A4E004" w14:textId="77777777" w:rsidR="00C1548D" w:rsidRDefault="00C1548D">
      <w:pPr>
        <w:spacing w:line="180" w:lineRule="exact"/>
      </w:pPr>
    </w:p>
    <w:p w14:paraId="70A4E005"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006" w14:textId="5854C776" w:rsidR="00C1548D" w:rsidRDefault="009B1B4B">
      <w:pPr>
        <w:spacing w:after="140"/>
      </w:pPr>
      <w: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history="1">
        <w:r>
          <w:t>24</w:t>
        </w:r>
      </w:hyperlink>
      <w:r>
        <w:t>) und bildest eine Rücklage für die erste Nachzahlung. Im Frühjahr folgen Erklärung, FBAR und Formulare. Konto und Kredit baust du nach Kapitel </w:t>
      </w:r>
      <w:hyperlink w:anchor="k25" w:history="1">
        <w:r>
          <w:t>25</w:t>
        </w:r>
      </w:hyperlink>
      <w:r>
        <w:t xml:space="preserve"> auf, die Vorsorge steht in Kapitel </w:t>
      </w:r>
      <w:hyperlink w:anchor="k39" w:history="1">
        <w:r>
          <w:t>39</w:t>
        </w:r>
      </w:hyperlink>
      <w:r>
        <w:t>, die Rückkehr in Kapitel </w:t>
      </w:r>
      <w:hyperlink w:anchor="k42" w:history="1">
        <w:r>
          <w:t>42</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13"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007" w14:textId="77777777" w:rsidR="00C1548D" w:rsidRDefault="009B1B4B">
            <w:pPr>
              <w:keepNext/>
              <w:spacing w:after="70" w:line="240" w:lineRule="auto"/>
            </w:pPr>
            <w:r>
              <w:rPr>
                <w:b/>
                <w:bCs/>
                <w:color w:val="1F6F78"/>
                <w:spacing w:val="24"/>
                <w:sz w:val="16"/>
                <w:szCs w:val="16"/>
              </w:rPr>
              <w:lastRenderedPageBreak/>
              <w:t>CHECKLISTE</w:t>
            </w:r>
          </w:p>
          <w:p w14:paraId="70A4E00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dem Abflug alle deutschen Konten, Depots, Fonds, Bausparverträge und Versicherungen mit Höchstständen auflisten (Grundlage für FBAR und Form 8938).</w:t>
            </w:r>
          </w:p>
          <w:p w14:paraId="70A4E00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Deutsche Fonds und ETFs vor dem Zuzug mit einem Berater beider Länder klären (PFIC).</w:t>
            </w:r>
          </w:p>
          <w:p w14:paraId="70A4E00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Ab dem ersten Tag einen Kalender mit Einreisen und Ausreisen führen; Green-Card-Datum notieren.</w:t>
            </w:r>
          </w:p>
          <w:p w14:paraId="70A4E00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Arbeitgeber fragen: Steuerberatung im Relocation-Paket? Gross-up für Umzugskosten?</w:t>
            </w:r>
          </w:p>
          <w:p w14:paraId="70A4E00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Form W-4 am ersten Arbeitstag ausfüllen und nach Bonus, RSUs oder Jobwechsel prüfen.</w:t>
            </w:r>
          </w:p>
          <w:p w14:paraId="70A4E00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Klären, ob die Kinder eine SSN mit Arbeitserlaubnis erhalten können (Kinder-Steuergutschrift).</w:t>
            </w:r>
          </w:p>
          <w:p w14:paraId="70A4E00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Rücklage für eine Nachzahlung im ersten April bilden.</w:t>
            </w:r>
          </w:p>
          <w:p w14:paraId="70A4E00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Steuerexperten (CPA oder EA) mit Auslandserfahrung früh buchen und die Zulassung im IRS-Verzeichnis prüfen.</w:t>
            </w:r>
          </w:p>
          <w:p w14:paraId="70A4E01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Bis 15. April erklären oder Form 4868 einreichen und trotzdem zahlen.</w:t>
            </w:r>
          </w:p>
          <w:p w14:paraId="70A4E01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Jedes Jahr FBAR (15. April, automatisch 15. Oktober) und bei Bedarf Form 8938, 8621 und 3520 abgeben.</w:t>
            </w:r>
          </w:p>
          <w:p w14:paraId="70A4E01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Studierende: Form 8843 jährlich einreichen, auch ohne Einkommen.</w:t>
            </w:r>
          </w:p>
        </w:tc>
      </w:tr>
    </w:tbl>
    <w:p w14:paraId="70A4E014" w14:textId="77777777" w:rsidR="00C1548D" w:rsidRDefault="00C1548D">
      <w:pPr>
        <w:spacing w:line="220" w:lineRule="exact"/>
      </w:pPr>
    </w:p>
    <w:p w14:paraId="70A4E015"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016" w14:textId="68E4AD2C" w:rsidR="00C1548D" w:rsidRDefault="009B1B4B" w:rsidP="009B1B4B">
      <w:pPr>
        <w:pStyle w:val="ListParagraph"/>
        <w:numPr>
          <w:ilvl w:val="0"/>
          <w:numId w:val="1"/>
        </w:numPr>
        <w:spacing w:after="60"/>
      </w:pPr>
      <w:r>
        <w:t>IRS — Besteuerung von Nichtansässigen (</w:t>
      </w:r>
      <w:hyperlink r:id="rId238" w:history="1">
        <w:r>
          <w:rPr>
            <w:color w:val="0563C1"/>
            <w:u w:val="single"/>
          </w:rPr>
          <w:t>irs.gov/individuals/international-taxpayers/taxation-of-nonresident-aliens</w:t>
        </w:r>
      </w:hyperlink>
      <w:r>
        <w:t>)</w:t>
      </w:r>
    </w:p>
    <w:p w14:paraId="70A4E017" w14:textId="19F907C7" w:rsidR="00C1548D" w:rsidRDefault="009B1B4B" w:rsidP="009B1B4B">
      <w:pPr>
        <w:pStyle w:val="ListParagraph"/>
        <w:numPr>
          <w:ilvl w:val="0"/>
          <w:numId w:val="1"/>
        </w:numPr>
        <w:spacing w:after="60"/>
      </w:pPr>
      <w:r>
        <w:t>IRS — Publication 519, Steuerleitfaden für Ausländer (</w:t>
      </w:r>
      <w:hyperlink r:id="rId239" w:history="1">
        <w:r>
          <w:rPr>
            <w:color w:val="0563C1"/>
            <w:u w:val="single"/>
          </w:rPr>
          <w:t>irs.gov/publications/p519</w:t>
        </w:r>
      </w:hyperlink>
      <w:r>
        <w:t>)</w:t>
      </w:r>
    </w:p>
    <w:p w14:paraId="70A4E018" w14:textId="44C39C6E" w:rsidR="00C1548D" w:rsidRDefault="009B1B4B" w:rsidP="009B1B4B">
      <w:pPr>
        <w:pStyle w:val="ListParagraph"/>
        <w:numPr>
          <w:ilvl w:val="0"/>
          <w:numId w:val="1"/>
        </w:numPr>
        <w:spacing w:after="60"/>
      </w:pPr>
      <w:r>
        <w:t>IRS — Child Tax Credit (</w:t>
      </w:r>
      <w:hyperlink r:id="rId240" w:history="1">
        <w:r>
          <w:rPr>
            <w:color w:val="0563C1"/>
            <w:u w:val="single"/>
          </w:rPr>
          <w:t>irs.gov/credits-deductions/individuals/child-tax-credit</w:t>
        </w:r>
      </w:hyperlink>
      <w:r>
        <w:t>)</w:t>
      </w:r>
    </w:p>
    <w:p w14:paraId="70A4E019" w14:textId="1DAE4192" w:rsidR="00C1548D" w:rsidRDefault="009B1B4B" w:rsidP="009B1B4B">
      <w:pPr>
        <w:pStyle w:val="ListParagraph"/>
        <w:numPr>
          <w:ilvl w:val="0"/>
          <w:numId w:val="1"/>
        </w:numPr>
        <w:spacing w:after="60"/>
      </w:pPr>
      <w:r>
        <w:lastRenderedPageBreak/>
        <w:t>IRS — FBAR (</w:t>
      </w:r>
      <w:hyperlink r:id="rId241" w:history="1">
        <w:r>
          <w:rPr>
            <w:color w:val="0563C1"/>
            <w:u w:val="single"/>
          </w:rPr>
          <w:t>irs.gov/businesses/small-businesses-self-employed/report-of-foreign-bank-and-financial-accounts-fbar</w:t>
        </w:r>
      </w:hyperlink>
      <w:r>
        <w:t>)</w:t>
      </w:r>
    </w:p>
    <w:p w14:paraId="70A4E01A" w14:textId="0B87A5DA" w:rsidR="00C1548D" w:rsidRDefault="009B1B4B" w:rsidP="009B1B4B">
      <w:pPr>
        <w:pStyle w:val="ListParagraph"/>
        <w:numPr>
          <w:ilvl w:val="0"/>
          <w:numId w:val="1"/>
        </w:numPr>
        <w:spacing w:after="60"/>
      </w:pPr>
      <w:r>
        <w:t>IRS — Vergleich Form 8938 und FBAR (</w:t>
      </w:r>
      <w:hyperlink r:id="rId242" w:history="1">
        <w:r>
          <w:rPr>
            <w:color w:val="0563C1"/>
            <w:u w:val="single"/>
          </w:rPr>
          <w:t>irs.gov/businesses/comparison-of-form-8938-and-fbar-requirements</w:t>
        </w:r>
      </w:hyperlink>
      <w:r>
        <w:t>)</w:t>
      </w:r>
    </w:p>
    <w:p w14:paraId="70A4E01B" w14:textId="05E13466" w:rsidR="00C1548D" w:rsidRDefault="009B1B4B" w:rsidP="009B1B4B">
      <w:pPr>
        <w:pStyle w:val="ListParagraph"/>
        <w:numPr>
          <w:ilvl w:val="0"/>
          <w:numId w:val="1"/>
        </w:numPr>
        <w:spacing w:after="60"/>
      </w:pPr>
      <w:r>
        <w:t>IRS — Doppelbesteuerungsabkommen Deutschland–USA (</w:t>
      </w:r>
      <w:hyperlink r:id="rId243" w:history="1">
        <w:r>
          <w:rPr>
            <w:color w:val="0563C1"/>
            <w:u w:val="single"/>
          </w:rPr>
          <w:t>irs.gov/pub/irs-trty/germany.pdf</w:t>
        </w:r>
      </w:hyperlink>
      <w:r>
        <w:t>)</w:t>
      </w:r>
    </w:p>
    <w:p w14:paraId="70A4E01C" w14:textId="49680D63" w:rsidR="00C1548D" w:rsidRDefault="009B1B4B" w:rsidP="009B1B4B">
      <w:pPr>
        <w:pStyle w:val="ListParagraph"/>
        <w:numPr>
          <w:ilvl w:val="0"/>
          <w:numId w:val="1"/>
        </w:numPr>
        <w:spacing w:after="60"/>
      </w:pPr>
      <w:r>
        <w:t>IRS — Strafen bei verspäteter Erklärung (</w:t>
      </w:r>
      <w:hyperlink r:id="rId244" w:history="1">
        <w:r>
          <w:rPr>
            <w:color w:val="0563C1"/>
            <w:u w:val="single"/>
          </w:rPr>
          <w:t>irs.gov/payments/failure-to-file-penalty</w:t>
        </w:r>
      </w:hyperlink>
      <w:r>
        <w:t>)</w:t>
      </w:r>
    </w:p>
    <w:p w14:paraId="70A4E01D" w14:textId="32FA32CC" w:rsidR="00C1548D" w:rsidRDefault="009B1B4B" w:rsidP="009B1B4B">
      <w:pPr>
        <w:pStyle w:val="ListParagraph"/>
        <w:numPr>
          <w:ilvl w:val="0"/>
          <w:numId w:val="1"/>
        </w:numPr>
        <w:spacing w:after="60"/>
      </w:pPr>
      <w:r>
        <w:t>IRS — Steuerexperten und Betrugswarnungen (</w:t>
      </w:r>
      <w:hyperlink r:id="rId245" w:history="1">
        <w:r>
          <w:rPr>
            <w:color w:val="0563C1"/>
            <w:u w:val="single"/>
          </w:rPr>
          <w:t>irs.gov/tax-professionals/choosing-a-tax-professional</w:t>
        </w:r>
      </w:hyperlink>
      <w:r>
        <w:t xml:space="preserve"> und </w:t>
      </w:r>
      <w:hyperlink r:id="rId246" w:history="1">
        <w:r>
          <w:rPr>
            <w:color w:val="0563C1"/>
            <w:u w:val="single"/>
          </w:rPr>
          <w:t>irs.gov/newsroom/tax-scams-consumer-alerts</w:t>
        </w:r>
      </w:hyperlink>
      <w:r>
        <w:t>)</w:t>
      </w:r>
    </w:p>
    <w:p w14:paraId="70A4E01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21"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01F" w14:textId="77777777" w:rsidR="00C1548D" w:rsidRDefault="009B1B4B">
            <w:pPr>
              <w:keepNext/>
              <w:spacing w:after="70" w:line="240" w:lineRule="auto"/>
            </w:pPr>
            <w:r>
              <w:rPr>
                <w:b/>
                <w:bCs/>
                <w:color w:val="6B7280"/>
                <w:spacing w:val="24"/>
                <w:sz w:val="16"/>
                <w:szCs w:val="16"/>
              </w:rPr>
              <w:t>STAND</w:t>
            </w:r>
          </w:p>
          <w:p w14:paraId="70A4E020" w14:textId="77777777" w:rsidR="00C1548D" w:rsidRDefault="009B1B4B">
            <w:pPr>
              <w:spacing w:after="80" w:line="264" w:lineRule="auto"/>
            </w:pPr>
            <w:r>
              <w:rPr>
                <w:sz w:val="20"/>
                <w:szCs w:val="20"/>
              </w:rPr>
              <w:t>September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p>
        </w:tc>
      </w:tr>
    </w:tbl>
    <w:p w14:paraId="70A4E022" w14:textId="77777777" w:rsidR="00C1548D" w:rsidRDefault="00C1548D">
      <w:pPr>
        <w:spacing w:line="220" w:lineRule="exact"/>
      </w:pPr>
    </w:p>
    <w:p w14:paraId="70A4E023" w14:textId="77777777" w:rsidR="00C1548D" w:rsidRDefault="00C1548D">
      <w:pPr>
        <w:sectPr w:rsidR="00C1548D">
          <w:footerReference w:type="default" r:id="rId247"/>
          <w:pgSz w:w="8640" w:h="12960"/>
          <w:pgMar w:top="1080" w:right="1080" w:bottom="1100" w:left="1080" w:header="708" w:footer="708" w:gutter="0"/>
          <w:cols w:space="720"/>
          <w:docGrid w:linePitch="360"/>
        </w:sectPr>
      </w:pPr>
    </w:p>
    <w:p w14:paraId="70A4E024" w14:textId="77777777" w:rsidR="00C1548D" w:rsidRDefault="009B1B4B">
      <w:pPr>
        <w:pStyle w:val="Heading1"/>
        <w:jc w:val="center"/>
      </w:pPr>
      <w:bookmarkStart w:id="69" w:name="_Toc241352483"/>
      <w:r>
        <w:rPr>
          <w:rFonts w:ascii="Amazon Ember" w:eastAsia="Amazon Ember" w:hAnsi="Amazon Ember" w:cs="Amazon Ember"/>
          <w:color w:val="0000FF"/>
        </w:rPr>
        <w:lastRenderedPageBreak/>
        <w:t>TEIL VII — Arbeiten in den USA</w:t>
      </w:r>
      <w:bookmarkEnd w:id="69"/>
    </w:p>
    <w:p w14:paraId="70A4E025" w14:textId="77777777" w:rsidR="00C1548D" w:rsidRDefault="009B1B4B">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w14:paraId="70A4E026" w14:textId="77777777" w:rsidR="00C1548D" w:rsidRDefault="00C1548D">
      <w:pPr>
        <w:sectPr w:rsidR="00C1548D">
          <w:footerReference w:type="default" r:id="rId248"/>
          <w:pgSz w:w="8640" w:h="12960"/>
          <w:pgMar w:top="1080" w:right="1080" w:bottom="1100" w:left="1080" w:header="708" w:footer="708" w:gutter="0"/>
          <w:cols w:space="720"/>
          <w:vAlign w:val="center"/>
          <w:docGrid w:linePitch="360"/>
        </w:sectPr>
      </w:pPr>
    </w:p>
    <w:p w14:paraId="70A4E027" w14:textId="77777777" w:rsidR="00C1548D" w:rsidRDefault="009B1B4B">
      <w:pPr>
        <w:pStyle w:val="Heading2"/>
        <w:keepNext/>
        <w:pageBreakBefore/>
        <w:jc w:val="center"/>
      </w:pPr>
      <w:bookmarkStart w:id="70" w:name="k29"/>
      <w:bookmarkStart w:id="71" w:name="_Toc241352484"/>
      <w:r>
        <w:rPr>
          <w:rFonts w:ascii="Amazon Ember" w:eastAsia="Amazon Ember" w:hAnsi="Amazon Ember" w:cs="Amazon Ember"/>
          <w:color w:val="0000FF"/>
          <w:sz w:val="36"/>
          <w:szCs w:val="36"/>
        </w:rPr>
        <w:lastRenderedPageBreak/>
        <w:t>Kapitel 29: Die Arbeitswelt in den USA: Recht, Kultur, Gehalt</w:t>
      </w:r>
      <w:bookmarkEnd w:id="70"/>
      <w:bookmarkEnd w:id="71"/>
    </w:p>
    <w:p w14:paraId="70A4E028" w14:textId="77777777" w:rsidR="00C1548D" w:rsidRDefault="009B1B4B">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30"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029" w14:textId="77777777" w:rsidR="00C1548D" w:rsidRDefault="009B1B4B">
            <w:pPr>
              <w:keepNext/>
              <w:spacing w:after="70" w:line="240" w:lineRule="auto"/>
            </w:pPr>
            <w:r>
              <w:rPr>
                <w:b/>
                <w:bCs/>
                <w:color w:val="1F3A5F"/>
                <w:spacing w:val="24"/>
                <w:sz w:val="16"/>
                <w:szCs w:val="16"/>
              </w:rPr>
              <w:t>KURZ GESAGT</w:t>
            </w:r>
          </w:p>
          <w:p w14:paraId="70A4E02A" w14:textId="77777777" w:rsidR="00C1548D" w:rsidRDefault="009B1B4B" w:rsidP="009B1B4B">
            <w:pPr>
              <w:pStyle w:val="ListParagraph"/>
              <w:numPr>
                <w:ilvl w:val="0"/>
                <w:numId w:val="1"/>
              </w:numPr>
              <w:spacing w:after="50" w:line="264" w:lineRule="auto"/>
            </w:pPr>
            <w:r>
              <w:rPr>
                <w:sz w:val="20"/>
                <w:szCs w:val="20"/>
              </w:rPr>
              <w:t xml:space="preserve">Fast überall gilt </w:t>
            </w:r>
            <w:r>
              <w:rPr>
                <w:i/>
                <w:iCs/>
                <w:sz w:val="20"/>
                <w:szCs w:val="20"/>
              </w:rPr>
              <w:t>At-will Employment</w:t>
            </w:r>
            <w:r>
              <w:rPr>
                <w:sz w:val="20"/>
                <w:szCs w:val="20"/>
              </w:rPr>
              <w:t xml:space="preserve"> (Kündigung ohne Grund, für beide Seiten). Ausnahmen betreffen vor allem Diskriminierung, Vergeltung und Vertragsbruch.</w:t>
            </w:r>
          </w:p>
          <w:p w14:paraId="70A4E02B" w14:textId="77777777" w:rsidR="00C1548D" w:rsidRDefault="009B1B4B" w:rsidP="009B1B4B">
            <w:pPr>
              <w:pStyle w:val="ListParagraph"/>
              <w:numPr>
                <w:ilvl w:val="0"/>
                <w:numId w:val="1"/>
              </w:numPr>
              <w:spacing w:after="50" w:line="264" w:lineRule="auto"/>
            </w:pPr>
            <w:r>
              <w:rPr>
                <w:sz w:val="20"/>
                <w:szCs w:val="20"/>
              </w:rPr>
              <w:t>Urlaub, Krankheitstage und Kündigungsfrist regeln Offer Letter und Firmenrichtlinie: im Schnitt 11 bezahlte Urlaubstage im ersten Jahr (BLS, 2025).</w:t>
            </w:r>
          </w:p>
          <w:p w14:paraId="70A4E02C" w14:textId="77777777" w:rsidR="00C1548D" w:rsidRDefault="009B1B4B" w:rsidP="009B1B4B">
            <w:pPr>
              <w:pStyle w:val="ListParagraph"/>
              <w:numPr>
                <w:ilvl w:val="0"/>
                <w:numId w:val="1"/>
              </w:numPr>
              <w:spacing w:after="50" w:line="264" w:lineRule="auto"/>
            </w:pPr>
            <w:r>
              <w:rPr>
                <w:sz w:val="20"/>
                <w:szCs w:val="20"/>
              </w:rPr>
              <w:t>Verhandle die Gesamtvergütung: Bonus, Aktien, 401(k)-Match und Sign-on-Bonus machen im Rechenbeispiel bis zu 41 % des Grundgehalts aus.</w:t>
            </w:r>
          </w:p>
          <w:p w14:paraId="70A4E02D" w14:textId="77777777" w:rsidR="00C1548D" w:rsidRDefault="009B1B4B" w:rsidP="009B1B4B">
            <w:pPr>
              <w:pStyle w:val="ListParagraph"/>
              <w:numPr>
                <w:ilvl w:val="0"/>
                <w:numId w:val="1"/>
              </w:numPr>
              <w:spacing w:after="50" w:line="264" w:lineRule="auto"/>
            </w:pPr>
            <w:r>
              <w:rPr>
                <w:sz w:val="20"/>
                <w:szCs w:val="20"/>
              </w:rPr>
              <w:t>Ein bundesweites Verbot von Wettbewerbsverboten gibt es nicht (Stand September 2026): Kalifornien erklärt sie für nichtig, Michigan erlaubt sie im Grundsatz.</w:t>
            </w:r>
          </w:p>
          <w:p w14:paraId="70A4E02E" w14:textId="77777777" w:rsidR="00C1548D" w:rsidRDefault="009B1B4B" w:rsidP="009B1B4B">
            <w:pPr>
              <w:pStyle w:val="ListParagraph"/>
              <w:numPr>
                <w:ilvl w:val="0"/>
                <w:numId w:val="1"/>
              </w:numPr>
              <w:spacing w:after="50" w:line="264" w:lineRule="auto"/>
            </w:pPr>
            <w:r>
              <w:rPr>
                <w:sz w:val="20"/>
                <w:szCs w:val="20"/>
              </w:rPr>
              <w:t>Ein US-</w:t>
            </w:r>
            <w:r>
              <w:rPr>
                <w:i/>
                <w:iCs/>
                <w:sz w:val="20"/>
                <w:szCs w:val="20"/>
              </w:rPr>
              <w:t>Resume</w:t>
            </w:r>
            <w:r>
              <w:rPr>
                <w:sz w:val="20"/>
                <w:szCs w:val="20"/>
              </w:rPr>
              <w:t xml:space="preserve"> ist kurz, ohne Foto und Geburtsdatum und zählt Ergebnisse statt Aufgaben; deutsche Bescheidenheit kostet Gehalt.</w:t>
            </w:r>
          </w:p>
          <w:p w14:paraId="70A4E02F" w14:textId="77777777" w:rsidR="00C1548D" w:rsidRDefault="009B1B4B" w:rsidP="009B1B4B">
            <w:pPr>
              <w:pStyle w:val="ListParagraph"/>
              <w:numPr>
                <w:ilvl w:val="0"/>
                <w:numId w:val="1"/>
              </w:numPr>
              <w:spacing w:after="50" w:line="264" w:lineRule="auto"/>
            </w:pPr>
            <w:r>
              <w:rPr>
                <w:sz w:val="20"/>
                <w:szCs w:val="20"/>
              </w:rPr>
              <w:t xml:space="preserve">Ein </w:t>
            </w:r>
            <w:r>
              <w:rPr>
                <w:i/>
                <w:iCs/>
                <w:sz w:val="20"/>
                <w:szCs w:val="20"/>
              </w:rPr>
              <w:t>PIP</w:t>
            </w:r>
            <w:r>
              <w:rPr>
                <w:sz w:val="20"/>
                <w:szCs w:val="20"/>
              </w:rPr>
              <w:t xml:space="preserve"> (Verbesserungsplan) ist für Visa-Inhaber ein Alarmsignal.</w:t>
            </w:r>
          </w:p>
        </w:tc>
      </w:tr>
    </w:tbl>
    <w:p w14:paraId="70A4E031" w14:textId="77777777" w:rsidR="00C1548D" w:rsidRDefault="00C1548D">
      <w:pPr>
        <w:spacing w:line="220" w:lineRule="exact"/>
      </w:pPr>
    </w:p>
    <w:p w14:paraId="70A4E032" w14:textId="77777777" w:rsidR="00C1548D" w:rsidRDefault="009B1B4B">
      <w:pPr>
        <w:pStyle w:val="Heading3"/>
        <w:keepNext/>
        <w:jc w:val="center"/>
      </w:pPr>
      <w:r>
        <w:rPr>
          <w:rFonts w:ascii="Amazon Ember" w:eastAsia="Amazon Ember" w:hAnsi="Amazon Ember" w:cs="Amazon Ember"/>
          <w:color w:val="0000FF"/>
          <w:sz w:val="36"/>
          <w:szCs w:val="36"/>
        </w:rPr>
        <w:t>At-will Employment: Kündigung ohne Grund, mit Ausnahmen</w:t>
      </w:r>
    </w:p>
    <w:p w14:paraId="70A4E033" w14:textId="77777777" w:rsidR="00C1548D" w:rsidRDefault="009B1B4B">
      <w:pPr>
        <w:spacing w:after="140"/>
      </w:pPr>
      <w:r>
        <w:t xml:space="preserve">In 49 Bundesstaaten und Washington, D.C. gilt </w:t>
      </w:r>
      <w:r>
        <w:rPr>
          <w:i/>
          <w:iCs/>
        </w:rPr>
        <w:t>At-will Employment</w:t>
      </w:r>
      <w:r>
        <w:t xml:space="preserve">: Ein Arbeitsverhältnis ohne feste Laufzeit kann jede Seite jederzeit beenden, mit oder ohne Begründung; nur Montana verlangt nach der </w:t>
      </w:r>
      <w:r>
        <w:lastRenderedPageBreak/>
        <w:t>Probezeit einen guten Grund. Der Arbeitgeber braucht keine Sozialauswahl, keine Betriebsratsanhörung und keine gesetzliche Kündigungsfrist, üblich sind zwei Wochen aus Höflichkeit – dieselbe Freiheit hast du. In Deutschland greift dagegen das Kündigungsschutzgesetz in Betrieben ab zehn Beschäftigten nach sechs Monaten; Betriebsräte nach deutschem Muster gibt es nicht, nur et</w:t>
      </w:r>
      <w:r>
        <w:t>wa jeder zehnte Beschäftigte ist gewerkschaftlich organisiert.</w:t>
      </w:r>
    </w:p>
    <w:p w14:paraId="70A4E034" w14:textId="77777777" w:rsidR="00C1548D" w:rsidRDefault="009B1B4B">
      <w:pPr>
        <w:spacing w:after="140"/>
      </w:pPr>
      <w:r>
        <w:t>Verbreiteter Irrtum: Ohne Kündigungsschutzgesetz braucht es zumindest einen nachvollziehbaren Grund, denkt man aus deutscher Gewohnheit. Tatsächlich reicht im Kündigungsgespräch ein Satz wie „it’s not a good fit“ – mehr Begründung schuldet dir niemand, und du schuldest sie umgekehrt auch nicht.</w:t>
      </w:r>
    </w:p>
    <w:p w14:paraId="70A4E035" w14:textId="77777777" w:rsidR="00C1548D" w:rsidRDefault="009B1B4B">
      <w:pPr>
        <w:spacing w:after="140"/>
      </w:pPr>
      <w:r>
        <w:t>Verboten ist die Kündigung nur aus bestimmten Gründen:</w:t>
      </w:r>
    </w:p>
    <w:p w14:paraId="70A4E036" w14:textId="77777777" w:rsidR="00C1548D" w:rsidRDefault="009B1B4B" w:rsidP="009B1B4B">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w14:paraId="70A4E037" w14:textId="77777777" w:rsidR="00C1548D" w:rsidRDefault="009B1B4B" w:rsidP="009B1B4B">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w14:paraId="70A4E038" w14:textId="77777777" w:rsidR="00C1548D" w:rsidRDefault="009B1B4B" w:rsidP="009B1B4B">
      <w:pPr>
        <w:pStyle w:val="ListParagraph"/>
        <w:numPr>
          <w:ilvl w:val="0"/>
          <w:numId w:val="1"/>
        </w:numPr>
        <w:spacing w:after="60"/>
      </w:pPr>
      <w:r>
        <w:rPr>
          <w:b/>
          <w:bCs/>
        </w:rPr>
        <w:t>Geschützte Rechte</w:t>
      </w:r>
      <w:r>
        <w:t>, etwa Familienurlaub nach der FMLA (siehe unten), Wehrdienst oder ein Antrag nach einem Arbeitsunfall.</w:t>
      </w:r>
    </w:p>
    <w:p w14:paraId="70A4E039" w14:textId="77777777" w:rsidR="00C1548D" w:rsidRDefault="009B1B4B" w:rsidP="009B1B4B">
      <w:pPr>
        <w:pStyle w:val="ListParagraph"/>
        <w:numPr>
          <w:ilvl w:val="0"/>
          <w:numId w:val="1"/>
        </w:numPr>
        <w:spacing w:after="60"/>
      </w:pPr>
      <w:r>
        <w:rPr>
          <w:b/>
          <w:bCs/>
        </w:rPr>
        <w:t>Vertragsbruch:</w:t>
      </w:r>
      <w:r>
        <w:t xml:space="preserve"> Ein Vertrag mit fester Laufzeit oder Kündigung nur aus wichtigem Grund (</w:t>
      </w:r>
      <w:r>
        <w:rPr>
          <w:i/>
          <w:iCs/>
        </w:rPr>
        <w:t>For Cause</w:t>
      </w:r>
      <w:r>
        <w:t>) gilt; auch Tarifverträge setzen Grenzen.</w:t>
      </w:r>
    </w:p>
    <w:p w14:paraId="70A4E03A" w14:textId="77777777" w:rsidR="00C1548D" w:rsidRDefault="009B1B4B" w:rsidP="009B1B4B">
      <w:pPr>
        <w:pStyle w:val="ListParagraph"/>
        <w:numPr>
          <w:ilvl w:val="0"/>
          <w:numId w:val="1"/>
        </w:numPr>
        <w:spacing w:after="60"/>
      </w:pPr>
      <w:r>
        <w:rPr>
          <w:b/>
          <w:bCs/>
        </w:rPr>
        <w:t>Verstoß gegen die öffentliche Ordnung</w:t>
      </w:r>
      <w:r>
        <w:t>, etwa eine Kündigung, weil du dich weigerst, ein Gesetz zu brechen.</w:t>
      </w:r>
    </w:p>
    <w:p w14:paraId="70A4E03B" w14:textId="77777777" w:rsidR="00C1548D" w:rsidRDefault="00C1548D">
      <w:pPr>
        <w:spacing w:line="120" w:lineRule="exact"/>
      </w:pPr>
    </w:p>
    <w:p w14:paraId="70A4E03C" w14:textId="735D492D" w:rsidR="00C1548D" w:rsidRDefault="009B1B4B">
      <w:pPr>
        <w:spacing w:after="140"/>
      </w:pPr>
      <w:r>
        <w:t>Die Beweislast liegt bei dir, geklagt wird erst nach der Kündigung. Bei Diskriminierung ist die Bundesbehörde EEOC (</w:t>
      </w:r>
      <w:r>
        <w:rPr>
          <w:i/>
          <w:iCs/>
        </w:rPr>
        <w:t>Equal Employment Opportunity Commission</w:t>
      </w:r>
      <w:r>
        <w:t>) erste Adresse, meist binnen 180 bis 300 Tagen. Eine Abfindung gibt es nicht per Gesetz; sie wird verhandelt (Kapitel </w:t>
      </w:r>
      <w:hyperlink w:anchor="k30" w:history="1">
        <w:r>
          <w:t>30</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3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03D" w14:textId="77777777" w:rsidR="00C1548D" w:rsidRDefault="009B1B4B">
            <w:pPr>
              <w:keepNext/>
              <w:spacing w:after="70" w:line="240" w:lineRule="auto"/>
            </w:pPr>
            <w:r>
              <w:rPr>
                <w:b/>
                <w:bCs/>
                <w:color w:val="9B2C2C"/>
                <w:spacing w:val="24"/>
                <w:sz w:val="16"/>
                <w:szCs w:val="16"/>
              </w:rPr>
              <w:lastRenderedPageBreak/>
              <w:t>ACHTUNG</w:t>
            </w:r>
          </w:p>
          <w:p w14:paraId="70A4E03E" w14:textId="4812DC13" w:rsidR="00C1548D" w:rsidRDefault="009B1B4B">
            <w:pPr>
              <w:spacing w:after="80" w:line="264" w:lineRule="auto"/>
            </w:pPr>
            <w:r>
              <w:rPr>
                <w:sz w:val="20"/>
                <w:szCs w:val="20"/>
              </w:rPr>
              <w:t xml:space="preserve">At-will gilt schon vor dem ersten Arbeitstag: Ein Arbeitgeber kann sein Angebot zurückziehen, etwa bei Einstellungsstopp oder nicht bestandenem </w:t>
            </w:r>
            <w:r>
              <w:rPr>
                <w:i/>
                <w:iCs/>
                <w:sz w:val="20"/>
                <w:szCs w:val="20"/>
              </w:rPr>
              <w:t>Background Check</w:t>
            </w:r>
            <w:r>
              <w:rPr>
                <w:sz w:val="20"/>
                <w:szCs w:val="20"/>
              </w:rPr>
              <w:t xml:space="preserve"> (Überprüfung der Vorgeschichte). Kündige den deutschen Job erst, wenn Visum und Startdatum feststehen (Kapitel </w:t>
            </w:r>
            <w:hyperlink w:anchor="k15" w:history="1">
              <w:r>
                <w:rPr>
                  <w:sz w:val="20"/>
                  <w:szCs w:val="20"/>
                </w:rPr>
                <w:t>15</w:t>
              </w:r>
            </w:hyperlink>
            <w:r>
              <w:rPr>
                <w:sz w:val="20"/>
                <w:szCs w:val="20"/>
              </w:rPr>
              <w:t>).</w:t>
            </w:r>
          </w:p>
        </w:tc>
      </w:tr>
    </w:tbl>
    <w:p w14:paraId="70A4E040" w14:textId="77777777" w:rsidR="00C1548D" w:rsidRDefault="00C1548D">
      <w:pPr>
        <w:spacing w:line="220" w:lineRule="exact"/>
      </w:pPr>
    </w:p>
    <w:p w14:paraId="70A4E041" w14:textId="77777777" w:rsidR="00C1548D" w:rsidRDefault="009B1B4B">
      <w:pPr>
        <w:pStyle w:val="Heading3"/>
        <w:keepNext/>
        <w:jc w:val="center"/>
      </w:pPr>
      <w:r>
        <w:rPr>
          <w:rFonts w:ascii="Amazon Ember" w:eastAsia="Amazon Ember" w:hAnsi="Amazon Ember" w:cs="Amazon Ember"/>
          <w:color w:val="0000FF"/>
          <w:sz w:val="36"/>
          <w:szCs w:val="36"/>
        </w:rPr>
        <w:t>Offer Letter und Arbeitsvertrag: was drinsteht, was fehlt</w:t>
      </w:r>
    </w:p>
    <w:p w14:paraId="70A4E042" w14:textId="6CB742DB" w:rsidR="00C1548D" w:rsidRDefault="009B1B4B">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und bei dir die Genehmigung der H-1B-Petition (Kapitel </w:t>
      </w:r>
      <w:hyperlink w:anchor="k5" w:history="1">
        <w:r>
          <w:t>5</w:t>
        </w:r>
      </w:hyperlink>
      <w:r>
        <w:t>). Oft kommen weitere Papiere dazu: die Bestätigung des Firmenhandbuchs (</w:t>
      </w:r>
      <w:r>
        <w:rPr>
          <w:i/>
          <w:iCs/>
        </w:rPr>
        <w:t>Employee Handbook</w:t>
      </w:r>
      <w:r>
        <w:t>), das die Firma einseitig ändern darf; eine Schiedsvereinbarung (</w:t>
      </w:r>
      <w:r>
        <w:rPr>
          <w:i/>
          <w:iCs/>
        </w:rPr>
        <w:t>Arbitration Agreement</w:t>
      </w:r>
      <w:r>
        <w:t>), die Streit vor ein privates statt ein staatliches Gericht bringt; dazu Geheimhaltung, Erfindungszuweisung und Wettbewerbsverbot (nächster Abschnitt).</w:t>
      </w:r>
    </w:p>
    <w:p w14:paraId="70A4E043" w14:textId="584E6E85" w:rsidR="00C1548D" w:rsidRDefault="009B1B4B">
      <w:pPr>
        <w:spacing w:after="140"/>
      </w:pPr>
      <w:r>
        <w:t>Kündigungsfrist, Urlaubstage, Lohnfortzahlung bei Krankheit und Probezeit stehen meist nur als „nach Firmenrichtlinie“ darin. Lass dir schriftlich bestätigen: Titel und Level, Bonusziel und Auszahlungsregeln, Aktienmenge und Zuteilungsplan, 401(k)-Match, Beginn der Krankenversicherung (Kapitel </w:t>
      </w:r>
      <w:hyperlink w:anchor="k26" w:history="1">
        <w:r>
          <w:t>26</w:t>
        </w:r>
      </w:hyperlink>
      <w:r>
        <w:t>), Sign-on und Umzugspaket samt Rückzahlungsklausel (Kapitel </w:t>
      </w:r>
      <w:hyperlink w:anchor="k20" w:history="1">
        <w:r>
          <w:t>20</w:t>
        </w:r>
      </w:hyperlink>
      <w:r>
        <w:t>), wer die Visa- und Green-Card-Kosten trägt und wann das Verfahren startet (Kapitel </w:t>
      </w:r>
      <w:hyperlink w:anchor="k5" w:history="1">
        <w:r>
          <w:t>5</w:t>
        </w:r>
      </w:hyperlink>
      <w:r>
        <w:t xml:space="preserve"> bis </w:t>
      </w:r>
      <w:hyperlink w:anchor="k7" w:history="1">
        <w:r>
          <w:t>7</w:t>
        </w:r>
      </w:hyperlink>
      <w:r>
        <w:t>). Bei Führungsposten, Aktienzusagen oder Wettbewerbsverbot lohnt die Prüfung durch eine Fachanwältin für Arbeitsrecht (</w:t>
      </w:r>
      <w:r>
        <w:rPr>
          <w:i/>
          <w:iCs/>
        </w:rPr>
        <w:t>Employment Attorney</w:t>
      </w:r>
      <w:r>
        <w:t>); vereinbare das Honorar vorab.</w:t>
      </w:r>
    </w:p>
    <w:p w14:paraId="70A4E044" w14:textId="77777777" w:rsidR="00C1548D" w:rsidRDefault="009B1B4B">
      <w:pPr>
        <w:pStyle w:val="Heading3"/>
        <w:keepNext/>
        <w:jc w:val="center"/>
      </w:pPr>
      <w:r>
        <w:rPr>
          <w:rFonts w:ascii="Amazon Ember" w:eastAsia="Amazon Ember" w:hAnsi="Amazon Ember" w:cs="Amazon Ember"/>
          <w:color w:val="0000FF"/>
          <w:sz w:val="36"/>
          <w:szCs w:val="36"/>
        </w:rPr>
        <w:lastRenderedPageBreak/>
        <w:t>Wettbewerbsverbot, NDA und Erfindungen</w:t>
      </w:r>
    </w:p>
    <w:p w14:paraId="70A4E045" w14:textId="77777777" w:rsidR="00C1548D" w:rsidRDefault="009B1B4B">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w14:paraId="70A4E046" w14:textId="77777777" w:rsidR="00C1548D" w:rsidRDefault="009B1B4B">
      <w:pPr>
        <w:spacing w:after="140"/>
      </w:pPr>
      <w: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 für eine Bundesregel fast schon eine Eintagsfliege. Sie geht nur noch einzelne Fälle an. Es entscheidet also der Bundesstaat (Stand September 2026):</w:t>
      </w:r>
    </w:p>
    <w:p w14:paraId="70A4E047" w14:textId="77777777" w:rsidR="00C1548D" w:rsidRDefault="009B1B4B" w:rsidP="009B1B4B">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w14:paraId="70A4E048" w14:textId="77777777" w:rsidR="00C1548D" w:rsidRDefault="009B1B4B" w:rsidP="009B1B4B">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w14:paraId="70A4E049" w14:textId="77777777" w:rsidR="00C1548D" w:rsidRDefault="009B1B4B" w:rsidP="009B1B4B">
      <w:pPr>
        <w:pStyle w:val="ListParagraph"/>
        <w:numPr>
          <w:ilvl w:val="0"/>
          <w:numId w:val="1"/>
        </w:numPr>
        <w:spacing w:after="60"/>
      </w:pPr>
      <w:r>
        <w:rPr>
          <w:b/>
          <w:bCs/>
        </w:rPr>
        <w:t>Grundsätzlich durchsetzbar, wenn angemessen:</w:t>
      </w:r>
      <w:r>
        <w:t xml:space="preserve"> Michigan, Texas und die meisten übrigen Staaten. Florida stärkt sie seit 1. Juli 2025 für Beschäftigte mit mehr als dem Doppelten des durchschnittlichen Jahreslohns im County (</w:t>
      </w:r>
      <w:r>
        <w:rPr>
          <w:i/>
          <w:iCs/>
        </w:rPr>
        <w:t>CHOICE Act</w:t>
      </w:r>
      <w:r>
        <w:t>, bis zu vier Jahre).</w:t>
      </w:r>
    </w:p>
    <w:p w14:paraId="70A4E04A" w14:textId="77777777" w:rsidR="00C1548D" w:rsidRDefault="00C1548D">
      <w:pPr>
        <w:spacing w:line="120" w:lineRule="exact"/>
      </w:pPr>
    </w:p>
    <w:p w14:paraId="70A4E04B" w14:textId="77777777" w:rsidR="00C1548D" w:rsidRDefault="009B1B4B">
      <w:pPr>
        <w:spacing w:after="140"/>
      </w:pPr>
      <w:r>
        <w:t>Eine Geheimhaltungsvereinbarung (</w:t>
      </w:r>
      <w:r>
        <w:rPr>
          <w:i/>
          <w:iCs/>
        </w:rPr>
        <w:t>NDA</w:t>
      </w:r>
      <w:r>
        <w:t xml:space="preserve">, </w:t>
      </w:r>
      <w:r>
        <w:rPr>
          <w:i/>
          <w:iCs/>
        </w:rPr>
        <w:t>Non-Disclosure Agreement</w:t>
      </w:r>
      <w:r>
        <w:t>) ist Standard und unproblematisch, solange sie Betriebsgeheimnisse und Kundendaten schützt. Bei der Erfindungszuweisung (</w:t>
      </w:r>
      <w:r>
        <w:rPr>
          <w:i/>
          <w:iCs/>
        </w:rPr>
        <w:t xml:space="preserve">Invention </w:t>
      </w:r>
      <w:r>
        <w:rPr>
          <w:i/>
          <w:iCs/>
        </w:rPr>
        <w:lastRenderedPageBreak/>
        <w:t>Assignment</w:t>
      </w:r>
      <w:r>
        <w:t>) gehört der Firma, was du im Job oder mit Firmenmitteln entwickelst; Kalifornien und einige weitere Staaten schützen private Erfindungen außerhalb des Geschäftsfelds. Trage eigene Projekte, Open-Source-Beiträge und Patente vor der Unterschrift als Ausnahme ein (</w:t>
      </w:r>
      <w:r>
        <w:rPr>
          <w:i/>
          <w:iCs/>
        </w:rPr>
        <w:t>Prior Inventions</w:t>
      </w:r>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4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04C" w14:textId="77777777" w:rsidR="00C1548D" w:rsidRDefault="009B1B4B">
            <w:pPr>
              <w:keepNext/>
              <w:spacing w:after="70" w:line="240" w:lineRule="auto"/>
            </w:pPr>
            <w:r>
              <w:rPr>
                <w:b/>
                <w:bCs/>
                <w:color w:val="9B2C2C"/>
                <w:spacing w:val="24"/>
                <w:sz w:val="16"/>
                <w:szCs w:val="16"/>
              </w:rPr>
              <w:t>ACHTUNG</w:t>
            </w:r>
          </w:p>
          <w:p w14:paraId="70A4E04D" w14:textId="2480FEAB" w:rsidR="00C1548D" w:rsidRDefault="009B1B4B">
            <w:pPr>
              <w:spacing w:after="80" w:line="264" w:lineRule="auto"/>
            </w:pPr>
            <w:r>
              <w:rPr>
                <w:sz w:val="20"/>
                <w:szCs w:val="20"/>
              </w:rPr>
              <w:t>Ein Wettbewerbsverbot kann den Wechsel im 60-Tage-Fenster nach einer Entlassung blockieren (Kapitel </w:t>
            </w:r>
            <w:hyperlink w:anchor="k30" w:history="1">
              <w:r>
                <w:rPr>
                  <w:sz w:val="20"/>
                  <w:szCs w:val="20"/>
                </w:rPr>
                <w:t>30</w:t>
              </w:r>
            </w:hyperlink>
            <w:r>
              <w:rPr>
                <w:sz w:val="20"/>
                <w:szCs w:val="20"/>
              </w:rPr>
              <w:t>). Verhandle Dauer, Gebiet und die Definition des Wettbewerbers, bevor du unterschreibst.</w:t>
            </w:r>
          </w:p>
        </w:tc>
      </w:tr>
    </w:tbl>
    <w:p w14:paraId="70A4E04F"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52"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050" w14:textId="77777777" w:rsidR="00C1548D" w:rsidRDefault="009B1B4B">
            <w:pPr>
              <w:keepNext/>
              <w:spacing w:after="70" w:line="240" w:lineRule="auto"/>
            </w:pPr>
            <w:r>
              <w:rPr>
                <w:b/>
                <w:bCs/>
                <w:color w:val="6B7280"/>
                <w:spacing w:val="24"/>
                <w:sz w:val="16"/>
                <w:szCs w:val="16"/>
              </w:rPr>
              <w:t>KEIN RECHTSRAT</w:t>
            </w:r>
          </w:p>
          <w:p w14:paraId="70A4E051" w14:textId="77777777" w:rsidR="00C1548D" w:rsidRDefault="009B1B4B">
            <w:pPr>
              <w:spacing w:after="80" w:line="264" w:lineRule="auto"/>
            </w:pPr>
            <w:r>
              <w:rPr>
                <w:sz w:val="20"/>
                <w:szCs w:val="20"/>
              </w:rPr>
              <w:t>Das ist keine Rechtsberatung. Arbeitsrecht ist überwiegend Landesrecht und ändert sich; lass Verträge mit Wettbewerbsverbot, Aktienzusagen oder Schiedsklausel anwaltlich prüfen.</w:t>
            </w:r>
          </w:p>
        </w:tc>
      </w:tr>
    </w:tbl>
    <w:p w14:paraId="70A4E053" w14:textId="77777777" w:rsidR="00C1548D" w:rsidRDefault="00C1548D">
      <w:pPr>
        <w:spacing w:line="220" w:lineRule="exact"/>
      </w:pPr>
    </w:p>
    <w:p w14:paraId="70A4E054" w14:textId="77777777" w:rsidR="00C1548D" w:rsidRDefault="009B1B4B">
      <w:pPr>
        <w:pStyle w:val="Heading3"/>
        <w:keepNext/>
        <w:jc w:val="center"/>
      </w:pPr>
      <w:r>
        <w:rPr>
          <w:rFonts w:ascii="Amazon Ember" w:eastAsia="Amazon Ember" w:hAnsi="Amazon Ember" w:cs="Amazon Ember"/>
          <w:color w:val="0000FF"/>
          <w:sz w:val="36"/>
          <w:szCs w:val="36"/>
        </w:rPr>
        <w:t>Gesamtvergütung: Gehalt, Bonus, RSUs, 401(k), Sign-on</w:t>
      </w:r>
    </w:p>
    <w:p w14:paraId="70A4E055" w14:textId="77777777" w:rsidR="00C1548D" w:rsidRDefault="009B1B4B">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w14:paraId="70A4E056" w14:textId="77777777" w:rsidR="00C1548D" w:rsidRDefault="009B1B4B" w:rsidP="009B1B4B">
      <w:pPr>
        <w:pStyle w:val="ListParagraph"/>
        <w:numPr>
          <w:ilvl w:val="0"/>
          <w:numId w:val="1"/>
        </w:numPr>
        <w:spacing w:after="60"/>
      </w:pPr>
      <w:r>
        <w:rPr>
          <w:b/>
          <w:bCs/>
        </w:rPr>
        <w:t>Grundgehalt</w:t>
      </w:r>
      <w:r>
        <w:t xml:space="preserve"> (</w:t>
      </w:r>
      <w:r>
        <w:rPr>
          <w:i/>
          <w:iCs/>
        </w:rPr>
        <w:t>Base Salary</w:t>
      </w:r>
      <w:r>
        <w:t>): der planbare Kern.</w:t>
      </w:r>
    </w:p>
    <w:p w14:paraId="70A4E057" w14:textId="77777777" w:rsidR="00C1548D" w:rsidRDefault="009B1B4B" w:rsidP="009B1B4B">
      <w:pPr>
        <w:pStyle w:val="ListParagraph"/>
        <w:numPr>
          <w:ilvl w:val="0"/>
          <w:numId w:val="1"/>
        </w:numPr>
        <w:spacing w:after="60"/>
      </w:pPr>
      <w:r>
        <w:rPr>
          <w:b/>
          <w:bCs/>
        </w:rPr>
        <w:t>Bonus:</w:t>
      </w:r>
      <w:r>
        <w:t xml:space="preserve"> meist ein Zielwert in Prozent des Grundgehalts; die Auszahlung folgt Firmenergebnis und Bewertung, oft nur bei Anstellung am Stichtag.</w:t>
      </w:r>
    </w:p>
    <w:p w14:paraId="70A4E058" w14:textId="11B3374A" w:rsidR="00C1548D" w:rsidRDefault="009B1B4B" w:rsidP="009B1B4B">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history="1">
        <w:r>
          <w:t>20</w:t>
        </w:r>
      </w:hyperlink>
      <w:r>
        <w:t>).</w:t>
      </w:r>
    </w:p>
    <w:p w14:paraId="70A4E059" w14:textId="389EF102" w:rsidR="00C1548D" w:rsidRDefault="009B1B4B" w:rsidP="009B1B4B">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xml:space="preserve">), oft </w:t>
      </w:r>
      <w:r>
        <w:lastRenderedPageBreak/>
        <w:t>nach einem Jahr Sperrfrist. Mit dem Zufluss zählt der Aktienwert als Lohn und wird versteuert (Kapitel </w:t>
      </w:r>
      <w:hyperlink w:anchor="k28" w:history="1">
        <w:r>
          <w:t>28</w:t>
        </w:r>
      </w:hyperlink>
      <w:r>
        <w:t>). Noch nicht zugeflossene Aktien verfallen, wenn du gehst; ihr Wert schwankt mit dem Kurs.</w:t>
      </w:r>
    </w:p>
    <w:p w14:paraId="70A4E05A" w14:textId="77777777" w:rsidR="00C1548D" w:rsidRDefault="009B1B4B" w:rsidP="009B1B4B">
      <w:pPr>
        <w:pStyle w:val="ListParagraph"/>
        <w:numPr>
          <w:ilvl w:val="0"/>
          <w:numId w:val="1"/>
        </w:numPr>
        <w:spacing w:after="60"/>
      </w:pPr>
      <w:r>
        <w:rPr>
          <w:b/>
          <w:bCs/>
        </w:rPr>
        <w:t>Aktienoptionen</w:t>
      </w:r>
      <w:r>
        <w:t xml:space="preserve"> (</w:t>
      </w:r>
      <w:r>
        <w:rPr>
          <w:i/>
          <w:iCs/>
        </w:rPr>
        <w:t>Stock Options</w:t>
      </w:r>
      <w:r>
        <w:t xml:space="preserve">) und </w:t>
      </w:r>
      <w:r>
        <w:rPr>
          <w:i/>
          <w:iCs/>
        </w:rPr>
        <w:t>ESPP</w:t>
      </w:r>
      <w:r>
        <w:t xml:space="preserve"> (Aktienkauf mit Rabatt bis 15 %): vor allem bei Start-ups und Konzernen; Wert ungewiss, Besteuerung kompliziert.</w:t>
      </w:r>
    </w:p>
    <w:p w14:paraId="70A4E05B" w14:textId="77777777" w:rsidR="00C1548D" w:rsidRDefault="00C1548D">
      <w:pPr>
        <w:spacing w:line="120" w:lineRule="exact"/>
      </w:pPr>
    </w:p>
    <w:p w14:paraId="70A4E05C" w14:textId="7C884CCE" w:rsidR="00C1548D" w:rsidRDefault="009B1B4B">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history="1">
        <w:r>
          <w:t>28</w:t>
        </w:r>
      </w:hyperlink>
      <w:r>
        <w:t xml:space="preserve"> und </w:t>
      </w:r>
      <w:hyperlink w:anchor="k39" w:history="1">
        <w:r>
          <w:t>39</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5F"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05D" w14:textId="77777777" w:rsidR="00C1548D" w:rsidRDefault="009B1B4B">
            <w:pPr>
              <w:keepNext/>
              <w:spacing w:after="70" w:line="240" w:lineRule="auto"/>
            </w:pPr>
            <w:r>
              <w:rPr>
                <w:b/>
                <w:bCs/>
                <w:color w:val="2F6B3B"/>
                <w:spacing w:val="24"/>
                <w:sz w:val="16"/>
                <w:szCs w:val="16"/>
              </w:rPr>
              <w:t>SPARTIPP</w:t>
            </w:r>
          </w:p>
          <w:p w14:paraId="70A4E05E" w14:textId="77777777" w:rsidR="00C1548D" w:rsidRDefault="009B1B4B">
            <w:pPr>
              <w:spacing w:after="80" w:line="264" w:lineRule="auto"/>
            </w:pPr>
            <w:r>
              <w:rPr>
                <w:sz w:val="20"/>
                <w:szCs w:val="20"/>
              </w:rPr>
              <w:t>Zahle mindestens so viel ein, dass du den vollen Match erhältst. Sonst verschenkst du Gehalt: Bei 3 % Match auf 112.000 $ sind es 3.360 $ im Jahr.</w:t>
            </w:r>
          </w:p>
        </w:tc>
      </w:tr>
    </w:tbl>
    <w:p w14:paraId="70A4E060" w14:textId="77777777" w:rsidR="00C1548D" w:rsidRDefault="00C1548D">
      <w:pPr>
        <w:spacing w:line="22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5"/>
        <w:gridCol w:w="2444"/>
        <w:gridCol w:w="2251"/>
      </w:tblGrid>
      <w:tr w:rsidR="00C1548D" w14:paraId="70A4E064" w14:textId="77777777">
        <w:tblPrEx>
          <w:tblCellMar>
            <w:top w:w="0" w:type="dxa"/>
            <w:bottom w:w="0" w:type="dxa"/>
          </w:tblCellMar>
        </w:tblPrEx>
        <w:trPr>
          <w:cantSplit/>
          <w:tblHeader/>
        </w:trPr>
        <w:tc>
          <w:tcPr>
            <w:tcW w:w="17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061" w14:textId="77777777" w:rsidR="00C1548D" w:rsidRDefault="009B1B4B">
            <w:pPr>
              <w:spacing w:line="250" w:lineRule="auto"/>
            </w:pPr>
            <w:r>
              <w:rPr>
                <w:b/>
                <w:bCs/>
                <w:sz w:val="18"/>
                <w:szCs w:val="18"/>
              </w:rPr>
              <w:t>Baustein</w:t>
            </w:r>
          </w:p>
        </w:tc>
        <w:tc>
          <w:tcPr>
            <w:tcW w:w="244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062" w14:textId="77777777" w:rsidR="00C1548D" w:rsidRDefault="009B1B4B">
            <w:pPr>
              <w:spacing w:line="250" w:lineRule="auto"/>
            </w:pPr>
            <w:r>
              <w:rPr>
                <w:b/>
                <w:bCs/>
                <w:sz w:val="18"/>
                <w:szCs w:val="18"/>
              </w:rPr>
              <w:t>Angebot A: Maschinenbau, Michigan</w:t>
            </w:r>
          </w:p>
        </w:tc>
        <w:tc>
          <w:tcPr>
            <w:tcW w:w="225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063" w14:textId="77777777" w:rsidR="00C1548D" w:rsidRDefault="009B1B4B">
            <w:pPr>
              <w:spacing w:line="250" w:lineRule="auto"/>
            </w:pPr>
            <w:r>
              <w:rPr>
                <w:b/>
                <w:bCs/>
                <w:sz w:val="18"/>
                <w:szCs w:val="18"/>
              </w:rPr>
              <w:t>Angebot B: Software, Seattle</w:t>
            </w:r>
          </w:p>
        </w:tc>
      </w:tr>
      <w:tr w:rsidR="00C1548D" w14:paraId="70A4E068" w14:textId="77777777">
        <w:tblPrEx>
          <w:tblCellMar>
            <w:top w:w="0" w:type="dxa"/>
            <w:bottom w:w="0" w:type="dxa"/>
          </w:tblCellMar>
        </w:tblPrEx>
        <w:trPr>
          <w:cantSplit/>
        </w:trPr>
        <w:tc>
          <w:tcPr>
            <w:tcW w:w="17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65" w14:textId="77777777" w:rsidR="00C1548D" w:rsidRDefault="009B1B4B">
            <w:pPr>
              <w:spacing w:line="250" w:lineRule="auto"/>
            </w:pPr>
            <w:r>
              <w:rPr>
                <w:sz w:val="18"/>
                <w:szCs w:val="18"/>
              </w:rPr>
              <w:t>Grundgehalt</w:t>
            </w:r>
          </w:p>
        </w:tc>
        <w:tc>
          <w:tcPr>
            <w:tcW w:w="24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66" w14:textId="77777777" w:rsidR="00C1548D" w:rsidRDefault="009B1B4B">
            <w:pPr>
              <w:spacing w:line="250" w:lineRule="auto"/>
            </w:pPr>
            <w:r>
              <w:rPr>
                <w:sz w:val="18"/>
                <w:szCs w:val="18"/>
              </w:rPr>
              <w:t>112.000 $</w:t>
            </w:r>
          </w:p>
        </w:tc>
        <w:tc>
          <w:tcPr>
            <w:tcW w:w="22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67" w14:textId="77777777" w:rsidR="00C1548D" w:rsidRDefault="009B1B4B">
            <w:pPr>
              <w:spacing w:line="250" w:lineRule="auto"/>
            </w:pPr>
            <w:r>
              <w:rPr>
                <w:sz w:val="18"/>
                <w:szCs w:val="18"/>
              </w:rPr>
              <w:t>150.000 $</w:t>
            </w:r>
          </w:p>
        </w:tc>
      </w:tr>
      <w:tr w:rsidR="00C1548D" w14:paraId="70A4E06C" w14:textId="77777777">
        <w:tblPrEx>
          <w:tblCellMar>
            <w:top w:w="0" w:type="dxa"/>
            <w:bottom w:w="0" w:type="dxa"/>
          </w:tblCellMar>
        </w:tblPrEx>
        <w:trPr>
          <w:cantSplit/>
        </w:trPr>
        <w:tc>
          <w:tcPr>
            <w:tcW w:w="17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69" w14:textId="77777777" w:rsidR="00C1548D" w:rsidRDefault="009B1B4B">
            <w:pPr>
              <w:spacing w:line="250" w:lineRule="auto"/>
            </w:pPr>
            <w:r>
              <w:rPr>
                <w:sz w:val="18"/>
                <w:szCs w:val="18"/>
              </w:rPr>
              <w:t>Bonus (Ziel)</w:t>
            </w:r>
          </w:p>
        </w:tc>
        <w:tc>
          <w:tcPr>
            <w:tcW w:w="24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6A" w14:textId="77777777" w:rsidR="00C1548D" w:rsidRDefault="009B1B4B">
            <w:pPr>
              <w:spacing w:line="250" w:lineRule="auto"/>
            </w:pPr>
            <w:r>
              <w:rPr>
                <w:sz w:val="18"/>
                <w:szCs w:val="18"/>
              </w:rPr>
              <w:t>8 % = 8.960 $</w:t>
            </w:r>
          </w:p>
        </w:tc>
        <w:tc>
          <w:tcPr>
            <w:tcW w:w="22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6B" w14:textId="77777777" w:rsidR="00C1548D" w:rsidRDefault="009B1B4B">
            <w:pPr>
              <w:spacing w:line="250" w:lineRule="auto"/>
            </w:pPr>
            <w:r>
              <w:rPr>
                <w:sz w:val="18"/>
                <w:szCs w:val="18"/>
              </w:rPr>
              <w:t>10 % = 15.000 $</w:t>
            </w:r>
          </w:p>
        </w:tc>
      </w:tr>
      <w:tr w:rsidR="00C1548D" w14:paraId="70A4E070" w14:textId="77777777">
        <w:tblPrEx>
          <w:tblCellMar>
            <w:top w:w="0" w:type="dxa"/>
            <w:bottom w:w="0" w:type="dxa"/>
          </w:tblCellMar>
        </w:tblPrEx>
        <w:trPr>
          <w:cantSplit/>
        </w:trPr>
        <w:tc>
          <w:tcPr>
            <w:tcW w:w="17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6D" w14:textId="77777777" w:rsidR="00C1548D" w:rsidRDefault="009B1B4B">
            <w:pPr>
              <w:spacing w:line="250" w:lineRule="auto"/>
            </w:pPr>
            <w:r>
              <w:rPr>
                <w:sz w:val="18"/>
                <w:szCs w:val="18"/>
              </w:rPr>
              <w:t>RSUs pro Jahr</w:t>
            </w:r>
          </w:p>
        </w:tc>
        <w:tc>
          <w:tcPr>
            <w:tcW w:w="24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6E" w14:textId="77777777" w:rsidR="00C1548D" w:rsidRDefault="009B1B4B">
            <w:pPr>
              <w:spacing w:line="250" w:lineRule="auto"/>
            </w:pPr>
            <w:r>
              <w:rPr>
                <w:sz w:val="18"/>
                <w:szCs w:val="18"/>
              </w:rPr>
              <w:t>keine</w:t>
            </w:r>
          </w:p>
        </w:tc>
        <w:tc>
          <w:tcPr>
            <w:tcW w:w="22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6F" w14:textId="77777777" w:rsidR="00C1548D" w:rsidRDefault="009B1B4B">
            <w:pPr>
              <w:spacing w:line="250" w:lineRule="auto"/>
            </w:pPr>
            <w:r>
              <w:rPr>
                <w:sz w:val="18"/>
                <w:szCs w:val="18"/>
              </w:rPr>
              <w:t>40.000 $</w:t>
            </w:r>
          </w:p>
        </w:tc>
      </w:tr>
      <w:tr w:rsidR="00C1548D" w14:paraId="70A4E074" w14:textId="77777777">
        <w:tblPrEx>
          <w:tblCellMar>
            <w:top w:w="0" w:type="dxa"/>
            <w:bottom w:w="0" w:type="dxa"/>
          </w:tblCellMar>
        </w:tblPrEx>
        <w:trPr>
          <w:cantSplit/>
        </w:trPr>
        <w:tc>
          <w:tcPr>
            <w:tcW w:w="17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71" w14:textId="77777777" w:rsidR="00C1548D" w:rsidRDefault="009B1B4B">
            <w:pPr>
              <w:spacing w:line="250" w:lineRule="auto"/>
            </w:pPr>
            <w:r>
              <w:rPr>
                <w:sz w:val="18"/>
                <w:szCs w:val="18"/>
              </w:rPr>
              <w:t>401(k)-Match</w:t>
            </w:r>
          </w:p>
        </w:tc>
        <w:tc>
          <w:tcPr>
            <w:tcW w:w="24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72" w14:textId="77777777" w:rsidR="00C1548D" w:rsidRDefault="009B1B4B">
            <w:pPr>
              <w:spacing w:line="250" w:lineRule="auto"/>
            </w:pPr>
            <w:r>
              <w:rPr>
                <w:sz w:val="18"/>
                <w:szCs w:val="18"/>
              </w:rPr>
              <w:t>3 % = 3.360 $</w:t>
            </w:r>
          </w:p>
        </w:tc>
        <w:tc>
          <w:tcPr>
            <w:tcW w:w="22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73" w14:textId="77777777" w:rsidR="00C1548D" w:rsidRDefault="009B1B4B">
            <w:pPr>
              <w:spacing w:line="250" w:lineRule="auto"/>
            </w:pPr>
            <w:r>
              <w:rPr>
                <w:sz w:val="18"/>
                <w:szCs w:val="18"/>
              </w:rPr>
              <w:t>4 % = 6.000 $</w:t>
            </w:r>
          </w:p>
        </w:tc>
      </w:tr>
      <w:tr w:rsidR="00C1548D" w14:paraId="70A4E078" w14:textId="77777777">
        <w:tblPrEx>
          <w:tblCellMar>
            <w:top w:w="0" w:type="dxa"/>
            <w:bottom w:w="0" w:type="dxa"/>
          </w:tblCellMar>
        </w:tblPrEx>
        <w:trPr>
          <w:cantSplit/>
        </w:trPr>
        <w:tc>
          <w:tcPr>
            <w:tcW w:w="17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75" w14:textId="77777777" w:rsidR="00C1548D" w:rsidRDefault="009B1B4B">
            <w:pPr>
              <w:spacing w:line="250" w:lineRule="auto"/>
            </w:pPr>
            <w:r>
              <w:rPr>
                <w:sz w:val="18"/>
                <w:szCs w:val="18"/>
              </w:rPr>
              <w:t>Summe pro Jahr</w:t>
            </w:r>
          </w:p>
        </w:tc>
        <w:tc>
          <w:tcPr>
            <w:tcW w:w="24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76" w14:textId="77777777" w:rsidR="00C1548D" w:rsidRDefault="009B1B4B">
            <w:pPr>
              <w:spacing w:line="250" w:lineRule="auto"/>
            </w:pPr>
            <w:r>
              <w:rPr>
                <w:sz w:val="18"/>
                <w:szCs w:val="18"/>
              </w:rPr>
              <w:t>124.320 $</w:t>
            </w:r>
          </w:p>
        </w:tc>
        <w:tc>
          <w:tcPr>
            <w:tcW w:w="22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77" w14:textId="77777777" w:rsidR="00C1548D" w:rsidRDefault="009B1B4B">
            <w:pPr>
              <w:spacing w:line="250" w:lineRule="auto"/>
            </w:pPr>
            <w:r>
              <w:rPr>
                <w:sz w:val="18"/>
                <w:szCs w:val="18"/>
              </w:rPr>
              <w:t>211.000 $</w:t>
            </w:r>
          </w:p>
        </w:tc>
      </w:tr>
      <w:tr w:rsidR="00C1548D" w14:paraId="70A4E07C" w14:textId="77777777">
        <w:tblPrEx>
          <w:tblCellMar>
            <w:top w:w="0" w:type="dxa"/>
            <w:bottom w:w="0" w:type="dxa"/>
          </w:tblCellMar>
        </w:tblPrEx>
        <w:trPr>
          <w:cantSplit/>
        </w:trPr>
        <w:tc>
          <w:tcPr>
            <w:tcW w:w="17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79" w14:textId="77777777" w:rsidR="00C1548D" w:rsidRDefault="009B1B4B">
            <w:pPr>
              <w:spacing w:line="250" w:lineRule="auto"/>
            </w:pPr>
            <w:r>
              <w:rPr>
                <w:sz w:val="18"/>
                <w:szCs w:val="18"/>
              </w:rPr>
              <w:t>Einmalig: Sign-on</w:t>
            </w:r>
          </w:p>
        </w:tc>
        <w:tc>
          <w:tcPr>
            <w:tcW w:w="24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7A" w14:textId="77777777" w:rsidR="00C1548D" w:rsidRDefault="009B1B4B">
            <w:pPr>
              <w:spacing w:line="250" w:lineRule="auto"/>
            </w:pPr>
            <w:r>
              <w:rPr>
                <w:sz w:val="18"/>
                <w:szCs w:val="18"/>
              </w:rPr>
              <w:t>10.000 $</w:t>
            </w:r>
          </w:p>
        </w:tc>
        <w:tc>
          <w:tcPr>
            <w:tcW w:w="22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7B" w14:textId="77777777" w:rsidR="00C1548D" w:rsidRDefault="009B1B4B">
            <w:pPr>
              <w:spacing w:line="250" w:lineRule="auto"/>
            </w:pPr>
            <w:r>
              <w:rPr>
                <w:sz w:val="18"/>
                <w:szCs w:val="18"/>
              </w:rPr>
              <w:t>20.000 $</w:t>
            </w:r>
          </w:p>
        </w:tc>
      </w:tr>
    </w:tbl>
    <w:p w14:paraId="70A4E07D" w14:textId="77777777" w:rsidR="00C1548D" w:rsidRDefault="00C1548D">
      <w:pPr>
        <w:spacing w:line="180" w:lineRule="exact"/>
      </w:pPr>
    </w:p>
    <w:p w14:paraId="70A4E07E" w14:textId="465C9BBF" w:rsidR="00C1548D" w:rsidRDefault="009B1B4B">
      <w:pPr>
        <w:spacing w:after="140"/>
      </w:pPr>
      <w:r>
        <w:t xml:space="preserve">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w:t>
      </w:r>
      <w:r>
        <w:lastRenderedPageBreak/>
        <w:t>rund 7.900 $ der Jahresprämie einer Einzelperson und rund 20.100 $ der Familienprämie (KFF 2025, Kapitel </w:t>
      </w:r>
      <w:hyperlink w:anchor="k26" w:history="1">
        <w:r>
          <w:t>26</w:t>
        </w:r>
      </w:hyperlink>
      <w:r>
        <w:t>). Bei H-1B muss er dir mindestens den Lohn der LCA zahlen und Nebenleistungen nach denselben Kriterien anbieten wie US-Beschäftigten (Kapitel </w:t>
      </w:r>
      <w:hyperlink w:anchor="k5" w:history="1">
        <w:r>
          <w:t>5</w:t>
        </w:r>
      </w:hyperlink>
      <w:r>
        <w:t>). Zur groben Orientierung: 1 € entsprach im Herbst 2026 etwa 1,1–1,2 $ (bitte tagesaktuell prüfen); 112.000 $ sind dann rund 93.000–102.000 €. Was netto bleibt, zeigt Kapitel </w:t>
      </w:r>
      <w:hyperlink w:anchor="k28" w:history="1">
        <w:r>
          <w:t>28</w:t>
        </w:r>
      </w:hyperlink>
      <w:r>
        <w:t>: bei 120.000 $ brutto ledig etwa 71–78 %, je nach Bundesstaat und ohne Krankenversicherung.</w:t>
      </w:r>
    </w:p>
    <w:p w14:paraId="70A4E07F" w14:textId="77777777" w:rsidR="00C1548D" w:rsidRDefault="009B1B4B">
      <w:pPr>
        <w:pStyle w:val="Heading3"/>
        <w:keepNext/>
        <w:jc w:val="center"/>
      </w:pPr>
      <w:r>
        <w:rPr>
          <w:rFonts w:ascii="Amazon Ember" w:eastAsia="Amazon Ember" w:hAnsi="Amazon Ember" w:cs="Amazon Ember"/>
          <w:color w:val="0000FF"/>
          <w:sz w:val="36"/>
          <w:szCs w:val="36"/>
        </w:rPr>
        <w:t>Gehaltsverhandlung und Transparenzgesetze</w:t>
      </w:r>
    </w:p>
    <w:p w14:paraId="70A4E080" w14:textId="77777777" w:rsidR="00C1548D" w:rsidRDefault="009B1B4B">
      <w:pPr>
        <w:spacing w:after="140"/>
      </w:pPr>
      <w:r>
        <w:t>In den USA rechnet ein Recruiter mit einem Gegenangebot; das erste ist selten das letzte. Wer ohne Rückfrage annimmt, lässt Spielraum liegen, und das Startgehalt wirkt auf spätere Erhöhungen nach. So gehst du vor:</w:t>
      </w:r>
    </w:p>
    <w:p w14:paraId="70A4E081" w14:textId="77777777" w:rsidR="00C1548D" w:rsidRDefault="009B1B4B" w:rsidP="009B1B4B">
      <w:pPr>
        <w:pStyle w:val="ListParagraph"/>
        <w:numPr>
          <w:ilvl w:val="0"/>
          <w:numId w:val="31"/>
        </w:numPr>
        <w:spacing w:after="60"/>
      </w:pPr>
      <w:r>
        <w:t>Recherchiere die Spanne: Stellenanzeigen mit Gehaltsangabe, BLS-Lohnstatistik (bls.gov/oes), Gehaltsportale; achte auf Region und Erfahrung.</w:t>
      </w:r>
    </w:p>
    <w:p w14:paraId="70A4E082" w14:textId="77777777" w:rsidR="00C1548D" w:rsidRDefault="009B1B4B" w:rsidP="009B1B4B">
      <w:pPr>
        <w:pStyle w:val="ListParagraph"/>
        <w:numPr>
          <w:ilvl w:val="0"/>
          <w:numId w:val="31"/>
        </w:numPr>
        <w:spacing w:after="60"/>
      </w:pPr>
      <w:r>
        <w:t xml:space="preserve">Verhandle das Level: Titel und Einstufung (etwa </w:t>
      </w:r>
      <w:r>
        <w:rPr>
          <w:i/>
          <w:iCs/>
        </w:rPr>
        <w:t>Engineer II</w:t>
      </w:r>
      <w:r>
        <w:t xml:space="preserve"> oder </w:t>
      </w:r>
      <w:r>
        <w:rPr>
          <w:i/>
          <w:iCs/>
        </w:rPr>
        <w:t>Senior Engineer</w:t>
      </w:r>
      <w:r>
        <w:t>) bestimmen das Gehaltsband für Jahre.</w:t>
      </w:r>
    </w:p>
    <w:p w14:paraId="70A4E083" w14:textId="77777777" w:rsidR="00C1548D" w:rsidRDefault="009B1B4B" w:rsidP="009B1B4B">
      <w:pPr>
        <w:pStyle w:val="ListParagraph"/>
        <w:numPr>
          <w:ilvl w:val="0"/>
          <w:numId w:val="31"/>
        </w:numPr>
        <w:spacing w:after="60"/>
      </w:pPr>
      <w:r>
        <w:t>Frage zuerst nach der budgetierten Spanne, statt selbst zu nennen. Musst du doch, dann eine Spanne, deren Untergrenze du akzeptierst.</w:t>
      </w:r>
    </w:p>
    <w:p w14:paraId="70A4E084" w14:textId="77777777" w:rsidR="00C1548D" w:rsidRDefault="009B1B4B" w:rsidP="009B1B4B">
      <w:pPr>
        <w:pStyle w:val="ListParagraph"/>
        <w:numPr>
          <w:ilvl w:val="0"/>
          <w:numId w:val="31"/>
        </w:numPr>
        <w:spacing w:after="60"/>
      </w:pPr>
      <w:r>
        <w:t>Sprich das ganze Paket an: Sign-on, Aktien, Bonusziel, Startdatum, Urlaub, Umzugspaket, Homeoffice. Ist das Grundgehalt starr, sind Sign-on und Aktien oft beweglicher.</w:t>
      </w:r>
    </w:p>
    <w:p w14:paraId="70A4E085" w14:textId="77777777" w:rsidR="00C1548D" w:rsidRDefault="009B1B4B" w:rsidP="009B1B4B">
      <w:pPr>
        <w:pStyle w:val="ListParagraph"/>
        <w:numPr>
          <w:ilvl w:val="0"/>
          <w:numId w:val="31"/>
        </w:numPr>
        <w:spacing w:after="60"/>
      </w:pPr>
      <w:r>
        <w:t>Bleibe höflich und konkret: „Thank you, I’m excited about the role. Based on my experience and the market range I’ve seen, I was hoping for a base salary of X. Is there flexibility?“</w:t>
      </w:r>
    </w:p>
    <w:p w14:paraId="70A4E08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89"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087" w14:textId="77777777" w:rsidR="00C1548D" w:rsidRDefault="009B1B4B">
            <w:pPr>
              <w:keepNext/>
              <w:spacing w:after="70" w:line="240" w:lineRule="auto"/>
            </w:pPr>
            <w:r>
              <w:rPr>
                <w:b/>
                <w:bCs/>
                <w:color w:val="8A6212"/>
                <w:spacing w:val="24"/>
                <w:sz w:val="16"/>
                <w:szCs w:val="16"/>
              </w:rPr>
              <w:lastRenderedPageBreak/>
              <w:t>MERKE</w:t>
            </w:r>
          </w:p>
          <w:p w14:paraId="70A4E088" w14:textId="62D6CF87" w:rsidR="00C1548D" w:rsidRDefault="009B1B4B">
            <w:pPr>
              <w:spacing w:after="80" w:line="264" w:lineRule="auto"/>
            </w:pPr>
            <w:r>
              <w:rPr>
                <w:sz w:val="20"/>
                <w:szCs w:val="20"/>
              </w:rPr>
              <w:t>Verhandle vor der Registrierung und der Petition. Gehalt und Stelle stehen dann in LCA und Petition; nach oben kannst du später jederzeit steigen, nach unten nicht unter den LCA-Lohn. Der Lohn beeinflusst auch die Lotterie: Level IV bekommt vier Lose, Level I eines (Kapitel </w:t>
            </w:r>
            <w:hyperlink w:anchor="k5" w:history="1">
              <w:r>
                <w:rPr>
                  <w:sz w:val="20"/>
                  <w:szCs w:val="20"/>
                </w:rPr>
                <w:t>5</w:t>
              </w:r>
            </w:hyperlink>
            <w:r>
              <w:rPr>
                <w:sz w:val="20"/>
                <w:szCs w:val="20"/>
              </w:rPr>
              <w:t>).</w:t>
            </w:r>
          </w:p>
        </w:tc>
      </w:tr>
    </w:tbl>
    <w:p w14:paraId="70A4E08A" w14:textId="77777777" w:rsidR="00C1548D" w:rsidRDefault="00C1548D">
      <w:pPr>
        <w:spacing w:line="220" w:lineRule="exact"/>
      </w:pPr>
    </w:p>
    <w:p w14:paraId="70A4E08B" w14:textId="77777777" w:rsidR="00C1548D" w:rsidRDefault="009B1B4B">
      <w:pPr>
        <w:spacing w:after="140"/>
      </w:pPr>
      <w:r>
        <w:rPr>
          <w:b/>
          <w:bCs/>
        </w:rPr>
        <w:t>Transparenzgesetze.</w:t>
      </w:r>
      <w:r>
        <w:t xml:space="preserve"> Gehaltsspannen in Stellenanzeigen verlangen Colorado (seit 2021), Kalifornien, Washington und New York (seit 2023), Illinois und Minnesota (seit 2025) sowie unter anderem Hawaii, Maryland, Massachusetts, New Jersey, 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w:t>
      </w:r>
      <w:r>
        <w:t xml:space="preserve"> gibt es keine Pflicht. Viele Staaten (u. a. Kalifornien, Colorado, Illinois, Massachusetts, New York, Washington) verbieten die Frage nach deinem bisherigen Gehalt; in Deutschland ist sie üblich. Über dein Gehalt darfst du mit Kollegen sprechen: Das schützt Bundesrecht für die meisten Beschäftigten, nicht für Führungskräfte.</w:t>
      </w:r>
    </w:p>
    <w:p w14:paraId="70A4E08C" w14:textId="77777777" w:rsidR="00C1548D" w:rsidRDefault="009B1B4B">
      <w:pPr>
        <w:pStyle w:val="Heading3"/>
        <w:keepNext/>
        <w:jc w:val="center"/>
      </w:pPr>
      <w:r>
        <w:rPr>
          <w:rFonts w:ascii="Amazon Ember" w:eastAsia="Amazon Ember" w:hAnsi="Amazon Ember" w:cs="Amazon Ember"/>
          <w:color w:val="0000FF"/>
          <w:sz w:val="36"/>
          <w:szCs w:val="36"/>
        </w:rPr>
        <w:t>Urlaub, Feiertage, Krankheit und Elternzeit</w:t>
      </w:r>
    </w:p>
    <w:p w14:paraId="70A4E08D" w14:textId="77777777" w:rsidR="00C1548D" w:rsidRDefault="009B1B4B">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w14:paraId="70A4E08E" w14:textId="77777777" w:rsidR="00C1548D" w:rsidRDefault="009B1B4B">
      <w:pPr>
        <w:spacing w:after="140"/>
      </w:pPr>
      <w:r>
        <w:t>Verbreiteter Irrtum: Wer für das höhere Gehalt in die USA geht, nimmt an, der Urlaub wachse automatisch mit. Tatsächlich ist oft das Gegenteil der Fall: Das dickere Gehalt kommt mit weniger freien Tagen, nicht mit mehr (siehe Tabelle).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717"/>
        <w:gridCol w:w="2813"/>
      </w:tblGrid>
      <w:tr w:rsidR="00C1548D" w14:paraId="70A4E092"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08F" w14:textId="77777777" w:rsidR="00C1548D" w:rsidRDefault="009B1B4B">
            <w:pPr>
              <w:spacing w:line="250" w:lineRule="auto"/>
            </w:pPr>
            <w:r>
              <w:rPr>
                <w:b/>
                <w:bCs/>
                <w:sz w:val="18"/>
                <w:szCs w:val="18"/>
              </w:rPr>
              <w:lastRenderedPageBreak/>
              <w:t>Thema</w:t>
            </w:r>
          </w:p>
        </w:tc>
        <w:tc>
          <w:tcPr>
            <w:tcW w:w="271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090" w14:textId="77777777" w:rsidR="00C1548D" w:rsidRDefault="009B1B4B">
            <w:pPr>
              <w:spacing w:line="250" w:lineRule="auto"/>
            </w:pPr>
            <w:r>
              <w:rPr>
                <w:b/>
                <w:bCs/>
                <w:sz w:val="18"/>
                <w:szCs w:val="18"/>
              </w:rPr>
              <w:t>Deutschland</w:t>
            </w:r>
          </w:p>
        </w:tc>
        <w:tc>
          <w:tcPr>
            <w:tcW w:w="281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091" w14:textId="77777777" w:rsidR="00C1548D" w:rsidRDefault="009B1B4B">
            <w:pPr>
              <w:spacing w:line="250" w:lineRule="auto"/>
            </w:pPr>
            <w:r>
              <w:rPr>
                <w:b/>
                <w:bCs/>
                <w:sz w:val="18"/>
                <w:szCs w:val="18"/>
              </w:rPr>
              <w:t>USA (Privatwirtschaft, BLS 2025)</w:t>
            </w:r>
          </w:p>
        </w:tc>
      </w:tr>
      <w:tr w:rsidR="00C1548D" w14:paraId="70A4E09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93" w14:textId="77777777" w:rsidR="00C1548D" w:rsidRDefault="009B1B4B">
            <w:pPr>
              <w:spacing w:line="250" w:lineRule="auto"/>
            </w:pPr>
            <w:r>
              <w:rPr>
                <w:sz w:val="18"/>
                <w:szCs w:val="18"/>
              </w:rPr>
              <w:t>Urlaub</w:t>
            </w:r>
          </w:p>
        </w:tc>
        <w:tc>
          <w:tcPr>
            <w:tcW w:w="27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94" w14:textId="77777777" w:rsidR="00C1548D" w:rsidRDefault="009B1B4B">
            <w:pPr>
              <w:spacing w:line="250" w:lineRule="auto"/>
            </w:pPr>
            <w:r>
              <w:rPr>
                <w:sz w:val="18"/>
                <w:szCs w:val="18"/>
              </w:rPr>
              <w:t>mindestens 20 Tage bei Fünftagewoche, meist 25–30</w:t>
            </w:r>
          </w:p>
        </w:tc>
        <w:tc>
          <w:tcPr>
            <w:tcW w:w="28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95" w14:textId="77777777" w:rsidR="00C1548D" w:rsidRDefault="009B1B4B">
            <w:pPr>
              <w:spacing w:line="250" w:lineRule="auto"/>
            </w:pPr>
            <w:r>
              <w:rPr>
                <w:sz w:val="18"/>
                <w:szCs w:val="18"/>
              </w:rPr>
              <w:t>im Schnitt 11 Tage nach einem Jahr, 15 nach fünf, 18 nach zehn, 20 nach 20 Jahren</w:t>
            </w:r>
          </w:p>
        </w:tc>
      </w:tr>
      <w:tr w:rsidR="00C1548D" w14:paraId="70A4E09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97" w14:textId="77777777" w:rsidR="00C1548D" w:rsidRDefault="009B1B4B">
            <w:pPr>
              <w:spacing w:line="250" w:lineRule="auto"/>
            </w:pPr>
            <w:r>
              <w:rPr>
                <w:sz w:val="18"/>
                <w:szCs w:val="18"/>
              </w:rPr>
              <w:t>Feiertage</w:t>
            </w:r>
          </w:p>
        </w:tc>
        <w:tc>
          <w:tcPr>
            <w:tcW w:w="27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98" w14:textId="77777777" w:rsidR="00C1548D" w:rsidRDefault="009B1B4B">
            <w:pPr>
              <w:spacing w:line="250" w:lineRule="auto"/>
            </w:pPr>
            <w:r>
              <w:rPr>
                <w:sz w:val="18"/>
                <w:szCs w:val="18"/>
              </w:rPr>
              <w:t>9–13, je Bundesland</w:t>
            </w:r>
          </w:p>
        </w:tc>
        <w:tc>
          <w:tcPr>
            <w:tcW w:w="28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99" w14:textId="77777777" w:rsidR="00C1548D" w:rsidRDefault="009B1B4B">
            <w:pPr>
              <w:spacing w:line="250" w:lineRule="auto"/>
            </w:pPr>
            <w:r>
              <w:rPr>
                <w:sz w:val="18"/>
                <w:szCs w:val="18"/>
              </w:rPr>
              <w:t>im Schnitt 8 bezahlte; 81 % der Beschäftigten haben Anspruch</w:t>
            </w:r>
          </w:p>
        </w:tc>
      </w:tr>
      <w:tr w:rsidR="00C1548D" w14:paraId="70A4E09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9B" w14:textId="77777777" w:rsidR="00C1548D" w:rsidRDefault="009B1B4B">
            <w:pPr>
              <w:spacing w:line="250" w:lineRule="auto"/>
            </w:pPr>
            <w:r>
              <w:rPr>
                <w:sz w:val="18"/>
                <w:szCs w:val="18"/>
              </w:rPr>
              <w:t>Krankheit</w:t>
            </w:r>
          </w:p>
        </w:tc>
        <w:tc>
          <w:tcPr>
            <w:tcW w:w="27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9C" w14:textId="77777777" w:rsidR="00C1548D" w:rsidRDefault="009B1B4B">
            <w:pPr>
              <w:spacing w:line="250" w:lineRule="auto"/>
            </w:pPr>
            <w:r>
              <w:rPr>
                <w:sz w:val="18"/>
                <w:szCs w:val="18"/>
              </w:rPr>
              <w:t>Lohnfortzahlung bis zu sechs Wochen</w:t>
            </w:r>
          </w:p>
        </w:tc>
        <w:tc>
          <w:tcPr>
            <w:tcW w:w="28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9D" w14:textId="77777777" w:rsidR="00C1548D" w:rsidRDefault="009B1B4B">
            <w:pPr>
              <w:spacing w:line="250" w:lineRule="auto"/>
            </w:pPr>
            <w:r>
              <w:rPr>
                <w:sz w:val="18"/>
                <w:szCs w:val="18"/>
              </w:rPr>
              <w:t>80 % haben bezahlte Tage, im Schnitt 8; sonst Landesrecht</w:t>
            </w:r>
          </w:p>
        </w:tc>
      </w:tr>
      <w:tr w:rsidR="00C1548D" w14:paraId="70A4E0A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9F" w14:textId="77777777" w:rsidR="00C1548D" w:rsidRDefault="009B1B4B">
            <w:pPr>
              <w:spacing w:line="250" w:lineRule="auto"/>
            </w:pPr>
            <w:r>
              <w:rPr>
                <w:sz w:val="18"/>
                <w:szCs w:val="18"/>
              </w:rPr>
              <w:t>Elternzeit</w:t>
            </w:r>
          </w:p>
        </w:tc>
        <w:tc>
          <w:tcPr>
            <w:tcW w:w="27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A0" w14:textId="77777777" w:rsidR="00C1548D" w:rsidRDefault="009B1B4B">
            <w:pPr>
              <w:spacing w:line="250" w:lineRule="auto"/>
            </w:pPr>
            <w:r>
              <w:rPr>
                <w:sz w:val="18"/>
                <w:szCs w:val="18"/>
              </w:rPr>
              <w:t>Mutterschutz, Elterngeld, Elternzeit bis zu drei Jahre</w:t>
            </w:r>
          </w:p>
        </w:tc>
        <w:tc>
          <w:tcPr>
            <w:tcW w:w="28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A1" w14:textId="77777777" w:rsidR="00C1548D" w:rsidRDefault="009B1B4B">
            <w:pPr>
              <w:spacing w:line="250" w:lineRule="auto"/>
            </w:pPr>
            <w:r>
              <w:rPr>
                <w:sz w:val="18"/>
                <w:szCs w:val="18"/>
              </w:rPr>
              <w:t>bundesweit 12 Wochen unbezahlt (FMLA); bezahlt nur in einigen Staaten oder freiwillig</w:t>
            </w:r>
          </w:p>
        </w:tc>
      </w:tr>
    </w:tbl>
    <w:p w14:paraId="70A4E0A3" w14:textId="77777777" w:rsidR="00C1548D" w:rsidRDefault="00C1548D">
      <w:pPr>
        <w:spacing w:line="180" w:lineRule="exact"/>
      </w:pPr>
    </w:p>
    <w:p w14:paraId="70A4E0A4" w14:textId="016FDD3C" w:rsidR="00C1548D" w:rsidRDefault="009B1B4B">
      <w:pPr>
        <w:spacing w:after="140"/>
      </w:pPr>
      <w:r>
        <w:rPr>
          <w:b/>
          <w:bCs/>
        </w:rPr>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wie viele Tage die Kollegen wirklich nehmen. Die elf Bundesfeiertage sind kein Anspruch (Kapitel </w:t>
      </w:r>
      <w:hyperlink w:anchor="k31" w:history="1">
        <w:r>
          <w:t>31</w:t>
        </w:r>
      </w:hyperlink>
      <w:r>
        <w:t>).</w:t>
      </w:r>
    </w:p>
    <w:p w14:paraId="70A4E0A5" w14:textId="77777777" w:rsidR="00C1548D" w:rsidRDefault="009B1B4B">
      <w:pPr>
        <w:spacing w:after="140"/>
      </w:pPr>
      <w:r>
        <w:rPr>
          <w:b/>
          <w:bCs/>
        </w:rPr>
        <w:t>Krankheit.</w:t>
      </w:r>
      <w:r>
        <w:t xml:space="preserve">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w14:paraId="70A4E0A6" w14:textId="77777777" w:rsidR="00C1548D" w:rsidRDefault="009B1B4B">
      <w:pPr>
        <w:spacing w:after="140"/>
      </w:pPr>
      <w:r>
        <w:rPr>
          <w:b/>
          <w:bCs/>
        </w:rPr>
        <w:t>Elternzeit.</w:t>
      </w:r>
      <w:r>
        <w:t xml:space="preserve"> Der </w:t>
      </w:r>
      <w:r>
        <w:rPr>
          <w:i/>
          <w:iCs/>
        </w:rPr>
        <w:t>Family and Medical Leave Act</w:t>
      </w:r>
      <w:r>
        <w:t xml:space="preserve">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w:t>
      </w:r>
      <w:r>
        <w:t xml:space="preserve">2 Wochen, 67 % des Lohns, bis zu 1.228,53 $ pro Woche). Michigan hat kein </w:t>
      </w:r>
      <w:r>
        <w:lastRenderedPageBreak/>
        <w:t>solches Programm; dort zählen FMLA und die Zusagen des Arbeitgebers.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A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0A7" w14:textId="77777777" w:rsidR="00C1548D" w:rsidRDefault="009B1B4B">
            <w:pPr>
              <w:keepNext/>
              <w:spacing w:after="70" w:line="240" w:lineRule="auto"/>
            </w:pPr>
            <w:r>
              <w:rPr>
                <w:b/>
                <w:bCs/>
                <w:color w:val="9B2C2C"/>
                <w:spacing w:val="24"/>
                <w:sz w:val="16"/>
                <w:szCs w:val="16"/>
              </w:rPr>
              <w:t>ACHTUNG</w:t>
            </w:r>
          </w:p>
          <w:p w14:paraId="70A4E0A8" w14:textId="36394E39" w:rsidR="00C1548D" w:rsidRDefault="009B1B4B">
            <w:pPr>
              <w:spacing w:after="80" w:line="264" w:lineRule="auto"/>
            </w:pPr>
            <w:r>
              <w:rPr>
                <w:sz w:val="20"/>
                <w:szCs w:val="20"/>
              </w:rPr>
              <w:t>Die FMLA verlangt zwölf Monate Betriebszugehörigkeit. Kommt im ersten Jahr im neuen Job ein Kind, gibt es keinen gesetzlichen Jobschutz, und die Krankenversicherung des Arbeitgebers beginnt oft erst nach der Wartefrist. Kläre Elternzeit-Regeln und Deckungsbeginn vor der Zusage (Kapitel </w:t>
            </w:r>
            <w:hyperlink w:anchor="k26" w:history="1">
              <w:r>
                <w:rPr>
                  <w:sz w:val="20"/>
                  <w:szCs w:val="20"/>
                </w:rPr>
                <w:t>26</w:t>
              </w:r>
            </w:hyperlink>
            <w:r>
              <w:rPr>
                <w:sz w:val="20"/>
                <w:szCs w:val="20"/>
              </w:rPr>
              <w:t xml:space="preserve"> und </w:t>
            </w:r>
            <w:hyperlink w:anchor="k38" w:history="1">
              <w:r>
                <w:rPr>
                  <w:sz w:val="20"/>
                  <w:szCs w:val="20"/>
                </w:rPr>
                <w:t>38</w:t>
              </w:r>
            </w:hyperlink>
            <w:r>
              <w:rPr>
                <w:sz w:val="20"/>
                <w:szCs w:val="20"/>
              </w:rPr>
              <w:t>).</w:t>
            </w:r>
          </w:p>
        </w:tc>
      </w:tr>
    </w:tbl>
    <w:p w14:paraId="70A4E0AA" w14:textId="77777777" w:rsidR="00C1548D" w:rsidRDefault="00C1548D">
      <w:pPr>
        <w:spacing w:line="220" w:lineRule="exact"/>
      </w:pPr>
    </w:p>
    <w:p w14:paraId="70A4E0AB" w14:textId="77777777" w:rsidR="00C1548D" w:rsidRDefault="009B1B4B">
      <w:pPr>
        <w:pStyle w:val="Heading3"/>
        <w:keepNext/>
        <w:jc w:val="center"/>
      </w:pPr>
      <w:r>
        <w:rPr>
          <w:rFonts w:ascii="Amazon Ember" w:eastAsia="Amazon Ember" w:hAnsi="Amazon Ember" w:cs="Amazon Ember"/>
          <w:color w:val="0000FF"/>
          <w:sz w:val="36"/>
          <w:szCs w:val="36"/>
        </w:rPr>
        <w:t>Arbeitszeit und Erreichbarkeit</w:t>
      </w:r>
    </w:p>
    <w:p w14:paraId="70A4E0AC" w14:textId="77777777" w:rsidR="00C1548D" w:rsidRDefault="009B1B4B">
      <w:pPr>
        <w:spacing w:after="140"/>
      </w:pPr>
      <w:r>
        <w:t xml:space="preserve">Ein Arbeitszeitgesetz mit Höchstarbeitszeit und Ruhezeiten gibt es auf Bundesebene nicht. Der </w:t>
      </w:r>
      <w:r>
        <w:rPr>
          <w:i/>
          <w:iCs/>
        </w:rPr>
        <w:t>Fair Labor Standards Act</w:t>
      </w:r>
      <w:r>
        <w:t xml:space="preserve"> (FLSA) regelt Mindestlohn und Überstundenzuschlag, nicht die Länge des Arbeitstags. Entscheidend ist deine Einstufung: </w:t>
      </w:r>
      <w:r>
        <w:rPr>
          <w:i/>
          <w:iCs/>
        </w:rPr>
        <w:t>Non-exempt</w:t>
      </w:r>
      <w:r>
        <w:t xml:space="preserve"> Beschäftigte (meist Stundenlöhner) erhalten für Stunden über 40 pro Woche das 1,5-Fache, </w:t>
      </w:r>
      <w:r>
        <w:rPr>
          <w:i/>
          <w:iCs/>
        </w:rPr>
        <w:t>exempt</w:t>
      </w:r>
      <w:r>
        <w:t xml:space="preserve"> Beschäftigte (Gehaltsempfänger mit Fach- oder Führungsaufgaben) keine Überstundenvergütung. Ingenieure und Softwareentwickler sind meist exempt; die bundesweite Gehaltsschwelle liegt bei 684 $ pro Woche (35.568 $ im Jahr), einzelne Staaten setzen höhere Werte an (dol.gov/agencies/whd/overtime).</w:t>
      </w:r>
    </w:p>
    <w:p w14:paraId="70A4E0AD" w14:textId="314AEA6E" w:rsidR="00C1548D" w:rsidRDefault="009B1B4B">
      <w:pPr>
        <w:spacing w:after="140"/>
      </w:pPr>
      <w:r>
        <w:t>Die Vollzeitwoche hat 40 Stunden, in Technik und Entwicklung wird oft mehr erwartet. Präsenz- und Homeofficeregeln legt die Firma fest; bei H-1B gilt der Arbeitsort aus der LCA (Kapitel </w:t>
      </w:r>
      <w:hyperlink w:anchor="k30" w:history="1">
        <w:r>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w14:paraId="70A4E0AE" w14:textId="77777777" w:rsidR="00C1548D" w:rsidRDefault="009B1B4B">
      <w:pPr>
        <w:pStyle w:val="Heading3"/>
        <w:keepNext/>
        <w:jc w:val="center"/>
      </w:pPr>
      <w:r>
        <w:rPr>
          <w:rFonts w:ascii="Amazon Ember" w:eastAsia="Amazon Ember" w:hAnsi="Amazon Ember" w:cs="Amazon Ember"/>
          <w:color w:val="0000FF"/>
          <w:sz w:val="36"/>
          <w:szCs w:val="36"/>
        </w:rPr>
        <w:lastRenderedPageBreak/>
        <w:t>Feedback, Performance Review und PIP</w:t>
      </w:r>
    </w:p>
    <w:p w14:paraId="70A4E0AF" w14:textId="67476DAE" w:rsidR="00C1548D" w:rsidRDefault="009B1B4B">
      <w:pPr>
        <w:spacing w:after="140"/>
      </w:pPr>
      <w:r>
        <w:t>Feedback kommt häufiger und freundlicher verpackt als in Deutschland (Kapitel </w:t>
      </w:r>
      <w:hyperlink w:anchor="k31" w:history="1">
        <w:r>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meist wöchentlich oder zweiwöchentlich): „What would make me a strong candidate for promotion?“</w:t>
      </w:r>
    </w:p>
    <w:p w14:paraId="70A4E0B0" w14:textId="77777777" w:rsidR="00C1548D" w:rsidRDefault="009B1B4B">
      <w:pPr>
        <w:spacing w:after="140"/>
      </w:pPr>
      <w:r>
        <w:t xml:space="preserve">Das </w:t>
      </w:r>
      <w:r>
        <w:rPr>
          <w:i/>
          <w:iCs/>
        </w:rPr>
        <w:t>Performance Review</w:t>
      </w:r>
      <w:r>
        <w:t xml:space="preserve"> (Leistungsbeurteilung) läuft jährlich oder halbjährlich: Du schreibst eine Selbsteinschätzung mit messbaren Ergebnissen, oft ergänzt um Kollegen-Feedback, und die Führungskräfte stimmen die Bewertungen firmenintern ab. Die Note steuert Bonus, Gehaltserhöhung, Beförderung und oft neue Aktienzuteilungen. Wer seine Arbeit nicht selbst sichtbar macht, wird schlechter bewertet, auch bei guter Leistung.</w:t>
      </w:r>
    </w:p>
    <w:p w14:paraId="70A4E0B1" w14:textId="77777777" w:rsidR="00C1548D" w:rsidRDefault="009B1B4B">
      <w:pPr>
        <w:spacing w:after="140"/>
      </w:pPr>
      <w:r>
        <w:t xml:space="preserve">Ein </w:t>
      </w:r>
      <w:r>
        <w:rPr>
          <w:i/>
          <w:iCs/>
        </w:rPr>
        <w:t>PIP</w:t>
      </w:r>
      <w:r>
        <w:t xml:space="preserve"> (</w:t>
      </w:r>
      <w:r>
        <w:rPr>
          <w:i/>
          <w:iCs/>
        </w:rPr>
        <w:t>Performance Improvement Plan</w:t>
      </w:r>
      <w:r>
        <w:t>) ist ein schriftlicher Plan über meist 30 bis 90 Tage mit messbaren Zielen. Er soll helfen, dient aber oft dazu, eine spätere Kündigung zu dokumentieren; nach At-will-Recht braucht die Firma ihn nicht.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B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0B2" w14:textId="77777777" w:rsidR="00C1548D" w:rsidRDefault="009B1B4B">
            <w:pPr>
              <w:keepNext/>
              <w:spacing w:after="70" w:line="240" w:lineRule="auto"/>
            </w:pPr>
            <w:r>
              <w:rPr>
                <w:b/>
                <w:bCs/>
                <w:color w:val="9B2C2C"/>
                <w:spacing w:val="24"/>
                <w:sz w:val="16"/>
                <w:szCs w:val="16"/>
              </w:rPr>
              <w:t>ACHTUNG</w:t>
            </w:r>
          </w:p>
          <w:p w14:paraId="70A4E0B3" w14:textId="65616D38" w:rsidR="00C1548D" w:rsidRDefault="009B1B4B">
            <w:pPr>
              <w:spacing w:after="80" w:line="264" w:lineRule="auto"/>
            </w:pPr>
            <w:r>
              <w:rPr>
                <w:sz w:val="20"/>
                <w:szCs w:val="20"/>
              </w:rPr>
              <w:t>Ein PIP ist für Visa-Inhaber ein Alarmsignal, und die Personalabteilung (HR) vertritt den Arbeitgeber, nicht dich. Lass die Kriterien schriftlich präzisieren, dokumentiere Zwischenstände per E-Mail, aktualisiere parallel Resume und LinkedIn und sprich früh mit einem Einwanderungsanwalt über Portabilität und die 60 Tage (Kapitel </w:t>
            </w:r>
            <w:hyperlink w:anchor="k30" w:history="1">
              <w:r>
                <w:rPr>
                  <w:sz w:val="20"/>
                  <w:szCs w:val="20"/>
                </w:rPr>
                <w:t>30</w:t>
              </w:r>
            </w:hyperlink>
            <w:r>
              <w:rPr>
                <w:sz w:val="20"/>
                <w:szCs w:val="20"/>
              </w:rPr>
              <w:t>). Bei Hinweisen auf Diskriminierung oder Vergeltung: Fachanwältin für Arbeitsrecht und EEOC.</w:t>
            </w:r>
          </w:p>
        </w:tc>
      </w:tr>
    </w:tbl>
    <w:p w14:paraId="70A4E0B5" w14:textId="77777777" w:rsidR="00C1548D" w:rsidRDefault="00C1548D">
      <w:pPr>
        <w:spacing w:line="220" w:lineRule="exact"/>
      </w:pPr>
    </w:p>
    <w:p w14:paraId="70A4E0B6" w14:textId="77777777" w:rsidR="00C1548D" w:rsidRDefault="009B1B4B">
      <w:pPr>
        <w:pStyle w:val="Heading3"/>
        <w:keepNext/>
        <w:jc w:val="center"/>
      </w:pPr>
      <w:r>
        <w:rPr>
          <w:rFonts w:ascii="Amazon Ember" w:eastAsia="Amazon Ember" w:hAnsi="Amazon Ember" w:cs="Amazon Ember"/>
          <w:color w:val="0000FF"/>
          <w:sz w:val="36"/>
          <w:szCs w:val="36"/>
        </w:rPr>
        <w:lastRenderedPageBreak/>
        <w:t>Networking, LinkedIn, Vornamen und Meetings</w:t>
      </w:r>
    </w:p>
    <w:p w14:paraId="70A4E0B7" w14:textId="77777777" w:rsidR="00C1548D" w:rsidRDefault="009B1B4B">
      <w:pPr>
        <w:spacing w:after="140"/>
      </w:pPr>
      <w:r>
        <w:t>Viele Stellen werden über Empfehlungen (</w:t>
      </w:r>
      <w:r>
        <w:rPr>
          <w:i/>
          <w:iCs/>
        </w:rPr>
        <w:t>Referrals</w:t>
      </w:r>
      <w:r>
        <w:t>) besetzt; Recruiter schätzen Kandidaten, für die ein Mitarbeiter bürgt, und zahlen dafür oft eine Prämie. Netzwerken gehört deshalb zur Jobsuche:</w:t>
      </w:r>
    </w:p>
    <w:p w14:paraId="70A4E0B8" w14:textId="77777777" w:rsidR="00C1548D" w:rsidRDefault="009B1B4B" w:rsidP="009B1B4B">
      <w:pPr>
        <w:pStyle w:val="ListParagraph"/>
        <w:numPr>
          <w:ilvl w:val="0"/>
          <w:numId w:val="1"/>
        </w:numPr>
        <w:spacing w:after="60"/>
      </w:pPr>
      <w:r>
        <w:rPr>
          <w:b/>
          <w:bCs/>
        </w:rPr>
        <w:t>LinkedIn:</w:t>
      </w:r>
      <w:r>
        <w:t xml:space="preserve"> Profil auf Englisch, mit Foto (dort üblich), einer Überschrift aus Rolle und Fachgebiet und Ergebnissen statt Aufgaben, denn Recruiter suchen per Stichwort. Schreibe Kontakte mit einer kurzen persönlichen Nachricht an; „Open to Work” stellst du nur für Recruiter sichtbar, solange du angestellt bist.</w:t>
      </w:r>
    </w:p>
    <w:p w14:paraId="70A4E0B9" w14:textId="77777777" w:rsidR="00C1548D" w:rsidRDefault="009B1B4B" w:rsidP="009B1B4B">
      <w:pPr>
        <w:pStyle w:val="ListParagraph"/>
        <w:numPr>
          <w:ilvl w:val="0"/>
          <w:numId w:val="1"/>
        </w:numPr>
        <w:spacing w:after="60"/>
      </w:pPr>
      <w:r>
        <w:rPr>
          <w:b/>
          <w:bCs/>
        </w:rPr>
        <w:t>Informationsgespräche</w:t>
      </w:r>
      <w:r>
        <w:t xml:space="preserve"> (</w:t>
      </w:r>
      <w:r>
        <w:rPr>
          <w:i/>
          <w:iCs/>
        </w:rPr>
        <w:t>Informational Interviews</w:t>
      </w:r>
      <w:r>
        <w:t>): 15–20 Minuten per Video mit jemandem in deiner Zielfirma für Einblick und Rat, nicht um einen Job zu erbitten. Amerikaner helfen dabei häufig.</w:t>
      </w:r>
    </w:p>
    <w:p w14:paraId="70A4E0BA" w14:textId="77777777" w:rsidR="00C1548D" w:rsidRDefault="009B1B4B" w:rsidP="009B1B4B">
      <w:pPr>
        <w:pStyle w:val="ListParagraph"/>
        <w:numPr>
          <w:ilvl w:val="0"/>
          <w:numId w:val="1"/>
        </w:numPr>
        <w:spacing w:after="60"/>
      </w:pPr>
      <w:r>
        <w:rPr>
          <w:b/>
          <w:bCs/>
        </w:rPr>
        <w:t>Verbände und Alumni:</w:t>
      </w:r>
      <w:r>
        <w:t xml:space="preserve"> Berufsverbände wie IEEE (Elektro, Informatik), ASME (Maschinenbau) und SAE (Fahrzeugtechnik), Ehemaligen-Netzwerke deiner Hochschule und die German American Chambers of Commerce.</w:t>
      </w:r>
    </w:p>
    <w:p w14:paraId="70A4E0BB" w14:textId="77777777" w:rsidR="00C1548D" w:rsidRDefault="00C1548D">
      <w:pPr>
        <w:spacing w:line="120" w:lineRule="exact"/>
      </w:pPr>
    </w:p>
    <w:p w14:paraId="70A4E0BC" w14:textId="76F089F6" w:rsidR="00C1548D" w:rsidRDefault="009B1B4B">
      <w:pPr>
        <w:spacing w:after="140"/>
      </w:pPr>
      <w:r>
        <w:t>Im Büro zählt der Vorname, auch beim Vorstandschef (Kapitel </w:t>
      </w:r>
      <w:hyperlink w:anchor="k31" w:history="1">
        <w:r>
          <w:t>31</w:t>
        </w:r>
      </w:hyperlink>
      <w:r>
        <w:t>). Titel wie „Dipl.-Ing.“ stehen nicht in der Anrede und selten in der Signatur; Ausnahmen sind Wissenschaft und Medizin. Ist dein Name schwer auszusprechen, schreibe die Aussprache in Signatur oder Slack-Profil.</w:t>
      </w:r>
    </w:p>
    <w:p w14:paraId="70A4E0BD" w14:textId="77777777" w:rsidR="00C1548D" w:rsidRDefault="009B1B4B">
      <w:pPr>
        <w:spacing w:after="140"/>
      </w:pPr>
      <w:r>
        <w:t>Meetings beginnen oft mit zwei bis drei Minuten Small Talk. Erwartet wird, dass du dich äußerst: Wer schweigt, gilt nicht als weise, sondern als abwesend. Ideen dürfen unfertig sein, Entscheidungen fallen im Termin und werden per E-Mail mit Aufgaben und Verantwortlichen festgehalten (</w:t>
      </w:r>
      <w:r>
        <w:rPr>
          <w:i/>
          <w:iCs/>
        </w:rPr>
        <w:t>Action Items</w:t>
      </w:r>
      <w:r>
        <w:t>). „Let’s take this offline“ heißt: Das klären wir separat.</w:t>
      </w:r>
    </w:p>
    <w:p w14:paraId="70A4E0BE" w14:textId="77777777" w:rsidR="00C1548D" w:rsidRDefault="009B1B4B">
      <w:pPr>
        <w:pStyle w:val="Heading3"/>
        <w:keepNext/>
        <w:jc w:val="center"/>
      </w:pPr>
      <w:r>
        <w:rPr>
          <w:rFonts w:ascii="Amazon Ember" w:eastAsia="Amazon Ember" w:hAnsi="Amazon Ember" w:cs="Amazon Ember"/>
          <w:color w:val="0000FF"/>
          <w:sz w:val="36"/>
          <w:szCs w:val="36"/>
        </w:rPr>
        <w:lastRenderedPageBreak/>
        <w:t>Bewerbung: Resume statt Lebenslauf</w:t>
      </w:r>
    </w:p>
    <w:p w14:paraId="70A4E0BF" w14:textId="77777777" w:rsidR="00C1548D" w:rsidRDefault="009B1B4B">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200"/>
        <w:gridCol w:w="3330"/>
      </w:tblGrid>
      <w:tr w:rsidR="00C1548D" w14:paraId="70A4E0C3"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0C0" w14:textId="77777777" w:rsidR="00C1548D" w:rsidRDefault="009B1B4B">
            <w:pPr>
              <w:spacing w:line="250" w:lineRule="auto"/>
            </w:pPr>
            <w:r>
              <w:rPr>
                <w:b/>
                <w:bCs/>
                <w:sz w:val="18"/>
                <w:szCs w:val="18"/>
              </w:rPr>
              <w:t>Merkmal</w:t>
            </w:r>
          </w:p>
        </w:tc>
        <w:tc>
          <w:tcPr>
            <w:tcW w:w="22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0C1" w14:textId="77777777" w:rsidR="00C1548D" w:rsidRDefault="009B1B4B">
            <w:pPr>
              <w:spacing w:line="250" w:lineRule="auto"/>
            </w:pPr>
            <w:r>
              <w:rPr>
                <w:b/>
                <w:bCs/>
                <w:sz w:val="18"/>
                <w:szCs w:val="18"/>
              </w:rPr>
              <w:t>Deutscher Lebenslauf</w:t>
            </w:r>
          </w:p>
        </w:tc>
        <w:tc>
          <w:tcPr>
            <w:tcW w:w="333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0C2" w14:textId="77777777" w:rsidR="00C1548D" w:rsidRDefault="009B1B4B">
            <w:pPr>
              <w:spacing w:line="250" w:lineRule="auto"/>
            </w:pPr>
            <w:r>
              <w:rPr>
                <w:b/>
                <w:bCs/>
                <w:sz w:val="18"/>
                <w:szCs w:val="18"/>
              </w:rPr>
              <w:t>US-Resume</w:t>
            </w:r>
          </w:p>
        </w:tc>
      </w:tr>
      <w:tr w:rsidR="00C1548D" w14:paraId="70A4E0C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C4" w14:textId="77777777" w:rsidR="00C1548D" w:rsidRDefault="009B1B4B">
            <w:pPr>
              <w:spacing w:line="250" w:lineRule="auto"/>
            </w:pPr>
            <w:r>
              <w:rPr>
                <w:sz w:val="18"/>
                <w:szCs w:val="18"/>
              </w:rPr>
              <w:t>Umfang</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C5" w14:textId="77777777" w:rsidR="00C1548D" w:rsidRDefault="009B1B4B">
            <w:pPr>
              <w:spacing w:line="250" w:lineRule="auto"/>
            </w:pPr>
            <w:r>
              <w:rPr>
                <w:sz w:val="18"/>
                <w:szCs w:val="18"/>
              </w:rPr>
              <w:t>meist zwei Seiten</w:t>
            </w:r>
          </w:p>
        </w:tc>
        <w:tc>
          <w:tcPr>
            <w:tcW w:w="333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C6" w14:textId="77777777" w:rsidR="00C1548D" w:rsidRDefault="009B1B4B">
            <w:pPr>
              <w:spacing w:line="250" w:lineRule="auto"/>
            </w:pPr>
            <w:r>
              <w:rPr>
                <w:sz w:val="18"/>
                <w:szCs w:val="18"/>
              </w:rPr>
              <w:t>eine Seite bis etwa zehn Jahre Erfahrung, sonst zwei</w:t>
            </w:r>
          </w:p>
        </w:tc>
      </w:tr>
      <w:tr w:rsidR="00C1548D" w14:paraId="70A4E0C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C8" w14:textId="77777777" w:rsidR="00C1548D" w:rsidRDefault="009B1B4B">
            <w:pPr>
              <w:spacing w:line="250" w:lineRule="auto"/>
            </w:pPr>
            <w:r>
              <w:rPr>
                <w:sz w:val="18"/>
                <w:szCs w:val="18"/>
              </w:rPr>
              <w:t>Persönliches</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C9" w14:textId="77777777" w:rsidR="00C1548D" w:rsidRDefault="009B1B4B">
            <w:pPr>
              <w:spacing w:line="250" w:lineRule="auto"/>
            </w:pPr>
            <w:r>
              <w:rPr>
                <w:sz w:val="18"/>
                <w:szCs w:val="18"/>
              </w:rPr>
              <w:t>Foto, Geburtsdatum, Familienstand</w:t>
            </w:r>
          </w:p>
        </w:tc>
        <w:tc>
          <w:tcPr>
            <w:tcW w:w="333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CA" w14:textId="77777777" w:rsidR="00C1548D" w:rsidRDefault="009B1B4B">
            <w:pPr>
              <w:spacing w:line="250" w:lineRule="auto"/>
            </w:pPr>
            <w:r>
              <w:rPr>
                <w:sz w:val="18"/>
                <w:szCs w:val="18"/>
              </w:rPr>
              <w:t>weglassen; nur Name, Ort, E-Mail, Telefon, LinkedIn</w:t>
            </w:r>
          </w:p>
        </w:tc>
      </w:tr>
      <w:tr w:rsidR="00C1548D" w14:paraId="70A4E0C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CC" w14:textId="77777777" w:rsidR="00C1548D" w:rsidRDefault="009B1B4B">
            <w:pPr>
              <w:spacing w:line="250" w:lineRule="auto"/>
            </w:pPr>
            <w:r>
              <w:rPr>
                <w:sz w:val="18"/>
                <w:szCs w:val="18"/>
              </w:rPr>
              <w:t>Aufbau</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CD" w14:textId="77777777" w:rsidR="00C1548D" w:rsidRDefault="009B1B4B">
            <w:pPr>
              <w:spacing w:line="250" w:lineRule="auto"/>
            </w:pPr>
            <w:r>
              <w:rPr>
                <w:sz w:val="18"/>
                <w:szCs w:val="18"/>
              </w:rPr>
              <w:t>Stationen mit Aufgaben</w:t>
            </w:r>
          </w:p>
        </w:tc>
        <w:tc>
          <w:tcPr>
            <w:tcW w:w="333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CE" w14:textId="77777777" w:rsidR="00C1548D" w:rsidRDefault="009B1B4B">
            <w:pPr>
              <w:spacing w:line="250" w:lineRule="auto"/>
            </w:pPr>
            <w:r>
              <w:rPr>
                <w:sz w:val="18"/>
                <w:szCs w:val="18"/>
              </w:rPr>
              <w:t>Kurzprofil (</w:t>
            </w:r>
            <w:r>
              <w:rPr>
                <w:i/>
                <w:iCs/>
                <w:sz w:val="18"/>
                <w:szCs w:val="18"/>
              </w:rPr>
              <w:t>Summary</w:t>
            </w:r>
            <w:r>
              <w:rPr>
                <w:sz w:val="18"/>
                <w:szCs w:val="18"/>
              </w:rPr>
              <w:t>), Stationen mit Stichpunkten zu Ergebnissen und Zahlen</w:t>
            </w:r>
          </w:p>
        </w:tc>
      </w:tr>
      <w:tr w:rsidR="00C1548D" w14:paraId="70A4E0D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D0" w14:textId="77777777" w:rsidR="00C1548D" w:rsidRDefault="009B1B4B">
            <w:pPr>
              <w:spacing w:line="250" w:lineRule="auto"/>
            </w:pPr>
            <w:r>
              <w:rPr>
                <w:sz w:val="18"/>
                <w:szCs w:val="18"/>
              </w:rPr>
              <w:t>Anlagen</w:t>
            </w:r>
          </w:p>
        </w:tc>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D1" w14:textId="77777777" w:rsidR="00C1548D" w:rsidRDefault="009B1B4B">
            <w:pPr>
              <w:spacing w:line="250" w:lineRule="auto"/>
            </w:pPr>
            <w:r>
              <w:rPr>
                <w:sz w:val="18"/>
                <w:szCs w:val="18"/>
              </w:rPr>
              <w:t>Zeugnisse, Zertifikate, Anschreiben</w:t>
            </w:r>
          </w:p>
        </w:tc>
        <w:tc>
          <w:tcPr>
            <w:tcW w:w="333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D2" w14:textId="77777777" w:rsidR="00C1548D" w:rsidRDefault="009B1B4B">
            <w:pPr>
              <w:spacing w:line="250" w:lineRule="auto"/>
            </w:pPr>
            <w:r>
              <w:rPr>
                <w:sz w:val="18"/>
                <w:szCs w:val="18"/>
              </w:rPr>
              <w:t xml:space="preserve">keine; Referenzen erst auf Anfrage; </w:t>
            </w:r>
            <w:r>
              <w:rPr>
                <w:i/>
                <w:iCs/>
                <w:sz w:val="18"/>
                <w:szCs w:val="18"/>
              </w:rPr>
              <w:t>Cover Letter</w:t>
            </w:r>
            <w:r>
              <w:rPr>
                <w:sz w:val="18"/>
                <w:szCs w:val="18"/>
              </w:rPr>
              <w:t xml:space="preserve"> nur, wenn verlangt</w:t>
            </w:r>
          </w:p>
        </w:tc>
      </w:tr>
    </w:tbl>
    <w:p w14:paraId="70A4E0D4" w14:textId="77777777" w:rsidR="00C1548D" w:rsidRDefault="00C1548D">
      <w:pPr>
        <w:spacing w:line="180" w:lineRule="exact"/>
      </w:pPr>
    </w:p>
    <w:p w14:paraId="70A4E0D5" w14:textId="77777777" w:rsidR="00C1548D" w:rsidRDefault="009B1B4B">
      <w:pPr>
        <w:spacing w:after="140"/>
      </w:pPr>
      <w:r>
        <w:t>Schreibe Stichpunkte mit Verb und Ergebnis: „Reduced scrap rate by 12 % across two production lines“ statt „Verantwortlich für Qualitätssicherung“. Übernimm Stichwörter aus der Stellenanzeige, denn Bewerbungssysteme (</w:t>
      </w:r>
      <w:r>
        <w:rPr>
          <w:i/>
          <w:iCs/>
        </w:rPr>
        <w:t>Applicant Tracking Systems</w:t>
      </w:r>
      <w:r>
        <w:t>, ATS) filtern vorab; ein schlichtes Layout ohne Spalten und Grafiken hilft. Ein Arbeitszeugnis ist in den USA unbekannt; stattdessen nennst du gegen Ende des Verfahrens zwei bis drei Referenzen.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D8"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0D6" w14:textId="77777777" w:rsidR="00C1548D" w:rsidRDefault="009B1B4B">
            <w:pPr>
              <w:keepNext/>
              <w:spacing w:after="70" w:line="240" w:lineRule="auto"/>
            </w:pPr>
            <w:r>
              <w:rPr>
                <w:b/>
                <w:bCs/>
                <w:color w:val="2F6B3B"/>
                <w:spacing w:val="24"/>
                <w:sz w:val="16"/>
                <w:szCs w:val="16"/>
              </w:rPr>
              <w:t>SPARTIPP</w:t>
            </w:r>
          </w:p>
          <w:p w14:paraId="70A4E0D7" w14:textId="77777777" w:rsidR="00C1548D" w:rsidRDefault="009B1B4B">
            <w:pPr>
              <w:spacing w:after="80" w:line="264" w:lineRule="auto"/>
            </w:pPr>
            <w:r>
              <w:rPr>
                <w:sz w:val="20"/>
                <w:szCs w:val="20"/>
              </w:rPr>
              <w:t xml:space="preserve">Kostenlose Resume-Hilfe muss keine bezahlte Beratung sein. CareerOneStop, ein Angebot des US-Arbeitsministeriums, bietet eine kostenlose Schritt-für-Schritt-Anleitung samt Musterlebensläufen (careeronestop.org/JobSearch/Resumes) und eine eigene Seite für Neuankömmlinge (Suchbegriff „New Americans careeronestop“). Über die </w:t>
            </w:r>
            <w:r>
              <w:rPr>
                <w:i/>
                <w:iCs/>
                <w:sz w:val="20"/>
                <w:szCs w:val="20"/>
              </w:rPr>
              <w:t>American Job Center</w:t>
            </w:r>
            <w:r>
              <w:rPr>
                <w:sz w:val="20"/>
                <w:szCs w:val="20"/>
              </w:rPr>
              <w:t>-Suche (careeronestop.org, ZIP-Code eingeben, oder 1-877-US-2JOBS) findest du eine staatlich geförderte Anlaufstelle in deiner Nähe mit kostenlosen Resume-Workshops und persönlichem Feedback – ganz ohne Termingebühr. Auch viele öffentliche Bibliotheken bieten kostenlose Bewerbungsberatung und LinkedIn-Learning-Zugang über den Bibliotheksausweis.</w:t>
            </w:r>
          </w:p>
        </w:tc>
      </w:tr>
    </w:tbl>
    <w:p w14:paraId="70A4E0D9" w14:textId="77777777" w:rsidR="00C1548D" w:rsidRDefault="00C1548D">
      <w:pPr>
        <w:spacing w:line="220" w:lineRule="exact"/>
      </w:pPr>
    </w:p>
    <w:p w14:paraId="70A4E0DA" w14:textId="78659E49" w:rsidR="00C1548D" w:rsidRDefault="009B1B4B">
      <w:pPr>
        <w:spacing w:after="140"/>
      </w:pPr>
      <w:r>
        <w:rPr>
          <w:b/>
          <w:bCs/>
        </w:rPr>
        <w:lastRenderedPageBreak/>
        <w:t>Diplom und Berufsanerkennung.</w:t>
      </w:r>
      <w:r>
        <w:t xml:space="preserve"> Nenne deinen Abschluss mit der Einstufung aus dem Bewertungsgutachten (Kapitel </w:t>
      </w:r>
      <w:hyperlink w:anchor="k19" w:history="1">
        <w:r>
          <w:t>19</w:t>
        </w:r>
      </w:hyperlink>
      <w:r>
        <w:t>), nicht nur als Abkürzung wie „Dipl.-Ing. (FH)“. Erkläre Ausbildungsberufe und den Meister kurz als Berufsausbildung (</w:t>
      </w:r>
      <w:r>
        <w:rPr>
          <w:i/>
          <w:iCs/>
        </w:rPr>
        <w:t>Apprenticeship</w:t>
      </w:r>
      <w:r>
        <w:t>) und Fachqualifikation. Für die meisten Ingenieur- und IT-Stellen ist der Abschluss ein Qualifikationsnachweis, keine Berufszulassung; Lizenzberufe wie Medizin, Pflege, Lehramt oder Elektrohandwerk regelt jeder Bundesstaat selbst (Kapitel </w:t>
      </w:r>
      <w:hyperlink w:anchor="k19" w:history="1">
        <w:r>
          <w:t>19</w:t>
        </w:r>
      </w:hyperlink>
      <w:r>
        <w:t>).</w:t>
      </w:r>
    </w:p>
    <w:p w14:paraId="70A4E0DB" w14:textId="77777777" w:rsidR="00C1548D" w:rsidRDefault="009B1B4B">
      <w:pPr>
        <w:spacing w:after="140"/>
      </w:pPr>
      <w:r>
        <w:rPr>
          <w:b/>
          <w:bCs/>
        </w:rPr>
        <w:t>Der Interviewprozess</w:t>
      </w:r>
      <w:r>
        <w:t xml:space="preserve"> dauert meist mehrere Wochen und läuft je nach Firma ähnlich ab:</w:t>
      </w:r>
    </w:p>
    <w:p w14:paraId="70A4E0DC" w14:textId="77777777" w:rsidR="00C1548D" w:rsidRDefault="009B1B4B" w:rsidP="009B1B4B">
      <w:pPr>
        <w:pStyle w:val="ListParagraph"/>
        <w:numPr>
          <w:ilvl w:val="0"/>
          <w:numId w:val="32"/>
        </w:numPr>
        <w:spacing w:after="60"/>
      </w:pPr>
      <w:r>
        <w:rPr>
          <w:i/>
          <w:iCs/>
        </w:rPr>
        <w:t>Recruiter Screen</w:t>
      </w:r>
      <w:r>
        <w:t>: 20–30 Minuten per Telefon oder Video zu Motivation, Gehaltsvorstellung und Arbeitsberechtigung.</w:t>
      </w:r>
    </w:p>
    <w:p w14:paraId="70A4E0DD" w14:textId="77777777" w:rsidR="00C1548D" w:rsidRDefault="009B1B4B" w:rsidP="009B1B4B">
      <w:pPr>
        <w:pStyle w:val="ListParagraph"/>
        <w:numPr>
          <w:ilvl w:val="0"/>
          <w:numId w:val="32"/>
        </w:numPr>
        <w:spacing w:after="60"/>
      </w:pPr>
      <w:r>
        <w:t>Gespräch mit der Führungskraft (</w:t>
      </w:r>
      <w:r>
        <w:rPr>
          <w:i/>
          <w:iCs/>
        </w:rPr>
        <w:t>Hiring Manager Interview</w:t>
      </w:r>
      <w:r>
        <w:t>): Fachliches und Teamfit.</w:t>
      </w:r>
    </w:p>
    <w:p w14:paraId="70A4E0DE" w14:textId="77777777" w:rsidR="00C1548D" w:rsidRDefault="009B1B4B" w:rsidP="009B1B4B">
      <w:pPr>
        <w:pStyle w:val="ListParagraph"/>
        <w:numPr>
          <w:ilvl w:val="0"/>
          <w:numId w:val="32"/>
        </w:numPr>
        <w:spacing w:after="60"/>
      </w:pPr>
      <w:r>
        <w:t>Fachtest: Programmieraufgabe, Fallstudie (</w:t>
      </w:r>
      <w:r>
        <w:rPr>
          <w:i/>
          <w:iCs/>
        </w:rPr>
        <w:t>Case</w:t>
      </w:r>
      <w:r>
        <w:t>) oder Hausaufgabe (</w:t>
      </w:r>
      <w:r>
        <w:rPr>
          <w:i/>
          <w:iCs/>
        </w:rPr>
        <w:t>Take-home</w:t>
      </w:r>
      <w:r>
        <w:t>).</w:t>
      </w:r>
    </w:p>
    <w:p w14:paraId="70A4E0DF" w14:textId="77777777" w:rsidR="00C1548D" w:rsidRDefault="009B1B4B" w:rsidP="009B1B4B">
      <w:pPr>
        <w:pStyle w:val="ListParagraph"/>
        <w:numPr>
          <w:ilvl w:val="0"/>
          <w:numId w:val="32"/>
        </w:numPr>
        <w:spacing w:after="60"/>
      </w:pPr>
      <w:r>
        <w:t>Gesprächsrunde an einem Tag (</w:t>
      </w:r>
      <w:r>
        <w:rPr>
          <w:i/>
          <w:iCs/>
        </w:rPr>
        <w:t>Onsite</w:t>
      </w:r>
      <w:r>
        <w:t xml:space="preserve"> oder </w:t>
      </w:r>
      <w:r>
        <w:rPr>
          <w:i/>
          <w:iCs/>
        </w:rPr>
        <w:t>Virtual Loop</w:t>
      </w:r>
      <w:r>
        <w:t>): vier bis sechs Gespräche zu Fachthemen und Verhalten.</w:t>
      </w:r>
    </w:p>
    <w:p w14:paraId="70A4E0E0" w14:textId="77777777" w:rsidR="00C1548D" w:rsidRDefault="009B1B4B" w:rsidP="009B1B4B">
      <w:pPr>
        <w:pStyle w:val="ListParagraph"/>
        <w:numPr>
          <w:ilvl w:val="0"/>
          <w:numId w:val="32"/>
        </w:numPr>
        <w:spacing w:after="60"/>
      </w:pPr>
      <w:r>
        <w:t>Angebot, Referenzen, Background Check.</w:t>
      </w:r>
    </w:p>
    <w:p w14:paraId="70A4E0E1" w14:textId="77777777" w:rsidR="00C1548D" w:rsidRDefault="00C1548D">
      <w:pPr>
        <w:spacing w:line="120" w:lineRule="exact"/>
      </w:pPr>
    </w:p>
    <w:p w14:paraId="70A4E0E2" w14:textId="77777777" w:rsidR="00C1548D" w:rsidRDefault="009B1B4B">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E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0E3" w14:textId="77777777" w:rsidR="00C1548D" w:rsidRDefault="009B1B4B">
            <w:pPr>
              <w:keepNext/>
              <w:spacing w:after="70" w:line="240" w:lineRule="auto"/>
            </w:pPr>
            <w:r>
              <w:rPr>
                <w:b/>
                <w:bCs/>
                <w:color w:val="9B2C2C"/>
                <w:spacing w:val="24"/>
                <w:sz w:val="16"/>
                <w:szCs w:val="16"/>
              </w:rPr>
              <w:lastRenderedPageBreak/>
              <w:t>ACHTUNG</w:t>
            </w:r>
          </w:p>
          <w:p w14:paraId="70A4E0E4" w14:textId="6CEA4B68" w:rsidR="00C1548D" w:rsidRDefault="009B1B4B">
            <w:pPr>
              <w:spacing w:after="80" w:line="264" w:lineRule="auto"/>
            </w:pPr>
            <w:r>
              <w:rPr>
                <w:sz w:val="20"/>
                <w:szCs w:val="20"/>
              </w:rPr>
              <w:t>Auf die Frage „Will you now or in the future require sponsorship?“ antwortest du ehrlich mit Ja, wenn du ein Arbeitsvisum brauchst. Frage schon im ersten Gespräch, ob die Firma H-1B-Sponsoring anbietet: Viele Anzeigen schließen es aus, und ein frühes Ja spart beiden Seiten Zeit (Kapitel </w:t>
            </w:r>
            <w:hyperlink w:anchor="k5" w:history="1">
              <w:r>
                <w:rPr>
                  <w:sz w:val="20"/>
                  <w:szCs w:val="20"/>
                </w:rPr>
                <w:t>5</w:t>
              </w:r>
            </w:hyperlink>
            <w:r>
              <w:rPr>
                <w:sz w:val="20"/>
                <w:szCs w:val="20"/>
              </w:rPr>
              <w:t>).</w:t>
            </w:r>
          </w:p>
        </w:tc>
      </w:tr>
    </w:tbl>
    <w:p w14:paraId="70A4E0E6" w14:textId="77777777" w:rsidR="00C1548D" w:rsidRDefault="00C1548D">
      <w:pPr>
        <w:spacing w:line="220" w:lineRule="exact"/>
      </w:pPr>
    </w:p>
    <w:p w14:paraId="70A4E0E7" w14:textId="77777777" w:rsidR="00C1548D" w:rsidRDefault="009B1B4B">
      <w:pPr>
        <w:pStyle w:val="Heading3"/>
        <w:keepNext/>
        <w:jc w:val="center"/>
      </w:pPr>
      <w:r>
        <w:rPr>
          <w:rFonts w:ascii="Amazon Ember" w:eastAsia="Amazon Ember" w:hAnsi="Amazon Ember" w:cs="Amazon Ember"/>
          <w:color w:val="0000FF"/>
          <w:sz w:val="36"/>
          <w:szCs w:val="36"/>
        </w:rPr>
        <w:t>Typische Stolpersteine deutscher Ingenieure</w:t>
      </w:r>
    </w:p>
    <w:p w14:paraId="70A4E0E8" w14:textId="77777777" w:rsidR="00C1548D" w:rsidRDefault="009B1B4B">
      <w:pPr>
        <w:spacing w:after="140"/>
      </w:pPr>
      <w:r>
        <w:t>Vier Muster tauchen immer wieder auf:</w:t>
      </w:r>
    </w:p>
    <w:p w14:paraId="70A4E0E9" w14:textId="77777777" w:rsidR="00C1548D" w:rsidRDefault="009B1B4B" w:rsidP="009B1B4B">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w14:paraId="70A4E0EA" w14:textId="77777777" w:rsidR="00C1548D" w:rsidRDefault="009B1B4B" w:rsidP="009B1B4B">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w14:paraId="70A4E0EB" w14:textId="77777777" w:rsidR="00C1548D" w:rsidRDefault="009B1B4B" w:rsidP="009B1B4B">
      <w:pPr>
        <w:pStyle w:val="ListParagraph"/>
        <w:numPr>
          <w:ilvl w:val="0"/>
          <w:numId w:val="1"/>
        </w:numPr>
        <w:spacing w:after="60"/>
      </w:pPr>
      <w:r>
        <w:rPr>
          <w:b/>
          <w:bCs/>
        </w:rPr>
        <w:t>Zu gründlich.</w:t>
      </w:r>
      <w:r>
        <w:t xml:space="preserve"> Viele US-Teams starten mit einem tragfähigen Zwischenstand und verbessern unterwegs; wer erst nach vollständiger Klärung liefert, wirkt langsam.</w:t>
      </w:r>
    </w:p>
    <w:p w14:paraId="70A4E0EC" w14:textId="77777777" w:rsidR="00C1548D" w:rsidRDefault="009B1B4B" w:rsidP="009B1B4B">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w14:paraId="70A4E0ED"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F0"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0EE" w14:textId="77777777" w:rsidR="00C1548D" w:rsidRDefault="009B1B4B">
            <w:pPr>
              <w:keepNext/>
              <w:spacing w:after="70" w:line="240" w:lineRule="auto"/>
            </w:pPr>
            <w:r>
              <w:rPr>
                <w:b/>
                <w:bCs/>
                <w:color w:val="4A5568"/>
                <w:spacing w:val="24"/>
                <w:sz w:val="16"/>
                <w:szCs w:val="16"/>
              </w:rPr>
              <w:lastRenderedPageBreak/>
              <w:t>PRAXISBEISPIEL · FIKTIV</w:t>
            </w:r>
          </w:p>
          <w:p w14:paraId="70A4E0EF" w14:textId="77777777" w:rsidR="00C1548D" w:rsidRDefault="009B1B4B">
            <w:pPr>
              <w:spacing w:after="80" w:line="264" w:lineRule="auto"/>
            </w:pPr>
            <w:r>
              <w:rPr>
                <w:sz w:val="20"/>
                <w:szCs w:val="20"/>
              </w:rPr>
              <w:t>Markus Brandt (fiktiv) sitzt im dritten Monat bei seinem Zulieferer im Großraum Detroit in einer Konstruktionsbesprechung. Ein Kollege stellt ein Konzept vor, Markus sagt „Das funktioniert so nicht“ und rechnet eine Toleranzkette vor. Er hat recht, aber der Kollege schweigt bis zum Ende, den Blick auf den Laptop statt auf Markus gerichtet. Im 1:1 rät seine Managerin: erst die Stärke nennen, dann fragen: „Have we checked the tolerance stack?“ Im ersten Review schreibt Markus, er habe „im Team an der Ausschus</w:t>
            </w:r>
            <w:r>
              <w:rPr>
                <w:sz w:val="20"/>
                <w:szCs w:val="20"/>
              </w:rPr>
              <w:t>sreduzierung mitgearbeitet“. Die Managerin fragt: „What was your part?“ Er ändert den Satz in „Reduced scrap by 12 % on one line, about 85.000 $ per year“, und sie übernimmt ihn in die Bewertung.</w:t>
            </w:r>
          </w:p>
        </w:tc>
      </w:tr>
    </w:tbl>
    <w:p w14:paraId="70A4E0F1"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0F4"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0F2" w14:textId="77777777" w:rsidR="00C1548D" w:rsidRDefault="009B1B4B">
            <w:pPr>
              <w:keepNext/>
              <w:spacing w:after="70" w:line="240" w:lineRule="auto"/>
            </w:pPr>
            <w:r>
              <w:rPr>
                <w:b/>
                <w:bCs/>
                <w:color w:val="8A6212"/>
                <w:spacing w:val="24"/>
                <w:sz w:val="16"/>
                <w:szCs w:val="16"/>
              </w:rPr>
              <w:t>MERKE</w:t>
            </w:r>
          </w:p>
          <w:p w14:paraId="70A4E0F3" w14:textId="77777777" w:rsidR="00C1548D" w:rsidRDefault="009B1B4B">
            <w:pPr>
              <w:spacing w:after="80" w:line="264" w:lineRule="auto"/>
            </w:pPr>
            <w:r>
              <w:rPr>
                <w:sz w:val="20"/>
                <w:szCs w:val="20"/>
              </w:rPr>
              <w:t>In den USA gehört es zur Arbeit, sie sichtbar zu machen. Wer nur liefert, wird oft übersehen; wer liefert und darüber spricht, kommt eher voran.</w:t>
            </w:r>
          </w:p>
        </w:tc>
      </w:tr>
    </w:tbl>
    <w:p w14:paraId="70A4E0F5" w14:textId="77777777" w:rsidR="00C1548D" w:rsidRDefault="00C1548D">
      <w:pPr>
        <w:spacing w:line="220" w:lineRule="exact"/>
      </w:pPr>
    </w:p>
    <w:p w14:paraId="70A4E0F6"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0F9"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0F7"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0F8" w14:textId="77777777" w:rsidR="00C1548D" w:rsidRDefault="009B1B4B">
            <w:pPr>
              <w:spacing w:line="250" w:lineRule="auto"/>
            </w:pPr>
            <w:r>
              <w:rPr>
                <w:b/>
                <w:bCs/>
                <w:sz w:val="18"/>
                <w:szCs w:val="18"/>
              </w:rPr>
              <w:t>Minus</w:t>
            </w:r>
          </w:p>
        </w:tc>
      </w:tr>
      <w:tr w:rsidR="00C1548D" w14:paraId="70A4E0F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FA" w14:textId="2323AF06" w:rsidR="00C1548D" w:rsidRDefault="009B1B4B">
            <w:pPr>
              <w:spacing w:line="250" w:lineRule="auto"/>
            </w:pPr>
            <w:r>
              <w:rPr>
                <w:sz w:val="18"/>
                <w:szCs w:val="18"/>
              </w:rPr>
              <w:t>Höhere Gehälter, meist höherer Netto-Anteil; Bonus und Aktien können das Paket deutlich anheben (Kapitel </w:t>
            </w:r>
            <w:hyperlink w:anchor="k28" w:history="1">
              <w:r>
                <w:rPr>
                  <w:sz w:val="18"/>
                  <w:szCs w:val="18"/>
                </w:rPr>
                <w:t>28</w:t>
              </w:r>
            </w:hyperlink>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FB" w14:textId="7545EC37" w:rsidR="00C1548D" w:rsidRDefault="009B1B4B">
            <w:pPr>
              <w:spacing w:line="250" w:lineRule="auto"/>
            </w:pPr>
            <w:r>
              <w:rPr>
                <w:sz w:val="18"/>
                <w:szCs w:val="18"/>
              </w:rPr>
              <w:t>Kein allgemeiner Kündigungsschutz; mit Visum hängt der Aufenthalt am Job (Kapitel </w:t>
            </w:r>
            <w:hyperlink w:anchor="k30" w:history="1">
              <w:r>
                <w:rPr>
                  <w:sz w:val="18"/>
                  <w:szCs w:val="18"/>
                </w:rPr>
                <w:t>30</w:t>
              </w:r>
            </w:hyperlink>
            <w:r>
              <w:rPr>
                <w:sz w:val="18"/>
                <w:szCs w:val="18"/>
              </w:rPr>
              <w:t>)</w:t>
            </w:r>
          </w:p>
        </w:tc>
      </w:tr>
      <w:tr w:rsidR="00C1548D" w14:paraId="70A4E0F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FD" w14:textId="77777777" w:rsidR="00C1548D" w:rsidRDefault="009B1B4B">
            <w:pPr>
              <w:spacing w:line="250" w:lineRule="auto"/>
            </w:pPr>
            <w:r>
              <w:rPr>
                <w:sz w:val="18"/>
                <w:szCs w:val="18"/>
              </w:rPr>
              <w:t>Verhandlungsspielraum bei Level, Sign-on und Aktien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0FE" w14:textId="77777777" w:rsidR="00C1548D" w:rsidRDefault="009B1B4B">
            <w:pPr>
              <w:spacing w:line="250" w:lineRule="auto"/>
            </w:pPr>
            <w:r>
              <w:rPr>
                <w:sz w:val="18"/>
                <w:szCs w:val="18"/>
              </w:rPr>
              <w:t>Kein bundesweiter Anspruch auf Urlaub, Krankheitstage oder bezahlte Elternzeit; im Schnitt 11 Urlaubstage im ersten Jahr</w:t>
            </w:r>
          </w:p>
        </w:tc>
      </w:tr>
      <w:tr w:rsidR="00C1548D" w14:paraId="70A4E10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00" w14:textId="77777777" w:rsidR="00C1548D" w:rsidRDefault="009B1B4B">
            <w:pPr>
              <w:spacing w:line="250" w:lineRule="auto"/>
            </w:pPr>
            <w:r>
              <w:rPr>
                <w:sz w:val="18"/>
                <w:szCs w:val="18"/>
              </w:rPr>
              <w:t>Schneller Jobwechsel und Aufstieg ohne Tarifstufen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01" w14:textId="5FE271AA" w:rsidR="00C1548D" w:rsidRDefault="009B1B4B">
            <w:pPr>
              <w:spacing w:line="250" w:lineRule="auto"/>
            </w:pPr>
            <w:r>
              <w:rPr>
                <w:sz w:val="18"/>
                <w:szCs w:val="18"/>
              </w:rPr>
              <w:t>Krankenversicherung und Altersvorsorge hängen am Arbeitgeber (Kapitel </w:t>
            </w:r>
            <w:hyperlink w:anchor="k26" w:history="1">
              <w:r>
                <w:rPr>
                  <w:sz w:val="18"/>
                  <w:szCs w:val="18"/>
                </w:rPr>
                <w:t>26</w:t>
              </w:r>
            </w:hyperlink>
            <w:r>
              <w:rPr>
                <w:sz w:val="18"/>
                <w:szCs w:val="18"/>
              </w:rPr>
              <w:t>)</w:t>
            </w:r>
          </w:p>
        </w:tc>
      </w:tr>
      <w:tr w:rsidR="00C1548D" w14:paraId="70A4E10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03" w14:textId="77777777" w:rsidR="00C1548D" w:rsidRDefault="009B1B4B">
            <w:pPr>
              <w:spacing w:line="250" w:lineRule="auto"/>
            </w:pPr>
            <w:r>
              <w:rPr>
                <w:sz w:val="18"/>
                <w:szCs w:val="18"/>
              </w:rPr>
              <w:t>Flache Hierarchien, Vornamen, häufiges Lob und Feedback</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04" w14:textId="77777777" w:rsidR="00C1548D" w:rsidRDefault="009B1B4B">
            <w:pPr>
              <w:spacing w:line="250" w:lineRule="auto"/>
            </w:pPr>
            <w:r>
              <w:rPr>
                <w:sz w:val="18"/>
                <w:szCs w:val="18"/>
              </w:rPr>
              <w:t>Erreichbarkeit, Leistungsdruck, PIP und Stellenabbau kommen schnell</w:t>
            </w:r>
          </w:p>
        </w:tc>
      </w:tr>
      <w:tr w:rsidR="00C1548D" w14:paraId="70A4E10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06" w14:textId="77777777" w:rsidR="00C1548D" w:rsidRDefault="009B1B4B">
            <w:pPr>
              <w:spacing w:line="250" w:lineRule="auto"/>
            </w:pPr>
            <w:r>
              <w:rPr>
                <w:sz w:val="18"/>
                <w:szCs w:val="18"/>
              </w:rPr>
              <w:t>Gehaltsspannen in immer mehr Staaten öffentlich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07" w14:textId="77777777" w:rsidR="00C1548D" w:rsidRDefault="009B1B4B">
            <w:pPr>
              <w:spacing w:line="250" w:lineRule="auto"/>
            </w:pPr>
            <w:r>
              <w:rPr>
                <w:sz w:val="18"/>
                <w:szCs w:val="18"/>
              </w:rPr>
              <w:t>Wettbewerbsverbote in vielen Staaten durchsetzbar; 50 Bundesstaaten, 50 Regelwerke</w:t>
            </w:r>
          </w:p>
        </w:tc>
      </w:tr>
      <w:tr w:rsidR="00C1548D" w14:paraId="70A4E10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09" w14:textId="77777777" w:rsidR="00C1548D" w:rsidRDefault="009B1B4B">
            <w:pPr>
              <w:spacing w:line="250" w:lineRule="auto"/>
            </w:pPr>
            <w:r>
              <w:rPr>
                <w:sz w:val="18"/>
                <w:szCs w:val="18"/>
              </w:rPr>
              <w:t>Wer Leistung zeigt, wird sichtbar und belohnt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0A" w14:textId="77777777" w:rsidR="00C1548D" w:rsidRDefault="009B1B4B">
            <w:pPr>
              <w:spacing w:line="250" w:lineRule="auto"/>
            </w:pPr>
            <w:r>
              <w:rPr>
                <w:sz w:val="18"/>
                <w:szCs w:val="18"/>
              </w:rPr>
              <w:t>Selbstvermarktung ist Pflicht: Resume, Review, Networking</w:t>
            </w:r>
          </w:p>
        </w:tc>
      </w:tr>
    </w:tbl>
    <w:p w14:paraId="70A4E10C" w14:textId="77777777" w:rsidR="00C1548D" w:rsidRDefault="00C1548D">
      <w:pPr>
        <w:spacing w:line="180" w:lineRule="exact"/>
      </w:pPr>
    </w:p>
    <w:p w14:paraId="70A4E10D"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jetzt zu tun ist</w:t>
      </w:r>
    </w:p>
    <w:p w14:paraId="70A4E10E" w14:textId="77777777" w:rsidR="00C1548D" w:rsidRDefault="009B1B4B">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1B" w14:textId="77777777">
        <w:tblPrEx>
          <w:tblCellMar>
            <w:top w:w="0" w:type="dxa"/>
            <w:bottom w:w="0" w:type="dxa"/>
          </w:tblCellMar>
        </w:tblPrEx>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10F" w14:textId="77777777" w:rsidR="00C1548D" w:rsidRDefault="009B1B4B">
            <w:pPr>
              <w:keepNext/>
              <w:spacing w:after="70" w:line="240" w:lineRule="auto"/>
            </w:pPr>
            <w:r>
              <w:rPr>
                <w:b/>
                <w:bCs/>
                <w:color w:val="1F6F78"/>
                <w:spacing w:val="24"/>
                <w:sz w:val="16"/>
                <w:szCs w:val="16"/>
              </w:rPr>
              <w:t>CHECKLISTE</w:t>
            </w:r>
          </w:p>
          <w:p w14:paraId="70A4E11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Offer Letter prüfen: Titel und Level, Bonusziel, Aktien und Zuteilungsplan, 401(k)-Match, Beginn der Krankenversicherung.</w:t>
            </w:r>
          </w:p>
          <w:p w14:paraId="70A4E11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Gehaltsspanne über Stellenanzeigen, BLS-Daten (bls.gov/oes) und Gehaltsportale recherchieren, bevor du verhandelst.</w:t>
            </w:r>
          </w:p>
          <w:p w14:paraId="70A4E11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Level, Sign-on, Aktien und Startdatum verhandeln, nicht nur das Grundgehalt; Zusagen schriftlich festhalten.</w:t>
            </w:r>
          </w:p>
          <w:p w14:paraId="70A4E11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Wettbewerbsverbot, Schiedsvereinbarung und Erfindungszuweisung lesen und für deinen Bundesstaat prüfen lassen.</w:t>
            </w:r>
          </w:p>
          <w:p w14:paraId="70A4E11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Projekte und Patente als Ausnahme (</w:t>
            </w:r>
            <w:r>
              <w:rPr>
                <w:i/>
                <w:iCs/>
                <w:sz w:val="20"/>
                <w:szCs w:val="20"/>
              </w:rPr>
              <w:t>Prior Inventions</w:t>
            </w:r>
            <w:r>
              <w:rPr>
                <w:sz w:val="20"/>
                <w:szCs w:val="20"/>
              </w:rPr>
              <w:t>) in die Erfindungsklausel eintragen.</w:t>
            </w:r>
          </w:p>
          <w:p w14:paraId="70A4E115" w14:textId="6A0E2E1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Klären, wer Visa- und Green-Card-Kosten trägt und wann das Verfahren startet (Kapitel </w:t>
            </w:r>
            <w:hyperlink w:anchor="k5" w:history="1">
              <w:r>
                <w:rPr>
                  <w:sz w:val="20"/>
                  <w:szCs w:val="20"/>
                </w:rPr>
                <w:t>5</w:t>
              </w:r>
            </w:hyperlink>
            <w:r>
              <w:rPr>
                <w:sz w:val="20"/>
                <w:szCs w:val="20"/>
              </w:rPr>
              <w:t xml:space="preserve"> bis </w:t>
            </w:r>
            <w:hyperlink w:anchor="k7" w:history="1">
              <w:r>
                <w:rPr>
                  <w:sz w:val="20"/>
                  <w:szCs w:val="20"/>
                </w:rPr>
                <w:t>7</w:t>
              </w:r>
            </w:hyperlink>
            <w:r>
              <w:rPr>
                <w:sz w:val="20"/>
                <w:szCs w:val="20"/>
              </w:rPr>
              <w:t>).</w:t>
            </w:r>
          </w:p>
          <w:p w14:paraId="70A4E11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Urlaubs-, Krankheits- und Elternzeit-Regeln erfragen; die FMLA-Voraussetzung von zwölf Monaten im Blick behalten.</w:t>
            </w:r>
          </w:p>
          <w:p w14:paraId="70A4E11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Mindestens den vollen 401(k)-Match einzahlen.</w:t>
            </w:r>
          </w:p>
          <w:p w14:paraId="70A4E11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Resume auf US-Format bringen (ein bis zwei Seiten, ohne Foto und Geburtsdatum, Ergebnisse mit Zahlen) und LinkedIn auf Englisch anlegen.</w:t>
            </w:r>
          </w:p>
          <w:p w14:paraId="70A4E11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Antwort auf die Sponsoring-Frage und drei STAR-Geschichten vorbereiten.</w:t>
            </w:r>
          </w:p>
          <w:p w14:paraId="70A4E11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Im Job wöchentliche 1:1-Gespräche nutzen und Erfolge laufend für das Review festhalten.</w:t>
            </w:r>
          </w:p>
        </w:tc>
      </w:tr>
    </w:tbl>
    <w:p w14:paraId="70A4E11C" w14:textId="77777777" w:rsidR="00C1548D" w:rsidRDefault="00C1548D">
      <w:pPr>
        <w:spacing w:line="220" w:lineRule="exact"/>
      </w:pPr>
    </w:p>
    <w:p w14:paraId="70A4E11D" w14:textId="77777777" w:rsidR="00C1548D" w:rsidRDefault="009B1B4B">
      <w:pPr>
        <w:pStyle w:val="Heading3"/>
        <w:keepNext/>
        <w:jc w:val="center"/>
      </w:pPr>
      <w:r>
        <w:rPr>
          <w:rFonts w:ascii="Amazon Ember" w:eastAsia="Amazon Ember" w:hAnsi="Amazon Ember" w:cs="Amazon Ember"/>
          <w:color w:val="0000FF"/>
          <w:sz w:val="36"/>
          <w:szCs w:val="36"/>
        </w:rPr>
        <w:lastRenderedPageBreak/>
        <w:t>Quellen und weiterführende Links</w:t>
      </w:r>
    </w:p>
    <w:p w14:paraId="70A4E11E" w14:textId="6FC0EBE3" w:rsidR="00C1548D" w:rsidRDefault="009B1B4B" w:rsidP="009B1B4B">
      <w:pPr>
        <w:pStyle w:val="ListParagraph"/>
        <w:numPr>
          <w:ilvl w:val="0"/>
          <w:numId w:val="1"/>
        </w:numPr>
        <w:spacing w:after="60"/>
      </w:pPr>
      <w:r>
        <w:t xml:space="preserve">Arbeitsministerium (DOL) – FMLA: </w:t>
      </w:r>
      <w:hyperlink r:id="rId249" w:history="1">
        <w:r>
          <w:rPr>
            <w:color w:val="0563C1"/>
            <w:u w:val="single"/>
          </w:rPr>
          <w:t>dol.gov/agencies/whd/fmla</w:t>
        </w:r>
      </w:hyperlink>
    </w:p>
    <w:p w14:paraId="70A4E11F" w14:textId="741B67B3" w:rsidR="00C1548D" w:rsidRDefault="009B1B4B" w:rsidP="009B1B4B">
      <w:pPr>
        <w:pStyle w:val="ListParagraph"/>
        <w:numPr>
          <w:ilvl w:val="0"/>
          <w:numId w:val="1"/>
        </w:numPr>
        <w:spacing w:after="60"/>
      </w:pPr>
      <w:r>
        <w:t xml:space="preserve">Arbeitsministerium – Mindestlohn und Überstunden (FLSA): </w:t>
      </w:r>
      <w:hyperlink r:id="rId250" w:history="1">
        <w:r>
          <w:rPr>
            <w:color w:val="0563C1"/>
            <w:u w:val="single"/>
          </w:rPr>
          <w:t>dol.gov/agencies/whd/flsa</w:t>
        </w:r>
      </w:hyperlink>
    </w:p>
    <w:p w14:paraId="70A4E120" w14:textId="1D7CE5A2" w:rsidR="00C1548D" w:rsidRDefault="009B1B4B" w:rsidP="009B1B4B">
      <w:pPr>
        <w:pStyle w:val="ListParagraph"/>
        <w:numPr>
          <w:ilvl w:val="0"/>
          <w:numId w:val="1"/>
        </w:numPr>
        <w:spacing w:after="60"/>
      </w:pPr>
      <w:r>
        <w:t xml:space="preserve">Gleichbehandlungsbehörde EEOC – Diskriminierung und Beschwerden: </w:t>
      </w:r>
      <w:hyperlink r:id="rId251" w:history="1">
        <w:r>
          <w:rPr>
            <w:color w:val="0563C1"/>
            <w:u w:val="single"/>
          </w:rPr>
          <w:t>eeoc.gov</w:t>
        </w:r>
      </w:hyperlink>
    </w:p>
    <w:p w14:paraId="70A4E121" w14:textId="2B662B75" w:rsidR="00C1548D" w:rsidRDefault="009B1B4B" w:rsidP="009B1B4B">
      <w:pPr>
        <w:pStyle w:val="ListParagraph"/>
        <w:numPr>
          <w:ilvl w:val="0"/>
          <w:numId w:val="1"/>
        </w:numPr>
        <w:spacing w:after="60"/>
      </w:pPr>
      <w:r>
        <w:t xml:space="preserve">Handelsbehörde FTC – Wettbewerbsverbote (Suchbegriff noncompete): </w:t>
      </w:r>
      <w:hyperlink r:id="rId252" w:history="1">
        <w:r>
          <w:rPr>
            <w:color w:val="0563C1"/>
            <w:u w:val="single"/>
          </w:rPr>
          <w:t>ftc.gov</w:t>
        </w:r>
      </w:hyperlink>
    </w:p>
    <w:p w14:paraId="70A4E122" w14:textId="0AF75D8E" w:rsidR="00C1548D" w:rsidRDefault="009B1B4B" w:rsidP="009B1B4B">
      <w:pPr>
        <w:pStyle w:val="ListParagraph"/>
        <w:numPr>
          <w:ilvl w:val="0"/>
          <w:numId w:val="1"/>
        </w:numPr>
        <w:spacing w:after="60"/>
      </w:pPr>
      <w:r>
        <w:t xml:space="preserve">Statistikbehörde BLS – Urlaub, Krankheit, Altersvorsorge (Employee Benefits): </w:t>
      </w:r>
      <w:hyperlink r:id="rId253" w:history="1">
        <w:r>
          <w:rPr>
            <w:color w:val="0563C1"/>
            <w:u w:val="single"/>
          </w:rPr>
          <w:t>bls.gov/ebs</w:t>
        </w:r>
      </w:hyperlink>
    </w:p>
    <w:p w14:paraId="70A4E123" w14:textId="1E9921DC" w:rsidR="00C1548D" w:rsidRDefault="009B1B4B" w:rsidP="009B1B4B">
      <w:pPr>
        <w:pStyle w:val="ListParagraph"/>
        <w:numPr>
          <w:ilvl w:val="0"/>
          <w:numId w:val="1"/>
        </w:numPr>
        <w:spacing w:after="60"/>
      </w:pPr>
      <w:r>
        <w:t xml:space="preserve">BLS – Löhne nach Beruf und Region (OEWS): </w:t>
      </w:r>
      <w:hyperlink r:id="rId254" w:history="1">
        <w:r>
          <w:rPr>
            <w:color w:val="0563C1"/>
            <w:u w:val="single"/>
          </w:rPr>
          <w:t>bls.gov/oes</w:t>
        </w:r>
      </w:hyperlink>
    </w:p>
    <w:p w14:paraId="70A4E124" w14:textId="77F75CD5" w:rsidR="00C1548D" w:rsidRDefault="009B1B4B" w:rsidP="009B1B4B">
      <w:pPr>
        <w:pStyle w:val="ListParagraph"/>
        <w:numPr>
          <w:ilvl w:val="0"/>
          <w:numId w:val="1"/>
        </w:numPr>
        <w:spacing w:after="60"/>
      </w:pPr>
      <w:r>
        <w:t xml:space="preserve">IRS – 401(k)-Pläne und Grenzen: </w:t>
      </w:r>
      <w:hyperlink r:id="rId255" w:history="1">
        <w:r>
          <w:rPr>
            <w:color w:val="0563C1"/>
            <w:u w:val="single"/>
          </w:rPr>
          <w:t>irs.gov/retirement-plans/401k-plans</w:t>
        </w:r>
      </w:hyperlink>
    </w:p>
    <w:p w14:paraId="70A4E125" w14:textId="16B0E0F4" w:rsidR="00C1548D" w:rsidRDefault="009B1B4B" w:rsidP="009B1B4B">
      <w:pPr>
        <w:pStyle w:val="ListParagraph"/>
        <w:numPr>
          <w:ilvl w:val="0"/>
          <w:numId w:val="1"/>
        </w:numPr>
        <w:spacing w:after="60"/>
      </w:pPr>
      <w:r>
        <w:t xml:space="preserve">Arbeitsministerium – H-1B, LCA und Lohn: </w:t>
      </w:r>
      <w:hyperlink r:id="rId256" w:history="1">
        <w:r>
          <w:rPr>
            <w:color w:val="0563C1"/>
            <w:u w:val="single"/>
          </w:rPr>
          <w:t>dol.gov/agencies/eta/foreign-labor/programs/h-1b</w:t>
        </w:r>
      </w:hyperlink>
    </w:p>
    <w:p w14:paraId="70A4E126" w14:textId="5138111D" w:rsidR="00C1548D" w:rsidRDefault="009B1B4B" w:rsidP="009B1B4B">
      <w:pPr>
        <w:pStyle w:val="ListParagraph"/>
        <w:numPr>
          <w:ilvl w:val="0"/>
          <w:numId w:val="1"/>
        </w:numPr>
        <w:spacing w:after="60"/>
      </w:pPr>
      <w:r>
        <w:t xml:space="preserve">CareerOneStop (US-Arbeitsministerium) – kostenlose Resume-Hilfe und American-Job-Center-Suche: </w:t>
      </w:r>
      <w:hyperlink r:id="rId257" w:history="1">
        <w:r>
          <w:rPr>
            <w:color w:val="0563C1"/>
            <w:u w:val="single"/>
          </w:rPr>
          <w:t>careeronestop.org</w:t>
        </w:r>
      </w:hyperlink>
    </w:p>
    <w:p w14:paraId="70A4E12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2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128" w14:textId="77777777" w:rsidR="00C1548D" w:rsidRDefault="009B1B4B">
            <w:pPr>
              <w:keepNext/>
              <w:spacing w:after="70" w:line="240" w:lineRule="auto"/>
            </w:pPr>
            <w:r>
              <w:rPr>
                <w:b/>
                <w:bCs/>
                <w:color w:val="6B7280"/>
                <w:spacing w:val="24"/>
                <w:sz w:val="16"/>
                <w:szCs w:val="16"/>
              </w:rPr>
              <w:t>STAND</w:t>
            </w:r>
          </w:p>
          <w:p w14:paraId="70A4E129" w14:textId="00EB72BA" w:rsidR="00C1548D" w:rsidRDefault="009B1B4B" w:rsidP="009B1B4B">
            <w:pPr>
              <w:pStyle w:val="ListParagraph"/>
              <w:numPr>
                <w:ilvl w:val="0"/>
                <w:numId w:val="33"/>
              </w:numPr>
              <w:spacing w:after="50" w:line="264" w:lineRule="auto"/>
            </w:pPr>
            <w:r>
              <w:rPr>
                <w:sz w:val="20"/>
                <w:szCs w:val="20"/>
              </w:rPr>
              <w:t>September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(Kapitel </w:t>
            </w:r>
            <w:hyperlink w:anchor="k5" w:history="1">
              <w:r>
                <w:rPr>
                  <w:sz w:val="20"/>
                  <w:szCs w:val="20"/>
                </w:rPr>
                <w:t>5</w:t>
              </w:r>
            </w:hyperlink>
            <w:r>
              <w:rPr>
                <w:sz w:val="20"/>
                <w:szCs w:val="20"/>
              </w:rPr>
              <w:t xml:space="preserve"> und </w:t>
            </w:r>
            <w:hyperlink w:anchor="k30" w:history="1">
              <w:r>
                <w:rPr>
                  <w:sz w:val="20"/>
                  <w:szCs w:val="20"/>
                </w:rPr>
                <w:t>30</w:t>
              </w:r>
            </w:hyperlink>
            <w:r>
              <w:rPr>
                <w:sz w:val="20"/>
                <w:szCs w:val="20"/>
              </w:rPr>
              <w:t>). Arbeitsrecht ist überwiegend Landesrecht: Prüfe vor jeder Entscheidung die Seiten der Behörden deines Bundesstaats und lass wichtige Verträge anwaltlich prüfen.</w:t>
            </w:r>
          </w:p>
        </w:tc>
      </w:tr>
    </w:tbl>
    <w:p w14:paraId="70A4E12B" w14:textId="77777777" w:rsidR="00C1548D" w:rsidRDefault="00C1548D">
      <w:pPr>
        <w:spacing w:line="220" w:lineRule="exact"/>
      </w:pPr>
    </w:p>
    <w:p w14:paraId="70A4E12C" w14:textId="77777777" w:rsidR="00C1548D" w:rsidRDefault="009B1B4B">
      <w:pPr>
        <w:pStyle w:val="Heading2"/>
        <w:keepNext/>
        <w:pageBreakBefore/>
        <w:jc w:val="center"/>
      </w:pPr>
      <w:bookmarkStart w:id="72" w:name="k30"/>
      <w:bookmarkStart w:id="73" w:name="_Toc241352485"/>
      <w:r>
        <w:rPr>
          <w:rFonts w:ascii="Amazon Ember" w:eastAsia="Amazon Ember" w:hAnsi="Amazon Ember" w:cs="Amazon Ember"/>
          <w:color w:val="0000FF"/>
          <w:sz w:val="36"/>
          <w:szCs w:val="36"/>
        </w:rPr>
        <w:lastRenderedPageBreak/>
        <w:t>Kapitel 30: Jobwechsel, Kündigung und Umzug im Land: Was dein Status erlaubt</w:t>
      </w:r>
      <w:bookmarkEnd w:id="72"/>
      <w:bookmarkEnd w:id="73"/>
    </w:p>
    <w:p w14:paraId="70A4E12D" w14:textId="77777777" w:rsidR="00C1548D" w:rsidRDefault="009B1B4B">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35"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12E" w14:textId="77777777" w:rsidR="00C1548D" w:rsidRDefault="009B1B4B">
            <w:pPr>
              <w:keepNext/>
              <w:spacing w:after="70" w:line="240" w:lineRule="auto"/>
            </w:pPr>
            <w:r>
              <w:rPr>
                <w:b/>
                <w:bCs/>
                <w:color w:val="1F3A5F"/>
                <w:spacing w:val="24"/>
                <w:sz w:val="16"/>
                <w:szCs w:val="16"/>
              </w:rPr>
              <w:t>KURZ GESAGT</w:t>
            </w:r>
          </w:p>
          <w:p w14:paraId="70A4E12F" w14:textId="77777777" w:rsidR="00C1548D" w:rsidRDefault="009B1B4B" w:rsidP="009B1B4B">
            <w:pPr>
              <w:pStyle w:val="ListParagraph"/>
              <w:numPr>
                <w:ilvl w:val="0"/>
                <w:numId w:val="1"/>
              </w:numPr>
              <w:spacing w:after="50" w:line="264" w:lineRule="auto"/>
            </w:pPr>
            <w:r>
              <w:rPr>
                <w:sz w:val="20"/>
                <w:szCs w:val="20"/>
              </w:rPr>
              <w:t>Amerikaner bleiben im Median knapp vier Jahre bei einem Arbeitgeber; Wechseln ist normal. Dein Status hängt dagegen an Arbeitgeber, Tätigkeit und Ort.</w:t>
            </w:r>
          </w:p>
          <w:p w14:paraId="70A4E130" w14:textId="77777777" w:rsidR="00C1548D" w:rsidRDefault="009B1B4B" w:rsidP="009B1B4B">
            <w:pPr>
              <w:pStyle w:val="ListParagraph"/>
              <w:numPr>
                <w:ilvl w:val="0"/>
                <w:numId w:val="1"/>
              </w:numPr>
              <w:spacing w:after="50" w:line="264" w:lineRule="auto"/>
            </w:pPr>
            <w:r>
              <w:rPr>
                <w:sz w:val="20"/>
                <w:szCs w:val="20"/>
              </w:rPr>
              <w:t>Beim H-1B-Transfer darfst du beim neuen Arbeitgeber ab Einreichung der Petition anfangen; die 100.000-$-Zahlung gilt (Stand 20. September 2026) nicht für Wechsel im Inland.</w:t>
            </w:r>
          </w:p>
          <w:p w14:paraId="70A4E131" w14:textId="77777777" w:rsidR="00C1548D" w:rsidRDefault="009B1B4B" w:rsidP="009B1B4B">
            <w:pPr>
              <w:pStyle w:val="ListParagraph"/>
              <w:numPr>
                <w:ilvl w:val="0"/>
                <w:numId w:val="1"/>
              </w:numPr>
              <w:spacing w:after="50" w:line="264" w:lineRule="auto"/>
            </w:pPr>
            <w:r>
              <w:rPr>
                <w:sz w:val="20"/>
                <w:szCs w:val="20"/>
              </w:rPr>
              <w:t>Ein anderes Beschäftigungsgebiet oder eine wesentlich andere Stelle braucht meist eine neue LCA und eine geänderte Petition, bevor du dort arbeitest.</w:t>
            </w:r>
          </w:p>
          <w:p w14:paraId="70A4E132" w14:textId="77777777" w:rsidR="00C1548D" w:rsidRDefault="009B1B4B" w:rsidP="009B1B4B">
            <w:pPr>
              <w:pStyle w:val="ListParagraph"/>
              <w:numPr>
                <w:ilvl w:val="0"/>
                <w:numId w:val="1"/>
              </w:numPr>
              <w:spacing w:after="50" w:line="264" w:lineRule="auto"/>
            </w:pPr>
            <w:r>
              <w:rPr>
                <w:sz w:val="20"/>
                <w:szCs w:val="20"/>
              </w:rPr>
              <w:t>Ein Wechsel kann ein laufendes Green-Card-Verfahren zurückwerfen; die AC21-Portabilität greift erst, wenn deine I-485 seit 180 Tagen anhängig ist.</w:t>
            </w:r>
          </w:p>
          <w:p w14:paraId="70A4E133" w14:textId="77777777" w:rsidR="00C1548D" w:rsidRDefault="009B1B4B" w:rsidP="009B1B4B">
            <w:pPr>
              <w:pStyle w:val="ListParagraph"/>
              <w:numPr>
                <w:ilvl w:val="0"/>
                <w:numId w:val="1"/>
              </w:numPr>
              <w:spacing w:after="50" w:line="264" w:lineRule="auto"/>
            </w:pPr>
            <w:r>
              <w:rPr>
                <w:sz w:val="20"/>
                <w:szCs w:val="20"/>
              </w:rPr>
              <w:t>Nach Jobverlust gilt noch eine Frist von bis zu 60 Tagen. Ein DHS-Vorschlag vom 11. September 2026 will sie streichen; er ist nicht in Kraft.</w:t>
            </w:r>
          </w:p>
          <w:p w14:paraId="70A4E134" w14:textId="77777777" w:rsidR="00C1548D" w:rsidRDefault="009B1B4B" w:rsidP="009B1B4B">
            <w:pPr>
              <w:pStyle w:val="ListParagraph"/>
              <w:numPr>
                <w:ilvl w:val="0"/>
                <w:numId w:val="1"/>
              </w:numPr>
              <w:spacing w:after="50" w:line="264" w:lineRule="auto"/>
            </w:pPr>
            <w:r>
              <w:rPr>
                <w:sz w:val="20"/>
                <w:szCs w:val="20"/>
              </w:rPr>
              <w:t>Nach jedem Umzug: Adressänderung AR-11 binnen 10 Tagen. Rücklage: mindestens sechs Monate Fixkosten.</w:t>
            </w:r>
          </w:p>
        </w:tc>
      </w:tr>
    </w:tbl>
    <w:p w14:paraId="70A4E136" w14:textId="77777777" w:rsidR="00C1548D" w:rsidRDefault="00C1548D">
      <w:pPr>
        <w:spacing w:line="220" w:lineRule="exact"/>
      </w:pPr>
    </w:p>
    <w:p w14:paraId="70A4E137" w14:textId="77777777" w:rsidR="00C1548D" w:rsidRDefault="009B1B4B">
      <w:pPr>
        <w:pStyle w:val="Heading3"/>
        <w:keepNext/>
        <w:jc w:val="center"/>
      </w:pPr>
      <w:r>
        <w:rPr>
          <w:rFonts w:ascii="Amazon Ember" w:eastAsia="Amazon Ember" w:hAnsi="Amazon Ember" w:cs="Amazon Ember"/>
          <w:color w:val="0000FF"/>
          <w:sz w:val="36"/>
          <w:szCs w:val="36"/>
        </w:rPr>
        <w:lastRenderedPageBreak/>
        <w:t>Warum Amerikaner oft wechseln – und du nicht so leicht</w:t>
      </w:r>
    </w:p>
    <w:p w14:paraId="70A4E138" w14:textId="1A98B088" w:rsidR="00C1548D" w:rsidRDefault="009B1B4B">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Kapitel </w:t>
      </w:r>
      <w:hyperlink w:anchor="k29" w:history="1">
        <w:r>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w14:paraId="70A4E139" w14:textId="77777777" w:rsidR="00C1548D" w:rsidRDefault="009B1B4B">
      <w:pPr>
        <w:spacing w:after="140"/>
      </w:pPr>
      <w:r>
        <w:t>Verbreiteter Irrtum vieler deutscher Bewerber: Ein Lebenslauf mit häufigen Wechseln wirke unstet und schrecke Personaler ab, wie man es aus Deutschland gewohnt ist. Tatsächlich gilt in den USA oft das Gegenteil – wer nie wechselt, wirkt eher unambitioniert als loyal.</w:t>
      </w:r>
    </w:p>
    <w:p w14:paraId="70A4E13A" w14:textId="77777777" w:rsidR="00C1548D" w:rsidRDefault="009B1B4B">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 gültig nur für genau diesen Arbeitgeber, diese Tätigkeit und dieses Beschäftigungsgebiet. Wer einfach wechselt, arbeitet ohne Erlaubnis und verletzt seinen Status.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3D"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13B" w14:textId="77777777" w:rsidR="00C1548D" w:rsidRDefault="009B1B4B">
            <w:pPr>
              <w:keepNext/>
              <w:spacing w:after="70" w:line="240" w:lineRule="auto"/>
            </w:pPr>
            <w:r>
              <w:rPr>
                <w:b/>
                <w:bCs/>
                <w:color w:val="8A6212"/>
                <w:spacing w:val="24"/>
                <w:sz w:val="16"/>
                <w:szCs w:val="16"/>
              </w:rPr>
              <w:t>MERKE</w:t>
            </w:r>
          </w:p>
          <w:p w14:paraId="70A4E13C" w14:textId="77777777" w:rsidR="00C1548D" w:rsidRDefault="009B1B4B">
            <w:pPr>
              <w:spacing w:after="80" w:line="264" w:lineRule="auto"/>
            </w:pPr>
            <w:r>
              <w:rPr>
                <w:sz w:val="20"/>
                <w:szCs w:val="20"/>
              </w:rPr>
              <w:t>Dein Status hat drei Anker: Arbeitgeber, Tätigkeit, Ort. Ändert sich einer davon, ist das ein Fall für den Einwanderungsanwalt, bevor du den Schritt tust, nicht danach.</w:t>
            </w:r>
          </w:p>
        </w:tc>
      </w:tr>
    </w:tbl>
    <w:p w14:paraId="70A4E13E" w14:textId="77777777" w:rsidR="00C1548D" w:rsidRDefault="00C1548D">
      <w:pPr>
        <w:spacing w:line="220" w:lineRule="exact"/>
      </w:pPr>
    </w:p>
    <w:p w14:paraId="70A4E13F" w14:textId="77777777" w:rsidR="00C1548D" w:rsidRDefault="009B1B4B">
      <w:pPr>
        <w:pStyle w:val="Heading3"/>
        <w:keepNext/>
        <w:jc w:val="center"/>
      </w:pPr>
      <w:r>
        <w:rPr>
          <w:rFonts w:ascii="Amazon Ember" w:eastAsia="Amazon Ember" w:hAnsi="Amazon Ember" w:cs="Amazon Ember"/>
          <w:color w:val="0000FF"/>
          <w:sz w:val="36"/>
          <w:szCs w:val="36"/>
        </w:rPr>
        <w:lastRenderedPageBreak/>
        <w:t>Der H-1B-Transfer: Ablauf, Beginn und Kosten</w:t>
      </w:r>
    </w:p>
    <w:p w14:paraId="70A4E140" w14:textId="77777777" w:rsidR="00C1548D" w:rsidRDefault="009B1B4B">
      <w:pPr>
        <w:spacing w:after="140"/>
      </w:pPr>
      <w:r>
        <w:t xml:space="preserve">Ein Wechsel zwischen zwei Arbeitgebern heißt </w:t>
      </w:r>
      <w:r>
        <w:rPr>
          <w:i/>
          <w:iCs/>
        </w:rPr>
        <w:t>H-1B-Transfer</w:t>
      </w:r>
      <w:r>
        <w:t xml:space="preserve"> oder </w:t>
      </w:r>
      <w:r>
        <w:rPr>
          <w:i/>
          <w:iCs/>
        </w:rPr>
        <w:t>Portability</w:t>
      </w:r>
      <w:r>
        <w:t xml:space="preserve"> (Übertragbarkeit, INA 214(n)). Der neue Arbeitgeber reicht eine eigene H-1B-Petition (Form I-129) bei der Einwanderungsbehörde USCIS ein. Verbreiteter Irrtum: Wie bei einem deutschen Aufenthaltstitel wähnen sich viele erst nach der fertigen Genehmigung auf der sicheren Seite. Tatsächlich zählt der Eingangsstempel bei USCIS, nicht der Ausgang des Verfahrens: Du darfst dort anfangen, sobald USCIS die Petition erhalten hat, ohne die Entscheidung abzuwarten, frühestens zum vereinbarten Starttermin. Voraussetzu</w:t>
      </w:r>
      <w:r>
        <w:t>ngen: rechtmäßige H-1B-Zulassung, Eingang der Petition vor Ablauf des zulässigen Aufenthalts, keine unerlaubte Arbeit seit der letzten Einreise, und die Petition darf nicht offensichtlich aussichtslos sein. Der Ablauf:</w:t>
      </w:r>
    </w:p>
    <w:p w14:paraId="70A4E141" w14:textId="77777777" w:rsidR="00C1548D" w:rsidRDefault="009B1B4B" w:rsidP="009B1B4B">
      <w:pPr>
        <w:pStyle w:val="ListParagraph"/>
        <w:numPr>
          <w:ilvl w:val="0"/>
          <w:numId w:val="34"/>
        </w:numPr>
        <w:spacing w:after="60"/>
      </w:pPr>
      <w:r>
        <w:t>Der neue Arbeitgeber sagt den Transfer verbindlich zu; ihr klärt, wer welche Kosten trägt.</w:t>
      </w:r>
    </w:p>
    <w:p w14:paraId="70A4E142" w14:textId="77777777" w:rsidR="00C1548D" w:rsidRDefault="009B1B4B" w:rsidP="009B1B4B">
      <w:pPr>
        <w:pStyle w:val="ListParagraph"/>
        <w:numPr>
          <w:ilvl w:val="0"/>
          <w:numId w:val="34"/>
        </w:numPr>
        <w:spacing w:after="60"/>
      </w:pPr>
      <w:r>
        <w:t xml:space="preserve">Er reicht beim Arbeitsministerium (DOL) eine </w:t>
      </w:r>
      <w:r>
        <w:rPr>
          <w:i/>
          <w:iCs/>
        </w:rPr>
        <w:t>Labor Condition Application</w:t>
      </w:r>
      <w:r>
        <w:t xml:space="preserve"> (LCA) ein, die Lohn und Arbeitsort bestätigt; das DOL prüft sie binnen sieben Werktagen auf Vollständigkeit.</w:t>
      </w:r>
    </w:p>
    <w:p w14:paraId="70A4E143" w14:textId="77777777" w:rsidR="00C1548D" w:rsidRDefault="009B1B4B" w:rsidP="009B1B4B">
      <w:pPr>
        <w:pStyle w:val="ListParagraph"/>
        <w:numPr>
          <w:ilvl w:val="0"/>
          <w:numId w:val="34"/>
        </w:numPr>
        <w:spacing w:after="60"/>
      </w:pPr>
      <w:r>
        <w:t xml:space="preserve">Er reicht die I-129 ein, auf Wunsch mit </w:t>
      </w:r>
      <w:r>
        <w:rPr>
          <w:i/>
          <w:iCs/>
        </w:rPr>
        <w:t>Premium Processing</w:t>
      </w:r>
      <w:r>
        <w:t xml:space="preserve"> (beschleunigte Bearbeitung, Entscheidung binnen 15 Werktagen).</w:t>
      </w:r>
    </w:p>
    <w:p w14:paraId="70A4E144" w14:textId="77777777" w:rsidR="00C1548D" w:rsidRDefault="009B1B4B" w:rsidP="009B1B4B">
      <w:pPr>
        <w:pStyle w:val="ListParagraph"/>
        <w:numPr>
          <w:ilvl w:val="0"/>
          <w:numId w:val="34"/>
        </w:numPr>
        <w:spacing w:after="60"/>
      </w:pPr>
      <w:r>
        <w:t>Mit der Eingangsbestätigung von USCIS kündigst du beim alten Arbeitgeber und fängst beim neuen an.</w:t>
      </w:r>
    </w:p>
    <w:p w14:paraId="70A4E145" w14:textId="77777777" w:rsidR="00C1548D" w:rsidRDefault="009B1B4B" w:rsidP="009B1B4B">
      <w:pPr>
        <w:pStyle w:val="ListParagraph"/>
        <w:numPr>
          <w:ilvl w:val="0"/>
          <w:numId w:val="34"/>
        </w:numPr>
        <w:spacing w:after="60"/>
      </w:pPr>
      <w:r>
        <w:t>USCIS genehmigt und stellt die neue Genehmigung aus. Lehnt USCIS ab, endet deine Arbeitserlaubnis beim neuen Arbeitgeber; zum alten kannst du nur zurück, wenn dessen Genehmigung noch gültig ist.</w:t>
      </w:r>
    </w:p>
    <w:p w14:paraId="70A4E14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4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147" w14:textId="77777777" w:rsidR="00C1548D" w:rsidRDefault="009B1B4B">
            <w:pPr>
              <w:keepNext/>
              <w:spacing w:after="70" w:line="240" w:lineRule="auto"/>
            </w:pPr>
            <w:r>
              <w:rPr>
                <w:b/>
                <w:bCs/>
                <w:color w:val="9B2C2C"/>
                <w:spacing w:val="24"/>
                <w:sz w:val="16"/>
                <w:szCs w:val="16"/>
              </w:rPr>
              <w:lastRenderedPageBreak/>
              <w:t>ACHTUNG</w:t>
            </w:r>
          </w:p>
          <w:p w14:paraId="70A4E148" w14:textId="77777777" w:rsidR="00C1548D" w:rsidRDefault="009B1B4B">
            <w:pPr>
              <w:spacing w:after="80" w:line="264" w:lineRule="auto"/>
            </w:pPr>
            <w:r>
              <w:rPr>
                <w:sz w:val="20"/>
                <w:szCs w:val="20"/>
              </w:rPr>
              <w:t>Kündige beim alten Arbeitgeber erst, wenn die Petition des neuen bei USCIS eingegangen ist. Wer vorher kündigt, startet seine Frist ohne Absicherung. Ebenfalls tabu: ein zweiter Job, Freiberuflichkeit oder Nebenverdienst außerhalb deiner Petition. Das gilt als unerlaubte Beschäftigung; eine Parallelbeschäftigung braucht eine zweite Petition mit eigener LCA.</w:t>
            </w:r>
          </w:p>
        </w:tc>
      </w:tr>
    </w:tbl>
    <w:p w14:paraId="70A4E14A" w14:textId="77777777" w:rsidR="00C1548D" w:rsidRDefault="00C1548D">
      <w:pPr>
        <w:spacing w:line="220" w:lineRule="exact"/>
      </w:pPr>
    </w:p>
    <w:p w14:paraId="70A4E14B" w14:textId="77777777" w:rsidR="00C1548D" w:rsidRDefault="009B1B4B">
      <w:pPr>
        <w:spacing w:after="140"/>
      </w:pPr>
      <w:r>
        <w:t>Die Kosten trägt der neue Arbeitgeber, die Gebühren nach USCIS-Gebührenblatt G-1055 (Ausgabe vom 9. September 2026):</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79"/>
        <w:gridCol w:w="2900"/>
        <w:gridCol w:w="2501"/>
      </w:tblGrid>
      <w:tr w:rsidR="00C1548D" w14:paraId="70A4E14F" w14:textId="77777777">
        <w:tblPrEx>
          <w:tblCellMar>
            <w:top w:w="0" w:type="dxa"/>
            <w:bottom w:w="0" w:type="dxa"/>
          </w:tblCellMar>
        </w:tblPrEx>
        <w:trPr>
          <w:cantSplit/>
          <w:tblHeader/>
        </w:trPr>
        <w:tc>
          <w:tcPr>
            <w:tcW w:w="107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4C" w14:textId="77777777" w:rsidR="00C1548D" w:rsidRDefault="009B1B4B">
            <w:pPr>
              <w:spacing w:line="250" w:lineRule="auto"/>
            </w:pPr>
            <w:r>
              <w:rPr>
                <w:b/>
                <w:bCs/>
                <w:sz w:val="18"/>
                <w:szCs w:val="18"/>
              </w:rPr>
              <w:t>Posten</w:t>
            </w:r>
          </w:p>
        </w:tc>
        <w:tc>
          <w:tcPr>
            <w:tcW w:w="29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4D" w14:textId="77777777" w:rsidR="00C1548D" w:rsidRDefault="009B1B4B">
            <w:pPr>
              <w:spacing w:line="250" w:lineRule="auto"/>
            </w:pPr>
            <w:r>
              <w:rPr>
                <w:b/>
                <w:bCs/>
                <w:sz w:val="18"/>
                <w:szCs w:val="18"/>
              </w:rPr>
              <w:t>Betrag</w:t>
            </w:r>
          </w:p>
        </w:tc>
        <w:tc>
          <w:tcPr>
            <w:tcW w:w="250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4E" w14:textId="77777777" w:rsidR="00C1548D" w:rsidRDefault="009B1B4B">
            <w:pPr>
              <w:spacing w:line="250" w:lineRule="auto"/>
            </w:pPr>
            <w:r>
              <w:rPr>
                <w:b/>
                <w:bCs/>
                <w:sz w:val="18"/>
                <w:szCs w:val="18"/>
              </w:rPr>
              <w:t>Anmerkung</w:t>
            </w:r>
          </w:p>
        </w:tc>
      </w:tr>
      <w:tr w:rsidR="00C1548D" w14:paraId="70A4E153" w14:textId="77777777">
        <w:tblPrEx>
          <w:tblCellMar>
            <w:top w:w="0" w:type="dxa"/>
            <w:bottom w:w="0" w:type="dxa"/>
          </w:tblCellMar>
        </w:tblPrEx>
        <w:trPr>
          <w:cantSplit/>
        </w:trPr>
        <w:tc>
          <w:tcPr>
            <w:tcW w:w="10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0" w14:textId="77777777" w:rsidR="00C1548D" w:rsidRDefault="009B1B4B">
            <w:pPr>
              <w:spacing w:line="250" w:lineRule="auto"/>
            </w:pPr>
            <w:r>
              <w:rPr>
                <w:sz w:val="18"/>
                <w:szCs w:val="18"/>
              </w:rPr>
              <w:t>Form I-129</w:t>
            </w:r>
          </w:p>
        </w:tc>
        <w:tc>
          <w:tcPr>
            <w:tcW w:w="29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1" w14:textId="77777777" w:rsidR="00C1548D" w:rsidRDefault="009B1B4B">
            <w:pPr>
              <w:spacing w:line="250" w:lineRule="auto"/>
            </w:pPr>
            <w:r>
              <w:rPr>
                <w:sz w:val="18"/>
                <w:szCs w:val="18"/>
              </w:rPr>
              <w:t>780 $ Papier, 730 $ online, 460 $ Kleinbetrieb oder Non-Profit</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2" w14:textId="77777777" w:rsidR="00C1548D" w:rsidRDefault="009B1B4B">
            <w:pPr>
              <w:spacing w:line="250" w:lineRule="auto"/>
            </w:pPr>
            <w:r>
              <w:rPr>
                <w:sz w:val="18"/>
                <w:szCs w:val="18"/>
              </w:rPr>
              <w:t>Grundgebühr</w:t>
            </w:r>
          </w:p>
        </w:tc>
      </w:tr>
      <w:tr w:rsidR="00C1548D" w14:paraId="70A4E157" w14:textId="77777777">
        <w:tblPrEx>
          <w:tblCellMar>
            <w:top w:w="0" w:type="dxa"/>
            <w:bottom w:w="0" w:type="dxa"/>
          </w:tblCellMar>
        </w:tblPrEx>
        <w:trPr>
          <w:cantSplit/>
        </w:trPr>
        <w:tc>
          <w:tcPr>
            <w:tcW w:w="10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4" w14:textId="77777777" w:rsidR="00C1548D" w:rsidRDefault="009B1B4B">
            <w:pPr>
              <w:spacing w:line="250" w:lineRule="auto"/>
            </w:pPr>
            <w:r>
              <w:rPr>
                <w:sz w:val="18"/>
                <w:szCs w:val="18"/>
              </w:rPr>
              <w:t>ACWIA-Gebühr</w:t>
            </w:r>
          </w:p>
        </w:tc>
        <w:tc>
          <w:tcPr>
            <w:tcW w:w="29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5" w14:textId="77777777" w:rsidR="00C1548D" w:rsidRDefault="009B1B4B">
            <w:pPr>
              <w:spacing w:line="250" w:lineRule="auto"/>
            </w:pPr>
            <w:r>
              <w:rPr>
                <w:sz w:val="18"/>
                <w:szCs w:val="18"/>
              </w:rPr>
              <w:t>1.500 $ ab 26 Beschäftigten, sonst 750 $</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6" w14:textId="77777777" w:rsidR="00C1548D" w:rsidRDefault="009B1B4B">
            <w:pPr>
              <w:spacing w:line="250" w:lineRule="auto"/>
            </w:pPr>
            <w:r>
              <w:rPr>
                <w:sz w:val="18"/>
                <w:szCs w:val="18"/>
              </w:rPr>
              <w:t>Hochschulen und verbundene Non-Profits befreit</w:t>
            </w:r>
          </w:p>
        </w:tc>
      </w:tr>
      <w:tr w:rsidR="00C1548D" w14:paraId="70A4E15B" w14:textId="77777777">
        <w:tblPrEx>
          <w:tblCellMar>
            <w:top w:w="0" w:type="dxa"/>
            <w:bottom w:w="0" w:type="dxa"/>
          </w:tblCellMar>
        </w:tblPrEx>
        <w:trPr>
          <w:cantSplit/>
        </w:trPr>
        <w:tc>
          <w:tcPr>
            <w:tcW w:w="10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8" w14:textId="77777777" w:rsidR="00C1548D" w:rsidRDefault="009B1B4B">
            <w:pPr>
              <w:spacing w:line="250" w:lineRule="auto"/>
            </w:pPr>
            <w:r>
              <w:rPr>
                <w:sz w:val="18"/>
                <w:szCs w:val="18"/>
              </w:rPr>
              <w:t>Fraud Fee</w:t>
            </w:r>
          </w:p>
        </w:tc>
        <w:tc>
          <w:tcPr>
            <w:tcW w:w="29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9" w14:textId="77777777" w:rsidR="00C1548D" w:rsidRDefault="009B1B4B">
            <w:pPr>
              <w:spacing w:line="250" w:lineRule="auto"/>
            </w:pPr>
            <w:r>
              <w:rPr>
                <w:sz w:val="18"/>
                <w:szCs w:val="18"/>
              </w:rPr>
              <w:t>500 $</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A" w14:textId="77777777" w:rsidR="00C1548D" w:rsidRDefault="009B1B4B">
            <w:pPr>
              <w:spacing w:line="250" w:lineRule="auto"/>
            </w:pPr>
            <w:r>
              <w:rPr>
                <w:sz w:val="18"/>
                <w:szCs w:val="18"/>
              </w:rPr>
              <w:t>bei Erstpetition und Arbeitgeberwechsel</w:t>
            </w:r>
          </w:p>
        </w:tc>
      </w:tr>
      <w:tr w:rsidR="00C1548D" w14:paraId="70A4E15F" w14:textId="77777777">
        <w:tblPrEx>
          <w:tblCellMar>
            <w:top w:w="0" w:type="dxa"/>
            <w:bottom w:w="0" w:type="dxa"/>
          </w:tblCellMar>
        </w:tblPrEx>
        <w:trPr>
          <w:cantSplit/>
        </w:trPr>
        <w:tc>
          <w:tcPr>
            <w:tcW w:w="10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C" w14:textId="77777777" w:rsidR="00C1548D" w:rsidRDefault="009B1B4B">
            <w:pPr>
              <w:spacing w:line="250" w:lineRule="auto"/>
            </w:pPr>
            <w:r>
              <w:rPr>
                <w:sz w:val="18"/>
                <w:szCs w:val="18"/>
              </w:rPr>
              <w:t>Asylum Program Fee</w:t>
            </w:r>
          </w:p>
        </w:tc>
        <w:tc>
          <w:tcPr>
            <w:tcW w:w="29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D" w14:textId="77777777" w:rsidR="00C1548D" w:rsidRDefault="009B1B4B">
            <w:pPr>
              <w:spacing w:line="250" w:lineRule="auto"/>
            </w:pPr>
            <w:r>
              <w:rPr>
                <w:sz w:val="18"/>
                <w:szCs w:val="18"/>
              </w:rPr>
              <w:t>600 $, Kleinbetrieb 300 $, Non-Profit 0 $</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5E" w14:textId="77777777" w:rsidR="00C1548D" w:rsidRDefault="00C1548D">
            <w:pPr>
              <w:spacing w:line="250" w:lineRule="auto"/>
            </w:pPr>
          </w:p>
        </w:tc>
      </w:tr>
      <w:tr w:rsidR="00C1548D" w14:paraId="70A4E163" w14:textId="77777777">
        <w:tblPrEx>
          <w:tblCellMar>
            <w:top w:w="0" w:type="dxa"/>
            <w:bottom w:w="0" w:type="dxa"/>
          </w:tblCellMar>
        </w:tblPrEx>
        <w:trPr>
          <w:cantSplit/>
        </w:trPr>
        <w:tc>
          <w:tcPr>
            <w:tcW w:w="10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60" w14:textId="77777777" w:rsidR="00C1548D" w:rsidRDefault="009B1B4B">
            <w:pPr>
              <w:spacing w:line="250" w:lineRule="auto"/>
            </w:pPr>
            <w:r>
              <w:rPr>
                <w:sz w:val="18"/>
                <w:szCs w:val="18"/>
              </w:rPr>
              <w:t>Premium Processing</w:t>
            </w:r>
          </w:p>
        </w:tc>
        <w:tc>
          <w:tcPr>
            <w:tcW w:w="29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61" w14:textId="77777777" w:rsidR="00C1548D" w:rsidRDefault="009B1B4B">
            <w:pPr>
              <w:spacing w:line="250" w:lineRule="auto"/>
            </w:pPr>
            <w:r>
              <w:rPr>
                <w:sz w:val="18"/>
                <w:szCs w:val="18"/>
              </w:rPr>
              <w:t>2.965 $</w:t>
            </w:r>
          </w:p>
        </w:tc>
        <w:tc>
          <w:tcPr>
            <w:tcW w:w="25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62" w14:textId="77777777" w:rsidR="00C1548D" w:rsidRDefault="009B1B4B">
            <w:pPr>
              <w:spacing w:line="250" w:lineRule="auto"/>
            </w:pPr>
            <w:r>
              <w:rPr>
                <w:sz w:val="18"/>
                <w:szCs w:val="18"/>
              </w:rPr>
              <w:t>optional; nur der Arbeitgeber darf es beantragen</w:t>
            </w:r>
          </w:p>
        </w:tc>
      </w:tr>
    </w:tbl>
    <w:p w14:paraId="70A4E164" w14:textId="77777777" w:rsidR="00C1548D" w:rsidRDefault="00C1548D">
      <w:pPr>
        <w:spacing w:line="180" w:lineRule="exact"/>
      </w:pPr>
    </w:p>
    <w:p w14:paraId="70A4E165" w14:textId="4E69DC54" w:rsidR="00C1548D" w:rsidRDefault="009B1B4B">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Sign-on-Bonus oder Umzugskosten; prüfe sie und ein mögliches Wettbewerbsverbot vor dem Wechsel (Kapitel </w:t>
      </w:r>
      <w:hyperlink w:anchor="k29" w:history="1">
        <w:r>
          <w:t>29</w:t>
        </w:r>
      </w:hyperlink>
      <w:r>
        <w:t>).</w:t>
      </w:r>
    </w:p>
    <w:p w14:paraId="70A4E166" w14:textId="17CF51BB" w:rsidR="00C1548D" w:rsidRDefault="009B1B4B">
      <w:pPr>
        <w:spacing w:after="140"/>
      </w:pPr>
      <w:r>
        <w:rPr>
          <w:b/>
          <w:bCs/>
        </w:rPr>
        <w:t>Keine Lotterie, keine 100.000 $.</w:t>
      </w:r>
      <w:r>
        <w:t xml:space="preserve"> Ein Transfer im Inland braucht meist keine neue Registrierung (215 $). Die 100.000-$-Zahlung der </w:t>
      </w:r>
      <w:r>
        <w:lastRenderedPageBreak/>
        <w:t>Proklamation 10973 gilt nach USCIS-Angaben nicht für Arbeitgeberwechsel im Inland; ihre Erhebung ist außerdem gerichtlich blockiert (Kapitel </w:t>
      </w:r>
      <w:hyperlink w:anchor="k5" w:history="1">
        <w:r>
          <w:t>5</w:t>
        </w:r>
      </w:hyperlink>
      <w:r>
        <w:t>). Auch der 103.265-$-Entwurf vom 25. August 2026 (nicht in Kraft, Kommentare bis 24. September 2026) würde Arbeitgeberwechsel nach Angaben von Kanzleien nicht erfassen.</w:t>
      </w:r>
    </w:p>
    <w:p w14:paraId="70A4E167" w14:textId="36F978E6" w:rsidR="00C1548D" w:rsidRDefault="009B1B4B">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Wechselst du von dort zu einem gewöhnlichen Unternehmen (</w:t>
      </w:r>
      <w:r>
        <w:rPr>
          <w:i/>
          <w:iCs/>
        </w:rPr>
        <w:t>Cap-subject</w:t>
      </w:r>
      <w:r>
        <w:t>), brauchst du in der Regel eine Registrierung im März und darfst frühestens am 1. Oktober starten; eine Parallelbeschäftigung ist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history="1">
        <w:r>
          <w:t>5</w:t>
        </w:r>
      </w:hyperlink>
      <w:r>
        <w:t>).</w:t>
      </w:r>
    </w:p>
    <w:p w14:paraId="70A4E168" w14:textId="77777777" w:rsidR="00C1548D" w:rsidRDefault="009B1B4B">
      <w:pPr>
        <w:pStyle w:val="Heading3"/>
        <w:keepNext/>
        <w:jc w:val="center"/>
      </w:pPr>
      <w:r>
        <w:rPr>
          <w:rFonts w:ascii="Amazon Ember" w:eastAsia="Amazon Ember" w:hAnsi="Amazon Ember" w:cs="Amazon Ember"/>
          <w:color w:val="0000FF"/>
          <w:sz w:val="36"/>
          <w:szCs w:val="36"/>
        </w:rPr>
        <w:t>Umzug und Stellenänderung: Wann eine neue LCA nötig ist</w:t>
      </w:r>
    </w:p>
    <w:p w14:paraId="70A4E169" w14:textId="60B29A65" w:rsidR="00C1548D" w:rsidRDefault="009B1B4B">
      <w:pPr>
        <w:spacing w:after="140"/>
      </w:pPr>
      <w:r>
        <w:t>Der erste Wohnort ist bei H-1B selten frei gewählt: Deine Petition nennt den Arbeitsort, und die LCA gilt für ein Beschäftigungsgebiet, meist die Metropolregion (</w:t>
      </w:r>
      <w:r>
        <w:rPr>
          <w:i/>
          <w:iCs/>
        </w:rPr>
        <w:t>Metropolitan Statistical Area</w:t>
      </w:r>
      <w:r>
        <w:t>, MSA). Wer nach einem Jahr in eine andere Region will, kann nicht einfach umziehen; wo du langfristig leben willst, klärst du deshalb vor der Zusage (Kapitel </w:t>
      </w:r>
      <w:hyperlink w:anchor="k12" w:history="1">
        <w:r>
          <w:t>12</w:t>
        </w:r>
      </w:hyperlink>
      <w:r>
        <w:t>). Wechselst du Arbeitgeber und Region zugleich, reicht ein Schritt, denn die Petition des neuen Arbeitgebers nennt ohnehin den neuen Ort. Bleibst du beim Arbeitgeber, gilt:</w:t>
      </w:r>
    </w:p>
    <w:p w14:paraId="70A4E16A" w14:textId="77777777" w:rsidR="00C1548D" w:rsidRDefault="009B1B4B" w:rsidP="009B1B4B">
      <w:pPr>
        <w:pStyle w:val="ListParagraph"/>
        <w:numPr>
          <w:ilvl w:val="0"/>
          <w:numId w:val="1"/>
        </w:numPr>
        <w:spacing w:after="60"/>
      </w:pPr>
      <w:r>
        <w:rPr>
          <w:b/>
          <w:bCs/>
        </w:rPr>
        <w:t>Neuer Standort im selben MSA:</w:t>
      </w:r>
      <w:r>
        <w:t xml:space="preserve"> Nach bisheriger USCIS-Praxis (Simeio-Leitlinie von 2015, später in die Vorschriften </w:t>
      </w:r>
      <w:r>
        <w:lastRenderedPageBreak/>
        <w:t>übernommen) genügt es, dass der Arbeitgeber die LCA am neuen Standort aushängt. Beispiel: Seattle nach Bellevue.</w:t>
      </w:r>
    </w:p>
    <w:p w14:paraId="70A4E16B" w14:textId="77777777" w:rsidR="00C1548D" w:rsidRDefault="009B1B4B" w:rsidP="009B1B4B">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w14:paraId="70A4E16C" w14:textId="77777777" w:rsidR="00C1548D" w:rsidRDefault="009B1B4B" w:rsidP="009B1B4B">
      <w:pPr>
        <w:pStyle w:val="ListParagraph"/>
        <w:numPr>
          <w:ilvl w:val="0"/>
          <w:numId w:val="1"/>
        </w:numPr>
        <w:spacing w:after="60"/>
      </w:pPr>
      <w:r>
        <w:rPr>
          <w:b/>
          <w:bCs/>
        </w:rPr>
        <w:t>Homeoffice:</w:t>
      </w:r>
      <w:r>
        <w:t xml:space="preserve"> Auch dein Arbeitsplatz zu Hause zählt als Arbeitsort. Ziehst du im Homeoffice in ein anderes Gebiet, kann das eine neue LCA erfordern – frage HR vor dem Umzug.</w:t>
      </w:r>
    </w:p>
    <w:p w14:paraId="70A4E16D" w14:textId="77777777" w:rsidR="00C1548D" w:rsidRDefault="009B1B4B" w:rsidP="009B1B4B">
      <w:pPr>
        <w:pStyle w:val="ListParagraph"/>
        <w:numPr>
          <w:ilvl w:val="0"/>
          <w:numId w:val="1"/>
        </w:numPr>
        <w:spacing w:after="60"/>
      </w:pPr>
      <w:r>
        <w:rPr>
          <w:b/>
          <w:bCs/>
        </w:rPr>
        <w:t>Andere Stelle:</w:t>
      </w:r>
      <w:r>
        <w:t xml:space="preserve"> Eine wesentlich andere Tätigkeit oder Berufsgruppe oder deutlich weniger Arbeitszeit kann eine geänderte Petition verlangen; eine Beförderung innerhalb derselben Tätigkeit in der Regel nicht.</w:t>
      </w:r>
    </w:p>
    <w:p w14:paraId="70A4E16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7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16F" w14:textId="77777777" w:rsidR="00C1548D" w:rsidRDefault="009B1B4B">
            <w:pPr>
              <w:keepNext/>
              <w:spacing w:after="70" w:line="240" w:lineRule="auto"/>
            </w:pPr>
            <w:r>
              <w:rPr>
                <w:b/>
                <w:bCs/>
                <w:color w:val="9B2C2C"/>
                <w:spacing w:val="24"/>
                <w:sz w:val="16"/>
                <w:szCs w:val="16"/>
              </w:rPr>
              <w:t>ACHTUNG</w:t>
            </w:r>
          </w:p>
          <w:p w14:paraId="70A4E170" w14:textId="77777777" w:rsidR="00C1548D" w:rsidRDefault="009B1B4B">
            <w:pPr>
              <w:spacing w:after="80" w:line="264" w:lineRule="auto"/>
            </w:pPr>
            <w:r>
              <w:rPr>
                <w:sz w:val="20"/>
                <w:szCs w:val="20"/>
              </w:rPr>
              <w:t>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tc>
      </w:tr>
    </w:tbl>
    <w:p w14:paraId="70A4E172" w14:textId="77777777" w:rsidR="00C1548D" w:rsidRDefault="00C1548D">
      <w:pPr>
        <w:spacing w:line="220" w:lineRule="exact"/>
      </w:pPr>
    </w:p>
    <w:p w14:paraId="70A4E173" w14:textId="77777777" w:rsidR="00C1548D" w:rsidRDefault="009B1B4B">
      <w:pPr>
        <w:pStyle w:val="Heading3"/>
        <w:keepNext/>
        <w:jc w:val="center"/>
      </w:pPr>
      <w:r>
        <w:rPr>
          <w:rFonts w:ascii="Amazon Ember" w:eastAsia="Amazon Ember" w:hAnsi="Amazon Ember" w:cs="Amazon Ember"/>
          <w:color w:val="0000FF"/>
          <w:sz w:val="36"/>
          <w:szCs w:val="36"/>
        </w:rPr>
        <w:t>Jobwechsel und Green Card: Was aus deinem Verfahren wird</w:t>
      </w:r>
    </w:p>
    <w:p w14:paraId="70A4E174" w14:textId="4E8030F3" w:rsidR="00C1548D" w:rsidRDefault="009B1B4B">
      <w:pPr>
        <w:spacing w:after="140"/>
      </w:pPr>
      <w:r>
        <w:t>Läuft über deinen Arbeitgeber ein Green-Card-Verfahren (Kapitel </w:t>
      </w:r>
      <w:hyperlink w:anchor="k6" w:history="1">
        <w:r>
          <w:t>6</w:t>
        </w:r>
      </w:hyperlink>
      <w:r>
        <w:t>), hängt die Wirkung eines Wechsels vom Stand des Verfahrens ab. Es hat drei Etappen: die Arbeitsmarktprüfung (</w:t>
      </w:r>
      <w:r>
        <w:rPr>
          <w:i/>
          <w:iCs/>
        </w:rPr>
        <w:t>PERM</w:t>
      </w:r>
      <w:r>
        <w:t xml:space="preserve">), die Einwanderungspetition des Arbeitgebers (I-140) und der Antrag auf Statusanpassung (I-485). Das </w:t>
      </w:r>
      <w:r>
        <w:rPr>
          <w:i/>
          <w:iCs/>
        </w:rPr>
        <w:t>Priority Date</w:t>
      </w:r>
      <w:r>
        <w:t xml:space="preserve"> ist dein Platz in der Warteschlange.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2"/>
        <w:gridCol w:w="2229"/>
        <w:gridCol w:w="2229"/>
      </w:tblGrid>
      <w:tr w:rsidR="00C1548D" w14:paraId="70A4E178" w14:textId="77777777">
        <w:tblPrEx>
          <w:tblCellMar>
            <w:top w:w="0" w:type="dxa"/>
            <w:bottom w:w="0" w:type="dxa"/>
          </w:tblCellMar>
        </w:tblPrEx>
        <w:trPr>
          <w:cantSplit/>
          <w:tblHeader/>
        </w:trPr>
        <w:tc>
          <w:tcPr>
            <w:tcW w:w="202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75" w14:textId="77777777" w:rsidR="00C1548D" w:rsidRDefault="009B1B4B">
            <w:pPr>
              <w:spacing w:line="250" w:lineRule="auto"/>
            </w:pPr>
            <w:r>
              <w:rPr>
                <w:b/>
                <w:bCs/>
                <w:sz w:val="18"/>
                <w:szCs w:val="18"/>
              </w:rPr>
              <w:t>Stand beim Wechsel</w:t>
            </w:r>
          </w:p>
        </w:tc>
        <w:tc>
          <w:tcPr>
            <w:tcW w:w="222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76" w14:textId="77777777" w:rsidR="00C1548D" w:rsidRDefault="009B1B4B">
            <w:pPr>
              <w:spacing w:line="250" w:lineRule="auto"/>
            </w:pPr>
            <w:r>
              <w:rPr>
                <w:b/>
                <w:bCs/>
                <w:sz w:val="18"/>
                <w:szCs w:val="18"/>
              </w:rPr>
              <w:t>Folge</w:t>
            </w:r>
          </w:p>
        </w:tc>
        <w:tc>
          <w:tcPr>
            <w:tcW w:w="222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77" w14:textId="77777777" w:rsidR="00C1548D" w:rsidRDefault="009B1B4B">
            <w:pPr>
              <w:spacing w:line="250" w:lineRule="auto"/>
            </w:pPr>
            <w:r>
              <w:rPr>
                <w:b/>
                <w:bCs/>
                <w:sz w:val="18"/>
                <w:szCs w:val="18"/>
              </w:rPr>
              <w:t>Was du mitnimmst</w:t>
            </w:r>
          </w:p>
        </w:tc>
      </w:tr>
      <w:tr w:rsidR="00C1548D" w14:paraId="70A4E17C" w14:textId="77777777">
        <w:tblPrEx>
          <w:tblCellMar>
            <w:top w:w="0" w:type="dxa"/>
            <w:bottom w:w="0" w:type="dxa"/>
          </w:tblCellMar>
        </w:tblPrEx>
        <w:trPr>
          <w:cantSplit/>
        </w:trPr>
        <w:tc>
          <w:tcPr>
            <w:tcW w:w="20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79" w14:textId="77777777" w:rsidR="00C1548D" w:rsidRDefault="009B1B4B">
            <w:pPr>
              <w:spacing w:line="250" w:lineRule="auto"/>
            </w:pPr>
            <w:r>
              <w:rPr>
                <w:sz w:val="18"/>
                <w:szCs w:val="18"/>
              </w:rPr>
              <w:t>PERM oder I-140 noch nicht genehmigt</w:t>
            </w:r>
          </w:p>
        </w:tc>
        <w:tc>
          <w:tcPr>
            <w:tcW w:w="22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7A" w14:textId="77777777" w:rsidR="00C1548D" w:rsidRDefault="009B1B4B">
            <w:pPr>
              <w:spacing w:line="250" w:lineRule="auto"/>
            </w:pPr>
            <w:r>
              <w:rPr>
                <w:sz w:val="18"/>
                <w:szCs w:val="18"/>
              </w:rPr>
              <w:t>Der neue Arbeitgeber beginnt von vorn</w:t>
            </w:r>
          </w:p>
        </w:tc>
        <w:tc>
          <w:tcPr>
            <w:tcW w:w="22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7B" w14:textId="77777777" w:rsidR="00C1548D" w:rsidRDefault="009B1B4B">
            <w:pPr>
              <w:spacing w:line="250" w:lineRule="auto"/>
            </w:pPr>
            <w:r>
              <w:rPr>
                <w:sz w:val="18"/>
                <w:szCs w:val="18"/>
              </w:rPr>
              <w:t>Nichts; das Priority Date ist meist verloren</w:t>
            </w:r>
          </w:p>
        </w:tc>
      </w:tr>
      <w:tr w:rsidR="00C1548D" w14:paraId="70A4E180" w14:textId="77777777">
        <w:tblPrEx>
          <w:tblCellMar>
            <w:top w:w="0" w:type="dxa"/>
            <w:bottom w:w="0" w:type="dxa"/>
          </w:tblCellMar>
        </w:tblPrEx>
        <w:trPr>
          <w:cantSplit/>
        </w:trPr>
        <w:tc>
          <w:tcPr>
            <w:tcW w:w="20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7D" w14:textId="77777777" w:rsidR="00C1548D" w:rsidRDefault="009B1B4B">
            <w:pPr>
              <w:spacing w:line="250" w:lineRule="auto"/>
            </w:pPr>
            <w:r>
              <w:rPr>
                <w:sz w:val="18"/>
                <w:szCs w:val="18"/>
              </w:rPr>
              <w:lastRenderedPageBreak/>
              <w:t>I-140 genehmigt, I-485 noch nicht 180 Tage anhängig</w:t>
            </w:r>
          </w:p>
        </w:tc>
        <w:tc>
          <w:tcPr>
            <w:tcW w:w="22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7E" w14:textId="77777777" w:rsidR="00C1548D" w:rsidRDefault="009B1B4B">
            <w:pPr>
              <w:spacing w:line="250" w:lineRule="auto"/>
            </w:pPr>
            <w:r>
              <w:rPr>
                <w:sz w:val="18"/>
                <w:szCs w:val="18"/>
              </w:rPr>
              <w:t>Neues PERM und neue I-140 beim neuen Arbeitgeber</w:t>
            </w:r>
          </w:p>
        </w:tc>
        <w:tc>
          <w:tcPr>
            <w:tcW w:w="22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7F" w14:textId="77777777" w:rsidR="00C1548D" w:rsidRDefault="009B1B4B">
            <w:pPr>
              <w:spacing w:line="250" w:lineRule="auto"/>
            </w:pPr>
            <w:r>
              <w:rPr>
                <w:sz w:val="18"/>
                <w:szCs w:val="18"/>
              </w:rPr>
              <w:t>Das alte Priority Date, wenn die Genehmigung mindestens 180 Tage alt ist</w:t>
            </w:r>
          </w:p>
        </w:tc>
      </w:tr>
      <w:tr w:rsidR="00C1548D" w14:paraId="70A4E184" w14:textId="77777777">
        <w:tblPrEx>
          <w:tblCellMar>
            <w:top w:w="0" w:type="dxa"/>
            <w:bottom w:w="0" w:type="dxa"/>
          </w:tblCellMar>
        </w:tblPrEx>
        <w:trPr>
          <w:cantSplit/>
        </w:trPr>
        <w:tc>
          <w:tcPr>
            <w:tcW w:w="20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81" w14:textId="77777777" w:rsidR="00C1548D" w:rsidRDefault="009B1B4B">
            <w:pPr>
              <w:spacing w:line="250" w:lineRule="auto"/>
            </w:pPr>
            <w:r>
              <w:rPr>
                <w:sz w:val="18"/>
                <w:szCs w:val="18"/>
              </w:rPr>
              <w:t>I-140 genehmigt, I-485 seit 180 Tagen anhängig</w:t>
            </w:r>
          </w:p>
        </w:tc>
        <w:tc>
          <w:tcPr>
            <w:tcW w:w="22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82" w14:textId="77777777" w:rsidR="00C1548D" w:rsidRDefault="009B1B4B">
            <w:pPr>
              <w:spacing w:line="250" w:lineRule="auto"/>
            </w:pPr>
            <w:r>
              <w:rPr>
                <w:sz w:val="18"/>
                <w:szCs w:val="18"/>
              </w:rPr>
              <w:t>AC21-Portabilität (INA 204(j)): neue Stelle in gleicher oder ähnlicher Berufsgruppe, Form I-485 Supplement J</w:t>
            </w:r>
          </w:p>
        </w:tc>
        <w:tc>
          <w:tcPr>
            <w:tcW w:w="22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83" w14:textId="77777777" w:rsidR="00C1548D" w:rsidRDefault="009B1B4B">
            <w:pPr>
              <w:spacing w:line="250" w:lineRule="auto"/>
            </w:pPr>
            <w:r>
              <w:rPr>
                <w:sz w:val="18"/>
                <w:szCs w:val="18"/>
              </w:rPr>
              <w:t>Das gesamte Verfahren, kein neues PERM</w:t>
            </w:r>
          </w:p>
        </w:tc>
      </w:tr>
    </w:tbl>
    <w:p w14:paraId="70A4E185" w14:textId="77777777" w:rsidR="00C1548D" w:rsidRDefault="00C1548D">
      <w:pPr>
        <w:spacing w:line="180" w:lineRule="exact"/>
      </w:pPr>
    </w:p>
    <w:p w14:paraId="70A4E186" w14:textId="64411C41" w:rsidR="00C1548D" w:rsidRDefault="009B1B4B">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history="1">
        <w:r>
          <w:t>6</w:t>
        </w:r>
      </w:hyperlink>
      <w:r>
        <w:t>).</w:t>
      </w:r>
    </w:p>
    <w:p w14:paraId="70A4E187" w14:textId="7E17164D" w:rsidR="00C1548D" w:rsidRDefault="009B1B4B">
      <w:pPr>
        <w:spacing w:after="140"/>
      </w:pPr>
      <w:r>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history="1">
        <w:r>
          <w:t>5</w:t>
        </w:r>
      </w:hyperlink>
      <w:r>
        <w:t>). Wechselst du in den letzten Jahren, kann ein frisch startendes Verfahren zu spät kommen.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8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188" w14:textId="77777777" w:rsidR="00C1548D" w:rsidRDefault="009B1B4B">
            <w:pPr>
              <w:keepNext/>
              <w:spacing w:after="70" w:line="240" w:lineRule="auto"/>
            </w:pPr>
            <w:r>
              <w:rPr>
                <w:b/>
                <w:bCs/>
                <w:color w:val="9B2C2C"/>
                <w:spacing w:val="24"/>
                <w:sz w:val="16"/>
                <w:szCs w:val="16"/>
              </w:rPr>
              <w:t>ACHTUNG</w:t>
            </w:r>
          </w:p>
          <w:p w14:paraId="70A4E189" w14:textId="77777777" w:rsidR="00C1548D" w:rsidRDefault="009B1B4B">
            <w:pPr>
              <w:spacing w:after="80" w:line="264" w:lineRule="auto"/>
            </w:pPr>
            <w:r>
              <w:rPr>
                <w:sz w:val="20"/>
                <w:szCs w:val="20"/>
              </w:rPr>
              <w:t>Kläre vor jedem Wechsel, wo dein Verfahren steht: Priority Date, Datum der I-140-Genehmigung, Datum der I-485-Einreichung. Wer einen Tag vor der 180-Tage-Marke kündigt, kann Jahre verlieren. Frage neue Arbeitgeber im Gespräch, wann sie ein Verfahren starten und wer zahlt.</w:t>
            </w:r>
          </w:p>
        </w:tc>
      </w:tr>
    </w:tbl>
    <w:p w14:paraId="70A4E18B" w14:textId="77777777" w:rsidR="00C1548D" w:rsidRDefault="00C1548D">
      <w:pPr>
        <w:spacing w:line="220" w:lineRule="exact"/>
      </w:pPr>
    </w:p>
    <w:p w14:paraId="70A4E18C" w14:textId="77777777" w:rsidR="00C1548D" w:rsidRDefault="009B1B4B">
      <w:pPr>
        <w:pStyle w:val="Heading3"/>
        <w:keepNext/>
        <w:jc w:val="center"/>
      </w:pPr>
      <w:r>
        <w:rPr>
          <w:rFonts w:ascii="Amazon Ember" w:eastAsia="Amazon Ember" w:hAnsi="Amazon Ember" w:cs="Amazon Ember"/>
          <w:color w:val="0000FF"/>
          <w:sz w:val="36"/>
          <w:szCs w:val="36"/>
        </w:rPr>
        <w:t>Layoff: Die 60-Tage-Frist</w:t>
      </w:r>
    </w:p>
    <w:p w14:paraId="70A4E18D" w14:textId="77777777" w:rsidR="00C1548D" w:rsidRDefault="009B1B4B">
      <w:pPr>
        <w:spacing w:after="140"/>
      </w:pPr>
      <w:r>
        <w:rPr>
          <w:i/>
          <w:iCs/>
        </w:rPr>
        <w:t>Layoff</w:t>
      </w:r>
      <w:r>
        <w:t xml:space="preserve"> heißt Stellenabbau: Die Firma streicht Stellen wegen Kosten oder Umbau, nicht wegen deiner Leistung. Manchmal erfährst du es </w:t>
      </w:r>
      <w:r>
        <w:lastRenderedPageBreak/>
        <w:t>am selben Tag, an dem dein Zugang gesperrt wird. Dein Status endet aber nicht sofort: Nach 8 CFR 214.1(l)(2) gilt eine Frist (</w:t>
      </w:r>
      <w:r>
        <w:rPr>
          <w:i/>
          <w:iCs/>
        </w:rPr>
        <w:t>Grace Period</w:t>
      </w:r>
      <w:r>
        <w:t>) von bis zu 60 aufeinanderfolgenden Tagen oder bis zum Ende des genehmigten Aufenthaltszeitraums, je nachdem, was kürzer ist. Im Einzelnen:</w:t>
      </w:r>
    </w:p>
    <w:p w14:paraId="70A4E18E" w14:textId="77777777" w:rsidR="00C1548D" w:rsidRDefault="009B1B4B" w:rsidP="009B1B4B">
      <w:pPr>
        <w:pStyle w:val="ListParagraph"/>
        <w:numPr>
          <w:ilvl w:val="0"/>
          <w:numId w:val="1"/>
        </w:numPr>
        <w:spacing w:after="60"/>
      </w:pPr>
      <w:r>
        <w:t>Die Frist gilt einmal je Gültigkeitszeitraum der Petition, auch bei eigener Kündigung; USCIS kann sie im Einzelfall verkürzen oder streichen.</w:t>
      </w:r>
    </w:p>
    <w:p w14:paraId="70A4E18F" w14:textId="77777777" w:rsidR="00C1548D" w:rsidRDefault="009B1B4B" w:rsidP="009B1B4B">
      <w:pPr>
        <w:pStyle w:val="ListParagraph"/>
        <w:numPr>
          <w:ilvl w:val="0"/>
          <w:numId w:val="1"/>
        </w:numPr>
        <w:spacing w:after="60"/>
      </w:pPr>
      <w:r>
        <w:t>Der Lauf beginnt am Tag nach Beschäftigungsende; USCIS nennt dafür typischerweise den letzten bezahlten Tag (Seite archiviert, Stand Januar 2025).</w:t>
      </w:r>
    </w:p>
    <w:p w14:paraId="70A4E190" w14:textId="77777777" w:rsidR="00C1548D" w:rsidRDefault="009B1B4B" w:rsidP="009B1B4B">
      <w:pPr>
        <w:pStyle w:val="ListParagraph"/>
        <w:numPr>
          <w:ilvl w:val="0"/>
          <w:numId w:val="1"/>
        </w:numPr>
        <w:spacing w:after="60"/>
      </w:pPr>
      <w:r>
        <w:t>Arbeiten darfst du in dieser Zeit nicht, bis ein neuer Arbeitgeber eine Petition eingereicht hat.</w:t>
      </w:r>
    </w:p>
    <w:p w14:paraId="70A4E191" w14:textId="0EFFDF44" w:rsidR="00C1548D" w:rsidRDefault="009B1B4B" w:rsidP="009B1B4B">
      <w:pPr>
        <w:pStyle w:val="ListParagraph"/>
        <w:numPr>
          <w:ilvl w:val="0"/>
          <w:numId w:val="1"/>
        </w:numPr>
        <w:spacing w:after="60"/>
      </w:pPr>
      <w:r>
        <w:t>Partner und Kinder (H-4) profitieren mit; eine H-4-Arbeitserlaubnis (</w:t>
      </w:r>
      <w:r>
        <w:rPr>
          <w:i/>
          <w:iCs/>
        </w:rPr>
        <w:t>Employment Authorization Document</w:t>
      </w:r>
      <w:r>
        <w:t>, EAD) bleibt nach früherer USCIS-Angabe gültig (Kapitel </w:t>
      </w:r>
      <w:hyperlink w:anchor="k10" w:history="1">
        <w:r>
          <w:t>10</w:t>
        </w:r>
      </w:hyperlink>
      <w:r>
        <w:t>).</w:t>
      </w:r>
    </w:p>
    <w:p w14:paraId="70A4E192"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95"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193" w14:textId="77777777" w:rsidR="00C1548D" w:rsidRDefault="009B1B4B">
            <w:pPr>
              <w:keepNext/>
              <w:spacing w:after="70" w:line="240" w:lineRule="auto"/>
            </w:pPr>
            <w:r>
              <w:rPr>
                <w:b/>
                <w:bCs/>
                <w:color w:val="8A6212"/>
                <w:spacing w:val="24"/>
                <w:sz w:val="16"/>
                <w:szCs w:val="16"/>
              </w:rPr>
              <w:t>MERKE</w:t>
            </w:r>
          </w:p>
          <w:p w14:paraId="70A4E194" w14:textId="77777777" w:rsidR="00C1548D" w:rsidRDefault="009B1B4B">
            <w:pPr>
              <w:spacing w:after="80" w:line="264" w:lineRule="auto"/>
            </w:pPr>
            <w:r>
              <w:rPr>
                <w:sz w:val="20"/>
                <w:szCs w:val="20"/>
              </w:rPr>
              <w:t>Zähle die 60 Tage ab deinem letzten Arbeitstag, trage das Ende mit einer Woche Puffer in den Kalender ein und handle in der ersten Woche, nicht im zweiten Monat. Maßgeblich ist, wann ein Antrag bei USCIS eingeht, nicht wann du ihn abschickst.</w:t>
            </w:r>
          </w:p>
        </w:tc>
      </w:tr>
    </w:tbl>
    <w:p w14:paraId="70A4E196" w14:textId="77777777" w:rsidR="00C1548D" w:rsidRDefault="00C1548D">
      <w:pPr>
        <w:spacing w:line="220" w:lineRule="exact"/>
      </w:pPr>
    </w:p>
    <w:p w14:paraId="70A4E197" w14:textId="77777777" w:rsidR="00C1548D" w:rsidRDefault="009B1B4B">
      <w:pPr>
        <w:pStyle w:val="Heading4"/>
        <w:keepNext/>
        <w:jc w:val="center"/>
      </w:pPr>
      <w:r>
        <w:rPr>
          <w:rFonts w:ascii="Amazon Ember" w:eastAsia="Amazon Ember" w:hAnsi="Amazon Ember" w:cs="Amazon Ember"/>
          <w:color w:val="0000FF"/>
          <w:sz w:val="36"/>
          <w:szCs w:val="36"/>
        </w:rPr>
        <w:t>Was sich ändern könnte (Stand 20. September 2026)</w:t>
      </w:r>
    </w:p>
    <w:p w14:paraId="70A4E198" w14:textId="77777777" w:rsidR="00C1548D" w:rsidRDefault="009B1B4B">
      <w:pPr>
        <w:spacing w:after="140"/>
      </w:pPr>
      <w:r>
        <w:t xml:space="preserve">Das Heimatschutzministerium (DHS) hat am 11. September 2026 den Vorschlag „Eliminating the Discretionary 60-Day Grace Period” 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w:t>
      </w:r>
      <w:r>
        <w:lastRenderedPageBreak/>
        <w:t xml:space="preserve">Kommentare sind bis 10. November 2026 möglich. </w:t>
      </w:r>
      <w:r>
        <w:rPr>
          <w:b/>
          <w:bCs/>
        </w:rPr>
        <w:t>Das ist ein Vorschlag, keine geltende Regel.</w:t>
      </w:r>
      <w:r>
        <w:t xml:space="preserve"> Bis zu einer endgültigen Fassung gilt die 60-Tage-Frist.</w:t>
      </w:r>
    </w:p>
    <w:p w14:paraId="70A4E199" w14:textId="77777777" w:rsidR="00C1548D" w:rsidRDefault="009B1B4B">
      <w:pPr>
        <w:spacing w:after="140"/>
      </w:pPr>
      <w:r>
        <w:t xml:space="preserve">Am 18. September 2026 hat der Präsident zudem eine </w:t>
      </w:r>
      <w:r>
        <w:rPr>
          <w:i/>
          <w:iCs/>
        </w:rPr>
        <w:t>Executive Order</w:t>
      </w:r>
      <w:r>
        <w:t xml:space="preserve">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federalregister.gov und whitehouse.gov/presidential-actions.</w:t>
      </w:r>
    </w:p>
    <w:p w14:paraId="70A4E19A" w14:textId="77777777" w:rsidR="00C1548D" w:rsidRDefault="009B1B4B">
      <w:pPr>
        <w:spacing w:after="140"/>
      </w:pPr>
      <w:r>
        <w:t>Innerhalb der Frist hast du vier Optionen:</w:t>
      </w:r>
    </w:p>
    <w:p w14:paraId="70A4E19B" w14:textId="77777777" w:rsidR="00C1548D" w:rsidRDefault="009B1B4B" w:rsidP="009B1B4B">
      <w:pPr>
        <w:pStyle w:val="ListParagraph"/>
        <w:numPr>
          <w:ilvl w:val="0"/>
          <w:numId w:val="35"/>
        </w:numPr>
        <w:spacing w:after="60"/>
      </w:pPr>
      <w:r>
        <w:rPr>
          <w:b/>
          <w:bCs/>
        </w:rPr>
        <w:t>Neuer Arbeitgeber:</w:t>
      </w:r>
      <w:r>
        <w:t xml:space="preserve"> Er reicht einen Transfer ein, du arbeitest ab Eingang – der übliche Weg; Premium Processing ist bei knapper Zeit sinnvoll.</w:t>
      </w:r>
    </w:p>
    <w:p w14:paraId="70A4E19C" w14:textId="77777777" w:rsidR="00C1548D" w:rsidRDefault="009B1B4B" w:rsidP="009B1B4B">
      <w:pPr>
        <w:pStyle w:val="ListParagraph"/>
        <w:numPr>
          <w:ilvl w:val="0"/>
          <w:numId w:val="35"/>
        </w:numPr>
        <w:spacing w:after="60"/>
      </w:pPr>
      <w:r>
        <w:rPr>
          <w:b/>
          <w:bCs/>
        </w:rPr>
        <w:t>Statuswechsel:</w:t>
      </w:r>
      <w:r>
        <w:t xml:space="preserve"> Antrag auf eine andere Kategorie, etwa F-1 (Studium); muss vor Ablauf eingehen, kostet Gebühren und gehört in die Hände einer Anwältin.</w:t>
      </w:r>
    </w:p>
    <w:p w14:paraId="70A4E19D" w14:textId="77777777" w:rsidR="00C1548D" w:rsidRDefault="009B1B4B" w:rsidP="009B1B4B">
      <w:pPr>
        <w:pStyle w:val="ListParagraph"/>
        <w:numPr>
          <w:ilvl w:val="0"/>
          <w:numId w:val="35"/>
        </w:numPr>
        <w:spacing w:after="60"/>
      </w:pPr>
      <w:r>
        <w:rPr>
          <w:b/>
          <w:bCs/>
        </w:rPr>
        <w:t>Green-Card-Weg:</w:t>
      </w:r>
      <w:r>
        <w:t xml:space="preserve"> Ist die I-485 schon eingereicht, prüft die Anwältin, ob Arbeitserlaubnis (EAD) oder AC21 dich weiterträgt.</w:t>
      </w:r>
    </w:p>
    <w:p w14:paraId="70A4E19E" w14:textId="6AE79D4C" w:rsidR="00C1548D" w:rsidRDefault="009B1B4B" w:rsidP="009B1B4B">
      <w:pPr>
        <w:pStyle w:val="ListParagraph"/>
        <w:numPr>
          <w:ilvl w:val="0"/>
          <w:numId w:val="35"/>
        </w:numPr>
        <w:spacing w:after="60"/>
      </w:pPr>
      <w:r>
        <w:rPr>
          <w:b/>
          <w:bCs/>
        </w:rPr>
        <w:t>Ausreise:</w:t>
      </w:r>
      <w:r>
        <w:t xml:space="preserve"> Der sauberste Weg ohne Statusproblem; ein späterer Neuanlauf mit neuer Petition bleibt möglich (Kapitel </w:t>
      </w:r>
      <w:hyperlink w:anchor="k42" w:history="1">
        <w:r>
          <w:t>42</w:t>
        </w:r>
      </w:hyperlink>
      <w:r>
        <w:t>).</w:t>
      </w:r>
    </w:p>
    <w:p w14:paraId="70A4E19F" w14:textId="77777777" w:rsidR="00C1548D" w:rsidRDefault="00C1548D">
      <w:pPr>
        <w:spacing w:line="120" w:lineRule="exact"/>
      </w:pPr>
    </w:p>
    <w:p w14:paraId="70A4E1A0" w14:textId="77777777" w:rsidR="00C1548D" w:rsidRDefault="009B1B4B">
      <w:pPr>
        <w:pStyle w:val="Heading3"/>
        <w:keepNext/>
        <w:jc w:val="center"/>
      </w:pPr>
      <w:r>
        <w:rPr>
          <w:rFonts w:ascii="Amazon Ember" w:eastAsia="Amazon Ember" w:hAnsi="Amazon Ember" w:cs="Amazon Ember"/>
          <w:color w:val="0000FF"/>
          <w:sz w:val="36"/>
          <w:szCs w:val="36"/>
        </w:rPr>
        <w:t>Notfallplan: Tag 1 bis 60</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234"/>
        <w:gridCol w:w="2296"/>
      </w:tblGrid>
      <w:tr w:rsidR="00C1548D" w14:paraId="70A4E1A4"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A1" w14:textId="77777777" w:rsidR="00C1548D" w:rsidRDefault="009B1B4B">
            <w:pPr>
              <w:spacing w:line="250" w:lineRule="auto"/>
            </w:pPr>
            <w:r>
              <w:rPr>
                <w:b/>
                <w:bCs/>
                <w:sz w:val="18"/>
                <w:szCs w:val="18"/>
              </w:rPr>
              <w:t>Wann</w:t>
            </w:r>
          </w:p>
        </w:tc>
        <w:tc>
          <w:tcPr>
            <w:tcW w:w="323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A2" w14:textId="77777777" w:rsidR="00C1548D" w:rsidRDefault="009B1B4B">
            <w:pPr>
              <w:spacing w:line="250" w:lineRule="auto"/>
            </w:pPr>
            <w:r>
              <w:rPr>
                <w:b/>
                <w:bCs/>
                <w:sz w:val="18"/>
                <w:szCs w:val="18"/>
              </w:rPr>
              <w:t>Was du tust</w:t>
            </w:r>
          </w:p>
        </w:tc>
        <w:tc>
          <w:tcPr>
            <w:tcW w:w="229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A3" w14:textId="77777777" w:rsidR="00C1548D" w:rsidRDefault="009B1B4B">
            <w:pPr>
              <w:spacing w:line="250" w:lineRule="auto"/>
            </w:pPr>
            <w:r>
              <w:rPr>
                <w:b/>
                <w:bCs/>
                <w:sz w:val="18"/>
                <w:szCs w:val="18"/>
              </w:rPr>
              <w:t>Warum</w:t>
            </w:r>
          </w:p>
        </w:tc>
      </w:tr>
      <w:tr w:rsidR="00C1548D" w14:paraId="70A4E1A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A5" w14:textId="77777777" w:rsidR="00C1548D" w:rsidRDefault="009B1B4B">
            <w:pPr>
              <w:spacing w:line="250" w:lineRule="auto"/>
            </w:pPr>
            <w:r>
              <w:rPr>
                <w:sz w:val="18"/>
                <w:szCs w:val="18"/>
              </w:rPr>
              <w:t>Tag 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A6" w14:textId="77777777" w:rsidR="00C1548D" w:rsidRDefault="009B1B4B">
            <w:pPr>
              <w:spacing w:line="250" w:lineRule="auto"/>
            </w:pPr>
            <w:r>
              <w:rPr>
                <w:sz w:val="18"/>
                <w:szCs w:val="18"/>
              </w:rPr>
              <w:t>Nichts sofort unterschreiben. Letzten Arbeitstag, Freistellung, Abfindung und Ende der Krankenversicherung schriftlich erfragen.</w:t>
            </w:r>
          </w:p>
        </w:tc>
        <w:tc>
          <w:tcPr>
            <w:tcW w:w="22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A7" w14:textId="77777777" w:rsidR="00C1548D" w:rsidRDefault="009B1B4B">
            <w:pPr>
              <w:spacing w:line="250" w:lineRule="auto"/>
            </w:pPr>
            <w:r>
              <w:rPr>
                <w:sz w:val="18"/>
                <w:szCs w:val="18"/>
              </w:rPr>
              <w:t>Das Beschäftigungsende bestimmt deine Frist</w:t>
            </w:r>
          </w:p>
        </w:tc>
      </w:tr>
      <w:tr w:rsidR="00C1548D" w14:paraId="70A4E1A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A9" w14:textId="77777777" w:rsidR="00C1548D" w:rsidRDefault="009B1B4B">
            <w:pPr>
              <w:spacing w:line="250" w:lineRule="auto"/>
            </w:pPr>
            <w:r>
              <w:rPr>
                <w:sz w:val="18"/>
                <w:szCs w:val="18"/>
              </w:rPr>
              <w:lastRenderedPageBreak/>
              <w:t>Tag 0–2</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AA" w14:textId="77777777" w:rsidR="00C1548D" w:rsidRDefault="009B1B4B">
            <w:pPr>
              <w:spacing w:line="250" w:lineRule="auto"/>
            </w:pPr>
            <w:r>
              <w:rPr>
                <w:sz w:val="18"/>
                <w:szCs w:val="18"/>
              </w:rPr>
              <w:t>Unterlagen sichern: Pass, I-94, alle I-797, Gehaltsabrechnungen, W-2, Arbeitsvertrag. Einwanderungsanwalt anrufen.</w:t>
            </w:r>
          </w:p>
        </w:tc>
        <w:tc>
          <w:tcPr>
            <w:tcW w:w="22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AB" w14:textId="77777777" w:rsidR="00C1548D" w:rsidRDefault="009B1B4B">
            <w:pPr>
              <w:spacing w:line="250" w:lineRule="auto"/>
            </w:pPr>
            <w:r>
              <w:rPr>
                <w:sz w:val="18"/>
                <w:szCs w:val="18"/>
              </w:rPr>
              <w:t>Ohne Nachweise kein Antrag</w:t>
            </w:r>
          </w:p>
        </w:tc>
      </w:tr>
      <w:tr w:rsidR="00C1548D" w14:paraId="70A4E1B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AD" w14:textId="77777777" w:rsidR="00C1548D" w:rsidRDefault="009B1B4B">
            <w:pPr>
              <w:spacing w:line="250" w:lineRule="auto"/>
            </w:pPr>
            <w:r>
              <w:rPr>
                <w:sz w:val="18"/>
                <w:szCs w:val="18"/>
              </w:rPr>
              <w:t>Tag 1</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AE" w14:textId="77777777" w:rsidR="00C1548D" w:rsidRDefault="009B1B4B">
            <w:pPr>
              <w:spacing w:line="250" w:lineRule="auto"/>
            </w:pPr>
            <w:r>
              <w:rPr>
                <w:sz w:val="18"/>
                <w:szCs w:val="18"/>
              </w:rPr>
              <w:t>Fristende ausrechnen: letzter Arbeitstag plus 60 Tage, oder Ablauf des I-94, wenn früher.</w:t>
            </w:r>
          </w:p>
        </w:tc>
        <w:tc>
          <w:tcPr>
            <w:tcW w:w="22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AF" w14:textId="77777777" w:rsidR="00C1548D" w:rsidRDefault="009B1B4B">
            <w:pPr>
              <w:spacing w:line="250" w:lineRule="auto"/>
            </w:pPr>
            <w:r>
              <w:rPr>
                <w:sz w:val="18"/>
                <w:szCs w:val="18"/>
              </w:rPr>
              <w:t>Das Kürzere gilt</w:t>
            </w:r>
          </w:p>
        </w:tc>
      </w:tr>
      <w:tr w:rsidR="00C1548D" w14:paraId="70A4E1B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1" w14:textId="77777777" w:rsidR="00C1548D" w:rsidRDefault="009B1B4B">
            <w:pPr>
              <w:spacing w:line="250" w:lineRule="auto"/>
            </w:pPr>
            <w:r>
              <w:rPr>
                <w:sz w:val="18"/>
                <w:szCs w:val="18"/>
              </w:rPr>
              <w:t>Tag 1–7</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2" w14:textId="77777777" w:rsidR="00C1548D" w:rsidRDefault="009B1B4B">
            <w:pPr>
              <w:spacing w:line="250" w:lineRule="auto"/>
            </w:pPr>
            <w:r>
              <w:rPr>
                <w:sz w:val="18"/>
                <w:szCs w:val="18"/>
              </w:rPr>
              <w:t>Netzwerk, Recruiter, LinkedIn: „H-1B-Transfer nötig“ gleich nennen.</w:t>
            </w:r>
          </w:p>
        </w:tc>
        <w:tc>
          <w:tcPr>
            <w:tcW w:w="22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3" w14:textId="77777777" w:rsidR="00C1548D" w:rsidRDefault="009B1B4B">
            <w:pPr>
              <w:spacing w:line="250" w:lineRule="auto"/>
            </w:pPr>
            <w:r>
              <w:rPr>
                <w:sz w:val="18"/>
                <w:szCs w:val="18"/>
              </w:rPr>
              <w:t>Nicht jeder Arbeitgeber sponsert</w:t>
            </w:r>
          </w:p>
        </w:tc>
      </w:tr>
      <w:tr w:rsidR="00C1548D" w14:paraId="70A4E1B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5" w14:textId="77777777" w:rsidR="00C1548D" w:rsidRDefault="009B1B4B">
            <w:pPr>
              <w:spacing w:line="250" w:lineRule="auto"/>
            </w:pPr>
            <w:r>
              <w:rPr>
                <w:sz w:val="18"/>
                <w:szCs w:val="18"/>
              </w:rPr>
              <w:t>Tag 1–14</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6" w14:textId="77777777" w:rsidR="00C1548D" w:rsidRDefault="009B1B4B">
            <w:pPr>
              <w:spacing w:line="250" w:lineRule="auto"/>
            </w:pPr>
            <w:r>
              <w:rPr>
                <w:sz w:val="18"/>
                <w:szCs w:val="18"/>
              </w:rPr>
              <w:t>Krankenversicherung klären: COBRA, Marktplatz, Plan des Partners.</w:t>
            </w:r>
          </w:p>
        </w:tc>
        <w:tc>
          <w:tcPr>
            <w:tcW w:w="22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7" w14:textId="77777777" w:rsidR="00C1548D" w:rsidRDefault="009B1B4B">
            <w:pPr>
              <w:spacing w:line="250" w:lineRule="auto"/>
            </w:pPr>
            <w:r>
              <w:rPr>
                <w:sz w:val="18"/>
                <w:szCs w:val="18"/>
              </w:rPr>
              <w:t>Wahlfristen laufen mit</w:t>
            </w:r>
          </w:p>
        </w:tc>
      </w:tr>
      <w:tr w:rsidR="00C1548D" w14:paraId="70A4E1B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9" w14:textId="77777777" w:rsidR="00C1548D" w:rsidRDefault="009B1B4B">
            <w:pPr>
              <w:spacing w:line="250" w:lineRule="auto"/>
            </w:pPr>
            <w:r>
              <w:rPr>
                <w:sz w:val="18"/>
                <w:szCs w:val="18"/>
              </w:rPr>
              <w:t>Tag 14–40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A" w14:textId="77777777" w:rsidR="00C1548D" w:rsidRDefault="009B1B4B">
            <w:pPr>
              <w:spacing w:line="250" w:lineRule="auto"/>
            </w:pPr>
            <w:r>
              <w:rPr>
                <w:sz w:val="18"/>
                <w:szCs w:val="18"/>
              </w:rPr>
              <w:t>Angebot annehmen, Transfer sofort einreichen lassen; an Premium Processing darfst du dich beteiligen.</w:t>
            </w:r>
          </w:p>
        </w:tc>
        <w:tc>
          <w:tcPr>
            <w:tcW w:w="22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B" w14:textId="77777777" w:rsidR="00C1548D" w:rsidRDefault="009B1B4B">
            <w:pPr>
              <w:spacing w:line="250" w:lineRule="auto"/>
            </w:pPr>
            <w:r>
              <w:rPr>
                <w:sz w:val="18"/>
                <w:szCs w:val="18"/>
              </w:rPr>
              <w:t>Arbeit ab Einreichung</w:t>
            </w:r>
          </w:p>
        </w:tc>
      </w:tr>
      <w:tr w:rsidR="00C1548D" w14:paraId="70A4E1C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D" w14:textId="77777777" w:rsidR="00C1548D" w:rsidRDefault="009B1B4B">
            <w:pPr>
              <w:spacing w:line="250" w:lineRule="auto"/>
            </w:pPr>
            <w:r>
              <w:rPr>
                <w:sz w:val="18"/>
                <w:szCs w:val="18"/>
              </w:rPr>
              <w:t>Tag 30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E" w14:textId="77777777" w:rsidR="00C1548D" w:rsidRDefault="009B1B4B">
            <w:pPr>
              <w:spacing w:line="250" w:lineRule="auto"/>
            </w:pPr>
            <w:r>
              <w:rPr>
                <w:sz w:val="18"/>
                <w:szCs w:val="18"/>
              </w:rPr>
              <w:t>Ohne Angebot Plan B festlegen: Statuswechsel oder Ausreise vorbereiten.</w:t>
            </w:r>
          </w:p>
        </w:tc>
        <w:tc>
          <w:tcPr>
            <w:tcW w:w="22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BF" w14:textId="77777777" w:rsidR="00C1548D" w:rsidRDefault="009B1B4B">
            <w:pPr>
              <w:spacing w:line="250" w:lineRule="auto"/>
            </w:pPr>
            <w:r>
              <w:rPr>
                <w:sz w:val="18"/>
                <w:szCs w:val="18"/>
              </w:rPr>
              <w:t>Ausreise braucht Vorlauf</w:t>
            </w:r>
          </w:p>
        </w:tc>
      </w:tr>
      <w:tr w:rsidR="00C1548D" w14:paraId="70A4E1C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C1" w14:textId="77777777" w:rsidR="00C1548D" w:rsidRDefault="009B1B4B">
            <w:pPr>
              <w:spacing w:line="250" w:lineRule="auto"/>
            </w:pPr>
            <w:r>
              <w:rPr>
                <w:sz w:val="18"/>
                <w:szCs w:val="18"/>
              </w:rPr>
              <w:t>Tag 45–55</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C2" w14:textId="77777777" w:rsidR="00C1548D" w:rsidRDefault="009B1B4B">
            <w:pPr>
              <w:spacing w:line="250" w:lineRule="auto"/>
            </w:pPr>
            <w:r>
              <w:rPr>
                <w:sz w:val="18"/>
                <w:szCs w:val="18"/>
              </w:rPr>
              <w:t>Letzte Einreichung von Petition oder Statuswechsel-Antrag, mit Puffer.</w:t>
            </w:r>
          </w:p>
        </w:tc>
        <w:tc>
          <w:tcPr>
            <w:tcW w:w="22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C3" w14:textId="77777777" w:rsidR="00C1548D" w:rsidRDefault="009B1B4B">
            <w:pPr>
              <w:spacing w:line="250" w:lineRule="auto"/>
            </w:pPr>
            <w:r>
              <w:rPr>
                <w:sz w:val="18"/>
                <w:szCs w:val="18"/>
              </w:rPr>
              <w:t>Post und Fehler brauchen Reserve</w:t>
            </w:r>
          </w:p>
        </w:tc>
      </w:tr>
      <w:tr w:rsidR="00C1548D" w14:paraId="70A4E1C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C5" w14:textId="77777777" w:rsidR="00C1548D" w:rsidRDefault="009B1B4B">
            <w:pPr>
              <w:spacing w:line="250" w:lineRule="auto"/>
            </w:pPr>
            <w:r>
              <w:rPr>
                <w:sz w:val="18"/>
                <w:szCs w:val="18"/>
              </w:rPr>
              <w:t>Vor Tag 60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C6" w14:textId="77777777" w:rsidR="00C1548D" w:rsidRDefault="009B1B4B">
            <w:pPr>
              <w:spacing w:line="250" w:lineRule="auto"/>
            </w:pPr>
            <w:r>
              <w:rPr>
                <w:sz w:val="18"/>
                <w:szCs w:val="18"/>
              </w:rPr>
              <w:t>Ohne laufenden Antrag ausreisen.</w:t>
            </w:r>
          </w:p>
        </w:tc>
        <w:tc>
          <w:tcPr>
            <w:tcW w:w="22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C7" w14:textId="77777777" w:rsidR="00C1548D" w:rsidRDefault="009B1B4B">
            <w:pPr>
              <w:spacing w:line="250" w:lineRule="auto"/>
            </w:pPr>
            <w:r>
              <w:rPr>
                <w:sz w:val="18"/>
                <w:szCs w:val="18"/>
              </w:rPr>
              <w:t>Danach bist du ohne Status</w:t>
            </w:r>
          </w:p>
        </w:tc>
      </w:tr>
    </w:tbl>
    <w:p w14:paraId="70A4E1C9"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C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1CA" w14:textId="77777777" w:rsidR="00C1548D" w:rsidRDefault="009B1B4B">
            <w:pPr>
              <w:keepNext/>
              <w:spacing w:after="70" w:line="240" w:lineRule="auto"/>
            </w:pPr>
            <w:r>
              <w:rPr>
                <w:b/>
                <w:bCs/>
                <w:color w:val="6B7280"/>
                <w:spacing w:val="24"/>
                <w:sz w:val="16"/>
                <w:szCs w:val="16"/>
              </w:rPr>
              <w:t>KEIN RECHTSRAT</w:t>
            </w:r>
          </w:p>
          <w:p w14:paraId="70A4E1CB" w14:textId="77777777" w:rsidR="00C1548D" w:rsidRDefault="009B1B4B">
            <w:pPr>
              <w:spacing w:after="80" w:line="264" w:lineRule="auto"/>
            </w:pPr>
            <w:r>
              <w:rPr>
                <w:sz w:val="20"/>
                <w:szCs w:val="20"/>
              </w:rPr>
              <w:t>Das ist keine Rechtsberatung. Fristen und Optionen bewertet im Einzelfall eine Einwanderungsanwältin, am besten noch am Tag der Kündigung.</w:t>
            </w:r>
          </w:p>
        </w:tc>
      </w:tr>
    </w:tbl>
    <w:p w14:paraId="70A4E1CD"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D0"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1CE" w14:textId="77777777" w:rsidR="00C1548D" w:rsidRDefault="009B1B4B">
            <w:pPr>
              <w:keepNext/>
              <w:spacing w:after="70" w:line="240" w:lineRule="auto"/>
            </w:pPr>
            <w:r>
              <w:rPr>
                <w:b/>
                <w:bCs/>
                <w:color w:val="4A5568"/>
                <w:spacing w:val="24"/>
                <w:sz w:val="16"/>
                <w:szCs w:val="16"/>
              </w:rPr>
              <w:lastRenderedPageBreak/>
              <w:t>PRAXISBEISPIEL · FIKTIV</w:t>
            </w:r>
          </w:p>
          <w:p w14:paraId="70A4E1CF" w14:textId="77777777" w:rsidR="00C1548D" w:rsidRDefault="009B1B4B">
            <w:pPr>
              <w:spacing w:after="80" w:line="264" w:lineRule="auto"/>
            </w:pPr>
            <w:r>
              <w:rPr>
                <w:sz w:val="20"/>
                <w:szCs w:val="20"/>
              </w:rPr>
              <w:t>Sabine Keller (fiktives Beispiel), 33, Softwareentwicklerin in Seattle, hat noch mehr als ein Jahr H-1B-Laufzeit. Anfang Juni sitzt sie in einem hastig einberufenen Video-Call, in dem ihr Manager in neunzig Sekunden verkündet, dass ihr Team aufgelöst wird. Letzter Arbeitstag ist der 30. Juni, die Krankenversicherung endet am 31. Juli. Sie lässt sich beides schriftlich bestätigen, ruft noch am selben Tag ihre Anwältin an und rechnet: Die 60 Tage enden am 29. August. Die angebotene Abfindung von acht Wochen G</w:t>
            </w:r>
            <w:r>
              <w:rPr>
                <w:sz w:val="20"/>
                <w:szCs w:val="20"/>
              </w:rPr>
              <w:t>ehalt unterschreibt sie erst nach Prüfung. Am 19. Juli liegt ein Angebot aus Bellevue vor; der neue Arbeitgeber reicht am 27. Juli den Transfer mit Premium Processing (2.965 $) ein, am 1. August fängt sie an. Von den 60 Tagen waren 27 verbraucht. Den August überbrückt sie per COBRA für rund 790 $, weil der neue Plan erst am 1. September beginnt.</w:t>
            </w:r>
          </w:p>
        </w:tc>
      </w:tr>
    </w:tbl>
    <w:p w14:paraId="70A4E1D1" w14:textId="77777777" w:rsidR="00C1548D" w:rsidRDefault="00C1548D">
      <w:pPr>
        <w:spacing w:line="220" w:lineRule="exact"/>
      </w:pPr>
    </w:p>
    <w:p w14:paraId="70A4E1D2" w14:textId="77777777" w:rsidR="00C1548D" w:rsidRDefault="009B1B4B">
      <w:pPr>
        <w:pStyle w:val="Heading3"/>
        <w:keepNext/>
        <w:jc w:val="center"/>
      </w:pPr>
      <w:r>
        <w:rPr>
          <w:rFonts w:ascii="Amazon Ember" w:eastAsia="Amazon Ember" w:hAnsi="Amazon Ember" w:cs="Amazon Ember"/>
          <w:color w:val="0000FF"/>
          <w:sz w:val="36"/>
          <w:szCs w:val="36"/>
        </w:rPr>
        <w:t>Abfindung, WARN Act, Krankenversicherung und Arbeitslosengeld</w:t>
      </w:r>
    </w:p>
    <w:p w14:paraId="70A4E1D3" w14:textId="77777777" w:rsidR="00C1548D" w:rsidRDefault="009B1B4B">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Separation Agreement</w:t>
      </w:r>
      <w:r>
        <w:t xml:space="preserve"> mit </w:t>
      </w:r>
      <w:r>
        <w:rPr>
          <w:i/>
          <w:iCs/>
        </w:rPr>
        <w:t>Release</w:t>
      </w:r>
      <w:r>
        <w:t>). Höhe und Form sind Verhandlungssache; lass den Vertrag vor der Unterschrift prüfen.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D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1D4" w14:textId="77777777" w:rsidR="00C1548D" w:rsidRDefault="009B1B4B">
            <w:pPr>
              <w:keepNext/>
              <w:spacing w:after="70" w:line="240" w:lineRule="auto"/>
            </w:pPr>
            <w:r>
              <w:rPr>
                <w:b/>
                <w:bCs/>
                <w:color w:val="9B2C2C"/>
                <w:spacing w:val="24"/>
                <w:sz w:val="16"/>
                <w:szCs w:val="16"/>
              </w:rPr>
              <w:t>ACHTUNG</w:t>
            </w:r>
          </w:p>
          <w:p w14:paraId="70A4E1D5" w14:textId="77777777" w:rsidR="00C1548D" w:rsidRDefault="009B1B4B">
            <w:pPr>
              <w:spacing w:after="80" w:line="264" w:lineRule="auto"/>
            </w:pPr>
            <w:r>
              <w:rPr>
                <w:sz w:val="20"/>
                <w:szCs w:val="20"/>
              </w:rPr>
              <w:t>Eine Abfindung verlängert die 60 Tage nicht gesichert. USCIS nennt als Beginn typischerweise den letzten Gehaltstag; Kanzleien raten, ab dem letzten Arbeitstag zu zählen, weil eine Abfindung kein Arbeitsverhältnis ist. Bei bezahlter Freistellung (</w:t>
            </w:r>
            <w:r>
              <w:rPr>
                <w:i/>
                <w:iCs/>
                <w:sz w:val="20"/>
                <w:szCs w:val="20"/>
              </w:rPr>
              <w:t>Garden Leave</w:t>
            </w:r>
            <w:r>
              <w:rPr>
                <w:sz w:val="20"/>
                <w:szCs w:val="20"/>
              </w:rPr>
              <w:t>), in der du formal angestellt bleibst, kann die Bewertung anders ausfallen; das klärt der Anwalt. Lass dir das Beschäftigungsende schriftlich nennen.</w:t>
            </w:r>
          </w:p>
        </w:tc>
      </w:tr>
    </w:tbl>
    <w:p w14:paraId="70A4E1D7" w14:textId="77777777" w:rsidR="00C1548D" w:rsidRDefault="00C1548D">
      <w:pPr>
        <w:spacing w:line="220" w:lineRule="exact"/>
      </w:pPr>
    </w:p>
    <w:p w14:paraId="70A4E1D8" w14:textId="77777777" w:rsidR="00C1548D" w:rsidRDefault="009B1B4B">
      <w:pPr>
        <w:spacing w:after="140"/>
      </w:pPr>
      <w:r>
        <w:rPr>
          <w:b/>
          <w:bCs/>
        </w:rPr>
        <w:lastRenderedPageBreak/>
        <w:t>WARN Act.</w:t>
      </w:r>
      <w:r>
        <w:t xml:space="preserve"> Der </w:t>
      </w:r>
      <w:r>
        <w:rPr>
          <w:i/>
          <w:iCs/>
        </w:rPr>
        <w:t>WARN Act</w:t>
      </w:r>
      <w:r>
        <w:t xml:space="preserve"> (Gesetz zur Vorankündigung von Massenentlassungen) verpflichtet Arbeitgeber ab 100 Beschäftigten (ohne Teilzeit), 60 Tage vorher schriftlich anzukündigen: bei Schließung eines Standorts mit mindestens 50 Betroffenen und bei Massenentlassungen (mindestens ein Drittel der Belegschaft und mindestens 50 Personen, oder mindestens 500). Bei Verstößen drohen üblicherweise bis zu 60 Tage Lohnnachzahlung. Mehrere Bundesstaaten haben eigene Gesetze; Washington, wo Sabine Keller arbeitet, seit 27. Juli 2025 eines für</w:t>
      </w:r>
      <w:r>
        <w:t xml:space="preserve"> Arbeitgeber ab 50 Beschäftigten, ebenfalls mit 60 Tagen Vorankündigung.</w:t>
      </w:r>
    </w:p>
    <w:p w14:paraId="70A4E1D9" w14:textId="23971813" w:rsidR="00C1548D" w:rsidRDefault="009B1B4B">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als Rechenwert aus dem Durchschnitt 2025 rund 790 $ im Monat für eine Person und rund 2.290 $ für eine Familie. Die Deckung läuft üblicherweise 18 Monate. Du hast 60 Tage zur Wahl und danach 45 Tage bis zur ersten Zahlung; die Deckung gilt dann rückwirkend ab dem Verlust – verschleppen solltest du die Wahl trotzdem n</w:t>
      </w:r>
      <w:r>
        <w:t>icht. Alternativen sind das Sonderfenster im Marktplatz (60 Tage nach Verlust der Arbeitgeberdeckung) oder der Plan des Partners. Ab 2027 erhalten H-1B-Inhaber am Marktplatz keine Zuschüsse mehr, dürfen aber zum Vollpreis kaufen (</w:t>
      </w:r>
      <w:r>
        <w:t>Kapitel </w:t>
      </w:r>
      <w:hyperlink w:anchor="k26" w:history="1">
        <w:r>
          <w:t>26</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1DC"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1DA" w14:textId="77777777" w:rsidR="00C1548D" w:rsidRDefault="009B1B4B">
            <w:pPr>
              <w:keepNext/>
              <w:spacing w:after="70" w:line="240" w:lineRule="auto"/>
            </w:pPr>
            <w:r>
              <w:rPr>
                <w:b/>
                <w:bCs/>
                <w:color w:val="2F6B3B"/>
                <w:spacing w:val="24"/>
                <w:sz w:val="16"/>
                <w:szCs w:val="16"/>
              </w:rPr>
              <w:t>SPARTIPP</w:t>
            </w:r>
          </w:p>
          <w:p w14:paraId="70A4E1DB" w14:textId="77777777" w:rsidR="00C1548D" w:rsidRDefault="009B1B4B">
            <w:pPr>
              <w:spacing w:after="80" w:line="264" w:lineRule="auto"/>
            </w:pPr>
            <w:r>
              <w:rPr>
                <w:sz w:val="20"/>
                <w:szCs w:val="20"/>
              </w:rPr>
              <w:t>Verhandle beim Wechsel „Deckung ab Tag 1“ oder einen Starttermin zum Monatsersten. Neue Arbeitgeberpläne dürfen bis zu 90 Tage warten; wo es eine Wartefrist gibt, sind es im Schnitt 1,8 Monate. Jeder Überbrückungsmonat per COBRA kostet rechnerisch rund 790 $.</w:t>
            </w:r>
          </w:p>
        </w:tc>
      </w:tr>
    </w:tbl>
    <w:p w14:paraId="70A4E1DD" w14:textId="77777777" w:rsidR="00C1548D" w:rsidRDefault="00C1548D">
      <w:pPr>
        <w:spacing w:line="220" w:lineRule="exact"/>
      </w:pPr>
    </w:p>
    <w:p w14:paraId="70A4E1DE" w14:textId="77777777" w:rsidR="00C1548D" w:rsidRDefault="009B1B4B">
      <w:pPr>
        <w:spacing w:after="140"/>
      </w:pPr>
      <w:r>
        <w:rPr>
          <w:b/>
          <w:bCs/>
        </w:rPr>
        <w:t>Arbeitslosengeld.</w:t>
      </w:r>
      <w:r>
        <w:t xml:space="preserve"> Die Arbeitslosenversicherung ist Sache der Bundesstaaten. Bundesrecht verlangt, dass Beschäftigte ohne US-Staatsbürgerschaft für die Beschäftigung rechtmäßig anwesend und ermächtigt waren (26 U.S.C. § 3304(a)(14)); alles Weitere, etwa Verfügbarkeit und Arbeitsbereitschaft, regeln die Staaten. Weil H-</w:t>
      </w:r>
      <w:r>
        <w:lastRenderedPageBreak/>
        <w:t>1B-Inhaber ohne neue Petition nicht arbeiten dürfen, wird ein Anspruch in der Praxis uneinheitlich beurteilt – plane nicht damit. Ob ein Antrag sinnvoll ist, klärst du mit dem Anwalt und der Landesbehörde (in W</w:t>
      </w:r>
      <w:r>
        <w:t>ashington das Employment Security Department, esd.wa.gov).</w:t>
      </w:r>
    </w:p>
    <w:p w14:paraId="70A4E1DF" w14:textId="77777777" w:rsidR="00C1548D" w:rsidRDefault="009B1B4B">
      <w:pPr>
        <w:spacing w:after="140"/>
      </w:pPr>
      <w:r>
        <w:rPr>
          <w:b/>
          <w:bCs/>
        </w:rPr>
        <w:t>Pflichten des bisherigen Arbeitgebers.</w:t>
      </w:r>
      <w:r>
        <w:t xml:space="preserve"> Er muss USCIS das Ende der Beschäftigung unverzüglich melden (die Petition erlischt damit, das ist Routine), bei einer Entlassung vor Ablauf des genehmigten Zeitraums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w14:paraId="70A4E1E0" w14:textId="77777777" w:rsidR="00C1548D" w:rsidRDefault="009B1B4B">
      <w:pPr>
        <w:pStyle w:val="Heading3"/>
        <w:keepNext/>
        <w:jc w:val="center"/>
      </w:pPr>
      <w:r>
        <w:rPr>
          <w:rFonts w:ascii="Amazon Ember" w:eastAsia="Amazon Ember" w:hAnsi="Amazon Ember" w:cs="Amazon Ember"/>
          <w:color w:val="0000FF"/>
          <w:sz w:val="36"/>
          <w:szCs w:val="36"/>
        </w:rPr>
        <w:t>Umzug im Land: AR-11, Führerschein, Schule, Steuern</w:t>
      </w:r>
    </w:p>
    <w:p w14:paraId="70A4E1E1" w14:textId="77777777" w:rsidR="00C1548D" w:rsidRDefault="009B1B4B">
      <w:pPr>
        <w:spacing w:after="140"/>
      </w:pPr>
      <w:r>
        <w:t>Ob Wechsel, Versetzung oder eigener Wunsch: Wer in den USA umzieht, hat Fristen. Die wichtigste gilt bundesweit und wird oft vergessen: Nach der USCIS-Seite zum Formular AR-11 (Stand 3. Juni 2026) muss jede Person mit Aufenthalt in den USA jede Adressänderung binnen 10 Tagen melden – schneller, als die letzten Umzugskartons meist ausgepackt sind. Ausgenommen sind nur Inhaber von A- und G-Visa sowie Besucher im Visa-Waiver-Programm. Melde dich am besten online über dein USCIS-Konto; Papier per Post geht, akt</w:t>
      </w:r>
      <w:r>
        <w: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8"/>
        <w:gridCol w:w="4272"/>
        <w:gridCol w:w="950"/>
      </w:tblGrid>
      <w:tr w:rsidR="00C1548D" w14:paraId="70A4E1E5" w14:textId="77777777">
        <w:tblPrEx>
          <w:tblCellMar>
            <w:top w:w="0" w:type="dxa"/>
            <w:bottom w:w="0" w:type="dxa"/>
          </w:tblCellMar>
        </w:tblPrEx>
        <w:trPr>
          <w:cantSplit/>
          <w:tblHeader/>
        </w:trPr>
        <w:tc>
          <w:tcPr>
            <w:tcW w:w="125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E2" w14:textId="77777777" w:rsidR="00C1548D" w:rsidRDefault="009B1B4B">
            <w:pPr>
              <w:spacing w:line="250" w:lineRule="auto"/>
            </w:pPr>
            <w:r>
              <w:rPr>
                <w:b/>
                <w:bCs/>
                <w:sz w:val="18"/>
                <w:szCs w:val="18"/>
              </w:rPr>
              <w:lastRenderedPageBreak/>
              <w:t>Thema</w:t>
            </w:r>
          </w:p>
        </w:tc>
        <w:tc>
          <w:tcPr>
            <w:tcW w:w="427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E3" w14:textId="77777777" w:rsidR="00C1548D" w:rsidRDefault="009B1B4B">
            <w:pPr>
              <w:spacing w:line="250" w:lineRule="auto"/>
            </w:pPr>
            <w:r>
              <w:rPr>
                <w:b/>
                <w:bCs/>
                <w:sz w:val="18"/>
                <w:szCs w:val="18"/>
              </w:rPr>
              <w:t>Regel</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E4" w14:textId="77777777" w:rsidR="00C1548D" w:rsidRDefault="009B1B4B">
            <w:pPr>
              <w:spacing w:line="250" w:lineRule="auto"/>
            </w:pPr>
            <w:r>
              <w:rPr>
                <w:b/>
                <w:bCs/>
                <w:sz w:val="18"/>
                <w:szCs w:val="18"/>
              </w:rPr>
              <w:t>Mehr dazu</w:t>
            </w:r>
          </w:p>
        </w:tc>
      </w:tr>
      <w:tr w:rsidR="00C1548D" w14:paraId="70A4E1E9" w14:textId="77777777">
        <w:tblPrEx>
          <w:tblCellMar>
            <w:top w:w="0" w:type="dxa"/>
            <w:bottom w:w="0" w:type="dxa"/>
          </w:tblCellMar>
        </w:tblPrEx>
        <w:trPr>
          <w:cantSplit/>
        </w:trPr>
        <w:tc>
          <w:tcPr>
            <w:tcW w:w="12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E6" w14:textId="77777777" w:rsidR="00C1548D" w:rsidRDefault="009B1B4B">
            <w:pPr>
              <w:spacing w:line="250" w:lineRule="auto"/>
            </w:pPr>
            <w:r>
              <w:rPr>
                <w:sz w:val="18"/>
                <w:szCs w:val="18"/>
              </w:rPr>
              <w:t>Führerschein und Kfz</w:t>
            </w:r>
          </w:p>
        </w:tc>
        <w:tc>
          <w:tcPr>
            <w:tcW w:w="42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E7" w14:textId="77777777" w:rsidR="00C1548D" w:rsidRDefault="009B1B4B">
            <w:pPr>
              <w:spacing w:line="250" w:lineRule="auto"/>
            </w:pPr>
            <w:r>
              <w:rPr>
                <w:sz w:val="18"/>
                <w:szCs w:val="18"/>
              </w:rPr>
              <w:t>Landesrecht, Fristen sehr unterschiedlich: Kalifornien 10, Washington 30, Texas 90 Tage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E8" w14:textId="2502AD7D" w:rsidR="00C1548D" w:rsidRDefault="009B1B4B">
            <w:pPr>
              <w:spacing w:line="250" w:lineRule="auto"/>
            </w:pPr>
            <w:r>
              <w:rPr>
                <w:sz w:val="18"/>
                <w:szCs w:val="18"/>
              </w:rPr>
              <w:t>Kapitel </w:t>
            </w:r>
            <w:hyperlink w:anchor="k27" w:history="1">
              <w:r>
                <w:rPr>
                  <w:sz w:val="18"/>
                  <w:szCs w:val="18"/>
                </w:rPr>
                <w:t>27</w:t>
              </w:r>
            </w:hyperlink>
          </w:p>
        </w:tc>
      </w:tr>
      <w:tr w:rsidR="00C1548D" w14:paraId="70A4E1ED" w14:textId="77777777">
        <w:tblPrEx>
          <w:tblCellMar>
            <w:top w:w="0" w:type="dxa"/>
            <w:bottom w:w="0" w:type="dxa"/>
          </w:tblCellMar>
        </w:tblPrEx>
        <w:trPr>
          <w:cantSplit/>
        </w:trPr>
        <w:tc>
          <w:tcPr>
            <w:tcW w:w="12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EA" w14:textId="77777777" w:rsidR="00C1548D" w:rsidRDefault="009B1B4B">
            <w:pPr>
              <w:spacing w:line="250" w:lineRule="auto"/>
            </w:pPr>
            <w:r>
              <w:rPr>
                <w:sz w:val="18"/>
                <w:szCs w:val="18"/>
              </w:rPr>
              <w:t>Schule</w:t>
            </w:r>
          </w:p>
        </w:tc>
        <w:tc>
          <w:tcPr>
            <w:tcW w:w="42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EB" w14:textId="77777777" w:rsidR="00C1548D" w:rsidRDefault="009B1B4B">
            <w:pPr>
              <w:spacing w:line="250" w:lineRule="auto"/>
            </w:pPr>
            <w:r>
              <w:rPr>
                <w:sz w:val="18"/>
                <w:szCs w:val="18"/>
              </w:rPr>
              <w:t>Anmeldung nach Wohnadresse im Schuldistrikt, auch unterjährig; Wohnsitznachweis, Impfnachweis und letztes Zeugnis bereithalten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EC" w14:textId="4066AB99" w:rsidR="00C1548D" w:rsidRDefault="009B1B4B">
            <w:pPr>
              <w:spacing w:line="250" w:lineRule="auto"/>
            </w:pPr>
            <w:r>
              <w:rPr>
                <w:sz w:val="18"/>
                <w:szCs w:val="18"/>
              </w:rPr>
              <w:t>Kapitel </w:t>
            </w:r>
            <w:hyperlink w:anchor="k36" w:history="1">
              <w:r>
                <w:rPr>
                  <w:sz w:val="18"/>
                  <w:szCs w:val="18"/>
                </w:rPr>
                <w:t>36</w:t>
              </w:r>
            </w:hyperlink>
          </w:p>
        </w:tc>
      </w:tr>
      <w:tr w:rsidR="00C1548D" w14:paraId="70A4E1F1" w14:textId="77777777">
        <w:tblPrEx>
          <w:tblCellMar>
            <w:top w:w="0" w:type="dxa"/>
            <w:bottom w:w="0" w:type="dxa"/>
          </w:tblCellMar>
        </w:tblPrEx>
        <w:trPr>
          <w:cantSplit/>
        </w:trPr>
        <w:tc>
          <w:tcPr>
            <w:tcW w:w="12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EE" w14:textId="77777777" w:rsidR="00C1548D" w:rsidRDefault="009B1B4B">
            <w:pPr>
              <w:spacing w:line="250" w:lineRule="auto"/>
            </w:pPr>
            <w:r>
              <w:rPr>
                <w:sz w:val="18"/>
                <w:szCs w:val="18"/>
              </w:rPr>
              <w:t>Steuern</w:t>
            </w:r>
          </w:p>
        </w:tc>
        <w:tc>
          <w:tcPr>
            <w:tcW w:w="42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EF" w14:textId="77777777" w:rsidR="00C1548D" w:rsidRDefault="009B1B4B">
            <w:pPr>
              <w:spacing w:line="250" w:lineRule="auto"/>
            </w:pPr>
            <w:r>
              <w:rPr>
                <w:sz w:val="18"/>
                <w:szCs w:val="18"/>
              </w:rPr>
              <w:t>Teiljahreserklärungen in beiden Staaten möglich; neuen Wohnort dem Arbeitgeber melden; Umzugskosten nicht abziehbar; Zuschüsse des Arbeitgebers sind steuerpflichtiger Lohn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F0" w14:textId="35B8AEFB" w:rsidR="00C1548D" w:rsidRDefault="009B1B4B">
            <w:pPr>
              <w:spacing w:line="250" w:lineRule="auto"/>
            </w:pPr>
            <w:r>
              <w:rPr>
                <w:sz w:val="18"/>
                <w:szCs w:val="18"/>
              </w:rPr>
              <w:t>Kapitel </w:t>
            </w:r>
            <w:hyperlink w:anchor="k28" w:history="1">
              <w:r>
                <w:rPr>
                  <w:sz w:val="18"/>
                  <w:szCs w:val="18"/>
                </w:rPr>
                <w:t>28</w:t>
              </w:r>
            </w:hyperlink>
          </w:p>
        </w:tc>
      </w:tr>
      <w:tr w:rsidR="00C1548D" w14:paraId="70A4E1F5" w14:textId="77777777">
        <w:tblPrEx>
          <w:tblCellMar>
            <w:top w:w="0" w:type="dxa"/>
            <w:bottom w:w="0" w:type="dxa"/>
          </w:tblCellMar>
        </w:tblPrEx>
        <w:trPr>
          <w:cantSplit/>
        </w:trPr>
        <w:tc>
          <w:tcPr>
            <w:tcW w:w="12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F2" w14:textId="77777777" w:rsidR="00C1548D" w:rsidRDefault="009B1B4B">
            <w:pPr>
              <w:spacing w:line="250" w:lineRule="auto"/>
            </w:pPr>
            <w:r>
              <w:rPr>
                <w:sz w:val="18"/>
                <w:szCs w:val="18"/>
              </w:rPr>
              <w:t>Wohnung</w:t>
            </w:r>
          </w:p>
        </w:tc>
        <w:tc>
          <w:tcPr>
            <w:tcW w:w="42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F3" w14:textId="77777777" w:rsidR="00C1548D" w:rsidRDefault="009B1B4B">
            <w:pPr>
              <w:spacing w:line="250" w:lineRule="auto"/>
            </w:pPr>
            <w:r>
              <w:rPr>
                <w:sz w:val="18"/>
                <w:szCs w:val="18"/>
              </w:rPr>
              <w:t>Mietverträge meist 12 Monate; vorzeitiger Auszug kostet typisch 1–2 Monatsmieten und die Kaution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F4" w14:textId="5061696C" w:rsidR="00C1548D" w:rsidRDefault="009B1B4B">
            <w:pPr>
              <w:spacing w:line="250" w:lineRule="auto"/>
            </w:pPr>
            <w:r>
              <w:rPr>
                <w:sz w:val="18"/>
                <w:szCs w:val="18"/>
              </w:rPr>
              <w:t>Kapitel </w:t>
            </w:r>
            <w:hyperlink w:anchor="k13" w:history="1">
              <w:r>
                <w:rPr>
                  <w:sz w:val="18"/>
                  <w:szCs w:val="18"/>
                </w:rPr>
                <w:t>13</w:t>
              </w:r>
            </w:hyperlink>
          </w:p>
        </w:tc>
      </w:tr>
      <w:tr w:rsidR="00C1548D" w14:paraId="70A4E1F9" w14:textId="77777777">
        <w:tblPrEx>
          <w:tblCellMar>
            <w:top w:w="0" w:type="dxa"/>
            <w:bottom w:w="0" w:type="dxa"/>
          </w:tblCellMar>
        </w:tblPrEx>
        <w:trPr>
          <w:cantSplit/>
        </w:trPr>
        <w:tc>
          <w:tcPr>
            <w:tcW w:w="12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F6" w14:textId="77777777" w:rsidR="00C1548D" w:rsidRDefault="009B1B4B">
            <w:pPr>
              <w:spacing w:line="250" w:lineRule="auto"/>
            </w:pPr>
            <w:r>
              <w:rPr>
                <w:sz w:val="18"/>
                <w:szCs w:val="18"/>
              </w:rPr>
              <w:t>Krankenversicherung</w:t>
            </w:r>
          </w:p>
        </w:tc>
        <w:tc>
          <w:tcPr>
            <w:tcW w:w="42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F7" w14:textId="77777777" w:rsidR="00C1548D" w:rsidRDefault="009B1B4B">
            <w:pPr>
              <w:spacing w:line="250" w:lineRule="auto"/>
            </w:pPr>
            <w:r>
              <w:rPr>
                <w:sz w:val="18"/>
                <w:szCs w:val="18"/>
              </w:rPr>
              <w:t>Netzwerk am neuen Ort prüfen; Ärzte und Krankenhäuser gelten regional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1F8" w14:textId="243CC632" w:rsidR="00C1548D" w:rsidRDefault="009B1B4B">
            <w:pPr>
              <w:spacing w:line="250" w:lineRule="auto"/>
            </w:pPr>
            <w:r>
              <w:rPr>
                <w:sz w:val="18"/>
                <w:szCs w:val="18"/>
              </w:rPr>
              <w:t>Kapitel </w:t>
            </w:r>
            <w:hyperlink w:anchor="k26" w:history="1">
              <w:r>
                <w:rPr>
                  <w:sz w:val="18"/>
                  <w:szCs w:val="18"/>
                </w:rPr>
                <w:t>26</w:t>
              </w:r>
            </w:hyperlink>
          </w:p>
        </w:tc>
      </w:tr>
    </w:tbl>
    <w:p w14:paraId="70A4E1FA" w14:textId="77777777" w:rsidR="00C1548D" w:rsidRDefault="00C1548D">
      <w:pPr>
        <w:spacing w:line="180" w:lineRule="exact"/>
      </w:pPr>
    </w:p>
    <w:p w14:paraId="70A4E1FB" w14:textId="77777777" w:rsidR="00C1548D" w:rsidRDefault="009B1B4B">
      <w:pPr>
        <w:pStyle w:val="Heading3"/>
        <w:keepNext/>
        <w:jc w:val="center"/>
      </w:pPr>
      <w:r>
        <w:rPr>
          <w:rFonts w:ascii="Amazon Ember" w:eastAsia="Amazon Ember" w:hAnsi="Amazon Ember" w:cs="Amazon Ember"/>
          <w:color w:val="0000FF"/>
          <w:sz w:val="36"/>
          <w:szCs w:val="36"/>
        </w:rPr>
        <w:t>Die Rücklage: mindestens sechs Monate</w:t>
      </w:r>
    </w:p>
    <w:p w14:paraId="70A4E1FC" w14:textId="1B40E80B" w:rsidR="00C1548D" w:rsidRDefault="009B1B4B">
      <w:pPr>
        <w:spacing w:after="140"/>
      </w:pPr>
      <w: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history="1">
        <w:r>
          <w:t>25</w:t>
        </w:r>
      </w:hyperlink>
      <w:r>
        <w:t>). Rechenbeispiel für eine Person in Seattle: Miete im Durchschnitt 2.253 $ (RentCafe, August 2026), Nebenkosten 150–300 $, COBRA rund 790 $, Lebensmittel, Handy, Nahverkehr und Versicherungen nach grober Schätzung 1.000–1.500 $ – macht rund 4.200–4.850 $ im Monat, für sechs Monate also etwa 25.000–29.000 $. Hinzu kommen Sonderposten, falls du ausreisen musst: Flug, Umzug oder Einlagerung und beim vorzeitigen Auszug 1–2 Monatsmieten (Kapitel </w:t>
      </w:r>
      <w:hyperlink w:anchor="k13" w:history="1">
        <w:r>
          <w:t>13</w:t>
        </w:r>
      </w:hyperlink>
      <w:r>
        <w:t xml:space="preserve"> und </w:t>
      </w:r>
      <w:hyperlink w:anchor="k20" w:history="1">
        <w:r>
          <w:t>20</w:t>
        </w:r>
      </w:hyperlink>
      <w:r>
        <w:t>).</w:t>
      </w:r>
    </w:p>
    <w:p w14:paraId="70A4E1FD"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200"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FE"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1FF" w14:textId="77777777" w:rsidR="00C1548D" w:rsidRDefault="009B1B4B">
            <w:pPr>
              <w:spacing w:line="250" w:lineRule="auto"/>
            </w:pPr>
            <w:r>
              <w:rPr>
                <w:b/>
                <w:bCs/>
                <w:sz w:val="18"/>
                <w:szCs w:val="18"/>
              </w:rPr>
              <w:t>Minus</w:t>
            </w:r>
          </w:p>
        </w:tc>
      </w:tr>
      <w:tr w:rsidR="00C1548D" w14:paraId="70A4E20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01" w14:textId="77777777" w:rsidR="00C1548D" w:rsidRDefault="009B1B4B">
            <w:pPr>
              <w:spacing w:line="250" w:lineRule="auto"/>
            </w:pPr>
            <w:r>
              <w:rPr>
                <w:sz w:val="18"/>
                <w:szCs w:val="18"/>
              </w:rPr>
              <w:t>Wechsel im Inland ohne Lotterie und ohne 100.000-$-Zahlung (Stand September 2026)</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02" w14:textId="77777777" w:rsidR="00C1548D" w:rsidRDefault="009B1B4B">
            <w:pPr>
              <w:spacing w:line="250" w:lineRule="auto"/>
            </w:pPr>
            <w:r>
              <w:rPr>
                <w:sz w:val="18"/>
                <w:szCs w:val="18"/>
              </w:rPr>
              <w:t>Jeder Wechsel braucht einen Antrag; ohne Eingang bei USCIS darfst du nicht anfangen</w:t>
            </w:r>
          </w:p>
        </w:tc>
      </w:tr>
      <w:tr w:rsidR="00C1548D" w14:paraId="70A4E20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04" w14:textId="77777777" w:rsidR="00C1548D" w:rsidRDefault="009B1B4B">
            <w:pPr>
              <w:spacing w:line="250" w:lineRule="auto"/>
            </w:pPr>
            <w:r>
              <w:rPr>
                <w:sz w:val="18"/>
                <w:szCs w:val="18"/>
              </w:rPr>
              <w:t>Arbeit beim neuen Arbeitgeber ab Einreichung, ohne Entscheidung abzuwarten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05" w14:textId="77777777" w:rsidR="00C1548D" w:rsidRDefault="009B1B4B">
            <w:pPr>
              <w:spacing w:line="250" w:lineRule="auto"/>
            </w:pPr>
            <w:r>
              <w:rPr>
                <w:sz w:val="18"/>
                <w:szCs w:val="18"/>
              </w:rPr>
              <w:t>Eine Ablehnung beendet die Arbeitserlaubnis beim neuen Arbeitgeber</w:t>
            </w:r>
          </w:p>
        </w:tc>
      </w:tr>
      <w:tr w:rsidR="00C1548D" w14:paraId="70A4E20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07" w14:textId="77777777" w:rsidR="00C1548D" w:rsidRDefault="009B1B4B">
            <w:pPr>
              <w:spacing w:line="250" w:lineRule="auto"/>
            </w:pPr>
            <w:r>
              <w:rPr>
                <w:sz w:val="18"/>
                <w:szCs w:val="18"/>
              </w:rPr>
              <w:t>Der Arbeitgeber trägt die Gebühren; ACWIA und Anwaltskosten sind nicht abziehbar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08" w14:textId="77777777" w:rsidR="00C1548D" w:rsidRDefault="009B1B4B">
            <w:pPr>
              <w:spacing w:line="250" w:lineRule="auto"/>
            </w:pPr>
            <w:r>
              <w:rPr>
                <w:sz w:val="18"/>
                <w:szCs w:val="18"/>
              </w:rPr>
              <w:t>Anderes Beschäftigungsgebiet oder wesentlich andere Stelle: neue LCA und geänderte Petition</w:t>
            </w:r>
          </w:p>
        </w:tc>
      </w:tr>
      <w:tr w:rsidR="00C1548D" w14:paraId="70A4E20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0A" w14:textId="77777777" w:rsidR="00C1548D" w:rsidRDefault="009B1B4B">
            <w:pPr>
              <w:spacing w:line="250" w:lineRule="auto"/>
            </w:pPr>
            <w:r>
              <w:rPr>
                <w:sz w:val="18"/>
                <w:szCs w:val="18"/>
              </w:rPr>
              <w:t>AC21 macht das Green-Card-Verfahren nach 180 Tagen übertragbar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0B" w14:textId="77777777" w:rsidR="00C1548D" w:rsidRDefault="009B1B4B">
            <w:pPr>
              <w:spacing w:line="250" w:lineRule="auto"/>
            </w:pPr>
            <w:r>
              <w:rPr>
                <w:sz w:val="18"/>
                <w:szCs w:val="18"/>
              </w:rPr>
              <w:t>Ein Wechsel vor I-140-Genehmigung oder I-485-Einreichung kann das Verfahren zurückwerfen</w:t>
            </w:r>
          </w:p>
        </w:tc>
      </w:tr>
      <w:tr w:rsidR="00C1548D" w14:paraId="70A4E20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0D" w14:textId="77777777" w:rsidR="00C1548D" w:rsidRDefault="009B1B4B">
            <w:pPr>
              <w:spacing w:line="250" w:lineRule="auto"/>
            </w:pPr>
            <w:r>
              <w:rPr>
                <w:sz w:val="18"/>
                <w:szCs w:val="18"/>
              </w:rPr>
              <w:t>Derzeit bis zu 60 Tage Frist nach Jobverlust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0E" w14:textId="77777777" w:rsidR="00C1548D" w:rsidRDefault="009B1B4B">
            <w:pPr>
              <w:spacing w:line="250" w:lineRule="auto"/>
            </w:pPr>
            <w:r>
              <w:rPr>
                <w:sz w:val="18"/>
                <w:szCs w:val="18"/>
              </w:rPr>
              <w:t>Kein Anspruch auf Arbeit oder Arbeitslosengeld; DHS will die Frist streichen</w:t>
            </w:r>
          </w:p>
        </w:tc>
      </w:tr>
      <w:tr w:rsidR="00C1548D" w14:paraId="70A4E21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10" w14:textId="77777777" w:rsidR="00C1548D" w:rsidRDefault="009B1B4B">
            <w:pPr>
              <w:spacing w:line="250" w:lineRule="auto"/>
            </w:pPr>
            <w:r>
              <w:rPr>
                <w:sz w:val="18"/>
                <w:szCs w:val="18"/>
              </w:rPr>
              <w:t>Flexibler Arbeitsmarkt, kurze Kündigungsfristen, Gehaltssprünge beim Wechsel</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11" w14:textId="77777777" w:rsidR="00C1548D" w:rsidRDefault="009B1B4B">
            <w:pPr>
              <w:spacing w:line="250" w:lineRule="auto"/>
            </w:pPr>
            <w:r>
              <w:rPr>
                <w:sz w:val="18"/>
                <w:szCs w:val="18"/>
              </w:rPr>
              <w:t>Krankenversicherung hängt am Job: Wartefristen bis 90 Tage, COBRA rund 790 $ pro Monat</w:t>
            </w:r>
          </w:p>
        </w:tc>
      </w:tr>
    </w:tbl>
    <w:p w14:paraId="70A4E213" w14:textId="77777777" w:rsidR="00C1548D" w:rsidRDefault="00C1548D">
      <w:pPr>
        <w:spacing w:line="180" w:lineRule="exact"/>
      </w:pPr>
    </w:p>
    <w:p w14:paraId="70A4E214"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215" w14:textId="77777777" w:rsidR="00C1548D" w:rsidRDefault="009B1B4B">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222"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216" w14:textId="77777777" w:rsidR="00C1548D" w:rsidRDefault="009B1B4B">
            <w:pPr>
              <w:keepNext/>
              <w:spacing w:after="70" w:line="240" w:lineRule="auto"/>
            </w:pPr>
            <w:r>
              <w:rPr>
                <w:b/>
                <w:bCs/>
                <w:color w:val="1F6F78"/>
                <w:spacing w:val="24"/>
                <w:sz w:val="16"/>
                <w:szCs w:val="16"/>
              </w:rPr>
              <w:lastRenderedPageBreak/>
              <w:t>CHECKLISTE</w:t>
            </w:r>
          </w:p>
          <w:p w14:paraId="70A4E21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Unterlagenmappe anlegen: Pass, I-94, alle I-797, letzte Gehaltsabrechnungen, W-2, Offer Letter, digital gesichert.</w:t>
            </w:r>
          </w:p>
          <w:p w14:paraId="70A4E21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Ablaufdatum des I-94 und der Petition notieren.</w:t>
            </w:r>
          </w:p>
          <w:p w14:paraId="70A4E21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Einen eigenen Einwanderungsanwalt suchen, nicht nur die Kanzlei des Arbeitgebers, und die Kontaktdaten speichern.</w:t>
            </w:r>
          </w:p>
          <w:p w14:paraId="70A4E21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Rücklage von sechs Monaten Fixkosten aufbauen.</w:t>
            </w:r>
          </w:p>
          <w:p w14:paraId="70A4E21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jedem Angebot fragen: Transfer-Zusage, Kostenverteilung, Start des Green-Card-Verfahrens, Stellenabbau in den letzten zwölf Monaten.</w:t>
            </w:r>
          </w:p>
          <w:p w14:paraId="70A4E21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 kündigen, wenn die Petition des neuen Arbeitgebers bei USCIS eingegangen ist.</w:t>
            </w:r>
          </w:p>
          <w:p w14:paraId="70A4E21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Umzug oder Versetzung HR fragen, ob eine neue LCA oder geänderte Petition nötig ist.</w:t>
            </w:r>
          </w:p>
          <w:p w14:paraId="70A4E21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Stand von Priority Date, I-140 und I-485 kennen, bevor du wechselst.</w:t>
            </w:r>
          </w:p>
          <w:p w14:paraId="70A4E21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 jedem Umzug binnen 10 Tagen die AR-11 online einreichen.</w:t>
            </w:r>
          </w:p>
          <w:p w14:paraId="70A4E22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Jobverlust: 60 Tage ab letztem Arbeitstag zählen, COBRA-Fristen (60 und 45 Tage) notieren.</w:t>
            </w:r>
          </w:p>
          <w:p w14:paraId="70A4E22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Den DHS-Vorschlag zur 60-Tage-Frist (Kommentare bis 10. November 2026) beobachten.</w:t>
            </w:r>
          </w:p>
        </w:tc>
      </w:tr>
    </w:tbl>
    <w:p w14:paraId="70A4E223" w14:textId="77777777" w:rsidR="00C1548D" w:rsidRDefault="00C1548D">
      <w:pPr>
        <w:spacing w:line="220" w:lineRule="exact"/>
      </w:pPr>
    </w:p>
    <w:p w14:paraId="70A4E224"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225" w14:textId="7978F43F" w:rsidR="00C1548D" w:rsidRDefault="009B1B4B" w:rsidP="009B1B4B">
      <w:pPr>
        <w:pStyle w:val="ListParagraph"/>
        <w:numPr>
          <w:ilvl w:val="0"/>
          <w:numId w:val="1"/>
        </w:numPr>
        <w:spacing w:after="60"/>
      </w:pPr>
      <w:r>
        <w:t xml:space="preserve">USCIS – H-1B (Portabilität, Fristen nach Beschäftigungsende): </w:t>
      </w:r>
      <w:hyperlink r:id="rId258" w:history="1">
        <w:r>
          <w:rPr>
            <w:color w:val="0563C1"/>
            <w:u w:val="single"/>
          </w:rPr>
          <w:t>uscis.gov/working-in-the-united-states/h-1b-specialty-occupations</w:t>
        </w:r>
      </w:hyperlink>
    </w:p>
    <w:p w14:paraId="70A4E226" w14:textId="7F13255B" w:rsidR="00C1548D" w:rsidRDefault="009B1B4B" w:rsidP="009B1B4B">
      <w:pPr>
        <w:pStyle w:val="ListParagraph"/>
        <w:numPr>
          <w:ilvl w:val="0"/>
          <w:numId w:val="1"/>
        </w:numPr>
        <w:spacing w:after="60"/>
      </w:pPr>
      <w:r>
        <w:t xml:space="preserve">USCIS – Gebührenübersicht Form G-1055: </w:t>
      </w:r>
      <w:hyperlink r:id="rId259" w:history="1">
        <w:r>
          <w:rPr>
            <w:color w:val="0563C1"/>
            <w:u w:val="single"/>
          </w:rPr>
          <w:t>uscis.gov/g-1055</w:t>
        </w:r>
      </w:hyperlink>
    </w:p>
    <w:p w14:paraId="70A4E227" w14:textId="6D856688" w:rsidR="00C1548D" w:rsidRDefault="009B1B4B" w:rsidP="009B1B4B">
      <w:pPr>
        <w:pStyle w:val="ListParagraph"/>
        <w:numPr>
          <w:ilvl w:val="0"/>
          <w:numId w:val="1"/>
        </w:numPr>
        <w:spacing w:after="60"/>
      </w:pPr>
      <w:r>
        <w:t xml:space="preserve">USCIS Policy Manual – Job-Portabilität (AC21, INA 204(j)): </w:t>
      </w:r>
      <w:hyperlink r:id="rId260" w:history="1">
        <w:r>
          <w:rPr>
            <w:color w:val="0563C1"/>
            <w:u w:val="single"/>
          </w:rPr>
          <w:t>uscis.gov/policy-manual/volume-7-part-e-chapter-5</w:t>
        </w:r>
      </w:hyperlink>
    </w:p>
    <w:p w14:paraId="70A4E228" w14:textId="7DB5B100" w:rsidR="00C1548D" w:rsidRDefault="009B1B4B" w:rsidP="009B1B4B">
      <w:pPr>
        <w:pStyle w:val="ListParagraph"/>
        <w:numPr>
          <w:ilvl w:val="0"/>
          <w:numId w:val="1"/>
        </w:numPr>
        <w:spacing w:after="60"/>
      </w:pPr>
      <w:r>
        <w:t xml:space="preserve">USCIS – Adressänderung Form AR-11: </w:t>
      </w:r>
      <w:hyperlink r:id="rId261" w:history="1">
        <w:r>
          <w:rPr>
            <w:color w:val="0563C1"/>
            <w:u w:val="single"/>
          </w:rPr>
          <w:t>uscis.gov/ar-11</w:t>
        </w:r>
      </w:hyperlink>
    </w:p>
    <w:p w14:paraId="70A4E229" w14:textId="42A13B88" w:rsidR="00C1548D" w:rsidRDefault="009B1B4B" w:rsidP="009B1B4B">
      <w:pPr>
        <w:pStyle w:val="ListParagraph"/>
        <w:numPr>
          <w:ilvl w:val="0"/>
          <w:numId w:val="1"/>
        </w:numPr>
        <w:spacing w:after="60"/>
      </w:pPr>
      <w:r>
        <w:t xml:space="preserve">Federal Register – Vorschlag zur 60-Tage-Frist (Docket USCIS-2026-0364): </w:t>
      </w:r>
      <w:hyperlink r:id="rId262" w:history="1">
        <w:r>
          <w:rPr>
            <w:color w:val="0563C1"/>
            <w:u w:val="single"/>
          </w:rPr>
          <w:t>federalregister.gov</w:t>
        </w:r>
      </w:hyperlink>
    </w:p>
    <w:p w14:paraId="70A4E22A" w14:textId="44221846" w:rsidR="00C1548D" w:rsidRDefault="009B1B4B" w:rsidP="009B1B4B">
      <w:pPr>
        <w:pStyle w:val="ListParagraph"/>
        <w:numPr>
          <w:ilvl w:val="0"/>
          <w:numId w:val="1"/>
        </w:numPr>
        <w:spacing w:after="60"/>
      </w:pPr>
      <w:r>
        <w:lastRenderedPageBreak/>
        <w:t xml:space="preserve">Arbeitsministerium – H-1B und LCA: </w:t>
      </w:r>
      <w:hyperlink r:id="rId263" w:history="1">
        <w:r>
          <w:rPr>
            <w:color w:val="0563C1"/>
            <w:u w:val="single"/>
          </w:rPr>
          <w:t>dol.gov/agencies/eta/foreign-labor/programs/h-1b</w:t>
        </w:r>
      </w:hyperlink>
    </w:p>
    <w:p w14:paraId="70A4E22B" w14:textId="7AB98A17" w:rsidR="00C1548D" w:rsidRDefault="009B1B4B" w:rsidP="009B1B4B">
      <w:pPr>
        <w:pStyle w:val="ListParagraph"/>
        <w:numPr>
          <w:ilvl w:val="0"/>
          <w:numId w:val="1"/>
        </w:numPr>
        <w:spacing w:after="60"/>
      </w:pPr>
      <w:r>
        <w:t xml:space="preserve">Arbeitsministerium – COBRA: </w:t>
      </w:r>
      <w:hyperlink r:id="rId264" w:history="1">
        <w:r>
          <w:rPr>
            <w:color w:val="0563C1"/>
            <w:u w:val="single"/>
          </w:rPr>
          <w:t>dol.gov/general/topic/health-plans/cobra</w:t>
        </w:r>
      </w:hyperlink>
    </w:p>
    <w:p w14:paraId="70A4E22C" w14:textId="2D188963" w:rsidR="00C1548D" w:rsidRDefault="009B1B4B" w:rsidP="009B1B4B">
      <w:pPr>
        <w:pStyle w:val="ListParagraph"/>
        <w:numPr>
          <w:ilvl w:val="0"/>
          <w:numId w:val="1"/>
        </w:numPr>
        <w:spacing w:after="60"/>
      </w:pPr>
      <w:r>
        <w:t xml:space="preserve">Arbeitsministerium – WARN Act: </w:t>
      </w:r>
      <w:hyperlink r:id="rId265" w:history="1">
        <w:r>
          <w:rPr>
            <w:color w:val="0563C1"/>
            <w:u w:val="single"/>
          </w:rPr>
          <w:t>dol.gov/agencies/eta/layoffs/warn</w:t>
        </w:r>
      </w:hyperlink>
    </w:p>
    <w:p w14:paraId="70A4E22D"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230"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22E" w14:textId="77777777" w:rsidR="00C1548D" w:rsidRDefault="009B1B4B">
            <w:pPr>
              <w:keepNext/>
              <w:spacing w:after="70" w:line="240" w:lineRule="auto"/>
            </w:pPr>
            <w:r>
              <w:rPr>
                <w:b/>
                <w:bCs/>
                <w:color w:val="6B7280"/>
                <w:spacing w:val="24"/>
                <w:sz w:val="16"/>
                <w:szCs w:val="16"/>
              </w:rPr>
              <w:t>STAND</w:t>
            </w:r>
          </w:p>
          <w:p w14:paraId="70A4E22F" w14:textId="77777777" w:rsidR="00C1548D" w:rsidRDefault="009B1B4B" w:rsidP="009B1B4B">
            <w:pPr>
              <w:pStyle w:val="ListParagraph"/>
              <w:numPr>
                <w:ilvl w:val="0"/>
                <w:numId w:val="36"/>
              </w:numPr>
              <w:spacing w:after="50" w:line="264" w:lineRule="auto"/>
            </w:pPr>
            <w:r>
              <w:rPr>
                <w:sz w:val="20"/>
                <w:szCs w:val="20"/>
              </w:rPr>
              <w:t>September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(Kommentare bis 24. September 2026). Auch COBRA-Prämien und Marktplatz-Regeln ändern sich. Prüfe vor jeder Entscheidung die offiziel</w:t>
            </w:r>
            <w:r>
              <w:rPr>
                <w:sz w:val="20"/>
                <w:szCs w:val="20"/>
              </w:rPr>
              <w:t>len Seiten und lass Fristen von einem Einwanderungsanwalt bestätigen.</w:t>
            </w:r>
          </w:p>
        </w:tc>
      </w:tr>
    </w:tbl>
    <w:p w14:paraId="70A4E231" w14:textId="77777777" w:rsidR="00C1548D" w:rsidRDefault="00C1548D">
      <w:pPr>
        <w:spacing w:line="220" w:lineRule="exact"/>
      </w:pPr>
    </w:p>
    <w:p w14:paraId="70A4E232" w14:textId="77777777" w:rsidR="00C1548D" w:rsidRDefault="00C1548D">
      <w:pPr>
        <w:sectPr w:rsidR="00C1548D">
          <w:footerReference w:type="default" r:id="rId266"/>
          <w:pgSz w:w="8640" w:h="12960"/>
          <w:pgMar w:top="1080" w:right="1080" w:bottom="1100" w:left="1080" w:header="708" w:footer="708" w:gutter="0"/>
          <w:cols w:space="720"/>
          <w:docGrid w:linePitch="360"/>
        </w:sectPr>
      </w:pPr>
    </w:p>
    <w:p w14:paraId="70A4E233" w14:textId="77777777" w:rsidR="00C1548D" w:rsidRDefault="009B1B4B">
      <w:pPr>
        <w:pStyle w:val="Heading1"/>
        <w:jc w:val="center"/>
      </w:pPr>
      <w:bookmarkStart w:id="74" w:name="_Toc241352486"/>
      <w:r>
        <w:rPr>
          <w:rFonts w:ascii="Amazon Ember" w:eastAsia="Amazon Ember" w:hAnsi="Amazon Ember" w:cs="Amazon Ember"/>
          <w:color w:val="0000FF"/>
        </w:rPr>
        <w:lastRenderedPageBreak/>
        <w:t>TEIL VIII — Leben und Menschen</w:t>
      </w:r>
      <w:bookmarkEnd w:id="74"/>
    </w:p>
    <w:p w14:paraId="70A4E234" w14:textId="77777777" w:rsidR="00C1548D" w:rsidRDefault="009B1B4B">
      <w:pPr>
        <w:spacing w:after="160" w:line="300" w:lineRule="auto"/>
        <w:ind w:left="400" w:right="400"/>
        <w:jc w:val="center"/>
      </w:pPr>
      <w:r>
        <w:rPr>
          <w:i/>
          <w:iCs/>
          <w:sz w:val="24"/>
          <w:szCs w:val="24"/>
        </w:rPr>
        <w:t>Kultur, Freundschaft, Heimweh, Kleidung und Essen: die Dinge, die im Alltag über Zufriedenheit entscheiden.</w:t>
      </w:r>
    </w:p>
    <w:p w14:paraId="70A4E235" w14:textId="77777777" w:rsidR="00C1548D" w:rsidRDefault="00C1548D">
      <w:pPr>
        <w:sectPr w:rsidR="00C1548D">
          <w:footerReference w:type="default" r:id="rId267"/>
          <w:pgSz w:w="8640" w:h="12960"/>
          <w:pgMar w:top="1080" w:right="1080" w:bottom="1100" w:left="1080" w:header="708" w:footer="708" w:gutter="0"/>
          <w:cols w:space="720"/>
          <w:vAlign w:val="center"/>
          <w:docGrid w:linePitch="360"/>
        </w:sectPr>
      </w:pPr>
    </w:p>
    <w:p w14:paraId="70A4E236" w14:textId="77777777" w:rsidR="00C1548D" w:rsidRDefault="009B1B4B">
      <w:pPr>
        <w:pStyle w:val="Heading2"/>
        <w:keepNext/>
        <w:pageBreakBefore/>
        <w:jc w:val="center"/>
      </w:pPr>
      <w:bookmarkStart w:id="75" w:name="k31"/>
      <w:bookmarkStart w:id="76" w:name="_Toc241352487"/>
      <w:r>
        <w:rPr>
          <w:rFonts w:ascii="Amazon Ember" w:eastAsia="Amazon Ember" w:hAnsi="Amazon Ember" w:cs="Amazon Ember"/>
          <w:color w:val="0000FF"/>
          <w:sz w:val="36"/>
          <w:szCs w:val="36"/>
        </w:rPr>
        <w:lastRenderedPageBreak/>
        <w:t>Kapitel 31: Kulturunterschiede: Der große Deutsch-Amerikanisch-Vergleich</w:t>
      </w:r>
      <w:bookmarkEnd w:id="75"/>
      <w:bookmarkEnd w:id="76"/>
    </w:p>
    <w:p w14:paraId="70A4E237" w14:textId="77777777" w:rsidR="00C1548D" w:rsidRDefault="009B1B4B">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23F"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238" w14:textId="77777777" w:rsidR="00C1548D" w:rsidRDefault="009B1B4B">
            <w:pPr>
              <w:keepNext/>
              <w:spacing w:after="70" w:line="240" w:lineRule="auto"/>
            </w:pPr>
            <w:r>
              <w:rPr>
                <w:b/>
                <w:bCs/>
                <w:color w:val="1F3A5F"/>
                <w:spacing w:val="24"/>
                <w:sz w:val="16"/>
                <w:szCs w:val="16"/>
              </w:rPr>
              <w:t>KURZ GESAGT</w:t>
            </w:r>
          </w:p>
          <w:p w14:paraId="70A4E239" w14:textId="4C047B5D" w:rsidR="00C1548D" w:rsidRDefault="009B1B4B" w:rsidP="009B1B4B">
            <w:pPr>
              <w:pStyle w:val="ListParagraph"/>
              <w:numPr>
                <w:ilvl w:val="0"/>
                <w:numId w:val="1"/>
              </w:numPr>
              <w:spacing w:after="50" w:line="264" w:lineRule="auto"/>
            </w:pPr>
            <w:r>
              <w:rPr>
                <w:sz w:val="20"/>
                <w:szCs w:val="20"/>
              </w:rPr>
              <w:t>„How are you?“ ist ein Gruß, keine Frage. Freundlichkeit im Alltag ist ein Ritual; echte Freundschaft wächst langsamer (Kapitel </w:t>
            </w:r>
            <w:hyperlink w:anchor="k32" w:history="1">
              <w:r>
                <w:rPr>
                  <w:sz w:val="20"/>
                  <w:szCs w:val="20"/>
                </w:rPr>
                <w:t>32</w:t>
              </w:r>
            </w:hyperlink>
            <w:r>
              <w:rPr>
                <w:sz w:val="20"/>
                <w:szCs w:val="20"/>
              </w:rPr>
              <w:t>).</w:t>
            </w:r>
          </w:p>
          <w:p w14:paraId="70A4E23A" w14:textId="77777777" w:rsidR="00C1548D" w:rsidRDefault="009B1B4B" w:rsidP="009B1B4B">
            <w:pPr>
              <w:pStyle w:val="ListParagraph"/>
              <w:numPr>
                <w:ilvl w:val="0"/>
                <w:numId w:val="1"/>
              </w:numPr>
              <w:spacing w:after="50" w:line="264" w:lineRule="auto"/>
            </w:pPr>
            <w:r>
              <w:rPr>
                <w:sz w:val="20"/>
                <w:szCs w:val="20"/>
              </w:rPr>
              <w:t>Trinkgeld gehört zum Lohn: 18–20 % im Restaurant, dazu Verkaufssteuer, die auf keinem Preisschild steht. Rechne mit rund einem Viertel Aufschlag.</w:t>
            </w:r>
          </w:p>
          <w:p w14:paraId="70A4E23B" w14:textId="77777777" w:rsidR="00C1548D" w:rsidRDefault="009B1B4B" w:rsidP="009B1B4B">
            <w:pPr>
              <w:pStyle w:val="ListParagraph"/>
              <w:numPr>
                <w:ilvl w:val="0"/>
                <w:numId w:val="1"/>
              </w:numPr>
              <w:spacing w:after="50" w:line="264" w:lineRule="auto"/>
            </w:pPr>
            <w:r>
              <w:rPr>
                <w:sz w:val="20"/>
                <w:szCs w:val="20"/>
              </w:rPr>
              <w:t>Deutsche Direktheit kommt oft als Härte an. Verpacke Kritik, lobe konkret und häufig, frage lieber, als zu belehren.</w:t>
            </w:r>
          </w:p>
          <w:p w14:paraId="70A4E23C" w14:textId="77777777" w:rsidR="00C1548D" w:rsidRDefault="009B1B4B" w:rsidP="009B1B4B">
            <w:pPr>
              <w:pStyle w:val="ListParagraph"/>
              <w:numPr>
                <w:ilvl w:val="0"/>
                <w:numId w:val="1"/>
              </w:numPr>
              <w:spacing w:after="50" w:line="264" w:lineRule="auto"/>
            </w:pPr>
            <w:r>
              <w:rPr>
                <w:sz w:val="20"/>
                <w:szCs w:val="20"/>
              </w:rPr>
              <w:t>Politik, Religion, Gehalt und Waffen sind bei Fremden kein Small-Talk-Thema. Als Nichtstaatsbürger gelten zusätzliche Grenzen bei Cannabis, Wahlspenden und Waffen.</w:t>
            </w:r>
          </w:p>
          <w:p w14:paraId="70A4E23D" w14:textId="77777777" w:rsidR="00C1548D" w:rsidRDefault="009B1B4B" w:rsidP="009B1B4B">
            <w:pPr>
              <w:pStyle w:val="ListParagraph"/>
              <w:numPr>
                <w:ilvl w:val="0"/>
                <w:numId w:val="1"/>
              </w:numPr>
              <w:spacing w:after="50" w:line="264" w:lineRule="auto"/>
            </w:pPr>
            <w:r>
              <w:rPr>
                <w:sz w:val="20"/>
                <w:szCs w:val="20"/>
              </w:rPr>
              <w:t>Es gibt keine Meldepflicht, dafür Klagekultur, Haftungsverzichte und Warnhinweise; eine Haftpflichtversicherung lohnt sich.</w:t>
            </w:r>
          </w:p>
          <w:p w14:paraId="70A4E23E" w14:textId="77777777" w:rsidR="00C1548D" w:rsidRDefault="009B1B4B" w:rsidP="009B1B4B">
            <w:pPr>
              <w:pStyle w:val="ListParagraph"/>
              <w:numPr>
                <w:ilvl w:val="0"/>
                <w:numId w:val="1"/>
              </w:numPr>
              <w:spacing w:after="50" w:line="264" w:lineRule="auto"/>
            </w:pPr>
            <w:r>
              <w:rPr>
                <w:sz w:val="20"/>
                <w:szCs w:val="20"/>
              </w:rPr>
              <w:t>Am Ende fassen 15 Faustregeln alles für den Alltag zusammen.</w:t>
            </w:r>
          </w:p>
        </w:tc>
      </w:tr>
    </w:tbl>
    <w:p w14:paraId="70A4E240" w14:textId="77777777" w:rsidR="00C1548D" w:rsidRDefault="00C1548D">
      <w:pPr>
        <w:spacing w:line="220" w:lineRule="exact"/>
      </w:pPr>
    </w:p>
    <w:p w14:paraId="70A4E241" w14:textId="77777777" w:rsidR="00C1548D" w:rsidRDefault="009B1B4B">
      <w:pPr>
        <w:pStyle w:val="Heading3"/>
        <w:keepNext/>
        <w:jc w:val="center"/>
      </w:pPr>
      <w:r>
        <w:rPr>
          <w:rFonts w:ascii="Amazon Ember" w:eastAsia="Amazon Ember" w:hAnsi="Amazon Ember" w:cs="Amazon Ember"/>
          <w:color w:val="0000FF"/>
          <w:sz w:val="36"/>
          <w:szCs w:val="36"/>
        </w:rPr>
        <w:t>Umgang: Small Talk, Direktheit, Namen und Nähe</w:t>
      </w:r>
    </w:p>
    <w:p w14:paraId="70A4E242" w14:textId="77777777" w:rsidR="00C1548D" w:rsidRDefault="009B1B4B">
      <w:pPr>
        <w:spacing w:after="140"/>
      </w:pPr>
      <w:r>
        <w:rPr>
          <w:b/>
          <w:bCs/>
        </w:rPr>
        <w:t>„How are you?“ und Small Talk.</w:t>
      </w:r>
      <w:r>
        <w:t xml:space="preserve"> Die Frage ist eine Begrüßung. Erwartet wird ein kurzes „Good, thanks, and you?“; wer ehrlich </w:t>
      </w:r>
      <w:r>
        <w:lastRenderedPageBreak/>
        <w:t>Bilanz zieht, verwirrt sein Gegenüber. Der Kontrast zur deutschen Frage ist spürbar: Wer in Deutschland „Wie geht’s?“ fragt, muss mit einer echten Antwort rechnen – im Zweifel mit Rücken, Chef und Bahnverspätung als Klagepunkten, gerne auch zehn Minuten lang. Genau diese Ausführlichkeit wirkt in den USA fehl am Platz; die kurze Standardantwort erscheint manchen Neuankömmlingen zunächst hohl oder aufgesetzt, ist abe</w:t>
      </w:r>
      <w:r>
        <w:t>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w:t>
      </w:r>
      <w:r>
        <w:t xml:space="preserve"> Religion, Gewicht, Lebensalter und Familienplanung. Gespräche in der Schlange oder im Aufzug sind üblich, unverbindlich und nach zwei Sätzen vorbei. Nachbarn winken oder grüßen im Vorbeigehen; grüße zurück.</w:t>
      </w:r>
    </w:p>
    <w:p w14:paraId="70A4E243" w14:textId="2F34D8E1" w:rsidR="00C1548D" w:rsidRDefault="009B1B4B">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history="1">
        <w:r>
          <w:t>32</w:t>
        </w:r>
      </w:hyperlink>
      <w:r>
        <w:t>.</w:t>
      </w:r>
    </w:p>
    <w:p w14:paraId="70A4E244" w14:textId="1DA685AD" w:rsidR="00C1548D" w:rsidRDefault="009B1B4B">
      <w:pPr>
        <w:spacing w:after="140"/>
      </w:pPr>
      <w:r>
        <w:rPr>
          <w:b/>
          <w:bCs/>
        </w:rPr>
        <w:t>Direktheit.</w:t>
      </w:r>
      <w:r>
        <w:t xml:space="preserve"> „Das funktioniert so nicht“ ist in Deutschland eine Sachaussage; in den USA hört man darin einen Angriff auf die Person. Kritik wird verpackt: erst etwas Positives, dann eine Frage („Have we considered …?“), dann der Vorschlag. Umgekehrt heißt „That’s interesting“ oder „We’ll see“ manchmal nein, und „Great idea!“ ist nicht immer eine Zusage. Feedback im Job: Kapitel </w:t>
      </w:r>
      <w:hyperlink w:anchor="k29" w:history="1">
        <w:r>
          <w:t>29</w:t>
        </w:r>
      </w:hyperlink>
      <w:r>
        <w:t>.</w:t>
      </w:r>
    </w:p>
    <w:p w14:paraId="70A4E245" w14:textId="77777777" w:rsidR="00C1548D" w:rsidRDefault="009B1B4B">
      <w:pPr>
        <w:spacing w:after="140"/>
      </w:pPr>
      <w:r>
        <w:rPr>
          <w:b/>
          <w:bCs/>
        </w:rPr>
        <w:t>Lob.</w:t>
      </w:r>
      <w:r>
        <w:t xml:space="preserve"> In Schwaben gilt: „Nicht geschimpft ist genug gelobt.“ In den USA gilt das Gegenteil: Wer kein Lob hört, fragt sich, ob etwas nicht stimmt. „Great job“, „Awesome“ und „Amazing“ sind Alltagswörter, </w:t>
      </w:r>
      <w:r>
        <w:lastRenderedPageBreak/>
        <w:t>keine Superlative. Nimm Lob mit „Thank you“ an, statt es abzuwehren, und gib es selbst konkret und oft.</w:t>
      </w:r>
    </w:p>
    <w:p w14:paraId="70A4E246" w14:textId="77777777" w:rsidR="00C1548D" w:rsidRDefault="009B1B4B">
      <w:pPr>
        <w:spacing w:after="140"/>
      </w:pPr>
      <w:r>
        <w:rPr>
          <w:b/>
          <w:bCs/>
        </w:rPr>
        <w:t>Namen und Anrede.</w:t>
      </w:r>
      <w:r>
        <w:t xml:space="preserv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w14:paraId="70A4E247" w14:textId="77777777" w:rsidR="00C1548D" w:rsidRDefault="009B1B4B">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w14:paraId="70A4E248" w14:textId="77777777" w:rsidR="00C1548D" w:rsidRDefault="009B1B4B">
      <w:pPr>
        <w:spacing w:after="140"/>
      </w:pPr>
      <w:r>
        <w:rPr>
          <w:b/>
          <w:bCs/>
        </w:rPr>
        <w:t>Humor und Alltagssprache.</w:t>
      </w:r>
      <w:r>
        <w:t xml:space="preserv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w14:paraId="70A4E249" w14:textId="77777777" w:rsidR="00C1548D" w:rsidRDefault="009B1B4B">
      <w:pPr>
        <w:spacing w:after="140"/>
      </w:pPr>
      <w:r>
        <w:t xml:space="preserve">Am auffälligsten wird das im Supermarkt: Willst du an jemandem vorbei, der vor dem Regal steht, hörst du ein „Excuse me“, bevor sich die Person überhaupt bewegt – manchmal, bevor du selbst gemerkt 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w:t>
      </w:r>
      <w:r>
        <w:t>und öffnet fast jede Lücke, auch die, die eigentlich zu eng dafür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24C"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24A" w14:textId="77777777" w:rsidR="00C1548D" w:rsidRDefault="009B1B4B">
            <w:pPr>
              <w:keepNext/>
              <w:spacing w:after="70" w:line="240" w:lineRule="auto"/>
            </w:pPr>
            <w:r>
              <w:rPr>
                <w:b/>
                <w:bCs/>
                <w:color w:val="4A5568"/>
                <w:spacing w:val="24"/>
                <w:sz w:val="16"/>
                <w:szCs w:val="16"/>
              </w:rPr>
              <w:lastRenderedPageBreak/>
              <w:t>PRAXISBEISPIEL · FIKTIV</w:t>
            </w:r>
          </w:p>
          <w:p w14:paraId="70A4E24B" w14:textId="2A3D8762" w:rsidR="00C1548D" w:rsidRDefault="009B1B4B">
            <w:pPr>
              <w:spacing w:after="80" w:line="264" w:lineRule="auto"/>
            </w:pPr>
            <w:r>
              <w:rPr>
                <w:sz w:val="20"/>
                <w:szCs w:val="20"/>
              </w:rPr>
              <w:t>Sabine Keller (fiktiv) beginnt in Seattle bei einem Technologieunternehmen. Jeden Morgen fragt der Kollege am Nebentisch „How’s it going?“. Am Mittwoch antwortet sie ehrlich: schlecht geschlafen, die Wohnung sei laut, das Bankkonto noch nicht eröffnet. Er nickt freundlich, das Gespräch endet. Am Freitag hört sie zu, wie andere antworten: „Good, busy, you?“ Fast immer folgt eine zweite Frage: „Any plans for the weekend?“ Sabine übernimmt das Muster, erzählt von einer geplanten Wanderung und bekommt zwei Wegt</w:t>
            </w:r>
            <w:r>
              <w:rPr>
                <w:sz w:val="20"/>
                <w:szCs w:val="20"/>
              </w:rPr>
              <w:t>ipps. Nach zwei Wochen kennt sie drei Kollegen mit Namen und Hobby. Für mehr braucht es Zeit und Verabredungen (</w:t>
            </w:r>
            <w:r>
              <w:rPr>
                <w:sz w:val="20"/>
                <w:szCs w:val="20"/>
              </w:rPr>
              <w:t>Kapitel </w:t>
            </w:r>
            <w:hyperlink w:anchor="k32" w:history="1">
              <w:r>
                <w:rPr>
                  <w:sz w:val="20"/>
                  <w:szCs w:val="20"/>
                </w:rPr>
                <w:t>32</w:t>
              </w:r>
            </w:hyperlink>
            <w:r>
              <w:rPr>
                <w:sz w:val="20"/>
                <w:szCs w:val="20"/>
              </w:rPr>
              <w:t>).</w:t>
            </w:r>
          </w:p>
        </w:tc>
      </w:tr>
    </w:tbl>
    <w:p w14:paraId="70A4E24D" w14:textId="77777777" w:rsidR="00C1548D" w:rsidRDefault="00C1548D">
      <w:pPr>
        <w:spacing w:line="22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77"/>
        <w:gridCol w:w="1715"/>
        <w:gridCol w:w="1828"/>
        <w:gridCol w:w="1860"/>
      </w:tblGrid>
      <w:tr w:rsidR="00C1548D" w14:paraId="70A4E252" w14:textId="77777777">
        <w:tblPrEx>
          <w:tblCellMar>
            <w:top w:w="0" w:type="dxa"/>
            <w:bottom w:w="0" w:type="dxa"/>
          </w:tblCellMar>
        </w:tblPrEx>
        <w:trPr>
          <w:cantSplit/>
          <w:tblHeader/>
        </w:trPr>
        <w:tc>
          <w:tcPr>
            <w:tcW w:w="10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4E" w14:textId="77777777" w:rsidR="00C1548D" w:rsidRDefault="009B1B4B">
            <w:pPr>
              <w:spacing w:line="250" w:lineRule="auto"/>
            </w:pPr>
            <w:r>
              <w:rPr>
                <w:b/>
                <w:bCs/>
                <w:sz w:val="18"/>
                <w:szCs w:val="18"/>
              </w:rPr>
              <w:t>Situation</w:t>
            </w:r>
          </w:p>
        </w:tc>
        <w:tc>
          <w:tcPr>
            <w:tcW w:w="171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4F" w14:textId="77777777" w:rsidR="00C1548D" w:rsidRDefault="009B1B4B">
            <w:pPr>
              <w:spacing w:line="250" w:lineRule="auto"/>
            </w:pPr>
            <w:r>
              <w:rPr>
                <w:b/>
                <w:bCs/>
                <w:sz w:val="18"/>
                <w:szCs w:val="18"/>
              </w:rPr>
              <w:t>In Deutschland</w:t>
            </w:r>
          </w:p>
        </w:tc>
        <w:tc>
          <w:tcPr>
            <w:tcW w:w="18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50" w14:textId="77777777" w:rsidR="00C1548D" w:rsidRDefault="009B1B4B">
            <w:pPr>
              <w:spacing w:line="250" w:lineRule="auto"/>
            </w:pPr>
            <w:r>
              <w:rPr>
                <w:b/>
                <w:bCs/>
                <w:sz w:val="18"/>
                <w:szCs w:val="18"/>
              </w:rPr>
              <w:t>In den USA</w:t>
            </w:r>
          </w:p>
        </w:tc>
        <w:tc>
          <w:tcPr>
            <w:tcW w:w="18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51" w14:textId="77777777" w:rsidR="00C1548D" w:rsidRDefault="009B1B4B">
            <w:pPr>
              <w:spacing w:line="250" w:lineRule="auto"/>
            </w:pPr>
            <w:r>
              <w:rPr>
                <w:b/>
                <w:bCs/>
                <w:sz w:val="18"/>
                <w:szCs w:val="18"/>
              </w:rPr>
              <w:t>Tipp</w:t>
            </w:r>
          </w:p>
        </w:tc>
      </w:tr>
      <w:tr w:rsidR="00C1548D" w14:paraId="70A4E257" w14:textId="77777777">
        <w:tblPrEx>
          <w:tblCellMar>
            <w:top w:w="0" w:type="dxa"/>
            <w:bottom w:w="0" w:type="dxa"/>
          </w:tblCellMar>
        </w:tblPrEx>
        <w:trPr>
          <w:cantSplit/>
        </w:trPr>
        <w:tc>
          <w:tcPr>
            <w:tcW w:w="1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53" w14:textId="77777777" w:rsidR="00C1548D" w:rsidRDefault="009B1B4B">
            <w:pPr>
              <w:spacing w:line="250" w:lineRule="auto"/>
            </w:pPr>
            <w:r>
              <w:rPr>
                <w:sz w:val="18"/>
                <w:szCs w:val="18"/>
              </w:rPr>
              <w:t>Begrüßung</w:t>
            </w:r>
          </w:p>
        </w:tc>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54" w14:textId="77777777" w:rsidR="00C1548D" w:rsidRDefault="009B1B4B">
            <w:pPr>
              <w:spacing w:line="250" w:lineRule="auto"/>
            </w:pPr>
            <w:r>
              <w:rPr>
                <w:sz w:val="18"/>
                <w:szCs w:val="18"/>
              </w:rPr>
              <w:t>„Wie geht’s?“ fragt nach dem Befinden</w:t>
            </w:r>
          </w:p>
        </w:tc>
        <w:tc>
          <w:tcPr>
            <w:tcW w:w="18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55" w14:textId="77777777" w:rsidR="00C1548D" w:rsidRDefault="009B1B4B">
            <w:pPr>
              <w:spacing w:line="250" w:lineRule="auto"/>
            </w:pPr>
            <w:r>
              <w:rPr>
                <w:sz w:val="18"/>
                <w:szCs w:val="18"/>
              </w:rPr>
              <w:t>„How are you?“ ist ein Gruß</w:t>
            </w:r>
          </w:p>
        </w:tc>
        <w:tc>
          <w:tcPr>
            <w:tcW w:w="1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56" w14:textId="77777777" w:rsidR="00C1548D" w:rsidRDefault="009B1B4B">
            <w:pPr>
              <w:spacing w:line="250" w:lineRule="auto"/>
            </w:pPr>
            <w:r>
              <w:rPr>
                <w:sz w:val="18"/>
                <w:szCs w:val="18"/>
              </w:rPr>
              <w:t>Kurz antworten, zurückfragen</w:t>
            </w:r>
          </w:p>
        </w:tc>
      </w:tr>
      <w:tr w:rsidR="00C1548D" w14:paraId="70A4E25C" w14:textId="77777777">
        <w:tblPrEx>
          <w:tblCellMar>
            <w:top w:w="0" w:type="dxa"/>
            <w:bottom w:w="0" w:type="dxa"/>
          </w:tblCellMar>
        </w:tblPrEx>
        <w:trPr>
          <w:cantSplit/>
        </w:trPr>
        <w:tc>
          <w:tcPr>
            <w:tcW w:w="1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58" w14:textId="77777777" w:rsidR="00C1548D" w:rsidRDefault="009B1B4B">
            <w:pPr>
              <w:spacing w:line="250" w:lineRule="auto"/>
            </w:pPr>
            <w:r>
              <w:rPr>
                <w:sz w:val="18"/>
                <w:szCs w:val="18"/>
              </w:rPr>
              <w:t>„Wir sollten uns mal treffen“</w:t>
            </w:r>
          </w:p>
        </w:tc>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59" w14:textId="77777777" w:rsidR="00C1548D" w:rsidRDefault="009B1B4B">
            <w:pPr>
              <w:spacing w:line="250" w:lineRule="auto"/>
            </w:pPr>
            <w:r>
              <w:rPr>
                <w:sz w:val="18"/>
                <w:szCs w:val="18"/>
              </w:rPr>
              <w:t>Meist ernst gemeint</w:t>
            </w:r>
          </w:p>
        </w:tc>
        <w:tc>
          <w:tcPr>
            <w:tcW w:w="18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5A" w14:textId="77777777" w:rsidR="00C1548D" w:rsidRDefault="009B1B4B">
            <w:pPr>
              <w:spacing w:line="250" w:lineRule="auto"/>
            </w:pPr>
            <w:r>
              <w:rPr>
                <w:sz w:val="18"/>
                <w:szCs w:val="18"/>
              </w:rPr>
              <w:t>Oft Höflichkeitsformel</w:t>
            </w:r>
          </w:p>
        </w:tc>
        <w:tc>
          <w:tcPr>
            <w:tcW w:w="1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5B" w14:textId="77777777" w:rsidR="00C1548D" w:rsidRDefault="009B1B4B">
            <w:pPr>
              <w:spacing w:line="250" w:lineRule="auto"/>
            </w:pPr>
            <w:r>
              <w:rPr>
                <w:sz w:val="18"/>
                <w:szCs w:val="18"/>
              </w:rPr>
              <w:t>Selbst Tag und Ort nennen</w:t>
            </w:r>
          </w:p>
        </w:tc>
      </w:tr>
      <w:tr w:rsidR="00C1548D" w14:paraId="70A4E261" w14:textId="77777777">
        <w:tblPrEx>
          <w:tblCellMar>
            <w:top w:w="0" w:type="dxa"/>
            <w:bottom w:w="0" w:type="dxa"/>
          </w:tblCellMar>
        </w:tblPrEx>
        <w:trPr>
          <w:cantSplit/>
        </w:trPr>
        <w:tc>
          <w:tcPr>
            <w:tcW w:w="1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5D" w14:textId="77777777" w:rsidR="00C1548D" w:rsidRDefault="009B1B4B">
            <w:pPr>
              <w:spacing w:line="250" w:lineRule="auto"/>
            </w:pPr>
            <w:r>
              <w:rPr>
                <w:sz w:val="18"/>
                <w:szCs w:val="18"/>
              </w:rPr>
              <w:t>Kritik</w:t>
            </w:r>
          </w:p>
        </w:tc>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5E" w14:textId="77777777" w:rsidR="00C1548D" w:rsidRDefault="009B1B4B">
            <w:pPr>
              <w:spacing w:line="250" w:lineRule="auto"/>
            </w:pPr>
            <w:r>
              <w:rPr>
                <w:sz w:val="18"/>
                <w:szCs w:val="18"/>
              </w:rPr>
              <w:t>Direkt und sachlich</w:t>
            </w:r>
          </w:p>
        </w:tc>
        <w:tc>
          <w:tcPr>
            <w:tcW w:w="18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5F" w14:textId="77777777" w:rsidR="00C1548D" w:rsidRDefault="009B1B4B">
            <w:pPr>
              <w:spacing w:line="250" w:lineRule="auto"/>
            </w:pPr>
            <w:r>
              <w:rPr>
                <w:sz w:val="18"/>
                <w:szCs w:val="18"/>
              </w:rPr>
              <w:t>Verpackt, erst Positives</w:t>
            </w:r>
          </w:p>
        </w:tc>
        <w:tc>
          <w:tcPr>
            <w:tcW w:w="1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0" w14:textId="77777777" w:rsidR="00C1548D" w:rsidRDefault="009B1B4B">
            <w:pPr>
              <w:spacing w:line="250" w:lineRule="auto"/>
            </w:pPr>
            <w:r>
              <w:rPr>
                <w:sz w:val="18"/>
                <w:szCs w:val="18"/>
              </w:rPr>
              <w:t>Als Frage oder Vorschlag formulieren</w:t>
            </w:r>
          </w:p>
        </w:tc>
      </w:tr>
      <w:tr w:rsidR="00C1548D" w14:paraId="70A4E266" w14:textId="77777777">
        <w:tblPrEx>
          <w:tblCellMar>
            <w:top w:w="0" w:type="dxa"/>
            <w:bottom w:w="0" w:type="dxa"/>
          </w:tblCellMar>
        </w:tblPrEx>
        <w:trPr>
          <w:cantSplit/>
        </w:trPr>
        <w:tc>
          <w:tcPr>
            <w:tcW w:w="1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2" w14:textId="77777777" w:rsidR="00C1548D" w:rsidRDefault="009B1B4B">
            <w:pPr>
              <w:spacing w:line="250" w:lineRule="auto"/>
            </w:pPr>
            <w:r>
              <w:rPr>
                <w:sz w:val="18"/>
                <w:szCs w:val="18"/>
              </w:rPr>
              <w:t>Lob</w:t>
            </w:r>
          </w:p>
        </w:tc>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3" w14:textId="77777777" w:rsidR="00C1548D" w:rsidRDefault="009B1B4B">
            <w:pPr>
              <w:spacing w:line="250" w:lineRule="auto"/>
            </w:pPr>
            <w:r>
              <w:rPr>
                <w:sz w:val="18"/>
                <w:szCs w:val="18"/>
              </w:rPr>
              <w:t>Selten, zurückhaltend</w:t>
            </w:r>
          </w:p>
        </w:tc>
        <w:tc>
          <w:tcPr>
            <w:tcW w:w="18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4" w14:textId="77777777" w:rsidR="00C1548D" w:rsidRDefault="009B1B4B">
            <w:pPr>
              <w:spacing w:line="250" w:lineRule="auto"/>
            </w:pPr>
            <w:r>
              <w:rPr>
                <w:sz w:val="18"/>
                <w:szCs w:val="18"/>
              </w:rPr>
              <w:t>Häufig, überschwänglich</w:t>
            </w:r>
          </w:p>
        </w:tc>
        <w:tc>
          <w:tcPr>
            <w:tcW w:w="1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5" w14:textId="77777777" w:rsidR="00C1548D" w:rsidRDefault="009B1B4B">
            <w:pPr>
              <w:spacing w:line="250" w:lineRule="auto"/>
            </w:pPr>
            <w:r>
              <w:rPr>
                <w:sz w:val="18"/>
                <w:szCs w:val="18"/>
              </w:rPr>
              <w:t>Annehmen, selbst konkret loben</w:t>
            </w:r>
          </w:p>
        </w:tc>
      </w:tr>
      <w:tr w:rsidR="00C1548D" w14:paraId="70A4E26B" w14:textId="77777777">
        <w:tblPrEx>
          <w:tblCellMar>
            <w:top w:w="0" w:type="dxa"/>
            <w:bottom w:w="0" w:type="dxa"/>
          </w:tblCellMar>
        </w:tblPrEx>
        <w:trPr>
          <w:cantSplit/>
        </w:trPr>
        <w:tc>
          <w:tcPr>
            <w:tcW w:w="1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7" w14:textId="77777777" w:rsidR="00C1548D" w:rsidRDefault="009B1B4B">
            <w:pPr>
              <w:spacing w:line="250" w:lineRule="auto"/>
            </w:pPr>
            <w:r>
              <w:rPr>
                <w:sz w:val="18"/>
                <w:szCs w:val="18"/>
              </w:rPr>
              <w:t>Anrede</w:t>
            </w:r>
          </w:p>
        </w:tc>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8" w14:textId="77777777" w:rsidR="00C1548D" w:rsidRDefault="009B1B4B">
            <w:pPr>
              <w:spacing w:line="250" w:lineRule="auto"/>
            </w:pPr>
            <w:r>
              <w:rPr>
                <w:sz w:val="18"/>
                <w:szCs w:val="18"/>
              </w:rPr>
              <w:t>Siezen, Titel, später Duzen</w:t>
            </w:r>
          </w:p>
        </w:tc>
        <w:tc>
          <w:tcPr>
            <w:tcW w:w="18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9" w14:textId="77777777" w:rsidR="00C1548D" w:rsidRDefault="009B1B4B">
            <w:pPr>
              <w:spacing w:line="250" w:lineRule="auto"/>
            </w:pPr>
            <w:r>
              <w:rPr>
                <w:sz w:val="18"/>
                <w:szCs w:val="18"/>
              </w:rPr>
              <w:t>Vorname ab dem ersten Treffen</w:t>
            </w:r>
          </w:p>
        </w:tc>
        <w:tc>
          <w:tcPr>
            <w:tcW w:w="1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A" w14:textId="77777777" w:rsidR="00C1548D" w:rsidRDefault="009B1B4B">
            <w:pPr>
              <w:spacing w:line="250" w:lineRule="auto"/>
            </w:pPr>
            <w:r>
              <w:rPr>
                <w:sz w:val="18"/>
                <w:szCs w:val="18"/>
              </w:rPr>
              <w:t>Titel nur bei Ärzten und Älteren</w:t>
            </w:r>
          </w:p>
        </w:tc>
      </w:tr>
      <w:tr w:rsidR="00C1548D" w14:paraId="70A4E270" w14:textId="77777777">
        <w:tblPrEx>
          <w:tblCellMar>
            <w:top w:w="0" w:type="dxa"/>
            <w:bottom w:w="0" w:type="dxa"/>
          </w:tblCellMar>
        </w:tblPrEx>
        <w:trPr>
          <w:cantSplit/>
        </w:trPr>
        <w:tc>
          <w:tcPr>
            <w:tcW w:w="10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C" w14:textId="77777777" w:rsidR="00C1548D" w:rsidRDefault="009B1B4B">
            <w:pPr>
              <w:spacing w:line="250" w:lineRule="auto"/>
            </w:pPr>
            <w:r>
              <w:rPr>
                <w:sz w:val="18"/>
                <w:szCs w:val="18"/>
              </w:rPr>
              <w:t>Körperkontakt</w:t>
            </w:r>
          </w:p>
        </w:tc>
        <w:tc>
          <w:tcPr>
            <w:tcW w:w="17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D" w14:textId="77777777" w:rsidR="00C1548D" w:rsidRDefault="009B1B4B">
            <w:pPr>
              <w:spacing w:line="250" w:lineRule="auto"/>
            </w:pPr>
            <w:r>
              <w:rPr>
                <w:sz w:val="18"/>
                <w:szCs w:val="18"/>
              </w:rPr>
              <w:t>Händedruck</w:t>
            </w:r>
          </w:p>
        </w:tc>
        <w:tc>
          <w:tcPr>
            <w:tcW w:w="18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E" w14:textId="77777777" w:rsidR="00C1548D" w:rsidRDefault="009B1B4B">
            <w:pPr>
              <w:spacing w:line="250" w:lineRule="auto"/>
            </w:pPr>
            <w:r>
              <w:rPr>
                <w:sz w:val="18"/>
                <w:szCs w:val="18"/>
              </w:rPr>
              <w:t>Händedruck, unter Freunden Umarmung</w:t>
            </w:r>
          </w:p>
        </w:tc>
        <w:tc>
          <w:tcPr>
            <w:tcW w:w="1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6F" w14:textId="77777777" w:rsidR="00C1548D" w:rsidRDefault="009B1B4B">
            <w:pPr>
              <w:spacing w:line="250" w:lineRule="auto"/>
            </w:pPr>
            <w:r>
              <w:rPr>
                <w:sz w:val="18"/>
                <w:szCs w:val="18"/>
              </w:rPr>
              <w:t>Umarmung abwarten</w:t>
            </w:r>
          </w:p>
        </w:tc>
      </w:tr>
    </w:tbl>
    <w:p w14:paraId="70A4E271"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274"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272" w14:textId="77777777" w:rsidR="00C1548D" w:rsidRDefault="009B1B4B">
            <w:pPr>
              <w:keepNext/>
              <w:spacing w:after="70" w:line="240" w:lineRule="auto"/>
            </w:pPr>
            <w:r>
              <w:rPr>
                <w:b/>
                <w:bCs/>
                <w:color w:val="8A6212"/>
                <w:spacing w:val="24"/>
                <w:sz w:val="16"/>
                <w:szCs w:val="16"/>
              </w:rPr>
              <w:t>MERKE</w:t>
            </w:r>
          </w:p>
          <w:p w14:paraId="70A4E273" w14:textId="77777777" w:rsidR="00C1548D" w:rsidRDefault="009B1B4B">
            <w:pPr>
              <w:spacing w:after="80" w:line="264" w:lineRule="auto"/>
            </w:pPr>
            <w:r>
              <w:rPr>
                <w:sz w:val="20"/>
                <w:szCs w:val="20"/>
              </w:rPr>
              <w:t>In den USA liegt der Ton in der Verpackung, in Deutschland in der Sache. Wer beides beherrscht, verliert nichts von seiner Klarheit.</w:t>
            </w:r>
          </w:p>
        </w:tc>
      </w:tr>
    </w:tbl>
    <w:p w14:paraId="70A4E275" w14:textId="77777777" w:rsidR="00C1548D" w:rsidRDefault="00C1548D">
      <w:pPr>
        <w:spacing w:line="220" w:lineRule="exact"/>
      </w:pPr>
    </w:p>
    <w:p w14:paraId="70A4E276" w14:textId="77777777" w:rsidR="00C1548D" w:rsidRDefault="009B1B4B">
      <w:pPr>
        <w:pStyle w:val="Heading3"/>
        <w:keepNext/>
        <w:jc w:val="center"/>
      </w:pPr>
      <w:r>
        <w:rPr>
          <w:rFonts w:ascii="Amazon Ember" w:eastAsia="Amazon Ember" w:hAnsi="Amazon Ember" w:cs="Amazon Ember"/>
          <w:color w:val="0000FF"/>
          <w:sz w:val="36"/>
          <w:szCs w:val="36"/>
        </w:rPr>
        <w:lastRenderedPageBreak/>
        <w:t>Amerikanisches Englisch vor der Abreise trainieren</w:t>
      </w:r>
    </w:p>
    <w:p w14:paraId="70A4E277" w14:textId="77777777" w:rsidR="00C1548D" w:rsidRDefault="009B1B4B">
      <w:pPr>
        <w:spacing w:after="140"/>
      </w:pPr>
      <w:r>
        <w:t>Schulenglisch ist meist britisch geprägt, während US-Alltagssprache eigene Wörter (</w:t>
      </w:r>
      <w:r>
        <w:rPr>
          <w:i/>
          <w:iCs/>
        </w:rPr>
        <w:t>apartment</w:t>
      </w:r>
      <w:r>
        <w:t xml:space="preserve"> statt </w:t>
      </w:r>
      <w:r>
        <w:rPr>
          <w:i/>
          <w:iCs/>
        </w:rPr>
        <w:t>flat</w:t>
      </w:r>
      <w:r>
        <w:t xml:space="preserve">, </w:t>
      </w:r>
      <w:r>
        <w:rPr>
          <w:i/>
          <w:iCs/>
        </w:rPr>
        <w:t>elevator</w:t>
      </w:r>
      <w:r>
        <w:t xml:space="preserve"> statt </w:t>
      </w:r>
      <w:r>
        <w:rPr>
          <w:i/>
          <w:iCs/>
        </w:rPr>
        <w:t>lift</w:t>
      </w:r>
      <w:r>
        <w: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 General American klingt anders als Südstaaten-, Boston- oder Minneso</w:t>
      </w:r>
      <w:r>
        <w:t>ta-Englisch.</w:t>
      </w:r>
    </w:p>
    <w:p w14:paraId="70A4E278" w14:textId="77777777" w:rsidR="00C1548D" w:rsidRDefault="009B1B4B">
      <w:pPr>
        <w:spacing w:after="140"/>
      </w:pPr>
      <w:r>
        <w:t>Für gezielte Regionalakzente eignen sich Serien wie „Fargo“ (oberer Mittlerer Westen) oder „Justified“ (Kentucky); für den Alltagston allgemein hilft jede beliebige US-Serie im Original statt in deutscher Synchronisation. Prüfe die aktuelle Verfügbarkeit auf JustWatch.de, da sich Streaming-Kataloge laufend ändern. Stelle Untertitel wenn möglich auf Englisch, nicht auf Deutsch, und schau dir eine dir bekannte Serie noch einmal im Original an – die bekannte Handlung senkt die Einstiegshürde. Wer lieber strukt</w:t>
      </w:r>
      <w:r>
        <w:t>uriert lernt: ARD und ZDF bieten in ihren Mediatheken kostenlose Englischkurse, weniger unterhaltsam, aber solide.</w:t>
      </w:r>
    </w:p>
    <w:p w14:paraId="70A4E279" w14:textId="55F95810" w:rsidR="00C1548D" w:rsidRDefault="009B1B4B">
      <w:pPr>
        <w:spacing w:after="140"/>
      </w:pPr>
      <w:r>
        <w:t>Für Kinder gilt eine andere, altersabhängige Auswahl – dazu mehr in Kapitel </w:t>
      </w:r>
      <w:hyperlink w:anchor="k37" w:history="1">
        <w:r>
          <w:t>37</w:t>
        </w:r>
      </w:hyperlink>
      <w:r>
        <w:t>.</w:t>
      </w:r>
    </w:p>
    <w:p w14:paraId="70A4E27A" w14:textId="77777777" w:rsidR="00C1548D" w:rsidRDefault="009B1B4B">
      <w:pPr>
        <w:pStyle w:val="Heading3"/>
        <w:keepNext/>
        <w:jc w:val="center"/>
      </w:pPr>
      <w:r>
        <w:rPr>
          <w:rFonts w:ascii="Amazon Ember" w:eastAsia="Amazon Ember" w:hAnsi="Amazon Ember" w:cs="Amazon Ember"/>
          <w:color w:val="0000FF"/>
          <w:sz w:val="36"/>
          <w:szCs w:val="36"/>
        </w:rPr>
        <w:t>Zeit und Rhythmus</w:t>
      </w:r>
    </w:p>
    <w:p w14:paraId="70A4E27B" w14:textId="77777777" w:rsidR="00C1548D" w:rsidRDefault="009B1B4B">
      <w:pPr>
        <w:spacing w:after="140"/>
      </w:pPr>
      <w:r>
        <w:rPr>
          <w:b/>
          <w:bCs/>
        </w:rPr>
        <w:t>Pünktlichkeit und RSVP.</w:t>
      </w:r>
      <w:r>
        <w:t xml:space="preserve">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w:t>
      </w:r>
      <w:r>
        <w:lastRenderedPageBreak/>
        <w:t>man eine Antwort (</w:t>
      </w:r>
      <w:r>
        <w:rPr>
          <w:i/>
          <w:iCs/>
        </w:rPr>
        <w:t>RSVP</w:t>
      </w:r>
      <w:r>
        <w:t>, von französisch „répondez s’il vous plaît“: Bitte um Zu- oder Absage), auch bei Kindergeburtstagen und bis zum genannten Datum. Spontan vorbeizukommen ist unüblich; schreibe vorher eine kurze Nachricht.</w:t>
      </w:r>
    </w:p>
    <w:p w14:paraId="70A4E27C" w14:textId="756E094E" w:rsidR="00C1548D" w:rsidRDefault="009B1B4B">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history="1">
        <w:r>
          <w:t>29</w:t>
        </w:r>
      </w:hyperlink>
      <w:r>
        <w:t>.</w:t>
      </w:r>
    </w:p>
    <w:p w14:paraId="70A4E27D" w14:textId="77777777" w:rsidR="00C1548D" w:rsidRDefault="009B1B4B">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7"/>
        <w:gridCol w:w="1622"/>
        <w:gridCol w:w="1467"/>
        <w:gridCol w:w="1944"/>
      </w:tblGrid>
      <w:tr w:rsidR="00C1548D" w14:paraId="70A4E282" w14:textId="77777777">
        <w:tblPrEx>
          <w:tblCellMar>
            <w:top w:w="0" w:type="dxa"/>
            <w:bottom w:w="0" w:type="dxa"/>
          </w:tblCellMar>
        </w:tblPrEx>
        <w:trPr>
          <w:cantSplit/>
          <w:tblHeader/>
        </w:trPr>
        <w:tc>
          <w:tcPr>
            <w:tcW w:w="144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7E" w14:textId="77777777" w:rsidR="00C1548D" w:rsidRDefault="009B1B4B">
            <w:pPr>
              <w:spacing w:line="250" w:lineRule="auto"/>
            </w:pPr>
            <w:r>
              <w:rPr>
                <w:b/>
                <w:bCs/>
                <w:sz w:val="18"/>
                <w:szCs w:val="18"/>
              </w:rPr>
              <w:t>Situation</w:t>
            </w:r>
          </w:p>
        </w:tc>
        <w:tc>
          <w:tcPr>
            <w:tcW w:w="162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7F" w14:textId="77777777" w:rsidR="00C1548D" w:rsidRDefault="009B1B4B">
            <w:pPr>
              <w:spacing w:line="250" w:lineRule="auto"/>
            </w:pPr>
            <w:r>
              <w:rPr>
                <w:b/>
                <w:bCs/>
                <w:sz w:val="18"/>
                <w:szCs w:val="18"/>
              </w:rPr>
              <w:t>In Deutschland</w:t>
            </w:r>
          </w:p>
        </w:tc>
        <w:tc>
          <w:tcPr>
            <w:tcW w:w="146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80" w14:textId="77777777" w:rsidR="00C1548D" w:rsidRDefault="009B1B4B">
            <w:pPr>
              <w:spacing w:line="250" w:lineRule="auto"/>
            </w:pPr>
            <w:r>
              <w:rPr>
                <w:b/>
                <w:bCs/>
                <w:sz w:val="18"/>
                <w:szCs w:val="18"/>
              </w:rPr>
              <w:t>In den USA</w:t>
            </w:r>
          </w:p>
        </w:tc>
        <w:tc>
          <w:tcPr>
            <w:tcW w:w="194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81" w14:textId="77777777" w:rsidR="00C1548D" w:rsidRDefault="009B1B4B">
            <w:pPr>
              <w:spacing w:line="250" w:lineRule="auto"/>
            </w:pPr>
            <w:r>
              <w:rPr>
                <w:b/>
                <w:bCs/>
                <w:sz w:val="18"/>
                <w:szCs w:val="18"/>
              </w:rPr>
              <w:t>Tipp</w:t>
            </w:r>
          </w:p>
        </w:tc>
      </w:tr>
      <w:tr w:rsidR="00C1548D" w14:paraId="70A4E287" w14:textId="77777777">
        <w:tblPrEx>
          <w:tblCellMar>
            <w:top w:w="0" w:type="dxa"/>
            <w:bottom w:w="0" w:type="dxa"/>
          </w:tblCellMar>
        </w:tblPrEx>
        <w:trPr>
          <w:cantSplit/>
        </w:trPr>
        <w:tc>
          <w:tcPr>
            <w:tcW w:w="1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83" w14:textId="77777777" w:rsidR="00C1548D" w:rsidRDefault="009B1B4B">
            <w:pPr>
              <w:spacing w:line="250" w:lineRule="auto"/>
            </w:pPr>
            <w:r>
              <w:rPr>
                <w:sz w:val="18"/>
                <w:szCs w:val="18"/>
              </w:rPr>
              <w:t>Einladung zum Essen um 18 Uhr</w:t>
            </w:r>
          </w:p>
        </w:tc>
        <w:tc>
          <w:tcPr>
            <w:tcW w:w="1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84" w14:textId="77777777" w:rsidR="00C1548D" w:rsidRDefault="009B1B4B">
            <w:pPr>
              <w:spacing w:line="250" w:lineRule="auto"/>
            </w:pPr>
            <w:r>
              <w:rPr>
                <w:sz w:val="18"/>
                <w:szCs w:val="18"/>
              </w:rPr>
              <w:t>Pünktlich</w:t>
            </w:r>
          </w:p>
        </w:tc>
        <w:tc>
          <w:tcPr>
            <w:tcW w:w="14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85" w14:textId="77777777" w:rsidR="00C1548D" w:rsidRDefault="009B1B4B">
            <w:pPr>
              <w:spacing w:line="250" w:lineRule="auto"/>
            </w:pPr>
            <w:r>
              <w:rPr>
                <w:sz w:val="18"/>
                <w:szCs w:val="18"/>
              </w:rPr>
              <w:t>5 bis 15 Minuten später</w:t>
            </w:r>
          </w:p>
        </w:tc>
        <w:tc>
          <w:tcPr>
            <w:tcW w:w="19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86" w14:textId="77777777" w:rsidR="00C1548D" w:rsidRDefault="009B1B4B">
            <w:pPr>
              <w:spacing w:line="250" w:lineRule="auto"/>
            </w:pPr>
            <w:r>
              <w:rPr>
                <w:sz w:val="18"/>
                <w:szCs w:val="18"/>
              </w:rPr>
              <w:t>Nie früher klingeln</w:t>
            </w:r>
          </w:p>
        </w:tc>
      </w:tr>
      <w:tr w:rsidR="00C1548D" w14:paraId="70A4E28C" w14:textId="77777777">
        <w:tblPrEx>
          <w:tblCellMar>
            <w:top w:w="0" w:type="dxa"/>
            <w:bottom w:w="0" w:type="dxa"/>
          </w:tblCellMar>
        </w:tblPrEx>
        <w:trPr>
          <w:cantSplit/>
        </w:trPr>
        <w:tc>
          <w:tcPr>
            <w:tcW w:w="1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88" w14:textId="77777777" w:rsidR="00C1548D" w:rsidRDefault="009B1B4B">
            <w:pPr>
              <w:spacing w:line="250" w:lineRule="auto"/>
            </w:pPr>
            <w:r>
              <w:rPr>
                <w:sz w:val="18"/>
                <w:szCs w:val="18"/>
              </w:rPr>
              <w:t>Einladung ohne Antwort</w:t>
            </w:r>
          </w:p>
        </w:tc>
        <w:tc>
          <w:tcPr>
            <w:tcW w:w="1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89" w14:textId="77777777" w:rsidR="00C1548D" w:rsidRDefault="009B1B4B">
            <w:pPr>
              <w:spacing w:line="250" w:lineRule="auto"/>
            </w:pPr>
            <w:r>
              <w:rPr>
                <w:sz w:val="18"/>
                <w:szCs w:val="18"/>
              </w:rPr>
              <w:t>Zusage oft stillschweigend</w:t>
            </w:r>
          </w:p>
        </w:tc>
        <w:tc>
          <w:tcPr>
            <w:tcW w:w="14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8A" w14:textId="77777777" w:rsidR="00C1548D" w:rsidRDefault="009B1B4B">
            <w:pPr>
              <w:spacing w:line="250" w:lineRule="auto"/>
            </w:pPr>
            <w:r>
              <w:rPr>
                <w:i/>
                <w:iCs/>
                <w:sz w:val="18"/>
                <w:szCs w:val="18"/>
              </w:rPr>
              <w:t>RSVP</w:t>
            </w:r>
            <w:r>
              <w:rPr>
                <w:sz w:val="18"/>
                <w:szCs w:val="18"/>
              </w:rPr>
              <w:t xml:space="preserve"> wird erwartet</w:t>
            </w:r>
          </w:p>
        </w:tc>
        <w:tc>
          <w:tcPr>
            <w:tcW w:w="19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8B" w14:textId="77777777" w:rsidR="00C1548D" w:rsidRDefault="009B1B4B">
            <w:pPr>
              <w:spacing w:line="250" w:lineRule="auto"/>
            </w:pPr>
            <w:r>
              <w:rPr>
                <w:sz w:val="18"/>
                <w:szCs w:val="18"/>
              </w:rPr>
              <w:t>Bis zum Stichtag antworten</w:t>
            </w:r>
          </w:p>
        </w:tc>
      </w:tr>
      <w:tr w:rsidR="00C1548D" w14:paraId="70A4E291" w14:textId="77777777">
        <w:tblPrEx>
          <w:tblCellMar>
            <w:top w:w="0" w:type="dxa"/>
            <w:bottom w:w="0" w:type="dxa"/>
          </w:tblCellMar>
        </w:tblPrEx>
        <w:trPr>
          <w:cantSplit/>
        </w:trPr>
        <w:tc>
          <w:tcPr>
            <w:tcW w:w="1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8D" w14:textId="77777777" w:rsidR="00C1548D" w:rsidRDefault="009B1B4B">
            <w:pPr>
              <w:spacing w:line="250" w:lineRule="auto"/>
            </w:pPr>
            <w:r>
              <w:rPr>
                <w:sz w:val="18"/>
                <w:szCs w:val="18"/>
              </w:rPr>
              <w:t>Spontanbesuch</w:t>
            </w:r>
          </w:p>
        </w:tc>
        <w:tc>
          <w:tcPr>
            <w:tcW w:w="1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8E" w14:textId="77777777" w:rsidR="00C1548D" w:rsidRDefault="009B1B4B">
            <w:pPr>
              <w:spacing w:line="250" w:lineRule="auto"/>
            </w:pPr>
            <w:r>
              <w:rPr>
                <w:sz w:val="18"/>
                <w:szCs w:val="18"/>
              </w:rPr>
              <w:t>Unter Freunden üblich</w:t>
            </w:r>
          </w:p>
        </w:tc>
        <w:tc>
          <w:tcPr>
            <w:tcW w:w="14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8F" w14:textId="77777777" w:rsidR="00C1548D" w:rsidRDefault="009B1B4B">
            <w:pPr>
              <w:spacing w:line="250" w:lineRule="auto"/>
            </w:pPr>
            <w:r>
              <w:rPr>
                <w:sz w:val="18"/>
                <w:szCs w:val="18"/>
              </w:rPr>
              <w:t>Unüblich</w:t>
            </w:r>
          </w:p>
        </w:tc>
        <w:tc>
          <w:tcPr>
            <w:tcW w:w="19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90" w14:textId="77777777" w:rsidR="00C1548D" w:rsidRDefault="009B1B4B">
            <w:pPr>
              <w:spacing w:line="250" w:lineRule="auto"/>
            </w:pPr>
            <w:r>
              <w:rPr>
                <w:sz w:val="18"/>
                <w:szCs w:val="18"/>
              </w:rPr>
              <w:t>Vorher eine Nachricht schreiben</w:t>
            </w:r>
          </w:p>
        </w:tc>
      </w:tr>
      <w:tr w:rsidR="00C1548D" w14:paraId="70A4E296" w14:textId="77777777">
        <w:tblPrEx>
          <w:tblCellMar>
            <w:top w:w="0" w:type="dxa"/>
            <w:bottom w:w="0" w:type="dxa"/>
          </w:tblCellMar>
        </w:tblPrEx>
        <w:trPr>
          <w:cantSplit/>
        </w:trPr>
        <w:tc>
          <w:tcPr>
            <w:tcW w:w="1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92" w14:textId="77777777" w:rsidR="00C1548D" w:rsidRDefault="009B1B4B">
            <w:pPr>
              <w:spacing w:line="250" w:lineRule="auto"/>
            </w:pPr>
            <w:r>
              <w:rPr>
                <w:sz w:val="18"/>
                <w:szCs w:val="18"/>
              </w:rPr>
              <w:t>Sonntag</w:t>
            </w:r>
          </w:p>
        </w:tc>
        <w:tc>
          <w:tcPr>
            <w:tcW w:w="1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93" w14:textId="77777777" w:rsidR="00C1548D" w:rsidRDefault="009B1B4B">
            <w:pPr>
              <w:spacing w:line="250" w:lineRule="auto"/>
            </w:pPr>
            <w:r>
              <w:rPr>
                <w:sz w:val="18"/>
                <w:szCs w:val="18"/>
              </w:rPr>
              <w:t>Ruhetag, Läden zu</w:t>
            </w:r>
          </w:p>
        </w:tc>
        <w:tc>
          <w:tcPr>
            <w:tcW w:w="14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94" w14:textId="77777777" w:rsidR="00C1548D" w:rsidRDefault="009B1B4B">
            <w:pPr>
              <w:spacing w:line="250" w:lineRule="auto"/>
            </w:pPr>
            <w:r>
              <w:rPr>
                <w:sz w:val="18"/>
                <w:szCs w:val="18"/>
              </w:rPr>
              <w:t>Läden meist offen</w:t>
            </w:r>
          </w:p>
        </w:tc>
        <w:tc>
          <w:tcPr>
            <w:tcW w:w="19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95" w14:textId="77777777" w:rsidR="00C1548D" w:rsidRDefault="009B1B4B">
            <w:pPr>
              <w:spacing w:line="250" w:lineRule="auto"/>
            </w:pPr>
            <w:r>
              <w:rPr>
                <w:sz w:val="18"/>
                <w:szCs w:val="18"/>
              </w:rPr>
              <w:t>Ruhezeiten im Mietvertrag prüfen</w:t>
            </w:r>
          </w:p>
        </w:tc>
      </w:tr>
      <w:tr w:rsidR="00C1548D" w14:paraId="70A4E29B" w14:textId="77777777">
        <w:tblPrEx>
          <w:tblCellMar>
            <w:top w:w="0" w:type="dxa"/>
            <w:bottom w:w="0" w:type="dxa"/>
          </w:tblCellMar>
        </w:tblPrEx>
        <w:trPr>
          <w:cantSplit/>
        </w:trPr>
        <w:tc>
          <w:tcPr>
            <w:tcW w:w="1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97" w14:textId="77777777" w:rsidR="00C1548D" w:rsidRDefault="009B1B4B">
            <w:pPr>
              <w:spacing w:line="250" w:lineRule="auto"/>
            </w:pPr>
            <w:r>
              <w:rPr>
                <w:sz w:val="18"/>
                <w:szCs w:val="18"/>
              </w:rPr>
              <w:t>Datum</w:t>
            </w:r>
          </w:p>
        </w:tc>
        <w:tc>
          <w:tcPr>
            <w:tcW w:w="1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98" w14:textId="77777777" w:rsidR="00C1548D" w:rsidRDefault="009B1B4B">
            <w:pPr>
              <w:spacing w:line="250" w:lineRule="auto"/>
            </w:pPr>
            <w:r>
              <w:rPr>
                <w:sz w:val="18"/>
                <w:szCs w:val="18"/>
              </w:rPr>
              <w:t>7.4.2026 ist der 7. April</w:t>
            </w:r>
          </w:p>
        </w:tc>
        <w:tc>
          <w:tcPr>
            <w:tcW w:w="14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99" w14:textId="77777777" w:rsidR="00C1548D" w:rsidRDefault="009B1B4B">
            <w:pPr>
              <w:spacing w:line="250" w:lineRule="auto"/>
            </w:pPr>
            <w:r>
              <w:rPr>
                <w:sz w:val="18"/>
                <w:szCs w:val="18"/>
              </w:rPr>
              <w:t>7/4/2026 ist der 4. Juli</w:t>
            </w:r>
          </w:p>
        </w:tc>
        <w:tc>
          <w:tcPr>
            <w:tcW w:w="19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9A" w14:textId="77777777" w:rsidR="00C1548D" w:rsidRDefault="009B1B4B">
            <w:pPr>
              <w:spacing w:line="250" w:lineRule="auto"/>
            </w:pPr>
            <w:r>
              <w:rPr>
                <w:sz w:val="18"/>
                <w:szCs w:val="18"/>
              </w:rPr>
              <w:t>Termine ausschreiben</w:t>
            </w:r>
          </w:p>
        </w:tc>
      </w:tr>
    </w:tbl>
    <w:p w14:paraId="70A4E29C" w14:textId="77777777" w:rsidR="00C1548D" w:rsidRDefault="00C1548D">
      <w:pPr>
        <w:spacing w:line="180" w:lineRule="exact"/>
      </w:pPr>
    </w:p>
    <w:p w14:paraId="70A4E29D" w14:textId="77777777" w:rsidR="00C1548D" w:rsidRDefault="009B1B4B">
      <w:pPr>
        <w:pStyle w:val="Heading3"/>
        <w:keepNext/>
        <w:jc w:val="center"/>
      </w:pPr>
      <w:r>
        <w:rPr>
          <w:rFonts w:ascii="Amazon Ember" w:eastAsia="Amazon Ember" w:hAnsi="Amazon Ember" w:cs="Amazon Ember"/>
          <w:color w:val="0000FF"/>
          <w:sz w:val="36"/>
          <w:szCs w:val="36"/>
        </w:rPr>
        <w:lastRenderedPageBreak/>
        <w:t>Gesellschaft: Werte, Religion, Politik, Waffen</w:t>
      </w:r>
    </w:p>
    <w:p w14:paraId="70A4E29E" w14:textId="42F3E2FC" w:rsidR="00C1548D" w:rsidRDefault="009B1B4B">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history="1">
        <w:r>
          <w:t>26</w:t>
        </w:r>
      </w:hyperlink>
      <w:r>
        <w:t xml:space="preserve"> und </w:t>
      </w:r>
      <w:hyperlink w:anchor="k39" w:history="1">
        <w:r>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w14:paraId="70A4E29F" w14:textId="77777777" w:rsidR="00C1548D" w:rsidRDefault="009B1B4B">
      <w:pPr>
        <w:spacing w:after="140"/>
      </w:pPr>
      <w:r>
        <w:rPr>
          <w:b/>
          <w:bCs/>
        </w:rPr>
        <w:t>Patriotismus.</w:t>
      </w:r>
      <w:r>
        <w:t xml:space="preserve"> Flaggen an Häusern, die Hymne vor Sportspielen, in vielen Schulen der Treueschwur (</w:t>
      </w:r>
      <w:r>
        <w:rPr>
          <w:i/>
          <w:iCs/>
        </w:rPr>
        <w:t>Pledge of Allegiance</w:t>
      </w:r>
      <w:r>
        <w:t>), „Thank you for your service“ für Soldaten: Das gehört zur Alltagskultur und ist für die meisten ein Zeichen von Zugehörigkeit, nicht von Nationalismus. Bei der Hymne stehst du auf; mitsprechen musst du nicht. Spott über Flagge oder Militär ist ein schlechter Einstieg.</w:t>
      </w:r>
    </w:p>
    <w:p w14:paraId="70A4E2A0" w14:textId="3D8D7DDA" w:rsidR="00C1548D" w:rsidRDefault="009B1B4B">
      <w:pPr>
        <w:spacing w:after="140"/>
      </w:pPr>
      <w:r>
        <w:rPr>
          <w:b/>
          <w:bCs/>
        </w:rPr>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history="1">
        <w:r>
          <w:t>32</w:t>
        </w:r>
      </w:hyperlink>
      <w:r>
        <w:t>). „Where do you go to church?” ist in manchen Regionen Small Talk; ein freundliches „We’re not religious, but thanks for asking” genügt.</w:t>
      </w:r>
    </w:p>
    <w:p w14:paraId="70A4E2A1" w14:textId="48C9C009" w:rsidR="00C1548D" w:rsidRDefault="009B1B4B">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xml:space="preserve">), Mützen und Autoaufkleber unkommentiert. Höre zu statt zu diskutieren, und vergleiche nicht bei jeder Gelegenheit mit Deutschland. Viele Arbeitgeber begrenzen politische </w:t>
      </w:r>
      <w:r>
        <w:lastRenderedPageBreak/>
        <w:t>Debatten im Büro per Richtlinie. Öffentliche Beiträge in sozialen Netzwerken werden gelesen: Im Visumantrag fragt das State Department nach deinen Social-Media-Konten (Kapitel </w:t>
      </w:r>
      <w:hyperlink w:anchor="k11" w:history="1">
        <w:r>
          <w:t>11</w:t>
        </w:r>
      </w:hyperlink>
      <w:r>
        <w:t>).</w:t>
      </w:r>
    </w:p>
    <w:p w14:paraId="70A4E2A2" w14:textId="77777777" w:rsidR="00C1548D" w:rsidRDefault="009B1B4B">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w14:paraId="70A4E2A3" w14:textId="6551FB10" w:rsidR="00C1548D" w:rsidRDefault="009B1B4B">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Erwachsenen eine Waffe, rund vier von zehn leben in einem Haushalt mit Waffe; die Gründe reichen von Jagd und Sport bis zur Selbstverteidigung. In Deutschland ist der Besitz an Bedürfnis, Prüfung und </w:t>
      </w:r>
      <w:r>
        <w:t>Erlaubnis gebunden. Ob im Haus, in dem deine Kinder spielen, Waffen liegen und wie sie gesichert sind, darfst du fragen (</w:t>
      </w:r>
      <w:r>
        <w:t>Kapitel </w:t>
      </w:r>
      <w:hyperlink w:anchor="k40" w:history="1">
        <w:r>
          <w:t>40</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2A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2A4" w14:textId="77777777" w:rsidR="00C1548D" w:rsidRDefault="009B1B4B">
            <w:pPr>
              <w:keepNext/>
              <w:spacing w:after="70" w:line="240" w:lineRule="auto"/>
            </w:pPr>
            <w:r>
              <w:rPr>
                <w:b/>
                <w:bCs/>
                <w:color w:val="9B2C2C"/>
                <w:spacing w:val="24"/>
                <w:sz w:val="16"/>
                <w:szCs w:val="16"/>
              </w:rPr>
              <w:t>ACHTUNG</w:t>
            </w:r>
          </w:p>
          <w:p w14:paraId="70A4E2A5" w14:textId="10CA13E3" w:rsidR="00C1548D" w:rsidRDefault="009B1B4B">
            <w:pPr>
              <w:spacing w:after="80" w:line="264" w:lineRule="auto"/>
            </w:pPr>
            <w:r>
              <w:rPr>
                <w:sz w:val="20"/>
                <w:szCs w:val="20"/>
              </w:rPr>
              <w:t>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Kapitel </w:t>
            </w:r>
            <w:hyperlink w:anchor="k40" w:history="1">
              <w:r>
                <w:rPr>
                  <w:sz w:val="20"/>
                  <w:szCs w:val="20"/>
                </w:rPr>
                <w:t>40</w:t>
              </w:r>
            </w:hyperlink>
            <w:r>
              <w:rPr>
                <w:sz w:val="20"/>
                <w:szCs w:val="20"/>
              </w:rPr>
              <w:t>.</w:t>
            </w:r>
          </w:p>
        </w:tc>
      </w:tr>
    </w:tbl>
    <w:p w14:paraId="70A4E2A7" w14:textId="77777777" w:rsidR="00C1548D" w:rsidRDefault="00C1548D">
      <w:pPr>
        <w:spacing w:line="220" w:lineRule="exact"/>
      </w:pPr>
    </w:p>
    <w:p w14:paraId="70A4E2A8" w14:textId="77777777" w:rsidR="00C1548D" w:rsidRDefault="009B1B4B">
      <w:pPr>
        <w:pStyle w:val="Heading3"/>
        <w:keepNext/>
        <w:jc w:val="center"/>
      </w:pPr>
      <w:r>
        <w:rPr>
          <w:rFonts w:ascii="Amazon Ember" w:eastAsia="Amazon Ember" w:hAnsi="Amazon Ember" w:cs="Amazon Ember"/>
          <w:color w:val="0000FF"/>
          <w:sz w:val="36"/>
          <w:szCs w:val="36"/>
        </w:rPr>
        <w:lastRenderedPageBreak/>
        <w:t>Regeln und Recht</w:t>
      </w:r>
    </w:p>
    <w:p w14:paraId="70A4E2A9" w14:textId="78817882" w:rsidR="00C1548D" w:rsidRDefault="009B1B4B">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die du vor Trampolinpark, Skilift oder Kinderturnen unterschreibst. Lies sie vor der Unterschrift. Stürzt ein Gast auf deiner vereisten Treppe, haftest du; die Mieter- oder Hausversicherung enthält meist Haftpflichtschutz (Kapitel </w:t>
      </w:r>
      <w:hyperlink w:anchor="k25" w:history="1">
        <w:r>
          <w:t>25</w:t>
        </w:r>
      </w:hyperlink>
      <w:r>
        <w:t>).</w:t>
      </w:r>
    </w:p>
    <w:p w14:paraId="70A4E2AA" w14:textId="043A2B66" w:rsidR="00C1548D" w:rsidRDefault="009B1B4B">
      <w:pPr>
        <w:spacing w:after="140"/>
      </w:pPr>
      <w:r>
        <w:rPr>
          <w:b/>
          <w:bCs/>
        </w:rPr>
        <w:t>Alkohol und Tabak.</w:t>
      </w:r>
      <w:r>
        <w:t xml:space="preserve"> Bundesweit gilt 21 Jahre für Kauf und Konsum von Alkohol, seit 1984 durch Druck des Bundes auf die Staaten; für Tabak und Vapes gilt 21 seit 2019. In Deutschland sind Bier und Wein ab 16 erlaubt, Spirituosen ab 18. Bars und Läden kontrollieren oft jeden, der jünger als 40 wirkt; nimm Reisepass oder US-Führerschein mit, eine Kopie genügt nicht. Wo Spirituosen verkauft werden, wann sonntags und in welchen Läden (in Utah etwa staatlichen), entscheidet der Bundesstaat. Für Jugendliche unter 21 gibt es je nach </w:t>
      </w:r>
      <w:r>
        <w:t>Staat Ausnahmen, etwa im Beisein der Eltern; verlasse dich nicht darauf und biete Minderjährigen keinen Alkohol an (</w:t>
      </w:r>
      <w:r>
        <w:t>Kapitel </w:t>
      </w:r>
      <w:hyperlink w:anchor="k35" w:history="1">
        <w:r>
          <w:t>35</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2A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2AB" w14:textId="77777777" w:rsidR="00C1548D" w:rsidRDefault="009B1B4B">
            <w:pPr>
              <w:keepNext/>
              <w:spacing w:after="70" w:line="240" w:lineRule="auto"/>
            </w:pPr>
            <w:r>
              <w:rPr>
                <w:b/>
                <w:bCs/>
                <w:color w:val="9B2C2C"/>
                <w:spacing w:val="24"/>
                <w:sz w:val="16"/>
                <w:szCs w:val="16"/>
              </w:rPr>
              <w:t>ACHTUNG</w:t>
            </w:r>
          </w:p>
          <w:p w14:paraId="70A4E2AC" w14:textId="77777777" w:rsidR="00C1548D" w:rsidRDefault="009B1B4B">
            <w:pPr>
              <w:spacing w:after="80" w:line="264" w:lineRule="auto"/>
            </w:pPr>
            <w:r>
              <w:rPr>
                <w:sz w:val="20"/>
                <w:szCs w:val="20"/>
              </w:rPr>
              <w:t xml:space="preserve">Bier im Park, Sekt am Flussufer: In den meisten Städten verbieten </w:t>
            </w:r>
            <w:r>
              <w:rPr>
                <w:i/>
                <w:iCs/>
                <w:sz w:val="20"/>
                <w:szCs w:val="20"/>
              </w:rPr>
              <w:t>Open-Container</w:t>
            </w:r>
            <w:r>
              <w:rPr>
                <w:sz w:val="20"/>
                <w:szCs w:val="20"/>
              </w:rPr>
              <w:t>-Regeln offene alkoholische Getränke in der Öffentlichkeit, im Auto sowieso. Das kostet ein Bußgeld und kann je nach Ort als Vergehen (</w:t>
            </w:r>
            <w:r>
              <w:rPr>
                <w:i/>
                <w:iCs/>
                <w:sz w:val="20"/>
                <w:szCs w:val="20"/>
              </w:rPr>
              <w:t>Misdemeanor</w:t>
            </w:r>
            <w:r>
              <w:rPr>
                <w:sz w:val="20"/>
                <w:szCs w:val="20"/>
              </w:rPr>
              <w:t>) gelten. Ausnahmen gibt es nur an einzelnen Orten wie dem French Quarter in New Orleans.</w:t>
            </w:r>
          </w:p>
        </w:tc>
      </w:tr>
    </w:tbl>
    <w:p w14:paraId="70A4E2AE" w14:textId="77777777" w:rsidR="00C1548D" w:rsidRDefault="00C1548D">
      <w:pPr>
        <w:spacing w:line="220" w:lineRule="exact"/>
      </w:pPr>
    </w:p>
    <w:p w14:paraId="70A4E2AF" w14:textId="77777777" w:rsidR="00C1548D" w:rsidRDefault="009B1B4B">
      <w:pPr>
        <w:spacing w:after="140"/>
      </w:pPr>
      <w:r>
        <w:rPr>
          <w:b/>
          <w:bCs/>
        </w:rPr>
        <w:t>Cannabis.</w:t>
      </w:r>
      <w:r>
        <w:t xml:space="preserve"> In 24 Bundesstaaten und im District of Columbia ist der Freizeitkonsum für Erwachsene ab 21 nach Landesrecht erlaubt </w:t>
      </w:r>
      <w:r>
        <w:lastRenderedPageBreak/>
        <w:t xml:space="preserve">(Stand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w:t>
      </w:r>
      <w:r>
        <w:rPr>
          <w:i/>
          <w:iCs/>
        </w:rPr>
        <w:t>Controlled Substances Act</w:t>
      </w:r>
      <w:r>
        <w:t xml:space="preserve"> (Bundesgesetz über kontrollierte Substanzen) eingestuft; über eine breitere Umstufung läuft ein Verfahren der Drogenbehörde DEA (Stand August 2026).</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2B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2B0" w14:textId="77777777" w:rsidR="00C1548D" w:rsidRDefault="009B1B4B">
            <w:pPr>
              <w:keepNext/>
              <w:spacing w:after="70" w:line="240" w:lineRule="auto"/>
            </w:pPr>
            <w:r>
              <w:rPr>
                <w:b/>
                <w:bCs/>
                <w:color w:val="9B2C2C"/>
                <w:spacing w:val="24"/>
                <w:sz w:val="16"/>
                <w:szCs w:val="16"/>
              </w:rPr>
              <w:t>ACHTUNG</w:t>
            </w:r>
          </w:p>
          <w:p w14:paraId="70A4E2B1" w14:textId="769F853C" w:rsidR="00C1548D" w:rsidRDefault="009B1B4B">
            <w:pPr>
              <w:spacing w:after="80" w:line="264" w:lineRule="auto"/>
            </w:pPr>
            <w:r>
              <w:rPr>
                <w:sz w:val="20"/>
                <w:szCs w:val="20"/>
              </w:rPr>
              <w:t>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Kapitel </w:t>
            </w:r>
            <w:hyperlink w:anchor="k40" w:history="1">
              <w:r>
                <w:rPr>
                  <w:sz w:val="20"/>
                  <w:szCs w:val="20"/>
                </w:rPr>
                <w:t>40</w:t>
              </w:r>
            </w:hyperlink>
            <w:r>
              <w:rPr>
                <w:sz w:val="20"/>
                <w:szCs w:val="20"/>
              </w:rPr>
              <w:t>.</w:t>
            </w:r>
          </w:p>
        </w:tc>
      </w:tr>
    </w:tbl>
    <w:p w14:paraId="70A4E2B3" w14:textId="77777777" w:rsidR="00C1548D" w:rsidRDefault="00C1548D">
      <w:pPr>
        <w:spacing w:line="220" w:lineRule="exact"/>
      </w:pPr>
    </w:p>
    <w:p w14:paraId="70A4E2B4" w14:textId="595F6279" w:rsidR="00C1548D" w:rsidRDefault="009B1B4B">
      <w:pPr>
        <w:spacing w:after="140"/>
      </w:pPr>
      <w:r>
        <w:rPr>
          <w:b/>
          <w:bCs/>
        </w:rPr>
        <w:t>Keine Meldepflicht.</w:t>
      </w:r>
      <w:r>
        <w:t xml:space="preserve"> Ein Einwohnermeldeamt gibt es nicht; du meldest dich nirgends „an“. Deine Adresse teilst du Vermieter, Führerscheinbehörde (</w:t>
      </w:r>
      <w:r>
        <w:rPr>
          <w:i/>
          <w:iCs/>
        </w:rPr>
        <w:t>DMV</w:t>
      </w:r>
      <w:r>
        <w:t xml:space="preserve">), Bank, Steuerbehörde und Post mit. Einen Personalausweis kennt das Land nicht: Als Ausweis dienen Führerschein oder </w:t>
      </w:r>
      <w:r>
        <w:rPr>
          <w:i/>
          <w:iCs/>
        </w:rPr>
        <w:t>State ID</w:t>
      </w:r>
      <w:r>
        <w:t>. Für Nichtstaatsbürger gilt eine Ausnahme: Jede Adressänderung ist binnen 10 Tagen mit Form AR-11 zu melden (Kapitel </w:t>
      </w:r>
      <w:hyperlink w:anchor="k30" w:history="1">
        <w:r>
          <w:t>30</w:t>
        </w:r>
      </w:hyperlink>
      <w:r>
        <w:t>). Rundfunkbeitrag und Kirchensteuer entfallen.</w:t>
      </w:r>
    </w:p>
    <w:p w14:paraId="70A4E2B5" w14:textId="44DB1A0C" w:rsidR="00C1548D" w:rsidRDefault="009B1B4B">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Unternehmen dürfen Daten oft sammeln und weitergeben, solange du nicht widersprichst (</w:t>
      </w:r>
      <w:r>
        <w:rPr>
          <w:i/>
          <w:iCs/>
        </w:rPr>
        <w:t>Opt-out</w:t>
      </w:r>
      <w:r>
        <w:t>); Kameras an Türen, in Läden und im Auto sind üblich. Nenne deine Sozialversicherungsnummer nur, wo sie nötig ist (Kapitel </w:t>
      </w:r>
      <w:hyperlink w:anchor="k24" w:history="1">
        <w:r>
          <w:t>24</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719"/>
        <w:gridCol w:w="1935"/>
        <w:gridCol w:w="1876"/>
      </w:tblGrid>
      <w:tr w:rsidR="00C1548D" w14:paraId="70A4E2BA"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B6" w14:textId="77777777" w:rsidR="00C1548D" w:rsidRDefault="009B1B4B">
            <w:pPr>
              <w:spacing w:line="250" w:lineRule="auto"/>
            </w:pPr>
            <w:r>
              <w:rPr>
                <w:b/>
                <w:bCs/>
                <w:sz w:val="18"/>
                <w:szCs w:val="18"/>
              </w:rPr>
              <w:lastRenderedPageBreak/>
              <w:t>Situation</w:t>
            </w:r>
          </w:p>
        </w:tc>
        <w:tc>
          <w:tcPr>
            <w:tcW w:w="171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B7" w14:textId="77777777" w:rsidR="00C1548D" w:rsidRDefault="009B1B4B">
            <w:pPr>
              <w:spacing w:line="250" w:lineRule="auto"/>
            </w:pPr>
            <w:r>
              <w:rPr>
                <w:b/>
                <w:bCs/>
                <w:sz w:val="18"/>
                <w:szCs w:val="18"/>
              </w:rPr>
              <w:t>In Deutschland</w:t>
            </w:r>
          </w:p>
        </w:tc>
        <w:tc>
          <w:tcPr>
            <w:tcW w:w="193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B8" w14:textId="77777777" w:rsidR="00C1548D" w:rsidRDefault="009B1B4B">
            <w:pPr>
              <w:spacing w:line="250" w:lineRule="auto"/>
            </w:pPr>
            <w:r>
              <w:rPr>
                <w:b/>
                <w:bCs/>
                <w:sz w:val="18"/>
                <w:szCs w:val="18"/>
              </w:rPr>
              <w:t>In den USA</w:t>
            </w:r>
          </w:p>
        </w:tc>
        <w:tc>
          <w:tcPr>
            <w:tcW w:w="187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B9" w14:textId="77777777" w:rsidR="00C1548D" w:rsidRDefault="009B1B4B">
            <w:pPr>
              <w:spacing w:line="250" w:lineRule="auto"/>
            </w:pPr>
            <w:r>
              <w:rPr>
                <w:b/>
                <w:bCs/>
                <w:sz w:val="18"/>
                <w:szCs w:val="18"/>
              </w:rPr>
              <w:t>Tipp</w:t>
            </w:r>
          </w:p>
        </w:tc>
      </w:tr>
      <w:tr w:rsidR="00C1548D" w14:paraId="70A4E2B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BB" w14:textId="77777777" w:rsidR="00C1548D" w:rsidRDefault="009B1B4B">
            <w:pPr>
              <w:spacing w:line="250" w:lineRule="auto"/>
            </w:pPr>
            <w:r>
              <w:rPr>
                <w:sz w:val="18"/>
                <w:szCs w:val="18"/>
              </w:rPr>
              <w:t>Alkohol kaufen</w:t>
            </w:r>
          </w:p>
        </w:tc>
        <w:tc>
          <w:tcPr>
            <w:tcW w:w="17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BC" w14:textId="77777777" w:rsidR="00C1548D" w:rsidRDefault="009B1B4B">
            <w:pPr>
              <w:spacing w:line="250" w:lineRule="auto"/>
            </w:pPr>
            <w:r>
              <w:rPr>
                <w:sz w:val="18"/>
                <w:szCs w:val="18"/>
              </w:rPr>
              <w:t>Bier und Wein ab 16, Spirituosen ab 18</w:t>
            </w:r>
          </w:p>
        </w:tc>
        <w:tc>
          <w:tcPr>
            <w:tcW w:w="19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BD" w14:textId="77777777" w:rsidR="00C1548D" w:rsidRDefault="009B1B4B">
            <w:pPr>
              <w:spacing w:line="250" w:lineRule="auto"/>
            </w:pPr>
            <w:r>
              <w:rPr>
                <w:sz w:val="18"/>
                <w:szCs w:val="18"/>
              </w:rPr>
              <w:t>21, Ausweis oft verlangt</w:t>
            </w:r>
          </w:p>
        </w:tc>
        <w:tc>
          <w:tcPr>
            <w:tcW w:w="18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BE" w14:textId="77777777" w:rsidR="00C1548D" w:rsidRDefault="009B1B4B">
            <w:pPr>
              <w:spacing w:line="250" w:lineRule="auto"/>
            </w:pPr>
            <w:r>
              <w:rPr>
                <w:sz w:val="18"/>
                <w:szCs w:val="18"/>
              </w:rPr>
              <w:t>Reisepass oder Führerschein mitnehmen</w:t>
            </w:r>
          </w:p>
        </w:tc>
      </w:tr>
      <w:tr w:rsidR="00C1548D" w14:paraId="70A4E2C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0" w14:textId="77777777" w:rsidR="00C1548D" w:rsidRDefault="009B1B4B">
            <w:pPr>
              <w:spacing w:line="250" w:lineRule="auto"/>
            </w:pPr>
            <w:r>
              <w:rPr>
                <w:sz w:val="18"/>
                <w:szCs w:val="18"/>
              </w:rPr>
              <w:t>Bier im Park</w:t>
            </w:r>
          </w:p>
        </w:tc>
        <w:tc>
          <w:tcPr>
            <w:tcW w:w="17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1" w14:textId="77777777" w:rsidR="00C1548D" w:rsidRDefault="009B1B4B">
            <w:pPr>
              <w:spacing w:line="250" w:lineRule="auto"/>
            </w:pPr>
            <w:r>
              <w:rPr>
                <w:sz w:val="18"/>
                <w:szCs w:val="18"/>
              </w:rPr>
              <w:t>Meist erlaubt</w:t>
            </w:r>
          </w:p>
        </w:tc>
        <w:tc>
          <w:tcPr>
            <w:tcW w:w="19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2" w14:textId="77777777" w:rsidR="00C1548D" w:rsidRDefault="009B1B4B">
            <w:pPr>
              <w:spacing w:line="250" w:lineRule="auto"/>
            </w:pPr>
            <w:r>
              <w:rPr>
                <w:i/>
                <w:iCs/>
                <w:sz w:val="18"/>
                <w:szCs w:val="18"/>
              </w:rPr>
              <w:t>Open Container</w:t>
            </w:r>
            <w:r>
              <w:rPr>
                <w:sz w:val="18"/>
                <w:szCs w:val="18"/>
              </w:rPr>
              <w:t xml:space="preserve"> meist verboten</w:t>
            </w:r>
          </w:p>
        </w:tc>
        <w:tc>
          <w:tcPr>
            <w:tcW w:w="18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3" w14:textId="77777777" w:rsidR="00C1548D" w:rsidRDefault="009B1B4B">
            <w:pPr>
              <w:spacing w:line="250" w:lineRule="auto"/>
            </w:pPr>
            <w:r>
              <w:rPr>
                <w:sz w:val="18"/>
                <w:szCs w:val="18"/>
              </w:rPr>
              <w:t>Nur in Bars, Restaurants, Privaträumen</w:t>
            </w:r>
          </w:p>
        </w:tc>
      </w:tr>
      <w:tr w:rsidR="00C1548D" w14:paraId="70A4E2C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5" w14:textId="77777777" w:rsidR="00C1548D" w:rsidRDefault="009B1B4B">
            <w:pPr>
              <w:spacing w:line="250" w:lineRule="auto"/>
            </w:pPr>
            <w:r>
              <w:rPr>
                <w:sz w:val="18"/>
                <w:szCs w:val="18"/>
              </w:rPr>
              <w:t>Cannabis</w:t>
            </w:r>
          </w:p>
        </w:tc>
        <w:tc>
          <w:tcPr>
            <w:tcW w:w="17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6" w14:textId="77777777" w:rsidR="00C1548D" w:rsidRDefault="009B1B4B">
            <w:pPr>
              <w:spacing w:line="250" w:lineRule="auto"/>
            </w:pPr>
            <w:r>
              <w:rPr>
                <w:sz w:val="18"/>
                <w:szCs w:val="18"/>
              </w:rPr>
              <w:t>Seit 4/2024 teilweise legal</w:t>
            </w:r>
          </w:p>
        </w:tc>
        <w:tc>
          <w:tcPr>
            <w:tcW w:w="19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7" w14:textId="77777777" w:rsidR="00C1548D" w:rsidRDefault="009B1B4B">
            <w:pPr>
              <w:spacing w:line="250" w:lineRule="auto"/>
            </w:pPr>
            <w:r>
              <w:rPr>
                <w:sz w:val="18"/>
                <w:szCs w:val="18"/>
              </w:rPr>
              <w:t>Bundesrecht verboten, 24 Staaten erlauben ab 21</w:t>
            </w:r>
          </w:p>
        </w:tc>
        <w:tc>
          <w:tcPr>
            <w:tcW w:w="18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8" w14:textId="77777777" w:rsidR="00C1548D" w:rsidRDefault="009B1B4B">
            <w:pPr>
              <w:spacing w:line="250" w:lineRule="auto"/>
            </w:pPr>
            <w:r>
              <w:rPr>
                <w:sz w:val="18"/>
                <w:szCs w:val="18"/>
              </w:rPr>
              <w:t>Als Nichtstaatsbürger meiden</w:t>
            </w:r>
          </w:p>
        </w:tc>
      </w:tr>
      <w:tr w:rsidR="00C1548D" w14:paraId="70A4E2C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A" w14:textId="77777777" w:rsidR="00C1548D" w:rsidRDefault="009B1B4B">
            <w:pPr>
              <w:spacing w:line="250" w:lineRule="auto"/>
            </w:pPr>
            <w:r>
              <w:rPr>
                <w:sz w:val="18"/>
                <w:szCs w:val="18"/>
              </w:rPr>
              <w:t>Umzug</w:t>
            </w:r>
          </w:p>
        </w:tc>
        <w:tc>
          <w:tcPr>
            <w:tcW w:w="17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B" w14:textId="77777777" w:rsidR="00C1548D" w:rsidRDefault="009B1B4B">
            <w:pPr>
              <w:spacing w:line="250" w:lineRule="auto"/>
            </w:pPr>
            <w:r>
              <w:rPr>
                <w:sz w:val="18"/>
                <w:szCs w:val="18"/>
              </w:rPr>
              <w:t>Anmeldung binnen zwei Wochen</w:t>
            </w:r>
          </w:p>
        </w:tc>
        <w:tc>
          <w:tcPr>
            <w:tcW w:w="19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C" w14:textId="77777777" w:rsidR="00C1548D" w:rsidRDefault="009B1B4B">
            <w:pPr>
              <w:spacing w:line="250" w:lineRule="auto"/>
            </w:pPr>
            <w:r>
              <w:rPr>
                <w:sz w:val="18"/>
                <w:szCs w:val="18"/>
              </w:rPr>
              <w:t>Keine Anmeldung; AR-11 für Nichtstaatsbürger</w:t>
            </w:r>
          </w:p>
        </w:tc>
        <w:tc>
          <w:tcPr>
            <w:tcW w:w="18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D" w14:textId="77777777" w:rsidR="00C1548D" w:rsidRDefault="009B1B4B">
            <w:pPr>
              <w:spacing w:line="250" w:lineRule="auto"/>
            </w:pPr>
            <w:r>
              <w:rPr>
                <w:sz w:val="18"/>
                <w:szCs w:val="18"/>
              </w:rPr>
              <w:t>Adressänderung in 10 Tagen melden</w:t>
            </w:r>
          </w:p>
        </w:tc>
      </w:tr>
      <w:tr w:rsidR="00C1548D" w14:paraId="70A4E2D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CF" w14:textId="77777777" w:rsidR="00C1548D" w:rsidRDefault="009B1B4B">
            <w:pPr>
              <w:spacing w:line="250" w:lineRule="auto"/>
            </w:pPr>
            <w:r>
              <w:rPr>
                <w:sz w:val="18"/>
                <w:szCs w:val="18"/>
              </w:rPr>
              <w:t>Unfall, Schaden</w:t>
            </w:r>
          </w:p>
        </w:tc>
        <w:tc>
          <w:tcPr>
            <w:tcW w:w="17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D0" w14:textId="77777777" w:rsidR="00C1548D" w:rsidRDefault="009B1B4B">
            <w:pPr>
              <w:spacing w:line="250" w:lineRule="auto"/>
            </w:pPr>
            <w:r>
              <w:rPr>
                <w:sz w:val="18"/>
                <w:szCs w:val="18"/>
              </w:rPr>
              <w:t>Haftpflicht, selten Klage</w:t>
            </w:r>
          </w:p>
        </w:tc>
        <w:tc>
          <w:tcPr>
            <w:tcW w:w="19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D1" w14:textId="77777777" w:rsidR="00C1548D" w:rsidRDefault="009B1B4B">
            <w:pPr>
              <w:spacing w:line="250" w:lineRule="auto"/>
            </w:pPr>
            <w:r>
              <w:rPr>
                <w:sz w:val="18"/>
                <w:szCs w:val="18"/>
              </w:rPr>
              <w:t xml:space="preserve">Klagen häufiger, </w:t>
            </w:r>
            <w:r>
              <w:rPr>
                <w:i/>
                <w:iCs/>
                <w:sz w:val="18"/>
                <w:szCs w:val="18"/>
              </w:rPr>
              <w:t>Waivers</w:t>
            </w:r>
          </w:p>
        </w:tc>
        <w:tc>
          <w:tcPr>
            <w:tcW w:w="18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D2" w14:textId="77777777" w:rsidR="00C1548D" w:rsidRDefault="009B1B4B">
            <w:pPr>
              <w:spacing w:line="250" w:lineRule="auto"/>
            </w:pPr>
            <w:r>
              <w:rPr>
                <w:sz w:val="18"/>
                <w:szCs w:val="18"/>
              </w:rPr>
              <w:t>Haftpflicht abschließen</w:t>
            </w:r>
          </w:p>
        </w:tc>
      </w:tr>
      <w:tr w:rsidR="00C1548D" w14:paraId="70A4E2D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D4" w14:textId="77777777" w:rsidR="00C1548D" w:rsidRDefault="009B1B4B">
            <w:pPr>
              <w:spacing w:line="250" w:lineRule="auto"/>
            </w:pPr>
            <w:r>
              <w:rPr>
                <w:sz w:val="18"/>
                <w:szCs w:val="18"/>
              </w:rPr>
              <w:t>Ausweis</w:t>
            </w:r>
          </w:p>
        </w:tc>
        <w:tc>
          <w:tcPr>
            <w:tcW w:w="17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D5" w14:textId="77777777" w:rsidR="00C1548D" w:rsidRDefault="009B1B4B">
            <w:pPr>
              <w:spacing w:line="250" w:lineRule="auto"/>
            </w:pPr>
            <w:r>
              <w:rPr>
                <w:sz w:val="18"/>
                <w:szCs w:val="18"/>
              </w:rPr>
              <w:t>Personalausweis</w:t>
            </w:r>
          </w:p>
        </w:tc>
        <w:tc>
          <w:tcPr>
            <w:tcW w:w="19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D6" w14:textId="77777777" w:rsidR="00C1548D" w:rsidRDefault="009B1B4B">
            <w:pPr>
              <w:spacing w:line="250" w:lineRule="auto"/>
            </w:pPr>
            <w:r>
              <w:rPr>
                <w:sz w:val="18"/>
                <w:szCs w:val="18"/>
              </w:rPr>
              <w:t xml:space="preserve">Führerschein oder </w:t>
            </w:r>
            <w:r>
              <w:rPr>
                <w:i/>
                <w:iCs/>
                <w:sz w:val="18"/>
                <w:szCs w:val="18"/>
              </w:rPr>
              <w:t>State ID</w:t>
            </w:r>
          </w:p>
        </w:tc>
        <w:tc>
          <w:tcPr>
            <w:tcW w:w="18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D7" w14:textId="77777777" w:rsidR="00C1548D" w:rsidRDefault="009B1B4B">
            <w:pPr>
              <w:spacing w:line="250" w:lineRule="auto"/>
            </w:pPr>
            <w:r>
              <w:rPr>
                <w:sz w:val="18"/>
                <w:szCs w:val="18"/>
              </w:rPr>
              <w:t>Beides früh beantragen</w:t>
            </w:r>
          </w:p>
        </w:tc>
      </w:tr>
    </w:tbl>
    <w:p w14:paraId="70A4E2D9" w14:textId="77777777" w:rsidR="00C1548D" w:rsidRDefault="00C1548D">
      <w:pPr>
        <w:spacing w:line="180" w:lineRule="exact"/>
      </w:pPr>
    </w:p>
    <w:p w14:paraId="70A4E2DA" w14:textId="77777777" w:rsidR="00C1548D" w:rsidRDefault="009B1B4B">
      <w:pPr>
        <w:pStyle w:val="Heading3"/>
        <w:keepNext/>
        <w:jc w:val="center"/>
      </w:pPr>
      <w:r>
        <w:rPr>
          <w:rFonts w:ascii="Amazon Ember" w:eastAsia="Amazon Ember" w:hAnsi="Amazon Ember" w:cs="Amazon Ember"/>
          <w:color w:val="0000FF"/>
          <w:sz w:val="36"/>
          <w:szCs w:val="36"/>
        </w:rPr>
        <w:t>Geld: Trinkgeld, Preise ohne Steuer, Rechnung teilen</w:t>
      </w:r>
    </w:p>
    <w:p w14:paraId="70A4E2DB" w14:textId="77777777" w:rsidR="00C1548D" w:rsidRDefault="009B1B4B">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w:t>
      </w:r>
      <w:r>
        <w:t xml:space="preserve"> unangenehm auf.</w:t>
      </w:r>
    </w:p>
    <w:p w14:paraId="70A4E2DC" w14:textId="77777777" w:rsidR="00C1548D" w:rsidRDefault="009B1B4B">
      <w:pPr>
        <w:spacing w:after="140"/>
      </w:pPr>
      <w:r>
        <w:t>Die Richtwerte (Stand 2026, Spannen je nach Ort und Anlass):</w:t>
      </w:r>
    </w:p>
    <w:p w14:paraId="70A4E2DD" w14:textId="77777777" w:rsidR="00C1548D" w:rsidRDefault="009B1B4B" w:rsidP="009B1B4B">
      <w:pPr>
        <w:pStyle w:val="ListParagraph"/>
        <w:numPr>
          <w:ilvl w:val="0"/>
          <w:numId w:val="1"/>
        </w:numPr>
        <w:spacing w:after="60"/>
      </w:pPr>
      <w:r>
        <w:rPr>
          <w:b/>
          <w:bCs/>
        </w:rPr>
        <w:t>Restaurant mit Bedienung:</w:t>
      </w:r>
      <w:r>
        <w:t xml:space="preserve"> 18–20 % vom Betrag vor Steuer; 15 % ist das untere Ende, für hervorragenden Service gibt man mehr.</w:t>
      </w:r>
    </w:p>
    <w:p w14:paraId="70A4E2DE" w14:textId="77777777" w:rsidR="00C1548D" w:rsidRDefault="009B1B4B" w:rsidP="009B1B4B">
      <w:pPr>
        <w:pStyle w:val="ListParagraph"/>
        <w:numPr>
          <w:ilvl w:val="0"/>
          <w:numId w:val="1"/>
        </w:numPr>
        <w:spacing w:after="60"/>
      </w:pPr>
      <w:r>
        <w:rPr>
          <w:b/>
          <w:bCs/>
        </w:rPr>
        <w:t>Bar:</w:t>
      </w:r>
      <w:r>
        <w:t xml:space="preserve"> 1–2 $ pro Getränk oder 18–20 % der Rechnung.</w:t>
      </w:r>
    </w:p>
    <w:p w14:paraId="70A4E2DF" w14:textId="77777777" w:rsidR="00C1548D" w:rsidRDefault="009B1B4B" w:rsidP="009B1B4B">
      <w:pPr>
        <w:pStyle w:val="ListParagraph"/>
        <w:numPr>
          <w:ilvl w:val="0"/>
          <w:numId w:val="1"/>
        </w:numPr>
        <w:spacing w:after="60"/>
      </w:pPr>
      <w:r>
        <w:rPr>
          <w:b/>
          <w:bCs/>
        </w:rPr>
        <w:lastRenderedPageBreak/>
        <w:t>Taxi und Rideshare:</w:t>
      </w:r>
      <w:r>
        <w:t xml:space="preserve"> 15–20 %; bei sehr kurzen Fahrten 1–2 $.</w:t>
      </w:r>
    </w:p>
    <w:p w14:paraId="70A4E2E0" w14:textId="77777777" w:rsidR="00C1548D" w:rsidRDefault="009B1B4B" w:rsidP="009B1B4B">
      <w:pPr>
        <w:pStyle w:val="ListParagraph"/>
        <w:numPr>
          <w:ilvl w:val="0"/>
          <w:numId w:val="1"/>
        </w:numPr>
        <w:spacing w:after="60"/>
      </w:pPr>
      <w:r>
        <w:rPr>
          <w:b/>
          <w:bCs/>
        </w:rPr>
        <w:t>Friseur, Nagelstudio, Massage:</w:t>
      </w:r>
      <w:r>
        <w:t xml:space="preserve"> 18–20 %.</w:t>
      </w:r>
    </w:p>
    <w:p w14:paraId="70A4E2E1" w14:textId="77777777" w:rsidR="00C1548D" w:rsidRDefault="009B1B4B" w:rsidP="009B1B4B">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w14:paraId="70A4E2E2" w14:textId="77777777" w:rsidR="00C1548D" w:rsidRDefault="009B1B4B" w:rsidP="009B1B4B">
      <w:pPr>
        <w:pStyle w:val="ListParagraph"/>
        <w:numPr>
          <w:ilvl w:val="0"/>
          <w:numId w:val="1"/>
        </w:numPr>
        <w:spacing w:after="60"/>
      </w:pPr>
      <w:r>
        <w:rPr>
          <w:b/>
          <w:bCs/>
        </w:rPr>
        <w:t>Lieferdienst:</w:t>
      </w:r>
      <w:r>
        <w:t xml:space="preserve"> rund 15–20 %, mindestens 3 bis 5 $.</w:t>
      </w:r>
    </w:p>
    <w:p w14:paraId="70A4E2E3" w14:textId="77777777" w:rsidR="00C1548D" w:rsidRDefault="009B1B4B" w:rsidP="009B1B4B">
      <w:pPr>
        <w:pStyle w:val="ListParagraph"/>
        <w:numPr>
          <w:ilvl w:val="0"/>
          <w:numId w:val="1"/>
        </w:numPr>
        <w:spacing w:after="60"/>
      </w:pPr>
      <w:r>
        <w:rPr>
          <w:b/>
          <w:bCs/>
        </w:rPr>
        <w:t>Selbstbedienung</w:t>
      </w:r>
      <w:r>
        <w:t xml:space="preserve"> (Imbiss, Kaffeetheke): kein Trinkgeld erwartet; Bildschirmabfragen sind freiwillig.</w:t>
      </w:r>
    </w:p>
    <w:p w14:paraId="70A4E2E4" w14:textId="77777777" w:rsidR="00C1548D" w:rsidRDefault="00C1548D">
      <w:pPr>
        <w:spacing w:line="120" w:lineRule="exact"/>
      </w:pPr>
    </w:p>
    <w:p w14:paraId="70A4E2E5" w14:textId="77777777" w:rsidR="00C1548D" w:rsidRDefault="009B1B4B">
      <w:pPr>
        <w:spacing w:after="140"/>
      </w:pPr>
      <w:r>
        <w:t>Kartenlesegeräte schlagen meist Prozentwerte zwischen 18 und 30 % vor; wähle bei Bedarf „Custom“.</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2E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2E6" w14:textId="77777777" w:rsidR="00C1548D" w:rsidRDefault="009B1B4B">
            <w:pPr>
              <w:keepNext/>
              <w:spacing w:after="70" w:line="240" w:lineRule="auto"/>
            </w:pPr>
            <w:r>
              <w:rPr>
                <w:b/>
                <w:bCs/>
                <w:color w:val="9B2C2C"/>
                <w:spacing w:val="24"/>
                <w:sz w:val="16"/>
                <w:szCs w:val="16"/>
              </w:rPr>
              <w:t>ACHTUNG</w:t>
            </w:r>
          </w:p>
          <w:p w14:paraId="70A4E2E7" w14:textId="77777777" w:rsidR="00C1548D" w:rsidRDefault="009B1B4B">
            <w:pPr>
              <w:spacing w:after="80" w:line="264" w:lineRule="auto"/>
            </w:pPr>
            <w:r>
              <w:rPr>
                <w:sz w:val="20"/>
                <w:szCs w:val="20"/>
              </w:rPr>
              <w:t xml:space="preserve">Prüfe den Beleg, bevor du das Trinkgeldfeld ausfüllst. Bei größeren Gruppen und in manchen Restaurants ist ein Aufschlag von 18–20 % bereits als </w:t>
            </w:r>
            <w:r>
              <w:rPr>
                <w:i/>
                <w:iCs/>
                <w:sz w:val="20"/>
                <w:szCs w:val="20"/>
              </w:rPr>
              <w:t>Service Charge</w:t>
            </w:r>
            <w:r>
              <w:rPr>
                <w:sz w:val="20"/>
                <w:szCs w:val="20"/>
              </w:rPr>
              <w:t xml:space="preserve"> oder </w:t>
            </w:r>
            <w:r>
              <w:rPr>
                <w:i/>
                <w:iCs/>
                <w:sz w:val="20"/>
                <w:szCs w:val="20"/>
              </w:rPr>
              <w:t>Gratuity</w:t>
            </w:r>
            <w:r>
              <w:rPr>
                <w:sz w:val="20"/>
                <w:szCs w:val="20"/>
              </w:rPr>
              <w:t xml:space="preserve"> enthalten. Wer zusätzlich zahlt, gibt doppelt.</w:t>
            </w:r>
          </w:p>
        </w:tc>
      </w:tr>
    </w:tbl>
    <w:p w14:paraId="70A4E2E9" w14:textId="77777777" w:rsidR="00C1548D" w:rsidRDefault="00C1548D">
      <w:pPr>
        <w:spacing w:line="220" w:lineRule="exact"/>
      </w:pPr>
    </w:p>
    <w:p w14:paraId="70A4E2EA" w14:textId="77777777" w:rsidR="00C1548D" w:rsidRDefault="009B1B4B">
      <w:pPr>
        <w:spacing w:after="140"/>
      </w:pPr>
      <w:r>
        <w:rPr>
          <w:b/>
          <w:bCs/>
        </w:rPr>
        <w:t>Preise ohne Steuer.</w:t>
      </w:r>
      <w:r>
        <w:t xml:space="preserve"> Schilder, Speisekarten und Online-Shops zeigen den Nettopreis; die Verkaufssteuer (</w:t>
      </w:r>
      <w:r>
        <w:rPr>
          <w:i/>
          <w:iCs/>
        </w:rPr>
        <w:t>Sales Tax</w:t>
      </w:r>
      <w:r>
        <w:t>)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w:t>
      </w:r>
      <w:r>
        <w:t>ünften den Gesamtpreis samt aller Pflichtgebühren nennen; Steuern und Versand dürfen ausgenommen sein.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2E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2EB" w14:textId="77777777" w:rsidR="00C1548D" w:rsidRDefault="009B1B4B">
            <w:pPr>
              <w:keepNext/>
              <w:spacing w:after="70" w:line="240" w:lineRule="auto"/>
            </w:pPr>
            <w:r>
              <w:rPr>
                <w:b/>
                <w:bCs/>
                <w:color w:val="4A5568"/>
                <w:spacing w:val="24"/>
                <w:sz w:val="16"/>
                <w:szCs w:val="16"/>
              </w:rPr>
              <w:lastRenderedPageBreak/>
              <w:t>PRAXISBEISPIEL · FIKTIV</w:t>
            </w:r>
          </w:p>
          <w:p w14:paraId="70A4E2EC" w14:textId="77777777" w:rsidR="00C1548D" w:rsidRDefault="009B1B4B">
            <w:pPr>
              <w:spacing w:after="80" w:line="264" w:lineRule="auto"/>
            </w:pPr>
            <w:r>
              <w:rPr>
                <w:sz w:val="20"/>
                <w:szCs w:val="20"/>
              </w:rPr>
              <w:t>Familie Brandt (fiktiv) isst in der ersten Woche in Michigan zu viert im Restaurant. Die Karte ergibt 78 $. Dazu kommen 6 % Verkaufssteuer (4,68 $). Die Kellnerin erwartet rund 20 % vom Nettobetrag (15,60 $), das Kartenlesegerät schlägt höhere Werte vor; Markus wählt „Custom“. Am Ende zahlt die Familie 98,28 $, gut ein Viertel mehr als der Kartenpreis. Anna lässt die Reste einpacken („Could we get a box, please?“), Lena und Jonas trinken Leitungswasser mit Eis, das nichts kostet. Für künftige Restaurantbesu</w:t>
            </w:r>
            <w:r>
              <w:rPr>
                <w:sz w:val="20"/>
                <w:szCs w:val="20"/>
              </w:rPr>
              <w:t>che planen die Brandts 25 bis 30 % Aufschlag ein.</w:t>
            </w:r>
          </w:p>
        </w:tc>
      </w:tr>
    </w:tbl>
    <w:p w14:paraId="70A4E2EE" w14:textId="77777777" w:rsidR="00C1548D" w:rsidRDefault="00C1548D">
      <w:pPr>
        <w:spacing w:line="220" w:lineRule="exact"/>
      </w:pPr>
    </w:p>
    <w:p w14:paraId="70A4E2EF" w14:textId="54AE896A" w:rsidR="00C1548D" w:rsidRDefault="009B1B4B">
      <w:pPr>
        <w:spacing w:after="140"/>
      </w:pPr>
      <w:r>
        <w:rPr>
          <w:b/>
          <w:bCs/>
        </w:rPr>
        <w:t>Rechnung teilen.</w:t>
      </w:r>
      <w:r>
        <w:t xml:space="preserve"> In Deutschland fragt die Bedienung „Zusammen oder getrennt?“. In den USA lässt sich die Rechnung ebenfalls trennen (</w:t>
      </w:r>
      <w:r>
        <w:rPr>
          <w:i/>
          <w:iCs/>
        </w:rPr>
        <w:t>Separate Checks</w:t>
      </w:r>
      <w:r>
        <w:t>), aber besser sagst du es vor der Bestellung. Bei Gruppen teilt man oft gleichmäßig, auch wenn du nur einen Salat hattest; einer zahlt, die anderen überweisen per App wie Venmo oder Zelle (brauchen ein US-Konto, Kapitel </w:t>
      </w:r>
      <w:hyperlink w:anchor="k25" w:history="1">
        <w:r>
          <w:t>25</w:t>
        </w:r>
      </w:hyperlink>
      <w:r>
        <w:t>). Wer lieber nach Verzehr teilt, sagt es freundlich: „Could we split by what we ordered?“ Die Rechnung kommt nicht ungefragt; du bittest darum („Check, please“).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2F2"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2F0" w14:textId="77777777" w:rsidR="00C1548D" w:rsidRDefault="009B1B4B">
            <w:pPr>
              <w:keepNext/>
              <w:spacing w:after="70" w:line="240" w:lineRule="auto"/>
            </w:pPr>
            <w:r>
              <w:rPr>
                <w:b/>
                <w:bCs/>
                <w:color w:val="2F6B3B"/>
                <w:spacing w:val="24"/>
                <w:sz w:val="16"/>
                <w:szCs w:val="16"/>
              </w:rPr>
              <w:t>SPARTIPP</w:t>
            </w:r>
          </w:p>
          <w:p w14:paraId="70A4E2F1" w14:textId="77777777" w:rsidR="00C1548D" w:rsidRDefault="009B1B4B">
            <w:pPr>
              <w:spacing w:after="80" w:line="264" w:lineRule="auto"/>
            </w:pPr>
            <w:r>
              <w:rPr>
                <w:sz w:val="20"/>
                <w:szCs w:val="20"/>
              </w:rPr>
              <w:t>Bestelle bei Lieferdiensten zum Abholen (</w:t>
            </w:r>
            <w:r>
              <w:rPr>
                <w:i/>
                <w:iCs/>
                <w:sz w:val="20"/>
                <w:szCs w:val="20"/>
              </w:rPr>
              <w:t>Pickup</w:t>
            </w:r>
            <w:r>
              <w:rPr>
                <w:sz w:val="20"/>
                <w:szCs w:val="20"/>
              </w:rPr>
              <w:t>). Dann entfallen Liefergebühr, Serviceaufschlag der App und das Trinkgeld für den Fahrer. Mittagsangebote (</w:t>
            </w:r>
            <w:r>
              <w:rPr>
                <w:i/>
                <w:iCs/>
                <w:sz w:val="20"/>
                <w:szCs w:val="20"/>
              </w:rPr>
              <w:t>Lunch Specials</w:t>
            </w:r>
            <w:r>
              <w:rPr>
                <w:sz w:val="20"/>
                <w:szCs w:val="20"/>
              </w:rPr>
              <w:t xml:space="preserve">) und die </w:t>
            </w:r>
            <w:r>
              <w:rPr>
                <w:i/>
                <w:iCs/>
                <w:sz w:val="20"/>
                <w:szCs w:val="20"/>
              </w:rPr>
              <w:t>Happy Hour</w:t>
            </w:r>
            <w:r>
              <w:rPr>
                <w:sz w:val="20"/>
                <w:szCs w:val="20"/>
              </w:rPr>
              <w:t xml:space="preserve"> in Bars sind günstiger als die Abendkarte.</w:t>
            </w:r>
          </w:p>
        </w:tc>
      </w:tr>
    </w:tbl>
    <w:p w14:paraId="70A4E2F3" w14:textId="77777777" w:rsidR="00C1548D" w:rsidRDefault="00C1548D">
      <w:pPr>
        <w:spacing w:line="22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8"/>
        <w:gridCol w:w="1510"/>
        <w:gridCol w:w="1872"/>
        <w:gridCol w:w="2050"/>
      </w:tblGrid>
      <w:tr w:rsidR="00C1548D" w14:paraId="70A4E2F8" w14:textId="77777777">
        <w:tblPrEx>
          <w:tblCellMar>
            <w:top w:w="0" w:type="dxa"/>
            <w:bottom w:w="0" w:type="dxa"/>
          </w:tblCellMar>
        </w:tblPrEx>
        <w:trPr>
          <w:cantSplit/>
          <w:tblHeader/>
        </w:trPr>
        <w:tc>
          <w:tcPr>
            <w:tcW w:w="104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F4" w14:textId="77777777" w:rsidR="00C1548D" w:rsidRDefault="009B1B4B">
            <w:pPr>
              <w:spacing w:line="250" w:lineRule="auto"/>
            </w:pPr>
            <w:r>
              <w:rPr>
                <w:b/>
                <w:bCs/>
                <w:sz w:val="18"/>
                <w:szCs w:val="18"/>
              </w:rPr>
              <w:t>Situation</w:t>
            </w:r>
          </w:p>
        </w:tc>
        <w:tc>
          <w:tcPr>
            <w:tcW w:w="15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F5" w14:textId="77777777" w:rsidR="00C1548D" w:rsidRDefault="009B1B4B">
            <w:pPr>
              <w:spacing w:line="250" w:lineRule="auto"/>
            </w:pPr>
            <w:r>
              <w:rPr>
                <w:b/>
                <w:bCs/>
                <w:sz w:val="18"/>
                <w:szCs w:val="18"/>
              </w:rPr>
              <w:t>In Deutschland</w:t>
            </w:r>
          </w:p>
        </w:tc>
        <w:tc>
          <w:tcPr>
            <w:tcW w:w="187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F6" w14:textId="77777777" w:rsidR="00C1548D" w:rsidRDefault="009B1B4B">
            <w:pPr>
              <w:spacing w:line="250" w:lineRule="auto"/>
            </w:pPr>
            <w:r>
              <w:rPr>
                <w:b/>
                <w:bCs/>
                <w:sz w:val="18"/>
                <w:szCs w:val="18"/>
              </w:rPr>
              <w:t>In den USA</w:t>
            </w:r>
          </w:p>
        </w:tc>
        <w:tc>
          <w:tcPr>
            <w:tcW w:w="20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2F7" w14:textId="77777777" w:rsidR="00C1548D" w:rsidRDefault="009B1B4B">
            <w:pPr>
              <w:spacing w:line="250" w:lineRule="auto"/>
            </w:pPr>
            <w:r>
              <w:rPr>
                <w:b/>
                <w:bCs/>
                <w:sz w:val="18"/>
                <w:szCs w:val="18"/>
              </w:rPr>
              <w:t>Tipp</w:t>
            </w:r>
          </w:p>
        </w:tc>
      </w:tr>
      <w:tr w:rsidR="00C1548D" w14:paraId="70A4E2FD" w14:textId="77777777">
        <w:tblPrEx>
          <w:tblCellMar>
            <w:top w:w="0" w:type="dxa"/>
            <w:bottom w:w="0" w:type="dxa"/>
          </w:tblCellMar>
        </w:tblPrEx>
        <w:trPr>
          <w:cantSplit/>
        </w:trPr>
        <w:tc>
          <w:tcPr>
            <w:tcW w:w="10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F9" w14:textId="77777777" w:rsidR="00C1548D" w:rsidRDefault="009B1B4B">
            <w:pPr>
              <w:spacing w:line="250" w:lineRule="auto"/>
            </w:pPr>
            <w:r>
              <w:rPr>
                <w:sz w:val="18"/>
                <w:szCs w:val="18"/>
              </w:rPr>
              <w:t>Restaurant</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FA" w14:textId="77777777" w:rsidR="00C1548D" w:rsidRDefault="009B1B4B">
            <w:pPr>
              <w:spacing w:line="250" w:lineRule="auto"/>
            </w:pPr>
            <w:r>
              <w:rPr>
                <w:sz w:val="18"/>
                <w:szCs w:val="18"/>
              </w:rPr>
              <w:t>Aufrunden, 5 bis 10 %</w:t>
            </w:r>
          </w:p>
        </w:tc>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FB" w14:textId="77777777" w:rsidR="00C1548D" w:rsidRDefault="009B1B4B">
            <w:pPr>
              <w:spacing w:line="250" w:lineRule="auto"/>
            </w:pPr>
            <w:r>
              <w:rPr>
                <w:sz w:val="18"/>
                <w:szCs w:val="18"/>
              </w:rPr>
              <w:t>18–20 % vom Nettobetrag</w:t>
            </w:r>
          </w:p>
        </w:tc>
        <w:tc>
          <w:tcPr>
            <w:tcW w:w="2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FC" w14:textId="77777777" w:rsidR="00C1548D" w:rsidRDefault="009B1B4B">
            <w:pPr>
              <w:spacing w:line="250" w:lineRule="auto"/>
            </w:pPr>
            <w:r>
              <w:rPr>
                <w:sz w:val="18"/>
                <w:szCs w:val="18"/>
              </w:rPr>
              <w:t>Beleg prüfen: schon enthalten?</w:t>
            </w:r>
          </w:p>
        </w:tc>
      </w:tr>
      <w:tr w:rsidR="00C1548D" w14:paraId="70A4E302" w14:textId="77777777">
        <w:tblPrEx>
          <w:tblCellMar>
            <w:top w:w="0" w:type="dxa"/>
            <w:bottom w:w="0" w:type="dxa"/>
          </w:tblCellMar>
        </w:tblPrEx>
        <w:trPr>
          <w:cantSplit/>
        </w:trPr>
        <w:tc>
          <w:tcPr>
            <w:tcW w:w="10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FE" w14:textId="77777777" w:rsidR="00C1548D" w:rsidRDefault="009B1B4B">
            <w:pPr>
              <w:spacing w:line="250" w:lineRule="auto"/>
            </w:pPr>
            <w:r>
              <w:rPr>
                <w:sz w:val="18"/>
                <w:szCs w:val="18"/>
              </w:rPr>
              <w:t>Bar</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2FF" w14:textId="77777777" w:rsidR="00C1548D" w:rsidRDefault="009B1B4B">
            <w:pPr>
              <w:spacing w:line="250" w:lineRule="auto"/>
            </w:pPr>
            <w:r>
              <w:rPr>
                <w:sz w:val="18"/>
                <w:szCs w:val="18"/>
              </w:rPr>
              <w:t>Aufrunden</w:t>
            </w:r>
          </w:p>
        </w:tc>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0" w14:textId="77777777" w:rsidR="00C1548D" w:rsidRDefault="009B1B4B">
            <w:pPr>
              <w:spacing w:line="250" w:lineRule="auto"/>
            </w:pPr>
            <w:r>
              <w:rPr>
                <w:sz w:val="18"/>
                <w:szCs w:val="18"/>
              </w:rPr>
              <w:t>1–2 $ pro Getränk</w:t>
            </w:r>
          </w:p>
        </w:tc>
        <w:tc>
          <w:tcPr>
            <w:tcW w:w="2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1" w14:textId="77777777" w:rsidR="00C1548D" w:rsidRDefault="009B1B4B">
            <w:pPr>
              <w:spacing w:line="250" w:lineRule="auto"/>
            </w:pPr>
            <w:r>
              <w:rPr>
                <w:sz w:val="18"/>
                <w:szCs w:val="18"/>
              </w:rPr>
              <w:t>Bei jeder Runde geben</w:t>
            </w:r>
          </w:p>
        </w:tc>
      </w:tr>
      <w:tr w:rsidR="00C1548D" w14:paraId="70A4E307" w14:textId="77777777">
        <w:tblPrEx>
          <w:tblCellMar>
            <w:top w:w="0" w:type="dxa"/>
            <w:bottom w:w="0" w:type="dxa"/>
          </w:tblCellMar>
        </w:tblPrEx>
        <w:trPr>
          <w:cantSplit/>
        </w:trPr>
        <w:tc>
          <w:tcPr>
            <w:tcW w:w="10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3" w14:textId="77777777" w:rsidR="00C1548D" w:rsidRDefault="009B1B4B">
            <w:pPr>
              <w:spacing w:line="250" w:lineRule="auto"/>
            </w:pPr>
            <w:r>
              <w:rPr>
                <w:sz w:val="18"/>
                <w:szCs w:val="18"/>
              </w:rPr>
              <w:t>Taxi, Rideshare</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4" w14:textId="77777777" w:rsidR="00C1548D" w:rsidRDefault="009B1B4B">
            <w:pPr>
              <w:spacing w:line="250" w:lineRule="auto"/>
            </w:pPr>
            <w:r>
              <w:rPr>
                <w:sz w:val="18"/>
                <w:szCs w:val="18"/>
              </w:rPr>
              <w:t>Aufrunden</w:t>
            </w:r>
          </w:p>
        </w:tc>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5" w14:textId="77777777" w:rsidR="00C1548D" w:rsidRDefault="009B1B4B">
            <w:pPr>
              <w:spacing w:line="250" w:lineRule="auto"/>
            </w:pPr>
            <w:r>
              <w:rPr>
                <w:sz w:val="18"/>
                <w:szCs w:val="18"/>
              </w:rPr>
              <w:t>15–20 %</w:t>
            </w:r>
          </w:p>
        </w:tc>
        <w:tc>
          <w:tcPr>
            <w:tcW w:w="2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6" w14:textId="77777777" w:rsidR="00C1548D" w:rsidRDefault="009B1B4B">
            <w:pPr>
              <w:spacing w:line="250" w:lineRule="auto"/>
            </w:pPr>
            <w:r>
              <w:rPr>
                <w:sz w:val="18"/>
                <w:szCs w:val="18"/>
              </w:rPr>
              <w:t>In der App wählen</w:t>
            </w:r>
          </w:p>
        </w:tc>
      </w:tr>
      <w:tr w:rsidR="00C1548D" w14:paraId="70A4E30C" w14:textId="77777777">
        <w:tblPrEx>
          <w:tblCellMar>
            <w:top w:w="0" w:type="dxa"/>
            <w:bottom w:w="0" w:type="dxa"/>
          </w:tblCellMar>
        </w:tblPrEx>
        <w:trPr>
          <w:cantSplit/>
        </w:trPr>
        <w:tc>
          <w:tcPr>
            <w:tcW w:w="10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8" w14:textId="77777777" w:rsidR="00C1548D" w:rsidRDefault="009B1B4B">
            <w:pPr>
              <w:spacing w:line="250" w:lineRule="auto"/>
            </w:pPr>
            <w:r>
              <w:rPr>
                <w:sz w:val="18"/>
                <w:szCs w:val="18"/>
              </w:rPr>
              <w:t>Friseur, Nagelstudio</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9" w14:textId="77777777" w:rsidR="00C1548D" w:rsidRDefault="009B1B4B">
            <w:pPr>
              <w:spacing w:line="250" w:lineRule="auto"/>
            </w:pPr>
            <w:r>
              <w:rPr>
                <w:sz w:val="18"/>
                <w:szCs w:val="18"/>
              </w:rPr>
              <w:t>5 bis 10 %</w:t>
            </w:r>
          </w:p>
        </w:tc>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A" w14:textId="77777777" w:rsidR="00C1548D" w:rsidRDefault="009B1B4B">
            <w:pPr>
              <w:spacing w:line="250" w:lineRule="auto"/>
            </w:pPr>
            <w:r>
              <w:rPr>
                <w:sz w:val="18"/>
                <w:szCs w:val="18"/>
              </w:rPr>
              <w:t>18–20 %</w:t>
            </w:r>
          </w:p>
        </w:tc>
        <w:tc>
          <w:tcPr>
            <w:tcW w:w="2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B" w14:textId="77777777" w:rsidR="00C1548D" w:rsidRDefault="009B1B4B">
            <w:pPr>
              <w:spacing w:line="250" w:lineRule="auto"/>
            </w:pPr>
            <w:r>
              <w:rPr>
                <w:sz w:val="18"/>
                <w:szCs w:val="18"/>
              </w:rPr>
              <w:t>Bar oder per App</w:t>
            </w:r>
          </w:p>
        </w:tc>
      </w:tr>
      <w:tr w:rsidR="00C1548D" w14:paraId="70A4E311" w14:textId="77777777">
        <w:tblPrEx>
          <w:tblCellMar>
            <w:top w:w="0" w:type="dxa"/>
            <w:bottom w:w="0" w:type="dxa"/>
          </w:tblCellMar>
        </w:tblPrEx>
        <w:trPr>
          <w:cantSplit/>
        </w:trPr>
        <w:tc>
          <w:tcPr>
            <w:tcW w:w="10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D" w14:textId="77777777" w:rsidR="00C1548D" w:rsidRDefault="009B1B4B">
            <w:pPr>
              <w:spacing w:line="250" w:lineRule="auto"/>
            </w:pPr>
            <w:r>
              <w:rPr>
                <w:sz w:val="18"/>
                <w:szCs w:val="18"/>
              </w:rPr>
              <w:lastRenderedPageBreak/>
              <w:t>Preisschild</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E" w14:textId="77777777" w:rsidR="00C1548D" w:rsidRDefault="009B1B4B">
            <w:pPr>
              <w:spacing w:line="250" w:lineRule="auto"/>
            </w:pPr>
            <w:r>
              <w:rPr>
                <w:sz w:val="18"/>
                <w:szCs w:val="18"/>
              </w:rPr>
              <w:t>Endpreis mit Mehrwertsteuer</w:t>
            </w:r>
          </w:p>
        </w:tc>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0F" w14:textId="77777777" w:rsidR="00C1548D" w:rsidRDefault="009B1B4B">
            <w:pPr>
              <w:spacing w:line="250" w:lineRule="auto"/>
            </w:pPr>
            <w:r>
              <w:rPr>
                <w:sz w:val="18"/>
                <w:szCs w:val="18"/>
              </w:rPr>
              <w:t>Nettopreis, Steuer an der Kasse</w:t>
            </w:r>
          </w:p>
        </w:tc>
        <w:tc>
          <w:tcPr>
            <w:tcW w:w="2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10" w14:textId="77777777" w:rsidR="00C1548D" w:rsidRDefault="009B1B4B">
            <w:pPr>
              <w:spacing w:line="250" w:lineRule="auto"/>
            </w:pPr>
            <w:r>
              <w:rPr>
                <w:sz w:val="18"/>
                <w:szCs w:val="18"/>
              </w:rPr>
              <w:t>Steuersatz des Wohnorts nachschlagen</w:t>
            </w:r>
          </w:p>
        </w:tc>
      </w:tr>
      <w:tr w:rsidR="00C1548D" w14:paraId="70A4E316" w14:textId="77777777">
        <w:tblPrEx>
          <w:tblCellMar>
            <w:top w:w="0" w:type="dxa"/>
            <w:bottom w:w="0" w:type="dxa"/>
          </w:tblCellMar>
        </w:tblPrEx>
        <w:trPr>
          <w:cantSplit/>
        </w:trPr>
        <w:tc>
          <w:tcPr>
            <w:tcW w:w="10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12" w14:textId="77777777" w:rsidR="00C1548D" w:rsidRDefault="009B1B4B">
            <w:pPr>
              <w:spacing w:line="250" w:lineRule="auto"/>
            </w:pPr>
            <w:r>
              <w:rPr>
                <w:sz w:val="18"/>
                <w:szCs w:val="18"/>
              </w:rPr>
              <w:t>Rechnung</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13" w14:textId="77777777" w:rsidR="00C1548D" w:rsidRDefault="009B1B4B">
            <w:pPr>
              <w:spacing w:line="250" w:lineRule="auto"/>
            </w:pPr>
            <w:r>
              <w:rPr>
                <w:sz w:val="18"/>
                <w:szCs w:val="18"/>
              </w:rPr>
              <w:t>„Zusammen oder getrennt?“</w:t>
            </w:r>
          </w:p>
        </w:tc>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14" w14:textId="77777777" w:rsidR="00C1548D" w:rsidRDefault="009B1B4B">
            <w:pPr>
              <w:spacing w:line="250" w:lineRule="auto"/>
            </w:pPr>
            <w:r>
              <w:rPr>
                <w:sz w:val="18"/>
                <w:szCs w:val="18"/>
              </w:rPr>
              <w:t>Oft eine Rechnung, Aufteilung per App</w:t>
            </w:r>
          </w:p>
        </w:tc>
        <w:tc>
          <w:tcPr>
            <w:tcW w:w="2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15" w14:textId="77777777" w:rsidR="00C1548D" w:rsidRDefault="009B1B4B">
            <w:pPr>
              <w:spacing w:line="250" w:lineRule="auto"/>
            </w:pPr>
            <w:r>
              <w:rPr>
                <w:sz w:val="18"/>
                <w:szCs w:val="18"/>
              </w:rPr>
              <w:t>Trennung vor der Bestellung nennen</w:t>
            </w:r>
          </w:p>
        </w:tc>
      </w:tr>
    </w:tbl>
    <w:p w14:paraId="70A4E317" w14:textId="77777777" w:rsidR="00C1548D" w:rsidRDefault="00C1548D">
      <w:pPr>
        <w:spacing w:line="180" w:lineRule="exact"/>
      </w:pPr>
    </w:p>
    <w:p w14:paraId="70A4E318" w14:textId="77777777" w:rsidR="00C1548D" w:rsidRDefault="009B1B4B">
      <w:pPr>
        <w:pStyle w:val="Heading3"/>
        <w:keepNext/>
        <w:jc w:val="center"/>
      </w:pPr>
      <w:r>
        <w:rPr>
          <w:rFonts w:ascii="Amazon Ember" w:eastAsia="Amazon Ember" w:hAnsi="Amazon Ember" w:cs="Amazon Ember"/>
          <w:color w:val="0000FF"/>
          <w:sz w:val="36"/>
          <w:szCs w:val="36"/>
        </w:rPr>
        <w:t>Alltag: Portionen, Auto, Rückgabe, Kundenservice</w:t>
      </w:r>
    </w:p>
    <w:p w14:paraId="70A4E319" w14:textId="47B52419" w:rsidR="00C1548D" w:rsidRDefault="009B1B4B">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history="1">
        <w:r>
          <w:t>35</w:t>
        </w:r>
      </w:hyperlink>
      <w:r>
        <w:t>.</w:t>
      </w:r>
    </w:p>
    <w:p w14:paraId="70A4E31A" w14:textId="6AECE4BE" w:rsidR="00C1548D" w:rsidRDefault="009B1B4B">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manche Wohngebiete haben keine Gehwege. Führerschein, Kauf und Versicherung: Kapitel </w:t>
      </w:r>
      <w:hyperlink w:anchor="k27" w:history="1">
        <w:r>
          <w:t>27</w:t>
        </w:r>
      </w:hyperlink>
      <w:r>
        <w:t>; was die Autoabhängigkeit für die Wohnortwahl heißt: Kapitel </w:t>
      </w:r>
      <w:hyperlink w:anchor="k12" w:history="1">
        <w:r>
          <w:t>12</w:t>
        </w:r>
      </w:hyperlink>
      <w:r>
        <w:t>.</w:t>
      </w:r>
    </w:p>
    <w:p w14:paraId="70A4E31B" w14:textId="77777777" w:rsidR="00C1548D" w:rsidRDefault="009B1B4B">
      <w:pPr>
        <w:spacing w:after="140"/>
      </w:pPr>
      <w:r>
        <w:rPr>
          <w:b/>
          <w:bCs/>
        </w:rPr>
        <w:t>Rückgabe und Kundenservice.</w:t>
      </w:r>
      <w:r>
        <w:t xml:space="preserve"> Ein gesetzliches Widerrufsrecht wie die 14 Tage im deutschen Onlinehandel gibt es nicht; die Rückgaberegel (</w:t>
      </w:r>
      <w:r>
        <w:rPr>
          <w:i/>
          <w:iCs/>
        </w:rPr>
        <w:t>Return Policy</w:t>
      </w:r>
      <w:r>
        <w:t>)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dagegen auch T</w:t>
      </w:r>
      <w:r>
        <w:t xml:space="preserve">eil des Geschäftsmodells – ein zufriedener Kunde </w:t>
      </w:r>
      <w:r>
        <w:lastRenderedPageBreak/>
        <w:t xml:space="preserve">kauft mehr und kommt wieder. Das macht sie im Alltag nicht weniger angenehm, nur eben kalkuliert statt zufällig. Beschwerden wirken ruhig und mit Lösungsvorschlag am besten; hilft es nicht, bittest du um den </w:t>
      </w:r>
      <w:r>
        <w:rPr>
          <w:i/>
          <w:iCs/>
        </w:rPr>
        <w:t>Manager</w:t>
      </w:r>
      <w:r>
        <w:t>. Umgekehrt erwartet das Personal einen Gruß, bevor du bestellst; wer ohne „Hi, how are you?“ sofort loslegt, gilt schnell als schroff.</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562"/>
        <w:gridCol w:w="1911"/>
        <w:gridCol w:w="2057"/>
      </w:tblGrid>
      <w:tr w:rsidR="00C1548D" w14:paraId="70A4E320"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1C" w14:textId="77777777" w:rsidR="00C1548D" w:rsidRDefault="009B1B4B">
            <w:pPr>
              <w:spacing w:line="250" w:lineRule="auto"/>
            </w:pPr>
            <w:r>
              <w:rPr>
                <w:b/>
                <w:bCs/>
                <w:sz w:val="18"/>
                <w:szCs w:val="18"/>
              </w:rPr>
              <w:t>Situation</w:t>
            </w:r>
          </w:p>
        </w:tc>
        <w:tc>
          <w:tcPr>
            <w:tcW w:w="156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1D" w14:textId="77777777" w:rsidR="00C1548D" w:rsidRDefault="009B1B4B">
            <w:pPr>
              <w:spacing w:line="250" w:lineRule="auto"/>
            </w:pPr>
            <w:r>
              <w:rPr>
                <w:b/>
                <w:bCs/>
                <w:sz w:val="18"/>
                <w:szCs w:val="18"/>
              </w:rPr>
              <w:t>In Deutschland</w:t>
            </w:r>
          </w:p>
        </w:tc>
        <w:tc>
          <w:tcPr>
            <w:tcW w:w="191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1E" w14:textId="77777777" w:rsidR="00C1548D" w:rsidRDefault="009B1B4B">
            <w:pPr>
              <w:spacing w:line="250" w:lineRule="auto"/>
            </w:pPr>
            <w:r>
              <w:rPr>
                <w:b/>
                <w:bCs/>
                <w:sz w:val="18"/>
                <w:szCs w:val="18"/>
              </w:rPr>
              <w:t>In den USA</w:t>
            </w:r>
          </w:p>
        </w:tc>
        <w:tc>
          <w:tcPr>
            <w:tcW w:w="205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1F" w14:textId="77777777" w:rsidR="00C1548D" w:rsidRDefault="009B1B4B">
            <w:pPr>
              <w:spacing w:line="250" w:lineRule="auto"/>
            </w:pPr>
            <w:r>
              <w:rPr>
                <w:b/>
                <w:bCs/>
                <w:sz w:val="18"/>
                <w:szCs w:val="18"/>
              </w:rPr>
              <w:t>Tipp</w:t>
            </w:r>
          </w:p>
        </w:tc>
      </w:tr>
      <w:tr w:rsidR="00C1548D" w14:paraId="70A4E32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1" w14:textId="77777777" w:rsidR="00C1548D" w:rsidRDefault="009B1B4B">
            <w:pPr>
              <w:spacing w:line="250" w:lineRule="auto"/>
            </w:pPr>
            <w:r>
              <w:rPr>
                <w:sz w:val="18"/>
                <w:szCs w:val="18"/>
              </w:rPr>
              <w:t>Rückgabe</w:t>
            </w:r>
          </w:p>
        </w:tc>
        <w:tc>
          <w:tcPr>
            <w:tcW w:w="15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2" w14:textId="77777777" w:rsidR="00C1548D" w:rsidRDefault="009B1B4B">
            <w:pPr>
              <w:spacing w:line="250" w:lineRule="auto"/>
            </w:pPr>
            <w:r>
              <w:rPr>
                <w:sz w:val="18"/>
                <w:szCs w:val="18"/>
              </w:rPr>
              <w:t>14 Tage Widerruf online</w:t>
            </w:r>
          </w:p>
        </w:tc>
        <w:tc>
          <w:tcPr>
            <w:tcW w:w="19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3" w14:textId="77777777" w:rsidR="00C1548D" w:rsidRDefault="009B1B4B">
            <w:pPr>
              <w:spacing w:line="250" w:lineRule="auto"/>
            </w:pPr>
            <w:r>
              <w:rPr>
                <w:sz w:val="18"/>
                <w:szCs w:val="18"/>
              </w:rPr>
              <w:t>Regel des Händlers, 15 bis 90 Tage</w:t>
            </w:r>
          </w:p>
        </w:tc>
        <w:tc>
          <w:tcPr>
            <w:tcW w:w="20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4" w14:textId="77777777" w:rsidR="00C1548D" w:rsidRDefault="009B1B4B">
            <w:pPr>
              <w:spacing w:line="250" w:lineRule="auto"/>
            </w:pPr>
            <w:r>
              <w:rPr>
                <w:sz w:val="18"/>
                <w:szCs w:val="18"/>
              </w:rPr>
              <w:t>Bon und Verpackung aufbewahren</w:t>
            </w:r>
          </w:p>
        </w:tc>
      </w:tr>
      <w:tr w:rsidR="00C1548D" w14:paraId="70A4E32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6" w14:textId="77777777" w:rsidR="00C1548D" w:rsidRDefault="009B1B4B">
            <w:pPr>
              <w:spacing w:line="250" w:lineRule="auto"/>
            </w:pPr>
            <w:r>
              <w:rPr>
                <w:sz w:val="18"/>
                <w:szCs w:val="18"/>
              </w:rPr>
              <w:t>Beschwerde</w:t>
            </w:r>
          </w:p>
        </w:tc>
        <w:tc>
          <w:tcPr>
            <w:tcW w:w="15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7" w14:textId="77777777" w:rsidR="00C1548D" w:rsidRDefault="009B1B4B">
            <w:pPr>
              <w:spacing w:line="250" w:lineRule="auto"/>
            </w:pPr>
            <w:r>
              <w:rPr>
                <w:sz w:val="18"/>
                <w:szCs w:val="18"/>
              </w:rPr>
              <w:t>Sachlich und direkt</w:t>
            </w:r>
          </w:p>
        </w:tc>
        <w:tc>
          <w:tcPr>
            <w:tcW w:w="19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8" w14:textId="77777777" w:rsidR="00C1548D" w:rsidRDefault="009B1B4B">
            <w:pPr>
              <w:spacing w:line="250" w:lineRule="auto"/>
            </w:pPr>
            <w:r>
              <w:rPr>
                <w:sz w:val="18"/>
                <w:szCs w:val="18"/>
              </w:rPr>
              <w:t>Freundlich, mit Lösungsvorschlag</w:t>
            </w:r>
          </w:p>
        </w:tc>
        <w:tc>
          <w:tcPr>
            <w:tcW w:w="20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9" w14:textId="77777777" w:rsidR="00C1548D" w:rsidRDefault="009B1B4B">
            <w:pPr>
              <w:spacing w:line="250" w:lineRule="auto"/>
            </w:pPr>
            <w:r>
              <w:rPr>
                <w:sz w:val="18"/>
                <w:szCs w:val="18"/>
              </w:rPr>
              <w:t xml:space="preserve">Bei Bedarf nach dem </w:t>
            </w:r>
            <w:r>
              <w:rPr>
                <w:i/>
                <w:iCs/>
                <w:sz w:val="18"/>
                <w:szCs w:val="18"/>
              </w:rPr>
              <w:t>Manager</w:t>
            </w:r>
            <w:r>
              <w:rPr>
                <w:sz w:val="18"/>
                <w:szCs w:val="18"/>
              </w:rPr>
              <w:t xml:space="preserve"> fragen</w:t>
            </w:r>
          </w:p>
        </w:tc>
      </w:tr>
      <w:tr w:rsidR="00C1548D" w14:paraId="70A4E32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B" w14:textId="77777777" w:rsidR="00C1548D" w:rsidRDefault="009B1B4B">
            <w:pPr>
              <w:spacing w:line="250" w:lineRule="auto"/>
            </w:pPr>
            <w:r>
              <w:rPr>
                <w:sz w:val="18"/>
                <w:szCs w:val="18"/>
              </w:rPr>
              <w:t>Restaurantportion</w:t>
            </w:r>
          </w:p>
        </w:tc>
        <w:tc>
          <w:tcPr>
            <w:tcW w:w="15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C" w14:textId="77777777" w:rsidR="00C1548D" w:rsidRDefault="009B1B4B">
            <w:pPr>
              <w:spacing w:line="250" w:lineRule="auto"/>
            </w:pPr>
            <w:r>
              <w:rPr>
                <w:sz w:val="18"/>
                <w:szCs w:val="18"/>
              </w:rPr>
              <w:t>Reste selten mitgenommen</w:t>
            </w:r>
          </w:p>
        </w:tc>
        <w:tc>
          <w:tcPr>
            <w:tcW w:w="19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D" w14:textId="77777777" w:rsidR="00C1548D" w:rsidRDefault="009B1B4B">
            <w:pPr>
              <w:spacing w:line="250" w:lineRule="auto"/>
            </w:pPr>
            <w:r>
              <w:rPr>
                <w:sz w:val="18"/>
                <w:szCs w:val="18"/>
              </w:rPr>
              <w:t>Groß, Mitnehmen üblich</w:t>
            </w:r>
          </w:p>
        </w:tc>
        <w:tc>
          <w:tcPr>
            <w:tcW w:w="20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2E" w14:textId="77777777" w:rsidR="00C1548D" w:rsidRDefault="009B1B4B">
            <w:pPr>
              <w:spacing w:line="250" w:lineRule="auto"/>
            </w:pPr>
            <w:r>
              <w:rPr>
                <w:sz w:val="18"/>
                <w:szCs w:val="18"/>
              </w:rPr>
              <w:t>„Could I get a box?“</w:t>
            </w:r>
          </w:p>
        </w:tc>
      </w:tr>
      <w:tr w:rsidR="00C1548D" w14:paraId="70A4E33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30" w14:textId="77777777" w:rsidR="00C1548D" w:rsidRDefault="009B1B4B">
            <w:pPr>
              <w:spacing w:line="250" w:lineRule="auto"/>
            </w:pPr>
            <w:r>
              <w:rPr>
                <w:sz w:val="18"/>
                <w:szCs w:val="18"/>
              </w:rPr>
              <w:t>Wege</w:t>
            </w:r>
          </w:p>
        </w:tc>
        <w:tc>
          <w:tcPr>
            <w:tcW w:w="15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31" w14:textId="77777777" w:rsidR="00C1548D" w:rsidRDefault="009B1B4B">
            <w:pPr>
              <w:spacing w:line="250" w:lineRule="auto"/>
            </w:pPr>
            <w:r>
              <w:rPr>
                <w:sz w:val="18"/>
                <w:szCs w:val="18"/>
              </w:rPr>
              <w:t>Zu Fuß, Rad, Bahn</w:t>
            </w:r>
          </w:p>
        </w:tc>
        <w:tc>
          <w:tcPr>
            <w:tcW w:w="19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32" w14:textId="77777777" w:rsidR="00C1548D" w:rsidRDefault="009B1B4B">
            <w:pPr>
              <w:spacing w:line="250" w:lineRule="auto"/>
            </w:pPr>
            <w:r>
              <w:rPr>
                <w:sz w:val="18"/>
                <w:szCs w:val="18"/>
              </w:rPr>
              <w:t>Meist Auto</w:t>
            </w:r>
          </w:p>
        </w:tc>
        <w:tc>
          <w:tcPr>
            <w:tcW w:w="20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33" w14:textId="77777777" w:rsidR="00C1548D" w:rsidRDefault="009B1B4B">
            <w:pPr>
              <w:spacing w:line="250" w:lineRule="auto"/>
            </w:pPr>
            <w:r>
              <w:rPr>
                <w:sz w:val="18"/>
                <w:szCs w:val="18"/>
              </w:rPr>
              <w:t>Auto vor der Wohnungssuche einplanen</w:t>
            </w:r>
          </w:p>
        </w:tc>
      </w:tr>
      <w:tr w:rsidR="00C1548D" w14:paraId="70A4E33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35" w14:textId="77777777" w:rsidR="00C1548D" w:rsidRDefault="009B1B4B">
            <w:pPr>
              <w:spacing w:line="250" w:lineRule="auto"/>
            </w:pPr>
            <w:r>
              <w:rPr>
                <w:sz w:val="18"/>
                <w:szCs w:val="18"/>
              </w:rPr>
              <w:t>Kasse</w:t>
            </w:r>
          </w:p>
        </w:tc>
        <w:tc>
          <w:tcPr>
            <w:tcW w:w="15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36" w14:textId="77777777" w:rsidR="00C1548D" w:rsidRDefault="009B1B4B">
            <w:pPr>
              <w:spacing w:line="250" w:lineRule="auto"/>
            </w:pPr>
            <w:r>
              <w:rPr>
                <w:sz w:val="18"/>
                <w:szCs w:val="18"/>
              </w:rPr>
              <w:t>Knapp, sachlich</w:t>
            </w:r>
          </w:p>
        </w:tc>
        <w:tc>
          <w:tcPr>
            <w:tcW w:w="19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37" w14:textId="77777777" w:rsidR="00C1548D" w:rsidRDefault="009B1B4B">
            <w:pPr>
              <w:spacing w:line="250" w:lineRule="auto"/>
            </w:pPr>
            <w:r>
              <w:rPr>
                <w:sz w:val="18"/>
                <w:szCs w:val="18"/>
              </w:rPr>
              <w:t>Kurzer Small Talk</w:t>
            </w:r>
          </w:p>
        </w:tc>
        <w:tc>
          <w:tcPr>
            <w:tcW w:w="20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38" w14:textId="77777777" w:rsidR="00C1548D" w:rsidRDefault="009B1B4B">
            <w:pPr>
              <w:spacing w:line="250" w:lineRule="auto"/>
            </w:pPr>
            <w:r>
              <w:rPr>
                <w:sz w:val="18"/>
                <w:szCs w:val="18"/>
              </w:rPr>
              <w:t>Grüßen, dann bezahlen</w:t>
            </w:r>
          </w:p>
        </w:tc>
      </w:tr>
    </w:tbl>
    <w:p w14:paraId="70A4E33A" w14:textId="77777777" w:rsidR="00C1548D" w:rsidRDefault="00C1548D">
      <w:pPr>
        <w:spacing w:line="180" w:lineRule="exact"/>
      </w:pPr>
    </w:p>
    <w:p w14:paraId="70A4E33B" w14:textId="77777777" w:rsidR="00C1548D" w:rsidRDefault="009B1B4B">
      <w:pPr>
        <w:pStyle w:val="Heading3"/>
        <w:keepNext/>
        <w:jc w:val="center"/>
      </w:pPr>
      <w:r>
        <w:rPr>
          <w:rFonts w:ascii="Amazon Ember" w:eastAsia="Amazon Ember" w:hAnsi="Amazon Ember" w:cs="Amazon Ember"/>
          <w:color w:val="0000FF"/>
          <w:sz w:val="36"/>
          <w:szCs w:val="36"/>
        </w:rPr>
        <w:t>Familie</w:t>
      </w:r>
    </w:p>
    <w:p w14:paraId="70A4E33C" w14:textId="6131EC76" w:rsidR="00C1548D" w:rsidRDefault="009B1B4B">
      <w:pPr>
        <w:spacing w:after="140"/>
      </w:pPr>
      <w:r>
        <w:t xml:space="preserve">Kinder bestimmen das amerikanische Wochenende: Sportturniere, Vereinstermine und Geburtstagsfeiern füllen den Kalender. Kindergeburtstage laufen oft in einer gemieteten Location, mit 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Kinder allein unterwegs sind, prägen Ort und Gemeinde; bei Schulweg, Spielplatz und Allein-zu-Hause-Bleiben (Rechtslage und Erwartungen) siehe Kapitel </w:t>
      </w:r>
      <w:hyperlink w:anchor="k38" w:history="1">
        <w:r>
          <w:t>38</w:t>
        </w:r>
      </w:hyperlink>
      <w:r>
        <w:t>, zur Schule Kapitel </w:t>
      </w:r>
      <w:hyperlink w:anchor="k36" w:history="1">
        <w:r>
          <w:t>36</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4"/>
        <w:gridCol w:w="1578"/>
        <w:gridCol w:w="1996"/>
        <w:gridCol w:w="1732"/>
      </w:tblGrid>
      <w:tr w:rsidR="00C1548D" w14:paraId="70A4E341" w14:textId="77777777">
        <w:tblPrEx>
          <w:tblCellMar>
            <w:top w:w="0" w:type="dxa"/>
            <w:bottom w:w="0" w:type="dxa"/>
          </w:tblCellMar>
        </w:tblPrEx>
        <w:trPr>
          <w:cantSplit/>
          <w:tblHeader/>
        </w:trPr>
        <w:tc>
          <w:tcPr>
            <w:tcW w:w="117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3D" w14:textId="77777777" w:rsidR="00C1548D" w:rsidRDefault="009B1B4B">
            <w:pPr>
              <w:spacing w:line="250" w:lineRule="auto"/>
            </w:pPr>
            <w:r>
              <w:rPr>
                <w:b/>
                <w:bCs/>
                <w:sz w:val="18"/>
                <w:szCs w:val="18"/>
              </w:rPr>
              <w:t>Situation</w:t>
            </w:r>
          </w:p>
        </w:tc>
        <w:tc>
          <w:tcPr>
            <w:tcW w:w="157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3E" w14:textId="77777777" w:rsidR="00C1548D" w:rsidRDefault="009B1B4B">
            <w:pPr>
              <w:spacing w:line="250" w:lineRule="auto"/>
            </w:pPr>
            <w:r>
              <w:rPr>
                <w:b/>
                <w:bCs/>
                <w:sz w:val="18"/>
                <w:szCs w:val="18"/>
              </w:rPr>
              <w:t>In Deutschland</w:t>
            </w:r>
          </w:p>
        </w:tc>
        <w:tc>
          <w:tcPr>
            <w:tcW w:w="199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3F" w14:textId="77777777" w:rsidR="00C1548D" w:rsidRDefault="009B1B4B">
            <w:pPr>
              <w:spacing w:line="250" w:lineRule="auto"/>
            </w:pPr>
            <w:r>
              <w:rPr>
                <w:b/>
                <w:bCs/>
                <w:sz w:val="18"/>
                <w:szCs w:val="18"/>
              </w:rPr>
              <w:t>In den USA</w:t>
            </w:r>
          </w:p>
        </w:tc>
        <w:tc>
          <w:tcPr>
            <w:tcW w:w="173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40" w14:textId="77777777" w:rsidR="00C1548D" w:rsidRDefault="009B1B4B">
            <w:pPr>
              <w:spacing w:line="250" w:lineRule="auto"/>
            </w:pPr>
            <w:r>
              <w:rPr>
                <w:b/>
                <w:bCs/>
                <w:sz w:val="18"/>
                <w:szCs w:val="18"/>
              </w:rPr>
              <w:t>Tipp</w:t>
            </w:r>
          </w:p>
        </w:tc>
      </w:tr>
      <w:tr w:rsidR="00C1548D" w14:paraId="70A4E346" w14:textId="77777777">
        <w:tblPrEx>
          <w:tblCellMar>
            <w:top w:w="0" w:type="dxa"/>
            <w:bottom w:w="0" w:type="dxa"/>
          </w:tblCellMar>
        </w:tblPrEx>
        <w:trPr>
          <w:cantSplit/>
        </w:trPr>
        <w:tc>
          <w:tcPr>
            <w:tcW w:w="11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2" w14:textId="77777777" w:rsidR="00C1548D" w:rsidRDefault="009B1B4B">
            <w:pPr>
              <w:spacing w:line="250" w:lineRule="auto"/>
            </w:pPr>
            <w:r>
              <w:rPr>
                <w:sz w:val="18"/>
                <w:szCs w:val="18"/>
              </w:rPr>
              <w:t>Kindergeburtstag</w:t>
            </w:r>
          </w:p>
        </w:tc>
        <w:tc>
          <w:tcPr>
            <w:tcW w:w="15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3" w14:textId="77777777" w:rsidR="00C1548D" w:rsidRDefault="009B1B4B">
            <w:pPr>
              <w:spacing w:line="250" w:lineRule="auto"/>
            </w:pPr>
            <w:r>
              <w:rPr>
                <w:sz w:val="18"/>
                <w:szCs w:val="18"/>
              </w:rPr>
              <w:t>Zu Hause, lockere Zusage</w:t>
            </w:r>
          </w:p>
        </w:tc>
        <w:tc>
          <w:tcPr>
            <w:tcW w:w="19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4" w14:textId="77777777" w:rsidR="00C1548D" w:rsidRDefault="009B1B4B">
            <w:pPr>
              <w:spacing w:line="250" w:lineRule="auto"/>
            </w:pPr>
            <w:r>
              <w:rPr>
                <w:sz w:val="18"/>
                <w:szCs w:val="18"/>
              </w:rPr>
              <w:t xml:space="preserve">Einladung mit </w:t>
            </w:r>
            <w:r>
              <w:rPr>
                <w:i/>
                <w:iCs/>
                <w:sz w:val="18"/>
                <w:szCs w:val="18"/>
              </w:rPr>
              <w:t>RSVP</w:t>
            </w:r>
            <w:r>
              <w:rPr>
                <w:sz w:val="18"/>
                <w:szCs w:val="18"/>
              </w:rPr>
              <w:t>, oft Party-Location</w:t>
            </w:r>
          </w:p>
        </w:tc>
        <w:tc>
          <w:tcPr>
            <w:tcW w:w="1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5" w14:textId="77777777" w:rsidR="00C1548D" w:rsidRDefault="009B1B4B">
            <w:pPr>
              <w:spacing w:line="250" w:lineRule="auto"/>
            </w:pPr>
            <w:r>
              <w:rPr>
                <w:sz w:val="18"/>
                <w:szCs w:val="18"/>
              </w:rPr>
              <w:t>Zusagen, Allergien nennen</w:t>
            </w:r>
          </w:p>
        </w:tc>
      </w:tr>
      <w:tr w:rsidR="00C1548D" w14:paraId="70A4E34B" w14:textId="77777777">
        <w:tblPrEx>
          <w:tblCellMar>
            <w:top w:w="0" w:type="dxa"/>
            <w:bottom w:w="0" w:type="dxa"/>
          </w:tblCellMar>
        </w:tblPrEx>
        <w:trPr>
          <w:cantSplit/>
        </w:trPr>
        <w:tc>
          <w:tcPr>
            <w:tcW w:w="11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7" w14:textId="77777777" w:rsidR="00C1548D" w:rsidRDefault="009B1B4B">
            <w:pPr>
              <w:spacing w:line="250" w:lineRule="auto"/>
            </w:pPr>
            <w:r>
              <w:rPr>
                <w:sz w:val="18"/>
                <w:szCs w:val="18"/>
              </w:rPr>
              <w:lastRenderedPageBreak/>
              <w:t>Verabredung der Kinder</w:t>
            </w:r>
          </w:p>
        </w:tc>
        <w:tc>
          <w:tcPr>
            <w:tcW w:w="15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8" w14:textId="77777777" w:rsidR="00C1548D" w:rsidRDefault="009B1B4B">
            <w:pPr>
              <w:spacing w:line="250" w:lineRule="auto"/>
            </w:pPr>
            <w:r>
              <w:rPr>
                <w:sz w:val="18"/>
                <w:szCs w:val="18"/>
              </w:rPr>
              <w:t>„Komm einfach vorbei“</w:t>
            </w:r>
          </w:p>
        </w:tc>
        <w:tc>
          <w:tcPr>
            <w:tcW w:w="19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9" w14:textId="77777777" w:rsidR="00C1548D" w:rsidRDefault="009B1B4B">
            <w:pPr>
              <w:spacing w:line="250" w:lineRule="auto"/>
            </w:pPr>
            <w:r>
              <w:rPr>
                <w:i/>
                <w:iCs/>
                <w:sz w:val="18"/>
                <w:szCs w:val="18"/>
              </w:rPr>
              <w:t>Playdate</w:t>
            </w:r>
            <w:r>
              <w:rPr>
                <w:sz w:val="18"/>
                <w:szCs w:val="18"/>
              </w:rPr>
              <w:t xml:space="preserve"> nach Absprache</w:t>
            </w:r>
          </w:p>
        </w:tc>
        <w:tc>
          <w:tcPr>
            <w:tcW w:w="1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A" w14:textId="77777777" w:rsidR="00C1548D" w:rsidRDefault="009B1B4B">
            <w:pPr>
              <w:spacing w:line="250" w:lineRule="auto"/>
            </w:pPr>
            <w:r>
              <w:rPr>
                <w:sz w:val="18"/>
                <w:szCs w:val="18"/>
              </w:rPr>
              <w:t>Eltern kontaktieren, Abholung klären</w:t>
            </w:r>
          </w:p>
        </w:tc>
      </w:tr>
      <w:tr w:rsidR="00C1548D" w14:paraId="70A4E350" w14:textId="77777777">
        <w:tblPrEx>
          <w:tblCellMar>
            <w:top w:w="0" w:type="dxa"/>
            <w:bottom w:w="0" w:type="dxa"/>
          </w:tblCellMar>
        </w:tblPrEx>
        <w:trPr>
          <w:cantSplit/>
        </w:trPr>
        <w:tc>
          <w:tcPr>
            <w:tcW w:w="11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C" w14:textId="77777777" w:rsidR="00C1548D" w:rsidRDefault="009B1B4B">
            <w:pPr>
              <w:spacing w:line="250" w:lineRule="auto"/>
            </w:pPr>
            <w:r>
              <w:rPr>
                <w:sz w:val="18"/>
                <w:szCs w:val="18"/>
              </w:rPr>
              <w:t>Kinder allein unterwegs</w:t>
            </w:r>
          </w:p>
        </w:tc>
        <w:tc>
          <w:tcPr>
            <w:tcW w:w="15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D" w14:textId="77777777" w:rsidR="00C1548D" w:rsidRDefault="009B1B4B">
            <w:pPr>
              <w:spacing w:line="250" w:lineRule="auto"/>
            </w:pPr>
            <w:r>
              <w:rPr>
                <w:sz w:val="18"/>
                <w:szCs w:val="18"/>
              </w:rPr>
              <w:t>Ab Grundschulalter verbreitet</w:t>
            </w:r>
          </w:p>
        </w:tc>
        <w:tc>
          <w:tcPr>
            <w:tcW w:w="19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E" w14:textId="77777777" w:rsidR="00C1548D" w:rsidRDefault="009B1B4B">
            <w:pPr>
              <w:spacing w:line="250" w:lineRule="auto"/>
            </w:pPr>
            <w:r>
              <w:rPr>
                <w:sz w:val="18"/>
                <w:szCs w:val="18"/>
              </w:rPr>
              <w:t>Erwartungen und Regeln je Ort</w:t>
            </w:r>
          </w:p>
        </w:tc>
        <w:tc>
          <w:tcPr>
            <w:tcW w:w="1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4F" w14:textId="3C84896F" w:rsidR="00C1548D" w:rsidRDefault="009B1B4B">
            <w:pPr>
              <w:spacing w:line="250" w:lineRule="auto"/>
            </w:pPr>
            <w:r>
              <w:rPr>
                <w:sz w:val="18"/>
                <w:szCs w:val="18"/>
              </w:rPr>
              <w:t>Vorher fragen (Kapitel </w:t>
            </w:r>
            <w:hyperlink w:anchor="k38" w:history="1">
              <w:r>
                <w:rPr>
                  <w:sz w:val="18"/>
                  <w:szCs w:val="18"/>
                </w:rPr>
                <w:t>38</w:t>
              </w:r>
            </w:hyperlink>
            <w:r>
              <w:rPr>
                <w:sz w:val="18"/>
                <w:szCs w:val="18"/>
              </w:rPr>
              <w:t>)</w:t>
            </w:r>
          </w:p>
        </w:tc>
      </w:tr>
      <w:tr w:rsidR="00C1548D" w14:paraId="70A4E355" w14:textId="77777777">
        <w:tblPrEx>
          <w:tblCellMar>
            <w:top w:w="0" w:type="dxa"/>
            <w:bottom w:w="0" w:type="dxa"/>
          </w:tblCellMar>
        </w:tblPrEx>
        <w:trPr>
          <w:cantSplit/>
        </w:trPr>
        <w:tc>
          <w:tcPr>
            <w:tcW w:w="11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51" w14:textId="77777777" w:rsidR="00C1548D" w:rsidRDefault="009B1B4B">
            <w:pPr>
              <w:spacing w:line="250" w:lineRule="auto"/>
            </w:pPr>
            <w:r>
              <w:rPr>
                <w:sz w:val="18"/>
                <w:szCs w:val="18"/>
              </w:rPr>
              <w:t>Erziehungston</w:t>
            </w:r>
          </w:p>
        </w:tc>
        <w:tc>
          <w:tcPr>
            <w:tcW w:w="15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52" w14:textId="77777777" w:rsidR="00C1548D" w:rsidRDefault="009B1B4B">
            <w:pPr>
              <w:spacing w:line="250" w:lineRule="auto"/>
            </w:pPr>
            <w:r>
              <w:rPr>
                <w:sz w:val="18"/>
                <w:szCs w:val="18"/>
              </w:rPr>
              <w:t>Sachlich, Fehler benennen</w:t>
            </w:r>
          </w:p>
        </w:tc>
        <w:tc>
          <w:tcPr>
            <w:tcW w:w="19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53" w14:textId="77777777" w:rsidR="00C1548D" w:rsidRDefault="009B1B4B">
            <w:pPr>
              <w:spacing w:line="250" w:lineRule="auto"/>
            </w:pPr>
            <w:r>
              <w:rPr>
                <w:sz w:val="18"/>
                <w:szCs w:val="18"/>
              </w:rPr>
              <w:t>Viel Lob, positive Verstärkung</w:t>
            </w:r>
          </w:p>
        </w:tc>
        <w:tc>
          <w:tcPr>
            <w:tcW w:w="1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54" w14:textId="77777777" w:rsidR="00C1548D" w:rsidRDefault="009B1B4B">
            <w:pPr>
              <w:spacing w:line="250" w:lineRule="auto"/>
            </w:pPr>
            <w:r>
              <w:rPr>
                <w:sz w:val="18"/>
                <w:szCs w:val="18"/>
              </w:rPr>
              <w:t>Konkret loben üben</w:t>
            </w:r>
          </w:p>
        </w:tc>
      </w:tr>
      <w:tr w:rsidR="00C1548D" w14:paraId="70A4E35A" w14:textId="77777777">
        <w:tblPrEx>
          <w:tblCellMar>
            <w:top w:w="0" w:type="dxa"/>
            <w:bottom w:w="0" w:type="dxa"/>
          </w:tblCellMar>
        </w:tblPrEx>
        <w:trPr>
          <w:cantSplit/>
        </w:trPr>
        <w:tc>
          <w:tcPr>
            <w:tcW w:w="11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56" w14:textId="77777777" w:rsidR="00C1548D" w:rsidRDefault="009B1B4B">
            <w:pPr>
              <w:spacing w:line="250" w:lineRule="auto"/>
            </w:pPr>
            <w:r>
              <w:rPr>
                <w:sz w:val="18"/>
                <w:szCs w:val="18"/>
              </w:rPr>
              <w:t>Wochenende</w:t>
            </w:r>
          </w:p>
        </w:tc>
        <w:tc>
          <w:tcPr>
            <w:tcW w:w="15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57" w14:textId="77777777" w:rsidR="00C1548D" w:rsidRDefault="009B1B4B">
            <w:pPr>
              <w:spacing w:line="250" w:lineRule="auto"/>
            </w:pPr>
            <w:r>
              <w:rPr>
                <w:sz w:val="18"/>
                <w:szCs w:val="18"/>
              </w:rPr>
              <w:t>Familie, Ausflüge</w:t>
            </w:r>
          </w:p>
        </w:tc>
        <w:tc>
          <w:tcPr>
            <w:tcW w:w="19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58" w14:textId="77777777" w:rsidR="00C1548D" w:rsidRDefault="009B1B4B">
            <w:pPr>
              <w:spacing w:line="250" w:lineRule="auto"/>
            </w:pPr>
            <w:r>
              <w:rPr>
                <w:sz w:val="18"/>
                <w:szCs w:val="18"/>
              </w:rPr>
              <w:t>Sport, Turniere, Vereinstermine</w:t>
            </w:r>
          </w:p>
        </w:tc>
        <w:tc>
          <w:tcPr>
            <w:tcW w:w="1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59" w14:textId="77777777" w:rsidR="00C1548D" w:rsidRDefault="009B1B4B">
            <w:pPr>
              <w:spacing w:line="250" w:lineRule="auto"/>
            </w:pPr>
            <w:r>
              <w:rPr>
                <w:sz w:val="18"/>
                <w:szCs w:val="18"/>
              </w:rPr>
              <w:t>Kalender früh abstimmen</w:t>
            </w:r>
          </w:p>
        </w:tc>
      </w:tr>
    </w:tbl>
    <w:p w14:paraId="70A4E35B" w14:textId="77777777" w:rsidR="00C1548D" w:rsidRDefault="00C1548D">
      <w:pPr>
        <w:spacing w:line="180" w:lineRule="exact"/>
      </w:pPr>
    </w:p>
    <w:p w14:paraId="70A4E35C" w14:textId="77777777" w:rsidR="00C1548D" w:rsidRDefault="009B1B4B">
      <w:pPr>
        <w:pStyle w:val="Heading3"/>
        <w:keepNext/>
        <w:jc w:val="center"/>
      </w:pPr>
      <w:r>
        <w:rPr>
          <w:rFonts w:ascii="Amazon Ember" w:eastAsia="Amazon Ember" w:hAnsi="Amazon Ember" w:cs="Amazon Ember"/>
          <w:color w:val="0000FF"/>
          <w:sz w:val="36"/>
          <w:szCs w:val="36"/>
        </w:rPr>
        <w:t>Feiertage: Thanksgiving, 4. Juli, Halloween, Super Bowl</w:t>
      </w:r>
    </w:p>
    <w:p w14:paraId="70A4E35D" w14:textId="6B3A44D9" w:rsidR="00C1548D" w:rsidRDefault="009B1B4B">
      <w:pPr>
        <w:spacing w:after="140"/>
      </w:pPr>
      <w:r>
        <w:t>Für den Bund gibt es elf Feiertage (</w:t>
      </w:r>
      <w:r>
        <w:rPr>
          <w:i/>
          <w:iCs/>
        </w:rPr>
        <w:t>Federal Holidays</w:t>
      </w:r>
      <w:r>
        <w:t>): Neujahr, Martin Luther King Jr. Day (dritter Montag im Januar), Presidents’ Day (dritter Montag im Februar), Memorial Day (letzter Montag im Mai), Juneteenth (19. Juni), Independence Day (4. Juli), Labor Day (erster Montag im September), Columbus Day oder Indigenous Peoples’ Day (zweiter Montag im Oktober), Veterans Day (11. November), Thanksgiving (vierter Donnerstag im November) und Weihnachten (25. Dezember). In der Privatwirtschaft besteht kein gesetzlicher Anspruch auf freie Tage; der Arbeitgeber en</w:t>
      </w:r>
      <w:r>
        <w:t>tscheidet (</w:t>
      </w:r>
      <w:r>
        <w:t>Kapitel </w:t>
      </w:r>
      <w:hyperlink w:anchor="k29" w:history="1">
        <w:r>
          <w:t>29</w:t>
        </w:r>
      </w:hyperlink>
      <w:r>
        <w:t>). Die Montagsregel schafft lange Wochenenden.</w:t>
      </w:r>
    </w:p>
    <w:p w14:paraId="70A4E35E" w14:textId="77777777" w:rsidR="00C1548D" w:rsidRDefault="009B1B4B">
      <w:pPr>
        <w:spacing w:after="140"/>
      </w:pPr>
      <w:r>
        <w:rPr>
          <w:b/>
          <w:bCs/>
        </w:rPr>
        <w:t>Thanksgiving</w:t>
      </w:r>
      <w:r>
        <w:t xml:space="preserve"> (2026: 26. November) ist das große Familienfest mit Truthahn, Füllung, Süßkartoffeln und Kürbiskuchen, verbunden mit dem größten Reiseverkehr des Jahres. Viele große Ketten wie Walmart und Target bleiben geschlossen; am Tag danach folgt der </w:t>
      </w:r>
      <w:r>
        <w:rPr>
          <w:i/>
          <w:iCs/>
        </w:rPr>
        <w:t>Black Friday</w:t>
      </w:r>
      <w:r>
        <w:t>. Wer weit von der Familie lebt, feiert oft mit Freunden („Friendsgiving“). Bist du eingeladen, frage, was du mitbringen sollst; Wein, Nachtisch oder eine Beilage sind willkommen.</w:t>
      </w:r>
    </w:p>
    <w:p w14:paraId="70A4E35F" w14:textId="77777777" w:rsidR="00C1548D" w:rsidRDefault="009B1B4B">
      <w:pPr>
        <w:spacing w:after="140"/>
      </w:pPr>
      <w:r>
        <w:rPr>
          <w:b/>
          <w:bCs/>
        </w:rPr>
        <w:t>Der 4. Juli</w:t>
      </w:r>
      <w:r>
        <w:t xml:space="preserve"> erinnert an die Unabhängigkeitserklärung von 1776; 2026 feierte das Land den 250. Jahrestag. Üblich sind Grillen, Paraden und Feuerwerk. Privates Feuerwerk regeln Bundesstaaten </w:t>
      </w:r>
      <w:r>
        <w:lastRenderedPageBreak/>
        <w:t>und Gemeinden sehr unterschiedlich; öffentliche Shows sind die sichere Wahl.</w:t>
      </w:r>
    </w:p>
    <w:p w14:paraId="70A4E360" w14:textId="2A496279" w:rsidR="00C1548D" w:rsidRDefault="009B1B4B">
      <w:pPr>
        <w:spacing w:after="140"/>
      </w:pPr>
      <w:r>
        <w:rPr>
          <w:b/>
          <w:bCs/>
        </w:rPr>
        <w:t>Halloween</w:t>
      </w:r>
      <w:r>
        <w:t xml:space="preserve"> (31. Oktober, 2026 ein Samstag) gehört den Kindern, die verkleidet von Haus zu Haus ziehen (</w:t>
      </w:r>
      <w:r>
        <w:rPr>
          <w:i/>
          <w:iCs/>
        </w:rPr>
        <w:t>Trick-or-Treating</w:t>
      </w:r>
      <w:r>
        <w:t>). Brennt das Außenlicht, gibt es Süßigkeiten, ein dunkles Haus heißt „nichts“. Plane rechtzeitig große Tüten ein; zu Kostümen siehe Kapitel </w:t>
      </w:r>
      <w:hyperlink w:anchor="k34" w:history="1">
        <w:r>
          <w:t>34</w:t>
        </w:r>
      </w:hyperlink>
      <w:r>
        <w:t>.</w:t>
      </w:r>
    </w:p>
    <w:p w14:paraId="70A4E361" w14:textId="77777777" w:rsidR="00C1548D" w:rsidRDefault="009B1B4B">
      <w:pPr>
        <w:spacing w:after="140"/>
      </w:pPr>
      <w:r>
        <w:rPr>
          <w:b/>
          <w:bCs/>
        </w:rPr>
        <w:t>Der Super Bowl</w:t>
      </w:r>
      <w:r>
        <w:t xml:space="preserve">, das Endspiel der Football-Liga NFL, findet an einem Sonntag im Februar statt und erreichte in den USA zuletzt deutlich mehr als 100 Millionen Zuschauer. Man trifft sich zur </w:t>
      </w:r>
      <w:r>
        <w:rPr>
          <w:i/>
          <w:iCs/>
        </w:rPr>
        <w:t>Super Bowl Party</w:t>
      </w:r>
      <w:r>
        <w:t xml:space="preserve"> mit Chicken Wings, Dips und Werbespots. Eine Einladung lohnt sich, auch wenn dich Football nicht interessiert. </w:t>
      </w:r>
      <w:r>
        <w:rPr>
          <w:b/>
          <w:bCs/>
        </w:rPr>
        <w:t>Weihnachten</w:t>
      </w:r>
      <w:r>
        <w:t xml:space="preserve"> fällt auf den 25. Dezember (Bescherung morgens); im Büro hörst du oft „Happy Holidays“, privat „Merry Christmas“. Christkindlmärkte, etwa in Chicago, bringen deutsche Traditionen mit.</w:t>
      </w:r>
    </w:p>
    <w:p w14:paraId="70A4E362" w14:textId="77777777" w:rsidR="00C1548D" w:rsidRDefault="009B1B4B">
      <w:pPr>
        <w:pStyle w:val="Heading3"/>
        <w:keepNext/>
        <w:jc w:val="center"/>
      </w:pPr>
      <w:r>
        <w:rPr>
          <w:rFonts w:ascii="Amazon Ember" w:eastAsia="Amazon Ember" w:hAnsi="Amazon Ember" w:cs="Amazon Ember"/>
          <w:color w:val="0000FF"/>
          <w:sz w:val="36"/>
          <w:szCs w:val="36"/>
        </w:rPr>
        <w:t>Was Amerikaner an Deutschen schätzen und was sie irritiert</w:t>
      </w:r>
    </w:p>
    <w:p w14:paraId="70A4E363" w14:textId="77777777" w:rsidR="00C1548D" w:rsidRDefault="009B1B4B">
      <w:pPr>
        <w:spacing w:after="140"/>
      </w:pPr>
      <w:r>
        <w:t>Die folgenden Punkte sind Tendenzen aus Erfahrungen, keine Messwerte, und sie gelten nicht für jede Person.</w:t>
      </w:r>
    </w:p>
    <w:p w14:paraId="70A4E364" w14:textId="77777777" w:rsidR="00C1548D" w:rsidRDefault="009B1B4B">
      <w:pPr>
        <w:spacing w:after="140"/>
      </w:pPr>
      <w:r>
        <w:t>Häufig geschätzt wird:</w:t>
      </w:r>
    </w:p>
    <w:p w14:paraId="70A4E365" w14:textId="77777777" w:rsidR="00C1548D" w:rsidRDefault="009B1B4B" w:rsidP="009B1B4B">
      <w:pPr>
        <w:pStyle w:val="ListParagraph"/>
        <w:numPr>
          <w:ilvl w:val="0"/>
          <w:numId w:val="1"/>
        </w:numPr>
        <w:spacing w:after="60"/>
      </w:pPr>
      <w:r>
        <w:rPr>
          <w:b/>
          <w:bCs/>
        </w:rPr>
        <w:t>Verlässlichkeit:</w:t>
      </w:r>
      <w:r>
        <w:t xml:space="preserve"> Zusagen werden gehalten, Termine eingehalten.</w:t>
      </w:r>
    </w:p>
    <w:p w14:paraId="70A4E366" w14:textId="77777777" w:rsidR="00C1548D" w:rsidRDefault="009B1B4B" w:rsidP="009B1B4B">
      <w:pPr>
        <w:pStyle w:val="ListParagraph"/>
        <w:numPr>
          <w:ilvl w:val="0"/>
          <w:numId w:val="1"/>
        </w:numPr>
        <w:spacing w:after="60"/>
      </w:pPr>
      <w:r>
        <w:rPr>
          <w:b/>
          <w:bCs/>
        </w:rPr>
        <w:t>Klare Ansagen:</w:t>
      </w:r>
      <w:r>
        <w:t xml:space="preserve"> Man weiß, woran man ist.</w:t>
      </w:r>
    </w:p>
    <w:p w14:paraId="70A4E367" w14:textId="77777777" w:rsidR="00C1548D" w:rsidRDefault="009B1B4B" w:rsidP="009B1B4B">
      <w:pPr>
        <w:pStyle w:val="ListParagraph"/>
        <w:numPr>
          <w:ilvl w:val="0"/>
          <w:numId w:val="1"/>
        </w:numPr>
        <w:spacing w:after="60"/>
      </w:pPr>
      <w:r>
        <w:rPr>
          <w:b/>
          <w:bCs/>
        </w:rPr>
        <w:t>Fachliche Gründlichkeit:</w:t>
      </w:r>
      <w:r>
        <w:t xml:space="preserve"> „German engineering“ und die Ausbildungstradition haben einen guten Ruf, der Türen öffnet.</w:t>
      </w:r>
    </w:p>
    <w:p w14:paraId="70A4E368" w14:textId="77777777" w:rsidR="00C1548D" w:rsidRDefault="009B1B4B" w:rsidP="009B1B4B">
      <w:pPr>
        <w:pStyle w:val="ListParagraph"/>
        <w:numPr>
          <w:ilvl w:val="0"/>
          <w:numId w:val="1"/>
        </w:numPr>
        <w:spacing w:after="60"/>
      </w:pPr>
      <w:r>
        <w:rPr>
          <w:b/>
          <w:bCs/>
        </w:rPr>
        <w:t>Andere Prioritäten:</w:t>
      </w:r>
      <w:r>
        <w:t xml:space="preserve"> Viele fragen neugierig nach Urlaub, Feierabend, Bahn und Recycling.</w:t>
      </w:r>
    </w:p>
    <w:p w14:paraId="70A4E369" w14:textId="77777777" w:rsidR="00C1548D" w:rsidRDefault="00C1548D">
      <w:pPr>
        <w:spacing w:line="120" w:lineRule="exact"/>
      </w:pPr>
    </w:p>
    <w:p w14:paraId="70A4E36A" w14:textId="77777777" w:rsidR="00C1548D" w:rsidRDefault="009B1B4B">
      <w:pPr>
        <w:spacing w:after="140"/>
      </w:pPr>
      <w:r>
        <w:t>Häufig irritiert:</w:t>
      </w:r>
    </w:p>
    <w:p w14:paraId="70A4E36B" w14:textId="77777777" w:rsidR="00C1548D" w:rsidRDefault="009B1B4B" w:rsidP="009B1B4B">
      <w:pPr>
        <w:pStyle w:val="ListParagraph"/>
        <w:numPr>
          <w:ilvl w:val="0"/>
          <w:numId w:val="1"/>
        </w:numPr>
        <w:spacing w:after="60"/>
      </w:pPr>
      <w:r>
        <w:rPr>
          <w:b/>
          <w:bCs/>
        </w:rPr>
        <w:lastRenderedPageBreak/>
        <w:t>Ungebetene Kritik am Land:</w:t>
      </w:r>
      <w:r>
        <w:t xml:space="preserve"> Wer Waffen, Krankenversicherung, Trinkgeld oder Essen kommentiert, wirkt belehrend.</w:t>
      </w:r>
    </w:p>
    <w:p w14:paraId="70A4E36C" w14:textId="77777777" w:rsidR="00C1548D" w:rsidRDefault="009B1B4B" w:rsidP="009B1B4B">
      <w:pPr>
        <w:pStyle w:val="ListParagraph"/>
        <w:numPr>
          <w:ilvl w:val="0"/>
          <w:numId w:val="1"/>
        </w:numPr>
        <w:spacing w:after="60"/>
      </w:pPr>
      <w:r>
        <w:rPr>
          <w:b/>
          <w:bCs/>
        </w:rPr>
        <w:t>Knappe Begrüßung, wenig Lächeln:</w:t>
      </w:r>
      <w:r>
        <w:t xml:space="preserve"> Wer sofort zur Sache kommt, wirkt kühl.</w:t>
      </w:r>
    </w:p>
    <w:p w14:paraId="70A4E36D" w14:textId="77777777" w:rsidR="00C1548D" w:rsidRDefault="009B1B4B" w:rsidP="009B1B4B">
      <w:pPr>
        <w:pStyle w:val="ListParagraph"/>
        <w:numPr>
          <w:ilvl w:val="0"/>
          <w:numId w:val="1"/>
        </w:numPr>
        <w:spacing w:after="60"/>
      </w:pPr>
      <w:r>
        <w:rPr>
          <w:b/>
          <w:bCs/>
        </w:rPr>
        <w:t>Feedback ohne Verpackung:</w:t>
      </w:r>
      <w:r>
        <w:t xml:space="preserve"> Klare Kritik wird als persönlich erlebt.</w:t>
      </w:r>
    </w:p>
    <w:p w14:paraId="70A4E36E" w14:textId="77777777" w:rsidR="00C1548D" w:rsidRDefault="009B1B4B" w:rsidP="009B1B4B">
      <w:pPr>
        <w:pStyle w:val="ListParagraph"/>
        <w:numPr>
          <w:ilvl w:val="0"/>
          <w:numId w:val="1"/>
        </w:numPr>
        <w:spacing w:after="60"/>
      </w:pPr>
      <w:r>
        <w:rPr>
          <w:b/>
          <w:bCs/>
        </w:rPr>
        <w:t>Regeln durchsetzen:</w:t>
      </w:r>
      <w:r>
        <w:t xml:space="preserve"> Nachbarn wegen Lärm oder Parkens zu ermahnen, statt freundlich zu fragen, gilt als übergriffig.</w:t>
      </w:r>
    </w:p>
    <w:p w14:paraId="70A4E36F"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37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370" w14:textId="77777777" w:rsidR="00C1548D" w:rsidRDefault="009B1B4B">
            <w:pPr>
              <w:keepNext/>
              <w:spacing w:after="70" w:line="240" w:lineRule="auto"/>
            </w:pPr>
            <w:r>
              <w:rPr>
                <w:b/>
                <w:bCs/>
                <w:color w:val="8A6212"/>
                <w:spacing w:val="24"/>
                <w:sz w:val="16"/>
                <w:szCs w:val="16"/>
              </w:rPr>
              <w:t>MERKE</w:t>
            </w:r>
          </w:p>
          <w:p w14:paraId="70A4E371" w14:textId="77777777" w:rsidR="00C1548D" w:rsidRDefault="009B1B4B">
            <w:pPr>
              <w:spacing w:after="80" w:line="264" w:lineRule="auto"/>
            </w:pPr>
            <w:r>
              <w:rPr>
                <w:sz w:val="20"/>
                <w:szCs w:val="20"/>
              </w:rPr>
              <w:t>Vergleiche mit Deutschland sind willkommen, wenn sie neugierig klingen („In Germany we do it differently, how does it work here?“), und unwillkommen, wenn sie wie Urteile klingen.</w:t>
            </w:r>
          </w:p>
        </w:tc>
      </w:tr>
    </w:tbl>
    <w:p w14:paraId="70A4E373" w14:textId="77777777" w:rsidR="00C1548D" w:rsidRDefault="00C1548D">
      <w:pPr>
        <w:spacing w:line="220" w:lineRule="exact"/>
      </w:pPr>
    </w:p>
    <w:p w14:paraId="70A4E374"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377"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75"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76" w14:textId="77777777" w:rsidR="00C1548D" w:rsidRDefault="009B1B4B">
            <w:pPr>
              <w:spacing w:line="250" w:lineRule="auto"/>
            </w:pPr>
            <w:r>
              <w:rPr>
                <w:b/>
                <w:bCs/>
                <w:sz w:val="18"/>
                <w:szCs w:val="18"/>
              </w:rPr>
              <w:t>Minus</w:t>
            </w:r>
          </w:p>
        </w:tc>
      </w:tr>
      <w:tr w:rsidR="00C1548D" w14:paraId="70A4E37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78" w14:textId="77777777" w:rsidR="00C1548D" w:rsidRDefault="009B1B4B">
            <w:pPr>
              <w:spacing w:line="250" w:lineRule="auto"/>
            </w:pPr>
            <w:r>
              <w:rPr>
                <w:sz w:val="18"/>
                <w:szCs w:val="18"/>
              </w:rPr>
              <w:t>Höfliche, offene Alltagsatmosphäre: Kontakt fällt leicht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79" w14:textId="77777777" w:rsidR="00C1548D" w:rsidRDefault="009B1B4B">
            <w:pPr>
              <w:spacing w:line="250" w:lineRule="auto"/>
            </w:pPr>
            <w:r>
              <w:rPr>
                <w:sz w:val="18"/>
                <w:szCs w:val="18"/>
              </w:rPr>
              <w:t>Freundlichkeit bleibt oft oberflächlich; echte Freundschaften brauchen Zeit</w:t>
            </w:r>
          </w:p>
        </w:tc>
      </w:tr>
      <w:tr w:rsidR="00C1548D" w14:paraId="70A4E37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7B" w14:textId="77777777" w:rsidR="00C1548D" w:rsidRDefault="009B1B4B">
            <w:pPr>
              <w:spacing w:line="250" w:lineRule="auto"/>
            </w:pPr>
            <w:r>
              <w:rPr>
                <w:sz w:val="18"/>
                <w:szCs w:val="18"/>
              </w:rPr>
              <w:t>Lob, Optimismus und Machen-statt-Zaudern motivieren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7C" w14:textId="77777777" w:rsidR="00C1548D" w:rsidRDefault="009B1B4B">
            <w:pPr>
              <w:spacing w:line="250" w:lineRule="auto"/>
            </w:pPr>
            <w:r>
              <w:rPr>
                <w:sz w:val="18"/>
                <w:szCs w:val="18"/>
              </w:rPr>
              <w:t>Der positive Ton verdeckt Probleme; Kritik kommt indirekt</w:t>
            </w:r>
          </w:p>
        </w:tc>
      </w:tr>
      <w:tr w:rsidR="00C1548D" w14:paraId="70A4E38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7E" w14:textId="77777777" w:rsidR="00C1548D" w:rsidRDefault="009B1B4B">
            <w:pPr>
              <w:spacing w:line="250" w:lineRule="auto"/>
            </w:pPr>
            <w:r>
              <w:rPr>
                <w:sz w:val="18"/>
                <w:szCs w:val="18"/>
              </w:rPr>
              <w:t>Guter Kundenservice, großzügige Rückgabe bei vielen Ketten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7F" w14:textId="77777777" w:rsidR="00C1548D" w:rsidRDefault="009B1B4B">
            <w:pPr>
              <w:spacing w:line="250" w:lineRule="auto"/>
            </w:pPr>
            <w:r>
              <w:rPr>
                <w:sz w:val="18"/>
                <w:szCs w:val="18"/>
              </w:rPr>
              <w:t>Trinkgeld und Steuer erhöhen die Restaurantrechnung um rund ein Viertel</w:t>
            </w:r>
          </w:p>
        </w:tc>
      </w:tr>
      <w:tr w:rsidR="00C1548D" w14:paraId="70A4E38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81" w14:textId="77777777" w:rsidR="00C1548D" w:rsidRDefault="009B1B4B">
            <w:pPr>
              <w:spacing w:line="250" w:lineRule="auto"/>
            </w:pPr>
            <w:r>
              <w:rPr>
                <w:sz w:val="18"/>
                <w:szCs w:val="18"/>
              </w:rPr>
              <w:t>Große Toleranz gegenüber Zugewanderten und Akzenten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82" w14:textId="77777777" w:rsidR="00C1548D" w:rsidRDefault="009B1B4B">
            <w:pPr>
              <w:spacing w:line="250" w:lineRule="auto"/>
            </w:pPr>
            <w:r>
              <w:rPr>
                <w:sz w:val="18"/>
                <w:szCs w:val="18"/>
              </w:rPr>
              <w:t>Politische Polarisierung prägt Gespräche, Themenwahl wird zur Übung</w:t>
            </w:r>
          </w:p>
        </w:tc>
      </w:tr>
      <w:tr w:rsidR="00C1548D" w14:paraId="70A4E38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84" w14:textId="77777777" w:rsidR="00C1548D" w:rsidRDefault="009B1B4B">
            <w:pPr>
              <w:spacing w:line="250" w:lineRule="auto"/>
            </w:pPr>
            <w:r>
              <w:rPr>
                <w:sz w:val="18"/>
                <w:szCs w:val="18"/>
              </w:rPr>
              <w:t>Weite Freiräume: keine Meldepflicht, wenig Alltagsbürokratie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85" w14:textId="77777777" w:rsidR="00C1548D" w:rsidRDefault="009B1B4B">
            <w:pPr>
              <w:spacing w:line="250" w:lineRule="auto"/>
            </w:pPr>
            <w:r>
              <w:rPr>
                <w:sz w:val="18"/>
                <w:szCs w:val="18"/>
              </w:rPr>
              <w:t>Klagekultur, Waivers und Haftungsrisiken</w:t>
            </w:r>
          </w:p>
        </w:tc>
      </w:tr>
      <w:tr w:rsidR="00C1548D" w14:paraId="70A4E38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87" w14:textId="77777777" w:rsidR="00C1548D" w:rsidRDefault="009B1B4B">
            <w:pPr>
              <w:spacing w:line="250" w:lineRule="auto"/>
            </w:pPr>
            <w:r>
              <w:rPr>
                <w:sz w:val="18"/>
                <w:szCs w:val="18"/>
              </w:rPr>
              <w:t>Feste wie Thanksgiving und Super Bowl verbinden schnell</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88" w14:textId="77777777" w:rsidR="00C1548D" w:rsidRDefault="009B1B4B">
            <w:pPr>
              <w:spacing w:line="250" w:lineRule="auto"/>
            </w:pPr>
            <w:r>
              <w:rPr>
                <w:sz w:val="18"/>
                <w:szCs w:val="18"/>
              </w:rPr>
              <w:t>Kein gesetzlicher Urlaub oder Feiertagsanspruch</w:t>
            </w:r>
          </w:p>
        </w:tc>
      </w:tr>
      <w:tr w:rsidR="00C1548D" w14:paraId="70A4E38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8A" w14:textId="77777777" w:rsidR="00C1548D" w:rsidRDefault="009B1B4B">
            <w:pPr>
              <w:spacing w:line="250" w:lineRule="auto"/>
            </w:pPr>
            <w:r>
              <w:rPr>
                <w:sz w:val="18"/>
                <w:szCs w:val="18"/>
              </w:rPr>
              <w:t>Starkes Ehrenamt, Spenden und Nachbarschaftshilfe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8B" w14:textId="77777777" w:rsidR="00C1548D" w:rsidRDefault="009B1B4B">
            <w:pPr>
              <w:spacing w:line="250" w:lineRule="auto"/>
            </w:pPr>
            <w:r>
              <w:rPr>
                <w:sz w:val="18"/>
                <w:szCs w:val="18"/>
              </w:rPr>
              <w:t>Ohne Auto ist der Alltag außerhalb weniger Städte schwer</w:t>
            </w:r>
          </w:p>
        </w:tc>
      </w:tr>
    </w:tbl>
    <w:p w14:paraId="70A4E38D" w14:textId="77777777" w:rsidR="00C1548D" w:rsidRDefault="00C1548D">
      <w:pPr>
        <w:spacing w:line="180" w:lineRule="exact"/>
      </w:pPr>
    </w:p>
    <w:p w14:paraId="70A4E38E"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15 Faustregeln für Deutsche</w:t>
      </w:r>
    </w:p>
    <w:p w14:paraId="70A4E38F" w14:textId="77777777" w:rsidR="00C1548D" w:rsidRDefault="009B1B4B" w:rsidP="009B1B4B">
      <w:pPr>
        <w:pStyle w:val="ListParagraph"/>
        <w:numPr>
          <w:ilvl w:val="0"/>
          <w:numId w:val="37"/>
        </w:numPr>
        <w:spacing w:after="60"/>
      </w:pPr>
      <w:r>
        <w:t>Beantworte „How are you?“ in einem Satz und frage zurück.</w:t>
      </w:r>
    </w:p>
    <w:p w14:paraId="70A4E390" w14:textId="77777777" w:rsidR="00C1548D" w:rsidRDefault="009B1B4B" w:rsidP="009B1B4B">
      <w:pPr>
        <w:pStyle w:val="ListParagraph"/>
        <w:numPr>
          <w:ilvl w:val="0"/>
          <w:numId w:val="37"/>
        </w:numPr>
        <w:spacing w:after="60"/>
      </w:pPr>
      <w:r>
        <w:t>Nimm „Let’s get lunch sometime“ nicht wörtlich; schlage selbst einen Termin vor, wenn du es ernst meinst.</w:t>
      </w:r>
    </w:p>
    <w:p w14:paraId="70A4E391" w14:textId="77777777" w:rsidR="00C1548D" w:rsidRDefault="009B1B4B" w:rsidP="009B1B4B">
      <w:pPr>
        <w:pStyle w:val="ListParagraph"/>
        <w:numPr>
          <w:ilvl w:val="0"/>
          <w:numId w:val="37"/>
        </w:numPr>
        <w:spacing w:after="60"/>
      </w:pPr>
      <w:r>
        <w:t>Verpacke Kritik: erst Anerkennung, dann Frage oder Vorschlag, nie „Das ist falsch“.</w:t>
      </w:r>
    </w:p>
    <w:p w14:paraId="70A4E392" w14:textId="77777777" w:rsidR="00C1548D" w:rsidRDefault="009B1B4B" w:rsidP="009B1B4B">
      <w:pPr>
        <w:pStyle w:val="ListParagraph"/>
        <w:numPr>
          <w:ilvl w:val="0"/>
          <w:numId w:val="37"/>
        </w:numPr>
        <w:spacing w:after="60"/>
      </w:pPr>
      <w:r>
        <w:t>Lobe konkret und oft, und nimm Lob mit „Thank you“ an.</w:t>
      </w:r>
    </w:p>
    <w:p w14:paraId="70A4E393" w14:textId="77777777" w:rsidR="00C1548D" w:rsidRDefault="009B1B4B" w:rsidP="009B1B4B">
      <w:pPr>
        <w:pStyle w:val="ListParagraph"/>
        <w:numPr>
          <w:ilvl w:val="0"/>
          <w:numId w:val="37"/>
        </w:numPr>
        <w:spacing w:after="60"/>
      </w:pPr>
      <w:r>
        <w:t>Nutze Vornamen; Titel nur bei Ärzten, Lehrkräften und Älteren, im Süden „Sir“ und „Ma’am“.</w:t>
      </w:r>
    </w:p>
    <w:p w14:paraId="70A4E394" w14:textId="77777777" w:rsidR="00C1548D" w:rsidRDefault="009B1B4B" w:rsidP="009B1B4B">
      <w:pPr>
        <w:pStyle w:val="ListParagraph"/>
        <w:numPr>
          <w:ilvl w:val="0"/>
          <w:numId w:val="37"/>
        </w:numPr>
        <w:spacing w:after="60"/>
      </w:pPr>
      <w:r>
        <w:t>Halte eine Armlänge Abstand, gib die Hand und warte bei der Umarmung ab.</w:t>
      </w:r>
    </w:p>
    <w:p w14:paraId="70A4E395" w14:textId="77777777" w:rsidR="00C1548D" w:rsidRDefault="009B1B4B" w:rsidP="009B1B4B">
      <w:pPr>
        <w:pStyle w:val="ListParagraph"/>
        <w:numPr>
          <w:ilvl w:val="0"/>
          <w:numId w:val="37"/>
        </w:numPr>
        <w:spacing w:after="60"/>
      </w:pPr>
      <w:r>
        <w:t>Sei im Job pünktlich, zu privaten Einladungen 5 bis 15 Minuten später, und beantworte jedes RSVP.</w:t>
      </w:r>
    </w:p>
    <w:p w14:paraId="70A4E396" w14:textId="77777777" w:rsidR="00C1548D" w:rsidRDefault="009B1B4B" w:rsidP="009B1B4B">
      <w:pPr>
        <w:pStyle w:val="ListParagraph"/>
        <w:numPr>
          <w:ilvl w:val="0"/>
          <w:numId w:val="37"/>
        </w:numPr>
        <w:spacing w:after="60"/>
      </w:pPr>
      <w:r>
        <w:t>Rechne im Restaurant mit 25–30 % Aufschlag auf die Karte und im Laden mit Steuer an der Kasse.</w:t>
      </w:r>
    </w:p>
    <w:p w14:paraId="70A4E397" w14:textId="77777777" w:rsidR="00C1548D" w:rsidRDefault="009B1B4B" w:rsidP="009B1B4B">
      <w:pPr>
        <w:pStyle w:val="ListParagraph"/>
        <w:numPr>
          <w:ilvl w:val="0"/>
          <w:numId w:val="37"/>
        </w:numPr>
        <w:spacing w:after="60"/>
      </w:pPr>
      <w:r>
        <w:t>Halte kleine Scheine für Trinkgeld bereit: Gepäckträger, Parkservice, Hotelreinigung.</w:t>
      </w:r>
    </w:p>
    <w:p w14:paraId="70A4E398" w14:textId="77777777" w:rsidR="00C1548D" w:rsidRDefault="009B1B4B" w:rsidP="009B1B4B">
      <w:pPr>
        <w:pStyle w:val="ListParagraph"/>
        <w:numPr>
          <w:ilvl w:val="0"/>
          <w:numId w:val="37"/>
        </w:numPr>
        <w:spacing w:after="60"/>
      </w:pPr>
      <w:r>
        <w:t>Meide bei Fremden Politik, Religion, Gehalt und Waffen; frage nie, wen jemand wählt.</w:t>
      </w:r>
    </w:p>
    <w:p w14:paraId="70A4E399" w14:textId="77777777" w:rsidR="00C1548D" w:rsidRDefault="009B1B4B" w:rsidP="009B1B4B">
      <w:pPr>
        <w:pStyle w:val="ListParagraph"/>
        <w:numPr>
          <w:ilvl w:val="0"/>
          <w:numId w:val="37"/>
        </w:numPr>
        <w:spacing w:after="60"/>
      </w:pPr>
      <w:r>
        <w:t>Kommentiere Flaggen, Wahlplakate und Abzeichen nicht und stehe bei der Hymne auf.</w:t>
      </w:r>
    </w:p>
    <w:p w14:paraId="70A4E39A" w14:textId="0BC0BAA4" w:rsidR="00C1548D" w:rsidRDefault="009B1B4B" w:rsidP="009B1B4B">
      <w:pPr>
        <w:pStyle w:val="ListParagraph"/>
        <w:numPr>
          <w:ilvl w:val="0"/>
          <w:numId w:val="37"/>
        </w:numPr>
        <w:spacing w:after="60"/>
      </w:pPr>
      <w:r>
        <w:t>Lies jeden Haftungsverzicht und schließe eine Haftpflicht ab (Kapitel </w:t>
      </w:r>
      <w:hyperlink w:anchor="k25" w:history="1">
        <w:r>
          <w:t>25</w:t>
        </w:r>
      </w:hyperlink>
      <w:r>
        <w:t>).</w:t>
      </w:r>
    </w:p>
    <w:p w14:paraId="70A4E39B" w14:textId="77777777" w:rsidR="00C1548D" w:rsidRDefault="009B1B4B" w:rsidP="009B1B4B">
      <w:pPr>
        <w:pStyle w:val="ListParagraph"/>
        <w:numPr>
          <w:ilvl w:val="0"/>
          <w:numId w:val="37"/>
        </w:numPr>
        <w:spacing w:after="60"/>
      </w:pPr>
      <w:r>
        <w:t>Trinke nur in Bars, Restaurants und Privaträumen, nimm den Ausweis mit und meide Cannabis, solange du kein Staatsbürger bist.</w:t>
      </w:r>
    </w:p>
    <w:p w14:paraId="70A4E39C" w14:textId="4A999651" w:rsidR="00C1548D" w:rsidRDefault="009B1B4B" w:rsidP="009B1B4B">
      <w:pPr>
        <w:pStyle w:val="ListParagraph"/>
        <w:numPr>
          <w:ilvl w:val="0"/>
          <w:numId w:val="37"/>
        </w:numPr>
        <w:spacing w:after="60"/>
      </w:pPr>
      <w:r>
        <w:t>Melde als Nichtstaatsbürger jeden Umzug binnen 10 Tagen mit Form AR-11, obwohl es keine Anmeldepflicht gibt (Kapitel </w:t>
      </w:r>
      <w:hyperlink w:anchor="k30" w:history="1">
        <w:r>
          <w:t>30</w:t>
        </w:r>
      </w:hyperlink>
      <w:r>
        <w:t>).</w:t>
      </w:r>
    </w:p>
    <w:p w14:paraId="70A4E39D" w14:textId="09E8278D" w:rsidR="00C1548D" w:rsidRDefault="009B1B4B" w:rsidP="009B1B4B">
      <w:pPr>
        <w:pStyle w:val="ListParagraph"/>
        <w:numPr>
          <w:ilvl w:val="0"/>
          <w:numId w:val="37"/>
        </w:numPr>
        <w:spacing w:after="60"/>
      </w:pPr>
      <w:r>
        <w:t>Beschreibe Unterschiede neugierig statt wertend, und gib dir Zeit zur Eingewöhnung (Kapitel </w:t>
      </w:r>
      <w:hyperlink w:anchor="k33" w:history="1">
        <w:r>
          <w:t>33</w:t>
        </w:r>
      </w:hyperlink>
      <w:r>
        <w:t>).</w:t>
      </w:r>
    </w:p>
    <w:p w14:paraId="70A4E39E" w14:textId="77777777" w:rsidR="00C1548D" w:rsidRDefault="00C1548D">
      <w:pPr>
        <w:spacing w:line="120" w:lineRule="exact"/>
      </w:pPr>
    </w:p>
    <w:p w14:paraId="70A4E39F"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jetzt zu tun ist</w:t>
      </w:r>
    </w:p>
    <w:p w14:paraId="70A4E3A0" w14:textId="54285E1A" w:rsidR="00C1548D" w:rsidRDefault="009B1B4B">
      <w:pPr>
        <w:spacing w:after="140"/>
      </w:pPr>
      <w:r>
        <w:t>Übe in den ersten Wochen die Rituale (Begrüßung, Small Talk, Trinkgeld) und beobachte, wie Kolleginnen, Nachbarn und andere Eltern es machen. Wenn dich die Unterschiede mehr belasten als amüsieren, lies Kapitel </w:t>
      </w:r>
      <w:hyperlink w:anchor="k33" w:history="1">
        <w:r>
          <w:t>33</w:t>
        </w:r>
      </w:hyperlink>
      <w:r>
        <w:t>; für Anschluss und Einladungen Kapitel </w:t>
      </w:r>
      <w:hyperlink w:anchor="k32" w:history="1">
        <w:r>
          <w:t>32</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3AC"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3A1" w14:textId="77777777" w:rsidR="00C1548D" w:rsidRDefault="009B1B4B">
            <w:pPr>
              <w:keepNext/>
              <w:spacing w:after="70" w:line="240" w:lineRule="auto"/>
            </w:pPr>
            <w:r>
              <w:rPr>
                <w:b/>
                <w:bCs/>
                <w:color w:val="1F6F78"/>
                <w:spacing w:val="24"/>
                <w:sz w:val="16"/>
                <w:szCs w:val="16"/>
              </w:rPr>
              <w:t>CHECKLISTE</w:t>
            </w:r>
          </w:p>
          <w:p w14:paraId="70A4E3A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Antworten auf „How are you?“ und drei Small-Talk-Themen (Wetter, Wochenende, Reisen) einüben</w:t>
            </w:r>
          </w:p>
          <w:p w14:paraId="70A4E3A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Für Restaurants 25–30 % Aufschlag einplanen und kleine Scheine für Trinkgeld bereithalten</w:t>
            </w:r>
          </w:p>
          <w:p w14:paraId="70A4E3A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Steuersatz des Wohnorts bei der Finanzbehörde des Bundesstaats nachschlagen</w:t>
            </w:r>
          </w:p>
          <w:p w14:paraId="70A4E3A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Reisepass oder US-Führerschein für Bars und Läden (Altersgrenze 21) bereithalten</w:t>
            </w:r>
          </w:p>
          <w:p w14:paraId="70A4E3A6" w14:textId="6F87F439"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Haftpflichtschutz in der Mieter- oder Hausversicherung prüfen (</w:t>
            </w:r>
            <w:r>
              <w:rPr>
                <w:sz w:val="20"/>
                <w:szCs w:val="20"/>
              </w:rPr>
              <w:t>Kapitel </w:t>
            </w:r>
            <w:hyperlink w:anchor="k25" w:history="1">
              <w:r>
                <w:rPr>
                  <w:sz w:val="20"/>
                  <w:szCs w:val="20"/>
                </w:rPr>
                <w:t>25</w:t>
              </w:r>
            </w:hyperlink>
            <w:r>
              <w:rPr>
                <w:sz w:val="20"/>
                <w:szCs w:val="20"/>
              </w:rPr>
              <w:t>) und Waivers vor der Unterschrift lesen</w:t>
            </w:r>
          </w:p>
          <w:p w14:paraId="70A4E3A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Einladungen mit RSVP beantworten und Termine im US-Datumsformat (Monat zuerst) gegenprüfen</w:t>
            </w:r>
          </w:p>
          <w:p w14:paraId="70A4E3A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Kassenbons und Rückgabefristen von Käufen aufbewahren</w:t>
            </w:r>
          </w:p>
          <w:p w14:paraId="70A4E3A9" w14:textId="4A5A283A"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Als Nichtstaatsbürger: Cannabis meiden, keine Wahlspenden bei befristetem Visum, Umzüge mit AR-11 melden (Kapitel </w:t>
            </w:r>
            <w:hyperlink w:anchor="k30" w:history="1">
              <w:r>
                <w:rPr>
                  <w:sz w:val="20"/>
                  <w:szCs w:val="20"/>
                </w:rPr>
                <w:t>30</w:t>
              </w:r>
            </w:hyperlink>
            <w:r>
              <w:rPr>
                <w:sz w:val="20"/>
                <w:szCs w:val="20"/>
              </w:rPr>
              <w:t xml:space="preserve"> und </w:t>
            </w:r>
            <w:hyperlink w:anchor="k40" w:history="1">
              <w:r>
                <w:rPr>
                  <w:sz w:val="20"/>
                  <w:szCs w:val="20"/>
                </w:rPr>
                <w:t>40</w:t>
              </w:r>
            </w:hyperlink>
            <w:r>
              <w:rPr>
                <w:sz w:val="20"/>
                <w:szCs w:val="20"/>
              </w:rPr>
              <w:t>)</w:t>
            </w:r>
          </w:p>
          <w:p w14:paraId="70A4E3A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Öffentliche Social-Media-Profile darauf prüfen, was Behörden und Arbeitgeber sehen</w:t>
            </w:r>
          </w:p>
          <w:p w14:paraId="70A4E3A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Feiertage (Thanksgiving, Halloween, Super Bowl) eintragen und Einladungen annehmen</w:t>
            </w:r>
          </w:p>
        </w:tc>
      </w:tr>
    </w:tbl>
    <w:p w14:paraId="70A4E3AD" w14:textId="77777777" w:rsidR="00C1548D" w:rsidRDefault="00C1548D">
      <w:pPr>
        <w:spacing w:line="220" w:lineRule="exact"/>
      </w:pPr>
    </w:p>
    <w:p w14:paraId="70A4E3AE"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3AF" w14:textId="48C3DD9E" w:rsidR="00C1548D" w:rsidRDefault="009B1B4B" w:rsidP="009B1B4B">
      <w:pPr>
        <w:pStyle w:val="ListParagraph"/>
        <w:numPr>
          <w:ilvl w:val="0"/>
          <w:numId w:val="1"/>
        </w:numPr>
        <w:spacing w:after="60"/>
      </w:pPr>
      <w:r>
        <w:t>Pew Research Center — Religion und Waffenbesitz in den USA (</w:t>
      </w:r>
      <w:hyperlink r:id="rId268" w:history="1">
        <w:r>
          <w:rPr>
            <w:color w:val="0563C1"/>
            <w:u w:val="single"/>
          </w:rPr>
          <w:t>pewresearch.org/religion</w:t>
        </w:r>
      </w:hyperlink>
      <w:r>
        <w:t xml:space="preserve">, </w:t>
      </w:r>
      <w:hyperlink r:id="rId269" w:history="1">
        <w:r>
          <w:rPr>
            <w:color w:val="0563C1"/>
            <w:u w:val="single"/>
          </w:rPr>
          <w:t>pewresearch.org/short-reads</w:t>
        </w:r>
      </w:hyperlink>
      <w:r>
        <w:t>)</w:t>
      </w:r>
    </w:p>
    <w:p w14:paraId="70A4E3B0" w14:textId="0236E742" w:rsidR="00C1548D" w:rsidRDefault="009B1B4B" w:rsidP="009B1B4B">
      <w:pPr>
        <w:pStyle w:val="ListParagraph"/>
        <w:numPr>
          <w:ilvl w:val="0"/>
          <w:numId w:val="1"/>
        </w:numPr>
        <w:spacing w:after="60"/>
      </w:pPr>
      <w:r>
        <w:lastRenderedPageBreak/>
        <w:t>Arbeitsministerium (DOL) — Mindestlohn für Trinkgeldempfänger (</w:t>
      </w:r>
      <w:hyperlink r:id="rId270" w:history="1">
        <w:r>
          <w:rPr>
            <w:color w:val="0563C1"/>
            <w:u w:val="single"/>
          </w:rPr>
          <w:t>dol.gov/agencies/whd</w:t>
        </w:r>
      </w:hyperlink>
      <w:r>
        <w:t>, Suche: tipped employees)</w:t>
      </w:r>
    </w:p>
    <w:p w14:paraId="70A4E3B1" w14:textId="6C5D8290" w:rsidR="00C1548D" w:rsidRDefault="009B1B4B" w:rsidP="009B1B4B">
      <w:pPr>
        <w:pStyle w:val="ListParagraph"/>
        <w:numPr>
          <w:ilvl w:val="0"/>
          <w:numId w:val="1"/>
        </w:numPr>
        <w:spacing w:after="60"/>
      </w:pPr>
      <w:r>
        <w:t>Handelsbehörde FTC — Regel gegen versteckte Gebühren (</w:t>
      </w:r>
      <w:hyperlink r:id="rId271" w:history="1">
        <w:r>
          <w:rPr>
            <w:color w:val="0563C1"/>
            <w:u w:val="single"/>
          </w:rPr>
          <w:t>ftc.gov</w:t>
        </w:r>
      </w:hyperlink>
      <w:r>
        <w:t>, Suche: Rule on Unfair or Deceptive Fees)</w:t>
      </w:r>
    </w:p>
    <w:p w14:paraId="70A4E3B2" w14:textId="30B221E1" w:rsidR="00C1548D" w:rsidRDefault="009B1B4B" w:rsidP="009B1B4B">
      <w:pPr>
        <w:pStyle w:val="ListParagraph"/>
        <w:numPr>
          <w:ilvl w:val="0"/>
          <w:numId w:val="1"/>
        </w:numPr>
        <w:spacing w:after="60"/>
      </w:pPr>
      <w:r>
        <w:t>Wahlkommission FEC — Wahlspenden von Ausländern (</w:t>
      </w:r>
      <w:hyperlink r:id="rId272" w:history="1">
        <w:r>
          <w:rPr>
            <w:color w:val="0563C1"/>
            <w:u w:val="single"/>
          </w:rPr>
          <w:t>fec.gov</w:t>
        </w:r>
      </w:hyperlink>
      <w:r>
        <w:t>, Suche: foreign nationals)</w:t>
      </w:r>
    </w:p>
    <w:p w14:paraId="70A4E3B3" w14:textId="40EF3F65" w:rsidR="00C1548D" w:rsidRDefault="009B1B4B" w:rsidP="009B1B4B">
      <w:pPr>
        <w:pStyle w:val="ListParagraph"/>
        <w:numPr>
          <w:ilvl w:val="0"/>
          <w:numId w:val="1"/>
        </w:numPr>
        <w:spacing w:after="60"/>
      </w:pPr>
      <w:r>
        <w:t>Einwanderungsbehörde USCIS — Cannabis und Einwanderungsrecht (</w:t>
      </w:r>
      <w:hyperlink r:id="rId273" w:history="1">
        <w:r>
          <w:rPr>
            <w:color w:val="0563C1"/>
            <w:u w:val="single"/>
          </w:rPr>
          <w:t>uscis.gov/policy-manual</w:t>
        </w:r>
      </w:hyperlink>
      <w:r>
        <w:t>, Suche: marijuana)</w:t>
      </w:r>
    </w:p>
    <w:p w14:paraId="70A4E3B4" w14:textId="3B8D84E1" w:rsidR="00C1548D" w:rsidRDefault="009B1B4B" w:rsidP="009B1B4B">
      <w:pPr>
        <w:pStyle w:val="ListParagraph"/>
        <w:numPr>
          <w:ilvl w:val="0"/>
          <w:numId w:val="1"/>
        </w:numPr>
        <w:spacing w:after="60"/>
      </w:pPr>
      <w:r>
        <w:t>Drogenbehörde DEA — Stand der Cannabis-Umstufung (</w:t>
      </w:r>
      <w:hyperlink r:id="rId274" w:history="1">
        <w:r>
          <w:rPr>
            <w:color w:val="0563C1"/>
            <w:u w:val="single"/>
          </w:rPr>
          <w:t>dea.gov/marijuana-rescheduling-regulatory-actions</w:t>
        </w:r>
      </w:hyperlink>
      <w:r>
        <w:t>)</w:t>
      </w:r>
    </w:p>
    <w:p w14:paraId="70A4E3B5" w14:textId="1B6C843A" w:rsidR="00C1548D" w:rsidRDefault="009B1B4B" w:rsidP="009B1B4B">
      <w:pPr>
        <w:pStyle w:val="ListParagraph"/>
        <w:numPr>
          <w:ilvl w:val="0"/>
          <w:numId w:val="1"/>
        </w:numPr>
        <w:spacing w:after="60"/>
      </w:pPr>
      <w:r>
        <w:t>Personalverwaltung OPM — Bundesfeiertage (</w:t>
      </w:r>
      <w:hyperlink r:id="rId275" w:history="1">
        <w:r>
          <w:rPr>
            <w:color w:val="0563C1"/>
            <w:u w:val="single"/>
          </w:rPr>
          <w:t>opm.gov/policy-data-oversight/pay-leave/federal-holidays</w:t>
        </w:r>
      </w:hyperlink>
      <w:r>
        <w:t>)</w:t>
      </w:r>
    </w:p>
    <w:p w14:paraId="70A4E3B6" w14:textId="42D68878" w:rsidR="00C1548D" w:rsidRDefault="009B1B4B" w:rsidP="009B1B4B">
      <w:pPr>
        <w:pStyle w:val="ListParagraph"/>
        <w:numPr>
          <w:ilvl w:val="0"/>
          <w:numId w:val="1"/>
        </w:numPr>
        <w:spacing w:after="60"/>
      </w:pPr>
      <w:r>
        <w:t>Alkoholforschungsinstitut NIAAA — Alkoholgesetze der Bundesstaaten (</w:t>
      </w:r>
      <w:hyperlink r:id="rId276" w:history="1">
        <w:r>
          <w:rPr>
            <w:color w:val="0563C1"/>
            <w:u w:val="single"/>
          </w:rPr>
          <w:t>alcoholpolicy.niaaa.nih.gov</w:t>
        </w:r>
      </w:hyperlink>
      <w:r>
        <w:t>)</w:t>
      </w:r>
    </w:p>
    <w:p w14:paraId="70A4E3B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3B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3B8" w14:textId="77777777" w:rsidR="00C1548D" w:rsidRDefault="009B1B4B">
            <w:pPr>
              <w:keepNext/>
              <w:spacing w:after="70" w:line="240" w:lineRule="auto"/>
            </w:pPr>
            <w:r>
              <w:rPr>
                <w:b/>
                <w:bCs/>
                <w:color w:val="6B7280"/>
                <w:spacing w:val="24"/>
                <w:sz w:val="16"/>
                <w:szCs w:val="16"/>
              </w:rPr>
              <w:t>STAND</w:t>
            </w:r>
          </w:p>
          <w:p w14:paraId="70A4E3B9" w14:textId="77777777" w:rsidR="00C1548D" w:rsidRDefault="009B1B4B">
            <w:pPr>
              <w:spacing w:after="80" w:line="264" w:lineRule="auto"/>
            </w:pPr>
            <w:r>
              <w:rPr>
                <w:sz w:val="20"/>
                <w:szCs w:val="20"/>
              </w:rPr>
              <w:t>September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tc>
      </w:tr>
    </w:tbl>
    <w:p w14:paraId="70A4E3BB" w14:textId="77777777" w:rsidR="00C1548D" w:rsidRDefault="00C1548D">
      <w:pPr>
        <w:spacing w:line="220" w:lineRule="exact"/>
      </w:pPr>
    </w:p>
    <w:p w14:paraId="70A4E3BC" w14:textId="77777777" w:rsidR="00C1548D" w:rsidRDefault="009B1B4B">
      <w:pPr>
        <w:pStyle w:val="Heading2"/>
        <w:keepNext/>
        <w:pageBreakBefore/>
        <w:jc w:val="center"/>
      </w:pPr>
      <w:bookmarkStart w:id="77" w:name="k32"/>
      <w:bookmarkStart w:id="78" w:name="_Toc241352488"/>
      <w:r>
        <w:rPr>
          <w:rFonts w:ascii="Amazon Ember" w:eastAsia="Amazon Ember" w:hAnsi="Amazon Ember" w:cs="Amazon Ember"/>
          <w:color w:val="0000FF"/>
          <w:sz w:val="36"/>
          <w:szCs w:val="36"/>
        </w:rPr>
        <w:lastRenderedPageBreak/>
        <w:t>Kapitel 32: Freunde finden in einem neuen Land</w:t>
      </w:r>
      <w:bookmarkEnd w:id="77"/>
      <w:bookmarkEnd w:id="78"/>
    </w:p>
    <w:p w14:paraId="70A4E3BD" w14:textId="77777777" w:rsidR="00C1548D" w:rsidRDefault="009B1B4B">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wie aus Höflichkeitsfloskeln Verabredungen werden und wie du die Freundschaften in der Heimat nicht verlierst.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3C5"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3BE" w14:textId="77777777" w:rsidR="00C1548D" w:rsidRDefault="009B1B4B">
            <w:pPr>
              <w:keepNext/>
              <w:spacing w:after="70" w:line="240" w:lineRule="auto"/>
            </w:pPr>
            <w:r>
              <w:rPr>
                <w:b/>
                <w:bCs/>
                <w:color w:val="1F3A5F"/>
                <w:spacing w:val="24"/>
                <w:sz w:val="16"/>
                <w:szCs w:val="16"/>
              </w:rPr>
              <w:t>KURZ GESAGT</w:t>
            </w:r>
          </w:p>
          <w:p w14:paraId="70A4E3BF" w14:textId="77777777" w:rsidR="00C1548D" w:rsidRDefault="009B1B4B" w:rsidP="009B1B4B">
            <w:pPr>
              <w:pStyle w:val="ListParagraph"/>
              <w:numPr>
                <w:ilvl w:val="0"/>
                <w:numId w:val="1"/>
              </w:numPr>
              <w:spacing w:after="50" w:line="264" w:lineRule="auto"/>
            </w:pPr>
            <w:r>
              <w:rPr>
                <w:sz w:val="20"/>
                <w:szCs w:val="20"/>
              </w:rPr>
              <w:t>Freundschaft ist eine Frage der Zeit: Eine US-Studie nennt rund 50 Stunden gemeinsamer Zeit bis zur lockeren Freundschaft und über 200 bis zur engen. Bei zwei Stunden pro Woche sind das etwa ein halbes Jahr und zwei Jahre.</w:t>
            </w:r>
          </w:p>
          <w:p w14:paraId="70A4E3C0" w14:textId="77777777" w:rsidR="00C1548D" w:rsidRDefault="009B1B4B" w:rsidP="009B1B4B">
            <w:pPr>
              <w:pStyle w:val="ListParagraph"/>
              <w:numPr>
                <w:ilvl w:val="0"/>
                <w:numId w:val="1"/>
              </w:numPr>
              <w:spacing w:after="50" w:line="264" w:lineRule="auto"/>
            </w:pPr>
            <w:r>
              <w:rPr>
                <w:sz w:val="20"/>
                <w:szCs w:val="20"/>
              </w:rPr>
              <w:t>Wiederholung schlägt Intensität: dieselbe Gruppe, derselbe Ort, jede Woche.</w:t>
            </w:r>
          </w:p>
          <w:p w14:paraId="70A4E3C1" w14:textId="77777777" w:rsidR="00C1548D" w:rsidRDefault="009B1B4B" w:rsidP="009B1B4B">
            <w:pPr>
              <w:pStyle w:val="ListParagraph"/>
              <w:numPr>
                <w:ilvl w:val="0"/>
                <w:numId w:val="1"/>
              </w:numPr>
              <w:spacing w:after="50" w:line="264" w:lineRule="auto"/>
            </w:pPr>
            <w:r>
              <w:rPr>
                <w:sz w:val="20"/>
                <w:szCs w:val="20"/>
              </w:rPr>
              <w:t>Die Initiative liegt meist bei dir. „Let’s get coffee“ wird erst mit Tag, Uhrzeit und Ort zur Verabredung.</w:t>
            </w:r>
          </w:p>
          <w:p w14:paraId="70A4E3C2" w14:textId="77777777" w:rsidR="00C1548D" w:rsidRDefault="009B1B4B" w:rsidP="009B1B4B">
            <w:pPr>
              <w:pStyle w:val="ListParagraph"/>
              <w:numPr>
                <w:ilvl w:val="0"/>
                <w:numId w:val="1"/>
              </w:numPr>
              <w:spacing w:after="50" w:line="264" w:lineRule="auto"/>
            </w:pPr>
            <w:r>
              <w:rPr>
                <w:sz w:val="20"/>
                <w:szCs w:val="20"/>
              </w:rPr>
              <w:t>Am schnellsten gelingt es über Kinder, Sport, Gemeinde, Ehrenamt und Kurse; Apps öffnen Türen, ersetzen aber keine Wiederholung.</w:t>
            </w:r>
          </w:p>
          <w:p w14:paraId="70A4E3C3" w14:textId="77777777" w:rsidR="00C1548D" w:rsidRDefault="009B1B4B" w:rsidP="009B1B4B">
            <w:pPr>
              <w:pStyle w:val="ListParagraph"/>
              <w:numPr>
                <w:ilvl w:val="0"/>
                <w:numId w:val="1"/>
              </w:numPr>
              <w:spacing w:after="50" w:line="264" w:lineRule="auto"/>
            </w:pPr>
            <w:r>
              <w:rPr>
                <w:sz w:val="20"/>
                <w:szCs w:val="20"/>
              </w:rPr>
              <w:t>Zu Einladungen gehören Zu- oder Absage (</w:t>
            </w:r>
            <w:r>
              <w:rPr>
                <w:i/>
                <w:iCs/>
                <w:sz w:val="20"/>
                <w:szCs w:val="20"/>
              </w:rPr>
              <w:t>RSVP</w:t>
            </w:r>
            <w:r>
              <w:rPr>
                <w:sz w:val="20"/>
                <w:szCs w:val="20"/>
              </w:rPr>
              <w:t>), eine kleine Gabe und später die Gegeneinladung.</w:t>
            </w:r>
          </w:p>
          <w:p w14:paraId="70A4E3C4" w14:textId="77777777" w:rsidR="00C1548D" w:rsidRDefault="009B1B4B" w:rsidP="009B1B4B">
            <w:pPr>
              <w:pStyle w:val="ListParagraph"/>
              <w:numPr>
                <w:ilvl w:val="0"/>
                <w:numId w:val="1"/>
              </w:numPr>
              <w:spacing w:after="50" w:line="264" w:lineRule="auto"/>
            </w:pPr>
            <w:r>
              <w:rPr>
                <w:sz w:val="20"/>
                <w:szCs w:val="20"/>
              </w:rPr>
              <w:t>Wer nicht arbeiten darf, braucht feste Termine außerhalb der Wohnung; Freunde in Deutschland brauchen feste Rituale.</w:t>
            </w:r>
          </w:p>
        </w:tc>
      </w:tr>
    </w:tbl>
    <w:p w14:paraId="70A4E3C6" w14:textId="77777777" w:rsidR="00C1548D" w:rsidRDefault="00C1548D">
      <w:pPr>
        <w:spacing w:line="220" w:lineRule="exact"/>
      </w:pPr>
    </w:p>
    <w:p w14:paraId="70A4E3C7" w14:textId="77777777" w:rsidR="00C1548D" w:rsidRDefault="009B1B4B">
      <w:pPr>
        <w:pStyle w:val="Heading3"/>
        <w:keepNext/>
        <w:jc w:val="center"/>
      </w:pPr>
      <w:r>
        <w:rPr>
          <w:rFonts w:ascii="Amazon Ember" w:eastAsia="Amazon Ember" w:hAnsi="Amazon Ember" w:cs="Amazon Ember"/>
          <w:color w:val="0000FF"/>
          <w:sz w:val="36"/>
          <w:szCs w:val="36"/>
        </w:rPr>
        <w:t>Warum es länger dauert, als du denkst</w:t>
      </w:r>
    </w:p>
    <w:p w14:paraId="70A4E3C8" w14:textId="77777777" w:rsidR="00C1548D" w:rsidRDefault="009B1B4B">
      <w:pPr>
        <w:spacing w:after="140"/>
      </w:pPr>
      <w:r>
        <w:t>In Deutschland stammen viele Freundschaften aus Schule, Studium oder Verein und sind über Jahre gewachsen. In den USA beginnst du ohne diese Abkürzung. Drei Dinge bremsen zusätzlich.</w:t>
      </w:r>
    </w:p>
    <w:p w14:paraId="70A4E3C9" w14:textId="5BED5255" w:rsidR="00C1548D" w:rsidRDefault="009B1B4B">
      <w:pPr>
        <w:spacing w:after="140"/>
      </w:pPr>
      <w:r>
        <w:rPr>
          <w:b/>
          <w:bCs/>
        </w:rPr>
        <w:lastRenderedPageBreak/>
        <w:t>Verbreiteter Irrtum: Amerikaner sind so offen, da hat man schnell Freunde.</w:t>
      </w:r>
      <w:r>
        <w:t xml:space="preserve"> Viele Amerikaner sprechen Fremde offen an, loben deine Jacke und wünschen dir einen schönen Tag. Tatsächlich ist das gelebte Höflichkeit, noch keine Einladung in ihr Leben – der Abstand zwischen Kontakt und Freundschaft ist in den USA eher größer als in Deutschland, nur die erste Tür geht leichter auf. Warum das so ist, erklärt Kapitel </w:t>
      </w:r>
      <w:hyperlink w:anchor="k31" w:history="1">
        <w:r>
          <w:t>31</w:t>
        </w:r>
      </w:hyperlink>
      <w:r>
        <w:t>; hier geht es darum, was du daraus machst.</w:t>
      </w:r>
    </w:p>
    <w:p w14:paraId="70A4E3CA" w14:textId="77777777" w:rsidR="00C1548D" w:rsidRDefault="009B1B4B">
      <w:pPr>
        <w:spacing w:after="140"/>
      </w:pPr>
      <w:r>
        <w:rPr>
          <w:b/>
          <w:bCs/>
        </w:rPr>
        <w:t>Hohe Mobilität.</w:t>
      </w:r>
      <w:r>
        <w:t xml:space="preserve"> Nach Daten des Census Bureau (amtliche Statistikbehörde) zogen 2024 rund 12 % der Bevölkerung innerhalb eines Jahres um, gut 2 % in einen anderen Bundesstaat. Kollegen wechseln den Arbeitgeber, Nachbarn die Stadt, viele Visainhaber Stelle oder Land. Neue Kontakte entstehen dadurch leicht, laufen aber ebenso leicht wieder auseinander.</w:t>
      </w:r>
    </w:p>
    <w:p w14:paraId="70A4E3CB" w14:textId="77777777" w:rsidR="00C1548D" w:rsidRDefault="009B1B4B">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w14:paraId="70A4E3CC" w14:textId="77777777" w:rsidR="00C1548D" w:rsidRDefault="009B1B4B">
      <w:pPr>
        <w:spacing w:after="140"/>
      </w:pPr>
      <w:r>
        <w:rPr>
          <w:b/>
          <w:bCs/>
        </w:rPr>
        <w:t>Die Rechnung.</w:t>
      </w:r>
      <w:r>
        <w:t xml:space="preserve">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aber sie erkl</w:t>
      </w:r>
      <w:r>
        <w:t>ären, warum sich die ersten Monate zäh anfühlen.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3CF"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3CD" w14:textId="77777777" w:rsidR="00C1548D" w:rsidRDefault="009B1B4B">
            <w:pPr>
              <w:keepNext/>
              <w:spacing w:after="70" w:line="240" w:lineRule="auto"/>
            </w:pPr>
            <w:r>
              <w:rPr>
                <w:b/>
                <w:bCs/>
                <w:color w:val="8A6212"/>
                <w:spacing w:val="24"/>
                <w:sz w:val="16"/>
                <w:szCs w:val="16"/>
              </w:rPr>
              <w:t>MERKE</w:t>
            </w:r>
          </w:p>
          <w:p w14:paraId="70A4E3CE" w14:textId="77777777" w:rsidR="00C1548D" w:rsidRDefault="009B1B4B">
            <w:pPr>
              <w:spacing w:after="80" w:line="264" w:lineRule="auto"/>
            </w:pPr>
            <w:r>
              <w:rPr>
                <w:sz w:val="20"/>
                <w:szCs w:val="20"/>
              </w:rPr>
              <w:t>Freundschaft entsteht durch Wiederholung, nicht durch einen einzelnen großen Abend. Suche dir wenige Orte, an denen du dieselben Menschen regelmäßig triffst, und bleib mindestens zwei Monate am Ball, bevor du urteilst.</w:t>
            </w:r>
          </w:p>
        </w:tc>
      </w:tr>
    </w:tbl>
    <w:p w14:paraId="70A4E3D0" w14:textId="77777777" w:rsidR="00C1548D" w:rsidRDefault="00C1548D">
      <w:pPr>
        <w:spacing w:line="220" w:lineRule="exact"/>
      </w:pPr>
    </w:p>
    <w:p w14:paraId="70A4E3D1" w14:textId="77777777" w:rsidR="00C1548D" w:rsidRDefault="009B1B4B">
      <w:pPr>
        <w:pStyle w:val="Heading3"/>
        <w:keepNext/>
        <w:jc w:val="center"/>
      </w:pPr>
      <w:r>
        <w:rPr>
          <w:rFonts w:ascii="Amazon Ember" w:eastAsia="Amazon Ember" w:hAnsi="Amazon Ember" w:cs="Amazon Ember"/>
          <w:color w:val="0000FF"/>
          <w:sz w:val="36"/>
          <w:szCs w:val="36"/>
        </w:rPr>
        <w:lastRenderedPageBreak/>
        <w:t>Aus „Let’s get coffee“ wird ein Termin</w:t>
      </w:r>
    </w:p>
    <w:p w14:paraId="70A4E3D2" w14:textId="77777777" w:rsidR="00C1548D" w:rsidRDefault="009B1B4B">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w14:paraId="70A4E3D3" w14:textId="77777777" w:rsidR="00C1548D" w:rsidRDefault="009B1B4B" w:rsidP="009B1B4B">
      <w:pPr>
        <w:pStyle w:val="ListParagraph"/>
        <w:numPr>
          <w:ilvl w:val="0"/>
          <w:numId w:val="38"/>
        </w:numPr>
        <w:spacing w:after="60"/>
      </w:pPr>
      <w:r>
        <w:t>Tausche die Handynummer aus. Verabredungen laufen in den USA meist per Kurznachricht (</w:t>
      </w:r>
      <w:r>
        <w:rPr>
          <w:i/>
          <w:iCs/>
        </w:rPr>
        <w:t>Text</w:t>
      </w:r>
      <w:r>
        <w:t>: SMS oder iMessage); WhatsApp ist weniger verbreitet als in Deutschland.</w:t>
      </w:r>
    </w:p>
    <w:p w14:paraId="70A4E3D4" w14:textId="77777777" w:rsidR="00C1548D" w:rsidRDefault="009B1B4B" w:rsidP="009B1B4B">
      <w:pPr>
        <w:pStyle w:val="ListParagraph"/>
        <w:numPr>
          <w:ilvl w:val="0"/>
          <w:numId w:val="38"/>
        </w:numPr>
        <w:spacing w:after="60"/>
      </w:pPr>
      <w:r>
        <w:t>Schreibe innerhalb von zwei bis drei Tagen und nenne zwei konkrete Termine: „Hi Jordan, great chatting on Tuesday! Coffee on Saturday at 10 or Thursday after work? I know a café near your office.“</w:t>
      </w:r>
    </w:p>
    <w:p w14:paraId="70A4E3D5" w14:textId="77777777" w:rsidR="00C1548D" w:rsidRDefault="009B1B4B" w:rsidP="009B1B4B">
      <w:pPr>
        <w:pStyle w:val="ListParagraph"/>
        <w:numPr>
          <w:ilvl w:val="0"/>
          <w:numId w:val="38"/>
        </w:numPr>
        <w:spacing w:after="60"/>
      </w:pPr>
      <w:r>
        <w:t>Halte es klein: 30 bis 60 Minuten, ein Getränk, ein öffentlicher Ort. Das gemeinsame Abendessen kommt später.</w:t>
      </w:r>
    </w:p>
    <w:p w14:paraId="70A4E3D6" w14:textId="77777777" w:rsidR="00C1548D" w:rsidRDefault="009B1B4B" w:rsidP="009B1B4B">
      <w:pPr>
        <w:pStyle w:val="ListParagraph"/>
        <w:numPr>
          <w:ilvl w:val="0"/>
          <w:numId w:val="38"/>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w14:paraId="70A4E3D7" w14:textId="77777777" w:rsidR="00C1548D" w:rsidRDefault="009B1B4B" w:rsidP="009B1B4B">
      <w:pPr>
        <w:pStyle w:val="ListParagraph"/>
        <w:numPr>
          <w:ilvl w:val="0"/>
          <w:numId w:val="38"/>
        </w:numPr>
        <w:spacing w:after="60"/>
      </w:pPr>
      <w:r>
        <w:t>Kommt eine Absage mit „Let’s reschedule“, schlage einen neuen Termin vor. Wird auch der verschoben, verteile deine Energie auf andere Kontakte.</w:t>
      </w:r>
    </w:p>
    <w:p w14:paraId="70A4E3D8" w14:textId="77777777" w:rsidR="00C1548D" w:rsidRDefault="00C1548D">
      <w:pPr>
        <w:spacing w:line="12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91"/>
        <w:gridCol w:w="1740"/>
        <w:gridCol w:w="2349"/>
      </w:tblGrid>
      <w:tr w:rsidR="00C1548D" w14:paraId="70A4E3DC" w14:textId="77777777">
        <w:tblPrEx>
          <w:tblCellMar>
            <w:top w:w="0" w:type="dxa"/>
            <w:bottom w:w="0" w:type="dxa"/>
          </w:tblCellMar>
        </w:tblPrEx>
        <w:trPr>
          <w:cantSplit/>
          <w:tblHeader/>
        </w:trPr>
        <w:tc>
          <w:tcPr>
            <w:tcW w:w="239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D9" w14:textId="77777777" w:rsidR="00C1548D" w:rsidRDefault="009B1B4B">
            <w:pPr>
              <w:spacing w:line="250" w:lineRule="auto"/>
            </w:pPr>
            <w:r>
              <w:rPr>
                <w:b/>
                <w:bCs/>
                <w:sz w:val="18"/>
                <w:szCs w:val="18"/>
              </w:rPr>
              <w:t>Was du hörst</w:t>
            </w:r>
          </w:p>
        </w:tc>
        <w:tc>
          <w:tcPr>
            <w:tcW w:w="17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DA" w14:textId="77777777" w:rsidR="00C1548D" w:rsidRDefault="009B1B4B">
            <w:pPr>
              <w:spacing w:line="250" w:lineRule="auto"/>
            </w:pPr>
            <w:r>
              <w:rPr>
                <w:b/>
                <w:bCs/>
                <w:sz w:val="18"/>
                <w:szCs w:val="18"/>
              </w:rPr>
              <w:t>Was meist gemeint ist</w:t>
            </w:r>
          </w:p>
        </w:tc>
        <w:tc>
          <w:tcPr>
            <w:tcW w:w="234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DB" w14:textId="77777777" w:rsidR="00C1548D" w:rsidRDefault="009B1B4B">
            <w:pPr>
              <w:spacing w:line="250" w:lineRule="auto"/>
            </w:pPr>
            <w:r>
              <w:rPr>
                <w:b/>
                <w:bCs/>
                <w:sz w:val="18"/>
                <w:szCs w:val="18"/>
              </w:rPr>
              <w:t>Dein nächster Schritt</w:t>
            </w:r>
          </w:p>
        </w:tc>
      </w:tr>
      <w:tr w:rsidR="00C1548D" w14:paraId="70A4E3E0" w14:textId="77777777">
        <w:tblPrEx>
          <w:tblCellMar>
            <w:top w:w="0" w:type="dxa"/>
            <w:bottom w:w="0" w:type="dxa"/>
          </w:tblCellMar>
        </w:tblPrEx>
        <w:trPr>
          <w:cantSplit/>
        </w:trPr>
        <w:tc>
          <w:tcPr>
            <w:tcW w:w="23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DD" w14:textId="77777777" w:rsidR="00C1548D" w:rsidRDefault="009B1B4B">
            <w:pPr>
              <w:spacing w:line="250" w:lineRule="auto"/>
            </w:pPr>
            <w:r>
              <w:rPr>
                <w:sz w:val="18"/>
                <w:szCs w:val="18"/>
              </w:rPr>
              <w:t>„We should hang out sometime!“</w:t>
            </w:r>
          </w:p>
        </w:tc>
        <w:tc>
          <w:tcPr>
            <w:tcW w:w="17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DE" w14:textId="77777777" w:rsidR="00C1548D" w:rsidRDefault="009B1B4B">
            <w:pPr>
              <w:spacing w:line="250" w:lineRule="auto"/>
            </w:pPr>
            <w:r>
              <w:rPr>
                <w:sz w:val="18"/>
                <w:szCs w:val="18"/>
              </w:rPr>
              <w:t>Höflichkeit, oft mit echter Sympathie</w:t>
            </w:r>
          </w:p>
        </w:tc>
        <w:tc>
          <w:tcPr>
            <w:tcW w:w="23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DF" w14:textId="77777777" w:rsidR="00C1548D" w:rsidRDefault="009B1B4B">
            <w:pPr>
              <w:spacing w:line="250" w:lineRule="auto"/>
            </w:pPr>
            <w:r>
              <w:rPr>
                <w:sz w:val="18"/>
                <w:szCs w:val="18"/>
              </w:rPr>
              <w:t>Zwei Terminvorschläge senden</w:t>
            </w:r>
          </w:p>
        </w:tc>
      </w:tr>
      <w:tr w:rsidR="00C1548D" w14:paraId="70A4E3E4" w14:textId="77777777">
        <w:tblPrEx>
          <w:tblCellMar>
            <w:top w:w="0" w:type="dxa"/>
            <w:bottom w:w="0" w:type="dxa"/>
          </w:tblCellMar>
        </w:tblPrEx>
        <w:trPr>
          <w:cantSplit/>
        </w:trPr>
        <w:tc>
          <w:tcPr>
            <w:tcW w:w="23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1" w14:textId="77777777" w:rsidR="00C1548D" w:rsidRDefault="009B1B4B">
            <w:pPr>
              <w:spacing w:line="250" w:lineRule="auto"/>
            </w:pPr>
            <w:r>
              <w:rPr>
                <w:sz w:val="18"/>
                <w:szCs w:val="18"/>
              </w:rPr>
              <w:t>„Let me know when you’re free.“</w:t>
            </w:r>
          </w:p>
        </w:tc>
        <w:tc>
          <w:tcPr>
            <w:tcW w:w="17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2" w14:textId="77777777" w:rsidR="00C1548D" w:rsidRDefault="009B1B4B">
            <w:pPr>
              <w:spacing w:line="250" w:lineRule="auto"/>
            </w:pPr>
            <w:r>
              <w:rPr>
                <w:sz w:val="18"/>
                <w:szCs w:val="18"/>
              </w:rPr>
              <w:t>Der Ball liegt bei dir</w:t>
            </w:r>
          </w:p>
        </w:tc>
        <w:tc>
          <w:tcPr>
            <w:tcW w:w="23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3" w14:textId="77777777" w:rsidR="00C1548D" w:rsidRDefault="009B1B4B">
            <w:pPr>
              <w:spacing w:line="250" w:lineRule="auto"/>
            </w:pPr>
            <w:r>
              <w:rPr>
                <w:sz w:val="18"/>
                <w:szCs w:val="18"/>
              </w:rPr>
              <w:t>Ein konkretes Datum nennen</w:t>
            </w:r>
          </w:p>
        </w:tc>
      </w:tr>
      <w:tr w:rsidR="00C1548D" w14:paraId="70A4E3E8" w14:textId="77777777">
        <w:tblPrEx>
          <w:tblCellMar>
            <w:top w:w="0" w:type="dxa"/>
            <w:bottom w:w="0" w:type="dxa"/>
          </w:tblCellMar>
        </w:tblPrEx>
        <w:trPr>
          <w:cantSplit/>
        </w:trPr>
        <w:tc>
          <w:tcPr>
            <w:tcW w:w="23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5" w14:textId="77777777" w:rsidR="00C1548D" w:rsidRDefault="009B1B4B">
            <w:pPr>
              <w:spacing w:line="250" w:lineRule="auto"/>
            </w:pPr>
            <w:r>
              <w:rPr>
                <w:sz w:val="18"/>
                <w:szCs w:val="18"/>
              </w:rPr>
              <w:t>„You should come over sometime.“</w:t>
            </w:r>
          </w:p>
        </w:tc>
        <w:tc>
          <w:tcPr>
            <w:tcW w:w="17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6" w14:textId="77777777" w:rsidR="00C1548D" w:rsidRDefault="009B1B4B">
            <w:pPr>
              <w:spacing w:line="250" w:lineRule="auto"/>
            </w:pPr>
            <w:r>
              <w:rPr>
                <w:sz w:val="18"/>
                <w:szCs w:val="18"/>
              </w:rPr>
              <w:t>Offene Tür, noch keine Einladung</w:t>
            </w:r>
          </w:p>
        </w:tc>
        <w:tc>
          <w:tcPr>
            <w:tcW w:w="23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7" w14:textId="77777777" w:rsidR="00C1548D" w:rsidRDefault="009B1B4B">
            <w:pPr>
              <w:spacing w:line="250" w:lineRule="auto"/>
            </w:pPr>
            <w:r>
              <w:rPr>
                <w:sz w:val="18"/>
                <w:szCs w:val="18"/>
              </w:rPr>
              <w:t>„Gern! Passt der Samstag in zwei Wochen?“</w:t>
            </w:r>
          </w:p>
        </w:tc>
      </w:tr>
      <w:tr w:rsidR="00C1548D" w14:paraId="70A4E3EC" w14:textId="77777777">
        <w:tblPrEx>
          <w:tblCellMar>
            <w:top w:w="0" w:type="dxa"/>
            <w:bottom w:w="0" w:type="dxa"/>
          </w:tblCellMar>
        </w:tblPrEx>
        <w:trPr>
          <w:cantSplit/>
        </w:trPr>
        <w:tc>
          <w:tcPr>
            <w:tcW w:w="23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9" w14:textId="77777777" w:rsidR="00C1548D" w:rsidRDefault="009B1B4B">
            <w:pPr>
              <w:spacing w:line="250" w:lineRule="auto"/>
            </w:pPr>
            <w:r>
              <w:rPr>
                <w:sz w:val="18"/>
                <w:szCs w:val="18"/>
              </w:rPr>
              <w:lastRenderedPageBreak/>
              <w:t>„We’re having people over Saturday at 6. Can you make it?“</w:t>
            </w:r>
          </w:p>
        </w:tc>
        <w:tc>
          <w:tcPr>
            <w:tcW w:w="17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A" w14:textId="77777777" w:rsidR="00C1548D" w:rsidRDefault="009B1B4B">
            <w:pPr>
              <w:spacing w:line="250" w:lineRule="auto"/>
            </w:pPr>
            <w:r>
              <w:rPr>
                <w:sz w:val="18"/>
                <w:szCs w:val="18"/>
              </w:rPr>
              <w:t>Echte Einladung</w:t>
            </w:r>
          </w:p>
        </w:tc>
        <w:tc>
          <w:tcPr>
            <w:tcW w:w="23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B" w14:textId="77777777" w:rsidR="00C1548D" w:rsidRDefault="009B1B4B">
            <w:pPr>
              <w:spacing w:line="250" w:lineRule="auto"/>
            </w:pPr>
            <w:r>
              <w:rPr>
                <w:sz w:val="18"/>
                <w:szCs w:val="18"/>
              </w:rPr>
              <w:t>Zeitnah antworten, fragen, was du mitbringst</w:t>
            </w:r>
          </w:p>
        </w:tc>
      </w:tr>
      <w:tr w:rsidR="00C1548D" w14:paraId="70A4E3F0" w14:textId="77777777">
        <w:tblPrEx>
          <w:tblCellMar>
            <w:top w:w="0" w:type="dxa"/>
            <w:bottom w:w="0" w:type="dxa"/>
          </w:tblCellMar>
        </w:tblPrEx>
        <w:trPr>
          <w:cantSplit/>
        </w:trPr>
        <w:tc>
          <w:tcPr>
            <w:tcW w:w="23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D" w14:textId="77777777" w:rsidR="00C1548D" w:rsidRDefault="009B1B4B">
            <w:pPr>
              <w:spacing w:line="250" w:lineRule="auto"/>
            </w:pPr>
            <w:r>
              <w:rPr>
                <w:sz w:val="18"/>
                <w:szCs w:val="18"/>
              </w:rPr>
              <w:t>„Maybe next time.“</w:t>
            </w:r>
          </w:p>
        </w:tc>
        <w:tc>
          <w:tcPr>
            <w:tcW w:w="17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E" w14:textId="77777777" w:rsidR="00C1548D" w:rsidRDefault="009B1B4B">
            <w:pPr>
              <w:spacing w:line="250" w:lineRule="auto"/>
            </w:pPr>
            <w:r>
              <w:rPr>
                <w:sz w:val="18"/>
                <w:szCs w:val="18"/>
              </w:rPr>
              <w:t>Freundliche Absage</w:t>
            </w:r>
          </w:p>
        </w:tc>
        <w:tc>
          <w:tcPr>
            <w:tcW w:w="23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EF" w14:textId="77777777" w:rsidR="00C1548D" w:rsidRDefault="009B1B4B">
            <w:pPr>
              <w:spacing w:line="250" w:lineRule="auto"/>
            </w:pPr>
            <w:r>
              <w:rPr>
                <w:sz w:val="18"/>
                <w:szCs w:val="18"/>
              </w:rPr>
              <w:t>Nicht nachhaken, später etwas anderes anbieten</w:t>
            </w:r>
          </w:p>
        </w:tc>
      </w:tr>
    </w:tbl>
    <w:p w14:paraId="70A4E3F1" w14:textId="77777777" w:rsidR="00C1548D" w:rsidRDefault="00C1548D">
      <w:pPr>
        <w:spacing w:line="180" w:lineRule="exact"/>
      </w:pPr>
    </w:p>
    <w:p w14:paraId="70A4E3F2" w14:textId="77777777" w:rsidR="00C1548D" w:rsidRDefault="009B1B4B">
      <w:pPr>
        <w:pStyle w:val="Heading3"/>
        <w:keepNext/>
        <w:jc w:val="center"/>
      </w:pPr>
      <w:r>
        <w:rPr>
          <w:rFonts w:ascii="Amazon Ember" w:eastAsia="Amazon Ember" w:hAnsi="Amazon Ember" w:cs="Amazon Ember"/>
          <w:color w:val="0000FF"/>
          <w:sz w:val="36"/>
          <w:szCs w:val="36"/>
        </w:rPr>
        <w:t>Wo lernst du wen kennen?</w:t>
      </w:r>
    </w:p>
    <w:p w14:paraId="70A4E3F3" w14:textId="77777777" w:rsidR="00C1548D" w:rsidRDefault="009B1B4B">
      <w:pPr>
        <w:spacing w:after="140"/>
      </w:pPr>
      <w:r>
        <w:t>Kein Ort passt für alle. Die Tabelle ordnet die wichtigsten Wege nach Zielgruppe, Aufwand und Tempo; die folgenden Abschnitte erklären sie.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4"/>
        <w:gridCol w:w="1689"/>
        <w:gridCol w:w="1246"/>
        <w:gridCol w:w="1521"/>
      </w:tblGrid>
      <w:tr w:rsidR="00C1548D" w14:paraId="70A4E3F8" w14:textId="77777777">
        <w:tblPrEx>
          <w:tblCellMar>
            <w:top w:w="0" w:type="dxa"/>
            <w:bottom w:w="0" w:type="dxa"/>
          </w:tblCellMar>
        </w:tblPrEx>
        <w:trPr>
          <w:cantSplit/>
          <w:tblHeader/>
        </w:trPr>
        <w:tc>
          <w:tcPr>
            <w:tcW w:w="202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F4" w14:textId="77777777" w:rsidR="00C1548D" w:rsidRDefault="009B1B4B">
            <w:pPr>
              <w:spacing w:line="250" w:lineRule="auto"/>
            </w:pPr>
            <w:r>
              <w:rPr>
                <w:b/>
                <w:bCs/>
                <w:sz w:val="18"/>
                <w:szCs w:val="18"/>
              </w:rPr>
              <w:t>Ort</w:t>
            </w:r>
          </w:p>
        </w:tc>
        <w:tc>
          <w:tcPr>
            <w:tcW w:w="16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F5" w14:textId="77777777" w:rsidR="00C1548D" w:rsidRDefault="009B1B4B">
            <w:pPr>
              <w:spacing w:line="250" w:lineRule="auto"/>
            </w:pPr>
            <w:r>
              <w:rPr>
                <w:b/>
                <w:bCs/>
                <w:sz w:val="18"/>
                <w:szCs w:val="18"/>
              </w:rPr>
              <w:t>Passt für</w:t>
            </w:r>
          </w:p>
        </w:tc>
        <w:tc>
          <w:tcPr>
            <w:tcW w:w="124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F6" w14:textId="77777777" w:rsidR="00C1548D" w:rsidRDefault="009B1B4B">
            <w:pPr>
              <w:spacing w:line="250" w:lineRule="auto"/>
            </w:pPr>
            <w:r>
              <w:rPr>
                <w:b/>
                <w:bCs/>
                <w:sz w:val="18"/>
                <w:szCs w:val="18"/>
              </w:rPr>
              <w:t>Aufwand</w:t>
            </w:r>
          </w:p>
        </w:tc>
        <w:tc>
          <w:tcPr>
            <w:tcW w:w="152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3F7" w14:textId="77777777" w:rsidR="00C1548D" w:rsidRDefault="009B1B4B">
            <w:pPr>
              <w:spacing w:line="250" w:lineRule="auto"/>
            </w:pPr>
            <w:r>
              <w:rPr>
                <w:b/>
                <w:bCs/>
                <w:sz w:val="18"/>
                <w:szCs w:val="18"/>
              </w:rPr>
              <w:t>Tempo</w:t>
            </w:r>
          </w:p>
        </w:tc>
      </w:tr>
      <w:tr w:rsidR="00C1548D" w14:paraId="70A4E3FD" w14:textId="77777777">
        <w:tblPrEx>
          <w:tblCellMar>
            <w:top w:w="0" w:type="dxa"/>
            <w:bottom w:w="0" w:type="dxa"/>
          </w:tblCellMar>
        </w:tblPrEx>
        <w:trPr>
          <w:cantSplit/>
        </w:trPr>
        <w:tc>
          <w:tcPr>
            <w:tcW w:w="20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F9" w14:textId="77777777" w:rsidR="00C1548D" w:rsidRDefault="009B1B4B">
            <w:pPr>
              <w:spacing w:line="250" w:lineRule="auto"/>
            </w:pPr>
            <w:r>
              <w:rPr>
                <w:sz w:val="18"/>
                <w:szCs w:val="18"/>
              </w:rPr>
              <w:t>Schule, Kita, Kindersport</w:t>
            </w:r>
          </w:p>
        </w:tc>
        <w:tc>
          <w:tcPr>
            <w:tcW w:w="1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FA" w14:textId="77777777" w:rsidR="00C1548D" w:rsidRDefault="009B1B4B">
            <w:pPr>
              <w:spacing w:line="250" w:lineRule="auto"/>
            </w:pPr>
            <w:r>
              <w:rPr>
                <w:sz w:val="18"/>
                <w:szCs w:val="18"/>
              </w:rPr>
              <w:t>Eltern</w:t>
            </w:r>
          </w:p>
        </w:tc>
        <w:tc>
          <w:tcPr>
            <w:tcW w:w="12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FB" w14:textId="77777777" w:rsidR="00C1548D" w:rsidRDefault="009B1B4B">
            <w:pPr>
              <w:spacing w:line="250" w:lineRule="auto"/>
            </w:pPr>
            <w:r>
              <w:rPr>
                <w:sz w:val="18"/>
                <w:szCs w:val="18"/>
              </w:rPr>
              <w:t>Mittel: feste Termine, Fahrdienste</w:t>
            </w:r>
          </w:p>
        </w:tc>
        <w:tc>
          <w:tcPr>
            <w:tcW w:w="15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FC" w14:textId="77777777" w:rsidR="00C1548D" w:rsidRDefault="009B1B4B">
            <w:pPr>
              <w:spacing w:line="250" w:lineRule="auto"/>
            </w:pPr>
            <w:r>
              <w:rPr>
                <w:sz w:val="18"/>
                <w:szCs w:val="18"/>
              </w:rPr>
              <w:t>Schnell</w:t>
            </w:r>
          </w:p>
        </w:tc>
      </w:tr>
      <w:tr w:rsidR="00C1548D" w14:paraId="70A4E402" w14:textId="77777777">
        <w:tblPrEx>
          <w:tblCellMar>
            <w:top w:w="0" w:type="dxa"/>
            <w:bottom w:w="0" w:type="dxa"/>
          </w:tblCellMar>
        </w:tblPrEx>
        <w:trPr>
          <w:cantSplit/>
        </w:trPr>
        <w:tc>
          <w:tcPr>
            <w:tcW w:w="20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FE" w14:textId="77777777" w:rsidR="00C1548D" w:rsidRDefault="009B1B4B">
            <w:pPr>
              <w:spacing w:line="250" w:lineRule="auto"/>
            </w:pPr>
            <w:r>
              <w:rPr>
                <w:sz w:val="18"/>
                <w:szCs w:val="18"/>
              </w:rPr>
              <w:t>Arbeit, Employee Resource Groups</w:t>
            </w:r>
          </w:p>
        </w:tc>
        <w:tc>
          <w:tcPr>
            <w:tcW w:w="1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3FF" w14:textId="77777777" w:rsidR="00C1548D" w:rsidRDefault="009B1B4B">
            <w:pPr>
              <w:spacing w:line="250" w:lineRule="auto"/>
            </w:pPr>
            <w:r>
              <w:rPr>
                <w:sz w:val="18"/>
                <w:szCs w:val="18"/>
              </w:rPr>
              <w:t>Berufstätige</w:t>
            </w:r>
          </w:p>
        </w:tc>
        <w:tc>
          <w:tcPr>
            <w:tcW w:w="12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0" w14:textId="77777777" w:rsidR="00C1548D" w:rsidRDefault="009B1B4B">
            <w:pPr>
              <w:spacing w:line="250" w:lineRule="auto"/>
            </w:pPr>
            <w:r>
              <w:rPr>
                <w:sz w:val="18"/>
                <w:szCs w:val="18"/>
              </w:rPr>
              <w:t>Gering</w:t>
            </w:r>
          </w:p>
        </w:tc>
        <w:tc>
          <w:tcPr>
            <w:tcW w:w="15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1" w14:textId="77777777" w:rsidR="00C1548D" w:rsidRDefault="009B1B4B">
            <w:pPr>
              <w:spacing w:line="250" w:lineRule="auto"/>
            </w:pPr>
            <w:r>
              <w:rPr>
                <w:sz w:val="18"/>
                <w:szCs w:val="18"/>
              </w:rPr>
              <w:t>Mittel; Kontakte wechseln oft</w:t>
            </w:r>
          </w:p>
        </w:tc>
      </w:tr>
      <w:tr w:rsidR="00C1548D" w14:paraId="70A4E407" w14:textId="77777777">
        <w:tblPrEx>
          <w:tblCellMar>
            <w:top w:w="0" w:type="dxa"/>
            <w:bottom w:w="0" w:type="dxa"/>
          </w:tblCellMar>
        </w:tblPrEx>
        <w:trPr>
          <w:cantSplit/>
        </w:trPr>
        <w:tc>
          <w:tcPr>
            <w:tcW w:w="20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3" w14:textId="77777777" w:rsidR="00C1548D" w:rsidRDefault="009B1B4B">
            <w:pPr>
              <w:spacing w:line="250" w:lineRule="auto"/>
            </w:pPr>
            <w:r>
              <w:rPr>
                <w:sz w:val="18"/>
                <w:szCs w:val="18"/>
              </w:rPr>
              <w:t>Nachbarschaft, Block Party</w:t>
            </w:r>
          </w:p>
        </w:tc>
        <w:tc>
          <w:tcPr>
            <w:tcW w:w="1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4" w14:textId="77777777" w:rsidR="00C1548D" w:rsidRDefault="009B1B4B">
            <w:pPr>
              <w:spacing w:line="250" w:lineRule="auto"/>
            </w:pPr>
            <w:r>
              <w:rPr>
                <w:sz w:val="18"/>
                <w:szCs w:val="18"/>
              </w:rPr>
              <w:t>Familien, Hausbesitzer, Mieter</w:t>
            </w:r>
          </w:p>
        </w:tc>
        <w:tc>
          <w:tcPr>
            <w:tcW w:w="12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5" w14:textId="77777777" w:rsidR="00C1548D" w:rsidRDefault="009B1B4B">
            <w:pPr>
              <w:spacing w:line="250" w:lineRule="auto"/>
            </w:pPr>
            <w:r>
              <w:rPr>
                <w:sz w:val="18"/>
                <w:szCs w:val="18"/>
              </w:rPr>
              <w:t>Gering</w:t>
            </w:r>
          </w:p>
        </w:tc>
        <w:tc>
          <w:tcPr>
            <w:tcW w:w="15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6" w14:textId="77777777" w:rsidR="00C1548D" w:rsidRDefault="009B1B4B">
            <w:pPr>
              <w:spacing w:line="250" w:lineRule="auto"/>
            </w:pPr>
            <w:r>
              <w:rPr>
                <w:sz w:val="18"/>
                <w:szCs w:val="18"/>
              </w:rPr>
              <w:t>Langsam</w:t>
            </w:r>
          </w:p>
        </w:tc>
      </w:tr>
      <w:tr w:rsidR="00C1548D" w14:paraId="70A4E40C" w14:textId="77777777">
        <w:tblPrEx>
          <w:tblCellMar>
            <w:top w:w="0" w:type="dxa"/>
            <w:bottom w:w="0" w:type="dxa"/>
          </w:tblCellMar>
        </w:tblPrEx>
        <w:trPr>
          <w:cantSplit/>
        </w:trPr>
        <w:tc>
          <w:tcPr>
            <w:tcW w:w="20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8" w14:textId="77777777" w:rsidR="00C1548D" w:rsidRDefault="009B1B4B">
            <w:pPr>
              <w:spacing w:line="250" w:lineRule="auto"/>
            </w:pPr>
            <w:r>
              <w:rPr>
                <w:sz w:val="18"/>
                <w:szCs w:val="18"/>
              </w:rPr>
              <w:t>Laufgruppe, Pickleball, Kletterhalle</w:t>
            </w:r>
          </w:p>
        </w:tc>
        <w:tc>
          <w:tcPr>
            <w:tcW w:w="1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9" w14:textId="77777777" w:rsidR="00C1548D" w:rsidRDefault="009B1B4B">
            <w:pPr>
              <w:spacing w:line="250" w:lineRule="auto"/>
            </w:pPr>
            <w:r>
              <w:rPr>
                <w:sz w:val="18"/>
                <w:szCs w:val="18"/>
              </w:rPr>
              <w:t>Fast alle</w:t>
            </w:r>
          </w:p>
        </w:tc>
        <w:tc>
          <w:tcPr>
            <w:tcW w:w="12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A" w14:textId="77777777" w:rsidR="00C1548D" w:rsidRDefault="009B1B4B">
            <w:pPr>
              <w:spacing w:line="250" w:lineRule="auto"/>
            </w:pPr>
            <w:r>
              <w:rPr>
                <w:sz w:val="18"/>
                <w:szCs w:val="18"/>
              </w:rPr>
              <w:t>Mittel</w:t>
            </w:r>
          </w:p>
        </w:tc>
        <w:tc>
          <w:tcPr>
            <w:tcW w:w="15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B" w14:textId="77777777" w:rsidR="00C1548D" w:rsidRDefault="009B1B4B">
            <w:pPr>
              <w:spacing w:line="250" w:lineRule="auto"/>
            </w:pPr>
            <w:r>
              <w:rPr>
                <w:sz w:val="18"/>
                <w:szCs w:val="18"/>
              </w:rPr>
              <w:t>Mittel</w:t>
            </w:r>
          </w:p>
        </w:tc>
      </w:tr>
      <w:tr w:rsidR="00C1548D" w14:paraId="70A4E411" w14:textId="77777777">
        <w:tblPrEx>
          <w:tblCellMar>
            <w:top w:w="0" w:type="dxa"/>
            <w:bottom w:w="0" w:type="dxa"/>
          </w:tblCellMar>
        </w:tblPrEx>
        <w:trPr>
          <w:cantSplit/>
        </w:trPr>
        <w:tc>
          <w:tcPr>
            <w:tcW w:w="20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D" w14:textId="77777777" w:rsidR="00C1548D" w:rsidRDefault="009B1B4B">
            <w:pPr>
              <w:spacing w:line="250" w:lineRule="auto"/>
            </w:pPr>
            <w:r>
              <w:rPr>
                <w:sz w:val="18"/>
                <w:szCs w:val="18"/>
              </w:rPr>
              <w:t>Bibliothek, Community College, Kurse</w:t>
            </w:r>
          </w:p>
        </w:tc>
        <w:tc>
          <w:tcPr>
            <w:tcW w:w="1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E" w14:textId="77777777" w:rsidR="00C1548D" w:rsidRDefault="009B1B4B">
            <w:pPr>
              <w:spacing w:line="250" w:lineRule="auto"/>
            </w:pPr>
            <w:r>
              <w:rPr>
                <w:sz w:val="18"/>
                <w:szCs w:val="18"/>
              </w:rPr>
              <w:t>Fast alle, ideal ohne Job</w:t>
            </w:r>
          </w:p>
        </w:tc>
        <w:tc>
          <w:tcPr>
            <w:tcW w:w="12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0F" w14:textId="77777777" w:rsidR="00C1548D" w:rsidRDefault="009B1B4B">
            <w:pPr>
              <w:spacing w:line="250" w:lineRule="auto"/>
            </w:pPr>
            <w:r>
              <w:rPr>
                <w:sz w:val="18"/>
                <w:szCs w:val="18"/>
              </w:rPr>
              <w:t>Mittel</w:t>
            </w:r>
          </w:p>
        </w:tc>
        <w:tc>
          <w:tcPr>
            <w:tcW w:w="15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0" w14:textId="77777777" w:rsidR="00C1548D" w:rsidRDefault="009B1B4B">
            <w:pPr>
              <w:spacing w:line="250" w:lineRule="auto"/>
            </w:pPr>
            <w:r>
              <w:rPr>
                <w:sz w:val="18"/>
                <w:szCs w:val="18"/>
              </w:rPr>
              <w:t>Mittel</w:t>
            </w:r>
          </w:p>
        </w:tc>
      </w:tr>
      <w:tr w:rsidR="00C1548D" w14:paraId="70A4E416" w14:textId="77777777">
        <w:tblPrEx>
          <w:tblCellMar>
            <w:top w:w="0" w:type="dxa"/>
            <w:bottom w:w="0" w:type="dxa"/>
          </w:tblCellMar>
        </w:tblPrEx>
        <w:trPr>
          <w:cantSplit/>
        </w:trPr>
        <w:tc>
          <w:tcPr>
            <w:tcW w:w="20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2" w14:textId="77777777" w:rsidR="00C1548D" w:rsidRDefault="009B1B4B">
            <w:pPr>
              <w:spacing w:line="250" w:lineRule="auto"/>
            </w:pPr>
            <w:r>
              <w:rPr>
                <w:sz w:val="18"/>
                <w:szCs w:val="18"/>
              </w:rPr>
              <w:t>Glaubensgemeinschaft</w:t>
            </w:r>
          </w:p>
        </w:tc>
        <w:tc>
          <w:tcPr>
            <w:tcW w:w="1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3" w14:textId="77777777" w:rsidR="00C1548D" w:rsidRDefault="009B1B4B">
            <w:pPr>
              <w:spacing w:line="250" w:lineRule="auto"/>
            </w:pPr>
            <w:r>
              <w:rPr>
                <w:sz w:val="18"/>
                <w:szCs w:val="18"/>
              </w:rPr>
              <w:t>Familien, Suchende</w:t>
            </w:r>
          </w:p>
        </w:tc>
        <w:tc>
          <w:tcPr>
            <w:tcW w:w="12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4" w14:textId="77777777" w:rsidR="00C1548D" w:rsidRDefault="009B1B4B">
            <w:pPr>
              <w:spacing w:line="250" w:lineRule="auto"/>
            </w:pPr>
            <w:r>
              <w:rPr>
                <w:sz w:val="18"/>
                <w:szCs w:val="18"/>
              </w:rPr>
              <w:t>Mittel</w:t>
            </w:r>
          </w:p>
        </w:tc>
        <w:tc>
          <w:tcPr>
            <w:tcW w:w="15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5" w14:textId="77777777" w:rsidR="00C1548D" w:rsidRDefault="009B1B4B">
            <w:pPr>
              <w:spacing w:line="250" w:lineRule="auto"/>
            </w:pPr>
            <w:r>
              <w:rPr>
                <w:sz w:val="18"/>
                <w:szCs w:val="18"/>
              </w:rPr>
              <w:t>Schnell bis mittel</w:t>
            </w:r>
          </w:p>
        </w:tc>
      </w:tr>
      <w:tr w:rsidR="00C1548D" w14:paraId="70A4E41B" w14:textId="77777777">
        <w:tblPrEx>
          <w:tblCellMar>
            <w:top w:w="0" w:type="dxa"/>
            <w:bottom w:w="0" w:type="dxa"/>
          </w:tblCellMar>
        </w:tblPrEx>
        <w:trPr>
          <w:cantSplit/>
        </w:trPr>
        <w:tc>
          <w:tcPr>
            <w:tcW w:w="20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7" w14:textId="77777777" w:rsidR="00C1548D" w:rsidRDefault="009B1B4B">
            <w:pPr>
              <w:spacing w:line="250" w:lineRule="auto"/>
            </w:pPr>
            <w:r>
              <w:rPr>
                <w:sz w:val="18"/>
                <w:szCs w:val="18"/>
              </w:rPr>
              <w:t>Ehrenamt</w:t>
            </w:r>
          </w:p>
        </w:tc>
        <w:tc>
          <w:tcPr>
            <w:tcW w:w="1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8" w14:textId="77777777" w:rsidR="00C1548D" w:rsidRDefault="009B1B4B">
            <w:pPr>
              <w:spacing w:line="250" w:lineRule="auto"/>
            </w:pPr>
            <w:r>
              <w:rPr>
                <w:sz w:val="18"/>
                <w:szCs w:val="18"/>
              </w:rPr>
              <w:t>Partner ohne Job, Alleinstehende</w:t>
            </w:r>
          </w:p>
        </w:tc>
        <w:tc>
          <w:tcPr>
            <w:tcW w:w="12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9" w14:textId="77777777" w:rsidR="00C1548D" w:rsidRDefault="009B1B4B">
            <w:pPr>
              <w:spacing w:line="250" w:lineRule="auto"/>
            </w:pPr>
            <w:r>
              <w:rPr>
                <w:sz w:val="18"/>
                <w:szCs w:val="18"/>
              </w:rPr>
              <w:t>Mittel</w:t>
            </w:r>
          </w:p>
        </w:tc>
        <w:tc>
          <w:tcPr>
            <w:tcW w:w="15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A" w14:textId="77777777" w:rsidR="00C1548D" w:rsidRDefault="009B1B4B">
            <w:pPr>
              <w:spacing w:line="250" w:lineRule="auto"/>
            </w:pPr>
            <w:r>
              <w:rPr>
                <w:sz w:val="18"/>
                <w:szCs w:val="18"/>
              </w:rPr>
              <w:t>Mittel</w:t>
            </w:r>
          </w:p>
        </w:tc>
      </w:tr>
      <w:tr w:rsidR="00C1548D" w14:paraId="70A4E420" w14:textId="77777777">
        <w:tblPrEx>
          <w:tblCellMar>
            <w:top w:w="0" w:type="dxa"/>
            <w:bottom w:w="0" w:type="dxa"/>
          </w:tblCellMar>
        </w:tblPrEx>
        <w:trPr>
          <w:cantSplit/>
        </w:trPr>
        <w:tc>
          <w:tcPr>
            <w:tcW w:w="20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C" w14:textId="77777777" w:rsidR="00C1548D" w:rsidRDefault="009B1B4B">
            <w:pPr>
              <w:spacing w:line="250" w:lineRule="auto"/>
            </w:pPr>
            <w:r>
              <w:rPr>
                <w:sz w:val="18"/>
                <w:szCs w:val="18"/>
              </w:rPr>
              <w:t>Meetup und Apps</w:t>
            </w:r>
          </w:p>
        </w:tc>
        <w:tc>
          <w:tcPr>
            <w:tcW w:w="1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D" w14:textId="77777777" w:rsidR="00C1548D" w:rsidRDefault="009B1B4B">
            <w:pPr>
              <w:spacing w:line="250" w:lineRule="auto"/>
            </w:pPr>
            <w:r>
              <w:rPr>
                <w:sz w:val="18"/>
                <w:szCs w:val="18"/>
              </w:rPr>
              <w:t>Alleinstehende, Zugezogene</w:t>
            </w:r>
          </w:p>
        </w:tc>
        <w:tc>
          <w:tcPr>
            <w:tcW w:w="12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E" w14:textId="77777777" w:rsidR="00C1548D" w:rsidRDefault="009B1B4B">
            <w:pPr>
              <w:spacing w:line="250" w:lineRule="auto"/>
            </w:pPr>
            <w:r>
              <w:rPr>
                <w:sz w:val="18"/>
                <w:szCs w:val="18"/>
              </w:rPr>
              <w:t>Gering</w:t>
            </w:r>
          </w:p>
        </w:tc>
        <w:tc>
          <w:tcPr>
            <w:tcW w:w="15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1F" w14:textId="77777777" w:rsidR="00C1548D" w:rsidRDefault="009B1B4B">
            <w:pPr>
              <w:spacing w:line="250" w:lineRule="auto"/>
            </w:pPr>
            <w:r>
              <w:rPr>
                <w:sz w:val="18"/>
                <w:szCs w:val="18"/>
              </w:rPr>
              <w:t>Kontakt schnell, Freundschaft langsam</w:t>
            </w:r>
          </w:p>
        </w:tc>
      </w:tr>
      <w:tr w:rsidR="00C1548D" w14:paraId="70A4E425" w14:textId="77777777">
        <w:tblPrEx>
          <w:tblCellMar>
            <w:top w:w="0" w:type="dxa"/>
            <w:bottom w:w="0" w:type="dxa"/>
          </w:tblCellMar>
        </w:tblPrEx>
        <w:trPr>
          <w:cantSplit/>
        </w:trPr>
        <w:tc>
          <w:tcPr>
            <w:tcW w:w="20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21" w14:textId="77777777" w:rsidR="00C1548D" w:rsidRDefault="009B1B4B">
            <w:pPr>
              <w:spacing w:line="250" w:lineRule="auto"/>
            </w:pPr>
            <w:r>
              <w:rPr>
                <w:sz w:val="18"/>
                <w:szCs w:val="18"/>
              </w:rPr>
              <w:t>Deutsche und Expat-Gruppen</w:t>
            </w:r>
          </w:p>
        </w:tc>
        <w:tc>
          <w:tcPr>
            <w:tcW w:w="16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22" w14:textId="77777777" w:rsidR="00C1548D" w:rsidRDefault="009B1B4B">
            <w:pPr>
              <w:spacing w:line="250" w:lineRule="auto"/>
            </w:pPr>
            <w:r>
              <w:rPr>
                <w:sz w:val="18"/>
                <w:szCs w:val="18"/>
              </w:rPr>
              <w:t>Neuankömmlinge</w:t>
            </w:r>
          </w:p>
        </w:tc>
        <w:tc>
          <w:tcPr>
            <w:tcW w:w="12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23" w14:textId="77777777" w:rsidR="00C1548D" w:rsidRDefault="009B1B4B">
            <w:pPr>
              <w:spacing w:line="250" w:lineRule="auto"/>
            </w:pPr>
            <w:r>
              <w:rPr>
                <w:sz w:val="18"/>
                <w:szCs w:val="18"/>
              </w:rPr>
              <w:t>Gering</w:t>
            </w:r>
          </w:p>
        </w:tc>
        <w:tc>
          <w:tcPr>
            <w:tcW w:w="15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24" w14:textId="77777777" w:rsidR="00C1548D" w:rsidRDefault="009B1B4B">
            <w:pPr>
              <w:spacing w:line="250" w:lineRule="auto"/>
            </w:pPr>
            <w:r>
              <w:rPr>
                <w:sz w:val="18"/>
                <w:szCs w:val="18"/>
              </w:rPr>
              <w:t>Schnell</w:t>
            </w:r>
          </w:p>
        </w:tc>
      </w:tr>
    </w:tbl>
    <w:p w14:paraId="70A4E426"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429"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427" w14:textId="77777777" w:rsidR="00C1548D" w:rsidRDefault="009B1B4B">
            <w:pPr>
              <w:keepNext/>
              <w:spacing w:after="70" w:line="240" w:lineRule="auto"/>
            </w:pPr>
            <w:r>
              <w:rPr>
                <w:b/>
                <w:bCs/>
                <w:color w:val="4A5568"/>
                <w:spacing w:val="24"/>
                <w:sz w:val="16"/>
                <w:szCs w:val="16"/>
              </w:rPr>
              <w:lastRenderedPageBreak/>
              <w:t>PRAXISBEISPIEL · FIKTIV</w:t>
            </w:r>
          </w:p>
          <w:p w14:paraId="70A4E428" w14:textId="77777777" w:rsidR="00C1548D" w:rsidRDefault="009B1B4B">
            <w:pPr>
              <w:spacing w:after="80" w:line="264" w:lineRule="auto"/>
            </w:pPr>
            <w:r>
              <w:rPr>
                <w:sz w:val="20"/>
                <w:szCs w:val="20"/>
              </w:rPr>
              <w:t>Sabine Keller (fiktiv) zieht im März nach Seattle. Die Kollegen sind freundlich, doch nach sechs Wochen hat sie noch keine einzige Einladung. Sie ändert ihre Strategie, belegt einen Anfängerkurs in einer Kletterhalle (sechs Wochentermine) und schließt sich einer Wandergruppe an, die sich über Meetup verabredet. Nach dem dritten Kurstermin schreibt sie einer Mitschülerin: „Coffee after class on Thursday? There’s a café around the corner.“ Von fünf solchen Vorschlägen im ersten Vierteljahr führen zwei zu eine</w:t>
            </w:r>
            <w:r>
              <w:rPr>
                <w:sz w:val="20"/>
                <w:szCs w:val="20"/>
              </w:rPr>
              <w:t>m Treffen, einer zu einer festen Kletterverabredung. Im September lädt Sabine erstmals selbst ein, zu Kaffee und Kuchen auf dem Balkon. Sechs Personen sagen zu, vier kommen; eine bringt unaufgefordert eine Flasche Wein mit und bleibt, als die anderen längst gegangen sind, noch eine Stunde sitzen – das erste Gespräch, das sich nicht mehr wie Small Talk anfühlt. Ihr Fazit: Es dauerte länger als gedacht, aber es lag an der Zahl der Wiederholungen, nicht an der Stadt.</w:t>
            </w:r>
          </w:p>
        </w:tc>
      </w:tr>
    </w:tbl>
    <w:p w14:paraId="70A4E42A" w14:textId="77777777" w:rsidR="00C1548D" w:rsidRDefault="00C1548D">
      <w:pPr>
        <w:spacing w:line="220" w:lineRule="exact"/>
      </w:pPr>
    </w:p>
    <w:p w14:paraId="70A4E42B" w14:textId="77777777" w:rsidR="00C1548D" w:rsidRDefault="009B1B4B">
      <w:pPr>
        <w:pStyle w:val="Heading3"/>
        <w:keepNext/>
        <w:jc w:val="center"/>
      </w:pPr>
      <w:r>
        <w:rPr>
          <w:rFonts w:ascii="Amazon Ember" w:eastAsia="Amazon Ember" w:hAnsi="Amazon Ember" w:cs="Amazon Ember"/>
          <w:color w:val="0000FF"/>
          <w:sz w:val="36"/>
          <w:szCs w:val="36"/>
        </w:rPr>
        <w:t>Mit Kindern: Schule, Sport, Playdates, Geburtstage</w:t>
      </w:r>
    </w:p>
    <w:p w14:paraId="70A4E42C" w14:textId="54B07550" w:rsidR="00C1548D" w:rsidRDefault="009B1B4B">
      <w:pPr>
        <w:spacing w:after="140"/>
      </w:pPr>
      <w:r>
        <w:t>Kinder sind der schnellste Weg zu neuen Kontakten, denn sie bringen Eltern regelmäßig an denselben Ort. An der Schule (mehr in Kapitel </w:t>
      </w:r>
      <w:hyperlink w:anchor="k36" w:history="1">
        <w:r>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der Elternverein der Schule, sucht ständig Helfer für Feste und 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w14:paraId="70A4E42D" w14:textId="31A13934" w:rsidR="00C1548D" w:rsidRDefault="009B1B4B">
      <w:pPr>
        <w:spacing w:after="140"/>
      </w:pPr>
      <w:r>
        <w:rPr>
          <w:b/>
          <w:bCs/>
        </w:rPr>
        <w:t>Playdates.</w:t>
      </w:r>
      <w:r>
        <w:t xml:space="preserve"> Ein </w:t>
      </w:r>
      <w:r>
        <w:rPr>
          <w:i/>
          <w:iCs/>
        </w:rPr>
        <w:t>Playdate</w:t>
      </w:r>
      <w:r>
        <w:t xml:space="preserve"> ist eine feste Verabredung der Kinder, meist ein bis zwei Stunden an einem Nachmittag oder am Wochenende. Sie </w:t>
      </w:r>
      <w:r>
        <w:lastRenderedPageBreak/>
        <w:t>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w:t>
      </w:r>
      <w:r>
        <w:t>Kapitel </w:t>
      </w:r>
      <w:hyperlink w:anchor="k40" w:history="1">
        <w:r>
          <w:t>40</w:t>
        </w:r>
      </w:hyperlink>
      <w:r>
        <w:t>).</w:t>
      </w:r>
    </w:p>
    <w:p w14:paraId="70A4E42E" w14:textId="77777777" w:rsidR="00C1548D" w:rsidRDefault="009B1B4B">
      <w:pPr>
        <w:spacing w:after="140"/>
      </w:pPr>
      <w:r>
        <w:rPr>
          <w:b/>
          <w:bCs/>
        </w:rPr>
        <w:t>Geburtstagspartys.</w:t>
      </w:r>
      <w:r>
        <w:t xml:space="preserve"> Einladungen kommen per Text, auf Papier oder über Dienste wie Evite; die Rückmeldung (RSVP) wird erwartet, auch die Absage. Die Party dauert meist etwa zwei Stunden. Als 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w14:paraId="70A4E42F" w14:textId="77777777" w:rsidR="00C1548D" w:rsidRDefault="009B1B4B">
      <w:pPr>
        <w:pStyle w:val="Heading3"/>
        <w:keepNext/>
        <w:jc w:val="center"/>
      </w:pPr>
      <w:r>
        <w:rPr>
          <w:rFonts w:ascii="Amazon Ember" w:eastAsia="Amazon Ember" w:hAnsi="Amazon Ember" w:cs="Amazon Ember"/>
          <w:color w:val="0000FF"/>
          <w:sz w:val="36"/>
          <w:szCs w:val="36"/>
        </w:rPr>
        <w:t>Im Job: Kollegen, Happy Hour, Netzwerke</w:t>
      </w:r>
    </w:p>
    <w:p w14:paraId="70A4E430" w14:textId="77777777" w:rsidR="00C1548D" w:rsidRDefault="009B1B4B">
      <w:pPr>
        <w:spacing w:after="140"/>
      </w:pPr>
      <w:r>
        <w:t xml:space="preserve">Kollegen sind ein guter Start, aber selten das Ziel: Nach Halls Zahlen zählt Zeit bei der Arbeit weniger als gemeinsame Freizeit. Nutze die Übergänge: Mittagessen zu zweit, Kaffee in der Küche, die </w:t>
      </w:r>
      <w:r>
        <w:rPr>
          <w:i/>
          <w:iCs/>
        </w:rPr>
        <w:t>Happy Hour</w:t>
      </w:r>
      <w:r>
        <w:t xml:space="preserve"> (Getränke und Snacks nach Feierabend in einer Bar, meist ein bis zwei Stunden; alkoholfrei bestellen ist normal, Bleiben keine Pflicht). Firmenfeste und Team-Events sind Gelegenheiten für private Gespräche.</w:t>
      </w:r>
    </w:p>
    <w:p w14:paraId="70A4E431" w14:textId="77777777" w:rsidR="00C1548D" w:rsidRDefault="009B1B4B">
      <w:pPr>
        <w:spacing w:after="140"/>
      </w:pPr>
      <w:r>
        <w:t xml:space="preserve">Viele Unternehmen haben </w:t>
      </w:r>
      <w:r>
        <w:rPr>
          <w:i/>
          <w:iCs/>
        </w:rPr>
        <w:t>Employee Resource Groups</w:t>
      </w:r>
      <w:r>
        <w:t xml:space="preserve"> (ERGs), freiwillige, von der Firma getragene Netzwerke, etwa für Eltern, Frauen in der Technik, Veteranen, LGBTQ+ oder bestimmte Herkunftsländer; manche stehen auch Unterstützern (</w:t>
      </w:r>
      <w:r>
        <w:rPr>
          <w:i/>
          <w:iCs/>
        </w:rPr>
        <w:t>Allies</w:t>
      </w:r>
      <w:r>
        <w:t>) offen. Frage die Personalabteilung nach der Liste. Weil Kollegen häufig den Arbeitgeber wechseln, bleibt ein Kontakt nur bestehen, wenn ihr euch auch außerhalb der Firma seht.</w:t>
      </w:r>
    </w:p>
    <w:p w14:paraId="70A4E432" w14:textId="77777777" w:rsidR="00C1548D" w:rsidRDefault="009B1B4B">
      <w:pPr>
        <w:pStyle w:val="Heading3"/>
        <w:keepNext/>
        <w:jc w:val="center"/>
      </w:pPr>
      <w:r>
        <w:rPr>
          <w:rFonts w:ascii="Amazon Ember" w:eastAsia="Amazon Ember" w:hAnsi="Amazon Ember" w:cs="Amazon Ember"/>
          <w:color w:val="0000FF"/>
          <w:sz w:val="36"/>
          <w:szCs w:val="36"/>
        </w:rPr>
        <w:lastRenderedPageBreak/>
        <w:t>Nachbarschaft</w:t>
      </w:r>
    </w:p>
    <w:p w14:paraId="70A4E433" w14:textId="77777777" w:rsidR="00C1548D" w:rsidRDefault="009B1B4B">
      <w:pPr>
        <w:spacing w:after="140"/>
      </w:pPr>
      <w:r>
        <w:t xml:space="preserve">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per Text an. Gemeinschaftsanlässe: die </w:t>
      </w:r>
      <w:r>
        <w:rPr>
          <w:i/>
          <w:iCs/>
        </w:rPr>
        <w:t>Block Party</w:t>
      </w:r>
      <w:r>
        <w:t xml:space="preserve"> (Straßenfest der Anwohner), Feste der Eigentümergemeinschaft (</w:t>
      </w:r>
      <w:r>
        <w:rPr>
          <w:i/>
          <w:iCs/>
        </w:rPr>
        <w:t>HOA</w:t>
      </w:r>
      <w:r>
        <w:t xml:space="preserve">), Halloween (Süßigkeiten an der Haustür) und die </w:t>
      </w:r>
      <w:r>
        <w:rPr>
          <w:i/>
          <w:iCs/>
        </w:rPr>
        <w:t>National Night Out</w:t>
      </w:r>
      <w:r>
        <w:t xml:space="preserve"> (Nachbarschaftsabend, meist erster Dienstag im August, in manchen Regionen im Oktober). Wer noch eine Wohnung sucht, achte auf Anlagen mit Gemeinschaftsraum, Spielplatz und Veranstaltungen.</w:t>
      </w:r>
    </w:p>
    <w:p w14:paraId="70A4E434" w14:textId="77777777" w:rsidR="00C1548D" w:rsidRDefault="009B1B4B">
      <w:pPr>
        <w:pStyle w:val="Heading3"/>
        <w:keepNext/>
        <w:jc w:val="center"/>
      </w:pPr>
      <w:r>
        <w:rPr>
          <w:rFonts w:ascii="Amazon Ember" w:eastAsia="Amazon Ember" w:hAnsi="Amazon Ember" w:cs="Amazon Ember"/>
          <w:color w:val="0000FF"/>
          <w:sz w:val="36"/>
          <w:szCs w:val="36"/>
        </w:rPr>
        <w:t>Hobbys, Vereine und Kurse</w:t>
      </w:r>
    </w:p>
    <w:p w14:paraId="70A4E435" w14:textId="77777777" w:rsidR="00C1548D" w:rsidRDefault="009B1B4B">
      <w:pPr>
        <w:spacing w:after="140"/>
      </w:pPr>
      <w:r>
        <w:t>Das deutsche Vereinswesen gibt es in den USA kaum; stattdessen findest du offene Gruppen, Ligen und Kurse:</w:t>
      </w:r>
    </w:p>
    <w:p w14:paraId="70A4E436" w14:textId="77777777" w:rsidR="00C1548D" w:rsidRDefault="009B1B4B" w:rsidP="009B1B4B">
      <w:pPr>
        <w:pStyle w:val="ListParagraph"/>
        <w:numPr>
          <w:ilvl w:val="0"/>
          <w:numId w:val="1"/>
        </w:numPr>
        <w:spacing w:after="60"/>
      </w:pPr>
      <w:r>
        <w:rPr>
          <w:i/>
          <w:iCs/>
        </w:rPr>
        <w:t>Run Clubs</w:t>
      </w:r>
      <w:r>
        <w:t xml:space="preserve"> (Laufgruppen), oft von Laufgeschäften getragen und kostenlos, meist mit Kaffee oder Bier danach.</w:t>
      </w:r>
    </w:p>
    <w:p w14:paraId="70A4E437" w14:textId="77777777" w:rsidR="00C1548D" w:rsidRDefault="009B1B4B" w:rsidP="009B1B4B">
      <w:pPr>
        <w:pStyle w:val="ListParagraph"/>
        <w:numPr>
          <w:ilvl w:val="0"/>
          <w:numId w:val="1"/>
        </w:numPr>
        <w:spacing w:after="60"/>
      </w:pPr>
      <w:r>
        <w:t>Pickleball, eine Mischung aus Tennis, Badminton und Tischtennis auf kleinem Feld: seit Jahren stark wachsend, in vielen Städten mit offenen Spielzeiten auf öffentlichen Plätzen.</w:t>
      </w:r>
    </w:p>
    <w:p w14:paraId="70A4E438" w14:textId="77777777" w:rsidR="00C1548D" w:rsidRDefault="009B1B4B" w:rsidP="009B1B4B">
      <w:pPr>
        <w:pStyle w:val="ListParagraph"/>
        <w:numPr>
          <w:ilvl w:val="0"/>
          <w:numId w:val="1"/>
        </w:numPr>
        <w:spacing w:after="60"/>
      </w:pPr>
      <w:r>
        <w:t>Kletterhallen mit Anfängerkursen und Community-Abenden.</w:t>
      </w:r>
    </w:p>
    <w:p w14:paraId="70A4E439" w14:textId="77777777" w:rsidR="00C1548D" w:rsidRDefault="009B1B4B" w:rsidP="009B1B4B">
      <w:pPr>
        <w:pStyle w:val="ListParagraph"/>
        <w:numPr>
          <w:ilvl w:val="0"/>
          <w:numId w:val="1"/>
        </w:numPr>
        <w:spacing w:after="60"/>
      </w:pPr>
      <w:r>
        <w:t>Wandergruppen und Outdoor-Clubs, zum Beispiel Ortsgruppen des Sierra Club.</w:t>
      </w:r>
    </w:p>
    <w:p w14:paraId="70A4E43A" w14:textId="77777777" w:rsidR="00C1548D" w:rsidRDefault="009B1B4B" w:rsidP="009B1B4B">
      <w:pPr>
        <w:pStyle w:val="ListParagraph"/>
        <w:numPr>
          <w:ilvl w:val="0"/>
          <w:numId w:val="1"/>
        </w:numPr>
        <w:spacing w:after="60"/>
      </w:pPr>
      <w:r>
        <w:t>Chöre und Community-Orchester, oft ohne Vorspiel.</w:t>
      </w:r>
    </w:p>
    <w:p w14:paraId="70A4E43B" w14:textId="77777777" w:rsidR="00C1548D" w:rsidRDefault="009B1B4B" w:rsidP="009B1B4B">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w14:paraId="70A4E43C" w14:textId="77777777" w:rsidR="00C1548D" w:rsidRDefault="009B1B4B" w:rsidP="009B1B4B">
      <w:pPr>
        <w:pStyle w:val="ListParagraph"/>
        <w:numPr>
          <w:ilvl w:val="0"/>
          <w:numId w:val="1"/>
        </w:numPr>
        <w:spacing w:after="60"/>
      </w:pPr>
      <w:r>
        <w:lastRenderedPageBreak/>
        <w:t>Öffentliche Bibliotheken mit Buchclubs, Vorträgen, Handarbeitsgruppen und Konversationsrunden.</w:t>
      </w:r>
    </w:p>
    <w:p w14:paraId="70A4E43D" w14:textId="77777777" w:rsidR="00C1548D" w:rsidRDefault="009B1B4B" w:rsidP="009B1B4B">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w14:paraId="70A4E43E" w14:textId="77777777" w:rsidR="00C1548D" w:rsidRDefault="009B1B4B" w:rsidP="009B1B4B">
      <w:pPr>
        <w:pStyle w:val="ListParagraph"/>
        <w:numPr>
          <w:ilvl w:val="0"/>
          <w:numId w:val="1"/>
        </w:numPr>
        <w:spacing w:after="60"/>
      </w:pPr>
      <w:r>
        <w:t>Toastmasters-Clubs, in denen du das freie Sprechen auf Englisch übst.</w:t>
      </w:r>
    </w:p>
    <w:p w14:paraId="70A4E43F" w14:textId="77777777" w:rsidR="00C1548D" w:rsidRDefault="00C1548D">
      <w:pPr>
        <w:spacing w:line="120" w:lineRule="exact"/>
      </w:pPr>
    </w:p>
    <w:p w14:paraId="70A4E440" w14:textId="6156716E" w:rsidR="00C1548D" w:rsidRDefault="009B1B4B">
      <w:pPr>
        <w:spacing w:after="140"/>
      </w:pPr>
      <w:r>
        <w:rPr>
          <w:b/>
          <w:bCs/>
        </w:rPr>
        <w:t>Kinder als Türöffner.</w:t>
      </w:r>
      <w:r>
        <w:t xml:space="preserve"> Wie im Abschnitt „Mit Kindern“ beschrieben, ist das oft der schnellste Zugang: Trainingszeiten, Elternabende und die Autoschlange beim Abholen (</w:t>
      </w:r>
      <w:r>
        <w:rPr>
          <w:i/>
          <w:iCs/>
        </w:rPr>
        <w:t>Carpool Line</w:t>
      </w:r>
      <w:r>
        <w:t>) bringen dieselben Gesichter so regelmäßig zusammen, dass Small Talk fast von selbst zur Bekanntschaft wird (Kapitel </w:t>
      </w:r>
      <w:hyperlink w:anchor="k36" w:history="1">
        <w:r>
          <w:t>36</w:t>
        </w:r>
      </w:hyperlink>
      <w:r>
        <w:t xml:space="preserve"> und </w:t>
      </w:r>
      <w:hyperlink w:anchor="k38" w:history="1">
        <w:r>
          <w:t>38</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443"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441" w14:textId="77777777" w:rsidR="00C1548D" w:rsidRDefault="009B1B4B">
            <w:pPr>
              <w:keepNext/>
              <w:spacing w:after="70" w:line="240" w:lineRule="auto"/>
            </w:pPr>
            <w:r>
              <w:rPr>
                <w:b/>
                <w:bCs/>
                <w:color w:val="2F6B3B"/>
                <w:spacing w:val="24"/>
                <w:sz w:val="16"/>
                <w:szCs w:val="16"/>
              </w:rPr>
              <w:t>SPARTIPP</w:t>
            </w:r>
          </w:p>
          <w:p w14:paraId="70A4E442" w14:textId="77777777" w:rsidR="00C1548D" w:rsidRDefault="009B1B4B">
            <w:pPr>
              <w:spacing w:after="80" w:line="264" w:lineRule="auto"/>
            </w:pPr>
            <w:r>
              <w:rPr>
                <w:sz w:val="20"/>
                <w:szCs w:val="20"/>
              </w:rPr>
              <w:t>Bibliotheksprogramme, Laufgruppen und Wanderungen kosten meist nichts, kommunale Kurse und Ligen wenig, und ein Kaffee zu zweit ein paar Dollar. Für den Aufbau eines Freundeskreises brauchst du kein Restaurantbudget.</w:t>
            </w:r>
          </w:p>
        </w:tc>
      </w:tr>
    </w:tbl>
    <w:p w14:paraId="70A4E444" w14:textId="77777777" w:rsidR="00C1548D" w:rsidRDefault="00C1548D">
      <w:pPr>
        <w:spacing w:line="220" w:lineRule="exact"/>
      </w:pPr>
    </w:p>
    <w:p w14:paraId="70A4E445" w14:textId="77777777" w:rsidR="00C1548D" w:rsidRDefault="009B1B4B">
      <w:pPr>
        <w:pStyle w:val="Heading3"/>
        <w:keepNext/>
        <w:jc w:val="center"/>
      </w:pPr>
      <w:r>
        <w:rPr>
          <w:rFonts w:ascii="Amazon Ember" w:eastAsia="Amazon Ember" w:hAnsi="Amazon Ember" w:cs="Amazon Ember"/>
          <w:color w:val="0000FF"/>
          <w:sz w:val="36"/>
          <w:szCs w:val="36"/>
        </w:rPr>
        <w:t>Glaubensgemeinschaft und Ehrenamt</w:t>
      </w:r>
    </w:p>
    <w:p w14:paraId="70A4E446" w14:textId="77777777" w:rsidR="00C1548D" w:rsidRDefault="009B1B4B">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zum Beispiel Unitarian-Universalist-Gemeinden. Ein freundliches „No, thank you“ genügt, wenn dir etwas z</w:t>
      </w:r>
      <w:r>
        <w:t>u weit geht.</w:t>
      </w:r>
    </w:p>
    <w:p w14:paraId="70A4E447" w14:textId="77777777" w:rsidR="00C1548D" w:rsidRDefault="009B1B4B">
      <w:pPr>
        <w:spacing w:after="140"/>
      </w:pPr>
      <w:r>
        <w:t>Beim Ehrenamt (</w:t>
      </w:r>
      <w:r>
        <w:rPr>
          <w:i/>
          <w:iCs/>
        </w:rPr>
        <w:t>Volunteering</w:t>
      </w:r>
      <w:r>
        <w:t>) triffst du Menschen, die Zeit übrig haben und gern helfen: bei Tafeln und Essensausgaben (</w:t>
      </w:r>
      <w:r>
        <w:rPr>
          <w:i/>
          <w:iCs/>
        </w:rPr>
        <w:t>Food Pantries</w:t>
      </w:r>
      <w:r>
        <w:t xml:space="preserve">), Tierheimen, Bibliotheken, Schulen oder Parkpflege. Eine </w:t>
      </w:r>
      <w:r>
        <w:lastRenderedPageBreak/>
        <w:t>gemeinsame Aufgabe macht Gespräche leicht. Freiwilligenstellen findest du bei idealist.org, das 2025 mit VolunteerMatch verschmolzen ist, oder direkt bei der Organisation.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44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448" w14:textId="77777777" w:rsidR="00C1548D" w:rsidRDefault="009B1B4B">
            <w:pPr>
              <w:keepNext/>
              <w:spacing w:after="70" w:line="240" w:lineRule="auto"/>
            </w:pPr>
            <w:r>
              <w:rPr>
                <w:b/>
                <w:bCs/>
                <w:color w:val="9B2C2C"/>
                <w:spacing w:val="24"/>
                <w:sz w:val="16"/>
                <w:szCs w:val="16"/>
              </w:rPr>
              <w:t>ACHTUNG</w:t>
            </w:r>
          </w:p>
          <w:p w14:paraId="70A4E449" w14:textId="606F26BF" w:rsidR="00C1548D" w:rsidRDefault="009B1B4B">
            <w:pPr>
              <w:spacing w:after="80" w:line="264" w:lineRule="auto"/>
            </w:pPr>
            <w:r>
              <w:rPr>
                <w:sz w:val="20"/>
                <w:szCs w:val="20"/>
              </w:rPr>
              <w:t xml:space="preserve">Wer keine Arbeitserlaubnis hat, etwa als H-4-Partner ohne </w:t>
            </w:r>
            <w:r>
              <w:rPr>
                <w:i/>
                <w:iCs/>
                <w:sz w:val="20"/>
                <w:szCs w:val="20"/>
              </w:rPr>
              <w:t>EAD</w:t>
            </w:r>
            <w:r>
              <w:rPr>
                <w:sz w:val="20"/>
                <w:szCs w:val="20"/>
              </w:rPr>
              <w:t xml:space="preserve"> (</w:t>
            </w:r>
            <w:r>
              <w:rPr>
                <w:i/>
                <w:iCs/>
                <w:sz w:val="20"/>
                <w:szCs w:val="20"/>
              </w:rPr>
              <w:t>Employment Authorization Document</w:t>
            </w:r>
            <w:r>
              <w:rPr>
                <w:sz w:val="20"/>
                <w:szCs w:val="20"/>
              </w:rPr>
              <w:t>, Arbeitserlaubnis), sollte nur echtes Ehrenamt leisten: bei einer gemeinnützigen Organisation, ohne Vergütung und nicht in einer Rolle, die sonst bezahlt würde. Ein „unbezahltes Praktikum“ bei einer Firma oder Sachleistungen, die wie Lohn wirken, können als unerlaubte Arbeit gelten. Frage im Zweifel vorher eine Einwanderungsanwältin oder einen Einwanderungsanwalt (Kapitel </w:t>
            </w:r>
            <w:hyperlink w:anchor="k10" w:history="1">
              <w:r>
                <w:rPr>
                  <w:sz w:val="20"/>
                  <w:szCs w:val="20"/>
                </w:rPr>
                <w:t>10</w:t>
              </w:r>
            </w:hyperlink>
            <w:r>
              <w:rPr>
                <w:sz w:val="20"/>
                <w:szCs w:val="20"/>
              </w:rPr>
              <w:t xml:space="preserve"> und </w:t>
            </w:r>
            <w:hyperlink w:anchor="k11" w:history="1">
              <w:r>
                <w:rPr>
                  <w:sz w:val="20"/>
                  <w:szCs w:val="20"/>
                </w:rPr>
                <w:t>11</w:t>
              </w:r>
            </w:hyperlink>
            <w:r>
              <w:rPr>
                <w:sz w:val="20"/>
                <w:szCs w:val="20"/>
              </w:rPr>
              <w:t>).</w:t>
            </w:r>
          </w:p>
        </w:tc>
      </w:tr>
    </w:tbl>
    <w:p w14:paraId="70A4E44B" w14:textId="77777777" w:rsidR="00C1548D" w:rsidRDefault="00C1548D">
      <w:pPr>
        <w:spacing w:line="220" w:lineRule="exact"/>
      </w:pPr>
    </w:p>
    <w:p w14:paraId="70A4E44C" w14:textId="77777777" w:rsidR="00C1548D" w:rsidRDefault="009B1B4B">
      <w:pPr>
        <w:pStyle w:val="Heading3"/>
        <w:keepNext/>
        <w:jc w:val="center"/>
      </w:pPr>
      <w:r>
        <w:rPr>
          <w:rFonts w:ascii="Amazon Ember" w:eastAsia="Amazon Ember" w:hAnsi="Amazon Ember" w:cs="Amazon Ember"/>
          <w:color w:val="0000FF"/>
          <w:sz w:val="36"/>
          <w:szCs w:val="36"/>
        </w:rPr>
        <w:t>Apps und Netzwerke</w:t>
      </w:r>
    </w:p>
    <w:p w14:paraId="70A4E44D" w14:textId="77777777" w:rsidR="00C1548D" w:rsidRDefault="009B1B4B">
      <w:pPr>
        <w:spacing w:after="140"/>
      </w:pPr>
      <w:r>
        <w:t>Apps helfen beim ersten Kontakt, besonders für Alleinstehende und in der Zeit vor dem Umzug: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60"/>
        <w:gridCol w:w="2710"/>
        <w:gridCol w:w="2710"/>
      </w:tblGrid>
      <w:tr w:rsidR="00C1548D" w14:paraId="70A4E451" w14:textId="77777777">
        <w:tblPrEx>
          <w:tblCellMar>
            <w:top w:w="0" w:type="dxa"/>
            <w:bottom w:w="0" w:type="dxa"/>
          </w:tblCellMar>
        </w:tblPrEx>
        <w:trPr>
          <w:cantSplit/>
          <w:tblHeader/>
        </w:trPr>
        <w:tc>
          <w:tcPr>
            <w:tcW w:w="10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44E" w14:textId="77777777" w:rsidR="00C1548D" w:rsidRDefault="009B1B4B">
            <w:pPr>
              <w:spacing w:line="250" w:lineRule="auto"/>
            </w:pPr>
            <w:r>
              <w:rPr>
                <w:b/>
                <w:bCs/>
                <w:sz w:val="18"/>
                <w:szCs w:val="18"/>
              </w:rPr>
              <w:t>Angebot</w:t>
            </w:r>
          </w:p>
        </w:tc>
        <w:tc>
          <w:tcPr>
            <w:tcW w:w="27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44F" w14:textId="77777777" w:rsidR="00C1548D" w:rsidRDefault="009B1B4B">
            <w:pPr>
              <w:spacing w:line="250" w:lineRule="auto"/>
            </w:pPr>
            <w:r>
              <w:rPr>
                <w:b/>
                <w:bCs/>
                <w:sz w:val="18"/>
                <w:szCs w:val="18"/>
              </w:rPr>
              <w:t>Wofür</w:t>
            </w:r>
          </w:p>
        </w:tc>
        <w:tc>
          <w:tcPr>
            <w:tcW w:w="27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450" w14:textId="77777777" w:rsidR="00C1548D" w:rsidRDefault="009B1B4B">
            <w:pPr>
              <w:spacing w:line="250" w:lineRule="auto"/>
            </w:pPr>
            <w:r>
              <w:rPr>
                <w:b/>
                <w:bCs/>
                <w:sz w:val="18"/>
                <w:szCs w:val="18"/>
              </w:rPr>
              <w:t>Hinweis</w:t>
            </w:r>
          </w:p>
        </w:tc>
      </w:tr>
      <w:tr w:rsidR="00C1548D" w14:paraId="70A4E455" w14:textId="77777777">
        <w:tblPrEx>
          <w:tblCellMar>
            <w:top w:w="0" w:type="dxa"/>
            <w:bottom w:w="0" w:type="dxa"/>
          </w:tblCellMar>
        </w:tblPrEx>
        <w:trPr>
          <w:cantSplit/>
        </w:trPr>
        <w:tc>
          <w:tcPr>
            <w:tcW w:w="10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52" w14:textId="77777777" w:rsidR="00C1548D" w:rsidRDefault="009B1B4B">
            <w:pPr>
              <w:spacing w:line="250" w:lineRule="auto"/>
            </w:pPr>
            <w:r>
              <w:rPr>
                <w:sz w:val="18"/>
                <w:szCs w:val="18"/>
              </w:rPr>
              <w:t>Meetup</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53" w14:textId="77777777" w:rsidR="00C1548D" w:rsidRDefault="009B1B4B">
            <w:pPr>
              <w:spacing w:line="250" w:lineRule="auto"/>
            </w:pPr>
            <w:r>
              <w:rPr>
                <w:sz w:val="18"/>
                <w:szCs w:val="18"/>
              </w:rPr>
              <w:t>Interessengruppen und Termine: Wandern, Brettspiele, Sprachtreffs, Stammtische</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54" w14:textId="77777777" w:rsidR="00C1548D" w:rsidRDefault="009B1B4B">
            <w:pPr>
              <w:spacing w:line="250" w:lineRule="auto"/>
            </w:pPr>
            <w:r>
              <w:rPr>
                <w:sz w:val="18"/>
                <w:szCs w:val="18"/>
              </w:rPr>
              <w:t>Suchen und meist auch Teilnehmen ohne Kosten; bei Terminen mit Ticket fällt eine Servicegebühr an, ein Abo (Meetup+) bietet Zusatzfunktionen</w:t>
            </w:r>
          </w:p>
        </w:tc>
      </w:tr>
      <w:tr w:rsidR="00C1548D" w14:paraId="70A4E459" w14:textId="77777777">
        <w:tblPrEx>
          <w:tblCellMar>
            <w:top w:w="0" w:type="dxa"/>
            <w:bottom w:w="0" w:type="dxa"/>
          </w:tblCellMar>
        </w:tblPrEx>
        <w:trPr>
          <w:cantSplit/>
        </w:trPr>
        <w:tc>
          <w:tcPr>
            <w:tcW w:w="10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56" w14:textId="77777777" w:rsidR="00C1548D" w:rsidRDefault="009B1B4B">
            <w:pPr>
              <w:spacing w:line="250" w:lineRule="auto"/>
            </w:pPr>
            <w:r>
              <w:rPr>
                <w:sz w:val="18"/>
                <w:szCs w:val="18"/>
              </w:rPr>
              <w:t>BFF (früher Bumble BFF)</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57" w14:textId="77777777" w:rsidR="00C1548D" w:rsidRDefault="009B1B4B">
            <w:pPr>
              <w:spacing w:line="250" w:lineRule="auto"/>
            </w:pPr>
            <w:r>
              <w:rPr>
                <w:sz w:val="18"/>
                <w:szCs w:val="18"/>
              </w:rPr>
              <w:t>Freundschaften über Profile, Gruppen und Chats</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58" w14:textId="77777777" w:rsidR="00C1548D" w:rsidRDefault="009B1B4B">
            <w:pPr>
              <w:spacing w:line="250" w:lineRule="auto"/>
            </w:pPr>
            <w:r>
              <w:rPr>
                <w:sz w:val="18"/>
                <w:szCs w:val="18"/>
              </w:rPr>
              <w:t>Seit Herbst 2025 eigene App mit Fokus auf Gruppen; Stand 2026 prüfen</w:t>
            </w:r>
          </w:p>
        </w:tc>
      </w:tr>
      <w:tr w:rsidR="00C1548D" w14:paraId="70A4E45D" w14:textId="77777777">
        <w:tblPrEx>
          <w:tblCellMar>
            <w:top w:w="0" w:type="dxa"/>
            <w:bottom w:w="0" w:type="dxa"/>
          </w:tblCellMar>
        </w:tblPrEx>
        <w:trPr>
          <w:cantSplit/>
        </w:trPr>
        <w:tc>
          <w:tcPr>
            <w:tcW w:w="10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5A" w14:textId="77777777" w:rsidR="00C1548D" w:rsidRDefault="009B1B4B">
            <w:pPr>
              <w:spacing w:line="250" w:lineRule="auto"/>
            </w:pPr>
            <w:r>
              <w:rPr>
                <w:sz w:val="18"/>
                <w:szCs w:val="18"/>
              </w:rPr>
              <w:t>Facebook-Gruppen</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5B" w14:textId="77777777" w:rsidR="00C1548D" w:rsidRDefault="009B1B4B">
            <w:pPr>
              <w:spacing w:line="250" w:lineRule="auto"/>
            </w:pPr>
            <w:r>
              <w:rPr>
                <w:sz w:val="18"/>
                <w:szCs w:val="18"/>
              </w:rPr>
              <w:t>Eltern, Expats, Landsleute, Hobbys der Region</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5C" w14:textId="77777777" w:rsidR="00C1548D" w:rsidRDefault="009B1B4B">
            <w:pPr>
              <w:spacing w:line="250" w:lineRule="auto"/>
            </w:pPr>
            <w:r>
              <w:rPr>
                <w:sz w:val="18"/>
                <w:szCs w:val="18"/>
              </w:rPr>
              <w:t>Oft die beste Quelle für Lokales; Gruppenregeln lesen</w:t>
            </w:r>
          </w:p>
        </w:tc>
      </w:tr>
      <w:tr w:rsidR="00C1548D" w14:paraId="70A4E461" w14:textId="77777777">
        <w:tblPrEx>
          <w:tblCellMar>
            <w:top w:w="0" w:type="dxa"/>
            <w:bottom w:w="0" w:type="dxa"/>
          </w:tblCellMar>
        </w:tblPrEx>
        <w:trPr>
          <w:cantSplit/>
        </w:trPr>
        <w:tc>
          <w:tcPr>
            <w:tcW w:w="10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5E" w14:textId="77777777" w:rsidR="00C1548D" w:rsidRDefault="009B1B4B">
            <w:pPr>
              <w:spacing w:line="250" w:lineRule="auto"/>
            </w:pPr>
            <w:r>
              <w:rPr>
                <w:sz w:val="18"/>
                <w:szCs w:val="18"/>
              </w:rPr>
              <w:t>Nextdoor</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5F" w14:textId="77777777" w:rsidR="00C1548D" w:rsidRDefault="009B1B4B">
            <w:pPr>
              <w:spacing w:line="250" w:lineRule="auto"/>
            </w:pPr>
            <w:r>
              <w:rPr>
                <w:sz w:val="18"/>
                <w:szCs w:val="18"/>
              </w:rPr>
              <w:t>Nachbarschaft: Empfehlungen, Veranstaltungen, Tauschbörse</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60" w14:textId="77777777" w:rsidR="00C1548D" w:rsidRDefault="009B1B4B">
            <w:pPr>
              <w:spacing w:line="250" w:lineRule="auto"/>
            </w:pPr>
            <w:r>
              <w:rPr>
                <w:sz w:val="18"/>
                <w:szCs w:val="18"/>
              </w:rPr>
              <w:t>Adresse wird verifiziert; nützlich für Tipps und Feste</w:t>
            </w:r>
          </w:p>
        </w:tc>
      </w:tr>
      <w:tr w:rsidR="00C1548D" w14:paraId="70A4E465" w14:textId="77777777">
        <w:tblPrEx>
          <w:tblCellMar>
            <w:top w:w="0" w:type="dxa"/>
            <w:bottom w:w="0" w:type="dxa"/>
          </w:tblCellMar>
        </w:tblPrEx>
        <w:trPr>
          <w:cantSplit/>
        </w:trPr>
        <w:tc>
          <w:tcPr>
            <w:tcW w:w="10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62" w14:textId="77777777" w:rsidR="00C1548D" w:rsidRDefault="009B1B4B">
            <w:pPr>
              <w:spacing w:line="250" w:lineRule="auto"/>
            </w:pPr>
            <w:r>
              <w:rPr>
                <w:sz w:val="18"/>
                <w:szCs w:val="18"/>
              </w:rPr>
              <w:t>Timeleft</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63" w14:textId="77777777" w:rsidR="00C1548D" w:rsidRDefault="009B1B4B">
            <w:pPr>
              <w:spacing w:line="250" w:lineRule="auto"/>
            </w:pPr>
            <w:r>
              <w:rPr>
                <w:sz w:val="18"/>
                <w:szCs w:val="18"/>
              </w:rPr>
              <w:t>Abendessen mit fünf Fremden, mittwochs</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64" w14:textId="77777777" w:rsidR="00C1548D" w:rsidRDefault="009B1B4B">
            <w:pPr>
              <w:spacing w:line="250" w:lineRule="auto"/>
            </w:pPr>
            <w:r>
              <w:rPr>
                <w:sz w:val="18"/>
                <w:szCs w:val="18"/>
              </w:rPr>
              <w:t>Restaurant und Gruppe werden zugeteilt, das Essen zahlst du selbst; in vielen Großstädten</w:t>
            </w:r>
          </w:p>
        </w:tc>
      </w:tr>
      <w:tr w:rsidR="00C1548D" w14:paraId="70A4E469" w14:textId="77777777">
        <w:tblPrEx>
          <w:tblCellMar>
            <w:top w:w="0" w:type="dxa"/>
            <w:bottom w:w="0" w:type="dxa"/>
          </w:tblCellMar>
        </w:tblPrEx>
        <w:trPr>
          <w:cantSplit/>
        </w:trPr>
        <w:tc>
          <w:tcPr>
            <w:tcW w:w="10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66" w14:textId="77777777" w:rsidR="00C1548D" w:rsidRDefault="009B1B4B">
            <w:pPr>
              <w:spacing w:line="250" w:lineRule="auto"/>
            </w:pPr>
            <w:r>
              <w:rPr>
                <w:sz w:val="18"/>
                <w:szCs w:val="18"/>
              </w:rPr>
              <w:lastRenderedPageBreak/>
              <w:t>Eventbrite und Stadtkalender</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67" w14:textId="77777777" w:rsidR="00C1548D" w:rsidRDefault="009B1B4B">
            <w:pPr>
              <w:spacing w:line="250" w:lineRule="auto"/>
            </w:pPr>
            <w:r>
              <w:rPr>
                <w:sz w:val="18"/>
                <w:szCs w:val="18"/>
              </w:rPr>
              <w:t>Einmalige Kurse, Feste, Märkte</w:t>
            </w:r>
          </w:p>
        </w:tc>
        <w:tc>
          <w:tcPr>
            <w:tcW w:w="2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68" w14:textId="77777777" w:rsidR="00C1548D" w:rsidRDefault="009B1B4B">
            <w:pPr>
              <w:spacing w:line="250" w:lineRule="auto"/>
            </w:pPr>
            <w:r>
              <w:rPr>
                <w:sz w:val="18"/>
                <w:szCs w:val="18"/>
              </w:rPr>
              <w:t>Gut zum Hineinschnuppern</w:t>
            </w:r>
          </w:p>
        </w:tc>
      </w:tr>
    </w:tbl>
    <w:p w14:paraId="70A4E46A" w14:textId="77777777" w:rsidR="00C1548D" w:rsidRDefault="00C1548D">
      <w:pPr>
        <w:spacing w:line="180" w:lineRule="exact"/>
      </w:pPr>
    </w:p>
    <w:p w14:paraId="70A4E46B" w14:textId="77777777" w:rsidR="00C1548D" w:rsidRDefault="009B1B4B">
      <w:pPr>
        <w:spacing w:after="140"/>
      </w:pPr>
      <w:r>
        <w:t>Der Trick bei allen: erst online, dann persönlich, dann wiederholen. Wer im ersten Monat zehn verschiedene Meetup-Termine besucht und keinen wiederholt, sammelt Bekanntschaften, keine Freunde. Besuche eine Gruppe dreimal, bevor du urteilst.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46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46C" w14:textId="77777777" w:rsidR="00C1548D" w:rsidRDefault="009B1B4B">
            <w:pPr>
              <w:keepNext/>
              <w:spacing w:after="70" w:line="240" w:lineRule="auto"/>
            </w:pPr>
            <w:r>
              <w:rPr>
                <w:b/>
                <w:bCs/>
                <w:color w:val="9B2C2C"/>
                <w:spacing w:val="24"/>
                <w:sz w:val="16"/>
                <w:szCs w:val="16"/>
              </w:rPr>
              <w:t>ACHTUNG</w:t>
            </w:r>
          </w:p>
          <w:p w14:paraId="70A4E46D" w14:textId="435517E3" w:rsidR="00C1548D" w:rsidRDefault="009B1B4B">
            <w:pPr>
              <w:spacing w:after="80" w:line="264" w:lineRule="auto"/>
            </w:pPr>
            <w:r>
              <w:rPr>
                <w:sz w:val="20"/>
                <w:szCs w:val="20"/>
              </w:rPr>
              <w:t>Bei Online-Kontakten gelten Grundregeln: erste Treffen an öffentlichen Orten, jemandem sagen, wohin du gehst, keine Sozialversicherungsnummer, Bankdaten oder Vorschüsse an neue Bekannte. Auf Betrugsmaschen achten (Kapitel </w:t>
            </w:r>
            <w:hyperlink w:anchor="k40" w:history="1">
              <w:r>
                <w:rPr>
                  <w:sz w:val="20"/>
                  <w:szCs w:val="20"/>
                </w:rPr>
                <w:t>40</w:t>
              </w:r>
            </w:hyperlink>
            <w:r>
              <w:rPr>
                <w:sz w:val="20"/>
                <w:szCs w:val="20"/>
              </w:rPr>
              <w:t>).</w:t>
            </w:r>
          </w:p>
        </w:tc>
      </w:tr>
    </w:tbl>
    <w:p w14:paraId="70A4E46F" w14:textId="77777777" w:rsidR="00C1548D" w:rsidRDefault="00C1548D">
      <w:pPr>
        <w:spacing w:line="220" w:lineRule="exact"/>
      </w:pPr>
    </w:p>
    <w:p w14:paraId="70A4E470" w14:textId="77777777" w:rsidR="00C1548D" w:rsidRDefault="009B1B4B">
      <w:pPr>
        <w:pStyle w:val="Heading3"/>
        <w:keepNext/>
        <w:jc w:val="center"/>
      </w:pPr>
      <w:r>
        <w:rPr>
          <w:rFonts w:ascii="Amazon Ember" w:eastAsia="Amazon Ember" w:hAnsi="Amazon Ember" w:cs="Amazon Ember"/>
          <w:color w:val="0000FF"/>
          <w:sz w:val="36"/>
          <w:szCs w:val="36"/>
        </w:rPr>
        <w:t>Deutsche und internationale Gemeinschaften</w:t>
      </w:r>
    </w:p>
    <w:p w14:paraId="70A4E471" w14:textId="77777777" w:rsidR="00C1548D" w:rsidRDefault="009B1B4B">
      <w:pPr>
        <w:spacing w:after="140"/>
      </w:pPr>
      <w:r>
        <w:t>Landsleute sind eine gute Startrampe: gleiche Sprache, gleicher Humor und Erfahrung mit denselben Fragen zu Schulen, Ärzten, Steuern und Visa. Du findest sie hier:</w:t>
      </w:r>
    </w:p>
    <w:p w14:paraId="70A4E472" w14:textId="77777777" w:rsidR="00C1548D" w:rsidRDefault="009B1B4B" w:rsidP="009B1B4B">
      <w:pPr>
        <w:pStyle w:val="ListParagraph"/>
        <w:numPr>
          <w:ilvl w:val="0"/>
          <w:numId w:val="1"/>
        </w:numPr>
        <w:spacing w:after="60"/>
      </w:pPr>
      <w:r>
        <w:t>Stammtische und Gruppen bei Meetup und Facebook (Suche: „Germans in“ plus Stadtname).</w:t>
      </w:r>
    </w:p>
    <w:p w14:paraId="70A4E473" w14:textId="77777777" w:rsidR="00C1548D" w:rsidRDefault="009B1B4B" w:rsidP="009B1B4B">
      <w:pPr>
        <w:pStyle w:val="ListParagraph"/>
        <w:numPr>
          <w:ilvl w:val="0"/>
          <w:numId w:val="1"/>
        </w:numPr>
        <w:spacing w:after="60"/>
      </w:pPr>
      <w:r>
        <w:t>Deutschsprachige evangelische Auslandsgemeinden; die Evangelische Kirche in Deutschland (EKD) führt sie für Amerika auf.</w:t>
      </w:r>
    </w:p>
    <w:p w14:paraId="70A4E474" w14:textId="77777777" w:rsidR="00C1548D" w:rsidRDefault="009B1B4B" w:rsidP="009B1B4B">
      <w:pPr>
        <w:pStyle w:val="ListParagraph"/>
        <w:numPr>
          <w:ilvl w:val="0"/>
          <w:numId w:val="1"/>
        </w:numPr>
        <w:spacing w:after="60"/>
      </w:pPr>
      <w:r>
        <w:t>Das Goethe-Institut mit Standorten unter anderem in Boston, Chicago, Los Angeles, New York, San Francisco und Washington: Sprachkurse, Filmabende, Kulturprogramm.</w:t>
      </w:r>
    </w:p>
    <w:p w14:paraId="70A4E475" w14:textId="77777777" w:rsidR="00C1548D" w:rsidRDefault="009B1B4B" w:rsidP="009B1B4B">
      <w:pPr>
        <w:pStyle w:val="ListParagraph"/>
        <w:numPr>
          <w:ilvl w:val="0"/>
          <w:numId w:val="1"/>
        </w:numPr>
        <w:spacing w:after="60"/>
      </w:pPr>
      <w:r>
        <w:t xml:space="preserve">Die </w:t>
      </w:r>
      <w:r>
        <w:rPr>
          <w:i/>
          <w:iCs/>
        </w:rPr>
        <w:t>German American Chambers of Commerce</w:t>
      </w:r>
      <w:r>
        <w:t xml:space="preserve"> (Deutsch-Amerikanische Handelskammern, AHK USA) mit regionalen </w:t>
      </w:r>
      <w:r>
        <w:lastRenderedPageBreak/>
        <w:t>Büros und Netzwerkabenden, vor allem für Berufstätige mit Deutschlandbezug.</w:t>
      </w:r>
    </w:p>
    <w:p w14:paraId="70A4E476" w14:textId="77777777" w:rsidR="00C1548D" w:rsidRDefault="009B1B4B" w:rsidP="009B1B4B">
      <w:pPr>
        <w:pStyle w:val="ListParagraph"/>
        <w:numPr>
          <w:ilvl w:val="0"/>
          <w:numId w:val="1"/>
        </w:numPr>
        <w:spacing w:after="60"/>
      </w:pPr>
      <w:r>
        <w:t>Deutsch-amerikanische Vereine, Oktoberfeste und Weihnachtsmärkte, auf denen du Menschen mit deutscher Herkunft triffst, die Deutschland mögen.</w:t>
      </w:r>
    </w:p>
    <w:p w14:paraId="70A4E477" w14:textId="47E8E200" w:rsidR="00C1548D" w:rsidRDefault="009B1B4B" w:rsidP="009B1B4B">
      <w:pPr>
        <w:pStyle w:val="ListParagraph"/>
        <w:numPr>
          <w:ilvl w:val="0"/>
          <w:numId w:val="1"/>
        </w:numPr>
        <w:spacing w:after="60"/>
      </w:pPr>
      <w:r>
        <w:t>Samstagsschulen für deutsche Sprache und Kultur, die zugleich Elternnetzwerke sind (Kapitel </w:t>
      </w:r>
      <w:hyperlink w:anchor="k37" w:history="1">
        <w:r>
          <w:t>37</w:t>
        </w:r>
      </w:hyperlink>
      <w:r>
        <w:t>).</w:t>
      </w:r>
    </w:p>
    <w:p w14:paraId="70A4E478" w14:textId="77777777" w:rsidR="00C1548D" w:rsidRDefault="009B1B4B" w:rsidP="009B1B4B">
      <w:pPr>
        <w:pStyle w:val="ListParagraph"/>
        <w:numPr>
          <w:ilvl w:val="0"/>
          <w:numId w:val="1"/>
        </w:numPr>
        <w:spacing w:after="60"/>
      </w:pPr>
      <w:r>
        <w:rPr>
          <w:i/>
          <w:iCs/>
        </w:rPr>
        <w:t>InterNations</w:t>
      </w:r>
      <w:r>
        <w:t>, ein Netzwerk für Zugewanderte aller Nationen mit lokalen Stammtischen (Umfang und Kosten der Mitgliedschaft prüfst du selbst).</w:t>
      </w:r>
    </w:p>
    <w:p w14:paraId="70A4E479" w14:textId="77777777" w:rsidR="00C1548D" w:rsidRDefault="00C1548D">
      <w:pPr>
        <w:spacing w:line="120" w:lineRule="exact"/>
      </w:pPr>
    </w:p>
    <w:p w14:paraId="70A4E47A" w14:textId="77777777" w:rsidR="00C1548D" w:rsidRDefault="009B1B4B">
      <w:pPr>
        <w:spacing w:after="140"/>
      </w:pPr>
      <w:r>
        <w:t>Die Kehrseite ist die deutsche Blase: gemütlich wie der Tatort am Sonntagabend, aber wer nur Deutsche kennt, übt kein Alltagsenglisch und lernt das Land kaum kennen. Außerdem ziehen auch Deutsche mit befristetem Visum oft nach wenigen Jahren weiter. Nimm dir vor, dass mindestens die Hälfte deiner festen Termine unter Englischsprachigen stattfindet.</w:t>
      </w:r>
    </w:p>
    <w:p w14:paraId="70A4E47B" w14:textId="77777777" w:rsidR="00C1548D" w:rsidRDefault="009B1B4B">
      <w:pPr>
        <w:pStyle w:val="Heading3"/>
        <w:keepNext/>
        <w:jc w:val="center"/>
      </w:pPr>
      <w:r>
        <w:rPr>
          <w:rFonts w:ascii="Amazon Ember" w:eastAsia="Amazon Ember" w:hAnsi="Amazon Ember" w:cs="Amazon Ember"/>
          <w:color w:val="0000FF"/>
          <w:sz w:val="36"/>
          <w:szCs w:val="36"/>
        </w:rPr>
        <w:t>Einladungskultur: Potluck, Grillen, „Bring nichts“</w:t>
      </w:r>
    </w:p>
    <w:p w14:paraId="70A4E47C" w14:textId="77777777" w:rsidR="00C1548D" w:rsidRDefault="009B1B4B">
      <w:pPr>
        <w:spacing w:after="140"/>
      </w:pPr>
      <w:r>
        <w:t>Zu Hause eingeladen zu werden, ist ein gutes Zeichen, und die Anlässe sind oft zwanglos: Grillabend, Spieleabend, Sonntagsbrunch. Die Tabelle zeigt, was du mitbringst und worauf du achtest.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5"/>
        <w:gridCol w:w="2266"/>
        <w:gridCol w:w="2659"/>
      </w:tblGrid>
      <w:tr w:rsidR="00C1548D" w14:paraId="70A4E480" w14:textId="77777777">
        <w:tblPrEx>
          <w:tblCellMar>
            <w:top w:w="0" w:type="dxa"/>
            <w:bottom w:w="0" w:type="dxa"/>
          </w:tblCellMar>
        </w:tblPrEx>
        <w:trPr>
          <w:cantSplit/>
          <w:tblHeader/>
        </w:trPr>
        <w:tc>
          <w:tcPr>
            <w:tcW w:w="155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47D" w14:textId="77777777" w:rsidR="00C1548D" w:rsidRDefault="009B1B4B">
            <w:pPr>
              <w:spacing w:line="250" w:lineRule="auto"/>
            </w:pPr>
            <w:r>
              <w:rPr>
                <w:b/>
                <w:bCs/>
                <w:sz w:val="18"/>
                <w:szCs w:val="18"/>
              </w:rPr>
              <w:t>Anlass</w:t>
            </w:r>
          </w:p>
        </w:tc>
        <w:tc>
          <w:tcPr>
            <w:tcW w:w="226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47E" w14:textId="77777777" w:rsidR="00C1548D" w:rsidRDefault="009B1B4B">
            <w:pPr>
              <w:spacing w:line="250" w:lineRule="auto"/>
            </w:pPr>
            <w:r>
              <w:rPr>
                <w:b/>
                <w:bCs/>
                <w:sz w:val="18"/>
                <w:szCs w:val="18"/>
              </w:rPr>
              <w:t>Was du mitbringst</w:t>
            </w:r>
          </w:p>
        </w:tc>
        <w:tc>
          <w:tcPr>
            <w:tcW w:w="265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47F" w14:textId="77777777" w:rsidR="00C1548D" w:rsidRDefault="009B1B4B">
            <w:pPr>
              <w:spacing w:line="250" w:lineRule="auto"/>
            </w:pPr>
            <w:r>
              <w:rPr>
                <w:b/>
                <w:bCs/>
                <w:sz w:val="18"/>
                <w:szCs w:val="18"/>
              </w:rPr>
              <w:t>Gut zu wissen</w:t>
            </w:r>
          </w:p>
        </w:tc>
      </w:tr>
      <w:tr w:rsidR="00C1548D" w14:paraId="70A4E484" w14:textId="77777777">
        <w:tblPrEx>
          <w:tblCellMar>
            <w:top w:w="0" w:type="dxa"/>
            <w:bottom w:w="0" w:type="dxa"/>
          </w:tblCellMar>
        </w:tblPrEx>
        <w:trPr>
          <w:cantSplit/>
        </w:trPr>
        <w:tc>
          <w:tcPr>
            <w:tcW w:w="15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1" w14:textId="77777777" w:rsidR="00C1548D" w:rsidRDefault="009B1B4B">
            <w:pPr>
              <w:spacing w:line="250" w:lineRule="auto"/>
            </w:pPr>
            <w:r>
              <w:rPr>
                <w:i/>
                <w:iCs/>
                <w:sz w:val="18"/>
                <w:szCs w:val="18"/>
              </w:rPr>
              <w:t>Potluck</w:t>
            </w:r>
            <w:r>
              <w:rPr>
                <w:sz w:val="18"/>
                <w:szCs w:val="18"/>
              </w:rPr>
              <w:t xml:space="preserve"> (jeder bringt ein Gericht mit)</w:t>
            </w:r>
          </w:p>
        </w:tc>
        <w:tc>
          <w:tcPr>
            <w:tcW w:w="22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2" w14:textId="77777777" w:rsidR="00C1548D" w:rsidRDefault="009B1B4B">
            <w:pPr>
              <w:spacing w:line="250" w:lineRule="auto"/>
            </w:pPr>
            <w:r>
              <w:rPr>
                <w:sz w:val="18"/>
                <w:szCs w:val="18"/>
              </w:rPr>
              <w:t>Ein teilbares Gericht, nach Absprache oder Liste</w:t>
            </w:r>
          </w:p>
        </w:tc>
        <w:tc>
          <w:tcPr>
            <w:tcW w:w="2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3" w14:textId="77777777" w:rsidR="00C1548D" w:rsidRDefault="009B1B4B">
            <w:pPr>
              <w:spacing w:line="250" w:lineRule="auto"/>
            </w:pPr>
            <w:r>
              <w:rPr>
                <w:sz w:val="18"/>
                <w:szCs w:val="18"/>
              </w:rPr>
              <w:t>Servierbesteck mitbringen; Nachfrage nach dem Rezept ist ein Kompliment</w:t>
            </w:r>
          </w:p>
        </w:tc>
      </w:tr>
      <w:tr w:rsidR="00C1548D" w14:paraId="70A4E488" w14:textId="77777777">
        <w:tblPrEx>
          <w:tblCellMar>
            <w:top w:w="0" w:type="dxa"/>
            <w:bottom w:w="0" w:type="dxa"/>
          </w:tblCellMar>
        </w:tblPrEx>
        <w:trPr>
          <w:cantSplit/>
        </w:trPr>
        <w:tc>
          <w:tcPr>
            <w:tcW w:w="15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5" w14:textId="77777777" w:rsidR="00C1548D" w:rsidRDefault="009B1B4B">
            <w:pPr>
              <w:spacing w:line="250" w:lineRule="auto"/>
            </w:pPr>
            <w:r>
              <w:rPr>
                <w:i/>
                <w:iCs/>
                <w:sz w:val="18"/>
                <w:szCs w:val="18"/>
              </w:rPr>
              <w:t>Cookout</w:t>
            </w:r>
            <w:r>
              <w:rPr>
                <w:sz w:val="18"/>
                <w:szCs w:val="18"/>
              </w:rPr>
              <w:t xml:space="preserve"> (Grillfest)</w:t>
            </w:r>
          </w:p>
        </w:tc>
        <w:tc>
          <w:tcPr>
            <w:tcW w:w="22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6" w14:textId="77777777" w:rsidR="00C1548D" w:rsidRDefault="009B1B4B">
            <w:pPr>
              <w:spacing w:line="250" w:lineRule="auto"/>
            </w:pPr>
            <w:r>
              <w:rPr>
                <w:sz w:val="18"/>
                <w:szCs w:val="18"/>
              </w:rPr>
              <w:t>Getränke oder eine Beilage; Fleisch nur nach Absprache</w:t>
            </w:r>
          </w:p>
        </w:tc>
        <w:tc>
          <w:tcPr>
            <w:tcW w:w="2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7" w14:textId="77777777" w:rsidR="00C1548D" w:rsidRDefault="009B1B4B">
            <w:pPr>
              <w:spacing w:line="250" w:lineRule="auto"/>
            </w:pPr>
            <w:r>
              <w:rPr>
                <w:sz w:val="18"/>
                <w:szCs w:val="18"/>
              </w:rPr>
              <w:t>Beginn ist ein Zeitfenster; Kinder meist willkommen</w:t>
            </w:r>
          </w:p>
        </w:tc>
      </w:tr>
      <w:tr w:rsidR="00C1548D" w14:paraId="70A4E48C" w14:textId="77777777">
        <w:tblPrEx>
          <w:tblCellMar>
            <w:top w:w="0" w:type="dxa"/>
            <w:bottom w:w="0" w:type="dxa"/>
          </w:tblCellMar>
        </w:tblPrEx>
        <w:trPr>
          <w:cantSplit/>
        </w:trPr>
        <w:tc>
          <w:tcPr>
            <w:tcW w:w="15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9" w14:textId="77777777" w:rsidR="00C1548D" w:rsidRDefault="009B1B4B">
            <w:pPr>
              <w:spacing w:line="250" w:lineRule="auto"/>
            </w:pPr>
            <w:r>
              <w:rPr>
                <w:sz w:val="18"/>
                <w:szCs w:val="18"/>
              </w:rPr>
              <w:t>Dinner bei Gastgebern</w:t>
            </w:r>
          </w:p>
        </w:tc>
        <w:tc>
          <w:tcPr>
            <w:tcW w:w="22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A" w14:textId="77777777" w:rsidR="00C1548D" w:rsidRDefault="009B1B4B">
            <w:pPr>
              <w:spacing w:line="250" w:lineRule="auto"/>
            </w:pPr>
            <w:r>
              <w:rPr>
                <w:sz w:val="18"/>
                <w:szCs w:val="18"/>
              </w:rPr>
              <w:t>Wein, Dessert oder Blumen</w:t>
            </w:r>
          </w:p>
        </w:tc>
        <w:tc>
          <w:tcPr>
            <w:tcW w:w="2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B" w14:textId="77777777" w:rsidR="00C1548D" w:rsidRDefault="009B1B4B">
            <w:pPr>
              <w:spacing w:line="250" w:lineRule="auto"/>
            </w:pPr>
            <w:r>
              <w:rPr>
                <w:sz w:val="18"/>
                <w:szCs w:val="18"/>
              </w:rPr>
              <w:t>Dauert meist zwei bis drei Stunden; pünktlich bis etwa 15 Minuten später</w:t>
            </w:r>
          </w:p>
        </w:tc>
      </w:tr>
      <w:tr w:rsidR="00C1548D" w14:paraId="70A4E490" w14:textId="77777777">
        <w:tblPrEx>
          <w:tblCellMar>
            <w:top w:w="0" w:type="dxa"/>
            <w:bottom w:w="0" w:type="dxa"/>
          </w:tblCellMar>
        </w:tblPrEx>
        <w:trPr>
          <w:cantSplit/>
        </w:trPr>
        <w:tc>
          <w:tcPr>
            <w:tcW w:w="15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D" w14:textId="77777777" w:rsidR="00C1548D" w:rsidRDefault="009B1B4B">
            <w:pPr>
              <w:spacing w:line="250" w:lineRule="auto"/>
            </w:pPr>
            <w:r>
              <w:rPr>
                <w:i/>
                <w:iCs/>
                <w:sz w:val="18"/>
                <w:szCs w:val="18"/>
              </w:rPr>
              <w:lastRenderedPageBreak/>
              <w:t>Game Night</w:t>
            </w:r>
            <w:r>
              <w:rPr>
                <w:sz w:val="18"/>
                <w:szCs w:val="18"/>
              </w:rPr>
              <w:t xml:space="preserve"> (Spieleabend)</w:t>
            </w:r>
          </w:p>
        </w:tc>
        <w:tc>
          <w:tcPr>
            <w:tcW w:w="22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E" w14:textId="77777777" w:rsidR="00C1548D" w:rsidRDefault="009B1B4B">
            <w:pPr>
              <w:spacing w:line="250" w:lineRule="auto"/>
            </w:pPr>
            <w:r>
              <w:rPr>
                <w:sz w:val="18"/>
                <w:szCs w:val="18"/>
              </w:rPr>
              <w:t>Snacks oder ein Getränk</w:t>
            </w:r>
          </w:p>
        </w:tc>
        <w:tc>
          <w:tcPr>
            <w:tcW w:w="2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8F" w14:textId="77777777" w:rsidR="00C1548D" w:rsidRDefault="009B1B4B">
            <w:pPr>
              <w:spacing w:line="250" w:lineRule="auto"/>
            </w:pPr>
            <w:r>
              <w:rPr>
                <w:sz w:val="18"/>
                <w:szCs w:val="18"/>
              </w:rPr>
              <w:t>Zwanglos; ein deutsches Brettspiel ist ein guter Einstieg</w:t>
            </w:r>
          </w:p>
        </w:tc>
      </w:tr>
      <w:tr w:rsidR="00C1548D" w14:paraId="70A4E494" w14:textId="77777777">
        <w:tblPrEx>
          <w:tblCellMar>
            <w:top w:w="0" w:type="dxa"/>
            <w:bottom w:w="0" w:type="dxa"/>
          </w:tblCellMar>
        </w:tblPrEx>
        <w:trPr>
          <w:cantSplit/>
        </w:trPr>
        <w:tc>
          <w:tcPr>
            <w:tcW w:w="15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91" w14:textId="77777777" w:rsidR="00C1548D" w:rsidRDefault="009B1B4B">
            <w:pPr>
              <w:spacing w:line="250" w:lineRule="auto"/>
            </w:pPr>
            <w:r>
              <w:rPr>
                <w:sz w:val="18"/>
                <w:szCs w:val="18"/>
              </w:rPr>
              <w:t>Kindergeburtstag</w:t>
            </w:r>
          </w:p>
        </w:tc>
        <w:tc>
          <w:tcPr>
            <w:tcW w:w="22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92" w14:textId="77777777" w:rsidR="00C1548D" w:rsidRDefault="009B1B4B">
            <w:pPr>
              <w:spacing w:line="250" w:lineRule="auto"/>
            </w:pPr>
            <w:r>
              <w:rPr>
                <w:sz w:val="18"/>
                <w:szCs w:val="18"/>
              </w:rPr>
              <w:t>Geschenk (15–30 $) mit Karte</w:t>
            </w:r>
          </w:p>
        </w:tc>
        <w:tc>
          <w:tcPr>
            <w:tcW w:w="2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93" w14:textId="77777777" w:rsidR="00C1548D" w:rsidRDefault="009B1B4B">
            <w:pPr>
              <w:spacing w:line="250" w:lineRule="auto"/>
            </w:pPr>
            <w:r>
              <w:rPr>
                <w:sz w:val="18"/>
                <w:szCs w:val="18"/>
              </w:rPr>
              <w:t>Zusage nötig, etwa zwei Stunden, Geschwister nur nach Rückfrage</w:t>
            </w:r>
          </w:p>
        </w:tc>
      </w:tr>
      <w:tr w:rsidR="00C1548D" w14:paraId="70A4E498" w14:textId="77777777">
        <w:tblPrEx>
          <w:tblCellMar>
            <w:top w:w="0" w:type="dxa"/>
            <w:bottom w:w="0" w:type="dxa"/>
          </w:tblCellMar>
        </w:tblPrEx>
        <w:trPr>
          <w:cantSplit/>
        </w:trPr>
        <w:tc>
          <w:tcPr>
            <w:tcW w:w="15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95" w14:textId="77777777" w:rsidR="00C1548D" w:rsidRDefault="009B1B4B">
            <w:pPr>
              <w:spacing w:line="250" w:lineRule="auto"/>
            </w:pPr>
            <w:r>
              <w:rPr>
                <w:i/>
                <w:iCs/>
                <w:sz w:val="18"/>
                <w:szCs w:val="18"/>
              </w:rPr>
              <w:t>Housewarming</w:t>
            </w:r>
            <w:r>
              <w:rPr>
                <w:sz w:val="18"/>
                <w:szCs w:val="18"/>
              </w:rPr>
              <w:t xml:space="preserve"> (Einweihungsfeier)</w:t>
            </w:r>
          </w:p>
        </w:tc>
        <w:tc>
          <w:tcPr>
            <w:tcW w:w="22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96" w14:textId="77777777" w:rsidR="00C1548D" w:rsidRDefault="009B1B4B">
            <w:pPr>
              <w:spacing w:line="250" w:lineRule="auto"/>
            </w:pPr>
            <w:r>
              <w:rPr>
                <w:sz w:val="18"/>
                <w:szCs w:val="18"/>
              </w:rPr>
              <w:t>Kleine Gabe: Pflanze, Kerze, Snacks</w:t>
            </w:r>
          </w:p>
        </w:tc>
        <w:tc>
          <w:tcPr>
            <w:tcW w:w="2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97" w14:textId="77777777" w:rsidR="00C1548D" w:rsidRDefault="009B1B4B">
            <w:pPr>
              <w:spacing w:line="250" w:lineRule="auto"/>
            </w:pPr>
            <w:r>
              <w:rPr>
                <w:sz w:val="18"/>
                <w:szCs w:val="18"/>
              </w:rPr>
              <w:t>Ein Rundgang durchs Haus ist üblich</w:t>
            </w:r>
          </w:p>
        </w:tc>
      </w:tr>
    </w:tbl>
    <w:p w14:paraId="70A4E499" w14:textId="77777777" w:rsidR="00C1548D" w:rsidRDefault="00C1548D">
      <w:pPr>
        <w:spacing w:line="180" w:lineRule="exact"/>
      </w:pPr>
    </w:p>
    <w:p w14:paraId="70A4E49A" w14:textId="77777777" w:rsidR="00C1548D" w:rsidRDefault="009B1B4B">
      <w:pPr>
        <w:spacing w:after="140"/>
      </w:pPr>
      <w:r>
        <w:rPr>
          <w:b/>
          <w:bCs/>
        </w:rPr>
        <w:t>„Bring nichts“.</w:t>
      </w:r>
      <w:r>
        <w:t xml:space="preserve">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w14:paraId="70A4E49B" w14:textId="5A70A8E3" w:rsidR="00C1548D" w:rsidRDefault="009B1B4B">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history="1">
        <w:r>
          <w:t>34</w:t>
        </w:r>
      </w:hyperlink>
      <w:r>
        <w:t>).</w:t>
      </w:r>
    </w:p>
    <w:p w14:paraId="70A4E49C" w14:textId="7910132A" w:rsidR="00C1548D" w:rsidRDefault="009B1B4B">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Du bringst dein Getränk selbst) bringst du, was du trinken willst. Ein „No, thanks, I’m good“ braucht keine Begründung. Wer fährt, bleibt nüchtern; die Regeln zu Alkohol stehen in Kapitel </w:t>
      </w:r>
      <w:hyperlink w:anchor="k35" w:history="1">
        <w:r>
          <w:t>35</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49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49D" w14:textId="77777777" w:rsidR="00C1548D" w:rsidRDefault="009B1B4B">
            <w:pPr>
              <w:keepNext/>
              <w:spacing w:after="70" w:line="240" w:lineRule="auto"/>
            </w:pPr>
            <w:r>
              <w:rPr>
                <w:b/>
                <w:bCs/>
                <w:color w:val="9B2C2C"/>
                <w:spacing w:val="24"/>
                <w:sz w:val="16"/>
                <w:szCs w:val="16"/>
              </w:rPr>
              <w:t>ACHTUNG</w:t>
            </w:r>
          </w:p>
          <w:p w14:paraId="70A4E49E" w14:textId="77777777" w:rsidR="00C1548D" w:rsidRDefault="009B1B4B">
            <w:pPr>
              <w:spacing w:after="80" w:line="264" w:lineRule="auto"/>
            </w:pPr>
            <w:r>
              <w:rPr>
                <w:sz w:val="20"/>
                <w:szCs w:val="20"/>
              </w:rPr>
              <w:t>Eine Zusage verpflichtet. Wer ohne Absage fehlt, gilt als unzuverlässig; eine kurzfristige Absage wegen Krankheit oder fehlender Kinderbetreuung wird dagegen verstanden. Umgekehrt sind kurzfristige Absagen anderer (</w:t>
            </w:r>
            <w:r>
              <w:rPr>
                <w:i/>
                <w:iCs/>
                <w:sz w:val="20"/>
                <w:szCs w:val="20"/>
              </w:rPr>
              <w:t>Flaking</w:t>
            </w:r>
            <w:r>
              <w:rPr>
                <w:sz w:val="20"/>
                <w:szCs w:val="20"/>
              </w:rPr>
              <w:t>) selten ein Urteil über dich.</w:t>
            </w:r>
          </w:p>
        </w:tc>
      </w:tr>
    </w:tbl>
    <w:p w14:paraId="70A4E4A0" w14:textId="77777777" w:rsidR="00C1548D" w:rsidRDefault="00C1548D">
      <w:pPr>
        <w:spacing w:line="220" w:lineRule="exact"/>
      </w:pPr>
    </w:p>
    <w:p w14:paraId="70A4E4A1" w14:textId="67198857" w:rsidR="00C1548D" w:rsidRDefault="009B1B4B">
      <w:pPr>
        <w:spacing w:after="140"/>
      </w:pPr>
      <w:r>
        <w:rPr>
          <w:b/>
          <w:bCs/>
        </w:rPr>
        <w:t>Danach.</w:t>
      </w:r>
      <w:r>
        <w:t xml:space="preserve"> Schicke am nächsten Tag ein kurzes „Thank you for having us“ per Text und lade innerhalb weniger Wochen selbst ein. Als Neuling genügt ein einfaches Format: Kaffee und Kuchen am </w:t>
      </w:r>
      <w:r>
        <w:lastRenderedPageBreak/>
        <w:t>Sonntagnachmittag, zwei Stunden, mit einem deutschen Kuchen als Gesprächsstoff. Auch zu Feiertagen wie Thanksgiving (Kapitel </w:t>
      </w:r>
      <w:hyperlink w:anchor="k31" w:history="1">
        <w:r>
          <w:t>31</w:t>
        </w:r>
      </w:hyperlink>
      <w:r>
        <w:t>) laden viele Amerikaner Alleinstehende und Zugezogene ein; die Zusage lohnt.</w:t>
      </w:r>
    </w:p>
    <w:p w14:paraId="70A4E4A2" w14:textId="77777777" w:rsidR="00C1548D" w:rsidRDefault="009B1B4B">
      <w:pPr>
        <w:pStyle w:val="Heading3"/>
        <w:keepNext/>
        <w:jc w:val="center"/>
      </w:pPr>
      <w:r>
        <w:rPr>
          <w:rFonts w:ascii="Amazon Ember" w:eastAsia="Amazon Ember" w:hAnsi="Amazon Ember" w:cs="Amazon Ember"/>
          <w:color w:val="0000FF"/>
          <w:sz w:val="36"/>
          <w:szCs w:val="36"/>
        </w:rPr>
        <w:t>Wenn ein Partner nicht arbeiten darf</w:t>
      </w:r>
    </w:p>
    <w:p w14:paraId="70A4E4A3" w14:textId="109C9B3A" w:rsidR="00C1548D" w:rsidRDefault="009B1B4B">
      <w:pPr>
        <w:spacing w:after="140"/>
      </w:pPr>
      <w: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history="1">
        <w:r>
          <w:t>10</w:t>
        </w:r>
      </w:hyperlink>
      <w:r>
        <w:t>. Was hilft:</w:t>
      </w:r>
    </w:p>
    <w:p w14:paraId="70A4E4A4" w14:textId="77777777" w:rsidR="00C1548D" w:rsidRDefault="009B1B4B" w:rsidP="009B1B4B">
      <w:pPr>
        <w:pStyle w:val="ListParagraph"/>
        <w:numPr>
          <w:ilvl w:val="0"/>
          <w:numId w:val="1"/>
        </w:numPr>
        <w:spacing w:after="60"/>
      </w:pPr>
      <w:r>
        <w:rPr>
          <w:b/>
          <w:bCs/>
        </w:rPr>
        <w:t>Eine feste Wochenstruktur</w:t>
      </w:r>
      <w:r>
        <w:t xml:space="preserve"> mit drei Terminen außerhalb der Wohnung: ein Kurs, ein Sport- oder Lauftermin, ein Ehrenamt oder ein Elterntermin.</w:t>
      </w:r>
    </w:p>
    <w:p w14:paraId="70A4E4A5" w14:textId="6CF015DB" w:rsidR="00C1548D" w:rsidRDefault="009B1B4B" w:rsidP="009B1B4B">
      <w:pPr>
        <w:pStyle w:val="ListParagraph"/>
        <w:numPr>
          <w:ilvl w:val="0"/>
          <w:numId w:val="1"/>
        </w:numPr>
        <w:spacing w:after="60"/>
      </w:pPr>
      <w:r>
        <w:rPr>
          <w:b/>
          <w:bCs/>
        </w:rPr>
        <w:t>Kurse</w:t>
      </w:r>
      <w:r>
        <w:t xml:space="preserve"> bei Bibliothek, Freizeitverwaltung oder Community College (zum Studium mit H-4 siehe Kapitel </w:t>
      </w:r>
      <w:hyperlink w:anchor="k10" w:history="1">
        <w:r>
          <w:t>10</w:t>
        </w:r>
      </w:hyperlink>
      <w:r>
        <w:t>).</w:t>
      </w:r>
    </w:p>
    <w:p w14:paraId="70A4E4A6" w14:textId="77777777" w:rsidR="00C1548D" w:rsidRDefault="009B1B4B" w:rsidP="009B1B4B">
      <w:pPr>
        <w:pStyle w:val="ListParagraph"/>
        <w:numPr>
          <w:ilvl w:val="0"/>
          <w:numId w:val="1"/>
        </w:numPr>
        <w:spacing w:after="60"/>
      </w:pPr>
      <w:r>
        <w:rPr>
          <w:b/>
          <w:bCs/>
        </w:rPr>
        <w:t>Ehrenamt</w:t>
      </w:r>
      <w:r>
        <w:t xml:space="preserve"> nach den Regeln oben.</w:t>
      </w:r>
    </w:p>
    <w:p w14:paraId="70A4E4A7" w14:textId="77777777" w:rsidR="00C1548D" w:rsidRDefault="009B1B4B" w:rsidP="009B1B4B">
      <w:pPr>
        <w:pStyle w:val="ListParagraph"/>
        <w:numPr>
          <w:ilvl w:val="0"/>
          <w:numId w:val="1"/>
        </w:numPr>
        <w:spacing w:after="60"/>
      </w:pPr>
      <w:r>
        <w:rPr>
          <w:b/>
          <w:bCs/>
        </w:rPr>
        <w:t>Eigene Kontakte</w:t>
      </w:r>
      <w:r>
        <w:t xml:space="preserve"> statt nur der Firmenkreis des Partners, der an dessen Job hängt.</w:t>
      </w:r>
    </w:p>
    <w:p w14:paraId="70A4E4A8" w14:textId="77777777" w:rsidR="00C1548D" w:rsidRDefault="009B1B4B" w:rsidP="009B1B4B">
      <w:pPr>
        <w:pStyle w:val="ListParagraph"/>
        <w:numPr>
          <w:ilvl w:val="0"/>
          <w:numId w:val="1"/>
        </w:numPr>
        <w:spacing w:after="60"/>
      </w:pPr>
      <w:r>
        <w:rPr>
          <w:b/>
          <w:bCs/>
        </w:rPr>
        <w:t>Unterstützung durch den Arbeitgeber:</w:t>
      </w:r>
      <w:r>
        <w:t xml:space="preserve"> Manche Firmen vermitteln Kontakte oder Netzwerke für mitreisende Partner; frage bei der Personalabteilung.</w:t>
      </w:r>
    </w:p>
    <w:p w14:paraId="70A4E4A9" w14:textId="77777777" w:rsidR="00C1548D" w:rsidRDefault="00C1548D">
      <w:pPr>
        <w:spacing w:line="120" w:lineRule="exact"/>
      </w:pPr>
    </w:p>
    <w:p w14:paraId="70A4E4AA" w14:textId="3A6379C3" w:rsidR="00C1548D" w:rsidRDefault="009B1B4B">
      <w:pPr>
        <w:spacing w:after="140"/>
      </w:pPr>
      <w:r>
        <w:t>Hält die Isolation über Wochen an oder drückt sie auf die Stimmung, findest du Hilfe in Kapitel </w:t>
      </w:r>
      <w:hyperlink w:anchor="k33" w:history="1">
        <w:r>
          <w:t>33</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4A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4AB" w14:textId="77777777" w:rsidR="00C1548D" w:rsidRDefault="009B1B4B">
            <w:pPr>
              <w:keepNext/>
              <w:spacing w:after="70" w:line="240" w:lineRule="auto"/>
            </w:pPr>
            <w:r>
              <w:rPr>
                <w:b/>
                <w:bCs/>
                <w:color w:val="4A5568"/>
                <w:spacing w:val="24"/>
                <w:sz w:val="16"/>
                <w:szCs w:val="16"/>
              </w:rPr>
              <w:lastRenderedPageBreak/>
              <w:t>PRAXISBEISPIEL · FIKTIV</w:t>
            </w:r>
          </w:p>
          <w:p w14:paraId="70A4E4AC" w14:textId="77777777" w:rsidR="00C1548D" w:rsidRDefault="009B1B4B">
            <w:pPr>
              <w:spacing w:after="80" w:line="264" w:lineRule="auto"/>
            </w:pPr>
            <w:r>
              <w:rPr>
                <w:sz w:val="20"/>
                <w:szCs w:val="20"/>
              </w:rPr>
              <w:t>Anna Brandt (fiktiv) ist als H-4-Partnerin ohne Arbeitserlaubnis im Großraum Detroit. Nach acht Wochen haben Lena und Jonas Freunde im Schulbus und in der Straße, Markus hat Kollegen, Anna spricht tagsüber mit niemandem. Sie legt drei feste Termine fest: dienstags Lebensmittelausgabe bei einer Kirchengemeinde (unbezahltes Ehrenamt), donnerstags ein Fotokurs am Community College, samstags die Laufgruppe eines Sportgeschäfts. Beim Herbstfest der PTO übernimmt sie den Kuchenstand. Nach vier Monaten kennt sie r</w:t>
            </w:r>
            <w:r>
              <w:rPr>
                <w:sz w:val="20"/>
                <w:szCs w:val="20"/>
              </w:rPr>
              <w:t>und ein Dutzend Eltern beim Namen, trifft zwei davon regelmäßig und lädt die Familien zu Kaffee und Kuchen ein. Am schwersten fiel ihr die erste Nachricht mit einem festen Datum – dreimal tippt sie den Satz um, bevor sie ihn abschickt.</w:t>
            </w:r>
          </w:p>
        </w:tc>
      </w:tr>
    </w:tbl>
    <w:p w14:paraId="70A4E4AE" w14:textId="77777777" w:rsidR="00C1548D" w:rsidRDefault="00C1548D">
      <w:pPr>
        <w:spacing w:line="220" w:lineRule="exact"/>
      </w:pPr>
    </w:p>
    <w:p w14:paraId="70A4E4AF" w14:textId="77777777" w:rsidR="00C1548D" w:rsidRDefault="009B1B4B">
      <w:pPr>
        <w:pStyle w:val="Heading3"/>
        <w:keepNext/>
        <w:jc w:val="center"/>
      </w:pPr>
      <w:r>
        <w:rPr>
          <w:rFonts w:ascii="Amazon Ember" w:eastAsia="Amazon Ember" w:hAnsi="Amazon Ember" w:cs="Amazon Ember"/>
          <w:color w:val="0000FF"/>
          <w:sz w:val="36"/>
          <w:szCs w:val="36"/>
        </w:rPr>
        <w:t>Freundschaften nach Hause pflegen</w:t>
      </w:r>
    </w:p>
    <w:p w14:paraId="70A4E4B0" w14:textId="4479B330" w:rsidR="00C1548D" w:rsidRDefault="009B1B4B">
      <w:pPr>
        <w:spacing w:after="140"/>
      </w:pPr>
      <w:r>
        <w:t>Über Ozean und Zeitzonen hinweg schrumpfen Freundschaften ohne Pflege. Berlin liegt sechs Stunden vor der Ostküste und neun vor Seattle (Standardzeit; Zeitverschiebung und Familienkontakt vertieft Kapitel </w:t>
      </w:r>
      <w:hyperlink w:anchor="k33" w:history="1">
        <w:r>
          <w:t>33</w:t>
        </w:r>
      </w:hyperlink>
      <w:r>
        <w:t>). Was hilft:</w:t>
      </w:r>
    </w:p>
    <w:p w14:paraId="70A4E4B1" w14:textId="77777777" w:rsidR="00C1548D" w:rsidRDefault="009B1B4B" w:rsidP="009B1B4B">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w14:paraId="70A4E4B2" w14:textId="77777777" w:rsidR="00C1548D" w:rsidRDefault="009B1B4B" w:rsidP="009B1B4B">
      <w:pPr>
        <w:pStyle w:val="ListParagraph"/>
        <w:numPr>
          <w:ilvl w:val="0"/>
          <w:numId w:val="1"/>
        </w:numPr>
        <w:spacing w:after="60"/>
      </w:pPr>
      <w:r>
        <w:rPr>
          <w:b/>
          <w:bCs/>
        </w:rPr>
        <w:t>Sprachnachrichten,</w:t>
      </w:r>
      <w:r>
        <w:t xml:space="preserve"> die zur Zeitverschiebung passen: zwei Minuten beim Kochen, beantwortet, wenn der andere aufwacht.</w:t>
      </w:r>
    </w:p>
    <w:p w14:paraId="70A4E4B3" w14:textId="77777777" w:rsidR="00C1548D" w:rsidRDefault="009B1B4B" w:rsidP="009B1B4B">
      <w:pPr>
        <w:pStyle w:val="ListParagraph"/>
        <w:numPr>
          <w:ilvl w:val="0"/>
          <w:numId w:val="1"/>
        </w:numPr>
        <w:spacing w:after="60"/>
      </w:pPr>
      <w:r>
        <w:rPr>
          <w:b/>
          <w:bCs/>
        </w:rPr>
        <w:t>Gruppenchats</w:t>
      </w:r>
      <w:r>
        <w:t xml:space="preserve"> für Fotos und Alltagskleinigkeiten, damit Kontakt nicht nur aus Großereignissen besteht.</w:t>
      </w:r>
    </w:p>
    <w:p w14:paraId="70A4E4B4" w14:textId="1684CAA5" w:rsidR="00C1548D" w:rsidRDefault="009B1B4B" w:rsidP="009B1B4B">
      <w:pPr>
        <w:pStyle w:val="ListParagraph"/>
        <w:numPr>
          <w:ilvl w:val="0"/>
          <w:numId w:val="1"/>
        </w:numPr>
        <w:spacing w:after="60"/>
      </w:pPr>
      <w:r>
        <w:rPr>
          <w:b/>
          <w:bCs/>
        </w:rPr>
        <w:t>Besuche mit Plan:</w:t>
      </w:r>
      <w:r>
        <w:t xml:space="preserve"> Freunde reisen für kurze Besuche meist mit ESTA ein (Kapitel </w:t>
      </w:r>
      <w:hyperlink w:anchor="k9" w:history="1">
        <w:r>
          <w:t>9</w:t>
        </w:r>
      </w:hyperlink>
      <w:r>
        <w:t>). Bei Heimatbesuchen sind zwei feste Abende mit der ganzen Runde besser als 15 Einzeltreffen.</w:t>
      </w:r>
    </w:p>
    <w:p w14:paraId="70A4E4B5" w14:textId="77777777" w:rsidR="00C1548D" w:rsidRDefault="009B1B4B" w:rsidP="009B1B4B">
      <w:pPr>
        <w:pStyle w:val="ListParagraph"/>
        <w:numPr>
          <w:ilvl w:val="0"/>
          <w:numId w:val="1"/>
        </w:numPr>
        <w:spacing w:after="60"/>
      </w:pPr>
      <w:r>
        <w:rPr>
          <w:b/>
          <w:bCs/>
        </w:rPr>
        <w:t>Interesse zeigen:</w:t>
      </w:r>
      <w:r>
        <w:t xml:space="preserve"> Erzähle nicht nur vom neuen Leben, frage nach dem Alltag zu Hause und lass Vergleiche wie „Hier ist alles besser“ weg.</w:t>
      </w:r>
    </w:p>
    <w:p w14:paraId="70A4E4B6" w14:textId="77777777" w:rsidR="00C1548D" w:rsidRDefault="00C1548D">
      <w:pPr>
        <w:spacing w:line="120" w:lineRule="exact"/>
      </w:pPr>
    </w:p>
    <w:p w14:paraId="70A4E4B7" w14:textId="77777777" w:rsidR="00C1548D" w:rsidRDefault="009B1B4B">
      <w:pPr>
        <w:spacing w:after="140"/>
      </w:pPr>
      <w:r>
        <w:t>Rechne damit, dass einige Freundschaften leiser werden. Das ist normal und kein Verrat: Die engen bleiben, die übrigen leben bei Besuchen wieder auf.</w:t>
      </w:r>
    </w:p>
    <w:p w14:paraId="70A4E4B8" w14:textId="77777777" w:rsidR="00C1548D" w:rsidRDefault="009B1B4B">
      <w:pPr>
        <w:pStyle w:val="Heading3"/>
        <w:keepNext/>
        <w:jc w:val="center"/>
      </w:pPr>
      <w:r>
        <w:rPr>
          <w:rFonts w:ascii="Amazon Ember" w:eastAsia="Amazon Ember" w:hAnsi="Amazon Ember" w:cs="Amazon Ember"/>
          <w:color w:val="0000FF"/>
          <w:sz w:val="36"/>
          <w:szCs w:val="36"/>
        </w:rPr>
        <w:t>Fallen und Erwartungen</w:t>
      </w:r>
    </w:p>
    <w:p w14:paraId="70A4E4B9" w14:textId="77777777" w:rsidR="00C1548D" w:rsidRDefault="009B1B4B" w:rsidP="009B1B4B">
      <w:pPr>
        <w:pStyle w:val="ListParagraph"/>
        <w:numPr>
          <w:ilvl w:val="0"/>
          <w:numId w:val="1"/>
        </w:numPr>
        <w:spacing w:after="60"/>
      </w:pPr>
      <w:r>
        <w:rPr>
          <w:b/>
          <w:bCs/>
        </w:rPr>
        <w:t>Der Alles-in-einem-Freund.</w:t>
      </w:r>
      <w:r>
        <w:t xml:space="preserve"> Amerikanische Freundschaften hängen oft an einer Aktivität: Laufpartner, Eltern-Freundin, Kollege. Wer alle Lebensbereiche in einer Person sucht, sucht lange. Das Wort </w:t>
      </w:r>
      <w:r>
        <w:rPr>
          <w:i/>
          <w:iCs/>
        </w:rPr>
        <w:t>friend</w:t>
      </w:r>
      <w:r>
        <w:t xml:space="preserve"> ist zudem weiter gefasst als „Freund“; für enge Bindungen gibt es „close friend“ und „best friend“.</w:t>
      </w:r>
    </w:p>
    <w:p w14:paraId="70A4E4BA" w14:textId="77447FA1" w:rsidR="00C1548D" w:rsidRDefault="009B1B4B" w:rsidP="009B1B4B">
      <w:pPr>
        <w:pStyle w:val="ListParagraph"/>
        <w:numPr>
          <w:ilvl w:val="0"/>
          <w:numId w:val="1"/>
        </w:numPr>
        <w:spacing w:after="60"/>
      </w:pPr>
      <w:r>
        <w:rPr>
          <w:b/>
          <w:bCs/>
        </w:rPr>
        <w:t>Schnelle Tiefe.</w:t>
      </w:r>
      <w:r>
        <w:t xml:space="preserve"> Gehalt, Politik und Religion sind beim Kennenlernen heikel (Kapitel </w:t>
      </w:r>
      <w:hyperlink w:anchor="k31" w:history="1">
        <w:r>
          <w:t>31</w:t>
        </w:r>
      </w:hyperlink>
      <w:r>
        <w:t>). Tiefe kommt nach Wiederholung, nicht vorher.</w:t>
      </w:r>
    </w:p>
    <w:p w14:paraId="70A4E4BB" w14:textId="7119F89D" w:rsidR="00C1548D" w:rsidRDefault="009B1B4B" w:rsidP="009B1B4B">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history="1">
        <w:r>
          <w:t>30</w:t>
        </w:r>
      </w:hyperlink>
      <w:r>
        <w:t>). Baue mindestens zwei Kreise auf, etwa Job und Sport oder Kinder und Gemeinde.</w:t>
      </w:r>
    </w:p>
    <w:p w14:paraId="70A4E4BC" w14:textId="77777777" w:rsidR="00C1548D" w:rsidRDefault="009B1B4B" w:rsidP="009B1B4B">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w14:paraId="70A4E4BD" w14:textId="659010F1" w:rsidR="00C1548D" w:rsidRDefault="009B1B4B" w:rsidP="009B1B4B">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history="1">
        <w:r>
          <w:t>33</w:t>
        </w:r>
      </w:hyperlink>
      <w:r>
        <w:t>).</w:t>
      </w:r>
    </w:p>
    <w:p w14:paraId="70A4E4B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4C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4BF" w14:textId="77777777" w:rsidR="00C1548D" w:rsidRDefault="009B1B4B">
            <w:pPr>
              <w:keepNext/>
              <w:spacing w:after="70" w:line="240" w:lineRule="auto"/>
            </w:pPr>
            <w:r>
              <w:rPr>
                <w:b/>
                <w:bCs/>
                <w:color w:val="9B2C2C"/>
                <w:spacing w:val="24"/>
                <w:sz w:val="16"/>
                <w:szCs w:val="16"/>
              </w:rPr>
              <w:t>ACHTUNG</w:t>
            </w:r>
          </w:p>
          <w:p w14:paraId="70A4E4C0" w14:textId="77777777" w:rsidR="00C1548D" w:rsidRDefault="009B1B4B">
            <w:pPr>
              <w:spacing w:after="80" w:line="264" w:lineRule="auto"/>
            </w:pPr>
            <w:r>
              <w:rPr>
                <w:sz w:val="20"/>
                <w:szCs w:val="20"/>
              </w:rPr>
              <w:t>Die größte Falle ist der Rückzug. Wer nach mehreren enttäuschenden Versuchen aufhört, verlängert die Einsamkeit. Setze dir ein Minimum: eine feste Gruppe pro Woche und pro Woche einen Kaffeevorschlag.</w:t>
            </w:r>
          </w:p>
        </w:tc>
      </w:tr>
    </w:tbl>
    <w:p w14:paraId="70A4E4C2" w14:textId="77777777" w:rsidR="00C1548D" w:rsidRDefault="00C1548D">
      <w:pPr>
        <w:spacing w:line="220" w:lineRule="exact"/>
      </w:pPr>
    </w:p>
    <w:p w14:paraId="70A4E4C3" w14:textId="77777777" w:rsidR="00C1548D" w:rsidRDefault="009B1B4B">
      <w:pPr>
        <w:pStyle w:val="Heading3"/>
        <w:keepNext/>
        <w:jc w:val="center"/>
      </w:pPr>
      <w:r>
        <w:rPr>
          <w:rFonts w:ascii="Amazon Ember" w:eastAsia="Amazon Ember" w:hAnsi="Amazon Ember" w:cs="Amazon Ember"/>
          <w:color w:val="0000FF"/>
          <w:sz w:val="36"/>
          <w:szCs w:val="36"/>
        </w:rPr>
        <w:t>Plus und Minus</w:t>
      </w:r>
    </w:p>
    <w:p w14:paraId="70A4E4C4" w14:textId="77777777" w:rsidR="00C1548D" w:rsidRDefault="009B1B4B">
      <w:pPr>
        <w:spacing w:after="140"/>
      </w:pPr>
      <w:r>
        <w:t>Die amerikanische Freundschaftskultur im Vergleich zu deinen Erfahrungen in Deutschland: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4C7"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4C5" w14:textId="77777777" w:rsidR="00C1548D" w:rsidRDefault="009B1B4B">
            <w:pPr>
              <w:spacing w:line="250" w:lineRule="auto"/>
            </w:pPr>
            <w:r>
              <w:rPr>
                <w:b/>
                <w:bCs/>
                <w:sz w:val="18"/>
                <w:szCs w:val="18"/>
              </w:rPr>
              <w:lastRenderedPageBreak/>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4C6" w14:textId="77777777" w:rsidR="00C1548D" w:rsidRDefault="009B1B4B">
            <w:pPr>
              <w:spacing w:line="250" w:lineRule="auto"/>
            </w:pPr>
            <w:r>
              <w:rPr>
                <w:b/>
                <w:bCs/>
                <w:sz w:val="18"/>
                <w:szCs w:val="18"/>
              </w:rPr>
              <w:t>Minus</w:t>
            </w:r>
          </w:p>
        </w:tc>
      </w:tr>
      <w:tr w:rsidR="00C1548D" w14:paraId="70A4E4C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C8" w14:textId="77777777" w:rsidR="00C1548D" w:rsidRDefault="009B1B4B">
            <w:pPr>
              <w:spacing w:line="250" w:lineRule="auto"/>
            </w:pPr>
            <w:r>
              <w:rPr>
                <w:sz w:val="18"/>
                <w:szCs w:val="18"/>
              </w:rPr>
              <w:t>Offenheit: Kontakt zu Fremden gelingt schnell und meist unkompliziert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C9" w14:textId="77777777" w:rsidR="00C1548D" w:rsidRDefault="009B1B4B">
            <w:pPr>
              <w:spacing w:line="250" w:lineRule="auto"/>
            </w:pPr>
            <w:r>
              <w:rPr>
                <w:sz w:val="18"/>
                <w:szCs w:val="18"/>
              </w:rPr>
              <w:t>Schneller Kontakt heißt nicht tiefe Bindung; Vertiefung dauert</w:t>
            </w:r>
          </w:p>
        </w:tc>
      </w:tr>
      <w:tr w:rsidR="00C1548D" w14:paraId="70A4E4C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CB" w14:textId="77777777" w:rsidR="00C1548D" w:rsidRDefault="009B1B4B">
            <w:pPr>
              <w:spacing w:line="250" w:lineRule="auto"/>
            </w:pPr>
            <w:r>
              <w:rPr>
                <w:sz w:val="18"/>
                <w:szCs w:val="18"/>
              </w:rPr>
              <w:t>Einladungen zu Grillen, Potlucks und Kinderpartys haben niedrige Hürden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CC" w14:textId="77777777" w:rsidR="00C1548D" w:rsidRDefault="009B1B4B">
            <w:pPr>
              <w:spacing w:line="250" w:lineRule="auto"/>
            </w:pPr>
            <w:r>
              <w:rPr>
                <w:sz w:val="18"/>
                <w:szCs w:val="18"/>
              </w:rPr>
              <w:t>Kurzfristige Absagen kommen häufiger vor, als du es gewohnt sein magst</w:t>
            </w:r>
          </w:p>
        </w:tc>
      </w:tr>
      <w:tr w:rsidR="00C1548D" w14:paraId="70A4E4D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CE" w14:textId="77777777" w:rsidR="00C1548D" w:rsidRDefault="009B1B4B">
            <w:pPr>
              <w:spacing w:line="250" w:lineRule="auto"/>
            </w:pPr>
            <w:r>
              <w:rPr>
                <w:sz w:val="18"/>
                <w:szCs w:val="18"/>
              </w:rPr>
              <w:t>Viele organisierte Angebote: Clubs, Ligen, Meetups, Kurse in fast jeder Stadt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CF" w14:textId="77777777" w:rsidR="00C1548D" w:rsidRDefault="009B1B4B">
            <w:pPr>
              <w:spacing w:line="250" w:lineRule="auto"/>
            </w:pPr>
            <w:r>
              <w:rPr>
                <w:sz w:val="18"/>
                <w:szCs w:val="18"/>
              </w:rPr>
              <w:t>Freundschaften hängen oft an einer Aktivität und enden mit ihr</w:t>
            </w:r>
          </w:p>
        </w:tc>
      </w:tr>
      <w:tr w:rsidR="00C1548D" w14:paraId="70A4E4D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D1" w14:textId="77777777" w:rsidR="00C1548D" w:rsidRDefault="009B1B4B">
            <w:pPr>
              <w:spacing w:line="250" w:lineRule="auto"/>
            </w:pPr>
            <w:r>
              <w:rPr>
                <w:sz w:val="18"/>
                <w:szCs w:val="18"/>
              </w:rPr>
              <w:t>Neuanfang ohne alte Rollen: Du bist, wie du dich zeigst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D2" w14:textId="77777777" w:rsidR="00C1548D" w:rsidRDefault="009B1B4B">
            <w:pPr>
              <w:spacing w:line="250" w:lineRule="auto"/>
            </w:pPr>
            <w:r>
              <w:rPr>
                <w:sz w:val="18"/>
                <w:szCs w:val="18"/>
              </w:rPr>
              <w:t>Hohe Mobilität: Freunde und Kollegen ziehen weiter</w:t>
            </w:r>
          </w:p>
        </w:tc>
      </w:tr>
      <w:tr w:rsidR="00C1548D" w14:paraId="70A4E4D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D4" w14:textId="77777777" w:rsidR="00C1548D" w:rsidRDefault="009B1B4B">
            <w:pPr>
              <w:spacing w:line="250" w:lineRule="auto"/>
            </w:pPr>
            <w:r>
              <w:rPr>
                <w:sz w:val="18"/>
                <w:szCs w:val="18"/>
              </w:rPr>
              <w:t>Große Hilfsbereitschaft bei Tipps, Empfehlungen und Fahrdiensten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D5" w14:textId="77777777" w:rsidR="00C1548D" w:rsidRDefault="009B1B4B">
            <w:pPr>
              <w:spacing w:line="250" w:lineRule="auto"/>
            </w:pPr>
            <w:r>
              <w:rPr>
                <w:sz w:val="18"/>
                <w:szCs w:val="18"/>
              </w:rPr>
              <w:t>Volle Kalender: Verabredungen liegen oft Wochen im Voraus</w:t>
            </w:r>
          </w:p>
        </w:tc>
      </w:tr>
      <w:tr w:rsidR="00C1548D" w14:paraId="70A4E4D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D7" w14:textId="77777777" w:rsidR="00C1548D" w:rsidRDefault="009B1B4B">
            <w:pPr>
              <w:spacing w:line="250" w:lineRule="auto"/>
            </w:pPr>
            <w:r>
              <w:rPr>
                <w:sz w:val="18"/>
                <w:szCs w:val="18"/>
              </w:rPr>
              <w:t>Gastgeber laden gern nach Hause ein, oft zu zwanglosen Anlässen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4D8" w14:textId="77777777" w:rsidR="00C1548D" w:rsidRDefault="009B1B4B">
            <w:pPr>
              <w:spacing w:line="250" w:lineRule="auto"/>
            </w:pPr>
            <w:r>
              <w:rPr>
                <w:sz w:val="18"/>
                <w:szCs w:val="18"/>
              </w:rPr>
              <w:t>Ohne eigenes Nachfassen passiert wenig</w:t>
            </w:r>
          </w:p>
        </w:tc>
      </w:tr>
    </w:tbl>
    <w:p w14:paraId="70A4E4DA" w14:textId="77777777" w:rsidR="00C1548D" w:rsidRDefault="00C1548D">
      <w:pPr>
        <w:spacing w:line="180" w:lineRule="exact"/>
      </w:pPr>
    </w:p>
    <w:p w14:paraId="70A4E4DB"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4DC" w14:textId="77777777" w:rsidR="00C1548D" w:rsidRDefault="009B1B4B">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4E8"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4DD" w14:textId="77777777" w:rsidR="00C1548D" w:rsidRDefault="009B1B4B">
            <w:pPr>
              <w:keepNext/>
              <w:spacing w:after="70" w:line="240" w:lineRule="auto"/>
            </w:pPr>
            <w:r>
              <w:rPr>
                <w:b/>
                <w:bCs/>
                <w:color w:val="1F6F78"/>
                <w:spacing w:val="24"/>
                <w:sz w:val="16"/>
                <w:szCs w:val="16"/>
              </w:rPr>
              <w:lastRenderedPageBreak/>
              <w:t>CHECKLISTE</w:t>
            </w:r>
          </w:p>
          <w:p w14:paraId="70A4E4D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dem Umzug Facebook- und Meetup-Gruppen deiner Zielstadt suchen und mitlesen</w:t>
            </w:r>
          </w:p>
          <w:p w14:paraId="70A4E4D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Zwei feste Wochentermine wählen (Sport, Kurs, Gemeinde oder Ehrenamt) und mindestens sechs Wochen durchhalten</w:t>
            </w:r>
          </w:p>
          <w:p w14:paraId="70A4E4E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 jedem netten Gespräch binnen drei Tagen per Text zwei konkrete Terminvorschläge senden</w:t>
            </w:r>
          </w:p>
          <w:p w14:paraId="70A4E4E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Mit Kindern: bei der PTA oder PTO der Schule ein Helferangebot machen, Playdates über die Eltern absprechen</w:t>
            </w:r>
          </w:p>
          <w:p w14:paraId="70A4E4E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Beim Arbeitgeber nach Employee Resource Groups und Team-Anlässen fragen</w:t>
            </w:r>
          </w:p>
          <w:p w14:paraId="70A4E4E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Ohne Arbeitserlaubnis nur echtes Ehrenamt bei gemeinnützigen Organisationen, im Zweifel vorher Rat einholen</w:t>
            </w:r>
          </w:p>
          <w:p w14:paraId="70A4E4E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Einladungen binnen zwei Tagen zu- oder absagen, eine kleine Gabe mitbringen, binnen weniger Wochen zurückladen</w:t>
            </w:r>
          </w:p>
          <w:p w14:paraId="70A4E4E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Deutschsprachige Angebote nutzen, aber die Hälfte der festen Termine unter Englischsprachigen halten</w:t>
            </w:r>
          </w:p>
          <w:p w14:paraId="70A4E4E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Rituale mit Freunden in Deutschland vereinbaren (Videoanruf, Sprachnachrichten) und die Zeitverschiebung prüfen</w:t>
            </w:r>
          </w:p>
          <w:p w14:paraId="70A4E4E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 drei Monaten Bilanz ziehen: Welche Gruppe hat funktioniert, welche nicht?</w:t>
            </w:r>
          </w:p>
        </w:tc>
      </w:tr>
    </w:tbl>
    <w:p w14:paraId="70A4E4E9" w14:textId="77777777" w:rsidR="00C1548D" w:rsidRDefault="00C1548D">
      <w:pPr>
        <w:spacing w:line="220" w:lineRule="exact"/>
      </w:pPr>
    </w:p>
    <w:p w14:paraId="70A4E4EA"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4EB" w14:textId="4CFD1C29" w:rsidR="00C1548D" w:rsidRDefault="009B1B4B" w:rsidP="009B1B4B">
      <w:pPr>
        <w:pStyle w:val="ListParagraph"/>
        <w:numPr>
          <w:ilvl w:val="0"/>
          <w:numId w:val="1"/>
        </w:numPr>
        <w:spacing w:after="60"/>
      </w:pPr>
      <w:r>
        <w:t>University of Kansas — Studie zur Zeit, die Freundschaft braucht (</w:t>
      </w:r>
      <w:hyperlink r:id="rId277" w:history="1">
        <w:r>
          <w:rPr>
            <w:color w:val="0563C1"/>
            <w:u w:val="single"/>
          </w:rPr>
          <w:t>news.ku.edu</w:t>
        </w:r>
      </w:hyperlink>
      <w:r>
        <w:t>, Suche: hours to make a friend)</w:t>
      </w:r>
    </w:p>
    <w:p w14:paraId="70A4E4EC" w14:textId="775B1DC4" w:rsidR="00C1548D" w:rsidRDefault="009B1B4B" w:rsidP="009B1B4B">
      <w:pPr>
        <w:pStyle w:val="ListParagraph"/>
        <w:numPr>
          <w:ilvl w:val="0"/>
          <w:numId w:val="1"/>
        </w:numPr>
        <w:spacing w:after="60"/>
      </w:pPr>
      <w:r>
        <w:t>US Census Bureau — Umzüge und regionale Mobilität (</w:t>
      </w:r>
      <w:hyperlink r:id="rId278" w:history="1">
        <w:r>
          <w:rPr>
            <w:color w:val="0563C1"/>
            <w:u w:val="single"/>
          </w:rPr>
          <w:t>census.gov/topics/population/migration</w:t>
        </w:r>
      </w:hyperlink>
      <w:r>
        <w:t>)</w:t>
      </w:r>
    </w:p>
    <w:p w14:paraId="70A4E4ED" w14:textId="627C44DE" w:rsidR="00C1548D" w:rsidRDefault="009B1B4B" w:rsidP="009B1B4B">
      <w:pPr>
        <w:pStyle w:val="ListParagraph"/>
        <w:numPr>
          <w:ilvl w:val="0"/>
          <w:numId w:val="1"/>
        </w:numPr>
        <w:spacing w:after="60"/>
      </w:pPr>
      <w:r>
        <w:t>Evangelische Kirche in Deutschland — deutschsprachige Auslandsgemeinden in Amerika (</w:t>
      </w:r>
      <w:hyperlink r:id="rId279" w:history="1">
        <w:r>
          <w:rPr>
            <w:color w:val="0563C1"/>
            <w:u w:val="single"/>
          </w:rPr>
          <w:t>ekd.de/auslandsgemeinden-amerika-47196.htm</w:t>
        </w:r>
      </w:hyperlink>
      <w:r>
        <w:t>)</w:t>
      </w:r>
    </w:p>
    <w:p w14:paraId="70A4E4EE" w14:textId="239DBA1D" w:rsidR="00C1548D" w:rsidRDefault="009B1B4B" w:rsidP="009B1B4B">
      <w:pPr>
        <w:pStyle w:val="ListParagraph"/>
        <w:numPr>
          <w:ilvl w:val="0"/>
          <w:numId w:val="1"/>
        </w:numPr>
        <w:spacing w:after="60"/>
      </w:pPr>
      <w:r>
        <w:t>Goethe-Institut USA — Standorte und Programme (</w:t>
      </w:r>
      <w:hyperlink r:id="rId280" w:history="1">
        <w:r>
          <w:rPr>
            <w:color w:val="0563C1"/>
            <w:u w:val="single"/>
          </w:rPr>
          <w:t>goethe.de/ins/us</w:t>
        </w:r>
      </w:hyperlink>
      <w:r>
        <w:t>)</w:t>
      </w:r>
    </w:p>
    <w:p w14:paraId="70A4E4EF" w14:textId="2C822D76" w:rsidR="00C1548D" w:rsidRDefault="009B1B4B" w:rsidP="009B1B4B">
      <w:pPr>
        <w:pStyle w:val="ListParagraph"/>
        <w:numPr>
          <w:ilvl w:val="0"/>
          <w:numId w:val="1"/>
        </w:numPr>
        <w:spacing w:after="60"/>
      </w:pPr>
      <w:r>
        <w:lastRenderedPageBreak/>
        <w:t>Idealist — Freiwilligenarbeit finden (</w:t>
      </w:r>
      <w:hyperlink r:id="rId281" w:history="1">
        <w:r>
          <w:rPr>
            <w:color w:val="0563C1"/>
            <w:u w:val="single"/>
          </w:rPr>
          <w:t>idealist.org</w:t>
        </w:r>
      </w:hyperlink>
      <w:r>
        <w:t>)</w:t>
      </w:r>
    </w:p>
    <w:p w14:paraId="70A4E4F0" w14:textId="1E4529C6" w:rsidR="00C1548D" w:rsidRDefault="009B1B4B" w:rsidP="009B1B4B">
      <w:pPr>
        <w:pStyle w:val="ListParagraph"/>
        <w:numPr>
          <w:ilvl w:val="0"/>
          <w:numId w:val="1"/>
        </w:numPr>
        <w:spacing w:after="60"/>
      </w:pPr>
      <w:r>
        <w:t>Einwanderungsbehörde USCIS — Arbeitserlaubnis für H-4-Ehepartner (</w:t>
      </w:r>
      <w:hyperlink r:id="rId282" w:history="1">
        <w:r>
          <w:rPr>
            <w:color w:val="0563C1"/>
            <w:u w:val="single"/>
          </w:rPr>
          <w:t>uscis.gov</w:t>
        </w:r>
      </w:hyperlink>
      <w:r>
        <w:t>, Suche: H-4 employment authorization)</w:t>
      </w:r>
    </w:p>
    <w:p w14:paraId="70A4E4F1" w14:textId="2EDF5370" w:rsidR="00C1548D" w:rsidRDefault="009B1B4B" w:rsidP="009B1B4B">
      <w:pPr>
        <w:pStyle w:val="ListParagraph"/>
        <w:numPr>
          <w:ilvl w:val="0"/>
          <w:numId w:val="1"/>
        </w:numPr>
        <w:spacing w:after="60"/>
      </w:pPr>
      <w:r>
        <w:t>Meetup — Hilfebereich zu Gebühren und Abos (</w:t>
      </w:r>
      <w:hyperlink r:id="rId283" w:history="1">
        <w:r>
          <w:rPr>
            <w:color w:val="0563C1"/>
            <w:u w:val="single"/>
          </w:rPr>
          <w:t>help.meetup.com</w:t>
        </w:r>
      </w:hyperlink>
      <w:r>
        <w:t>)</w:t>
      </w:r>
    </w:p>
    <w:p w14:paraId="70A4E4F2"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4F5"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4F3" w14:textId="77777777" w:rsidR="00C1548D" w:rsidRDefault="009B1B4B">
            <w:pPr>
              <w:keepNext/>
              <w:spacing w:after="70" w:line="240" w:lineRule="auto"/>
            </w:pPr>
            <w:r>
              <w:rPr>
                <w:b/>
                <w:bCs/>
                <w:color w:val="6B7280"/>
                <w:spacing w:val="24"/>
                <w:sz w:val="16"/>
                <w:szCs w:val="16"/>
              </w:rPr>
              <w:t>STAND</w:t>
            </w:r>
          </w:p>
          <w:p w14:paraId="70A4E4F4" w14:textId="77777777" w:rsidR="00C1548D" w:rsidRDefault="009B1B4B">
            <w:pPr>
              <w:spacing w:after="80" w:line="264" w:lineRule="auto"/>
            </w:pPr>
            <w:r>
              <w:rPr>
                <w:sz w:val="20"/>
                <w:szCs w:val="20"/>
              </w:rPr>
              <w:t>September 2026. Diese Angaben ändern sich schnell: Preise und Funktionen von Apps (Meetup, BFF, Timeleft, Nextdoor), Standorte des Goethe-Instituts, die Regeln zur Arbeitserlaubnis für H-4-Partner sowie die Mobilitätsdaten des Census Bureau (Datenjahr 2024). Prüfe vor jeder Entscheidung die aktuellen Angaben der Anbieter und offiziellen Stellen.</w:t>
            </w:r>
          </w:p>
        </w:tc>
      </w:tr>
    </w:tbl>
    <w:p w14:paraId="70A4E4F6" w14:textId="77777777" w:rsidR="00C1548D" w:rsidRDefault="00C1548D">
      <w:pPr>
        <w:spacing w:line="220" w:lineRule="exact"/>
      </w:pPr>
    </w:p>
    <w:p w14:paraId="70A4E4F7" w14:textId="77777777" w:rsidR="00C1548D" w:rsidRDefault="009B1B4B">
      <w:pPr>
        <w:pStyle w:val="Heading2"/>
        <w:keepNext/>
        <w:pageBreakBefore/>
        <w:jc w:val="center"/>
      </w:pPr>
      <w:bookmarkStart w:id="79" w:name="k33"/>
      <w:bookmarkStart w:id="80" w:name="_Toc241352489"/>
      <w:r>
        <w:rPr>
          <w:rFonts w:ascii="Amazon Ember" w:eastAsia="Amazon Ember" w:hAnsi="Amazon Ember" w:cs="Amazon Ember"/>
          <w:color w:val="0000FF"/>
          <w:sz w:val="36"/>
          <w:szCs w:val="36"/>
        </w:rPr>
        <w:lastRenderedPageBreak/>
        <w:t>Kapitel 33: Heimweh, Kulturschock und mentale Gesundheit</w:t>
      </w:r>
      <w:bookmarkEnd w:id="79"/>
      <w:bookmarkEnd w:id="80"/>
    </w:p>
    <w:p w14:paraId="70A4E4F8" w14:textId="77777777" w:rsidR="00C1548D" w:rsidRDefault="009B1B4B">
      <w:pPr>
        <w:spacing w:after="140"/>
      </w:pPr>
      <w:r>
        <w:t>Es ist der vierte Samstagabend in Folge, an dem du früh das Licht ausmachst, während in der Familien-Chat-Gruppe Fotos vom Herbstfest der alten Nachbarschaft eintrudeln. Job, Wohnung und Auto sind organisiert, alles läuft nach Plan – und trotzdem liegt seit Wochen ein Kloß im Hals, sobald jemand fragt, wie es dir geht. Das ist kein Ausrutscher und kein Zeichen, dass der Umzug ein Fehler war. Es ist Kulturschock, und er hat einen ziemlich vorhersagbaren Verlauf.</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00"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4F9" w14:textId="77777777" w:rsidR="00C1548D" w:rsidRDefault="009B1B4B">
            <w:pPr>
              <w:keepNext/>
              <w:spacing w:after="70" w:line="240" w:lineRule="auto"/>
            </w:pPr>
            <w:r>
              <w:rPr>
                <w:b/>
                <w:bCs/>
                <w:color w:val="1F3A5F"/>
                <w:spacing w:val="24"/>
                <w:sz w:val="16"/>
                <w:szCs w:val="16"/>
              </w:rPr>
              <w:t>KURZ GESAGT</w:t>
            </w:r>
          </w:p>
          <w:p w14:paraId="70A4E4FA" w14:textId="77777777" w:rsidR="00C1548D" w:rsidRDefault="009B1B4B" w:rsidP="009B1B4B">
            <w:pPr>
              <w:pStyle w:val="ListParagraph"/>
              <w:numPr>
                <w:ilvl w:val="0"/>
                <w:numId w:val="1"/>
              </w:numPr>
              <w:spacing w:after="50" w:line="264" w:lineRule="auto"/>
            </w:pPr>
            <w:r>
              <w:rPr>
                <w:sz w:val="20"/>
                <w:szCs w:val="20"/>
              </w:rPr>
              <w:t>Kulturschock verläuft in Phasen und ist zeitlich meist begrenzt – keine Schwäche und kein Fehlurteil.</w:t>
            </w:r>
          </w:p>
          <w:p w14:paraId="70A4E4FB" w14:textId="77777777" w:rsidR="00C1548D" w:rsidRDefault="009B1B4B" w:rsidP="009B1B4B">
            <w:pPr>
              <w:pStyle w:val="ListParagraph"/>
              <w:numPr>
                <w:ilvl w:val="0"/>
                <w:numId w:val="1"/>
              </w:numPr>
              <w:spacing w:after="50" w:line="264" w:lineRule="auto"/>
            </w:pPr>
            <w:r>
              <w:rPr>
                <w:sz w:val="20"/>
                <w:szCs w:val="20"/>
              </w:rPr>
              <w:t>Die kritischsten Monate sind der dritte bis sechste, dazu der erste Winter und die ersten Feiertage fern der Familie.</w:t>
            </w:r>
          </w:p>
          <w:p w14:paraId="70A4E4FC" w14:textId="77777777" w:rsidR="00C1548D" w:rsidRDefault="009B1B4B" w:rsidP="009B1B4B">
            <w:pPr>
              <w:pStyle w:val="ListParagraph"/>
              <w:numPr>
                <w:ilvl w:val="0"/>
                <w:numId w:val="1"/>
              </w:numPr>
              <w:spacing w:after="50" w:line="264" w:lineRule="auto"/>
            </w:pPr>
            <w:r>
              <w:rPr>
                <w:sz w:val="20"/>
                <w:szCs w:val="20"/>
              </w:rPr>
              <w:t>Mitreisende Partner und Kinder durchleben eigene Formen des Kulturschocks, oft zeitversetzt zueinander.</w:t>
            </w:r>
          </w:p>
          <w:p w14:paraId="70A4E4FD" w14:textId="77777777" w:rsidR="00C1548D" w:rsidRDefault="009B1B4B" w:rsidP="009B1B4B">
            <w:pPr>
              <w:pStyle w:val="ListParagraph"/>
              <w:numPr>
                <w:ilvl w:val="0"/>
                <w:numId w:val="1"/>
              </w:numPr>
              <w:spacing w:after="50" w:line="264" w:lineRule="auto"/>
            </w:pPr>
            <w:r>
              <w:rPr>
                <w:sz w:val="20"/>
                <w:szCs w:val="20"/>
              </w:rPr>
              <w:t>Routinen, Rituale, Bewegung und Sprache wirken gegen das Tief oft stärker als guter Wille allein.</w:t>
            </w:r>
          </w:p>
          <w:p w14:paraId="70A4E4FE" w14:textId="77777777" w:rsidR="00C1548D" w:rsidRDefault="009B1B4B" w:rsidP="009B1B4B">
            <w:pPr>
              <w:pStyle w:val="ListParagraph"/>
              <w:numPr>
                <w:ilvl w:val="0"/>
                <w:numId w:val="1"/>
              </w:numPr>
              <w:spacing w:after="50" w:line="264" w:lineRule="auto"/>
            </w:pPr>
            <w:r>
              <w:rPr>
                <w:sz w:val="20"/>
                <w:szCs w:val="20"/>
              </w:rPr>
              <w:t>Professionelle Hilfe ist in den USA erreichbar: betriebliche Beratung, Telehealth, günstige Anbieter, deutschsprachige Therapeuten.</w:t>
            </w:r>
          </w:p>
          <w:p w14:paraId="70A4E4FF" w14:textId="77777777" w:rsidR="00C1548D" w:rsidRDefault="009B1B4B" w:rsidP="009B1B4B">
            <w:pPr>
              <w:pStyle w:val="ListParagraph"/>
              <w:numPr>
                <w:ilvl w:val="0"/>
                <w:numId w:val="1"/>
              </w:numPr>
              <w:spacing w:after="50" w:line="264" w:lineRule="auto"/>
            </w:pPr>
            <w:r>
              <w:rPr>
                <w:sz w:val="20"/>
                <w:szCs w:val="20"/>
              </w:rPr>
              <w:t>Bei akuter Gefahr zählt ein Anruf, Chat oder Text: 988, kostenlos, rund um die Uhr.</w:t>
            </w:r>
          </w:p>
        </w:tc>
      </w:tr>
    </w:tbl>
    <w:p w14:paraId="70A4E501" w14:textId="77777777" w:rsidR="00C1548D" w:rsidRDefault="00C1548D">
      <w:pPr>
        <w:spacing w:line="220" w:lineRule="exact"/>
      </w:pPr>
    </w:p>
    <w:p w14:paraId="70A4E502" w14:textId="77777777" w:rsidR="00C1548D" w:rsidRDefault="009B1B4B">
      <w:pPr>
        <w:pStyle w:val="Heading3"/>
        <w:keepNext/>
        <w:jc w:val="center"/>
      </w:pPr>
      <w:r>
        <w:rPr>
          <w:rFonts w:ascii="Amazon Ember" w:eastAsia="Amazon Ember" w:hAnsi="Amazon Ember" w:cs="Amazon Ember"/>
          <w:color w:val="0000FF"/>
          <w:sz w:val="36"/>
          <w:szCs w:val="36"/>
        </w:rPr>
        <w:t>Die Phasen des Kulturschocks</w:t>
      </w:r>
    </w:p>
    <w:p w14:paraId="70A4E503" w14:textId="77777777" w:rsidR="00C1548D" w:rsidRDefault="009B1B4B">
      <w:pPr>
        <w:spacing w:after="140"/>
      </w:pPr>
      <w:r>
        <w:t xml:space="preserve">Verbreiteter Irrtum: Wer nach einem harten dritten Monat an der Entscheidung zweifelt, war offenbar nicht bereit für den Umzug. Tatsächlich beschreibt ein verbreitetes Modell (nach dem Anthropologen Kalervo Oberg, 1960) Kulturschock als Kurve mit vier Abschnitten, die fast jeden erfasst, der längere Zeit in einem </w:t>
      </w:r>
      <w:r>
        <w:lastRenderedPageBreak/>
        <w:t>fremden Land lebt. Sie verläuft nicht bei allen gleich, nicht linear und nicht bei allen Familienmitgliedern gleichzeitig – aber sie hilft, das eigene Tief einzuordnen.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7"/>
        <w:gridCol w:w="1106"/>
        <w:gridCol w:w="2189"/>
        <w:gridCol w:w="2188"/>
      </w:tblGrid>
      <w:tr w:rsidR="00C1548D" w14:paraId="70A4E508" w14:textId="77777777">
        <w:tblPrEx>
          <w:tblCellMar>
            <w:top w:w="0" w:type="dxa"/>
            <w:bottom w:w="0" w:type="dxa"/>
          </w:tblCellMar>
        </w:tblPrEx>
        <w:trPr>
          <w:cantSplit/>
          <w:tblHeader/>
        </w:trPr>
        <w:tc>
          <w:tcPr>
            <w:tcW w:w="9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04" w14:textId="77777777" w:rsidR="00C1548D" w:rsidRDefault="009B1B4B">
            <w:pPr>
              <w:spacing w:line="250" w:lineRule="auto"/>
            </w:pPr>
            <w:r>
              <w:rPr>
                <w:b/>
                <w:bCs/>
                <w:sz w:val="18"/>
                <w:szCs w:val="18"/>
              </w:rPr>
              <w:t>Phase</w:t>
            </w:r>
          </w:p>
        </w:tc>
        <w:tc>
          <w:tcPr>
            <w:tcW w:w="110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05" w14:textId="77777777" w:rsidR="00C1548D" w:rsidRDefault="009B1B4B">
            <w:pPr>
              <w:spacing w:line="250" w:lineRule="auto"/>
            </w:pPr>
            <w:r>
              <w:rPr>
                <w:b/>
                <w:bCs/>
                <w:sz w:val="18"/>
                <w:szCs w:val="18"/>
              </w:rPr>
              <w:t>Typische Dauer</w:t>
            </w:r>
          </w:p>
        </w:tc>
        <w:tc>
          <w:tcPr>
            <w:tcW w:w="21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06" w14:textId="77777777" w:rsidR="00C1548D" w:rsidRDefault="009B1B4B">
            <w:pPr>
              <w:spacing w:line="250" w:lineRule="auto"/>
            </w:pPr>
            <w:r>
              <w:rPr>
                <w:b/>
                <w:bCs/>
                <w:sz w:val="18"/>
                <w:szCs w:val="18"/>
              </w:rPr>
              <w:t>Typisches Gefühl</w:t>
            </w:r>
          </w:p>
        </w:tc>
        <w:tc>
          <w:tcPr>
            <w:tcW w:w="218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07" w14:textId="77777777" w:rsidR="00C1548D" w:rsidRDefault="009B1B4B">
            <w:pPr>
              <w:spacing w:line="250" w:lineRule="auto"/>
            </w:pPr>
            <w:r>
              <w:rPr>
                <w:b/>
                <w:bCs/>
                <w:sz w:val="18"/>
                <w:szCs w:val="18"/>
              </w:rPr>
              <w:t>Was hilft</w:t>
            </w:r>
          </w:p>
        </w:tc>
      </w:tr>
      <w:tr w:rsidR="00C1548D" w14:paraId="70A4E50D" w14:textId="77777777">
        <w:tblPrEx>
          <w:tblCellMar>
            <w:top w:w="0" w:type="dxa"/>
            <w:bottom w:w="0" w:type="dxa"/>
          </w:tblCellMar>
        </w:tblPrEx>
        <w:trPr>
          <w:cantSplit/>
        </w:trPr>
        <w:tc>
          <w:tcPr>
            <w:tcW w:w="9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09" w14:textId="77777777" w:rsidR="00C1548D" w:rsidRDefault="009B1B4B">
            <w:pPr>
              <w:spacing w:line="250" w:lineRule="auto"/>
            </w:pPr>
            <w:r>
              <w:rPr>
                <w:i/>
                <w:iCs/>
                <w:sz w:val="18"/>
                <w:szCs w:val="18"/>
              </w:rPr>
              <w:t>Honeymoon</w:t>
            </w:r>
            <w:r>
              <w:rPr>
                <w:sz w:val="18"/>
                <w:szCs w:val="18"/>
              </w:rPr>
              <w:t>-Phase (Anfangseuphorie)</w:t>
            </w:r>
          </w:p>
        </w:tc>
        <w:tc>
          <w:tcPr>
            <w:tcW w:w="11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0A" w14:textId="77777777" w:rsidR="00C1548D" w:rsidRDefault="009B1B4B">
            <w:pPr>
              <w:spacing w:line="250" w:lineRule="auto"/>
            </w:pPr>
            <w:r>
              <w:rPr>
                <w:sz w:val="18"/>
                <w:szCs w:val="18"/>
              </w:rPr>
              <w:t>erste Wochen bis ca. 2 Monate</w:t>
            </w:r>
          </w:p>
        </w:tc>
        <w:tc>
          <w:tcPr>
            <w:tcW w:w="21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0B" w14:textId="77777777" w:rsidR="00C1548D" w:rsidRDefault="009B1B4B">
            <w:pPr>
              <w:spacing w:line="250" w:lineRule="auto"/>
            </w:pPr>
            <w:r>
              <w:rPr>
                <w:sz w:val="18"/>
                <w:szCs w:val="18"/>
              </w:rPr>
              <w:t>Neugier, Begeisterung, alles wirkt aufregend</w:t>
            </w:r>
          </w:p>
        </w:tc>
        <w:tc>
          <w:tcPr>
            <w:tcW w:w="21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0C" w14:textId="77777777" w:rsidR="00C1548D" w:rsidRDefault="009B1B4B">
            <w:pPr>
              <w:spacing w:line="250" w:lineRule="auto"/>
            </w:pPr>
            <w:r>
              <w:rPr>
                <w:sz w:val="18"/>
                <w:szCs w:val="18"/>
              </w:rPr>
              <w:t>Genießen, aber früh kleine Routinen aufbauen</w:t>
            </w:r>
          </w:p>
        </w:tc>
      </w:tr>
      <w:tr w:rsidR="00C1548D" w14:paraId="70A4E512" w14:textId="77777777">
        <w:tblPrEx>
          <w:tblCellMar>
            <w:top w:w="0" w:type="dxa"/>
            <w:bottom w:w="0" w:type="dxa"/>
          </w:tblCellMar>
        </w:tblPrEx>
        <w:trPr>
          <w:cantSplit/>
        </w:trPr>
        <w:tc>
          <w:tcPr>
            <w:tcW w:w="9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0E" w14:textId="77777777" w:rsidR="00C1548D" w:rsidRDefault="009B1B4B">
            <w:pPr>
              <w:spacing w:line="250" w:lineRule="auto"/>
            </w:pPr>
            <w:r>
              <w:rPr>
                <w:sz w:val="18"/>
                <w:szCs w:val="18"/>
              </w:rPr>
              <w:t>Kulturschock-Talsohle</w:t>
            </w:r>
          </w:p>
        </w:tc>
        <w:tc>
          <w:tcPr>
            <w:tcW w:w="11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0F" w14:textId="77777777" w:rsidR="00C1548D" w:rsidRDefault="009B1B4B">
            <w:pPr>
              <w:spacing w:line="250" w:lineRule="auto"/>
            </w:pPr>
            <w:r>
              <w:rPr>
                <w:sz w:val="18"/>
                <w:szCs w:val="18"/>
              </w:rPr>
              <w:t>häufig Monat 3 bis 6</w:t>
            </w:r>
          </w:p>
        </w:tc>
        <w:tc>
          <w:tcPr>
            <w:tcW w:w="21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10" w14:textId="77777777" w:rsidR="00C1548D" w:rsidRDefault="009B1B4B">
            <w:pPr>
              <w:spacing w:line="250" w:lineRule="auto"/>
            </w:pPr>
            <w:r>
              <w:rPr>
                <w:sz w:val="18"/>
                <w:szCs w:val="18"/>
              </w:rPr>
              <w:t>Erschöpfung, Reizbarkeit, Heimweh, Zweifel an der Entscheidung</w:t>
            </w:r>
          </w:p>
        </w:tc>
        <w:tc>
          <w:tcPr>
            <w:tcW w:w="21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11" w14:textId="77777777" w:rsidR="00C1548D" w:rsidRDefault="009B1B4B">
            <w:pPr>
              <w:spacing w:line="250" w:lineRule="auto"/>
            </w:pPr>
            <w:r>
              <w:rPr>
                <w:sz w:val="18"/>
                <w:szCs w:val="18"/>
              </w:rPr>
              <w:t>Struktur, Bewegung, echte Kontakte, bei Bedarf Hilfe</w:t>
            </w:r>
          </w:p>
        </w:tc>
      </w:tr>
      <w:tr w:rsidR="00C1548D" w14:paraId="70A4E517" w14:textId="77777777">
        <w:tblPrEx>
          <w:tblCellMar>
            <w:top w:w="0" w:type="dxa"/>
            <w:bottom w:w="0" w:type="dxa"/>
          </w:tblCellMar>
        </w:tblPrEx>
        <w:trPr>
          <w:cantSplit/>
        </w:trPr>
        <w:tc>
          <w:tcPr>
            <w:tcW w:w="9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13" w14:textId="77777777" w:rsidR="00C1548D" w:rsidRDefault="009B1B4B">
            <w:pPr>
              <w:spacing w:line="250" w:lineRule="auto"/>
            </w:pPr>
            <w:r>
              <w:rPr>
                <w:sz w:val="18"/>
                <w:szCs w:val="18"/>
              </w:rPr>
              <w:t>Anpassung</w:t>
            </w:r>
          </w:p>
        </w:tc>
        <w:tc>
          <w:tcPr>
            <w:tcW w:w="11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14" w14:textId="77777777" w:rsidR="00C1548D" w:rsidRDefault="009B1B4B">
            <w:pPr>
              <w:spacing w:line="250" w:lineRule="auto"/>
            </w:pPr>
            <w:r>
              <w:rPr>
                <w:sz w:val="18"/>
                <w:szCs w:val="18"/>
              </w:rPr>
              <w:t>häufig Monat 6 bis 12</w:t>
            </w:r>
          </w:p>
        </w:tc>
        <w:tc>
          <w:tcPr>
            <w:tcW w:w="21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15" w14:textId="77777777" w:rsidR="00C1548D" w:rsidRDefault="009B1B4B">
            <w:pPr>
              <w:spacing w:line="250" w:lineRule="auto"/>
            </w:pPr>
            <w:r>
              <w:rPr>
                <w:sz w:val="18"/>
                <w:szCs w:val="18"/>
              </w:rPr>
              <w:t>Alltag wird Routine, Unterschiede eher komisch als bedrohlich</w:t>
            </w:r>
          </w:p>
        </w:tc>
        <w:tc>
          <w:tcPr>
            <w:tcW w:w="21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16" w14:textId="77777777" w:rsidR="00C1548D" w:rsidRDefault="009B1B4B">
            <w:pPr>
              <w:spacing w:line="250" w:lineRule="auto"/>
            </w:pPr>
            <w:r>
              <w:rPr>
                <w:sz w:val="18"/>
                <w:szCs w:val="18"/>
              </w:rPr>
              <w:t>Neue Gewohnheiten festigen, Kontakte pflegen</w:t>
            </w:r>
          </w:p>
        </w:tc>
      </w:tr>
      <w:tr w:rsidR="00C1548D" w14:paraId="70A4E51C" w14:textId="77777777">
        <w:tblPrEx>
          <w:tblCellMar>
            <w:top w:w="0" w:type="dxa"/>
            <w:bottom w:w="0" w:type="dxa"/>
          </w:tblCellMar>
        </w:tblPrEx>
        <w:trPr>
          <w:cantSplit/>
        </w:trPr>
        <w:tc>
          <w:tcPr>
            <w:tcW w:w="9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18" w14:textId="77777777" w:rsidR="00C1548D" w:rsidRDefault="009B1B4B">
            <w:pPr>
              <w:spacing w:line="250" w:lineRule="auto"/>
            </w:pPr>
            <w:r>
              <w:rPr>
                <w:sz w:val="18"/>
                <w:szCs w:val="18"/>
              </w:rPr>
              <w:t>Integration</w:t>
            </w:r>
          </w:p>
        </w:tc>
        <w:tc>
          <w:tcPr>
            <w:tcW w:w="11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19" w14:textId="77777777" w:rsidR="00C1548D" w:rsidRDefault="009B1B4B">
            <w:pPr>
              <w:spacing w:line="250" w:lineRule="auto"/>
            </w:pPr>
            <w:r>
              <w:rPr>
                <w:sz w:val="18"/>
                <w:szCs w:val="18"/>
              </w:rPr>
              <w:t>ab etwa Jahr 1 bis 2</w:t>
            </w:r>
          </w:p>
        </w:tc>
        <w:tc>
          <w:tcPr>
            <w:tcW w:w="21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1A" w14:textId="77777777" w:rsidR="00C1548D" w:rsidRDefault="009B1B4B">
            <w:pPr>
              <w:spacing w:line="250" w:lineRule="auto"/>
            </w:pPr>
            <w:r>
              <w:rPr>
                <w:sz w:val="18"/>
                <w:szCs w:val="18"/>
              </w:rPr>
              <w:t>Sicherheit in beiden Kulturen, Vergleich ohne Wertung</w:t>
            </w:r>
          </w:p>
        </w:tc>
        <w:tc>
          <w:tcPr>
            <w:tcW w:w="21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1B" w14:textId="77777777" w:rsidR="00C1548D" w:rsidRDefault="009B1B4B">
            <w:pPr>
              <w:spacing w:line="250" w:lineRule="auto"/>
            </w:pPr>
            <w:r>
              <w:rPr>
                <w:sz w:val="18"/>
                <w:szCs w:val="18"/>
              </w:rPr>
              <w:t>Das Pendeln zwischen Identitäten als Normalzustand annehmen</w:t>
            </w:r>
          </w:p>
        </w:tc>
      </w:tr>
    </w:tbl>
    <w:p w14:paraId="70A4E51D"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20"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51E" w14:textId="77777777" w:rsidR="00C1548D" w:rsidRDefault="009B1B4B">
            <w:pPr>
              <w:keepNext/>
              <w:spacing w:after="70" w:line="240" w:lineRule="auto"/>
            </w:pPr>
            <w:r>
              <w:rPr>
                <w:b/>
                <w:bCs/>
                <w:color w:val="8A6212"/>
                <w:spacing w:val="24"/>
                <w:sz w:val="16"/>
                <w:szCs w:val="16"/>
              </w:rPr>
              <w:t>MERKE</w:t>
            </w:r>
          </w:p>
          <w:p w14:paraId="70A4E51F" w14:textId="77777777" w:rsidR="00C1548D" w:rsidRDefault="009B1B4B">
            <w:pPr>
              <w:spacing w:after="80" w:line="264" w:lineRule="auto"/>
            </w:pPr>
            <w:r>
              <w:rPr>
                <w:sz w:val="20"/>
                <w:szCs w:val="20"/>
              </w:rPr>
              <w:t>Kulturschock ist die normale Reaktion eines Gehirns, das gerade zu viele neue Reize und zu wenig vertraute Bezugspunkte verarbeitet. Er ist kein Charakterfehler und kein Beweis, dass die Entscheidung für die USA falsch war.</w:t>
            </w:r>
          </w:p>
        </w:tc>
      </w:tr>
    </w:tbl>
    <w:p w14:paraId="70A4E521" w14:textId="77777777" w:rsidR="00C1548D" w:rsidRDefault="00C1548D">
      <w:pPr>
        <w:spacing w:line="220" w:lineRule="exact"/>
      </w:pPr>
    </w:p>
    <w:p w14:paraId="70A4E522" w14:textId="77777777" w:rsidR="00C1548D" w:rsidRDefault="009B1B4B">
      <w:pPr>
        <w:pStyle w:val="Heading3"/>
        <w:keepNext/>
        <w:jc w:val="center"/>
      </w:pPr>
      <w:r>
        <w:rPr>
          <w:rFonts w:ascii="Amazon Ember" w:eastAsia="Amazon Ember" w:hAnsi="Amazon Ember" w:cs="Amazon Ember"/>
          <w:color w:val="0000FF"/>
          <w:sz w:val="36"/>
          <w:szCs w:val="36"/>
        </w:rPr>
        <w:t>Die kritischen Monate: 3 bis 6, der erste Winter, die ersten Feiertage</w:t>
      </w:r>
    </w:p>
    <w:p w14:paraId="70A4E523" w14:textId="5E2BDD8F" w:rsidR="00C1548D" w:rsidRDefault="009B1B4B">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In vielen Regionen bedeuten kürzere Tage, Kälte und mehr Zeit drinnen zusätzlichen Druck, gerade wenn noch kein fester Freundeskreis besteht (mehr dazu in Kapitel </w:t>
      </w:r>
      <w:hyperlink w:anchor="k32" w:history="1">
        <w:r>
          <w:t>32</w:t>
        </w:r>
      </w:hyperlink>
      <w:r>
        <w:t xml:space="preserve">). </w:t>
      </w:r>
      <w:r>
        <w:lastRenderedPageBreak/>
        <w:t xml:space="preserve">Drittens die </w:t>
      </w:r>
      <w:r>
        <w:rPr>
          <w:b/>
          <w:bCs/>
        </w:rPr>
        <w:t>ersten Feiertage</w:t>
      </w:r>
      <w:r>
        <w:t xml:space="preserve"> fern der Familie – Thanksgiving kennst du noch nicht als eigene Tradition (Kapitel </w:t>
      </w:r>
      <w:hyperlink w:anchor="k31" w:history="1">
        <w:r>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2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524" w14:textId="77777777" w:rsidR="00C1548D" w:rsidRDefault="009B1B4B">
            <w:pPr>
              <w:keepNext/>
              <w:spacing w:after="70" w:line="240" w:lineRule="auto"/>
            </w:pPr>
            <w:r>
              <w:rPr>
                <w:b/>
                <w:bCs/>
                <w:color w:val="9B2C2C"/>
                <w:spacing w:val="24"/>
                <w:sz w:val="16"/>
                <w:szCs w:val="16"/>
              </w:rPr>
              <w:t>ACHTUNG</w:t>
            </w:r>
          </w:p>
          <w:p w14:paraId="70A4E525" w14:textId="77777777" w:rsidR="00C1548D" w:rsidRDefault="009B1B4B">
            <w:pPr>
              <w:spacing w:after="80" w:line="264" w:lineRule="auto"/>
            </w:pPr>
            <w:r>
              <w:rPr>
                <w:sz w:val="20"/>
                <w:szCs w:val="20"/>
              </w:rPr>
              <w:t>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tc>
      </w:tr>
    </w:tbl>
    <w:p w14:paraId="70A4E527" w14:textId="77777777" w:rsidR="00C1548D" w:rsidRDefault="00C1548D">
      <w:pPr>
        <w:spacing w:line="220" w:lineRule="exact"/>
      </w:pPr>
    </w:p>
    <w:p w14:paraId="70A4E528" w14:textId="77777777" w:rsidR="00C1548D" w:rsidRDefault="009B1B4B">
      <w:pPr>
        <w:pStyle w:val="Heading3"/>
        <w:keepNext/>
        <w:jc w:val="center"/>
      </w:pPr>
      <w:r>
        <w:rPr>
          <w:rFonts w:ascii="Amazon Ember" w:eastAsia="Amazon Ember" w:hAnsi="Amazon Ember" w:cs="Amazon Ember"/>
          <w:color w:val="0000FF"/>
          <w:sz w:val="36"/>
          <w:szCs w:val="36"/>
        </w:rPr>
        <w:t>Wenn der Partner zurücksteht</w:t>
      </w:r>
    </w:p>
    <w:p w14:paraId="70A4E529" w14:textId="0811D84E" w:rsidR="00C1548D" w:rsidRDefault="009B1B4B">
      <w:pPr>
        <w:spacing w:after="140"/>
      </w:pPr>
      <w:r>
        <w:t xml:space="preserve">Am stärksten trifft der Kulturschock häufig den mitreisenden Partner – meist mit </w:t>
      </w:r>
      <w:r>
        <w:rPr>
          <w:i/>
          <w:iCs/>
        </w:rPr>
        <w:t>H-4</w:t>
      </w:r>
      <w:r>
        <w:t>-Status ohne eigene Arbeitserlaubnis (Kapitel </w:t>
      </w:r>
      <w:hyperlink w:anchor="k10" w:history="1">
        <w:r>
          <w:t>10</w:t>
        </w:r>
      </w:hyperlink>
      <w:r>
        <w:t xml:space="preserve">). Wer in Deutschland einen Beruf, Kollegen und ein eigenes Einkommen hatte, verliert das in den USA oft komplett und ist finanziell und sozial vom Partner abhängig. Dazu kommt: Die Kinder finden über die Schule Anschluss, der arbeitende Partner über die Kollegen – wer zu Hause bleibt, hat diese Struktur nicht automatisch. Der Tag hat dann oft keinen äußeren Rhythmus mehr: kein Wecker fürs Büro, kein Kollege, der beim Kaffee fragt, wie das Wochenende war – nur die stille Wohnung, nachdem Kinder und Partner </w:t>
      </w:r>
      <w:r>
        <w:t xml:space="preserve">losgefahren sind. Das ist kein Randthema, sondern einer der häufigsten Gründe für anhaltende Unzufriedenheit im ersten Jahr. Wege aus der Isolation über Routinen, Kurse und Ehrenamt beschreibt </w:t>
      </w:r>
      <w:r>
        <w:t>Kapitel </w:t>
      </w:r>
      <w:hyperlink w:anchor="k32" w:history="1">
        <w:r>
          <w:t>32</w:t>
        </w:r>
      </w:hyperlink>
      <w:r>
        <w:t xml:space="preserve"> ausführlich; hier geht es um den emotionalen Preis, wenn Identität und Tagesstruktur gleichzeitig wegbrechen. Sprich offen aus, was fehlt, statt es als Undankbarkeit gegenüber der gemeinsamen Entscheidung zu werten.</w:t>
      </w:r>
    </w:p>
    <w:p w14:paraId="70A4E52A" w14:textId="77777777" w:rsidR="00C1548D" w:rsidRDefault="009B1B4B">
      <w:pPr>
        <w:pStyle w:val="Heading3"/>
        <w:keepNext/>
        <w:jc w:val="center"/>
      </w:pPr>
      <w:r>
        <w:rPr>
          <w:rFonts w:ascii="Amazon Ember" w:eastAsia="Amazon Ember" w:hAnsi="Amazon Ember" w:cs="Amazon Ember"/>
          <w:color w:val="0000FF"/>
          <w:sz w:val="36"/>
          <w:szCs w:val="36"/>
        </w:rPr>
        <w:lastRenderedPageBreak/>
        <w:t>Kinder und Jugendliche im Kulturschock</w:t>
      </w:r>
    </w:p>
    <w:p w14:paraId="70A4E52B" w14:textId="67442985" w:rsidR="00C1548D" w:rsidRDefault="009B1B4B">
      <w:pPr>
        <w:spacing w:after="140"/>
      </w:pPr>
      <w:r>
        <w:t>Kinder verarbeiten den Wechsel anders als Erwachsene, und jüngere anders als ältere. Vorschul- und Grundschulkinder finden über Schule und Sport meist vergleichsweise schnell Anschluss (Kapitel </w:t>
      </w:r>
      <w:hyperlink w:anchor="k36" w:history="1">
        <w:r>
          <w:t>36</w:t>
        </w:r>
      </w:hyperlink>
      <w: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history="1">
        <w:r>
          <w:t>37</w:t>
        </w:r>
      </w:hyperlink>
      <w:r>
        <w:t>), und das neue Leben wird ständig, auch über soziale Medien, mit dem der zurückgelassenen Freunde verglichen.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2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52C" w14:textId="77777777" w:rsidR="00C1548D" w:rsidRDefault="009B1B4B">
            <w:pPr>
              <w:keepNext/>
              <w:spacing w:after="70" w:line="240" w:lineRule="auto"/>
            </w:pPr>
            <w:r>
              <w:rPr>
                <w:b/>
                <w:bCs/>
                <w:color w:val="9B2C2C"/>
                <w:spacing w:val="24"/>
                <w:sz w:val="16"/>
                <w:szCs w:val="16"/>
              </w:rPr>
              <w:t>ACHTUNG</w:t>
            </w:r>
          </w:p>
          <w:p w14:paraId="70A4E52D" w14:textId="4FE83751" w:rsidR="00C1548D" w:rsidRDefault="009B1B4B">
            <w:pPr>
              <w:spacing w:after="80" w:line="264" w:lineRule="auto"/>
            </w:pPr>
            <w:r>
              <w:rPr>
                <w:sz w:val="20"/>
                <w:szCs w:val="20"/>
              </w:rPr>
              <w:t>Rückzug, plötzlich schlechtere Noten, Schlafprobleme oder anhaltende Gereiztheit bei einem Teenager sind selten reine Pubertät oder Trotz gegen die Eltern. Sprich das direkt an, ohne es kleinzureden („Das legt sich schon“) oder zu dramatisieren. Schulberater (</w:t>
            </w:r>
            <w:r>
              <w:rPr>
                <w:i/>
                <w:iCs/>
                <w:sz w:val="20"/>
                <w:szCs w:val="20"/>
              </w:rPr>
              <w:t>School Counselor</w:t>
            </w:r>
            <w:r>
              <w:rPr>
                <w:sz w:val="20"/>
                <w:szCs w:val="20"/>
              </w:rPr>
              <w:t>) sind an amerikanischen Schulen üblich und kostenlos ansprechbar (Kapitel </w:t>
            </w:r>
            <w:hyperlink w:anchor="k36" w:history="1">
              <w:r>
                <w:rPr>
                  <w:sz w:val="20"/>
                  <w:szCs w:val="20"/>
                </w:rPr>
                <w:t>36</w:t>
              </w:r>
            </w:hyperlink>
            <w:r>
              <w:rPr>
                <w:sz w:val="20"/>
                <w:szCs w:val="20"/>
              </w:rPr>
              <w:t xml:space="preserve"> und </w:t>
            </w:r>
            <w:hyperlink w:anchor="k38" w:history="1">
              <w:r>
                <w:rPr>
                  <w:sz w:val="20"/>
                  <w:szCs w:val="20"/>
                </w:rPr>
                <w:t>38</w:t>
              </w:r>
            </w:hyperlink>
            <w:r>
              <w:rPr>
                <w:sz w:val="20"/>
                <w:szCs w:val="20"/>
              </w:rPr>
              <w:t>).</w:t>
            </w:r>
          </w:p>
        </w:tc>
      </w:tr>
    </w:tbl>
    <w:p w14:paraId="70A4E52F" w14:textId="77777777" w:rsidR="00C1548D" w:rsidRDefault="00C1548D">
      <w:pPr>
        <w:spacing w:line="220" w:lineRule="exact"/>
      </w:pPr>
    </w:p>
    <w:p w14:paraId="70A4E530" w14:textId="77777777" w:rsidR="00C1548D" w:rsidRDefault="009B1B4B">
      <w:pPr>
        <w:pStyle w:val="Heading3"/>
        <w:keepNext/>
        <w:jc w:val="center"/>
      </w:pPr>
      <w:r>
        <w:rPr>
          <w:rFonts w:ascii="Amazon Ember" w:eastAsia="Amazon Ember" w:hAnsi="Amazon Ember" w:cs="Amazon Ember"/>
          <w:color w:val="0000FF"/>
          <w:sz w:val="36"/>
          <w:szCs w:val="36"/>
        </w:rPr>
        <w:t>Was wirklich hilft: Routinen, Rituale, Bewegung, Sprache</w:t>
      </w:r>
    </w:p>
    <w:p w14:paraId="70A4E531" w14:textId="77777777" w:rsidR="00C1548D" w:rsidRDefault="009B1B4B">
      <w:pPr>
        <w:spacing w:after="140"/>
      </w:pPr>
      <w:r>
        <w:t>Vier Dinge wirken erfahrungsgemäß zuverlässiger gegen die Talsohle als reine Willenskraft:</w:t>
      </w:r>
    </w:p>
    <w:p w14:paraId="70A4E532" w14:textId="77777777" w:rsidR="00C1548D" w:rsidRDefault="009B1B4B" w:rsidP="009B1B4B">
      <w:pPr>
        <w:pStyle w:val="ListParagraph"/>
        <w:numPr>
          <w:ilvl w:val="0"/>
          <w:numId w:val="1"/>
        </w:numPr>
        <w:spacing w:after="60"/>
      </w:pPr>
      <w:r>
        <w:rPr>
          <w:b/>
          <w:bCs/>
        </w:rPr>
        <w:t>Routinen.</w:t>
      </w:r>
      <w:r>
        <w:t xml:space="preserve"> Feste Termine außerhalb der Wohnung – Sport, Kurs, Gottesdienst, Ehrenamt – geben Halt, wenn sonst wenig vertraut ist. Der Kalender lügt nicht: Was nicht eingetragen ist, findet in stressigen Wochen zuerst nicht statt.</w:t>
      </w:r>
    </w:p>
    <w:p w14:paraId="70A4E533" w14:textId="77777777" w:rsidR="00C1548D" w:rsidRDefault="009B1B4B" w:rsidP="009B1B4B">
      <w:pPr>
        <w:pStyle w:val="ListParagraph"/>
        <w:numPr>
          <w:ilvl w:val="0"/>
          <w:numId w:val="1"/>
        </w:numPr>
        <w:spacing w:after="60"/>
      </w:pPr>
      <w:r>
        <w:rPr>
          <w:b/>
          <w:bCs/>
        </w:rPr>
        <w:lastRenderedPageBreak/>
        <w:t>Rituale.</w:t>
      </w:r>
      <w:r>
        <w:t xml:space="preserve"> Kleine, wiederkehrende Anker verbinden altes und neues Leben: der Sonntagsanruf nach Deutschland zur gleichen Uhrzeit, der deutsche Brotbäcker im Ort, ein selbst gestalteter Nikolaustag für die Kinder, obwohl ihn hier niemand kennt.</w:t>
      </w:r>
    </w:p>
    <w:p w14:paraId="70A4E534" w14:textId="606D7173" w:rsidR="00C1548D" w:rsidRDefault="009B1B4B" w:rsidP="009B1B4B">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history="1">
        <w:r>
          <w:t>32</w:t>
        </w:r>
      </w:hyperlink>
      <w:r>
        <w:t>).</w:t>
      </w:r>
    </w:p>
    <w:p w14:paraId="70A4E535" w14:textId="40DAD2EB" w:rsidR="00C1548D" w:rsidRDefault="009B1B4B" w:rsidP="009B1B4B">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history="1">
        <w:r>
          <w:t>37</w:t>
        </w:r>
      </w:hyperlink>
      <w:r>
        <w:t>.</w:t>
      </w:r>
    </w:p>
    <w:p w14:paraId="70A4E53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39"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537" w14:textId="77777777" w:rsidR="00C1548D" w:rsidRDefault="009B1B4B">
            <w:pPr>
              <w:keepNext/>
              <w:spacing w:after="70" w:line="240" w:lineRule="auto"/>
            </w:pPr>
            <w:r>
              <w:rPr>
                <w:b/>
                <w:bCs/>
                <w:color w:val="2F6B3B"/>
                <w:spacing w:val="24"/>
                <w:sz w:val="16"/>
                <w:szCs w:val="16"/>
              </w:rPr>
              <w:t>SPARTIPP</w:t>
            </w:r>
          </w:p>
          <w:p w14:paraId="70A4E538" w14:textId="77777777" w:rsidR="00C1548D" w:rsidRDefault="009B1B4B">
            <w:pPr>
              <w:spacing w:after="80" w:line="264" w:lineRule="auto"/>
            </w:pPr>
            <w:r>
              <w:rPr>
                <w:sz w:val="20"/>
                <w:szCs w:val="20"/>
              </w:rPr>
              <w:t>Laufgruppen, Bibliotheksprogramme und die Angebote der städtischen Freizeitverwaltung kosten meist nichts oder wenig und liefern gleichzeitig Struktur, Bewegung und Kontakt – drei Bausteine gegen die Talsohle auf einmal.</w:t>
            </w:r>
          </w:p>
        </w:tc>
      </w:tr>
    </w:tbl>
    <w:p w14:paraId="70A4E53A" w14:textId="77777777" w:rsidR="00C1548D" w:rsidRDefault="00C1548D">
      <w:pPr>
        <w:spacing w:line="220" w:lineRule="exact"/>
      </w:pPr>
    </w:p>
    <w:p w14:paraId="70A4E53B" w14:textId="77777777" w:rsidR="00C1548D" w:rsidRDefault="009B1B4B">
      <w:pPr>
        <w:pStyle w:val="Heading3"/>
        <w:keepNext/>
        <w:jc w:val="center"/>
      </w:pPr>
      <w:r>
        <w:rPr>
          <w:rFonts w:ascii="Amazon Ember" w:eastAsia="Amazon Ember" w:hAnsi="Amazon Ember" w:cs="Amazon Ember"/>
          <w:color w:val="0000FF"/>
          <w:sz w:val="36"/>
          <w:szCs w:val="36"/>
        </w:rPr>
        <w:t>Wann du dir Hilfe holen solltest</w:t>
      </w:r>
    </w:p>
    <w:p w14:paraId="70A4E53C" w14:textId="77777777" w:rsidR="00C1548D" w:rsidRDefault="009B1B4B">
      <w:pPr>
        <w:spacing w:after="140"/>
      </w:pPr>
      <w:r>
        <w:t xml:space="preserve">Heimweh und ein hartes erstes Jahr sind normal. Professionelle Unterstützung ist sinnvoll, wenn eines oder mehrere der folgenden Anzeichen </w:t>
      </w:r>
      <w:r>
        <w:rPr>
          <w:b/>
          <w:bCs/>
        </w:rPr>
        <w:t>über etwa zwei Wochen</w:t>
      </w:r>
      <w:r>
        <w:t xml:space="preserve"> fast täglich auftreten:</w:t>
      </w:r>
    </w:p>
    <w:p w14:paraId="70A4E53D" w14:textId="77777777" w:rsidR="00C1548D" w:rsidRDefault="009B1B4B" w:rsidP="009B1B4B">
      <w:pPr>
        <w:pStyle w:val="ListParagraph"/>
        <w:numPr>
          <w:ilvl w:val="0"/>
          <w:numId w:val="1"/>
        </w:numPr>
        <w:spacing w:after="60"/>
      </w:pPr>
      <w:r>
        <w:t>anhaltende Traurigkeit, Leere oder Reizbarkeit, die sich nicht mehr von selbst bessert</w:t>
      </w:r>
    </w:p>
    <w:p w14:paraId="70A4E53E" w14:textId="77777777" w:rsidR="00C1548D" w:rsidRDefault="009B1B4B" w:rsidP="009B1B4B">
      <w:pPr>
        <w:pStyle w:val="ListParagraph"/>
        <w:numPr>
          <w:ilvl w:val="0"/>
          <w:numId w:val="1"/>
        </w:numPr>
        <w:spacing w:after="60"/>
      </w:pPr>
      <w:r>
        <w:t>Interessenverlust an Dingen, die sonst Freude machen</w:t>
      </w:r>
    </w:p>
    <w:p w14:paraId="70A4E53F" w14:textId="77777777" w:rsidR="00C1548D" w:rsidRDefault="009B1B4B" w:rsidP="009B1B4B">
      <w:pPr>
        <w:pStyle w:val="ListParagraph"/>
        <w:numPr>
          <w:ilvl w:val="0"/>
          <w:numId w:val="1"/>
        </w:numPr>
        <w:spacing w:after="60"/>
      </w:pPr>
      <w:r>
        <w:t>Schlaf- oder Appetitveränderungen, ständige Erschöpfung</w:t>
      </w:r>
    </w:p>
    <w:p w14:paraId="70A4E540" w14:textId="77777777" w:rsidR="00C1548D" w:rsidRDefault="009B1B4B" w:rsidP="009B1B4B">
      <w:pPr>
        <w:pStyle w:val="ListParagraph"/>
        <w:numPr>
          <w:ilvl w:val="0"/>
          <w:numId w:val="1"/>
        </w:numPr>
        <w:spacing w:after="60"/>
      </w:pPr>
      <w:r>
        <w:t>spürbar schlechtere Leistung bei Arbeit, Schule oder im Alltag</w:t>
      </w:r>
    </w:p>
    <w:p w14:paraId="70A4E541" w14:textId="77777777" w:rsidR="00C1548D" w:rsidRDefault="009B1B4B" w:rsidP="009B1B4B">
      <w:pPr>
        <w:pStyle w:val="ListParagraph"/>
        <w:numPr>
          <w:ilvl w:val="0"/>
          <w:numId w:val="1"/>
        </w:numPr>
        <w:spacing w:after="60"/>
      </w:pPr>
      <w:r>
        <w:t>Rückzug von Familie und den wenigen neuen Kontakten</w:t>
      </w:r>
    </w:p>
    <w:p w14:paraId="70A4E542" w14:textId="77777777" w:rsidR="00C1548D" w:rsidRDefault="009B1B4B" w:rsidP="009B1B4B">
      <w:pPr>
        <w:pStyle w:val="ListParagraph"/>
        <w:numPr>
          <w:ilvl w:val="0"/>
          <w:numId w:val="1"/>
        </w:numPr>
        <w:spacing w:after="60"/>
      </w:pPr>
      <w:r>
        <w:t>mehr Alkohol oder Beruhigungsmittel als sonst, um den Tag zu überstehen</w:t>
      </w:r>
    </w:p>
    <w:p w14:paraId="70A4E543" w14:textId="77777777" w:rsidR="00C1548D" w:rsidRDefault="009B1B4B" w:rsidP="009B1B4B">
      <w:pPr>
        <w:pStyle w:val="ListParagraph"/>
        <w:numPr>
          <w:ilvl w:val="0"/>
          <w:numId w:val="1"/>
        </w:numPr>
        <w:spacing w:after="60"/>
      </w:pPr>
      <w:r>
        <w:t>körperliche Beschwerden ohne erkennbare Ursache</w:t>
      </w:r>
    </w:p>
    <w:p w14:paraId="70A4E544" w14:textId="77777777" w:rsidR="00C1548D" w:rsidRDefault="00C1548D">
      <w:pPr>
        <w:spacing w:line="120" w:lineRule="exact"/>
      </w:pPr>
    </w:p>
    <w:p w14:paraId="70A4E545" w14:textId="77777777" w:rsidR="00C1548D" w:rsidRDefault="009B1B4B">
      <w:pPr>
        <w:spacing w:after="140"/>
      </w:pPr>
      <w:r>
        <w:lastRenderedPageBreak/>
        <w:t>Das ist kein Diagnoseinstrument, sondern eine Einladung, das Gefühl ernst zu nehmen und sich fachlich beraten zu lassen, statt es auszusitzen.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4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546" w14:textId="77777777" w:rsidR="00C1548D" w:rsidRDefault="009B1B4B">
            <w:pPr>
              <w:keepNext/>
              <w:spacing w:after="70" w:line="240" w:lineRule="auto"/>
            </w:pPr>
            <w:r>
              <w:rPr>
                <w:b/>
                <w:bCs/>
                <w:color w:val="9B2C2C"/>
                <w:spacing w:val="24"/>
                <w:sz w:val="16"/>
                <w:szCs w:val="16"/>
              </w:rPr>
              <w:t>ACHTUNG</w:t>
            </w:r>
          </w:p>
          <w:p w14:paraId="70A4E547" w14:textId="46A1C481" w:rsidR="00C1548D" w:rsidRDefault="009B1B4B">
            <w:pPr>
              <w:spacing w:after="80" w:line="264" w:lineRule="auto"/>
            </w:pPr>
            <w:r>
              <w:rPr>
                <w:sz w:val="20"/>
                <w:szCs w:val="20"/>
              </w:rPr>
              <w:t xml:space="preserve">Bei akuten Gedanken, sich selbst oder anderen etwas anzutun, wartest du nicht ab. Ruf, chatte oder schreibe sofort 988 (die </w:t>
            </w:r>
            <w:r>
              <w:rPr>
                <w:i/>
                <w:iCs/>
                <w:sz w:val="20"/>
                <w:szCs w:val="20"/>
              </w:rPr>
              <w:t>988 Suicide &amp; Crisis Lifeline</w:t>
            </w:r>
            <w:r>
              <w:rPr>
                <w:sz w:val="20"/>
                <w:szCs w:val="20"/>
              </w:rPr>
              <w:t>, kostenlose Krisenhilfe rund um die Uhr) oder wähle in unmittelbarer Gefahr 911. Die deutsche Auslandsvertretung ist keine Krisenhotline, hilft aber in echten Notlagen (etwa nach einem Verbrechen, Unfall oder Todesfall) rund um die Uhr weiter; die Nummer des zuständigen Generalkonsulats trägst du dir am besten schon vor dem Umzug ein (Kapitel </w:t>
            </w:r>
            <w:hyperlink w:anchor="k16" w:history="1">
              <w:r>
                <w:rPr>
                  <w:sz w:val="20"/>
                  <w:szCs w:val="20"/>
                </w:rPr>
                <w:t>16</w:t>
              </w:r>
            </w:hyperlink>
            <w:r>
              <w:rPr>
                <w:sz w:val="20"/>
                <w:szCs w:val="20"/>
              </w:rPr>
              <w:t>).</w:t>
            </w:r>
          </w:p>
        </w:tc>
      </w:tr>
    </w:tbl>
    <w:p w14:paraId="70A4E549" w14:textId="77777777" w:rsidR="00C1548D" w:rsidRDefault="00C1548D">
      <w:pPr>
        <w:spacing w:line="220" w:lineRule="exact"/>
      </w:pPr>
    </w:p>
    <w:p w14:paraId="70A4E54A" w14:textId="77777777" w:rsidR="00C1548D" w:rsidRDefault="009B1B4B">
      <w:pPr>
        <w:pStyle w:val="Heading3"/>
        <w:keepNext/>
        <w:jc w:val="center"/>
      </w:pPr>
      <w:r>
        <w:rPr>
          <w:rFonts w:ascii="Amazon Ember" w:eastAsia="Amazon Ember" w:hAnsi="Amazon Ember" w:cs="Amazon Ember"/>
          <w:color w:val="0000FF"/>
          <w:sz w:val="36"/>
          <w:szCs w:val="36"/>
        </w:rPr>
        <w:t>Wie Therapie in den USA funktioniert</w:t>
      </w:r>
    </w:p>
    <w:p w14:paraId="70A4E54B" w14:textId="77777777" w:rsidR="00C1548D" w:rsidRDefault="009B1B4B">
      <w:pPr>
        <w:spacing w:after="140"/>
      </w:pPr>
      <w:r>
        <w:t>Anders als die vertraute Krankenkassen-Überweisung in Deutschland ist Psychotherapie in den USA meist Verhandlungssache zwischen Angebot, Versicherung und Geldbeutel. Ein Überblick über die wichtigsten Wege:</w:t>
      </w:r>
    </w:p>
    <w:p w14:paraId="70A4E54C" w14:textId="58D122AD" w:rsidR="00C1548D" w:rsidRDefault="009B1B4B" w:rsidP="009B1B4B">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history="1">
        <w:r>
          <w:t>26</w:t>
        </w:r>
      </w:hyperlink>
      <w:r>
        <w:t>); frage vor dem ersten Termin gezielt nach, ob die Praxis „in-network“ ist.</w:t>
      </w:r>
    </w:p>
    <w:p w14:paraId="70A4E54D" w14:textId="77777777" w:rsidR="00C1548D" w:rsidRDefault="009B1B4B" w:rsidP="009B1B4B">
      <w:pPr>
        <w:pStyle w:val="ListParagraph"/>
        <w:numPr>
          <w:ilvl w:val="0"/>
          <w:numId w:val="1"/>
        </w:numPr>
        <w:spacing w:after="60"/>
      </w:pPr>
      <w:r>
        <w:rPr>
          <w:b/>
          <w:bCs/>
        </w:rPr>
        <w:t>Betriebliche Beratung.</w:t>
      </w:r>
      <w:r>
        <w:t xml:space="preserve"> Viele Arbeitgeber bieten ein </w:t>
      </w:r>
      <w:r>
        <w:rPr>
          <w:i/>
          <w:iCs/>
        </w:rPr>
        <w:t>Employee Assistance Program</w:t>
      </w:r>
      <w:r>
        <w:t xml:space="preserve"> (EAP, betriebliches Beratungs- und Vermittlungsprogramm) an, das meist mehrere – häufig drei bis acht – kostenlose Sitzungen pro Thema und Jahr umfasst, oft auch für mitversicherte Angehörige. Frage beim Arbeitgeber gezielt nach der Zahl der Sitzungen und ob Familienmitglieder eingeschlossen sind.</w:t>
      </w:r>
    </w:p>
    <w:p w14:paraId="70A4E54E" w14:textId="77777777" w:rsidR="00C1548D" w:rsidRDefault="009B1B4B" w:rsidP="009B1B4B">
      <w:pPr>
        <w:pStyle w:val="ListParagraph"/>
        <w:numPr>
          <w:ilvl w:val="0"/>
          <w:numId w:val="1"/>
        </w:numPr>
        <w:spacing w:after="60"/>
      </w:pPr>
      <w:r>
        <w:rPr>
          <w:b/>
          <w:bCs/>
        </w:rPr>
        <w:lastRenderedPageBreak/>
        <w:t>Telehealth.</w:t>
      </w:r>
      <w:r>
        <w:t xml:space="preserve"> Fernbehandlung per Video oder Telefon (</w:t>
      </w:r>
      <w:r>
        <w:rPr>
          <w:i/>
          <w:iCs/>
        </w:rPr>
        <w:t>Telehealth</w:t>
      </w:r>
      <w:r>
        <w:t>)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 das ist in den USA Pflicht.</w:t>
      </w:r>
    </w:p>
    <w:p w14:paraId="70A4E54F" w14:textId="77777777" w:rsidR="00C1548D" w:rsidRDefault="009B1B4B" w:rsidP="009B1B4B">
      <w:pPr>
        <w:pStyle w:val="ListParagraph"/>
        <w:numPr>
          <w:ilvl w:val="0"/>
          <w:numId w:val="1"/>
        </w:numPr>
        <w:spacing w:after="60"/>
      </w:pPr>
      <w:r>
        <w:rPr>
          <w:b/>
          <w:bCs/>
        </w:rPr>
        <w:t>Günstige und kostenlose Angebote.</w:t>
      </w:r>
      <w:r>
        <w:t xml:space="preserve"> Open Path Collective vermittelt Sitzungen für etwa 40–70 $ (einmalige Mitgliedsgebühr rund 65 $); Community Mental Health Centers und, bei Studierenden, Universitätskliniken arbeiten oft nach Einkommen gestaffelt. FindTreatment.gov (eine Datenbank der US-Bundesbehörde SAMHSA) hilft bei der Suche nach lokalen Anlaufstellen.</w:t>
      </w:r>
    </w:p>
    <w:p w14:paraId="70A4E550" w14:textId="77777777" w:rsidR="00C1548D" w:rsidRDefault="009B1B4B" w:rsidP="009B1B4B">
      <w:pPr>
        <w:pStyle w:val="ListParagraph"/>
        <w:numPr>
          <w:ilvl w:val="0"/>
          <w:numId w:val="1"/>
        </w:numPr>
        <w:spacing w:after="60"/>
      </w:pPr>
      <w:r>
        <w:rPr>
          <w:b/>
          <w:bCs/>
        </w:rPr>
        <w:t>Deutschsprachige Therapeuten.</w:t>
      </w:r>
      <w:r>
        <w:t xml:space="preserve"> Verzeichnisse wie Psychology Today (Sprachfilter „German“), Zencare oder therapist.com listen deutschsprachige Therapeutinnen und Therapeuten, viele davon auch per Telehealth über Bundesstaatsgrenzen hinweg erreichbar, solange die Lizenz zum Wohnsitzstaat passt.</w:t>
      </w:r>
    </w:p>
    <w:p w14:paraId="70A4E551" w14:textId="77777777" w:rsidR="00C1548D" w:rsidRDefault="009B1B4B" w:rsidP="009B1B4B">
      <w:pPr>
        <w:pStyle w:val="ListParagraph"/>
        <w:numPr>
          <w:ilvl w:val="0"/>
          <w:numId w:val="1"/>
        </w:numPr>
        <w:spacing w:after="60"/>
      </w:pPr>
      <w:r>
        <w:rPr>
          <w:b/>
          <w:bCs/>
        </w:rPr>
        <w:t>Krisenhilfe 988.</w:t>
      </w:r>
      <w:r>
        <w:t xml:space="preserve"> Die 988 Suicide &amp; Crisis Lifeline ist rund um die Uhr per Anruf, SMS oder Chat erreichbar, kostenlos, mit Dolmetscherdiensten in über 240 Sprachen für Anrufe; ob Deutsch namentlich gelistet ist, war zuletzt nicht sicher zu bestätigen – im Zweifel einfach die gewünschte Sprache nennen.</w:t>
      </w:r>
    </w:p>
    <w:p w14:paraId="70A4E552"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5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553" w14:textId="77777777" w:rsidR="00C1548D" w:rsidRDefault="009B1B4B">
            <w:pPr>
              <w:keepNext/>
              <w:spacing w:after="70" w:line="240" w:lineRule="auto"/>
            </w:pPr>
            <w:r>
              <w:rPr>
                <w:b/>
                <w:bCs/>
                <w:color w:val="9B2C2C"/>
                <w:spacing w:val="24"/>
                <w:sz w:val="16"/>
                <w:szCs w:val="16"/>
              </w:rPr>
              <w:t>ACHTUNG</w:t>
            </w:r>
          </w:p>
          <w:p w14:paraId="70A4E554" w14:textId="77777777" w:rsidR="00C1548D" w:rsidRDefault="009B1B4B">
            <w:pPr>
              <w:spacing w:after="80" w:line="264" w:lineRule="auto"/>
            </w:pPr>
            <w:r>
              <w:rPr>
                <w:sz w:val="20"/>
                <w:szCs w:val="20"/>
              </w:rPr>
              <w:t>Gespräche im EAP gelten grundsätzlich als vertraulich, doch in kleinen Firmen erfährt die Personalabteilung mitunter, dass jemand das Programm nutzt (ohne Gesprächsinhalte). Frage beim Erstkontakt offen nach den Vertraulichkeitsregeln, wenn dir das wichtig ist.</w:t>
            </w:r>
          </w:p>
        </w:tc>
      </w:tr>
    </w:tbl>
    <w:p w14:paraId="70A4E556" w14:textId="77777777" w:rsidR="00C1548D" w:rsidRDefault="00C1548D">
      <w:pPr>
        <w:spacing w:line="220" w:lineRule="exact"/>
      </w:pPr>
    </w:p>
    <w:p w14:paraId="70A4E557" w14:textId="77777777" w:rsidR="00C1548D" w:rsidRDefault="009B1B4B">
      <w:pPr>
        <w:pStyle w:val="Heading3"/>
        <w:keepNext/>
        <w:jc w:val="center"/>
      </w:pPr>
      <w:r>
        <w:rPr>
          <w:rFonts w:ascii="Amazon Ember" w:eastAsia="Amazon Ember" w:hAnsi="Amazon Ember" w:cs="Amazon Ember"/>
          <w:color w:val="0000FF"/>
          <w:sz w:val="36"/>
          <w:szCs w:val="36"/>
        </w:rPr>
        <w:lastRenderedPageBreak/>
        <w:t>Kontakt zur Familie: Zeitverschiebung und Pflegefall zu Hause</w:t>
      </w:r>
    </w:p>
    <w:p w14:paraId="70A4E558" w14:textId="3D500AAF" w:rsidR="00C1548D" w:rsidRDefault="009B1B4B">
      <w:pPr>
        <w:spacing w:after="140"/>
      </w:pPr>
      <w:r>
        <w:t>Berlin liegt sechs Stunden vor der Ostküste und neun vor der Westküste (Standardzeit; Details zur Zeitverschiebung im Alltag stehen in Kapitel </w:t>
      </w:r>
      <w:hyperlink w:anchor="k32" w:history="1">
        <w:r>
          <w:t>32</w:t>
        </w:r>
      </w:hyperlink>
      <w:r>
        <w:t>). Für regelmäßigen Kontakt hilft ein fester Termin mehr als spontane Anrufe, die an der Zeitverschiebung meist scheitern – etwa der Sonntagabend deutscher Zeit, an der Westküste eher der Vormittag.</w:t>
      </w:r>
    </w:p>
    <w:p w14:paraId="70A4E559" w14:textId="745DAC11" w:rsidR="00C1548D" w:rsidRDefault="009B1B4B">
      <w:pPr>
        <w:spacing w:after="140"/>
      </w:pPr>
      <w:r>
        <w:t xml:space="preserve">Schwieriger wird es, wenn ein Elternteil oder Angehöriger zu Hause pflegebedürftig wird. Drei Dinge helfen, wenn dieser Fall eintritt: eine </w:t>
      </w:r>
      <w:r>
        <w:rPr>
          <w:b/>
          <w:bCs/>
        </w:rPr>
        <w:t>Vorsorgevollmacht</w:t>
      </w:r>
      <w:r>
        <w:t xml:space="preserve"> für eine Person vor Ort, die im Ernstfall handeln kann; ein </w:t>
      </w:r>
      <w:r>
        <w:rPr>
          <w:b/>
          <w:bCs/>
        </w:rPr>
        <w:t>realistischer Plan</w:t>
      </w:r>
      <w:r>
        <w:t xml:space="preserve">, wer die Pflege organisiert (Geschwister, ambulanter Pflegedienst, Heimplatz); und </w:t>
      </w:r>
      <w:r>
        <w:rPr>
          <w:b/>
          <w:bCs/>
        </w:rPr>
        <w:t>Klarheit über deinen eigenen Status</w:t>
      </w:r>
      <w:r>
        <w:t>, bevor du kurzfristig fliegst. Wer mitten im Green-Card-Verfahren steckt, braucht unter Umständen vorab eine Reiseerlaubnis (</w:t>
      </w:r>
      <w:r>
        <w:rPr>
          <w:i/>
          <w:iCs/>
        </w:rPr>
        <w:t>Advance Parole</w:t>
      </w:r>
      <w:r>
        <w:t>), um die USA ohne Nachteile für das Verfahren zu verlassen und wieder einzureisen (Kapitel </w:t>
      </w:r>
      <w:hyperlink w:anchor="k6" w:history="1">
        <w:r>
          <w:t>6</w:t>
        </w:r>
      </w:hyperlink>
      <w:r>
        <w:t xml:space="preserve">); bei anderen Visa reicht meist ein gültiger Einreisestempel beziehungsweise ein gültiges Visum im Pass. Das unbezahlte </w:t>
      </w:r>
      <w:r>
        <w:rPr>
          <w:i/>
          <w:iCs/>
        </w:rPr>
        <w:t>Family and Medical Leave Act</w:t>
      </w:r>
      <w:r>
        <w:t xml:space="preserve"> (FMLA, Bundesgesetz zur Familienfreistellung) erlaubt unter bestimmten Voraussetzungen – mindestens zwölf Monate und 1.250 Stunden bei einem Arbeitgeber mit mindestens 50 Beschäftigten im Umkreis von 75 Meilen – bis zu zwölf Wochen Freistellung auch für die Pflege eines Elternteils; ob das auch für Angehörige im Ausland gilt, kläre frühzeitig mit der Personalabteilung.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5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55A" w14:textId="77777777" w:rsidR="00C1548D" w:rsidRDefault="009B1B4B">
            <w:pPr>
              <w:keepNext/>
              <w:spacing w:after="70" w:line="240" w:lineRule="auto"/>
            </w:pPr>
            <w:r>
              <w:rPr>
                <w:b/>
                <w:bCs/>
                <w:color w:val="9B2C2C"/>
                <w:spacing w:val="24"/>
                <w:sz w:val="16"/>
                <w:szCs w:val="16"/>
              </w:rPr>
              <w:t>ACHTUNG</w:t>
            </w:r>
          </w:p>
          <w:p w14:paraId="70A4E55B" w14:textId="77777777" w:rsidR="00C1548D" w:rsidRDefault="009B1B4B">
            <w:pPr>
              <w:spacing w:after="80" w:line="264" w:lineRule="auto"/>
            </w:pPr>
            <w:r>
              <w:rPr>
                <w:sz w:val="20"/>
                <w:szCs w:val="20"/>
              </w:rPr>
              <w:t xml:space="preserve">Kläre deinen Status </w:t>
            </w:r>
            <w:r>
              <w:rPr>
                <w:b/>
                <w:bCs/>
                <w:sz w:val="20"/>
                <w:szCs w:val="20"/>
              </w:rPr>
              <w:t>bevor</w:t>
            </w:r>
            <w:r>
              <w:rPr>
                <w:sz w:val="20"/>
                <w:szCs w:val="20"/>
              </w:rPr>
              <w:t xml:space="preserve"> ein Notfall eintritt, nicht währenddessen. Wer erst am Flughafen merkt, dass eine Reiseerlaubnis fehlt, riskiert im schlimmsten Fall Monate oder Jahre eines laufenden Verfahrens.</w:t>
            </w:r>
          </w:p>
        </w:tc>
      </w:tr>
    </w:tbl>
    <w:p w14:paraId="70A4E55D"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60"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55E" w14:textId="77777777" w:rsidR="00C1548D" w:rsidRDefault="009B1B4B">
            <w:pPr>
              <w:keepNext/>
              <w:spacing w:after="70" w:line="240" w:lineRule="auto"/>
            </w:pPr>
            <w:r>
              <w:rPr>
                <w:b/>
                <w:bCs/>
                <w:color w:val="4A5568"/>
                <w:spacing w:val="24"/>
                <w:sz w:val="16"/>
                <w:szCs w:val="16"/>
              </w:rPr>
              <w:lastRenderedPageBreak/>
              <w:t>PRAXISBEISPIEL · FIKTIV</w:t>
            </w:r>
          </w:p>
          <w:p w14:paraId="70A4E55F" w14:textId="181422C9" w:rsidR="00C1548D" w:rsidRDefault="009B1B4B">
            <w:pPr>
              <w:spacing w:after="80" w:line="264" w:lineRule="auto"/>
            </w:pPr>
            <w:r>
              <w:rPr>
                <w:sz w:val="20"/>
                <w:szCs w:val="20"/>
              </w:rPr>
              <w:t>Anna Brandt (fiktiv) durchlebt im dritten Monat in der Nähe von Detroit die klassische Kulturschock-Talsohle. Sie schläft schlecht, weint häufiger beim Telefonat mit ihrer Mutter und zweifelt am ganzen Umzug. Auslöser ist oft eine Kleinigkeit: Als ihre Mutter am Telefon beiläufig fragt, ob der Kuchen von nebenan noch genauso schmeckt, kann Anna für den Rest des Gesprächs nicht mehr sprechen. Markus’ Arbeitgeber bietet ein EAP mit mehreren kostenlosen Sitzungen pro Thema und Jahr, das auch mitversicherte Ang</w:t>
            </w:r>
            <w:r>
              <w:rPr>
                <w:sz w:val="20"/>
                <w:szCs w:val="20"/>
              </w:rPr>
              <w:t>ehörige nutzen dürfen. Über ein Online-Verzeichnis mit Sprachfilter findet Anna eine deutschsprachige Therapeutin und vereinbart drei Video-Sitzungen. Danach fällt es ihr leichter, sich feste Termine zu setzen, statt sich zurückzuziehen (</w:t>
            </w:r>
            <w:r>
              <w:rPr>
                <w:sz w:val="20"/>
                <w:szCs w:val="20"/>
              </w:rPr>
              <w:t>Kapitel </w:t>
            </w:r>
            <w:hyperlink w:anchor="k32" w:history="1">
              <w:r>
                <w:rPr>
                  <w:sz w:val="20"/>
                  <w:szCs w:val="20"/>
                </w:rPr>
                <w:t>32</w:t>
              </w:r>
            </w:hyperlink>
            <w:r>
              <w:rPr>
                <w:sz w:val="20"/>
                <w:szCs w:val="20"/>
              </w:rPr>
              <w:t>). Nach sechs Wochen ist die akute Krise vorbei; schlechte Tage gibt es weiterhin, aber jetzt kennt sie Werkzeuge dagegen.</w:t>
            </w:r>
          </w:p>
        </w:tc>
      </w:tr>
    </w:tbl>
    <w:p w14:paraId="70A4E561" w14:textId="77777777" w:rsidR="00C1548D" w:rsidRDefault="00C1548D">
      <w:pPr>
        <w:spacing w:line="220" w:lineRule="exact"/>
      </w:pPr>
    </w:p>
    <w:p w14:paraId="70A4E562" w14:textId="77777777" w:rsidR="00C1548D" w:rsidRDefault="009B1B4B">
      <w:pPr>
        <w:pStyle w:val="Heading3"/>
        <w:keepNext/>
        <w:jc w:val="center"/>
      </w:pPr>
      <w:r>
        <w:rPr>
          <w:rFonts w:ascii="Amazon Ember" w:eastAsia="Amazon Ember" w:hAnsi="Amazon Ember" w:cs="Amazon Ember"/>
          <w:color w:val="0000FF"/>
          <w:sz w:val="36"/>
          <w:szCs w:val="36"/>
        </w:rPr>
        <w:t>Paare unter Stress</w:t>
      </w:r>
    </w:p>
    <w:p w14:paraId="70A4E563" w14:textId="77137DB2" w:rsidR="00C1548D" w:rsidRDefault="009B1B4B">
      <w:pPr>
        <w:spacing w:after="140"/>
      </w:pPr>
      <w:r>
        <w:t>Ein Umzug in die USA belastet auch stabile Beziehungen. Häufige Gründe: unterschiedliches Anpassungstempo (oft läuft es beim einen Partner über die Arbeit runder als beim anderen zu Hause), die längeren, weniger planbaren Arbeitszeiten vieler US-Jobs (Kapitel </w:t>
      </w:r>
      <w:hyperlink w:anchor="k29" w:history="1">
        <w:r>
          <w:t>29</w:t>
        </w:r>
      </w:hyperlink>
      <w:r>
        <w:t>), finanzielle Abhängigkeit bei fehlender Arbeitserlaubnis und der Wegfall des gewohnten Unterstützungsnetzes aus Familie und alten Freunden, das in Krisen sonst auffängt. Wer das offen anspricht, statt es zu verdrängen, kommt meist besser durch die ersten Jahre.</w:t>
      </w:r>
    </w:p>
    <w:p w14:paraId="70A4E564" w14:textId="77777777" w:rsidR="00C1548D" w:rsidRDefault="009B1B4B" w:rsidP="009B1B4B">
      <w:pPr>
        <w:pStyle w:val="ListParagraph"/>
        <w:numPr>
          <w:ilvl w:val="0"/>
          <w:numId w:val="1"/>
        </w:numPr>
        <w:spacing w:after="60"/>
      </w:pPr>
      <w:r>
        <w:t>Vereinbart ein festes wöchentliches Gespräch nur zu zweit, ohne Handy, in dem beide offen sagen dürfen, was fehlt.</w:t>
      </w:r>
    </w:p>
    <w:p w14:paraId="70A4E565" w14:textId="77777777" w:rsidR="00C1548D" w:rsidRDefault="009B1B4B" w:rsidP="009B1B4B">
      <w:pPr>
        <w:pStyle w:val="ListParagraph"/>
        <w:numPr>
          <w:ilvl w:val="0"/>
          <w:numId w:val="1"/>
        </w:numPr>
        <w:spacing w:after="60"/>
      </w:pPr>
      <w:r>
        <w:t>Verteilt Verantwortung neu, wenn ein Partner zu Hause bleibt – finanzielle Abhängigkeit heißt nicht automatisch weniger Mitsprache.</w:t>
      </w:r>
    </w:p>
    <w:p w14:paraId="70A4E566" w14:textId="77777777" w:rsidR="00C1548D" w:rsidRDefault="009B1B4B" w:rsidP="009B1B4B">
      <w:pPr>
        <w:pStyle w:val="ListParagraph"/>
        <w:numPr>
          <w:ilvl w:val="0"/>
          <w:numId w:val="1"/>
        </w:numPr>
        <w:spacing w:after="60"/>
      </w:pPr>
      <w:r>
        <w:t>Nutzt bei Bedarf Paarberatung; viele EAPs und Telehealth-Anbieter vermitteln auch Paarsitzungen, nicht nur Einzeltherapie.</w:t>
      </w:r>
    </w:p>
    <w:p w14:paraId="70A4E56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6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568" w14:textId="77777777" w:rsidR="00C1548D" w:rsidRDefault="009B1B4B">
            <w:pPr>
              <w:keepNext/>
              <w:spacing w:after="70" w:line="240" w:lineRule="auto"/>
            </w:pPr>
            <w:r>
              <w:rPr>
                <w:b/>
                <w:bCs/>
                <w:color w:val="9B2C2C"/>
                <w:spacing w:val="24"/>
                <w:sz w:val="16"/>
                <w:szCs w:val="16"/>
              </w:rPr>
              <w:t>ACHTUNG</w:t>
            </w:r>
          </w:p>
          <w:p w14:paraId="70A4E569" w14:textId="7E1235B5" w:rsidR="00C1548D" w:rsidRDefault="009B1B4B">
            <w:pPr>
              <w:spacing w:after="80" w:line="264" w:lineRule="auto"/>
            </w:pPr>
            <w:r>
              <w:rPr>
                <w:sz w:val="20"/>
                <w:szCs w:val="20"/>
              </w:rPr>
              <w:t>Große Entscheidungen – Kündigung, vorzeitige Rückkehr nach Deutschland, Trennung – solltest du nach Möglichkeit nicht mitten in der Kulturschock-Talsohle treffen. Was sich im dritten Monat unerträglich anfühlt, sieht im siebten oft anders aus. Zum ehrlichen Plan B gehört Kapitel </w:t>
            </w:r>
            <w:hyperlink w:anchor="k42" w:history="1">
              <w:r>
                <w:rPr>
                  <w:sz w:val="20"/>
                  <w:szCs w:val="20"/>
                </w:rPr>
                <w:t>42</w:t>
              </w:r>
            </w:hyperlink>
            <w:r>
              <w:rPr>
                <w:sz w:val="20"/>
                <w:szCs w:val="20"/>
              </w:rPr>
              <w:t>.</w:t>
            </w:r>
          </w:p>
        </w:tc>
      </w:tr>
    </w:tbl>
    <w:p w14:paraId="70A4E56B"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6E"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56C" w14:textId="77777777" w:rsidR="00C1548D" w:rsidRDefault="009B1B4B">
            <w:pPr>
              <w:keepNext/>
              <w:spacing w:after="70" w:line="240" w:lineRule="auto"/>
            </w:pPr>
            <w:r>
              <w:rPr>
                <w:b/>
                <w:bCs/>
                <w:color w:val="8A6212"/>
                <w:spacing w:val="24"/>
                <w:sz w:val="16"/>
                <w:szCs w:val="16"/>
              </w:rPr>
              <w:t>MERKE</w:t>
            </w:r>
          </w:p>
          <w:p w14:paraId="70A4E56D" w14:textId="77777777" w:rsidR="00C1548D" w:rsidRDefault="009B1B4B">
            <w:pPr>
              <w:spacing w:after="80" w:line="264" w:lineRule="auto"/>
            </w:pPr>
            <w:r>
              <w:rPr>
                <w:sz w:val="20"/>
                <w:szCs w:val="20"/>
              </w:rPr>
              <w:t>Sich professionelle Hilfe zu holen, ist in den USA weit verbreitet und kein Zeichen des Scheiterns – es ist eher die Ausnahme, die niemand in Anspruch nimmt, die auffällt.</w:t>
            </w:r>
          </w:p>
        </w:tc>
      </w:tr>
    </w:tbl>
    <w:p w14:paraId="70A4E56F" w14:textId="77777777" w:rsidR="00C1548D" w:rsidRDefault="00C1548D">
      <w:pPr>
        <w:spacing w:line="220" w:lineRule="exact"/>
      </w:pPr>
    </w:p>
    <w:p w14:paraId="70A4E570"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573"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71"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72" w14:textId="77777777" w:rsidR="00C1548D" w:rsidRDefault="009B1B4B">
            <w:pPr>
              <w:spacing w:line="250" w:lineRule="auto"/>
            </w:pPr>
            <w:r>
              <w:rPr>
                <w:b/>
                <w:bCs/>
                <w:sz w:val="18"/>
                <w:szCs w:val="18"/>
              </w:rPr>
              <w:t>Minus</w:t>
            </w:r>
          </w:p>
        </w:tc>
      </w:tr>
      <w:tr w:rsidR="00C1548D" w14:paraId="70A4E57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74" w14:textId="77777777" w:rsidR="00C1548D" w:rsidRDefault="009B1B4B">
            <w:pPr>
              <w:spacing w:line="250" w:lineRule="auto"/>
            </w:pPr>
            <w:r>
              <w:rPr>
                <w:sz w:val="18"/>
                <w:szCs w:val="18"/>
              </w:rPr>
              <w:t>Neue Herausforderungen stärken oft Selbstvertrauen und Problemlösefähigkeit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75" w14:textId="77777777" w:rsidR="00C1548D" w:rsidRDefault="009B1B4B">
            <w:pPr>
              <w:spacing w:line="250" w:lineRule="auto"/>
            </w:pPr>
            <w:r>
              <w:rPr>
                <w:sz w:val="18"/>
                <w:szCs w:val="18"/>
              </w:rPr>
              <w:t>Der Wegfall vertrauter Netzwerke wiegt in Krisen schwer</w:t>
            </w:r>
          </w:p>
        </w:tc>
      </w:tr>
      <w:tr w:rsidR="00C1548D" w14:paraId="70A4E57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77" w14:textId="77777777" w:rsidR="00C1548D" w:rsidRDefault="009B1B4B">
            <w:pPr>
              <w:spacing w:line="250" w:lineRule="auto"/>
            </w:pPr>
            <w:r>
              <w:rPr>
                <w:sz w:val="18"/>
                <w:szCs w:val="18"/>
              </w:rPr>
              <w:t>US-Arbeitgeber bieten häufiger EAP und Telehealth als deutsche Betriebe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78" w14:textId="77777777" w:rsidR="00C1548D" w:rsidRDefault="009B1B4B">
            <w:pPr>
              <w:spacing w:line="250" w:lineRule="auto"/>
            </w:pPr>
            <w:r>
              <w:rPr>
                <w:sz w:val="18"/>
                <w:szCs w:val="18"/>
              </w:rPr>
              <w:t>Therapiekosten und Versicherungsregeln sind ohne Plan unübersichtlich</w:t>
            </w:r>
          </w:p>
        </w:tc>
      </w:tr>
      <w:tr w:rsidR="00C1548D" w14:paraId="70A4E57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7A" w14:textId="77777777" w:rsidR="00C1548D" w:rsidRDefault="009B1B4B">
            <w:pPr>
              <w:spacing w:line="250" w:lineRule="auto"/>
            </w:pPr>
            <w:r>
              <w:rPr>
                <w:sz w:val="18"/>
                <w:szCs w:val="18"/>
              </w:rPr>
              <w:t>Videotelefonie hält Familie und Freunde näher als frühere Auswanderergenerationen es kannten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7B" w14:textId="77777777" w:rsidR="00C1548D" w:rsidRDefault="009B1B4B">
            <w:pPr>
              <w:spacing w:line="250" w:lineRule="auto"/>
            </w:pPr>
            <w:r>
              <w:rPr>
                <w:sz w:val="18"/>
                <w:szCs w:val="18"/>
              </w:rPr>
              <w:t>Zeitverschiebung erschwert spontane Nähe im Notfall</w:t>
            </w:r>
          </w:p>
        </w:tc>
      </w:tr>
      <w:tr w:rsidR="00C1548D" w14:paraId="70A4E57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7D" w14:textId="77777777" w:rsidR="00C1548D" w:rsidRDefault="009B1B4B">
            <w:pPr>
              <w:spacing w:line="250" w:lineRule="auto"/>
            </w:pPr>
            <w:r>
              <w:rPr>
                <w:sz w:val="18"/>
                <w:szCs w:val="18"/>
              </w:rPr>
              <w:t>Der Kulturschock ist zeitlich begrenzt und meist überwindbar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7E" w14:textId="77777777" w:rsidR="00C1548D" w:rsidRDefault="009B1B4B">
            <w:pPr>
              <w:spacing w:line="250" w:lineRule="auto"/>
            </w:pPr>
            <w:r>
              <w:rPr>
                <w:sz w:val="18"/>
                <w:szCs w:val="18"/>
              </w:rPr>
              <w:t>Manche Beziehungen zerbrechen am Druck der ersten Jahre</w:t>
            </w:r>
          </w:p>
        </w:tc>
      </w:tr>
      <w:tr w:rsidR="00C1548D" w14:paraId="70A4E58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80" w14:textId="77777777" w:rsidR="00C1548D" w:rsidRDefault="009B1B4B">
            <w:pPr>
              <w:spacing w:line="250" w:lineRule="auto"/>
            </w:pPr>
            <w:r>
              <w:rPr>
                <w:sz w:val="18"/>
                <w:szCs w:val="18"/>
              </w:rPr>
              <w:t>Wer die Talsohle übersteht, gewinnt oft eine stabilere, bikulturelle Identität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81" w14:textId="77777777" w:rsidR="00C1548D" w:rsidRDefault="009B1B4B">
            <w:pPr>
              <w:spacing w:line="250" w:lineRule="auto"/>
            </w:pPr>
            <w:r>
              <w:rPr>
                <w:sz w:val="18"/>
                <w:szCs w:val="18"/>
              </w:rPr>
              <w:t>Rückzug in die eigene Wohnung verlängert die Einsamkeit zusätzlich</w:t>
            </w:r>
          </w:p>
        </w:tc>
      </w:tr>
    </w:tbl>
    <w:p w14:paraId="70A4E583" w14:textId="77777777" w:rsidR="00C1548D" w:rsidRDefault="00C1548D">
      <w:pPr>
        <w:spacing w:line="180" w:lineRule="exact"/>
      </w:pPr>
    </w:p>
    <w:p w14:paraId="70A4E584"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585" w14:textId="77777777" w:rsidR="00C1548D" w:rsidRDefault="009B1B4B">
      <w:pPr>
        <w:spacing w:after="140"/>
      </w:pPr>
      <w:r>
        <w:t xml:space="preserve">Baue schon in den ersten Wochen zwei bis drei feste Termine außerhalb der Wohnung ein, bevor die Talsohle überhaupt erreicht ist. Sucht dir und deinem Partner gemeinsam heraus, was dein Arbeitgeber an EAP bietet, und speichere dir eine deutschsprachige </w:t>
      </w:r>
      <w:r>
        <w:lastRenderedPageBreak/>
        <w:t>Therapeutin oder einen Therapeuten sowie 988, bevor du sie brauchst. Vereinbart einen festen Familientermin trotz Zeitverschiebung und sprecht als Paar einmal wöchentlich offen darüber, wie es beiden wirklich geht.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91"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586" w14:textId="77777777" w:rsidR="00C1548D" w:rsidRDefault="009B1B4B">
            <w:pPr>
              <w:keepNext/>
              <w:spacing w:after="70" w:line="240" w:lineRule="auto"/>
            </w:pPr>
            <w:r>
              <w:rPr>
                <w:b/>
                <w:bCs/>
                <w:color w:val="1F6F78"/>
                <w:spacing w:val="24"/>
                <w:sz w:val="16"/>
                <w:szCs w:val="16"/>
              </w:rPr>
              <w:t>CHECKLISTE</w:t>
            </w:r>
          </w:p>
          <w:p w14:paraId="70A4E58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Zwei bis drei feste Wochentermine außerhalb der Wohnung von Anfang an einplanen</w:t>
            </w:r>
          </w:p>
          <w:p w14:paraId="70A4E58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EAP-Leistungen des Arbeitgebers erfragen: Zahl der Sitzungen, Einschluss von Angehörigen, Vertraulichkeit</w:t>
            </w:r>
          </w:p>
          <w:p w14:paraId="70A4E58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Eine deutschsprachige Therapeutin oder einen Therapeuten über ein Online-Verzeichnis vormerken, bevor akuter Bedarf besteht</w:t>
            </w:r>
          </w:p>
          <w:p w14:paraId="70A4E58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988 in den Kontakten speichern; wissen, dass Anruf, SMS und Chat möglich sind</w:t>
            </w:r>
          </w:p>
          <w:p w14:paraId="70A4E58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Heimatbesuchen zu Feiertagen früh buchen statt im Tief spontan</w:t>
            </w:r>
          </w:p>
          <w:p w14:paraId="70A4E58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Kindern und Teenagern auf Schlaf, Noten, Rückzug und körperliche Beschwerden achten und offen ansprechen</w:t>
            </w:r>
          </w:p>
          <w:p w14:paraId="70A4E58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Eine Vorsorgevollmacht für Angehörige zu Hause klären, bevor ein Pflegefall eintritt</w:t>
            </w:r>
          </w:p>
          <w:p w14:paraId="70A4E58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laufendem Green-Card-Verfahren die Regeln zu Advance Parole vor jeder Reise prüfen</w:t>
            </w:r>
          </w:p>
          <w:p w14:paraId="70A4E58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Als Paar ein festes wöchentliches Gespräch ohne Ablenkung vereinbaren</w:t>
            </w:r>
          </w:p>
          <w:p w14:paraId="70A4E59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Große Entscheidungen (Kündigung, Rückkehr, Trennung) nicht in der akuten Talsohle treffen</w:t>
            </w:r>
          </w:p>
        </w:tc>
      </w:tr>
    </w:tbl>
    <w:p w14:paraId="70A4E592" w14:textId="77777777" w:rsidR="00C1548D" w:rsidRDefault="00C1548D">
      <w:pPr>
        <w:spacing w:line="220" w:lineRule="exact"/>
      </w:pPr>
    </w:p>
    <w:p w14:paraId="70A4E593"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594" w14:textId="6721796F" w:rsidR="00C1548D" w:rsidRDefault="009B1B4B" w:rsidP="009B1B4B">
      <w:pPr>
        <w:pStyle w:val="ListParagraph"/>
        <w:numPr>
          <w:ilvl w:val="0"/>
          <w:numId w:val="1"/>
        </w:numPr>
        <w:spacing w:after="60"/>
      </w:pPr>
      <w:r>
        <w:t>988 Suicide &amp; Crisis Lifeline — Krisenhilfe, Sprachen, Kontaktwege (</w:t>
      </w:r>
      <w:hyperlink r:id="rId284" w:history="1">
        <w:r>
          <w:rPr>
            <w:color w:val="0563C1"/>
            <w:u w:val="single"/>
          </w:rPr>
          <w:t>988lifeline.org</w:t>
        </w:r>
      </w:hyperlink>
      <w:r>
        <w:t>)</w:t>
      </w:r>
    </w:p>
    <w:p w14:paraId="70A4E595" w14:textId="4F12A44C" w:rsidR="00C1548D" w:rsidRDefault="009B1B4B" w:rsidP="009B1B4B">
      <w:pPr>
        <w:pStyle w:val="ListParagraph"/>
        <w:numPr>
          <w:ilvl w:val="0"/>
          <w:numId w:val="1"/>
        </w:numPr>
        <w:spacing w:after="60"/>
      </w:pPr>
      <w:r>
        <w:t>SAMHSA — Häufige Fragen zu 988 (</w:t>
      </w:r>
      <w:hyperlink r:id="rId285" w:history="1">
        <w:r>
          <w:rPr>
            <w:color w:val="0563C1"/>
            <w:u w:val="single"/>
          </w:rPr>
          <w:t>samhsa.gov/mental-health/988/faqs</w:t>
        </w:r>
      </w:hyperlink>
      <w:r>
        <w:t>)</w:t>
      </w:r>
    </w:p>
    <w:p w14:paraId="70A4E596" w14:textId="3F216C6D" w:rsidR="00C1548D" w:rsidRDefault="009B1B4B" w:rsidP="009B1B4B">
      <w:pPr>
        <w:pStyle w:val="ListParagraph"/>
        <w:numPr>
          <w:ilvl w:val="0"/>
          <w:numId w:val="1"/>
        </w:numPr>
        <w:spacing w:after="60"/>
      </w:pPr>
      <w:r>
        <w:lastRenderedPageBreak/>
        <w:t>SAMHSA — Behandlungssuche FindTreatment.gov (</w:t>
      </w:r>
      <w:hyperlink r:id="rId286" w:history="1">
        <w:r>
          <w:rPr>
            <w:color w:val="0563C1"/>
            <w:u w:val="single"/>
          </w:rPr>
          <w:t>findtreatment.gov</w:t>
        </w:r>
      </w:hyperlink>
      <w:r>
        <w:t>)</w:t>
      </w:r>
    </w:p>
    <w:p w14:paraId="70A4E597" w14:textId="1B359EAA" w:rsidR="00C1548D" w:rsidRDefault="009B1B4B" w:rsidP="009B1B4B">
      <w:pPr>
        <w:pStyle w:val="ListParagraph"/>
        <w:numPr>
          <w:ilvl w:val="0"/>
          <w:numId w:val="1"/>
        </w:numPr>
        <w:spacing w:after="60"/>
      </w:pPr>
      <w:r>
        <w:t>Psychology Today — deutschsprachige Therapeutensuche (</w:t>
      </w:r>
      <w:hyperlink r:id="rId287" w:history="1">
        <w:r>
          <w:rPr>
            <w:color w:val="0563C1"/>
            <w:u w:val="single"/>
          </w:rPr>
          <w:t>psychologytoday.com/us/therapists/german</w:t>
        </w:r>
      </w:hyperlink>
      <w:r>
        <w:t>)</w:t>
      </w:r>
    </w:p>
    <w:p w14:paraId="70A4E598" w14:textId="79A30ADB" w:rsidR="00C1548D" w:rsidRDefault="009B1B4B" w:rsidP="009B1B4B">
      <w:pPr>
        <w:pStyle w:val="ListParagraph"/>
        <w:numPr>
          <w:ilvl w:val="0"/>
          <w:numId w:val="1"/>
        </w:numPr>
        <w:spacing w:after="60"/>
      </w:pPr>
      <w:r>
        <w:t>Open Path Collective — reduzierte Therapiepreise (</w:t>
      </w:r>
      <w:hyperlink r:id="rId288" w:history="1">
        <w:r>
          <w:rPr>
            <w:color w:val="0563C1"/>
            <w:u w:val="single"/>
          </w:rPr>
          <w:t>openpathcollective.org</w:t>
        </w:r>
      </w:hyperlink>
      <w:r>
        <w:t>)</w:t>
      </w:r>
    </w:p>
    <w:p w14:paraId="70A4E599" w14:textId="1ECC3F7C" w:rsidR="00C1548D" w:rsidRDefault="009B1B4B" w:rsidP="009B1B4B">
      <w:pPr>
        <w:pStyle w:val="ListParagraph"/>
        <w:numPr>
          <w:ilvl w:val="0"/>
          <w:numId w:val="1"/>
        </w:numPr>
        <w:spacing w:after="60"/>
      </w:pPr>
      <w:r>
        <w:t>US Office of Personnel Management — Employee Assistance Programs (</w:t>
      </w:r>
      <w:hyperlink r:id="rId289" w:history="1">
        <w:r>
          <w:rPr>
            <w:color w:val="0563C1"/>
            <w:u w:val="single"/>
          </w:rPr>
          <w:t>opm.gov</w:t>
        </w:r>
      </w:hyperlink>
      <w:r>
        <w:t>, Suche: employee assistance program)</w:t>
      </w:r>
    </w:p>
    <w:p w14:paraId="70A4E59A"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9D"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59B" w14:textId="77777777" w:rsidR="00C1548D" w:rsidRDefault="009B1B4B">
            <w:pPr>
              <w:keepNext/>
              <w:spacing w:after="70" w:line="240" w:lineRule="auto"/>
            </w:pPr>
            <w:r>
              <w:rPr>
                <w:b/>
                <w:bCs/>
                <w:color w:val="6B7280"/>
                <w:spacing w:val="24"/>
                <w:sz w:val="16"/>
                <w:szCs w:val="16"/>
              </w:rPr>
              <w:t>STAND</w:t>
            </w:r>
          </w:p>
          <w:p w14:paraId="70A4E59C" w14:textId="77777777" w:rsidR="00C1548D" w:rsidRDefault="009B1B4B">
            <w:pPr>
              <w:spacing w:after="80" w:line="264" w:lineRule="auto"/>
            </w:pPr>
            <w:r>
              <w:rPr>
                <w:sz w:val="20"/>
                <w:szCs w:val="20"/>
              </w:rPr>
              <w:t>September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tc>
      </w:tr>
    </w:tbl>
    <w:p w14:paraId="70A4E59E" w14:textId="77777777" w:rsidR="00C1548D" w:rsidRDefault="00C1548D">
      <w:pPr>
        <w:spacing w:line="220" w:lineRule="exact"/>
      </w:pPr>
    </w:p>
    <w:p w14:paraId="70A4E59F" w14:textId="77777777" w:rsidR="00C1548D" w:rsidRDefault="009B1B4B">
      <w:pPr>
        <w:pStyle w:val="Heading2"/>
        <w:keepNext/>
        <w:pageBreakBefore/>
        <w:jc w:val="center"/>
      </w:pPr>
      <w:bookmarkStart w:id="81" w:name="k34"/>
      <w:bookmarkStart w:id="82" w:name="_Toc241352490"/>
      <w:r>
        <w:rPr>
          <w:rFonts w:ascii="Amazon Ember" w:eastAsia="Amazon Ember" w:hAnsi="Amazon Ember" w:cs="Amazon Ember"/>
          <w:color w:val="0000FF"/>
          <w:sz w:val="36"/>
          <w:szCs w:val="36"/>
        </w:rPr>
        <w:lastRenderedPageBreak/>
        <w:t>Kapitel 34: Kleidung: Was man trägt, was man kauft, was man mitnimmt</w:t>
      </w:r>
      <w:bookmarkEnd w:id="81"/>
      <w:bookmarkEnd w:id="82"/>
    </w:p>
    <w:p w14:paraId="70A4E5A0" w14:textId="77777777" w:rsidR="00C1548D" w:rsidRDefault="009B1B4B">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Die Regeln dahinter sind selten aufgeschrieben, aber gut zu beobachten.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A8"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5A1" w14:textId="77777777" w:rsidR="00C1548D" w:rsidRDefault="009B1B4B">
            <w:pPr>
              <w:keepNext/>
              <w:spacing w:after="70" w:line="240" w:lineRule="auto"/>
            </w:pPr>
            <w:r>
              <w:rPr>
                <w:b/>
                <w:bCs/>
                <w:color w:val="1F3A5F"/>
                <w:spacing w:val="24"/>
                <w:sz w:val="16"/>
                <w:szCs w:val="16"/>
              </w:rPr>
              <w:t>KURZ GESAGT</w:t>
            </w:r>
          </w:p>
          <w:p w14:paraId="70A4E5A2" w14:textId="77777777" w:rsidR="00C1548D" w:rsidRDefault="009B1B4B" w:rsidP="009B1B4B">
            <w:pPr>
              <w:pStyle w:val="ListParagraph"/>
              <w:numPr>
                <w:ilvl w:val="0"/>
                <w:numId w:val="1"/>
              </w:numPr>
              <w:spacing w:after="50" w:line="264" w:lineRule="auto"/>
            </w:pPr>
            <w:r>
              <w:rPr>
                <w:sz w:val="20"/>
                <w:szCs w:val="20"/>
              </w:rPr>
              <w:t>Komfort geht vor Anlass: Im Alltag und in den meisten Büros ist Legeres normal; Anzüge bleiben Finanzen, Recht und formellen Anlässen vorbehalten.</w:t>
            </w:r>
          </w:p>
          <w:p w14:paraId="70A4E5A3" w14:textId="77777777" w:rsidR="00C1548D" w:rsidRDefault="009B1B4B" w:rsidP="009B1B4B">
            <w:pPr>
              <w:pStyle w:val="ListParagraph"/>
              <w:numPr>
                <w:ilvl w:val="0"/>
                <w:numId w:val="1"/>
              </w:numPr>
              <w:spacing w:after="50" w:line="264" w:lineRule="auto"/>
            </w:pPr>
            <w:r>
              <w:rPr>
                <w:sz w:val="20"/>
                <w:szCs w:val="20"/>
              </w:rPr>
              <w:t>Einen Dresscode findest du selten schriftlich. Frage nach; zum Vorstellungsgespräch kommst du eine Stufe formeller.</w:t>
            </w:r>
          </w:p>
          <w:p w14:paraId="70A4E5A4" w14:textId="77777777" w:rsidR="00C1548D" w:rsidRDefault="009B1B4B" w:rsidP="009B1B4B">
            <w:pPr>
              <w:pStyle w:val="ListParagraph"/>
              <w:numPr>
                <w:ilvl w:val="0"/>
                <w:numId w:val="1"/>
              </w:numPr>
              <w:spacing w:after="50" w:line="264" w:lineRule="auto"/>
            </w:pPr>
            <w:r>
              <w:rPr>
                <w:sz w:val="20"/>
                <w:szCs w:val="20"/>
              </w:rPr>
              <w:t>US-Größen schwanken je Marke (</w:t>
            </w:r>
            <w:r>
              <w:rPr>
                <w:i/>
                <w:iCs/>
                <w:sz w:val="20"/>
                <w:szCs w:val="20"/>
              </w:rPr>
              <w:t>Vanity Sizing</w:t>
            </w:r>
            <w:r>
              <w:rPr>
                <w:sz w:val="20"/>
                <w:szCs w:val="20"/>
              </w:rPr>
              <w:t>). Die Tabellen hier sind ein Startpunkt, anprobieren bleibt Pflicht.</w:t>
            </w:r>
          </w:p>
          <w:p w14:paraId="70A4E5A5" w14:textId="77777777" w:rsidR="00C1548D" w:rsidRDefault="009B1B4B" w:rsidP="009B1B4B">
            <w:pPr>
              <w:pStyle w:val="ListParagraph"/>
              <w:numPr>
                <w:ilvl w:val="0"/>
                <w:numId w:val="1"/>
              </w:numPr>
              <w:spacing w:after="50" w:line="264" w:lineRule="auto"/>
            </w:pPr>
            <w:r>
              <w:rPr>
                <w:sz w:val="20"/>
                <w:szCs w:val="20"/>
              </w:rPr>
              <w:t>Basics, Winterausrüstung und Kinderkleidung kaufst du vor Ort: Off-Price-Ketten, Sales, Second Hand.</w:t>
            </w:r>
          </w:p>
          <w:p w14:paraId="70A4E5A6" w14:textId="77777777" w:rsidR="00C1548D" w:rsidRDefault="009B1B4B" w:rsidP="009B1B4B">
            <w:pPr>
              <w:pStyle w:val="ListParagraph"/>
              <w:numPr>
                <w:ilvl w:val="0"/>
                <w:numId w:val="1"/>
              </w:numPr>
              <w:spacing w:after="50" w:line="264" w:lineRule="auto"/>
            </w:pPr>
            <w:r>
              <w:rPr>
                <w:sz w:val="20"/>
                <w:szCs w:val="20"/>
              </w:rPr>
              <w:t>Mitnehmen lohnt sich für gute Schuhe, eine warme Jacke bei kaltem Klima, ein bis zwei Business-Outfits, Tracht und Outdoor-Ausrüstung.</w:t>
            </w:r>
          </w:p>
          <w:p w14:paraId="70A4E5A7" w14:textId="77777777" w:rsidR="00C1548D" w:rsidRDefault="009B1B4B" w:rsidP="009B1B4B">
            <w:pPr>
              <w:pStyle w:val="ListParagraph"/>
              <w:numPr>
                <w:ilvl w:val="0"/>
                <w:numId w:val="1"/>
              </w:numPr>
              <w:spacing w:after="50" w:line="264" w:lineRule="auto"/>
            </w:pPr>
            <w:r>
              <w:rPr>
                <w:sz w:val="20"/>
                <w:szCs w:val="20"/>
              </w:rPr>
              <w:t>Am Strand und im Pool ist Badebekleidung Pflicht, FKK praktisch unüblich. Im fremden Haus fragst du, ob die Schuhe an bleiben.</w:t>
            </w:r>
          </w:p>
        </w:tc>
      </w:tr>
    </w:tbl>
    <w:p w14:paraId="70A4E5A9" w14:textId="77777777" w:rsidR="00C1548D" w:rsidRDefault="00C1548D">
      <w:pPr>
        <w:spacing w:line="220" w:lineRule="exact"/>
      </w:pPr>
    </w:p>
    <w:p w14:paraId="70A4E5AA" w14:textId="77777777" w:rsidR="00C1548D" w:rsidRDefault="009B1B4B">
      <w:pPr>
        <w:pStyle w:val="Heading3"/>
        <w:keepNext/>
        <w:jc w:val="center"/>
      </w:pPr>
      <w:r>
        <w:rPr>
          <w:rFonts w:ascii="Amazon Ember" w:eastAsia="Amazon Ember" w:hAnsi="Amazon Ember" w:cs="Amazon Ember"/>
          <w:color w:val="0000FF"/>
          <w:sz w:val="36"/>
          <w:szCs w:val="36"/>
        </w:rPr>
        <w:t>Das Grundprinzip: Komfort vor Anlass</w:t>
      </w:r>
    </w:p>
    <w:p w14:paraId="70A4E5AB" w14:textId="77777777" w:rsidR="00C1548D" w:rsidRDefault="009B1B4B">
      <w:pPr>
        <w:spacing w:after="140"/>
      </w:pPr>
      <w:r>
        <w:t>Verbreiteter Irrtum: Wer vor allem amerikanische Filme und Serien kennt, erwartet im Büro Anzug und Krawatte wie im Wall-Street-Klischee. Tatsächlich ist meist das Gegenteil der Fall: Wer sich wohlfühlt, kleidet sich richtig. Sneaker, Jeans, Kapuzenpullover und Sportkleidung (</w:t>
      </w:r>
      <w:r>
        <w:rPr>
          <w:i/>
          <w:iCs/>
        </w:rPr>
        <w:t>Athleisure</w:t>
      </w:r>
      <w:r>
        <w:t xml:space="preserve">: Leggings, Jogginghosen und </w:t>
      </w:r>
      <w:r>
        <w:lastRenderedPageBreak/>
        <w:t>Funktionsshirts als Alltagskleidung) gehen im Büro, im Klassenzimmer und oft auch im Restaurant. Flip-Flops sind in warmen Regionen von Frühjahr bis Herbst allgegenwärtig. Wer im Januar in Shorts zur Schule geht, hat meist nur den Weg vom beheizten Auto ins beheizte Gebäude vor sich. Und eine Pyjamahose im Supermarkt ist kein Notfall, sondern ein gewöhnlicher Dienstagvormittag.</w:t>
      </w:r>
    </w:p>
    <w:p w14:paraId="70A4E5AC" w14:textId="77777777" w:rsidR="00C1548D" w:rsidRDefault="009B1B4B">
      <w:pPr>
        <w:spacing w:after="140"/>
      </w:pPr>
      <w:r>
        <w:t>Legerheit heißt nicht Gleichgültigkeit: Sauber, ohne Löcher und zum Anlass passend zählt weiterhin. Wer im Anzug erscheint, wo alle Jeans tragen, wird selten schief angesehen, fällt aber auf – als hätte er die Einladung zum Grillabend mit der zur Hochzeit verwechselt.</w:t>
      </w:r>
    </w:p>
    <w:p w14:paraId="70A4E5AD" w14:textId="77777777" w:rsidR="00C1548D" w:rsidRDefault="009B1B4B">
      <w:pPr>
        <w:pStyle w:val="Heading3"/>
        <w:keepNext/>
        <w:jc w:val="center"/>
      </w:pPr>
      <w:r>
        <w:rPr>
          <w:rFonts w:ascii="Amazon Ember" w:eastAsia="Amazon Ember" w:hAnsi="Amazon Ember" w:cs="Amazon Ember"/>
          <w:color w:val="0000FF"/>
          <w:sz w:val="36"/>
          <w:szCs w:val="36"/>
        </w:rPr>
        <w:t>Dresscodes im Job: nach Branche und Region</w:t>
      </w:r>
    </w:p>
    <w:p w14:paraId="70A4E5AE" w14:textId="77777777" w:rsidR="00C1548D" w:rsidRDefault="009B1B4B">
      <w:pPr>
        <w:spacing w:after="140"/>
      </w:pPr>
      <w:r>
        <w:t xml:space="preserve">Kein Gesetz schreibt dir vor, was du im Büro trägst; jeder Arbeitgeber regelt das selbst, oft im </w:t>
      </w:r>
      <w:r>
        <w:rPr>
          <w:i/>
          <w:iCs/>
        </w:rPr>
        <w:t>Employee Handbook</w:t>
      </w:r>
      <w:r>
        <w:t xml:space="preserve"> (Mitarbeiterhandbuch). Drei Stufen begegnen dir am häufigsten: </w:t>
      </w:r>
      <w:r>
        <w:rPr>
          <w:i/>
          <w:iCs/>
        </w:rPr>
        <w:t>Business Formal</w:t>
      </w:r>
      <w:r>
        <w:t xml:space="preserve"> (Anzug und Krawatte oder Kostüm), </w:t>
      </w:r>
      <w:r>
        <w:rPr>
          <w:i/>
          <w:iCs/>
        </w:rPr>
        <w:t>Business Casual</w:t>
      </w:r>
      <w:r>
        <w:t xml:space="preserve"> (Hemd oder Bluse, Chino oder Stoffhose, keine Krawatte) und </w:t>
      </w:r>
      <w:r>
        <w:rPr>
          <w:i/>
          <w:iCs/>
        </w:rPr>
        <w:t>Casual</w:t>
      </w:r>
      <w:r>
        <w:t xml:space="preserve"> (Jeans, T-Shirt, Sneaker). Die meisten Büros liegen bei Business Casual oder darunter.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13"/>
        <w:gridCol w:w="2726"/>
        <w:gridCol w:w="2741"/>
      </w:tblGrid>
      <w:tr w:rsidR="00C1548D" w14:paraId="70A4E5B2" w14:textId="77777777">
        <w:tblPrEx>
          <w:tblCellMar>
            <w:top w:w="0" w:type="dxa"/>
            <w:bottom w:w="0" w:type="dxa"/>
          </w:tblCellMar>
        </w:tblPrEx>
        <w:trPr>
          <w:cantSplit/>
          <w:tblHeader/>
        </w:trPr>
        <w:tc>
          <w:tcPr>
            <w:tcW w:w="101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AF" w14:textId="77777777" w:rsidR="00C1548D" w:rsidRDefault="009B1B4B">
            <w:pPr>
              <w:spacing w:line="250" w:lineRule="auto"/>
            </w:pPr>
            <w:r>
              <w:rPr>
                <w:b/>
                <w:bCs/>
                <w:sz w:val="18"/>
                <w:szCs w:val="18"/>
              </w:rPr>
              <w:t>Branche</w:t>
            </w:r>
          </w:p>
        </w:tc>
        <w:tc>
          <w:tcPr>
            <w:tcW w:w="272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B0" w14:textId="77777777" w:rsidR="00C1548D" w:rsidRDefault="009B1B4B">
            <w:pPr>
              <w:spacing w:line="250" w:lineRule="auto"/>
            </w:pPr>
            <w:r>
              <w:rPr>
                <w:b/>
                <w:bCs/>
                <w:sz w:val="18"/>
                <w:szCs w:val="18"/>
              </w:rPr>
              <w:t>Üblich im Alltag</w:t>
            </w:r>
          </w:p>
        </w:tc>
        <w:tc>
          <w:tcPr>
            <w:tcW w:w="274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B1" w14:textId="77777777" w:rsidR="00C1548D" w:rsidRDefault="009B1B4B">
            <w:pPr>
              <w:spacing w:line="250" w:lineRule="auto"/>
            </w:pPr>
            <w:r>
              <w:rPr>
                <w:b/>
                <w:bCs/>
                <w:sz w:val="18"/>
                <w:szCs w:val="18"/>
              </w:rPr>
              <w:t>Hinweis</w:t>
            </w:r>
          </w:p>
        </w:tc>
      </w:tr>
      <w:tr w:rsidR="00C1548D" w14:paraId="70A4E5B6" w14:textId="77777777">
        <w:tblPrEx>
          <w:tblCellMar>
            <w:top w:w="0" w:type="dxa"/>
            <w:bottom w:w="0" w:type="dxa"/>
          </w:tblCellMar>
        </w:tblPrEx>
        <w:trPr>
          <w:cantSplit/>
        </w:trPr>
        <w:tc>
          <w:tcPr>
            <w:tcW w:w="10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B3" w14:textId="77777777" w:rsidR="00C1548D" w:rsidRDefault="009B1B4B">
            <w:pPr>
              <w:spacing w:line="250" w:lineRule="auto"/>
            </w:pPr>
            <w:r>
              <w:rPr>
                <w:sz w:val="18"/>
                <w:szCs w:val="18"/>
              </w:rPr>
              <w:t>Tech und Software</w:t>
            </w:r>
          </w:p>
        </w:tc>
        <w:tc>
          <w:tcPr>
            <w:tcW w:w="27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B4" w14:textId="77777777" w:rsidR="00C1548D" w:rsidRDefault="009B1B4B">
            <w:pPr>
              <w:spacing w:line="250" w:lineRule="auto"/>
            </w:pPr>
            <w:r>
              <w:rPr>
                <w:sz w:val="18"/>
                <w:szCs w:val="18"/>
              </w:rPr>
              <w:t>Jeans, T-Shirt oder Hoodie, Sneaker</w:t>
            </w:r>
          </w:p>
        </w:tc>
        <w:tc>
          <w:tcPr>
            <w:tcW w:w="27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B5" w14:textId="77777777" w:rsidR="00C1548D" w:rsidRDefault="009B1B4B">
            <w:pPr>
              <w:spacing w:line="250" w:lineRule="auto"/>
            </w:pPr>
            <w:r>
              <w:rPr>
                <w:sz w:val="18"/>
                <w:szCs w:val="18"/>
              </w:rPr>
              <w:t>Ein Anzug wirkt eher deplatziert</w:t>
            </w:r>
          </w:p>
        </w:tc>
      </w:tr>
      <w:tr w:rsidR="00C1548D" w14:paraId="70A4E5BA" w14:textId="77777777">
        <w:tblPrEx>
          <w:tblCellMar>
            <w:top w:w="0" w:type="dxa"/>
            <w:bottom w:w="0" w:type="dxa"/>
          </w:tblCellMar>
        </w:tblPrEx>
        <w:trPr>
          <w:cantSplit/>
        </w:trPr>
        <w:tc>
          <w:tcPr>
            <w:tcW w:w="10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B7" w14:textId="77777777" w:rsidR="00C1548D" w:rsidRDefault="009B1B4B">
            <w:pPr>
              <w:spacing w:line="250" w:lineRule="auto"/>
            </w:pPr>
            <w:r>
              <w:rPr>
                <w:sz w:val="18"/>
                <w:szCs w:val="18"/>
              </w:rPr>
              <w:t>Ingenieurbüro, Fertigung</w:t>
            </w:r>
          </w:p>
        </w:tc>
        <w:tc>
          <w:tcPr>
            <w:tcW w:w="27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B8" w14:textId="77777777" w:rsidR="00C1548D" w:rsidRDefault="009B1B4B">
            <w:pPr>
              <w:spacing w:line="250" w:lineRule="auto"/>
            </w:pPr>
            <w:r>
              <w:rPr>
                <w:sz w:val="18"/>
                <w:szCs w:val="18"/>
              </w:rPr>
              <w:t>Business Casual im Büro, Polo und Arbeitshose in der Halle</w:t>
            </w:r>
          </w:p>
        </w:tc>
        <w:tc>
          <w:tcPr>
            <w:tcW w:w="27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B9" w14:textId="77777777" w:rsidR="00C1548D" w:rsidRDefault="009B1B4B">
            <w:pPr>
              <w:spacing w:line="250" w:lineRule="auto"/>
            </w:pPr>
            <w:r>
              <w:rPr>
                <w:sz w:val="18"/>
                <w:szCs w:val="18"/>
              </w:rPr>
              <w:t>Schutzbrille, Sicherheitsschuhe meist Pflicht; kläre, wer zahlt</w:t>
            </w:r>
          </w:p>
        </w:tc>
      </w:tr>
      <w:tr w:rsidR="00C1548D" w14:paraId="70A4E5BE" w14:textId="77777777">
        <w:tblPrEx>
          <w:tblCellMar>
            <w:top w:w="0" w:type="dxa"/>
            <w:bottom w:w="0" w:type="dxa"/>
          </w:tblCellMar>
        </w:tblPrEx>
        <w:trPr>
          <w:cantSplit/>
        </w:trPr>
        <w:tc>
          <w:tcPr>
            <w:tcW w:w="10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BB" w14:textId="77777777" w:rsidR="00C1548D" w:rsidRDefault="009B1B4B">
            <w:pPr>
              <w:spacing w:line="250" w:lineRule="auto"/>
            </w:pPr>
            <w:r>
              <w:rPr>
                <w:sz w:val="18"/>
                <w:szCs w:val="18"/>
              </w:rPr>
              <w:t>Finanzen und Recht</w:t>
            </w:r>
          </w:p>
        </w:tc>
        <w:tc>
          <w:tcPr>
            <w:tcW w:w="27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BC" w14:textId="77777777" w:rsidR="00C1548D" w:rsidRDefault="009B1B4B">
            <w:pPr>
              <w:spacing w:line="250" w:lineRule="auto"/>
            </w:pPr>
            <w:r>
              <w:rPr>
                <w:sz w:val="18"/>
                <w:szCs w:val="18"/>
              </w:rPr>
              <w:t>Anzug oder Kostüm bei Kunden und Gericht, sonst Business Casual</w:t>
            </w:r>
          </w:p>
        </w:tc>
        <w:tc>
          <w:tcPr>
            <w:tcW w:w="27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BD" w14:textId="77777777" w:rsidR="00C1548D" w:rsidRDefault="009B1B4B">
            <w:pPr>
              <w:spacing w:line="250" w:lineRule="auto"/>
            </w:pPr>
            <w:r>
              <w:rPr>
                <w:sz w:val="18"/>
                <w:szCs w:val="18"/>
              </w:rPr>
              <w:t>Je nach Firma streng</w:t>
            </w:r>
          </w:p>
        </w:tc>
      </w:tr>
      <w:tr w:rsidR="00C1548D" w14:paraId="70A4E5C2" w14:textId="77777777">
        <w:tblPrEx>
          <w:tblCellMar>
            <w:top w:w="0" w:type="dxa"/>
            <w:bottom w:w="0" w:type="dxa"/>
          </w:tblCellMar>
        </w:tblPrEx>
        <w:trPr>
          <w:cantSplit/>
        </w:trPr>
        <w:tc>
          <w:tcPr>
            <w:tcW w:w="10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BF" w14:textId="77777777" w:rsidR="00C1548D" w:rsidRDefault="009B1B4B">
            <w:pPr>
              <w:spacing w:line="250" w:lineRule="auto"/>
            </w:pPr>
            <w:r>
              <w:rPr>
                <w:sz w:val="18"/>
                <w:szCs w:val="18"/>
              </w:rPr>
              <w:t>Medizin</w:t>
            </w:r>
          </w:p>
        </w:tc>
        <w:tc>
          <w:tcPr>
            <w:tcW w:w="27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C0" w14:textId="77777777" w:rsidR="00C1548D" w:rsidRDefault="009B1B4B">
            <w:pPr>
              <w:spacing w:line="250" w:lineRule="auto"/>
            </w:pPr>
            <w:r>
              <w:rPr>
                <w:sz w:val="18"/>
                <w:szCs w:val="18"/>
              </w:rPr>
              <w:t xml:space="preserve">Kittel oder </w:t>
            </w:r>
            <w:r>
              <w:rPr>
                <w:i/>
                <w:iCs/>
                <w:sz w:val="18"/>
                <w:szCs w:val="18"/>
              </w:rPr>
              <w:t>Scrubs</w:t>
            </w:r>
            <w:r>
              <w:rPr>
                <w:sz w:val="18"/>
                <w:szCs w:val="18"/>
              </w:rPr>
              <w:t xml:space="preserve"> (OP-Kleidung)</w:t>
            </w:r>
          </w:p>
        </w:tc>
        <w:tc>
          <w:tcPr>
            <w:tcW w:w="27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C1" w14:textId="77777777" w:rsidR="00C1548D" w:rsidRDefault="009B1B4B">
            <w:pPr>
              <w:spacing w:line="250" w:lineRule="auto"/>
            </w:pPr>
            <w:r>
              <w:rPr>
                <w:sz w:val="18"/>
                <w:szCs w:val="18"/>
              </w:rPr>
              <w:t>Kleidung und geschlossene Schuhe meist vorgegeben</w:t>
            </w:r>
          </w:p>
        </w:tc>
      </w:tr>
      <w:tr w:rsidR="00C1548D" w14:paraId="70A4E5C6" w14:textId="77777777">
        <w:tblPrEx>
          <w:tblCellMar>
            <w:top w:w="0" w:type="dxa"/>
            <w:bottom w:w="0" w:type="dxa"/>
          </w:tblCellMar>
        </w:tblPrEx>
        <w:trPr>
          <w:cantSplit/>
        </w:trPr>
        <w:tc>
          <w:tcPr>
            <w:tcW w:w="10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C3" w14:textId="77777777" w:rsidR="00C1548D" w:rsidRDefault="009B1B4B">
            <w:pPr>
              <w:spacing w:line="250" w:lineRule="auto"/>
            </w:pPr>
            <w:r>
              <w:rPr>
                <w:sz w:val="18"/>
                <w:szCs w:val="18"/>
              </w:rPr>
              <w:lastRenderedPageBreak/>
              <w:t>Universität</w:t>
            </w:r>
          </w:p>
        </w:tc>
        <w:tc>
          <w:tcPr>
            <w:tcW w:w="27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C4" w14:textId="77777777" w:rsidR="00C1548D" w:rsidRDefault="009B1B4B">
            <w:pPr>
              <w:spacing w:line="250" w:lineRule="auto"/>
            </w:pPr>
            <w:r>
              <w:rPr>
                <w:sz w:val="18"/>
                <w:szCs w:val="18"/>
              </w:rPr>
              <w:t>Casual bis Business Casual</w:t>
            </w:r>
          </w:p>
        </w:tc>
        <w:tc>
          <w:tcPr>
            <w:tcW w:w="27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C5" w14:textId="77777777" w:rsidR="00C1548D" w:rsidRDefault="009B1B4B">
            <w:pPr>
              <w:spacing w:line="250" w:lineRule="auto"/>
            </w:pPr>
            <w:r>
              <w:rPr>
                <w:sz w:val="18"/>
                <w:szCs w:val="18"/>
              </w:rPr>
              <w:t>Lehrende Hemd und Sakko, Studierende Jeans und Uni-Sweatshirt</w:t>
            </w:r>
          </w:p>
        </w:tc>
      </w:tr>
    </w:tbl>
    <w:p w14:paraId="70A4E5C7" w14:textId="77777777" w:rsidR="00C1548D" w:rsidRDefault="00C1548D">
      <w:pPr>
        <w:spacing w:line="180" w:lineRule="exact"/>
      </w:pPr>
    </w:p>
    <w:p w14:paraId="70A4E5C8" w14:textId="77777777" w:rsidR="00C1548D" w:rsidRDefault="009B1B4B">
      <w:pPr>
        <w:spacing w:after="140"/>
      </w:pPr>
      <w:r>
        <w:t>Auch die Region prägt den Ton. An der Westküste, in Kalifornien und Seattle, kleidet man sich am legersten; Outdoor-Jacken und Fleece gehören selbst im Büro dazu. In New York und Boston fällt die Kleidung in Finanzen, Recht und Beratung formeller aus, im Süden zählt für Kirche, Feiern und Restaurants ordentliche Kleidung, im Alltag die Hitze. Im Mittleren Westen, etwa im Großraum Detroit, überwiegt das Funktionale: Fleecejacken, Flanellhemden, Arbeitsstiefel. Das sind Tendenzen: Zwei Firmen in derselben Sta</w:t>
      </w:r>
      <w:r>
        <w:t>dt unterscheiden sich oft stärker als zwei Regionen.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C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5C9" w14:textId="77777777" w:rsidR="00C1548D" w:rsidRDefault="009B1B4B">
            <w:pPr>
              <w:keepNext/>
              <w:spacing w:after="70" w:line="240" w:lineRule="auto"/>
            </w:pPr>
            <w:r>
              <w:rPr>
                <w:b/>
                <w:bCs/>
                <w:color w:val="9B2C2C"/>
                <w:spacing w:val="24"/>
                <w:sz w:val="16"/>
                <w:szCs w:val="16"/>
              </w:rPr>
              <w:t>ACHTUNG</w:t>
            </w:r>
          </w:p>
          <w:p w14:paraId="70A4E5CA" w14:textId="77777777" w:rsidR="00C1548D" w:rsidRDefault="009B1B4B">
            <w:pPr>
              <w:spacing w:after="80" w:line="264" w:lineRule="auto"/>
            </w:pPr>
            <w:r>
              <w:rPr>
                <w:sz w:val="20"/>
                <w:szCs w:val="20"/>
              </w:rPr>
              <w:t>Zum Vorstellungsgespräch gilt eine Stufe formeller als der Firmenalltag: bei Tech-Unternehmen Business Casual, bei Banken, Kanzleien und Beratungen der Anzug. Frage die Personalabteilung ruhig: „What is the dress code for the interview?“ Das ist üblich und wirkt nicht unsicher.</w:t>
            </w:r>
          </w:p>
        </w:tc>
      </w:tr>
    </w:tbl>
    <w:p w14:paraId="70A4E5CC"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5CF"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5CD" w14:textId="77777777" w:rsidR="00C1548D" w:rsidRDefault="009B1B4B">
            <w:pPr>
              <w:keepNext/>
              <w:spacing w:after="70" w:line="240" w:lineRule="auto"/>
            </w:pPr>
            <w:r>
              <w:rPr>
                <w:b/>
                <w:bCs/>
                <w:color w:val="8A6212"/>
                <w:spacing w:val="24"/>
                <w:sz w:val="16"/>
                <w:szCs w:val="16"/>
              </w:rPr>
              <w:t>MERKE</w:t>
            </w:r>
          </w:p>
          <w:p w14:paraId="70A4E5CE" w14:textId="77777777" w:rsidR="00C1548D" w:rsidRDefault="009B1B4B">
            <w:pPr>
              <w:spacing w:after="80" w:line="264" w:lineRule="auto"/>
            </w:pPr>
            <w:r>
              <w:rPr>
                <w:sz w:val="20"/>
                <w:szCs w:val="20"/>
              </w:rPr>
              <w:t>Der Dresscode steht selten irgendwo, aber er ist fast immer sichtbar. Beobachte in der ersten Woche, was Kolleginnen, Kollegen, Eltern und Nachbarn tragen, und richte dich danach.</w:t>
            </w:r>
          </w:p>
        </w:tc>
      </w:tr>
    </w:tbl>
    <w:p w14:paraId="70A4E5D0" w14:textId="77777777" w:rsidR="00C1548D" w:rsidRDefault="00C1548D">
      <w:pPr>
        <w:spacing w:line="220" w:lineRule="exact"/>
      </w:pPr>
    </w:p>
    <w:p w14:paraId="70A4E5D1" w14:textId="77777777" w:rsidR="00C1548D" w:rsidRDefault="009B1B4B">
      <w:pPr>
        <w:pStyle w:val="Heading3"/>
        <w:keepNext/>
        <w:jc w:val="center"/>
      </w:pPr>
      <w:r>
        <w:rPr>
          <w:rFonts w:ascii="Amazon Ember" w:eastAsia="Amazon Ember" w:hAnsi="Amazon Ember" w:cs="Amazon Ember"/>
          <w:color w:val="0000FF"/>
          <w:sz w:val="36"/>
          <w:szCs w:val="36"/>
        </w:rPr>
        <w:t>Anlässe: Restaurant, Hochzeit, Halloween</w:t>
      </w:r>
    </w:p>
    <w:p w14:paraId="70A4E5D2" w14:textId="77777777" w:rsidR="00C1548D" w:rsidRDefault="009B1B4B">
      <w:pPr>
        <w:spacing w:after="140"/>
      </w:pPr>
      <w:r>
        <w:t xml:space="preserve">Restaurants sind meist casual; an vielen Türen hängt das Schild „No Shirt, No Shoes, No Service“. Gehobene Häuser erwarten </w:t>
      </w:r>
      <w:r>
        <w:rPr>
          <w:i/>
          <w:iCs/>
        </w:rPr>
        <w:t>Business Casual</w:t>
      </w:r>
      <w:r>
        <w:t>, teils mit Jackett, das steht auf der Website.</w:t>
      </w:r>
    </w:p>
    <w:p w14:paraId="70A4E5D3" w14:textId="77777777" w:rsidR="00C1548D" w:rsidRDefault="009B1B4B">
      <w:pPr>
        <w:spacing w:after="140"/>
      </w:pPr>
      <w:r>
        <w:lastRenderedPageBreak/>
        <w:t xml:space="preserve">Bei Hochzeiten nennt die Einladung häufig den Dresscode: </w:t>
      </w:r>
      <w:r>
        <w:rPr>
          <w:i/>
          <w:iCs/>
        </w:rPr>
        <w:t>Black Tie</w:t>
      </w:r>
      <w:r>
        <w:t xml:space="preserve"> (Smoking, langes Kleid), </w:t>
      </w:r>
      <w:r>
        <w:rPr>
          <w:i/>
          <w:iCs/>
        </w:rPr>
        <w:t>Cocktail Attire</w:t>
      </w:r>
      <w:r>
        <w:t xml:space="preserve"> (Anzug, Cocktailkleid) oder </w:t>
      </w:r>
      <w:r>
        <w:rPr>
          <w:i/>
          <w:iCs/>
        </w:rPr>
        <w:t>Casual</w:t>
      </w:r>
      <w:r>
        <w:t xml:space="preserve">. Weiß trägt traditionell die Braut. In der Kirche reicht die Spanne von Jeans bis Sonntagsstaat; schau beim ersten Besuch, was die Gemeinde trägt. Konzerte und Sportveranstaltungen sind leger, viele tragen Trikot oder Sweatshirt ihres Teams oder Colleges. Viele Stadien lassen nur durchsichtige Taschen ein. Bei Schulveranstaltungen genügt Alltagskleidung, am </w:t>
      </w:r>
      <w:r>
        <w:rPr>
          <w:i/>
          <w:iCs/>
        </w:rPr>
        <w:t>Picture Day</w:t>
      </w:r>
      <w:r>
        <w:t xml:space="preserve"> (Fototag) etwas mehr.</w:t>
      </w:r>
    </w:p>
    <w:p w14:paraId="70A4E5D4" w14:textId="77777777" w:rsidR="00C1548D" w:rsidRDefault="009B1B4B">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w14:paraId="70A4E5D5" w14:textId="77777777" w:rsidR="00C1548D" w:rsidRDefault="009B1B4B">
      <w:pPr>
        <w:pStyle w:val="Heading3"/>
        <w:keepNext/>
        <w:jc w:val="center"/>
      </w:pPr>
      <w:r>
        <w:rPr>
          <w:rFonts w:ascii="Amazon Ember" w:eastAsia="Amazon Ember" w:hAnsi="Amazon Ember" w:cs="Amazon Ember"/>
          <w:color w:val="0000FF"/>
          <w:sz w:val="36"/>
          <w:szCs w:val="36"/>
        </w:rPr>
        <w:t>Kinder und Schule</w:t>
      </w:r>
    </w:p>
    <w:p w14:paraId="70A4E5D6" w14:textId="77777777" w:rsidR="00C1548D" w:rsidRDefault="009B1B4B">
      <w:pPr>
        <w:spacing w:after="140"/>
      </w:pPr>
      <w:r>
        <w:t>Schuluniformen sind die Ausnahme. Nach der US-Bildungsstatistik (NCES) verlangten im Schuljahr 2019/20 rund 19 % der öffentlichen Schulen Uniformen, an Grundschulen 21 %, an weiterführenden Schulen 12 %. Häufiger sind sie an privaten und kirchlich getragenen Schulen, meist als Poloshirt und Hose oder Rock in festen Farben.</w:t>
      </w:r>
    </w:p>
    <w:p w14:paraId="70A4E5D7" w14:textId="14D1FC8F" w:rsidR="00C1548D" w:rsidRDefault="009B1B4B">
      <w:pPr>
        <w:spacing w:after="140"/>
      </w:pPr>
      <w:r>
        <w:t xml:space="preserve">An den übrigen Schulen gilt ein </w:t>
      </w:r>
      <w:r>
        <w:rPr>
          <w:i/>
          <w:iCs/>
        </w:rPr>
        <w:t>Dress Code</w:t>
      </w:r>
      <w:r>
        <w:t>, den der Schuldistrikt im Schülerhandbuch festlegt. Typisch sind Regeln zur Länge von Shorts und Röcken (oft: mindestens bis zu den Fingerspitzen), zu sehr schmalen Trägern, zu Kopfbedeckungen im Unterricht und zu Aufdrucken mit Gewalt-, Drogen- oder Alkoholbezug. Lies das Handbuch bei der Anmeldung (Kapitel </w:t>
      </w:r>
      <w:hyperlink w:anchor="k36" w:history="1">
        <w:r>
          <w:t>36</w:t>
        </w:r>
      </w:hyperlink>
      <w:r>
        <w:t>).</w:t>
      </w:r>
    </w:p>
    <w:p w14:paraId="70A4E5D8" w14:textId="77777777" w:rsidR="00C1548D" w:rsidRDefault="009B1B4B">
      <w:pPr>
        <w:spacing w:after="140"/>
      </w:pPr>
      <w:r>
        <w:t xml:space="preserve">Für den Sportunterricht sind feste Sportschuhe Pflicht. Bei Vereins- und Schulsport stellt das Team das Trikot meist gegen Gebühr, Stollenschuhe oder Schienbeinschoner kaufst du selbst. Ein Detail für Eltern: Kinderschlafanzüge müssen nach den Vorschriften der </w:t>
      </w:r>
      <w:r>
        <w:lastRenderedPageBreak/>
        <w:t>Verbraucherschutzbehörde CPSC flammhemmend oder eng geschnitten sein. Schmale Baumwollpyjamas sind also kein Fehlkauf.</w:t>
      </w:r>
    </w:p>
    <w:p w14:paraId="70A4E5D9" w14:textId="77777777" w:rsidR="00C1548D" w:rsidRDefault="009B1B4B">
      <w:pPr>
        <w:pStyle w:val="Heading3"/>
        <w:keepNext/>
        <w:jc w:val="center"/>
      </w:pPr>
      <w:r>
        <w:rPr>
          <w:rFonts w:ascii="Amazon Ember" w:eastAsia="Amazon Ember" w:hAnsi="Amazon Ember" w:cs="Amazon Ember"/>
          <w:color w:val="0000FF"/>
          <w:sz w:val="36"/>
          <w:szCs w:val="36"/>
        </w:rPr>
        <w:t>Größen umrechnen: Damen, Herren, Kinder, Schuhe</w:t>
      </w:r>
    </w:p>
    <w:p w14:paraId="70A4E5DA" w14:textId="77777777" w:rsidR="00C1548D" w:rsidRDefault="009B1B4B">
      <w:pPr>
        <w:spacing w:after="140"/>
      </w:pPr>
      <w:r>
        <w:t>US-Größen sind eine eigene Welt: Damen kaufen nach Zahlen (0–16), Herren nach Zoll (</w:t>
      </w:r>
      <w:r>
        <w:rPr>
          <w:i/>
          <w:iCs/>
        </w:rPr>
        <w:t>inch</w:t>
      </w:r>
      <w:r>
        <w:t>: 1 Zoll = 2,54 cm), Kinder nach Größe und Lebensjahr. Die Tabellen sind Näherungswerte (Schuhe nach Nike, Kindergrößen nach Carter’s); verlässlich ist nur die Maßtabelle der Marke, bei der du kaufst.</w:t>
      </w:r>
    </w:p>
    <w:p w14:paraId="70A4E5DB" w14:textId="77777777" w:rsidR="00C1548D" w:rsidRDefault="009B1B4B">
      <w:pPr>
        <w:spacing w:after="140"/>
      </w:pPr>
      <w:r>
        <w:rPr>
          <w:b/>
          <w:bCs/>
        </w:rPr>
        <w:t>Damen:</w:t>
      </w:r>
      <w:r>
        <w:t xml:space="preserve"> Faustformel: US-Größe plus 30 ergibt die deutsche Größe. In Frankreich und Italien fallen die Zahlen höher aus, „EU“ steht im Online-Shop deshalb nicht immer für Deutschland.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160"/>
        <w:gridCol w:w="2160"/>
      </w:tblGrid>
      <w:tr w:rsidR="00C1548D" w14:paraId="70A4E5DF" w14:textId="77777777">
        <w:tblPrEx>
          <w:tblCellMar>
            <w:top w:w="0" w:type="dxa"/>
            <w:bottom w:w="0" w:type="dxa"/>
          </w:tblCellMar>
        </w:tblPrEx>
        <w:trPr>
          <w:cantSplit/>
          <w:tblHeader/>
        </w:trPr>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DC" w14:textId="77777777" w:rsidR="00C1548D" w:rsidRDefault="009B1B4B">
            <w:pPr>
              <w:spacing w:line="250" w:lineRule="auto"/>
            </w:pPr>
            <w:r>
              <w:rPr>
                <w:b/>
                <w:bCs/>
                <w:sz w:val="18"/>
                <w:szCs w:val="18"/>
              </w:rPr>
              <w:t>US</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DD" w14:textId="77777777" w:rsidR="00C1548D" w:rsidRDefault="009B1B4B">
            <w:pPr>
              <w:spacing w:line="250" w:lineRule="auto"/>
            </w:pPr>
            <w:r>
              <w:rPr>
                <w:b/>
                <w:bCs/>
                <w:sz w:val="18"/>
                <w:szCs w:val="18"/>
              </w:rPr>
              <w:t>Deutschland</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5DE" w14:textId="77777777" w:rsidR="00C1548D" w:rsidRDefault="009B1B4B">
            <w:pPr>
              <w:spacing w:line="250" w:lineRule="auto"/>
            </w:pPr>
            <w:r>
              <w:rPr>
                <w:b/>
                <w:bCs/>
                <w:sz w:val="18"/>
                <w:szCs w:val="18"/>
              </w:rPr>
              <w:t>Buchstabe (US-Handel)</w:t>
            </w:r>
          </w:p>
        </w:tc>
      </w:tr>
      <w:tr w:rsidR="00C1548D" w14:paraId="70A4E5E3"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0" w14:textId="77777777" w:rsidR="00C1548D" w:rsidRDefault="009B1B4B">
            <w:pPr>
              <w:spacing w:line="250" w:lineRule="auto"/>
            </w:pPr>
            <w:r>
              <w:rPr>
                <w:sz w:val="18"/>
                <w:szCs w:val="18"/>
              </w:rPr>
              <w:t>0–2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1" w14:textId="77777777" w:rsidR="00C1548D" w:rsidRDefault="009B1B4B">
            <w:pPr>
              <w:spacing w:line="250" w:lineRule="auto"/>
            </w:pPr>
            <w:r>
              <w:rPr>
                <w:sz w:val="18"/>
                <w:szCs w:val="18"/>
              </w:rPr>
              <w:t>30–32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2" w14:textId="77777777" w:rsidR="00C1548D" w:rsidRDefault="009B1B4B">
            <w:pPr>
              <w:spacing w:line="250" w:lineRule="auto"/>
            </w:pPr>
            <w:r>
              <w:rPr>
                <w:sz w:val="18"/>
                <w:szCs w:val="18"/>
              </w:rPr>
              <w:t>XS</w:t>
            </w:r>
          </w:p>
        </w:tc>
      </w:tr>
      <w:tr w:rsidR="00C1548D" w14:paraId="70A4E5E7"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4" w14:textId="77777777" w:rsidR="00C1548D" w:rsidRDefault="009B1B4B">
            <w:pPr>
              <w:spacing w:line="250" w:lineRule="auto"/>
            </w:pPr>
            <w:r>
              <w:rPr>
                <w:sz w:val="18"/>
                <w:szCs w:val="18"/>
              </w:rPr>
              <w:t>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5" w14:textId="77777777" w:rsidR="00C1548D" w:rsidRDefault="009B1B4B">
            <w:pPr>
              <w:spacing w:line="250" w:lineRule="auto"/>
            </w:pPr>
            <w:r>
              <w:rPr>
                <w:sz w:val="18"/>
                <w:szCs w:val="18"/>
              </w:rPr>
              <w:t>34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6" w14:textId="77777777" w:rsidR="00C1548D" w:rsidRDefault="009B1B4B">
            <w:pPr>
              <w:spacing w:line="250" w:lineRule="auto"/>
            </w:pPr>
            <w:r>
              <w:rPr>
                <w:sz w:val="18"/>
                <w:szCs w:val="18"/>
              </w:rPr>
              <w:t>S</w:t>
            </w:r>
          </w:p>
        </w:tc>
      </w:tr>
      <w:tr w:rsidR="00C1548D" w14:paraId="70A4E5EB"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8" w14:textId="77777777" w:rsidR="00C1548D" w:rsidRDefault="009B1B4B">
            <w:pPr>
              <w:spacing w:line="250" w:lineRule="auto"/>
            </w:pPr>
            <w:r>
              <w:rPr>
                <w:sz w:val="18"/>
                <w:szCs w:val="18"/>
              </w:rPr>
              <w:t>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9" w14:textId="77777777" w:rsidR="00C1548D" w:rsidRDefault="009B1B4B">
            <w:pPr>
              <w:spacing w:line="250" w:lineRule="auto"/>
            </w:pPr>
            <w:r>
              <w:rPr>
                <w:sz w:val="18"/>
                <w:szCs w:val="18"/>
              </w:rPr>
              <w:t>36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A" w14:textId="77777777" w:rsidR="00C1548D" w:rsidRDefault="009B1B4B">
            <w:pPr>
              <w:spacing w:line="250" w:lineRule="auto"/>
            </w:pPr>
            <w:r>
              <w:rPr>
                <w:sz w:val="18"/>
                <w:szCs w:val="18"/>
              </w:rPr>
              <w:t>S</w:t>
            </w:r>
          </w:p>
        </w:tc>
      </w:tr>
      <w:tr w:rsidR="00C1548D" w14:paraId="70A4E5EF"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C" w14:textId="77777777" w:rsidR="00C1548D" w:rsidRDefault="009B1B4B">
            <w:pPr>
              <w:spacing w:line="250" w:lineRule="auto"/>
            </w:pPr>
            <w:r>
              <w:rPr>
                <w:sz w:val="18"/>
                <w:szCs w:val="18"/>
              </w:rPr>
              <w:t>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D" w14:textId="77777777" w:rsidR="00C1548D" w:rsidRDefault="009B1B4B">
            <w:pPr>
              <w:spacing w:line="250" w:lineRule="auto"/>
            </w:pPr>
            <w:r>
              <w:rPr>
                <w:sz w:val="18"/>
                <w:szCs w:val="18"/>
              </w:rPr>
              <w:t>38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EE" w14:textId="77777777" w:rsidR="00C1548D" w:rsidRDefault="009B1B4B">
            <w:pPr>
              <w:spacing w:line="250" w:lineRule="auto"/>
            </w:pPr>
            <w:r>
              <w:rPr>
                <w:sz w:val="18"/>
                <w:szCs w:val="18"/>
              </w:rPr>
              <w:t>M</w:t>
            </w:r>
          </w:p>
        </w:tc>
      </w:tr>
      <w:tr w:rsidR="00C1548D" w14:paraId="70A4E5F3"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0" w14:textId="77777777" w:rsidR="00C1548D" w:rsidRDefault="009B1B4B">
            <w:pPr>
              <w:spacing w:line="250" w:lineRule="auto"/>
            </w:pPr>
            <w:r>
              <w:rPr>
                <w:sz w:val="18"/>
                <w:szCs w:val="18"/>
              </w:rPr>
              <w:t>10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1" w14:textId="77777777" w:rsidR="00C1548D" w:rsidRDefault="009B1B4B">
            <w:pPr>
              <w:spacing w:line="250" w:lineRule="auto"/>
            </w:pPr>
            <w:r>
              <w:rPr>
                <w:sz w:val="18"/>
                <w:szCs w:val="18"/>
              </w:rPr>
              <w:t>40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2" w14:textId="77777777" w:rsidR="00C1548D" w:rsidRDefault="009B1B4B">
            <w:pPr>
              <w:spacing w:line="250" w:lineRule="auto"/>
            </w:pPr>
            <w:r>
              <w:rPr>
                <w:sz w:val="18"/>
                <w:szCs w:val="18"/>
              </w:rPr>
              <w:t>M</w:t>
            </w:r>
          </w:p>
        </w:tc>
      </w:tr>
      <w:tr w:rsidR="00C1548D" w14:paraId="70A4E5F7"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4" w14:textId="77777777" w:rsidR="00C1548D" w:rsidRDefault="009B1B4B">
            <w:pPr>
              <w:spacing w:line="250" w:lineRule="auto"/>
            </w:pPr>
            <w:r>
              <w:rPr>
                <w:sz w:val="18"/>
                <w:szCs w:val="18"/>
              </w:rPr>
              <w:t>12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5" w14:textId="77777777" w:rsidR="00C1548D" w:rsidRDefault="009B1B4B">
            <w:pPr>
              <w:spacing w:line="250" w:lineRule="auto"/>
            </w:pPr>
            <w:r>
              <w:rPr>
                <w:sz w:val="18"/>
                <w:szCs w:val="18"/>
              </w:rPr>
              <w:t>42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6" w14:textId="77777777" w:rsidR="00C1548D" w:rsidRDefault="009B1B4B">
            <w:pPr>
              <w:spacing w:line="250" w:lineRule="auto"/>
            </w:pPr>
            <w:r>
              <w:rPr>
                <w:sz w:val="18"/>
                <w:szCs w:val="18"/>
              </w:rPr>
              <w:t>L</w:t>
            </w:r>
          </w:p>
        </w:tc>
      </w:tr>
      <w:tr w:rsidR="00C1548D" w14:paraId="70A4E5FB"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8" w14:textId="77777777" w:rsidR="00C1548D" w:rsidRDefault="009B1B4B">
            <w:pPr>
              <w:spacing w:line="250" w:lineRule="auto"/>
            </w:pPr>
            <w:r>
              <w:rPr>
                <w:sz w:val="18"/>
                <w:szCs w:val="18"/>
              </w:rPr>
              <w:t>14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9" w14:textId="77777777" w:rsidR="00C1548D" w:rsidRDefault="009B1B4B">
            <w:pPr>
              <w:spacing w:line="250" w:lineRule="auto"/>
            </w:pPr>
            <w:r>
              <w:rPr>
                <w:sz w:val="18"/>
                <w:szCs w:val="18"/>
              </w:rPr>
              <w:t>44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A" w14:textId="77777777" w:rsidR="00C1548D" w:rsidRDefault="009B1B4B">
            <w:pPr>
              <w:spacing w:line="250" w:lineRule="auto"/>
            </w:pPr>
            <w:r>
              <w:rPr>
                <w:sz w:val="18"/>
                <w:szCs w:val="18"/>
              </w:rPr>
              <w:t>L</w:t>
            </w:r>
          </w:p>
        </w:tc>
      </w:tr>
      <w:tr w:rsidR="00C1548D" w14:paraId="70A4E5FF"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C" w14:textId="77777777" w:rsidR="00C1548D" w:rsidRDefault="009B1B4B">
            <w:pPr>
              <w:spacing w:line="250" w:lineRule="auto"/>
            </w:pPr>
            <w:r>
              <w:rPr>
                <w:sz w:val="18"/>
                <w:szCs w:val="18"/>
              </w:rPr>
              <w:t>16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D" w14:textId="77777777" w:rsidR="00C1548D" w:rsidRDefault="009B1B4B">
            <w:pPr>
              <w:spacing w:line="250" w:lineRule="auto"/>
            </w:pPr>
            <w:r>
              <w:rPr>
                <w:sz w:val="18"/>
                <w:szCs w:val="18"/>
              </w:rPr>
              <w:t>46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5FE" w14:textId="77777777" w:rsidR="00C1548D" w:rsidRDefault="009B1B4B">
            <w:pPr>
              <w:spacing w:line="250" w:lineRule="auto"/>
            </w:pPr>
            <w:r>
              <w:rPr>
                <w:sz w:val="18"/>
                <w:szCs w:val="18"/>
              </w:rPr>
              <w:t>XL</w:t>
            </w:r>
          </w:p>
        </w:tc>
      </w:tr>
    </w:tbl>
    <w:p w14:paraId="70A4E600" w14:textId="77777777" w:rsidR="00C1548D" w:rsidRDefault="00C1548D">
      <w:pPr>
        <w:spacing w:line="180" w:lineRule="exact"/>
      </w:pPr>
    </w:p>
    <w:p w14:paraId="70A4E601" w14:textId="77777777" w:rsidR="00C1548D" w:rsidRDefault="009B1B4B">
      <w:pPr>
        <w:spacing w:after="140"/>
      </w:pPr>
      <w:r>
        <w:rPr>
          <w:b/>
          <w:bCs/>
        </w:rPr>
        <w:t>Herren:</w:t>
      </w:r>
      <w:r>
        <w:t xml:space="preserve"> Anzüge und Jacken tragen den Brustumfang in Zoll, Hemden die Kragenweite in Zoll. Jeans gibt es wie in Deutschland als Bundweite/Schrittlänge in Zoll, etwa 32/32.</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18"/>
        <w:gridCol w:w="2534"/>
        <w:gridCol w:w="2628"/>
      </w:tblGrid>
      <w:tr w:rsidR="00C1548D" w14:paraId="70A4E605" w14:textId="77777777">
        <w:tblPrEx>
          <w:tblCellMar>
            <w:top w:w="0" w:type="dxa"/>
            <w:bottom w:w="0" w:type="dxa"/>
          </w:tblCellMar>
        </w:tblPrEx>
        <w:trPr>
          <w:cantSplit/>
          <w:tblHeader/>
        </w:trPr>
        <w:tc>
          <w:tcPr>
            <w:tcW w:w="131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02" w14:textId="77777777" w:rsidR="00C1548D" w:rsidRDefault="009B1B4B">
            <w:pPr>
              <w:spacing w:line="250" w:lineRule="auto"/>
            </w:pPr>
            <w:r>
              <w:rPr>
                <w:b/>
                <w:bCs/>
                <w:sz w:val="18"/>
                <w:szCs w:val="18"/>
              </w:rPr>
              <w:t>Herren</w:t>
            </w:r>
          </w:p>
        </w:tc>
        <w:tc>
          <w:tcPr>
            <w:tcW w:w="253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03" w14:textId="77777777" w:rsidR="00C1548D" w:rsidRDefault="009B1B4B">
            <w:pPr>
              <w:spacing w:line="250" w:lineRule="auto"/>
            </w:pPr>
            <w:r>
              <w:rPr>
                <w:b/>
                <w:bCs/>
                <w:sz w:val="18"/>
                <w:szCs w:val="18"/>
              </w:rPr>
              <w:t>Deutschland</w:t>
            </w:r>
          </w:p>
        </w:tc>
        <w:tc>
          <w:tcPr>
            <w:tcW w:w="26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04" w14:textId="77777777" w:rsidR="00C1548D" w:rsidRDefault="009B1B4B">
            <w:pPr>
              <w:spacing w:line="250" w:lineRule="auto"/>
            </w:pPr>
            <w:r>
              <w:rPr>
                <w:b/>
                <w:bCs/>
                <w:sz w:val="18"/>
                <w:szCs w:val="18"/>
              </w:rPr>
              <w:t>USA</w:t>
            </w:r>
          </w:p>
        </w:tc>
      </w:tr>
      <w:tr w:rsidR="00C1548D" w14:paraId="70A4E609" w14:textId="77777777">
        <w:tblPrEx>
          <w:tblCellMar>
            <w:top w:w="0" w:type="dxa"/>
            <w:bottom w:w="0" w:type="dxa"/>
          </w:tblCellMar>
        </w:tblPrEx>
        <w:trPr>
          <w:cantSplit/>
        </w:trPr>
        <w:tc>
          <w:tcPr>
            <w:tcW w:w="13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06" w14:textId="77777777" w:rsidR="00C1548D" w:rsidRDefault="009B1B4B">
            <w:pPr>
              <w:spacing w:line="250" w:lineRule="auto"/>
            </w:pPr>
            <w:r>
              <w:rPr>
                <w:sz w:val="18"/>
                <w:szCs w:val="18"/>
              </w:rPr>
              <w:t>Anzug, Sakko</w:t>
            </w:r>
          </w:p>
        </w:tc>
        <w:tc>
          <w:tcPr>
            <w:tcW w:w="25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07" w14:textId="77777777" w:rsidR="00C1548D" w:rsidRDefault="009B1B4B">
            <w:pPr>
              <w:spacing w:line="250" w:lineRule="auto"/>
            </w:pPr>
            <w:r>
              <w:rPr>
                <w:sz w:val="18"/>
                <w:szCs w:val="18"/>
              </w:rPr>
              <w:t>46 / 48 / 50 / 52 / 54</w:t>
            </w:r>
          </w:p>
        </w:tc>
        <w:tc>
          <w:tcPr>
            <w:tcW w:w="26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08" w14:textId="77777777" w:rsidR="00C1548D" w:rsidRDefault="009B1B4B">
            <w:pPr>
              <w:spacing w:line="250" w:lineRule="auto"/>
            </w:pPr>
            <w:r>
              <w:rPr>
                <w:sz w:val="18"/>
                <w:szCs w:val="18"/>
              </w:rPr>
              <w:t>36 / 38 / 40 / 42 / 44</w:t>
            </w:r>
          </w:p>
        </w:tc>
      </w:tr>
      <w:tr w:rsidR="00C1548D" w14:paraId="70A4E60D" w14:textId="77777777">
        <w:tblPrEx>
          <w:tblCellMar>
            <w:top w:w="0" w:type="dxa"/>
            <w:bottom w:w="0" w:type="dxa"/>
          </w:tblCellMar>
        </w:tblPrEx>
        <w:trPr>
          <w:cantSplit/>
        </w:trPr>
        <w:tc>
          <w:tcPr>
            <w:tcW w:w="13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0A" w14:textId="77777777" w:rsidR="00C1548D" w:rsidRDefault="009B1B4B">
            <w:pPr>
              <w:spacing w:line="250" w:lineRule="auto"/>
            </w:pPr>
            <w:r>
              <w:rPr>
                <w:sz w:val="18"/>
                <w:szCs w:val="18"/>
              </w:rPr>
              <w:t>Hemdkragen</w:t>
            </w:r>
          </w:p>
        </w:tc>
        <w:tc>
          <w:tcPr>
            <w:tcW w:w="25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0B" w14:textId="77777777" w:rsidR="00C1548D" w:rsidRDefault="009B1B4B">
            <w:pPr>
              <w:spacing w:line="250" w:lineRule="auto"/>
            </w:pPr>
            <w:r>
              <w:rPr>
                <w:sz w:val="18"/>
                <w:szCs w:val="18"/>
              </w:rPr>
              <w:t>38 / 40 / 42 / 44 cm</w:t>
            </w:r>
          </w:p>
        </w:tc>
        <w:tc>
          <w:tcPr>
            <w:tcW w:w="26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0C" w14:textId="77777777" w:rsidR="00C1548D" w:rsidRDefault="009B1B4B">
            <w:pPr>
              <w:spacing w:line="250" w:lineRule="auto"/>
            </w:pPr>
            <w:r>
              <w:rPr>
                <w:sz w:val="18"/>
                <w:szCs w:val="18"/>
              </w:rPr>
              <w:t>15 / 15¾ / 16½ / 17½ Zoll</w:t>
            </w:r>
          </w:p>
        </w:tc>
      </w:tr>
      <w:tr w:rsidR="00C1548D" w14:paraId="70A4E611" w14:textId="77777777">
        <w:tblPrEx>
          <w:tblCellMar>
            <w:top w:w="0" w:type="dxa"/>
            <w:bottom w:w="0" w:type="dxa"/>
          </w:tblCellMar>
        </w:tblPrEx>
        <w:trPr>
          <w:cantSplit/>
        </w:trPr>
        <w:tc>
          <w:tcPr>
            <w:tcW w:w="13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0E" w14:textId="77777777" w:rsidR="00C1548D" w:rsidRDefault="009B1B4B">
            <w:pPr>
              <w:spacing w:line="250" w:lineRule="auto"/>
            </w:pPr>
            <w:r>
              <w:rPr>
                <w:sz w:val="18"/>
                <w:szCs w:val="18"/>
              </w:rPr>
              <w:t>Hosenbund</w:t>
            </w:r>
          </w:p>
        </w:tc>
        <w:tc>
          <w:tcPr>
            <w:tcW w:w="25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0F" w14:textId="77777777" w:rsidR="00C1548D" w:rsidRDefault="009B1B4B">
            <w:pPr>
              <w:spacing w:line="250" w:lineRule="auto"/>
            </w:pPr>
            <w:r>
              <w:rPr>
                <w:sz w:val="18"/>
                <w:szCs w:val="18"/>
              </w:rPr>
              <w:t>76 / 81 / 86 / 91 cm</w:t>
            </w:r>
          </w:p>
        </w:tc>
        <w:tc>
          <w:tcPr>
            <w:tcW w:w="26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10" w14:textId="77777777" w:rsidR="00C1548D" w:rsidRDefault="009B1B4B">
            <w:pPr>
              <w:spacing w:line="250" w:lineRule="auto"/>
            </w:pPr>
            <w:r>
              <w:rPr>
                <w:sz w:val="18"/>
                <w:szCs w:val="18"/>
              </w:rPr>
              <w:t>30 / 32 / 34 / 36 Zoll</w:t>
            </w:r>
          </w:p>
        </w:tc>
      </w:tr>
    </w:tbl>
    <w:p w14:paraId="70A4E612" w14:textId="77777777" w:rsidR="00C1548D" w:rsidRDefault="00C1548D">
      <w:pPr>
        <w:spacing w:line="180" w:lineRule="exact"/>
      </w:pPr>
    </w:p>
    <w:p w14:paraId="70A4E613" w14:textId="77777777" w:rsidR="00C1548D" w:rsidRDefault="009B1B4B">
      <w:pPr>
        <w:spacing w:after="140"/>
      </w:pPr>
      <w:r>
        <w:rPr>
          <w:b/>
          <w:bCs/>
        </w:rPr>
        <w:lastRenderedPageBreak/>
        <w:t>Kinder:</w:t>
      </w:r>
      <w:r>
        <w:t xml:space="preserve"> Deutsche Größen entsprechen der Körpergröße in cm, US-Größen folgen grob dem Lebensjahr („T“ steht für </w:t>
      </w:r>
      <w:r>
        <w:rPr>
          <w:i/>
          <w:iCs/>
        </w:rPr>
        <w:t>Toddler</w:t>
      </w:r>
      <w:r>
        <w:t xml:space="preserve">, Kleinkind). Jungengrößen gibt es oft in </w:t>
      </w:r>
      <w:r>
        <w:rPr>
          <w:i/>
          <w:iCs/>
        </w:rPr>
        <w:t>Slim</w:t>
      </w:r>
      <w:r>
        <w:t xml:space="preserve">, </w:t>
      </w:r>
      <w:r>
        <w:rPr>
          <w:i/>
          <w:iCs/>
        </w:rPr>
        <w:t>Regular</w:t>
      </w:r>
      <w:r>
        <w:t xml:space="preserve"> und </w:t>
      </w:r>
      <w:r>
        <w:rPr>
          <w:i/>
          <w:iCs/>
        </w:rPr>
        <w:t>Husky</w:t>
      </w:r>
      <w:r>
        <w:t xml:space="preserve"> (weit).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160"/>
        <w:gridCol w:w="2160"/>
      </w:tblGrid>
      <w:tr w:rsidR="00C1548D" w14:paraId="70A4E617" w14:textId="77777777">
        <w:tblPrEx>
          <w:tblCellMar>
            <w:top w:w="0" w:type="dxa"/>
            <w:bottom w:w="0" w:type="dxa"/>
          </w:tblCellMar>
        </w:tblPrEx>
        <w:trPr>
          <w:cantSplit/>
          <w:tblHeader/>
        </w:trPr>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14" w14:textId="77777777" w:rsidR="00C1548D" w:rsidRDefault="009B1B4B">
            <w:pPr>
              <w:spacing w:line="250" w:lineRule="auto"/>
            </w:pPr>
            <w:r>
              <w:rPr>
                <w:b/>
                <w:bCs/>
                <w:sz w:val="18"/>
                <w:szCs w:val="18"/>
              </w:rPr>
              <w:t>Deutschland (cm)</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15" w14:textId="77777777" w:rsidR="00C1548D" w:rsidRDefault="009B1B4B">
            <w:pPr>
              <w:spacing w:line="250" w:lineRule="auto"/>
            </w:pPr>
            <w:r>
              <w:rPr>
                <w:b/>
                <w:bCs/>
                <w:sz w:val="18"/>
                <w:szCs w:val="18"/>
              </w:rPr>
              <w:t>US-Größe</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16" w14:textId="77777777" w:rsidR="00C1548D" w:rsidRDefault="009B1B4B">
            <w:pPr>
              <w:spacing w:line="250" w:lineRule="auto"/>
            </w:pPr>
            <w:r>
              <w:rPr>
                <w:b/>
                <w:bCs/>
                <w:sz w:val="18"/>
                <w:szCs w:val="18"/>
              </w:rPr>
              <w:t>Jahre (ca.)</w:t>
            </w:r>
          </w:p>
        </w:tc>
      </w:tr>
      <w:tr w:rsidR="00C1548D" w14:paraId="70A4E61B"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18" w14:textId="77777777" w:rsidR="00C1548D" w:rsidRDefault="009B1B4B">
            <w:pPr>
              <w:spacing w:line="250" w:lineRule="auto"/>
            </w:pPr>
            <w:r>
              <w:rPr>
                <w:sz w:val="18"/>
                <w:szCs w:val="18"/>
              </w:rPr>
              <w:t>92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19" w14:textId="77777777" w:rsidR="00C1548D" w:rsidRDefault="009B1B4B">
            <w:pPr>
              <w:spacing w:line="250" w:lineRule="auto"/>
            </w:pPr>
            <w:r>
              <w:rPr>
                <w:sz w:val="18"/>
                <w:szCs w:val="18"/>
              </w:rPr>
              <w:t>2T</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1A" w14:textId="77777777" w:rsidR="00C1548D" w:rsidRDefault="009B1B4B">
            <w:pPr>
              <w:spacing w:line="250" w:lineRule="auto"/>
            </w:pPr>
            <w:r>
              <w:rPr>
                <w:sz w:val="18"/>
                <w:szCs w:val="18"/>
              </w:rPr>
              <w:t>2</w:t>
            </w:r>
          </w:p>
        </w:tc>
      </w:tr>
      <w:tr w:rsidR="00C1548D" w14:paraId="70A4E61F"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1C" w14:textId="77777777" w:rsidR="00C1548D" w:rsidRDefault="009B1B4B">
            <w:pPr>
              <w:spacing w:line="250" w:lineRule="auto"/>
            </w:pPr>
            <w:r>
              <w:rPr>
                <w:sz w:val="18"/>
                <w:szCs w:val="18"/>
              </w:rPr>
              <w:t>104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1D" w14:textId="77777777" w:rsidR="00C1548D" w:rsidRDefault="009B1B4B">
            <w:pPr>
              <w:spacing w:line="250" w:lineRule="auto"/>
            </w:pPr>
            <w:r>
              <w:rPr>
                <w:sz w:val="18"/>
                <w:szCs w:val="18"/>
              </w:rPr>
              <w:t>4T</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1E" w14:textId="77777777" w:rsidR="00C1548D" w:rsidRDefault="009B1B4B">
            <w:pPr>
              <w:spacing w:line="250" w:lineRule="auto"/>
            </w:pPr>
            <w:r>
              <w:rPr>
                <w:sz w:val="18"/>
                <w:szCs w:val="18"/>
              </w:rPr>
              <w:t>4</w:t>
            </w:r>
          </w:p>
        </w:tc>
      </w:tr>
      <w:tr w:rsidR="00C1548D" w14:paraId="70A4E623"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0" w14:textId="77777777" w:rsidR="00C1548D" w:rsidRDefault="009B1B4B">
            <w:pPr>
              <w:spacing w:line="250" w:lineRule="auto"/>
            </w:pPr>
            <w:r>
              <w:rPr>
                <w:sz w:val="18"/>
                <w:szCs w:val="18"/>
              </w:rPr>
              <w:t>116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1" w14:textId="77777777" w:rsidR="00C1548D" w:rsidRDefault="009B1B4B">
            <w:pPr>
              <w:spacing w:line="250" w:lineRule="auto"/>
            </w:pPr>
            <w:r>
              <w:rPr>
                <w:sz w:val="18"/>
                <w:szCs w:val="18"/>
              </w:rPr>
              <w:t>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2" w14:textId="77777777" w:rsidR="00C1548D" w:rsidRDefault="009B1B4B">
            <w:pPr>
              <w:spacing w:line="250" w:lineRule="auto"/>
            </w:pPr>
            <w:r>
              <w:rPr>
                <w:sz w:val="18"/>
                <w:szCs w:val="18"/>
              </w:rPr>
              <w:t>6</w:t>
            </w:r>
          </w:p>
        </w:tc>
      </w:tr>
      <w:tr w:rsidR="00C1548D" w14:paraId="70A4E627"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4" w14:textId="77777777" w:rsidR="00C1548D" w:rsidRDefault="009B1B4B">
            <w:pPr>
              <w:spacing w:line="250" w:lineRule="auto"/>
            </w:pPr>
            <w:r>
              <w:rPr>
                <w:sz w:val="18"/>
                <w:szCs w:val="18"/>
              </w:rPr>
              <w:t>128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5" w14:textId="77777777" w:rsidR="00C1548D" w:rsidRDefault="009B1B4B">
            <w:pPr>
              <w:spacing w:line="250" w:lineRule="auto"/>
            </w:pPr>
            <w:r>
              <w:rPr>
                <w:sz w:val="18"/>
                <w:szCs w:val="18"/>
              </w:rPr>
              <w:t>7</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6" w14:textId="77777777" w:rsidR="00C1548D" w:rsidRDefault="009B1B4B">
            <w:pPr>
              <w:spacing w:line="250" w:lineRule="auto"/>
            </w:pPr>
            <w:r>
              <w:rPr>
                <w:sz w:val="18"/>
                <w:szCs w:val="18"/>
              </w:rPr>
              <w:t>7</w:t>
            </w:r>
          </w:p>
        </w:tc>
      </w:tr>
      <w:tr w:rsidR="00C1548D" w14:paraId="70A4E62B"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8" w14:textId="77777777" w:rsidR="00C1548D" w:rsidRDefault="009B1B4B">
            <w:pPr>
              <w:spacing w:line="250" w:lineRule="auto"/>
            </w:pPr>
            <w:r>
              <w:rPr>
                <w:sz w:val="18"/>
                <w:szCs w:val="18"/>
              </w:rPr>
              <w:t>140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9" w14:textId="77777777" w:rsidR="00C1548D" w:rsidRDefault="009B1B4B">
            <w:pPr>
              <w:spacing w:line="250" w:lineRule="auto"/>
            </w:pPr>
            <w:r>
              <w:rPr>
                <w:sz w:val="18"/>
                <w:szCs w:val="18"/>
              </w:rPr>
              <w:t>10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A" w14:textId="77777777" w:rsidR="00C1548D" w:rsidRDefault="009B1B4B">
            <w:pPr>
              <w:spacing w:line="250" w:lineRule="auto"/>
            </w:pPr>
            <w:r>
              <w:rPr>
                <w:sz w:val="18"/>
                <w:szCs w:val="18"/>
              </w:rPr>
              <w:t>10</w:t>
            </w:r>
          </w:p>
        </w:tc>
      </w:tr>
      <w:tr w:rsidR="00C1548D" w14:paraId="70A4E62F"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C" w14:textId="77777777" w:rsidR="00C1548D" w:rsidRDefault="009B1B4B">
            <w:pPr>
              <w:spacing w:line="250" w:lineRule="auto"/>
            </w:pPr>
            <w:r>
              <w:rPr>
                <w:sz w:val="18"/>
                <w:szCs w:val="18"/>
              </w:rPr>
              <w:t>152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D" w14:textId="77777777" w:rsidR="00C1548D" w:rsidRDefault="009B1B4B">
            <w:pPr>
              <w:spacing w:line="250" w:lineRule="auto"/>
            </w:pPr>
            <w:r>
              <w:rPr>
                <w:sz w:val="18"/>
                <w:szCs w:val="18"/>
              </w:rPr>
              <w:t>14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2E" w14:textId="77777777" w:rsidR="00C1548D" w:rsidRDefault="009B1B4B">
            <w:pPr>
              <w:spacing w:line="250" w:lineRule="auto"/>
            </w:pPr>
            <w:r>
              <w:rPr>
                <w:sz w:val="18"/>
                <w:szCs w:val="18"/>
              </w:rPr>
              <w:t>14</w:t>
            </w:r>
          </w:p>
        </w:tc>
      </w:tr>
    </w:tbl>
    <w:p w14:paraId="70A4E630" w14:textId="77777777" w:rsidR="00C1548D" w:rsidRDefault="00C1548D">
      <w:pPr>
        <w:spacing w:line="180" w:lineRule="exact"/>
      </w:pPr>
    </w:p>
    <w:p w14:paraId="70A4E631" w14:textId="77777777" w:rsidR="00C1548D" w:rsidRDefault="009B1B4B">
      <w:pPr>
        <w:spacing w:after="140"/>
      </w:pPr>
      <w:r>
        <w:rPr>
          <w:b/>
          <w:bCs/>
        </w:rPr>
        <w:t>Schuhe:</w:t>
      </w:r>
      <w:r>
        <w:t xml:space="preserve"> Herren- und Damenschuhe laufen getrennt; die Damengröße liegt anderthalb Nummern über der Herrengröße desselben Schuhs.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160"/>
        <w:gridCol w:w="2160"/>
      </w:tblGrid>
      <w:tr w:rsidR="00C1548D" w14:paraId="70A4E635" w14:textId="77777777">
        <w:tblPrEx>
          <w:tblCellMar>
            <w:top w:w="0" w:type="dxa"/>
            <w:bottom w:w="0" w:type="dxa"/>
          </w:tblCellMar>
        </w:tblPrEx>
        <w:trPr>
          <w:cantSplit/>
          <w:tblHeader/>
        </w:trPr>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32" w14:textId="77777777" w:rsidR="00C1548D" w:rsidRDefault="009B1B4B">
            <w:pPr>
              <w:spacing w:line="250" w:lineRule="auto"/>
            </w:pPr>
            <w:r>
              <w:rPr>
                <w:b/>
                <w:bCs/>
                <w:sz w:val="18"/>
                <w:szCs w:val="18"/>
              </w:rPr>
              <w:t>EU</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33" w14:textId="77777777" w:rsidR="00C1548D" w:rsidRDefault="009B1B4B">
            <w:pPr>
              <w:spacing w:line="250" w:lineRule="auto"/>
            </w:pPr>
            <w:r>
              <w:rPr>
                <w:b/>
                <w:bCs/>
                <w:sz w:val="18"/>
                <w:szCs w:val="18"/>
              </w:rPr>
              <w:t>US Damen</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34" w14:textId="77777777" w:rsidR="00C1548D" w:rsidRDefault="009B1B4B">
            <w:pPr>
              <w:spacing w:line="250" w:lineRule="auto"/>
            </w:pPr>
            <w:r>
              <w:rPr>
                <w:b/>
                <w:bCs/>
                <w:sz w:val="18"/>
                <w:szCs w:val="18"/>
              </w:rPr>
              <w:t>US Herren</w:t>
            </w:r>
          </w:p>
        </w:tc>
      </w:tr>
      <w:tr w:rsidR="00C1548D" w14:paraId="70A4E639"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36" w14:textId="77777777" w:rsidR="00C1548D" w:rsidRDefault="009B1B4B">
            <w:pPr>
              <w:spacing w:line="250" w:lineRule="auto"/>
            </w:pPr>
            <w:r>
              <w:rPr>
                <w:sz w:val="18"/>
                <w:szCs w:val="18"/>
              </w:rPr>
              <w:t>38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37" w14:textId="77777777" w:rsidR="00C1548D" w:rsidRDefault="009B1B4B">
            <w:pPr>
              <w:spacing w:line="250" w:lineRule="auto"/>
            </w:pPr>
            <w:r>
              <w:rPr>
                <w:sz w:val="18"/>
                <w:szCs w:val="18"/>
              </w:rPr>
              <w:t>7</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38" w14:textId="77777777" w:rsidR="00C1548D" w:rsidRDefault="009B1B4B">
            <w:pPr>
              <w:spacing w:line="250" w:lineRule="auto"/>
            </w:pPr>
            <w:r>
              <w:rPr>
                <w:sz w:val="18"/>
                <w:szCs w:val="18"/>
              </w:rPr>
              <w:t>5,5</w:t>
            </w:r>
          </w:p>
        </w:tc>
      </w:tr>
      <w:tr w:rsidR="00C1548D" w14:paraId="70A4E63D"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3A" w14:textId="77777777" w:rsidR="00C1548D" w:rsidRDefault="009B1B4B">
            <w:pPr>
              <w:spacing w:line="250" w:lineRule="auto"/>
            </w:pPr>
            <w:r>
              <w:rPr>
                <w:sz w:val="18"/>
                <w:szCs w:val="18"/>
              </w:rPr>
              <w:t>39</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3B" w14:textId="77777777" w:rsidR="00C1548D" w:rsidRDefault="009B1B4B">
            <w:pPr>
              <w:spacing w:line="250" w:lineRule="auto"/>
            </w:pPr>
            <w:r>
              <w:rPr>
                <w:sz w:val="18"/>
                <w:szCs w:val="18"/>
              </w:rPr>
              <w:t>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3C" w14:textId="77777777" w:rsidR="00C1548D" w:rsidRDefault="009B1B4B">
            <w:pPr>
              <w:spacing w:line="250" w:lineRule="auto"/>
            </w:pPr>
            <w:r>
              <w:rPr>
                <w:sz w:val="18"/>
                <w:szCs w:val="18"/>
              </w:rPr>
              <w:t>6,5</w:t>
            </w:r>
          </w:p>
        </w:tc>
      </w:tr>
      <w:tr w:rsidR="00C1548D" w14:paraId="70A4E641"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3E" w14:textId="77777777" w:rsidR="00C1548D" w:rsidRDefault="009B1B4B">
            <w:pPr>
              <w:spacing w:line="250" w:lineRule="auto"/>
            </w:pPr>
            <w:r>
              <w:rPr>
                <w:sz w:val="18"/>
                <w:szCs w:val="18"/>
              </w:rPr>
              <w:t>40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3F" w14:textId="77777777" w:rsidR="00C1548D" w:rsidRDefault="009B1B4B">
            <w:pPr>
              <w:spacing w:line="250" w:lineRule="auto"/>
            </w:pPr>
            <w:r>
              <w:rPr>
                <w:sz w:val="18"/>
                <w:szCs w:val="18"/>
              </w:rPr>
              <w:t>8,5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0" w14:textId="77777777" w:rsidR="00C1548D" w:rsidRDefault="009B1B4B">
            <w:pPr>
              <w:spacing w:line="250" w:lineRule="auto"/>
            </w:pPr>
            <w:r>
              <w:rPr>
                <w:sz w:val="18"/>
                <w:szCs w:val="18"/>
              </w:rPr>
              <w:t>7</w:t>
            </w:r>
          </w:p>
        </w:tc>
      </w:tr>
      <w:tr w:rsidR="00C1548D" w14:paraId="70A4E645"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2" w14:textId="77777777" w:rsidR="00C1548D" w:rsidRDefault="009B1B4B">
            <w:pPr>
              <w:spacing w:line="250" w:lineRule="auto"/>
            </w:pPr>
            <w:r>
              <w:rPr>
                <w:sz w:val="18"/>
                <w:szCs w:val="18"/>
              </w:rPr>
              <w:t>41</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3" w14:textId="77777777" w:rsidR="00C1548D" w:rsidRDefault="009B1B4B">
            <w:pPr>
              <w:spacing w:line="250" w:lineRule="auto"/>
            </w:pPr>
            <w:r>
              <w:rPr>
                <w:sz w:val="18"/>
                <w:szCs w:val="18"/>
              </w:rPr>
              <w:t>9,5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4" w14:textId="77777777" w:rsidR="00C1548D" w:rsidRDefault="009B1B4B">
            <w:pPr>
              <w:spacing w:line="250" w:lineRule="auto"/>
            </w:pPr>
            <w:r>
              <w:rPr>
                <w:sz w:val="18"/>
                <w:szCs w:val="18"/>
              </w:rPr>
              <w:t>8</w:t>
            </w:r>
          </w:p>
        </w:tc>
      </w:tr>
      <w:tr w:rsidR="00C1548D" w14:paraId="70A4E649"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6" w14:textId="77777777" w:rsidR="00C1548D" w:rsidRDefault="009B1B4B">
            <w:pPr>
              <w:spacing w:line="250" w:lineRule="auto"/>
            </w:pPr>
            <w:r>
              <w:rPr>
                <w:sz w:val="18"/>
                <w:szCs w:val="18"/>
              </w:rPr>
              <w:t>42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7" w14:textId="77777777" w:rsidR="00C1548D" w:rsidRDefault="009B1B4B">
            <w:pPr>
              <w:spacing w:line="250" w:lineRule="auto"/>
            </w:pPr>
            <w:r>
              <w:rPr>
                <w:sz w:val="18"/>
                <w:szCs w:val="18"/>
              </w:rPr>
              <w:t>10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8" w14:textId="77777777" w:rsidR="00C1548D" w:rsidRDefault="009B1B4B">
            <w:pPr>
              <w:spacing w:line="250" w:lineRule="auto"/>
            </w:pPr>
            <w:r>
              <w:rPr>
                <w:sz w:val="18"/>
                <w:szCs w:val="18"/>
              </w:rPr>
              <w:t>8,5</w:t>
            </w:r>
          </w:p>
        </w:tc>
      </w:tr>
      <w:tr w:rsidR="00C1548D" w14:paraId="70A4E64D"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A" w14:textId="77777777" w:rsidR="00C1548D" w:rsidRDefault="009B1B4B">
            <w:pPr>
              <w:spacing w:line="250" w:lineRule="auto"/>
            </w:pPr>
            <w:r>
              <w:rPr>
                <w:sz w:val="18"/>
                <w:szCs w:val="18"/>
              </w:rPr>
              <w:t>43</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B" w14:textId="77777777" w:rsidR="00C1548D" w:rsidRDefault="009B1B4B">
            <w:pPr>
              <w:spacing w:line="250" w:lineRule="auto"/>
            </w:pPr>
            <w:r>
              <w:rPr>
                <w:sz w:val="18"/>
                <w:szCs w:val="18"/>
              </w:rPr>
              <w:t>11</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C" w14:textId="77777777" w:rsidR="00C1548D" w:rsidRDefault="009B1B4B">
            <w:pPr>
              <w:spacing w:line="250" w:lineRule="auto"/>
            </w:pPr>
            <w:r>
              <w:rPr>
                <w:sz w:val="18"/>
                <w:szCs w:val="18"/>
              </w:rPr>
              <w:t>9,5</w:t>
            </w:r>
          </w:p>
        </w:tc>
      </w:tr>
      <w:tr w:rsidR="00C1548D" w14:paraId="70A4E651"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E" w14:textId="77777777" w:rsidR="00C1548D" w:rsidRDefault="009B1B4B">
            <w:pPr>
              <w:spacing w:line="250" w:lineRule="auto"/>
            </w:pPr>
            <w:r>
              <w:rPr>
                <w:sz w:val="18"/>
                <w:szCs w:val="18"/>
              </w:rPr>
              <w:t>44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4F" w14:textId="77777777" w:rsidR="00C1548D" w:rsidRDefault="009B1B4B">
            <w:pPr>
              <w:spacing w:line="250" w:lineRule="auto"/>
            </w:pPr>
            <w:r>
              <w:rPr>
                <w:sz w:val="18"/>
                <w:szCs w:val="18"/>
              </w:rPr>
              <w:t>11,5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50" w14:textId="77777777" w:rsidR="00C1548D" w:rsidRDefault="009B1B4B">
            <w:pPr>
              <w:spacing w:line="250" w:lineRule="auto"/>
            </w:pPr>
            <w:r>
              <w:rPr>
                <w:sz w:val="18"/>
                <w:szCs w:val="18"/>
              </w:rPr>
              <w:t>10</w:t>
            </w:r>
          </w:p>
        </w:tc>
      </w:tr>
      <w:tr w:rsidR="00C1548D" w14:paraId="70A4E655"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52" w14:textId="77777777" w:rsidR="00C1548D" w:rsidRDefault="009B1B4B">
            <w:pPr>
              <w:spacing w:line="250" w:lineRule="auto"/>
            </w:pPr>
            <w:r>
              <w:rPr>
                <w:sz w:val="18"/>
                <w:szCs w:val="18"/>
              </w:rPr>
              <w:t>45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53" w14:textId="77777777" w:rsidR="00C1548D" w:rsidRDefault="009B1B4B">
            <w:pPr>
              <w:spacing w:line="250" w:lineRule="auto"/>
            </w:pPr>
            <w:r>
              <w:rPr>
                <w:sz w:val="18"/>
                <w:szCs w:val="18"/>
              </w:rPr>
              <w:t>12,5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54" w14:textId="77777777" w:rsidR="00C1548D" w:rsidRDefault="009B1B4B">
            <w:pPr>
              <w:spacing w:line="250" w:lineRule="auto"/>
            </w:pPr>
            <w:r>
              <w:rPr>
                <w:sz w:val="18"/>
                <w:szCs w:val="18"/>
              </w:rPr>
              <w:t>11</w:t>
            </w:r>
          </w:p>
        </w:tc>
      </w:tr>
      <w:tr w:rsidR="00C1548D" w14:paraId="70A4E659"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56" w14:textId="77777777" w:rsidR="00C1548D" w:rsidRDefault="009B1B4B">
            <w:pPr>
              <w:spacing w:line="250" w:lineRule="auto"/>
            </w:pPr>
            <w:r>
              <w:rPr>
                <w:sz w:val="18"/>
                <w:szCs w:val="18"/>
              </w:rPr>
              <w:t>46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57" w14:textId="77777777" w:rsidR="00C1548D" w:rsidRDefault="009B1B4B">
            <w:pPr>
              <w:spacing w:line="250" w:lineRule="auto"/>
            </w:pPr>
            <w:r>
              <w:rPr>
                <w:sz w:val="18"/>
                <w:szCs w:val="18"/>
              </w:rPr>
              <w:t>13,5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58" w14:textId="77777777" w:rsidR="00C1548D" w:rsidRDefault="009B1B4B">
            <w:pPr>
              <w:spacing w:line="250" w:lineRule="auto"/>
            </w:pPr>
            <w:r>
              <w:rPr>
                <w:sz w:val="18"/>
                <w:szCs w:val="18"/>
              </w:rPr>
              <w:t>12</w:t>
            </w:r>
          </w:p>
        </w:tc>
      </w:tr>
    </w:tbl>
    <w:p w14:paraId="70A4E65A" w14:textId="77777777" w:rsidR="00C1548D" w:rsidRDefault="00C1548D">
      <w:pPr>
        <w:spacing w:line="180" w:lineRule="exact"/>
      </w:pPr>
    </w:p>
    <w:p w14:paraId="70A4E65B" w14:textId="77777777" w:rsidR="00C1548D" w:rsidRDefault="009B1B4B">
      <w:pPr>
        <w:spacing w:after="140"/>
      </w:pPr>
      <w:r>
        <w:t>Kinderschuhe haben ein eigenes System: „C“ (</w:t>
      </w:r>
      <w:r>
        <w:rPr>
          <w:i/>
          <w:iCs/>
        </w:rPr>
        <w:t>Children</w:t>
      </w:r>
      <w:r>
        <w:t>) bis 13,5, danach „Y“ (</w:t>
      </w:r>
      <w:r>
        <w:rPr>
          <w:i/>
          <w:iCs/>
        </w:rPr>
        <w:t>Youth</w:t>
      </w:r>
      <w:r>
        <w:t>), etwa EU 27 = 10C, EU 31 = 13C, EU 35 = 3Y. Viele Modelle gibt es zusätzlich in Weiten (</w:t>
      </w:r>
      <w:r>
        <w:rPr>
          <w:i/>
          <w:iCs/>
        </w:rPr>
        <w:t>Medium</w:t>
      </w:r>
      <w:r>
        <w:t xml:space="preserve">, </w:t>
      </w:r>
      <w:r>
        <w:rPr>
          <w:i/>
          <w:iCs/>
        </w:rPr>
        <w:t>Wide</w:t>
      </w:r>
      <w:r>
        <w:t>), ein Vorteil bei breiten Füßen.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65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65C" w14:textId="77777777" w:rsidR="00C1548D" w:rsidRDefault="009B1B4B">
            <w:pPr>
              <w:keepNext/>
              <w:spacing w:after="70" w:line="240" w:lineRule="auto"/>
            </w:pPr>
            <w:r>
              <w:rPr>
                <w:b/>
                <w:bCs/>
                <w:color w:val="9B2C2C"/>
                <w:spacing w:val="24"/>
                <w:sz w:val="16"/>
                <w:szCs w:val="16"/>
              </w:rPr>
              <w:lastRenderedPageBreak/>
              <w:t>ACHTUNG</w:t>
            </w:r>
          </w:p>
          <w:p w14:paraId="70A4E65D" w14:textId="77777777" w:rsidR="00C1548D" w:rsidRDefault="009B1B4B">
            <w:pPr>
              <w:spacing w:after="80" w:line="264" w:lineRule="auto"/>
            </w:pPr>
            <w:r>
              <w:rPr>
                <w:sz w:val="20"/>
                <w:szCs w:val="20"/>
              </w:rPr>
              <w:t xml:space="preserve">Dieselbe Person trägt bei einer Marke Größe 6 und bei der nächsten Größe 10. Diese Größeninflation heißt </w:t>
            </w:r>
            <w:r>
              <w:rPr>
                <w:i/>
                <w:iCs/>
                <w:sz w:val="20"/>
                <w:szCs w:val="20"/>
              </w:rPr>
              <w:t>Vanity Sizing</w:t>
            </w:r>
            <w:r>
              <w:rPr>
                <w:sz w:val="20"/>
                <w:szCs w:val="20"/>
              </w:rPr>
              <w:t>: Marken schneiden großzügiger, damit die Zahl im Etikett kleiner ausfällt – nett fürs Ego, wenig hilfreich beim Online-Kauf ohne Anprobe. Nach US-Normdaten (ASTM D5585) stand Größe 8 im Jahr 1958 für rund 83 cm Brustumfang, 2011 für rund 92 cm. Verlass dich auf die Maßtabelle der Marke (Brust, Taille, Hüfte in Zoll), nicht auf die Zahl.</w:t>
            </w:r>
          </w:p>
        </w:tc>
      </w:tr>
    </w:tbl>
    <w:p w14:paraId="70A4E65F" w14:textId="77777777" w:rsidR="00C1548D" w:rsidRDefault="00C1548D">
      <w:pPr>
        <w:spacing w:line="220" w:lineRule="exact"/>
      </w:pPr>
    </w:p>
    <w:p w14:paraId="70A4E660" w14:textId="77777777" w:rsidR="00C1548D" w:rsidRDefault="009B1B4B">
      <w:pPr>
        <w:pStyle w:val="Heading3"/>
        <w:keepNext/>
        <w:jc w:val="center"/>
      </w:pPr>
      <w:r>
        <w:rPr>
          <w:rFonts w:ascii="Amazon Ember" w:eastAsia="Amazon Ember" w:hAnsi="Amazon Ember" w:cs="Amazon Ember"/>
          <w:color w:val="0000FF"/>
          <w:sz w:val="36"/>
          <w:szCs w:val="36"/>
        </w:rPr>
        <w:t>Wo du einkaufst und was es kostet</w:t>
      </w:r>
    </w:p>
    <w:p w14:paraId="70A4E661" w14:textId="77777777" w:rsidR="00C1548D" w:rsidRDefault="009B1B4B">
      <w:pPr>
        <w:spacing w:after="140"/>
      </w:pPr>
      <w:r>
        <w:t>Jede Sorte Laden hat ihre Rolle:</w:t>
      </w:r>
    </w:p>
    <w:p w14:paraId="70A4E662" w14:textId="77777777" w:rsidR="00C1548D" w:rsidRDefault="009B1B4B" w:rsidP="009B1B4B">
      <w:pPr>
        <w:pStyle w:val="ListParagraph"/>
        <w:numPr>
          <w:ilvl w:val="0"/>
          <w:numId w:val="1"/>
        </w:numPr>
        <w:spacing w:after="60"/>
      </w:pPr>
      <w:r>
        <w:rPr>
          <w:b/>
          <w:bCs/>
        </w:rPr>
        <w:t>Off-Price-Ketten</w:t>
      </w:r>
      <w:r>
        <w:t xml:space="preserve"> (</w:t>
      </w:r>
      <w:r>
        <w:rPr>
          <w:i/>
          <w:iCs/>
        </w:rPr>
        <w:t>Off-Price</w:t>
      </w:r>
      <w:r>
        <w:t>: Markenware aus Überbeständen, deutlich reduziert) wie TJ Maxx, Marshalls, Ross oder Nordstrom Rack: wechselndes Sortiment, lückenhafte Größen, lohnende Schatzsuche.</w:t>
      </w:r>
    </w:p>
    <w:p w14:paraId="70A4E663" w14:textId="77777777" w:rsidR="00C1548D" w:rsidRDefault="009B1B4B" w:rsidP="009B1B4B">
      <w:pPr>
        <w:pStyle w:val="ListParagraph"/>
        <w:numPr>
          <w:ilvl w:val="0"/>
          <w:numId w:val="1"/>
        </w:numPr>
        <w:spacing w:after="60"/>
      </w:pPr>
      <w:r>
        <w:rPr>
          <w:b/>
          <w:bCs/>
        </w:rPr>
        <w:t>Kaufhäuser und Fachketten</w:t>
      </w:r>
      <w:r>
        <w:t xml:space="preserve"> wie Macy’s, Nordstrom, Kohl’s, Gap, Old Navy oder H&amp;M. Old Navy und Target sind eine feste Adresse für Basics und Kinderkleidung.</w:t>
      </w:r>
    </w:p>
    <w:p w14:paraId="70A4E664" w14:textId="77777777" w:rsidR="00C1548D" w:rsidRDefault="009B1B4B" w:rsidP="009B1B4B">
      <w:pPr>
        <w:pStyle w:val="ListParagraph"/>
        <w:numPr>
          <w:ilvl w:val="0"/>
          <w:numId w:val="1"/>
        </w:numPr>
        <w:spacing w:after="60"/>
      </w:pPr>
      <w:r>
        <w:rPr>
          <w:b/>
          <w:bCs/>
        </w:rPr>
        <w:t>Outlets</w:t>
      </w:r>
      <w:r>
        <w:t xml:space="preserve"> liegen meist außerhalb der Städte; nicht jeder Outlet-Preis ist ein Schnäppchen.</w:t>
      </w:r>
    </w:p>
    <w:p w14:paraId="70A4E665" w14:textId="6F421301" w:rsidR="00C1548D" w:rsidRDefault="009B1B4B" w:rsidP="009B1B4B">
      <w:pPr>
        <w:pStyle w:val="ListParagraph"/>
        <w:numPr>
          <w:ilvl w:val="0"/>
          <w:numId w:val="1"/>
        </w:numPr>
        <w:spacing w:after="60"/>
      </w:pPr>
      <w:r>
        <w:rPr>
          <w:b/>
          <w:bCs/>
        </w:rPr>
        <w:t>Costco und Amazon:</w:t>
      </w:r>
      <w:r>
        <w:t xml:space="preserve"> Costco führt Basics unter der Eigenmarke Kirkland Signature (Mitgliedschaft nötig, Kapitel </w:t>
      </w:r>
      <w:hyperlink w:anchor="k35" w:history="1">
        <w:r>
          <w:t>35</w:t>
        </w:r>
      </w:hyperlink>
      <w:r>
        <w:t>). Bei Amazon prüfst du vor dem Kauf Größentabelle und Rückgabebedingungen.</w:t>
      </w:r>
    </w:p>
    <w:p w14:paraId="70A4E666" w14:textId="77777777" w:rsidR="00C1548D" w:rsidRDefault="009B1B4B" w:rsidP="009B1B4B">
      <w:pPr>
        <w:pStyle w:val="ListParagraph"/>
        <w:numPr>
          <w:ilvl w:val="0"/>
          <w:numId w:val="1"/>
        </w:numPr>
        <w:spacing w:after="60"/>
      </w:pPr>
      <w:r>
        <w:rPr>
          <w:b/>
          <w:bCs/>
        </w:rPr>
        <w:t>REI:</w:t>
      </w:r>
      <w:r>
        <w:t xml:space="preserve"> Genossenschaft für Outdoor-Ausrüstung mit guter Beratung und Rückvergütung für Mitglieder.</w:t>
      </w:r>
    </w:p>
    <w:p w14:paraId="70A4E667" w14:textId="77777777" w:rsidR="00C1548D" w:rsidRDefault="009B1B4B" w:rsidP="009B1B4B">
      <w:pPr>
        <w:pStyle w:val="ListParagraph"/>
        <w:numPr>
          <w:ilvl w:val="0"/>
          <w:numId w:val="1"/>
        </w:numPr>
        <w:spacing w:after="60"/>
      </w:pPr>
      <w:r>
        <w:rPr>
          <w:b/>
          <w:bCs/>
        </w:rPr>
        <w:t>Second Hand:</w:t>
      </w:r>
      <w:r>
        <w:t xml:space="preserve"> </w:t>
      </w:r>
      <w:r>
        <w:rPr>
          <w:i/>
          <w:iCs/>
        </w:rPr>
        <w:t>Thrift Stores</w:t>
      </w:r>
      <w:r>
        <w:t xml:space="preserve"> (Second-Hand-Läden) wie Goodwill und Salvation Army, Kommissionsläden, online ThredUp, Poshmark oder Facebook Marketplace. Gebrauchtes ist gesellschaftlich normal und für Kinderkleidung, Winterjacken und Sportausrüstung die günstigste Quelle.</w:t>
      </w:r>
    </w:p>
    <w:p w14:paraId="70A4E668" w14:textId="77777777" w:rsidR="00C1548D" w:rsidRDefault="00C1548D">
      <w:pPr>
        <w:spacing w:line="120" w:lineRule="exact"/>
      </w:pPr>
    </w:p>
    <w:p w14:paraId="70A4E669" w14:textId="77777777" w:rsidR="00C1548D" w:rsidRDefault="009B1B4B">
      <w:pPr>
        <w:spacing w:after="140"/>
      </w:pPr>
      <w:r>
        <w:lastRenderedPageBreak/>
        <w:t xml:space="preserve">Feste Termine für Saisonverkäufe sind </w:t>
      </w:r>
      <w:r>
        <w:rPr>
          <w:b/>
          <w:bCs/>
        </w:rPr>
        <w:t>Memorial Day</w:t>
      </w:r>
      <w:r>
        <w:t xml:space="preserve"> (letzter Montag im Mai), </w:t>
      </w:r>
      <w:r>
        <w:rPr>
          <w:b/>
          <w:bCs/>
        </w:rPr>
        <w:t>Labor Day</w:t>
      </w:r>
      <w:r>
        <w:t xml:space="preserve"> (erster Montag im September) und </w:t>
      </w:r>
      <w:r>
        <w:rPr>
          <w:b/>
          <w:bCs/>
        </w:rPr>
        <w:t>Black Friday</w:t>
      </w:r>
      <w:r>
        <w:t xml:space="preserve"> (Tag nach Thanksgiving). Winterware wird ab Januar herabgesetzt, Sommerware ab August, Schulkleidung gibt es im Juli günstig.</w:t>
      </w:r>
    </w:p>
    <w:p w14:paraId="70A4E66A" w14:textId="2EF46DC6" w:rsidR="00C1548D" w:rsidRDefault="009B1B4B">
      <w:pPr>
        <w:spacing w:after="140"/>
      </w:pPr>
      <w:r>
        <w:t>Ein allgemeines gesetzliches Widerrufsrecht wie in Deutschland gibt es nicht; die Rückgabe regelt jeder Händler selbst (</w:t>
      </w:r>
      <w:r>
        <w:rPr>
          <w:i/>
          <w:iCs/>
        </w:rPr>
        <w:t>Return Policy</w:t>
      </w:r>
      <w:r>
        <w:t>). Üblich sind 30 bis 90 Tage, oft nur mit Kassenbon und Etikett, online meist mit kostenloser Rücksendung. Costco und REI sind für kulante Rücknahme bekannt (mehr zur Rückgabekultur in Kapitel </w:t>
      </w:r>
      <w:hyperlink w:anchor="k31" w:history="1">
        <w:r>
          <w:t>31</w:t>
        </w:r>
      </w:hyperlink>
      <w:r>
        <w:t>).</w:t>
      </w:r>
    </w:p>
    <w:p w14:paraId="70A4E66B" w14:textId="77777777" w:rsidR="00C1548D" w:rsidRDefault="009B1B4B">
      <w:pPr>
        <w:spacing w:after="140"/>
      </w:pPr>
      <w:r>
        <w:t>Zur groben Orientierung (Stand 2026, stark abhängig von Marke und Aktion): Jeans kosten meist 30–100 $, eine gefütterte Winterjacke 100–300 $ (Premium-Daunenparkas ab 400 $), Sneaker 50–150 $, Leder- und Winterstiefel 100–250 $. Die Verkaufssteuer kommt erst an der Kasse dazu.</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66E"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66C" w14:textId="77777777" w:rsidR="00C1548D" w:rsidRDefault="009B1B4B">
            <w:pPr>
              <w:keepNext/>
              <w:spacing w:after="70" w:line="240" w:lineRule="auto"/>
            </w:pPr>
            <w:r>
              <w:rPr>
                <w:b/>
                <w:bCs/>
                <w:color w:val="2F6B3B"/>
                <w:spacing w:val="24"/>
                <w:sz w:val="16"/>
                <w:szCs w:val="16"/>
              </w:rPr>
              <w:t>SPARTIPP</w:t>
            </w:r>
          </w:p>
          <w:p w14:paraId="70A4E66D" w14:textId="77777777" w:rsidR="00C1548D" w:rsidRDefault="009B1B4B">
            <w:pPr>
              <w:spacing w:after="80" w:line="264" w:lineRule="auto"/>
            </w:pPr>
            <w:r>
              <w:rPr>
                <w:sz w:val="20"/>
                <w:szCs w:val="20"/>
              </w:rPr>
              <w:t>In einigen Bundesstaaten ist Kleidung ganz oder teilweise steuerfrei: Pennsylvania, New Jersey, Minnesota und Vermont, in New York bis 110 $ und in Massachusetts bis 175 $ je Stück (Stand 2026; prüfe die Regel deines Bundesstaats).</w:t>
            </w:r>
          </w:p>
        </w:tc>
      </w:tr>
    </w:tbl>
    <w:p w14:paraId="70A4E66F" w14:textId="77777777" w:rsidR="00C1548D" w:rsidRDefault="00C1548D">
      <w:pPr>
        <w:spacing w:line="220" w:lineRule="exact"/>
      </w:pPr>
    </w:p>
    <w:p w14:paraId="70A4E670" w14:textId="77777777" w:rsidR="00C1548D" w:rsidRDefault="009B1B4B">
      <w:pPr>
        <w:pStyle w:val="Heading3"/>
        <w:keepNext/>
        <w:jc w:val="center"/>
      </w:pPr>
      <w:r>
        <w:rPr>
          <w:rFonts w:ascii="Amazon Ember" w:eastAsia="Amazon Ember" w:hAnsi="Amazon Ember" w:cs="Amazon Ember"/>
          <w:color w:val="0000FF"/>
          <w:sz w:val="36"/>
          <w:szCs w:val="36"/>
        </w:rPr>
        <w:t>Marken: was in den USA Standard ist</w:t>
      </w:r>
    </w:p>
    <w:p w14:paraId="70A4E671" w14:textId="77777777" w:rsidR="00C1548D" w:rsidRDefault="009B1B4B">
      <w:pPr>
        <w:spacing w:after="140"/>
      </w:pPr>
      <w:r>
        <w:t>Als US-Standard gelten Levi’s und Wrangler (Jeans), Carhartt (Arbeitskleidung, Hauptsitz Dearborn bei Detroit), Patagonia, The North Face und Columbia (Outdoor), L.L.Bean sowie Nike, Under Armour und New Balance (Sport). Adidas, Puma und Birkenstock findest du überall. Kleinere deutsche Marken gibt es meist nur online oder in wenigen Läden, oft teurer.</w:t>
      </w:r>
    </w:p>
    <w:p w14:paraId="70A4E672" w14:textId="77777777" w:rsidR="00C1548D" w:rsidRDefault="009B1B4B">
      <w:pPr>
        <w:pStyle w:val="Heading3"/>
        <w:keepNext/>
        <w:jc w:val="center"/>
      </w:pPr>
      <w:r>
        <w:rPr>
          <w:rFonts w:ascii="Amazon Ember" w:eastAsia="Amazon Ember" w:hAnsi="Amazon Ember" w:cs="Amazon Ember"/>
          <w:color w:val="0000FF"/>
          <w:sz w:val="36"/>
          <w:szCs w:val="36"/>
        </w:rPr>
        <w:lastRenderedPageBreak/>
        <w:t>Klimagarderobe: Layering, Regen, Hitze, Kälte</w:t>
      </w:r>
    </w:p>
    <w:p w14:paraId="70A4E673" w14:textId="6CEE720F" w:rsidR="00C1548D" w:rsidRDefault="009B1B4B">
      <w:pPr>
        <w:spacing w:after="140"/>
      </w:pPr>
      <w:r>
        <w:t>Das Klima entscheidet über deine Garderobe stärker als jeder Dresscode (Regionen und Naturrisiken: Kapitel </w:t>
      </w:r>
      <w:hyperlink w:anchor="k12" w:history="1">
        <w:r>
          <w:t>12</w:t>
        </w:r>
      </w:hyperlink>
      <w:r>
        <w:t>). Bewährt ist das Schichtenprinzip (</w:t>
      </w:r>
      <w:r>
        <w:rPr>
          <w:i/>
          <w:iCs/>
        </w:rPr>
        <w:t>Layering</w:t>
      </w:r>
      <w:r>
        <w:t>): Basisschicht (Merino oder Kunstfaser), wärmende Schicht (Fleece oder Daune) und Schale gegen Wind und Nässe. Innenräume sind im Winter stark geheizt und im Sommer oft heruntergekühlt; eine Strickjacke im Büro ist auch im Juli normal.</w:t>
      </w:r>
    </w:p>
    <w:p w14:paraId="70A4E674" w14:textId="77777777" w:rsidR="00C1548D" w:rsidRDefault="009B1B4B">
      <w:pPr>
        <w:spacing w:after="140"/>
      </w:pPr>
      <w:r>
        <w:rPr>
          <w:b/>
          <w:bCs/>
        </w:rPr>
        <w:t>Kälte:</w:t>
      </w:r>
      <w:r>
        <w:t xml:space="preserve"> In Michigan, Minnesota oder Neuengland brauchst du Daunenparka, Mütze, Handschuhe, wasserdichte gefütterte Stiefel und Thermounterwäsche. Wind zählt mehr als die Gradzahl: Bei 0 °F (−18 °C) und 15 mph (24 km/h) Wind fühlt es sich laut Nationalem Wetterdienst wie −19 °F (−28 °C) an; ungeschützte Haut kann in 30 Minuten erfrieren.</w:t>
      </w:r>
    </w:p>
    <w:p w14:paraId="70A4E675" w14:textId="77777777" w:rsidR="00C1548D" w:rsidRDefault="009B1B4B">
      <w:pPr>
        <w:spacing w:after="140"/>
      </w:pPr>
      <w:r>
        <w:rPr>
          <w:b/>
          <w:bCs/>
        </w:rPr>
        <w:t>Regen:</w:t>
      </w:r>
      <w:r>
        <w:t xml:space="preserve"> Im Nordwesten genügt meist eine atmungsaktive Regenjacke mit Kapuze. Im Südosten kommt der Regen in Wolkenbrüchen; schnell trocknende Stoffe und wasserfeste Sandalen schlagen dort Leder.</w:t>
      </w:r>
    </w:p>
    <w:p w14:paraId="70A4E676" w14:textId="77777777" w:rsidR="00C1548D" w:rsidRDefault="009B1B4B">
      <w:pPr>
        <w:spacing w:after="140"/>
      </w:pPr>
      <w:r>
        <w:rPr>
          <w:b/>
          <w:bCs/>
        </w:rPr>
        <w:t>Hitze und Sonne:</w:t>
      </w:r>
      <w:r>
        <w:t xml:space="preserve"> In Arizona, Texas oder Florida trägst du leichte, helle, luftige Stoffe, einen Hut mit breiter Krempe und eine Sonnenbrille mit UV-Schutz. Sonnenschutzkleidung mit UPF-Kennzeichnung (</w:t>
      </w:r>
      <w:r>
        <w:rPr>
          <w:i/>
          <w:iCs/>
        </w:rPr>
        <w:t>UPF</w:t>
      </w:r>
      <w:r>
        <w:t>: Lichtschutzfaktor von Textilien) gibt es bei Outdoor-Händlern.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67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677" w14:textId="77777777" w:rsidR="00C1548D" w:rsidRDefault="009B1B4B">
            <w:pPr>
              <w:keepNext/>
              <w:spacing w:after="70" w:line="240" w:lineRule="auto"/>
            </w:pPr>
            <w:r>
              <w:rPr>
                <w:b/>
                <w:bCs/>
                <w:color w:val="9B2C2C"/>
                <w:spacing w:val="24"/>
                <w:sz w:val="16"/>
                <w:szCs w:val="16"/>
              </w:rPr>
              <w:t>ACHTUNG</w:t>
            </w:r>
          </w:p>
          <w:p w14:paraId="70A4E678" w14:textId="77777777" w:rsidR="00C1548D" w:rsidRDefault="009B1B4B">
            <w:pPr>
              <w:spacing w:after="80" w:line="264" w:lineRule="auto"/>
            </w:pPr>
            <w:r>
              <w:rPr>
                <w:sz w:val="20"/>
                <w:szCs w:val="20"/>
              </w:rPr>
              <w:t>Unterschätze die Sonne nicht. Im Süden und Südwesten liegt der UV-Index im Sommer häufig bei „sehr hoch“ bis „extrem“. Die amerikanische Hautärztevereinigung (AAD) empfiehlt breitbandigen, wasserfesten Sonnenschutz mit Lichtschutzfaktor 30 oder höher.</w:t>
            </w:r>
          </w:p>
        </w:tc>
      </w:tr>
    </w:tbl>
    <w:p w14:paraId="70A4E67A"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67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67B" w14:textId="77777777" w:rsidR="00C1548D" w:rsidRDefault="009B1B4B">
            <w:pPr>
              <w:keepNext/>
              <w:spacing w:after="70" w:line="240" w:lineRule="auto"/>
            </w:pPr>
            <w:r>
              <w:rPr>
                <w:b/>
                <w:bCs/>
                <w:color w:val="4A5568"/>
                <w:spacing w:val="24"/>
                <w:sz w:val="16"/>
                <w:szCs w:val="16"/>
              </w:rPr>
              <w:lastRenderedPageBreak/>
              <w:t>PRAXISBEISPIEL · FIKTIV</w:t>
            </w:r>
          </w:p>
          <w:p w14:paraId="70A4E67C" w14:textId="77777777" w:rsidR="00C1548D" w:rsidRDefault="009B1B4B">
            <w:pPr>
              <w:spacing w:after="80" w:line="264" w:lineRule="auto"/>
            </w:pPr>
            <w:r>
              <w:rPr>
                <w:sz w:val="20"/>
                <w:szCs w:val="20"/>
              </w:rPr>
              <w:t>Familie Brandt (fiktiv) landet im August bei 80 °F (27 °C) im Großraum Detroit. Markus und Anna haben ihre Winterjacken dabei; für Lena (9) und Jonas (5) passt nichts mehr, Schneehosen fehlen ganz. Als der erste Schnee fällt, steht Jonas im Vorgarten und wundert sich laut, warum seine Jacke aus Deutschland auf einmal bis zum Bauch reicht statt bis zu den Knien – er ist seit dem Umzug zwei Nummern gewachsen. Im Schülerhandbuch steht: Bei Frost gehen die Kinder oft in die Pause nach draußen, verlangt sind Sch</w:t>
            </w:r>
            <w:r>
              <w:rPr>
                <w:sz w:val="20"/>
                <w:szCs w:val="20"/>
              </w:rPr>
              <w:t>neehose, Stiefel, Mütze und Handschuhe. In den Black-Friday-Wochen kauft Anna bei Target, Old Navy und in einem Kommissionsladen für Kinderkleidung; für rund 300 $ sind beide Kinder komplett ausgerüstet. Markus ergänzt Thermounterwäsche. Ihr Fazit nach dem ersten Winter: Die eigenen Jacken würden sie wieder mitnehmen, die Kinderkleidung nicht.</w:t>
            </w:r>
          </w:p>
        </w:tc>
      </w:tr>
    </w:tbl>
    <w:p w14:paraId="70A4E67E" w14:textId="77777777" w:rsidR="00C1548D" w:rsidRDefault="00C1548D">
      <w:pPr>
        <w:spacing w:line="220" w:lineRule="exact"/>
      </w:pPr>
    </w:p>
    <w:p w14:paraId="70A4E67F" w14:textId="77777777" w:rsidR="00C1548D" w:rsidRDefault="009B1B4B">
      <w:pPr>
        <w:pStyle w:val="Heading3"/>
        <w:keepNext/>
        <w:jc w:val="center"/>
      </w:pPr>
      <w:r>
        <w:rPr>
          <w:rFonts w:ascii="Amazon Ember" w:eastAsia="Amazon Ember" w:hAnsi="Amazon Ember" w:cs="Amazon Ember"/>
          <w:color w:val="0000FF"/>
          <w:sz w:val="36"/>
          <w:szCs w:val="36"/>
        </w:rPr>
        <w:t>Waschen und Trocknen</w:t>
      </w:r>
    </w:p>
    <w:p w14:paraId="70A4E680" w14:textId="77777777" w:rsidR="00C1548D" w:rsidRDefault="009B1B4B">
      <w:pPr>
        <w:spacing w:after="140"/>
      </w:pPr>
      <w:r>
        <w:t>Der Wäschetrockner (</w:t>
      </w:r>
      <w:r>
        <w:rPr>
          <w:i/>
          <w:iCs/>
        </w:rPr>
        <w:t>Dryer</w:t>
      </w:r>
      <w:r>
        <w:t>) ist in den USA Standard, und er arbeitet heiß genug, dass der erste eingelaufene Lieblingspullover für viele Neuankömmlinge zu einer Art Initiationsritus wird: Baumwolle und Wolle können einlaufen, Funktionsjacken und elastische Stoffe leiden. Textilbekleidung muss in den USA mit dauerhaftem Pflegeetikett verkauft werden (Vorgabe der Handelsbehörde FTC). Wähle bei Unsicherheit „Tumble Dry Low“ (niedrige Stufe) oder trockne an der Luft.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68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681" w14:textId="77777777" w:rsidR="00C1548D" w:rsidRDefault="009B1B4B">
            <w:pPr>
              <w:keepNext/>
              <w:spacing w:after="70" w:line="240" w:lineRule="auto"/>
            </w:pPr>
            <w:r>
              <w:rPr>
                <w:b/>
                <w:bCs/>
                <w:color w:val="9B2C2C"/>
                <w:spacing w:val="24"/>
                <w:sz w:val="16"/>
                <w:szCs w:val="16"/>
              </w:rPr>
              <w:t>ACHTUNG</w:t>
            </w:r>
          </w:p>
          <w:p w14:paraId="70A4E682" w14:textId="77777777" w:rsidR="00C1548D" w:rsidRDefault="009B1B4B">
            <w:pPr>
              <w:spacing w:after="80" w:line="264" w:lineRule="auto"/>
            </w:pPr>
            <w:r>
              <w:rPr>
                <w:sz w:val="20"/>
                <w:szCs w:val="20"/>
              </w:rPr>
              <w:t>Wollpullover und Funktionsjacken gehören nicht ungeprüft in den Trockner; auf dem Wäscheständer trocknen sie sicher. Eine Wäscheleine im Freien ist in vielen Mietanlagen und Eigentümergemeinschaften (</w:t>
            </w:r>
            <w:r>
              <w:rPr>
                <w:i/>
                <w:iCs/>
                <w:sz w:val="20"/>
                <w:szCs w:val="20"/>
              </w:rPr>
              <w:t>HOA</w:t>
            </w:r>
            <w:r>
              <w:rPr>
                <w:sz w:val="20"/>
                <w:szCs w:val="20"/>
              </w:rPr>
              <w:t>) untersagt; einzelne Bundesstaaten schützen das Trocknen an der Leine per Gesetz (</w:t>
            </w:r>
            <w:r>
              <w:rPr>
                <w:i/>
                <w:iCs/>
                <w:sz w:val="20"/>
                <w:szCs w:val="20"/>
              </w:rPr>
              <w:t>Right to Dry</w:t>
            </w:r>
            <w:r>
              <w:rPr>
                <w:sz w:val="20"/>
                <w:szCs w:val="20"/>
              </w:rPr>
              <w:t>).</w:t>
            </w:r>
          </w:p>
        </w:tc>
      </w:tr>
    </w:tbl>
    <w:p w14:paraId="70A4E684" w14:textId="77777777" w:rsidR="00C1548D" w:rsidRDefault="00C1548D">
      <w:pPr>
        <w:spacing w:line="220" w:lineRule="exact"/>
      </w:pPr>
    </w:p>
    <w:p w14:paraId="70A4E685" w14:textId="4E4F2CBF" w:rsidR="00C1548D" w:rsidRDefault="009B1B4B">
      <w:pPr>
        <w:spacing w:after="140"/>
      </w:pPr>
      <w:r>
        <w:t>Ob und wo du wäschst, hängt von der Wohnung ab: Maschinen in der Wohnung (</w:t>
      </w:r>
      <w:r>
        <w:rPr>
          <w:i/>
          <w:iCs/>
        </w:rPr>
        <w:t>In-Unit Laundry</w:t>
      </w:r>
      <w:r>
        <w:t>), Waschraum im Haus mit Münz- oder Kartenbetrieb (</w:t>
      </w:r>
      <w:r>
        <w:rPr>
          <w:i/>
          <w:iCs/>
        </w:rPr>
        <w:t>Laundry Room</w:t>
      </w:r>
      <w:r>
        <w:t>), Waschsalon (</w:t>
      </w:r>
      <w:r>
        <w:rPr>
          <w:i/>
          <w:iCs/>
        </w:rPr>
        <w:t>Laundromat</w:t>
      </w:r>
      <w:r>
        <w:t xml:space="preserve">) oder nur </w:t>
      </w:r>
      <w:r>
        <w:lastRenderedPageBreak/>
        <w:t>Anschlüsse für eigene Geräte (</w:t>
      </w:r>
      <w:r>
        <w:rPr>
          <w:i/>
          <w:iCs/>
        </w:rPr>
        <w:t>Hookups</w:t>
      </w:r>
      <w:r>
        <w:t>). Im Waschraum zahlst du pro Ladung meist mehrere Dollar. Frage bei der Wohnungssuche danach (Kapitel </w:t>
      </w:r>
      <w:hyperlink w:anchor="k13" w:history="1">
        <w:r>
          <w:t>13</w:t>
        </w:r>
      </w:hyperlink>
      <w:r>
        <w:t>).</w:t>
      </w:r>
    </w:p>
    <w:p w14:paraId="70A4E686" w14:textId="77777777" w:rsidR="00C1548D" w:rsidRDefault="009B1B4B">
      <w:pPr>
        <w:pStyle w:val="Heading3"/>
        <w:keepNext/>
        <w:jc w:val="center"/>
      </w:pPr>
      <w:r>
        <w:rPr>
          <w:rFonts w:ascii="Amazon Ember" w:eastAsia="Amazon Ember" w:hAnsi="Amazon Ember" w:cs="Amazon Ember"/>
          <w:color w:val="0000FF"/>
          <w:sz w:val="36"/>
          <w:szCs w:val="36"/>
        </w:rPr>
        <w:t>Was du mitnimmst und was nicht</w:t>
      </w:r>
    </w:p>
    <w:p w14:paraId="70A4E687" w14:textId="77777777" w:rsidR="00C1548D" w:rsidRDefault="009B1B4B">
      <w:pPr>
        <w:spacing w:after="140"/>
      </w:pPr>
      <w:r>
        <w:rPr>
          <w:b/>
          <w:bCs/>
        </w:rPr>
        <w:t>Mitnehmen:</w:t>
      </w:r>
    </w:p>
    <w:p w14:paraId="70A4E688" w14:textId="77777777" w:rsidR="00C1548D" w:rsidRDefault="009B1B4B" w:rsidP="009B1B4B">
      <w:pPr>
        <w:pStyle w:val="ListParagraph"/>
        <w:numPr>
          <w:ilvl w:val="0"/>
          <w:numId w:val="1"/>
        </w:numPr>
        <w:spacing w:after="60"/>
      </w:pPr>
      <w:r>
        <w:rPr>
          <w:b/>
          <w:bCs/>
        </w:rPr>
        <w:t>Winterjacke:</w:t>
      </w:r>
      <w:r>
        <w:t xml:space="preserve"> In kalten Regionen ist eine gute Jacke sinnvoll, vor allem bei Ankunft im Herbst. In Kalifornien oder im Süden reicht eine Übergangsjacke.</w:t>
      </w:r>
    </w:p>
    <w:p w14:paraId="70A4E689" w14:textId="77777777" w:rsidR="00C1548D" w:rsidRDefault="009B1B4B" w:rsidP="009B1B4B">
      <w:pPr>
        <w:pStyle w:val="ListParagraph"/>
        <w:numPr>
          <w:ilvl w:val="0"/>
          <w:numId w:val="1"/>
        </w:numPr>
        <w:spacing w:after="60"/>
      </w:pPr>
      <w:r>
        <w:rPr>
          <w:b/>
          <w:bCs/>
        </w:rPr>
        <w:t>Hochwertige Schuhe:</w:t>
      </w:r>
      <w:r>
        <w:t xml:space="preserve"> Eingelaufene Lederschuhe, Wanderstiefel und Laufschuhe sind schwer zu ersetzen.</w:t>
      </w:r>
    </w:p>
    <w:p w14:paraId="70A4E68A" w14:textId="77777777" w:rsidR="00C1548D" w:rsidRDefault="009B1B4B" w:rsidP="009B1B4B">
      <w:pPr>
        <w:pStyle w:val="ListParagraph"/>
        <w:numPr>
          <w:ilvl w:val="0"/>
          <w:numId w:val="1"/>
        </w:numPr>
        <w:spacing w:after="60"/>
      </w:pPr>
      <w:r>
        <w:rPr>
          <w:b/>
          <w:bCs/>
        </w:rPr>
        <w:t>Business-Kleidung:</w:t>
      </w:r>
      <w:r>
        <w:t xml:space="preserve"> Ein bis zwei gute Anzüge oder Kostüme mit Hemden und Blusen reichen für Interviews und den Anfang.</w:t>
      </w:r>
    </w:p>
    <w:p w14:paraId="70A4E68B" w14:textId="77777777" w:rsidR="00C1548D" w:rsidRDefault="009B1B4B" w:rsidP="009B1B4B">
      <w:pPr>
        <w:pStyle w:val="ListParagraph"/>
        <w:numPr>
          <w:ilvl w:val="0"/>
          <w:numId w:val="1"/>
        </w:numPr>
        <w:spacing w:after="60"/>
      </w:pPr>
      <w:r>
        <w:rPr>
          <w:b/>
          <w:bCs/>
        </w:rPr>
        <w:t>Tracht:</w:t>
      </w:r>
      <w:r>
        <w:t xml:space="preserve"> Dirndl oder Lederhose sind bei Oktoberfesten willkommen, etwa in Cincinnati (einem der größten der USA) oder Leavenworth (Washington).</w:t>
      </w:r>
    </w:p>
    <w:p w14:paraId="70A4E68C" w14:textId="678DC38A" w:rsidR="00C1548D" w:rsidRDefault="009B1B4B" w:rsidP="009B1B4B">
      <w:pPr>
        <w:pStyle w:val="ListParagraph"/>
        <w:numPr>
          <w:ilvl w:val="0"/>
          <w:numId w:val="1"/>
        </w:numPr>
        <w:spacing w:after="60"/>
      </w:pPr>
      <w:r>
        <w:rPr>
          <w:b/>
          <w:bCs/>
        </w:rPr>
        <w:t>Outdoor-Ausrüstung:</w:t>
      </w:r>
      <w:r>
        <w:t xml:space="preserve"> Rucksack, Wanderjacke und Schlafsack sind bewährt und eingelaufen. Zu Fahrrädern und Sportgeräten siehe Kapitel </w:t>
      </w:r>
      <w:hyperlink w:anchor="k21" w:history="1">
        <w:r>
          <w:t>21</w:t>
        </w:r>
      </w:hyperlink>
      <w:r>
        <w:t>.</w:t>
      </w:r>
    </w:p>
    <w:p w14:paraId="70A4E68D" w14:textId="77777777" w:rsidR="00C1548D" w:rsidRDefault="00C1548D">
      <w:pPr>
        <w:spacing w:line="120" w:lineRule="exact"/>
      </w:pPr>
    </w:p>
    <w:p w14:paraId="70A4E68E" w14:textId="58262767" w:rsidR="00C1548D" w:rsidRDefault="009B1B4B">
      <w:pPr>
        <w:spacing w:after="140"/>
      </w:pPr>
      <w:r>
        <w:rPr>
          <w:b/>
          <w:bCs/>
        </w:rPr>
        <w:t>Besser vor Ort kaufen:</w:t>
      </w:r>
      <w:r>
        <w:t xml:space="preserve"> Basics wie T-Shirts, Socken und Unterwäsche, Kinderkleidung und Kleidung für ein anderes Klima. Umzugsvolumen kostet Geld (Kapitel </w:t>
      </w:r>
      <w:hyperlink w:anchor="k20" w:history="1">
        <w:r>
          <w:t>20</w:t>
        </w:r>
      </w:hyperlink>
      <w:r>
        <w:t>). Bettwäsche und Handtücher sind wegen der US-Bettgrößen ein Sonderfall (Kapitel </w:t>
      </w:r>
      <w:hyperlink w:anchor="k21" w:history="1">
        <w:r>
          <w:t>21</w:t>
        </w:r>
      </w:hyperlink>
      <w:r>
        <w:t>, dort auch die Packliste für die ersten zwei Wochen).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691"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68F" w14:textId="77777777" w:rsidR="00C1548D" w:rsidRDefault="009B1B4B">
            <w:pPr>
              <w:keepNext/>
              <w:spacing w:after="70" w:line="240" w:lineRule="auto"/>
            </w:pPr>
            <w:r>
              <w:rPr>
                <w:b/>
                <w:bCs/>
                <w:color w:val="8A6212"/>
                <w:spacing w:val="24"/>
                <w:sz w:val="16"/>
                <w:szCs w:val="16"/>
              </w:rPr>
              <w:t>MERKE</w:t>
            </w:r>
          </w:p>
          <w:p w14:paraId="70A4E690" w14:textId="77777777" w:rsidR="00C1548D" w:rsidRDefault="009B1B4B">
            <w:pPr>
              <w:spacing w:after="80" w:line="264" w:lineRule="auto"/>
            </w:pPr>
            <w:r>
              <w:rPr>
                <w:sz w:val="20"/>
                <w:szCs w:val="20"/>
              </w:rPr>
              <w:t>Nimm mit, was schwer zu ersetzen ist (Qualität, Passform, Erinnerung), und kaufe vor Ort, was leicht zu ersetzen ist. Beobachte vier bis sechs Wochen, bevor du eine ganze Garderobe kaufst.</w:t>
            </w:r>
          </w:p>
        </w:tc>
      </w:tr>
    </w:tbl>
    <w:p w14:paraId="70A4E692" w14:textId="77777777" w:rsidR="00C1548D" w:rsidRDefault="00C1548D">
      <w:pPr>
        <w:spacing w:line="220" w:lineRule="exact"/>
      </w:pPr>
    </w:p>
    <w:p w14:paraId="70A4E693" w14:textId="77777777" w:rsidR="00C1548D" w:rsidRDefault="009B1B4B">
      <w:pPr>
        <w:pStyle w:val="Heading3"/>
        <w:keepNext/>
        <w:jc w:val="center"/>
      </w:pPr>
      <w:r>
        <w:rPr>
          <w:rFonts w:ascii="Amazon Ember" w:eastAsia="Amazon Ember" w:hAnsi="Amazon Ember" w:cs="Amazon Ember"/>
          <w:color w:val="0000FF"/>
          <w:sz w:val="36"/>
          <w:szCs w:val="36"/>
        </w:rPr>
        <w:lastRenderedPageBreak/>
        <w:t>Badekleidung, Sauna und Nacktheit</w:t>
      </w:r>
    </w:p>
    <w:p w14:paraId="70A4E694" w14:textId="77777777" w:rsidR="00C1548D" w:rsidRDefault="009B1B4B">
      <w:pPr>
        <w:spacing w:after="140"/>
      </w:pPr>
      <w:r>
        <w:t>Am öffentlichen Strand, im Freibad und im Hotelpool ist Badebekleidung Pflicht. Männer tragen meist knielange Shorts; enge Badehosen sind vor allem im Schwimmsport üblich. Frauen dürfen in vielen Bundesstaaten nicht oben ohne baden.</w:t>
      </w:r>
    </w:p>
    <w:p w14:paraId="70A4E695" w14:textId="77777777" w:rsidR="00C1548D" w:rsidRDefault="009B1B4B">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Nacktbereichen; gemischte Bereiche verlangen Spa-Kleidung.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69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696" w14:textId="77777777" w:rsidR="00C1548D" w:rsidRDefault="009B1B4B">
            <w:pPr>
              <w:keepNext/>
              <w:spacing w:after="70" w:line="240" w:lineRule="auto"/>
            </w:pPr>
            <w:r>
              <w:rPr>
                <w:b/>
                <w:bCs/>
                <w:color w:val="9B2C2C"/>
                <w:spacing w:val="24"/>
                <w:sz w:val="16"/>
                <w:szCs w:val="16"/>
              </w:rPr>
              <w:t>ACHTUNG</w:t>
            </w:r>
          </w:p>
          <w:p w14:paraId="70A4E697" w14:textId="77777777" w:rsidR="00C1548D" w:rsidRDefault="009B1B4B">
            <w:pPr>
              <w:spacing w:after="80" w:line="264" w:lineRule="auto"/>
            </w:pPr>
            <w:r>
              <w:rPr>
                <w:sz w:val="20"/>
                <w:szCs w:val="20"/>
              </w:rPr>
              <w:t xml:space="preserve">Nacktheit in der Öffentlichkeit ist in den meisten Bundesstaaten und Gemeinden als </w:t>
            </w:r>
            <w:r>
              <w:rPr>
                <w:i/>
                <w:iCs/>
                <w:sz w:val="20"/>
                <w:szCs w:val="20"/>
              </w:rPr>
              <w:t>Indecent Exposure</w:t>
            </w:r>
            <w:r>
              <w:rPr>
                <w:sz w:val="20"/>
                <w:szCs w:val="20"/>
              </w:rPr>
              <w:t xml:space="preserve"> (unsittliche Entblößung) strafbar, unter Umständen auch im eigenen Garten, wenn Nachbarn es sehen können. FKK-Bereiche gibt es nur an einzelnen gekennzeichneten Orten, etwa im nördlichen Abschnitt von Haulover Beach in Florida. Ohne Kennzeichnung gilt: Textil.</w:t>
            </w:r>
          </w:p>
        </w:tc>
      </w:tr>
    </w:tbl>
    <w:p w14:paraId="70A4E699" w14:textId="77777777" w:rsidR="00C1548D" w:rsidRDefault="00C1548D">
      <w:pPr>
        <w:spacing w:line="220" w:lineRule="exact"/>
      </w:pPr>
    </w:p>
    <w:p w14:paraId="70A4E69A" w14:textId="77777777" w:rsidR="00C1548D" w:rsidRDefault="009B1B4B">
      <w:pPr>
        <w:pStyle w:val="Heading3"/>
        <w:keepNext/>
        <w:jc w:val="center"/>
      </w:pPr>
      <w:r>
        <w:rPr>
          <w:rFonts w:ascii="Amazon Ember" w:eastAsia="Amazon Ember" w:hAnsi="Amazon Ember" w:cs="Amazon Ember"/>
          <w:color w:val="0000FF"/>
          <w:sz w:val="36"/>
          <w:szCs w:val="36"/>
        </w:rPr>
        <w:t>Schuhe im Haus</w:t>
      </w:r>
    </w:p>
    <w:p w14:paraId="70A4E69B" w14:textId="77777777" w:rsidR="00C1548D" w:rsidRDefault="009B1B4B">
      <w:pPr>
        <w:spacing w:after="140"/>
      </w:pPr>
      <w:r>
        <w:t>Ob du im Haus die Schuhe ausziehst, ist Haushaltssache. In vielen Familien, vor allem mit Kleinkindern oder bei Schnee, stehen die Schuhe an der Tür; in anderen Häusern bleiben sie an. Achte beim ersten Besuch auf den Eingang oder frage: „Should I take my shoes off?“ Sagt der Gastgeber „Oh, keep them on“, behältst du sie an. Ein Paar heile Socken in der Tasche kann nicht schaden.</w:t>
      </w:r>
    </w:p>
    <w:p w14:paraId="70A4E69C" w14:textId="77777777" w:rsidR="00C1548D" w:rsidRDefault="009B1B4B">
      <w:pPr>
        <w:pStyle w:val="Heading3"/>
        <w:keepNext/>
        <w:jc w:val="center"/>
      </w:pPr>
      <w:r>
        <w:rPr>
          <w:rFonts w:ascii="Amazon Ember" w:eastAsia="Amazon Ember" w:hAnsi="Amazon Ember" w:cs="Amazon Ember"/>
          <w:color w:val="0000FF"/>
          <w:sz w:val="36"/>
          <w:szCs w:val="36"/>
        </w:rPr>
        <w:t>Plus und Minus</w:t>
      </w:r>
    </w:p>
    <w:p w14:paraId="70A4E69D" w14:textId="77777777" w:rsidR="00C1548D" w:rsidRDefault="009B1B4B">
      <w:pPr>
        <w:spacing w:after="140"/>
      </w:pPr>
      <w:r>
        <w:t>Die Kleiderkultur in den USA im Überblick:</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83"/>
        <w:gridCol w:w="3297"/>
      </w:tblGrid>
      <w:tr w:rsidR="00C1548D" w14:paraId="70A4E6A0" w14:textId="77777777">
        <w:tblPrEx>
          <w:tblCellMar>
            <w:top w:w="0" w:type="dxa"/>
            <w:bottom w:w="0" w:type="dxa"/>
          </w:tblCellMar>
        </w:tblPrEx>
        <w:trPr>
          <w:cantSplit/>
          <w:tblHeader/>
        </w:trPr>
        <w:tc>
          <w:tcPr>
            <w:tcW w:w="31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9E" w14:textId="77777777" w:rsidR="00C1548D" w:rsidRDefault="009B1B4B">
            <w:pPr>
              <w:spacing w:line="250" w:lineRule="auto"/>
            </w:pPr>
            <w:r>
              <w:rPr>
                <w:b/>
                <w:bCs/>
                <w:sz w:val="18"/>
                <w:szCs w:val="18"/>
              </w:rPr>
              <w:lastRenderedPageBreak/>
              <w:t>Plus</w:t>
            </w:r>
          </w:p>
        </w:tc>
        <w:tc>
          <w:tcPr>
            <w:tcW w:w="32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9F" w14:textId="77777777" w:rsidR="00C1548D" w:rsidRDefault="009B1B4B">
            <w:pPr>
              <w:spacing w:line="250" w:lineRule="auto"/>
            </w:pPr>
            <w:r>
              <w:rPr>
                <w:b/>
                <w:bCs/>
                <w:sz w:val="18"/>
                <w:szCs w:val="18"/>
              </w:rPr>
              <w:t>Minus</w:t>
            </w:r>
          </w:p>
        </w:tc>
      </w:tr>
      <w:tr w:rsidR="00C1548D" w14:paraId="70A4E6A3" w14:textId="77777777">
        <w:tblPrEx>
          <w:tblCellMar>
            <w:top w:w="0" w:type="dxa"/>
            <w:bottom w:w="0" w:type="dxa"/>
          </w:tblCellMar>
        </w:tblPrEx>
        <w:trPr>
          <w:cantSplit/>
        </w:trPr>
        <w:tc>
          <w:tcPr>
            <w:tcW w:w="31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A1" w14:textId="77777777" w:rsidR="00C1548D" w:rsidRDefault="009B1B4B">
            <w:pPr>
              <w:spacing w:line="250" w:lineRule="auto"/>
            </w:pPr>
            <w:r>
              <w:rPr>
                <w:sz w:val="18"/>
                <w:szCs w:val="18"/>
              </w:rPr>
              <w:t>Große Toleranz im Alltag: Bequemes ist überall akzeptiert</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A2" w14:textId="77777777" w:rsidR="00C1548D" w:rsidRDefault="009B1B4B">
            <w:pPr>
              <w:spacing w:line="250" w:lineRule="auto"/>
            </w:pPr>
            <w:r>
              <w:rPr>
                <w:sz w:val="18"/>
                <w:szCs w:val="18"/>
              </w:rPr>
              <w:t>Ungeschriebene Regeln für Job und Anlass; beobachten und fragen</w:t>
            </w:r>
          </w:p>
        </w:tc>
      </w:tr>
      <w:tr w:rsidR="00C1548D" w14:paraId="70A4E6A6" w14:textId="77777777">
        <w:tblPrEx>
          <w:tblCellMar>
            <w:top w:w="0" w:type="dxa"/>
            <w:bottom w:w="0" w:type="dxa"/>
          </w:tblCellMar>
        </w:tblPrEx>
        <w:trPr>
          <w:cantSplit/>
        </w:trPr>
        <w:tc>
          <w:tcPr>
            <w:tcW w:w="31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A4" w14:textId="77777777" w:rsidR="00C1548D" w:rsidRDefault="009B1B4B">
            <w:pPr>
              <w:spacing w:line="250" w:lineRule="auto"/>
            </w:pPr>
            <w:r>
              <w:rPr>
                <w:sz w:val="18"/>
                <w:szCs w:val="18"/>
              </w:rPr>
              <w:t>Riesige Auswahl, Sales, Off-Price und Second Hand</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A5" w14:textId="77777777" w:rsidR="00C1548D" w:rsidRDefault="009B1B4B">
            <w:pPr>
              <w:spacing w:line="250" w:lineRule="auto"/>
            </w:pPr>
            <w:r>
              <w:rPr>
                <w:sz w:val="18"/>
                <w:szCs w:val="18"/>
              </w:rPr>
              <w:t>Größen schwanken je Marke; Umrechnung bleibt Näherung</w:t>
            </w:r>
          </w:p>
        </w:tc>
      </w:tr>
      <w:tr w:rsidR="00C1548D" w14:paraId="70A4E6A9" w14:textId="77777777">
        <w:tblPrEx>
          <w:tblCellMar>
            <w:top w:w="0" w:type="dxa"/>
            <w:bottom w:w="0" w:type="dxa"/>
          </w:tblCellMar>
        </w:tblPrEx>
        <w:trPr>
          <w:cantSplit/>
        </w:trPr>
        <w:tc>
          <w:tcPr>
            <w:tcW w:w="31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A7" w14:textId="77777777" w:rsidR="00C1548D" w:rsidRDefault="009B1B4B">
            <w:pPr>
              <w:spacing w:line="250" w:lineRule="auto"/>
            </w:pPr>
            <w:r>
              <w:rPr>
                <w:sz w:val="18"/>
                <w:szCs w:val="18"/>
              </w:rPr>
              <w:t>Kulante Rückgaben bei vielen Ketten</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A8" w14:textId="77777777" w:rsidR="00C1548D" w:rsidRDefault="009B1B4B">
            <w:pPr>
              <w:spacing w:line="250" w:lineRule="auto"/>
            </w:pPr>
            <w:r>
              <w:rPr>
                <w:sz w:val="18"/>
                <w:szCs w:val="18"/>
              </w:rPr>
              <w:t>Kein gesetzliches Widerrufsrecht; Fristen unterscheiden sich</w:t>
            </w:r>
          </w:p>
        </w:tc>
      </w:tr>
      <w:tr w:rsidR="00C1548D" w14:paraId="70A4E6AC" w14:textId="77777777">
        <w:tblPrEx>
          <w:tblCellMar>
            <w:top w:w="0" w:type="dxa"/>
            <w:bottom w:w="0" w:type="dxa"/>
          </w:tblCellMar>
        </w:tblPrEx>
        <w:trPr>
          <w:cantSplit/>
        </w:trPr>
        <w:tc>
          <w:tcPr>
            <w:tcW w:w="31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AA" w14:textId="77777777" w:rsidR="00C1548D" w:rsidRDefault="009B1B4B">
            <w:pPr>
              <w:spacing w:line="250" w:lineRule="auto"/>
            </w:pPr>
            <w:r>
              <w:rPr>
                <w:sz w:val="18"/>
                <w:szCs w:val="18"/>
              </w:rPr>
              <w:t>Gute Outdoor- und Arbeitskleidung in großer Auswahl</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AB" w14:textId="77777777" w:rsidR="00C1548D" w:rsidRDefault="009B1B4B">
            <w:pPr>
              <w:spacing w:line="250" w:lineRule="auto"/>
            </w:pPr>
            <w:r>
              <w:rPr>
                <w:sz w:val="18"/>
                <w:szCs w:val="18"/>
              </w:rPr>
              <w:t>Heißer Trockner schadet Wolle und Funktionskleidung</w:t>
            </w:r>
          </w:p>
        </w:tc>
      </w:tr>
      <w:tr w:rsidR="00C1548D" w14:paraId="70A4E6AF" w14:textId="77777777">
        <w:tblPrEx>
          <w:tblCellMar>
            <w:top w:w="0" w:type="dxa"/>
            <w:bottom w:w="0" w:type="dxa"/>
          </w:tblCellMar>
        </w:tblPrEx>
        <w:trPr>
          <w:cantSplit/>
        </w:trPr>
        <w:tc>
          <w:tcPr>
            <w:tcW w:w="31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AD" w14:textId="77777777" w:rsidR="00C1548D" w:rsidRDefault="009B1B4B">
            <w:pPr>
              <w:spacing w:line="250" w:lineRule="auto"/>
            </w:pPr>
            <w:r>
              <w:rPr>
                <w:sz w:val="18"/>
                <w:szCs w:val="18"/>
              </w:rPr>
              <w:t>Second Hand gilt als völlig normal</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AE" w14:textId="77777777" w:rsidR="00C1548D" w:rsidRDefault="009B1B4B">
            <w:pPr>
              <w:spacing w:line="250" w:lineRule="auto"/>
            </w:pPr>
            <w:r>
              <w:rPr>
                <w:sz w:val="18"/>
                <w:szCs w:val="18"/>
              </w:rPr>
              <w:t>Verkaufssteuer kommt erst an der Kasse dazu</w:t>
            </w:r>
          </w:p>
        </w:tc>
      </w:tr>
      <w:tr w:rsidR="00C1548D" w14:paraId="70A4E6B2" w14:textId="77777777">
        <w:tblPrEx>
          <w:tblCellMar>
            <w:top w:w="0" w:type="dxa"/>
            <w:bottom w:w="0" w:type="dxa"/>
          </w:tblCellMar>
        </w:tblPrEx>
        <w:trPr>
          <w:cantSplit/>
        </w:trPr>
        <w:tc>
          <w:tcPr>
            <w:tcW w:w="31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B0" w14:textId="77777777" w:rsidR="00C1548D" w:rsidRDefault="009B1B4B">
            <w:pPr>
              <w:spacing w:line="250" w:lineRule="auto"/>
            </w:pPr>
            <w:r>
              <w:rPr>
                <w:sz w:val="18"/>
                <w:szCs w:val="18"/>
              </w:rPr>
              <w:t>Viel Spielraum bei Arbeitgebern und Schulen</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B1" w14:textId="77777777" w:rsidR="00C1548D" w:rsidRDefault="009B1B4B">
            <w:pPr>
              <w:spacing w:line="250" w:lineRule="auto"/>
            </w:pPr>
            <w:r>
              <w:rPr>
                <w:sz w:val="18"/>
                <w:szCs w:val="18"/>
              </w:rPr>
              <w:t>Klimaanlagen kühlen Büros im Sommer stark herunter</w:t>
            </w:r>
          </w:p>
        </w:tc>
      </w:tr>
    </w:tbl>
    <w:p w14:paraId="70A4E6B3" w14:textId="77777777" w:rsidR="00C1548D" w:rsidRDefault="00C1548D">
      <w:pPr>
        <w:spacing w:line="180" w:lineRule="exact"/>
      </w:pPr>
    </w:p>
    <w:p w14:paraId="70A4E6B4"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6B5" w14:textId="77777777" w:rsidR="00C1548D" w:rsidRDefault="009B1B4B">
      <w:pPr>
        <w:spacing w:after="140"/>
      </w:pPr>
      <w:r>
        <w:t>Frage Arbeitgeber und Schule nach dem Üblichen, notiere Maße in Zoll und entscheide, was in Koffer oder Container kommt. Kaufe in den ersten Wochen nur wenig, bis du siehst, was in deiner Region getragen wird.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6BE"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6B6" w14:textId="77777777" w:rsidR="00C1548D" w:rsidRDefault="009B1B4B">
            <w:pPr>
              <w:keepNext/>
              <w:spacing w:after="70" w:line="240" w:lineRule="auto"/>
            </w:pPr>
            <w:r>
              <w:rPr>
                <w:b/>
                <w:bCs/>
                <w:color w:val="1F6F78"/>
                <w:spacing w:val="24"/>
                <w:sz w:val="16"/>
                <w:szCs w:val="16"/>
              </w:rPr>
              <w:lastRenderedPageBreak/>
              <w:t>CHECKLISTE</w:t>
            </w:r>
          </w:p>
          <w:p w14:paraId="70A4E6B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Beim Arbeitgeber nach dem Dresscode fragen, auch fürs Vorstellungsgespräch</w:t>
            </w:r>
          </w:p>
          <w:p w14:paraId="70A4E6B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Maße in Zoll notieren: Brust, Taille, Hüfte, Schrittlänge, Fußlänge, dazu die Kindergrößen</w:t>
            </w:r>
          </w:p>
          <w:p w14:paraId="70A4E6B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Winterjacke, gute Schuhe, Business-Outfits, Tracht und Outdoor-Ausrüstung entscheiden</w:t>
            </w:r>
          </w:p>
          <w:p w14:paraId="70A4E6B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Kinderkleidung nicht in Mengen mitnehmen, sondern vor Ort second hand und im Sale kaufen</w:t>
            </w:r>
          </w:p>
          <w:p w14:paraId="70A4E6B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Dress Code und Winterregeln der Schule im Schülerhandbuch prüfen</w:t>
            </w:r>
          </w:p>
          <w:p w14:paraId="70A4E6B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der Wohnungssuche klären: Waschmaschine und Trockner in Wohnung oder Haus?</w:t>
            </w:r>
          </w:p>
          <w:p w14:paraId="70A4E6B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Sonnenschutz und Regenjacke einplanen, Kassenbon und Rückgabefrist beachten</w:t>
            </w:r>
          </w:p>
        </w:tc>
      </w:tr>
    </w:tbl>
    <w:p w14:paraId="70A4E6BF" w14:textId="77777777" w:rsidR="00C1548D" w:rsidRDefault="00C1548D">
      <w:pPr>
        <w:spacing w:line="220" w:lineRule="exact"/>
      </w:pPr>
    </w:p>
    <w:p w14:paraId="70A4E6C0"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6C1" w14:textId="22E9E305" w:rsidR="00C1548D" w:rsidRDefault="009B1B4B" w:rsidP="009B1B4B">
      <w:pPr>
        <w:pStyle w:val="ListParagraph"/>
        <w:numPr>
          <w:ilvl w:val="0"/>
          <w:numId w:val="1"/>
        </w:numPr>
        <w:spacing w:after="60"/>
      </w:pPr>
      <w:r>
        <w:t>US-Bildungsstatistik (NCES) — Schuluniformen an öffentlichen Schulen (</w:t>
      </w:r>
      <w:hyperlink r:id="rId290" w:history="1">
        <w:r>
          <w:rPr>
            <w:color w:val="0563C1"/>
            <w:u w:val="single"/>
          </w:rPr>
          <w:t>nces.ed.gov/fastfacts</w:t>
        </w:r>
      </w:hyperlink>
      <w:r>
        <w:t>)</w:t>
      </w:r>
    </w:p>
    <w:p w14:paraId="70A4E6C2" w14:textId="625DE45F" w:rsidR="00C1548D" w:rsidRDefault="009B1B4B" w:rsidP="009B1B4B">
      <w:pPr>
        <w:pStyle w:val="ListParagraph"/>
        <w:numPr>
          <w:ilvl w:val="0"/>
          <w:numId w:val="1"/>
        </w:numPr>
        <w:spacing w:after="60"/>
      </w:pPr>
      <w:r>
        <w:t>Verbraucherschutzbehörde CPSC — Vorschriften für Kinderschlafkleidung (</w:t>
      </w:r>
      <w:hyperlink r:id="rId291" w:history="1">
        <w:r>
          <w:rPr>
            <w:color w:val="0563C1"/>
            <w:u w:val="single"/>
          </w:rPr>
          <w:t>cpsc.gov</w:t>
        </w:r>
      </w:hyperlink>
      <w:r>
        <w:t>, Suche: children’s sleepwear)</w:t>
      </w:r>
    </w:p>
    <w:p w14:paraId="70A4E6C3" w14:textId="2585E1BD" w:rsidR="00C1548D" w:rsidRDefault="009B1B4B" w:rsidP="009B1B4B">
      <w:pPr>
        <w:pStyle w:val="ListParagraph"/>
        <w:numPr>
          <w:ilvl w:val="0"/>
          <w:numId w:val="1"/>
        </w:numPr>
        <w:spacing w:after="60"/>
      </w:pPr>
      <w:r>
        <w:t>Handelsbehörde FTC — Pflegekennzeichnung von Kleidung (</w:t>
      </w:r>
      <w:hyperlink r:id="rId292" w:history="1">
        <w:r>
          <w:rPr>
            <w:color w:val="0563C1"/>
            <w:u w:val="single"/>
          </w:rPr>
          <w:t>ftc.gov</w:t>
        </w:r>
      </w:hyperlink>
      <w:r>
        <w:t>, Suche: care labeling rule)</w:t>
      </w:r>
    </w:p>
    <w:p w14:paraId="70A4E6C4" w14:textId="3EEC46CC" w:rsidR="00C1548D" w:rsidRDefault="009B1B4B" w:rsidP="009B1B4B">
      <w:pPr>
        <w:pStyle w:val="ListParagraph"/>
        <w:numPr>
          <w:ilvl w:val="0"/>
          <w:numId w:val="1"/>
        </w:numPr>
        <w:spacing w:after="60"/>
      </w:pPr>
      <w:r>
        <w:t>Nationaler Wetterdienst (NWS) — Windchill und Kälte (</w:t>
      </w:r>
      <w:hyperlink r:id="rId293" w:history="1">
        <w:r>
          <w:rPr>
            <w:color w:val="0563C1"/>
            <w:u w:val="single"/>
          </w:rPr>
          <w:t>weather.gov/safety</w:t>
        </w:r>
      </w:hyperlink>
      <w:r>
        <w:t>)</w:t>
      </w:r>
    </w:p>
    <w:p w14:paraId="70A4E6C5" w14:textId="7C915661" w:rsidR="00C1548D" w:rsidRDefault="009B1B4B" w:rsidP="009B1B4B">
      <w:pPr>
        <w:pStyle w:val="ListParagraph"/>
        <w:numPr>
          <w:ilvl w:val="0"/>
          <w:numId w:val="1"/>
        </w:numPr>
        <w:spacing w:after="60"/>
      </w:pPr>
      <w:r>
        <w:t>American Academy of Dermatology — Sonnenschutz (</w:t>
      </w:r>
      <w:hyperlink r:id="rId294" w:history="1">
        <w:r>
          <w:rPr>
            <w:color w:val="0563C1"/>
            <w:u w:val="single"/>
          </w:rPr>
          <w:t>aad.org</w:t>
        </w:r>
      </w:hyperlink>
      <w:r>
        <w:t>)</w:t>
      </w:r>
    </w:p>
    <w:p w14:paraId="70A4E6C6" w14:textId="03747EAA" w:rsidR="00C1548D" w:rsidRDefault="009B1B4B" w:rsidP="009B1B4B">
      <w:pPr>
        <w:pStyle w:val="ListParagraph"/>
        <w:numPr>
          <w:ilvl w:val="0"/>
          <w:numId w:val="1"/>
        </w:numPr>
        <w:spacing w:after="60"/>
      </w:pPr>
      <w:r>
        <w:t xml:space="preserve">Finanzbehörden der Bundesstaaten — Verkaufssteuer auf Kleidung (z. B. </w:t>
      </w:r>
      <w:hyperlink r:id="rId295" w:history="1">
        <w:r>
          <w:rPr>
            <w:color w:val="0563C1"/>
            <w:u w:val="single"/>
          </w:rPr>
          <w:t>tax.ny.gov</w:t>
        </w:r>
      </w:hyperlink>
      <w:r>
        <w:t xml:space="preserve">, </w:t>
      </w:r>
      <w:hyperlink r:id="rId296" w:history="1">
        <w:r>
          <w:rPr>
            <w:color w:val="0563C1"/>
            <w:u w:val="single"/>
          </w:rPr>
          <w:t>revenue.pa.gov</w:t>
        </w:r>
      </w:hyperlink>
      <w:r>
        <w:t>)</w:t>
      </w:r>
    </w:p>
    <w:p w14:paraId="70A4E6C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6C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6C8" w14:textId="77777777" w:rsidR="00C1548D" w:rsidRDefault="009B1B4B">
            <w:pPr>
              <w:keepNext/>
              <w:spacing w:after="70" w:line="240" w:lineRule="auto"/>
            </w:pPr>
            <w:r>
              <w:rPr>
                <w:b/>
                <w:bCs/>
                <w:color w:val="6B7280"/>
                <w:spacing w:val="24"/>
                <w:sz w:val="16"/>
                <w:szCs w:val="16"/>
              </w:rPr>
              <w:lastRenderedPageBreak/>
              <w:t>STAND</w:t>
            </w:r>
          </w:p>
          <w:p w14:paraId="70A4E6C9" w14:textId="77777777" w:rsidR="00C1548D" w:rsidRDefault="009B1B4B">
            <w:pPr>
              <w:spacing w:after="80" w:line="264" w:lineRule="auto"/>
            </w:pPr>
            <w:r>
              <w:rPr>
                <w:sz w:val="20"/>
                <w:szCs w:val="20"/>
              </w:rPr>
              <w:t>September 2026. Preisspannen, Rückgabefristen und Steuerregeln für Kleidung ändern sich häufig; die Größentabellen sind Näherungswerte. Prüfe vor dem Kauf die Maßtabelle der Marke, die Return Policy des Händlers und die Steuerregeln deines Bundesstaats.</w:t>
            </w:r>
          </w:p>
        </w:tc>
      </w:tr>
    </w:tbl>
    <w:p w14:paraId="70A4E6CB" w14:textId="77777777" w:rsidR="00C1548D" w:rsidRDefault="00C1548D">
      <w:pPr>
        <w:spacing w:line="220" w:lineRule="exact"/>
      </w:pPr>
    </w:p>
    <w:p w14:paraId="70A4E6CC" w14:textId="77777777" w:rsidR="00C1548D" w:rsidRDefault="009B1B4B">
      <w:pPr>
        <w:pStyle w:val="Heading2"/>
        <w:keepNext/>
        <w:pageBreakBefore/>
        <w:jc w:val="center"/>
      </w:pPr>
      <w:bookmarkStart w:id="83" w:name="k35"/>
      <w:bookmarkStart w:id="84" w:name="_Toc241352491"/>
      <w:r>
        <w:rPr>
          <w:rFonts w:ascii="Amazon Ember" w:eastAsia="Amazon Ember" w:hAnsi="Amazon Ember" w:cs="Amazon Ember"/>
          <w:color w:val="0000FF"/>
          <w:sz w:val="36"/>
          <w:szCs w:val="36"/>
        </w:rPr>
        <w:lastRenderedPageBreak/>
        <w:t>Kapitel 35: Essen, Trinken, Einkaufen</w:t>
      </w:r>
      <w:bookmarkEnd w:id="83"/>
      <w:bookmarkEnd w:id="84"/>
    </w:p>
    <w:p w14:paraId="70A4E6CD" w14:textId="77777777" w:rsidR="00C1548D" w:rsidRDefault="009B1B4B">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6D5"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6CE" w14:textId="77777777" w:rsidR="00C1548D" w:rsidRDefault="009B1B4B">
            <w:pPr>
              <w:keepNext/>
              <w:spacing w:after="70" w:line="240" w:lineRule="auto"/>
            </w:pPr>
            <w:r>
              <w:rPr>
                <w:b/>
                <w:bCs/>
                <w:color w:val="1F3A5F"/>
                <w:spacing w:val="24"/>
                <w:sz w:val="16"/>
                <w:szCs w:val="16"/>
              </w:rPr>
              <w:t>KURZ GESAGT</w:t>
            </w:r>
          </w:p>
          <w:p w14:paraId="70A4E6CF" w14:textId="77777777" w:rsidR="00C1548D" w:rsidRDefault="009B1B4B" w:rsidP="009B1B4B">
            <w:pPr>
              <w:pStyle w:val="ListParagraph"/>
              <w:numPr>
                <w:ilvl w:val="0"/>
                <w:numId w:val="1"/>
              </w:numPr>
              <w:spacing w:after="50" w:line="264" w:lineRule="auto"/>
            </w:pPr>
            <w:r>
              <w:rPr>
                <w:sz w:val="20"/>
                <w:szCs w:val="20"/>
              </w:rPr>
              <w:t>Für den Wocheneinkauf sind Aldi, Walmart und Costco günstig, Kroger, Meijer oder Target liegen in der Mitte, Whole Foods darüber. Eine Familie mit zwei Schulkindern rechnet für Lebensmittel zu Hause mit rund 1.000–1.700 $ im Monat.</w:t>
            </w:r>
          </w:p>
          <w:p w14:paraId="70A4E6D0" w14:textId="77777777" w:rsidR="00C1548D" w:rsidRDefault="009B1B4B" w:rsidP="009B1B4B">
            <w:pPr>
              <w:pStyle w:val="ListParagraph"/>
              <w:numPr>
                <w:ilvl w:val="0"/>
                <w:numId w:val="1"/>
              </w:numPr>
              <w:spacing w:after="50" w:line="264" w:lineRule="auto"/>
            </w:pPr>
            <w:r>
              <w:rPr>
                <w:sz w:val="20"/>
                <w:szCs w:val="20"/>
              </w:rPr>
              <w:t>Eier und Milch stehen gekühlt im Regal; Milch gibt es in Gallonen (3,8 l). Unverarbeitete Lebensmittel sind in den meisten Bundesstaaten steuerfrei oder niedriger besteuert.</w:t>
            </w:r>
          </w:p>
          <w:p w14:paraId="70A4E6D1" w14:textId="77777777" w:rsidR="00C1548D" w:rsidRDefault="009B1B4B" w:rsidP="009B1B4B">
            <w:pPr>
              <w:pStyle w:val="ListParagraph"/>
              <w:numPr>
                <w:ilvl w:val="0"/>
                <w:numId w:val="1"/>
              </w:numPr>
              <w:spacing w:after="50" w:line="264" w:lineRule="auto"/>
            </w:pPr>
            <w:r>
              <w:rPr>
                <w:sz w:val="20"/>
                <w:szCs w:val="20"/>
              </w:rPr>
              <w:t>Brot, Wurst und Käse in deutscher Qualität findest du nur in Spezialläden, bei Saisonaktionen oder online; vieles backst und kochst du selbst.</w:t>
            </w:r>
          </w:p>
          <w:p w14:paraId="70A4E6D2" w14:textId="77777777" w:rsidR="00C1548D" w:rsidRDefault="009B1B4B" w:rsidP="009B1B4B">
            <w:pPr>
              <w:pStyle w:val="ListParagraph"/>
              <w:numPr>
                <w:ilvl w:val="0"/>
                <w:numId w:val="1"/>
              </w:numPr>
              <w:spacing w:after="50" w:line="264" w:lineRule="auto"/>
            </w:pPr>
            <w:r>
              <w:rPr>
                <w:sz w:val="20"/>
                <w:szCs w:val="20"/>
              </w:rPr>
              <w:t>Alkohol gibt es ab 21 gegen Ausweis. Verkauf und Uhrzeiten regelt jeder Bundesstaat; geöffnete Flaschen im Auto und Trinken im Park sind fast überall verboten.</w:t>
            </w:r>
          </w:p>
          <w:p w14:paraId="70A4E6D3" w14:textId="77777777" w:rsidR="00C1548D" w:rsidRDefault="009B1B4B" w:rsidP="009B1B4B">
            <w:pPr>
              <w:pStyle w:val="ListParagraph"/>
              <w:numPr>
                <w:ilvl w:val="0"/>
                <w:numId w:val="1"/>
              </w:numPr>
              <w:spacing w:after="50" w:line="264" w:lineRule="auto"/>
            </w:pPr>
            <w:r>
              <w:rPr>
                <w:sz w:val="20"/>
                <w:szCs w:val="20"/>
              </w:rPr>
              <w:t>Leitungswasser ist meist trinkbar; in Häusern vor 1986 prüfst du auf Blei.</w:t>
            </w:r>
          </w:p>
          <w:p w14:paraId="70A4E6D4" w14:textId="77777777" w:rsidR="00C1548D" w:rsidRDefault="009B1B4B" w:rsidP="009B1B4B">
            <w:pPr>
              <w:pStyle w:val="ListParagraph"/>
              <w:numPr>
                <w:ilvl w:val="0"/>
                <w:numId w:val="1"/>
              </w:numPr>
              <w:spacing w:after="50" w:line="264" w:lineRule="auto"/>
            </w:pPr>
            <w:r>
              <w:rPr>
                <w:sz w:val="20"/>
                <w:szCs w:val="20"/>
              </w:rPr>
              <w:t>Rezepte rechnest du von Cups und Fahrenheit um; eine Küchenwaage mit Gramm und Unzen erspart Ärger.</w:t>
            </w:r>
          </w:p>
        </w:tc>
      </w:tr>
    </w:tbl>
    <w:p w14:paraId="70A4E6D6" w14:textId="77777777" w:rsidR="00C1548D" w:rsidRDefault="00C1548D">
      <w:pPr>
        <w:spacing w:line="220" w:lineRule="exact"/>
      </w:pPr>
    </w:p>
    <w:p w14:paraId="70A4E6D7" w14:textId="77777777" w:rsidR="00C1548D" w:rsidRDefault="009B1B4B">
      <w:pPr>
        <w:pStyle w:val="Heading3"/>
        <w:keepNext/>
        <w:jc w:val="center"/>
      </w:pPr>
      <w:r>
        <w:rPr>
          <w:rFonts w:ascii="Amazon Ember" w:eastAsia="Amazon Ember" w:hAnsi="Amazon Ember" w:cs="Amazon Ember"/>
          <w:color w:val="0000FF"/>
          <w:sz w:val="36"/>
          <w:szCs w:val="36"/>
        </w:rPr>
        <w:t>Supermarktketten: Wo du einkaufst</w:t>
      </w:r>
    </w:p>
    <w:p w14:paraId="70A4E6D8" w14:textId="77777777" w:rsidR="00C1548D" w:rsidRDefault="009B1B4B">
      <w:pPr>
        <w:spacing w:after="140"/>
      </w:pPr>
      <w:r>
        <w:t xml:space="preserve">Ein Ladenschlussgesetz wie in Deutschland gibt es nicht: Die meisten Supermärkte öffnen täglich, auch sonntags, oft von 7 oder 8 bis 22 Uhr. Welche Kette in deiner Nähe liegt, hängt stark von der Region ab. Aldi wächst schnell: Der US-Ableger (betrieben von Aldi </w:t>
      </w:r>
      <w:r>
        <w:lastRenderedPageBreak/>
        <w:t>Süd) will bis Ende 2026 fast 2.800 Filialen erreichen und zieht als 40. Bundesstaat nach Maine. Lidl hat rund 200 Filialen, überwiegend an der Ostküste.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5"/>
        <w:gridCol w:w="1955"/>
        <w:gridCol w:w="950"/>
        <w:gridCol w:w="2160"/>
      </w:tblGrid>
      <w:tr w:rsidR="00C1548D" w14:paraId="70A4E6DD" w14:textId="77777777">
        <w:tblPrEx>
          <w:tblCellMar>
            <w:top w:w="0" w:type="dxa"/>
            <w:bottom w:w="0" w:type="dxa"/>
          </w:tblCellMar>
        </w:tblPrEx>
        <w:trPr>
          <w:cantSplit/>
          <w:tblHeader/>
        </w:trPr>
        <w:tc>
          <w:tcPr>
            <w:tcW w:w="141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D9" w14:textId="77777777" w:rsidR="00C1548D" w:rsidRDefault="009B1B4B">
            <w:pPr>
              <w:spacing w:line="250" w:lineRule="auto"/>
            </w:pPr>
            <w:r>
              <w:rPr>
                <w:b/>
                <w:bCs/>
                <w:sz w:val="18"/>
                <w:szCs w:val="18"/>
              </w:rPr>
              <w:t>Kette</w:t>
            </w:r>
          </w:p>
        </w:tc>
        <w:tc>
          <w:tcPr>
            <w:tcW w:w="195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DA" w14:textId="77777777" w:rsidR="00C1548D" w:rsidRDefault="009B1B4B">
            <w:pPr>
              <w:spacing w:line="250" w:lineRule="auto"/>
            </w:pPr>
            <w:r>
              <w:rPr>
                <w:b/>
                <w:bCs/>
                <w:sz w:val="18"/>
                <w:szCs w:val="18"/>
              </w:rPr>
              <w:t>Stärke</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DB" w14:textId="77777777" w:rsidR="00C1548D" w:rsidRDefault="009B1B4B">
            <w:pPr>
              <w:spacing w:line="250" w:lineRule="auto"/>
            </w:pPr>
            <w:r>
              <w:rPr>
                <w:b/>
                <w:bCs/>
                <w:sz w:val="18"/>
                <w:szCs w:val="18"/>
              </w:rPr>
              <w:t>Preisniveau</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6DC" w14:textId="77777777" w:rsidR="00C1548D" w:rsidRDefault="009B1B4B">
            <w:pPr>
              <w:spacing w:line="250" w:lineRule="auto"/>
            </w:pPr>
            <w:r>
              <w:rPr>
                <w:b/>
                <w:bCs/>
                <w:sz w:val="18"/>
                <w:szCs w:val="18"/>
              </w:rPr>
              <w:t>Hinweis</w:t>
            </w:r>
          </w:p>
        </w:tc>
      </w:tr>
      <w:tr w:rsidR="00C1548D" w14:paraId="70A4E6E2" w14:textId="77777777">
        <w:tblPrEx>
          <w:tblCellMar>
            <w:top w:w="0" w:type="dxa"/>
            <w:bottom w:w="0" w:type="dxa"/>
          </w:tblCellMar>
        </w:tblPrEx>
        <w:trPr>
          <w:cantSplit/>
        </w:trPr>
        <w:tc>
          <w:tcPr>
            <w:tcW w:w="1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DE" w14:textId="77777777" w:rsidR="00C1548D" w:rsidRDefault="009B1B4B">
            <w:pPr>
              <w:spacing w:line="250" w:lineRule="auto"/>
            </w:pPr>
            <w:r>
              <w:rPr>
                <w:sz w:val="18"/>
                <w:szCs w:val="18"/>
              </w:rPr>
              <w:t>Aldi</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DF" w14:textId="77777777" w:rsidR="00C1548D" w:rsidRDefault="009B1B4B">
            <w:pPr>
              <w:spacing w:line="250" w:lineRule="auto"/>
            </w:pPr>
            <w:r>
              <w:rPr>
                <w:sz w:val="18"/>
                <w:szCs w:val="18"/>
              </w:rPr>
              <w:t>Eigenmarken, kleines Sortiment, vertrautes Prinzip</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0" w14:textId="77777777" w:rsidR="00C1548D" w:rsidRDefault="009B1B4B">
            <w:pPr>
              <w:spacing w:line="250" w:lineRule="auto"/>
            </w:pPr>
            <w:r>
              <w:rPr>
                <w:sz w:val="18"/>
                <w:szCs w:val="18"/>
              </w:rPr>
              <w:t>günstig</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1" w14:textId="77777777" w:rsidR="00C1548D" w:rsidRDefault="009B1B4B">
            <w:pPr>
              <w:spacing w:line="250" w:lineRule="auto"/>
            </w:pPr>
            <w:r>
              <w:rPr>
                <w:sz w:val="18"/>
                <w:szCs w:val="18"/>
              </w:rPr>
              <w:t>Wagen gegen 25-Cent-Münze, Tüten kosten extra</w:t>
            </w:r>
          </w:p>
        </w:tc>
      </w:tr>
      <w:tr w:rsidR="00C1548D" w14:paraId="70A4E6E7" w14:textId="77777777">
        <w:tblPrEx>
          <w:tblCellMar>
            <w:top w:w="0" w:type="dxa"/>
            <w:bottom w:w="0" w:type="dxa"/>
          </w:tblCellMar>
        </w:tblPrEx>
        <w:trPr>
          <w:cantSplit/>
        </w:trPr>
        <w:tc>
          <w:tcPr>
            <w:tcW w:w="1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3" w14:textId="77777777" w:rsidR="00C1548D" w:rsidRDefault="009B1B4B">
            <w:pPr>
              <w:spacing w:line="250" w:lineRule="auto"/>
            </w:pPr>
            <w:r>
              <w:rPr>
                <w:sz w:val="18"/>
                <w:szCs w:val="18"/>
              </w:rPr>
              <w:t>Lidl</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4" w14:textId="77777777" w:rsidR="00C1548D" w:rsidRDefault="009B1B4B">
            <w:pPr>
              <w:spacing w:line="250" w:lineRule="auto"/>
            </w:pPr>
            <w:r>
              <w:rPr>
                <w:sz w:val="18"/>
                <w:szCs w:val="18"/>
              </w:rPr>
              <w:t>Backstation im Laden, europäische Produkte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5" w14:textId="77777777" w:rsidR="00C1548D" w:rsidRDefault="009B1B4B">
            <w:pPr>
              <w:spacing w:line="250" w:lineRule="auto"/>
            </w:pPr>
            <w:r>
              <w:rPr>
                <w:sz w:val="18"/>
                <w:szCs w:val="18"/>
              </w:rPr>
              <w:t>günstig</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6" w14:textId="77777777" w:rsidR="00C1548D" w:rsidRDefault="009B1B4B">
            <w:pPr>
              <w:spacing w:line="250" w:lineRule="auto"/>
            </w:pPr>
            <w:r>
              <w:rPr>
                <w:sz w:val="18"/>
                <w:szCs w:val="18"/>
              </w:rPr>
              <w:t>Nur an der Ostküste verbreitet</w:t>
            </w:r>
          </w:p>
        </w:tc>
      </w:tr>
      <w:tr w:rsidR="00C1548D" w14:paraId="70A4E6EC" w14:textId="77777777">
        <w:tblPrEx>
          <w:tblCellMar>
            <w:top w:w="0" w:type="dxa"/>
            <w:bottom w:w="0" w:type="dxa"/>
          </w:tblCellMar>
        </w:tblPrEx>
        <w:trPr>
          <w:cantSplit/>
        </w:trPr>
        <w:tc>
          <w:tcPr>
            <w:tcW w:w="1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8" w14:textId="77777777" w:rsidR="00C1548D" w:rsidRDefault="009B1B4B">
            <w:pPr>
              <w:spacing w:line="250" w:lineRule="auto"/>
            </w:pPr>
            <w:r>
              <w:rPr>
                <w:sz w:val="18"/>
                <w:szCs w:val="18"/>
              </w:rPr>
              <w:t>Walmart</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9" w14:textId="77777777" w:rsidR="00C1548D" w:rsidRDefault="009B1B4B">
            <w:pPr>
              <w:spacing w:line="250" w:lineRule="auto"/>
            </w:pPr>
            <w:r>
              <w:rPr>
                <w:sz w:val="18"/>
                <w:szCs w:val="18"/>
              </w:rPr>
              <w:t>Alles unter einem Dach, Eigenmarke Great Value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A" w14:textId="77777777" w:rsidR="00C1548D" w:rsidRDefault="009B1B4B">
            <w:pPr>
              <w:spacing w:line="250" w:lineRule="auto"/>
            </w:pPr>
            <w:r>
              <w:rPr>
                <w:sz w:val="18"/>
                <w:szCs w:val="18"/>
              </w:rPr>
              <w:t>günstig</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B" w14:textId="77777777" w:rsidR="00C1548D" w:rsidRDefault="009B1B4B">
            <w:pPr>
              <w:spacing w:line="250" w:lineRule="auto"/>
            </w:pPr>
            <w:r>
              <w:rPr>
                <w:sz w:val="18"/>
                <w:szCs w:val="18"/>
              </w:rPr>
              <w:t>Größte Lebensmittelkette des Landes</w:t>
            </w:r>
          </w:p>
        </w:tc>
      </w:tr>
      <w:tr w:rsidR="00C1548D" w14:paraId="70A4E6F1" w14:textId="77777777">
        <w:tblPrEx>
          <w:tblCellMar>
            <w:top w:w="0" w:type="dxa"/>
            <w:bottom w:w="0" w:type="dxa"/>
          </w:tblCellMar>
        </w:tblPrEx>
        <w:trPr>
          <w:cantSplit/>
        </w:trPr>
        <w:tc>
          <w:tcPr>
            <w:tcW w:w="1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D" w14:textId="77777777" w:rsidR="00C1548D" w:rsidRDefault="009B1B4B">
            <w:pPr>
              <w:spacing w:line="250" w:lineRule="auto"/>
            </w:pPr>
            <w:r>
              <w:rPr>
                <w:sz w:val="18"/>
                <w:szCs w:val="18"/>
              </w:rPr>
              <w:t>Costco, Sam’s Club</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E" w14:textId="77777777" w:rsidR="00C1548D" w:rsidRDefault="009B1B4B">
            <w:pPr>
              <w:spacing w:line="250" w:lineRule="auto"/>
            </w:pPr>
            <w:r>
              <w:rPr>
                <w:sz w:val="18"/>
                <w:szCs w:val="18"/>
              </w:rPr>
              <w:t>Großpackungen, Fleisch, Milch, Tanken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EF" w14:textId="77777777" w:rsidR="00C1548D" w:rsidRDefault="009B1B4B">
            <w:pPr>
              <w:spacing w:line="250" w:lineRule="auto"/>
            </w:pPr>
            <w:r>
              <w:rPr>
                <w:sz w:val="18"/>
                <w:szCs w:val="18"/>
              </w:rPr>
              <w:t>günstig je Einheit</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0" w14:textId="77777777" w:rsidR="00C1548D" w:rsidRDefault="009B1B4B">
            <w:pPr>
              <w:spacing w:line="250" w:lineRule="auto"/>
            </w:pPr>
            <w:r>
              <w:rPr>
                <w:sz w:val="18"/>
                <w:szCs w:val="18"/>
              </w:rPr>
              <w:t>Mitgliedschaft nötig, bei Costco ab 65 $ im Jahr</w:t>
            </w:r>
          </w:p>
        </w:tc>
      </w:tr>
      <w:tr w:rsidR="00C1548D" w14:paraId="70A4E6F6" w14:textId="77777777">
        <w:tblPrEx>
          <w:tblCellMar>
            <w:top w:w="0" w:type="dxa"/>
            <w:bottom w:w="0" w:type="dxa"/>
          </w:tblCellMar>
        </w:tblPrEx>
        <w:trPr>
          <w:cantSplit/>
        </w:trPr>
        <w:tc>
          <w:tcPr>
            <w:tcW w:w="1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2" w14:textId="77777777" w:rsidR="00C1548D" w:rsidRDefault="009B1B4B">
            <w:pPr>
              <w:spacing w:line="250" w:lineRule="auto"/>
            </w:pPr>
            <w:r>
              <w:rPr>
                <w:sz w:val="18"/>
                <w:szCs w:val="18"/>
              </w:rPr>
              <w:t>Trader Joe’s</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3" w14:textId="77777777" w:rsidR="00C1548D" w:rsidRDefault="009B1B4B">
            <w:pPr>
              <w:spacing w:line="250" w:lineRule="auto"/>
            </w:pPr>
            <w:r>
              <w:rPr>
                <w:sz w:val="18"/>
                <w:szCs w:val="18"/>
              </w:rPr>
              <w:t>Eigenmarken, Tiefkühlkost, saisonale Importe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4" w14:textId="77777777" w:rsidR="00C1548D" w:rsidRDefault="009B1B4B">
            <w:pPr>
              <w:spacing w:line="250" w:lineRule="auto"/>
            </w:pPr>
            <w:r>
              <w:rPr>
                <w:sz w:val="18"/>
                <w:szCs w:val="18"/>
              </w:rPr>
              <w:t>günstig bis mittel</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5" w14:textId="77777777" w:rsidR="00C1548D" w:rsidRDefault="009B1B4B">
            <w:pPr>
              <w:spacing w:line="250" w:lineRule="auto"/>
            </w:pPr>
            <w:r>
              <w:rPr>
                <w:sz w:val="18"/>
                <w:szCs w:val="18"/>
              </w:rPr>
              <w:t>Kleine Läden, begrenzte Auswahl</w:t>
            </w:r>
          </w:p>
        </w:tc>
      </w:tr>
      <w:tr w:rsidR="00C1548D" w14:paraId="70A4E6FB" w14:textId="77777777">
        <w:tblPrEx>
          <w:tblCellMar>
            <w:top w:w="0" w:type="dxa"/>
            <w:bottom w:w="0" w:type="dxa"/>
          </w:tblCellMar>
        </w:tblPrEx>
        <w:trPr>
          <w:cantSplit/>
        </w:trPr>
        <w:tc>
          <w:tcPr>
            <w:tcW w:w="1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7" w14:textId="77777777" w:rsidR="00C1548D" w:rsidRDefault="009B1B4B">
            <w:pPr>
              <w:spacing w:line="250" w:lineRule="auto"/>
            </w:pPr>
            <w:r>
              <w:rPr>
                <w:sz w:val="18"/>
                <w:szCs w:val="18"/>
              </w:rPr>
              <w:t>Kroger, Safeway, Meijer, Publix, H-E-B, Wegmans</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8" w14:textId="77777777" w:rsidR="00C1548D" w:rsidRDefault="009B1B4B">
            <w:pPr>
              <w:spacing w:line="250" w:lineRule="auto"/>
            </w:pPr>
            <w:r>
              <w:rPr>
                <w:sz w:val="18"/>
                <w:szCs w:val="18"/>
              </w:rPr>
              <w:t>Vollsortiment, Frischetheken, Apotheke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9" w14:textId="77777777" w:rsidR="00C1548D" w:rsidRDefault="009B1B4B">
            <w:pPr>
              <w:spacing w:line="250" w:lineRule="auto"/>
            </w:pPr>
            <w:r>
              <w:rPr>
                <w:sz w:val="18"/>
                <w:szCs w:val="18"/>
              </w:rPr>
              <w:t>mittel</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A" w14:textId="77777777" w:rsidR="00C1548D" w:rsidRDefault="009B1B4B">
            <w:pPr>
              <w:spacing w:line="250" w:lineRule="auto"/>
            </w:pPr>
            <w:r>
              <w:rPr>
                <w:sz w:val="18"/>
                <w:szCs w:val="18"/>
              </w:rPr>
              <w:t>Regional verschieden; Angebote nur mit Kundenkarte</w:t>
            </w:r>
          </w:p>
        </w:tc>
      </w:tr>
      <w:tr w:rsidR="00C1548D" w14:paraId="70A4E700" w14:textId="77777777">
        <w:tblPrEx>
          <w:tblCellMar>
            <w:top w:w="0" w:type="dxa"/>
            <w:bottom w:w="0" w:type="dxa"/>
          </w:tblCellMar>
        </w:tblPrEx>
        <w:trPr>
          <w:cantSplit/>
        </w:trPr>
        <w:tc>
          <w:tcPr>
            <w:tcW w:w="1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C" w14:textId="77777777" w:rsidR="00C1548D" w:rsidRDefault="009B1B4B">
            <w:pPr>
              <w:spacing w:line="250" w:lineRule="auto"/>
            </w:pPr>
            <w:r>
              <w:rPr>
                <w:sz w:val="18"/>
                <w:szCs w:val="18"/>
              </w:rPr>
              <w:t>Whole Foods, Sprouts</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D" w14:textId="77777777" w:rsidR="00C1548D" w:rsidRDefault="009B1B4B">
            <w:pPr>
              <w:spacing w:line="250" w:lineRule="auto"/>
            </w:pPr>
            <w:r>
              <w:rPr>
                <w:sz w:val="18"/>
                <w:szCs w:val="18"/>
              </w:rPr>
              <w:t>Bio, Naturkost, Backwaren, Käsetheke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E" w14:textId="77777777" w:rsidR="00C1548D" w:rsidRDefault="009B1B4B">
            <w:pPr>
              <w:spacing w:line="250" w:lineRule="auto"/>
            </w:pPr>
            <w:r>
              <w:rPr>
                <w:sz w:val="18"/>
                <w:szCs w:val="18"/>
              </w:rPr>
              <w:t>mittel bis hoch</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6FF" w14:textId="77777777" w:rsidR="00C1548D" w:rsidRDefault="009B1B4B">
            <w:pPr>
              <w:spacing w:line="250" w:lineRule="auto"/>
            </w:pPr>
            <w:r>
              <w:rPr>
                <w:sz w:val="18"/>
                <w:szCs w:val="18"/>
              </w:rPr>
              <w:t>Whole Foods gehört zu Amazon</w:t>
            </w:r>
          </w:p>
        </w:tc>
      </w:tr>
      <w:tr w:rsidR="00C1548D" w14:paraId="70A4E705" w14:textId="77777777">
        <w:tblPrEx>
          <w:tblCellMar>
            <w:top w:w="0" w:type="dxa"/>
            <w:bottom w:w="0" w:type="dxa"/>
          </w:tblCellMar>
        </w:tblPrEx>
        <w:trPr>
          <w:cantSplit/>
        </w:trPr>
        <w:tc>
          <w:tcPr>
            <w:tcW w:w="14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01" w14:textId="77777777" w:rsidR="00C1548D" w:rsidRDefault="009B1B4B">
            <w:pPr>
              <w:spacing w:line="250" w:lineRule="auto"/>
            </w:pPr>
            <w:r>
              <w:rPr>
                <w:sz w:val="18"/>
                <w:szCs w:val="18"/>
              </w:rPr>
              <w:t>H Mart, Patel Brothers, Latino-Märkte</w:t>
            </w:r>
          </w:p>
        </w:tc>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02" w14:textId="77777777" w:rsidR="00C1548D" w:rsidRDefault="009B1B4B">
            <w:pPr>
              <w:spacing w:line="250" w:lineRule="auto"/>
            </w:pPr>
            <w:r>
              <w:rPr>
                <w:sz w:val="18"/>
                <w:szCs w:val="18"/>
              </w:rPr>
              <w:t>Gemüse, Fisch, Fleisch, Gewürze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03" w14:textId="77777777" w:rsidR="00C1548D" w:rsidRDefault="009B1B4B">
            <w:pPr>
              <w:spacing w:line="250" w:lineRule="auto"/>
            </w:pPr>
            <w:r>
              <w:rPr>
                <w:sz w:val="18"/>
                <w:szCs w:val="18"/>
              </w:rPr>
              <w:t>günstig</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04" w14:textId="77777777" w:rsidR="00C1548D" w:rsidRDefault="009B1B4B">
            <w:pPr>
              <w:spacing w:line="250" w:lineRule="auto"/>
            </w:pPr>
            <w:r>
              <w:rPr>
                <w:sz w:val="18"/>
                <w:szCs w:val="18"/>
              </w:rPr>
              <w:t>Große Auswahl an Zutaten der jeweiligen Küche</w:t>
            </w:r>
          </w:p>
        </w:tc>
      </w:tr>
    </w:tbl>
    <w:p w14:paraId="70A4E706" w14:textId="77777777" w:rsidR="00C1548D" w:rsidRDefault="00C1548D">
      <w:pPr>
        <w:spacing w:line="180" w:lineRule="exact"/>
      </w:pPr>
    </w:p>
    <w:p w14:paraId="70A4E707" w14:textId="77777777" w:rsidR="00C1548D" w:rsidRDefault="009B1B4B">
      <w:pPr>
        <w:spacing w:after="140"/>
      </w:pPr>
      <w:r>
        <w:t>Wochenmärkte (</w:t>
      </w:r>
      <w:r>
        <w:rPr>
          <w:i/>
          <w:iCs/>
        </w:rPr>
        <w:t>Farmers Markets</w:t>
      </w:r>
      <w:r>
        <w:t>) laufen meist von Frühjahr bis Herbst; die Preise liegen oft über denen im Discounter.</w:t>
      </w:r>
    </w:p>
    <w:p w14:paraId="70A4E708" w14:textId="77777777" w:rsidR="00C1548D" w:rsidRDefault="009B1B4B">
      <w:pPr>
        <w:pStyle w:val="Heading3"/>
        <w:keepNext/>
        <w:jc w:val="center"/>
      </w:pPr>
      <w:r>
        <w:rPr>
          <w:rFonts w:ascii="Amazon Ember" w:eastAsia="Amazon Ember" w:hAnsi="Amazon Ember" w:cs="Amazon Ember"/>
          <w:color w:val="0000FF"/>
          <w:sz w:val="36"/>
          <w:szCs w:val="36"/>
        </w:rPr>
        <w:t>Preise und Monatsbudget</w:t>
      </w:r>
    </w:p>
    <w:p w14:paraId="70A4E709" w14:textId="5C52D424" w:rsidR="00C1548D" w:rsidRDefault="009B1B4B">
      <w:pPr>
        <w:spacing w:after="140"/>
      </w:pPr>
      <w:r>
        <w:t>Die Preise schwanken nach Region stark; an den Küsten und in Großstädten liegen sie deutlich über dem Mittleren Westen (Kapitel </w:t>
      </w:r>
      <w:hyperlink w:anchor="k12" w:history="1">
        <w:r>
          <w:t>12</w:t>
        </w:r>
      </w:hyperlink>
      <w:r>
        <w:t xml:space="preserve">). Als Orientierung dienen die US-Durchschnittspreise der Statistikbehörde BLS für Juli 2026: 12 Eier 2,19 $ (im August 2025 waren es wegen der Vogelgrippe noch 3,59 $), 1 Gallone Vollmilch </w:t>
      </w:r>
      <w:r>
        <w:lastRenderedPageBreak/>
        <w:t>4,31 $, 1 lb (454 g) Weißbrot 1,82 $, 1 lb Rinderhack 6,89 $ (rund 15 $ pro Kilo), 1 lb ganzes Hähnchen 2,01 $ und 1 lb gemahlener Kaffee 9,32 $. Geflügel ist günstig, Rindfleisch und Kaffee eher teuer.</w:t>
      </w:r>
    </w:p>
    <w:p w14:paraId="70A4E70A" w14:textId="77777777" w:rsidR="00C1548D" w:rsidRDefault="009B1B4B">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70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70B" w14:textId="77777777" w:rsidR="00C1548D" w:rsidRDefault="009B1B4B">
            <w:pPr>
              <w:keepNext/>
              <w:spacing w:after="70" w:line="240" w:lineRule="auto"/>
            </w:pPr>
            <w:r>
              <w:rPr>
                <w:b/>
                <w:bCs/>
                <w:color w:val="4A5568"/>
                <w:spacing w:val="24"/>
                <w:sz w:val="16"/>
                <w:szCs w:val="16"/>
              </w:rPr>
              <w:t>PRAXISBEISPIEL · FIKTIV</w:t>
            </w:r>
          </w:p>
          <w:p w14:paraId="70A4E70C" w14:textId="77777777" w:rsidR="00C1548D" w:rsidRDefault="009B1B4B">
            <w:pPr>
              <w:spacing w:after="80" w:line="264" w:lineRule="auto"/>
            </w:pPr>
            <w:r>
              <w:rPr>
                <w:sz w:val="20"/>
                <w:szCs w:val="20"/>
              </w:rPr>
              <w:t>Familie Brandt (fiktiv) plant für ihren ersten Monat im Großraum Detroit mit den USDA-Richtwerten für vier Personen: 1.120 $ (</w:t>
            </w:r>
            <w:r>
              <w:rPr>
                <w:i/>
                <w:iCs/>
                <w:sz w:val="20"/>
                <w:szCs w:val="20"/>
              </w:rPr>
              <w:t>Low-Cost</w:t>
            </w:r>
            <w:r>
              <w:rPr>
                <w:sz w:val="20"/>
                <w:szCs w:val="20"/>
              </w:rPr>
              <w:t>) bis 1.380 $ (</w:t>
            </w:r>
            <w:r>
              <w:rPr>
                <w:i/>
                <w:iCs/>
                <w:sz w:val="20"/>
                <w:szCs w:val="20"/>
              </w:rPr>
              <w:t>Moderate</w:t>
            </w:r>
            <w:r>
              <w:rPr>
                <w:sz w:val="20"/>
                <w:szCs w:val="20"/>
              </w:rPr>
              <w:t>). Anna kauft wöchentlich bei Aldi und Meijer, Markus fährt einmal im Monat zu Costco und zahlt 65 $ für die Mitgliedschaft. Am Monatsende stehen 1.290 $ für Lebensmittel auf der Liste, dazu rund 240 $ für zwei Restaurantbesuche und drei Lieferbestellungen. Das Toastbrot mögen weder Lena noch Jonas – „Papa, das schmeckt nach nichts“, findet Jonas beim ersten Frühstück –, am Wochenende backt Markus deshalb Roggenmischbrot nach deutschem Rezept, abgewogen in Gramm. Die Pfandflaschen bringen in Michigan 10 Cen</w:t>
            </w:r>
            <w:r>
              <w:rPr>
                <w:sz w:val="20"/>
                <w:szCs w:val="20"/>
              </w:rPr>
              <w:t>t je Stück, die Kinder werfen sie in den Automaten im Supermarkt.</w:t>
            </w:r>
          </w:p>
        </w:tc>
      </w:tr>
    </w:tbl>
    <w:p w14:paraId="70A4E70E" w14:textId="77777777" w:rsidR="00C1548D" w:rsidRDefault="00C1548D">
      <w:pPr>
        <w:spacing w:line="220" w:lineRule="exact"/>
      </w:pPr>
    </w:p>
    <w:p w14:paraId="70A4E70F" w14:textId="77777777" w:rsidR="00C1548D" w:rsidRDefault="009B1B4B">
      <w:pPr>
        <w:pStyle w:val="Heading3"/>
        <w:keepNext/>
        <w:jc w:val="center"/>
      </w:pPr>
      <w:r>
        <w:rPr>
          <w:rFonts w:ascii="Amazon Ember" w:eastAsia="Amazon Ember" w:hAnsi="Amazon Ember" w:cs="Amazon Ember"/>
          <w:color w:val="0000FF"/>
          <w:sz w:val="36"/>
          <w:szCs w:val="36"/>
        </w:rPr>
        <w:t>Einkaufsalltag: Einheiten, Kundenkarte, Steuer, Pfand</w:t>
      </w:r>
    </w:p>
    <w:p w14:paraId="70A4E710" w14:textId="77777777" w:rsidR="00C1548D" w:rsidRDefault="009B1B4B">
      <w:pPr>
        <w:spacing w:after="140"/>
      </w:pPr>
      <w:r>
        <w:rPr>
          <w:b/>
          <w:bCs/>
        </w:rPr>
        <w:t>Einheiten.</w:t>
      </w:r>
      <w:r>
        <w:t xml:space="preserve"> Verpackungen und Preisschilder rechnen in </w:t>
      </w:r>
      <w:r>
        <w:rPr>
          <w:i/>
          <w:iCs/>
        </w:rPr>
        <w:t>Gallons</w:t>
      </w:r>
      <w:r>
        <w:t xml:space="preserve">, </w:t>
      </w:r>
      <w:r>
        <w:rPr>
          <w:i/>
          <w:iCs/>
        </w:rPr>
        <w:t>Pounds</w:t>
      </w:r>
      <w:r>
        <w:t xml:space="preserve"> (lb) und </w:t>
      </w:r>
      <w:r>
        <w:rPr>
          <w:i/>
          <w:iCs/>
        </w:rPr>
        <w:t>Ounces</w:t>
      </w:r>
      <w:r>
        <w:t xml:space="preserve"> (oz): 1 lb = 454 g, 1 oz = 28 g. Neben dem Verkaufspreis steht der Preis pro Einheit (</w:t>
      </w:r>
      <w:r>
        <w:rPr>
          <w:i/>
          <w:iCs/>
        </w:rPr>
        <w:t>Unit Price</w:t>
      </w:r>
      <w:r>
        <w:t>, etwa pro Unze); er ist der einzige faire Vergleich, weil Packungsgrößen ständig wechseln.</w:t>
      </w:r>
    </w:p>
    <w:p w14:paraId="70A4E711" w14:textId="77777777" w:rsidR="00C1548D" w:rsidRDefault="009B1B4B">
      <w:pPr>
        <w:spacing w:after="140"/>
      </w:pPr>
      <w:r>
        <w:rPr>
          <w:b/>
          <w:bCs/>
        </w:rPr>
        <w:lastRenderedPageBreak/>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w14:paraId="70A4E712" w14:textId="75E17F6B" w:rsidR="00C1548D" w:rsidRDefault="009B1B4B">
      <w:pPr>
        <w:spacing w:after="140"/>
      </w:pPr>
      <w:r>
        <w:rPr>
          <w:b/>
          <w:bCs/>
        </w:rPr>
        <w:t>Steuer und Tüten.</w:t>
      </w:r>
      <w:r>
        <w:t xml:space="preserve"> Restaurantessen, Alkohol und Nichtlebensmittel zahlen den vollen Steuersatz (Kapitel </w:t>
      </w:r>
      <w:hyperlink w:anchor="k31" w:history="1">
        <w:r>
          <w:t>31</w:t>
        </w:r>
      </w:hyperlink>
      <w:r>
        <w:t>). In Michigan bleibt der Supermarkteinkauf steuerfrei, das Restaurantessen kostet 6 %. In Kalifornien, New York, Oregon und Washington sind Einwegplastiktüten verboten oder kostenpflichtig; bring eigene Taschen mit.</w:t>
      </w:r>
    </w:p>
    <w:p w14:paraId="70A4E713" w14:textId="77777777" w:rsidR="00C1548D" w:rsidRDefault="009B1B4B">
      <w:pPr>
        <w:spacing w:after="140"/>
      </w:pPr>
      <w:r>
        <w:rPr>
          <w:b/>
          <w:bCs/>
        </w:rPr>
        <w:t>Pfand.</w:t>
      </w:r>
      <w:r>
        <w:t xml:space="preserve"> Zehn Bundesstaaten kennen Pfand auf Flaschen und Dosen, meist 5 Cent, in Michigan und Oregon 10 Cent. Die Rückgabe läuft über Automaten im Supermarkt.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716"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714" w14:textId="77777777" w:rsidR="00C1548D" w:rsidRDefault="009B1B4B">
            <w:pPr>
              <w:keepNext/>
              <w:spacing w:after="70" w:line="240" w:lineRule="auto"/>
            </w:pPr>
            <w:r>
              <w:rPr>
                <w:b/>
                <w:bCs/>
                <w:color w:val="2F6B3B"/>
                <w:spacing w:val="24"/>
                <w:sz w:val="16"/>
                <w:szCs w:val="16"/>
              </w:rPr>
              <w:t>SPARTIPP</w:t>
            </w:r>
          </w:p>
          <w:p w14:paraId="70A4E715" w14:textId="77777777" w:rsidR="00C1548D" w:rsidRDefault="009B1B4B">
            <w:pPr>
              <w:spacing w:after="80" w:line="264" w:lineRule="auto"/>
            </w:pPr>
            <w:r>
              <w:rPr>
                <w:sz w:val="20"/>
                <w:szCs w:val="20"/>
              </w:rPr>
              <w:t>Kaufe Eigenmarken (</w:t>
            </w:r>
            <w:r>
              <w:rPr>
                <w:i/>
                <w:iCs/>
                <w:sz w:val="20"/>
                <w:szCs w:val="20"/>
              </w:rPr>
              <w:t>Store Brands</w:t>
            </w:r>
            <w:r>
              <w:rPr>
                <w:sz w:val="20"/>
                <w:szCs w:val="20"/>
              </w:rPr>
              <w:t xml:space="preserve"> wie Great Value, Kirkland Signature oder die Aldi-Marken). Sie kosten oft ein Fünftel bis ein Drittel weniger als Markenware. Costco rechnet sich für Familien, die dort regelmäßig Fleisch, Milch und Getränke kaufen; Einpersonenhaushalte bleiben meist bei Aldi.</w:t>
            </w:r>
          </w:p>
        </w:tc>
      </w:tr>
    </w:tbl>
    <w:p w14:paraId="70A4E717" w14:textId="77777777" w:rsidR="00C1548D" w:rsidRDefault="00C1548D">
      <w:pPr>
        <w:spacing w:line="220" w:lineRule="exact"/>
      </w:pPr>
    </w:p>
    <w:p w14:paraId="70A4E718" w14:textId="77777777" w:rsidR="00C1548D" w:rsidRDefault="009B1B4B">
      <w:pPr>
        <w:pStyle w:val="Heading3"/>
        <w:keepNext/>
        <w:jc w:val="center"/>
      </w:pPr>
      <w:r>
        <w:rPr>
          <w:rFonts w:ascii="Amazon Ember" w:eastAsia="Amazon Ember" w:hAnsi="Amazon Ember" w:cs="Amazon Ember"/>
          <w:color w:val="0000FF"/>
          <w:sz w:val="36"/>
          <w:szCs w:val="36"/>
        </w:rPr>
        <w:t>Qualität, Zusatzstoffe und Bio-Siegel</w:t>
      </w:r>
    </w:p>
    <w:p w14:paraId="70A4E719" w14:textId="77777777" w:rsidR="00C1548D" w:rsidRDefault="009B1B4B">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w14:paraId="70A4E71A" w14:textId="77777777" w:rsidR="00C1548D" w:rsidRDefault="009B1B4B">
      <w:pPr>
        <w:spacing w:after="140"/>
      </w:pPr>
      <w:r>
        <w:t xml:space="preserve">Bei Farbstoffen ändert sich gerade viel (Stand September 2026): Die FDA hat die Zulassung von Red No. 3 für Lebensmittel widerrufen, Hersteller müssen bis 15. Januar 2027 umstellen. Für sechs weitere </w:t>
      </w:r>
      <w:r>
        <w:lastRenderedPageBreak/>
        <w:t>synthetische Farbstoffe wie Red 40 und Yellow 5 gibt es einen freiwilligen Ausstieg der Industrie, kein Verbot. Texas und West Virginia haben Warnhinweise oder Verbote beschlossen; die Gerichte haben sie vorerst ausgesetzt.</w:t>
      </w:r>
    </w:p>
    <w:p w14:paraId="70A4E71B" w14:textId="77777777" w:rsidR="00C1548D" w:rsidRDefault="009B1B4B">
      <w:pPr>
        <w:spacing w:after="140"/>
      </w:pPr>
      <w:r>
        <w:t>Die Nährwerttabelle (</w:t>
      </w:r>
      <w:r>
        <w:rPr>
          <w:i/>
          <w:iCs/>
        </w:rPr>
        <w:t>Nutrition Facts</w:t>
      </w:r>
      <w:r>
        <w:t>) nennt Werte pro Portion (</w:t>
      </w:r>
      <w:r>
        <w:rPr>
          <w:i/>
          <w:iCs/>
        </w:rPr>
        <w:t>Serving Size</w:t>
      </w:r>
      <w:r>
        <w:t>), nicht pro 100 g, und eine Packung enthält oft mehrere Portionen. Zugesetzter Zucker (</w:t>
      </w:r>
      <w:r>
        <w:rPr>
          <w:i/>
          <w:iCs/>
        </w:rPr>
        <w:t>Added Sugars</w:t>
      </w:r>
      <w:r>
        <w:t xml:space="preserve">) hat eine eigene Zeile, ein Blick lohnt bei Cerealien, Joghurt und Softdrinks. Allergene stehen in einer </w:t>
      </w:r>
      <w:r>
        <w:rPr>
          <w:i/>
          <w:iCs/>
        </w:rPr>
        <w:t>Contains</w:t>
      </w:r>
      <w:r>
        <w:t>-Zeile; seit 2023 gehört Sesam zu den neun Hauptallergenen.</w:t>
      </w:r>
    </w:p>
    <w:p w14:paraId="70A4E71C" w14:textId="77777777" w:rsidR="00C1548D" w:rsidRDefault="009B1B4B">
      <w:pPr>
        <w:spacing w:after="140"/>
      </w:pPr>
      <w:r>
        <w:rPr>
          <w:i/>
          <w:iCs/>
        </w:rPr>
        <w:t>USDA Organic</w:t>
      </w:r>
      <w:r>
        <w:t xml:space="preserve">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w:t>
      </w:r>
      <w:r>
        <w:rPr>
          <w:i/>
          <w:iCs/>
        </w:rPr>
        <w:t>Bioengineered</w:t>
      </w:r>
      <w:r>
        <w:t xml:space="preserve"> gekennzeichnet sein.</w:t>
      </w:r>
    </w:p>
    <w:p w14:paraId="70A4E71D" w14:textId="77777777" w:rsidR="00C1548D" w:rsidRDefault="009B1B4B">
      <w:pPr>
        <w:pStyle w:val="Heading3"/>
        <w:keepNext/>
        <w:jc w:val="center"/>
      </w:pPr>
      <w:r>
        <w:rPr>
          <w:rFonts w:ascii="Amazon Ember" w:eastAsia="Amazon Ember" w:hAnsi="Amazon Ember" w:cs="Amazon Ember"/>
          <w:color w:val="0000FF"/>
          <w:sz w:val="36"/>
          <w:szCs w:val="36"/>
        </w:rPr>
        <w:t>Milch, Eier und Butter</w:t>
      </w:r>
    </w:p>
    <w:p w14:paraId="70A4E71E" w14:textId="77777777" w:rsidR="00C1548D" w:rsidRDefault="009B1B4B">
      <w:pPr>
        <w:spacing w:after="140"/>
      </w:pPr>
      <w:r>
        <w:t xml:space="preserve">Verbreiteter Irrtum: Wer aus Deutschland kommt, hält gekühlte Eier im Regal zunächst für einen Verpackungsfehler –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w:t>
      </w:r>
      <w:r>
        <w:rPr>
          <w:i/>
          <w:iCs/>
        </w:rPr>
        <w:t>Large</w:t>
      </w:r>
      <w:r>
        <w:t xml:space="preserve"> (ca. 57 g), meist zwölf Stück (</w:t>
      </w:r>
      <w:r>
        <w:rPr>
          <w:i/>
          <w:iCs/>
        </w:rPr>
        <w:t>Dozen</w:t>
      </w:r>
      <w:r>
        <w:t>); für Tiramisu oder Mayonnaise gibt es pasteurisierte Eier in der Schale.</w:t>
      </w:r>
    </w:p>
    <w:p w14:paraId="70A4E71F" w14:textId="77777777" w:rsidR="00C1548D" w:rsidRDefault="009B1B4B">
      <w:pPr>
        <w:spacing w:after="140"/>
      </w:pPr>
      <w:r>
        <w:t xml:space="preserve">Milch kommt in Gallonen (3,8 l), halben Gallonen und Quarts (0,95 l) als </w:t>
      </w:r>
      <w:r>
        <w:rPr>
          <w:i/>
          <w:iCs/>
        </w:rPr>
        <w:t>Whole Milk</w:t>
      </w:r>
      <w:r>
        <w:t xml:space="preserve"> (mindestens 3,25 % Fett), </w:t>
      </w:r>
      <w:r>
        <w:rPr>
          <w:i/>
          <w:iCs/>
        </w:rPr>
        <w:t>2 %</w:t>
      </w:r>
      <w:r>
        <w:t xml:space="preserve">, </w:t>
      </w:r>
      <w:r>
        <w:rPr>
          <w:i/>
          <w:iCs/>
        </w:rPr>
        <w:t>1 %</w:t>
      </w:r>
      <w:r>
        <w:t xml:space="preserve"> oder </w:t>
      </w:r>
      <w:r>
        <w:rPr>
          <w:i/>
          <w:iCs/>
        </w:rPr>
        <w:t>Skim</w:t>
      </w:r>
      <w:r>
        <w:t xml:space="preserve"> (entrahmt), dazu laktosefrei und pflanzlich (Hafer, Mandel, Soja). H-</w:t>
      </w:r>
      <w:r>
        <w:lastRenderedPageBreak/>
        <w:t>Milch ist eine Nische. Butter gibt es in Riegeln (</w:t>
      </w:r>
      <w:r>
        <w:rPr>
          <w:i/>
          <w:iCs/>
        </w:rPr>
        <w:t>Sticks</w:t>
      </w:r>
      <w:r>
        <w:t xml:space="preserve">, je 113 g), meist gesalzen; für deutsche Backrezepte nimmst du </w:t>
      </w:r>
      <w:r>
        <w:rPr>
          <w:i/>
          <w:iCs/>
        </w:rPr>
        <w:t>Unsalted</w:t>
      </w:r>
      <w:r>
        <w:t>.</w:t>
      </w:r>
    </w:p>
    <w:p w14:paraId="70A4E720" w14:textId="77777777" w:rsidR="00C1548D" w:rsidRDefault="009B1B4B">
      <w:pPr>
        <w:pStyle w:val="Heading3"/>
        <w:keepNext/>
        <w:jc w:val="center"/>
      </w:pPr>
      <w:r>
        <w:rPr>
          <w:rFonts w:ascii="Amazon Ember" w:eastAsia="Amazon Ember" w:hAnsi="Amazon Ember" w:cs="Amazon Ember"/>
          <w:color w:val="0000FF"/>
          <w:sz w:val="36"/>
          <w:szCs w:val="36"/>
        </w:rPr>
        <w:t>Brot, Wurst, Käse: Wo bekommt man was?</w:t>
      </w:r>
    </w:p>
    <w:p w14:paraId="70A4E721" w14:textId="77777777" w:rsidR="00C1548D" w:rsidRDefault="009B1B4B">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669"/>
        <w:gridCol w:w="2861"/>
      </w:tblGrid>
      <w:tr w:rsidR="00C1548D" w14:paraId="70A4E725"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22" w14:textId="77777777" w:rsidR="00C1548D" w:rsidRDefault="009B1B4B">
            <w:pPr>
              <w:spacing w:line="250" w:lineRule="auto"/>
            </w:pPr>
            <w:r>
              <w:rPr>
                <w:b/>
                <w:bCs/>
                <w:sz w:val="18"/>
                <w:szCs w:val="18"/>
              </w:rPr>
              <w:t>Produkt</w:t>
            </w:r>
          </w:p>
        </w:tc>
        <w:tc>
          <w:tcPr>
            <w:tcW w:w="266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23" w14:textId="77777777" w:rsidR="00C1548D" w:rsidRDefault="009B1B4B">
            <w:pPr>
              <w:spacing w:line="250" w:lineRule="auto"/>
            </w:pPr>
            <w:r>
              <w:rPr>
                <w:b/>
                <w:bCs/>
                <w:sz w:val="18"/>
                <w:szCs w:val="18"/>
              </w:rPr>
              <w:t>Was es gibt</w:t>
            </w:r>
          </w:p>
        </w:tc>
        <w:tc>
          <w:tcPr>
            <w:tcW w:w="286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24" w14:textId="77777777" w:rsidR="00C1548D" w:rsidRDefault="009B1B4B">
            <w:pPr>
              <w:spacing w:line="250" w:lineRule="auto"/>
            </w:pPr>
            <w:r>
              <w:rPr>
                <w:b/>
                <w:bCs/>
                <w:sz w:val="18"/>
                <w:szCs w:val="18"/>
              </w:rPr>
              <w:t>Wo du suchst</w:t>
            </w:r>
          </w:p>
        </w:tc>
      </w:tr>
      <w:tr w:rsidR="00C1548D" w14:paraId="70A4E72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26" w14:textId="77777777" w:rsidR="00C1548D" w:rsidRDefault="009B1B4B">
            <w:pPr>
              <w:spacing w:line="250" w:lineRule="auto"/>
            </w:pPr>
            <w:r>
              <w:rPr>
                <w:sz w:val="18"/>
                <w:szCs w:val="18"/>
              </w:rPr>
              <w:t>Brot</w:t>
            </w:r>
          </w:p>
        </w:tc>
        <w:tc>
          <w:tcPr>
            <w:tcW w:w="26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27" w14:textId="77777777" w:rsidR="00C1548D" w:rsidRDefault="009B1B4B">
            <w:pPr>
              <w:spacing w:line="250" w:lineRule="auto"/>
            </w:pPr>
            <w:r>
              <w:rPr>
                <w:sz w:val="18"/>
                <w:szCs w:val="18"/>
              </w:rPr>
              <w:t xml:space="preserve">Weiches Sandwichbrot, </w:t>
            </w:r>
            <w:r>
              <w:rPr>
                <w:i/>
                <w:iCs/>
                <w:sz w:val="18"/>
                <w:szCs w:val="18"/>
              </w:rPr>
              <w:t>Sourdough</w:t>
            </w:r>
            <w:r>
              <w:rPr>
                <w:sz w:val="18"/>
                <w:szCs w:val="18"/>
              </w:rPr>
              <w:t xml:space="preserve">, </w:t>
            </w:r>
            <w:r>
              <w:rPr>
                <w:i/>
                <w:iCs/>
                <w:sz w:val="18"/>
                <w:szCs w:val="18"/>
              </w:rPr>
              <w:t>Rye</w:t>
            </w:r>
            <w:r>
              <w:rPr>
                <w:sz w:val="18"/>
                <w:szCs w:val="18"/>
              </w:rPr>
              <w:t xml:space="preserve"> (Roggenmischbrot mit Kümmel)</w:t>
            </w:r>
          </w:p>
        </w:tc>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28" w14:textId="77777777" w:rsidR="00C1548D" w:rsidRDefault="009B1B4B">
            <w:pPr>
              <w:spacing w:line="250" w:lineRule="auto"/>
            </w:pPr>
            <w:r>
              <w:rPr>
                <w:sz w:val="18"/>
                <w:szCs w:val="18"/>
              </w:rPr>
              <w:t>Bäckereitheke bei Whole Foods, Wegmans, Publix, Lidl; Bäckereien, Wochenmärkte</w:t>
            </w:r>
          </w:p>
        </w:tc>
      </w:tr>
      <w:tr w:rsidR="00C1548D" w14:paraId="70A4E72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2A" w14:textId="77777777" w:rsidR="00C1548D" w:rsidRDefault="009B1B4B">
            <w:pPr>
              <w:spacing w:line="250" w:lineRule="auto"/>
            </w:pPr>
            <w:r>
              <w:rPr>
                <w:sz w:val="18"/>
                <w:szCs w:val="18"/>
              </w:rPr>
              <w:t>Brötchen</w:t>
            </w:r>
          </w:p>
        </w:tc>
        <w:tc>
          <w:tcPr>
            <w:tcW w:w="26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2B" w14:textId="77777777" w:rsidR="00C1548D" w:rsidRDefault="009B1B4B">
            <w:pPr>
              <w:spacing w:line="250" w:lineRule="auto"/>
            </w:pPr>
            <w:r>
              <w:rPr>
                <w:i/>
                <w:iCs/>
                <w:sz w:val="18"/>
                <w:szCs w:val="18"/>
              </w:rPr>
              <w:t>Hard Rolls</w:t>
            </w:r>
            <w:r>
              <w:rPr>
                <w:sz w:val="18"/>
                <w:szCs w:val="18"/>
              </w:rPr>
              <w:t xml:space="preserve">, </w:t>
            </w:r>
            <w:r>
              <w:rPr>
                <w:i/>
                <w:iCs/>
                <w:sz w:val="18"/>
                <w:szCs w:val="18"/>
              </w:rPr>
              <w:t>Kaiser Rolls</w:t>
            </w:r>
            <w:r>
              <w:rPr>
                <w:sz w:val="18"/>
                <w:szCs w:val="18"/>
              </w:rPr>
              <w:t xml:space="preserve">, </w:t>
            </w:r>
            <w:r>
              <w:rPr>
                <w:i/>
                <w:iCs/>
                <w:sz w:val="18"/>
                <w:szCs w:val="18"/>
              </w:rPr>
              <w:t>Pretzel Rolls</w:t>
            </w:r>
            <w:r>
              <w:rPr>
                <w:sz w:val="18"/>
                <w:szCs w:val="18"/>
              </w:rPr>
              <w:t>, Ciabatta</w:t>
            </w:r>
          </w:p>
        </w:tc>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2C" w14:textId="77777777" w:rsidR="00C1548D" w:rsidRDefault="009B1B4B">
            <w:pPr>
              <w:spacing w:line="250" w:lineRule="auto"/>
            </w:pPr>
            <w:r>
              <w:rPr>
                <w:sz w:val="18"/>
                <w:szCs w:val="18"/>
              </w:rPr>
              <w:t>Bäckerei im Supermarkt, Costco</w:t>
            </w:r>
          </w:p>
        </w:tc>
      </w:tr>
      <w:tr w:rsidR="00C1548D" w14:paraId="70A4E73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2E" w14:textId="77777777" w:rsidR="00C1548D" w:rsidRDefault="009B1B4B">
            <w:pPr>
              <w:spacing w:line="250" w:lineRule="auto"/>
            </w:pPr>
            <w:r>
              <w:rPr>
                <w:sz w:val="18"/>
                <w:szCs w:val="18"/>
              </w:rPr>
              <w:t>Wurst</w:t>
            </w:r>
          </w:p>
        </w:tc>
        <w:tc>
          <w:tcPr>
            <w:tcW w:w="26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2F" w14:textId="77777777" w:rsidR="00C1548D" w:rsidRDefault="009B1B4B">
            <w:pPr>
              <w:spacing w:line="250" w:lineRule="auto"/>
            </w:pPr>
            <w:r>
              <w:rPr>
                <w:i/>
                <w:iCs/>
                <w:sz w:val="18"/>
                <w:szCs w:val="18"/>
              </w:rPr>
              <w:t>Deli Meats</w:t>
            </w:r>
            <w:r>
              <w:rPr>
                <w:sz w:val="18"/>
                <w:szCs w:val="18"/>
              </w:rPr>
              <w:t xml:space="preserve"> (Schinken, Truthahn, Salami, dünn geschnitten), Bratwurst (</w:t>
            </w:r>
            <w:r>
              <w:rPr>
                <w:i/>
                <w:iCs/>
                <w:sz w:val="18"/>
                <w:szCs w:val="18"/>
              </w:rPr>
              <w:t>Brats</w:t>
            </w:r>
            <w:r>
              <w:rPr>
                <w:sz w:val="18"/>
                <w:szCs w:val="18"/>
              </w:rPr>
              <w:t>), Kielbasa, Hot Dogs</w:t>
            </w:r>
          </w:p>
        </w:tc>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30" w14:textId="77777777" w:rsidR="00C1548D" w:rsidRDefault="009B1B4B">
            <w:pPr>
              <w:spacing w:line="250" w:lineRule="auto"/>
            </w:pPr>
            <w:r>
              <w:rPr>
                <w:i/>
                <w:iCs/>
                <w:sz w:val="18"/>
                <w:szCs w:val="18"/>
              </w:rPr>
              <w:t>Deli Counter</w:t>
            </w:r>
            <w:r>
              <w:rPr>
                <w:sz w:val="18"/>
                <w:szCs w:val="18"/>
              </w:rPr>
              <w:t>; Brats vor allem im Mittleren Westen, Kielbasa in polnischen Läden</w:t>
            </w:r>
          </w:p>
        </w:tc>
      </w:tr>
      <w:tr w:rsidR="00C1548D" w14:paraId="70A4E73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32" w14:textId="77777777" w:rsidR="00C1548D" w:rsidRDefault="009B1B4B">
            <w:pPr>
              <w:spacing w:line="250" w:lineRule="auto"/>
            </w:pPr>
            <w:r>
              <w:rPr>
                <w:sz w:val="18"/>
                <w:szCs w:val="18"/>
              </w:rPr>
              <w:t>Deutscher Aufschnitt</w:t>
            </w:r>
          </w:p>
        </w:tc>
        <w:tc>
          <w:tcPr>
            <w:tcW w:w="26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33" w14:textId="77777777" w:rsidR="00C1548D" w:rsidRDefault="009B1B4B">
            <w:pPr>
              <w:spacing w:line="250" w:lineRule="auto"/>
            </w:pPr>
            <w:r>
              <w:rPr>
                <w:sz w:val="18"/>
                <w:szCs w:val="18"/>
              </w:rPr>
              <w:t>Lyoner, Leberkäse, Teewurst: selten</w:t>
            </w:r>
          </w:p>
        </w:tc>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34" w14:textId="77777777" w:rsidR="00C1548D" w:rsidRDefault="009B1B4B">
            <w:pPr>
              <w:spacing w:line="250" w:lineRule="auto"/>
            </w:pPr>
            <w:r>
              <w:rPr>
                <w:i/>
                <w:iCs/>
                <w:sz w:val="18"/>
                <w:szCs w:val="18"/>
              </w:rPr>
              <w:t>German Delis</w:t>
            </w:r>
            <w:r>
              <w:rPr>
                <w:sz w:val="18"/>
                <w:szCs w:val="18"/>
              </w:rPr>
              <w:t xml:space="preserve"> in Städten mit deutscher Einwanderung (etwa Milwaukee, Cincinnati, Chicago, New York); Onlineshops</w:t>
            </w:r>
          </w:p>
        </w:tc>
      </w:tr>
      <w:tr w:rsidR="00C1548D" w14:paraId="70A4E73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36" w14:textId="77777777" w:rsidR="00C1548D" w:rsidRDefault="009B1B4B">
            <w:pPr>
              <w:spacing w:line="250" w:lineRule="auto"/>
            </w:pPr>
            <w:r>
              <w:rPr>
                <w:sz w:val="18"/>
                <w:szCs w:val="18"/>
              </w:rPr>
              <w:t>Käse</w:t>
            </w:r>
          </w:p>
        </w:tc>
        <w:tc>
          <w:tcPr>
            <w:tcW w:w="26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37" w14:textId="77777777" w:rsidR="00C1548D" w:rsidRDefault="009B1B4B">
            <w:pPr>
              <w:spacing w:line="250" w:lineRule="auto"/>
            </w:pPr>
            <w:r>
              <w:rPr>
                <w:sz w:val="18"/>
                <w:szCs w:val="18"/>
              </w:rPr>
              <w:t>Cheddar, Gouda, Emmentaler (</w:t>
            </w:r>
            <w:r>
              <w:rPr>
                <w:i/>
                <w:iCs/>
                <w:sz w:val="18"/>
                <w:szCs w:val="18"/>
              </w:rPr>
              <w:t>Swiss</w:t>
            </w:r>
            <w:r>
              <w:rPr>
                <w:sz w:val="18"/>
                <w:szCs w:val="18"/>
              </w:rPr>
              <w:t>), Havarti, Mozzarella, Parmesan</w:t>
            </w:r>
          </w:p>
        </w:tc>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38" w14:textId="77777777" w:rsidR="00C1548D" w:rsidRDefault="009B1B4B">
            <w:pPr>
              <w:spacing w:line="250" w:lineRule="auto"/>
            </w:pPr>
            <w:r>
              <w:rPr>
                <w:sz w:val="18"/>
                <w:szCs w:val="18"/>
              </w:rPr>
              <w:t>Käseregal und -theke; Costco, Trader Joe’s, Whole Foods</w:t>
            </w:r>
          </w:p>
        </w:tc>
      </w:tr>
      <w:tr w:rsidR="00C1548D" w14:paraId="70A4E73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3A" w14:textId="77777777" w:rsidR="00C1548D" w:rsidRDefault="009B1B4B">
            <w:pPr>
              <w:spacing w:line="250" w:lineRule="auto"/>
            </w:pPr>
            <w:r>
              <w:rPr>
                <w:sz w:val="18"/>
                <w:szCs w:val="18"/>
              </w:rPr>
              <w:t>Quark, Schmand</w:t>
            </w:r>
          </w:p>
        </w:tc>
        <w:tc>
          <w:tcPr>
            <w:tcW w:w="26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3B" w14:textId="77777777" w:rsidR="00C1548D" w:rsidRDefault="009B1B4B">
            <w:pPr>
              <w:spacing w:line="250" w:lineRule="auto"/>
            </w:pPr>
            <w:r>
              <w:rPr>
                <w:sz w:val="18"/>
                <w:szCs w:val="18"/>
              </w:rPr>
              <w:t xml:space="preserve">Quark selten; Ersatz: </w:t>
            </w:r>
            <w:r>
              <w:rPr>
                <w:i/>
                <w:iCs/>
                <w:sz w:val="18"/>
                <w:szCs w:val="18"/>
              </w:rPr>
              <w:t>Skyr</w:t>
            </w:r>
            <w:r>
              <w:rPr>
                <w:sz w:val="18"/>
                <w:szCs w:val="18"/>
              </w:rPr>
              <w:t xml:space="preserve">, abgetropfter </w:t>
            </w:r>
            <w:r>
              <w:rPr>
                <w:i/>
                <w:iCs/>
                <w:sz w:val="18"/>
                <w:szCs w:val="18"/>
              </w:rPr>
              <w:t>Greek Yogurt</w:t>
            </w:r>
            <w:r>
              <w:rPr>
                <w:sz w:val="18"/>
                <w:szCs w:val="18"/>
              </w:rPr>
              <w:t xml:space="preserve">, </w:t>
            </w:r>
            <w:r>
              <w:rPr>
                <w:i/>
                <w:iCs/>
                <w:sz w:val="18"/>
                <w:szCs w:val="18"/>
              </w:rPr>
              <w:t>Sour Cream</w:t>
            </w:r>
          </w:p>
        </w:tc>
        <w:tc>
          <w:tcPr>
            <w:tcW w:w="28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3C" w14:textId="77777777" w:rsidR="00C1548D" w:rsidRDefault="009B1B4B">
            <w:pPr>
              <w:spacing w:line="250" w:lineRule="auto"/>
            </w:pPr>
            <w:r>
              <w:rPr>
                <w:sz w:val="18"/>
                <w:szCs w:val="18"/>
              </w:rPr>
              <w:t xml:space="preserve">Joghurtregal; </w:t>
            </w:r>
            <w:r>
              <w:rPr>
                <w:i/>
                <w:iCs/>
                <w:sz w:val="18"/>
                <w:szCs w:val="18"/>
              </w:rPr>
              <w:t>Farmer Cheese</w:t>
            </w:r>
            <w:r>
              <w:rPr>
                <w:sz w:val="18"/>
                <w:szCs w:val="18"/>
              </w:rPr>
              <w:t xml:space="preserve"> in osteuropäischen Läden</w:t>
            </w:r>
          </w:p>
        </w:tc>
      </w:tr>
    </w:tbl>
    <w:p w14:paraId="70A4E73E" w14:textId="77777777" w:rsidR="00C1548D" w:rsidRDefault="00C1548D">
      <w:pPr>
        <w:spacing w:line="180" w:lineRule="exact"/>
      </w:pPr>
    </w:p>
    <w:p w14:paraId="70A4E73F" w14:textId="77777777" w:rsidR="00C1548D" w:rsidRDefault="009B1B4B">
      <w:pPr>
        <w:spacing w:after="140"/>
      </w:pPr>
      <w:r>
        <w:t>Beim Brot lohnt der Blick aufs Etikett: „Wheat Bread“ ist nicht automatisch Vollkorn, gesucht ist „100 % Whole Wheat“. Roggenmehl (</w:t>
      </w:r>
      <w:r>
        <w:rPr>
          <w:i/>
          <w:iCs/>
        </w:rPr>
        <w:t>Rye Flour</w:t>
      </w:r>
      <w:r>
        <w:t>), Dinkelmehl (</w:t>
      </w:r>
      <w:r>
        <w:rPr>
          <w:i/>
          <w:iCs/>
        </w:rPr>
        <w:t>Spelt</w:t>
      </w:r>
      <w:r>
        <w:t xml:space="preserve">) und Sauerteigstarter gibt es im Backregal oder online; viele Deutsche backen ihr Brot selbst. Käse aus Rohmilch darf meist nur verkauft werden, wenn er </w:t>
      </w:r>
      <w:r>
        <w:lastRenderedPageBreak/>
        <w:t>mindestens 60 Tage gereift ist; Camembert und Brie sind daher meist pasteurisiert. Rohes Hackfleisch zum Essen (Mett, Hackepeter) verkauft niemand; Hackfleisch wird durchgegart.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74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740" w14:textId="77777777" w:rsidR="00C1548D" w:rsidRDefault="009B1B4B">
            <w:pPr>
              <w:keepNext/>
              <w:spacing w:after="70" w:line="240" w:lineRule="auto"/>
            </w:pPr>
            <w:r>
              <w:rPr>
                <w:b/>
                <w:bCs/>
                <w:color w:val="8A6212"/>
                <w:spacing w:val="24"/>
                <w:sz w:val="16"/>
                <w:szCs w:val="16"/>
              </w:rPr>
              <w:t>MERKE</w:t>
            </w:r>
          </w:p>
          <w:p w14:paraId="70A4E741" w14:textId="77777777" w:rsidR="00C1548D" w:rsidRDefault="009B1B4B">
            <w:pPr>
              <w:spacing w:after="80" w:line="264" w:lineRule="auto"/>
            </w:pPr>
            <w:r>
              <w:rPr>
                <w:sz w:val="20"/>
                <w:szCs w:val="20"/>
              </w:rPr>
              <w:t>Bei Grundnahrungsmitteln sind US-Supermärkte günstig und vielfältig; der Aufwand steckt bei Brot, Wurst und Käse. Behandle das als kleines Projekt der ersten Monate, nicht als tägliche Enttäuschung.</w:t>
            </w:r>
          </w:p>
        </w:tc>
      </w:tr>
    </w:tbl>
    <w:p w14:paraId="70A4E743" w14:textId="77777777" w:rsidR="00C1548D" w:rsidRDefault="00C1548D">
      <w:pPr>
        <w:spacing w:line="220" w:lineRule="exact"/>
      </w:pPr>
    </w:p>
    <w:p w14:paraId="70A4E744" w14:textId="77777777" w:rsidR="00C1548D" w:rsidRDefault="009B1B4B">
      <w:pPr>
        <w:pStyle w:val="Heading3"/>
        <w:keepNext/>
        <w:jc w:val="center"/>
      </w:pPr>
      <w:r>
        <w:rPr>
          <w:rFonts w:ascii="Amazon Ember" w:eastAsia="Amazon Ember" w:hAnsi="Amazon Ember" w:cs="Amazon Ember"/>
          <w:color w:val="0000FF"/>
          <w:sz w:val="36"/>
          <w:szCs w:val="36"/>
        </w:rPr>
        <w:t>Deutsche Lebensmittel finden und mitbringen</w:t>
      </w:r>
    </w:p>
    <w:p w14:paraId="70A4E745" w14:textId="0DAAA7B0" w:rsidR="00C1548D" w:rsidRDefault="009B1B4B">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der Versand kostet oft so viel wie die Ware. Lokale Gruppen von Deutschen kennen die besten Bezugsquellen (Kapitel </w:t>
      </w:r>
      <w:hyperlink w:anchor="k32" w:history="1">
        <w:r>
          <w:t>32</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74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746" w14:textId="77777777" w:rsidR="00C1548D" w:rsidRDefault="009B1B4B">
            <w:pPr>
              <w:keepNext/>
              <w:spacing w:after="70" w:line="240" w:lineRule="auto"/>
            </w:pPr>
            <w:r>
              <w:rPr>
                <w:b/>
                <w:bCs/>
                <w:color w:val="9B2C2C"/>
                <w:spacing w:val="24"/>
                <w:sz w:val="16"/>
                <w:szCs w:val="16"/>
              </w:rPr>
              <w:t>ACHTUNG</w:t>
            </w:r>
          </w:p>
          <w:p w14:paraId="70A4E747" w14:textId="1693D83E" w:rsidR="00C1548D" w:rsidRDefault="009B1B4B">
            <w:pPr>
              <w:spacing w:after="80" w:line="264" w:lineRule="auto"/>
            </w:pPr>
            <w:r>
              <w:rPr>
                <w:sz w:val="20"/>
                <w:szCs w:val="20"/>
              </w:rPr>
              <w:t>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(Kapitel </w:t>
            </w:r>
            <w:hyperlink w:anchor="k23" w:history="1">
              <w:r>
                <w:rPr>
                  <w:sz w:val="20"/>
                  <w:szCs w:val="20"/>
                </w:rPr>
                <w:t>23</w:t>
              </w:r>
            </w:hyperlink>
            <w:r>
              <w:rPr>
                <w:sz w:val="20"/>
                <w:szCs w:val="20"/>
              </w:rPr>
              <w:t>).</w:t>
            </w:r>
          </w:p>
        </w:tc>
      </w:tr>
    </w:tbl>
    <w:p w14:paraId="70A4E749" w14:textId="77777777" w:rsidR="00C1548D" w:rsidRDefault="00C1548D">
      <w:pPr>
        <w:spacing w:line="220" w:lineRule="exact"/>
      </w:pPr>
    </w:p>
    <w:p w14:paraId="70A4E74A" w14:textId="77777777" w:rsidR="00C1548D" w:rsidRDefault="009B1B4B">
      <w:pPr>
        <w:pStyle w:val="Heading3"/>
        <w:keepNext/>
        <w:jc w:val="center"/>
      </w:pPr>
      <w:r>
        <w:rPr>
          <w:rFonts w:ascii="Amazon Ember" w:eastAsia="Amazon Ember" w:hAnsi="Amazon Ember" w:cs="Amazon Ember"/>
          <w:color w:val="0000FF"/>
          <w:sz w:val="36"/>
          <w:szCs w:val="36"/>
        </w:rPr>
        <w:t>Alkohol: ab 21, Regeln je Bundesstaat</w:t>
      </w:r>
    </w:p>
    <w:p w14:paraId="70A4E74B" w14:textId="77777777" w:rsidR="00C1548D" w:rsidRDefault="009B1B4B">
      <w:pPr>
        <w:spacing w:after="140"/>
      </w:pPr>
      <w:r>
        <w:t xml:space="preserve">Das Mindestalter für Kauf und Konsum liegt in allen Bundesstaaten bei 21 Jahren; in Deutschland sind es 16 für Bier und Wein und 18 </w:t>
      </w:r>
      <w:r>
        <w:lastRenderedPageBreak/>
        <w:t xml:space="preserve">für Spirituosen. Läden und Bars kontrollieren streng, oft jeden, der jünger als 30 aussieht: Führerschein, </w:t>
      </w:r>
      <w:r>
        <w:rPr>
          <w:i/>
          <w:iCs/>
        </w:rPr>
        <w:t>State ID</w:t>
      </w:r>
      <w:r>
        <w:t xml:space="preserve"> oder Reisepass gehören in die Tasche, eine Kopie genügt nicht. Auch das Glas Wein für ein 16-jähriges Kind am Familientisch ist heikel: Wer Alkohol an unter 21-Jährige abgibt, kann sich strafbar machen; einige Bundesstaaten nehmen Eltern zu Hause aus.</w:t>
      </w:r>
    </w:p>
    <w:p w14:paraId="70A4E74C" w14:textId="77777777" w:rsidR="00C1548D" w:rsidRDefault="009B1B4B">
      <w:pPr>
        <w:spacing w:after="140"/>
      </w:pPr>
      <w:r>
        <w:t xml:space="preserve">Wo und wann du Alkohol kaufst, regelt jeder Bundesstaat, teils der Landkreis. In vielen Staaten verkaufen Supermärkte Bier und Wein, Spirituosen nur </w:t>
      </w:r>
      <w:r>
        <w:rPr>
          <w:i/>
          <w:iCs/>
        </w:rPr>
        <w:t>Liquor Stores</w:t>
      </w:r>
      <w:r>
        <w:t xml:space="preserve">; in Kalifornien und Michigan gibt es Spirituosen auch im Supermarkt. In 17 </w:t>
      </w:r>
      <w:r>
        <w:rPr>
          <w:i/>
          <w:iCs/>
        </w:rPr>
        <w:t>Control States</w:t>
      </w:r>
      <w:r>
        <w:t xml:space="preserve"> kontrolliert der Staat den Großhandel, in einigen (etwa Pennsylvania, Utah, Virginia) auch den Verkauf in eigenen Läden mit festen Öffnungszeiten. Sonntags gelten teils Einschränkungen, und in </w:t>
      </w:r>
      <w:r>
        <w:rPr>
          <w:i/>
          <w:iCs/>
        </w:rPr>
        <w:t>Dry Counties</w:t>
      </w:r>
      <w:r>
        <w:t xml:space="preserve"> (vor allem im Süden, etwa in Teilen von Kentucky und Tennessee) ist der Verkauf ganz oder teilweise verboten. Die Regeln aller Staaten stehen in der NIAAA-Datenbank (Quellenliste).</w:t>
      </w:r>
    </w:p>
    <w:p w14:paraId="70A4E74D" w14:textId="407576B6" w:rsidR="00C1548D" w:rsidRDefault="009B1B4B">
      <w:pPr>
        <w:spacing w:after="140"/>
      </w:pPr>
      <w:r>
        <w:t>In Bars liegt die letzte Bestellung (</w:t>
      </w:r>
      <w:r>
        <w:rPr>
          <w:i/>
          <w:iCs/>
        </w:rPr>
        <w:t>Last Call</w:t>
      </w:r>
      <w:r>
        <w:t>) je nach Stadt zwischen etwa 1 und 4 Uhr. In Großstädten kostet ein Bier oft 7–10 $, ein Cocktail 14–20 $, dazu Steuer und Trinkgeld (Kapitel </w:t>
      </w:r>
      <w:hyperlink w:anchor="k31" w:history="1">
        <w:r>
          <w:t>31</w:t>
        </w:r>
      </w:hyperlink>
      <w:r>
        <w:t>). Craft-Brauereien brauen häufig Pils, Kölsch und Weizen.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75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74E" w14:textId="77777777" w:rsidR="00C1548D" w:rsidRDefault="009B1B4B">
            <w:pPr>
              <w:keepNext/>
              <w:spacing w:after="70" w:line="240" w:lineRule="auto"/>
            </w:pPr>
            <w:r>
              <w:rPr>
                <w:b/>
                <w:bCs/>
                <w:color w:val="9B2C2C"/>
                <w:spacing w:val="24"/>
                <w:sz w:val="16"/>
                <w:szCs w:val="16"/>
              </w:rPr>
              <w:t>ACHTUNG</w:t>
            </w:r>
          </w:p>
          <w:p w14:paraId="70A4E74F" w14:textId="5C4B83D1" w:rsidR="00C1548D" w:rsidRDefault="009B1B4B">
            <w:pPr>
              <w:spacing w:after="80" w:line="264" w:lineRule="auto"/>
            </w:pPr>
            <w:r>
              <w:rPr>
                <w:sz w:val="20"/>
                <w:szCs w:val="20"/>
              </w:rPr>
              <w:t>Ein geöffneter Alkoholbehälter im Fahrgastraum (</w:t>
            </w:r>
            <w:r>
              <w:rPr>
                <w:i/>
                <w:iCs/>
                <w:sz w:val="20"/>
                <w:szCs w:val="20"/>
              </w:rPr>
              <w:t>Open Container</w:t>
            </w:r>
            <w:r>
              <w:rPr>
                <w:sz w:val="20"/>
                <w:szCs w:val="20"/>
              </w:rPr>
              <w:t>)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w:t>
            </w:r>
            <w:r>
              <w:rPr>
                <w:i/>
                <w:iCs/>
                <w:sz w:val="20"/>
                <w:szCs w:val="20"/>
              </w:rPr>
              <w:t>DUI</w:t>
            </w:r>
            <w:r>
              <w:rPr>
                <w:sz w:val="20"/>
                <w:szCs w:val="20"/>
              </w:rPr>
              <w:t>) kostet Führerschein und Geld und kann Visum und Green Card gefährden (Kapitel </w:t>
            </w:r>
            <w:hyperlink w:anchor="k27" w:history="1">
              <w:r>
                <w:rPr>
                  <w:sz w:val="20"/>
                  <w:szCs w:val="20"/>
                </w:rPr>
                <w:t>27</w:t>
              </w:r>
            </w:hyperlink>
            <w:r>
              <w:rPr>
                <w:sz w:val="20"/>
                <w:szCs w:val="20"/>
              </w:rPr>
              <w:t xml:space="preserve"> und </w:t>
            </w:r>
            <w:hyperlink w:anchor="k40" w:history="1">
              <w:r>
                <w:rPr>
                  <w:sz w:val="20"/>
                  <w:szCs w:val="20"/>
                </w:rPr>
                <w:t>40</w:t>
              </w:r>
            </w:hyperlink>
            <w:r>
              <w:rPr>
                <w:sz w:val="20"/>
                <w:szCs w:val="20"/>
              </w:rPr>
              <w:t>).</w:t>
            </w:r>
          </w:p>
        </w:tc>
      </w:tr>
    </w:tbl>
    <w:p w14:paraId="70A4E751" w14:textId="77777777" w:rsidR="00C1548D" w:rsidRDefault="00C1548D">
      <w:pPr>
        <w:spacing w:line="220" w:lineRule="exact"/>
      </w:pPr>
    </w:p>
    <w:p w14:paraId="70A4E752" w14:textId="77777777" w:rsidR="00C1548D" w:rsidRDefault="009B1B4B">
      <w:pPr>
        <w:pStyle w:val="Heading3"/>
        <w:keepNext/>
        <w:jc w:val="center"/>
      </w:pPr>
      <w:r>
        <w:rPr>
          <w:rFonts w:ascii="Amazon Ember" w:eastAsia="Amazon Ember" w:hAnsi="Amazon Ember" w:cs="Amazon Ember"/>
          <w:color w:val="0000FF"/>
          <w:sz w:val="36"/>
          <w:szCs w:val="36"/>
        </w:rPr>
        <w:lastRenderedPageBreak/>
        <w:t>Restaurants und Lieferdienste</w:t>
      </w:r>
    </w:p>
    <w:p w14:paraId="70A4E753" w14:textId="7F7889C4" w:rsidR="00C1548D" w:rsidRDefault="009B1B4B">
      <w:pPr>
        <w:spacing w:after="140"/>
      </w:pPr>
      <w:r>
        <w:t>Trinkgeld, Preise ohne Steuer, Reste und Rechnung teilen stehen in Kapitel </w:t>
      </w:r>
      <w:hyperlink w:anchor="k31" w:history="1">
        <w:r>
          <w:t>31</w:t>
        </w:r>
      </w:hyperlink>
      <w:r>
        <w:t>. Im Alltag zählt außerdem: Du wartest am Eingang auf die Platzanweisung (</w:t>
      </w:r>
      <w:r>
        <w:rPr>
          <w:i/>
          <w:iCs/>
        </w:rPr>
        <w:t>Please wait to be seated</w:t>
      </w:r>
      <w:r>
        <w:t>), beliebte Lokale nehmen Reservierungen über Apps wie OpenTable oder Resy an, sonst kommst du auf eine Warteliste. Die Küche schließt früh, in Kleinstädten oft um 21 Uhr.</w:t>
      </w:r>
    </w:p>
    <w:p w14:paraId="70A4E754" w14:textId="77777777" w:rsidR="00C1548D" w:rsidRDefault="009B1B4B">
      <w:pPr>
        <w:spacing w:after="140"/>
      </w:pPr>
      <w: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w:t>
      </w:r>
      <w:r>
        <w:rPr>
          <w:i/>
          <w:iCs/>
        </w:rPr>
        <w:t>Curbside Pickup</w:t>
      </w:r>
      <w:r>
        <w:t>): Du bestellst online, ein Mitarbeiter lädt die Ware in dein Auto, meist kostenlos oder gegen kleine Gebühr.</w:t>
      </w:r>
    </w:p>
    <w:p w14:paraId="70A4E755" w14:textId="77777777" w:rsidR="00C1548D" w:rsidRDefault="009B1B4B">
      <w:pPr>
        <w:pStyle w:val="Heading3"/>
        <w:keepNext/>
        <w:jc w:val="center"/>
      </w:pPr>
      <w:r>
        <w:rPr>
          <w:rFonts w:ascii="Amazon Ember" w:eastAsia="Amazon Ember" w:hAnsi="Amazon Ember" w:cs="Amazon Ember"/>
          <w:color w:val="0000FF"/>
          <w:sz w:val="36"/>
          <w:szCs w:val="36"/>
        </w:rPr>
        <w:t>Kochen: Cups, Ounces und Fahrenheit</w:t>
      </w:r>
    </w:p>
    <w:p w14:paraId="70A4E756" w14:textId="77777777" w:rsidR="00C1548D" w:rsidRDefault="009B1B4B">
      <w:pPr>
        <w:spacing w:after="140"/>
      </w:pPr>
      <w:r>
        <w:t>US-Rezepte messen Volumen statt Gewicht – wer nach deutschem Rezept 250 g Mehl abwiegen will, steht zunächst ratlos vor einem Becherset ohne Waage. Ein Satz Messbecher (</w:t>
      </w:r>
      <w:r>
        <w:rPr>
          <w:i/>
          <w:iCs/>
        </w:rPr>
        <w:t>Measuring Cups</w:t>
      </w:r>
      <w:r>
        <w:t>), eine Küchenwaage mit Gramm- und Unzen-Anzeige und ein Fleischthermometer erleichtern alles. Die wichtigsten Werte: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1"/>
        <w:gridCol w:w="1378"/>
        <w:gridCol w:w="3221"/>
      </w:tblGrid>
      <w:tr w:rsidR="00C1548D" w14:paraId="70A4E75A" w14:textId="77777777">
        <w:tblPrEx>
          <w:tblCellMar>
            <w:top w:w="0" w:type="dxa"/>
            <w:bottom w:w="0" w:type="dxa"/>
          </w:tblCellMar>
        </w:tblPrEx>
        <w:trPr>
          <w:cantSplit/>
          <w:tblHeader/>
        </w:trPr>
        <w:tc>
          <w:tcPr>
            <w:tcW w:w="188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57" w14:textId="77777777" w:rsidR="00C1548D" w:rsidRDefault="009B1B4B">
            <w:pPr>
              <w:spacing w:line="250" w:lineRule="auto"/>
            </w:pPr>
            <w:r>
              <w:rPr>
                <w:b/>
                <w:bCs/>
                <w:sz w:val="18"/>
                <w:szCs w:val="18"/>
              </w:rPr>
              <w:t>US-Maß</w:t>
            </w:r>
          </w:p>
        </w:tc>
        <w:tc>
          <w:tcPr>
            <w:tcW w:w="137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58" w14:textId="77777777" w:rsidR="00C1548D" w:rsidRDefault="009B1B4B">
            <w:pPr>
              <w:spacing w:line="250" w:lineRule="auto"/>
            </w:pPr>
            <w:r>
              <w:rPr>
                <w:b/>
                <w:bCs/>
                <w:sz w:val="18"/>
                <w:szCs w:val="18"/>
              </w:rPr>
              <w:t>Metrisch</w:t>
            </w:r>
          </w:p>
        </w:tc>
        <w:tc>
          <w:tcPr>
            <w:tcW w:w="322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59" w14:textId="77777777" w:rsidR="00C1548D" w:rsidRDefault="009B1B4B">
            <w:pPr>
              <w:spacing w:line="250" w:lineRule="auto"/>
            </w:pPr>
            <w:r>
              <w:rPr>
                <w:b/>
                <w:bCs/>
                <w:sz w:val="18"/>
                <w:szCs w:val="18"/>
              </w:rPr>
              <w:t>Hinweis</w:t>
            </w:r>
          </w:p>
        </w:tc>
      </w:tr>
      <w:tr w:rsidR="00C1548D" w14:paraId="70A4E75E"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5B" w14:textId="77777777" w:rsidR="00C1548D" w:rsidRDefault="009B1B4B">
            <w:pPr>
              <w:spacing w:line="250" w:lineRule="auto"/>
            </w:pPr>
            <w:r>
              <w:rPr>
                <w:sz w:val="18"/>
                <w:szCs w:val="18"/>
              </w:rPr>
              <w:t>1 cup</w:t>
            </w:r>
          </w:p>
        </w:tc>
        <w:tc>
          <w:tcPr>
            <w:tcW w:w="13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5C" w14:textId="77777777" w:rsidR="00C1548D" w:rsidRDefault="009B1B4B">
            <w:pPr>
              <w:spacing w:line="250" w:lineRule="auto"/>
            </w:pPr>
            <w:r>
              <w:rPr>
                <w:sz w:val="18"/>
                <w:szCs w:val="18"/>
              </w:rPr>
              <w:t>237 ml</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5D" w14:textId="77777777" w:rsidR="00C1548D" w:rsidRDefault="009B1B4B">
            <w:pPr>
              <w:spacing w:line="250" w:lineRule="auto"/>
            </w:pPr>
            <w:r>
              <w:rPr>
                <w:sz w:val="18"/>
                <w:szCs w:val="18"/>
              </w:rPr>
              <w:t>1 cup Mehl ca. 125 g, Zucker ca. 200 g, Butter ca. 225 g</w:t>
            </w:r>
          </w:p>
        </w:tc>
      </w:tr>
      <w:tr w:rsidR="00C1548D" w14:paraId="70A4E762"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5F" w14:textId="77777777" w:rsidR="00C1548D" w:rsidRDefault="009B1B4B">
            <w:pPr>
              <w:spacing w:line="250" w:lineRule="auto"/>
            </w:pPr>
            <w:r>
              <w:rPr>
                <w:sz w:val="18"/>
                <w:szCs w:val="18"/>
              </w:rPr>
              <w:t>1 tablespoon (Tbsp)</w:t>
            </w:r>
          </w:p>
        </w:tc>
        <w:tc>
          <w:tcPr>
            <w:tcW w:w="13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0" w14:textId="77777777" w:rsidR="00C1548D" w:rsidRDefault="009B1B4B">
            <w:pPr>
              <w:spacing w:line="250" w:lineRule="auto"/>
            </w:pPr>
            <w:r>
              <w:rPr>
                <w:sz w:val="18"/>
                <w:szCs w:val="18"/>
              </w:rPr>
              <w:t>ca. 15 ml</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1" w14:textId="77777777" w:rsidR="00C1548D" w:rsidRDefault="009B1B4B">
            <w:pPr>
              <w:spacing w:line="250" w:lineRule="auto"/>
            </w:pPr>
            <w:r>
              <w:rPr>
                <w:sz w:val="18"/>
                <w:szCs w:val="18"/>
              </w:rPr>
              <w:t>1 teaspoon (tsp) ca. 5 ml</w:t>
            </w:r>
          </w:p>
        </w:tc>
      </w:tr>
      <w:tr w:rsidR="00C1548D" w14:paraId="70A4E766"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3" w14:textId="77777777" w:rsidR="00C1548D" w:rsidRDefault="009B1B4B">
            <w:pPr>
              <w:spacing w:line="250" w:lineRule="auto"/>
            </w:pPr>
            <w:r>
              <w:rPr>
                <w:sz w:val="18"/>
                <w:szCs w:val="18"/>
              </w:rPr>
              <w:t>1 fluid ounce (fl oz)</w:t>
            </w:r>
          </w:p>
        </w:tc>
        <w:tc>
          <w:tcPr>
            <w:tcW w:w="13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4" w14:textId="77777777" w:rsidR="00C1548D" w:rsidRDefault="009B1B4B">
            <w:pPr>
              <w:spacing w:line="250" w:lineRule="auto"/>
            </w:pPr>
            <w:r>
              <w:rPr>
                <w:sz w:val="18"/>
                <w:szCs w:val="18"/>
              </w:rPr>
              <w:t>ca. 30 ml</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5" w14:textId="77777777" w:rsidR="00C1548D" w:rsidRDefault="009B1B4B">
            <w:pPr>
              <w:spacing w:line="250" w:lineRule="auto"/>
            </w:pPr>
            <w:r>
              <w:rPr>
                <w:sz w:val="18"/>
                <w:szCs w:val="18"/>
              </w:rPr>
              <w:t>8 fl oz = 1 cup</w:t>
            </w:r>
          </w:p>
        </w:tc>
      </w:tr>
      <w:tr w:rsidR="00C1548D" w14:paraId="70A4E76A"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7" w14:textId="77777777" w:rsidR="00C1548D" w:rsidRDefault="009B1B4B">
            <w:pPr>
              <w:spacing w:line="250" w:lineRule="auto"/>
            </w:pPr>
            <w:r>
              <w:rPr>
                <w:sz w:val="18"/>
                <w:szCs w:val="18"/>
              </w:rPr>
              <w:t>1 pint, 1 quart, 1 gallon</w:t>
            </w:r>
          </w:p>
        </w:tc>
        <w:tc>
          <w:tcPr>
            <w:tcW w:w="13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8" w14:textId="77777777" w:rsidR="00C1548D" w:rsidRDefault="009B1B4B">
            <w:pPr>
              <w:spacing w:line="250" w:lineRule="auto"/>
            </w:pPr>
            <w:r>
              <w:rPr>
                <w:sz w:val="18"/>
                <w:szCs w:val="18"/>
              </w:rPr>
              <w:t>473 ml, 0,95 l, 3,8 l</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9" w14:textId="77777777" w:rsidR="00C1548D" w:rsidRDefault="009B1B4B">
            <w:pPr>
              <w:spacing w:line="250" w:lineRule="auto"/>
            </w:pPr>
            <w:r>
              <w:rPr>
                <w:sz w:val="18"/>
                <w:szCs w:val="18"/>
              </w:rPr>
              <w:t>2 pints = 1 quart, 4 quarts = 1 gallon</w:t>
            </w:r>
          </w:p>
        </w:tc>
      </w:tr>
      <w:tr w:rsidR="00C1548D" w14:paraId="70A4E76E"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B" w14:textId="77777777" w:rsidR="00C1548D" w:rsidRDefault="009B1B4B">
            <w:pPr>
              <w:spacing w:line="250" w:lineRule="auto"/>
            </w:pPr>
            <w:r>
              <w:rPr>
                <w:sz w:val="18"/>
                <w:szCs w:val="18"/>
              </w:rPr>
              <w:lastRenderedPageBreak/>
              <w:t>1 ounce (oz), 1 pound (lb)</w:t>
            </w:r>
          </w:p>
        </w:tc>
        <w:tc>
          <w:tcPr>
            <w:tcW w:w="13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C" w14:textId="77777777" w:rsidR="00C1548D" w:rsidRDefault="009B1B4B">
            <w:pPr>
              <w:spacing w:line="250" w:lineRule="auto"/>
            </w:pPr>
            <w:r>
              <w:rPr>
                <w:sz w:val="18"/>
                <w:szCs w:val="18"/>
              </w:rPr>
              <w:t>28 g, 454 g</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D" w14:textId="77777777" w:rsidR="00C1548D" w:rsidRDefault="009B1B4B">
            <w:pPr>
              <w:spacing w:line="250" w:lineRule="auto"/>
            </w:pPr>
            <w:r>
              <w:rPr>
                <w:sz w:val="18"/>
                <w:szCs w:val="18"/>
              </w:rPr>
              <w:t>16 oz = 1 lb</w:t>
            </w:r>
          </w:p>
        </w:tc>
      </w:tr>
      <w:tr w:rsidR="00C1548D" w14:paraId="70A4E772"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6F" w14:textId="77777777" w:rsidR="00C1548D" w:rsidRDefault="009B1B4B">
            <w:pPr>
              <w:spacing w:line="250" w:lineRule="auto"/>
            </w:pPr>
            <w:r>
              <w:rPr>
                <w:sz w:val="18"/>
                <w:szCs w:val="18"/>
              </w:rPr>
              <w:t>1 stick Butter</w:t>
            </w:r>
          </w:p>
        </w:tc>
        <w:tc>
          <w:tcPr>
            <w:tcW w:w="13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70" w14:textId="77777777" w:rsidR="00C1548D" w:rsidRDefault="009B1B4B">
            <w:pPr>
              <w:spacing w:line="250" w:lineRule="auto"/>
            </w:pPr>
            <w:r>
              <w:rPr>
                <w:sz w:val="18"/>
                <w:szCs w:val="18"/>
              </w:rPr>
              <w:t>113 g</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71" w14:textId="77777777" w:rsidR="00C1548D" w:rsidRDefault="009B1B4B">
            <w:pPr>
              <w:spacing w:line="250" w:lineRule="auto"/>
            </w:pPr>
            <w:r>
              <w:rPr>
                <w:sz w:val="18"/>
                <w:szCs w:val="18"/>
              </w:rPr>
              <w:t>½ cup = 8 Tbsp</w:t>
            </w:r>
          </w:p>
        </w:tc>
      </w:tr>
      <w:tr w:rsidR="00C1548D" w14:paraId="70A4E776"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73" w14:textId="77777777" w:rsidR="00C1548D" w:rsidRDefault="009B1B4B">
            <w:pPr>
              <w:spacing w:line="250" w:lineRule="auto"/>
            </w:pPr>
            <w:r>
              <w:rPr>
                <w:sz w:val="18"/>
                <w:szCs w:val="18"/>
              </w:rPr>
              <w:t>350 °F, 400 °F, 450 °F</w:t>
            </w:r>
          </w:p>
        </w:tc>
        <w:tc>
          <w:tcPr>
            <w:tcW w:w="13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74" w14:textId="77777777" w:rsidR="00C1548D" w:rsidRDefault="009B1B4B">
            <w:pPr>
              <w:spacing w:line="250" w:lineRule="auto"/>
            </w:pPr>
            <w:r>
              <w:rPr>
                <w:sz w:val="18"/>
                <w:szCs w:val="18"/>
              </w:rPr>
              <w:t>175 °C, 200 °C, 230 °C</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75" w14:textId="77777777" w:rsidR="00C1548D" w:rsidRDefault="009B1B4B">
            <w:pPr>
              <w:spacing w:line="250" w:lineRule="auto"/>
            </w:pPr>
            <w:r>
              <w:rPr>
                <w:sz w:val="18"/>
                <w:szCs w:val="18"/>
              </w:rPr>
              <w:t>°F minus 32, geteilt durch 1,8</w:t>
            </w:r>
          </w:p>
        </w:tc>
      </w:tr>
    </w:tbl>
    <w:p w14:paraId="70A4E777" w14:textId="77777777" w:rsidR="00C1548D" w:rsidRDefault="00C1548D">
      <w:pPr>
        <w:spacing w:line="180" w:lineRule="exact"/>
      </w:pPr>
    </w:p>
    <w:p w14:paraId="70A4E778" w14:textId="0A725D6A" w:rsidR="00C1548D" w:rsidRDefault="009B1B4B">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Als Kerntemperatur gelten für Geflügel 165 °F (74 °C), für Hackfleisch 160 °F (71 °C). Elektrische Küchengeräte aus Deutschland laufen an 120 Volt meist nicht (Kapitel </w:t>
      </w:r>
      <w:hyperlink w:anchor="k21" w:history="1">
        <w:r>
          <w:t>21</w:t>
        </w:r>
      </w:hyperlink>
      <w:r>
        <w:t>).</w:t>
      </w:r>
    </w:p>
    <w:p w14:paraId="70A4E779" w14:textId="77777777" w:rsidR="00C1548D" w:rsidRDefault="009B1B4B">
      <w:pPr>
        <w:pStyle w:val="Heading3"/>
        <w:keepNext/>
        <w:jc w:val="center"/>
      </w:pPr>
      <w:r>
        <w:rPr>
          <w:rFonts w:ascii="Amazon Ember" w:eastAsia="Amazon Ember" w:hAnsi="Amazon Ember" w:cs="Amazon Ember"/>
          <w:color w:val="0000FF"/>
          <w:sz w:val="36"/>
          <w:szCs w:val="36"/>
        </w:rPr>
        <w:t>Trinkwasser</w:t>
      </w:r>
    </w:p>
    <w:p w14:paraId="70A4E77A" w14:textId="77777777" w:rsidR="00C1548D" w:rsidRDefault="009B1B4B">
      <w:pPr>
        <w:spacing w:after="140"/>
      </w:pPr>
      <w:r>
        <w:t xml:space="preserve">Leitungswasser ist in den USA fast überall trinkbar und im Restaurant gratis. Öffentliche Wasserwerke unterliegen dem Bundesgesetz </w:t>
      </w:r>
      <w:r>
        <w:rPr>
          <w:i/>
          <w:iCs/>
        </w:rPr>
        <w:t>Safe Drinking Water Act</w:t>
      </w:r>
      <w:r>
        <w:t xml:space="preserve"> und der Aufsicht der Umweltbehörde EPA. Jedes Jahr, meist bis 1. Juli, veröffentlichen sie einen Wasserqualitätsbericht (</w:t>
      </w:r>
      <w:r>
        <w:rPr>
          <w:i/>
          <w:iCs/>
        </w:rPr>
        <w:t>Consumer Confidence Report</w:t>
      </w:r>
      <w:r>
        <w:t xml:space="preserve">)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w:t>
      </w:r>
      <w:r>
        <w:rPr>
          <w:i/>
          <w:iCs/>
        </w:rPr>
        <w:t>Seltzer</w:t>
      </w:r>
      <w:r>
        <w:t xml:space="preserve"> oder </w:t>
      </w:r>
      <w:r>
        <w:rPr>
          <w:i/>
          <w:iCs/>
        </w:rPr>
        <w:t>Sparkling Water</w:t>
      </w:r>
      <w:r>
        <w:t xml:space="preserve"> und ist meist milder als deutsches Mineralwasser.</w:t>
      </w:r>
    </w:p>
    <w:p w14:paraId="70A4E77B" w14:textId="39F58666" w:rsidR="00C1548D" w:rsidRDefault="009B1B4B">
      <w:pPr>
        <w:spacing w:after="140"/>
      </w:pPr>
      <w:r>
        <w:t xml:space="preserve">Zwei Themen sind im Fluss: PFAS (langlebige Industriechemikalien) und Fluorid. Für PFOA und PFOS gilt ein Grenzwert von 4 ng/l; nach einem EPA-Vorschlag vom Mai 2026 soll er bleiben, die Frist bis 2031 verlängert werden können. Viele Werke setzen Fluorid zur Kariesvorbeugung zu; Utah und Florida haben das 2025 per Gesetz beendet. Wie du bei Kindern damit umgehst, klärst du mit Kinder- </w:t>
      </w:r>
      <w:r>
        <w:lastRenderedPageBreak/>
        <w:t>oder Zahnarzt (Kapitel </w:t>
      </w:r>
      <w:hyperlink w:anchor="k26" w:history="1">
        <w:r>
          <w:t>26</w:t>
        </w:r>
      </w:hyperlink>
      <w:r>
        <w:t xml:space="preserve">). Bei Rohrbrüchen ordnet der Versorger eine </w:t>
      </w:r>
      <w:r>
        <w:rPr>
          <w:i/>
          <w:iCs/>
        </w:rPr>
        <w:t>Boil Water Advisory</w:t>
      </w:r>
      <w:r>
        <w:t xml:space="preserve"> an: Wasser vor dem Trinken eine Minute sprudelnd kochen.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77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77C" w14:textId="77777777" w:rsidR="00C1548D" w:rsidRDefault="009B1B4B">
            <w:pPr>
              <w:keepNext/>
              <w:spacing w:after="70" w:line="240" w:lineRule="auto"/>
            </w:pPr>
            <w:r>
              <w:rPr>
                <w:b/>
                <w:bCs/>
                <w:color w:val="9B2C2C"/>
                <w:spacing w:val="24"/>
                <w:sz w:val="16"/>
                <w:szCs w:val="16"/>
              </w:rPr>
              <w:t>ACHTUNG</w:t>
            </w:r>
          </w:p>
          <w:p w14:paraId="70A4E77D" w14:textId="77777777" w:rsidR="00C1548D" w:rsidRDefault="009B1B4B">
            <w:pPr>
              <w:spacing w:after="80" w:line="264" w:lineRule="auto"/>
            </w:pPr>
            <w:r>
              <w:rPr>
                <w:sz w:val="20"/>
                <w:szCs w:val="20"/>
              </w:rPr>
              <w:t>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w:t>
            </w:r>
            <w:r>
              <w:rPr>
                <w:sz w:val="20"/>
                <w:szCs w:val="20"/>
              </w:rPr>
              <w:t>sorger alle Bleileitungen binnen zehn Jahren ersetzen; die Frist beginnt am 1. November 2027.</w:t>
            </w:r>
          </w:p>
        </w:tc>
      </w:tr>
    </w:tbl>
    <w:p w14:paraId="70A4E77F" w14:textId="77777777" w:rsidR="00C1548D" w:rsidRDefault="00C1548D">
      <w:pPr>
        <w:spacing w:line="220" w:lineRule="exact"/>
      </w:pPr>
    </w:p>
    <w:p w14:paraId="70A4E780" w14:textId="77777777" w:rsidR="00C1548D" w:rsidRDefault="009B1B4B">
      <w:pPr>
        <w:pStyle w:val="Heading3"/>
        <w:keepNext/>
        <w:jc w:val="center"/>
      </w:pPr>
      <w:r>
        <w:rPr>
          <w:rFonts w:ascii="Amazon Ember" w:eastAsia="Amazon Ember" w:hAnsi="Amazon Ember" w:cs="Amazon Ember"/>
          <w:color w:val="0000FF"/>
          <w:sz w:val="36"/>
          <w:szCs w:val="36"/>
        </w:rPr>
        <w:t>Schulessen</w:t>
      </w:r>
    </w:p>
    <w:p w14:paraId="70A4E781" w14:textId="77777777" w:rsidR="00C1548D" w:rsidRDefault="009B1B4B">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w14:paraId="70A4E782" w14:textId="5F64672A" w:rsidR="00C1548D" w:rsidRDefault="009B1B4B">
      <w:pPr>
        <w:spacing w:after="140"/>
      </w:pPr>
      <w:r>
        <w:t>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Teilnahme keine Rolle. Wer selbst packt, gibt eine Lunchbox mit. Viele Schulen sind wegen</w:t>
      </w:r>
      <w:r>
        <w:t xml:space="preserve"> Allergien nussfrei (</w:t>
      </w:r>
      <w:r>
        <w:rPr>
          <w:i/>
          <w:iCs/>
        </w:rPr>
        <w:t>Peanut-Free</w:t>
      </w:r>
      <w:r>
        <w:t>): Melde Allergien bei der Anmeldung. Guthaben lädst du meist per App des Distrikts auf. Mehr zum Schulsystem steht in Kapitel </w:t>
      </w:r>
      <w:hyperlink w:anchor="k36" w:history="1">
        <w:r>
          <w:t>36</w:t>
        </w:r>
      </w:hyperlink>
      <w:r>
        <w:t>.</w:t>
      </w:r>
    </w:p>
    <w:p w14:paraId="70A4E783"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70"/>
        <w:gridCol w:w="3310"/>
      </w:tblGrid>
      <w:tr w:rsidR="00C1548D" w14:paraId="70A4E786" w14:textId="77777777">
        <w:tblPrEx>
          <w:tblCellMar>
            <w:top w:w="0" w:type="dxa"/>
            <w:bottom w:w="0" w:type="dxa"/>
          </w:tblCellMar>
        </w:tblPrEx>
        <w:trPr>
          <w:cantSplit/>
          <w:tblHeader/>
        </w:trPr>
        <w:tc>
          <w:tcPr>
            <w:tcW w:w="31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84" w14:textId="77777777" w:rsidR="00C1548D" w:rsidRDefault="009B1B4B">
            <w:pPr>
              <w:spacing w:line="250" w:lineRule="auto"/>
            </w:pPr>
            <w:r>
              <w:rPr>
                <w:b/>
                <w:bCs/>
                <w:sz w:val="18"/>
                <w:szCs w:val="18"/>
              </w:rPr>
              <w:t>Plus</w:t>
            </w:r>
          </w:p>
        </w:tc>
        <w:tc>
          <w:tcPr>
            <w:tcW w:w="33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85" w14:textId="77777777" w:rsidR="00C1548D" w:rsidRDefault="009B1B4B">
            <w:pPr>
              <w:spacing w:line="250" w:lineRule="auto"/>
            </w:pPr>
            <w:r>
              <w:rPr>
                <w:b/>
                <w:bCs/>
                <w:sz w:val="18"/>
                <w:szCs w:val="18"/>
              </w:rPr>
              <w:t>Minus</w:t>
            </w:r>
          </w:p>
        </w:tc>
      </w:tr>
      <w:tr w:rsidR="00C1548D" w14:paraId="70A4E789" w14:textId="77777777">
        <w:tblPrEx>
          <w:tblCellMar>
            <w:top w:w="0" w:type="dxa"/>
            <w:bottom w:w="0" w:type="dxa"/>
          </w:tblCellMar>
        </w:tblPrEx>
        <w:trPr>
          <w:cantSplit/>
        </w:trPr>
        <w:tc>
          <w:tcPr>
            <w:tcW w:w="3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87" w14:textId="77777777" w:rsidR="00C1548D" w:rsidRDefault="009B1B4B">
            <w:pPr>
              <w:spacing w:line="250" w:lineRule="auto"/>
            </w:pPr>
            <w:r>
              <w:rPr>
                <w:sz w:val="18"/>
                <w:szCs w:val="18"/>
              </w:rPr>
              <w:t>Lange Öffnungszeiten, auch sonntags</w:t>
            </w:r>
          </w:p>
        </w:tc>
        <w:tc>
          <w:tcPr>
            <w:tcW w:w="3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88" w14:textId="77777777" w:rsidR="00C1548D" w:rsidRDefault="009B1B4B">
            <w:pPr>
              <w:spacing w:line="250" w:lineRule="auto"/>
            </w:pPr>
            <w:r>
              <w:rPr>
                <w:sz w:val="18"/>
                <w:szCs w:val="18"/>
              </w:rPr>
              <w:t>Ohne Auto ist der Einkauf in vielen Regionen mühsam</w:t>
            </w:r>
          </w:p>
        </w:tc>
      </w:tr>
      <w:tr w:rsidR="00C1548D" w14:paraId="70A4E78C" w14:textId="77777777">
        <w:tblPrEx>
          <w:tblCellMar>
            <w:top w:w="0" w:type="dxa"/>
            <w:bottom w:w="0" w:type="dxa"/>
          </w:tblCellMar>
        </w:tblPrEx>
        <w:trPr>
          <w:cantSplit/>
        </w:trPr>
        <w:tc>
          <w:tcPr>
            <w:tcW w:w="3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8A" w14:textId="77777777" w:rsidR="00C1548D" w:rsidRDefault="009B1B4B">
            <w:pPr>
              <w:spacing w:line="250" w:lineRule="auto"/>
            </w:pPr>
            <w:r>
              <w:rPr>
                <w:sz w:val="18"/>
                <w:szCs w:val="18"/>
              </w:rPr>
              <w:t>Günstige Grundnahrungsmittel bei Aldi, Walmart und Costco</w:t>
            </w:r>
          </w:p>
        </w:tc>
        <w:tc>
          <w:tcPr>
            <w:tcW w:w="3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8B" w14:textId="77777777" w:rsidR="00C1548D" w:rsidRDefault="009B1B4B">
            <w:pPr>
              <w:spacing w:line="250" w:lineRule="auto"/>
            </w:pPr>
            <w:r>
              <w:rPr>
                <w:sz w:val="18"/>
                <w:szCs w:val="18"/>
              </w:rPr>
              <w:t>Brot, Wurst und Käse in deutscher Qualität nur mit Aufwand</w:t>
            </w:r>
          </w:p>
        </w:tc>
      </w:tr>
      <w:tr w:rsidR="00C1548D" w14:paraId="70A4E78F" w14:textId="77777777">
        <w:tblPrEx>
          <w:tblCellMar>
            <w:top w:w="0" w:type="dxa"/>
            <w:bottom w:w="0" w:type="dxa"/>
          </w:tblCellMar>
        </w:tblPrEx>
        <w:trPr>
          <w:cantSplit/>
        </w:trPr>
        <w:tc>
          <w:tcPr>
            <w:tcW w:w="3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8D" w14:textId="77777777" w:rsidR="00C1548D" w:rsidRDefault="009B1B4B">
            <w:pPr>
              <w:spacing w:line="250" w:lineRule="auto"/>
            </w:pPr>
            <w:r>
              <w:rPr>
                <w:sz w:val="18"/>
                <w:szCs w:val="18"/>
              </w:rPr>
              <w:t>Große Vielfalt an Küchen und Zutaten</w:t>
            </w:r>
          </w:p>
        </w:tc>
        <w:tc>
          <w:tcPr>
            <w:tcW w:w="3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8E" w14:textId="77777777" w:rsidR="00C1548D" w:rsidRDefault="009B1B4B">
            <w:pPr>
              <w:spacing w:line="250" w:lineRule="auto"/>
            </w:pPr>
            <w:r>
              <w:rPr>
                <w:sz w:val="18"/>
                <w:szCs w:val="18"/>
              </w:rPr>
              <w:t>Mehr Zusatzstoffe und Zucker in vielen Fertigprodukten</w:t>
            </w:r>
          </w:p>
        </w:tc>
      </w:tr>
      <w:tr w:rsidR="00C1548D" w14:paraId="70A4E792" w14:textId="77777777">
        <w:tblPrEx>
          <w:tblCellMar>
            <w:top w:w="0" w:type="dxa"/>
            <w:bottom w:w="0" w:type="dxa"/>
          </w:tblCellMar>
        </w:tblPrEx>
        <w:trPr>
          <w:cantSplit/>
        </w:trPr>
        <w:tc>
          <w:tcPr>
            <w:tcW w:w="3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90" w14:textId="77777777" w:rsidR="00C1548D" w:rsidRDefault="009B1B4B">
            <w:pPr>
              <w:spacing w:line="250" w:lineRule="auto"/>
            </w:pPr>
            <w:r>
              <w:rPr>
                <w:sz w:val="18"/>
                <w:szCs w:val="18"/>
              </w:rPr>
              <w:t>Kulante Rückgabe bei Ketten wie Aldi und Costco</w:t>
            </w:r>
          </w:p>
        </w:tc>
        <w:tc>
          <w:tcPr>
            <w:tcW w:w="3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91" w14:textId="77777777" w:rsidR="00C1548D" w:rsidRDefault="009B1B4B">
            <w:pPr>
              <w:spacing w:line="250" w:lineRule="auto"/>
            </w:pPr>
            <w:r>
              <w:rPr>
                <w:sz w:val="18"/>
                <w:szCs w:val="18"/>
              </w:rPr>
              <w:t>Restaurant und Lieferdienst kosten 25–30 % Aufschlag</w:t>
            </w:r>
          </w:p>
        </w:tc>
      </w:tr>
      <w:tr w:rsidR="00C1548D" w14:paraId="70A4E795" w14:textId="77777777">
        <w:tblPrEx>
          <w:tblCellMar>
            <w:top w:w="0" w:type="dxa"/>
            <w:bottom w:w="0" w:type="dxa"/>
          </w:tblCellMar>
        </w:tblPrEx>
        <w:trPr>
          <w:cantSplit/>
        </w:trPr>
        <w:tc>
          <w:tcPr>
            <w:tcW w:w="3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93" w14:textId="77777777" w:rsidR="00C1548D" w:rsidRDefault="009B1B4B">
            <w:pPr>
              <w:spacing w:line="250" w:lineRule="auto"/>
            </w:pPr>
            <w:r>
              <w:rPr>
                <w:sz w:val="18"/>
                <w:szCs w:val="18"/>
              </w:rPr>
              <w:t>Craft-Bier-, Wein- und Kaffeekultur</w:t>
            </w:r>
          </w:p>
        </w:tc>
        <w:tc>
          <w:tcPr>
            <w:tcW w:w="3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94" w14:textId="77777777" w:rsidR="00C1548D" w:rsidRDefault="009B1B4B">
            <w:pPr>
              <w:spacing w:line="250" w:lineRule="auto"/>
            </w:pPr>
            <w:r>
              <w:rPr>
                <w:sz w:val="18"/>
                <w:szCs w:val="18"/>
              </w:rPr>
              <w:t>Zersplitterte Alkoholregeln, Ausweispflicht, kein Trinken in der Öffentlichkeit</w:t>
            </w:r>
          </w:p>
        </w:tc>
      </w:tr>
      <w:tr w:rsidR="00C1548D" w14:paraId="70A4E798" w14:textId="77777777">
        <w:tblPrEx>
          <w:tblCellMar>
            <w:top w:w="0" w:type="dxa"/>
            <w:bottom w:w="0" w:type="dxa"/>
          </w:tblCellMar>
        </w:tblPrEx>
        <w:trPr>
          <w:cantSplit/>
        </w:trPr>
        <w:tc>
          <w:tcPr>
            <w:tcW w:w="3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96" w14:textId="77777777" w:rsidR="00C1548D" w:rsidRDefault="009B1B4B">
            <w:pPr>
              <w:spacing w:line="250" w:lineRule="auto"/>
            </w:pPr>
            <w:r>
              <w:rPr>
                <w:sz w:val="18"/>
                <w:szCs w:val="18"/>
              </w:rPr>
              <w:t>Leitungswasser meist gut, im Restaurant gratis</w:t>
            </w:r>
          </w:p>
        </w:tc>
        <w:tc>
          <w:tcPr>
            <w:tcW w:w="3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97" w14:textId="77777777" w:rsidR="00C1548D" w:rsidRDefault="009B1B4B">
            <w:pPr>
              <w:spacing w:line="250" w:lineRule="auto"/>
            </w:pPr>
            <w:r>
              <w:rPr>
                <w:sz w:val="18"/>
                <w:szCs w:val="18"/>
              </w:rPr>
              <w:t>Bleirohre in alten Häusern, regional verschiedene Wasserqualität</w:t>
            </w:r>
          </w:p>
        </w:tc>
      </w:tr>
      <w:tr w:rsidR="00C1548D" w14:paraId="70A4E79B" w14:textId="77777777">
        <w:tblPrEx>
          <w:tblCellMar>
            <w:top w:w="0" w:type="dxa"/>
            <w:bottom w:w="0" w:type="dxa"/>
          </w:tblCellMar>
        </w:tblPrEx>
        <w:trPr>
          <w:cantSplit/>
        </w:trPr>
        <w:tc>
          <w:tcPr>
            <w:tcW w:w="31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99" w14:textId="77777777" w:rsidR="00C1548D" w:rsidRDefault="009B1B4B">
            <w:pPr>
              <w:spacing w:line="250" w:lineRule="auto"/>
            </w:pPr>
            <w:r>
              <w:rPr>
                <w:sz w:val="18"/>
                <w:szCs w:val="18"/>
              </w:rPr>
              <w:t>Kostenlose Schulmahlzeiten in neun Bundesstaaten</w:t>
            </w:r>
          </w:p>
        </w:tc>
        <w:tc>
          <w:tcPr>
            <w:tcW w:w="33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9A" w14:textId="77777777" w:rsidR="00C1548D" w:rsidRDefault="009B1B4B">
            <w:pPr>
              <w:spacing w:line="250" w:lineRule="auto"/>
            </w:pPr>
            <w:r>
              <w:rPr>
                <w:sz w:val="18"/>
                <w:szCs w:val="18"/>
              </w:rPr>
              <w:t>Cups, Ounces und Fahrenheit verlangen Umgewöhnung</w:t>
            </w:r>
          </w:p>
        </w:tc>
      </w:tr>
    </w:tbl>
    <w:p w14:paraId="70A4E79C" w14:textId="77777777" w:rsidR="00C1548D" w:rsidRDefault="00C1548D">
      <w:pPr>
        <w:spacing w:line="180" w:lineRule="exact"/>
      </w:pPr>
    </w:p>
    <w:p w14:paraId="70A4E79D"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79E" w14:textId="2C4B083D" w:rsidR="00C1548D" w:rsidRDefault="009B1B4B">
      <w:pPr>
        <w:spacing w:after="140"/>
      </w:pPr>
      <w:r>
        <w:t>Lege in der ersten Woche zwei Basisläden fest, einen Discounter und einen Vollsortimenter, und hole dir die Kundenkarten. Kaufe früh eine Küchenwaage und einen Wasserfilter, frage bei der Wohnungssuche nach Baujahr und Leitungsmaterial (Kapitel </w:t>
      </w:r>
      <w:hyperlink w:anchor="k13" w:history="1">
        <w:r>
          <w:t>13</w:t>
        </w:r>
      </w:hyperlink>
      <w:r>
        <w:t>) und probiere Ersatz für Brot, Wurst und Käse in Ruhe aus.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7A9"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79F" w14:textId="77777777" w:rsidR="00C1548D" w:rsidRDefault="009B1B4B">
            <w:pPr>
              <w:keepNext/>
              <w:spacing w:after="70" w:line="240" w:lineRule="auto"/>
            </w:pPr>
            <w:r>
              <w:rPr>
                <w:b/>
                <w:bCs/>
                <w:color w:val="1F6F78"/>
                <w:spacing w:val="24"/>
                <w:sz w:val="16"/>
                <w:szCs w:val="16"/>
              </w:rPr>
              <w:lastRenderedPageBreak/>
              <w:t>CHECKLISTE</w:t>
            </w:r>
          </w:p>
          <w:p w14:paraId="70A4E7A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Zwei Basisläden festlegen (Discounter und Vollsortimenter), Kundenkarten oder Apps einrichten</w:t>
            </w:r>
          </w:p>
          <w:p w14:paraId="70A4E7A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Monatsbudget für Lebensmittel mit den USDA-Richtwerten planen, Restaurant und Lieferdienst extra</w:t>
            </w:r>
          </w:p>
          <w:p w14:paraId="70A4E7A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Prüfen, ob sich eine Costco-Mitgliedschaft für deinen Haushalt rechnet</w:t>
            </w:r>
          </w:p>
          <w:p w14:paraId="70A4E7A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Ersatz für Brot, Wurst und Käse finden: Bäckereitheke, German Deli, Onlineshop, Backzutaten</w:t>
            </w:r>
          </w:p>
          <w:p w14:paraId="70A4E7A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Führerschein oder State ID für Alkoholkäufe mitnehmen; Alkohol im Auto nur verschlossen im Kofferraum</w:t>
            </w:r>
          </w:p>
          <w:p w14:paraId="70A4E7A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Wasserqualitätsbericht des Versorgers lesen; bei Häusern vor 1986 Bleitest und zertifizierten Filter erwägen</w:t>
            </w:r>
          </w:p>
          <w:p w14:paraId="70A4E7A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Küchenwaage mit Gramm und Unzen, Messbecher und Fleischthermometer kaufen; Küchengeräte auf 120 Volt prüfen</w:t>
            </w:r>
          </w:p>
          <w:p w14:paraId="70A4E7A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Lebensmittel bei der Einreise angeben und keine Wurstwaren mitbringen</w:t>
            </w:r>
          </w:p>
          <w:p w14:paraId="70A4E7A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Schulkindern Preise, Allergieregeln und Guthabenkonto der Schulcafeteria klären</w:t>
            </w:r>
          </w:p>
        </w:tc>
      </w:tr>
    </w:tbl>
    <w:p w14:paraId="70A4E7AA" w14:textId="77777777" w:rsidR="00C1548D" w:rsidRDefault="00C1548D">
      <w:pPr>
        <w:spacing w:line="220" w:lineRule="exact"/>
      </w:pPr>
    </w:p>
    <w:p w14:paraId="70A4E7AB"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7AC" w14:textId="0B5FEE44" w:rsidR="00C1548D" w:rsidRDefault="009B1B4B" w:rsidP="009B1B4B">
      <w:pPr>
        <w:pStyle w:val="ListParagraph"/>
        <w:numPr>
          <w:ilvl w:val="0"/>
          <w:numId w:val="1"/>
        </w:numPr>
        <w:spacing w:after="60"/>
      </w:pPr>
      <w:r>
        <w:t>US-Landwirtschaftsministerium (USDA) — Richtwerte für Lebensmittelkosten (</w:t>
      </w:r>
      <w:hyperlink r:id="rId297" w:history="1">
        <w:r>
          <w:rPr>
            <w:color w:val="0563C1"/>
            <w:u w:val="single"/>
          </w:rPr>
          <w:t>fna.usda.gov/research/cnpp/usda-food-plans</w:t>
        </w:r>
      </w:hyperlink>
      <w:r>
        <w:t>) und Schulmahlzeiten (</w:t>
      </w:r>
      <w:hyperlink r:id="rId298" w:history="1">
        <w:r>
          <w:rPr>
            <w:color w:val="0563C1"/>
            <w:u w:val="single"/>
          </w:rPr>
          <w:t>fna.usda.gov/nslp</w:t>
        </w:r>
      </w:hyperlink>
      <w:r>
        <w:t>)</w:t>
      </w:r>
    </w:p>
    <w:p w14:paraId="70A4E7AD" w14:textId="2E43E5DB" w:rsidR="00C1548D" w:rsidRDefault="009B1B4B" w:rsidP="009B1B4B">
      <w:pPr>
        <w:pStyle w:val="ListParagraph"/>
        <w:numPr>
          <w:ilvl w:val="0"/>
          <w:numId w:val="1"/>
        </w:numPr>
        <w:spacing w:after="60"/>
      </w:pPr>
      <w:r>
        <w:t>Statistikbehörde BLS — Durchschnittspreise für Lebensmittel (</w:t>
      </w:r>
      <w:hyperlink r:id="rId299" w:history="1">
        <w:r>
          <w:rPr>
            <w:color w:val="0563C1"/>
            <w:u w:val="single"/>
          </w:rPr>
          <w:t>bls.gov</w:t>
        </w:r>
      </w:hyperlink>
      <w:r>
        <w:t>, Suche: average retail food and energy prices)</w:t>
      </w:r>
    </w:p>
    <w:p w14:paraId="70A4E7AE" w14:textId="0C7B7483" w:rsidR="00C1548D" w:rsidRDefault="009B1B4B" w:rsidP="009B1B4B">
      <w:pPr>
        <w:pStyle w:val="ListParagraph"/>
        <w:numPr>
          <w:ilvl w:val="0"/>
          <w:numId w:val="1"/>
        </w:numPr>
        <w:spacing w:after="60"/>
      </w:pPr>
      <w:r>
        <w:t>USDA — Bio-Kennzeichnung (</w:t>
      </w:r>
      <w:hyperlink r:id="rId300" w:history="1">
        <w:r>
          <w:rPr>
            <w:color w:val="0563C1"/>
            <w:u w:val="single"/>
          </w:rPr>
          <w:t>usda.gov/topics/organic</w:t>
        </w:r>
      </w:hyperlink>
      <w:r>
        <w:t>)</w:t>
      </w:r>
    </w:p>
    <w:p w14:paraId="70A4E7AF" w14:textId="401551D0" w:rsidR="00C1548D" w:rsidRDefault="009B1B4B" w:rsidP="009B1B4B">
      <w:pPr>
        <w:pStyle w:val="ListParagraph"/>
        <w:numPr>
          <w:ilvl w:val="0"/>
          <w:numId w:val="1"/>
        </w:numPr>
        <w:spacing w:after="60"/>
      </w:pPr>
      <w:r>
        <w:t>Lebensmittelbehörde FDA — Farbstoffe und Zusatzstoffe (</w:t>
      </w:r>
      <w:hyperlink r:id="rId301" w:history="1">
        <w:r>
          <w:rPr>
            <w:color w:val="0563C1"/>
            <w:u w:val="single"/>
          </w:rPr>
          <w:t>fda.gov/food</w:t>
        </w:r>
      </w:hyperlink>
      <w:r>
        <w:t>, Suche: Red No. 3)</w:t>
      </w:r>
    </w:p>
    <w:p w14:paraId="70A4E7B0" w14:textId="0025224D" w:rsidR="00C1548D" w:rsidRDefault="009B1B4B" w:rsidP="009B1B4B">
      <w:pPr>
        <w:pStyle w:val="ListParagraph"/>
        <w:numPr>
          <w:ilvl w:val="0"/>
          <w:numId w:val="1"/>
        </w:numPr>
        <w:spacing w:after="60"/>
      </w:pPr>
      <w:r>
        <w:t>Umweltbehörde EPA — Trinkwasser, Blei und Wasserqualitätsbericht (</w:t>
      </w:r>
      <w:hyperlink r:id="rId302" w:history="1">
        <w:r>
          <w:rPr>
            <w:color w:val="0563C1"/>
            <w:u w:val="single"/>
          </w:rPr>
          <w:t>epa.gov/ground-water-and-drinking-water</w:t>
        </w:r>
      </w:hyperlink>
      <w:r>
        <w:t>)</w:t>
      </w:r>
    </w:p>
    <w:p w14:paraId="70A4E7B1" w14:textId="6F6A3D66" w:rsidR="00C1548D" w:rsidRDefault="009B1B4B" w:rsidP="009B1B4B">
      <w:pPr>
        <w:pStyle w:val="ListParagraph"/>
        <w:numPr>
          <w:ilvl w:val="0"/>
          <w:numId w:val="1"/>
        </w:numPr>
        <w:spacing w:after="60"/>
      </w:pPr>
      <w:r>
        <w:lastRenderedPageBreak/>
        <w:t>Alkoholpolitik-Datenbank des NIAAA — Gesetze der Bundesstaaten (</w:t>
      </w:r>
      <w:hyperlink r:id="rId303" w:history="1">
        <w:r>
          <w:rPr>
            <w:color w:val="0563C1"/>
            <w:u w:val="single"/>
          </w:rPr>
          <w:t>alcoholpolicy.niaaa.nih.gov</w:t>
        </w:r>
      </w:hyperlink>
      <w:r>
        <w:t>)</w:t>
      </w:r>
    </w:p>
    <w:p w14:paraId="70A4E7B2" w14:textId="124D2F3F" w:rsidR="00C1548D" w:rsidRDefault="009B1B4B" w:rsidP="009B1B4B">
      <w:pPr>
        <w:pStyle w:val="ListParagraph"/>
        <w:numPr>
          <w:ilvl w:val="0"/>
          <w:numId w:val="1"/>
        </w:numPr>
        <w:spacing w:after="60"/>
      </w:pPr>
      <w:r>
        <w:t>Grenzschutzbehörde CBP — Einfuhr von Lebensmitteln (</w:t>
      </w:r>
      <w:hyperlink r:id="rId304" w:history="1">
        <w:r>
          <w:rPr>
            <w:color w:val="0563C1"/>
            <w:u w:val="single"/>
          </w:rPr>
          <w:t>cbp.gov</w:t>
        </w:r>
      </w:hyperlink>
      <w:r>
        <w:t>, Suche: prohibited and restricted items)</w:t>
      </w:r>
    </w:p>
    <w:p w14:paraId="70A4E7B3"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7B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7B4" w14:textId="77777777" w:rsidR="00C1548D" w:rsidRDefault="009B1B4B">
            <w:pPr>
              <w:keepNext/>
              <w:spacing w:after="70" w:line="240" w:lineRule="auto"/>
            </w:pPr>
            <w:r>
              <w:rPr>
                <w:b/>
                <w:bCs/>
                <w:color w:val="6B7280"/>
                <w:spacing w:val="24"/>
                <w:sz w:val="16"/>
                <w:szCs w:val="16"/>
              </w:rPr>
              <w:t>STAND</w:t>
            </w:r>
          </w:p>
          <w:p w14:paraId="70A4E7B5" w14:textId="77777777" w:rsidR="00C1548D" w:rsidRDefault="009B1B4B">
            <w:pPr>
              <w:spacing w:after="80" w:line="264" w:lineRule="auto"/>
            </w:pPr>
            <w:r>
              <w:rPr>
                <w:sz w:val="20"/>
                <w:szCs w:val="20"/>
              </w:rPr>
              <w:t>September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tc>
      </w:tr>
    </w:tbl>
    <w:p w14:paraId="70A4E7B7" w14:textId="77777777" w:rsidR="00C1548D" w:rsidRDefault="00C1548D">
      <w:pPr>
        <w:spacing w:line="220" w:lineRule="exact"/>
      </w:pPr>
    </w:p>
    <w:p w14:paraId="70A4E7B8" w14:textId="77777777" w:rsidR="00C1548D" w:rsidRDefault="00C1548D">
      <w:pPr>
        <w:sectPr w:rsidR="00C1548D">
          <w:footerReference w:type="default" r:id="rId305"/>
          <w:pgSz w:w="8640" w:h="12960"/>
          <w:pgMar w:top="1080" w:right="1080" w:bottom="1100" w:left="1080" w:header="708" w:footer="708" w:gutter="0"/>
          <w:cols w:space="720"/>
          <w:docGrid w:linePitch="360"/>
        </w:sectPr>
      </w:pPr>
    </w:p>
    <w:p w14:paraId="70A4E7B9" w14:textId="77777777" w:rsidR="00C1548D" w:rsidRDefault="009B1B4B">
      <w:pPr>
        <w:pStyle w:val="Heading1"/>
        <w:jc w:val="center"/>
      </w:pPr>
      <w:bookmarkStart w:id="85" w:name="_Toc241352492"/>
      <w:r>
        <w:rPr>
          <w:rFonts w:ascii="Amazon Ember" w:eastAsia="Amazon Ember" w:hAnsi="Amazon Ember" w:cs="Amazon Ember"/>
          <w:color w:val="0000FF"/>
        </w:rPr>
        <w:lastRenderedPageBreak/>
        <w:t>TEIL IX — Kinder und Schule</w:t>
      </w:r>
      <w:bookmarkEnd w:id="85"/>
    </w:p>
    <w:p w14:paraId="70A4E7BA" w14:textId="77777777" w:rsidR="00C1548D" w:rsidRDefault="009B1B4B">
      <w:pPr>
        <w:spacing w:after="160" w:line="300" w:lineRule="auto"/>
        <w:ind w:left="400" w:right="400"/>
        <w:jc w:val="center"/>
      </w:pPr>
      <w:r>
        <w:rPr>
          <w:i/>
          <w:iCs/>
          <w:sz w:val="24"/>
          <w:szCs w:val="24"/>
        </w:rPr>
        <w:t>Schulsystem, Englisch als Zweitsprache, Babys, Teenager und College: was Eltern wissen müssen.</w:t>
      </w:r>
    </w:p>
    <w:p w14:paraId="70A4E7BB" w14:textId="77777777" w:rsidR="00C1548D" w:rsidRDefault="00C1548D">
      <w:pPr>
        <w:sectPr w:rsidR="00C1548D">
          <w:footerReference w:type="default" r:id="rId306"/>
          <w:pgSz w:w="8640" w:h="12960"/>
          <w:pgMar w:top="1080" w:right="1080" w:bottom="1100" w:left="1080" w:header="708" w:footer="708" w:gutter="0"/>
          <w:cols w:space="720"/>
          <w:vAlign w:val="center"/>
          <w:docGrid w:linePitch="360"/>
        </w:sectPr>
      </w:pPr>
    </w:p>
    <w:p w14:paraId="70A4E7BC" w14:textId="77777777" w:rsidR="00C1548D" w:rsidRDefault="009B1B4B">
      <w:pPr>
        <w:pStyle w:val="Heading2"/>
        <w:keepNext/>
        <w:pageBreakBefore/>
        <w:jc w:val="center"/>
      </w:pPr>
      <w:bookmarkStart w:id="86" w:name="k36"/>
      <w:bookmarkStart w:id="87" w:name="_Toc241352493"/>
      <w:r>
        <w:rPr>
          <w:rFonts w:ascii="Amazon Ember" w:eastAsia="Amazon Ember" w:hAnsi="Amazon Ember" w:cs="Amazon Ember"/>
          <w:color w:val="0000FF"/>
          <w:sz w:val="36"/>
          <w:szCs w:val="36"/>
        </w:rPr>
        <w:lastRenderedPageBreak/>
        <w:t>Kapitel 36: Das amerikanische Schulsystem verstehen</w:t>
      </w:r>
      <w:bookmarkEnd w:id="86"/>
      <w:bookmarkEnd w:id="87"/>
    </w:p>
    <w:p w14:paraId="70A4E7BD" w14:textId="77777777" w:rsidR="00C1548D" w:rsidRDefault="009B1B4B">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7C5"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7BE" w14:textId="77777777" w:rsidR="00C1548D" w:rsidRDefault="009B1B4B">
            <w:pPr>
              <w:keepNext/>
              <w:spacing w:after="70" w:line="240" w:lineRule="auto"/>
            </w:pPr>
            <w:r>
              <w:rPr>
                <w:b/>
                <w:bCs/>
                <w:color w:val="1F3A5F"/>
                <w:spacing w:val="24"/>
                <w:sz w:val="16"/>
                <w:szCs w:val="16"/>
              </w:rPr>
              <w:t>KURZ GESAGT</w:t>
            </w:r>
          </w:p>
          <w:p w14:paraId="70A4E7BF" w14:textId="77777777" w:rsidR="00C1548D" w:rsidRDefault="009B1B4B" w:rsidP="009B1B4B">
            <w:pPr>
              <w:pStyle w:val="ListParagraph"/>
              <w:numPr>
                <w:ilvl w:val="0"/>
                <w:numId w:val="1"/>
              </w:numPr>
              <w:spacing w:after="50" w:line="264" w:lineRule="auto"/>
            </w:pPr>
            <w:r>
              <w:rPr>
                <w:sz w:val="20"/>
                <w:szCs w:val="20"/>
              </w:rPr>
              <w:t>Bildung regeln die Bundesstaaten und ihre Schuldistrikte; ein einheitliches Schulsystem gibt es nicht.</w:t>
            </w:r>
          </w:p>
          <w:p w14:paraId="70A4E7C0" w14:textId="77777777" w:rsidR="00C1548D" w:rsidRDefault="009B1B4B" w:rsidP="009B1B4B">
            <w:pPr>
              <w:pStyle w:val="ListParagraph"/>
              <w:numPr>
                <w:ilvl w:val="0"/>
                <w:numId w:val="1"/>
              </w:numPr>
              <w:spacing w:after="50" w:line="264" w:lineRule="auto"/>
            </w:pPr>
            <w:r>
              <w:rPr>
                <w:sz w:val="20"/>
                <w:szCs w:val="20"/>
              </w:rPr>
              <w:t>Wohnort gleich Schule: Deine Adresse bestimmt die öffentliche Schule, die Grundsteuer vor Ort finanziert sie zu großen Teilen. Prüfe den Distrikt, bevor du mietest oder kaufst.</w:t>
            </w:r>
          </w:p>
          <w:p w14:paraId="70A4E7C1" w14:textId="77777777" w:rsidR="00C1548D" w:rsidRDefault="009B1B4B" w:rsidP="009B1B4B">
            <w:pPr>
              <w:pStyle w:val="ListParagraph"/>
              <w:numPr>
                <w:ilvl w:val="0"/>
                <w:numId w:val="1"/>
              </w:numPr>
              <w:spacing w:after="50" w:line="264" w:lineRule="auto"/>
            </w:pPr>
            <w:r>
              <w:rPr>
                <w:sz w:val="20"/>
                <w:szCs w:val="20"/>
              </w:rPr>
              <w:t>Der Weg führt vom Kindergarten (mit fünf Jahren) über Elementary, Middle und High School bis Grade 12. Die Tabelle unten ordnet deutsche Klassen ein.</w:t>
            </w:r>
          </w:p>
          <w:p w14:paraId="70A4E7C2" w14:textId="77777777" w:rsidR="00C1548D" w:rsidRDefault="009B1B4B" w:rsidP="009B1B4B">
            <w:pPr>
              <w:pStyle w:val="ListParagraph"/>
              <w:numPr>
                <w:ilvl w:val="0"/>
                <w:numId w:val="1"/>
              </w:numPr>
              <w:spacing w:after="50" w:line="264" w:lineRule="auto"/>
            </w:pPr>
            <w:r>
              <w:rPr>
                <w:sz w:val="20"/>
                <w:szCs w:val="20"/>
              </w:rPr>
              <w:t>Öffentliche Schulen sind kostenlos, die Anmeldung braucht keine SSN und keinen Statusnachweis, aber Wohnsitznachweis, Impfnachweis und Zeugnisse.</w:t>
            </w:r>
          </w:p>
          <w:p w14:paraId="70A4E7C3" w14:textId="77777777" w:rsidR="00C1548D" w:rsidRDefault="009B1B4B" w:rsidP="009B1B4B">
            <w:pPr>
              <w:pStyle w:val="ListParagraph"/>
              <w:numPr>
                <w:ilvl w:val="0"/>
                <w:numId w:val="1"/>
              </w:numPr>
              <w:spacing w:after="50" w:line="264" w:lineRule="auto"/>
            </w:pPr>
            <w:r>
              <w:rPr>
                <w:sz w:val="20"/>
                <w:szCs w:val="20"/>
              </w:rPr>
              <w:t>Bewertungsportale sind ein Startpunkt, kein Urteil; besuche die Schule.</w:t>
            </w:r>
          </w:p>
          <w:p w14:paraId="70A4E7C4" w14:textId="77777777" w:rsidR="00C1548D" w:rsidRDefault="009B1B4B" w:rsidP="009B1B4B">
            <w:pPr>
              <w:pStyle w:val="ListParagraph"/>
              <w:numPr>
                <w:ilvl w:val="0"/>
                <w:numId w:val="1"/>
              </w:numPr>
              <w:spacing w:after="50" w:line="264" w:lineRule="auto"/>
            </w:pPr>
            <w:r>
              <w:rPr>
                <w:sz w:val="20"/>
                <w:szCs w:val="20"/>
              </w:rPr>
              <w:t>Schwierig ist vor allem der Umzug in Grade 11 oder 12; das US-Diploma ist nicht automatisch das Abitur.</w:t>
            </w:r>
          </w:p>
        </w:tc>
      </w:tr>
    </w:tbl>
    <w:p w14:paraId="70A4E7C6" w14:textId="77777777" w:rsidR="00C1548D" w:rsidRDefault="00C1548D">
      <w:pPr>
        <w:spacing w:line="220" w:lineRule="exact"/>
      </w:pPr>
    </w:p>
    <w:p w14:paraId="70A4E7C7" w14:textId="77777777" w:rsidR="00C1548D" w:rsidRDefault="009B1B4B">
      <w:pPr>
        <w:pStyle w:val="Heading3"/>
        <w:keepNext/>
        <w:jc w:val="center"/>
      </w:pPr>
      <w:r>
        <w:rPr>
          <w:rFonts w:ascii="Amazon Ember" w:eastAsia="Amazon Ember" w:hAnsi="Amazon Ember" w:cs="Amazon Ember"/>
          <w:color w:val="0000FF"/>
          <w:sz w:val="36"/>
          <w:szCs w:val="36"/>
        </w:rPr>
        <w:t>Wohnort gleich Schule: Schuldistrikt und Grundsteuer</w:t>
      </w:r>
    </w:p>
    <w:p w14:paraId="70A4E7C8" w14:textId="77777777" w:rsidR="00C1548D" w:rsidRDefault="009B1B4B">
      <w:pPr>
        <w:spacing w:after="140"/>
      </w:pPr>
      <w:r>
        <w:t>Das Schulwesen ist Sache der Bundesstaaten, die vieles an örtliche Schuldistrikte (</w:t>
      </w:r>
      <w:r>
        <w:rPr>
          <w:i/>
          <w:iCs/>
        </w:rPr>
        <w:t>School Districts</w:t>
      </w:r>
      <w:r>
        <w:t xml:space="preserve">) weitergeben – mit eigener </w:t>
      </w:r>
      <w:r>
        <w:lastRenderedPageBreak/>
        <w:t>Verwaltung, meist einem gewählten Gremium (</w:t>
      </w:r>
      <w:r>
        <w:rPr>
          <w:i/>
          <w:iCs/>
        </w:rPr>
        <w:t>School Board</w:t>
      </w:r>
      <w:r>
        <w:t>), und eigenem Budget. Die Grenzen decken sich oft nicht mit Stadt oder Landkreis: Ein Distrikt kann mehrere Gemeinden umfassen, eine Stadt mehrere Distrikte.</w:t>
      </w:r>
    </w:p>
    <w:p w14:paraId="70A4E7C9" w14:textId="77777777" w:rsidR="00C1548D" w:rsidRDefault="009B1B4B">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w14:paraId="70A4E7CA" w14:textId="2723D873" w:rsidR="00C1548D" w:rsidRDefault="009B1B4B">
      <w:pPr>
        <w:spacing w:after="140"/>
      </w:pPr>
      <w:r>
        <w:t>Die lokale Steuerbasis prägt also Ausstattung, Gebäude und Gehälter: Wo Häuser viel wert sind, bringt derselbe Steuersatz mehr Geld für die Schule, weshalb Häuser in gefragten Distrikten oft mehr kosten (Kapitel </w:t>
      </w:r>
      <w:hyperlink w:anchor="k14" w:history="1">
        <w:r>
          <w:t>14</w:t>
        </w:r>
      </w:hyperlink>
      <w:r>
        <w:t>) – Mieter zahlen über die Miete indirekt mit.</w:t>
      </w:r>
    </w:p>
    <w:p w14:paraId="70A4E7CB" w14:textId="77777777" w:rsidR="00C1548D" w:rsidRDefault="009B1B4B">
      <w:pPr>
        <w:spacing w:after="140"/>
      </w:pPr>
      <w:r>
        <w:t>Die Zuweisung läuft über das Einzugsgebiet (</w:t>
      </w:r>
      <w:r>
        <w:rPr>
          <w:i/>
          <w:iCs/>
        </w:rPr>
        <w:t>Attendance Zone</w:t>
      </w:r>
      <w:r>
        <w:t>): Kinder besuchen die Schule ihrer Adresse, gegenüberliegende Straßenseiten können zu verschiedenen Schulen gehören. Viele Staaten erlauben in Grenzen auch einen anderen Distrikt (</w:t>
      </w:r>
      <w:r>
        <w:rPr>
          <w:i/>
          <w:iCs/>
        </w:rPr>
        <w:t>Open Enrollment</w:t>
      </w:r>
      <w:r>
        <w:t>) bei freien Plätzen; Fristen, Regeln und Fahrdienst legt jeder Staat und Distrikt selbst fest.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7C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7CC" w14:textId="77777777" w:rsidR="00C1548D" w:rsidRDefault="009B1B4B">
            <w:pPr>
              <w:keepNext/>
              <w:spacing w:after="70" w:line="240" w:lineRule="auto"/>
            </w:pPr>
            <w:r>
              <w:rPr>
                <w:b/>
                <w:bCs/>
                <w:color w:val="9B2C2C"/>
                <w:spacing w:val="24"/>
                <w:sz w:val="16"/>
                <w:szCs w:val="16"/>
              </w:rPr>
              <w:t>ACHTUNG</w:t>
            </w:r>
          </w:p>
          <w:p w14:paraId="70A4E7CD" w14:textId="43D5AEB4" w:rsidR="00C1548D" w:rsidRDefault="009B1B4B">
            <w:pPr>
              <w:spacing w:after="80" w:line="264" w:lineRule="auto"/>
            </w:pPr>
            <w:r>
              <w:rPr>
                <w:sz w:val="20"/>
                <w:szCs w:val="20"/>
              </w:rPr>
              <w:t>Unterschreibe keinen Mietvertrag (Kapitel </w:t>
            </w:r>
            <w:hyperlink w:anchor="k13" w:history="1">
              <w:r>
                <w:rPr>
                  <w:sz w:val="20"/>
                  <w:szCs w:val="20"/>
                </w:rPr>
                <w:t>13</w:t>
              </w:r>
            </w:hyperlink>
            <w:r>
              <w:rPr>
                <w:sz w:val="20"/>
                <w:szCs w:val="20"/>
              </w:rPr>
              <w:t>), bevor der Distrikt schriftlich bestätigt, welche Schule zur Adresse gehört. Portale wie Zillow zeigen die Zuordnung meist an, verbindlich ist nur die Auskunft des Distrikts. Einzugsgebiete ändern sich zudem; frage nach geplanten Neuzuschnitten.</w:t>
            </w:r>
          </w:p>
        </w:tc>
      </w:tr>
    </w:tbl>
    <w:p w14:paraId="70A4E7CF" w14:textId="77777777" w:rsidR="00C1548D" w:rsidRDefault="00C1548D">
      <w:pPr>
        <w:spacing w:line="220" w:lineRule="exact"/>
      </w:pPr>
    </w:p>
    <w:p w14:paraId="70A4E7D0" w14:textId="36E19C34" w:rsidR="00C1548D" w:rsidRDefault="009B1B4B">
      <w:pPr>
        <w:spacing w:after="140"/>
      </w:pPr>
      <w:r>
        <w:t>Welche Regionen zu deinem Beruf passen, steht in Kapitel </w:t>
      </w:r>
      <w:hyperlink w:anchor="k12" w:history="1">
        <w:r>
          <w:t>12</w:t>
        </w:r>
      </w:hyperlink>
      <w:r>
        <w:t>.</w:t>
      </w:r>
    </w:p>
    <w:p w14:paraId="70A4E7D1" w14:textId="77777777" w:rsidR="00C1548D" w:rsidRDefault="009B1B4B">
      <w:pPr>
        <w:pStyle w:val="Heading3"/>
        <w:keepNext/>
        <w:jc w:val="center"/>
      </w:pPr>
      <w:r>
        <w:rPr>
          <w:rFonts w:ascii="Amazon Ember" w:eastAsia="Amazon Ember" w:hAnsi="Amazon Ember" w:cs="Amazon Ember"/>
          <w:color w:val="0000FF"/>
          <w:sz w:val="36"/>
          <w:szCs w:val="36"/>
        </w:rPr>
        <w:lastRenderedPageBreak/>
        <w:t>Der Aufbau: von Pre-K bis Grade 12</w:t>
      </w:r>
    </w:p>
    <w:p w14:paraId="70A4E7D2" w14:textId="77777777" w:rsidR="00C1548D" w:rsidRDefault="009B1B4B">
      <w:pPr>
        <w:spacing w:after="140"/>
      </w:pPr>
      <w:r>
        <w:t>Die Bezeichnungen sind einheitlich, der Zuschnitt nicht: Meist folgen auf die freiwillige Vorschule (</w:t>
      </w:r>
      <w:r>
        <w:rPr>
          <w:i/>
          <w:iCs/>
        </w:rPr>
        <w:t>Pre-K</w:t>
      </w:r>
      <w:r>
        <w:t xml:space="preserve">, drei bis vier Jahre) der Kindergarten mit fünf, die </w:t>
      </w:r>
      <w:r>
        <w:rPr>
          <w:i/>
          <w:iCs/>
        </w:rPr>
        <w:t>Elementary School</w:t>
      </w:r>
      <w:r>
        <w:t xml:space="preserve"> (Grade 1–5), die </w:t>
      </w:r>
      <w:r>
        <w:rPr>
          <w:i/>
          <w:iCs/>
        </w:rPr>
        <w:t>Middle School</w:t>
      </w:r>
      <w:r>
        <w:t xml:space="preserve"> (Grade 6–8) und die </w:t>
      </w:r>
      <w:r>
        <w:rPr>
          <w:i/>
          <w:iCs/>
        </w:rPr>
        <w:t>High School</w:t>
      </w:r>
      <w:r>
        <w:t xml:space="preserve"> (Grade 9–12). Manche Distrikte schneiden anders zu (etwa K–8 oder 6–12); die vier High-School-Jahre heißen </w:t>
      </w:r>
      <w:r>
        <w:rPr>
          <w:i/>
          <w:iCs/>
        </w:rPr>
        <w:t>Freshman</w:t>
      </w:r>
      <w:r>
        <w:t xml:space="preserve">, </w:t>
      </w:r>
      <w:r>
        <w:rPr>
          <w:i/>
          <w:iCs/>
        </w:rPr>
        <w:t>Sophomore</w:t>
      </w:r>
      <w:r>
        <w:t xml:space="preserve">, </w:t>
      </w:r>
      <w:r>
        <w:rPr>
          <w:i/>
          <w:iCs/>
        </w:rPr>
        <w:t>Junior</w:t>
      </w:r>
      <w:r>
        <w:t xml:space="preserve"> und </w:t>
      </w:r>
      <w:r>
        <w:rPr>
          <w:i/>
          <w:iCs/>
        </w:rPr>
        <w:t>Senior</w:t>
      </w:r>
      <w:r>
        <w:t>.</w:t>
      </w:r>
    </w:p>
    <w:p w14:paraId="70A4E7D3" w14:textId="0B953B86" w:rsidR="00C1548D" w:rsidRDefault="009B1B4B">
      <w:pPr>
        <w:spacing w:after="140"/>
      </w:pPr>
      <w: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history="1">
        <w:r>
          <w:t>38</w:t>
        </w:r>
      </w:hyperlink>
      <w:r>
        <w:t>).</w:t>
      </w:r>
    </w:p>
    <w:p w14:paraId="70A4E7D4" w14:textId="77777777" w:rsidR="00C1548D" w:rsidRDefault="009B1B4B">
      <w:pPr>
        <w:spacing w:after="140"/>
      </w:pPr>
      <w:r>
        <w:t>Die Tabelle ist eine Näherung, keine amtliche Norm; der Distrikt entscheidet über die Einstufung.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6"/>
        <w:gridCol w:w="1646"/>
        <w:gridCol w:w="1254"/>
        <w:gridCol w:w="2154"/>
      </w:tblGrid>
      <w:tr w:rsidR="00C1548D" w14:paraId="70A4E7D9" w14:textId="77777777">
        <w:tblPrEx>
          <w:tblCellMar>
            <w:top w:w="0" w:type="dxa"/>
            <w:bottom w:w="0" w:type="dxa"/>
          </w:tblCellMar>
        </w:tblPrEx>
        <w:trPr>
          <w:cantSplit/>
          <w:tblHeader/>
        </w:trPr>
        <w:tc>
          <w:tcPr>
            <w:tcW w:w="142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D5" w14:textId="77777777" w:rsidR="00C1548D" w:rsidRDefault="009B1B4B">
            <w:pPr>
              <w:spacing w:line="250" w:lineRule="auto"/>
            </w:pPr>
            <w:r>
              <w:rPr>
                <w:b/>
                <w:bCs/>
                <w:sz w:val="18"/>
                <w:szCs w:val="18"/>
              </w:rPr>
              <w:t>Lebensalter zu Schuljahresbeginn</w:t>
            </w:r>
          </w:p>
        </w:tc>
        <w:tc>
          <w:tcPr>
            <w:tcW w:w="164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D6" w14:textId="77777777" w:rsidR="00C1548D" w:rsidRDefault="009B1B4B">
            <w:pPr>
              <w:spacing w:line="250" w:lineRule="auto"/>
            </w:pPr>
            <w:r>
              <w:rPr>
                <w:b/>
                <w:bCs/>
                <w:sz w:val="18"/>
                <w:szCs w:val="18"/>
              </w:rPr>
              <w:t>US-Stufe (</w:t>
            </w:r>
            <w:r>
              <w:rPr>
                <w:b/>
                <w:bCs/>
                <w:i/>
                <w:iCs/>
                <w:sz w:val="18"/>
                <w:szCs w:val="18"/>
              </w:rPr>
              <w:t>Grade</w:t>
            </w:r>
            <w:r>
              <w:rPr>
                <w:b/>
                <w:bCs/>
                <w:sz w:val="18"/>
                <w:szCs w:val="18"/>
              </w:rPr>
              <w:t>)</w:t>
            </w:r>
          </w:p>
        </w:tc>
        <w:tc>
          <w:tcPr>
            <w:tcW w:w="125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D7" w14:textId="77777777" w:rsidR="00C1548D" w:rsidRDefault="009B1B4B">
            <w:pPr>
              <w:spacing w:line="250" w:lineRule="auto"/>
            </w:pPr>
            <w:r>
              <w:rPr>
                <w:b/>
                <w:bCs/>
                <w:sz w:val="18"/>
                <w:szCs w:val="18"/>
              </w:rPr>
              <w:t>US-Schulform</w:t>
            </w:r>
          </w:p>
        </w:tc>
        <w:tc>
          <w:tcPr>
            <w:tcW w:w="215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7D8" w14:textId="77777777" w:rsidR="00C1548D" w:rsidRDefault="009B1B4B">
            <w:pPr>
              <w:spacing w:line="250" w:lineRule="auto"/>
            </w:pPr>
            <w:r>
              <w:rPr>
                <w:b/>
                <w:bCs/>
                <w:sz w:val="18"/>
                <w:szCs w:val="18"/>
              </w:rPr>
              <w:t>Deutsche Klasse</w:t>
            </w:r>
          </w:p>
        </w:tc>
      </w:tr>
      <w:tr w:rsidR="00C1548D" w14:paraId="70A4E7DE" w14:textId="77777777">
        <w:tblPrEx>
          <w:tblCellMar>
            <w:top w:w="0" w:type="dxa"/>
            <w:bottom w:w="0" w:type="dxa"/>
          </w:tblCellMar>
        </w:tblPrEx>
        <w:trPr>
          <w:cantSplit/>
        </w:trPr>
        <w:tc>
          <w:tcPr>
            <w:tcW w:w="14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DA" w14:textId="77777777" w:rsidR="00C1548D" w:rsidRDefault="009B1B4B">
            <w:pPr>
              <w:spacing w:line="250" w:lineRule="auto"/>
            </w:pPr>
            <w:r>
              <w:rPr>
                <w:sz w:val="18"/>
                <w:szCs w:val="18"/>
              </w:rPr>
              <w:t>4</w:t>
            </w:r>
          </w:p>
        </w:tc>
        <w:tc>
          <w:tcPr>
            <w:tcW w:w="1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DB" w14:textId="77777777" w:rsidR="00C1548D" w:rsidRDefault="009B1B4B">
            <w:pPr>
              <w:spacing w:line="250" w:lineRule="auto"/>
            </w:pPr>
            <w:r>
              <w:rPr>
                <w:sz w:val="18"/>
                <w:szCs w:val="18"/>
              </w:rPr>
              <w:t>Pre-K</w:t>
            </w:r>
          </w:p>
        </w:tc>
        <w:tc>
          <w:tcPr>
            <w:tcW w:w="1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DC" w14:textId="77777777" w:rsidR="00C1548D" w:rsidRDefault="009B1B4B">
            <w:pPr>
              <w:spacing w:line="250" w:lineRule="auto"/>
            </w:pPr>
            <w:r>
              <w:rPr>
                <w:sz w:val="18"/>
                <w:szCs w:val="18"/>
              </w:rPr>
              <w:t>Vorschule</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DD" w14:textId="77777777" w:rsidR="00C1548D" w:rsidRDefault="009B1B4B">
            <w:pPr>
              <w:spacing w:line="250" w:lineRule="auto"/>
            </w:pPr>
            <w:r>
              <w:rPr>
                <w:sz w:val="18"/>
                <w:szCs w:val="18"/>
              </w:rPr>
              <w:t>Kita, Vorschulgruppe</w:t>
            </w:r>
          </w:p>
        </w:tc>
      </w:tr>
      <w:tr w:rsidR="00C1548D" w14:paraId="70A4E7E3" w14:textId="77777777">
        <w:tblPrEx>
          <w:tblCellMar>
            <w:top w:w="0" w:type="dxa"/>
            <w:bottom w:w="0" w:type="dxa"/>
          </w:tblCellMar>
        </w:tblPrEx>
        <w:trPr>
          <w:cantSplit/>
        </w:trPr>
        <w:tc>
          <w:tcPr>
            <w:tcW w:w="14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DF" w14:textId="77777777" w:rsidR="00C1548D" w:rsidRDefault="009B1B4B">
            <w:pPr>
              <w:spacing w:line="250" w:lineRule="auto"/>
            </w:pPr>
            <w:r>
              <w:rPr>
                <w:sz w:val="18"/>
                <w:szCs w:val="18"/>
              </w:rPr>
              <w:t>5</w:t>
            </w:r>
          </w:p>
        </w:tc>
        <w:tc>
          <w:tcPr>
            <w:tcW w:w="1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0" w14:textId="77777777" w:rsidR="00C1548D" w:rsidRDefault="009B1B4B">
            <w:pPr>
              <w:spacing w:line="250" w:lineRule="auto"/>
            </w:pPr>
            <w:r>
              <w:rPr>
                <w:sz w:val="18"/>
                <w:szCs w:val="18"/>
              </w:rPr>
              <w:t>Kindergarten (K)</w:t>
            </w:r>
          </w:p>
        </w:tc>
        <w:tc>
          <w:tcPr>
            <w:tcW w:w="1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1" w14:textId="77777777" w:rsidR="00C1548D" w:rsidRDefault="009B1B4B">
            <w:pPr>
              <w:spacing w:line="250" w:lineRule="auto"/>
            </w:pPr>
            <w:r>
              <w:rPr>
                <w:sz w:val="18"/>
                <w:szCs w:val="18"/>
              </w:rPr>
              <w:t>Elementary</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2" w14:textId="77777777" w:rsidR="00C1548D" w:rsidRDefault="009B1B4B">
            <w:pPr>
              <w:spacing w:line="250" w:lineRule="auto"/>
            </w:pPr>
            <w:r>
              <w:rPr>
                <w:sz w:val="18"/>
                <w:szCs w:val="18"/>
              </w:rPr>
              <w:t>letztes Kita-Jahr, Vorklasse</w:t>
            </w:r>
          </w:p>
        </w:tc>
      </w:tr>
      <w:tr w:rsidR="00C1548D" w14:paraId="70A4E7E8" w14:textId="77777777">
        <w:tblPrEx>
          <w:tblCellMar>
            <w:top w:w="0" w:type="dxa"/>
            <w:bottom w:w="0" w:type="dxa"/>
          </w:tblCellMar>
        </w:tblPrEx>
        <w:trPr>
          <w:cantSplit/>
        </w:trPr>
        <w:tc>
          <w:tcPr>
            <w:tcW w:w="14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4" w14:textId="77777777" w:rsidR="00C1548D" w:rsidRDefault="009B1B4B">
            <w:pPr>
              <w:spacing w:line="250" w:lineRule="auto"/>
            </w:pPr>
            <w:r>
              <w:rPr>
                <w:sz w:val="18"/>
                <w:szCs w:val="18"/>
              </w:rPr>
              <w:t>6</w:t>
            </w:r>
          </w:p>
        </w:tc>
        <w:tc>
          <w:tcPr>
            <w:tcW w:w="1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5" w14:textId="77777777" w:rsidR="00C1548D" w:rsidRDefault="009B1B4B">
            <w:pPr>
              <w:spacing w:line="250" w:lineRule="auto"/>
            </w:pPr>
            <w:r>
              <w:rPr>
                <w:sz w:val="18"/>
                <w:szCs w:val="18"/>
              </w:rPr>
              <w:t>Grade 1</w:t>
            </w:r>
          </w:p>
        </w:tc>
        <w:tc>
          <w:tcPr>
            <w:tcW w:w="1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6" w14:textId="77777777" w:rsidR="00C1548D" w:rsidRDefault="009B1B4B">
            <w:pPr>
              <w:spacing w:line="250" w:lineRule="auto"/>
            </w:pPr>
            <w:r>
              <w:rPr>
                <w:sz w:val="18"/>
                <w:szCs w:val="18"/>
              </w:rPr>
              <w:t>Elementary</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7" w14:textId="77777777" w:rsidR="00C1548D" w:rsidRDefault="009B1B4B">
            <w:pPr>
              <w:spacing w:line="250" w:lineRule="auto"/>
            </w:pPr>
            <w:r>
              <w:rPr>
                <w:sz w:val="18"/>
                <w:szCs w:val="18"/>
              </w:rPr>
              <w:t>Klasse 1</w:t>
            </w:r>
          </w:p>
        </w:tc>
      </w:tr>
      <w:tr w:rsidR="00C1548D" w14:paraId="70A4E7ED" w14:textId="77777777">
        <w:tblPrEx>
          <w:tblCellMar>
            <w:top w:w="0" w:type="dxa"/>
            <w:bottom w:w="0" w:type="dxa"/>
          </w:tblCellMar>
        </w:tblPrEx>
        <w:trPr>
          <w:cantSplit/>
        </w:trPr>
        <w:tc>
          <w:tcPr>
            <w:tcW w:w="14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9" w14:textId="77777777" w:rsidR="00C1548D" w:rsidRDefault="009B1B4B">
            <w:pPr>
              <w:spacing w:line="250" w:lineRule="auto"/>
            </w:pPr>
            <w:r>
              <w:rPr>
                <w:sz w:val="18"/>
                <w:szCs w:val="18"/>
              </w:rPr>
              <w:t>7–9</w:t>
            </w:r>
          </w:p>
        </w:tc>
        <w:tc>
          <w:tcPr>
            <w:tcW w:w="1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A" w14:textId="77777777" w:rsidR="00C1548D" w:rsidRDefault="009B1B4B">
            <w:pPr>
              <w:spacing w:line="250" w:lineRule="auto"/>
            </w:pPr>
            <w:r>
              <w:rPr>
                <w:sz w:val="18"/>
                <w:szCs w:val="18"/>
              </w:rPr>
              <w:t>Grade 2–4</w:t>
            </w:r>
          </w:p>
        </w:tc>
        <w:tc>
          <w:tcPr>
            <w:tcW w:w="1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B" w14:textId="77777777" w:rsidR="00C1548D" w:rsidRDefault="009B1B4B">
            <w:pPr>
              <w:spacing w:line="250" w:lineRule="auto"/>
            </w:pPr>
            <w:r>
              <w:rPr>
                <w:sz w:val="18"/>
                <w:szCs w:val="18"/>
              </w:rPr>
              <w:t>Elementary</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C" w14:textId="77777777" w:rsidR="00C1548D" w:rsidRDefault="009B1B4B">
            <w:pPr>
              <w:spacing w:line="250" w:lineRule="auto"/>
            </w:pPr>
            <w:r>
              <w:rPr>
                <w:sz w:val="18"/>
                <w:szCs w:val="18"/>
              </w:rPr>
              <w:t>Klasse 2–4</w:t>
            </w:r>
          </w:p>
        </w:tc>
      </w:tr>
      <w:tr w:rsidR="00C1548D" w14:paraId="70A4E7F2" w14:textId="77777777">
        <w:tblPrEx>
          <w:tblCellMar>
            <w:top w:w="0" w:type="dxa"/>
            <w:bottom w:w="0" w:type="dxa"/>
          </w:tblCellMar>
        </w:tblPrEx>
        <w:trPr>
          <w:cantSplit/>
        </w:trPr>
        <w:tc>
          <w:tcPr>
            <w:tcW w:w="14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E" w14:textId="77777777" w:rsidR="00C1548D" w:rsidRDefault="009B1B4B">
            <w:pPr>
              <w:spacing w:line="250" w:lineRule="auto"/>
            </w:pPr>
            <w:r>
              <w:rPr>
                <w:sz w:val="18"/>
                <w:szCs w:val="18"/>
              </w:rPr>
              <w:t>10</w:t>
            </w:r>
          </w:p>
        </w:tc>
        <w:tc>
          <w:tcPr>
            <w:tcW w:w="1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EF" w14:textId="77777777" w:rsidR="00C1548D" w:rsidRDefault="009B1B4B">
            <w:pPr>
              <w:spacing w:line="250" w:lineRule="auto"/>
            </w:pPr>
            <w:r>
              <w:rPr>
                <w:sz w:val="18"/>
                <w:szCs w:val="18"/>
              </w:rPr>
              <w:t>Grade 5</w:t>
            </w:r>
          </w:p>
        </w:tc>
        <w:tc>
          <w:tcPr>
            <w:tcW w:w="1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0" w14:textId="77777777" w:rsidR="00C1548D" w:rsidRDefault="009B1B4B">
            <w:pPr>
              <w:spacing w:line="250" w:lineRule="auto"/>
            </w:pPr>
            <w:r>
              <w:rPr>
                <w:sz w:val="18"/>
                <w:szCs w:val="18"/>
              </w:rPr>
              <w:t>Elementary</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1" w14:textId="77777777" w:rsidR="00C1548D" w:rsidRDefault="009B1B4B">
            <w:pPr>
              <w:spacing w:line="250" w:lineRule="auto"/>
            </w:pPr>
            <w:r>
              <w:rPr>
                <w:sz w:val="18"/>
                <w:szCs w:val="18"/>
              </w:rPr>
              <w:t>Klasse 5</w:t>
            </w:r>
          </w:p>
        </w:tc>
      </w:tr>
      <w:tr w:rsidR="00C1548D" w14:paraId="70A4E7F7" w14:textId="77777777">
        <w:tblPrEx>
          <w:tblCellMar>
            <w:top w:w="0" w:type="dxa"/>
            <w:bottom w:w="0" w:type="dxa"/>
          </w:tblCellMar>
        </w:tblPrEx>
        <w:trPr>
          <w:cantSplit/>
        </w:trPr>
        <w:tc>
          <w:tcPr>
            <w:tcW w:w="14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3" w14:textId="77777777" w:rsidR="00C1548D" w:rsidRDefault="009B1B4B">
            <w:pPr>
              <w:spacing w:line="250" w:lineRule="auto"/>
            </w:pPr>
            <w:r>
              <w:rPr>
                <w:sz w:val="18"/>
                <w:szCs w:val="18"/>
              </w:rPr>
              <w:t>11–13</w:t>
            </w:r>
          </w:p>
        </w:tc>
        <w:tc>
          <w:tcPr>
            <w:tcW w:w="1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4" w14:textId="77777777" w:rsidR="00C1548D" w:rsidRDefault="009B1B4B">
            <w:pPr>
              <w:spacing w:line="250" w:lineRule="auto"/>
            </w:pPr>
            <w:r>
              <w:rPr>
                <w:sz w:val="18"/>
                <w:szCs w:val="18"/>
              </w:rPr>
              <w:t>Grade 6–8</w:t>
            </w:r>
          </w:p>
        </w:tc>
        <w:tc>
          <w:tcPr>
            <w:tcW w:w="1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5" w14:textId="77777777" w:rsidR="00C1548D" w:rsidRDefault="009B1B4B">
            <w:pPr>
              <w:spacing w:line="250" w:lineRule="auto"/>
            </w:pPr>
            <w:r>
              <w:rPr>
                <w:sz w:val="18"/>
                <w:szCs w:val="18"/>
              </w:rPr>
              <w:t>Middle School</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6" w14:textId="77777777" w:rsidR="00C1548D" w:rsidRDefault="009B1B4B">
            <w:pPr>
              <w:spacing w:line="250" w:lineRule="auto"/>
            </w:pPr>
            <w:r>
              <w:rPr>
                <w:sz w:val="18"/>
                <w:szCs w:val="18"/>
              </w:rPr>
              <w:t>Klasse 6–8</w:t>
            </w:r>
          </w:p>
        </w:tc>
      </w:tr>
      <w:tr w:rsidR="00C1548D" w14:paraId="70A4E7FC" w14:textId="77777777">
        <w:tblPrEx>
          <w:tblCellMar>
            <w:top w:w="0" w:type="dxa"/>
            <w:bottom w:w="0" w:type="dxa"/>
          </w:tblCellMar>
        </w:tblPrEx>
        <w:trPr>
          <w:cantSplit/>
        </w:trPr>
        <w:tc>
          <w:tcPr>
            <w:tcW w:w="14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8" w14:textId="77777777" w:rsidR="00C1548D" w:rsidRDefault="009B1B4B">
            <w:pPr>
              <w:spacing w:line="250" w:lineRule="auto"/>
            </w:pPr>
            <w:r>
              <w:rPr>
                <w:sz w:val="18"/>
                <w:szCs w:val="18"/>
              </w:rPr>
              <w:t>14</w:t>
            </w:r>
          </w:p>
        </w:tc>
        <w:tc>
          <w:tcPr>
            <w:tcW w:w="1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9" w14:textId="77777777" w:rsidR="00C1548D" w:rsidRDefault="009B1B4B">
            <w:pPr>
              <w:spacing w:line="250" w:lineRule="auto"/>
            </w:pPr>
            <w:r>
              <w:rPr>
                <w:sz w:val="18"/>
                <w:szCs w:val="18"/>
              </w:rPr>
              <w:t>Grade 9 (Freshman)</w:t>
            </w:r>
          </w:p>
        </w:tc>
        <w:tc>
          <w:tcPr>
            <w:tcW w:w="1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A" w14:textId="77777777" w:rsidR="00C1548D" w:rsidRDefault="009B1B4B">
            <w:pPr>
              <w:spacing w:line="250" w:lineRule="auto"/>
            </w:pPr>
            <w:r>
              <w:rPr>
                <w:sz w:val="18"/>
                <w:szCs w:val="18"/>
              </w:rPr>
              <w:t>High School</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B" w14:textId="77777777" w:rsidR="00C1548D" w:rsidRDefault="009B1B4B">
            <w:pPr>
              <w:spacing w:line="250" w:lineRule="auto"/>
            </w:pPr>
            <w:r>
              <w:rPr>
                <w:sz w:val="18"/>
                <w:szCs w:val="18"/>
              </w:rPr>
              <w:t>Klasse 9</w:t>
            </w:r>
          </w:p>
        </w:tc>
      </w:tr>
      <w:tr w:rsidR="00C1548D" w14:paraId="70A4E801" w14:textId="77777777">
        <w:tblPrEx>
          <w:tblCellMar>
            <w:top w:w="0" w:type="dxa"/>
            <w:bottom w:w="0" w:type="dxa"/>
          </w:tblCellMar>
        </w:tblPrEx>
        <w:trPr>
          <w:cantSplit/>
        </w:trPr>
        <w:tc>
          <w:tcPr>
            <w:tcW w:w="14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D" w14:textId="77777777" w:rsidR="00C1548D" w:rsidRDefault="009B1B4B">
            <w:pPr>
              <w:spacing w:line="250" w:lineRule="auto"/>
            </w:pPr>
            <w:r>
              <w:rPr>
                <w:sz w:val="18"/>
                <w:szCs w:val="18"/>
              </w:rPr>
              <w:t>15</w:t>
            </w:r>
          </w:p>
        </w:tc>
        <w:tc>
          <w:tcPr>
            <w:tcW w:w="1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E" w14:textId="77777777" w:rsidR="00C1548D" w:rsidRDefault="009B1B4B">
            <w:pPr>
              <w:spacing w:line="250" w:lineRule="auto"/>
            </w:pPr>
            <w:r>
              <w:rPr>
                <w:sz w:val="18"/>
                <w:szCs w:val="18"/>
              </w:rPr>
              <w:t>Grade 10 (Sophomore)</w:t>
            </w:r>
          </w:p>
        </w:tc>
        <w:tc>
          <w:tcPr>
            <w:tcW w:w="1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7FF" w14:textId="77777777" w:rsidR="00C1548D" w:rsidRDefault="009B1B4B">
            <w:pPr>
              <w:spacing w:line="250" w:lineRule="auto"/>
            </w:pPr>
            <w:r>
              <w:rPr>
                <w:sz w:val="18"/>
                <w:szCs w:val="18"/>
              </w:rPr>
              <w:t>High School</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00" w14:textId="77777777" w:rsidR="00C1548D" w:rsidRDefault="009B1B4B">
            <w:pPr>
              <w:spacing w:line="250" w:lineRule="auto"/>
            </w:pPr>
            <w:r>
              <w:rPr>
                <w:sz w:val="18"/>
                <w:szCs w:val="18"/>
              </w:rPr>
              <w:t>Klasse 10</w:t>
            </w:r>
          </w:p>
        </w:tc>
      </w:tr>
      <w:tr w:rsidR="00C1548D" w14:paraId="70A4E806" w14:textId="77777777">
        <w:tblPrEx>
          <w:tblCellMar>
            <w:top w:w="0" w:type="dxa"/>
            <w:bottom w:w="0" w:type="dxa"/>
          </w:tblCellMar>
        </w:tblPrEx>
        <w:trPr>
          <w:cantSplit/>
        </w:trPr>
        <w:tc>
          <w:tcPr>
            <w:tcW w:w="14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02" w14:textId="77777777" w:rsidR="00C1548D" w:rsidRDefault="009B1B4B">
            <w:pPr>
              <w:spacing w:line="250" w:lineRule="auto"/>
            </w:pPr>
            <w:r>
              <w:rPr>
                <w:sz w:val="18"/>
                <w:szCs w:val="18"/>
              </w:rPr>
              <w:t>16</w:t>
            </w:r>
          </w:p>
        </w:tc>
        <w:tc>
          <w:tcPr>
            <w:tcW w:w="1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03" w14:textId="77777777" w:rsidR="00C1548D" w:rsidRDefault="009B1B4B">
            <w:pPr>
              <w:spacing w:line="250" w:lineRule="auto"/>
            </w:pPr>
            <w:r>
              <w:rPr>
                <w:sz w:val="18"/>
                <w:szCs w:val="18"/>
              </w:rPr>
              <w:t>Grade 11 (Junior)</w:t>
            </w:r>
          </w:p>
        </w:tc>
        <w:tc>
          <w:tcPr>
            <w:tcW w:w="1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04" w14:textId="77777777" w:rsidR="00C1548D" w:rsidRDefault="009B1B4B">
            <w:pPr>
              <w:spacing w:line="250" w:lineRule="auto"/>
            </w:pPr>
            <w:r>
              <w:rPr>
                <w:sz w:val="18"/>
                <w:szCs w:val="18"/>
              </w:rPr>
              <w:t>High School</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05" w14:textId="77777777" w:rsidR="00C1548D" w:rsidRDefault="009B1B4B">
            <w:pPr>
              <w:spacing w:line="250" w:lineRule="auto"/>
            </w:pPr>
            <w:r>
              <w:rPr>
                <w:sz w:val="18"/>
                <w:szCs w:val="18"/>
              </w:rPr>
              <w:t>Klasse 11</w:t>
            </w:r>
          </w:p>
        </w:tc>
      </w:tr>
      <w:tr w:rsidR="00C1548D" w14:paraId="70A4E80B" w14:textId="77777777">
        <w:tblPrEx>
          <w:tblCellMar>
            <w:top w:w="0" w:type="dxa"/>
            <w:bottom w:w="0" w:type="dxa"/>
          </w:tblCellMar>
        </w:tblPrEx>
        <w:trPr>
          <w:cantSplit/>
        </w:trPr>
        <w:tc>
          <w:tcPr>
            <w:tcW w:w="14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07" w14:textId="77777777" w:rsidR="00C1548D" w:rsidRDefault="009B1B4B">
            <w:pPr>
              <w:spacing w:line="250" w:lineRule="auto"/>
            </w:pPr>
            <w:r>
              <w:rPr>
                <w:sz w:val="18"/>
                <w:szCs w:val="18"/>
              </w:rPr>
              <w:t>17</w:t>
            </w:r>
          </w:p>
        </w:tc>
        <w:tc>
          <w:tcPr>
            <w:tcW w:w="1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08" w14:textId="77777777" w:rsidR="00C1548D" w:rsidRDefault="009B1B4B">
            <w:pPr>
              <w:spacing w:line="250" w:lineRule="auto"/>
            </w:pPr>
            <w:r>
              <w:rPr>
                <w:sz w:val="18"/>
                <w:szCs w:val="18"/>
              </w:rPr>
              <w:t>Grade 12 (Senior)</w:t>
            </w:r>
          </w:p>
        </w:tc>
        <w:tc>
          <w:tcPr>
            <w:tcW w:w="1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09" w14:textId="77777777" w:rsidR="00C1548D" w:rsidRDefault="009B1B4B">
            <w:pPr>
              <w:spacing w:line="250" w:lineRule="auto"/>
            </w:pPr>
            <w:r>
              <w:rPr>
                <w:sz w:val="18"/>
                <w:szCs w:val="18"/>
              </w:rPr>
              <w:t>High School</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0A" w14:textId="77777777" w:rsidR="00C1548D" w:rsidRDefault="009B1B4B">
            <w:pPr>
              <w:spacing w:line="250" w:lineRule="auto"/>
            </w:pPr>
            <w:r>
              <w:rPr>
                <w:sz w:val="18"/>
                <w:szCs w:val="18"/>
              </w:rPr>
              <w:t>Klasse 12, bei G9 Vorstufe zu 13</w:t>
            </w:r>
          </w:p>
        </w:tc>
      </w:tr>
    </w:tbl>
    <w:p w14:paraId="70A4E80C" w14:textId="77777777" w:rsidR="00C1548D" w:rsidRDefault="00C1548D">
      <w:pPr>
        <w:spacing w:line="180" w:lineRule="exact"/>
      </w:pPr>
    </w:p>
    <w:p w14:paraId="70A4E80D" w14:textId="77777777" w:rsidR="00C1548D" w:rsidRDefault="009B1B4B">
      <w:pPr>
        <w:spacing w:after="140"/>
      </w:pPr>
      <w:r>
        <w:t xml:space="preserve">Klasse 13 hat kein amerikanisches Gegenstück: Grade 12 endet mit dem </w:t>
      </w:r>
      <w:r>
        <w:rPr>
          <w:i/>
          <w:iCs/>
        </w:rPr>
        <w:t>High School Diploma</w:t>
      </w:r>
      <w:r>
        <w:t>.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w14:paraId="70A4E80E" w14:textId="77777777" w:rsidR="00C1548D" w:rsidRDefault="009B1B4B">
      <w:pPr>
        <w:pStyle w:val="Heading3"/>
        <w:keepNext/>
        <w:jc w:val="center"/>
      </w:pPr>
      <w:r>
        <w:rPr>
          <w:rFonts w:ascii="Amazon Ember" w:eastAsia="Amazon Ember" w:hAnsi="Amazon Ember" w:cs="Amazon Ember"/>
          <w:color w:val="0000FF"/>
          <w:sz w:val="36"/>
          <w:szCs w:val="36"/>
        </w:rPr>
        <w:t>Schuljahr, Tagesablauf und Ferien</w:t>
      </w:r>
    </w:p>
    <w:p w14:paraId="70A4E80F" w14:textId="77777777" w:rsidR="00C1548D" w:rsidRDefault="009B1B4B">
      <w:pPr>
        <w:spacing w:after="140"/>
      </w:pPr>
      <w: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t>
      </w:r>
      <w:r>
        <w:rPr>
          <w:i/>
          <w:iCs/>
        </w:rPr>
        <w:t>Winter Break</w:t>
      </w:r>
      <w:r>
        <w:t>), eine Woche im Frühjahr (</w:t>
      </w:r>
      <w:r>
        <w:rPr>
          <w:i/>
          <w:iCs/>
        </w:rPr>
        <w:t>Spring Break</w:t>
      </w:r>
      <w:r>
        <w:t>) und einzelne Fortbildungstage der Lehrkräfte.</w:t>
      </w:r>
    </w:p>
    <w:p w14:paraId="70A4E810" w14:textId="2073A807" w:rsidR="00C1548D" w:rsidRDefault="009B1B4B">
      <w:pPr>
        <w:spacing w:after="140"/>
      </w:pPr>
      <w:r>
        <w:t>Die Sommerferien dauern etwa 10 bis 12 Wochen, in Deutschland rund sechs. Wer arbeitet, braucht dafür Betreuung: Sommercamps kosten Geld, und beliebte Angebote sind im Frühjahr ausgebucht (Kapitel </w:t>
      </w:r>
      <w:hyperlink w:anchor="k38" w:history="1">
        <w:r>
          <w:t>38</w:t>
        </w:r>
      </w:hyperlink>
      <w:r>
        <w:t>).</w:t>
      </w:r>
    </w:p>
    <w:p w14:paraId="70A4E811" w14:textId="33D58647" w:rsidR="00C1548D" w:rsidRDefault="009B1B4B">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history="1">
        <w:r>
          <w:t>35</w:t>
        </w:r>
      </w:hyperlink>
      <w:r>
        <w:t>), dazu eine Pause im Freien (</w:t>
      </w:r>
      <w:r>
        <w:rPr>
          <w:i/>
          <w:iCs/>
        </w:rPr>
        <w:t>Recess</w:t>
      </w:r>
      <w:r>
        <w:t>). Ab der Middle School wechseln die Kinder zwischen Fachräumen und Lehrkräften.</w:t>
      </w:r>
    </w:p>
    <w:p w14:paraId="70A4E812" w14:textId="3CA51BFE" w:rsidR="00C1548D" w:rsidRDefault="009B1B4B">
      <w:pPr>
        <w:spacing w:after="140"/>
      </w:pPr>
      <w:r>
        <w:lastRenderedPageBreak/>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history="1">
        <w:r>
          <w:t>27</w:t>
        </w:r>
      </w:hyperlink>
      <w:r>
        <w:t>).</w:t>
      </w:r>
    </w:p>
    <w:p w14:paraId="70A4E813" w14:textId="77777777" w:rsidR="00C1548D" w:rsidRDefault="009B1B4B">
      <w:pPr>
        <w:pStyle w:val="Heading3"/>
        <w:keepNext/>
        <w:jc w:val="center"/>
      </w:pPr>
      <w:r>
        <w:rPr>
          <w:rFonts w:ascii="Amazon Ember" w:eastAsia="Amazon Ember" w:hAnsi="Amazon Ember" w:cs="Amazon Ember"/>
          <w:color w:val="0000FF"/>
          <w:sz w:val="36"/>
          <w:szCs w:val="36"/>
        </w:rPr>
        <w:t>Öffentlich, Charter, Magnet, privat, Homeschooling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39"/>
        <w:gridCol w:w="1307"/>
        <w:gridCol w:w="950"/>
        <w:gridCol w:w="2584"/>
      </w:tblGrid>
      <w:tr w:rsidR="00C1548D" w14:paraId="70A4E818" w14:textId="77777777">
        <w:tblPrEx>
          <w:tblCellMar>
            <w:top w:w="0" w:type="dxa"/>
            <w:bottom w:w="0" w:type="dxa"/>
          </w:tblCellMar>
        </w:tblPrEx>
        <w:trPr>
          <w:cantSplit/>
          <w:tblHeader/>
        </w:trPr>
        <w:tc>
          <w:tcPr>
            <w:tcW w:w="163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14" w14:textId="77777777" w:rsidR="00C1548D" w:rsidRDefault="009B1B4B">
            <w:pPr>
              <w:spacing w:line="250" w:lineRule="auto"/>
            </w:pPr>
            <w:r>
              <w:rPr>
                <w:b/>
                <w:bCs/>
                <w:sz w:val="18"/>
                <w:szCs w:val="18"/>
              </w:rPr>
              <w:t>Schultyp</w:t>
            </w:r>
          </w:p>
        </w:tc>
        <w:tc>
          <w:tcPr>
            <w:tcW w:w="130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15" w14:textId="77777777" w:rsidR="00C1548D" w:rsidRDefault="009B1B4B">
            <w:pPr>
              <w:spacing w:line="250" w:lineRule="auto"/>
            </w:pPr>
            <w:r>
              <w:rPr>
                <w:b/>
                <w:bCs/>
                <w:sz w:val="18"/>
                <w:szCs w:val="18"/>
              </w:rPr>
              <w:t>Zugang</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16" w14:textId="77777777" w:rsidR="00C1548D" w:rsidRDefault="009B1B4B">
            <w:pPr>
              <w:spacing w:line="250" w:lineRule="auto"/>
            </w:pPr>
            <w:r>
              <w:rPr>
                <w:b/>
                <w:bCs/>
                <w:sz w:val="18"/>
                <w:szCs w:val="18"/>
              </w:rPr>
              <w:t>Kosten</w:t>
            </w:r>
          </w:p>
        </w:tc>
        <w:tc>
          <w:tcPr>
            <w:tcW w:w="258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17" w14:textId="77777777" w:rsidR="00C1548D" w:rsidRDefault="009B1B4B">
            <w:pPr>
              <w:spacing w:line="250" w:lineRule="auto"/>
            </w:pPr>
            <w:r>
              <w:rPr>
                <w:b/>
                <w:bCs/>
                <w:sz w:val="18"/>
                <w:szCs w:val="18"/>
              </w:rPr>
              <w:t>Kern</w:t>
            </w:r>
          </w:p>
        </w:tc>
      </w:tr>
      <w:tr w:rsidR="00C1548D" w14:paraId="70A4E81D" w14:textId="77777777">
        <w:tblPrEx>
          <w:tblCellMar>
            <w:top w:w="0" w:type="dxa"/>
            <w:bottom w:w="0" w:type="dxa"/>
          </w:tblCellMar>
        </w:tblPrEx>
        <w:trPr>
          <w:cantSplit/>
        </w:trPr>
        <w:tc>
          <w:tcPr>
            <w:tcW w:w="16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19" w14:textId="77777777" w:rsidR="00C1548D" w:rsidRDefault="009B1B4B">
            <w:pPr>
              <w:spacing w:line="250" w:lineRule="auto"/>
            </w:pPr>
            <w:r>
              <w:rPr>
                <w:sz w:val="18"/>
                <w:szCs w:val="18"/>
              </w:rPr>
              <w:t>Öffentlich (</w:t>
            </w:r>
            <w:r>
              <w:rPr>
                <w:i/>
                <w:iCs/>
                <w:sz w:val="18"/>
                <w:szCs w:val="18"/>
              </w:rPr>
              <w:t>Public School</w:t>
            </w:r>
            <w:r>
              <w:rPr>
                <w:sz w:val="18"/>
                <w:szCs w:val="18"/>
              </w:rPr>
              <w:t>)</w:t>
            </w:r>
          </w:p>
        </w:tc>
        <w:tc>
          <w:tcPr>
            <w:tcW w:w="13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1A" w14:textId="77777777" w:rsidR="00C1548D" w:rsidRDefault="009B1B4B">
            <w:pPr>
              <w:spacing w:line="250" w:lineRule="auto"/>
            </w:pPr>
            <w:r>
              <w:rPr>
                <w:sz w:val="18"/>
                <w:szCs w:val="18"/>
              </w:rPr>
              <w:t>nach Wohnadresse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1B" w14:textId="77777777" w:rsidR="00C1548D" w:rsidRDefault="009B1B4B">
            <w:pPr>
              <w:spacing w:line="250" w:lineRule="auto"/>
            </w:pPr>
            <w:r>
              <w:rPr>
                <w:sz w:val="18"/>
                <w:szCs w:val="18"/>
              </w:rPr>
              <w:t>kostenlos</w:t>
            </w:r>
          </w:p>
        </w:tc>
        <w:tc>
          <w:tcPr>
            <w:tcW w:w="25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1C" w14:textId="77777777" w:rsidR="00C1548D" w:rsidRDefault="009B1B4B">
            <w:pPr>
              <w:spacing w:line="250" w:lineRule="auto"/>
            </w:pPr>
            <w:r>
              <w:rPr>
                <w:sz w:val="18"/>
                <w:szCs w:val="18"/>
              </w:rPr>
              <w:t>49,6 Mio. Schüler (Herbst 2022)</w:t>
            </w:r>
          </w:p>
        </w:tc>
      </w:tr>
      <w:tr w:rsidR="00C1548D" w14:paraId="70A4E822" w14:textId="77777777">
        <w:tblPrEx>
          <w:tblCellMar>
            <w:top w:w="0" w:type="dxa"/>
            <w:bottom w:w="0" w:type="dxa"/>
          </w:tblCellMar>
        </w:tblPrEx>
        <w:trPr>
          <w:cantSplit/>
        </w:trPr>
        <w:tc>
          <w:tcPr>
            <w:tcW w:w="16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1E" w14:textId="77777777" w:rsidR="00C1548D" w:rsidRDefault="009B1B4B">
            <w:pPr>
              <w:spacing w:line="250" w:lineRule="auto"/>
            </w:pPr>
            <w:r>
              <w:rPr>
                <w:i/>
                <w:iCs/>
                <w:sz w:val="18"/>
                <w:szCs w:val="18"/>
              </w:rPr>
              <w:t>Charter School</w:t>
            </w:r>
          </w:p>
        </w:tc>
        <w:tc>
          <w:tcPr>
            <w:tcW w:w="13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1F" w14:textId="77777777" w:rsidR="00C1548D" w:rsidRDefault="009B1B4B">
            <w:pPr>
              <w:spacing w:line="250" w:lineRule="auto"/>
            </w:pPr>
            <w:r>
              <w:rPr>
                <w:sz w:val="18"/>
                <w:szCs w:val="18"/>
              </w:rPr>
              <w:t>Bewerbung, oft Los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0" w14:textId="77777777" w:rsidR="00C1548D" w:rsidRDefault="009B1B4B">
            <w:pPr>
              <w:spacing w:line="250" w:lineRule="auto"/>
            </w:pPr>
            <w:r>
              <w:rPr>
                <w:sz w:val="18"/>
                <w:szCs w:val="18"/>
              </w:rPr>
              <w:t>kostenlos</w:t>
            </w:r>
          </w:p>
        </w:tc>
        <w:tc>
          <w:tcPr>
            <w:tcW w:w="25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1" w14:textId="77777777" w:rsidR="00C1548D" w:rsidRDefault="009B1B4B">
            <w:pPr>
              <w:spacing w:line="250" w:lineRule="auto"/>
            </w:pPr>
            <w:r>
              <w:rPr>
                <w:sz w:val="18"/>
                <w:szCs w:val="18"/>
              </w:rPr>
              <w:t>öffentlich finanziert, eigenes Konzept</w:t>
            </w:r>
          </w:p>
        </w:tc>
      </w:tr>
      <w:tr w:rsidR="00C1548D" w14:paraId="70A4E827" w14:textId="77777777">
        <w:tblPrEx>
          <w:tblCellMar>
            <w:top w:w="0" w:type="dxa"/>
            <w:bottom w:w="0" w:type="dxa"/>
          </w:tblCellMar>
        </w:tblPrEx>
        <w:trPr>
          <w:cantSplit/>
        </w:trPr>
        <w:tc>
          <w:tcPr>
            <w:tcW w:w="16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3" w14:textId="77777777" w:rsidR="00C1548D" w:rsidRDefault="009B1B4B">
            <w:pPr>
              <w:spacing w:line="250" w:lineRule="auto"/>
            </w:pPr>
            <w:r>
              <w:rPr>
                <w:i/>
                <w:iCs/>
                <w:sz w:val="18"/>
                <w:szCs w:val="18"/>
              </w:rPr>
              <w:t>Magnet School</w:t>
            </w:r>
          </w:p>
        </w:tc>
        <w:tc>
          <w:tcPr>
            <w:tcW w:w="13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4" w14:textId="77777777" w:rsidR="00C1548D" w:rsidRDefault="009B1B4B">
            <w:pPr>
              <w:spacing w:line="250" w:lineRule="auto"/>
            </w:pPr>
            <w:r>
              <w:rPr>
                <w:sz w:val="18"/>
                <w:szCs w:val="18"/>
              </w:rPr>
              <w:t>Bewerbung, Auswahl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5" w14:textId="77777777" w:rsidR="00C1548D" w:rsidRDefault="009B1B4B">
            <w:pPr>
              <w:spacing w:line="250" w:lineRule="auto"/>
            </w:pPr>
            <w:r>
              <w:rPr>
                <w:sz w:val="18"/>
                <w:szCs w:val="18"/>
              </w:rPr>
              <w:t>kostenlos</w:t>
            </w:r>
          </w:p>
        </w:tc>
        <w:tc>
          <w:tcPr>
            <w:tcW w:w="25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6" w14:textId="77777777" w:rsidR="00C1548D" w:rsidRDefault="009B1B4B">
            <w:pPr>
              <w:spacing w:line="250" w:lineRule="auto"/>
            </w:pPr>
            <w:r>
              <w:rPr>
                <w:sz w:val="18"/>
                <w:szCs w:val="18"/>
              </w:rPr>
              <w:t>Schwerpunkt, z. B. Technik, Kunst</w:t>
            </w:r>
          </w:p>
        </w:tc>
      </w:tr>
      <w:tr w:rsidR="00C1548D" w14:paraId="70A4E82C" w14:textId="77777777">
        <w:tblPrEx>
          <w:tblCellMar>
            <w:top w:w="0" w:type="dxa"/>
            <w:bottom w:w="0" w:type="dxa"/>
          </w:tblCellMar>
        </w:tblPrEx>
        <w:trPr>
          <w:cantSplit/>
        </w:trPr>
        <w:tc>
          <w:tcPr>
            <w:tcW w:w="16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8" w14:textId="77777777" w:rsidR="00C1548D" w:rsidRDefault="009B1B4B">
            <w:pPr>
              <w:spacing w:line="250" w:lineRule="auto"/>
            </w:pPr>
            <w:r>
              <w:rPr>
                <w:sz w:val="18"/>
                <w:szCs w:val="18"/>
              </w:rPr>
              <w:t>Privat oder religiös</w:t>
            </w:r>
          </w:p>
        </w:tc>
        <w:tc>
          <w:tcPr>
            <w:tcW w:w="13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9" w14:textId="77777777" w:rsidR="00C1548D" w:rsidRDefault="009B1B4B">
            <w:pPr>
              <w:spacing w:line="250" w:lineRule="auto"/>
            </w:pPr>
            <w:r>
              <w:rPr>
                <w:sz w:val="18"/>
                <w:szCs w:val="18"/>
              </w:rPr>
              <w:t>Bewerbung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A" w14:textId="77777777" w:rsidR="00C1548D" w:rsidRDefault="009B1B4B">
            <w:pPr>
              <w:spacing w:line="250" w:lineRule="auto"/>
            </w:pPr>
            <w:r>
              <w:rPr>
                <w:sz w:val="18"/>
                <w:szCs w:val="18"/>
              </w:rPr>
              <w:t>Schulgeld</w:t>
            </w:r>
          </w:p>
        </w:tc>
        <w:tc>
          <w:tcPr>
            <w:tcW w:w="25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B" w14:textId="77777777" w:rsidR="00C1548D" w:rsidRDefault="009B1B4B">
            <w:pPr>
              <w:spacing w:line="250" w:lineRule="auto"/>
            </w:pPr>
            <w:r>
              <w:rPr>
                <w:sz w:val="18"/>
                <w:szCs w:val="18"/>
              </w:rPr>
              <w:t>5,5 Mio. Schüler (Herbst 2021)</w:t>
            </w:r>
          </w:p>
        </w:tc>
      </w:tr>
      <w:tr w:rsidR="00C1548D" w14:paraId="70A4E831" w14:textId="77777777">
        <w:tblPrEx>
          <w:tblCellMar>
            <w:top w:w="0" w:type="dxa"/>
            <w:bottom w:w="0" w:type="dxa"/>
          </w:tblCellMar>
        </w:tblPrEx>
        <w:trPr>
          <w:cantSplit/>
        </w:trPr>
        <w:tc>
          <w:tcPr>
            <w:tcW w:w="16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D" w14:textId="77777777" w:rsidR="00C1548D" w:rsidRDefault="009B1B4B">
            <w:pPr>
              <w:spacing w:line="250" w:lineRule="auto"/>
            </w:pPr>
            <w:r>
              <w:rPr>
                <w:sz w:val="18"/>
                <w:szCs w:val="18"/>
              </w:rPr>
              <w:t>Homeschooling</w:t>
            </w:r>
          </w:p>
        </w:tc>
        <w:tc>
          <w:tcPr>
            <w:tcW w:w="13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E" w14:textId="77777777" w:rsidR="00C1548D" w:rsidRDefault="009B1B4B">
            <w:pPr>
              <w:spacing w:line="250" w:lineRule="auto"/>
            </w:pPr>
            <w:r>
              <w:rPr>
                <w:sz w:val="18"/>
                <w:szCs w:val="18"/>
              </w:rPr>
              <w:t>keine Zuweisung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2F" w14:textId="77777777" w:rsidR="00C1548D" w:rsidRDefault="009B1B4B">
            <w:pPr>
              <w:spacing w:line="250" w:lineRule="auto"/>
            </w:pPr>
            <w:r>
              <w:rPr>
                <w:sz w:val="18"/>
                <w:szCs w:val="18"/>
              </w:rPr>
              <w:t>Materialkosten</w:t>
            </w:r>
          </w:p>
        </w:tc>
        <w:tc>
          <w:tcPr>
            <w:tcW w:w="25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30" w14:textId="77777777" w:rsidR="00C1548D" w:rsidRDefault="009B1B4B">
            <w:pPr>
              <w:spacing w:line="250" w:lineRule="auto"/>
            </w:pPr>
            <w:r>
              <w:rPr>
                <w:sz w:val="18"/>
                <w:szCs w:val="18"/>
              </w:rPr>
              <w:t>ca. 3,3 % der Schüler</w:t>
            </w:r>
          </w:p>
        </w:tc>
      </w:tr>
    </w:tbl>
    <w:p w14:paraId="70A4E832" w14:textId="77777777" w:rsidR="00C1548D" w:rsidRDefault="00C1548D">
      <w:pPr>
        <w:spacing w:line="180" w:lineRule="exact"/>
      </w:pPr>
    </w:p>
    <w:p w14:paraId="70A4E833" w14:textId="77777777" w:rsidR="00C1548D" w:rsidRDefault="009B1B4B">
      <w:pPr>
        <w:spacing w:after="140"/>
      </w:pPr>
      <w:r>
        <w:t>„Kostenlos“ gilt nur für den Unterricht der öffentlichen Schule; für Sport, Ausflüge, Instrumente und Materiallisten (</w:t>
      </w:r>
      <w:r>
        <w:rPr>
          <w:i/>
          <w:iCs/>
        </w:rPr>
        <w:t>School Supply Lists</w:t>
      </w:r>
      <w:r>
        <w:t>) zahlst du oft dazu.</w:t>
      </w:r>
    </w:p>
    <w:p w14:paraId="70A4E834" w14:textId="77777777" w:rsidR="00C1548D" w:rsidRDefault="009B1B4B">
      <w:pPr>
        <w:spacing w:after="140"/>
      </w:pPr>
      <w:r>
        <w:rPr>
          <w:i/>
          <w:iCs/>
        </w:rPr>
        <w:t>Charter-Schulen</w:t>
      </w:r>
      <w:r>
        <w:t xml:space="preserve">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zwischen Dezember und Februar; gibt es mehr Bewerber als Plätze, entscheidet meist das Los.</w:t>
      </w:r>
    </w:p>
    <w:p w14:paraId="70A4E835" w14:textId="77777777" w:rsidR="00C1548D" w:rsidRDefault="009B1B4B">
      <w:pPr>
        <w:spacing w:after="140"/>
      </w:pPr>
      <w:r>
        <w:rPr>
          <w:i/>
          <w:iCs/>
        </w:rPr>
        <w:lastRenderedPageBreak/>
        <w:t>Private und religiöse Schulen</w:t>
      </w:r>
      <w:r>
        <w:t xml:space="preserve"> (katholisch, evangelisch, jüdisch, islamisch, unabhängig) verlangen Schulgeld: Der Durchschnitt lag laut NCES 2020–21 bei rund 12.800 $ pro Jahr – katholische Schulen rund 9.700 $, andere konfessionelle rund 10.900 $, nicht konfessionelle rund 19.600 $; heutige Preise liegen höher. Frage die Schule, wie stark der Glaube den Alltag prägt und ob sie Kinder anderer Konfessionen aufnimmt. Viele Staaten fördern Privatschulen zusätzlich über Gutscheine oder Bildungskonten (</w:t>
      </w:r>
      <w:r>
        <w:rPr>
          <w:i/>
          <w:iCs/>
        </w:rPr>
        <w:t>Vouchers</w:t>
      </w:r>
      <w:r>
        <w:t xml:space="preserve">, </w:t>
      </w:r>
      <w:r>
        <w:rPr>
          <w:i/>
          <w:iCs/>
        </w:rPr>
        <w:t>Education Savings Accounts</w:t>
      </w:r>
      <w:r>
        <w:t>); 2025 hatten 19 Staaten Programme für alle Familien, Berechtigung regelt jeder Staat selbst.</w:t>
      </w:r>
    </w:p>
    <w:p w14:paraId="70A4E836" w14:textId="347B4C96" w:rsidR="00C1548D" w:rsidRDefault="009B1B4B">
      <w:pPr>
        <w:spacing w:after="140"/>
      </w:pPr>
      <w:r>
        <w:rPr>
          <w:i/>
          <w:iCs/>
        </w:rPr>
        <w:t>Homeschooling</w:t>
      </w:r>
      <w:r>
        <w:t xml:space="preserve">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grundsätzlich unzulässig, weil die Schulpflicht dort für alle Kinder mit Wohnsitz gilt (</w:t>
      </w:r>
      <w:r>
        <w:t>Kapitel </w:t>
      </w:r>
      <w:hyperlink w:anchor="k42" w:history="1">
        <w:r>
          <w:t>42</w:t>
        </w:r>
      </w:hyperlink>
      <w:r>
        <w:t>).</w:t>
      </w:r>
    </w:p>
    <w:p w14:paraId="70A4E837" w14:textId="77777777" w:rsidR="00C1548D" w:rsidRDefault="009B1B4B">
      <w:pPr>
        <w:pStyle w:val="Heading3"/>
        <w:keepNext/>
        <w:jc w:val="center"/>
      </w:pPr>
      <w:r>
        <w:rPr>
          <w:rFonts w:ascii="Amazon Ember" w:eastAsia="Amazon Ember" w:hAnsi="Amazon Ember" w:cs="Amazon Ember"/>
          <w:color w:val="0000FF"/>
          <w:sz w:val="36"/>
          <w:szCs w:val="36"/>
        </w:rPr>
        <w:t>Schulen bewerten: Ratings und ihre Grenzen</w:t>
      </w:r>
    </w:p>
    <w:p w14:paraId="70A4E838" w14:textId="77777777" w:rsidR="00C1548D" w:rsidRDefault="009B1B4B">
      <w:pPr>
        <w:spacing w:after="140"/>
      </w:pPr>
      <w:r>
        <w:t>GreatSchools vergibt Bewertungen von 1 bis 10 aus drei Bausteinen: Testergebnisse (</w:t>
      </w:r>
      <w:r>
        <w:rPr>
          <w:i/>
          <w:iCs/>
        </w:rPr>
        <w:t>Test Score</w:t>
      </w:r>
      <w:r>
        <w:t>), Lernfortschritt (</w:t>
      </w:r>
      <w:r>
        <w:rPr>
          <w:i/>
          <w:iCs/>
        </w:rPr>
        <w:t>Student Progress</w:t>
      </w:r>
      <w:r>
        <w:t xml:space="preserve"> – wie stark die Leistungen über die Zeit wachsen) und, nur an High Schools, Studienvorbereitung (</w:t>
      </w:r>
      <w:r>
        <w:rPr>
          <w:i/>
          <w:iCs/>
        </w:rPr>
        <w:t>College Readiness</w:t>
      </w:r>
      <w:r>
        <w:t>: SAT/ACT, Abschlussquote, AP und IB). Niche mischt Daten mit Eltern- und Schülerumfragen. Außerdem muss jeder Staat nach ESSA (</w:t>
      </w:r>
      <w:r>
        <w:rPr>
          <w:i/>
          <w:iCs/>
        </w:rPr>
        <w:t>Every Student Succeeds Act</w:t>
      </w:r>
      <w:r>
        <w:t>) für jede Schule und jeden Distrikt einen Schulbericht (</w:t>
      </w:r>
      <w:r>
        <w:rPr>
          <w:i/>
          <w:iCs/>
        </w:rPr>
        <w:t>School Report Card</w:t>
      </w:r>
      <w:r>
        <w:t>) veröffentlichen, meist auf der Website der Landesbildungsbehörde.</w:t>
      </w:r>
    </w:p>
    <w:p w14:paraId="70A4E839" w14:textId="77777777" w:rsidR="00C1548D" w:rsidRDefault="009B1B4B">
      <w:pPr>
        <w:spacing w:after="140"/>
      </w:pPr>
      <w:r>
        <w:t xml:space="preserve">Die Grenzen nennt GreatSchools selbst: Eine Bewertung erscheint nur bei genügend Daten, zeichnet kein Gesamtbild der Qualität, und an High Schools fehlen oft Wachstumsdaten. Hinzu kommt: </w:t>
      </w:r>
      <w:r>
        <w:lastRenderedPageBreak/>
        <w:t>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83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83A" w14:textId="77777777" w:rsidR="00C1548D" w:rsidRDefault="009B1B4B">
            <w:pPr>
              <w:keepNext/>
              <w:spacing w:after="70" w:line="240" w:lineRule="auto"/>
            </w:pPr>
            <w:r>
              <w:rPr>
                <w:b/>
                <w:bCs/>
                <w:color w:val="9B2C2C"/>
                <w:spacing w:val="24"/>
                <w:sz w:val="16"/>
                <w:szCs w:val="16"/>
              </w:rPr>
              <w:t>ACHTUNG</w:t>
            </w:r>
          </w:p>
          <w:p w14:paraId="70A4E83B" w14:textId="228E9E5E" w:rsidR="00C1548D" w:rsidRDefault="009B1B4B">
            <w:pPr>
              <w:spacing w:after="80" w:line="264" w:lineRule="auto"/>
            </w:pPr>
            <w:r>
              <w:rPr>
                <w:sz w:val="20"/>
                <w:szCs w:val="20"/>
              </w:rPr>
              <w:t xml:space="preserve">Ein Rating ersetzt keinen Besuch. Vergleiche Distrikte, nicht nur Einzelschulen, vereinbare einen Rundgang oder komm zum </w:t>
            </w:r>
            <w:r>
              <w:rPr>
                <w:i/>
                <w:iCs/>
                <w:sz w:val="20"/>
                <w:szCs w:val="20"/>
              </w:rPr>
              <w:t>Open House</w:t>
            </w:r>
            <w:r>
              <w:rPr>
                <w:sz w:val="20"/>
                <w:szCs w:val="20"/>
              </w:rPr>
              <w:t>, und sprich mit Schulleitung (</w:t>
            </w:r>
            <w:r>
              <w:rPr>
                <w:i/>
                <w:iCs/>
                <w:sz w:val="20"/>
                <w:szCs w:val="20"/>
              </w:rPr>
              <w:t>Principal</w:t>
            </w:r>
            <w:r>
              <w:rPr>
                <w:sz w:val="20"/>
                <w:szCs w:val="20"/>
              </w:rPr>
              <w:t>) und Eltern vor Ort. Frage nach Klassengröße, Förderung für neu Zugewanderte (Kapitel </w:t>
            </w:r>
            <w:hyperlink w:anchor="k37" w:history="1">
              <w:r>
                <w:rPr>
                  <w:sz w:val="20"/>
                  <w:szCs w:val="20"/>
                </w:rPr>
                <w:t>37</w:t>
              </w:r>
            </w:hyperlink>
            <w:r>
              <w:rPr>
                <w:sz w:val="20"/>
                <w:szCs w:val="20"/>
              </w:rPr>
              <w:t>), Sonderförderung, Sicherheitskonzept und Schulbus.</w:t>
            </w:r>
          </w:p>
        </w:tc>
      </w:tr>
    </w:tbl>
    <w:p w14:paraId="70A4E83D" w14:textId="77777777" w:rsidR="00C1548D" w:rsidRDefault="00C1548D">
      <w:pPr>
        <w:spacing w:line="220" w:lineRule="exact"/>
      </w:pPr>
    </w:p>
    <w:p w14:paraId="70A4E83E" w14:textId="77777777" w:rsidR="00C1548D" w:rsidRDefault="009B1B4B">
      <w:pPr>
        <w:pStyle w:val="Heading3"/>
        <w:keepNext/>
        <w:jc w:val="center"/>
      </w:pPr>
      <w:r>
        <w:rPr>
          <w:rFonts w:ascii="Amazon Ember" w:eastAsia="Amazon Ember" w:hAnsi="Amazon Ember" w:cs="Amazon Ember"/>
          <w:color w:val="0000FF"/>
          <w:sz w:val="36"/>
          <w:szCs w:val="36"/>
        </w:rPr>
        <w:t>Anmeldung: Unterlagen und Ablauf</w:t>
      </w:r>
    </w:p>
    <w:p w14:paraId="70A4E83F" w14:textId="77777777" w:rsidR="00C1548D" w:rsidRDefault="009B1B4B">
      <w:pPr>
        <w:spacing w:after="140"/>
      </w:pPr>
      <w:r>
        <w:t>Verbreiteter Irrtum: Ohne Green Card oder gültigen Aufenthaltstitel bleibe einem Kind die öffentliche Schule verschlossen. Tatsächlich entschied der Oberste Gerichtshof (</w:t>
      </w:r>
      <w:r>
        <w:rPr>
          <w:i/>
          <w:iCs/>
        </w:rPr>
        <w:t>Supreme Court</w:t>
      </w:r>
      <w:r>
        <w:t xml:space="preserve">) 1982 in </w:t>
      </w:r>
      <w:r>
        <w:rPr>
          <w:i/>
          <w:iCs/>
        </w:rPr>
        <w:t>Plyler v. Doe</w:t>
      </w:r>
      <w:r>
        <w:t>,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w14:paraId="70A4E840" w14:textId="77777777" w:rsidR="00C1548D" w:rsidRDefault="009B1B4B">
      <w:pPr>
        <w:spacing w:after="140"/>
      </w:pPr>
      <w:r>
        <w:t>Das brauchst du meist:</w:t>
      </w:r>
    </w:p>
    <w:p w14:paraId="70A4E841" w14:textId="77777777" w:rsidR="00C1548D" w:rsidRDefault="009B1B4B" w:rsidP="009B1B4B">
      <w:pPr>
        <w:pStyle w:val="ListParagraph"/>
        <w:numPr>
          <w:ilvl w:val="0"/>
          <w:numId w:val="1"/>
        </w:numPr>
        <w:spacing w:after="60"/>
      </w:pPr>
      <w:r>
        <w:rPr>
          <w:b/>
          <w:bCs/>
        </w:rPr>
        <w:t>Altersnachweis:</w:t>
      </w:r>
      <w:r>
        <w:t xml:space="preserve"> Geburtsurkunde oder Reisepass.</w:t>
      </w:r>
    </w:p>
    <w:p w14:paraId="70A4E842" w14:textId="77777777" w:rsidR="00C1548D" w:rsidRDefault="009B1B4B" w:rsidP="009B1B4B">
      <w:pPr>
        <w:pStyle w:val="ListParagraph"/>
        <w:numPr>
          <w:ilvl w:val="0"/>
          <w:numId w:val="1"/>
        </w:numPr>
        <w:spacing w:after="60"/>
      </w:pPr>
      <w:r>
        <w:rPr>
          <w:b/>
          <w:bCs/>
        </w:rPr>
        <w:t>Wohnsitznachweis:</w:t>
      </w:r>
      <w:r>
        <w:t xml:space="preserve"> Mietvertrag oder Kaufvertrag plus eine Rechnung mit deiner Adresse (Strom, Gas, Internet), oft zwei Belege. Melde Strom und Internet deshalb früh an.</w:t>
      </w:r>
    </w:p>
    <w:p w14:paraId="70A4E843" w14:textId="3EB74361" w:rsidR="00C1548D" w:rsidRDefault="009B1B4B" w:rsidP="009B1B4B">
      <w:pPr>
        <w:pStyle w:val="ListParagraph"/>
        <w:numPr>
          <w:ilvl w:val="0"/>
          <w:numId w:val="1"/>
        </w:numPr>
        <w:spacing w:after="60"/>
      </w:pPr>
      <w:r>
        <w:rPr>
          <w:b/>
          <w:bCs/>
        </w:rPr>
        <w:lastRenderedPageBreak/>
        <w:t>Impfnachweis:</w:t>
      </w:r>
      <w:r>
        <w:t xml:space="preserve"> der Impfpass; Pflichten und Ausnahmen legt jeder Staat fest (Kapitel </w:t>
      </w:r>
      <w:hyperlink w:anchor="k26" w:history="1">
        <w:r>
          <w:t>26</w:t>
        </w:r>
      </w:hyperlink>
      <w:r>
        <w:t>). Manche Schulen wollen dazu eine ärztliche Bescheinigung (</w:t>
      </w:r>
      <w:r>
        <w:rPr>
          <w:i/>
          <w:iCs/>
        </w:rPr>
        <w:t>Physical</w:t>
      </w:r>
      <w:r>
        <w:t>).</w:t>
      </w:r>
    </w:p>
    <w:p w14:paraId="70A4E844" w14:textId="77777777" w:rsidR="00C1548D" w:rsidRDefault="009B1B4B" w:rsidP="009B1B4B">
      <w:pPr>
        <w:pStyle w:val="ListParagraph"/>
        <w:numPr>
          <w:ilvl w:val="0"/>
          <w:numId w:val="1"/>
        </w:numPr>
        <w:spacing w:after="60"/>
      </w:pPr>
      <w:r>
        <w:rPr>
          <w:b/>
          <w:bCs/>
        </w:rPr>
        <w:t>Zeugnisse:</w:t>
      </w:r>
      <w:r>
        <w:t xml:space="preserve"> die letzten Zeugnisse (</w:t>
      </w:r>
      <w:r>
        <w:rPr>
          <w:i/>
          <w:iCs/>
        </w:rPr>
        <w:t>Transcripts</w:t>
      </w:r>
      <w:r>
        <w:t>), an der High School mit Fächern und Stunden, am besten mit englischer Übersetzung.</w:t>
      </w:r>
    </w:p>
    <w:p w14:paraId="70A4E845" w14:textId="0D4B94B7" w:rsidR="00C1548D" w:rsidRDefault="009B1B4B" w:rsidP="009B1B4B">
      <w:pPr>
        <w:pStyle w:val="ListParagraph"/>
        <w:numPr>
          <w:ilvl w:val="0"/>
          <w:numId w:val="1"/>
        </w:numPr>
        <w:spacing w:after="60"/>
      </w:pPr>
      <w:r>
        <w:rPr>
          <w:b/>
          <w:bCs/>
        </w:rPr>
        <w:t>Ausweis der Sorgeberechtigten</w:t>
      </w:r>
      <w:r>
        <w:t xml:space="preserve"> und der Fragebogen zur Familiensprache (</w:t>
      </w:r>
      <w:r>
        <w:rPr>
          <w:i/>
          <w:iCs/>
        </w:rPr>
        <w:t>Home Language Survey</w:t>
      </w:r>
      <w:r>
        <w:t>), dessen Antworten einen Sprachtest auslösen können (Kapitel </w:t>
      </w:r>
      <w:hyperlink w:anchor="k37" w:history="1">
        <w:r>
          <w:t>37</w:t>
        </w:r>
      </w:hyperlink>
      <w:r>
        <w:t>).</w:t>
      </w:r>
    </w:p>
    <w:p w14:paraId="70A4E846" w14:textId="77777777" w:rsidR="00C1548D" w:rsidRDefault="00C1548D">
      <w:pPr>
        <w:spacing w:line="120" w:lineRule="exact"/>
      </w:pPr>
    </w:p>
    <w:p w14:paraId="70A4E847" w14:textId="77777777" w:rsidR="00C1548D" w:rsidRDefault="009B1B4B">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84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848" w14:textId="77777777" w:rsidR="00C1548D" w:rsidRDefault="009B1B4B">
            <w:pPr>
              <w:keepNext/>
              <w:spacing w:after="70" w:line="240" w:lineRule="auto"/>
            </w:pPr>
            <w:r>
              <w:rPr>
                <w:b/>
                <w:bCs/>
                <w:color w:val="9B2C2C"/>
                <w:spacing w:val="24"/>
                <w:sz w:val="16"/>
                <w:szCs w:val="16"/>
              </w:rPr>
              <w:t>ACHTUNG</w:t>
            </w:r>
          </w:p>
          <w:p w14:paraId="70A4E849" w14:textId="77777777" w:rsidR="00C1548D" w:rsidRDefault="009B1B4B">
            <w:pPr>
              <w:spacing w:after="80" w:line="264" w:lineRule="auto"/>
            </w:pPr>
            <w:r>
              <w:rPr>
                <w:sz w:val="20"/>
                <w:szCs w:val="20"/>
              </w:rPr>
              <w:t>Ohne den geforderten Impfnachweis nimmt die Schule dein Kind meist nicht auf, bis er vollständig ist. Lass den Impfpass vor dem Abflug vom Kinderarzt gegen die Liste des Zielstaats abgleichen und packe Zeugnisse, Impfpass und Geburtsurkunde ins Handgepäck.</w:t>
            </w:r>
          </w:p>
        </w:tc>
      </w:tr>
    </w:tbl>
    <w:p w14:paraId="70A4E84B"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84E"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84C" w14:textId="77777777" w:rsidR="00C1548D" w:rsidRDefault="009B1B4B">
            <w:pPr>
              <w:keepNext/>
              <w:spacing w:after="70" w:line="240" w:lineRule="auto"/>
            </w:pPr>
            <w:r>
              <w:rPr>
                <w:b/>
                <w:bCs/>
                <w:color w:val="4A5568"/>
                <w:spacing w:val="24"/>
                <w:sz w:val="16"/>
                <w:szCs w:val="16"/>
              </w:rPr>
              <w:t>PRAXISBEISPIEL · FIKTIV</w:t>
            </w:r>
          </w:p>
          <w:p w14:paraId="70A4E84D" w14:textId="77777777" w:rsidR="00C1548D" w:rsidRDefault="009B1B4B">
            <w:pPr>
              <w:spacing w:after="80" w:line="264" w:lineRule="auto"/>
            </w:pPr>
            <w:r>
              <w:rPr>
                <w:sz w:val="20"/>
                <w:szCs w:val="20"/>
              </w:rPr>
              <w:t>Familie Brandt (fiktiv) sucht ihr Haus im Großraum Detroit nach dem Schulbezirk aus. Anna, in Deutschland Grundschullehrerin, vergleicht drei Distrikte, liest die Schulberichte des Staates und achtet auf den Lernfortschritt statt nur auf die Gesamtnote. Zwei Schulen besuchen die Brandts. Bei einer Besichtigung fragt Anna die Rektorin offen: „What happens with a child who barely speaks English?“ – die Antwort, ein fester Förderplan ab dem ersten Schultag, gibt am Ende den Ausschlag. Der Distrikt bestätigt pe</w:t>
            </w:r>
            <w:r>
              <w:rPr>
                <w:sz w:val="20"/>
                <w:szCs w:val="20"/>
              </w:rPr>
              <w:t>r E-Mail, welche Grundschule zur Adresse gehört; erst dann unterschreiben sie den Mietvertrag. Nach dem Einzug melden sie Strom sofort an. Mit Mietvertrag, erster Stromrechnung, Impfpässen, Geburtsurkunden und Lenas Zeugnis gehen sie zur Anmeldung. Lena (9) kommt in Grade 4, Jonas (5) in den Kindergarten; rund vier Wochen nach der Landung sitzen beide im Klassenzimmer.</w:t>
            </w:r>
          </w:p>
        </w:tc>
      </w:tr>
    </w:tbl>
    <w:p w14:paraId="70A4E84F" w14:textId="77777777" w:rsidR="00C1548D" w:rsidRDefault="00C1548D">
      <w:pPr>
        <w:spacing w:line="220" w:lineRule="exact"/>
      </w:pPr>
    </w:p>
    <w:p w14:paraId="70A4E850" w14:textId="77777777" w:rsidR="00C1548D" w:rsidRDefault="009B1B4B">
      <w:pPr>
        <w:pStyle w:val="Heading3"/>
        <w:keepNext/>
        <w:jc w:val="center"/>
      </w:pPr>
      <w:r>
        <w:rPr>
          <w:rFonts w:ascii="Amazon Ember" w:eastAsia="Amazon Ember" w:hAnsi="Amazon Ember" w:cs="Amazon Ember"/>
          <w:color w:val="0000FF"/>
          <w:sz w:val="36"/>
          <w:szCs w:val="36"/>
        </w:rPr>
        <w:lastRenderedPageBreak/>
        <w:t>Lehrplan, Tests, Noten und Abschluss</w:t>
      </w:r>
    </w:p>
    <w:p w14:paraId="70A4E851" w14:textId="77777777" w:rsidR="00C1548D" w:rsidRDefault="009B1B4B">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w14:paraId="70A4E852" w14:textId="16F6F44C" w:rsidR="00C1548D" w:rsidRDefault="009B1B4B">
      <w:pPr>
        <w:spacing w:after="140"/>
      </w:pPr>
      <w:r>
        <w:t>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Abschluss zählen, regeln die Staaten. Für Neuzugewanderte gelten Sonderregeln (Kapitel </w:t>
      </w:r>
      <w:hyperlink w:anchor="k37" w:history="1">
        <w:r>
          <w:t>37</w:t>
        </w:r>
      </w:hyperlink>
      <w:r>
        <w:t>).</w:t>
      </w:r>
    </w:p>
    <w:p w14:paraId="70A4E853" w14:textId="77777777" w:rsidR="00C1548D" w:rsidRDefault="009B1B4B">
      <w:pPr>
        <w:spacing w:after="140"/>
      </w:pPr>
      <w:r>
        <w:t>Noten laufen meist von A (sehr gut) bis F (nicht bestanden), oft mit Prozentwerten dahinter, etwa 90–100 % für ein A – die Richtung ist also umgekehrt zu den deutschen Noten 1 bis 6. Der Notendurchschnitt (</w:t>
      </w:r>
      <w:r>
        <w:rPr>
          <w:i/>
          <w:iCs/>
        </w:rPr>
        <w:t>GPA</w:t>
      </w:r>
      <w:r>
        <w:t xml:space="preserve">, </w:t>
      </w:r>
      <w:r>
        <w:rPr>
          <w:i/>
          <w:iCs/>
        </w:rPr>
        <w:t>Grade Point Average</w:t>
      </w:r>
      <w:r>
        <w:t>) rechnet A = 4, B = 3, C = 2, D = 1, F = 0 und reicht bis 4,0; Honors- und AP-Kurse zählen an vielen Schulen gewichtet bis 5,0. Ab Grade 9 fließen die Noten in den GPA ein, der später in die College-Bewerbung eingeht.</w:t>
      </w:r>
    </w:p>
    <w:p w14:paraId="70A4E854" w14:textId="77777777" w:rsidR="00C1548D" w:rsidRDefault="009B1B4B">
      <w:pPr>
        <w:spacing w:after="140"/>
      </w:pPr>
      <w:r>
        <w:rPr>
          <w:i/>
          <w:iCs/>
        </w:rPr>
        <w:t>Honors</w:t>
      </w:r>
      <w:r>
        <w:t xml:space="preserve">-Kurse sind anspruchsvollere Varianten des Regelkurses. </w:t>
      </w:r>
      <w:r>
        <w:rPr>
          <w:i/>
          <w:iCs/>
        </w:rPr>
        <w:t>Advanced Placement</w:t>
      </w:r>
      <w:r>
        <w:t xml:space="preserve"> (AP) sind College-nahe Kurse mit Prüfung im Mai auf einer Skala von 1 bis 5; ob und ab welcher Punktzahl ein College sie anrechnet, entscheidet jede Hochschule. Das </w:t>
      </w:r>
      <w:r>
        <w:rPr>
          <w:i/>
          <w:iCs/>
        </w:rPr>
        <w:t>International Baccalaureate</w:t>
      </w:r>
      <w:r>
        <w:t xml:space="preserve"> (IB) ist ein zweijähriges Diplomprogramm in Grade 11 und 12 mit höchstens 45 Punkten an ausgewählten Schulen; es kann in Deutschland zur direkten Studienzulassung führen.</w:t>
      </w:r>
    </w:p>
    <w:p w14:paraId="70A4E855" w14:textId="6F57A93A" w:rsidR="00C1548D" w:rsidRDefault="009B1B4B">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w:t>
      </w:r>
      <w:r>
        <w:lastRenderedPageBreak/>
        <w:t xml:space="preserve">Ergebnisse; UC und CSU in Kalifornien bleiben testfrei, viele Hochschulen unterhalb der Top 50 sind </w:t>
      </w:r>
      <w:r>
        <w:rPr>
          <w:i/>
          <w:iCs/>
        </w:rPr>
        <w:t>test-optional</w:t>
      </w:r>
      <w:r>
        <w:t>. Kosten, Finanzierung und Abitur-Anerkennung: Kapitel </w:t>
      </w:r>
      <w:hyperlink w:anchor="k38" w:history="1">
        <w:r>
          <w:t>38</w:t>
        </w:r>
      </w:hyperlink>
      <w:r>
        <w:t>.</w:t>
      </w:r>
    </w:p>
    <w:p w14:paraId="70A4E856" w14:textId="77777777" w:rsidR="00C1548D" w:rsidRDefault="009B1B4B">
      <w:pPr>
        <w:spacing w:after="140"/>
      </w:pPr>
      <w:r>
        <w:t>Zum Diploma gehören Kurspunkte (</w:t>
      </w:r>
      <w:r>
        <w:rPr>
          <w:i/>
          <w:iCs/>
        </w:rPr>
        <w:t>Credits</w:t>
      </w:r>
      <w:r>
        <w:t>): meist 20 bis 24, verteilt auf feste Fächer wie Englisch, Mathematik, Naturwissenschaften, Sozialkunde und Sport sowie Wahlfächer – Staat und Distrikt legen das jeweils fest. Wer in Grade 11 oder 12 zuzieht, klärt fehlende Credits früh mit der Beratungslehrkraft (</w:t>
      </w:r>
      <w:r>
        <w:rPr>
          <w:i/>
          <w:iCs/>
        </w:rPr>
        <w:t>Counselor</w:t>
      </w:r>
      <w:r>
        <w:t>).</w:t>
      </w:r>
    </w:p>
    <w:p w14:paraId="70A4E857" w14:textId="77777777" w:rsidR="00C1548D" w:rsidRDefault="009B1B4B">
      <w:pPr>
        <w:pStyle w:val="Heading3"/>
        <w:keepNext/>
        <w:jc w:val="center"/>
      </w:pPr>
      <w:r>
        <w:rPr>
          <w:rFonts w:ascii="Amazon Ember" w:eastAsia="Amazon Ember" w:hAnsi="Amazon Ember" w:cs="Amazon Ember"/>
          <w:color w:val="0000FF"/>
          <w:sz w:val="36"/>
          <w:szCs w:val="36"/>
        </w:rPr>
        <w:t>Hausaufgaben, Sport, Clubs und die Elternrolle</w:t>
      </w:r>
    </w:p>
    <w:p w14:paraId="70A4E858" w14:textId="77777777" w:rsidR="00C1548D" w:rsidRDefault="009B1B4B">
      <w:pPr>
        <w:spacing w:after="140"/>
      </w:pPr>
      <w:r>
        <w:t>Hausaufgaben (</w:t>
      </w:r>
      <w:r>
        <w:rPr>
          <w:i/>
          <w:iCs/>
        </w:rPr>
        <w:t>Homework</w:t>
      </w:r>
      <w:r>
        <w:t>) sind üblich, ihr Umfang schwankt: in der Grundschule meist kurz, an der High School, vor allem mit AP- und Honors-Kursen, oft mehrere Stunden pro Abend.</w:t>
      </w:r>
    </w:p>
    <w:p w14:paraId="70A4E859" w14:textId="6247EAA9" w:rsidR="00C1548D" w:rsidRDefault="009B1B4B">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und viele Distrikte erheben Gebühren fürs Mitmachen (</w:t>
      </w:r>
      <w:r>
        <w:rPr>
          <w:i/>
          <w:iCs/>
        </w:rPr>
        <w:t>Pay to Play</w:t>
      </w:r>
      <w:r>
        <w:t>). Clubs zählen zudem für spätere College-Bewerbungen (</w:t>
      </w:r>
      <w:r>
        <w:rPr>
          <w:i/>
          <w:iCs/>
        </w:rPr>
        <w:t>Extracurriculars</w:t>
      </w:r>
      <w:r>
        <w:t>) und sind für Kinder mit wenig Englisch oft der schnellste Weg zu Freunden (Kapitel </w:t>
      </w:r>
      <w:hyperlink w:anchor="k32" w:history="1">
        <w:r>
          <w:t>32</w:t>
        </w:r>
      </w:hyperlink>
      <w:r>
        <w:t>).</w:t>
      </w:r>
    </w:p>
    <w:p w14:paraId="70A4E85A" w14:textId="77777777" w:rsidR="00C1548D" w:rsidRDefault="009B1B4B">
      <w:pPr>
        <w:spacing w:after="140"/>
      </w:pPr>
      <w:r>
        <w:t xml:space="preserve">Die </w:t>
      </w:r>
      <w:r>
        <w:rPr>
          <w:i/>
          <w:iCs/>
        </w:rPr>
        <w:t>PTA</w:t>
      </w:r>
      <w:r>
        <w:t xml:space="preserve"> (</w:t>
      </w:r>
      <w:r>
        <w:rPr>
          <w:i/>
          <w:iCs/>
        </w:rPr>
        <w:t>Parent Teacher Association</w:t>
      </w:r>
      <w:r>
        <w:t xml:space="preserve">) oder die unabhängige </w:t>
      </w:r>
      <w:r>
        <w:rPr>
          <w:i/>
          <w:iCs/>
        </w:rPr>
        <w:t>PTO</w:t>
      </w:r>
      <w:r>
        <w:t xml:space="preserve"> organisiert Feste und Spendenaktionen (</w:t>
      </w:r>
      <w:r>
        <w:rPr>
          <w:i/>
          <w:iCs/>
        </w:rPr>
        <w:t>Fundraiser</w:t>
      </w:r>
      <w:r>
        <w:t>) und finanziert Extras; wer mithilft (</w:t>
      </w:r>
      <w:r>
        <w:rPr>
          <w:i/>
          <w:iCs/>
        </w:rPr>
        <w:t>Volunteering</w:t>
      </w:r>
      <w:r>
        <w:t>), lernt Eltern und Lehrkräfte schnell kennen. Elternportale und Apps informieren über Noten, Termine und Fehlzeiten. Elternsprechtage (</w:t>
      </w:r>
      <w:r>
        <w:rPr>
          <w:i/>
          <w:iCs/>
        </w:rPr>
        <w:t>Parent-Teacher Conferences</w:t>
      </w:r>
      <w:r>
        <w:t xml:space="preserve">) gibt es meist ein- bis zweimal im Jahr, Zeugnisse </w:t>
      </w:r>
      <w:r>
        <w:lastRenderedPageBreak/>
        <w:t>(</w:t>
      </w:r>
      <w:r>
        <w:rPr>
          <w:i/>
          <w:iCs/>
        </w:rPr>
        <w:t>Report Cards</w:t>
      </w:r>
      <w:r>
        <w:t>) mehrmals. Lehrkräfte werden mit „Mrs.“, „Mr.“ oder „Ms.“ und Nachnamen angesprochen; kurze, freundliche E-Mails sind der übliche Weg.</w:t>
      </w:r>
    </w:p>
    <w:p w14:paraId="70A4E85B" w14:textId="77777777" w:rsidR="00C1548D" w:rsidRDefault="009B1B4B">
      <w:pPr>
        <w:pStyle w:val="Heading3"/>
        <w:keepNext/>
        <w:jc w:val="center"/>
      </w:pPr>
      <w:r>
        <w:rPr>
          <w:rFonts w:ascii="Amazon Ember" w:eastAsia="Amazon Ember" w:hAnsi="Amazon Ember" w:cs="Amazon Ember"/>
          <w:color w:val="0000FF"/>
          <w:sz w:val="36"/>
          <w:szCs w:val="36"/>
        </w:rPr>
        <w:t>Sicherheit: Lockdown-Übungen und Schulschießereien</w:t>
      </w:r>
    </w:p>
    <w:p w14:paraId="70A4E85C" w14:textId="77777777" w:rsidR="00C1548D" w:rsidRDefault="009B1B4B">
      <w:pPr>
        <w:spacing w:after="140"/>
      </w:pPr>
      <w:r>
        <w:t>Wie oft an Schulen geschossen wird, hängt von der Zählweise ab:</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22"/>
        <w:gridCol w:w="1479"/>
        <w:gridCol w:w="2379"/>
      </w:tblGrid>
      <w:tr w:rsidR="00C1548D" w14:paraId="70A4E860" w14:textId="77777777">
        <w:tblPrEx>
          <w:tblCellMar>
            <w:top w:w="0" w:type="dxa"/>
            <w:bottom w:w="0" w:type="dxa"/>
          </w:tblCellMar>
        </w:tblPrEx>
        <w:trPr>
          <w:cantSplit/>
          <w:tblHeader/>
        </w:trPr>
        <w:tc>
          <w:tcPr>
            <w:tcW w:w="262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5D" w14:textId="77777777" w:rsidR="00C1548D" w:rsidRDefault="009B1B4B">
            <w:pPr>
              <w:spacing w:line="250" w:lineRule="auto"/>
            </w:pPr>
            <w:r>
              <w:rPr>
                <w:b/>
                <w:bCs/>
                <w:sz w:val="18"/>
                <w:szCs w:val="18"/>
              </w:rPr>
              <w:t>Quelle</w:t>
            </w:r>
          </w:p>
        </w:tc>
        <w:tc>
          <w:tcPr>
            <w:tcW w:w="147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5E" w14:textId="77777777" w:rsidR="00C1548D" w:rsidRDefault="009B1B4B">
            <w:pPr>
              <w:spacing w:line="250" w:lineRule="auto"/>
            </w:pPr>
            <w:r>
              <w:rPr>
                <w:b/>
                <w:bCs/>
                <w:sz w:val="18"/>
                <w:szCs w:val="18"/>
              </w:rPr>
              <w:t>Zeitraum</w:t>
            </w:r>
          </w:p>
        </w:tc>
        <w:tc>
          <w:tcPr>
            <w:tcW w:w="237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5F" w14:textId="77777777" w:rsidR="00C1548D" w:rsidRDefault="009B1B4B">
            <w:pPr>
              <w:spacing w:line="250" w:lineRule="auto"/>
            </w:pPr>
            <w:r>
              <w:rPr>
                <w:b/>
                <w:bCs/>
                <w:sz w:val="18"/>
                <w:szCs w:val="18"/>
              </w:rPr>
              <w:t>Zahl</w:t>
            </w:r>
          </w:p>
        </w:tc>
      </w:tr>
      <w:tr w:rsidR="00C1548D" w14:paraId="70A4E864" w14:textId="77777777">
        <w:tblPrEx>
          <w:tblCellMar>
            <w:top w:w="0" w:type="dxa"/>
            <w:bottom w:w="0" w:type="dxa"/>
          </w:tblCellMar>
        </w:tblPrEx>
        <w:trPr>
          <w:cantSplit/>
        </w:trPr>
        <w:tc>
          <w:tcPr>
            <w:tcW w:w="2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1" w14:textId="77777777" w:rsidR="00C1548D" w:rsidRDefault="009B1B4B">
            <w:pPr>
              <w:spacing w:line="250" w:lineRule="auto"/>
            </w:pPr>
            <w:r>
              <w:rPr>
                <w:sz w:val="18"/>
                <w:szCs w:val="18"/>
              </w:rPr>
              <w:t>K-12 SSDB (weiteste Definition)</w:t>
            </w:r>
          </w:p>
        </w:tc>
        <w:tc>
          <w:tcPr>
            <w:tcW w:w="14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2" w14:textId="77777777" w:rsidR="00C1548D" w:rsidRDefault="009B1B4B">
            <w:pPr>
              <w:spacing w:line="250" w:lineRule="auto"/>
            </w:pPr>
            <w:r>
              <w:rPr>
                <w:sz w:val="18"/>
                <w:szCs w:val="18"/>
              </w:rPr>
              <w:t>2020, 2023, 2025</w:t>
            </w:r>
          </w:p>
        </w:tc>
        <w:tc>
          <w:tcPr>
            <w:tcW w:w="23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3" w14:textId="77777777" w:rsidR="00C1548D" w:rsidRDefault="009B1B4B">
            <w:pPr>
              <w:spacing w:line="250" w:lineRule="auto"/>
            </w:pPr>
            <w:r>
              <w:rPr>
                <w:sz w:val="18"/>
                <w:szCs w:val="18"/>
              </w:rPr>
              <w:t>116, 352, 233 Vorfälle</w:t>
            </w:r>
          </w:p>
        </w:tc>
      </w:tr>
      <w:tr w:rsidR="00C1548D" w14:paraId="70A4E868" w14:textId="77777777">
        <w:tblPrEx>
          <w:tblCellMar>
            <w:top w:w="0" w:type="dxa"/>
            <w:bottom w:w="0" w:type="dxa"/>
          </w:tblCellMar>
        </w:tblPrEx>
        <w:trPr>
          <w:cantSplit/>
        </w:trPr>
        <w:tc>
          <w:tcPr>
            <w:tcW w:w="2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5" w14:textId="77777777" w:rsidR="00C1548D" w:rsidRDefault="009B1B4B">
            <w:pPr>
              <w:spacing w:line="250" w:lineRule="auto"/>
            </w:pPr>
            <w:r>
              <w:rPr>
                <w:sz w:val="18"/>
                <w:szCs w:val="18"/>
              </w:rPr>
              <w:t>Everytown</w:t>
            </w:r>
          </w:p>
        </w:tc>
        <w:tc>
          <w:tcPr>
            <w:tcW w:w="14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6" w14:textId="77777777" w:rsidR="00C1548D" w:rsidRDefault="009B1B4B">
            <w:pPr>
              <w:spacing w:line="250" w:lineRule="auto"/>
            </w:pPr>
            <w:r>
              <w:rPr>
                <w:sz w:val="18"/>
                <w:szCs w:val="18"/>
              </w:rPr>
              <w:t>2024, 2025</w:t>
            </w:r>
          </w:p>
        </w:tc>
        <w:tc>
          <w:tcPr>
            <w:tcW w:w="23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7" w14:textId="77777777" w:rsidR="00C1548D" w:rsidRDefault="009B1B4B">
            <w:pPr>
              <w:spacing w:line="250" w:lineRule="auto"/>
            </w:pPr>
            <w:r>
              <w:rPr>
                <w:sz w:val="18"/>
                <w:szCs w:val="18"/>
              </w:rPr>
              <w:t>229, mindestens 159 Vorfälle</w:t>
            </w:r>
          </w:p>
        </w:tc>
      </w:tr>
      <w:tr w:rsidR="00C1548D" w14:paraId="70A4E86C" w14:textId="77777777">
        <w:tblPrEx>
          <w:tblCellMar>
            <w:top w:w="0" w:type="dxa"/>
            <w:bottom w:w="0" w:type="dxa"/>
          </w:tblCellMar>
        </w:tblPrEx>
        <w:trPr>
          <w:cantSplit/>
        </w:trPr>
        <w:tc>
          <w:tcPr>
            <w:tcW w:w="2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9" w14:textId="77777777" w:rsidR="00C1548D" w:rsidRDefault="009B1B4B">
            <w:pPr>
              <w:spacing w:line="250" w:lineRule="auto"/>
            </w:pPr>
            <w:r>
              <w:rPr>
                <w:sz w:val="18"/>
                <w:szCs w:val="18"/>
              </w:rPr>
              <w:t>CNN-Datenbank</w:t>
            </w:r>
          </w:p>
        </w:tc>
        <w:tc>
          <w:tcPr>
            <w:tcW w:w="14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A" w14:textId="77777777" w:rsidR="00C1548D" w:rsidRDefault="009B1B4B">
            <w:pPr>
              <w:spacing w:line="250" w:lineRule="auto"/>
            </w:pPr>
            <w:r>
              <w:rPr>
                <w:sz w:val="18"/>
                <w:szCs w:val="18"/>
              </w:rPr>
              <w:t>2025</w:t>
            </w:r>
          </w:p>
        </w:tc>
        <w:tc>
          <w:tcPr>
            <w:tcW w:w="23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B" w14:textId="77777777" w:rsidR="00C1548D" w:rsidRDefault="009B1B4B">
            <w:pPr>
              <w:spacing w:line="250" w:lineRule="auto"/>
            </w:pPr>
            <w:r>
              <w:rPr>
                <w:sz w:val="18"/>
                <w:szCs w:val="18"/>
              </w:rPr>
              <w:t>75 Vorfälle</w:t>
            </w:r>
          </w:p>
        </w:tc>
      </w:tr>
      <w:tr w:rsidR="00C1548D" w14:paraId="70A4E870" w14:textId="77777777">
        <w:tblPrEx>
          <w:tblCellMar>
            <w:top w:w="0" w:type="dxa"/>
            <w:bottom w:w="0" w:type="dxa"/>
          </w:tblCellMar>
        </w:tblPrEx>
        <w:trPr>
          <w:cantSplit/>
        </w:trPr>
        <w:tc>
          <w:tcPr>
            <w:tcW w:w="26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D" w14:textId="77777777" w:rsidR="00C1548D" w:rsidRDefault="009B1B4B">
            <w:pPr>
              <w:spacing w:line="250" w:lineRule="auto"/>
            </w:pPr>
            <w:r>
              <w:rPr>
                <w:sz w:val="18"/>
                <w:szCs w:val="18"/>
              </w:rPr>
              <w:t>NCES (schulbezogene Gewalttote)</w:t>
            </w:r>
          </w:p>
        </w:tc>
        <w:tc>
          <w:tcPr>
            <w:tcW w:w="14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E" w14:textId="77777777" w:rsidR="00C1548D" w:rsidRDefault="009B1B4B">
            <w:pPr>
              <w:spacing w:line="250" w:lineRule="auto"/>
            </w:pPr>
            <w:r>
              <w:rPr>
                <w:sz w:val="18"/>
                <w:szCs w:val="18"/>
              </w:rPr>
              <w:t>2006–07, 2019–20</w:t>
            </w:r>
          </w:p>
        </w:tc>
        <w:tc>
          <w:tcPr>
            <w:tcW w:w="23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6F" w14:textId="77777777" w:rsidR="00C1548D" w:rsidRDefault="009B1B4B">
            <w:pPr>
              <w:spacing w:line="250" w:lineRule="auto"/>
            </w:pPr>
            <w:r>
              <w:rPr>
                <w:sz w:val="18"/>
                <w:szCs w:val="18"/>
              </w:rPr>
              <w:t>63, 25 Todesfälle</w:t>
            </w:r>
          </w:p>
        </w:tc>
      </w:tr>
    </w:tbl>
    <w:p w14:paraId="70A4E871" w14:textId="77777777" w:rsidR="00C1548D" w:rsidRDefault="00C1548D">
      <w:pPr>
        <w:spacing w:line="180" w:lineRule="exact"/>
      </w:pPr>
    </w:p>
    <w:p w14:paraId="70A4E872" w14:textId="77777777" w:rsidR="00C1548D" w:rsidRDefault="009B1B4B">
      <w:pPr>
        <w:spacing w:after="140"/>
      </w:pPr>
      <w:r>
        <w:t>Die Datenbank K-12 SSDB zählt jeden Vorfall, bei dem auf dem Schulgelände eine Schusswaffe abgefeuert, mit Schädigungsabsicht gezeigt oder ein Mensch getroffen wird; 2025 war der niedrigste Stand seit 2020, 2023 der Höchststand. Everytown zählt für 2025 insgesamt 53 Tote und 148 Verletzte. Bei 49,6 Mio. Schülern an öffentlichen Schulen ist das Risiko für ein einzelnes Kind gering; Schulen nehmen das Thema trotzdem ernst.</w:t>
      </w:r>
    </w:p>
    <w:p w14:paraId="70A4E873" w14:textId="77777777" w:rsidR="00C1548D" w:rsidRDefault="009B1B4B">
      <w:pPr>
        <w:spacing w:after="140"/>
      </w:pPr>
      <w:r>
        <w:t>Sicherheitsverfahren gehören deshalb zum Alltag: 2021–22 hatten 97 % der öffentlichen Schulen kontrollierten Zugang zum Gebäude und 93 % Kameras. Im selben Schuljahr übten 95,5 % Lockdown-Verfahren, 93,0 % Evakuierung und 93,5 % den Schutz im Gebäude (</w:t>
      </w:r>
      <w:r>
        <w:rPr>
          <w:i/>
          <w:iCs/>
        </w:rPr>
        <w:t>Shelter in Place</w:t>
      </w:r>
      <w:r>
        <w:t xml:space="preserve">; NCES). Bei einem </w:t>
      </w:r>
      <w:r>
        <w:rPr>
          <w:i/>
          <w:iCs/>
        </w:rPr>
        <w:t>Lockdown</w:t>
      </w:r>
      <w:r>
        <w:t xml:space="preserve"> werden Türen verschlossen, das Licht geht aus, und die Kinder bleiben ruhig außerhalb der Sichtlinie zur Tür. Bei einem </w:t>
      </w:r>
      <w:r>
        <w:rPr>
          <w:i/>
          <w:iCs/>
        </w:rPr>
        <w:t>Lockout</w:t>
      </w:r>
      <w:r>
        <w:t>, einer Gefahr außerhalb des Gebäudes, läuft der Unterricht drinnen weiter. Häufigkeit und Form regeln Staaten und Distrikte; Grundschulen üben meist altersgerecht.</w:t>
      </w:r>
    </w:p>
    <w:p w14:paraId="70A4E874" w14:textId="7EA956A0" w:rsidR="00C1548D" w:rsidRDefault="009B1B4B">
      <w:pPr>
        <w:spacing w:after="140"/>
      </w:pPr>
      <w:r>
        <w:lastRenderedPageBreak/>
        <w:t>Als Eltern hältst du Kontaktdaten und Benachrichtigungen (SMS, E-Mail, App) aktuell, lässt dir das Abholverfahren nach einem Vorfall erklären (</w:t>
      </w:r>
      <w:r>
        <w:rPr>
          <w:i/>
          <w:iCs/>
        </w:rPr>
        <w:t>Reunification</w:t>
      </w:r>
      <w:r>
        <w:t>) und sprichst mit deinem Kind über die Übungen. Viele Kinder nehmen sie wie eine Feuerübung, manche belastet es; sprich dann mit der Lehrkraft (zum Waffenrecht im Alltag: Kapitel </w:t>
      </w:r>
      <w:hyperlink w:anchor="k40" w:history="1">
        <w:r>
          <w:t>40</w:t>
        </w:r>
      </w:hyperlink>
      <w:r>
        <w:t>).</w:t>
      </w:r>
    </w:p>
    <w:p w14:paraId="70A4E875" w14:textId="77777777" w:rsidR="00C1548D" w:rsidRDefault="009B1B4B">
      <w:pPr>
        <w:spacing w:after="140"/>
      </w:pPr>
      <w:r>
        <w:t>Mobbing (</w:t>
      </w:r>
      <w:r>
        <w:rPr>
          <w:i/>
          <w:iCs/>
        </w:rPr>
        <w:t>Bullying</w:t>
      </w:r>
      <w:r>
        <w:t>)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w14:paraId="70A4E876" w14:textId="77777777" w:rsidR="00C1548D" w:rsidRDefault="009B1B4B">
      <w:pPr>
        <w:pStyle w:val="Heading3"/>
        <w:keepNext/>
        <w:jc w:val="center"/>
      </w:pPr>
      <w:r>
        <w:rPr>
          <w:rFonts w:ascii="Amazon Ember" w:eastAsia="Amazon Ember" w:hAnsi="Amazon Ember" w:cs="Amazon Ember"/>
          <w:color w:val="0000FF"/>
          <w:sz w:val="36"/>
          <w:szCs w:val="36"/>
        </w:rPr>
        <w:t>Sonderförderung: IEP, 504 und Begabtenförderung</w:t>
      </w:r>
    </w:p>
    <w:p w14:paraId="70A4E877" w14:textId="77777777" w:rsidR="00C1548D" w:rsidRDefault="009B1B4B">
      <w:pPr>
        <w:spacing w:after="140"/>
      </w:pPr>
      <w:r>
        <w:t>Im Schuljahr 2022–23 erhielten 7,5 Mio. Kinder und Jugendliche zwischen 3 und 21 Jahren Sonderförderung nach dem Bundesgesetz IDEA (</w:t>
      </w:r>
      <w:r>
        <w:rPr>
          <w:i/>
          <w:iCs/>
        </w:rPr>
        <w:t>Individuals with Disabilities Education Act</w:t>
      </w:r>
      <w:r>
        <w:t>), das sind 15 % aller Schüler an öffentlichen Schulen. Am häufigsten (32 %) sind spezifische Lernstörungen wie Legasthenie. Zwei Instrumente zählen:</w:t>
      </w:r>
    </w:p>
    <w:p w14:paraId="70A4E878" w14:textId="77777777" w:rsidR="00C1548D" w:rsidRDefault="009B1B4B" w:rsidP="009B1B4B">
      <w:pPr>
        <w:pStyle w:val="ListParagraph"/>
        <w:numPr>
          <w:ilvl w:val="0"/>
          <w:numId w:val="1"/>
        </w:numPr>
        <w:spacing w:after="60"/>
      </w:pPr>
      <w:r>
        <w:rPr>
          <w:b/>
          <w:bCs/>
        </w:rPr>
        <w:t>IEP</w:t>
      </w:r>
      <w:r>
        <w:t xml:space="preserve"> (</w:t>
      </w:r>
      <w:r>
        <w:rPr>
          <w:i/>
          <w:iCs/>
        </w:rPr>
        <w:t>Individualized Education Program</w:t>
      </w:r>
      <w:r>
        <w:t>): ein schriftlicher Förderplan mit Zielen, Unterstützung und Anpassungen, von Eltern, Lehrkräften und Fachleuten erstellt und jährlich überprüft; für die Familie kostenlos.</w:t>
      </w:r>
    </w:p>
    <w:p w14:paraId="70A4E879" w14:textId="77777777" w:rsidR="00C1548D" w:rsidRDefault="009B1B4B" w:rsidP="009B1B4B">
      <w:pPr>
        <w:pStyle w:val="ListParagraph"/>
        <w:numPr>
          <w:ilvl w:val="0"/>
          <w:numId w:val="1"/>
        </w:numPr>
        <w:spacing w:after="60"/>
      </w:pPr>
      <w:r>
        <w:rPr>
          <w:b/>
          <w:bCs/>
        </w:rPr>
        <w:t>504 Plan</w:t>
      </w:r>
      <w:r>
        <w:t xml:space="preserve"> (nach Section 504 des Rehabilitation Act): Anpassungen im Regelunterricht, etwa mehr Zeit bei Tests, für Kinder, die keinen Sonderunterricht brauchen, zum Beispiel bei Diabetes, Allergien oder ADHS.</w:t>
      </w:r>
    </w:p>
    <w:p w14:paraId="70A4E87A" w14:textId="77777777" w:rsidR="00C1548D" w:rsidRDefault="00C1548D">
      <w:pPr>
        <w:spacing w:line="120" w:lineRule="exact"/>
      </w:pPr>
    </w:p>
    <w:p w14:paraId="70A4E87B" w14:textId="77777777" w:rsidR="00C1548D" w:rsidRDefault="009B1B4B">
      <w:pPr>
        <w:spacing w:after="140"/>
      </w:pPr>
      <w:r>
        <w:t>Du beantragst die Prüfung (</w:t>
      </w:r>
      <w:r>
        <w:rPr>
          <w:i/>
          <w:iCs/>
        </w:rPr>
        <w:t>Evaluation</w:t>
      </w:r>
      <w:r>
        <w:t xml:space="preserve">) schriftlich bei der Schulleitung; danach folgt eine Besprechung mit dem Team. Bringe Gutachten und Förderpläne aus Deutschland mit englischer </w:t>
      </w:r>
      <w:r>
        <w:lastRenderedPageBreak/>
        <w:t>Übersetzung mit: Die Schule testet meist selbst, aber die Unterlagen belegen den Verlauf.</w:t>
      </w:r>
    </w:p>
    <w:p w14:paraId="70A4E87C" w14:textId="13A41C75" w:rsidR="00C1548D" w:rsidRDefault="009B1B4B">
      <w:pPr>
        <w:spacing w:after="140"/>
      </w:pPr>
      <w:r>
        <w:t>Für Hochbegabte (</w:t>
      </w:r>
      <w:r>
        <w:rPr>
          <w:i/>
          <w:iCs/>
        </w:rPr>
        <w:t>Gifted and Talented</w:t>
      </w:r>
      <w:r>
        <w:t xml:space="preserve">) gibt es keinen bundesweiten Anspruch. Staaten und Distrikte entscheiden über Tests, Aufnahme und Angebot: Zusatzkurse, eigene Klassen, Honors und AP, auch das Überspringen einer Klasse. Sprachförderung für Kinder mit wenig Englisch: </w:t>
      </w:r>
      <w:r>
        <w:t>Kapitel </w:t>
      </w:r>
      <w:hyperlink w:anchor="k37" w:history="1">
        <w:r>
          <w:t>37</w:t>
        </w:r>
      </w:hyperlink>
      <w:r>
        <w:t>.</w:t>
      </w:r>
    </w:p>
    <w:p w14:paraId="70A4E87D" w14:textId="77777777" w:rsidR="00C1548D" w:rsidRDefault="009B1B4B">
      <w:pPr>
        <w:pStyle w:val="Heading3"/>
        <w:keepNext/>
        <w:jc w:val="center"/>
      </w:pPr>
      <w:r>
        <w:rPr>
          <w:rFonts w:ascii="Amazon Ember" w:eastAsia="Amazon Ember" w:hAnsi="Amazon Ember" w:cs="Amazon Ember"/>
          <w:color w:val="0000FF"/>
          <w:sz w:val="36"/>
          <w:szCs w:val="36"/>
        </w:rPr>
        <w:t>Vergleich mit Deutschland: Gymnasium, Gesamtschule, Ganztag, Abitur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231"/>
        <w:gridCol w:w="2299"/>
      </w:tblGrid>
      <w:tr w:rsidR="00C1548D" w14:paraId="70A4E881"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7E" w14:textId="77777777" w:rsidR="00C1548D" w:rsidRDefault="009B1B4B">
            <w:pPr>
              <w:spacing w:line="250" w:lineRule="auto"/>
            </w:pPr>
            <w:r>
              <w:rPr>
                <w:b/>
                <w:bCs/>
                <w:sz w:val="18"/>
                <w:szCs w:val="18"/>
              </w:rPr>
              <w:t>Thema</w:t>
            </w:r>
          </w:p>
        </w:tc>
        <w:tc>
          <w:tcPr>
            <w:tcW w:w="323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7F" w14:textId="77777777" w:rsidR="00C1548D" w:rsidRDefault="009B1B4B">
            <w:pPr>
              <w:spacing w:line="250" w:lineRule="auto"/>
            </w:pPr>
            <w:r>
              <w:rPr>
                <w:b/>
                <w:bCs/>
                <w:sz w:val="18"/>
                <w:szCs w:val="18"/>
              </w:rPr>
              <w:t>Deutschland</w:t>
            </w:r>
          </w:p>
        </w:tc>
        <w:tc>
          <w:tcPr>
            <w:tcW w:w="229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80" w14:textId="77777777" w:rsidR="00C1548D" w:rsidRDefault="009B1B4B">
            <w:pPr>
              <w:spacing w:line="250" w:lineRule="auto"/>
            </w:pPr>
            <w:r>
              <w:rPr>
                <w:b/>
                <w:bCs/>
                <w:sz w:val="18"/>
                <w:szCs w:val="18"/>
              </w:rPr>
              <w:t>USA</w:t>
            </w:r>
          </w:p>
        </w:tc>
      </w:tr>
      <w:tr w:rsidR="00C1548D" w14:paraId="70A4E88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82" w14:textId="77777777" w:rsidR="00C1548D" w:rsidRDefault="009B1B4B">
            <w:pPr>
              <w:spacing w:line="250" w:lineRule="auto"/>
            </w:pPr>
            <w:r>
              <w:rPr>
                <w:sz w:val="18"/>
                <w:szCs w:val="18"/>
              </w:rPr>
              <w:t>Nach der Grundschule</w:t>
            </w:r>
          </w:p>
        </w:tc>
        <w:tc>
          <w:tcPr>
            <w:tcW w:w="3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83" w14:textId="77777777" w:rsidR="00C1548D" w:rsidRDefault="009B1B4B">
            <w:pPr>
              <w:spacing w:line="250" w:lineRule="auto"/>
            </w:pPr>
            <w:r>
              <w:rPr>
                <w:sz w:val="18"/>
                <w:szCs w:val="18"/>
              </w:rPr>
              <w:t>Aufteilung auf Schulformen (Gymnasium, Realschule, Gesamtschule) meist ab Klasse 5</w:t>
            </w:r>
          </w:p>
        </w:tc>
        <w:tc>
          <w:tcPr>
            <w:tcW w:w="2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84" w14:textId="77777777" w:rsidR="00C1548D" w:rsidRDefault="009B1B4B">
            <w:pPr>
              <w:spacing w:line="250" w:lineRule="auto"/>
            </w:pPr>
            <w:r>
              <w:rPr>
                <w:sz w:val="18"/>
                <w:szCs w:val="18"/>
              </w:rPr>
              <w:t>eine gemeinsame Middle und High School</w:t>
            </w:r>
          </w:p>
        </w:tc>
      </w:tr>
      <w:tr w:rsidR="00C1548D" w14:paraId="70A4E88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86" w14:textId="77777777" w:rsidR="00C1548D" w:rsidRDefault="009B1B4B">
            <w:pPr>
              <w:spacing w:line="250" w:lineRule="auto"/>
            </w:pPr>
            <w:r>
              <w:rPr>
                <w:sz w:val="18"/>
                <w:szCs w:val="18"/>
              </w:rPr>
              <w:t>Leistungsstufen</w:t>
            </w:r>
          </w:p>
        </w:tc>
        <w:tc>
          <w:tcPr>
            <w:tcW w:w="3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87" w14:textId="77777777" w:rsidR="00C1548D" w:rsidRDefault="009B1B4B">
            <w:pPr>
              <w:spacing w:line="250" w:lineRule="auto"/>
            </w:pPr>
            <w:r>
              <w:rPr>
                <w:sz w:val="18"/>
                <w:szCs w:val="18"/>
              </w:rPr>
              <w:t>Schulform</w:t>
            </w:r>
          </w:p>
        </w:tc>
        <w:tc>
          <w:tcPr>
            <w:tcW w:w="2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88" w14:textId="77777777" w:rsidR="00C1548D" w:rsidRDefault="009B1B4B">
            <w:pPr>
              <w:spacing w:line="250" w:lineRule="auto"/>
            </w:pPr>
            <w:r>
              <w:rPr>
                <w:sz w:val="18"/>
                <w:szCs w:val="18"/>
              </w:rPr>
              <w:t>Kurse: Honors, AP, IB</w:t>
            </w:r>
          </w:p>
        </w:tc>
      </w:tr>
      <w:tr w:rsidR="00C1548D" w14:paraId="70A4E88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8A" w14:textId="77777777" w:rsidR="00C1548D" w:rsidRDefault="009B1B4B">
            <w:pPr>
              <w:spacing w:line="250" w:lineRule="auto"/>
            </w:pPr>
            <w:r>
              <w:rPr>
                <w:sz w:val="18"/>
                <w:szCs w:val="18"/>
              </w:rPr>
              <w:t>Tag</w:t>
            </w:r>
          </w:p>
        </w:tc>
        <w:tc>
          <w:tcPr>
            <w:tcW w:w="3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8B" w14:textId="77777777" w:rsidR="00C1548D" w:rsidRDefault="009B1B4B">
            <w:pPr>
              <w:spacing w:line="250" w:lineRule="auto"/>
            </w:pPr>
            <w:r>
              <w:rPr>
                <w:sz w:val="18"/>
                <w:szCs w:val="18"/>
              </w:rPr>
              <w:t>Halbtag oder Ganztag</w:t>
            </w:r>
          </w:p>
        </w:tc>
        <w:tc>
          <w:tcPr>
            <w:tcW w:w="2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8C" w14:textId="77777777" w:rsidR="00C1548D" w:rsidRDefault="009B1B4B">
            <w:pPr>
              <w:spacing w:line="250" w:lineRule="auto"/>
            </w:pPr>
            <w:r>
              <w:rPr>
                <w:sz w:val="18"/>
                <w:szCs w:val="18"/>
              </w:rPr>
              <w:t>bis ca. 15 Uhr, dann Sport und Clubs</w:t>
            </w:r>
          </w:p>
        </w:tc>
      </w:tr>
      <w:tr w:rsidR="00C1548D" w14:paraId="70A4E89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8E" w14:textId="77777777" w:rsidR="00C1548D" w:rsidRDefault="009B1B4B">
            <w:pPr>
              <w:spacing w:line="250" w:lineRule="auto"/>
            </w:pPr>
            <w:r>
              <w:rPr>
                <w:sz w:val="18"/>
                <w:szCs w:val="18"/>
              </w:rPr>
              <w:t>Noten</w:t>
            </w:r>
          </w:p>
        </w:tc>
        <w:tc>
          <w:tcPr>
            <w:tcW w:w="3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8F" w14:textId="77777777" w:rsidR="00C1548D" w:rsidRDefault="009B1B4B">
            <w:pPr>
              <w:spacing w:line="250" w:lineRule="auto"/>
            </w:pPr>
            <w:r>
              <w:rPr>
                <w:sz w:val="18"/>
                <w:szCs w:val="18"/>
              </w:rPr>
              <w:t>1 (beste) bis 6</w:t>
            </w:r>
          </w:p>
        </w:tc>
        <w:tc>
          <w:tcPr>
            <w:tcW w:w="2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90" w14:textId="77777777" w:rsidR="00C1548D" w:rsidRDefault="009B1B4B">
            <w:pPr>
              <w:spacing w:line="250" w:lineRule="auto"/>
            </w:pPr>
            <w:r>
              <w:rPr>
                <w:sz w:val="18"/>
                <w:szCs w:val="18"/>
              </w:rPr>
              <w:t>A (beste) bis F, GPA</w:t>
            </w:r>
          </w:p>
        </w:tc>
      </w:tr>
      <w:tr w:rsidR="00C1548D" w14:paraId="70A4E89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92" w14:textId="77777777" w:rsidR="00C1548D" w:rsidRDefault="009B1B4B">
            <w:pPr>
              <w:spacing w:line="250" w:lineRule="auto"/>
            </w:pPr>
            <w:r>
              <w:rPr>
                <w:sz w:val="18"/>
                <w:szCs w:val="18"/>
              </w:rPr>
              <w:t>Abschluss</w:t>
            </w:r>
          </w:p>
        </w:tc>
        <w:tc>
          <w:tcPr>
            <w:tcW w:w="3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93" w14:textId="77777777" w:rsidR="00C1548D" w:rsidRDefault="009B1B4B">
            <w:pPr>
              <w:spacing w:line="250" w:lineRule="auto"/>
            </w:pPr>
            <w:r>
              <w:rPr>
                <w:sz w:val="18"/>
                <w:szCs w:val="18"/>
              </w:rPr>
              <w:t>Abitur, zugleich Hochschulreife</w:t>
            </w:r>
          </w:p>
        </w:tc>
        <w:tc>
          <w:tcPr>
            <w:tcW w:w="2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94" w14:textId="77777777" w:rsidR="00C1548D" w:rsidRDefault="009B1B4B">
            <w:pPr>
              <w:spacing w:line="250" w:lineRule="auto"/>
            </w:pPr>
            <w:r>
              <w:rPr>
                <w:sz w:val="18"/>
                <w:szCs w:val="18"/>
              </w:rPr>
              <w:t>Diploma; Bewerbung mit GPA, Tests, Aufsatz</w:t>
            </w:r>
          </w:p>
        </w:tc>
      </w:tr>
    </w:tbl>
    <w:p w14:paraId="70A4E896" w14:textId="77777777" w:rsidR="00C1548D" w:rsidRDefault="00C1548D">
      <w:pPr>
        <w:spacing w:line="180" w:lineRule="exact"/>
      </w:pPr>
    </w:p>
    <w:p w14:paraId="70A4E897" w14:textId="77777777" w:rsidR="00C1548D" w:rsidRDefault="009B1B4B">
      <w:pPr>
        <w:spacing w:after="140"/>
      </w:pPr>
      <w:r>
        <w:t>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w:t>
      </w:r>
      <w:r>
        <w:rPr>
          <w:i/>
          <w:iCs/>
        </w:rPr>
        <w:t>Career and Technical Education</w:t>
      </w:r>
      <w:r>
        <w:t>); die duale Ausbildung mit Berufsschule ist in den USA die Ausnahme.</w:t>
      </w:r>
    </w:p>
    <w:p w14:paraId="70A4E898" w14:textId="217AA8B0" w:rsidR="00C1548D" w:rsidRDefault="009B1B4B">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w:t>
      </w:r>
      <w:r>
        <w:lastRenderedPageBreak/>
        <w:t>einzeln, und umgekehrt genügt es für deutsche Hochschulen allein oft nicht (DAAD). Wege sind das Studienkolleg mit Feststellungsprüfung, ein bis zwei Jahre US-College oder eine Einzelfallbewertung; ein IB-Diplom kann direkten Zugang bringen (Kapitel </w:t>
      </w:r>
      <w:hyperlink w:anchor="k38" w:history="1">
        <w:r>
          <w:t>38</w:t>
        </w:r>
      </w:hyperlink>
      <w:r>
        <w:t xml:space="preserve">). Was für Rückkehrer gilt, steht in </w:t>
      </w:r>
      <w:r>
        <w:t>Kapitel </w:t>
      </w:r>
      <w:hyperlink w:anchor="k42" w:history="1">
        <w:r>
          <w:t>42</w:t>
        </w:r>
      </w:hyperlink>
      <w:r>
        <w:t>.</w:t>
      </w:r>
    </w:p>
    <w:p w14:paraId="70A4E899" w14:textId="77777777" w:rsidR="00C1548D" w:rsidRDefault="009B1B4B">
      <w:pPr>
        <w:pStyle w:val="Heading3"/>
        <w:keepNext/>
        <w:jc w:val="center"/>
      </w:pPr>
      <w:r>
        <w:rPr>
          <w:rFonts w:ascii="Amazon Ember" w:eastAsia="Amazon Ember" w:hAnsi="Amazon Ember" w:cs="Amazon Ember"/>
          <w:color w:val="0000FF"/>
          <w:sz w:val="36"/>
          <w:szCs w:val="36"/>
        </w:rPr>
        <w:t>Welche Altersstufen es schwer haben</w:t>
      </w:r>
    </w:p>
    <w:p w14:paraId="70A4E89A" w14:textId="77777777" w:rsidR="00C1548D" w:rsidRDefault="009B1B4B" w:rsidP="009B1B4B">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w14:paraId="70A4E89B" w14:textId="77777777" w:rsidR="00C1548D" w:rsidRDefault="009B1B4B" w:rsidP="009B1B4B">
      <w:pPr>
        <w:pStyle w:val="ListParagraph"/>
        <w:numPr>
          <w:ilvl w:val="0"/>
          <w:numId w:val="1"/>
        </w:numPr>
        <w:spacing w:after="60"/>
      </w:pPr>
      <w:r>
        <w:rPr>
          <w:b/>
          <w:bCs/>
        </w:rPr>
        <w:t>Grade 4 bis 8:</w:t>
      </w:r>
      <w:r>
        <w:t xml:space="preserve"> Die Sprache wird akademisch, und die Middle School bringt Fachlehrkräfte, Klassenwechsel und den Beginn der Teenagerzeit. Plane Geduld und Sprachförderung ein.</w:t>
      </w:r>
    </w:p>
    <w:p w14:paraId="70A4E89C" w14:textId="77777777" w:rsidR="00C1548D" w:rsidRDefault="009B1B4B" w:rsidP="009B1B4B">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w14:paraId="70A4E89D" w14:textId="77777777" w:rsidR="00C1548D" w:rsidRDefault="009B1B4B" w:rsidP="009B1B4B">
      <w:pPr>
        <w:pStyle w:val="ListParagraph"/>
        <w:numPr>
          <w:ilvl w:val="0"/>
          <w:numId w:val="1"/>
        </w:numPr>
        <w:spacing w:after="60"/>
      </w:pPr>
      <w:r>
        <w:rPr>
          <w:b/>
          <w:bCs/>
        </w:rPr>
        <w:t>Grade 11 und 12:</w:t>
      </w:r>
      <w:r>
        <w:t xml:space="preserve"> Der schwierigste Zeitpunkt. Credits fehlen, der GPA aus Grade 11 zählt besonders, SAT oder ACT stehen an, und die College-Fristen liegen im Herbst des letzten Jahres.</w:t>
      </w:r>
    </w:p>
    <w:p w14:paraId="70A4E89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8A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89F" w14:textId="77777777" w:rsidR="00C1548D" w:rsidRDefault="009B1B4B">
            <w:pPr>
              <w:keepNext/>
              <w:spacing w:after="70" w:line="240" w:lineRule="auto"/>
            </w:pPr>
            <w:r>
              <w:rPr>
                <w:b/>
                <w:bCs/>
                <w:color w:val="9B2C2C"/>
                <w:spacing w:val="24"/>
                <w:sz w:val="16"/>
                <w:szCs w:val="16"/>
              </w:rPr>
              <w:t>ACHTUNG</w:t>
            </w:r>
          </w:p>
          <w:p w14:paraId="70A4E8A0" w14:textId="7692EADD" w:rsidR="00C1548D" w:rsidRDefault="009B1B4B">
            <w:pPr>
              <w:spacing w:after="80" w:line="264" w:lineRule="auto"/>
            </w:pPr>
            <w:r>
              <w:rPr>
                <w:sz w:val="20"/>
                <w:szCs w:val="20"/>
              </w:rPr>
              <w:t>Bei Teenagern in Grade 11 oder 12 lohnt es, vor dem Umzug zu rechnen: Fehlen Credits? Reicht die Zeit für Tests und Bewerbungen? Alternativen sind ein Umzug nach dem Schulabschluss oder eine deutsche Auslandsschule. Bei H-4 und L-2 endet der Kinderstatus mit 21 (Kapitel </w:t>
            </w:r>
            <w:hyperlink w:anchor="k10" w:history="1">
              <w:r>
                <w:rPr>
                  <w:sz w:val="20"/>
                  <w:szCs w:val="20"/>
                </w:rPr>
                <w:t>10</w:t>
              </w:r>
            </w:hyperlink>
            <w:r>
              <w:rPr>
                <w:sz w:val="20"/>
                <w:szCs w:val="20"/>
              </w:rPr>
              <w:t>).</w:t>
            </w:r>
          </w:p>
        </w:tc>
      </w:tr>
    </w:tbl>
    <w:p w14:paraId="70A4E8A2" w14:textId="77777777" w:rsidR="00C1548D" w:rsidRDefault="00C1548D">
      <w:pPr>
        <w:spacing w:line="220" w:lineRule="exact"/>
      </w:pPr>
    </w:p>
    <w:p w14:paraId="70A4E8A3" w14:textId="77777777" w:rsidR="00C1548D" w:rsidRDefault="009B1B4B">
      <w:pPr>
        <w:spacing w:after="140"/>
      </w:pPr>
      <w:r>
        <w:t>Am einfachsten ist der Sommer vor Schuljahresbeginn; ein Wechsel im laufenden Jahr ist möglich.</w:t>
      </w:r>
    </w:p>
    <w:p w14:paraId="70A4E8A4" w14:textId="77777777" w:rsidR="00C1548D" w:rsidRDefault="009B1B4B">
      <w:pPr>
        <w:pStyle w:val="Heading3"/>
        <w:keepNext/>
        <w:jc w:val="center"/>
      </w:pPr>
      <w:r>
        <w:rPr>
          <w:rFonts w:ascii="Amazon Ember" w:eastAsia="Amazon Ember" w:hAnsi="Amazon Ember" w:cs="Amazon Ember"/>
          <w:color w:val="0000FF"/>
          <w:sz w:val="36"/>
          <w:szCs w:val="36"/>
        </w:rPr>
        <w:lastRenderedPageBreak/>
        <w:t>Deutsche Schulen und Deutsch bewahren</w:t>
      </w:r>
    </w:p>
    <w:p w14:paraId="70A4E8A5" w14:textId="77777777" w:rsidR="00C1548D" w:rsidRDefault="009B1B4B">
      <w:pPr>
        <w:spacing w:after="140"/>
      </w:pPr>
      <w:r>
        <w:t xml:space="preserve">Wer deutschen Unterricht oder einen deutschen Abschluss sucht, hat drei Wege. Erstens die </w:t>
      </w:r>
      <w:r>
        <w:rPr>
          <w:i/>
          <w:iCs/>
        </w:rPr>
        <w:t>deutschen Auslandsschulen</w:t>
      </w:r>
      <w:r>
        <w:t>, die Schulgeld kosten. Nach verfügbaren Listen bestehen sie unter anderem in Mountain View und San Francisco (</w:t>
      </w:r>
      <w:r>
        <w:rPr>
          <w:i/>
          <w:iCs/>
        </w:rPr>
        <w:t>German International School Silicon Valley</w:t>
      </w:r>
      <w:r>
        <w:t>, GISSV), Boston, Chicago, Stamford, West Hartford, White Plains (</w:t>
      </w:r>
      <w:r>
        <w:rPr>
          <w:i/>
          <w:iCs/>
        </w:rPr>
        <w:t>German International School New York</w:t>
      </w:r>
      <w:r>
        <w:t>, GISNY), Brooklyn, Portland, Washington, D.C. und Phoenix; die Stufen unterscheiden sich, aktueller Stand bei der Zentralstelle für das Auslandsschulwesen (auslandsschulwesen.de).</w:t>
      </w:r>
    </w:p>
    <w:p w14:paraId="70A4E8A6" w14:textId="77777777" w:rsidR="00C1548D" w:rsidRDefault="009B1B4B">
      <w:pPr>
        <w:spacing w:after="140"/>
      </w:pPr>
      <w: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w14:paraId="70A4E8A7" w14:textId="78453A9B" w:rsidR="00C1548D" w:rsidRDefault="009B1B4B">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t>Samstagsschule</w:t>
      </w:r>
      <w:r>
        <w:t xml:space="preserve"> neben der öffentlichen Schule, etwa an der GISSV, in Boston und in Tempe bei Phoenix (mehr in Kapitel </w:t>
      </w:r>
      <w:hyperlink w:anchor="k37" w:history="1">
        <w:r>
          <w:t>37</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8AA"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8A8" w14:textId="77777777" w:rsidR="00C1548D" w:rsidRDefault="009B1B4B">
            <w:pPr>
              <w:keepNext/>
              <w:spacing w:after="70" w:line="240" w:lineRule="auto"/>
            </w:pPr>
            <w:r>
              <w:rPr>
                <w:b/>
                <w:bCs/>
                <w:color w:val="2F6B3B"/>
                <w:spacing w:val="24"/>
                <w:sz w:val="16"/>
                <w:szCs w:val="16"/>
              </w:rPr>
              <w:lastRenderedPageBreak/>
              <w:t>SPARTIPP</w:t>
            </w:r>
          </w:p>
          <w:p w14:paraId="70A4E8A9" w14:textId="77777777" w:rsidR="00C1548D" w:rsidRDefault="009B1B4B">
            <w:pPr>
              <w:spacing w:after="80" w:line="264" w:lineRule="auto"/>
            </w:pPr>
            <w:r>
              <w:rPr>
                <w:sz w:val="20"/>
                <w:szCs w:val="20"/>
              </w:rPr>
              <w:t>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tc>
      </w:tr>
    </w:tbl>
    <w:p w14:paraId="70A4E8AB" w14:textId="77777777" w:rsidR="00C1548D" w:rsidRDefault="00C1548D">
      <w:pPr>
        <w:spacing w:line="220" w:lineRule="exact"/>
      </w:pPr>
    </w:p>
    <w:p w14:paraId="70A4E8AC"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8AF"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AD"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8AE" w14:textId="77777777" w:rsidR="00C1548D" w:rsidRDefault="009B1B4B">
            <w:pPr>
              <w:spacing w:line="250" w:lineRule="auto"/>
            </w:pPr>
            <w:r>
              <w:rPr>
                <w:b/>
                <w:bCs/>
                <w:sz w:val="18"/>
                <w:szCs w:val="18"/>
              </w:rPr>
              <w:t>Minus</w:t>
            </w:r>
          </w:p>
        </w:tc>
      </w:tr>
      <w:tr w:rsidR="00C1548D" w14:paraId="70A4E8B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B0" w14:textId="77777777" w:rsidR="00C1548D" w:rsidRDefault="009B1B4B">
            <w:pPr>
              <w:spacing w:line="250" w:lineRule="auto"/>
            </w:pPr>
            <w:r>
              <w:rPr>
                <w:sz w:val="18"/>
                <w:szCs w:val="18"/>
              </w:rPr>
              <w:t>Öffentliche Schulen sind kostenlos, Anmeldung ohne SSN und Statusnachweis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B1" w14:textId="77777777" w:rsidR="00C1548D" w:rsidRDefault="009B1B4B">
            <w:pPr>
              <w:spacing w:line="250" w:lineRule="auto"/>
            </w:pPr>
            <w:r>
              <w:rPr>
                <w:sz w:val="18"/>
                <w:szCs w:val="18"/>
              </w:rPr>
              <w:t>Qualität und Ausstattung hängen an Wohnort, Distrikt und Grundsteuer</w:t>
            </w:r>
          </w:p>
        </w:tc>
      </w:tr>
      <w:tr w:rsidR="00C1548D" w14:paraId="70A4E8B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B3" w14:textId="77777777" w:rsidR="00C1548D" w:rsidRDefault="009B1B4B">
            <w:pPr>
              <w:spacing w:line="250" w:lineRule="auto"/>
            </w:pPr>
            <w:r>
              <w:rPr>
                <w:sz w:val="18"/>
                <w:szCs w:val="18"/>
              </w:rPr>
              <w:t>Große Kurswahl an der High School (Honors, AP, Kunst, Musik, Technik)</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B4" w14:textId="77777777" w:rsidR="00C1548D" w:rsidRDefault="009B1B4B">
            <w:pPr>
              <w:spacing w:line="250" w:lineRule="auto"/>
            </w:pPr>
            <w:r>
              <w:rPr>
                <w:sz w:val="18"/>
                <w:szCs w:val="18"/>
              </w:rPr>
              <w:t>Schulschießereien und Lockdown-Übungen gehören zum Alltag</w:t>
            </w:r>
          </w:p>
        </w:tc>
      </w:tr>
      <w:tr w:rsidR="00C1548D" w14:paraId="70A4E8B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B6" w14:textId="77777777" w:rsidR="00C1548D" w:rsidRDefault="009B1B4B">
            <w:pPr>
              <w:spacing w:line="250" w:lineRule="auto"/>
            </w:pPr>
            <w:r>
              <w:rPr>
                <w:sz w:val="18"/>
                <w:szCs w:val="18"/>
              </w:rPr>
              <w:t>Sport, Musik und Clubs direkt an der Schule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B7" w14:textId="77777777" w:rsidR="00C1548D" w:rsidRDefault="009B1B4B">
            <w:pPr>
              <w:spacing w:line="250" w:lineRule="auto"/>
            </w:pPr>
            <w:r>
              <w:rPr>
                <w:sz w:val="18"/>
                <w:szCs w:val="18"/>
              </w:rPr>
              <w:t>10–12 Wochen Sommerferien: Betreuungslücke, Camps kosten extra</w:t>
            </w:r>
          </w:p>
        </w:tc>
      </w:tr>
      <w:tr w:rsidR="00C1548D" w14:paraId="70A4E8B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B9" w14:textId="77777777" w:rsidR="00C1548D" w:rsidRDefault="009B1B4B">
            <w:pPr>
              <w:spacing w:line="250" w:lineRule="auto"/>
            </w:pPr>
            <w:r>
              <w:rPr>
                <w:sz w:val="18"/>
                <w:szCs w:val="18"/>
              </w:rPr>
              <w:t>Schule läuft bis in den Nachmittag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BA" w14:textId="77777777" w:rsidR="00C1548D" w:rsidRDefault="009B1B4B">
            <w:pPr>
              <w:spacing w:line="250" w:lineRule="auto"/>
            </w:pPr>
            <w:r>
              <w:rPr>
                <w:sz w:val="18"/>
                <w:szCs w:val="18"/>
              </w:rPr>
              <w:t>Zusatzkosten für Sport, Materialien und Ausflüge</w:t>
            </w:r>
          </w:p>
        </w:tc>
      </w:tr>
      <w:tr w:rsidR="00C1548D" w14:paraId="70A4E8B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BC" w14:textId="77777777" w:rsidR="00C1548D" w:rsidRDefault="009B1B4B">
            <w:pPr>
              <w:spacing w:line="250" w:lineRule="auto"/>
            </w:pPr>
            <w:r>
              <w:rPr>
                <w:sz w:val="18"/>
                <w:szCs w:val="18"/>
              </w:rPr>
              <w:t>Späte Auslese statt früher Trennung nach der Grundschule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BD" w14:textId="77777777" w:rsidR="00C1548D" w:rsidRDefault="009B1B4B">
            <w:pPr>
              <w:spacing w:line="250" w:lineRule="auto"/>
            </w:pPr>
            <w:r>
              <w:rPr>
                <w:sz w:val="18"/>
                <w:szCs w:val="18"/>
              </w:rPr>
              <w:t>Pflichttests und GPA ab Grade 9 erzeugen Leistungsdruck</w:t>
            </w:r>
          </w:p>
        </w:tc>
      </w:tr>
      <w:tr w:rsidR="00C1548D" w14:paraId="70A4E8C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BF" w14:textId="244C3ACB" w:rsidR="00C1548D" w:rsidRDefault="009B1B4B">
            <w:pPr>
              <w:spacing w:line="250" w:lineRule="auto"/>
            </w:pPr>
            <w:r>
              <w:rPr>
                <w:sz w:val="18"/>
                <w:szCs w:val="18"/>
              </w:rPr>
              <w:t>Viele Schulen sind an Neuzugewanderte gewöhnt (Kapitel </w:t>
            </w:r>
            <w:hyperlink w:anchor="k37" w:history="1">
              <w:r>
                <w:rPr>
                  <w:sz w:val="18"/>
                  <w:szCs w:val="18"/>
                </w:rPr>
                <w:t>37</w:t>
              </w:r>
            </w:hyperlink>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8C0" w14:textId="77777777" w:rsidR="00C1548D" w:rsidRDefault="009B1B4B">
            <w:pPr>
              <w:spacing w:line="250" w:lineRule="auto"/>
            </w:pPr>
            <w:r>
              <w:rPr>
                <w:sz w:val="18"/>
                <w:szCs w:val="18"/>
              </w:rPr>
              <w:t>Umzug in Grade 11 oder 12 schwierig; US-Diploma ist nicht das Abitur</w:t>
            </w:r>
          </w:p>
        </w:tc>
      </w:tr>
    </w:tbl>
    <w:p w14:paraId="70A4E8C2" w14:textId="77777777" w:rsidR="00C1548D" w:rsidRDefault="00C1548D">
      <w:pPr>
        <w:spacing w:line="180" w:lineRule="exact"/>
      </w:pPr>
    </w:p>
    <w:p w14:paraId="70A4E8C3"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8C4" w14:textId="77777777" w:rsidR="00C1548D" w:rsidRDefault="009B1B4B">
      <w:pPr>
        <w:spacing w:after="140"/>
      </w:pPr>
      <w:r>
        <w:t>Kläre zuerst Wohnort und Distrikt, dann Stichtag und Einstufung, sammle die Unterlagen und plane die Anmeldung mit dem Mietvertrag ein; bei Teenagern sprich früh mit dem Counselor über Credits und Abschluss.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8CF"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8C5" w14:textId="77777777" w:rsidR="00C1548D" w:rsidRDefault="009B1B4B">
            <w:pPr>
              <w:keepNext/>
              <w:spacing w:after="70" w:line="240" w:lineRule="auto"/>
            </w:pPr>
            <w:r>
              <w:rPr>
                <w:b/>
                <w:bCs/>
                <w:color w:val="1F6F78"/>
                <w:spacing w:val="24"/>
                <w:sz w:val="16"/>
                <w:szCs w:val="16"/>
              </w:rPr>
              <w:lastRenderedPageBreak/>
              <w:t>CHECKLISTE</w:t>
            </w:r>
          </w:p>
          <w:p w14:paraId="70A4E8C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Schuldistrikt der Adresse auf der Distrikt-Website prüfen und die Zuordnung schriftlich bestätigen lassen, bevor du unterschreibst</w:t>
            </w:r>
          </w:p>
          <w:p w14:paraId="70A4E8C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Zwei bis drei Distrikte mit Rating, Wachstumswert und Schulbericht vergleichen und mindestens eine Schule besuchen</w:t>
            </w:r>
          </w:p>
          <w:p w14:paraId="70A4E8C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Stichtag und Einstufung des Kindes beim Distrikt klären</w:t>
            </w:r>
          </w:p>
          <w:p w14:paraId="70A4E8C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Geburtsurkunde, Reisepass, letzte Zeugnisse (mit Übersetzung) und Impfpass ins Handgepäck legen</w:t>
            </w:r>
          </w:p>
          <w:p w14:paraId="70A4E8C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Impfstatus vor dem Abflug mit dem Kinderarzt und der Liste des Zielstaats abgleichen</w:t>
            </w:r>
          </w:p>
          <w:p w14:paraId="70A4E8C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Wohnsitznachweis vorbereiten: Mietvertrag und eine Rechnung mit der neuen Adresse</w:t>
            </w:r>
          </w:p>
          <w:p w14:paraId="70A4E8C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Charter- und Magnet-Schulen die Bewerbungsfrist (oft Dezember bis Februar) notieren</w:t>
            </w:r>
          </w:p>
          <w:p w14:paraId="70A4E8C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Gutachten und Förderpläne aus Deutschland übersetzen lassen, falls dein Kind Förderbedarf hat</w:t>
            </w:r>
          </w:p>
          <w:p w14:paraId="70A4E8C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Sommerbetreuung und After Care früh anfragen; bei Teenagern Credits mit dem Counselor klären</w:t>
            </w:r>
          </w:p>
        </w:tc>
      </w:tr>
    </w:tbl>
    <w:p w14:paraId="70A4E8D0" w14:textId="77777777" w:rsidR="00C1548D" w:rsidRDefault="00C1548D">
      <w:pPr>
        <w:spacing w:line="220" w:lineRule="exact"/>
      </w:pPr>
    </w:p>
    <w:p w14:paraId="70A4E8D1"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8D2" w14:textId="6E8937EB" w:rsidR="00C1548D" w:rsidRDefault="009B1B4B" w:rsidP="009B1B4B">
      <w:pPr>
        <w:pStyle w:val="ListParagraph"/>
        <w:numPr>
          <w:ilvl w:val="0"/>
          <w:numId w:val="1"/>
        </w:numPr>
        <w:spacing w:after="60"/>
      </w:pPr>
      <w:r>
        <w:t>NCES, Bildungsstatistikbehörde — Schüler, Schulfinanzen, Charter-Schulen, Sicherheit (</w:t>
      </w:r>
      <w:hyperlink r:id="rId307" w:history="1">
        <w:r>
          <w:rPr>
            <w:color w:val="0563C1"/>
            <w:u w:val="single"/>
          </w:rPr>
          <w:t>nces.ed.gov/fastfacts</w:t>
        </w:r>
      </w:hyperlink>
      <w:r>
        <w:t>)</w:t>
      </w:r>
    </w:p>
    <w:p w14:paraId="70A4E8D3" w14:textId="41340516" w:rsidR="00C1548D" w:rsidRDefault="009B1B4B" w:rsidP="009B1B4B">
      <w:pPr>
        <w:pStyle w:val="ListParagraph"/>
        <w:numPr>
          <w:ilvl w:val="0"/>
          <w:numId w:val="1"/>
        </w:numPr>
        <w:spacing w:after="60"/>
      </w:pPr>
      <w:r>
        <w:t>NCES Digest of Education Statistics — Sicherheitsübungen, Privatschulen (</w:t>
      </w:r>
      <w:hyperlink r:id="rId308" w:history="1">
        <w:r>
          <w:rPr>
            <w:color w:val="0563C1"/>
            <w:u w:val="single"/>
          </w:rPr>
          <w:t>nces.ed.gov/programs/digest</w:t>
        </w:r>
      </w:hyperlink>
      <w:r>
        <w:t>)</w:t>
      </w:r>
    </w:p>
    <w:p w14:paraId="70A4E8D4" w14:textId="2B72AB25" w:rsidR="00C1548D" w:rsidRDefault="009B1B4B" w:rsidP="009B1B4B">
      <w:pPr>
        <w:pStyle w:val="ListParagraph"/>
        <w:numPr>
          <w:ilvl w:val="0"/>
          <w:numId w:val="1"/>
        </w:numPr>
        <w:spacing w:after="60"/>
      </w:pPr>
      <w:r>
        <w:t>Bildungsministerium der USA — Schulrecht, IDEA, Beschwerden beim Office for Civil Rights (</w:t>
      </w:r>
      <w:hyperlink r:id="rId309" w:history="1">
        <w:r>
          <w:rPr>
            <w:color w:val="0563C1"/>
            <w:u w:val="single"/>
          </w:rPr>
          <w:t>ed.gov</w:t>
        </w:r>
      </w:hyperlink>
      <w:r>
        <w:t>)</w:t>
      </w:r>
    </w:p>
    <w:p w14:paraId="70A4E8D5" w14:textId="04C0FEB4" w:rsidR="00C1548D" w:rsidRDefault="009B1B4B" w:rsidP="009B1B4B">
      <w:pPr>
        <w:pStyle w:val="ListParagraph"/>
        <w:numPr>
          <w:ilvl w:val="0"/>
          <w:numId w:val="1"/>
        </w:numPr>
        <w:spacing w:after="60"/>
      </w:pPr>
      <w:r>
        <w:t>GreatSchools — Methodik der Schulbewertungen (</w:t>
      </w:r>
      <w:hyperlink r:id="rId310" w:history="1">
        <w:r>
          <w:rPr>
            <w:color w:val="0563C1"/>
            <w:u w:val="single"/>
          </w:rPr>
          <w:t>greatschools.org/gk/ratings</w:t>
        </w:r>
      </w:hyperlink>
      <w:r>
        <w:t>)</w:t>
      </w:r>
    </w:p>
    <w:p w14:paraId="70A4E8D6" w14:textId="172409B1" w:rsidR="00C1548D" w:rsidRDefault="009B1B4B" w:rsidP="009B1B4B">
      <w:pPr>
        <w:pStyle w:val="ListParagraph"/>
        <w:numPr>
          <w:ilvl w:val="0"/>
          <w:numId w:val="1"/>
        </w:numPr>
        <w:spacing w:after="60"/>
      </w:pPr>
      <w:r>
        <w:t>Bildungsbehörde deines Staates — Schulberichte, z. B. für Michigan (</w:t>
      </w:r>
      <w:hyperlink r:id="rId311" w:history="1">
        <w:r>
          <w:rPr>
            <w:color w:val="0563C1"/>
            <w:u w:val="single"/>
          </w:rPr>
          <w:t>mischooldata.org</w:t>
        </w:r>
      </w:hyperlink>
      <w:r>
        <w:t>)</w:t>
      </w:r>
    </w:p>
    <w:p w14:paraId="70A4E8D7" w14:textId="48EA1D4A" w:rsidR="00C1548D" w:rsidRDefault="009B1B4B" w:rsidP="009B1B4B">
      <w:pPr>
        <w:pStyle w:val="ListParagraph"/>
        <w:numPr>
          <w:ilvl w:val="0"/>
          <w:numId w:val="1"/>
        </w:numPr>
        <w:spacing w:after="60"/>
      </w:pPr>
      <w:r>
        <w:t>Zentralstelle für das Auslandsschulwesen — Deutsche Schulen im Ausland (</w:t>
      </w:r>
      <w:hyperlink r:id="rId312" w:history="1">
        <w:r>
          <w:rPr>
            <w:color w:val="0563C1"/>
            <w:u w:val="single"/>
          </w:rPr>
          <w:t>auslandsschulwesen.de</w:t>
        </w:r>
      </w:hyperlink>
      <w:r>
        <w:t>)</w:t>
      </w:r>
    </w:p>
    <w:p w14:paraId="70A4E8D8" w14:textId="3D5AE15C" w:rsidR="00C1548D" w:rsidRDefault="009B1B4B" w:rsidP="009B1B4B">
      <w:pPr>
        <w:pStyle w:val="ListParagraph"/>
        <w:numPr>
          <w:ilvl w:val="0"/>
          <w:numId w:val="1"/>
        </w:numPr>
        <w:spacing w:after="60"/>
      </w:pPr>
      <w:r>
        <w:lastRenderedPageBreak/>
        <w:t>College Board — SAT, AP, Studienplanung (</w:t>
      </w:r>
      <w:hyperlink r:id="rId313" w:history="1">
        <w:r>
          <w:rPr>
            <w:color w:val="0563C1"/>
            <w:u w:val="single"/>
          </w:rPr>
          <w:t>collegeboard.org</w:t>
        </w:r>
      </w:hyperlink>
      <w:r>
        <w:t>)</w:t>
      </w:r>
    </w:p>
    <w:p w14:paraId="70A4E8D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8D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8DA" w14:textId="77777777" w:rsidR="00C1548D" w:rsidRDefault="009B1B4B">
            <w:pPr>
              <w:keepNext/>
              <w:spacing w:after="70" w:line="240" w:lineRule="auto"/>
            </w:pPr>
            <w:r>
              <w:rPr>
                <w:b/>
                <w:bCs/>
                <w:color w:val="6B7280"/>
                <w:spacing w:val="24"/>
                <w:sz w:val="16"/>
                <w:szCs w:val="16"/>
              </w:rPr>
              <w:t>STAND</w:t>
            </w:r>
          </w:p>
          <w:p w14:paraId="70A4E8DB" w14:textId="77777777" w:rsidR="00C1548D" w:rsidRDefault="009B1B4B">
            <w:pPr>
              <w:spacing w:after="80" w:line="264" w:lineRule="auto"/>
            </w:pPr>
            <w:r>
              <w:rPr>
                <w:sz w:val="20"/>
                <w:szCs w:val="20"/>
              </w:rPr>
              <w:t xml:space="preserve">September 2026. Diese Angaben ändern sich schnell: Schulgelder der deutschen Auslandsschulen (Zahlen für 2026–27), Testpflichten der Hochschulen, Gesetzentwürfe zu </w:t>
            </w:r>
            <w:r>
              <w:rPr>
                <w:i/>
                <w:iCs/>
                <w:sz w:val="20"/>
                <w:szCs w:val="20"/>
              </w:rPr>
              <w:t>Plyler v. Doe</w:t>
            </w:r>
            <w:r>
              <w:rPr>
                <w:sz w:val="20"/>
                <w:szCs w:val="20"/>
              </w:rPr>
              <w:t>, Schulwahlprogramme und Sicherheitsstatistiken. Stichtage, Anmeldefristen und Einzugsgebiete legt jeder Distrikt selbst fest; prüfe vor jeder Entscheidung seine Website.</w:t>
            </w:r>
          </w:p>
        </w:tc>
      </w:tr>
    </w:tbl>
    <w:p w14:paraId="70A4E8DD" w14:textId="77777777" w:rsidR="00C1548D" w:rsidRDefault="00C1548D">
      <w:pPr>
        <w:spacing w:line="220" w:lineRule="exact"/>
      </w:pPr>
    </w:p>
    <w:p w14:paraId="70A4E8DE" w14:textId="77777777" w:rsidR="00C1548D" w:rsidRDefault="009B1B4B">
      <w:pPr>
        <w:pStyle w:val="Heading2"/>
        <w:keepNext/>
        <w:pageBreakBefore/>
        <w:jc w:val="center"/>
      </w:pPr>
      <w:bookmarkStart w:id="88" w:name="k37"/>
      <w:bookmarkStart w:id="89" w:name="_Toc241352494"/>
      <w:r>
        <w:rPr>
          <w:rFonts w:ascii="Amazon Ember" w:eastAsia="Amazon Ember" w:hAnsi="Amazon Ember" w:cs="Amazon Ember"/>
          <w:color w:val="0000FF"/>
          <w:sz w:val="36"/>
          <w:szCs w:val="36"/>
        </w:rPr>
        <w:lastRenderedPageBreak/>
        <w:t>Kapitel 37: ESL und Sprache: Englisch lernen und Deutsch bewahren</w:t>
      </w:r>
      <w:bookmarkEnd w:id="88"/>
      <w:bookmarkEnd w:id="89"/>
    </w:p>
    <w:p w14:paraId="70A4E8DF" w14:textId="77777777" w:rsidR="00C1548D" w:rsidRDefault="009B1B4B">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8E7"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8E0" w14:textId="77777777" w:rsidR="00C1548D" w:rsidRDefault="009B1B4B">
            <w:pPr>
              <w:keepNext/>
              <w:spacing w:after="70" w:line="240" w:lineRule="auto"/>
            </w:pPr>
            <w:r>
              <w:rPr>
                <w:b/>
                <w:bCs/>
                <w:color w:val="1F3A5F"/>
                <w:spacing w:val="24"/>
                <w:sz w:val="16"/>
                <w:szCs w:val="16"/>
              </w:rPr>
              <w:t>KURZ GESAGT</w:t>
            </w:r>
          </w:p>
          <w:p w14:paraId="70A4E8E1" w14:textId="77777777" w:rsidR="00C1548D" w:rsidRDefault="009B1B4B" w:rsidP="009B1B4B">
            <w:pPr>
              <w:pStyle w:val="ListParagraph"/>
              <w:numPr>
                <w:ilvl w:val="0"/>
                <w:numId w:val="1"/>
              </w:numPr>
              <w:spacing w:after="50" w:line="264" w:lineRule="auto"/>
            </w:pPr>
            <w:r>
              <w:rPr>
                <w:sz w:val="20"/>
                <w:szCs w:val="20"/>
              </w:rPr>
              <w:t>Öffentliche Schulen müssen Kindern mit geringen Englischkenntnissen helfen, unabhängig vom Aufenthaltsstatus; welches Programm, entscheidet der Distrikt.</w:t>
            </w:r>
          </w:p>
          <w:p w14:paraId="70A4E8E2" w14:textId="77777777" w:rsidR="00C1548D" w:rsidRDefault="009B1B4B" w:rsidP="009B1B4B">
            <w:pPr>
              <w:pStyle w:val="ListParagraph"/>
              <w:numPr>
                <w:ilvl w:val="0"/>
                <w:numId w:val="1"/>
              </w:numPr>
              <w:spacing w:after="50" w:line="264" w:lineRule="auto"/>
            </w:pPr>
            <w:r>
              <w:rPr>
                <w:sz w:val="20"/>
                <w:szCs w:val="20"/>
              </w:rPr>
              <w:t>Der Ablauf ist überall ähnlich: Fragebogen, Einstufungstest, Elternbrief, Förderung, Jahrestest, Umstufung.</w:t>
            </w:r>
          </w:p>
          <w:p w14:paraId="70A4E8E3" w14:textId="77777777" w:rsidR="00C1548D" w:rsidRDefault="009B1B4B" w:rsidP="009B1B4B">
            <w:pPr>
              <w:pStyle w:val="ListParagraph"/>
              <w:numPr>
                <w:ilvl w:val="0"/>
                <w:numId w:val="1"/>
              </w:numPr>
              <w:spacing w:after="50" w:line="264" w:lineRule="auto"/>
            </w:pPr>
            <w:r>
              <w:rPr>
                <w:sz w:val="20"/>
                <w:szCs w:val="20"/>
              </w:rPr>
              <w:t>Umgangssprache sitzt nach ein bis zwei Jahren, Schul- und Fachsprache braucht fünf bis sieben.</w:t>
            </w:r>
          </w:p>
          <w:p w14:paraId="70A4E8E4" w14:textId="77777777" w:rsidR="00C1548D" w:rsidRDefault="009B1B4B" w:rsidP="009B1B4B">
            <w:pPr>
              <w:pStyle w:val="ListParagraph"/>
              <w:numPr>
                <w:ilvl w:val="0"/>
                <w:numId w:val="1"/>
              </w:numPr>
              <w:spacing w:after="50" w:line="264" w:lineRule="auto"/>
            </w:pPr>
            <w:r>
              <w:rPr>
                <w:sz w:val="20"/>
                <w:szCs w:val="20"/>
              </w:rPr>
              <w:t>Du darfst das Programm ablehnen; meist ist es klüger, es zu nutzen und nach den Zielen zu fragen.</w:t>
            </w:r>
          </w:p>
          <w:p w14:paraId="70A4E8E5" w14:textId="77777777" w:rsidR="00C1548D" w:rsidRDefault="009B1B4B" w:rsidP="009B1B4B">
            <w:pPr>
              <w:pStyle w:val="ListParagraph"/>
              <w:numPr>
                <w:ilvl w:val="0"/>
                <w:numId w:val="1"/>
              </w:numPr>
              <w:spacing w:after="50" w:line="264" w:lineRule="auto"/>
            </w:pPr>
            <w:r>
              <w:rPr>
                <w:sz w:val="20"/>
                <w:szCs w:val="20"/>
              </w:rPr>
              <w:t>Deutsch bleibt nur erhalten, wenn ihr es bewusst pflegt: Familiensprache, Lesen, Samstagsschule oder Immersionsschule.</w:t>
            </w:r>
          </w:p>
          <w:p w14:paraId="70A4E8E6" w14:textId="77777777" w:rsidR="00C1548D" w:rsidRDefault="009B1B4B" w:rsidP="009B1B4B">
            <w:pPr>
              <w:pStyle w:val="ListParagraph"/>
              <w:numPr>
                <w:ilvl w:val="0"/>
                <w:numId w:val="1"/>
              </w:numPr>
              <w:spacing w:after="50" w:line="264" w:lineRule="auto"/>
            </w:pPr>
            <w:r>
              <w:rPr>
                <w:sz w:val="20"/>
                <w:szCs w:val="20"/>
              </w:rPr>
              <w:t>Erwachsene finden günstige Kurse in Bibliotheken und Community Colleges; Englischtests brauchst du nur für ein konkretes Ziel.</w:t>
            </w:r>
          </w:p>
        </w:tc>
      </w:tr>
    </w:tbl>
    <w:p w14:paraId="70A4E8E8" w14:textId="77777777" w:rsidR="00C1548D" w:rsidRDefault="00C1548D">
      <w:pPr>
        <w:spacing w:line="220" w:lineRule="exact"/>
      </w:pPr>
    </w:p>
    <w:p w14:paraId="70A4E8E9" w14:textId="77777777" w:rsidR="00C1548D" w:rsidRDefault="009B1B4B">
      <w:pPr>
        <w:pStyle w:val="Heading3"/>
        <w:keepNext/>
        <w:jc w:val="center"/>
      </w:pPr>
      <w:r>
        <w:rPr>
          <w:rFonts w:ascii="Amazon Ember" w:eastAsia="Amazon Ember" w:hAnsi="Amazon Ember" w:cs="Amazon Ember"/>
          <w:color w:val="0000FF"/>
          <w:sz w:val="36"/>
          <w:szCs w:val="36"/>
        </w:rPr>
        <w:t>Der Rechtsanspruch: Was die Schule leisten muss</w:t>
      </w:r>
    </w:p>
    <w:p w14:paraId="70A4E8EA" w14:textId="09571412" w:rsidR="00C1548D" w:rsidRDefault="009B1B4B">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oder </w:t>
      </w:r>
      <w:r>
        <w:rPr>
          <w:i/>
          <w:iCs/>
        </w:rPr>
        <w:t>ESOL</w:t>
      </w:r>
      <w:r>
        <w:t>. Öffentliche Schulen, Charter-Schulen eingeschlossen (Kapitel </w:t>
      </w:r>
      <w:hyperlink w:anchor="k36" w:history="1">
        <w:r>
          <w:t>36</w:t>
        </w:r>
      </w:hyperlink>
      <w:r>
        <w:t xml:space="preserve">), müssen ihnen helfen, dem Unterricht zu folgen und </w:t>
      </w:r>
      <w:r>
        <w:lastRenderedPageBreak/>
        <w:t>Englisch zu lernen, unabhängig vom Aufenthaltsstatus. Vier Rechtsgrundlagen tragen den Anspruch:</w:t>
      </w:r>
    </w:p>
    <w:p w14:paraId="70A4E8EB" w14:textId="77777777" w:rsidR="00C1548D" w:rsidRDefault="009B1B4B" w:rsidP="009B1B4B">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w14:paraId="70A4E8EC" w14:textId="77777777" w:rsidR="00C1548D" w:rsidRDefault="009B1B4B" w:rsidP="009B1B4B">
      <w:pPr>
        <w:pStyle w:val="ListParagraph"/>
        <w:numPr>
          <w:ilvl w:val="0"/>
          <w:numId w:val="1"/>
        </w:numPr>
        <w:spacing w:after="60"/>
      </w:pPr>
      <w:r>
        <w:rPr>
          <w:i/>
          <w:iCs/>
        </w:rPr>
        <w:t>Equal Educational Opportunities Act</w:t>
      </w:r>
      <w:r>
        <w:t xml:space="preserve"> (EEOA, 1974), § 1703(f): Schulen müssen „geeignete Maßnahmen“ gegen Sprachbarrieren ergreifen.</w:t>
      </w:r>
    </w:p>
    <w:p w14:paraId="70A4E8ED" w14:textId="77777777" w:rsidR="00C1548D" w:rsidRDefault="009B1B4B" w:rsidP="009B1B4B">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w14:paraId="70A4E8EE" w14:textId="77777777" w:rsidR="00C1548D" w:rsidRDefault="009B1B4B" w:rsidP="009B1B4B">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w14:paraId="70A4E8EF" w14:textId="77777777" w:rsidR="00C1548D" w:rsidRDefault="00C1548D">
      <w:pPr>
        <w:spacing w:line="120" w:lineRule="exact"/>
      </w:pPr>
    </w:p>
    <w:p w14:paraId="70A4E8F0" w14:textId="77777777" w:rsidR="00C1548D" w:rsidRDefault="009B1B4B">
      <w:pPr>
        <w:spacing w:after="140"/>
      </w:pPr>
      <w:r>
        <w:t>Der Bund schreibt aber kein einheitliches Programm vor: Extra-Unterricht, Klassenzimmerhilfe oder zweisprachiger Unterricht – das entscheiden Staaten und Distrikte, entsprechend schwankt die Qualität. Private Schulen unterliegen diesen Pflichten meist nicht; Sprachförderung ist dort Verhandlungssache und oft kostenpflichtig.</w:t>
      </w:r>
    </w:p>
    <w:p w14:paraId="70A4E8F1" w14:textId="77777777" w:rsidR="00C1548D" w:rsidRDefault="009B1B4B">
      <w:pPr>
        <w:spacing w:after="140"/>
      </w:pPr>
      <w:r>
        <w:rPr>
          <w:b/>
          <w:bCs/>
        </w:rPr>
        <w:t>Rechtslage 2025/26.</w:t>
      </w:r>
      <w:r>
        <w:t xml:space="preserve"> Im August 2025 zogen Bildungs- und Justizministerium ihr Leitschreiben von 2015 zurück, das Schulen die EL-Pflichten erläutert hatte – die Gesetze und Urteile gelten fort. Ein Präsidialerlass (Executive Order 14224) vom 1. März 2025 erklärte Englisch zur Amtssprache des Bundes und hob die ältere Anordnung zum Sprachzugang bei Bundesbehörden auf. Bundesbehörden müssen fremdsprachige Angebote aber nicht einstellen.</w:t>
      </w:r>
    </w:p>
    <w:p w14:paraId="70A4E8F2" w14:textId="77777777" w:rsidR="00C1548D" w:rsidRDefault="009B1B4B">
      <w:pPr>
        <w:spacing w:after="140"/>
      </w:pPr>
      <w:r>
        <w:t>Unsicher ist vor allem das Geld: Title III ist für 2026 mit 890 Millionen $ ausgestattet, der Regierungsentwurf für 2027 sieht keine Mittel vor, der Kongress entscheidet. Das zuständige Büro (</w:t>
      </w:r>
      <w:r>
        <w:rPr>
          <w:i/>
          <w:iCs/>
        </w:rPr>
        <w:t>Office of English Language Acquisition</w:t>
      </w:r>
      <w:r>
        <w:t>) wurde im Frühjahr 2026 aufgelöst.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8F5"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8F3" w14:textId="77777777" w:rsidR="00C1548D" w:rsidRDefault="009B1B4B">
            <w:pPr>
              <w:keepNext/>
              <w:spacing w:after="70" w:line="240" w:lineRule="auto"/>
            </w:pPr>
            <w:r>
              <w:rPr>
                <w:b/>
                <w:bCs/>
                <w:color w:val="8A6212"/>
                <w:spacing w:val="24"/>
                <w:sz w:val="16"/>
                <w:szCs w:val="16"/>
              </w:rPr>
              <w:lastRenderedPageBreak/>
              <w:t>MERKE</w:t>
            </w:r>
          </w:p>
          <w:p w14:paraId="70A4E8F4" w14:textId="77777777" w:rsidR="00C1548D" w:rsidRDefault="009B1B4B">
            <w:pPr>
              <w:spacing w:after="80" w:line="264" w:lineRule="auto"/>
            </w:pPr>
            <w:r>
              <w:rPr>
                <w:sz w:val="20"/>
                <w:szCs w:val="20"/>
              </w:rPr>
              <w:t>Der Anspruch deines Kindes beruht auf Gesetzen und Urteilen, nicht auf einem Ministeriumsbrief: Richtlinien und Bundesmittel wechseln, die Pflicht der Schule bleibt. Wie gut sie erfüllt wird, hängt vom Distrikt ab – frage deshalb konkret nach dem Programm.</w:t>
            </w:r>
          </w:p>
        </w:tc>
      </w:tr>
    </w:tbl>
    <w:p w14:paraId="70A4E8F6" w14:textId="77777777" w:rsidR="00C1548D" w:rsidRDefault="00C1548D">
      <w:pPr>
        <w:spacing w:line="220" w:lineRule="exact"/>
      </w:pPr>
    </w:p>
    <w:p w14:paraId="70A4E8F7" w14:textId="77777777" w:rsidR="00C1548D" w:rsidRDefault="009B1B4B">
      <w:pPr>
        <w:pStyle w:val="Heading3"/>
        <w:keepNext/>
        <w:jc w:val="center"/>
      </w:pPr>
      <w:r>
        <w:rPr>
          <w:rFonts w:ascii="Amazon Ember" w:eastAsia="Amazon Ember" w:hAnsi="Amazon Ember" w:cs="Amazon Ember"/>
          <w:color w:val="0000FF"/>
          <w:sz w:val="36"/>
          <w:szCs w:val="36"/>
        </w:rPr>
        <w:t>Der Ablauf: vom Fragebogen zur Umstufung</w:t>
      </w:r>
    </w:p>
    <w:p w14:paraId="70A4E8F8" w14:textId="77777777" w:rsidR="00C1548D" w:rsidRDefault="009B1B4B">
      <w:pPr>
        <w:spacing w:after="140"/>
      </w:pPr>
      <w:r>
        <w:t>Der Weg ist in fast allen Staaten gleich; Namen, Tests und Schwellenwerte unterscheiden sich.</w:t>
      </w:r>
    </w:p>
    <w:p w14:paraId="70A4E8F9" w14:textId="43BE2F32" w:rsidR="00C1548D" w:rsidRDefault="009B1B4B" w:rsidP="009B1B4B">
      <w:pPr>
        <w:pStyle w:val="ListParagraph"/>
        <w:numPr>
          <w:ilvl w:val="0"/>
          <w:numId w:val="39"/>
        </w:numPr>
        <w:spacing w:after="60"/>
      </w:pPr>
      <w:r>
        <w:rPr>
          <w:b/>
          <w:bCs/>
        </w:rPr>
        <w:t>Fragebogen.</w:t>
      </w:r>
      <w:r>
        <w:t xml:space="preserve"> Bei der Anmeldung (Kapitel </w:t>
      </w:r>
      <w:hyperlink w:anchor="k36" w:history="1">
        <w:r>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w14:paraId="70A4E8FA" w14:textId="77777777" w:rsidR="00C1548D" w:rsidRDefault="009B1B4B" w:rsidP="009B1B4B">
      <w:pPr>
        <w:pStyle w:val="ListParagraph"/>
        <w:numPr>
          <w:ilvl w:val="0"/>
          <w:numId w:val="39"/>
        </w:numPr>
        <w:spacing w:after="60"/>
      </w:pPr>
      <w:r>
        <w:rPr>
          <w:b/>
          <w:bCs/>
        </w:rPr>
        <w:t>Einstufungstest.</w:t>
      </w:r>
      <w:r>
        <w:t xml:space="preserve"> Der </w:t>
      </w:r>
      <w:r>
        <w:rPr>
          <w:i/>
          <w:iCs/>
        </w:rPr>
        <w:t>Screener</w:t>
      </w:r>
      <w:r>
        <w:t xml:space="preserve">, meist in den ersten Schulwochen, ist häufig der </w:t>
      </w:r>
      <w:r>
        <w:rPr>
          <w:i/>
          <w:iCs/>
        </w:rPr>
        <w:t>WIDA Screener</w:t>
      </w:r>
      <w:r>
        <w:t xml:space="preserve"> (Hören, Sprechen, Lesen, Schreiben; Ergebnis auf Stufen von 1 bis 6); einige Staaten nutzen eigene Verfahren. Ab welcher Stufe ein Kind als EL gilt, legt der Staat fest.</w:t>
      </w:r>
    </w:p>
    <w:p w14:paraId="70A4E8FB" w14:textId="77777777" w:rsidR="00C1548D" w:rsidRDefault="009B1B4B" w:rsidP="009B1B4B">
      <w:pPr>
        <w:pStyle w:val="ListParagraph"/>
        <w:numPr>
          <w:ilvl w:val="0"/>
          <w:numId w:val="39"/>
        </w:numPr>
        <w:spacing w:after="60"/>
      </w:pPr>
      <w:r>
        <w:rPr>
          <w:b/>
          <w:bCs/>
        </w:rPr>
        <w:t>Elternbrief.</w:t>
      </w:r>
      <w:r>
        <w:t xml:space="preserve"> Die Schule muss dich binnen 30 Tagen nach Schuljahresbeginn schriftlich informieren, bei späterem Eintritt binnen zwei Wochen, in verständlicher Form und mit Angaben zu Einstufung und Programm.</w:t>
      </w:r>
    </w:p>
    <w:p w14:paraId="70A4E8FC" w14:textId="77777777" w:rsidR="00C1548D" w:rsidRDefault="009B1B4B" w:rsidP="009B1B4B">
      <w:pPr>
        <w:pStyle w:val="ListParagraph"/>
        <w:numPr>
          <w:ilvl w:val="0"/>
          <w:numId w:val="39"/>
        </w:numPr>
        <w:spacing w:after="60"/>
      </w:pPr>
      <w:r>
        <w:rPr>
          <w:b/>
          <w:bCs/>
        </w:rPr>
        <w:t>Förderung.</w:t>
      </w:r>
      <w:r>
        <w:t xml:space="preserve"> Das Kind erhält Sprachunterricht nach einem der Modelle unten und Hilfen im Regelunterricht.</w:t>
      </w:r>
    </w:p>
    <w:p w14:paraId="70A4E8FD" w14:textId="77777777" w:rsidR="00C1548D" w:rsidRDefault="009B1B4B" w:rsidP="009B1B4B">
      <w:pPr>
        <w:pStyle w:val="ListParagraph"/>
        <w:numPr>
          <w:ilvl w:val="0"/>
          <w:numId w:val="39"/>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w14:paraId="70A4E8FE" w14:textId="77777777" w:rsidR="00C1548D" w:rsidRDefault="009B1B4B" w:rsidP="009B1B4B">
      <w:pPr>
        <w:pStyle w:val="ListParagraph"/>
        <w:numPr>
          <w:ilvl w:val="0"/>
          <w:numId w:val="39"/>
        </w:numPr>
        <w:spacing w:after="60"/>
      </w:pPr>
      <w:r>
        <w:rPr>
          <w:b/>
          <w:bCs/>
        </w:rPr>
        <w:t>Umstufung.</w:t>
      </w:r>
      <w:r>
        <w:t xml:space="preserve"> Bei der </w:t>
      </w:r>
      <w:r>
        <w:rPr>
          <w:i/>
          <w:iCs/>
        </w:rPr>
        <w:t>Reclassification</w:t>
      </w:r>
      <w:r>
        <w:t xml:space="preserve"> endet der EL-Status, sobald das Kind den Zielwert seines Staates erreicht. In WIDA-Staaten liegt er oft bei einem Gesamtwert um 4,5 bis 5,0, meist ergänzt </w:t>
      </w:r>
      <w:r>
        <w:lastRenderedPageBreak/>
        <w:t>um Noten oder ein Lehrerurteil. Danach beobachtet die Schule den Verlauf mehrere Jahre.</w:t>
      </w:r>
    </w:p>
    <w:p w14:paraId="70A4E8FF" w14:textId="77777777" w:rsidR="00C1548D" w:rsidRDefault="00C1548D">
      <w:pPr>
        <w:spacing w:line="120" w:lineRule="exact"/>
      </w:pPr>
    </w:p>
    <w:p w14:paraId="70A4E900" w14:textId="77777777" w:rsidR="00C1548D" w:rsidRDefault="009B1B4B">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90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901" w14:textId="77777777" w:rsidR="00C1548D" w:rsidRDefault="009B1B4B">
            <w:pPr>
              <w:keepNext/>
              <w:spacing w:after="70" w:line="240" w:lineRule="auto"/>
            </w:pPr>
            <w:r>
              <w:rPr>
                <w:b/>
                <w:bCs/>
                <w:color w:val="9B2C2C"/>
                <w:spacing w:val="24"/>
                <w:sz w:val="16"/>
                <w:szCs w:val="16"/>
              </w:rPr>
              <w:t>ACHTUNG</w:t>
            </w:r>
          </w:p>
          <w:p w14:paraId="70A4E902" w14:textId="77777777" w:rsidR="00C1548D" w:rsidRDefault="009B1B4B">
            <w:pPr>
              <w:spacing w:after="80" w:line="264" w:lineRule="auto"/>
            </w:pPr>
            <w:r>
              <w:rPr>
                <w:sz w:val="20"/>
                <w:szCs w:val="20"/>
              </w:rPr>
              <w:t>Beantworte den Home Language Survey wahrheitsgemäß. Die Angabe „English“, um dem Etikett zu entgehen, verhindert die Einstufung, nicht den Förderbedarf: Das Kind müsste dann ohne Hilfe im Unterricht zurechtkommen.</w:t>
            </w:r>
          </w:p>
        </w:tc>
      </w:tr>
    </w:tbl>
    <w:p w14:paraId="70A4E904" w14:textId="77777777" w:rsidR="00C1548D" w:rsidRDefault="00C1548D">
      <w:pPr>
        <w:spacing w:line="220" w:lineRule="exact"/>
      </w:pPr>
    </w:p>
    <w:p w14:paraId="70A4E905" w14:textId="77777777" w:rsidR="00C1548D" w:rsidRDefault="009B1B4B">
      <w:pPr>
        <w:pStyle w:val="Heading3"/>
        <w:keepNext/>
        <w:jc w:val="center"/>
      </w:pPr>
      <w:r>
        <w:rPr>
          <w:rFonts w:ascii="Amazon Ember" w:eastAsia="Amazon Ember" w:hAnsi="Amazon Ember" w:cs="Amazon Ember"/>
          <w:color w:val="0000FF"/>
          <w:sz w:val="36"/>
          <w:szCs w:val="36"/>
        </w:rPr>
        <w:t>Programmmodelle im Überblick</w:t>
      </w:r>
    </w:p>
    <w:p w14:paraId="70A4E906" w14:textId="77777777" w:rsidR="00C1548D" w:rsidRDefault="009B1B4B">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592"/>
        <w:gridCol w:w="1245"/>
        <w:gridCol w:w="1443"/>
      </w:tblGrid>
      <w:tr w:rsidR="00C1548D" w14:paraId="70A4E90B" w14:textId="77777777">
        <w:tblPrEx>
          <w:tblCellMar>
            <w:top w:w="0" w:type="dxa"/>
            <w:bottom w:w="0" w:type="dxa"/>
          </w:tblCellMar>
        </w:tblPrEx>
        <w:trPr>
          <w:cantSplit/>
          <w:tblHeader/>
        </w:trPr>
        <w:tc>
          <w:tcPr>
            <w:tcW w:w="12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07" w14:textId="77777777" w:rsidR="00C1548D" w:rsidRDefault="009B1B4B">
            <w:pPr>
              <w:spacing w:line="250" w:lineRule="auto"/>
            </w:pPr>
            <w:r>
              <w:rPr>
                <w:b/>
                <w:bCs/>
                <w:sz w:val="18"/>
                <w:szCs w:val="18"/>
              </w:rPr>
              <w:t>Modell</w:t>
            </w:r>
          </w:p>
        </w:tc>
        <w:tc>
          <w:tcPr>
            <w:tcW w:w="259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08" w14:textId="77777777" w:rsidR="00C1548D" w:rsidRDefault="009B1B4B">
            <w:pPr>
              <w:spacing w:line="250" w:lineRule="auto"/>
            </w:pPr>
            <w:r>
              <w:rPr>
                <w:b/>
                <w:bCs/>
                <w:sz w:val="18"/>
                <w:szCs w:val="18"/>
              </w:rPr>
              <w:t>So läuft es</w:t>
            </w:r>
          </w:p>
        </w:tc>
        <w:tc>
          <w:tcPr>
            <w:tcW w:w="124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09" w14:textId="77777777" w:rsidR="00C1548D" w:rsidRDefault="009B1B4B">
            <w:pPr>
              <w:spacing w:line="250" w:lineRule="auto"/>
            </w:pPr>
            <w:r>
              <w:rPr>
                <w:b/>
                <w:bCs/>
                <w:sz w:val="18"/>
                <w:szCs w:val="18"/>
              </w:rPr>
              <w:t>Typisch für</w:t>
            </w:r>
          </w:p>
        </w:tc>
        <w:tc>
          <w:tcPr>
            <w:tcW w:w="144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0A" w14:textId="77777777" w:rsidR="00C1548D" w:rsidRDefault="009B1B4B">
            <w:pPr>
              <w:spacing w:line="250" w:lineRule="auto"/>
            </w:pPr>
            <w:r>
              <w:rPr>
                <w:b/>
                <w:bCs/>
                <w:sz w:val="18"/>
                <w:szCs w:val="18"/>
              </w:rPr>
              <w:t>Worauf achten</w:t>
            </w:r>
          </w:p>
        </w:tc>
      </w:tr>
      <w:tr w:rsidR="00C1548D" w14:paraId="70A4E910" w14:textId="77777777">
        <w:tblPrEx>
          <w:tblCellMar>
            <w:top w:w="0" w:type="dxa"/>
            <w:bottom w:w="0" w:type="dxa"/>
          </w:tblCellMar>
        </w:tblPrEx>
        <w:trPr>
          <w:cantSplit/>
        </w:trPr>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0C" w14:textId="77777777" w:rsidR="00C1548D" w:rsidRDefault="009B1B4B">
            <w:pPr>
              <w:spacing w:line="250" w:lineRule="auto"/>
            </w:pPr>
            <w:r>
              <w:rPr>
                <w:i/>
                <w:iCs/>
                <w:sz w:val="18"/>
                <w:szCs w:val="18"/>
              </w:rPr>
              <w:t>Pull-out</w:t>
            </w:r>
          </w:p>
        </w:tc>
        <w:tc>
          <w:tcPr>
            <w:tcW w:w="25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0D" w14:textId="77777777" w:rsidR="00C1548D" w:rsidRDefault="009B1B4B">
            <w:pPr>
              <w:spacing w:line="250" w:lineRule="auto"/>
            </w:pPr>
            <w:r>
              <w:rPr>
                <w:sz w:val="18"/>
                <w:szCs w:val="18"/>
              </w:rPr>
              <w:t>Das Kind verlässt die Klasse für Extra-Englisch, meist einige Stunden pro Woche</w:t>
            </w:r>
          </w:p>
        </w:tc>
        <w:tc>
          <w:tcPr>
            <w:tcW w:w="12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0E" w14:textId="77777777" w:rsidR="00C1548D" w:rsidRDefault="009B1B4B">
            <w:pPr>
              <w:spacing w:line="250" w:lineRule="auto"/>
            </w:pPr>
            <w:r>
              <w:rPr>
                <w:sz w:val="18"/>
                <w:szCs w:val="18"/>
              </w:rPr>
              <w:t>Grundschule</w:t>
            </w:r>
          </w:p>
        </w:tc>
        <w:tc>
          <w:tcPr>
            <w:tcW w:w="14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0F" w14:textId="77777777" w:rsidR="00C1548D" w:rsidRDefault="009B1B4B">
            <w:pPr>
              <w:spacing w:line="250" w:lineRule="auto"/>
            </w:pPr>
            <w:r>
              <w:rPr>
                <w:sz w:val="18"/>
                <w:szCs w:val="18"/>
              </w:rPr>
              <w:t>Welche Fächer fallen aus?</w:t>
            </w:r>
          </w:p>
        </w:tc>
      </w:tr>
      <w:tr w:rsidR="00C1548D" w14:paraId="70A4E915" w14:textId="77777777">
        <w:tblPrEx>
          <w:tblCellMar>
            <w:top w:w="0" w:type="dxa"/>
            <w:bottom w:w="0" w:type="dxa"/>
          </w:tblCellMar>
        </w:tblPrEx>
        <w:trPr>
          <w:cantSplit/>
        </w:trPr>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1" w14:textId="77777777" w:rsidR="00C1548D" w:rsidRDefault="009B1B4B">
            <w:pPr>
              <w:spacing w:line="250" w:lineRule="auto"/>
            </w:pPr>
            <w:r>
              <w:rPr>
                <w:i/>
                <w:iCs/>
                <w:sz w:val="18"/>
                <w:szCs w:val="18"/>
              </w:rPr>
              <w:t>Push-in</w:t>
            </w:r>
          </w:p>
        </w:tc>
        <w:tc>
          <w:tcPr>
            <w:tcW w:w="25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2" w14:textId="77777777" w:rsidR="00C1548D" w:rsidRDefault="009B1B4B">
            <w:pPr>
              <w:spacing w:line="250" w:lineRule="auto"/>
            </w:pPr>
            <w:r>
              <w:rPr>
                <w:sz w:val="18"/>
                <w:szCs w:val="18"/>
              </w:rPr>
              <w:t>Die Sprachlehrkraft hilft im Klassenzimmer</w:t>
            </w:r>
          </w:p>
        </w:tc>
        <w:tc>
          <w:tcPr>
            <w:tcW w:w="12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3" w14:textId="77777777" w:rsidR="00C1548D" w:rsidRDefault="009B1B4B">
            <w:pPr>
              <w:spacing w:line="250" w:lineRule="auto"/>
            </w:pPr>
            <w:r>
              <w:rPr>
                <w:sz w:val="18"/>
                <w:szCs w:val="18"/>
              </w:rPr>
              <w:t>Kindergarten, Grundschule</w:t>
            </w:r>
          </w:p>
        </w:tc>
        <w:tc>
          <w:tcPr>
            <w:tcW w:w="14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4" w14:textId="77777777" w:rsidR="00C1548D" w:rsidRDefault="009B1B4B">
            <w:pPr>
              <w:spacing w:line="250" w:lineRule="auto"/>
            </w:pPr>
            <w:r>
              <w:rPr>
                <w:sz w:val="18"/>
                <w:szCs w:val="18"/>
              </w:rPr>
              <w:t>Wie viel Einzelzeit bleibt?</w:t>
            </w:r>
          </w:p>
        </w:tc>
      </w:tr>
      <w:tr w:rsidR="00C1548D" w14:paraId="70A4E91A" w14:textId="77777777">
        <w:tblPrEx>
          <w:tblCellMar>
            <w:top w:w="0" w:type="dxa"/>
            <w:bottom w:w="0" w:type="dxa"/>
          </w:tblCellMar>
        </w:tblPrEx>
        <w:trPr>
          <w:cantSplit/>
        </w:trPr>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6" w14:textId="77777777" w:rsidR="00C1548D" w:rsidRDefault="009B1B4B">
            <w:pPr>
              <w:spacing w:line="250" w:lineRule="auto"/>
            </w:pPr>
            <w:r>
              <w:rPr>
                <w:i/>
                <w:iCs/>
                <w:sz w:val="18"/>
                <w:szCs w:val="18"/>
              </w:rPr>
              <w:t>Sheltered Instruction</w:t>
            </w:r>
          </w:p>
        </w:tc>
        <w:tc>
          <w:tcPr>
            <w:tcW w:w="25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7" w14:textId="77777777" w:rsidR="00C1548D" w:rsidRDefault="009B1B4B">
            <w:pPr>
              <w:spacing w:line="250" w:lineRule="auto"/>
            </w:pPr>
            <w:r>
              <w:rPr>
                <w:sz w:val="18"/>
                <w:szCs w:val="18"/>
              </w:rPr>
              <w:t>Fachunterricht mit Bildern, Sprachstützen und einfacher Sprache, oft in reinen EL-Klassen</w:t>
            </w:r>
          </w:p>
        </w:tc>
        <w:tc>
          <w:tcPr>
            <w:tcW w:w="12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8" w14:textId="77777777" w:rsidR="00C1548D" w:rsidRDefault="009B1B4B">
            <w:pPr>
              <w:spacing w:line="250" w:lineRule="auto"/>
            </w:pPr>
            <w:r>
              <w:rPr>
                <w:sz w:val="18"/>
                <w:szCs w:val="18"/>
              </w:rPr>
              <w:t>Middle und High School</w:t>
            </w:r>
          </w:p>
        </w:tc>
        <w:tc>
          <w:tcPr>
            <w:tcW w:w="14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9" w14:textId="77777777" w:rsidR="00C1548D" w:rsidRDefault="009B1B4B">
            <w:pPr>
              <w:spacing w:line="250" w:lineRule="auto"/>
            </w:pPr>
            <w:r>
              <w:rPr>
                <w:sz w:val="18"/>
                <w:szCs w:val="18"/>
              </w:rPr>
              <w:t>Bleibt das Fachniveau erhalten?</w:t>
            </w:r>
          </w:p>
        </w:tc>
      </w:tr>
      <w:tr w:rsidR="00C1548D" w14:paraId="70A4E91F" w14:textId="77777777">
        <w:tblPrEx>
          <w:tblCellMar>
            <w:top w:w="0" w:type="dxa"/>
            <w:bottom w:w="0" w:type="dxa"/>
          </w:tblCellMar>
        </w:tblPrEx>
        <w:trPr>
          <w:cantSplit/>
        </w:trPr>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B" w14:textId="77777777" w:rsidR="00C1548D" w:rsidRDefault="009B1B4B">
            <w:pPr>
              <w:spacing w:line="250" w:lineRule="auto"/>
            </w:pPr>
            <w:r>
              <w:rPr>
                <w:sz w:val="18"/>
                <w:szCs w:val="18"/>
              </w:rPr>
              <w:lastRenderedPageBreak/>
              <w:t>Newcomer-Programm</w:t>
            </w:r>
          </w:p>
        </w:tc>
        <w:tc>
          <w:tcPr>
            <w:tcW w:w="25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C" w14:textId="77777777" w:rsidR="00C1548D" w:rsidRDefault="009B1B4B">
            <w:pPr>
              <w:spacing w:line="250" w:lineRule="auto"/>
            </w:pPr>
            <w:r>
              <w:rPr>
                <w:sz w:val="18"/>
                <w:szCs w:val="18"/>
              </w:rPr>
              <w:t>Intensivklassen für neu Zugewanderte, zeitlich begrenzt</w:t>
            </w:r>
          </w:p>
        </w:tc>
        <w:tc>
          <w:tcPr>
            <w:tcW w:w="12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D" w14:textId="77777777" w:rsidR="00C1548D" w:rsidRDefault="009B1B4B">
            <w:pPr>
              <w:spacing w:line="250" w:lineRule="auto"/>
            </w:pPr>
            <w:r>
              <w:rPr>
                <w:sz w:val="18"/>
                <w:szCs w:val="18"/>
              </w:rPr>
              <w:t>Späte Zuzüge, Jugendliche</w:t>
            </w:r>
          </w:p>
        </w:tc>
        <w:tc>
          <w:tcPr>
            <w:tcW w:w="14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1E" w14:textId="77777777" w:rsidR="00C1548D" w:rsidRDefault="009B1B4B">
            <w:pPr>
              <w:spacing w:line="250" w:lineRule="auto"/>
            </w:pPr>
            <w:r>
              <w:rPr>
                <w:sz w:val="18"/>
                <w:szCs w:val="18"/>
              </w:rPr>
              <w:t>Nicht überall vorhanden</w:t>
            </w:r>
          </w:p>
        </w:tc>
      </w:tr>
      <w:tr w:rsidR="00C1548D" w14:paraId="70A4E924" w14:textId="77777777">
        <w:tblPrEx>
          <w:tblCellMar>
            <w:top w:w="0" w:type="dxa"/>
            <w:bottom w:w="0" w:type="dxa"/>
          </w:tblCellMar>
        </w:tblPrEx>
        <w:trPr>
          <w:cantSplit/>
        </w:trPr>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20" w14:textId="77777777" w:rsidR="00C1548D" w:rsidRDefault="009B1B4B">
            <w:pPr>
              <w:spacing w:line="250" w:lineRule="auto"/>
            </w:pPr>
            <w:r>
              <w:rPr>
                <w:i/>
                <w:iCs/>
                <w:sz w:val="18"/>
                <w:szCs w:val="18"/>
              </w:rPr>
              <w:t>Transitional Bilingual</w:t>
            </w:r>
          </w:p>
        </w:tc>
        <w:tc>
          <w:tcPr>
            <w:tcW w:w="25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21" w14:textId="77777777" w:rsidR="00C1548D" w:rsidRDefault="009B1B4B">
            <w:pPr>
              <w:spacing w:line="250" w:lineRule="auto"/>
            </w:pPr>
            <w:r>
              <w:rPr>
                <w:sz w:val="18"/>
                <w:szCs w:val="18"/>
              </w:rPr>
              <w:t>Die Erstsprache dient als Brücke, dann Wechsel ins Englische</w:t>
            </w:r>
          </w:p>
        </w:tc>
        <w:tc>
          <w:tcPr>
            <w:tcW w:w="12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22" w14:textId="77777777" w:rsidR="00C1548D" w:rsidRDefault="009B1B4B">
            <w:pPr>
              <w:spacing w:line="250" w:lineRule="auto"/>
            </w:pPr>
            <w:r>
              <w:rPr>
                <w:sz w:val="18"/>
                <w:szCs w:val="18"/>
              </w:rPr>
              <w:t>Große Sprachgruppen</w:t>
            </w:r>
          </w:p>
        </w:tc>
        <w:tc>
          <w:tcPr>
            <w:tcW w:w="14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23" w14:textId="77777777" w:rsidR="00C1548D" w:rsidRDefault="009B1B4B">
            <w:pPr>
              <w:spacing w:line="250" w:lineRule="auto"/>
            </w:pPr>
            <w:r>
              <w:rPr>
                <w:sz w:val="18"/>
                <w:szCs w:val="18"/>
              </w:rPr>
              <w:t>Für Deutsch kaum angeboten</w:t>
            </w:r>
          </w:p>
        </w:tc>
      </w:tr>
      <w:tr w:rsidR="00C1548D" w14:paraId="70A4E929" w14:textId="77777777">
        <w:tblPrEx>
          <w:tblCellMar>
            <w:top w:w="0" w:type="dxa"/>
            <w:bottom w:w="0" w:type="dxa"/>
          </w:tblCellMar>
        </w:tblPrEx>
        <w:trPr>
          <w:cantSplit/>
        </w:trPr>
        <w:tc>
          <w:tcPr>
            <w:tcW w:w="1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25" w14:textId="77777777" w:rsidR="00C1548D" w:rsidRDefault="009B1B4B">
            <w:pPr>
              <w:spacing w:line="250" w:lineRule="auto"/>
            </w:pPr>
            <w:r>
              <w:rPr>
                <w:i/>
                <w:iCs/>
                <w:sz w:val="18"/>
                <w:szCs w:val="18"/>
              </w:rPr>
              <w:t>Dual Language</w:t>
            </w:r>
            <w:r>
              <w:rPr>
                <w:sz w:val="18"/>
                <w:szCs w:val="18"/>
              </w:rPr>
              <w:t xml:space="preserve"> (</w:t>
            </w:r>
            <w:r>
              <w:rPr>
                <w:i/>
                <w:iCs/>
                <w:sz w:val="18"/>
                <w:szCs w:val="18"/>
              </w:rPr>
              <w:t>Two-Way Immersion</w:t>
            </w:r>
            <w:r>
              <w:rPr>
                <w:sz w:val="18"/>
                <w:szCs w:val="18"/>
              </w:rPr>
              <w:t>)</w:t>
            </w:r>
          </w:p>
        </w:tc>
        <w:tc>
          <w:tcPr>
            <w:tcW w:w="25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26" w14:textId="77777777" w:rsidR="00C1548D" w:rsidRDefault="009B1B4B">
            <w:pPr>
              <w:spacing w:line="250" w:lineRule="auto"/>
            </w:pPr>
            <w:r>
              <w:rPr>
                <w:sz w:val="18"/>
                <w:szCs w:val="18"/>
              </w:rPr>
              <w:t>Unterricht in zwei Sprachen, Kinder beider Sprachgruppen lernen gemeinsam</w:t>
            </w:r>
          </w:p>
        </w:tc>
        <w:tc>
          <w:tcPr>
            <w:tcW w:w="12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27" w14:textId="77777777" w:rsidR="00C1548D" w:rsidRDefault="009B1B4B">
            <w:pPr>
              <w:spacing w:line="250" w:lineRule="auto"/>
            </w:pPr>
            <w:r>
              <w:rPr>
                <w:sz w:val="18"/>
                <w:szCs w:val="18"/>
              </w:rPr>
              <w:t>Wenige Schulen, oft Charter</w:t>
            </w:r>
          </w:p>
        </w:tc>
        <w:tc>
          <w:tcPr>
            <w:tcW w:w="14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28" w14:textId="77777777" w:rsidR="00C1548D" w:rsidRDefault="009B1B4B">
            <w:pPr>
              <w:spacing w:line="250" w:lineRule="auto"/>
            </w:pPr>
            <w:r>
              <w:rPr>
                <w:sz w:val="18"/>
                <w:szCs w:val="18"/>
              </w:rPr>
              <w:t>Für Deutsch selten</w:t>
            </w:r>
          </w:p>
        </w:tc>
      </w:tr>
    </w:tbl>
    <w:p w14:paraId="70A4E92A"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92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92B" w14:textId="77777777" w:rsidR="00C1548D" w:rsidRDefault="009B1B4B">
            <w:pPr>
              <w:keepNext/>
              <w:spacing w:after="70" w:line="240" w:lineRule="auto"/>
            </w:pPr>
            <w:r>
              <w:rPr>
                <w:b/>
                <w:bCs/>
                <w:color w:val="9B2C2C"/>
                <w:spacing w:val="24"/>
                <w:sz w:val="16"/>
                <w:szCs w:val="16"/>
              </w:rPr>
              <w:t>ACHTUNG</w:t>
            </w:r>
          </w:p>
          <w:p w14:paraId="70A4E92C" w14:textId="77777777" w:rsidR="00C1548D" w:rsidRDefault="009B1B4B">
            <w:pPr>
              <w:spacing w:after="80" w:line="264" w:lineRule="auto"/>
            </w:pPr>
            <w:r>
              <w:rPr>
                <w:sz w:val="20"/>
                <w:szCs w:val="20"/>
              </w:rPr>
              <w:t>Frage bei einem Pull-out-Programm, wann der Extra-Unterricht stattfindet. Fällt er regelmäßig auf Kunst, Sport oder Naturwissenschaften, verpasst dein Kind Inhalte und Anschluss an die Klasse. Bitte um einen Stundenplan, der die Kernfächer schont.</w:t>
            </w:r>
          </w:p>
        </w:tc>
      </w:tr>
    </w:tbl>
    <w:p w14:paraId="70A4E92E" w14:textId="77777777" w:rsidR="00C1548D" w:rsidRDefault="00C1548D">
      <w:pPr>
        <w:spacing w:line="220" w:lineRule="exact"/>
      </w:pPr>
    </w:p>
    <w:p w14:paraId="70A4E92F" w14:textId="77777777" w:rsidR="00C1548D" w:rsidRDefault="009B1B4B">
      <w:pPr>
        <w:pStyle w:val="Heading3"/>
        <w:keepNext/>
        <w:jc w:val="center"/>
      </w:pPr>
      <w:r>
        <w:rPr>
          <w:rFonts w:ascii="Amazon Ember" w:eastAsia="Amazon Ember" w:hAnsi="Amazon Ember" w:cs="Amazon Ember"/>
          <w:color w:val="0000FF"/>
          <w:sz w:val="36"/>
          <w:szCs w:val="36"/>
        </w:rPr>
        <w:t>Elternrechte, Dolmetscher, Ablehnen</w:t>
      </w:r>
    </w:p>
    <w:p w14:paraId="70A4E930" w14:textId="77777777" w:rsidR="00C1548D" w:rsidRDefault="009B1B4B">
      <w:pPr>
        <w:spacing w:after="140"/>
      </w:pPr>
      <w:r>
        <w:t>Du hast vier Rechte:</w:t>
      </w:r>
    </w:p>
    <w:p w14:paraId="70A4E931" w14:textId="77777777" w:rsidR="00C1548D" w:rsidRDefault="009B1B4B" w:rsidP="009B1B4B">
      <w:pPr>
        <w:pStyle w:val="ListParagraph"/>
        <w:numPr>
          <w:ilvl w:val="0"/>
          <w:numId w:val="1"/>
        </w:numPr>
        <w:spacing w:after="60"/>
      </w:pPr>
      <w:r>
        <w:rPr>
          <w:b/>
          <w:bCs/>
        </w:rPr>
        <w:t>Information.</w:t>
      </w:r>
      <w:r>
        <w:t xml:space="preserve"> Elternbrief, Einstufung, Programm und Fortschritte müssen in einer Form ankommen, die du verstehst; der Anspruch auf Übersetzung und Dolmetscher folgt aus den Diskriminierungsverboten (Title VI, EEOA). Viele Distrikte bieten Telefondolmetscher an, für Deutsch meist nicht vor Ort. Lass dein Kind nie dolmetschen.</w:t>
      </w:r>
    </w:p>
    <w:p w14:paraId="70A4E932" w14:textId="77777777" w:rsidR="00C1548D" w:rsidRDefault="009B1B4B" w:rsidP="009B1B4B">
      <w:pPr>
        <w:pStyle w:val="ListParagraph"/>
        <w:numPr>
          <w:ilvl w:val="0"/>
          <w:numId w:val="1"/>
        </w:numPr>
        <w:spacing w:after="60"/>
      </w:pPr>
      <w:r>
        <w:rPr>
          <w:b/>
          <w:bCs/>
        </w:rPr>
        <w:t>Ablehnen.</w:t>
      </w:r>
      <w:r>
        <w:t xml:space="preserve"> Du darfst die Teilnahme am Programm ablehnen (</w:t>
      </w:r>
      <w:r>
        <w:rPr>
          <w:i/>
          <w:iCs/>
        </w:rPr>
        <w:t>Opt-out</w:t>
      </w:r>
      <w:r>
        <w:t>).</w:t>
      </w:r>
    </w:p>
    <w:p w14:paraId="70A4E933" w14:textId="77777777" w:rsidR="00C1548D" w:rsidRDefault="009B1B4B" w:rsidP="009B1B4B">
      <w:pPr>
        <w:pStyle w:val="ListParagraph"/>
        <w:numPr>
          <w:ilvl w:val="0"/>
          <w:numId w:val="1"/>
        </w:numPr>
        <w:spacing w:after="60"/>
      </w:pPr>
      <w:r>
        <w:rPr>
          <w:b/>
          <w:bCs/>
        </w:rPr>
        <w:t>Fragen.</w:t>
      </w:r>
      <w:r>
        <w:t xml:space="preserve"> Stunden pro Woche, Lehrkraft, Ziele, Umstufungskriterien, Testanpassungen: Du darfst alles erfragen.</w:t>
      </w:r>
    </w:p>
    <w:p w14:paraId="70A4E934" w14:textId="77777777" w:rsidR="00C1548D" w:rsidRDefault="009B1B4B" w:rsidP="009B1B4B">
      <w:pPr>
        <w:pStyle w:val="ListParagraph"/>
        <w:numPr>
          <w:ilvl w:val="0"/>
          <w:numId w:val="1"/>
        </w:numPr>
        <w:spacing w:after="60"/>
      </w:pPr>
      <w:r>
        <w:rPr>
          <w:b/>
          <w:bCs/>
        </w:rPr>
        <w:t>Beschwerde.</w:t>
      </w:r>
      <w:r>
        <w:t xml:space="preserve"> Erste Anlaufstelle ist der EL-Koordinator des Distrikts, dann die Schulbehörde des Staates; bei Diskriminierung wendest du dich an das </w:t>
      </w:r>
      <w:r>
        <w:rPr>
          <w:i/>
          <w:iCs/>
        </w:rPr>
        <w:t>Office for Civil Rights</w:t>
      </w:r>
      <w:r>
        <w:t xml:space="preserve"> des Bildungsministeriums oder an das Justizministerium.</w:t>
      </w:r>
    </w:p>
    <w:p w14:paraId="70A4E93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93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936" w14:textId="77777777" w:rsidR="00C1548D" w:rsidRDefault="009B1B4B">
            <w:pPr>
              <w:keepNext/>
              <w:spacing w:after="70" w:line="240" w:lineRule="auto"/>
            </w:pPr>
            <w:r>
              <w:rPr>
                <w:b/>
                <w:bCs/>
                <w:color w:val="9B2C2C"/>
                <w:spacing w:val="24"/>
                <w:sz w:val="16"/>
                <w:szCs w:val="16"/>
              </w:rPr>
              <w:t>ACHTUNG</w:t>
            </w:r>
          </w:p>
          <w:p w14:paraId="70A4E937" w14:textId="77777777" w:rsidR="00C1548D" w:rsidRDefault="009B1B4B">
            <w:pPr>
              <w:spacing w:after="80" w:line="264" w:lineRule="auto"/>
            </w:pPr>
            <w:r>
              <w:rPr>
                <w:sz w:val="20"/>
                <w:szCs w:val="20"/>
              </w:rPr>
              <w:t>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tc>
      </w:tr>
    </w:tbl>
    <w:p w14:paraId="70A4E939" w14:textId="77777777" w:rsidR="00C1548D" w:rsidRDefault="00C1548D">
      <w:pPr>
        <w:spacing w:line="220" w:lineRule="exact"/>
      </w:pPr>
    </w:p>
    <w:p w14:paraId="70A4E93A" w14:textId="77777777" w:rsidR="00C1548D" w:rsidRDefault="009B1B4B">
      <w:pPr>
        <w:pStyle w:val="Heading3"/>
        <w:keepNext/>
        <w:jc w:val="center"/>
      </w:pPr>
      <w:r>
        <w:rPr>
          <w:rFonts w:ascii="Amazon Ember" w:eastAsia="Amazon Ember" w:hAnsi="Amazon Ember" w:cs="Amazon Ember"/>
          <w:color w:val="0000FF"/>
          <w:sz w:val="36"/>
          <w:szCs w:val="36"/>
        </w:rPr>
        <w:t>Wie lange dauert es? Fortschritt und Testregeln</w:t>
      </w:r>
    </w:p>
    <w:p w14:paraId="70A4E93B" w14:textId="77777777" w:rsidR="00C1548D" w:rsidRDefault="009B1B4B">
      <w:pPr>
        <w:spacing w:after="140"/>
      </w:pPr>
      <w:r>
        <w:t xml:space="preserve">Die Sprachforschung unterscheidet zwei Ebenen: </w:t>
      </w:r>
      <w:r>
        <w:rPr>
          <w:i/>
          <w:iCs/>
        </w:rPr>
        <w:t>Soziale Sprache</w:t>
      </w:r>
      <w:r>
        <w:t xml:space="preserve"> (Pausenhof, Spielplatz, Alltag) sitzt nach etwa ein bis zwei Jahren, manchmal erst nach drei; </w:t>
      </w:r>
      <w:r>
        <w:rPr>
          <w:i/>
          <w:iCs/>
        </w:rPr>
        <w:t>Akademische Sprache</w:t>
      </w:r>
      <w:r>
        <w:t xml:space="preserve"> (Texte verstehen, Argumente schreiben, Fachbegriffe in Naturwissenschaften und Geschichte) braucht meist fünf bis sieben Jahre. Diese Faustregel geht auf Forschende wie Jim Cummins und Kenji Hakuta zurück. Sie erklärt, warum ein Kind auf dem Pausenhof glänzt und im Aufsatz noch stolpert.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93E"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93C" w14:textId="77777777" w:rsidR="00C1548D" w:rsidRDefault="009B1B4B">
            <w:pPr>
              <w:keepNext/>
              <w:spacing w:after="70" w:line="240" w:lineRule="auto"/>
            </w:pPr>
            <w:r>
              <w:rPr>
                <w:b/>
                <w:bCs/>
                <w:color w:val="8A6212"/>
                <w:spacing w:val="24"/>
                <w:sz w:val="16"/>
                <w:szCs w:val="16"/>
              </w:rPr>
              <w:t>MERKE</w:t>
            </w:r>
          </w:p>
          <w:p w14:paraId="70A4E93D" w14:textId="77777777" w:rsidR="00C1548D" w:rsidRDefault="009B1B4B">
            <w:pPr>
              <w:spacing w:after="80" w:line="264" w:lineRule="auto"/>
            </w:pPr>
            <w:r>
              <w:rPr>
                <w:sz w:val="20"/>
                <w:szCs w:val="20"/>
              </w:rPr>
              <w:t>Fließend plaudern heißt nicht „fertig“. Schulsprache, Lesen und Schreiben brauchen oft noch Jahre Unterstützung, auch wenn niemand mehr einen Akzent bemerkt.</w:t>
            </w:r>
          </w:p>
        </w:tc>
      </w:tr>
    </w:tbl>
    <w:p w14:paraId="70A4E93F" w14:textId="77777777" w:rsidR="00C1548D" w:rsidRDefault="00C1548D">
      <w:pPr>
        <w:spacing w:line="220" w:lineRule="exact"/>
      </w:pPr>
    </w:p>
    <w:p w14:paraId="70A4E940" w14:textId="1EDD6A2D" w:rsidR="00C1548D" w:rsidRDefault="009B1B4B">
      <w:pPr>
        <w:spacing w:after="140"/>
      </w:pPr>
      <w: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history="1">
        <w:r>
          <w:t>36</w:t>
        </w:r>
      </w:hyperlink>
      <w:r>
        <w:t>).</w:t>
      </w:r>
    </w:p>
    <w:p w14:paraId="70A4E941" w14:textId="223B7C5B" w:rsidR="00C1548D" w:rsidRDefault="009B1B4B">
      <w:pPr>
        <w:spacing w:after="140"/>
      </w:pPr>
      <w:r>
        <w:lastRenderedPageBreak/>
        <w:t>Bei den Pflichttests (Kapitel </w:t>
      </w:r>
      <w:hyperlink w:anchor="k36" w:history="1">
        <w:r>
          <w:t>36</w:t>
        </w:r>
      </w:hyperlink>
      <w:r>
        <w:t>) gelten für ELs Anpassungen und im ersten Jahr Sonderregeln bei der Wertung; Einzelheiten legt der Staat fest.</w:t>
      </w:r>
    </w:p>
    <w:p w14:paraId="70A4E942" w14:textId="77777777" w:rsidR="00C1548D" w:rsidRDefault="009B1B4B">
      <w:pPr>
        <w:pStyle w:val="Heading3"/>
        <w:keepNext/>
        <w:jc w:val="center"/>
      </w:pPr>
      <w:r>
        <w:rPr>
          <w:rFonts w:ascii="Amazon Ember" w:eastAsia="Amazon Ember" w:hAnsi="Amazon Ember" w:cs="Amazon Ember"/>
          <w:color w:val="0000FF"/>
          <w:sz w:val="36"/>
          <w:szCs w:val="36"/>
        </w:rPr>
        <w:t>Die emotionale Seite: Schweigephase und Erschöpfung</w:t>
      </w:r>
    </w:p>
    <w:p w14:paraId="70A4E943" w14:textId="77777777" w:rsidR="00C1548D" w:rsidRDefault="009B1B4B">
      <w:pPr>
        <w:spacing w:after="140"/>
      </w:pPr>
      <w:r>
        <w:t xml:space="preserve">Verbreiteter Irrtum: Wenn ein Kind plötzlich verstummt, muss etwas nicht stimmen. Tatsächlich ist genau das bei vielen Kindern der Anfang: Diese </w:t>
      </w:r>
      <w:r>
        <w:rPr>
          <w:i/>
          <w:iCs/>
        </w:rPr>
        <w:t>Silent Period</w:t>
      </w:r>
      <w:r>
        <w:t xml:space="preserve">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haben; andere verweigern plötzlich Deutsch, weil sie nicht auffallen wollen.</w:t>
      </w:r>
    </w:p>
    <w:p w14:paraId="70A4E944" w14:textId="0FC45B28" w:rsidR="00C1548D" w:rsidRDefault="009B1B4B">
      <w:pPr>
        <w:spacing w:after="140"/>
      </w:pPr>
      <w:r>
        <w:t>Was hilft: nicht drängen, ruhige Nachmittage einplanen, Freundschaften fördern (Playdates, Kapitel </w:t>
      </w:r>
      <w:hyperlink w:anchor="k32" w:history="1">
        <w:r>
          <w:t>32</w:t>
        </w:r>
      </w:hyperlink>
      <w:r>
        <w:t xml:space="preserve">) und Mut loben statt Fehlerfreiheit. Sprich mit der Lehrkraft und dem </w:t>
      </w:r>
      <w:r>
        <w:rPr>
          <w:i/>
          <w:iCs/>
        </w:rPr>
        <w:t>School Counselor</w:t>
      </w:r>
      <w:r>
        <w:t xml:space="preserve"> (Schulberater), wenn das Schweigen sehr lange anhält, auch zu Hause auftritt oder Angst, Bauchschmerzen und Schulverweigerung dazukommen (mehr in Kapitel </w:t>
      </w:r>
      <w:hyperlink w:anchor="k33" w:history="1">
        <w:r>
          <w:t>33</w:t>
        </w:r>
      </w:hyperlink>
      <w:r>
        <w:t>). Bleibt der Fortschritt trotz Förderung aus, kann mehr dahinterstecken als Sprache; dann helfen Abklärung und Sonderförderung (</w:t>
      </w:r>
      <w:r>
        <w:rPr>
          <w:i/>
          <w:iCs/>
        </w:rPr>
        <w:t>IEP</w:t>
      </w:r>
      <w:r>
        <w:t xml:space="preserve">, </w:t>
      </w:r>
      <w:r>
        <w:rPr>
          <w:i/>
          <w:iCs/>
        </w:rPr>
        <w:t>504 Plan</w:t>
      </w:r>
      <w:r>
        <w:t>, Kapitel </w:t>
      </w:r>
      <w:hyperlink w:anchor="k36" w:history="1">
        <w:r>
          <w:t>36</w:t>
        </w:r>
      </w:hyperlink>
      <w:r>
        <w:t>).</w:t>
      </w:r>
    </w:p>
    <w:p w14:paraId="70A4E945" w14:textId="77777777" w:rsidR="00C1548D" w:rsidRDefault="009B1B4B">
      <w:pPr>
        <w:pStyle w:val="Heading3"/>
        <w:keepNext/>
        <w:jc w:val="center"/>
      </w:pPr>
      <w:r>
        <w:rPr>
          <w:rFonts w:ascii="Amazon Ember" w:eastAsia="Amazon Ember" w:hAnsi="Amazon Ember" w:cs="Amazon Ember"/>
          <w:color w:val="0000FF"/>
          <w:sz w:val="36"/>
          <w:szCs w:val="36"/>
        </w:rPr>
        <w:t>Tipps für Eltern</w:t>
      </w:r>
    </w:p>
    <w:p w14:paraId="70A4E946" w14:textId="77777777" w:rsidR="00C1548D" w:rsidRDefault="009B1B4B" w:rsidP="009B1B4B">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w14:paraId="70A4E947" w14:textId="77777777" w:rsidR="00C1548D" w:rsidRDefault="009B1B4B" w:rsidP="009B1B4B">
      <w:pPr>
        <w:pStyle w:val="ListParagraph"/>
        <w:numPr>
          <w:ilvl w:val="0"/>
          <w:numId w:val="1"/>
        </w:numPr>
        <w:spacing w:after="60"/>
      </w:pPr>
      <w:r>
        <w:rPr>
          <w:b/>
          <w:bCs/>
        </w:rPr>
        <w:t>Gespräch in den ersten zwei Wochen:</w:t>
      </w:r>
      <w:r>
        <w:t xml:space="preserve"> Bitte die EL-Lehrkraft um einen Termin. Frage: „How many minutes per week will my </w:t>
      </w:r>
      <w:r>
        <w:lastRenderedPageBreak/>
        <w:t>child get? What are the exit criteria, and how will I hear about progress?“</w:t>
      </w:r>
    </w:p>
    <w:p w14:paraId="70A4E948" w14:textId="77777777" w:rsidR="00C1548D" w:rsidRDefault="009B1B4B" w:rsidP="009B1B4B">
      <w:pPr>
        <w:pStyle w:val="ListParagraph"/>
        <w:numPr>
          <w:ilvl w:val="0"/>
          <w:numId w:val="1"/>
        </w:numPr>
        <w:spacing w:after="60"/>
      </w:pPr>
      <w:r>
        <w:rPr>
          <w:b/>
          <w:bCs/>
        </w:rPr>
        <w:t>Erstsprache stärken:</w:t>
      </w:r>
      <w:r>
        <w:t xml:space="preserve"> Verbreiteter Irrtum: Zu Hause konsequent Englisch zu sprechen, beschleunige den Übergang. Tatsächlich lernen Kinder mit gefestigter Erstsprache die Zweitsprache in der Regel nicht langsamer, denn Lesen und Wortschatz übertragen sich. „Zu Hause nur noch Englisch” ist deshalb kein guter Rat.</w:t>
      </w:r>
    </w:p>
    <w:p w14:paraId="70A4E949" w14:textId="77777777" w:rsidR="00C1548D" w:rsidRDefault="009B1B4B" w:rsidP="009B1B4B">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w14:paraId="70A4E94A" w14:textId="77777777" w:rsidR="00C1548D" w:rsidRDefault="009B1B4B" w:rsidP="009B1B4B">
      <w:pPr>
        <w:pStyle w:val="ListParagraph"/>
        <w:numPr>
          <w:ilvl w:val="0"/>
          <w:numId w:val="1"/>
        </w:numPr>
        <w:spacing w:after="60"/>
      </w:pPr>
      <w:r>
        <w:rPr>
          <w:b/>
          <w:bCs/>
        </w:rPr>
        <w:t>Schulwörter:</w:t>
      </w:r>
      <w:r>
        <w:t xml:space="preserve"> In Elternbriefen stehen </w:t>
      </w:r>
      <w:r>
        <w:rPr>
          <w:i/>
          <w:iCs/>
        </w:rPr>
        <w:t>Permission Slip</w:t>
      </w:r>
      <w:r>
        <w:t xml:space="preserve"> (Einverständniserklärung), </w:t>
      </w:r>
      <w:r>
        <w:rPr>
          <w:i/>
          <w:iCs/>
        </w:rPr>
        <w:t>Field Trip</w:t>
      </w:r>
      <w:r>
        <w:t xml:space="preserve"> (Klassenausflug), </w:t>
      </w:r>
      <w:r>
        <w:rPr>
          <w:i/>
          <w:iCs/>
        </w:rPr>
        <w:t>Report Card</w:t>
      </w:r>
      <w:r>
        <w:t xml:space="preserve"> (Zeugnis), </w:t>
      </w:r>
      <w:r>
        <w:rPr>
          <w:i/>
          <w:iCs/>
        </w:rPr>
        <w:t>Parent-Teacher Conference</w:t>
      </w:r>
      <w:r>
        <w:t xml:space="preserve"> (Elternsprechtag), </w:t>
      </w:r>
      <w:r>
        <w:rPr>
          <w:i/>
          <w:iCs/>
        </w:rPr>
        <w:t>Early Dismissal</w:t>
      </w:r>
      <w:r>
        <w:t xml:space="preserve"> (früherer Unterrichtsschluss) und </w:t>
      </w:r>
      <w:r>
        <w:rPr>
          <w:i/>
          <w:iCs/>
        </w:rPr>
        <w:t>Back-to-School Night</w:t>
      </w:r>
      <w:r>
        <w:t xml:space="preserve"> (Elternabend zum Schuljahresbeginn).</w:t>
      </w:r>
    </w:p>
    <w:p w14:paraId="70A4E94B"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94E"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94C" w14:textId="77777777" w:rsidR="00C1548D" w:rsidRDefault="009B1B4B">
            <w:pPr>
              <w:keepNext/>
              <w:spacing w:after="70" w:line="240" w:lineRule="auto"/>
            </w:pPr>
            <w:r>
              <w:rPr>
                <w:b/>
                <w:bCs/>
                <w:color w:val="4A5568"/>
                <w:spacing w:val="24"/>
                <w:sz w:val="16"/>
                <w:szCs w:val="16"/>
              </w:rPr>
              <w:t>PRAXISBEISPIEL · FIKTIV</w:t>
            </w:r>
          </w:p>
          <w:p w14:paraId="70A4E94D" w14:textId="77777777" w:rsidR="00C1548D" w:rsidRDefault="009B1B4B">
            <w:pPr>
              <w:spacing w:after="80" w:line="264" w:lineRule="auto"/>
            </w:pPr>
            <w:r>
              <w:rPr>
                <w:sz w:val="20"/>
                <w:szCs w:val="20"/>
              </w:rPr>
              <w:t>Familie Brandt (fiktiv) meldet Lena (9) und Jonas (5) im August in ihrem Distrikt im Großraum Detroit an. Im Home Language Survey steht „German“. Lena, Grade 4, liest gut, spricht aber zögerlich; der Screener ordnet sie auf Stufe 3 von 6 ein. Jonas kommt in den Kindergarten und gilt ebenfalls als EL. Nach drei Wochen trifft der Elternbrief ein. Anna Brandt bittet um ein Gespräch und erfährt: Lena erhält dreimal pro Woche 30 Minuten Pull-out, Jonas Hilfe im Klassenzimmer. Lena schweigt rund sechs Wochen. Der</w:t>
            </w:r>
            <w:r>
              <w:rPr>
                <w:sz w:val="20"/>
                <w:szCs w:val="20"/>
              </w:rPr>
              <w:t xml:space="preserve"> erste ganze englische Satz, den sie zu Hause fallen lässt – „Can I have more, please?“ beim Abendessen –, wird wie ein kleiner Feiertag gefeiert. Sie meldet sich im Oktober auch in der Schule erstmals zu Wort und erreicht nach knapp zwei Jahren den Zielwert ihres Staates. Jonas plaudert schon im Winter.</w:t>
            </w:r>
          </w:p>
        </w:tc>
      </w:tr>
    </w:tbl>
    <w:p w14:paraId="70A4E94F" w14:textId="77777777" w:rsidR="00C1548D" w:rsidRDefault="00C1548D">
      <w:pPr>
        <w:spacing w:line="220" w:lineRule="exact"/>
      </w:pPr>
    </w:p>
    <w:p w14:paraId="70A4E950" w14:textId="77777777" w:rsidR="00C1548D" w:rsidRDefault="009B1B4B">
      <w:pPr>
        <w:pStyle w:val="Heading3"/>
        <w:keepNext/>
        <w:jc w:val="center"/>
      </w:pPr>
      <w:r>
        <w:rPr>
          <w:rFonts w:ascii="Amazon Ember" w:eastAsia="Amazon Ember" w:hAnsi="Amazon Ember" w:cs="Amazon Ember"/>
          <w:color w:val="0000FF"/>
          <w:sz w:val="36"/>
          <w:szCs w:val="36"/>
        </w:rPr>
        <w:lastRenderedPageBreak/>
        <w:t>Englisch zu Hause vorbereiten: Medien nach Alter</w:t>
      </w:r>
    </w:p>
    <w:p w14:paraId="70A4E951" w14:textId="77777777" w:rsidR="00C1548D" w:rsidRDefault="009B1B4B">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w:t>
      </w:r>
      <w:r>
        <w:t xml:space="preserve"> amerikanischer Jugendslang der 1980er-Referenzwelt) und aktueller Young-Adult-Literatur (etwa John Green) näher an das heran, was sie in der neuen Schule tatsächlich hören.</w:t>
      </w:r>
    </w:p>
    <w:p w14:paraId="70A4E952" w14:textId="77777777" w:rsidR="00C1548D" w:rsidRDefault="009B1B4B">
      <w:pPr>
        <w:spacing w:after="140"/>
      </w:pPr>
      <w:r>
        <w:t>Bei allen Altersgruppen wirkt derselbe Trick am zuverlässigsten: eine Serie, die das Kind schon auf Deutsch kennt, gemeinsam im englischen Original anschauen – die bekannte Handlung nimmt den Druck, jedes Wort zu verstehen. Stelle Untertitel zuerst auf Englisch, nicht auf Deutsch, und prüfe die aktuelle Verfügbarkeit auf JustWatch.de, da sich Streaming-Kataloge laufend ändern.</w:t>
      </w:r>
    </w:p>
    <w:p w14:paraId="70A4E953" w14:textId="77777777" w:rsidR="00C1548D" w:rsidRDefault="009B1B4B">
      <w:pPr>
        <w:pStyle w:val="Heading3"/>
        <w:keepNext/>
        <w:jc w:val="center"/>
      </w:pPr>
      <w:r>
        <w:rPr>
          <w:rFonts w:ascii="Amazon Ember" w:eastAsia="Amazon Ember" w:hAnsi="Amazon Ember" w:cs="Amazon Ember"/>
          <w:color w:val="0000FF"/>
          <w:sz w:val="36"/>
          <w:szCs w:val="36"/>
        </w:rPr>
        <w:t>Deutsch bewahren: Familie, Lesen, Ferien</w:t>
      </w:r>
    </w:p>
    <w:p w14:paraId="70A4E954" w14:textId="77777777" w:rsidR="00C1548D" w:rsidRDefault="009B1B4B">
      <w:pPr>
        <w:spacing w:after="140"/>
      </w:pPr>
      <w:r>
        <w:t>Zweisprachigkeit ergibt sich nicht von selbst: Kinder im US-Schulalltag wechseln oft innerhalb von ein bis zwei Jahren ins Englische, auch mit Eltern und Geschwistern – die Umgebung ist stärker als der Küchentisch. Wer Deutsch samt Lesen und Schreiben erhalten will, braucht einen Plan.</w:t>
      </w:r>
    </w:p>
    <w:p w14:paraId="70A4E955" w14:textId="77777777" w:rsidR="00C1548D" w:rsidRDefault="009B1B4B" w:rsidP="009B1B4B">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xml:space="preserve">: Jeder Elternteil </w:t>
      </w:r>
      <w:r>
        <w:lastRenderedPageBreak/>
        <w:t>bleibt konsequent bei seiner Sprache. Für Gäste gibt es Ausnahmen, damit niemand ausgeschlossen wird.</w:t>
      </w:r>
    </w:p>
    <w:p w14:paraId="70A4E956" w14:textId="77777777" w:rsidR="00C1548D" w:rsidRDefault="009B1B4B" w:rsidP="009B1B4B">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w14:paraId="70A4E957" w14:textId="77777777" w:rsidR="00C1548D" w:rsidRDefault="009B1B4B" w:rsidP="009B1B4B">
      <w:pPr>
        <w:pStyle w:val="ListParagraph"/>
        <w:numPr>
          <w:ilvl w:val="0"/>
          <w:numId w:val="1"/>
        </w:numPr>
        <w:spacing w:after="60"/>
      </w:pPr>
      <w:r>
        <w:rPr>
          <w:b/>
          <w:bCs/>
        </w:rPr>
        <w:t>Lesen.</w:t>
      </w:r>
      <w:r>
        <w:t xml:space="preserve"> Gesprochenes Deutsch bleibt oft erhalten, Schriftdeutsch nicht – als Richtgröße helfen 15 bis 20 Minuten Vorlesen oder Lesen am Tag. Bücher kommen per Paket aus Deutschland (Porto einplanen), als E-Book oder Hörbuch; manche Bibliotheken besorgen sie per Fernleihe (</w:t>
      </w:r>
      <w:r>
        <w:rPr>
          <w:i/>
          <w:iCs/>
        </w:rPr>
        <w:t>Interlibrary Loan</w:t>
      </w:r>
      <w:r>
        <w:t>). Viele Mediatheken sperren Inhalte im Ausland, teste vor einem Abo.</w:t>
      </w:r>
    </w:p>
    <w:p w14:paraId="70A4E958" w14:textId="77777777" w:rsidR="00C1548D" w:rsidRDefault="009B1B4B" w:rsidP="009B1B4B">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w14:paraId="70A4E959" w14:textId="77777777" w:rsidR="00C1548D" w:rsidRDefault="00C1548D">
      <w:pPr>
        <w:spacing w:line="120" w:lineRule="exact"/>
      </w:pPr>
    </w:p>
    <w:p w14:paraId="70A4E95A" w14:textId="77777777" w:rsidR="00C1548D" w:rsidRDefault="009B1B4B">
      <w:pPr>
        <w:pStyle w:val="Heading3"/>
        <w:keepNext/>
        <w:jc w:val="center"/>
      </w:pPr>
      <w:r>
        <w:rPr>
          <w:rFonts w:ascii="Amazon Ember" w:eastAsia="Amazon Ember" w:hAnsi="Amazon Ember" w:cs="Amazon Ember"/>
          <w:color w:val="0000FF"/>
          <w:sz w:val="36"/>
          <w:szCs w:val="36"/>
        </w:rPr>
        <w:t>Deutsch bewahren: Schulen und Nachweise</w:t>
      </w:r>
    </w:p>
    <w:p w14:paraId="70A4E95B" w14:textId="72AFD1A4" w:rsidR="00C1548D" w:rsidRDefault="009B1B4B">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history="1">
        <w:r>
          <w:t>12</w:t>
        </w:r>
      </w:hyperlink>
      <w:r>
        <w:t>).</w:t>
      </w:r>
    </w:p>
    <w:p w14:paraId="70A4E95C" w14:textId="50ED6D94" w:rsidR="00C1548D" w:rsidRDefault="009B1B4B">
      <w:pPr>
        <w:spacing w:after="140"/>
      </w:pPr>
      <w:r>
        <w:rPr>
          <w:b/>
          <w:bCs/>
        </w:rPr>
        <w:lastRenderedPageBreak/>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Charter-Plätze werden oft verlost, Fristen liegen häufig zwischen Dezember und Februar. Am anderen Ende stehen die Deutschen Auslandsschulen mit Abschluss DIA und US-Diploma; sie kosten je nach Schule und Klasse grob 27.000–36.000 $ pro Jahr (Schuljahr 2026/27, Kapitel </w:t>
      </w:r>
      <w:hyperlink w:anchor="k36" w:history="1">
        <w:r>
          <w:t>36</w:t>
        </w:r>
      </w:hyperlink>
      <w:r>
        <w:t>).</w:t>
      </w:r>
    </w:p>
    <w:p w14:paraId="70A4E95D" w14:textId="0D91CEFB" w:rsidR="00C1548D" w:rsidRDefault="009B1B4B">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Für das Studium in Deutschland </w:t>
      </w:r>
      <w:r>
        <w:t xml:space="preserve">siehe </w:t>
      </w:r>
      <w:r>
        <w:t>Kapitel </w:t>
      </w:r>
      <w:hyperlink w:anchor="k38" w:history="1">
        <w:r>
          <w:t>38</w:t>
        </w:r>
      </w:hyperlink>
      <w:r>
        <w:t>, für eine Rückkehr Kapitel </w:t>
      </w:r>
      <w:hyperlink w:anchor="k42" w:history="1">
        <w:r>
          <w:t>42</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960"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95E" w14:textId="77777777" w:rsidR="00C1548D" w:rsidRDefault="009B1B4B">
            <w:pPr>
              <w:keepNext/>
              <w:spacing w:after="70" w:line="240" w:lineRule="auto"/>
            </w:pPr>
            <w:r>
              <w:rPr>
                <w:b/>
                <w:bCs/>
                <w:color w:val="4A5568"/>
                <w:spacing w:val="24"/>
                <w:sz w:val="16"/>
                <w:szCs w:val="16"/>
              </w:rPr>
              <w:t>PRAXISBEISPIEL · FIKTIV</w:t>
            </w:r>
          </w:p>
          <w:p w14:paraId="70A4E95F" w14:textId="77777777" w:rsidR="00C1548D" w:rsidRDefault="009B1B4B">
            <w:pPr>
              <w:spacing w:after="80" w:line="264" w:lineRule="auto"/>
            </w:pPr>
            <w:r>
              <w:rPr>
                <w:sz w:val="20"/>
                <w:szCs w:val="20"/>
              </w:rPr>
              <w:t>Bei Familie Brandt (fiktiv) antwortet Jonas nach 18 Monaten meist auf Englisch, auch am Frühstückstisch. Markus und Anna führen eine feste Regel ein: Am Küchentisch gilt Deutsch. Abends lesen sie 15 Minuten auf Deutsch vor, sonntags folgt der Videoanruf mit den Großeltern in Deutschland. Lena schreibt alle zwei Wochen eine Postkarte. Die Fortschritte sind unspektakulär, aber messbar: Nach einem Jahr liest Lena wieder deutsche Kinderbücher allein, und Jonas antwortet zumindest bei Oma auf Deutsch.</w:t>
            </w:r>
          </w:p>
        </w:tc>
      </w:tr>
    </w:tbl>
    <w:p w14:paraId="70A4E961" w14:textId="77777777" w:rsidR="00C1548D" w:rsidRDefault="00C1548D">
      <w:pPr>
        <w:spacing w:line="220" w:lineRule="exact"/>
      </w:pPr>
    </w:p>
    <w:p w14:paraId="70A4E962"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965"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63"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64" w14:textId="77777777" w:rsidR="00C1548D" w:rsidRDefault="009B1B4B">
            <w:pPr>
              <w:spacing w:line="250" w:lineRule="auto"/>
            </w:pPr>
            <w:r>
              <w:rPr>
                <w:b/>
                <w:bCs/>
                <w:sz w:val="18"/>
                <w:szCs w:val="18"/>
              </w:rPr>
              <w:t>Minus</w:t>
            </w:r>
          </w:p>
        </w:tc>
      </w:tr>
      <w:tr w:rsidR="00C1548D" w14:paraId="70A4E96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66" w14:textId="77777777" w:rsidR="00C1548D" w:rsidRDefault="009B1B4B">
            <w:pPr>
              <w:spacing w:line="250" w:lineRule="auto"/>
            </w:pPr>
            <w:r>
              <w:rPr>
                <w:sz w:val="18"/>
                <w:szCs w:val="18"/>
              </w:rPr>
              <w:t>Kinder sprechen mit Großeltern, Verwandten und Freunden in Deutschland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67" w14:textId="77777777" w:rsidR="00C1548D" w:rsidRDefault="009B1B4B">
            <w:pPr>
              <w:spacing w:line="250" w:lineRule="auto"/>
            </w:pPr>
            <w:r>
              <w:rPr>
                <w:sz w:val="18"/>
                <w:szCs w:val="18"/>
              </w:rPr>
              <w:t>Jahre konsequenter Elternarbeit; Nachlassen fällt erst spät auf</w:t>
            </w:r>
          </w:p>
        </w:tc>
      </w:tr>
      <w:tr w:rsidR="00C1548D" w14:paraId="70A4E96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69" w14:textId="77777777" w:rsidR="00C1548D" w:rsidRDefault="009B1B4B">
            <w:pPr>
              <w:spacing w:line="250" w:lineRule="auto"/>
            </w:pPr>
            <w:r>
              <w:rPr>
                <w:sz w:val="18"/>
                <w:szCs w:val="18"/>
              </w:rPr>
              <w:t>Rückkehr, Studium oder Arbeit in Deutschland bleiben offen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6A" w14:textId="77777777" w:rsidR="00C1548D" w:rsidRDefault="009B1B4B">
            <w:pPr>
              <w:spacing w:line="250" w:lineRule="auto"/>
            </w:pPr>
            <w:r>
              <w:rPr>
                <w:sz w:val="18"/>
                <w:szCs w:val="18"/>
              </w:rPr>
              <w:t>Deutsche Schriftsprache bleibt meist hinter dem Englischen zurück</w:t>
            </w:r>
          </w:p>
        </w:tc>
      </w:tr>
      <w:tr w:rsidR="00C1548D" w14:paraId="70A4E96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6C" w14:textId="77777777" w:rsidR="00C1548D" w:rsidRDefault="009B1B4B">
            <w:pPr>
              <w:spacing w:line="250" w:lineRule="auto"/>
            </w:pPr>
            <w:r>
              <w:rPr>
                <w:sz w:val="18"/>
                <w:szCs w:val="18"/>
              </w:rPr>
              <w:t>Seal of Biliteracy, DSD oder Goethe-Zertifikat stärken Bewerbungen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6D" w14:textId="77777777" w:rsidR="00C1548D" w:rsidRDefault="009B1B4B">
            <w:pPr>
              <w:spacing w:line="250" w:lineRule="auto"/>
            </w:pPr>
            <w:r>
              <w:rPr>
                <w:sz w:val="18"/>
                <w:szCs w:val="18"/>
              </w:rPr>
              <w:t>Samstagsschule kostet Wochenenden, Fahrzeit und Geld</w:t>
            </w:r>
          </w:p>
        </w:tc>
      </w:tr>
      <w:tr w:rsidR="00C1548D" w14:paraId="70A4E97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6F" w14:textId="77777777" w:rsidR="00C1548D" w:rsidRDefault="009B1B4B">
            <w:pPr>
              <w:spacing w:line="250" w:lineRule="auto"/>
            </w:pPr>
            <w:r>
              <w:rPr>
                <w:sz w:val="18"/>
                <w:szCs w:val="18"/>
              </w:rPr>
              <w:t>Immersionsschulen sind kostenlos, wo es sie gibt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70" w14:textId="77777777" w:rsidR="00C1548D" w:rsidRDefault="009B1B4B">
            <w:pPr>
              <w:spacing w:line="250" w:lineRule="auto"/>
            </w:pPr>
            <w:r>
              <w:rPr>
                <w:sz w:val="18"/>
                <w:szCs w:val="18"/>
              </w:rPr>
              <w:t>Solche Schulen gibt es nur an wenigen Orten; Plätze werden oft verlost</w:t>
            </w:r>
          </w:p>
        </w:tc>
      </w:tr>
      <w:tr w:rsidR="00C1548D" w14:paraId="70A4E97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72" w14:textId="77777777" w:rsidR="00C1548D" w:rsidRDefault="009B1B4B">
            <w:pPr>
              <w:spacing w:line="250" w:lineRule="auto"/>
            </w:pPr>
            <w:r>
              <w:rPr>
                <w:sz w:val="18"/>
                <w:szCs w:val="18"/>
              </w:rPr>
              <w:t>Wer zwei Sprachen beherrscht, lernt weitere oft leichter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73" w14:textId="77777777" w:rsidR="00C1548D" w:rsidRDefault="009B1B4B">
            <w:pPr>
              <w:spacing w:line="250" w:lineRule="auto"/>
            </w:pPr>
            <w:r>
              <w:rPr>
                <w:sz w:val="18"/>
                <w:szCs w:val="18"/>
              </w:rPr>
              <w:t>Jugendliche wehren sich, wenn Deutsch als peinlich gilt</w:t>
            </w:r>
          </w:p>
        </w:tc>
      </w:tr>
    </w:tbl>
    <w:p w14:paraId="70A4E975" w14:textId="77777777" w:rsidR="00C1548D" w:rsidRDefault="00C1548D">
      <w:pPr>
        <w:spacing w:line="180" w:lineRule="exact"/>
      </w:pPr>
    </w:p>
    <w:p w14:paraId="70A4E976" w14:textId="77777777" w:rsidR="00C1548D" w:rsidRDefault="009B1B4B">
      <w:pPr>
        <w:pStyle w:val="Heading3"/>
        <w:keepNext/>
        <w:jc w:val="center"/>
      </w:pPr>
      <w:r>
        <w:rPr>
          <w:rFonts w:ascii="Amazon Ember" w:eastAsia="Amazon Ember" w:hAnsi="Amazon Ember" w:cs="Amazon Ember"/>
          <w:color w:val="0000FF"/>
          <w:sz w:val="36"/>
          <w:szCs w:val="36"/>
        </w:rPr>
        <w:t>Erwachsene: Englisch verbessern</w:t>
      </w:r>
    </w:p>
    <w:p w14:paraId="70A4E977" w14:textId="7B219AD1" w:rsidR="00C1548D" w:rsidRDefault="009B1B4B">
      <w:pPr>
        <w:spacing w:after="140"/>
      </w:pPr>
      <w:r>
        <w:t>Wer auf Englisch studiert oder gearbeitet hat, kommt im Alltag meist zurecht und stolpert an Details: schnelle Meetings, Telefonate mit Versicherungen (Kapitel </w:t>
      </w:r>
      <w:hyperlink w:anchor="k25" w:history="1">
        <w:r>
          <w:t>25</w:t>
        </w:r>
      </w:hyperlink>
      <w:r>
        <w:t>), Small Talk, formelle E-Mails. Für H-1B, L-1 und die arbeitsgestützte Green Card verlangt die Einwanderungsbehörde keinen Englischtest; einen gibt es erst bei der Einbürgerung (Kapitel </w:t>
      </w:r>
      <w:hyperlink w:anchor="k41" w:history="1">
        <w:r>
          <w:t>41</w:t>
        </w:r>
      </w:hyperlink>
      <w:r>
        <w:t>).</w:t>
      </w:r>
    </w:p>
    <w:p w14:paraId="70A4E978" w14:textId="6D5ABB1D" w:rsidR="00C1548D" w:rsidRDefault="009B1B4B" w:rsidP="009B1B4B">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Buchclubs und ESL-Kurse an; Termine stehen auf der Website (Kapitel </w:t>
      </w:r>
      <w:hyperlink w:anchor="k32" w:history="1">
        <w:r>
          <w:t>32</w:t>
        </w:r>
      </w:hyperlink>
      <w:r>
        <w:t>).</w:t>
      </w:r>
    </w:p>
    <w:p w14:paraId="70A4E979" w14:textId="5EF7A4D2" w:rsidR="00C1548D" w:rsidRDefault="009B1B4B" w:rsidP="009B1B4B">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xml:space="preserve">. Die Studiengebühren liegen im Einzugsgebiet bei durchschnittlich rund 4.150 $ pro </w:t>
      </w:r>
      <w:r>
        <w:lastRenderedPageBreak/>
        <w:t>Jahr (2025/26, Vollzeit), ein einzelner Kurs entsprechend weniger. Auch Partner ohne Arbeitserlaubnis dürfen sich meist einschreiben (Kapitel </w:t>
      </w:r>
      <w:hyperlink w:anchor="k10" w:history="1">
        <w:r>
          <w:t>10</w:t>
        </w:r>
      </w:hyperlink>
      <w:r>
        <w:t>).</w:t>
      </w:r>
    </w:p>
    <w:p w14:paraId="70A4E97A" w14:textId="4F4B6C9E" w:rsidR="00C1548D" w:rsidRDefault="009B1B4B" w:rsidP="009B1B4B">
      <w:pPr>
        <w:pStyle w:val="ListParagraph"/>
        <w:numPr>
          <w:ilvl w:val="0"/>
          <w:numId w:val="1"/>
        </w:numPr>
        <w:spacing w:after="60"/>
      </w:pPr>
      <w:r>
        <w:rPr>
          <w:b/>
          <w:bCs/>
        </w:rPr>
        <w:t>Sprechen üben.</w:t>
      </w:r>
      <w:r>
        <w:t xml:space="preserve"> Toastmasters, Sprachtandems und Meetup-Treffs (Kapitel </w:t>
      </w:r>
      <w:hyperlink w:anchor="k32" w:history="1">
        <w:r>
          <w:t>32</w:t>
        </w:r>
      </w:hyperlink>
      <w:r>
        <w:t>) trainieren freies Sprechen; frage außerdem die Personalabteilung nach Kommunikationstrainings oder einem Weiterbildungsbudget.</w:t>
      </w:r>
    </w:p>
    <w:p w14:paraId="70A4E97B" w14:textId="6730BA27" w:rsidR="00C1548D" w:rsidRDefault="009B1B4B" w:rsidP="009B1B4B">
      <w:pPr>
        <w:pStyle w:val="ListParagraph"/>
        <w:numPr>
          <w:ilvl w:val="0"/>
          <w:numId w:val="1"/>
        </w:numPr>
        <w:spacing w:after="60"/>
      </w:pPr>
      <w:r>
        <w:rPr>
          <w:b/>
          <w:bCs/>
        </w:rPr>
        <w:t>Akzent.</w:t>
      </w:r>
      <w:r>
        <w:t xml:space="preserve"> Ein deutscher Akzent ist in den meisten Metropolregionen kein Hindernis (Kapitel </w:t>
      </w:r>
      <w:hyperlink w:anchor="k31" w:history="1">
        <w:r>
          <w:t>31</w:t>
        </w:r>
      </w:hyperlink>
      <w:r>
        <w:t>); wer verständlicher werden will, übt Betonung und Satzmelodie.</w:t>
      </w:r>
    </w:p>
    <w:p w14:paraId="70A4E97C" w14:textId="77777777" w:rsidR="00C1548D" w:rsidRDefault="00C1548D">
      <w:pPr>
        <w:spacing w:line="120" w:lineRule="exact"/>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
        <w:gridCol w:w="2505"/>
        <w:gridCol w:w="3012"/>
      </w:tblGrid>
      <w:tr w:rsidR="00C1548D" w14:paraId="70A4E980" w14:textId="77777777">
        <w:tblPrEx>
          <w:tblCellMar>
            <w:top w:w="0" w:type="dxa"/>
            <w:bottom w:w="0" w:type="dxa"/>
          </w:tblCellMar>
        </w:tblPrEx>
        <w:trPr>
          <w:cantSplit/>
          <w:tblHeader/>
        </w:trPr>
        <w:tc>
          <w:tcPr>
            <w:tcW w:w="96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7D" w14:textId="77777777" w:rsidR="00C1548D" w:rsidRDefault="009B1B4B">
            <w:pPr>
              <w:spacing w:line="250" w:lineRule="auto"/>
            </w:pPr>
            <w:r>
              <w:rPr>
                <w:b/>
                <w:bCs/>
                <w:sz w:val="18"/>
                <w:szCs w:val="18"/>
              </w:rPr>
              <w:t>Test</w:t>
            </w:r>
          </w:p>
        </w:tc>
        <w:tc>
          <w:tcPr>
            <w:tcW w:w="250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7E" w14:textId="77777777" w:rsidR="00C1548D" w:rsidRDefault="009B1B4B">
            <w:pPr>
              <w:spacing w:line="250" w:lineRule="auto"/>
            </w:pPr>
            <w:r>
              <w:rPr>
                <w:b/>
                <w:bCs/>
                <w:sz w:val="18"/>
                <w:szCs w:val="18"/>
              </w:rPr>
              <w:t>Wofür meist gebraucht</w:t>
            </w:r>
          </w:p>
        </w:tc>
        <w:tc>
          <w:tcPr>
            <w:tcW w:w="301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7F" w14:textId="77777777" w:rsidR="00C1548D" w:rsidRDefault="009B1B4B">
            <w:pPr>
              <w:spacing w:line="250" w:lineRule="auto"/>
            </w:pPr>
            <w:r>
              <w:rPr>
                <w:b/>
                <w:bCs/>
                <w:sz w:val="18"/>
                <w:szCs w:val="18"/>
              </w:rPr>
              <w:t>Hinweis</w:t>
            </w:r>
          </w:p>
        </w:tc>
      </w:tr>
      <w:tr w:rsidR="00C1548D" w14:paraId="70A4E984" w14:textId="77777777">
        <w:tblPrEx>
          <w:tblCellMar>
            <w:top w:w="0" w:type="dxa"/>
            <w:bottom w:w="0" w:type="dxa"/>
          </w:tblCellMar>
        </w:tblPrEx>
        <w:trPr>
          <w:cantSplit/>
        </w:trPr>
        <w:tc>
          <w:tcPr>
            <w:tcW w:w="9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81" w14:textId="77777777" w:rsidR="00C1548D" w:rsidRDefault="009B1B4B">
            <w:pPr>
              <w:spacing w:line="250" w:lineRule="auto"/>
            </w:pPr>
            <w:r>
              <w:rPr>
                <w:sz w:val="18"/>
                <w:szCs w:val="18"/>
              </w:rPr>
              <w:t>TOEFL iBT</w:t>
            </w:r>
          </w:p>
        </w:tc>
        <w:tc>
          <w:tcPr>
            <w:tcW w:w="25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82" w14:textId="7C256EE7" w:rsidR="00C1548D" w:rsidRDefault="009B1B4B">
            <w:pPr>
              <w:spacing w:line="250" w:lineRule="auto"/>
            </w:pPr>
            <w:r>
              <w:rPr>
                <w:sz w:val="18"/>
                <w:szCs w:val="18"/>
              </w:rPr>
              <w:t>Zulassung zum Masterstudium (Kapitel </w:t>
            </w:r>
            <w:hyperlink w:anchor="k8" w:history="1">
              <w:r>
                <w:rPr>
                  <w:sz w:val="18"/>
                  <w:szCs w:val="18"/>
                </w:rPr>
                <w:t>8</w:t>
              </w:r>
            </w:hyperlink>
            <w:r>
              <w:rPr>
                <w:sz w:val="18"/>
                <w:szCs w:val="18"/>
              </w:rPr>
              <w:t>)</w:t>
            </w:r>
          </w:p>
        </w:tc>
        <w:tc>
          <w:tcPr>
            <w:tcW w:w="30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83" w14:textId="77777777" w:rsidR="00C1548D" w:rsidRDefault="009B1B4B">
            <w:pPr>
              <w:spacing w:line="250" w:lineRule="auto"/>
            </w:pPr>
            <w:r>
              <w:rPr>
                <w:sz w:val="18"/>
                <w:szCs w:val="18"/>
              </w:rPr>
              <w:t>2026 überarbeitet; Gebühr, Aufbau und Skala auf ets.org/toefl prüfen</w:t>
            </w:r>
          </w:p>
        </w:tc>
      </w:tr>
      <w:tr w:rsidR="00C1548D" w14:paraId="70A4E988" w14:textId="77777777">
        <w:tblPrEx>
          <w:tblCellMar>
            <w:top w:w="0" w:type="dxa"/>
            <w:bottom w:w="0" w:type="dxa"/>
          </w:tblCellMar>
        </w:tblPrEx>
        <w:trPr>
          <w:cantSplit/>
        </w:trPr>
        <w:tc>
          <w:tcPr>
            <w:tcW w:w="9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85" w14:textId="77777777" w:rsidR="00C1548D" w:rsidRDefault="009B1B4B">
            <w:pPr>
              <w:spacing w:line="250" w:lineRule="auto"/>
            </w:pPr>
            <w:r>
              <w:rPr>
                <w:sz w:val="18"/>
                <w:szCs w:val="18"/>
              </w:rPr>
              <w:t>IELTS Academic</w:t>
            </w:r>
          </w:p>
        </w:tc>
        <w:tc>
          <w:tcPr>
            <w:tcW w:w="25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86" w14:textId="77777777" w:rsidR="00C1548D" w:rsidRDefault="009B1B4B">
            <w:pPr>
              <w:spacing w:line="250" w:lineRule="auto"/>
            </w:pPr>
            <w:r>
              <w:rPr>
                <w:sz w:val="18"/>
                <w:szCs w:val="18"/>
              </w:rPr>
              <w:t>Hochschulzulassung, manche Berufszulassungen</w:t>
            </w:r>
          </w:p>
        </w:tc>
        <w:tc>
          <w:tcPr>
            <w:tcW w:w="30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87" w14:textId="77777777" w:rsidR="00C1548D" w:rsidRDefault="009B1B4B">
            <w:pPr>
              <w:spacing w:line="250" w:lineRule="auto"/>
            </w:pPr>
            <w:r>
              <w:rPr>
                <w:sz w:val="18"/>
                <w:szCs w:val="18"/>
              </w:rPr>
              <w:t>Gebühr und Termine auf ielts.org</w:t>
            </w:r>
          </w:p>
        </w:tc>
      </w:tr>
      <w:tr w:rsidR="00C1548D" w14:paraId="70A4E98C" w14:textId="77777777">
        <w:tblPrEx>
          <w:tblCellMar>
            <w:top w:w="0" w:type="dxa"/>
            <w:bottom w:w="0" w:type="dxa"/>
          </w:tblCellMar>
        </w:tblPrEx>
        <w:trPr>
          <w:cantSplit/>
        </w:trPr>
        <w:tc>
          <w:tcPr>
            <w:tcW w:w="9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89" w14:textId="77777777" w:rsidR="00C1548D" w:rsidRDefault="009B1B4B">
            <w:pPr>
              <w:spacing w:line="250" w:lineRule="auto"/>
            </w:pPr>
            <w:r>
              <w:rPr>
                <w:sz w:val="18"/>
                <w:szCs w:val="18"/>
              </w:rPr>
              <w:t>Duolingo English Test</w:t>
            </w:r>
          </w:p>
        </w:tc>
        <w:tc>
          <w:tcPr>
            <w:tcW w:w="25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8A" w14:textId="77777777" w:rsidR="00C1548D" w:rsidRDefault="009B1B4B">
            <w:pPr>
              <w:spacing w:line="250" w:lineRule="auto"/>
            </w:pPr>
            <w:r>
              <w:rPr>
                <w:sz w:val="18"/>
                <w:szCs w:val="18"/>
              </w:rPr>
              <w:t>Hochschulzulassung, online von zu Hause</w:t>
            </w:r>
          </w:p>
        </w:tc>
        <w:tc>
          <w:tcPr>
            <w:tcW w:w="30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8B" w14:textId="77777777" w:rsidR="00C1548D" w:rsidRDefault="009B1B4B">
            <w:pPr>
              <w:spacing w:line="250" w:lineRule="auto"/>
            </w:pPr>
            <w:r>
              <w:rPr>
                <w:sz w:val="18"/>
                <w:szCs w:val="18"/>
              </w:rPr>
              <w:t>Günstiger, aber nicht überall anerkannt</w:t>
            </w:r>
          </w:p>
        </w:tc>
      </w:tr>
    </w:tbl>
    <w:p w14:paraId="70A4E98D"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990"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98E" w14:textId="77777777" w:rsidR="00C1548D" w:rsidRDefault="009B1B4B">
            <w:pPr>
              <w:keepNext/>
              <w:spacing w:after="70" w:line="240" w:lineRule="auto"/>
            </w:pPr>
            <w:r>
              <w:rPr>
                <w:b/>
                <w:bCs/>
                <w:color w:val="2F6B3B"/>
                <w:spacing w:val="24"/>
                <w:sz w:val="16"/>
                <w:szCs w:val="16"/>
              </w:rPr>
              <w:t>SPARTIPP</w:t>
            </w:r>
          </w:p>
          <w:p w14:paraId="70A4E98F" w14:textId="77777777" w:rsidR="00C1548D" w:rsidRDefault="009B1B4B">
            <w:pPr>
              <w:spacing w:after="80" w:line="264" w:lineRule="auto"/>
            </w:pPr>
            <w:r>
              <w:rPr>
                <w:sz w:val="20"/>
                <w:szCs w:val="20"/>
              </w:rPr>
              <w:t>Buche einen Test erst, wenn eine konkrete Hochschule oder Stelle ihn verlangt. Die Ergebnisse von TOEFL und IELTS gelten meist nur zwei Jahre. Frage vorher nach, ob ein Abschluss in englischer Sprache den Test ersetzt; manche Programme verzichten darauf.</w:t>
            </w:r>
          </w:p>
        </w:tc>
      </w:tr>
    </w:tbl>
    <w:p w14:paraId="70A4E991" w14:textId="77777777" w:rsidR="00C1548D" w:rsidRDefault="00C1548D">
      <w:pPr>
        <w:spacing w:line="220" w:lineRule="exact"/>
      </w:pPr>
    </w:p>
    <w:p w14:paraId="70A4E992" w14:textId="77777777" w:rsidR="00C1548D" w:rsidRDefault="009B1B4B">
      <w:pPr>
        <w:pStyle w:val="Heading3"/>
        <w:keepNext/>
        <w:jc w:val="center"/>
      </w:pPr>
      <w:r>
        <w:rPr>
          <w:rFonts w:ascii="Amazon Ember" w:eastAsia="Amazon Ember" w:hAnsi="Amazon Ember" w:cs="Amazon Ember"/>
          <w:color w:val="0000FF"/>
          <w:sz w:val="36"/>
          <w:szCs w:val="36"/>
        </w:rPr>
        <w:t>Alltagsenglisch: Wo Deutsche stolpern</w:t>
      </w:r>
    </w:p>
    <w:p w14:paraId="70A4E993" w14:textId="3AEC951D" w:rsidR="00C1548D" w:rsidRDefault="009B1B4B">
      <w:pPr>
        <w:spacing w:after="140"/>
      </w:pPr>
      <w: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history="1">
        <w:r>
          <w:t>31</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3"/>
        <w:gridCol w:w="4477"/>
      </w:tblGrid>
      <w:tr w:rsidR="00C1548D" w14:paraId="70A4E996" w14:textId="77777777">
        <w:tblPrEx>
          <w:tblCellMar>
            <w:top w:w="0" w:type="dxa"/>
            <w:bottom w:w="0" w:type="dxa"/>
          </w:tblCellMar>
        </w:tblPrEx>
        <w:trPr>
          <w:cantSplit/>
          <w:tblHeader/>
        </w:trPr>
        <w:tc>
          <w:tcPr>
            <w:tcW w:w="20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94" w14:textId="77777777" w:rsidR="00C1548D" w:rsidRDefault="009B1B4B">
            <w:pPr>
              <w:spacing w:line="250" w:lineRule="auto"/>
            </w:pPr>
            <w:r>
              <w:rPr>
                <w:b/>
                <w:bCs/>
                <w:sz w:val="18"/>
                <w:szCs w:val="18"/>
              </w:rPr>
              <w:lastRenderedPageBreak/>
              <w:t>Klingt schroff</w:t>
            </w:r>
          </w:p>
        </w:tc>
        <w:tc>
          <w:tcPr>
            <w:tcW w:w="44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95" w14:textId="77777777" w:rsidR="00C1548D" w:rsidRDefault="009B1B4B">
            <w:pPr>
              <w:spacing w:line="250" w:lineRule="auto"/>
            </w:pPr>
            <w:r>
              <w:rPr>
                <w:b/>
                <w:bCs/>
                <w:sz w:val="18"/>
                <w:szCs w:val="18"/>
              </w:rPr>
              <w:t>Klingt kollegial</w:t>
            </w:r>
          </w:p>
        </w:tc>
      </w:tr>
      <w:tr w:rsidR="00C1548D" w14:paraId="70A4E999" w14:textId="77777777">
        <w:tblPrEx>
          <w:tblCellMar>
            <w:top w:w="0" w:type="dxa"/>
            <w:bottom w:w="0" w:type="dxa"/>
          </w:tblCellMar>
        </w:tblPrEx>
        <w:trPr>
          <w:cantSplit/>
        </w:trPr>
        <w:tc>
          <w:tcPr>
            <w:tcW w:w="2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97" w14:textId="77777777" w:rsidR="00C1548D" w:rsidRDefault="009B1B4B">
            <w:pPr>
              <w:spacing w:line="250" w:lineRule="auto"/>
            </w:pPr>
            <w:r>
              <w:rPr>
                <w:sz w:val="18"/>
                <w:szCs w:val="18"/>
              </w:rPr>
              <w:t>„I want a coffee.“</w:t>
            </w:r>
          </w:p>
        </w:tc>
        <w:tc>
          <w:tcPr>
            <w:tcW w:w="4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98" w14:textId="77777777" w:rsidR="00C1548D" w:rsidRDefault="009B1B4B">
            <w:pPr>
              <w:spacing w:line="250" w:lineRule="auto"/>
            </w:pPr>
            <w:r>
              <w:rPr>
                <w:sz w:val="18"/>
                <w:szCs w:val="18"/>
              </w:rPr>
              <w:t>„I’d like a coffee, please.“</w:t>
            </w:r>
          </w:p>
        </w:tc>
      </w:tr>
      <w:tr w:rsidR="00C1548D" w14:paraId="70A4E99C" w14:textId="77777777">
        <w:tblPrEx>
          <w:tblCellMar>
            <w:top w:w="0" w:type="dxa"/>
            <w:bottom w:w="0" w:type="dxa"/>
          </w:tblCellMar>
        </w:tblPrEx>
        <w:trPr>
          <w:cantSplit/>
        </w:trPr>
        <w:tc>
          <w:tcPr>
            <w:tcW w:w="2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9A" w14:textId="77777777" w:rsidR="00C1548D" w:rsidRDefault="009B1B4B">
            <w:pPr>
              <w:spacing w:line="250" w:lineRule="auto"/>
            </w:pPr>
            <w:r>
              <w:rPr>
                <w:sz w:val="18"/>
                <w:szCs w:val="18"/>
              </w:rPr>
              <w:t>„Send me the report.“</w:t>
            </w:r>
          </w:p>
        </w:tc>
        <w:tc>
          <w:tcPr>
            <w:tcW w:w="4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9B" w14:textId="77777777" w:rsidR="00C1548D" w:rsidRDefault="009B1B4B">
            <w:pPr>
              <w:spacing w:line="250" w:lineRule="auto"/>
            </w:pPr>
            <w:r>
              <w:rPr>
                <w:sz w:val="18"/>
                <w:szCs w:val="18"/>
              </w:rPr>
              <w:t>„Could you send me the report by Friday?“</w:t>
            </w:r>
          </w:p>
        </w:tc>
      </w:tr>
      <w:tr w:rsidR="00C1548D" w14:paraId="70A4E99F" w14:textId="77777777">
        <w:tblPrEx>
          <w:tblCellMar>
            <w:top w:w="0" w:type="dxa"/>
            <w:bottom w:w="0" w:type="dxa"/>
          </w:tblCellMar>
        </w:tblPrEx>
        <w:trPr>
          <w:cantSplit/>
        </w:trPr>
        <w:tc>
          <w:tcPr>
            <w:tcW w:w="2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9D" w14:textId="77777777" w:rsidR="00C1548D" w:rsidRDefault="009B1B4B">
            <w:pPr>
              <w:spacing w:line="250" w:lineRule="auto"/>
            </w:pPr>
            <w:r>
              <w:rPr>
                <w:sz w:val="18"/>
                <w:szCs w:val="18"/>
              </w:rPr>
              <w:t>„That is wrong.“</w:t>
            </w:r>
          </w:p>
        </w:tc>
        <w:tc>
          <w:tcPr>
            <w:tcW w:w="4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9E" w14:textId="77777777" w:rsidR="00C1548D" w:rsidRDefault="009B1B4B">
            <w:pPr>
              <w:spacing w:line="250" w:lineRule="auto"/>
            </w:pPr>
            <w:r>
              <w:rPr>
                <w:sz w:val="18"/>
                <w:szCs w:val="18"/>
              </w:rPr>
              <w:t>„I see it a bit differently.“</w:t>
            </w:r>
          </w:p>
        </w:tc>
      </w:tr>
      <w:tr w:rsidR="00C1548D" w14:paraId="70A4E9A2" w14:textId="77777777">
        <w:tblPrEx>
          <w:tblCellMar>
            <w:top w:w="0" w:type="dxa"/>
            <w:bottom w:w="0" w:type="dxa"/>
          </w:tblCellMar>
        </w:tblPrEx>
        <w:trPr>
          <w:cantSplit/>
        </w:trPr>
        <w:tc>
          <w:tcPr>
            <w:tcW w:w="2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A0" w14:textId="77777777" w:rsidR="00C1548D" w:rsidRDefault="009B1B4B">
            <w:pPr>
              <w:spacing w:line="250" w:lineRule="auto"/>
            </w:pPr>
            <w:r>
              <w:rPr>
                <w:sz w:val="18"/>
                <w:szCs w:val="18"/>
              </w:rPr>
              <w:t>„That doesn’t work.“</w:t>
            </w:r>
          </w:p>
        </w:tc>
        <w:tc>
          <w:tcPr>
            <w:tcW w:w="4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A1" w14:textId="77777777" w:rsidR="00C1548D" w:rsidRDefault="009B1B4B">
            <w:pPr>
              <w:spacing w:line="250" w:lineRule="auto"/>
            </w:pPr>
            <w:r>
              <w:rPr>
                <w:sz w:val="18"/>
                <w:szCs w:val="18"/>
              </w:rPr>
              <w:t>„I’m afraid that won’t work for me. Could we try Thursday?“</w:t>
            </w:r>
          </w:p>
        </w:tc>
      </w:tr>
    </w:tbl>
    <w:p w14:paraId="70A4E9A3" w14:textId="77777777" w:rsidR="00C1548D" w:rsidRDefault="00C1548D">
      <w:pPr>
        <w:spacing w:line="180" w:lineRule="exact"/>
      </w:pPr>
    </w:p>
    <w:p w14:paraId="70A4E9A4" w14:textId="77777777" w:rsidR="00C1548D" w:rsidRDefault="009B1B4B">
      <w:pPr>
        <w:spacing w:after="140"/>
      </w:pPr>
      <w:r>
        <w:t>Im Büro begegnen dir Wendungen, die kein Wörterbuch erklärt: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7"/>
        <w:gridCol w:w="4493"/>
      </w:tblGrid>
      <w:tr w:rsidR="00C1548D" w14:paraId="70A4E9A7" w14:textId="77777777">
        <w:tblPrEx>
          <w:tblCellMar>
            <w:top w:w="0" w:type="dxa"/>
            <w:bottom w:w="0" w:type="dxa"/>
          </w:tblCellMar>
        </w:tblPrEx>
        <w:trPr>
          <w:cantSplit/>
          <w:tblHeader/>
        </w:trPr>
        <w:tc>
          <w:tcPr>
            <w:tcW w:w="198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A5" w14:textId="77777777" w:rsidR="00C1548D" w:rsidRDefault="009B1B4B">
            <w:pPr>
              <w:spacing w:line="250" w:lineRule="auto"/>
            </w:pPr>
            <w:r>
              <w:rPr>
                <w:b/>
                <w:bCs/>
                <w:sz w:val="18"/>
                <w:szCs w:val="18"/>
              </w:rPr>
              <w:t>Ausdruck</w:t>
            </w:r>
          </w:p>
        </w:tc>
        <w:tc>
          <w:tcPr>
            <w:tcW w:w="449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A6" w14:textId="77777777" w:rsidR="00C1548D" w:rsidRDefault="009B1B4B">
            <w:pPr>
              <w:spacing w:line="250" w:lineRule="auto"/>
            </w:pPr>
            <w:r>
              <w:rPr>
                <w:b/>
                <w:bCs/>
                <w:sz w:val="18"/>
                <w:szCs w:val="18"/>
              </w:rPr>
              <w:t>Bedeutung</w:t>
            </w:r>
          </w:p>
        </w:tc>
      </w:tr>
      <w:tr w:rsidR="00C1548D" w14:paraId="70A4E9AA" w14:textId="77777777">
        <w:tblPrEx>
          <w:tblCellMar>
            <w:top w:w="0" w:type="dxa"/>
            <w:bottom w:w="0" w:type="dxa"/>
          </w:tblCellMar>
        </w:tblPrEx>
        <w:trPr>
          <w:cantSplit/>
        </w:trPr>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A8" w14:textId="77777777" w:rsidR="00C1548D" w:rsidRDefault="009B1B4B">
            <w:pPr>
              <w:spacing w:line="250" w:lineRule="auto"/>
            </w:pPr>
            <w:r>
              <w:rPr>
                <w:i/>
                <w:iCs/>
                <w:sz w:val="18"/>
                <w:szCs w:val="18"/>
              </w:rPr>
              <w:t>touch base</w:t>
            </w:r>
          </w:p>
        </w:tc>
        <w:tc>
          <w:tcPr>
            <w:tcW w:w="44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A9" w14:textId="77777777" w:rsidR="00C1548D" w:rsidRDefault="009B1B4B">
            <w:pPr>
              <w:spacing w:line="250" w:lineRule="auto"/>
            </w:pPr>
            <w:r>
              <w:rPr>
                <w:sz w:val="18"/>
                <w:szCs w:val="18"/>
              </w:rPr>
              <w:t>sich kurz abstimmen</w:t>
            </w:r>
          </w:p>
        </w:tc>
      </w:tr>
      <w:tr w:rsidR="00C1548D" w14:paraId="70A4E9AD" w14:textId="77777777">
        <w:tblPrEx>
          <w:tblCellMar>
            <w:top w:w="0" w:type="dxa"/>
            <w:bottom w:w="0" w:type="dxa"/>
          </w:tblCellMar>
        </w:tblPrEx>
        <w:trPr>
          <w:cantSplit/>
        </w:trPr>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AB" w14:textId="77777777" w:rsidR="00C1548D" w:rsidRDefault="009B1B4B">
            <w:pPr>
              <w:spacing w:line="250" w:lineRule="auto"/>
            </w:pPr>
            <w:r>
              <w:rPr>
                <w:i/>
                <w:iCs/>
                <w:sz w:val="18"/>
                <w:szCs w:val="18"/>
              </w:rPr>
              <w:t>circle back</w:t>
            </w:r>
          </w:p>
        </w:tc>
        <w:tc>
          <w:tcPr>
            <w:tcW w:w="44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AC" w14:textId="77777777" w:rsidR="00C1548D" w:rsidRDefault="009B1B4B">
            <w:pPr>
              <w:spacing w:line="250" w:lineRule="auto"/>
            </w:pPr>
            <w:r>
              <w:rPr>
                <w:sz w:val="18"/>
                <w:szCs w:val="18"/>
              </w:rPr>
              <w:t>später noch einmal darauf zurückkommen</w:t>
            </w:r>
          </w:p>
        </w:tc>
      </w:tr>
      <w:tr w:rsidR="00C1548D" w14:paraId="70A4E9B0" w14:textId="77777777">
        <w:tblPrEx>
          <w:tblCellMar>
            <w:top w:w="0" w:type="dxa"/>
            <w:bottom w:w="0" w:type="dxa"/>
          </w:tblCellMar>
        </w:tblPrEx>
        <w:trPr>
          <w:cantSplit/>
        </w:trPr>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AE" w14:textId="77777777" w:rsidR="00C1548D" w:rsidRDefault="009B1B4B">
            <w:pPr>
              <w:spacing w:line="250" w:lineRule="auto"/>
            </w:pPr>
            <w:r>
              <w:rPr>
                <w:i/>
                <w:iCs/>
                <w:sz w:val="18"/>
                <w:szCs w:val="18"/>
              </w:rPr>
              <w:t>ballpark figure</w:t>
            </w:r>
          </w:p>
        </w:tc>
        <w:tc>
          <w:tcPr>
            <w:tcW w:w="44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AF" w14:textId="77777777" w:rsidR="00C1548D" w:rsidRDefault="009B1B4B">
            <w:pPr>
              <w:spacing w:line="250" w:lineRule="auto"/>
            </w:pPr>
            <w:r>
              <w:rPr>
                <w:sz w:val="18"/>
                <w:szCs w:val="18"/>
              </w:rPr>
              <w:t>grobe Schätzung</w:t>
            </w:r>
          </w:p>
        </w:tc>
      </w:tr>
      <w:tr w:rsidR="00C1548D" w14:paraId="70A4E9B3" w14:textId="77777777">
        <w:tblPrEx>
          <w:tblCellMar>
            <w:top w:w="0" w:type="dxa"/>
            <w:bottom w:w="0" w:type="dxa"/>
          </w:tblCellMar>
        </w:tblPrEx>
        <w:trPr>
          <w:cantSplit/>
        </w:trPr>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B1" w14:textId="77777777" w:rsidR="00C1548D" w:rsidRDefault="009B1B4B">
            <w:pPr>
              <w:spacing w:line="250" w:lineRule="auto"/>
            </w:pPr>
            <w:r>
              <w:rPr>
                <w:i/>
                <w:iCs/>
                <w:sz w:val="18"/>
                <w:szCs w:val="18"/>
              </w:rPr>
              <w:t>heads-up</w:t>
            </w:r>
          </w:p>
        </w:tc>
        <w:tc>
          <w:tcPr>
            <w:tcW w:w="44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B2" w14:textId="77777777" w:rsidR="00C1548D" w:rsidRDefault="009B1B4B">
            <w:pPr>
              <w:spacing w:line="250" w:lineRule="auto"/>
            </w:pPr>
            <w:r>
              <w:rPr>
                <w:sz w:val="18"/>
                <w:szCs w:val="18"/>
              </w:rPr>
              <w:t>Vorwarnung, kurzer Hinweis</w:t>
            </w:r>
          </w:p>
        </w:tc>
      </w:tr>
      <w:tr w:rsidR="00C1548D" w14:paraId="70A4E9B6" w14:textId="77777777">
        <w:tblPrEx>
          <w:tblCellMar>
            <w:top w:w="0" w:type="dxa"/>
            <w:bottom w:w="0" w:type="dxa"/>
          </w:tblCellMar>
        </w:tblPrEx>
        <w:trPr>
          <w:cantSplit/>
        </w:trPr>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B4" w14:textId="77777777" w:rsidR="00C1548D" w:rsidRDefault="009B1B4B">
            <w:pPr>
              <w:spacing w:line="250" w:lineRule="auto"/>
            </w:pPr>
            <w:r>
              <w:rPr>
                <w:i/>
                <w:iCs/>
                <w:sz w:val="18"/>
                <w:szCs w:val="18"/>
              </w:rPr>
              <w:t>on the same page</w:t>
            </w:r>
          </w:p>
        </w:tc>
        <w:tc>
          <w:tcPr>
            <w:tcW w:w="44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B5" w14:textId="77777777" w:rsidR="00C1548D" w:rsidRDefault="009B1B4B">
            <w:pPr>
              <w:spacing w:line="250" w:lineRule="auto"/>
            </w:pPr>
            <w:r>
              <w:rPr>
                <w:sz w:val="18"/>
                <w:szCs w:val="18"/>
              </w:rPr>
              <w:t>gleicher Kenntnisstand</w:t>
            </w:r>
          </w:p>
        </w:tc>
      </w:tr>
      <w:tr w:rsidR="00C1548D" w14:paraId="70A4E9B9" w14:textId="77777777">
        <w:tblPrEx>
          <w:tblCellMar>
            <w:top w:w="0" w:type="dxa"/>
            <w:bottom w:w="0" w:type="dxa"/>
          </w:tblCellMar>
        </w:tblPrEx>
        <w:trPr>
          <w:cantSplit/>
        </w:trPr>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B7" w14:textId="77777777" w:rsidR="00C1548D" w:rsidRDefault="009B1B4B">
            <w:pPr>
              <w:spacing w:line="250" w:lineRule="auto"/>
            </w:pPr>
            <w:r>
              <w:rPr>
                <w:i/>
                <w:iCs/>
                <w:sz w:val="18"/>
                <w:szCs w:val="18"/>
              </w:rPr>
              <w:t>EOD</w:t>
            </w:r>
          </w:p>
        </w:tc>
        <w:tc>
          <w:tcPr>
            <w:tcW w:w="44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B8" w14:textId="77777777" w:rsidR="00C1548D" w:rsidRDefault="009B1B4B">
            <w:pPr>
              <w:spacing w:line="250" w:lineRule="auto"/>
            </w:pPr>
            <w:r>
              <w:rPr>
                <w:i/>
                <w:iCs/>
                <w:sz w:val="18"/>
                <w:szCs w:val="18"/>
              </w:rPr>
              <w:t>end of day</w:t>
            </w:r>
            <w:r>
              <w:rPr>
                <w:sz w:val="18"/>
                <w:szCs w:val="18"/>
              </w:rPr>
              <w:t>, bis Feierabend</w:t>
            </w:r>
          </w:p>
        </w:tc>
      </w:tr>
    </w:tbl>
    <w:p w14:paraId="70A4E9BA" w14:textId="77777777" w:rsidR="00C1548D" w:rsidRDefault="00C1548D">
      <w:pPr>
        <w:spacing w:line="180" w:lineRule="exact"/>
      </w:pPr>
    </w:p>
    <w:p w14:paraId="70A4E9BB" w14:textId="77777777" w:rsidR="00C1548D" w:rsidRDefault="009B1B4B">
      <w:pPr>
        <w:spacing w:after="140"/>
      </w:pPr>
      <w:r>
        <w:t xml:space="preserve">Im Alltag heißen „No worries“ und „You bet“ so viel wie „gern geschehen“, „I’m good“ steht für „nein danke“, „Sounds good“ für „einverstanden“. Bei Zahlen steht im Datum der Monat zuerst (03/04/2026 ist der 4. März), Uhrzeiten laufen mit </w:t>
      </w:r>
      <w:r>
        <w:rPr>
          <w:i/>
          <w:iCs/>
        </w:rPr>
        <w:t>a.m.</w:t>
      </w:r>
      <w:r>
        <w:t xml:space="preserve"> und </w:t>
      </w:r>
      <w:r>
        <w:rPr>
          <w:i/>
          <w:iCs/>
        </w:rPr>
        <w:t>p.m.</w:t>
      </w:r>
      <w:r>
        <w:t xml:space="preserve">, Tausender trennt ein Komma, Dezimalstellen ein Punkt. Und </w:t>
      </w:r>
      <w:r>
        <w:rPr>
          <w:i/>
          <w:iCs/>
        </w:rPr>
        <w:t>billion</w:t>
      </w:r>
      <w:r>
        <w:t xml:space="preserve"> ist die Milliarde, nicht die Billion.</w:t>
      </w:r>
    </w:p>
    <w:p w14:paraId="70A4E9BC" w14:textId="77777777" w:rsidR="00C1548D" w:rsidRDefault="009B1B4B">
      <w:pPr>
        <w:pStyle w:val="Heading3"/>
        <w:keepNext/>
        <w:jc w:val="center"/>
      </w:pPr>
      <w:r>
        <w:rPr>
          <w:rFonts w:ascii="Amazon Ember" w:eastAsia="Amazon Ember" w:hAnsi="Amazon Ember" w:cs="Amazon Ember"/>
          <w:color w:val="0000FF"/>
          <w:sz w:val="36"/>
          <w:szCs w:val="36"/>
        </w:rPr>
        <w:t>False Friends: Wörter, die dich hereinlegen</w:t>
      </w:r>
    </w:p>
    <w:p w14:paraId="70A4E9BD" w14:textId="77777777" w:rsidR="00C1548D" w:rsidRDefault="009B1B4B">
      <w:pPr>
        <w:spacing w:after="140"/>
      </w:pPr>
      <w:r>
        <w:t>Diese Wörter klingen deutsch, bedeuten aber etwas anderes: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43"/>
        <w:gridCol w:w="1143"/>
        <w:gridCol w:w="1765"/>
        <w:gridCol w:w="2429"/>
      </w:tblGrid>
      <w:tr w:rsidR="00C1548D" w14:paraId="70A4E9C2" w14:textId="77777777">
        <w:tblPrEx>
          <w:tblCellMar>
            <w:top w:w="0" w:type="dxa"/>
            <w:bottom w:w="0" w:type="dxa"/>
          </w:tblCellMar>
        </w:tblPrEx>
        <w:trPr>
          <w:cantSplit/>
          <w:tblHeader/>
        </w:trPr>
        <w:tc>
          <w:tcPr>
            <w:tcW w:w="114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BE" w14:textId="77777777" w:rsidR="00C1548D" w:rsidRDefault="009B1B4B">
            <w:pPr>
              <w:spacing w:line="250" w:lineRule="auto"/>
            </w:pPr>
            <w:r>
              <w:rPr>
                <w:b/>
                <w:bCs/>
                <w:sz w:val="18"/>
                <w:szCs w:val="18"/>
              </w:rPr>
              <w:t>Englisch</w:t>
            </w:r>
          </w:p>
        </w:tc>
        <w:tc>
          <w:tcPr>
            <w:tcW w:w="114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BF" w14:textId="77777777" w:rsidR="00C1548D" w:rsidRDefault="009B1B4B">
            <w:pPr>
              <w:spacing w:line="250" w:lineRule="auto"/>
            </w:pPr>
            <w:r>
              <w:rPr>
                <w:b/>
                <w:bCs/>
                <w:sz w:val="18"/>
                <w:szCs w:val="18"/>
              </w:rPr>
              <w:t>Klingt wie</w:t>
            </w:r>
          </w:p>
        </w:tc>
        <w:tc>
          <w:tcPr>
            <w:tcW w:w="176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C0" w14:textId="77777777" w:rsidR="00C1548D" w:rsidRDefault="009B1B4B">
            <w:pPr>
              <w:spacing w:line="250" w:lineRule="auto"/>
            </w:pPr>
            <w:r>
              <w:rPr>
                <w:b/>
                <w:bCs/>
                <w:sz w:val="18"/>
                <w:szCs w:val="18"/>
              </w:rPr>
              <w:t>Bedeutet</w:t>
            </w:r>
          </w:p>
        </w:tc>
        <w:tc>
          <w:tcPr>
            <w:tcW w:w="242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C1" w14:textId="77777777" w:rsidR="00C1548D" w:rsidRDefault="009B1B4B">
            <w:pPr>
              <w:spacing w:line="250" w:lineRule="auto"/>
            </w:pPr>
            <w:r>
              <w:rPr>
                <w:b/>
                <w:bCs/>
                <w:sz w:val="18"/>
                <w:szCs w:val="18"/>
              </w:rPr>
              <w:t>Das deutsche Wort heißt</w:t>
            </w:r>
          </w:p>
        </w:tc>
      </w:tr>
      <w:tr w:rsidR="00C1548D" w14:paraId="70A4E9C7" w14:textId="77777777">
        <w:tblPrEx>
          <w:tblCellMar>
            <w:top w:w="0" w:type="dxa"/>
            <w:bottom w:w="0" w:type="dxa"/>
          </w:tblCellMar>
        </w:tblPrEx>
        <w:trPr>
          <w:cantSplit/>
        </w:trPr>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C3" w14:textId="77777777" w:rsidR="00C1548D" w:rsidRDefault="009B1B4B">
            <w:pPr>
              <w:spacing w:line="250" w:lineRule="auto"/>
            </w:pPr>
            <w:r>
              <w:rPr>
                <w:i/>
                <w:iCs/>
                <w:sz w:val="18"/>
                <w:szCs w:val="18"/>
              </w:rPr>
              <w:t>gift</w:t>
            </w:r>
          </w:p>
        </w:tc>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C4" w14:textId="77777777" w:rsidR="00C1548D" w:rsidRDefault="009B1B4B">
            <w:pPr>
              <w:spacing w:line="250" w:lineRule="auto"/>
            </w:pPr>
            <w:r>
              <w:rPr>
                <w:sz w:val="18"/>
                <w:szCs w:val="18"/>
              </w:rPr>
              <w:t>Gift</w:t>
            </w:r>
          </w:p>
        </w:tc>
        <w:tc>
          <w:tcPr>
            <w:tcW w:w="1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C5" w14:textId="77777777" w:rsidR="00C1548D" w:rsidRDefault="009B1B4B">
            <w:pPr>
              <w:spacing w:line="250" w:lineRule="auto"/>
            </w:pPr>
            <w:r>
              <w:rPr>
                <w:sz w:val="18"/>
                <w:szCs w:val="18"/>
              </w:rPr>
              <w:t>Geschenk</w:t>
            </w:r>
          </w:p>
        </w:tc>
        <w:tc>
          <w:tcPr>
            <w:tcW w:w="2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C6" w14:textId="77777777" w:rsidR="00C1548D" w:rsidRDefault="009B1B4B">
            <w:pPr>
              <w:spacing w:line="250" w:lineRule="auto"/>
            </w:pPr>
            <w:r>
              <w:rPr>
                <w:i/>
                <w:iCs/>
                <w:sz w:val="18"/>
                <w:szCs w:val="18"/>
              </w:rPr>
              <w:t>poison</w:t>
            </w:r>
          </w:p>
        </w:tc>
      </w:tr>
      <w:tr w:rsidR="00C1548D" w14:paraId="70A4E9CC" w14:textId="77777777">
        <w:tblPrEx>
          <w:tblCellMar>
            <w:top w:w="0" w:type="dxa"/>
            <w:bottom w:w="0" w:type="dxa"/>
          </w:tblCellMar>
        </w:tblPrEx>
        <w:trPr>
          <w:cantSplit/>
        </w:trPr>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C8" w14:textId="77777777" w:rsidR="00C1548D" w:rsidRDefault="009B1B4B">
            <w:pPr>
              <w:spacing w:line="250" w:lineRule="auto"/>
            </w:pPr>
            <w:r>
              <w:rPr>
                <w:i/>
                <w:iCs/>
                <w:sz w:val="18"/>
                <w:szCs w:val="18"/>
              </w:rPr>
              <w:t>become</w:t>
            </w:r>
          </w:p>
        </w:tc>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C9" w14:textId="77777777" w:rsidR="00C1548D" w:rsidRDefault="009B1B4B">
            <w:pPr>
              <w:spacing w:line="250" w:lineRule="auto"/>
            </w:pPr>
            <w:r>
              <w:rPr>
                <w:sz w:val="18"/>
                <w:szCs w:val="18"/>
              </w:rPr>
              <w:t>bekommen</w:t>
            </w:r>
          </w:p>
        </w:tc>
        <w:tc>
          <w:tcPr>
            <w:tcW w:w="1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CA" w14:textId="77777777" w:rsidR="00C1548D" w:rsidRDefault="009B1B4B">
            <w:pPr>
              <w:spacing w:line="250" w:lineRule="auto"/>
            </w:pPr>
            <w:r>
              <w:rPr>
                <w:sz w:val="18"/>
                <w:szCs w:val="18"/>
              </w:rPr>
              <w:t>werden</w:t>
            </w:r>
          </w:p>
        </w:tc>
        <w:tc>
          <w:tcPr>
            <w:tcW w:w="2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CB" w14:textId="77777777" w:rsidR="00C1548D" w:rsidRDefault="009B1B4B">
            <w:pPr>
              <w:spacing w:line="250" w:lineRule="auto"/>
            </w:pPr>
            <w:r>
              <w:rPr>
                <w:sz w:val="18"/>
                <w:szCs w:val="18"/>
              </w:rPr>
              <w:t xml:space="preserve">bekommen = </w:t>
            </w:r>
            <w:r>
              <w:rPr>
                <w:i/>
                <w:iCs/>
                <w:sz w:val="18"/>
                <w:szCs w:val="18"/>
              </w:rPr>
              <w:t>get</w:t>
            </w:r>
            <w:r>
              <w:rPr>
                <w:sz w:val="18"/>
                <w:szCs w:val="18"/>
              </w:rPr>
              <w:t xml:space="preserve">, </w:t>
            </w:r>
            <w:r>
              <w:rPr>
                <w:i/>
                <w:iCs/>
                <w:sz w:val="18"/>
                <w:szCs w:val="18"/>
              </w:rPr>
              <w:t>receive</w:t>
            </w:r>
          </w:p>
        </w:tc>
      </w:tr>
      <w:tr w:rsidR="00C1548D" w14:paraId="70A4E9D1" w14:textId="77777777">
        <w:tblPrEx>
          <w:tblCellMar>
            <w:top w:w="0" w:type="dxa"/>
            <w:bottom w:w="0" w:type="dxa"/>
          </w:tblCellMar>
        </w:tblPrEx>
        <w:trPr>
          <w:cantSplit/>
        </w:trPr>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CD" w14:textId="77777777" w:rsidR="00C1548D" w:rsidRDefault="009B1B4B">
            <w:pPr>
              <w:spacing w:line="250" w:lineRule="auto"/>
            </w:pPr>
            <w:r>
              <w:rPr>
                <w:i/>
                <w:iCs/>
                <w:sz w:val="18"/>
                <w:szCs w:val="18"/>
              </w:rPr>
              <w:t>actually</w:t>
            </w:r>
          </w:p>
        </w:tc>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CE" w14:textId="77777777" w:rsidR="00C1548D" w:rsidRDefault="009B1B4B">
            <w:pPr>
              <w:spacing w:line="250" w:lineRule="auto"/>
            </w:pPr>
            <w:r>
              <w:rPr>
                <w:sz w:val="18"/>
                <w:szCs w:val="18"/>
              </w:rPr>
              <w:t>aktuell</w:t>
            </w:r>
          </w:p>
        </w:tc>
        <w:tc>
          <w:tcPr>
            <w:tcW w:w="1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CF" w14:textId="77777777" w:rsidR="00C1548D" w:rsidRDefault="009B1B4B">
            <w:pPr>
              <w:spacing w:line="250" w:lineRule="auto"/>
            </w:pPr>
            <w:r>
              <w:rPr>
                <w:sz w:val="18"/>
                <w:szCs w:val="18"/>
              </w:rPr>
              <w:t>tatsächlich, eigentlich</w:t>
            </w:r>
          </w:p>
        </w:tc>
        <w:tc>
          <w:tcPr>
            <w:tcW w:w="2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0" w14:textId="77777777" w:rsidR="00C1548D" w:rsidRDefault="009B1B4B">
            <w:pPr>
              <w:spacing w:line="250" w:lineRule="auto"/>
            </w:pPr>
            <w:r>
              <w:rPr>
                <w:sz w:val="18"/>
                <w:szCs w:val="18"/>
              </w:rPr>
              <w:t xml:space="preserve">aktuell = </w:t>
            </w:r>
            <w:r>
              <w:rPr>
                <w:i/>
                <w:iCs/>
                <w:sz w:val="18"/>
                <w:szCs w:val="18"/>
              </w:rPr>
              <w:t>current</w:t>
            </w:r>
          </w:p>
        </w:tc>
      </w:tr>
      <w:tr w:rsidR="00C1548D" w14:paraId="70A4E9D6" w14:textId="77777777">
        <w:tblPrEx>
          <w:tblCellMar>
            <w:top w:w="0" w:type="dxa"/>
            <w:bottom w:w="0" w:type="dxa"/>
          </w:tblCellMar>
        </w:tblPrEx>
        <w:trPr>
          <w:cantSplit/>
        </w:trPr>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2" w14:textId="77777777" w:rsidR="00C1548D" w:rsidRDefault="009B1B4B">
            <w:pPr>
              <w:spacing w:line="250" w:lineRule="auto"/>
            </w:pPr>
            <w:r>
              <w:rPr>
                <w:i/>
                <w:iCs/>
                <w:sz w:val="18"/>
                <w:szCs w:val="18"/>
              </w:rPr>
              <w:t>eventually</w:t>
            </w:r>
          </w:p>
        </w:tc>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3" w14:textId="77777777" w:rsidR="00C1548D" w:rsidRDefault="009B1B4B">
            <w:pPr>
              <w:spacing w:line="250" w:lineRule="auto"/>
            </w:pPr>
            <w:r>
              <w:rPr>
                <w:sz w:val="18"/>
                <w:szCs w:val="18"/>
              </w:rPr>
              <w:t>eventuell</w:t>
            </w:r>
          </w:p>
        </w:tc>
        <w:tc>
          <w:tcPr>
            <w:tcW w:w="1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4" w14:textId="77777777" w:rsidR="00C1548D" w:rsidRDefault="009B1B4B">
            <w:pPr>
              <w:spacing w:line="250" w:lineRule="auto"/>
            </w:pPr>
            <w:r>
              <w:rPr>
                <w:sz w:val="18"/>
                <w:szCs w:val="18"/>
              </w:rPr>
              <w:t>schließlich</w:t>
            </w:r>
          </w:p>
        </w:tc>
        <w:tc>
          <w:tcPr>
            <w:tcW w:w="2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5" w14:textId="77777777" w:rsidR="00C1548D" w:rsidRDefault="009B1B4B">
            <w:pPr>
              <w:spacing w:line="250" w:lineRule="auto"/>
            </w:pPr>
            <w:r>
              <w:rPr>
                <w:sz w:val="18"/>
                <w:szCs w:val="18"/>
              </w:rPr>
              <w:t xml:space="preserve">eventuell = </w:t>
            </w:r>
            <w:r>
              <w:rPr>
                <w:i/>
                <w:iCs/>
                <w:sz w:val="18"/>
                <w:szCs w:val="18"/>
              </w:rPr>
              <w:t>possibly</w:t>
            </w:r>
          </w:p>
        </w:tc>
      </w:tr>
      <w:tr w:rsidR="00C1548D" w14:paraId="70A4E9DB" w14:textId="77777777">
        <w:tblPrEx>
          <w:tblCellMar>
            <w:top w:w="0" w:type="dxa"/>
            <w:bottom w:w="0" w:type="dxa"/>
          </w:tblCellMar>
        </w:tblPrEx>
        <w:trPr>
          <w:cantSplit/>
        </w:trPr>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7" w14:textId="77777777" w:rsidR="00C1548D" w:rsidRDefault="009B1B4B">
            <w:pPr>
              <w:spacing w:line="250" w:lineRule="auto"/>
            </w:pPr>
            <w:r>
              <w:rPr>
                <w:i/>
                <w:iCs/>
                <w:sz w:val="18"/>
                <w:szCs w:val="18"/>
              </w:rPr>
              <w:lastRenderedPageBreak/>
              <w:t>sensible</w:t>
            </w:r>
          </w:p>
        </w:tc>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8" w14:textId="77777777" w:rsidR="00C1548D" w:rsidRDefault="009B1B4B">
            <w:pPr>
              <w:spacing w:line="250" w:lineRule="auto"/>
            </w:pPr>
            <w:r>
              <w:rPr>
                <w:sz w:val="18"/>
                <w:szCs w:val="18"/>
              </w:rPr>
              <w:t>sensibel</w:t>
            </w:r>
          </w:p>
        </w:tc>
        <w:tc>
          <w:tcPr>
            <w:tcW w:w="1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9" w14:textId="77777777" w:rsidR="00C1548D" w:rsidRDefault="009B1B4B">
            <w:pPr>
              <w:spacing w:line="250" w:lineRule="auto"/>
            </w:pPr>
            <w:r>
              <w:rPr>
                <w:sz w:val="18"/>
                <w:szCs w:val="18"/>
              </w:rPr>
              <w:t>vernünftig</w:t>
            </w:r>
          </w:p>
        </w:tc>
        <w:tc>
          <w:tcPr>
            <w:tcW w:w="2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A" w14:textId="77777777" w:rsidR="00C1548D" w:rsidRDefault="009B1B4B">
            <w:pPr>
              <w:spacing w:line="250" w:lineRule="auto"/>
            </w:pPr>
            <w:r>
              <w:rPr>
                <w:sz w:val="18"/>
                <w:szCs w:val="18"/>
              </w:rPr>
              <w:t xml:space="preserve">sensibel = </w:t>
            </w:r>
            <w:r>
              <w:rPr>
                <w:i/>
                <w:iCs/>
                <w:sz w:val="18"/>
                <w:szCs w:val="18"/>
              </w:rPr>
              <w:t>sensitive</w:t>
            </w:r>
          </w:p>
        </w:tc>
      </w:tr>
      <w:tr w:rsidR="00C1548D" w14:paraId="70A4E9E0" w14:textId="77777777">
        <w:tblPrEx>
          <w:tblCellMar>
            <w:top w:w="0" w:type="dxa"/>
            <w:bottom w:w="0" w:type="dxa"/>
          </w:tblCellMar>
        </w:tblPrEx>
        <w:trPr>
          <w:cantSplit/>
        </w:trPr>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C" w14:textId="77777777" w:rsidR="00C1548D" w:rsidRDefault="009B1B4B">
            <w:pPr>
              <w:spacing w:line="250" w:lineRule="auto"/>
            </w:pPr>
            <w:r>
              <w:rPr>
                <w:i/>
                <w:iCs/>
                <w:sz w:val="18"/>
                <w:szCs w:val="18"/>
              </w:rPr>
              <w:t>brief</w:t>
            </w:r>
          </w:p>
        </w:tc>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D" w14:textId="77777777" w:rsidR="00C1548D" w:rsidRDefault="009B1B4B">
            <w:pPr>
              <w:spacing w:line="250" w:lineRule="auto"/>
            </w:pPr>
            <w:r>
              <w:rPr>
                <w:sz w:val="18"/>
                <w:szCs w:val="18"/>
              </w:rPr>
              <w:t>Brief</w:t>
            </w:r>
          </w:p>
        </w:tc>
        <w:tc>
          <w:tcPr>
            <w:tcW w:w="1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E" w14:textId="77777777" w:rsidR="00C1548D" w:rsidRDefault="009B1B4B">
            <w:pPr>
              <w:spacing w:line="250" w:lineRule="auto"/>
            </w:pPr>
            <w:r>
              <w:rPr>
                <w:sz w:val="18"/>
                <w:szCs w:val="18"/>
              </w:rPr>
              <w:t>kurz</w:t>
            </w:r>
          </w:p>
        </w:tc>
        <w:tc>
          <w:tcPr>
            <w:tcW w:w="2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DF" w14:textId="77777777" w:rsidR="00C1548D" w:rsidRDefault="009B1B4B">
            <w:pPr>
              <w:spacing w:line="250" w:lineRule="auto"/>
            </w:pPr>
            <w:r>
              <w:rPr>
                <w:sz w:val="18"/>
                <w:szCs w:val="18"/>
              </w:rPr>
              <w:t xml:space="preserve">Brief = </w:t>
            </w:r>
            <w:r>
              <w:rPr>
                <w:i/>
                <w:iCs/>
                <w:sz w:val="18"/>
                <w:szCs w:val="18"/>
              </w:rPr>
              <w:t>letter</w:t>
            </w:r>
          </w:p>
        </w:tc>
      </w:tr>
      <w:tr w:rsidR="00C1548D" w14:paraId="70A4E9E5" w14:textId="77777777">
        <w:tblPrEx>
          <w:tblCellMar>
            <w:top w:w="0" w:type="dxa"/>
            <w:bottom w:w="0" w:type="dxa"/>
          </w:tblCellMar>
        </w:tblPrEx>
        <w:trPr>
          <w:cantSplit/>
        </w:trPr>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1" w14:textId="77777777" w:rsidR="00C1548D" w:rsidRDefault="009B1B4B">
            <w:pPr>
              <w:spacing w:line="250" w:lineRule="auto"/>
            </w:pPr>
            <w:r>
              <w:rPr>
                <w:i/>
                <w:iCs/>
                <w:sz w:val="18"/>
                <w:szCs w:val="18"/>
              </w:rPr>
              <w:t>chef</w:t>
            </w:r>
          </w:p>
        </w:tc>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2" w14:textId="77777777" w:rsidR="00C1548D" w:rsidRDefault="009B1B4B">
            <w:pPr>
              <w:spacing w:line="250" w:lineRule="auto"/>
            </w:pPr>
            <w:r>
              <w:rPr>
                <w:sz w:val="18"/>
                <w:szCs w:val="18"/>
              </w:rPr>
              <w:t>Chef</w:t>
            </w:r>
          </w:p>
        </w:tc>
        <w:tc>
          <w:tcPr>
            <w:tcW w:w="1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3" w14:textId="77777777" w:rsidR="00C1548D" w:rsidRDefault="009B1B4B">
            <w:pPr>
              <w:spacing w:line="250" w:lineRule="auto"/>
            </w:pPr>
            <w:r>
              <w:rPr>
                <w:sz w:val="18"/>
                <w:szCs w:val="18"/>
              </w:rPr>
              <w:t>Küchenchef</w:t>
            </w:r>
          </w:p>
        </w:tc>
        <w:tc>
          <w:tcPr>
            <w:tcW w:w="2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4" w14:textId="77777777" w:rsidR="00C1548D" w:rsidRDefault="009B1B4B">
            <w:pPr>
              <w:spacing w:line="250" w:lineRule="auto"/>
            </w:pPr>
            <w:r>
              <w:rPr>
                <w:sz w:val="18"/>
                <w:szCs w:val="18"/>
              </w:rPr>
              <w:t xml:space="preserve">Chef = </w:t>
            </w:r>
            <w:r>
              <w:rPr>
                <w:i/>
                <w:iCs/>
                <w:sz w:val="18"/>
                <w:szCs w:val="18"/>
              </w:rPr>
              <w:t>boss</w:t>
            </w:r>
          </w:p>
        </w:tc>
      </w:tr>
      <w:tr w:rsidR="00C1548D" w14:paraId="70A4E9EA" w14:textId="77777777">
        <w:tblPrEx>
          <w:tblCellMar>
            <w:top w:w="0" w:type="dxa"/>
            <w:bottom w:w="0" w:type="dxa"/>
          </w:tblCellMar>
        </w:tblPrEx>
        <w:trPr>
          <w:cantSplit/>
        </w:trPr>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6" w14:textId="77777777" w:rsidR="00C1548D" w:rsidRDefault="009B1B4B">
            <w:pPr>
              <w:spacing w:line="250" w:lineRule="auto"/>
            </w:pPr>
            <w:r>
              <w:rPr>
                <w:i/>
                <w:iCs/>
                <w:sz w:val="18"/>
                <w:szCs w:val="18"/>
              </w:rPr>
              <w:t>résumé</w:t>
            </w:r>
          </w:p>
        </w:tc>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7" w14:textId="77777777" w:rsidR="00C1548D" w:rsidRDefault="009B1B4B">
            <w:pPr>
              <w:spacing w:line="250" w:lineRule="auto"/>
            </w:pPr>
            <w:r>
              <w:rPr>
                <w:sz w:val="18"/>
                <w:szCs w:val="18"/>
              </w:rPr>
              <w:t>Resümee</w:t>
            </w:r>
          </w:p>
        </w:tc>
        <w:tc>
          <w:tcPr>
            <w:tcW w:w="1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8" w14:textId="77777777" w:rsidR="00C1548D" w:rsidRDefault="009B1B4B">
            <w:pPr>
              <w:spacing w:line="250" w:lineRule="auto"/>
            </w:pPr>
            <w:r>
              <w:rPr>
                <w:sz w:val="18"/>
                <w:szCs w:val="18"/>
              </w:rPr>
              <w:t>Lebenslauf (US)</w:t>
            </w:r>
          </w:p>
        </w:tc>
        <w:tc>
          <w:tcPr>
            <w:tcW w:w="2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9" w14:textId="77777777" w:rsidR="00C1548D" w:rsidRDefault="009B1B4B">
            <w:pPr>
              <w:spacing w:line="250" w:lineRule="auto"/>
            </w:pPr>
            <w:r>
              <w:rPr>
                <w:sz w:val="18"/>
                <w:szCs w:val="18"/>
              </w:rPr>
              <w:t xml:space="preserve">Resümee = </w:t>
            </w:r>
            <w:r>
              <w:rPr>
                <w:i/>
                <w:iCs/>
                <w:sz w:val="18"/>
                <w:szCs w:val="18"/>
              </w:rPr>
              <w:t>summary</w:t>
            </w:r>
          </w:p>
        </w:tc>
      </w:tr>
      <w:tr w:rsidR="00C1548D" w14:paraId="70A4E9EF" w14:textId="77777777">
        <w:tblPrEx>
          <w:tblCellMar>
            <w:top w:w="0" w:type="dxa"/>
            <w:bottom w:w="0" w:type="dxa"/>
          </w:tblCellMar>
        </w:tblPrEx>
        <w:trPr>
          <w:cantSplit/>
        </w:trPr>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B" w14:textId="77777777" w:rsidR="00C1548D" w:rsidRDefault="009B1B4B">
            <w:pPr>
              <w:spacing w:line="250" w:lineRule="auto"/>
            </w:pPr>
            <w:r>
              <w:rPr>
                <w:i/>
                <w:iCs/>
                <w:sz w:val="18"/>
                <w:szCs w:val="18"/>
              </w:rPr>
              <w:t>promotion</w:t>
            </w:r>
          </w:p>
        </w:tc>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C" w14:textId="77777777" w:rsidR="00C1548D" w:rsidRDefault="009B1B4B">
            <w:pPr>
              <w:spacing w:line="250" w:lineRule="auto"/>
            </w:pPr>
            <w:r>
              <w:rPr>
                <w:sz w:val="18"/>
                <w:szCs w:val="18"/>
              </w:rPr>
              <w:t>Promotion</w:t>
            </w:r>
          </w:p>
        </w:tc>
        <w:tc>
          <w:tcPr>
            <w:tcW w:w="1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D" w14:textId="77777777" w:rsidR="00C1548D" w:rsidRDefault="009B1B4B">
            <w:pPr>
              <w:spacing w:line="250" w:lineRule="auto"/>
            </w:pPr>
            <w:r>
              <w:rPr>
                <w:sz w:val="18"/>
                <w:szCs w:val="18"/>
              </w:rPr>
              <w:t>Beförderung</w:t>
            </w:r>
          </w:p>
        </w:tc>
        <w:tc>
          <w:tcPr>
            <w:tcW w:w="2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EE" w14:textId="77777777" w:rsidR="00C1548D" w:rsidRDefault="009B1B4B">
            <w:pPr>
              <w:spacing w:line="250" w:lineRule="auto"/>
            </w:pPr>
            <w:r>
              <w:rPr>
                <w:sz w:val="18"/>
                <w:szCs w:val="18"/>
              </w:rPr>
              <w:t xml:space="preserve">Promotion = </w:t>
            </w:r>
            <w:r>
              <w:rPr>
                <w:i/>
                <w:iCs/>
                <w:sz w:val="18"/>
                <w:szCs w:val="18"/>
              </w:rPr>
              <w:t>doctorate</w:t>
            </w:r>
          </w:p>
        </w:tc>
      </w:tr>
      <w:tr w:rsidR="00C1548D" w14:paraId="70A4E9F4" w14:textId="77777777">
        <w:tblPrEx>
          <w:tblCellMar>
            <w:top w:w="0" w:type="dxa"/>
            <w:bottom w:w="0" w:type="dxa"/>
          </w:tblCellMar>
        </w:tblPrEx>
        <w:trPr>
          <w:cantSplit/>
        </w:trPr>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F0" w14:textId="77777777" w:rsidR="00C1548D" w:rsidRDefault="009B1B4B">
            <w:pPr>
              <w:spacing w:line="250" w:lineRule="auto"/>
            </w:pPr>
            <w:r>
              <w:rPr>
                <w:i/>
                <w:iCs/>
                <w:sz w:val="18"/>
                <w:szCs w:val="18"/>
              </w:rPr>
              <w:t>physician</w:t>
            </w:r>
          </w:p>
        </w:tc>
        <w:tc>
          <w:tcPr>
            <w:tcW w:w="11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F1" w14:textId="77777777" w:rsidR="00C1548D" w:rsidRDefault="009B1B4B">
            <w:pPr>
              <w:spacing w:line="250" w:lineRule="auto"/>
            </w:pPr>
            <w:r>
              <w:rPr>
                <w:sz w:val="18"/>
                <w:szCs w:val="18"/>
              </w:rPr>
              <w:t>Physiker</w:t>
            </w:r>
          </w:p>
        </w:tc>
        <w:tc>
          <w:tcPr>
            <w:tcW w:w="17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F2" w14:textId="77777777" w:rsidR="00C1548D" w:rsidRDefault="009B1B4B">
            <w:pPr>
              <w:spacing w:line="250" w:lineRule="auto"/>
            </w:pPr>
            <w:r>
              <w:rPr>
                <w:sz w:val="18"/>
                <w:szCs w:val="18"/>
              </w:rPr>
              <w:t>Arzt</w:t>
            </w:r>
          </w:p>
        </w:tc>
        <w:tc>
          <w:tcPr>
            <w:tcW w:w="2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F3" w14:textId="77777777" w:rsidR="00C1548D" w:rsidRDefault="009B1B4B">
            <w:pPr>
              <w:spacing w:line="250" w:lineRule="auto"/>
            </w:pPr>
            <w:r>
              <w:rPr>
                <w:sz w:val="18"/>
                <w:szCs w:val="18"/>
              </w:rPr>
              <w:t xml:space="preserve">Physiker = </w:t>
            </w:r>
            <w:r>
              <w:rPr>
                <w:i/>
                <w:iCs/>
                <w:sz w:val="18"/>
                <w:szCs w:val="18"/>
              </w:rPr>
              <w:t>physicist</w:t>
            </w:r>
          </w:p>
        </w:tc>
      </w:tr>
    </w:tbl>
    <w:p w14:paraId="70A4E9F5" w14:textId="77777777" w:rsidR="00C1548D" w:rsidRDefault="00C1548D">
      <w:pPr>
        <w:spacing w:line="180" w:lineRule="exact"/>
      </w:pPr>
    </w:p>
    <w:p w14:paraId="70A4E9F6" w14:textId="77777777" w:rsidR="00C1548D" w:rsidRDefault="009B1B4B">
      <w:pPr>
        <w:spacing w:after="140"/>
      </w:pPr>
      <w:r>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w14:paraId="70A4E9F7" w14:textId="77777777" w:rsidR="00C1548D" w:rsidRDefault="009B1B4B">
      <w:pPr>
        <w:pStyle w:val="Heading3"/>
        <w:keepNext/>
        <w:jc w:val="center"/>
      </w:pPr>
      <w:r>
        <w:rPr>
          <w:rFonts w:ascii="Amazon Ember" w:eastAsia="Amazon Ember" w:hAnsi="Amazon Ember" w:cs="Amazon Ember"/>
          <w:color w:val="0000FF"/>
          <w:sz w:val="36"/>
          <w:szCs w:val="36"/>
        </w:rPr>
        <w:t>US- und UK-Wortschatz</w:t>
      </w:r>
    </w:p>
    <w:p w14:paraId="70A4E9F8" w14:textId="77777777" w:rsidR="00C1548D" w:rsidRDefault="009B1B4B">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2"/>
        <w:gridCol w:w="2416"/>
        <w:gridCol w:w="2032"/>
      </w:tblGrid>
      <w:tr w:rsidR="00C1548D" w14:paraId="70A4E9FC" w14:textId="77777777">
        <w:tblPrEx>
          <w:tblCellMar>
            <w:top w:w="0" w:type="dxa"/>
            <w:bottom w:w="0" w:type="dxa"/>
          </w:tblCellMar>
        </w:tblPrEx>
        <w:trPr>
          <w:cantSplit/>
          <w:tblHeader/>
        </w:trPr>
        <w:tc>
          <w:tcPr>
            <w:tcW w:w="203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F9" w14:textId="77777777" w:rsidR="00C1548D" w:rsidRDefault="009B1B4B">
            <w:pPr>
              <w:spacing w:line="250" w:lineRule="auto"/>
            </w:pPr>
            <w:r>
              <w:rPr>
                <w:b/>
                <w:bCs/>
                <w:sz w:val="18"/>
                <w:szCs w:val="18"/>
              </w:rPr>
              <w:t>Deutsch</w:t>
            </w:r>
          </w:p>
        </w:tc>
        <w:tc>
          <w:tcPr>
            <w:tcW w:w="241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FA" w14:textId="77777777" w:rsidR="00C1548D" w:rsidRDefault="009B1B4B">
            <w:pPr>
              <w:spacing w:line="250" w:lineRule="auto"/>
            </w:pPr>
            <w:r>
              <w:rPr>
                <w:b/>
                <w:bCs/>
                <w:sz w:val="18"/>
                <w:szCs w:val="18"/>
              </w:rPr>
              <w:t>US</w:t>
            </w:r>
          </w:p>
        </w:tc>
        <w:tc>
          <w:tcPr>
            <w:tcW w:w="203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9FB" w14:textId="77777777" w:rsidR="00C1548D" w:rsidRDefault="009B1B4B">
            <w:pPr>
              <w:spacing w:line="250" w:lineRule="auto"/>
            </w:pPr>
            <w:r>
              <w:rPr>
                <w:b/>
                <w:bCs/>
                <w:sz w:val="18"/>
                <w:szCs w:val="18"/>
              </w:rPr>
              <w:t>UK</w:t>
            </w:r>
          </w:p>
        </w:tc>
      </w:tr>
      <w:tr w:rsidR="00C1548D" w14:paraId="70A4EA00" w14:textId="77777777">
        <w:tblPrEx>
          <w:tblCellMar>
            <w:top w:w="0" w:type="dxa"/>
            <w:bottom w:w="0" w:type="dxa"/>
          </w:tblCellMar>
        </w:tblPrEx>
        <w:trPr>
          <w:cantSplit/>
        </w:trPr>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FD" w14:textId="77777777" w:rsidR="00C1548D" w:rsidRDefault="009B1B4B">
            <w:pPr>
              <w:spacing w:line="250" w:lineRule="auto"/>
            </w:pPr>
            <w:r>
              <w:rPr>
                <w:sz w:val="18"/>
                <w:szCs w:val="18"/>
              </w:rPr>
              <w:t>Wohnung</w:t>
            </w:r>
          </w:p>
        </w:tc>
        <w:tc>
          <w:tcPr>
            <w:tcW w:w="24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FE" w14:textId="77777777" w:rsidR="00C1548D" w:rsidRDefault="009B1B4B">
            <w:pPr>
              <w:spacing w:line="250" w:lineRule="auto"/>
            </w:pPr>
            <w:r>
              <w:rPr>
                <w:i/>
                <w:iCs/>
                <w:sz w:val="18"/>
                <w:szCs w:val="18"/>
              </w:rPr>
              <w:t>apartment</w:t>
            </w:r>
          </w:p>
        </w:tc>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9FF" w14:textId="77777777" w:rsidR="00C1548D" w:rsidRDefault="009B1B4B">
            <w:pPr>
              <w:spacing w:line="250" w:lineRule="auto"/>
            </w:pPr>
            <w:r>
              <w:rPr>
                <w:i/>
                <w:iCs/>
                <w:sz w:val="18"/>
                <w:szCs w:val="18"/>
              </w:rPr>
              <w:t>flat</w:t>
            </w:r>
          </w:p>
        </w:tc>
      </w:tr>
      <w:tr w:rsidR="00C1548D" w14:paraId="70A4EA04" w14:textId="77777777">
        <w:tblPrEx>
          <w:tblCellMar>
            <w:top w:w="0" w:type="dxa"/>
            <w:bottom w:w="0" w:type="dxa"/>
          </w:tblCellMar>
        </w:tblPrEx>
        <w:trPr>
          <w:cantSplit/>
        </w:trPr>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1" w14:textId="77777777" w:rsidR="00C1548D" w:rsidRDefault="009B1B4B">
            <w:pPr>
              <w:spacing w:line="250" w:lineRule="auto"/>
            </w:pPr>
            <w:r>
              <w:rPr>
                <w:sz w:val="18"/>
                <w:szCs w:val="18"/>
              </w:rPr>
              <w:t>Aufzug</w:t>
            </w:r>
          </w:p>
        </w:tc>
        <w:tc>
          <w:tcPr>
            <w:tcW w:w="24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2" w14:textId="77777777" w:rsidR="00C1548D" w:rsidRDefault="009B1B4B">
            <w:pPr>
              <w:spacing w:line="250" w:lineRule="auto"/>
            </w:pPr>
            <w:r>
              <w:rPr>
                <w:i/>
                <w:iCs/>
                <w:sz w:val="18"/>
                <w:szCs w:val="18"/>
              </w:rPr>
              <w:t>elevator</w:t>
            </w:r>
          </w:p>
        </w:tc>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3" w14:textId="77777777" w:rsidR="00C1548D" w:rsidRDefault="009B1B4B">
            <w:pPr>
              <w:spacing w:line="250" w:lineRule="auto"/>
            </w:pPr>
            <w:r>
              <w:rPr>
                <w:i/>
                <w:iCs/>
                <w:sz w:val="18"/>
                <w:szCs w:val="18"/>
              </w:rPr>
              <w:t>lift</w:t>
            </w:r>
          </w:p>
        </w:tc>
      </w:tr>
      <w:tr w:rsidR="00C1548D" w14:paraId="70A4EA08" w14:textId="77777777">
        <w:tblPrEx>
          <w:tblCellMar>
            <w:top w:w="0" w:type="dxa"/>
            <w:bottom w:w="0" w:type="dxa"/>
          </w:tblCellMar>
        </w:tblPrEx>
        <w:trPr>
          <w:cantSplit/>
        </w:trPr>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5" w14:textId="77777777" w:rsidR="00C1548D" w:rsidRDefault="009B1B4B">
            <w:pPr>
              <w:spacing w:line="250" w:lineRule="auto"/>
            </w:pPr>
            <w:r>
              <w:rPr>
                <w:sz w:val="18"/>
                <w:szCs w:val="18"/>
              </w:rPr>
              <w:t>Erdgeschoss</w:t>
            </w:r>
          </w:p>
        </w:tc>
        <w:tc>
          <w:tcPr>
            <w:tcW w:w="24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6" w14:textId="77777777" w:rsidR="00C1548D" w:rsidRDefault="009B1B4B">
            <w:pPr>
              <w:spacing w:line="250" w:lineRule="auto"/>
            </w:pPr>
            <w:r>
              <w:rPr>
                <w:i/>
                <w:iCs/>
                <w:sz w:val="18"/>
                <w:szCs w:val="18"/>
              </w:rPr>
              <w:t>first floor</w:t>
            </w:r>
          </w:p>
        </w:tc>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7" w14:textId="77777777" w:rsidR="00C1548D" w:rsidRDefault="009B1B4B">
            <w:pPr>
              <w:spacing w:line="250" w:lineRule="auto"/>
            </w:pPr>
            <w:r>
              <w:rPr>
                <w:i/>
                <w:iCs/>
                <w:sz w:val="18"/>
                <w:szCs w:val="18"/>
              </w:rPr>
              <w:t>ground floor</w:t>
            </w:r>
          </w:p>
        </w:tc>
      </w:tr>
      <w:tr w:rsidR="00C1548D" w14:paraId="70A4EA0C" w14:textId="77777777">
        <w:tblPrEx>
          <w:tblCellMar>
            <w:top w:w="0" w:type="dxa"/>
            <w:bottom w:w="0" w:type="dxa"/>
          </w:tblCellMar>
        </w:tblPrEx>
        <w:trPr>
          <w:cantSplit/>
        </w:trPr>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9" w14:textId="77777777" w:rsidR="00C1548D" w:rsidRDefault="009B1B4B">
            <w:pPr>
              <w:spacing w:line="250" w:lineRule="auto"/>
            </w:pPr>
            <w:r>
              <w:rPr>
                <w:sz w:val="18"/>
                <w:szCs w:val="18"/>
              </w:rPr>
              <w:t>Benzin</w:t>
            </w:r>
          </w:p>
        </w:tc>
        <w:tc>
          <w:tcPr>
            <w:tcW w:w="24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A" w14:textId="77777777" w:rsidR="00C1548D" w:rsidRDefault="009B1B4B">
            <w:pPr>
              <w:spacing w:line="250" w:lineRule="auto"/>
            </w:pPr>
            <w:r>
              <w:rPr>
                <w:i/>
                <w:iCs/>
                <w:sz w:val="18"/>
                <w:szCs w:val="18"/>
              </w:rPr>
              <w:t>gas</w:t>
            </w:r>
          </w:p>
        </w:tc>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B" w14:textId="77777777" w:rsidR="00C1548D" w:rsidRDefault="009B1B4B">
            <w:pPr>
              <w:spacing w:line="250" w:lineRule="auto"/>
            </w:pPr>
            <w:r>
              <w:rPr>
                <w:i/>
                <w:iCs/>
                <w:sz w:val="18"/>
                <w:szCs w:val="18"/>
              </w:rPr>
              <w:t>petrol</w:t>
            </w:r>
          </w:p>
        </w:tc>
      </w:tr>
      <w:tr w:rsidR="00C1548D" w14:paraId="70A4EA10" w14:textId="77777777">
        <w:tblPrEx>
          <w:tblCellMar>
            <w:top w:w="0" w:type="dxa"/>
            <w:bottom w:w="0" w:type="dxa"/>
          </w:tblCellMar>
        </w:tblPrEx>
        <w:trPr>
          <w:cantSplit/>
        </w:trPr>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D" w14:textId="77777777" w:rsidR="00C1548D" w:rsidRDefault="009B1B4B">
            <w:pPr>
              <w:spacing w:line="250" w:lineRule="auto"/>
            </w:pPr>
            <w:r>
              <w:rPr>
                <w:sz w:val="18"/>
                <w:szCs w:val="18"/>
              </w:rPr>
              <w:t>Gehweg</w:t>
            </w:r>
          </w:p>
        </w:tc>
        <w:tc>
          <w:tcPr>
            <w:tcW w:w="24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E" w14:textId="77777777" w:rsidR="00C1548D" w:rsidRDefault="009B1B4B">
            <w:pPr>
              <w:spacing w:line="250" w:lineRule="auto"/>
            </w:pPr>
            <w:r>
              <w:rPr>
                <w:i/>
                <w:iCs/>
                <w:sz w:val="18"/>
                <w:szCs w:val="18"/>
              </w:rPr>
              <w:t>sidewalk</w:t>
            </w:r>
          </w:p>
        </w:tc>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0F" w14:textId="77777777" w:rsidR="00C1548D" w:rsidRDefault="009B1B4B">
            <w:pPr>
              <w:spacing w:line="250" w:lineRule="auto"/>
            </w:pPr>
            <w:r>
              <w:rPr>
                <w:i/>
                <w:iCs/>
                <w:sz w:val="18"/>
                <w:szCs w:val="18"/>
              </w:rPr>
              <w:t>pavement</w:t>
            </w:r>
          </w:p>
        </w:tc>
      </w:tr>
      <w:tr w:rsidR="00C1548D" w14:paraId="70A4EA14" w14:textId="77777777">
        <w:tblPrEx>
          <w:tblCellMar>
            <w:top w:w="0" w:type="dxa"/>
            <w:bottom w:w="0" w:type="dxa"/>
          </w:tblCellMar>
        </w:tblPrEx>
        <w:trPr>
          <w:cantSplit/>
        </w:trPr>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1" w14:textId="77777777" w:rsidR="00C1548D" w:rsidRDefault="009B1B4B">
            <w:pPr>
              <w:spacing w:line="250" w:lineRule="auto"/>
            </w:pPr>
            <w:r>
              <w:rPr>
                <w:sz w:val="18"/>
                <w:szCs w:val="18"/>
              </w:rPr>
              <w:t>Mülleimer</w:t>
            </w:r>
          </w:p>
        </w:tc>
        <w:tc>
          <w:tcPr>
            <w:tcW w:w="24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2" w14:textId="77777777" w:rsidR="00C1548D" w:rsidRDefault="009B1B4B">
            <w:pPr>
              <w:spacing w:line="250" w:lineRule="auto"/>
            </w:pPr>
            <w:r>
              <w:rPr>
                <w:i/>
                <w:iCs/>
                <w:sz w:val="18"/>
                <w:szCs w:val="18"/>
              </w:rPr>
              <w:t>trash can</w:t>
            </w:r>
          </w:p>
        </w:tc>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3" w14:textId="77777777" w:rsidR="00C1548D" w:rsidRDefault="009B1B4B">
            <w:pPr>
              <w:spacing w:line="250" w:lineRule="auto"/>
            </w:pPr>
            <w:r>
              <w:rPr>
                <w:i/>
                <w:iCs/>
                <w:sz w:val="18"/>
                <w:szCs w:val="18"/>
              </w:rPr>
              <w:t>bin</w:t>
            </w:r>
          </w:p>
        </w:tc>
      </w:tr>
      <w:tr w:rsidR="00C1548D" w14:paraId="70A4EA18" w14:textId="77777777">
        <w:tblPrEx>
          <w:tblCellMar>
            <w:top w:w="0" w:type="dxa"/>
            <w:bottom w:w="0" w:type="dxa"/>
          </w:tblCellMar>
        </w:tblPrEx>
        <w:trPr>
          <w:cantSplit/>
        </w:trPr>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5" w14:textId="77777777" w:rsidR="00C1548D" w:rsidRDefault="009B1B4B">
            <w:pPr>
              <w:spacing w:line="250" w:lineRule="auto"/>
            </w:pPr>
            <w:r>
              <w:rPr>
                <w:sz w:val="18"/>
                <w:szCs w:val="18"/>
              </w:rPr>
              <w:t>Urlaub</w:t>
            </w:r>
          </w:p>
        </w:tc>
        <w:tc>
          <w:tcPr>
            <w:tcW w:w="24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6" w14:textId="77777777" w:rsidR="00C1548D" w:rsidRDefault="009B1B4B">
            <w:pPr>
              <w:spacing w:line="250" w:lineRule="auto"/>
            </w:pPr>
            <w:r>
              <w:rPr>
                <w:i/>
                <w:iCs/>
                <w:sz w:val="18"/>
                <w:szCs w:val="18"/>
              </w:rPr>
              <w:t>vacation</w:t>
            </w:r>
          </w:p>
        </w:tc>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7" w14:textId="77777777" w:rsidR="00C1548D" w:rsidRDefault="009B1B4B">
            <w:pPr>
              <w:spacing w:line="250" w:lineRule="auto"/>
            </w:pPr>
            <w:r>
              <w:rPr>
                <w:i/>
                <w:iCs/>
                <w:sz w:val="18"/>
                <w:szCs w:val="18"/>
              </w:rPr>
              <w:t>holiday</w:t>
            </w:r>
          </w:p>
        </w:tc>
      </w:tr>
      <w:tr w:rsidR="00C1548D" w14:paraId="70A4EA1C" w14:textId="77777777">
        <w:tblPrEx>
          <w:tblCellMar>
            <w:top w:w="0" w:type="dxa"/>
            <w:bottom w:w="0" w:type="dxa"/>
          </w:tblCellMar>
        </w:tblPrEx>
        <w:trPr>
          <w:cantSplit/>
        </w:trPr>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9" w14:textId="77777777" w:rsidR="00C1548D" w:rsidRDefault="009B1B4B">
            <w:pPr>
              <w:spacing w:line="250" w:lineRule="auto"/>
            </w:pPr>
            <w:r>
              <w:rPr>
                <w:sz w:val="18"/>
                <w:szCs w:val="18"/>
              </w:rPr>
              <w:t>Grundschule</w:t>
            </w:r>
          </w:p>
        </w:tc>
        <w:tc>
          <w:tcPr>
            <w:tcW w:w="24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A" w14:textId="77777777" w:rsidR="00C1548D" w:rsidRDefault="009B1B4B">
            <w:pPr>
              <w:spacing w:line="250" w:lineRule="auto"/>
            </w:pPr>
            <w:r>
              <w:rPr>
                <w:i/>
                <w:iCs/>
                <w:sz w:val="18"/>
                <w:szCs w:val="18"/>
              </w:rPr>
              <w:t>elementary school</w:t>
            </w:r>
          </w:p>
        </w:tc>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B" w14:textId="77777777" w:rsidR="00C1548D" w:rsidRDefault="009B1B4B">
            <w:pPr>
              <w:spacing w:line="250" w:lineRule="auto"/>
            </w:pPr>
            <w:r>
              <w:rPr>
                <w:i/>
                <w:iCs/>
                <w:sz w:val="18"/>
                <w:szCs w:val="18"/>
              </w:rPr>
              <w:t>primary school</w:t>
            </w:r>
          </w:p>
        </w:tc>
      </w:tr>
      <w:tr w:rsidR="00C1548D" w14:paraId="70A4EA20" w14:textId="77777777">
        <w:tblPrEx>
          <w:tblCellMar>
            <w:top w:w="0" w:type="dxa"/>
            <w:bottom w:w="0" w:type="dxa"/>
          </w:tblCellMar>
        </w:tblPrEx>
        <w:trPr>
          <w:cantSplit/>
        </w:trPr>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D" w14:textId="77777777" w:rsidR="00C1548D" w:rsidRDefault="009B1B4B">
            <w:pPr>
              <w:spacing w:line="250" w:lineRule="auto"/>
            </w:pPr>
            <w:r>
              <w:rPr>
                <w:sz w:val="18"/>
                <w:szCs w:val="18"/>
              </w:rPr>
              <w:t>Schulnote</w:t>
            </w:r>
          </w:p>
        </w:tc>
        <w:tc>
          <w:tcPr>
            <w:tcW w:w="24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E" w14:textId="77777777" w:rsidR="00C1548D" w:rsidRDefault="009B1B4B">
            <w:pPr>
              <w:spacing w:line="250" w:lineRule="auto"/>
            </w:pPr>
            <w:r>
              <w:rPr>
                <w:i/>
                <w:iCs/>
                <w:sz w:val="18"/>
                <w:szCs w:val="18"/>
              </w:rPr>
              <w:t>grade</w:t>
            </w:r>
          </w:p>
        </w:tc>
        <w:tc>
          <w:tcPr>
            <w:tcW w:w="20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1F" w14:textId="77777777" w:rsidR="00C1548D" w:rsidRDefault="009B1B4B">
            <w:pPr>
              <w:spacing w:line="250" w:lineRule="auto"/>
            </w:pPr>
            <w:r>
              <w:rPr>
                <w:i/>
                <w:iCs/>
                <w:sz w:val="18"/>
                <w:szCs w:val="18"/>
              </w:rPr>
              <w:t>mark</w:t>
            </w:r>
          </w:p>
        </w:tc>
      </w:tr>
    </w:tbl>
    <w:p w14:paraId="70A4EA21" w14:textId="77777777" w:rsidR="00C1548D" w:rsidRDefault="00C1548D">
      <w:pPr>
        <w:spacing w:line="180" w:lineRule="exact"/>
      </w:pPr>
    </w:p>
    <w:p w14:paraId="70A4EA22" w14:textId="176B7155" w:rsidR="00C1548D" w:rsidRDefault="009B1B4B">
      <w:pPr>
        <w:spacing w:after="140"/>
      </w:pPr>
      <w:r>
        <w:t xml:space="preserve">Praktisch wichtig ist die Etagenzählung: Wer eine Wohnung im </w:t>
      </w:r>
      <w:r>
        <w:rPr>
          <w:i/>
          <w:iCs/>
        </w:rPr>
        <w:t>second floor</w:t>
      </w:r>
      <w:r>
        <w:t xml:space="preserve"> mietet, wohnt im ersten Stock (Kapitel </w:t>
      </w:r>
      <w:hyperlink w:anchor="k13" w:history="1">
        <w:r>
          <w:t>13</w:t>
        </w:r>
      </w:hyperlink>
      <w:r>
        <w:t>).</w:t>
      </w:r>
    </w:p>
    <w:p w14:paraId="70A4EA23"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jetzt zu tun ist</w:t>
      </w:r>
    </w:p>
    <w:p w14:paraId="70A4EA24" w14:textId="77777777" w:rsidR="00C1548D" w:rsidRDefault="009B1B4B">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A30"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A25" w14:textId="77777777" w:rsidR="00C1548D" w:rsidRDefault="009B1B4B">
            <w:pPr>
              <w:keepNext/>
              <w:spacing w:after="70" w:line="240" w:lineRule="auto"/>
            </w:pPr>
            <w:r>
              <w:rPr>
                <w:b/>
                <w:bCs/>
                <w:color w:val="1F6F78"/>
                <w:spacing w:val="24"/>
                <w:sz w:val="16"/>
                <w:szCs w:val="16"/>
              </w:rPr>
              <w:t>CHECKLISTE</w:t>
            </w:r>
          </w:p>
          <w:p w14:paraId="70A4EA26" w14:textId="41A39C7E"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Letzte Zeugnisse und Notenübersicht mit Englischnote einpacken, bei Bedarf übersetzen lassen (Kapitel </w:t>
            </w:r>
            <w:hyperlink w:anchor="k19" w:history="1">
              <w:r>
                <w:rPr>
                  <w:sz w:val="20"/>
                  <w:szCs w:val="20"/>
                </w:rPr>
                <w:t>19</w:t>
              </w:r>
            </w:hyperlink>
            <w:r>
              <w:rPr>
                <w:sz w:val="20"/>
                <w:szCs w:val="20"/>
              </w:rPr>
              <w:t>)</w:t>
            </w:r>
          </w:p>
          <w:p w14:paraId="70A4EA2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 xml:space="preserve">Website des Wunschdistrikts nach </w:t>
            </w:r>
            <w:r>
              <w:rPr>
                <w:i/>
                <w:iCs/>
                <w:sz w:val="20"/>
                <w:szCs w:val="20"/>
              </w:rPr>
              <w:t>English Learner Program</w:t>
            </w:r>
            <w:r>
              <w:rPr>
                <w:sz w:val="20"/>
                <w:szCs w:val="20"/>
              </w:rPr>
              <w:t xml:space="preserve"> oder </w:t>
            </w:r>
            <w:r>
              <w:rPr>
                <w:i/>
                <w:iCs/>
                <w:sz w:val="20"/>
                <w:szCs w:val="20"/>
              </w:rPr>
              <w:t>ESL</w:t>
            </w:r>
            <w:r>
              <w:rPr>
                <w:sz w:val="20"/>
                <w:szCs w:val="20"/>
              </w:rPr>
              <w:t xml:space="preserve"> durchsuchen, den EL-Koordinator anschreiben</w:t>
            </w:r>
          </w:p>
          <w:p w14:paraId="70A4EA2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Home Language Survey wahrheitsgemäß ausfüllen</w:t>
            </w:r>
          </w:p>
          <w:p w14:paraId="70A4EA2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Elternbrief erwarten (30 Tage nach Schuljahresbeginn, später Eintretende zwei Wochen); fehlt er, nachfragen</w:t>
            </w:r>
          </w:p>
          <w:p w14:paraId="70A4EA2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Gespräch mit der EL-Lehrkraft führen: Stunden, Modell, Umstufungskriterien, Dolmetscher</w:t>
            </w:r>
          </w:p>
          <w:p w14:paraId="70A4EA2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Stundenplan prüfen: Verdrängt der Extra-Unterricht Kernfächer?</w:t>
            </w:r>
          </w:p>
          <w:p w14:paraId="70A4EA2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Bibliotheksausweis holen und Leseprogramme für die Kinder nutzen</w:t>
            </w:r>
          </w:p>
          <w:p w14:paraId="70A4EA2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Familienregel für Deutsch und ein tägliches Vorleseritual festlegen</w:t>
            </w:r>
          </w:p>
          <w:p w14:paraId="70A4EA2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Samstagsschule, Immersionsschule oder Sommerlager recherchieren, Fristen notieren</w:t>
            </w:r>
          </w:p>
          <w:p w14:paraId="70A4EA2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Für dich selbst einen Kurs wählen; Englischtest nur buchen, wenn er verlangt wird</w:t>
            </w:r>
          </w:p>
        </w:tc>
      </w:tr>
    </w:tbl>
    <w:p w14:paraId="70A4EA31" w14:textId="77777777" w:rsidR="00C1548D" w:rsidRDefault="00C1548D">
      <w:pPr>
        <w:spacing w:line="220" w:lineRule="exact"/>
      </w:pPr>
    </w:p>
    <w:p w14:paraId="70A4EA32"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A33" w14:textId="653F4A7D" w:rsidR="00C1548D" w:rsidRDefault="009B1B4B" w:rsidP="009B1B4B">
      <w:pPr>
        <w:pStyle w:val="ListParagraph"/>
        <w:numPr>
          <w:ilvl w:val="0"/>
          <w:numId w:val="1"/>
        </w:numPr>
        <w:spacing w:after="60"/>
      </w:pPr>
      <w:r>
        <w:t>WIDA — Screener und ACCESS for ELLs (</w:t>
      </w:r>
      <w:hyperlink r:id="rId314" w:history="1">
        <w:r>
          <w:rPr>
            <w:color w:val="0563C1"/>
            <w:u w:val="single"/>
          </w:rPr>
          <w:t>wida.wisc.edu/assess/screener</w:t>
        </w:r>
      </w:hyperlink>
      <w:r>
        <w:t>)</w:t>
      </w:r>
    </w:p>
    <w:p w14:paraId="70A4EA34" w14:textId="143D0136" w:rsidR="00C1548D" w:rsidRDefault="009B1B4B" w:rsidP="009B1B4B">
      <w:pPr>
        <w:pStyle w:val="ListParagraph"/>
        <w:numPr>
          <w:ilvl w:val="0"/>
          <w:numId w:val="1"/>
        </w:numPr>
        <w:spacing w:after="60"/>
      </w:pPr>
      <w:r>
        <w:t>U.S. Department of Education — English Learners, Title III, Office for Civil Rights (</w:t>
      </w:r>
      <w:hyperlink r:id="rId315" w:history="1">
        <w:r>
          <w:rPr>
            <w:color w:val="0563C1"/>
            <w:u w:val="single"/>
          </w:rPr>
          <w:t>ed.gov</w:t>
        </w:r>
      </w:hyperlink>
      <w:r>
        <w:t>)</w:t>
      </w:r>
    </w:p>
    <w:p w14:paraId="70A4EA35" w14:textId="32D9241C" w:rsidR="00C1548D" w:rsidRDefault="009B1B4B" w:rsidP="009B1B4B">
      <w:pPr>
        <w:pStyle w:val="ListParagraph"/>
        <w:numPr>
          <w:ilvl w:val="0"/>
          <w:numId w:val="1"/>
        </w:numPr>
        <w:spacing w:after="60"/>
      </w:pPr>
      <w:r>
        <w:lastRenderedPageBreak/>
        <w:t>Gesetzestext zu Elternbenachrichtigung und Umstufung, 20 U.S.C. § 6312 (</w:t>
      </w:r>
      <w:hyperlink r:id="rId316" w:history="1">
        <w:r>
          <w:rPr>
            <w:color w:val="0563C1"/>
            <w:u w:val="single"/>
          </w:rPr>
          <w:t>law.cornell.edu/uscode/text/20/6312</w:t>
        </w:r>
      </w:hyperlink>
      <w:r>
        <w:t>)</w:t>
      </w:r>
    </w:p>
    <w:p w14:paraId="70A4EA36" w14:textId="0E65D84B" w:rsidR="00C1548D" w:rsidRDefault="009B1B4B" w:rsidP="009B1B4B">
      <w:pPr>
        <w:pStyle w:val="ListParagraph"/>
        <w:numPr>
          <w:ilvl w:val="0"/>
          <w:numId w:val="1"/>
        </w:numPr>
        <w:spacing w:after="60"/>
      </w:pPr>
      <w:r>
        <w:t>Adult Education and Family Literacy Act — Erwachsenenbildung und ESL (</w:t>
      </w:r>
      <w:hyperlink r:id="rId317" w:history="1">
        <w:r>
          <w:rPr>
            <w:color w:val="0563C1"/>
            <w:u w:val="single"/>
          </w:rPr>
          <w:t>aefla.ed.gov</w:t>
        </w:r>
      </w:hyperlink>
      <w:r>
        <w:t>)</w:t>
      </w:r>
    </w:p>
    <w:p w14:paraId="70A4EA37" w14:textId="281CE50B" w:rsidR="00C1548D" w:rsidRDefault="009B1B4B" w:rsidP="009B1B4B">
      <w:pPr>
        <w:pStyle w:val="ListParagraph"/>
        <w:numPr>
          <w:ilvl w:val="0"/>
          <w:numId w:val="1"/>
        </w:numPr>
        <w:spacing w:after="60"/>
      </w:pPr>
      <w:r>
        <w:t>GISSV — Saturday School (</w:t>
      </w:r>
      <w:hyperlink r:id="rId318" w:history="1">
        <w:r>
          <w:rPr>
            <w:color w:val="0563C1"/>
            <w:u w:val="single"/>
          </w:rPr>
          <w:t>gissv.org/gissv-home-english/locations/saturday-school</w:t>
        </w:r>
      </w:hyperlink>
      <w:r>
        <w:t>)</w:t>
      </w:r>
    </w:p>
    <w:p w14:paraId="70A4EA38" w14:textId="422634C8" w:rsidR="00C1548D" w:rsidRDefault="009B1B4B" w:rsidP="009B1B4B">
      <w:pPr>
        <w:pStyle w:val="ListParagraph"/>
        <w:numPr>
          <w:ilvl w:val="0"/>
          <w:numId w:val="1"/>
        </w:numPr>
        <w:spacing w:after="60"/>
      </w:pPr>
      <w:r>
        <w:t>Twin Cities German Immersion School (</w:t>
      </w:r>
      <w:hyperlink r:id="rId319" w:history="1">
        <w:r>
          <w:rPr>
            <w:color w:val="0563C1"/>
            <w:u w:val="single"/>
          </w:rPr>
          <w:t>tcgis.org</w:t>
        </w:r>
      </w:hyperlink>
      <w:r>
        <w:t>)</w:t>
      </w:r>
    </w:p>
    <w:p w14:paraId="70A4EA39" w14:textId="43880B77" w:rsidR="00C1548D" w:rsidRDefault="009B1B4B" w:rsidP="009B1B4B">
      <w:pPr>
        <w:pStyle w:val="ListParagraph"/>
        <w:numPr>
          <w:ilvl w:val="0"/>
          <w:numId w:val="1"/>
        </w:numPr>
        <w:spacing w:after="60"/>
      </w:pPr>
      <w:r>
        <w:t>Goethe-Institut USA — Prüfungen (</w:t>
      </w:r>
      <w:hyperlink r:id="rId320" w:history="1">
        <w:r>
          <w:rPr>
            <w:color w:val="0563C1"/>
            <w:u w:val="single"/>
          </w:rPr>
          <w:t>goethe.de/ins/us/en/spr/prf.html</w:t>
        </w:r>
      </w:hyperlink>
      <w:r>
        <w:t>)</w:t>
      </w:r>
    </w:p>
    <w:p w14:paraId="70A4EA3A" w14:textId="4F2B72CD" w:rsidR="00C1548D" w:rsidRDefault="009B1B4B" w:rsidP="009B1B4B">
      <w:pPr>
        <w:pStyle w:val="ListParagraph"/>
        <w:numPr>
          <w:ilvl w:val="0"/>
          <w:numId w:val="1"/>
        </w:numPr>
        <w:spacing w:after="60"/>
      </w:pPr>
      <w:r>
        <w:t>TOEFL und IELTS — Termine und Gebühren (</w:t>
      </w:r>
      <w:hyperlink r:id="rId321" w:history="1">
        <w:r>
          <w:rPr>
            <w:color w:val="0563C1"/>
            <w:u w:val="single"/>
          </w:rPr>
          <w:t>ets.org/toefl</w:t>
        </w:r>
      </w:hyperlink>
      <w:r>
        <w:t xml:space="preserve">, </w:t>
      </w:r>
      <w:hyperlink r:id="rId322" w:history="1">
        <w:r>
          <w:rPr>
            <w:color w:val="0563C1"/>
            <w:u w:val="single"/>
          </w:rPr>
          <w:t>ielts.org</w:t>
        </w:r>
      </w:hyperlink>
      <w:r>
        <w:t>)</w:t>
      </w:r>
    </w:p>
    <w:p w14:paraId="70A4EA3B"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A3E"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A3C" w14:textId="77777777" w:rsidR="00C1548D" w:rsidRDefault="009B1B4B">
            <w:pPr>
              <w:keepNext/>
              <w:spacing w:after="70" w:line="240" w:lineRule="auto"/>
            </w:pPr>
            <w:r>
              <w:rPr>
                <w:b/>
                <w:bCs/>
                <w:color w:val="6B7280"/>
                <w:spacing w:val="24"/>
                <w:sz w:val="16"/>
                <w:szCs w:val="16"/>
              </w:rPr>
              <w:t>STAND</w:t>
            </w:r>
          </w:p>
          <w:p w14:paraId="70A4EA3D" w14:textId="77777777" w:rsidR="00C1548D" w:rsidRDefault="009B1B4B">
            <w:pPr>
              <w:spacing w:after="80" w:line="264" w:lineRule="auto"/>
            </w:pPr>
            <w:r>
              <w:rPr>
                <w:sz w:val="20"/>
                <w:szCs w:val="20"/>
              </w:rPr>
              <w:t>September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tc>
      </w:tr>
    </w:tbl>
    <w:p w14:paraId="70A4EA3F" w14:textId="77777777" w:rsidR="00C1548D" w:rsidRDefault="00C1548D">
      <w:pPr>
        <w:spacing w:line="220" w:lineRule="exact"/>
      </w:pPr>
    </w:p>
    <w:p w14:paraId="70A4EA40" w14:textId="77777777" w:rsidR="00C1548D" w:rsidRDefault="009B1B4B">
      <w:pPr>
        <w:pStyle w:val="Heading2"/>
        <w:keepNext/>
        <w:pageBreakBefore/>
        <w:jc w:val="center"/>
      </w:pPr>
      <w:bookmarkStart w:id="90" w:name="k38"/>
      <w:bookmarkStart w:id="91" w:name="_Toc241352495"/>
      <w:r>
        <w:rPr>
          <w:rFonts w:ascii="Amazon Ember" w:eastAsia="Amazon Ember" w:hAnsi="Amazon Ember" w:cs="Amazon Ember"/>
          <w:color w:val="0000FF"/>
          <w:sz w:val="36"/>
          <w:szCs w:val="36"/>
        </w:rPr>
        <w:lastRenderedPageBreak/>
        <w:t>Kapitel 38: Babys, Kleinkinder und Teenager</w:t>
      </w:r>
      <w:bookmarkEnd w:id="90"/>
      <w:bookmarkEnd w:id="91"/>
    </w:p>
    <w:p w14:paraId="70A4EA41" w14:textId="77777777" w:rsidR="00C1548D" w:rsidRDefault="009B1B4B">
      <w:pPr>
        <w:spacing w:after="140"/>
      </w:pPr>
      <w:r>
        <w:t>In Deutschland läuft ein Erstklässler selbstverständlich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A49"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A42" w14:textId="77777777" w:rsidR="00C1548D" w:rsidRDefault="009B1B4B">
            <w:pPr>
              <w:keepNext/>
              <w:spacing w:after="70" w:line="240" w:lineRule="auto"/>
            </w:pPr>
            <w:r>
              <w:rPr>
                <w:b/>
                <w:bCs/>
                <w:color w:val="1F3A5F"/>
                <w:spacing w:val="24"/>
                <w:sz w:val="16"/>
                <w:szCs w:val="16"/>
              </w:rPr>
              <w:t>KURZ GESAGT</w:t>
            </w:r>
          </w:p>
          <w:p w14:paraId="70A4EA43" w14:textId="77777777" w:rsidR="00C1548D" w:rsidRDefault="009B1B4B" w:rsidP="009B1B4B">
            <w:pPr>
              <w:pStyle w:val="ListParagraph"/>
              <w:numPr>
                <w:ilvl w:val="0"/>
                <w:numId w:val="1"/>
              </w:numPr>
              <w:spacing w:after="50" w:line="264" w:lineRule="auto"/>
            </w:pPr>
            <w:r>
              <w:rPr>
                <w:sz w:val="20"/>
                <w:szCs w:val="20"/>
              </w:rPr>
              <w:t>Ein in den USA geborenes Kind ist mit der Geburt US-Bürger, auch bei Eltern mit Arbeitsvisum (Supreme Court, 30. Juni 2026). Ist ein Elternteil Deutscher, ist das Kind zugleich deutsch.</w:t>
            </w:r>
          </w:p>
          <w:p w14:paraId="70A4EA44" w14:textId="77777777" w:rsidR="00C1548D" w:rsidRDefault="009B1B4B" w:rsidP="009B1B4B">
            <w:pPr>
              <w:pStyle w:val="ListParagraph"/>
              <w:numPr>
                <w:ilvl w:val="0"/>
                <w:numId w:val="1"/>
              </w:numPr>
              <w:spacing w:after="50" w:line="264" w:lineRule="auto"/>
            </w:pPr>
            <w:r>
              <w:rPr>
                <w:sz w:val="20"/>
                <w:szCs w:val="20"/>
              </w:rPr>
              <w:t>Eine Geburt kostet mit Arbeitgeberversicherung im Schnitt 2.743 $ Eigenanteil bei rund 20.400 $ Gesamtrechnung. Das Baby musst du meist binnen 30 Tagen im Plan anmelden.</w:t>
            </w:r>
          </w:p>
          <w:p w14:paraId="70A4EA45" w14:textId="77777777" w:rsidR="00C1548D" w:rsidRDefault="009B1B4B" w:rsidP="009B1B4B">
            <w:pPr>
              <w:pStyle w:val="ListParagraph"/>
              <w:numPr>
                <w:ilvl w:val="0"/>
                <w:numId w:val="1"/>
              </w:numPr>
              <w:spacing w:after="50" w:line="264" w:lineRule="auto"/>
            </w:pPr>
            <w:r>
              <w:rPr>
                <w:sz w:val="20"/>
                <w:szCs w:val="20"/>
              </w:rPr>
              <w:t>Bezahlten Familienurlaub gibt es nur in zwölf Staaten und im District of Columbia. Bundesweit gelten zwölf unbezahlte Wochen, und erst nach zwölf Monaten im Betrieb.</w:t>
            </w:r>
          </w:p>
          <w:p w14:paraId="70A4EA46" w14:textId="77777777" w:rsidR="00C1548D" w:rsidRDefault="009B1B4B" w:rsidP="009B1B4B">
            <w:pPr>
              <w:pStyle w:val="ListParagraph"/>
              <w:numPr>
                <w:ilvl w:val="0"/>
                <w:numId w:val="1"/>
              </w:numPr>
              <w:spacing w:after="50" w:line="264" w:lineRule="auto"/>
            </w:pPr>
            <w:r>
              <w:rPr>
                <w:sz w:val="20"/>
                <w:szCs w:val="20"/>
              </w:rPr>
              <w:t>Kinderbetreuung kostet im Schnitt 13.184 $ im Jahr. Für Familien mit H-1B, L-1 oder E-2 sind Au-pairs ausgeschlossen.</w:t>
            </w:r>
          </w:p>
          <w:p w14:paraId="70A4EA47" w14:textId="77777777" w:rsidR="00C1548D" w:rsidRDefault="009B1B4B" w:rsidP="009B1B4B">
            <w:pPr>
              <w:pStyle w:val="ListParagraph"/>
              <w:numPr>
                <w:ilvl w:val="0"/>
                <w:numId w:val="1"/>
              </w:numPr>
              <w:spacing w:after="50" w:line="264" w:lineRule="auto"/>
            </w:pPr>
            <w:r>
              <w:rPr>
                <w:sz w:val="20"/>
                <w:szCs w:val="20"/>
              </w:rPr>
              <w:t>Wie lange Kinder allein bleiben dürfen, regelt jeder Staat anders. Prüfe die örtliche Lage, bevor du deutsche Maßstäbe anlegst.</w:t>
            </w:r>
          </w:p>
          <w:p w14:paraId="70A4EA48" w14:textId="77777777" w:rsidR="00C1548D" w:rsidRDefault="009B1B4B" w:rsidP="009B1B4B">
            <w:pPr>
              <w:pStyle w:val="ListParagraph"/>
              <w:numPr>
                <w:ilvl w:val="0"/>
                <w:numId w:val="1"/>
              </w:numPr>
              <w:spacing w:after="50" w:line="264" w:lineRule="auto"/>
            </w:pPr>
            <w:r>
              <w:rPr>
                <w:sz w:val="20"/>
                <w:szCs w:val="20"/>
              </w:rPr>
              <w:t>Bundes-Studienhilfe erhalten nur US-Bürger und Green-Card-Inhaber, und der H-4-Status eines Kindes endet mit 21.</w:t>
            </w:r>
          </w:p>
        </w:tc>
      </w:tr>
    </w:tbl>
    <w:p w14:paraId="70A4EA4A" w14:textId="77777777" w:rsidR="00C1548D" w:rsidRDefault="00C1548D">
      <w:pPr>
        <w:spacing w:line="220" w:lineRule="exact"/>
      </w:pPr>
    </w:p>
    <w:p w14:paraId="70A4EA4B" w14:textId="77777777" w:rsidR="00C1548D" w:rsidRDefault="009B1B4B">
      <w:pPr>
        <w:pStyle w:val="Heading3"/>
        <w:keepNext/>
        <w:jc w:val="center"/>
      </w:pPr>
      <w:r>
        <w:rPr>
          <w:rFonts w:ascii="Amazon Ember" w:eastAsia="Amazon Ember" w:hAnsi="Amazon Ember" w:cs="Amazon Ember"/>
          <w:color w:val="0000FF"/>
          <w:sz w:val="36"/>
          <w:szCs w:val="36"/>
        </w:rPr>
        <w:lastRenderedPageBreak/>
        <w:t>Schwangerschaft und Geburt: Versicherung und Kosten</w:t>
      </w:r>
    </w:p>
    <w:p w14:paraId="70A4EA4C" w14:textId="3A80AA83" w:rsidR="00C1548D" w:rsidRDefault="009B1B4B">
      <w:pPr>
        <w:spacing w:after="140"/>
      </w:pPr>
      <w:r>
        <w:t>Kommst du schwanger oder wirst es bald, klärst du zuerst den Deckungsbeginn (Kapitel </w:t>
      </w:r>
      <w:hyperlink w:anchor="k26" w:history="1">
        <w:r>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w14:paraId="70A4EA4D" w14:textId="77777777" w:rsidR="00C1548D" w:rsidRDefault="009B1B4B">
      <w:pPr>
        <w:spacing w:after="140"/>
      </w:pPr>
      <w:r>
        <w:t>Was eine Geburt kostet, zeigt die Auswertung von Peterson-KFF für Arbeitgeberpläne (Daten 2021–23):</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94"/>
        <w:gridCol w:w="1716"/>
        <w:gridCol w:w="1470"/>
      </w:tblGrid>
      <w:tr w:rsidR="00C1548D" w14:paraId="70A4EA51" w14:textId="77777777">
        <w:tblPrEx>
          <w:tblCellMar>
            <w:top w:w="0" w:type="dxa"/>
            <w:bottom w:w="0" w:type="dxa"/>
          </w:tblCellMar>
        </w:tblPrEx>
        <w:trPr>
          <w:cantSplit/>
          <w:tblHeader/>
        </w:trPr>
        <w:tc>
          <w:tcPr>
            <w:tcW w:w="329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4E" w14:textId="77777777" w:rsidR="00C1548D" w:rsidRDefault="009B1B4B">
            <w:pPr>
              <w:spacing w:line="250" w:lineRule="auto"/>
            </w:pPr>
            <w:r>
              <w:rPr>
                <w:b/>
                <w:bCs/>
                <w:sz w:val="18"/>
                <w:szCs w:val="18"/>
              </w:rPr>
              <w:t>Leistung</w:t>
            </w:r>
          </w:p>
        </w:tc>
        <w:tc>
          <w:tcPr>
            <w:tcW w:w="171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4F" w14:textId="77777777" w:rsidR="00C1548D" w:rsidRDefault="009B1B4B">
            <w:pPr>
              <w:spacing w:line="250" w:lineRule="auto"/>
            </w:pPr>
            <w:r>
              <w:rPr>
                <w:b/>
                <w:bCs/>
                <w:sz w:val="18"/>
                <w:szCs w:val="18"/>
              </w:rPr>
              <w:t>Gesamtrechnung</w:t>
            </w:r>
          </w:p>
        </w:tc>
        <w:tc>
          <w:tcPr>
            <w:tcW w:w="14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50" w14:textId="77777777" w:rsidR="00C1548D" w:rsidRDefault="009B1B4B">
            <w:pPr>
              <w:spacing w:line="250" w:lineRule="auto"/>
            </w:pPr>
            <w:r>
              <w:rPr>
                <w:b/>
                <w:bCs/>
                <w:sz w:val="18"/>
                <w:szCs w:val="18"/>
              </w:rPr>
              <w:t>Eigenanteil</w:t>
            </w:r>
          </w:p>
        </w:tc>
      </w:tr>
      <w:tr w:rsidR="00C1548D" w14:paraId="70A4EA55" w14:textId="77777777">
        <w:tblPrEx>
          <w:tblCellMar>
            <w:top w:w="0" w:type="dxa"/>
            <w:bottom w:w="0" w:type="dxa"/>
          </w:tblCellMar>
        </w:tblPrEx>
        <w:trPr>
          <w:cantSplit/>
        </w:trPr>
        <w:tc>
          <w:tcPr>
            <w:tcW w:w="32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52" w14:textId="77777777" w:rsidR="00C1548D" w:rsidRDefault="009B1B4B">
            <w:pPr>
              <w:spacing w:line="250" w:lineRule="auto"/>
            </w:pPr>
            <w:r>
              <w:rPr>
                <w:sz w:val="18"/>
                <w:szCs w:val="18"/>
              </w:rPr>
              <w:t>Geburt, Durchschnitt</w:t>
            </w:r>
          </w:p>
        </w:tc>
        <w:tc>
          <w:tcPr>
            <w:tcW w:w="17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53" w14:textId="77777777" w:rsidR="00C1548D" w:rsidRDefault="009B1B4B">
            <w:pPr>
              <w:spacing w:line="250" w:lineRule="auto"/>
            </w:pPr>
            <w:r>
              <w:rPr>
                <w:sz w:val="18"/>
                <w:szCs w:val="18"/>
              </w:rPr>
              <w:t>20.416 $</w:t>
            </w:r>
          </w:p>
        </w:tc>
        <w:tc>
          <w:tcPr>
            <w:tcW w:w="1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54" w14:textId="77777777" w:rsidR="00C1548D" w:rsidRDefault="009B1B4B">
            <w:pPr>
              <w:spacing w:line="250" w:lineRule="auto"/>
            </w:pPr>
            <w:r>
              <w:rPr>
                <w:sz w:val="18"/>
                <w:szCs w:val="18"/>
              </w:rPr>
              <w:t>2.743 $</w:t>
            </w:r>
          </w:p>
        </w:tc>
      </w:tr>
      <w:tr w:rsidR="00C1548D" w14:paraId="70A4EA59" w14:textId="77777777">
        <w:tblPrEx>
          <w:tblCellMar>
            <w:top w:w="0" w:type="dxa"/>
            <w:bottom w:w="0" w:type="dxa"/>
          </w:tblCellMar>
        </w:tblPrEx>
        <w:trPr>
          <w:cantSplit/>
        </w:trPr>
        <w:tc>
          <w:tcPr>
            <w:tcW w:w="32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56" w14:textId="77777777" w:rsidR="00C1548D" w:rsidRDefault="009B1B4B">
            <w:pPr>
              <w:spacing w:line="250" w:lineRule="auto"/>
            </w:pPr>
            <w:r>
              <w:rPr>
                <w:sz w:val="18"/>
                <w:szCs w:val="18"/>
              </w:rPr>
              <w:t>Vaginale Geburt</w:t>
            </w:r>
          </w:p>
        </w:tc>
        <w:tc>
          <w:tcPr>
            <w:tcW w:w="17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57" w14:textId="77777777" w:rsidR="00C1548D" w:rsidRDefault="009B1B4B">
            <w:pPr>
              <w:spacing w:line="250" w:lineRule="auto"/>
            </w:pPr>
            <w:r>
              <w:rPr>
                <w:sz w:val="18"/>
                <w:szCs w:val="18"/>
              </w:rPr>
              <w:t>15.712 $</w:t>
            </w:r>
          </w:p>
        </w:tc>
        <w:tc>
          <w:tcPr>
            <w:tcW w:w="1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58" w14:textId="77777777" w:rsidR="00C1548D" w:rsidRDefault="009B1B4B">
            <w:pPr>
              <w:spacing w:line="250" w:lineRule="auto"/>
            </w:pPr>
            <w:r>
              <w:rPr>
                <w:sz w:val="18"/>
                <w:szCs w:val="18"/>
              </w:rPr>
              <w:t>2.563 $</w:t>
            </w:r>
          </w:p>
        </w:tc>
      </w:tr>
      <w:tr w:rsidR="00C1548D" w14:paraId="70A4EA5D" w14:textId="77777777">
        <w:tblPrEx>
          <w:tblCellMar>
            <w:top w:w="0" w:type="dxa"/>
            <w:bottom w:w="0" w:type="dxa"/>
          </w:tblCellMar>
        </w:tblPrEx>
        <w:trPr>
          <w:cantSplit/>
        </w:trPr>
        <w:tc>
          <w:tcPr>
            <w:tcW w:w="32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5A" w14:textId="77777777" w:rsidR="00C1548D" w:rsidRDefault="009B1B4B">
            <w:pPr>
              <w:spacing w:line="250" w:lineRule="auto"/>
            </w:pPr>
            <w:r>
              <w:rPr>
                <w:sz w:val="18"/>
                <w:szCs w:val="18"/>
              </w:rPr>
              <w:t>Kaiserschnitt</w:t>
            </w:r>
          </w:p>
        </w:tc>
        <w:tc>
          <w:tcPr>
            <w:tcW w:w="17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5B" w14:textId="77777777" w:rsidR="00C1548D" w:rsidRDefault="009B1B4B">
            <w:pPr>
              <w:spacing w:line="250" w:lineRule="auto"/>
            </w:pPr>
            <w:r>
              <w:rPr>
                <w:sz w:val="18"/>
                <w:szCs w:val="18"/>
              </w:rPr>
              <w:t>28.998 $</w:t>
            </w:r>
          </w:p>
        </w:tc>
        <w:tc>
          <w:tcPr>
            <w:tcW w:w="1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5C" w14:textId="77777777" w:rsidR="00C1548D" w:rsidRDefault="009B1B4B">
            <w:pPr>
              <w:spacing w:line="250" w:lineRule="auto"/>
            </w:pPr>
            <w:r>
              <w:rPr>
                <w:sz w:val="18"/>
                <w:szCs w:val="18"/>
              </w:rPr>
              <w:t>3.071 $</w:t>
            </w:r>
          </w:p>
        </w:tc>
      </w:tr>
      <w:tr w:rsidR="00C1548D" w14:paraId="70A4EA61" w14:textId="77777777">
        <w:tblPrEx>
          <w:tblCellMar>
            <w:top w:w="0" w:type="dxa"/>
            <w:bottom w:w="0" w:type="dxa"/>
          </w:tblCellMar>
        </w:tblPrEx>
        <w:trPr>
          <w:cantSplit/>
        </w:trPr>
        <w:tc>
          <w:tcPr>
            <w:tcW w:w="32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5E" w14:textId="77777777" w:rsidR="00C1548D" w:rsidRDefault="009B1B4B">
            <w:pPr>
              <w:spacing w:line="250" w:lineRule="auto"/>
            </w:pPr>
            <w:r>
              <w:rPr>
                <w:sz w:val="18"/>
                <w:szCs w:val="18"/>
              </w:rPr>
              <w:t>Neugeborenes, erstes Quartal</w:t>
            </w:r>
          </w:p>
        </w:tc>
        <w:tc>
          <w:tcPr>
            <w:tcW w:w="17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5F" w14:textId="77777777" w:rsidR="00C1548D" w:rsidRDefault="009B1B4B">
            <w:pPr>
              <w:spacing w:line="250" w:lineRule="auto"/>
            </w:pPr>
            <w:r>
              <w:rPr>
                <w:sz w:val="18"/>
                <w:szCs w:val="18"/>
              </w:rPr>
              <w:t>5.820 $</w:t>
            </w:r>
          </w:p>
        </w:tc>
        <w:tc>
          <w:tcPr>
            <w:tcW w:w="1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60" w14:textId="77777777" w:rsidR="00C1548D" w:rsidRDefault="009B1B4B">
            <w:pPr>
              <w:spacing w:line="250" w:lineRule="auto"/>
            </w:pPr>
            <w:r>
              <w:rPr>
                <w:sz w:val="18"/>
                <w:szCs w:val="18"/>
              </w:rPr>
              <w:t>475 $</w:t>
            </w:r>
          </w:p>
        </w:tc>
      </w:tr>
    </w:tbl>
    <w:p w14:paraId="70A4EA62" w14:textId="77777777" w:rsidR="00C1548D" w:rsidRDefault="00C1548D">
      <w:pPr>
        <w:spacing w:line="180" w:lineRule="exact"/>
      </w:pPr>
    </w:p>
    <w:p w14:paraId="70A4EA63" w14:textId="77777777" w:rsidR="00C1548D" w:rsidRDefault="009B1B4B">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beziehungsweise 96 Stunden (Kaiserschnitt) begrenzen.</w:t>
      </w:r>
    </w:p>
    <w:p w14:paraId="70A4EA64" w14:textId="77777777" w:rsidR="00C1548D" w:rsidRDefault="009B1B4B">
      <w:pPr>
        <w:spacing w:after="140"/>
      </w:pPr>
      <w:r>
        <w:t>Du wählst eine Praxis für Geburtshilfe (</w:t>
      </w:r>
      <w:r>
        <w:rPr>
          <w:i/>
          <w:iCs/>
        </w:rPr>
        <w:t>OB-GYN</w:t>
      </w:r>
      <w:r>
        <w:t>) oder eine staatlich zugelassene Hebamme (</w:t>
      </w:r>
      <w:r>
        <w:rPr>
          <w:i/>
          <w:iCs/>
        </w:rPr>
        <w:t>Certified Nurse-Midwife</w:t>
      </w:r>
      <w:r>
        <w:t xml:space="preserve">); die Klinik hängt oft von der Praxis ab. Prüfe beides im Netzwerk deines Plans. Auch dort können einzelne Ärzte, etwa die Anästhesie, außerhalb liegen; der </w:t>
      </w:r>
      <w:r>
        <w:rPr>
          <w:i/>
          <w:iCs/>
        </w:rPr>
        <w:t>No Surprises Act</w:t>
      </w:r>
      <w:r>
        <w:t xml:space="preserve">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w:t>
      </w:r>
      <w:r>
        <w:lastRenderedPageBreak/>
        <w:t>auch eine Kinderarztpraxis (</w:t>
      </w:r>
      <w:r>
        <w:rPr>
          <w:i/>
          <w:iCs/>
        </w:rPr>
        <w:t>Pediatrician</w:t>
      </w:r>
      <w:r>
        <w:t>): Neupatienten warten oft Wochen.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A6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A65" w14:textId="77777777" w:rsidR="00C1548D" w:rsidRDefault="009B1B4B">
            <w:pPr>
              <w:keepNext/>
              <w:spacing w:after="70" w:line="240" w:lineRule="auto"/>
            </w:pPr>
            <w:r>
              <w:rPr>
                <w:b/>
                <w:bCs/>
                <w:color w:val="9B2C2C"/>
                <w:spacing w:val="24"/>
                <w:sz w:val="16"/>
                <w:szCs w:val="16"/>
              </w:rPr>
              <w:t>ACHTUNG</w:t>
            </w:r>
          </w:p>
          <w:p w14:paraId="70A4EA66" w14:textId="77777777" w:rsidR="00C1548D" w:rsidRDefault="009B1B4B">
            <w:pPr>
              <w:spacing w:after="80" w:line="264" w:lineRule="auto"/>
            </w:pPr>
            <w:r>
              <w:rPr>
                <w:sz w:val="20"/>
                <w:szCs w:val="20"/>
              </w:rPr>
              <w:t>Melde das Neugeborene innerhalb von 30 Tagen im Arbeitgeberplan an; die Deckung gilt dann rückwirkend ab der Geburt. Über den Marktplatz hast du 60 Tage. Wer die Frist verpasst, bleibt meist bis zur nächsten Wahlphase ohne Deckung für das Kind.</w:t>
            </w:r>
          </w:p>
        </w:tc>
      </w:tr>
    </w:tbl>
    <w:p w14:paraId="70A4EA68"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A6B"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A69" w14:textId="77777777" w:rsidR="00C1548D" w:rsidRDefault="009B1B4B">
            <w:pPr>
              <w:keepNext/>
              <w:spacing w:after="70" w:line="240" w:lineRule="auto"/>
            </w:pPr>
            <w:r>
              <w:rPr>
                <w:b/>
                <w:bCs/>
                <w:color w:val="2F6B3B"/>
                <w:spacing w:val="24"/>
                <w:sz w:val="16"/>
                <w:szCs w:val="16"/>
              </w:rPr>
              <w:t>SPARTIPP</w:t>
            </w:r>
          </w:p>
          <w:p w14:paraId="70A4EA6A" w14:textId="0B3D706E" w:rsidR="00C1548D" w:rsidRDefault="009B1B4B">
            <w:pPr>
              <w:spacing w:after="80" w:line="264" w:lineRule="auto"/>
            </w:pPr>
            <w:r>
              <w:rPr>
                <w:sz w:val="20"/>
                <w:szCs w:val="20"/>
              </w:rPr>
              <w:t>Frage die Klinik vor der Geburt nach einem Kostenvoranschlag. Selbstzahlern steht bei Terminen ab drei Werktagen im Voraus eine Schätzung zu (</w:t>
            </w:r>
            <w:r>
              <w:rPr>
                <w:i/>
                <w:iCs/>
                <w:sz w:val="20"/>
                <w:szCs w:val="20"/>
              </w:rPr>
              <w:t>Good Faith Estimate</w:t>
            </w:r>
            <w:r>
              <w:rPr>
                <w:sz w:val="20"/>
                <w:szCs w:val="20"/>
              </w:rPr>
              <w:t>). Gemeinnützige Krankenhäuser müssen zudem eine Regelung für Zahlungshilfe veröffentlichen (</w:t>
            </w:r>
            <w:r>
              <w:rPr>
                <w:i/>
                <w:iCs/>
                <w:sz w:val="20"/>
                <w:szCs w:val="20"/>
              </w:rPr>
              <w:t>Financial Assistance Policy</w:t>
            </w:r>
            <w:r>
              <w:rPr>
                <w:sz w:val="20"/>
                <w:szCs w:val="20"/>
              </w:rPr>
              <w:t>, Kapitel </w:t>
            </w:r>
            <w:hyperlink w:anchor="k26" w:history="1">
              <w:r>
                <w:rPr>
                  <w:sz w:val="20"/>
                  <w:szCs w:val="20"/>
                </w:rPr>
                <w:t>26</w:t>
              </w:r>
            </w:hyperlink>
            <w:r>
              <w:rPr>
                <w:sz w:val="20"/>
                <w:szCs w:val="20"/>
              </w:rPr>
              <w:t>).</w:t>
            </w:r>
          </w:p>
        </w:tc>
      </w:tr>
    </w:tbl>
    <w:p w14:paraId="70A4EA6C" w14:textId="77777777" w:rsidR="00C1548D" w:rsidRDefault="00C1548D">
      <w:pPr>
        <w:spacing w:line="220" w:lineRule="exact"/>
      </w:pPr>
    </w:p>
    <w:p w14:paraId="70A4EA6D" w14:textId="77777777" w:rsidR="00C1548D" w:rsidRDefault="009B1B4B">
      <w:pPr>
        <w:pStyle w:val="Heading3"/>
        <w:keepNext/>
        <w:jc w:val="center"/>
      </w:pPr>
      <w:r>
        <w:rPr>
          <w:rFonts w:ascii="Amazon Ember" w:eastAsia="Amazon Ember" w:hAnsi="Amazon Ember" w:cs="Amazon Ember"/>
          <w:color w:val="0000FF"/>
          <w:sz w:val="36"/>
          <w:szCs w:val="36"/>
        </w:rPr>
        <w:t>Nach der Geburt: Urkunden, SSN und Pässe</w:t>
      </w:r>
    </w:p>
    <w:p w14:paraId="70A4EA6E" w14:textId="77777777" w:rsidR="00C1548D" w:rsidRDefault="009B1B4B" w:rsidP="009B1B4B">
      <w:pPr>
        <w:pStyle w:val="ListParagraph"/>
        <w:numPr>
          <w:ilvl w:val="0"/>
          <w:numId w:val="40"/>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w14:paraId="70A4EA6F" w14:textId="07AD283A" w:rsidR="00C1548D" w:rsidRDefault="009B1B4B" w:rsidP="009B1B4B">
      <w:pPr>
        <w:pStyle w:val="ListParagraph"/>
        <w:numPr>
          <w:ilvl w:val="0"/>
          <w:numId w:val="40"/>
        </w:numPr>
        <w:spacing w:after="60"/>
      </w:pPr>
      <w:r>
        <w:rPr>
          <w:b/>
          <w:bCs/>
        </w:rPr>
        <w:t>SSN.</w:t>
      </w:r>
      <w:r>
        <w:t xml:space="preserve"> Den Antrag stellst du meist über das Klinikformular (</w:t>
      </w:r>
      <w:r>
        <w:rPr>
          <w:i/>
          <w:iCs/>
        </w:rPr>
        <w:t>Enumeration at Birth</w:t>
      </w:r>
      <w:r>
        <w:t>); die Karte kommt per Post. Sonst gilt der Antrag SS-5 bei der Sozialversicherungsbehörde (Kapitel </w:t>
      </w:r>
      <w:hyperlink w:anchor="k24" w:history="1">
        <w:r>
          <w:t>24</w:t>
        </w:r>
      </w:hyperlink>
      <w:r>
        <w:t>).</w:t>
      </w:r>
    </w:p>
    <w:p w14:paraId="70A4EA70" w14:textId="77777777" w:rsidR="00C1548D" w:rsidRDefault="009B1B4B" w:rsidP="009B1B4B">
      <w:pPr>
        <w:pStyle w:val="ListParagraph"/>
        <w:numPr>
          <w:ilvl w:val="0"/>
          <w:numId w:val="40"/>
        </w:numPr>
        <w:spacing w:after="60"/>
      </w:pPr>
      <w:r>
        <w:rPr>
          <w:b/>
          <w:bCs/>
        </w:rPr>
        <w:t>US-Reisepass.</w:t>
      </w:r>
      <w:r>
        <w:t xml:space="preserve"> Für Kinder unter 16 beantragen ihn beide Eltern gemeinsam und persönlich (Formular DS-11) oder ein Elternteil mit schriftlicher Zustimmung des anderen. Gebühren und Bearbeitungszeit stehen auf travel.state.gov. US-Bürger reisen mit US-Pass in die USA ein; das gilt auch für dein Baby.</w:t>
      </w:r>
    </w:p>
    <w:p w14:paraId="70A4EA71" w14:textId="77777777" w:rsidR="00C1548D" w:rsidRDefault="009B1B4B" w:rsidP="009B1B4B">
      <w:pPr>
        <w:pStyle w:val="ListParagraph"/>
        <w:numPr>
          <w:ilvl w:val="0"/>
          <w:numId w:val="40"/>
        </w:numPr>
        <w:spacing w:after="60"/>
      </w:pPr>
      <w:r>
        <w:rPr>
          <w:b/>
          <w:bCs/>
        </w:rPr>
        <w:lastRenderedPageBreak/>
        <w:t>Deutscher Kinder-ePass.</w:t>
      </w:r>
      <w:r>
        <w:t xml:space="preserve"> Den Kinderreisepass gibt es seit 1. Januar 2024 nicht mehr. Das Konsulat verlangt laut Auswärtigem Amt beide Eltern und das Kind persönlich, dazu US-Geburtsurkunde, Elternpässe und Heiratsurkunde; rechne mit sechs bis acht Wochen.</w:t>
      </w:r>
    </w:p>
    <w:p w14:paraId="70A4EA72" w14:textId="77777777" w:rsidR="00C1548D" w:rsidRDefault="00C1548D">
      <w:pPr>
        <w:spacing w:line="120" w:lineRule="exact"/>
      </w:pPr>
    </w:p>
    <w:p w14:paraId="70A4EA73" w14:textId="77777777" w:rsidR="00C1548D" w:rsidRDefault="009B1B4B">
      <w:pPr>
        <w:pStyle w:val="Heading3"/>
        <w:keepNext/>
        <w:jc w:val="center"/>
      </w:pPr>
      <w:r>
        <w:rPr>
          <w:rFonts w:ascii="Amazon Ember" w:eastAsia="Amazon Ember" w:hAnsi="Amazon Ember" w:cs="Amazon Ember"/>
          <w:color w:val="0000FF"/>
          <w:sz w:val="36"/>
          <w:szCs w:val="36"/>
        </w:rPr>
        <w:t>Die Staatsangehörigkeit deines Kindes</w:t>
      </w:r>
    </w:p>
    <w:p w14:paraId="70A4EA74" w14:textId="77777777" w:rsidR="00C1548D" w:rsidRDefault="009B1B4B">
      <w:pPr>
        <w:spacing w:after="140"/>
      </w:pPr>
      <w:r>
        <w:t xml:space="preserve">Verbreiteter Irrtum: Wer in den USA ein Kind zur Welt bringt, verschafft sich damit selbst ein Bleiberecht. Tatsächlich gilt das nur für das Kind: Ein Kind, das auf US-Boden geboren wird, ist mit der Geburt US-Bürger, auch wenn die Eltern nur ein H-1B-, L-1-, E-2- oder Studentenvisum haben. Die Regierung wollte das Anfang 2025 mit der Executive Order 14160 ändern. Der Supreme Court erklärte sie am 30. Juni 2026 in </w:t>
      </w:r>
      <w:r>
        <w:rPr>
          <w:i/>
          <w:iCs/>
        </w:rPr>
        <w:t>Trump v. Barbara</w:t>
      </w:r>
      <w:r>
        <w:t xml:space="preserve"> für verfassungswidrig, im Ergebnis mit 6 zu 3 Stimmen. Richter Kavanaugh stützte sich nur auf ein einfaches Gesetz und sieht Spielraum für den Kongress.</w:t>
      </w:r>
    </w:p>
    <w:p w14:paraId="70A4EA75" w14:textId="544CC7C1" w:rsidR="00C1548D" w:rsidRDefault="009B1B4B">
      <w:pPr>
        <w:spacing w:after="140"/>
      </w:pPr>
      <w:r>
        <w:t>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bi</w:t>
      </w:r>
      <w:r>
        <w:t>slang keiner. Die Lage kann sich rasch ändern: Frage vor der Geburt deine Kanzlei (</w:t>
      </w:r>
      <w:r>
        <w:t>Kapitel </w:t>
      </w:r>
      <w:hyperlink w:anchor="k11" w:history="1">
        <w:r>
          <w:t>11</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A78"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A76" w14:textId="77777777" w:rsidR="00C1548D" w:rsidRDefault="009B1B4B">
            <w:pPr>
              <w:keepNext/>
              <w:spacing w:after="70" w:line="240" w:lineRule="auto"/>
            </w:pPr>
            <w:r>
              <w:rPr>
                <w:b/>
                <w:bCs/>
                <w:color w:val="8A6212"/>
                <w:spacing w:val="24"/>
                <w:sz w:val="16"/>
                <w:szCs w:val="16"/>
              </w:rPr>
              <w:t>MERKE</w:t>
            </w:r>
          </w:p>
          <w:p w14:paraId="70A4EA77" w14:textId="06C91B8E" w:rsidR="00C1548D" w:rsidRDefault="009B1B4B">
            <w:pPr>
              <w:spacing w:after="80" w:line="264" w:lineRule="auto"/>
            </w:pPr>
            <w:r>
              <w:rPr>
                <w:sz w:val="20"/>
                <w:szCs w:val="20"/>
              </w:rPr>
              <w:t>Die US-Staatsbürgerschaft des Babys ändert nichts an deinem Status und dem deines Partners. Kinder, die im Ausland geboren werden, brauchen ein eigenes Visum (H-4), und ältere Geschwister bleiben Visa-Kinder (Kapitel </w:t>
            </w:r>
            <w:hyperlink w:anchor="k10" w:history="1">
              <w:r>
                <w:rPr>
                  <w:sz w:val="20"/>
                  <w:szCs w:val="20"/>
                </w:rPr>
                <w:t>10</w:t>
              </w:r>
            </w:hyperlink>
            <w:r>
              <w:rPr>
                <w:sz w:val="20"/>
                <w:szCs w:val="20"/>
              </w:rPr>
              <w:t>).</w:t>
            </w:r>
          </w:p>
        </w:tc>
      </w:tr>
    </w:tbl>
    <w:p w14:paraId="70A4EA79" w14:textId="77777777" w:rsidR="00C1548D" w:rsidRDefault="00C1548D">
      <w:pPr>
        <w:spacing w:line="220" w:lineRule="exact"/>
      </w:pPr>
    </w:p>
    <w:p w14:paraId="70A4EA7A" w14:textId="73F7540D" w:rsidR="00C1548D" w:rsidRDefault="009B1B4B">
      <w:pPr>
        <w:spacing w:after="140"/>
      </w:pPr>
      <w:r>
        <w:lastRenderedPageBreak/>
        <w:t>Die Staatsbürgerschaft hat auch Pflichten: Das Kind ist lebenslang steuerlich an die USA gebunden (Kapitel </w:t>
      </w:r>
      <w:hyperlink w:anchor="k28" w:history="1">
        <w:r>
          <w:t>28</w:t>
        </w:r>
      </w:hyperlink>
      <w:r>
        <w:t>). Zugleich öffnet sie Türen, etwa die Bundes-Studienhilfe (siehe unten).</w:t>
      </w:r>
    </w:p>
    <w:p w14:paraId="70A4EA7B" w14:textId="76BCD680" w:rsidR="00C1548D" w:rsidRDefault="009B1B4B">
      <w:pPr>
        <w:spacing w:after="140"/>
      </w:pPr>
      <w: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history="1">
        <w:r>
          <w:t>41</w:t>
        </w:r>
      </w:hyperlink>
      <w:r>
        <w:t>). Für Eltern mit österreichischer oder Schweizer Staatsangehörigkeit gelten eigene Regeln, die dir die Vertretung nennt.</w:t>
      </w:r>
    </w:p>
    <w:p w14:paraId="70A4EA7C" w14:textId="0AB509BA" w:rsidR="00C1548D" w:rsidRDefault="009B1B4B">
      <w:pPr>
        <w:spacing w:after="140"/>
      </w:pPr>
      <w:r>
        <w:t>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w:t>
      </w:r>
      <w:r>
        <w: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Konsulat. Welche Urkunden im Einzelnen nötig sind, etwa mit Apostille, steht bei deinem Konsulat (</w:t>
      </w:r>
      <w:r>
        <w:t>Kapitel </w:t>
      </w:r>
      <w:hyperlink w:anchor="k19" w:history="1">
        <w:r>
          <w:t>19</w:t>
        </w:r>
      </w:hyperlink>
      <w:r>
        <w:t>).</w:t>
      </w:r>
    </w:p>
    <w:p w14:paraId="70A4EA7D" w14:textId="77777777" w:rsidR="00C1548D" w:rsidRDefault="009B1B4B">
      <w:pPr>
        <w:pStyle w:val="Heading3"/>
        <w:keepNext/>
        <w:jc w:val="center"/>
      </w:pPr>
      <w:r>
        <w:rPr>
          <w:rFonts w:ascii="Amazon Ember" w:eastAsia="Amazon Ember" w:hAnsi="Amazon Ember" w:cs="Amazon Ember"/>
          <w:color w:val="0000FF"/>
          <w:sz w:val="36"/>
          <w:szCs w:val="36"/>
        </w:rPr>
        <w:t>Elternzeit: die Realität</w:t>
      </w:r>
    </w:p>
    <w:p w14:paraId="70A4EA7E" w14:textId="77777777" w:rsidR="00C1548D" w:rsidRDefault="009B1B4B">
      <w:pPr>
        <w:spacing w:after="140"/>
      </w:pPr>
      <w:r>
        <w:t xml:space="preserve">Deutschland kennt 14 Wochen Mutterschutz, Elterngeld und Elternzeit mit Kündigungsschutz. In den USA gibt es bundesweit nur die </w:t>
      </w:r>
      <w:r>
        <w:rPr>
          <w:i/>
          <w:iCs/>
        </w:rPr>
        <w:t>Family and Medical Leave Act</w:t>
      </w:r>
      <w:r>
        <w:t xml:space="preserve"> (FMLA): bis zu zwölf Wochen unbezahlte Freistellung für Geburt, Adoption oder Pflege, mit </w:t>
      </w:r>
      <w:r>
        <w:lastRenderedPageBreak/>
        <w:t>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w14:paraId="70A4EA7F" w14:textId="77777777" w:rsidR="00C1548D" w:rsidRDefault="009B1B4B">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89"/>
        <w:gridCol w:w="1589"/>
        <w:gridCol w:w="1355"/>
        <w:gridCol w:w="1947"/>
      </w:tblGrid>
      <w:tr w:rsidR="00C1548D" w14:paraId="70A4EA84" w14:textId="77777777">
        <w:tblPrEx>
          <w:tblCellMar>
            <w:top w:w="0" w:type="dxa"/>
            <w:bottom w:w="0" w:type="dxa"/>
          </w:tblCellMar>
        </w:tblPrEx>
        <w:trPr>
          <w:cantSplit/>
          <w:tblHeader/>
        </w:trPr>
        <w:tc>
          <w:tcPr>
            <w:tcW w:w="15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80" w14:textId="77777777" w:rsidR="00C1548D" w:rsidRDefault="009B1B4B">
            <w:pPr>
              <w:spacing w:line="250" w:lineRule="auto"/>
            </w:pPr>
            <w:r>
              <w:rPr>
                <w:b/>
                <w:bCs/>
                <w:sz w:val="18"/>
                <w:szCs w:val="18"/>
              </w:rPr>
              <w:t>Staat</w:t>
            </w:r>
          </w:p>
        </w:tc>
        <w:tc>
          <w:tcPr>
            <w:tcW w:w="15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81" w14:textId="77777777" w:rsidR="00C1548D" w:rsidRDefault="009B1B4B">
            <w:pPr>
              <w:spacing w:line="250" w:lineRule="auto"/>
            </w:pPr>
            <w:r>
              <w:rPr>
                <w:b/>
                <w:bCs/>
                <w:sz w:val="18"/>
                <w:szCs w:val="18"/>
              </w:rPr>
              <w:t>Dauer</w:t>
            </w:r>
          </w:p>
        </w:tc>
        <w:tc>
          <w:tcPr>
            <w:tcW w:w="135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82" w14:textId="77777777" w:rsidR="00C1548D" w:rsidRDefault="009B1B4B">
            <w:pPr>
              <w:spacing w:line="250" w:lineRule="auto"/>
            </w:pPr>
            <w:r>
              <w:rPr>
                <w:b/>
                <w:bCs/>
                <w:sz w:val="18"/>
                <w:szCs w:val="18"/>
              </w:rPr>
              <w:t>Lohnersatz</w:t>
            </w:r>
          </w:p>
        </w:tc>
        <w:tc>
          <w:tcPr>
            <w:tcW w:w="194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83" w14:textId="77777777" w:rsidR="00C1548D" w:rsidRDefault="009B1B4B">
            <w:pPr>
              <w:spacing w:line="250" w:lineRule="auto"/>
            </w:pPr>
            <w:r>
              <w:rPr>
                <w:b/>
                <w:bCs/>
                <w:sz w:val="18"/>
                <w:szCs w:val="18"/>
              </w:rPr>
              <w:t>Höchstsatz je Woche</w:t>
            </w:r>
          </w:p>
        </w:tc>
      </w:tr>
      <w:tr w:rsidR="00C1548D" w14:paraId="70A4EA89" w14:textId="77777777">
        <w:tblPrEx>
          <w:tblCellMar>
            <w:top w:w="0" w:type="dxa"/>
            <w:bottom w:w="0" w:type="dxa"/>
          </w:tblCellMar>
        </w:tblPrEx>
        <w:trPr>
          <w:cantSplit/>
        </w:trPr>
        <w:tc>
          <w:tcPr>
            <w:tcW w:w="1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85" w14:textId="77777777" w:rsidR="00C1548D" w:rsidRDefault="009B1B4B">
            <w:pPr>
              <w:spacing w:line="250" w:lineRule="auto"/>
            </w:pPr>
            <w:r>
              <w:rPr>
                <w:sz w:val="18"/>
                <w:szCs w:val="18"/>
              </w:rPr>
              <w:t>Kalifornien</w:t>
            </w:r>
          </w:p>
        </w:tc>
        <w:tc>
          <w:tcPr>
            <w:tcW w:w="1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86" w14:textId="77777777" w:rsidR="00C1548D" w:rsidRDefault="009B1B4B">
            <w:pPr>
              <w:spacing w:line="250" w:lineRule="auto"/>
            </w:pPr>
            <w:r>
              <w:rPr>
                <w:sz w:val="18"/>
                <w:szCs w:val="18"/>
              </w:rPr>
              <w:t>8 Wochen</w:t>
            </w:r>
          </w:p>
        </w:tc>
        <w:tc>
          <w:tcPr>
            <w:tcW w:w="13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87" w14:textId="77777777" w:rsidR="00C1548D" w:rsidRDefault="009B1B4B">
            <w:pPr>
              <w:spacing w:line="250" w:lineRule="auto"/>
            </w:pPr>
            <w:r>
              <w:rPr>
                <w:sz w:val="18"/>
                <w:szCs w:val="18"/>
              </w:rPr>
              <w:t>70–90 %</w:t>
            </w:r>
          </w:p>
        </w:tc>
        <w:tc>
          <w:tcPr>
            <w:tcW w:w="19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88" w14:textId="77777777" w:rsidR="00C1548D" w:rsidRDefault="009B1B4B">
            <w:pPr>
              <w:spacing w:line="250" w:lineRule="auto"/>
            </w:pPr>
            <w:r>
              <w:rPr>
                <w:sz w:val="18"/>
                <w:szCs w:val="18"/>
              </w:rPr>
              <w:t>1.765 $</w:t>
            </w:r>
          </w:p>
        </w:tc>
      </w:tr>
      <w:tr w:rsidR="00C1548D" w14:paraId="70A4EA8E" w14:textId="77777777">
        <w:tblPrEx>
          <w:tblCellMar>
            <w:top w:w="0" w:type="dxa"/>
            <w:bottom w:w="0" w:type="dxa"/>
          </w:tblCellMar>
        </w:tblPrEx>
        <w:trPr>
          <w:cantSplit/>
        </w:trPr>
        <w:tc>
          <w:tcPr>
            <w:tcW w:w="1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8A" w14:textId="77777777" w:rsidR="00C1548D" w:rsidRDefault="009B1B4B">
            <w:pPr>
              <w:spacing w:line="250" w:lineRule="auto"/>
            </w:pPr>
            <w:r>
              <w:rPr>
                <w:sz w:val="18"/>
                <w:szCs w:val="18"/>
              </w:rPr>
              <w:t>New York</w:t>
            </w:r>
          </w:p>
        </w:tc>
        <w:tc>
          <w:tcPr>
            <w:tcW w:w="1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8B" w14:textId="77777777" w:rsidR="00C1548D" w:rsidRDefault="009B1B4B">
            <w:pPr>
              <w:spacing w:line="250" w:lineRule="auto"/>
            </w:pPr>
            <w:r>
              <w:rPr>
                <w:sz w:val="18"/>
                <w:szCs w:val="18"/>
              </w:rPr>
              <w:t>12 Wochen</w:t>
            </w:r>
          </w:p>
        </w:tc>
        <w:tc>
          <w:tcPr>
            <w:tcW w:w="13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8C" w14:textId="77777777" w:rsidR="00C1548D" w:rsidRDefault="009B1B4B">
            <w:pPr>
              <w:spacing w:line="250" w:lineRule="auto"/>
            </w:pPr>
            <w:r>
              <w:rPr>
                <w:sz w:val="18"/>
                <w:szCs w:val="18"/>
              </w:rPr>
              <w:t>67 %</w:t>
            </w:r>
          </w:p>
        </w:tc>
        <w:tc>
          <w:tcPr>
            <w:tcW w:w="19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8D" w14:textId="77777777" w:rsidR="00C1548D" w:rsidRDefault="009B1B4B">
            <w:pPr>
              <w:spacing w:line="250" w:lineRule="auto"/>
            </w:pPr>
            <w:r>
              <w:rPr>
                <w:sz w:val="18"/>
                <w:szCs w:val="18"/>
              </w:rPr>
              <w:t>1.228,53 $</w:t>
            </w:r>
          </w:p>
        </w:tc>
      </w:tr>
      <w:tr w:rsidR="00C1548D" w14:paraId="70A4EA93" w14:textId="77777777">
        <w:tblPrEx>
          <w:tblCellMar>
            <w:top w:w="0" w:type="dxa"/>
            <w:bottom w:w="0" w:type="dxa"/>
          </w:tblCellMar>
        </w:tblPrEx>
        <w:trPr>
          <w:cantSplit/>
        </w:trPr>
        <w:tc>
          <w:tcPr>
            <w:tcW w:w="1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8F" w14:textId="77777777" w:rsidR="00C1548D" w:rsidRDefault="009B1B4B">
            <w:pPr>
              <w:spacing w:line="250" w:lineRule="auto"/>
            </w:pPr>
            <w:r>
              <w:rPr>
                <w:sz w:val="18"/>
                <w:szCs w:val="18"/>
              </w:rPr>
              <w:t>New Jersey</w:t>
            </w:r>
          </w:p>
        </w:tc>
        <w:tc>
          <w:tcPr>
            <w:tcW w:w="1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90" w14:textId="77777777" w:rsidR="00C1548D" w:rsidRDefault="009B1B4B">
            <w:pPr>
              <w:spacing w:line="250" w:lineRule="auto"/>
            </w:pPr>
            <w:r>
              <w:rPr>
                <w:sz w:val="18"/>
                <w:szCs w:val="18"/>
              </w:rPr>
              <w:t>bis 12 Wochen</w:t>
            </w:r>
          </w:p>
        </w:tc>
        <w:tc>
          <w:tcPr>
            <w:tcW w:w="13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91" w14:textId="77777777" w:rsidR="00C1548D" w:rsidRDefault="009B1B4B">
            <w:pPr>
              <w:spacing w:line="250" w:lineRule="auto"/>
            </w:pPr>
            <w:r>
              <w:rPr>
                <w:sz w:val="18"/>
                <w:szCs w:val="18"/>
              </w:rPr>
              <w:t>bis 85 %</w:t>
            </w:r>
          </w:p>
        </w:tc>
        <w:tc>
          <w:tcPr>
            <w:tcW w:w="19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92" w14:textId="77777777" w:rsidR="00C1548D" w:rsidRDefault="009B1B4B">
            <w:pPr>
              <w:spacing w:line="250" w:lineRule="auto"/>
            </w:pPr>
            <w:r>
              <w:rPr>
                <w:sz w:val="18"/>
                <w:szCs w:val="18"/>
              </w:rPr>
              <w:t>1.119 $</w:t>
            </w:r>
          </w:p>
        </w:tc>
      </w:tr>
      <w:tr w:rsidR="00C1548D" w14:paraId="70A4EA98" w14:textId="77777777">
        <w:tblPrEx>
          <w:tblCellMar>
            <w:top w:w="0" w:type="dxa"/>
            <w:bottom w:w="0" w:type="dxa"/>
          </w:tblCellMar>
        </w:tblPrEx>
        <w:trPr>
          <w:cantSplit/>
        </w:trPr>
        <w:tc>
          <w:tcPr>
            <w:tcW w:w="1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94" w14:textId="77777777" w:rsidR="00C1548D" w:rsidRDefault="009B1B4B">
            <w:pPr>
              <w:spacing w:line="250" w:lineRule="auto"/>
            </w:pPr>
            <w:r>
              <w:rPr>
                <w:sz w:val="18"/>
                <w:szCs w:val="18"/>
              </w:rPr>
              <w:t>Washington</w:t>
            </w:r>
          </w:p>
        </w:tc>
        <w:tc>
          <w:tcPr>
            <w:tcW w:w="1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95" w14:textId="77777777" w:rsidR="00C1548D" w:rsidRDefault="009B1B4B">
            <w:pPr>
              <w:spacing w:line="250" w:lineRule="auto"/>
            </w:pPr>
            <w:r>
              <w:rPr>
                <w:sz w:val="18"/>
                <w:szCs w:val="18"/>
              </w:rPr>
              <w:t>bis 12 Wochen</w:t>
            </w:r>
          </w:p>
        </w:tc>
        <w:tc>
          <w:tcPr>
            <w:tcW w:w="13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96" w14:textId="77777777" w:rsidR="00C1548D" w:rsidRDefault="009B1B4B">
            <w:pPr>
              <w:spacing w:line="250" w:lineRule="auto"/>
            </w:pPr>
            <w:r>
              <w:rPr>
                <w:sz w:val="18"/>
                <w:szCs w:val="18"/>
              </w:rPr>
              <w:t>bis 90 %</w:t>
            </w:r>
          </w:p>
        </w:tc>
        <w:tc>
          <w:tcPr>
            <w:tcW w:w="19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97" w14:textId="77777777" w:rsidR="00C1548D" w:rsidRDefault="009B1B4B">
            <w:pPr>
              <w:spacing w:line="250" w:lineRule="auto"/>
            </w:pPr>
            <w:r>
              <w:rPr>
                <w:sz w:val="18"/>
                <w:szCs w:val="18"/>
              </w:rPr>
              <w:t>1.647 $</w:t>
            </w:r>
          </w:p>
        </w:tc>
      </w:tr>
      <w:tr w:rsidR="00C1548D" w14:paraId="70A4EA9D" w14:textId="77777777">
        <w:tblPrEx>
          <w:tblCellMar>
            <w:top w:w="0" w:type="dxa"/>
            <w:bottom w:w="0" w:type="dxa"/>
          </w:tblCellMar>
        </w:tblPrEx>
        <w:trPr>
          <w:cantSplit/>
        </w:trPr>
        <w:tc>
          <w:tcPr>
            <w:tcW w:w="1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99" w14:textId="77777777" w:rsidR="00C1548D" w:rsidRDefault="009B1B4B">
            <w:pPr>
              <w:spacing w:line="250" w:lineRule="auto"/>
            </w:pPr>
            <w:r>
              <w:rPr>
                <w:sz w:val="18"/>
                <w:szCs w:val="18"/>
              </w:rPr>
              <w:t>Massachusetts</w:t>
            </w:r>
          </w:p>
        </w:tc>
        <w:tc>
          <w:tcPr>
            <w:tcW w:w="1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9A" w14:textId="77777777" w:rsidR="00C1548D" w:rsidRDefault="009B1B4B">
            <w:pPr>
              <w:spacing w:line="250" w:lineRule="auto"/>
            </w:pPr>
            <w:r>
              <w:rPr>
                <w:sz w:val="18"/>
                <w:szCs w:val="18"/>
              </w:rPr>
              <w:t>12 Wochen</w:t>
            </w:r>
          </w:p>
        </w:tc>
        <w:tc>
          <w:tcPr>
            <w:tcW w:w="13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9B" w14:textId="77777777" w:rsidR="00C1548D" w:rsidRDefault="009B1B4B">
            <w:pPr>
              <w:spacing w:line="250" w:lineRule="auto"/>
            </w:pPr>
            <w:r>
              <w:rPr>
                <w:sz w:val="18"/>
                <w:szCs w:val="18"/>
              </w:rPr>
              <w:t>50–80 %</w:t>
            </w:r>
          </w:p>
        </w:tc>
        <w:tc>
          <w:tcPr>
            <w:tcW w:w="19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9C" w14:textId="77777777" w:rsidR="00C1548D" w:rsidRDefault="009B1B4B">
            <w:pPr>
              <w:spacing w:line="250" w:lineRule="auto"/>
            </w:pPr>
            <w:r>
              <w:rPr>
                <w:sz w:val="18"/>
                <w:szCs w:val="18"/>
              </w:rPr>
              <w:t>rund 1.230 $</w:t>
            </w:r>
          </w:p>
        </w:tc>
      </w:tr>
    </w:tbl>
    <w:p w14:paraId="70A4EA9E" w14:textId="77777777" w:rsidR="00C1548D" w:rsidRDefault="00C1548D">
      <w:pPr>
        <w:spacing w:line="180" w:lineRule="exact"/>
      </w:pPr>
    </w:p>
    <w:p w14:paraId="70A4EA9F" w14:textId="352B61DD" w:rsidR="00C1548D" w:rsidRDefault="009B1B4B">
      <w:pPr>
        <w:spacing w:after="140"/>
      </w:pPr>
      <w:r>
        <w:t>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endet das Kindergeld (2026: 259 € je Kind und Monat</w:t>
      </w:r>
      <w:r>
        <w:t>) in der Regel mit dem Wegzug aus Deutschland, und Elterngeld setzt einen Wohnsitz dort voraus (</w:t>
      </w:r>
      <w:r>
        <w:t>Kapitel </w:t>
      </w:r>
      <w:hyperlink w:anchor="k16" w:history="1">
        <w:r>
          <w:t>16</w:t>
        </w:r>
      </w:hyperlink>
      <w:r>
        <w:t>–</w:t>
      </w:r>
      <w:hyperlink w:anchor="k17" w:history="1">
        <w:r>
          <w:t>17</w:t>
        </w:r>
      </w:hyperlink>
      <w:r>
        <w:t>). Wer eine längere unbezahlte Auszeit plant, klärt vorher mit Arbeitgeber und Kanzlei die Folgen für Status und Gehalt (Kapitel </w:t>
      </w:r>
      <w:hyperlink w:anchor="k5" w:history="1">
        <w:r>
          <w:t>5</w:t>
        </w:r>
      </w:hyperlink>
      <w:r>
        <w:t>).</w:t>
      </w:r>
    </w:p>
    <w:p w14:paraId="70A4EAA0" w14:textId="77777777" w:rsidR="00C1548D" w:rsidRDefault="009B1B4B">
      <w:pPr>
        <w:pStyle w:val="Heading3"/>
        <w:keepNext/>
        <w:jc w:val="center"/>
      </w:pPr>
      <w:r>
        <w:rPr>
          <w:rFonts w:ascii="Amazon Ember" w:eastAsia="Amazon Ember" w:hAnsi="Amazon Ember" w:cs="Amazon Ember"/>
          <w:color w:val="0000FF"/>
          <w:sz w:val="36"/>
          <w:szCs w:val="36"/>
        </w:rPr>
        <w:lastRenderedPageBreak/>
        <w:t>Kinderbetreuung: Kosten, Wartelisten, Alternativen</w:t>
      </w:r>
    </w:p>
    <w:p w14:paraId="70A4EAA1" w14:textId="7312B4DA" w:rsidR="00C1548D" w:rsidRDefault="009B1B4B">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der in den USA mit fünf Jahren beginnt; Kapitel </w:t>
      </w:r>
      <w:hyperlink w:anchor="k36" w:history="1">
        <w:r>
          <w:t>36</w:t>
        </w:r>
      </w:hyperlink>
      <w:r>
        <w:t>). Der Durchschnittspreis lag 2025 bei 13.184 $ im Jahr, 23 % mehr als 2021 (Child Care Aware of America). Für Säuglinge in Zentren reicht die Spanne nach EPI-Daten von rund 6.900 $ in Mississippi bis über 20.000 $ in Washington D.C., Massachusetts, Minnesota oder Kalifornien.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28"/>
        <w:gridCol w:w="2204"/>
        <w:gridCol w:w="2548"/>
      </w:tblGrid>
      <w:tr w:rsidR="00C1548D" w14:paraId="70A4EAA5" w14:textId="77777777">
        <w:tblPrEx>
          <w:tblCellMar>
            <w:top w:w="0" w:type="dxa"/>
            <w:bottom w:w="0" w:type="dxa"/>
          </w:tblCellMar>
        </w:tblPrEx>
        <w:trPr>
          <w:cantSplit/>
          <w:tblHeader/>
        </w:trPr>
        <w:tc>
          <w:tcPr>
            <w:tcW w:w="17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A2" w14:textId="77777777" w:rsidR="00C1548D" w:rsidRDefault="009B1B4B">
            <w:pPr>
              <w:spacing w:line="250" w:lineRule="auto"/>
            </w:pPr>
            <w:r>
              <w:rPr>
                <w:b/>
                <w:bCs/>
                <w:sz w:val="18"/>
                <w:szCs w:val="18"/>
              </w:rPr>
              <w:t>Form</w:t>
            </w:r>
          </w:p>
        </w:tc>
        <w:tc>
          <w:tcPr>
            <w:tcW w:w="220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A3" w14:textId="77777777" w:rsidR="00C1548D" w:rsidRDefault="009B1B4B">
            <w:pPr>
              <w:spacing w:line="250" w:lineRule="auto"/>
            </w:pPr>
            <w:r>
              <w:rPr>
                <w:b/>
                <w:bCs/>
                <w:sz w:val="18"/>
                <w:szCs w:val="18"/>
              </w:rPr>
              <w:t>Kosten (2025/26)</w:t>
            </w:r>
          </w:p>
        </w:tc>
        <w:tc>
          <w:tcPr>
            <w:tcW w:w="254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A4" w14:textId="77777777" w:rsidR="00C1548D" w:rsidRDefault="009B1B4B">
            <w:pPr>
              <w:spacing w:line="250" w:lineRule="auto"/>
            </w:pPr>
            <w:r>
              <w:rPr>
                <w:b/>
                <w:bCs/>
                <w:sz w:val="18"/>
                <w:szCs w:val="18"/>
              </w:rPr>
              <w:t>Bemerkung</w:t>
            </w:r>
          </w:p>
        </w:tc>
      </w:tr>
      <w:tr w:rsidR="00C1548D" w14:paraId="70A4EAA9" w14:textId="77777777">
        <w:tblPrEx>
          <w:tblCellMar>
            <w:top w:w="0" w:type="dxa"/>
            <w:bottom w:w="0" w:type="dxa"/>
          </w:tblCellMar>
        </w:tblPrEx>
        <w:trPr>
          <w:cantSplit/>
        </w:trPr>
        <w:tc>
          <w:tcPr>
            <w:tcW w:w="17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A6" w14:textId="77777777" w:rsidR="00C1548D" w:rsidRDefault="009B1B4B">
            <w:pPr>
              <w:spacing w:line="250" w:lineRule="auto"/>
            </w:pPr>
            <w:r>
              <w:rPr>
                <w:sz w:val="18"/>
                <w:szCs w:val="18"/>
              </w:rPr>
              <w:t>Betreuungszentrum</w:t>
            </w:r>
          </w:p>
        </w:tc>
        <w:tc>
          <w:tcPr>
            <w:tcW w:w="22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A7" w14:textId="77777777" w:rsidR="00C1548D" w:rsidRDefault="009B1B4B">
            <w:pPr>
              <w:spacing w:line="250" w:lineRule="auto"/>
            </w:pPr>
            <w:r>
              <w:rPr>
                <w:sz w:val="18"/>
                <w:szCs w:val="18"/>
              </w:rPr>
              <w:t>Ø 13.184 $ pro Jahr</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A8" w14:textId="77777777" w:rsidR="00C1548D" w:rsidRDefault="009B1B4B">
            <w:pPr>
              <w:spacing w:line="250" w:lineRule="auto"/>
            </w:pPr>
            <w:r>
              <w:rPr>
                <w:sz w:val="18"/>
                <w:szCs w:val="18"/>
              </w:rPr>
              <w:t>Angebot schrumpft, Wartelisten</w:t>
            </w:r>
          </w:p>
        </w:tc>
      </w:tr>
      <w:tr w:rsidR="00C1548D" w14:paraId="70A4EAAD" w14:textId="77777777">
        <w:tblPrEx>
          <w:tblCellMar>
            <w:top w:w="0" w:type="dxa"/>
            <w:bottom w:w="0" w:type="dxa"/>
          </w:tblCellMar>
        </w:tblPrEx>
        <w:trPr>
          <w:cantSplit/>
        </w:trPr>
        <w:tc>
          <w:tcPr>
            <w:tcW w:w="17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AA" w14:textId="77777777" w:rsidR="00C1548D" w:rsidRDefault="009B1B4B">
            <w:pPr>
              <w:spacing w:line="250" w:lineRule="auto"/>
            </w:pPr>
            <w:r>
              <w:rPr>
                <w:sz w:val="18"/>
                <w:szCs w:val="18"/>
              </w:rPr>
              <w:t>Tagesmutter im Privathaus (</w:t>
            </w:r>
            <w:r>
              <w:rPr>
                <w:i/>
                <w:iCs/>
                <w:sz w:val="18"/>
                <w:szCs w:val="18"/>
              </w:rPr>
              <w:t>Family Child Care</w:t>
            </w:r>
            <w:r>
              <w:rPr>
                <w:sz w:val="18"/>
                <w:szCs w:val="18"/>
              </w:rPr>
              <w:t>)</w:t>
            </w:r>
          </w:p>
        </w:tc>
        <w:tc>
          <w:tcPr>
            <w:tcW w:w="22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AB" w14:textId="77777777" w:rsidR="00C1548D" w:rsidRDefault="009B1B4B">
            <w:pPr>
              <w:spacing w:line="250" w:lineRule="auto"/>
            </w:pPr>
            <w:r>
              <w:rPr>
                <w:sz w:val="18"/>
                <w:szCs w:val="18"/>
              </w:rPr>
              <w:t>meist günstiger als Zentrum</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AC" w14:textId="77777777" w:rsidR="00C1548D" w:rsidRDefault="009B1B4B">
            <w:pPr>
              <w:spacing w:line="250" w:lineRule="auto"/>
            </w:pPr>
            <w:r>
              <w:rPr>
                <w:sz w:val="18"/>
                <w:szCs w:val="18"/>
              </w:rPr>
              <w:t>Angebot wächst leicht (+1,4 % 2025)</w:t>
            </w:r>
          </w:p>
        </w:tc>
      </w:tr>
      <w:tr w:rsidR="00C1548D" w14:paraId="70A4EAB1" w14:textId="77777777">
        <w:tblPrEx>
          <w:tblCellMar>
            <w:top w:w="0" w:type="dxa"/>
            <w:bottom w:w="0" w:type="dxa"/>
          </w:tblCellMar>
        </w:tblPrEx>
        <w:trPr>
          <w:cantSplit/>
        </w:trPr>
        <w:tc>
          <w:tcPr>
            <w:tcW w:w="17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AE" w14:textId="77777777" w:rsidR="00C1548D" w:rsidRDefault="009B1B4B">
            <w:pPr>
              <w:spacing w:line="250" w:lineRule="auto"/>
            </w:pPr>
            <w:r>
              <w:rPr>
                <w:sz w:val="18"/>
                <w:szCs w:val="18"/>
              </w:rPr>
              <w:t>Nanny</w:t>
            </w:r>
          </w:p>
        </w:tc>
        <w:tc>
          <w:tcPr>
            <w:tcW w:w="22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AF" w14:textId="77777777" w:rsidR="00C1548D" w:rsidRDefault="009B1B4B">
            <w:pPr>
              <w:spacing w:line="250" w:lineRule="auto"/>
            </w:pPr>
            <w:r>
              <w:rPr>
                <w:sz w:val="18"/>
                <w:szCs w:val="18"/>
              </w:rPr>
              <w:t>Ø 21,75 $ pro Stunde, ca. 870 $ pro Woche</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B0" w14:textId="77777777" w:rsidR="00C1548D" w:rsidRDefault="009B1B4B">
            <w:pPr>
              <w:spacing w:line="250" w:lineRule="auto"/>
            </w:pPr>
            <w:r>
              <w:rPr>
                <w:sz w:val="18"/>
                <w:szCs w:val="18"/>
              </w:rPr>
              <w:t>San Francisco 30,20 $, San Antonio 18,71 $</w:t>
            </w:r>
          </w:p>
        </w:tc>
      </w:tr>
      <w:tr w:rsidR="00C1548D" w14:paraId="70A4EAB5" w14:textId="77777777">
        <w:tblPrEx>
          <w:tblCellMar>
            <w:top w:w="0" w:type="dxa"/>
            <w:bottom w:w="0" w:type="dxa"/>
          </w:tblCellMar>
        </w:tblPrEx>
        <w:trPr>
          <w:cantSplit/>
        </w:trPr>
        <w:tc>
          <w:tcPr>
            <w:tcW w:w="17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B2" w14:textId="77777777" w:rsidR="00C1548D" w:rsidRDefault="009B1B4B">
            <w:pPr>
              <w:spacing w:line="250" w:lineRule="auto"/>
            </w:pPr>
            <w:r>
              <w:rPr>
                <w:sz w:val="18"/>
                <w:szCs w:val="18"/>
              </w:rPr>
              <w:t>Au-pair</w:t>
            </w:r>
          </w:p>
        </w:tc>
        <w:tc>
          <w:tcPr>
            <w:tcW w:w="22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B3" w14:textId="77777777" w:rsidR="00C1548D" w:rsidRDefault="009B1B4B">
            <w:pPr>
              <w:spacing w:line="250" w:lineRule="auto"/>
            </w:pPr>
            <w:r>
              <w:rPr>
                <w:sz w:val="18"/>
                <w:szCs w:val="18"/>
              </w:rPr>
              <w:t>ca. 1.785 $ pro Monat plus Kost und Logis</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B4" w14:textId="77777777" w:rsidR="00C1548D" w:rsidRDefault="009B1B4B">
            <w:pPr>
              <w:spacing w:line="250" w:lineRule="auto"/>
            </w:pPr>
            <w:r>
              <w:rPr>
                <w:sz w:val="18"/>
                <w:szCs w:val="18"/>
              </w:rPr>
              <w:t>Nur für Familien mit US-Pass oder Green Card</w:t>
            </w:r>
          </w:p>
        </w:tc>
      </w:tr>
      <w:tr w:rsidR="00C1548D" w14:paraId="70A4EAB9" w14:textId="77777777">
        <w:tblPrEx>
          <w:tblCellMar>
            <w:top w:w="0" w:type="dxa"/>
            <w:bottom w:w="0" w:type="dxa"/>
          </w:tblCellMar>
        </w:tblPrEx>
        <w:trPr>
          <w:cantSplit/>
        </w:trPr>
        <w:tc>
          <w:tcPr>
            <w:tcW w:w="17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B6" w14:textId="77777777" w:rsidR="00C1548D" w:rsidRDefault="009B1B4B">
            <w:pPr>
              <w:spacing w:line="250" w:lineRule="auto"/>
            </w:pPr>
            <w:r>
              <w:rPr>
                <w:sz w:val="18"/>
                <w:szCs w:val="18"/>
              </w:rPr>
              <w:t>After-School</w:t>
            </w:r>
          </w:p>
        </w:tc>
        <w:tc>
          <w:tcPr>
            <w:tcW w:w="22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B7" w14:textId="77777777" w:rsidR="00C1548D" w:rsidRDefault="009B1B4B">
            <w:pPr>
              <w:spacing w:line="250" w:lineRule="auto"/>
            </w:pPr>
            <w:r>
              <w:rPr>
                <w:sz w:val="18"/>
                <w:szCs w:val="18"/>
              </w:rPr>
              <w:t>grob 200–450 $ pro Monat</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B8" w14:textId="77777777" w:rsidR="00C1548D" w:rsidRDefault="009B1B4B">
            <w:pPr>
              <w:spacing w:line="250" w:lineRule="auto"/>
            </w:pPr>
            <w:r>
              <w:rPr>
                <w:sz w:val="18"/>
                <w:szCs w:val="18"/>
              </w:rPr>
              <w:t>Schulische Programme meist günstiger</w:t>
            </w:r>
          </w:p>
        </w:tc>
      </w:tr>
      <w:tr w:rsidR="00C1548D" w14:paraId="70A4EABD" w14:textId="77777777">
        <w:tblPrEx>
          <w:tblCellMar>
            <w:top w:w="0" w:type="dxa"/>
            <w:bottom w:w="0" w:type="dxa"/>
          </w:tblCellMar>
        </w:tblPrEx>
        <w:trPr>
          <w:cantSplit/>
        </w:trPr>
        <w:tc>
          <w:tcPr>
            <w:tcW w:w="17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BA" w14:textId="77777777" w:rsidR="00C1548D" w:rsidRDefault="009B1B4B">
            <w:pPr>
              <w:spacing w:line="250" w:lineRule="auto"/>
            </w:pPr>
            <w:r>
              <w:rPr>
                <w:sz w:val="18"/>
                <w:szCs w:val="18"/>
              </w:rPr>
              <w:t>Sommercamp (Tagescamp)</w:t>
            </w:r>
          </w:p>
        </w:tc>
        <w:tc>
          <w:tcPr>
            <w:tcW w:w="22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BB" w14:textId="77777777" w:rsidR="00C1548D" w:rsidRDefault="009B1B4B">
            <w:pPr>
              <w:spacing w:line="250" w:lineRule="auto"/>
            </w:pPr>
            <w:r>
              <w:rPr>
                <w:sz w:val="18"/>
                <w:szCs w:val="18"/>
              </w:rPr>
              <w:t>grob 200–500 $ pro Woche</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BC" w14:textId="77777777" w:rsidR="00C1548D" w:rsidRDefault="009B1B4B">
            <w:pPr>
              <w:spacing w:line="250" w:lineRule="auto"/>
            </w:pPr>
            <w:r>
              <w:rPr>
                <w:sz w:val="18"/>
                <w:szCs w:val="18"/>
              </w:rPr>
              <w:t>YMCA und Gemeindeprogramme günstiger</w:t>
            </w:r>
          </w:p>
        </w:tc>
      </w:tr>
    </w:tbl>
    <w:p w14:paraId="70A4EABE" w14:textId="77777777" w:rsidR="00C1548D" w:rsidRDefault="00C1548D">
      <w:pPr>
        <w:spacing w:line="180" w:lineRule="exact"/>
      </w:pPr>
    </w:p>
    <w:p w14:paraId="70A4EABF" w14:textId="3780242E" w:rsidR="00C1548D" w:rsidRDefault="009B1B4B">
      <w:pPr>
        <w:spacing w:after="140"/>
      </w:pPr>
      <w: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history="1">
        <w:r>
          <w:t>28</w:t>
        </w:r>
      </w:hyperlink>
      <w:r>
        <w:t>).</w:t>
      </w:r>
    </w:p>
    <w:p w14:paraId="70A4EAC0" w14:textId="77777777" w:rsidR="00C1548D" w:rsidRDefault="009B1B4B">
      <w:pPr>
        <w:spacing w:after="140"/>
      </w:pPr>
      <w:r>
        <w:lastRenderedPageBreak/>
        <w:t>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über Wartelisten von mehreren Monaten zu bekommen; melde dich schon in der Schwangerschaft an.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AC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AC1" w14:textId="77777777" w:rsidR="00C1548D" w:rsidRDefault="009B1B4B">
            <w:pPr>
              <w:keepNext/>
              <w:spacing w:after="70" w:line="240" w:lineRule="auto"/>
            </w:pPr>
            <w:r>
              <w:rPr>
                <w:b/>
                <w:bCs/>
                <w:color w:val="9B2C2C"/>
                <w:spacing w:val="24"/>
                <w:sz w:val="16"/>
                <w:szCs w:val="16"/>
              </w:rPr>
              <w:t>ACHTUNG</w:t>
            </w:r>
          </w:p>
          <w:p w14:paraId="70A4EAC2" w14:textId="77777777" w:rsidR="00C1548D" w:rsidRDefault="009B1B4B">
            <w:pPr>
              <w:spacing w:after="80" w:line="264" w:lineRule="auto"/>
            </w:pPr>
            <w:r>
              <w:rPr>
                <w:sz w:val="20"/>
                <w:szCs w:val="20"/>
              </w:rPr>
              <w:t>Au-pairs (J-1) gibt es nur für Gastfamilien, die US-Bürger oder Green-Card-Inhaber sind. Mit H-1B, L-1 oder E-2 bist du ausgeschlossen (State Department). Bleiben Nanny, Zentrum, Tagesmutter oder eine Nanny-Teilung mit einer Nachbarfamilie.</w:t>
            </w:r>
          </w:p>
        </w:tc>
      </w:tr>
    </w:tbl>
    <w:p w14:paraId="70A4EAC4"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AC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AC5" w14:textId="77777777" w:rsidR="00C1548D" w:rsidRDefault="009B1B4B">
            <w:pPr>
              <w:keepNext/>
              <w:spacing w:after="70" w:line="240" w:lineRule="auto"/>
            </w:pPr>
            <w:r>
              <w:rPr>
                <w:b/>
                <w:bCs/>
                <w:color w:val="2F6B3B"/>
                <w:spacing w:val="24"/>
                <w:sz w:val="16"/>
                <w:szCs w:val="16"/>
              </w:rPr>
              <w:t>SPARTIPP</w:t>
            </w:r>
          </w:p>
          <w:p w14:paraId="70A4EAC6" w14:textId="77777777" w:rsidR="00C1548D" w:rsidRDefault="009B1B4B">
            <w:pPr>
              <w:spacing w:after="80" w:line="264" w:lineRule="auto"/>
            </w:pPr>
            <w:r>
              <w:rPr>
                <w:sz w:val="20"/>
                <w:szCs w:val="20"/>
              </w:rPr>
              <w:t xml:space="preserve">Viele Arbeitgeber bieten ein </w:t>
            </w:r>
            <w:r>
              <w:rPr>
                <w:i/>
                <w:iCs/>
                <w:sz w:val="20"/>
                <w:szCs w:val="20"/>
              </w:rPr>
              <w:t>Dependent Care FSA</w:t>
            </w:r>
            <w:r>
              <w:rPr>
                <w:sz w:val="20"/>
                <w:szCs w:val="20"/>
              </w:rPr>
              <w:t xml:space="preserve"> an: Du zahlst Betreuungskosten aus dem Bruttolohn bis zu einer jährlichen Höchstgrenze und sparst Steuern. Frage die Personalabteilung nach der aktuellen Höhe und melde dich rechtzeitig an; die Geburt eines Kindes zählt meist als Anlass für eine Anmeldung außerhalb der Wahlphase.</w:t>
            </w:r>
          </w:p>
        </w:tc>
      </w:tr>
    </w:tbl>
    <w:p w14:paraId="70A4EAC8" w14:textId="77777777" w:rsidR="00C1548D" w:rsidRDefault="00C1548D">
      <w:pPr>
        <w:spacing w:line="220" w:lineRule="exact"/>
      </w:pPr>
    </w:p>
    <w:p w14:paraId="70A4EAC9" w14:textId="77777777" w:rsidR="00C1548D" w:rsidRDefault="009B1B4B">
      <w:pPr>
        <w:pStyle w:val="Heading3"/>
        <w:keepNext/>
        <w:jc w:val="center"/>
      </w:pPr>
      <w:r>
        <w:rPr>
          <w:rFonts w:ascii="Amazon Ember" w:eastAsia="Amazon Ember" w:hAnsi="Amazon Ember" w:cs="Amazon Ember"/>
          <w:color w:val="0000FF"/>
          <w:sz w:val="36"/>
          <w:szCs w:val="36"/>
        </w:rPr>
        <w:t>Erziehung und Sicherheit im Alltag</w:t>
      </w:r>
    </w:p>
    <w:p w14:paraId="70A4EACA" w14:textId="77777777" w:rsidR="00C1548D" w:rsidRDefault="009B1B4B">
      <w:pPr>
        <w:spacing w:after="140"/>
      </w:pPr>
      <w:r>
        <w:t>Amerikanische Kindheit ist stärker organisiert als deutsche. Vier Beobachtungen aus dem Alltag:</w:t>
      </w:r>
    </w:p>
    <w:p w14:paraId="70A4EACB" w14:textId="77777777" w:rsidR="00C1548D" w:rsidRDefault="009B1B4B" w:rsidP="009B1B4B">
      <w:pPr>
        <w:pStyle w:val="ListParagraph"/>
        <w:numPr>
          <w:ilvl w:val="0"/>
          <w:numId w:val="1"/>
        </w:numPr>
        <w:spacing w:after="60"/>
      </w:pPr>
      <w:r>
        <w:t xml:space="preserve">Kinder verabreden sich per </w:t>
      </w:r>
      <w:r>
        <w:rPr>
          <w:i/>
          <w:iCs/>
        </w:rPr>
        <w:t>Playdate</w:t>
      </w:r>
      <w:r>
        <w:t>, meist zwischen den Eltern abgesprochen; unangemeldetes Klingeln bei Nachbarn ist seltener als in Deutschland. Ein spontaner Nachmittag ohne Kalendereintrag kommt manchmal einer kleinen Grenzüberschreitung gleich.</w:t>
      </w:r>
    </w:p>
    <w:p w14:paraId="70A4EACC" w14:textId="77777777" w:rsidR="00C1548D" w:rsidRDefault="009B1B4B" w:rsidP="009B1B4B">
      <w:pPr>
        <w:pStyle w:val="ListParagraph"/>
        <w:numPr>
          <w:ilvl w:val="0"/>
          <w:numId w:val="1"/>
        </w:numPr>
        <w:spacing w:after="60"/>
      </w:pPr>
      <w:r>
        <w:t>Viele Kinder werden gefahren oder fahren mit dem Schulbus; in Vororten ohne Gehwege ist der Fußweg oft keine Option.</w:t>
      </w:r>
    </w:p>
    <w:p w14:paraId="70A4EACD" w14:textId="77777777" w:rsidR="00C1548D" w:rsidRDefault="009B1B4B" w:rsidP="009B1B4B">
      <w:pPr>
        <w:pStyle w:val="ListParagraph"/>
        <w:numPr>
          <w:ilvl w:val="0"/>
          <w:numId w:val="1"/>
        </w:numPr>
        <w:spacing w:after="60"/>
      </w:pPr>
      <w:r>
        <w:t>Sport, Musik und Ferienprogramme werden saisonweise gebucht und bezahlt.</w:t>
      </w:r>
    </w:p>
    <w:p w14:paraId="70A4EACE" w14:textId="77777777" w:rsidR="00C1548D" w:rsidRDefault="009B1B4B" w:rsidP="009B1B4B">
      <w:pPr>
        <w:pStyle w:val="ListParagraph"/>
        <w:numPr>
          <w:ilvl w:val="0"/>
          <w:numId w:val="1"/>
        </w:numPr>
        <w:spacing w:after="60"/>
      </w:pPr>
      <w:r>
        <w:lastRenderedPageBreak/>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w14:paraId="70A4EACF" w14:textId="77777777" w:rsidR="00C1548D" w:rsidRDefault="00C1548D">
      <w:pPr>
        <w:spacing w:line="120" w:lineRule="exact"/>
      </w:pPr>
    </w:p>
    <w:p w14:paraId="70A4EAD0" w14:textId="77777777" w:rsidR="00C1548D" w:rsidRDefault="009B1B4B">
      <w:pPr>
        <w:spacing w:after="140"/>
      </w:pPr>
      <w:r>
        <w:t>Bei der Sicherheit unterscheiden sich vor allem vier Punkte:</w:t>
      </w:r>
    </w:p>
    <w:p w14:paraId="70A4EAD1" w14:textId="65A48B94" w:rsidR="00C1548D" w:rsidRDefault="009B1B4B" w:rsidP="009B1B4B">
      <w:pPr>
        <w:pStyle w:val="ListParagraph"/>
        <w:numPr>
          <w:ilvl w:val="0"/>
          <w:numId w:val="1"/>
        </w:numPr>
        <w:spacing w:after="60"/>
      </w:pPr>
      <w:r>
        <w:rPr>
          <w:b/>
          <w:bCs/>
        </w:rPr>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bis etwa 4 ft 9 in (ca. 1,45 m) Körpergröße und Kinder bis 12 Jahre möglichst auf der Rückbank. Deutsche ECE-Sitze erfüllen die US-Norm FMVSS 213 nicht; kaufe den Sitz vor Ort (Kapitel </w:t>
      </w:r>
      <w:hyperlink w:anchor="k21" w:history="1">
        <w:r>
          <w:t>21</w:t>
        </w:r>
      </w:hyperlink>
      <w:r>
        <w:t>).</w:t>
      </w:r>
    </w:p>
    <w:p w14:paraId="70A4EAD2" w14:textId="77777777" w:rsidR="00C1548D" w:rsidRDefault="009B1B4B" w:rsidP="009B1B4B">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w14:paraId="70A4EAD3" w14:textId="63FAF42F" w:rsidR="00C1548D" w:rsidRDefault="009B1B4B" w:rsidP="009B1B4B">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history="1">
        <w:r>
          <w:t>13</w:t>
        </w:r>
      </w:hyperlink>
      <w:r>
        <w:t>–</w:t>
      </w:r>
      <w:hyperlink w:anchor="k14" w:history="1">
        <w:r>
          <w:t>14</w:t>
        </w:r>
      </w:hyperlink>
      <w:r>
        <w:t>).</w:t>
      </w:r>
    </w:p>
    <w:p w14:paraId="70A4EAD4" w14:textId="77777777" w:rsidR="00C1548D" w:rsidRDefault="009B1B4B" w:rsidP="009B1B4B">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w14:paraId="70A4EAD5" w14:textId="77777777" w:rsidR="00C1548D" w:rsidRDefault="00C1548D">
      <w:pPr>
        <w:spacing w:line="120" w:lineRule="exact"/>
      </w:pPr>
    </w:p>
    <w:p w14:paraId="70A4EAD6" w14:textId="3A046CEF" w:rsidR="00C1548D" w:rsidRDefault="009B1B4B">
      <w:pPr>
        <w:spacing w:after="140"/>
      </w:pPr>
      <w:r>
        <w:t>Wie du das Thema Waffen im Haushalt bei Verabredungen ansprichst, steht in Kapitel </w:t>
      </w:r>
      <w:hyperlink w:anchor="k40" w:history="1">
        <w:r>
          <w:t>40</w:t>
        </w:r>
      </w:hyperlink>
      <w:r>
        <w:t>.</w:t>
      </w:r>
    </w:p>
    <w:p w14:paraId="70A4EAD7" w14:textId="77777777" w:rsidR="00C1548D" w:rsidRDefault="009B1B4B">
      <w:pPr>
        <w:pStyle w:val="Heading3"/>
        <w:keepNext/>
        <w:jc w:val="center"/>
      </w:pPr>
      <w:r>
        <w:rPr>
          <w:rFonts w:ascii="Amazon Ember" w:eastAsia="Amazon Ember" w:hAnsi="Amazon Ember" w:cs="Amazon Ember"/>
          <w:color w:val="0000FF"/>
          <w:sz w:val="36"/>
          <w:szCs w:val="36"/>
        </w:rPr>
        <w:lastRenderedPageBreak/>
        <w:t>Kinder allein lassen: Rechtslage und Kulturkonflikt</w:t>
      </w:r>
    </w:p>
    <w:p w14:paraId="70A4EAD8" w14:textId="77777777" w:rsidR="00C1548D" w:rsidRDefault="009B1B4B">
      <w:pPr>
        <w:spacing w:after="140"/>
      </w:pPr>
      <w:r>
        <w:t>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(Family Law § 5-801). Oregon wertet es als Vernachlässigung zweiten Grades, ein Kind unter 10 Jahren so allein zu lassen, dass seine Gesundheit gefährdet sein kann (ORS 163.545). Illinois nennt 14 </w:t>
      </w:r>
      <w:r>
        <w:t xml:space="preserve">Jahre als Richtwert, ohne gesetzliche Grenze. Dagegen haben 13 Staaten seit 2018 Gesetze zur </w:t>
      </w:r>
      <w:r>
        <w:rPr>
          <w:i/>
          <w:iCs/>
        </w:rPr>
        <w:t>Reasonable Childhood Independence</w:t>
      </w:r>
      <w:r>
        <w:t xml:space="preserve"> erlassen, die angemessene Selbständigkeit ausdrücklich nicht als Vernachlässigung werten, zuerst Utah, später u. a. Texas, Colorado, Virginia und Florida (Let Grow, Stand April 2026).</w:t>
      </w:r>
    </w:p>
    <w:p w14:paraId="70A4EAD9" w14:textId="77777777" w:rsidR="00C1548D" w:rsidRDefault="009B1B4B">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ADC"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ADA" w14:textId="77777777" w:rsidR="00C1548D" w:rsidRDefault="009B1B4B">
            <w:pPr>
              <w:keepNext/>
              <w:spacing w:after="70" w:line="240" w:lineRule="auto"/>
            </w:pPr>
            <w:r>
              <w:rPr>
                <w:b/>
                <w:bCs/>
                <w:color w:val="4A5568"/>
                <w:spacing w:val="24"/>
                <w:sz w:val="16"/>
                <w:szCs w:val="16"/>
              </w:rPr>
              <w:t>PRAXISBEISPIEL · FIKTIV</w:t>
            </w:r>
          </w:p>
          <w:p w14:paraId="70A4EADB" w14:textId="77777777" w:rsidR="00C1548D" w:rsidRDefault="009B1B4B">
            <w:pPr>
              <w:spacing w:after="80" w:line="264" w:lineRule="auto"/>
            </w:pPr>
            <w:r>
              <w:rPr>
                <w:sz w:val="20"/>
                <w:szCs w:val="20"/>
              </w:rPr>
              <w:t>Familie Brandt (fiktiv). Lena (9) ging in Stuttgart seit der ersten Klasse allein zur Schule. In ihrem Vorort bei Detroit fährt sie mit dem Schulbus; als sie an einem Samstag allein 500 Meter zu einer Klassenkameradin radelt, klingelt eine besorgte Nachbarin bei Anna. „Is everything okay? I saw her riding alone“ – freundlich, aber bestimmt. Anna, die mit H-4-Status nicht arbeiten darf, liest die Merkblätter von Staat und Schuldistrikt, bedankt sich für die Aufmerksamkeit und einigt sich mit Lena auf eine An</w:t>
            </w:r>
            <w:r>
              <w:rPr>
                <w:sz w:val="20"/>
                <w:szCs w:val="20"/>
              </w:rPr>
              <w:t>kunftsnachricht per Handy und eine feste Heimzeit. Jonas (5) bleibt vorerst nirgends allein.</w:t>
            </w:r>
          </w:p>
        </w:tc>
      </w:tr>
    </w:tbl>
    <w:p w14:paraId="70A4EADD"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AE0"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ADE" w14:textId="77777777" w:rsidR="00C1548D" w:rsidRDefault="009B1B4B">
            <w:pPr>
              <w:keepNext/>
              <w:spacing w:after="70" w:line="240" w:lineRule="auto"/>
            </w:pPr>
            <w:r>
              <w:rPr>
                <w:b/>
                <w:bCs/>
                <w:color w:val="8A6212"/>
                <w:spacing w:val="24"/>
                <w:sz w:val="16"/>
                <w:szCs w:val="16"/>
              </w:rPr>
              <w:lastRenderedPageBreak/>
              <w:t>MERKE</w:t>
            </w:r>
          </w:p>
          <w:p w14:paraId="70A4EADF" w14:textId="77777777" w:rsidR="00C1548D" w:rsidRDefault="009B1B4B">
            <w:pPr>
              <w:spacing w:after="80" w:line="264" w:lineRule="auto"/>
            </w:pPr>
            <w:r>
              <w:rPr>
                <w:sz w:val="20"/>
                <w:szCs w:val="20"/>
              </w:rPr>
              <w:t>Es gibt keine bundesweite Altersgrenze. Entscheidend sind Staat, Lebensjahr, Reife und Umstände. Wähle bis zum Kennenlernen der örtlichen Gepflogenheiten die vorsichtigere Variante und sprich mit Nachbarn und Schule.</w:t>
            </w:r>
          </w:p>
        </w:tc>
      </w:tr>
    </w:tbl>
    <w:p w14:paraId="70A4EAE1" w14:textId="77777777" w:rsidR="00C1548D" w:rsidRDefault="00C1548D">
      <w:pPr>
        <w:spacing w:line="220" w:lineRule="exact"/>
      </w:pPr>
    </w:p>
    <w:p w14:paraId="70A4EAE2" w14:textId="77777777" w:rsidR="00C1548D" w:rsidRDefault="009B1B4B">
      <w:pPr>
        <w:pStyle w:val="Heading3"/>
        <w:keepNext/>
        <w:jc w:val="center"/>
      </w:pPr>
      <w:r>
        <w:rPr>
          <w:rFonts w:ascii="Amazon Ember" w:eastAsia="Amazon Ember" w:hAnsi="Amazon Ember" w:cs="Amazon Ember"/>
          <w:color w:val="0000FF"/>
          <w:sz w:val="36"/>
          <w:szCs w:val="36"/>
        </w:rPr>
        <w:t>Teenager: Führerschein, Sport, Alkohol, Social Media</w:t>
      </w:r>
    </w:p>
    <w:p w14:paraId="70A4EAE3" w14:textId="0590AA1F" w:rsidR="00C1548D" w:rsidRDefault="009B1B4B">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xml:space="preserve">)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w:t>
      </w:r>
      <w:r>
        <w:t>ein Meilenstein, den es in dieser Form in Deutschland erst mit 18 gibt. Er verteuert aber die Familienpolice spürbar. Hole vor dem 16. Geburtstag ein Angebot ein (</w:t>
      </w:r>
      <w:r>
        <w:t>Kapitel </w:t>
      </w:r>
      <w:hyperlink w:anchor="k25" w:history="1">
        <w:r>
          <w:t>25</w:t>
        </w:r>
      </w:hyperlink>
      <w:r>
        <w:t xml:space="preserve"> und </w:t>
      </w:r>
      <w:hyperlink w:anchor="k27" w:history="1">
        <w:r>
          <w:t>27</w:t>
        </w:r>
      </w:hyperlink>
      <w:r>
        <w:t>).</w:t>
      </w:r>
    </w:p>
    <w:p w14:paraId="70A4EAE4" w14:textId="77777777" w:rsidR="00C1548D" w:rsidRDefault="009B1B4B">
      <w:pPr>
        <w:spacing w:after="140"/>
      </w:pPr>
      <w:r>
        <w:rPr>
          <w:b/>
          <w:bCs/>
        </w:rPr>
        <w:t>Sport.</w:t>
      </w:r>
      <w:r>
        <w:t xml:space="preserve"> Schulmannschaften (</w:t>
      </w:r>
      <w:r>
        <w:rPr>
          <w:i/>
          <w:iCs/>
        </w:rPr>
        <w:t>Varsity</w:t>
      </w:r>
      <w:r>
        <w:t xml:space="preserve"> und </w:t>
      </w:r>
      <w:r>
        <w:rPr>
          <w:i/>
          <w:iCs/>
        </w:rPr>
        <w:t>Junior Varsity</w:t>
      </w:r>
      <w:r>
        <w:t xml:space="preserve">) prägen das Schulleben. Die Aufnahme läuft meist über </w:t>
      </w:r>
      <w:r>
        <w:rPr>
          <w:i/>
          <w:iCs/>
        </w:rPr>
        <w:t>Tryouts</w:t>
      </w:r>
      <w:r>
        <w:t xml:space="preserve"> vor der Saison, dazu kommen oft eine Sporttauglichkeitsuntersuchung (</w:t>
      </w:r>
      <w:r>
        <w:rPr>
          <w:i/>
          <w:iCs/>
        </w:rPr>
        <w:t>Sports Physical</w:t>
      </w:r>
      <w:r>
        <w:t>) und in manchen Distrikten eine Teilnahmegebühr. Frage bei der Ankunft nach den Terminen, damit die Saison nicht ohne dein Kind beginnt.</w:t>
      </w:r>
    </w:p>
    <w:p w14:paraId="70A4EAE5" w14:textId="77777777" w:rsidR="00C1548D" w:rsidRDefault="009B1B4B">
      <w:pPr>
        <w:spacing w:after="140"/>
      </w:pPr>
      <w:r>
        <w:rPr>
          <w:b/>
          <w:bCs/>
        </w:rPr>
        <w:t>Alkohol ab 21.</w:t>
      </w:r>
      <w:r>
        <w:t xml:space="preserve"> Bier und Wein mit 16 sind in Deutschland erlaubt, in den USA gilt bundesweit die Grenze 21.</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AE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AE6" w14:textId="77777777" w:rsidR="00C1548D" w:rsidRDefault="009B1B4B">
            <w:pPr>
              <w:keepNext/>
              <w:spacing w:after="70" w:line="240" w:lineRule="auto"/>
            </w:pPr>
            <w:r>
              <w:rPr>
                <w:b/>
                <w:bCs/>
                <w:color w:val="9B2C2C"/>
                <w:spacing w:val="24"/>
                <w:sz w:val="16"/>
                <w:szCs w:val="16"/>
              </w:rPr>
              <w:lastRenderedPageBreak/>
              <w:t>ACHTUNG</w:t>
            </w:r>
          </w:p>
          <w:p w14:paraId="70A4EAE7" w14:textId="07FEFAEB" w:rsidR="00C1548D" w:rsidRDefault="009B1B4B">
            <w:pPr>
              <w:spacing w:after="80" w:line="264" w:lineRule="auto"/>
            </w:pPr>
            <w:r>
              <w:rPr>
                <w:sz w:val="20"/>
                <w:szCs w:val="20"/>
              </w:rPr>
              <w:t>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(Kapitel </w:t>
            </w:r>
            <w:hyperlink w:anchor="k40" w:history="1">
              <w:r>
                <w:rPr>
                  <w:sz w:val="20"/>
                  <w:szCs w:val="20"/>
                </w:rPr>
                <w:t>40</w:t>
              </w:r>
            </w:hyperlink>
            <w:r>
              <w:rPr>
                <w:sz w:val="20"/>
                <w:szCs w:val="20"/>
              </w:rPr>
              <w:t>).</w:t>
            </w:r>
          </w:p>
        </w:tc>
      </w:tr>
    </w:tbl>
    <w:p w14:paraId="70A4EAE9" w14:textId="77777777" w:rsidR="00C1548D" w:rsidRDefault="00C1548D">
      <w:pPr>
        <w:spacing w:line="220" w:lineRule="exact"/>
      </w:pPr>
    </w:p>
    <w:p w14:paraId="70A4EAEA" w14:textId="77777777" w:rsidR="00C1548D" w:rsidRDefault="009B1B4B">
      <w:pPr>
        <w:spacing w:after="140"/>
      </w:pPr>
      <w:r>
        <w:rPr>
          <w:b/>
          <w:bCs/>
        </w:rPr>
        <w:t>Social Media und Smartphones.</w:t>
      </w:r>
      <w:r>
        <w:t xml:space="preserve"> Das Bundesgesetz COPPA verlangt für die Datenerhebung bei Kindern unter 13 Jahren die Einwilligung der Eltern; deshalb setzen die großen Netzwerke die Mindestgrenze bei 13. Darüber hinaus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w:t>
      </w:r>
      <w:r>
        <w:t>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w14:paraId="70A4EAEB" w14:textId="77777777" w:rsidR="00C1548D" w:rsidRDefault="009B1B4B">
      <w:pPr>
        <w:pStyle w:val="Heading3"/>
        <w:keepNext/>
        <w:jc w:val="center"/>
      </w:pPr>
      <w:r>
        <w:rPr>
          <w:rFonts w:ascii="Amazon Ember" w:eastAsia="Amazon Ember" w:hAnsi="Amazon Ember" w:cs="Amazon Ember"/>
          <w:color w:val="0000FF"/>
          <w:sz w:val="36"/>
          <w:szCs w:val="36"/>
        </w:rPr>
        <w:t>Klassen 10 bis 12: der schwierige Einstieg</w:t>
      </w:r>
    </w:p>
    <w:p w14:paraId="70A4EAEC" w14:textId="52FBEA24" w:rsidR="00C1548D" w:rsidRDefault="009B1B4B">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Welche Zeugnisse werden angerechnet, welche Kurse fehlen, welche Tests stehen an? Zur Sprachförderung siehe Kapitel </w:t>
      </w:r>
      <w:hyperlink w:anchor="k37" w:history="1">
        <w:r>
          <w:t>37</w:t>
        </w:r>
      </w:hyperlink>
      <w:r>
        <w:t xml:space="preserve">. Bleibt die Familie nur wenige Jahre, kann eine Deutsche Auslandsschule die </w:t>
      </w:r>
      <w:r>
        <w:lastRenderedPageBreak/>
        <w:t>Alternative sein (2026/27 grob 27.000–36.000 $ im Jahr, Abschluss DIA plus US-Diploma; Kapitel </w:t>
      </w:r>
      <w:hyperlink w:anchor="k36" w:history="1">
        <w:r>
          <w:t>36</w:t>
        </w:r>
      </w:hyperlink>
      <w:r>
        <w:t>).</w:t>
      </w:r>
    </w:p>
    <w:p w14:paraId="70A4EAED" w14:textId="77777777" w:rsidR="00C1548D" w:rsidRDefault="009B1B4B">
      <w:pPr>
        <w:pStyle w:val="Heading3"/>
        <w:keepNext/>
        <w:jc w:val="center"/>
      </w:pPr>
      <w:r>
        <w:rPr>
          <w:rFonts w:ascii="Amazon Ember" w:eastAsia="Amazon Ember" w:hAnsi="Amazon Ember" w:cs="Amazon Ember"/>
          <w:color w:val="0000FF"/>
          <w:sz w:val="36"/>
          <w:szCs w:val="36"/>
        </w:rPr>
        <w:t>College-Vorbereitung</w:t>
      </w:r>
    </w:p>
    <w:p w14:paraId="70A4EAEE" w14:textId="77777777" w:rsidR="00C1548D" w:rsidRDefault="009B1B4B">
      <w:pPr>
        <w:spacing w:after="140"/>
      </w:pPr>
      <w:r>
        <w:rPr>
          <w:b/>
          <w:bCs/>
        </w:rPr>
        <w:t>Zeitplan.</w:t>
      </w:r>
      <w:r>
        <w:t xml:space="preserve"> Die Noten zählen ab Klasse 9. In Klasse 10 und 11 folgen die Tests, in Klasse 12 die Bewerbung, meist über die </w:t>
      </w:r>
      <w:r>
        <w:rPr>
          <w:i/>
          <w:iCs/>
        </w:rPr>
        <w:t>Common App</w:t>
      </w:r>
      <w:r>
        <w:t xml:space="preserve"> mit Fristen zum 1. November (frühe Bewerbung) und im Januar (reguläre Bewerbung), je nach Hochschule. Der digitale </w:t>
      </w:r>
      <w:r>
        <w:rPr>
          <w:i/>
          <w:iCs/>
        </w:rPr>
        <w:t>SAT</w:t>
      </w:r>
      <w:r>
        <w:t xml:space="preserve"> (400–1.600 Punkte, rund 2 Std. 14 Min., zuletzt 68 $) und der </w:t>
      </w:r>
      <w:r>
        <w:rPr>
          <w:i/>
          <w:iCs/>
        </w:rPr>
        <w:t>ACT</w:t>
      </w:r>
      <w:r>
        <w:t xml:space="preserve">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w14:paraId="70A4EAEF" w14:textId="77777777" w:rsidR="00C1548D" w:rsidRDefault="009B1B4B">
      <w:pPr>
        <w:spacing w:after="140"/>
      </w:pPr>
      <w:r>
        <w:rPr>
          <w:b/>
          <w:bCs/>
        </w:rPr>
        <w:t>Kosten.</w:t>
      </w:r>
      <w:r>
        <w:t xml:space="preserve"> Die Tabelle zeigt die Listenpreise (</w:t>
      </w:r>
      <w:r>
        <w:rPr>
          <w:i/>
          <w:iCs/>
        </w:rPr>
        <w:t>Sticker Price</w:t>
      </w:r>
      <w:r>
        <w:t>) des Studienjahrs 2025–26 (College Board):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99"/>
        <w:gridCol w:w="950"/>
        <w:gridCol w:w="1208"/>
        <w:gridCol w:w="1023"/>
      </w:tblGrid>
      <w:tr w:rsidR="00C1548D" w14:paraId="70A4EAF4" w14:textId="77777777">
        <w:tblPrEx>
          <w:tblCellMar>
            <w:top w:w="0" w:type="dxa"/>
            <w:bottom w:w="0" w:type="dxa"/>
          </w:tblCellMar>
        </w:tblPrEx>
        <w:trPr>
          <w:cantSplit/>
          <w:tblHeader/>
        </w:trPr>
        <w:tc>
          <w:tcPr>
            <w:tcW w:w="329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F0" w14:textId="77777777" w:rsidR="00C1548D" w:rsidRDefault="009B1B4B">
            <w:pPr>
              <w:spacing w:line="250" w:lineRule="auto"/>
            </w:pPr>
            <w:r>
              <w:rPr>
                <w:b/>
                <w:bCs/>
                <w:sz w:val="18"/>
                <w:szCs w:val="18"/>
              </w:rPr>
              <w:t>Hochschultyp</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F1" w14:textId="77777777" w:rsidR="00C1548D" w:rsidRDefault="009B1B4B">
            <w:pPr>
              <w:spacing w:line="250" w:lineRule="auto"/>
            </w:pPr>
            <w:r>
              <w:rPr>
                <w:b/>
                <w:bCs/>
                <w:sz w:val="18"/>
                <w:szCs w:val="18"/>
              </w:rPr>
              <w:t>Gebühren</w:t>
            </w:r>
          </w:p>
        </w:tc>
        <w:tc>
          <w:tcPr>
            <w:tcW w:w="120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F2" w14:textId="77777777" w:rsidR="00C1548D" w:rsidRDefault="009B1B4B">
            <w:pPr>
              <w:spacing w:line="250" w:lineRule="auto"/>
            </w:pPr>
            <w:r>
              <w:rPr>
                <w:b/>
                <w:bCs/>
                <w:sz w:val="18"/>
                <w:szCs w:val="18"/>
              </w:rPr>
              <w:t>Wohnen und Essen</w:t>
            </w:r>
          </w:p>
        </w:tc>
        <w:tc>
          <w:tcPr>
            <w:tcW w:w="102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AF3" w14:textId="77777777" w:rsidR="00C1548D" w:rsidRDefault="009B1B4B">
            <w:pPr>
              <w:spacing w:line="250" w:lineRule="auto"/>
            </w:pPr>
            <w:r>
              <w:rPr>
                <w:b/>
                <w:bCs/>
                <w:sz w:val="18"/>
                <w:szCs w:val="18"/>
              </w:rPr>
              <w:t>Gesamtbudget</w:t>
            </w:r>
          </w:p>
        </w:tc>
      </w:tr>
      <w:tr w:rsidR="00C1548D" w14:paraId="70A4EAF9" w14:textId="77777777">
        <w:tblPrEx>
          <w:tblCellMar>
            <w:top w:w="0" w:type="dxa"/>
            <w:bottom w:w="0" w:type="dxa"/>
          </w:tblCellMar>
        </w:tblPrEx>
        <w:trPr>
          <w:cantSplit/>
        </w:trPr>
        <w:tc>
          <w:tcPr>
            <w:tcW w:w="3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F5" w14:textId="77777777" w:rsidR="00C1548D" w:rsidRDefault="009B1B4B">
            <w:pPr>
              <w:spacing w:line="250" w:lineRule="auto"/>
            </w:pPr>
            <w:r>
              <w:rPr>
                <w:sz w:val="18"/>
                <w:szCs w:val="18"/>
              </w:rPr>
              <w:t>Community College (Bezirk, Pendler)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F6" w14:textId="77777777" w:rsidR="00C1548D" w:rsidRDefault="009B1B4B">
            <w:pPr>
              <w:spacing w:line="250" w:lineRule="auto"/>
            </w:pPr>
            <w:r>
              <w:rPr>
                <w:sz w:val="18"/>
                <w:szCs w:val="18"/>
              </w:rPr>
              <w:t>4.150 $</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F7" w14:textId="77777777" w:rsidR="00C1548D" w:rsidRDefault="009B1B4B">
            <w:pPr>
              <w:spacing w:line="250" w:lineRule="auto"/>
            </w:pPr>
            <w:r>
              <w:rPr>
                <w:sz w:val="18"/>
                <w:szCs w:val="18"/>
              </w:rPr>
              <w:t>10.850 $</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F8" w14:textId="77777777" w:rsidR="00C1548D" w:rsidRDefault="009B1B4B">
            <w:pPr>
              <w:spacing w:line="250" w:lineRule="auto"/>
            </w:pPr>
            <w:r>
              <w:rPr>
                <w:sz w:val="18"/>
                <w:szCs w:val="18"/>
              </w:rPr>
              <w:t>21.320 $</w:t>
            </w:r>
          </w:p>
        </w:tc>
      </w:tr>
      <w:tr w:rsidR="00C1548D" w14:paraId="70A4EAFE" w14:textId="77777777">
        <w:tblPrEx>
          <w:tblCellMar>
            <w:top w:w="0" w:type="dxa"/>
            <w:bottom w:w="0" w:type="dxa"/>
          </w:tblCellMar>
        </w:tblPrEx>
        <w:trPr>
          <w:cantSplit/>
        </w:trPr>
        <w:tc>
          <w:tcPr>
            <w:tcW w:w="3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FA" w14:textId="77777777" w:rsidR="00C1548D" w:rsidRDefault="009B1B4B">
            <w:pPr>
              <w:spacing w:line="250" w:lineRule="auto"/>
            </w:pPr>
            <w:r>
              <w:rPr>
                <w:sz w:val="18"/>
                <w:szCs w:val="18"/>
              </w:rPr>
              <w:t>Staatliche Hochschule, Landeskind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FB" w14:textId="77777777" w:rsidR="00C1548D" w:rsidRDefault="009B1B4B">
            <w:pPr>
              <w:spacing w:line="250" w:lineRule="auto"/>
            </w:pPr>
            <w:r>
              <w:rPr>
                <w:sz w:val="18"/>
                <w:szCs w:val="18"/>
              </w:rPr>
              <w:t>11.950 $</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FC" w14:textId="77777777" w:rsidR="00C1548D" w:rsidRDefault="009B1B4B">
            <w:pPr>
              <w:spacing w:line="250" w:lineRule="auto"/>
            </w:pPr>
            <w:r>
              <w:rPr>
                <w:sz w:val="18"/>
                <w:szCs w:val="18"/>
              </w:rPr>
              <w:t>13.900 $</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FD" w14:textId="77777777" w:rsidR="00C1548D" w:rsidRDefault="009B1B4B">
            <w:pPr>
              <w:spacing w:line="250" w:lineRule="auto"/>
            </w:pPr>
            <w:r>
              <w:rPr>
                <w:sz w:val="18"/>
                <w:szCs w:val="18"/>
              </w:rPr>
              <w:t>30.990 $</w:t>
            </w:r>
          </w:p>
        </w:tc>
      </w:tr>
      <w:tr w:rsidR="00C1548D" w14:paraId="70A4EB03" w14:textId="77777777">
        <w:tblPrEx>
          <w:tblCellMar>
            <w:top w:w="0" w:type="dxa"/>
            <w:bottom w:w="0" w:type="dxa"/>
          </w:tblCellMar>
        </w:tblPrEx>
        <w:trPr>
          <w:cantSplit/>
        </w:trPr>
        <w:tc>
          <w:tcPr>
            <w:tcW w:w="3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AFF" w14:textId="77777777" w:rsidR="00C1548D" w:rsidRDefault="009B1B4B">
            <w:pPr>
              <w:spacing w:line="250" w:lineRule="auto"/>
            </w:pPr>
            <w:r>
              <w:rPr>
                <w:sz w:val="18"/>
                <w:szCs w:val="18"/>
              </w:rPr>
              <w:t>Staatliche Hochschule, von außerhalb</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00" w14:textId="77777777" w:rsidR="00C1548D" w:rsidRDefault="009B1B4B">
            <w:pPr>
              <w:spacing w:line="250" w:lineRule="auto"/>
            </w:pPr>
            <w:r>
              <w:rPr>
                <w:sz w:val="18"/>
                <w:szCs w:val="18"/>
              </w:rPr>
              <w:t>31.880 $</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01" w14:textId="77777777" w:rsidR="00C1548D" w:rsidRDefault="009B1B4B">
            <w:pPr>
              <w:spacing w:line="250" w:lineRule="auto"/>
            </w:pPr>
            <w:r>
              <w:rPr>
                <w:sz w:val="18"/>
                <w:szCs w:val="18"/>
              </w:rPr>
              <w:t>13.900 $</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02" w14:textId="77777777" w:rsidR="00C1548D" w:rsidRDefault="009B1B4B">
            <w:pPr>
              <w:spacing w:line="250" w:lineRule="auto"/>
            </w:pPr>
            <w:r>
              <w:rPr>
                <w:sz w:val="18"/>
                <w:szCs w:val="18"/>
              </w:rPr>
              <w:t>50.920 $</w:t>
            </w:r>
          </w:p>
        </w:tc>
      </w:tr>
      <w:tr w:rsidR="00C1548D" w14:paraId="70A4EB08" w14:textId="77777777">
        <w:tblPrEx>
          <w:tblCellMar>
            <w:top w:w="0" w:type="dxa"/>
            <w:bottom w:w="0" w:type="dxa"/>
          </w:tblCellMar>
        </w:tblPrEx>
        <w:trPr>
          <w:cantSplit/>
        </w:trPr>
        <w:tc>
          <w:tcPr>
            <w:tcW w:w="32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04" w14:textId="77777777" w:rsidR="00C1548D" w:rsidRDefault="009B1B4B">
            <w:pPr>
              <w:spacing w:line="250" w:lineRule="auto"/>
            </w:pPr>
            <w:r>
              <w:rPr>
                <w:sz w:val="18"/>
                <w:szCs w:val="18"/>
              </w:rPr>
              <w:t>Private gemeinnützige Hochschule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05" w14:textId="77777777" w:rsidR="00C1548D" w:rsidRDefault="009B1B4B">
            <w:pPr>
              <w:spacing w:line="250" w:lineRule="auto"/>
            </w:pPr>
            <w:r>
              <w:rPr>
                <w:sz w:val="18"/>
                <w:szCs w:val="18"/>
              </w:rPr>
              <w:t>45.000 $</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06" w14:textId="77777777" w:rsidR="00C1548D" w:rsidRDefault="009B1B4B">
            <w:pPr>
              <w:spacing w:line="250" w:lineRule="auto"/>
            </w:pPr>
            <w:r>
              <w:rPr>
                <w:sz w:val="18"/>
                <w:szCs w:val="18"/>
              </w:rPr>
              <w:t>15.920 $</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07" w14:textId="77777777" w:rsidR="00C1548D" w:rsidRDefault="009B1B4B">
            <w:pPr>
              <w:spacing w:line="250" w:lineRule="auto"/>
            </w:pPr>
            <w:r>
              <w:rPr>
                <w:sz w:val="18"/>
                <w:szCs w:val="18"/>
              </w:rPr>
              <w:t>65.470 $</w:t>
            </w:r>
          </w:p>
        </w:tc>
      </w:tr>
    </w:tbl>
    <w:p w14:paraId="70A4EB09" w14:textId="77777777" w:rsidR="00C1548D" w:rsidRDefault="00C1548D">
      <w:pPr>
        <w:spacing w:line="180" w:lineRule="exact"/>
      </w:pPr>
    </w:p>
    <w:p w14:paraId="70A4EB0A" w14:textId="77777777" w:rsidR="00C1548D" w:rsidRDefault="009B1B4B">
      <w:pPr>
        <w:spacing w:after="140"/>
      </w:pPr>
      <w:r>
        <w:t>Nach Stipendien liegt der tatsächliche Preis (</w:t>
      </w:r>
      <w:r>
        <w:rPr>
          <w:i/>
          <w:iCs/>
        </w:rPr>
        <w:t>Net Price</w:t>
      </w:r>
      <w:r>
        <w:t>) niedriger. Die Gebühren staatlicher Hochschulen für Landeskinder reichen von 6.360 $ in Florida bis 18.090 $ in Vermont. An deutschen staatlichen Hochschulen zahlst du meist nur einen Semesterbeitrag im dreistelligen Euro-Bereich.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0D"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B0B" w14:textId="77777777" w:rsidR="00C1548D" w:rsidRDefault="009B1B4B">
            <w:pPr>
              <w:keepNext/>
              <w:spacing w:after="70" w:line="240" w:lineRule="auto"/>
            </w:pPr>
            <w:r>
              <w:rPr>
                <w:b/>
                <w:bCs/>
                <w:color w:val="2F6B3B"/>
                <w:spacing w:val="24"/>
                <w:sz w:val="16"/>
                <w:szCs w:val="16"/>
              </w:rPr>
              <w:lastRenderedPageBreak/>
              <w:t>SPARTIPP</w:t>
            </w:r>
          </w:p>
          <w:p w14:paraId="70A4EB0C" w14:textId="77777777" w:rsidR="00C1548D" w:rsidRDefault="009B1B4B">
            <w:pPr>
              <w:spacing w:after="80" w:line="264" w:lineRule="auto"/>
            </w:pPr>
            <w:r>
              <w:rPr>
                <w:sz w:val="20"/>
                <w:szCs w:val="20"/>
              </w:rPr>
              <w:t>Zwei Jahre am Community College und danach der Wechsel an eine vierjährige Hochschule (Transfer) können viel sparen. Der günstige Preis gilt nur mit Wohnsitz im Bezirk, und ob Kurse angerechnet werden, klärst du vorher mit der Zielhochschule.</w:t>
            </w:r>
          </w:p>
        </w:tc>
      </w:tr>
    </w:tbl>
    <w:p w14:paraId="70A4EB0E" w14:textId="77777777" w:rsidR="00C1548D" w:rsidRDefault="00C1548D">
      <w:pPr>
        <w:spacing w:line="220" w:lineRule="exact"/>
      </w:pPr>
    </w:p>
    <w:p w14:paraId="70A4EB0F" w14:textId="77777777" w:rsidR="00C1548D" w:rsidRDefault="009B1B4B">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1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B10" w14:textId="77777777" w:rsidR="00C1548D" w:rsidRDefault="009B1B4B">
            <w:pPr>
              <w:keepNext/>
              <w:spacing w:after="70" w:line="240" w:lineRule="auto"/>
            </w:pPr>
            <w:r>
              <w:rPr>
                <w:b/>
                <w:bCs/>
                <w:color w:val="9B2C2C"/>
                <w:spacing w:val="24"/>
                <w:sz w:val="16"/>
                <w:szCs w:val="16"/>
              </w:rPr>
              <w:t>ACHTUNG</w:t>
            </w:r>
          </w:p>
          <w:p w14:paraId="70A4EB11" w14:textId="77777777" w:rsidR="00C1548D" w:rsidRDefault="009B1B4B">
            <w:pPr>
              <w:spacing w:after="80" w:line="264" w:lineRule="auto"/>
            </w:pPr>
            <w:r>
              <w:rPr>
                <w:sz w:val="20"/>
                <w:szCs w:val="20"/>
              </w:rPr>
              <w:t xml:space="preserve">Je nach Hochschule gelten Kinder mit temporärem Visum als </w:t>
            </w:r>
            <w:r>
              <w:rPr>
                <w:i/>
                <w:iCs/>
                <w:sz w:val="20"/>
                <w:szCs w:val="20"/>
              </w:rPr>
              <w:t>International Applicants</w:t>
            </w:r>
            <w:r>
              <w:rPr>
                <w:sz w:val="20"/>
                <w:szCs w:val="20"/>
              </w:rPr>
              <w:t xml:space="preserve">. Das betrifft Preisklasse, Fristen und Stipendienchancen. Nur eine erteilte Green Card ändert das, nicht der laufende Antrag. Kläre Tuition-Klasse und Berechtigung schriftlich beim </w:t>
            </w:r>
            <w:r>
              <w:rPr>
                <w:i/>
                <w:iCs/>
                <w:sz w:val="20"/>
                <w:szCs w:val="20"/>
              </w:rPr>
              <w:t>Registrar</w:t>
            </w:r>
            <w:r>
              <w:rPr>
                <w:sz w:val="20"/>
                <w:szCs w:val="20"/>
              </w:rPr>
              <w:t xml:space="preserve"> (Studienverwaltung), bevor du dich festlegst.</w:t>
            </w:r>
          </w:p>
        </w:tc>
      </w:tr>
    </w:tbl>
    <w:p w14:paraId="70A4EB13" w14:textId="77777777" w:rsidR="00C1548D" w:rsidRDefault="00C1548D">
      <w:pPr>
        <w:spacing w:line="220" w:lineRule="exact"/>
      </w:pPr>
    </w:p>
    <w:p w14:paraId="70A4EB14" w14:textId="62A4E59B" w:rsidR="00C1548D" w:rsidRDefault="009B1B4B">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w:t>
      </w:r>
      <w:r>
        <w:lastRenderedPageBreak/>
        <w:t>Auslandsschulen gilt wie das Abitur. Wer eine Rückkehr offenhält, plant das früh (Kapitel </w:t>
      </w:r>
      <w:hyperlink w:anchor="k42" w:history="1">
        <w:r>
          <w:t>42</w:t>
        </w:r>
      </w:hyperlink>
      <w:r>
        <w:t>).</w:t>
      </w:r>
    </w:p>
    <w:p w14:paraId="70A4EB15" w14:textId="77777777" w:rsidR="00C1548D" w:rsidRDefault="009B1B4B">
      <w:pPr>
        <w:pStyle w:val="Heading3"/>
        <w:keepNext/>
        <w:jc w:val="center"/>
      </w:pPr>
      <w:r>
        <w:rPr>
          <w:rFonts w:ascii="Amazon Ember" w:eastAsia="Amazon Ember" w:hAnsi="Amazon Ember" w:cs="Amazon Ember"/>
          <w:color w:val="0000FF"/>
          <w:sz w:val="36"/>
          <w:szCs w:val="36"/>
        </w:rPr>
        <w:t>Mit 21 endet die Kinderrolle im Einwanderungsrecht</w:t>
      </w:r>
    </w:p>
    <w:p w14:paraId="70A4EB16" w14:textId="4197BB05" w:rsidR="00C1548D" w:rsidRDefault="009B1B4B">
      <w:pPr>
        <w:spacing w:after="140"/>
      </w:pPr>
      <w: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history="1">
        <w:r>
          <w:t>8</w:t>
        </w:r>
      </w:hyperlink>
      <w:r>
        <w:t xml:space="preserve">). Läuft ein Green-Card-Verfahren der Eltern, kann der </w:t>
      </w:r>
      <w:r>
        <w:rPr>
          <w:i/>
          <w:iCs/>
        </w:rPr>
        <w:t>Child Status Protection Act</w:t>
      </w:r>
      <w:r>
        <w:t xml:space="preserve"> das Kindesalter unter Umständen einfrieren (Kapitel </w:t>
      </w:r>
      <w:hyperlink w:anchor="k10" w:history="1">
        <w:r>
          <w:t>10</w:t>
        </w:r>
      </w:hyperlink>
      <w:r>
        <w:t xml:space="preserve"> und </w:t>
      </w:r>
      <w:hyperlink w:anchor="k6" w:history="1">
        <w:r>
          <w:t>6</w:t>
        </w:r>
      </w:hyperlink>
      <w:r>
        <w:t>). Beginne die Planung spätestens mit 18.</w:t>
      </w:r>
    </w:p>
    <w:p w14:paraId="70A4EB17"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B1A"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B18"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B19" w14:textId="77777777" w:rsidR="00C1548D" w:rsidRDefault="009B1B4B">
            <w:pPr>
              <w:spacing w:line="250" w:lineRule="auto"/>
            </w:pPr>
            <w:r>
              <w:rPr>
                <w:b/>
                <w:bCs/>
                <w:sz w:val="18"/>
                <w:szCs w:val="18"/>
              </w:rPr>
              <w:t>Minus</w:t>
            </w:r>
          </w:p>
        </w:tc>
      </w:tr>
      <w:tr w:rsidR="00C1548D" w14:paraId="70A4EB1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1B" w14:textId="77777777" w:rsidR="00C1548D" w:rsidRDefault="009B1B4B">
            <w:pPr>
              <w:spacing w:line="250" w:lineRule="auto"/>
            </w:pPr>
            <w:r>
              <w:rPr>
                <w:sz w:val="18"/>
                <w:szCs w:val="18"/>
              </w:rPr>
              <w:t>In den USA geborene Kinder erhalten mit US-Pass und deutschem Pass zwei Staatsangehörigkeiten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1C" w14:textId="77777777" w:rsidR="00C1548D" w:rsidRDefault="009B1B4B">
            <w:pPr>
              <w:spacing w:line="250" w:lineRule="auto"/>
            </w:pPr>
            <w:r>
              <w:rPr>
                <w:sz w:val="18"/>
                <w:szCs w:val="18"/>
              </w:rPr>
              <w:t>Geburt: Eigenanteil im Schnitt 2.743 $, Gesamtrechnung über 20.000 $</w:t>
            </w:r>
          </w:p>
        </w:tc>
      </w:tr>
      <w:tr w:rsidR="00C1548D" w14:paraId="70A4EB2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1E" w14:textId="77777777" w:rsidR="00C1548D" w:rsidRDefault="009B1B4B">
            <w:pPr>
              <w:spacing w:line="250" w:lineRule="auto"/>
            </w:pPr>
            <w:r>
              <w:rPr>
                <w:sz w:val="18"/>
                <w:szCs w:val="18"/>
              </w:rPr>
              <w:t>Bezahlter Familienurlaub in zwölf Staaten und DC</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1F" w14:textId="77777777" w:rsidR="00C1548D" w:rsidRDefault="009B1B4B">
            <w:pPr>
              <w:spacing w:line="250" w:lineRule="auto"/>
            </w:pPr>
            <w:r>
              <w:rPr>
                <w:sz w:val="18"/>
                <w:szCs w:val="18"/>
              </w:rPr>
              <w:t>Bundesweit nur zwölf unbezahlte Wochen, erst nach zwölf Monaten im Betrieb</w:t>
            </w:r>
          </w:p>
        </w:tc>
      </w:tr>
      <w:tr w:rsidR="00C1548D" w14:paraId="70A4EB2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21" w14:textId="77777777" w:rsidR="00C1548D" w:rsidRDefault="009B1B4B">
            <w:pPr>
              <w:spacing w:line="250" w:lineRule="auto"/>
            </w:pPr>
            <w:r>
              <w:rPr>
                <w:sz w:val="18"/>
                <w:szCs w:val="18"/>
              </w:rPr>
              <w:t>Führerschein mit 16 bringt früh Selbständigkeit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22" w14:textId="77777777" w:rsidR="00C1548D" w:rsidRDefault="009B1B4B">
            <w:pPr>
              <w:spacing w:line="250" w:lineRule="auto"/>
            </w:pPr>
            <w:r>
              <w:rPr>
                <w:sz w:val="18"/>
                <w:szCs w:val="18"/>
              </w:rPr>
              <w:t>Betreuung im Schnitt 13.184 $ im Jahr, Wartelisten</w:t>
            </w:r>
          </w:p>
        </w:tc>
      </w:tr>
      <w:tr w:rsidR="00C1548D" w14:paraId="70A4EB2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24" w14:textId="77777777" w:rsidR="00C1548D" w:rsidRDefault="009B1B4B">
            <w:pPr>
              <w:spacing w:line="250" w:lineRule="auto"/>
            </w:pPr>
            <w:r>
              <w:rPr>
                <w:sz w:val="18"/>
                <w:szCs w:val="18"/>
              </w:rPr>
              <w:t>Vielfältiges Sportangebot an den Schulen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25" w14:textId="77777777" w:rsidR="00C1548D" w:rsidRDefault="009B1B4B">
            <w:pPr>
              <w:spacing w:line="250" w:lineRule="auto"/>
            </w:pPr>
            <w:r>
              <w:rPr>
                <w:sz w:val="18"/>
                <w:szCs w:val="18"/>
              </w:rPr>
              <w:t>Au-pair für Visa-Familien ausgeschlossen</w:t>
            </w:r>
          </w:p>
        </w:tc>
      </w:tr>
      <w:tr w:rsidR="00C1548D" w14:paraId="70A4EB2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27" w14:textId="77777777" w:rsidR="00C1548D" w:rsidRDefault="009B1B4B">
            <w:pPr>
              <w:spacing w:line="250" w:lineRule="auto"/>
            </w:pPr>
            <w:r>
              <w:rPr>
                <w:sz w:val="18"/>
                <w:szCs w:val="18"/>
              </w:rPr>
              <w:t>Community College als günstiger Einstieg ins Studium</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28" w14:textId="77777777" w:rsidR="00C1548D" w:rsidRDefault="009B1B4B">
            <w:pPr>
              <w:spacing w:line="250" w:lineRule="auto"/>
            </w:pPr>
            <w:r>
              <w:rPr>
                <w:sz w:val="18"/>
                <w:szCs w:val="18"/>
              </w:rPr>
              <w:t>Unklare Rechtslage, wenn Kinder allein bleiben; Meldungen durch Nachbarn möglich</w:t>
            </w:r>
          </w:p>
        </w:tc>
      </w:tr>
      <w:tr w:rsidR="00C1548D" w14:paraId="70A4EB2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2A" w14:textId="77777777" w:rsidR="00C1548D" w:rsidRDefault="009B1B4B">
            <w:pPr>
              <w:spacing w:line="250" w:lineRule="auto"/>
            </w:pPr>
            <w:r>
              <w:rPr>
                <w:sz w:val="18"/>
                <w:szCs w:val="18"/>
              </w:rPr>
              <w:t>Kinder lernen Englisch früh und meist rasch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2B" w14:textId="77777777" w:rsidR="00C1548D" w:rsidRDefault="009B1B4B">
            <w:pPr>
              <w:spacing w:line="250" w:lineRule="auto"/>
            </w:pPr>
            <w:r>
              <w:rPr>
                <w:sz w:val="18"/>
                <w:szCs w:val="18"/>
              </w:rPr>
              <w:t>College 31.000–65.000 $ im Jahr, keine Bundeshilfe mit H-4</w:t>
            </w:r>
          </w:p>
        </w:tc>
      </w:tr>
      <w:tr w:rsidR="00C1548D" w14:paraId="70A4EB2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2D" w14:textId="77777777" w:rsidR="00C1548D" w:rsidRDefault="009B1B4B">
            <w:pPr>
              <w:spacing w:line="250" w:lineRule="auto"/>
            </w:pPr>
            <w:r>
              <w:rPr>
                <w:sz w:val="18"/>
                <w:szCs w:val="18"/>
              </w:rPr>
              <w:t>Kinder mit deutschem Pass können in Deutschland ohne Visum studieren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2E" w14:textId="77777777" w:rsidR="00C1548D" w:rsidRDefault="009B1B4B">
            <w:pPr>
              <w:spacing w:line="250" w:lineRule="auto"/>
            </w:pPr>
            <w:r>
              <w:rPr>
                <w:sz w:val="18"/>
                <w:szCs w:val="18"/>
              </w:rPr>
              <w:t>H-4-Status endet mit 21</w:t>
            </w:r>
          </w:p>
        </w:tc>
      </w:tr>
    </w:tbl>
    <w:p w14:paraId="70A4EB30" w14:textId="77777777" w:rsidR="00C1548D" w:rsidRDefault="00C1548D">
      <w:pPr>
        <w:spacing w:line="180" w:lineRule="exact"/>
      </w:pPr>
    </w:p>
    <w:p w14:paraId="70A4EB31" w14:textId="77777777" w:rsidR="00C1548D" w:rsidRDefault="009B1B4B">
      <w:pPr>
        <w:pStyle w:val="Heading3"/>
        <w:keepNext/>
        <w:jc w:val="center"/>
      </w:pPr>
      <w:r>
        <w:rPr>
          <w:rFonts w:ascii="Amazon Ember" w:eastAsia="Amazon Ember" w:hAnsi="Amazon Ember" w:cs="Amazon Ember"/>
          <w:color w:val="0000FF"/>
          <w:sz w:val="36"/>
          <w:szCs w:val="36"/>
        </w:rPr>
        <w:lastRenderedPageBreak/>
        <w:t>Checkliste und nächste Schritte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3E"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B32" w14:textId="77777777" w:rsidR="00C1548D" w:rsidRDefault="009B1B4B">
            <w:pPr>
              <w:keepNext/>
              <w:spacing w:after="70" w:line="240" w:lineRule="auto"/>
            </w:pPr>
            <w:r>
              <w:rPr>
                <w:b/>
                <w:bCs/>
                <w:color w:val="1F6F78"/>
                <w:spacing w:val="24"/>
                <w:sz w:val="16"/>
                <w:szCs w:val="16"/>
              </w:rPr>
              <w:t>CHECKLISTE</w:t>
            </w:r>
          </w:p>
          <w:p w14:paraId="70A4EB3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der Geburt: Deckungsbeginn und Wartefrist beim Arbeitgeber klären, Frauenarzt, Klinik und Kinderarzt im Netzwerk prüfen.</w:t>
            </w:r>
          </w:p>
          <w:p w14:paraId="70A4EB3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 der Geburt: Baby innerhalb von 30 Tagen im Arbeitgeberplan anmelden (Marktplatz: 60 Tage).</w:t>
            </w:r>
          </w:p>
          <w:p w14:paraId="70A4EB3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Mehrere beglaubigte Geburtsurkunden bestellen und den Eingang der SSN-Karte kontrollieren.</w:t>
            </w:r>
          </w:p>
          <w:p w14:paraId="70A4EB3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US-Pass und deutschen Kinder-ePass beantragen, die Beurkundung der Geburt beim Konsulat einleiten.</w:t>
            </w:r>
          </w:p>
          <w:p w14:paraId="70A4EB3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FMLA-Anspruch und das Programm für bezahlten Familienurlaub deines Staates bei Arbeitgeber und Landesbehörde prüfen.</w:t>
            </w:r>
          </w:p>
          <w:p w14:paraId="70A4EB3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Betreuungsplatz früh suchen (Warteliste) und ein Dependent Care FSA erfragen.</w:t>
            </w:r>
          </w:p>
          <w:p w14:paraId="70A4EB3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Autositz in den USA kaufen, Pool sichern, Helmregeln am Wohnort prüfen.</w:t>
            </w:r>
          </w:p>
          <w:p w14:paraId="70A4EB3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Regeln des Staates und des Schuldistrikts zum Alleinlassen und zum Schulweg nachlesen.</w:t>
            </w:r>
          </w:p>
          <w:p w14:paraId="70A4EB3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dem 16. Geburtstag Führerscheinregeln des Staates und ein Versicherungsangebot einholen.</w:t>
            </w:r>
          </w:p>
          <w:p w14:paraId="70A4EB3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Ab Klasse 9 mit dem Counselor Credits, GPA und Tests besprechen und Wege für ein Studium in Deutschland klären.</w:t>
            </w:r>
          </w:p>
          <w:p w14:paraId="70A4EB3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Spätestens mit 18 In-State-Tuition und FAFSA-Berechtigung schriftlich klären und den Statuswechsel vor dem 21. Geburtstag planen.</w:t>
            </w:r>
          </w:p>
        </w:tc>
      </w:tr>
    </w:tbl>
    <w:p w14:paraId="70A4EB3F" w14:textId="77777777" w:rsidR="00C1548D" w:rsidRDefault="00C1548D">
      <w:pPr>
        <w:spacing w:line="220" w:lineRule="exact"/>
      </w:pPr>
    </w:p>
    <w:p w14:paraId="70A4EB40"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B41" w14:textId="7D39EF7E" w:rsidR="00C1548D" w:rsidRDefault="009B1B4B" w:rsidP="009B1B4B">
      <w:pPr>
        <w:pStyle w:val="ListParagraph"/>
        <w:numPr>
          <w:ilvl w:val="0"/>
          <w:numId w:val="1"/>
        </w:numPr>
        <w:spacing w:after="60"/>
      </w:pPr>
      <w:r>
        <w:t>Supreme Court of the United States — Trump v. Barbara, Nr. 25-365 (</w:t>
      </w:r>
      <w:hyperlink r:id="rId323" w:history="1">
        <w:r>
          <w:rPr>
            <w:color w:val="0563C1"/>
            <w:u w:val="single"/>
          </w:rPr>
          <w:t>supremecourt.gov/opinions/25pdf/25-365_4hdj.pdf</w:t>
        </w:r>
      </w:hyperlink>
      <w:r>
        <w:t>)</w:t>
      </w:r>
    </w:p>
    <w:p w14:paraId="70A4EB42" w14:textId="1BD198E9" w:rsidR="00C1548D" w:rsidRDefault="009B1B4B" w:rsidP="009B1B4B">
      <w:pPr>
        <w:pStyle w:val="ListParagraph"/>
        <w:numPr>
          <w:ilvl w:val="0"/>
          <w:numId w:val="1"/>
        </w:numPr>
        <w:spacing w:after="60"/>
      </w:pPr>
      <w:r>
        <w:t>Auswärtiges Amt, Auslandsvertretungen — Geburtsbeurkundung, Pässe, Staatsangehörigkeit (</w:t>
      </w:r>
      <w:hyperlink r:id="rId324" w:history="1">
        <w:r>
          <w:rPr>
            <w:color w:val="0563C1"/>
            <w:u w:val="single"/>
          </w:rPr>
          <w:t>germany.info</w:t>
        </w:r>
      </w:hyperlink>
      <w:r>
        <w:t>)</w:t>
      </w:r>
    </w:p>
    <w:p w14:paraId="70A4EB43" w14:textId="0E711D33" w:rsidR="00C1548D" w:rsidRDefault="009B1B4B" w:rsidP="009B1B4B">
      <w:pPr>
        <w:pStyle w:val="ListParagraph"/>
        <w:numPr>
          <w:ilvl w:val="0"/>
          <w:numId w:val="1"/>
        </w:numPr>
        <w:spacing w:after="60"/>
      </w:pPr>
      <w:r>
        <w:t>US-Arbeitsministerium — FMLA (</w:t>
      </w:r>
      <w:hyperlink r:id="rId325" w:history="1">
        <w:r>
          <w:rPr>
            <w:color w:val="0563C1"/>
            <w:u w:val="single"/>
          </w:rPr>
          <w:t>dol.gov/agencies/whd/fmla</w:t>
        </w:r>
      </w:hyperlink>
      <w:r>
        <w:t>)</w:t>
      </w:r>
    </w:p>
    <w:p w14:paraId="70A4EB44" w14:textId="70F0A998" w:rsidR="00C1548D" w:rsidRDefault="009B1B4B" w:rsidP="009B1B4B">
      <w:pPr>
        <w:pStyle w:val="ListParagraph"/>
        <w:numPr>
          <w:ilvl w:val="0"/>
          <w:numId w:val="1"/>
        </w:numPr>
        <w:spacing w:after="60"/>
      </w:pPr>
      <w:r>
        <w:lastRenderedPageBreak/>
        <w:t>Child Care Aware of America — Kosten und Angebot der Kinderbetreuung (</w:t>
      </w:r>
      <w:hyperlink r:id="rId326" w:history="1">
        <w:r>
          <w:rPr>
            <w:color w:val="0563C1"/>
            <w:u w:val="single"/>
          </w:rPr>
          <w:t>childcareaware.org</w:t>
        </w:r>
      </w:hyperlink>
      <w:r>
        <w:t>)</w:t>
      </w:r>
    </w:p>
    <w:p w14:paraId="70A4EB45" w14:textId="37C49888" w:rsidR="00C1548D" w:rsidRDefault="009B1B4B" w:rsidP="009B1B4B">
      <w:pPr>
        <w:pStyle w:val="ListParagraph"/>
        <w:numPr>
          <w:ilvl w:val="0"/>
          <w:numId w:val="1"/>
        </w:numPr>
        <w:spacing w:after="60"/>
      </w:pPr>
      <w:r>
        <w:t>State Department — Au-pair-Programm (</w:t>
      </w:r>
      <w:hyperlink r:id="rId327" w:history="1">
        <w:r>
          <w:rPr>
            <w:color w:val="0563C1"/>
            <w:u w:val="single"/>
          </w:rPr>
          <w:t>j1visa.state.gov/programs/au-pair</w:t>
        </w:r>
      </w:hyperlink>
      <w:r>
        <w:t>)</w:t>
      </w:r>
    </w:p>
    <w:p w14:paraId="70A4EB46" w14:textId="38254497" w:rsidR="00C1548D" w:rsidRDefault="009B1B4B" w:rsidP="009B1B4B">
      <w:pPr>
        <w:pStyle w:val="ListParagraph"/>
        <w:numPr>
          <w:ilvl w:val="0"/>
          <w:numId w:val="1"/>
        </w:numPr>
        <w:spacing w:after="60"/>
      </w:pPr>
      <w:r>
        <w:t>College Board — Trends in College Pricing (</w:t>
      </w:r>
      <w:hyperlink r:id="rId328" w:history="1">
        <w:r>
          <w:rPr>
            <w:color w:val="0563C1"/>
            <w:u w:val="single"/>
          </w:rPr>
          <w:t>research.collegeboard.org/trends/college-pricing</w:t>
        </w:r>
      </w:hyperlink>
      <w:r>
        <w:t>)</w:t>
      </w:r>
    </w:p>
    <w:p w14:paraId="70A4EB47" w14:textId="0C643975" w:rsidR="00C1548D" w:rsidRDefault="009B1B4B" w:rsidP="009B1B4B">
      <w:pPr>
        <w:pStyle w:val="ListParagraph"/>
        <w:numPr>
          <w:ilvl w:val="0"/>
          <w:numId w:val="1"/>
        </w:numPr>
        <w:spacing w:after="60"/>
      </w:pPr>
      <w:r>
        <w:t>Federal Student Aid — Berechtigung für Bundeshilfe (</w:t>
      </w:r>
      <w:hyperlink r:id="rId329" w:history="1">
        <w:r>
          <w:rPr>
            <w:color w:val="0563C1"/>
            <w:u w:val="single"/>
          </w:rPr>
          <w:t>studentaid.gov</w:t>
        </w:r>
      </w:hyperlink>
      <w:r>
        <w:t>)</w:t>
      </w:r>
    </w:p>
    <w:p w14:paraId="70A4EB48" w14:textId="30AA4AE2" w:rsidR="00C1548D" w:rsidRDefault="009B1B4B" w:rsidP="009B1B4B">
      <w:pPr>
        <w:pStyle w:val="ListParagraph"/>
        <w:numPr>
          <w:ilvl w:val="0"/>
          <w:numId w:val="1"/>
        </w:numPr>
        <w:spacing w:after="60"/>
      </w:pPr>
      <w:r>
        <w:t>DAAD — Studium in Deutschland mit US-Abschluss (</w:t>
      </w:r>
      <w:hyperlink r:id="rId330" w:history="1">
        <w:r>
          <w:rPr>
            <w:color w:val="0563C1"/>
            <w:u w:val="single"/>
          </w:rPr>
          <w:t>daad.org/en/study-research-in-germany/study-in-germany/undergraduate</w:t>
        </w:r>
      </w:hyperlink>
      <w:r>
        <w:t>)</w:t>
      </w:r>
    </w:p>
    <w:p w14:paraId="70A4EB4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4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B4A" w14:textId="77777777" w:rsidR="00C1548D" w:rsidRDefault="009B1B4B">
            <w:pPr>
              <w:keepNext/>
              <w:spacing w:after="70" w:line="240" w:lineRule="auto"/>
            </w:pPr>
            <w:r>
              <w:rPr>
                <w:b/>
                <w:bCs/>
                <w:color w:val="6B7280"/>
                <w:spacing w:val="24"/>
                <w:sz w:val="16"/>
                <w:szCs w:val="16"/>
              </w:rPr>
              <w:t>STAND</w:t>
            </w:r>
          </w:p>
          <w:p w14:paraId="70A4EB4B" w14:textId="77777777" w:rsidR="00C1548D" w:rsidRDefault="009B1B4B" w:rsidP="009B1B4B">
            <w:pPr>
              <w:pStyle w:val="ListParagraph"/>
              <w:numPr>
                <w:ilvl w:val="0"/>
                <w:numId w:val="41"/>
              </w:numPr>
              <w:spacing w:after="50" w:line="264" w:lineRule="auto"/>
            </w:pPr>
            <w:r>
              <w:rPr>
                <w:sz w:val="20"/>
                <w:szCs w:val="20"/>
              </w:rPr>
              <w:t>September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tc>
      </w:tr>
    </w:tbl>
    <w:p w14:paraId="70A4EB4D" w14:textId="77777777" w:rsidR="00C1548D" w:rsidRDefault="00C1548D">
      <w:pPr>
        <w:spacing w:line="220" w:lineRule="exact"/>
      </w:pPr>
    </w:p>
    <w:p w14:paraId="70A4EB4E" w14:textId="77777777" w:rsidR="00C1548D" w:rsidRDefault="00C1548D">
      <w:pPr>
        <w:sectPr w:rsidR="00C1548D">
          <w:footerReference w:type="default" r:id="rId331"/>
          <w:pgSz w:w="8640" w:h="12960"/>
          <w:pgMar w:top="1080" w:right="1080" w:bottom="1100" w:left="1080" w:header="708" w:footer="708" w:gutter="0"/>
          <w:cols w:space="720"/>
          <w:docGrid w:linePitch="360"/>
        </w:sectPr>
      </w:pPr>
    </w:p>
    <w:p w14:paraId="70A4EB4F" w14:textId="77777777" w:rsidR="00C1548D" w:rsidRDefault="009B1B4B">
      <w:pPr>
        <w:pStyle w:val="Heading1"/>
        <w:jc w:val="center"/>
      </w:pPr>
      <w:bookmarkStart w:id="92" w:name="_Toc241352496"/>
      <w:r>
        <w:rPr>
          <w:rFonts w:ascii="Amazon Ember" w:eastAsia="Amazon Ember" w:hAnsi="Amazon Ember" w:cs="Amazon Ember"/>
          <w:color w:val="0000FF"/>
        </w:rPr>
        <w:lastRenderedPageBreak/>
        <w:t>TEIL X — Langfristig</w:t>
      </w:r>
      <w:bookmarkEnd w:id="92"/>
    </w:p>
    <w:p w14:paraId="70A4EB50" w14:textId="77777777" w:rsidR="00C1548D" w:rsidRDefault="009B1B4B">
      <w:pPr>
        <w:spacing w:after="160" w:line="300" w:lineRule="auto"/>
        <w:ind w:left="400" w:right="400"/>
        <w:jc w:val="center"/>
      </w:pPr>
      <w:r>
        <w:rPr>
          <w:i/>
          <w:iCs/>
          <w:sz w:val="24"/>
          <w:szCs w:val="24"/>
        </w:rPr>
        <w:t>Vorsorge, Erbe, Recht, Staatsbürgerschaft und der Plan B für den Fall, dass du zurückkehrst.</w:t>
      </w:r>
    </w:p>
    <w:p w14:paraId="70A4EB51" w14:textId="77777777" w:rsidR="00C1548D" w:rsidRDefault="00C1548D">
      <w:pPr>
        <w:sectPr w:rsidR="00C1548D">
          <w:footerReference w:type="default" r:id="rId332"/>
          <w:pgSz w:w="8640" w:h="12960"/>
          <w:pgMar w:top="1080" w:right="1080" w:bottom="1100" w:left="1080" w:header="708" w:footer="708" w:gutter="0"/>
          <w:cols w:space="720"/>
          <w:vAlign w:val="center"/>
          <w:docGrid w:linePitch="360"/>
        </w:sectPr>
      </w:pPr>
    </w:p>
    <w:p w14:paraId="70A4EB52" w14:textId="77777777" w:rsidR="00C1548D" w:rsidRDefault="009B1B4B">
      <w:pPr>
        <w:pStyle w:val="Heading2"/>
        <w:keepNext/>
        <w:pageBreakBefore/>
        <w:jc w:val="center"/>
      </w:pPr>
      <w:bookmarkStart w:id="93" w:name="k39"/>
      <w:bookmarkStart w:id="94" w:name="_Toc241352497"/>
      <w:r>
        <w:rPr>
          <w:rFonts w:ascii="Amazon Ember" w:eastAsia="Amazon Ember" w:hAnsi="Amazon Ember" w:cs="Amazon Ember"/>
          <w:color w:val="0000FF"/>
          <w:sz w:val="36"/>
          <w:szCs w:val="36"/>
        </w:rPr>
        <w:lastRenderedPageBreak/>
        <w:t>Kapitel 39: Vorsorge, Erbe und Vermögen</w:t>
      </w:r>
      <w:bookmarkEnd w:id="93"/>
      <w:bookmarkEnd w:id="94"/>
    </w:p>
    <w:p w14:paraId="70A4EB53" w14:textId="77777777" w:rsidR="00C1548D" w:rsidRDefault="009B1B4B">
      <w:pPr>
        <w:spacing w:after="140"/>
      </w:pPr>
      <w:r>
        <w:t xml:space="preserve">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 und die meisten deutschen Papiere gelten hier keinen </w:t>
      </w:r>
      <w:r>
        <w:t>Meter weit.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5B"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B54" w14:textId="77777777" w:rsidR="00C1548D" w:rsidRDefault="009B1B4B">
            <w:pPr>
              <w:keepNext/>
              <w:spacing w:after="70" w:line="240" w:lineRule="auto"/>
            </w:pPr>
            <w:r>
              <w:rPr>
                <w:b/>
                <w:bCs/>
                <w:color w:val="1F3A5F"/>
                <w:spacing w:val="24"/>
                <w:sz w:val="16"/>
                <w:szCs w:val="16"/>
              </w:rPr>
              <w:t>KURZ GESAGT</w:t>
            </w:r>
          </w:p>
          <w:p w14:paraId="70A4EB55" w14:textId="77777777" w:rsidR="00C1548D" w:rsidRDefault="009B1B4B" w:rsidP="009B1B4B">
            <w:pPr>
              <w:pStyle w:val="ListParagraph"/>
              <w:numPr>
                <w:ilvl w:val="0"/>
                <w:numId w:val="1"/>
              </w:numPr>
              <w:spacing w:after="50" w:line="264" w:lineRule="auto"/>
            </w:pPr>
            <w:r>
              <w:rPr>
                <w:sz w:val="20"/>
                <w:szCs w:val="20"/>
              </w:rPr>
              <w:t>Die US-Rente (</w:t>
            </w:r>
            <w:r>
              <w:rPr>
                <w:i/>
                <w:iCs/>
                <w:sz w:val="20"/>
                <w:szCs w:val="20"/>
              </w:rPr>
              <w:t>Social Security</w:t>
            </w:r>
            <w:r>
              <w:rPr>
                <w:sz w:val="20"/>
                <w:szCs w:val="20"/>
              </w:rPr>
              <w:t>) braucht 40 Credits; das Sozialversicherungsabkommen mit Deutschland zählt für die Wartezeit deutsche und US-Jahre zusammen, zahlt aber getrennt. Seit 2025 kürzt eine deutsche Rente die US-Rente nicht mehr.</w:t>
            </w:r>
          </w:p>
          <w:p w14:paraId="70A4EB56" w14:textId="77777777" w:rsidR="00C1548D" w:rsidRDefault="009B1B4B" w:rsidP="009B1B4B">
            <w:pPr>
              <w:pStyle w:val="ListParagraph"/>
              <w:numPr>
                <w:ilvl w:val="0"/>
                <w:numId w:val="1"/>
              </w:numPr>
              <w:spacing w:after="50" w:line="264" w:lineRule="auto"/>
            </w:pPr>
            <w:r>
              <w:rPr>
                <w:sz w:val="20"/>
                <w:szCs w:val="20"/>
              </w:rPr>
              <w:t>Medicare kommt erst mit 65 Jahren und setzt Staatsbürgerschaft, Green Card oder bestimmte Aufenthaltsjahre voraus.</w:t>
            </w:r>
          </w:p>
          <w:p w14:paraId="70A4EB57" w14:textId="77777777" w:rsidR="00C1548D" w:rsidRDefault="009B1B4B" w:rsidP="009B1B4B">
            <w:pPr>
              <w:pStyle w:val="ListParagraph"/>
              <w:numPr>
                <w:ilvl w:val="0"/>
                <w:numId w:val="1"/>
              </w:numPr>
              <w:spacing w:after="50" w:line="264" w:lineRule="auto"/>
            </w:pPr>
            <w:r>
              <w:rPr>
                <w:sz w:val="20"/>
                <w:szCs w:val="20"/>
              </w:rPr>
              <w:t>401(k), IRA/Roth IRA und HSA sind die drei wichtigsten Sparkonten; nimm mindestens den Arbeitgeber-Match mit.</w:t>
            </w:r>
          </w:p>
          <w:p w14:paraId="70A4EB58" w14:textId="77777777" w:rsidR="00C1548D" w:rsidRDefault="009B1B4B" w:rsidP="009B1B4B">
            <w:pPr>
              <w:pStyle w:val="ListParagraph"/>
              <w:numPr>
                <w:ilvl w:val="0"/>
                <w:numId w:val="1"/>
              </w:numPr>
              <w:spacing w:after="50" w:line="264" w:lineRule="auto"/>
            </w:pPr>
            <w:r>
              <w:rPr>
                <w:sz w:val="20"/>
                <w:szCs w:val="20"/>
              </w:rPr>
              <w:t>Deutsche Fonds und ETFs werden in den USA zur Steuerfalle (PFIC); kaufe nach dem Zuzug nur US-Fonds.</w:t>
            </w:r>
          </w:p>
          <w:p w14:paraId="70A4EB59" w14:textId="77777777" w:rsidR="00C1548D" w:rsidRDefault="009B1B4B" w:rsidP="009B1B4B">
            <w:pPr>
              <w:pStyle w:val="ListParagraph"/>
              <w:numPr>
                <w:ilvl w:val="0"/>
                <w:numId w:val="1"/>
              </w:numPr>
              <w:spacing w:after="50" w:line="264" w:lineRule="auto"/>
            </w:pPr>
            <w:r>
              <w:rPr>
                <w:sz w:val="20"/>
                <w:szCs w:val="20"/>
              </w:rPr>
              <w:t>Ohne Testament, Vollmacht und Patientenverfügung nach US-Recht entscheidet im Ernstfall ein Gericht oder der Bundesstaat, nicht die Familie.</w:t>
            </w:r>
          </w:p>
          <w:p w14:paraId="70A4EB5A" w14:textId="77777777" w:rsidR="00C1548D" w:rsidRDefault="009B1B4B" w:rsidP="009B1B4B">
            <w:pPr>
              <w:pStyle w:val="ListParagraph"/>
              <w:numPr>
                <w:ilvl w:val="0"/>
                <w:numId w:val="1"/>
              </w:numPr>
              <w:spacing w:after="50" w:line="264" w:lineRule="auto"/>
            </w:pPr>
            <w:r>
              <w:rPr>
                <w:sz w:val="20"/>
                <w:szCs w:val="20"/>
              </w:rPr>
              <w:t>US-Nachlasssteuer und deutsche Erbschaftsteuer können gleichzeitig zuschlagen; wer auswandert, bleibt bis zu fünf Jahre in Deutschland erbschaftsteuerpflichtig.</w:t>
            </w:r>
          </w:p>
        </w:tc>
      </w:tr>
    </w:tbl>
    <w:p w14:paraId="70A4EB5C" w14:textId="77777777" w:rsidR="00C1548D" w:rsidRDefault="00C1548D">
      <w:pPr>
        <w:spacing w:line="220" w:lineRule="exact"/>
      </w:pPr>
    </w:p>
    <w:p w14:paraId="70A4EB5D" w14:textId="77777777" w:rsidR="00C1548D" w:rsidRDefault="009B1B4B">
      <w:pPr>
        <w:pStyle w:val="Heading3"/>
        <w:keepNext/>
        <w:jc w:val="center"/>
      </w:pPr>
      <w:r>
        <w:rPr>
          <w:rFonts w:ascii="Amazon Ember" w:eastAsia="Amazon Ember" w:hAnsi="Amazon Ember" w:cs="Amazon Ember"/>
          <w:color w:val="0000FF"/>
          <w:sz w:val="36"/>
          <w:szCs w:val="36"/>
        </w:rPr>
        <w:lastRenderedPageBreak/>
        <w:t>Zwei Rentensysteme unter einem Dach</w:t>
      </w:r>
    </w:p>
    <w:p w14:paraId="70A4EB5E" w14:textId="77777777" w:rsidR="00C1548D" w:rsidRDefault="009B1B4B">
      <w:pPr>
        <w:spacing w:after="140"/>
      </w:pPr>
      <w:r>
        <w:t>Verbreiteter Irrtum: Wer Beitragsjahre in Deutschland und den USA gesammelt hat, erwartet oft eine Art Gesamtabrechnung am Ende des Erwerbslebens – eine Rente aus einem Guss, fein zusammengerechnet von einer Stelle, die für beide Länder spricht. Die gibt es nicht. Für die Altersvorsorge zählen in den USA vor allem drei Bausteine: die staatliche Rente (</w:t>
      </w:r>
      <w:r>
        <w:rPr>
          <w:i/>
          <w:iCs/>
        </w:rPr>
        <w:t>Social Security</w:t>
      </w:r>
      <w:r>
        <w:t>), Arbeitgeberkonten wie das 401(k) und individuelle Konten wie IRA und Roth IRA. Die deutsche gesetzliche Rente läuft parallel weiter, wenn du vor dem Umzug eingezahlt hast – sie verschwindet nicht, wird aber auch nicht automatisch mit der US-Rente verrechnet. Beide Systeme rechnen getrennt, und genau das überrascht viele Zugezogene erst Jahre später, wenn die erste Renteninformation aus beiden Ländern im Briefkasten liegt.</w:t>
      </w:r>
    </w:p>
    <w:p w14:paraId="70A4EB5F" w14:textId="77777777" w:rsidR="00C1548D" w:rsidRDefault="009B1B4B">
      <w:pPr>
        <w:pStyle w:val="Heading3"/>
        <w:keepNext/>
        <w:jc w:val="center"/>
      </w:pPr>
      <w:r>
        <w:rPr>
          <w:rFonts w:ascii="Amazon Ember" w:eastAsia="Amazon Ember" w:hAnsi="Amazon Ember" w:cs="Amazon Ember"/>
          <w:color w:val="0000FF"/>
          <w:sz w:val="36"/>
          <w:szCs w:val="36"/>
        </w:rPr>
        <w:t>Social Security: 40 Credits und das Abkommen mit Deutschland</w:t>
      </w:r>
    </w:p>
    <w:p w14:paraId="70A4EB60" w14:textId="0E8CC585" w:rsidR="00C1548D" w:rsidRDefault="009B1B4B">
      <w:pPr>
        <w:spacing w:after="140"/>
      </w:pPr>
      <w:r>
        <w:t xml:space="preserve">Wer in den USA arbeitet, zahlt über die Lohnsteuer </w:t>
      </w:r>
      <w:r>
        <w:rPr>
          <w:i/>
          <w:iCs/>
        </w:rPr>
        <w:t>FICA</w:t>
      </w:r>
      <w:r>
        <w:t xml:space="preserve"> (Kapitel </w:t>
      </w:r>
      <w:hyperlink w:anchor="k28" w:history="1">
        <w:r>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w14:paraId="70A4EB61" w14:textId="77777777" w:rsidR="00C1548D" w:rsidRDefault="009B1B4B">
      <w:pPr>
        <w:spacing w:after="140"/>
      </w:pPr>
      <w:r>
        <w:t>Bis Ende 2024 kürzten zwei US-Regeln (</w:t>
      </w:r>
      <w:r>
        <w:rPr>
          <w:i/>
          <w:iCs/>
        </w:rPr>
        <w:t>Windfall Elimination Provision</w:t>
      </w:r>
      <w:r>
        <w:t xml:space="preserve">, WEP, und </w:t>
      </w:r>
      <w:r>
        <w:rPr>
          <w:i/>
          <w:iCs/>
        </w:rPr>
        <w:t>Government Pension Offset</w:t>
      </w:r>
      <w:r>
        <w:t xml:space="preserve">, GPO) die eigene US-Rente, wenn daneben eine ausländische oder nicht FICA-pflichtige Rente floss. Der </w:t>
      </w:r>
      <w:r>
        <w:rPr>
          <w:i/>
          <w:iCs/>
        </w:rPr>
        <w:t>Social Security Fairness Act</w:t>
      </w:r>
      <w:r>
        <w:t xml:space="preserve"> hat beide Regeln am 5. </w:t>
      </w:r>
      <w:r>
        <w:lastRenderedPageBreak/>
        <w:t>Januar 2025 rückwirkend zum Januar 2024 abgeschafft. Eine deutsche Rente mindert die eigene US-Rente seither nicht mehr; wer beides bezieht, bekommt beide ungekürzt.</w:t>
      </w:r>
    </w:p>
    <w:p w14:paraId="70A4EB62" w14:textId="77777777" w:rsidR="00C1548D" w:rsidRDefault="009B1B4B">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w:t>
      </w:r>
      <w:r>
        <w:t>llige Beiträge, um Lücken zu schließen oder den Erwerbsminderungsschutz zu erhalten – für Nichtdeutsche geht das erst nach 60 Beitragsmonaten.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65"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B63" w14:textId="77777777" w:rsidR="00C1548D" w:rsidRDefault="009B1B4B">
            <w:pPr>
              <w:keepNext/>
              <w:spacing w:after="70" w:line="240" w:lineRule="auto"/>
            </w:pPr>
            <w:r>
              <w:rPr>
                <w:b/>
                <w:bCs/>
                <w:color w:val="8A6212"/>
                <w:spacing w:val="24"/>
                <w:sz w:val="16"/>
                <w:szCs w:val="16"/>
              </w:rPr>
              <w:t>MERKE</w:t>
            </w:r>
          </w:p>
          <w:p w14:paraId="70A4EB64" w14:textId="77777777" w:rsidR="00C1548D" w:rsidRDefault="009B1B4B">
            <w:pPr>
              <w:spacing w:after="80" w:line="264" w:lineRule="auto"/>
            </w:pPr>
            <w:r>
              <w:rPr>
                <w:sz w:val="20"/>
                <w:szCs w:val="20"/>
              </w:rPr>
              <w:t>Die Rente aus zwei Ländern ist keine gemeinsame Rechnung. Jedes Land zahlt nur, was du dort erarbeitet hast; das Abkommen hilft lediglich, die Mindestzeiten zu erreichen.</w:t>
            </w:r>
          </w:p>
        </w:tc>
      </w:tr>
    </w:tbl>
    <w:p w14:paraId="70A4EB66" w14:textId="77777777" w:rsidR="00C1548D" w:rsidRDefault="00C1548D">
      <w:pPr>
        <w:spacing w:line="220" w:lineRule="exact"/>
      </w:pPr>
    </w:p>
    <w:p w14:paraId="70A4EB67" w14:textId="77777777" w:rsidR="00C1548D" w:rsidRDefault="009B1B4B">
      <w:pPr>
        <w:pStyle w:val="Heading3"/>
        <w:keepNext/>
        <w:jc w:val="center"/>
      </w:pPr>
      <w:r>
        <w:rPr>
          <w:rFonts w:ascii="Amazon Ember" w:eastAsia="Amazon Ember" w:hAnsi="Amazon Ember" w:cs="Amazon Ember"/>
          <w:color w:val="0000FF"/>
          <w:sz w:val="36"/>
          <w:szCs w:val="36"/>
        </w:rPr>
        <w:t>Medicare: Krankenversicherung im Ruhestand</w:t>
      </w:r>
    </w:p>
    <w:p w14:paraId="70A4EB68" w14:textId="77777777" w:rsidR="00C1548D" w:rsidRDefault="009B1B4B">
      <w:pPr>
        <w:spacing w:after="140"/>
      </w:pPr>
      <w:r>
        <w:t>Medicare ist die staatliche Krankenversicherung für Menschen ab 65 Jahren und für bestimmte Erwerbsunfähige. Beitragsfrei ist Teil A (Krankenhausversicherung) nur, wer mindestens 40 Credits durch die Medicare-Steuer gesammelt hat – dieselbe Zählweise wie bei Social Security. Fehlen die 40 Credits, lässt sich Teil A ab fünf Jahren ununterbrochenem Aufenthalt als Green-Card-Inhaber zukaufen: 2026 kostet das 311 $ im Monat (30 bis 39 Credits) oder 565 $ (weniger als 30 Credits). Teil B (ambulante Behandlung) k</w:t>
      </w:r>
      <w:r>
        <w:t>ostet 2026 unabhängig von den Credits 202,90 $ im Monat, dazu Selbstbehalte von 283 $ (Teil B) und 1.736 $ je Krankenhausaufenthalt (Teil A).</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6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B69" w14:textId="77777777" w:rsidR="00C1548D" w:rsidRDefault="009B1B4B">
            <w:pPr>
              <w:keepNext/>
              <w:spacing w:after="70" w:line="240" w:lineRule="auto"/>
            </w:pPr>
            <w:r>
              <w:rPr>
                <w:b/>
                <w:bCs/>
                <w:color w:val="9B2C2C"/>
                <w:spacing w:val="24"/>
                <w:sz w:val="16"/>
                <w:szCs w:val="16"/>
              </w:rPr>
              <w:lastRenderedPageBreak/>
              <w:t>ACHTUNG</w:t>
            </w:r>
          </w:p>
          <w:p w14:paraId="70A4EB6A" w14:textId="233F6348" w:rsidR="00C1548D" w:rsidRDefault="009B1B4B">
            <w:pPr>
              <w:spacing w:after="80" w:line="264" w:lineRule="auto"/>
            </w:pPr>
            <w:r>
              <w:rPr>
                <w:sz w:val="20"/>
                <w:szCs w:val="20"/>
              </w:rPr>
              <w:t>Seit Juli 2025 steht Medicare nur noch Staatsbürgern, Green-Card-Inhabern sowie wenigen weiteren Gruppen offen; laufende Ansprüche anderer Gruppen enden bis zum 4. Januar 2027. Wer mit einem Arbeitsvisum bis 65 im Land bleibt, sollte die eigene Green-Card-Planung (Kapitel </w:t>
            </w:r>
            <w:hyperlink w:anchor="k6" w:history="1">
              <w:r>
                <w:rPr>
                  <w:sz w:val="20"/>
                  <w:szCs w:val="20"/>
                </w:rPr>
                <w:t>6</w:t>
              </w:r>
            </w:hyperlink>
            <w:r>
              <w:rPr>
                <w:sz w:val="20"/>
                <w:szCs w:val="20"/>
              </w:rPr>
              <w:t>) rechtzeitig mit dem Medicare-Zugang zusammendenken – ohne Green Card oder Staatsbürgerschaft gibt es keinen Anspruch.</w:t>
            </w:r>
          </w:p>
        </w:tc>
      </w:tr>
    </w:tbl>
    <w:p w14:paraId="70A4EB6C" w14:textId="77777777" w:rsidR="00C1548D" w:rsidRDefault="00C1548D">
      <w:pPr>
        <w:spacing w:line="220" w:lineRule="exact"/>
      </w:pPr>
    </w:p>
    <w:p w14:paraId="70A4EB6D" w14:textId="77777777" w:rsidR="00C1548D" w:rsidRDefault="009B1B4B">
      <w:pPr>
        <w:pStyle w:val="Heading3"/>
        <w:keepNext/>
        <w:jc w:val="center"/>
      </w:pPr>
      <w:r>
        <w:rPr>
          <w:rFonts w:ascii="Amazon Ember" w:eastAsia="Amazon Ember" w:hAnsi="Amazon Ember" w:cs="Amazon Ember"/>
          <w:color w:val="0000FF"/>
          <w:sz w:val="36"/>
          <w:szCs w:val="36"/>
        </w:rPr>
        <w:t>Die US-Sparkonten: 401(k), IRA, Roth und HSA</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840"/>
        <w:gridCol w:w="2037"/>
        <w:gridCol w:w="1653"/>
      </w:tblGrid>
      <w:tr w:rsidR="00C1548D" w14:paraId="70A4EB72"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B6E" w14:textId="77777777" w:rsidR="00C1548D" w:rsidRDefault="009B1B4B">
            <w:pPr>
              <w:spacing w:line="250" w:lineRule="auto"/>
            </w:pPr>
            <w:r>
              <w:rPr>
                <w:b/>
                <w:bCs/>
                <w:sz w:val="18"/>
                <w:szCs w:val="18"/>
              </w:rPr>
              <w:t>Konto</w:t>
            </w:r>
          </w:p>
        </w:tc>
        <w:tc>
          <w:tcPr>
            <w:tcW w:w="18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B6F" w14:textId="77777777" w:rsidR="00C1548D" w:rsidRDefault="009B1B4B">
            <w:pPr>
              <w:spacing w:line="250" w:lineRule="auto"/>
            </w:pPr>
            <w:r>
              <w:rPr>
                <w:b/>
                <w:bCs/>
                <w:sz w:val="18"/>
                <w:szCs w:val="18"/>
              </w:rPr>
              <w:t>Grenze 2026</w:t>
            </w:r>
          </w:p>
        </w:tc>
        <w:tc>
          <w:tcPr>
            <w:tcW w:w="203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B70" w14:textId="77777777" w:rsidR="00C1548D" w:rsidRDefault="009B1B4B">
            <w:pPr>
              <w:spacing w:line="250" w:lineRule="auto"/>
            </w:pPr>
            <w:r>
              <w:rPr>
                <w:b/>
                <w:bCs/>
                <w:sz w:val="18"/>
                <w:szCs w:val="18"/>
              </w:rPr>
              <w:t>Steuerlogik</w:t>
            </w:r>
          </w:p>
        </w:tc>
        <w:tc>
          <w:tcPr>
            <w:tcW w:w="16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B71" w14:textId="77777777" w:rsidR="00C1548D" w:rsidRDefault="009B1B4B">
            <w:pPr>
              <w:spacing w:line="250" w:lineRule="auto"/>
            </w:pPr>
            <w:r>
              <w:rPr>
                <w:b/>
                <w:bCs/>
                <w:sz w:val="18"/>
                <w:szCs w:val="18"/>
              </w:rPr>
              <w:t>Praxis</w:t>
            </w:r>
          </w:p>
        </w:tc>
      </w:tr>
      <w:tr w:rsidR="00C1548D" w14:paraId="70A4EB7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73" w14:textId="77777777" w:rsidR="00C1548D" w:rsidRDefault="009B1B4B">
            <w:pPr>
              <w:spacing w:line="250" w:lineRule="auto"/>
            </w:pPr>
            <w:r>
              <w:rPr>
                <w:sz w:val="18"/>
                <w:szCs w:val="18"/>
              </w:rPr>
              <w:t>401(k)</w:t>
            </w:r>
          </w:p>
        </w:tc>
        <w:tc>
          <w:tcPr>
            <w:tcW w:w="18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74" w14:textId="77777777" w:rsidR="00C1548D" w:rsidRDefault="009B1B4B">
            <w:pPr>
              <w:spacing w:line="250" w:lineRule="auto"/>
            </w:pPr>
            <w:r>
              <w:rPr>
                <w:sz w:val="18"/>
                <w:szCs w:val="18"/>
              </w:rPr>
              <w:t>24.500 $ (ab 50: +8.000 $; 60–63: +11.250 $)</w:t>
            </w:r>
          </w:p>
        </w:tc>
        <w:tc>
          <w:tcPr>
            <w:tcW w:w="20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75" w14:textId="77777777" w:rsidR="00C1548D" w:rsidRDefault="009B1B4B">
            <w:pPr>
              <w:spacing w:line="250" w:lineRule="auto"/>
            </w:pPr>
            <w:r>
              <w:rPr>
                <w:sz w:val="18"/>
                <w:szCs w:val="18"/>
              </w:rPr>
              <w:t>Vor Steuer eingezahlt, Auszahlung im Ruhestand versteuert</w:t>
            </w:r>
          </w:p>
        </w:tc>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76" w14:textId="77777777" w:rsidR="00C1548D" w:rsidRDefault="009B1B4B">
            <w:pPr>
              <w:spacing w:line="250" w:lineRule="auto"/>
            </w:pPr>
            <w:r>
              <w:rPr>
                <w:sz w:val="18"/>
                <w:szCs w:val="18"/>
              </w:rPr>
              <w:t>Arbeitgeber-Match zuerst mitnehmen</w:t>
            </w:r>
          </w:p>
        </w:tc>
      </w:tr>
      <w:tr w:rsidR="00C1548D" w14:paraId="70A4EB7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78" w14:textId="77777777" w:rsidR="00C1548D" w:rsidRDefault="009B1B4B">
            <w:pPr>
              <w:spacing w:line="250" w:lineRule="auto"/>
            </w:pPr>
            <w:r>
              <w:rPr>
                <w:sz w:val="18"/>
                <w:szCs w:val="18"/>
              </w:rPr>
              <w:t>Traditional IRA</w:t>
            </w:r>
          </w:p>
        </w:tc>
        <w:tc>
          <w:tcPr>
            <w:tcW w:w="18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79" w14:textId="77777777" w:rsidR="00C1548D" w:rsidRDefault="009B1B4B">
            <w:pPr>
              <w:spacing w:line="250" w:lineRule="auto"/>
            </w:pPr>
            <w:r>
              <w:rPr>
                <w:sz w:val="18"/>
                <w:szCs w:val="18"/>
              </w:rPr>
              <w:t>7.500 $ (ab 50: +1.100 $)</w:t>
            </w:r>
          </w:p>
        </w:tc>
        <w:tc>
          <w:tcPr>
            <w:tcW w:w="20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7A" w14:textId="77777777" w:rsidR="00C1548D" w:rsidRDefault="009B1B4B">
            <w:pPr>
              <w:spacing w:line="250" w:lineRule="auto"/>
            </w:pPr>
            <w:r>
              <w:rPr>
                <w:sz w:val="18"/>
                <w:szCs w:val="18"/>
              </w:rPr>
              <w:t>Beitrag oft absetzbar, Auszahlung versteuert</w:t>
            </w:r>
          </w:p>
        </w:tc>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7B" w14:textId="77777777" w:rsidR="00C1548D" w:rsidRDefault="009B1B4B">
            <w:pPr>
              <w:spacing w:line="250" w:lineRule="auto"/>
            </w:pPr>
            <w:r>
              <w:rPr>
                <w:sz w:val="18"/>
                <w:szCs w:val="18"/>
              </w:rPr>
              <w:t>Abzug entfällt bei hohem Einkommen mit Betriebsplan</w:t>
            </w:r>
          </w:p>
        </w:tc>
      </w:tr>
      <w:tr w:rsidR="00C1548D" w14:paraId="70A4EB8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7D" w14:textId="77777777" w:rsidR="00C1548D" w:rsidRDefault="009B1B4B">
            <w:pPr>
              <w:spacing w:line="250" w:lineRule="auto"/>
            </w:pPr>
            <w:r>
              <w:rPr>
                <w:sz w:val="18"/>
                <w:szCs w:val="18"/>
              </w:rPr>
              <w:t>Roth IRA</w:t>
            </w:r>
          </w:p>
        </w:tc>
        <w:tc>
          <w:tcPr>
            <w:tcW w:w="18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7E" w14:textId="77777777" w:rsidR="00C1548D" w:rsidRDefault="009B1B4B">
            <w:pPr>
              <w:spacing w:line="250" w:lineRule="auto"/>
            </w:pPr>
            <w:r>
              <w:rPr>
                <w:sz w:val="18"/>
                <w:szCs w:val="18"/>
              </w:rPr>
              <w:t>gemeinsame Grenze mit IRA</w:t>
            </w:r>
          </w:p>
        </w:tc>
        <w:tc>
          <w:tcPr>
            <w:tcW w:w="20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7F" w14:textId="77777777" w:rsidR="00C1548D" w:rsidRDefault="009B1B4B">
            <w:pPr>
              <w:spacing w:line="250" w:lineRule="auto"/>
            </w:pPr>
            <w:r>
              <w:rPr>
                <w:sz w:val="18"/>
                <w:szCs w:val="18"/>
              </w:rPr>
              <w:t>Beitrag aus versteuertem Geld, Auszahlung steuerfrei</w:t>
            </w:r>
          </w:p>
        </w:tc>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80" w14:textId="77777777" w:rsidR="00C1548D" w:rsidRDefault="009B1B4B">
            <w:pPr>
              <w:spacing w:line="250" w:lineRule="auto"/>
            </w:pPr>
            <w:r>
              <w:rPr>
                <w:sz w:val="18"/>
                <w:szCs w:val="18"/>
              </w:rPr>
              <w:t>Einkommensgrenze: Einzelperson 153.000–168.000 $, Ehepaar 242.000–252.000 $</w:t>
            </w:r>
          </w:p>
        </w:tc>
      </w:tr>
      <w:tr w:rsidR="00C1548D" w14:paraId="70A4EB8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82" w14:textId="77777777" w:rsidR="00C1548D" w:rsidRDefault="009B1B4B">
            <w:pPr>
              <w:spacing w:line="250" w:lineRule="auto"/>
            </w:pPr>
            <w:r>
              <w:rPr>
                <w:sz w:val="18"/>
                <w:szCs w:val="18"/>
              </w:rPr>
              <w:t>HSA</w:t>
            </w:r>
          </w:p>
        </w:tc>
        <w:tc>
          <w:tcPr>
            <w:tcW w:w="18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83" w14:textId="77777777" w:rsidR="00C1548D" w:rsidRDefault="009B1B4B">
            <w:pPr>
              <w:spacing w:line="250" w:lineRule="auto"/>
            </w:pPr>
            <w:r>
              <w:rPr>
                <w:sz w:val="18"/>
                <w:szCs w:val="18"/>
              </w:rPr>
              <w:t>4.400 $ Einzelperson / 8.750 $ Familie (ab 55: +1.000 $)</w:t>
            </w:r>
          </w:p>
        </w:tc>
        <w:tc>
          <w:tcPr>
            <w:tcW w:w="20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84" w14:textId="77777777" w:rsidR="00C1548D" w:rsidRDefault="009B1B4B">
            <w:pPr>
              <w:spacing w:line="250" w:lineRule="auto"/>
            </w:pPr>
            <w:r>
              <w:rPr>
                <w:sz w:val="18"/>
                <w:szCs w:val="18"/>
              </w:rPr>
              <w:t>Dreifach steuerbegünstigt</w:t>
            </w:r>
          </w:p>
        </w:tc>
        <w:tc>
          <w:tcPr>
            <w:tcW w:w="16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85" w14:textId="4841D80E" w:rsidR="00C1548D" w:rsidRDefault="009B1B4B">
            <w:pPr>
              <w:spacing w:line="250" w:lineRule="auto"/>
            </w:pPr>
            <w:r>
              <w:rPr>
                <w:sz w:val="18"/>
                <w:szCs w:val="18"/>
              </w:rPr>
              <w:t>Nur mit Hochselbstbehalt-Tarif (</w:t>
            </w:r>
            <w:r>
              <w:rPr>
                <w:i/>
                <w:iCs/>
                <w:sz w:val="18"/>
                <w:szCs w:val="18"/>
              </w:rPr>
              <w:t>HDHP</w:t>
            </w:r>
            <w:r>
              <w:rPr>
                <w:sz w:val="18"/>
                <w:szCs w:val="18"/>
              </w:rPr>
              <w:t>); Details Kapitel </w:t>
            </w:r>
            <w:hyperlink w:anchor="k26" w:history="1">
              <w:r>
                <w:rPr>
                  <w:sz w:val="18"/>
                  <w:szCs w:val="18"/>
                </w:rPr>
                <w:t>26</w:t>
              </w:r>
            </w:hyperlink>
          </w:p>
        </w:tc>
      </w:tr>
    </w:tbl>
    <w:p w14:paraId="70A4EB87" w14:textId="77777777" w:rsidR="00C1548D" w:rsidRDefault="00C1548D">
      <w:pPr>
        <w:spacing w:line="180" w:lineRule="exact"/>
      </w:pPr>
    </w:p>
    <w:p w14:paraId="70A4EB88" w14:textId="77777777" w:rsidR="00C1548D" w:rsidRDefault="009B1B4B">
      <w:pPr>
        <w:spacing w:after="140"/>
      </w:pPr>
      <w:r>
        <w:t xml:space="preserve">Das 401(k) ist ein Arbeitgeberkonto, oft mit Match: Der Arbeitgeber verdoppelt oder ergänzt deinen Beitrag bis zu einer Grenze, meist 3 bis 6 % des Gehalts. Viele Pläne bieten zusätzlich eine Roth-401(k)-Variante mit derselben Logik wie die Roth IRA. Für die IRA brauchst du eigenes Erwerbseinkommen; wer die Roth-Einkommensgrenze überschreitet, nutzt oft die sogenannte </w:t>
      </w:r>
      <w:r>
        <w:rPr>
          <w:i/>
          <w:iCs/>
        </w:rPr>
        <w:t>Backdoor Roth</w:t>
      </w:r>
      <w:r>
        <w:t xml:space="preserve">-Strategie (nicht abziehbare IRA-Einzahlung, anschließende Umwandlung) – </w:t>
      </w:r>
      <w:r>
        <w:lastRenderedPageBreak/>
        <w:t>das ist im Detail komplex und gehört in die Hände eines Steuerexperten. Die HSA ist der einzige Kontotyp mit dreifachem Steuervorteil: Einzahlung mindert das Einkommen, Wachstum bleibt steuerfrei, und Abhebungen für Gesundheitskosten sind es ebenfalls.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8B"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B89" w14:textId="77777777" w:rsidR="00C1548D" w:rsidRDefault="009B1B4B">
            <w:pPr>
              <w:keepNext/>
              <w:spacing w:after="70" w:line="240" w:lineRule="auto"/>
            </w:pPr>
            <w:r>
              <w:rPr>
                <w:b/>
                <w:bCs/>
                <w:color w:val="2F6B3B"/>
                <w:spacing w:val="24"/>
                <w:sz w:val="16"/>
                <w:szCs w:val="16"/>
              </w:rPr>
              <w:t>SPARTIPP</w:t>
            </w:r>
          </w:p>
          <w:p w14:paraId="70A4EB8A" w14:textId="77777777" w:rsidR="00C1548D" w:rsidRDefault="009B1B4B">
            <w:pPr>
              <w:spacing w:after="80" w:line="264" w:lineRule="auto"/>
            </w:pPr>
            <w:r>
              <w:rPr>
                <w:sz w:val="20"/>
                <w:szCs w:val="20"/>
              </w:rPr>
              <w:t>Zahle immer mindestens so viel ins 401(k) ein, wie der Arbeitgeber-Match ausschöpft – das ist sofortige Rendite von häufig 50 bis 100 %, die sonst verschenkt wird.</w:t>
            </w:r>
          </w:p>
        </w:tc>
      </w:tr>
    </w:tbl>
    <w:p w14:paraId="70A4EB8C" w14:textId="77777777" w:rsidR="00C1548D" w:rsidRDefault="00C1548D">
      <w:pPr>
        <w:spacing w:line="220" w:lineRule="exact"/>
      </w:pPr>
    </w:p>
    <w:p w14:paraId="70A4EB8D" w14:textId="77777777" w:rsidR="00C1548D" w:rsidRDefault="009B1B4B">
      <w:pPr>
        <w:pStyle w:val="Heading3"/>
        <w:keepNext/>
        <w:jc w:val="center"/>
      </w:pPr>
      <w:r>
        <w:rPr>
          <w:rFonts w:ascii="Amazon Ember" w:eastAsia="Amazon Ember" w:hAnsi="Amazon Ember" w:cs="Amazon Ember"/>
          <w:color w:val="0000FF"/>
          <w:sz w:val="36"/>
          <w:szCs w:val="36"/>
        </w:rPr>
        <w:t>529-Sparplan und Aktienvergütung</w:t>
      </w:r>
    </w:p>
    <w:p w14:paraId="70A4EB8E" w14:textId="77777777" w:rsidR="00C1548D" w:rsidRDefault="009B1B4B">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 prüfe die genaue Grenze bei deinem Anbieter, da sie sich durch die jüngste Steuerreform geändert hat.</w:t>
      </w:r>
    </w:p>
    <w:p w14:paraId="70A4EB8F" w14:textId="25F46BF2" w:rsidR="00C1548D" w:rsidRDefault="009B1B4B">
      <w:pPr>
        <w:spacing w:after="140"/>
      </w:pPr>
      <w:r>
        <w:t>Aktienvergütung (Kapitel </w:t>
      </w:r>
      <w:hyperlink w:anchor="k29" w:history="1">
        <w:r>
          <w:t>29</w:t>
        </w:r>
      </w:hyperlink>
      <w:r>
        <w:t xml:space="preserve"> erklärt die arbeitsrechtliche Seite) wirkt auch auf die Vorsorge. Bei RSUs (</w:t>
      </w:r>
      <w:r>
        <w:rPr>
          <w:i/>
          <w:iCs/>
        </w:rPr>
        <w:t>Restricted Stock Units</w:t>
      </w:r>
      <w:r>
        <w:t xml:space="preserve">, Aktienzuteilungen) zählt der Marktwert beim Vesten als Lohn. Bei Optionen unterscheidet die IRS zwei Typen: </w:t>
      </w:r>
      <w:r>
        <w:rPr>
          <w:i/>
          <w:iCs/>
        </w:rPr>
        <w:t>NSOs</w:t>
      </w:r>
      <w:r>
        <w:t xml:space="preserve"> (nicht qualifizierte Optionen) werden bei Ausübung wie Lohn versteuert, </w:t>
      </w:r>
      <w:r>
        <w:rPr>
          <w:i/>
          <w:iCs/>
        </w:rPr>
        <w:t>ISOs</w:t>
      </w:r>
      <w:r>
        <w:t xml:space="preserve"> (</w:t>
      </w:r>
      <w:r>
        <w:rPr>
          <w:i/>
          <w:iCs/>
        </w:rPr>
        <w:t>Incentive Stock Options</w:t>
      </w:r>
      <w:r>
        <w:t>) lösen bei Ausübung keine reguläre Steuer aus, bergen aber ein Risiko über die Alternative Minimum Tax; die günstige Kapitalgewinnbesteuerung greift nur bei Haltefristen von zwei Jahren ab Gewährung und einem Jahr ab Ausübung. Der Mitarbeiteraktienkauf (</w:t>
      </w:r>
      <w:r>
        <w:rPr>
          <w:i/>
          <w:iCs/>
        </w:rPr>
        <w:t>ESPP</w:t>
      </w:r>
      <w:r>
        <w:t>) hat eigene Haltefristen, die über Lohn- oder Gewinnanteil entscheiden.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92"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B90" w14:textId="77777777" w:rsidR="00C1548D" w:rsidRDefault="009B1B4B">
            <w:pPr>
              <w:keepNext/>
              <w:spacing w:after="70" w:line="240" w:lineRule="auto"/>
            </w:pPr>
            <w:r>
              <w:rPr>
                <w:b/>
                <w:bCs/>
                <w:color w:val="4A5568"/>
                <w:spacing w:val="24"/>
                <w:sz w:val="16"/>
                <w:szCs w:val="16"/>
              </w:rPr>
              <w:lastRenderedPageBreak/>
              <w:t>PRAXISBEISPIEL · FIKTIV</w:t>
            </w:r>
          </w:p>
          <w:p w14:paraId="70A4EB91" w14:textId="77777777" w:rsidR="00C1548D" w:rsidRDefault="009B1B4B">
            <w:pPr>
              <w:spacing w:after="80" w:line="264" w:lineRule="auto"/>
            </w:pPr>
            <w:r>
              <w:rPr>
                <w:sz w:val="20"/>
                <w:szCs w:val="20"/>
              </w:rPr>
              <w:t>Sabine Keller (fiktives Beispiel) bekommt bei ihrem Arbeitgeber in Seattle jährlich RSUs im Wert von 15.000 $, die über vier Jahre vesten. Als die erste Tranche vestet, freut sie sich kurz über die stattliche Zahl im Depot – bis ihr Steuerberater ihr vorrechnet, dass ein gutes Stück davon dem Finanzamt gehört. Denn beim Vesten zählt der Marktwert als Lohn; ihr Arbeitgeber behält pauschal 22 % Bundessteuer ein, was bei ihrem Einkommen zu wenig ist. Sabine legt die Differenz für die Steuererklärung zurück, ve</w:t>
            </w:r>
            <w:r>
              <w:rPr>
                <w:sz w:val="20"/>
                <w:szCs w:val="20"/>
              </w:rPr>
              <w:t>rkauft die Hälfte der frisch gevesteten Aktien sofort, um nicht zu einseitig auf einen Arbeitgeber zu setzen, und investiert den Erlös in breit gestreute, in den USA aufgelegte Indexfonds statt in deutsche ETFs.</w:t>
            </w:r>
          </w:p>
        </w:tc>
      </w:tr>
    </w:tbl>
    <w:p w14:paraId="70A4EB93" w14:textId="77777777" w:rsidR="00C1548D" w:rsidRDefault="00C1548D">
      <w:pPr>
        <w:spacing w:line="220" w:lineRule="exact"/>
      </w:pPr>
    </w:p>
    <w:p w14:paraId="70A4EB94" w14:textId="77777777" w:rsidR="00C1548D" w:rsidRDefault="009B1B4B">
      <w:pPr>
        <w:pStyle w:val="Heading3"/>
        <w:keepNext/>
        <w:jc w:val="center"/>
      </w:pPr>
      <w:r>
        <w:rPr>
          <w:rFonts w:ascii="Amazon Ember" w:eastAsia="Amazon Ember" w:hAnsi="Amazon Ember" w:cs="Amazon Ember"/>
          <w:color w:val="0000FF"/>
          <w:sz w:val="36"/>
          <w:szCs w:val="36"/>
        </w:rPr>
        <w:t>Sparen und Investieren: die PFIC-Falle vermeiden</w:t>
      </w:r>
    </w:p>
    <w:p w14:paraId="70A4EB95" w14:textId="59C09A99" w:rsidR="00C1548D" w:rsidRDefault="009B1B4B">
      <w:pPr>
        <w:spacing w:after="140"/>
      </w:pPr>
      <w:r>
        <w:t>Wer als Ansässiger in den USA lebt, sollte deutsche Fonds und ETFs meiden. Kapitel </w:t>
      </w:r>
      <w:hyperlink w:anchor="k28" w:history="1">
        <w:r>
          <w:t>28</w:t>
        </w:r>
      </w:hyperlink>
      <w:r>
        <w:t xml:space="preserve"> erklärt die Meldepflichten für Auslandsvermögen im Detail; hier nur die Kurzfassung fürs Sparen.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9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B96" w14:textId="77777777" w:rsidR="00C1548D" w:rsidRDefault="009B1B4B">
            <w:pPr>
              <w:keepNext/>
              <w:spacing w:after="70" w:line="240" w:lineRule="auto"/>
            </w:pPr>
            <w:r>
              <w:rPr>
                <w:b/>
                <w:bCs/>
                <w:color w:val="9B2C2C"/>
                <w:spacing w:val="24"/>
                <w:sz w:val="16"/>
                <w:szCs w:val="16"/>
              </w:rPr>
              <w:t>ACHTUNG</w:t>
            </w:r>
          </w:p>
          <w:p w14:paraId="70A4EB97" w14:textId="564C3902" w:rsidR="00C1548D" w:rsidRDefault="009B1B4B">
            <w:pPr>
              <w:spacing w:after="80" w:line="264" w:lineRule="auto"/>
            </w:pPr>
            <w:r>
              <w:rPr>
                <w:sz w:val="20"/>
                <w:szCs w:val="20"/>
              </w:rPr>
              <w:t xml:space="preserve">Deutsche Fonds und ETFs gelten für US-Steuerpflichtige fast immer als </w:t>
            </w:r>
            <w:r>
              <w:rPr>
                <w:i/>
                <w:iCs/>
                <w:sz w:val="20"/>
                <w:szCs w:val="20"/>
              </w:rPr>
              <w:t>PFIC</w:t>
            </w:r>
            <w:r>
              <w:rPr>
                <w:sz w:val="20"/>
                <w:szCs w:val="20"/>
              </w:rPr>
              <w:t xml:space="preserve"> (</w:t>
            </w:r>
            <w:r>
              <w:rPr>
                <w:i/>
                <w:iCs/>
                <w:sz w:val="20"/>
                <w:szCs w:val="20"/>
              </w:rPr>
              <w:t>Passive Foreign Investment Company</w:t>
            </w:r>
            <w:r>
              <w:rPr>
                <w:sz w:val="20"/>
                <w:szCs w:val="20"/>
              </w:rPr>
              <w:t>,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Kapitel </w:t>
            </w:r>
            <w:hyperlink w:anchor="k28" w:history="1">
              <w:r>
                <w:rPr>
                  <w:sz w:val="20"/>
                  <w:szCs w:val="20"/>
                </w:rPr>
                <w:t>28</w:t>
              </w:r>
            </w:hyperlink>
            <w:r>
              <w:rPr>
                <w:sz w:val="20"/>
                <w:szCs w:val="20"/>
              </w:rPr>
              <w:t>.</w:t>
            </w:r>
          </w:p>
        </w:tc>
      </w:tr>
    </w:tbl>
    <w:p w14:paraId="70A4EB99" w14:textId="77777777" w:rsidR="00C1548D" w:rsidRDefault="00C1548D">
      <w:pPr>
        <w:spacing w:line="220" w:lineRule="exact"/>
      </w:pPr>
    </w:p>
    <w:p w14:paraId="70A4EB9A" w14:textId="77777777" w:rsidR="00C1548D" w:rsidRDefault="009B1B4B">
      <w:pPr>
        <w:pStyle w:val="Heading3"/>
        <w:keepNext/>
        <w:jc w:val="center"/>
      </w:pPr>
      <w:r>
        <w:rPr>
          <w:rFonts w:ascii="Amazon Ember" w:eastAsia="Amazon Ember" w:hAnsi="Amazon Ember" w:cs="Amazon Ember"/>
          <w:color w:val="0000FF"/>
          <w:sz w:val="36"/>
          <w:szCs w:val="36"/>
        </w:rPr>
        <w:t>Deutsche Vorsorge: behalten oder abwickeln</w:t>
      </w:r>
    </w:p>
    <w:p w14:paraId="70A4EB9B" w14:textId="77777777" w:rsidR="00C1548D" w:rsidRDefault="009B1B4B">
      <w:pPr>
        <w:spacing w:after="140"/>
      </w:pPr>
      <w:r>
        <w:t xml:space="preserve">Deutsche Vorsorgeverträge sind zäh – sie kündigen sich nicht von selbst, auch nicht über den Atlantik hinweg, und laufen munter </w:t>
      </w:r>
      <w:r>
        <w:lastRenderedPageBreak/>
        <w:t>weiter, wenn du sie nicht aktiv beendest; ob das sinnvoll ist, hängt vom Vertrag ab.</w:t>
      </w:r>
    </w:p>
    <w:p w14:paraId="70A4EB9C" w14:textId="74BCB5D7" w:rsidR="00C1548D" w:rsidRDefault="009B1B4B" w:rsidP="009B1B4B">
      <w:pPr>
        <w:pStyle w:val="ListParagraph"/>
        <w:numPr>
          <w:ilvl w:val="0"/>
          <w:numId w:val="1"/>
        </w:numPr>
        <w:spacing w:after="60"/>
      </w:pPr>
      <w:r>
        <w:rPr>
          <w:b/>
          <w:bCs/>
        </w:rPr>
        <w:t>Gesetzliche Krankenversicherung (GKV):</w:t>
      </w:r>
      <w:r>
        <w:t xml:space="preserve"> Die Pflichtmitgliedschaft endet mit dem letzten Arbeitstag. Eine freiwillige Mitgliedschaft läuft dagegen weiter, bis du sie kündigst – ohne Kündigung zahlst du trotz ruhendem Leistungsanspruch im Ausland weiter. Wer eine Rückkehroption offenhalten will, etwa weil ein Umzug zurück nach Deutschland denkbar bleibt (Kapitel </w:t>
      </w:r>
      <w:hyperlink w:anchor="k42" w:history="1">
        <w:r>
          <w:t>42</w:t>
        </w:r>
      </w:hyperlink>
      <w:r>
        <w:t>), sichert sich vor der Ausreise eine Anwartschaft bei der Kasse (laut Verbraucherquellen rund 70 €/Monat, je nach Kasse unterschiedlich).</w:t>
      </w:r>
    </w:p>
    <w:p w14:paraId="70A4EB9D" w14:textId="77777777" w:rsidR="00C1548D" w:rsidRDefault="009B1B4B" w:rsidP="009B1B4B">
      <w:pPr>
        <w:pStyle w:val="ListParagraph"/>
        <w:numPr>
          <w:ilvl w:val="0"/>
          <w:numId w:val="1"/>
        </w:numPr>
        <w:spacing w:after="60"/>
      </w:pPr>
      <w:r>
        <w:rPr>
          <w:b/>
          <w:bCs/>
        </w:rPr>
        <w:t>Private Krankenversicherung (PKV):</w:t>
      </w:r>
      <w:r>
        <w:t xml:space="preserve"> Eine Kündigung vernichtet die angesparten Alterungsrückstellungen. Eine „kleine“ Anwartschaft (rund 5–10 % des Beitrags) sichert den Gesundheitszustand, eine „große“ (rund 20–45 %) zusätzlich das Eintrittsalter.</w:t>
      </w:r>
    </w:p>
    <w:p w14:paraId="70A4EB9E" w14:textId="77777777" w:rsidR="00C1548D" w:rsidRDefault="009B1B4B" w:rsidP="009B1B4B">
      <w:pPr>
        <w:pStyle w:val="ListParagraph"/>
        <w:numPr>
          <w:ilvl w:val="0"/>
          <w:numId w:val="1"/>
        </w:numPr>
        <w:spacing w:after="60"/>
      </w:pPr>
      <w:r>
        <w:rPr>
          <w:b/>
          <w:bCs/>
        </w:rPr>
        <w:t>Riester:</w:t>
      </w:r>
      <w:r>
        <w:t xml:space="preserve"> Der Wegzug in der Ansparphase löst nichts aus; kritisch wird es erst, wenn die Auszahlungsphase beginnt, während du außerhalb der EU/EWR wohnst – dann fordert der Anbieter Zulagen und Steuervorteile zurück. Ab 1. Januar 2027 gibt es keine neuen Riester-Verträge mehr, bestehende laufen mit Bestandsschutz weiter.</w:t>
      </w:r>
    </w:p>
    <w:p w14:paraId="70A4EB9F" w14:textId="77777777" w:rsidR="00C1548D" w:rsidRDefault="009B1B4B" w:rsidP="009B1B4B">
      <w:pPr>
        <w:pStyle w:val="ListParagraph"/>
        <w:numPr>
          <w:ilvl w:val="0"/>
          <w:numId w:val="1"/>
        </w:numPr>
        <w:spacing w:after="60"/>
      </w:pPr>
      <w:r>
        <w:rPr>
          <w:b/>
          <w:bCs/>
        </w:rPr>
        <w:t>Rürup und betriebliche Altersvorsorge (bAV):</w:t>
      </w:r>
      <w:r>
        <w:t xml:space="preserve"> Rürup-Verträge sind nicht kündbar; der Wegzug allein löst nichts aus, die US-Besteuerung der späteren Auszahlung ist aber nicht abschließend geklärt. Die bAV nach § 1 BetrAVG ist im DBA ausdrücklich als „Pension Plan“ anerkannt; unverfallbare Ansprüche bleiben erhalten und werden auch ins Ausland ausgezahlt.</w:t>
      </w:r>
    </w:p>
    <w:p w14:paraId="70A4EBA0"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A3"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BA1" w14:textId="77777777" w:rsidR="00C1548D" w:rsidRDefault="009B1B4B">
            <w:pPr>
              <w:keepNext/>
              <w:spacing w:after="70" w:line="240" w:lineRule="auto"/>
            </w:pPr>
            <w:r>
              <w:rPr>
                <w:b/>
                <w:bCs/>
                <w:color w:val="2F6B3B"/>
                <w:spacing w:val="24"/>
                <w:sz w:val="16"/>
                <w:szCs w:val="16"/>
              </w:rPr>
              <w:lastRenderedPageBreak/>
              <w:t>SPARTIPP</w:t>
            </w:r>
          </w:p>
          <w:p w14:paraId="70A4EBA2" w14:textId="77777777" w:rsidR="00C1548D" w:rsidRDefault="009B1B4B">
            <w:pPr>
              <w:spacing w:after="80" w:line="264" w:lineRule="auto"/>
            </w:pPr>
            <w:r>
              <w:rPr>
                <w:sz w:val="20"/>
                <w:szCs w:val="20"/>
              </w:rPr>
              <w:t>Lass Riester-, Rürup- und bAV-Verträge vor dem Umzug von einem Berater bewerten, der beide Länder kennt – oft lohnt sich das Weiterführen der bAV, während Riester in der Auszahlungsphase zum Problem werden kann.</w:t>
            </w:r>
          </w:p>
        </w:tc>
      </w:tr>
    </w:tbl>
    <w:p w14:paraId="70A4EBA4" w14:textId="77777777" w:rsidR="00C1548D" w:rsidRDefault="00C1548D">
      <w:pPr>
        <w:spacing w:line="220" w:lineRule="exact"/>
      </w:pPr>
    </w:p>
    <w:p w14:paraId="70A4EBA5" w14:textId="77777777" w:rsidR="00C1548D" w:rsidRDefault="009B1B4B">
      <w:pPr>
        <w:pStyle w:val="Heading3"/>
        <w:keepNext/>
        <w:jc w:val="center"/>
      </w:pPr>
      <w:r>
        <w:rPr>
          <w:rFonts w:ascii="Amazon Ember" w:eastAsia="Amazon Ember" w:hAnsi="Amazon Ember" w:cs="Amazon Ember"/>
          <w:color w:val="0000FF"/>
          <w:sz w:val="36"/>
          <w:szCs w:val="36"/>
        </w:rPr>
        <w:t>Testament, Vollmacht und Patientenverfügung</w:t>
      </w:r>
    </w:p>
    <w:p w14:paraId="70A4EBA6" w14:textId="77777777" w:rsidR="00C1548D" w:rsidRDefault="009B1B4B">
      <w:pPr>
        <w:spacing w:after="140"/>
      </w:pPr>
      <w: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t>
      </w:r>
      <w:r>
        <w:rPr>
          <w:i/>
          <w:iCs/>
        </w:rPr>
        <w:t>Will</w:t>
      </w:r>
      <w:r>
        <w:t>) entscheidet die gesetzliche Erbfolge des Bundesstaats, wer erbt – das muss nicht der Partner oder die Kinder sein, und bei minderjährigen Kindern entscheidet im Zweifel ein Familiengericht über die Vormundschaft.</w:t>
      </w:r>
    </w:p>
    <w:p w14:paraId="70A4EBA7" w14:textId="77777777" w:rsidR="00C1548D" w:rsidRDefault="009B1B4B">
      <w:pPr>
        <w:spacing w:after="140"/>
      </w:pPr>
      <w:r>
        <w:t>Ergänzend nutzen viele Amerikaner einen widerruflichen Trust (</w:t>
      </w:r>
      <w:r>
        <w:rPr>
          <w:i/>
          <w:iCs/>
        </w:rPr>
        <w:t>Revocable Living Trust</w:t>
      </w:r>
      <w:r>
        <w:t xml:space="preserve">): Du überträgst Vermögen zu Lebzeiten in den Trust, bleibst selbst Verwalter und Begünstigter, und nach deinem Tod geht es ohne </w:t>
      </w:r>
      <w:r>
        <w:rPr>
          <w:i/>
          <w:iCs/>
        </w:rPr>
        <w:t>Probate</w:t>
      </w:r>
      <w:r>
        <w:t xml:space="preserv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w:t>
      </w:r>
      <w:r>
        <w:rPr>
          <w:i/>
          <w:iCs/>
        </w:rPr>
        <w:t>Payable on Death</w:t>
      </w:r>
      <w:r>
        <w:t>, POD) umgehen Probate; 401(k), IRA und Lebensversicherungen gehen ohnehin direkt an die dort benannte Person – prüfe diese Angaben nach jedem größeren Lebensereignis. Für den Ernstfall zu Lebzeiten brauchst du zusätzlich eine finanzielle Vollmacht (</w:t>
      </w:r>
      <w:r>
        <w:rPr>
          <w:i/>
          <w:iCs/>
        </w:rPr>
        <w:t>Durable Power of Attorney</w:t>
      </w:r>
      <w:r>
        <w:t xml:space="preserve">) und eine Patientenverfügung mit Vollmacht für </w:t>
      </w:r>
      <w:r>
        <w:lastRenderedPageBreak/>
        <w:t>Gesundheitsentscheidungen (</w:t>
      </w:r>
      <w:r>
        <w:rPr>
          <w:i/>
          <w:iCs/>
        </w:rPr>
        <w:t>Healthcare Directive</w:t>
      </w:r>
      <w:r>
        <w:t xml:space="preserve">, </w:t>
      </w:r>
      <w:r>
        <w:rPr>
          <w:i/>
          <w:iCs/>
        </w:rPr>
        <w:t>Healthcare Power of Attorney</w:t>
      </w:r>
      <w:r>
        <w:t>); beide Formulare stellen viele Bundesstaaten und Anwaltskammern kostenlos bereit.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AA"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BA8" w14:textId="77777777" w:rsidR="00C1548D" w:rsidRDefault="009B1B4B">
            <w:pPr>
              <w:keepNext/>
              <w:spacing w:after="70" w:line="240" w:lineRule="auto"/>
            </w:pPr>
            <w:r>
              <w:rPr>
                <w:b/>
                <w:bCs/>
                <w:color w:val="4A5568"/>
                <w:spacing w:val="24"/>
                <w:sz w:val="16"/>
                <w:szCs w:val="16"/>
              </w:rPr>
              <w:t>PRAXISBEISPIEL · FIKTIV</w:t>
            </w:r>
          </w:p>
          <w:p w14:paraId="70A4EBA9" w14:textId="77777777" w:rsidR="00C1548D" w:rsidRDefault="009B1B4B">
            <w:pPr>
              <w:spacing w:after="80" w:line="264" w:lineRule="auto"/>
            </w:pPr>
            <w:r>
              <w:rPr>
                <w:sz w:val="20"/>
                <w:szCs w:val="20"/>
              </w:rPr>
              <w:t xml:space="preserve">Familie Brandt (fiktives Beispiel) lässt sich in Michigan von einer Anwältin für Nachlassrecht beraten, kurz nachdem die Green Card durch ist. Der wichtigste Rat: Ohne US-Testament entscheidet im Zweifel ein Familiengericht in Michigan, wer Lena und Jonas aufzieht, falls beiden Eltern etwas zustößt – nicht automatisch die Großeltern in Stuttgart. Markus und Anna setzen ein Testament mit Vormundschaftsklausel auf, dazu eine finanzielle Vollmacht und eine Patientenverfügung nach Michigan-Recht. Das komplette </w:t>
            </w:r>
            <w:r>
              <w:rPr>
                <w:sz w:val="20"/>
                <w:szCs w:val="20"/>
              </w:rPr>
              <w:t>Paket beim Anwalt kostet rund 900 $.</w:t>
            </w:r>
          </w:p>
        </w:tc>
      </w:tr>
    </w:tbl>
    <w:p w14:paraId="70A4EBAB"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A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BAC" w14:textId="77777777" w:rsidR="00C1548D" w:rsidRDefault="009B1B4B">
            <w:pPr>
              <w:keepNext/>
              <w:spacing w:after="70" w:line="240" w:lineRule="auto"/>
            </w:pPr>
            <w:r>
              <w:rPr>
                <w:b/>
                <w:bCs/>
                <w:color w:val="9B2C2C"/>
                <w:spacing w:val="24"/>
                <w:sz w:val="16"/>
                <w:szCs w:val="16"/>
              </w:rPr>
              <w:t>ACHTUNG</w:t>
            </w:r>
          </w:p>
          <w:p w14:paraId="70A4EBAD" w14:textId="77777777" w:rsidR="00C1548D" w:rsidRDefault="009B1B4B">
            <w:pPr>
              <w:spacing w:after="80" w:line="264" w:lineRule="auto"/>
            </w:pPr>
            <w:r>
              <w:rPr>
                <w:sz w:val="20"/>
                <w:szCs w:val="20"/>
              </w:rPr>
              <w:t>Eine deutsche Vorsorgevollmacht oder Patientenverfügung gilt in den USA nicht automatisch; Kliniken und Banken verlangen eigene, bundesstaatliche Formulare. Besorge dir US-Dokumente, sobald du einen festen Wohnsitz hast, und bewahre die deutschen Originale parallel auf, falls du dort noch Vermögen hast.</w:t>
            </w:r>
          </w:p>
        </w:tc>
      </w:tr>
    </w:tbl>
    <w:p w14:paraId="70A4EBAF"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B2"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BB0" w14:textId="77777777" w:rsidR="00C1548D" w:rsidRDefault="009B1B4B">
            <w:pPr>
              <w:keepNext/>
              <w:spacing w:after="70" w:line="240" w:lineRule="auto"/>
            </w:pPr>
            <w:r>
              <w:rPr>
                <w:b/>
                <w:bCs/>
                <w:color w:val="6B7280"/>
                <w:spacing w:val="24"/>
                <w:sz w:val="16"/>
                <w:szCs w:val="16"/>
              </w:rPr>
              <w:t>KEIN RECHTSRAT</w:t>
            </w:r>
          </w:p>
          <w:p w14:paraId="70A4EBB1" w14:textId="77777777" w:rsidR="00C1548D" w:rsidRDefault="009B1B4B">
            <w:pPr>
              <w:spacing w:after="80" w:line="264" w:lineRule="auto"/>
            </w:pPr>
            <w:r>
              <w:rPr>
                <w:sz w:val="20"/>
                <w:szCs w:val="20"/>
              </w:rPr>
              <w:t>Dieser Abschnitt erklärt Begriffe und Zusammenhänge, ersetzt aber keine Rechtsberatung. Testament, Trust und Vollmachten regelt jeder Bundesstaat unterschiedlich; lass die Dokumente von einer Anwältin oder einem Anwalt für Nachlassrecht in deinem Bundesstaat aufsetzen.</w:t>
            </w:r>
          </w:p>
        </w:tc>
      </w:tr>
    </w:tbl>
    <w:p w14:paraId="70A4EBB3" w14:textId="77777777" w:rsidR="00C1548D" w:rsidRDefault="00C1548D">
      <w:pPr>
        <w:spacing w:line="220" w:lineRule="exact"/>
      </w:pPr>
    </w:p>
    <w:p w14:paraId="70A4EBB4" w14:textId="77777777" w:rsidR="00C1548D" w:rsidRDefault="009B1B4B">
      <w:pPr>
        <w:pStyle w:val="Heading3"/>
        <w:keepNext/>
        <w:jc w:val="center"/>
      </w:pPr>
      <w:r>
        <w:rPr>
          <w:rFonts w:ascii="Amazon Ember" w:eastAsia="Amazon Ember" w:hAnsi="Amazon Ember" w:cs="Amazon Ember"/>
          <w:color w:val="0000FF"/>
          <w:sz w:val="36"/>
          <w:szCs w:val="36"/>
        </w:rPr>
        <w:t>Nachlasssteuer und Erbschaft über den Atlantik</w:t>
      </w:r>
    </w:p>
    <w:p w14:paraId="70A4EBB5" w14:textId="77777777" w:rsidR="00C1548D" w:rsidRDefault="009B1B4B">
      <w:pPr>
        <w:spacing w:after="140"/>
      </w:pPr>
      <w:r>
        <w:t>Die US-Nachlasssteuer (</w:t>
      </w:r>
      <w:r>
        <w:rPr>
          <w:i/>
          <w:iCs/>
        </w:rPr>
        <w:t>Estate Tax</w:t>
      </w:r>
      <w:r>
        <w:t xml:space="preserve">) betrifft 2026 nur große Vermögen: Wer in den USA </w:t>
      </w:r>
      <w:r>
        <w:rPr>
          <w:i/>
          <w:iCs/>
        </w:rPr>
        <w:t>domiziliert</w:t>
      </w:r>
      <w:r>
        <w:t xml:space="preserve"> ist – ein engerer Begriff als reine Steueransässigkeit, denn er verlangt einen Wohnsitz mit erkennbarer Bleibeabsicht –, hat einen Freibetrag von 15 Millionen $ </w:t>
      </w:r>
      <w:r>
        <w:lastRenderedPageBreak/>
        <w:t>pro Person, darüber greift ein Spitzensatz von 40 %. Für die meisten Zuwanderer ist das kein Thema. Anders für alle, die noch nicht domiziliert sind, aber US-Vermögen besitzen, etwa ein Haus oder ein Maklerdepot: Der Freibetrag für Nichtdomizilierte liegt bei nur 60.000 $ (Form 706-NA); ausländische Konten und Lebensversicherungsleistungen zählen d</w:t>
      </w:r>
      <w:r>
        <w:t>abei nicht mit. Schenkungen bleiben bis 19.000 $ je Empfänger und Jahr steuerfrei, an einen nicht-amerikanischen Ehepartner bis 194.000 $.</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B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BB6" w14:textId="77777777" w:rsidR="00C1548D" w:rsidRDefault="009B1B4B">
            <w:pPr>
              <w:keepNext/>
              <w:spacing w:after="70" w:line="240" w:lineRule="auto"/>
            </w:pPr>
            <w:r>
              <w:rPr>
                <w:b/>
                <w:bCs/>
                <w:color w:val="9B2C2C"/>
                <w:spacing w:val="24"/>
                <w:sz w:val="16"/>
                <w:szCs w:val="16"/>
              </w:rPr>
              <w:t>ACHTUNG</w:t>
            </w:r>
          </w:p>
          <w:p w14:paraId="70A4EBB7" w14:textId="77777777" w:rsidR="00C1548D" w:rsidRDefault="009B1B4B">
            <w:pPr>
              <w:spacing w:after="80" w:line="264" w:lineRule="auto"/>
            </w:pPr>
            <w:r>
              <w:rPr>
                <w:sz w:val="20"/>
                <w:szCs w:val="20"/>
              </w:rPr>
              <w:t>Die 60.000-$-Grenze für Nichtdomizilierte trifft schneller als gedacht – ein zu früh gekauftes US-Ferienhaus oder ein Maklerkonto kann sie überschreiten, während dein Auslandsvermögen unangetastet bleibt. Kläre bei größeren US-Investitionen vor Erreichen der Domizil-Schwelle mit einem Steuerberater, ob eine andere Eigentumsstruktur sinnvoller ist.</w:t>
            </w:r>
          </w:p>
        </w:tc>
      </w:tr>
    </w:tbl>
    <w:p w14:paraId="70A4EBB9" w14:textId="77777777" w:rsidR="00C1548D" w:rsidRDefault="00C1548D">
      <w:pPr>
        <w:spacing w:line="220" w:lineRule="exact"/>
      </w:pPr>
    </w:p>
    <w:p w14:paraId="70A4EBBA" w14:textId="34AFA84F" w:rsidR="00C1548D" w:rsidRDefault="009B1B4B">
      <w:pPr>
        <w:spacing w:after="140"/>
      </w:pPr>
      <w:r>
        <w:t>Verbreiteter Irrtum: Mit dem letzten Blick auf den Rückspiegel endet vermeintlich auch die deutsche Steuerpflicht fürs Erbe. Tatsächlich bleibt die deutsche Seite parallel bestehen: Deutsche Staatsangehörige sind bis zu fünf Jahre nach dem Wegzug ohne deutschen Wohnsitz weiter unbeschränkt erbschaft- und schenkungsteuerpflichtig (§ 2 ErbStG) – als Erblasser, Schenker oder Erwerber. Die deutschen Freibeträge gelten unverändert: 500.000 € für Ehepartner, 400.000 € je Kind, 200.000 € je Enkelkind, 100.000 € fü</w:t>
      </w:r>
      <w:r>
        <w:t xml:space="preserve">r übrige Personen der Steuerklasse I, 20.000 € für Steuerklasse II und III. Innerhalb der Fünf-Jahres-Frist können beide Steuern gleichzeitig anfallen; ein eigenes Doppelbesteuerungsabkommen für Erbschaften (1980, mit Protokollen von 1998 und 2006) regelt die Anrechnung im Detail – das gehört in die Hände eines Beraters mit Erfahrung in beiden Rechtsordnungen. Zur deutschen Seite insgesamt: </w:t>
      </w:r>
      <w:r>
        <w:t>Kapitel </w:t>
      </w:r>
      <w:hyperlink w:anchor="k17" w:history="1">
        <w:r>
          <w:t>17</w:t>
        </w:r>
      </w:hyperlink>
      <w:r>
        <w:t>.</w:t>
      </w:r>
    </w:p>
    <w:p w14:paraId="70A4EBBB" w14:textId="0348EB01" w:rsidR="00C1548D" w:rsidRDefault="009B1B4B">
      <w:pPr>
        <w:spacing w:after="140"/>
      </w:pPr>
      <w:r>
        <w:t xml:space="preserve">Erbst du selbst aus Deutschland, ist das für die US-Steuer meist unproblematisch: Der Empfänger einer Erbschaft zahlt in den USA grundsätzlich keine eigene Steuer darauf. Melden musst du </w:t>
      </w:r>
      <w:r>
        <w:lastRenderedPageBreak/>
        <w:t xml:space="preserve">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w:t>
      </w:r>
      <w:r>
        <w:t>Kapitel </w:t>
      </w:r>
      <w:hyperlink w:anchor="k28" w:history="1">
        <w:r>
          <w:t>28</w:t>
        </w:r>
      </w:hyperlink>
      <w:r>
        <w:t>.</w:t>
      </w:r>
    </w:p>
    <w:p w14:paraId="70A4EBBC" w14:textId="77777777" w:rsidR="00C1548D" w:rsidRDefault="009B1B4B">
      <w:pPr>
        <w:pStyle w:val="Heading3"/>
        <w:keepNext/>
        <w:jc w:val="center"/>
      </w:pPr>
      <w:r>
        <w:rPr>
          <w:rFonts w:ascii="Amazon Ember" w:eastAsia="Amazon Ember" w:hAnsi="Amazon Ember" w:cs="Amazon Ember"/>
          <w:color w:val="0000FF"/>
          <w:sz w:val="36"/>
          <w:szCs w:val="36"/>
        </w:rPr>
        <w:t>Leben und Arbeitskraft absichern</w:t>
      </w:r>
    </w:p>
    <w:p w14:paraId="70A4EBBD" w14:textId="77777777" w:rsidR="00C1548D" w:rsidRDefault="009B1B4B">
      <w:pPr>
        <w:spacing w:after="140"/>
      </w:pPr>
      <w:r>
        <w:t xml:space="preserve">In Deutschland ist die Berufsunfähigkeitsversicherung eine der wichtigsten Absicherungen; ein direktes US-Gegenstück gibt es nicht. Der nächste Verwandte ist die </w:t>
      </w:r>
      <w:r>
        <w:rPr>
          <w:i/>
          <w:iCs/>
        </w:rPr>
        <w:t>Long-Term Disability</w:t>
      </w:r>
      <w:r>
        <w:t xml:space="preserve">-Versicherung (LTD, Erwerbsunfähigkeitsschutz), die viele Arbeitgeber als Zusatzleistung anbieten –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w:t>
      </w:r>
      <w:r>
        <w:rPr>
          <w:i/>
          <w:iCs/>
        </w:rPr>
        <w:t>Social Security Disability Insurance</w:t>
      </w:r>
      <w:r>
        <w:t xml:space="preserve"> (SSDI) springt erst bei sehr strengen Voraussetzungen und eigenen Beitragsjahren ein und ersetzt keine private Absicherung.</w:t>
      </w:r>
    </w:p>
    <w:p w14:paraId="70A4EBBE" w14:textId="77777777" w:rsidR="00C1548D" w:rsidRDefault="009B1B4B">
      <w:pPr>
        <w:spacing w:after="140"/>
      </w:pPr>
      <w:r>
        <w:t xml:space="preserve">Lebensversicherung heißt in den USA meist </w:t>
      </w:r>
      <w:r>
        <w:rPr>
          <w:i/>
          <w:iCs/>
        </w:rPr>
        <w:t>Term Life</w:t>
      </w:r>
      <w:r>
        <w:t>: eine reine Risikoversicherung über 10, 20 oder 30 Jahre ohne Sparanteil, günstig und für die meisten Familien mit Kindern oder Hypothek ausreichend. Eine Gruppen-Lebensversicherung des Arbeitgebers ist oft auf ein niedriges Vielfaches des Jahresgehalts begrenzt und endet mit dem Job – für die eigentliche Absicherung zählt meist nur die private Police.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C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BBF" w14:textId="77777777" w:rsidR="00C1548D" w:rsidRDefault="009B1B4B">
            <w:pPr>
              <w:keepNext/>
              <w:spacing w:after="70" w:line="240" w:lineRule="auto"/>
            </w:pPr>
            <w:r>
              <w:rPr>
                <w:b/>
                <w:bCs/>
                <w:color w:val="9B2C2C"/>
                <w:spacing w:val="24"/>
                <w:sz w:val="16"/>
                <w:szCs w:val="16"/>
              </w:rPr>
              <w:lastRenderedPageBreak/>
              <w:t>ACHTUNG</w:t>
            </w:r>
          </w:p>
          <w:p w14:paraId="70A4EBC0" w14:textId="77777777" w:rsidR="00C1548D" w:rsidRDefault="009B1B4B">
            <w:pPr>
              <w:spacing w:after="80" w:line="264" w:lineRule="auto"/>
            </w:pPr>
            <w:r>
              <w:rPr>
                <w:sz w:val="20"/>
                <w:szCs w:val="20"/>
              </w:rPr>
              <w:t>Berater verkaufen Einwanderern häufig fondsgebundene oder lebenslange Policen (</w:t>
            </w:r>
            <w:r>
              <w:rPr>
                <w:i/>
                <w:iCs/>
                <w:sz w:val="20"/>
                <w:szCs w:val="20"/>
              </w:rPr>
              <w:t>Whole Life</w:t>
            </w:r>
            <w:r>
              <w:rPr>
                <w:sz w:val="20"/>
                <w:szCs w:val="20"/>
              </w:rPr>
              <w:t xml:space="preserve">, </w:t>
            </w:r>
            <w:r>
              <w:rPr>
                <w:i/>
                <w:iCs/>
                <w:sz w:val="20"/>
                <w:szCs w:val="20"/>
              </w:rPr>
              <w:t>Universal Life</w:t>
            </w:r>
            <w:r>
              <w:rPr>
                <w:sz w:val="20"/>
                <w:szCs w:val="20"/>
              </w:rPr>
              <w:t>) als Vorsorge- und Sparlösung in einem. Die Abschlussprovision steckt in den ersten Jahresprämien, die Rendite bleibt oft hinter einem einfachen Sparplan zurück. Trenne Risikoschutz (Term Life, LTD) und Vermögensaufbau (401(k), IRA, US-Fonds) bewusst.</w:t>
            </w:r>
          </w:p>
        </w:tc>
      </w:tr>
    </w:tbl>
    <w:p w14:paraId="70A4EBC2" w14:textId="77777777" w:rsidR="00C1548D" w:rsidRDefault="00C1548D">
      <w:pPr>
        <w:spacing w:line="220" w:lineRule="exact"/>
      </w:pPr>
    </w:p>
    <w:p w14:paraId="70A4EBC3" w14:textId="77777777" w:rsidR="00C1548D" w:rsidRDefault="009B1B4B">
      <w:pPr>
        <w:pStyle w:val="Heading3"/>
        <w:keepNext/>
        <w:jc w:val="center"/>
      </w:pPr>
      <w:r>
        <w:rPr>
          <w:rFonts w:ascii="Amazon Ember" w:eastAsia="Amazon Ember" w:hAnsi="Amazon Ember" w:cs="Amazon Ember"/>
          <w:color w:val="0000FF"/>
          <w:sz w:val="36"/>
          <w:szCs w:val="36"/>
        </w:rPr>
        <w:t>Finanzberater ohne Provisionsfalle wählen</w:t>
      </w:r>
    </w:p>
    <w:p w14:paraId="70A4EBC4" w14:textId="77777777" w:rsidR="00C1548D" w:rsidRDefault="009B1B4B">
      <w:pPr>
        <w:spacing w:after="140"/>
      </w:pPr>
      <w: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w:t>
      </w:r>
      <w:r>
        <w:rPr>
          <w:i/>
          <w:iCs/>
        </w:rPr>
        <w:t>Fee-Only Advisor</w:t>
      </w:r>
      <w:r>
        <w:t>) verdient dagegen ausschließlich von dir – als Stundensatz, Pauschale oder Prozentsatz des verwalteten Vermögens – und unterliegt meist einer durchgehenden Treuepflicht (</w:t>
      </w:r>
      <w:r>
        <w:rPr>
          <w:i/>
          <w:iCs/>
        </w:rPr>
        <w:t>Fiduciary Duty</w:t>
      </w:r>
      <w:r>
        <w:t>). Frage direkt: „Are you a fee-only fiduciary at all times?“ Eine ausweichende Antwort ist ein Warnsignal.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C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BC5" w14:textId="77777777" w:rsidR="00C1548D" w:rsidRDefault="009B1B4B">
            <w:pPr>
              <w:keepNext/>
              <w:spacing w:after="70" w:line="240" w:lineRule="auto"/>
            </w:pPr>
            <w:r>
              <w:rPr>
                <w:b/>
                <w:bCs/>
                <w:color w:val="2F6B3B"/>
                <w:spacing w:val="24"/>
                <w:sz w:val="16"/>
                <w:szCs w:val="16"/>
              </w:rPr>
              <w:t>SPARTIPP</w:t>
            </w:r>
          </w:p>
          <w:p w14:paraId="70A4EBC6" w14:textId="77777777" w:rsidR="00C1548D" w:rsidRDefault="009B1B4B">
            <w:pPr>
              <w:spacing w:after="80" w:line="264" w:lineRule="auto"/>
            </w:pPr>
            <w:r>
              <w:rPr>
                <w:sz w:val="20"/>
                <w:szCs w:val="20"/>
              </w:rPr>
              <w:t>Verzeichnisse wie letsmakeaplan.org (CFP Board) listen zertifizierte, teils gebührenbasierte Planer nach Postleitzahl. Ein Erstgespräch ist meist kostenlos; nutze es, um Vergütung und Interessenkonflikte offen zu erfragen, bevor du unterschreibst.</w:t>
            </w:r>
          </w:p>
        </w:tc>
      </w:tr>
    </w:tbl>
    <w:p w14:paraId="70A4EBC8" w14:textId="77777777" w:rsidR="00C1548D" w:rsidRDefault="00C1548D">
      <w:pPr>
        <w:spacing w:line="220" w:lineRule="exact"/>
      </w:pPr>
    </w:p>
    <w:p w14:paraId="70A4EBC9" w14:textId="77777777" w:rsidR="00C1548D" w:rsidRDefault="009B1B4B">
      <w:pPr>
        <w:pStyle w:val="Heading3"/>
        <w:keepNext/>
        <w:jc w:val="center"/>
      </w:pPr>
      <w:r>
        <w:rPr>
          <w:rFonts w:ascii="Amazon Ember" w:eastAsia="Amazon Ember" w:hAnsi="Amazon Ember" w:cs="Amazon Ember"/>
          <w:color w:val="0000FF"/>
          <w:sz w:val="36"/>
          <w:szCs w:val="36"/>
        </w:rPr>
        <w:lastRenderedPageBreak/>
        <w:t>Zwei Wohnsitze: was das für Vorsorge und Nachlass bedeutet</w:t>
      </w:r>
    </w:p>
    <w:p w14:paraId="70A4EBCA" w14:textId="17D5AA60" w:rsidR="00C1548D" w:rsidRDefault="009B1B4B">
      <w:pPr>
        <w:spacing w:after="140"/>
      </w:pPr>
      <w:r>
        <w:t>Wer Wohnsitze in beide Richtungen offenhält – eine Wohnung in Deutschland, ein Zuhause in den USA –, sollte wissen, dass das mehr betrifft als die Steuererklärung. Steuerlich kann eine „jederzeit nutzbare“ deutsche Wohnung die unbeschränkte Steuerpflicht in Deutschland auslösen (Kapitel </w:t>
      </w:r>
      <w:hyperlink w:anchor="k17" w:history="1">
        <w:r>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w:t>
      </w:r>
      <w:r>
        <w:t>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w14:paraId="70A4EBCB"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BCE"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BCC"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BCD" w14:textId="77777777" w:rsidR="00C1548D" w:rsidRDefault="009B1B4B">
            <w:pPr>
              <w:spacing w:line="250" w:lineRule="auto"/>
            </w:pPr>
            <w:r>
              <w:rPr>
                <w:b/>
                <w:bCs/>
                <w:sz w:val="18"/>
                <w:szCs w:val="18"/>
              </w:rPr>
              <w:t>Minus</w:t>
            </w:r>
          </w:p>
        </w:tc>
      </w:tr>
      <w:tr w:rsidR="00C1548D" w14:paraId="70A4EBD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CF" w14:textId="77777777" w:rsidR="00C1548D" w:rsidRDefault="009B1B4B">
            <w:pPr>
              <w:spacing w:line="250" w:lineRule="auto"/>
            </w:pPr>
            <w:r>
              <w:rPr>
                <w:sz w:val="18"/>
                <w:szCs w:val="18"/>
              </w:rPr>
              <w:t>Hohe Beitragsgrenzen bei 401(k) und IRA erlauben schnellen Vermögensaufbau mit Steuervorteil</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D0" w14:textId="77777777" w:rsidR="00C1548D" w:rsidRDefault="009B1B4B">
            <w:pPr>
              <w:spacing w:line="250" w:lineRule="auto"/>
            </w:pPr>
            <w:r>
              <w:rPr>
                <w:sz w:val="18"/>
                <w:szCs w:val="18"/>
              </w:rPr>
              <w:t>Zwei Rentensysteme, zwei Steuerpflichten fürs Erbe – die Planung wird komplizierter</w:t>
            </w:r>
          </w:p>
        </w:tc>
      </w:tr>
      <w:tr w:rsidR="00C1548D" w14:paraId="70A4EBD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D2" w14:textId="77777777" w:rsidR="00C1548D" w:rsidRDefault="009B1B4B">
            <w:pPr>
              <w:spacing w:line="250" w:lineRule="auto"/>
            </w:pPr>
            <w:r>
              <w:rPr>
                <w:sz w:val="18"/>
                <w:szCs w:val="18"/>
              </w:rPr>
              <w:t>Das Sozialversicherungsabkommen sichert die Wartezeit für die US-Rente; WEP/GPO kürzen seit 2025 nicht mehr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D3" w14:textId="77777777" w:rsidR="00C1548D" w:rsidRDefault="009B1B4B">
            <w:pPr>
              <w:spacing w:line="250" w:lineRule="auto"/>
            </w:pPr>
            <w:r>
              <w:rPr>
                <w:sz w:val="18"/>
                <w:szCs w:val="18"/>
              </w:rPr>
              <w:t>Deutsche Fonds werden zur PFIC-Falle; Umschichten kostet Zeit und oft deutsche Steuer</w:t>
            </w:r>
          </w:p>
        </w:tc>
      </w:tr>
      <w:tr w:rsidR="00C1548D" w14:paraId="70A4EBD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D5" w14:textId="77777777" w:rsidR="00C1548D" w:rsidRDefault="009B1B4B">
            <w:pPr>
              <w:spacing w:line="250" w:lineRule="auto"/>
            </w:pPr>
            <w:r>
              <w:rPr>
                <w:sz w:val="18"/>
                <w:szCs w:val="18"/>
              </w:rPr>
              <w:t>Die HSA bietet einen in Deutschland unbekannten dreifachen Steuervorteil</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D6" w14:textId="77777777" w:rsidR="00C1548D" w:rsidRDefault="009B1B4B">
            <w:pPr>
              <w:spacing w:line="250" w:lineRule="auto"/>
            </w:pPr>
            <w:r>
              <w:rPr>
                <w:sz w:val="18"/>
                <w:szCs w:val="18"/>
              </w:rPr>
              <w:t>Deutsche Vorsorgeverträge (Riester, Lebensversicherung) sind aus den USA schwer zu bewerten</w:t>
            </w:r>
          </w:p>
        </w:tc>
      </w:tr>
      <w:tr w:rsidR="00C1548D" w14:paraId="70A4EBD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D8" w14:textId="77777777" w:rsidR="00C1548D" w:rsidRDefault="009B1B4B">
            <w:pPr>
              <w:spacing w:line="250" w:lineRule="auto"/>
            </w:pPr>
            <w:r>
              <w:rPr>
                <w:sz w:val="18"/>
                <w:szCs w:val="18"/>
              </w:rPr>
              <w:lastRenderedPageBreak/>
              <w:t>Trusts und Begünstigtenbenennungen vermeiden ein langwieriges Nachlassverfahren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D9" w14:textId="77777777" w:rsidR="00C1548D" w:rsidRDefault="009B1B4B">
            <w:pPr>
              <w:spacing w:line="250" w:lineRule="auto"/>
            </w:pPr>
            <w:r>
              <w:rPr>
                <w:sz w:val="18"/>
                <w:szCs w:val="18"/>
              </w:rPr>
              <w:t>Ohne US-Testament entscheidet im Ernstfall ein fremdes Gericht über die Kinder</w:t>
            </w:r>
          </w:p>
        </w:tc>
      </w:tr>
      <w:tr w:rsidR="00C1548D" w14:paraId="70A4EBD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DB" w14:textId="77777777" w:rsidR="00C1548D" w:rsidRDefault="009B1B4B">
            <w:pPr>
              <w:spacing w:line="250" w:lineRule="auto"/>
            </w:pPr>
            <w:r>
              <w:rPr>
                <w:sz w:val="18"/>
                <w:szCs w:val="18"/>
              </w:rPr>
              <w:t>Der Freibetrag für US-Domizilierte bei der Nachlasssteuer ist mit 15 Mio. $ hoch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BDC" w14:textId="77777777" w:rsidR="00C1548D" w:rsidRDefault="009B1B4B">
            <w:pPr>
              <w:spacing w:line="250" w:lineRule="auto"/>
            </w:pPr>
            <w:r>
              <w:rPr>
                <w:sz w:val="18"/>
                <w:szCs w:val="18"/>
              </w:rPr>
              <w:t>Nichtdomizilierte haben nur 60.000 $ Freibetrag – eine Falle bei US-Immobilien</w:t>
            </w:r>
          </w:p>
        </w:tc>
      </w:tr>
    </w:tbl>
    <w:p w14:paraId="70A4EBDE" w14:textId="77777777" w:rsidR="00C1548D" w:rsidRDefault="00C1548D">
      <w:pPr>
        <w:spacing w:line="180" w:lineRule="exact"/>
      </w:pPr>
    </w:p>
    <w:p w14:paraId="70A4EBDF"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BE0" w14:textId="77777777" w:rsidR="00C1548D" w:rsidRDefault="009B1B4B">
      <w:pPr>
        <w:spacing w:after="140"/>
      </w:pPr>
      <w:r>
        <w:t>In den ersten Monaten reicht es, die Konten zu eröffnen und den Arbeitgeber-Match mitzunehmen. Innerhalb des ersten Jahres solltest du ein US-Testament mit Vormundschaftsklausel, eine finanzielle Vollmacht und eine Patientenverfügung aufsetzen lassen – das kostet meist wenige hundert bis rund 1.000 $ und schließt die größte Lücke. Kläre parallel mit einem Berater beider Länder, was mit deutschen Fonds, Riester- oder Lebensversicherungsverträgen passiert, bevor die erste Steuererklärung ansteht. Sobald du di</w:t>
      </w:r>
      <w:r>
        <w:t>ch langfristig niederlässt, lohnt ein Gesamtblick: Rentenanspruch in beiden Ländern, Nachlassplanung, Versicherungsschutz und, bei größerem Vermögen, die Frage nach einem Trust.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EE" w14:textId="77777777">
        <w:tblPrEx>
          <w:tblCellMar>
            <w:top w:w="0" w:type="dxa"/>
            <w:bottom w:w="0" w:type="dxa"/>
          </w:tblCellMar>
        </w:tblPrEx>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BE1" w14:textId="77777777" w:rsidR="00C1548D" w:rsidRDefault="009B1B4B">
            <w:pPr>
              <w:keepNext/>
              <w:spacing w:after="70" w:line="240" w:lineRule="auto"/>
            </w:pPr>
            <w:r>
              <w:rPr>
                <w:b/>
                <w:bCs/>
                <w:color w:val="1F6F78"/>
                <w:spacing w:val="24"/>
                <w:sz w:val="16"/>
                <w:szCs w:val="16"/>
              </w:rPr>
              <w:lastRenderedPageBreak/>
              <w:t>CHECKLISTE</w:t>
            </w:r>
          </w:p>
          <w:p w14:paraId="70A4EBE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Arbeitgeber-Match beim 401(k) vollständig mitnehmen, danach IRA oder Roth IRA prüfen.</w:t>
            </w:r>
          </w:p>
          <w:p w14:paraId="70A4EBE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HSA eröffnen, falls ein Hochselbstbehalt-Tarif (HDHP) vorliegt.</w:t>
            </w:r>
          </w:p>
          <w:p w14:paraId="70A4EBE4" w14:textId="454E7CCC"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Deutsche Fonds und ETFs vor dem Zuzug mit einem Berater beider Länder klären (PFIC, Kapitel </w:t>
            </w:r>
            <w:hyperlink w:anchor="k28" w:history="1">
              <w:r>
                <w:rPr>
                  <w:sz w:val="20"/>
                  <w:szCs w:val="20"/>
                </w:rPr>
                <w:t>28</w:t>
              </w:r>
            </w:hyperlink>
            <w:r>
              <w:rPr>
                <w:sz w:val="20"/>
                <w:szCs w:val="20"/>
              </w:rPr>
              <w:t>).</w:t>
            </w:r>
          </w:p>
          <w:p w14:paraId="70A4EBE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Deutsche Rentenversicherung informieren, Versicherungsverlauf klären, freiwillige Beiträge prüfen.</w:t>
            </w:r>
          </w:p>
          <w:p w14:paraId="70A4EBE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GKV- oder PKV-Anwartschaft vor der Ausreise klären, falls eine Rückkehr denkbar ist.</w:t>
            </w:r>
          </w:p>
          <w:p w14:paraId="70A4EBE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Riester-, Rürup- und bAV-Verträge auf Wegzugsfolgen prüfen lassen.</w:t>
            </w:r>
          </w:p>
          <w:p w14:paraId="70A4EBE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US-Testament mit Vormundschaftsklausel, finanzielle Vollmacht und Patientenverfügung nach dem Recht deines Bundesstaats aufsetzen.</w:t>
            </w:r>
          </w:p>
          <w:p w14:paraId="70A4EBE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Begünstigte bei Renten-, Bank- und Versicherungskonten eintragen und nach jedem Lebensereignis aktualisieren.</w:t>
            </w:r>
          </w:p>
          <w:p w14:paraId="70A4EBE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größerem US-Vermögen vor Erreichen der Domizil-Schwelle die Nachlasssteuer-Freibeträge mit einem Steuerberater prüfen.</w:t>
            </w:r>
          </w:p>
          <w:p w14:paraId="70A4EBE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Erbschaften oder Schenkungen aus Deutschland über 100.000 $ mit Form 3520 melden.</w:t>
            </w:r>
          </w:p>
          <w:p w14:paraId="70A4EBE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Finanzberater nach Vergütung fragen und einen gebührenbasierten Fiduciary-Berater bevorzugen.</w:t>
            </w:r>
          </w:p>
          <w:p w14:paraId="70A4EBE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Erwerbsunfähigkeitsschutz (LTD) und Term-Life-Versicherung unabhängig vom Arbeitgeber prüfen.</w:t>
            </w:r>
          </w:p>
        </w:tc>
      </w:tr>
    </w:tbl>
    <w:p w14:paraId="70A4EBEF" w14:textId="77777777" w:rsidR="00C1548D" w:rsidRDefault="00C1548D">
      <w:pPr>
        <w:spacing w:line="220" w:lineRule="exact"/>
      </w:pPr>
    </w:p>
    <w:p w14:paraId="70A4EBF0"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BF1" w14:textId="4C3DF45D" w:rsidR="00C1548D" w:rsidRDefault="009B1B4B" w:rsidP="009B1B4B">
      <w:pPr>
        <w:pStyle w:val="ListParagraph"/>
        <w:numPr>
          <w:ilvl w:val="0"/>
          <w:numId w:val="1"/>
        </w:numPr>
        <w:spacing w:after="60"/>
      </w:pPr>
      <w:r>
        <w:t>SSA — Sozialversicherungsabkommen Deutschland–USA (</w:t>
      </w:r>
      <w:hyperlink r:id="rId333" w:history="1">
        <w:r>
          <w:rPr>
            <w:color w:val="0563C1"/>
            <w:u w:val="single"/>
          </w:rPr>
          <w:t>ssa.gov/international/Agreement_Pamphlets/germany.html</w:t>
        </w:r>
      </w:hyperlink>
      <w:r>
        <w:t>)</w:t>
      </w:r>
    </w:p>
    <w:p w14:paraId="70A4EBF2" w14:textId="12986F25" w:rsidR="00C1548D" w:rsidRDefault="009B1B4B" w:rsidP="009B1B4B">
      <w:pPr>
        <w:pStyle w:val="ListParagraph"/>
        <w:numPr>
          <w:ilvl w:val="0"/>
          <w:numId w:val="1"/>
        </w:numPr>
        <w:spacing w:after="60"/>
      </w:pPr>
      <w:r>
        <w:t>SSA — Social Security Fairness Act, WEP/GPO-Abschaffung (</w:t>
      </w:r>
      <w:hyperlink r:id="rId334" w:history="1">
        <w:r>
          <w:rPr>
            <w:color w:val="0563C1"/>
            <w:u w:val="single"/>
          </w:rPr>
          <w:t>ssa.gov/benefits/retirement/social-security-fairness-act.html</w:t>
        </w:r>
      </w:hyperlink>
      <w:r>
        <w:t>)</w:t>
      </w:r>
    </w:p>
    <w:p w14:paraId="70A4EBF3" w14:textId="1E050F3F" w:rsidR="00C1548D" w:rsidRDefault="009B1B4B" w:rsidP="009B1B4B">
      <w:pPr>
        <w:pStyle w:val="ListParagraph"/>
        <w:numPr>
          <w:ilvl w:val="0"/>
          <w:numId w:val="1"/>
        </w:numPr>
        <w:spacing w:after="60"/>
      </w:pPr>
      <w:r>
        <w:t>Medicare.gov — Kosten und Anspruchsvoraussetzungen (</w:t>
      </w:r>
      <w:hyperlink r:id="rId335" w:history="1">
        <w:r>
          <w:rPr>
            <w:color w:val="0563C1"/>
            <w:u w:val="single"/>
          </w:rPr>
          <w:t>medicare.gov/basics/costs</w:t>
        </w:r>
      </w:hyperlink>
      <w:r>
        <w:t>)</w:t>
      </w:r>
    </w:p>
    <w:p w14:paraId="70A4EBF4" w14:textId="3EF069C3" w:rsidR="00C1548D" w:rsidRDefault="009B1B4B" w:rsidP="009B1B4B">
      <w:pPr>
        <w:pStyle w:val="ListParagraph"/>
        <w:numPr>
          <w:ilvl w:val="0"/>
          <w:numId w:val="1"/>
        </w:numPr>
        <w:spacing w:after="60"/>
      </w:pPr>
      <w:r>
        <w:lastRenderedPageBreak/>
        <w:t>IRS — Nachlass- und Schenkungsteuer (</w:t>
      </w:r>
      <w:hyperlink r:id="rId336" w:history="1">
        <w:r>
          <w:rPr>
            <w:color w:val="0563C1"/>
            <w:u w:val="single"/>
          </w:rPr>
          <w:t>irs.gov/businesses/small-businesses-self-employed/whats-new-estate-and-gift-tax</w:t>
        </w:r>
      </w:hyperlink>
      <w:r>
        <w:t>)</w:t>
      </w:r>
    </w:p>
    <w:p w14:paraId="70A4EBF5" w14:textId="76B0A7E6" w:rsidR="00C1548D" w:rsidRDefault="009B1B4B" w:rsidP="009B1B4B">
      <w:pPr>
        <w:pStyle w:val="ListParagraph"/>
        <w:numPr>
          <w:ilvl w:val="0"/>
          <w:numId w:val="1"/>
        </w:numPr>
        <w:spacing w:after="60"/>
      </w:pPr>
      <w:r>
        <w:t>IRS — Form 3520, Anleitung (</w:t>
      </w:r>
      <w:hyperlink r:id="rId337" w:history="1">
        <w:r>
          <w:rPr>
            <w:color w:val="0563C1"/>
            <w:u w:val="single"/>
          </w:rPr>
          <w:t>irs.gov/instructions/i3520</w:t>
        </w:r>
      </w:hyperlink>
      <w:r>
        <w:t>)</w:t>
      </w:r>
    </w:p>
    <w:p w14:paraId="70A4EBF6" w14:textId="3A0AD581" w:rsidR="00C1548D" w:rsidRDefault="009B1B4B" w:rsidP="009B1B4B">
      <w:pPr>
        <w:pStyle w:val="ListParagraph"/>
        <w:numPr>
          <w:ilvl w:val="0"/>
          <w:numId w:val="1"/>
        </w:numPr>
        <w:spacing w:after="60"/>
      </w:pPr>
      <w:r>
        <w:t>Deutsche Rentenversicherung — Broschüre „Arbeit und Rente in Deutschland und in den USA“ (</w:t>
      </w:r>
      <w:hyperlink r:id="rId338" w:history="1">
        <w:r>
          <w:rPr>
            <w:color w:val="0563C1"/>
            <w:u w:val="single"/>
          </w:rPr>
          <w:t>deutsche-rentenversicherung.de</w:t>
        </w:r>
      </w:hyperlink>
      <w:r>
        <w:t>)</w:t>
      </w:r>
    </w:p>
    <w:p w14:paraId="70A4EBF7" w14:textId="369A5EA7" w:rsidR="00C1548D" w:rsidRDefault="009B1B4B" w:rsidP="009B1B4B">
      <w:pPr>
        <w:pStyle w:val="ListParagraph"/>
        <w:numPr>
          <w:ilvl w:val="0"/>
          <w:numId w:val="1"/>
        </w:numPr>
        <w:spacing w:after="60"/>
      </w:pPr>
      <w:r>
        <w:t>Gesetze im Internet — Erbschaftsteuer- und Schenkungsteuergesetz, § 2 und § 16 (</w:t>
      </w:r>
      <w:hyperlink r:id="rId339" w:history="1">
        <w:r>
          <w:rPr>
            <w:color w:val="0563C1"/>
            <w:u w:val="single"/>
          </w:rPr>
          <w:t>gesetze-im-internet.de/erbstg_1974</w:t>
        </w:r>
      </w:hyperlink>
      <w:r>
        <w:t>)</w:t>
      </w:r>
    </w:p>
    <w:p w14:paraId="70A4EBF8" w14:textId="1012B706" w:rsidR="00C1548D" w:rsidRDefault="009B1B4B" w:rsidP="009B1B4B">
      <w:pPr>
        <w:pStyle w:val="ListParagraph"/>
        <w:numPr>
          <w:ilvl w:val="0"/>
          <w:numId w:val="1"/>
        </w:numPr>
        <w:spacing w:after="60"/>
      </w:pPr>
      <w:r>
        <w:t>CFP Board — Verzeichnis gebührenbasierter Finanzplaner (</w:t>
      </w:r>
      <w:hyperlink r:id="rId340" w:history="1">
        <w:r>
          <w:rPr>
            <w:color w:val="0563C1"/>
            <w:u w:val="single"/>
          </w:rPr>
          <w:t>letsmakeaplan.org</w:t>
        </w:r>
      </w:hyperlink>
      <w:r>
        <w:t>)</w:t>
      </w:r>
    </w:p>
    <w:p w14:paraId="70A4EBF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BF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BFA" w14:textId="77777777" w:rsidR="00C1548D" w:rsidRDefault="009B1B4B">
            <w:pPr>
              <w:keepNext/>
              <w:spacing w:after="70" w:line="240" w:lineRule="auto"/>
            </w:pPr>
            <w:r>
              <w:rPr>
                <w:b/>
                <w:bCs/>
                <w:color w:val="6B7280"/>
                <w:spacing w:val="24"/>
                <w:sz w:val="16"/>
                <w:szCs w:val="16"/>
              </w:rPr>
              <w:t>STAND</w:t>
            </w:r>
          </w:p>
          <w:p w14:paraId="70A4EBFB" w14:textId="77777777" w:rsidR="00C1548D" w:rsidRDefault="009B1B4B">
            <w:pPr>
              <w:spacing w:after="80" w:line="264" w:lineRule="auto"/>
            </w:pPr>
            <w:r>
              <w:rPr>
                <w:sz w:val="20"/>
                <w:szCs w:val="20"/>
              </w:rPr>
              <w:t>September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tc>
      </w:tr>
    </w:tbl>
    <w:p w14:paraId="70A4EBFD" w14:textId="77777777" w:rsidR="00C1548D" w:rsidRDefault="00C1548D">
      <w:pPr>
        <w:spacing w:line="220" w:lineRule="exact"/>
      </w:pPr>
    </w:p>
    <w:p w14:paraId="70A4EBFE" w14:textId="77777777" w:rsidR="00C1548D" w:rsidRDefault="009B1B4B">
      <w:pPr>
        <w:pStyle w:val="Heading2"/>
        <w:keepNext/>
        <w:pageBreakBefore/>
        <w:jc w:val="center"/>
      </w:pPr>
      <w:bookmarkStart w:id="95" w:name="k40"/>
      <w:bookmarkStart w:id="96" w:name="_Toc241352498"/>
      <w:r>
        <w:rPr>
          <w:rFonts w:ascii="Amazon Ember" w:eastAsia="Amazon Ember" w:hAnsi="Amazon Ember" w:cs="Amazon Ember"/>
          <w:color w:val="0000FF"/>
          <w:sz w:val="36"/>
          <w:szCs w:val="36"/>
        </w:rPr>
        <w:lastRenderedPageBreak/>
        <w:t>Kapitel 40: Recht und Sicherheit im Alltag</w:t>
      </w:r>
      <w:bookmarkEnd w:id="95"/>
      <w:bookmarkEnd w:id="96"/>
    </w:p>
    <w:p w14:paraId="70A4EBFF" w14:textId="77777777" w:rsidR="00C1548D" w:rsidRDefault="009B1B4B">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zusätzlich gilt und wie du dich, deine Familie und dein Geld im Alltag schützt.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07"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C00" w14:textId="77777777" w:rsidR="00C1548D" w:rsidRDefault="009B1B4B">
            <w:pPr>
              <w:keepNext/>
              <w:spacing w:after="70" w:line="240" w:lineRule="auto"/>
            </w:pPr>
            <w:r>
              <w:rPr>
                <w:b/>
                <w:bCs/>
                <w:color w:val="1F3A5F"/>
                <w:spacing w:val="24"/>
                <w:sz w:val="16"/>
                <w:szCs w:val="16"/>
              </w:rPr>
              <w:t>KURZ GESAGT</w:t>
            </w:r>
          </w:p>
          <w:p w14:paraId="70A4EC01" w14:textId="77777777" w:rsidR="00C1548D" w:rsidRDefault="009B1B4B" w:rsidP="009B1B4B">
            <w:pPr>
              <w:pStyle w:val="ListParagraph"/>
              <w:numPr>
                <w:ilvl w:val="0"/>
                <w:numId w:val="1"/>
              </w:numPr>
              <w:spacing w:after="50" w:line="264" w:lineRule="auto"/>
            </w:pPr>
            <w:r>
              <w:rPr>
                <w:sz w:val="20"/>
                <w:szCs w:val="20"/>
              </w:rPr>
              <w:t>Es gilt dasselbe Strafrecht wie für alle, aber Bagatellen können bei dir Visum, Green Card und Einbürgerung gefährden. Die größten Risiken: Trunkenheit am Steuer, Drogen (auch Cannabis), Diebstahl und Gewalt.</w:t>
            </w:r>
          </w:p>
          <w:p w14:paraId="70A4EC02" w14:textId="77777777" w:rsidR="00C1548D" w:rsidRDefault="009B1B4B" w:rsidP="009B1B4B">
            <w:pPr>
              <w:pStyle w:val="ListParagraph"/>
              <w:numPr>
                <w:ilvl w:val="0"/>
                <w:numId w:val="1"/>
              </w:numPr>
              <w:spacing w:after="50" w:line="264" w:lineRule="auto"/>
            </w:pPr>
            <w:r>
              <w:rPr>
                <w:sz w:val="20"/>
                <w:szCs w:val="20"/>
              </w:rPr>
              <w:t>Bei Polizeikontakt: ruhig bleiben, Hände sichtbar, nichts unterschreiben, was du nicht verstehst. Das Recht zu schweigen und einen Anwalt zu verlangen gilt für alle, muss aber ausgesprochen werden.</w:t>
            </w:r>
          </w:p>
          <w:p w14:paraId="70A4EC03" w14:textId="77777777" w:rsidR="00C1548D" w:rsidRDefault="009B1B4B" w:rsidP="009B1B4B">
            <w:pPr>
              <w:pStyle w:val="ListParagraph"/>
              <w:numPr>
                <w:ilvl w:val="0"/>
                <w:numId w:val="1"/>
              </w:numPr>
              <w:spacing w:after="50" w:line="264" w:lineRule="auto"/>
            </w:pPr>
            <w:r>
              <w:rPr>
                <w:sz w:val="20"/>
                <w:szCs w:val="20"/>
              </w:rPr>
              <w:t>Pflichten als Nichtstaatsbürger: Registrierungsnachweis bei dir tragen, jeden Umzug binnen 10 Tagen melden (AR-11), nie wählen; Männer von 18 bis 25 mit Green Card müssen sich beim Selective Service registrieren.</w:t>
            </w:r>
          </w:p>
          <w:p w14:paraId="70A4EC04" w14:textId="77777777" w:rsidR="00C1548D" w:rsidRDefault="009B1B4B" w:rsidP="009B1B4B">
            <w:pPr>
              <w:pStyle w:val="ListParagraph"/>
              <w:numPr>
                <w:ilvl w:val="0"/>
                <w:numId w:val="1"/>
              </w:numPr>
              <w:spacing w:after="50" w:line="264" w:lineRule="auto"/>
            </w:pPr>
            <w:r>
              <w:rPr>
                <w:sz w:val="20"/>
                <w:szCs w:val="20"/>
              </w:rPr>
              <w:t>Waffen: Inhabern eines Visums wie H-1B, L-1 oder F-1 sind Besitz und Erwerb bundesrechtlich verboten; mit Green Card sind sie erlaubt, je nach Bundesstaat.</w:t>
            </w:r>
          </w:p>
          <w:p w14:paraId="70A4EC05" w14:textId="77777777" w:rsidR="00C1548D" w:rsidRDefault="009B1B4B" w:rsidP="009B1B4B">
            <w:pPr>
              <w:pStyle w:val="ListParagraph"/>
              <w:numPr>
                <w:ilvl w:val="0"/>
                <w:numId w:val="1"/>
              </w:numPr>
              <w:spacing w:after="50" w:line="264" w:lineRule="auto"/>
            </w:pPr>
            <w:r>
              <w:rPr>
                <w:sz w:val="20"/>
                <w:szCs w:val="20"/>
              </w:rPr>
              <w:t>Notruf 911. Für Katastrophen brauchst du Warnungen aufs Handy, einen Notvorrat und getrennte Hochwasser- und Erdbebenversicherung.</w:t>
            </w:r>
          </w:p>
          <w:p w14:paraId="70A4EC06" w14:textId="77777777" w:rsidR="00C1548D" w:rsidRDefault="009B1B4B" w:rsidP="009B1B4B">
            <w:pPr>
              <w:pStyle w:val="ListParagraph"/>
              <w:numPr>
                <w:ilvl w:val="0"/>
                <w:numId w:val="1"/>
              </w:numPr>
              <w:spacing w:after="50" w:line="264" w:lineRule="auto"/>
            </w:pPr>
            <w:r>
              <w:rPr>
                <w:sz w:val="20"/>
                <w:szCs w:val="20"/>
              </w:rPr>
              <w:t>Betrug ist häufig; deutsche Vertretungen helfen bei Festnahme und Notlagen.</w:t>
            </w:r>
          </w:p>
        </w:tc>
      </w:tr>
    </w:tbl>
    <w:p w14:paraId="70A4EC08" w14:textId="77777777" w:rsidR="00C1548D" w:rsidRDefault="00C1548D">
      <w:pPr>
        <w:spacing w:line="220" w:lineRule="exact"/>
      </w:pPr>
    </w:p>
    <w:p w14:paraId="70A4EC09" w14:textId="77777777" w:rsidR="00C1548D" w:rsidRDefault="009B1B4B">
      <w:pPr>
        <w:pStyle w:val="Heading3"/>
        <w:keepNext/>
        <w:jc w:val="center"/>
      </w:pPr>
      <w:r>
        <w:rPr>
          <w:rFonts w:ascii="Amazon Ember" w:eastAsia="Amazon Ember" w:hAnsi="Amazon Ember" w:cs="Amazon Ember"/>
          <w:color w:val="0000FF"/>
          <w:sz w:val="36"/>
          <w:szCs w:val="36"/>
        </w:rPr>
        <w:lastRenderedPageBreak/>
        <w:t>Das Rechtssystem in Kurzform</w:t>
      </w:r>
    </w:p>
    <w:p w14:paraId="70A4EC0A" w14:textId="77777777" w:rsidR="00C1548D" w:rsidRDefault="009B1B4B">
      <w:pPr>
        <w:spacing w:after="140"/>
      </w:pPr>
      <w:r>
        <w:t>Die USA haben nicht ein Rechtssystem, sondern 51: das Bundesrecht (</w:t>
      </w:r>
      <w:r>
        <w:rPr>
          <w:i/>
          <w:iCs/>
        </w:rPr>
        <w:t>Federal Law</w:t>
      </w:r>
      <w:r>
        <w:t>) und das Recht der 50 Staaten, dazu Vorschriften von Landkreisen und Städten. Für Einwanderung, Visa und Zoll ist allein der Bund zuständig. Deshalb zählt bei Cannabis für dich das Bundesrecht, selbst dort, wo der Staat den Konsum erlaubt.</w:t>
      </w:r>
    </w:p>
    <w:p w14:paraId="70A4EC0B" w14:textId="6B405238" w:rsidR="00C1548D" w:rsidRDefault="009B1B4B">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history="1">
        <w:r>
          <w:t>31</w:t>
        </w:r>
      </w:hyperlink>
      <w:r>
        <w:t>.</w:t>
      </w:r>
    </w:p>
    <w:p w14:paraId="70A4EC0C" w14:textId="55D581A7" w:rsidR="00C1548D" w:rsidRDefault="009B1B4B">
      <w:pPr>
        <w:spacing w:after="140"/>
      </w:pPr>
      <w:r>
        <w:t xml:space="preserve">Kleinere Streitigkeiten löst das </w:t>
      </w:r>
      <w:r>
        <w:rPr>
          <w:i/>
          <w:iCs/>
        </w:rPr>
        <w:t>Small Claims Court</w:t>
      </w:r>
      <w: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history="1">
        <w:r>
          <w:t>13</w:t>
        </w:r>
      </w:hyperlink>
      <w:r>
        <w:t>), Streit mit Handwerkern und unbezahlte Rechnungen. Der Ablauf: schriftliche Zahlungsaufforderung, Klage beim örtlichen Gericht, förmliche Zustellung an den Gegner (</w:t>
      </w:r>
      <w:r>
        <w:rPr>
          <w:i/>
          <w:iCs/>
        </w:rPr>
        <w:t>Service of Process</w:t>
      </w:r>
      <w:r>
        <w:t>), Verhandlung. Danach musst du das Geld noch eintreiben, denn ein Urteil ist noch keine Zahlung. Haftpflichtschutz für Schäden, die du anderen zufügst, steckt meist in der Mieter- oder Hausversicherung (Kapitel </w:t>
      </w:r>
      <w:hyperlink w:anchor="k25" w:history="1">
        <w:r>
          <w:t>25</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0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C0D" w14:textId="77777777" w:rsidR="00C1548D" w:rsidRDefault="009B1B4B">
            <w:pPr>
              <w:keepNext/>
              <w:spacing w:after="70" w:line="240" w:lineRule="auto"/>
            </w:pPr>
            <w:r>
              <w:rPr>
                <w:b/>
                <w:bCs/>
                <w:color w:val="9B2C2C"/>
                <w:spacing w:val="24"/>
                <w:sz w:val="16"/>
                <w:szCs w:val="16"/>
              </w:rPr>
              <w:lastRenderedPageBreak/>
              <w:t>ACHTUNG</w:t>
            </w:r>
          </w:p>
          <w:p w14:paraId="70A4EC0E" w14:textId="77777777" w:rsidR="00C1548D" w:rsidRDefault="009B1B4B">
            <w:pPr>
              <w:spacing w:after="80" w:line="264" w:lineRule="auto"/>
            </w:pPr>
            <w:r>
              <w:rPr>
                <w:sz w:val="20"/>
                <w:szCs w:val="20"/>
              </w:rPr>
              <w:t>Ignoriere nie eine Vorladung (</w:t>
            </w:r>
            <w:r>
              <w:rPr>
                <w:i/>
                <w:iCs/>
                <w:sz w:val="20"/>
                <w:szCs w:val="20"/>
              </w:rPr>
              <w:t>Summons</w:t>
            </w:r>
            <w:r>
              <w:rPr>
                <w:sz w:val="20"/>
                <w:szCs w:val="20"/>
              </w:rPr>
              <w:t>), einen Strafzettel oder Gerichtspost. Wer nicht erscheint, verliert automatisch (</w:t>
            </w:r>
            <w:r>
              <w:rPr>
                <w:i/>
                <w:iCs/>
                <w:sz w:val="20"/>
                <w:szCs w:val="20"/>
              </w:rPr>
              <w:t>Default Judgment</w:t>
            </w:r>
            <w:r>
              <w:rPr>
                <w:sz w:val="20"/>
                <w:szCs w:val="20"/>
              </w:rPr>
              <w:t>); bei Strafzetteln folgen Führerscheinsperre oder Haftbefehl (</w:t>
            </w:r>
            <w:r>
              <w:rPr>
                <w:i/>
                <w:iCs/>
                <w:sz w:val="20"/>
                <w:szCs w:val="20"/>
              </w:rPr>
              <w:t>Bench Warrant</w:t>
            </w:r>
            <w:r>
              <w:rPr>
                <w:sz w:val="20"/>
                <w:szCs w:val="20"/>
              </w:rPr>
              <w:t>). Ein offener Haftbefehl fällt bei jeder Verlängerung und Einreise auf.</w:t>
            </w:r>
          </w:p>
        </w:tc>
      </w:tr>
    </w:tbl>
    <w:p w14:paraId="70A4EC10" w14:textId="77777777" w:rsidR="00C1548D" w:rsidRDefault="00C1548D">
      <w:pPr>
        <w:spacing w:line="220" w:lineRule="exact"/>
      </w:pPr>
    </w:p>
    <w:p w14:paraId="70A4EC11" w14:textId="77777777" w:rsidR="00C1548D" w:rsidRDefault="009B1B4B">
      <w:pPr>
        <w:pStyle w:val="Heading3"/>
        <w:keepNext/>
        <w:jc w:val="center"/>
      </w:pPr>
      <w:r>
        <w:rPr>
          <w:rFonts w:ascii="Amazon Ember" w:eastAsia="Amazon Ember" w:hAnsi="Amazon Ember" w:cs="Amazon Ember"/>
          <w:color w:val="0000FF"/>
          <w:sz w:val="36"/>
          <w:szCs w:val="36"/>
        </w:rPr>
        <w:t>Polizeikontakt: So verhältst du dich</w:t>
      </w:r>
    </w:p>
    <w:p w14:paraId="70A4EC12" w14:textId="5CED7FC8" w:rsidR="00C1548D" w:rsidRDefault="009B1B4B">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history="1">
        <w:r>
          <w:t>27</w:t>
        </w:r>
      </w:hyperlink>
      <w:r>
        <w:t>.</w:t>
      </w:r>
    </w:p>
    <w:p w14:paraId="70A4EC13" w14:textId="77777777" w:rsidR="00C1548D" w:rsidRDefault="009B1B4B">
      <w:pPr>
        <w:spacing w:after="140"/>
      </w:pPr>
      <w:r>
        <w:rPr>
          <w:b/>
          <w:bCs/>
        </w:rPr>
        <w:t>Filmen der Kontrolle.</w:t>
      </w:r>
      <w:r>
        <w:t xml:space="preserve"> Das Handy laufen zu lassen ist nach mehreren Bundesberufungsgerichten durch den Ersten Verfassungszusatz gedeckt, solange du Polizeibeamte bei ihrer Arbeit im öffentlichen Raum offen filmst, statt sie zu stören. Entscheidend ist der Unterschied zwischen Beobachten und Einmischen: Handy sichtbar halten, Abstand wahren, Anweisungen weiter befolgen. In einer Handvoll Staaten gilt für Tonaufnahmen zusätzlich eine Zustimmungspflicht aller Beteiligten (</w:t>
      </w:r>
      <w:r>
        <w:rPr>
          <w:i/>
          <w:iCs/>
        </w:rPr>
        <w:t>Two-Party Consent</w:t>
      </w:r>
      <w:r>
        <w:t xml:space="preserve">); ob das auch für eine offen laufende Aufnahme von Polizeiarbeit im öffentlichen Raum gilt, ist je nach Staat </w:t>
      </w:r>
      <w:r>
        <w:lastRenderedPageBreak/>
        <w:t>unterschiedlich geregelt und im Zweifel nicht der Moment für einen Rechtsstreit an der Bordsteinkante.</w:t>
      </w:r>
    </w:p>
    <w:p w14:paraId="70A4EC14" w14:textId="77777777" w:rsidR="00C1548D" w:rsidRDefault="009B1B4B">
      <w:pPr>
        <w:spacing w:after="140"/>
      </w:pPr>
      <w:r>
        <w:rPr>
          <w:b/>
          <w:bCs/>
        </w:rPr>
        <w:t>Deine Rechte.</w:t>
      </w:r>
      <w:r>
        <w:t xml:space="preserv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w:t>
      </w:r>
      <w:r>
        <w:t>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w:t>
      </w:r>
      <w:r>
        <w:rPr>
          <w:i/>
          <w:iCs/>
        </w:rPr>
        <w:t>Stop and Identify</w:t>
      </w:r>
      <w:r>
        <w:t>).</w:t>
      </w:r>
    </w:p>
    <w:p w14:paraId="70A4EC15" w14:textId="77777777" w:rsidR="00C1548D" w:rsidRDefault="009B1B4B">
      <w:pPr>
        <w:spacing w:after="140"/>
      </w:pPr>
      <w:r>
        <w:rPr>
          <w:b/>
          <w:bCs/>
        </w:rPr>
        <w:t>Festnahme.</w:t>
      </w:r>
      <w:r>
        <w:t xml:space="preserve"> Leistest du keinen Widerstand, bleibt die Lage kontrollierbar. Sage nur Namen, Adresse und den Satz zum Anwalt. Im Strafverfahren steht dir ein kostenloser Pflichtverteidiger (</w:t>
      </w:r>
      <w:r>
        <w:rPr>
          <w:i/>
          <w:iCs/>
        </w:rPr>
        <w:t>Public Defender</w:t>
      </w:r>
      <w:r>
        <w:t xml:space="preserve">) zu, wenn du dir keinen Anwalt leisten kannst; im Einwanderungsverfahren gibt es das nicht. Sage deinem Verteidiger als Erstes, dass du kein Staatsbürger bist: Nach dem Urteil des Supreme Court in </w:t>
      </w:r>
      <w:r>
        <w:rPr>
          <w:i/>
          <w:iCs/>
        </w:rPr>
        <w:t>Padilla v. Kentucky</w:t>
      </w:r>
      <w:r>
        <w:t xml:space="preserve"> (2010) muss er dich über das Abschiebungsrisiko beraten. Gegen Kaution (</w:t>
      </w:r>
      <w:r>
        <w:rPr>
          <w:i/>
          <w:iCs/>
        </w:rPr>
        <w:t>Bail</w:t>
      </w:r>
      <w:r>
        <w:t>) kommst du oft frei; ein Kautionsagent verlangt dafür in den meisten Staaten rund 10 % der Summe, nicht erstattbar. Als Deutscher hast du das Recht, mit dem Konsulat zu sprechen (siehe unten).</w:t>
      </w:r>
    </w:p>
    <w:p w14:paraId="70A4EC16" w14:textId="77777777" w:rsidR="00C1548D" w:rsidRDefault="009B1B4B">
      <w:pPr>
        <w:pStyle w:val="Heading3"/>
        <w:keepNext/>
        <w:jc w:val="center"/>
      </w:pPr>
      <w:r>
        <w:rPr>
          <w:rFonts w:ascii="Amazon Ember" w:eastAsia="Amazon Ember" w:hAnsi="Amazon Ember" w:cs="Amazon Ember"/>
          <w:color w:val="0000FF"/>
          <w:sz w:val="36"/>
          <w:szCs w:val="36"/>
        </w:rPr>
        <w:t>Strafrecht und Einwanderung</w:t>
      </w:r>
    </w:p>
    <w:p w14:paraId="70A4EC17" w14:textId="77777777" w:rsidR="00C1548D" w:rsidRDefault="009B1B4B">
      <w:pPr>
        <w:spacing w:after="140"/>
      </w:pPr>
      <w:r>
        <w:t>Neben der Strafe droht Nichtstaatsbürgern der Verlust des Status: Widerruf des Visums, Abschiebung (</w:t>
      </w:r>
      <w:r>
        <w:rPr>
          <w:i/>
          <w:iCs/>
        </w:rPr>
        <w:t>Removal</w:t>
      </w:r>
      <w:r>
        <w:t>), abgelehnte Verlängerung, Green Card oder Einbürgerung. Zwei Begriffe entscheiden über die Schwere. Erstens die Verurteilung (</w:t>
      </w:r>
      <w:r>
        <w:rPr>
          <w:i/>
          <w:iCs/>
        </w:rPr>
        <w:t>Conviction</w:t>
      </w:r>
      <w:r>
        <w:t xml:space="preserve">): </w:t>
      </w:r>
      <w:r>
        <w:lastRenderedPageBreak/>
        <w:t>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w:t>
      </w:r>
      <w:r>
        <w:t>uen Wortlaut. Zweitens die Tat selbst: Bestimmte Delikte machen unzulässig oder abschiebbar, andere nicht. Festnahmen musst du in Visa- und Green-Card-Formularen auch dann angeben, wenn das Verfahren eingestellt wurde.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39"/>
        <w:gridCol w:w="2571"/>
        <w:gridCol w:w="2570"/>
      </w:tblGrid>
      <w:tr w:rsidR="00C1548D" w14:paraId="70A4EC1B" w14:textId="77777777">
        <w:tblPrEx>
          <w:tblCellMar>
            <w:top w:w="0" w:type="dxa"/>
            <w:bottom w:w="0" w:type="dxa"/>
          </w:tblCellMar>
        </w:tblPrEx>
        <w:trPr>
          <w:cantSplit/>
          <w:tblHeader/>
        </w:trPr>
        <w:tc>
          <w:tcPr>
            <w:tcW w:w="133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C18" w14:textId="77777777" w:rsidR="00C1548D" w:rsidRDefault="009B1B4B">
            <w:pPr>
              <w:spacing w:line="250" w:lineRule="auto"/>
            </w:pPr>
            <w:r>
              <w:rPr>
                <w:b/>
                <w:bCs/>
                <w:sz w:val="18"/>
                <w:szCs w:val="18"/>
              </w:rPr>
              <w:t>Delikt</w:t>
            </w:r>
          </w:p>
        </w:tc>
        <w:tc>
          <w:tcPr>
            <w:tcW w:w="257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C19" w14:textId="77777777" w:rsidR="00C1548D" w:rsidRDefault="009B1B4B">
            <w:pPr>
              <w:spacing w:line="250" w:lineRule="auto"/>
            </w:pPr>
            <w:r>
              <w:rPr>
                <w:b/>
                <w:bCs/>
                <w:sz w:val="18"/>
                <w:szCs w:val="18"/>
              </w:rPr>
              <w:t>Risiko für deinen Status</w:t>
            </w:r>
          </w:p>
        </w:tc>
        <w:tc>
          <w:tcPr>
            <w:tcW w:w="25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C1A" w14:textId="77777777" w:rsidR="00C1548D" w:rsidRDefault="009B1B4B">
            <w:pPr>
              <w:spacing w:line="250" w:lineRule="auto"/>
            </w:pPr>
            <w:r>
              <w:rPr>
                <w:b/>
                <w:bCs/>
                <w:sz w:val="18"/>
                <w:szCs w:val="18"/>
              </w:rPr>
              <w:t>Was du tun kannst</w:t>
            </w:r>
          </w:p>
        </w:tc>
      </w:tr>
      <w:tr w:rsidR="00C1548D" w14:paraId="70A4EC1F" w14:textId="77777777">
        <w:tblPrEx>
          <w:tblCellMar>
            <w:top w:w="0" w:type="dxa"/>
            <w:bottom w:w="0" w:type="dxa"/>
          </w:tblCellMar>
        </w:tblPrEx>
        <w:trPr>
          <w:cantSplit/>
        </w:trPr>
        <w:tc>
          <w:tcPr>
            <w:tcW w:w="13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1C" w14:textId="77777777" w:rsidR="00C1548D" w:rsidRDefault="009B1B4B">
            <w:pPr>
              <w:spacing w:line="250" w:lineRule="auto"/>
            </w:pPr>
            <w:r>
              <w:rPr>
                <w:sz w:val="18"/>
                <w:szCs w:val="18"/>
              </w:rPr>
              <w:t>Trunkenheit am Steuer (</w:t>
            </w:r>
            <w:r>
              <w:rPr>
                <w:i/>
                <w:iCs/>
                <w:sz w:val="18"/>
                <w:szCs w:val="18"/>
              </w:rPr>
              <w:t>DUI</w:t>
            </w:r>
            <w:r>
              <w:rPr>
                <w:sz w:val="18"/>
                <w:szCs w:val="18"/>
              </w:rPr>
              <w:t>)</w:t>
            </w:r>
          </w:p>
        </w:tc>
        <w:tc>
          <w:tcPr>
            <w:tcW w:w="25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1D" w14:textId="77777777" w:rsidR="00C1548D" w:rsidRDefault="009B1B4B">
            <w:pPr>
              <w:spacing w:line="250" w:lineRule="auto"/>
            </w:pPr>
            <w:r>
              <w:rPr>
                <w:sz w:val="18"/>
                <w:szCs w:val="18"/>
              </w:rPr>
              <w:t>Visum-Widerruf möglich; bei Verletzten, Kind im Auto, entzogenem Führerschein oder Wiederholung kann es zum Abschiebegrund werden; Nachfragen bei Green Card und Einbürgerung</w:t>
            </w:r>
          </w:p>
        </w:tc>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1E" w14:textId="77777777" w:rsidR="00C1548D" w:rsidRDefault="009B1B4B">
            <w:pPr>
              <w:spacing w:line="250" w:lineRule="auto"/>
            </w:pPr>
            <w:r>
              <w:rPr>
                <w:sz w:val="18"/>
                <w:szCs w:val="18"/>
              </w:rPr>
              <w:t>Nach Alkohol nie fahren; Fahrdienst nutzen</w:t>
            </w:r>
          </w:p>
        </w:tc>
      </w:tr>
      <w:tr w:rsidR="00C1548D" w14:paraId="70A4EC23" w14:textId="77777777">
        <w:tblPrEx>
          <w:tblCellMar>
            <w:top w:w="0" w:type="dxa"/>
            <w:bottom w:w="0" w:type="dxa"/>
          </w:tblCellMar>
        </w:tblPrEx>
        <w:trPr>
          <w:cantSplit/>
        </w:trPr>
        <w:tc>
          <w:tcPr>
            <w:tcW w:w="13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0" w14:textId="77777777" w:rsidR="00C1548D" w:rsidRDefault="009B1B4B">
            <w:pPr>
              <w:spacing w:line="250" w:lineRule="auto"/>
            </w:pPr>
            <w:r>
              <w:rPr>
                <w:sz w:val="18"/>
                <w:szCs w:val="18"/>
              </w:rPr>
              <w:t>Drogen, auch Cannabis</w:t>
            </w:r>
          </w:p>
        </w:tc>
        <w:tc>
          <w:tcPr>
            <w:tcW w:w="25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1" w14:textId="77777777" w:rsidR="00C1548D" w:rsidRDefault="009B1B4B">
            <w:pPr>
              <w:spacing w:line="250" w:lineRule="auto"/>
            </w:pPr>
            <w:r>
              <w:rPr>
                <w:sz w:val="18"/>
                <w:szCs w:val="18"/>
              </w:rPr>
              <w:t>Fast jede Verurteilung ist ein Abschiebegrund (Ausnahme: einmaliger Eigenbesitz bis 30 g Marihuana); auch Geständnis oder Branchentätigkeit kann zur Unzulässigkeit führen</w:t>
            </w:r>
          </w:p>
        </w:tc>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2" w14:textId="77777777" w:rsidR="00C1548D" w:rsidRDefault="009B1B4B">
            <w:pPr>
              <w:spacing w:line="250" w:lineRule="auto"/>
            </w:pPr>
            <w:r>
              <w:rPr>
                <w:sz w:val="18"/>
                <w:szCs w:val="18"/>
              </w:rPr>
              <w:t>Meiden, auch mit Landeserlaubnis</w:t>
            </w:r>
          </w:p>
        </w:tc>
      </w:tr>
      <w:tr w:rsidR="00C1548D" w14:paraId="70A4EC27" w14:textId="77777777">
        <w:tblPrEx>
          <w:tblCellMar>
            <w:top w:w="0" w:type="dxa"/>
            <w:bottom w:w="0" w:type="dxa"/>
          </w:tblCellMar>
        </w:tblPrEx>
        <w:trPr>
          <w:cantSplit/>
        </w:trPr>
        <w:tc>
          <w:tcPr>
            <w:tcW w:w="13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4" w14:textId="77777777" w:rsidR="00C1548D" w:rsidRDefault="009B1B4B">
            <w:pPr>
              <w:spacing w:line="250" w:lineRule="auto"/>
            </w:pPr>
            <w:r>
              <w:rPr>
                <w:sz w:val="18"/>
                <w:szCs w:val="18"/>
              </w:rPr>
              <w:t>Ladendiebstahl</w:t>
            </w:r>
          </w:p>
        </w:tc>
        <w:tc>
          <w:tcPr>
            <w:tcW w:w="25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5" w14:textId="77777777" w:rsidR="00C1548D" w:rsidRDefault="009B1B4B">
            <w:pPr>
              <w:spacing w:line="250" w:lineRule="auto"/>
            </w:pPr>
            <w:r>
              <w:rPr>
                <w:sz w:val="18"/>
                <w:szCs w:val="18"/>
              </w:rPr>
              <w:t xml:space="preserve">Diebstahl gilt meist als </w:t>
            </w:r>
            <w:r>
              <w:rPr>
                <w:i/>
                <w:iCs/>
                <w:sz w:val="18"/>
                <w:szCs w:val="18"/>
              </w:rPr>
              <w:t>CIMT</w:t>
            </w:r>
            <w:r>
              <w:rPr>
                <w:sz w:val="18"/>
                <w:szCs w:val="18"/>
              </w:rPr>
              <w:t xml:space="preserve"> (Delikt mit „sittlicher Verworfenheit“); zwei Taten oder eine Tat in den ersten fünf Jahren nach der Zulassung mit möglicher Jahresstrafe können reichen</w:t>
            </w:r>
          </w:p>
        </w:tc>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6" w14:textId="77777777" w:rsidR="00C1548D" w:rsidRDefault="009B1B4B">
            <w:pPr>
              <w:spacing w:line="250" w:lineRule="auto"/>
            </w:pPr>
            <w:r>
              <w:rPr>
                <w:sz w:val="18"/>
                <w:szCs w:val="18"/>
              </w:rPr>
              <w:t>Nie mitnehmen, was nicht bezahlt ist; Vorwürfe nie ohne Anwalt beantworten</w:t>
            </w:r>
          </w:p>
        </w:tc>
      </w:tr>
      <w:tr w:rsidR="00C1548D" w14:paraId="70A4EC2B" w14:textId="77777777">
        <w:tblPrEx>
          <w:tblCellMar>
            <w:top w:w="0" w:type="dxa"/>
            <w:bottom w:w="0" w:type="dxa"/>
          </w:tblCellMar>
        </w:tblPrEx>
        <w:trPr>
          <w:cantSplit/>
        </w:trPr>
        <w:tc>
          <w:tcPr>
            <w:tcW w:w="13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8" w14:textId="77777777" w:rsidR="00C1548D" w:rsidRDefault="009B1B4B">
            <w:pPr>
              <w:spacing w:line="250" w:lineRule="auto"/>
            </w:pPr>
            <w:r>
              <w:rPr>
                <w:sz w:val="18"/>
                <w:szCs w:val="18"/>
              </w:rPr>
              <w:t>Körperverletzung, häusliche Gewalt</w:t>
            </w:r>
          </w:p>
        </w:tc>
        <w:tc>
          <w:tcPr>
            <w:tcW w:w="25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9" w14:textId="77777777" w:rsidR="00C1548D" w:rsidRDefault="009B1B4B">
            <w:pPr>
              <w:spacing w:line="250" w:lineRule="auto"/>
            </w:pPr>
            <w:r>
              <w:rPr>
                <w:sz w:val="18"/>
                <w:szCs w:val="18"/>
              </w:rPr>
              <w:t>Abschiebegrund; in einigen Staaten führt ein Polizeieinsatz nach Streit zur Festnahme</w:t>
            </w:r>
          </w:p>
        </w:tc>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A" w14:textId="66A7F1AE" w:rsidR="00C1548D" w:rsidRDefault="009B1B4B">
            <w:pPr>
              <w:spacing w:line="250" w:lineRule="auto"/>
            </w:pPr>
            <w:r>
              <w:rPr>
                <w:sz w:val="18"/>
                <w:szCs w:val="18"/>
              </w:rPr>
              <w:t>Streit deeskalieren, Hilfe suchen (Kapitel </w:t>
            </w:r>
            <w:hyperlink w:anchor="k33" w:history="1">
              <w:r>
                <w:rPr>
                  <w:sz w:val="18"/>
                  <w:szCs w:val="18"/>
                </w:rPr>
                <w:t>33</w:t>
              </w:r>
            </w:hyperlink>
            <w:r>
              <w:rPr>
                <w:sz w:val="18"/>
                <w:szCs w:val="18"/>
              </w:rPr>
              <w:t>)</w:t>
            </w:r>
          </w:p>
        </w:tc>
      </w:tr>
      <w:tr w:rsidR="00C1548D" w14:paraId="70A4EC2F" w14:textId="77777777">
        <w:tblPrEx>
          <w:tblCellMar>
            <w:top w:w="0" w:type="dxa"/>
            <w:bottom w:w="0" w:type="dxa"/>
          </w:tblCellMar>
        </w:tblPrEx>
        <w:trPr>
          <w:cantSplit/>
        </w:trPr>
        <w:tc>
          <w:tcPr>
            <w:tcW w:w="13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C" w14:textId="77777777" w:rsidR="00C1548D" w:rsidRDefault="009B1B4B">
            <w:pPr>
              <w:spacing w:line="250" w:lineRule="auto"/>
            </w:pPr>
            <w:r>
              <w:rPr>
                <w:sz w:val="18"/>
                <w:szCs w:val="18"/>
              </w:rPr>
              <w:t>Verkehrsverstöße</w:t>
            </w:r>
          </w:p>
        </w:tc>
        <w:tc>
          <w:tcPr>
            <w:tcW w:w="25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D" w14:textId="29ECDF90" w:rsidR="00C1548D" w:rsidRDefault="009B1B4B">
            <w:pPr>
              <w:spacing w:line="250" w:lineRule="auto"/>
            </w:pPr>
            <w:r>
              <w:rPr>
                <w:sz w:val="18"/>
                <w:szCs w:val="18"/>
              </w:rPr>
              <w:t>Meist kein Statusproblem, zählen aber im Gesamtbild (Kapitel </w:t>
            </w:r>
            <w:hyperlink w:anchor="k41" w:history="1">
              <w:r>
                <w:rPr>
                  <w:sz w:val="18"/>
                  <w:szCs w:val="18"/>
                </w:rPr>
                <w:t>41</w:t>
              </w:r>
            </w:hyperlink>
            <w:r>
              <w:rPr>
                <w:sz w:val="18"/>
                <w:szCs w:val="18"/>
              </w:rPr>
              <w:t>)</w:t>
            </w:r>
          </w:p>
        </w:tc>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2E" w14:textId="77777777" w:rsidR="00C1548D" w:rsidRDefault="009B1B4B">
            <w:pPr>
              <w:spacing w:line="250" w:lineRule="auto"/>
            </w:pPr>
            <w:r>
              <w:rPr>
                <w:sz w:val="18"/>
                <w:szCs w:val="18"/>
              </w:rPr>
              <w:t>Zahlen oder anfechten, nie ignorieren</w:t>
            </w:r>
          </w:p>
        </w:tc>
      </w:tr>
    </w:tbl>
    <w:p w14:paraId="70A4EC30" w14:textId="77777777" w:rsidR="00C1548D" w:rsidRDefault="00C1548D">
      <w:pPr>
        <w:spacing w:line="180" w:lineRule="exact"/>
      </w:pPr>
    </w:p>
    <w:p w14:paraId="70A4EC31" w14:textId="77777777" w:rsidR="00C1548D" w:rsidRDefault="009B1B4B">
      <w:pPr>
        <w:spacing w:after="140"/>
      </w:pPr>
      <w:r>
        <w:lastRenderedPageBreak/>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w14:paraId="70A4EC32" w14:textId="77777777" w:rsidR="00C1548D" w:rsidRDefault="009B1B4B">
      <w:pPr>
        <w:spacing w:after="140"/>
      </w:pPr>
      <w:r>
        <w:rPr>
          <w:b/>
          <w:bCs/>
        </w:rPr>
        <w:t>Cannabis.</w:t>
      </w:r>
      <w:r>
        <w:t xml:space="preserve"> Konsum, Besitz und Kauf können nach Bundesrecht zur Unzulässigkeit führen, auch ohne Verurteilung. Auch ein Geständnis gegenüber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w:t>
      </w:r>
      <w:r>
        <w:t>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35"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C33" w14:textId="77777777" w:rsidR="00C1548D" w:rsidRDefault="009B1B4B">
            <w:pPr>
              <w:keepNext/>
              <w:spacing w:after="70" w:line="240" w:lineRule="auto"/>
            </w:pPr>
            <w:r>
              <w:rPr>
                <w:b/>
                <w:bCs/>
                <w:color w:val="4A5568"/>
                <w:spacing w:val="24"/>
                <w:sz w:val="16"/>
                <w:szCs w:val="16"/>
              </w:rPr>
              <w:t>PRAXISBEISPIEL · FIKTIV</w:t>
            </w:r>
          </w:p>
          <w:p w14:paraId="70A4EC34" w14:textId="3C509BD4" w:rsidR="00C1548D" w:rsidRDefault="009B1B4B">
            <w:pPr>
              <w:spacing w:after="80" w:line="264" w:lineRule="auto"/>
            </w:pPr>
            <w:r>
              <w:rPr>
                <w:sz w:val="20"/>
                <w:szCs w:val="20"/>
              </w:rPr>
              <w:t>Felix Wagner (fiktives Beispiel), 24, studiert mit F-1-Visum in Boston. Nach einer Semesterparty misst die Polizei auf dem Heimweg 0,09 % BAC; er wird festgenommen und morgens gegen 500 $ Kaution entlassen. Der Verteidiger schlägt einen Deal vor: Schuldbekenntnis, Geldstrafe, Führerscheinsperre – Routine, sagt er, so laufe das hier meistens. Erst als Felix nachfragt, was das für sein Visum bedeutet, wird sein Ton vorsichtiger. Felix sagt, dass er kein Staatsbürger ist, und lässt den Wortlaut von einem Einwa</w:t>
            </w:r>
            <w:r>
              <w:rPr>
                <w:sz w:val="20"/>
                <w:szCs w:val="20"/>
              </w:rPr>
              <w:t>nderungsanwalt prüfen (Erstberatung 250 $). Der warnt: Das State Department kann das Visum widerrufen. Felix dürfte im Land bleiben, solange sein Status gilt, bräuchte für jede Auslandsreise aber ein neues Visum (</w:t>
            </w:r>
            <w:r>
              <w:rPr>
                <w:sz w:val="20"/>
                <w:szCs w:val="20"/>
              </w:rPr>
              <w:t>Kapitel </w:t>
            </w:r>
            <w:hyperlink w:anchor="k8" w:history="1">
              <w:r>
                <w:rPr>
                  <w:sz w:val="20"/>
                  <w:szCs w:val="20"/>
                </w:rPr>
                <w:t>8</w:t>
              </w:r>
            </w:hyperlink>
            <w:r>
              <w:rPr>
                <w:sz w:val="20"/>
                <w:szCs w:val="20"/>
              </w:rPr>
              <w:t>).</w:t>
            </w:r>
          </w:p>
        </w:tc>
      </w:tr>
    </w:tbl>
    <w:p w14:paraId="70A4EC36"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3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C37" w14:textId="77777777" w:rsidR="00C1548D" w:rsidRDefault="009B1B4B">
            <w:pPr>
              <w:keepNext/>
              <w:spacing w:after="70" w:line="240" w:lineRule="auto"/>
            </w:pPr>
            <w:r>
              <w:rPr>
                <w:b/>
                <w:bCs/>
                <w:color w:val="9B2C2C"/>
                <w:spacing w:val="24"/>
                <w:sz w:val="16"/>
                <w:szCs w:val="16"/>
              </w:rPr>
              <w:lastRenderedPageBreak/>
              <w:t>ACHTUNG</w:t>
            </w:r>
          </w:p>
          <w:p w14:paraId="70A4EC38" w14:textId="77777777" w:rsidR="00C1548D" w:rsidRDefault="009B1B4B">
            <w:pPr>
              <w:spacing w:after="80" w:line="264" w:lineRule="auto"/>
            </w:pPr>
            <w:r>
              <w:rPr>
                <w:sz w:val="20"/>
                <w:szCs w:val="20"/>
              </w:rPr>
              <w:t>Sage bei einem Angebot der Staatsanwaltschaft (</w:t>
            </w:r>
            <w:r>
              <w:rPr>
                <w:i/>
                <w:iCs/>
                <w:sz w:val="20"/>
                <w:szCs w:val="20"/>
              </w:rPr>
              <w:t>Plea Deal</w:t>
            </w:r>
            <w:r>
              <w:rPr>
                <w:sz w:val="20"/>
                <w:szCs w:val="20"/>
              </w:rPr>
              <w:t>) nie „schuldig“, bevor die Einwanderungsfolgen geprüft sind, auch nicht bei Bagatellen. Ein Strafverteidiger kennt das lokale Verfahren, aber oft nicht das Einwanderungsrecht; bitte beide, sich abzustimmen.</w:t>
            </w:r>
          </w:p>
        </w:tc>
      </w:tr>
    </w:tbl>
    <w:p w14:paraId="70A4EC3A"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3D"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C3B" w14:textId="77777777" w:rsidR="00C1548D" w:rsidRDefault="009B1B4B">
            <w:pPr>
              <w:keepNext/>
              <w:spacing w:after="70" w:line="240" w:lineRule="auto"/>
            </w:pPr>
            <w:r>
              <w:rPr>
                <w:b/>
                <w:bCs/>
                <w:color w:val="6B7280"/>
                <w:spacing w:val="24"/>
                <w:sz w:val="16"/>
                <w:szCs w:val="16"/>
              </w:rPr>
              <w:t>KEIN RECHTSRAT</w:t>
            </w:r>
          </w:p>
          <w:p w14:paraId="70A4EC3C" w14:textId="1AE64F60" w:rsidR="00C1548D" w:rsidRDefault="009B1B4B">
            <w:pPr>
              <w:spacing w:after="80" w:line="264" w:lineRule="auto"/>
            </w:pPr>
            <w:r>
              <w:rPr>
                <w:sz w:val="20"/>
                <w:szCs w:val="20"/>
              </w:rPr>
              <w:t>Dieses Kapitel ist eine Orientierung, keine Rechts- oder Steuerberatung. Was eine Tat für deinen Status bedeutet, hängt vom Staat, vom Wortlaut der Einigung und deinem Aufenthaltsstatus ab. Klär es vorab mit einem Einwanderungsanwalt (Kapitel </w:t>
            </w:r>
            <w:hyperlink w:anchor="k11" w:history="1">
              <w:r>
                <w:rPr>
                  <w:sz w:val="20"/>
                  <w:szCs w:val="20"/>
                </w:rPr>
                <w:t>11</w:t>
              </w:r>
            </w:hyperlink>
            <w:r>
              <w:rPr>
                <w:sz w:val="20"/>
                <w:szCs w:val="20"/>
              </w:rPr>
              <w:t>).</w:t>
            </w:r>
          </w:p>
        </w:tc>
      </w:tr>
    </w:tbl>
    <w:p w14:paraId="70A4EC3E" w14:textId="77777777" w:rsidR="00C1548D" w:rsidRDefault="00C1548D">
      <w:pPr>
        <w:spacing w:line="220" w:lineRule="exact"/>
      </w:pPr>
    </w:p>
    <w:p w14:paraId="70A4EC3F" w14:textId="77777777" w:rsidR="00C1548D" w:rsidRDefault="009B1B4B">
      <w:pPr>
        <w:pStyle w:val="Heading3"/>
        <w:keepNext/>
        <w:jc w:val="center"/>
      </w:pPr>
      <w:r>
        <w:rPr>
          <w:rFonts w:ascii="Amazon Ember" w:eastAsia="Amazon Ember" w:hAnsi="Amazon Ember" w:cs="Amazon Ember"/>
          <w:color w:val="0000FF"/>
          <w:sz w:val="36"/>
          <w:szCs w:val="36"/>
        </w:rPr>
        <w:t>Waffen: Recht, Aufbewahrung, Fragen an Gastgeber</w:t>
      </w:r>
    </w:p>
    <w:p w14:paraId="70A4EC40" w14:textId="10BB5A9D" w:rsidR="00C1548D" w:rsidRDefault="009B1B4B">
      <w:pPr>
        <w:spacing w:after="140"/>
      </w:pPr>
      <w:r>
        <w:t>Der Zweite Verfassungszusatz schützt den Waffenbesitz. Beim Kauf im lizenzierten Handel prüft ein bundesweites System die Käufer (</w:t>
      </w:r>
      <w:r>
        <w:rPr>
          <w:i/>
          <w:iCs/>
        </w:rPr>
        <w:t>Background Check</w:t>
      </w:r>
      <w:r>
        <w:t>); Privatverkäufe, Tragen und Transport regelt jeder Staat für sich. Zahlen und Kultur: Kapitel </w:t>
      </w:r>
      <w:hyperlink w:anchor="k31" w:history="1">
        <w:r>
          <w:t>31</w:t>
        </w:r>
      </w:hyperlink>
      <w:r>
        <w:t>. Für Nichtstaatsbürger unterscheidet das Bundesrecht klar:</w:t>
      </w:r>
    </w:p>
    <w:p w14:paraId="70A4EC41" w14:textId="77777777" w:rsidR="00C1548D" w:rsidRDefault="009B1B4B" w:rsidP="009B1B4B">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w14:paraId="70A4EC42" w14:textId="77777777" w:rsidR="00C1548D" w:rsidRDefault="009B1B4B" w:rsidP="009B1B4B">
      <w:pPr>
        <w:pStyle w:val="ListParagraph"/>
        <w:numPr>
          <w:ilvl w:val="0"/>
          <w:numId w:val="1"/>
        </w:numPr>
        <w:spacing w:after="60"/>
      </w:pPr>
      <w:r>
        <w:rPr>
          <w:b/>
          <w:bCs/>
        </w:rPr>
        <w:t>Nichteinwanderervisum</w:t>
      </w:r>
      <w:r>
        <w:t xml:space="preserve"> (H-1B, L-1, F-1, E-2, J-1 und ihre Angehörigen): Nach 18 U.S.C. § 922(g)(5)(B) sind Besitz und Erwerb von Schusswaffen und Munition verboten, und nach § 922(d)(5) darf sie dir niemand verkaufen oder überlassen. Ausnahmen (§ 922(y)) gelten unter anderem bei einer gültigen, in den USA ausgestellten Jagdlizenz oder mit einer Ausnahmegenehmigung des Justizministeriums (</w:t>
      </w:r>
      <w:r>
        <w:rPr>
          <w:i/>
          <w:iCs/>
        </w:rPr>
        <w:t>Waiver</w:t>
      </w:r>
      <w:r>
        <w:t>). Ein Verstoß ist ein Bundesverbrechen mit bis zu 15 Jahren Haft und beendet fast sicher deinen Aufenthalt.</w:t>
      </w:r>
    </w:p>
    <w:p w14:paraId="70A4EC43" w14:textId="77777777" w:rsidR="00C1548D" w:rsidRDefault="00C1548D">
      <w:pPr>
        <w:spacing w:line="120" w:lineRule="exact"/>
      </w:pPr>
    </w:p>
    <w:p w14:paraId="70A4EC44" w14:textId="7276EF00" w:rsidR="00C1548D" w:rsidRDefault="009B1B4B">
      <w:pPr>
        <w:spacing w:after="140"/>
      </w:pPr>
      <w:r>
        <w:lastRenderedPageBreak/>
        <w:t>Zieht ein Waffenbesitzer in deiner Wohnung oder in deinem Auto etwas ab, kann das als Besitz zählen. Fasse fremde Waffen nicht an, leihe keine aus und nimm auch nichts zur Aufbewahrung an. Ein Probeschießen am Schießstand mit geliehener Waffe ist für Visum-Inhaber eine Grauzone; lass es ohne anwaltliche Klärung. Aus Deutschland mitbringen solltest du Waffen nicht (Kapitel </w:t>
      </w:r>
      <w:hyperlink w:anchor="k20" w:history="1">
        <w:r>
          <w:t>20</w:t>
        </w:r>
      </w:hyperlink>
      <w:r>
        <w:t>).</w:t>
      </w:r>
    </w:p>
    <w:p w14:paraId="70A4EC45" w14:textId="5A54D2A3" w:rsidR="00C1548D" w:rsidRDefault="009B1B4B">
      <w:pPr>
        <w:spacing w:after="140"/>
      </w:pPr>
      <w: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history="1">
        <w:r>
          <w:t>36</w:t>
        </w:r>
      </w:hyperlink>
      <w:r>
        <w:t>.</w:t>
      </w:r>
    </w:p>
    <w:p w14:paraId="70A4EC46" w14:textId="77777777" w:rsidR="00C1548D" w:rsidRDefault="009B1B4B">
      <w:pPr>
        <w:pStyle w:val="Heading3"/>
        <w:keepNext/>
        <w:jc w:val="center"/>
      </w:pPr>
      <w:r>
        <w:rPr>
          <w:rFonts w:ascii="Amazon Ember" w:eastAsia="Amazon Ember" w:hAnsi="Amazon Ember" w:cs="Amazon Ember"/>
          <w:color w:val="0000FF"/>
          <w:sz w:val="36"/>
          <w:szCs w:val="36"/>
        </w:rPr>
        <w:t>LGBTQ+: Rechtslage und Sicherheit je nach Bundesstaat</w:t>
      </w:r>
    </w:p>
    <w:p w14:paraId="70A4EC47" w14:textId="3D670DFC" w:rsidR="00C1548D" w:rsidRDefault="009B1B4B">
      <w:pPr>
        <w:spacing w:after="140"/>
      </w:pPr>
      <w:r>
        <w:t>Die Ehe zählt bundesweit unabhängig vom Geschlecht der Partner (Kapitel </w:t>
      </w:r>
      <w:hyperlink w:anchor="k10" w:history="1">
        <w:r>
          <w:t>10</w:t>
        </w:r>
      </w:hyperlink>
      <w:r>
        <w:t>). Darüber hinaus ist die Rechtslage so uneinheitlich wie bei kaum einem anderen Thema in diesem Buch, und sie ändert sich schnell.</w:t>
      </w:r>
    </w:p>
    <w:p w14:paraId="70A4EC48" w14:textId="77777777" w:rsidR="00C1548D" w:rsidRDefault="009B1B4B">
      <w:pPr>
        <w:spacing w:after="140"/>
      </w:pPr>
      <w:r>
        <w:t>Bundesweit einheitlich gelten zwei Dinge: Die Ehe ist seit 2015 in allen Bundesstaaten geöffnet (</w:t>
      </w:r>
      <w:r>
        <w:rPr>
          <w:i/>
          <w:iCs/>
        </w:rPr>
        <w:t>Obergefell v. Hodges</w:t>
      </w:r>
      <w:r>
        <w:t>), und Kündigung wegen sexueller Orientierung oder Geschlechtsidentität verstößt seit einem Urteil des Obersten Gerichtshofs von 2020 (</w:t>
      </w:r>
      <w:r>
        <w:rPr>
          <w:i/>
          <w:iCs/>
        </w:rPr>
        <w:t>Bostock v. Clayton County</w:t>
      </w:r>
      <w:r>
        <w:t xml:space="preserve">) gegen das Bundes-Antidiskriminierungsrecht </w:t>
      </w:r>
      <w:r>
        <w:rPr>
          <w:i/>
          <w:iCs/>
        </w:rPr>
        <w:t>Title VII</w:t>
      </w:r>
      <w:r>
        <w:t xml:space="preserve"> – das gilt bei Arbeitgebern ab 15 Beschäftigten in jedem Bundesstaat.</w:t>
      </w:r>
    </w:p>
    <w:p w14:paraId="70A4EC49" w14:textId="77777777" w:rsidR="00C1548D" w:rsidRDefault="009B1B4B">
      <w:pPr>
        <w:spacing w:after="140"/>
      </w:pPr>
      <w:r>
        <w:t xml:space="preserve">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w:t>
      </w:r>
      <w:r>
        <w:lastRenderedPageBreak/>
        <w:t>sogar zurückgenommen: Iowa strich 2025 als erster Bundesstaat den Schutz der Geschlechtsidentität wieder aus seinem Antidiskriminierungsgesetz.</w:t>
      </w:r>
    </w:p>
    <w:p w14:paraId="70A4EC4A" w14:textId="77777777" w:rsidR="00C1548D" w:rsidRDefault="009B1B4B">
      <w:pPr>
        <w:spacing w:after="140"/>
      </w:pPr>
      <w:r>
        <w:t>Am folgenreichsten für Familien ist die medizinische Versorgung trans Jugendlicher. Der Oberste Gerichtshof entschied im Juni 2025 (</w:t>
      </w:r>
      <w:r>
        <w:rPr>
          <w:i/>
          <w:iCs/>
        </w:rPr>
        <w:t>United States v. Skrmetti</w:t>
      </w:r>
      <w:r>
        <w:t>),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4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C4B" w14:textId="77777777" w:rsidR="00C1548D" w:rsidRDefault="009B1B4B">
            <w:pPr>
              <w:keepNext/>
              <w:spacing w:after="70" w:line="240" w:lineRule="auto"/>
            </w:pPr>
            <w:r>
              <w:rPr>
                <w:b/>
                <w:bCs/>
                <w:color w:val="9B2C2C"/>
                <w:spacing w:val="24"/>
                <w:sz w:val="16"/>
                <w:szCs w:val="16"/>
              </w:rPr>
              <w:t>ACHTUNG</w:t>
            </w:r>
          </w:p>
          <w:p w14:paraId="70A4EC4C" w14:textId="77777777" w:rsidR="00C1548D" w:rsidRDefault="009B1B4B">
            <w:pPr>
              <w:spacing w:after="80" w:line="264" w:lineRule="auto"/>
            </w:pPr>
            <w:r>
              <w:rPr>
                <w:sz w:val="20"/>
                <w:szCs w:val="20"/>
              </w:rPr>
              <w:t>Ziehst du mit einem minderjährigen trans Kind, das bereits in Behandlung ist, entscheidet allein der Bundesstaat, ob diese Behandlung dort fortgesetzt werden darf. Prüfe das für jeden infrage kommenden Wohnort, bevor du unterschreibst, nicht danach.</w:t>
            </w:r>
          </w:p>
        </w:tc>
      </w:tr>
    </w:tbl>
    <w:p w14:paraId="70A4EC4E" w14:textId="77777777" w:rsidR="00C1548D" w:rsidRDefault="00C1548D">
      <w:pPr>
        <w:spacing w:line="220" w:lineRule="exact"/>
      </w:pPr>
    </w:p>
    <w:p w14:paraId="70A4EC4F" w14:textId="526443E3" w:rsidR="00C1548D" w:rsidRDefault="009B1B4B">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history="1">
        <w:r>
          <w:t>12</w:t>
        </w:r>
      </w:hyperlink>
      <w:r>
        <w:t>) und bei Schulentscheidungen (Kapitel </w:t>
      </w:r>
      <w:hyperlink w:anchor="k36" w:history="1">
        <w:r>
          <w:t>36</w:t>
        </w:r>
      </w:hyperlink>
      <w:r>
        <w:t xml:space="preserve"> und </w:t>
      </w:r>
      <w:hyperlink w:anchor="k38" w:history="1">
        <w:r>
          <w:t>38</w:t>
        </w:r>
      </w:hyperlink>
      <w:r>
        <w:t>) lohnt sich ein Blick dorthin, bevor du dich festlegst.</w:t>
      </w:r>
    </w:p>
    <w:p w14:paraId="70A4EC50" w14:textId="77777777" w:rsidR="00C1548D" w:rsidRDefault="009B1B4B">
      <w:pPr>
        <w:pStyle w:val="Heading3"/>
        <w:keepNext/>
        <w:jc w:val="center"/>
      </w:pPr>
      <w:r>
        <w:rPr>
          <w:rFonts w:ascii="Amazon Ember" w:eastAsia="Amazon Ember" w:hAnsi="Amazon Ember" w:cs="Amazon Ember"/>
          <w:color w:val="0000FF"/>
          <w:sz w:val="36"/>
          <w:szCs w:val="36"/>
        </w:rPr>
        <w:t>Kriminalität sachlich und die Wahl des Viertels</w:t>
      </w:r>
    </w:p>
    <w:p w14:paraId="70A4EC51" w14:textId="77777777" w:rsidR="00C1548D" w:rsidRDefault="009B1B4B">
      <w:pPr>
        <w:spacing w:after="140"/>
      </w:pPr>
      <w:r>
        <w:t>Die Kriminalität schwankt zwischen Städten stark, und innerhalb einer Stadt oft mehr als zwischen Städten: Ein Großteil der Delikte konzentriert sich auf wenige Straßenzüge. Pauschale Urteile über „gefährliche Städte“ helfen dir also nicht, konkrete Kriterien schon:</w:t>
      </w:r>
    </w:p>
    <w:p w14:paraId="70A4EC52" w14:textId="77777777" w:rsidR="00C1548D" w:rsidRDefault="009B1B4B" w:rsidP="009B1B4B">
      <w:pPr>
        <w:pStyle w:val="ListParagraph"/>
        <w:numPr>
          <w:ilvl w:val="0"/>
          <w:numId w:val="42"/>
        </w:numPr>
        <w:spacing w:after="60"/>
      </w:pPr>
      <w:r>
        <w:rPr>
          <w:b/>
          <w:bCs/>
        </w:rPr>
        <w:lastRenderedPageBreak/>
        <w:t>Daten der Adresse:</w:t>
      </w:r>
      <w:r>
        <w:t xml:space="preserve"> Viele Polizeibehörden veröffentlichen Kriminalitätskarten; landesweite Zahlen gibt es im FBI Crime Data Explorer (cde.fbi.gov).</w:t>
      </w:r>
    </w:p>
    <w:p w14:paraId="70A4EC53" w14:textId="77777777" w:rsidR="00C1548D" w:rsidRDefault="009B1B4B" w:rsidP="009B1B4B">
      <w:pPr>
        <w:pStyle w:val="ListParagraph"/>
        <w:numPr>
          <w:ilvl w:val="0"/>
          <w:numId w:val="42"/>
        </w:numPr>
        <w:spacing w:after="60"/>
      </w:pPr>
      <w:r>
        <w:rPr>
          <w:b/>
          <w:bCs/>
        </w:rPr>
        <w:t>Sexualstraftäterregister:</w:t>
      </w:r>
      <w:r>
        <w:t xml:space="preserve"> Die Website nsopw.gov durchsucht alle Staaten nach registrierten Tätern in Adressnähe.</w:t>
      </w:r>
    </w:p>
    <w:p w14:paraId="70A4EC54" w14:textId="77777777" w:rsidR="00C1548D" w:rsidRDefault="009B1B4B" w:rsidP="009B1B4B">
      <w:pPr>
        <w:pStyle w:val="ListParagraph"/>
        <w:numPr>
          <w:ilvl w:val="0"/>
          <w:numId w:val="42"/>
        </w:numPr>
        <w:spacing w:after="60"/>
      </w:pPr>
      <w:r>
        <w:rPr>
          <w:b/>
          <w:bCs/>
        </w:rPr>
        <w:t>Besuch zu verschiedenen Zeiten:</w:t>
      </w:r>
      <w:r>
        <w:t xml:space="preserve"> Werktag, Abend, Wochenende. Achte auf Beleuchtung, Zustand der Gebäude, Leerstand und Verkehr.</w:t>
      </w:r>
    </w:p>
    <w:p w14:paraId="70A4EC55" w14:textId="25D181D0" w:rsidR="00C1548D" w:rsidRDefault="009B1B4B" w:rsidP="009B1B4B">
      <w:pPr>
        <w:pStyle w:val="ListParagraph"/>
        <w:numPr>
          <w:ilvl w:val="0"/>
          <w:numId w:val="42"/>
        </w:numPr>
        <w:spacing w:after="60"/>
      </w:pPr>
      <w:r>
        <w:rPr>
          <w:b/>
          <w:bCs/>
        </w:rPr>
        <w:t>Nachbarn, Schulen und Vermieter fragen:</w:t>
      </w:r>
      <w:r>
        <w:t xml:space="preserve"> Kapitel </w:t>
      </w:r>
      <w:hyperlink w:anchor="k12" w:history="1">
        <w:r>
          <w:t>12</w:t>
        </w:r>
      </w:hyperlink>
      <w:r>
        <w:t xml:space="preserve"> und </w:t>
      </w:r>
      <w:hyperlink w:anchor="k36" w:history="1">
        <w:r>
          <w:t>36</w:t>
        </w:r>
      </w:hyperlink>
      <w:r>
        <w:t>.</w:t>
      </w:r>
    </w:p>
    <w:p w14:paraId="70A4EC56" w14:textId="77777777" w:rsidR="00C1548D" w:rsidRDefault="009B1B4B" w:rsidP="009B1B4B">
      <w:pPr>
        <w:pStyle w:val="ListParagraph"/>
        <w:numPr>
          <w:ilvl w:val="0"/>
          <w:numId w:val="42"/>
        </w:numPr>
        <w:spacing w:after="60"/>
      </w:pPr>
      <w:r>
        <w:rPr>
          <w:b/>
          <w:bCs/>
        </w:rPr>
        <w:t>Eigentumsdelikte einplanen:</w:t>
      </w:r>
      <w:r>
        <w:t xml:space="preserve"> Autoaufbrüche und Paketdiebstähle sind häufiger als Gewalt. Lasse nichts sichtbar im Auto, nutze Paketfächer oder Abholstationen.</w:t>
      </w:r>
    </w:p>
    <w:p w14:paraId="70A4EC57" w14:textId="77777777" w:rsidR="00C1548D" w:rsidRDefault="00C1548D">
      <w:pPr>
        <w:spacing w:line="120" w:lineRule="exact"/>
      </w:pPr>
    </w:p>
    <w:p w14:paraId="70A4EC58" w14:textId="1C62FFD2" w:rsidR="00C1548D" w:rsidRDefault="009B1B4B">
      <w:pPr>
        <w:spacing w:after="140"/>
      </w:pPr>
      <w:r>
        <w:t xml:space="preserve">Bei einem Überfall gibst du Wertsachen heraus und rufst danach 911; Gegenwehr lohnt selten. Für den seltenen Fall einer Schießerei empfehlen Behörden die Regel </w:t>
      </w:r>
      <w:r>
        <w:rPr>
          <w:i/>
          <w:iCs/>
        </w:rPr>
        <w:t>Run, Hide, Fight</w:t>
      </w:r>
      <w:r>
        <w:t>: Fluchtweg suchen, sich verstecken, nur im äußersten Notfall wehren. Aufsicht über Kinder: Kapitel </w:t>
      </w:r>
      <w:hyperlink w:anchor="k38" w:history="1">
        <w:r>
          <w:t>38</w:t>
        </w:r>
      </w:hyperlink>
      <w:r>
        <w:t>.</w:t>
      </w:r>
    </w:p>
    <w:p w14:paraId="70A4EC59" w14:textId="77777777" w:rsidR="00C1548D" w:rsidRDefault="009B1B4B">
      <w:pPr>
        <w:pStyle w:val="Heading3"/>
        <w:keepNext/>
        <w:jc w:val="center"/>
      </w:pPr>
      <w:r>
        <w:rPr>
          <w:rFonts w:ascii="Amazon Ember" w:eastAsia="Amazon Ember" w:hAnsi="Amazon Ember" w:cs="Amazon Ember"/>
          <w:color w:val="0000FF"/>
          <w:sz w:val="36"/>
          <w:szCs w:val="36"/>
        </w:rPr>
        <w:t>Betrug und Scams</w:t>
      </w:r>
    </w:p>
    <w:p w14:paraId="70A4EC5A" w14:textId="2C74E5C5" w:rsidR="00C1548D" w:rsidRDefault="009B1B4B">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Behörden-Imitatoren meldete die FTC rund 920 Millionen $ Verlust. Der größte Schaden entsteht durch Anlagebetrug. Die Muster für Neuankömmlinge (Wohnung, Behördenanruf, Fake-Job, Visa-Berater) stehen in Kapitel </w:t>
      </w:r>
      <w:hyperlink w:anchor="k23" w:history="1">
        <w:r>
          <w:t>23</w:t>
        </w:r>
      </w:hyperlink>
      <w:r>
        <w:t>; dazu kommen:</w:t>
      </w:r>
    </w:p>
    <w:p w14:paraId="70A4EC5B" w14:textId="77777777" w:rsidR="00C1548D" w:rsidRDefault="009B1B4B" w:rsidP="009B1B4B">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w14:paraId="70A4EC5C" w14:textId="77777777" w:rsidR="00C1548D" w:rsidRDefault="009B1B4B" w:rsidP="009B1B4B">
      <w:pPr>
        <w:pStyle w:val="ListParagraph"/>
        <w:numPr>
          <w:ilvl w:val="0"/>
          <w:numId w:val="1"/>
        </w:numPr>
        <w:spacing w:after="60"/>
      </w:pPr>
      <w:r>
        <w:rPr>
          <w:b/>
          <w:bCs/>
        </w:rPr>
        <w:lastRenderedPageBreak/>
        <w:t>Maut- und Paket-SMS:</w:t>
      </w:r>
      <w:r>
        <w:t xml:space="preserve"> „Offene Mautgebühr“ mit Link, formuliert mit einer Dringlichkeit, die keine echte Behörde je an den Tag legt; öffne ihn nie.</w:t>
      </w:r>
    </w:p>
    <w:p w14:paraId="70A4EC5D" w14:textId="77777777" w:rsidR="00C1548D" w:rsidRDefault="009B1B4B" w:rsidP="009B1B4B">
      <w:pPr>
        <w:pStyle w:val="ListParagraph"/>
        <w:numPr>
          <w:ilvl w:val="0"/>
          <w:numId w:val="1"/>
        </w:numPr>
        <w:spacing w:after="60"/>
      </w:pPr>
      <w:r>
        <w:rPr>
          <w:b/>
          <w:bCs/>
        </w:rPr>
        <w:t>Anlage- und Romantikbetrug:</w:t>
      </w:r>
      <w:r>
        <w:t xml:space="preserve"> Kontakt über Chat oder Dating-App, dann „sichere Krypto-Anlage“.</w:t>
      </w:r>
    </w:p>
    <w:p w14:paraId="70A4EC5E" w14:textId="77777777" w:rsidR="00C1548D" w:rsidRDefault="009B1B4B" w:rsidP="009B1B4B">
      <w:pPr>
        <w:pStyle w:val="ListParagraph"/>
        <w:numPr>
          <w:ilvl w:val="0"/>
          <w:numId w:val="1"/>
        </w:numPr>
        <w:spacing w:after="60"/>
      </w:pPr>
      <w:r>
        <w:rPr>
          <w:b/>
          <w:bCs/>
        </w:rPr>
        <w:t>Schockanruf in Deutschland:</w:t>
      </w:r>
      <w:r>
        <w:t xml:space="preserve"> Deine Eltern hören, dass du verhaftet wurdest oder einen Unfall hattest. Vereinbare ein Codewort.</w:t>
      </w:r>
    </w:p>
    <w:p w14:paraId="70A4EC5F" w14:textId="77777777" w:rsidR="00C1548D" w:rsidRDefault="00C1548D">
      <w:pPr>
        <w:spacing w:line="120" w:lineRule="exact"/>
      </w:pPr>
    </w:p>
    <w:p w14:paraId="70A4EC60" w14:textId="0EBA3883" w:rsidR="00C1548D" w:rsidRDefault="009B1B4B">
      <w:pPr>
        <w:spacing w:after="140"/>
      </w:pPr>
      <w:r>
        <w:rPr>
          <w:b/>
          <w:bCs/>
        </w:rPr>
        <w:t>Regeln:</w:t>
      </w:r>
      <w:r>
        <w:t xml:space="preserve"> Zahle nie unter Zeitdruck, nie per Geschenkkarte, Krypto oder Zelle an Unbekannte. Behörden fordern keine SSN am Telefon (Kapitel </w:t>
      </w:r>
      <w:hyperlink w:anchor="k24" w:history="1">
        <w:r>
          <w:t>24</w:t>
        </w:r>
      </w:hyperlink>
      <w:r>
        <w:t>). Kreditkarten schützen besser als Überweisungen: Bei unautorisierten Zahlungen begrenzt Bundesrecht die Haftung auf 50 $ (Kapitel </w:t>
      </w:r>
      <w:hyperlink w:anchor="k25" w:history="1">
        <w:r>
          <w:t>25</w:t>
        </w:r>
      </w:hyperlink>
      <w:r>
        <w:t>). Meldestellen: reportfraud.ftc.gov, bei Identitätsdiebstahl identitytheft.gov.</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63"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C61" w14:textId="77777777" w:rsidR="00C1548D" w:rsidRDefault="009B1B4B">
            <w:pPr>
              <w:keepNext/>
              <w:spacing w:after="70" w:line="240" w:lineRule="auto"/>
            </w:pPr>
            <w:r>
              <w:rPr>
                <w:b/>
                <w:bCs/>
                <w:color w:val="2F6B3B"/>
                <w:spacing w:val="24"/>
                <w:sz w:val="16"/>
                <w:szCs w:val="16"/>
              </w:rPr>
              <w:t>SPARTIPP</w:t>
            </w:r>
          </w:p>
          <w:p w14:paraId="70A4EC62" w14:textId="77777777" w:rsidR="00C1548D" w:rsidRDefault="009B1B4B">
            <w:pPr>
              <w:spacing w:after="80" w:line="264" w:lineRule="auto"/>
            </w:pPr>
            <w:r>
              <w:rPr>
                <w:sz w:val="20"/>
                <w:szCs w:val="20"/>
              </w:rPr>
              <w:t>Ein Kredit-Freeze bei Equifax, Experian und TransUnion kostet nichts und verhindert, dass Betrüger mit deiner SSN neue Kredite eröffnen. Du hebst ihn für eigene Anträge kurz auf.</w:t>
            </w:r>
          </w:p>
        </w:tc>
      </w:tr>
    </w:tbl>
    <w:p w14:paraId="70A4EC64" w14:textId="77777777" w:rsidR="00C1548D" w:rsidRDefault="00C1548D">
      <w:pPr>
        <w:spacing w:line="220" w:lineRule="exact"/>
      </w:pPr>
    </w:p>
    <w:p w14:paraId="70A4EC65" w14:textId="77777777" w:rsidR="00C1548D" w:rsidRDefault="009B1B4B">
      <w:pPr>
        <w:pStyle w:val="Heading3"/>
        <w:keepNext/>
        <w:jc w:val="center"/>
      </w:pPr>
      <w:r>
        <w:rPr>
          <w:rFonts w:ascii="Amazon Ember" w:eastAsia="Amazon Ember" w:hAnsi="Amazon Ember" w:cs="Amazon Ember"/>
          <w:color w:val="0000FF"/>
          <w:sz w:val="36"/>
          <w:szCs w:val="36"/>
        </w:rPr>
        <w:t>Notfälle: 911 und Krankenwagen</w:t>
      </w:r>
    </w:p>
    <w:p w14:paraId="70A4EC66" w14:textId="658C2415" w:rsidR="00C1548D" w:rsidRDefault="009B1B4B">
      <w:pPr>
        <w:spacing w:after="140"/>
      </w:pPr>
      <w:r>
        <w:t>Die Grundlagen zum Notruf 911 stehen in Kapitel </w:t>
      </w:r>
      <w:hyperlink w:anchor="k23" w:history="1">
        <w:r>
          <w:t>23</w:t>
        </w:r>
      </w:hyperlink>
      <w:r>
        <w:t>. Nenne zuerst den Ort (Straße, Hausnummer, Apartment), dann was passiert, und bleibe in der Leitung: Die Leitstelle gibt Anweisungen, etwa zur Herzdruckmassage. Ohne akute Gefahr wählst du die örtliche Non-Emergency-Nummer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history="1">
        <w:r>
          <w:t>26</w:t>
        </w:r>
      </w:hyperlink>
      <w:r>
        <w:t>). Zögere trotzdem nicht: Rechnungen lassen sich verhandeln, Leben nicht.</w:t>
      </w:r>
    </w:p>
    <w:p w14:paraId="70A4EC67" w14:textId="77777777" w:rsidR="00C1548D" w:rsidRDefault="009B1B4B">
      <w:pPr>
        <w:pStyle w:val="Heading3"/>
        <w:keepNext/>
        <w:jc w:val="center"/>
      </w:pPr>
      <w:r>
        <w:rPr>
          <w:rFonts w:ascii="Amazon Ember" w:eastAsia="Amazon Ember" w:hAnsi="Amazon Ember" w:cs="Amazon Ember"/>
          <w:color w:val="0000FF"/>
          <w:sz w:val="36"/>
          <w:szCs w:val="36"/>
        </w:rPr>
        <w:lastRenderedPageBreak/>
        <w:t>Naturkatastrophen und Vorsorge</w:t>
      </w:r>
    </w:p>
    <w:p w14:paraId="70A4EC68" w14:textId="605012A4" w:rsidR="00C1548D" w:rsidRDefault="009B1B4B">
      <w:pPr>
        <w:spacing w:after="140"/>
      </w:pPr>
      <w:r>
        <w:t>Welche Gefahr droht, hängt vom Wohnort ab (Orte: Kapitel </w:t>
      </w:r>
      <w:hyperlink w:anchor="k12" w:history="1">
        <w:r>
          <w:t>12</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6"/>
        <w:gridCol w:w="3594"/>
      </w:tblGrid>
      <w:tr w:rsidR="00C1548D" w14:paraId="70A4EC6B" w14:textId="77777777">
        <w:tblPrEx>
          <w:tblCellMar>
            <w:top w:w="0" w:type="dxa"/>
            <w:bottom w:w="0" w:type="dxa"/>
          </w:tblCellMar>
        </w:tblPrEx>
        <w:trPr>
          <w:cantSplit/>
          <w:tblHeader/>
        </w:trPr>
        <w:tc>
          <w:tcPr>
            <w:tcW w:w="288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C69" w14:textId="77777777" w:rsidR="00C1548D" w:rsidRDefault="009B1B4B">
            <w:pPr>
              <w:spacing w:line="250" w:lineRule="auto"/>
            </w:pPr>
            <w:r>
              <w:rPr>
                <w:b/>
                <w:bCs/>
                <w:sz w:val="18"/>
                <w:szCs w:val="18"/>
              </w:rPr>
              <w:t>Region</w:t>
            </w:r>
          </w:p>
        </w:tc>
        <w:tc>
          <w:tcPr>
            <w:tcW w:w="359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C6A" w14:textId="77777777" w:rsidR="00C1548D" w:rsidRDefault="009B1B4B">
            <w:pPr>
              <w:spacing w:line="250" w:lineRule="auto"/>
            </w:pPr>
            <w:r>
              <w:rPr>
                <w:b/>
                <w:bCs/>
                <w:sz w:val="18"/>
                <w:szCs w:val="18"/>
              </w:rPr>
              <w:t>Typische Gefahr</w:t>
            </w:r>
          </w:p>
        </w:tc>
      </w:tr>
      <w:tr w:rsidR="00C1548D" w14:paraId="70A4EC6E" w14:textId="77777777">
        <w:tblPrEx>
          <w:tblCellMar>
            <w:top w:w="0" w:type="dxa"/>
            <w:bottom w:w="0" w:type="dxa"/>
          </w:tblCellMar>
        </w:tblPrEx>
        <w:trPr>
          <w:cantSplit/>
        </w:trPr>
        <w:tc>
          <w:tcPr>
            <w:tcW w:w="28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6C" w14:textId="77777777" w:rsidR="00C1548D" w:rsidRDefault="009B1B4B">
            <w:pPr>
              <w:spacing w:line="250" w:lineRule="auto"/>
            </w:pPr>
            <w:r>
              <w:rPr>
                <w:sz w:val="18"/>
                <w:szCs w:val="18"/>
              </w:rPr>
              <w:t>Atlantikküste, Carolinas (Raum Raleigh–Durham durch Restzyklone)</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6D" w14:textId="77777777" w:rsidR="00C1548D" w:rsidRDefault="009B1B4B">
            <w:pPr>
              <w:spacing w:line="250" w:lineRule="auto"/>
            </w:pPr>
            <w:r>
              <w:rPr>
                <w:sz w:val="18"/>
                <w:szCs w:val="18"/>
              </w:rPr>
              <w:t>Hurrikane, Überflutung; Saison 1. Juni bis 30. November</w:t>
            </w:r>
          </w:p>
        </w:tc>
      </w:tr>
      <w:tr w:rsidR="00C1548D" w14:paraId="70A4EC71" w14:textId="77777777">
        <w:tblPrEx>
          <w:tblCellMar>
            <w:top w:w="0" w:type="dxa"/>
            <w:bottom w:w="0" w:type="dxa"/>
          </w:tblCellMar>
        </w:tblPrEx>
        <w:trPr>
          <w:cantSplit/>
        </w:trPr>
        <w:tc>
          <w:tcPr>
            <w:tcW w:w="28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6F" w14:textId="77777777" w:rsidR="00C1548D" w:rsidRDefault="009B1B4B">
            <w:pPr>
              <w:spacing w:line="250" w:lineRule="auto"/>
            </w:pPr>
            <w:r>
              <w:rPr>
                <w:sz w:val="18"/>
                <w:szCs w:val="18"/>
              </w:rPr>
              <w:t>Michigan, Mittlerer Westen</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70" w14:textId="77777777" w:rsidR="00C1548D" w:rsidRDefault="009B1B4B">
            <w:pPr>
              <w:spacing w:line="250" w:lineRule="auto"/>
            </w:pPr>
            <w:r>
              <w:rPr>
                <w:sz w:val="18"/>
                <w:szCs w:val="18"/>
              </w:rPr>
              <w:t>Tornados (Frühjahr bis Sommer), Blizzards, Stromausfälle</w:t>
            </w:r>
          </w:p>
        </w:tc>
      </w:tr>
      <w:tr w:rsidR="00C1548D" w14:paraId="70A4EC74" w14:textId="77777777">
        <w:tblPrEx>
          <w:tblCellMar>
            <w:top w:w="0" w:type="dxa"/>
            <w:bottom w:w="0" w:type="dxa"/>
          </w:tblCellMar>
        </w:tblPrEx>
        <w:trPr>
          <w:cantSplit/>
        </w:trPr>
        <w:tc>
          <w:tcPr>
            <w:tcW w:w="28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72" w14:textId="77777777" w:rsidR="00C1548D" w:rsidRDefault="009B1B4B">
            <w:pPr>
              <w:spacing w:line="250" w:lineRule="auto"/>
            </w:pPr>
            <w:r>
              <w:rPr>
                <w:sz w:val="18"/>
                <w:szCs w:val="18"/>
              </w:rPr>
              <w:t>Nordosten (Boston)</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73" w14:textId="77777777" w:rsidR="00C1548D" w:rsidRDefault="009B1B4B">
            <w:pPr>
              <w:spacing w:line="250" w:lineRule="auto"/>
            </w:pPr>
            <w:r>
              <w:rPr>
                <w:i/>
                <w:iCs/>
                <w:sz w:val="18"/>
                <w:szCs w:val="18"/>
              </w:rPr>
              <w:t>Nor’easter</w:t>
            </w:r>
            <w:r>
              <w:rPr>
                <w:sz w:val="18"/>
                <w:szCs w:val="18"/>
              </w:rPr>
              <w:t xml:space="preserve"> (Nordoststurm), Schneestürme, Küstenflut</w:t>
            </w:r>
          </w:p>
        </w:tc>
      </w:tr>
      <w:tr w:rsidR="00C1548D" w14:paraId="70A4EC77" w14:textId="77777777">
        <w:tblPrEx>
          <w:tblCellMar>
            <w:top w:w="0" w:type="dxa"/>
            <w:bottom w:w="0" w:type="dxa"/>
          </w:tblCellMar>
        </w:tblPrEx>
        <w:trPr>
          <w:cantSplit/>
        </w:trPr>
        <w:tc>
          <w:tcPr>
            <w:tcW w:w="28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75" w14:textId="77777777" w:rsidR="00C1548D" w:rsidRDefault="009B1B4B">
            <w:pPr>
              <w:spacing w:line="250" w:lineRule="auto"/>
            </w:pPr>
            <w:r>
              <w:rPr>
                <w:sz w:val="18"/>
                <w:szCs w:val="18"/>
              </w:rPr>
              <w:t>Westküste (Seattle)</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76" w14:textId="77777777" w:rsidR="00C1548D" w:rsidRDefault="009B1B4B">
            <w:pPr>
              <w:spacing w:line="250" w:lineRule="auto"/>
            </w:pPr>
            <w:r>
              <w:rPr>
                <w:sz w:val="18"/>
                <w:szCs w:val="18"/>
              </w:rPr>
              <w:t>Erdbeben, Waldbrände und Rauch im Sommer und Herbst</w:t>
            </w:r>
          </w:p>
        </w:tc>
      </w:tr>
      <w:tr w:rsidR="00C1548D" w14:paraId="70A4EC7A" w14:textId="77777777">
        <w:tblPrEx>
          <w:tblCellMar>
            <w:top w:w="0" w:type="dxa"/>
            <w:bottom w:w="0" w:type="dxa"/>
          </w:tblCellMar>
        </w:tblPrEx>
        <w:trPr>
          <w:cantSplit/>
        </w:trPr>
        <w:tc>
          <w:tcPr>
            <w:tcW w:w="28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78" w14:textId="77777777" w:rsidR="00C1548D" w:rsidRDefault="009B1B4B">
            <w:pPr>
              <w:spacing w:line="250" w:lineRule="auto"/>
            </w:pPr>
            <w:r>
              <w:rPr>
                <w:sz w:val="18"/>
                <w:szCs w:val="18"/>
              </w:rPr>
              <w:t>Südwesten (Phoenix)</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79" w14:textId="77777777" w:rsidR="00C1548D" w:rsidRDefault="009B1B4B">
            <w:pPr>
              <w:spacing w:line="250" w:lineRule="auto"/>
            </w:pPr>
            <w:r>
              <w:rPr>
                <w:sz w:val="18"/>
                <w:szCs w:val="18"/>
              </w:rPr>
              <w:t>Extreme Hitze; Monsun vom 15. Juni bis 30. September mit Staubstürmen und Sturzfluten</w:t>
            </w:r>
          </w:p>
        </w:tc>
      </w:tr>
    </w:tbl>
    <w:p w14:paraId="70A4EC7B" w14:textId="77777777" w:rsidR="00C1548D" w:rsidRDefault="00C1548D">
      <w:pPr>
        <w:spacing w:line="180" w:lineRule="exact"/>
      </w:pPr>
    </w:p>
    <w:p w14:paraId="70A4EC7C" w14:textId="77777777" w:rsidR="00C1548D" w:rsidRDefault="009B1B4B">
      <w:pPr>
        <w:spacing w:after="140"/>
      </w:pPr>
      <w:r>
        <w:t xml:space="preserve">Der Wetterdienst unterscheidet </w:t>
      </w:r>
      <w:r>
        <w:rPr>
          <w:i/>
          <w:iCs/>
        </w:rPr>
        <w:t>Watch</w:t>
      </w:r>
      <w:r>
        <w:t xml:space="preserve"> (Bedingungen möglich, sei vorbereitet) und </w:t>
      </w:r>
      <w:r>
        <w:rPr>
          <w:i/>
          <w:iCs/>
        </w:rPr>
        <w:t>Warning</w:t>
      </w:r>
      <w:r>
        <w:t xml:space="preserve"> (Gefahr akut, handle jetzt). Warnungen kommen automatisch als </w:t>
      </w:r>
      <w:r>
        <w:rPr>
          <w:i/>
          <w:iCs/>
        </w:rPr>
        <w:t>Wireless Emergency Alert</w:t>
      </w:r>
      <w:r>
        <w:t xml:space="preserve"> auf dein Handy, ähnlich dem Cell Broadcast in Deutschland; dazu gibt es weather.gov und das NOAA-Wetterradio. Sinnvoll sind ein Notvorrat für mindestens drei Tage (Wasser: rund 3,8 Liter pro Person und Tag, Nahrung, Medikamente, Taschenlampe, Powerbank, Radio, Bargeld), ein Familienplan mit Treffpunkt und einer Kontaktperson außerhalb der Region sowie Kopien von Pass, I-94 und Green Card in der Cloud. In Küstengebieten kennst du deine Evakuierungszone.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7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C7D" w14:textId="77777777" w:rsidR="00C1548D" w:rsidRDefault="009B1B4B">
            <w:pPr>
              <w:keepNext/>
              <w:spacing w:after="70" w:line="240" w:lineRule="auto"/>
            </w:pPr>
            <w:r>
              <w:rPr>
                <w:b/>
                <w:bCs/>
                <w:color w:val="9B2C2C"/>
                <w:spacing w:val="24"/>
                <w:sz w:val="16"/>
                <w:szCs w:val="16"/>
              </w:rPr>
              <w:t>ACHTUNG</w:t>
            </w:r>
          </w:p>
          <w:p w14:paraId="70A4EC7E" w14:textId="4A230EC6" w:rsidR="00C1548D" w:rsidRDefault="009B1B4B">
            <w:pPr>
              <w:spacing w:after="80" w:line="264" w:lineRule="auto"/>
            </w:pPr>
            <w:r>
              <w:rPr>
                <w:sz w:val="20"/>
                <w:szCs w:val="20"/>
              </w:rPr>
              <w:t>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(Kapitel </w:t>
            </w:r>
            <w:hyperlink w:anchor="k14" w:history="1">
              <w:r>
                <w:rPr>
                  <w:sz w:val="20"/>
                  <w:szCs w:val="20"/>
                </w:rPr>
                <w:t>14</w:t>
              </w:r>
            </w:hyperlink>
            <w:r>
              <w:rPr>
                <w:sz w:val="20"/>
                <w:szCs w:val="20"/>
              </w:rPr>
              <w:t xml:space="preserve"> und </w:t>
            </w:r>
            <w:hyperlink w:anchor="k25" w:history="1">
              <w:r>
                <w:rPr>
                  <w:sz w:val="20"/>
                  <w:szCs w:val="20"/>
                </w:rPr>
                <w:t>25</w:t>
              </w:r>
            </w:hyperlink>
            <w:r>
              <w:rPr>
                <w:sz w:val="20"/>
                <w:szCs w:val="20"/>
              </w:rPr>
              <w:t>).</w:t>
            </w:r>
          </w:p>
        </w:tc>
      </w:tr>
    </w:tbl>
    <w:p w14:paraId="70A4EC80" w14:textId="77777777" w:rsidR="00C1548D" w:rsidRDefault="00C1548D">
      <w:pPr>
        <w:spacing w:line="220" w:lineRule="exact"/>
      </w:pPr>
    </w:p>
    <w:p w14:paraId="70A4EC81" w14:textId="77777777" w:rsidR="00C1548D" w:rsidRDefault="009B1B4B">
      <w:pPr>
        <w:spacing w:after="140"/>
      </w:pPr>
      <w:r>
        <w:t xml:space="preserve">Nach einer Katastrophe setzt die individuelle Hilfe der Katastrophenschutzbehörde FEMA in der Regel Staatsbürgerschaft </w:t>
      </w:r>
      <w:r>
        <w:lastRenderedPageBreak/>
        <w:t xml:space="preserve">oder den Status </w:t>
      </w:r>
      <w:r>
        <w:rPr>
          <w:i/>
          <w:iCs/>
        </w:rPr>
        <w:t>Qualified Alien</w:t>
      </w:r>
      <w:r>
        <w:t xml:space="preserve"> voraus (dazu zählen Green-Card-Inhaber); Inhaber befristeter Visa sind meist nicht antragsberechtigt, für Kinder mit US-Staatsbürgerschaft können Eltern aber Hilfe beantragen (disasterassistance.gov). Notunterkünfte stehen in der Regel allen offen.</w:t>
      </w:r>
    </w:p>
    <w:p w14:paraId="70A4EC82" w14:textId="77777777" w:rsidR="00C1548D" w:rsidRDefault="009B1B4B">
      <w:pPr>
        <w:pStyle w:val="Heading3"/>
        <w:keepNext/>
        <w:jc w:val="center"/>
      </w:pPr>
      <w:r>
        <w:rPr>
          <w:rFonts w:ascii="Amazon Ember" w:eastAsia="Amazon Ember" w:hAnsi="Amazon Ember" w:cs="Amazon Ember"/>
          <w:color w:val="0000FF"/>
          <w:sz w:val="36"/>
          <w:szCs w:val="36"/>
        </w:rPr>
        <w:t>Datenschutz und digitale Sicherheit</w:t>
      </w:r>
    </w:p>
    <w:p w14:paraId="70A4EC83" w14:textId="51846E41" w:rsidR="00C1548D" w:rsidRDefault="009B1B4B">
      <w:pPr>
        <w:spacing w:after="140"/>
      </w:pPr>
      <w:r>
        <w:t>Grundlagen zum US-Datenschutz (keine DSGVO, Einzelgesetze und Landesrecht) stehen in Kapitel </w:t>
      </w:r>
      <w:hyperlink w:anchor="k31" w:history="1">
        <w:r>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w:t>
      </w:r>
      <w:r>
        <w:t>anager und Zwei-Faktor-Anmeldung verhindern die meisten Kontoübernahmen.</w:t>
      </w:r>
    </w:p>
    <w:p w14:paraId="70A4EC84" w14:textId="77777777" w:rsidR="00C1548D" w:rsidRDefault="009B1B4B">
      <w:pPr>
        <w:pStyle w:val="Heading3"/>
        <w:keepNext/>
        <w:jc w:val="center"/>
      </w:pPr>
      <w:r>
        <w:rPr>
          <w:rFonts w:ascii="Amazon Ember" w:eastAsia="Amazon Ember" w:hAnsi="Amazon Ember" w:cs="Amazon Ember"/>
          <w:color w:val="0000FF"/>
          <w:sz w:val="36"/>
          <w:szCs w:val="36"/>
        </w:rPr>
        <w:t>Pflichten von Nichtstaatsbürgern</w:t>
      </w:r>
    </w:p>
    <w:p w14:paraId="70A4EC85" w14:textId="77777777" w:rsidR="00C1548D" w:rsidRDefault="009B1B4B">
      <w:pPr>
        <w:spacing w:after="140"/>
      </w:pPr>
      <w:r>
        <w:t>Als Nichtstaatsbürger unterliegst du einigen Pflichten, die es in Deutschland so nicht gibt. Die wichtigsten im Überblick:</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4"/>
        <w:gridCol w:w="1165"/>
        <w:gridCol w:w="1975"/>
        <w:gridCol w:w="1976"/>
      </w:tblGrid>
      <w:tr w:rsidR="00C1548D" w14:paraId="70A4EC8A" w14:textId="77777777">
        <w:tblPrEx>
          <w:tblCellMar>
            <w:top w:w="0" w:type="dxa"/>
            <w:bottom w:w="0" w:type="dxa"/>
          </w:tblCellMar>
        </w:tblPrEx>
        <w:trPr>
          <w:cantSplit/>
          <w:tblHeader/>
        </w:trPr>
        <w:tc>
          <w:tcPr>
            <w:tcW w:w="136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C86" w14:textId="77777777" w:rsidR="00C1548D" w:rsidRDefault="009B1B4B">
            <w:pPr>
              <w:spacing w:line="250" w:lineRule="auto"/>
            </w:pPr>
            <w:r>
              <w:rPr>
                <w:b/>
                <w:bCs/>
                <w:sz w:val="18"/>
                <w:szCs w:val="18"/>
              </w:rPr>
              <w:t>Pflicht</w:t>
            </w:r>
          </w:p>
        </w:tc>
        <w:tc>
          <w:tcPr>
            <w:tcW w:w="116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C87" w14:textId="77777777" w:rsidR="00C1548D" w:rsidRDefault="009B1B4B">
            <w:pPr>
              <w:spacing w:line="250" w:lineRule="auto"/>
            </w:pPr>
            <w:r>
              <w:rPr>
                <w:b/>
                <w:bCs/>
                <w:sz w:val="18"/>
                <w:szCs w:val="18"/>
              </w:rPr>
              <w:t>Gilt für</w:t>
            </w:r>
          </w:p>
        </w:tc>
        <w:tc>
          <w:tcPr>
            <w:tcW w:w="197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C88" w14:textId="77777777" w:rsidR="00C1548D" w:rsidRDefault="009B1B4B">
            <w:pPr>
              <w:spacing w:line="250" w:lineRule="auto"/>
            </w:pPr>
            <w:r>
              <w:rPr>
                <w:b/>
                <w:bCs/>
                <w:sz w:val="18"/>
                <w:szCs w:val="18"/>
              </w:rPr>
              <w:t>Was du tun musst</w:t>
            </w:r>
          </w:p>
        </w:tc>
        <w:tc>
          <w:tcPr>
            <w:tcW w:w="197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C89" w14:textId="77777777" w:rsidR="00C1548D" w:rsidRDefault="009B1B4B">
            <w:pPr>
              <w:spacing w:line="250" w:lineRule="auto"/>
            </w:pPr>
            <w:r>
              <w:rPr>
                <w:b/>
                <w:bCs/>
                <w:sz w:val="18"/>
                <w:szCs w:val="18"/>
              </w:rPr>
              <w:t>Folge bei Verstoß</w:t>
            </w:r>
          </w:p>
        </w:tc>
      </w:tr>
      <w:tr w:rsidR="00C1548D" w14:paraId="70A4EC8F" w14:textId="77777777">
        <w:tblPrEx>
          <w:tblCellMar>
            <w:top w:w="0" w:type="dxa"/>
            <w:bottom w:w="0" w:type="dxa"/>
          </w:tblCellMar>
        </w:tblPrEx>
        <w:trPr>
          <w:cantSplit/>
        </w:trPr>
        <w:tc>
          <w:tcPr>
            <w:tcW w:w="13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8B" w14:textId="77777777" w:rsidR="00C1548D" w:rsidRDefault="009B1B4B">
            <w:pPr>
              <w:spacing w:line="250" w:lineRule="auto"/>
            </w:pPr>
            <w:r>
              <w:rPr>
                <w:sz w:val="18"/>
                <w:szCs w:val="18"/>
              </w:rPr>
              <w:t>Registrierungsnachweis mitführen (8 U.S.C. § 1304(e))</w:t>
            </w:r>
          </w:p>
        </w:tc>
        <w:tc>
          <w:tcPr>
            <w:tcW w:w="1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8C" w14:textId="77777777" w:rsidR="00C1548D" w:rsidRDefault="009B1B4B">
            <w:pPr>
              <w:spacing w:line="250" w:lineRule="auto"/>
            </w:pPr>
            <w:r>
              <w:rPr>
                <w:sz w:val="18"/>
                <w:szCs w:val="18"/>
              </w:rPr>
              <w:t>Ab 18 Jahren</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8D" w14:textId="77777777" w:rsidR="00C1548D" w:rsidRDefault="009B1B4B">
            <w:pPr>
              <w:spacing w:line="250" w:lineRule="auto"/>
            </w:pPr>
            <w:r>
              <w:rPr>
                <w:sz w:val="18"/>
                <w:szCs w:val="18"/>
              </w:rPr>
              <w:t>Green Card im Original; sonst I-94 (Ausdruck oder Handy) mit Pass und Visum bzw. Bescheid I-797A oder EAD</w:t>
            </w:r>
          </w:p>
        </w:tc>
        <w:tc>
          <w:tcPr>
            <w:tcW w:w="19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8E" w14:textId="77777777" w:rsidR="00C1548D" w:rsidRDefault="009B1B4B">
            <w:pPr>
              <w:spacing w:line="250" w:lineRule="auto"/>
            </w:pPr>
            <w:r>
              <w:rPr>
                <w:sz w:val="18"/>
                <w:szCs w:val="18"/>
              </w:rPr>
              <w:t>Vergehen; nach USCIS bis 5.000 $ und/oder 30 Tage Haft</w:t>
            </w:r>
          </w:p>
        </w:tc>
      </w:tr>
      <w:tr w:rsidR="00C1548D" w14:paraId="70A4EC94" w14:textId="77777777">
        <w:tblPrEx>
          <w:tblCellMar>
            <w:top w:w="0" w:type="dxa"/>
            <w:bottom w:w="0" w:type="dxa"/>
          </w:tblCellMar>
        </w:tblPrEx>
        <w:trPr>
          <w:cantSplit/>
        </w:trPr>
        <w:tc>
          <w:tcPr>
            <w:tcW w:w="13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0" w14:textId="77777777" w:rsidR="00C1548D" w:rsidRDefault="009B1B4B">
            <w:pPr>
              <w:spacing w:line="250" w:lineRule="auto"/>
            </w:pPr>
            <w:r>
              <w:rPr>
                <w:sz w:val="18"/>
                <w:szCs w:val="18"/>
              </w:rPr>
              <w:t>Registrierung (Form G-325R)</w:t>
            </w:r>
          </w:p>
        </w:tc>
        <w:tc>
          <w:tcPr>
            <w:tcW w:w="1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1" w14:textId="77777777" w:rsidR="00C1548D" w:rsidRDefault="009B1B4B">
            <w:pPr>
              <w:spacing w:line="250" w:lineRule="auto"/>
            </w:pPr>
            <w:r>
              <w:rPr>
                <w:sz w:val="18"/>
                <w:szCs w:val="18"/>
              </w:rPr>
              <w:t>Ab 14 Jahren, wenn noch nicht registriert</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2" w14:textId="77777777" w:rsidR="00C1548D" w:rsidRDefault="009B1B4B">
            <w:pPr>
              <w:spacing w:line="250" w:lineRule="auto"/>
            </w:pPr>
            <w:r>
              <w:rPr>
                <w:sz w:val="18"/>
                <w:szCs w:val="18"/>
              </w:rPr>
              <w:t>Wer mit Visum eingereist ist oder Green Card oder EAD hat, gilt als registriert; sonst online mit Biometrie</w:t>
            </w:r>
          </w:p>
        </w:tc>
        <w:tc>
          <w:tcPr>
            <w:tcW w:w="19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3" w14:textId="77777777" w:rsidR="00C1548D" w:rsidRDefault="009B1B4B">
            <w:pPr>
              <w:spacing w:line="250" w:lineRule="auto"/>
            </w:pPr>
            <w:r>
              <w:rPr>
                <w:sz w:val="18"/>
                <w:szCs w:val="18"/>
              </w:rPr>
              <w:t>Vorsätzliches Unterlassen: bis 5.000 $ und/oder 6 Monate Haft</w:t>
            </w:r>
          </w:p>
        </w:tc>
      </w:tr>
      <w:tr w:rsidR="00C1548D" w14:paraId="70A4EC99" w14:textId="77777777">
        <w:tblPrEx>
          <w:tblCellMar>
            <w:top w:w="0" w:type="dxa"/>
            <w:bottom w:w="0" w:type="dxa"/>
          </w:tblCellMar>
        </w:tblPrEx>
        <w:trPr>
          <w:cantSplit/>
        </w:trPr>
        <w:tc>
          <w:tcPr>
            <w:tcW w:w="13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5" w14:textId="77777777" w:rsidR="00C1548D" w:rsidRDefault="009B1B4B">
            <w:pPr>
              <w:spacing w:line="250" w:lineRule="auto"/>
            </w:pPr>
            <w:r>
              <w:rPr>
                <w:sz w:val="18"/>
                <w:szCs w:val="18"/>
              </w:rPr>
              <w:lastRenderedPageBreak/>
              <w:t>Adressänderung (AR-11)</w:t>
            </w:r>
          </w:p>
        </w:tc>
        <w:tc>
          <w:tcPr>
            <w:tcW w:w="1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6" w14:textId="77777777" w:rsidR="00C1548D" w:rsidRDefault="009B1B4B">
            <w:pPr>
              <w:spacing w:line="250" w:lineRule="auto"/>
            </w:pPr>
            <w:r>
              <w:rPr>
                <w:sz w:val="18"/>
                <w:szCs w:val="18"/>
              </w:rPr>
              <w:t>Fast alle Nichtstaatsbürger</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7" w14:textId="28A7C1E1" w:rsidR="00C1548D" w:rsidRDefault="009B1B4B">
            <w:pPr>
              <w:spacing w:line="250" w:lineRule="auto"/>
            </w:pPr>
            <w:r>
              <w:rPr>
                <w:sz w:val="18"/>
                <w:szCs w:val="18"/>
              </w:rPr>
              <w:t>Jeden Umzug binnen 10 Tagen online melden (Kapitel </w:t>
            </w:r>
            <w:hyperlink w:anchor="k30" w:history="1">
              <w:r>
                <w:rPr>
                  <w:sz w:val="18"/>
                  <w:szCs w:val="18"/>
                </w:rPr>
                <w:t>30</w:t>
              </w:r>
            </w:hyperlink>
            <w:r>
              <w:rPr>
                <w:sz w:val="18"/>
                <w:szCs w:val="18"/>
              </w:rPr>
              <w:t>)</w:t>
            </w:r>
          </w:p>
        </w:tc>
        <w:tc>
          <w:tcPr>
            <w:tcW w:w="19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8" w14:textId="77777777" w:rsidR="00C1548D" w:rsidRDefault="009B1B4B">
            <w:pPr>
              <w:spacing w:line="250" w:lineRule="auto"/>
            </w:pPr>
            <w:r>
              <w:rPr>
                <w:sz w:val="18"/>
                <w:szCs w:val="18"/>
              </w:rPr>
              <w:t>Nach USCIS bis 5.000 $ und/oder 30 Tage Haft; kann Abschiebeverfahren auslösen</w:t>
            </w:r>
          </w:p>
        </w:tc>
      </w:tr>
      <w:tr w:rsidR="00C1548D" w14:paraId="70A4EC9E" w14:textId="77777777">
        <w:tblPrEx>
          <w:tblCellMar>
            <w:top w:w="0" w:type="dxa"/>
            <w:bottom w:w="0" w:type="dxa"/>
          </w:tblCellMar>
        </w:tblPrEx>
        <w:trPr>
          <w:cantSplit/>
        </w:trPr>
        <w:tc>
          <w:tcPr>
            <w:tcW w:w="13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A" w14:textId="77777777" w:rsidR="00C1548D" w:rsidRDefault="009B1B4B">
            <w:pPr>
              <w:spacing w:line="250" w:lineRule="auto"/>
            </w:pPr>
            <w:r>
              <w:rPr>
                <w:sz w:val="18"/>
                <w:szCs w:val="18"/>
              </w:rPr>
              <w:t>Wahlverbot</w:t>
            </w:r>
          </w:p>
        </w:tc>
        <w:tc>
          <w:tcPr>
            <w:tcW w:w="1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B" w14:textId="77777777" w:rsidR="00C1548D" w:rsidRDefault="009B1B4B">
            <w:pPr>
              <w:spacing w:line="250" w:lineRule="auto"/>
            </w:pPr>
            <w:r>
              <w:rPr>
                <w:sz w:val="18"/>
                <w:szCs w:val="18"/>
              </w:rPr>
              <w:t>Alle</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C" w14:textId="77777777" w:rsidR="00C1548D" w:rsidRDefault="009B1B4B">
            <w:pPr>
              <w:spacing w:line="250" w:lineRule="auto"/>
            </w:pPr>
            <w:r>
              <w:rPr>
                <w:sz w:val="18"/>
                <w:szCs w:val="18"/>
              </w:rPr>
              <w:t>Nicht wählen, dich nicht registrieren lassen, dich nie als Staatsbürger ausgeben</w:t>
            </w:r>
          </w:p>
        </w:tc>
        <w:tc>
          <w:tcPr>
            <w:tcW w:w="19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D" w14:textId="77777777" w:rsidR="00C1548D" w:rsidRDefault="009B1B4B">
            <w:pPr>
              <w:spacing w:line="250" w:lineRule="auto"/>
            </w:pPr>
            <w:r>
              <w:rPr>
                <w:sz w:val="18"/>
                <w:szCs w:val="18"/>
              </w:rPr>
              <w:t>Strafbar; kann Abschiebung und Einreisesperre bedeuten</w:t>
            </w:r>
          </w:p>
        </w:tc>
      </w:tr>
      <w:tr w:rsidR="00C1548D" w14:paraId="70A4ECA3" w14:textId="77777777">
        <w:tblPrEx>
          <w:tblCellMar>
            <w:top w:w="0" w:type="dxa"/>
            <w:bottom w:w="0" w:type="dxa"/>
          </w:tblCellMar>
        </w:tblPrEx>
        <w:trPr>
          <w:cantSplit/>
        </w:trPr>
        <w:tc>
          <w:tcPr>
            <w:tcW w:w="13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9F" w14:textId="77777777" w:rsidR="00C1548D" w:rsidRDefault="009B1B4B">
            <w:pPr>
              <w:spacing w:line="250" w:lineRule="auto"/>
            </w:pPr>
            <w:r>
              <w:rPr>
                <w:sz w:val="18"/>
                <w:szCs w:val="18"/>
              </w:rPr>
              <w:t>Selective Service</w:t>
            </w:r>
          </w:p>
        </w:tc>
        <w:tc>
          <w:tcPr>
            <w:tcW w:w="1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A0" w14:textId="77777777" w:rsidR="00C1548D" w:rsidRDefault="009B1B4B">
            <w:pPr>
              <w:spacing w:line="250" w:lineRule="auto"/>
            </w:pPr>
            <w:r>
              <w:rPr>
                <w:sz w:val="18"/>
                <w:szCs w:val="18"/>
              </w:rPr>
              <w:t>Männer von 18 bis 25 mit Green Card</w:t>
            </w:r>
          </w:p>
        </w:tc>
        <w:tc>
          <w:tcPr>
            <w:tcW w:w="19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A1" w14:textId="77777777" w:rsidR="00C1548D" w:rsidRDefault="009B1B4B">
            <w:pPr>
              <w:spacing w:line="250" w:lineRule="auto"/>
            </w:pPr>
            <w:r>
              <w:rPr>
                <w:sz w:val="18"/>
                <w:szCs w:val="18"/>
              </w:rPr>
              <w:t>Binnen 30 Tagen nach Einreise oder 18. Geburtstag registrieren</w:t>
            </w:r>
          </w:p>
        </w:tc>
        <w:tc>
          <w:tcPr>
            <w:tcW w:w="19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A2" w14:textId="77777777" w:rsidR="00C1548D" w:rsidRDefault="009B1B4B">
            <w:pPr>
              <w:spacing w:line="250" w:lineRule="auto"/>
            </w:pPr>
            <w:r>
              <w:rPr>
                <w:sz w:val="18"/>
                <w:szCs w:val="18"/>
              </w:rPr>
              <w:t>Nachteile bei Einbürgerung, Bundesjobs, staatlicher Studienhilfe</w:t>
            </w:r>
          </w:p>
        </w:tc>
      </w:tr>
    </w:tbl>
    <w:p w14:paraId="70A4ECA4" w14:textId="77777777" w:rsidR="00C1548D" w:rsidRDefault="00C1548D">
      <w:pPr>
        <w:spacing w:line="180" w:lineRule="exact"/>
      </w:pPr>
    </w:p>
    <w:p w14:paraId="70A4ECA5" w14:textId="77777777" w:rsidR="00C1548D" w:rsidRDefault="009B1B4B">
      <w:pPr>
        <w:spacing w:after="140"/>
      </w:pPr>
      <w:r>
        <w:rPr>
          <w:b/>
          <w:bCs/>
        </w:rPr>
        <w:t>Registrierung und Nachweis.</w:t>
      </w:r>
      <w:r>
        <w:t xml:space="preserve">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i94.cbp.dhs.gov herunter, speichere es auf dem Handy und lege einen Ausdruck in die Brieftasche. Kinder, die 14 werden, müssen laut USCIS binnen 30 Tagen nach dem Geburtstag erneut erfasst werden; frage de</w:t>
      </w:r>
      <w:r>
        <w:t>ine Anwältin, wie das bei deiner Familie läuft.</w:t>
      </w:r>
    </w:p>
    <w:p w14:paraId="70A4ECA6" w14:textId="24E4A230" w:rsidR="00C1548D" w:rsidRDefault="009B1B4B">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history="1">
        <w:r>
          <w:t>31</w:t>
        </w:r>
      </w:hyperlink>
      <w:r>
        <w:t>). Auch zum Geschworenendienst (</w:t>
      </w:r>
      <w:r>
        <w:rPr>
          <w:i/>
          <w:iCs/>
        </w:rPr>
        <w:t>Jury Duty</w:t>
      </w:r>
      <w:r>
        <w:t>) werden nur Staatsbürger berufen. Kommt eine Ladung, ignoriere sie nicht: Antworte wahrheitsgemäß, dass du kein Staatsbürger bist.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A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CA7" w14:textId="77777777" w:rsidR="00C1548D" w:rsidRDefault="009B1B4B">
            <w:pPr>
              <w:keepNext/>
              <w:spacing w:after="70" w:line="240" w:lineRule="auto"/>
            </w:pPr>
            <w:r>
              <w:rPr>
                <w:b/>
                <w:bCs/>
                <w:color w:val="9B2C2C"/>
                <w:spacing w:val="24"/>
                <w:sz w:val="16"/>
                <w:szCs w:val="16"/>
              </w:rPr>
              <w:lastRenderedPageBreak/>
              <w:t>ACHTUNG</w:t>
            </w:r>
          </w:p>
          <w:p w14:paraId="70A4ECA8" w14:textId="77777777" w:rsidR="00C1548D" w:rsidRDefault="009B1B4B">
            <w:pPr>
              <w:spacing w:after="80" w:line="264" w:lineRule="auto"/>
            </w:pPr>
            <w:r>
              <w:rPr>
                <w:sz w:val="20"/>
                <w:szCs w:val="20"/>
              </w:rPr>
              <w:t>Ein Kreuz an der falschen Stelle im Wählerregister-Formular hat schon Nichtstaatsbürger die Green Card gekostet. Wer irrtümlich registriert wurde, sollte sich mit anwaltlicher Hilfe abmelden, bevor er wählt oder eine Ladung ignoriert.</w:t>
            </w:r>
          </w:p>
        </w:tc>
      </w:tr>
    </w:tbl>
    <w:p w14:paraId="70A4ECAA" w14:textId="77777777" w:rsidR="00C1548D" w:rsidRDefault="00C1548D">
      <w:pPr>
        <w:spacing w:line="220" w:lineRule="exact"/>
      </w:pPr>
    </w:p>
    <w:p w14:paraId="70A4ECAB" w14:textId="77777777" w:rsidR="00C1548D" w:rsidRDefault="009B1B4B">
      <w:pPr>
        <w:spacing w:after="140"/>
      </w:pPr>
      <w:r>
        <w:rPr>
          <w:b/>
          <w:bCs/>
        </w:rPr>
        <w:t>Selective Service.</w:t>
      </w:r>
      <w:r>
        <w:t xml:space="preserv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automatisch aus Behördendaten; Details für Nichteinwanderer prüfst du auf sss.gov.</w:t>
      </w:r>
    </w:p>
    <w:p w14:paraId="70A4ECAC" w14:textId="70FA9621" w:rsidR="00C1548D" w:rsidRDefault="009B1B4B">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history="1">
        <w:r>
          <w:t>6</w:t>
        </w:r>
      </w:hyperlink>
      <w:r>
        <w:t xml:space="preserve">, </w:t>
      </w:r>
      <w:hyperlink w:anchor="k26" w:history="1">
        <w:r>
          <w:t>26</w:t>
        </w:r>
      </w:hyperlink>
      <w:r>
        <w:t>).</w:t>
      </w:r>
    </w:p>
    <w:p w14:paraId="70A4ECAD" w14:textId="77777777" w:rsidR="00C1548D" w:rsidRDefault="009B1B4B">
      <w:pPr>
        <w:pStyle w:val="Heading3"/>
        <w:keepNext/>
        <w:jc w:val="center"/>
      </w:pPr>
      <w:r>
        <w:rPr>
          <w:rFonts w:ascii="Amazon Ember" w:eastAsia="Amazon Ember" w:hAnsi="Amazon Ember" w:cs="Amazon Ember"/>
          <w:color w:val="0000FF"/>
          <w:sz w:val="36"/>
          <w:szCs w:val="36"/>
        </w:rPr>
        <w:t>Verhalten gegenüber Behörden</w:t>
      </w:r>
    </w:p>
    <w:p w14:paraId="70A4ECAE" w14:textId="77777777" w:rsidR="00C1548D" w:rsidRDefault="009B1B4B">
      <w:pPr>
        <w:spacing w:after="140"/>
      </w:pPr>
      <w:r>
        <w:t>Zwei Grundsätze: Schweigen ist erlaubt, Lügen nie. Falsche Angaben in Visa-, Green-Card- oder Steuerformularen können als Täuschung (</w:t>
      </w:r>
      <w:r>
        <w:rPr>
          <w:i/>
          <w:iCs/>
        </w:rPr>
        <w:t>Misrepresentation</w:t>
      </w:r>
      <w:r>
        <w:t>) dauerhaft unzulässig machen; wer einen Bundesbeamten belügt, begeht eine Straftat (18 U.S.C. § 1001). Das gilt auch für falsche Papiere.</w:t>
      </w:r>
    </w:p>
    <w:p w14:paraId="70A4ECAF" w14:textId="77777777" w:rsidR="00C1548D" w:rsidRDefault="009B1B4B" w:rsidP="009B1B4B">
      <w:pPr>
        <w:pStyle w:val="ListParagraph"/>
        <w:numPr>
          <w:ilvl w:val="0"/>
          <w:numId w:val="1"/>
        </w:numPr>
        <w:spacing w:after="60"/>
      </w:pPr>
      <w:r>
        <w:t>Bei Fragen nach deinem Status zeigst du deine Dokumente vor (Mitführpflicht). Weitere Fragen beantwortest du nicht, sondern verlangst deinen Anwalt.</w:t>
      </w:r>
    </w:p>
    <w:p w14:paraId="70A4ECB0" w14:textId="3A75D460" w:rsidR="00C1548D" w:rsidRDefault="009B1B4B" w:rsidP="009B1B4B">
      <w:pPr>
        <w:pStyle w:val="ListParagraph"/>
        <w:numPr>
          <w:ilvl w:val="0"/>
          <w:numId w:val="1"/>
        </w:numPr>
        <w:spacing w:after="60"/>
      </w:pPr>
      <w:r>
        <w:t>Unterschreibe nichts, was du nicht verstehst, etwa die Aufgabe der Green Card (</w:t>
      </w:r>
      <w:r>
        <w:rPr>
          <w:i/>
          <w:iCs/>
        </w:rPr>
        <w:t>Form I-407</w:t>
      </w:r>
      <w:r>
        <w:t>) unter Druck (Kapitel </w:t>
      </w:r>
      <w:hyperlink w:anchor="k42" w:history="1">
        <w:r>
          <w:t>42</w:t>
        </w:r>
      </w:hyperlink>
      <w:r>
        <w:t>).</w:t>
      </w:r>
    </w:p>
    <w:p w14:paraId="70A4ECB1" w14:textId="77777777" w:rsidR="00C1548D" w:rsidRDefault="009B1B4B" w:rsidP="009B1B4B">
      <w:pPr>
        <w:pStyle w:val="ListParagraph"/>
        <w:numPr>
          <w:ilvl w:val="0"/>
          <w:numId w:val="1"/>
        </w:numPr>
        <w:spacing w:after="60"/>
      </w:pPr>
      <w:r>
        <w:lastRenderedPageBreak/>
        <w:t>Beamte dürfen deine Wohnung grundsätzlich nur mit deiner Zustimmung oder mit einem richterlichen Beschluss (</w:t>
      </w:r>
      <w:r>
        <w:rPr>
          <w:i/>
          <w:iCs/>
        </w:rPr>
        <w:t>Judicial Warrant</w:t>
      </w:r>
      <w:r>
        <w:t>) betreten. Ob ein behördeneigener Haftbefehl (</w:t>
      </w:r>
      <w:r>
        <w:rPr>
          <w:i/>
          <w:iCs/>
        </w:rPr>
        <w:t>Administrative Warrant</w:t>
      </w:r>
      <w:r>
        <w:t>), wie ihn auch die Einwanderungsbehörde ausstellt, dafür genügt, ist rechtlich umstritten. Öffne im Zweifel nicht, sondern frage durch die Tür nach dem Beschluss und rufe deinen Anwalt an.</w:t>
      </w:r>
    </w:p>
    <w:p w14:paraId="70A4ECB2" w14:textId="77777777" w:rsidR="00C1548D" w:rsidRDefault="009B1B4B" w:rsidP="009B1B4B">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w14:paraId="70A4ECB3" w14:textId="77777777" w:rsidR="00C1548D" w:rsidRDefault="00C1548D">
      <w:pPr>
        <w:spacing w:line="120" w:lineRule="exact"/>
      </w:pPr>
    </w:p>
    <w:p w14:paraId="70A4ECB4" w14:textId="77777777" w:rsidR="00C1548D" w:rsidRDefault="009B1B4B">
      <w:pPr>
        <w:pStyle w:val="Heading3"/>
        <w:keepNext/>
        <w:jc w:val="center"/>
      </w:pPr>
      <w:r>
        <w:rPr>
          <w:rFonts w:ascii="Amazon Ember" w:eastAsia="Amazon Ember" w:hAnsi="Amazon Ember" w:cs="Amazon Ember"/>
          <w:color w:val="0000FF"/>
          <w:sz w:val="36"/>
          <w:szCs w:val="36"/>
        </w:rPr>
        <w:t>Konsularische Hilfe</w:t>
      </w:r>
    </w:p>
    <w:p w14:paraId="70A4ECB5" w14:textId="77777777" w:rsidR="00C1548D" w:rsidRDefault="009B1B4B">
      <w:pPr>
        <w:spacing w:after="140"/>
      </w:pPr>
      <w:r>
        <w:t xml:space="preserve">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w:t>
      </w:r>
      <w:r>
        <w:t xml:space="preserve">zuständig sind sie für Anwaltskosten, Kaution oder Eingriffe in Verfahren, und auch nicht für US-Visa und Einwanderung. Der Notdienst der Botschaft ist außerhalb der Dienstzeiten unter +1 202 298 4000 erreichbar. Trage dich außerdem in die Krisenvorsorgeliste </w:t>
      </w:r>
      <w:r>
        <w:rPr>
          <w:i/>
          <w:iCs/>
        </w:rPr>
        <w:t>Elefand</w:t>
      </w:r>
      <w:r>
        <w:t xml:space="preserve"> ein, damit das Auswärtige Amt dich bei Krisen erreicht.</w:t>
      </w:r>
    </w:p>
    <w:p w14:paraId="70A4ECB6"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CB9"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CB7"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CB8" w14:textId="77777777" w:rsidR="00C1548D" w:rsidRDefault="009B1B4B">
            <w:pPr>
              <w:spacing w:line="250" w:lineRule="auto"/>
            </w:pPr>
            <w:r>
              <w:rPr>
                <w:b/>
                <w:bCs/>
                <w:sz w:val="18"/>
                <w:szCs w:val="18"/>
              </w:rPr>
              <w:t>Minus</w:t>
            </w:r>
          </w:p>
        </w:tc>
      </w:tr>
      <w:tr w:rsidR="00C1548D" w14:paraId="70A4ECB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BA" w14:textId="77777777" w:rsidR="00C1548D" w:rsidRDefault="009B1B4B">
            <w:pPr>
              <w:spacing w:line="250" w:lineRule="auto"/>
            </w:pPr>
            <w:r>
              <w:rPr>
                <w:sz w:val="18"/>
                <w:szCs w:val="18"/>
              </w:rPr>
              <w:t>Grundrechte (Schweigen, Anwalt, Durchsuchungsschutz) gelten für alle im Land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BB" w14:textId="77777777" w:rsidR="00C1548D" w:rsidRDefault="009B1B4B">
            <w:pPr>
              <w:spacing w:line="250" w:lineRule="auto"/>
            </w:pPr>
            <w:r>
              <w:rPr>
                <w:sz w:val="18"/>
                <w:szCs w:val="18"/>
              </w:rPr>
              <w:t>Strafen treffen Nichtstaatsbürger härter, weil der Aufenthalt mitentschieden wird</w:t>
            </w:r>
          </w:p>
        </w:tc>
      </w:tr>
      <w:tr w:rsidR="00C1548D" w14:paraId="70A4ECB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BD" w14:textId="77777777" w:rsidR="00C1548D" w:rsidRDefault="009B1B4B">
            <w:pPr>
              <w:spacing w:line="250" w:lineRule="auto"/>
            </w:pPr>
            <w:r>
              <w:rPr>
                <w:sz w:val="18"/>
                <w:szCs w:val="18"/>
              </w:rPr>
              <w:t>Kostenloser Pflichtverteidiger im Strafverfahren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BE" w14:textId="77777777" w:rsidR="00C1548D" w:rsidRDefault="009B1B4B">
            <w:pPr>
              <w:spacing w:line="250" w:lineRule="auto"/>
            </w:pPr>
            <w:r>
              <w:rPr>
                <w:sz w:val="18"/>
                <w:szCs w:val="18"/>
              </w:rPr>
              <w:t>Zivilprozesse sind teuer: jede Seite zahlt ihre Anwälte selbst</w:t>
            </w:r>
          </w:p>
        </w:tc>
      </w:tr>
      <w:tr w:rsidR="00C1548D" w14:paraId="70A4ECC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C0" w14:textId="77777777" w:rsidR="00C1548D" w:rsidRDefault="009B1B4B">
            <w:pPr>
              <w:spacing w:line="250" w:lineRule="auto"/>
            </w:pPr>
            <w:r>
              <w:rPr>
                <w:sz w:val="18"/>
                <w:szCs w:val="18"/>
              </w:rPr>
              <w:t>Small Claims: günstiger Weg zum Recht, meist ohne Anwalt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C1" w14:textId="77777777" w:rsidR="00C1548D" w:rsidRDefault="009B1B4B">
            <w:pPr>
              <w:spacing w:line="250" w:lineRule="auto"/>
            </w:pPr>
            <w:r>
              <w:rPr>
                <w:sz w:val="18"/>
                <w:szCs w:val="18"/>
              </w:rPr>
              <w:t>Bund plus 50 Staaten: Waffen, Cannabis und Streitwertgrenzen unterscheiden sich</w:t>
            </w:r>
          </w:p>
        </w:tc>
      </w:tr>
      <w:tr w:rsidR="00C1548D" w14:paraId="70A4ECC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C3" w14:textId="77777777" w:rsidR="00C1548D" w:rsidRDefault="009B1B4B">
            <w:pPr>
              <w:spacing w:line="250" w:lineRule="auto"/>
            </w:pPr>
            <w:r>
              <w:rPr>
                <w:sz w:val="18"/>
                <w:szCs w:val="18"/>
              </w:rPr>
              <w:t>Einheitlicher Notruf 911, Warnungen aufs Handy</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C4" w14:textId="77777777" w:rsidR="00C1548D" w:rsidRDefault="009B1B4B">
            <w:pPr>
              <w:spacing w:line="250" w:lineRule="auto"/>
            </w:pPr>
            <w:r>
              <w:rPr>
                <w:sz w:val="18"/>
                <w:szCs w:val="18"/>
              </w:rPr>
              <w:t>Krankenwagen und Katastrophenschäden können teuer werden, Hochwasser und Erdbeben sind extra zu versichern</w:t>
            </w:r>
          </w:p>
        </w:tc>
      </w:tr>
      <w:tr w:rsidR="00C1548D" w14:paraId="70A4ECC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C6" w14:textId="77777777" w:rsidR="00C1548D" w:rsidRDefault="009B1B4B">
            <w:pPr>
              <w:spacing w:line="250" w:lineRule="auto"/>
            </w:pPr>
            <w:r>
              <w:rPr>
                <w:sz w:val="18"/>
                <w:szCs w:val="18"/>
              </w:rPr>
              <w:t>Kreditkarten und Kredit-Freeze schützen gut vor Missbrauch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C7" w14:textId="77777777" w:rsidR="00C1548D" w:rsidRDefault="009B1B4B">
            <w:pPr>
              <w:spacing w:line="250" w:lineRule="auto"/>
            </w:pPr>
            <w:r>
              <w:rPr>
                <w:sz w:val="18"/>
                <w:szCs w:val="18"/>
              </w:rPr>
              <w:t>Betrug ist häufig, Überweisungen lassen sich kaum zurückholen</w:t>
            </w:r>
          </w:p>
        </w:tc>
      </w:tr>
      <w:tr w:rsidR="00C1548D" w14:paraId="70A4ECC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C9" w14:textId="77777777" w:rsidR="00C1548D" w:rsidRDefault="009B1B4B">
            <w:pPr>
              <w:spacing w:line="250" w:lineRule="auto"/>
            </w:pPr>
            <w:r>
              <w:rPr>
                <w:sz w:val="18"/>
                <w:szCs w:val="18"/>
              </w:rPr>
              <w:t>Deutsche Vertretungen helfen bei Festnahme und Notlage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CCA" w14:textId="77777777" w:rsidR="00C1548D" w:rsidRDefault="009B1B4B">
            <w:pPr>
              <w:spacing w:line="250" w:lineRule="auto"/>
            </w:pPr>
            <w:r>
              <w:rPr>
                <w:sz w:val="18"/>
                <w:szCs w:val="18"/>
              </w:rPr>
              <w:t>Melde- und Mitführpflichten lassen wenig Spielraum</w:t>
            </w:r>
          </w:p>
        </w:tc>
      </w:tr>
    </w:tbl>
    <w:p w14:paraId="70A4ECCC" w14:textId="77777777" w:rsidR="00C1548D" w:rsidRDefault="00C1548D">
      <w:pPr>
        <w:spacing w:line="180" w:lineRule="exact"/>
      </w:pPr>
    </w:p>
    <w:p w14:paraId="70A4ECCD"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CCE" w14:textId="77777777" w:rsidR="00C1548D" w:rsidRDefault="009B1B4B">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DC"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CCF" w14:textId="77777777" w:rsidR="00C1548D" w:rsidRDefault="009B1B4B">
            <w:pPr>
              <w:keepNext/>
              <w:spacing w:after="70" w:line="240" w:lineRule="auto"/>
            </w:pPr>
            <w:r>
              <w:rPr>
                <w:b/>
                <w:bCs/>
                <w:color w:val="1F6F78"/>
                <w:spacing w:val="24"/>
                <w:sz w:val="16"/>
                <w:szCs w:val="16"/>
              </w:rPr>
              <w:lastRenderedPageBreak/>
              <w:t>CHECKLISTE</w:t>
            </w:r>
          </w:p>
          <w:p w14:paraId="70A4ECD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I-94 unter i94.cbp.dhs.gov herunterladen, auf dem Handy speichern und ausdrucken; Green Card im Original bei dir tragen</w:t>
            </w:r>
          </w:p>
          <w:p w14:paraId="70A4ECD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 jedem Umzug binnen 10 Tagen AR-11 einreichen und die Bestätigung speichern</w:t>
            </w:r>
          </w:p>
          <w:p w14:paraId="70A4ECD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Nummer eines Einwanderungsanwalts im Handy und in der Brieftasche haben</w:t>
            </w:r>
          </w:p>
          <w:p w14:paraId="70A4ECD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Beim Führerscheinantrag nicht als Wähler registrieren lassen und nie „Staatsbürger“ ankreuzen</w:t>
            </w:r>
          </w:p>
          <w:p w14:paraId="70A4ECD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Cannabis und Waffen meiden; als Visum-Inhaber keine Waffe leihen, halten oder aufbewahren</w:t>
            </w:r>
          </w:p>
          <w:p w14:paraId="70A4ECD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Verhalten bei der Verkehrskontrolle und den Anwaltssatz mit Familie üben</w:t>
            </w:r>
          </w:p>
          <w:p w14:paraId="70A4ECD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Kredit-Freeze bei Equifax, Experian und TransUnion einrichten</w:t>
            </w:r>
          </w:p>
          <w:p w14:paraId="70A4ECD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Mit den Eltern in Deutschland ein Codewort gegen Schockanrufe vereinbaren</w:t>
            </w:r>
          </w:p>
          <w:p w14:paraId="70A4ECD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Wetterwarnungen (Wireless Emergency Alerts) aktivieren, Notvorrat und Familienplan anlegen</w:t>
            </w:r>
          </w:p>
          <w:p w14:paraId="70A4ECD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Flut- und Erdbebenversicherung prüfen; Wartefrist von 30 Tagen beachten</w:t>
            </w:r>
          </w:p>
          <w:p w14:paraId="70A4ECD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Notdienstnummer der Botschaft (+1 202 298 4000) speichern und dich in die Krisenvorsorgeliste eintragen</w:t>
            </w:r>
          </w:p>
          <w:p w14:paraId="70A4ECD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Söhnen mit Green Card ab 18 Selective Service prüfen (sss.gov)</w:t>
            </w:r>
          </w:p>
        </w:tc>
      </w:tr>
    </w:tbl>
    <w:p w14:paraId="70A4ECDD" w14:textId="77777777" w:rsidR="00C1548D" w:rsidRDefault="00C1548D">
      <w:pPr>
        <w:spacing w:line="220" w:lineRule="exact"/>
      </w:pPr>
    </w:p>
    <w:p w14:paraId="70A4ECDE"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CDF" w14:textId="0E41A690" w:rsidR="00C1548D" w:rsidRDefault="009B1B4B" w:rsidP="009B1B4B">
      <w:pPr>
        <w:pStyle w:val="ListParagraph"/>
        <w:numPr>
          <w:ilvl w:val="0"/>
          <w:numId w:val="1"/>
        </w:numPr>
        <w:spacing w:after="60"/>
      </w:pPr>
      <w:r>
        <w:t>USCIS — Registrierungspflicht und Mitführen von Dokumenten (</w:t>
      </w:r>
      <w:hyperlink r:id="rId341" w:history="1">
        <w:r>
          <w:rPr>
            <w:color w:val="0563C1"/>
            <w:u w:val="single"/>
          </w:rPr>
          <w:t>uscis.gov/alienregistration</w:t>
        </w:r>
      </w:hyperlink>
      <w:r>
        <w:t>)</w:t>
      </w:r>
    </w:p>
    <w:p w14:paraId="70A4ECE0" w14:textId="101719FF" w:rsidR="00C1548D" w:rsidRDefault="009B1B4B" w:rsidP="009B1B4B">
      <w:pPr>
        <w:pStyle w:val="ListParagraph"/>
        <w:numPr>
          <w:ilvl w:val="0"/>
          <w:numId w:val="1"/>
        </w:numPr>
        <w:spacing w:after="60"/>
      </w:pPr>
      <w:r>
        <w:t>USCIS — Adressänderung Form AR-11 (</w:t>
      </w:r>
      <w:hyperlink r:id="rId342" w:history="1">
        <w:r>
          <w:rPr>
            <w:color w:val="0563C1"/>
            <w:u w:val="single"/>
          </w:rPr>
          <w:t>uscis.gov/ar-11</w:t>
        </w:r>
      </w:hyperlink>
      <w:r>
        <w:t>)</w:t>
      </w:r>
    </w:p>
    <w:p w14:paraId="70A4ECE1" w14:textId="65564581" w:rsidR="00C1548D" w:rsidRDefault="009B1B4B" w:rsidP="009B1B4B">
      <w:pPr>
        <w:pStyle w:val="ListParagraph"/>
        <w:numPr>
          <w:ilvl w:val="0"/>
          <w:numId w:val="1"/>
        </w:numPr>
        <w:spacing w:after="60"/>
      </w:pPr>
      <w:r>
        <w:t>Selective Service System — Registrierung (</w:t>
      </w:r>
      <w:hyperlink r:id="rId343" w:history="1">
        <w:r>
          <w:rPr>
            <w:color w:val="0563C1"/>
            <w:u w:val="single"/>
          </w:rPr>
          <w:t>sss.gov</w:t>
        </w:r>
      </w:hyperlink>
      <w:r>
        <w:t>)</w:t>
      </w:r>
    </w:p>
    <w:p w14:paraId="70A4ECE2" w14:textId="79680D6A" w:rsidR="00C1548D" w:rsidRDefault="009B1B4B" w:rsidP="009B1B4B">
      <w:pPr>
        <w:pStyle w:val="ListParagraph"/>
        <w:numPr>
          <w:ilvl w:val="0"/>
          <w:numId w:val="1"/>
        </w:numPr>
        <w:spacing w:after="60"/>
      </w:pPr>
      <w:r>
        <w:t>Cornell Law School — 18 U.S.C. § 922, Waffen und Nichteinwanderer (</w:t>
      </w:r>
      <w:hyperlink r:id="rId344" w:history="1">
        <w:r>
          <w:rPr>
            <w:color w:val="0563C1"/>
            <w:u w:val="single"/>
          </w:rPr>
          <w:t>law.cornell.edu/uscode/text/18/922</w:t>
        </w:r>
      </w:hyperlink>
      <w:r>
        <w:t>)</w:t>
      </w:r>
    </w:p>
    <w:p w14:paraId="70A4ECE3" w14:textId="1255AB48" w:rsidR="00C1548D" w:rsidRDefault="009B1B4B" w:rsidP="009B1B4B">
      <w:pPr>
        <w:pStyle w:val="ListParagraph"/>
        <w:numPr>
          <w:ilvl w:val="0"/>
          <w:numId w:val="1"/>
        </w:numPr>
        <w:spacing w:after="60"/>
      </w:pPr>
      <w:r>
        <w:lastRenderedPageBreak/>
        <w:t>Movement Advancement Project — Rechtslage für LGBTQ+ je Bundesstaat (</w:t>
      </w:r>
      <w:hyperlink r:id="rId345" w:history="1">
        <w:r>
          <w:rPr>
            <w:color w:val="0563C1"/>
            <w:u w:val="single"/>
          </w:rPr>
          <w:t>mapresearch.org/equality-maps</w:t>
        </w:r>
      </w:hyperlink>
      <w:r>
        <w:t>)</w:t>
      </w:r>
    </w:p>
    <w:p w14:paraId="70A4ECE4" w14:textId="2BD440F6" w:rsidR="00C1548D" w:rsidRDefault="009B1B4B" w:rsidP="009B1B4B">
      <w:pPr>
        <w:pStyle w:val="ListParagraph"/>
        <w:numPr>
          <w:ilvl w:val="0"/>
          <w:numId w:val="1"/>
        </w:numPr>
        <w:spacing w:after="60"/>
      </w:pPr>
      <w:r>
        <w:t>DEA — Stand der Cannabis-Umstufung (</w:t>
      </w:r>
      <w:hyperlink r:id="rId346" w:history="1">
        <w:r>
          <w:rPr>
            <w:color w:val="0563C1"/>
            <w:u w:val="single"/>
          </w:rPr>
          <w:t>dea.gov/marijuana-rescheduling-regulatory-actions</w:t>
        </w:r>
      </w:hyperlink>
      <w:r>
        <w:t>)</w:t>
      </w:r>
    </w:p>
    <w:p w14:paraId="70A4ECE5" w14:textId="3DEE1E75" w:rsidR="00C1548D" w:rsidRDefault="009B1B4B" w:rsidP="009B1B4B">
      <w:pPr>
        <w:pStyle w:val="ListParagraph"/>
        <w:numPr>
          <w:ilvl w:val="0"/>
          <w:numId w:val="1"/>
        </w:numPr>
        <w:spacing w:after="60"/>
      </w:pPr>
      <w:r>
        <w:t>FTC — Betrug melden und Identitätsdiebstahl (</w:t>
      </w:r>
      <w:hyperlink r:id="rId347" w:history="1">
        <w:r>
          <w:rPr>
            <w:color w:val="0563C1"/>
            <w:u w:val="single"/>
          </w:rPr>
          <w:t>reportfraud.ftc.gov</w:t>
        </w:r>
      </w:hyperlink>
      <w:r>
        <w:t xml:space="preserve">, </w:t>
      </w:r>
      <w:hyperlink r:id="rId348" w:history="1">
        <w:r>
          <w:rPr>
            <w:color w:val="0563C1"/>
            <w:u w:val="single"/>
          </w:rPr>
          <w:t>identitytheft.gov</w:t>
        </w:r>
      </w:hyperlink>
      <w:r>
        <w:t>)</w:t>
      </w:r>
    </w:p>
    <w:p w14:paraId="70A4ECE6" w14:textId="3B455370" w:rsidR="00C1548D" w:rsidRDefault="009B1B4B" w:rsidP="009B1B4B">
      <w:pPr>
        <w:pStyle w:val="ListParagraph"/>
        <w:numPr>
          <w:ilvl w:val="0"/>
          <w:numId w:val="1"/>
        </w:numPr>
        <w:spacing w:after="60"/>
      </w:pPr>
      <w:r>
        <w:t>Ready.gov und Wetterdienst — Katastrophenvorsorge und Warnungen (</w:t>
      </w:r>
      <w:hyperlink r:id="rId349" w:history="1">
        <w:r>
          <w:rPr>
            <w:color w:val="0563C1"/>
            <w:u w:val="single"/>
          </w:rPr>
          <w:t>ready.gov</w:t>
        </w:r>
      </w:hyperlink>
      <w:r>
        <w:t xml:space="preserve">, </w:t>
      </w:r>
      <w:hyperlink r:id="rId350" w:history="1">
        <w:r>
          <w:rPr>
            <w:color w:val="0563C1"/>
            <w:u w:val="single"/>
          </w:rPr>
          <w:t>weather.gov</w:t>
        </w:r>
      </w:hyperlink>
      <w:r>
        <w:t>)</w:t>
      </w:r>
    </w:p>
    <w:p w14:paraId="70A4ECE7" w14:textId="00E2437E" w:rsidR="00C1548D" w:rsidRDefault="009B1B4B" w:rsidP="009B1B4B">
      <w:pPr>
        <w:pStyle w:val="ListParagraph"/>
        <w:numPr>
          <w:ilvl w:val="0"/>
          <w:numId w:val="1"/>
        </w:numPr>
        <w:spacing w:after="60"/>
      </w:pPr>
      <w:r>
        <w:t>Auswärtiges Amt — Hilfe für Deutsche in Notfällen (</w:t>
      </w:r>
      <w:hyperlink r:id="rId351" w:history="1">
        <w:r>
          <w:rPr>
            <w:color w:val="0563C1"/>
            <w:u w:val="single"/>
          </w:rPr>
          <w:t>germany.info/us-de/service/hilfe</w:t>
        </w:r>
      </w:hyperlink>
      <w:r>
        <w:t>)</w:t>
      </w:r>
    </w:p>
    <w:p w14:paraId="70A4ECE8" w14:textId="60C8198A" w:rsidR="00C1548D" w:rsidRDefault="009B1B4B" w:rsidP="009B1B4B">
      <w:pPr>
        <w:pStyle w:val="ListParagraph"/>
        <w:numPr>
          <w:ilvl w:val="0"/>
          <w:numId w:val="1"/>
        </w:numPr>
        <w:spacing w:after="60"/>
      </w:pPr>
      <w:r>
        <w:t>ACLU — Rechte beim Filmen von Polizeieinsätzen (</w:t>
      </w:r>
      <w:hyperlink r:id="rId352" w:history="1">
        <w:r>
          <w:rPr>
            <w:color w:val="0563C1"/>
            <w:u w:val="single"/>
          </w:rPr>
          <w:t>aclu.org/know-your-rights/photographers</w:t>
        </w:r>
      </w:hyperlink>
      <w:r>
        <w:t>)</w:t>
      </w:r>
    </w:p>
    <w:p w14:paraId="70A4ECE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E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CEA" w14:textId="77777777" w:rsidR="00C1548D" w:rsidRDefault="009B1B4B">
            <w:pPr>
              <w:keepNext/>
              <w:spacing w:after="70" w:line="240" w:lineRule="auto"/>
            </w:pPr>
            <w:r>
              <w:rPr>
                <w:b/>
                <w:bCs/>
                <w:color w:val="6B7280"/>
                <w:spacing w:val="24"/>
                <w:sz w:val="16"/>
                <w:szCs w:val="16"/>
              </w:rPr>
              <w:t>STAND</w:t>
            </w:r>
          </w:p>
          <w:p w14:paraId="70A4ECEB" w14:textId="77777777" w:rsidR="00C1548D" w:rsidRDefault="009B1B4B">
            <w:pPr>
              <w:spacing w:after="80" w:line="264" w:lineRule="auto"/>
            </w:pPr>
            <w:r>
              <w:rPr>
                <w:sz w:val="20"/>
                <w:szCs w:val="20"/>
              </w:rPr>
              <w:t>September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p>
        </w:tc>
      </w:tr>
    </w:tbl>
    <w:p w14:paraId="70A4ECED" w14:textId="77777777" w:rsidR="00C1548D" w:rsidRDefault="00C1548D">
      <w:pPr>
        <w:spacing w:line="220" w:lineRule="exact"/>
      </w:pPr>
    </w:p>
    <w:p w14:paraId="70A4ECEE" w14:textId="77777777" w:rsidR="00C1548D" w:rsidRDefault="009B1B4B">
      <w:pPr>
        <w:pStyle w:val="Heading2"/>
        <w:keepNext/>
        <w:pageBreakBefore/>
        <w:jc w:val="center"/>
      </w:pPr>
      <w:bookmarkStart w:id="97" w:name="k41"/>
      <w:bookmarkStart w:id="98" w:name="_Toc241352499"/>
      <w:r>
        <w:rPr>
          <w:rFonts w:ascii="Amazon Ember" w:eastAsia="Amazon Ember" w:hAnsi="Amazon Ember" w:cs="Amazon Ember"/>
          <w:color w:val="0000FF"/>
          <w:sz w:val="36"/>
          <w:szCs w:val="36"/>
        </w:rPr>
        <w:lastRenderedPageBreak/>
        <w:t>Kapitel 41: Von der Green Card zur Staatsbürgerschaft: Der Doppelpass</w:t>
      </w:r>
      <w:bookmarkEnd w:id="97"/>
      <w:bookmarkEnd w:id="98"/>
    </w:p>
    <w:p w14:paraId="70A4ECEF" w14:textId="77777777" w:rsidR="00C1548D" w:rsidRDefault="009B1B4B">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CF7"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CF0" w14:textId="77777777" w:rsidR="00C1548D" w:rsidRDefault="009B1B4B">
            <w:pPr>
              <w:keepNext/>
              <w:spacing w:after="70" w:line="240" w:lineRule="auto"/>
            </w:pPr>
            <w:r>
              <w:rPr>
                <w:b/>
                <w:bCs/>
                <w:color w:val="1F3A5F"/>
                <w:spacing w:val="24"/>
                <w:sz w:val="16"/>
                <w:szCs w:val="16"/>
              </w:rPr>
              <w:t>KURZ GESAGT</w:t>
            </w:r>
          </w:p>
          <w:p w14:paraId="70A4ECF1" w14:textId="77777777" w:rsidR="00C1548D" w:rsidRDefault="009B1B4B" w:rsidP="009B1B4B">
            <w:pPr>
              <w:pStyle w:val="ListParagraph"/>
              <w:numPr>
                <w:ilvl w:val="0"/>
                <w:numId w:val="1"/>
              </w:numPr>
              <w:spacing w:after="50" w:line="264" w:lineRule="auto"/>
            </w:pPr>
            <w:r>
              <w:rPr>
                <w:sz w:val="20"/>
                <w:szCs w:val="20"/>
              </w:rPr>
              <w:t>Einbürgerung frühestens nach fünf Jahren Green Card (drei bei Ehe mit einem US-Bürger); Jahre mit H-1B zählen nicht. Die Gebühr beträgt 760 $ (Papier) oder 710 $ (online), die Bearbeitung dauert derzeit etwa 8–17,5 Monate.</w:t>
            </w:r>
          </w:p>
          <w:p w14:paraId="70A4ECF2" w14:textId="77777777" w:rsidR="00C1548D" w:rsidRDefault="009B1B4B" w:rsidP="009B1B4B">
            <w:pPr>
              <w:pStyle w:val="ListParagraph"/>
              <w:numPr>
                <w:ilvl w:val="0"/>
                <w:numId w:val="1"/>
              </w:numPr>
              <w:spacing w:after="50" w:line="264" w:lineRule="auto"/>
            </w:pPr>
            <w:r>
              <w:rPr>
                <w:sz w:val="20"/>
                <w:szCs w:val="20"/>
              </w:rPr>
              <w:t>Neu seit Oktober 2025 und August 2026: ein schwererer Staatskundetest (</w:t>
            </w:r>
            <w:r>
              <w:rPr>
                <w:i/>
                <w:iCs/>
                <w:sz w:val="20"/>
                <w:szCs w:val="20"/>
              </w:rPr>
              <w:t>Civics Test</w:t>
            </w:r>
            <w:r>
              <w:rPr>
                <w:sz w:val="20"/>
                <w:szCs w:val="20"/>
              </w:rPr>
              <w:t>, 128 Fragen) und Nachbarschaftsermittlungen (</w:t>
            </w:r>
            <w:r>
              <w:rPr>
                <w:i/>
                <w:iCs/>
                <w:sz w:val="20"/>
                <w:szCs w:val="20"/>
              </w:rPr>
              <w:t>Neighborhood Investigations</w:t>
            </w:r>
            <w:r>
              <w:rPr>
                <w:sz w:val="20"/>
                <w:szCs w:val="20"/>
              </w:rPr>
              <w:t>).</w:t>
            </w:r>
          </w:p>
          <w:p w14:paraId="70A4ECF3" w14:textId="77777777" w:rsidR="00C1548D" w:rsidRDefault="009B1B4B" w:rsidP="009B1B4B">
            <w:pPr>
              <w:pStyle w:val="ListParagraph"/>
              <w:numPr>
                <w:ilvl w:val="0"/>
                <w:numId w:val="1"/>
              </w:numPr>
              <w:spacing w:after="50" w:line="264" w:lineRule="auto"/>
            </w:pPr>
            <w:r>
              <w:rPr>
                <w:sz w:val="20"/>
                <w:szCs w:val="20"/>
              </w:rPr>
              <w:t>Deutschland erlaubt den Doppelpass seit dem 27. Juni 2024: Du behältst die deutsche Staatsangehörigkeit ohne Genehmigung.</w:t>
            </w:r>
          </w:p>
          <w:p w14:paraId="70A4ECF4" w14:textId="77777777" w:rsidR="00C1548D" w:rsidRDefault="009B1B4B" w:rsidP="009B1B4B">
            <w:pPr>
              <w:pStyle w:val="ListParagraph"/>
              <w:numPr>
                <w:ilvl w:val="0"/>
                <w:numId w:val="1"/>
              </w:numPr>
              <w:spacing w:after="50" w:line="264" w:lineRule="auto"/>
            </w:pPr>
            <w:r>
              <w:rPr>
                <w:sz w:val="20"/>
                <w:szCs w:val="20"/>
              </w:rPr>
              <w:t>Der Preis: lebenslange US-Steuerpflicht, auch in Deutschland. Der Verzicht kostet seit dem 13. April 2026 nur noch 450 $, kann aber die Exit Tax auslösen.</w:t>
            </w:r>
          </w:p>
          <w:p w14:paraId="70A4ECF5" w14:textId="77777777" w:rsidR="00C1548D" w:rsidRDefault="009B1B4B" w:rsidP="009B1B4B">
            <w:pPr>
              <w:pStyle w:val="ListParagraph"/>
              <w:numPr>
                <w:ilvl w:val="0"/>
                <w:numId w:val="1"/>
              </w:numPr>
              <w:spacing w:after="50" w:line="264" w:lineRule="auto"/>
            </w:pPr>
            <w:r>
              <w:rPr>
                <w:sz w:val="20"/>
                <w:szCs w:val="20"/>
              </w:rPr>
              <w:t>Kinder unter 18 mit Green Card werden automatisch US-Bürger, in den USA geborene sind es von Geburt. Deutsche sind sie zugleich, wenn ein Elternteil Deutscher ist.</w:t>
            </w:r>
          </w:p>
          <w:p w14:paraId="70A4ECF6" w14:textId="77777777" w:rsidR="00C1548D" w:rsidRDefault="009B1B4B" w:rsidP="009B1B4B">
            <w:pPr>
              <w:pStyle w:val="ListParagraph"/>
              <w:numPr>
                <w:ilvl w:val="0"/>
                <w:numId w:val="1"/>
              </w:numPr>
              <w:spacing w:after="50" w:line="264" w:lineRule="auto"/>
            </w:pPr>
            <w:r>
              <w:rPr>
                <w:sz w:val="20"/>
                <w:szCs w:val="20"/>
              </w:rPr>
              <w:t>In die USA reist du mit dem US-Pass, nach Deutschland mit dem deutschen.</w:t>
            </w:r>
          </w:p>
        </w:tc>
      </w:tr>
    </w:tbl>
    <w:p w14:paraId="70A4ECF8" w14:textId="77777777" w:rsidR="00C1548D" w:rsidRDefault="00C1548D">
      <w:pPr>
        <w:spacing w:line="220" w:lineRule="exact"/>
      </w:pPr>
    </w:p>
    <w:p w14:paraId="70A4ECF9"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Voraussetzungen: Wann du den Antrag stellen darfst</w:t>
      </w:r>
    </w:p>
    <w:p w14:paraId="70A4ECFA" w14:textId="53C78FE0" w:rsidR="00C1548D" w:rsidRDefault="009B1B4B">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Jahre in H-1B, L-1 oder F-1 zählen nicht mit. Dauert der Weg zur Green Card drei bis fünf Jahre (Kapitel </w:t>
      </w:r>
      <w:hyperlink w:anchor="k6" w:history="1">
        <w:r>
          <w:t>6</w:t>
        </w:r>
      </w:hyperlink>
      <w:r>
        <w:t>), liegt der US-Pass daher frühestens nach etwa acht bis elf Jahren in Reichweite (eigene Schätzung, inklusive Bearbeitungszeit).</w:t>
      </w:r>
    </w:p>
    <w:p w14:paraId="70A4ECFB" w14:textId="77777777" w:rsidR="00C1548D" w:rsidRDefault="009B1B4B">
      <w:pPr>
        <w:spacing w:after="140"/>
      </w:pPr>
      <w:r>
        <w:t>Die Kriterien im Überblick (Stand September 2026):</w:t>
      </w:r>
    </w:p>
    <w:p w14:paraId="70A4ECFC" w14:textId="77777777" w:rsidR="00C1548D" w:rsidRDefault="009B1B4B" w:rsidP="009B1B4B">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w14:paraId="70A4ECFD" w14:textId="77777777" w:rsidR="00C1548D" w:rsidRDefault="009B1B4B" w:rsidP="009B1B4B">
      <w:pPr>
        <w:pStyle w:val="ListParagraph"/>
        <w:numPr>
          <w:ilvl w:val="0"/>
          <w:numId w:val="1"/>
        </w:numPr>
        <w:spacing w:after="60"/>
      </w:pPr>
      <w:r>
        <w:rPr>
          <w:b/>
          <w:bCs/>
        </w:rPr>
        <w:t>Anwesenheit:</w:t>
      </w:r>
      <w:r>
        <w:t xml:space="preserve"> mindestens 30 der 60 Monate physisch in den USA (auf dem Drei-Jahres-Weg 18 von 36), dazu drei Monate in dem Bundesstaat oder Bezirk der Einwanderungsbehörde USCIS, in dem du den Antrag stellst.</w:t>
      </w:r>
    </w:p>
    <w:p w14:paraId="70A4ECFE" w14:textId="77777777" w:rsidR="00C1548D" w:rsidRDefault="009B1B4B" w:rsidP="009B1B4B">
      <w:pPr>
        <w:pStyle w:val="ListParagraph"/>
        <w:numPr>
          <w:ilvl w:val="0"/>
          <w:numId w:val="1"/>
        </w:numPr>
        <w:spacing w:after="60"/>
      </w:pPr>
      <w:r>
        <w:rPr>
          <w:b/>
          <w:bCs/>
        </w:rPr>
        <w:t>Ununterbrochener Aufenthalt:</w:t>
      </w:r>
      <w:r>
        <w:t xml:space="preserve">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w14:paraId="70A4ECFF" w14:textId="77777777" w:rsidR="00C1548D" w:rsidRDefault="009B1B4B" w:rsidP="009B1B4B">
      <w:pPr>
        <w:pStyle w:val="ListParagraph"/>
        <w:numPr>
          <w:ilvl w:val="0"/>
          <w:numId w:val="1"/>
        </w:numPr>
        <w:spacing w:after="60"/>
      </w:pPr>
      <w:r>
        <w:rPr>
          <w:b/>
          <w:bCs/>
        </w:rPr>
        <w:t>Englisch und Staatskunde:</w:t>
      </w:r>
      <w:r>
        <w:t xml:space="preserve"> Im Interview sprichst du Englisch, liest und schreibst kurze Sätze und beantwortest mündlich </w:t>
      </w:r>
      <w:r>
        <w:lastRenderedPageBreak/>
        <w:t>Fragen zum Staatskundetest. Für Anträge seit dem 20. Oktober 2025 gilt der neue Test: 128 Fragen im Pool, 20 werden gestellt, 12 müssen stimmen (vorher 100, 10 und 6). Kanzleien berichten von mehr Durchfallern, belegte Quoten fehlen. Wer durchfällt, bekommt in der Regel einen Wiederholungstermin.</w:t>
      </w:r>
    </w:p>
    <w:p w14:paraId="70A4ED00" w14:textId="2E5ADB88" w:rsidR="00C1548D" w:rsidRDefault="009B1B4B" w:rsidP="009B1B4B">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history="1">
        <w:r>
          <w:t>40</w:t>
        </w:r>
      </w:hyperlink>
      <w:r>
        <w:t>.</w:t>
      </w:r>
    </w:p>
    <w:p w14:paraId="70A4ED01" w14:textId="77777777" w:rsidR="00C1548D" w:rsidRDefault="009B1B4B" w:rsidP="009B1B4B">
      <w:pPr>
        <w:pStyle w:val="ListParagraph"/>
        <w:numPr>
          <w:ilvl w:val="0"/>
          <w:numId w:val="1"/>
        </w:numPr>
        <w:spacing w:after="60"/>
      </w:pPr>
      <w:r>
        <w:rPr>
          <w:b/>
          <w:bCs/>
        </w:rPr>
        <w:t>Verfassungstreue und Eid:</w:t>
      </w:r>
      <w:r>
        <w:t xml:space="preserve"> Du bekennst dich zur Verfassung und legst am Ende einen Eid ab.</w:t>
      </w:r>
    </w:p>
    <w:p w14:paraId="70A4ED02" w14:textId="77777777" w:rsidR="00C1548D" w:rsidRDefault="00C1548D">
      <w:pPr>
        <w:spacing w:line="120" w:lineRule="exact"/>
      </w:pPr>
    </w:p>
    <w:p w14:paraId="70A4ED03" w14:textId="77777777" w:rsidR="00C1548D" w:rsidRDefault="009B1B4B">
      <w:pPr>
        <w:spacing w:after="140"/>
      </w:pPr>
      <w:r>
        <w:rPr>
          <w:b/>
          <w:bCs/>
        </w:rPr>
        <w:t>Neu seit dem 25. August 2026:</w:t>
      </w:r>
      <w:r>
        <w:t xml:space="preserve"> Mit dem Policy Alert PA-2026-10 hat USCIS die seit 1991 übliche Praxis beendet, generell auf solche Ermittlungen zu verzichten, und führt wieder persönliche Ermittlungen im Umfeld der Antragsteller durch (</w:t>
      </w:r>
      <w:r>
        <w:rPr>
          <w:i/>
          <w:iCs/>
        </w:rPr>
        <w:t>Neighborhood Investigations</w:t>
      </w:r>
      <w:r>
        <w:t>, § 335(a) des Einwanderungsgesetzes INA). Sie gelten auch für laufende Anträge und finden laut Kanzleien meist vor dem Interview statt; im Einzelfall kann USCIS weiterhin darauf verzichten. Du darfst Leumundsschreiben einreichen, am besten von US-Bürgern außerhalb deiner Familie; USCIS berücksichtigt sie bei dieser Entscheidung. Praktisch heißt das: Deine Angaben zu Adressen und Arbeitgebern müssen lückenlos und überprüfbar sein.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0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D04" w14:textId="77777777" w:rsidR="00C1548D" w:rsidRDefault="009B1B4B">
            <w:pPr>
              <w:keepNext/>
              <w:spacing w:after="70" w:line="240" w:lineRule="auto"/>
            </w:pPr>
            <w:r>
              <w:rPr>
                <w:b/>
                <w:bCs/>
                <w:color w:val="9B2C2C"/>
                <w:spacing w:val="24"/>
                <w:sz w:val="16"/>
                <w:szCs w:val="16"/>
              </w:rPr>
              <w:t>ACHTUNG</w:t>
            </w:r>
          </w:p>
          <w:p w14:paraId="70A4ED05" w14:textId="3ED953A2" w:rsidR="00C1548D" w:rsidRDefault="009B1B4B">
            <w:pPr>
              <w:spacing w:after="80" w:line="264" w:lineRule="auto"/>
            </w:pPr>
            <w:r>
              <w:rPr>
                <w:sz w:val="20"/>
                <w:szCs w:val="20"/>
              </w:rPr>
              <w:t>Führe ab dem ersten Tag der Green Card ein Reiseprotokoll mit allen Ein- und Ausreisedaten und bewahre alle Steuerbescheide auf; beides fragt USCIS ab. Wer sich in den USA als Nichteinwanderer (</w:t>
            </w:r>
            <w:r>
              <w:rPr>
                <w:i/>
                <w:iCs/>
                <w:sz w:val="20"/>
                <w:szCs w:val="20"/>
              </w:rPr>
              <w:t>Nonresident</w:t>
            </w:r>
            <w:r>
              <w:rPr>
                <w:sz w:val="20"/>
                <w:szCs w:val="20"/>
              </w:rPr>
              <w:t>) besteuern lässt, riskiert außerdem, dass dies als Aufgabe der Green Card gewertet wird (Kapitel </w:t>
            </w:r>
            <w:hyperlink w:anchor="k28" w:history="1">
              <w:r>
                <w:rPr>
                  <w:sz w:val="20"/>
                  <w:szCs w:val="20"/>
                </w:rPr>
                <w:t>28</w:t>
              </w:r>
            </w:hyperlink>
            <w:r>
              <w:rPr>
                <w:sz w:val="20"/>
                <w:szCs w:val="20"/>
              </w:rPr>
              <w:t>).</w:t>
            </w:r>
          </w:p>
        </w:tc>
      </w:tr>
    </w:tbl>
    <w:p w14:paraId="70A4ED07" w14:textId="77777777" w:rsidR="00C1548D" w:rsidRDefault="00C1548D">
      <w:pPr>
        <w:spacing w:line="220" w:lineRule="exact"/>
      </w:pPr>
    </w:p>
    <w:p w14:paraId="70A4ED08" w14:textId="77777777" w:rsidR="00C1548D" w:rsidRDefault="009B1B4B">
      <w:pPr>
        <w:pStyle w:val="Heading3"/>
        <w:keepNext/>
        <w:jc w:val="center"/>
      </w:pPr>
      <w:r>
        <w:rPr>
          <w:rFonts w:ascii="Amazon Ember" w:eastAsia="Amazon Ember" w:hAnsi="Amazon Ember" w:cs="Amazon Ember"/>
          <w:color w:val="0000FF"/>
          <w:sz w:val="36"/>
          <w:szCs w:val="36"/>
        </w:rPr>
        <w:lastRenderedPageBreak/>
        <w:t>Ablauf, Kosten und Dauer</w:t>
      </w:r>
    </w:p>
    <w:p w14:paraId="70A4ED09" w14:textId="77777777" w:rsidR="00C1548D" w:rsidRDefault="009B1B4B">
      <w:pPr>
        <w:spacing w:after="140"/>
      </w:pPr>
      <w:r>
        <w:t>Der Weg vom Entschluss bis zum Pass hat sechs Schritte:</w:t>
      </w:r>
    </w:p>
    <w:p w14:paraId="70A4ED0A" w14:textId="77777777" w:rsidR="00C1548D" w:rsidRDefault="009B1B4B" w:rsidP="009B1B4B">
      <w:pPr>
        <w:pStyle w:val="ListParagraph"/>
        <w:numPr>
          <w:ilvl w:val="0"/>
          <w:numId w:val="43"/>
        </w:numPr>
        <w:spacing w:after="60"/>
      </w:pPr>
      <w:r>
        <w:rPr>
          <w:b/>
          <w:bCs/>
        </w:rPr>
        <w:t>Unterlagen sammeln:</w:t>
      </w:r>
      <w:r>
        <w:t xml:space="preserve"> Green Card, Reiseprotokoll der letzten fünf Jahre, Steuerbescheide, Liste aller Adressen und Arbeitgeber, bei Festnahmen die Gerichtsakten.</w:t>
      </w:r>
    </w:p>
    <w:p w14:paraId="70A4ED0B" w14:textId="77777777" w:rsidR="00C1548D" w:rsidRDefault="009B1B4B" w:rsidP="009B1B4B">
      <w:pPr>
        <w:pStyle w:val="ListParagraph"/>
        <w:numPr>
          <w:ilvl w:val="0"/>
          <w:numId w:val="43"/>
        </w:numPr>
        <w:spacing w:after="60"/>
      </w:pPr>
      <w:r>
        <w:rPr>
          <w:b/>
          <w:bCs/>
        </w:rPr>
        <w:t>Antrag stellen:</w:t>
      </w:r>
      <w:r>
        <w:t xml:space="preserve"> Form N-400 (</w:t>
      </w:r>
      <w:r>
        <w:rPr>
          <w:i/>
          <w:iCs/>
        </w:rPr>
        <w:t>Application for Naturalization</w:t>
      </w:r>
      <w:r>
        <w:t>) online im USCIS-Konto oder auf Papier.</w:t>
      </w:r>
    </w:p>
    <w:p w14:paraId="70A4ED0C" w14:textId="77777777" w:rsidR="00C1548D" w:rsidRDefault="009B1B4B" w:rsidP="009B1B4B">
      <w:pPr>
        <w:pStyle w:val="ListParagraph"/>
        <w:numPr>
          <w:ilvl w:val="0"/>
          <w:numId w:val="43"/>
        </w:numPr>
        <w:spacing w:after="60"/>
      </w:pPr>
      <w:r>
        <w:rPr>
          <w:b/>
          <w:bCs/>
        </w:rPr>
        <w:t>Biometrie-Termin:</w:t>
      </w:r>
      <w:r>
        <w:t xml:space="preserve"> Fingerabdrücke und Foto.</w:t>
      </w:r>
    </w:p>
    <w:p w14:paraId="70A4ED0D" w14:textId="77777777" w:rsidR="00C1548D" w:rsidRDefault="009B1B4B" w:rsidP="009B1B4B">
      <w:pPr>
        <w:pStyle w:val="ListParagraph"/>
        <w:numPr>
          <w:ilvl w:val="0"/>
          <w:numId w:val="43"/>
        </w:numPr>
        <w:spacing w:after="60"/>
      </w:pPr>
      <w:r>
        <w:rPr>
          <w:b/>
          <w:bCs/>
        </w:rPr>
        <w:t>Interview</w:t>
      </w:r>
      <w:r>
        <w:t xml:space="preserve"> beim örtlichen USCIS-Büro (</w:t>
      </w:r>
      <w:r>
        <w:rPr>
          <w:i/>
          <w:iCs/>
        </w:rPr>
        <w:t>Field Office</w:t>
      </w:r>
      <w:r>
        <w:t>): Fragen zum Antrag, Englisch- und Staatskundetest.</w:t>
      </w:r>
    </w:p>
    <w:p w14:paraId="70A4ED0E" w14:textId="77777777" w:rsidR="00C1548D" w:rsidRDefault="009B1B4B" w:rsidP="009B1B4B">
      <w:pPr>
        <w:pStyle w:val="ListParagraph"/>
        <w:numPr>
          <w:ilvl w:val="0"/>
          <w:numId w:val="43"/>
        </w:numPr>
        <w:spacing w:after="60"/>
      </w:pPr>
      <w:r>
        <w:rPr>
          <w:b/>
          <w:bCs/>
        </w:rPr>
        <w:t>Entscheidung und Eid:</w:t>
      </w:r>
      <w:r>
        <w:t xml:space="preserve"> Nach der Genehmigung legst du bei der Vereidigung (</w:t>
      </w:r>
      <w:r>
        <w:rPr>
          <w:i/>
          <w:iCs/>
        </w:rPr>
        <w:t>Oath Ceremony</w:t>
      </w:r>
      <w:r>
        <w:t>) den Eid ab – oft in einem Saal mit hundert anderen Antragstellern aus ebenso vielen Ländern – und erhältst die Einbürgerungsurkunde (</w:t>
      </w:r>
      <w:r>
        <w:rPr>
          <w:i/>
          <w:iCs/>
        </w:rPr>
        <w:t>Certificate of Naturalization</w:t>
      </w:r>
      <w:r>
        <w:t>). Erst mit dem Eid bist du US-Bürger.</w:t>
      </w:r>
    </w:p>
    <w:p w14:paraId="70A4ED0F" w14:textId="77777777" w:rsidR="00C1548D" w:rsidRDefault="009B1B4B" w:rsidP="009B1B4B">
      <w:pPr>
        <w:pStyle w:val="ListParagraph"/>
        <w:numPr>
          <w:ilvl w:val="0"/>
          <w:numId w:val="43"/>
        </w:numPr>
        <w:spacing w:after="60"/>
      </w:pPr>
      <w:r>
        <w:rPr>
          <w:b/>
          <w:bCs/>
        </w:rPr>
        <w:t>Danach:</w:t>
      </w:r>
      <w:r>
        <w:t xml:space="preserve"> US-Pass beantragen (Formular DS-11, Gebühr auf travel.state.gov), die Sozialversicherungsbehörde SSA informieren, dich zum Wählen registrieren.</w:t>
      </w:r>
    </w:p>
    <w:p w14:paraId="70A4ED10" w14:textId="77777777" w:rsidR="00C1548D" w:rsidRDefault="00C1548D">
      <w:pPr>
        <w:spacing w:line="120" w:lineRule="exact"/>
      </w:pPr>
    </w:p>
    <w:p w14:paraId="70A4ED11" w14:textId="32D71CC4" w:rsidR="00C1548D" w:rsidRDefault="009B1B4B">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history="1">
        <w:r>
          <w:t>11</w:t>
        </w:r>
      </w:hyperlink>
      <w:r>
        <w:t>). Die Bearbeitung dauert im September 2026 je nach Field Office etwa 8–17,5 Monate (Auswertungen von Aggregatoren); die Zeit deines Büros zeigt egov.uscis.gov/processing-times.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14"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D12" w14:textId="77777777" w:rsidR="00C1548D" w:rsidRDefault="009B1B4B">
            <w:pPr>
              <w:keepNext/>
              <w:spacing w:after="70" w:line="240" w:lineRule="auto"/>
            </w:pPr>
            <w:r>
              <w:rPr>
                <w:b/>
                <w:bCs/>
                <w:color w:val="2F6B3B"/>
                <w:spacing w:val="24"/>
                <w:sz w:val="16"/>
                <w:szCs w:val="16"/>
              </w:rPr>
              <w:lastRenderedPageBreak/>
              <w:t>SPARTIPP</w:t>
            </w:r>
          </w:p>
          <w:p w14:paraId="70A4ED13" w14:textId="77777777" w:rsidR="00C1548D" w:rsidRDefault="009B1B4B">
            <w:pPr>
              <w:spacing w:after="80" w:line="264" w:lineRule="auto"/>
            </w:pPr>
            <w:r>
              <w:rPr>
                <w:sz w:val="20"/>
                <w:szCs w:val="20"/>
              </w:rPr>
              <w:t>Online zahlst du 50 $ weniger als auf Papier. Prüfe vor dem Absenden, ob dir die ermäßigte Gebühr von 380 $ oder eine Gebührenbefreiung zusteht.</w:t>
            </w:r>
          </w:p>
        </w:tc>
      </w:tr>
    </w:tbl>
    <w:p w14:paraId="70A4ED15" w14:textId="77777777" w:rsidR="00C1548D" w:rsidRDefault="00C1548D">
      <w:pPr>
        <w:spacing w:line="220" w:lineRule="exact"/>
      </w:pPr>
    </w:p>
    <w:p w14:paraId="70A4ED16" w14:textId="77777777" w:rsidR="00C1548D" w:rsidRDefault="009B1B4B">
      <w:pPr>
        <w:pStyle w:val="Heading3"/>
        <w:keepNext/>
        <w:jc w:val="center"/>
      </w:pPr>
      <w:r>
        <w:rPr>
          <w:rFonts w:ascii="Amazon Ember" w:eastAsia="Amazon Ember" w:hAnsi="Amazon Ember" w:cs="Amazon Ember"/>
          <w:color w:val="0000FF"/>
          <w:sz w:val="36"/>
          <w:szCs w:val="36"/>
        </w:rPr>
        <w:t>Doppelte Staatsangehörigkeit: Was Deutschland und die USA sagen</w:t>
      </w:r>
    </w:p>
    <w:p w14:paraId="70A4ED17" w14:textId="77777777" w:rsidR="00C1548D" w:rsidRDefault="009B1B4B">
      <w:pPr>
        <w:spacing w:after="140"/>
      </w:pPr>
      <w:r>
        <w:t>Die USA verlangen nicht, dass du deine bisherige Staatsangehörigkeit aufgibst. Der Einbürgerungseid enthält zwar eine Formel, mit der du der Treue zu jedem anderen Staat entsagst – sie klingt endgültiger, als sie gemeint ist. Durchgesetzt wird sie nicht als Verlust der deutschen Staatsangehörigkeit: Das Außenministerium (State Department) erkennt Doppelstaatlichkeit an, ohne sie zu fördern.</w:t>
      </w:r>
    </w:p>
    <w:p w14:paraId="70A4ED18" w14:textId="77777777" w:rsidR="00C1548D" w:rsidRDefault="009B1B4B">
      <w:pPr>
        <w:spacing w:after="140"/>
      </w:pPr>
      <w:r>
        <w:t xml:space="preserve">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w:t>
      </w:r>
      <w:r>
        <w:t>frühere Beibehaltungsgenehmigung entfällt. Verlustgründe wie der ausdrückliche Verzicht oder die Rücknahme einer Einbürgerung bleiben bestehen (§ 17 StAG).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1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D19" w14:textId="77777777" w:rsidR="00C1548D" w:rsidRDefault="009B1B4B">
            <w:pPr>
              <w:keepNext/>
              <w:spacing w:after="70" w:line="240" w:lineRule="auto"/>
            </w:pPr>
            <w:r>
              <w:rPr>
                <w:b/>
                <w:bCs/>
                <w:color w:val="9B2C2C"/>
                <w:spacing w:val="24"/>
                <w:sz w:val="16"/>
                <w:szCs w:val="16"/>
              </w:rPr>
              <w:lastRenderedPageBreak/>
              <w:t>ACHTUNG</w:t>
            </w:r>
          </w:p>
          <w:p w14:paraId="70A4ED1A" w14:textId="77777777" w:rsidR="00C1548D" w:rsidRDefault="009B1B4B">
            <w:pPr>
              <w:spacing w:after="80" w:line="264" w:lineRule="auto"/>
            </w:pPr>
            <w:r>
              <w:rPr>
                <w:sz w:val="20"/>
                <w:szCs w:val="20"/>
              </w:rPr>
              <w:t>Die Reform wirkt nicht rückwirkend. Wer sich vor dem 27. Juni 2024 in den USA einbürgern ließ, ohne vorher eine Beibehaltungsgenehmigung zu erhalten, hat die deutsche Staatsangehörigkeit damals verloren, und dieser Verlust bleibt wirksam. Ein Wiedererwerb ist über § 13 StAG möglich; kläre ihn mit dem Generalkonsulat oder dem Bundesverwaltungsamt. Das betrifft vor allem Verwandte, die früher ausgewandert sind.</w:t>
            </w:r>
          </w:p>
        </w:tc>
      </w:tr>
    </w:tbl>
    <w:p w14:paraId="70A4ED1C" w14:textId="77777777" w:rsidR="00C1548D" w:rsidRDefault="00C1548D">
      <w:pPr>
        <w:spacing w:line="220" w:lineRule="exact"/>
      </w:pPr>
    </w:p>
    <w:p w14:paraId="70A4ED1D" w14:textId="77777777" w:rsidR="00C1548D" w:rsidRDefault="009B1B4B">
      <w:pPr>
        <w:pStyle w:val="Heading3"/>
        <w:keepNext/>
        <w:jc w:val="center"/>
      </w:pPr>
      <w:r>
        <w:rPr>
          <w:rFonts w:ascii="Amazon Ember" w:eastAsia="Amazon Ember" w:hAnsi="Amazon Ember" w:cs="Amazon Ember"/>
          <w:color w:val="0000FF"/>
          <w:sz w:val="36"/>
          <w:szCs w:val="36"/>
        </w:rPr>
        <w:t>Green Card und Staatsbürgerschaft im Vergleich</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632"/>
        <w:gridCol w:w="2898"/>
      </w:tblGrid>
      <w:tr w:rsidR="00C1548D" w14:paraId="70A4ED21"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D1E" w14:textId="77777777" w:rsidR="00C1548D" w:rsidRDefault="00C1548D">
            <w:pPr>
              <w:spacing w:line="250" w:lineRule="auto"/>
            </w:pPr>
          </w:p>
        </w:tc>
        <w:tc>
          <w:tcPr>
            <w:tcW w:w="263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D1F" w14:textId="77777777" w:rsidR="00C1548D" w:rsidRDefault="009B1B4B">
            <w:pPr>
              <w:spacing w:line="250" w:lineRule="auto"/>
            </w:pPr>
            <w:r>
              <w:rPr>
                <w:b/>
                <w:bCs/>
                <w:sz w:val="18"/>
                <w:szCs w:val="18"/>
              </w:rPr>
              <w:t>Green Card</w:t>
            </w:r>
          </w:p>
        </w:tc>
        <w:tc>
          <w:tcPr>
            <w:tcW w:w="289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D20" w14:textId="77777777" w:rsidR="00C1548D" w:rsidRDefault="009B1B4B">
            <w:pPr>
              <w:spacing w:line="250" w:lineRule="auto"/>
            </w:pPr>
            <w:r>
              <w:rPr>
                <w:b/>
                <w:bCs/>
                <w:sz w:val="18"/>
                <w:szCs w:val="18"/>
              </w:rPr>
              <w:t>US-Staatsbürgerschaft</w:t>
            </w:r>
          </w:p>
        </w:tc>
      </w:tr>
      <w:tr w:rsidR="00C1548D" w14:paraId="70A4ED2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22" w14:textId="77777777" w:rsidR="00C1548D" w:rsidRDefault="009B1B4B">
            <w:pPr>
              <w:spacing w:line="250" w:lineRule="auto"/>
            </w:pPr>
            <w:r>
              <w:rPr>
                <w:sz w:val="18"/>
                <w:szCs w:val="18"/>
              </w:rPr>
              <w:t>Aufenthalt</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23" w14:textId="77777777" w:rsidR="00C1548D" w:rsidRDefault="009B1B4B">
            <w:pPr>
              <w:spacing w:line="250" w:lineRule="auto"/>
            </w:pPr>
            <w:r>
              <w:rPr>
                <w:sz w:val="18"/>
                <w:szCs w:val="18"/>
              </w:rPr>
              <w:t>unbefristet, aber verlierbar (Aufgabe, lange Abwesenheit)</w:t>
            </w:r>
          </w:p>
        </w:tc>
        <w:tc>
          <w:tcPr>
            <w:tcW w:w="2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24" w14:textId="77777777" w:rsidR="00C1548D" w:rsidRDefault="009B1B4B">
            <w:pPr>
              <w:spacing w:line="250" w:lineRule="auto"/>
            </w:pPr>
            <w:r>
              <w:rPr>
                <w:sz w:val="18"/>
                <w:szCs w:val="18"/>
              </w:rPr>
              <w:t>gesichert; Verlust praktisch nur durch Verzicht oder Betrug bei der Einbürgerung</w:t>
            </w:r>
          </w:p>
        </w:tc>
      </w:tr>
      <w:tr w:rsidR="00C1548D" w14:paraId="70A4ED2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26" w14:textId="77777777" w:rsidR="00C1548D" w:rsidRDefault="009B1B4B">
            <w:pPr>
              <w:spacing w:line="250" w:lineRule="auto"/>
            </w:pPr>
            <w:r>
              <w:rPr>
                <w:sz w:val="18"/>
                <w:szCs w:val="18"/>
              </w:rPr>
              <w:t>Auslandsaufenthalt</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27" w14:textId="77777777" w:rsidR="00C1548D" w:rsidRDefault="009B1B4B">
            <w:pPr>
              <w:spacing w:line="250" w:lineRule="auto"/>
            </w:pPr>
            <w:r>
              <w:rPr>
                <w:sz w:val="18"/>
                <w:szCs w:val="18"/>
              </w:rPr>
              <w:t>über 6 Monate: Prüfung bei Einreise; ab 1 Jahr Wiedereinreisegenehmigung (</w:t>
            </w:r>
            <w:r>
              <w:rPr>
                <w:i/>
                <w:iCs/>
                <w:sz w:val="18"/>
                <w:szCs w:val="18"/>
              </w:rPr>
              <w:t>Reentry Permit</w:t>
            </w:r>
            <w:r>
              <w:rPr>
                <w:sz w:val="18"/>
                <w:szCs w:val="18"/>
              </w:rPr>
              <w:t>, 630 $) nötig</w:t>
            </w:r>
          </w:p>
        </w:tc>
        <w:tc>
          <w:tcPr>
            <w:tcW w:w="2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28" w14:textId="77777777" w:rsidR="00C1548D" w:rsidRDefault="009B1B4B">
            <w:pPr>
              <w:spacing w:line="250" w:lineRule="auto"/>
            </w:pPr>
            <w:r>
              <w:rPr>
                <w:sz w:val="18"/>
                <w:szCs w:val="18"/>
              </w:rPr>
              <w:t>unbegrenzt möglich</w:t>
            </w:r>
          </w:p>
        </w:tc>
      </w:tr>
      <w:tr w:rsidR="00C1548D" w14:paraId="70A4ED2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2A" w14:textId="77777777" w:rsidR="00C1548D" w:rsidRDefault="009B1B4B">
            <w:pPr>
              <w:spacing w:line="250" w:lineRule="auto"/>
            </w:pPr>
            <w:r>
              <w:rPr>
                <w:sz w:val="18"/>
                <w:szCs w:val="18"/>
              </w:rPr>
              <w:t>Wählen</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2B" w14:textId="77777777" w:rsidR="00C1548D" w:rsidRDefault="009B1B4B">
            <w:pPr>
              <w:spacing w:line="250" w:lineRule="auto"/>
            </w:pPr>
            <w:r>
              <w:rPr>
                <w:sz w:val="18"/>
                <w:szCs w:val="18"/>
              </w:rPr>
              <w:t>nein</w:t>
            </w:r>
          </w:p>
        </w:tc>
        <w:tc>
          <w:tcPr>
            <w:tcW w:w="2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2C" w14:textId="77777777" w:rsidR="00C1548D" w:rsidRDefault="009B1B4B">
            <w:pPr>
              <w:spacing w:line="250" w:lineRule="auto"/>
            </w:pPr>
            <w:r>
              <w:rPr>
                <w:sz w:val="18"/>
                <w:szCs w:val="18"/>
              </w:rPr>
              <w:t>ja, in Bund, Bundesstaat und Kommune</w:t>
            </w:r>
          </w:p>
        </w:tc>
      </w:tr>
      <w:tr w:rsidR="00C1548D" w14:paraId="70A4ED3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2E" w14:textId="77777777" w:rsidR="00C1548D" w:rsidRDefault="009B1B4B">
            <w:pPr>
              <w:spacing w:line="250" w:lineRule="auto"/>
            </w:pPr>
            <w:r>
              <w:rPr>
                <w:sz w:val="18"/>
                <w:szCs w:val="18"/>
              </w:rPr>
              <w:t>Berufe</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2F" w14:textId="77777777" w:rsidR="00C1548D" w:rsidRDefault="009B1B4B">
            <w:pPr>
              <w:spacing w:line="250" w:lineRule="auto"/>
            </w:pPr>
            <w:r>
              <w:rPr>
                <w:sz w:val="18"/>
                <w:szCs w:val="18"/>
              </w:rPr>
              <w:t>fast alle</w:t>
            </w:r>
          </w:p>
        </w:tc>
        <w:tc>
          <w:tcPr>
            <w:tcW w:w="2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0" w14:textId="77777777" w:rsidR="00C1548D" w:rsidRDefault="009B1B4B">
            <w:pPr>
              <w:spacing w:line="250" w:lineRule="auto"/>
            </w:pPr>
            <w:r>
              <w:rPr>
                <w:sz w:val="18"/>
                <w:szCs w:val="18"/>
              </w:rPr>
              <w:t>alle; auch Stellen mit Staatsbürgerschaftserfordernis (viele Bundesjobs)</w:t>
            </w:r>
          </w:p>
        </w:tc>
      </w:tr>
      <w:tr w:rsidR="00C1548D" w14:paraId="70A4ED3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2" w14:textId="77777777" w:rsidR="00C1548D" w:rsidRDefault="009B1B4B">
            <w:pPr>
              <w:spacing w:line="250" w:lineRule="auto"/>
            </w:pPr>
            <w:r>
              <w:rPr>
                <w:sz w:val="18"/>
                <w:szCs w:val="18"/>
              </w:rPr>
              <w:t>Steuern</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3" w14:textId="77777777" w:rsidR="00C1548D" w:rsidRDefault="009B1B4B">
            <w:pPr>
              <w:spacing w:line="250" w:lineRule="auto"/>
            </w:pPr>
            <w:r>
              <w:rPr>
                <w:sz w:val="18"/>
                <w:szCs w:val="18"/>
              </w:rPr>
              <w:t>weltweit steuerpflichtig, solange du LPR bist</w:t>
            </w:r>
          </w:p>
        </w:tc>
        <w:tc>
          <w:tcPr>
            <w:tcW w:w="2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4" w14:textId="77777777" w:rsidR="00C1548D" w:rsidRDefault="009B1B4B">
            <w:pPr>
              <w:spacing w:line="250" w:lineRule="auto"/>
            </w:pPr>
            <w:r>
              <w:rPr>
                <w:sz w:val="18"/>
                <w:szCs w:val="18"/>
              </w:rPr>
              <w:t>weltweit, lebenslang, auch im Ausland</w:t>
            </w:r>
          </w:p>
        </w:tc>
      </w:tr>
      <w:tr w:rsidR="00C1548D" w14:paraId="70A4ED3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6" w14:textId="77777777" w:rsidR="00C1548D" w:rsidRDefault="009B1B4B">
            <w:pPr>
              <w:spacing w:line="250" w:lineRule="auto"/>
            </w:pPr>
            <w:r>
              <w:rPr>
                <w:sz w:val="18"/>
                <w:szCs w:val="18"/>
              </w:rPr>
              <w:t>Pflichten</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7" w14:textId="77777777" w:rsidR="00C1548D" w:rsidRDefault="009B1B4B">
            <w:pPr>
              <w:spacing w:line="250" w:lineRule="auto"/>
            </w:pPr>
            <w:r>
              <w:rPr>
                <w:sz w:val="18"/>
                <w:szCs w:val="18"/>
              </w:rPr>
              <w:t>Adressmeldung (AR-11), Karte mitführen, Wehrerfassung (</w:t>
            </w:r>
            <w:r>
              <w:rPr>
                <w:i/>
                <w:iCs/>
                <w:sz w:val="18"/>
                <w:szCs w:val="18"/>
              </w:rPr>
              <w:t>Selective Service</w:t>
            </w:r>
            <w:r>
              <w:rPr>
                <w:sz w:val="18"/>
                <w:szCs w:val="18"/>
              </w:rPr>
              <w:t>) für Männer 18–25</w:t>
            </w:r>
          </w:p>
        </w:tc>
        <w:tc>
          <w:tcPr>
            <w:tcW w:w="2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8" w14:textId="77777777" w:rsidR="00C1548D" w:rsidRDefault="009B1B4B">
            <w:pPr>
              <w:spacing w:line="250" w:lineRule="auto"/>
            </w:pPr>
            <w:r>
              <w:rPr>
                <w:sz w:val="18"/>
                <w:szCs w:val="18"/>
              </w:rPr>
              <w:t>Selective Service, Geschworenendienst (</w:t>
            </w:r>
            <w:r>
              <w:rPr>
                <w:i/>
                <w:iCs/>
                <w:sz w:val="18"/>
                <w:szCs w:val="18"/>
              </w:rPr>
              <w:t>Jury Duty</w:t>
            </w:r>
            <w:r>
              <w:rPr>
                <w:sz w:val="18"/>
                <w:szCs w:val="18"/>
              </w:rPr>
              <w:t>)</w:t>
            </w:r>
          </w:p>
        </w:tc>
      </w:tr>
      <w:tr w:rsidR="00C1548D" w14:paraId="70A4ED3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A" w14:textId="77777777" w:rsidR="00C1548D" w:rsidRDefault="009B1B4B">
            <w:pPr>
              <w:spacing w:line="250" w:lineRule="auto"/>
            </w:pPr>
            <w:r>
              <w:rPr>
                <w:sz w:val="18"/>
                <w:szCs w:val="18"/>
              </w:rPr>
              <w:t>Reisen</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B" w14:textId="77777777" w:rsidR="00C1548D" w:rsidRDefault="009B1B4B">
            <w:pPr>
              <w:spacing w:line="250" w:lineRule="auto"/>
            </w:pPr>
            <w:r>
              <w:rPr>
                <w:sz w:val="18"/>
                <w:szCs w:val="18"/>
              </w:rPr>
              <w:t>deutscher Pass plus Green Card</w:t>
            </w:r>
          </w:p>
        </w:tc>
        <w:tc>
          <w:tcPr>
            <w:tcW w:w="2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C" w14:textId="77777777" w:rsidR="00C1548D" w:rsidRDefault="009B1B4B">
            <w:pPr>
              <w:spacing w:line="250" w:lineRule="auto"/>
            </w:pPr>
            <w:r>
              <w:rPr>
                <w:sz w:val="18"/>
                <w:szCs w:val="18"/>
              </w:rPr>
              <w:t>US-Pass für Ein- und Ausreise USA</w:t>
            </w:r>
          </w:p>
        </w:tc>
      </w:tr>
      <w:tr w:rsidR="00C1548D" w14:paraId="70A4ED4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E" w14:textId="77777777" w:rsidR="00C1548D" w:rsidRDefault="009B1B4B">
            <w:pPr>
              <w:spacing w:line="250" w:lineRule="auto"/>
            </w:pPr>
            <w:r>
              <w:rPr>
                <w:sz w:val="18"/>
                <w:szCs w:val="18"/>
              </w:rPr>
              <w:t>Gebühren</w:t>
            </w:r>
          </w:p>
        </w:tc>
        <w:tc>
          <w:tcPr>
            <w:tcW w:w="26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3F" w14:textId="77777777" w:rsidR="00C1548D" w:rsidRDefault="009B1B4B">
            <w:pPr>
              <w:spacing w:line="250" w:lineRule="auto"/>
            </w:pPr>
            <w:r>
              <w:rPr>
                <w:sz w:val="18"/>
                <w:szCs w:val="18"/>
              </w:rPr>
              <w:t>Erneuerung alle 10 Jahre: 465 $ / 415 $ (I-90)</w:t>
            </w:r>
          </w:p>
        </w:tc>
        <w:tc>
          <w:tcPr>
            <w:tcW w:w="2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40" w14:textId="77777777" w:rsidR="00C1548D" w:rsidRDefault="009B1B4B">
            <w:pPr>
              <w:spacing w:line="250" w:lineRule="auto"/>
            </w:pPr>
            <w:r>
              <w:rPr>
                <w:sz w:val="18"/>
                <w:szCs w:val="18"/>
              </w:rPr>
              <w:t>einmalig 760 $ / 710 $</w:t>
            </w:r>
          </w:p>
        </w:tc>
      </w:tr>
    </w:tbl>
    <w:p w14:paraId="70A4ED42" w14:textId="77777777" w:rsidR="00C1548D" w:rsidRDefault="00C1548D">
      <w:pPr>
        <w:spacing w:line="180" w:lineRule="exact"/>
      </w:pPr>
    </w:p>
    <w:p w14:paraId="70A4ED43" w14:textId="77777777" w:rsidR="00C1548D" w:rsidRDefault="009B1B4B">
      <w:pPr>
        <w:spacing w:after="140"/>
      </w:pPr>
      <w:r>
        <w:t xml:space="preserve">Der größte praktische Unterschied betrifft die Familie. Als Bürger holst du Ehepartner, unverheiratete Kinder unter 21 und Eltern (ab </w:t>
      </w:r>
      <w:r>
        <w:lastRenderedPageBreak/>
        <w:t>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4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D44" w14:textId="77777777" w:rsidR="00C1548D" w:rsidRDefault="009B1B4B">
            <w:pPr>
              <w:keepNext/>
              <w:spacing w:after="70" w:line="240" w:lineRule="auto"/>
            </w:pPr>
            <w:r>
              <w:rPr>
                <w:b/>
                <w:bCs/>
                <w:color w:val="8A6212"/>
                <w:spacing w:val="24"/>
                <w:sz w:val="16"/>
                <w:szCs w:val="16"/>
              </w:rPr>
              <w:t>MERKE</w:t>
            </w:r>
          </w:p>
          <w:p w14:paraId="70A4ED45" w14:textId="77777777" w:rsidR="00C1548D" w:rsidRDefault="009B1B4B">
            <w:pPr>
              <w:spacing w:after="80" w:line="264" w:lineRule="auto"/>
            </w:pPr>
            <w:r>
              <w:rPr>
                <w:sz w:val="20"/>
                <w:szCs w:val="20"/>
              </w:rPr>
              <w:t>Die US-Staatsbürgerschaft ist der einzige Status, den Jahre im Ausland dir nicht nehmen. Zugleich ist sie der einzige, aus dem du dich nur gegen Gebühr und nach einer Steuerprüfung wieder verabschieden kannst.</w:t>
            </w:r>
          </w:p>
        </w:tc>
      </w:tr>
    </w:tbl>
    <w:p w14:paraId="70A4ED47" w14:textId="77777777" w:rsidR="00C1548D" w:rsidRDefault="00C1548D">
      <w:pPr>
        <w:spacing w:line="220" w:lineRule="exact"/>
      </w:pPr>
    </w:p>
    <w:p w14:paraId="70A4ED48" w14:textId="77777777" w:rsidR="00C1548D" w:rsidRDefault="009B1B4B">
      <w:pPr>
        <w:pStyle w:val="Heading3"/>
        <w:keepNext/>
        <w:jc w:val="center"/>
      </w:pPr>
      <w:r>
        <w:rPr>
          <w:rFonts w:ascii="Amazon Ember" w:eastAsia="Amazon Ember" w:hAnsi="Amazon Ember" w:cs="Amazon Ember"/>
          <w:color w:val="0000FF"/>
          <w:sz w:val="36"/>
          <w:szCs w:val="36"/>
        </w:rPr>
        <w:t>Die Rechnung dahinter: Steuern, Verzicht und Exit Tax</w:t>
      </w:r>
    </w:p>
    <w:p w14:paraId="70A4ED49" w14:textId="54E0E6D7" w:rsidR="00C1548D" w:rsidRDefault="009B1B4B">
      <w:pPr>
        <w:spacing w:after="140"/>
      </w:pPr>
      <w:r>
        <w:t>Als US-Bürger gibst du lebenslang jedes Jahr eine US-Steuererklärung über dein weltweites Einkommen ab, auch wenn du in Deutschland lebst und arbeitest (Kapitel </w:t>
      </w:r>
      <w:hyperlink w:anchor="k28" w:history="1">
        <w:r>
          <w:t>28</w:t>
        </w:r>
      </w:hyperlink>
      <w: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history="1">
        <w:r>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t>Certificate of Loss of Nationality</w:t>
      </w:r>
      <w:r>
        <w:t>. Die Gebühr beträgt seit dem 13. April 2026 nur noch 450 $ (vorher 2.350 $).</w:t>
      </w:r>
    </w:p>
    <w:p w14:paraId="70A4ED4A" w14:textId="77777777" w:rsidR="00C1548D" w:rsidRDefault="009B1B4B">
      <w:pPr>
        <w:spacing w:after="140"/>
      </w:pPr>
      <w:r>
        <w:t xml:space="preserve">Teuer wird der Ausstieg nicht durch die Gebühr, sondern durch die Exit Tax (§ 877A des Internal Revenue Code). Betroffen ist, wer die Staatsbürgerschaft aufgibt oder als </w:t>
      </w:r>
      <w:r>
        <w:rPr>
          <w:i/>
          <w:iCs/>
        </w:rPr>
        <w:t>Long-term Resident</w:t>
      </w:r>
      <w:r>
        <w:t xml:space="preserve"> (Green Card in mindestens 8 der letzten 15 Steuerjahre) den Status beendet und </w:t>
      </w:r>
      <w:r>
        <w:lastRenderedPageBreak/>
        <w:t xml:space="preserve">dabei als </w:t>
      </w:r>
      <w:r>
        <w:rPr>
          <w:i/>
          <w:iCs/>
        </w:rPr>
        <w:t>Covered Expatriate</w:t>
      </w:r>
      <w:r>
        <w:t xml:space="preserve"> (steuerlich erfasster Aussteiger) gilt. Dafür genügt einer von drei Tests (Werte 2026):</w:t>
      </w:r>
    </w:p>
    <w:p w14:paraId="70A4ED4B" w14:textId="77777777" w:rsidR="00C1548D" w:rsidRDefault="009B1B4B" w:rsidP="009B1B4B">
      <w:pPr>
        <w:pStyle w:val="ListParagraph"/>
        <w:numPr>
          <w:ilvl w:val="0"/>
          <w:numId w:val="1"/>
        </w:numPr>
        <w:spacing w:after="60"/>
      </w:pPr>
      <w:r>
        <w:t>Die durchschnittliche Einkommensteuer der letzten fünf Jahre liegt über 211.000 $.</w:t>
      </w:r>
    </w:p>
    <w:p w14:paraId="70A4ED4C" w14:textId="77777777" w:rsidR="00C1548D" w:rsidRDefault="009B1B4B" w:rsidP="009B1B4B">
      <w:pPr>
        <w:pStyle w:val="ListParagraph"/>
        <w:numPr>
          <w:ilvl w:val="0"/>
          <w:numId w:val="1"/>
        </w:numPr>
        <w:spacing w:after="60"/>
      </w:pPr>
      <w:r>
        <w:t>Das Nettovermögen beträgt mindestens 2 Mio. $.</w:t>
      </w:r>
    </w:p>
    <w:p w14:paraId="70A4ED4D" w14:textId="77777777" w:rsidR="00C1548D" w:rsidRDefault="009B1B4B" w:rsidP="009B1B4B">
      <w:pPr>
        <w:pStyle w:val="ListParagraph"/>
        <w:numPr>
          <w:ilvl w:val="0"/>
          <w:numId w:val="1"/>
        </w:numPr>
        <w:spacing w:after="60"/>
      </w:pPr>
      <w:r>
        <w:t>Du kannst nicht nachweisen, dass du in den fünf Vorjahren steuerlich korrekt warst (Form 8854).</w:t>
      </w:r>
    </w:p>
    <w:p w14:paraId="70A4ED4E" w14:textId="77777777" w:rsidR="00C1548D" w:rsidRDefault="00C1548D">
      <w:pPr>
        <w:spacing w:line="120" w:lineRule="exact"/>
      </w:pPr>
    </w:p>
    <w:p w14:paraId="70A4ED4F" w14:textId="77777777" w:rsidR="00C1548D" w:rsidRDefault="009B1B4B">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5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D50" w14:textId="77777777" w:rsidR="00C1548D" w:rsidRDefault="009B1B4B">
            <w:pPr>
              <w:keepNext/>
              <w:spacing w:after="70" w:line="240" w:lineRule="auto"/>
            </w:pPr>
            <w:r>
              <w:rPr>
                <w:b/>
                <w:bCs/>
                <w:color w:val="9B2C2C"/>
                <w:spacing w:val="24"/>
                <w:sz w:val="16"/>
                <w:szCs w:val="16"/>
              </w:rPr>
              <w:t>ACHTUNG</w:t>
            </w:r>
          </w:p>
          <w:p w14:paraId="70A4ED51" w14:textId="754D6381" w:rsidR="00C1548D" w:rsidRDefault="009B1B4B">
            <w:pPr>
              <w:spacing w:after="80" w:line="264" w:lineRule="auto"/>
            </w:pPr>
            <w:r>
              <w:rPr>
                <w:sz w:val="20"/>
                <w:szCs w:val="20"/>
              </w:rPr>
              <w:t>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(Kapitel </w:t>
            </w:r>
            <w:hyperlink w:anchor="k42" w:history="1">
              <w:r>
                <w:rPr>
                  <w:sz w:val="20"/>
                  <w:szCs w:val="20"/>
                </w:rPr>
                <w:t>42</w:t>
              </w:r>
            </w:hyperlink>
            <w:r>
              <w:rPr>
                <w:sz w:val="20"/>
                <w:szCs w:val="20"/>
              </w:rPr>
              <w:t>).</w:t>
            </w:r>
          </w:p>
        </w:tc>
      </w:tr>
    </w:tbl>
    <w:p w14:paraId="70A4ED53"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5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D54" w14:textId="77777777" w:rsidR="00C1548D" w:rsidRDefault="009B1B4B">
            <w:pPr>
              <w:keepNext/>
              <w:spacing w:after="70" w:line="240" w:lineRule="auto"/>
            </w:pPr>
            <w:r>
              <w:rPr>
                <w:b/>
                <w:bCs/>
                <w:color w:val="6B7280"/>
                <w:spacing w:val="24"/>
                <w:sz w:val="16"/>
                <w:szCs w:val="16"/>
              </w:rPr>
              <w:t>KEIN RECHTSRAT</w:t>
            </w:r>
          </w:p>
          <w:p w14:paraId="70A4ED55" w14:textId="77777777" w:rsidR="00C1548D" w:rsidRDefault="009B1B4B">
            <w:pPr>
              <w:spacing w:after="80" w:line="264" w:lineRule="auto"/>
            </w:pPr>
            <w:r>
              <w:rPr>
                <w:sz w:val="20"/>
                <w:szCs w:val="20"/>
              </w:rPr>
              <w:t>Das ist keine Rechts- oder Steuerberatung. Exit Tax, Verzicht und Einbürgerung hängen vom Einzelfall ab. Lass dich vor dem Antrag von einem Einwanderungsanwalt und einer auf US-Auslandsfälle spezialisierten Steuerfachperson (</w:t>
            </w:r>
            <w:r>
              <w:rPr>
                <w:i/>
                <w:iCs/>
                <w:sz w:val="20"/>
                <w:szCs w:val="20"/>
              </w:rPr>
              <w:t>Certified Public Accountant</w:t>
            </w:r>
            <w:r>
              <w:rPr>
                <w:sz w:val="20"/>
                <w:szCs w:val="20"/>
              </w:rPr>
              <w:t xml:space="preserve"> oder </w:t>
            </w:r>
            <w:r>
              <w:rPr>
                <w:i/>
                <w:iCs/>
                <w:sz w:val="20"/>
                <w:szCs w:val="20"/>
              </w:rPr>
              <w:t>Enrolled Agent</w:t>
            </w:r>
            <w:r>
              <w:rPr>
                <w:sz w:val="20"/>
                <w:szCs w:val="20"/>
              </w:rPr>
              <w:t>) beraten.</w:t>
            </w:r>
          </w:p>
        </w:tc>
      </w:tr>
    </w:tbl>
    <w:p w14:paraId="70A4ED57" w14:textId="77777777" w:rsidR="00C1548D" w:rsidRDefault="00C1548D">
      <w:pPr>
        <w:spacing w:line="220" w:lineRule="exact"/>
      </w:pPr>
    </w:p>
    <w:p w14:paraId="70A4ED58" w14:textId="77777777" w:rsidR="00C1548D" w:rsidRDefault="009B1B4B">
      <w:pPr>
        <w:pStyle w:val="Heading3"/>
        <w:keepNext/>
        <w:jc w:val="center"/>
      </w:pPr>
      <w:r>
        <w:rPr>
          <w:rFonts w:ascii="Amazon Ember" w:eastAsia="Amazon Ember" w:hAnsi="Amazon Ember" w:cs="Amazon Ember"/>
          <w:color w:val="0000FF"/>
          <w:sz w:val="36"/>
          <w:szCs w:val="36"/>
        </w:rPr>
        <w:t>Kinder: Wer wann welchen Pass hat</w:t>
      </w:r>
    </w:p>
    <w:p w14:paraId="70A4ED59" w14:textId="58467C60" w:rsidR="00C1548D" w:rsidRDefault="009B1B4B">
      <w:pPr>
        <w:spacing w:after="140"/>
      </w:pPr>
      <w:r>
        <w:rPr>
          <w:b/>
          <w:bCs/>
        </w:rPr>
        <w:t>Geburt in den USA.</w:t>
      </w:r>
      <w:r>
        <w:t xml:space="preserve"> Kinder, die in den USA zur Welt kommen, sind US-Bürger von Geburt (14. Zusatzartikel), auch wenn die Eltern nur H-1B-, L-1-, E-2- oder F-1-Status haben. Der Oberste Gerichtshof hat </w:t>
      </w:r>
      <w:r>
        <w:lastRenderedPageBreak/>
        <w:t xml:space="preserve">am 30. Juni 2026 in </w:t>
      </w:r>
      <w:r>
        <w:rPr>
          <w:i/>
          <w:iCs/>
        </w:rPr>
        <w:t>Trump v. Barbara</w:t>
      </w:r>
      <w:r>
        <w:t xml:space="preserve"> (Nr. 25-365) die </w:t>
      </w:r>
      <w:r>
        <w:rPr>
          <w:i/>
          <w:iCs/>
        </w:rPr>
        <w:t>Executive Order</w:t>
      </w:r>
      <w:r>
        <w:t xml:space="preserve"> 14160 (einen Präsidentenerlass), die das ändern sollte, für verfassungswidrig erklärt. Zwei neue Erlasse vom 6. August 2026 richten sich nach Angaben von Kanzleien gegen eng gefasste Gruppen (etwa Geburtstourismus) und erfassen Kinder von Eltern mit Arbeitsvisum oder Green Card nicht; Klagen laufen. Ein Bundesgericht in Maryland (</w:t>
      </w:r>
      <w:r>
        <w:rPr>
          <w:i/>
          <w:iCs/>
        </w:rPr>
        <w:t>Casa Inc. v. Trump</w:t>
      </w:r>
      <w:r>
        <w:t>) hat am 2. September 2026 eine einstweilige Verfügung erlassen, die die Durchsetzung des ersten der beiden Erlasse (Executive Order 14418) gegen die im ursprünglichen Verfahren geschützte Klägergruppe vorerst untersagt; die Regierung hat Berufung angekündigt. Die Einzelheiten stehen in Kapitel </w:t>
      </w:r>
      <w:hyperlink w:anchor="k38" w:history="1">
        <w:r>
          <w:t>38</w:t>
        </w:r>
      </w:hyperlink>
      <w:r>
        <w:t>.</w:t>
      </w:r>
    </w:p>
    <w:p w14:paraId="70A4ED5A" w14:textId="77777777" w:rsidR="00C1548D" w:rsidRDefault="009B1B4B">
      <w:pPr>
        <w:spacing w:after="140"/>
      </w:pPr>
      <w:r>
        <w:rPr>
          <w:b/>
          <w:bCs/>
        </w:rPr>
        <w:t>Die deutsche Seite.</w:t>
      </w:r>
      <w:r>
        <w:t xml:space="preserve"> Ein Kind mit einem deutschen Elternteil ist von Geburt deutsch (§ 4 Abs. 1 StAG), auch bei Geburt in den USA. Den Nachweis holst du über die Beurkundung der Auslandsgeburt (§ 36 Personenstandsgesetz), in der Regel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w:t>
      </w:r>
      <w:r>
        <w:t>gen (Vorgehen mit dem Konsulat klären).</w:t>
      </w:r>
    </w:p>
    <w:p w14:paraId="70A4ED5B" w14:textId="77777777" w:rsidR="00C1548D" w:rsidRDefault="009B1B4B">
      <w:pPr>
        <w:spacing w:after="140"/>
      </w:pPr>
      <w:r>
        <w:rPr>
          <w:b/>
          <w:bCs/>
        </w:rPr>
        <w:t>Der Generationenschnitt</w:t>
      </w:r>
      <w:r>
        <w:t xml:space="preserve"> (§ 4 Abs. 4 StAG) trifft erst die nächste Generation. Ist der deutsche Elternteil nach dem 31. Dezember 1999 im Ausland geboren und lebt dort, wird ein im Ausland geborenes Kind nur dann Deutsches, wenn die Beurkundung der Geburt binnen eines Jahres beantragt wird; der Eingang bei der Auslandsvertretung wahrt die Frist. Für dich als in Deutschland Geborenen gilt das nicht. Erst wenn dein in Michigan geborenes Kind später selbst im Ausland Kinder bekommt, ist die Jahresfrist zu beachten; wer sie versäumt, h</w:t>
      </w:r>
      <w:r>
        <w:t>at für dieses Kind keinen Automatismus mehr.</w:t>
      </w:r>
    </w:p>
    <w:p w14:paraId="70A4ED5C" w14:textId="77777777" w:rsidR="00C1548D" w:rsidRDefault="009B1B4B">
      <w:pPr>
        <w:spacing w:after="140"/>
      </w:pPr>
      <w:r>
        <w:rPr>
          <w:b/>
          <w:bCs/>
        </w:rPr>
        <w:t>Kinder mit Green Card und Kinder im Ausland.</w:t>
      </w:r>
      <w:r>
        <w:t xml:space="preserve"> Nach dem </w:t>
      </w:r>
      <w:r>
        <w:rPr>
          <w:i/>
          <w:iCs/>
        </w:rPr>
        <w:t>Child Citizenship Act</w:t>
      </w:r>
      <w:r>
        <w:t xml:space="preserve"> (8 U.S.C. § 1431) wird ein Kind mit Green Card automatisch US-Bürger, wenn es unter 18 ist und in der Obhut eines </w:t>
      </w:r>
      <w:r>
        <w:lastRenderedPageBreak/>
        <w:t>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w:t>
      </w:r>
      <w:r>
        <w:t xml:space="preserve">nbürgerung zählen mit. Dokumentiert wird das mit dem </w:t>
      </w:r>
      <w:r>
        <w:rPr>
          <w:i/>
          <w:iCs/>
        </w:rPr>
        <w:t>Consular Report of Birth Abroad</w:t>
      </w:r>
      <w:r>
        <w:t xml:space="preserve"> (CRBA, konsularischer Geburtsbericht).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5F"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D5D" w14:textId="77777777" w:rsidR="00C1548D" w:rsidRDefault="009B1B4B">
            <w:pPr>
              <w:keepNext/>
              <w:spacing w:after="70" w:line="240" w:lineRule="auto"/>
            </w:pPr>
            <w:r>
              <w:rPr>
                <w:b/>
                <w:bCs/>
                <w:color w:val="2F6B3B"/>
                <w:spacing w:val="24"/>
                <w:sz w:val="16"/>
                <w:szCs w:val="16"/>
              </w:rPr>
              <w:t>SPARTIPP</w:t>
            </w:r>
          </w:p>
          <w:p w14:paraId="70A4ED5E" w14:textId="77777777" w:rsidR="00C1548D" w:rsidRDefault="009B1B4B">
            <w:pPr>
              <w:spacing w:after="80" w:line="264" w:lineRule="auto"/>
            </w:pPr>
            <w:r>
              <w:rPr>
                <w:sz w:val="20"/>
                <w:szCs w:val="20"/>
              </w:rPr>
              <w:t>Für Kinder, die automatisch Bürger geworden sind, ist die Bescheinigung N-600 (1.385 $ auf Papier, 1.335 $ online) nicht immer nötig: Ein US-Pass belegt die Staatsbürgerschaft ebenfalls.</w:t>
            </w:r>
          </w:p>
        </w:tc>
      </w:tr>
    </w:tbl>
    <w:p w14:paraId="70A4ED60"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63"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D61" w14:textId="77777777" w:rsidR="00C1548D" w:rsidRDefault="009B1B4B">
            <w:pPr>
              <w:keepNext/>
              <w:spacing w:after="70" w:line="240" w:lineRule="auto"/>
            </w:pPr>
            <w:r>
              <w:rPr>
                <w:b/>
                <w:bCs/>
                <w:color w:val="4A5568"/>
                <w:spacing w:val="24"/>
                <w:sz w:val="16"/>
                <w:szCs w:val="16"/>
              </w:rPr>
              <w:t>PRAXISBEISPIEL · FIKTIV</w:t>
            </w:r>
          </w:p>
          <w:p w14:paraId="70A4ED62" w14:textId="77777777" w:rsidR="00C1548D" w:rsidRDefault="009B1B4B">
            <w:pPr>
              <w:spacing w:after="80" w:line="264" w:lineRule="auto"/>
            </w:pPr>
            <w:r>
              <w:rPr>
                <w:sz w:val="20"/>
                <w:szCs w:val="20"/>
              </w:rPr>
              <w:t>Familie Brandt (fiktives Beispiel), zehn Jahre nach dem Umzug nach Michigan. Markus (48) und Anna (46) haben seit fünf Jahren und drei Monaten die Green Card und stellen die N-400 online: 2 × 710 $. Lena (19), die sich kaum noch an das Haus bei Stuttgart erinnert, muss ihren eigenen Antrag stellen, denn das Gesetz bürgert nur Kinder unter 18 automatisch ein: weitere 710 $. Jonas (15) wird mit der Vereidigung seiner Eltern von selbst US-Bürger; die Familie beantragt für ihn einen US-Pass statt der N-600. Die</w:t>
            </w:r>
            <w:r>
              <w:rPr>
                <w:sz w:val="20"/>
                <w:szCs w:val="20"/>
              </w:rPr>
              <w:t xml:space="preserve"> drei Anträge kosten zusammen 2.130 $ (Gebühren 2026). Die Brandts behalten ihre deutschen Pässe. Anna beantragt vor jeder Bundestagswahl Briefwahl bei ihrer früheren Gemeinde bei Stuttgart. Eine Rückkehr planen sie nicht; Markus hatte die Exit-Tax-Werte vor dem Antrag mit einer Steuerberaterin durchgerechnet.</w:t>
            </w:r>
          </w:p>
        </w:tc>
      </w:tr>
    </w:tbl>
    <w:p w14:paraId="70A4ED64" w14:textId="77777777" w:rsidR="00C1548D" w:rsidRDefault="00C1548D">
      <w:pPr>
        <w:spacing w:line="220" w:lineRule="exact"/>
      </w:pPr>
    </w:p>
    <w:p w14:paraId="70A4ED65" w14:textId="77777777" w:rsidR="00C1548D" w:rsidRDefault="009B1B4B">
      <w:pPr>
        <w:pStyle w:val="Heading3"/>
        <w:keepNext/>
        <w:jc w:val="center"/>
      </w:pPr>
      <w:r>
        <w:rPr>
          <w:rFonts w:ascii="Amazon Ember" w:eastAsia="Amazon Ember" w:hAnsi="Amazon Ember" w:cs="Amazon Ember"/>
          <w:color w:val="0000FF"/>
          <w:sz w:val="36"/>
          <w:szCs w:val="36"/>
        </w:rPr>
        <w:t>Wählen: in den USA und in Deutschland</w:t>
      </w:r>
    </w:p>
    <w:p w14:paraId="70A4ED66" w14:textId="5FB259CB" w:rsidR="00C1548D" w:rsidRDefault="009B1B4B">
      <w:pPr>
        <w:spacing w:after="140"/>
      </w:pPr>
      <w:r>
        <w:t xml:space="preserve">Mit dem Eid darfst du in den USA bei Bundes-, Landes- und Kommunalwahlen wählen; die Registrierung regelt jeder Bundesstaat. Vorher ist das Wählen für Nichtstaatsbürger verboten </w:t>
      </w:r>
      <w:r>
        <w:lastRenderedPageBreak/>
        <w:t>(Kapitel </w:t>
      </w:r>
      <w:hyperlink w:anchor="k40" w:history="1">
        <w:r>
          <w:t>40</w:t>
        </w:r>
      </w:hyperlink>
      <w:r>
        <w:t>). Dein deutsches Wahlrecht verlierst du durch die 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w14:paraId="70A4ED67" w14:textId="77777777" w:rsidR="00C1548D" w:rsidRDefault="009B1B4B">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w:t>
      </w:r>
      <w:r>
        <w:t>t nicht.</w:t>
      </w:r>
    </w:p>
    <w:p w14:paraId="70A4ED68" w14:textId="77777777" w:rsidR="00C1548D" w:rsidRDefault="009B1B4B">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w:t>
      </w:r>
      <w:r>
        <w:t xml:space="preserve"> Landtags- und Kommunalwahlen gilt Landesrecht; Auslandsdeutsche sind dort meist nicht wahlberechtigt.</w:t>
      </w:r>
    </w:p>
    <w:p w14:paraId="70A4ED69" w14:textId="77777777" w:rsidR="00C1548D" w:rsidRDefault="009B1B4B">
      <w:pPr>
        <w:pStyle w:val="Heading3"/>
        <w:keepNext/>
        <w:jc w:val="center"/>
      </w:pPr>
      <w:r>
        <w:rPr>
          <w:rFonts w:ascii="Amazon Ember" w:eastAsia="Amazon Ember" w:hAnsi="Amazon Ember" w:cs="Amazon Ember"/>
          <w:color w:val="0000FF"/>
          <w:sz w:val="36"/>
          <w:szCs w:val="36"/>
        </w:rPr>
        <w:t>Welchen Pass benutzt du wann?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7"/>
        <w:gridCol w:w="1737"/>
        <w:gridCol w:w="3086"/>
      </w:tblGrid>
      <w:tr w:rsidR="00C1548D" w14:paraId="70A4ED6D" w14:textId="77777777">
        <w:tblPrEx>
          <w:tblCellMar>
            <w:top w:w="0" w:type="dxa"/>
            <w:bottom w:w="0" w:type="dxa"/>
          </w:tblCellMar>
        </w:tblPrEx>
        <w:trPr>
          <w:cantSplit/>
          <w:tblHeader/>
        </w:trPr>
        <w:tc>
          <w:tcPr>
            <w:tcW w:w="165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D6A" w14:textId="77777777" w:rsidR="00C1548D" w:rsidRDefault="009B1B4B">
            <w:pPr>
              <w:spacing w:line="250" w:lineRule="auto"/>
            </w:pPr>
            <w:r>
              <w:rPr>
                <w:b/>
                <w:bCs/>
                <w:sz w:val="18"/>
                <w:szCs w:val="18"/>
              </w:rPr>
              <w:t>Situation</w:t>
            </w:r>
          </w:p>
        </w:tc>
        <w:tc>
          <w:tcPr>
            <w:tcW w:w="173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D6B" w14:textId="77777777" w:rsidR="00C1548D" w:rsidRDefault="009B1B4B">
            <w:pPr>
              <w:spacing w:line="250" w:lineRule="auto"/>
            </w:pPr>
            <w:r>
              <w:rPr>
                <w:b/>
                <w:bCs/>
                <w:sz w:val="18"/>
                <w:szCs w:val="18"/>
              </w:rPr>
              <w:t>Pass</w:t>
            </w:r>
          </w:p>
        </w:tc>
        <w:tc>
          <w:tcPr>
            <w:tcW w:w="308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D6C" w14:textId="77777777" w:rsidR="00C1548D" w:rsidRDefault="009B1B4B">
            <w:pPr>
              <w:spacing w:line="250" w:lineRule="auto"/>
            </w:pPr>
            <w:r>
              <w:rPr>
                <w:b/>
                <w:bCs/>
                <w:sz w:val="18"/>
                <w:szCs w:val="18"/>
              </w:rPr>
              <w:t>Grund</w:t>
            </w:r>
          </w:p>
        </w:tc>
      </w:tr>
      <w:tr w:rsidR="00C1548D" w14:paraId="70A4ED71" w14:textId="77777777">
        <w:tblPrEx>
          <w:tblCellMar>
            <w:top w:w="0" w:type="dxa"/>
            <w:bottom w:w="0" w:type="dxa"/>
          </w:tblCellMar>
        </w:tblPrEx>
        <w:trPr>
          <w:cantSplit/>
        </w:trPr>
        <w:tc>
          <w:tcPr>
            <w:tcW w:w="16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6E" w14:textId="77777777" w:rsidR="00C1548D" w:rsidRDefault="009B1B4B">
            <w:pPr>
              <w:spacing w:line="250" w:lineRule="auto"/>
            </w:pPr>
            <w:r>
              <w:rPr>
                <w:sz w:val="18"/>
                <w:szCs w:val="18"/>
              </w:rPr>
              <w:t>Ein- und Ausreise USA</w:t>
            </w:r>
          </w:p>
        </w:tc>
        <w:tc>
          <w:tcPr>
            <w:tcW w:w="17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6F" w14:textId="77777777" w:rsidR="00C1548D" w:rsidRDefault="009B1B4B">
            <w:pPr>
              <w:spacing w:line="250" w:lineRule="auto"/>
            </w:pPr>
            <w:r>
              <w:rPr>
                <w:sz w:val="18"/>
                <w:szCs w:val="18"/>
              </w:rPr>
              <w:t>US-Pass</w:t>
            </w:r>
          </w:p>
        </w:tc>
        <w:tc>
          <w:tcPr>
            <w:tcW w:w="30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70" w14:textId="77777777" w:rsidR="00C1548D" w:rsidRDefault="009B1B4B">
            <w:pPr>
              <w:spacing w:line="250" w:lineRule="auto"/>
            </w:pPr>
            <w:r>
              <w:rPr>
                <w:sz w:val="18"/>
                <w:szCs w:val="18"/>
              </w:rPr>
              <w:t>Pflicht für US-Bürger (8 U.S.C. § 1185(b)); Airlines prüfen es</w:t>
            </w:r>
          </w:p>
        </w:tc>
      </w:tr>
      <w:tr w:rsidR="00C1548D" w14:paraId="70A4ED75" w14:textId="77777777">
        <w:tblPrEx>
          <w:tblCellMar>
            <w:top w:w="0" w:type="dxa"/>
            <w:bottom w:w="0" w:type="dxa"/>
          </w:tblCellMar>
        </w:tblPrEx>
        <w:trPr>
          <w:cantSplit/>
        </w:trPr>
        <w:tc>
          <w:tcPr>
            <w:tcW w:w="16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72" w14:textId="77777777" w:rsidR="00C1548D" w:rsidRDefault="009B1B4B">
            <w:pPr>
              <w:spacing w:line="250" w:lineRule="auto"/>
            </w:pPr>
            <w:r>
              <w:rPr>
                <w:sz w:val="18"/>
                <w:szCs w:val="18"/>
              </w:rPr>
              <w:t>Einreise nach Deutschland und Schengen</w:t>
            </w:r>
          </w:p>
        </w:tc>
        <w:tc>
          <w:tcPr>
            <w:tcW w:w="17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73" w14:textId="77777777" w:rsidR="00C1548D" w:rsidRDefault="009B1B4B">
            <w:pPr>
              <w:spacing w:line="250" w:lineRule="auto"/>
            </w:pPr>
            <w:r>
              <w:rPr>
                <w:sz w:val="18"/>
                <w:szCs w:val="18"/>
              </w:rPr>
              <w:t>deutscher Pass oder Personalausweis</w:t>
            </w:r>
          </w:p>
        </w:tc>
        <w:tc>
          <w:tcPr>
            <w:tcW w:w="30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74" w14:textId="77777777" w:rsidR="00C1548D" w:rsidRDefault="009B1B4B">
            <w:pPr>
              <w:spacing w:line="250" w:lineRule="auto"/>
            </w:pPr>
            <w:r>
              <w:rPr>
                <w:sz w:val="18"/>
                <w:szCs w:val="18"/>
              </w:rPr>
              <w:t>Als Deutscher brauchst du weder Visum noch Reisegenehmigung</w:t>
            </w:r>
          </w:p>
        </w:tc>
      </w:tr>
      <w:tr w:rsidR="00C1548D" w14:paraId="70A4ED79" w14:textId="77777777">
        <w:tblPrEx>
          <w:tblCellMar>
            <w:top w:w="0" w:type="dxa"/>
            <w:bottom w:w="0" w:type="dxa"/>
          </w:tblCellMar>
        </w:tblPrEx>
        <w:trPr>
          <w:cantSplit/>
        </w:trPr>
        <w:tc>
          <w:tcPr>
            <w:tcW w:w="16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76" w14:textId="77777777" w:rsidR="00C1548D" w:rsidRDefault="009B1B4B">
            <w:pPr>
              <w:spacing w:line="250" w:lineRule="auto"/>
            </w:pPr>
            <w:r>
              <w:rPr>
                <w:sz w:val="18"/>
                <w:szCs w:val="18"/>
              </w:rPr>
              <w:lastRenderedPageBreak/>
              <w:t>Drittländer</w:t>
            </w:r>
          </w:p>
        </w:tc>
        <w:tc>
          <w:tcPr>
            <w:tcW w:w="17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77" w14:textId="77777777" w:rsidR="00C1548D" w:rsidRDefault="009B1B4B">
            <w:pPr>
              <w:spacing w:line="250" w:lineRule="auto"/>
            </w:pPr>
            <w:r>
              <w:rPr>
                <w:sz w:val="18"/>
                <w:szCs w:val="18"/>
              </w:rPr>
              <w:t>Einreiseregeln beider Pässe prüfen</w:t>
            </w:r>
          </w:p>
        </w:tc>
        <w:tc>
          <w:tcPr>
            <w:tcW w:w="30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78" w14:textId="77777777" w:rsidR="00C1548D" w:rsidRDefault="009B1B4B">
            <w:pPr>
              <w:spacing w:line="250" w:lineRule="auto"/>
            </w:pPr>
            <w:r>
              <w:rPr>
                <w:sz w:val="18"/>
                <w:szCs w:val="18"/>
              </w:rPr>
              <w:t>Visumfreiheit und Gebühren unterscheiden sich</w:t>
            </w:r>
          </w:p>
        </w:tc>
      </w:tr>
      <w:tr w:rsidR="00C1548D" w14:paraId="70A4ED7D" w14:textId="77777777">
        <w:tblPrEx>
          <w:tblCellMar>
            <w:top w:w="0" w:type="dxa"/>
            <w:bottom w:w="0" w:type="dxa"/>
          </w:tblCellMar>
        </w:tblPrEx>
        <w:trPr>
          <w:cantSplit/>
        </w:trPr>
        <w:tc>
          <w:tcPr>
            <w:tcW w:w="16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7A" w14:textId="77777777" w:rsidR="00C1548D" w:rsidRDefault="009B1B4B">
            <w:pPr>
              <w:spacing w:line="250" w:lineRule="auto"/>
            </w:pPr>
            <w:r>
              <w:rPr>
                <w:sz w:val="18"/>
                <w:szCs w:val="18"/>
              </w:rPr>
              <w:t>Behörden vor Ort</w:t>
            </w:r>
          </w:p>
        </w:tc>
        <w:tc>
          <w:tcPr>
            <w:tcW w:w="17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7B" w14:textId="77777777" w:rsidR="00C1548D" w:rsidRDefault="009B1B4B">
            <w:pPr>
              <w:spacing w:line="250" w:lineRule="auto"/>
            </w:pPr>
            <w:r>
              <w:rPr>
                <w:sz w:val="18"/>
                <w:szCs w:val="18"/>
              </w:rPr>
              <w:t>Papiere des jeweiligen Staates</w:t>
            </w:r>
          </w:p>
        </w:tc>
        <w:tc>
          <w:tcPr>
            <w:tcW w:w="30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7C" w14:textId="77777777" w:rsidR="00C1548D" w:rsidRDefault="009B1B4B">
            <w:pPr>
              <w:spacing w:line="250" w:lineRule="auto"/>
            </w:pPr>
            <w:r>
              <w:rPr>
                <w:sz w:val="18"/>
                <w:szCs w:val="18"/>
              </w:rPr>
              <w:t>Meldeamt, Rente, US-Führerschein</w:t>
            </w:r>
          </w:p>
        </w:tc>
      </w:tr>
    </w:tbl>
    <w:p w14:paraId="70A4ED7E" w14:textId="77777777" w:rsidR="00C1548D" w:rsidRDefault="00C1548D">
      <w:pPr>
        <w:spacing w:line="180" w:lineRule="exact"/>
      </w:pPr>
    </w:p>
    <w:p w14:paraId="70A4ED7F" w14:textId="77777777" w:rsidR="00C1548D" w:rsidRDefault="009B1B4B">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w14:paraId="70A4ED80" w14:textId="77777777" w:rsidR="00C1548D" w:rsidRDefault="009B1B4B">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8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D81" w14:textId="77777777" w:rsidR="00C1548D" w:rsidRDefault="009B1B4B">
            <w:pPr>
              <w:keepNext/>
              <w:spacing w:after="70" w:line="240" w:lineRule="auto"/>
            </w:pPr>
            <w:r>
              <w:rPr>
                <w:b/>
                <w:bCs/>
                <w:color w:val="9B2C2C"/>
                <w:spacing w:val="24"/>
                <w:sz w:val="16"/>
                <w:szCs w:val="16"/>
              </w:rPr>
              <w:t>ACHTUNG</w:t>
            </w:r>
          </w:p>
          <w:p w14:paraId="70A4ED82" w14:textId="77777777" w:rsidR="00C1548D" w:rsidRDefault="009B1B4B">
            <w:pPr>
              <w:spacing w:after="80" w:line="264" w:lineRule="auto"/>
            </w:pPr>
            <w:r>
              <w:rPr>
                <w:sz w:val="20"/>
                <w:szCs w:val="20"/>
              </w:rPr>
              <w:t>Wer als US-Bürger nur mit dem deutschen Pass in die USA fliegen will, verstößt gegen die Passpflicht und wird von Fluggesellschaften oft nicht befördert. Umgekehrt kann, wer als Deutscher mit dem US-Pass nach Europa einreist, bei einer künftigen ETIAS-Pflicht unnötig in Schwierigkeiten geraten.</w:t>
            </w:r>
          </w:p>
        </w:tc>
      </w:tr>
    </w:tbl>
    <w:p w14:paraId="70A4ED84"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87"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D85" w14:textId="77777777" w:rsidR="00C1548D" w:rsidRDefault="009B1B4B">
            <w:pPr>
              <w:keepNext/>
              <w:spacing w:after="70" w:line="240" w:lineRule="auto"/>
            </w:pPr>
            <w:r>
              <w:rPr>
                <w:b/>
                <w:bCs/>
                <w:color w:val="8A6212"/>
                <w:spacing w:val="24"/>
                <w:sz w:val="16"/>
                <w:szCs w:val="16"/>
              </w:rPr>
              <w:t>MERKE</w:t>
            </w:r>
          </w:p>
          <w:p w14:paraId="70A4ED86" w14:textId="77777777" w:rsidR="00C1548D" w:rsidRDefault="009B1B4B">
            <w:pPr>
              <w:spacing w:after="80" w:line="264" w:lineRule="auto"/>
            </w:pPr>
            <w:r>
              <w:rPr>
                <w:sz w:val="20"/>
                <w:szCs w:val="20"/>
              </w:rPr>
              <w:t>In die USA mit dem US-Pass, nach Deutschland mit dem deutschen. Halte beide gültig.</w:t>
            </w:r>
          </w:p>
        </w:tc>
      </w:tr>
    </w:tbl>
    <w:p w14:paraId="70A4ED88" w14:textId="77777777" w:rsidR="00C1548D" w:rsidRDefault="00C1548D">
      <w:pPr>
        <w:spacing w:line="220" w:lineRule="exact"/>
      </w:pPr>
    </w:p>
    <w:p w14:paraId="70A4ED89" w14:textId="77777777" w:rsidR="00C1548D" w:rsidRDefault="009B1B4B">
      <w:pPr>
        <w:pStyle w:val="Heading3"/>
        <w:keepNext/>
        <w:jc w:val="center"/>
      </w:pPr>
      <w:r>
        <w:rPr>
          <w:rFonts w:ascii="Amazon Ember" w:eastAsia="Amazon Ember" w:hAnsi="Amazon Ember" w:cs="Amazon Ember"/>
          <w:color w:val="0000FF"/>
          <w:sz w:val="36"/>
          <w:szCs w:val="36"/>
        </w:rPr>
        <w:t>Denaturalisierung: sachlich betrachtet</w:t>
      </w:r>
    </w:p>
    <w:p w14:paraId="70A4ED8A" w14:textId="77777777" w:rsidR="00C1548D" w:rsidRDefault="009B1B4B">
      <w:pPr>
        <w:spacing w:after="140"/>
      </w:pPr>
      <w:r>
        <w:t>Die Einbürgerung ist nicht in jedem Fall endgültig. Ein Bundesgericht kann sie in einem Zivilverfahren aufheben (</w:t>
      </w:r>
      <w:r>
        <w:rPr>
          <w:i/>
          <w:iCs/>
        </w:rPr>
        <w:t>Denaturalization</w:t>
      </w:r>
      <w:r>
        <w:t xml:space="preserve">, Entzug </w:t>
      </w:r>
      <w:r>
        <w:lastRenderedPageBreak/>
        <w:t>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w:t>
      </w:r>
      <w:r>
        <w:t>d klein, die Richtung steigt. Wer im Verfahren wahrheitsgemäß angegeben hat, ist von diesen Fällen sehr wahrscheinlich nicht betroffen (Einschätzung, keine Garantie). Jahre im Ausland oder ein Steuerstreit sind für sich genommen kein Grund für den Entzug.</w:t>
      </w:r>
    </w:p>
    <w:p w14:paraId="70A4ED8B"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D8E"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D8C"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D8D" w14:textId="77777777" w:rsidR="00C1548D" w:rsidRDefault="009B1B4B">
            <w:pPr>
              <w:spacing w:line="250" w:lineRule="auto"/>
            </w:pPr>
            <w:r>
              <w:rPr>
                <w:b/>
                <w:bCs/>
                <w:sz w:val="18"/>
                <w:szCs w:val="18"/>
              </w:rPr>
              <w:t>Minus</w:t>
            </w:r>
          </w:p>
        </w:tc>
      </w:tr>
      <w:tr w:rsidR="00C1548D" w14:paraId="70A4ED9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8F" w14:textId="77777777" w:rsidR="00C1548D" w:rsidRDefault="009B1B4B">
            <w:pPr>
              <w:spacing w:line="250" w:lineRule="auto"/>
            </w:pPr>
            <w:r>
              <w:rPr>
                <w:sz w:val="18"/>
                <w:szCs w:val="18"/>
              </w:rPr>
              <w:t>Aufenthalt gesichert, keine Abwesenheitsrechnerei mehr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90" w14:textId="77777777" w:rsidR="00C1548D" w:rsidRDefault="009B1B4B">
            <w:pPr>
              <w:spacing w:line="250" w:lineRule="auto"/>
            </w:pPr>
            <w:r>
              <w:rPr>
                <w:sz w:val="18"/>
                <w:szCs w:val="18"/>
              </w:rPr>
              <w:t>US-Steuerpflicht lebenslang, auch aus Deutschland</w:t>
            </w:r>
          </w:p>
        </w:tc>
      </w:tr>
      <w:tr w:rsidR="00C1548D" w14:paraId="70A4ED9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92" w14:textId="77777777" w:rsidR="00C1548D" w:rsidRDefault="009B1B4B">
            <w:pPr>
              <w:spacing w:line="250" w:lineRule="auto"/>
            </w:pPr>
            <w:r>
              <w:rPr>
                <w:sz w:val="18"/>
                <w:szCs w:val="18"/>
              </w:rPr>
              <w:t>Wahlrecht in den USA</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93" w14:textId="77777777" w:rsidR="00C1548D" w:rsidRDefault="009B1B4B">
            <w:pPr>
              <w:spacing w:line="250" w:lineRule="auto"/>
            </w:pPr>
            <w:r>
              <w:rPr>
                <w:sz w:val="18"/>
                <w:szCs w:val="18"/>
              </w:rPr>
              <w:t>Ausstieg kostet 450 $ Gebühr, Formalitäten und ggf. Exit Tax</w:t>
            </w:r>
          </w:p>
        </w:tc>
      </w:tr>
      <w:tr w:rsidR="00C1548D" w14:paraId="70A4ED9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95" w14:textId="77777777" w:rsidR="00C1548D" w:rsidRDefault="009B1B4B">
            <w:pPr>
              <w:spacing w:line="250" w:lineRule="auto"/>
            </w:pPr>
            <w:r>
              <w:rPr>
                <w:sz w:val="18"/>
                <w:szCs w:val="18"/>
              </w:rPr>
              <w:t>Kein I-90 alle zehn Jahre, keine Reentry Permits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96" w14:textId="77777777" w:rsidR="00C1548D" w:rsidRDefault="009B1B4B">
            <w:pPr>
              <w:spacing w:line="250" w:lineRule="auto"/>
            </w:pPr>
            <w:r>
              <w:rPr>
                <w:sz w:val="18"/>
                <w:szCs w:val="18"/>
              </w:rPr>
              <w:t>Strengere Prüfung: Civics Test, Nachbarschaftsermittlungen, 8–17,5 Monate Wartezeit</w:t>
            </w:r>
          </w:p>
        </w:tc>
      </w:tr>
      <w:tr w:rsidR="00C1548D" w14:paraId="70A4ED9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98" w14:textId="77777777" w:rsidR="00C1548D" w:rsidRDefault="009B1B4B">
            <w:pPr>
              <w:spacing w:line="250" w:lineRule="auto"/>
            </w:pPr>
            <w:r>
              <w:rPr>
                <w:sz w:val="18"/>
                <w:szCs w:val="18"/>
              </w:rPr>
              <w:t>Eltern und Geschwister nachholen (mit Wartezeit)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99" w14:textId="77777777" w:rsidR="00C1548D" w:rsidRDefault="009B1B4B">
            <w:pPr>
              <w:spacing w:line="250" w:lineRule="auto"/>
            </w:pPr>
            <w:r>
              <w:rPr>
                <w:sz w:val="18"/>
                <w:szCs w:val="18"/>
              </w:rPr>
              <w:t>Geschworenendienst und Selective Service für Männer</w:t>
            </w:r>
          </w:p>
        </w:tc>
      </w:tr>
      <w:tr w:rsidR="00C1548D" w14:paraId="70A4ED9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9B" w14:textId="77777777" w:rsidR="00C1548D" w:rsidRDefault="009B1B4B">
            <w:pPr>
              <w:spacing w:line="250" w:lineRule="auto"/>
            </w:pPr>
            <w:r>
              <w:rPr>
                <w:sz w:val="18"/>
                <w:szCs w:val="18"/>
              </w:rPr>
              <w:t>Kinder werden automatisch Bürger, Pass für die ganze Familie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9C" w14:textId="77777777" w:rsidR="00C1548D" w:rsidRDefault="009B1B4B">
            <w:pPr>
              <w:spacing w:line="250" w:lineRule="auto"/>
            </w:pPr>
            <w:r>
              <w:rPr>
                <w:sz w:val="18"/>
                <w:szCs w:val="18"/>
              </w:rPr>
              <w:t>Entzug möglich bei Betrug im Verfahren (selten, aber priorisiert)</w:t>
            </w:r>
          </w:p>
        </w:tc>
      </w:tr>
      <w:tr w:rsidR="00C1548D" w14:paraId="70A4EDA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9E" w14:textId="77777777" w:rsidR="00C1548D" w:rsidRDefault="009B1B4B">
            <w:pPr>
              <w:spacing w:line="250" w:lineRule="auto"/>
            </w:pPr>
            <w:r>
              <w:rPr>
                <w:sz w:val="18"/>
                <w:szCs w:val="18"/>
              </w:rPr>
              <w:t>Deutscher Pass bleibt erhalten (seit 27. Juni 2024)</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9F" w14:textId="77777777" w:rsidR="00C1548D" w:rsidRDefault="009B1B4B">
            <w:pPr>
              <w:spacing w:line="250" w:lineRule="auto"/>
            </w:pPr>
            <w:r>
              <w:rPr>
                <w:sz w:val="18"/>
                <w:szCs w:val="18"/>
              </w:rPr>
              <w:t>Zwei Pässe, zwei Verwaltungen, zwei Fristenkalender</w:t>
            </w:r>
          </w:p>
        </w:tc>
      </w:tr>
    </w:tbl>
    <w:p w14:paraId="70A4EDA1" w14:textId="77777777" w:rsidR="00C1548D" w:rsidRDefault="00C1548D">
      <w:pPr>
        <w:spacing w:line="180" w:lineRule="exact"/>
      </w:pPr>
    </w:p>
    <w:p w14:paraId="70A4EDA2"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DA3" w14:textId="1CA814BA" w:rsidR="00C1548D" w:rsidRDefault="009B1B4B">
      <w:pPr>
        <w:spacing w:after="140"/>
      </w:pPr>
      <w:r>
        <w:t>Beantworte vor dem Antrag drei Fragen. Erstens: Wo willst du in zehn Jahren leben? Bleibst du sicher, überwiegen Wahlrecht und gesicherter Aufenthalt; ist eine Rückkehr denkbar, rechne vorher Steuerpflicht und Exit Tax durch (Kapitel </w:t>
      </w:r>
      <w:hyperlink w:anchor="k42" w:history="1">
        <w:r>
          <w:t>42</w:t>
        </w:r>
      </w:hyperlink>
      <w:r>
        <w:t xml:space="preserve">). Zweitens: Wie oft und </w:t>
      </w:r>
      <w:r>
        <w:lastRenderedPageBreak/>
        <w:t>wie lange bist du in Deutschland? Mit dem US-Pass entfallen alle Abwesenheitsregeln. Drittens: Ist deine Akte sauber, also Reisedaten, Steuererklärungen, Adressen und mögliche Vorfälle? Wenn nicht, sprich vor dem Antrag mit einem Einwanderungsanwalt.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AF"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DA4" w14:textId="77777777" w:rsidR="00C1548D" w:rsidRDefault="009B1B4B">
            <w:pPr>
              <w:keepNext/>
              <w:spacing w:after="70" w:line="240" w:lineRule="auto"/>
            </w:pPr>
            <w:r>
              <w:rPr>
                <w:b/>
                <w:bCs/>
                <w:color w:val="1F6F78"/>
                <w:spacing w:val="24"/>
                <w:sz w:val="16"/>
                <w:szCs w:val="16"/>
              </w:rPr>
              <w:t>CHECKLISTE</w:t>
            </w:r>
          </w:p>
          <w:p w14:paraId="70A4EDA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 xml:space="preserve">Datum </w:t>
            </w:r>
            <w:r>
              <w:rPr>
                <w:i/>
                <w:iCs/>
                <w:sz w:val="20"/>
                <w:szCs w:val="20"/>
              </w:rPr>
              <w:t>Resident Since</w:t>
            </w:r>
            <w:r>
              <w:rPr>
                <w:sz w:val="20"/>
                <w:szCs w:val="20"/>
              </w:rPr>
              <w:t xml:space="preserve"> auf der Green Card notieren und den frühesten Antragstermin berechnen (90 Tage vor Ablauf der Frist).</w:t>
            </w:r>
          </w:p>
          <w:p w14:paraId="70A4EDA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Reiseprotokoll aller Ein- und Ausreisen führen; Abwesenheiten über sechs Monate markieren.</w:t>
            </w:r>
          </w:p>
          <w:p w14:paraId="70A4EDA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Steuererklärungen der letzten fünf Jahre lückenlos ablegen; nie als Nichteinwanderer erklären.</w:t>
            </w:r>
          </w:p>
          <w:p w14:paraId="70A4EDA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Festnahmen, Anzeigen oder Verkehrsdelikte vor dem Antrag mit einem Einwanderungsanwalt klären.</w:t>
            </w:r>
          </w:p>
          <w:p w14:paraId="70A4EDA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Die 128 Fragen des Staatskundetests von uscis.gov/citizenship lernen und Englisch üben.</w:t>
            </w:r>
          </w:p>
          <w:p w14:paraId="70A4EDA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Leumundsschreiben von US-Bürgern außerhalb der Familie sammeln (Nachbarschaftsermittlung).</w:t>
            </w:r>
          </w:p>
          <w:p w14:paraId="70A4EDA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möglicher Rückkehr vorab mit einer Steuerfachperson die Exit-Tax-Werte durchrechnen.</w:t>
            </w:r>
          </w:p>
          <w:p w14:paraId="70A4EDA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Geburten im Ausland innerhalb eines Jahres beim deutschen Konsulat zur Beurkundung anmelden.</w:t>
            </w:r>
          </w:p>
          <w:p w14:paraId="70A4EDA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Deutschen und US-Pass sowie die Pässe der Kinder rechtzeitig auf Gültigkeit prüfen.</w:t>
            </w:r>
          </w:p>
          <w:p w14:paraId="70A4EDA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der Bundestagswahl den Antrag auf Eintragung ins Wählerverzeichnis stellen (spätestens 21 Tage vorher).</w:t>
            </w:r>
          </w:p>
        </w:tc>
      </w:tr>
    </w:tbl>
    <w:p w14:paraId="70A4EDB0" w14:textId="77777777" w:rsidR="00C1548D" w:rsidRDefault="00C1548D">
      <w:pPr>
        <w:spacing w:line="220" w:lineRule="exact"/>
      </w:pPr>
    </w:p>
    <w:p w14:paraId="70A4EDB1"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DB2" w14:textId="496F3D99" w:rsidR="00C1548D" w:rsidRDefault="009B1B4B" w:rsidP="009B1B4B">
      <w:pPr>
        <w:pStyle w:val="ListParagraph"/>
        <w:numPr>
          <w:ilvl w:val="0"/>
          <w:numId w:val="1"/>
        </w:numPr>
        <w:spacing w:after="60"/>
      </w:pPr>
      <w:r>
        <w:t>USCIS — Einbürgerung, N-400, Staatskundetest, Gebühren (</w:t>
      </w:r>
      <w:hyperlink r:id="rId353" w:history="1">
        <w:r>
          <w:rPr>
            <w:color w:val="0563C1"/>
            <w:u w:val="single"/>
          </w:rPr>
          <w:t>uscis.gov/n-400</w:t>
        </w:r>
      </w:hyperlink>
      <w:r>
        <w:t xml:space="preserve">, </w:t>
      </w:r>
      <w:hyperlink r:id="rId354" w:history="1">
        <w:r>
          <w:rPr>
            <w:color w:val="0563C1"/>
            <w:u w:val="single"/>
          </w:rPr>
          <w:t>uscis.gov/citizenship</w:t>
        </w:r>
      </w:hyperlink>
      <w:r>
        <w:t xml:space="preserve">, </w:t>
      </w:r>
      <w:hyperlink r:id="rId355" w:history="1">
        <w:r>
          <w:rPr>
            <w:color w:val="0563C1"/>
            <w:u w:val="single"/>
          </w:rPr>
          <w:t>uscis.gov/g-1055</w:t>
        </w:r>
      </w:hyperlink>
      <w:r>
        <w:t>)</w:t>
      </w:r>
    </w:p>
    <w:p w14:paraId="70A4EDB3" w14:textId="10BB9FC8" w:rsidR="00C1548D" w:rsidRDefault="009B1B4B" w:rsidP="009B1B4B">
      <w:pPr>
        <w:pStyle w:val="ListParagraph"/>
        <w:numPr>
          <w:ilvl w:val="0"/>
          <w:numId w:val="1"/>
        </w:numPr>
        <w:spacing w:after="60"/>
      </w:pPr>
      <w:r>
        <w:t>USCIS — Bearbeitungszeiten (</w:t>
      </w:r>
      <w:hyperlink r:id="rId356" w:history="1">
        <w:r>
          <w:rPr>
            <w:color w:val="0563C1"/>
            <w:u w:val="single"/>
          </w:rPr>
          <w:t>egov.uscis.gov/processing-times</w:t>
        </w:r>
      </w:hyperlink>
      <w:r>
        <w:t>)</w:t>
      </w:r>
    </w:p>
    <w:p w14:paraId="70A4EDB4" w14:textId="19C44665" w:rsidR="00C1548D" w:rsidRDefault="009B1B4B" w:rsidP="009B1B4B">
      <w:pPr>
        <w:pStyle w:val="ListParagraph"/>
        <w:numPr>
          <w:ilvl w:val="0"/>
          <w:numId w:val="1"/>
        </w:numPr>
        <w:spacing w:after="60"/>
      </w:pPr>
      <w:r>
        <w:t>State Department — Verzicht auf die US-Staatsbürgerschaft, Geburt im Ausland (</w:t>
      </w:r>
      <w:hyperlink r:id="rId357" w:history="1">
        <w:r>
          <w:rPr>
            <w:color w:val="0563C1"/>
            <w:u w:val="single"/>
          </w:rPr>
          <w:t>travel.state.gov</w:t>
        </w:r>
      </w:hyperlink>
      <w:r>
        <w:t>)</w:t>
      </w:r>
    </w:p>
    <w:p w14:paraId="70A4EDB5" w14:textId="73D3CABF" w:rsidR="00C1548D" w:rsidRDefault="009B1B4B" w:rsidP="009B1B4B">
      <w:pPr>
        <w:pStyle w:val="ListParagraph"/>
        <w:numPr>
          <w:ilvl w:val="0"/>
          <w:numId w:val="1"/>
        </w:numPr>
        <w:spacing w:after="60"/>
      </w:pPr>
      <w:r>
        <w:lastRenderedPageBreak/>
        <w:t>IRS — Expatriation Tax (</w:t>
      </w:r>
      <w:hyperlink r:id="rId358" w:history="1">
        <w:r>
          <w:rPr>
            <w:color w:val="0563C1"/>
            <w:u w:val="single"/>
          </w:rPr>
          <w:t>irs.gov/individuals/international-taxpayers/expatriation-tax</w:t>
        </w:r>
      </w:hyperlink>
      <w:r>
        <w:t>)</w:t>
      </w:r>
    </w:p>
    <w:p w14:paraId="70A4EDB6" w14:textId="27CC8C43" w:rsidR="00C1548D" w:rsidRDefault="009B1B4B" w:rsidP="009B1B4B">
      <w:pPr>
        <w:pStyle w:val="ListParagraph"/>
        <w:numPr>
          <w:ilvl w:val="0"/>
          <w:numId w:val="1"/>
        </w:numPr>
        <w:spacing w:after="60"/>
      </w:pPr>
      <w:r>
        <w:t>Bundesverwaltungsamt — Mehrstaatigkeit und Beibehaltung (</w:t>
      </w:r>
      <w:hyperlink r:id="rId359" w:history="1">
        <w:r>
          <w:rPr>
            <w:color w:val="0563C1"/>
            <w:u w:val="single"/>
          </w:rPr>
          <w:t>bva.bund.de</w:t>
        </w:r>
      </w:hyperlink>
      <w:r>
        <w:t>)</w:t>
      </w:r>
    </w:p>
    <w:p w14:paraId="70A4EDB7" w14:textId="09F9D286" w:rsidR="00C1548D" w:rsidRDefault="009B1B4B" w:rsidP="009B1B4B">
      <w:pPr>
        <w:pStyle w:val="ListParagraph"/>
        <w:numPr>
          <w:ilvl w:val="0"/>
          <w:numId w:val="1"/>
        </w:numPr>
        <w:spacing w:after="60"/>
      </w:pPr>
      <w:r>
        <w:t>Deutsche Auslandsvertretungen — Staatsangehörigkeit, Geburtsbeurkundung, Wahlen (</w:t>
      </w:r>
      <w:hyperlink r:id="rId360" w:history="1">
        <w:r>
          <w:rPr>
            <w:color w:val="0563C1"/>
            <w:u w:val="single"/>
          </w:rPr>
          <w:t>germany.info/us-en</w:t>
        </w:r>
      </w:hyperlink>
      <w:r>
        <w:t>)</w:t>
      </w:r>
    </w:p>
    <w:p w14:paraId="70A4EDB8" w14:textId="46851E15" w:rsidR="00C1548D" w:rsidRDefault="009B1B4B" w:rsidP="009B1B4B">
      <w:pPr>
        <w:pStyle w:val="ListParagraph"/>
        <w:numPr>
          <w:ilvl w:val="0"/>
          <w:numId w:val="1"/>
        </w:numPr>
        <w:spacing w:after="60"/>
      </w:pPr>
      <w:r>
        <w:t>Bundeswahlleiterin — Wählen aus dem Ausland (</w:t>
      </w:r>
      <w:hyperlink r:id="rId361" w:history="1">
        <w:r>
          <w:rPr>
            <w:color w:val="0563C1"/>
            <w:u w:val="single"/>
          </w:rPr>
          <w:t>bundeswahlleiterin.de</w:t>
        </w:r>
      </w:hyperlink>
      <w:r>
        <w:t>)</w:t>
      </w:r>
    </w:p>
    <w:p w14:paraId="70A4EDB9" w14:textId="58A9704C" w:rsidR="00C1548D" w:rsidRDefault="009B1B4B" w:rsidP="009B1B4B">
      <w:pPr>
        <w:pStyle w:val="ListParagraph"/>
        <w:numPr>
          <w:ilvl w:val="0"/>
          <w:numId w:val="1"/>
        </w:numPr>
        <w:spacing w:after="60"/>
      </w:pPr>
      <w:r>
        <w:t>Oberster Gerichtshof — Trump v. Barbara (</w:t>
      </w:r>
      <w:hyperlink r:id="rId362" w:history="1">
        <w:r>
          <w:rPr>
            <w:color w:val="0563C1"/>
            <w:u w:val="single"/>
          </w:rPr>
          <w:t>supremecourt.gov/opinions/25pdf/25-365_4hdj.pdf</w:t>
        </w:r>
      </w:hyperlink>
      <w:r>
        <w:t>)</w:t>
      </w:r>
    </w:p>
    <w:p w14:paraId="70A4EDBA"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BD"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DBB" w14:textId="77777777" w:rsidR="00C1548D" w:rsidRDefault="009B1B4B">
            <w:pPr>
              <w:keepNext/>
              <w:spacing w:after="70" w:line="240" w:lineRule="auto"/>
            </w:pPr>
            <w:r>
              <w:rPr>
                <w:b/>
                <w:bCs/>
                <w:color w:val="6B7280"/>
                <w:spacing w:val="24"/>
                <w:sz w:val="16"/>
                <w:szCs w:val="16"/>
              </w:rPr>
              <w:t>STAND</w:t>
            </w:r>
          </w:p>
          <w:p w14:paraId="70A4EDBC" w14:textId="77777777" w:rsidR="00C1548D" w:rsidRDefault="009B1B4B">
            <w:pPr>
              <w:spacing w:after="80" w:line="264" w:lineRule="auto"/>
            </w:pPr>
            <w:r>
              <w:rPr>
                <w:sz w:val="20"/>
                <w:szCs w:val="20"/>
              </w:rPr>
              <w:t>September 2026 (Schreibdatum 20. September 2026). Schnell ändern sich USCIS-Gebühren und Bearbeitungszeiten, die Vorgaben zu Staatskundetest, Charakterprüfung und Nachbarschaftsermittlungen, die Exit-Tax-Werte (jährlich neu festgesetzt; 2026: 211.000 $ und 910.000 $), die Verzichtsgebühr (450 $ seit 13. April 2026), die Verfahren um die Executive Orders vom 6. August 2026 zur Geburtsstaatsbürgerschaft und der Start von ETIAS. Prüfe vor jedem Schritt die offiziellen Seiten.</w:t>
            </w:r>
          </w:p>
        </w:tc>
      </w:tr>
    </w:tbl>
    <w:p w14:paraId="70A4EDBE" w14:textId="77777777" w:rsidR="00C1548D" w:rsidRDefault="00C1548D">
      <w:pPr>
        <w:spacing w:line="220" w:lineRule="exact"/>
      </w:pPr>
    </w:p>
    <w:p w14:paraId="70A4EDBF" w14:textId="77777777" w:rsidR="00C1548D" w:rsidRDefault="009B1B4B">
      <w:pPr>
        <w:pStyle w:val="Heading2"/>
        <w:keepNext/>
        <w:pageBreakBefore/>
        <w:jc w:val="center"/>
      </w:pPr>
      <w:bookmarkStart w:id="99" w:name="k42"/>
      <w:bookmarkStart w:id="100" w:name="_Toc241352500"/>
      <w:r>
        <w:rPr>
          <w:rFonts w:ascii="Amazon Ember" w:eastAsia="Amazon Ember" w:hAnsi="Amazon Ember" w:cs="Amazon Ember"/>
          <w:color w:val="0000FF"/>
          <w:sz w:val="36"/>
          <w:szCs w:val="36"/>
        </w:rPr>
        <w:lastRenderedPageBreak/>
        <w:t>Kapitel 42: Plan B: Die Rückkehr nach Deutschland</w:t>
      </w:r>
      <w:bookmarkEnd w:id="99"/>
      <w:bookmarkEnd w:id="100"/>
    </w:p>
    <w:p w14:paraId="70A4EDC0" w14:textId="77777777" w:rsidR="00C1548D" w:rsidRDefault="009B1B4B">
      <w:pPr>
        <w:spacing w:after="140"/>
      </w:pPr>
      <w:r>
        <w:t>Irgendwann am Küchentisch in Phoenix, Seattle oder Detroit fällt der Satz zum ersten Mal offen aus: „Sollen wir zurück?“ Mal ist der Auslöser ein Stellenabbau, mal ein pflegebedürftiger Elternteil in Deutschland, mal einfach das leise Gefühl, dass dieses Leben nie ganz das eigene geworden ist. Wer sich diese Frage stellt, braucht keinen Plan für ein Scheitern, sondern einen Umzugsplan – und der ist an einigen Stellen komplizierter als der erste, weil zwei Steuersysteme, zwei Sozialversicherungen und oft auc</w:t>
      </w:r>
      <w:r>
        <w:t>h zwei Kinder-Lebensläufe zusammenlaufen.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C7"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DC1" w14:textId="77777777" w:rsidR="00C1548D" w:rsidRDefault="009B1B4B">
            <w:pPr>
              <w:keepNext/>
              <w:spacing w:after="70" w:line="240" w:lineRule="auto"/>
            </w:pPr>
            <w:r>
              <w:rPr>
                <w:b/>
                <w:bCs/>
                <w:color w:val="1F3A5F"/>
                <w:spacing w:val="24"/>
                <w:sz w:val="16"/>
                <w:szCs w:val="16"/>
              </w:rPr>
              <w:t>KURZ GESAGT</w:t>
            </w:r>
          </w:p>
          <w:p w14:paraId="70A4EDC2" w14:textId="77777777" w:rsidR="00C1548D" w:rsidRDefault="009B1B4B" w:rsidP="009B1B4B">
            <w:pPr>
              <w:pStyle w:val="ListParagraph"/>
              <w:numPr>
                <w:ilvl w:val="0"/>
                <w:numId w:val="1"/>
              </w:numPr>
              <w:spacing w:after="50" w:line="264" w:lineRule="auto"/>
            </w:pPr>
            <w:r>
              <w:rPr>
                <w:sz w:val="20"/>
                <w:szCs w:val="20"/>
              </w:rPr>
              <w:t>Eine Rückkehr ist normal: Verträge enden, Firmen bauen ab, Familien verändern sich. Sie ist kein Beleg dafür, dass die Auswanderung falsch war.</w:t>
            </w:r>
          </w:p>
          <w:p w14:paraId="70A4EDC3" w14:textId="77777777" w:rsidR="00C1548D" w:rsidRDefault="009B1B4B" w:rsidP="009B1B4B">
            <w:pPr>
              <w:pStyle w:val="ListParagraph"/>
              <w:numPr>
                <w:ilvl w:val="0"/>
                <w:numId w:val="1"/>
              </w:numPr>
              <w:spacing w:after="50" w:line="264" w:lineRule="auto"/>
            </w:pPr>
            <w:r>
              <w:rPr>
                <w:sz w:val="20"/>
                <w:szCs w:val="20"/>
              </w:rPr>
              <w:t>Krankenversicherung, letzte US-Steuererklärung und der Umgang mit der Green Card brauchen drei bis sechs Monate Vorlauf.</w:t>
            </w:r>
          </w:p>
          <w:p w14:paraId="70A4EDC4" w14:textId="77777777" w:rsidR="00C1548D" w:rsidRDefault="009B1B4B" w:rsidP="009B1B4B">
            <w:pPr>
              <w:pStyle w:val="ListParagraph"/>
              <w:numPr>
                <w:ilvl w:val="0"/>
                <w:numId w:val="1"/>
              </w:numPr>
              <w:spacing w:after="50" w:line="264" w:lineRule="auto"/>
            </w:pPr>
            <w:r>
              <w:rPr>
                <w:sz w:val="20"/>
                <w:szCs w:val="20"/>
              </w:rPr>
              <w:t>Wer die Green Card acht Jahre oder länger hatte, muss die Exit Tax prüfen (lassen); bei kürzerer Zeit betrifft sie dich in aller Regel nicht.</w:t>
            </w:r>
          </w:p>
          <w:p w14:paraId="70A4EDC5" w14:textId="77777777" w:rsidR="00C1548D" w:rsidRDefault="009B1B4B" w:rsidP="009B1B4B">
            <w:pPr>
              <w:pStyle w:val="ListParagraph"/>
              <w:numPr>
                <w:ilvl w:val="0"/>
                <w:numId w:val="1"/>
              </w:numPr>
              <w:spacing w:after="50" w:line="264" w:lineRule="auto"/>
            </w:pPr>
            <w:r>
              <w:rPr>
                <w:sz w:val="20"/>
                <w:szCs w:val="20"/>
              </w:rPr>
              <w:t>Krankenversicherung, Wohnungssuche und Bankkonto ohne aktuelle Schufa-Historie sind die am meisten unterschätzten Themen der Rückkehr.</w:t>
            </w:r>
          </w:p>
          <w:p w14:paraId="70A4EDC6" w14:textId="77777777" w:rsidR="00C1548D" w:rsidRDefault="009B1B4B" w:rsidP="009B1B4B">
            <w:pPr>
              <w:pStyle w:val="ListParagraph"/>
              <w:numPr>
                <w:ilvl w:val="0"/>
                <w:numId w:val="1"/>
              </w:numPr>
              <w:spacing w:after="50" w:line="264" w:lineRule="auto"/>
            </w:pPr>
            <w:r>
              <w:rPr>
                <w:sz w:val="20"/>
                <w:szCs w:val="20"/>
              </w:rPr>
              <w:t>Der umgekehrte Kulturschock trifft viele härter als erwartet: Man rechnet nicht damit, sich in der eigenen Heimat fremd zu fühlen.</w:t>
            </w:r>
          </w:p>
        </w:tc>
      </w:tr>
    </w:tbl>
    <w:p w14:paraId="70A4EDC8" w14:textId="77777777" w:rsidR="00C1548D" w:rsidRDefault="00C1548D">
      <w:pPr>
        <w:spacing w:line="220" w:lineRule="exact"/>
      </w:pPr>
    </w:p>
    <w:p w14:paraId="70A4EDC9" w14:textId="77777777" w:rsidR="00C1548D" w:rsidRDefault="009B1B4B">
      <w:pPr>
        <w:pStyle w:val="Heading3"/>
        <w:keepNext/>
        <w:jc w:val="center"/>
      </w:pPr>
      <w:r>
        <w:rPr>
          <w:rFonts w:ascii="Amazon Ember" w:eastAsia="Amazon Ember" w:hAnsi="Amazon Ember" w:cs="Amazon Ember"/>
          <w:color w:val="0000FF"/>
          <w:sz w:val="36"/>
          <w:szCs w:val="36"/>
        </w:rPr>
        <w:t>Warum eine Rückkehr kein Scheitern ist</w:t>
      </w:r>
    </w:p>
    <w:p w14:paraId="70A4EDCA" w14:textId="52F20C95" w:rsidR="00C1548D" w:rsidRDefault="009B1B4B">
      <w:pPr>
        <w:spacing w:after="140"/>
      </w:pPr>
      <w:r>
        <w:t xml:space="preserve">Verbreiteter Irrtum: Wer zurückkehrt, habe irgendwie versagt. Tatsächlich ist Auswanderung selten eine Einbahnstraße fürs Leben, </w:t>
      </w:r>
      <w:r>
        <w:lastRenderedPageBreak/>
        <w:t>sie ist eine Entscheidung für eine Lebensphase. Der Arbeitgeber ruft den Sponsor zurück, der Green-Card-Prozess dauert länger als geplant (Kapitel </w:t>
      </w:r>
      <w:hyperlink w:anchor="k6" w:history="1">
        <w:r>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w14:paraId="70A4EDCB" w14:textId="77777777" w:rsidR="00C1548D" w:rsidRDefault="009B1B4B">
      <w:pPr>
        <w:pStyle w:val="Heading3"/>
        <w:keepNext/>
        <w:jc w:val="center"/>
      </w:pPr>
      <w:r>
        <w:rPr>
          <w:rFonts w:ascii="Amazon Ember" w:eastAsia="Amazon Ember" w:hAnsi="Amazon Ember" w:cs="Amazon Ember"/>
          <w:color w:val="0000FF"/>
          <w:sz w:val="36"/>
          <w:szCs w:val="36"/>
        </w:rPr>
        <w:t>Die Signale erkennen und die Entscheidung treffen</w:t>
      </w:r>
    </w:p>
    <w:p w14:paraId="70A4EDCC" w14:textId="5120223D" w:rsidR="00C1548D" w:rsidRDefault="009B1B4B">
      <w:pPr>
        <w:spacing w:after="140"/>
      </w:pPr>
      <w:r>
        <w:t xml:space="preserve">Typische Auslöser: ein </w:t>
      </w:r>
      <w:r>
        <w:rPr>
          <w:i/>
          <w:iCs/>
        </w:rPr>
        <w:t>Layoff</w:t>
      </w:r>
      <w:r>
        <w:t xml:space="preserve"> (Stellenabbau) ohne neue Sponsoring-Option binnen der 60-Tage-Frist (Kapitel </w:t>
      </w:r>
      <w:hyperlink w:anchor="k30" w:history="1">
        <w:r>
          <w:t>30</w:t>
        </w:r>
      </w:hyperlink>
      <w:r>
        <w:t>), ein H-1B-Verlängerungsantrag, der abgelehnt wird, ein Green-Card-Verfahren, das sich um Jahre verzögert, eine Scheidung oder Trennung, finanzielle Rechnungen, die in den USA nicht mehr aufgehen (Kapitel </w:t>
      </w:r>
      <w:hyperlink w:anchor="k3" w:history="1">
        <w:r>
          <w:t>3</w:t>
        </w:r>
      </w:hyperlink>
      <w:r>
        <w:t>), oder familiäre Gründe, die keinen Zahlenbeweis brauchen. Sprich die Entscheidung offen mit Partner und Kindern durch, bevor Fristen dich treiben.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DC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DCD" w14:textId="77777777" w:rsidR="00C1548D" w:rsidRDefault="009B1B4B">
            <w:pPr>
              <w:keepNext/>
              <w:spacing w:after="70" w:line="240" w:lineRule="auto"/>
            </w:pPr>
            <w:r>
              <w:rPr>
                <w:b/>
                <w:bCs/>
                <w:color w:val="9B2C2C"/>
                <w:spacing w:val="24"/>
                <w:sz w:val="16"/>
                <w:szCs w:val="16"/>
              </w:rPr>
              <w:t>ACHTUNG</w:t>
            </w:r>
          </w:p>
          <w:p w14:paraId="70A4EDCE" w14:textId="77777777" w:rsidR="00C1548D" w:rsidRDefault="009B1B4B">
            <w:pPr>
              <w:spacing w:after="80" w:line="264" w:lineRule="auto"/>
            </w:pPr>
            <w:r>
              <w:rPr>
                <w:sz w:val="20"/>
                <w:szCs w:val="20"/>
              </w:rPr>
              <w:t>Triff die Grundsatzentscheidung nicht unter dem Druck einer laufenden Frist. Wer erst nach der Kündigung anfängt, Krankenversicherung, Steuern und Green-Card-Status zu klären, zahlt fast immer mehr und hat weniger Auswahl.</w:t>
            </w:r>
          </w:p>
        </w:tc>
      </w:tr>
    </w:tbl>
    <w:p w14:paraId="70A4EDD0" w14:textId="77777777" w:rsidR="00C1548D" w:rsidRDefault="00C1548D">
      <w:pPr>
        <w:spacing w:line="220" w:lineRule="exact"/>
      </w:pPr>
    </w:p>
    <w:p w14:paraId="70A4EDD1" w14:textId="77777777" w:rsidR="00C1548D" w:rsidRDefault="009B1B4B">
      <w:pPr>
        <w:pStyle w:val="Heading3"/>
        <w:keepNext/>
        <w:jc w:val="center"/>
      </w:pPr>
      <w:r>
        <w:rPr>
          <w:rFonts w:ascii="Amazon Ember" w:eastAsia="Amazon Ember" w:hAnsi="Amazon Ember" w:cs="Amazon Ember"/>
          <w:color w:val="0000FF"/>
          <w:sz w:val="36"/>
          <w:szCs w:val="36"/>
        </w:rPr>
        <w:lastRenderedPageBreak/>
        <w:t>Der Zeitplan: von sechs Monaten bis zur Ankunft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596"/>
        <w:gridCol w:w="2934"/>
      </w:tblGrid>
      <w:tr w:rsidR="00C1548D" w14:paraId="70A4EDD5"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DD2" w14:textId="77777777" w:rsidR="00C1548D" w:rsidRDefault="009B1B4B">
            <w:pPr>
              <w:spacing w:line="250" w:lineRule="auto"/>
            </w:pPr>
            <w:r>
              <w:rPr>
                <w:b/>
                <w:bCs/>
                <w:sz w:val="18"/>
                <w:szCs w:val="18"/>
              </w:rPr>
              <w:t>Zeitpunkt</w:t>
            </w:r>
          </w:p>
        </w:tc>
        <w:tc>
          <w:tcPr>
            <w:tcW w:w="259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DD3" w14:textId="77777777" w:rsidR="00C1548D" w:rsidRDefault="009B1B4B">
            <w:pPr>
              <w:spacing w:line="250" w:lineRule="auto"/>
            </w:pPr>
            <w:r>
              <w:rPr>
                <w:b/>
                <w:bCs/>
                <w:sz w:val="18"/>
                <w:szCs w:val="18"/>
              </w:rPr>
              <w:t>Aufgabe</w:t>
            </w:r>
          </w:p>
        </w:tc>
        <w:tc>
          <w:tcPr>
            <w:tcW w:w="293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DD4" w14:textId="77777777" w:rsidR="00C1548D" w:rsidRDefault="009B1B4B">
            <w:pPr>
              <w:spacing w:line="250" w:lineRule="auto"/>
            </w:pPr>
            <w:r>
              <w:rPr>
                <w:b/>
                <w:bCs/>
                <w:sz w:val="18"/>
                <w:szCs w:val="18"/>
              </w:rPr>
              <w:t>Warum</w:t>
            </w:r>
          </w:p>
        </w:tc>
      </w:tr>
      <w:tr w:rsidR="00C1548D" w14:paraId="70A4EDD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D6" w14:textId="77777777" w:rsidR="00C1548D" w:rsidRDefault="009B1B4B">
            <w:pPr>
              <w:spacing w:line="250" w:lineRule="auto"/>
            </w:pPr>
            <w:r>
              <w:rPr>
                <w:sz w:val="18"/>
                <w:szCs w:val="18"/>
              </w:rPr>
              <w:t>T–6 Monate</w:t>
            </w:r>
          </w:p>
        </w:tc>
        <w:tc>
          <w:tcPr>
            <w:tcW w:w="25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D7" w14:textId="77777777" w:rsidR="00C1548D" w:rsidRDefault="009B1B4B">
            <w:pPr>
              <w:spacing w:line="250" w:lineRule="auto"/>
            </w:pPr>
            <w:r>
              <w:rPr>
                <w:sz w:val="18"/>
                <w:szCs w:val="18"/>
              </w:rPr>
              <w:t>Entscheidung mit Familie treffen, Zeitpunkt am deutschen Schuljahr ausrichten</w:t>
            </w:r>
          </w:p>
        </w:tc>
        <w:tc>
          <w:tcPr>
            <w:tcW w:w="29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D8" w14:textId="77777777" w:rsidR="00C1548D" w:rsidRDefault="009B1B4B">
            <w:pPr>
              <w:spacing w:line="250" w:lineRule="auto"/>
            </w:pPr>
            <w:r>
              <w:rPr>
                <w:sz w:val="18"/>
                <w:szCs w:val="18"/>
              </w:rPr>
              <w:t>Schulwechsel im August/September ist deutlich leichter als mitten im Halbjahr</w:t>
            </w:r>
          </w:p>
        </w:tc>
      </w:tr>
      <w:tr w:rsidR="00C1548D" w14:paraId="70A4EDD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DA" w14:textId="77777777" w:rsidR="00C1548D" w:rsidRDefault="009B1B4B">
            <w:pPr>
              <w:spacing w:line="250" w:lineRule="auto"/>
            </w:pPr>
            <w:r>
              <w:rPr>
                <w:sz w:val="18"/>
                <w:szCs w:val="18"/>
              </w:rPr>
              <w:t>T–6 Monate</w:t>
            </w:r>
          </w:p>
        </w:tc>
        <w:tc>
          <w:tcPr>
            <w:tcW w:w="25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DB" w14:textId="77777777" w:rsidR="00C1548D" w:rsidRDefault="009B1B4B">
            <w:pPr>
              <w:spacing w:line="250" w:lineRule="auto"/>
            </w:pPr>
            <w:r>
              <w:rPr>
                <w:sz w:val="18"/>
                <w:szCs w:val="18"/>
              </w:rPr>
              <w:t>GKV-/PKV-Anwartschaft prüfen und ggf. abschließen</w:t>
            </w:r>
          </w:p>
        </w:tc>
        <w:tc>
          <w:tcPr>
            <w:tcW w:w="29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DC" w14:textId="77777777" w:rsidR="00C1548D" w:rsidRDefault="009B1B4B">
            <w:pPr>
              <w:spacing w:line="250" w:lineRule="auto"/>
            </w:pPr>
            <w:r>
              <w:rPr>
                <w:sz w:val="18"/>
                <w:szCs w:val="18"/>
              </w:rPr>
              <w:t>sichert die Rückkehr ohne neue Gesundheitsprüfung</w:t>
            </w:r>
          </w:p>
        </w:tc>
      </w:tr>
      <w:tr w:rsidR="00C1548D" w14:paraId="70A4EDE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DE" w14:textId="77777777" w:rsidR="00C1548D" w:rsidRDefault="009B1B4B">
            <w:pPr>
              <w:spacing w:line="250" w:lineRule="auto"/>
            </w:pPr>
            <w:r>
              <w:rPr>
                <w:sz w:val="18"/>
                <w:szCs w:val="18"/>
              </w:rPr>
              <w:t>T–5 Monate</w:t>
            </w:r>
          </w:p>
        </w:tc>
        <w:tc>
          <w:tcPr>
            <w:tcW w:w="25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DF" w14:textId="77777777" w:rsidR="00C1548D" w:rsidRDefault="009B1B4B">
            <w:pPr>
              <w:spacing w:line="250" w:lineRule="auto"/>
            </w:pPr>
            <w:r>
              <w:rPr>
                <w:sz w:val="18"/>
                <w:szCs w:val="18"/>
              </w:rPr>
              <w:t>Deutsche Rentenversicherung informieren, Green-Card-Weg entscheiden (I-407 oder Reentry Permit)</w:t>
            </w:r>
          </w:p>
        </w:tc>
        <w:tc>
          <w:tcPr>
            <w:tcW w:w="29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0" w14:textId="77777777" w:rsidR="00C1548D" w:rsidRDefault="009B1B4B">
            <w:pPr>
              <w:spacing w:line="250" w:lineRule="auto"/>
            </w:pPr>
            <w:r>
              <w:rPr>
                <w:sz w:val="18"/>
                <w:szCs w:val="18"/>
              </w:rPr>
              <w:t>Vorlauf für Antrag und Biometrie</w:t>
            </w:r>
          </w:p>
        </w:tc>
      </w:tr>
      <w:tr w:rsidR="00C1548D" w14:paraId="70A4EDE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2" w14:textId="77777777" w:rsidR="00C1548D" w:rsidRDefault="009B1B4B">
            <w:pPr>
              <w:spacing w:line="250" w:lineRule="auto"/>
            </w:pPr>
            <w:r>
              <w:rPr>
                <w:sz w:val="18"/>
                <w:szCs w:val="18"/>
              </w:rPr>
              <w:t>T–4 Monate</w:t>
            </w:r>
          </w:p>
        </w:tc>
        <w:tc>
          <w:tcPr>
            <w:tcW w:w="25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3" w14:textId="77777777" w:rsidR="00C1548D" w:rsidRDefault="009B1B4B">
            <w:pPr>
              <w:spacing w:line="250" w:lineRule="auto"/>
            </w:pPr>
            <w:r>
              <w:rPr>
                <w:sz w:val="18"/>
                <w:szCs w:val="18"/>
              </w:rPr>
              <w:t>Haus/Wohnung und Auto in den USA zum Verkauf anbieten</w:t>
            </w:r>
          </w:p>
        </w:tc>
        <w:tc>
          <w:tcPr>
            <w:tcW w:w="29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4" w14:textId="77777777" w:rsidR="00C1548D" w:rsidRDefault="009B1B4B">
            <w:pPr>
              <w:spacing w:line="250" w:lineRule="auto"/>
            </w:pPr>
            <w:r>
              <w:rPr>
                <w:sz w:val="18"/>
                <w:szCs w:val="18"/>
              </w:rPr>
              <w:t>Verkauf als Resident ist steuerlich meist einfacher</w:t>
            </w:r>
          </w:p>
        </w:tc>
      </w:tr>
      <w:tr w:rsidR="00C1548D" w14:paraId="70A4EDE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6" w14:textId="77777777" w:rsidR="00C1548D" w:rsidRDefault="009B1B4B">
            <w:pPr>
              <w:spacing w:line="250" w:lineRule="auto"/>
            </w:pPr>
            <w:r>
              <w:rPr>
                <w:sz w:val="18"/>
                <w:szCs w:val="18"/>
              </w:rPr>
              <w:t>T–3 Monate</w:t>
            </w:r>
          </w:p>
        </w:tc>
        <w:tc>
          <w:tcPr>
            <w:tcW w:w="25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7" w14:textId="77777777" w:rsidR="00C1548D" w:rsidRDefault="009B1B4B">
            <w:pPr>
              <w:spacing w:line="250" w:lineRule="auto"/>
            </w:pPr>
            <w:r>
              <w:rPr>
                <w:sz w:val="18"/>
                <w:szCs w:val="18"/>
              </w:rPr>
              <w:t>Schule/Kita in Deutschland kontaktieren, Zeugnisse übersetzen lassen</w:t>
            </w:r>
          </w:p>
        </w:tc>
        <w:tc>
          <w:tcPr>
            <w:tcW w:w="29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8" w14:textId="77777777" w:rsidR="00C1548D" w:rsidRDefault="009B1B4B">
            <w:pPr>
              <w:spacing w:line="250" w:lineRule="auto"/>
            </w:pPr>
            <w:r>
              <w:rPr>
                <w:sz w:val="18"/>
                <w:szCs w:val="18"/>
              </w:rPr>
              <w:t>Einstufung und Platzvergabe brauchen Vorlauf</w:t>
            </w:r>
          </w:p>
        </w:tc>
      </w:tr>
      <w:tr w:rsidR="00C1548D" w14:paraId="70A4EDE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A" w14:textId="77777777" w:rsidR="00C1548D" w:rsidRDefault="009B1B4B">
            <w:pPr>
              <w:spacing w:line="250" w:lineRule="auto"/>
            </w:pPr>
            <w:r>
              <w:rPr>
                <w:sz w:val="18"/>
                <w:szCs w:val="18"/>
              </w:rPr>
              <w:t>T–2 Monate</w:t>
            </w:r>
          </w:p>
        </w:tc>
        <w:tc>
          <w:tcPr>
            <w:tcW w:w="25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B" w14:textId="7EC52D29" w:rsidR="00C1548D" w:rsidRDefault="009B1B4B">
            <w:pPr>
              <w:spacing w:line="250" w:lineRule="auto"/>
            </w:pPr>
            <w:r>
              <w:rPr>
                <w:sz w:val="18"/>
                <w:szCs w:val="18"/>
              </w:rPr>
              <w:t>Umzugsfirma buchen, Übersiedlungsgut-Liste beginnen (Kapitel </w:t>
            </w:r>
            <w:hyperlink w:anchor="k20" w:history="1">
              <w:r>
                <w:rPr>
                  <w:sz w:val="18"/>
                  <w:szCs w:val="18"/>
                </w:rPr>
                <w:t>20</w:t>
              </w:r>
            </w:hyperlink>
            <w:r>
              <w:rPr>
                <w:sz w:val="18"/>
                <w:szCs w:val="18"/>
              </w:rPr>
              <w:t>)</w:t>
            </w:r>
          </w:p>
        </w:tc>
        <w:tc>
          <w:tcPr>
            <w:tcW w:w="29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C" w14:textId="77777777" w:rsidR="00C1548D" w:rsidRDefault="009B1B4B">
            <w:pPr>
              <w:spacing w:line="250" w:lineRule="auto"/>
            </w:pPr>
            <w:r>
              <w:rPr>
                <w:sz w:val="18"/>
                <w:szCs w:val="18"/>
              </w:rPr>
              <w:t>Zollfreiheit setzt Nachweise voraus</w:t>
            </w:r>
          </w:p>
        </w:tc>
      </w:tr>
      <w:tr w:rsidR="00C1548D" w14:paraId="70A4EDF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E" w14:textId="77777777" w:rsidR="00C1548D" w:rsidRDefault="009B1B4B">
            <w:pPr>
              <w:spacing w:line="250" w:lineRule="auto"/>
            </w:pPr>
            <w:r>
              <w:rPr>
                <w:sz w:val="18"/>
                <w:szCs w:val="18"/>
              </w:rPr>
              <w:t>T–1 Monat</w:t>
            </w:r>
          </w:p>
        </w:tc>
        <w:tc>
          <w:tcPr>
            <w:tcW w:w="25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EF" w14:textId="77777777" w:rsidR="00C1548D" w:rsidRDefault="009B1B4B">
            <w:pPr>
              <w:spacing w:line="250" w:lineRule="auto"/>
            </w:pPr>
            <w:r>
              <w:rPr>
                <w:sz w:val="18"/>
                <w:szCs w:val="18"/>
              </w:rPr>
              <w:t>US-Konten, Verträge, Mietvertrag kündigen; SCHUFA-Auskunft in Deutschland anfordern</w:t>
            </w:r>
          </w:p>
        </w:tc>
        <w:tc>
          <w:tcPr>
            <w:tcW w:w="29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F0" w14:textId="77777777" w:rsidR="00C1548D" w:rsidRDefault="009B1B4B">
            <w:pPr>
              <w:spacing w:line="250" w:lineRule="auto"/>
            </w:pPr>
            <w:r>
              <w:rPr>
                <w:sz w:val="18"/>
                <w:szCs w:val="18"/>
              </w:rPr>
              <w:t>Fristen laufen unabhängig vom Flugdatum</w:t>
            </w:r>
          </w:p>
        </w:tc>
      </w:tr>
      <w:tr w:rsidR="00C1548D" w14:paraId="70A4EDF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F2" w14:textId="77777777" w:rsidR="00C1548D" w:rsidRDefault="009B1B4B">
            <w:pPr>
              <w:spacing w:line="250" w:lineRule="auto"/>
            </w:pPr>
            <w:r>
              <w:rPr>
                <w:sz w:val="18"/>
                <w:szCs w:val="18"/>
              </w:rPr>
              <w:t>Ankunft</w:t>
            </w:r>
          </w:p>
        </w:tc>
        <w:tc>
          <w:tcPr>
            <w:tcW w:w="25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F3" w14:textId="77777777" w:rsidR="00C1548D" w:rsidRDefault="009B1B4B">
            <w:pPr>
              <w:spacing w:line="250" w:lineRule="auto"/>
            </w:pPr>
            <w:r>
              <w:rPr>
                <w:sz w:val="18"/>
                <w:szCs w:val="18"/>
              </w:rPr>
              <w:t>Anmeldung, GKV/PKV aktivieren, Bankkonto reaktivieren, Kinder einschulen</w:t>
            </w:r>
          </w:p>
        </w:tc>
        <w:tc>
          <w:tcPr>
            <w:tcW w:w="29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F4" w14:textId="77777777" w:rsidR="00C1548D" w:rsidRDefault="009B1B4B">
            <w:pPr>
              <w:spacing w:line="250" w:lineRule="auto"/>
            </w:pPr>
            <w:r>
              <w:rPr>
                <w:sz w:val="18"/>
                <w:szCs w:val="18"/>
              </w:rPr>
              <w:t>gesetzliche Fristen beginnen mit dem Einzug</w:t>
            </w:r>
          </w:p>
        </w:tc>
      </w:tr>
      <w:tr w:rsidR="00C1548D" w14:paraId="70A4EDF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F6" w14:textId="77777777" w:rsidR="00C1548D" w:rsidRDefault="009B1B4B">
            <w:pPr>
              <w:spacing w:line="250" w:lineRule="auto"/>
            </w:pPr>
            <w:r>
              <w:rPr>
                <w:sz w:val="18"/>
                <w:szCs w:val="18"/>
              </w:rPr>
              <w:t>Folgejahr</w:t>
            </w:r>
          </w:p>
        </w:tc>
        <w:tc>
          <w:tcPr>
            <w:tcW w:w="25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F7" w14:textId="77777777" w:rsidR="00C1548D" w:rsidRDefault="009B1B4B">
            <w:pPr>
              <w:spacing w:line="250" w:lineRule="auto"/>
            </w:pPr>
            <w:r>
              <w:rPr>
                <w:sz w:val="18"/>
                <w:szCs w:val="18"/>
              </w:rPr>
              <w:t>Letzte US-Steuererklärung einreichen</w:t>
            </w:r>
          </w:p>
        </w:tc>
        <w:tc>
          <w:tcPr>
            <w:tcW w:w="29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DF8" w14:textId="77777777" w:rsidR="00C1548D" w:rsidRDefault="009B1B4B">
            <w:pPr>
              <w:spacing w:line="250" w:lineRule="auto"/>
            </w:pPr>
            <w:r>
              <w:rPr>
                <w:sz w:val="18"/>
                <w:szCs w:val="18"/>
              </w:rPr>
              <w:t>Frist 15. April, mit Verlängerung 15. Oktober</w:t>
            </w:r>
          </w:p>
        </w:tc>
      </w:tr>
    </w:tbl>
    <w:p w14:paraId="70A4EDFA" w14:textId="77777777" w:rsidR="00C1548D" w:rsidRDefault="00C1548D">
      <w:pPr>
        <w:spacing w:line="180" w:lineRule="exact"/>
      </w:pPr>
    </w:p>
    <w:p w14:paraId="70A4EDFB" w14:textId="77777777" w:rsidR="00C1548D" w:rsidRDefault="009B1B4B">
      <w:pPr>
        <w:pStyle w:val="Heading3"/>
        <w:keepNext/>
        <w:jc w:val="center"/>
      </w:pPr>
      <w:r>
        <w:rPr>
          <w:rFonts w:ascii="Amazon Ember" w:eastAsia="Amazon Ember" w:hAnsi="Amazon Ember" w:cs="Amazon Ember"/>
          <w:color w:val="0000FF"/>
          <w:sz w:val="36"/>
          <w:szCs w:val="36"/>
        </w:rPr>
        <w:t>Krankenversicherung: der Weg zurück in GKV oder PKV</w:t>
      </w:r>
    </w:p>
    <w:p w14:paraId="70A4EDFC" w14:textId="77777777" w:rsidR="00C1548D" w:rsidRDefault="009B1B4B">
      <w:pPr>
        <w:spacing w:after="140"/>
      </w:pPr>
      <w:r>
        <w:t xml:space="preserve">Verbreiteter Irrtum: Ohne Anwartschaft komme man nach Jahren in den USA nicht mehr in die gesetzliche Kasse zurück. Für die meisten </w:t>
      </w:r>
      <w:r>
        <w:lastRenderedPageBreak/>
        <w:t xml:space="preserve">Angestellten stimmt das nicht. Wer vor der Auswanderung zuletzt gesetzlich versichert war, seinen Wohnsitz wieder in Deutschland hat und keinen anderen Anspruch auf Absicherung im Krankheitsfall besitzt, wird automatisch wieder pflichtversichert – die </w:t>
      </w:r>
      <w:r>
        <w:rPr>
          <w:i/>
          <w:iCs/>
        </w:rPr>
        <w:t>Auffangversicherung</w:t>
      </w:r>
      <w:r>
        <w:t xml:space="preserve"> nach § 5 Abs. 1 Nr. 13 SGB V. Eine Anwartschaft brauchst du dafür nicht; die Pflichtmitgliedschaft beginnt am ersten Tag ohne Absicherung im Ausland. Das ist der häufigste Fall für Angestellte, die aus den USA zurückkehren.</w:t>
      </w:r>
    </w:p>
    <w:p w14:paraId="70A4EDFD" w14:textId="77777777" w:rsidR="00C1548D" w:rsidRDefault="009B1B4B">
      <w:pPr>
        <w:spacing w:after="140"/>
      </w:pPr>
      <w:r>
        <w:t xml:space="preserve">Drei Gruppen fallen aus dieser einfachen Regel heraus. </w:t>
      </w:r>
      <w:r>
        <w:rPr>
          <w:b/>
          <w:bCs/>
        </w:rPr>
        <w:t>Erstens:</w:t>
      </w:r>
      <w:r>
        <w:t xml:space="preserve"> Wer als Angestellter über der Versicherungspflichtgrenze (Jahresarbeitsentgeltgrenze, 2026: 77.400 €/Jahr) verdient, oder wer hauptberuflich selbständig wird, kommt nicht über Nr. 13 in die GKV, sondern höchstens über eine freiwillige Mitgliedschaft (§ 9 Abs. 1 SGB V) – die setzt in der Regel eine Vorversicherungszeit in den letzten Jahren voraus, die reine US-Jahre nicht erfüllen. </w:t>
      </w:r>
      <w:r>
        <w:rPr>
          <w:b/>
          <w:bCs/>
        </w:rPr>
        <w:t>Zweitens:</w:t>
      </w:r>
      <w:r>
        <w:t xml:space="preserve"> die 55+-Falle. Wer nach dem 55. Geburtstag erstmals wieder versicherungspflichtig würde und in den letzten fünf Jahren nicht gesetzlich versichert war, gilt nach § 6 Abs. 3a SGB V als versicherungsfrei – die GKV-Rückkehr ist dann in der Regel ausgeschlossen. </w:t>
      </w:r>
      <w:r>
        <w:rPr>
          <w:b/>
          <w:bCs/>
        </w:rPr>
        <w:t>Drittens:</w:t>
      </w:r>
      <w:r>
        <w:t xml:space="preserve"> Wer zuletzt privat versichert war, hat keinen Anspruch auf Nr. 13; mit Wohnsitz in Deutschland besteht aber wieder eine Pflicht zur Krankheitskostenversicherung (§ 193 Abs. 3 VVG), notfalls im </w:t>
      </w:r>
      <w:r>
        <w:rPr>
          <w:b/>
          <w:bCs/>
        </w:rPr>
        <w:t>Basistarif</w:t>
      </w:r>
      <w:r>
        <w:t xml:space="preserve"> mit Aufnahmezwang und einem Höchstbeitrag von rund 1.017 €/Monat (2026, ohne Pflegeversicherung).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0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DFE" w14:textId="77777777" w:rsidR="00C1548D" w:rsidRDefault="009B1B4B">
            <w:pPr>
              <w:keepNext/>
              <w:spacing w:after="70" w:line="240" w:lineRule="auto"/>
            </w:pPr>
            <w:r>
              <w:rPr>
                <w:b/>
                <w:bCs/>
                <w:color w:val="9B2C2C"/>
                <w:spacing w:val="24"/>
                <w:sz w:val="16"/>
                <w:szCs w:val="16"/>
              </w:rPr>
              <w:t>ACHTUNG</w:t>
            </w:r>
          </w:p>
          <w:p w14:paraId="70A4EDFF" w14:textId="77777777" w:rsidR="00C1548D" w:rsidRDefault="009B1B4B">
            <w:pPr>
              <w:spacing w:after="80" w:line="264" w:lineRule="auto"/>
            </w:pPr>
            <w:r>
              <w:rPr>
                <w:sz w:val="20"/>
                <w:szCs w:val="20"/>
              </w:rPr>
              <w:t>Meldest du dich später als einen Monat nach der Rückkehr bei einer privaten Krankenversicherung an, kostet jeder weitere Monat ohne Vertrag einen zusätzlichen Monatsbeitrag als Zuschlag, ab dem sechsten Monat ein Sechstel je Monat. Wer über der Versicherungspflichtgrenze verdient, selbständig ist oder mit 55 oder älter zurückkehrt, sollte die Krankenversicherung vor dem Abflug in die USA klären, nicht erst bei der Rückkehr.</w:t>
            </w:r>
          </w:p>
        </w:tc>
      </w:tr>
    </w:tbl>
    <w:p w14:paraId="70A4EE01"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04"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E02" w14:textId="77777777" w:rsidR="00C1548D" w:rsidRDefault="009B1B4B">
            <w:pPr>
              <w:keepNext/>
              <w:spacing w:after="70" w:line="240" w:lineRule="auto"/>
            </w:pPr>
            <w:r>
              <w:rPr>
                <w:b/>
                <w:bCs/>
                <w:color w:val="2F6B3B"/>
                <w:spacing w:val="24"/>
                <w:sz w:val="16"/>
                <w:szCs w:val="16"/>
              </w:rPr>
              <w:lastRenderedPageBreak/>
              <w:t>SPARTIPP</w:t>
            </w:r>
          </w:p>
          <w:p w14:paraId="70A4EE03" w14:textId="77777777" w:rsidR="00C1548D" w:rsidRDefault="009B1B4B">
            <w:pPr>
              <w:spacing w:after="80" w:line="264" w:lineRule="auto"/>
            </w:pPr>
            <w:r>
              <w:rPr>
                <w:sz w:val="20"/>
                <w:szCs w:val="20"/>
              </w:rPr>
              <w:t>Eine Anwartschaftsversicherung, die du vor der Auswanderung bei deiner Kasse abschließt, sichert dir Rückkehr ohne neue Gesundheitsprüfung – bei der PKV üblicherweise für 5–10 % (kleine Anwartschaft) oder 20–45 % (große Anwartschaft, erhält zusätzlich das Eintrittsalter) des vollen Beitrags. Ob und zu welchen Kosten deine gesetzliche Kasse eine Anwartschaft anbietet, ist Kassensache; frag konkret nach.</w:t>
            </w:r>
          </w:p>
        </w:tc>
      </w:tr>
    </w:tbl>
    <w:p w14:paraId="70A4EE05" w14:textId="77777777" w:rsidR="00C1548D" w:rsidRDefault="00C1548D">
      <w:pPr>
        <w:spacing w:line="220" w:lineRule="exact"/>
      </w:pPr>
    </w:p>
    <w:p w14:paraId="70A4EE06" w14:textId="77777777" w:rsidR="00C1548D" w:rsidRDefault="009B1B4B">
      <w:pPr>
        <w:pStyle w:val="Heading3"/>
        <w:keepNext/>
        <w:jc w:val="center"/>
      </w:pPr>
      <w:r>
        <w:rPr>
          <w:rFonts w:ascii="Amazon Ember" w:eastAsia="Amazon Ember" w:hAnsi="Amazon Ember" w:cs="Amazon Ember"/>
          <w:color w:val="0000FF"/>
          <w:sz w:val="36"/>
          <w:szCs w:val="36"/>
        </w:rPr>
        <w:t>US-Steuern beim Verlassen: die letzte Erklärung</w:t>
      </w:r>
    </w:p>
    <w:p w14:paraId="70A4EE07" w14:textId="77777777" w:rsidR="00C1548D" w:rsidRDefault="009B1B4B">
      <w:pPr>
        <w:spacing w:after="140"/>
      </w:pPr>
      <w:r>
        <w:t>Für das Jahr des Wegzugs stellst du meist eine geteilte Erklärung (</w:t>
      </w:r>
      <w:r>
        <w:rPr>
          <w:i/>
          <w:iCs/>
        </w:rPr>
        <w:t>Dual-Status Return</w:t>
      </w:r>
      <w:r>
        <w:t>):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außerhalb der USA und auf Antrag (Form 4868) bis 15. Oktober.</w:t>
      </w:r>
    </w:p>
    <w:p w14:paraId="70A4EE08" w14:textId="75E87E46" w:rsidR="00C1548D" w:rsidRDefault="009B1B4B">
      <w:pPr>
        <w:spacing w:after="140"/>
      </w:pPr>
      <w:r>
        <w:t xml:space="preserve">Für die meisten H-1B- oder L-1-Rückkehrer und für Green-Card-Inhaber mit wenigen Jahren Aufenthalt endet die Steuerpflicht damit. Anders bei einem </w:t>
      </w:r>
      <w:r>
        <w:rPr>
          <w:i/>
          <w:iCs/>
        </w:rPr>
        <w:t>Long-term Resident</w:t>
      </w:r>
      <w:r>
        <w:t xml:space="preserve"> (Green Card in mindestens acht der letzten fünfzehn Steuerjahre): Wer das erfüllt, muss beim Verlassen prüfen, ob er als </w:t>
      </w:r>
      <w:r>
        <w:rPr>
          <w:i/>
          <w:iCs/>
        </w:rPr>
        <w:t>Covered Expatriate</w:t>
      </w:r>
      <w:r>
        <w:t xml:space="preserve"> (steuerlich erfasster Aussteiger) gilt – etwa bei einer durchschnittlichen Einkommensteuer der letzten fünf Jahre über 211.000 $, einem Nettovermögen ab 2 Mio. $ oder fehlendem Nachweis der Steuertreue (Form 8854). Die Mechanik der Exit Tax – fiktiver Verkauf des Vermögens, Freibetrag 910.000 $ (2026) – steht ausführlich in Kapitel </w:t>
      </w:r>
      <w:hyperlink w:anchor="k41" w:history="1">
        <w:r>
          <w:t>41</w:t>
        </w:r>
      </w:hyperlink>
      <w:r>
        <w:t>; sie betrifft nur diese Langzeit-Fälle, nicht die Mehrheit der Rückkehrer.</w:t>
      </w:r>
    </w:p>
    <w:p w14:paraId="70A4EE09" w14:textId="26CA1242" w:rsidR="00C1548D" w:rsidRDefault="009B1B4B">
      <w:pPr>
        <w:spacing w:after="140"/>
      </w:pPr>
      <w:r>
        <w:lastRenderedPageBreak/>
        <w:t>Auf der deutschen Seite entfällt eine bereits ausgelöste Wegzugsteuer für Unternehmensanteile (§ 6 AStG, betrifft Gründer und Gesellschafter mit mindestens 1 % Beteiligung) rückwirkend, wenn du innerhalb von sieben Jahren nach dem Wegzug wieder unbeschränkt steuerpflichtig in Deutschland wirst und die Anteile in der Zwischenzeit weder verkauft noch übertragen hast; eine Verlängerung um bis zu fünf weitere Jahre ist bei glaubhafter Rückkehrabsicht möglich (Kapitel </w:t>
      </w:r>
      <w:hyperlink w:anchor="k17" w:history="1">
        <w:r>
          <w:t>17</w:t>
        </w:r>
      </w:hyperlink>
      <w:r>
        <w:t>). Wer als deutscher Staatsangehöriger zurückkehrt, ist ohnehin bis zu fünf Jahre nach dem ursprünglichen Wegzug weiter unbeschränkt erbschaftsteuerpflichtig gewesen (§ 2 ErbStG) – mit der Rückkehr stellt sich diese Frage ab sofort nicht mehr.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0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E0A" w14:textId="77777777" w:rsidR="00C1548D" w:rsidRDefault="009B1B4B">
            <w:pPr>
              <w:keepNext/>
              <w:spacing w:after="70" w:line="240" w:lineRule="auto"/>
            </w:pPr>
            <w:r>
              <w:rPr>
                <w:b/>
                <w:bCs/>
                <w:color w:val="6B7280"/>
                <w:spacing w:val="24"/>
                <w:sz w:val="16"/>
                <w:szCs w:val="16"/>
              </w:rPr>
              <w:t>KEIN RECHTSRAT</w:t>
            </w:r>
          </w:p>
          <w:p w14:paraId="70A4EE0B" w14:textId="77777777" w:rsidR="00C1548D" w:rsidRDefault="009B1B4B">
            <w:pPr>
              <w:spacing w:after="80" w:line="264" w:lineRule="auto"/>
            </w:pPr>
            <w:r>
              <w:rPr>
                <w:sz w:val="20"/>
                <w:szCs w:val="20"/>
              </w:rPr>
              <w:t>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w:t>
            </w:r>
            <w:r>
              <w:rPr>
                <w:i/>
                <w:iCs/>
                <w:sz w:val="20"/>
                <w:szCs w:val="20"/>
              </w:rPr>
              <w:t>Certified Public Accountant</w:t>
            </w:r>
            <w:r>
              <w:rPr>
                <w:sz w:val="20"/>
                <w:szCs w:val="20"/>
              </w:rPr>
              <w:t xml:space="preserve"> oder </w:t>
            </w:r>
            <w:r>
              <w:rPr>
                <w:i/>
                <w:iCs/>
                <w:sz w:val="20"/>
                <w:szCs w:val="20"/>
              </w:rPr>
              <w:t>Enrolled Agent</w:t>
            </w:r>
            <w:r>
              <w:rPr>
                <w:sz w:val="20"/>
                <w:szCs w:val="20"/>
              </w:rPr>
              <w:t>) und, bei der Green-Card-Frage, mit einem Einwanderungsanwalt.</w:t>
            </w:r>
          </w:p>
        </w:tc>
      </w:tr>
    </w:tbl>
    <w:p w14:paraId="70A4EE0D" w14:textId="77777777" w:rsidR="00C1548D" w:rsidRDefault="00C1548D">
      <w:pPr>
        <w:spacing w:line="220" w:lineRule="exact"/>
      </w:pPr>
    </w:p>
    <w:p w14:paraId="70A4EE0E" w14:textId="77777777" w:rsidR="00C1548D" w:rsidRDefault="009B1B4B">
      <w:pPr>
        <w:pStyle w:val="Heading3"/>
        <w:keepNext/>
        <w:jc w:val="center"/>
      </w:pPr>
      <w:r>
        <w:rPr>
          <w:rFonts w:ascii="Amazon Ember" w:eastAsia="Amazon Ember" w:hAnsi="Amazon Ember" w:cs="Amazon Ember"/>
          <w:color w:val="0000FF"/>
          <w:sz w:val="36"/>
          <w:szCs w:val="36"/>
        </w:rPr>
        <w:t>Green Card aufgeben oder Wiedereinreisegenehmigung</w:t>
      </w:r>
    </w:p>
    <w:p w14:paraId="70A4EE0F" w14:textId="77777777" w:rsidR="00C1548D" w:rsidRDefault="009B1B4B">
      <w:pPr>
        <w:spacing w:after="140"/>
      </w:pPr>
      <w:r>
        <w:t xml:space="preserve">Du musst dich vor der Ausreise entscheiden, wie du mit der Green Card umgehst. </w:t>
      </w:r>
      <w:r>
        <w:rPr>
          <w:b/>
          <w:bCs/>
        </w:rPr>
        <w:t>Endgültig aufgeben</w:t>
      </w:r>
      <w:r>
        <w:t xml:space="preserve"> kannst du sie über Form I-407, kostenlos und freiwillig; damit endet die Aufenthaltsberechtigung und, steuerlich, die Behandlung als US-Resident. </w:t>
      </w:r>
      <w:r>
        <w:rPr>
          <w:b/>
          <w:bCs/>
        </w:rPr>
        <w:t>Offenhalten</w:t>
      </w:r>
      <w:r>
        <w:t xml:space="preserve"> kannst du die Option über eine Wiedereinreisegenehmigung (</w:t>
      </w:r>
      <w:r>
        <w:rPr>
          <w:i/>
          <w:iCs/>
        </w:rPr>
        <w:t>Reentry Permit</w:t>
      </w:r>
      <w:r>
        <w:t xml:space="preserve">, Form I-131, 630 $, gültig bis zu zwei Jahre); sie musst du in den USA mit Biometrie beantragen, bevor du abreist. Der Haken: Solange du die Green Card behältst, bleibst du weltweit US-steuerpflichtig und meldepflichtig (FBAR, Form 8938), auch wenn du </w:t>
      </w:r>
      <w:r>
        <w:lastRenderedPageBreak/>
        <w:t>in Deutschland lebst und arbeitest – die Wiedereinreisegenehmigung schützt nur vor dem Vorwurf, den Wohnsitz endgültig verlegt zu haben, nicht vor der Steuerpflicht.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1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E10" w14:textId="77777777" w:rsidR="00C1548D" w:rsidRDefault="009B1B4B">
            <w:pPr>
              <w:keepNext/>
              <w:spacing w:after="70" w:line="240" w:lineRule="auto"/>
            </w:pPr>
            <w:r>
              <w:rPr>
                <w:b/>
                <w:bCs/>
                <w:color w:val="9B2C2C"/>
                <w:spacing w:val="24"/>
                <w:sz w:val="16"/>
                <w:szCs w:val="16"/>
              </w:rPr>
              <w:t>ACHTUNG</w:t>
            </w:r>
          </w:p>
          <w:p w14:paraId="70A4EE11" w14:textId="6435712F" w:rsidR="00C1548D" w:rsidRDefault="009B1B4B">
            <w:pPr>
              <w:spacing w:after="80" w:line="264" w:lineRule="auto"/>
            </w:pPr>
            <w:r>
              <w:rPr>
                <w:sz w:val="20"/>
                <w:szCs w:val="20"/>
              </w:rPr>
              <w:t>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Kapitel </w:t>
            </w:r>
            <w:hyperlink w:anchor="k41" w:history="1">
              <w:r>
                <w:rPr>
                  <w:sz w:val="20"/>
                  <w:szCs w:val="20"/>
                </w:rPr>
                <w:t>41</w:t>
              </w:r>
            </w:hyperlink>
            <w:r>
              <w:rPr>
                <w:sz w:val="20"/>
                <w:szCs w:val="20"/>
              </w:rPr>
              <w:t>.</w:t>
            </w:r>
          </w:p>
        </w:tc>
      </w:tr>
    </w:tbl>
    <w:p w14:paraId="70A4EE13" w14:textId="77777777" w:rsidR="00C1548D" w:rsidRDefault="00C1548D">
      <w:pPr>
        <w:spacing w:line="220" w:lineRule="exact"/>
      </w:pPr>
    </w:p>
    <w:p w14:paraId="70A4EE14" w14:textId="77777777" w:rsidR="00C1548D" w:rsidRDefault="009B1B4B">
      <w:pPr>
        <w:pStyle w:val="Heading3"/>
        <w:keepNext/>
        <w:jc w:val="center"/>
      </w:pPr>
      <w:r>
        <w:rPr>
          <w:rFonts w:ascii="Amazon Ember" w:eastAsia="Amazon Ember" w:hAnsi="Amazon Ember" w:cs="Amazon Ember"/>
          <w:color w:val="0000FF"/>
          <w:sz w:val="36"/>
          <w:szCs w:val="36"/>
        </w:rPr>
        <w:t>401(k), IRA und Depots: mitnehmen oder auflösen</w:t>
      </w:r>
    </w:p>
    <w:p w14:paraId="70A4EE15" w14:textId="576DA6A0" w:rsidR="00C1548D" w:rsidRDefault="009B1B4B">
      <w:pPr>
        <w:spacing w:after="140"/>
      </w:pPr>
      <w:r>
        <w:t>Ein 401(k)- oder IRA-Konto musst du wegen der Auswanderung nicht auflösen; es bleibt bestehen und wächst steuerbegünstigt weiter. Eine vorzeitige Auszahlung vor 59½ Jahren löst zusätzlich zur regulären Einkommensteuer eine Strafsteuer von rund 10 % aus – ein sofortiger Komplettausstieg ist damit fast immer die teuerste Option. Sinnvoller ist meist, das Geld bis zum Ruhestand liegen zu lassen oder ein 401(k) in eine IRA zu übertragen, die sich aus dem Ausland einfacher verwalten lässt. Sobald du keinen US-St</w:t>
      </w:r>
      <w:r>
        <w:t>euerresidenzstatus mehr hast, sieht das Doppelbesteuerungsabkommen private Renten und Auszahlungen aus Altersvorsorgeplänen (Art. 18 Abs. 1–2) als nur im Wohnsitzstaat – also in Deutschland – besteuerbar vor; das befreit dich in der Praxis nicht automatisch von der US-Vorabsteuer und braucht die richtigen Formulare gegenüber der depotführenden Bank. Kläre die Auszahlungsstrategie und ihre deutsche Besteuerung vor dem Abflug mit einer grenzüberschreitend erfahrenen Steuerfachperson (</w:t>
      </w:r>
      <w:r>
        <w:t>Kapitel </w:t>
      </w:r>
      <w:hyperlink w:anchor="k39" w:history="1">
        <w:r>
          <w:t>39</w:t>
        </w:r>
      </w:hyperlink>
      <w:r>
        <w:t>).</w:t>
      </w:r>
    </w:p>
    <w:p w14:paraId="70A4EE16" w14:textId="77777777" w:rsidR="00C1548D" w:rsidRDefault="009B1B4B">
      <w:pPr>
        <w:pStyle w:val="Heading3"/>
        <w:keepNext/>
        <w:jc w:val="center"/>
      </w:pPr>
      <w:r>
        <w:rPr>
          <w:rFonts w:ascii="Amazon Ember" w:eastAsia="Amazon Ember" w:hAnsi="Amazon Ember" w:cs="Amazon Ember"/>
          <w:color w:val="0000FF"/>
          <w:sz w:val="36"/>
          <w:szCs w:val="36"/>
        </w:rPr>
        <w:lastRenderedPageBreak/>
        <w:t>Haus, Auto und der Umzug zurück</w:t>
      </w:r>
    </w:p>
    <w:p w14:paraId="70A4EE17" w14:textId="643BB35D" w:rsidR="00C1548D" w:rsidRDefault="009B1B4B">
      <w:pPr>
        <w:spacing w:after="140"/>
      </w:pPr>
      <w:r>
        <w:t>Ein Eigenheim oder Auto in den USA verkaufst du am einfachsten, solange du noch als Resident giltst (Kapitel </w:t>
      </w:r>
      <w:hyperlink w:anchor="k14" w:history="1">
        <w:r>
          <w:t>14</w:t>
        </w:r>
      </w:hyperlink>
      <w:r>
        <w:t xml:space="preserve">). Verkaufst du erst nach der Ausreise als Nichtresident, behält die Titelgesellschaft beim Verkauf nach US-Steuerrecht (FIRPTA) einen Teil des Verkaufspreises als Vorauszahlung auf die Steuer ein – regulär 15 % des Kaufpreises, bei selbstgenutzten Immobilien bis 1 Mio. $ ermäßigt auf 10 %, bis 300.000 $ oft ganz befreit; die tatsächliche Steuer errechnet erst die Erklärung, zu viel Einbehaltenes kommt zurück. Ein Auto lässt sich ohne US-Adresse kaum versichern oder ummelden; der Verkauf vor dem Abflug ist </w:t>
      </w:r>
      <w:r>
        <w:t>fast immer die praktikablere Lösung als der teure und wegen abweichender Normen aufwendige Transport nach Deutschland.</w:t>
      </w:r>
    </w:p>
    <w:p w14:paraId="70A4EE18" w14:textId="11738439" w:rsidR="00C1548D" w:rsidRDefault="009B1B4B">
      <w:pPr>
        <w:spacing w:after="140"/>
      </w:pPr>
      <w:r>
        <w:t>Dein Umzugsgut kannst du als Übersiedlungsgut (der Zollbegriff für das Umzugsgut von Rückkehrern) zollfrei nach Deutschland einführen, wenn du mindestens zwölf Monate deinen gewöhnlichen Aufenthalt im Ausland hattest und die Gegenstände mindestens sechs Monate in deinem Besitz und Gebrauch waren; neue, unbenutzte Waren zählen nicht dazu. Die Befreiung beantragst du formlos beim zuständigen Hauptzollamt, vor oder bei der Einfuhr; innerhalb von zwölf Monaten nach dem Umzug kannst du weitere Sachen nachführen,</w:t>
      </w:r>
      <w:r>
        <w:t xml:space="preserve"> darfst die zollfrei eingeführten Gegenstände in dieser Zeit aber nicht verkaufen, verleihen oder vermieten. Logistik und Kosten des Transports stehen in </w:t>
      </w:r>
      <w:r>
        <w:t>Kapitel </w:t>
      </w:r>
      <w:hyperlink w:anchor="k20" w:history="1">
        <w:r>
          <w:t>20</w:t>
        </w:r>
      </w:hyperlink>
      <w:r>
        <w:t>, die Einreise deines Haustiers nach den Regeln der EU in Kapitel </w:t>
      </w:r>
      <w:hyperlink w:anchor="k22" w:history="1">
        <w:r>
          <w:t>22</w:t>
        </w:r>
      </w:hyperlink>
      <w:r>
        <w:t>.</w:t>
      </w:r>
    </w:p>
    <w:p w14:paraId="70A4EE19" w14:textId="77777777" w:rsidR="00C1548D" w:rsidRDefault="009B1B4B">
      <w:pPr>
        <w:pStyle w:val="Heading3"/>
        <w:keepNext/>
        <w:jc w:val="center"/>
      </w:pPr>
      <w:r>
        <w:rPr>
          <w:rFonts w:ascii="Amazon Ember" w:eastAsia="Amazon Ember" w:hAnsi="Amazon Ember" w:cs="Amazon Ember"/>
          <w:color w:val="0000FF"/>
          <w:sz w:val="36"/>
          <w:szCs w:val="36"/>
        </w:rPr>
        <w:t>Kinder zurück im deutschen Schulsystem</w:t>
      </w:r>
    </w:p>
    <w:p w14:paraId="70A4EE1A" w14:textId="10964D37" w:rsidR="00C1548D" w:rsidRDefault="009B1B4B">
      <w:pPr>
        <w:spacing w:after="140"/>
      </w:pPr>
      <w:r>
        <w:t xml:space="preserve">Die Schulpflicht gilt für jedes Kind mit Wohnsitz in Deutschland unabhängig von der Staatsangehörigkeit, beginnt je nach Bundesland mit einem Stichtag um den 30. Juni oder 30. September und dauert neun bis zehn Jahre Vollzeit; Hausunterricht ist – anders als in vielen </w:t>
      </w:r>
      <w:r>
        <w:lastRenderedPageBreak/>
        <w:t>US-Bundesstaaten – grundsätzlich nicht erlaubt. Die Schule stuft nach Lebensalter und Zeugnissen ein; die Grade-Klasse-Tabelle aus Kapitel </w:t>
      </w:r>
      <w:hyperlink w:anchor="k36" w:history="1">
        <w:r>
          <w:t>36</w:t>
        </w:r>
      </w:hyperlink>
      <w:r>
        <w:t xml:space="preserve"> funktioniert auch rückwärts. Jüngere Kinder wechseln meist unkompliziert, oft mit etwas Nachholbedarf im geschriebenen Deutsch nach Jahren in einer englischsprachigen Schule. Teenager in der Oberstufe haben es schwerer: Lücken in der Kursfolge, und ein reines </w:t>
      </w:r>
      <w:r>
        <w:rPr>
          <w:i/>
          <w:iCs/>
        </w:rPr>
        <w:t>High School Diploma</w:t>
      </w:r>
      <w:r>
        <w:t xml:space="preserve"> (der amerikanische Schulabschluss) reicht für die direkte Zulassung an einer deutschen Hochschule häufig nicht aus. Wege dorthin sind ein Studienkolleg (zwei Semester plus Feststellungsprüfung), die Anerkennung von ein bis zwei Jahren US-College oder eine Einzelfallbewertung durch die Zentralstelle für ausländisches Bildungswesen (anabin/ZAB).</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1D"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E1B" w14:textId="77777777" w:rsidR="00C1548D" w:rsidRDefault="009B1B4B">
            <w:pPr>
              <w:keepNext/>
              <w:spacing w:after="70" w:line="240" w:lineRule="auto"/>
            </w:pPr>
            <w:r>
              <w:rPr>
                <w:b/>
                <w:bCs/>
                <w:color w:val="8A6212"/>
                <w:spacing w:val="24"/>
                <w:sz w:val="16"/>
                <w:szCs w:val="16"/>
              </w:rPr>
              <w:t>MERKE</w:t>
            </w:r>
          </w:p>
          <w:p w14:paraId="70A4EE1C" w14:textId="77777777" w:rsidR="00C1548D" w:rsidRDefault="009B1B4B">
            <w:pPr>
              <w:spacing w:after="80" w:line="264" w:lineRule="auto"/>
            </w:pPr>
            <w:r>
              <w:rPr>
                <w:sz w:val="20"/>
                <w:szCs w:val="20"/>
              </w:rPr>
              <w:t>Plane den Umzug, wenn möglich, auf den Beginn des deutschen Schuljahres im August oder September. Ein Wechsel mitten im Halbjahr kostet Kinder mehr als jede andere Einzelmaßnahme in diesem Kapitel.</w:t>
            </w:r>
          </w:p>
        </w:tc>
      </w:tr>
    </w:tbl>
    <w:p w14:paraId="70A4EE1E" w14:textId="77777777" w:rsidR="00C1548D" w:rsidRDefault="00C1548D">
      <w:pPr>
        <w:spacing w:line="220" w:lineRule="exact"/>
      </w:pPr>
    </w:p>
    <w:p w14:paraId="70A4EE1F" w14:textId="7F6C4460" w:rsidR="00C1548D" w:rsidRDefault="009B1B4B">
      <w:pPr>
        <w:spacing w:after="140"/>
      </w:pPr>
      <w:r>
        <w:t>Kindergeld (259 €/Kind/Monat) lebt mit dem deutschen Wohnsitz automatisch wieder auf; beantrage es neu, sobald du angemeldet bist. Sprachförderung für Kinder, die stärker Englisch als Deutsch geprägt sind, und der Umgang mit zwei Sprachen allgemein stehen in Kapitel </w:t>
      </w:r>
      <w:hyperlink w:anchor="k37" w:history="1">
        <w:r>
          <w:t>37</w:t>
        </w:r>
      </w:hyperlink>
      <w:r>
        <w:t>.</w:t>
      </w:r>
    </w:p>
    <w:p w14:paraId="70A4EE20" w14:textId="77777777" w:rsidR="00C1548D" w:rsidRDefault="009B1B4B">
      <w:pPr>
        <w:pStyle w:val="Heading3"/>
        <w:keepNext/>
        <w:jc w:val="center"/>
      </w:pPr>
      <w:r>
        <w:rPr>
          <w:rFonts w:ascii="Amazon Ember" w:eastAsia="Amazon Ember" w:hAnsi="Amazon Ember" w:cs="Amazon Ember"/>
          <w:color w:val="0000FF"/>
          <w:sz w:val="36"/>
          <w:szCs w:val="36"/>
        </w:rPr>
        <w:t>Rentenansprüche: was bleibt und was zusammengerechnet wird</w:t>
      </w:r>
    </w:p>
    <w:p w14:paraId="70A4EE21" w14:textId="77777777" w:rsidR="00C1548D" w:rsidRDefault="009B1B4B">
      <w:pPr>
        <w:spacing w:after="140"/>
      </w:pPr>
      <w:r>
        <w:t xml:space="preserve">Deutsche Rentenanwartschaften bleiben durch die Jahre im Ausland unberührt; jedes Land berechnet seine Rente weiterhin nur aus den eigenen Beitragszeiten, eine gemeinsame Rente gibt es nicht. Das deutsch-amerikanische Sozialversicherungsabkommen (seit 1. Dezember 1979) deckt ausschließlich die Rentenversicherung ab und rechnet deutsche und US-Zeiten für die Mindestversicherungszeit zusammen – in Deutschland fünf Jahre. Freiwillige Beiträge zur deutschen Rentenversicherung sind für </w:t>
      </w:r>
      <w:r>
        <w:lastRenderedPageBreak/>
        <w:t>Deutsche jederzeit möglich, auch rückwirkend bis zum 31. März des Folgejahres, und schließen Lücken oder erhalten den Schutz bei Erwerbsminderung. Melde der Deutschen Rentenversicherung deine neue Anschrift und Rückkehr einige Monate vorher; zum Rentenbeginn stellst du getrennte Anträge bei der DRV und der amerikanischen Social Security Administration. Beide Renten werden weltweit gezahlt – die US-Rente erreicht dich also auch in Deutschland ungekürzt für reine US-Zeiten.</w:t>
      </w:r>
    </w:p>
    <w:p w14:paraId="70A4EE22" w14:textId="77777777" w:rsidR="00C1548D" w:rsidRDefault="009B1B4B">
      <w:pPr>
        <w:pStyle w:val="Heading3"/>
        <w:keepNext/>
        <w:jc w:val="center"/>
      </w:pPr>
      <w:r>
        <w:rPr>
          <w:rFonts w:ascii="Amazon Ember" w:eastAsia="Amazon Ember" w:hAnsi="Amazon Ember" w:cs="Amazon Ember"/>
          <w:color w:val="0000FF"/>
          <w:sz w:val="36"/>
          <w:szCs w:val="36"/>
        </w:rPr>
        <w:t>Wohnung und Bank ohne Schufa-Historie</w:t>
      </w:r>
    </w:p>
    <w:p w14:paraId="70A4EE23" w14:textId="3C379D03" w:rsidR="00C1548D" w:rsidRDefault="009B1B4B">
      <w:pPr>
        <w:spacing w:after="140"/>
      </w:pPr>
      <w:r>
        <w:t>Nach Jahren im Ausland ist deine Schufa-Akte oft dünn oder veraltet – für Vermieter wirkt das mitunter genauso misstrauisch wie ein negativer Eintrag: Deutschland vergisst nicht gern, aber es vergisst, wer lange nicht da war. Verlangt werden meist eine aktuelle Schufa-Bonitätsauskunft, die letzten drei Gehaltsabrechnungen und der Personalausweis. Fordere deine eigene Schufa-Auskunft schon vor der Rückkehr online an, biete Nachweise über Ersparnisse oder den neuen Arbeitsvertrag an, prüfe eine Bürgschaft ode</w:t>
      </w:r>
      <w:r>
        <w:t>r eine höhere Kaution, und überbrücke die Suche notfalls mit einer möblierten Zwischenmiete. Beim Bankkonto ist es einfacher, wenn du dein altes deutsches Konto vor der Auswanderung behalten hast (</w:t>
      </w:r>
      <w:r>
        <w:t>Kapitel </w:t>
      </w:r>
      <w:hyperlink w:anchor="k16" w:history="1">
        <w:r>
          <w:t>16</w:t>
        </w:r>
      </w:hyperlink>
      <w:r>
        <w:t>): Du musst es nur reaktivieren, das TAN-Verfahren auf die App statt auf eine SMS an deine alte deutsche Nummer umstellen und die Adresse aktualisieren. Wurde das Konto geschlossen, hast du nach dem Zahlungskontengesetz Anspruch auf ein einfaches Basiskonto, unabhängig von der Schufa-Historie – allerdings mit eingeschränktem Leistungsumfang.</w:t>
      </w:r>
    </w:p>
    <w:p w14:paraId="70A4EE24" w14:textId="77777777" w:rsidR="00C1548D" w:rsidRDefault="009B1B4B">
      <w:pPr>
        <w:pStyle w:val="Heading3"/>
        <w:keepNext/>
        <w:jc w:val="center"/>
      </w:pPr>
      <w:r>
        <w:rPr>
          <w:rFonts w:ascii="Amazon Ember" w:eastAsia="Amazon Ember" w:hAnsi="Amazon Ember" w:cs="Amazon Ember"/>
          <w:color w:val="0000FF"/>
          <w:sz w:val="36"/>
          <w:szCs w:val="36"/>
        </w:rPr>
        <w:t>Der umgekehrte Kulturschock</w:t>
      </w:r>
    </w:p>
    <w:p w14:paraId="70A4EE25" w14:textId="6036F045" w:rsidR="00C1548D" w:rsidRDefault="009B1B4B">
      <w:pPr>
        <w:spacing w:after="140"/>
      </w:pPr>
      <w:r>
        <w:t xml:space="preserve">Viele unterschätzen, wie fremd sich die eigene Heimat anfühlen kann. Freunde sind weitergezogen, Ämter arbeiten anders als </w:t>
      </w:r>
      <w:r>
        <w:lastRenderedPageBreak/>
        <w:t>erinnert, manches, was in den USA selbstverständlich war – späte Öffnungszeiten, große Wohnungen, ein bestimmter Umgangston bei der Arbeit –, fehlt plötzlich. Sonntagabends steht man vor dem verschlossenen Supermarkt und braucht einen Moment, um sich zu erinnern, dass das hier ganz normal ist. Kinder, die einen Großteil ihrer bewussten Kindheit in den USA verbracht haben, empfinden Deutschland womöglich fremder als sie einst die USA empfanden. Die Phasen ähneln dem ursprünglichen Kulturschock, treffen viele</w:t>
      </w:r>
      <w:r>
        <w:t xml:space="preserve"> aber unvorbereiteter, weil niemand erwartet, sich zu Hause anpassen zu müssen. Mentale Gesundheit, Heimweh und der Umgang mit Kulturschock allgemein stehen ausführlich in </w:t>
      </w:r>
      <w:r>
        <w:t>Kapitel </w:t>
      </w:r>
      <w:hyperlink w:anchor="k33" w:history="1">
        <w:r>
          <w:t>33</w:t>
        </w:r>
      </w:hyperlink>
      <w:r>
        <w:t>.</w:t>
      </w:r>
    </w:p>
    <w:p w14:paraId="70A4EE26" w14:textId="77777777" w:rsidR="00C1548D" w:rsidRDefault="009B1B4B">
      <w:pPr>
        <w:pStyle w:val="Heading3"/>
        <w:keepNext/>
        <w:jc w:val="center"/>
      </w:pPr>
      <w:r>
        <w:rPr>
          <w:rFonts w:ascii="Amazon Ember" w:eastAsia="Amazon Ember" w:hAnsi="Amazon Ember" w:cs="Amazon Ember"/>
          <w:color w:val="0000FF"/>
          <w:sz w:val="36"/>
          <w:szCs w:val="36"/>
        </w:rPr>
        <w:t>Pendeln oder zwei Wohnsitze?</w:t>
      </w:r>
    </w:p>
    <w:p w14:paraId="70A4EE27" w14:textId="13277B3E" w:rsidR="00C1548D" w:rsidRDefault="009B1B4B">
      <w:pPr>
        <w:spacing w:after="140"/>
      </w:pPr>
      <w:r>
        <w:t>Manche Familien versuchen eine Übergangslösung: Ein Elternteil arbeitet noch einige Monate in den USA weiter, während der Rest der Familie schon in Deutschland ist, oder man behält für eine Weile beide Wohnungen. Das kann rund um einen Schuljahreswechsel sinnvoll sein, hat aber eine steuerliche Falle: Wer in Deutschland eine Wohnung behält, „die er beibehalten und benutzen wird“, ist damit wieder unbeschränkt steuerpflichtig in Deutschland (§ 8 AO) – unabhängig davon, wo der Lebensmittelpunkt gerade liegt (</w:t>
      </w:r>
      <w:r>
        <w:t xml:space="preserve">die Zweitwohnsitz-Falle, im Detail in </w:t>
      </w:r>
      <w:r>
        <w:t>Kapitel </w:t>
      </w:r>
      <w:hyperlink w:anchor="k17" w:history="1">
        <w:r>
          <w:t>17</w:t>
        </w:r>
      </w:hyperlink>
      <w:r>
        <w:t>). Kranken- und Sozialversicherung verheddern sich bei zwei Wohnsitzen ähnlich. In der Praxis funktioniert ein Doppelmodell meist nur für wenige Monate als bewusste Brücke, nicht als Dauerlösung; kläre die Steuerlage in beiden Ländern schriftlich, bevor du sie beginnst.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2A"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E28" w14:textId="77777777" w:rsidR="00C1548D" w:rsidRDefault="009B1B4B">
            <w:pPr>
              <w:keepNext/>
              <w:spacing w:after="70" w:line="240" w:lineRule="auto"/>
            </w:pPr>
            <w:r>
              <w:rPr>
                <w:b/>
                <w:bCs/>
                <w:color w:val="4A5568"/>
                <w:spacing w:val="24"/>
                <w:sz w:val="16"/>
                <w:szCs w:val="16"/>
              </w:rPr>
              <w:lastRenderedPageBreak/>
              <w:t>PRAXISBEISPIEL · FIKTIV</w:t>
            </w:r>
          </w:p>
          <w:p w14:paraId="70A4EE29" w14:textId="77777777" w:rsidR="00C1548D" w:rsidRDefault="009B1B4B">
            <w:pPr>
              <w:spacing w:after="80" w:line="264" w:lineRule="auto"/>
            </w:pPr>
            <w:r>
              <w:rPr>
                <w:sz w:val="20"/>
                <w:szCs w:val="20"/>
              </w:rPr>
              <w:t>Familie Brandt (fiktives Beispiel) lebt seit sechs Jahren im Großraum Detroit, als Markus’ deutsche Muttergesellschaft ihm eine Position bei Stuttgart anbietet. Anna hat die Green Card, Markus ist noch im Prozess; sie entscheiden sich, seine Green Card über I-407 aufzugeben, statt eine Wiedereinreisegenehmigung zu beantragen. Lena (inzwischen 15) reagiert zunächst wütend auf den Abschied von ihren Freundinnen – „Ich habe hier mein ganzes Leben“, sagt sie beim Abendessen –, findet sich aber leichter zurecht,</w:t>
            </w:r>
            <w:r>
              <w:rPr>
                <w:sz w:val="20"/>
                <w:szCs w:val="20"/>
              </w:rPr>
              <w:t xml:space="preserve"> als die Familie befürchtet hatte; für die Oberstufe klärt die Schule die Einstufung anhand ihrer US-Zeugnisse. Jonas (11) wechselt unkompliziert aufs Gymnasium. Weil Anna vor der Ausreise eine kleine PKV-Anwartschaft abgeschlossen hatte, sind beide ab dem Einzugstag wieder abgesichert. Das Haus in Michigan verkaufen sie noch vor dem Wegzug.</w:t>
            </w:r>
          </w:p>
        </w:tc>
      </w:tr>
    </w:tbl>
    <w:p w14:paraId="70A4EE2B" w14:textId="77777777" w:rsidR="00C1548D" w:rsidRDefault="00C1548D">
      <w:pPr>
        <w:spacing w:line="220" w:lineRule="exact"/>
      </w:pPr>
    </w:p>
    <w:p w14:paraId="70A4EE2C"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E2F"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E2D"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E2E" w14:textId="77777777" w:rsidR="00C1548D" w:rsidRDefault="009B1B4B">
            <w:pPr>
              <w:spacing w:line="250" w:lineRule="auto"/>
            </w:pPr>
            <w:r>
              <w:rPr>
                <w:b/>
                <w:bCs/>
                <w:sz w:val="18"/>
                <w:szCs w:val="18"/>
              </w:rPr>
              <w:t>Minus</w:t>
            </w:r>
          </w:p>
        </w:tc>
      </w:tr>
      <w:tr w:rsidR="00C1548D" w14:paraId="70A4EE3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30" w14:textId="77777777" w:rsidR="00C1548D" w:rsidRDefault="009B1B4B">
            <w:pPr>
              <w:spacing w:line="250" w:lineRule="auto"/>
            </w:pPr>
            <w:r>
              <w:rPr>
                <w:sz w:val="18"/>
                <w:szCs w:val="18"/>
              </w:rPr>
              <w:t>Vertraute Sprache, Familie und Freunde wieder erreichbar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31" w14:textId="77777777" w:rsidR="00C1548D" w:rsidRDefault="009B1B4B">
            <w:pPr>
              <w:spacing w:line="250" w:lineRule="auto"/>
            </w:pPr>
            <w:r>
              <w:rPr>
                <w:sz w:val="18"/>
                <w:szCs w:val="18"/>
              </w:rPr>
              <w:t>Gehalt und Karrierepfad lassen sich selten 1:1 übertragen</w:t>
            </w:r>
          </w:p>
        </w:tc>
      </w:tr>
      <w:tr w:rsidR="00C1548D" w14:paraId="70A4EE3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33" w14:textId="77777777" w:rsidR="00C1548D" w:rsidRDefault="009B1B4B">
            <w:pPr>
              <w:spacing w:line="250" w:lineRule="auto"/>
            </w:pPr>
            <w:r>
              <w:rPr>
                <w:sz w:val="18"/>
                <w:szCs w:val="18"/>
              </w:rPr>
              <w:t>Gesetzliche Krankenversicherung und Kündigungsschutz wieder verfügbar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34" w14:textId="77777777" w:rsidR="00C1548D" w:rsidRDefault="009B1B4B">
            <w:pPr>
              <w:spacing w:line="250" w:lineRule="auto"/>
            </w:pPr>
            <w:r>
              <w:rPr>
                <w:sz w:val="18"/>
                <w:szCs w:val="18"/>
              </w:rPr>
              <w:t>GKV-Rückkehr kann an Versicherungspflichtgrenze oder 55+-Regel scheitern</w:t>
            </w:r>
          </w:p>
        </w:tc>
      </w:tr>
      <w:tr w:rsidR="00C1548D" w14:paraId="70A4EE3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36" w14:textId="77777777" w:rsidR="00C1548D" w:rsidRDefault="009B1B4B">
            <w:pPr>
              <w:spacing w:line="250" w:lineRule="auto"/>
            </w:pPr>
            <w:r>
              <w:rPr>
                <w:sz w:val="18"/>
                <w:szCs w:val="18"/>
              </w:rPr>
              <w:t>Nach Aufgabe der Green Card entfällt die jährliche US-Steuererklärung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37" w14:textId="77777777" w:rsidR="00C1548D" w:rsidRDefault="009B1B4B">
            <w:pPr>
              <w:spacing w:line="250" w:lineRule="auto"/>
            </w:pPr>
            <w:r>
              <w:rPr>
                <w:sz w:val="18"/>
                <w:szCs w:val="18"/>
              </w:rPr>
              <w:t>Exit Tax bei langer Green-Card-Zeit möglich</w:t>
            </w:r>
          </w:p>
        </w:tc>
      </w:tr>
      <w:tr w:rsidR="00C1548D" w14:paraId="70A4EE3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39" w14:textId="77777777" w:rsidR="00C1548D" w:rsidRDefault="009B1B4B">
            <w:pPr>
              <w:spacing w:line="250" w:lineRule="auto"/>
            </w:pPr>
            <w:r>
              <w:rPr>
                <w:sz w:val="18"/>
                <w:szCs w:val="18"/>
              </w:rPr>
              <w:t>Kinder wachsen mit deutschem Schulabschluss und beiden Sprachen auf</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3A" w14:textId="77777777" w:rsidR="00C1548D" w:rsidRDefault="009B1B4B">
            <w:pPr>
              <w:spacing w:line="250" w:lineRule="auto"/>
            </w:pPr>
            <w:r>
              <w:rPr>
                <w:sz w:val="18"/>
                <w:szCs w:val="18"/>
              </w:rPr>
              <w:t>Umgekehrter Kulturschock, Wohnungssuche ohne aktuelle Schufa</w:t>
            </w:r>
          </w:p>
        </w:tc>
      </w:tr>
      <w:tr w:rsidR="00C1548D" w14:paraId="70A4EE3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3C" w14:textId="77777777" w:rsidR="00C1548D" w:rsidRDefault="009B1B4B">
            <w:pPr>
              <w:spacing w:line="250" w:lineRule="auto"/>
            </w:pPr>
            <w:r>
              <w:rPr>
                <w:sz w:val="18"/>
                <w:szCs w:val="18"/>
              </w:rPr>
              <w:t>Rentenanwartschaften in beiden Ländern bleiben erhalten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3D" w14:textId="77777777" w:rsidR="00C1548D" w:rsidRDefault="009B1B4B">
            <w:pPr>
              <w:spacing w:line="250" w:lineRule="auto"/>
            </w:pPr>
            <w:r>
              <w:rPr>
                <w:sz w:val="18"/>
                <w:szCs w:val="18"/>
              </w:rPr>
              <w:t>Verkauf von Haus und Auto in den USA unter Zeitdruck</w:t>
            </w:r>
          </w:p>
        </w:tc>
      </w:tr>
    </w:tbl>
    <w:p w14:paraId="70A4EE3F" w14:textId="77777777" w:rsidR="00C1548D" w:rsidRDefault="00C1548D">
      <w:pPr>
        <w:spacing w:line="180" w:lineRule="exact"/>
      </w:pPr>
    </w:p>
    <w:p w14:paraId="70A4EE40"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E41" w14:textId="77777777" w:rsidR="00C1548D" w:rsidRDefault="009B1B4B">
      <w:pPr>
        <w:spacing w:after="140"/>
      </w:pPr>
      <w:r>
        <w:t xml:space="preserve">Beginne mit den zwei Entscheidungen, die alles andere prägen: Wie gehst du mit der Green Card um, und willst du die Tür in die USA offenhalten oder schließen? Danach folgt der Rest fast von selbst – Krankenversicherung, letzte Steuererklärung, Schule, Wohnung. Wer </w:t>
      </w:r>
      <w:r>
        <w:lastRenderedPageBreak/>
        <w:t>sechs Monate Vorlauf hat, kommt mit deutlich weniger Reibung zurück als wer erst nach der Kündigung anfängt zu planen.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4F"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E42" w14:textId="77777777" w:rsidR="00C1548D" w:rsidRDefault="009B1B4B">
            <w:pPr>
              <w:keepNext/>
              <w:spacing w:after="70" w:line="240" w:lineRule="auto"/>
            </w:pPr>
            <w:r>
              <w:rPr>
                <w:b/>
                <w:bCs/>
                <w:color w:val="1F6F78"/>
                <w:spacing w:val="24"/>
                <w:sz w:val="16"/>
                <w:szCs w:val="16"/>
              </w:rPr>
              <w:t>CHECKLISTE</w:t>
            </w:r>
          </w:p>
          <w:p w14:paraId="70A4EE4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Entscheidung mit der Familie treffen, Zeitpunkt am deutschen Schuljahr ausrichten.</w:t>
            </w:r>
          </w:p>
          <w:p w14:paraId="70A4EE4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GKV-/PKV-Anwartschaft mindestens sechs Monate vor der Rückkehr klären.</w:t>
            </w:r>
          </w:p>
          <w:p w14:paraId="70A4EE4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Deutsche Rentenversicherung über die Rückkehr informieren, freiwillige Beiträge prüfen.</w:t>
            </w:r>
          </w:p>
          <w:p w14:paraId="70A4EE4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Entscheidung Green Card treffen: Form I-407 (endgültig) oder Reentry Permit (Option offenhalten).</w:t>
            </w:r>
          </w:p>
          <w:p w14:paraId="70A4EE4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Letzte US-Steuererklärung mit einer grenzüberschreitend erfahrenen Steuerfachperson planen; bei Green Card ab acht Jahren die Exit Tax prüfen lassen.</w:t>
            </w:r>
          </w:p>
          <w:p w14:paraId="70A4EE4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Strategie für 401(k)/IRA festlegen: liegen lassen, übertragen oder auszahlen.</w:t>
            </w:r>
          </w:p>
          <w:p w14:paraId="70A4EE4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Haus/Wohnung und Auto in den USA rechtzeitig verkaufen oder Vermietung klären.</w:t>
            </w:r>
          </w:p>
          <w:p w14:paraId="70A4EE4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Übersiedlungsgut-Liste für den Zoll vorbereiten, Besitz und Nutzung von mindestens sechs Monaten dokumentieren.</w:t>
            </w:r>
          </w:p>
          <w:p w14:paraId="70A4EE4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Schule oder Kita in Deutschland kontaktieren, Zeugnisse übersetzen lassen, Einstufung klären.</w:t>
            </w:r>
          </w:p>
          <w:p w14:paraId="70A4EE4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Schufa-Bonitätsauskunft frühzeitig anfordern, deutsches Bankkonto reaktivieren.</w:t>
            </w:r>
          </w:p>
          <w:p w14:paraId="70A4EE4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Anmeldung beim Einwohnermeldeamt binnen zwei Wochen nach dem Einzug erledigen.</w:t>
            </w:r>
          </w:p>
          <w:p w14:paraId="70A4EE4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Kindergeld neu beantragen, sobald du gemeldet bist.</w:t>
            </w:r>
          </w:p>
        </w:tc>
      </w:tr>
    </w:tbl>
    <w:p w14:paraId="70A4EE50" w14:textId="77777777" w:rsidR="00C1548D" w:rsidRDefault="00C1548D">
      <w:pPr>
        <w:spacing w:line="220" w:lineRule="exact"/>
      </w:pPr>
    </w:p>
    <w:p w14:paraId="70A4EE51"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E52" w14:textId="2BCE9C30" w:rsidR="00C1548D" w:rsidRDefault="009B1B4B" w:rsidP="009B1B4B">
      <w:pPr>
        <w:pStyle w:val="ListParagraph"/>
        <w:numPr>
          <w:ilvl w:val="0"/>
          <w:numId w:val="1"/>
        </w:numPr>
        <w:spacing w:after="60"/>
      </w:pPr>
      <w:r>
        <w:t>USCIS – Green Card aufgeben, Form I-407 (</w:t>
      </w:r>
      <w:hyperlink r:id="rId363" w:history="1">
        <w:r>
          <w:rPr>
            <w:color w:val="0563C1"/>
            <w:u w:val="single"/>
          </w:rPr>
          <w:t>uscis.gov/green-card</w:t>
        </w:r>
      </w:hyperlink>
      <w:r>
        <w:t>)</w:t>
      </w:r>
    </w:p>
    <w:p w14:paraId="70A4EE53" w14:textId="3D2C730D" w:rsidR="00C1548D" w:rsidRDefault="009B1B4B" w:rsidP="009B1B4B">
      <w:pPr>
        <w:pStyle w:val="ListParagraph"/>
        <w:numPr>
          <w:ilvl w:val="0"/>
          <w:numId w:val="1"/>
        </w:numPr>
        <w:spacing w:after="60"/>
      </w:pPr>
      <w:r>
        <w:t>USCIS – Wiedereinreisegenehmigung, Form I-131 (</w:t>
      </w:r>
      <w:hyperlink r:id="rId364" w:history="1">
        <w:r>
          <w:rPr>
            <w:color w:val="0563C1"/>
            <w:u w:val="single"/>
          </w:rPr>
          <w:t>uscis.gov/i-131</w:t>
        </w:r>
      </w:hyperlink>
      <w:r>
        <w:t>)</w:t>
      </w:r>
    </w:p>
    <w:p w14:paraId="70A4EE54" w14:textId="486103EE" w:rsidR="00C1548D" w:rsidRDefault="009B1B4B" w:rsidP="009B1B4B">
      <w:pPr>
        <w:pStyle w:val="ListParagraph"/>
        <w:numPr>
          <w:ilvl w:val="0"/>
          <w:numId w:val="1"/>
        </w:numPr>
        <w:spacing w:after="60"/>
      </w:pPr>
      <w:r>
        <w:lastRenderedPageBreak/>
        <w:t>IRS – Expatriation Tax (</w:t>
      </w:r>
      <w:hyperlink r:id="rId365" w:history="1">
        <w:r>
          <w:rPr>
            <w:color w:val="0563C1"/>
            <w:u w:val="single"/>
          </w:rPr>
          <w:t>irs.gov/individuals/international-taxpayers/expatriation-tax</w:t>
        </w:r>
      </w:hyperlink>
      <w:r>
        <w:t>)</w:t>
      </w:r>
    </w:p>
    <w:p w14:paraId="70A4EE55" w14:textId="62648B9B" w:rsidR="00C1548D" w:rsidRDefault="009B1B4B" w:rsidP="009B1B4B">
      <w:pPr>
        <w:pStyle w:val="ListParagraph"/>
        <w:numPr>
          <w:ilvl w:val="0"/>
          <w:numId w:val="1"/>
        </w:numPr>
        <w:spacing w:after="60"/>
      </w:pPr>
      <w:r>
        <w:t>IRS – FIRPTA Withholding (</w:t>
      </w:r>
      <w:hyperlink r:id="rId366" w:history="1">
        <w:r>
          <w:rPr>
            <w:color w:val="0563C1"/>
            <w:u w:val="single"/>
          </w:rPr>
          <w:t>irs.gov/individuals/international-taxpayers/firpta-withholding</w:t>
        </w:r>
      </w:hyperlink>
      <w:r>
        <w:t>)</w:t>
      </w:r>
    </w:p>
    <w:p w14:paraId="70A4EE56" w14:textId="03E69CC6" w:rsidR="00C1548D" w:rsidRDefault="009B1B4B" w:rsidP="009B1B4B">
      <w:pPr>
        <w:pStyle w:val="ListParagraph"/>
        <w:numPr>
          <w:ilvl w:val="0"/>
          <w:numId w:val="1"/>
        </w:numPr>
        <w:spacing w:after="60"/>
      </w:pPr>
      <w:r>
        <w:t>Gesetze im Internet – SGB V, §§ 5, 6, 9 (</w:t>
      </w:r>
      <w:hyperlink r:id="rId367" w:history="1">
        <w:r>
          <w:rPr>
            <w:color w:val="0563C1"/>
            <w:u w:val="single"/>
          </w:rPr>
          <w:t>gesetze-im-internet.de/sgb_5</w:t>
        </w:r>
      </w:hyperlink>
      <w:r>
        <w:t>)</w:t>
      </w:r>
    </w:p>
    <w:p w14:paraId="70A4EE57" w14:textId="768D00D5" w:rsidR="00C1548D" w:rsidRDefault="009B1B4B" w:rsidP="009B1B4B">
      <w:pPr>
        <w:pStyle w:val="ListParagraph"/>
        <w:numPr>
          <w:ilvl w:val="0"/>
          <w:numId w:val="1"/>
        </w:numPr>
        <w:spacing w:after="60"/>
      </w:pPr>
      <w:r>
        <w:t>Deutsche Rentenversicherung – Arbeit und Rente in Deutschland und den USA (</w:t>
      </w:r>
      <w:hyperlink r:id="rId368" w:history="1">
        <w:r>
          <w:rPr>
            <w:color w:val="0563C1"/>
            <w:u w:val="single"/>
          </w:rPr>
          <w:t>deutsche-rentenversicherung.de</w:t>
        </w:r>
      </w:hyperlink>
      <w:r>
        <w:t>)</w:t>
      </w:r>
    </w:p>
    <w:p w14:paraId="70A4EE58" w14:textId="527BCB57" w:rsidR="00C1548D" w:rsidRDefault="009B1B4B" w:rsidP="009B1B4B">
      <w:pPr>
        <w:pStyle w:val="ListParagraph"/>
        <w:numPr>
          <w:ilvl w:val="0"/>
          <w:numId w:val="1"/>
        </w:numPr>
        <w:spacing w:after="60"/>
      </w:pPr>
      <w:r>
        <w:t>Zoll online – Übersiedlungsgut (</w:t>
      </w:r>
      <w:hyperlink r:id="rId369" w:history="1">
        <w:r>
          <w:rPr>
            <w:color w:val="0563C1"/>
            <w:u w:val="single"/>
          </w:rPr>
          <w:t>zoll.de</w:t>
        </w:r>
      </w:hyperlink>
      <w:r>
        <w:t>)</w:t>
      </w:r>
    </w:p>
    <w:p w14:paraId="70A4EE59" w14:textId="6B64FD43" w:rsidR="00C1548D" w:rsidRDefault="009B1B4B" w:rsidP="009B1B4B">
      <w:pPr>
        <w:pStyle w:val="ListParagraph"/>
        <w:numPr>
          <w:ilvl w:val="0"/>
          <w:numId w:val="1"/>
        </w:numPr>
        <w:spacing w:after="60"/>
      </w:pPr>
      <w:r>
        <w:t>DAAD New York – Anerkennung US-amerikanischer Abschlüsse (</w:t>
      </w:r>
      <w:hyperlink r:id="rId370" w:history="1">
        <w:r>
          <w:rPr>
            <w:color w:val="0563C1"/>
            <w:u w:val="single"/>
          </w:rPr>
          <w:t>daad.org</w:t>
        </w:r>
      </w:hyperlink>
      <w:r>
        <w:t>)</w:t>
      </w:r>
    </w:p>
    <w:p w14:paraId="70A4EE5A"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5D"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E5B" w14:textId="77777777" w:rsidR="00C1548D" w:rsidRDefault="009B1B4B">
            <w:pPr>
              <w:keepNext/>
              <w:spacing w:after="70" w:line="240" w:lineRule="auto"/>
            </w:pPr>
            <w:r>
              <w:rPr>
                <w:b/>
                <w:bCs/>
                <w:color w:val="6B7280"/>
                <w:spacing w:val="24"/>
                <w:sz w:val="16"/>
                <w:szCs w:val="16"/>
              </w:rPr>
              <w:t>STAND</w:t>
            </w:r>
          </w:p>
          <w:p w14:paraId="70A4EE5C" w14:textId="77777777" w:rsidR="00C1548D" w:rsidRDefault="009B1B4B">
            <w:pPr>
              <w:spacing w:after="80" w:line="264" w:lineRule="auto"/>
            </w:pPr>
            <w:r>
              <w:rPr>
                <w:sz w:val="20"/>
                <w:szCs w:val="20"/>
              </w:rPr>
              <w:t>September 2026. Schnell ändern sich die Versicherungspflichtgrenze und die GKV-Beitragssätze (jährlich neu), die Exit-Tax-Schwellenwerte (211.000 $ und 910.000 $ für 2026, jährlich angepasst), die FIRPTA-Sätze und die Gebühren für I-407 und I-131. Prüfe vor jedem Schritt die offiziellen Seiten und sprich frühzeitig mit einer Steuerfachperson in beiden Ländern.</w:t>
            </w:r>
          </w:p>
        </w:tc>
      </w:tr>
    </w:tbl>
    <w:p w14:paraId="70A4EE5E" w14:textId="77777777" w:rsidR="00C1548D" w:rsidRDefault="00C1548D">
      <w:pPr>
        <w:spacing w:line="220" w:lineRule="exact"/>
      </w:pPr>
    </w:p>
    <w:p w14:paraId="70A4EE5F" w14:textId="77777777" w:rsidR="00C1548D" w:rsidRDefault="00C1548D">
      <w:pPr>
        <w:sectPr w:rsidR="00C1548D">
          <w:footerReference w:type="default" r:id="rId371"/>
          <w:pgSz w:w="8640" w:h="12960"/>
          <w:pgMar w:top="1080" w:right="1080" w:bottom="1100" w:left="1080" w:header="708" w:footer="708" w:gutter="0"/>
          <w:cols w:space="720"/>
          <w:docGrid w:linePitch="360"/>
        </w:sectPr>
      </w:pPr>
    </w:p>
    <w:p w14:paraId="70A4EE60" w14:textId="77777777" w:rsidR="00C1548D" w:rsidRDefault="009B1B4B">
      <w:pPr>
        <w:pStyle w:val="Heading1"/>
        <w:jc w:val="center"/>
      </w:pPr>
      <w:bookmarkStart w:id="101" w:name="_Toc241352501"/>
      <w:r>
        <w:rPr>
          <w:rFonts w:ascii="Amazon Ember" w:eastAsia="Amazon Ember" w:hAnsi="Amazon Ember" w:cs="Amazon Ember"/>
          <w:color w:val="0000FF"/>
        </w:rPr>
        <w:lastRenderedPageBreak/>
        <w:t>TEIL AUSTRALIEN — Fern, aber gut geregelt</w:t>
      </w:r>
      <w:bookmarkEnd w:id="101"/>
    </w:p>
    <w:p w14:paraId="70A4EE61" w14:textId="77777777" w:rsidR="00C1548D" w:rsidRDefault="009B1B4B">
      <w:pPr>
        <w:spacing w:after="160" w:line="300" w:lineRule="auto"/>
        <w:ind w:left="400" w:right="400"/>
        <w:jc w:val="center"/>
      </w:pPr>
      <w:r>
        <w:rPr>
          <w:i/>
          <w:iCs/>
          <w:sz w:val="24"/>
          <w:szCs w:val="24"/>
        </w:rPr>
        <w:t>Australien lockt mit Sonne, einer klar strukturierten Einwanderungslogik und einer Sprache, die du schon kannst – und stellt dich zugleich vor die größte Distanz zu Deutschland unter allen vier Ländern dieses Buches. Dieser Teil begleitet Familie Reinhardt und Nina Voss durch Einwanderungswege, Alltag und die Frage, ob 16.000 Kilometer für dich zu weit sind oder genau richtig.</w:t>
      </w:r>
    </w:p>
    <w:p w14:paraId="70A4EE62" w14:textId="77777777" w:rsidR="00C1548D" w:rsidRDefault="00C1548D">
      <w:pPr>
        <w:sectPr w:rsidR="00C1548D">
          <w:footerReference w:type="default" r:id="rId372"/>
          <w:pgSz w:w="8640" w:h="12960"/>
          <w:pgMar w:top="1080" w:right="1080" w:bottom="1100" w:left="1080" w:header="708" w:footer="708" w:gutter="0"/>
          <w:cols w:space="720"/>
          <w:vAlign w:val="center"/>
          <w:docGrid w:linePitch="360"/>
        </w:sectPr>
      </w:pPr>
    </w:p>
    <w:p w14:paraId="70A4EE63" w14:textId="77777777" w:rsidR="00C1548D" w:rsidRDefault="009B1B4B">
      <w:pPr>
        <w:pStyle w:val="Heading2"/>
        <w:keepNext/>
        <w:pageBreakBefore/>
        <w:jc w:val="center"/>
      </w:pPr>
      <w:bookmarkStart w:id="102" w:name="tau01"/>
      <w:bookmarkStart w:id="103" w:name="_Toc241352502"/>
      <w:r>
        <w:rPr>
          <w:rFonts w:ascii="Amazon Ember" w:eastAsia="Amazon Ember" w:hAnsi="Amazon Ember" w:cs="Amazon Ember"/>
          <w:color w:val="0000FF"/>
          <w:sz w:val="36"/>
          <w:szCs w:val="36"/>
        </w:rPr>
        <w:lastRenderedPageBreak/>
        <w:t>Australien: Die ehrliche Bilanz</w:t>
      </w:r>
      <w:bookmarkEnd w:id="102"/>
      <w:bookmarkEnd w:id="103"/>
    </w:p>
    <w:p w14:paraId="70A4EE64" w14:textId="77777777" w:rsidR="00C1548D" w:rsidRDefault="009B1B4B">
      <w:pPr>
        <w:spacing w:after="140"/>
      </w:pPr>
      <w:r>
        <w:t>Auf dem Küchentisch der Reinhardts in Köln liegt ein Ausdruck der SkillSelect-Punktetabelle, daneben die Kontoauszüge der letzten sechs Monate. Thomas, 41, Bauingenieur, hat seinen Punktestand ausgerechnet: 85 Punkte, komfortabel über dem gesetzlichen Minimum. Sandra, 39, Krankenpflegerin, hat parallel recherchiert, was ein Umzug nach Melbourne für die Steuerlast bedeutet – und ist auf eine Zahl gestoßen, die sie zweimal nachrechnen ließ: Der Anteil, den Steuern und Abgaben vom Einkommen wegnehmen, liegt in</w:t>
      </w:r>
      <w:r>
        <w:t xml:space="preserve"> Australien spürbar niedriger als in Deutschland. Bevor daraus eine Entscheidung wird, verdient diese Zahl einen zweiten, nüchternen Blick – zusammen mit allem, was sie nicht zeigt. Genau den liefert dieses Kapitel.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6C"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E65" w14:textId="77777777" w:rsidR="00C1548D" w:rsidRDefault="009B1B4B">
            <w:pPr>
              <w:keepNext/>
              <w:spacing w:after="70" w:line="240" w:lineRule="auto"/>
            </w:pPr>
            <w:r>
              <w:rPr>
                <w:b/>
                <w:bCs/>
                <w:color w:val="1F3A5F"/>
                <w:spacing w:val="24"/>
                <w:sz w:val="16"/>
                <w:szCs w:val="16"/>
              </w:rPr>
              <w:lastRenderedPageBreak/>
              <w:t>KURZ GESAGT</w:t>
            </w:r>
          </w:p>
          <w:p w14:paraId="70A4EE66" w14:textId="77777777" w:rsidR="00C1548D" w:rsidRDefault="009B1B4B" w:rsidP="009B1B4B">
            <w:pPr>
              <w:pStyle w:val="ListParagraph"/>
              <w:numPr>
                <w:ilvl w:val="0"/>
                <w:numId w:val="1"/>
              </w:numPr>
              <w:spacing w:after="50" w:line="264" w:lineRule="auto"/>
            </w:pPr>
            <w:r>
              <w:rPr>
                <w:sz w:val="20"/>
                <w:szCs w:val="20"/>
              </w:rPr>
              <w:t>Der OECD-Steuerkeil zeigt: Auf einen Durchschnittsverdiener entfallen in Australien rund 29,6 % der Arbeitskosten an Steuern und Abgaben, in Deutschland rund 49,3 % – ein struktureller Vorteil, der aber geringere Sozialleistungen mit einpreist.</w:t>
            </w:r>
          </w:p>
          <w:p w14:paraId="70A4EE67" w14:textId="77777777" w:rsidR="00C1548D" w:rsidRDefault="009B1B4B" w:rsidP="009B1B4B">
            <w:pPr>
              <w:pStyle w:val="ListParagraph"/>
              <w:numPr>
                <w:ilvl w:val="0"/>
                <w:numId w:val="1"/>
              </w:numPr>
              <w:spacing w:after="50" w:line="264" w:lineRule="auto"/>
            </w:pPr>
            <w:r>
              <w:rPr>
                <w:sz w:val="20"/>
                <w:szCs w:val="20"/>
              </w:rPr>
              <w:t>Medicare deckt die öffentliche Grundversorgung, aber Deutschland gehört nicht zu den elf Ländern mit einem Gegenseitigkeitsabkommen für Gesundheitsversorgung: Bis zum Daueraufenthaltstitel brauchst du private Zusatzversicherung.</w:t>
            </w:r>
          </w:p>
          <w:p w14:paraId="70A4EE68" w14:textId="77777777" w:rsidR="00C1548D" w:rsidRDefault="009B1B4B" w:rsidP="009B1B4B">
            <w:pPr>
              <w:pStyle w:val="ListParagraph"/>
              <w:numPr>
                <w:ilvl w:val="0"/>
                <w:numId w:val="1"/>
              </w:numPr>
              <w:spacing w:after="50" w:line="264" w:lineRule="auto"/>
            </w:pPr>
            <w:r>
              <w:rPr>
                <w:sz w:val="20"/>
                <w:szCs w:val="20"/>
              </w:rPr>
              <w:t>Melbourne und Sydney liegen bei den Lebenshaltungskosten in ähnlichen Regionen wie München, mit spürbaren Unterschieden bei Miete und Gesundheitskosten.</w:t>
            </w:r>
          </w:p>
          <w:p w14:paraId="70A4EE69" w14:textId="77777777" w:rsidR="00C1548D" w:rsidRDefault="009B1B4B" w:rsidP="009B1B4B">
            <w:pPr>
              <w:pStyle w:val="ListParagraph"/>
              <w:numPr>
                <w:ilvl w:val="0"/>
                <w:numId w:val="1"/>
              </w:numPr>
              <w:spacing w:after="50" w:line="264" w:lineRule="auto"/>
            </w:pPr>
            <w:r>
              <w:rPr>
                <w:sz w:val="20"/>
                <w:szCs w:val="20"/>
              </w:rPr>
              <w:t>Superannuation ersetzt die gesetzliche Rente nur teilweise: 12 % vom Arbeitgeber, aber wer als befristeter Visuminhaber wieder auswandert, zahlt beim Auszahlen bis zu 65 % Steuern auf das Ersparte.</w:t>
            </w:r>
          </w:p>
          <w:p w14:paraId="70A4EE6A" w14:textId="77777777" w:rsidR="00C1548D" w:rsidRDefault="009B1B4B" w:rsidP="009B1B4B">
            <w:pPr>
              <w:pStyle w:val="ListParagraph"/>
              <w:numPr>
                <w:ilvl w:val="0"/>
                <w:numId w:val="1"/>
              </w:numPr>
              <w:spacing w:after="50" w:line="264" w:lineRule="auto"/>
            </w:pPr>
            <w:r>
              <w:rPr>
                <w:sz w:val="20"/>
                <w:szCs w:val="20"/>
              </w:rPr>
              <w:t>Schon der Antrag kostet: Ein Skilled-Visum schlägt allein an Behördengebühren mit rund 6.135 AUD pro Hauptantragsteller zu Buche, dazu kommen Tests, Gutachten und oft ein Migrationsberater.</w:t>
            </w:r>
          </w:p>
          <w:p w14:paraId="70A4EE6B" w14:textId="77777777" w:rsidR="00C1548D" w:rsidRDefault="009B1B4B" w:rsidP="009B1B4B">
            <w:pPr>
              <w:pStyle w:val="ListParagraph"/>
              <w:numPr>
                <w:ilvl w:val="0"/>
                <w:numId w:val="1"/>
              </w:numPr>
              <w:spacing w:after="50" w:line="264" w:lineRule="auto"/>
            </w:pPr>
            <w:r>
              <w:rPr>
                <w:sz w:val="20"/>
                <w:szCs w:val="20"/>
              </w:rPr>
              <w:t>Am stärksten vermissen Auswanderer die Nähe zur Familie: Zwischen Deutschland und Australien gibt es keinen Direktflug und fast 20 Stunden Reisezeit.</w:t>
            </w:r>
          </w:p>
        </w:tc>
      </w:tr>
    </w:tbl>
    <w:p w14:paraId="70A4EE6D" w14:textId="77777777" w:rsidR="00C1548D" w:rsidRDefault="00C1548D">
      <w:pPr>
        <w:spacing w:line="220" w:lineRule="exact"/>
      </w:pPr>
    </w:p>
    <w:p w14:paraId="70A4EE6E" w14:textId="77777777" w:rsidR="00C1548D" w:rsidRDefault="009B1B4B">
      <w:pPr>
        <w:pStyle w:val="Heading3"/>
        <w:keepNext/>
        <w:jc w:val="center"/>
      </w:pPr>
      <w:r>
        <w:rPr>
          <w:rFonts w:ascii="Amazon Ember" w:eastAsia="Amazon Ember" w:hAnsi="Amazon Ember" w:cs="Amazon Ember"/>
          <w:color w:val="0000FF"/>
          <w:sz w:val="36"/>
          <w:szCs w:val="36"/>
        </w:rPr>
        <w:t>Gehalt, Steuern und was am Ende übrig bleibt</w:t>
      </w:r>
    </w:p>
    <w:p w14:paraId="70A4EE6F" w14:textId="77777777" w:rsidR="00C1548D" w:rsidRDefault="009B1B4B">
      <w:pPr>
        <w:spacing w:after="140"/>
      </w:pPr>
      <w:r>
        <w:t>Die erste Zahl, die die meisten vergleichen, ist das Bruttogehalt – und die ist fast immer beeindruckend höher als in Deutschland. Die zweite Zahl, die eigentlich zählt, ist das, was nach Steuern und Abgaben übrig bleibt, und hier lohnt der Blick auf den OECD-Steuerkeil (</w:t>
      </w:r>
      <w:r>
        <w:rPr>
          <w:i/>
          <w:iCs/>
        </w:rPr>
        <w:t>Tax Wedge</w:t>
      </w:r>
      <w:r>
        <w:t xml:space="preserve">, das Verhältnis aus Einkommensteuer plus Arbeitnehmer- und Arbeitgeberabgaben abzüglich Familienleistungen zu den gesamten Arbeitskosten). Für einen kinderlosen Durchschnittsverdiener lag er 2024 in Australien bei </w:t>
      </w:r>
      <w:r>
        <w:lastRenderedPageBreak/>
        <w:t>29,6 %, in Deutschland bei 49,3 % (2025) – nach Belgien der zweithöchste Wert unter 38 OECD-Ländern. Der Unterschied ist real, hat aber einen Preis: Deutschland zahlt dafür eine Krankenversicherung ohne Selbstbehalt, eine Pflegeversicherung und eine umlagefinanzierte Rente, die es in Australien s</w:t>
      </w:r>
      <w:r>
        <w:t>o nicht gibt (mehr dazu weiter unten bei der Superannuation).</w:t>
      </w:r>
    </w:p>
    <w:p w14:paraId="70A4EE70" w14:textId="77777777" w:rsidR="00C1548D" w:rsidRDefault="009B1B4B">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die faktische Steuerfreigrenze für die meisten auf rund 22.867 AUD. Dazu kommt die </w:t>
      </w:r>
      <w:r>
        <w:rPr>
          <w:i/>
          <w:iCs/>
        </w:rPr>
        <w:t>Medicare Levy</w:t>
      </w:r>
      <w:r>
        <w:t xml:space="preserve"> von pauschal 2,0 % des zu versteuernden Einkommens, die den öffentlichen Gesundheitsdienst mitfinanziert.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7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E71" w14:textId="77777777" w:rsidR="00C1548D" w:rsidRDefault="009B1B4B">
            <w:pPr>
              <w:keepNext/>
              <w:spacing w:after="70" w:line="240" w:lineRule="auto"/>
            </w:pPr>
            <w:r>
              <w:rPr>
                <w:b/>
                <w:bCs/>
                <w:color w:val="9B2C2C"/>
                <w:spacing w:val="24"/>
                <w:sz w:val="16"/>
                <w:szCs w:val="16"/>
              </w:rPr>
              <w:t>ACHTUNG</w:t>
            </w:r>
          </w:p>
          <w:p w14:paraId="70A4EE72" w14:textId="77777777" w:rsidR="00C1548D" w:rsidRDefault="009B1B4B">
            <w:pPr>
              <w:spacing w:after="80" w:line="264" w:lineRule="auto"/>
            </w:pPr>
            <w:r>
              <w:rPr>
                <w:sz w:val="20"/>
                <w:szCs w:val="20"/>
              </w:rPr>
              <w:t>Diese Sätze gelten nur, sobald du steuerlich als „Resident“ giltst. Wer diesen Status noch nicht hat – etwa in den ersten Monaten nach der Einreise oder mit einem befristeten Visum ohne gefestigten Wohnsitz –, zahlt als „Foreign Resident“ ohne jeden Steuerfreibetrag: 30 % ab dem ersten Dollar bis 135.000 AUD, danach dieselben oberen Stufen. Wer zusätzlich ohne vorgelegte Steuernummer (</w:t>
            </w:r>
            <w:r>
              <w:rPr>
                <w:i/>
                <w:iCs/>
                <w:sz w:val="20"/>
                <w:szCs w:val="20"/>
              </w:rPr>
              <w:t>Tax File Number</w:t>
            </w:r>
            <w:r>
              <w:rPr>
                <w:sz w:val="20"/>
                <w:szCs w:val="20"/>
              </w:rPr>
              <w:t>, TFN) arbeitet, riskiert eine Vorsteuer von 47 % auf den gesamten Lohn – zu viel gezahlte Beträge kommen erst mit der nächsten Steuererklärung zurück.</w:t>
            </w:r>
          </w:p>
        </w:tc>
      </w:tr>
    </w:tbl>
    <w:p w14:paraId="70A4EE74" w14:textId="77777777" w:rsidR="00C1548D" w:rsidRDefault="00C1548D">
      <w:pPr>
        <w:spacing w:line="220" w:lineRule="exact"/>
      </w:pPr>
    </w:p>
    <w:p w14:paraId="70A4EE75" w14:textId="77777777" w:rsidR="00C1548D" w:rsidRDefault="009B1B4B">
      <w:pPr>
        <w:spacing w:after="140"/>
      </w:pPr>
      <w:r>
        <w:t xml:space="preserve">Besserverdiener sollten außerdem die </w:t>
      </w:r>
      <w:r>
        <w:rPr>
          <w:i/>
          <w:iCs/>
        </w:rPr>
        <w:t>Medicare Levy Surcharge</w:t>
      </w:r>
      <w:r>
        <w:t xml:space="preserve"> (MLS, ein Zuschlag für Besserverdiener ohne private Krankenhausversicherung) im Blick behalten: Wer ohne private Absicherung mehr als 105.000 AUD (Singles) beziehungsweise 210.000 AUD (Familien) verdient, zahlt obendrauf 1,0 bis 1,5 % Aufschlag. Da die meisten befristeten Visa ohnehin eine private Zusatzversicherung verlangen (siehe unten), betrifft das vor allem </w:t>
      </w:r>
      <w:r>
        <w:lastRenderedPageBreak/>
        <w:t>Personen mit unbefristetem Aufenthaltstitel, die bewusst auf eine private Versicherung verzichten.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78"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E76" w14:textId="77777777" w:rsidR="00C1548D" w:rsidRDefault="009B1B4B">
            <w:pPr>
              <w:keepNext/>
              <w:spacing w:after="70" w:line="240" w:lineRule="auto"/>
            </w:pPr>
            <w:r>
              <w:rPr>
                <w:b/>
                <w:bCs/>
                <w:color w:val="2F6B3B"/>
                <w:spacing w:val="24"/>
                <w:sz w:val="16"/>
                <w:szCs w:val="16"/>
              </w:rPr>
              <w:t>SPARTIPP</w:t>
            </w:r>
          </w:p>
          <w:p w14:paraId="70A4EE77" w14:textId="77777777" w:rsidR="00C1548D" w:rsidRDefault="009B1B4B">
            <w:pPr>
              <w:spacing w:after="80" w:line="264" w:lineRule="auto"/>
            </w:pPr>
            <w:r>
              <w:rPr>
                <w:sz w:val="20"/>
                <w:szCs w:val="20"/>
              </w:rPr>
              <w:t>Beantrage die Steuernummer (TFN), sobald du in Australien angekommen bist – sie ist kostenlos, aber ohne sie behält jeder Arbeitgeber pauschal 47 % vom Lohn ein. Gerade in den ersten, schon teuren Wochen macht das einen spürbaren Unterschied für die Liquidität.</w:t>
            </w:r>
          </w:p>
        </w:tc>
      </w:tr>
    </w:tbl>
    <w:p w14:paraId="70A4EE79" w14:textId="77777777" w:rsidR="00C1548D" w:rsidRDefault="00C1548D">
      <w:pPr>
        <w:spacing w:line="220" w:lineRule="exact"/>
      </w:pPr>
    </w:p>
    <w:p w14:paraId="70A4EE7A" w14:textId="77777777" w:rsidR="00C1548D" w:rsidRDefault="009B1B4B">
      <w:pPr>
        <w:pStyle w:val="Heading3"/>
        <w:keepNext/>
        <w:jc w:val="center"/>
      </w:pPr>
      <w:r>
        <w:rPr>
          <w:rFonts w:ascii="Amazon Ember" w:eastAsia="Amazon Ember" w:hAnsi="Amazon Ember" w:cs="Amazon Ember"/>
          <w:color w:val="0000FF"/>
          <w:sz w:val="36"/>
          <w:szCs w:val="36"/>
        </w:rPr>
        <w:t>Lebenshaltungskosten: Sydney und Melbourne im Vergleich</w:t>
      </w:r>
    </w:p>
    <w:p w14:paraId="70A4EE7B" w14:textId="77777777" w:rsidR="00C1548D" w:rsidRDefault="009B1B4B">
      <w:pPr>
        <w:spacing w:after="140"/>
      </w:pPr>
      <w:r>
        <w:t>Nach dem Numbeo-Kostenindex (Mitte 2026, New York = 100, nutzergenerierte Vergleichsdaten, keine amtliche Statistik) liegt Sydney bei 75,1 Punkten (Miete 65,6), Melbourne bei 70,8 (Miete 56,9) – zum Vergleich München 76,1 (Miete 62,4) und Berlin 70,0 (Miete 54,9). Im Länderdurchschnitt liegt Australien insgesamt bei 71,4 (Miete 53,9), Deutschland bei 68,0 (Miete 47,0). Kurz gesagt: Wer aus München oder Hamburg kommt, erlebt in Sydney oder Melbourne keinen Kaufkraftschock – die Städte liegen in einer ähnlich</w:t>
      </w:r>
      <w:r>
        <w:t>en Liga, mit tendenziell etwas höheren Mieten in Australien.</w:t>
      </w:r>
    </w:p>
    <w:p w14:paraId="70A4EE7C" w14:textId="77777777" w:rsidR="00C1548D" w:rsidRDefault="009B1B4B">
      <w:pPr>
        <w:spacing w:after="140"/>
      </w:pPr>
      <w:r>
        <w:t>Diese Zahlen sagen nichts über die Verteilung innerhalb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w14:paraId="70A4EE7D" w14:textId="77777777" w:rsidR="00C1548D" w:rsidRDefault="009B1B4B">
      <w:pPr>
        <w:pStyle w:val="Heading3"/>
        <w:keepNext/>
        <w:jc w:val="center"/>
      </w:pPr>
      <w:r>
        <w:rPr>
          <w:rFonts w:ascii="Amazon Ember" w:eastAsia="Amazon Ember" w:hAnsi="Amazon Ember" w:cs="Amazon Ember"/>
          <w:color w:val="0000FF"/>
          <w:sz w:val="36"/>
          <w:szCs w:val="36"/>
        </w:rPr>
        <w:lastRenderedPageBreak/>
        <w:t>Gesundheit: Medicare, die Lücke und private Vorsorge</w:t>
      </w:r>
    </w:p>
    <w:p w14:paraId="70A4EE7E" w14:textId="77777777" w:rsidR="00C1548D" w:rsidRDefault="009B1B4B">
      <w:pPr>
        <w:spacing w:after="140"/>
      </w:pPr>
      <w:r>
        <w:t xml:space="preserve">Verbreiteter Irrtum: Wer aus einem EU-Land kommt, hat automatisch Zugang zum australischen Gesundheitssystem, ähnlich wie innerhalb der EU über die Europäische Krankenversicherungskarte. Tatsächlich unterhält Australien </w:t>
      </w:r>
      <w:r>
        <w:rPr>
          <w:i/>
          <w:iCs/>
        </w:rPr>
        <w:t>Reciprocal Health Care Agreements</w:t>
      </w:r>
      <w:r>
        <w:t xml:space="preserve"> (Gegenseitigkeitsabkommen für Gesundheitsversorgung) mit nur elf Ländern – darunter Großbritannien, Irland, die Niederlande, Belgien und Italien. Deutschland gehört nicht dazu. Wer mit einem befristeten Visum einreist – Working Holiday, Studium, arbeitgebergesponsertes Arbeitsvisum –, hat deshalb keinen Zugang zu Medicare und muss sich privat absichern, bis ein Daueraufenthaltstitel vorliegt.</w:t>
      </w:r>
    </w:p>
    <w:p w14:paraId="70A4EE7F" w14:textId="7DA91FEF" w:rsidR="00C1548D" w:rsidRDefault="009B1B4B">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einreist, ist von Ankunft an </w:t>
      </w:r>
      <w:r>
        <w:rPr>
          <w:i/>
          <w:iCs/>
        </w:rPr>
        <w:t>Permanent Resident</w:t>
      </w:r>
      <w:r>
        <w:t xml:space="preserve"> und damit sofort Medicare-berechtigt – ein Unterschied, der bei der Wahl des Einwanderungswegs mitentscheiden sollte (mehr dazu im </w:t>
      </w:r>
      <w:hyperlink w:anchor="tau02" w:history="1">
        <w:r>
          <w:rPr>
            <w:color w:val="0563C1"/>
            <w:u w:val="single"/>
          </w:rPr>
          <w:t>Kapitel zu den Einwanderungswegen in diesem Teil</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8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E80" w14:textId="77777777" w:rsidR="00C1548D" w:rsidRDefault="009B1B4B">
            <w:pPr>
              <w:keepNext/>
              <w:spacing w:after="70" w:line="240" w:lineRule="auto"/>
            </w:pPr>
            <w:r>
              <w:rPr>
                <w:b/>
                <w:bCs/>
                <w:color w:val="8A6212"/>
                <w:spacing w:val="24"/>
                <w:sz w:val="16"/>
                <w:szCs w:val="16"/>
              </w:rPr>
              <w:t>MERKE</w:t>
            </w:r>
          </w:p>
          <w:p w14:paraId="70A4EE81" w14:textId="77777777" w:rsidR="00C1548D" w:rsidRDefault="009B1B4B">
            <w:pPr>
              <w:spacing w:after="80" w:line="264" w:lineRule="auto"/>
            </w:pPr>
            <w:r>
              <w:rPr>
                <w:sz w:val="20"/>
                <w:szCs w:val="20"/>
              </w:rPr>
              <w:t>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tc>
      </w:tr>
    </w:tbl>
    <w:p w14:paraId="70A4EE83" w14:textId="77777777" w:rsidR="00C1548D" w:rsidRDefault="00C1548D">
      <w:pPr>
        <w:spacing w:line="220" w:lineRule="exact"/>
      </w:pPr>
    </w:p>
    <w:p w14:paraId="70A4EE84" w14:textId="77777777" w:rsidR="00C1548D" w:rsidRDefault="009B1B4B">
      <w:pPr>
        <w:pStyle w:val="Heading3"/>
        <w:keepNext/>
        <w:jc w:val="center"/>
      </w:pPr>
      <w:r>
        <w:rPr>
          <w:rFonts w:ascii="Amazon Ember" w:eastAsia="Amazon Ember" w:hAnsi="Amazon Ember" w:cs="Amazon Ember"/>
          <w:color w:val="0000FF"/>
          <w:sz w:val="36"/>
          <w:szCs w:val="36"/>
        </w:rPr>
        <w:lastRenderedPageBreak/>
        <w:t>Superannuation statt gesetzlicher Rente</w:t>
      </w:r>
    </w:p>
    <w:p w14:paraId="70A4EE85" w14:textId="77777777" w:rsidR="00C1548D" w:rsidRDefault="009B1B4B">
      <w:pPr>
        <w:spacing w:after="140"/>
      </w:pPr>
      <w:r>
        <w:t xml:space="preserve">Australien kennt keine umlagefinanzierte gesetzliche Rentenversicherung nach deutschem Vorbild. Stattdessen zahlt der Arbeitgeber verpflichtend in einen individuellen Altersvorsorgefonds ein, die </w:t>
      </w:r>
      <w:r>
        <w:rPr>
          <w:i/>
          <w:iCs/>
        </w:rPr>
        <w:t>Superannuation</w:t>
      </w:r>
      <w:r>
        <w:t>: seit dem 1. Juli 2025 sind das 12,0 % des regulären Arbeitsentgelts, die letzte gesetzlich vorgesehene Erhöhungsstufe. Ab dem 1. Juli 2026 gilt zusätzlich „Payday Super“: Der Arbeitgeber muss den Beitrag zeitgleich mit dem Gehalt überweisen statt, wie bisher üblich, gesammelt pro Quartal. Regulären Zugriff auf das Guthaben gibt es erst ab 60 Jahren.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8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E86" w14:textId="77777777" w:rsidR="00C1548D" w:rsidRDefault="009B1B4B">
            <w:pPr>
              <w:keepNext/>
              <w:spacing w:after="70" w:line="240" w:lineRule="auto"/>
            </w:pPr>
            <w:r>
              <w:rPr>
                <w:b/>
                <w:bCs/>
                <w:color w:val="9B2C2C"/>
                <w:spacing w:val="24"/>
                <w:sz w:val="16"/>
                <w:szCs w:val="16"/>
              </w:rPr>
              <w:t>ACHTUNG</w:t>
            </w:r>
          </w:p>
          <w:p w14:paraId="70A4EE87" w14:textId="77777777" w:rsidR="00C1548D" w:rsidRDefault="009B1B4B">
            <w:pPr>
              <w:spacing w:after="80" w:line="264" w:lineRule="auto"/>
            </w:pPr>
            <w:r>
              <w:rPr>
                <w:sz w:val="20"/>
                <w:szCs w:val="20"/>
              </w:rPr>
              <w:t xml:space="preserve">Wer Australien als befristeter Visuminhaber – etwa nach einem Working-Holiday-Aufenthalt – dauerhaft wieder verlässt, kann sich das angesparte Superannuation-Guthaben als </w:t>
            </w:r>
            <w:r>
              <w:rPr>
                <w:i/>
                <w:iCs/>
                <w:sz w:val="20"/>
                <w:szCs w:val="20"/>
              </w:rPr>
              <w:t>Departing Australia Superannuation Payment</w:t>
            </w:r>
            <w:r>
              <w:rPr>
                <w:sz w:val="20"/>
                <w:szCs w:val="20"/>
              </w:rPr>
              <w:t xml:space="preserve"> (DASP) auszahlen lassen. Der Steuerabzug darauf ist happig: 65 % für alle, deren Guthaben auch nur teilweise aus einer Working-Holiday-Beschäftigung stammt, 35 % für die meisten anderen befristeten Aufenthaltstitel. Von zwölf eingezahlten Prozent bleibt danach oft nur noch gut ein Drittel übrig – eine Zahl, die in kaum einem Auswanderer-Forum in der gebotenen Deutlichkeit steht.</w:t>
            </w:r>
          </w:p>
        </w:tc>
      </w:tr>
    </w:tbl>
    <w:p w14:paraId="70A4EE89" w14:textId="77777777" w:rsidR="00C1548D" w:rsidRDefault="00C1548D">
      <w:pPr>
        <w:spacing w:line="220" w:lineRule="exact"/>
      </w:pPr>
    </w:p>
    <w:p w14:paraId="70A4EE8A" w14:textId="77777777" w:rsidR="00C1548D" w:rsidRDefault="009B1B4B">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 wer sich für Australien entscheidet, tauscht ein Stück kollektiver Absicherung gegen ein eigenes, aber auch stärker marktabhängiges Polster.</w:t>
      </w:r>
    </w:p>
    <w:p w14:paraId="70A4EE8B" w14:textId="77777777" w:rsidR="00C1548D" w:rsidRDefault="009B1B4B">
      <w:pPr>
        <w:pStyle w:val="Heading3"/>
        <w:keepNext/>
        <w:jc w:val="center"/>
      </w:pPr>
      <w:r>
        <w:rPr>
          <w:rFonts w:ascii="Amazon Ember" w:eastAsia="Amazon Ember" w:hAnsi="Amazon Ember" w:cs="Amazon Ember"/>
          <w:color w:val="0000FF"/>
          <w:sz w:val="36"/>
          <w:szCs w:val="36"/>
        </w:rPr>
        <w:t>Was der Umzug selbst kostet</w:t>
      </w:r>
    </w:p>
    <w:p w14:paraId="70A4EE8C" w14:textId="63172FDF" w:rsidR="00C1548D" w:rsidRDefault="009B1B4B">
      <w:pPr>
        <w:spacing w:after="140"/>
      </w:pPr>
      <w:r>
        <w:t xml:space="preserve">Schon vor dem ersten Gehaltseingang verlangt Australien Vorleistungen. Ein Skilled-Visum (Subclass 189, 190 oder 491) </w:t>
      </w:r>
      <w:r>
        <w:lastRenderedPageBreak/>
        <w:t>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oft ein kostenpflichtiger Sprachtest und, je nach Beruf, eine Kompetenzbewertung durch eine anerkannte Fachstelle (</w:t>
      </w:r>
      <w:r>
        <w:rPr>
          <w:i/>
          <w:iCs/>
        </w:rPr>
        <w:t>Skills Assessment</w:t>
      </w:r>
      <w:r>
        <w:t xml:space="preserve">, etwa Engineers Australia oder den Australian Computer Society) – deren Gebühren und Fristen von Berufsverband zu Berufsverband stark schwanken. Für eine vierköpfige Familie kommen so leicht mehrere Zehntausend AUD zusammen, bevor überhaupt ein Flug gebucht ist. Details zu den einzelnen Wegen, ihren Fristen und Kosten stehen im </w:t>
      </w:r>
      <w:hyperlink w:anchor="tau02" w:history="1">
        <w:r>
          <w:rPr>
            <w:color w:val="0563C1"/>
            <w:u w:val="single"/>
          </w:rPr>
          <w:t>nächsten Kapitel dieses Teils</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8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E8D" w14:textId="77777777" w:rsidR="00C1548D" w:rsidRDefault="009B1B4B">
            <w:pPr>
              <w:keepNext/>
              <w:spacing w:after="70" w:line="240" w:lineRule="auto"/>
            </w:pPr>
            <w:r>
              <w:rPr>
                <w:b/>
                <w:bCs/>
                <w:color w:val="4A5568"/>
                <w:spacing w:val="24"/>
                <w:sz w:val="16"/>
                <w:szCs w:val="16"/>
              </w:rPr>
              <w:t>PRAXISBEISPIEL · FIKTIV</w:t>
            </w:r>
          </w:p>
          <w:p w14:paraId="70A4EE8E" w14:textId="77777777" w:rsidR="00C1548D" w:rsidRDefault="009B1B4B">
            <w:pPr>
              <w:spacing w:after="80" w:line="264" w:lineRule="auto"/>
            </w:pPr>
            <w:r>
              <w:rPr>
                <w:sz w:val="20"/>
                <w:szCs w:val="20"/>
              </w:rPr>
              <w:t>Familie Reinhardt (fiktiv) rechnete vor der Entscheidung zweimal nach. Thomas’ Punktestand von 85 lag komfortabel über dem gesetzlichen Minimum von 65 – realistisch für einen Bauingenieur mit einigen Jahren Berufserfahrung und solidem Englisch. An Antragsgebühren, Gesundheitschecks und Führungszeugnissen für die ganze Familie kamen dennoch über 10.000 AUD zusammen, bevor die erste Gehaltsabrechnung in Melbourne überhaupt existierte. Auf der Habenseite stand: Als Inhaber eines permanenten Visums waren Thomas</w:t>
            </w:r>
            <w:r>
              <w:rPr>
                <w:sz w:val="20"/>
                <w:szCs w:val="20"/>
              </w:rPr>
              <w:t>, Sandra, Emil und Clara ab dem Tag der Einreise bei Medicare angemeldet – die monatelange Versicherungslücke, die viele befristete Visa-Inhaber überbrücken müssen, blieb ihnen erspart.</w:t>
            </w:r>
          </w:p>
        </w:tc>
      </w:tr>
    </w:tbl>
    <w:p w14:paraId="70A4EE90" w14:textId="77777777" w:rsidR="00C1548D" w:rsidRDefault="00C1548D">
      <w:pPr>
        <w:spacing w:line="220" w:lineRule="exact"/>
      </w:pPr>
    </w:p>
    <w:p w14:paraId="70A4EE91" w14:textId="77777777" w:rsidR="00C1548D" w:rsidRDefault="009B1B4B">
      <w:pPr>
        <w:pStyle w:val="Heading3"/>
        <w:keepNext/>
        <w:jc w:val="center"/>
      </w:pPr>
      <w:r>
        <w:rPr>
          <w:rFonts w:ascii="Amazon Ember" w:eastAsia="Amazon Ember" w:hAnsi="Amazon Ember" w:cs="Amazon Ember"/>
          <w:color w:val="0000FF"/>
          <w:sz w:val="36"/>
          <w:szCs w:val="36"/>
        </w:rPr>
        <w:t>Was sich nicht in AUD messen lässt</w:t>
      </w:r>
    </w:p>
    <w:p w14:paraId="70A4EE92" w14:textId="77777777" w:rsidR="00C1548D" w:rsidRDefault="009B1B4B">
      <w:pPr>
        <w:spacing w:after="140"/>
      </w:pPr>
      <w:r>
        <w:t xml:space="preserve">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 sodass ein </w:t>
      </w:r>
      <w:r>
        <w:lastRenderedPageBreak/>
        <w:t>spontaner Sonntagsanruf bei den Eltern schnell zur Kalenderfrage wird. In Australien lebten 2021 rund 107.940 in Deutschland geborene Personen, eine überschaubare, über den Kontinent verteilte Community. Wer stark auf schnelle, spontane Familienbesuche angewiesen ist, sollte diesen Punkt genauso ernst nehmen wie die Steuertabelle.</w:t>
      </w:r>
    </w:p>
    <w:p w14:paraId="70A4EE93" w14:textId="77777777" w:rsidR="00C1548D" w:rsidRDefault="009B1B4B">
      <w:pPr>
        <w:pStyle w:val="Heading3"/>
        <w:keepNext/>
        <w:jc w:val="center"/>
      </w:pPr>
      <w:r>
        <w:rPr>
          <w:rFonts w:ascii="Amazon Ember" w:eastAsia="Amazon Ember" w:hAnsi="Amazon Ember" w:cs="Amazon Ember"/>
          <w:color w:val="0000FF"/>
          <w:sz w:val="36"/>
          <w:szCs w:val="36"/>
        </w:rPr>
        <w:t>Wer profitiert, wer nicht</w:t>
      </w:r>
    </w:p>
    <w:p w14:paraId="70A4EE94" w14:textId="77777777" w:rsidR="00C1548D" w:rsidRDefault="009B1B4B">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 nicht trotz, sondern gerade wegen der Working-Holiday-Option, die einen risikoarmen ersten Schritt erlaubt, bevor die große Entscheidung ansteht.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97"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E95" w14:textId="77777777" w:rsidR="00C1548D" w:rsidRDefault="009B1B4B">
            <w:pPr>
              <w:keepNext/>
              <w:spacing w:after="70" w:line="240" w:lineRule="auto"/>
            </w:pPr>
            <w:r>
              <w:rPr>
                <w:b/>
                <w:bCs/>
                <w:color w:val="4A5568"/>
                <w:spacing w:val="24"/>
                <w:sz w:val="16"/>
                <w:szCs w:val="16"/>
              </w:rPr>
              <w:t>PRAXISBEISPIEL · FIKTIV</w:t>
            </w:r>
          </w:p>
          <w:p w14:paraId="70A4EE96" w14:textId="77777777" w:rsidR="00C1548D" w:rsidRDefault="009B1B4B">
            <w:pPr>
              <w:spacing w:after="80" w:line="264" w:lineRule="auto"/>
            </w:pPr>
            <w:r>
              <w:rPr>
                <w:sz w:val="20"/>
                <w:szCs w:val="20"/>
              </w:rPr>
              <w:t xml:space="preserve">Nina Voss (fiktiv), 27, aus Hamburg, kam mit einem Working-Holiday-Visum (für deutsche Staatsangehörige Subclass 417) nach Sydney – ohne Punktetest, ohne Arbeitgeber, ohne Skills Assessment. Die Ernüchterung kam mit der ersten Gehaltsabrechnung: Als Inhaberin eines Working-Holiday-Visums zahlte sie von Anfang an 15 % Steuern auf jeden verdienten Dollar, ganz ohne Steuerfreibetrag – ein Detail, das in den einschlägigen Reiseblogs gern unterschlagen wird. Erst als sie über einen Arbeitgeber ein Skilled-Visum </w:t>
            </w:r>
            <w:r>
              <w:rPr>
                <w:sz w:val="20"/>
                <w:szCs w:val="20"/>
              </w:rPr>
              <w:t>in Aussicht hatte, änderte sich die Rechnung spürbar: geringere Steuerlast, aber auch die Bindung an einen Sponsor.</w:t>
            </w:r>
          </w:p>
        </w:tc>
      </w:tr>
    </w:tbl>
    <w:p w14:paraId="70A4EE98" w14:textId="77777777" w:rsidR="00C1548D" w:rsidRDefault="00C1548D">
      <w:pPr>
        <w:spacing w:line="220" w:lineRule="exact"/>
      </w:pPr>
    </w:p>
    <w:p w14:paraId="70A4EE99" w14:textId="77777777" w:rsidR="00C1548D" w:rsidRDefault="009B1B4B">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grundsätzlich verschlossen, sodass nur noch der Arbeitgeberweg bleibt (mehr dazu im nächsten Kapitel).</w:t>
      </w:r>
    </w:p>
    <w:p w14:paraId="70A4EE9A"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E9D"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E9B"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E9C" w14:textId="77777777" w:rsidR="00C1548D" w:rsidRDefault="009B1B4B">
            <w:pPr>
              <w:spacing w:line="250" w:lineRule="auto"/>
            </w:pPr>
            <w:r>
              <w:rPr>
                <w:b/>
                <w:bCs/>
                <w:sz w:val="18"/>
                <w:szCs w:val="18"/>
              </w:rPr>
              <w:t>Minus</w:t>
            </w:r>
          </w:p>
        </w:tc>
      </w:tr>
      <w:tr w:rsidR="00C1548D" w14:paraId="70A4EEA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9E" w14:textId="77777777" w:rsidR="00C1548D" w:rsidRDefault="009B1B4B">
            <w:pPr>
              <w:spacing w:line="250" w:lineRule="auto"/>
            </w:pPr>
            <w:r>
              <w:rPr>
                <w:sz w:val="18"/>
                <w:szCs w:val="18"/>
              </w:rPr>
              <w:t>Niedrigerer Steuerkeil als in Deutschland (rund 29,6 % vs. 49,3 %)</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9F" w14:textId="77777777" w:rsidR="00C1548D" w:rsidRDefault="009B1B4B">
            <w:pPr>
              <w:spacing w:line="250" w:lineRule="auto"/>
            </w:pPr>
            <w:r>
              <w:rPr>
                <w:sz w:val="18"/>
                <w:szCs w:val="18"/>
              </w:rPr>
              <w:t>Vorabkosten von mehreren Tausend AUD schon vor dem ersten Gehalt</w:t>
            </w:r>
          </w:p>
        </w:tc>
      </w:tr>
      <w:tr w:rsidR="00C1548D" w14:paraId="70A4EEA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A1" w14:textId="77777777" w:rsidR="00C1548D" w:rsidRDefault="009B1B4B">
            <w:pPr>
              <w:spacing w:line="250" w:lineRule="auto"/>
            </w:pPr>
            <w:r>
              <w:rPr>
                <w:sz w:val="18"/>
                <w:szCs w:val="18"/>
              </w:rPr>
              <w:t>Melbourne und Sydney bei Lebenshaltungskosten nahe an München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A2" w14:textId="77777777" w:rsidR="00C1548D" w:rsidRDefault="009B1B4B">
            <w:pPr>
              <w:spacing w:line="250" w:lineRule="auto"/>
            </w:pPr>
            <w:r>
              <w:rPr>
                <w:sz w:val="18"/>
                <w:szCs w:val="18"/>
              </w:rPr>
              <w:t>Miete und Gesundheitskosten regional sehr unterschiedlich</w:t>
            </w:r>
          </w:p>
        </w:tc>
      </w:tr>
      <w:tr w:rsidR="00C1548D" w14:paraId="70A4EEA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A4" w14:textId="77777777" w:rsidR="00C1548D" w:rsidRDefault="009B1B4B">
            <w:pPr>
              <w:spacing w:line="250" w:lineRule="auto"/>
            </w:pPr>
            <w:r>
              <w:rPr>
                <w:sz w:val="18"/>
                <w:szCs w:val="18"/>
              </w:rPr>
              <w:t>Medicare sofort bei permanentem Visum, gute Grundversorgung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A5" w14:textId="77777777" w:rsidR="00C1548D" w:rsidRDefault="009B1B4B">
            <w:pPr>
              <w:spacing w:line="250" w:lineRule="auto"/>
            </w:pPr>
            <w:r>
              <w:rPr>
                <w:sz w:val="18"/>
                <w:szCs w:val="18"/>
              </w:rPr>
              <w:t>Ohne Gegenseitigkeitsabkommen: private Zusatzversicherung bis zur PR nötig</w:t>
            </w:r>
          </w:p>
        </w:tc>
      </w:tr>
      <w:tr w:rsidR="00C1548D" w14:paraId="70A4EEA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A7" w14:textId="77777777" w:rsidR="00C1548D" w:rsidRDefault="009B1B4B">
            <w:pPr>
              <w:spacing w:line="250" w:lineRule="auto"/>
            </w:pPr>
            <w:r>
              <w:rPr>
                <w:sz w:val="18"/>
                <w:szCs w:val="18"/>
              </w:rPr>
              <w:t>Superannuation wächst arbeitgeberfinanziert und portabel mit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A8" w14:textId="77777777" w:rsidR="00C1548D" w:rsidRDefault="009B1B4B">
            <w:pPr>
              <w:spacing w:line="250" w:lineRule="auto"/>
            </w:pPr>
            <w:r>
              <w:rPr>
                <w:sz w:val="18"/>
                <w:szCs w:val="18"/>
              </w:rPr>
              <w:t>Bei vorzeitiger Ausreise bis zu 65 % Steuer auf das Ersparte</w:t>
            </w:r>
          </w:p>
        </w:tc>
      </w:tr>
      <w:tr w:rsidR="00C1548D" w14:paraId="70A4EEA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AA" w14:textId="77777777" w:rsidR="00C1548D" w:rsidRDefault="009B1B4B">
            <w:pPr>
              <w:spacing w:line="250" w:lineRule="auto"/>
            </w:pPr>
            <w:r>
              <w:rPr>
                <w:sz w:val="18"/>
                <w:szCs w:val="18"/>
              </w:rPr>
              <w:t>Planbares Punktesystem statt Losverfahren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AB" w14:textId="77777777" w:rsidR="00C1548D" w:rsidRDefault="009B1B4B">
            <w:pPr>
              <w:spacing w:line="250" w:lineRule="auto"/>
            </w:pPr>
            <w:r>
              <w:rPr>
                <w:sz w:val="18"/>
                <w:szCs w:val="18"/>
              </w:rPr>
              <w:t>Ab 45 Jahren kein punktebasierter Weg mehr möglich</w:t>
            </w:r>
          </w:p>
        </w:tc>
      </w:tr>
      <w:tr w:rsidR="00C1548D" w14:paraId="70A4EEA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AD" w14:textId="77777777" w:rsidR="00C1548D" w:rsidRDefault="009B1B4B">
            <w:pPr>
              <w:spacing w:line="250" w:lineRule="auto"/>
            </w:pPr>
            <w:r>
              <w:rPr>
                <w:sz w:val="18"/>
                <w:szCs w:val="18"/>
              </w:rPr>
              <w:t>Keine Einbahnstraße: Working Holiday als risikoarmer erster Schritt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EAE" w14:textId="77777777" w:rsidR="00C1548D" w:rsidRDefault="009B1B4B">
            <w:pPr>
              <w:spacing w:line="250" w:lineRule="auto"/>
            </w:pPr>
            <w:r>
              <w:rPr>
                <w:sz w:val="18"/>
                <w:szCs w:val="18"/>
              </w:rPr>
              <w:t>20 Stunden Reisezeit und keine Direktflüge nach Deutschland</w:t>
            </w:r>
          </w:p>
        </w:tc>
      </w:tr>
    </w:tbl>
    <w:p w14:paraId="70A4EEB0" w14:textId="77777777" w:rsidR="00C1548D" w:rsidRDefault="00C1548D">
      <w:pPr>
        <w:spacing w:line="180" w:lineRule="exact"/>
      </w:pPr>
    </w:p>
    <w:p w14:paraId="70A4EEB1"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EB2" w14:textId="54ECB883" w:rsidR="00C1548D" w:rsidRDefault="009B1B4B">
      <w:pPr>
        <w:spacing w:after="140"/>
      </w:pPr>
      <w:r>
        <w:t xml:space="preserve">Rechne, bevor du dich entscheidest, mit deinen eigenen Zahlen: Trage dein voraussichtliches Bruttogehalt in die Steuerstaffel oben ein, ziehe Medicare Levy und, falls nötig, private Krankenversicherung ab, und vergleiche das Ergebnis mit deiner heutigen deutschen Gehaltsabrechnung – nicht mit dem Bruttogehalt. Kläre parallel, ob dein Beruf überhaupt für den Punktetest infrage kommt und wie viele Punkte realistisch erreichbar sind; das </w:t>
      </w:r>
      <w:hyperlink w:anchor="tau02" w:history="1">
        <w:r>
          <w:rPr>
            <w:color w:val="0563C1"/>
            <w:u w:val="single"/>
          </w:rPr>
          <w:t>nächste Kapitel dieses Teils</w:t>
        </w:r>
      </w:hyperlink>
      <w:r>
        <w:t xml:space="preserve"> zeigt die einzelnen Wege im Detail. Und plane die Vorlaufkosten – Antrag, Gesundheitscheck, Skills Assessment, Führungszeugnisse – als eigenen Posten ein, getrennt vom eigentlichen Umzugsbudget.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BA"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EB3" w14:textId="77777777" w:rsidR="00C1548D" w:rsidRDefault="009B1B4B">
            <w:pPr>
              <w:keepNext/>
              <w:spacing w:after="70" w:line="240" w:lineRule="auto"/>
            </w:pPr>
            <w:r>
              <w:rPr>
                <w:b/>
                <w:bCs/>
                <w:color w:val="1F6F78"/>
                <w:spacing w:val="24"/>
                <w:sz w:val="16"/>
                <w:szCs w:val="16"/>
              </w:rPr>
              <w:lastRenderedPageBreak/>
              <w:t>CHECKLISTE</w:t>
            </w:r>
          </w:p>
          <w:p w14:paraId="70A4EEB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Eigenes Bruttogehalt in die australische Steuerstaffel eingetragen und mit der deutschen Nettoabrechnung verglichen</w:t>
            </w:r>
          </w:p>
          <w:p w14:paraId="70A4EEB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der Beruf für einen Punktetest-Weg (189/190/491) infrage kommt oder ob nur der Arbeitgeberweg bleibt</w:t>
            </w:r>
          </w:p>
          <w:p w14:paraId="70A4EEB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Kosten für Antrag, Gesundheitsuntersuchung, Skills Assessment und Führungszeugnisse überschlägig zusammengerechnet</w:t>
            </w:r>
          </w:p>
          <w:p w14:paraId="70A4EEB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Geklärt, ob und wie lange eine private Zusatzversicherung bis zum Medicare-Zugang nötig ist</w:t>
            </w:r>
          </w:p>
          <w:p w14:paraId="70A4EEB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Lebenshaltungskosten am konkreten Zielort, nicht nur den Landesdurchschnitt, recherchiert</w:t>
            </w:r>
          </w:p>
          <w:p w14:paraId="70A4EEB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Überlegt, wie die Superannuation im Fall einer späteren Rückkehr nach Deutschland zu bewerten ist</w:t>
            </w:r>
          </w:p>
        </w:tc>
      </w:tr>
    </w:tbl>
    <w:p w14:paraId="70A4EEBB" w14:textId="77777777" w:rsidR="00C1548D" w:rsidRDefault="00C1548D">
      <w:pPr>
        <w:spacing w:line="220" w:lineRule="exact"/>
      </w:pPr>
    </w:p>
    <w:p w14:paraId="70A4EEBC"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EBD" w14:textId="04E5B1D9" w:rsidR="00C1548D" w:rsidRDefault="009B1B4B" w:rsidP="009B1B4B">
      <w:pPr>
        <w:pStyle w:val="ListParagraph"/>
        <w:numPr>
          <w:ilvl w:val="0"/>
          <w:numId w:val="1"/>
        </w:numPr>
        <w:spacing w:after="60"/>
      </w:pPr>
      <w:r>
        <w:t>Department of Home Affairs — Visa-Gebühren und Bearbeitungszeiten (</w:t>
      </w:r>
      <w:hyperlink r:id="rId373" w:history="1">
        <w:r>
          <w:rPr>
            <w:color w:val="0563C1"/>
            <w:u w:val="single"/>
          </w:rPr>
          <w:t>immi.homeaffairs.gov.au</w:t>
        </w:r>
      </w:hyperlink>
      <w:r>
        <w:t>)</w:t>
      </w:r>
    </w:p>
    <w:p w14:paraId="70A4EEBE" w14:textId="2C62134B" w:rsidR="00C1548D" w:rsidRDefault="009B1B4B" w:rsidP="009B1B4B">
      <w:pPr>
        <w:pStyle w:val="ListParagraph"/>
        <w:numPr>
          <w:ilvl w:val="0"/>
          <w:numId w:val="1"/>
        </w:numPr>
        <w:spacing w:after="60"/>
      </w:pPr>
      <w:r>
        <w:t>Australian Taxation Office — Einkommensteuersätze und Medicare Levy (</w:t>
      </w:r>
      <w:hyperlink r:id="rId374" w:history="1">
        <w:r>
          <w:rPr>
            <w:color w:val="0563C1"/>
            <w:u w:val="single"/>
          </w:rPr>
          <w:t>ato.gov.au</w:t>
        </w:r>
      </w:hyperlink>
      <w:r>
        <w:t>)</w:t>
      </w:r>
    </w:p>
    <w:p w14:paraId="70A4EEBF" w14:textId="73EC278A" w:rsidR="00C1548D" w:rsidRDefault="009B1B4B" w:rsidP="009B1B4B">
      <w:pPr>
        <w:pStyle w:val="ListParagraph"/>
        <w:numPr>
          <w:ilvl w:val="0"/>
          <w:numId w:val="1"/>
        </w:numPr>
        <w:spacing w:after="60"/>
      </w:pPr>
      <w:r>
        <w:t>Services Australia — Medicare und Reciprocal Health Care Agreements (</w:t>
      </w:r>
      <w:hyperlink r:id="rId375" w:history="1">
        <w:r>
          <w:rPr>
            <w:color w:val="0563C1"/>
            <w:u w:val="single"/>
          </w:rPr>
          <w:t>servicesaustralia.gov.au</w:t>
        </w:r>
      </w:hyperlink>
      <w:r>
        <w:t>)</w:t>
      </w:r>
    </w:p>
    <w:p w14:paraId="70A4EEC0" w14:textId="6D95FC05" w:rsidR="00C1548D" w:rsidRDefault="009B1B4B" w:rsidP="009B1B4B">
      <w:pPr>
        <w:pStyle w:val="ListParagraph"/>
        <w:numPr>
          <w:ilvl w:val="0"/>
          <w:numId w:val="1"/>
        </w:numPr>
        <w:spacing w:after="60"/>
      </w:pPr>
      <w:r>
        <w:t>Australian Taxation Office — Superannuation und Departing Australia Superannuation Payment (</w:t>
      </w:r>
      <w:hyperlink r:id="rId376" w:history="1">
        <w:r>
          <w:rPr>
            <w:color w:val="0563C1"/>
            <w:u w:val="single"/>
          </w:rPr>
          <w:t>ato.gov.au</w:t>
        </w:r>
      </w:hyperlink>
      <w:r>
        <w:t>)</w:t>
      </w:r>
    </w:p>
    <w:p w14:paraId="70A4EEC1" w14:textId="40DFEA38" w:rsidR="00C1548D" w:rsidRDefault="009B1B4B" w:rsidP="009B1B4B">
      <w:pPr>
        <w:pStyle w:val="ListParagraph"/>
        <w:numPr>
          <w:ilvl w:val="0"/>
          <w:numId w:val="1"/>
        </w:numPr>
        <w:spacing w:after="60"/>
      </w:pPr>
      <w:r>
        <w:t>OECD — Taxing Wages, Steuerkeil-Vergleich (</w:t>
      </w:r>
      <w:hyperlink r:id="rId377" w:history="1">
        <w:r>
          <w:rPr>
            <w:color w:val="0563C1"/>
            <w:u w:val="single"/>
          </w:rPr>
          <w:t>oecd.org</w:t>
        </w:r>
      </w:hyperlink>
      <w:r>
        <w:t>)</w:t>
      </w:r>
    </w:p>
    <w:p w14:paraId="70A4EEC2" w14:textId="6F1736AA" w:rsidR="00C1548D" w:rsidRDefault="009B1B4B" w:rsidP="009B1B4B">
      <w:pPr>
        <w:pStyle w:val="ListParagraph"/>
        <w:numPr>
          <w:ilvl w:val="0"/>
          <w:numId w:val="1"/>
        </w:numPr>
        <w:spacing w:after="60"/>
      </w:pPr>
      <w:r>
        <w:t>Numbeo — Lebenshaltungskosten im Städtevergleich (</w:t>
      </w:r>
      <w:hyperlink r:id="rId378" w:history="1">
        <w:r>
          <w:rPr>
            <w:color w:val="0563C1"/>
            <w:u w:val="single"/>
          </w:rPr>
          <w:t>numbeo.com</w:t>
        </w:r>
      </w:hyperlink>
      <w:r>
        <w:t>)</w:t>
      </w:r>
    </w:p>
    <w:p w14:paraId="70A4EEC3"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C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EC4" w14:textId="77777777" w:rsidR="00C1548D" w:rsidRDefault="009B1B4B">
            <w:pPr>
              <w:keepNext/>
              <w:spacing w:after="70" w:line="240" w:lineRule="auto"/>
            </w:pPr>
            <w:r>
              <w:rPr>
                <w:b/>
                <w:bCs/>
                <w:color w:val="6B7280"/>
                <w:spacing w:val="24"/>
                <w:sz w:val="16"/>
                <w:szCs w:val="16"/>
              </w:rPr>
              <w:lastRenderedPageBreak/>
              <w:t>STAND</w:t>
            </w:r>
          </w:p>
          <w:p w14:paraId="70A4EEC5" w14:textId="77777777" w:rsidR="00C1548D" w:rsidRDefault="009B1B4B">
            <w:pPr>
              <w:spacing w:after="80" w:line="264" w:lineRule="auto"/>
            </w:pPr>
            <w:r>
              <w:rPr>
                <w:sz w:val="20"/>
                <w:szCs w:val="20"/>
              </w:rPr>
              <w:t>23.09.2026. Visagebühren wurden zum 1. Juli 2026 um rund 25 % angehoben, Steuerstufen und Freibeträge werden jährlich angepasst, und die Working-Holiday-Regeln ändern sich 2026 mehrfach (Altersgrenze, Losverfahren für das zweite Jahr). Prüfe vor jeder Entscheidung die aktuellen Werte auf immi.homeaffairs.gov.au und ato.gov.au.</w:t>
            </w:r>
          </w:p>
        </w:tc>
      </w:tr>
    </w:tbl>
    <w:p w14:paraId="70A4EEC7" w14:textId="77777777" w:rsidR="00C1548D" w:rsidRDefault="00C1548D">
      <w:pPr>
        <w:spacing w:line="220" w:lineRule="exact"/>
      </w:pPr>
    </w:p>
    <w:p w14:paraId="70A4EEC8" w14:textId="77777777" w:rsidR="00C1548D" w:rsidRDefault="009B1B4B">
      <w:pPr>
        <w:pStyle w:val="Heading2"/>
        <w:keepNext/>
        <w:pageBreakBefore/>
        <w:jc w:val="center"/>
      </w:pPr>
      <w:bookmarkStart w:id="104" w:name="tau02"/>
      <w:bookmarkStart w:id="105" w:name="_Toc241352503"/>
      <w:r>
        <w:rPr>
          <w:rFonts w:ascii="Amazon Ember" w:eastAsia="Amazon Ember" w:hAnsi="Amazon Ember" w:cs="Amazon Ember"/>
          <w:color w:val="0000FF"/>
          <w:sz w:val="36"/>
          <w:szCs w:val="36"/>
        </w:rPr>
        <w:lastRenderedPageBreak/>
        <w:t>Australien: Wege der Einwanderung</w:t>
      </w:r>
      <w:bookmarkEnd w:id="104"/>
      <w:bookmarkEnd w:id="105"/>
    </w:p>
    <w:p w14:paraId="70A4EEC9" w14:textId="77777777" w:rsidR="00C1548D" w:rsidRDefault="009B1B4B">
      <w:pPr>
        <w:spacing w:after="140"/>
      </w:pPr>
      <w:r>
        <w:t>Wer zum ersten Mal die Visa-Übersicht des australischen Department of Home Affairs aufruft, findet dort keine einzelne Eingangstür, sondern ein ganzes Haus mit Nebeneingängen: Subclass 189, 190, 491, 482, 186, 417, 500 – jede Nummer mit eigenen Voraussetzungen, eigenen Fristen, eigenem Preis. Thomas und Sandra Reinhardt aus Köln fanden ihren Weg über den Punktetest; Nina Voss aus Hamburg kam zunächst mit einem Jahr Arbeits- und Reiseerlaubnis ins Land, ganz ohne Punkte. Beide leben heute in Australien – abe</w:t>
      </w:r>
      <w:r>
        <w:t>r durch verschiedene Türen. Dieses Kapitel ordnet die wichtigsten Wege für Deutsche, bevor die folgenden Kapitel dieses Teils sie im Detail vertiefen.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D1"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ECA" w14:textId="77777777" w:rsidR="00C1548D" w:rsidRDefault="009B1B4B">
            <w:pPr>
              <w:keepNext/>
              <w:spacing w:after="70" w:line="240" w:lineRule="auto"/>
            </w:pPr>
            <w:r>
              <w:rPr>
                <w:b/>
                <w:bCs/>
                <w:color w:val="1F3A5F"/>
                <w:spacing w:val="24"/>
                <w:sz w:val="16"/>
                <w:szCs w:val="16"/>
              </w:rPr>
              <w:t>KURZ GESAGT</w:t>
            </w:r>
          </w:p>
          <w:p w14:paraId="70A4EECB" w14:textId="53DFEE0C" w:rsidR="00C1548D" w:rsidRDefault="009B1B4B" w:rsidP="009B1B4B">
            <w:pPr>
              <w:pStyle w:val="ListParagraph"/>
              <w:numPr>
                <w:ilvl w:val="0"/>
                <w:numId w:val="1"/>
              </w:numPr>
              <w:spacing w:after="50" w:line="264" w:lineRule="auto"/>
            </w:pPr>
            <w:r>
              <w:rPr>
                <w:sz w:val="20"/>
                <w:szCs w:val="20"/>
              </w:rPr>
              <w:t xml:space="preserve">Australien öffnet sich für Deutsche vor allem über zwei Prinzipien: das Punktesystem (unabhängig oder mit Nominierung) und das Arbeitgeber-Sponsoring. Familien-, Investoren- und Ruhestandswege spielen zahlenmäßig eine kleinere Rolle und stehen im </w:t>
            </w:r>
            <w:hyperlink w:anchor="tau03" w:history="1">
              <w:r>
                <w:rPr>
                  <w:color w:val="0563C1"/>
                  <w:sz w:val="20"/>
                  <w:szCs w:val="20"/>
                  <w:u w:val="single"/>
                </w:rPr>
                <w:t>nächsten Kapitel dieses Teils</w:t>
              </w:r>
            </w:hyperlink>
            <w:r>
              <w:rPr>
                <w:sz w:val="20"/>
                <w:szCs w:val="20"/>
              </w:rPr>
              <w:t>.</w:t>
            </w:r>
          </w:p>
          <w:p w14:paraId="70A4EECC" w14:textId="77777777" w:rsidR="00C1548D" w:rsidRDefault="009B1B4B" w:rsidP="009B1B4B">
            <w:pPr>
              <w:pStyle w:val="ListParagraph"/>
              <w:numPr>
                <w:ilvl w:val="0"/>
                <w:numId w:val="1"/>
              </w:numPr>
              <w:spacing w:after="50" w:line="264" w:lineRule="auto"/>
            </w:pPr>
            <w:r>
              <w:rPr>
                <w:sz w:val="20"/>
                <w:szCs w:val="20"/>
              </w:rPr>
              <w:t>Drei punktebasierte Visa greifen auf dieselbe Logik zurück: Subclass 189 (unabhängig, dauerhaft), 190 (mit Bundesstaat-Nominierung, dauerhaft) und 491 (mit Regional-Bindung, zunächst befristet).</w:t>
            </w:r>
          </w:p>
          <w:p w14:paraId="70A4EECD" w14:textId="77777777" w:rsidR="00C1548D" w:rsidRDefault="009B1B4B" w:rsidP="009B1B4B">
            <w:pPr>
              <w:pStyle w:val="ListParagraph"/>
              <w:numPr>
                <w:ilvl w:val="0"/>
                <w:numId w:val="1"/>
              </w:numPr>
              <w:spacing w:after="50" w:line="264" w:lineRule="auto"/>
            </w:pPr>
            <w:r>
              <w:rPr>
                <w:sz w:val="20"/>
                <w:szCs w:val="20"/>
              </w:rPr>
              <w:t>Arbeitgeber-Sponsoring (Subclass 482, mit Weiterweg über 186) braucht keinen einzigen Punkt – dafür einen Job und ein Unternehmen, das dich sponsert.</w:t>
            </w:r>
          </w:p>
          <w:p w14:paraId="70A4EECE" w14:textId="77777777" w:rsidR="00C1548D" w:rsidRDefault="009B1B4B" w:rsidP="009B1B4B">
            <w:pPr>
              <w:pStyle w:val="ListParagraph"/>
              <w:numPr>
                <w:ilvl w:val="0"/>
                <w:numId w:val="1"/>
              </w:numPr>
              <w:spacing w:after="50" w:line="264" w:lineRule="auto"/>
            </w:pPr>
            <w:r>
              <w:rPr>
                <w:sz w:val="20"/>
                <w:szCs w:val="20"/>
              </w:rPr>
              <w:t>Working Holiday (417) und Studienvisum (500) sind selbst keine Daueraufenthaltswege, aber für viele der Seiteneingang, über den sich die anderen Türen erst öffnen.</w:t>
            </w:r>
          </w:p>
          <w:p w14:paraId="70A4EECF" w14:textId="77777777" w:rsidR="00C1548D" w:rsidRDefault="009B1B4B" w:rsidP="009B1B4B">
            <w:pPr>
              <w:pStyle w:val="ListParagraph"/>
              <w:numPr>
                <w:ilvl w:val="0"/>
                <w:numId w:val="1"/>
              </w:numPr>
              <w:spacing w:after="50" w:line="264" w:lineRule="auto"/>
            </w:pPr>
            <w:r>
              <w:rPr>
                <w:sz w:val="20"/>
                <w:szCs w:val="20"/>
              </w:rPr>
              <w:t>Ab 45 Jahren ist der Punktetest komplett verschlossen; für diese Altersgruppe bleibt praktisch nur das Arbeitgeber-Sponsoring.</w:t>
            </w:r>
          </w:p>
          <w:p w14:paraId="70A4EED0" w14:textId="77777777" w:rsidR="00C1548D" w:rsidRDefault="009B1B4B" w:rsidP="009B1B4B">
            <w:pPr>
              <w:pStyle w:val="ListParagraph"/>
              <w:numPr>
                <w:ilvl w:val="0"/>
                <w:numId w:val="1"/>
              </w:numPr>
              <w:spacing w:after="50" w:line="264" w:lineRule="auto"/>
            </w:pPr>
            <w:r>
              <w:rPr>
                <w:sz w:val="20"/>
                <w:szCs w:val="20"/>
              </w:rPr>
              <w:t>Welcher Weg passt, hängt weniger vom Wunschort ab als von Alter, Beruf, Englischniveau und der Frage, ob bereits ein Jobangebot vorliegt.</w:t>
            </w:r>
          </w:p>
        </w:tc>
      </w:tr>
    </w:tbl>
    <w:p w14:paraId="70A4EED2" w14:textId="77777777" w:rsidR="00C1548D" w:rsidRDefault="00C1548D">
      <w:pPr>
        <w:spacing w:line="220" w:lineRule="exact"/>
      </w:pPr>
    </w:p>
    <w:p w14:paraId="70A4EED3" w14:textId="77777777" w:rsidR="00C1548D" w:rsidRDefault="009B1B4B">
      <w:pPr>
        <w:pStyle w:val="Heading3"/>
        <w:keepNext/>
        <w:jc w:val="center"/>
      </w:pPr>
      <w:r>
        <w:rPr>
          <w:rFonts w:ascii="Amazon Ember" w:eastAsia="Amazon Ember" w:hAnsi="Amazon Ember" w:cs="Amazon Ember"/>
          <w:color w:val="0000FF"/>
          <w:sz w:val="36"/>
          <w:szCs w:val="36"/>
        </w:rPr>
        <w:lastRenderedPageBreak/>
        <w:t>Das Grundprinzip: der Beruf entscheidet</w:t>
      </w:r>
    </w:p>
    <w:p w14:paraId="70A4EED4" w14:textId="77777777" w:rsidR="00C1548D" w:rsidRDefault="009B1B4B">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auf den </w:t>
      </w:r>
      <w:r>
        <w:rPr>
          <w:i/>
          <w:iCs/>
        </w:rPr>
        <w:t>Family Stream</w:t>
      </w:r>
      <w:r>
        <w:t xml:space="preserve"> (den Familiennachzug) und 300 auf Sonderfälle. Wer diese Zahlen zum ersten Mal sieht, versteht auf einen Blick, wie das System tickt: Australien sucht in erster Linie Arbeitskräfte, keine Rentner und keine Erbschaften. Wer arbeiten kann und will, hat mehr Türen zur Auswahl als jede andere Gruppe.</w:t>
      </w:r>
    </w:p>
    <w:p w14:paraId="70A4EED5" w14:textId="77777777" w:rsidR="00C1548D" w:rsidRDefault="009B1B4B">
      <w:pPr>
        <w:spacing w:after="140"/>
      </w:pPr>
      <w:r>
        <w:t xml:space="preserve">Innerhalb des Skill Stream führen zwei Prinzipien zum Ziel. Beim </w:t>
      </w:r>
      <w:r>
        <w:rPr>
          <w:b/>
          <w:bCs/>
        </w:rPr>
        <w:t>Punktesystem</w:t>
      </w:r>
      <w:r>
        <w:t xml:space="preserve"> (</w:t>
      </w:r>
      <w:r>
        <w:rPr>
          <w:i/>
          <w:iCs/>
        </w:rPr>
        <w:t>General Skilled Migration</w:t>
      </w:r>
      <w:r>
        <w:t>, GSM, die allgemeine Facharbeitereinwanderung) bewirbst du dich selbst, ohne dass vorher ein Arbeitgeber zusagen muss – du brauchst nur einen Beruf auf der passenden Liste, eine bestandene fachliche Qualifikationsprüfung (</w:t>
      </w:r>
      <w:r>
        <w:rPr>
          <w:i/>
          <w:iCs/>
        </w:rPr>
        <w:t>Skills Assessment</w:t>
      </w:r>
      <w:r>
        <w:t xml:space="preserve">) und genug Punkte. Beim </w:t>
      </w:r>
      <w:r>
        <w:rPr>
          <w:b/>
          <w:bCs/>
        </w:rPr>
        <w:t>Arbeitgeber-Sponsoring</w:t>
      </w:r>
      <w:r>
        <w:t xml:space="preserve">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w14:paraId="70A4EED6" w14:textId="77777777" w:rsidR="00C1548D" w:rsidRDefault="009B1B4B">
      <w:pPr>
        <w:pStyle w:val="Heading3"/>
        <w:keepNext/>
        <w:jc w:val="center"/>
      </w:pPr>
      <w:r>
        <w:rPr>
          <w:rFonts w:ascii="Amazon Ember" w:eastAsia="Amazon Ember" w:hAnsi="Amazon Ember" w:cs="Amazon Ember"/>
          <w:color w:val="0000FF"/>
          <w:sz w:val="36"/>
          <w:szCs w:val="36"/>
        </w:rPr>
        <w:t>Die drei punktebasierten Wege: 189, 190, 491</w:t>
      </w:r>
    </w:p>
    <w:p w14:paraId="70A4EED7" w14:textId="77777777" w:rsidR="00C1548D" w:rsidRDefault="009B1B4B">
      <w:pPr>
        <w:spacing w:after="140"/>
      </w:pPr>
      <w:r>
        <w:t xml:space="preserve">Alle drei laufen über dieselbe Plattform, </w:t>
      </w:r>
      <w:r>
        <w:rPr>
          <w:i/>
          <w:iCs/>
        </w:rPr>
        <w:t>SkillSelect</w:t>
      </w:r>
      <w:r>
        <w:t>, und dieselbe Punktetabelle – unterscheiden sich aber erheblich in Bindung und Freiheit:</w:t>
      </w:r>
    </w:p>
    <w:p w14:paraId="70A4EED8" w14:textId="77777777" w:rsidR="00C1548D" w:rsidRDefault="009B1B4B" w:rsidP="009B1B4B">
      <w:pPr>
        <w:pStyle w:val="ListParagraph"/>
        <w:numPr>
          <w:ilvl w:val="0"/>
          <w:numId w:val="1"/>
        </w:numPr>
        <w:spacing w:after="60"/>
      </w:pPr>
      <w:r>
        <w:rPr>
          <w:b/>
          <w:bCs/>
        </w:rPr>
        <w:t>Subclass 189 (Skilled Independent)</w:t>
      </w:r>
      <w:r>
        <w:t xml:space="preserve"> ist der Weg ganz ohne Sponsor: kein Arbeitgeber, kein Bundesstaat, freie Wohnortwahl </w:t>
      </w:r>
      <w:r>
        <w:lastRenderedPageBreak/>
        <w:t>in ganz Australien, dauerhafter Aufenthaltstitel von Anfang an. Genau deshalb ist er auch der am härtesten umkämpfte: Die Cut-off-Werte liegen bei gefragten Berufen oft bei 80 bis 95 Punkten oder mehr.</w:t>
      </w:r>
    </w:p>
    <w:p w14:paraId="70A4EED9" w14:textId="77777777" w:rsidR="00C1548D" w:rsidRDefault="009B1B4B" w:rsidP="009B1B4B">
      <w:pPr>
        <w:pStyle w:val="ListParagraph"/>
        <w:numPr>
          <w:ilvl w:val="0"/>
          <w:numId w:val="1"/>
        </w:numPr>
        <w:spacing w:after="60"/>
      </w:pPr>
      <w:r>
        <w:rPr>
          <w:b/>
          <w:bCs/>
        </w:rPr>
        <w:t>Subclass 190 (Skilled Nominated)</w:t>
      </w:r>
      <w:r>
        <w:t xml:space="preserve"> entspricht 189, verlangt aber zusätzlich eine Nominierung durch einen Bundesstaat oder ein Territorium. Die bringt 5 Bonuspunkte und senkt oft den nötigen Cut-off – dafür verpflichtest du dich meist, mindestens zwei Jahre im nominierenden Bundesstaat zu leben.</w:t>
      </w:r>
    </w:p>
    <w:p w14:paraId="70A4EEDA" w14:textId="77777777" w:rsidR="00C1548D" w:rsidRDefault="009B1B4B" w:rsidP="009B1B4B">
      <w:pPr>
        <w:pStyle w:val="ListParagraph"/>
        <w:numPr>
          <w:ilvl w:val="0"/>
          <w:numId w:val="1"/>
        </w:numPr>
        <w:spacing w:after="60"/>
      </w:pPr>
      <w:r>
        <w:rPr>
          <w:b/>
          <w:bCs/>
        </w:rPr>
        <w:t>Subclass 491 (Skilled Work Regional)</w:t>
      </w:r>
      <w:r>
        <w:t xml:space="preserve">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außerhalb der großen Metropolregionen). Nach drei Jahren Aufenthalt und Arbeit dort öffnet sich der Weg zur Daueraufenthaltserlaubnis über Subclass 191. Die Nominierungsplätze sind allerdings knapp: 2025–2</w:t>
      </w:r>
      <w:r>
        <w:t>6 standen bundesweit nur 7.500 zur Verfügung, merklich weniger als im Vorjahr.</w:t>
      </w:r>
    </w:p>
    <w:p w14:paraId="70A4EEDB" w14:textId="77777777" w:rsidR="00C1548D" w:rsidRDefault="00C1548D">
      <w:pPr>
        <w:spacing w:line="120" w:lineRule="exact"/>
      </w:pPr>
    </w:p>
    <w:p w14:paraId="70A4EEDC" w14:textId="5D672D1E" w:rsidR="00C1548D" w:rsidRDefault="009B1B4B">
      <w:pPr>
        <w:spacing w:after="140"/>
      </w:pPr>
      <w:r>
        <w:t xml:space="preserve">Wie sich die Punktzahl für jeden dieser drei Wege im Einzelnen berechnet und wie das Bewerbungsverfahren über SkillSelect abläuft, zeigt das </w:t>
      </w:r>
      <w:hyperlink w:anchor="tau03" w:history="1">
        <w:r>
          <w:rPr>
            <w:color w:val="0563C1"/>
            <w:u w:val="single"/>
          </w:rPr>
          <w:t>nächste Kapitel dieses Teils</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D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EDD" w14:textId="77777777" w:rsidR="00C1548D" w:rsidRDefault="009B1B4B">
            <w:pPr>
              <w:keepNext/>
              <w:spacing w:after="70" w:line="240" w:lineRule="auto"/>
            </w:pPr>
            <w:r>
              <w:rPr>
                <w:b/>
                <w:bCs/>
                <w:color w:val="4A5568"/>
                <w:spacing w:val="24"/>
                <w:sz w:val="16"/>
                <w:szCs w:val="16"/>
              </w:rPr>
              <w:lastRenderedPageBreak/>
              <w:t>PRAXISBEISPIEL · FIKTIV</w:t>
            </w:r>
          </w:p>
          <w:p w14:paraId="70A4EEDE" w14:textId="77777777" w:rsidR="00C1548D" w:rsidRDefault="009B1B4B">
            <w:pPr>
              <w:spacing w:after="80" w:line="264" w:lineRule="auto"/>
            </w:pPr>
            <w:r>
              <w:rPr>
                <w:sz w:val="20"/>
                <w:szCs w:val="20"/>
              </w:rPr>
              <w:t>Familie Reinhardt (fiktiv) prüfte vor der Entscheidung alle drei punktebasierten Wege parallel. Thomas, Bauingenieur, erreichte mit seinem Punktestand komfortabel die Schwelle für Subclass 189 – den unabhängigen Weg ohne Wohnsitzauflage. Eine Nominierung durch Victoria (Subclass 190) hätte zwar zusätzliche Punkte gebracht, aber auch die Pflicht, zwei Jahre am zugewiesenen Ort zu bleiben; Subclass 491 schied aus, weil die Familie gezielt eine Großstadt wollte, keine Regional-Area. Am Ende war 189 nicht nur d</w:t>
            </w:r>
            <w:r>
              <w:rPr>
                <w:sz w:val="20"/>
                <w:szCs w:val="20"/>
              </w:rPr>
              <w:t>er punktemäßig erreichbare, sondern auch der Weg mit den wenigsten Auflagen – eine Kombination, die längst nicht jedem Bewerber offensteht.</w:t>
            </w:r>
          </w:p>
        </w:tc>
      </w:tr>
    </w:tbl>
    <w:p w14:paraId="70A4EEE0" w14:textId="77777777" w:rsidR="00C1548D" w:rsidRDefault="00C1548D">
      <w:pPr>
        <w:spacing w:line="220" w:lineRule="exact"/>
      </w:pPr>
    </w:p>
    <w:p w14:paraId="70A4EEE1" w14:textId="77777777" w:rsidR="00C1548D" w:rsidRDefault="009B1B4B">
      <w:pPr>
        <w:pStyle w:val="Heading3"/>
        <w:keepNext/>
        <w:jc w:val="center"/>
      </w:pPr>
      <w:r>
        <w:rPr>
          <w:rFonts w:ascii="Amazon Ember" w:eastAsia="Amazon Ember" w:hAnsi="Amazon Ember" w:cs="Amazon Ember"/>
          <w:color w:val="0000FF"/>
          <w:sz w:val="36"/>
          <w:szCs w:val="36"/>
        </w:rPr>
        <w:t>Das Punktetest-Grundprinzip in Kürze</w:t>
      </w:r>
    </w:p>
    <w:p w14:paraId="70A4EEE2" w14:textId="77777777" w:rsidR="00C1548D" w:rsidRDefault="009B1B4B">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 wer weniger erreicht, kann sich gar nicht erst bewerben. Praktisch reicht das Minimum aber selten: Bei gefragten Berufen wie Softwareentwicklung oder Buchhaltung lagen die Cut-offs in den SkillSelect-Runden 2026 meist zwischen 80 und 100</w:t>
      </w:r>
      <w:r>
        <w:t xml:space="preserve"> Punkten.</w:t>
      </w:r>
    </w:p>
    <w:p w14:paraId="70A4EEE3" w14:textId="77777777" w:rsidR="00C1548D" w:rsidRDefault="009B1B4B">
      <w:pPr>
        <w:spacing w:after="140"/>
      </w:pPr>
      <w:r>
        <w:t>Zwei Faktoren wiegen besonders schwer. Das Alter bringt in der Spanne von 25 bis 32 Jahren die volle Punktzahl; ab 45 Jahren ist der Punktetest-Weg komplett verschlossen, unabhängig von Abschluss oder Erfahrung. Und das Englischniveau: Ein sehr gutes Testergebnis (</w:t>
      </w:r>
      <w:r>
        <w:rPr>
          <w:i/>
          <w:iCs/>
        </w:rPr>
        <w:t>Superior</w:t>
      </w:r>
      <w:r>
        <w:t>, vergleichbar IELTS 8 in jeder Kategorie) bringt doppelt so viele Punkte wie ein gutes (</w:t>
      </w:r>
      <w:r>
        <w:rPr>
          <w:i/>
          <w:iCs/>
        </w:rPr>
        <w:t>Proficient</w:t>
      </w:r>
      <w:r>
        <w:t>, IELTS 7) – oft mehr, als ein weiteres Berufsjahr einbringt. Wer seine Punktzahl grob überschlagen will, sollte deshalb zuerst hier ansetzen, nicht beim Studienabschluss.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E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EE4" w14:textId="77777777" w:rsidR="00C1548D" w:rsidRDefault="009B1B4B">
            <w:pPr>
              <w:keepNext/>
              <w:spacing w:after="70" w:line="240" w:lineRule="auto"/>
            </w:pPr>
            <w:r>
              <w:rPr>
                <w:b/>
                <w:bCs/>
                <w:color w:val="8A6212"/>
                <w:spacing w:val="24"/>
                <w:sz w:val="16"/>
                <w:szCs w:val="16"/>
              </w:rPr>
              <w:lastRenderedPageBreak/>
              <w:t>MERKE</w:t>
            </w:r>
          </w:p>
          <w:p w14:paraId="70A4EEE5" w14:textId="1B81B1A6" w:rsidR="00C1548D" w:rsidRDefault="009B1B4B">
            <w:pPr>
              <w:spacing w:after="80" w:line="264" w:lineRule="auto"/>
            </w:pPr>
            <w:r>
              <w:rPr>
                <w:sz w:val="20"/>
                <w:szCs w:val="20"/>
              </w:rPr>
              <w:t xml:space="preserve">Der Punktetest ist kein Ja-Nein-Filter, sondern eine laufende Rangliste. 65 Punkte öffnen die Tür zum Wartesaal, nicht zur Einladung. Die genaue Tabelle und eine realistische Selbsteinschätzung zeigt das </w:t>
            </w:r>
            <w:hyperlink w:anchor="tau03" w:history="1">
              <w:r>
                <w:rPr>
                  <w:color w:val="0563C1"/>
                  <w:sz w:val="20"/>
                  <w:szCs w:val="20"/>
                  <w:u w:val="single"/>
                </w:rPr>
                <w:t>nächste Kapitel dieses Teils</w:t>
              </w:r>
            </w:hyperlink>
            <w:r>
              <w:rPr>
                <w:sz w:val="20"/>
                <w:szCs w:val="20"/>
              </w:rPr>
              <w:t>.</w:t>
            </w:r>
          </w:p>
        </w:tc>
      </w:tr>
    </w:tbl>
    <w:p w14:paraId="70A4EEE7" w14:textId="77777777" w:rsidR="00C1548D" w:rsidRDefault="00C1548D">
      <w:pPr>
        <w:spacing w:line="220" w:lineRule="exact"/>
      </w:pPr>
    </w:p>
    <w:p w14:paraId="70A4EEE8" w14:textId="77777777" w:rsidR="00C1548D" w:rsidRDefault="009B1B4B">
      <w:pPr>
        <w:pStyle w:val="Heading3"/>
        <w:keepNext/>
        <w:jc w:val="center"/>
      </w:pPr>
      <w:r>
        <w:rPr>
          <w:rFonts w:ascii="Amazon Ember" w:eastAsia="Amazon Ember" w:hAnsi="Amazon Ember" w:cs="Amazon Ember"/>
          <w:color w:val="0000FF"/>
          <w:sz w:val="36"/>
          <w:szCs w:val="36"/>
        </w:rPr>
        <w:t>Arbeitgeber-Sponsoring: 482 und 186</w:t>
      </w:r>
    </w:p>
    <w:p w14:paraId="70A4EEE9" w14:textId="77777777" w:rsidR="00C1548D" w:rsidRDefault="009B1B4B">
      <w:pPr>
        <w:spacing w:after="140"/>
      </w:pPr>
      <w:r>
        <w:t>Wer einen australischen Arbeitgeber findet, der zum Sponsor wird, umgeht den Punktetest vollständig. Subclass 482 (</w:t>
      </w:r>
      <w:r>
        <w:rPr>
          <w:i/>
          <w:iCs/>
        </w:rPr>
        <w:t>Skills in Demand</w:t>
      </w:r>
      <w:r>
        <w:t xml:space="preserve">, kurz SID) ist das befristete Arbeitsvisum dafür, gültig bis zu vier Jahre, mit einer Mindestlohnschwelle: Im Hauptstrom </w:t>
      </w:r>
      <w:r>
        <w:rPr>
          <w:i/>
          <w:iCs/>
        </w:rPr>
        <w:t>Core Skills</w:t>
      </w:r>
      <w:r>
        <w:t xml:space="preserve"> muss das Gehalt ab 1. Juli 2026 mindestens 79.423 AUD im Jahr erreichen oder den marktüblichen Lohn für die Position, je nachdem, welcher Wert höher ist. Die Antragsgebühr liegt bei 4.015 AUD für die Hauptperson; dazu kommt eine jährliche Abgabe des Arbeitgebers (die </w:t>
      </w:r>
      <w:r>
        <w:rPr>
          <w:i/>
          <w:iCs/>
        </w:rPr>
        <w:t>Skilling Australians Fund</w:t>
      </w:r>
      <w:r>
        <w:t>-Levy, eine Ausbildungsabgabe für australische Arbeitskräfte), die dieser nicht auf dich abwälzen darf.</w:t>
      </w:r>
    </w:p>
    <w:p w14:paraId="70A4EEEA" w14:textId="77777777" w:rsidR="00C1548D" w:rsidRDefault="009B1B4B">
      <w:pPr>
        <w:spacing w:after="140"/>
      </w:pPr>
      <w:r>
        <w:t>Nach zwei Jahren beim selben Arbeitgeber im Subclass 482 öffnet sich der Weg zur Daueraufenthaltserlaubnis über Subclass 186 (</w:t>
      </w:r>
      <w:r>
        <w:rPr>
          <w:i/>
          <w:iCs/>
        </w:rPr>
        <w:t>Employer Nomination Scheme</w:t>
      </w:r>
      <w:r>
        <w:t xml:space="preserve">, ENS). Dieser Übergang heißt </w:t>
      </w:r>
      <w:r>
        <w:rPr>
          <w:i/>
          <w:iCs/>
        </w:rPr>
        <w:t>Temporary Residence Transition</w:t>
      </w:r>
      <w:r>
        <w:t>; daneben gibt es einen Direktweg ohne vorherigen 482 sowie einen dritten Strom für branchenspezifische Arbeitsmarktabkommen. Der große Vorteil des gesamten Arbeitgeberwegs: kein Punktetest, keine Altersgrenze wie beim Punktesystem. Der Preis dafür ist die Bindung – du arbeitest für den Betrieb, der dich sponsert, nicht für einen frei gewählten Arbeitgeber. Wer über 45 ist oder aus anderen Gründen für den Punktetest nicht infrage kommt, hat mit dem Arbeitgeberweg trotzdem eine ernstzunehmende Option, sofern</w:t>
      </w:r>
      <w:r>
        <w:t xml:space="preserve"> der eigene Beruf gefragt genug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ED"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EEB" w14:textId="77777777" w:rsidR="00C1548D" w:rsidRDefault="009B1B4B">
            <w:pPr>
              <w:keepNext/>
              <w:spacing w:after="70" w:line="240" w:lineRule="auto"/>
            </w:pPr>
            <w:r>
              <w:rPr>
                <w:b/>
                <w:bCs/>
                <w:color w:val="6B7280"/>
                <w:spacing w:val="24"/>
                <w:sz w:val="16"/>
                <w:szCs w:val="16"/>
              </w:rPr>
              <w:lastRenderedPageBreak/>
              <w:t>KEIN RECHTSRAT</w:t>
            </w:r>
          </w:p>
          <w:p w14:paraId="70A4EEEC" w14:textId="77777777" w:rsidR="00C1548D" w:rsidRDefault="009B1B4B">
            <w:pPr>
              <w:spacing w:after="80" w:line="264" w:lineRule="auto"/>
            </w:pPr>
            <w:r>
              <w:rPr>
                <w:sz w:val="20"/>
                <w:szCs w:val="20"/>
              </w:rPr>
              <w:t>Dieses Kapitel erklärt Regeln und Praxis, ersetzt aber keine Beratung durch eine registrierte Migrationsagentin, einen Migrationsagenten oder eine Anwältin beziehungsweise einen Anwalt für australisches Einwanderungsrecht.</w:t>
            </w:r>
          </w:p>
        </w:tc>
      </w:tr>
    </w:tbl>
    <w:p w14:paraId="70A4EEEE" w14:textId="77777777" w:rsidR="00C1548D" w:rsidRDefault="00C1548D">
      <w:pPr>
        <w:spacing w:line="220" w:lineRule="exact"/>
      </w:pPr>
    </w:p>
    <w:p w14:paraId="70A4EEEF" w14:textId="77777777" w:rsidR="00C1548D" w:rsidRDefault="009B1B4B">
      <w:pPr>
        <w:pStyle w:val="Heading3"/>
        <w:keepNext/>
        <w:jc w:val="center"/>
      </w:pPr>
      <w:r>
        <w:rPr>
          <w:rFonts w:ascii="Amazon Ember" w:eastAsia="Amazon Ember" w:hAnsi="Amazon Ember" w:cs="Amazon Ember"/>
          <w:color w:val="0000FF"/>
          <w:sz w:val="36"/>
          <w:szCs w:val="36"/>
        </w:rPr>
        <w:t>Berufslisten und Skills Assessment: der eigentliche Flaschenhals</w:t>
      </w:r>
    </w:p>
    <w:p w14:paraId="70A4EEF0" w14:textId="77777777" w:rsidR="00C1548D" w:rsidRDefault="009B1B4B">
      <w:pPr>
        <w:spacing w:after="140"/>
      </w:pPr>
      <w:r>
        <w:t xml:space="preserve">Fast jeder Weg in diesem Kapitel – ob Punktetest oder Arbeitgeber-Sponsoring – steht und fällt mit derselben Frage: Steht dein Beruf auf der richtigen Liste, und erkennt eine zuständige Fachstelle deine Qualifikation an? Seit dem 1. Juli 2025 gilt für Subclass 482 (Core-Skills-Strom) und den Direktweg von Subclass 186 die </w:t>
      </w:r>
      <w:r>
        <w:rPr>
          <w:i/>
          <w:iCs/>
        </w:rPr>
        <w:t>Core Skills Occupation List</w:t>
      </w:r>
      <w:r>
        <w:t xml:space="preserve"> (CSOL, eine neue, 456 Berufe umfassende Liste). Für die punktebasierten Visa 189, 190 und 491 berufen sich mehrere Migrationskanzleien übereinstimmend auf die älteren Listen (MLTSSL und Varianten) – eine unabhängige Bestätigung direkt bei Home Affairs war zum Verfassungszeitpunkt dieses Kapitels nicht zu bekommen. Bürokratie liebt offenbar neue Abkürzungen, auch dort, wo niemand ganz genau sagen kann, wo die alten noch gelten.</w:t>
      </w:r>
    </w:p>
    <w:p w14:paraId="70A4EEF1" w14:textId="77777777" w:rsidR="00C1548D" w:rsidRDefault="009B1B4B">
      <w:pPr>
        <w:spacing w:after="140"/>
      </w:pPr>
      <w:r>
        <w:t>Wichtiger als jede Listen-Feinheit ist die praktische Konsequenz: Die fachliche Qualifikationsprüfung (</w:t>
      </w:r>
      <w:r>
        <w:rPr>
          <w:i/>
          <w:iCs/>
        </w:rPr>
        <w:t>Skills Assessment</w:t>
      </w:r>
      <w:r>
        <w:t>) durch die zuständige Berufsorganisation – etwa Engineers Australia für Ingenieurberufe, den Australian Computer Society für IT, VETASSESS für viele weitere Berufe oder ANMAC für Pflegeberufe – dauert oft Monate und ist damit für die meisten Bewerber der eigentliche Engpass, nicht das anschließende Visumverfahren. Wer sie erst beginnt, wenn Punktzahl oder Jobangebot schon feststehen, verliert wertvolle Zeit.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F4"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EF2" w14:textId="77777777" w:rsidR="00C1548D" w:rsidRDefault="009B1B4B">
            <w:pPr>
              <w:keepNext/>
              <w:spacing w:after="70" w:line="240" w:lineRule="auto"/>
            </w:pPr>
            <w:r>
              <w:rPr>
                <w:b/>
                <w:bCs/>
                <w:color w:val="2F6B3B"/>
                <w:spacing w:val="24"/>
                <w:sz w:val="16"/>
                <w:szCs w:val="16"/>
              </w:rPr>
              <w:lastRenderedPageBreak/>
              <w:t>SPARTIPP</w:t>
            </w:r>
          </w:p>
          <w:p w14:paraId="70A4EEF3" w14:textId="77777777" w:rsidR="00C1548D" w:rsidRDefault="009B1B4B">
            <w:pPr>
              <w:spacing w:after="80" w:line="264" w:lineRule="auto"/>
            </w:pPr>
            <w:r>
              <w:rPr>
                <w:sz w:val="20"/>
                <w:szCs w:val="20"/>
              </w:rPr>
              <w:t>Beantrage das Skills Assessment parallel zum Sprachtest, sobald du dich ernsthaft mit Australien befasst – unabhängig davon, für welchen der Wege in diesem Kapitel du dich am Ende entscheidest. Die Gebühr ist überschaubar gegenüber der Zeit, die eine verspätete Antragstellung kostet.</w:t>
            </w:r>
          </w:p>
        </w:tc>
      </w:tr>
    </w:tbl>
    <w:p w14:paraId="70A4EEF5" w14:textId="77777777" w:rsidR="00C1548D" w:rsidRDefault="00C1548D">
      <w:pPr>
        <w:spacing w:line="220" w:lineRule="exact"/>
      </w:pPr>
    </w:p>
    <w:p w14:paraId="70A4EEF6" w14:textId="77777777" w:rsidR="00C1548D" w:rsidRDefault="009B1B4B">
      <w:pPr>
        <w:pStyle w:val="Heading3"/>
        <w:keepNext/>
        <w:jc w:val="center"/>
      </w:pPr>
      <w:r>
        <w:rPr>
          <w:rFonts w:ascii="Amazon Ember" w:eastAsia="Amazon Ember" w:hAnsi="Amazon Ember" w:cs="Amazon Ember"/>
          <w:color w:val="0000FF"/>
          <w:sz w:val="36"/>
          <w:szCs w:val="36"/>
        </w:rPr>
        <w:t>Working Holiday: der Seiteneingang</w:t>
      </w:r>
    </w:p>
    <w:p w14:paraId="70A4EEF7" w14:textId="77777777" w:rsidR="00C1548D" w:rsidRDefault="009B1B4B">
      <w:pPr>
        <w:spacing w:after="140"/>
      </w:pPr>
      <w:r>
        <w:t xml:space="preserve">Das </w:t>
      </w:r>
      <w:r>
        <w:rPr>
          <w:i/>
          <w:iCs/>
        </w:rPr>
        <w:t>Working-Holiday-Visum</w:t>
      </w:r>
      <w:r>
        <w:t xml:space="preserve"> (die befristete Arbeits- und Reiseerlaubnis für junge Erwachsene) ist für sich genommen kein Weg zum Daueraufenthalt – aber für viele Deutsche der günstigste Einstieg, um das Land, den Arbeitsmarkt und den eigenen Berufswert überhaupt erst kennenzulernen. Für deutsche Staatsangehörige ist ausschließlich Subclass 417 einschlägig, nicht die oft genannte 462, die für andere Nationalitäten mit eigenen Auflagen gilt. Seit 1. Juli 2026 reicht die Altersgrenze von 18 bis 35 Jahre (vorher bis 30), das Erstvisum gi</w:t>
      </w:r>
      <w:r>
        <w:t>lt 12 Monate. Eine Verlängerung um ein weiteres Jahr setzt 88 Tage bestimmte Tätigkeiten voraus (</w:t>
      </w:r>
      <w:r>
        <w:rPr>
          <w:i/>
          <w:iCs/>
        </w:rPr>
        <w:t>specified work</w:t>
      </w:r>
      <w:r>
        <w:t>, etwa in Landwirtschaft oder Bergbau in festgelegten Gebieten) – seit einer Ankündigung vom September 2026 berechtigt das allerdings nur noch zur Teilnahme an einem Losverfahren, garantiert das zweite Jahr also nicht mehr automatisch. Die Gebühr liegt bei 840 AUD für den Erstantrag, 1.000 AUD für jeden weiteren.</w:t>
      </w:r>
    </w:p>
    <w:p w14:paraId="70A4EEF8" w14:textId="77777777" w:rsidR="00C1548D" w:rsidRDefault="009B1B4B">
      <w:pPr>
        <w:spacing w:after="140"/>
      </w:pPr>
      <w:r>
        <w:t>Der eigentliche Wert dieses Visums liegt selten im Visum selbst, sondern in dem, was währenddessen passiert: ein Netzwerk, ein Probejob, im besten Fall ein Arbeitgeber, der bereit ist, anschließend zu sponsern. Wer das Working-Holiday-Jahr nur als verlängerten Urlaub versteht, verschenkt genau diese Chance.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EFB"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EF9" w14:textId="77777777" w:rsidR="00C1548D" w:rsidRDefault="009B1B4B">
            <w:pPr>
              <w:keepNext/>
              <w:spacing w:after="70" w:line="240" w:lineRule="auto"/>
            </w:pPr>
            <w:r>
              <w:rPr>
                <w:b/>
                <w:bCs/>
                <w:color w:val="4A5568"/>
                <w:spacing w:val="24"/>
                <w:sz w:val="16"/>
                <w:szCs w:val="16"/>
              </w:rPr>
              <w:lastRenderedPageBreak/>
              <w:t>PRAXISBEISPIEL · FIKTIV</w:t>
            </w:r>
          </w:p>
          <w:p w14:paraId="70A4EEFA" w14:textId="76FE1DF7" w:rsidR="00C1548D" w:rsidRDefault="009B1B4B">
            <w:pPr>
              <w:spacing w:after="80" w:line="264" w:lineRule="auto"/>
            </w:pPr>
            <w:r>
              <w:rPr>
                <w:sz w:val="20"/>
                <w:szCs w:val="20"/>
              </w:rPr>
              <w:t xml:space="preserve">Nina Voss (fiktiv), 27, aus Hamburg, alleinstehend, reiste mit dem Working-Holiday-Visum nach Sydney, ohne Punktetest, ohne Skills Assessment, ohne festen Plan über das erste Jahr hinaus. Erst als eine Agentur ihr nach anderthalb Jahren ein Sponsoring über Subclass 482 anbot, änderte sich ihr Status grundlegend – vom befristeten Reisevisum zum planbaren Arbeitsweg mit Aussicht auf Subclass 186. Für eine Alleinstehende ohne Kind vor Ort blieb ohnehin nur der berufliche Weg; Familien- und Ruhestandswege, wie </w:t>
            </w:r>
            <w:r>
              <w:rPr>
                <w:sz w:val="20"/>
                <w:szCs w:val="20"/>
              </w:rPr>
              <w:t xml:space="preserve">sie das </w:t>
            </w:r>
            <w:hyperlink w:anchor="tau03" w:history="1">
              <w:r>
                <w:rPr>
                  <w:color w:val="0563C1"/>
                  <w:sz w:val="20"/>
                  <w:szCs w:val="20"/>
                  <w:u w:val="single"/>
                </w:rPr>
                <w:t>nächste Kapitel dieses Teils</w:t>
              </w:r>
            </w:hyperlink>
            <w:r>
              <w:rPr>
                <w:sz w:val="20"/>
                <w:szCs w:val="20"/>
              </w:rPr>
              <w:t xml:space="preserve"> beschreibt, setzen ganz andere Voraussetzungen voraus.</w:t>
            </w:r>
          </w:p>
        </w:tc>
      </w:tr>
    </w:tbl>
    <w:p w14:paraId="70A4EEFC" w14:textId="77777777" w:rsidR="00C1548D" w:rsidRDefault="00C1548D">
      <w:pPr>
        <w:spacing w:line="220" w:lineRule="exact"/>
      </w:pPr>
    </w:p>
    <w:p w14:paraId="70A4EEFD" w14:textId="77777777" w:rsidR="00C1548D" w:rsidRDefault="009B1B4B">
      <w:pPr>
        <w:pStyle w:val="Heading3"/>
        <w:keepNext/>
        <w:jc w:val="center"/>
      </w:pPr>
      <w:r>
        <w:rPr>
          <w:rFonts w:ascii="Amazon Ember" w:eastAsia="Amazon Ember" w:hAnsi="Amazon Ember" w:cs="Amazon Ember"/>
          <w:color w:val="0000FF"/>
          <w:sz w:val="36"/>
          <w:szCs w:val="36"/>
        </w:rPr>
        <w:t>Studium: der langsame, aber planbare Weg</w:t>
      </w:r>
    </w:p>
    <w:p w14:paraId="70A4EEFE" w14:textId="77777777" w:rsidR="00C1548D" w:rsidRDefault="009B1B4B">
      <w:pPr>
        <w:spacing w:after="140"/>
      </w:pPr>
      <w:r>
        <w:t xml:space="preserve">Das Studienvisum (Subclass 500) führt nicht direkt zum Daueraufenthalt, öffnet aber zwei Türen zugleich: einen anerkannten australischen Abschluss, der im Punktetest zusätzliche Punkte bringt, und oft den ersten Kontakt zu einem künftigen Arbeitgeber während eines Praktikums oder Werkstudentenjobs. Voraussetzung ist unter anderem der </w:t>
      </w:r>
      <w:r>
        <w:rPr>
          <w:i/>
          <w:iCs/>
        </w:rPr>
        <w:t>Genuine-Student</w:t>
      </w:r>
      <w:r>
        <w:t>-Nachweis (die Erklärung, dass ein echtes Studieninteresse und keine verdeckte Einwanderungsabsicht vorliegt), eine gültige Studienplatzbestätigung, ein Sprachnachweis und der Nachweis ausreichender finanzieller Mittel: mindestens 29.710 AUD im Jahr für die Hauptperson, dazu 10.394 AUD für mitreisende Partner und 4.449 AUD je Kind. Die Antragsgebühr liegt seit 1. Juli 2026 bei 2.500 AUD, ein Viertel mehr als zuvor.</w:t>
      </w:r>
    </w:p>
    <w:p w14:paraId="70A4EEFF" w14:textId="77777777" w:rsidR="00C1548D" w:rsidRDefault="009B1B4B">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w14:paraId="70A4EF00" w14:textId="77777777" w:rsidR="00C1548D" w:rsidRDefault="009B1B4B">
      <w:pPr>
        <w:spacing w:after="140"/>
      </w:pPr>
      <w:r>
        <w:lastRenderedPageBreak/>
        <w:t>Nach dem Abschluss steht für viele ein weiterer Zwischenschritt an: das Temporary Graduate Visa (Subclass 485), das befristetes Arbeiten in Australien erlaubt und Zeit verschafft, entweder eine Skills Assessment und den Punktetest anzugehen oder einen sponsernden Arbeitgeber zu finden. Die genauen Voraussetzungen dieses Zwischenschritts sind hier nicht vertieft; wer über ein Studium einwandern will, sollte ihn aber von Anfang an in die eigene Zeitplanung einrechnen, nicht erst kurz vor Studienabschluss.</w:t>
      </w:r>
    </w:p>
    <w:p w14:paraId="70A4EF01" w14:textId="77777777" w:rsidR="00C1548D" w:rsidRDefault="009B1B4B">
      <w:pPr>
        <w:pStyle w:val="Heading3"/>
        <w:keepNext/>
        <w:jc w:val="center"/>
      </w:pPr>
      <w:r>
        <w:rPr>
          <w:rFonts w:ascii="Amazon Ember" w:eastAsia="Amazon Ember" w:hAnsi="Amazon Ember" w:cs="Amazon Ember"/>
          <w:color w:val="0000FF"/>
          <w:sz w:val="36"/>
          <w:szCs w:val="36"/>
        </w:rPr>
        <w:t>Typische Fehler</w:t>
      </w:r>
    </w:p>
    <w:p w14:paraId="70A4EF02" w14:textId="77777777" w:rsidR="00C1548D" w:rsidRDefault="009B1B4B">
      <w:pPr>
        <w:spacing w:after="140"/>
      </w:pPr>
      <w:r>
        <w:t>Wer die Wege in diesem Kapitel zum ersten Mal vergleicht, tappt erfahrungsgemäß in immer dieselben Fallen:</w:t>
      </w:r>
    </w:p>
    <w:p w14:paraId="70A4EF03" w14:textId="77777777" w:rsidR="00C1548D" w:rsidRDefault="009B1B4B" w:rsidP="009B1B4B">
      <w:pPr>
        <w:pStyle w:val="ListParagraph"/>
        <w:numPr>
          <w:ilvl w:val="0"/>
          <w:numId w:val="1"/>
        </w:numPr>
        <w:spacing w:after="60"/>
      </w:pPr>
      <w:r>
        <w:t>Verbreiteter Irrtum: Ein deutscher Hochschulabschluss werde automatisch anerkannt, ähnlich wie innerhalb der EU. Tatsächlich verlangt fast jeder berufliche Weg eine eigene, oft kostenpflichtige Skills Assessment durch eine australische Fachstelle – ein deutsches Diplom ist dafür der Ausgangspunkt, nicht der Nachweis selbst.</w:t>
      </w:r>
    </w:p>
    <w:p w14:paraId="70A4EF04" w14:textId="77777777" w:rsidR="00C1548D" w:rsidRDefault="009B1B4B" w:rsidP="009B1B4B">
      <w:pPr>
        <w:pStyle w:val="ListParagraph"/>
        <w:numPr>
          <w:ilvl w:val="0"/>
          <w:numId w:val="1"/>
        </w:numPr>
        <w:spacing w:after="60"/>
      </w:pPr>
      <w:r>
        <w:t>Die gesetzliche Mindestpunktzahl von 65 wird mit einer realistischen Erfolgschance verwechselt; in Wahrheit liegen die Cut-offs bei gefragten Berufen deutlich darüber.</w:t>
      </w:r>
    </w:p>
    <w:p w14:paraId="70A4EF05" w14:textId="77777777" w:rsidR="00C1548D" w:rsidRDefault="009B1B4B" w:rsidP="009B1B4B">
      <w:pPr>
        <w:pStyle w:val="ListParagraph"/>
        <w:numPr>
          <w:ilvl w:val="0"/>
          <w:numId w:val="1"/>
        </w:numPr>
        <w:spacing w:after="60"/>
      </w:pPr>
      <w:r>
        <w:t>Die Altersgrenze von 45 Jahren für den Punktetest wird erst spät im Prozess entdeckt, oft nachdem schon Zeit und Geld in eine Skills Assessment geflossen sind.</w:t>
      </w:r>
    </w:p>
    <w:p w14:paraId="70A4EF06" w14:textId="77777777" w:rsidR="00C1548D" w:rsidRDefault="009B1B4B" w:rsidP="009B1B4B">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w14:paraId="70A4EF07" w14:textId="77777777" w:rsidR="00C1548D" w:rsidRDefault="009B1B4B" w:rsidP="009B1B4B">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w14:paraId="70A4EF08" w14:textId="77777777" w:rsidR="00C1548D" w:rsidRDefault="00C1548D">
      <w:pPr>
        <w:spacing w:line="120" w:lineRule="exact"/>
      </w:pPr>
    </w:p>
    <w:p w14:paraId="70A4EF09" w14:textId="77777777" w:rsidR="00C1548D" w:rsidRDefault="009B1B4B">
      <w:pPr>
        <w:pStyle w:val="Heading3"/>
        <w:keepNext/>
        <w:jc w:val="center"/>
      </w:pPr>
      <w:r>
        <w:rPr>
          <w:rFonts w:ascii="Amazon Ember" w:eastAsia="Amazon Ember" w:hAnsi="Amazon Ember" w:cs="Amazon Ember"/>
          <w:color w:val="0000FF"/>
          <w:sz w:val="36"/>
          <w:szCs w:val="36"/>
        </w:rPr>
        <w:lastRenderedPageBreak/>
        <w:t>Welcher Weg passt zu wem?</w:t>
      </w:r>
    </w:p>
    <w:p w14:paraId="70A4EF0A" w14:textId="77777777" w:rsidR="00C1548D" w:rsidRDefault="009B1B4B">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 eine Realität, die sich nicht wegdiskutieren l</w:t>
      </w:r>
      <w:r>
        <w:t>ässt, aber immerhin klar benennen lässt. Die folgende Übersicht ersetzt keine individuelle Rechnung, zeigt aber, wo die meisten Deutschen typischerweise landen: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1"/>
        <w:gridCol w:w="3119"/>
      </w:tblGrid>
      <w:tr w:rsidR="00C1548D" w14:paraId="70A4EF0D" w14:textId="77777777">
        <w:tblPrEx>
          <w:tblCellMar>
            <w:top w:w="0" w:type="dxa"/>
            <w:bottom w:w="0" w:type="dxa"/>
          </w:tblCellMar>
        </w:tblPrEx>
        <w:trPr>
          <w:cantSplit/>
          <w:tblHeader/>
        </w:trPr>
        <w:tc>
          <w:tcPr>
            <w:tcW w:w="336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F0B" w14:textId="77777777" w:rsidR="00C1548D" w:rsidRDefault="009B1B4B">
            <w:pPr>
              <w:spacing w:line="250" w:lineRule="auto"/>
            </w:pPr>
            <w:r>
              <w:rPr>
                <w:b/>
                <w:bCs/>
                <w:sz w:val="18"/>
                <w:szCs w:val="18"/>
              </w:rPr>
              <w:t>Ausgangslage</w:t>
            </w:r>
          </w:p>
        </w:tc>
        <w:tc>
          <w:tcPr>
            <w:tcW w:w="311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F0C" w14:textId="77777777" w:rsidR="00C1548D" w:rsidRDefault="009B1B4B">
            <w:pPr>
              <w:spacing w:line="250" w:lineRule="auto"/>
            </w:pPr>
            <w:r>
              <w:rPr>
                <w:b/>
                <w:bCs/>
                <w:sz w:val="18"/>
                <w:szCs w:val="18"/>
              </w:rPr>
              <w:t>Meist passender Weg</w:t>
            </w:r>
          </w:p>
        </w:tc>
      </w:tr>
      <w:tr w:rsidR="00C1548D" w14:paraId="70A4EF10" w14:textId="77777777">
        <w:tblPrEx>
          <w:tblCellMar>
            <w:top w:w="0" w:type="dxa"/>
            <w:bottom w:w="0" w:type="dxa"/>
          </w:tblCellMar>
        </w:tblPrEx>
        <w:trPr>
          <w:cantSplit/>
        </w:trPr>
        <w:tc>
          <w:tcPr>
            <w:tcW w:w="33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0E" w14:textId="77777777" w:rsidR="00C1548D" w:rsidRDefault="009B1B4B">
            <w:pPr>
              <w:spacing w:line="250" w:lineRule="auto"/>
            </w:pPr>
            <w:r>
              <w:rPr>
                <w:sz w:val="18"/>
                <w:szCs w:val="18"/>
              </w:rPr>
              <w:t>25 bis 39 Jahre, Mangelberuf, guter Punktestand erwartbar</w:t>
            </w:r>
          </w:p>
        </w:tc>
        <w:tc>
          <w:tcPr>
            <w:tcW w:w="31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0F" w14:textId="77777777" w:rsidR="00C1548D" w:rsidRDefault="009B1B4B">
            <w:pPr>
              <w:spacing w:line="250" w:lineRule="auto"/>
            </w:pPr>
            <w:r>
              <w:rPr>
                <w:sz w:val="18"/>
                <w:szCs w:val="18"/>
              </w:rPr>
              <w:t>Subclass 189 (unabhängig)</w:t>
            </w:r>
          </w:p>
        </w:tc>
      </w:tr>
      <w:tr w:rsidR="00C1548D" w14:paraId="70A4EF13" w14:textId="77777777">
        <w:tblPrEx>
          <w:tblCellMar>
            <w:top w:w="0" w:type="dxa"/>
            <w:bottom w:w="0" w:type="dxa"/>
          </w:tblCellMar>
        </w:tblPrEx>
        <w:trPr>
          <w:cantSplit/>
        </w:trPr>
        <w:tc>
          <w:tcPr>
            <w:tcW w:w="33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11" w14:textId="77777777" w:rsidR="00C1548D" w:rsidRDefault="009B1B4B">
            <w:pPr>
              <w:spacing w:line="250" w:lineRule="auto"/>
            </w:pPr>
            <w:r>
              <w:rPr>
                <w:sz w:val="18"/>
                <w:szCs w:val="18"/>
              </w:rPr>
              <w:t>Punktzahl knapp unter dem Cut-off, Bereitschaft zu zwei Jahren Bindung</w:t>
            </w:r>
          </w:p>
        </w:tc>
        <w:tc>
          <w:tcPr>
            <w:tcW w:w="31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12" w14:textId="77777777" w:rsidR="00C1548D" w:rsidRDefault="009B1B4B">
            <w:pPr>
              <w:spacing w:line="250" w:lineRule="auto"/>
            </w:pPr>
            <w:r>
              <w:rPr>
                <w:sz w:val="18"/>
                <w:szCs w:val="18"/>
              </w:rPr>
              <w:t>Subclass 190 (mit Bundesstaat)</w:t>
            </w:r>
          </w:p>
        </w:tc>
      </w:tr>
      <w:tr w:rsidR="00C1548D" w14:paraId="70A4EF16" w14:textId="77777777">
        <w:tblPrEx>
          <w:tblCellMar>
            <w:top w:w="0" w:type="dxa"/>
            <w:bottom w:w="0" w:type="dxa"/>
          </w:tblCellMar>
        </w:tblPrEx>
        <w:trPr>
          <w:cantSplit/>
        </w:trPr>
        <w:tc>
          <w:tcPr>
            <w:tcW w:w="33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14" w14:textId="77777777" w:rsidR="00C1548D" w:rsidRDefault="009B1B4B">
            <w:pPr>
              <w:spacing w:line="250" w:lineRule="auto"/>
            </w:pPr>
            <w:r>
              <w:rPr>
                <w:sz w:val="18"/>
                <w:szCs w:val="18"/>
              </w:rPr>
              <w:t>Bereitschaft, außerhalb der Großstädte zu leben</w:t>
            </w:r>
          </w:p>
        </w:tc>
        <w:tc>
          <w:tcPr>
            <w:tcW w:w="31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15" w14:textId="77777777" w:rsidR="00C1548D" w:rsidRDefault="009B1B4B">
            <w:pPr>
              <w:spacing w:line="250" w:lineRule="auto"/>
            </w:pPr>
            <w:r>
              <w:rPr>
                <w:sz w:val="18"/>
                <w:szCs w:val="18"/>
              </w:rPr>
              <w:t>Subclass 491 (regional, Vorstufe zu 191)</w:t>
            </w:r>
          </w:p>
        </w:tc>
      </w:tr>
      <w:tr w:rsidR="00C1548D" w14:paraId="70A4EF19" w14:textId="77777777">
        <w:tblPrEx>
          <w:tblCellMar>
            <w:top w:w="0" w:type="dxa"/>
            <w:bottom w:w="0" w:type="dxa"/>
          </w:tblCellMar>
        </w:tblPrEx>
        <w:trPr>
          <w:cantSplit/>
        </w:trPr>
        <w:tc>
          <w:tcPr>
            <w:tcW w:w="33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17" w14:textId="77777777" w:rsidR="00C1548D" w:rsidRDefault="009B1B4B">
            <w:pPr>
              <w:spacing w:line="250" w:lineRule="auto"/>
            </w:pPr>
            <w:r>
              <w:rPr>
                <w:sz w:val="18"/>
                <w:szCs w:val="18"/>
              </w:rPr>
              <w:t>Jobangebot eines australischen Arbeitgebers liegt vor</w:t>
            </w:r>
          </w:p>
        </w:tc>
        <w:tc>
          <w:tcPr>
            <w:tcW w:w="31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18" w14:textId="77777777" w:rsidR="00C1548D" w:rsidRDefault="009B1B4B">
            <w:pPr>
              <w:spacing w:line="250" w:lineRule="auto"/>
            </w:pPr>
            <w:r>
              <w:rPr>
                <w:sz w:val="18"/>
                <w:szCs w:val="18"/>
              </w:rPr>
              <w:t>Subclass 482, später ggf. 186</w:t>
            </w:r>
          </w:p>
        </w:tc>
      </w:tr>
      <w:tr w:rsidR="00C1548D" w14:paraId="70A4EF1C" w14:textId="77777777">
        <w:tblPrEx>
          <w:tblCellMar>
            <w:top w:w="0" w:type="dxa"/>
            <w:bottom w:w="0" w:type="dxa"/>
          </w:tblCellMar>
        </w:tblPrEx>
        <w:trPr>
          <w:cantSplit/>
        </w:trPr>
        <w:tc>
          <w:tcPr>
            <w:tcW w:w="33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1A" w14:textId="77777777" w:rsidR="00C1548D" w:rsidRDefault="009B1B4B">
            <w:pPr>
              <w:spacing w:line="250" w:lineRule="auto"/>
            </w:pPr>
            <w:r>
              <w:rPr>
                <w:sz w:val="18"/>
                <w:szCs w:val="18"/>
              </w:rPr>
              <w:t>Ab 45 Jahren oder punktebasiert nicht ausreichend</w:t>
            </w:r>
          </w:p>
        </w:tc>
        <w:tc>
          <w:tcPr>
            <w:tcW w:w="31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1B" w14:textId="77777777" w:rsidR="00C1548D" w:rsidRDefault="009B1B4B">
            <w:pPr>
              <w:spacing w:line="250" w:lineRule="auto"/>
            </w:pPr>
            <w:r>
              <w:rPr>
                <w:sz w:val="18"/>
                <w:szCs w:val="18"/>
              </w:rPr>
              <w:t>Nur noch Arbeitgeber-Sponsoring (482/186)</w:t>
            </w:r>
          </w:p>
        </w:tc>
      </w:tr>
      <w:tr w:rsidR="00C1548D" w14:paraId="70A4EF1F" w14:textId="77777777">
        <w:tblPrEx>
          <w:tblCellMar>
            <w:top w:w="0" w:type="dxa"/>
            <w:bottom w:w="0" w:type="dxa"/>
          </w:tblCellMar>
        </w:tblPrEx>
        <w:trPr>
          <w:cantSplit/>
        </w:trPr>
        <w:tc>
          <w:tcPr>
            <w:tcW w:w="33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1D" w14:textId="77777777" w:rsidR="00C1548D" w:rsidRDefault="009B1B4B">
            <w:pPr>
              <w:spacing w:line="250" w:lineRule="auto"/>
            </w:pPr>
            <w:r>
              <w:rPr>
                <w:sz w:val="18"/>
                <w:szCs w:val="18"/>
              </w:rPr>
              <w:t>18 bis 35 Jahre, noch unentschlossen, will erst reinschnuppern</w:t>
            </w:r>
          </w:p>
        </w:tc>
        <w:tc>
          <w:tcPr>
            <w:tcW w:w="31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1E" w14:textId="77777777" w:rsidR="00C1548D" w:rsidRDefault="009B1B4B">
            <w:pPr>
              <w:spacing w:line="250" w:lineRule="auto"/>
            </w:pPr>
            <w:r>
              <w:rPr>
                <w:sz w:val="18"/>
                <w:szCs w:val="18"/>
              </w:rPr>
              <w:t>Working Holiday (417)</w:t>
            </w:r>
          </w:p>
        </w:tc>
      </w:tr>
      <w:tr w:rsidR="00C1548D" w14:paraId="70A4EF22" w14:textId="77777777">
        <w:tblPrEx>
          <w:tblCellMar>
            <w:top w:w="0" w:type="dxa"/>
            <w:bottom w:w="0" w:type="dxa"/>
          </w:tblCellMar>
        </w:tblPrEx>
        <w:trPr>
          <w:cantSplit/>
        </w:trPr>
        <w:tc>
          <w:tcPr>
            <w:tcW w:w="33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20" w14:textId="77777777" w:rsidR="00C1548D" w:rsidRDefault="009B1B4B">
            <w:pPr>
              <w:spacing w:line="250" w:lineRule="auto"/>
            </w:pPr>
            <w:r>
              <w:rPr>
                <w:sz w:val="18"/>
                <w:szCs w:val="18"/>
              </w:rPr>
              <w:t>Punktzahl oder Abschluss reichen noch nicht</w:t>
            </w:r>
          </w:p>
        </w:tc>
        <w:tc>
          <w:tcPr>
            <w:tcW w:w="31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21" w14:textId="77777777" w:rsidR="00C1548D" w:rsidRDefault="009B1B4B">
            <w:pPr>
              <w:spacing w:line="250" w:lineRule="auto"/>
            </w:pPr>
            <w:r>
              <w:rPr>
                <w:sz w:val="18"/>
                <w:szCs w:val="18"/>
              </w:rPr>
              <w:t>Studienvisum (500) als Zwischenschritt</w:t>
            </w:r>
          </w:p>
        </w:tc>
      </w:tr>
      <w:tr w:rsidR="00C1548D" w14:paraId="70A4EF25" w14:textId="77777777">
        <w:tblPrEx>
          <w:tblCellMar>
            <w:top w:w="0" w:type="dxa"/>
            <w:bottom w:w="0" w:type="dxa"/>
          </w:tblCellMar>
        </w:tblPrEx>
        <w:trPr>
          <w:cantSplit/>
        </w:trPr>
        <w:tc>
          <w:tcPr>
            <w:tcW w:w="33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23" w14:textId="77777777" w:rsidR="00C1548D" w:rsidRDefault="009B1B4B">
            <w:pPr>
              <w:spacing w:line="250" w:lineRule="auto"/>
            </w:pPr>
            <w:r>
              <w:rPr>
                <w:sz w:val="18"/>
                <w:szCs w:val="18"/>
              </w:rPr>
              <w:t>Kein eigener gefragter Beruf, aber Kind mit Aufenthaltstitel in Australien</w:t>
            </w:r>
          </w:p>
        </w:tc>
        <w:tc>
          <w:tcPr>
            <w:tcW w:w="31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24" w14:textId="158D550F" w:rsidR="00C1548D" w:rsidRDefault="009B1B4B">
            <w:pPr>
              <w:spacing w:line="250" w:lineRule="auto"/>
            </w:pPr>
            <w:r>
              <w:rPr>
                <w:sz w:val="18"/>
                <w:szCs w:val="18"/>
              </w:rPr>
              <w:t xml:space="preserve">siehe </w:t>
            </w:r>
            <w:hyperlink w:anchor="tau04" w:history="1">
              <w:r>
                <w:rPr>
                  <w:color w:val="0563C1"/>
                  <w:sz w:val="18"/>
                  <w:szCs w:val="18"/>
                  <w:u w:val="single"/>
                </w:rPr>
                <w:t>Kapitel zu Familie, Investor und Ruhestand in diesem Teil</w:t>
              </w:r>
            </w:hyperlink>
          </w:p>
        </w:tc>
      </w:tr>
    </w:tbl>
    <w:p w14:paraId="70A4EF26"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2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F27" w14:textId="77777777" w:rsidR="00C1548D" w:rsidRDefault="009B1B4B">
            <w:pPr>
              <w:keepNext/>
              <w:spacing w:after="70" w:line="240" w:lineRule="auto"/>
            </w:pPr>
            <w:r>
              <w:rPr>
                <w:b/>
                <w:bCs/>
                <w:color w:val="9B2C2C"/>
                <w:spacing w:val="24"/>
                <w:sz w:val="16"/>
                <w:szCs w:val="16"/>
              </w:rPr>
              <w:lastRenderedPageBreak/>
              <w:t>ACHTUNG</w:t>
            </w:r>
          </w:p>
          <w:p w14:paraId="70A4EF28" w14:textId="77777777" w:rsidR="00C1548D" w:rsidRDefault="009B1B4B">
            <w:pPr>
              <w:spacing w:after="80" w:line="264" w:lineRule="auto"/>
            </w:pPr>
            <w:r>
              <w:rPr>
                <w:sz w:val="20"/>
                <w:szCs w:val="20"/>
              </w:rPr>
              <w:t>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tc>
      </w:tr>
    </w:tbl>
    <w:p w14:paraId="70A4EF2A" w14:textId="77777777" w:rsidR="00C1548D" w:rsidRDefault="00C1548D">
      <w:pPr>
        <w:spacing w:line="220" w:lineRule="exact"/>
      </w:pPr>
    </w:p>
    <w:p w14:paraId="70A4EF2B"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F2E"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F2C"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F2D" w14:textId="77777777" w:rsidR="00C1548D" w:rsidRDefault="009B1B4B">
            <w:pPr>
              <w:spacing w:line="250" w:lineRule="auto"/>
            </w:pPr>
            <w:r>
              <w:rPr>
                <w:b/>
                <w:bCs/>
                <w:sz w:val="18"/>
                <w:szCs w:val="18"/>
              </w:rPr>
              <w:t>Minus</w:t>
            </w:r>
          </w:p>
        </w:tc>
      </w:tr>
      <w:tr w:rsidR="00C1548D" w14:paraId="70A4EF3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2F" w14:textId="77777777" w:rsidR="00C1548D" w:rsidRDefault="009B1B4B">
            <w:pPr>
              <w:spacing w:line="250" w:lineRule="auto"/>
            </w:pPr>
            <w:r>
              <w:rPr>
                <w:sz w:val="18"/>
                <w:szCs w:val="18"/>
              </w:rPr>
              <w:t>Mehrere parallele Wege erhöhen die Gesamtchance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30" w14:textId="77777777" w:rsidR="00C1548D" w:rsidRDefault="009B1B4B">
            <w:pPr>
              <w:spacing w:line="250" w:lineRule="auto"/>
            </w:pPr>
            <w:r>
              <w:rPr>
                <w:sz w:val="18"/>
                <w:szCs w:val="18"/>
              </w:rPr>
              <w:t>Für fast jeden Weg ist ein Beruf auf einer Liste Voraussetzung</w:t>
            </w:r>
          </w:p>
        </w:tc>
      </w:tr>
      <w:tr w:rsidR="00C1548D" w14:paraId="70A4EF3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32" w14:textId="77777777" w:rsidR="00C1548D" w:rsidRDefault="009B1B4B">
            <w:pPr>
              <w:spacing w:line="250" w:lineRule="auto"/>
            </w:pPr>
            <w:r>
              <w:rPr>
                <w:sz w:val="18"/>
                <w:szCs w:val="18"/>
              </w:rPr>
              <w:t>Punktetest ist transparent und selbst überschlagbar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33" w14:textId="77777777" w:rsidR="00C1548D" w:rsidRDefault="009B1B4B">
            <w:pPr>
              <w:spacing w:line="250" w:lineRule="auto"/>
            </w:pPr>
            <w:r>
              <w:rPr>
                <w:sz w:val="18"/>
                <w:szCs w:val="18"/>
              </w:rPr>
              <w:t>Berufslisten und Cut-offs ändern sich mehrfach im Jahr</w:t>
            </w:r>
          </w:p>
        </w:tc>
      </w:tr>
      <w:tr w:rsidR="00C1548D" w14:paraId="70A4EF3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35" w14:textId="77777777" w:rsidR="00C1548D" w:rsidRDefault="009B1B4B">
            <w:pPr>
              <w:spacing w:line="250" w:lineRule="auto"/>
            </w:pPr>
            <w:r>
              <w:rPr>
                <w:sz w:val="18"/>
                <w:szCs w:val="18"/>
              </w:rPr>
              <w:t>Arbeitgeber-Sponsoring umgeht den Punktetest komplett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36" w14:textId="77777777" w:rsidR="00C1548D" w:rsidRDefault="009B1B4B">
            <w:pPr>
              <w:spacing w:line="250" w:lineRule="auto"/>
            </w:pPr>
            <w:r>
              <w:rPr>
                <w:sz w:val="18"/>
                <w:szCs w:val="18"/>
              </w:rPr>
              <w:t>Subclass 482 bindet dich für Jahre an einen einzelnen Betrieb</w:t>
            </w:r>
          </w:p>
        </w:tc>
      </w:tr>
      <w:tr w:rsidR="00C1548D" w14:paraId="70A4EF3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38" w14:textId="77777777" w:rsidR="00C1548D" w:rsidRDefault="009B1B4B">
            <w:pPr>
              <w:spacing w:line="250" w:lineRule="auto"/>
            </w:pPr>
            <w:r>
              <w:rPr>
                <w:sz w:val="18"/>
                <w:szCs w:val="18"/>
              </w:rPr>
              <w:t>Working Holiday erlaubt einen risikoarmen ersten Schritt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39" w14:textId="77777777" w:rsidR="00C1548D" w:rsidRDefault="009B1B4B">
            <w:pPr>
              <w:spacing w:line="250" w:lineRule="auto"/>
            </w:pPr>
            <w:r>
              <w:rPr>
                <w:sz w:val="18"/>
                <w:szCs w:val="18"/>
              </w:rPr>
              <w:t>Working Holiday ist selbst kein Daueraufenthaltsweg</w:t>
            </w:r>
          </w:p>
        </w:tc>
      </w:tr>
      <w:tr w:rsidR="00C1548D" w14:paraId="70A4EF3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3B" w14:textId="77777777" w:rsidR="00C1548D" w:rsidRDefault="009B1B4B">
            <w:pPr>
              <w:spacing w:line="250" w:lineRule="auto"/>
            </w:pPr>
            <w:r>
              <w:rPr>
                <w:sz w:val="18"/>
                <w:szCs w:val="18"/>
              </w:rPr>
              <w:t>Studium eröffnet zusätzliche Punkte und Kontakte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3C" w14:textId="77777777" w:rsidR="00C1548D" w:rsidRDefault="009B1B4B">
            <w:pPr>
              <w:spacing w:line="250" w:lineRule="auto"/>
            </w:pPr>
            <w:r>
              <w:rPr>
                <w:sz w:val="18"/>
                <w:szCs w:val="18"/>
              </w:rPr>
              <w:t>Studienvisum ist die teuerste Variante ohne Jobgarantie</w:t>
            </w:r>
          </w:p>
        </w:tc>
      </w:tr>
      <w:tr w:rsidR="00C1548D" w14:paraId="70A4EF4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3E" w14:textId="77777777" w:rsidR="00C1548D" w:rsidRDefault="009B1B4B">
            <w:pPr>
              <w:spacing w:line="250" w:lineRule="auto"/>
            </w:pPr>
            <w:r>
              <w:rPr>
                <w:sz w:val="18"/>
                <w:szCs w:val="18"/>
              </w:rPr>
              <w:t>Family Stream bietet einen Weg unabhängig vom eigenen Beruf</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3F" w14:textId="77777777" w:rsidR="00C1548D" w:rsidRDefault="009B1B4B">
            <w:pPr>
              <w:spacing w:line="250" w:lineRule="auto"/>
            </w:pPr>
            <w:r>
              <w:rPr>
                <w:sz w:val="18"/>
                <w:szCs w:val="18"/>
              </w:rPr>
              <w:t>Für Familienwege gelten oft jahrzehntelange Wartezeiten</w:t>
            </w:r>
          </w:p>
        </w:tc>
      </w:tr>
    </w:tbl>
    <w:p w14:paraId="70A4EF41" w14:textId="77777777" w:rsidR="00C1548D" w:rsidRDefault="00C1548D">
      <w:pPr>
        <w:spacing w:line="180" w:lineRule="exact"/>
      </w:pPr>
    </w:p>
    <w:p w14:paraId="70A4EF42"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F43" w14:textId="77777777" w:rsidR="00C1548D" w:rsidRDefault="009B1B4B">
      <w:pPr>
        <w:spacing w:after="140"/>
      </w:pPr>
      <w:r>
        <w:t>Beginne mit einer ehrlichen Bestandsaufnahme: Alter, Beruf, Englischniveau, vorhandenes oder fehlendes Jobangebot. Prüfe, ob dein Beruf überhaupt auf einer der einschlägigen Listen steht – ohne das ist keiner der beruflichen Wege gangbar. Erst danach lohnt sich die Detailarbeit an Punktzahl oder Arbeitgebersuche, die die folgenden Kapitel dieses Teils zeigen. Wer sich nach dieser ersten Einordnung zwischen zwei Wegen nicht entscheiden kann, verliert selten Zeit, wenn er beide parallel vorbereitet: Ein begon</w:t>
      </w:r>
      <w:r>
        <w:t xml:space="preserve">nenes Skills </w:t>
      </w:r>
      <w:r>
        <w:lastRenderedPageBreak/>
        <w:t>Assessment verfällt nicht, nur weil am Ende doch der Arbeitgeberweg den Ausschlag gibt.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4D"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F44" w14:textId="77777777" w:rsidR="00C1548D" w:rsidRDefault="009B1B4B">
            <w:pPr>
              <w:keepNext/>
              <w:spacing w:after="70" w:line="240" w:lineRule="auto"/>
            </w:pPr>
            <w:r>
              <w:rPr>
                <w:b/>
                <w:bCs/>
                <w:color w:val="1F6F78"/>
                <w:spacing w:val="24"/>
                <w:sz w:val="16"/>
                <w:szCs w:val="16"/>
              </w:rPr>
              <w:t>CHECKLISTE</w:t>
            </w:r>
          </w:p>
          <w:p w14:paraId="70A4EF4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Beruf mit den aktuell gültigen Berufslisten abgeglichen (je nach Visum unterschiedlich)</w:t>
            </w:r>
          </w:p>
          <w:p w14:paraId="70A4EF4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Eigenes Alter in die Punktetabelle eingeordnet und geprüft, ob der Punktetest-Weg überhaupt offensteht</w:t>
            </w:r>
          </w:p>
          <w:p w14:paraId="70A4EF4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Englischniveau realistisch eingeschätzt, ggf. Testtermin für IELTS oder einen gleichwertigen Test gebucht</w:t>
            </w:r>
          </w:p>
          <w:p w14:paraId="70A4EF4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ein Jobangebot eines australischen Arbeitgebers realistisch erreichbar ist</w:t>
            </w:r>
          </w:p>
          <w:p w14:paraId="70A4EF4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Working Holiday als möglichen ersten Schritt erwogen, falls unter 35 und noch unentschlossen</w:t>
            </w:r>
          </w:p>
          <w:p w14:paraId="70A4EF4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Studienvisum als Zwischenschritt geprüft, falls Punktzahl oder Abschluss noch nicht reichen</w:t>
            </w:r>
          </w:p>
          <w:p w14:paraId="70A4EF4B" w14:textId="571A9312"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hyperlink w:anchor="tau04" w:history="1">
              <w:r>
                <w:rPr>
                  <w:color w:val="0563C1"/>
                  <w:sz w:val="20"/>
                  <w:szCs w:val="20"/>
                  <w:u w:val="single"/>
                </w:rPr>
                <w:t>Kapitel zu Familie, Investor und Ruhestand in diesem Teil</w:t>
              </w:r>
            </w:hyperlink>
            <w:r>
              <w:rPr>
                <w:sz w:val="20"/>
                <w:szCs w:val="20"/>
              </w:rPr>
              <w:t xml:space="preserve"> gelesen, falls kein eigener gefragter Beruf vorliegt</w:t>
            </w:r>
          </w:p>
          <w:p w14:paraId="70A4EF4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Aktuelle Gebühren, Cut-offs und Bearbeitungszeiten direkt bei Home Affairs geprüft</w:t>
            </w:r>
          </w:p>
        </w:tc>
      </w:tr>
    </w:tbl>
    <w:p w14:paraId="70A4EF4E" w14:textId="77777777" w:rsidR="00C1548D" w:rsidRDefault="00C1548D">
      <w:pPr>
        <w:spacing w:line="220" w:lineRule="exact"/>
      </w:pPr>
    </w:p>
    <w:p w14:paraId="70A4EF4F"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EF50" w14:textId="6D89066F" w:rsidR="00C1548D" w:rsidRDefault="009B1B4B" w:rsidP="009B1B4B">
      <w:pPr>
        <w:pStyle w:val="ListParagraph"/>
        <w:numPr>
          <w:ilvl w:val="0"/>
          <w:numId w:val="1"/>
        </w:numPr>
        <w:spacing w:after="60"/>
      </w:pPr>
      <w:r>
        <w:t>Department of Home Affairs — Übersicht aller Visa-Optionen (</w:t>
      </w:r>
      <w:hyperlink r:id="rId379" w:history="1">
        <w:r>
          <w:rPr>
            <w:color w:val="0563C1"/>
            <w:u w:val="single"/>
          </w:rPr>
          <w:t>immi.homeaffairs.gov.au</w:t>
        </w:r>
      </w:hyperlink>
      <w:r>
        <w:t>)</w:t>
      </w:r>
    </w:p>
    <w:p w14:paraId="70A4EF51" w14:textId="7D81CD8B" w:rsidR="00C1548D" w:rsidRDefault="009B1B4B" w:rsidP="009B1B4B">
      <w:pPr>
        <w:pStyle w:val="ListParagraph"/>
        <w:numPr>
          <w:ilvl w:val="0"/>
          <w:numId w:val="1"/>
        </w:numPr>
        <w:spacing w:after="60"/>
      </w:pPr>
      <w:r>
        <w:t>Department of Home Affairs — SkillSelect und Einladungsrunden (</w:t>
      </w:r>
      <w:hyperlink r:id="rId380" w:history="1">
        <w:r>
          <w:rPr>
            <w:color w:val="0563C1"/>
            <w:u w:val="single"/>
          </w:rPr>
          <w:t>immi.homeaffairs.gov.au/visas/working-in-australia/skillselect</w:t>
        </w:r>
      </w:hyperlink>
      <w:r>
        <w:t>)</w:t>
      </w:r>
    </w:p>
    <w:p w14:paraId="70A4EF52" w14:textId="4F603003" w:rsidR="00C1548D" w:rsidRDefault="009B1B4B" w:rsidP="009B1B4B">
      <w:pPr>
        <w:pStyle w:val="ListParagraph"/>
        <w:numPr>
          <w:ilvl w:val="0"/>
          <w:numId w:val="1"/>
        </w:numPr>
        <w:spacing w:after="60"/>
      </w:pPr>
      <w:r>
        <w:t>Department of Home Affairs — Working Holiday Visa, Subclass 417 (</w:t>
      </w:r>
      <w:hyperlink r:id="rId381" w:history="1">
        <w:r>
          <w:rPr>
            <w:color w:val="0563C1"/>
            <w:u w:val="single"/>
          </w:rPr>
          <w:t>immi.homeaffairs.gov.au</w:t>
        </w:r>
      </w:hyperlink>
      <w:r>
        <w:t>, Suche: work-holiday-417)</w:t>
      </w:r>
    </w:p>
    <w:p w14:paraId="70A4EF53" w14:textId="0D73D173" w:rsidR="00C1548D" w:rsidRDefault="009B1B4B" w:rsidP="009B1B4B">
      <w:pPr>
        <w:pStyle w:val="ListParagraph"/>
        <w:numPr>
          <w:ilvl w:val="0"/>
          <w:numId w:val="1"/>
        </w:numPr>
        <w:spacing w:after="60"/>
      </w:pPr>
      <w:r>
        <w:t>Department of Home Affairs — Student Visa, Subclass 500 (</w:t>
      </w:r>
      <w:hyperlink r:id="rId382" w:history="1">
        <w:r>
          <w:rPr>
            <w:color w:val="0563C1"/>
            <w:u w:val="single"/>
          </w:rPr>
          <w:t>immi.homeaffairs.gov.au</w:t>
        </w:r>
      </w:hyperlink>
      <w:r>
        <w:t>, Suche: student-visa-500)</w:t>
      </w:r>
    </w:p>
    <w:p w14:paraId="70A4EF54" w14:textId="65144DA6" w:rsidR="00C1548D" w:rsidRDefault="009B1B4B" w:rsidP="009B1B4B">
      <w:pPr>
        <w:pStyle w:val="ListParagraph"/>
        <w:numPr>
          <w:ilvl w:val="0"/>
          <w:numId w:val="1"/>
        </w:numPr>
        <w:spacing w:after="60"/>
      </w:pPr>
      <w:r>
        <w:lastRenderedPageBreak/>
        <w:t>Department of Home Affairs — Gebühren und Bearbeitungszeiten (</w:t>
      </w:r>
      <w:hyperlink r:id="rId383" w:history="1">
        <w:r>
          <w:rPr>
            <w:color w:val="0563C1"/>
            <w:u w:val="single"/>
          </w:rPr>
          <w:t>immi.homeaffairs.gov.au/visas/getting-a-visa/fees-and-charges</w:t>
        </w:r>
      </w:hyperlink>
      <w:r>
        <w:t>)</w:t>
      </w:r>
    </w:p>
    <w:p w14:paraId="70A4EF55" w14:textId="5F90D413" w:rsidR="00C1548D" w:rsidRDefault="009B1B4B" w:rsidP="009B1B4B">
      <w:pPr>
        <w:pStyle w:val="ListParagraph"/>
        <w:numPr>
          <w:ilvl w:val="0"/>
          <w:numId w:val="1"/>
        </w:numPr>
        <w:spacing w:after="60"/>
      </w:pPr>
      <w:r>
        <w:t>Department of Home Affairs — Migration Program, Planungsniveau 2026–27 (</w:t>
      </w:r>
      <w:hyperlink r:id="rId384" w:history="1">
        <w:r>
          <w:rPr>
            <w:color w:val="0563C1"/>
            <w:u w:val="single"/>
          </w:rPr>
          <w:t>immi.homeaffairs.gov.au</w:t>
        </w:r>
      </w:hyperlink>
      <w:r>
        <w:t>)</w:t>
      </w:r>
    </w:p>
    <w:p w14:paraId="70A4EF5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59"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F57" w14:textId="77777777" w:rsidR="00C1548D" w:rsidRDefault="009B1B4B">
            <w:pPr>
              <w:keepNext/>
              <w:spacing w:after="70" w:line="240" w:lineRule="auto"/>
            </w:pPr>
            <w:r>
              <w:rPr>
                <w:b/>
                <w:bCs/>
                <w:color w:val="6B7280"/>
                <w:spacing w:val="24"/>
                <w:sz w:val="16"/>
                <w:szCs w:val="16"/>
              </w:rPr>
              <w:t>STAND</w:t>
            </w:r>
          </w:p>
          <w:p w14:paraId="70A4EF58" w14:textId="77777777" w:rsidR="00C1548D" w:rsidRDefault="009B1B4B">
            <w:pPr>
              <w:spacing w:after="80" w:line="264" w:lineRule="auto"/>
            </w:pPr>
            <w:r>
              <w:rPr>
                <w:sz w:val="20"/>
                <w:szCs w:val="20"/>
              </w:rPr>
              <w:t>23.09.2026. Diese Angaben ändern sich schnell: die Cut-off-Werte jeder SkillSelect-Runde, die Berufslisten, die Lohnschwellen für Subclass 482, die Working-Holiday-Regeln (Altersgrenze, Losverfahren für das zweite Jahr seit September 2026) und alle genannten Gebühren. Prüfe vor jeder Entscheidung die aktuellen Werte direkt auf immi.homeaffairs.gov.au.</w:t>
            </w:r>
          </w:p>
        </w:tc>
      </w:tr>
    </w:tbl>
    <w:p w14:paraId="70A4EF5A" w14:textId="77777777" w:rsidR="00C1548D" w:rsidRDefault="00C1548D">
      <w:pPr>
        <w:spacing w:line="220" w:lineRule="exact"/>
      </w:pPr>
    </w:p>
    <w:p w14:paraId="70A4EF5B" w14:textId="77777777" w:rsidR="00C1548D" w:rsidRDefault="009B1B4B">
      <w:pPr>
        <w:pStyle w:val="Heading2"/>
        <w:keepNext/>
        <w:pageBreakBefore/>
        <w:jc w:val="center"/>
      </w:pPr>
      <w:bookmarkStart w:id="106" w:name="tau03"/>
      <w:bookmarkStart w:id="107" w:name="_Toc241352504"/>
      <w:r>
        <w:rPr>
          <w:rFonts w:ascii="Amazon Ember" w:eastAsia="Amazon Ember" w:hAnsi="Amazon Ember" w:cs="Amazon Ember"/>
          <w:color w:val="0000FF"/>
          <w:sz w:val="36"/>
          <w:szCs w:val="36"/>
        </w:rPr>
        <w:lastRenderedPageBreak/>
        <w:t>Australien: Der Arbeitsweg im Detail</w:t>
      </w:r>
      <w:bookmarkEnd w:id="106"/>
      <w:bookmarkEnd w:id="107"/>
    </w:p>
    <w:p w14:paraId="70A4EF5C" w14:textId="77777777" w:rsidR="00C1548D" w:rsidRDefault="009B1B4B">
      <w:pPr>
        <w:spacing w:after="140"/>
      </w:pPr>
      <w:r>
        <w:t>Thomas Reinhardt sitzt am Küchentisch in Köln, vor sich die Punktetabelle des australischen Department of Home Affairs, und addiert: Alter, Englischtest, Studienabschluss, Berufsjahre. Am Ende steht eine Zahl über der gesetzlichen Mindestpunktzahl – und trotzdem fühlt sie sich nicht wie eine Zusage an. Wer sich durch das australische Einwanderungssystem rechnet, lernt schnell die erste Lektion: 65 Punkte sind die Eintrittskarte zum Wartesaal, nicht die Einladung selbst. Dieses Kapitel zeigt, wie der Punktet</w:t>
      </w:r>
      <w:r>
        <w:t xml:space="preserve">est wirklich funktioniert, wie das Verfahren </w:t>
      </w:r>
      <w:r>
        <w:rPr>
          <w:i/>
          <w:iCs/>
        </w:rPr>
        <w:t>SkillSelect</w:t>
      </w:r>
      <w:r>
        <w:t xml:space="preserve"> Bewerbungen sortiert, wann ein Arbeitgeber die Abkürzung ist – und was für deutsche Fachkräfte 2026 realistisch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64"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EF5D" w14:textId="77777777" w:rsidR="00C1548D" w:rsidRDefault="009B1B4B">
            <w:pPr>
              <w:keepNext/>
              <w:spacing w:after="70" w:line="240" w:lineRule="auto"/>
            </w:pPr>
            <w:r>
              <w:rPr>
                <w:b/>
                <w:bCs/>
                <w:color w:val="1F3A5F"/>
                <w:spacing w:val="24"/>
                <w:sz w:val="16"/>
                <w:szCs w:val="16"/>
              </w:rPr>
              <w:t>KURZ GESAGT</w:t>
            </w:r>
          </w:p>
          <w:p w14:paraId="70A4EF5E" w14:textId="77777777" w:rsidR="00C1548D" w:rsidRDefault="009B1B4B" w:rsidP="009B1B4B">
            <w:pPr>
              <w:pStyle w:val="ListParagraph"/>
              <w:numPr>
                <w:ilvl w:val="0"/>
                <w:numId w:val="1"/>
              </w:numPr>
              <w:spacing w:after="50" w:line="264" w:lineRule="auto"/>
            </w:pPr>
            <w:r>
              <w:rPr>
                <w:sz w:val="20"/>
                <w:szCs w:val="20"/>
              </w:rPr>
              <w:t>Drei Wege führen über den Beruf nach Australien: der unabhängige Punktetest (Subclass 189), der Punktetest mit Nominierung durch einen Bundesstaat (Subclass 190) und das Arbeitgeber-Sponsoring (Subclass 482, mit Weiterweg zur Daueraufenthaltserlaubnis über Subclass 186).</w:t>
            </w:r>
          </w:p>
          <w:p w14:paraId="70A4EF5F" w14:textId="77777777" w:rsidR="00C1548D" w:rsidRDefault="009B1B4B" w:rsidP="009B1B4B">
            <w:pPr>
              <w:pStyle w:val="ListParagraph"/>
              <w:numPr>
                <w:ilvl w:val="0"/>
                <w:numId w:val="1"/>
              </w:numPr>
              <w:spacing w:after="50" w:line="264" w:lineRule="auto"/>
            </w:pPr>
            <w:r>
              <w:rPr>
                <w:sz w:val="20"/>
                <w:szCs w:val="20"/>
              </w:rPr>
              <w:t>Die gesetzliche Mindestpunktzahl liegt bei 65. Eingeladen werden bei gefragten Berufen praktisch aber meist erst Bewerber mit 80 bis 95 oder mehr Punkten.</w:t>
            </w:r>
          </w:p>
          <w:p w14:paraId="70A4EF60" w14:textId="77777777" w:rsidR="00C1548D" w:rsidRDefault="009B1B4B" w:rsidP="009B1B4B">
            <w:pPr>
              <w:pStyle w:val="ListParagraph"/>
              <w:numPr>
                <w:ilvl w:val="0"/>
                <w:numId w:val="1"/>
              </w:numPr>
              <w:spacing w:after="50" w:line="264" w:lineRule="auto"/>
            </w:pPr>
            <w:r>
              <w:rPr>
                <w:sz w:val="20"/>
                <w:szCs w:val="20"/>
              </w:rPr>
              <w:t>Alter, Englischniveau, Berufserfahrung und Bildungsabschluss bestimmen die Punktzahl. Ab 45 Jahren ist der Punktetest-Weg komplett verschlossen.</w:t>
            </w:r>
          </w:p>
          <w:p w14:paraId="70A4EF61" w14:textId="77777777" w:rsidR="00C1548D" w:rsidRDefault="009B1B4B" w:rsidP="009B1B4B">
            <w:pPr>
              <w:pStyle w:val="ListParagraph"/>
              <w:numPr>
                <w:ilvl w:val="0"/>
                <w:numId w:val="1"/>
              </w:numPr>
              <w:spacing w:after="50" w:line="264" w:lineRule="auto"/>
            </w:pPr>
            <w:r>
              <w:rPr>
                <w:sz w:val="20"/>
                <w:szCs w:val="20"/>
              </w:rPr>
              <w:t xml:space="preserve">Das Verfahren läuft über die Plattform </w:t>
            </w:r>
            <w:r>
              <w:rPr>
                <w:i/>
                <w:iCs/>
                <w:sz w:val="20"/>
                <w:szCs w:val="20"/>
              </w:rPr>
              <w:t>SkillSelect</w:t>
            </w:r>
            <w:r>
              <w:rPr>
                <w:sz w:val="20"/>
                <w:szCs w:val="20"/>
              </w:rPr>
              <w:t>: erst eine Interessenbekundung einreichen, dann warten, dann – vielleicht – eingeladen werden. Erst danach folgt der eigentliche Antrag.</w:t>
            </w:r>
          </w:p>
          <w:p w14:paraId="70A4EF62" w14:textId="77777777" w:rsidR="00C1548D" w:rsidRDefault="009B1B4B" w:rsidP="009B1B4B">
            <w:pPr>
              <w:pStyle w:val="ListParagraph"/>
              <w:numPr>
                <w:ilvl w:val="0"/>
                <w:numId w:val="1"/>
              </w:numPr>
              <w:spacing w:after="50" w:line="264" w:lineRule="auto"/>
            </w:pPr>
            <w:r>
              <w:rPr>
                <w:sz w:val="20"/>
                <w:szCs w:val="20"/>
              </w:rPr>
              <w:t>Ohne Arbeitgeber bleibt Subclass 482 verschlossen; mit Arbeitgeber entfällt der Punktetest komplett, dafür bindet dich der Job für mehrere Jahre.</w:t>
            </w:r>
          </w:p>
          <w:p w14:paraId="70A4EF63" w14:textId="77777777" w:rsidR="00C1548D" w:rsidRDefault="009B1B4B" w:rsidP="009B1B4B">
            <w:pPr>
              <w:pStyle w:val="ListParagraph"/>
              <w:numPr>
                <w:ilvl w:val="0"/>
                <w:numId w:val="1"/>
              </w:numPr>
              <w:spacing w:after="50" w:line="264" w:lineRule="auto"/>
            </w:pPr>
            <w:r>
              <w:rPr>
                <w:sz w:val="20"/>
                <w:szCs w:val="20"/>
              </w:rPr>
              <w:t>Welche Berufsliste für welches Visum gilt, ist nicht in jeder Quelle eindeutig. Prüfe das vor jeder Kündigung in Deutschland direkt bei Home Affairs oder deiner Bewertungsstelle.</w:t>
            </w:r>
          </w:p>
        </w:tc>
      </w:tr>
    </w:tbl>
    <w:p w14:paraId="70A4EF65" w14:textId="77777777" w:rsidR="00C1548D" w:rsidRDefault="00C1548D">
      <w:pPr>
        <w:spacing w:line="220" w:lineRule="exact"/>
      </w:pPr>
    </w:p>
    <w:p w14:paraId="70A4EF66" w14:textId="77777777" w:rsidR="00C1548D" w:rsidRDefault="009B1B4B">
      <w:pPr>
        <w:pStyle w:val="Heading3"/>
        <w:keepNext/>
        <w:jc w:val="center"/>
      </w:pPr>
      <w:r>
        <w:rPr>
          <w:rFonts w:ascii="Amazon Ember" w:eastAsia="Amazon Ember" w:hAnsi="Amazon Ember" w:cs="Amazon Ember"/>
          <w:color w:val="0000FF"/>
          <w:sz w:val="36"/>
          <w:szCs w:val="36"/>
        </w:rPr>
        <w:lastRenderedPageBreak/>
        <w:t>Drei Wege, ein Ziel</w:t>
      </w:r>
    </w:p>
    <w:p w14:paraId="70A4EF67" w14:textId="77777777" w:rsidR="00C1548D" w:rsidRDefault="009B1B4B">
      <w:pPr>
        <w:spacing w:after="140"/>
      </w:pPr>
      <w:r>
        <w:t xml:space="preserve">Das australische Einwanderungsprogramm für 2026–27 sieht insgesamt 185.000 permanente Plätze vor, gut 132.000 davon im </w:t>
      </w:r>
      <w:r>
        <w:rPr>
          <w:i/>
          <w:iCs/>
        </w:rPr>
        <w:t>Skill Stream</w:t>
      </w:r>
      <w:r>
        <w:t xml:space="preserve"> (dem Fachkräfte-Strom) – also weit mehr als für den Familiennachzug. Innerhalb dieses Stroms führen für deutsche Fachkräfte im Kern zwei Prinzipien zum Ziel: das Punktesystem und das Arbeitgeber-Sponsoring.</w:t>
      </w:r>
    </w:p>
    <w:p w14:paraId="70A4EF68" w14:textId="77777777" w:rsidR="00C1548D" w:rsidRDefault="009B1B4B">
      <w:pPr>
        <w:spacing w:after="140"/>
      </w:pPr>
      <w:r>
        <w:t xml:space="preserve">Beim </w:t>
      </w:r>
      <w:r>
        <w:rPr>
          <w:b/>
          <w:bCs/>
        </w:rPr>
        <w:t>General Skilled Migration</w:t>
      </w:r>
      <w:r>
        <w:t xml:space="preserve">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w:t>
      </w:r>
      <w:r>
        <w:rPr>
          <w:i/>
          <w:iCs/>
        </w:rPr>
        <w:t>Skills Assessment</w:t>
      </w:r>
      <w:r>
        <w:t xml:space="preserve"> (die fachliche Qualifikationsprüfung durch eine zuständige Berufsorganisation) und die Mindestpunktzahl.</w:t>
      </w:r>
    </w:p>
    <w:p w14:paraId="70A4EF69" w14:textId="77777777" w:rsidR="00C1548D" w:rsidRDefault="009B1B4B">
      <w:pPr>
        <w:spacing w:after="140"/>
      </w:pPr>
      <w:r>
        <w:t xml:space="preserve">Beim </w:t>
      </w:r>
      <w:r>
        <w:rPr>
          <w:b/>
          <w:bCs/>
        </w:rPr>
        <w:t>Arbeitgeber-Sponsoring</w:t>
      </w:r>
      <w:r>
        <w:t xml:space="preserve"> übernimmt ein zugelassenes australisches Unternehmen die Rolle des Sponsors, ähnlich wie ein Arbeitgeber in Deutschland eine Blaue Karte EU beantragt. Subclass 482 (</w:t>
      </w:r>
      <w:r>
        <w:rPr>
          <w:i/>
          <w:iCs/>
        </w:rPr>
        <w:t>Skills in Demand</w:t>
      </w:r>
      <w:r>
        <w:t>, kurz SID) ist das befristete Arbeitsvisum, Subclass 186 der direkte oder daraus folgende Weg zur Daueraufenthaltserlaubnis. Ohne Job kein Antrag – dafür kein Punktetest.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6C"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F6A" w14:textId="77777777" w:rsidR="00C1548D" w:rsidRDefault="009B1B4B">
            <w:pPr>
              <w:keepNext/>
              <w:spacing w:after="70" w:line="240" w:lineRule="auto"/>
            </w:pPr>
            <w:r>
              <w:rPr>
                <w:b/>
                <w:bCs/>
                <w:color w:val="8A6212"/>
                <w:spacing w:val="24"/>
                <w:sz w:val="16"/>
                <w:szCs w:val="16"/>
              </w:rPr>
              <w:t>MERKE</w:t>
            </w:r>
          </w:p>
          <w:p w14:paraId="70A4EF6B" w14:textId="77777777" w:rsidR="00C1548D" w:rsidRDefault="009B1B4B">
            <w:pPr>
              <w:spacing w:after="80" w:line="264" w:lineRule="auto"/>
            </w:pPr>
            <w:r>
              <w:rPr>
                <w:sz w:val="20"/>
                <w:szCs w:val="20"/>
              </w:rPr>
              <w:t>Der Punktetest bewertet dich als Person; das Arbeitgeber-Sponsoring bewertet die Stelle. Beide Wege prüfen am Ende denselben Kern: Steht dein Beruf auf einer Liste, und ist deine Qualifikation dafür anerkannt?</w:t>
            </w:r>
          </w:p>
        </w:tc>
      </w:tr>
    </w:tbl>
    <w:p w14:paraId="70A4EF6D" w14:textId="77777777" w:rsidR="00C1548D" w:rsidRDefault="00C1548D">
      <w:pPr>
        <w:spacing w:line="220" w:lineRule="exact"/>
      </w:pPr>
    </w:p>
    <w:p w14:paraId="70A4EF6E" w14:textId="77777777" w:rsidR="00C1548D" w:rsidRDefault="009B1B4B">
      <w:pPr>
        <w:pStyle w:val="Heading3"/>
        <w:keepNext/>
        <w:jc w:val="center"/>
      </w:pPr>
      <w:r>
        <w:rPr>
          <w:rFonts w:ascii="Amazon Ember" w:eastAsia="Amazon Ember" w:hAnsi="Amazon Ember" w:cs="Amazon Ember"/>
          <w:color w:val="0000FF"/>
          <w:sz w:val="36"/>
          <w:szCs w:val="36"/>
        </w:rPr>
        <w:lastRenderedPageBreak/>
        <w:t>Der Punktetest im Detail</w:t>
      </w:r>
    </w:p>
    <w:p w14:paraId="70A4EF6F" w14:textId="77777777" w:rsidR="00C1548D" w:rsidRDefault="009B1B4B">
      <w:pPr>
        <w:spacing w:after="140"/>
      </w:pPr>
      <w:r>
        <w:t>Der Punktetest gilt für die Subclasses 189, 190 und 491 gleichermaßen. Die gesetzliche Mindestpunktzahl ist 65 – wer weniger erreicht, kann keine Interessenbekundung abgeben. Die wichtigsten Kategorien: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64"/>
        <w:gridCol w:w="4108"/>
        <w:gridCol w:w="1208"/>
      </w:tblGrid>
      <w:tr w:rsidR="00C1548D" w14:paraId="70A4EF73" w14:textId="77777777">
        <w:tblPrEx>
          <w:tblCellMar>
            <w:top w:w="0" w:type="dxa"/>
            <w:bottom w:w="0" w:type="dxa"/>
          </w:tblCellMar>
        </w:tblPrEx>
        <w:trPr>
          <w:cantSplit/>
          <w:tblHeader/>
        </w:trPr>
        <w:tc>
          <w:tcPr>
            <w:tcW w:w="116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F70" w14:textId="77777777" w:rsidR="00C1548D" w:rsidRDefault="009B1B4B">
            <w:pPr>
              <w:spacing w:line="250" w:lineRule="auto"/>
            </w:pPr>
            <w:r>
              <w:rPr>
                <w:b/>
                <w:bCs/>
                <w:sz w:val="18"/>
                <w:szCs w:val="18"/>
              </w:rPr>
              <w:t>Kategorie</w:t>
            </w:r>
          </w:p>
        </w:tc>
        <w:tc>
          <w:tcPr>
            <w:tcW w:w="410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F71" w14:textId="77777777" w:rsidR="00C1548D" w:rsidRDefault="009B1B4B">
            <w:pPr>
              <w:spacing w:line="250" w:lineRule="auto"/>
            </w:pPr>
            <w:r>
              <w:rPr>
                <w:b/>
                <w:bCs/>
                <w:sz w:val="18"/>
                <w:szCs w:val="18"/>
              </w:rPr>
              <w:t>Ausprägung</w:t>
            </w:r>
          </w:p>
        </w:tc>
        <w:tc>
          <w:tcPr>
            <w:tcW w:w="120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F72" w14:textId="77777777" w:rsidR="00C1548D" w:rsidRDefault="009B1B4B">
            <w:pPr>
              <w:spacing w:line="250" w:lineRule="auto"/>
            </w:pPr>
            <w:r>
              <w:rPr>
                <w:b/>
                <w:bCs/>
                <w:sz w:val="18"/>
                <w:szCs w:val="18"/>
              </w:rPr>
              <w:t>Punkte</w:t>
            </w:r>
          </w:p>
        </w:tc>
      </w:tr>
      <w:tr w:rsidR="00C1548D" w14:paraId="70A4EF77"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74" w14:textId="77777777" w:rsidR="00C1548D" w:rsidRDefault="009B1B4B">
            <w:pPr>
              <w:spacing w:line="250" w:lineRule="auto"/>
            </w:pPr>
            <w:r>
              <w:rPr>
                <w:sz w:val="18"/>
                <w:szCs w:val="18"/>
              </w:rPr>
              <w:t>Alter</w:t>
            </w:r>
          </w:p>
        </w:tc>
        <w:tc>
          <w:tcPr>
            <w:tcW w:w="4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75" w14:textId="77777777" w:rsidR="00C1548D" w:rsidRDefault="009B1B4B">
            <w:pPr>
              <w:spacing w:line="250" w:lineRule="auto"/>
            </w:pPr>
            <w:r>
              <w:rPr>
                <w:sz w:val="18"/>
                <w:szCs w:val="18"/>
              </w:rPr>
              <w:t>25–32 Jahre</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76" w14:textId="77777777" w:rsidR="00C1548D" w:rsidRDefault="009B1B4B">
            <w:pPr>
              <w:spacing w:line="250" w:lineRule="auto"/>
            </w:pPr>
            <w:r>
              <w:rPr>
                <w:sz w:val="18"/>
                <w:szCs w:val="18"/>
              </w:rPr>
              <w:t>30</w:t>
            </w:r>
          </w:p>
        </w:tc>
      </w:tr>
      <w:tr w:rsidR="00C1548D" w14:paraId="70A4EF7B"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78" w14:textId="77777777" w:rsidR="00C1548D" w:rsidRDefault="009B1B4B">
            <w:pPr>
              <w:spacing w:line="250" w:lineRule="auto"/>
            </w:pPr>
            <w:r>
              <w:rPr>
                <w:sz w:val="18"/>
                <w:szCs w:val="18"/>
              </w:rPr>
              <w:t>Alter</w:t>
            </w:r>
          </w:p>
        </w:tc>
        <w:tc>
          <w:tcPr>
            <w:tcW w:w="4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79" w14:textId="77777777" w:rsidR="00C1548D" w:rsidRDefault="009B1B4B">
            <w:pPr>
              <w:spacing w:line="250" w:lineRule="auto"/>
            </w:pPr>
            <w:r>
              <w:rPr>
                <w:sz w:val="18"/>
                <w:szCs w:val="18"/>
              </w:rPr>
              <w:t>18–24 oder 33–39 Jahre</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7A" w14:textId="77777777" w:rsidR="00C1548D" w:rsidRDefault="009B1B4B">
            <w:pPr>
              <w:spacing w:line="250" w:lineRule="auto"/>
            </w:pPr>
            <w:r>
              <w:rPr>
                <w:sz w:val="18"/>
                <w:szCs w:val="18"/>
              </w:rPr>
              <w:t>25</w:t>
            </w:r>
          </w:p>
        </w:tc>
      </w:tr>
      <w:tr w:rsidR="00C1548D" w14:paraId="70A4EF7F"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7C" w14:textId="77777777" w:rsidR="00C1548D" w:rsidRDefault="009B1B4B">
            <w:pPr>
              <w:spacing w:line="250" w:lineRule="auto"/>
            </w:pPr>
            <w:r>
              <w:rPr>
                <w:sz w:val="18"/>
                <w:szCs w:val="18"/>
              </w:rPr>
              <w:t>Alter</w:t>
            </w:r>
          </w:p>
        </w:tc>
        <w:tc>
          <w:tcPr>
            <w:tcW w:w="4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7D" w14:textId="77777777" w:rsidR="00C1548D" w:rsidRDefault="009B1B4B">
            <w:pPr>
              <w:spacing w:line="250" w:lineRule="auto"/>
            </w:pPr>
            <w:r>
              <w:rPr>
                <w:sz w:val="18"/>
                <w:szCs w:val="18"/>
              </w:rPr>
              <w:t>40–44 Jahre</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7E" w14:textId="77777777" w:rsidR="00C1548D" w:rsidRDefault="009B1B4B">
            <w:pPr>
              <w:spacing w:line="250" w:lineRule="auto"/>
            </w:pPr>
            <w:r>
              <w:rPr>
                <w:sz w:val="18"/>
                <w:szCs w:val="18"/>
              </w:rPr>
              <w:t>15</w:t>
            </w:r>
          </w:p>
        </w:tc>
      </w:tr>
      <w:tr w:rsidR="00C1548D" w14:paraId="70A4EF83"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0" w14:textId="77777777" w:rsidR="00C1548D" w:rsidRDefault="009B1B4B">
            <w:pPr>
              <w:spacing w:line="250" w:lineRule="auto"/>
            </w:pPr>
            <w:r>
              <w:rPr>
                <w:sz w:val="18"/>
                <w:szCs w:val="18"/>
              </w:rPr>
              <w:t>Alter</w:t>
            </w:r>
          </w:p>
        </w:tc>
        <w:tc>
          <w:tcPr>
            <w:tcW w:w="4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1" w14:textId="77777777" w:rsidR="00C1548D" w:rsidRDefault="009B1B4B">
            <w:pPr>
              <w:spacing w:line="250" w:lineRule="auto"/>
            </w:pPr>
            <w:r>
              <w:rPr>
                <w:sz w:val="18"/>
                <w:szCs w:val="18"/>
              </w:rPr>
              <w:t>ab 45 Jahre</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2" w14:textId="77777777" w:rsidR="00C1548D" w:rsidRDefault="009B1B4B">
            <w:pPr>
              <w:spacing w:line="250" w:lineRule="auto"/>
            </w:pPr>
            <w:r>
              <w:rPr>
                <w:sz w:val="18"/>
                <w:szCs w:val="18"/>
              </w:rPr>
              <w:t>0 (nicht mehr zulässig)</w:t>
            </w:r>
          </w:p>
        </w:tc>
      </w:tr>
      <w:tr w:rsidR="00C1548D" w14:paraId="70A4EF87"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4" w14:textId="77777777" w:rsidR="00C1548D" w:rsidRDefault="009B1B4B">
            <w:pPr>
              <w:spacing w:line="250" w:lineRule="auto"/>
            </w:pPr>
            <w:r>
              <w:rPr>
                <w:sz w:val="18"/>
                <w:szCs w:val="18"/>
              </w:rPr>
              <w:t>Englisch</w:t>
            </w:r>
          </w:p>
        </w:tc>
        <w:tc>
          <w:tcPr>
            <w:tcW w:w="4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5" w14:textId="77777777" w:rsidR="00C1548D" w:rsidRDefault="009B1B4B">
            <w:pPr>
              <w:spacing w:line="250" w:lineRule="auto"/>
            </w:pPr>
            <w:r>
              <w:rPr>
                <w:sz w:val="18"/>
                <w:szCs w:val="18"/>
              </w:rPr>
              <w:t>„Superior“ (IELTS ≥ 8 je Band oder gleichwertig)</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6" w14:textId="77777777" w:rsidR="00C1548D" w:rsidRDefault="009B1B4B">
            <w:pPr>
              <w:spacing w:line="250" w:lineRule="auto"/>
            </w:pPr>
            <w:r>
              <w:rPr>
                <w:sz w:val="18"/>
                <w:szCs w:val="18"/>
              </w:rPr>
              <w:t>20</w:t>
            </w:r>
          </w:p>
        </w:tc>
      </w:tr>
      <w:tr w:rsidR="00C1548D" w14:paraId="70A4EF8B"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8" w14:textId="77777777" w:rsidR="00C1548D" w:rsidRDefault="009B1B4B">
            <w:pPr>
              <w:spacing w:line="250" w:lineRule="auto"/>
            </w:pPr>
            <w:r>
              <w:rPr>
                <w:sz w:val="18"/>
                <w:szCs w:val="18"/>
              </w:rPr>
              <w:t>Englisch</w:t>
            </w:r>
          </w:p>
        </w:tc>
        <w:tc>
          <w:tcPr>
            <w:tcW w:w="4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9" w14:textId="77777777" w:rsidR="00C1548D" w:rsidRDefault="009B1B4B">
            <w:pPr>
              <w:spacing w:line="250" w:lineRule="auto"/>
            </w:pPr>
            <w:r>
              <w:rPr>
                <w:sz w:val="18"/>
                <w:szCs w:val="18"/>
              </w:rPr>
              <w:t>„Proficient“ (IELTS ≥ 7 je Band)</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A" w14:textId="77777777" w:rsidR="00C1548D" w:rsidRDefault="009B1B4B">
            <w:pPr>
              <w:spacing w:line="250" w:lineRule="auto"/>
            </w:pPr>
            <w:r>
              <w:rPr>
                <w:sz w:val="18"/>
                <w:szCs w:val="18"/>
              </w:rPr>
              <w:t>10</w:t>
            </w:r>
          </w:p>
        </w:tc>
      </w:tr>
      <w:tr w:rsidR="00C1548D" w14:paraId="70A4EF8F"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C" w14:textId="77777777" w:rsidR="00C1548D" w:rsidRDefault="009B1B4B">
            <w:pPr>
              <w:spacing w:line="250" w:lineRule="auto"/>
            </w:pPr>
            <w:r>
              <w:rPr>
                <w:sz w:val="18"/>
                <w:szCs w:val="18"/>
              </w:rPr>
              <w:t>Englisch</w:t>
            </w:r>
          </w:p>
        </w:tc>
        <w:tc>
          <w:tcPr>
            <w:tcW w:w="4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D" w14:textId="77777777" w:rsidR="00C1548D" w:rsidRDefault="009B1B4B">
            <w:pPr>
              <w:spacing w:line="250" w:lineRule="auto"/>
            </w:pPr>
            <w:r>
              <w:rPr>
                <w:sz w:val="18"/>
                <w:szCs w:val="18"/>
              </w:rPr>
              <w:t>„Competent“ (IELTS ≥ 6 je Band, Mindestvoraussetzung)</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8E" w14:textId="77777777" w:rsidR="00C1548D" w:rsidRDefault="009B1B4B">
            <w:pPr>
              <w:spacing w:line="250" w:lineRule="auto"/>
            </w:pPr>
            <w:r>
              <w:rPr>
                <w:sz w:val="18"/>
                <w:szCs w:val="18"/>
              </w:rPr>
              <w:t>0</w:t>
            </w:r>
          </w:p>
        </w:tc>
      </w:tr>
      <w:tr w:rsidR="00C1548D" w14:paraId="70A4EF93"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90" w14:textId="77777777" w:rsidR="00C1548D" w:rsidRDefault="009B1B4B">
            <w:pPr>
              <w:spacing w:line="250" w:lineRule="auto"/>
            </w:pPr>
            <w:r>
              <w:rPr>
                <w:sz w:val="18"/>
                <w:szCs w:val="18"/>
              </w:rPr>
              <w:t>Berufserfahrung</w:t>
            </w:r>
          </w:p>
        </w:tc>
        <w:tc>
          <w:tcPr>
            <w:tcW w:w="4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91" w14:textId="77777777" w:rsidR="00C1548D" w:rsidRDefault="009B1B4B">
            <w:pPr>
              <w:spacing w:line="250" w:lineRule="auto"/>
            </w:pPr>
            <w:r>
              <w:rPr>
                <w:sz w:val="18"/>
                <w:szCs w:val="18"/>
              </w:rPr>
              <w:t>im In- und Ausland zusammengerechnet, gedeckelt</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92" w14:textId="77777777" w:rsidR="00C1548D" w:rsidRDefault="009B1B4B">
            <w:pPr>
              <w:spacing w:line="250" w:lineRule="auto"/>
            </w:pPr>
            <w:r>
              <w:rPr>
                <w:sz w:val="18"/>
                <w:szCs w:val="18"/>
              </w:rPr>
              <w:t>bis 20</w:t>
            </w:r>
          </w:p>
        </w:tc>
      </w:tr>
      <w:tr w:rsidR="00C1548D" w14:paraId="70A4EF97"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94" w14:textId="77777777" w:rsidR="00C1548D" w:rsidRDefault="009B1B4B">
            <w:pPr>
              <w:spacing w:line="250" w:lineRule="auto"/>
            </w:pPr>
            <w:r>
              <w:rPr>
                <w:sz w:val="18"/>
                <w:szCs w:val="18"/>
              </w:rPr>
              <w:t>Bildung</w:t>
            </w:r>
          </w:p>
        </w:tc>
        <w:tc>
          <w:tcPr>
            <w:tcW w:w="4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95" w14:textId="77777777" w:rsidR="00C1548D" w:rsidRDefault="009B1B4B">
            <w:pPr>
              <w:spacing w:line="250" w:lineRule="auto"/>
            </w:pPr>
            <w:r>
              <w:rPr>
                <w:sz w:val="18"/>
                <w:szCs w:val="18"/>
              </w:rPr>
              <w:t>Bachelor oder Master (gleichrangig)</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96" w14:textId="77777777" w:rsidR="00C1548D" w:rsidRDefault="009B1B4B">
            <w:pPr>
              <w:spacing w:line="250" w:lineRule="auto"/>
            </w:pPr>
            <w:r>
              <w:rPr>
                <w:sz w:val="18"/>
                <w:szCs w:val="18"/>
              </w:rPr>
              <w:t>15</w:t>
            </w:r>
          </w:p>
        </w:tc>
      </w:tr>
      <w:tr w:rsidR="00C1548D" w14:paraId="70A4EF9B" w14:textId="77777777">
        <w:tblPrEx>
          <w:tblCellMar>
            <w:top w:w="0" w:type="dxa"/>
            <w:bottom w:w="0" w:type="dxa"/>
          </w:tblCellMar>
        </w:tblPrEx>
        <w:trPr>
          <w:cantSplit/>
        </w:trPr>
        <w:tc>
          <w:tcPr>
            <w:tcW w:w="11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98" w14:textId="77777777" w:rsidR="00C1548D" w:rsidRDefault="009B1B4B">
            <w:pPr>
              <w:spacing w:line="250" w:lineRule="auto"/>
            </w:pPr>
            <w:r>
              <w:rPr>
                <w:sz w:val="18"/>
                <w:szCs w:val="18"/>
              </w:rPr>
              <w:t>Bildung</w:t>
            </w:r>
          </w:p>
        </w:tc>
        <w:tc>
          <w:tcPr>
            <w:tcW w:w="41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99" w14:textId="77777777" w:rsidR="00C1548D" w:rsidRDefault="009B1B4B">
            <w:pPr>
              <w:spacing w:line="250" w:lineRule="auto"/>
            </w:pPr>
            <w:r>
              <w:rPr>
                <w:sz w:val="18"/>
                <w:szCs w:val="18"/>
              </w:rPr>
              <w:t>Promotion</w:t>
            </w:r>
          </w:p>
        </w:tc>
        <w:tc>
          <w:tcPr>
            <w:tcW w:w="12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9A" w14:textId="77777777" w:rsidR="00C1548D" w:rsidRDefault="009B1B4B">
            <w:pPr>
              <w:spacing w:line="250" w:lineRule="auto"/>
            </w:pPr>
            <w:r>
              <w:rPr>
                <w:sz w:val="18"/>
                <w:szCs w:val="18"/>
              </w:rPr>
              <w:t>20</w:t>
            </w:r>
          </w:p>
        </w:tc>
      </w:tr>
    </w:tbl>
    <w:p w14:paraId="70A4EF9C" w14:textId="77777777" w:rsidR="00C1548D" w:rsidRDefault="00C1548D">
      <w:pPr>
        <w:spacing w:line="180" w:lineRule="exact"/>
      </w:pPr>
    </w:p>
    <w:p w14:paraId="70A4EF9D" w14:textId="77777777" w:rsidR="00C1548D" w:rsidRDefault="009B1B4B">
      <w:pPr>
        <w:spacing w:after="140"/>
      </w:pPr>
      <w:r>
        <w:t>Hinzu kommen Zusatzpunkte, etwa für eine Nominierung durch einen Bundesstaat (bei Subclass 190: 5 Punkte), einen australischen Studienabschluss oder eine qualifizierte Partnerin oder einen qualifizierten Partner – die genaue Höhe hängt vom Einzelfall ab und ändert sich gelegentlich, prüfe sie vor der eigenen Rechnung.</w:t>
      </w:r>
    </w:p>
    <w:p w14:paraId="70A4EF9E" w14:textId="77777777" w:rsidR="00C1548D" w:rsidRDefault="009B1B4B">
      <w:pPr>
        <w:spacing w:after="140"/>
      </w:pPr>
      <w:r>
        <w:t>Ab 45 Jahren ist der Punktetest-Weg endgültig verschlossen, unabhängig von Abschluss oder Erfahrung. Wer diese Altersgrenze schon im Blick hat, sollte frühzeitig auf das Arbeitgeber-Sponsoring ausweichen, das keine feste Altersobergrenze im gleichen Sinn kennt.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A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F9F" w14:textId="77777777" w:rsidR="00C1548D" w:rsidRDefault="009B1B4B">
            <w:pPr>
              <w:keepNext/>
              <w:spacing w:after="70" w:line="240" w:lineRule="auto"/>
            </w:pPr>
            <w:r>
              <w:rPr>
                <w:b/>
                <w:bCs/>
                <w:color w:val="9B2C2C"/>
                <w:spacing w:val="24"/>
                <w:sz w:val="16"/>
                <w:szCs w:val="16"/>
              </w:rPr>
              <w:lastRenderedPageBreak/>
              <w:t>ACHTUNG</w:t>
            </w:r>
          </w:p>
          <w:p w14:paraId="70A4EFA0" w14:textId="77777777" w:rsidR="00C1548D" w:rsidRDefault="009B1B4B">
            <w:pPr>
              <w:spacing w:after="80" w:line="264" w:lineRule="auto"/>
            </w:pPr>
            <w:r>
              <w:rPr>
                <w:sz w:val="20"/>
                <w:szCs w:val="20"/>
              </w:rPr>
              <w:t>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w:t>
            </w:r>
            <w:r>
              <w:rPr>
                <w:sz w:val="20"/>
                <w:szCs w:val="20"/>
              </w:rPr>
              <w:t>lein zehn Punkte extra – oft mehr, als ein weiteres Berufsjahr einbringt.</w:t>
            </w:r>
          </w:p>
        </w:tc>
      </w:tr>
    </w:tbl>
    <w:p w14:paraId="70A4EFA2"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A5"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EFA3" w14:textId="77777777" w:rsidR="00C1548D" w:rsidRDefault="009B1B4B">
            <w:pPr>
              <w:keepNext/>
              <w:spacing w:after="70" w:line="240" w:lineRule="auto"/>
            </w:pPr>
            <w:r>
              <w:rPr>
                <w:b/>
                <w:bCs/>
                <w:color w:val="2F6B3B"/>
                <w:spacing w:val="24"/>
                <w:sz w:val="16"/>
                <w:szCs w:val="16"/>
              </w:rPr>
              <w:t>SPARTIPP</w:t>
            </w:r>
          </w:p>
          <w:p w14:paraId="70A4EFA4" w14:textId="77777777" w:rsidR="00C1548D" w:rsidRDefault="009B1B4B">
            <w:pPr>
              <w:spacing w:after="80" w:line="264" w:lineRule="auto"/>
            </w:pPr>
            <w:r>
              <w:rPr>
                <w:sz w:val="20"/>
                <w:szCs w:val="20"/>
              </w:rPr>
              <w:t>Bevor du einen teuren Migrationsberater beauftragst, lohnt sich ein zweiter Anlauf beim Englischtest (IELTS, PTE oder gleichwertig). Die Gebühr liegt bei einigen Hundert Dollar, der Punktegewinn kann über Einladung oder Nicht-Einladung entscheiden.</w:t>
            </w:r>
          </w:p>
        </w:tc>
      </w:tr>
    </w:tbl>
    <w:p w14:paraId="70A4EFA6" w14:textId="77777777" w:rsidR="00C1548D" w:rsidRDefault="00C1548D">
      <w:pPr>
        <w:spacing w:line="220" w:lineRule="exact"/>
      </w:pPr>
    </w:p>
    <w:p w14:paraId="70A4EFA7" w14:textId="77777777" w:rsidR="00C1548D" w:rsidRDefault="009B1B4B">
      <w:pPr>
        <w:pStyle w:val="Heading3"/>
        <w:keepNext/>
        <w:jc w:val="center"/>
      </w:pPr>
      <w:r>
        <w:rPr>
          <w:rFonts w:ascii="Amazon Ember" w:eastAsia="Amazon Ember" w:hAnsi="Amazon Ember" w:cs="Amazon Ember"/>
          <w:color w:val="0000FF"/>
          <w:sz w:val="36"/>
          <w:szCs w:val="36"/>
        </w:rPr>
        <w:t>SkillSelect: von der Interessenbekundung zur Einladung</w:t>
      </w:r>
    </w:p>
    <w:p w14:paraId="70A4EFA8" w14:textId="77777777" w:rsidR="00C1548D" w:rsidRDefault="009B1B4B">
      <w:pPr>
        <w:spacing w:after="140"/>
      </w:pPr>
      <w:r>
        <w:t xml:space="preserve">Das gesamte GSM-Verfahren läuft über eine Online-Plattform namens </w:t>
      </w:r>
      <w:r>
        <w:rPr>
          <w:i/>
          <w:iCs/>
        </w:rPr>
        <w:t>SkillSelect</w:t>
      </w:r>
      <w:r>
        <w:t xml:space="preserve">. Der erste Schritt ist die </w:t>
      </w:r>
      <w:r>
        <w:rPr>
          <w:i/>
          <w:iCs/>
        </w:rPr>
        <w:t>Expression of Interest</w:t>
      </w:r>
      <w:r>
        <w:t xml:space="preserve"> (EOI, die Interessenbekundung): ein Online-Profil mit Beruf, Punkten, Sprachtest und Skills-Assessment-Ergebnis. Eine EOI ist noch kein Antrag – sie kostet nichts, bindet dich zu nichts und garantiert nichts. Sie reiht dich nur in einen Pool ein, aus dem Home Affairs in regelmäßigen Runden Kandidaten einlädt, beginnend bei den höchsten Punktzahlen und, innerhalb gleicher Punktzahl, nach Eintragungsdatum.</w:t>
      </w:r>
    </w:p>
    <w:p w14:paraId="70A4EFA9" w14:textId="77777777" w:rsidR="00C1548D" w:rsidRDefault="009B1B4B">
      <w:pPr>
        <w:spacing w:after="140"/>
      </w:pPr>
      <w:r>
        <w:t xml:space="preserve">Für Subclass 190 kommt ein zusätzlicher Schritt hinzu: die Nominierung durch einen Bundesstaat oder ein Territorium. Jeder Bundesstaat führt eigene Berufslisten und eigene Bewerbungsportale, oft mit eigenen Fristen und Prioritäten, die sich </w:t>
      </w:r>
      <w:r>
        <w:lastRenderedPageBreak/>
        <w:t>von der Bundesliste unterscheiden können. Wer zum Beispiel gezielt nach Melbourne will, bewirbt sich parallel oder alternativ um eine Nominierung durch Victoria – mit der Auflage, anschließend mindestens zwei Jahre dort zu leben.</w:t>
      </w:r>
    </w:p>
    <w:p w14:paraId="70A4EFAA" w14:textId="77777777" w:rsidR="00C1548D" w:rsidRDefault="009B1B4B">
      <w:pPr>
        <w:spacing w:after="140"/>
      </w:pPr>
      <w: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(Stand September 2026) bei etwa sieben Monaten, 90 % bei acht Monaten. Bei Subclass 190 ist die Spanne größer: fünf Monate für die Hälfte, bis zu 17 Monate für 90 % der Fälle.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A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FAB" w14:textId="77777777" w:rsidR="00C1548D" w:rsidRDefault="009B1B4B">
            <w:pPr>
              <w:keepNext/>
              <w:spacing w:after="70" w:line="240" w:lineRule="auto"/>
            </w:pPr>
            <w:r>
              <w:rPr>
                <w:b/>
                <w:bCs/>
                <w:color w:val="9B2C2C"/>
                <w:spacing w:val="24"/>
                <w:sz w:val="16"/>
                <w:szCs w:val="16"/>
              </w:rPr>
              <w:t>ACHTUNG</w:t>
            </w:r>
          </w:p>
          <w:p w14:paraId="70A4EFAC" w14:textId="77777777" w:rsidR="00C1548D" w:rsidRDefault="009B1B4B">
            <w:pPr>
              <w:spacing w:after="80" w:line="264" w:lineRule="auto"/>
            </w:pPr>
            <w:r>
              <w:rPr>
                <w:sz w:val="20"/>
                <w:szCs w:val="20"/>
              </w:rPr>
              <w:t>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tc>
      </w:tr>
    </w:tbl>
    <w:p w14:paraId="70A4EFAE" w14:textId="77777777" w:rsidR="00C1548D" w:rsidRDefault="00C1548D">
      <w:pPr>
        <w:spacing w:line="220" w:lineRule="exact"/>
      </w:pPr>
    </w:p>
    <w:p w14:paraId="70A4EFAF" w14:textId="77777777" w:rsidR="00C1548D" w:rsidRDefault="009B1B4B">
      <w:pPr>
        <w:pStyle w:val="Heading3"/>
        <w:keepNext/>
        <w:jc w:val="center"/>
      </w:pPr>
      <w:r>
        <w:rPr>
          <w:rFonts w:ascii="Amazon Ember" w:eastAsia="Amazon Ember" w:hAnsi="Amazon Ember" w:cs="Amazon Ember"/>
          <w:color w:val="0000FF"/>
          <w:sz w:val="36"/>
          <w:szCs w:val="36"/>
        </w:rPr>
        <w:t>Subclass 189 – unabhängig, aber nicht leicht</w:t>
      </w:r>
    </w:p>
    <w:p w14:paraId="70A4EFB0" w14:textId="77777777" w:rsidR="00C1548D" w:rsidRDefault="009B1B4B">
      <w:pPr>
        <w:spacing w:after="140"/>
      </w:pPr>
      <w:r>
        <w:t>Subclass 189 (</w:t>
      </w:r>
      <w:r>
        <w:rPr>
          <w:i/>
          <w:iCs/>
        </w:rPr>
        <w:t>Skilled Independent</w:t>
      </w:r>
      <w:r>
        <w:t>) ist der Weg ganz ohne Sponsor: kein Arbeitgeber, kein Bundesstaat, freie Wohnortwahl in ganz Australien. Genau deshalb ist er der begehrteste und zugleich der am härtesten umkämpfte GSM-Weg. Die Antragsgebühr liegt bei rund 6.135 AUD für die Hauptantragstellerin oder den Hauptantragsteller (Stand nach der Gebührenrunde vom 1. Juli 2026), zuzüglich anteiliger Gebühren für mitreisende Partner und Kinder sowie der Kosten für Skills Assessment, Sprachtest, Gesundheitsuntersuchung und Führungszeugnisse.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B3"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FB1" w14:textId="77777777" w:rsidR="00C1548D" w:rsidRDefault="009B1B4B">
            <w:pPr>
              <w:keepNext/>
              <w:spacing w:after="70" w:line="240" w:lineRule="auto"/>
            </w:pPr>
            <w:r>
              <w:rPr>
                <w:b/>
                <w:bCs/>
                <w:color w:val="4A5568"/>
                <w:spacing w:val="24"/>
                <w:sz w:val="16"/>
                <w:szCs w:val="16"/>
              </w:rPr>
              <w:lastRenderedPageBreak/>
              <w:t>PRAXISBEISPIEL · FIKTIV</w:t>
            </w:r>
          </w:p>
          <w:p w14:paraId="70A4EFB2" w14:textId="77777777" w:rsidR="00C1548D" w:rsidRDefault="009B1B4B">
            <w:pPr>
              <w:spacing w:after="80" w:line="264" w:lineRule="auto"/>
            </w:pPr>
            <w:r>
              <w:rPr>
                <w:sz w:val="20"/>
                <w:szCs w:val="20"/>
              </w:rPr>
              <w:t>Familie Reinhardt (fiktiv). Thomas, 41, Bauingenieur aus Köln, rechnet seine Punkte durch: Alter 40 bis 44 bringt 15 Punkte, sein Ingenieurstudium 15, seine Berufserfahrung erreicht die Obergrenze von 20. Bei „Proficient“-Englisch käme er auf 60 Punkte – zu wenig für eine Einladung. Also setzt er sich noch einmal an den Sprachtest, diesmal mit gezielter Vorbereitung, und erreicht „Superior“: 20 statt 10 Punkte, macht in Summe 70. Zwei SkillSelect-Runden später steht die Einladung im Konto. Dass ein einziger</w:t>
            </w:r>
            <w:r>
              <w:rPr>
                <w:sz w:val="20"/>
                <w:szCs w:val="20"/>
              </w:rPr>
              <w:t xml:space="preserve"> Punkt aus einem Sprachtest über Jahre der Planung entscheidet, findet Thomas im Rückblick nicht ganz unlogisch – aber auch nicht gerade beruhigend. Sandra, 39, Krankenpflegerin, und die Kinder Emil, 10, und Clara, 6, reisen als Mitantragstellende mit. Ziel: Melbourne, Victoria – eine Stadt, die sich Thomas frei aussuchen darf, weil Subclass 189 keine Wohnsitzauflage kennt.</w:t>
            </w:r>
          </w:p>
        </w:tc>
      </w:tr>
    </w:tbl>
    <w:p w14:paraId="70A4EFB4" w14:textId="77777777" w:rsidR="00C1548D" w:rsidRDefault="00C1548D">
      <w:pPr>
        <w:spacing w:line="220" w:lineRule="exact"/>
      </w:pPr>
    </w:p>
    <w:p w14:paraId="70A4EFB5" w14:textId="77777777" w:rsidR="00C1548D" w:rsidRDefault="009B1B4B">
      <w:pPr>
        <w:pStyle w:val="Heading3"/>
        <w:keepNext/>
        <w:jc w:val="center"/>
      </w:pPr>
      <w:r>
        <w:rPr>
          <w:rFonts w:ascii="Amazon Ember" w:eastAsia="Amazon Ember" w:hAnsi="Amazon Ember" w:cs="Amazon Ember"/>
          <w:color w:val="0000FF"/>
          <w:sz w:val="36"/>
          <w:szCs w:val="36"/>
        </w:rPr>
        <w:t>Subclass 190 – mit Bundesstaat und Wohnsitzpflicht</w:t>
      </w:r>
    </w:p>
    <w:p w14:paraId="70A4EFB6" w14:textId="77777777" w:rsidR="00C1548D" w:rsidRDefault="009B1B4B">
      <w:pPr>
        <w:spacing w:after="140"/>
      </w:pPr>
      <w:r>
        <w:t>Wer die Cut-off-Werte für Subclass 189 nicht erreicht, findet bei Subclass 190 oft einen niedrigeren Zugang. Die Bedingungen entsprechen weitgehend Subclass 189, plus die Nominierung durch einen Bundesstaat oder ein Territorium, die zusätzlich 5 Punkte bringt. Die Antragsgebühr liegt in derselben Größenordnung wie bei 189 (rund 6.135 bis 6.140 AUD), dazu kommen je nach Bundesstaat eigene Nominierungsgebühren.</w:t>
      </w:r>
    </w:p>
    <w:p w14:paraId="70A4EFB7" w14:textId="77777777" w:rsidR="00C1548D" w:rsidRDefault="009B1B4B">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 ein Umzug nach der Landung ist zwar möglich, widerspricht aber der eingegangenen Verpflichtung und kann Folgen für spätere Anträge haben.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B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EFB8" w14:textId="77777777" w:rsidR="00C1548D" w:rsidRDefault="009B1B4B">
            <w:pPr>
              <w:keepNext/>
              <w:spacing w:after="70" w:line="240" w:lineRule="auto"/>
            </w:pPr>
            <w:r>
              <w:rPr>
                <w:b/>
                <w:bCs/>
                <w:color w:val="8A6212"/>
                <w:spacing w:val="24"/>
                <w:sz w:val="16"/>
                <w:szCs w:val="16"/>
              </w:rPr>
              <w:lastRenderedPageBreak/>
              <w:t>MERKE</w:t>
            </w:r>
          </w:p>
          <w:p w14:paraId="70A4EFB9" w14:textId="77777777" w:rsidR="00C1548D" w:rsidRDefault="009B1B4B">
            <w:pPr>
              <w:spacing w:after="80" w:line="264" w:lineRule="auto"/>
            </w:pPr>
            <w:r>
              <w:rPr>
                <w:sz w:val="20"/>
                <w:szCs w:val="20"/>
              </w:rPr>
              <w:t>190 ist kein Ersatzweg zweiter Klasse, sondern für viele deutsche Fachkräfte der realistischere. Fünf Zusatzpunkte plus ein niedrigerer landesweiter Cut-off wiegen die zwei Jahre Wohnsitzpflicht für die meisten Bewerber auf.</w:t>
            </w:r>
          </w:p>
        </w:tc>
      </w:tr>
    </w:tbl>
    <w:p w14:paraId="70A4EFBB" w14:textId="77777777" w:rsidR="00C1548D" w:rsidRDefault="00C1548D">
      <w:pPr>
        <w:spacing w:line="220" w:lineRule="exact"/>
      </w:pPr>
    </w:p>
    <w:p w14:paraId="70A4EFBC" w14:textId="77777777" w:rsidR="00C1548D" w:rsidRDefault="009B1B4B">
      <w:pPr>
        <w:pStyle w:val="Heading3"/>
        <w:keepNext/>
        <w:jc w:val="center"/>
      </w:pPr>
      <w:r>
        <w:rPr>
          <w:rFonts w:ascii="Amazon Ember" w:eastAsia="Amazon Ember" w:hAnsi="Amazon Ember" w:cs="Amazon Ember"/>
          <w:color w:val="0000FF"/>
          <w:sz w:val="36"/>
          <w:szCs w:val="36"/>
        </w:rPr>
        <w:t>Der Arbeitgeber als Abkürzung: Subclass 482 und 186</w:t>
      </w:r>
    </w:p>
    <w:p w14:paraId="70A4EFBD" w14:textId="77777777" w:rsidR="00C1548D" w:rsidRDefault="009B1B4B">
      <w:pPr>
        <w:spacing w:after="140"/>
      </w:pPr>
      <w:r>
        <w:t>Wer einen australischen Arbeitgeber findet, der zur Sponsorin oder zum Sponsor wird, umgeht den Punktetest vollständig. Subclass 482 (</w:t>
      </w:r>
      <w:r>
        <w:rPr>
          <w:i/>
          <w:iCs/>
        </w:rPr>
        <w:t>Skills in Demand</w:t>
      </w:r>
      <w:r>
        <w:t xml:space="preserve">, SID) löste im Dezember 2024 das ältere </w:t>
      </w:r>
      <w:r>
        <w:rPr>
          <w:i/>
          <w:iCs/>
        </w:rPr>
        <w:t>Temporary Skill Shortage</w:t>
      </w:r>
      <w:r>
        <w:t xml:space="preserve">-Visum ab und läuft in drei Strömen: </w:t>
      </w:r>
      <w:r>
        <w:rPr>
          <w:i/>
          <w:iCs/>
        </w:rPr>
        <w:t>Core Skills</w:t>
      </w:r>
      <w:r>
        <w:t xml:space="preserve">, </w:t>
      </w:r>
      <w:r>
        <w:rPr>
          <w:i/>
          <w:iCs/>
        </w:rPr>
        <w:t>Specialist Skills</w:t>
      </w:r>
      <w:r>
        <w:t xml:space="preserve"> und </w:t>
      </w:r>
      <w:r>
        <w:rPr>
          <w:i/>
          <w:iCs/>
        </w:rPr>
        <w:t>Labour Agreement</w:t>
      </w:r>
      <w:r>
        <w:t xml:space="preserve"> (branchenspezifische Sonderabkommen). Die Gültigkeit reicht bis zu vier Jahre.</w:t>
      </w:r>
    </w:p>
    <w:p w14:paraId="70A4EFBE" w14:textId="77777777" w:rsidR="00C1548D" w:rsidRDefault="009B1B4B">
      <w:pPr>
        <w:spacing w:after="140"/>
      </w:pPr>
      <w:r>
        <w:t xml:space="preserve">Entscheidend ist die Lohnschwelle. Im Core-Skills-Strom muss das Gehalt mindestens die </w:t>
      </w:r>
      <w:r>
        <w:rPr>
          <w:i/>
          <w:iCs/>
        </w:rPr>
        <w:t>Core Skills Income Threshold</w:t>
      </w:r>
      <w:r>
        <w:t xml:space="preserve"> (CSIT) erreichen – ab 1. Juli 2026 sind das 79.423 AUD im Jahr – oder den marktüblichen Lohn für die Position (</w:t>
      </w:r>
      <w:r>
        <w:rPr>
          <w:i/>
          <w:iCs/>
        </w:rPr>
        <w:t>Annual Market Salary Rate</w:t>
      </w:r>
      <w:r>
        <w:t>, AMSR), je nachdem, welcher Wert höher ist. Im Specialist-Skills-Strom liegt die Schwelle deutlich höher, ab rund 141.210 AUD, steigend auf 146.576 AUD für Nominierungen ab 1. Juli 2026. Die Antragsgebühr beträgt 4.015 AUD für die Hauptperson, ebenso viel für jede weitere erwachsene Person und 1.005 AUD je Kind.</w:t>
      </w:r>
    </w:p>
    <w:p w14:paraId="70A4EFBF" w14:textId="77777777" w:rsidR="00C1548D" w:rsidRDefault="009B1B4B">
      <w:pPr>
        <w:spacing w:after="140"/>
      </w:pPr>
      <w:r>
        <w:t xml:space="preserve">Zusätzlich zahlt der Arbeitgeber die </w:t>
      </w:r>
      <w:r>
        <w:rPr>
          <w:i/>
          <w:iCs/>
        </w:rPr>
        <w:t>Skilling Australians Fund</w:t>
      </w:r>
      <w:r>
        <w:t>-Levy (SAF-Levy), eine Abgabe für die Ausbildung australischer Arbeitskräfte: 1.200 AUD je Antragsjahr bei einem Jahresumsatz unter 10 Millionen AUD, 1.800 AUD bei größeren Unternehmen. Bei einem Vierjahresvisum kommen so schnell 4.800 bis 7.200 AUD zusammen – die der Arbeitgeber trägt, nicht du.</w:t>
      </w:r>
    </w:p>
    <w:p w14:paraId="70A4EFC0" w14:textId="77777777" w:rsidR="00C1548D" w:rsidRDefault="009B1B4B">
      <w:pPr>
        <w:spacing w:after="140"/>
      </w:pPr>
      <w:r>
        <w:t xml:space="preserve">Nach zwei Jahren beim selben Arbeitgeber im Subclass 482 öffnet sich der Weg zur Daueraufenthaltserlaubnis über Subclass 186 </w:t>
      </w:r>
      <w:r>
        <w:lastRenderedPageBreak/>
        <w:t>(</w:t>
      </w:r>
      <w:r>
        <w:rPr>
          <w:i/>
          <w:iCs/>
        </w:rPr>
        <w:t>Employer Nomination Scheme</w:t>
      </w:r>
      <w:r>
        <w:t xml:space="preserve">, ENS) im Übergangs-Strom </w:t>
      </w:r>
      <w:r>
        <w:rPr>
          <w:i/>
          <w:iCs/>
        </w:rPr>
        <w:t>Temporary Residence Transition</w:t>
      </w:r>
      <w:r>
        <w:t>. Daneben gibt es einen Direktweg ohne vorherigen 482. Für 186 zahlt der Arbeitgeber die SAF-Levy als Einmalbetrag: 3.000 AUD bei kleinen, 5.000 AUD bei größeren Unternehmen.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C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FC1" w14:textId="77777777" w:rsidR="00C1548D" w:rsidRDefault="009B1B4B">
            <w:pPr>
              <w:keepNext/>
              <w:spacing w:after="70" w:line="240" w:lineRule="auto"/>
            </w:pPr>
            <w:r>
              <w:rPr>
                <w:b/>
                <w:bCs/>
                <w:color w:val="9B2C2C"/>
                <w:spacing w:val="24"/>
                <w:sz w:val="16"/>
                <w:szCs w:val="16"/>
              </w:rPr>
              <w:t>ACHTUNG</w:t>
            </w:r>
          </w:p>
          <w:p w14:paraId="70A4EFC2" w14:textId="77777777" w:rsidR="00C1548D" w:rsidRDefault="009B1B4B">
            <w:pPr>
              <w:spacing w:after="80" w:line="264" w:lineRule="auto"/>
            </w:pPr>
            <w:r>
              <w:rPr>
                <w:sz w:val="20"/>
                <w:szCs w:val="20"/>
              </w:rPr>
              <w:t>Die SAF-Levy darf der Arbeitgeber nicht auf dich abwälzen – ähnlich wie bestimmte Antragskosten beim amerikanischen H-1B-Visum nicht auf die angestellte Person umgelegt werden dürfen. Steht eine solche Klausel im Angebotsschreiben, ist das ein Warnsignal, keine Verhandlungsbasis.</w:t>
            </w:r>
          </w:p>
        </w:tc>
      </w:tr>
    </w:tbl>
    <w:p w14:paraId="70A4EFC4"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C7"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EFC5" w14:textId="77777777" w:rsidR="00C1548D" w:rsidRDefault="009B1B4B">
            <w:pPr>
              <w:keepNext/>
              <w:spacing w:after="70" w:line="240" w:lineRule="auto"/>
            </w:pPr>
            <w:r>
              <w:rPr>
                <w:b/>
                <w:bCs/>
                <w:color w:val="4A5568"/>
                <w:spacing w:val="24"/>
                <w:sz w:val="16"/>
                <w:szCs w:val="16"/>
              </w:rPr>
              <w:t>PRAXISBEISPIEL · FIKTIV</w:t>
            </w:r>
          </w:p>
          <w:p w14:paraId="70A4EFC6" w14:textId="77777777" w:rsidR="00C1548D" w:rsidRDefault="009B1B4B">
            <w:pPr>
              <w:spacing w:after="80" w:line="264" w:lineRule="auto"/>
            </w:pPr>
            <w:r>
              <w:rPr>
                <w:sz w:val="20"/>
                <w:szCs w:val="20"/>
              </w:rPr>
              <w:t xml:space="preserve">Nina Voss (fiktiv), 27, aus Hamburg, reist zunächst mit einem </w:t>
            </w:r>
            <w:r>
              <w:rPr>
                <w:i/>
                <w:iCs/>
                <w:sz w:val="20"/>
                <w:szCs w:val="20"/>
              </w:rPr>
              <w:t>Working-Holiday-Visum</w:t>
            </w:r>
            <w:r>
              <w:rPr>
                <w:sz w:val="20"/>
                <w:szCs w:val="20"/>
              </w:rPr>
              <w:t xml:space="preserve"> (der befristeten Arbeits- und Reiseerlaubnis für junge Erwachsene) nach Sydney. Für deutsche Staatsangehörige ist dabei die Subclass 417 einschlägig, nicht die vielzitierte 462, die für andere Nationalitäten mit eigenen Auflagen gilt – ein Irrtum, der sich in Foren hartnäckig hält. Nach anderthalb Jahren in Marketingjobs findet Nina eine Agentur, die bereit ist, sie über Subclass 482 zu sponsern. Bevor sie kündigt, lässt sie prüfen, ob ihr konkreter Beruf – „Marketing Specialist“ – tatsächlich auf der aktu</w:t>
            </w:r>
            <w:r>
              <w:rPr>
                <w:sz w:val="20"/>
                <w:szCs w:val="20"/>
              </w:rPr>
              <w:t>ell gültigen Berufsliste steht; die Antwort kommt erst nach mehreren Wochen und einigem Hin und Her mit der Personalabteilung. Ihr Jahresgehalt liegt knapp über der CSIT-Schwelle, die Agentur trägt die SAF-Levy. Nach zwei Jahren im selben Betrieb kann Nina den Übergang zu Subclass 186 beantragen.</w:t>
            </w:r>
          </w:p>
        </w:tc>
      </w:tr>
    </w:tbl>
    <w:p w14:paraId="70A4EFC8" w14:textId="77777777" w:rsidR="00C1548D" w:rsidRDefault="00C1548D">
      <w:pPr>
        <w:spacing w:line="220" w:lineRule="exact"/>
      </w:pPr>
    </w:p>
    <w:p w14:paraId="70A4EFC9" w14:textId="77777777" w:rsidR="00C1548D" w:rsidRDefault="009B1B4B">
      <w:pPr>
        <w:pStyle w:val="Heading3"/>
        <w:keepNext/>
        <w:jc w:val="center"/>
      </w:pPr>
      <w:r>
        <w:rPr>
          <w:rFonts w:ascii="Amazon Ember" w:eastAsia="Amazon Ember" w:hAnsi="Amazon Ember" w:cs="Amazon Ember"/>
          <w:color w:val="0000FF"/>
          <w:sz w:val="36"/>
          <w:szCs w:val="36"/>
        </w:rPr>
        <w:t>Berufslisten: CSOL, MLTSSL und der Listen-Wirrwarr</w:t>
      </w:r>
    </w:p>
    <w:p w14:paraId="70A4EFCA" w14:textId="77777777" w:rsidR="00C1548D" w:rsidRDefault="009B1B4B">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 zumindest für diese beiden Visa.</w:t>
      </w:r>
    </w:p>
    <w:p w14:paraId="70A4EFCB" w14:textId="77777777" w:rsidR="00C1548D" w:rsidRDefault="009B1B4B">
      <w:pPr>
        <w:spacing w:after="140"/>
      </w:pPr>
      <w:r>
        <w:lastRenderedPageBreak/>
        <w:t>Was für den Punktetest gilt, ist weniger eindeutig. Mehrere Migrationskanzleien berichten übereinstimmend, dass für die Subclasses 189, 190 und 491 weiterhin die älteren Listen (MLTSSL und Varianten) maßgeblich seien, nicht die CSOL. Eine unabhängige Bestätigung auf der Behördenseite selbst war zum Redaktionsschluss dieses Kapitels nicht zu bekommen. Bürokratie liebt neue Abkürzungen – offenbar auch dann, wenn niemand ganz sicher sagen kann, wo die alten noch gelten.</w:t>
      </w:r>
    </w:p>
    <w:p w14:paraId="70A4EFCC" w14:textId="77777777" w:rsidR="00C1548D" w:rsidRDefault="009B1B4B">
      <w:pPr>
        <w:spacing w:after="140"/>
      </w:pPr>
      <w:r>
        <w:t>Für deutsche Fachkräfte praktisch relevant sind vor allem folgende Berufsfelder, glaubt man den übereinstimmenden Sekundärquellen: Ingenieurwesen (Bau, Maschinenbau, Elektrotechnik), IT (Softwareentwicklung, Cybersicherheit), Gesundheitsberufe (Pflege, Ärztinnen und Ärzte mit Registrierung bei der zuständigen Fachbehörde AHPRA), Handwerksberufe (Elektriker, Klempner, Kfz-Mechatronik, meist mit Anerkennungsverfahren) und Lehrkräfte (mit zusätzlicher Registrierung im jeweiligen Bundesstaat). Welche Bewertungs</w:t>
      </w:r>
      <w:r>
        <w:t>stelle zuständig ist, hängt vom Beruf ab: Engineers Australia für Ingenieurberufe, ACS für IT, VETASSESS für viele weitere Berufe, ANMAC für Pflege, TRA für Handwerk.</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C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EFCD" w14:textId="77777777" w:rsidR="00C1548D" w:rsidRDefault="009B1B4B">
            <w:pPr>
              <w:keepNext/>
              <w:spacing w:after="70" w:line="240" w:lineRule="auto"/>
            </w:pPr>
            <w:r>
              <w:rPr>
                <w:b/>
                <w:bCs/>
                <w:color w:val="9B2C2C"/>
                <w:spacing w:val="24"/>
                <w:sz w:val="16"/>
                <w:szCs w:val="16"/>
              </w:rPr>
              <w:t>ACHTUNG</w:t>
            </w:r>
          </w:p>
          <w:p w14:paraId="70A4EFCE" w14:textId="77777777" w:rsidR="00C1548D" w:rsidRDefault="009B1B4B">
            <w:pPr>
              <w:spacing w:after="80" w:line="264" w:lineRule="auto"/>
            </w:pPr>
            <w:r>
              <w:rPr>
                <w:sz w:val="20"/>
                <w:szCs w:val="20"/>
              </w:rPr>
              <w:t>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 Stand dieses Kapitels – nicht in jeder Quelle deckungsgleich beschrieben.</w:t>
            </w:r>
          </w:p>
        </w:tc>
      </w:tr>
    </w:tbl>
    <w:p w14:paraId="70A4EFD0"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D3"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EFD1" w14:textId="77777777" w:rsidR="00C1548D" w:rsidRDefault="009B1B4B">
            <w:pPr>
              <w:keepNext/>
              <w:spacing w:after="70" w:line="240" w:lineRule="auto"/>
            </w:pPr>
            <w:r>
              <w:rPr>
                <w:b/>
                <w:bCs/>
                <w:color w:val="6B7280"/>
                <w:spacing w:val="24"/>
                <w:sz w:val="16"/>
                <w:szCs w:val="16"/>
              </w:rPr>
              <w:t>KEIN RECHTSRAT</w:t>
            </w:r>
          </w:p>
          <w:p w14:paraId="70A4EFD2" w14:textId="77777777" w:rsidR="00C1548D" w:rsidRDefault="009B1B4B">
            <w:pPr>
              <w:spacing w:after="80" w:line="264" w:lineRule="auto"/>
            </w:pPr>
            <w:r>
              <w:rPr>
                <w:sz w:val="20"/>
                <w:szCs w:val="20"/>
              </w:rPr>
              <w:t>Dieses Kapitel erklärt Regeln und Praxis, ersetzt aber keine Beratung durch eine registrierte Migrationsagentin, einen Migrationsagenten (</w:t>
            </w:r>
            <w:r>
              <w:rPr>
                <w:i/>
                <w:iCs/>
                <w:sz w:val="20"/>
                <w:szCs w:val="20"/>
              </w:rPr>
              <w:t>Registered Migration Agent</w:t>
            </w:r>
            <w:r>
              <w:rPr>
                <w:sz w:val="20"/>
                <w:szCs w:val="20"/>
              </w:rPr>
              <w:t>) oder eine Anwältin beziehungsweise einen Anwalt für australisches Einwanderungsrecht.</w:t>
            </w:r>
          </w:p>
        </w:tc>
      </w:tr>
    </w:tbl>
    <w:p w14:paraId="70A4EFD4" w14:textId="77777777" w:rsidR="00C1548D" w:rsidRDefault="00C1548D">
      <w:pPr>
        <w:spacing w:line="220" w:lineRule="exact"/>
      </w:pPr>
    </w:p>
    <w:p w14:paraId="70A4EFD5"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für deutsche Fachkräfte realistisch ist</w:t>
      </w:r>
    </w:p>
    <w:p w14:paraId="70A4EFD6" w14:textId="77777777" w:rsidR="00C1548D" w:rsidRDefault="009B1B4B">
      <w:pPr>
        <w:spacing w:after="140"/>
      </w:pPr>
      <w:r>
        <w:t>Wer zwischen 25 und 39 Jahre alt ist, einen anerkannten Hochschulabschluss hat, in einem gefragten Beruf arbeitet und Englisch auf hohem Niveau spricht, hat mit dem Punktetest realistische Chancen –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w:t>
      </w:r>
      <w:r>
        <w:t xml:space="preserve"> sofern der eigene Beruf gefragt genug ist, dass sich ein Unternehmen den Aufwand einer Sponsorenschaft macht.</w:t>
      </w:r>
    </w:p>
    <w:p w14:paraId="70A4EFD7" w14:textId="77777777" w:rsidR="00C1548D" w:rsidRDefault="009B1B4B">
      <w:pPr>
        <w:spacing w:after="140"/>
      </w:pPr>
      <w:r>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 und das Arbeitgeber-Sponsoring als gleichwertige, nicht als zweitrangige Option behandeln.</w:t>
      </w:r>
    </w:p>
    <w:p w14:paraId="70A4EFD8" w14:textId="77777777" w:rsidR="00C1548D" w:rsidRDefault="009B1B4B">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w14:paraId="70A4EFD9"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EFDC"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FDA"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EFDB" w14:textId="77777777" w:rsidR="00C1548D" w:rsidRDefault="009B1B4B">
            <w:pPr>
              <w:spacing w:line="250" w:lineRule="auto"/>
            </w:pPr>
            <w:r>
              <w:rPr>
                <w:b/>
                <w:bCs/>
                <w:sz w:val="18"/>
                <w:szCs w:val="18"/>
              </w:rPr>
              <w:t>Minus</w:t>
            </w:r>
          </w:p>
        </w:tc>
      </w:tr>
      <w:tr w:rsidR="00C1548D" w14:paraId="70A4EFD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DD" w14:textId="77777777" w:rsidR="00C1548D" w:rsidRDefault="009B1B4B">
            <w:pPr>
              <w:spacing w:line="250" w:lineRule="auto"/>
            </w:pPr>
            <w:r>
              <w:rPr>
                <w:sz w:val="18"/>
                <w:szCs w:val="18"/>
              </w:rPr>
              <w:t>Drei parallele Wege (189, 190, 482/186) erhöhen die Chancen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DE" w14:textId="77777777" w:rsidR="00C1548D" w:rsidRDefault="009B1B4B">
            <w:pPr>
              <w:spacing w:line="250" w:lineRule="auto"/>
            </w:pPr>
            <w:r>
              <w:rPr>
                <w:sz w:val="18"/>
                <w:szCs w:val="18"/>
              </w:rPr>
              <w:t>Ab 45 Jahren ist der Punktetest komplett verschlossen</w:t>
            </w:r>
          </w:p>
        </w:tc>
      </w:tr>
      <w:tr w:rsidR="00C1548D" w14:paraId="70A4EFE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E0" w14:textId="77777777" w:rsidR="00C1548D" w:rsidRDefault="009B1B4B">
            <w:pPr>
              <w:spacing w:line="250" w:lineRule="auto"/>
            </w:pPr>
            <w:r>
              <w:rPr>
                <w:sz w:val="18"/>
                <w:szCs w:val="18"/>
              </w:rPr>
              <w:t>Subclass 189 erlaubt freie Wohnortwahl ohne Sponsor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E1" w14:textId="77777777" w:rsidR="00C1548D" w:rsidRDefault="009B1B4B">
            <w:pPr>
              <w:spacing w:line="250" w:lineRule="auto"/>
            </w:pPr>
            <w:r>
              <w:rPr>
                <w:sz w:val="18"/>
                <w:szCs w:val="18"/>
              </w:rPr>
              <w:t>Cut-offs bei gefragten Berufen liegen oft bei 80 bis 95 Punkten</w:t>
            </w:r>
          </w:p>
        </w:tc>
      </w:tr>
      <w:tr w:rsidR="00C1548D" w14:paraId="70A4EFE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E3" w14:textId="77777777" w:rsidR="00C1548D" w:rsidRDefault="009B1B4B">
            <w:pPr>
              <w:spacing w:line="250" w:lineRule="auto"/>
            </w:pPr>
            <w:r>
              <w:rPr>
                <w:sz w:val="18"/>
                <w:szCs w:val="18"/>
              </w:rPr>
              <w:t>Arbeitgeber-Sponsoring umgeht den Punktetest ganz</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E4" w14:textId="77777777" w:rsidR="00C1548D" w:rsidRDefault="009B1B4B">
            <w:pPr>
              <w:spacing w:line="250" w:lineRule="auto"/>
            </w:pPr>
            <w:r>
              <w:rPr>
                <w:sz w:val="18"/>
                <w:szCs w:val="18"/>
              </w:rPr>
              <w:t>482 bindet dich mehrere Jahre an einen Arbeitgeber</w:t>
            </w:r>
          </w:p>
        </w:tc>
      </w:tr>
      <w:tr w:rsidR="00C1548D" w14:paraId="70A4EFE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E6" w14:textId="77777777" w:rsidR="00C1548D" w:rsidRDefault="009B1B4B">
            <w:pPr>
              <w:spacing w:line="250" w:lineRule="auto"/>
            </w:pPr>
            <w:r>
              <w:rPr>
                <w:sz w:val="18"/>
                <w:szCs w:val="18"/>
              </w:rPr>
              <w:t>SAF-Levy trägt allein der Arbeitgeber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E7" w14:textId="77777777" w:rsidR="00C1548D" w:rsidRDefault="009B1B4B">
            <w:pPr>
              <w:spacing w:line="250" w:lineRule="auto"/>
            </w:pPr>
            <w:r>
              <w:rPr>
                <w:sz w:val="18"/>
                <w:szCs w:val="18"/>
              </w:rPr>
              <w:t>Berufslisten (CSOL/MLTSSL) sind nicht immer eindeutig zugeordnet</w:t>
            </w:r>
          </w:p>
        </w:tc>
      </w:tr>
      <w:tr w:rsidR="00C1548D" w14:paraId="70A4EFE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E9" w14:textId="77777777" w:rsidR="00C1548D" w:rsidRDefault="009B1B4B">
            <w:pPr>
              <w:spacing w:line="250" w:lineRule="auto"/>
            </w:pPr>
            <w:r>
              <w:rPr>
                <w:sz w:val="18"/>
                <w:szCs w:val="18"/>
              </w:rPr>
              <w:t>Subclass 190 senkt den nötigen Cut-off deutlich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EA" w14:textId="77777777" w:rsidR="00C1548D" w:rsidRDefault="009B1B4B">
            <w:pPr>
              <w:spacing w:line="250" w:lineRule="auto"/>
            </w:pPr>
            <w:r>
              <w:rPr>
                <w:sz w:val="18"/>
                <w:szCs w:val="18"/>
              </w:rPr>
              <w:t>190 verpflichtet meist zu zwei Jahren im nominierenden Bundesstaat</w:t>
            </w:r>
          </w:p>
        </w:tc>
      </w:tr>
      <w:tr w:rsidR="00C1548D" w14:paraId="70A4EFE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EC" w14:textId="77777777" w:rsidR="00C1548D" w:rsidRDefault="009B1B4B">
            <w:pPr>
              <w:spacing w:line="250" w:lineRule="auto"/>
            </w:pPr>
            <w:r>
              <w:rPr>
                <w:sz w:val="18"/>
                <w:szCs w:val="18"/>
              </w:rPr>
              <w:t>Übergang 482 zu 186 führt direkt zur Daueraufenthaltserlaubnis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EFED" w14:textId="77777777" w:rsidR="00C1548D" w:rsidRDefault="009B1B4B">
            <w:pPr>
              <w:spacing w:line="250" w:lineRule="auto"/>
            </w:pPr>
            <w:r>
              <w:rPr>
                <w:sz w:val="18"/>
                <w:szCs w:val="18"/>
              </w:rPr>
              <w:t>Skills Assessment kann Monate dauern und ist oft der Flaschenhals</w:t>
            </w:r>
          </w:p>
        </w:tc>
      </w:tr>
    </w:tbl>
    <w:p w14:paraId="70A4EFEF" w14:textId="77777777" w:rsidR="00C1548D" w:rsidRDefault="00C1548D">
      <w:pPr>
        <w:spacing w:line="180" w:lineRule="exact"/>
      </w:pPr>
    </w:p>
    <w:p w14:paraId="70A4EFF0"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EFF1" w14:textId="695A7C77" w:rsidR="00C1548D" w:rsidRDefault="009B1B4B">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history="1">
        <w:r>
          <w:rPr>
            <w:color w:val="0563C1"/>
            <w:u w:val="single"/>
          </w:rPr>
          <w:t>Kapitel zu Antrag, Kosten und Bearbeitungszeit in diesem Teil</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EFFD" w14:textId="77777777">
        <w:tblPrEx>
          <w:tblCellMar>
            <w:top w:w="0" w:type="dxa"/>
            <w:bottom w:w="0" w:type="dxa"/>
          </w:tblCellMar>
        </w:tblPrEx>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EFF2" w14:textId="77777777" w:rsidR="00C1548D" w:rsidRDefault="009B1B4B">
            <w:pPr>
              <w:keepNext/>
              <w:spacing w:after="70" w:line="240" w:lineRule="auto"/>
            </w:pPr>
            <w:r>
              <w:rPr>
                <w:b/>
                <w:bCs/>
                <w:color w:val="1F6F78"/>
                <w:spacing w:val="24"/>
                <w:sz w:val="16"/>
                <w:szCs w:val="16"/>
              </w:rPr>
              <w:lastRenderedPageBreak/>
              <w:t>CHECKLISTE</w:t>
            </w:r>
          </w:p>
          <w:p w14:paraId="70A4EFF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Punktzahl nach der aktuellen Tabelle durchrechnen (Alter, Englisch, Bildung, Berufserfahrung).</w:t>
            </w:r>
          </w:p>
          <w:p w14:paraId="70A4EFF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Prüfen, ob der eigene Beruf auf der für das jeweilige Visum gültigen Liste steht (CSOL oder ältere Listen je nach Subclass).</w:t>
            </w:r>
          </w:p>
          <w:p w14:paraId="70A4EFF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Zuständige Bewertungsstelle für die Skills Assessment ermitteln und Verfahren früh starten.</w:t>
            </w:r>
          </w:p>
          <w:p w14:paraId="70A4EFF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Englischtest (IELTS, PTE oder gleichwertig) planen; bei knapper Punktzahl einen zweiten Anlauf für „Superior“ einkalkulieren.</w:t>
            </w:r>
          </w:p>
          <w:p w14:paraId="70A4EFF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Entscheiden, ob 189 (unabhängig), 190 (mit Bundesstaat) oder Arbeitgeber-Sponsoring realistischer ist – auch mehrgleisig möglich.</w:t>
            </w:r>
          </w:p>
          <w:p w14:paraId="70A4EFF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190: Berufslisten und Fristen des gewünschten Bundesstaats prüfen, Wohnsitzpflicht einkalkulieren.</w:t>
            </w:r>
          </w:p>
          <w:p w14:paraId="70A4EFF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Arbeitgeber-Sponsoring: Gehaltsschwelle (CSIT/AMSR) mit dem Jobangebot vergleichen, SAF-Levy-Regelung schriftlich festhalten.</w:t>
            </w:r>
          </w:p>
          <w:p w14:paraId="70A4EFF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Finanzpuffer für eine Wartezeit von einem Jahr oder mehr einplanen.</w:t>
            </w:r>
          </w:p>
          <w:p w14:paraId="70A4EFF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Führungszeugnisse für alle Länder mit mehr als 12 Monaten Aufenthalt seit dem 16. Geburtstag rechtzeitig beantragen.</w:t>
            </w:r>
          </w:p>
          <w:p w14:paraId="70A4EFF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jeder Kündigung in Deutschland aktuelle Gebühren, Fristen und Berufslisten direkt bei Home Affairs gegenprüfen.</w:t>
            </w:r>
          </w:p>
        </w:tc>
      </w:tr>
    </w:tbl>
    <w:p w14:paraId="70A4EFFE" w14:textId="77777777" w:rsidR="00C1548D" w:rsidRDefault="00C1548D">
      <w:pPr>
        <w:spacing w:line="220" w:lineRule="exact"/>
      </w:pPr>
    </w:p>
    <w:p w14:paraId="70A4EFFF"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000" w14:textId="0E3662A9" w:rsidR="00C1548D" w:rsidRDefault="009B1B4B" w:rsidP="009B1B4B">
      <w:pPr>
        <w:pStyle w:val="ListParagraph"/>
        <w:numPr>
          <w:ilvl w:val="0"/>
          <w:numId w:val="1"/>
        </w:numPr>
        <w:spacing w:after="60"/>
      </w:pPr>
      <w:r>
        <w:t>Department of Home Affairs — Skilled Independent visa, Subclass 189 (</w:t>
      </w:r>
      <w:hyperlink r:id="rId385" w:history="1">
        <w:r>
          <w:rPr>
            <w:color w:val="0563C1"/>
            <w:u w:val="single"/>
          </w:rPr>
          <w:t>immi.homeaffairs.gov.au</w:t>
        </w:r>
      </w:hyperlink>
      <w:r>
        <w:t>, Suche: skilled-independent-189)</w:t>
      </w:r>
    </w:p>
    <w:p w14:paraId="70A4F001" w14:textId="0B4E0CE9" w:rsidR="00C1548D" w:rsidRDefault="009B1B4B" w:rsidP="009B1B4B">
      <w:pPr>
        <w:pStyle w:val="ListParagraph"/>
        <w:numPr>
          <w:ilvl w:val="0"/>
          <w:numId w:val="1"/>
        </w:numPr>
        <w:spacing w:after="60"/>
      </w:pPr>
      <w:r>
        <w:t>Department of Home Affairs — Skilled Nominated visa, Subclass 190 (</w:t>
      </w:r>
      <w:hyperlink r:id="rId386" w:history="1">
        <w:r>
          <w:rPr>
            <w:color w:val="0563C1"/>
            <w:u w:val="single"/>
          </w:rPr>
          <w:t>immi.homeaffairs.gov.au</w:t>
        </w:r>
      </w:hyperlink>
      <w:r>
        <w:t>, Suche: skilled-nominated-190)</w:t>
      </w:r>
    </w:p>
    <w:p w14:paraId="70A4F002" w14:textId="7F48D0B1" w:rsidR="00C1548D" w:rsidRDefault="009B1B4B" w:rsidP="009B1B4B">
      <w:pPr>
        <w:pStyle w:val="ListParagraph"/>
        <w:numPr>
          <w:ilvl w:val="0"/>
          <w:numId w:val="1"/>
        </w:numPr>
        <w:spacing w:after="60"/>
      </w:pPr>
      <w:r>
        <w:t>Department of Home Affairs — Skills in Demand visa, Subclass 482 (</w:t>
      </w:r>
      <w:hyperlink r:id="rId387" w:history="1">
        <w:r>
          <w:rPr>
            <w:color w:val="0563C1"/>
            <w:u w:val="single"/>
          </w:rPr>
          <w:t>immi.homeaffairs.gov.au</w:t>
        </w:r>
      </w:hyperlink>
      <w:r>
        <w:t>, Suche: skills-in-demand-visa-subclass-482)</w:t>
      </w:r>
    </w:p>
    <w:p w14:paraId="70A4F003" w14:textId="34D98A1E" w:rsidR="00C1548D" w:rsidRDefault="009B1B4B" w:rsidP="009B1B4B">
      <w:pPr>
        <w:pStyle w:val="ListParagraph"/>
        <w:numPr>
          <w:ilvl w:val="0"/>
          <w:numId w:val="1"/>
        </w:numPr>
        <w:spacing w:after="60"/>
      </w:pPr>
      <w:r>
        <w:lastRenderedPageBreak/>
        <w:t>Department of Home Affairs — Employer Nomination Scheme, Subclass 186 (</w:t>
      </w:r>
      <w:hyperlink r:id="rId388" w:history="1">
        <w:r>
          <w:rPr>
            <w:color w:val="0563C1"/>
            <w:u w:val="single"/>
          </w:rPr>
          <w:t>immi.homeaffairs.gov.au</w:t>
        </w:r>
      </w:hyperlink>
      <w:r>
        <w:t>, Suche: employer-nomination-scheme-186)</w:t>
      </w:r>
    </w:p>
    <w:p w14:paraId="70A4F004" w14:textId="0F500336" w:rsidR="00C1548D" w:rsidRDefault="009B1B4B" w:rsidP="009B1B4B">
      <w:pPr>
        <w:pStyle w:val="ListParagraph"/>
        <w:numPr>
          <w:ilvl w:val="0"/>
          <w:numId w:val="1"/>
        </w:numPr>
        <w:spacing w:after="60"/>
      </w:pPr>
      <w:r>
        <w:t>Department of Home Affairs — SkillSelect, Einladungsrunden (</w:t>
      </w:r>
      <w:hyperlink r:id="rId389" w:history="1">
        <w:r>
          <w:rPr>
            <w:color w:val="0563C1"/>
            <w:u w:val="single"/>
          </w:rPr>
          <w:t>immi.homeaffairs.gov.au/visas/working-in-australia/skillselect</w:t>
        </w:r>
      </w:hyperlink>
      <w:r>
        <w:t>)</w:t>
      </w:r>
    </w:p>
    <w:p w14:paraId="70A4F005" w14:textId="5E4D92EE" w:rsidR="00C1548D" w:rsidRDefault="009B1B4B" w:rsidP="009B1B4B">
      <w:pPr>
        <w:pStyle w:val="ListParagraph"/>
        <w:numPr>
          <w:ilvl w:val="0"/>
          <w:numId w:val="1"/>
        </w:numPr>
        <w:spacing w:after="60"/>
      </w:pPr>
      <w:r>
        <w:t>Department of Home Affairs — Gebühren und Bearbeitungszeiten (</w:t>
      </w:r>
      <w:hyperlink r:id="rId390" w:history="1">
        <w:r>
          <w:rPr>
            <w:color w:val="0563C1"/>
            <w:u w:val="single"/>
          </w:rPr>
          <w:t>immi.homeaffairs.gov.au/visas/getting-a-visa/fees-and-charges</w:t>
        </w:r>
      </w:hyperlink>
      <w:r>
        <w:t>)</w:t>
      </w:r>
    </w:p>
    <w:p w14:paraId="70A4F006" w14:textId="6FCDB171" w:rsidR="00C1548D" w:rsidRDefault="009B1B4B" w:rsidP="009B1B4B">
      <w:pPr>
        <w:pStyle w:val="ListParagraph"/>
        <w:numPr>
          <w:ilvl w:val="0"/>
          <w:numId w:val="1"/>
        </w:numPr>
        <w:spacing w:after="60"/>
      </w:pPr>
      <w:r>
        <w:t>Department of Employment and Workplace Relations — Skilling Australians Fund Levy (</w:t>
      </w:r>
      <w:hyperlink r:id="rId391" w:history="1">
        <w:r>
          <w:rPr>
            <w:color w:val="0563C1"/>
            <w:u w:val="single"/>
          </w:rPr>
          <w:t>dewr.gov.au</w:t>
        </w:r>
      </w:hyperlink>
      <w:r>
        <w:t>)</w:t>
      </w:r>
    </w:p>
    <w:p w14:paraId="70A4F00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0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008" w14:textId="77777777" w:rsidR="00C1548D" w:rsidRDefault="009B1B4B">
            <w:pPr>
              <w:keepNext/>
              <w:spacing w:after="70" w:line="240" w:lineRule="auto"/>
            </w:pPr>
            <w:r>
              <w:rPr>
                <w:b/>
                <w:bCs/>
                <w:color w:val="6B7280"/>
                <w:spacing w:val="24"/>
                <w:sz w:val="16"/>
                <w:szCs w:val="16"/>
              </w:rPr>
              <w:t>STAND</w:t>
            </w:r>
          </w:p>
          <w:p w14:paraId="70A4F009" w14:textId="77777777" w:rsidR="00C1548D" w:rsidRDefault="009B1B4B" w:rsidP="009B1B4B">
            <w:pPr>
              <w:pStyle w:val="ListParagraph"/>
              <w:numPr>
                <w:ilvl w:val="0"/>
                <w:numId w:val="44"/>
              </w:numPr>
              <w:spacing w:after="50" w:line="264" w:lineRule="auto"/>
            </w:pPr>
            <w:r>
              <w:rPr>
                <w:sz w:val="20"/>
                <w:szCs w:val="20"/>
              </w:rPr>
              <w:t>September 2026. Diese Angaben ändern sich schnell: die Cut-off-Werte jeder SkillSelect-Runde, die Zuordnung der Berufslisten (CSOL gegenüber den älteren Listen für den Punktetest), die Lohnschwellen für Subclass 482 (CSIT/AMSR), die Nominierungsplätze und Berufslisten der Bundesstaaten sowie alle genannten Gebühren. Prüfe vor jeder Entscheidung die aktuellen Angaben direkt bei Home Affairs.</w:t>
            </w:r>
          </w:p>
        </w:tc>
      </w:tr>
    </w:tbl>
    <w:p w14:paraId="70A4F00B" w14:textId="77777777" w:rsidR="00C1548D" w:rsidRDefault="00C1548D">
      <w:pPr>
        <w:spacing w:line="220" w:lineRule="exact"/>
      </w:pPr>
    </w:p>
    <w:p w14:paraId="70A4F00C" w14:textId="77777777" w:rsidR="00C1548D" w:rsidRDefault="009B1B4B">
      <w:pPr>
        <w:pStyle w:val="Heading2"/>
        <w:keepNext/>
        <w:pageBreakBefore/>
        <w:jc w:val="center"/>
      </w:pPr>
      <w:bookmarkStart w:id="108" w:name="tau04"/>
      <w:bookmarkStart w:id="109" w:name="_Toc241352505"/>
      <w:r>
        <w:rPr>
          <w:rFonts w:ascii="Amazon Ember" w:eastAsia="Amazon Ember" w:hAnsi="Amazon Ember" w:cs="Amazon Ember"/>
          <w:color w:val="0000FF"/>
          <w:sz w:val="36"/>
          <w:szCs w:val="36"/>
        </w:rPr>
        <w:lastRenderedPageBreak/>
        <w:t>Australien: Familie, Investor, Ruhestand</w:t>
      </w:r>
      <w:bookmarkEnd w:id="108"/>
      <w:bookmarkEnd w:id="109"/>
    </w:p>
    <w:p w14:paraId="70A4F00D" w14:textId="77777777" w:rsidR="00C1548D" w:rsidRDefault="009B1B4B">
      <w:pPr>
        <w:spacing w:after="140"/>
      </w:pPr>
      <w:r>
        <w:t>In Köln sitzen Thomas Reinhardts Eltern vor demselben Computer, an dem ihr Sohn zwei Jahre zuvor seine Punktzahl für den Punktetest ausgerechnet hat – nur dass für sie kein Punktetest zählt, sondern eine ganz andere Zahl: 33 Jahre. So lange schätzt das australische Department of Home Affairs derzeit die Wartezeit für die günstigste Variante eines Eltern-Visums. Wer glaubt, mit einem in Australien lebenden, gut verdienenden Kind sei der Ruhestand unter Eukalyptusbäumen nur noch eine Frage der Unterschrift, h</w:t>
      </w:r>
      <w:r>
        <w:t>at sich in einem Land geirrt, das seine Einwanderung fast ausschließlich über Arbeitskraft steuert – und Familiennachzug, Investorenwege und Ruhestand ganz bewusst zu den kleinsten, restriktivsten Kapiteln seines Regelwerks macht.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15"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00E" w14:textId="77777777" w:rsidR="00C1548D" w:rsidRDefault="009B1B4B">
            <w:pPr>
              <w:keepNext/>
              <w:spacing w:after="70" w:line="240" w:lineRule="auto"/>
            </w:pPr>
            <w:r>
              <w:rPr>
                <w:b/>
                <w:bCs/>
                <w:color w:val="1F3A5F"/>
                <w:spacing w:val="24"/>
                <w:sz w:val="16"/>
                <w:szCs w:val="16"/>
              </w:rPr>
              <w:lastRenderedPageBreak/>
              <w:t>KURZ GESAGT</w:t>
            </w:r>
          </w:p>
          <w:p w14:paraId="70A4F00F" w14:textId="77777777" w:rsidR="00C1548D" w:rsidRDefault="009B1B4B" w:rsidP="009B1B4B">
            <w:pPr>
              <w:pStyle w:val="ListParagraph"/>
              <w:numPr>
                <w:ilvl w:val="0"/>
                <w:numId w:val="1"/>
              </w:numPr>
              <w:spacing w:after="50" w:line="264" w:lineRule="auto"/>
            </w:pPr>
            <w:r>
              <w:rPr>
                <w:sz w:val="20"/>
                <w:szCs w:val="20"/>
              </w:rPr>
              <w:t>Partnervisa (Subclass 820/801, bei Antragstellung außerhalb Australiens 309/100) sind der planbarste familienbasierte Weg, aber mit Wartezeiten von häufig zwei Jahren oder mehr bis zur Daueraufenthaltserlaubnis.</w:t>
            </w:r>
          </w:p>
          <w:p w14:paraId="70A4F010" w14:textId="77777777" w:rsidR="00C1548D" w:rsidRDefault="009B1B4B" w:rsidP="009B1B4B">
            <w:pPr>
              <w:pStyle w:val="ListParagraph"/>
              <w:numPr>
                <w:ilvl w:val="0"/>
                <w:numId w:val="1"/>
              </w:numPr>
              <w:spacing w:after="50" w:line="264" w:lineRule="auto"/>
            </w:pPr>
            <w:r>
              <w:rPr>
                <w:sz w:val="20"/>
                <w:szCs w:val="20"/>
              </w:rPr>
              <w:t>Klassische Investorenwege sind praktisch verschwunden: Das frühere Investorenvisum (Subclass 188) ist seit 31. Juli 2024 für Neuanträge geschlossen, ein echter Ersatz existiert 2026 nicht.</w:t>
            </w:r>
          </w:p>
          <w:p w14:paraId="70A4F011" w14:textId="77777777" w:rsidR="00C1548D" w:rsidRDefault="009B1B4B" w:rsidP="009B1B4B">
            <w:pPr>
              <w:pStyle w:val="ListParagraph"/>
              <w:numPr>
                <w:ilvl w:val="0"/>
                <w:numId w:val="1"/>
              </w:numPr>
              <w:spacing w:after="50" w:line="264" w:lineRule="auto"/>
            </w:pPr>
            <w:r>
              <w:rPr>
                <w:sz w:val="20"/>
                <w:szCs w:val="20"/>
              </w:rPr>
              <w:t>Ein „einfaches“ Ruhestandsvisum wie früher (Subclass 405/410) gibt es für Neuanträge nicht mehr – nur Bestandsschutz für bereits vorhandene Inhaber.</w:t>
            </w:r>
          </w:p>
          <w:p w14:paraId="70A4F012" w14:textId="77777777" w:rsidR="00C1548D" w:rsidRDefault="009B1B4B" w:rsidP="009B1B4B">
            <w:pPr>
              <w:pStyle w:val="ListParagraph"/>
              <w:numPr>
                <w:ilvl w:val="0"/>
                <w:numId w:val="1"/>
              </w:numPr>
              <w:spacing w:after="50" w:line="264" w:lineRule="auto"/>
            </w:pPr>
            <w:r>
              <w:rPr>
                <w:sz w:val="20"/>
                <w:szCs w:val="20"/>
              </w:rPr>
              <w:t>Der verbleibende Weg für Ruheständler ohne Job ist das Eltern-Visum (Parent Visa) – zwingend mit einem erwachsenen Kind mit australischer Staatsbürgerschaft oder Daueraufenthaltstitel vor Ort und einem rein geografischen Balance-of-Family-Test.</w:t>
            </w:r>
          </w:p>
          <w:p w14:paraId="70A4F013" w14:textId="77777777" w:rsidR="00C1548D" w:rsidRDefault="009B1B4B" w:rsidP="009B1B4B">
            <w:pPr>
              <w:pStyle w:val="ListParagraph"/>
              <w:numPr>
                <w:ilvl w:val="0"/>
                <w:numId w:val="1"/>
              </w:numPr>
              <w:spacing w:after="50" w:line="264" w:lineRule="auto"/>
            </w:pPr>
            <w:r>
              <w:rPr>
                <w:sz w:val="20"/>
                <w:szCs w:val="20"/>
              </w:rPr>
              <w:t>Zwei Schienen stehen zur Wahl: günstig, aber mit rund 33 Jahren Wartezeit (Non-Contributory), oder teuer, mit rund 48.000 AUD Visagebühr pro Person plus separater, rückzahlbarer Kaution, dafür „nur“ 12 bis 15 Jahre Wartezeit (Contributory).</w:t>
            </w:r>
          </w:p>
          <w:p w14:paraId="70A4F014" w14:textId="77777777" w:rsidR="00C1548D" w:rsidRDefault="009B1B4B" w:rsidP="009B1B4B">
            <w:pPr>
              <w:pStyle w:val="ListParagraph"/>
              <w:numPr>
                <w:ilvl w:val="0"/>
                <w:numId w:val="1"/>
              </w:numPr>
              <w:spacing w:after="50" w:line="264" w:lineRule="auto"/>
            </w:pPr>
            <w:r>
              <w:rPr>
                <w:sz w:val="20"/>
                <w:szCs w:val="20"/>
              </w:rPr>
              <w:t>Eine befristete Zwischenlösung (Subclass 870) erlaubt bis zu zehn Jahre Aufenthalt ohne Daueraufenthaltsperspektive, ohne Medicare-Zugang und ohne Arbeitserlaubnis.</w:t>
            </w:r>
          </w:p>
        </w:tc>
      </w:tr>
    </w:tbl>
    <w:p w14:paraId="70A4F016" w14:textId="77777777" w:rsidR="00C1548D" w:rsidRDefault="00C1548D">
      <w:pPr>
        <w:spacing w:line="220" w:lineRule="exact"/>
      </w:pPr>
    </w:p>
    <w:p w14:paraId="70A4F017" w14:textId="77777777" w:rsidR="00C1548D" w:rsidRDefault="009B1B4B">
      <w:pPr>
        <w:spacing w:after="140"/>
      </w:pPr>
      <w:r>
        <w:t>Drei ganz unterschiedliche Türen führen in diesem Kapitel zum selben Ziel, einer Daueraufenthaltserlaubnis ohne eigenen Job in Australien – und sie sind unterschiedlich schwer zu öffnen. Die Partnerschaft mit einer in Australien lebenden Person ist rechtlich am klarsten geregelt, auch wenn die Wartezeit spürbar ist. Der Investorenweg existiert in seiner klassischen Form schlicht nicht mehr. Und der Ruhestandsweg über ein erwachsenes Kind vor Ort ist zwar grundsätzlich offen, aber mit einer Kombination aus W</w:t>
      </w:r>
      <w:r>
        <w:t>artezeit und Kosten versehen, die viele Familien erst spät im Planungsprozess in ihrer vollen Tragweite begreifen. Wer eines dieser drei Themen für sich prüft, sollte die jeweiligen Zahlen nicht isoliert betrachten, sondern immer im Vergleich zur eigenen Zeit- und Finanzplanung.</w:t>
      </w:r>
    </w:p>
    <w:p w14:paraId="70A4F018" w14:textId="77777777" w:rsidR="00C1548D" w:rsidRDefault="009B1B4B">
      <w:pPr>
        <w:pStyle w:val="Heading3"/>
        <w:keepNext/>
        <w:jc w:val="center"/>
      </w:pPr>
      <w:r>
        <w:rPr>
          <w:rFonts w:ascii="Amazon Ember" w:eastAsia="Amazon Ember" w:hAnsi="Amazon Ember" w:cs="Amazon Ember"/>
          <w:color w:val="0000FF"/>
          <w:sz w:val="36"/>
          <w:szCs w:val="36"/>
        </w:rPr>
        <w:lastRenderedPageBreak/>
        <w:t>Partnervisum: der planbarste familienbasierte Weg</w:t>
      </w:r>
    </w:p>
    <w:p w14:paraId="70A4F019" w14:textId="77777777" w:rsidR="00C1548D" w:rsidRDefault="009B1B4B">
      <w:pPr>
        <w:spacing w:after="140"/>
      </w:pPr>
      <w:r>
        <w:t>Wer in Australien eine Partnerin oder einen Partner findet, kommt über das Partnervisum in einem zweistufigen Verfahren zur Daueraufenthaltserlaubnis. Wer sich bereits in Australien aufhält, beantragt Subclass 820 (befristet) und später, aus demselben Antrag heraus, Subclass 801 (dauerhaft); wer von außerhalb Australiens startet, durchläuft stattdessen die Subclasses 309 und 100. Voraussetzung ist in jedem Fall der Nachweis einer echten und andauernden Beziehung – Ehe oder eine faktische Partnerschaft (</w:t>
      </w:r>
      <w:r>
        <w:rPr>
          <w:i/>
          <w:iCs/>
        </w:rPr>
        <w:t>de facto relationship</w:t>
      </w:r>
      <w:r>
        <w:t>, eine dem Eheleben gleichgestellte, meist mindestens zwölf Monate bestehende Partnerschaft ohne Trauschein).</w:t>
      </w:r>
    </w:p>
    <w:p w14:paraId="70A4F01A" w14:textId="77777777" w:rsidR="00C1548D" w:rsidRDefault="009B1B4B">
      <w:pPr>
        <w:spacing w:after="140"/>
      </w:pPr>
      <w:r>
        <w:t>Die Antragsgebühr für die Hauptperson liegt seit der Gebührenrunde vom 1. Juli 2026 bei rund 11.710 AUD (zuvor rund 9.365 AUD; mehrere Kanzleiquellen 2026 übereinstimmend, u. a. zur Zeit vor und nach dem Stichtag). Dazu kommen Gesundheitsuntersuchungen (300 bis 500 AUD pro Person) und Führungszeugnisse aus jedem Land mit längerem Voraufenthalt (50 bis 200 AUD je Land).</w:t>
      </w:r>
    </w:p>
    <w:p w14:paraId="70A4F01B" w14:textId="77777777" w:rsidR="00C1548D" w:rsidRDefault="009B1B4B">
      <w:pPr>
        <w:spacing w:after="140"/>
      </w:pPr>
      <w:r>
        <w:t>Bei der Wartezeit hilft Optimismus wenig: Die befristete Stufe (820/309) dauert laut Behördenangaben für die Hälfte der Fälle rund 17 Monate, andere Quellen nennen 12 bis 24 Monate und mehr. Die permanente Stufe (801) folgt meist erst rund zwei Jahre nach der ursprünglichen Einreichung, danach noch einmal etwa sechs Monate. Wer heute eine Beziehung beginnt und in zwölf Monaten geplant nach Australien ziehen will, sollte diese Zeitachse ernst nehmen, nicht als Behördenübertreibung abtun.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1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01C" w14:textId="77777777" w:rsidR="00C1548D" w:rsidRDefault="009B1B4B">
            <w:pPr>
              <w:keepNext/>
              <w:spacing w:after="70" w:line="240" w:lineRule="auto"/>
            </w:pPr>
            <w:r>
              <w:rPr>
                <w:b/>
                <w:bCs/>
                <w:color w:val="9B2C2C"/>
                <w:spacing w:val="24"/>
                <w:sz w:val="16"/>
                <w:szCs w:val="16"/>
              </w:rPr>
              <w:lastRenderedPageBreak/>
              <w:t>ACHTUNG</w:t>
            </w:r>
          </w:p>
          <w:p w14:paraId="70A4F01D" w14:textId="77777777" w:rsidR="00C1548D" w:rsidRDefault="009B1B4B">
            <w:pPr>
              <w:spacing w:after="80" w:line="264" w:lineRule="auto"/>
            </w:pPr>
            <w:r>
              <w:rPr>
                <w:sz w:val="20"/>
                <w:szCs w:val="20"/>
              </w:rPr>
              <w:t>Während der befristeten Stufe (820) gilt in aller Regel ein Bridging-Visum, das den Aufenthalt legal überbrückt, aber eigene Bedingungen mitbringt – etwa bei Reisen außerhalb Australiens. Kläre vor jeder Auslandsreise während eines laufenden Partnerverfahrens die genauen Bedingungen deines Bridging-Status, bevor du buchst.</w:t>
            </w:r>
          </w:p>
        </w:tc>
      </w:tr>
    </w:tbl>
    <w:p w14:paraId="70A4F01F"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22"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020" w14:textId="77777777" w:rsidR="00C1548D" w:rsidRDefault="009B1B4B">
            <w:pPr>
              <w:keepNext/>
              <w:spacing w:after="70" w:line="240" w:lineRule="auto"/>
            </w:pPr>
            <w:r>
              <w:rPr>
                <w:b/>
                <w:bCs/>
                <w:color w:val="2F6B3B"/>
                <w:spacing w:val="24"/>
                <w:sz w:val="16"/>
                <w:szCs w:val="16"/>
              </w:rPr>
              <w:t>SPARTIPP</w:t>
            </w:r>
          </w:p>
          <w:p w14:paraId="70A4F021" w14:textId="77777777" w:rsidR="00C1548D" w:rsidRDefault="009B1B4B">
            <w:pPr>
              <w:spacing w:after="80" w:line="264" w:lineRule="auto"/>
            </w:pPr>
            <w:r>
              <w:rPr>
                <w:sz w:val="20"/>
                <w:szCs w:val="20"/>
              </w:rPr>
              <w:t>Eine faktische Partnerschaft muss belegt werden – gemeinsames Konto, gemeinsamer Mietvertrag, Fotos, Aussagen von Zeugen. Fang mit dieser Dokumentation an, sobald ihr zusammenzieht, nicht erst kurz vor der Antragstellung. Nachträglich rekonstruierte Beweise wirken selten so überzeugend wie laufend gesammelte.</w:t>
            </w:r>
          </w:p>
        </w:tc>
      </w:tr>
    </w:tbl>
    <w:p w14:paraId="70A4F023" w14:textId="77777777" w:rsidR="00C1548D" w:rsidRDefault="00C1548D">
      <w:pPr>
        <w:spacing w:line="220" w:lineRule="exact"/>
      </w:pPr>
    </w:p>
    <w:p w14:paraId="70A4F024" w14:textId="77777777" w:rsidR="00C1548D" w:rsidRDefault="009B1B4B">
      <w:pPr>
        <w:spacing w:after="140"/>
      </w:pPr>
      <w:r>
        <w:t>Verbreiteter Irrtum: Wer eine Australierin oder einen Australier heiratet, sei damit praktisch automatisch aufenthaltsberechtigt – ähnlich einer Ehe zwischen Deutschen innerhalb der EU. Tatsächlich prüft Home Affairs jede Partnerschaft einzeln und unabhängig vom Trauschein: Eine Heirat allein ersetzt nicht den Nachweis einer echten, andauernden Beziehung, und auch verheiratete Paare durchlaufen dieselbe zweistufige Prüfung wie unverheiratete. Wer die Ehe als Formsache betrachtet und die Beweisführung vernac</w:t>
      </w:r>
      <w:r>
        <w:t>hlässigt, riskiert Rückfragen, die das Verfahren um Monate verlängern.</w:t>
      </w:r>
    </w:p>
    <w:p w14:paraId="70A4F025" w14:textId="77777777" w:rsidR="00C1548D" w:rsidRDefault="009B1B4B">
      <w:pPr>
        <w:pStyle w:val="Heading3"/>
        <w:keepNext/>
        <w:jc w:val="center"/>
      </w:pPr>
      <w:r>
        <w:rPr>
          <w:rFonts w:ascii="Amazon Ember" w:eastAsia="Amazon Ember" w:hAnsi="Amazon Ember" w:cs="Amazon Ember"/>
          <w:color w:val="0000FF"/>
          <w:sz w:val="36"/>
          <w:szCs w:val="36"/>
        </w:rPr>
        <w:t>Investoren- und Unternehmerwege: ein Kapitel, das kaum noch existiert</w:t>
      </w:r>
    </w:p>
    <w:p w14:paraId="70A4F026" w14:textId="77777777" w:rsidR="00C1548D" w:rsidRDefault="009B1B4B">
      <w:pPr>
        <w:spacing w:after="140"/>
      </w:pPr>
      <w:r>
        <w:t>Wer sich an ältere Australien-Ratgeber erinnert, kennt vielleicht noch das Significant Investor Visa (Subclass 188, mit dem Investoren-Strom 188C und einer Mindestinvestition von 5 Millionen AUD). Dieser Weg ist seit dem 31. Juli 2024 für Neuanträge endgültig geschlossen; nur wer bereits ein solches Visum hält, behält Übergangsrechte, etwa auf dem Weg zu Subclass 888C. Für alle, die heute erst planen, ist diese Tür damit faktisch zu.</w:t>
      </w:r>
    </w:p>
    <w:p w14:paraId="70A4F027" w14:textId="77777777" w:rsidR="00C1548D" w:rsidRDefault="009B1B4B">
      <w:pPr>
        <w:spacing w:after="140"/>
      </w:pPr>
      <w:r>
        <w:lastRenderedPageBreak/>
        <w:t>An seine Stelle ist am 7. Dezember 2024 das National Innovation Visa (Subclass 858) getreten. Der Name klingt nach einem Investorenvisum, ist aber keiner: Es richtet sich an Personen mit außergewöhnlichen Fähigkeiten und echtem Innovationspotenzial, nicht an passive Investoren, die schlicht Kapital mitbringen. Wer eine ernsthafte, prüffähige Geschäftsidee mit belegbarem Innovationsgehalt hat, kann diesen Weg mit spezialisierter Beratung prüfen lassen – für den klassischen Wunsch „ich investiere eine größere</w:t>
      </w:r>
      <w:r>
        <w:t xml:space="preserve"> Summe und bekomme dafür ein Visum“ bietet Australien 2026 keine passende Kategorie mehr.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2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028" w14:textId="77777777" w:rsidR="00C1548D" w:rsidRDefault="009B1B4B">
            <w:pPr>
              <w:keepNext/>
              <w:spacing w:after="70" w:line="240" w:lineRule="auto"/>
            </w:pPr>
            <w:r>
              <w:rPr>
                <w:b/>
                <w:bCs/>
                <w:color w:val="8A6212"/>
                <w:spacing w:val="24"/>
                <w:sz w:val="16"/>
                <w:szCs w:val="16"/>
              </w:rPr>
              <w:t>MERKE</w:t>
            </w:r>
          </w:p>
          <w:p w14:paraId="70A4F029" w14:textId="77777777" w:rsidR="00C1548D" w:rsidRDefault="009B1B4B">
            <w:pPr>
              <w:spacing w:after="80" w:line="264" w:lineRule="auto"/>
            </w:pPr>
            <w:r>
              <w:rPr>
                <w:sz w:val="20"/>
                <w:szCs w:val="20"/>
              </w:rPr>
              <w:t>Anders als etwa Portugal oder einige Golfstaaten verkauft Australien keinen Aufenthaltstitel gegen Kapital. Wer diesen Weg sucht, verschwendet Recherchezeit an eine Tür, die es so nicht mehr gibt.</w:t>
            </w:r>
          </w:p>
        </w:tc>
      </w:tr>
    </w:tbl>
    <w:p w14:paraId="70A4F02B" w14:textId="77777777" w:rsidR="00C1548D" w:rsidRDefault="00C1548D">
      <w:pPr>
        <w:spacing w:line="220" w:lineRule="exact"/>
      </w:pPr>
    </w:p>
    <w:p w14:paraId="70A4F02C" w14:textId="77777777" w:rsidR="00C1548D" w:rsidRDefault="009B1B4B">
      <w:pPr>
        <w:spacing w:after="140"/>
      </w:pPr>
      <w:r>
        <w:t>Wer trotzdem ein eigenes Unternehmen in Australien gründen will, findet realistischere Anknüpfungspunkte eher über den regulären Arbeitsweg – etwa, indem die eigene, neu gegründete Firma selbst zum Sponsor eines Arbeitgeber-Visums wird, sofern sie die entsprechenden Voraussetzungen erfüllt. Wie streng Home Affairs Eigentümerschaft und tatsächliche Geschäftstätigkeit bei solchen Konstruktionen prüft, ist hier nicht abschließend recherchiert; das ist ein Fall für eine spezialisierte Migrationsberatung, kein D</w:t>
      </w:r>
      <w:r>
        <w:t>o-it-yourself-Projekt.</w:t>
      </w:r>
    </w:p>
    <w:p w14:paraId="70A4F02D" w14:textId="77777777" w:rsidR="00C1548D" w:rsidRDefault="009B1B4B">
      <w:pPr>
        <w:spacing w:after="140"/>
      </w:pPr>
      <w:r>
        <w:t>Historisch gehörten Investoren- und Unternehmervisa zum sogenannten Business Innovation and Investment Program (BIIP), das über Jahre mehrere Stufen kannte – von der kleineren Geschäftsgründung bis zum Großinvestor. Dieses Programm ist im Zuge der Reformen 2024 weitgehend zurückgebaut worden, und mit ihm die Vorstellung, sich mit einer bestimmten Kapitalsumme direkt in ein Bleiberecht einzukaufen. Wer aus Gesprächen mit älteren Auswanderern oder aus Foren noch von „dem Investorenvisum“ gehört hat, sollte da</w:t>
      </w:r>
      <w:r>
        <w:t xml:space="preserve">von ausgehen, dass diese Beschreibung veraltet </w:t>
      </w:r>
      <w:r>
        <w:lastRenderedPageBreak/>
        <w:t>ist, und den aktuellen Stand bei Home Affairs oder einer Migrationsberatung neu prüfen.</w:t>
      </w:r>
    </w:p>
    <w:p w14:paraId="70A4F02E" w14:textId="77777777" w:rsidR="00C1548D" w:rsidRDefault="009B1B4B">
      <w:pPr>
        <w:pStyle w:val="Heading3"/>
        <w:keepNext/>
        <w:jc w:val="center"/>
      </w:pPr>
      <w:r>
        <w:rPr>
          <w:rFonts w:ascii="Amazon Ember" w:eastAsia="Amazon Ember" w:hAnsi="Amazon Ember" w:cs="Amazon Ember"/>
          <w:color w:val="0000FF"/>
          <w:sz w:val="36"/>
          <w:szCs w:val="36"/>
        </w:rPr>
        <w:t>Ruhestand ohne Job: die ausführliche Bilanz</w:t>
      </w:r>
    </w:p>
    <w:p w14:paraId="70A4F02F" w14:textId="77777777" w:rsidR="00C1548D" w:rsidRDefault="009B1B4B">
      <w:pPr>
        <w:spacing w:after="140"/>
      </w:pPr>
      <w:r>
        <w:t>Für die vermutlich größte Gruppe unter den Leserinnen und Lesern dieses Abschnitts – Deutsche im Rentenalter, die keinen Job mehr suchen, aber in der Nähe ihrer in Australien lebenden Kinder oder Enkel alt werden möchten – lohnt sich eine nüchterne Vorab-Feststellung: Ein einfaches Rentnervisum nach dem Vorbild Portugals, Panamas oder Mexikos gibt es in Australien nicht, und in abgeschwächter Form gab es zuletzt auch keins mehr. Wer sich auf ein „Retirement Visa“ verlässt, von dem noch in älteren Foren-Beit</w:t>
      </w:r>
      <w:r>
        <w:t>rägen die Rede ist, plant mit einer Tür, die längst verschlossen wurde.</w:t>
      </w:r>
    </w:p>
    <w:p w14:paraId="70A4F030" w14:textId="77777777" w:rsidR="00C1548D" w:rsidRDefault="009B1B4B">
      <w:pPr>
        <w:pStyle w:val="Heading4"/>
        <w:keepNext/>
        <w:jc w:val="center"/>
      </w:pPr>
      <w:r>
        <w:rPr>
          <w:rFonts w:ascii="Amazon Ember" w:eastAsia="Amazon Ember" w:hAnsi="Amazon Ember" w:cs="Amazon Ember"/>
          <w:color w:val="0000FF"/>
          <w:sz w:val="36"/>
          <w:szCs w:val="36"/>
        </w:rPr>
        <w:t>Das ehemalige Ruhestandsvisum: geschlossen für Neuanträge</w:t>
      </w:r>
    </w:p>
    <w:p w14:paraId="70A4F031" w14:textId="77777777" w:rsidR="00C1548D" w:rsidRDefault="009B1B4B">
      <w:pPr>
        <w:spacing w:after="140"/>
      </w:pPr>
      <w:r>
        <w:t>Die früheren Subclasses 405 (Investor Retirement) und 410 (Retirement) sind für Neuanträge nicht mehr verfügbar: 405 vollständig geschlossen, 410 nur noch in engen Bestandsfällen für bereits vorhandene Inhaber. Wer heute ein solches Visum schon besitzt, kann Folgeanträge stellen und profitiert von einem erleichterten Übergang zu den Parent-Visa-Kategorien – mit Befreiung von einigen Voraussetzungen, die andere Bewerber erfüllen müssen. Für alle, die 2026 neu planen, ist dieser erleichterte Übergang nicht zu</w:t>
      </w:r>
      <w:r>
        <w:t>gänglich.</w:t>
      </w:r>
    </w:p>
    <w:p w14:paraId="70A4F032" w14:textId="77777777" w:rsidR="00C1548D" w:rsidRDefault="009B1B4B">
      <w:pPr>
        <w:pStyle w:val="Heading4"/>
        <w:keepNext/>
        <w:jc w:val="center"/>
      </w:pPr>
      <w:r>
        <w:rPr>
          <w:rFonts w:ascii="Amazon Ember" w:eastAsia="Amazon Ember" w:hAnsi="Amazon Ember" w:cs="Amazon Ember"/>
          <w:color w:val="0000FF"/>
          <w:sz w:val="36"/>
          <w:szCs w:val="36"/>
        </w:rPr>
        <w:lastRenderedPageBreak/>
        <w:t>Der verbleibende Weg: das Eltern-Visum</w:t>
      </w:r>
    </w:p>
    <w:p w14:paraId="70A4F033" w14:textId="77777777" w:rsidR="00C1548D" w:rsidRDefault="009B1B4B">
      <w:pPr>
        <w:spacing w:after="140"/>
      </w:pPr>
      <w:r>
        <w:t>Ohne Investorenweg und ohne eigenes Ruhestandsvisum bleibt praktisch nur eine Route: das Eltern-Visum, und das ausschließlich für Eltern, die ein erwachsenes Kind mit australischer Staatsbürgerschaft oder Daueraufenthaltstitel in Australien haben. Fünf Subclass-Nummern gehören dazu, aufgeteilt in zwei Schienen mit sehr unterschiedlichem Preis-Zeit-Verhältnis.</w:t>
      </w:r>
    </w:p>
    <w:p w14:paraId="70A4F034" w14:textId="77777777" w:rsidR="00C1548D" w:rsidRDefault="009B1B4B">
      <w:pPr>
        <w:spacing w:after="140"/>
      </w:pPr>
      <w:r>
        <w:rPr>
          <w:b/>
          <w:bCs/>
        </w:rPr>
        <w:t>Non-Contributory (günstig, extrem lange Wartezeit):</w:t>
      </w:r>
      <w:r>
        <w:t xml:space="preserve"> Subclass 103 (Parent, Antragstellung von außerhalb Australiens) und Subclass 804 (Aged Parent, Antragstellung oder Verbleib in Australien). Die Visumsgebühr liegt bei rund 5.000 bis 6.000 AUD. Die Wartezeit dagegen ist der eigentliche Pferdefuß: Home Affairs selbst schätzt sie derzeit auf rund 33 Jahre bis zur Entscheidung – eine Zahl, die weniger nach Einwanderungsverfahren klingt als nach geologischer Zeitrechnung.</w:t>
      </w:r>
    </w:p>
    <w:p w14:paraId="70A4F035" w14:textId="77777777" w:rsidR="00C1548D" w:rsidRDefault="009B1B4B">
      <w:pPr>
        <w:spacing w:after="140"/>
      </w:pPr>
      <w:r>
        <w:rPr>
          <w:b/>
          <w:bCs/>
        </w:rPr>
        <w:t>Contributory (deutlich teurer, spürbar schneller):</w:t>
      </w:r>
      <w:r>
        <w:t xml:space="preserve"> Subclass 143 (Contributory Parent, von außerhalb), 173 (Contributory Parent Temporary, ein zweijähriges Übergangsvisum zu 143), 864 (Contributory Aged Parent) und 884 (befristete Vorstufe zu 864). Die Visumsgebühr selbst wird in zwei Raten fällig: rund 4.040 AUD bei Antragstellung (Stand ab 1. Juli 2026), dann kurz vor der Erteilung eine erheblich größere zweite Rate von rund 43.600 AUD pro Hauptantragsteller – zusammen rund 47.600 AUD reine Behördengebühr pro Person. Separat davon kommt die </w:t>
      </w:r>
      <w:r>
        <w:rPr>
          <w:i/>
          <w:iCs/>
        </w:rPr>
        <w:t>Assurance of Support</w:t>
      </w:r>
      <w:r>
        <w:t xml:space="preserve"> hinzu (eine bei Services Australia für zehn Jahre hinterlegte, rückzahlbare Kaution, die meist das sponsernde Kind in Australien stellt und die sicherstellt, dass der Staat für die einwandernden Eltern nicht aufkommen muss): rund 10.000 AUD für die Hauptantragstellerin oder den Hauptantragsteller, plus 4.000 AUD je weiterer erwachsener Person. Bei einem Elternpaar kommen so an Behördengebühren und Kaution schnell auf über 100.000 AUD </w:t>
      </w:r>
      <w:r>
        <w:lastRenderedPageBreak/>
        <w:t>zusammen – eine Zahl, die in kaum einem Auswanderer-Ratgeber in dieser Hö</w:t>
      </w:r>
      <w:r>
        <w:t>he steht, die Rechnung aber entscheidend verändert. Dafür verkürzt sich die Wartezeit merklich: Home Affairs bearbeitete Anfang 2026 Anträge mit einem Warteschlangendatum bis Ende 2018 – wer heute einreicht, sollte also mit rund 12 bis 15 Jahren rechnen, nicht mit 33.</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22"/>
        <w:gridCol w:w="1273"/>
        <w:gridCol w:w="2485"/>
      </w:tblGrid>
      <w:tr w:rsidR="00C1548D" w14:paraId="70A4F039" w14:textId="77777777">
        <w:tblPrEx>
          <w:tblCellMar>
            <w:top w:w="0" w:type="dxa"/>
            <w:bottom w:w="0" w:type="dxa"/>
          </w:tblCellMar>
        </w:tblPrEx>
        <w:trPr>
          <w:cantSplit/>
          <w:tblHeader/>
        </w:trPr>
        <w:tc>
          <w:tcPr>
            <w:tcW w:w="272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036" w14:textId="77777777" w:rsidR="00C1548D" w:rsidRDefault="009B1B4B">
            <w:pPr>
              <w:spacing w:line="250" w:lineRule="auto"/>
            </w:pPr>
            <w:r>
              <w:rPr>
                <w:b/>
                <w:bCs/>
                <w:sz w:val="18"/>
                <w:szCs w:val="18"/>
              </w:rPr>
              <w:t>Merkmal</w:t>
            </w:r>
          </w:p>
        </w:tc>
        <w:tc>
          <w:tcPr>
            <w:tcW w:w="127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037" w14:textId="77777777" w:rsidR="00C1548D" w:rsidRDefault="009B1B4B">
            <w:pPr>
              <w:spacing w:line="250" w:lineRule="auto"/>
            </w:pPr>
            <w:r>
              <w:rPr>
                <w:b/>
                <w:bCs/>
                <w:sz w:val="18"/>
                <w:szCs w:val="18"/>
              </w:rPr>
              <w:t>Non-Contributory (103/804)</w:t>
            </w:r>
          </w:p>
        </w:tc>
        <w:tc>
          <w:tcPr>
            <w:tcW w:w="24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038" w14:textId="77777777" w:rsidR="00C1548D" w:rsidRDefault="009B1B4B">
            <w:pPr>
              <w:spacing w:line="250" w:lineRule="auto"/>
            </w:pPr>
            <w:r>
              <w:rPr>
                <w:b/>
                <w:bCs/>
                <w:sz w:val="18"/>
                <w:szCs w:val="18"/>
              </w:rPr>
              <w:t>Contributory (143/173/864)</w:t>
            </w:r>
          </w:p>
        </w:tc>
      </w:tr>
      <w:tr w:rsidR="00C1548D" w14:paraId="70A4F03D" w14:textId="77777777">
        <w:tblPrEx>
          <w:tblCellMar>
            <w:top w:w="0" w:type="dxa"/>
            <w:bottom w:w="0" w:type="dxa"/>
          </w:tblCellMar>
        </w:tblPrEx>
        <w:trPr>
          <w:cantSplit/>
        </w:trPr>
        <w:tc>
          <w:tcPr>
            <w:tcW w:w="27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3A" w14:textId="77777777" w:rsidR="00C1548D" w:rsidRDefault="009B1B4B">
            <w:pPr>
              <w:spacing w:line="250" w:lineRule="auto"/>
            </w:pPr>
            <w:r>
              <w:rPr>
                <w:sz w:val="18"/>
                <w:szCs w:val="18"/>
              </w:rPr>
              <w:t>Erstgebühr (1. Rate der Visumsgebühr)</w:t>
            </w:r>
          </w:p>
        </w:tc>
        <w:tc>
          <w:tcPr>
            <w:tcW w:w="12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3B" w14:textId="77777777" w:rsidR="00C1548D" w:rsidRDefault="009B1B4B">
            <w:pPr>
              <w:spacing w:line="250" w:lineRule="auto"/>
            </w:pPr>
            <w:r>
              <w:rPr>
                <w:sz w:val="18"/>
                <w:szCs w:val="18"/>
              </w:rPr>
              <w:t>rund 5.000–6.000 AUD</w:t>
            </w:r>
          </w:p>
        </w:tc>
        <w:tc>
          <w:tcPr>
            <w:tcW w:w="24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3C" w14:textId="77777777" w:rsidR="00C1548D" w:rsidRDefault="009B1B4B">
            <w:pPr>
              <w:spacing w:line="250" w:lineRule="auto"/>
            </w:pPr>
            <w:r>
              <w:rPr>
                <w:sz w:val="18"/>
                <w:szCs w:val="18"/>
              </w:rPr>
              <w:t>rund 4.040 AUD</w:t>
            </w:r>
          </w:p>
        </w:tc>
      </w:tr>
      <w:tr w:rsidR="00C1548D" w14:paraId="70A4F041" w14:textId="77777777">
        <w:tblPrEx>
          <w:tblCellMar>
            <w:top w:w="0" w:type="dxa"/>
            <w:bottom w:w="0" w:type="dxa"/>
          </w:tblCellMar>
        </w:tblPrEx>
        <w:trPr>
          <w:cantSplit/>
        </w:trPr>
        <w:tc>
          <w:tcPr>
            <w:tcW w:w="27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3E" w14:textId="77777777" w:rsidR="00C1548D" w:rsidRDefault="009B1B4B">
            <w:pPr>
              <w:spacing w:line="250" w:lineRule="auto"/>
            </w:pPr>
            <w:r>
              <w:rPr>
                <w:sz w:val="18"/>
                <w:szCs w:val="18"/>
              </w:rPr>
              <w:t>Zweite Rate der Visumsgebühr (vor Erteilung)</w:t>
            </w:r>
          </w:p>
        </w:tc>
        <w:tc>
          <w:tcPr>
            <w:tcW w:w="12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3F" w14:textId="77777777" w:rsidR="00C1548D" w:rsidRDefault="009B1B4B">
            <w:pPr>
              <w:spacing w:line="250" w:lineRule="auto"/>
            </w:pPr>
            <w:r>
              <w:rPr>
                <w:sz w:val="18"/>
                <w:szCs w:val="18"/>
              </w:rPr>
              <w:t>keine</w:t>
            </w:r>
          </w:p>
        </w:tc>
        <w:tc>
          <w:tcPr>
            <w:tcW w:w="24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40" w14:textId="77777777" w:rsidR="00C1548D" w:rsidRDefault="009B1B4B">
            <w:pPr>
              <w:spacing w:line="250" w:lineRule="auto"/>
            </w:pPr>
            <w:r>
              <w:rPr>
                <w:sz w:val="18"/>
                <w:szCs w:val="18"/>
              </w:rPr>
              <w:t>rund 43.600 AUD</w:t>
            </w:r>
          </w:p>
        </w:tc>
      </w:tr>
      <w:tr w:rsidR="00C1548D" w14:paraId="70A4F045" w14:textId="77777777">
        <w:tblPrEx>
          <w:tblCellMar>
            <w:top w:w="0" w:type="dxa"/>
            <w:bottom w:w="0" w:type="dxa"/>
          </w:tblCellMar>
        </w:tblPrEx>
        <w:trPr>
          <w:cantSplit/>
        </w:trPr>
        <w:tc>
          <w:tcPr>
            <w:tcW w:w="27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42" w14:textId="77777777" w:rsidR="00C1548D" w:rsidRDefault="009B1B4B">
            <w:pPr>
              <w:spacing w:line="250" w:lineRule="auto"/>
            </w:pPr>
            <w:r>
              <w:rPr>
                <w:sz w:val="18"/>
                <w:szCs w:val="18"/>
              </w:rPr>
              <w:t>Assurance of Support (separate, rückzahlbare Kaution)</w:t>
            </w:r>
          </w:p>
        </w:tc>
        <w:tc>
          <w:tcPr>
            <w:tcW w:w="12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43" w14:textId="77777777" w:rsidR="00C1548D" w:rsidRDefault="009B1B4B">
            <w:pPr>
              <w:spacing w:line="250" w:lineRule="auto"/>
            </w:pPr>
            <w:r>
              <w:rPr>
                <w:sz w:val="18"/>
                <w:szCs w:val="18"/>
              </w:rPr>
              <w:t>keine</w:t>
            </w:r>
          </w:p>
        </w:tc>
        <w:tc>
          <w:tcPr>
            <w:tcW w:w="24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44" w14:textId="77777777" w:rsidR="00C1548D" w:rsidRDefault="009B1B4B">
            <w:pPr>
              <w:spacing w:line="250" w:lineRule="auto"/>
            </w:pPr>
            <w:r>
              <w:rPr>
                <w:sz w:val="18"/>
                <w:szCs w:val="18"/>
              </w:rPr>
              <w:t>rund 10.000 AUD (+ 4.000 AUD je weiterer Erwachsener)</w:t>
            </w:r>
          </w:p>
        </w:tc>
      </w:tr>
      <w:tr w:rsidR="00C1548D" w14:paraId="70A4F049" w14:textId="77777777">
        <w:tblPrEx>
          <w:tblCellMar>
            <w:top w:w="0" w:type="dxa"/>
            <w:bottom w:w="0" w:type="dxa"/>
          </w:tblCellMar>
        </w:tblPrEx>
        <w:trPr>
          <w:cantSplit/>
        </w:trPr>
        <w:tc>
          <w:tcPr>
            <w:tcW w:w="27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46" w14:textId="77777777" w:rsidR="00C1548D" w:rsidRDefault="009B1B4B">
            <w:pPr>
              <w:spacing w:line="250" w:lineRule="auto"/>
            </w:pPr>
            <w:r>
              <w:rPr>
                <w:sz w:val="18"/>
                <w:szCs w:val="18"/>
              </w:rPr>
              <w:t>Gesamtkosten je Person, überschlägig</w:t>
            </w:r>
          </w:p>
        </w:tc>
        <w:tc>
          <w:tcPr>
            <w:tcW w:w="12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47" w14:textId="77777777" w:rsidR="00C1548D" w:rsidRDefault="009B1B4B">
            <w:pPr>
              <w:spacing w:line="250" w:lineRule="auto"/>
            </w:pPr>
            <w:r>
              <w:rPr>
                <w:sz w:val="18"/>
                <w:szCs w:val="18"/>
              </w:rPr>
              <w:t>rund 5.000–6.000 AUD</w:t>
            </w:r>
          </w:p>
        </w:tc>
        <w:tc>
          <w:tcPr>
            <w:tcW w:w="24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48" w14:textId="77777777" w:rsidR="00C1548D" w:rsidRDefault="009B1B4B">
            <w:pPr>
              <w:spacing w:line="250" w:lineRule="auto"/>
            </w:pPr>
            <w:r>
              <w:rPr>
                <w:sz w:val="18"/>
                <w:szCs w:val="18"/>
              </w:rPr>
              <w:t>rund 47.600 AUD Visagebühr zzgl. Kaution</w:t>
            </w:r>
          </w:p>
        </w:tc>
      </w:tr>
      <w:tr w:rsidR="00C1548D" w14:paraId="70A4F04D" w14:textId="77777777">
        <w:tblPrEx>
          <w:tblCellMar>
            <w:top w:w="0" w:type="dxa"/>
            <w:bottom w:w="0" w:type="dxa"/>
          </w:tblCellMar>
        </w:tblPrEx>
        <w:trPr>
          <w:cantSplit/>
        </w:trPr>
        <w:tc>
          <w:tcPr>
            <w:tcW w:w="27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4A" w14:textId="77777777" w:rsidR="00C1548D" w:rsidRDefault="009B1B4B">
            <w:pPr>
              <w:spacing w:line="250" w:lineRule="auto"/>
            </w:pPr>
            <w:r>
              <w:rPr>
                <w:sz w:val="18"/>
                <w:szCs w:val="18"/>
              </w:rPr>
              <w:t>Geschätzte Wartezeit</w:t>
            </w:r>
          </w:p>
        </w:tc>
        <w:tc>
          <w:tcPr>
            <w:tcW w:w="12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4B" w14:textId="77777777" w:rsidR="00C1548D" w:rsidRDefault="009B1B4B">
            <w:pPr>
              <w:spacing w:line="250" w:lineRule="auto"/>
            </w:pPr>
            <w:r>
              <w:rPr>
                <w:sz w:val="18"/>
                <w:szCs w:val="18"/>
              </w:rPr>
              <w:t>rund 33 Jahre</w:t>
            </w:r>
          </w:p>
        </w:tc>
        <w:tc>
          <w:tcPr>
            <w:tcW w:w="24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4C" w14:textId="77777777" w:rsidR="00C1548D" w:rsidRDefault="009B1B4B">
            <w:pPr>
              <w:spacing w:line="250" w:lineRule="auto"/>
            </w:pPr>
            <w:r>
              <w:rPr>
                <w:sz w:val="18"/>
                <w:szCs w:val="18"/>
              </w:rPr>
              <w:t>rund 12 bis 15 Jahre</w:t>
            </w:r>
          </w:p>
        </w:tc>
      </w:tr>
    </w:tbl>
    <w:p w14:paraId="70A4F04E"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5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04F" w14:textId="77777777" w:rsidR="00C1548D" w:rsidRDefault="009B1B4B">
            <w:pPr>
              <w:keepNext/>
              <w:spacing w:after="70" w:line="240" w:lineRule="auto"/>
            </w:pPr>
            <w:r>
              <w:rPr>
                <w:b/>
                <w:bCs/>
                <w:color w:val="9B2C2C"/>
                <w:spacing w:val="24"/>
                <w:sz w:val="16"/>
                <w:szCs w:val="16"/>
              </w:rPr>
              <w:t>ACHTUNG</w:t>
            </w:r>
          </w:p>
          <w:p w14:paraId="70A4F050" w14:textId="77777777" w:rsidR="00C1548D" w:rsidRDefault="009B1B4B">
            <w:pPr>
              <w:spacing w:after="80" w:line="264" w:lineRule="auto"/>
            </w:pPr>
            <w:r>
              <w:rPr>
                <w:sz w:val="20"/>
                <w:szCs w:val="20"/>
              </w:rPr>
              <w:t>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tc>
      </w:tr>
    </w:tbl>
    <w:p w14:paraId="70A4F052"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55"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053" w14:textId="77777777" w:rsidR="00C1548D" w:rsidRDefault="009B1B4B">
            <w:pPr>
              <w:keepNext/>
              <w:spacing w:after="70" w:line="240" w:lineRule="auto"/>
            </w:pPr>
            <w:r>
              <w:rPr>
                <w:b/>
                <w:bCs/>
                <w:color w:val="4A5568"/>
                <w:spacing w:val="24"/>
                <w:sz w:val="16"/>
                <w:szCs w:val="16"/>
              </w:rPr>
              <w:lastRenderedPageBreak/>
              <w:t>PRAXISBEISPIEL · FIKTIV</w:t>
            </w:r>
          </w:p>
          <w:p w14:paraId="70A4F054" w14:textId="77777777" w:rsidR="00C1548D" w:rsidRDefault="009B1B4B">
            <w:pPr>
              <w:spacing w:after="80" w:line="264" w:lineRule="auto"/>
            </w:pPr>
            <w:r>
              <w:rPr>
                <w:sz w:val="20"/>
                <w:szCs w:val="20"/>
              </w:rPr>
              <w:t>Familie Reinhardt (fiktiv) lebt seit ihrer Einwanderung über den Punktetest in Melbourne. Als Thomas’ Eltern in Köln über einen eigenen Umzug nachdenken, rechnen sie zum ersten Mal nach, was das bedeutet: Beim günstigeren Weg (103) stünde am Ende eine Wartezeit, die ihre eigene verbleibende Lebenserwartung deutlich übersteigt – eine Zahl, die beim ersten Lesen kaum jemand für echt hält, bis er sie an zwei, drei weiteren Quellen gegenprüft. Der teurere, schnellere Weg (143) käme sie zu zweit auf über 100.000</w:t>
            </w:r>
            <w:r>
              <w:rPr>
                <w:sz w:val="20"/>
                <w:szCs w:val="20"/>
              </w:rPr>
              <w:t xml:space="preserve"> AUD zu stehen (Visagebühren plus Kaution), dazu zwölf bis fünfzehn Jahre Wartezeit. Am Ende entscheiden sie sich für eine Zwischenlösung: mehrere längere Aufenthalte im Jahr mit dem befristeten Sponsored-Parent-Visum, kombiniert mit dem festen Plan, ihren Lebensmittelpunkt vorerst in Köln zu behalten.</w:t>
            </w:r>
          </w:p>
        </w:tc>
      </w:tr>
    </w:tbl>
    <w:p w14:paraId="70A4F056" w14:textId="77777777" w:rsidR="00C1548D" w:rsidRDefault="00C1548D">
      <w:pPr>
        <w:spacing w:line="220" w:lineRule="exact"/>
      </w:pPr>
    </w:p>
    <w:p w14:paraId="70A4F057" w14:textId="77777777" w:rsidR="00C1548D" w:rsidRDefault="009B1B4B">
      <w:pPr>
        <w:pStyle w:val="Heading4"/>
        <w:keepNext/>
        <w:jc w:val="center"/>
      </w:pPr>
      <w:r>
        <w:rPr>
          <w:rFonts w:ascii="Amazon Ember" w:eastAsia="Amazon Ember" w:hAnsi="Amazon Ember" w:cs="Amazon Ember"/>
          <w:color w:val="0000FF"/>
          <w:sz w:val="36"/>
          <w:szCs w:val="36"/>
        </w:rPr>
        <w:t>Reicht die deutsche Rente als Nachweis?</w:t>
      </w:r>
    </w:p>
    <w:p w14:paraId="70A4F058" w14:textId="77777777" w:rsidR="00C1548D" w:rsidRDefault="009B1B4B">
      <w:pPr>
        <w:spacing w:after="140"/>
      </w:pPr>
      <w:r>
        <w:t>Anders als beim Studienvisum oder bestimmten Wegen in anderen Zielländern ist für die Eltern-Visa-Kategorien kein einzelnes, fest beziffertes Renten-Mindesteinkommen der Antragstellerin oder des Antragstellers selbst dokumentiert. Entscheidend sind stattdessen die Visumsgebühren und, beim Contributory-Weg, der Assurance-of-Support-Beitrag. Diese Bürgschaft muss in aller Regel nicht die einwandernden Eltern selbst stellen, sondern eine zugelassene Bürgin oder ein zugelassener Bürge – meist das sponsernde Kin</w:t>
      </w:r>
      <w:r>
        <w:t>d vor Ort –, die oder der ausreichendes eigenes Einkommen nachweist. Die deutsche gesetzliche Rente der Eltern spielt damit für die Visumserteilung selbst eine untergeordnete Rolle; sie bleibt aber die entscheidende Größe für die tatsächliche Lebenshaltung danach, insbesondere solange keine reguläre Beschäftigung mehr infrage kommt. Die genauen Einkommensvoraussetzungen der Bürgin oder des Bürgen ändern sich gelegentlich und sollten direkt bei Home Affairs geprüft werden, bevor eine Familie sich auf einen b</w:t>
      </w:r>
      <w:r>
        <w:t>estimmten Weg festlegt.</w:t>
      </w:r>
    </w:p>
    <w:p w14:paraId="70A4F059" w14:textId="77777777" w:rsidR="00C1548D" w:rsidRDefault="009B1B4B">
      <w:pPr>
        <w:pStyle w:val="Heading4"/>
        <w:keepNext/>
        <w:jc w:val="center"/>
      </w:pPr>
      <w:r>
        <w:rPr>
          <w:rFonts w:ascii="Amazon Ember" w:eastAsia="Amazon Ember" w:hAnsi="Amazon Ember" w:cs="Amazon Ember"/>
          <w:color w:val="0000FF"/>
          <w:sz w:val="36"/>
          <w:szCs w:val="36"/>
        </w:rPr>
        <w:lastRenderedPageBreak/>
        <w:t>Die Zwischenlösung ohne Daueraufenthalt: Subclass 870</w:t>
      </w:r>
    </w:p>
    <w:p w14:paraId="70A4F05A" w14:textId="77777777" w:rsidR="00C1548D" w:rsidRDefault="009B1B4B">
      <w:pPr>
        <w:spacing w:after="140"/>
      </w:pPr>
      <w:r>
        <w:t>Wer weder 33 noch 12 bis 15 Jahre warten will oder kann, findet im Sponsored Parent (Temporary) Visa, Subclass 870, eine befristete Alternative – allerdings ausdrücklich ohne Weg zum Daueraufenthalt. Die Gültigkeit ist wählbar: drei Jahre für 6.370 AUD oder fünf Jahre für 12.440 AUD (Stand ab 1. Juli 2026), kumulativ über das gesamte Leben der Antragstellerin oder des Antragstellers höchstens zehn Jahre. Ein Balance-of-Family-Test ist hier nicht nötig – dafür fehlt eben jede Aussicht auf einen dauerhaften S</w:t>
      </w:r>
      <w:r>
        <w:t>tatus. Medicare-Zugang gibt es nicht, eine durchgehende private Krankenversicherung ist Pflicht (Bedingung 8501), und arbeiten darfst du mit diesem Visum nicht.</w:t>
      </w:r>
    </w:p>
    <w:p w14:paraId="70A4F05B" w14:textId="77777777" w:rsidR="00C1548D" w:rsidRDefault="009B1B4B">
      <w:pPr>
        <w:pStyle w:val="Heading4"/>
        <w:keepNext/>
        <w:jc w:val="center"/>
      </w:pPr>
      <w:r>
        <w:rPr>
          <w:rFonts w:ascii="Amazon Ember" w:eastAsia="Amazon Ember" w:hAnsi="Amazon Ember" w:cs="Amazon Ember"/>
          <w:color w:val="0000FF"/>
          <w:sz w:val="36"/>
          <w:szCs w:val="36"/>
        </w:rPr>
        <w:t>Krankenversicherung: der Posten, den viele unterschätzen</w:t>
      </w:r>
    </w:p>
    <w:p w14:paraId="70A4F05C" w14:textId="77777777" w:rsidR="00C1548D" w:rsidRDefault="009B1B4B">
      <w:pPr>
        <w:spacing w:after="140"/>
      </w:pPr>
      <w:r>
        <w:t xml:space="preserve">Ob während der jahrzehntelangen Parent-Visa-Wartezeit oder als Inhaberin eines Subclass 870 – ohne Daueraufenthaltstitel bleibt Medicare grundsätzlich verschlossen, und eine private </w:t>
      </w:r>
      <w:r>
        <w:rPr>
          <w:i/>
          <w:iCs/>
        </w:rPr>
        <w:t>Overseas Visitor Health Cover</w:t>
      </w:r>
      <w:r>
        <w:t xml:space="preserve"> (OVHC, die Kranken-Zusatzversicherung für Inhaber befristeter Visa) wird zur Pflicht. Für Einzelpersonen liegen die Kosten allgemein bei 82 bis 155 AUD im Monat, für Familienpolicen bei 230 bis 390 AUD. Wer über 60 ist, sollte realistisch mit einem Aufschlag von 30 bis 50 % gegenüber jüngeren Altersgruppen rechnen – ein realistisches Budget liegt eher bei 200 bis 300 AUD im Monat pro Person. Erst mit einem dauerhaften Eltern-Visum (103, 143 und die verwandten Kategorien) besteht regulärer Medicare-Zugang w</w:t>
      </w:r>
      <w:r>
        <w:t>ie für jeden anderen Daueraufenthaltsberechtigten.</w:t>
      </w:r>
    </w:p>
    <w:p w14:paraId="70A4F05D" w14:textId="77777777" w:rsidR="00C1548D" w:rsidRDefault="009B1B4B">
      <w:pPr>
        <w:pStyle w:val="Heading4"/>
        <w:keepNext/>
        <w:jc w:val="center"/>
      </w:pPr>
      <w:r>
        <w:rPr>
          <w:rFonts w:ascii="Amazon Ember" w:eastAsia="Amazon Ember" w:hAnsi="Amazon Ember" w:cs="Amazon Ember"/>
          <w:color w:val="0000FF"/>
          <w:sz w:val="36"/>
          <w:szCs w:val="36"/>
        </w:rPr>
        <w:lastRenderedPageBreak/>
        <w:t>Steuern auf die deutsche Rente in Australien</w:t>
      </w:r>
    </w:p>
    <w:p w14:paraId="70A4F05E" w14:textId="77777777" w:rsidR="00C1548D" w:rsidRDefault="009B1B4B">
      <w:pPr>
        <w:spacing w:after="140"/>
      </w:pPr>
      <w:r>
        <w:t>Wer als australischer Steueransässiger lebt, muss die deutsche gesetzliche Rente als Teil des Welteinkommens in Australien angeben; im Doppelbesteuerungsabkommen zwischen Australien und Deutschland (neu verhandelt, unterzeichnet 2015) ist geregelt, dass eine in Deutschland bereits gezahlte Steuer auf die australische Steuerschuld angerechnet wird. Die genaue Aufteilung des Besteuerungsrechts zwischen gesetzlichen und privaten beziehungsweise betrieblichen Renten ist im Detail komplex und in der Praxis nicht</w:t>
      </w:r>
      <w:r>
        <w:t xml:space="preserve"> immer eindeutig – wer tatsächlich mit Ruhestandsplänen nach Australien geht, sollte diesen Punkt frühzeitig mit einer auf internationales Steuerrecht spezialisierten Beratung klären, nicht erst nach der Ankunft.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61"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05F" w14:textId="77777777" w:rsidR="00C1548D" w:rsidRDefault="009B1B4B">
            <w:pPr>
              <w:keepNext/>
              <w:spacing w:after="70" w:line="240" w:lineRule="auto"/>
            </w:pPr>
            <w:r>
              <w:rPr>
                <w:b/>
                <w:bCs/>
                <w:color w:val="6B7280"/>
                <w:spacing w:val="24"/>
                <w:sz w:val="16"/>
                <w:szCs w:val="16"/>
              </w:rPr>
              <w:t>KEIN RECHTSRAT</w:t>
            </w:r>
          </w:p>
          <w:p w14:paraId="70A4F060" w14:textId="77777777" w:rsidR="00C1548D" w:rsidRDefault="009B1B4B">
            <w:pPr>
              <w:spacing w:after="80" w:line="264" w:lineRule="auto"/>
            </w:pPr>
            <w:r>
              <w:rPr>
                <w:sz w:val="20"/>
                <w:szCs w:val="20"/>
              </w:rPr>
              <w:t>Dieses Kapitel erklärt Regeln und Praxis zu Familiennachzug, Investoren- und Ruhestandswegen, ersetzt aber keine Beratung durch eine registrierte Migrationsagentin, einen Migrationsagenten oder eine auf australisches Einwanderungs- und Steuerrecht spezialisierte Fachperson.</w:t>
            </w:r>
          </w:p>
        </w:tc>
      </w:tr>
    </w:tbl>
    <w:p w14:paraId="70A4F062" w14:textId="77777777" w:rsidR="00C1548D" w:rsidRDefault="00C1548D">
      <w:pPr>
        <w:spacing w:line="220" w:lineRule="exact"/>
      </w:pPr>
    </w:p>
    <w:p w14:paraId="70A4F063" w14:textId="77777777" w:rsidR="00C1548D" w:rsidRDefault="009B1B4B">
      <w:pPr>
        <w:pStyle w:val="Heading4"/>
        <w:keepNext/>
        <w:jc w:val="center"/>
      </w:pPr>
      <w:r>
        <w:rPr>
          <w:rFonts w:ascii="Amazon Ember" w:eastAsia="Amazon Ember" w:hAnsi="Amazon Ember" w:cs="Amazon Ember"/>
          <w:color w:val="0000FF"/>
          <w:sz w:val="36"/>
          <w:szCs w:val="36"/>
        </w:rPr>
        <w:t>Wer sollte diesen Weg überhaupt in Betracht ziehen?</w:t>
      </w:r>
    </w:p>
    <w:p w14:paraId="70A4F064" w14:textId="77777777" w:rsidR="00C1548D" w:rsidRDefault="009B1B4B">
      <w:pPr>
        <w:spacing w:after="140"/>
      </w:pPr>
      <w:r>
        <w:t xml:space="preserve">Bei 33 Jahren Wartezeit auf der einen und 50.000 AUD pro Person auf der anderen Seite lohnt sich vor jeder Antragstellung eine ehrliche Alternativrechnung: Reicht nicht auch eine Folge längerer Besuche mit einem regulären Besuchervisum oder dem befristeten Subclass 870, kombiniert mit Videotelefonie und ein bis zwei größeren Reisen im Jahr? Für Familien, die in erster Linie Nähe und regelmäßigen Kontakt suchen, ist das oft die realistischere und deutlich günstigere Lösung als ein Verfahren, das die eigene </w:t>
      </w:r>
      <w:r>
        <w:lastRenderedPageBreak/>
        <w:t>statistische Lebenserwartung übersteigen kann. Für Familien, die wirklich einen dauerhaften gemeinsamen Wohnsitz anstreben – etwa, weil Pflegebedürftigkeit absehbar wird –, führt an einer der beiden Parent-Visa-Schienen dagegen kein Weg vorbei, so unbequem die Zahlen auch sind.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67"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065" w14:textId="77777777" w:rsidR="00C1548D" w:rsidRDefault="009B1B4B">
            <w:pPr>
              <w:keepNext/>
              <w:spacing w:after="70" w:line="240" w:lineRule="auto"/>
            </w:pPr>
            <w:r>
              <w:rPr>
                <w:b/>
                <w:bCs/>
                <w:color w:val="8A6212"/>
                <w:spacing w:val="24"/>
                <w:sz w:val="16"/>
                <w:szCs w:val="16"/>
              </w:rPr>
              <w:t>MERKE</w:t>
            </w:r>
          </w:p>
          <w:p w14:paraId="70A4F066" w14:textId="77777777" w:rsidR="00C1548D" w:rsidRDefault="009B1B4B">
            <w:pPr>
              <w:spacing w:after="80" w:line="264" w:lineRule="auto"/>
            </w:pPr>
            <w:r>
              <w:rPr>
                <w:sz w:val="20"/>
                <w:szCs w:val="20"/>
              </w:rPr>
              <w:t>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tc>
      </w:tr>
    </w:tbl>
    <w:p w14:paraId="70A4F068" w14:textId="77777777" w:rsidR="00C1548D" w:rsidRDefault="00C1548D">
      <w:pPr>
        <w:spacing w:line="220" w:lineRule="exact"/>
      </w:pPr>
    </w:p>
    <w:p w14:paraId="70A4F069" w14:textId="77777777" w:rsidR="00C1548D" w:rsidRDefault="009B1B4B">
      <w:pPr>
        <w:pStyle w:val="Heading3"/>
        <w:keepNext/>
        <w:jc w:val="center"/>
      </w:pPr>
      <w:r>
        <w:rPr>
          <w:rFonts w:ascii="Amazon Ember" w:eastAsia="Amazon Ember" w:hAnsi="Amazon Ember" w:cs="Amazon Ember"/>
          <w:color w:val="0000FF"/>
          <w:sz w:val="36"/>
          <w:szCs w:val="36"/>
        </w:rPr>
        <w:t>Typische Fehler</w:t>
      </w:r>
    </w:p>
    <w:p w14:paraId="70A4F06A" w14:textId="77777777" w:rsidR="00C1548D" w:rsidRDefault="009B1B4B">
      <w:pPr>
        <w:spacing w:after="140"/>
      </w:pPr>
      <w:r>
        <w:t>Bei Familien-, Investoren- und Ruhestandswegen wiederholen sich erfahrungsgemäß dieselben Fehleinschätzungen:</w:t>
      </w:r>
    </w:p>
    <w:p w14:paraId="70A4F06B" w14:textId="77777777" w:rsidR="00C1548D" w:rsidRDefault="009B1B4B" w:rsidP="009B1B4B">
      <w:pPr>
        <w:pStyle w:val="ListParagraph"/>
        <w:numPr>
          <w:ilvl w:val="0"/>
          <w:numId w:val="1"/>
        </w:numPr>
        <w:spacing w:after="60"/>
      </w:pPr>
      <w:r>
        <w:t>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14:paraId="70A4F06C" w14:textId="77777777" w:rsidR="00C1548D" w:rsidRDefault="009B1B4B" w:rsidP="009B1B4B">
      <w:pPr>
        <w:pStyle w:val="ListParagraph"/>
        <w:numPr>
          <w:ilvl w:val="0"/>
          <w:numId w:val="1"/>
        </w:numPr>
        <w:spacing w:after="60"/>
      </w:pPr>
      <w:r>
        <w:t>Die 33 Jahre Wartezeit beim Non-Contributory-Weg werden als Verhandlungsspielraum missverstanden. Es handelt sich um eine behördliche Schätzung auf Basis der realen Bearbeitungsgeschwindigkeit, nicht um eine Verhandlungsposition.</w:t>
      </w:r>
    </w:p>
    <w:p w14:paraId="70A4F06D" w14:textId="77777777" w:rsidR="00C1548D" w:rsidRDefault="009B1B4B" w:rsidP="009B1B4B">
      <w:pPr>
        <w:pStyle w:val="ListParagraph"/>
        <w:numPr>
          <w:ilvl w:val="0"/>
          <w:numId w:val="1"/>
        </w:numPr>
        <w:spacing w:after="60"/>
      </w:pPr>
      <w:r>
        <w:t>Investorenwege werden anhand veralteter Ratgeber oder Foren-Beiträge geplant, die noch das seit 2024 geschlossene Subclass-188-Visum beschreiben.</w:t>
      </w:r>
    </w:p>
    <w:p w14:paraId="70A4F06E" w14:textId="77777777" w:rsidR="00C1548D" w:rsidRDefault="009B1B4B" w:rsidP="009B1B4B">
      <w:pPr>
        <w:pStyle w:val="ListParagraph"/>
        <w:numPr>
          <w:ilvl w:val="0"/>
          <w:numId w:val="1"/>
        </w:numPr>
        <w:spacing w:after="60"/>
      </w:pPr>
      <w:r>
        <w:t xml:space="preserve">Die Kosten eines Contributory-Eltern-Visums werden nur als einmalige Gebühr wahrgenommen, ohne die separate Assurance </w:t>
      </w:r>
      <w:r>
        <w:lastRenderedPageBreak/>
        <w:t>of Support einzurechnen – am Ende steht dann eine böse Überraschung von mehreren Zehntausend AUD.</w:t>
      </w:r>
    </w:p>
    <w:p w14:paraId="70A4F06F" w14:textId="77777777" w:rsidR="00C1548D" w:rsidRDefault="009B1B4B" w:rsidP="009B1B4B">
      <w:pPr>
        <w:pStyle w:val="ListParagraph"/>
        <w:numPr>
          <w:ilvl w:val="0"/>
          <w:numId w:val="1"/>
        </w:numPr>
        <w:spacing w:after="60"/>
      </w:pPr>
      <w:r>
        <w:t>Subclass 870 wird mit einem Daueraufenthaltsvisum verwechselt, obwohl es ausdrücklich keinen solchen Übergang vorsieht.</w:t>
      </w:r>
    </w:p>
    <w:p w14:paraId="70A4F070" w14:textId="77777777" w:rsidR="00C1548D" w:rsidRDefault="009B1B4B" w:rsidP="009B1B4B">
      <w:pPr>
        <w:pStyle w:val="ListParagraph"/>
        <w:numPr>
          <w:ilvl w:val="0"/>
          <w:numId w:val="1"/>
        </w:numPr>
        <w:spacing w:after="60"/>
      </w:pPr>
      <w:r>
        <w:t>Die private Krankenversicherungspflicht während der gesamten Wartezeit wird bei der Budgetplanung vergessen, obwohl sie sich über Jahre oder Jahrzehnte zu einem erheblichen Posten summiert.</w:t>
      </w:r>
    </w:p>
    <w:p w14:paraId="70A4F071" w14:textId="77777777" w:rsidR="00C1548D" w:rsidRDefault="00C1548D">
      <w:pPr>
        <w:spacing w:line="120" w:lineRule="exact"/>
      </w:pPr>
    </w:p>
    <w:p w14:paraId="70A4F072"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075"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073"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074" w14:textId="77777777" w:rsidR="00C1548D" w:rsidRDefault="009B1B4B">
            <w:pPr>
              <w:spacing w:line="250" w:lineRule="auto"/>
            </w:pPr>
            <w:r>
              <w:rPr>
                <w:b/>
                <w:bCs/>
                <w:sz w:val="18"/>
                <w:szCs w:val="18"/>
              </w:rPr>
              <w:t>Minus</w:t>
            </w:r>
          </w:p>
        </w:tc>
      </w:tr>
      <w:tr w:rsidR="00C1548D" w14:paraId="70A4F07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76" w14:textId="77777777" w:rsidR="00C1548D" w:rsidRDefault="009B1B4B">
            <w:pPr>
              <w:spacing w:line="250" w:lineRule="auto"/>
            </w:pPr>
            <w:r>
              <w:rPr>
                <w:sz w:val="18"/>
                <w:szCs w:val="18"/>
              </w:rPr>
              <w:t>Partnervisum ist ein klarer, gut dokumentierter Weg zur Daueraufenthaltserlaubnis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77" w14:textId="77777777" w:rsidR="00C1548D" w:rsidRDefault="009B1B4B">
            <w:pPr>
              <w:spacing w:line="250" w:lineRule="auto"/>
            </w:pPr>
            <w:r>
              <w:rPr>
                <w:sz w:val="18"/>
                <w:szCs w:val="18"/>
              </w:rPr>
              <w:t>Partnervisum dauert dennoch häufig zwei Jahre oder mehr bis zur permanenten Stufe</w:t>
            </w:r>
          </w:p>
        </w:tc>
      </w:tr>
      <w:tr w:rsidR="00C1548D" w14:paraId="70A4F07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79" w14:textId="77777777" w:rsidR="00C1548D" w:rsidRDefault="009B1B4B">
            <w:pPr>
              <w:spacing w:line="250" w:lineRule="auto"/>
            </w:pPr>
            <w:r>
              <w:rPr>
                <w:sz w:val="18"/>
                <w:szCs w:val="18"/>
              </w:rPr>
              <w:t>Contributory-Eltern-Visum verkürzt die Wartezeit erheblich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7A" w14:textId="77777777" w:rsidR="00C1548D" w:rsidRDefault="009B1B4B">
            <w:pPr>
              <w:spacing w:line="250" w:lineRule="auto"/>
            </w:pPr>
            <w:r>
              <w:rPr>
                <w:sz w:val="18"/>
                <w:szCs w:val="18"/>
              </w:rPr>
              <w:t>Rund 48.000 AUD Visagebühr pro Person plus Kaution sind für viele Familien schlicht nicht aufbringbar</w:t>
            </w:r>
          </w:p>
        </w:tc>
      </w:tr>
      <w:tr w:rsidR="00C1548D" w14:paraId="70A4F07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7C" w14:textId="77777777" w:rsidR="00C1548D" w:rsidRDefault="009B1B4B">
            <w:pPr>
              <w:spacing w:line="250" w:lineRule="auto"/>
            </w:pPr>
            <w:r>
              <w:rPr>
                <w:sz w:val="18"/>
                <w:szCs w:val="18"/>
              </w:rPr>
              <w:t>Subclass 870 ermöglicht lange Besuche ohne Jahrzehnte Wartezeit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7D" w14:textId="77777777" w:rsidR="00C1548D" w:rsidRDefault="009B1B4B">
            <w:pPr>
              <w:spacing w:line="250" w:lineRule="auto"/>
            </w:pPr>
            <w:r>
              <w:rPr>
                <w:sz w:val="18"/>
                <w:szCs w:val="18"/>
              </w:rPr>
              <w:t>Subclass 870 führt zu keinem Daueraufenthaltstitel</w:t>
            </w:r>
          </w:p>
        </w:tc>
      </w:tr>
      <w:tr w:rsidR="00C1548D" w14:paraId="70A4F08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7F" w14:textId="77777777" w:rsidR="00C1548D" w:rsidRDefault="009B1B4B">
            <w:pPr>
              <w:spacing w:line="250" w:lineRule="auto"/>
            </w:pPr>
            <w:r>
              <w:rPr>
                <w:sz w:val="18"/>
                <w:szCs w:val="18"/>
              </w:rPr>
              <w:t>Balance-of-Family-Test ist klar definiert, keine willkürliche Einzelfallprüfung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80" w14:textId="77777777" w:rsidR="00C1548D" w:rsidRDefault="009B1B4B">
            <w:pPr>
              <w:spacing w:line="250" w:lineRule="auto"/>
            </w:pPr>
            <w:r>
              <w:rPr>
                <w:sz w:val="18"/>
                <w:szCs w:val="18"/>
              </w:rPr>
              <w:t>Balance-of-Family-Test kennt keine Ausnahme für Pflegebedürftigkeit oder Härtefälle</w:t>
            </w:r>
          </w:p>
        </w:tc>
      </w:tr>
      <w:tr w:rsidR="00C1548D" w14:paraId="70A4F08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82" w14:textId="77777777" w:rsidR="00C1548D" w:rsidRDefault="009B1B4B">
            <w:pPr>
              <w:spacing w:line="250" w:lineRule="auto"/>
            </w:pPr>
            <w:r>
              <w:rPr>
                <w:sz w:val="18"/>
                <w:szCs w:val="18"/>
              </w:rPr>
              <w:t>Nach Erhalt eines Daueraufenthaltstitels voller Medicare-Zugang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83" w14:textId="77777777" w:rsidR="00C1548D" w:rsidRDefault="009B1B4B">
            <w:pPr>
              <w:spacing w:line="250" w:lineRule="auto"/>
            </w:pPr>
            <w:r>
              <w:rPr>
                <w:sz w:val="18"/>
                <w:szCs w:val="18"/>
              </w:rPr>
              <w:t>Bis dahin ist private Krankenversicherung über Jahre Pflicht</w:t>
            </w:r>
          </w:p>
        </w:tc>
      </w:tr>
      <w:tr w:rsidR="00C1548D" w14:paraId="70A4F08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85" w14:textId="77777777" w:rsidR="00C1548D" w:rsidRDefault="009B1B4B">
            <w:pPr>
              <w:spacing w:line="250" w:lineRule="auto"/>
            </w:pPr>
            <w:r>
              <w:rPr>
                <w:sz w:val="18"/>
                <w:szCs w:val="18"/>
              </w:rPr>
              <w:t>Sponsored-Parent-Visum erfordert keinen Balance-of-Family-Test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86" w14:textId="77777777" w:rsidR="00C1548D" w:rsidRDefault="009B1B4B">
            <w:pPr>
              <w:spacing w:line="250" w:lineRule="auto"/>
            </w:pPr>
            <w:r>
              <w:rPr>
                <w:sz w:val="18"/>
                <w:szCs w:val="18"/>
              </w:rPr>
              <w:t>Kein Investorenweg mehr für passive Anleger ohne Kind vor Ort</w:t>
            </w:r>
          </w:p>
        </w:tc>
      </w:tr>
    </w:tbl>
    <w:p w14:paraId="70A4F088" w14:textId="77777777" w:rsidR="00C1548D" w:rsidRDefault="00C1548D">
      <w:pPr>
        <w:spacing w:line="180" w:lineRule="exact"/>
      </w:pPr>
    </w:p>
    <w:p w14:paraId="70A4F089"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08A" w14:textId="77777777" w:rsidR="00C1548D" w:rsidRDefault="009B1B4B">
      <w:pPr>
        <w:spacing w:after="140"/>
      </w:pPr>
      <w:r>
        <w:t xml:space="preserve">Wer über Familiennachzug, Investition oder Ruhestand nach Australien will, sollte zuerst prüfen, welche der drei Türen überhaupt offensteht: eine belastbare Partnerschaft mit einer in Australien lebenden Person, ein tatsächlich innovatives </w:t>
      </w:r>
      <w:r>
        <w:lastRenderedPageBreak/>
        <w:t>Geschäftsvorhaben – oder ein erwachsenes Kind mit Aufenthaltstitel vor Ort, das den Balance-of-Family-Test besteht. Erst danach lohnt sich die Detailrechnung zu Kosten und Wartezeit, am besten zusammen mit einer registrierten Migrationsberatung und, bei Ruhestandsplänen, einer Steuerberatung mit Erfahrung im deutsch-australischen Verhältnis.</w:t>
      </w:r>
    </w:p>
    <w:p w14:paraId="70A4F08B" w14:textId="153F2DBF" w:rsidR="00C1548D" w:rsidRDefault="009B1B4B">
      <w:pPr>
        <w:spacing w:after="140"/>
      </w:pPr>
      <w:r>
        <w:t xml:space="preserve">Für Ruheständler ohne eigenen Berufsweg lohnt sich außerdem ein Blick auf das </w:t>
      </w:r>
      <w:hyperlink w:anchor="tau03" w:history="1">
        <w:r>
          <w:rPr>
            <w:color w:val="0563C1"/>
            <w:u w:val="single"/>
          </w:rPr>
          <w:t>vorherige Kapitel dieses Teils</w:t>
        </w:r>
      </w:hyperlink>
      <w:r>
        <w:t>: Wer noch unter 45 ist oder einen gefragten Beruf hat, findet über den Punktetest oder das Arbeitgeber-Sponsoring möglicherweise einen schnelleren, planbareren Weg als über die Eltern-Visa-Kategorien – auch wenn das bedeutet, den Ruhestand selbst erst später anzutreten. Und wer sich für keinen der Wege in diesem Kapitel entscheiden kann oder will, sollte die Kombination aus regelmäßigen, längeren Besuchen und einem festen Lebensmittelpunkt in Deutschland nicht vorschnell als zweitbeste Lösung abtun – für v</w:t>
      </w:r>
      <w:r>
        <w:t>iele Familien ist sie am Ende die tragfähigere.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95"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08C" w14:textId="77777777" w:rsidR="00C1548D" w:rsidRDefault="009B1B4B">
            <w:pPr>
              <w:keepNext/>
              <w:spacing w:after="70" w:line="240" w:lineRule="auto"/>
            </w:pPr>
            <w:r>
              <w:rPr>
                <w:b/>
                <w:bCs/>
                <w:color w:val="1F6F78"/>
                <w:spacing w:val="24"/>
                <w:sz w:val="16"/>
                <w:szCs w:val="16"/>
              </w:rPr>
              <w:lastRenderedPageBreak/>
              <w:t>CHECKLISTE</w:t>
            </w:r>
          </w:p>
          <w:p w14:paraId="70A4F08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eine bestehende Partnerschaft die Voraussetzungen für ein Partnervisum erfüllt, und Dokumentation der Beziehung frühzeitig begonnen</w:t>
            </w:r>
          </w:p>
          <w:p w14:paraId="70A4F08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Geklärt, ob ein Kind mit australischer Staatsbürgerschaft oder Daueraufenthaltstitel vor Ort lebt und der Balance-of-Family-Test bestanden würde</w:t>
            </w:r>
          </w:p>
          <w:p w14:paraId="70A4F08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Non-Contributory- und Contributory-Weg beim Eltern-Visum mit den eigenen Finanzen und der eigenen Lebenserwartung realistisch gegengerechnet</w:t>
            </w:r>
          </w:p>
          <w:p w14:paraId="70A4F09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Subclass 870 als befristete Zwischenlösung geprüft, falls ein Daueraufenthalt nicht angestrebt wird</w:t>
            </w:r>
          </w:p>
          <w:p w14:paraId="70A4F09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Kosten für private Krankenversicherung (OVHC) für die gesamte Wartezeit eingeplant, nicht nur für das erste Jahr</w:t>
            </w:r>
          </w:p>
          <w:p w14:paraId="70A4F09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Steuerliche Behandlung der deutschen Rente in Australien mit einer spezialisierten Beratung geklärt</w:t>
            </w:r>
          </w:p>
          <w:p w14:paraId="70A4F09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Investorenwege realistisch eingeordnet: Subclass 188 ist geschlossen, Subclass 858 nur für echte Innovationsvorhaben</w:t>
            </w:r>
          </w:p>
          <w:p w14:paraId="70A4F09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Aktuelle Gebühren, Wartezeiten und Einkommensschwellen direkt bei Home Affairs gegengeprüft</w:t>
            </w:r>
          </w:p>
        </w:tc>
      </w:tr>
    </w:tbl>
    <w:p w14:paraId="70A4F096" w14:textId="77777777" w:rsidR="00C1548D" w:rsidRDefault="00C1548D">
      <w:pPr>
        <w:spacing w:line="220" w:lineRule="exact"/>
      </w:pPr>
    </w:p>
    <w:p w14:paraId="70A4F097"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098" w14:textId="01FC25C7" w:rsidR="00C1548D" w:rsidRDefault="009B1B4B" w:rsidP="009B1B4B">
      <w:pPr>
        <w:pStyle w:val="ListParagraph"/>
        <w:numPr>
          <w:ilvl w:val="0"/>
          <w:numId w:val="1"/>
        </w:numPr>
        <w:spacing w:after="60"/>
      </w:pPr>
      <w:r>
        <w:t>Department of Home Affairs — Partnervisa, Subclass 820/801 und 309/100 (</w:t>
      </w:r>
      <w:hyperlink r:id="rId392" w:history="1">
        <w:r>
          <w:rPr>
            <w:color w:val="0563C1"/>
            <w:u w:val="single"/>
          </w:rPr>
          <w:t>immi.homeaffairs.gov.au</w:t>
        </w:r>
      </w:hyperlink>
      <w:r>
        <w:t>, Suche: partner-visa)</w:t>
      </w:r>
    </w:p>
    <w:p w14:paraId="70A4F099" w14:textId="1CB87D51" w:rsidR="00C1548D" w:rsidRDefault="009B1B4B" w:rsidP="009B1B4B">
      <w:pPr>
        <w:pStyle w:val="ListParagraph"/>
        <w:numPr>
          <w:ilvl w:val="0"/>
          <w:numId w:val="1"/>
        </w:numPr>
        <w:spacing w:after="60"/>
      </w:pPr>
      <w:r>
        <w:t>Department of Home Affairs — Parent-Visa-Kategorien und Balance-of-Family-Test (</w:t>
      </w:r>
      <w:hyperlink r:id="rId393" w:history="1">
        <w:r>
          <w:rPr>
            <w:color w:val="0563C1"/>
            <w:u w:val="single"/>
          </w:rPr>
          <w:t>immi.homeaffairs.gov.au</w:t>
        </w:r>
      </w:hyperlink>
      <w:r>
        <w:t>, Suche: parent-visa, balance-of-family-test)</w:t>
      </w:r>
    </w:p>
    <w:p w14:paraId="70A4F09A" w14:textId="2B386342" w:rsidR="00C1548D" w:rsidRDefault="009B1B4B" w:rsidP="009B1B4B">
      <w:pPr>
        <w:pStyle w:val="ListParagraph"/>
        <w:numPr>
          <w:ilvl w:val="0"/>
          <w:numId w:val="1"/>
        </w:numPr>
        <w:spacing w:after="60"/>
      </w:pPr>
      <w:r>
        <w:t>Department of Home Affairs — Sponsored Parent (Temporary) Visa, Subclass 870 (</w:t>
      </w:r>
      <w:hyperlink r:id="rId394" w:history="1">
        <w:r>
          <w:rPr>
            <w:color w:val="0563C1"/>
            <w:u w:val="single"/>
          </w:rPr>
          <w:t>immi.homeaffairs.gov.au</w:t>
        </w:r>
      </w:hyperlink>
      <w:r>
        <w:t>, Suche: sponsored-parent-870)</w:t>
      </w:r>
    </w:p>
    <w:p w14:paraId="70A4F09B" w14:textId="3DF69D53" w:rsidR="00C1548D" w:rsidRDefault="009B1B4B" w:rsidP="009B1B4B">
      <w:pPr>
        <w:pStyle w:val="ListParagraph"/>
        <w:numPr>
          <w:ilvl w:val="0"/>
          <w:numId w:val="1"/>
        </w:numPr>
        <w:spacing w:after="60"/>
      </w:pPr>
      <w:r>
        <w:t>Department of Home Affairs — National Innovation Visa, Subclass 858 (</w:t>
      </w:r>
      <w:hyperlink r:id="rId395" w:history="1">
        <w:r>
          <w:rPr>
            <w:color w:val="0563C1"/>
            <w:u w:val="single"/>
          </w:rPr>
          <w:t>immi.homeaffairs.gov.au</w:t>
        </w:r>
      </w:hyperlink>
      <w:r>
        <w:t>, Suche: national-innovation-visa-858)</w:t>
      </w:r>
    </w:p>
    <w:p w14:paraId="70A4F09C" w14:textId="0FF6699F" w:rsidR="00C1548D" w:rsidRDefault="009B1B4B" w:rsidP="009B1B4B">
      <w:pPr>
        <w:pStyle w:val="ListParagraph"/>
        <w:numPr>
          <w:ilvl w:val="0"/>
          <w:numId w:val="1"/>
        </w:numPr>
        <w:spacing w:after="60"/>
      </w:pPr>
      <w:r>
        <w:lastRenderedPageBreak/>
        <w:t>Department of Home Affairs — Visa-Bearbeitungszeiten und -prioritäten (</w:t>
      </w:r>
      <w:hyperlink r:id="rId396" w:history="1">
        <w:r>
          <w:rPr>
            <w:color w:val="0563C1"/>
            <w:u w:val="single"/>
          </w:rPr>
          <w:t>immi.homeaffairs.gov.au/visas/getting-a-visa/visa-processing-times</w:t>
        </w:r>
      </w:hyperlink>
      <w:r>
        <w:t>)</w:t>
      </w:r>
    </w:p>
    <w:p w14:paraId="70A4F09D" w14:textId="2EB2EE36" w:rsidR="00C1548D" w:rsidRDefault="009B1B4B" w:rsidP="009B1B4B">
      <w:pPr>
        <w:pStyle w:val="ListParagraph"/>
        <w:numPr>
          <w:ilvl w:val="0"/>
          <w:numId w:val="1"/>
        </w:numPr>
        <w:spacing w:after="60"/>
      </w:pPr>
      <w:r>
        <w:t>Australian Taxation Office — Doppelbesteuerungsabkommen Australien–Deutschland (</w:t>
      </w:r>
      <w:hyperlink r:id="rId397" w:history="1">
        <w:r>
          <w:rPr>
            <w:color w:val="0563C1"/>
            <w:u w:val="single"/>
          </w:rPr>
          <w:t>ato.gov.au</w:t>
        </w:r>
      </w:hyperlink>
      <w:r>
        <w:t>)</w:t>
      </w:r>
    </w:p>
    <w:p w14:paraId="70A4F09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A1"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09F" w14:textId="77777777" w:rsidR="00C1548D" w:rsidRDefault="009B1B4B">
            <w:pPr>
              <w:keepNext/>
              <w:spacing w:after="70" w:line="240" w:lineRule="auto"/>
            </w:pPr>
            <w:r>
              <w:rPr>
                <w:b/>
                <w:bCs/>
                <w:color w:val="6B7280"/>
                <w:spacing w:val="24"/>
                <w:sz w:val="16"/>
                <w:szCs w:val="16"/>
              </w:rPr>
              <w:t>STAND</w:t>
            </w:r>
          </w:p>
          <w:p w14:paraId="70A4F0A0" w14:textId="77777777" w:rsidR="00C1548D" w:rsidRDefault="009B1B4B">
            <w:pPr>
              <w:spacing w:after="80" w:line="264" w:lineRule="auto"/>
            </w:pPr>
            <w:r>
              <w:rPr>
                <w:sz w:val="20"/>
                <w:szCs w:val="20"/>
              </w:rPr>
              <w:t>23.09.2026. Diese Angaben ändern sich schnell: Wartezeiten und Warteschlangendaten bei Eltern-Visa,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immi.homeaffairs.gov.au.</w:t>
            </w:r>
          </w:p>
        </w:tc>
      </w:tr>
    </w:tbl>
    <w:p w14:paraId="70A4F0A2" w14:textId="77777777" w:rsidR="00C1548D" w:rsidRDefault="00C1548D">
      <w:pPr>
        <w:spacing w:line="220" w:lineRule="exact"/>
      </w:pPr>
    </w:p>
    <w:p w14:paraId="70A4F0A3" w14:textId="77777777" w:rsidR="00C1548D" w:rsidRDefault="009B1B4B">
      <w:pPr>
        <w:pStyle w:val="Heading2"/>
        <w:keepNext/>
        <w:pageBreakBefore/>
        <w:jc w:val="center"/>
      </w:pPr>
      <w:bookmarkStart w:id="110" w:name="tau05"/>
      <w:bookmarkStart w:id="111" w:name="_Toc241352506"/>
      <w:r>
        <w:rPr>
          <w:rFonts w:ascii="Amazon Ember" w:eastAsia="Amazon Ember" w:hAnsi="Amazon Ember" w:cs="Amazon Ember"/>
          <w:color w:val="0000FF"/>
          <w:sz w:val="36"/>
          <w:szCs w:val="36"/>
        </w:rPr>
        <w:lastRenderedPageBreak/>
        <w:t>Australien: Antrag, Konsulat und Kosten</w:t>
      </w:r>
      <w:bookmarkEnd w:id="110"/>
      <w:bookmarkEnd w:id="111"/>
    </w:p>
    <w:p w14:paraId="70A4F0A4" w14:textId="77777777" w:rsidR="00C1548D" w:rsidRDefault="009B1B4B">
      <w:pPr>
        <w:spacing w:after="140"/>
      </w:pPr>
      <w:r>
        <w:t>Vierzehn Monate nach der ersten Interessensbekundung blinkt bei Thomas Reinhardt eine E-Mail auf: „You have been invited to apply.“ Keine Fanfare, kein Anruf – nur eine nüchterne Betreffzeile, und plötzlich hat die Familie 60 Tage Zeit, aus einer Absichtserklärung einen echten Antrag zu machen. Was folgt, ist reine Verwaltungsarbeit: ein Online-Portal, mehrere Gebühren, ein Arztbesuch und ein Stapel Führungszeugnisse. Kein Botschaftstermin, kein Interview am Schalter – Australien erledigt fast alles über de</w:t>
      </w:r>
      <w:r>
        <w:t>n Bildschirm, was die Sache nicht zwangsläufig entspannter macht.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AC"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0A5" w14:textId="77777777" w:rsidR="00C1548D" w:rsidRDefault="009B1B4B">
            <w:pPr>
              <w:keepNext/>
              <w:spacing w:after="70" w:line="240" w:lineRule="auto"/>
            </w:pPr>
            <w:r>
              <w:rPr>
                <w:b/>
                <w:bCs/>
                <w:color w:val="1F3A5F"/>
                <w:spacing w:val="24"/>
                <w:sz w:val="16"/>
                <w:szCs w:val="16"/>
              </w:rPr>
              <w:t>KURZ GESAGT</w:t>
            </w:r>
          </w:p>
          <w:p w14:paraId="70A4F0A6" w14:textId="77777777" w:rsidR="00C1548D" w:rsidRDefault="009B1B4B" w:rsidP="009B1B4B">
            <w:pPr>
              <w:pStyle w:val="ListParagraph"/>
              <w:numPr>
                <w:ilvl w:val="0"/>
                <w:numId w:val="1"/>
              </w:numPr>
              <w:spacing w:after="50" w:line="264" w:lineRule="auto"/>
            </w:pPr>
            <w:r>
              <w:rPr>
                <w:sz w:val="20"/>
                <w:szCs w:val="20"/>
              </w:rPr>
              <w:t xml:space="preserve">Der gesamte Antrag läuft online über </w:t>
            </w:r>
            <w:r>
              <w:rPr>
                <w:i/>
                <w:iCs/>
                <w:sz w:val="20"/>
                <w:szCs w:val="20"/>
              </w:rPr>
              <w:t>ImmiAccount</w:t>
            </w:r>
            <w:r>
              <w:rPr>
                <w:sz w:val="20"/>
                <w:szCs w:val="20"/>
              </w:rPr>
              <w:t xml:space="preserve">, das Antragsportal des </w:t>
            </w:r>
            <w:r>
              <w:rPr>
                <w:i/>
                <w:iCs/>
                <w:sz w:val="20"/>
                <w:szCs w:val="20"/>
              </w:rPr>
              <w:t>Department of Home Affairs</w:t>
            </w:r>
            <w:r>
              <w:rPr>
                <w:sz w:val="20"/>
                <w:szCs w:val="20"/>
              </w:rPr>
              <w:t xml:space="preserve"> (der australischen Einwanderungs- und Grenzschutzbehörde). Einen Botschaftstermin wie bei anderen Zielländern gibt es für die meisten Visa nicht.</w:t>
            </w:r>
          </w:p>
          <w:p w14:paraId="70A4F0A7" w14:textId="77777777" w:rsidR="00C1548D" w:rsidRDefault="009B1B4B" w:rsidP="009B1B4B">
            <w:pPr>
              <w:pStyle w:val="ListParagraph"/>
              <w:numPr>
                <w:ilvl w:val="0"/>
                <w:numId w:val="1"/>
              </w:numPr>
              <w:spacing w:after="50" w:line="264" w:lineRule="auto"/>
            </w:pPr>
            <w:r>
              <w:rPr>
                <w:sz w:val="20"/>
                <w:szCs w:val="20"/>
              </w:rPr>
              <w:t xml:space="preserve">Punktebasierte Visa laufen über </w:t>
            </w:r>
            <w:r>
              <w:rPr>
                <w:i/>
                <w:iCs/>
                <w:sz w:val="20"/>
                <w:szCs w:val="20"/>
              </w:rPr>
              <w:t>SkillSelect</w:t>
            </w:r>
            <w:r>
              <w:rPr>
                <w:sz w:val="20"/>
                <w:szCs w:val="20"/>
              </w:rPr>
              <w:t xml:space="preserve">: erst die </w:t>
            </w:r>
            <w:r>
              <w:rPr>
                <w:i/>
                <w:iCs/>
                <w:sz w:val="20"/>
                <w:szCs w:val="20"/>
              </w:rPr>
              <w:t>Expression of Interest</w:t>
            </w:r>
            <w:r>
              <w:rPr>
                <w:sz w:val="20"/>
                <w:szCs w:val="20"/>
              </w:rPr>
              <w:t xml:space="preserve"> (EOI, die Interessensbekundung), dann die Einladung, dann 60 Tage Zeit für den formellen Antrag.</w:t>
            </w:r>
          </w:p>
          <w:p w14:paraId="70A4F0A8" w14:textId="77777777" w:rsidR="00C1548D" w:rsidRDefault="009B1B4B" w:rsidP="009B1B4B">
            <w:pPr>
              <w:pStyle w:val="ListParagraph"/>
              <w:numPr>
                <w:ilvl w:val="0"/>
                <w:numId w:val="1"/>
              </w:numPr>
              <w:spacing w:after="50" w:line="264" w:lineRule="auto"/>
            </w:pPr>
            <w:r>
              <w:rPr>
                <w:sz w:val="20"/>
                <w:szCs w:val="20"/>
              </w:rPr>
              <w:t>Die Kosten hängen extrem vom Visumtyp ab: Working Holiday ab 840 AUD, Skilled-Visa (189/190/491) ab rund 6.135 AUD je Hauptantragsteller, dazu Zusatzkosten für Gesundheitscheck, Führungszeugnisse und eventuell eine Migrationsberatung.</w:t>
            </w:r>
          </w:p>
          <w:p w14:paraId="70A4F0A9" w14:textId="77777777" w:rsidR="00C1548D" w:rsidRDefault="009B1B4B" w:rsidP="009B1B4B">
            <w:pPr>
              <w:pStyle w:val="ListParagraph"/>
              <w:numPr>
                <w:ilvl w:val="0"/>
                <w:numId w:val="1"/>
              </w:numPr>
              <w:spacing w:after="50" w:line="264" w:lineRule="auto"/>
            </w:pPr>
            <w:r>
              <w:rPr>
                <w:sz w:val="20"/>
                <w:szCs w:val="20"/>
              </w:rPr>
              <w:t>Gesundheitsuntersuchung und Charaktertest sind eigene Pflichtschritte mit eigenen Fristen – plane sie nicht als Fußnote ein.</w:t>
            </w:r>
          </w:p>
          <w:p w14:paraId="70A4F0AA" w14:textId="77777777" w:rsidR="00C1548D" w:rsidRDefault="009B1B4B" w:rsidP="009B1B4B">
            <w:pPr>
              <w:pStyle w:val="ListParagraph"/>
              <w:numPr>
                <w:ilvl w:val="0"/>
                <w:numId w:val="1"/>
              </w:numPr>
              <w:spacing w:after="50" w:line="264" w:lineRule="auto"/>
            </w:pPr>
            <w:r>
              <w:rPr>
                <w:sz w:val="20"/>
                <w:szCs w:val="20"/>
              </w:rPr>
              <w:t>Bearbeitungszeiten schwanken zwischen wenigen Wochen und über einem Jahr, je nach Subclass und aktueller Priorisierung.</w:t>
            </w:r>
          </w:p>
          <w:p w14:paraId="70A4F0AB" w14:textId="77777777" w:rsidR="00C1548D" w:rsidRDefault="009B1B4B" w:rsidP="009B1B4B">
            <w:pPr>
              <w:pStyle w:val="ListParagraph"/>
              <w:numPr>
                <w:ilvl w:val="0"/>
                <w:numId w:val="1"/>
              </w:numPr>
              <w:spacing w:after="50" w:line="264" w:lineRule="auto"/>
            </w:pPr>
            <w:r>
              <w:rPr>
                <w:sz w:val="20"/>
                <w:szCs w:val="20"/>
              </w:rPr>
              <w:t>Die deutsche Botschaft und die Konsulate in Australien helfen bei deutschen Dokumenten, aber nicht beim australischen Visumantrag selbst – das entscheidet ausschließlich Home Affairs.</w:t>
            </w:r>
          </w:p>
        </w:tc>
      </w:tr>
    </w:tbl>
    <w:p w14:paraId="70A4F0AD" w14:textId="77777777" w:rsidR="00C1548D" w:rsidRDefault="00C1548D">
      <w:pPr>
        <w:spacing w:line="220" w:lineRule="exact"/>
      </w:pPr>
    </w:p>
    <w:p w14:paraId="70A4F0AE" w14:textId="77777777" w:rsidR="00C1548D" w:rsidRDefault="009B1B4B">
      <w:pPr>
        <w:pStyle w:val="Heading3"/>
        <w:keepNext/>
        <w:jc w:val="center"/>
      </w:pPr>
      <w:r>
        <w:rPr>
          <w:rFonts w:ascii="Amazon Ember" w:eastAsia="Amazon Ember" w:hAnsi="Amazon Ember" w:cs="Amazon Ember"/>
          <w:color w:val="0000FF"/>
          <w:sz w:val="36"/>
          <w:szCs w:val="36"/>
        </w:rPr>
        <w:lastRenderedPageBreak/>
        <w:t>Das System: SkillSelect, EOI und ImmiAccount</w:t>
      </w:r>
    </w:p>
    <w:p w14:paraId="70A4F0AF" w14:textId="77777777" w:rsidR="00C1548D" w:rsidRDefault="009B1B4B">
      <w:pPr>
        <w:spacing w:after="140"/>
      </w:pPr>
      <w:r>
        <w:t xml:space="preserve">Wer einen punktebasierten Weg geht – Subclass 189 (Skilled Independent), 190 (Skilled Nominated) oder 491 (Skilled Work Regional) –, beginnt nicht mit einem Antrag, sondern mit einer Absichtserklärung. Die </w:t>
      </w:r>
      <w:r>
        <w:rPr>
          <w:i/>
          <w:iCs/>
        </w:rPr>
        <w:t>Expression of Interest</w:t>
      </w:r>
      <w:r>
        <w:t xml:space="preserve"> reichst du über </w:t>
      </w:r>
      <w:r>
        <w:rPr>
          <w:i/>
          <w:iCs/>
        </w:rPr>
        <w:t>SkillSelect</w:t>
      </w:r>
      <w:r>
        <w:t xml:space="preserve"> ein, das Online-System, in dem du Beruf, Abschluss, Berufserfahrung, Englischniveau und Alter einträgst; die Behörde errechnet daraus deine Punktzahl. Voraussetzung ist vorher ein bestandenes </w:t>
      </w:r>
      <w:r>
        <w:rPr>
          <w:i/>
          <w:iCs/>
        </w:rPr>
        <w:t>Skills Assessment</w:t>
      </w:r>
      <w:r>
        <w:t xml:space="preserve"> (die fachliche Kompetenzbewertung durch eine zuständige Berufsorganisation, etwa Engineers Australia oder VETASSESS), ohne das keine EOI zählt.</w:t>
      </w:r>
    </w:p>
    <w:p w14:paraId="70A4F0B0" w14:textId="77777777" w:rsidR="00C1548D" w:rsidRDefault="009B1B4B">
      <w:pPr>
        <w:spacing w:after="140"/>
      </w:pPr>
      <w:r>
        <w:t>Die EOI selbst ist noch kein Antrag und kostet nichts. Erst wenn Home Affairs oder ein Bundesstaat dich einlädt (</w:t>
      </w:r>
      <w:r>
        <w:rPr>
          <w:i/>
          <w:iCs/>
        </w:rPr>
        <w:t>Invitation to Apply</w:t>
      </w:r>
      <w:r>
        <w:t>), beginnt die Uhr: Ab der Einladung hast du in der Regel 60 Tage Zeit, den eigentlichen Antrag zu stellen. Verpasst du die Frist, verfällt die Einladung ersatzlos, und du reichst eine neue EOI ein – ganz unten in der Warteschlange.</w:t>
      </w:r>
    </w:p>
    <w:p w14:paraId="70A4F0B1" w14:textId="77777777" w:rsidR="00C1548D" w:rsidRDefault="009B1B4B">
      <w:pPr>
        <w:spacing w:after="140"/>
      </w:pPr>
      <w:r>
        <w:t xml:space="preserve">Der Antrag läuft komplett über </w:t>
      </w:r>
      <w:r>
        <w:rPr>
          <w:i/>
          <w:iCs/>
        </w:rPr>
        <w:t>ImmiAccount</w:t>
      </w:r>
      <w:r>
        <w:t>, das zentrale Online-Portal von Home Affairs. Dort legst du ein Konto an, lädst Dokumente hoch, bezahlst die Gebühr per Kreditkarte, verfolgst den Status und erhältst alle Nachrichten der Behörde. Ein Postfach, das du in den folgenden Monaten regelmäßig prüfen solltest: Nachforderungen kommen ausschließlich hier an, nicht per Brief. Arbeitgebergesponserte Visa (etwa Subclass 482) und die Working Holiday (Subclass 417) überspringen SkillSelect komplett und starten direkt in ImmiAccount, sobald Sponsor bezie</w:t>
      </w:r>
      <w:r>
        <w:t>hungsweise Altersvoraussetzung geklärt sind.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B4"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0B2" w14:textId="77777777" w:rsidR="00C1548D" w:rsidRDefault="009B1B4B">
            <w:pPr>
              <w:keepNext/>
              <w:spacing w:after="70" w:line="240" w:lineRule="auto"/>
            </w:pPr>
            <w:r>
              <w:rPr>
                <w:b/>
                <w:bCs/>
                <w:color w:val="8A6212"/>
                <w:spacing w:val="24"/>
                <w:sz w:val="16"/>
                <w:szCs w:val="16"/>
              </w:rPr>
              <w:lastRenderedPageBreak/>
              <w:t>MERKE</w:t>
            </w:r>
          </w:p>
          <w:p w14:paraId="70A4F0B3" w14:textId="77777777" w:rsidR="00C1548D" w:rsidRDefault="009B1B4B">
            <w:pPr>
              <w:spacing w:after="80" w:line="264" w:lineRule="auto"/>
            </w:pPr>
            <w:r>
              <w:rPr>
                <w:sz w:val="20"/>
                <w:szCs w:val="20"/>
              </w:rPr>
              <w:t>Anders als in vielen anderen Zielländern gibt es für die meisten Visumkategorien keinen persönlichen Termin bei einer australischen Auslandsvertretung. Home Affairs entscheidet nach Aktenlage, die du vollständig online einreichst.</w:t>
            </w:r>
          </w:p>
        </w:tc>
      </w:tr>
    </w:tbl>
    <w:p w14:paraId="70A4F0B5" w14:textId="77777777" w:rsidR="00C1548D" w:rsidRDefault="00C1548D">
      <w:pPr>
        <w:spacing w:line="220" w:lineRule="exact"/>
      </w:pPr>
    </w:p>
    <w:p w14:paraId="70A4F0B6" w14:textId="77777777" w:rsidR="00C1548D" w:rsidRDefault="009B1B4B">
      <w:pPr>
        <w:pStyle w:val="Heading3"/>
        <w:keepNext/>
        <w:jc w:val="center"/>
      </w:pPr>
      <w:r>
        <w:rPr>
          <w:rFonts w:ascii="Amazon Ember" w:eastAsia="Amazon Ember" w:hAnsi="Amazon Ember" w:cs="Amazon Ember"/>
          <w:color w:val="0000FF"/>
          <w:sz w:val="36"/>
          <w:szCs w:val="36"/>
        </w:rPr>
        <w:t>Was der Antrag wirklich kostet</w:t>
      </w:r>
    </w:p>
    <w:p w14:paraId="70A4F0B7" w14:textId="77777777" w:rsidR="00C1548D" w:rsidRDefault="009B1B4B">
      <w:pPr>
        <w:spacing w:after="140"/>
      </w:pPr>
      <w:r>
        <w:t>Die Gebühren unterscheiden sich drastisch je nach Visumtyp, und die Antragsgebühr (</w:t>
      </w:r>
      <w:r>
        <w:rPr>
          <w:i/>
          <w:iCs/>
        </w:rPr>
        <w:t>Base Application Charge</w:t>
      </w:r>
      <w:r>
        <w:t>) ist nur ein Teil der Rechnung. Dazu kommen in fast jedem Fall Skills Assessment, Englischtest, Gesundheitsuntersuchung und Führungszeugnisse – Posten, die im Kopf oft untergehen.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1"/>
        <w:gridCol w:w="1220"/>
        <w:gridCol w:w="3379"/>
      </w:tblGrid>
      <w:tr w:rsidR="00C1548D" w14:paraId="70A4F0BB" w14:textId="77777777">
        <w:tblPrEx>
          <w:tblCellMar>
            <w:top w:w="0" w:type="dxa"/>
            <w:bottom w:w="0" w:type="dxa"/>
          </w:tblCellMar>
        </w:tblPrEx>
        <w:trPr>
          <w:cantSplit/>
          <w:tblHeader/>
        </w:trPr>
        <w:tc>
          <w:tcPr>
            <w:tcW w:w="188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0B8" w14:textId="77777777" w:rsidR="00C1548D" w:rsidRDefault="009B1B4B">
            <w:pPr>
              <w:spacing w:line="250" w:lineRule="auto"/>
            </w:pPr>
            <w:r>
              <w:rPr>
                <w:b/>
                <w:bCs/>
                <w:sz w:val="18"/>
                <w:szCs w:val="18"/>
              </w:rPr>
              <w:t>Visumtyp</w:t>
            </w:r>
          </w:p>
        </w:tc>
        <w:tc>
          <w:tcPr>
            <w:tcW w:w="122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0B9" w14:textId="77777777" w:rsidR="00C1548D" w:rsidRDefault="009B1B4B">
            <w:pPr>
              <w:spacing w:line="250" w:lineRule="auto"/>
            </w:pPr>
            <w:r>
              <w:rPr>
                <w:b/>
                <w:bCs/>
                <w:sz w:val="18"/>
                <w:szCs w:val="18"/>
              </w:rPr>
              <w:t>Gebühr Hauptantragsteller</w:t>
            </w:r>
          </w:p>
        </w:tc>
        <w:tc>
          <w:tcPr>
            <w:tcW w:w="337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0BA" w14:textId="77777777" w:rsidR="00C1548D" w:rsidRDefault="009B1B4B">
            <w:pPr>
              <w:spacing w:line="250" w:lineRule="auto"/>
            </w:pPr>
            <w:r>
              <w:rPr>
                <w:b/>
                <w:bCs/>
                <w:sz w:val="18"/>
                <w:szCs w:val="18"/>
              </w:rPr>
              <w:t>Weitere Kosten</w:t>
            </w:r>
          </w:p>
        </w:tc>
      </w:tr>
      <w:tr w:rsidR="00C1548D" w14:paraId="70A4F0BF"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BC" w14:textId="77777777" w:rsidR="00C1548D" w:rsidRDefault="009B1B4B">
            <w:pPr>
              <w:spacing w:line="250" w:lineRule="auto"/>
            </w:pPr>
            <w:r>
              <w:rPr>
                <w:sz w:val="18"/>
                <w:szCs w:val="18"/>
              </w:rPr>
              <w:t>Working Holiday (417), Erstantrag</w:t>
            </w:r>
          </w:p>
        </w:tc>
        <w:tc>
          <w:tcPr>
            <w:tcW w:w="12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BD" w14:textId="77777777" w:rsidR="00C1548D" w:rsidRDefault="009B1B4B">
            <w:pPr>
              <w:spacing w:line="250" w:lineRule="auto"/>
            </w:pPr>
            <w:r>
              <w:rPr>
                <w:sz w:val="18"/>
                <w:szCs w:val="18"/>
              </w:rPr>
              <w:t>840 AUD</w:t>
            </w:r>
          </w:p>
        </w:tc>
        <w:tc>
          <w:tcPr>
            <w:tcW w:w="33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BE" w14:textId="77777777" w:rsidR="00C1548D" w:rsidRDefault="009B1B4B">
            <w:pPr>
              <w:spacing w:line="250" w:lineRule="auto"/>
            </w:pPr>
            <w:r>
              <w:rPr>
                <w:sz w:val="18"/>
                <w:szCs w:val="18"/>
              </w:rPr>
              <w:t>keine gesonderten Zusatzschritte</w:t>
            </w:r>
          </w:p>
        </w:tc>
      </w:tr>
      <w:tr w:rsidR="00C1548D" w14:paraId="70A4F0C3"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0" w14:textId="77777777" w:rsidR="00C1548D" w:rsidRDefault="009B1B4B">
            <w:pPr>
              <w:spacing w:line="250" w:lineRule="auto"/>
            </w:pPr>
            <w:r>
              <w:rPr>
                <w:sz w:val="18"/>
                <w:szCs w:val="18"/>
              </w:rPr>
              <w:t>Working Holiday (417), 2./3. Jahr</w:t>
            </w:r>
          </w:p>
        </w:tc>
        <w:tc>
          <w:tcPr>
            <w:tcW w:w="12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1" w14:textId="77777777" w:rsidR="00C1548D" w:rsidRDefault="009B1B4B">
            <w:pPr>
              <w:spacing w:line="250" w:lineRule="auto"/>
            </w:pPr>
            <w:r>
              <w:rPr>
                <w:sz w:val="18"/>
                <w:szCs w:val="18"/>
              </w:rPr>
              <w:t>1.000 AUD</w:t>
            </w:r>
          </w:p>
        </w:tc>
        <w:tc>
          <w:tcPr>
            <w:tcW w:w="33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2" w14:textId="77777777" w:rsidR="00C1548D" w:rsidRDefault="009B1B4B">
            <w:pPr>
              <w:spacing w:line="250" w:lineRule="auto"/>
            </w:pPr>
            <w:r>
              <w:rPr>
                <w:sz w:val="18"/>
                <w:szCs w:val="18"/>
              </w:rPr>
              <w:t>Nachweis „specified work“, seit 2026 zusätzlich Losverfahren</w:t>
            </w:r>
          </w:p>
        </w:tc>
      </w:tr>
      <w:tr w:rsidR="00C1548D" w14:paraId="70A4F0C7"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4" w14:textId="77777777" w:rsidR="00C1548D" w:rsidRDefault="009B1B4B">
            <w:pPr>
              <w:spacing w:line="250" w:lineRule="auto"/>
            </w:pPr>
            <w:r>
              <w:rPr>
                <w:sz w:val="18"/>
                <w:szCs w:val="18"/>
              </w:rPr>
              <w:t>Skilled Independent (189)</w:t>
            </w:r>
          </w:p>
        </w:tc>
        <w:tc>
          <w:tcPr>
            <w:tcW w:w="12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5" w14:textId="77777777" w:rsidR="00C1548D" w:rsidRDefault="009B1B4B">
            <w:pPr>
              <w:spacing w:line="250" w:lineRule="auto"/>
            </w:pPr>
            <w:r>
              <w:rPr>
                <w:sz w:val="18"/>
                <w:szCs w:val="18"/>
              </w:rPr>
              <w:t>ca. 6.135 AUD</w:t>
            </w:r>
          </w:p>
        </w:tc>
        <w:tc>
          <w:tcPr>
            <w:tcW w:w="33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6" w14:textId="77777777" w:rsidR="00C1548D" w:rsidRDefault="009B1B4B">
            <w:pPr>
              <w:spacing w:line="250" w:lineRule="auto"/>
            </w:pPr>
            <w:r>
              <w:rPr>
                <w:sz w:val="18"/>
                <w:szCs w:val="18"/>
              </w:rPr>
              <w:t>Skills Assessment, Englischtest, Gesundheitscheck, Führungszeugnisse</w:t>
            </w:r>
          </w:p>
        </w:tc>
      </w:tr>
      <w:tr w:rsidR="00C1548D" w14:paraId="70A4F0CB"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8" w14:textId="77777777" w:rsidR="00C1548D" w:rsidRDefault="009B1B4B">
            <w:pPr>
              <w:spacing w:line="250" w:lineRule="auto"/>
            </w:pPr>
            <w:r>
              <w:rPr>
                <w:sz w:val="18"/>
                <w:szCs w:val="18"/>
              </w:rPr>
              <w:t>Skilled Nominated (190)</w:t>
            </w:r>
          </w:p>
        </w:tc>
        <w:tc>
          <w:tcPr>
            <w:tcW w:w="12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9" w14:textId="77777777" w:rsidR="00C1548D" w:rsidRDefault="009B1B4B">
            <w:pPr>
              <w:spacing w:line="250" w:lineRule="auto"/>
            </w:pPr>
            <w:r>
              <w:rPr>
                <w:sz w:val="18"/>
                <w:szCs w:val="18"/>
              </w:rPr>
              <w:t>ca. 6.135–6.140 AUD</w:t>
            </w:r>
          </w:p>
        </w:tc>
        <w:tc>
          <w:tcPr>
            <w:tcW w:w="33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A" w14:textId="77777777" w:rsidR="00C1548D" w:rsidRDefault="009B1B4B">
            <w:pPr>
              <w:spacing w:line="250" w:lineRule="auto"/>
            </w:pPr>
            <w:r>
              <w:rPr>
                <w:sz w:val="18"/>
                <w:szCs w:val="18"/>
              </w:rPr>
              <w:t>plus Nominierungsgebühr des Bundesstaats</w:t>
            </w:r>
          </w:p>
        </w:tc>
      </w:tr>
      <w:tr w:rsidR="00C1548D" w14:paraId="70A4F0CF"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C" w14:textId="77777777" w:rsidR="00C1548D" w:rsidRDefault="009B1B4B">
            <w:pPr>
              <w:spacing w:line="250" w:lineRule="auto"/>
            </w:pPr>
            <w:r>
              <w:rPr>
                <w:sz w:val="18"/>
                <w:szCs w:val="18"/>
              </w:rPr>
              <w:t>Skills in Demand (482)</w:t>
            </w:r>
          </w:p>
        </w:tc>
        <w:tc>
          <w:tcPr>
            <w:tcW w:w="12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D" w14:textId="77777777" w:rsidR="00C1548D" w:rsidRDefault="009B1B4B">
            <w:pPr>
              <w:spacing w:line="250" w:lineRule="auto"/>
            </w:pPr>
            <w:r>
              <w:rPr>
                <w:sz w:val="18"/>
                <w:szCs w:val="18"/>
              </w:rPr>
              <w:t>4.015 AUD</w:t>
            </w:r>
          </w:p>
        </w:tc>
        <w:tc>
          <w:tcPr>
            <w:tcW w:w="33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CE" w14:textId="77777777" w:rsidR="00C1548D" w:rsidRDefault="009B1B4B">
            <w:pPr>
              <w:spacing w:line="250" w:lineRule="auto"/>
            </w:pPr>
            <w:r>
              <w:rPr>
                <w:sz w:val="18"/>
                <w:szCs w:val="18"/>
              </w:rPr>
              <w:t>Nominierungsgebühr trägt der Arbeitgeber</w:t>
            </w:r>
          </w:p>
        </w:tc>
      </w:tr>
      <w:tr w:rsidR="00C1548D" w14:paraId="70A4F0D3" w14:textId="77777777">
        <w:tblPrEx>
          <w:tblCellMar>
            <w:top w:w="0" w:type="dxa"/>
            <w:bottom w:w="0" w:type="dxa"/>
          </w:tblCellMar>
        </w:tblPrEx>
        <w:trPr>
          <w:cantSplit/>
        </w:trPr>
        <w:tc>
          <w:tcPr>
            <w:tcW w:w="18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D0" w14:textId="77777777" w:rsidR="00C1548D" w:rsidRDefault="009B1B4B">
            <w:pPr>
              <w:spacing w:line="250" w:lineRule="auto"/>
            </w:pPr>
            <w:r>
              <w:rPr>
                <w:sz w:val="18"/>
                <w:szCs w:val="18"/>
              </w:rPr>
              <w:t>Student (500)</w:t>
            </w:r>
          </w:p>
        </w:tc>
        <w:tc>
          <w:tcPr>
            <w:tcW w:w="12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D1" w14:textId="77777777" w:rsidR="00C1548D" w:rsidRDefault="009B1B4B">
            <w:pPr>
              <w:spacing w:line="250" w:lineRule="auto"/>
            </w:pPr>
            <w:r>
              <w:rPr>
                <w:sz w:val="18"/>
                <w:szCs w:val="18"/>
              </w:rPr>
              <w:t>2.500 AUD</w:t>
            </w:r>
          </w:p>
        </w:tc>
        <w:tc>
          <w:tcPr>
            <w:tcW w:w="33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0D2" w14:textId="77777777" w:rsidR="00C1548D" w:rsidRDefault="009B1B4B">
            <w:pPr>
              <w:spacing w:line="250" w:lineRule="auto"/>
            </w:pPr>
            <w:r>
              <w:rPr>
                <w:sz w:val="18"/>
                <w:szCs w:val="18"/>
              </w:rPr>
              <w:t>Overseas Student Health Cover Pflicht</w:t>
            </w:r>
          </w:p>
        </w:tc>
      </w:tr>
    </w:tbl>
    <w:p w14:paraId="70A4F0D4" w14:textId="77777777" w:rsidR="00C1548D" w:rsidRDefault="00C1548D">
      <w:pPr>
        <w:spacing w:line="180" w:lineRule="exact"/>
      </w:pPr>
    </w:p>
    <w:p w14:paraId="70A4F0D5" w14:textId="77777777" w:rsidR="00C1548D" w:rsidRDefault="009B1B4B">
      <w:pPr>
        <w:spacing w:after="140"/>
      </w:pPr>
      <w:r>
        <w:t>(Stand nach der Gebührenrunde vom 1. Juli 2026; alle Beträge je Hauptantragsteller, Partner und Kinder zahlen bei den meisten Kategorien anteilig mit.)</w:t>
      </w:r>
    </w:p>
    <w:p w14:paraId="70A4F0D6" w14:textId="77777777" w:rsidR="00C1548D" w:rsidRDefault="009B1B4B">
      <w:pPr>
        <w:spacing w:after="140"/>
      </w:pPr>
      <w:r>
        <w:t xml:space="preserve">Für eine vierköpfige Familie auf dem Skilled-Independent-Weg kommen allein an Antragsgebühren schnell mehrere Zehntausend AUD zusammen, sobald Partner und Kinder mitgezählt werden – die genaue Staffelung zeigt ImmiAccount erst beim Ausfüllen, weil sie </w:t>
      </w:r>
      <w:r>
        <w:lastRenderedPageBreak/>
        <w:t>vom Alter der Kinder abhängt. Dazu kommen das Skills Assessment (je nach Berufsverband unterschiedlich, oft mehrere hundert AUD), ein anerkannter Englischtest wie IELTS oder PTE (rund 300–400 AUD), die Gesundheitsuntersuchung (150–400 AUD je Person) und die Führungszeugnisse. Wer daneben eine Migrationsberatung beauftragt, addiert deren Honorar.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D9"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0D7" w14:textId="77777777" w:rsidR="00C1548D" w:rsidRDefault="009B1B4B">
            <w:pPr>
              <w:keepNext/>
              <w:spacing w:after="70" w:line="240" w:lineRule="auto"/>
            </w:pPr>
            <w:r>
              <w:rPr>
                <w:b/>
                <w:bCs/>
                <w:color w:val="2F6B3B"/>
                <w:spacing w:val="24"/>
                <w:sz w:val="16"/>
                <w:szCs w:val="16"/>
              </w:rPr>
              <w:t>SPARTIPP</w:t>
            </w:r>
          </w:p>
          <w:p w14:paraId="70A4F0D8" w14:textId="77777777" w:rsidR="00C1548D" w:rsidRDefault="009B1B4B">
            <w:pPr>
              <w:spacing w:after="80" w:line="264" w:lineRule="auto"/>
            </w:pPr>
            <w:r>
              <w:rPr>
                <w:sz w:val="20"/>
                <w:szCs w:val="20"/>
              </w:rPr>
              <w:t>Bezahle die ImmiAccount-Gebühr erst, wenn wirklich alle Unterlagen bereitliegen. Ein unvollständig eingereichter Antrag lässt sich zwar nachbessern, die Gebühr ist bei Ablehnung aber ebenso futsch wie bei Genehmigung – eine Kulanzrunde wie beim deutschen Bürgeramt gibt es hier nicht.</w:t>
            </w:r>
          </w:p>
        </w:tc>
      </w:tr>
    </w:tbl>
    <w:p w14:paraId="70A4F0DA" w14:textId="77777777" w:rsidR="00C1548D" w:rsidRDefault="00C1548D">
      <w:pPr>
        <w:spacing w:line="220" w:lineRule="exact"/>
      </w:pPr>
    </w:p>
    <w:p w14:paraId="70A4F0DB" w14:textId="77777777" w:rsidR="00C1548D" w:rsidRDefault="009B1B4B">
      <w:pPr>
        <w:pStyle w:val="Heading3"/>
        <w:keepNext/>
        <w:jc w:val="center"/>
      </w:pPr>
      <w:r>
        <w:rPr>
          <w:rFonts w:ascii="Amazon Ember" w:eastAsia="Amazon Ember" w:hAnsi="Amazon Ember" w:cs="Amazon Ember"/>
          <w:color w:val="0000FF"/>
          <w:sz w:val="36"/>
          <w:szCs w:val="36"/>
        </w:rPr>
        <w:t>Bearbeitungszeiten: realistisch planen</w:t>
      </w:r>
    </w:p>
    <w:p w14:paraId="70A4F0DC" w14:textId="77777777" w:rsidR="00C1548D" w:rsidRDefault="009B1B4B">
      <w:pPr>
        <w:spacing w:after="140"/>
      </w:pPr>
      <w:r>
        <w:t xml:space="preserve">Home Affairs veröffentlicht monatlich aktualisierte Bearbeitungszeiten, jeweils als 50- und 90-Perzentil: Die Hälfte der Fälle ist nach der ersten Zahl entschieden, neun von zehn nach der zweiten. Zum Stand September 2026 galt grob: Subclass 189 rund 7 bis 8 Monate, Subclass 190 zwischen 5 und 17 Monaten (die Spanne ist bei diesem Visum besonders groß), Subclass 482 oft nur 57 Tage bis 9 Monate. Seit dem 19. September 2026 gelten neue </w:t>
      </w:r>
      <w:r>
        <w:rPr>
          <w:i/>
          <w:iCs/>
        </w:rPr>
        <w:t>Ministerial Directions</w:t>
      </w:r>
      <w:r>
        <w:t xml:space="preserve"> (121 und 122), die bestimmte Branchen – Bau, Gesundheit, Bildung, Landwirtschaft und Fischerei, Ressourcen, Recht und Verteidigung – bevorzugt bearbeiten lassen. Wer außerhalb dieser Listen arbeitet, wartet tendenziell länger, ohne dass Home Affairs das offen so formuliert.</w:t>
      </w:r>
    </w:p>
    <w:p w14:paraId="70A4F0DD" w14:textId="77777777" w:rsidR="00C1548D" w:rsidRDefault="009B1B4B">
      <w:pPr>
        <w:spacing w:after="140"/>
      </w:pPr>
      <w:r>
        <w:t xml:space="preserve">Die veröffentlichten Perzentile sind ein grober Kompass, kein Versprechen: Home Affairs weist zusätzlich aus, welche Einreichdaten gerade bearbeitet werden, was oft ein ehrlicheres Bild gibt als die reine Statistik. Praktisch bedeutet das: Kündige deinen Job in Deutschland nicht, bevor die Entscheidung vorliegt, und plane </w:t>
      </w:r>
      <w:r>
        <w:lastRenderedPageBreak/>
        <w:t>bei Partnervisa – die noch einmal deutlich länger laufen – mit mehreren Jahren bis zur permanenten Stufe.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E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0DE" w14:textId="77777777" w:rsidR="00C1548D" w:rsidRDefault="009B1B4B">
            <w:pPr>
              <w:keepNext/>
              <w:spacing w:after="70" w:line="240" w:lineRule="auto"/>
            </w:pPr>
            <w:r>
              <w:rPr>
                <w:b/>
                <w:bCs/>
                <w:color w:val="9B2C2C"/>
                <w:spacing w:val="24"/>
                <w:sz w:val="16"/>
                <w:szCs w:val="16"/>
              </w:rPr>
              <w:t>ACHTUNG</w:t>
            </w:r>
          </w:p>
          <w:p w14:paraId="70A4F0DF" w14:textId="77777777" w:rsidR="00C1548D" w:rsidRDefault="009B1B4B">
            <w:pPr>
              <w:spacing w:after="80" w:line="264" w:lineRule="auto"/>
            </w:pPr>
            <w:r>
              <w:rPr>
                <w:sz w:val="20"/>
                <w:szCs w:val="20"/>
              </w:rPr>
              <w:t>Eine Einladung zur Antragstellung ist noch keine Zusage. Zwischen EOI und tatsächlicher Ankunft in Australien vergehen bei den Skilled-Visa oft anderthalb bis zwei Jahre. Wer währenddessen Job, Wohnung und Schulplätze in Deutschland kündigt, handelt verfrüht.</w:t>
            </w:r>
          </w:p>
        </w:tc>
      </w:tr>
    </w:tbl>
    <w:p w14:paraId="70A4F0E1" w14:textId="77777777" w:rsidR="00C1548D" w:rsidRDefault="00C1548D">
      <w:pPr>
        <w:spacing w:line="220" w:lineRule="exact"/>
      </w:pPr>
    </w:p>
    <w:p w14:paraId="70A4F0E2" w14:textId="77777777" w:rsidR="00C1548D" w:rsidRDefault="009B1B4B">
      <w:pPr>
        <w:pStyle w:val="Heading3"/>
        <w:keepNext/>
        <w:jc w:val="center"/>
      </w:pPr>
      <w:r>
        <w:rPr>
          <w:rFonts w:ascii="Amazon Ember" w:eastAsia="Amazon Ember" w:hAnsi="Amazon Ember" w:cs="Amazon Ember"/>
          <w:color w:val="0000FF"/>
          <w:sz w:val="36"/>
          <w:szCs w:val="36"/>
        </w:rPr>
        <w:t>Die Gesundheitsuntersuchung</w:t>
      </w:r>
    </w:p>
    <w:p w14:paraId="70A4F0E3" w14:textId="77777777" w:rsidR="00C1548D" w:rsidRDefault="009B1B4B">
      <w:pPr>
        <w:spacing w:after="140"/>
      </w:pPr>
      <w:r>
        <w:t xml:space="preserve">Für die meisten permanenten und viele befristete Visa ist eine vollständige </w:t>
      </w:r>
      <w:r>
        <w:rPr>
          <w:i/>
          <w:iCs/>
        </w:rPr>
        <w:t>Health Examination</w:t>
      </w:r>
      <w:r>
        <w:t xml:space="preserve"> Pflicht – eine freie Arztwahl gibt es dabei nicht. Nach der Antragstellung schickt dir Home Affairs eine </w:t>
      </w:r>
      <w:r>
        <w:rPr>
          <w:i/>
          <w:iCs/>
        </w:rPr>
        <w:t>HAP-ID</w:t>
      </w:r>
      <w:r>
        <w:t xml:space="preserve"> (Health Assessment Processing ID), mit der du einen Termin bei einem zugelassenen </w:t>
      </w:r>
      <w:r>
        <w:rPr>
          <w:i/>
          <w:iCs/>
        </w:rPr>
        <w:t>Panel Physician</w:t>
      </w:r>
      <w:r>
        <w:t xml:space="preserve"> (einem von Home Affairs anerkannten Arzt) buchst; eine Liste findet sich über ImmiAccount. Je nach Alter gehören eine allgemeine Untersuchung, ein Röntgenbild des Brustkorbs (ab 11 Jahren), ein HIV-Test und ein Nierenwert (ab 15 Jahren) sowie bei Geburt in einem Risikoland ein Hepatitis-B-Test dazu.</w:t>
      </w:r>
    </w:p>
    <w:p w14:paraId="70A4F0E4" w14:textId="77777777" w:rsidR="00C1548D" w:rsidRDefault="009B1B4B">
      <w:pPr>
        <w:spacing w:after="140"/>
      </w:pPr>
      <w:r>
        <w:t>Die Kosten liegen je nach Testumfang bei 150 bis 400 AUD pro Person, direkt beim Arzt zu zahlen. Die Ergebnisse gehen digital an Home Affairs, meist innerhalb von fünf bis zehn Werktagen; bei Auffälligkeiten und nötiger fachärztlicher Nachprüfung dauert es zwei bis vier Wochen länger. Buche den Termin zügig, sobald die HAP-ID vorliegt – Panel Physicians sind nicht an jeder deutschen Ecke zu finden, und ein voller Terminkalender verzögert sonst den ganzen Antrag.</w:t>
      </w:r>
    </w:p>
    <w:p w14:paraId="70A4F0E5" w14:textId="77777777" w:rsidR="00C1548D" w:rsidRDefault="009B1B4B">
      <w:pPr>
        <w:pStyle w:val="Heading3"/>
        <w:keepNext/>
        <w:jc w:val="center"/>
      </w:pPr>
      <w:r>
        <w:rPr>
          <w:rFonts w:ascii="Amazon Ember" w:eastAsia="Amazon Ember" w:hAnsi="Amazon Ember" w:cs="Amazon Ember"/>
          <w:color w:val="0000FF"/>
          <w:sz w:val="36"/>
          <w:szCs w:val="36"/>
        </w:rPr>
        <w:t>Charaktertest und Führungszeugnis</w:t>
      </w:r>
    </w:p>
    <w:p w14:paraId="70A4F0E6" w14:textId="77777777" w:rsidR="00C1548D" w:rsidRDefault="009B1B4B">
      <w:pPr>
        <w:spacing w:after="140"/>
      </w:pPr>
      <w:r>
        <w:t xml:space="preserve">Section 501 des </w:t>
      </w:r>
      <w:r>
        <w:rPr>
          <w:i/>
          <w:iCs/>
        </w:rPr>
        <w:t>Migration Act 1958</w:t>
      </w:r>
      <w:r>
        <w:t xml:space="preserve"> verlangt, dass jeder Antragsteller den </w:t>
      </w:r>
      <w:r>
        <w:rPr>
          <w:i/>
          <w:iCs/>
        </w:rPr>
        <w:t>Character Test</w:t>
      </w:r>
      <w:r>
        <w:t xml:space="preserve"> besteht – in der Praxis heißt das: ein </w:t>
      </w:r>
      <w:r>
        <w:rPr>
          <w:i/>
          <w:iCs/>
        </w:rPr>
        <w:t xml:space="preserve">Police </w:t>
      </w:r>
      <w:r>
        <w:rPr>
          <w:i/>
          <w:iCs/>
        </w:rPr>
        <w:lastRenderedPageBreak/>
        <w:t>Certificate</w:t>
      </w:r>
      <w:r>
        <w:t xml:space="preserve"> (polizeiliches Führungszeugnis) aus jedem Land, in dem du seit deinem 16. Geburtstag innerhalb der letzten zehn Jahre kumulativ mehr als 12 Monate gelebt hast. Das Zeugnis muss den gesamten Zeitraum seit dem 16. Geburtstag abdecken, nicht nur die tatsächliche Aufenthaltszeit, und gilt ab Ausstellung 12 Monate. Wer zusätzlich schon einmal 12 Monate oder länger in Australien gelebt hat, braucht ein </w:t>
      </w:r>
      <w:r>
        <w:rPr>
          <w:i/>
          <w:iCs/>
        </w:rPr>
        <w:t>National Police Check</w:t>
      </w:r>
      <w:r>
        <w:t xml:space="preserve"> der australischen Bundespolizei (AFP).</w:t>
      </w:r>
    </w:p>
    <w:p w14:paraId="70A4F0E7" w14:textId="77777777" w:rsidR="00C1548D" w:rsidRDefault="009B1B4B">
      <w:pPr>
        <w:spacing w:after="140"/>
      </w:pPr>
      <w:r>
        <w:t xml:space="preserve">Für die meisten deutschen Antragsteller reicht das deutsche Führungszeugnis vom Bundesamt für Justiz, ausgestellt zur Vorlage bei einer Behörde im Ausland. Es kostet 13 €, die Beantragung läuft online oder beim Einwohnermeldeamt. Für Australien reicht das einfache Führungszeugnis allein aber nicht: Home Affairs verlangt eine </w:t>
      </w:r>
      <w:r>
        <w:rPr>
          <w:i/>
          <w:iCs/>
        </w:rPr>
        <w:t>Apostille</w:t>
      </w:r>
      <w:r>
        <w:t>, die internationale Beglaubigung nach dem Haager Übereinkommen. Zuständig dafür ist in Deutschland das Bundesamt für Auswärtige Angelegenheiten (BfAA) – und hier lauert eine echte Falle: Die Apostille musst du bereits bei der Beantragung des Führungszeugnisses über das Online-Datenformular des BfAA mitbestellen, ein nachträgliches Anfügen ist auf diesem Weg nicht vorgesehen. Für die Apostille fallen außerdem 25 € an.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E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0E8" w14:textId="77777777" w:rsidR="00C1548D" w:rsidRDefault="009B1B4B">
            <w:pPr>
              <w:keepNext/>
              <w:spacing w:after="70" w:line="240" w:lineRule="auto"/>
            </w:pPr>
            <w:r>
              <w:rPr>
                <w:b/>
                <w:bCs/>
                <w:color w:val="9B2C2C"/>
                <w:spacing w:val="24"/>
                <w:sz w:val="16"/>
                <w:szCs w:val="16"/>
              </w:rPr>
              <w:t>ACHTUNG</w:t>
            </w:r>
          </w:p>
          <w:p w14:paraId="70A4F0E9" w14:textId="77777777" w:rsidR="00C1548D" w:rsidRDefault="009B1B4B">
            <w:pPr>
              <w:spacing w:after="80" w:line="264" w:lineRule="auto"/>
            </w:pPr>
            <w:r>
              <w:rPr>
                <w:sz w:val="20"/>
                <w:szCs w:val="20"/>
              </w:rPr>
              <w:t>Wer das Führungszeugnis zuerst beim Bundesamt für Justiz bestellt und erst danach an die Apostille denkt, muss den gesamten Vorgang wiederholen. Beantrage beides in einem Rutsch über das BfAA-Portal, bevor du beim Bundesamt für Justiz überhaupt auf „Absenden“ klickst.</w:t>
            </w:r>
          </w:p>
        </w:tc>
      </w:tr>
    </w:tbl>
    <w:p w14:paraId="70A4F0EB" w14:textId="77777777" w:rsidR="00C1548D" w:rsidRDefault="00C1548D">
      <w:pPr>
        <w:spacing w:line="220" w:lineRule="exact"/>
      </w:pPr>
    </w:p>
    <w:p w14:paraId="70A4F0EC" w14:textId="77777777" w:rsidR="00C1548D" w:rsidRDefault="009B1B4B">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w14:paraId="70A4F0ED" w14:textId="77777777" w:rsidR="00C1548D" w:rsidRDefault="009B1B4B">
      <w:pPr>
        <w:pStyle w:val="Heading3"/>
        <w:keepNext/>
        <w:jc w:val="center"/>
      </w:pPr>
      <w:r>
        <w:rPr>
          <w:rFonts w:ascii="Amazon Ember" w:eastAsia="Amazon Ember" w:hAnsi="Amazon Ember" w:cs="Amazon Ember"/>
          <w:color w:val="0000FF"/>
          <w:sz w:val="36"/>
          <w:szCs w:val="36"/>
        </w:rPr>
        <w:lastRenderedPageBreak/>
        <w:t>Migration Agent oder alleine durch den Antrag?</w:t>
      </w:r>
    </w:p>
    <w:p w14:paraId="70A4F0EE" w14:textId="77777777" w:rsidR="00C1548D" w:rsidRDefault="009B1B4B">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muss dort registriert sein; auch Rechtsanwälte mit australischer Zulassung dürfen migrationsrechtlich beraten. Das öffentliche Register auf dem OMARA-Self-Service-Portal zeigt, ob eine Person aktuell registriert ist und ob ein Disziplinarverfahren läuft – ein Blick, der sich vor jeder Zahlung lohnt. Seit dem 1. April 2026 gelten zudem neue Migration Agents R</w:t>
      </w:r>
      <w:r>
        <w:t>egulations, die die Aufsicht über den Berufsstand verschärft haben.</w:t>
      </w:r>
    </w:p>
    <w:p w14:paraId="70A4F0EF" w14:textId="77777777" w:rsidR="00C1548D" w:rsidRDefault="009B1B4B">
      <w:pPr>
        <w:spacing w:after="140"/>
      </w:pPr>
      <w:r>
        <w:t xml:space="preserve">Für eine unkomplizierte Working Holiday brauchst du in der Regel keinen Agenten: Das Formular ist selbsterklärend, die Voraussetzungen sind klar. Bei punktebasierten Visa mit Skills Assessment, Nominierung und mehreren Familienmitgliedern kann ein registrierter Agent dagegen echte Fehler vermeiden – vor allem, wenn Berufslisten und Bundesstaaten-Programme ins Spiel kommen, die sich jährlich ändern. Ein Agent ersetzt aber keine Garantie: Niemand kann eine Einladung oder eine Genehmigung versprechen, und wer </w:t>
      </w:r>
      <w:r>
        <w:t>das behauptet, verkauft dir vor allem eine hübsch formulierte Rechnung.</w:t>
      </w:r>
    </w:p>
    <w:p w14:paraId="70A4F0F0" w14:textId="77777777" w:rsidR="00C1548D" w:rsidRDefault="009B1B4B">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ausschließlich nach Aktenlage; gute Beziehungen helfen dabei ungefähr so viel wie ein Regenschirm gegen Sonnenbrand.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F3"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0F1" w14:textId="77777777" w:rsidR="00C1548D" w:rsidRDefault="009B1B4B">
            <w:pPr>
              <w:keepNext/>
              <w:spacing w:after="70" w:line="240" w:lineRule="auto"/>
            </w:pPr>
            <w:r>
              <w:rPr>
                <w:b/>
                <w:bCs/>
                <w:color w:val="6B7280"/>
                <w:spacing w:val="24"/>
                <w:sz w:val="16"/>
                <w:szCs w:val="16"/>
              </w:rPr>
              <w:lastRenderedPageBreak/>
              <w:t>KEIN RECHTSRAT</w:t>
            </w:r>
          </w:p>
          <w:p w14:paraId="70A4F0F2" w14:textId="77777777" w:rsidR="00C1548D" w:rsidRDefault="009B1B4B">
            <w:pPr>
              <w:spacing w:after="80" w:line="264" w:lineRule="auto"/>
            </w:pPr>
            <w:r>
              <w:rPr>
                <w:sz w:val="20"/>
                <w:szCs w:val="20"/>
              </w:rPr>
              <w:t>Dieses Kapitel beschreibt Verfahren und Praxis, keine Rechtsberatung. Bei komplexen Fällen – Vorstrafen, frühere Visumsablehnungen, ungewöhnliche Familienkonstellationen – lohnt sich die Beratung durch einen registrierten Migration Agent oder eine australische Anwältin mit Migrationsrecht als Schwerpunkt.</w:t>
            </w:r>
          </w:p>
        </w:tc>
      </w:tr>
    </w:tbl>
    <w:p w14:paraId="70A4F0F4" w14:textId="77777777" w:rsidR="00C1548D" w:rsidRDefault="00C1548D">
      <w:pPr>
        <w:spacing w:line="220" w:lineRule="exact"/>
      </w:pPr>
    </w:p>
    <w:p w14:paraId="70A4F0F5" w14:textId="77777777" w:rsidR="00C1548D" w:rsidRDefault="009B1B4B">
      <w:pPr>
        <w:pStyle w:val="Heading3"/>
        <w:keepNext/>
        <w:jc w:val="center"/>
      </w:pPr>
      <w:r>
        <w:rPr>
          <w:rFonts w:ascii="Amazon Ember" w:eastAsia="Amazon Ember" w:hAnsi="Amazon Ember" w:cs="Amazon Ember"/>
          <w:color w:val="0000FF"/>
          <w:sz w:val="36"/>
          <w:szCs w:val="36"/>
        </w:rPr>
        <w:t>Die deutsche Auslandsvertretung in Australien</w:t>
      </w:r>
    </w:p>
    <w:p w14:paraId="70A4F0F6" w14:textId="77777777" w:rsidR="00C1548D" w:rsidRDefault="009B1B4B">
      <w:pPr>
        <w:spacing w:after="140"/>
      </w:pPr>
      <w:r>
        <w:t>Verbreiteter Irrtum: Viele Auswanderer erwarten, dass die deutsche Botschaft oder ein Konsulat beim australischen Visumantrag hilft oder zumindest vermittelt. Das ist nicht deren Aufgabe: Über die Erteilung eines australischen Visums entscheidet ausschließlich Home Affairs, und keine deutsche Stelle hat darauf Einfluss. Die deutschen Vertretungen sind für deutsche Angelegenheiten zuständig – Pass, Personalausweis, Beglaubigungen, Notfallhilfe für deutsche Staatsangehörige –, nicht für australisches Verwaltu</w:t>
      </w:r>
      <w:r>
        <w:t>ngsrecht.</w:t>
      </w:r>
    </w:p>
    <w:p w14:paraId="70A4F0F7" w14:textId="77777777" w:rsidR="00C1548D" w:rsidRDefault="009B1B4B">
      <w:pPr>
        <w:spacing w:after="140"/>
      </w:pPr>
      <w:r>
        <w:t>In Australien gliedert sich das Netz so: Die Deutsche Botschaft in Canberra betreut ausschließlich die dort ansässigen Deutschen im Australian Capital Territory. Für den gesamten Rest des Landes – zusätzlich Papua-Neuguinea, Nauru, die Salomonen und Vanuatu – ist das Generalkonsulat in Sydney zuständig. Ergänzt wird das durch Honorarkonsuln in Melbourne, Adelaide, Brisbane, Cairns, Darwin, Hobart und Perth: meist ortsansässige Persönlichkeiten, die ehrenamtlich einen eingeschränkten Service anbieten, etwa B</w:t>
      </w:r>
      <w:r>
        <w:t>eglaubigungen oder die Weiterleitung von Passanträgen, aber keine vollständige Konsularabteilung ersetzen.</w:t>
      </w:r>
    </w:p>
    <w:p w14:paraId="70A4F0F8" w14:textId="77777777" w:rsidR="00C1548D" w:rsidRDefault="009B1B4B">
      <w:pPr>
        <w:spacing w:after="140"/>
      </w:pPr>
      <w:r>
        <w:t xml:space="preserve">Für Familie Reinhardt mit Ziel Melbourne heißt das konkret: Der Honorarkonsul vor Ort hilft bei kleineren Formalitäten, für einen neuen Reisepass oder umfangreichere Beglaubigungen bleibt der Weg zum Generalkonsulat nach Sydney, teils auch postalisch </w:t>
      </w:r>
      <w:r>
        <w:lastRenderedPageBreak/>
        <w:t>möglich. Wer die apostillierte Fassung eines Dokuments noch in Deutschland braucht, erledigt das ohnehin vor dem Abflug – danach hilft in Australien niemand mehr rückwirkend weiter.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0FB"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0F9" w14:textId="77777777" w:rsidR="00C1548D" w:rsidRDefault="009B1B4B">
            <w:pPr>
              <w:keepNext/>
              <w:spacing w:after="70" w:line="240" w:lineRule="auto"/>
            </w:pPr>
            <w:r>
              <w:rPr>
                <w:b/>
                <w:bCs/>
                <w:color w:val="8A6212"/>
                <w:spacing w:val="24"/>
                <w:sz w:val="16"/>
                <w:szCs w:val="16"/>
              </w:rPr>
              <w:t>MERKE</w:t>
            </w:r>
          </w:p>
          <w:p w14:paraId="70A4F0FA" w14:textId="77777777" w:rsidR="00C1548D" w:rsidRDefault="009B1B4B">
            <w:pPr>
              <w:spacing w:after="80" w:line="264" w:lineRule="auto"/>
            </w:pPr>
            <w:r>
              <w:rPr>
                <w:sz w:val="20"/>
                <w:szCs w:val="20"/>
              </w:rPr>
              <w:t>Die deutsche Auslandsvertretung ist deine Anlaufstelle für deutsche Dokumente und Notfälle, nicht für den australischen Visumantrag. Das erledigst du ausschließlich selbst über ImmiAccount, notfalls mit einem registrierten Migration Agent.</w:t>
            </w:r>
          </w:p>
        </w:tc>
      </w:tr>
    </w:tbl>
    <w:p w14:paraId="70A4F0FC" w14:textId="77777777" w:rsidR="00C1548D" w:rsidRDefault="00C1548D">
      <w:pPr>
        <w:spacing w:line="220" w:lineRule="exact"/>
      </w:pPr>
    </w:p>
    <w:p w14:paraId="70A4F0FD" w14:textId="77777777" w:rsidR="00C1548D" w:rsidRDefault="009B1B4B">
      <w:pPr>
        <w:pStyle w:val="Heading3"/>
        <w:keepNext/>
        <w:jc w:val="center"/>
      </w:pPr>
      <w:r>
        <w:rPr>
          <w:rFonts w:ascii="Amazon Ember" w:eastAsia="Amazon Ember" w:hAnsi="Amazon Ember" w:cs="Amazon Ember"/>
          <w:color w:val="0000FF"/>
          <w:sz w:val="36"/>
          <w:szCs w:val="36"/>
        </w:rPr>
        <w:t>Plus und Minus</w:t>
      </w:r>
    </w:p>
    <w:p w14:paraId="70A4F0FE" w14:textId="77777777" w:rsidR="00C1548D" w:rsidRDefault="009B1B4B">
      <w:pPr>
        <w:spacing w:after="140"/>
      </w:pPr>
      <w:r>
        <w:t>Ein Migration Agent neben dem Alleingang über ImmiAccount: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28"/>
        <w:gridCol w:w="3352"/>
      </w:tblGrid>
      <w:tr w:rsidR="00C1548D" w14:paraId="70A4F101" w14:textId="77777777">
        <w:tblPrEx>
          <w:tblCellMar>
            <w:top w:w="0" w:type="dxa"/>
            <w:bottom w:w="0" w:type="dxa"/>
          </w:tblCellMar>
        </w:tblPrEx>
        <w:trPr>
          <w:cantSplit/>
          <w:tblHeader/>
        </w:trPr>
        <w:tc>
          <w:tcPr>
            <w:tcW w:w="31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0FF" w14:textId="77777777" w:rsidR="00C1548D" w:rsidRDefault="009B1B4B">
            <w:pPr>
              <w:spacing w:line="250" w:lineRule="auto"/>
            </w:pPr>
            <w:r>
              <w:rPr>
                <w:b/>
                <w:bCs/>
                <w:sz w:val="18"/>
                <w:szCs w:val="18"/>
              </w:rPr>
              <w:t>Plus</w:t>
            </w:r>
          </w:p>
        </w:tc>
        <w:tc>
          <w:tcPr>
            <w:tcW w:w="33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100" w14:textId="77777777" w:rsidR="00C1548D" w:rsidRDefault="009B1B4B">
            <w:pPr>
              <w:spacing w:line="250" w:lineRule="auto"/>
            </w:pPr>
            <w:r>
              <w:rPr>
                <w:b/>
                <w:bCs/>
                <w:sz w:val="18"/>
                <w:szCs w:val="18"/>
              </w:rPr>
              <w:t>Minus</w:t>
            </w:r>
          </w:p>
        </w:tc>
      </w:tr>
      <w:tr w:rsidR="00C1548D" w14:paraId="70A4F104" w14:textId="77777777">
        <w:tblPrEx>
          <w:tblCellMar>
            <w:top w:w="0" w:type="dxa"/>
            <w:bottom w:w="0" w:type="dxa"/>
          </w:tblCellMar>
        </w:tblPrEx>
        <w:trPr>
          <w:cantSplit/>
        </w:trPr>
        <w:tc>
          <w:tcPr>
            <w:tcW w:w="3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02" w14:textId="77777777" w:rsidR="00C1548D" w:rsidRDefault="009B1B4B">
            <w:pPr>
              <w:spacing w:line="250" w:lineRule="auto"/>
            </w:pPr>
            <w:r>
              <w:rPr>
                <w:sz w:val="18"/>
                <w:szCs w:val="18"/>
              </w:rPr>
              <w:t>Kennt aktuelle Berufslisten und Fristen im Detail</w:t>
            </w:r>
          </w:p>
        </w:tc>
        <w:tc>
          <w:tcPr>
            <w:tcW w:w="3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03" w14:textId="77777777" w:rsidR="00C1548D" w:rsidRDefault="009B1B4B">
            <w:pPr>
              <w:spacing w:line="250" w:lineRule="auto"/>
            </w:pPr>
            <w:r>
              <w:rPr>
                <w:sz w:val="18"/>
                <w:szCs w:val="18"/>
              </w:rPr>
              <w:t>Zusätzliches Honorar, oft mehrere Tausend AUD</w:t>
            </w:r>
          </w:p>
        </w:tc>
      </w:tr>
      <w:tr w:rsidR="00C1548D" w14:paraId="70A4F107" w14:textId="77777777">
        <w:tblPrEx>
          <w:tblCellMar>
            <w:top w:w="0" w:type="dxa"/>
            <w:bottom w:w="0" w:type="dxa"/>
          </w:tblCellMar>
        </w:tblPrEx>
        <w:trPr>
          <w:cantSplit/>
        </w:trPr>
        <w:tc>
          <w:tcPr>
            <w:tcW w:w="3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05" w14:textId="77777777" w:rsidR="00C1548D" w:rsidRDefault="009B1B4B">
            <w:pPr>
              <w:spacing w:line="250" w:lineRule="auto"/>
            </w:pPr>
            <w:r>
              <w:rPr>
                <w:sz w:val="18"/>
                <w:szCs w:val="18"/>
              </w:rPr>
              <w:t>Prüft Unterlagen vor der Einreichung auf Lücken</w:t>
            </w:r>
          </w:p>
        </w:tc>
        <w:tc>
          <w:tcPr>
            <w:tcW w:w="3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06" w14:textId="77777777" w:rsidR="00C1548D" w:rsidRDefault="009B1B4B">
            <w:pPr>
              <w:spacing w:line="250" w:lineRule="auto"/>
            </w:pPr>
            <w:r>
              <w:rPr>
                <w:sz w:val="18"/>
                <w:szCs w:val="18"/>
              </w:rPr>
              <w:t>Ersetzt keine Garantie für Einladung oder Genehmigung</w:t>
            </w:r>
          </w:p>
        </w:tc>
      </w:tr>
      <w:tr w:rsidR="00C1548D" w14:paraId="70A4F10A" w14:textId="77777777">
        <w:tblPrEx>
          <w:tblCellMar>
            <w:top w:w="0" w:type="dxa"/>
            <w:bottom w:w="0" w:type="dxa"/>
          </w:tblCellMar>
        </w:tblPrEx>
        <w:trPr>
          <w:cantSplit/>
        </w:trPr>
        <w:tc>
          <w:tcPr>
            <w:tcW w:w="3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08" w14:textId="77777777" w:rsidR="00C1548D" w:rsidRDefault="009B1B4B">
            <w:pPr>
              <w:spacing w:line="250" w:lineRule="auto"/>
            </w:pPr>
            <w:r>
              <w:rPr>
                <w:sz w:val="18"/>
                <w:szCs w:val="18"/>
              </w:rPr>
              <w:t>Kommuniziert bei Nachforderungen mit Home Affairs</w:t>
            </w:r>
          </w:p>
        </w:tc>
        <w:tc>
          <w:tcPr>
            <w:tcW w:w="3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09" w14:textId="77777777" w:rsidR="00C1548D" w:rsidRDefault="009B1B4B">
            <w:pPr>
              <w:spacing w:line="250" w:lineRule="auto"/>
            </w:pPr>
            <w:r>
              <w:rPr>
                <w:sz w:val="18"/>
                <w:szCs w:val="18"/>
              </w:rPr>
              <w:t>Verantwortung für wahrheitsgemäße Angaben bleibt bei dir</w:t>
            </w:r>
          </w:p>
        </w:tc>
      </w:tr>
      <w:tr w:rsidR="00C1548D" w14:paraId="70A4F10D" w14:textId="77777777">
        <w:tblPrEx>
          <w:tblCellMar>
            <w:top w:w="0" w:type="dxa"/>
            <w:bottom w:w="0" w:type="dxa"/>
          </w:tblCellMar>
        </w:tblPrEx>
        <w:trPr>
          <w:cantSplit/>
        </w:trPr>
        <w:tc>
          <w:tcPr>
            <w:tcW w:w="3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0B" w14:textId="77777777" w:rsidR="00C1548D" w:rsidRDefault="009B1B4B">
            <w:pPr>
              <w:spacing w:line="250" w:lineRule="auto"/>
            </w:pPr>
            <w:r>
              <w:rPr>
                <w:sz w:val="18"/>
                <w:szCs w:val="18"/>
              </w:rPr>
              <w:t>Sinnvoll bei Vorstrafen, Ablehnungen, Sonderfällen</w:t>
            </w:r>
          </w:p>
        </w:tc>
        <w:tc>
          <w:tcPr>
            <w:tcW w:w="3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0C" w14:textId="77777777" w:rsidR="00C1548D" w:rsidRDefault="009B1B4B">
            <w:pPr>
              <w:spacing w:line="250" w:lineRule="auto"/>
            </w:pPr>
            <w:r>
              <w:rPr>
                <w:sz w:val="18"/>
                <w:szCs w:val="18"/>
              </w:rPr>
              <w:t>Bei einer einfachen Working Holiday meist unnötig</w:t>
            </w:r>
          </w:p>
        </w:tc>
      </w:tr>
    </w:tbl>
    <w:p w14:paraId="70A4F10E"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11"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10F" w14:textId="77777777" w:rsidR="00C1548D" w:rsidRDefault="009B1B4B">
            <w:pPr>
              <w:keepNext/>
              <w:spacing w:after="70" w:line="240" w:lineRule="auto"/>
            </w:pPr>
            <w:r>
              <w:rPr>
                <w:b/>
                <w:bCs/>
                <w:color w:val="4A5568"/>
                <w:spacing w:val="24"/>
                <w:sz w:val="16"/>
                <w:szCs w:val="16"/>
              </w:rPr>
              <w:t>PRAXISBEISPIEL · FIKTIV</w:t>
            </w:r>
          </w:p>
          <w:p w14:paraId="70A4F110" w14:textId="77777777" w:rsidR="00C1548D" w:rsidRDefault="009B1B4B">
            <w:pPr>
              <w:spacing w:after="80" w:line="264" w:lineRule="auto"/>
            </w:pPr>
            <w:r>
              <w:rPr>
                <w:sz w:val="20"/>
                <w:szCs w:val="20"/>
              </w:rPr>
              <w:t>Familie Reinhardt (Thomas, 41, Bauingenieur; Sandra, 39, Krankenpflegerin; Köln) reicht die EOI für Subclass 189 mit 95 Punkten ein und wird nach 14 Monaten eingeladen. Innerhalb der 60-Tage-Frist stellen sie den Antrag für alle vier über ImmiAccount: 6.135 AUD für Thomas, anteilige Gebühren für Sandra, Emil und Clara, macht zusammen deutlich über 10.000 AUD. Die Gesundheitsuntersuchung bei einem Panel Physician in Köln kostet für die Familie rund 900 AUD, die vier Führungszeugnisse mit Apostille je 38 €. S</w:t>
            </w:r>
            <w:r>
              <w:rPr>
                <w:sz w:val="20"/>
                <w:szCs w:val="20"/>
              </w:rPr>
              <w:t>andra hat vor Jahren ein Jahr in Neuseeland gearbeitet und muss dafür zusätzlich ein neuseeländisches Führungszeugnis nachreichen – daran hatte am Küchentisch zunächst niemand gedacht. Nach acht Monaten liegt die Genehmigung vor. (Fiktives Beispiel.)</w:t>
            </w:r>
          </w:p>
        </w:tc>
      </w:tr>
    </w:tbl>
    <w:p w14:paraId="70A4F112"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15"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113" w14:textId="77777777" w:rsidR="00C1548D" w:rsidRDefault="009B1B4B">
            <w:pPr>
              <w:keepNext/>
              <w:spacing w:after="70" w:line="240" w:lineRule="auto"/>
            </w:pPr>
            <w:r>
              <w:rPr>
                <w:b/>
                <w:bCs/>
                <w:color w:val="4A5568"/>
                <w:spacing w:val="24"/>
                <w:sz w:val="16"/>
                <w:szCs w:val="16"/>
              </w:rPr>
              <w:lastRenderedPageBreak/>
              <w:t>PRAXISBEISPIEL · FIKTIV</w:t>
            </w:r>
          </w:p>
          <w:p w14:paraId="70A4F114" w14:textId="77777777" w:rsidR="00C1548D" w:rsidRDefault="009B1B4B">
            <w:pPr>
              <w:spacing w:after="80" w:line="264" w:lineRule="auto"/>
            </w:pPr>
            <w:r>
              <w:rPr>
                <w:sz w:val="20"/>
                <w:szCs w:val="20"/>
              </w:rPr>
              <w:t>Nina Voss (27, Marketing, Hamburg) beantragt ihr Working-Holiday-Visum (Subclass 417) an einem Sonntagabend vom Sofa aus: Formular in ImmiAccount, 840 AUD Gebühr, keine Gesundheitsuntersuchung, kein Führungszeugnis nötig. Drei Tage später liegt die Genehmigung im Postfach – schneller, als ihr Wäschetrockner ein Programm durchläuft. Der Unterschied zum Verfahren der Familie Reinhardt könnte kaum größer sein: gleiches Land, gleiche Behörde, vollkommen andere Größenordnung. (Fiktives Beispiel.)</w:t>
            </w:r>
          </w:p>
        </w:tc>
      </w:tr>
    </w:tbl>
    <w:p w14:paraId="70A4F116" w14:textId="77777777" w:rsidR="00C1548D" w:rsidRDefault="00C1548D">
      <w:pPr>
        <w:spacing w:line="220" w:lineRule="exact"/>
      </w:pPr>
    </w:p>
    <w:p w14:paraId="70A4F117"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118" w14:textId="77777777" w:rsidR="00C1548D" w:rsidRDefault="009B1B4B">
      <w:pPr>
        <w:spacing w:after="140"/>
      </w:pPr>
      <w:r>
        <w:t>Kläre zuerst, welcher Visumtyp überhaupt infrage kommt – das entscheidet, ob ein Skills Assessment und eine EOI nötig sind oder ob 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22"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119" w14:textId="77777777" w:rsidR="00C1548D" w:rsidRDefault="009B1B4B">
            <w:pPr>
              <w:keepNext/>
              <w:spacing w:after="70" w:line="240" w:lineRule="auto"/>
            </w:pPr>
            <w:r>
              <w:rPr>
                <w:b/>
                <w:bCs/>
                <w:color w:val="1F6F78"/>
                <w:spacing w:val="24"/>
                <w:sz w:val="16"/>
                <w:szCs w:val="16"/>
              </w:rPr>
              <w:lastRenderedPageBreak/>
              <w:t>CHECKLISTE</w:t>
            </w:r>
          </w:p>
          <w:p w14:paraId="70A4F11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Visumtyp und Weg geklärt (punktebasiert, arbeitgebergesponsert, Working Holiday)</w:t>
            </w:r>
          </w:p>
          <w:p w14:paraId="70A4F11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punktebasiertem Weg: Skills Assessment beantragt, EOI in SkillSelect eingereicht</w:t>
            </w:r>
          </w:p>
          <w:p w14:paraId="70A4F11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ImmiAccount angelegt, Benachrichtigungen aktiviert</w:t>
            </w:r>
          </w:p>
          <w:p w14:paraId="70A4F11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Alle Gebühren realistisch kalkuliert: Antrag, Skills Assessment, Englischtest, Gesundheitscheck, Führungszeugnisse</w:t>
            </w:r>
          </w:p>
          <w:p w14:paraId="70A4F11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Führungszeugnis mit Apostille in einem Schritt über das BfAA-Portal beantragt, für jedes Land mit über 12 Monaten Aufenthalt seit dem 16. Geburtstag</w:t>
            </w:r>
          </w:p>
          <w:p w14:paraId="70A4F11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Gesundheitsuntersuchung bei einem zugelassenen Panel Physician terminiert, sobald die HAP-ID vorliegt</w:t>
            </w:r>
          </w:p>
          <w:p w14:paraId="70A4F12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Entschieden, ob ein registrierter Migration Agent sinnvoll ist; Registrierung im OMARA-Portal geprüft</w:t>
            </w:r>
          </w:p>
          <w:p w14:paraId="70A4F12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Aktuelle Bearbeitungszeiten auf der Home-Affairs-Seite geprüft, Job und Wohnung in Deutschland erst nach der Genehmigung gekündigt</w:t>
            </w:r>
          </w:p>
        </w:tc>
      </w:tr>
    </w:tbl>
    <w:p w14:paraId="70A4F123" w14:textId="77777777" w:rsidR="00C1548D" w:rsidRDefault="00C1548D">
      <w:pPr>
        <w:spacing w:line="220" w:lineRule="exact"/>
      </w:pPr>
    </w:p>
    <w:p w14:paraId="70A4F124"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125" w14:textId="639BC635" w:rsidR="00C1548D" w:rsidRDefault="009B1B4B" w:rsidP="009B1B4B">
      <w:pPr>
        <w:pStyle w:val="ListParagraph"/>
        <w:numPr>
          <w:ilvl w:val="0"/>
          <w:numId w:val="1"/>
        </w:numPr>
        <w:spacing w:after="60"/>
      </w:pPr>
      <w:r>
        <w:t xml:space="preserve">Department of Home Affairs — Visa, Gebühren, ImmiAccount: </w:t>
      </w:r>
      <w:hyperlink r:id="rId398" w:history="1">
        <w:r>
          <w:rPr>
            <w:color w:val="0563C1"/>
            <w:u w:val="single"/>
          </w:rPr>
          <w:t>immi.homeaffairs.gov.au</w:t>
        </w:r>
      </w:hyperlink>
    </w:p>
    <w:p w14:paraId="70A4F126" w14:textId="7D1C2742" w:rsidR="00C1548D" w:rsidRDefault="009B1B4B" w:rsidP="009B1B4B">
      <w:pPr>
        <w:pStyle w:val="ListParagraph"/>
        <w:numPr>
          <w:ilvl w:val="0"/>
          <w:numId w:val="1"/>
        </w:numPr>
        <w:spacing w:after="60"/>
      </w:pPr>
      <w:r>
        <w:t xml:space="preserve">Department of Home Affairs — SkillSelect: </w:t>
      </w:r>
      <w:hyperlink r:id="rId399" w:history="1">
        <w:r>
          <w:rPr>
            <w:color w:val="0563C1"/>
            <w:u w:val="single"/>
          </w:rPr>
          <w:t>immi.homeaffairs.gov.au/visas/working-in-australia/skillselect</w:t>
        </w:r>
      </w:hyperlink>
    </w:p>
    <w:p w14:paraId="70A4F127" w14:textId="773E9124" w:rsidR="00C1548D" w:rsidRDefault="009B1B4B" w:rsidP="009B1B4B">
      <w:pPr>
        <w:pStyle w:val="ListParagraph"/>
        <w:numPr>
          <w:ilvl w:val="0"/>
          <w:numId w:val="1"/>
        </w:numPr>
        <w:spacing w:after="60"/>
      </w:pPr>
      <w:r>
        <w:t xml:space="preserve">Department of Home Affairs — Bearbeitungszeiten: </w:t>
      </w:r>
      <w:hyperlink r:id="rId400" w:history="1">
        <w:r>
          <w:rPr>
            <w:color w:val="0563C1"/>
            <w:u w:val="single"/>
          </w:rPr>
          <w:t>immi.homeaffairs.gov.au/visas/getting-a-visa/visa-processing-times</w:t>
        </w:r>
      </w:hyperlink>
    </w:p>
    <w:p w14:paraId="70A4F128" w14:textId="2BCBC7A9" w:rsidR="00C1548D" w:rsidRDefault="009B1B4B" w:rsidP="009B1B4B">
      <w:pPr>
        <w:pStyle w:val="ListParagraph"/>
        <w:numPr>
          <w:ilvl w:val="0"/>
          <w:numId w:val="1"/>
        </w:numPr>
        <w:spacing w:after="60"/>
      </w:pPr>
      <w:r>
        <w:t xml:space="preserve">OMARA — Register der Migration Agents: </w:t>
      </w:r>
      <w:hyperlink r:id="rId401" w:history="1">
        <w:r>
          <w:rPr>
            <w:color w:val="0563C1"/>
            <w:u w:val="single"/>
          </w:rPr>
          <w:t>portal.mara.gov.au</w:t>
        </w:r>
      </w:hyperlink>
    </w:p>
    <w:p w14:paraId="70A4F129" w14:textId="6F199826" w:rsidR="00C1548D" w:rsidRDefault="009B1B4B" w:rsidP="009B1B4B">
      <w:pPr>
        <w:pStyle w:val="ListParagraph"/>
        <w:numPr>
          <w:ilvl w:val="0"/>
          <w:numId w:val="1"/>
        </w:numPr>
        <w:spacing w:after="60"/>
      </w:pPr>
      <w:r>
        <w:t xml:space="preserve">Bundesamt für Justiz — Führungszeugnis: </w:t>
      </w:r>
      <w:hyperlink r:id="rId402" w:history="1">
        <w:r>
          <w:rPr>
            <w:color w:val="0563C1"/>
            <w:u w:val="single"/>
          </w:rPr>
          <w:t>bundesjustizamt.de</w:t>
        </w:r>
      </w:hyperlink>
    </w:p>
    <w:p w14:paraId="70A4F12A" w14:textId="3EB10A9E" w:rsidR="00C1548D" w:rsidRDefault="009B1B4B" w:rsidP="009B1B4B">
      <w:pPr>
        <w:pStyle w:val="ListParagraph"/>
        <w:numPr>
          <w:ilvl w:val="0"/>
          <w:numId w:val="1"/>
        </w:numPr>
        <w:spacing w:after="60"/>
      </w:pPr>
      <w:r>
        <w:t xml:space="preserve">Bundesamt für Auswärtige Angelegenheiten — Apostille: </w:t>
      </w:r>
      <w:hyperlink r:id="rId403" w:history="1">
        <w:r>
          <w:rPr>
            <w:color w:val="0563C1"/>
            <w:u w:val="single"/>
          </w:rPr>
          <w:t>bfaa.diplo.de</w:t>
        </w:r>
      </w:hyperlink>
    </w:p>
    <w:p w14:paraId="70A4F12B" w14:textId="43C29D9F" w:rsidR="00C1548D" w:rsidRDefault="009B1B4B" w:rsidP="009B1B4B">
      <w:pPr>
        <w:pStyle w:val="ListParagraph"/>
        <w:numPr>
          <w:ilvl w:val="0"/>
          <w:numId w:val="1"/>
        </w:numPr>
        <w:spacing w:after="60"/>
      </w:pPr>
      <w:r>
        <w:t xml:space="preserve">Deutsche Vertretungen in Australien: </w:t>
      </w:r>
      <w:hyperlink r:id="rId404" w:history="1">
        <w:r>
          <w:rPr>
            <w:color w:val="0563C1"/>
            <w:u w:val="single"/>
          </w:rPr>
          <w:t>australien.diplo.de</w:t>
        </w:r>
      </w:hyperlink>
    </w:p>
    <w:p w14:paraId="70A4F12C"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2F"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12D" w14:textId="77777777" w:rsidR="00C1548D" w:rsidRDefault="009B1B4B">
            <w:pPr>
              <w:keepNext/>
              <w:spacing w:after="70" w:line="240" w:lineRule="auto"/>
            </w:pPr>
            <w:r>
              <w:rPr>
                <w:b/>
                <w:bCs/>
                <w:color w:val="6B7280"/>
                <w:spacing w:val="24"/>
                <w:sz w:val="16"/>
                <w:szCs w:val="16"/>
              </w:rPr>
              <w:t>STAND</w:t>
            </w:r>
          </w:p>
          <w:p w14:paraId="70A4F12E" w14:textId="77777777" w:rsidR="00C1548D" w:rsidRDefault="009B1B4B">
            <w:pPr>
              <w:spacing w:after="80" w:line="264" w:lineRule="auto"/>
            </w:pPr>
            <w:r>
              <w:rPr>
                <w:sz w:val="20"/>
                <w:szCs w:val="20"/>
              </w:rPr>
              <w:t>23.09.2026. Diese Angaben ändern sich schnell: Gebühren (letzte große Runde 1. Juli 2026), Bearbeitungszeiten (monatlich aktualisiert), die Priorisierung nach Ministerial Directions 121/122 (seit 19. September 2026) sowie die Details des Working-Holiday-Losverfahrens für das zweite Jahr. Prüfe vor jeder Entscheidung immi.homeaffairs.gov.au und die Seiten der deutschen Vertretungen.</w:t>
            </w:r>
          </w:p>
        </w:tc>
      </w:tr>
    </w:tbl>
    <w:p w14:paraId="70A4F130" w14:textId="77777777" w:rsidR="00C1548D" w:rsidRDefault="00C1548D">
      <w:pPr>
        <w:spacing w:line="220" w:lineRule="exact"/>
      </w:pPr>
    </w:p>
    <w:p w14:paraId="70A4F131" w14:textId="77777777" w:rsidR="00C1548D" w:rsidRDefault="009B1B4B">
      <w:pPr>
        <w:pStyle w:val="Heading2"/>
        <w:keepNext/>
        <w:pageBreakBefore/>
        <w:jc w:val="center"/>
      </w:pPr>
      <w:bookmarkStart w:id="112" w:name="tau06"/>
      <w:bookmarkStart w:id="113" w:name="_Toc241352507"/>
      <w:r>
        <w:rPr>
          <w:rFonts w:ascii="Amazon Ember" w:eastAsia="Amazon Ember" w:hAnsi="Amazon Ember" w:cs="Amazon Ember"/>
          <w:color w:val="0000FF"/>
          <w:sz w:val="36"/>
          <w:szCs w:val="36"/>
        </w:rPr>
        <w:lastRenderedPageBreak/>
        <w:t>Australien: Ankunft, erste Tage und Wochen</w:t>
      </w:r>
      <w:bookmarkEnd w:id="112"/>
      <w:bookmarkEnd w:id="113"/>
    </w:p>
    <w:p w14:paraId="70A4F132" w14:textId="77777777" w:rsidR="00C1548D" w:rsidRDefault="009B1B4B">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 nicht, weil das Land besonders bürokratisch wäre, sondern weil fast alles gleichzeitig fällig wird. Dieses Kapitel bringt Reihenfolge i</w:t>
      </w:r>
      <w:r>
        <w:t>n das Durcheinander zwischen Landung und dem Gefühl, tatsächlich angekommen zu sein.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3B"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133" w14:textId="77777777" w:rsidR="00C1548D" w:rsidRDefault="009B1B4B">
            <w:pPr>
              <w:keepNext/>
              <w:spacing w:after="70" w:line="240" w:lineRule="auto"/>
            </w:pPr>
            <w:r>
              <w:rPr>
                <w:b/>
                <w:bCs/>
                <w:color w:val="1F3A5F"/>
                <w:spacing w:val="24"/>
                <w:sz w:val="16"/>
                <w:szCs w:val="16"/>
              </w:rPr>
              <w:lastRenderedPageBreak/>
              <w:t>KURZ GESAGT</w:t>
            </w:r>
          </w:p>
          <w:p w14:paraId="70A4F134" w14:textId="77777777" w:rsidR="00C1548D" w:rsidRDefault="009B1B4B" w:rsidP="009B1B4B">
            <w:pPr>
              <w:pStyle w:val="ListParagraph"/>
              <w:numPr>
                <w:ilvl w:val="0"/>
                <w:numId w:val="1"/>
              </w:numPr>
              <w:spacing w:after="50" w:line="264" w:lineRule="auto"/>
            </w:pPr>
            <w:r>
              <w:rPr>
                <w:sz w:val="20"/>
                <w:szCs w:val="20"/>
              </w:rPr>
              <w:t>Die Einreisekontrolle ist meist zügig, die anschließende Biosecurity-Kontrolle (Zoll und Einfuhrschutz für Lebensmittel, Pflanzen, Holz) dagegen streng – ehrliches Deklarieren erspart Ärger.</w:t>
            </w:r>
          </w:p>
          <w:p w14:paraId="70A4F135" w14:textId="77777777" w:rsidR="00C1548D" w:rsidRDefault="009B1B4B" w:rsidP="009B1B4B">
            <w:pPr>
              <w:pStyle w:val="ListParagraph"/>
              <w:numPr>
                <w:ilvl w:val="0"/>
                <w:numId w:val="1"/>
              </w:numPr>
              <w:spacing w:after="50" w:line="264" w:lineRule="auto"/>
            </w:pPr>
            <w:r>
              <w:rPr>
                <w:sz w:val="20"/>
                <w:szCs w:val="20"/>
              </w:rPr>
              <w:t xml:space="preserve">Beantrage die </w:t>
            </w:r>
            <w:r>
              <w:rPr>
                <w:i/>
                <w:iCs/>
                <w:sz w:val="20"/>
                <w:szCs w:val="20"/>
              </w:rPr>
              <w:t>Tax File Number</w:t>
            </w:r>
            <w:r>
              <w:rPr>
                <w:sz w:val="20"/>
                <w:szCs w:val="20"/>
              </w:rPr>
              <w:t xml:space="preserve"> (TFN, die australische Steuer-Identifikationsnummer) so früh wie möglich: kostenlos, aber ohne sie behält dein Arbeitgeber 47 % deines Lohns ein.</w:t>
            </w:r>
          </w:p>
          <w:p w14:paraId="70A4F136" w14:textId="77777777" w:rsidR="00C1548D" w:rsidRDefault="009B1B4B" w:rsidP="009B1B4B">
            <w:pPr>
              <w:pStyle w:val="ListParagraph"/>
              <w:numPr>
                <w:ilvl w:val="0"/>
                <w:numId w:val="1"/>
              </w:numPr>
              <w:spacing w:after="50" w:line="264" w:lineRule="auto"/>
            </w:pPr>
            <w:r>
              <w:rPr>
                <w:sz w:val="20"/>
                <w:szCs w:val="20"/>
              </w:rPr>
              <w:t>Ein Bankkonto lässt sich bei manchen Instituten schon von Deutschland aus online vorbereiten.</w:t>
            </w:r>
          </w:p>
          <w:p w14:paraId="70A4F137" w14:textId="6D316B3F" w:rsidR="00C1548D" w:rsidRDefault="009B1B4B" w:rsidP="009B1B4B">
            <w:pPr>
              <w:pStyle w:val="ListParagraph"/>
              <w:numPr>
                <w:ilvl w:val="0"/>
                <w:numId w:val="1"/>
              </w:numPr>
              <w:spacing w:after="50" w:line="264" w:lineRule="auto"/>
            </w:pPr>
            <w:r>
              <w:rPr>
                <w:sz w:val="20"/>
                <w:szCs w:val="20"/>
              </w:rPr>
              <w:t xml:space="preserve">Ob du sofort Zugang zum staatlichen Gesundheitssystem hast, hängt vom Visumtyp ab – Permanent Residents ja, die meisten befristeten Visa nein. Mehr dazu im </w:t>
            </w:r>
            <w:hyperlink w:anchor="tau08" w:history="1">
              <w:r>
                <w:rPr>
                  <w:color w:val="0563C1"/>
                  <w:sz w:val="20"/>
                  <w:szCs w:val="20"/>
                  <w:u w:val="single"/>
                </w:rPr>
                <w:t>Kapitel zum Gesundheitssystem in diesem Teil</w:t>
              </w:r>
            </w:hyperlink>
            <w:r>
              <w:rPr>
                <w:sz w:val="20"/>
                <w:szCs w:val="20"/>
              </w:rPr>
              <w:t>.</w:t>
            </w:r>
          </w:p>
          <w:p w14:paraId="70A4F138" w14:textId="77777777" w:rsidR="00C1548D" w:rsidRDefault="009B1B4B" w:rsidP="009B1B4B">
            <w:pPr>
              <w:pStyle w:val="ListParagraph"/>
              <w:numPr>
                <w:ilvl w:val="0"/>
                <w:numId w:val="1"/>
              </w:numPr>
              <w:spacing w:after="50" w:line="264" w:lineRule="auto"/>
            </w:pPr>
            <w:r>
              <w:rPr>
                <w:sz w:val="20"/>
                <w:szCs w:val="20"/>
              </w:rPr>
              <w:t>Organisiere SIM-Karte und Internet früh, idealerweise schon vor dem Abflug.</w:t>
            </w:r>
          </w:p>
          <w:p w14:paraId="70A4F139" w14:textId="77777777" w:rsidR="00C1548D" w:rsidRDefault="009B1B4B" w:rsidP="009B1B4B">
            <w:pPr>
              <w:pStyle w:val="ListParagraph"/>
              <w:numPr>
                <w:ilvl w:val="0"/>
                <w:numId w:val="1"/>
              </w:numPr>
              <w:spacing w:after="50" w:line="264" w:lineRule="auto"/>
            </w:pPr>
            <w:r>
              <w:rPr>
                <w:sz w:val="20"/>
                <w:szCs w:val="20"/>
              </w:rPr>
              <w:t>Buche die erste Unterkunft nur als flexible Übergangslösung; die richtige Wohnungssuche läuft am besten vor Ort.</w:t>
            </w:r>
          </w:p>
          <w:p w14:paraId="70A4F13A" w14:textId="77777777" w:rsidR="00C1548D" w:rsidRDefault="009B1B4B" w:rsidP="009B1B4B">
            <w:pPr>
              <w:pStyle w:val="ListParagraph"/>
              <w:numPr>
                <w:ilvl w:val="0"/>
                <w:numId w:val="1"/>
              </w:numPr>
              <w:spacing w:after="50" w:line="264" w:lineRule="auto"/>
            </w:pPr>
            <w:r>
              <w:rPr>
                <w:sz w:val="20"/>
                <w:szCs w:val="20"/>
              </w:rPr>
              <w:t>Der Zeitunterschied zu Deutschland beträgt acht bis neun Stunden – plane die ersten Tage ohne wichtige Termine und ohne Autofahrten ein, gerade wegen des Linksverkehrs.</w:t>
            </w:r>
          </w:p>
        </w:tc>
      </w:tr>
    </w:tbl>
    <w:p w14:paraId="70A4F13C" w14:textId="77777777" w:rsidR="00C1548D" w:rsidRDefault="00C1548D">
      <w:pPr>
        <w:spacing w:line="220" w:lineRule="exact"/>
      </w:pPr>
    </w:p>
    <w:p w14:paraId="70A4F13D" w14:textId="77777777" w:rsidR="00C1548D" w:rsidRDefault="009B1B4B">
      <w:pPr>
        <w:pStyle w:val="Heading3"/>
        <w:keepNext/>
        <w:jc w:val="center"/>
      </w:pPr>
      <w:r>
        <w:rPr>
          <w:rFonts w:ascii="Amazon Ember" w:eastAsia="Amazon Ember" w:hAnsi="Amazon Ember" w:cs="Amazon Ember"/>
          <w:color w:val="0000FF"/>
          <w:sz w:val="36"/>
          <w:szCs w:val="36"/>
        </w:rPr>
        <w:t>Ankunft: Einreisekontrolle, Zoll und Biosecurity</w:t>
      </w:r>
    </w:p>
    <w:p w14:paraId="70A4F13E" w14:textId="77777777" w:rsidR="00C1548D" w:rsidRDefault="009B1B4B">
      <w:pPr>
        <w:spacing w:after="140"/>
      </w:pPr>
      <w:r>
        <w:t>An der Passkontrolle geht es für deutsche Reisepassinhaber an den großen Flughäfen – Melbourne, Sydney, Brisbane und weitere – oft zügig: Elektronische Grenzkontrollen (</w:t>
      </w:r>
      <w:r>
        <w:rPr>
          <w:i/>
          <w:iCs/>
        </w:rPr>
        <w:t>SmartGates</w:t>
      </w:r>
      <w:r>
        <w:t>)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w14:paraId="70A4F13F" w14:textId="77777777" w:rsidR="00C1548D" w:rsidRDefault="009B1B4B">
      <w:pPr>
        <w:spacing w:after="140"/>
      </w:pPr>
      <w:r>
        <w:lastRenderedPageBreak/>
        <w:t>Direkt danach folgt die Zoll- und Biosecurity-Kontrolle, und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 die vakuumierte Extrawurst im Handgepäck zum Beispiel. Ehrliches Deklarie</w:t>
      </w:r>
      <w:r>
        <w:t>ren kostet höchstens ein paar Minuten Nachfrage; Verschweigen kann teuer werden und im schlimmsten Fall die Einreise erschweren. Bargeld, Reiseschecks und vergleichbare Zahlungsmittel über insgesamt 10.000 AUD meldest du ebenfalls aktiv – die Anmeldung selbst ist unproblematisch, das Verschweigen nicht.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4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140" w14:textId="77777777" w:rsidR="00C1548D" w:rsidRDefault="009B1B4B">
            <w:pPr>
              <w:keepNext/>
              <w:spacing w:after="70" w:line="240" w:lineRule="auto"/>
            </w:pPr>
            <w:r>
              <w:rPr>
                <w:b/>
                <w:bCs/>
                <w:color w:val="9B2C2C"/>
                <w:spacing w:val="24"/>
                <w:sz w:val="16"/>
                <w:szCs w:val="16"/>
              </w:rPr>
              <w:t>ACHTUNG</w:t>
            </w:r>
          </w:p>
          <w:p w14:paraId="70A4F141" w14:textId="77777777" w:rsidR="00C1548D" w:rsidRDefault="009B1B4B">
            <w:pPr>
              <w:spacing w:after="80" w:line="264" w:lineRule="auto"/>
            </w:pPr>
            <w:r>
              <w:rPr>
                <w:sz w:val="20"/>
                <w:szCs w:val="20"/>
              </w:rPr>
              <w:t>Biosecurity-Kontrollen gelten unabhängig vom Einreisegrund und für jedes Familienmitglied einzeln. Ein einzelner vergessener Apfel im Rucksack der Kinder reicht, um die ganze Familie in die längere Kontrollspur zu schicken – deklariere lieber einmal zu viel als zu wenig.</w:t>
            </w:r>
          </w:p>
        </w:tc>
      </w:tr>
    </w:tbl>
    <w:p w14:paraId="70A4F143" w14:textId="77777777" w:rsidR="00C1548D" w:rsidRDefault="00C1548D">
      <w:pPr>
        <w:spacing w:line="220" w:lineRule="exact"/>
      </w:pPr>
    </w:p>
    <w:p w14:paraId="70A4F144" w14:textId="77777777" w:rsidR="00C1548D" w:rsidRDefault="009B1B4B">
      <w:pPr>
        <w:spacing w:after="140"/>
      </w:pPr>
      <w:r>
        <w:t>Vom Flughafen kommst du meist per Zug, Bus, Taxi oder Fahrdienst wie Uber in die Stadt; an den großen Flughäfen ist der Zug oft die günstigste und schnellste Wahl in die City. Wechsle nur so viel Bargeld wie nötig am Flughafenschalter, die Kurse dort sind selten die besten – ein kleiner Betrag für Taxi oder Automat reicht, den Rest erledigst du bequemer über Karte oder das neue Konto.</w:t>
      </w:r>
    </w:p>
    <w:p w14:paraId="70A4F145" w14:textId="77777777" w:rsidR="00C1548D" w:rsidRDefault="009B1B4B">
      <w:pPr>
        <w:pStyle w:val="Heading3"/>
        <w:keepNext/>
        <w:jc w:val="center"/>
      </w:pPr>
      <w:r>
        <w:rPr>
          <w:rFonts w:ascii="Amazon Ember" w:eastAsia="Amazon Ember" w:hAnsi="Amazon Ember" w:cs="Amazon Ember"/>
          <w:color w:val="0000FF"/>
          <w:sz w:val="36"/>
          <w:szCs w:val="36"/>
        </w:rPr>
        <w:t>Jetlag und die ersten Tage</w:t>
      </w:r>
    </w:p>
    <w:p w14:paraId="70A4F146" w14:textId="77777777" w:rsidR="00C1548D" w:rsidRDefault="009B1B4B">
      <w:pPr>
        <w:spacing w:after="140"/>
      </w:pPr>
      <w:r>
        <w:t xml:space="preserve">Der Zeitunterschied nach Melbourne oder Sydney beträgt gegenüber Deutschland acht bis neun Stunden, je nach Sommer- und Winterzeit auf beiden Seiten der Erde – ein Sprung, den der Körper selten in einer Nacht wegsteckt. Plane die ersten zwei, drei Tage bewusst ohne wichtige Termine ein: kein Bankgespräch am Ankunftstag, </w:t>
      </w:r>
      <w:r>
        <w:lastRenderedPageBreak/>
        <w:t>keine Wohnungsbesichtigung mit Kopfschmerzen vom Nachtflug. Tageslicht, ein kurzer Spaziergang und das bewusste Durchhalten bis zum lokalen Abend helfen dem Rhythmus schneller auf die Sprünge als noch eine Tasse Kaffee.</w:t>
      </w:r>
    </w:p>
    <w:p w14:paraId="70A4F147" w14:textId="77777777" w:rsidR="00C1548D" w:rsidRDefault="009B1B4B">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w14:paraId="70A4F148" w14:textId="77777777" w:rsidR="00C1548D" w:rsidRDefault="009B1B4B">
      <w:pPr>
        <w:pStyle w:val="Heading3"/>
        <w:keepNext/>
        <w:jc w:val="center"/>
      </w:pPr>
      <w:r>
        <w:rPr>
          <w:rFonts w:ascii="Amazon Ember" w:eastAsia="Amazon Ember" w:hAnsi="Amazon Ember" w:cs="Amazon Ember"/>
          <w:color w:val="0000FF"/>
          <w:sz w:val="36"/>
          <w:szCs w:val="36"/>
        </w:rPr>
        <w:t>Die Tax File Number: dein erster Behördengang</w:t>
      </w:r>
    </w:p>
    <w:p w14:paraId="70A4F149" w14:textId="77777777" w:rsidR="00C1548D" w:rsidRDefault="009B1B4B">
      <w:pPr>
        <w:spacing w:after="140"/>
      </w:pPr>
      <w:r>
        <w:t xml:space="preserve">Eine der ersten Amtshandlungen nach der Ankunft sollte die Beantragung der TFN sein. Ohne sie behält dein Arbeitgeber pauschal 47 % deines Lohns ein – ein Betrag, den du dir später über die Steuererklärung zurückholst, der dir in den ersten, ohnehin teuren Wochen aber schlicht fehlt. Die Beantragung ist kostenlos und läuft über die </w:t>
      </w:r>
      <w:r>
        <w:rPr>
          <w:i/>
          <w:iCs/>
        </w:rPr>
        <w:t>Australian Taxation Office</w:t>
      </w:r>
      <w:r>
        <w:t xml:space="preserve"> (ATO, die australische Finanzbehörde), entweder online mit ausreichend belastbarer digitaler Identität oder im persönlichen Interview bei einer teilnehmenden Filiale der Australia Post. Für frisch eingereiste Migranten ist ein australischer Wohnsitznachweis meist Voraussetzung, weshalb sich die Beantragung in der Praxis erst nach den ersten Tagen vor Ort erledigen lässt, nicht schon vom Hotelzimmer aus am Ankunftstag.</w:t>
      </w:r>
    </w:p>
    <w:p w14:paraId="70A4F14A" w14:textId="4FE9A0CB" w:rsidR="00C1548D" w:rsidRDefault="009B1B4B">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history="1">
        <w:r>
          <w:rPr>
            <w:color w:val="0563C1"/>
            <w:u w:val="single"/>
          </w:rPr>
          <w:t>Kapitel zu Steuer-ID, Bank und Kredit in diesem Teil</w:t>
        </w:r>
      </w:hyperlink>
      <w:r>
        <w:t xml:space="preserve"> im Detail – hier zählt vor allem: früh anmelden, nicht aufschieben.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4D"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14B" w14:textId="77777777" w:rsidR="00C1548D" w:rsidRDefault="009B1B4B">
            <w:pPr>
              <w:keepNext/>
              <w:spacing w:after="70" w:line="240" w:lineRule="auto"/>
            </w:pPr>
            <w:r>
              <w:rPr>
                <w:b/>
                <w:bCs/>
                <w:color w:val="8A6212"/>
                <w:spacing w:val="24"/>
                <w:sz w:val="16"/>
                <w:szCs w:val="16"/>
              </w:rPr>
              <w:lastRenderedPageBreak/>
              <w:t>MERKE</w:t>
            </w:r>
          </w:p>
          <w:p w14:paraId="70A4F14C" w14:textId="77777777" w:rsidR="00C1548D" w:rsidRDefault="009B1B4B">
            <w:pPr>
              <w:spacing w:after="80" w:line="264" w:lineRule="auto"/>
            </w:pPr>
            <w:r>
              <w:rPr>
                <w:sz w:val="20"/>
                <w:szCs w:val="20"/>
              </w:rPr>
              <w:t xml:space="preserve">Die TFN ist reine Steuer- und Superannuation-Nummer. Für das Gesundheitssystem und für Sozialleistungen meldest du dich separat bei </w:t>
            </w:r>
            <w:r>
              <w:rPr>
                <w:i/>
                <w:iCs/>
                <w:sz w:val="20"/>
                <w:szCs w:val="20"/>
              </w:rPr>
              <w:t>Services Australia</w:t>
            </w:r>
            <w:r>
              <w:rPr>
                <w:sz w:val="20"/>
                <w:szCs w:val="20"/>
              </w:rPr>
              <w:t xml:space="preserve"> (der Behörde für Sozial- und Gesundheitsleistungen) an – dazu gleich mehr.</w:t>
            </w:r>
          </w:p>
        </w:tc>
      </w:tr>
    </w:tbl>
    <w:p w14:paraId="70A4F14E" w14:textId="77777777" w:rsidR="00C1548D" w:rsidRDefault="00C1548D">
      <w:pPr>
        <w:spacing w:line="220" w:lineRule="exact"/>
      </w:pPr>
    </w:p>
    <w:p w14:paraId="70A4F14F" w14:textId="77777777" w:rsidR="00C1548D" w:rsidRDefault="009B1B4B">
      <w:pPr>
        <w:pStyle w:val="Heading3"/>
        <w:keepNext/>
        <w:jc w:val="center"/>
      </w:pPr>
      <w:r>
        <w:rPr>
          <w:rFonts w:ascii="Amazon Ember" w:eastAsia="Amazon Ember" w:hAnsi="Amazon Ember" w:cs="Amazon Ember"/>
          <w:color w:val="0000FF"/>
          <w:sz w:val="36"/>
          <w:szCs w:val="36"/>
        </w:rPr>
        <w:t>Bankkonto: am besten schon vor dem Abflug</w:t>
      </w:r>
    </w:p>
    <w:p w14:paraId="70A4F150" w14:textId="77777777" w:rsidR="00C1548D" w:rsidRDefault="009B1B4B">
      <w:pPr>
        <w:spacing w:after="140"/>
      </w:pPr>
      <w:r>
        <w:t>Ein Bankkonto brauchst du für Gehalt, Miete und den Alltag – und die gute Nachricht: Bei mehreren australischen Großbanken lässt es sich schon von Deutschland aus online vorbereiten, teils Wochen oder sogar Monate vor dem Abflug. Nutze das, wenn dein Zielinstitut es anbietet, denn dann bist du vom ersten Arbeitstag an zahlungsfähig, statt in der turbulentesten Woche noch einen Filialtermin einzuschieben. Ohne Voreröffnung holst du das nach der Landung nach; alle vier Großbanken verlangen dafür einmalig eine</w:t>
      </w:r>
      <w:r>
        <w:t xml:space="preserve"> persönliche Identifizierung mit Pass und Visumsnachweis in der Filiale.</w:t>
      </w:r>
    </w:p>
    <w:p w14:paraId="70A4F151" w14:textId="020681E1" w:rsidR="00C1548D" w:rsidRDefault="009B1B4B">
      <w:pPr>
        <w:spacing w:after="140"/>
      </w:pPr>
      <w:r>
        <w:t xml:space="preserve">Auch ohne TFN und ohne feste Adresse lässt sich meist ein Übergangskonto eröffnen – reiche die TFN aber zügig nach, sonst greift auch bei Zinserträgen die hohe Vorsteuer. Welche Bank sich lohnt, wie die Kontoführung gebührenfrei bleibt und wie du dir überhaupt erst eine australische Kreditwürdigkeit aufbaust, steht im </w:t>
      </w:r>
      <w:hyperlink w:anchor="tau07" w:history="1">
        <w:r>
          <w:rPr>
            <w:color w:val="0563C1"/>
            <w:u w:val="single"/>
          </w:rPr>
          <w:t>Kapitel zu Steuer-ID, Bank und Kredit in diesem Teil</w:t>
        </w:r>
      </w:hyperlink>
      <w:r>
        <w:t>.</w:t>
      </w:r>
    </w:p>
    <w:p w14:paraId="70A4F152" w14:textId="77777777" w:rsidR="00C1548D" w:rsidRDefault="009B1B4B">
      <w:pPr>
        <w:pStyle w:val="Heading3"/>
        <w:keepNext/>
        <w:jc w:val="center"/>
      </w:pPr>
      <w:r>
        <w:rPr>
          <w:rFonts w:ascii="Amazon Ember" w:eastAsia="Amazon Ember" w:hAnsi="Amazon Ember" w:cs="Amazon Ember"/>
          <w:color w:val="0000FF"/>
          <w:sz w:val="36"/>
          <w:szCs w:val="36"/>
        </w:rPr>
        <w:t>Medicare oder private Versicherung: der erste Unterschied, der zählt</w:t>
      </w:r>
    </w:p>
    <w:p w14:paraId="70A4F153" w14:textId="77777777" w:rsidR="00C1548D" w:rsidRDefault="009B1B4B">
      <w:pPr>
        <w:spacing w:after="140"/>
      </w:pPr>
      <w:r>
        <w:t xml:space="preserve">Noch bevor der erste Arztbesuch ansteht, lohnt sich Klarheit über einen Punkt, den viele Neuankömmlinge falsch einschätzen: Nicht jeder, der in Australien lebt, hat automatisch Zugang zu </w:t>
      </w:r>
      <w:r>
        <w:rPr>
          <w:i/>
          <w:iCs/>
        </w:rPr>
        <w:t>Medicare</w:t>
      </w:r>
      <w:r>
        <w:t xml:space="preserve">, </w:t>
      </w:r>
      <w:r>
        <w:lastRenderedPageBreak/>
        <w:t xml:space="preserve">dem staatlichen Krankenversicherungssystem. Wer mit einem </w:t>
      </w:r>
      <w:r>
        <w:rPr>
          <w:i/>
          <w:iCs/>
        </w:rPr>
        <w:t>Permanent-Resident</w:t>
      </w:r>
      <w:r>
        <w:t xml:space="preserve">-Visum (PR-Visum, einer unbefristeten Aufenthaltserlaubnis) ankommt – etwa nach dem punktebasierten Weg wie Subclass 189 –, kann sich ab dem ersten Tag bei Services Australia anmelden: persönlich, mit Pass, Visumsnachweis und einem Adressnachweis. Wer dagegen mit einem befristeten Visum einreist – Working Holiday, Studium, die meisten Arbeitsvisa –, hat in aller Regel </w:t>
      </w:r>
      <w:r>
        <w:rPr>
          <w:b/>
          <w:bCs/>
        </w:rPr>
        <w:t>keinen</w:t>
      </w:r>
      <w:r>
        <w:t xml:space="preserve"> Medicare-Zugang und ist auf eine private Versicherung angewiesen, solange das befristete Visum läuft.</w:t>
      </w:r>
    </w:p>
    <w:p w14:paraId="70A4F154" w14:textId="04068252" w:rsidR="00C1548D" w:rsidRDefault="009B1B4B">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 </w:t>
      </w:r>
      <w:r>
        <w:rPr>
          <w:b/>
          <w:bCs/>
        </w:rPr>
        <w:t>aber nicht mit Deutschland</w:t>
      </w:r>
      <w:r>
        <w:t xml:space="preserve">. Warum ausgerechnet dieser Unterschied zwischen EU-Nachbarn eine ganze Kostenfrage entscheidet, erklärt das </w:t>
      </w:r>
      <w:hyperlink w:anchor="tau08" w:history="1">
        <w:r>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5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155" w14:textId="77777777" w:rsidR="00C1548D" w:rsidRDefault="009B1B4B">
            <w:pPr>
              <w:keepNext/>
              <w:spacing w:after="70" w:line="240" w:lineRule="auto"/>
            </w:pPr>
            <w:r>
              <w:rPr>
                <w:b/>
                <w:bCs/>
                <w:color w:val="9B2C2C"/>
                <w:spacing w:val="24"/>
                <w:sz w:val="16"/>
                <w:szCs w:val="16"/>
              </w:rPr>
              <w:t>ACHTUNG</w:t>
            </w:r>
          </w:p>
          <w:p w14:paraId="70A4F156" w14:textId="77777777" w:rsidR="00C1548D" w:rsidRDefault="009B1B4B">
            <w:pPr>
              <w:spacing w:after="80" w:line="264" w:lineRule="auto"/>
            </w:pPr>
            <w:r>
              <w:rPr>
                <w:sz w:val="20"/>
                <w:szCs w:val="20"/>
              </w:rPr>
              <w:t>Verwechsle Australien nicht mit den europäischen Ländern, die ein solches Abkommen haben. Wer aus Gewohnheit annimmt, als EU-Bürger schon irgendwie abgesichert zu sein, steht im Ernstfall ohne Deckung da – und private Behandlung in Australien ist kein Posten, den du nebenbei aus der Reisekasse bezahlst.</w:t>
            </w:r>
          </w:p>
        </w:tc>
      </w:tr>
    </w:tbl>
    <w:p w14:paraId="70A4F158"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5B"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159" w14:textId="77777777" w:rsidR="00C1548D" w:rsidRDefault="009B1B4B">
            <w:pPr>
              <w:keepNext/>
              <w:spacing w:after="70" w:line="240" w:lineRule="auto"/>
            </w:pPr>
            <w:r>
              <w:rPr>
                <w:b/>
                <w:bCs/>
                <w:color w:val="4A5568"/>
                <w:spacing w:val="24"/>
                <w:sz w:val="16"/>
                <w:szCs w:val="16"/>
              </w:rPr>
              <w:lastRenderedPageBreak/>
              <w:t>PRAXISBEISPIEL · FIKTIV</w:t>
            </w:r>
          </w:p>
          <w:p w14:paraId="70A4F15A" w14:textId="77777777" w:rsidR="00C1548D" w:rsidRDefault="009B1B4B">
            <w:pPr>
              <w:spacing w:after="80" w:line="264" w:lineRule="auto"/>
            </w:pPr>
            <w:r>
              <w:rPr>
                <w:sz w:val="20"/>
                <w:szCs w:val="20"/>
              </w:rPr>
              <w:t>Familie Reinhardt (Thomas, 41, Bauingenieur; Sandra, 39, Krankenpflegerin) landet mit dem bereits bewilligten Subclass-189-Visum in Melbourne – als Permanent Residents von Tag eins an. In der zweiten Woche gehen sie gemeinsam zu einem Service-Center von Services Australia, Pässe und Visumsbestätigung in der Mappe, und melden alle vier für das Gesundheitssystem an. Die Karten kommen einige Tage später per Post. Bis dahin gilt für die Familie noch die Auslandskrankenversicherung aus Deutschland – niemand wäre</w:t>
            </w:r>
            <w:r>
              <w:rPr>
                <w:sz w:val="20"/>
                <w:szCs w:val="20"/>
              </w:rPr>
              <w:t xml:space="preserve"> auf die Idee gekommen, das erste Fieber der Kinder ganz ohne jede Absicherung abzuwarten. (Fiktives Beispiel.)</w:t>
            </w:r>
          </w:p>
        </w:tc>
      </w:tr>
    </w:tbl>
    <w:p w14:paraId="70A4F15C" w14:textId="77777777" w:rsidR="00C1548D" w:rsidRDefault="00C1548D">
      <w:pPr>
        <w:spacing w:line="220" w:lineRule="exact"/>
      </w:pPr>
    </w:p>
    <w:p w14:paraId="70A4F15D" w14:textId="77777777" w:rsidR="00C1548D" w:rsidRDefault="009B1B4B">
      <w:pPr>
        <w:pStyle w:val="Heading3"/>
        <w:keepNext/>
        <w:jc w:val="center"/>
      </w:pPr>
      <w:r>
        <w:rPr>
          <w:rFonts w:ascii="Amazon Ember" w:eastAsia="Amazon Ember" w:hAnsi="Amazon Ember" w:cs="Amazon Ember"/>
          <w:color w:val="0000FF"/>
          <w:sz w:val="36"/>
          <w:szCs w:val="36"/>
        </w:rPr>
        <w:t>SIM-Karte und Internet</w:t>
      </w:r>
    </w:p>
    <w:p w14:paraId="70A4F15E" w14:textId="77777777" w:rsidR="00C1548D" w:rsidRDefault="009B1B4B">
      <w:pPr>
        <w:spacing w:after="140"/>
      </w:pPr>
      <w:r>
        <w:t xml:space="preserve">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 an Kiosken im Ankunftsbereich, in jedem Supermarkt oder online bei den drei großen Netzbetreibern Telstra, Optus und Vodafone. Telstra gilt als das Netz mit der größten Flächendeckung, auch </w:t>
      </w:r>
      <w:r>
        <w:t>abseits der Großstädte, Optus und Vodafone punkten meist beim Preis. Ein Laufzeitvertrag verlangt oft eine Kreditkarte oder Bonitätsprüfung, Prepaid kommt ohne beides aus – für den Anfang die unkompliziertere Wahl. Behalte deine deutsche Nummer als Zweit-SIM, solange dort noch SMS-Codes von Bank oder Behörden eintreffen.</w:t>
      </w:r>
    </w:p>
    <w:p w14:paraId="70A4F15F" w14:textId="77777777" w:rsidR="00C1548D" w:rsidRDefault="009B1B4B">
      <w:pPr>
        <w:pStyle w:val="Heading3"/>
        <w:keepNext/>
        <w:jc w:val="center"/>
      </w:pPr>
      <w:r>
        <w:rPr>
          <w:rFonts w:ascii="Amazon Ember" w:eastAsia="Amazon Ember" w:hAnsi="Amazon Ember" w:cs="Amazon Ember"/>
          <w:color w:val="0000FF"/>
          <w:sz w:val="36"/>
          <w:szCs w:val="36"/>
        </w:rPr>
        <w:t>Strom, Steckdosen und erste Einkäufe</w:t>
      </w:r>
    </w:p>
    <w:p w14:paraId="70A4F160" w14:textId="77777777" w:rsidR="00C1548D" w:rsidRDefault="009B1B4B">
      <w:pPr>
        <w:spacing w:after="140"/>
      </w:pPr>
      <w:r>
        <w:t xml:space="preserve">Eine gute Nachricht vorweg: Anders als in den USA oder Kanada läuft das Stromnetz in Australien mit 230–240 Volt, genau wie in Deutschland. Mitgebrachte Elektrogeräte funktionieren also technisch problemlos weiter, nur die Steckdose sieht anders aus. </w:t>
      </w:r>
      <w:r>
        <w:lastRenderedPageBreak/>
        <w:t>Australische Steckdosen folgen dem Typ I mit charakteristisch schräg stehenden Flachkontakten; ein einfacher Reiseadapter reicht deshalb für praktisch jedes deutsche Gerät. Was sich mitzunehmen lohnt und was du besser vor Ort neu kaufst, behandelt das Universal-Kapitel zu diesem Thema.</w:t>
      </w:r>
    </w:p>
    <w:p w14:paraId="70A4F161" w14:textId="77777777" w:rsidR="00C1548D" w:rsidRDefault="009B1B4B">
      <w:pPr>
        <w:spacing w:after="140"/>
      </w:pPr>
      <w: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w:t>
      </w:r>
      <w:r>
        <w:rPr>
          <w:i/>
          <w:iCs/>
        </w:rPr>
        <w:t>Goods and Services Tax</w:t>
      </w:r>
      <w:r>
        <w:t>, GST) – anders als du es aus den USA kennst, kommt an der Kasse in Australien also nichts mehr dazu.</w:t>
      </w:r>
    </w:p>
    <w:p w14:paraId="70A4F162" w14:textId="77777777" w:rsidR="00C1548D" w:rsidRDefault="009B1B4B">
      <w:pPr>
        <w:pStyle w:val="Heading3"/>
        <w:keepNext/>
        <w:jc w:val="center"/>
      </w:pPr>
      <w:r>
        <w:rPr>
          <w:rFonts w:ascii="Amazon Ember" w:eastAsia="Amazon Ember" w:hAnsi="Amazon Ember" w:cs="Amazon Ember"/>
          <w:color w:val="0000FF"/>
          <w:sz w:val="36"/>
          <w:szCs w:val="36"/>
        </w:rPr>
        <w:t>Die erste Unterkunft: Übergang und Wohnungssuche</w:t>
      </w:r>
    </w:p>
    <w:p w14:paraId="70A4F163" w14:textId="77777777" w:rsidR="00C1548D" w:rsidRDefault="009B1B4B">
      <w:pPr>
        <w:spacing w:after="140"/>
      </w:pPr>
      <w:r>
        <w:t>Die erste Adresse in Australien ist selten die endgültige – und so solltest du sie auch buchen: mit kostenloser Stornierung und ohne Langzeitvertrag. Ein möbliertes Apartment auf Zeit, ein Airbnb oder, gerade für Working-Holiday-Reisende, ein Hostel mit Wochenpreisen überbrücken die ersten Tage bis Wochen, in denen du ohnehin erst einmal ankommen, die Gegend kennenlernen und eine TFN vorweisen können solltest – viele Vermieter verlangen sie als Teil der Bewerbungsunterlagen.</w:t>
      </w:r>
    </w:p>
    <w:p w14:paraId="70A4F164" w14:textId="1D05C66E" w:rsidR="00C1548D" w:rsidRDefault="009B1B4B">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und wer zur Besichtigung ohne vollständige Unterlagen erscheint, ist faktisch schon aus dem Rennen. Rechne von Anfang an mit einer Kaution (</w:t>
      </w:r>
      <w:r>
        <w:rPr>
          <w:i/>
          <w:iCs/>
        </w:rPr>
        <w:t>Rental Bond</w:t>
      </w:r>
      <w:r>
        <w:t xml:space="preserve">), die bei Vertragsabschluss meist bei einer </w:t>
      </w:r>
      <w:r>
        <w:lastRenderedPageBreak/>
        <w:t xml:space="preserve">staatlichen Treuhandstelle hinterlegt wird, nicht direkt beim Vermieter – das schützt beide Seiten, verlangt aber zusätzlich Bargeld auf der hohen Kante, bevor überhaupt die erste Monatsmiete fällig wird. Mietpreise, die genaue Kautionshöhe und die besten Stadtteile je nach Berufsfeld und Klima behandelt das </w:t>
      </w:r>
      <w:hyperlink w:anchor="tau09" w:history="1">
        <w:r>
          <w:rPr>
            <w:color w:val="0563C1"/>
            <w:u w:val="single"/>
          </w:rPr>
          <w:t>Kapitel zum Wohnen in diesem Teil</w:t>
        </w:r>
      </w:hyperlink>
      <w:r>
        <w:t xml:space="preserve"> im Detail.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6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165" w14:textId="77777777" w:rsidR="00C1548D" w:rsidRDefault="009B1B4B">
            <w:pPr>
              <w:keepNext/>
              <w:spacing w:after="70" w:line="240" w:lineRule="auto"/>
            </w:pPr>
            <w:r>
              <w:rPr>
                <w:b/>
                <w:bCs/>
                <w:color w:val="2F6B3B"/>
                <w:spacing w:val="24"/>
                <w:sz w:val="16"/>
                <w:szCs w:val="16"/>
              </w:rPr>
              <w:t>SPARTIPP</w:t>
            </w:r>
          </w:p>
          <w:p w14:paraId="70A4F166" w14:textId="77777777" w:rsidR="00C1548D" w:rsidRDefault="009B1B4B">
            <w:pPr>
              <w:spacing w:after="80" w:line="264" w:lineRule="auto"/>
            </w:pPr>
            <w:r>
              <w:rPr>
                <w:sz w:val="20"/>
                <w:szCs w:val="20"/>
              </w:rPr>
              <w:t>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tc>
      </w:tr>
    </w:tbl>
    <w:p w14:paraId="70A4F168" w14:textId="77777777" w:rsidR="00C1548D" w:rsidRDefault="00C1548D">
      <w:pPr>
        <w:spacing w:line="220" w:lineRule="exact"/>
      </w:pPr>
    </w:p>
    <w:p w14:paraId="70A4F169" w14:textId="77777777" w:rsidR="00C1548D" w:rsidRDefault="009B1B4B">
      <w:pPr>
        <w:pStyle w:val="Heading3"/>
        <w:keepNext/>
        <w:jc w:val="center"/>
      </w:pPr>
      <w:r>
        <w:rPr>
          <w:rFonts w:ascii="Amazon Ember" w:eastAsia="Amazon Ember" w:hAnsi="Amazon Ember" w:cs="Amazon Ember"/>
          <w:color w:val="0000FF"/>
          <w:sz w:val="36"/>
          <w:szCs w:val="36"/>
        </w:rPr>
        <w:t>Die ersten zwei Wochen als Fahrplan</w:t>
      </w:r>
    </w:p>
    <w:p w14:paraId="70A4F16A" w14:textId="77777777" w:rsidR="00C1548D" w:rsidRDefault="009B1B4B">
      <w:pPr>
        <w:spacing w:after="140"/>
      </w:pPr>
      <w:r>
        <w:t>Die folgende Übersicht ordnet die wichtigsten Schritte grob nach Zeitpunkt – wie schnell es tatsächlich geht, hängt von Flug, Visumtyp und Wohnort ab.</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4352"/>
        <w:gridCol w:w="1178"/>
      </w:tblGrid>
      <w:tr w:rsidR="00C1548D" w14:paraId="70A4F16E"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16B" w14:textId="77777777" w:rsidR="00C1548D" w:rsidRDefault="009B1B4B">
            <w:pPr>
              <w:spacing w:line="250" w:lineRule="auto"/>
            </w:pPr>
            <w:r>
              <w:rPr>
                <w:b/>
                <w:bCs/>
                <w:sz w:val="18"/>
                <w:szCs w:val="18"/>
              </w:rPr>
              <w:t>Zeitraum</w:t>
            </w:r>
          </w:p>
        </w:tc>
        <w:tc>
          <w:tcPr>
            <w:tcW w:w="43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16C" w14:textId="77777777" w:rsidR="00C1548D" w:rsidRDefault="009B1B4B">
            <w:pPr>
              <w:spacing w:line="250" w:lineRule="auto"/>
            </w:pPr>
            <w:r>
              <w:rPr>
                <w:b/>
                <w:bCs/>
                <w:sz w:val="18"/>
                <w:szCs w:val="18"/>
              </w:rPr>
              <w:t>Aufgabe</w:t>
            </w:r>
          </w:p>
        </w:tc>
        <w:tc>
          <w:tcPr>
            <w:tcW w:w="117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16D" w14:textId="77777777" w:rsidR="00C1548D" w:rsidRDefault="009B1B4B">
            <w:pPr>
              <w:spacing w:line="250" w:lineRule="auto"/>
            </w:pPr>
            <w:r>
              <w:rPr>
                <w:b/>
                <w:bCs/>
                <w:sz w:val="18"/>
                <w:szCs w:val="18"/>
              </w:rPr>
              <w:t>Mehr dazu</w:t>
            </w:r>
          </w:p>
        </w:tc>
      </w:tr>
      <w:tr w:rsidR="00C1548D" w14:paraId="70A4F17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6F" w14:textId="77777777" w:rsidR="00C1548D" w:rsidRDefault="009B1B4B">
            <w:pPr>
              <w:spacing w:line="250" w:lineRule="auto"/>
            </w:pPr>
            <w:r>
              <w:rPr>
                <w:sz w:val="18"/>
                <w:szCs w:val="18"/>
              </w:rPr>
              <w:t>Tag 1–2</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0" w14:textId="77777777" w:rsidR="00C1548D" w:rsidRDefault="009B1B4B">
            <w:pPr>
              <w:spacing w:line="250" w:lineRule="auto"/>
            </w:pPr>
            <w:r>
              <w:rPr>
                <w:sz w:val="18"/>
                <w:szCs w:val="18"/>
              </w:rPr>
              <w:t>Einreise, Übergangsunterkunft beziehen, SIM aktivieren, Familie und Arbeitgeber informieren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1" w14:textId="77777777" w:rsidR="00C1548D" w:rsidRDefault="009B1B4B">
            <w:pPr>
              <w:spacing w:line="250" w:lineRule="auto"/>
            </w:pPr>
            <w:r>
              <w:rPr>
                <w:sz w:val="18"/>
                <w:szCs w:val="18"/>
              </w:rPr>
              <w:t>–</w:t>
            </w:r>
          </w:p>
        </w:tc>
      </w:tr>
      <w:tr w:rsidR="00C1548D" w14:paraId="70A4F17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3" w14:textId="77777777" w:rsidR="00C1548D" w:rsidRDefault="009B1B4B">
            <w:pPr>
              <w:spacing w:line="250" w:lineRule="auto"/>
            </w:pPr>
            <w:r>
              <w:rPr>
                <w:sz w:val="18"/>
                <w:szCs w:val="18"/>
              </w:rPr>
              <w:t>Tag 2–4</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4" w14:textId="77777777" w:rsidR="00C1548D" w:rsidRDefault="009B1B4B">
            <w:pPr>
              <w:spacing w:line="250" w:lineRule="auto"/>
            </w:pPr>
            <w:r>
              <w:rPr>
                <w:sz w:val="18"/>
                <w:szCs w:val="18"/>
              </w:rPr>
              <w:t>TFN beantragen, sobald ein Wohnsitznachweis vorliegt; Bankkonto eröffnen oder vor Ort verifizieren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5" w14:textId="77777777" w:rsidR="00C1548D" w:rsidRDefault="009B1B4B">
            <w:pPr>
              <w:spacing w:line="250" w:lineRule="auto"/>
            </w:pPr>
            <w:r>
              <w:rPr>
                <w:sz w:val="18"/>
                <w:szCs w:val="18"/>
              </w:rPr>
              <w:t>Steuer-ID/Bank</w:t>
            </w:r>
          </w:p>
        </w:tc>
      </w:tr>
      <w:tr w:rsidR="00C1548D" w14:paraId="70A4F17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7" w14:textId="77777777" w:rsidR="00C1548D" w:rsidRDefault="009B1B4B">
            <w:pPr>
              <w:spacing w:line="250" w:lineRule="auto"/>
            </w:pPr>
            <w:r>
              <w:rPr>
                <w:sz w:val="18"/>
                <w:szCs w:val="18"/>
              </w:rPr>
              <w:t>Tag 3–7</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8" w14:textId="77777777" w:rsidR="00C1548D" w:rsidRDefault="009B1B4B">
            <w:pPr>
              <w:spacing w:line="250" w:lineRule="auto"/>
            </w:pPr>
            <w:r>
              <w:rPr>
                <w:sz w:val="18"/>
                <w:szCs w:val="18"/>
              </w:rPr>
              <w:t>Bei PR-Status: Anmeldung beim Gesundheitssystem bei Services Australia; sonst private Versicherungspolice prüfen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9" w14:textId="77777777" w:rsidR="00C1548D" w:rsidRDefault="009B1B4B">
            <w:pPr>
              <w:spacing w:line="250" w:lineRule="auto"/>
            </w:pPr>
            <w:r>
              <w:rPr>
                <w:sz w:val="18"/>
                <w:szCs w:val="18"/>
              </w:rPr>
              <w:t>Gesundheitssystem</w:t>
            </w:r>
          </w:p>
        </w:tc>
      </w:tr>
      <w:tr w:rsidR="00C1548D" w14:paraId="70A4F17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B" w14:textId="77777777" w:rsidR="00C1548D" w:rsidRDefault="009B1B4B">
            <w:pPr>
              <w:spacing w:line="250" w:lineRule="auto"/>
            </w:pPr>
            <w:r>
              <w:rPr>
                <w:sz w:val="18"/>
                <w:szCs w:val="18"/>
              </w:rPr>
              <w:t>Woche 1–2</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C" w14:textId="77777777" w:rsidR="00C1548D" w:rsidRDefault="009B1B4B">
            <w:pPr>
              <w:spacing w:line="250" w:lineRule="auto"/>
            </w:pPr>
            <w:r>
              <w:rPr>
                <w:sz w:val="18"/>
                <w:szCs w:val="18"/>
              </w:rPr>
              <w:t>Wohnungssuche: Portale einrichten, Besichtigungstermine, Bewerbungsmappe vorbereiten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D" w14:textId="77777777" w:rsidR="00C1548D" w:rsidRDefault="009B1B4B">
            <w:pPr>
              <w:spacing w:line="250" w:lineRule="auto"/>
            </w:pPr>
            <w:r>
              <w:rPr>
                <w:sz w:val="18"/>
                <w:szCs w:val="18"/>
              </w:rPr>
              <w:t>Wohnen</w:t>
            </w:r>
          </w:p>
        </w:tc>
      </w:tr>
      <w:tr w:rsidR="00C1548D" w14:paraId="70A4F18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7F" w14:textId="77777777" w:rsidR="00C1548D" w:rsidRDefault="009B1B4B">
            <w:pPr>
              <w:spacing w:line="250" w:lineRule="auto"/>
            </w:pPr>
            <w:r>
              <w:rPr>
                <w:sz w:val="18"/>
                <w:szCs w:val="18"/>
              </w:rPr>
              <w:t>Woche 2</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80" w14:textId="77777777" w:rsidR="00C1548D" w:rsidRDefault="009B1B4B">
            <w:pPr>
              <w:spacing w:line="250" w:lineRule="auto"/>
            </w:pPr>
            <w:r>
              <w:rPr>
                <w:sz w:val="18"/>
                <w:szCs w:val="18"/>
              </w:rPr>
              <w:t>Erste Fragen zu Steuerklasse und Superannuation-Fondswahl mit dem Arbeitgeber klären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81" w14:textId="77777777" w:rsidR="00C1548D" w:rsidRDefault="009B1B4B">
            <w:pPr>
              <w:spacing w:line="250" w:lineRule="auto"/>
            </w:pPr>
            <w:r>
              <w:rPr>
                <w:sz w:val="18"/>
                <w:szCs w:val="18"/>
              </w:rPr>
              <w:t>Steuer-ID/Bank</w:t>
            </w:r>
          </w:p>
        </w:tc>
      </w:tr>
    </w:tbl>
    <w:p w14:paraId="70A4F183"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86"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184" w14:textId="77777777" w:rsidR="00C1548D" w:rsidRDefault="009B1B4B">
            <w:pPr>
              <w:keepNext/>
              <w:spacing w:after="70" w:line="240" w:lineRule="auto"/>
            </w:pPr>
            <w:r>
              <w:rPr>
                <w:b/>
                <w:bCs/>
                <w:color w:val="4A5568"/>
                <w:spacing w:val="24"/>
                <w:sz w:val="16"/>
                <w:szCs w:val="16"/>
              </w:rPr>
              <w:lastRenderedPageBreak/>
              <w:t>PRAXISBEISPIEL · FIKTIV</w:t>
            </w:r>
          </w:p>
          <w:p w14:paraId="70A4F185" w14:textId="77777777" w:rsidR="00C1548D" w:rsidRDefault="009B1B4B">
            <w:pPr>
              <w:spacing w:after="80" w:line="264" w:lineRule="auto"/>
            </w:pPr>
            <w:r>
              <w:rPr>
                <w:sz w:val="20"/>
                <w:szCs w:val="20"/>
              </w:rPr>
              <w:t>Nina Voss reist mit dem Working-Holiday-Visum (Subclass 417) nach Sydney, zunächst für zwei Wochen in ein Hostel im Stadtteil Bondi gebucht. Am dritten Tag holt sie ihre online vorbereitete Prepaid-SIM ab, am fünften Tag steht sie bei einer Filiale einer Großbank Schlange, um ihr vorab online beantragtes Konto zu verifizieren. Die TFN beantragt sie, sobald sie eine erste, befristete Zimmeradresse als WG-Zwischenmieterin vorweisen kann. Eine Anmeldung beim staatlichen Gesundheitssystem kommt für sie nicht in</w:t>
            </w:r>
            <w:r>
              <w:rPr>
                <w:sz w:val="20"/>
                <w:szCs w:val="20"/>
              </w:rPr>
              <w:t>frage – als befristete Visuminhaberin schließt sie stattdessen noch von Deutschland aus eine private Auslandskrankenversicherung ab, die ab dem Ankunftstag gilt. (Fiktives Beispiel.)</w:t>
            </w:r>
          </w:p>
        </w:tc>
      </w:tr>
    </w:tbl>
    <w:p w14:paraId="70A4F187" w14:textId="77777777" w:rsidR="00C1548D" w:rsidRDefault="00C1548D">
      <w:pPr>
        <w:spacing w:line="220" w:lineRule="exact"/>
      </w:pPr>
    </w:p>
    <w:p w14:paraId="70A4F188"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18B"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189"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18A" w14:textId="77777777" w:rsidR="00C1548D" w:rsidRDefault="009B1B4B">
            <w:pPr>
              <w:spacing w:line="250" w:lineRule="auto"/>
            </w:pPr>
            <w:r>
              <w:rPr>
                <w:b/>
                <w:bCs/>
                <w:sz w:val="18"/>
                <w:szCs w:val="18"/>
              </w:rPr>
              <w:t>Minus</w:t>
            </w:r>
          </w:p>
        </w:tc>
      </w:tr>
      <w:tr w:rsidR="00C1548D" w14:paraId="70A4F18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8C" w14:textId="77777777" w:rsidR="00C1548D" w:rsidRDefault="009B1B4B">
            <w:pPr>
              <w:spacing w:line="250" w:lineRule="auto"/>
            </w:pPr>
            <w:r>
              <w:rPr>
                <w:sz w:val="18"/>
                <w:szCs w:val="18"/>
              </w:rPr>
              <w:t>Bankkonto oft schon vor Abflug online vorbereitbar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8D" w14:textId="77777777" w:rsidR="00C1548D" w:rsidRDefault="009B1B4B">
            <w:pPr>
              <w:spacing w:line="250" w:lineRule="auto"/>
            </w:pPr>
            <w:r>
              <w:rPr>
                <w:sz w:val="18"/>
                <w:szCs w:val="18"/>
              </w:rPr>
              <w:t>TFN erst nach Ankunft mit Adressnachweis beantragbar</w:t>
            </w:r>
          </w:p>
        </w:tc>
      </w:tr>
      <w:tr w:rsidR="00C1548D" w14:paraId="70A4F19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8F" w14:textId="77777777" w:rsidR="00C1548D" w:rsidRDefault="009B1B4B">
            <w:pPr>
              <w:spacing w:line="250" w:lineRule="auto"/>
            </w:pPr>
            <w:r>
              <w:rPr>
                <w:sz w:val="18"/>
                <w:szCs w:val="18"/>
              </w:rPr>
              <w:t>SIM-Karten und Prepaid-Tarife unkompliziert und ohne Bonitätsprüfung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90" w14:textId="77777777" w:rsidR="00C1548D" w:rsidRDefault="009B1B4B">
            <w:pPr>
              <w:spacing w:line="250" w:lineRule="auto"/>
            </w:pPr>
            <w:r>
              <w:rPr>
                <w:sz w:val="18"/>
                <w:szCs w:val="18"/>
              </w:rPr>
              <w:t>Wohnungsmarkt in Melbourne und Sydney sehr kompetitiv</w:t>
            </w:r>
          </w:p>
        </w:tc>
      </w:tr>
      <w:tr w:rsidR="00C1548D" w14:paraId="70A4F19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92" w14:textId="77777777" w:rsidR="00C1548D" w:rsidRDefault="009B1B4B">
            <w:pPr>
              <w:spacing w:line="250" w:lineRule="auto"/>
            </w:pPr>
            <w:r>
              <w:rPr>
                <w:sz w:val="18"/>
                <w:szCs w:val="18"/>
              </w:rPr>
              <w:t>Permanent Residents haben ab Tag eins vollen Zugang zum Gesundheitssystem</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93" w14:textId="77777777" w:rsidR="00C1548D" w:rsidRDefault="009B1B4B">
            <w:pPr>
              <w:spacing w:line="250" w:lineRule="auto"/>
            </w:pPr>
            <w:r>
              <w:rPr>
                <w:sz w:val="18"/>
                <w:szCs w:val="18"/>
              </w:rPr>
              <w:t>Befristete Visa-Inhaber brauchen von Anfang an private Versicherung</w:t>
            </w:r>
          </w:p>
        </w:tc>
      </w:tr>
      <w:tr w:rsidR="00C1548D" w14:paraId="70A4F19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95" w14:textId="77777777" w:rsidR="00C1548D" w:rsidRDefault="009B1B4B">
            <w:pPr>
              <w:spacing w:line="250" w:lineRule="auto"/>
            </w:pPr>
            <w:r>
              <w:rPr>
                <w:sz w:val="18"/>
                <w:szCs w:val="18"/>
              </w:rPr>
              <w:t>Biosecurity-Kontrolle gründlich, aber meist schnell erledigt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96" w14:textId="77777777" w:rsidR="00C1548D" w:rsidRDefault="009B1B4B">
            <w:pPr>
              <w:spacing w:line="250" w:lineRule="auto"/>
            </w:pPr>
            <w:r>
              <w:rPr>
                <w:sz w:val="18"/>
                <w:szCs w:val="18"/>
              </w:rPr>
              <w:t>Strenge Deklarationspflicht bei Lebensmitteln und Naturprodukten</w:t>
            </w:r>
          </w:p>
        </w:tc>
      </w:tr>
    </w:tbl>
    <w:p w14:paraId="70A4F198" w14:textId="77777777" w:rsidR="00C1548D" w:rsidRDefault="00C1548D">
      <w:pPr>
        <w:spacing w:line="180" w:lineRule="exact"/>
      </w:pPr>
    </w:p>
    <w:p w14:paraId="70A4F199"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19A" w14:textId="77777777" w:rsidR="00C1548D" w:rsidRDefault="009B1B4B">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A5"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19B" w14:textId="77777777" w:rsidR="00C1548D" w:rsidRDefault="009B1B4B">
            <w:pPr>
              <w:keepNext/>
              <w:spacing w:after="70" w:line="240" w:lineRule="auto"/>
            </w:pPr>
            <w:r>
              <w:rPr>
                <w:b/>
                <w:bCs/>
                <w:color w:val="1F6F78"/>
                <w:spacing w:val="24"/>
                <w:sz w:val="16"/>
                <w:szCs w:val="16"/>
              </w:rPr>
              <w:lastRenderedPageBreak/>
              <w:t>CHECKLISTE</w:t>
            </w:r>
          </w:p>
          <w:p w14:paraId="70A4F19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Bank-Voreröffnung vor Abflug geprüft, sonst Filialtermin für die erste Woche eingeplant</w:t>
            </w:r>
          </w:p>
          <w:p w14:paraId="70A4F19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eSIM oder Prepaid-SIM organisiert, deutsche Nummer als Zweit-SIM behalten</w:t>
            </w:r>
          </w:p>
          <w:p w14:paraId="70A4F19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Übergangsunterkunft mit Stornierungsoption für mindestens ein bis zwei Wochen gebucht</w:t>
            </w:r>
          </w:p>
          <w:p w14:paraId="70A4F19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Visumsbestätigung und wichtige Dokumente ausgedruckt im Handgepäck</w:t>
            </w:r>
          </w:p>
          <w:p w14:paraId="70A4F1A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TFN-Antrag vorbereitet, sobald ein Wohnsitznachweis vorliegt</w:t>
            </w:r>
          </w:p>
          <w:p w14:paraId="70A4F1A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PR-Status: Termin für die Anmeldung beim Gesundheitssystem bei Services Australia geplant</w:t>
            </w:r>
          </w:p>
          <w:p w14:paraId="70A4F1A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befristetem Visum: private Versicherungspolice ab Ankunftstag aktiv</w:t>
            </w:r>
          </w:p>
          <w:p w14:paraId="70A4F1A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Bewerbungsmappe für die Wohnungssuche zusammengestellt (Gehaltsnachweis, Referenzen, Ausweis)</w:t>
            </w:r>
          </w:p>
          <w:p w14:paraId="70A4F1A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Biosecurity-Regeln vor dem Kofferpacken geprüft, nichts Undeklariertes im Gepäck</w:t>
            </w:r>
          </w:p>
        </w:tc>
      </w:tr>
    </w:tbl>
    <w:p w14:paraId="70A4F1A6" w14:textId="77777777" w:rsidR="00C1548D" w:rsidRDefault="00C1548D">
      <w:pPr>
        <w:spacing w:line="220" w:lineRule="exact"/>
      </w:pPr>
    </w:p>
    <w:p w14:paraId="70A4F1A7"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1A8" w14:textId="135381BD" w:rsidR="00C1548D" w:rsidRDefault="009B1B4B" w:rsidP="009B1B4B">
      <w:pPr>
        <w:pStyle w:val="ListParagraph"/>
        <w:numPr>
          <w:ilvl w:val="0"/>
          <w:numId w:val="1"/>
        </w:numPr>
        <w:spacing w:after="60"/>
      </w:pPr>
      <w:r>
        <w:t xml:space="preserve">Department of Home Affairs — Einreise, ImmiAccount: </w:t>
      </w:r>
      <w:hyperlink r:id="rId405" w:history="1">
        <w:r>
          <w:rPr>
            <w:color w:val="0563C1"/>
            <w:u w:val="single"/>
          </w:rPr>
          <w:t>immi.homeaffairs.gov.au</w:t>
        </w:r>
      </w:hyperlink>
    </w:p>
    <w:p w14:paraId="70A4F1A9" w14:textId="2200CF03" w:rsidR="00C1548D" w:rsidRDefault="009B1B4B" w:rsidP="009B1B4B">
      <w:pPr>
        <w:pStyle w:val="ListParagraph"/>
        <w:numPr>
          <w:ilvl w:val="0"/>
          <w:numId w:val="1"/>
        </w:numPr>
        <w:spacing w:after="60"/>
      </w:pPr>
      <w:r>
        <w:t xml:space="preserve">Australian Border Force — Biosecurity und Zoll bei der Einreise: </w:t>
      </w:r>
      <w:hyperlink r:id="rId406" w:history="1">
        <w:r>
          <w:rPr>
            <w:color w:val="0563C1"/>
            <w:u w:val="single"/>
          </w:rPr>
          <w:t>abf.gov.au</w:t>
        </w:r>
      </w:hyperlink>
    </w:p>
    <w:p w14:paraId="70A4F1AA" w14:textId="1FDBE796" w:rsidR="00C1548D" w:rsidRDefault="009B1B4B" w:rsidP="009B1B4B">
      <w:pPr>
        <w:pStyle w:val="ListParagraph"/>
        <w:numPr>
          <w:ilvl w:val="0"/>
          <w:numId w:val="1"/>
        </w:numPr>
        <w:spacing w:after="60"/>
      </w:pPr>
      <w:r>
        <w:t xml:space="preserve">Australian Taxation Office — Tax File Number: </w:t>
      </w:r>
      <w:hyperlink r:id="rId407" w:history="1">
        <w:r>
          <w:rPr>
            <w:color w:val="0563C1"/>
            <w:u w:val="single"/>
          </w:rPr>
          <w:t>ato.gov.au</w:t>
        </w:r>
      </w:hyperlink>
    </w:p>
    <w:p w14:paraId="70A4F1AB" w14:textId="6806EABD" w:rsidR="00C1548D" w:rsidRDefault="009B1B4B" w:rsidP="009B1B4B">
      <w:pPr>
        <w:pStyle w:val="ListParagraph"/>
        <w:numPr>
          <w:ilvl w:val="0"/>
          <w:numId w:val="1"/>
        </w:numPr>
        <w:spacing w:after="60"/>
      </w:pPr>
      <w:r>
        <w:t xml:space="preserve">Services Australia — Anmeldung beim Gesundheitssystem: </w:t>
      </w:r>
      <w:hyperlink r:id="rId408" w:history="1">
        <w:r>
          <w:rPr>
            <w:color w:val="0563C1"/>
            <w:u w:val="single"/>
          </w:rPr>
          <w:t>servicesaustralia.gov.au</w:t>
        </w:r>
      </w:hyperlink>
    </w:p>
    <w:p w14:paraId="70A4F1AC" w14:textId="77D4A7BE" w:rsidR="00C1548D" w:rsidRDefault="009B1B4B" w:rsidP="009B1B4B">
      <w:pPr>
        <w:pStyle w:val="ListParagraph"/>
        <w:numPr>
          <w:ilvl w:val="0"/>
          <w:numId w:val="1"/>
        </w:numPr>
        <w:spacing w:after="60"/>
      </w:pPr>
      <w:r>
        <w:t xml:space="preserve">Deutsche Vertretungen in Australien: </w:t>
      </w:r>
      <w:hyperlink r:id="rId409" w:history="1">
        <w:r>
          <w:rPr>
            <w:color w:val="0563C1"/>
            <w:u w:val="single"/>
          </w:rPr>
          <w:t>australien.diplo.de</w:t>
        </w:r>
      </w:hyperlink>
    </w:p>
    <w:p w14:paraId="70A4F1AD"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B0"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1AE" w14:textId="77777777" w:rsidR="00C1548D" w:rsidRDefault="009B1B4B">
            <w:pPr>
              <w:keepNext/>
              <w:spacing w:after="70" w:line="240" w:lineRule="auto"/>
            </w:pPr>
            <w:r>
              <w:rPr>
                <w:b/>
                <w:bCs/>
                <w:color w:val="6B7280"/>
                <w:spacing w:val="24"/>
                <w:sz w:val="16"/>
                <w:szCs w:val="16"/>
              </w:rPr>
              <w:lastRenderedPageBreak/>
              <w:t>STAND</w:t>
            </w:r>
          </w:p>
          <w:p w14:paraId="70A4F1AF" w14:textId="77777777" w:rsidR="00C1548D" w:rsidRDefault="009B1B4B">
            <w:pPr>
              <w:spacing w:after="80" w:line="264" w:lineRule="auto"/>
            </w:pPr>
            <w:r>
              <w:rPr>
                <w:sz w:val="20"/>
                <w:szCs w:val="20"/>
              </w:rPr>
              <w:t>23.09.2026. Diese Angaben ändern sich schnell: Biosecurity- und Zollregeln, TFN-Verfahren, Bankkonditionen für Neuankömmlinge sowie die Anmeldung beim Gesundheitssystem. Prüfe vor der Einreise die aktuellen Seiten von Home Affairs, Australian Border Force und Services Australia.</w:t>
            </w:r>
          </w:p>
        </w:tc>
      </w:tr>
    </w:tbl>
    <w:p w14:paraId="70A4F1B1" w14:textId="77777777" w:rsidR="00C1548D" w:rsidRDefault="00C1548D">
      <w:pPr>
        <w:spacing w:line="220" w:lineRule="exact"/>
      </w:pPr>
    </w:p>
    <w:p w14:paraId="70A4F1B2" w14:textId="77777777" w:rsidR="00C1548D" w:rsidRDefault="009B1B4B">
      <w:pPr>
        <w:pStyle w:val="Heading2"/>
        <w:keepNext/>
        <w:pageBreakBefore/>
        <w:jc w:val="center"/>
      </w:pPr>
      <w:bookmarkStart w:id="114" w:name="tau07"/>
      <w:bookmarkStart w:id="115" w:name="_Toc241352508"/>
      <w:r>
        <w:rPr>
          <w:rFonts w:ascii="Amazon Ember" w:eastAsia="Amazon Ember" w:hAnsi="Amazon Ember" w:cs="Amazon Ember"/>
          <w:color w:val="0000FF"/>
          <w:sz w:val="36"/>
          <w:szCs w:val="36"/>
        </w:rPr>
        <w:lastRenderedPageBreak/>
        <w:t>Australien: Steuer-ID, Bank, Kredit aufbauen</w:t>
      </w:r>
      <w:bookmarkEnd w:id="114"/>
      <w:bookmarkEnd w:id="115"/>
    </w:p>
    <w:p w14:paraId="70A4F1B3" w14:textId="77777777" w:rsidR="00C1548D" w:rsidRDefault="009B1B4B">
      <w:pPr>
        <w:spacing w:after="140"/>
      </w:pPr>
      <w:r>
        <w:t xml:space="preserve">Deine erste Gehaltsabrechnung in Australien kommt – und fast die Hälfte fehlt. Kein Rechenfehler der Personalabteilung, sondern die Quittung dafür, dass du ein einziges Formular noch nicht eingereicht hast: die </w:t>
      </w:r>
      <w:r>
        <w:rPr>
          <w:i/>
          <w:iCs/>
        </w:rPr>
        <w:t>Tax File Number</w:t>
      </w:r>
      <w:r>
        <w:t xml:space="preserve">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 ganz ohne mitgebrachte Schufa-Historie – eine australische Kreditwürdigkeit aufbaust.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BB"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1B4" w14:textId="77777777" w:rsidR="00C1548D" w:rsidRDefault="009B1B4B">
            <w:pPr>
              <w:keepNext/>
              <w:spacing w:after="70" w:line="240" w:lineRule="auto"/>
            </w:pPr>
            <w:r>
              <w:rPr>
                <w:b/>
                <w:bCs/>
                <w:color w:val="1F3A5F"/>
                <w:spacing w:val="24"/>
                <w:sz w:val="16"/>
                <w:szCs w:val="16"/>
              </w:rPr>
              <w:lastRenderedPageBreak/>
              <w:t>KURZ GESAGT</w:t>
            </w:r>
          </w:p>
          <w:p w14:paraId="70A4F1B5" w14:textId="77777777" w:rsidR="00C1548D" w:rsidRDefault="009B1B4B" w:rsidP="009B1B4B">
            <w:pPr>
              <w:pStyle w:val="ListParagraph"/>
              <w:numPr>
                <w:ilvl w:val="0"/>
                <w:numId w:val="1"/>
              </w:numPr>
              <w:spacing w:after="50" w:line="264" w:lineRule="auto"/>
            </w:pPr>
            <w:r>
              <w:rPr>
                <w:sz w:val="20"/>
                <w:szCs w:val="20"/>
              </w:rPr>
              <w:t xml:space="preserve">Beantrage die </w:t>
            </w:r>
            <w:r>
              <w:rPr>
                <w:i/>
                <w:iCs/>
                <w:sz w:val="20"/>
                <w:szCs w:val="20"/>
              </w:rPr>
              <w:t>Tax File Number</w:t>
            </w:r>
            <w:r>
              <w:rPr>
                <w:sz w:val="20"/>
                <w:szCs w:val="20"/>
              </w:rPr>
              <w:t xml:space="preserve"> (TFN) so früh wie möglich: kostenlos, aber ohne sie behält dein Arbeitgeber 47 % deines Lohns ein.</w:t>
            </w:r>
          </w:p>
          <w:p w14:paraId="70A4F1B6" w14:textId="77777777" w:rsidR="00C1548D" w:rsidRDefault="009B1B4B" w:rsidP="009B1B4B">
            <w:pPr>
              <w:pStyle w:val="ListParagraph"/>
              <w:numPr>
                <w:ilvl w:val="0"/>
                <w:numId w:val="1"/>
              </w:numPr>
              <w:spacing w:after="50" w:line="264" w:lineRule="auto"/>
            </w:pPr>
            <w:r>
              <w:rPr>
                <w:sz w:val="20"/>
                <w:szCs w:val="20"/>
              </w:rPr>
              <w:t>Das Finanzjahr läuft vom 1. Juli bis 30. Juni. Steuersätze 2026–27 für Ansässige: 0 % bis 18.200 AUD, dann steigend bis 45 % über 190.000 AUD; Working-Holiday-Reisende zahlen ab dem ersten verdienten Dollar 15 %.</w:t>
            </w:r>
          </w:p>
          <w:p w14:paraId="70A4F1B7" w14:textId="77777777" w:rsidR="00C1548D" w:rsidRDefault="009B1B4B" w:rsidP="009B1B4B">
            <w:pPr>
              <w:pStyle w:val="ListParagraph"/>
              <w:numPr>
                <w:ilvl w:val="0"/>
                <w:numId w:val="1"/>
              </w:numPr>
              <w:spacing w:after="50" w:line="264" w:lineRule="auto"/>
            </w:pPr>
            <w:r>
              <w:rPr>
                <w:sz w:val="20"/>
                <w:szCs w:val="20"/>
              </w:rPr>
              <w:t xml:space="preserve">Die </w:t>
            </w:r>
            <w:r>
              <w:rPr>
                <w:i/>
                <w:iCs/>
                <w:sz w:val="20"/>
                <w:szCs w:val="20"/>
              </w:rPr>
              <w:t>Medicare Levy</w:t>
            </w:r>
            <w:r>
              <w:rPr>
                <w:sz w:val="20"/>
                <w:szCs w:val="20"/>
              </w:rPr>
              <w:t xml:space="preserve"> kostet Ansässige pauschal 2,0 % des zu versteuernden Einkommens; Besserverdiener ohne private Krankenhausversicherung zahlen zusätzlich die </w:t>
            </w:r>
            <w:r>
              <w:rPr>
                <w:i/>
                <w:iCs/>
                <w:sz w:val="20"/>
                <w:szCs w:val="20"/>
              </w:rPr>
              <w:t>Medicare Levy Surcharge</w:t>
            </w:r>
            <w:r>
              <w:rPr>
                <w:sz w:val="20"/>
                <w:szCs w:val="20"/>
              </w:rPr>
              <w:t xml:space="preserve"> von 1,0 bis 1,5 %.</w:t>
            </w:r>
          </w:p>
          <w:p w14:paraId="70A4F1B8" w14:textId="77777777" w:rsidR="00C1548D" w:rsidRDefault="009B1B4B" w:rsidP="009B1B4B">
            <w:pPr>
              <w:pStyle w:val="ListParagraph"/>
              <w:numPr>
                <w:ilvl w:val="0"/>
                <w:numId w:val="1"/>
              </w:numPr>
              <w:spacing w:after="50" w:line="264" w:lineRule="auto"/>
            </w:pPr>
            <w:r>
              <w:rPr>
                <w:sz w:val="20"/>
                <w:szCs w:val="20"/>
              </w:rPr>
              <w:t xml:space="preserve">Dein Arbeitgeber zahlt verpflichtend 12,0 % deines Lohns in deine </w:t>
            </w:r>
            <w:r>
              <w:rPr>
                <w:i/>
                <w:iCs/>
                <w:sz w:val="20"/>
                <w:szCs w:val="20"/>
              </w:rPr>
              <w:t>Superannuation</w:t>
            </w:r>
            <w:r>
              <w:rPr>
                <w:sz w:val="20"/>
                <w:szCs w:val="20"/>
              </w:rPr>
              <w:t xml:space="preserve"> (kapitalgedeckte Altersvorsorge) ein – dein Geld, nicht seines.</w:t>
            </w:r>
          </w:p>
          <w:p w14:paraId="70A4F1B9" w14:textId="77777777" w:rsidR="00C1548D" w:rsidRDefault="009B1B4B" w:rsidP="009B1B4B">
            <w:pPr>
              <w:pStyle w:val="ListParagraph"/>
              <w:numPr>
                <w:ilvl w:val="0"/>
                <w:numId w:val="1"/>
              </w:numPr>
              <w:spacing w:after="50" w:line="264" w:lineRule="auto"/>
            </w:pPr>
            <w:r>
              <w:rPr>
                <w:sz w:val="20"/>
                <w:szCs w:val="20"/>
              </w:rPr>
              <w:t>Verlässt du Australien dauerhaft, kannst du dir das Superguthaben auszahlen lassen (</w:t>
            </w:r>
            <w:r>
              <w:rPr>
                <w:i/>
                <w:iCs/>
                <w:sz w:val="20"/>
                <w:szCs w:val="20"/>
              </w:rPr>
              <w:t>DASP</w:t>
            </w:r>
            <w:r>
              <w:rPr>
                <w:sz w:val="20"/>
                <w:szCs w:val="20"/>
              </w:rPr>
              <w:t>) – allerdings mit einer Steuer von 35 bis 65 %.</w:t>
            </w:r>
          </w:p>
          <w:p w14:paraId="70A4F1BA" w14:textId="77777777" w:rsidR="00C1548D" w:rsidRDefault="009B1B4B" w:rsidP="009B1B4B">
            <w:pPr>
              <w:pStyle w:val="ListParagraph"/>
              <w:numPr>
                <w:ilvl w:val="0"/>
                <w:numId w:val="1"/>
              </w:numPr>
              <w:spacing w:after="50" w:line="264" w:lineRule="auto"/>
            </w:pPr>
            <w:r>
              <w:rPr>
                <w:sz w:val="20"/>
                <w:szCs w:val="20"/>
              </w:rPr>
              <w:t>Ein Bankkonto lässt sich bei manchen Banken schon vor der Einreise online eröffnen; deine deutsche Bonität zählt dabei nichts, Kreditwürdigkeit baust du in Australien neu auf.</w:t>
            </w:r>
          </w:p>
        </w:tc>
      </w:tr>
    </w:tbl>
    <w:p w14:paraId="70A4F1BC" w14:textId="77777777" w:rsidR="00C1548D" w:rsidRDefault="00C1548D">
      <w:pPr>
        <w:spacing w:line="220" w:lineRule="exact"/>
      </w:pPr>
    </w:p>
    <w:p w14:paraId="70A4F1BD" w14:textId="77777777" w:rsidR="00C1548D" w:rsidRDefault="009B1B4B">
      <w:pPr>
        <w:pStyle w:val="Heading3"/>
        <w:keepNext/>
        <w:jc w:val="center"/>
      </w:pPr>
      <w:r>
        <w:rPr>
          <w:rFonts w:ascii="Amazon Ember" w:eastAsia="Amazon Ember" w:hAnsi="Amazon Ember" w:cs="Amazon Ember"/>
          <w:color w:val="0000FF"/>
          <w:sz w:val="36"/>
          <w:szCs w:val="36"/>
        </w:rPr>
        <w:t>Die Tax File Number: deine Basis im System</w:t>
      </w:r>
    </w:p>
    <w:p w14:paraId="70A4F1BE" w14:textId="77777777" w:rsidR="00C1548D" w:rsidRDefault="009B1B4B">
      <w:pPr>
        <w:spacing w:after="140"/>
      </w:pPr>
      <w:r>
        <w:t xml:space="preserve">Die TFN ist die zentrale Steuernummer der </w:t>
      </w:r>
      <w:r>
        <w:rPr>
          <w:i/>
          <w:iCs/>
        </w:rPr>
        <w:t>Australian Taxation Office</w:t>
      </w:r>
      <w:r>
        <w:t xml:space="preserv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w:t>
      </w:r>
      <w:r>
        <w:rPr>
          <w:i/>
          <w:iCs/>
        </w:rPr>
        <w:t>myID</w:t>
      </w:r>
      <w:r>
        <w:t xml:space="preserve">, das staatliche Digital-ID-Verfahren) verfügt, kann online beantragen; alternativ läuft es über ein persönliches Interview bei einer teilnehmenden Filiale der Australia Post, mit beglaubigten Ausweisdokumenten. Für frisch eingereiste Migranten mit gültigem Arbeitsvisum ist die </w:t>
      </w:r>
      <w:r>
        <w:lastRenderedPageBreak/>
        <w:t>Beantragung in der Praxis meist erst nach der Ankunft sinnvoll, weil ein australischer Wohnsitznachweis verlangt wird; das exakte Verfahren für diese Gruppe unterscheidet sich vom oben beschriebenen Weg für Staatsangehörige und ist n</w:t>
      </w:r>
      <w:r>
        <w:t>icht bis ins letzte Detail einheitlich dokumentiert – informiere dich bei der Antragstellung direkt bei der ATO über den für dich richtigen Weg.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C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1BF" w14:textId="77777777" w:rsidR="00C1548D" w:rsidRDefault="009B1B4B">
            <w:pPr>
              <w:keepNext/>
              <w:spacing w:after="70" w:line="240" w:lineRule="auto"/>
            </w:pPr>
            <w:r>
              <w:rPr>
                <w:b/>
                <w:bCs/>
                <w:color w:val="9B2C2C"/>
                <w:spacing w:val="24"/>
                <w:sz w:val="16"/>
                <w:szCs w:val="16"/>
              </w:rPr>
              <w:t>ACHTUNG</w:t>
            </w:r>
          </w:p>
          <w:p w14:paraId="70A4F1C0" w14:textId="77777777" w:rsidR="00C1548D" w:rsidRDefault="009B1B4B">
            <w:pPr>
              <w:spacing w:after="80" w:line="264" w:lineRule="auto"/>
            </w:pPr>
            <w:r>
              <w:rPr>
                <w:sz w:val="20"/>
                <w:szCs w:val="20"/>
              </w:rPr>
              <w:t>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Zwischenzeit fehlt dir das Geld im Alltag. Beantrage die TFN deshalb an einem deiner ersten Tage in Australien, nicht erst, wenn die erste Abrechnung dich überrascht.</w:t>
            </w:r>
          </w:p>
        </w:tc>
      </w:tr>
    </w:tbl>
    <w:p w14:paraId="70A4F1C2" w14:textId="77777777" w:rsidR="00C1548D" w:rsidRDefault="00C1548D">
      <w:pPr>
        <w:spacing w:line="220" w:lineRule="exact"/>
      </w:pPr>
    </w:p>
    <w:p w14:paraId="70A4F1C3" w14:textId="4C117CD7" w:rsidR="00C1548D" w:rsidRDefault="009B1B4B">
      <w:pPr>
        <w:spacing w:after="140"/>
      </w:pPr>
      <w:r>
        <w:t xml:space="preserve">Die TFN gilt ausschließlich für Steuer- und Superannuation-Zwecke. Für Medicare (siehe das </w:t>
      </w:r>
      <w:hyperlink w:anchor="tau08" w:history="1">
        <w:r>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w14:paraId="70A4F1C4" w14:textId="77777777" w:rsidR="00C1548D" w:rsidRDefault="009B1B4B">
      <w:pPr>
        <w:pStyle w:val="Heading3"/>
        <w:keepNext/>
        <w:jc w:val="center"/>
      </w:pPr>
      <w:r>
        <w:rPr>
          <w:rFonts w:ascii="Amazon Ember" w:eastAsia="Amazon Ember" w:hAnsi="Amazon Ember" w:cs="Amazon Ember"/>
          <w:color w:val="0000FF"/>
          <w:sz w:val="36"/>
          <w:szCs w:val="36"/>
        </w:rPr>
        <w:t>Das Steuersystem: ATO, Finanzjahr und wer wie viel zahlt</w:t>
      </w:r>
    </w:p>
    <w:p w14:paraId="70A4F1C5" w14:textId="77777777" w:rsidR="00C1548D" w:rsidRDefault="009B1B4B">
      <w:pPr>
        <w:spacing w:after="140"/>
      </w:pPr>
      <w:r>
        <w:t>Australiens Finanzjahr läuft vom 1. Juli bis zum 30. Juni, nicht wie in Deutschland parallel zum Kalenderjahr – ein Detail, das dich bei jeder Fristangabe kurz stutzen lässt, bis du dich daran gewöhnt hast. Für Ansässige (</w:t>
      </w:r>
      <w:r>
        <w:rPr>
          <w:i/>
          <w:iCs/>
        </w:rPr>
        <w:t>Residents</w:t>
      </w:r>
      <w:r>
        <w:t xml:space="preserve"> für Steuerzwecke) gilt 2026–27 ein progressiver Tarif mit steuerfreiem Grundbetrag: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68"/>
        <w:gridCol w:w="4512"/>
      </w:tblGrid>
      <w:tr w:rsidR="00C1548D" w14:paraId="70A4F1C8" w14:textId="77777777">
        <w:tblPrEx>
          <w:tblCellMar>
            <w:top w:w="0" w:type="dxa"/>
            <w:bottom w:w="0" w:type="dxa"/>
          </w:tblCellMar>
        </w:tblPrEx>
        <w:trPr>
          <w:cantSplit/>
          <w:tblHeader/>
        </w:trPr>
        <w:tc>
          <w:tcPr>
            <w:tcW w:w="196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1C6" w14:textId="77777777" w:rsidR="00C1548D" w:rsidRDefault="009B1B4B">
            <w:pPr>
              <w:spacing w:line="250" w:lineRule="auto"/>
            </w:pPr>
            <w:r>
              <w:rPr>
                <w:b/>
                <w:bCs/>
                <w:sz w:val="18"/>
                <w:szCs w:val="18"/>
              </w:rPr>
              <w:t>Satz</w:t>
            </w:r>
          </w:p>
        </w:tc>
        <w:tc>
          <w:tcPr>
            <w:tcW w:w="451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1C7" w14:textId="77777777" w:rsidR="00C1548D" w:rsidRDefault="009B1B4B">
            <w:pPr>
              <w:spacing w:line="250" w:lineRule="auto"/>
            </w:pPr>
            <w:r>
              <w:rPr>
                <w:b/>
                <w:bCs/>
                <w:sz w:val="18"/>
                <w:szCs w:val="18"/>
              </w:rPr>
              <w:t>Zu versteuerndes Einkommen</w:t>
            </w:r>
          </w:p>
        </w:tc>
      </w:tr>
      <w:tr w:rsidR="00C1548D" w14:paraId="70A4F1CB" w14:textId="77777777">
        <w:tblPrEx>
          <w:tblCellMar>
            <w:top w:w="0" w:type="dxa"/>
            <w:bottom w:w="0" w:type="dxa"/>
          </w:tblCellMar>
        </w:tblPrEx>
        <w:trPr>
          <w:cantSplit/>
        </w:trPr>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C9" w14:textId="77777777" w:rsidR="00C1548D" w:rsidRDefault="009B1B4B">
            <w:pPr>
              <w:spacing w:line="250" w:lineRule="auto"/>
            </w:pPr>
            <w:r>
              <w:rPr>
                <w:sz w:val="18"/>
                <w:szCs w:val="18"/>
              </w:rPr>
              <w:t>0 %</w:t>
            </w:r>
          </w:p>
        </w:tc>
        <w:tc>
          <w:tcPr>
            <w:tcW w:w="45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CA" w14:textId="77777777" w:rsidR="00C1548D" w:rsidRDefault="009B1B4B">
            <w:pPr>
              <w:spacing w:line="250" w:lineRule="auto"/>
            </w:pPr>
            <w:r>
              <w:rPr>
                <w:sz w:val="18"/>
                <w:szCs w:val="18"/>
              </w:rPr>
              <w:t>bis 18.200 AUD</w:t>
            </w:r>
          </w:p>
        </w:tc>
      </w:tr>
      <w:tr w:rsidR="00C1548D" w14:paraId="70A4F1CE" w14:textId="77777777">
        <w:tblPrEx>
          <w:tblCellMar>
            <w:top w:w="0" w:type="dxa"/>
            <w:bottom w:w="0" w:type="dxa"/>
          </w:tblCellMar>
        </w:tblPrEx>
        <w:trPr>
          <w:cantSplit/>
        </w:trPr>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CC" w14:textId="77777777" w:rsidR="00C1548D" w:rsidRDefault="009B1B4B">
            <w:pPr>
              <w:spacing w:line="250" w:lineRule="auto"/>
            </w:pPr>
            <w:r>
              <w:rPr>
                <w:sz w:val="18"/>
                <w:szCs w:val="18"/>
              </w:rPr>
              <w:t>15 %</w:t>
            </w:r>
          </w:p>
        </w:tc>
        <w:tc>
          <w:tcPr>
            <w:tcW w:w="45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CD" w14:textId="77777777" w:rsidR="00C1548D" w:rsidRDefault="009B1B4B">
            <w:pPr>
              <w:spacing w:line="250" w:lineRule="auto"/>
            </w:pPr>
            <w:r>
              <w:rPr>
                <w:sz w:val="18"/>
                <w:szCs w:val="18"/>
              </w:rPr>
              <w:t>18.201–45.000 AUD</w:t>
            </w:r>
          </w:p>
        </w:tc>
      </w:tr>
      <w:tr w:rsidR="00C1548D" w14:paraId="70A4F1D1" w14:textId="77777777">
        <w:tblPrEx>
          <w:tblCellMar>
            <w:top w:w="0" w:type="dxa"/>
            <w:bottom w:w="0" w:type="dxa"/>
          </w:tblCellMar>
        </w:tblPrEx>
        <w:trPr>
          <w:cantSplit/>
        </w:trPr>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CF" w14:textId="77777777" w:rsidR="00C1548D" w:rsidRDefault="009B1B4B">
            <w:pPr>
              <w:spacing w:line="250" w:lineRule="auto"/>
            </w:pPr>
            <w:r>
              <w:rPr>
                <w:sz w:val="18"/>
                <w:szCs w:val="18"/>
              </w:rPr>
              <w:t>30 %</w:t>
            </w:r>
          </w:p>
        </w:tc>
        <w:tc>
          <w:tcPr>
            <w:tcW w:w="45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D0" w14:textId="77777777" w:rsidR="00C1548D" w:rsidRDefault="009B1B4B">
            <w:pPr>
              <w:spacing w:line="250" w:lineRule="auto"/>
            </w:pPr>
            <w:r>
              <w:rPr>
                <w:sz w:val="18"/>
                <w:szCs w:val="18"/>
              </w:rPr>
              <w:t>45.001–135.000 AUD</w:t>
            </w:r>
          </w:p>
        </w:tc>
      </w:tr>
      <w:tr w:rsidR="00C1548D" w14:paraId="70A4F1D4" w14:textId="77777777">
        <w:tblPrEx>
          <w:tblCellMar>
            <w:top w:w="0" w:type="dxa"/>
            <w:bottom w:w="0" w:type="dxa"/>
          </w:tblCellMar>
        </w:tblPrEx>
        <w:trPr>
          <w:cantSplit/>
        </w:trPr>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D2" w14:textId="77777777" w:rsidR="00C1548D" w:rsidRDefault="009B1B4B">
            <w:pPr>
              <w:spacing w:line="250" w:lineRule="auto"/>
            </w:pPr>
            <w:r>
              <w:rPr>
                <w:sz w:val="18"/>
                <w:szCs w:val="18"/>
              </w:rPr>
              <w:lastRenderedPageBreak/>
              <w:t>37 %</w:t>
            </w:r>
          </w:p>
        </w:tc>
        <w:tc>
          <w:tcPr>
            <w:tcW w:w="45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D3" w14:textId="77777777" w:rsidR="00C1548D" w:rsidRDefault="009B1B4B">
            <w:pPr>
              <w:spacing w:line="250" w:lineRule="auto"/>
            </w:pPr>
            <w:r>
              <w:rPr>
                <w:sz w:val="18"/>
                <w:szCs w:val="18"/>
              </w:rPr>
              <w:t>135.001–190.000 AUD</w:t>
            </w:r>
          </w:p>
        </w:tc>
      </w:tr>
      <w:tr w:rsidR="00C1548D" w14:paraId="70A4F1D7" w14:textId="77777777">
        <w:tblPrEx>
          <w:tblCellMar>
            <w:top w:w="0" w:type="dxa"/>
            <w:bottom w:w="0" w:type="dxa"/>
          </w:tblCellMar>
        </w:tblPrEx>
        <w:trPr>
          <w:cantSplit/>
        </w:trPr>
        <w:tc>
          <w:tcPr>
            <w:tcW w:w="19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D5" w14:textId="77777777" w:rsidR="00C1548D" w:rsidRDefault="009B1B4B">
            <w:pPr>
              <w:spacing w:line="250" w:lineRule="auto"/>
            </w:pPr>
            <w:r>
              <w:rPr>
                <w:sz w:val="18"/>
                <w:szCs w:val="18"/>
              </w:rPr>
              <w:t>45 %</w:t>
            </w:r>
          </w:p>
        </w:tc>
        <w:tc>
          <w:tcPr>
            <w:tcW w:w="45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D6" w14:textId="77777777" w:rsidR="00C1548D" w:rsidRDefault="009B1B4B">
            <w:pPr>
              <w:spacing w:line="250" w:lineRule="auto"/>
            </w:pPr>
            <w:r>
              <w:rPr>
                <w:sz w:val="18"/>
                <w:szCs w:val="18"/>
              </w:rPr>
              <w:t>über 190.000 AUD</w:t>
            </w:r>
          </w:p>
        </w:tc>
      </w:tr>
    </w:tbl>
    <w:p w14:paraId="70A4F1D8" w14:textId="77777777" w:rsidR="00C1548D" w:rsidRDefault="00C1548D">
      <w:pPr>
        <w:spacing w:line="180" w:lineRule="exact"/>
      </w:pPr>
    </w:p>
    <w:p w14:paraId="70A4F1D9" w14:textId="77777777" w:rsidR="00C1548D" w:rsidRDefault="009B1B4B">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w14:paraId="70A4F1DA" w14:textId="77777777" w:rsidR="00C1548D" w:rsidRDefault="009B1B4B">
      <w:pPr>
        <w:spacing w:after="140"/>
      </w:pPr>
      <w:r>
        <w:t>Wer für Steuerzwecke nicht als australischer Ansässiger gilt (</w:t>
      </w:r>
      <w:r>
        <w:rPr>
          <w:i/>
          <w:iCs/>
        </w:rPr>
        <w:t>Foreign Resident</w:t>
      </w:r>
      <w:r>
        <w:t>, die genauen Kriterien wie der Wohnsitz- und der 183-Tage-Test sind ein eigenes, komplexes Thema), zahlt ohne jeden Steuerfreibetrag: 30 % bis 135.000 AUD, 37 % bis 190.000 AUD, 45 % darüber – dafür entfällt für Steuerausländer die Medicare Levy, weil ohnehin kein Medicare-Zugang besteht.</w:t>
      </w:r>
    </w:p>
    <w:p w14:paraId="70A4F1DB" w14:textId="77777777" w:rsidR="00C1548D" w:rsidRDefault="009B1B4B">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 ein Fall für den Steuerberater, nicht für eigenes Rechnen auf der Rückseite eines Bierdeckels.</w:t>
      </w:r>
    </w:p>
    <w:p w14:paraId="70A4F1DC" w14:textId="77777777" w:rsidR="00C1548D" w:rsidRDefault="009B1B4B">
      <w:pPr>
        <w:pStyle w:val="Heading3"/>
        <w:keepNext/>
        <w:jc w:val="center"/>
      </w:pPr>
      <w:r>
        <w:rPr>
          <w:rFonts w:ascii="Amazon Ember" w:eastAsia="Amazon Ember" w:hAnsi="Amazon Ember" w:cs="Amazon Ember"/>
          <w:color w:val="0000FF"/>
          <w:sz w:val="36"/>
          <w:szCs w:val="36"/>
        </w:rPr>
        <w:t>Medicare Levy und Medicare Levy Surcharge</w:t>
      </w:r>
    </w:p>
    <w:p w14:paraId="70A4F1DD" w14:textId="77777777" w:rsidR="00C1548D" w:rsidRDefault="009B1B4B">
      <w:pPr>
        <w:spacing w:after="140"/>
      </w:pPr>
      <w:r>
        <w:t xml:space="preserve">Die </w:t>
      </w:r>
      <w:r>
        <w:rPr>
          <w:i/>
          <w:iCs/>
        </w:rPr>
        <w:t>Medicare Levy</w:t>
      </w:r>
      <w:r>
        <w:t xml:space="preserve">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w:t>
      </w:r>
      <w:r>
        <w:lastRenderedPageBreak/>
        <w:t>Personen, die zwar steuerlich ansässig, aber mangels Medicare-Zugang gar nicht anspruchsberechtigt sind (dazu mehr im Kapitel zum Gesundheitssystem) – für diesen Fall lässt sich bei der Steuererklärung eine Befreiung gelt</w:t>
      </w:r>
      <w:r>
        <w:t>end machen, was sich vor der ersten Erklärung mit einem Steuerberater zu klären lohnt.</w:t>
      </w:r>
    </w:p>
    <w:p w14:paraId="70A4F1DE" w14:textId="77777777" w:rsidR="00C1548D" w:rsidRDefault="009B1B4B">
      <w:pPr>
        <w:spacing w:after="140"/>
      </w:pPr>
      <w:r>
        <w:t xml:space="preserve">Wer gut verdient und keine private Krankenhausversicherung hat, zahlt zusätzlich die </w:t>
      </w:r>
      <w:r>
        <w:rPr>
          <w:i/>
          <w:iCs/>
        </w:rPr>
        <w:t>Medicare Levy Surcharge</w:t>
      </w:r>
      <w:r>
        <w:t xml:space="preserve"> (MLS):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13"/>
        <w:gridCol w:w="2586"/>
        <w:gridCol w:w="1381"/>
      </w:tblGrid>
      <w:tr w:rsidR="00C1548D" w14:paraId="70A4F1E2" w14:textId="77777777">
        <w:tblPrEx>
          <w:tblCellMar>
            <w:top w:w="0" w:type="dxa"/>
            <w:bottom w:w="0" w:type="dxa"/>
          </w:tblCellMar>
        </w:tblPrEx>
        <w:trPr>
          <w:cantSplit/>
          <w:tblHeader/>
        </w:trPr>
        <w:tc>
          <w:tcPr>
            <w:tcW w:w="251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1DF" w14:textId="77777777" w:rsidR="00C1548D" w:rsidRDefault="009B1B4B">
            <w:pPr>
              <w:spacing w:line="250" w:lineRule="auto"/>
            </w:pPr>
            <w:r>
              <w:rPr>
                <w:b/>
                <w:bCs/>
                <w:sz w:val="18"/>
                <w:szCs w:val="18"/>
              </w:rPr>
              <w:t>Einkommen (Singles)</w:t>
            </w:r>
          </w:p>
        </w:tc>
        <w:tc>
          <w:tcPr>
            <w:tcW w:w="258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1E0" w14:textId="77777777" w:rsidR="00C1548D" w:rsidRDefault="009B1B4B">
            <w:pPr>
              <w:spacing w:line="250" w:lineRule="auto"/>
            </w:pPr>
            <w:r>
              <w:rPr>
                <w:b/>
                <w:bCs/>
                <w:sz w:val="18"/>
                <w:szCs w:val="18"/>
              </w:rPr>
              <w:t>Einkommen (Familien)</w:t>
            </w:r>
          </w:p>
        </w:tc>
        <w:tc>
          <w:tcPr>
            <w:tcW w:w="138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1E1" w14:textId="77777777" w:rsidR="00C1548D" w:rsidRDefault="009B1B4B">
            <w:pPr>
              <w:spacing w:line="250" w:lineRule="auto"/>
            </w:pPr>
            <w:r>
              <w:rPr>
                <w:b/>
                <w:bCs/>
                <w:sz w:val="18"/>
                <w:szCs w:val="18"/>
              </w:rPr>
              <w:t>MLS-Satz</w:t>
            </w:r>
          </w:p>
        </w:tc>
      </w:tr>
      <w:tr w:rsidR="00C1548D" w14:paraId="70A4F1E6" w14:textId="77777777">
        <w:tblPrEx>
          <w:tblCellMar>
            <w:top w:w="0" w:type="dxa"/>
            <w:bottom w:w="0" w:type="dxa"/>
          </w:tblCellMar>
        </w:tblPrEx>
        <w:trPr>
          <w:cantSplit/>
        </w:trPr>
        <w:tc>
          <w:tcPr>
            <w:tcW w:w="2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E3" w14:textId="77777777" w:rsidR="00C1548D" w:rsidRDefault="009B1B4B">
            <w:pPr>
              <w:spacing w:line="250" w:lineRule="auto"/>
            </w:pPr>
            <w:r>
              <w:rPr>
                <w:sz w:val="18"/>
                <w:szCs w:val="18"/>
              </w:rPr>
              <w:t>ab 105.000 AUD</w:t>
            </w:r>
          </w:p>
        </w:tc>
        <w:tc>
          <w:tcPr>
            <w:tcW w:w="25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E4" w14:textId="77777777" w:rsidR="00C1548D" w:rsidRDefault="009B1B4B">
            <w:pPr>
              <w:spacing w:line="250" w:lineRule="auto"/>
            </w:pPr>
            <w:r>
              <w:rPr>
                <w:sz w:val="18"/>
                <w:szCs w:val="18"/>
              </w:rPr>
              <w:t>ab 210.000 AUD</w:t>
            </w:r>
          </w:p>
        </w:tc>
        <w:tc>
          <w:tcPr>
            <w:tcW w:w="13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E5" w14:textId="77777777" w:rsidR="00C1548D" w:rsidRDefault="009B1B4B">
            <w:pPr>
              <w:spacing w:line="250" w:lineRule="auto"/>
            </w:pPr>
            <w:r>
              <w:rPr>
                <w:sz w:val="18"/>
                <w:szCs w:val="18"/>
              </w:rPr>
              <w:t>1,0 %</w:t>
            </w:r>
          </w:p>
        </w:tc>
      </w:tr>
      <w:tr w:rsidR="00C1548D" w14:paraId="70A4F1EA" w14:textId="77777777">
        <w:tblPrEx>
          <w:tblCellMar>
            <w:top w:w="0" w:type="dxa"/>
            <w:bottom w:w="0" w:type="dxa"/>
          </w:tblCellMar>
        </w:tblPrEx>
        <w:trPr>
          <w:cantSplit/>
        </w:trPr>
        <w:tc>
          <w:tcPr>
            <w:tcW w:w="2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E7" w14:textId="77777777" w:rsidR="00C1548D" w:rsidRDefault="009B1B4B">
            <w:pPr>
              <w:spacing w:line="250" w:lineRule="auto"/>
            </w:pPr>
            <w:r>
              <w:rPr>
                <w:sz w:val="18"/>
                <w:szCs w:val="18"/>
              </w:rPr>
              <w:t>ab 123.000 AUD</w:t>
            </w:r>
          </w:p>
        </w:tc>
        <w:tc>
          <w:tcPr>
            <w:tcW w:w="25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E8" w14:textId="77777777" w:rsidR="00C1548D" w:rsidRDefault="009B1B4B">
            <w:pPr>
              <w:spacing w:line="250" w:lineRule="auto"/>
            </w:pPr>
            <w:r>
              <w:rPr>
                <w:sz w:val="18"/>
                <w:szCs w:val="18"/>
              </w:rPr>
              <w:t>ab 246.000 AUD</w:t>
            </w:r>
          </w:p>
        </w:tc>
        <w:tc>
          <w:tcPr>
            <w:tcW w:w="13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E9" w14:textId="77777777" w:rsidR="00C1548D" w:rsidRDefault="009B1B4B">
            <w:pPr>
              <w:spacing w:line="250" w:lineRule="auto"/>
            </w:pPr>
            <w:r>
              <w:rPr>
                <w:sz w:val="18"/>
                <w:szCs w:val="18"/>
              </w:rPr>
              <w:t>1,25 %</w:t>
            </w:r>
          </w:p>
        </w:tc>
      </w:tr>
      <w:tr w:rsidR="00C1548D" w14:paraId="70A4F1EE" w14:textId="77777777">
        <w:tblPrEx>
          <w:tblCellMar>
            <w:top w:w="0" w:type="dxa"/>
            <w:bottom w:w="0" w:type="dxa"/>
          </w:tblCellMar>
        </w:tblPrEx>
        <w:trPr>
          <w:cantSplit/>
        </w:trPr>
        <w:tc>
          <w:tcPr>
            <w:tcW w:w="25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EB" w14:textId="77777777" w:rsidR="00C1548D" w:rsidRDefault="009B1B4B">
            <w:pPr>
              <w:spacing w:line="250" w:lineRule="auto"/>
            </w:pPr>
            <w:r>
              <w:rPr>
                <w:sz w:val="18"/>
                <w:szCs w:val="18"/>
              </w:rPr>
              <w:t>ab 164.000 AUD</w:t>
            </w:r>
          </w:p>
        </w:tc>
        <w:tc>
          <w:tcPr>
            <w:tcW w:w="258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EC" w14:textId="77777777" w:rsidR="00C1548D" w:rsidRDefault="009B1B4B">
            <w:pPr>
              <w:spacing w:line="250" w:lineRule="auto"/>
            </w:pPr>
            <w:r>
              <w:rPr>
                <w:sz w:val="18"/>
                <w:szCs w:val="18"/>
              </w:rPr>
              <w:t>ab 328.000 AUD</w:t>
            </w:r>
          </w:p>
        </w:tc>
        <w:tc>
          <w:tcPr>
            <w:tcW w:w="13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1ED" w14:textId="77777777" w:rsidR="00C1548D" w:rsidRDefault="009B1B4B">
            <w:pPr>
              <w:spacing w:line="250" w:lineRule="auto"/>
            </w:pPr>
            <w:r>
              <w:rPr>
                <w:sz w:val="18"/>
                <w:szCs w:val="18"/>
              </w:rPr>
              <w:t>1,5 %</w:t>
            </w:r>
          </w:p>
        </w:tc>
      </w:tr>
    </w:tbl>
    <w:p w14:paraId="70A4F1EF" w14:textId="77777777" w:rsidR="00C1548D" w:rsidRDefault="00C1548D">
      <w:pPr>
        <w:spacing w:line="180" w:lineRule="exact"/>
      </w:pPr>
    </w:p>
    <w:p w14:paraId="70A4F1F0" w14:textId="77777777" w:rsidR="00C1548D" w:rsidRDefault="009B1B4B">
      <w:pPr>
        <w:spacing w:after="140"/>
      </w:pPr>
      <w:r>
        <w:t>Die Familienschwelle steigt ab dem zweiten Kind um jeweils 1.500 AUD. Für die meisten Neuankömmlinge auf befristeten Visa ist die MLS in der Praxis kein Thema: Wer ohnehin keinen Medicare-Zugang hat und stattdessen zwingend eine private Auslandskrankenversicherung (</w:t>
      </w:r>
      <w:r>
        <w:rPr>
          <w:i/>
          <w:iCs/>
        </w:rPr>
        <w:t>OVHC</w:t>
      </w:r>
      <w:r>
        <w:t xml:space="preserve">) abschließen muss, zahlt keine MLS, weil diese nur für Medicare-Berechtigte ohne Krankenhausversicherung greift. Erst mit dem </w:t>
      </w:r>
      <w:r>
        <w:rPr>
          <w:i/>
          <w:iCs/>
        </w:rPr>
        <w:t>Permanent-Resident</w:t>
      </w:r>
      <w:r>
        <w:t>-Status und entsprechendem Einkommen wird die MLS relevant – dann lohnt sich der Vergleich, ob eine private Krankenhausversicherung nicht am Ende günstiger kommt als die Abgabe.</w:t>
      </w:r>
    </w:p>
    <w:p w14:paraId="70A4F1F1" w14:textId="77777777" w:rsidR="00C1548D" w:rsidRDefault="009B1B4B">
      <w:pPr>
        <w:pStyle w:val="Heading3"/>
        <w:keepNext/>
        <w:jc w:val="center"/>
      </w:pPr>
      <w:r>
        <w:rPr>
          <w:rFonts w:ascii="Amazon Ember" w:eastAsia="Amazon Ember" w:hAnsi="Amazon Ember" w:cs="Amazon Ember"/>
          <w:color w:val="0000FF"/>
          <w:sz w:val="36"/>
          <w:szCs w:val="36"/>
        </w:rPr>
        <w:t>Superannuation: die Pflichtvorsorge deines Arbeitgebers</w:t>
      </w:r>
    </w:p>
    <w:p w14:paraId="70A4F1F2" w14:textId="77777777" w:rsidR="00C1548D" w:rsidRDefault="009B1B4B">
      <w:pPr>
        <w:spacing w:after="140"/>
      </w:pPr>
      <w:r>
        <w:t xml:space="preserve">Superannuation ist Australiens verpflichtende, kapitalgedeckte Altersvorsorge – am ehesten vergleichbar mit einer Mischung aus deutscher gesetzlicher Rente und betrieblicher Altersvorsorge, nur dass das Guthaben auf einem persönlichen Konto liegt und dir gehört. Dein Arbeitgeber zahlt den </w:t>
      </w:r>
      <w:r>
        <w:rPr>
          <w:i/>
          <w:iCs/>
        </w:rPr>
        <w:t>Superannuation Guarantee</w:t>
      </w:r>
      <w:r>
        <w:t xml:space="preserve"> (SG) obendrauf zu deinem Gehalt in einen Superfonds ein, seit dem 1. Juli </w:t>
      </w:r>
      <w:r>
        <w:lastRenderedPageBreak/>
        <w:t>2025 in Höhe von 12,0 % deines gewöhnlichen Arbeitsentgelts – die letzte gesetzlich vorgesehene Erhöhungsstufe, weitere automatische Steigerungen sind derzeit nicht terminiert. Ab dem 1. Juli 2026 gilt außerdem „Payday Super“: Arbeitgeber müssen die Beiträge zeitgleich mit dem Lohn überweisen, nicht mehr gesammelt im Quartal.</w:t>
      </w:r>
    </w:p>
    <w:p w14:paraId="70A4F1F3" w14:textId="77777777" w:rsidR="00C1548D" w:rsidRDefault="009B1B4B">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 ein Fondswechsel später ist möglich, aber mit Aufwand verbunden.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F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1F4" w14:textId="77777777" w:rsidR="00C1548D" w:rsidRDefault="009B1B4B">
            <w:pPr>
              <w:keepNext/>
              <w:spacing w:after="70" w:line="240" w:lineRule="auto"/>
            </w:pPr>
            <w:r>
              <w:rPr>
                <w:b/>
                <w:bCs/>
                <w:color w:val="8A6212"/>
                <w:spacing w:val="24"/>
                <w:sz w:val="16"/>
                <w:szCs w:val="16"/>
              </w:rPr>
              <w:t>MERKE</w:t>
            </w:r>
          </w:p>
          <w:p w14:paraId="70A4F1F5" w14:textId="77777777" w:rsidR="00C1548D" w:rsidRDefault="009B1B4B">
            <w:pPr>
              <w:spacing w:after="80" w:line="264" w:lineRule="auto"/>
            </w:pPr>
            <w:r>
              <w:rPr>
                <w:sz w:val="20"/>
                <w:szCs w:val="20"/>
              </w:rPr>
              <w:t xml:space="preserve">Superannuation ist dein Geld, kein freiwilliges Extra des Arbeitgebers und keine Sozialabgabe, die im System verschwindet. Der reguläre Zugriff ist erst ab dem sogenannten </w:t>
            </w:r>
            <w:r>
              <w:rPr>
                <w:i/>
                <w:iCs/>
                <w:sz w:val="20"/>
                <w:szCs w:val="20"/>
              </w:rPr>
              <w:t>Preservation Age</w:t>
            </w:r>
            <w:r>
              <w:rPr>
                <w:sz w:val="20"/>
                <w:szCs w:val="20"/>
              </w:rPr>
              <w:t xml:space="preserve"> möglich, einheitlich 60 Jahre für alle nach 1964 Geborenen – für die meisten Neueinwanderer also erst in ferner Zukunft.</w:t>
            </w:r>
          </w:p>
        </w:tc>
      </w:tr>
    </w:tbl>
    <w:p w14:paraId="70A4F1F7" w14:textId="77777777" w:rsidR="00C1548D" w:rsidRDefault="00C1548D">
      <w:pPr>
        <w:spacing w:line="220" w:lineRule="exact"/>
      </w:pPr>
    </w:p>
    <w:p w14:paraId="70A4F1F8" w14:textId="77777777" w:rsidR="00C1548D" w:rsidRDefault="009B1B4B">
      <w:pPr>
        <w:pStyle w:val="Heading3"/>
        <w:keepNext/>
        <w:jc w:val="center"/>
      </w:pPr>
      <w:r>
        <w:rPr>
          <w:rFonts w:ascii="Amazon Ember" w:eastAsia="Amazon Ember" w:hAnsi="Amazon Ember" w:cs="Amazon Ember"/>
          <w:color w:val="0000FF"/>
          <w:sz w:val="36"/>
          <w:szCs w:val="36"/>
        </w:rPr>
        <w:t>Wegzug: Was mit der Superannuation passiert (DASP)</w:t>
      </w:r>
    </w:p>
    <w:p w14:paraId="70A4F1F9" w14:textId="77777777" w:rsidR="00C1548D" w:rsidRDefault="009B1B4B">
      <w:pPr>
        <w:spacing w:after="140"/>
      </w:pPr>
      <w:r>
        <w:t xml:space="preserve">Wer Australien als Steuerausländer dauerhaft verlässt und das Visum aufgibt, kann sich das angesparte Superguthaben auszahlen lassen – der </w:t>
      </w:r>
      <w:r>
        <w:rPr>
          <w:i/>
          <w:iCs/>
        </w:rPr>
        <w:t>Departing Australia Superannuation Payment</w:t>
      </w:r>
      <w:r>
        <w:t xml:space="preserve"> (DASP). Der Haken liegt im Steuersatz: 65 % auf den steuerpflichtigen Anteil für (ehemalige) Inhaber eines Working-Holiday-Visums (417/462), sobald irgendein Teil des Guthabens aus einer solchen Beschäftigungsperiode stammt, auch wenn später ein anderes Visum galt; 35 % für die meisten anderen befristeten Aufenthaltstitel. Diese Steuer wird final einbehalten, eine Erstattung über die reguläre Steuererklärung gibt es nicht.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1F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1FA" w14:textId="77777777" w:rsidR="00C1548D" w:rsidRDefault="009B1B4B">
            <w:pPr>
              <w:keepNext/>
              <w:spacing w:after="70" w:line="240" w:lineRule="auto"/>
            </w:pPr>
            <w:r>
              <w:rPr>
                <w:b/>
                <w:bCs/>
                <w:color w:val="9B2C2C"/>
                <w:spacing w:val="24"/>
                <w:sz w:val="16"/>
                <w:szCs w:val="16"/>
              </w:rPr>
              <w:lastRenderedPageBreak/>
              <w:t>ACHTUNG</w:t>
            </w:r>
          </w:p>
          <w:p w14:paraId="70A4F1FB" w14:textId="77777777" w:rsidR="00C1548D" w:rsidRDefault="009B1B4B">
            <w:pPr>
              <w:spacing w:after="80" w:line="264" w:lineRule="auto"/>
            </w:pPr>
            <w:r>
              <w:rPr>
                <w:sz w:val="20"/>
                <w:szCs w:val="20"/>
              </w:rPr>
              <w:t>Von zwölf Prozent Pflichtbeitrag, die über Monate oder Jahre angespart wurden, bleiben bei der Working-Holiday-DASP-Steuer nur gut ein Drittel übrig, wenn du das Land endgültig verlässt. Rechne das realistisch in deine Reisekasse ein – der Kontostand im Super-Fonds ist beim Abflug deutlich weniger wert, als er auf dem Papier aussieht.</w:t>
            </w:r>
          </w:p>
        </w:tc>
      </w:tr>
    </w:tbl>
    <w:p w14:paraId="70A4F1FD"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00"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1FE" w14:textId="77777777" w:rsidR="00C1548D" w:rsidRDefault="009B1B4B">
            <w:pPr>
              <w:keepNext/>
              <w:spacing w:after="70" w:line="240" w:lineRule="auto"/>
            </w:pPr>
            <w:r>
              <w:rPr>
                <w:b/>
                <w:bCs/>
                <w:color w:val="4A5568"/>
                <w:spacing w:val="24"/>
                <w:sz w:val="16"/>
                <w:szCs w:val="16"/>
              </w:rPr>
              <w:t>PRAXISBEISPIEL · FIKTIV</w:t>
            </w:r>
          </w:p>
          <w:p w14:paraId="70A4F1FF" w14:textId="77777777" w:rsidR="00C1548D" w:rsidRDefault="009B1B4B">
            <w:pPr>
              <w:spacing w:after="80" w:line="264" w:lineRule="auto"/>
            </w:pPr>
            <w:r>
              <w:rPr>
                <w:sz w:val="20"/>
                <w:szCs w:val="20"/>
              </w:rPr>
              <w:t xml:space="preserve">Nina Voss kommt mit einem Working-Holiday-Visum (417 — für deutsche Staatsangehörige die einzige Working-Holiday-Kategorie, 462 gilt nur für andere Länder) nach Sydney und jobbt zunächst in der Gastronomie und auf einer Farm in Queensland. Über eineinhalb Jahre sammelt sich auf ihrem Superfonds ein kleines Guthaben aus den 12 % Arbeitgeberbeiträgen an. Als sie später über einen gefundenen Arbeitgeber auf ein Skilled-Visum wechselt und in Sydney bleiben will, lässt sie das Guthaben unangetastet weiterlaufen </w:t>
            </w:r>
            <w:r>
              <w:rPr>
                <w:sz w:val="20"/>
                <w:szCs w:val="20"/>
              </w:rPr>
              <w:t>– gut so, denn selbst der Teil aus der Skilled-Phase würde bei einer Ausreise mit dem hohen 65-%-Satz belegt, sobald der Fonds Working-Holiday-Beiträge enthält. Erst mit einer Green-Card-ähnlichen, dauerhaften Aufenthaltserlaubnis entfällt das DASP-Thema endgültig.</w:t>
            </w:r>
          </w:p>
        </w:tc>
      </w:tr>
    </w:tbl>
    <w:p w14:paraId="70A4F201" w14:textId="77777777" w:rsidR="00C1548D" w:rsidRDefault="00C1548D">
      <w:pPr>
        <w:spacing w:line="220" w:lineRule="exact"/>
      </w:pPr>
    </w:p>
    <w:p w14:paraId="70A4F202" w14:textId="77777777" w:rsidR="00C1548D" w:rsidRDefault="009B1B4B">
      <w:pPr>
        <w:pStyle w:val="Heading3"/>
        <w:keepNext/>
        <w:jc w:val="center"/>
      </w:pPr>
      <w:r>
        <w:rPr>
          <w:rFonts w:ascii="Amazon Ember" w:eastAsia="Amazon Ember" w:hAnsi="Amazon Ember" w:cs="Amazon Ember"/>
          <w:color w:val="0000FF"/>
          <w:sz w:val="36"/>
          <w:szCs w:val="36"/>
        </w:rPr>
        <w:t>Bankkonto eröffnen</w:t>
      </w:r>
    </w:p>
    <w:p w14:paraId="70A4F203" w14:textId="77777777" w:rsidR="00C1548D" w:rsidRDefault="009B1B4B">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(in der Regel Pass, Visumsnachwe</w:t>
      </w:r>
      <w:r>
        <w:t>is und ein weiteres Ausweisdokument).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06"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204" w14:textId="77777777" w:rsidR="00C1548D" w:rsidRDefault="009B1B4B">
            <w:pPr>
              <w:keepNext/>
              <w:spacing w:after="70" w:line="240" w:lineRule="auto"/>
            </w:pPr>
            <w:r>
              <w:rPr>
                <w:b/>
                <w:bCs/>
                <w:color w:val="2F6B3B"/>
                <w:spacing w:val="24"/>
                <w:sz w:val="16"/>
                <w:szCs w:val="16"/>
              </w:rPr>
              <w:lastRenderedPageBreak/>
              <w:t>SPARTIPP</w:t>
            </w:r>
          </w:p>
          <w:p w14:paraId="70A4F205" w14:textId="77777777" w:rsidR="00C1548D" w:rsidRDefault="009B1B4B">
            <w:pPr>
              <w:spacing w:after="80" w:line="264" w:lineRule="auto"/>
            </w:pPr>
            <w:r>
              <w:rPr>
                <w:sz w:val="20"/>
                <w:szCs w:val="20"/>
              </w:rPr>
              <w:t>Eröffne dein Konto, wenn möglich, online, bevor du fliegst. Dann bist du vom ersten Arbeitstag an zahlungsfähig, statt in der ersten, ohnehin turbulenten Woche noch einen Bankbesuch einschieben zu müssen.</w:t>
            </w:r>
          </w:p>
        </w:tc>
      </w:tr>
    </w:tbl>
    <w:p w14:paraId="70A4F207" w14:textId="77777777" w:rsidR="00C1548D" w:rsidRDefault="00C1548D">
      <w:pPr>
        <w:spacing w:line="220" w:lineRule="exact"/>
      </w:pPr>
    </w:p>
    <w:p w14:paraId="70A4F208" w14:textId="77777777" w:rsidR="00C1548D" w:rsidRDefault="009B1B4B">
      <w:pPr>
        <w:spacing w:after="140"/>
      </w:pPr>
      <w:r>
        <w:t>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sich häufig und lohnen einen Vergleich direkt auf den Bank-Websites</w:t>
      </w:r>
      <w:r>
        <w:t xml:space="preserve"> vor der Wahl.</w:t>
      </w:r>
    </w:p>
    <w:p w14:paraId="70A4F209" w14:textId="77777777" w:rsidR="00C1548D" w:rsidRDefault="009B1B4B">
      <w:pPr>
        <w:pStyle w:val="Heading3"/>
        <w:keepNext/>
        <w:jc w:val="center"/>
      </w:pPr>
      <w:r>
        <w:rPr>
          <w:rFonts w:ascii="Amazon Ember" w:eastAsia="Amazon Ember" w:hAnsi="Amazon Ember" w:cs="Amazon Ember"/>
          <w:color w:val="0000FF"/>
          <w:sz w:val="36"/>
          <w:szCs w:val="36"/>
        </w:rPr>
        <w:t>Kreditwürdigkeit aufbauen: das australische Auskunftssystem</w:t>
      </w:r>
    </w:p>
    <w:p w14:paraId="70A4F20A" w14:textId="77777777" w:rsidR="00C1548D" w:rsidRDefault="009B1B4B">
      <w:pPr>
        <w:spacing w:after="140"/>
      </w:pPr>
      <w:r>
        <w:t xml:space="preserve">Wie in den meisten Ländern zählt deine deutsche Schufa-Historie in Australien nichts – du startest ohne jede lokale Kredithistorie, unabhängig davon, wie makellos dein deutsches Zahlungsverhalten war. Drei Auskunfteien – Equifax, Experian und Illion – führen jeweils eigene Kreditauskünfte mit unterschiedlichen Skalen (Equifax 0–1.200, Experian und Illion 0–1.000 Punkte) und teils unterschiedlichen Werten, weil nicht jeder Anbieter an jede Auskunftei meldet. Seit der Einführung des </w:t>
      </w:r>
      <w:r>
        <w:rPr>
          <w:i/>
          <w:iCs/>
        </w:rPr>
        <w:t>Comprehensive Credit Reporting</w:t>
      </w:r>
      <w:r>
        <w:t xml:space="preserve"> (umfassende Kreditauskunft, seit 2018 möglich, seit 2022 branchenweit Standard) zählen nicht mehr nur negative Einträge wie Zahlungsausfälle, sondern auch pünktliche Zahlungen positiv in den Score ein – für Neuankömmlinge ohne jede Historie ein Vorteil, weil sich eine saubere Zahlungsweise entsprechend schnell bemerkbar macht.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4"/>
        <w:gridCol w:w="2177"/>
        <w:gridCol w:w="3189"/>
      </w:tblGrid>
      <w:tr w:rsidR="00C1548D" w14:paraId="70A4F20E" w14:textId="77777777">
        <w:tblPrEx>
          <w:tblCellMar>
            <w:top w:w="0" w:type="dxa"/>
            <w:bottom w:w="0" w:type="dxa"/>
          </w:tblCellMar>
        </w:tblPrEx>
        <w:trPr>
          <w:cantSplit/>
          <w:tblHeader/>
        </w:trPr>
        <w:tc>
          <w:tcPr>
            <w:tcW w:w="111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20B" w14:textId="77777777" w:rsidR="00C1548D" w:rsidRDefault="009B1B4B">
            <w:pPr>
              <w:spacing w:line="250" w:lineRule="auto"/>
            </w:pPr>
            <w:r>
              <w:rPr>
                <w:b/>
                <w:bCs/>
                <w:sz w:val="18"/>
                <w:szCs w:val="18"/>
              </w:rPr>
              <w:lastRenderedPageBreak/>
              <w:t>Merkmal</w:t>
            </w:r>
          </w:p>
        </w:tc>
        <w:tc>
          <w:tcPr>
            <w:tcW w:w="21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20C" w14:textId="77777777" w:rsidR="00C1548D" w:rsidRDefault="009B1B4B">
            <w:pPr>
              <w:spacing w:line="250" w:lineRule="auto"/>
            </w:pPr>
            <w:r>
              <w:rPr>
                <w:b/>
                <w:bCs/>
                <w:sz w:val="18"/>
                <w:szCs w:val="18"/>
              </w:rPr>
              <w:t>Schufa (Deutschland)</w:t>
            </w:r>
          </w:p>
        </w:tc>
        <w:tc>
          <w:tcPr>
            <w:tcW w:w="31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20D" w14:textId="77777777" w:rsidR="00C1548D" w:rsidRDefault="009B1B4B">
            <w:pPr>
              <w:spacing w:line="250" w:lineRule="auto"/>
            </w:pPr>
            <w:r>
              <w:rPr>
                <w:b/>
                <w:bCs/>
                <w:sz w:val="18"/>
                <w:szCs w:val="18"/>
              </w:rPr>
              <w:t>Kreditauskunft (Australien)</w:t>
            </w:r>
          </w:p>
        </w:tc>
      </w:tr>
      <w:tr w:rsidR="00C1548D" w14:paraId="70A4F212" w14:textId="77777777">
        <w:tblPrEx>
          <w:tblCellMar>
            <w:top w:w="0" w:type="dxa"/>
            <w:bottom w:w="0" w:type="dxa"/>
          </w:tblCellMar>
        </w:tblPrEx>
        <w:trPr>
          <w:cantSplit/>
        </w:trPr>
        <w:tc>
          <w:tcPr>
            <w:tcW w:w="111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0F" w14:textId="77777777" w:rsidR="00C1548D" w:rsidRDefault="009B1B4B">
            <w:pPr>
              <w:spacing w:line="250" w:lineRule="auto"/>
            </w:pPr>
            <w:r>
              <w:rPr>
                <w:sz w:val="18"/>
                <w:szCs w:val="18"/>
              </w:rPr>
              <w:t>Auskunfteien</w:t>
            </w:r>
          </w:p>
        </w:tc>
        <w:tc>
          <w:tcPr>
            <w:tcW w:w="21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10" w14:textId="77777777" w:rsidR="00C1548D" w:rsidRDefault="009B1B4B">
            <w:pPr>
              <w:spacing w:line="250" w:lineRule="auto"/>
            </w:pPr>
            <w:r>
              <w:rPr>
                <w:sz w:val="18"/>
                <w:szCs w:val="18"/>
              </w:rPr>
              <w:t>im Kern eine, die Schufa dominiert</w:t>
            </w:r>
          </w:p>
        </w:tc>
        <w:tc>
          <w:tcPr>
            <w:tcW w:w="31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11" w14:textId="77777777" w:rsidR="00C1548D" w:rsidRDefault="009B1B4B">
            <w:pPr>
              <w:spacing w:line="250" w:lineRule="auto"/>
            </w:pPr>
            <w:r>
              <w:rPr>
                <w:sz w:val="18"/>
                <w:szCs w:val="18"/>
              </w:rPr>
              <w:t>drei parallele Bureaus (Equifax, Experian, Illion), mit abweichenden Werten</w:t>
            </w:r>
          </w:p>
        </w:tc>
      </w:tr>
      <w:tr w:rsidR="00C1548D" w14:paraId="70A4F216" w14:textId="77777777">
        <w:tblPrEx>
          <w:tblCellMar>
            <w:top w:w="0" w:type="dxa"/>
            <w:bottom w:w="0" w:type="dxa"/>
          </w:tblCellMar>
        </w:tblPrEx>
        <w:trPr>
          <w:cantSplit/>
        </w:trPr>
        <w:tc>
          <w:tcPr>
            <w:tcW w:w="111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13" w14:textId="77777777" w:rsidR="00C1548D" w:rsidRDefault="009B1B4B">
            <w:pPr>
              <w:spacing w:line="250" w:lineRule="auto"/>
            </w:pPr>
            <w:r>
              <w:rPr>
                <w:sz w:val="18"/>
                <w:szCs w:val="18"/>
              </w:rPr>
              <w:t>Skala</w:t>
            </w:r>
          </w:p>
        </w:tc>
        <w:tc>
          <w:tcPr>
            <w:tcW w:w="21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14" w14:textId="77777777" w:rsidR="00C1548D" w:rsidRDefault="009B1B4B">
            <w:pPr>
              <w:spacing w:line="250" w:lineRule="auto"/>
            </w:pPr>
            <w:r>
              <w:rPr>
                <w:sz w:val="18"/>
                <w:szCs w:val="18"/>
              </w:rPr>
              <w:t>0–100 % (Wahrscheinlichkeit)</w:t>
            </w:r>
          </w:p>
        </w:tc>
        <w:tc>
          <w:tcPr>
            <w:tcW w:w="31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15" w14:textId="77777777" w:rsidR="00C1548D" w:rsidRDefault="009B1B4B">
            <w:pPr>
              <w:spacing w:line="250" w:lineRule="auto"/>
            </w:pPr>
            <w:r>
              <w:rPr>
                <w:sz w:val="18"/>
                <w:szCs w:val="18"/>
              </w:rPr>
              <w:t>je nach Bureau unterschiedlich (z. B. 0–1.200 bei Equifax)</w:t>
            </w:r>
          </w:p>
        </w:tc>
      </w:tr>
      <w:tr w:rsidR="00C1548D" w14:paraId="70A4F21A" w14:textId="77777777">
        <w:tblPrEx>
          <w:tblCellMar>
            <w:top w:w="0" w:type="dxa"/>
            <w:bottom w:w="0" w:type="dxa"/>
          </w:tblCellMar>
        </w:tblPrEx>
        <w:trPr>
          <w:cantSplit/>
        </w:trPr>
        <w:tc>
          <w:tcPr>
            <w:tcW w:w="111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17" w14:textId="77777777" w:rsidR="00C1548D" w:rsidRDefault="009B1B4B">
            <w:pPr>
              <w:spacing w:line="250" w:lineRule="auto"/>
            </w:pPr>
            <w:r>
              <w:rPr>
                <w:sz w:val="18"/>
                <w:szCs w:val="18"/>
              </w:rPr>
              <w:t>Beim Umzug nach Australien</w:t>
            </w:r>
          </w:p>
        </w:tc>
        <w:tc>
          <w:tcPr>
            <w:tcW w:w="21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18" w14:textId="77777777" w:rsidR="00C1548D" w:rsidRDefault="009B1B4B">
            <w:pPr>
              <w:spacing w:line="250" w:lineRule="auto"/>
            </w:pPr>
            <w:r>
              <w:rPr>
                <w:sz w:val="18"/>
                <w:szCs w:val="18"/>
              </w:rPr>
              <w:t>zählt nicht, kein Import der Historie</w:t>
            </w:r>
          </w:p>
        </w:tc>
        <w:tc>
          <w:tcPr>
            <w:tcW w:w="31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19" w14:textId="77777777" w:rsidR="00C1548D" w:rsidRDefault="009B1B4B">
            <w:pPr>
              <w:spacing w:line="250" w:lineRule="auto"/>
            </w:pPr>
            <w:r>
              <w:rPr>
                <w:sz w:val="18"/>
                <w:szCs w:val="18"/>
              </w:rPr>
              <w:t>Start ohne jede Historie, unabhängig von der deutschen Bonität</w:t>
            </w:r>
          </w:p>
        </w:tc>
      </w:tr>
      <w:tr w:rsidR="00C1548D" w14:paraId="70A4F21E" w14:textId="77777777">
        <w:tblPrEx>
          <w:tblCellMar>
            <w:top w:w="0" w:type="dxa"/>
            <w:bottom w:w="0" w:type="dxa"/>
          </w:tblCellMar>
        </w:tblPrEx>
        <w:trPr>
          <w:cantSplit/>
        </w:trPr>
        <w:tc>
          <w:tcPr>
            <w:tcW w:w="111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1B" w14:textId="77777777" w:rsidR="00C1548D" w:rsidRDefault="009B1B4B">
            <w:pPr>
              <w:spacing w:line="250" w:lineRule="auto"/>
            </w:pPr>
            <w:r>
              <w:rPr>
                <w:sz w:val="18"/>
                <w:szCs w:val="18"/>
              </w:rPr>
              <w:t>Was zählt</w:t>
            </w:r>
          </w:p>
        </w:tc>
        <w:tc>
          <w:tcPr>
            <w:tcW w:w="21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1C" w14:textId="77777777" w:rsidR="00C1548D" w:rsidRDefault="009B1B4B">
            <w:pPr>
              <w:spacing w:line="250" w:lineRule="auto"/>
            </w:pPr>
            <w:r>
              <w:rPr>
                <w:sz w:val="18"/>
                <w:szCs w:val="18"/>
              </w:rPr>
              <w:t>vor allem Zahlungsausfälle</w:t>
            </w:r>
          </w:p>
        </w:tc>
        <w:tc>
          <w:tcPr>
            <w:tcW w:w="31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1D" w14:textId="77777777" w:rsidR="00C1548D" w:rsidRDefault="009B1B4B">
            <w:pPr>
              <w:spacing w:line="250" w:lineRule="auto"/>
            </w:pPr>
            <w:r>
              <w:rPr>
                <w:sz w:val="18"/>
                <w:szCs w:val="18"/>
              </w:rPr>
              <w:t>seit CCR auch positive Zahlungshistorie</w:t>
            </w:r>
          </w:p>
        </w:tc>
      </w:tr>
    </w:tbl>
    <w:p w14:paraId="70A4F21F" w14:textId="77777777" w:rsidR="00C1548D" w:rsidRDefault="00C1548D">
      <w:pPr>
        <w:spacing w:line="180" w:lineRule="exact"/>
      </w:pPr>
    </w:p>
    <w:p w14:paraId="70A4F220" w14:textId="77777777" w:rsidR="00C1548D" w:rsidRDefault="009B1B4B">
      <w:pPr>
        <w:spacing w:after="140"/>
      </w:pPr>
      <w:r>
        <w:t>Praktisch beginnst du den Aufbau am besten mit einem laufenden Girokonto samt Debitkarte, pünktlich bezahlten Mobilfunk- und 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w:t>
      </w:r>
      <w:r>
        <w:rPr>
          <w:i/>
          <w:iCs/>
        </w:rPr>
        <w:t>Buy Now, Pay Later</w:t>
      </w:r>
      <w:r>
        <w:t>, BNPL) unter die reguläre Kreditprüfung; verpasste Raten landen dann ebenso in der Akte wie eine verpasste Kreditkartenrate. Verzichte in den ersten Monaten auf mehrere gleichzeitige Kreditanträge – jede Anfrage hinterlässt eine Spur in der Akte und kann den Score kurzfristig drücken.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23"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221" w14:textId="77777777" w:rsidR="00C1548D" w:rsidRDefault="009B1B4B">
            <w:pPr>
              <w:keepNext/>
              <w:spacing w:after="70" w:line="240" w:lineRule="auto"/>
            </w:pPr>
            <w:r>
              <w:rPr>
                <w:b/>
                <w:bCs/>
                <w:color w:val="8A6212"/>
                <w:spacing w:val="24"/>
                <w:sz w:val="16"/>
                <w:szCs w:val="16"/>
              </w:rPr>
              <w:t>MERKE</w:t>
            </w:r>
          </w:p>
          <w:p w14:paraId="70A4F222" w14:textId="77777777" w:rsidR="00C1548D" w:rsidRDefault="009B1B4B">
            <w:pPr>
              <w:spacing w:after="80" w:line="264" w:lineRule="auto"/>
            </w:pPr>
            <w:r>
              <w:rPr>
                <w:sz w:val="20"/>
                <w:szCs w:val="20"/>
              </w:rPr>
              <w:t>Eine kostenlose Auskunft über den eigenen Score kannst du bei allen drei Bureaus regelmäßig anfordern. Prüfe sie in den ersten Monaten in Australien bewusst, um Fehler früh zu erkennen und zu korrigieren.</w:t>
            </w:r>
          </w:p>
        </w:tc>
      </w:tr>
    </w:tbl>
    <w:p w14:paraId="70A4F224" w14:textId="77777777" w:rsidR="00C1548D" w:rsidRDefault="00C1548D">
      <w:pPr>
        <w:spacing w:line="220" w:lineRule="exact"/>
      </w:pPr>
    </w:p>
    <w:p w14:paraId="70A4F225" w14:textId="77777777" w:rsidR="00C1548D" w:rsidRDefault="009B1B4B">
      <w:pPr>
        <w:pStyle w:val="Heading3"/>
        <w:keepNext/>
        <w:jc w:val="center"/>
      </w:pPr>
      <w:r>
        <w:rPr>
          <w:rFonts w:ascii="Amazon Ember" w:eastAsia="Amazon Ember" w:hAnsi="Amazon Ember" w:cs="Amazon Ember"/>
          <w:color w:val="0000FF"/>
          <w:sz w:val="36"/>
          <w:szCs w:val="36"/>
        </w:rPr>
        <w:t>Die Steuererklärung: Fristen und Ablauf</w:t>
      </w:r>
    </w:p>
    <w:p w14:paraId="70A4F226" w14:textId="77777777" w:rsidR="00C1548D" w:rsidRDefault="009B1B4B">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w:t>
      </w:r>
      <w:r>
        <w:lastRenderedPageBreak/>
        <w:t>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w14:paraId="70A4F227" w14:textId="77777777" w:rsidR="00C1548D" w:rsidRDefault="009B1B4B">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 das erspart im Oktober viel Sucherei.</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2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228" w14:textId="77777777" w:rsidR="00C1548D" w:rsidRDefault="009B1B4B">
            <w:pPr>
              <w:keepNext/>
              <w:spacing w:after="70" w:line="240" w:lineRule="auto"/>
            </w:pPr>
            <w:r>
              <w:rPr>
                <w:b/>
                <w:bCs/>
                <w:color w:val="6B7280"/>
                <w:spacing w:val="24"/>
                <w:sz w:val="16"/>
                <w:szCs w:val="16"/>
              </w:rPr>
              <w:t>KEIN RECHTSRAT</w:t>
            </w:r>
          </w:p>
          <w:p w14:paraId="70A4F229" w14:textId="77777777" w:rsidR="00C1548D" w:rsidRDefault="009B1B4B">
            <w:pPr>
              <w:spacing w:after="80" w:line="264" w:lineRule="auto"/>
            </w:pPr>
            <w:r>
              <w:rPr>
                <w:sz w:val="20"/>
                <w:szCs w:val="20"/>
              </w:rPr>
              <w:t>Dieses Kapitel erklärt das System und nennt Richtwerte. Es ersetzt keine Rechts- oder Steuerberatung. Ob du als Ansässiger oder Steuerausländer giltst, wie sich ein Statuswechsel im selben 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w:t>
            </w:r>
            <w:r>
              <w:rPr>
                <w:sz w:val="20"/>
                <w:szCs w:val="20"/>
              </w:rPr>
              <w:t>uerberater abstimmt.</w:t>
            </w:r>
          </w:p>
        </w:tc>
      </w:tr>
    </w:tbl>
    <w:p w14:paraId="70A4F22B" w14:textId="77777777" w:rsidR="00C1548D" w:rsidRDefault="00C1548D">
      <w:pPr>
        <w:spacing w:line="220" w:lineRule="exact"/>
      </w:pPr>
    </w:p>
    <w:p w14:paraId="70A4F22C"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22F"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22D"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22E" w14:textId="77777777" w:rsidR="00C1548D" w:rsidRDefault="009B1B4B">
            <w:pPr>
              <w:spacing w:line="250" w:lineRule="auto"/>
            </w:pPr>
            <w:r>
              <w:rPr>
                <w:b/>
                <w:bCs/>
                <w:sz w:val="18"/>
                <w:szCs w:val="18"/>
              </w:rPr>
              <w:t>Minus</w:t>
            </w:r>
          </w:p>
        </w:tc>
      </w:tr>
      <w:tr w:rsidR="00C1548D" w14:paraId="70A4F23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30" w14:textId="77777777" w:rsidR="00C1548D" w:rsidRDefault="009B1B4B">
            <w:pPr>
              <w:spacing w:line="250" w:lineRule="auto"/>
            </w:pPr>
            <w:r>
              <w:rPr>
                <w:sz w:val="18"/>
                <w:szCs w:val="18"/>
              </w:rPr>
              <w:t>TFN-Beantragung ist kostenlos und meist zügig erledigt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31" w14:textId="77777777" w:rsidR="00C1548D" w:rsidRDefault="009B1B4B">
            <w:pPr>
              <w:spacing w:line="250" w:lineRule="auto"/>
            </w:pPr>
            <w:r>
              <w:rPr>
                <w:sz w:val="18"/>
                <w:szCs w:val="18"/>
              </w:rPr>
              <w:t>Ohne TFN 47 % Lohnabzug – ein teurer Fehlstart</w:t>
            </w:r>
          </w:p>
        </w:tc>
      </w:tr>
      <w:tr w:rsidR="00C1548D" w14:paraId="70A4F23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33" w14:textId="77777777" w:rsidR="00C1548D" w:rsidRDefault="009B1B4B">
            <w:pPr>
              <w:spacing w:line="250" w:lineRule="auto"/>
            </w:pPr>
            <w:r>
              <w:rPr>
                <w:sz w:val="18"/>
                <w:szCs w:val="18"/>
              </w:rPr>
              <w:t>Steuerfreier Grundbetrag von 18.200 AUD für Ansässige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34" w14:textId="77777777" w:rsidR="00C1548D" w:rsidRDefault="009B1B4B">
            <w:pPr>
              <w:spacing w:line="250" w:lineRule="auto"/>
            </w:pPr>
            <w:r>
              <w:rPr>
                <w:sz w:val="18"/>
                <w:szCs w:val="18"/>
              </w:rPr>
              <w:t>Working-Holiday-Reisende zahlen ab dem ersten Dollar 15 %</w:t>
            </w:r>
          </w:p>
        </w:tc>
      </w:tr>
      <w:tr w:rsidR="00C1548D" w14:paraId="70A4F23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36" w14:textId="77777777" w:rsidR="00C1548D" w:rsidRDefault="009B1B4B">
            <w:pPr>
              <w:spacing w:line="250" w:lineRule="auto"/>
            </w:pPr>
            <w:r>
              <w:rPr>
                <w:sz w:val="18"/>
                <w:szCs w:val="18"/>
              </w:rPr>
              <w:t>Superannuation gehört dir und wächst mit jedem Gehalt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37" w14:textId="77777777" w:rsidR="00C1548D" w:rsidRDefault="009B1B4B">
            <w:pPr>
              <w:spacing w:line="250" w:lineRule="auto"/>
            </w:pPr>
            <w:r>
              <w:rPr>
                <w:sz w:val="18"/>
                <w:szCs w:val="18"/>
              </w:rPr>
              <w:t>Bei Wegzug frisst die DASP-Steuer bis zu 65 % des Guthabens</w:t>
            </w:r>
          </w:p>
        </w:tc>
      </w:tr>
      <w:tr w:rsidR="00C1548D" w14:paraId="70A4F23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39" w14:textId="77777777" w:rsidR="00C1548D" w:rsidRDefault="009B1B4B">
            <w:pPr>
              <w:spacing w:line="250" w:lineRule="auto"/>
            </w:pPr>
            <w:r>
              <w:rPr>
                <w:sz w:val="18"/>
                <w:szCs w:val="18"/>
              </w:rPr>
              <w:lastRenderedPageBreak/>
              <w:t>Comprehensive Credit Reporting belohnt pünktliches Zahlen schnell</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3A" w14:textId="77777777" w:rsidR="00C1548D" w:rsidRDefault="009B1B4B">
            <w:pPr>
              <w:spacing w:line="250" w:lineRule="auto"/>
            </w:pPr>
            <w:r>
              <w:rPr>
                <w:sz w:val="18"/>
                <w:szCs w:val="18"/>
              </w:rPr>
              <w:t>Start ohne jede australische Kredithistorie, Schufa zählt nicht</w:t>
            </w:r>
          </w:p>
        </w:tc>
      </w:tr>
      <w:tr w:rsidR="00C1548D" w14:paraId="70A4F23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3C" w14:textId="77777777" w:rsidR="00C1548D" w:rsidRDefault="009B1B4B">
            <w:pPr>
              <w:spacing w:line="250" w:lineRule="auto"/>
            </w:pPr>
            <w:r>
              <w:rPr>
                <w:sz w:val="18"/>
                <w:szCs w:val="18"/>
              </w:rPr>
              <w:t>Bankkonto teils schon vor der Einreise online eröffenbar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3D" w14:textId="77777777" w:rsidR="00C1548D" w:rsidRDefault="009B1B4B">
            <w:pPr>
              <w:spacing w:line="250" w:lineRule="auto"/>
            </w:pPr>
            <w:r>
              <w:rPr>
                <w:sz w:val="18"/>
                <w:szCs w:val="18"/>
              </w:rPr>
              <w:t>Vollständige Identifizierung erst persönlich in der Filiale möglich</w:t>
            </w:r>
          </w:p>
        </w:tc>
      </w:tr>
    </w:tbl>
    <w:p w14:paraId="70A4F23F" w14:textId="77777777" w:rsidR="00C1548D" w:rsidRDefault="00C1548D">
      <w:pPr>
        <w:spacing w:line="180" w:lineRule="exact"/>
      </w:pPr>
    </w:p>
    <w:p w14:paraId="70A4F240"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241" w14:textId="77777777" w:rsidR="00C1548D" w:rsidRDefault="009B1B4B">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w:t>
      </w:r>
      <w:r>
        <w:t>te Krankenhausversicherung dadurch lohnt.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4D"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242" w14:textId="77777777" w:rsidR="00C1548D" w:rsidRDefault="009B1B4B">
            <w:pPr>
              <w:keepNext/>
              <w:spacing w:after="70" w:line="240" w:lineRule="auto"/>
            </w:pPr>
            <w:r>
              <w:rPr>
                <w:b/>
                <w:bCs/>
                <w:color w:val="1F6F78"/>
                <w:spacing w:val="24"/>
                <w:sz w:val="16"/>
                <w:szCs w:val="16"/>
              </w:rPr>
              <w:lastRenderedPageBreak/>
              <w:t>CHECKLISTE</w:t>
            </w:r>
          </w:p>
          <w:p w14:paraId="70A4F24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Tax File Number (TFN) beantragt, Antragsweg (myID online oder Australia-Post-Interview) geklärt</w:t>
            </w:r>
          </w:p>
          <w:p w14:paraId="70A4F24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28-Tage-Frist für die TFN-Vorlage beim Arbeitgeber notiert</w:t>
            </w:r>
          </w:p>
          <w:p w14:paraId="70A4F24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Steuerlichen Status geprüft: Ansässiger, Steuerausländer oder Working-Holiday-Tarif</w:t>
            </w:r>
          </w:p>
          <w:p w14:paraId="70A4F24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Bankkonto eröffnet (online vor Einreise oder in der Filiale mit 100-Punkte-ID-Check)</w:t>
            </w:r>
          </w:p>
          <w:p w14:paraId="70A4F24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Superfonds bei Arbeitsbeginn aktiv gewählt statt Standardfonds übernommen</w:t>
            </w:r>
          </w:p>
          <w:p w14:paraId="70A4F24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geplanter Ausreise: DASP-Steuerfolgen für die Superannuation eingeplant</w:t>
            </w:r>
          </w:p>
          <w:p w14:paraId="70A4F24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Erste Kreditkarte mit niedrigem Limit beantragt, Rechnungen pünktlich beglichen</w:t>
            </w:r>
          </w:p>
          <w:p w14:paraId="70A4F24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Kreditauskunft bei Equifax, Experian und Illion geprüft</w:t>
            </w:r>
          </w:p>
          <w:p w14:paraId="70A4F24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Einkommen mit den Schwellen der Medicare Levy Surcharge abgeglichen</w:t>
            </w:r>
          </w:p>
          <w:p w14:paraId="70A4F24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Frist für die Steuererklärung (31. Oktober bzw. mit Steuerberater später) im Kalender</w:t>
            </w:r>
          </w:p>
        </w:tc>
      </w:tr>
    </w:tbl>
    <w:p w14:paraId="70A4F24E" w14:textId="77777777" w:rsidR="00C1548D" w:rsidRDefault="00C1548D">
      <w:pPr>
        <w:spacing w:line="220" w:lineRule="exact"/>
      </w:pPr>
    </w:p>
    <w:p w14:paraId="70A4F24F"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250" w14:textId="4FEF8F02" w:rsidR="00C1548D" w:rsidRDefault="009B1B4B" w:rsidP="009B1B4B">
      <w:pPr>
        <w:pStyle w:val="ListParagraph"/>
        <w:numPr>
          <w:ilvl w:val="0"/>
          <w:numId w:val="1"/>
        </w:numPr>
        <w:spacing w:after="60"/>
      </w:pPr>
      <w:hyperlink r:id="rId410" w:history="1">
        <w:r>
          <w:rPr>
            <w:color w:val="0563C1"/>
            <w:u w:val="single"/>
          </w:rPr>
          <w:t>ato.gov.au</w:t>
        </w:r>
      </w:hyperlink>
      <w:r>
        <w:t xml:space="preserve"> – Tax File Number, Steuersätze, Medicare Levy und Surcharge, Superannuation, DASP</w:t>
      </w:r>
    </w:p>
    <w:p w14:paraId="70A4F251" w14:textId="36D81794" w:rsidR="00C1548D" w:rsidRDefault="009B1B4B" w:rsidP="009B1B4B">
      <w:pPr>
        <w:pStyle w:val="ListParagraph"/>
        <w:numPr>
          <w:ilvl w:val="0"/>
          <w:numId w:val="1"/>
        </w:numPr>
        <w:spacing w:after="60"/>
      </w:pPr>
      <w:hyperlink r:id="rId411" w:history="1">
        <w:r>
          <w:rPr>
            <w:color w:val="0563C1"/>
            <w:u w:val="single"/>
          </w:rPr>
          <w:t>servicesaustralia.gov.au</w:t>
        </w:r>
      </w:hyperlink>
      <w:r>
        <w:t xml:space="preserve"> – Centrelink, Medicare-Anmeldung</w:t>
      </w:r>
    </w:p>
    <w:p w14:paraId="70A4F252" w14:textId="677934EC" w:rsidR="00C1548D" w:rsidRDefault="009B1B4B" w:rsidP="009B1B4B">
      <w:pPr>
        <w:pStyle w:val="ListParagraph"/>
        <w:numPr>
          <w:ilvl w:val="0"/>
          <w:numId w:val="1"/>
        </w:numPr>
        <w:spacing w:after="60"/>
      </w:pPr>
      <w:hyperlink r:id="rId412" w:history="1">
        <w:r>
          <w:rPr>
            <w:color w:val="0563C1"/>
            <w:u w:val="single"/>
          </w:rPr>
          <w:t>moneysmart.gov.au</w:t>
        </w:r>
      </w:hyperlink>
      <w:r>
        <w:t xml:space="preserve"> – unabhängige Verbraucherinformation der Finanzaufsicht ASIC, u. a. zu Kreditauskünften</w:t>
      </w:r>
    </w:p>
    <w:p w14:paraId="70A4F253" w14:textId="64BCE62F" w:rsidR="00C1548D" w:rsidRDefault="009B1B4B" w:rsidP="009B1B4B">
      <w:pPr>
        <w:pStyle w:val="ListParagraph"/>
        <w:numPr>
          <w:ilvl w:val="0"/>
          <w:numId w:val="1"/>
        </w:numPr>
        <w:spacing w:after="60"/>
      </w:pPr>
      <w:hyperlink r:id="rId413" w:history="1">
        <w:r>
          <w:rPr>
            <w:color w:val="0563C1"/>
            <w:u w:val="single"/>
          </w:rPr>
          <w:t>equifax.com.au</w:t>
        </w:r>
      </w:hyperlink>
      <w:r>
        <w:t xml:space="preserve"> / </w:t>
      </w:r>
      <w:hyperlink r:id="rId414" w:history="1">
        <w:r>
          <w:rPr>
            <w:color w:val="0563C1"/>
            <w:u w:val="single"/>
          </w:rPr>
          <w:t>experian.com.au</w:t>
        </w:r>
      </w:hyperlink>
      <w:r>
        <w:t xml:space="preserve"> / </w:t>
      </w:r>
      <w:hyperlink r:id="rId415" w:history="1">
        <w:r>
          <w:rPr>
            <w:color w:val="0563C1"/>
            <w:u w:val="single"/>
          </w:rPr>
          <w:t>illion.com.au</w:t>
        </w:r>
      </w:hyperlink>
      <w:r>
        <w:t xml:space="preserve"> – kostenlose Kreditauskunft</w:t>
      </w:r>
    </w:p>
    <w:p w14:paraId="70A4F254" w14:textId="7BC30750" w:rsidR="00C1548D" w:rsidRDefault="009B1B4B" w:rsidP="009B1B4B">
      <w:pPr>
        <w:pStyle w:val="ListParagraph"/>
        <w:numPr>
          <w:ilvl w:val="0"/>
          <w:numId w:val="1"/>
        </w:numPr>
        <w:spacing w:after="60"/>
      </w:pPr>
      <w:hyperlink r:id="rId416" w:history="1">
        <w:r>
          <w:rPr>
            <w:color w:val="0563C1"/>
            <w:u w:val="single"/>
          </w:rPr>
          <w:t>commbank.com.au</w:t>
        </w:r>
      </w:hyperlink>
      <w:r>
        <w:t xml:space="preserve"> / </w:t>
      </w:r>
      <w:hyperlink r:id="rId417" w:history="1">
        <w:r>
          <w:rPr>
            <w:color w:val="0563C1"/>
            <w:u w:val="single"/>
          </w:rPr>
          <w:t>westpac.com.au</w:t>
        </w:r>
      </w:hyperlink>
      <w:r>
        <w:t xml:space="preserve"> / </w:t>
      </w:r>
      <w:hyperlink r:id="rId418" w:history="1">
        <w:r>
          <w:rPr>
            <w:color w:val="0563C1"/>
            <w:u w:val="single"/>
          </w:rPr>
          <w:t>nab.com.au</w:t>
        </w:r>
      </w:hyperlink>
      <w:r>
        <w:t xml:space="preserve"> / </w:t>
      </w:r>
      <w:hyperlink r:id="rId419" w:history="1">
        <w:r>
          <w:rPr>
            <w:color w:val="0563C1"/>
            <w:u w:val="single"/>
          </w:rPr>
          <w:t>anz.com.au</w:t>
        </w:r>
      </w:hyperlink>
      <w:r>
        <w:t xml:space="preserve"> – Kontoeröffnung für Neuankömmlinge</w:t>
      </w:r>
    </w:p>
    <w:p w14:paraId="70A4F255" w14:textId="09523279" w:rsidR="00C1548D" w:rsidRDefault="009B1B4B" w:rsidP="009B1B4B">
      <w:pPr>
        <w:pStyle w:val="ListParagraph"/>
        <w:numPr>
          <w:ilvl w:val="0"/>
          <w:numId w:val="1"/>
        </w:numPr>
        <w:spacing w:after="60"/>
      </w:pPr>
      <w:hyperlink r:id="rId420" w:history="1">
        <w:r>
          <w:rPr>
            <w:color w:val="0563C1"/>
            <w:u w:val="single"/>
          </w:rPr>
          <w:t>mygov.au</w:t>
        </w:r>
      </w:hyperlink>
      <w:r>
        <w:t xml:space="preserve"> – Online-Portal für Steuererklärung und Behördengänge</w:t>
      </w:r>
    </w:p>
    <w:p w14:paraId="70A4F25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59"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257" w14:textId="77777777" w:rsidR="00C1548D" w:rsidRDefault="009B1B4B">
            <w:pPr>
              <w:keepNext/>
              <w:spacing w:after="70" w:line="240" w:lineRule="auto"/>
            </w:pPr>
            <w:r>
              <w:rPr>
                <w:b/>
                <w:bCs/>
                <w:color w:val="6B7280"/>
                <w:spacing w:val="24"/>
                <w:sz w:val="16"/>
                <w:szCs w:val="16"/>
              </w:rPr>
              <w:t>STAND</w:t>
            </w:r>
          </w:p>
          <w:p w14:paraId="70A4F258" w14:textId="77777777" w:rsidR="00C1548D" w:rsidRDefault="009B1B4B">
            <w:pPr>
              <w:spacing w:after="80" w:line="264" w:lineRule="auto"/>
            </w:pPr>
            <w:r>
              <w:rPr>
                <w:sz w:val="20"/>
                <w:szCs w:val="20"/>
              </w:rPr>
              <w:t>September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p>
        </w:tc>
      </w:tr>
    </w:tbl>
    <w:p w14:paraId="70A4F25A" w14:textId="77777777" w:rsidR="00C1548D" w:rsidRDefault="00C1548D">
      <w:pPr>
        <w:spacing w:line="220" w:lineRule="exact"/>
      </w:pPr>
    </w:p>
    <w:p w14:paraId="70A4F25B" w14:textId="77777777" w:rsidR="00C1548D" w:rsidRDefault="009B1B4B">
      <w:pPr>
        <w:pStyle w:val="Heading2"/>
        <w:keepNext/>
        <w:pageBreakBefore/>
        <w:jc w:val="center"/>
      </w:pPr>
      <w:bookmarkStart w:id="116" w:name="tau08"/>
      <w:bookmarkStart w:id="117" w:name="_Toc241352509"/>
      <w:r>
        <w:rPr>
          <w:rFonts w:ascii="Amazon Ember" w:eastAsia="Amazon Ember" w:hAnsi="Amazon Ember" w:cs="Amazon Ember"/>
          <w:color w:val="0000FF"/>
          <w:sz w:val="36"/>
          <w:szCs w:val="36"/>
        </w:rPr>
        <w:lastRenderedPageBreak/>
        <w:t>Australien: Das Gesundheitssystem</w:t>
      </w:r>
      <w:bookmarkEnd w:id="116"/>
      <w:bookmarkEnd w:id="117"/>
    </w:p>
    <w:p w14:paraId="70A4F25C" w14:textId="77777777" w:rsidR="00C1548D" w:rsidRDefault="009B1B4B">
      <w:pPr>
        <w:spacing w:after="140"/>
      </w:pPr>
      <w:r>
        <w:t>Wer aus einem EU-Land nach Australien zieht, geht gern automatisch von einer Art Grundabsicherung aus –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w:t>
      </w:r>
      <w:r>
        <w:t>eiden lässt. Dieses Kapitel erklärt, wie das System funktioniert, wer davon profitiert – und was für alle anderen zwingend nötig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64"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25D" w14:textId="77777777" w:rsidR="00C1548D" w:rsidRDefault="009B1B4B">
            <w:pPr>
              <w:keepNext/>
              <w:spacing w:after="70" w:line="240" w:lineRule="auto"/>
            </w:pPr>
            <w:r>
              <w:rPr>
                <w:b/>
                <w:bCs/>
                <w:color w:val="1F3A5F"/>
                <w:spacing w:val="24"/>
                <w:sz w:val="16"/>
                <w:szCs w:val="16"/>
              </w:rPr>
              <w:lastRenderedPageBreak/>
              <w:t>KURZ GESAGT</w:t>
            </w:r>
          </w:p>
          <w:p w14:paraId="70A4F25E" w14:textId="77777777" w:rsidR="00C1548D" w:rsidRDefault="009B1B4B" w:rsidP="009B1B4B">
            <w:pPr>
              <w:pStyle w:val="ListParagraph"/>
              <w:numPr>
                <w:ilvl w:val="0"/>
                <w:numId w:val="1"/>
              </w:numPr>
              <w:spacing w:after="50" w:line="264" w:lineRule="auto"/>
            </w:pPr>
            <w:r>
              <w:rPr>
                <w:i/>
                <w:iCs/>
                <w:sz w:val="20"/>
                <w:szCs w:val="20"/>
              </w:rPr>
              <w:t>Medicare</w:t>
            </w:r>
            <w:r>
              <w:rPr>
                <w:sz w:val="20"/>
                <w:szCs w:val="20"/>
              </w:rPr>
              <w:t xml:space="preserve"> ist Australiens staatliches Krankenversicherungssystem, mitfinanziert über die </w:t>
            </w:r>
            <w:r>
              <w:rPr>
                <w:i/>
                <w:iCs/>
                <w:sz w:val="20"/>
                <w:szCs w:val="20"/>
              </w:rPr>
              <w:t>Medicare Levy</w:t>
            </w:r>
            <w:r>
              <w:rPr>
                <w:sz w:val="20"/>
                <w:szCs w:val="20"/>
              </w:rPr>
              <w:t xml:space="preserve"> (2,0 % des zu versteuernden Einkommens) – aber nicht jeder, der in Australien lebt, hat Zugang dazu.</w:t>
            </w:r>
          </w:p>
          <w:p w14:paraId="70A4F25F" w14:textId="77777777" w:rsidR="00C1548D" w:rsidRDefault="009B1B4B" w:rsidP="009B1B4B">
            <w:pPr>
              <w:pStyle w:val="ListParagraph"/>
              <w:numPr>
                <w:ilvl w:val="0"/>
                <w:numId w:val="1"/>
              </w:numPr>
              <w:spacing w:after="50" w:line="264" w:lineRule="auto"/>
            </w:pPr>
            <w:r>
              <w:rPr>
                <w:sz w:val="20"/>
                <w:szCs w:val="20"/>
              </w:rPr>
              <w:t xml:space="preserve">Australien hat mit elf Ländern ein </w:t>
            </w:r>
            <w:r>
              <w:rPr>
                <w:i/>
                <w:iCs/>
                <w:sz w:val="20"/>
                <w:szCs w:val="20"/>
              </w:rPr>
              <w:t>Reciprocal Health Care Agreement</w:t>
            </w:r>
            <w:r>
              <w:rPr>
                <w:sz w:val="20"/>
                <w:szCs w:val="20"/>
              </w:rPr>
              <w:t xml:space="preserve"> (RHCA, ein zwischenstaatliches Gegenseitigkeitsabkommen zur medizinischen Grundversorgung), darunter die Niederlande, Belgien und Italien. </w:t>
            </w:r>
            <w:r>
              <w:rPr>
                <w:b/>
                <w:bCs/>
                <w:sz w:val="20"/>
                <w:szCs w:val="20"/>
              </w:rPr>
              <w:t>Deutschland gehört nicht dazu.</w:t>
            </w:r>
          </w:p>
          <w:p w14:paraId="70A4F260" w14:textId="77777777" w:rsidR="00C1548D" w:rsidRDefault="009B1B4B" w:rsidP="009B1B4B">
            <w:pPr>
              <w:pStyle w:val="ListParagraph"/>
              <w:numPr>
                <w:ilvl w:val="0"/>
                <w:numId w:val="1"/>
              </w:numPr>
              <w:spacing w:after="50" w:line="264" w:lineRule="auto"/>
            </w:pPr>
            <w:r>
              <w:rPr>
                <w:i/>
                <w:iCs/>
                <w:sz w:val="20"/>
                <w:szCs w:val="20"/>
              </w:rPr>
              <w:t>Permanent Residents</w:t>
            </w:r>
            <w:r>
              <w:rPr>
                <w:sz w:val="20"/>
                <w:szCs w:val="20"/>
              </w:rPr>
              <w:t xml:space="preserve"> (PR, Inhaber einer unbefristeten Aufenthaltserlaubnis; etwa nach Subclass 189, 190 oder 191) können sich ab dem Ankunftstag bei Medicare anmelden.</w:t>
            </w:r>
          </w:p>
          <w:p w14:paraId="70A4F261" w14:textId="77777777" w:rsidR="00C1548D" w:rsidRDefault="009B1B4B" w:rsidP="009B1B4B">
            <w:pPr>
              <w:pStyle w:val="ListParagraph"/>
              <w:numPr>
                <w:ilvl w:val="0"/>
                <w:numId w:val="1"/>
              </w:numPr>
              <w:spacing w:after="50" w:line="264" w:lineRule="auto"/>
            </w:pPr>
            <w:r>
              <w:rPr>
                <w:sz w:val="20"/>
                <w:szCs w:val="20"/>
              </w:rPr>
              <w:t xml:space="preserve">Inhaber befristeter Visa – Working Holiday, Studium, die meisten Arbeitsvisa – brauchen zwingend eine private Versicherung: </w:t>
            </w:r>
            <w:r>
              <w:rPr>
                <w:i/>
                <w:iCs/>
                <w:sz w:val="20"/>
                <w:szCs w:val="20"/>
              </w:rPr>
              <w:t>Overseas Visitor Health Cover</w:t>
            </w:r>
            <w:r>
              <w:rPr>
                <w:sz w:val="20"/>
                <w:szCs w:val="20"/>
              </w:rPr>
              <w:t xml:space="preserve"> (OVHC) oder, für Studierende, </w:t>
            </w:r>
            <w:r>
              <w:rPr>
                <w:i/>
                <w:iCs/>
                <w:sz w:val="20"/>
                <w:szCs w:val="20"/>
              </w:rPr>
              <w:t>Overseas Student Health Cover</w:t>
            </w:r>
            <w:r>
              <w:rPr>
                <w:sz w:val="20"/>
                <w:szCs w:val="20"/>
              </w:rPr>
              <w:t xml:space="preserve"> (OSHC).</w:t>
            </w:r>
          </w:p>
          <w:p w14:paraId="70A4F262" w14:textId="77777777" w:rsidR="00C1548D" w:rsidRDefault="009B1B4B" w:rsidP="009B1B4B">
            <w:pPr>
              <w:pStyle w:val="ListParagraph"/>
              <w:numPr>
                <w:ilvl w:val="0"/>
                <w:numId w:val="1"/>
              </w:numPr>
              <w:spacing w:after="50" w:line="264" w:lineRule="auto"/>
            </w:pPr>
            <w:r>
              <w:rPr>
                <w:sz w:val="20"/>
                <w:szCs w:val="20"/>
              </w:rPr>
              <w:t xml:space="preserve">Wer gut verdient, Medicare-berechtigt ist, aber keine private Krankenhausversicherung hat, zahlt obendrein die </w:t>
            </w:r>
            <w:r>
              <w:rPr>
                <w:i/>
                <w:iCs/>
                <w:sz w:val="20"/>
                <w:szCs w:val="20"/>
              </w:rPr>
              <w:t>Medicare Levy Surcharge</w:t>
            </w:r>
            <w:r>
              <w:rPr>
                <w:sz w:val="20"/>
                <w:szCs w:val="20"/>
              </w:rPr>
              <w:t>.</w:t>
            </w:r>
          </w:p>
          <w:p w14:paraId="70A4F263" w14:textId="77777777" w:rsidR="00C1548D" w:rsidRDefault="009B1B4B" w:rsidP="009B1B4B">
            <w:pPr>
              <w:pStyle w:val="ListParagraph"/>
              <w:numPr>
                <w:ilvl w:val="0"/>
                <w:numId w:val="1"/>
              </w:numPr>
              <w:spacing w:after="50" w:line="264" w:lineRule="auto"/>
            </w:pPr>
            <w:r>
              <w:rPr>
                <w:sz w:val="20"/>
                <w:szCs w:val="20"/>
              </w:rPr>
              <w:t>Zahnbehandlung für Erwachsene und die meisten Sehhilfen deckt Medicare grundsätzlich nicht ab.</w:t>
            </w:r>
          </w:p>
        </w:tc>
      </w:tr>
    </w:tbl>
    <w:p w14:paraId="70A4F265" w14:textId="77777777" w:rsidR="00C1548D" w:rsidRDefault="00C1548D">
      <w:pPr>
        <w:spacing w:line="220" w:lineRule="exact"/>
      </w:pPr>
    </w:p>
    <w:p w14:paraId="70A4F266" w14:textId="77777777" w:rsidR="00C1548D" w:rsidRDefault="009B1B4B">
      <w:pPr>
        <w:pStyle w:val="Heading3"/>
        <w:keepNext/>
        <w:jc w:val="center"/>
      </w:pPr>
      <w:r>
        <w:rPr>
          <w:rFonts w:ascii="Amazon Ember" w:eastAsia="Amazon Ember" w:hAnsi="Amazon Ember" w:cs="Amazon Ember"/>
          <w:color w:val="0000FF"/>
          <w:sz w:val="36"/>
          <w:szCs w:val="36"/>
        </w:rPr>
        <w:t>Medicare: das staatliche System, kurz erklärt</w:t>
      </w:r>
    </w:p>
    <w:p w14:paraId="70A4F267" w14:textId="77777777" w:rsidR="00C1548D" w:rsidRDefault="009B1B4B">
      <w:pPr>
        <w:spacing w:after="140"/>
      </w:pPr>
      <w:r>
        <w:t xml:space="preserve">Medicare ist Australiens staatliches Krankenversicherungssystem –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zusätzlich zur normalen Einkommensteuer zahlen; bei niedrigem Einkommen (2026–27 unterhalb von rund 28.011 AUD) entfällt sie ganz oder </w:t>
      </w:r>
      <w:r>
        <w:lastRenderedPageBreak/>
        <w:t>teilweise. Wer keinen Medicare-Zugang hat, zahlt konsequenterweise auch keine Medicare Levy.</w:t>
      </w:r>
    </w:p>
    <w:p w14:paraId="70A4F268" w14:textId="77777777" w:rsidR="00C1548D" w:rsidRDefault="009B1B4B">
      <w:pPr>
        <w:spacing w:after="140"/>
      </w:pPr>
      <w:r>
        <w:t xml:space="preserve">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w:t>
      </w:r>
      <w:r>
        <w:t>(dazu später mehr).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6B"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269" w14:textId="77777777" w:rsidR="00C1548D" w:rsidRDefault="009B1B4B">
            <w:pPr>
              <w:keepNext/>
              <w:spacing w:after="70" w:line="240" w:lineRule="auto"/>
            </w:pPr>
            <w:r>
              <w:rPr>
                <w:b/>
                <w:bCs/>
                <w:color w:val="8A6212"/>
                <w:spacing w:val="24"/>
                <w:sz w:val="16"/>
                <w:szCs w:val="16"/>
              </w:rPr>
              <w:t>MERKE</w:t>
            </w:r>
          </w:p>
          <w:p w14:paraId="70A4F26A" w14:textId="77777777" w:rsidR="00C1548D" w:rsidRDefault="009B1B4B">
            <w:pPr>
              <w:spacing w:after="80" w:line="264" w:lineRule="auto"/>
            </w:pPr>
            <w:r>
              <w:rPr>
                <w:sz w:val="20"/>
                <w:szCs w:val="20"/>
              </w:rPr>
              <w:t>Medicare ist an die Staatsangehörigkeit oder den Aufenthaltsstatus geknüpft, nicht einfach an den Wohnort. Wer in Australien lebt, arbeitet und Steuern zahlt, ist deshalb nicht automatisch Medicare-berechtigt – das ist der zentrale Unterschied zur deutschen Logik, in der die Versicherungspflicht am Wohnsitz und der Beschäftigung hängt.</w:t>
            </w:r>
          </w:p>
        </w:tc>
      </w:tr>
    </w:tbl>
    <w:p w14:paraId="70A4F26C" w14:textId="77777777" w:rsidR="00C1548D" w:rsidRDefault="00C1548D">
      <w:pPr>
        <w:spacing w:line="220" w:lineRule="exact"/>
      </w:pPr>
    </w:p>
    <w:p w14:paraId="70A4F26D" w14:textId="77777777" w:rsidR="00C1548D" w:rsidRDefault="009B1B4B">
      <w:pPr>
        <w:pStyle w:val="Heading3"/>
        <w:keepNext/>
        <w:jc w:val="center"/>
      </w:pPr>
      <w:r>
        <w:rPr>
          <w:rFonts w:ascii="Amazon Ember" w:eastAsia="Amazon Ember" w:hAnsi="Amazon Ember" w:cs="Amazon Ember"/>
          <w:color w:val="0000FF"/>
          <w:sz w:val="36"/>
          <w:szCs w:val="36"/>
        </w:rPr>
        <w:t>Der entscheidende Unterschied: Deutschland hat kein Abkommen mit Australien</w:t>
      </w:r>
    </w:p>
    <w:p w14:paraId="70A4F26E" w14:textId="77777777" w:rsidR="00C1548D" w:rsidRDefault="009B1B4B">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w:t>
      </w:r>
      <w:r>
        <w:t>che Aufenthaltserlaubnis auf Dauer.</w:t>
      </w:r>
    </w:p>
    <w:p w14:paraId="70A4F26F" w14:textId="77777777" w:rsidR="00C1548D" w:rsidRDefault="009B1B4B">
      <w:pPr>
        <w:spacing w:after="140"/>
      </w:pPr>
      <w:r>
        <w:rPr>
          <w:b/>
          <w:bCs/>
        </w:rPr>
        <w:lastRenderedPageBreak/>
        <w:t>Deutschland steht nicht auf dieser Liste.</w:t>
      </w:r>
      <w:r>
        <w:t xml:space="preserve"> Das ist keine Lücke, die sich demnächst schließt, sondern seit Jahren unveränderter Stand – und ausgerechnet deshalb ein Irrtum, der sich hartnäckig hält: Wer aus einem RHCA-Land wie den Niederlanden oder Belgien nach Australien zieht, hat es in dieser Hinsicht spürbar leichter als jemand aus Deutschland, obwohl beide EU-Bürger sind und innerhalb Europas ähnliche Rechte genießen. Diese Logik überträgt sich nicht automatisch auf Australien; die beiden Systeme haben schlicht keinen entsprechenden Vertrag mit</w:t>
      </w:r>
      <w:r>
        <w:t>einander.</w:t>
      </w:r>
    </w:p>
    <w:p w14:paraId="70A4F270" w14:textId="77777777" w:rsidR="00C1548D" w:rsidRDefault="009B1B4B">
      <w:pPr>
        <w:spacing w:after="140"/>
      </w:pPr>
      <w:r>
        <w:t>Verbreiteter Irrtum: Viele deutsche Auswanderer nehmen an, dass zumindest ein Mindestmaß an Absicherung über zwischenstaatliche Abkommen automatisch mitkommt, so wie es innerhalb der EU mit der Europäischen Krankenversicherungskarte funktioniert. Tatsächlich gibt es zwischen Deutschland und Australien kein solches Abkommen, und die Europäische Krankenversicherungskarte gilt ohnehin nur innerhalb der EU sowie in einigen weiteren europäischen Staaten – für Australien ist sie wertlos. Praktisch bedeutet das: J</w:t>
      </w:r>
      <w:r>
        <w:t>eder Tag ohne gültige private Absicherung ist ein Tag mit vollem finanziellem Risiko, unabhängig davon, wie gesund du dich fühlst, wenn das Flugzeug landet.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7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271" w14:textId="77777777" w:rsidR="00C1548D" w:rsidRDefault="009B1B4B">
            <w:pPr>
              <w:keepNext/>
              <w:spacing w:after="70" w:line="240" w:lineRule="auto"/>
            </w:pPr>
            <w:r>
              <w:rPr>
                <w:b/>
                <w:bCs/>
                <w:color w:val="9B2C2C"/>
                <w:spacing w:val="24"/>
                <w:sz w:val="16"/>
                <w:szCs w:val="16"/>
              </w:rPr>
              <w:t>ACHTUNG</w:t>
            </w:r>
          </w:p>
          <w:p w14:paraId="70A4F272" w14:textId="77777777" w:rsidR="00C1548D" w:rsidRDefault="009B1B4B">
            <w:pPr>
              <w:spacing w:after="80" w:line="264" w:lineRule="auto"/>
            </w:pPr>
            <w:r>
              <w:rPr>
                <w:sz w:val="20"/>
                <w:szCs w:val="20"/>
              </w:rPr>
              <w:t>Verlass dich nicht auf Erzählungen von Bekannten aus anderen EU-Ländern, die von unkompliziertem Medicare-Zugang berichten. Was für niederländische, belgische oder italienische Nachbarn gilt, gilt für dich als Deutschen nicht – frage im Zweifel nicht Bekannte, sondern direkt Services Australia oder deine Versicherung.</w:t>
            </w:r>
          </w:p>
        </w:tc>
      </w:tr>
    </w:tbl>
    <w:p w14:paraId="70A4F274" w14:textId="77777777" w:rsidR="00C1548D" w:rsidRDefault="00C1548D">
      <w:pPr>
        <w:spacing w:line="220" w:lineRule="exact"/>
      </w:pPr>
    </w:p>
    <w:p w14:paraId="70A4F275" w14:textId="77777777" w:rsidR="00C1548D" w:rsidRDefault="009B1B4B">
      <w:pPr>
        <w:pStyle w:val="Heading3"/>
        <w:keepNext/>
        <w:jc w:val="center"/>
      </w:pPr>
      <w:r>
        <w:rPr>
          <w:rFonts w:ascii="Amazon Ember" w:eastAsia="Amazon Ember" w:hAnsi="Amazon Ember" w:cs="Amazon Ember"/>
          <w:color w:val="0000FF"/>
          <w:sz w:val="36"/>
          <w:szCs w:val="36"/>
        </w:rPr>
        <w:t>Wer Medicare bekommt – und wer nicht</w:t>
      </w:r>
    </w:p>
    <w:p w14:paraId="70A4F276" w14:textId="77777777" w:rsidR="00C1548D" w:rsidRDefault="009B1B4B">
      <w:pPr>
        <w:spacing w:after="140"/>
      </w:pPr>
      <w:r>
        <w:t>Für die Praxis zählt vor allem der Aufenthaltsstatus, nicht die gute Absicht. Diese Übersicht ordnet die wichtigsten Situationen ein: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28"/>
        <w:gridCol w:w="1506"/>
        <w:gridCol w:w="2546"/>
      </w:tblGrid>
      <w:tr w:rsidR="00C1548D" w14:paraId="70A4F27A" w14:textId="77777777">
        <w:tblPrEx>
          <w:tblCellMar>
            <w:top w:w="0" w:type="dxa"/>
            <w:bottom w:w="0" w:type="dxa"/>
          </w:tblCellMar>
        </w:tblPrEx>
        <w:trPr>
          <w:cantSplit/>
          <w:tblHeader/>
        </w:trPr>
        <w:tc>
          <w:tcPr>
            <w:tcW w:w="24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277" w14:textId="77777777" w:rsidR="00C1548D" w:rsidRDefault="009B1B4B">
            <w:pPr>
              <w:spacing w:line="250" w:lineRule="auto"/>
            </w:pPr>
            <w:r>
              <w:rPr>
                <w:b/>
                <w:bCs/>
                <w:sz w:val="18"/>
                <w:szCs w:val="18"/>
              </w:rPr>
              <w:lastRenderedPageBreak/>
              <w:t>Status</w:t>
            </w:r>
          </w:p>
        </w:tc>
        <w:tc>
          <w:tcPr>
            <w:tcW w:w="150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278" w14:textId="77777777" w:rsidR="00C1548D" w:rsidRDefault="009B1B4B">
            <w:pPr>
              <w:spacing w:line="250" w:lineRule="auto"/>
            </w:pPr>
            <w:r>
              <w:rPr>
                <w:b/>
                <w:bCs/>
                <w:sz w:val="18"/>
                <w:szCs w:val="18"/>
              </w:rPr>
              <w:t>Medicare-Zugang</w:t>
            </w:r>
          </w:p>
        </w:tc>
        <w:tc>
          <w:tcPr>
            <w:tcW w:w="254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279" w14:textId="77777777" w:rsidR="00C1548D" w:rsidRDefault="009B1B4B">
            <w:pPr>
              <w:spacing w:line="250" w:lineRule="auto"/>
            </w:pPr>
            <w:r>
              <w:rPr>
                <w:b/>
                <w:bCs/>
                <w:sz w:val="18"/>
                <w:szCs w:val="18"/>
              </w:rPr>
              <w:t>Was du brauchst</w:t>
            </w:r>
          </w:p>
        </w:tc>
      </w:tr>
      <w:tr w:rsidR="00C1548D" w14:paraId="70A4F27E" w14:textId="77777777">
        <w:tblPrEx>
          <w:tblCellMar>
            <w:top w:w="0" w:type="dxa"/>
            <w:bottom w:w="0" w:type="dxa"/>
          </w:tblCellMar>
        </w:tblPrEx>
        <w:trPr>
          <w:cantSplit/>
        </w:trPr>
        <w:tc>
          <w:tcPr>
            <w:tcW w:w="24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7B" w14:textId="77777777" w:rsidR="00C1548D" w:rsidRDefault="009B1B4B">
            <w:pPr>
              <w:spacing w:line="250" w:lineRule="auto"/>
            </w:pPr>
            <w:r>
              <w:rPr>
                <w:sz w:val="18"/>
                <w:szCs w:val="18"/>
              </w:rPr>
              <w:t>Permanent Resident (z. B. Subclass 189, 190, 191)</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7C" w14:textId="77777777" w:rsidR="00C1548D" w:rsidRDefault="009B1B4B">
            <w:pPr>
              <w:spacing w:line="250" w:lineRule="auto"/>
            </w:pPr>
            <w:r>
              <w:rPr>
                <w:sz w:val="18"/>
                <w:szCs w:val="18"/>
              </w:rPr>
              <w:t>Ja, ab Ankunft mit gültigem PR-Visum</w:t>
            </w:r>
          </w:p>
        </w:tc>
        <w:tc>
          <w:tcPr>
            <w:tcW w:w="25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7D" w14:textId="77777777" w:rsidR="00C1548D" w:rsidRDefault="009B1B4B">
            <w:pPr>
              <w:spacing w:line="250" w:lineRule="auto"/>
            </w:pPr>
            <w:r>
              <w:rPr>
                <w:sz w:val="18"/>
                <w:szCs w:val="18"/>
              </w:rPr>
              <w:t>Anmeldung bei Services Australia</w:t>
            </w:r>
          </w:p>
        </w:tc>
      </w:tr>
      <w:tr w:rsidR="00C1548D" w14:paraId="70A4F282" w14:textId="77777777">
        <w:tblPrEx>
          <w:tblCellMar>
            <w:top w:w="0" w:type="dxa"/>
            <w:bottom w:w="0" w:type="dxa"/>
          </w:tblCellMar>
        </w:tblPrEx>
        <w:trPr>
          <w:cantSplit/>
        </w:trPr>
        <w:tc>
          <w:tcPr>
            <w:tcW w:w="24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7F" w14:textId="77777777" w:rsidR="00C1548D" w:rsidRDefault="009B1B4B">
            <w:pPr>
              <w:spacing w:line="250" w:lineRule="auto"/>
            </w:pPr>
            <w:r>
              <w:rPr>
                <w:sz w:val="18"/>
                <w:szCs w:val="18"/>
              </w:rPr>
              <w:t>Working Holiday (417)</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80" w14:textId="77777777" w:rsidR="00C1548D" w:rsidRDefault="009B1B4B">
            <w:pPr>
              <w:spacing w:line="250" w:lineRule="auto"/>
            </w:pPr>
            <w:r>
              <w:rPr>
                <w:sz w:val="18"/>
                <w:szCs w:val="18"/>
              </w:rPr>
              <w:t>Nein</w:t>
            </w:r>
          </w:p>
        </w:tc>
        <w:tc>
          <w:tcPr>
            <w:tcW w:w="25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81" w14:textId="77777777" w:rsidR="00C1548D" w:rsidRDefault="009B1B4B">
            <w:pPr>
              <w:spacing w:line="250" w:lineRule="auto"/>
            </w:pPr>
            <w:r>
              <w:rPr>
                <w:sz w:val="18"/>
                <w:szCs w:val="18"/>
              </w:rPr>
              <w:t>OVHC ab Ankunftstag</w:t>
            </w:r>
          </w:p>
        </w:tc>
      </w:tr>
      <w:tr w:rsidR="00C1548D" w14:paraId="70A4F286" w14:textId="77777777">
        <w:tblPrEx>
          <w:tblCellMar>
            <w:top w:w="0" w:type="dxa"/>
            <w:bottom w:w="0" w:type="dxa"/>
          </w:tblCellMar>
        </w:tblPrEx>
        <w:trPr>
          <w:cantSplit/>
        </w:trPr>
        <w:tc>
          <w:tcPr>
            <w:tcW w:w="24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83" w14:textId="77777777" w:rsidR="00C1548D" w:rsidRDefault="009B1B4B">
            <w:pPr>
              <w:spacing w:line="250" w:lineRule="auto"/>
            </w:pPr>
            <w:r>
              <w:rPr>
                <w:sz w:val="18"/>
                <w:szCs w:val="18"/>
              </w:rPr>
              <w:t>Skilled-Arbeitsvisum (z. B. 482)</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84" w14:textId="77777777" w:rsidR="00C1548D" w:rsidRDefault="009B1B4B">
            <w:pPr>
              <w:spacing w:line="250" w:lineRule="auto"/>
            </w:pPr>
            <w:r>
              <w:rPr>
                <w:sz w:val="18"/>
                <w:szCs w:val="18"/>
              </w:rPr>
              <w:t>Nein</w:t>
            </w:r>
          </w:p>
        </w:tc>
        <w:tc>
          <w:tcPr>
            <w:tcW w:w="25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85" w14:textId="77777777" w:rsidR="00C1548D" w:rsidRDefault="009B1B4B">
            <w:pPr>
              <w:spacing w:line="250" w:lineRule="auto"/>
            </w:pPr>
            <w:r>
              <w:rPr>
                <w:sz w:val="18"/>
                <w:szCs w:val="18"/>
              </w:rPr>
              <w:t>OVHC, vom Arbeitgeber teils bezuschusst</w:t>
            </w:r>
          </w:p>
        </w:tc>
      </w:tr>
      <w:tr w:rsidR="00C1548D" w14:paraId="70A4F28A" w14:textId="77777777">
        <w:tblPrEx>
          <w:tblCellMar>
            <w:top w:w="0" w:type="dxa"/>
            <w:bottom w:w="0" w:type="dxa"/>
          </w:tblCellMar>
        </w:tblPrEx>
        <w:trPr>
          <w:cantSplit/>
        </w:trPr>
        <w:tc>
          <w:tcPr>
            <w:tcW w:w="24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87" w14:textId="77777777" w:rsidR="00C1548D" w:rsidRDefault="009B1B4B">
            <w:pPr>
              <w:spacing w:line="250" w:lineRule="auto"/>
            </w:pPr>
            <w:r>
              <w:rPr>
                <w:sz w:val="18"/>
                <w:szCs w:val="18"/>
              </w:rPr>
              <w:t>Student (500)</w:t>
            </w:r>
          </w:p>
        </w:tc>
        <w:tc>
          <w:tcPr>
            <w:tcW w:w="15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88" w14:textId="77777777" w:rsidR="00C1548D" w:rsidRDefault="009B1B4B">
            <w:pPr>
              <w:spacing w:line="250" w:lineRule="auto"/>
            </w:pPr>
            <w:r>
              <w:rPr>
                <w:sz w:val="18"/>
                <w:szCs w:val="18"/>
              </w:rPr>
              <w:t>Nein</w:t>
            </w:r>
          </w:p>
        </w:tc>
        <w:tc>
          <w:tcPr>
            <w:tcW w:w="25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89" w14:textId="77777777" w:rsidR="00C1548D" w:rsidRDefault="009B1B4B">
            <w:pPr>
              <w:spacing w:line="250" w:lineRule="auto"/>
            </w:pPr>
            <w:r>
              <w:rPr>
                <w:sz w:val="18"/>
                <w:szCs w:val="18"/>
              </w:rPr>
              <w:t>OSHC, bereits bei Visumantrag nachzuweisen</w:t>
            </w:r>
          </w:p>
        </w:tc>
      </w:tr>
    </w:tbl>
    <w:p w14:paraId="70A4F28B" w14:textId="77777777" w:rsidR="00C1548D" w:rsidRDefault="00C1548D">
      <w:pPr>
        <w:spacing w:line="180" w:lineRule="exact"/>
      </w:pPr>
    </w:p>
    <w:p w14:paraId="70A4F28C" w14:textId="77777777" w:rsidR="00C1548D" w:rsidRDefault="009B1B4B">
      <w:pPr>
        <w:spacing w:after="140"/>
      </w:pPr>
      <w:r>
        <w:t xml:space="preserve">Die meisten befristeten Visa-Inhaber – ausdrücklich einschließlich Subclass 482 und 500 – sind also nicht Medicare-berechtigt, sofern keine Ausnahme per Ministerial Order greift oder ein RHCA-Land einschlägig ist, was für Deutsche nicht der Fall ist. Das betrifft in der Praxis fast jeden Weg, den ein deutscher Auswanderer typischerweise zuerst geht: Working Holiday, Studium, der arbeitgebergesponserte Einstieg über ein Skilled-Visum. Erst mit einem tatsächlich bewilligten Permanent-Resident-Status – sei es </w:t>
      </w:r>
      <w:r>
        <w:t>direkt über den Punktetest oder später über den Umstieg von einem befristeten Arbeitsvisum – öffnet sich Medicare.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8F"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28D" w14:textId="77777777" w:rsidR="00C1548D" w:rsidRDefault="009B1B4B">
            <w:pPr>
              <w:keepNext/>
              <w:spacing w:after="70" w:line="240" w:lineRule="auto"/>
            </w:pPr>
            <w:r>
              <w:rPr>
                <w:b/>
                <w:bCs/>
                <w:color w:val="8A6212"/>
                <w:spacing w:val="24"/>
                <w:sz w:val="16"/>
                <w:szCs w:val="16"/>
              </w:rPr>
              <w:t>MERKE</w:t>
            </w:r>
          </w:p>
          <w:p w14:paraId="70A4F28E" w14:textId="77777777" w:rsidR="00C1548D" w:rsidRDefault="009B1B4B">
            <w:pPr>
              <w:spacing w:after="80" w:line="264" w:lineRule="auto"/>
            </w:pPr>
            <w:r>
              <w:rPr>
                <w:sz w:val="20"/>
                <w:szCs w:val="20"/>
              </w:rPr>
              <w:t>Der Wechsel von befristetem Visum zu Permanent Residence ist auch ein Wechsel im Gesundheitssystem. Bis zur Bewilligung der PR bleibt die private Versicherung Pflicht, selbst wenn der PR-Antrag längst läuft – erst der bewilligte Status zählt, nicht die Antragstellung.</w:t>
            </w:r>
          </w:p>
        </w:tc>
      </w:tr>
    </w:tbl>
    <w:p w14:paraId="70A4F290" w14:textId="77777777" w:rsidR="00C1548D" w:rsidRDefault="00C1548D">
      <w:pPr>
        <w:spacing w:line="220" w:lineRule="exact"/>
      </w:pPr>
    </w:p>
    <w:p w14:paraId="70A4F291" w14:textId="77777777" w:rsidR="00C1548D" w:rsidRDefault="009B1B4B">
      <w:pPr>
        <w:pStyle w:val="Heading3"/>
        <w:keepNext/>
        <w:jc w:val="center"/>
      </w:pPr>
      <w:r>
        <w:rPr>
          <w:rFonts w:ascii="Amazon Ember" w:eastAsia="Amazon Ember" w:hAnsi="Amazon Ember" w:cs="Amazon Ember"/>
          <w:color w:val="0000FF"/>
          <w:sz w:val="36"/>
          <w:szCs w:val="36"/>
        </w:rPr>
        <w:t>Medicare Levy und Medicare Levy Surcharge, kurz</w:t>
      </w:r>
    </w:p>
    <w:p w14:paraId="70A4F292" w14:textId="5668023F" w:rsidR="00C1548D" w:rsidRDefault="009B1B4B">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w:t>
      </w:r>
      <w:r>
        <w:lastRenderedPageBreak/>
        <w:t xml:space="preserve">Krankenhausversicherung zahlen obendrein die Medicare Levy Surcharge (MLS) von 1,0 bis 1,5 %, je nach Einkommen; die genauen Schwellen und die volle Systematik erklärt das </w:t>
      </w:r>
      <w:hyperlink w:anchor="tau07" w:history="1">
        <w:r>
          <w:rPr>
            <w:color w:val="0563C1"/>
            <w:u w:val="single"/>
          </w:rPr>
          <w:t>Kapitel zu Steuer-ID, Bank und Kredit in diesem Teil</w:t>
        </w:r>
      </w:hyperlink>
      <w:r>
        <w:t xml:space="preserve"> im Detail.</w:t>
      </w:r>
    </w:p>
    <w:p w14:paraId="70A4F293" w14:textId="77777777" w:rsidR="00C1548D" w:rsidRDefault="009B1B4B">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 dann lohnt sich der Vergleich, ob eine private Krankenhausversicherung nicht ohnehin günstiger kommt als die Abgabe.</w:t>
      </w:r>
    </w:p>
    <w:p w14:paraId="70A4F294" w14:textId="77777777" w:rsidR="00C1548D" w:rsidRDefault="009B1B4B">
      <w:pPr>
        <w:pStyle w:val="Heading3"/>
        <w:keepNext/>
        <w:jc w:val="center"/>
      </w:pPr>
      <w:r>
        <w:rPr>
          <w:rFonts w:ascii="Amazon Ember" w:eastAsia="Amazon Ember" w:hAnsi="Amazon Ember" w:cs="Amazon Ember"/>
          <w:color w:val="0000FF"/>
          <w:sz w:val="36"/>
          <w:szCs w:val="36"/>
        </w:rPr>
        <w:t>Private Absicherung: OVHC und OSHC</w:t>
      </w:r>
    </w:p>
    <w:p w14:paraId="70A4F295" w14:textId="77777777" w:rsidR="00C1548D" w:rsidRDefault="009B1B4B">
      <w:pPr>
        <w:spacing w:after="140"/>
      </w:pPr>
      <w:r>
        <w:t>Für alle, die noch keinen Medicare-Zugang haben, ist private Absicherung keine Option, sondern in den meisten Fällen direkt an das Visum geknüpft. Zwei Produkte sind hier maßgeblich.</w:t>
      </w:r>
    </w:p>
    <w:p w14:paraId="70A4F296" w14:textId="77777777" w:rsidR="00C1548D" w:rsidRDefault="009B1B4B">
      <w:pPr>
        <w:spacing w:after="140"/>
      </w:pPr>
      <w:r>
        <w:t>OVHC richtet sich an die meisten befristeten, nicht-studentischen Visa –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w14:paraId="70A4F297" w14:textId="77777777" w:rsidR="00C1548D" w:rsidRDefault="009B1B4B">
      <w:pPr>
        <w:spacing w:after="140"/>
      </w:pPr>
      <w:r>
        <w:t>OSHC ist für Inhaber eines Student Visa (Subclass 500) während der gesamten Studiendauer verpflichtend und muss schon bei der Visumantragstellung nachgewiesen werden – ohne OSHC-Bestätigung kommt der Antrag gar nicht erst durch. Die Kosten liegen bei rund 500 bis 700 AUD im Jahr für eine Einzelperson, abhängig vom Anbieter.</w:t>
      </w:r>
    </w:p>
    <w:p w14:paraId="70A4F298" w14:textId="77777777" w:rsidR="00C1548D" w:rsidRDefault="009B1B4B">
      <w:pPr>
        <w:spacing w:after="140"/>
      </w:pPr>
      <w:r>
        <w:t xml:space="preserve">Wichtig für beide Produkte: Beide sind keine Medicare-Ersatzkarte, sondern private Versicherungsverträge mit eigenem Netzwerk, </w:t>
      </w:r>
      <w:r>
        <w:lastRenderedPageBreak/>
        <w:t>eigenen Bedingungen und eigenem Kleingedrucktem. Vergleiche vor dem Abschluss, was genau abgedeckt ist – ambulante Behandlung, Krankenhausaufenthalt, Rücktransport – und ob Vorerkrankungen ausgeschlossen sind. Working-Holiday-Reisende sind rechtlich nicht in jedem Fall so eindeutig zum Abschluss verpflichtet wie etwa Studierende oder bestimmte Arbeitsvisa-Inhaber, sollten aber angesichts des fehlenden Medicare-Zugangs trotzdem nicht ohne Versicherung reisen.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9B"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299" w14:textId="77777777" w:rsidR="00C1548D" w:rsidRDefault="009B1B4B">
            <w:pPr>
              <w:keepNext/>
              <w:spacing w:after="70" w:line="240" w:lineRule="auto"/>
            </w:pPr>
            <w:r>
              <w:rPr>
                <w:b/>
                <w:bCs/>
                <w:color w:val="2F6B3B"/>
                <w:spacing w:val="24"/>
                <w:sz w:val="16"/>
                <w:szCs w:val="16"/>
              </w:rPr>
              <w:t>SPARTIPP</w:t>
            </w:r>
          </w:p>
          <w:p w14:paraId="70A4F29A" w14:textId="77777777" w:rsidR="00C1548D" w:rsidRDefault="009B1B4B">
            <w:pPr>
              <w:spacing w:after="80" w:line="264" w:lineRule="auto"/>
            </w:pPr>
            <w:r>
              <w:rPr>
                <w:sz w:val="20"/>
                <w:szCs w:val="20"/>
              </w:rPr>
              <w:t>Schließe OVHC oder OSHC schon von Deutschland aus ab, mit Beginn zum Ankunftstag – dann besteht ab der Landung durchgehend Versicherungsschutz, ohne Lücke zwischen Abflug und dem ersten möglichen Vertragsbeginn vor Ort.</w:t>
            </w:r>
          </w:p>
        </w:tc>
      </w:tr>
    </w:tbl>
    <w:p w14:paraId="70A4F29C"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9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29D" w14:textId="77777777" w:rsidR="00C1548D" w:rsidRDefault="009B1B4B">
            <w:pPr>
              <w:keepNext/>
              <w:spacing w:after="70" w:line="240" w:lineRule="auto"/>
            </w:pPr>
            <w:r>
              <w:rPr>
                <w:b/>
                <w:bCs/>
                <w:color w:val="4A5568"/>
                <w:spacing w:val="24"/>
                <w:sz w:val="16"/>
                <w:szCs w:val="16"/>
              </w:rPr>
              <w:t>PRAXISBEISPIEL · FIKTIV</w:t>
            </w:r>
          </w:p>
          <w:p w14:paraId="70A4F29E" w14:textId="77777777" w:rsidR="00C1548D" w:rsidRDefault="009B1B4B">
            <w:pPr>
              <w:spacing w:after="80" w:line="264" w:lineRule="auto"/>
            </w:pPr>
            <w:r>
              <w:rPr>
                <w:sz w:val="20"/>
                <w:szCs w:val="20"/>
              </w:rPr>
              <w:t>Nina Voss kommt mit dem Working-Holiday-Visum (Subclass 417) nach Sydney und schließt sich noch in Hamburg eine OVHC ab, die am Tag ihrer Landung beginnt. Ein Sturz beim Surfen an der Bondi Beach in der dritten Woche – eine Beule, ein verstauchtes Handgelenk, ein Röntgenbild in einer Klinik – wird über die Police abgerechnet, bis auf einen kleinen Selbstbehalt. Ohne Medicare-Karte hätte sie die gesamte Rechnung allein tragen müssen; mit der rechtzeitig abgeschlossenen Versicherung bleibt vom Schreck vor all</w:t>
            </w:r>
            <w:r>
              <w:rPr>
                <w:sz w:val="20"/>
                <w:szCs w:val="20"/>
              </w:rPr>
              <w:t>em die Geschichte für den nächsten Videocall nach Hause übrig. (Fiktives Beispiel.)</w:t>
            </w:r>
          </w:p>
        </w:tc>
      </w:tr>
    </w:tbl>
    <w:p w14:paraId="70A4F2A0" w14:textId="77777777" w:rsidR="00C1548D" w:rsidRDefault="00C1548D">
      <w:pPr>
        <w:spacing w:line="220" w:lineRule="exact"/>
      </w:pPr>
    </w:p>
    <w:p w14:paraId="70A4F2A1" w14:textId="77777777" w:rsidR="00C1548D" w:rsidRDefault="009B1B4B">
      <w:pPr>
        <w:pStyle w:val="Heading3"/>
        <w:keepNext/>
        <w:jc w:val="center"/>
      </w:pPr>
      <w:r>
        <w:rPr>
          <w:rFonts w:ascii="Amazon Ember" w:eastAsia="Amazon Ember" w:hAnsi="Amazon Ember" w:cs="Amazon Ember"/>
          <w:color w:val="0000FF"/>
          <w:sz w:val="36"/>
          <w:szCs w:val="36"/>
        </w:rPr>
        <w:t>Medicare anmelden: der Ablauf für Permanent Residents</w:t>
      </w:r>
    </w:p>
    <w:p w14:paraId="70A4F2A2" w14:textId="77777777" w:rsidR="00C1548D" w:rsidRDefault="009B1B4B">
      <w:pPr>
        <w:spacing w:after="140"/>
      </w:pPr>
      <w:r>
        <w:t xml:space="preserve">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w:t>
      </w:r>
      <w:r>
        <w:lastRenderedPageBreak/>
        <w:t>sowie ein Adressnachweis. Eine feste, langfristige Adresse ist dafür nicht zwingend nötig – auch die Adresse der Übergangsunterkunft kann reichen, solange sie belegbar ist.</w:t>
      </w:r>
    </w:p>
    <w:p w14:paraId="70A4F2A3" w14:textId="77777777" w:rsidR="00C1548D" w:rsidRDefault="009B1B4B">
      <w:pPr>
        <w:spacing w:after="140"/>
      </w:pPr>
      <w:r>
        <w:t>Nach der Anmeldung erhältst du eine Medicare-Nummer, die Karte selbst kommt anschließend per Post nach. Bis sie eintrifft, gilt die Nummer bereits als Nachweis der Berechtigung; bewahre die Anmeldebestätigung deshalb griffbereit auf, etwa als Foto auf dem Handy. Melde neben dir selbst auch Partner und Kinder gleich mit an, sie laufen in Australien in der Regel über einen gemeinsamen Familieneintrag, ähnlich wie bei der Krankenversicherungskarte in Deutschland, nur eben ohne Kassenwahl.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A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2A4" w14:textId="77777777" w:rsidR="00C1548D" w:rsidRDefault="009B1B4B">
            <w:pPr>
              <w:keepNext/>
              <w:spacing w:after="70" w:line="240" w:lineRule="auto"/>
            </w:pPr>
            <w:r>
              <w:rPr>
                <w:b/>
                <w:bCs/>
                <w:color w:val="8A6212"/>
                <w:spacing w:val="24"/>
                <w:sz w:val="16"/>
                <w:szCs w:val="16"/>
              </w:rPr>
              <w:t>MERKE</w:t>
            </w:r>
          </w:p>
          <w:p w14:paraId="70A4F2A5" w14:textId="77777777" w:rsidR="00C1548D" w:rsidRDefault="009B1B4B">
            <w:pPr>
              <w:spacing w:after="80" w:line="264" w:lineRule="auto"/>
            </w:pPr>
            <w:r>
              <w:rPr>
                <w:sz w:val="20"/>
                <w:szCs w:val="20"/>
              </w:rPr>
              <w:t>Die Medicare-Anmeldung ersetzt nicht automatisch eine bereits laufende private Versicherung aus Deutschland oder eine Übergangs-OVHC. Kündige diese erst, wenn die Medicare-Berechtigung tatsächlich bestätigt ist – die Bearbeitung kann einige Tage dauern, und eine Deckungslücke dazwischen ist unnötig.</w:t>
            </w:r>
          </w:p>
        </w:tc>
      </w:tr>
    </w:tbl>
    <w:p w14:paraId="70A4F2A7"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AA"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2A8" w14:textId="77777777" w:rsidR="00C1548D" w:rsidRDefault="009B1B4B">
            <w:pPr>
              <w:keepNext/>
              <w:spacing w:after="70" w:line="240" w:lineRule="auto"/>
            </w:pPr>
            <w:r>
              <w:rPr>
                <w:b/>
                <w:bCs/>
                <w:color w:val="4A5568"/>
                <w:spacing w:val="24"/>
                <w:sz w:val="16"/>
                <w:szCs w:val="16"/>
              </w:rPr>
              <w:t>PRAXISBEISPIEL · FIKTIV</w:t>
            </w:r>
          </w:p>
          <w:p w14:paraId="70A4F2A9" w14:textId="77777777" w:rsidR="00C1548D" w:rsidRDefault="009B1B4B">
            <w:pPr>
              <w:spacing w:after="80" w:line="264" w:lineRule="auto"/>
            </w:pPr>
            <w:r>
              <w:rPr>
                <w:sz w:val="20"/>
                <w:szCs w:val="20"/>
              </w:rPr>
              <w:t xml:space="preserve">Familie Reinhardt meldet sich in der zweiten Woche nach der Ankunft in Melbourne bei einem Service-Center von Services Australia für Medicare an – Pässe, die Bewilligungsmitteilung zum Subclass-189-Visum und die Buchungsbestätigung der ersten Mietwohnung als Adressnachweis reichen aus. Die Medicare-Karten kommen wenig später per Post. Sandra, von Beruf Krankenpflegerin, ist überrascht, wie viel sie über das System erst vor Ort lernt: Dass der Kinderarzt für Emil und Clara nach Terminvereinbarung direkt mit </w:t>
            </w:r>
            <w:r>
              <w:rPr>
                <w:sz w:val="20"/>
                <w:szCs w:val="20"/>
              </w:rPr>
              <w:t>Medicare abrechnet, findet sie erst beim dritten Anruf heraus – auf die Idee, überhaupt danach zu fragen, wäre sie in Deutschland nie gekommen, weil sich diese Frage dort schlicht nicht stellt. (Fiktives Beispiel.)</w:t>
            </w:r>
          </w:p>
        </w:tc>
      </w:tr>
    </w:tbl>
    <w:p w14:paraId="70A4F2AB" w14:textId="77777777" w:rsidR="00C1548D" w:rsidRDefault="00C1548D">
      <w:pPr>
        <w:spacing w:line="220" w:lineRule="exact"/>
      </w:pPr>
    </w:p>
    <w:p w14:paraId="70A4F2AC" w14:textId="77777777" w:rsidR="00C1548D" w:rsidRDefault="009B1B4B">
      <w:pPr>
        <w:pStyle w:val="Heading3"/>
        <w:keepNext/>
        <w:jc w:val="center"/>
      </w:pPr>
      <w:r>
        <w:rPr>
          <w:rFonts w:ascii="Amazon Ember" w:eastAsia="Amazon Ember" w:hAnsi="Amazon Ember" w:cs="Amazon Ember"/>
          <w:color w:val="0000FF"/>
          <w:sz w:val="36"/>
          <w:szCs w:val="36"/>
        </w:rPr>
        <w:lastRenderedPageBreak/>
        <w:t>Beim Arzt und im Krankenhaus: Bulk Billing, Gap und Wartelisten</w:t>
      </w:r>
    </w:p>
    <w:p w14:paraId="70A4F2AD" w14:textId="77777777" w:rsidR="00C1548D" w:rsidRDefault="009B1B4B">
      <w:pPr>
        <w:spacing w:after="140"/>
      </w:pPr>
      <w:r>
        <w:t>Ist der Medicare-Zugang einmal da, unterscheidet sich der Praxisalltag deutlich vom deutschen System. Hausärzte (</w:t>
      </w:r>
      <w:r>
        <w:rPr>
          <w:i/>
          <w:iCs/>
        </w:rPr>
        <w:t>General Practitioners</w:t>
      </w:r>
      <w:r>
        <w:t xml:space="preserve">, GPs) rechnen entweder per </w:t>
      </w:r>
      <w:r>
        <w:rPr>
          <w:i/>
          <w:iCs/>
        </w:rPr>
        <w:t>Bulk Billing</w:t>
      </w:r>
      <w:r>
        <w:t xml:space="preserve"> direkt mit Medicare ab – dann zahlst du beim Termin nichts dazu – oder sie verlangen eine eigene Gebühr, von der Medicare nur einen Teil erstattet; die Differenz (</w:t>
      </w:r>
      <w:r>
        <w:rPr>
          <w:i/>
          <w:iCs/>
        </w:rPr>
        <w:t>Gap</w:t>
      </w:r>
      <w:r>
        <w:t>) trägst du selbst. Ob eine Praxis bulk-billt, ist von Praxis zu Praxis unterschiedlich und ändert sich, frage deshalb am Telefon nach, bevor du einen Termin buchst, statt es erst am Empfang zu erfahren.</w:t>
      </w:r>
    </w:p>
    <w:p w14:paraId="70A4F2AE" w14:textId="77777777" w:rsidR="00C1548D" w:rsidRDefault="009B1B4B">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zusätzlich zu Medicare abschließen – sie ermöglicht die freie Wahl von Arzt und privater Klinik sowie meist kürzere Wartezeiten bei planbaren Operationen – wer sie nicht hat und gut verdient, zahlt dafür wie besc</w:t>
      </w:r>
      <w:r>
        <w:t>hrieben die Medicare Levy Surcharge.</w:t>
      </w:r>
    </w:p>
    <w:p w14:paraId="70A4F2AF" w14:textId="77777777" w:rsidR="00C1548D" w:rsidRDefault="009B1B4B">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 für Medicare-Berechtigte über Medicare, für alle anderen über die private Versicherung oder, ohne beides, als Eigenrechnung.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B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2B0" w14:textId="77777777" w:rsidR="00C1548D" w:rsidRDefault="009B1B4B">
            <w:pPr>
              <w:keepNext/>
              <w:spacing w:after="70" w:line="240" w:lineRule="auto"/>
            </w:pPr>
            <w:r>
              <w:rPr>
                <w:b/>
                <w:bCs/>
                <w:color w:val="9B2C2C"/>
                <w:spacing w:val="24"/>
                <w:sz w:val="16"/>
                <w:szCs w:val="16"/>
              </w:rPr>
              <w:lastRenderedPageBreak/>
              <w:t>ACHTUNG</w:t>
            </w:r>
          </w:p>
          <w:p w14:paraId="70A4F2B1" w14:textId="77777777" w:rsidR="00C1548D" w:rsidRDefault="009B1B4B">
            <w:pPr>
              <w:spacing w:after="80" w:line="264" w:lineRule="auto"/>
            </w:pPr>
            <w:r>
              <w:rPr>
                <w:sz w:val="20"/>
                <w:szCs w:val="20"/>
              </w:rPr>
              <w:t>OVHC und OSHC sind keine Medicare-Ersatzkarte fürs öffentliche System, sondern greifen meist bei privater ambulanter und stationärer Behandlung. Sie ersetzen nicht in jedem Fall den vollen Zugang zum öffentlichen Krankenhaussystem, den Medicare-Berechtigte haben. Kläre vor einem geplanten Eingriff mit deiner Versicherung, was konkret gedeckt ist.</w:t>
            </w:r>
          </w:p>
        </w:tc>
      </w:tr>
    </w:tbl>
    <w:p w14:paraId="70A4F2B3" w14:textId="77777777" w:rsidR="00C1548D" w:rsidRDefault="00C1548D">
      <w:pPr>
        <w:spacing w:line="220" w:lineRule="exact"/>
      </w:pPr>
    </w:p>
    <w:p w14:paraId="70A4F2B4" w14:textId="77777777" w:rsidR="00C1548D" w:rsidRDefault="009B1B4B">
      <w:pPr>
        <w:pStyle w:val="Heading3"/>
        <w:keepNext/>
        <w:jc w:val="center"/>
      </w:pPr>
      <w:r>
        <w:rPr>
          <w:rFonts w:ascii="Amazon Ember" w:eastAsia="Amazon Ember" w:hAnsi="Amazon Ember" w:cs="Amazon Ember"/>
          <w:color w:val="0000FF"/>
          <w:sz w:val="36"/>
          <w:szCs w:val="36"/>
        </w:rPr>
        <w:t>Zahn, Augen, Psychotherapie: was Medicare nicht abdeckt</w:t>
      </w:r>
    </w:p>
    <w:p w14:paraId="70A4F2B5" w14:textId="77777777" w:rsidR="00C1548D" w:rsidRDefault="009B1B4B">
      <w:pPr>
        <w:spacing w:after="140"/>
      </w:pPr>
      <w:r>
        <w:t xml:space="preserve">Wie in vielen Ländern mit gemischten Gesundheitssystemen deckt Medicare Zahnbehandlungen für Erwachsene grundsätzlich nicht ab, ebenso wenig die meisten Sehhilfen. Wer das absichern möchte, schließt einen zusätzlichen privaten </w:t>
      </w:r>
      <w:r>
        <w:rPr>
          <w:i/>
          <w:iCs/>
        </w:rPr>
        <w:t>Extras</w:t>
      </w:r>
      <w:r>
        <w:t>-Tarif ab, oft im selben Paket wie die private Krankenhausversicherung, aber als eigener Baustein mit eigenen Jahreshöchstgrenzen. Ohne eine solche Zusatzversicherung zahlst du Kontrolluntersuchung, Füllung oder Brille komplett selbst.</w:t>
      </w:r>
    </w:p>
    <w:p w14:paraId="70A4F2B6" w14:textId="77777777" w:rsidR="00C1548D" w:rsidRDefault="009B1B4B">
      <w:pPr>
        <w:spacing w:after="140"/>
      </w:pPr>
      <w:r>
        <w:t xml:space="preserve">Psychologische und psychotherapeutische Behandlung ist über Medicare in eingeschränktem Umfang zugänglich: Mit einer Überweisung vom Hausarzt (einem sogenannten </w:t>
      </w:r>
      <w:r>
        <w:rPr>
          <w:i/>
          <w:iCs/>
        </w:rPr>
        <w:t>Mental Health Treatment Plan</w:t>
      </w:r>
      <w:r>
        <w:t>, einem Behandlungsplan für psychische Gesundheit) übernimmt Medicare einen begrenzten Teil der Kosten für eine festgelegte Anzahl an Sitzungen pro Jahr; alles darüber hinaus läuft über Eigenkosten oder eine private Zusatzversicherung. Für Inhaber von OVHC oder OSHC ist die psychologische Versorgung noch enger begrenzt und im Einzelfall bei der jeweiligen Police nachzulesen.</w:t>
      </w:r>
    </w:p>
    <w:p w14:paraId="70A4F2B7"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2BA"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2B8"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2B9" w14:textId="77777777" w:rsidR="00C1548D" w:rsidRDefault="009B1B4B">
            <w:pPr>
              <w:spacing w:line="250" w:lineRule="auto"/>
            </w:pPr>
            <w:r>
              <w:rPr>
                <w:b/>
                <w:bCs/>
                <w:sz w:val="18"/>
                <w:szCs w:val="18"/>
              </w:rPr>
              <w:t>Minus</w:t>
            </w:r>
          </w:p>
        </w:tc>
      </w:tr>
      <w:tr w:rsidR="00C1548D" w14:paraId="70A4F2B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BB" w14:textId="77777777" w:rsidR="00C1548D" w:rsidRDefault="009B1B4B">
            <w:pPr>
              <w:spacing w:line="250" w:lineRule="auto"/>
            </w:pPr>
            <w:r>
              <w:rPr>
                <w:sz w:val="18"/>
                <w:szCs w:val="18"/>
              </w:rPr>
              <w:t>Medicare deckt medizinische Grundversorgung für Berechtigte weitgehend kostenfrei</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BC" w14:textId="77777777" w:rsidR="00C1548D" w:rsidRDefault="009B1B4B">
            <w:pPr>
              <w:spacing w:line="250" w:lineRule="auto"/>
            </w:pPr>
            <w:r>
              <w:rPr>
                <w:sz w:val="18"/>
                <w:szCs w:val="18"/>
              </w:rPr>
              <w:t>Deutschland hat kein Gegenseitigkeitsabkommen mit Australien – kein automatischer Zugang</w:t>
            </w:r>
          </w:p>
        </w:tc>
      </w:tr>
      <w:tr w:rsidR="00C1548D" w14:paraId="70A4F2C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BE" w14:textId="77777777" w:rsidR="00C1548D" w:rsidRDefault="009B1B4B">
            <w:pPr>
              <w:spacing w:line="250" w:lineRule="auto"/>
            </w:pPr>
            <w:r>
              <w:rPr>
                <w:sz w:val="18"/>
                <w:szCs w:val="18"/>
              </w:rPr>
              <w:t>Permanent Residents sind ab Ankunft anmeldefähig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BF" w14:textId="77777777" w:rsidR="00C1548D" w:rsidRDefault="009B1B4B">
            <w:pPr>
              <w:spacing w:line="250" w:lineRule="auto"/>
            </w:pPr>
            <w:r>
              <w:rPr>
                <w:sz w:val="18"/>
                <w:szCs w:val="18"/>
              </w:rPr>
              <w:t>Befristete Visa-Inhaber brauchen durchgehend private OVHC oder OSHC</w:t>
            </w:r>
          </w:p>
        </w:tc>
      </w:tr>
      <w:tr w:rsidR="00C1548D" w14:paraId="70A4F2C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C1" w14:textId="77777777" w:rsidR="00C1548D" w:rsidRDefault="009B1B4B">
            <w:pPr>
              <w:spacing w:line="250" w:lineRule="auto"/>
            </w:pPr>
            <w:r>
              <w:rPr>
                <w:sz w:val="18"/>
                <w:szCs w:val="18"/>
              </w:rPr>
              <w:t>OVHC und OSHC lassen sich schon von Deutschland aus abschließen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C2" w14:textId="77777777" w:rsidR="00C1548D" w:rsidRDefault="009B1B4B">
            <w:pPr>
              <w:spacing w:line="250" w:lineRule="auto"/>
            </w:pPr>
            <w:r>
              <w:rPr>
                <w:sz w:val="18"/>
                <w:szCs w:val="18"/>
              </w:rPr>
              <w:t>Zahnbehandlung und die meisten Sehhilfen bleiben privat zu zahlen</w:t>
            </w:r>
          </w:p>
        </w:tc>
      </w:tr>
      <w:tr w:rsidR="00C1548D" w14:paraId="70A4F2C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C4" w14:textId="77777777" w:rsidR="00C1548D" w:rsidRDefault="009B1B4B">
            <w:pPr>
              <w:spacing w:line="250" w:lineRule="auto"/>
            </w:pPr>
            <w:r>
              <w:rPr>
                <w:sz w:val="18"/>
                <w:szCs w:val="18"/>
              </w:rPr>
              <w:t>Notaufnahmen behandeln unabhängig vom Versicherungsstatus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2C5" w14:textId="77777777" w:rsidR="00C1548D" w:rsidRDefault="009B1B4B">
            <w:pPr>
              <w:spacing w:line="250" w:lineRule="auto"/>
            </w:pPr>
            <w:r>
              <w:rPr>
                <w:sz w:val="18"/>
                <w:szCs w:val="18"/>
              </w:rPr>
              <w:t>Wartelisten im öffentlichen System bei planbaren Eingriffen</w:t>
            </w:r>
          </w:p>
        </w:tc>
      </w:tr>
    </w:tbl>
    <w:p w14:paraId="70A4F2C7" w14:textId="77777777" w:rsidR="00C1548D" w:rsidRDefault="00C1548D">
      <w:pPr>
        <w:spacing w:line="180" w:lineRule="exact"/>
      </w:pPr>
    </w:p>
    <w:p w14:paraId="70A4F2C8"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2C9" w14:textId="77777777" w:rsidR="00C1548D" w:rsidRDefault="009B1B4B">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D3"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2CA" w14:textId="77777777" w:rsidR="00C1548D" w:rsidRDefault="009B1B4B">
            <w:pPr>
              <w:keepNext/>
              <w:spacing w:after="70" w:line="240" w:lineRule="auto"/>
            </w:pPr>
            <w:r>
              <w:rPr>
                <w:b/>
                <w:bCs/>
                <w:color w:val="1F6F78"/>
                <w:spacing w:val="24"/>
                <w:sz w:val="16"/>
                <w:szCs w:val="16"/>
              </w:rPr>
              <w:lastRenderedPageBreak/>
              <w:t>CHECKLISTE</w:t>
            </w:r>
          </w:p>
          <w:p w14:paraId="70A4F2C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Visumtyp und daraus folgenden Medicare-Status vor dem Abflug geklärt</w:t>
            </w:r>
          </w:p>
          <w:p w14:paraId="70A4F2C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befristetem Visum: OVHC oder OSHC abgeschlossen, Beginn zum Ankunftstag</w:t>
            </w:r>
          </w:p>
          <w:p w14:paraId="70A4F2C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PR-Status: Medicare-Anmeldung bei Services Australia in den ersten Wochen eingeplant</w:t>
            </w:r>
          </w:p>
          <w:p w14:paraId="70A4F2C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Pass, Visumsnachweis und Adressnachweis für die Medicare-Anmeldung bereitgelegt</w:t>
            </w:r>
          </w:p>
          <w:p w14:paraId="70A4F2C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und wann die Medicare Levy Surcharge relevant werden könnte</w:t>
            </w:r>
          </w:p>
          <w:p w14:paraId="70A4F2D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Hausarztpraxis gesucht und nach Bulk Billing gefragt</w:t>
            </w:r>
          </w:p>
          <w:p w14:paraId="70A4F2D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Zusatzversicherung für Zahn und Augen verglichen</w:t>
            </w:r>
          </w:p>
          <w:p w14:paraId="70A4F2D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Notruf Triple Zero (000) und nächstgelegene Notaufnahme notiert</w:t>
            </w:r>
          </w:p>
        </w:tc>
      </w:tr>
    </w:tbl>
    <w:p w14:paraId="70A4F2D4" w14:textId="77777777" w:rsidR="00C1548D" w:rsidRDefault="00C1548D">
      <w:pPr>
        <w:spacing w:line="220" w:lineRule="exact"/>
      </w:pPr>
    </w:p>
    <w:p w14:paraId="70A4F2D5"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2D6" w14:textId="624CAF20" w:rsidR="00C1548D" w:rsidRDefault="009B1B4B" w:rsidP="009B1B4B">
      <w:pPr>
        <w:pStyle w:val="ListParagraph"/>
        <w:numPr>
          <w:ilvl w:val="0"/>
          <w:numId w:val="1"/>
        </w:numPr>
        <w:spacing w:after="60"/>
      </w:pPr>
      <w:r>
        <w:t xml:space="preserve">Services Australia — Medicare-Anmeldung, Reciprocal Health Care Agreements: </w:t>
      </w:r>
      <w:hyperlink r:id="rId421" w:history="1">
        <w:r>
          <w:rPr>
            <w:color w:val="0563C1"/>
            <w:u w:val="single"/>
          </w:rPr>
          <w:t>servicesaustralia.gov.au</w:t>
        </w:r>
      </w:hyperlink>
    </w:p>
    <w:p w14:paraId="70A4F2D7" w14:textId="6F0015C6" w:rsidR="00C1548D" w:rsidRDefault="009B1B4B" w:rsidP="009B1B4B">
      <w:pPr>
        <w:pStyle w:val="ListParagraph"/>
        <w:numPr>
          <w:ilvl w:val="0"/>
          <w:numId w:val="1"/>
        </w:numPr>
        <w:spacing w:after="60"/>
      </w:pPr>
      <w:r>
        <w:t xml:space="preserve">Australian Taxation Office — Medicare Levy und Surcharge: </w:t>
      </w:r>
      <w:hyperlink r:id="rId422" w:history="1">
        <w:r>
          <w:rPr>
            <w:color w:val="0563C1"/>
            <w:u w:val="single"/>
          </w:rPr>
          <w:t>ato.gov.au</w:t>
        </w:r>
      </w:hyperlink>
    </w:p>
    <w:p w14:paraId="70A4F2D8" w14:textId="2FAEEE7B" w:rsidR="00C1548D" w:rsidRDefault="009B1B4B" w:rsidP="009B1B4B">
      <w:pPr>
        <w:pStyle w:val="ListParagraph"/>
        <w:numPr>
          <w:ilvl w:val="0"/>
          <w:numId w:val="1"/>
        </w:numPr>
        <w:spacing w:after="60"/>
      </w:pPr>
      <w:r>
        <w:t xml:space="preserve">Department of Home Affairs — visumbedingte Gesundheitsversicherung (OVHC, OSHC): </w:t>
      </w:r>
      <w:hyperlink r:id="rId423" w:history="1">
        <w:r>
          <w:rPr>
            <w:color w:val="0563C1"/>
            <w:u w:val="single"/>
          </w:rPr>
          <w:t>immi.homeaffairs.gov.au</w:t>
        </w:r>
      </w:hyperlink>
    </w:p>
    <w:p w14:paraId="70A4F2D9" w14:textId="4015052F" w:rsidR="00C1548D" w:rsidRDefault="009B1B4B" w:rsidP="009B1B4B">
      <w:pPr>
        <w:pStyle w:val="ListParagraph"/>
        <w:numPr>
          <w:ilvl w:val="0"/>
          <w:numId w:val="1"/>
        </w:numPr>
        <w:spacing w:after="60"/>
      </w:pPr>
      <w:hyperlink r:id="rId424" w:history="1">
        <w:r>
          <w:rPr>
            <w:color w:val="0563C1"/>
            <w:u w:val="single"/>
          </w:rPr>
          <w:t>privatehealth.gov.au</w:t>
        </w:r>
      </w:hyperlink>
      <w:r>
        <w:t xml:space="preserve"> — unabhängiger Vergleich privater Krankenversicherungen (Private Health Insurance Ombudsman)</w:t>
      </w:r>
    </w:p>
    <w:p w14:paraId="70A4F2DA" w14:textId="733A7D49" w:rsidR="00C1548D" w:rsidRDefault="009B1B4B" w:rsidP="009B1B4B">
      <w:pPr>
        <w:pStyle w:val="ListParagraph"/>
        <w:numPr>
          <w:ilvl w:val="0"/>
          <w:numId w:val="1"/>
        </w:numPr>
        <w:spacing w:after="60"/>
      </w:pPr>
      <w:r>
        <w:t xml:space="preserve">Deutsche Vertretungen in Australien: </w:t>
      </w:r>
      <w:hyperlink r:id="rId425" w:history="1">
        <w:r>
          <w:rPr>
            <w:color w:val="0563C1"/>
            <w:u w:val="single"/>
          </w:rPr>
          <w:t>australien.diplo.de</w:t>
        </w:r>
      </w:hyperlink>
    </w:p>
    <w:p w14:paraId="70A4F2DB"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DE"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2DC" w14:textId="77777777" w:rsidR="00C1548D" w:rsidRDefault="009B1B4B">
            <w:pPr>
              <w:keepNext/>
              <w:spacing w:after="70" w:line="240" w:lineRule="auto"/>
            </w:pPr>
            <w:r>
              <w:rPr>
                <w:b/>
                <w:bCs/>
                <w:color w:val="6B7280"/>
                <w:spacing w:val="24"/>
                <w:sz w:val="16"/>
                <w:szCs w:val="16"/>
              </w:rPr>
              <w:lastRenderedPageBreak/>
              <w:t>STAND</w:t>
            </w:r>
          </w:p>
          <w:p w14:paraId="70A4F2DD" w14:textId="77777777" w:rsidR="00C1548D" w:rsidRDefault="009B1B4B">
            <w:pPr>
              <w:spacing w:after="80" w:line="264" w:lineRule="auto"/>
            </w:pPr>
            <w:r>
              <w:rPr>
                <w:sz w:val="20"/>
                <w:szCs w:val="20"/>
              </w:rPr>
              <w:t>23.09.2026. Diese Angaben ändern sich schnell: die RHCA-Länderliste, Medicare-Levy- und Surcharge-Schwellen (jährlich zum 1. Juli angepasst), OVHC- und OSHC-Prämien sowie die genauen Bedingungen einzelner Versicherer. Prüfe vor jeder Entscheidung die aktuellen Seiten von Services Australia und der ATO sowie die Police deines gewählten Versicherers.</w:t>
            </w:r>
          </w:p>
        </w:tc>
      </w:tr>
    </w:tbl>
    <w:p w14:paraId="70A4F2DF" w14:textId="77777777" w:rsidR="00C1548D" w:rsidRDefault="00C1548D">
      <w:pPr>
        <w:spacing w:line="220" w:lineRule="exact"/>
      </w:pPr>
    </w:p>
    <w:p w14:paraId="70A4F2E0" w14:textId="77777777" w:rsidR="00C1548D" w:rsidRDefault="009B1B4B">
      <w:pPr>
        <w:pStyle w:val="Heading2"/>
        <w:keepNext/>
        <w:pageBreakBefore/>
        <w:jc w:val="center"/>
      </w:pPr>
      <w:bookmarkStart w:id="118" w:name="tau09"/>
      <w:bookmarkStart w:id="119" w:name="_Toc241352510"/>
      <w:r>
        <w:rPr>
          <w:rFonts w:ascii="Amazon Ember" w:eastAsia="Amazon Ember" w:hAnsi="Amazon Ember" w:cs="Amazon Ember"/>
          <w:color w:val="0000FF"/>
          <w:sz w:val="36"/>
          <w:szCs w:val="36"/>
        </w:rPr>
        <w:lastRenderedPageBreak/>
        <w:t>Australien: Wohnen und die besten Orte zum Leben</w:t>
      </w:r>
      <w:bookmarkEnd w:id="118"/>
      <w:bookmarkEnd w:id="119"/>
    </w:p>
    <w:p w14:paraId="70A4F2E1" w14:textId="77777777" w:rsidR="00C1548D" w:rsidRDefault="009B1B4B">
      <w:pPr>
        <w:spacing w:after="140"/>
      </w:pPr>
      <w:r>
        <w:t>Am Samstagvormittag steht die Menge nicht vor der Kirche, sondern vor einem Reihenhaus in Melbourne: Der Auktionator ruft Gebote, jemand hebt die Hand, das Haus wechselt binnen zwanzig Minuten den Besitzer – ganz ohne Notartermin, ganz ohne die gemütliche deutsche Bedenkzeit. Wer aus Deutschland kommt, wo ein Immobilienkauf gern Monate dauert, lernt hier schnell: In Australien geht vieles fixer, manches unübersichtlicher – und beim Wohnort entscheiden am Ende nicht nur Job und Budget, sondern auch, ob du eh</w:t>
      </w:r>
      <w:r>
        <w:t>er mit Buschfeuer, Flusshochwasser oder schlicht beständig hohen Mieten leben willst.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E9"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2E2" w14:textId="77777777" w:rsidR="00C1548D" w:rsidRDefault="009B1B4B">
            <w:pPr>
              <w:keepNext/>
              <w:spacing w:after="70" w:line="240" w:lineRule="auto"/>
            </w:pPr>
            <w:r>
              <w:rPr>
                <w:b/>
                <w:bCs/>
                <w:color w:val="1F3A5F"/>
                <w:spacing w:val="24"/>
                <w:sz w:val="16"/>
                <w:szCs w:val="16"/>
              </w:rPr>
              <w:lastRenderedPageBreak/>
              <w:t>KURZ GESAGT</w:t>
            </w:r>
          </w:p>
          <w:p w14:paraId="70A4F2E3" w14:textId="77777777" w:rsidR="00C1548D" w:rsidRDefault="009B1B4B" w:rsidP="009B1B4B">
            <w:pPr>
              <w:pStyle w:val="ListParagraph"/>
              <w:numPr>
                <w:ilvl w:val="0"/>
                <w:numId w:val="1"/>
              </w:numPr>
              <w:spacing w:after="50" w:line="264" w:lineRule="auto"/>
            </w:pPr>
            <w:r>
              <w:rPr>
                <w:sz w:val="20"/>
                <w:szCs w:val="20"/>
              </w:rPr>
              <w:t>Mieten läuft über Online-Portale und offene Besichtigungen mit vielen Mitbewerbern; die Kaution (</w:t>
            </w:r>
            <w:r>
              <w:rPr>
                <w:i/>
                <w:iCs/>
                <w:sz w:val="20"/>
                <w:szCs w:val="20"/>
              </w:rPr>
              <w:t>Bond</w:t>
            </w:r>
            <w:r>
              <w:rPr>
                <w:sz w:val="20"/>
                <w:szCs w:val="20"/>
              </w:rPr>
              <w:t>) beträgt meist vier Wochen Miete und wird bei einer staatlichen Kautionsstelle hinterlegt, nicht beim Vermieter.</w:t>
            </w:r>
          </w:p>
          <w:p w14:paraId="70A4F2E4" w14:textId="77777777" w:rsidR="00C1548D" w:rsidRDefault="009B1B4B" w:rsidP="009B1B4B">
            <w:pPr>
              <w:pStyle w:val="ListParagraph"/>
              <w:numPr>
                <w:ilvl w:val="0"/>
                <w:numId w:val="1"/>
              </w:numPr>
              <w:spacing w:after="50" w:line="264" w:lineRule="auto"/>
            </w:pPr>
            <w:r>
              <w:rPr>
                <w:sz w:val="20"/>
                <w:szCs w:val="20"/>
              </w:rPr>
              <w:t>Bestandsimmobilien dürfen Ausländer und befristete Visa-Inhaber seit 1. April 2025 bis mindestens 30. Juni 2029 grundsätzlich nicht kaufen (FIRB-Verbot); Neubauten bleiben mit Genehmigung möglich.</w:t>
            </w:r>
          </w:p>
          <w:p w14:paraId="70A4F2E5" w14:textId="77777777" w:rsidR="00C1548D" w:rsidRDefault="009B1B4B" w:rsidP="009B1B4B">
            <w:pPr>
              <w:pStyle w:val="ListParagraph"/>
              <w:numPr>
                <w:ilvl w:val="0"/>
                <w:numId w:val="1"/>
              </w:numPr>
              <w:spacing w:after="50" w:line="264" w:lineRule="auto"/>
            </w:pPr>
            <w:r>
              <w:rPr>
                <w:sz w:val="20"/>
                <w:szCs w:val="20"/>
              </w:rPr>
              <w:t>Wer keine Permanent Residence hat, zahlt beim Kauf zusätzlich einen Foreign-Buyer-Zuschlag auf die Grunderwerbsteuer (</w:t>
            </w:r>
            <w:r>
              <w:rPr>
                <w:i/>
                <w:iCs/>
                <w:sz w:val="20"/>
                <w:szCs w:val="20"/>
              </w:rPr>
              <w:t>Stamp Duty</w:t>
            </w:r>
            <w:r>
              <w:rPr>
                <w:sz w:val="20"/>
                <w:szCs w:val="20"/>
              </w:rPr>
              <w:t>) von 7–9 % des Kaufpreises, je nach Bundesstaat.</w:t>
            </w:r>
          </w:p>
          <w:p w14:paraId="70A4F2E6" w14:textId="77777777" w:rsidR="00C1548D" w:rsidRDefault="009B1B4B" w:rsidP="009B1B4B">
            <w:pPr>
              <w:pStyle w:val="ListParagraph"/>
              <w:numPr>
                <w:ilvl w:val="0"/>
                <w:numId w:val="1"/>
              </w:numPr>
              <w:spacing w:after="50" w:line="264" w:lineRule="auto"/>
            </w:pPr>
            <w:r>
              <w:rPr>
                <w:sz w:val="20"/>
                <w:szCs w:val="20"/>
              </w:rPr>
              <w:t>Wer mit einem Permanent-Visum wie dem Skilled Independent Visa (Subclass 189) einreist, gilt ab dem ersten Tag nicht als „foreign person“ – Stamp-Duty-Zuschlag und FIRB-Verbot entfallen.</w:t>
            </w:r>
          </w:p>
          <w:p w14:paraId="70A4F2E7" w14:textId="77777777" w:rsidR="00C1548D" w:rsidRDefault="009B1B4B" w:rsidP="009B1B4B">
            <w:pPr>
              <w:pStyle w:val="ListParagraph"/>
              <w:numPr>
                <w:ilvl w:val="0"/>
                <w:numId w:val="1"/>
              </w:numPr>
              <w:spacing w:after="50" w:line="264" w:lineRule="auto"/>
            </w:pPr>
            <w:r>
              <w:rPr>
                <w:sz w:val="20"/>
                <w:szCs w:val="20"/>
              </w:rPr>
              <w:t>Sydney ist am teuersten und bietet die meisten Jobs; Melbourne ist beim Kauf inzwischen die günstigste der vier großen Städte; Perth und Adelaide zahlen in Bergbau und Verteidigung Spitzengehälter.</w:t>
            </w:r>
          </w:p>
          <w:p w14:paraId="70A4F2E8" w14:textId="77777777" w:rsidR="00C1548D" w:rsidRDefault="009B1B4B" w:rsidP="009B1B4B">
            <w:pPr>
              <w:pStyle w:val="ListParagraph"/>
              <w:numPr>
                <w:ilvl w:val="0"/>
                <w:numId w:val="1"/>
              </w:numPr>
              <w:spacing w:after="50" w:line="264" w:lineRule="auto"/>
            </w:pPr>
            <w:r>
              <w:rPr>
                <w:sz w:val="20"/>
                <w:szCs w:val="20"/>
              </w:rPr>
              <w:t>Jede Stadt trägt ihr eigenes Naturgefahren-Profil – Buschfeuer, Flusshochwasser oder beides –, das du vor dem Kauf mit einer Versicherung klärst, nicht danach.</w:t>
            </w:r>
          </w:p>
        </w:tc>
      </w:tr>
    </w:tbl>
    <w:p w14:paraId="70A4F2EA" w14:textId="77777777" w:rsidR="00C1548D" w:rsidRDefault="00C1548D">
      <w:pPr>
        <w:spacing w:line="220" w:lineRule="exact"/>
      </w:pPr>
    </w:p>
    <w:p w14:paraId="70A4F2EB" w14:textId="77777777" w:rsidR="00C1548D" w:rsidRDefault="009B1B4B">
      <w:pPr>
        <w:pStyle w:val="Heading3"/>
        <w:keepNext/>
        <w:jc w:val="center"/>
      </w:pPr>
      <w:r>
        <w:rPr>
          <w:rFonts w:ascii="Amazon Ember" w:eastAsia="Amazon Ember" w:hAnsi="Amazon Ember" w:cs="Amazon Ember"/>
          <w:color w:val="0000FF"/>
          <w:sz w:val="36"/>
          <w:szCs w:val="36"/>
        </w:rPr>
        <w:t>Mieten: Bond, Besichtigung, Vertrag</w:t>
      </w:r>
    </w:p>
    <w:p w14:paraId="70A4F2EC" w14:textId="77777777" w:rsidR="00C1548D" w:rsidRDefault="009B1B4B">
      <w:pPr>
        <w:spacing w:after="140"/>
      </w:pPr>
      <w:r>
        <w:t>Die Wohnungssuche läuft fast ausschließlich online, allen voran über die Portale Domain und realestate.com.au – funktional vergleichbar mit deutschen Immobilienportalen, nur mit mehr Fotos vom Garten und weniger Angaben zur Heizungsart. Statt Einzelterminen gibt es meist offene Besichtigungen (</w:t>
      </w:r>
      <w:r>
        <w:rPr>
          <w:i/>
          <w:iCs/>
        </w:rPr>
        <w:t>Open for Inspection</w:t>
      </w:r>
      <w:r>
        <w:t>),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w:t>
      </w:r>
      <w:r>
        <w:rPr>
          <w:i/>
          <w:iCs/>
        </w:rPr>
        <w:t>Property Manager</w:t>
      </w:r>
      <w:r>
        <w:t xml:space="preserve">, die für den Eigentümer die </w:t>
      </w:r>
      <w:r>
        <w:lastRenderedPageBreak/>
        <w:t>Vermietung abwickelt) noch am selben Tag. Der Eigentümer zahlt die Vermittlungsprovision, nicht der Mieter – anders als bei vielen deutschen Maklerwohnungen.</w:t>
      </w:r>
    </w:p>
    <w:p w14:paraId="70A4F2ED" w14:textId="77777777" w:rsidR="00C1548D" w:rsidRDefault="009B1B4B">
      <w:pPr>
        <w:spacing w:after="140"/>
      </w:pPr>
      <w:r>
        <w:t xml:space="preserve">Bei der Wohnungsart lohnt ein zweiter Blick auf die Bezeichnung: Ein </w:t>
      </w:r>
      <w:r>
        <w:rPr>
          <w:i/>
          <w:iCs/>
        </w:rPr>
        <w:t>House</w:t>
      </w:r>
      <w:r>
        <w:t xml:space="preserve"> ist ein frei- oder aneinandergebautes Einfamilienhaus mit eigenem Garten, eine </w:t>
      </w:r>
      <w:r>
        <w:rPr>
          <w:i/>
          <w:iCs/>
        </w:rPr>
        <w:t>Townhouse</w:t>
      </w:r>
      <w:r>
        <w:t xml:space="preserve"> ein Reihenhaus, eine </w:t>
      </w:r>
      <w:r>
        <w:rPr>
          <w:i/>
          <w:iCs/>
        </w:rPr>
        <w:t>Unit</w:t>
      </w:r>
      <w:r>
        <w:t xml:space="preserve"> oder </w:t>
      </w:r>
      <w:r>
        <w:rPr>
          <w:i/>
          <w:iCs/>
        </w:rPr>
        <w:t>Apartment</w:t>
      </w:r>
      <w:r>
        <w:t xml:space="preserve"> eine Eigentumswohnung in einem Mehrfamilienhaus. Die Zahl der Schlafzimmer steht meist direkt im Inserat („3-bed, 2-bath“); Wohn- und Esszimmer zählen, wie im US-Teil dieses Buches beschrieben, nicht mit.</w:t>
      </w:r>
    </w:p>
    <w:p w14:paraId="70A4F2EE" w14:textId="77777777" w:rsidR="00C1548D" w:rsidRDefault="009B1B4B">
      <w:pPr>
        <w:spacing w:after="140"/>
      </w:pPr>
      <w:r>
        <w:t>Die Kaution (</w:t>
      </w:r>
      <w:r>
        <w:rPr>
          <w:i/>
          <w:iCs/>
        </w:rPr>
        <w:t>Bond</w:t>
      </w:r>
      <w:r>
        <w:t>)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 in New South Wales etwa Rental Bonds Online von NSW Fair Trading –, die sie bis zum Auszug treuhänderisch verwahrt. Ein Streit über die Rückzahlung landet damit vor einer Behörde, nicht in ei</w:t>
      </w:r>
      <w:r>
        <w:t>ner stillen Absprache zwischen Mieter und Vermieter. Mietverträge laufen meist sechs bis zwölf Monate; danach folgt entweder eine Verlängerung oder ein formloser Zeitmietvertrag (</w:t>
      </w:r>
      <w:r>
        <w:rPr>
          <w:i/>
          <w:iCs/>
        </w:rPr>
        <w:t>Periodic Lease</w:t>
      </w:r>
      <w:r>
        <w:t>), der mit einer Kündigungsfrist beider Seiten endet.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F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2EF" w14:textId="77777777" w:rsidR="00C1548D" w:rsidRDefault="009B1B4B">
            <w:pPr>
              <w:keepNext/>
              <w:spacing w:after="70" w:line="240" w:lineRule="auto"/>
            </w:pPr>
            <w:r>
              <w:rPr>
                <w:b/>
                <w:bCs/>
                <w:color w:val="9B2C2C"/>
                <w:spacing w:val="24"/>
                <w:sz w:val="16"/>
                <w:szCs w:val="16"/>
              </w:rPr>
              <w:t>ACHTUNG</w:t>
            </w:r>
          </w:p>
          <w:p w14:paraId="70A4F2F0" w14:textId="77777777" w:rsidR="00C1548D" w:rsidRDefault="009B1B4B">
            <w:pPr>
              <w:spacing w:after="80" w:line="264" w:lineRule="auto"/>
            </w:pPr>
            <w:r>
              <w:rPr>
                <w:sz w:val="20"/>
                <w:szCs w:val="20"/>
              </w:rPr>
              <w:t>Der Mietmarkt ist 2026 in allen Landeshauptstädten auf Rekordniveau, Sydney mit Abstand am teuersten. Wer sich bewirbt, sollte alle Unterlagen vorbereitet haben, bevor die Besichtigung überhaupt beginnt: Wartezeiten von mehreren Wochen bis zur Zusage sind selten – meist ist eine gefragte Wohnung binnen weniger Tage vergeben, manchmal noch am Tag der Besichtigung.</w:t>
            </w:r>
          </w:p>
        </w:tc>
      </w:tr>
    </w:tbl>
    <w:p w14:paraId="70A4F2F2"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F5"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2F3" w14:textId="77777777" w:rsidR="00C1548D" w:rsidRDefault="009B1B4B">
            <w:pPr>
              <w:keepNext/>
              <w:spacing w:after="70" w:line="240" w:lineRule="auto"/>
            </w:pPr>
            <w:r>
              <w:rPr>
                <w:b/>
                <w:bCs/>
                <w:color w:val="2F6B3B"/>
                <w:spacing w:val="24"/>
                <w:sz w:val="16"/>
                <w:szCs w:val="16"/>
              </w:rPr>
              <w:lastRenderedPageBreak/>
              <w:t>SPARTIPP</w:t>
            </w:r>
          </w:p>
          <w:p w14:paraId="70A4F2F4" w14:textId="77777777" w:rsidR="00C1548D" w:rsidRDefault="009B1B4B">
            <w:pPr>
              <w:spacing w:after="80" w:line="264" w:lineRule="auto"/>
            </w:pPr>
            <w:r>
              <w:rPr>
                <w:sz w:val="20"/>
                <w:szCs w:val="20"/>
              </w:rPr>
              <w:t>In Melbourne ist die Miete für Häuser inzwischen günstiger als für Wohnungen (rund 580 AUD gegenüber 600 AUD pro Woche) – ungewöhnlich im Städtevergleich und leicht zu übersehen. Vergleiche beide Wohnungstypen, statt dich vorab auf einen festzulegen; die erste Preisspanne im Kopf stimmt nicht überall.</w:t>
            </w:r>
          </w:p>
        </w:tc>
      </w:tr>
    </w:tbl>
    <w:p w14:paraId="70A4F2F6"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2F9"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2F7" w14:textId="77777777" w:rsidR="00C1548D" w:rsidRDefault="009B1B4B">
            <w:pPr>
              <w:keepNext/>
              <w:spacing w:after="70" w:line="240" w:lineRule="auto"/>
            </w:pPr>
            <w:r>
              <w:rPr>
                <w:b/>
                <w:bCs/>
                <w:color w:val="4A5568"/>
                <w:spacing w:val="24"/>
                <w:sz w:val="16"/>
                <w:szCs w:val="16"/>
              </w:rPr>
              <w:t>PRAXISBEISPIEL · FIKTIV</w:t>
            </w:r>
          </w:p>
          <w:p w14:paraId="70A4F2F8" w14:textId="77777777" w:rsidR="00C1548D" w:rsidRDefault="009B1B4B">
            <w:pPr>
              <w:spacing w:after="80" w:line="264" w:lineRule="auto"/>
            </w:pPr>
            <w:r>
              <w:rPr>
                <w:sz w:val="20"/>
                <w:szCs w:val="20"/>
              </w:rPr>
              <w:t>Nina Voss (fiktives Beispiel) kommt mit einem Working-Holiday-Visum (417) nach Sydney und sucht ein WG-Zimmer in Bondi. Bei der ersten offenen Besichtigung stehen vierzehn weitere Bewerber im Flur; die Zusage kommt noch am selben Abend per E-Mail, weil Nina Gehaltsnachweise, ein Empfehlungsschreiben ihrer Hamburger Vermieterin und einen Ausweis schon vorbereitet hochgeladen hatte. Die Kaution von vier Wochen Miete überweist sie nicht an ihre Mitbewohnerin, sondern über Rental Bonds Online direkt an die Kaut</w:t>
            </w:r>
            <w:r>
              <w:rPr>
                <w:sz w:val="20"/>
                <w:szCs w:val="20"/>
              </w:rPr>
              <w:t>ionsstelle von New South Wales. Ein Jahr später bekommt sie über ihren neuen Arbeitgeber ein Skilled-Visum und zieht in eine eigene Einzimmerwohnung – und lernt dabei, wie stark allein der Sprung vom WG-Zimmer zur eigenen Wohnung die Miete verändert.</w:t>
            </w:r>
          </w:p>
        </w:tc>
      </w:tr>
    </w:tbl>
    <w:p w14:paraId="70A4F2FA" w14:textId="77777777" w:rsidR="00C1548D" w:rsidRDefault="00C1548D">
      <w:pPr>
        <w:spacing w:line="220" w:lineRule="exact"/>
      </w:pPr>
    </w:p>
    <w:p w14:paraId="70A4F2FB" w14:textId="77777777" w:rsidR="00C1548D" w:rsidRDefault="009B1B4B">
      <w:pPr>
        <w:pStyle w:val="Heading3"/>
        <w:keepNext/>
        <w:jc w:val="center"/>
      </w:pPr>
      <w:r>
        <w:rPr>
          <w:rFonts w:ascii="Amazon Ember" w:eastAsia="Amazon Ember" w:hAnsi="Amazon Ember" w:cs="Amazon Ember"/>
          <w:color w:val="0000FF"/>
          <w:sz w:val="36"/>
          <w:szCs w:val="36"/>
        </w:rPr>
        <w:t>Kaufen: Stamp Duty, FIRB und Permanent Residence</w:t>
      </w:r>
    </w:p>
    <w:p w14:paraId="70A4F2FC" w14:textId="77777777" w:rsidR="00C1548D" w:rsidRDefault="009B1B4B">
      <w:pPr>
        <w:spacing w:after="140"/>
      </w:pPr>
      <w:r>
        <w:t>Der Kauf selbst läuft anders ab als in Deutschland: Es gibt keinen Notartermin, sondern eine auf Immobilienrecht spezialisierte Fachperson (</w:t>
      </w:r>
      <w:r>
        <w:rPr>
          <w:i/>
          <w:iCs/>
        </w:rPr>
        <w:t>Conveyancer</w:t>
      </w:r>
      <w:r>
        <w:t>, teils auch ein Anwalt), die den Vertrag prüft, Grundbuchauszüge einholt und die Übergabe (</w:t>
      </w:r>
      <w:r>
        <w:rPr>
          <w:i/>
          <w:iCs/>
        </w:rPr>
        <w:t>Settlement</w:t>
      </w:r>
      <w:r>
        <w:t>) abwickelt. Häuser werden entweder freihändig verkauft (</w:t>
      </w:r>
      <w:r>
        <w:rPr>
          <w:i/>
          <w:iCs/>
        </w:rPr>
        <w:t>Private Treaty</w:t>
      </w:r>
      <w:r>
        <w:t>, mit Verhandlung wie in Deutschland) oder öffentlich versteigert (</w:t>
      </w:r>
      <w:r>
        <w:rPr>
          <w:i/>
          <w:iCs/>
        </w:rPr>
        <w:t>Auction</w:t>
      </w:r>
      <w:r>
        <w:t xml:space="preserve">) –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w:t>
      </w:r>
      <w:r>
        <w:lastRenderedPageBreak/>
        <w:t>üblicherweise eine gesetzliche Rücktrittsfrist (</w:t>
      </w:r>
      <w:r>
        <w:rPr>
          <w:i/>
          <w:iCs/>
        </w:rPr>
        <w:t>Cooling-off Period</w:t>
      </w:r>
      <w:r>
        <w:t>) von wenigen Werktagen nach Vertragsunterzeichnung – in New South Wales fünf Werktage –, in der ein Rücktritt nur gegen eine kleine Vertragsstrafe möglich ist; die genaue Frist und Strafe regelt jeder Bundesstaat anders. Üblich ist eine Anzahlung von rund 10 % des Kaufpreises bei Vertragsunterzeichnung, die eine Treuhandstelle bis zur Übergabe verwahrt.</w:t>
      </w:r>
    </w:p>
    <w:p w14:paraId="70A4F2FD" w14:textId="77777777" w:rsidR="00C1548D" w:rsidRDefault="009B1B4B">
      <w:pPr>
        <w:spacing w:after="140"/>
      </w:pPr>
      <w:r>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w:t>
      </w:r>
      <w:r>
        <w:rPr>
          <w:i/>
          <w:iCs/>
        </w:rPr>
        <w:t>Mortgage Broker</w:t>
      </w:r>
      <w:r>
        <w:t>) nach den konkreten Bedingungen für deinen Visumtyp, bevor du dich in eine Auktion mit fester Kaufabsicht begibst.</w:t>
      </w:r>
    </w:p>
    <w:p w14:paraId="70A4F2FE" w14:textId="77777777" w:rsidR="00C1548D" w:rsidRDefault="009B1B4B">
      <w:pPr>
        <w:spacing w:after="140"/>
      </w:pPr>
      <w:r>
        <w:t>Für ausländische Käufer kommt seit dem 1. April 2025 eine deutliche Hürde hinzu: Ausländer und Inhaber befristeter Visa dürfen bis mindestens 30. Juni 2029 keine Bestandsimmobilien (</w:t>
      </w:r>
      <w:r>
        <w:rPr>
          <w:i/>
          <w:iCs/>
        </w:rPr>
        <w:t>Established Dwellings</w:t>
      </w:r>
      <w:r>
        <w:t>) mehr kaufen – ein Verbot, das die australische Prüfbehörde für Auslandsinvestitionen (</w:t>
      </w:r>
      <w:r>
        <w:rPr>
          <w:i/>
          <w:iCs/>
        </w:rPr>
        <w:t>Foreign Investment Review Board</w:t>
      </w:r>
      <w:r>
        <w:t>, FIRB) durchsetzt.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w:t>
      </w:r>
      <w:r>
        <w:t>s 3 Mio. AUD).</w:t>
      </w:r>
    </w:p>
    <w:p w14:paraId="70A4F2FF" w14:textId="77777777" w:rsidR="00C1548D" w:rsidRDefault="009B1B4B">
      <w:pPr>
        <w:spacing w:after="140"/>
      </w:pPr>
      <w:r>
        <w:t>Zusätzlich erhebt jeder Bundesstaat beim Immobilienkauf eine gestaffelte Grunderwerbsteuer (</w:t>
      </w:r>
      <w:r>
        <w:rPr>
          <w:i/>
          <w:iCs/>
        </w:rPr>
        <w:t>Stamp Duty</w:t>
      </w:r>
      <w:r>
        <w:t xml:space="preserve">); wer nicht australischer Staatsbürger oder Permanent Resident ist, zahlt obendrauf einen Foreign-Buyer-Zuschlag auf den vollen Kaufpreis: 9 % in New South </w:t>
      </w:r>
      <w:r>
        <w:lastRenderedPageBreak/>
        <w:t>Wales, 8 % in Victoria, Tasmanien und Queensland, 7 % in Western Australia und South Australia (Stand 2026). Bei einem Haus für 900.000 AUD in Sydney sind das allein 81.000 AUD obendrein zur regulären Steuer.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0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300" w14:textId="77777777" w:rsidR="00C1548D" w:rsidRDefault="009B1B4B">
            <w:pPr>
              <w:keepNext/>
              <w:spacing w:after="70" w:line="240" w:lineRule="auto"/>
            </w:pPr>
            <w:r>
              <w:rPr>
                <w:b/>
                <w:bCs/>
                <w:color w:val="8A6212"/>
                <w:spacing w:val="24"/>
                <w:sz w:val="16"/>
                <w:szCs w:val="16"/>
              </w:rPr>
              <w:t>MERKE</w:t>
            </w:r>
          </w:p>
          <w:p w14:paraId="70A4F301" w14:textId="77777777" w:rsidR="00C1548D" w:rsidRDefault="009B1B4B">
            <w:pPr>
              <w:spacing w:after="80" w:line="264" w:lineRule="auto"/>
            </w:pPr>
            <w:r>
              <w:rPr>
                <w:sz w:val="20"/>
                <w:szCs w:val="20"/>
              </w:rPr>
              <w:t xml:space="preserve">Ob du als „foreign person“ giltst, hängt am Visumstatus, nicht am Pass oder an der gefühlten Zugehörigkeit. Wer mit einem Permanent-Visum wie dem Skilled Independent Visa (Subclass 189) einreist, ist von der ersten Sekunde an Permanent Resident – FIRB-Verbot und Stamp-Duty-Zuschlag gelten dann nicht. Wer dagegen mit einem befristeten Skilled-Visum kommt, zählt so lange als „foreign person“, bis eine unbefristete Aufenthaltserlaubnis vorliegt – unabhängig davon, wie lange er schon in Australien lebt oder ob </w:t>
            </w:r>
            <w:r>
              <w:rPr>
                <w:sz w:val="20"/>
                <w:szCs w:val="20"/>
              </w:rPr>
              <w:t>er hier bereits Steuern zahlt.</w:t>
            </w:r>
          </w:p>
        </w:tc>
      </w:tr>
    </w:tbl>
    <w:p w14:paraId="70A4F303"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0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304" w14:textId="77777777" w:rsidR="00C1548D" w:rsidRDefault="009B1B4B">
            <w:pPr>
              <w:keepNext/>
              <w:spacing w:after="70" w:line="240" w:lineRule="auto"/>
            </w:pPr>
            <w:r>
              <w:rPr>
                <w:b/>
                <w:bCs/>
                <w:color w:val="9B2C2C"/>
                <w:spacing w:val="24"/>
                <w:sz w:val="16"/>
                <w:szCs w:val="16"/>
              </w:rPr>
              <w:t>ACHTUNG</w:t>
            </w:r>
          </w:p>
          <w:p w14:paraId="70A4F305" w14:textId="77777777" w:rsidR="00C1548D" w:rsidRDefault="009B1B4B">
            <w:pPr>
              <w:spacing w:after="80" w:line="264" w:lineRule="auto"/>
            </w:pPr>
            <w:r>
              <w:rPr>
                <w:sz w:val="20"/>
                <w:szCs w:val="20"/>
              </w:rPr>
              <w:t>Verstöße gegen das FIRB-Verbot sind kein Kavaliersdelikt – die Behörde kann den Kauf rückabwickeln lassen. Prüfe vor jedem Gebot oder jeder Unterschrift, ob die Immobilie unter die Established-Dwelling-Regel fällt und ob dein Visumstatus dich überhaupt zum Kauf berechtigt; im Zweifel klärt das ein auf FIRB spezialisierter Conveyancer oder Anwalt vorab, nicht du selbst im Eifer der Auktion.</w:t>
            </w:r>
          </w:p>
        </w:tc>
      </w:tr>
    </w:tbl>
    <w:p w14:paraId="70A4F307"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0A"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308" w14:textId="77777777" w:rsidR="00C1548D" w:rsidRDefault="009B1B4B">
            <w:pPr>
              <w:keepNext/>
              <w:spacing w:after="70" w:line="240" w:lineRule="auto"/>
            </w:pPr>
            <w:r>
              <w:rPr>
                <w:b/>
                <w:bCs/>
                <w:color w:val="4A5568"/>
                <w:spacing w:val="24"/>
                <w:sz w:val="16"/>
                <w:szCs w:val="16"/>
              </w:rPr>
              <w:t>PRAXISBEISPIEL · FIKTIV</w:t>
            </w:r>
          </w:p>
          <w:p w14:paraId="70A4F309" w14:textId="77777777" w:rsidR="00C1548D" w:rsidRDefault="009B1B4B">
            <w:pPr>
              <w:spacing w:after="80" w:line="264" w:lineRule="auto"/>
            </w:pPr>
            <w:r>
              <w:rPr>
                <w:sz w:val="20"/>
                <w:szCs w:val="20"/>
              </w:rPr>
              <w:t>Familie Reinhardt (fiktives Beispiel) zieht mit dem Skilled Independent Visa (Subclass 189) nach Melbourne – und damit von Anfang an mit Permanent Residence. Thomas und Sandra mieten die ersten Monate in Richmond, während sie Schuldistrikte für Emil (10) und Clara (6) vergleichen. Als sie nach einem Jahr ein Reihenhaus für 780.000 AUD kaufen, zahlen sie die reguläre Stamp Duty, aber keinen Foreign-Buyer-Zuschlag und brauchen keine FIRB-Genehmigung. Ein früherer Kollege aus Sandras Krankenhaus, der mit einem</w:t>
            </w:r>
            <w:r>
              <w:rPr>
                <w:sz w:val="20"/>
                <w:szCs w:val="20"/>
              </w:rPr>
              <w:t xml:space="preserve"> befristeten Arbeitgebervisum nach Australien kam, hätte für dasselbe Haus rund 62.400 AUD mehr drauflegen müssen (8 % Zuschlag in Victoria). Der Unterschied liegt allein im Visumtyp, nicht im Einkommen oder in der Aufenthaltsdauer.</w:t>
            </w:r>
          </w:p>
        </w:tc>
      </w:tr>
    </w:tbl>
    <w:p w14:paraId="70A4F30B" w14:textId="77777777" w:rsidR="00C1548D" w:rsidRDefault="00C1548D">
      <w:pPr>
        <w:spacing w:line="220" w:lineRule="exact"/>
      </w:pPr>
    </w:p>
    <w:p w14:paraId="70A4F30C"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besten Orte zum Leben: Klima, Naturgefahren, Kosten, Jobmarkt</w:t>
      </w:r>
    </w:p>
    <w:p w14:paraId="70A4F30D" w14:textId="77777777" w:rsidR="00C1548D" w:rsidRDefault="009B1B4B">
      <w:pPr>
        <w:spacing w:after="140"/>
      </w:pPr>
      <w:r>
        <w:t>Die „beste“ Stadt gibt es nicht – nur die, die zu deinem Beruf, deinem Budget und deiner Risikobereitschaft passt. Verbreiteter Irrtum: „Sydney ist teuer, der Rest ist günstig.“ Tatsächlich haben Perth, Brisbane und Adelaide beim Kaufpreis zuletzt kräftig aufgeholt und liegen inzwischen über Melbourne – Perth allein legte binnen eines Jahres um 15,6 % zu. Was für Deutsche zusätzlich gewöhnungsbedürftig ist: Jede Stadt trägt ihr eigenes Naturgefahren-Risiko – nicht als exotische Randnotiz, sondern als Posten</w:t>
      </w:r>
      <w:r>
        <w:t>, den deine Versicherung jedes Jahr neu bepreist. Rechne über Miete oder Kaufpreis hinaus außerdem mit den üblichen Fixkosten für Auto, Strom und Kinderbetreuung; sie unterscheiden sich zwischen den Städten spürbar weniger stark als Miete und Kaufpreis, gehören aber ebenso in deine Budgetrechnung.</w:t>
      </w:r>
    </w:p>
    <w:p w14:paraId="70A4F30E" w14:textId="77777777" w:rsidR="00C1548D" w:rsidRDefault="009B1B4B">
      <w:pPr>
        <w:spacing w:after="140"/>
      </w:pPr>
      <w:r>
        <w:rPr>
          <w:b/>
          <w:bCs/>
        </w:rPr>
        <w:t>Sydney (New South Wales)</w:t>
      </w:r>
      <w:r>
        <w:t xml:space="preserve"> ist subtropisch-warm, mit heißen, teils schwülen Sommern – und einer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 über 300.000 offene Stellen, Sc</w:t>
      </w:r>
      <w:r>
        <w:t>hwerpunkt Finanzen, IT und Gesundheit, mit besonders starker Nachfrage nach Cybersecurity-Fachkräften.</w:t>
      </w:r>
    </w:p>
    <w:p w14:paraId="70A4F30F" w14:textId="77777777" w:rsidR="00C1548D" w:rsidRDefault="009B1B4B">
      <w:pPr>
        <w:spacing w:after="140"/>
      </w:pPr>
      <w:r>
        <w:rPr>
          <w:b/>
          <w:bCs/>
        </w:rPr>
        <w:t>Melbourne (Victoria)</w:t>
      </w:r>
      <w:r>
        <w:t xml:space="preserve">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w:t>
      </w:r>
      <w:r>
        <w:lastRenderedPageBreak/>
        <w:t xml:space="preserve">(Kaufmedian 786.718 AUD, −4,7 % zum Vorjahr) und wurde damit von Brisbane, Perth </w:t>
      </w:r>
      <w:r>
        <w:t>und Adelaide im Preisniveau überholt – bei Hausmieten mit rund 580 AUD pro Woche ebenfalls am günstigsten, während Wohnungsmieten mit 600 AUD auf Rekordniveau liegen. Der Jobmarkt bietet rund 220.000 Stellen in IT, Gesundheit, Infrastruktur und Kreativwirtschaft, dazu einen etablierten Biotech-Standort.</w:t>
      </w:r>
    </w:p>
    <w:p w14:paraId="70A4F310" w14:textId="77777777" w:rsidR="00C1548D" w:rsidRDefault="009B1B4B">
      <w:pPr>
        <w:spacing w:after="140"/>
      </w:pPr>
      <w:r>
        <w:rPr>
          <w:b/>
          <w:bCs/>
        </w:rPr>
        <w:t>Brisbane (Queensland)</w:t>
      </w:r>
      <w:r>
        <w:t xml:space="preserve"> ist subtropisch, mit heißen, feuchten Sommern und kräftigen Gewittern – und einem Flusshochwasser-Risiko, das zum sonnigen Ruf der Stadt schlecht passt: Die Flut vom Februar 2022 in Südost-Queensland zählt mit rund 9,6 Mrd. AUD Sachschaden zu den schwersten Flutkatastrophen des Landes, dazu kommen gelegentliche Ausläufer tropischer Zyklone aus dem Norden. Mieten liegen bei 700 AUD (Haus) und 660 AUD (Wohnung) pro Woche, beide auf Rekordniveau; der Kaufmedian stieg zuletzt um 10,8 % auf 1.080.142 AUD – der </w:t>
      </w:r>
      <w:r>
        <w:t>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w14:paraId="70A4F311" w14:textId="77777777" w:rsidR="00C1548D" w:rsidRDefault="009B1B4B">
      <w:pPr>
        <w:spacing w:after="140"/>
      </w:pPr>
      <w:r>
        <w:rPr>
          <w:b/>
          <w:bCs/>
        </w:rPr>
        <w:t>Perth (Western Australia)</w:t>
      </w:r>
      <w:r>
        <w:t xml:space="preserve">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 Eisenerz in der Pilbara-Region, dazu bedeutende Goldminen –</w:t>
      </w:r>
      <w:r>
        <w:t xml:space="preserve">, und der anhaltende Mangel an qualifizierten Ingenieuren treibt die Gehälter: Ein </w:t>
      </w:r>
      <w:r>
        <w:rPr>
          <w:i/>
          <w:iCs/>
        </w:rPr>
        <w:t>Mining Engineer</w:t>
      </w:r>
      <w:r>
        <w:t xml:space="preserve"> verdient im Schnitt 155.000 AUD im Jahr, mit </w:t>
      </w:r>
      <w:r>
        <w:rPr>
          <w:i/>
          <w:iCs/>
        </w:rPr>
        <w:t>Fly-in-Fly-out</w:t>
      </w:r>
      <w:r>
        <w:t>-Zulagen (Unterkunft, Verpflegung und Zuschläge für den Wechsel zwischen Wohnort und entlegener Mine) oft 30.000 bis 60.000 AUD mehr.</w:t>
      </w:r>
    </w:p>
    <w:p w14:paraId="70A4F312" w14:textId="77777777" w:rsidR="00C1548D" w:rsidRDefault="009B1B4B">
      <w:pPr>
        <w:spacing w:after="140"/>
      </w:pPr>
      <w:r>
        <w:rPr>
          <w:b/>
          <w:bCs/>
        </w:rPr>
        <w:lastRenderedPageBreak/>
        <w:t>Adelaide (South Australia)</w:t>
      </w:r>
      <w:r>
        <w:t xml:space="preserve"> ist ebenfalls mediterran und verzeichnet den geringsten Jahresniederschlag aller australischen Landeshauptstädte –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w:t>
      </w:r>
      <w:r>
        <w:t>AUD. Der Jobmarkt wächst vor allem in der Verteidigungsindustrie und im Schiffbau: Der Ausbau der Osborne Naval Shipyard soll bis 2030 bis zu 5.000 zusätzliche Stellen in Südaustralien schaffen, gesucht werden vor allem Schweißer, Fertigungsspezialisten und Ingenieure.</w:t>
      </w:r>
    </w:p>
    <w:p w14:paraId="70A4F313" w14:textId="77777777" w:rsidR="00C1548D" w:rsidRDefault="009B1B4B">
      <w:pPr>
        <w:spacing w:after="140"/>
      </w:pPr>
      <w:r>
        <w:rPr>
          <w:b/>
          <w:bCs/>
        </w:rPr>
        <w:t>Canberra (Australian Capital Territory)</w:t>
      </w:r>
      <w:r>
        <w:t xml:space="preserve"> liegt als einzige der sechs Städte nicht an der Küste und hat ein deutlich kontinentaleres Klima: heiße, trockene Sommer, kalte Winter mit Frost. Das Buschfeuerrisiko ist real und historisch belegt –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w:t>
      </w:r>
      <w:r>
        <w:t>ahezu unverändert. Der mit Abstand größte Arbeitgeber ist der australische Bundesöffentliche Dienst, der 2026 allerdings unter Spardruck steht – die Arbeitslosigkeit im Territorium stieg von 3,0 % Ende 2024 auf 4,4 % im Mai 2026. Nachfrage bleibt hoch in Steuer-Compliance, Verteidigung, Energie- und Umweltregulierung sowie Altenpflege.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099"/>
        <w:gridCol w:w="1772"/>
        <w:gridCol w:w="1659"/>
      </w:tblGrid>
      <w:tr w:rsidR="00C1548D" w14:paraId="70A4F318"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314" w14:textId="77777777" w:rsidR="00C1548D" w:rsidRDefault="009B1B4B">
            <w:pPr>
              <w:spacing w:line="250" w:lineRule="auto"/>
            </w:pPr>
            <w:r>
              <w:rPr>
                <w:b/>
                <w:bCs/>
                <w:sz w:val="18"/>
                <w:szCs w:val="18"/>
              </w:rPr>
              <w:t>Stadt</w:t>
            </w:r>
          </w:p>
        </w:tc>
        <w:tc>
          <w:tcPr>
            <w:tcW w:w="209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315" w14:textId="77777777" w:rsidR="00C1548D" w:rsidRDefault="009B1B4B">
            <w:pPr>
              <w:spacing w:line="250" w:lineRule="auto"/>
            </w:pPr>
            <w:r>
              <w:rPr>
                <w:b/>
                <w:bCs/>
                <w:sz w:val="18"/>
                <w:szCs w:val="18"/>
              </w:rPr>
              <w:t>Klima und Naturgefahr</w:t>
            </w:r>
          </w:p>
        </w:tc>
        <w:tc>
          <w:tcPr>
            <w:tcW w:w="177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316" w14:textId="77777777" w:rsidR="00C1548D" w:rsidRDefault="009B1B4B">
            <w:pPr>
              <w:spacing w:line="250" w:lineRule="auto"/>
            </w:pPr>
            <w:r>
              <w:rPr>
                <w:b/>
                <w:bCs/>
                <w:sz w:val="18"/>
                <w:szCs w:val="18"/>
              </w:rPr>
              <w:t>Kosten (Miete Haus/Woche · Kaufmedian)</w:t>
            </w:r>
          </w:p>
        </w:tc>
        <w:tc>
          <w:tcPr>
            <w:tcW w:w="165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317" w14:textId="77777777" w:rsidR="00C1548D" w:rsidRDefault="009B1B4B">
            <w:pPr>
              <w:spacing w:line="250" w:lineRule="auto"/>
            </w:pPr>
            <w:r>
              <w:rPr>
                <w:b/>
                <w:bCs/>
                <w:sz w:val="18"/>
                <w:szCs w:val="18"/>
              </w:rPr>
              <w:t>Jobmarkt-Stärke</w:t>
            </w:r>
          </w:p>
        </w:tc>
      </w:tr>
      <w:tr w:rsidR="00C1548D" w14:paraId="70A4F31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19" w14:textId="77777777" w:rsidR="00C1548D" w:rsidRDefault="009B1B4B">
            <w:pPr>
              <w:spacing w:line="250" w:lineRule="auto"/>
            </w:pPr>
            <w:r>
              <w:rPr>
                <w:sz w:val="18"/>
                <w:szCs w:val="18"/>
              </w:rPr>
              <w:t>Sydney</w:t>
            </w:r>
          </w:p>
        </w:tc>
        <w:tc>
          <w:tcPr>
            <w:tcW w:w="20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1A" w14:textId="77777777" w:rsidR="00C1548D" w:rsidRDefault="009B1B4B">
            <w:pPr>
              <w:spacing w:line="250" w:lineRule="auto"/>
            </w:pPr>
            <w:r>
              <w:rPr>
                <w:sz w:val="18"/>
                <w:szCs w:val="18"/>
              </w:rPr>
              <w:t>subtropisch, Buschfeuer am Stadtrand</w:t>
            </w:r>
          </w:p>
        </w:tc>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1B" w14:textId="77777777" w:rsidR="00C1548D" w:rsidRDefault="009B1B4B">
            <w:pPr>
              <w:spacing w:line="250" w:lineRule="auto"/>
            </w:pPr>
            <w:r>
              <w:rPr>
                <w:sz w:val="18"/>
                <w:szCs w:val="18"/>
              </w:rPr>
              <w:t>850 AUD · 1.222.718 AUD</w:t>
            </w:r>
          </w:p>
        </w:tc>
        <w:tc>
          <w:tcPr>
            <w:tcW w:w="1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1C" w14:textId="77777777" w:rsidR="00C1548D" w:rsidRDefault="009B1B4B">
            <w:pPr>
              <w:spacing w:line="250" w:lineRule="auto"/>
            </w:pPr>
            <w:r>
              <w:rPr>
                <w:sz w:val="18"/>
                <w:szCs w:val="18"/>
              </w:rPr>
              <w:t>Finanzen, IT, Cybersecurity</w:t>
            </w:r>
          </w:p>
        </w:tc>
      </w:tr>
      <w:tr w:rsidR="00C1548D" w14:paraId="70A4F32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1E" w14:textId="77777777" w:rsidR="00C1548D" w:rsidRDefault="009B1B4B">
            <w:pPr>
              <w:spacing w:line="250" w:lineRule="auto"/>
            </w:pPr>
            <w:r>
              <w:rPr>
                <w:sz w:val="18"/>
                <w:szCs w:val="18"/>
              </w:rPr>
              <w:t>Melbourne</w:t>
            </w:r>
          </w:p>
        </w:tc>
        <w:tc>
          <w:tcPr>
            <w:tcW w:w="20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1F" w14:textId="77777777" w:rsidR="00C1548D" w:rsidRDefault="009B1B4B">
            <w:pPr>
              <w:spacing w:line="250" w:lineRule="auto"/>
            </w:pPr>
            <w:r>
              <w:rPr>
                <w:sz w:val="18"/>
                <w:szCs w:val="18"/>
              </w:rPr>
              <w:t>ozeanisch, wechselhaft, Hitzewellen im Umland</w:t>
            </w:r>
          </w:p>
        </w:tc>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0" w14:textId="77777777" w:rsidR="00C1548D" w:rsidRDefault="009B1B4B">
            <w:pPr>
              <w:spacing w:line="250" w:lineRule="auto"/>
            </w:pPr>
            <w:r>
              <w:rPr>
                <w:sz w:val="18"/>
                <w:szCs w:val="18"/>
              </w:rPr>
              <w:t>580 AUD · 786.718 AUD</w:t>
            </w:r>
          </w:p>
        </w:tc>
        <w:tc>
          <w:tcPr>
            <w:tcW w:w="1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1" w14:textId="77777777" w:rsidR="00C1548D" w:rsidRDefault="009B1B4B">
            <w:pPr>
              <w:spacing w:line="250" w:lineRule="auto"/>
            </w:pPr>
            <w:r>
              <w:rPr>
                <w:sz w:val="18"/>
                <w:szCs w:val="18"/>
              </w:rPr>
              <w:t>Tech, Gesundheit, Kreativwirtschaft</w:t>
            </w:r>
          </w:p>
        </w:tc>
      </w:tr>
      <w:tr w:rsidR="00C1548D" w14:paraId="70A4F32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3" w14:textId="77777777" w:rsidR="00C1548D" w:rsidRDefault="009B1B4B">
            <w:pPr>
              <w:spacing w:line="250" w:lineRule="auto"/>
            </w:pPr>
            <w:r>
              <w:rPr>
                <w:sz w:val="18"/>
                <w:szCs w:val="18"/>
              </w:rPr>
              <w:lastRenderedPageBreak/>
              <w:t>Brisbane</w:t>
            </w:r>
          </w:p>
        </w:tc>
        <w:tc>
          <w:tcPr>
            <w:tcW w:w="20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4" w14:textId="77777777" w:rsidR="00C1548D" w:rsidRDefault="009B1B4B">
            <w:pPr>
              <w:spacing w:line="250" w:lineRule="auto"/>
            </w:pPr>
            <w:r>
              <w:rPr>
                <w:sz w:val="18"/>
                <w:szCs w:val="18"/>
              </w:rPr>
              <w:t>subtropisch, Flusshochwasser, Zyklonausläufer</w:t>
            </w:r>
          </w:p>
        </w:tc>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5" w14:textId="77777777" w:rsidR="00C1548D" w:rsidRDefault="009B1B4B">
            <w:pPr>
              <w:spacing w:line="250" w:lineRule="auto"/>
            </w:pPr>
            <w:r>
              <w:rPr>
                <w:sz w:val="18"/>
                <w:szCs w:val="18"/>
              </w:rPr>
              <w:t>700 AUD · 1.080.142 AUD</w:t>
            </w:r>
          </w:p>
        </w:tc>
        <w:tc>
          <w:tcPr>
            <w:tcW w:w="1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6" w14:textId="77777777" w:rsidR="00C1548D" w:rsidRDefault="009B1B4B">
            <w:pPr>
              <w:spacing w:line="250" w:lineRule="auto"/>
            </w:pPr>
            <w:r>
              <w:rPr>
                <w:sz w:val="18"/>
                <w:szCs w:val="18"/>
              </w:rPr>
              <w:t>Bauboom Olympia 2032</w:t>
            </w:r>
          </w:p>
        </w:tc>
      </w:tr>
      <w:tr w:rsidR="00C1548D" w14:paraId="70A4F32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8" w14:textId="77777777" w:rsidR="00C1548D" w:rsidRDefault="009B1B4B">
            <w:pPr>
              <w:spacing w:line="250" w:lineRule="auto"/>
            </w:pPr>
            <w:r>
              <w:rPr>
                <w:sz w:val="18"/>
                <w:szCs w:val="18"/>
              </w:rPr>
              <w:t>Perth</w:t>
            </w:r>
          </w:p>
        </w:tc>
        <w:tc>
          <w:tcPr>
            <w:tcW w:w="20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9" w14:textId="77777777" w:rsidR="00C1548D" w:rsidRDefault="009B1B4B">
            <w:pPr>
              <w:spacing w:line="250" w:lineRule="auto"/>
            </w:pPr>
            <w:r>
              <w:rPr>
                <w:sz w:val="18"/>
                <w:szCs w:val="18"/>
              </w:rPr>
              <w:t>mediterran, Buschfeuer jeden Sommer</w:t>
            </w:r>
          </w:p>
        </w:tc>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A" w14:textId="77777777" w:rsidR="00C1548D" w:rsidRDefault="009B1B4B">
            <w:pPr>
              <w:spacing w:line="250" w:lineRule="auto"/>
            </w:pPr>
            <w:r>
              <w:rPr>
                <w:sz w:val="18"/>
                <w:szCs w:val="18"/>
              </w:rPr>
              <w:t>750 AUD · 999.987 AUD</w:t>
            </w:r>
          </w:p>
        </w:tc>
        <w:tc>
          <w:tcPr>
            <w:tcW w:w="1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B" w14:textId="77777777" w:rsidR="00C1548D" w:rsidRDefault="009B1B4B">
            <w:pPr>
              <w:spacing w:line="250" w:lineRule="auto"/>
            </w:pPr>
            <w:r>
              <w:rPr>
                <w:sz w:val="18"/>
                <w:szCs w:val="18"/>
              </w:rPr>
              <w:t>Bergbau (Pilbara, Gold)</w:t>
            </w:r>
          </w:p>
        </w:tc>
      </w:tr>
      <w:tr w:rsidR="00C1548D" w14:paraId="70A4F33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D" w14:textId="77777777" w:rsidR="00C1548D" w:rsidRDefault="009B1B4B">
            <w:pPr>
              <w:spacing w:line="250" w:lineRule="auto"/>
            </w:pPr>
            <w:r>
              <w:rPr>
                <w:sz w:val="18"/>
                <w:szCs w:val="18"/>
              </w:rPr>
              <w:t>Adelaide</w:t>
            </w:r>
          </w:p>
        </w:tc>
        <w:tc>
          <w:tcPr>
            <w:tcW w:w="20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E" w14:textId="77777777" w:rsidR="00C1548D" w:rsidRDefault="009B1B4B">
            <w:pPr>
              <w:spacing w:line="250" w:lineRule="auto"/>
            </w:pPr>
            <w:r>
              <w:rPr>
                <w:sz w:val="18"/>
                <w:szCs w:val="18"/>
              </w:rPr>
              <w:t>mediterran, trockenste Hauptstadt</w:t>
            </w:r>
          </w:p>
        </w:tc>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2F" w14:textId="77777777" w:rsidR="00C1548D" w:rsidRDefault="009B1B4B">
            <w:pPr>
              <w:spacing w:line="250" w:lineRule="auto"/>
            </w:pPr>
            <w:r>
              <w:rPr>
                <w:sz w:val="18"/>
                <w:szCs w:val="18"/>
              </w:rPr>
              <w:t>650 AUD · 937.207 AUD</w:t>
            </w:r>
          </w:p>
        </w:tc>
        <w:tc>
          <w:tcPr>
            <w:tcW w:w="1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30" w14:textId="77777777" w:rsidR="00C1548D" w:rsidRDefault="009B1B4B">
            <w:pPr>
              <w:spacing w:line="250" w:lineRule="auto"/>
            </w:pPr>
            <w:r>
              <w:rPr>
                <w:sz w:val="18"/>
                <w:szCs w:val="18"/>
              </w:rPr>
              <w:t>Verteidigung, Schiffbau</w:t>
            </w:r>
          </w:p>
        </w:tc>
      </w:tr>
      <w:tr w:rsidR="00C1548D" w14:paraId="70A4F33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32" w14:textId="77777777" w:rsidR="00C1548D" w:rsidRDefault="009B1B4B">
            <w:pPr>
              <w:spacing w:line="250" w:lineRule="auto"/>
            </w:pPr>
            <w:r>
              <w:rPr>
                <w:sz w:val="18"/>
                <w:szCs w:val="18"/>
              </w:rPr>
              <w:t>Canberra</w:t>
            </w:r>
          </w:p>
        </w:tc>
        <w:tc>
          <w:tcPr>
            <w:tcW w:w="20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33" w14:textId="77777777" w:rsidR="00C1548D" w:rsidRDefault="009B1B4B">
            <w:pPr>
              <w:spacing w:line="250" w:lineRule="auto"/>
            </w:pPr>
            <w:r>
              <w:rPr>
                <w:sz w:val="18"/>
                <w:szCs w:val="18"/>
              </w:rPr>
              <w:t>kontinental-binnenländisch, Buschfeuer (2003)</w:t>
            </w:r>
          </w:p>
        </w:tc>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34" w14:textId="77777777" w:rsidR="00C1548D" w:rsidRDefault="009B1B4B">
            <w:pPr>
              <w:spacing w:line="250" w:lineRule="auto"/>
            </w:pPr>
            <w:r>
              <w:rPr>
                <w:sz w:val="18"/>
                <w:szCs w:val="18"/>
              </w:rPr>
              <w:t>700 AUD · 864.998 AUD</w:t>
            </w:r>
          </w:p>
        </w:tc>
        <w:tc>
          <w:tcPr>
            <w:tcW w:w="16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35" w14:textId="77777777" w:rsidR="00C1548D" w:rsidRDefault="009B1B4B">
            <w:pPr>
              <w:spacing w:line="250" w:lineRule="auto"/>
            </w:pPr>
            <w:r>
              <w:rPr>
                <w:sz w:val="18"/>
                <w:szCs w:val="18"/>
              </w:rPr>
              <w:t>Bundesverwaltung</w:t>
            </w:r>
          </w:p>
        </w:tc>
      </w:tr>
    </w:tbl>
    <w:p w14:paraId="70A4F337"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3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338" w14:textId="77777777" w:rsidR="00C1548D" w:rsidRDefault="009B1B4B">
            <w:pPr>
              <w:keepNext/>
              <w:spacing w:after="70" w:line="240" w:lineRule="auto"/>
            </w:pPr>
            <w:r>
              <w:rPr>
                <w:b/>
                <w:bCs/>
                <w:color w:val="9B2C2C"/>
                <w:spacing w:val="24"/>
                <w:sz w:val="16"/>
                <w:szCs w:val="16"/>
              </w:rPr>
              <w:t>ACHTUNG</w:t>
            </w:r>
          </w:p>
          <w:p w14:paraId="70A4F339" w14:textId="77777777" w:rsidR="00C1548D" w:rsidRDefault="009B1B4B">
            <w:pPr>
              <w:spacing w:after="80" w:line="264" w:lineRule="auto"/>
            </w:pPr>
            <w:r>
              <w:rPr>
                <w:sz w:val="20"/>
                <w:szCs w:val="20"/>
              </w:rPr>
              <w:t>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 nicht erst danach, wenn der Vertrag schon unterschrieben ist.</w:t>
            </w:r>
          </w:p>
        </w:tc>
      </w:tr>
    </w:tbl>
    <w:p w14:paraId="70A4F33B" w14:textId="77777777" w:rsidR="00C1548D" w:rsidRDefault="00C1548D">
      <w:pPr>
        <w:spacing w:line="220" w:lineRule="exact"/>
      </w:pPr>
    </w:p>
    <w:p w14:paraId="70A4F33C"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33F"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33D"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33E" w14:textId="77777777" w:rsidR="00C1548D" w:rsidRDefault="009B1B4B">
            <w:pPr>
              <w:spacing w:line="250" w:lineRule="auto"/>
            </w:pPr>
            <w:r>
              <w:rPr>
                <w:b/>
                <w:bCs/>
                <w:sz w:val="18"/>
                <w:szCs w:val="18"/>
              </w:rPr>
              <w:t>Minus</w:t>
            </w:r>
          </w:p>
        </w:tc>
      </w:tr>
      <w:tr w:rsidR="00C1548D" w14:paraId="70A4F34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40" w14:textId="77777777" w:rsidR="00C1548D" w:rsidRDefault="009B1B4B">
            <w:pPr>
              <w:spacing w:line="250" w:lineRule="auto"/>
            </w:pPr>
            <w:r>
              <w:rPr>
                <w:sz w:val="18"/>
                <w:szCs w:val="18"/>
              </w:rPr>
              <w:t>Kaution liegt treuhänderisch bei einer Behörde, nicht beim Vermieter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41" w14:textId="77777777" w:rsidR="00C1548D" w:rsidRDefault="009B1B4B">
            <w:pPr>
              <w:spacing w:line="250" w:lineRule="auto"/>
            </w:pPr>
            <w:r>
              <w:rPr>
                <w:sz w:val="18"/>
                <w:szCs w:val="18"/>
              </w:rPr>
              <w:t>Mietmarkt in allen Hauptstädten auf Rekordniveau, hohe Konkurrenz bei Besichtigungen</w:t>
            </w:r>
          </w:p>
        </w:tc>
      </w:tr>
      <w:tr w:rsidR="00C1548D" w14:paraId="70A4F34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43" w14:textId="77777777" w:rsidR="00C1548D" w:rsidRDefault="009B1B4B">
            <w:pPr>
              <w:spacing w:line="250" w:lineRule="auto"/>
            </w:pPr>
            <w:r>
              <w:rPr>
                <w:sz w:val="18"/>
                <w:szCs w:val="18"/>
              </w:rPr>
              <w:t>Permanent-Resident-Visa wie Subclass 189 sparen sofort Stamp-Duty-Zuschlag und FIRB-Aufwand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44" w14:textId="77777777" w:rsidR="00C1548D" w:rsidRDefault="009B1B4B">
            <w:pPr>
              <w:spacing w:line="250" w:lineRule="auto"/>
            </w:pPr>
            <w:r>
              <w:rPr>
                <w:sz w:val="18"/>
                <w:szCs w:val="18"/>
              </w:rPr>
              <w:t>Befristete Visa-Inhaber dürfen bis mindestens 2029 kaum Bestandsimmobilien kaufen</w:t>
            </w:r>
          </w:p>
        </w:tc>
      </w:tr>
      <w:tr w:rsidR="00C1548D" w14:paraId="70A4F34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46" w14:textId="77777777" w:rsidR="00C1548D" w:rsidRDefault="009B1B4B">
            <w:pPr>
              <w:spacing w:line="250" w:lineRule="auto"/>
            </w:pPr>
            <w:r>
              <w:rPr>
                <w:sz w:val="18"/>
                <w:szCs w:val="18"/>
              </w:rPr>
              <w:t>Melbourne, Brisbane, Perth und Adelaide bieten spürbar günstigeren Wohnraum als Sydney</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47" w14:textId="77777777" w:rsidR="00C1548D" w:rsidRDefault="009B1B4B">
            <w:pPr>
              <w:spacing w:line="250" w:lineRule="auto"/>
            </w:pPr>
            <w:r>
              <w:rPr>
                <w:sz w:val="18"/>
                <w:szCs w:val="18"/>
              </w:rPr>
              <w:t>Foreign-Buyer-Zuschlag von 7–9 % trifft, wer noch keine Permanent Residence hat</w:t>
            </w:r>
          </w:p>
        </w:tc>
      </w:tr>
      <w:tr w:rsidR="00C1548D" w14:paraId="70A4F34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49" w14:textId="77777777" w:rsidR="00C1548D" w:rsidRDefault="009B1B4B">
            <w:pPr>
              <w:spacing w:line="250" w:lineRule="auto"/>
            </w:pPr>
            <w:r>
              <w:rPr>
                <w:sz w:val="18"/>
                <w:szCs w:val="18"/>
              </w:rPr>
              <w:t>Bergbau, Verteidigung und der Olympia-Bauboom schaffen gut bezahlte Nischenjobs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4A" w14:textId="77777777" w:rsidR="00C1548D" w:rsidRDefault="009B1B4B">
            <w:pPr>
              <w:spacing w:line="250" w:lineRule="auto"/>
            </w:pPr>
            <w:r>
              <w:rPr>
                <w:sz w:val="18"/>
                <w:szCs w:val="18"/>
              </w:rPr>
              <w:t>Diese Jobs sind meist an eine einzelne Stadt oder Region gebunden</w:t>
            </w:r>
          </w:p>
        </w:tc>
      </w:tr>
      <w:tr w:rsidR="00C1548D" w14:paraId="70A4F34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4C" w14:textId="77777777" w:rsidR="00C1548D" w:rsidRDefault="009B1B4B">
            <w:pPr>
              <w:spacing w:line="250" w:lineRule="auto"/>
            </w:pPr>
            <w:r>
              <w:rPr>
                <w:sz w:val="18"/>
                <w:szCs w:val="18"/>
              </w:rPr>
              <w:lastRenderedPageBreak/>
              <w:t>Kaufprozess mit Auktion und Conveyancer ist oft schneller als in Deutschland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4D" w14:textId="77777777" w:rsidR="00C1548D" w:rsidRDefault="009B1B4B">
            <w:pPr>
              <w:spacing w:line="250" w:lineRule="auto"/>
            </w:pPr>
            <w:r>
              <w:rPr>
                <w:sz w:val="18"/>
                <w:szCs w:val="18"/>
              </w:rPr>
              <w:t>Kaum Bedenkzeit bei Versteigerungen, kurze Cooling-off-Frist beim freihändigen Kauf</w:t>
            </w:r>
          </w:p>
        </w:tc>
      </w:tr>
      <w:tr w:rsidR="00C1548D" w14:paraId="70A4F35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4F" w14:textId="77777777" w:rsidR="00C1548D" w:rsidRDefault="009B1B4B">
            <w:pPr>
              <w:spacing w:line="250" w:lineRule="auto"/>
            </w:pPr>
            <w:r>
              <w:rPr>
                <w:sz w:val="18"/>
                <w:szCs w:val="18"/>
              </w:rPr>
              <w:t>Jede Stadt hat ein gut dokumentiertes Naturgefahren-Profil, das sich recherchieren lässt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50" w14:textId="77777777" w:rsidR="00C1548D" w:rsidRDefault="009B1B4B">
            <w:pPr>
              <w:spacing w:line="250" w:lineRule="auto"/>
            </w:pPr>
            <w:r>
              <w:rPr>
                <w:sz w:val="18"/>
                <w:szCs w:val="18"/>
              </w:rPr>
              <w:t>Buschfeuer, Flut oder Zyklon können Versicherbarkeit und -kosten merklich beeinflussen</w:t>
            </w:r>
          </w:p>
        </w:tc>
      </w:tr>
    </w:tbl>
    <w:p w14:paraId="70A4F352" w14:textId="77777777" w:rsidR="00C1548D" w:rsidRDefault="00C1548D">
      <w:pPr>
        <w:spacing w:line="180" w:lineRule="exact"/>
      </w:pPr>
    </w:p>
    <w:p w14:paraId="70A4F353"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354" w14:textId="77777777" w:rsidR="00C1548D" w:rsidRDefault="009B1B4B">
      <w:pPr>
        <w:spacing w:after="140"/>
      </w:pPr>
      <w:r>
        <w:t>Vergleiche vor der Zusage nicht nur das Gehalt, sondern die Kombination aus Miet- oder Kaufniveau, Jobmarkt in deinem Berufsfeld und Naturgefahren-Profil der Zielstadt. Kläre früh, welchen Visumstatus du beim Umzug hast –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w:t>
      </w:r>
      <w:r>
        <w:t>druck durch eine Versteigerung hetzen lassen, deren Zuschlag – anders als in Deutschland – sofort bindet.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60"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355" w14:textId="77777777" w:rsidR="00C1548D" w:rsidRDefault="009B1B4B">
            <w:pPr>
              <w:keepNext/>
              <w:spacing w:after="70" w:line="240" w:lineRule="auto"/>
            </w:pPr>
            <w:r>
              <w:rPr>
                <w:b/>
                <w:bCs/>
                <w:color w:val="1F6F78"/>
                <w:spacing w:val="24"/>
                <w:sz w:val="16"/>
                <w:szCs w:val="16"/>
              </w:rPr>
              <w:lastRenderedPageBreak/>
              <w:t>CHECKLISTE</w:t>
            </w:r>
          </w:p>
          <w:p w14:paraId="70A4F35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Visumstatus geklärt: Permanent Resident oder „foreign person“ im Sinne des FIRB?</w:t>
            </w:r>
          </w:p>
          <w:p w14:paraId="70A4F35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befristetem Visum geprüft, ob überhaupt eine Bestandsimmobilie infrage kommt oder nur ein Neubau mit FIRB-Genehmigung</w:t>
            </w:r>
          </w:p>
          <w:p w14:paraId="70A4F35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Foreign-Buyer-Zuschlag des Zielbundesstaats in die Kaufpreisrechnung eingerechnet (7–9 %)</w:t>
            </w:r>
          </w:p>
          <w:p w14:paraId="70A4F35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Unterlagen für Mietbewerbungen vorbereitet: Einkommensnachweis, Referenzen, Ausweis</w:t>
            </w:r>
          </w:p>
          <w:p w14:paraId="70A4F35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Kautionsstelle (Bond-Behörde) des Bundesstaats recherchiert</w:t>
            </w:r>
          </w:p>
          <w:p w14:paraId="70A4F35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Naturgefahren-Profil der Zielstadt mit einem konkreten Versicherungsangebot abgeglichen</w:t>
            </w:r>
          </w:p>
          <w:p w14:paraId="70A4F35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Miet- und Kaufpreise mehrerer Städte im eigenen Berufsfeld verglichen, nicht nur Sydney oder Melbourne</w:t>
            </w:r>
          </w:p>
          <w:p w14:paraId="70A4F35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Kaufabsicht: Conveyancer oder Immobilienanwalt kontaktiert, Cooling-off-Regeln des Bundesstaats geprüft</w:t>
            </w:r>
          </w:p>
          <w:p w14:paraId="70A4F35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Finanzierungsbedingungen für den eigenen Visumtyp bei mindestens zwei Banken erfragt</w:t>
            </w:r>
          </w:p>
          <w:p w14:paraId="70A4F35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Entschieden, mindestens die ersten sechs bis zwölf Monate zu mieten</w:t>
            </w:r>
          </w:p>
        </w:tc>
      </w:tr>
    </w:tbl>
    <w:p w14:paraId="70A4F361" w14:textId="77777777" w:rsidR="00C1548D" w:rsidRDefault="00C1548D">
      <w:pPr>
        <w:spacing w:line="220" w:lineRule="exact"/>
      </w:pPr>
    </w:p>
    <w:p w14:paraId="70A4F362"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363" w14:textId="666B9CA2" w:rsidR="00C1548D" w:rsidRDefault="009B1B4B" w:rsidP="009B1B4B">
      <w:pPr>
        <w:pStyle w:val="ListParagraph"/>
        <w:numPr>
          <w:ilvl w:val="0"/>
          <w:numId w:val="1"/>
        </w:numPr>
        <w:spacing w:after="60"/>
      </w:pPr>
      <w:r>
        <w:t>Foreign Investment Review Board — FIRB-Regeln, Established-Dwelling-Verbot (</w:t>
      </w:r>
      <w:hyperlink r:id="rId426" w:history="1">
        <w:r>
          <w:rPr>
            <w:color w:val="0563C1"/>
            <w:u w:val="single"/>
          </w:rPr>
          <w:t>firb.gov.au</w:t>
        </w:r>
      </w:hyperlink>
      <w:r>
        <w:t>)</w:t>
      </w:r>
    </w:p>
    <w:p w14:paraId="70A4F364" w14:textId="40969437" w:rsidR="00C1548D" w:rsidRDefault="009B1B4B" w:rsidP="009B1B4B">
      <w:pPr>
        <w:pStyle w:val="ListParagraph"/>
        <w:numPr>
          <w:ilvl w:val="0"/>
          <w:numId w:val="1"/>
        </w:numPr>
        <w:spacing w:after="60"/>
      </w:pPr>
      <w:r>
        <w:t>Australian Taxation Office — Gebühren und Fristen für Auslandsinvestitionen (</w:t>
      </w:r>
      <w:hyperlink r:id="rId427" w:history="1">
        <w:r>
          <w:rPr>
            <w:color w:val="0563C1"/>
            <w:u w:val="single"/>
          </w:rPr>
          <w:t>ato.gov.au</w:t>
        </w:r>
      </w:hyperlink>
      <w:r>
        <w:t>)</w:t>
      </w:r>
    </w:p>
    <w:p w14:paraId="70A4F365" w14:textId="60E8F705" w:rsidR="00C1548D" w:rsidRDefault="009B1B4B" w:rsidP="009B1B4B">
      <w:pPr>
        <w:pStyle w:val="ListParagraph"/>
        <w:numPr>
          <w:ilvl w:val="0"/>
          <w:numId w:val="1"/>
        </w:numPr>
        <w:spacing w:after="60"/>
      </w:pPr>
      <w:r>
        <w:t>NSW Fair Trading — Mietrecht, Rental Bonds Online (</w:t>
      </w:r>
      <w:hyperlink r:id="rId428" w:history="1">
        <w:r>
          <w:rPr>
            <w:color w:val="0563C1"/>
            <w:u w:val="single"/>
          </w:rPr>
          <w:t>fairtrading.nsw.gov.au</w:t>
        </w:r>
      </w:hyperlink>
      <w:r>
        <w:t>)</w:t>
      </w:r>
    </w:p>
    <w:p w14:paraId="70A4F366" w14:textId="3C5BEA38" w:rsidR="00C1548D" w:rsidRDefault="009B1B4B" w:rsidP="009B1B4B">
      <w:pPr>
        <w:pStyle w:val="ListParagraph"/>
        <w:numPr>
          <w:ilvl w:val="0"/>
          <w:numId w:val="1"/>
        </w:numPr>
        <w:spacing w:after="60"/>
      </w:pPr>
      <w:r>
        <w:t>Domain Rental Report und Cotality Home Value Index — aktuelle Miet- und Kaufpreise (</w:t>
      </w:r>
      <w:hyperlink r:id="rId429" w:history="1">
        <w:r>
          <w:rPr>
            <w:color w:val="0563C1"/>
            <w:u w:val="single"/>
          </w:rPr>
          <w:t>domain.com.au</w:t>
        </w:r>
      </w:hyperlink>
      <w:r>
        <w:t xml:space="preserve">, </w:t>
      </w:r>
      <w:hyperlink r:id="rId430" w:history="1">
        <w:r>
          <w:rPr>
            <w:color w:val="0563C1"/>
            <w:u w:val="single"/>
          </w:rPr>
          <w:t>cotality.com</w:t>
        </w:r>
      </w:hyperlink>
      <w:r>
        <w:t>)</w:t>
      </w:r>
    </w:p>
    <w:p w14:paraId="70A4F367" w14:textId="6DE96862" w:rsidR="00C1548D" w:rsidRDefault="009B1B4B" w:rsidP="009B1B4B">
      <w:pPr>
        <w:pStyle w:val="ListParagraph"/>
        <w:numPr>
          <w:ilvl w:val="0"/>
          <w:numId w:val="1"/>
        </w:numPr>
        <w:spacing w:after="60"/>
      </w:pPr>
      <w:r>
        <w:lastRenderedPageBreak/>
        <w:t>Deutsche Botschaft Canberra und Generalkonsulat Sydney — Vertretungen vor Ort (</w:t>
      </w:r>
      <w:hyperlink r:id="rId431" w:history="1">
        <w:r>
          <w:rPr>
            <w:color w:val="0563C1"/>
            <w:u w:val="single"/>
          </w:rPr>
          <w:t>australien.diplo.de</w:t>
        </w:r>
      </w:hyperlink>
      <w:r>
        <w:t>)</w:t>
      </w:r>
    </w:p>
    <w:p w14:paraId="70A4F368"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6B"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369" w14:textId="77777777" w:rsidR="00C1548D" w:rsidRDefault="009B1B4B">
            <w:pPr>
              <w:keepNext/>
              <w:spacing w:after="70" w:line="240" w:lineRule="auto"/>
            </w:pPr>
            <w:r>
              <w:rPr>
                <w:b/>
                <w:bCs/>
                <w:color w:val="6B7280"/>
                <w:spacing w:val="24"/>
                <w:sz w:val="16"/>
                <w:szCs w:val="16"/>
              </w:rPr>
              <w:t>STAND</w:t>
            </w:r>
          </w:p>
          <w:p w14:paraId="70A4F36A" w14:textId="77777777" w:rsidR="00C1548D" w:rsidRDefault="009B1B4B">
            <w:pPr>
              <w:spacing w:after="80" w:line="264" w:lineRule="auto"/>
            </w:pPr>
            <w:r>
              <w:rPr>
                <w:sz w:val="20"/>
                <w:szCs w:val="20"/>
              </w:rPr>
              <w:t>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tc>
      </w:tr>
    </w:tbl>
    <w:p w14:paraId="70A4F36C" w14:textId="77777777" w:rsidR="00C1548D" w:rsidRDefault="00C1548D">
      <w:pPr>
        <w:spacing w:line="220" w:lineRule="exact"/>
      </w:pPr>
    </w:p>
    <w:p w14:paraId="70A4F36D" w14:textId="77777777" w:rsidR="00C1548D" w:rsidRDefault="009B1B4B">
      <w:pPr>
        <w:pStyle w:val="Heading2"/>
        <w:keepNext/>
        <w:pageBreakBefore/>
        <w:jc w:val="center"/>
      </w:pPr>
      <w:bookmarkStart w:id="120" w:name="tau10"/>
      <w:bookmarkStart w:id="121" w:name="_Toc241352511"/>
      <w:r>
        <w:rPr>
          <w:rFonts w:ascii="Amazon Ember" w:eastAsia="Amazon Ember" w:hAnsi="Amazon Ember" w:cs="Amazon Ember"/>
          <w:color w:val="0000FF"/>
          <w:sz w:val="36"/>
          <w:szCs w:val="36"/>
        </w:rPr>
        <w:lastRenderedPageBreak/>
        <w:t>Australien: Führerschein, Auto und Verkehrsregeln</w:t>
      </w:r>
      <w:bookmarkEnd w:id="120"/>
      <w:bookmarkEnd w:id="121"/>
    </w:p>
    <w:p w14:paraId="70A4F36E" w14:textId="77777777" w:rsidR="00C1548D" w:rsidRDefault="009B1B4B">
      <w:pPr>
        <w:spacing w:after="140"/>
      </w:pPr>
      <w:r>
        <w:t>Du sitzt zum ersten Mal hinter dem Lenkrad eines australischen Mietwagens, tastest routiniert nach dem Blinkerhebel links – und lässt stattdessen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 nur du musst es jetzt tun. Führer</w:t>
      </w:r>
      <w:r>
        <w:t>schein, Auto und Verkehrsregeln hängen in Australien eng zusammen, und wer die wichtigsten Unterschiede vor dem ersten Start kennt, erspart sich die teuersten Überraschungen.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76"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36F" w14:textId="77777777" w:rsidR="00C1548D" w:rsidRDefault="009B1B4B">
            <w:pPr>
              <w:keepNext/>
              <w:spacing w:after="70" w:line="240" w:lineRule="auto"/>
            </w:pPr>
            <w:r>
              <w:rPr>
                <w:b/>
                <w:bCs/>
                <w:color w:val="1F3A5F"/>
                <w:spacing w:val="24"/>
                <w:sz w:val="16"/>
                <w:szCs w:val="16"/>
              </w:rPr>
              <w:lastRenderedPageBreak/>
              <w:t>KURZ GESAGT</w:t>
            </w:r>
          </w:p>
          <w:p w14:paraId="70A4F370" w14:textId="77777777" w:rsidR="00C1548D" w:rsidRDefault="009B1B4B" w:rsidP="009B1B4B">
            <w:pPr>
              <w:pStyle w:val="ListParagraph"/>
              <w:numPr>
                <w:ilvl w:val="0"/>
                <w:numId w:val="1"/>
              </w:numPr>
              <w:spacing w:after="50" w:line="264" w:lineRule="auto"/>
            </w:pPr>
            <w:r>
              <w:rPr>
                <w:sz w:val="20"/>
                <w:szCs w:val="20"/>
              </w:rPr>
              <w:t>Wichtigster Unterschied zu Deutschland: Australien fährt auf der linken Straßenseite. Kreisverkehre laufen im Uhrzeigersinn, Blinker und Scheibenwischer sitzen bei vielen Fahrzeugen vertauscht, und die Eingewöhnung braucht ein paar Tage bewusste Aufmerksamkeit.</w:t>
            </w:r>
          </w:p>
          <w:p w14:paraId="70A4F371" w14:textId="77777777" w:rsidR="00C1548D" w:rsidRDefault="009B1B4B" w:rsidP="009B1B4B">
            <w:pPr>
              <w:pStyle w:val="ListParagraph"/>
              <w:numPr>
                <w:ilvl w:val="0"/>
                <w:numId w:val="1"/>
              </w:numPr>
              <w:spacing w:after="50" w:line="264" w:lineRule="auto"/>
            </w:pPr>
            <w:r>
              <w:rPr>
                <w:sz w:val="20"/>
                <w:szCs w:val="20"/>
              </w:rPr>
              <w:t>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w14:paraId="70A4F372" w14:textId="77777777" w:rsidR="00C1548D" w:rsidRDefault="009B1B4B" w:rsidP="009B1B4B">
            <w:pPr>
              <w:pStyle w:val="ListParagraph"/>
              <w:numPr>
                <w:ilvl w:val="0"/>
                <w:numId w:val="1"/>
              </w:numPr>
              <w:spacing w:after="50" w:line="264" w:lineRule="auto"/>
            </w:pPr>
            <w:r>
              <w:rPr>
                <w:sz w:val="20"/>
                <w:szCs w:val="20"/>
              </w:rPr>
              <w:t xml:space="preserve">Die Alkoholgrenze liegt bei 0,05 % BAC (Blutalkoholkonzentration) für volle Lizenzen, bei 0,00 % für Fahranfänger – und wird durch </w:t>
            </w:r>
            <w:r>
              <w:rPr>
                <w:i/>
                <w:iCs/>
                <w:sz w:val="20"/>
                <w:szCs w:val="20"/>
              </w:rPr>
              <w:t>Random Breath Testing</w:t>
            </w:r>
            <w:r>
              <w:rPr>
                <w:sz w:val="20"/>
                <w:szCs w:val="20"/>
              </w:rPr>
              <w:t xml:space="preserve"> (RBT) mit rund 15 Millionen Tests im Jahr flächendeckend kontrolliert.</w:t>
            </w:r>
          </w:p>
          <w:p w14:paraId="70A4F373" w14:textId="77777777" w:rsidR="00C1548D" w:rsidRDefault="009B1B4B" w:rsidP="009B1B4B">
            <w:pPr>
              <w:pStyle w:val="ListParagraph"/>
              <w:numPr>
                <w:ilvl w:val="0"/>
                <w:numId w:val="1"/>
              </w:numPr>
              <w:spacing w:after="50" w:line="264" w:lineRule="auto"/>
            </w:pPr>
            <w:r>
              <w:rPr>
                <w:sz w:val="20"/>
                <w:szCs w:val="20"/>
              </w:rPr>
              <w:t>Mobile Speed Cameras stehen in mehreren Bundesstaaten unmarkiert am Straßenrand, und Bußgelder fürs Handy am Steuer erreichen je nach Bundesstaat vierstellige Beträge.</w:t>
            </w:r>
          </w:p>
          <w:p w14:paraId="70A4F374" w14:textId="77777777" w:rsidR="00C1548D" w:rsidRDefault="009B1B4B" w:rsidP="009B1B4B">
            <w:pPr>
              <w:pStyle w:val="ListParagraph"/>
              <w:numPr>
                <w:ilvl w:val="0"/>
                <w:numId w:val="1"/>
              </w:numPr>
              <w:spacing w:after="50" w:line="264" w:lineRule="auto"/>
            </w:pPr>
            <w:r>
              <w:rPr>
                <w:sz w:val="20"/>
                <w:szCs w:val="20"/>
              </w:rPr>
              <w:t>Das Demerit-Points-System ist streng gestaffelt: Volle Lizenzen verlieren sie bei 11 bis 13 Punkten binnen drei Jahren, Fahranfänger schon bei 4.</w:t>
            </w:r>
          </w:p>
          <w:p w14:paraId="70A4F375" w14:textId="77777777" w:rsidR="00C1548D" w:rsidRDefault="009B1B4B" w:rsidP="009B1B4B">
            <w:pPr>
              <w:pStyle w:val="ListParagraph"/>
              <w:numPr>
                <w:ilvl w:val="0"/>
                <w:numId w:val="1"/>
              </w:numPr>
              <w:spacing w:after="50" w:line="264" w:lineRule="auto"/>
            </w:pPr>
            <w:r>
              <w:rPr>
                <w:sz w:val="20"/>
                <w:szCs w:val="20"/>
              </w:rPr>
              <w:t>Im Outback zählen Kängurus zu den größten Unfallrisiken, und die Entfernungen zwischen Städten sind so groß, dass Pausenplanung Pflicht ist, nicht Kür.</w:t>
            </w:r>
          </w:p>
        </w:tc>
      </w:tr>
    </w:tbl>
    <w:p w14:paraId="70A4F377" w14:textId="77777777" w:rsidR="00C1548D" w:rsidRDefault="00C1548D">
      <w:pPr>
        <w:spacing w:line="220" w:lineRule="exact"/>
      </w:pPr>
    </w:p>
    <w:p w14:paraId="70A4F378" w14:textId="77777777" w:rsidR="00C1548D" w:rsidRDefault="009B1B4B">
      <w:pPr>
        <w:pStyle w:val="Heading3"/>
        <w:keepNext/>
        <w:jc w:val="center"/>
      </w:pPr>
      <w:r>
        <w:rPr>
          <w:rFonts w:ascii="Amazon Ember" w:eastAsia="Amazon Ember" w:hAnsi="Amazon Ember" w:cs="Amazon Ember"/>
          <w:color w:val="0000FF"/>
          <w:sz w:val="36"/>
          <w:szCs w:val="36"/>
        </w:rPr>
        <w:t>Der wichtigste Punkt: Linksverkehr im Alltag</w:t>
      </w:r>
    </w:p>
    <w:p w14:paraId="70A4F379" w14:textId="77777777" w:rsidR="00C1548D" w:rsidRDefault="009B1B4B">
      <w:pPr>
        <w:spacing w:after="140"/>
      </w:pPr>
      <w:r>
        <w:t>Australien fährt links, mit rechtsgesteuerten Fahrzeugen – ein Erbe der britischen Kolonialzeit, das nie zur Debatte stand und auch nie zur Debatte stehen wird. Für deutsche Neuankömmlinge ist das der strukturell größte Umstellungspunkt am ganzen Thema Auto: Es ändert sich nicht nur eine Tempo-Einheit oder eine Vorfahrtsregel, sondern die gesamte körperliche Routine des Fahrens.</w:t>
      </w:r>
    </w:p>
    <w:p w14:paraId="70A4F37A" w14:textId="77777777" w:rsidR="00C1548D" w:rsidRDefault="009B1B4B">
      <w:pPr>
        <w:spacing w:after="140"/>
      </w:pPr>
      <w:r>
        <w:lastRenderedPageBreak/>
        <w:t>Im Alltag zeigt sich das an vielen kleinen Stellen gleichzeitig. Kreisverkehre werden im Uhrzeigersinn durchfahren, nicht gegen ihn. Blinker- und Scheibenwischerhebel sitzen je nach Fahrzeug und Hersteller oft vertauscht, weil die Fahrerposition gespiegelt ist – der Griff zum falschen Hebel ist so verlässlich wie harmlos, aber er passiert praktisch jedem in der ersten Woche. Beim Linksabbiegen und an Kreuzungen wird typischerweise vergessen, zuerst nach rechts zu schauen, weil der Gegenverkehr aus der „fals</w:t>
      </w:r>
      <w:r>
        <w:t>chen“ Richtung kommt; genau das gilt als eine der häufigsten Fehlerquellen für Neuankömmlinge in den ersten Tagen und Wochen. Auf mehrspurigen Straßen fährst du möglichst weit links, überholt wird rechts – exakt umgekehrt zur deutschen Regel.</w:t>
      </w:r>
    </w:p>
    <w:p w14:paraId="70A4F37B" w14:textId="77777777" w:rsidR="00C1548D" w:rsidRDefault="009B1B4B">
      <w:pPr>
        <w:spacing w:after="140"/>
      </w:pPr>
      <w:r>
        <w:t xml:space="preserve">Dazu kommt eine australische Besonderheit, die mit dem Linksverkehr nichts zu tun hat, aber ebenfalls neu ist: An unbeschilderten Kreuzungen ohne Ampeln oder Markierungen (und die keine T-Kreuzung sind) hat grundsätzlich das von rechts kommende Fahrzeug Vorfahrt, unabhängig davon, ob es abbiegt oder geradeaus fährt. Treffen zwei Fahrzeuge gleichzeitig ein, muss das Fahrzeug von links dem Fahrzeug von rechts weichen. Das Prinzip ähnelt dem deutschen „rechts vor links“, ist aber konsequenter: Es zählt allein </w:t>
      </w:r>
      <w:r>
        <w:t>die Position, nicht die Fahrtrichtung. An unbeschilderten T-Kreuzungen gilt eine eigene Regel: Wer von der endenden Straße kommt (dem „Fuß“ des T), muss dem durchgehenden Verkehr auf der Straße am „Balken“ des T Vorfahrt gewähren – dieses Prinzip gilt in Australien schon deutlich länger als im benachbarten Neuseeland, das eine vergleichbare Regel erst 2012 eingeführt hat.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7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37C" w14:textId="77777777" w:rsidR="00C1548D" w:rsidRDefault="009B1B4B">
            <w:pPr>
              <w:keepNext/>
              <w:spacing w:after="70" w:line="240" w:lineRule="auto"/>
            </w:pPr>
            <w:r>
              <w:rPr>
                <w:b/>
                <w:bCs/>
                <w:color w:val="9B2C2C"/>
                <w:spacing w:val="24"/>
                <w:sz w:val="16"/>
                <w:szCs w:val="16"/>
              </w:rPr>
              <w:t>ACHTUNG</w:t>
            </w:r>
          </w:p>
          <w:p w14:paraId="70A4F37D" w14:textId="77777777" w:rsidR="00C1548D" w:rsidRDefault="009B1B4B">
            <w:pPr>
              <w:spacing w:after="80" w:line="264" w:lineRule="auto"/>
            </w:pPr>
            <w:r>
              <w:rPr>
                <w:sz w:val="20"/>
                <w:szCs w:val="20"/>
              </w:rPr>
              <w:t>Übe die ersten Fahrten möglichst auf einem leeren Parkplatz oder in einer ruhigen Wohnstraße, bevor du dich in den Stadtverkehr wagst – besonders Kreisverkehre und Linksabbiegen an belebten Kreuzungen. Der Fehler mit der falschen Fahrspur passiert nicht aus Leichtsinn, sondern aus Jahrzehnten eingeübter Reflexe, die sich nicht per Willenskraft, sondern nur durch Wiederholung umgewöhnen lassen.</w:t>
            </w:r>
          </w:p>
        </w:tc>
      </w:tr>
    </w:tbl>
    <w:p w14:paraId="70A4F37F"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82"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380" w14:textId="77777777" w:rsidR="00C1548D" w:rsidRDefault="009B1B4B">
            <w:pPr>
              <w:keepNext/>
              <w:spacing w:after="70" w:line="240" w:lineRule="auto"/>
            </w:pPr>
            <w:r>
              <w:rPr>
                <w:b/>
                <w:bCs/>
                <w:color w:val="4A5568"/>
                <w:spacing w:val="24"/>
                <w:sz w:val="16"/>
                <w:szCs w:val="16"/>
              </w:rPr>
              <w:lastRenderedPageBreak/>
              <w:t>PRAXISBEISPIEL · FIKTIV</w:t>
            </w:r>
          </w:p>
          <w:p w14:paraId="70A4F381" w14:textId="77777777" w:rsidR="00C1548D" w:rsidRDefault="009B1B4B">
            <w:pPr>
              <w:spacing w:after="80" w:line="264" w:lineRule="auto"/>
            </w:pPr>
            <w:r>
              <w:rPr>
                <w:sz w:val="20"/>
                <w:szCs w:val="20"/>
              </w:rPr>
              <w:t>Familie Reinhardt (fiktives Beispiel) kauft in ihrer dritten Woche in Melbourne einen gebrauchten Kombi. Thomas nimmt sich extra einen Vormittag frei, um auf einem leeren Parkplatz das Linksfahren zu üben – und greift beim ersten Abbiegen trotzdem routiniert nach dem Blinkerhebel links, während rechts die Scheibenwischer über die trockene Scheibe quietschen. Sandra findet das nicht halb so komisch wie ihre eigene erste Kreisverkehr-Runde, in der sie entschlossen gegen den Uhrzeigersinn losfährt, bis ein höf</w:t>
            </w:r>
            <w:r>
              <w:rPr>
                <w:sz w:val="20"/>
                <w:szCs w:val="20"/>
              </w:rPr>
              <w:t>licher Hupton sie umdirigiert. Nach zwei Wochen sitzt der Griff zum richtigen Hebel, und der Kreisverkehr ist nur noch Routine – die Anekdote bleibt der Familie trotzdem noch lange erhalten.</w:t>
            </w:r>
          </w:p>
        </w:tc>
      </w:tr>
    </w:tbl>
    <w:p w14:paraId="70A4F383"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8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384" w14:textId="77777777" w:rsidR="00C1548D" w:rsidRDefault="009B1B4B">
            <w:pPr>
              <w:keepNext/>
              <w:spacing w:after="70" w:line="240" w:lineRule="auto"/>
            </w:pPr>
            <w:r>
              <w:rPr>
                <w:b/>
                <w:bCs/>
                <w:color w:val="8A6212"/>
                <w:spacing w:val="24"/>
                <w:sz w:val="16"/>
                <w:szCs w:val="16"/>
              </w:rPr>
              <w:t>MERKE</w:t>
            </w:r>
          </w:p>
          <w:p w14:paraId="70A4F385" w14:textId="77777777" w:rsidR="00C1548D" w:rsidRDefault="009B1B4B">
            <w:pPr>
              <w:spacing w:after="80" w:line="264" w:lineRule="auto"/>
            </w:pPr>
            <w:r>
              <w:rPr>
                <w:sz w:val="20"/>
                <w:szCs w:val="20"/>
              </w:rPr>
              <w:t>Nicht das Fahren an sich ist in Australien das Problem, sondern die ersten reflexhaften Sekunden – Blinker, Schulterblick, Kreisverkehr, der Blick zuerst nach rechts. Nach ein bis zwei Wochen bewusster Übung wird daraus Routine, danach denkst du nicht mehr darüber nach.</w:t>
            </w:r>
          </w:p>
        </w:tc>
      </w:tr>
    </w:tbl>
    <w:p w14:paraId="70A4F387" w14:textId="77777777" w:rsidR="00C1548D" w:rsidRDefault="00C1548D">
      <w:pPr>
        <w:spacing w:line="220" w:lineRule="exact"/>
      </w:pPr>
    </w:p>
    <w:p w14:paraId="70A4F388" w14:textId="77777777" w:rsidR="00C1548D" w:rsidRDefault="009B1B4B">
      <w:pPr>
        <w:pStyle w:val="Heading3"/>
        <w:keepNext/>
        <w:jc w:val="center"/>
      </w:pPr>
      <w:r>
        <w:rPr>
          <w:rFonts w:ascii="Amazon Ember" w:eastAsia="Amazon Ember" w:hAnsi="Amazon Ember" w:cs="Amazon Ember"/>
          <w:color w:val="0000FF"/>
          <w:sz w:val="36"/>
          <w:szCs w:val="36"/>
        </w:rPr>
        <w:t>Führerschein-Umtausch: Sache der Bundesstaaten</w:t>
      </w:r>
    </w:p>
    <w:p w14:paraId="70A4F389" w14:textId="77777777" w:rsidR="00C1548D" w:rsidRDefault="009B1B4B">
      <w:pPr>
        <w:spacing w:after="140"/>
      </w:pPr>
      <w: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 ein reiner Verwaltungsvorgang, sofern der deutsche Führerschein auf Englisch vorliegt oder durch eine amtliche Übersetzung beziehungsweise einen </w:t>
      </w:r>
      <w:r>
        <w:rPr>
          <w:i/>
          <w:iCs/>
        </w:rPr>
        <w:t>Internationalen Führerschein</w:t>
      </w:r>
      <w:r>
        <w:t xml:space="preserve"> (IDP, eine mehrsprachige Zusatzurkunde zum nationalen Führerschein) ergänzt wird.</w:t>
      </w:r>
    </w:p>
    <w:p w14:paraId="70A4F38A" w14:textId="77777777" w:rsidR="00C1548D" w:rsidRDefault="009B1B4B">
      <w:pPr>
        <w:spacing w:after="140"/>
      </w:pPr>
      <w:r>
        <w:lastRenderedPageBreak/>
        <w:t>Die zuständige Behörde heißt zudem nicht überall gleich, was die Suche nach der richtigen Anlaufstelle erschwert: In Victoria ist es VicRoads beziehungsweise das Department of Transport, in New South Wales Transport for NSW (Service NSW), in Queensland das Department of Transport and Main Roads (TMR), in South Australia Service SA, in Western Australia das Department of Transport. Im Buch steht der Einfachheit halber „DMV-Äquivalent“ dafür, wenn allgemein von der Führerscheinbehörde die Rede ist. Deutlich u</w:t>
      </w:r>
      <w:r>
        <w:t>neinheitlicher als der Name sind ohnehin die Fristen, bis wann du überhaupt umtauschen musst: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97"/>
        <w:gridCol w:w="2703"/>
        <w:gridCol w:w="1680"/>
      </w:tblGrid>
      <w:tr w:rsidR="00C1548D" w14:paraId="70A4F38E" w14:textId="77777777">
        <w:tblPrEx>
          <w:tblCellMar>
            <w:top w:w="0" w:type="dxa"/>
            <w:bottom w:w="0" w:type="dxa"/>
          </w:tblCellMar>
        </w:tblPrEx>
        <w:trPr>
          <w:cantSplit/>
          <w:tblHeader/>
        </w:trPr>
        <w:tc>
          <w:tcPr>
            <w:tcW w:w="20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38B" w14:textId="77777777" w:rsidR="00C1548D" w:rsidRDefault="009B1B4B">
            <w:pPr>
              <w:spacing w:line="250" w:lineRule="auto"/>
            </w:pPr>
            <w:r>
              <w:rPr>
                <w:b/>
                <w:bCs/>
                <w:sz w:val="18"/>
                <w:szCs w:val="18"/>
              </w:rPr>
              <w:t>Bundesstaat/Territorium</w:t>
            </w:r>
          </w:p>
        </w:tc>
        <w:tc>
          <w:tcPr>
            <w:tcW w:w="27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38C" w14:textId="77777777" w:rsidR="00C1548D" w:rsidRDefault="009B1B4B">
            <w:pPr>
              <w:spacing w:line="250" w:lineRule="auto"/>
            </w:pPr>
            <w:r>
              <w:rPr>
                <w:b/>
                <w:bCs/>
                <w:sz w:val="18"/>
                <w:szCs w:val="18"/>
              </w:rPr>
              <w:t>Regel für befristete Visa-Inhaber</w:t>
            </w:r>
          </w:p>
        </w:tc>
        <w:tc>
          <w:tcPr>
            <w:tcW w:w="168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38D" w14:textId="77777777" w:rsidR="00C1548D" w:rsidRDefault="009B1B4B">
            <w:pPr>
              <w:spacing w:line="250" w:lineRule="auto"/>
            </w:pPr>
            <w:r>
              <w:rPr>
                <w:b/>
                <w:bCs/>
                <w:sz w:val="18"/>
                <w:szCs w:val="18"/>
              </w:rPr>
              <w:t>Frist für Permanent Residents/Staatsbürger</w:t>
            </w:r>
          </w:p>
        </w:tc>
      </w:tr>
      <w:tr w:rsidR="00C1548D" w14:paraId="70A4F392" w14:textId="77777777">
        <w:tblPrEx>
          <w:tblCellMar>
            <w:top w:w="0" w:type="dxa"/>
            <w:bottom w:w="0" w:type="dxa"/>
          </w:tblCellMar>
        </w:tblPrEx>
        <w:trPr>
          <w:cantSplit/>
        </w:trPr>
        <w:tc>
          <w:tcPr>
            <w:tcW w:w="20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8F" w14:textId="77777777" w:rsidR="00C1548D" w:rsidRDefault="009B1B4B">
            <w:pPr>
              <w:spacing w:line="250" w:lineRule="auto"/>
            </w:pPr>
            <w:r>
              <w:rPr>
                <w:sz w:val="18"/>
                <w:szCs w:val="18"/>
              </w:rPr>
              <w:t>Victoria, Queensland, South Australia, Tasmanien, ACT</w:t>
            </w:r>
          </w:p>
        </w:tc>
        <w:tc>
          <w:tcPr>
            <w:tcW w:w="2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90" w14:textId="77777777" w:rsidR="00C1548D" w:rsidRDefault="009B1B4B">
            <w:pPr>
              <w:spacing w:line="250" w:lineRule="auto"/>
            </w:pPr>
            <w:r>
              <w:rPr>
                <w:sz w:val="18"/>
                <w:szCs w:val="18"/>
              </w:rPr>
              <w:t>zeitlich unbegrenzt mit gültigem deutschem Führerschein</w:t>
            </w:r>
          </w:p>
        </w:tc>
        <w:tc>
          <w:tcPr>
            <w:tcW w:w="16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91" w14:textId="77777777" w:rsidR="00C1548D" w:rsidRDefault="009B1B4B">
            <w:pPr>
              <w:spacing w:line="250" w:lineRule="auto"/>
            </w:pPr>
            <w:r>
              <w:rPr>
                <w:sz w:val="18"/>
                <w:szCs w:val="18"/>
              </w:rPr>
              <w:t>i. d. R. 3 Monate nach Wohnsitznahme</w:t>
            </w:r>
          </w:p>
        </w:tc>
      </w:tr>
      <w:tr w:rsidR="00C1548D" w14:paraId="70A4F396" w14:textId="77777777">
        <w:tblPrEx>
          <w:tblCellMar>
            <w:top w:w="0" w:type="dxa"/>
            <w:bottom w:w="0" w:type="dxa"/>
          </w:tblCellMar>
        </w:tblPrEx>
        <w:trPr>
          <w:cantSplit/>
        </w:trPr>
        <w:tc>
          <w:tcPr>
            <w:tcW w:w="20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93" w14:textId="77777777" w:rsidR="00C1548D" w:rsidRDefault="009B1B4B">
            <w:pPr>
              <w:spacing w:line="250" w:lineRule="auto"/>
            </w:pPr>
            <w:r>
              <w:rPr>
                <w:sz w:val="18"/>
                <w:szCs w:val="18"/>
              </w:rPr>
              <w:t>New South Wales</w:t>
            </w:r>
          </w:p>
        </w:tc>
        <w:tc>
          <w:tcPr>
            <w:tcW w:w="2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94" w14:textId="77777777" w:rsidR="00C1548D" w:rsidRDefault="009B1B4B">
            <w:pPr>
              <w:spacing w:line="250" w:lineRule="auto"/>
            </w:pPr>
            <w:r>
              <w:rPr>
                <w:sz w:val="18"/>
                <w:szCs w:val="18"/>
              </w:rPr>
              <w:t>6 Monate ab Wohnsitznahme</w:t>
            </w:r>
          </w:p>
        </w:tc>
        <w:tc>
          <w:tcPr>
            <w:tcW w:w="16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95" w14:textId="77777777" w:rsidR="00C1548D" w:rsidRDefault="009B1B4B">
            <w:pPr>
              <w:spacing w:line="250" w:lineRule="auto"/>
            </w:pPr>
            <w:r>
              <w:rPr>
                <w:sz w:val="18"/>
                <w:szCs w:val="18"/>
              </w:rPr>
              <w:t>3 Monate</w:t>
            </w:r>
          </w:p>
        </w:tc>
      </w:tr>
      <w:tr w:rsidR="00C1548D" w14:paraId="70A4F39A" w14:textId="77777777">
        <w:tblPrEx>
          <w:tblCellMar>
            <w:top w:w="0" w:type="dxa"/>
            <w:bottom w:w="0" w:type="dxa"/>
          </w:tblCellMar>
        </w:tblPrEx>
        <w:trPr>
          <w:cantSplit/>
        </w:trPr>
        <w:tc>
          <w:tcPr>
            <w:tcW w:w="20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97" w14:textId="77777777" w:rsidR="00C1548D" w:rsidRDefault="009B1B4B">
            <w:pPr>
              <w:spacing w:line="250" w:lineRule="auto"/>
            </w:pPr>
            <w:r>
              <w:rPr>
                <w:sz w:val="18"/>
                <w:szCs w:val="18"/>
              </w:rPr>
              <w:t>Northern Territory</w:t>
            </w:r>
          </w:p>
        </w:tc>
        <w:tc>
          <w:tcPr>
            <w:tcW w:w="2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98" w14:textId="77777777" w:rsidR="00C1548D" w:rsidRDefault="009B1B4B">
            <w:pPr>
              <w:spacing w:line="250" w:lineRule="auto"/>
            </w:pPr>
            <w:r>
              <w:rPr>
                <w:sz w:val="18"/>
                <w:szCs w:val="18"/>
              </w:rPr>
              <w:t>3 Monate ab Wohnsitznahme</w:t>
            </w:r>
          </w:p>
        </w:tc>
        <w:tc>
          <w:tcPr>
            <w:tcW w:w="16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99" w14:textId="77777777" w:rsidR="00C1548D" w:rsidRDefault="009B1B4B">
            <w:pPr>
              <w:spacing w:line="250" w:lineRule="auto"/>
            </w:pPr>
            <w:r>
              <w:rPr>
                <w:sz w:val="18"/>
                <w:szCs w:val="18"/>
              </w:rPr>
              <w:t>3 Monate</w:t>
            </w:r>
          </w:p>
        </w:tc>
      </w:tr>
      <w:tr w:rsidR="00C1548D" w14:paraId="70A4F39E" w14:textId="77777777">
        <w:tblPrEx>
          <w:tblCellMar>
            <w:top w:w="0" w:type="dxa"/>
            <w:bottom w:w="0" w:type="dxa"/>
          </w:tblCellMar>
        </w:tblPrEx>
        <w:trPr>
          <w:cantSplit/>
        </w:trPr>
        <w:tc>
          <w:tcPr>
            <w:tcW w:w="20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9B" w14:textId="77777777" w:rsidR="00C1548D" w:rsidRDefault="009B1B4B">
            <w:pPr>
              <w:spacing w:line="250" w:lineRule="auto"/>
            </w:pPr>
            <w:r>
              <w:rPr>
                <w:sz w:val="18"/>
                <w:szCs w:val="18"/>
              </w:rPr>
              <w:t>Western Australia</w:t>
            </w:r>
          </w:p>
        </w:tc>
        <w:tc>
          <w:tcPr>
            <w:tcW w:w="27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9C" w14:textId="77777777" w:rsidR="00C1548D" w:rsidRDefault="009B1B4B">
            <w:pPr>
              <w:spacing w:line="250" w:lineRule="auto"/>
            </w:pPr>
            <w:r>
              <w:rPr>
                <w:sz w:val="18"/>
                <w:szCs w:val="18"/>
              </w:rPr>
              <w:t>3 Monate ab Wohnsitznahme, unabhängig vom Visumstatus</w:t>
            </w:r>
          </w:p>
        </w:tc>
        <w:tc>
          <w:tcPr>
            <w:tcW w:w="16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9D" w14:textId="77777777" w:rsidR="00C1548D" w:rsidRDefault="009B1B4B">
            <w:pPr>
              <w:spacing w:line="250" w:lineRule="auto"/>
            </w:pPr>
            <w:r>
              <w:rPr>
                <w:sz w:val="18"/>
                <w:szCs w:val="18"/>
              </w:rPr>
              <w:t>3 Monate</w:t>
            </w:r>
          </w:p>
        </w:tc>
      </w:tr>
    </w:tbl>
    <w:p w14:paraId="70A4F39F" w14:textId="77777777" w:rsidR="00C1548D" w:rsidRDefault="00C1548D">
      <w:pPr>
        <w:spacing w:line="180" w:lineRule="exact"/>
      </w:pPr>
    </w:p>
    <w:p w14:paraId="70A4F3A0" w14:textId="77777777" w:rsidR="00C1548D" w:rsidRDefault="009B1B4B">
      <w:pPr>
        <w:spacing w:after="140"/>
      </w:pPr>
      <w:r>
        <w:t>Verbreiteter Irrtum: „Der deutsche Führerschein gilt doch, solange das Visum läuft.“ Tatsächlich ist die Frist an den Wohnsitz gekoppelt, nicht an das Visum – und sie beginnt bei jedem Umzug innerhalb Australiens neu zu laufen. Wer von einem kulanten Bundesstaat wie Victoria nach New South Wales oder Western Australia zieht, sollte die dortige Frist ab dem Tag der Wohnsitznahme neu prüfen, statt sich auf die alte Regel zu verlassen.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A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3A1" w14:textId="77777777" w:rsidR="00C1548D" w:rsidRDefault="009B1B4B">
            <w:pPr>
              <w:keepNext/>
              <w:spacing w:after="70" w:line="240" w:lineRule="auto"/>
            </w:pPr>
            <w:r>
              <w:rPr>
                <w:b/>
                <w:bCs/>
                <w:color w:val="9B2C2C"/>
                <w:spacing w:val="24"/>
                <w:sz w:val="16"/>
                <w:szCs w:val="16"/>
              </w:rPr>
              <w:t>ACHTUNG</w:t>
            </w:r>
          </w:p>
          <w:p w14:paraId="70A4F3A2" w14:textId="77777777" w:rsidR="00C1548D" w:rsidRDefault="009B1B4B">
            <w:pPr>
              <w:spacing w:after="80" w:line="264" w:lineRule="auto"/>
            </w:pPr>
            <w:r>
              <w:rPr>
                <w:sz w:val="20"/>
                <w:szCs w:val="20"/>
              </w:rPr>
              <w:t>Wer die Umtauschfrist seines Bundesstaats verpasst, fährt ohne gültige Lizenz – mit Folgen für Bußgelder, Versicherungsschutz im Schadensfall und im schlimmsten Fall den Aufenthaltsstatus. Prüfe die Frist deines Zielbundesstaats direkt bei der zuständigen Behörde, bevor du fliegst, nicht danach.</w:t>
            </w:r>
          </w:p>
        </w:tc>
      </w:tr>
    </w:tbl>
    <w:p w14:paraId="70A4F3A4" w14:textId="77777777" w:rsidR="00C1548D" w:rsidRDefault="00C1548D">
      <w:pPr>
        <w:spacing w:line="220" w:lineRule="exact"/>
      </w:pPr>
    </w:p>
    <w:p w14:paraId="70A4F3A5" w14:textId="77777777" w:rsidR="00C1548D" w:rsidRDefault="009B1B4B">
      <w:pPr>
        <w:spacing w:after="140"/>
      </w:pPr>
      <w:r>
        <w:lastRenderedPageBreak/>
        <w:t>Beantrage die englische Übersetzung oder den IDP schon in Deutschland bei deiner Führerscheinstelle –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w14:paraId="70A4F3A6" w14:textId="77777777" w:rsidR="00C1548D" w:rsidRDefault="009B1B4B">
      <w:pPr>
        <w:pStyle w:val="Heading3"/>
        <w:keepNext/>
        <w:jc w:val="center"/>
      </w:pPr>
      <w:r>
        <w:rPr>
          <w:rFonts w:ascii="Amazon Ember" w:eastAsia="Amazon Ember" w:hAnsi="Amazon Ember" w:cs="Amazon Ember"/>
          <w:color w:val="0000FF"/>
          <w:sz w:val="36"/>
          <w:szCs w:val="36"/>
        </w:rPr>
        <w:t>Autokauf und Kfz-Versicherung</w:t>
      </w:r>
    </w:p>
    <w:p w14:paraId="70A4F3A7" w14:textId="77777777" w:rsidR="00C1548D" w:rsidRDefault="009B1B4B">
      <w:pPr>
        <w:spacing w:after="140"/>
      </w:pPr>
      <w:r>
        <w:t xml:space="preserve">Eine Kfz-Haftpflicht-Basisversicherung, die </w:t>
      </w:r>
      <w:r>
        <w:rPr>
          <w:i/>
          <w:iCs/>
        </w:rPr>
        <w:t>Compulsory Third Party</w:t>
      </w:r>
      <w:r>
        <w:t>-Versicherung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w:t>
      </w:r>
      <w:r>
        <w:rPr>
          <w:i/>
          <w:iCs/>
        </w:rPr>
        <w:t>Comprehensive</w:t>
      </w:r>
      <w:r>
        <w:t xml:space="preserve"> bzw. </w:t>
      </w:r>
      <w:r>
        <w:rPr>
          <w:i/>
          <w:iCs/>
        </w:rPr>
        <w:t>Third Party Property Damage</w:t>
      </w:r>
      <w:r>
        <w:t>, entspricht Voll- beziehungsweise Teilkasko) ist freiwillig, aber marktüblich; konkrete Prämienhöhen hängen stark von Fahrzeug, Wohnort und Fahrerprofil ab und lohnen einen Vergleich mehrerer Angebote.</w:t>
      </w:r>
    </w:p>
    <w:p w14:paraId="70A4F3A8" w14:textId="77777777" w:rsidR="00C1548D" w:rsidRDefault="009B1B4B">
      <w:pPr>
        <w:spacing w:after="140"/>
      </w:pPr>
      <w:r>
        <w:t xml:space="preserve">Beim Gebrauchtwagenkauf lohnt ein zweiter Blick auf den Bundesstaat: Nur Victoria und Queensland verlangen gesetzlich ein </w:t>
      </w:r>
      <w:r>
        <w:rPr>
          <w:i/>
          <w:iCs/>
        </w:rPr>
        <w:t>Roadworthy Certificate</w:t>
      </w:r>
      <w:r>
        <w:t xml:space="preserve"> (eine Zustandsprüfung des Fahrzeugs) beim Verkauf, mit Kosten von rund 80 bis 150 AUD (in Victoria eher rund 200 AUD) und einer Gültigkeit von meist 30 Tagen. In New South Wales, Western Australia, South Australia und Tasmanien gibt es diese Pflicht nicht – hier lohnt sich eine unabhängige Inspektion vor dem Kauf besonders, weil niemand sonst für den technischen Zustand geradesteht.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AB"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3A9" w14:textId="77777777" w:rsidR="00C1548D" w:rsidRDefault="009B1B4B">
            <w:pPr>
              <w:keepNext/>
              <w:spacing w:after="70" w:line="240" w:lineRule="auto"/>
            </w:pPr>
            <w:r>
              <w:rPr>
                <w:b/>
                <w:bCs/>
                <w:color w:val="2F6B3B"/>
                <w:spacing w:val="24"/>
                <w:sz w:val="16"/>
                <w:szCs w:val="16"/>
              </w:rPr>
              <w:lastRenderedPageBreak/>
              <w:t>SPARTIPP</w:t>
            </w:r>
          </w:p>
          <w:p w14:paraId="70A4F3AA" w14:textId="77777777" w:rsidR="00C1548D" w:rsidRDefault="009B1B4B">
            <w:pPr>
              <w:spacing w:after="80" w:line="264" w:lineRule="auto"/>
            </w:pPr>
            <w:r>
              <w:rPr>
                <w:sz w:val="20"/>
                <w:szCs w:val="20"/>
              </w:rPr>
              <w:t>Kaufst du außerhalb von Victoria oder Queensland, lass das Fahrzeug vor dem Kauf von einer unabhängigen Werkstatt prüfen – die Kosten dafür liegen deutlich unter dem, was ein übersehener Mangel später kostet. Und hole für die Versicherung mindestens zwei bis drei Angebote mit identischer Deckung ein, denn die Preisunterschiede zwischen Anbietern sind spürbar.</w:t>
            </w:r>
          </w:p>
        </w:tc>
      </w:tr>
    </w:tbl>
    <w:p w14:paraId="70A4F3AC" w14:textId="77777777" w:rsidR="00C1548D" w:rsidRDefault="00C1548D">
      <w:pPr>
        <w:spacing w:line="220" w:lineRule="exact"/>
      </w:pPr>
    </w:p>
    <w:p w14:paraId="70A4F3AD" w14:textId="77777777" w:rsidR="00C1548D" w:rsidRDefault="009B1B4B">
      <w:pPr>
        <w:spacing w:after="140"/>
      </w:pPr>
      <w:r>
        <w:t xml:space="preserve">Die Zulassung selbst (umgangssprachlich </w:t>
      </w:r>
      <w:r>
        <w:rPr>
          <w:i/>
          <w:iCs/>
        </w:rPr>
        <w:t>Rego</w:t>
      </w:r>
      <w:r>
        <w:t xml:space="preserve">, kurz für </w:t>
      </w:r>
      <w:r>
        <w:rPr>
          <w:i/>
          <w:iCs/>
        </w:rPr>
        <w:t>Registration</w:t>
      </w:r>
      <w:r>
        <w:t xml:space="preserve">) läuft über dieselbe Landesbehörde, die auch den 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w:t>
      </w:r>
      <w:r>
        <w:t>läuft in der Regel jährlich und wird meist automatisch per Brief oder SMS angekündigt, bezahlt wird online.</w:t>
      </w:r>
    </w:p>
    <w:p w14:paraId="70A4F3AE" w14:textId="77777777" w:rsidR="00C1548D" w:rsidRDefault="009B1B4B">
      <w:pPr>
        <w:spacing w:after="140"/>
      </w:pPr>
      <w:r>
        <w:t>Die Zulassungskosten inklusive CTP reichen je nach Bundesstaat und Fahrzeug von wenigen hundert bis über 1.000 AUD im Jahr – eine grobe Richtgröße, keine feste Zahl, die du beim zuständigen Amt deines Bundesstaats konkret erfragst.</w:t>
      </w:r>
    </w:p>
    <w:p w14:paraId="70A4F3AF" w14:textId="77777777" w:rsidR="00C1548D" w:rsidRDefault="009B1B4B">
      <w:pPr>
        <w:pStyle w:val="Heading3"/>
        <w:keepNext/>
        <w:jc w:val="center"/>
      </w:pPr>
      <w:r>
        <w:rPr>
          <w:rFonts w:ascii="Amazon Ember" w:eastAsia="Amazon Ember" w:hAnsi="Amazon Ember" w:cs="Amazon Ember"/>
          <w:color w:val="0000FF"/>
          <w:sz w:val="36"/>
          <w:szCs w:val="36"/>
        </w:rPr>
        <w:t>Alkohol am Steuer und die Kultur der Random Breath Tests</w:t>
      </w:r>
    </w:p>
    <w:p w14:paraId="70A4F3B0" w14:textId="77777777" w:rsidR="00C1548D" w:rsidRDefault="009B1B4B">
      <w:pPr>
        <w:spacing w:after="140"/>
      </w:pPr>
      <w:r>
        <w:t>Für Inhaber einer vollen Lizenz gilt bundesweit einheitlich eine Grenze von 0,05 % BAC (</w:t>
      </w:r>
      <w:r>
        <w:rPr>
          <w:i/>
          <w:iCs/>
        </w:rPr>
        <w:t>Blood Alcohol Concentration</w:t>
      </w:r>
      <w:r>
        <w:t xml:space="preserve">, Blutalkoholkonzentration) – niedriger als die deutschen 0,5 Promille. Für Lern- und Anfängerfahrer mit </w:t>
      </w:r>
      <w:r>
        <w:rPr>
          <w:i/>
          <w:iCs/>
        </w:rPr>
        <w:t>P-Plates</w:t>
      </w:r>
      <w:r>
        <w:t xml:space="preserve"> (der Kennzeichnung für Fahranfänger, vergleichbar der deutschen </w:t>
      </w:r>
      <w:r>
        <w:lastRenderedPageBreak/>
        <w:t>Probezeit) gilt bundesweit 0,00 %: Jede messbare Menge Alkohol ist ein Verstoß, unabhängig von tatsächlicher Beeinträchtigung.</w:t>
      </w:r>
    </w:p>
    <w:p w14:paraId="70A4F3B1" w14:textId="77777777" w:rsidR="00C1548D" w:rsidRDefault="009B1B4B">
      <w:pPr>
        <w:spacing w:after="140"/>
      </w:pPr>
      <w:r>
        <w:t xml:space="preserve">Was diese Zahl im Alltag deutlich greifbarer macht als in Deutschland, ist die Kontrolldichte. </w:t>
      </w:r>
      <w:r>
        <w:rPr>
          <w:i/>
          <w:iCs/>
        </w:rPr>
        <w:t>Random Breath Testing</w:t>
      </w:r>
      <w:r>
        <w:t xml:space="preserve"> (RBT, verdachtsunabhängige Atemalkoholkontrolle direkt auf der Straße) ist seit der Einführung in New South Wales 1982 ein fester Bestandteil der australischen Verkehrssicherheitskultur: Landesweit werden inzwischen rund 15 Millionen Atemtests pro Jahr durchgeführt, gegenüber 2,1 Millionen im Jahr 1997/98. New South Wales Police allein führt über 4 Millionen Tests im Jahr durch und meldete zum 40. Jahrestag der RBT 2022 kumuliert 123 Millionen Tests und 1 Million Festnahmen seit Einführung. Wissenschaftlic</w:t>
      </w:r>
      <w:r>
        <w:t>h wird RBT mit geschätzt 5.279 verhinderten Verkehrstoten allein in vier australischen Bundesstaaten in Verbindung gebracht.</w:t>
      </w:r>
    </w:p>
    <w:p w14:paraId="70A4F3B2" w14:textId="77777777" w:rsidR="00C1548D" w:rsidRDefault="009B1B4B">
      <w:pPr>
        <w:spacing w:after="140"/>
      </w:pPr>
      <w:r>
        <w:t>Praktisch heißt das: Kontrollstellen, an denen reihenweise Fahrzeuge ohne konkreten Anlass zum Atemtest herausgewunken werden, begegnen dir im Lauf eines Jahres so gut wie sicher – meist am Straßenrand, oft abends oder am Wochenende, manchmal auch tagsüber. Das ist kein Zeichen, dass etwas Besonderes vorgefallen ist, sondern schlicht Alltag.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B5"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3B3" w14:textId="77777777" w:rsidR="00C1548D" w:rsidRDefault="009B1B4B">
            <w:pPr>
              <w:keepNext/>
              <w:spacing w:after="70" w:line="240" w:lineRule="auto"/>
            </w:pPr>
            <w:r>
              <w:rPr>
                <w:b/>
                <w:bCs/>
                <w:color w:val="8A6212"/>
                <w:spacing w:val="24"/>
                <w:sz w:val="16"/>
                <w:szCs w:val="16"/>
              </w:rPr>
              <w:t>MERKE</w:t>
            </w:r>
          </w:p>
          <w:p w14:paraId="70A4F3B4" w14:textId="77777777" w:rsidR="00C1548D" w:rsidRDefault="009B1B4B">
            <w:pPr>
              <w:spacing w:after="80" w:line="264" w:lineRule="auto"/>
            </w:pPr>
            <w:r>
              <w:rPr>
                <w:sz w:val="20"/>
                <w:szCs w:val="20"/>
              </w:rPr>
              <w:t>In Australien ist es der Normalfall, nicht die Ausnahme, im Lauf eines Jahres mindestens einmal in eine Random-Breath-Test-Kontrolle zu geraten. Führerschein und Ausweis griffbereit zu haben, gehört ebenso zur Routine wie der Sicherheitsgurt.</w:t>
            </w:r>
          </w:p>
        </w:tc>
      </w:tr>
    </w:tbl>
    <w:p w14:paraId="70A4F3B6" w14:textId="77777777" w:rsidR="00C1548D" w:rsidRDefault="00C1548D">
      <w:pPr>
        <w:spacing w:line="220" w:lineRule="exact"/>
      </w:pPr>
    </w:p>
    <w:p w14:paraId="70A4F3B7" w14:textId="77777777" w:rsidR="00C1548D" w:rsidRDefault="009B1B4B">
      <w:pPr>
        <w:pStyle w:val="Heading3"/>
        <w:keepNext/>
        <w:jc w:val="center"/>
      </w:pPr>
      <w:r>
        <w:rPr>
          <w:rFonts w:ascii="Amazon Ember" w:eastAsia="Amazon Ember" w:hAnsi="Amazon Ember" w:cs="Amazon Ember"/>
          <w:color w:val="0000FF"/>
          <w:sz w:val="36"/>
          <w:szCs w:val="36"/>
        </w:rPr>
        <w:t>Mobile Speed Cameras, Handy-Verbot und das Punktesystem</w:t>
      </w:r>
    </w:p>
    <w:p w14:paraId="70A4F3B8" w14:textId="77777777" w:rsidR="00C1548D" w:rsidRDefault="009B1B4B">
      <w:pPr>
        <w:spacing w:after="140"/>
      </w:pPr>
      <w:r>
        <w:t xml:space="preserve">Über 7.300 Kamerastandorte, fest und mobil, werden australienweit erfasst – New South Wales allein zählt rund 640 mobile Standorte. Wie sichtbar diese Kameras sind, entscheidet der Bundesstaat: </w:t>
      </w:r>
      <w:r>
        <w:lastRenderedPageBreak/>
        <w:t>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w14:paraId="70A4F3B9" w14:textId="77777777" w:rsidR="00C1548D" w:rsidRDefault="009B1B4B">
      <w:pPr>
        <w:spacing w:after="140"/>
      </w:pPr>
      <w:r>
        <w:t>Handynutzung am Steuer wird teuer geahndet, mit deutlichen Unterschieden zwischen den Bundesstaaten: In New South Wales kostet ein Verstoß 362 bis 481 AUD und 5 bis 10 Demeritpunkte, in Victoria seit einer Anhebung 2026 mindestens 577 AUD (bis 1.731 AUD je nach Verstoß) und 4 Punkte, in Queensland 1.161 AUD und 4 Punkte. Verschiedene Quellen bezeichnen jeweils ihren eigenen Bundesstaat als den mit der höchsten Strafe – Fakt ist: Alle drei liegen deutlich über dem, was in Deutschland für dasselbe Vergehen fä</w:t>
      </w:r>
      <w:r>
        <w:t>llig wird. KI-gestützte Erkennungskameras für Handynutzung sind inzwischen in New South Wales, Victoria und Queensland im Einsatz und erkennen die Handhaltung durch die Windschutzscheibe automatisch.</w:t>
      </w:r>
    </w:p>
    <w:p w14:paraId="70A4F3BA" w14:textId="77777777" w:rsidR="00C1548D" w:rsidRDefault="009B1B4B">
      <w:pPr>
        <w:spacing w:after="140"/>
      </w:pPr>
      <w:r>
        <w:t xml:space="preserve">Das </w:t>
      </w:r>
      <w:r>
        <w:rPr>
          <w:i/>
          <w:iCs/>
        </w:rPr>
        <w:t>Demerit-Points</w:t>
      </w:r>
      <w:r>
        <w:t>-System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beziehungsweise Probationary-Lizenzen. Ist die Grenze erreicht, drohen Sperre oder alternativ ein „Good Behaviour“-Zeitraum mit strengeren Auflagen.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B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3BB" w14:textId="77777777" w:rsidR="00C1548D" w:rsidRDefault="009B1B4B">
            <w:pPr>
              <w:keepNext/>
              <w:spacing w:after="70" w:line="240" w:lineRule="auto"/>
            </w:pPr>
            <w:r>
              <w:rPr>
                <w:b/>
                <w:bCs/>
                <w:color w:val="9B2C2C"/>
                <w:spacing w:val="24"/>
                <w:sz w:val="16"/>
                <w:szCs w:val="16"/>
              </w:rPr>
              <w:lastRenderedPageBreak/>
              <w:t>ACHTUNG</w:t>
            </w:r>
          </w:p>
          <w:p w14:paraId="70A4F3BC" w14:textId="77777777" w:rsidR="00C1548D" w:rsidRDefault="009B1B4B">
            <w:pPr>
              <w:spacing w:after="80" w:line="264" w:lineRule="auto"/>
            </w:pPr>
            <w:r>
              <w:rPr>
                <w:sz w:val="20"/>
                <w:szCs w:val="20"/>
              </w:rPr>
              <w:t>Ein einziger Handyverstoß kann bei knappem Punktestand schon zur Sperre führen, besonders bei P-Plate-Fahrern mit ihrer niedrigen Schwelle. Rechne Bußgeld und Punktabzug realistisch mit ein, bevor du zum Telefon greifst – eine kurze Nachricht ist selten die Fahrerlaubnis wert.</w:t>
            </w:r>
          </w:p>
        </w:tc>
      </w:tr>
    </w:tbl>
    <w:p w14:paraId="70A4F3BE" w14:textId="77777777" w:rsidR="00C1548D" w:rsidRDefault="00C1548D">
      <w:pPr>
        <w:spacing w:line="220" w:lineRule="exact"/>
      </w:pPr>
    </w:p>
    <w:p w14:paraId="70A4F3BF" w14:textId="77777777" w:rsidR="00C1548D" w:rsidRDefault="009B1B4B">
      <w:pPr>
        <w:pStyle w:val="Heading3"/>
        <w:keepNext/>
        <w:jc w:val="center"/>
      </w:pPr>
      <w:r>
        <w:rPr>
          <w:rFonts w:ascii="Amazon Ember" w:eastAsia="Amazon Ember" w:hAnsi="Amazon Ember" w:cs="Amazon Ember"/>
          <w:color w:val="0000FF"/>
          <w:sz w:val="36"/>
          <w:szCs w:val="36"/>
        </w:rPr>
        <w:t>Große Distanzen: Outback, Kängurus und Tempolimits</w:t>
      </w:r>
    </w:p>
    <w:p w14:paraId="70A4F3C0" w14:textId="77777777" w:rsidR="00C1548D" w:rsidRDefault="009B1B4B">
      <w:pPr>
        <w:spacing w:after="140"/>
      </w:pPr>
      <w:r>
        <w:t>Tempolimits regelt jeder Bundesstaat für sich, ohne bundeseinheitliches Regime. Als Faustregel gilt innerorts 50 km/h, außerorts 100 km/h, sofern nicht anders beschildert. New South Wales erlaubt auf Motorways oft 110 km/h, Victoria bleibt auf vergleichbaren Straßen häufiger bei 100 km/h, Queensland mischt beide Werte je nach Straße. Im Northern Territory gelten auf dem Stuart und dem Barkly Highway aktuell bis zu 130 km/h – frühere Abschnitte ganz ohne Limit wurden zwischenzeitlich mehrfach politisch geänd</w:t>
      </w:r>
      <w:r>
        <w:t>ert, weshalb sich der genaue Status vor einer Fahrt direkt bei der Verkehrsbehörde des Northern Territory lohnt zu prüfen. Ein Vorschlag, das ländliche Standardtempo von 100 auf 80 oder 70 km/h zu senken, wurde nach öffentlichem Widerstand bislang nicht umgesetzt.</w:t>
      </w:r>
    </w:p>
    <w:p w14:paraId="70A4F3C1" w14:textId="77777777" w:rsidR="00C1548D" w:rsidRDefault="009B1B4B">
      <w:pPr>
        <w:spacing w:after="140"/>
      </w:pPr>
      <w:r>
        <w:t>Die eigentliche Herausforderung im Outback sind aber selten die Tempolimits, sondern die Entfernungen selbst –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 hochgerechnet auf einen 390 Kilometer lange</w:t>
      </w:r>
      <w:r>
        <w:t xml:space="preserve">n Abschnitt ergäbe das über 5.000 getötete Wirbeltiere pro Jahr. Die meisten Kollisionen ereignen sich zwischen </w:t>
      </w:r>
      <w:r>
        <w:lastRenderedPageBreak/>
        <w:t>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w14:paraId="70A4F3C2" w14:textId="77777777" w:rsidR="00C1548D" w:rsidRDefault="009B1B4B">
      <w:pPr>
        <w:spacing w:after="140"/>
      </w:pPr>
      <w:r>
        <w:t xml:space="preserve">Dazu kommen </w:t>
      </w:r>
      <w:r>
        <w:rPr>
          <w:i/>
          <w:iCs/>
        </w:rPr>
        <w:t>Roadtrains</w:t>
      </w:r>
      <w:r>
        <w:t xml:space="preserve">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 im Zweifel lieber einmal zu oft warten als knapp einscheren.</w:t>
      </w:r>
    </w:p>
    <w:p w14:paraId="70A4F3C3" w14:textId="77777777" w:rsidR="00C1548D" w:rsidRDefault="009B1B4B">
      <w:pPr>
        <w:spacing w:after="140"/>
      </w:pPr>
      <w:r>
        <w:t>Die Faustregel für lange Strecken: nicht in der Dämmerung oder nachts fahren, wenn es sich vermeiden lässt, regelmäßig Pausen 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w:t>
      </w:r>
      <w:r>
        <w:t>ommunikationsgerät für den Notfall lohnt. Ein Ersatzreifen in fahrbereitem Zustand ist im Outback kein nettes Extra, sondern die letzte Absicherung, bevor aus einer Reifenpanne ein echtes Problem wird – gerade dort, wo die Distanz zur nächsten Werkstatt in Autostunden, nicht in Kilometern gedacht wird.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C6"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3C4" w14:textId="77777777" w:rsidR="00C1548D" w:rsidRDefault="009B1B4B">
            <w:pPr>
              <w:keepNext/>
              <w:spacing w:after="70" w:line="240" w:lineRule="auto"/>
            </w:pPr>
            <w:r>
              <w:rPr>
                <w:b/>
                <w:bCs/>
                <w:color w:val="4A5568"/>
                <w:spacing w:val="24"/>
                <w:sz w:val="16"/>
                <w:szCs w:val="16"/>
              </w:rPr>
              <w:lastRenderedPageBreak/>
              <w:t>PRAXISBEISPIEL · FIKTIV</w:t>
            </w:r>
          </w:p>
          <w:p w14:paraId="70A4F3C5" w14:textId="77777777" w:rsidR="00C1548D" w:rsidRDefault="009B1B4B">
            <w:pPr>
              <w:spacing w:after="80" w:line="264" w:lineRule="auto"/>
            </w:pPr>
            <w:r>
              <w:rPr>
                <w:sz w:val="20"/>
                <w:szCs w:val="20"/>
              </w:rPr>
              <w:t>Nina Voss (fiktives Beispiel) leiht sich zwischen zwei Jobs einen Gebrauchtwagen und fährt mit einer Freundin von Sydney Richtung Outback. Auf dem Rückweg, kurz nach Sonnenuntergang, taucht ohne Vorwarnung ein Känguru mitten auf der Fahrbahn auf; nur eine Vollbremsung verhindert Schlimmeres. Von da an fährt sie zwischen Dämmerung und Sonnenaufgang nicht mehr, sondern plant lange Pausen ein und bricht lieber vor Tagesanbruch neu auf. Auf der Rückfahrt hält sie eine Random-Breath-Test-Kontrolle an einer unsch</w:t>
            </w:r>
            <w:r>
              <w:rPr>
                <w:sz w:val="20"/>
                <w:szCs w:val="20"/>
              </w:rPr>
              <w:t>einbaren Straßensperre an – kurzer Atemtest, ein knappes „Have a good night“, weiter geht’s. Für Nina ist es die erste von mehreren solchen Kontrollen in diesem Jahr; Ausweis und Führerschein liegen seitdem griffbereit im Handschuhfach.</w:t>
            </w:r>
          </w:p>
        </w:tc>
      </w:tr>
    </w:tbl>
    <w:p w14:paraId="70A4F3C7" w14:textId="77777777" w:rsidR="00C1548D" w:rsidRDefault="00C1548D">
      <w:pPr>
        <w:spacing w:line="220" w:lineRule="exact"/>
      </w:pPr>
    </w:p>
    <w:p w14:paraId="70A4F3C8"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3CB"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3C9"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3CA" w14:textId="77777777" w:rsidR="00C1548D" w:rsidRDefault="009B1B4B">
            <w:pPr>
              <w:spacing w:line="250" w:lineRule="auto"/>
            </w:pPr>
            <w:r>
              <w:rPr>
                <w:b/>
                <w:bCs/>
                <w:sz w:val="18"/>
                <w:szCs w:val="18"/>
              </w:rPr>
              <w:t>Minus</w:t>
            </w:r>
          </w:p>
        </w:tc>
      </w:tr>
      <w:tr w:rsidR="00C1548D" w14:paraId="70A4F3C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CC" w14:textId="77777777" w:rsidR="00C1548D" w:rsidRDefault="009B1B4B">
            <w:pPr>
              <w:spacing w:line="250" w:lineRule="auto"/>
            </w:pPr>
            <w:r>
              <w:rPr>
                <w:sz w:val="18"/>
                <w:szCs w:val="18"/>
              </w:rPr>
              <w:t>Führerschein-Umtausch läuft in den meisten Bundesstaaten ohne Prüfung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CD" w14:textId="77777777" w:rsidR="00C1548D" w:rsidRDefault="009B1B4B">
            <w:pPr>
              <w:spacing w:line="250" w:lineRule="auto"/>
            </w:pPr>
            <w:r>
              <w:rPr>
                <w:sz w:val="18"/>
                <w:szCs w:val="18"/>
              </w:rPr>
              <w:t>Fristen und Regeln unterscheiden sich stark, ein Umzug setzt die Uhr neu</w:t>
            </w:r>
          </w:p>
        </w:tc>
      </w:tr>
      <w:tr w:rsidR="00C1548D" w14:paraId="70A4F3D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CF" w14:textId="77777777" w:rsidR="00C1548D" w:rsidRDefault="009B1B4B">
            <w:pPr>
              <w:spacing w:line="250" w:lineRule="auto"/>
            </w:pPr>
            <w:r>
              <w:rPr>
                <w:sz w:val="18"/>
                <w:szCs w:val="18"/>
              </w:rPr>
              <w:t>Straßen und Fernstraßen sind gut ausgebaut und meist mautfrei</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D0" w14:textId="77777777" w:rsidR="00C1548D" w:rsidRDefault="009B1B4B">
            <w:pPr>
              <w:spacing w:line="250" w:lineRule="auto"/>
            </w:pPr>
            <w:r>
              <w:rPr>
                <w:sz w:val="18"/>
                <w:szCs w:val="18"/>
              </w:rPr>
              <w:t>Riesige Entfernungen zwischen Städten, im Outback kaum Handyempfang</w:t>
            </w:r>
          </w:p>
        </w:tc>
      </w:tr>
      <w:tr w:rsidR="00C1548D" w14:paraId="70A4F3D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D2" w14:textId="77777777" w:rsidR="00C1548D" w:rsidRDefault="009B1B4B">
            <w:pPr>
              <w:spacing w:line="250" w:lineRule="auto"/>
            </w:pPr>
            <w:r>
              <w:rPr>
                <w:sz w:val="18"/>
                <w:szCs w:val="18"/>
              </w:rPr>
              <w:t>RBT-Kontrollen machen Alkohol am Steuer sichtbar unattraktiv</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D3" w14:textId="77777777" w:rsidR="00C1548D" w:rsidRDefault="009B1B4B">
            <w:pPr>
              <w:spacing w:line="250" w:lineRule="auto"/>
            </w:pPr>
            <w:r>
              <w:rPr>
                <w:sz w:val="18"/>
                <w:szCs w:val="18"/>
              </w:rPr>
              <w:t>Verdachtsunabhängige Kontrollen sind für Neuankömmlinge gewöhnungsbedürftig</w:t>
            </w:r>
          </w:p>
        </w:tc>
      </w:tr>
      <w:tr w:rsidR="00C1548D" w14:paraId="70A4F3D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D5" w14:textId="77777777" w:rsidR="00C1548D" w:rsidRDefault="009B1B4B">
            <w:pPr>
              <w:spacing w:line="250" w:lineRule="auto"/>
            </w:pPr>
            <w:r>
              <w:rPr>
                <w:sz w:val="18"/>
                <w:szCs w:val="18"/>
              </w:rPr>
              <w:t>CTP-Pflichtversicherung deckt Personenschäden von Beginn an ab</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D6" w14:textId="77777777" w:rsidR="00C1548D" w:rsidRDefault="009B1B4B">
            <w:pPr>
              <w:spacing w:line="250" w:lineRule="auto"/>
            </w:pPr>
            <w:r>
              <w:rPr>
                <w:sz w:val="18"/>
                <w:szCs w:val="18"/>
              </w:rPr>
              <w:t>Zusatzversicherung und Roadworthy-Prüfung sind je Bundesstaat unterschiedlich geregelt</w:t>
            </w:r>
          </w:p>
        </w:tc>
      </w:tr>
      <w:tr w:rsidR="00C1548D" w14:paraId="70A4F3D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D8" w14:textId="77777777" w:rsidR="00C1548D" w:rsidRDefault="009B1B4B">
            <w:pPr>
              <w:spacing w:line="250" w:lineRule="auto"/>
            </w:pPr>
            <w:r>
              <w:rPr>
                <w:sz w:val="18"/>
                <w:szCs w:val="18"/>
              </w:rPr>
              <w:t>Kreisverkehr, Vorfahrt und Tempolimits folgen klaren, lernbaren Regeln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D9" w14:textId="77777777" w:rsidR="00C1548D" w:rsidRDefault="009B1B4B">
            <w:pPr>
              <w:spacing w:line="250" w:lineRule="auto"/>
            </w:pPr>
            <w:r>
              <w:rPr>
                <w:sz w:val="18"/>
                <w:szCs w:val="18"/>
              </w:rPr>
              <w:t>Linksverkehr erfordert echte Umgewöhnung, Fehler passieren vor allem in den ersten Wochen</w:t>
            </w:r>
          </w:p>
        </w:tc>
      </w:tr>
      <w:tr w:rsidR="00C1548D" w14:paraId="70A4F3D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DB" w14:textId="77777777" w:rsidR="00C1548D" w:rsidRDefault="009B1B4B">
            <w:pPr>
              <w:spacing w:line="250" w:lineRule="auto"/>
            </w:pPr>
            <w:r>
              <w:rPr>
                <w:sz w:val="18"/>
                <w:szCs w:val="18"/>
              </w:rPr>
              <w:t>Mobile Speed Cameras und KI-Erkennung erhöhen die Verkehrssicherheit spürbar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3DC" w14:textId="77777777" w:rsidR="00C1548D" w:rsidRDefault="009B1B4B">
            <w:pPr>
              <w:spacing w:line="250" w:lineRule="auto"/>
            </w:pPr>
            <w:r>
              <w:rPr>
                <w:sz w:val="18"/>
                <w:szCs w:val="18"/>
              </w:rPr>
              <w:t>Bußgelder fürs Handy am Steuer erreichen vierstellige Beträge</w:t>
            </w:r>
          </w:p>
        </w:tc>
      </w:tr>
    </w:tbl>
    <w:p w14:paraId="70A4F3DE" w14:textId="77777777" w:rsidR="00C1548D" w:rsidRDefault="00C1548D">
      <w:pPr>
        <w:spacing w:line="180" w:lineRule="exact"/>
      </w:pPr>
    </w:p>
    <w:p w14:paraId="70A4F3DF"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jetzt zu tun ist</w:t>
      </w:r>
    </w:p>
    <w:p w14:paraId="70A4F3E0" w14:textId="77777777" w:rsidR="00C1548D" w:rsidRDefault="009B1B4B" w:rsidP="009B1B4B">
      <w:pPr>
        <w:pStyle w:val="ListParagraph"/>
        <w:numPr>
          <w:ilvl w:val="0"/>
          <w:numId w:val="45"/>
        </w:numPr>
        <w:spacing w:after="60"/>
      </w:pPr>
      <w:r>
        <w:t>Vor dem Abflug: Umtauschfrist und Prüfungspflicht deines Zielbundesstaats klären, englische Übersetzung oder IDP beantragen.</w:t>
      </w:r>
    </w:p>
    <w:p w14:paraId="70A4F3E1" w14:textId="77777777" w:rsidR="00C1548D" w:rsidRDefault="009B1B4B" w:rsidP="009B1B4B">
      <w:pPr>
        <w:pStyle w:val="ListParagraph"/>
        <w:numPr>
          <w:ilvl w:val="0"/>
          <w:numId w:val="45"/>
        </w:numPr>
        <w:spacing w:after="60"/>
      </w:pPr>
      <w:r>
        <w:t>In der ersten Woche: Erste Fahrten auf ruhigen Strecken üben, CTP-Versicherung klären, Termin bei der zuständigen Behörde vereinbaren.</w:t>
      </w:r>
    </w:p>
    <w:p w14:paraId="70A4F3E2" w14:textId="77777777" w:rsidR="00C1548D" w:rsidRDefault="009B1B4B" w:rsidP="009B1B4B">
      <w:pPr>
        <w:pStyle w:val="ListParagraph"/>
        <w:numPr>
          <w:ilvl w:val="0"/>
          <w:numId w:val="45"/>
        </w:numPr>
        <w:spacing w:after="60"/>
      </w:pPr>
      <w:r>
        <w:t>Vor dem Autokauf: Bei Bedarf unabhängige Fahrzeuginspektion organisieren und mehrere Versicherungsangebote vergleichen.</w:t>
      </w:r>
    </w:p>
    <w:p w14:paraId="70A4F3E3"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F0"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3E4" w14:textId="77777777" w:rsidR="00C1548D" w:rsidRDefault="009B1B4B">
            <w:pPr>
              <w:keepNext/>
              <w:spacing w:after="70" w:line="240" w:lineRule="auto"/>
            </w:pPr>
            <w:r>
              <w:rPr>
                <w:b/>
                <w:bCs/>
                <w:color w:val="1F6F78"/>
                <w:spacing w:val="24"/>
                <w:sz w:val="16"/>
                <w:szCs w:val="16"/>
              </w:rPr>
              <w:t>CHECKLISTE</w:t>
            </w:r>
          </w:p>
          <w:p w14:paraId="70A4F3E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Umtauschfrist deines Zielbundesstaats bei der zuständigen Verkehrsbehörde geprüft</w:t>
            </w:r>
          </w:p>
          <w:p w14:paraId="70A4F3E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Englische Übersetzung des Führerscheins oder Internationalen Führerschein (IDP) vor der Abreise beantragt</w:t>
            </w:r>
          </w:p>
          <w:p w14:paraId="70A4F3E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Erste Fahrten in ruhiger Umgebung eingeplant, v. a. Kreisverkehre und Linksabbiegen</w:t>
            </w:r>
          </w:p>
          <w:p w14:paraId="70A4F3E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CTP-Pflichtversicherung geklärt (in Victoria automatisch, sonst separat zu wählen)</w:t>
            </w:r>
          </w:p>
          <w:p w14:paraId="70A4F3E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Gebrauchtwagenkauf außerhalb Victoria/Queensland unabhängige Inspektion eingeplant</w:t>
            </w:r>
          </w:p>
          <w:p w14:paraId="70A4F3E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Mindestens zwei bis drei Versicherungsangebote mit identischer Deckung eingeholt</w:t>
            </w:r>
          </w:p>
          <w:p w14:paraId="70A4F3E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Ausweis und Führerschein für Random-Breath-Test-Kontrollen griffbereit</w:t>
            </w:r>
          </w:p>
          <w:p w14:paraId="70A4F3E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Handy-Regeln des Bundesstaats gekannt und Halterung fürs Fahrzeug besorgt</w:t>
            </w:r>
          </w:p>
          <w:p w14:paraId="70A4F3E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Demerit-Punktestand und dessen Schwelle im Zielbundesstaat notiert</w:t>
            </w:r>
          </w:p>
          <w:p w14:paraId="70A4F3E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Outback-Fahrten mit Pausen, Wasser und möglichst viel Tageslicht geplant</w:t>
            </w:r>
          </w:p>
          <w:p w14:paraId="70A4F3E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Umzug zwischen Bundesstaaten neue Umtauschfrist ab Wohnsitzwechsel geprüft</w:t>
            </w:r>
          </w:p>
        </w:tc>
      </w:tr>
    </w:tbl>
    <w:p w14:paraId="70A4F3F1" w14:textId="77777777" w:rsidR="00C1548D" w:rsidRDefault="00C1548D">
      <w:pPr>
        <w:spacing w:line="220" w:lineRule="exact"/>
      </w:pPr>
    </w:p>
    <w:p w14:paraId="70A4F3F2" w14:textId="77777777" w:rsidR="00C1548D" w:rsidRDefault="009B1B4B">
      <w:pPr>
        <w:pStyle w:val="Heading3"/>
        <w:keepNext/>
        <w:jc w:val="center"/>
      </w:pPr>
      <w:r>
        <w:rPr>
          <w:rFonts w:ascii="Amazon Ember" w:eastAsia="Amazon Ember" w:hAnsi="Amazon Ember" w:cs="Amazon Ember"/>
          <w:color w:val="0000FF"/>
          <w:sz w:val="36"/>
          <w:szCs w:val="36"/>
        </w:rPr>
        <w:lastRenderedPageBreak/>
        <w:t>Quellen und weiterführende Links</w:t>
      </w:r>
    </w:p>
    <w:p w14:paraId="70A4F3F3" w14:textId="3FBAFE8D" w:rsidR="00C1548D" w:rsidRDefault="009B1B4B" w:rsidP="009B1B4B">
      <w:pPr>
        <w:pStyle w:val="ListParagraph"/>
        <w:numPr>
          <w:ilvl w:val="0"/>
          <w:numId w:val="1"/>
        </w:numPr>
        <w:spacing w:after="60"/>
      </w:pPr>
      <w:r>
        <w:t xml:space="preserve">Verkehrsbehörden der Bundesstaaten — Führerschein-Umtausch, Fristen: </w:t>
      </w:r>
      <w:hyperlink r:id="rId432" w:history="1">
        <w:r>
          <w:rPr>
            <w:color w:val="0563C1"/>
            <w:u w:val="single"/>
          </w:rPr>
          <w:t>transport.vic.gov.au</w:t>
        </w:r>
      </w:hyperlink>
      <w:r>
        <w:t xml:space="preserve">, </w:t>
      </w:r>
      <w:hyperlink r:id="rId433" w:history="1">
        <w:r>
          <w:rPr>
            <w:color w:val="0563C1"/>
            <w:u w:val="single"/>
          </w:rPr>
          <w:t>service.nsw.gov.au</w:t>
        </w:r>
      </w:hyperlink>
      <w:r>
        <w:t xml:space="preserve">, </w:t>
      </w:r>
      <w:hyperlink r:id="rId434" w:history="1">
        <w:r>
          <w:rPr>
            <w:color w:val="0563C1"/>
            <w:u w:val="single"/>
          </w:rPr>
          <w:t>tmr.qld.gov.au</w:t>
        </w:r>
      </w:hyperlink>
    </w:p>
    <w:p w14:paraId="70A4F3F4" w14:textId="1B4E70FF" w:rsidR="00C1548D" w:rsidRDefault="009B1B4B" w:rsidP="009B1B4B">
      <w:pPr>
        <w:pStyle w:val="ListParagraph"/>
        <w:numPr>
          <w:ilvl w:val="0"/>
          <w:numId w:val="1"/>
        </w:numPr>
        <w:spacing w:after="60"/>
      </w:pPr>
      <w:r>
        <w:t xml:space="preserve">Deutsche Vertretungen in Australien — Führerschein, IDP: </w:t>
      </w:r>
      <w:hyperlink r:id="rId435" w:history="1">
        <w:r>
          <w:rPr>
            <w:color w:val="0563C1"/>
            <w:u w:val="single"/>
          </w:rPr>
          <w:t>australien.diplo.de</w:t>
        </w:r>
      </w:hyperlink>
    </w:p>
    <w:p w14:paraId="70A4F3F5" w14:textId="75137662" w:rsidR="00C1548D" w:rsidRDefault="009B1B4B" w:rsidP="009B1B4B">
      <w:pPr>
        <w:pStyle w:val="ListParagraph"/>
        <w:numPr>
          <w:ilvl w:val="0"/>
          <w:numId w:val="1"/>
        </w:numPr>
        <w:spacing w:after="60"/>
      </w:pPr>
      <w:r>
        <w:t xml:space="preserve">Austroads — Tempolimits, Verkehrsregeln im Ländervergleich: </w:t>
      </w:r>
      <w:hyperlink r:id="rId436" w:history="1">
        <w:r>
          <w:rPr>
            <w:color w:val="0563C1"/>
            <w:u w:val="single"/>
          </w:rPr>
          <w:t>austroads.gov.au</w:t>
        </w:r>
      </w:hyperlink>
    </w:p>
    <w:p w14:paraId="70A4F3F6" w14:textId="657CFF70" w:rsidR="00C1548D" w:rsidRDefault="009B1B4B" w:rsidP="009B1B4B">
      <w:pPr>
        <w:pStyle w:val="ListParagraph"/>
        <w:numPr>
          <w:ilvl w:val="0"/>
          <w:numId w:val="1"/>
        </w:numPr>
        <w:spacing w:after="60"/>
      </w:pPr>
      <w:r>
        <w:t xml:space="preserve">New South Wales Police / Bundesstaats-Polizeibehörden — Random Breath Testing: </w:t>
      </w:r>
      <w:hyperlink r:id="rId437" w:history="1">
        <w:r>
          <w:rPr>
            <w:color w:val="0563C1"/>
            <w:u w:val="single"/>
          </w:rPr>
          <w:t>nsw.gov.au</w:t>
        </w:r>
      </w:hyperlink>
    </w:p>
    <w:p w14:paraId="70A4F3F7" w14:textId="08B3D911" w:rsidR="00C1548D" w:rsidRDefault="009B1B4B" w:rsidP="009B1B4B">
      <w:pPr>
        <w:pStyle w:val="ListParagraph"/>
        <w:numPr>
          <w:ilvl w:val="0"/>
          <w:numId w:val="1"/>
        </w:numPr>
        <w:spacing w:after="60"/>
      </w:pPr>
      <w:r>
        <w:t xml:space="preserve">Kangaroo Management Taskforce, CSIRO — Wildtierunfälle im Outback: </w:t>
      </w:r>
      <w:hyperlink r:id="rId438" w:history="1">
        <w:r>
          <w:rPr>
            <w:color w:val="0563C1"/>
            <w:u w:val="single"/>
          </w:rPr>
          <w:t>kangaroomanagementtaskforce.com.au</w:t>
        </w:r>
      </w:hyperlink>
      <w:r>
        <w:t xml:space="preserve">, </w:t>
      </w:r>
      <w:hyperlink r:id="rId439" w:history="1">
        <w:r>
          <w:rPr>
            <w:color w:val="0563C1"/>
            <w:u w:val="single"/>
          </w:rPr>
          <w:t>csiro.au</w:t>
        </w:r>
      </w:hyperlink>
    </w:p>
    <w:p w14:paraId="70A4F3F8" w14:textId="70EDA748" w:rsidR="00C1548D" w:rsidRDefault="009B1B4B" w:rsidP="009B1B4B">
      <w:pPr>
        <w:pStyle w:val="ListParagraph"/>
        <w:numPr>
          <w:ilvl w:val="0"/>
          <w:numId w:val="1"/>
        </w:numPr>
        <w:spacing w:after="60"/>
      </w:pPr>
      <w:r>
        <w:t xml:space="preserve">Motorclubs — Praxisratgeber für Neuankömmlinge: </w:t>
      </w:r>
      <w:hyperlink r:id="rId440" w:history="1">
        <w:r>
          <w:rPr>
            <w:color w:val="0563C1"/>
            <w:u w:val="single"/>
          </w:rPr>
          <w:t>nrma.com.au</w:t>
        </w:r>
      </w:hyperlink>
      <w:r>
        <w:t xml:space="preserve">, </w:t>
      </w:r>
      <w:hyperlink r:id="rId441" w:history="1">
        <w:r>
          <w:rPr>
            <w:color w:val="0563C1"/>
            <w:u w:val="single"/>
          </w:rPr>
          <w:t>racv.com.au</w:t>
        </w:r>
      </w:hyperlink>
    </w:p>
    <w:p w14:paraId="70A4F3F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3F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3FA" w14:textId="77777777" w:rsidR="00C1548D" w:rsidRDefault="009B1B4B">
            <w:pPr>
              <w:keepNext/>
              <w:spacing w:after="70" w:line="240" w:lineRule="auto"/>
            </w:pPr>
            <w:r>
              <w:rPr>
                <w:b/>
                <w:bCs/>
                <w:color w:val="6B7280"/>
                <w:spacing w:val="24"/>
                <w:sz w:val="16"/>
                <w:szCs w:val="16"/>
              </w:rPr>
              <w:t>STAND</w:t>
            </w:r>
          </w:p>
          <w:p w14:paraId="70A4F3FB" w14:textId="77777777" w:rsidR="00C1548D" w:rsidRDefault="009B1B4B">
            <w:pPr>
              <w:spacing w:after="80" w:line="264" w:lineRule="auto"/>
            </w:pPr>
            <w:r>
              <w:rPr>
                <w:sz w:val="20"/>
                <w:szCs w:val="20"/>
              </w:rPr>
              <w:t>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tc>
      </w:tr>
    </w:tbl>
    <w:p w14:paraId="70A4F3FD" w14:textId="77777777" w:rsidR="00C1548D" w:rsidRDefault="00C1548D">
      <w:pPr>
        <w:spacing w:line="220" w:lineRule="exact"/>
      </w:pPr>
    </w:p>
    <w:p w14:paraId="70A4F3FE" w14:textId="77777777" w:rsidR="00C1548D" w:rsidRDefault="009B1B4B">
      <w:pPr>
        <w:pStyle w:val="Heading2"/>
        <w:keepNext/>
        <w:pageBreakBefore/>
        <w:jc w:val="center"/>
      </w:pPr>
      <w:bookmarkStart w:id="122" w:name="tau11"/>
      <w:bookmarkStart w:id="123" w:name="_Toc241352512"/>
      <w:r>
        <w:rPr>
          <w:rFonts w:ascii="Amazon Ember" w:eastAsia="Amazon Ember" w:hAnsi="Amazon Ember" w:cs="Amazon Ember"/>
          <w:color w:val="0000FF"/>
          <w:sz w:val="36"/>
          <w:szCs w:val="36"/>
        </w:rPr>
        <w:lastRenderedPageBreak/>
        <w:t>Australien: Alltagskultur und Umgangsformen</w:t>
      </w:r>
      <w:bookmarkEnd w:id="122"/>
      <w:bookmarkEnd w:id="123"/>
    </w:p>
    <w:p w14:paraId="70A4F3FF" w14:textId="77777777" w:rsidR="00C1548D" w:rsidRDefault="009B1B4B">
      <w:pPr>
        <w:spacing w:after="140"/>
      </w:pPr>
      <w:r>
        <w:t xml:space="preserve">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t>
      </w:r>
      <w:r>
        <w:t>wären, sondern weil sie so beiläufig daherkommen, dass man sie leicht unterschätzt.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07"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400" w14:textId="77777777" w:rsidR="00C1548D" w:rsidRDefault="009B1B4B">
            <w:pPr>
              <w:keepNext/>
              <w:spacing w:after="70" w:line="240" w:lineRule="auto"/>
            </w:pPr>
            <w:r>
              <w:rPr>
                <w:b/>
                <w:bCs/>
                <w:color w:val="1F3A5F"/>
                <w:spacing w:val="24"/>
                <w:sz w:val="16"/>
                <w:szCs w:val="16"/>
              </w:rPr>
              <w:t>KURZ GESAGT</w:t>
            </w:r>
          </w:p>
          <w:p w14:paraId="70A4F401" w14:textId="77777777" w:rsidR="00C1548D" w:rsidRDefault="009B1B4B" w:rsidP="009B1B4B">
            <w:pPr>
              <w:pStyle w:val="ListParagraph"/>
              <w:numPr>
                <w:ilvl w:val="0"/>
                <w:numId w:val="1"/>
              </w:numPr>
              <w:spacing w:after="50" w:line="264" w:lineRule="auto"/>
            </w:pPr>
            <w:r>
              <w:rPr>
                <w:sz w:val="20"/>
                <w:szCs w:val="20"/>
              </w:rPr>
              <w:t>Australische Umgangsformen sind betont informell: Vornamen statt Titel, „mate“ für fast jeden, flache Hierarchien selbst gegenüber Fremden und Vorgesetzten.</w:t>
            </w:r>
          </w:p>
          <w:p w14:paraId="70A4F402" w14:textId="77777777" w:rsidR="00C1548D" w:rsidRDefault="009B1B4B" w:rsidP="009B1B4B">
            <w:pPr>
              <w:pStyle w:val="ListParagraph"/>
              <w:numPr>
                <w:ilvl w:val="0"/>
                <w:numId w:val="1"/>
              </w:numPr>
              <w:spacing w:after="50" w:line="264" w:lineRule="auto"/>
            </w:pPr>
            <w:r>
              <w:rPr>
                <w:sz w:val="20"/>
                <w:szCs w:val="20"/>
              </w:rPr>
              <w:t>Direktheit gilt schnell als unhöflich; Konflikte werden eher umschifft oder mit Humor entschärft – deutsche Sachlichkeit kommt hier oft härter an, als sie gemeint ist.</w:t>
            </w:r>
          </w:p>
          <w:p w14:paraId="70A4F403" w14:textId="77777777" w:rsidR="00C1548D" w:rsidRDefault="009B1B4B" w:rsidP="009B1B4B">
            <w:pPr>
              <w:pStyle w:val="ListParagraph"/>
              <w:numPr>
                <w:ilvl w:val="0"/>
                <w:numId w:val="1"/>
              </w:numPr>
              <w:spacing w:after="50" w:line="264" w:lineRule="auto"/>
            </w:pPr>
            <w:r>
              <w:rPr>
                <w:sz w:val="20"/>
                <w:szCs w:val="20"/>
              </w:rPr>
              <w:t>„No worries“ und „She’ll be right“ sind mehr als Floskeln – sie beschreiben eine Grundhaltung, über die du dich erst wunderst und die du dann zu schätzen lernst.</w:t>
            </w:r>
          </w:p>
          <w:p w14:paraId="70A4F404" w14:textId="77777777" w:rsidR="00C1548D" w:rsidRDefault="009B1B4B" w:rsidP="009B1B4B">
            <w:pPr>
              <w:pStyle w:val="ListParagraph"/>
              <w:numPr>
                <w:ilvl w:val="0"/>
                <w:numId w:val="1"/>
              </w:numPr>
              <w:spacing w:after="50" w:line="264" w:lineRule="auto"/>
            </w:pPr>
            <w:r>
              <w:rPr>
                <w:sz w:val="20"/>
                <w:szCs w:val="20"/>
              </w:rPr>
              <w:t xml:space="preserve">Einladungen sind locker, aber nicht beliebig: </w:t>
            </w:r>
            <w:r>
              <w:rPr>
                <w:i/>
                <w:iCs/>
                <w:sz w:val="20"/>
                <w:szCs w:val="20"/>
              </w:rPr>
              <w:t>BYO</w:t>
            </w:r>
            <w:r>
              <w:rPr>
                <w:sz w:val="20"/>
                <w:szCs w:val="20"/>
              </w:rPr>
              <w:t xml:space="preserve"> (</w:t>
            </w:r>
            <w:r>
              <w:rPr>
                <w:i/>
                <w:iCs/>
                <w:sz w:val="20"/>
                <w:szCs w:val="20"/>
              </w:rPr>
              <w:t>Bring Your Own</w:t>
            </w:r>
            <w:r>
              <w:rPr>
                <w:sz w:val="20"/>
                <w:szCs w:val="20"/>
              </w:rPr>
              <w:t>, eigene Getränke mitbringen) ist beim Barbecue die Regel, „We should catch up sometime“ dagegen selten wörtlich gemeint.</w:t>
            </w:r>
          </w:p>
          <w:p w14:paraId="70A4F405" w14:textId="77777777" w:rsidR="00C1548D" w:rsidRDefault="009B1B4B" w:rsidP="009B1B4B">
            <w:pPr>
              <w:pStyle w:val="ListParagraph"/>
              <w:numPr>
                <w:ilvl w:val="0"/>
                <w:numId w:val="1"/>
              </w:numPr>
              <w:spacing w:after="50" w:line="264" w:lineRule="auto"/>
            </w:pPr>
            <w:r>
              <w:rPr>
                <w:sz w:val="20"/>
                <w:szCs w:val="20"/>
              </w:rPr>
              <w:t>Small Talk läuft über Wetter, Sport und Wochenende, so gut wie nie über Gehalt, Herkunftsdetails oder ernste Themen beim ersten Treffen.</w:t>
            </w:r>
          </w:p>
          <w:p w14:paraId="70A4F406" w14:textId="77777777" w:rsidR="00C1548D" w:rsidRDefault="009B1B4B" w:rsidP="009B1B4B">
            <w:pPr>
              <w:pStyle w:val="ListParagraph"/>
              <w:numPr>
                <w:ilvl w:val="0"/>
                <w:numId w:val="1"/>
              </w:numPr>
              <w:spacing w:after="50" w:line="264" w:lineRule="auto"/>
            </w:pPr>
            <w:r>
              <w:rPr>
                <w:sz w:val="20"/>
                <w:szCs w:val="20"/>
              </w:rPr>
              <w:t>Die Entfernung zu Deutschland ist mehr als eine Zahl auf der Landkarte: Ohne Direktflug und mit über 20 Stunden Reisezeit liegt Australien gefühlt weiter weg als jedes andere Land in diesem Buch.</w:t>
            </w:r>
          </w:p>
        </w:tc>
      </w:tr>
    </w:tbl>
    <w:p w14:paraId="70A4F408" w14:textId="77777777" w:rsidR="00C1548D" w:rsidRDefault="00C1548D">
      <w:pPr>
        <w:spacing w:line="220" w:lineRule="exact"/>
      </w:pPr>
    </w:p>
    <w:p w14:paraId="70A4F409" w14:textId="77777777" w:rsidR="00C1548D" w:rsidRDefault="009B1B4B">
      <w:pPr>
        <w:pStyle w:val="Heading3"/>
        <w:keepNext/>
        <w:jc w:val="center"/>
      </w:pPr>
      <w:r>
        <w:rPr>
          <w:rFonts w:ascii="Amazon Ember" w:eastAsia="Amazon Ember" w:hAnsi="Amazon Ember" w:cs="Amazon Ember"/>
          <w:color w:val="0000FF"/>
          <w:sz w:val="36"/>
          <w:szCs w:val="36"/>
        </w:rPr>
        <w:lastRenderedPageBreak/>
        <w:t>„Mate“ und die flache Hierarchie</w:t>
      </w:r>
    </w:p>
    <w:p w14:paraId="70A4F40A" w14:textId="331C967B" w:rsidR="00C1548D" w:rsidRDefault="009B1B4B">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history="1">
        <w:r>
          <w:rPr>
            <w:color w:val="0563C1"/>
            <w:u w:val="single"/>
          </w:rPr>
          <w:t>Kapitel zur Arbeitswelt</w:t>
        </w:r>
      </w:hyperlink>
      <w:r>
        <w:t>, hier geht es um den Alltag außerhalb des Büros.</w:t>
      </w:r>
    </w:p>
    <w:p w14:paraId="70A4F40B" w14:textId="77777777" w:rsidR="00C1548D" w:rsidRDefault="009B1B4B">
      <w:pPr>
        <w:spacing w:after="140"/>
      </w:pPr>
      <w:r>
        <w:t>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w:t>
      </w:r>
      <w:r>
        <w:t xml:space="preserve">sigkeit, sondern Ausdruck des sogenannten </w:t>
      </w:r>
      <w:r>
        <w:rPr>
          <w:i/>
          <w:iCs/>
        </w:rPr>
        <w:t>„Mateship“</w:t>
      </w:r>
      <w:r>
        <w:t xml:space="preserve"> – eines Ideals von Gleichheit und gegenseitiger Unterstützung, das sich durch die australische Alltagskultur zieht wie ein roter Faden, der nirgends offiziell verlegt wurde, aber überall gegenwärtig ist.</w:t>
      </w:r>
    </w:p>
    <w:p w14:paraId="70A4F40C" w14:textId="77777777" w:rsidR="00C1548D" w:rsidRDefault="009B1B4B">
      <w:pPr>
        <w:spacing w:after="140"/>
      </w:pPr>
      <w:r>
        <w:t>Die dazugehörige Begrüßung lautet meist „How ya going?“ oder „G’day“ –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0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40D" w14:textId="77777777" w:rsidR="00C1548D" w:rsidRDefault="009B1B4B">
            <w:pPr>
              <w:keepNext/>
              <w:spacing w:after="70" w:line="240" w:lineRule="auto"/>
            </w:pPr>
            <w:r>
              <w:rPr>
                <w:b/>
                <w:bCs/>
                <w:color w:val="9B2C2C"/>
                <w:spacing w:val="24"/>
                <w:sz w:val="16"/>
                <w:szCs w:val="16"/>
              </w:rPr>
              <w:lastRenderedPageBreak/>
              <w:t>ACHTUNG</w:t>
            </w:r>
          </w:p>
          <w:p w14:paraId="70A4F40E" w14:textId="3D2A9936" w:rsidR="00C1548D" w:rsidRDefault="009B1B4B">
            <w:pPr>
              <w:spacing w:after="80" w:line="264" w:lineRule="auto"/>
            </w:pPr>
            <w:r>
              <w:rPr>
                <w:sz w:val="20"/>
                <w:szCs w:val="20"/>
              </w:rPr>
              <w:t xml:space="preserve">„Mate“ zu sein heißt nicht, Freund zu sein. Die Informalität gilt für so gut wie jede Begegnung, unabhängig davon, ob daraus etwas Tieferes wird. Verwechsle die entspannte Anrede nicht mit echter Nähe – wie du aus Bekanntschaften tatsächliche Freundschaften machst, steht im </w:t>
            </w:r>
            <w:hyperlink w:anchor="tau12" w:history="1">
              <w:r>
                <w:rPr>
                  <w:color w:val="0563C1"/>
                  <w:sz w:val="20"/>
                  <w:szCs w:val="20"/>
                  <w:u w:val="single"/>
                </w:rPr>
                <w:t>Kapitel zum Freundefinden</w:t>
              </w:r>
            </w:hyperlink>
            <w:r>
              <w:rPr>
                <w:sz w:val="20"/>
                <w:szCs w:val="20"/>
              </w:rPr>
              <w:t>.</w:t>
            </w:r>
          </w:p>
        </w:tc>
      </w:tr>
    </w:tbl>
    <w:p w14:paraId="70A4F410" w14:textId="77777777" w:rsidR="00C1548D" w:rsidRDefault="00C1548D">
      <w:pPr>
        <w:spacing w:line="220" w:lineRule="exact"/>
      </w:pPr>
    </w:p>
    <w:p w14:paraId="70A4F411" w14:textId="77777777" w:rsidR="00C1548D" w:rsidRDefault="009B1B4B">
      <w:pPr>
        <w:pStyle w:val="Heading3"/>
        <w:keepNext/>
        <w:jc w:val="center"/>
      </w:pPr>
      <w:r>
        <w:rPr>
          <w:rFonts w:ascii="Amazon Ember" w:eastAsia="Amazon Ember" w:hAnsi="Amazon Ember" w:cs="Amazon Ember"/>
          <w:color w:val="0000FF"/>
          <w:sz w:val="36"/>
          <w:szCs w:val="36"/>
        </w:rPr>
        <w:t>Small Talk: Wetter, Sport, Wochenende – nie Gehalt</w:t>
      </w:r>
    </w:p>
    <w:p w14:paraId="70A4F412" w14:textId="77777777" w:rsidR="00C1548D" w:rsidRDefault="009B1B4B">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w14:paraId="70A4F413" w14:textId="77777777" w:rsidR="00C1548D" w:rsidRDefault="009B1B4B">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8"/>
        <w:gridCol w:w="1710"/>
        <w:gridCol w:w="1805"/>
        <w:gridCol w:w="1837"/>
      </w:tblGrid>
      <w:tr w:rsidR="00C1548D" w14:paraId="70A4F418" w14:textId="77777777">
        <w:tblPrEx>
          <w:tblCellMar>
            <w:top w:w="0" w:type="dxa"/>
            <w:bottom w:w="0" w:type="dxa"/>
          </w:tblCellMar>
        </w:tblPrEx>
        <w:trPr>
          <w:cantSplit/>
          <w:tblHeader/>
        </w:trPr>
        <w:tc>
          <w:tcPr>
            <w:tcW w:w="11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14" w14:textId="77777777" w:rsidR="00C1548D" w:rsidRDefault="009B1B4B">
            <w:pPr>
              <w:spacing w:line="250" w:lineRule="auto"/>
            </w:pPr>
            <w:r>
              <w:rPr>
                <w:b/>
                <w:bCs/>
                <w:sz w:val="18"/>
                <w:szCs w:val="18"/>
              </w:rPr>
              <w:t>Situation</w:t>
            </w:r>
          </w:p>
        </w:tc>
        <w:tc>
          <w:tcPr>
            <w:tcW w:w="17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15" w14:textId="77777777" w:rsidR="00C1548D" w:rsidRDefault="009B1B4B">
            <w:pPr>
              <w:spacing w:line="250" w:lineRule="auto"/>
            </w:pPr>
            <w:r>
              <w:rPr>
                <w:b/>
                <w:bCs/>
                <w:sz w:val="18"/>
                <w:szCs w:val="18"/>
              </w:rPr>
              <w:t>In Deutschland</w:t>
            </w:r>
          </w:p>
        </w:tc>
        <w:tc>
          <w:tcPr>
            <w:tcW w:w="180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16" w14:textId="77777777" w:rsidR="00C1548D" w:rsidRDefault="009B1B4B">
            <w:pPr>
              <w:spacing w:line="250" w:lineRule="auto"/>
            </w:pPr>
            <w:r>
              <w:rPr>
                <w:b/>
                <w:bCs/>
                <w:sz w:val="18"/>
                <w:szCs w:val="18"/>
              </w:rPr>
              <w:t>In Australien</w:t>
            </w:r>
          </w:p>
        </w:tc>
        <w:tc>
          <w:tcPr>
            <w:tcW w:w="183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17" w14:textId="77777777" w:rsidR="00C1548D" w:rsidRDefault="009B1B4B">
            <w:pPr>
              <w:spacing w:line="250" w:lineRule="auto"/>
            </w:pPr>
            <w:r>
              <w:rPr>
                <w:b/>
                <w:bCs/>
                <w:sz w:val="18"/>
                <w:szCs w:val="18"/>
              </w:rPr>
              <w:t>Tipp</w:t>
            </w:r>
          </w:p>
        </w:tc>
      </w:tr>
      <w:tr w:rsidR="00C1548D" w14:paraId="70A4F41D" w14:textId="77777777">
        <w:tblPrEx>
          <w:tblCellMar>
            <w:top w:w="0" w:type="dxa"/>
            <w:bottom w:w="0" w:type="dxa"/>
          </w:tblCellMar>
        </w:tblPrEx>
        <w:trPr>
          <w:cantSplit/>
        </w:trPr>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19" w14:textId="77777777" w:rsidR="00C1548D" w:rsidRDefault="009B1B4B">
            <w:pPr>
              <w:spacing w:line="250" w:lineRule="auto"/>
            </w:pPr>
            <w:r>
              <w:rPr>
                <w:sz w:val="18"/>
                <w:szCs w:val="18"/>
              </w:rPr>
              <w:t>Gespräch beginnen</w:t>
            </w:r>
          </w:p>
        </w:tc>
        <w:tc>
          <w:tcPr>
            <w:tcW w:w="1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1A" w14:textId="77777777" w:rsidR="00C1548D" w:rsidRDefault="009B1B4B">
            <w:pPr>
              <w:spacing w:line="250" w:lineRule="auto"/>
            </w:pPr>
            <w:r>
              <w:rPr>
                <w:sz w:val="18"/>
                <w:szCs w:val="18"/>
              </w:rPr>
              <w:t>Direkt zum Thema</w:t>
            </w:r>
          </w:p>
        </w:tc>
        <w:tc>
          <w:tcPr>
            <w:tcW w:w="1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1B" w14:textId="77777777" w:rsidR="00C1548D" w:rsidRDefault="009B1B4B">
            <w:pPr>
              <w:spacing w:line="250" w:lineRule="auto"/>
            </w:pPr>
            <w:r>
              <w:rPr>
                <w:sz w:val="18"/>
                <w:szCs w:val="18"/>
              </w:rPr>
              <w:t>Erst Small Talk, dann zur Sache</w:t>
            </w:r>
          </w:p>
        </w:tc>
        <w:tc>
          <w:tcPr>
            <w:tcW w:w="18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1C" w14:textId="77777777" w:rsidR="00C1548D" w:rsidRDefault="009B1B4B">
            <w:pPr>
              <w:spacing w:line="250" w:lineRule="auto"/>
            </w:pPr>
            <w:r>
              <w:rPr>
                <w:sz w:val="18"/>
                <w:szCs w:val="18"/>
              </w:rPr>
              <w:t>Ein bis zwei Sätze Small Talk einplanen</w:t>
            </w:r>
          </w:p>
        </w:tc>
      </w:tr>
      <w:tr w:rsidR="00C1548D" w14:paraId="70A4F422" w14:textId="77777777">
        <w:tblPrEx>
          <w:tblCellMar>
            <w:top w:w="0" w:type="dxa"/>
            <w:bottom w:w="0" w:type="dxa"/>
          </w:tblCellMar>
        </w:tblPrEx>
        <w:trPr>
          <w:cantSplit/>
        </w:trPr>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1E" w14:textId="77777777" w:rsidR="00C1548D" w:rsidRDefault="009B1B4B">
            <w:pPr>
              <w:spacing w:line="250" w:lineRule="auto"/>
            </w:pPr>
            <w:r>
              <w:rPr>
                <w:sz w:val="18"/>
                <w:szCs w:val="18"/>
              </w:rPr>
              <w:t>Frage nach dem Befinden</w:t>
            </w:r>
          </w:p>
        </w:tc>
        <w:tc>
          <w:tcPr>
            <w:tcW w:w="1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1F" w14:textId="77777777" w:rsidR="00C1548D" w:rsidRDefault="009B1B4B">
            <w:pPr>
              <w:spacing w:line="250" w:lineRule="auto"/>
            </w:pPr>
            <w:r>
              <w:rPr>
                <w:sz w:val="18"/>
                <w:szCs w:val="18"/>
              </w:rPr>
              <w:t>Ehrliche, ausführliche Antwort erwartet</w:t>
            </w:r>
          </w:p>
        </w:tc>
        <w:tc>
          <w:tcPr>
            <w:tcW w:w="1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20" w14:textId="77777777" w:rsidR="00C1548D" w:rsidRDefault="009B1B4B">
            <w:pPr>
              <w:spacing w:line="250" w:lineRule="auto"/>
            </w:pPr>
            <w:r>
              <w:rPr>
                <w:sz w:val="18"/>
                <w:szCs w:val="18"/>
              </w:rPr>
              <w:t>Kurze, positive Standardantwort</w:t>
            </w:r>
          </w:p>
        </w:tc>
        <w:tc>
          <w:tcPr>
            <w:tcW w:w="18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21" w14:textId="77777777" w:rsidR="00C1548D" w:rsidRDefault="009B1B4B">
            <w:pPr>
              <w:spacing w:line="250" w:lineRule="auto"/>
            </w:pPr>
            <w:r>
              <w:rPr>
                <w:sz w:val="18"/>
                <w:szCs w:val="18"/>
              </w:rPr>
              <w:t>„Good thanks, and you?“ genügt</w:t>
            </w:r>
          </w:p>
        </w:tc>
      </w:tr>
      <w:tr w:rsidR="00C1548D" w14:paraId="70A4F427" w14:textId="77777777">
        <w:tblPrEx>
          <w:tblCellMar>
            <w:top w:w="0" w:type="dxa"/>
            <w:bottom w:w="0" w:type="dxa"/>
          </w:tblCellMar>
        </w:tblPrEx>
        <w:trPr>
          <w:cantSplit/>
        </w:trPr>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23" w14:textId="77777777" w:rsidR="00C1548D" w:rsidRDefault="009B1B4B">
            <w:pPr>
              <w:spacing w:line="250" w:lineRule="auto"/>
            </w:pPr>
            <w:r>
              <w:rPr>
                <w:sz w:val="18"/>
                <w:szCs w:val="18"/>
              </w:rPr>
              <w:lastRenderedPageBreak/>
              <w:t>Themenwahl bei Fremden</w:t>
            </w:r>
          </w:p>
        </w:tc>
        <w:tc>
          <w:tcPr>
            <w:tcW w:w="1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24" w14:textId="77777777" w:rsidR="00C1548D" w:rsidRDefault="009B1B4B">
            <w:pPr>
              <w:spacing w:line="250" w:lineRule="auto"/>
            </w:pPr>
            <w:r>
              <w:rPr>
                <w:sz w:val="18"/>
                <w:szCs w:val="18"/>
              </w:rPr>
              <w:t>Weiter gefasst, auch Persönliches</w:t>
            </w:r>
          </w:p>
        </w:tc>
        <w:tc>
          <w:tcPr>
            <w:tcW w:w="1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25" w14:textId="77777777" w:rsidR="00C1548D" w:rsidRDefault="009B1B4B">
            <w:pPr>
              <w:spacing w:line="250" w:lineRule="auto"/>
            </w:pPr>
            <w:r>
              <w:rPr>
                <w:sz w:val="18"/>
                <w:szCs w:val="18"/>
              </w:rPr>
              <w:t>Wetter, Sport, Wochenende, Urlaub</w:t>
            </w:r>
          </w:p>
        </w:tc>
        <w:tc>
          <w:tcPr>
            <w:tcW w:w="18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26" w14:textId="77777777" w:rsidR="00C1548D" w:rsidRDefault="009B1B4B">
            <w:pPr>
              <w:spacing w:line="250" w:lineRule="auto"/>
            </w:pPr>
            <w:r>
              <w:rPr>
                <w:sz w:val="18"/>
                <w:szCs w:val="18"/>
              </w:rPr>
              <w:t>Gehalt und Politik meiden</w:t>
            </w:r>
          </w:p>
        </w:tc>
      </w:tr>
      <w:tr w:rsidR="00C1548D" w14:paraId="70A4F42C" w14:textId="77777777">
        <w:tblPrEx>
          <w:tblCellMar>
            <w:top w:w="0" w:type="dxa"/>
            <w:bottom w:w="0" w:type="dxa"/>
          </w:tblCellMar>
        </w:tblPrEx>
        <w:trPr>
          <w:cantSplit/>
        </w:trPr>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28" w14:textId="77777777" w:rsidR="00C1548D" w:rsidRDefault="009B1B4B">
            <w:pPr>
              <w:spacing w:line="250" w:lineRule="auto"/>
            </w:pPr>
            <w:r>
              <w:rPr>
                <w:sz w:val="18"/>
                <w:szCs w:val="18"/>
              </w:rPr>
              <w:t>Direkte Kritik</w:t>
            </w:r>
          </w:p>
        </w:tc>
        <w:tc>
          <w:tcPr>
            <w:tcW w:w="17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29" w14:textId="77777777" w:rsidR="00C1548D" w:rsidRDefault="009B1B4B">
            <w:pPr>
              <w:spacing w:line="250" w:lineRule="auto"/>
            </w:pPr>
            <w:r>
              <w:rPr>
                <w:sz w:val="18"/>
                <w:szCs w:val="18"/>
              </w:rPr>
              <w:t>Sachlich und offen</w:t>
            </w:r>
          </w:p>
        </w:tc>
        <w:tc>
          <w:tcPr>
            <w:tcW w:w="1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2A" w14:textId="77777777" w:rsidR="00C1548D" w:rsidRDefault="009B1B4B">
            <w:pPr>
              <w:spacing w:line="250" w:lineRule="auto"/>
            </w:pPr>
            <w:r>
              <w:rPr>
                <w:sz w:val="18"/>
                <w:szCs w:val="18"/>
              </w:rPr>
              <w:t>Verpackt, oft mit Humor entschärft</w:t>
            </w:r>
          </w:p>
        </w:tc>
        <w:tc>
          <w:tcPr>
            <w:tcW w:w="18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2B" w14:textId="77777777" w:rsidR="00C1548D" w:rsidRDefault="009B1B4B">
            <w:pPr>
              <w:spacing w:line="250" w:lineRule="auto"/>
            </w:pPr>
            <w:r>
              <w:rPr>
                <w:sz w:val="18"/>
                <w:szCs w:val="18"/>
              </w:rPr>
              <w:t>Erst loben, dann vorsichtig einwenden</w:t>
            </w:r>
          </w:p>
        </w:tc>
      </w:tr>
    </w:tbl>
    <w:p w14:paraId="70A4F42D" w14:textId="77777777" w:rsidR="00C1548D" w:rsidRDefault="00C1548D">
      <w:pPr>
        <w:spacing w:line="180" w:lineRule="exact"/>
      </w:pPr>
    </w:p>
    <w:p w14:paraId="70A4F42E" w14:textId="77777777" w:rsidR="00C1548D" w:rsidRDefault="009B1B4B">
      <w:pPr>
        <w:pStyle w:val="Heading3"/>
        <w:keepNext/>
        <w:jc w:val="center"/>
      </w:pPr>
      <w:r>
        <w:rPr>
          <w:rFonts w:ascii="Amazon Ember" w:eastAsia="Amazon Ember" w:hAnsi="Amazon Ember" w:cs="Amazon Ember"/>
          <w:color w:val="0000FF"/>
          <w:sz w:val="36"/>
          <w:szCs w:val="36"/>
        </w:rPr>
        <w:t>Sprache im Alltag: Abkürzungen und der eigene Wortschatz</w:t>
      </w:r>
    </w:p>
    <w:p w14:paraId="70A4F42F" w14:textId="77777777" w:rsidR="00C1548D" w:rsidRDefault="009B1B4B">
      <w:pPr>
        <w:spacing w:after="140"/>
      </w:pPr>
      <w:r>
        <w:t xml:space="preserve">Australisches Englisch verkürzt mit Vorliebe fast jedes Wort und hängt ein „-o“ oder „-ie“ an: Aus </w:t>
      </w:r>
      <w:r>
        <w:rPr>
          <w:i/>
          <w:iCs/>
        </w:rPr>
        <w:t>afternoon</w:t>
      </w:r>
      <w:r>
        <w:t xml:space="preserve"> (Nachmittag) wird „arvo“, aus </w:t>
      </w:r>
      <w:r>
        <w:rPr>
          <w:i/>
          <w:iCs/>
        </w:rPr>
        <w:t>service station</w:t>
      </w:r>
      <w:r>
        <w:t xml:space="preserve"> (Tankstelle) „servo“, aus </w:t>
      </w:r>
      <w:r>
        <w:rPr>
          <w:i/>
          <w:iCs/>
        </w:rPr>
        <w:t>breakfast</w:t>
      </w:r>
      <w:r>
        <w:t xml:space="preserve"> „brekkie“, aus </w:t>
      </w:r>
      <w:r>
        <w:rPr>
          <w:i/>
          <w:iCs/>
        </w:rPr>
        <w:t>mosquito</w:t>
      </w:r>
      <w:r>
        <w:t xml:space="preserve"> „mozzie“, aus </w:t>
      </w:r>
      <w:r>
        <w:rPr>
          <w:i/>
          <w:iCs/>
        </w:rPr>
        <w:t>McDonald’s</w:t>
      </w:r>
      <w:r>
        <w:t xml:space="preserve"> schlicht „Maccas“. Ein </w:t>
      </w:r>
      <w:r>
        <w:rPr>
          <w:i/>
          <w:iCs/>
        </w:rPr>
        <w:t>ute</w:t>
      </w:r>
      <w:r>
        <w:t xml:space="preserve"> (von </w:t>
      </w:r>
      <w:r>
        <w:rPr>
          <w:i/>
          <w:iCs/>
        </w:rPr>
        <w:t>utility vehicle</w:t>
      </w:r>
      <w:r>
        <w:t xml:space="preserve">) ist ein Pick-up, eine </w:t>
      </w:r>
      <w:r>
        <w:rPr>
          <w:i/>
          <w:iCs/>
        </w:rPr>
        <w:t>esky</w:t>
      </w:r>
      <w:r>
        <w:t xml:space="preserve"> eine Kühlbox für den Ausflug an den Strand oder zum Barbecue –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32"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430" w14:textId="77777777" w:rsidR="00C1548D" w:rsidRDefault="009B1B4B">
            <w:pPr>
              <w:keepNext/>
              <w:spacing w:after="70" w:line="240" w:lineRule="auto"/>
            </w:pPr>
            <w:r>
              <w:rPr>
                <w:b/>
                <w:bCs/>
                <w:color w:val="2F6B3B"/>
                <w:spacing w:val="24"/>
                <w:sz w:val="16"/>
                <w:szCs w:val="16"/>
              </w:rPr>
              <w:t>SPARTIPP</w:t>
            </w:r>
          </w:p>
          <w:p w14:paraId="70A4F431" w14:textId="77777777" w:rsidR="00C1548D" w:rsidRDefault="009B1B4B">
            <w:pPr>
              <w:spacing w:after="80" w:line="264" w:lineRule="auto"/>
            </w:pPr>
            <w:r>
              <w:rPr>
                <w:sz w:val="20"/>
                <w:szCs w:val="20"/>
              </w:rPr>
              <w:t>Ein paar dieser Abkürzungen vorab zu lernen, kostet nichts und erspart dir in den ersten Wochen etliche kurze Verständnispausen im Gespräch – die Verkäuferin an der „servo“-Kasse schaltet nicht extra auf Hochenglisch um, nur weil du gerade erst angekommen bist.</w:t>
            </w:r>
          </w:p>
        </w:tc>
      </w:tr>
    </w:tbl>
    <w:p w14:paraId="70A4F433" w14:textId="77777777" w:rsidR="00C1548D" w:rsidRDefault="00C1548D">
      <w:pPr>
        <w:spacing w:line="220" w:lineRule="exact"/>
      </w:pPr>
    </w:p>
    <w:p w14:paraId="70A4F434" w14:textId="77777777" w:rsidR="00C1548D" w:rsidRDefault="009B1B4B">
      <w:pPr>
        <w:pStyle w:val="Heading3"/>
        <w:keepNext/>
        <w:jc w:val="center"/>
      </w:pPr>
      <w:r>
        <w:rPr>
          <w:rFonts w:ascii="Amazon Ember" w:eastAsia="Amazon Ember" w:hAnsi="Amazon Ember" w:cs="Amazon Ember"/>
          <w:color w:val="0000FF"/>
          <w:sz w:val="36"/>
          <w:szCs w:val="36"/>
        </w:rPr>
        <w:lastRenderedPageBreak/>
        <w:t>Australisches Englisch vor der Abreise trainieren</w:t>
      </w:r>
    </w:p>
    <w:p w14:paraId="70A4F435" w14:textId="77777777" w:rsidR="00C1548D" w:rsidRDefault="009B1B4B">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zusätzlich Liane Moriarty (etwa „Big Little Lies“), die in typisch australischer Vorstadt-Kulisse spielt. Auf YouTube zeigt die „Acce</w:t>
      </w:r>
      <w:r>
        <w:t>nt Expert“-Reihe von WIRED (Dialektcoach Erik Singer, Kanal youtube.com/@wired, Suchbegriff „Accent Expert“) anschaulich, woran du australisches, amerikanisches und britisches Englisch unterscheidest.</w:t>
      </w:r>
    </w:p>
    <w:p w14:paraId="70A4F436" w14:textId="77777777" w:rsidR="00C1548D" w:rsidRDefault="009B1B4B">
      <w:pPr>
        <w:spacing w:after="140"/>
      </w:pPr>
      <w:r>
        <w:t>Filme und Serien im Originalton schulen das Ohr am besten: „The Castle“ (australischer Kult-Klassiker voller Alltagsslang) und die Netflix-Serie „Heartbreak High“ (Teenager-Slang von heute) sind gute Startpunkte; die Kinderserie „Bluey“ läuft auf Disney+ Deutschland mit wählbarer englischer Originaltonspur und eignet sich, mit sehr einfachem Englisch, auch für Erwachsene zum Einhören. Prüfe die aktuelle Verfügbarkeit auf JustWatch.de, da Streaming-Kataloge sich laufend ändern. Stelle Untertitel wenn möglich</w:t>
      </w:r>
      <w:r>
        <w:t xml:space="preserve"> auf Englisch statt Deutsch, und schau dir eine Serie, die du schon auf Deutsch kennst, noch einmal im englischen Original an – die bekannte Handlung senkt die Einstiegshürde erheblich. Wer lieber strukturiert lernt: „Telekolleg Englisch“ (ARD-alpha, 51 kostenlose Lektionen in der ARD-Mediathek, ardalpha.de) ist weniger unterhaltsam, aber solide.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39"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437" w14:textId="77777777" w:rsidR="00C1548D" w:rsidRDefault="009B1B4B">
            <w:pPr>
              <w:keepNext/>
              <w:spacing w:after="70" w:line="240" w:lineRule="auto"/>
            </w:pPr>
            <w:r>
              <w:rPr>
                <w:b/>
                <w:bCs/>
                <w:color w:val="2F6B3B"/>
                <w:spacing w:val="24"/>
                <w:sz w:val="16"/>
                <w:szCs w:val="16"/>
              </w:rPr>
              <w:t>SPARTIPP</w:t>
            </w:r>
          </w:p>
          <w:p w14:paraId="70A4F438" w14:textId="77777777" w:rsidR="00C1548D" w:rsidRDefault="009B1B4B">
            <w:pPr>
              <w:spacing w:after="80" w:line="264" w:lineRule="auto"/>
            </w:pPr>
            <w:r>
              <w:rPr>
                <w:sz w:val="20"/>
                <w:szCs w:val="20"/>
              </w:rPr>
              <w:t>Nichts davon kostet extra, wenn du ohnehin ein Streaming-Abo hast oder eine Mediathek nutzt – der Umstieg auf Originalton ist reine Gewöhnungssache, kein zusätzliches Budget.</w:t>
            </w:r>
          </w:p>
        </w:tc>
      </w:tr>
    </w:tbl>
    <w:p w14:paraId="70A4F43A" w14:textId="77777777" w:rsidR="00C1548D" w:rsidRDefault="00C1548D">
      <w:pPr>
        <w:spacing w:line="220" w:lineRule="exact"/>
      </w:pPr>
    </w:p>
    <w:p w14:paraId="70A4F43B" w14:textId="2BA2624D" w:rsidR="00C1548D" w:rsidRDefault="009B1B4B">
      <w:pPr>
        <w:spacing w:after="140"/>
      </w:pPr>
      <w:r>
        <w:lastRenderedPageBreak/>
        <w:t xml:space="preserve">Für Kinder gilt eine andere, altersabhängige Auswahl – Serien, Bücher und eine konkrete Umgewöhnungstechnik dazu stehen im </w:t>
      </w:r>
      <w:hyperlink w:anchor="tau13" w:history="1">
        <w:r>
          <w:rPr>
            <w:color w:val="0563C1"/>
            <w:u w:val="single"/>
          </w:rPr>
          <w:t>Kapitel zu Kindern, Schule und Sprache</w:t>
        </w:r>
      </w:hyperlink>
      <w:r>
        <w:t>.</w:t>
      </w:r>
    </w:p>
    <w:p w14:paraId="70A4F43C" w14:textId="77777777" w:rsidR="00C1548D" w:rsidRDefault="009B1B4B">
      <w:pPr>
        <w:pStyle w:val="Heading3"/>
        <w:keepNext/>
        <w:jc w:val="center"/>
      </w:pPr>
      <w:r>
        <w:rPr>
          <w:rFonts w:ascii="Amazon Ember" w:eastAsia="Amazon Ember" w:hAnsi="Amazon Ember" w:cs="Amazon Ember"/>
          <w:color w:val="0000FF"/>
          <w:sz w:val="36"/>
          <w:szCs w:val="36"/>
        </w:rPr>
        <w:t>„No worries“, Understatement und der eigene Humor</w:t>
      </w:r>
    </w:p>
    <w:p w14:paraId="70A4F43D" w14:textId="77777777" w:rsidR="00C1548D" w:rsidRDefault="009B1B4B">
      <w:pPr>
        <w:spacing w:after="140"/>
      </w:pPr>
      <w:r>
        <w:t>„No worries“ und „She’ll be right“ (sinngemäß: „Das wird schon wieder“) sind in Australien weniger Redewendung als Lebensphilosophie. Probleme werden selten dramatisiert, selbst dann nicht, wenn sie es objektiv wären –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w:t>
      </w:r>
      <w:r>
        <w:t xml:space="preserve"> bei 38 Grad zu „not ideal“. Wer aus Deutschland kommt und beim ersten Mal glaubt, es handle sich tatsächlich nur um eine Kleinigkeit, lernt schnell, genauer hinzuhören, was hinter der beiläufigen Formulierung steckt.</w:t>
      </w:r>
    </w:p>
    <w:p w14:paraId="70A4F43E" w14:textId="77777777" w:rsidR="00C1548D" w:rsidRDefault="009B1B4B">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 dann hört der Spaß auch für Australier auf. Ein weiteres, oft beschriebenes Muster ist eine Zurückhaltung gegenüber demonstrativem Erfolg: Wer zu offensichtlich mi</w:t>
      </w:r>
      <w:r>
        <w:t>t Leistung oder Besitz prahlt, wird gern eine Nummer kleiner gemacht – eine Neigung zur Bescheidenheit, die dem deutschen Understatement gar nicht so fremd ist, nur mit mehr Humor verpackt.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41"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43F" w14:textId="77777777" w:rsidR="00C1548D" w:rsidRDefault="009B1B4B">
            <w:pPr>
              <w:keepNext/>
              <w:spacing w:after="70" w:line="240" w:lineRule="auto"/>
            </w:pPr>
            <w:r>
              <w:rPr>
                <w:b/>
                <w:bCs/>
                <w:color w:val="8A6212"/>
                <w:spacing w:val="24"/>
                <w:sz w:val="16"/>
                <w:szCs w:val="16"/>
              </w:rPr>
              <w:lastRenderedPageBreak/>
              <w:t>MERKE</w:t>
            </w:r>
          </w:p>
          <w:p w14:paraId="70A4F440" w14:textId="77777777" w:rsidR="00C1548D" w:rsidRDefault="009B1B4B">
            <w:pPr>
              <w:spacing w:after="80" w:line="264" w:lineRule="auto"/>
            </w:pPr>
            <w:r>
              <w:rPr>
                <w:sz w:val="20"/>
                <w:szCs w:val="20"/>
              </w:rPr>
              <w:t>Understatement ist kein Zeichen dafür, dass ein Problem klein ist, sondern dafür, wie Australier über Probleme sprechen. Nimm „not too bad“ nicht automatisch wörtlich, sondern frage im Zweifel freundlich nach.</w:t>
            </w:r>
          </w:p>
        </w:tc>
      </w:tr>
    </w:tbl>
    <w:p w14:paraId="70A4F442" w14:textId="77777777" w:rsidR="00C1548D" w:rsidRDefault="00C1548D">
      <w:pPr>
        <w:spacing w:line="220" w:lineRule="exact"/>
      </w:pPr>
    </w:p>
    <w:p w14:paraId="70A4F443" w14:textId="77777777" w:rsidR="00C1548D" w:rsidRDefault="009B1B4B">
      <w:pPr>
        <w:spacing w:after="140"/>
      </w:pPr>
      <w:r>
        <w:t>Diese Gelassenheit zeigt sich auch im Umgang mit den klimatischen Risiken des Landes. Die Buschfeuersaison, meist von Spätfrühling bis Ende Sommer, ist ein reales, medial präsentes Thema –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w:t>
      </w:r>
      <w:r>
        <w:t>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w14:paraId="70A4F444" w14:textId="77777777" w:rsidR="00C1548D" w:rsidRDefault="009B1B4B">
      <w:pPr>
        <w:pStyle w:val="Heading3"/>
        <w:keepNext/>
        <w:jc w:val="center"/>
      </w:pPr>
      <w:r>
        <w:rPr>
          <w:rFonts w:ascii="Amazon Ember" w:eastAsia="Amazon Ember" w:hAnsi="Amazon Ember" w:cs="Amazon Ember"/>
          <w:color w:val="0000FF"/>
          <w:sz w:val="36"/>
          <w:szCs w:val="36"/>
        </w:rPr>
        <w:t>Kleidungsstil und die entspannte Bürokratie</w:t>
      </w:r>
    </w:p>
    <w:p w14:paraId="70A4F445" w14:textId="77777777" w:rsidR="00C1548D" w:rsidRDefault="009B1B4B">
      <w:pPr>
        <w:spacing w:after="140"/>
      </w:pPr>
      <w:r>
        <w:t>Formelle Kleidung ist im australischen Alltag eher die Ausnahme als die Regel. In vielen Büros gilt „business casual“ auch dort, wo in Deutschland ein Anzug erwartet würde, und Flip-Flops – in Australien „thongs“ genannt, ein Wort, das anderswo etwas ganz anderes bedeutet und für manche Verwechslung sorgt – sind selbst beim Einkaufen oder auf dem Weg zur Bank ein völlig normaler Anblick. Wer sich für den ersten Behördengang bewusst „ordentlich“ anzieht, fällt eher auf, als dass es honoriert wird.</w:t>
      </w:r>
    </w:p>
    <w:p w14:paraId="70A4F446" w14:textId="77777777" w:rsidR="00C1548D" w:rsidRDefault="009B1B4B">
      <w:pPr>
        <w:spacing w:after="140"/>
      </w:pPr>
      <w:r>
        <w:t xml:space="preserve">Dieselbe Gelassenheit gilt oft für Termine: Ein Handwerker mit einem angekündigten Zeitfenster von „irgendwann zwischen 9 und </w:t>
      </w:r>
      <w:r>
        <w:lastRenderedPageBreak/>
        <w:t>13 Uhr“ ist keine Ausnahme, sondern eher die Regel, und Behördengänge dauern gefühlt einen Tick länger, als die Ankündigung vermuten ließ – beides wird mit derselben „she’ll be right“-Gelassenheit hingenommen, mit der auch sonst auf Verzögerungen reagiert wird.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4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447" w14:textId="77777777" w:rsidR="00C1548D" w:rsidRDefault="009B1B4B">
            <w:pPr>
              <w:keepNext/>
              <w:spacing w:after="70" w:line="240" w:lineRule="auto"/>
            </w:pPr>
            <w:r>
              <w:rPr>
                <w:b/>
                <w:bCs/>
                <w:color w:val="9B2C2C"/>
                <w:spacing w:val="24"/>
                <w:sz w:val="16"/>
                <w:szCs w:val="16"/>
              </w:rPr>
              <w:t>ACHTUNG</w:t>
            </w:r>
          </w:p>
          <w:p w14:paraId="70A4F448" w14:textId="155F9039" w:rsidR="00C1548D" w:rsidRDefault="009B1B4B">
            <w:pPr>
              <w:spacing w:after="80" w:line="264" w:lineRule="auto"/>
            </w:pPr>
            <w:r>
              <w:rPr>
                <w:sz w:val="20"/>
                <w:szCs w:val="20"/>
              </w:rPr>
              <w:t xml:space="preserve">Die entspannte Grundhaltung gilt für Wartezeiten und Kleidungsfragen, nicht für Fristen mit rechtlicher Bindung. Visumsauflagen, Steuertermine und Einwanderungsfristen verzeihen kein „she’ll be right“ – hier zählt der Kalender, nicht das Bauchgefühl. Mehr zu Fristen im Einwanderungsprozess im </w:t>
            </w:r>
            <w:hyperlink w:anchor="tau05" w:history="1">
              <w:r>
                <w:rPr>
                  <w:color w:val="0563C1"/>
                  <w:sz w:val="20"/>
                  <w:szCs w:val="20"/>
                  <w:u w:val="single"/>
                </w:rPr>
                <w:t>Kapitel zum Antrag</w:t>
              </w:r>
            </w:hyperlink>
            <w:r>
              <w:rPr>
                <w:sz w:val="20"/>
                <w:szCs w:val="20"/>
              </w:rPr>
              <w:t xml:space="preserve"> und im </w:t>
            </w:r>
            <w:hyperlink w:anchor="tau02" w:history="1">
              <w:r>
                <w:rPr>
                  <w:color w:val="0563C1"/>
                  <w:sz w:val="20"/>
                  <w:szCs w:val="20"/>
                  <w:u w:val="single"/>
                </w:rPr>
                <w:t>Kapitel zu den Einwanderungswegen</w:t>
              </w:r>
            </w:hyperlink>
            <w:r>
              <w:rPr>
                <w:sz w:val="20"/>
                <w:szCs w:val="20"/>
              </w:rPr>
              <w:t>.</w:t>
            </w:r>
          </w:p>
        </w:tc>
      </w:tr>
    </w:tbl>
    <w:p w14:paraId="70A4F44A" w14:textId="77777777" w:rsidR="00C1548D" w:rsidRDefault="00C1548D">
      <w:pPr>
        <w:spacing w:line="220" w:lineRule="exact"/>
      </w:pPr>
    </w:p>
    <w:p w14:paraId="70A4F44B" w14:textId="77777777" w:rsidR="00C1548D" w:rsidRDefault="009B1B4B">
      <w:pPr>
        <w:pStyle w:val="Heading3"/>
        <w:keepNext/>
        <w:jc w:val="center"/>
      </w:pPr>
      <w:r>
        <w:rPr>
          <w:rFonts w:ascii="Amazon Ember" w:eastAsia="Amazon Ember" w:hAnsi="Amazon Ember" w:cs="Amazon Ember"/>
          <w:color w:val="0000FF"/>
          <w:sz w:val="36"/>
          <w:szCs w:val="36"/>
        </w:rPr>
        <w:t>Einladungen: BYO, Barbecue und die Sache mit „We should catch up“</w:t>
      </w:r>
    </w:p>
    <w:p w14:paraId="70A4F44C" w14:textId="77777777" w:rsidR="00C1548D" w:rsidRDefault="009B1B4B">
      <w:pPr>
        <w:spacing w:after="140"/>
      </w:pPr>
      <w:r>
        <w:t xml:space="preserve">Das Barbecue, kurz „barbie“, ist die zentrale australische Sozialveranstaltung – im eigenen Garten, im Park oder am Strand, oft mit öffentlich zugänglichen Grillplätzen, die kostenlos genutzt werden können. Wer eingeladen wird, bringt in aller Regel etwas mit: </w:t>
      </w:r>
      <w:r>
        <w:rPr>
          <w:i/>
          <w:iCs/>
        </w:rPr>
        <w:t>BYO</w:t>
      </w:r>
      <w:r>
        <w:t xml:space="preserve"> steht für </w:t>
      </w:r>
      <w:r>
        <w:rPr>
          <w:i/>
          <w:iCs/>
        </w:rPr>
        <w:t>Bring Your Own</w:t>
      </w:r>
      <w:r>
        <w:t xml:space="preserve"> und bedeutet meistens eigene Getränke, gelegentlich auch das eigene Fleisch zum Grillen. Das ist kein Geiz des Gastgebers, sondern gelebte Gleichheit: Jeder trägt bei, niemand ist nur Bewirteter.</w:t>
      </w:r>
    </w:p>
    <w:p w14:paraId="70A4F44D" w14:textId="77777777" w:rsidR="00C1548D" w:rsidRDefault="009B1B4B">
      <w:pPr>
        <w:spacing w:after="140"/>
      </w:pPr>
      <w:r>
        <w:t>An der Bar gilt ein ähnliches Prinzip, das „Shout“: In einer Runde Freunde kauft reihum jeder eine Bestellung für alle, statt dass jeder für sich zahlt. Wer eine Runde auslässt, ohne selbst einmal „dran zu sein“, fällt unangenehm auf – auch hier zählt die stille Erwartung von Gegenseitigkeit mehr als jede ausdrückliche Regel.</w:t>
      </w:r>
    </w:p>
    <w:p w14:paraId="70A4F44E" w14:textId="77777777" w:rsidR="00C1548D" w:rsidRDefault="009B1B4B">
      <w:pPr>
        <w:spacing w:after="140"/>
      </w:pPr>
      <w:r>
        <w:t xml:space="preserve">Bei Einladungen selbst lohnt Vorsicht mit der wörtlichen Auslegung: „We should catch up sometime“ ist, ganz ähnlich wie im amerikanischen Sprachgebrauch, oft nur eine höfliche Geste und </w:t>
      </w:r>
      <w:r>
        <w:lastRenderedPageBreak/>
        <w:t>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51"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44F" w14:textId="77777777" w:rsidR="00C1548D" w:rsidRDefault="009B1B4B">
            <w:pPr>
              <w:keepNext/>
              <w:spacing w:after="70" w:line="240" w:lineRule="auto"/>
            </w:pPr>
            <w:r>
              <w:rPr>
                <w:b/>
                <w:bCs/>
                <w:color w:val="4A5568"/>
                <w:spacing w:val="24"/>
                <w:sz w:val="16"/>
                <w:szCs w:val="16"/>
              </w:rPr>
              <w:t>PRAXISBEISPIEL · FIKTIV</w:t>
            </w:r>
          </w:p>
          <w:p w14:paraId="70A4F450" w14:textId="77777777" w:rsidR="00C1548D" w:rsidRDefault="009B1B4B">
            <w:pPr>
              <w:spacing w:after="80" w:line="264" w:lineRule="auto"/>
            </w:pPr>
            <w:r>
              <w:rPr>
                <w:sz w:val="20"/>
                <w:szCs w:val="20"/>
              </w:rPr>
              <w:t>Familie Reinhardt (fiktives Beispiel) wird in ihrer zweiten Woche in Melbourne von den Nachbarn zu einem Barbecue am Samstag eingeladen – mit dem Zusatz „just bring a few drinks“. Thomas kauft sicherheitshalber für die ganze Familie plus Reserve ein, Sandra fragt vorsichtshalber nach, ob sie auch etwas zum Essen beisteuern sollen; die Antwort ist ein entspanntes „Nah, we’re right, mate“. Am Grill lernt Thomas das Prinzip des „Shout“ an der improvisierten Bierkiste kennen, als ein Nachbar wortlos die nächste</w:t>
            </w:r>
            <w:r>
              <w:rPr>
                <w:sz w:val="20"/>
                <w:szCs w:val="20"/>
              </w:rPr>
              <w:t xml:space="preserve"> Runde aus der Kühlbox holt und erwartungsvoll in seine Richtung schaut. Emil und Clara sind nach einer Stunde mit den Nachbarskindern im Garten verschwunden – für Kinder, stellt Sandra fest, ist die Sprache der Freundschaft ohnehin universell.</w:t>
            </w:r>
          </w:p>
        </w:tc>
      </w:tr>
    </w:tbl>
    <w:p w14:paraId="70A4F452" w14:textId="77777777" w:rsidR="00C1548D" w:rsidRDefault="00C1548D">
      <w:pPr>
        <w:spacing w:line="220" w:lineRule="exact"/>
      </w:pPr>
    </w:p>
    <w:p w14:paraId="70A4F453" w14:textId="77777777" w:rsidR="00C1548D" w:rsidRDefault="009B1B4B">
      <w:pPr>
        <w:pStyle w:val="Heading3"/>
        <w:keepNext/>
        <w:jc w:val="center"/>
      </w:pPr>
      <w:r>
        <w:rPr>
          <w:rFonts w:ascii="Amazon Ember" w:eastAsia="Amazon Ember" w:hAnsi="Amazon Ember" w:cs="Amazon Ember"/>
          <w:color w:val="0000FF"/>
          <w:sz w:val="36"/>
          <w:szCs w:val="36"/>
        </w:rPr>
        <w:t>Direktheit trifft Lässigkeit: typische Missverständnisse</w:t>
      </w:r>
    </w:p>
    <w:p w14:paraId="70A4F454" w14:textId="77777777" w:rsidR="00C1548D" w:rsidRDefault="009B1B4B">
      <w:pPr>
        <w:spacing w:after="140"/>
      </w:pPr>
      <w:r>
        <w:t>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of doing it“ oder ein zu freundliches „Yeah, maybe“ nicht automatisch Zustim</w:t>
      </w:r>
      <w:r>
        <w:t>mung – manchmal ist genau das Gegenteil gemeint, nur eben höflich verpackt.</w:t>
      </w:r>
    </w:p>
    <w:p w14:paraId="70A4F455" w14:textId="77777777" w:rsidR="00C1548D" w:rsidRDefault="009B1B4B">
      <w:pPr>
        <w:spacing w:after="140"/>
      </w:pPr>
      <w:r>
        <w:t xml:space="preserve">Ein sprachliches Kuriosum, das Neuankömmlinge zuverlässig verwirrt, ist die Doppeldeutigkeit von „yeah, nah“ und „nah, yeah“: </w:t>
      </w:r>
      <w:r>
        <w:lastRenderedPageBreak/>
        <w:t>Ersteres läuft meist auf ein Nein hinaus, das erst höflich mit Zustimmung eingeleitet wird, Letzteres eher auf ein Ja nach kurzem Zögern. Ähnlich vorsichtig zu lesen sind Sätze wie „It’s not the worst idea“ (eher zurückhaltende Zustimmung als Lob) oder ein zu schnelles „Sure, sounds good“ auf einen Vorschlag, der eigentlich noch einmal überdacht werden sollte. Wer sich nicht sicher ist, was gerade gemeint war, fragt am besten direkt, aber freundlich nach – das gilt als völlig legitim und wird nicht als Schw</w:t>
      </w:r>
      <w:r>
        <w:t>äche ausgelegt, eher im Gegenteil: als Zeichen, dass man zuhört.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5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456" w14:textId="77777777" w:rsidR="00C1548D" w:rsidRDefault="009B1B4B">
            <w:pPr>
              <w:keepNext/>
              <w:spacing w:after="70" w:line="240" w:lineRule="auto"/>
            </w:pPr>
            <w:r>
              <w:rPr>
                <w:b/>
                <w:bCs/>
                <w:color w:val="9B2C2C"/>
                <w:spacing w:val="24"/>
                <w:sz w:val="16"/>
                <w:szCs w:val="16"/>
              </w:rPr>
              <w:t>ACHTUNG</w:t>
            </w:r>
          </w:p>
          <w:p w14:paraId="70A4F457" w14:textId="77777777" w:rsidR="00C1548D" w:rsidRDefault="009B1B4B">
            <w:pPr>
              <w:spacing w:after="80" w:line="264" w:lineRule="auto"/>
            </w:pPr>
            <w:r>
              <w:rPr>
                <w:sz w:val="20"/>
                <w:szCs w:val="20"/>
              </w:rPr>
              <w:t>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tc>
      </w:tr>
    </w:tbl>
    <w:p w14:paraId="70A4F459" w14:textId="77777777" w:rsidR="00C1548D" w:rsidRDefault="00C1548D">
      <w:pPr>
        <w:spacing w:line="220" w:lineRule="exact"/>
      </w:pPr>
    </w:p>
    <w:p w14:paraId="70A4F45A" w14:textId="77777777" w:rsidR="00C1548D" w:rsidRDefault="009B1B4B">
      <w:pPr>
        <w:pStyle w:val="Heading3"/>
        <w:keepNext/>
        <w:jc w:val="center"/>
      </w:pPr>
      <w:r>
        <w:rPr>
          <w:rFonts w:ascii="Amazon Ember" w:eastAsia="Amazon Ember" w:hAnsi="Amazon Ember" w:cs="Amazon Ember"/>
          <w:color w:val="0000FF"/>
          <w:sz w:val="36"/>
          <w:szCs w:val="36"/>
        </w:rPr>
        <w:t>Die Distanz zur Heimat: mehr als eine Zeitzone</w:t>
      </w:r>
    </w:p>
    <w:p w14:paraId="70A4F45B" w14:textId="77777777" w:rsidR="00C1548D" w:rsidRDefault="009B1B4B">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 beide Länder wechseln zu unterschiedlichen Terminen, was die Kopfrechnung vor jedem Anruf nach Hause zusätzlich erschwert.</w:t>
      </w:r>
    </w:p>
    <w:p w14:paraId="70A4F45C" w14:textId="77777777" w:rsidR="00C1548D" w:rsidRDefault="009B1B4B">
      <w:pPr>
        <w:spacing w:after="140"/>
      </w:pPr>
      <w:r>
        <w:t xml:space="preserve">Diese Entfernung ist mehr als eine Reisekosten- oder Zeitplanungsfrage. Ein spontanes Wochenende bei den Eltern, wie es innerhalb Europas möglich wäre, ist von Australien aus schlicht keine Option, sondern eine mehrtägige Reiseplanung mit entsprechendem Preis. Wichtige Familienereignisse – ein runder Geburtstag, eine Operation, ein Todesfall – lassen sich nicht eben mal mit dem Auto erreichen. Dieser Faktor wird von vielen </w:t>
      </w:r>
      <w:r>
        <w:lastRenderedPageBreak/>
        <w:t>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w14:paraId="70A4F45D" w14:textId="77777777" w:rsidR="00C1548D" w:rsidRDefault="009B1B4B">
      <w:pPr>
        <w:spacing w:after="140"/>
      </w:pPr>
      <w:r>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60"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45E" w14:textId="77777777" w:rsidR="00C1548D" w:rsidRDefault="009B1B4B">
            <w:pPr>
              <w:keepNext/>
              <w:spacing w:after="70" w:line="240" w:lineRule="auto"/>
            </w:pPr>
            <w:r>
              <w:rPr>
                <w:b/>
                <w:bCs/>
                <w:color w:val="8A6212"/>
                <w:spacing w:val="24"/>
                <w:sz w:val="16"/>
                <w:szCs w:val="16"/>
              </w:rPr>
              <w:t>MERKE</w:t>
            </w:r>
          </w:p>
          <w:p w14:paraId="70A4F45F" w14:textId="77777777" w:rsidR="00C1548D" w:rsidRDefault="009B1B4B">
            <w:pPr>
              <w:spacing w:after="80" w:line="264" w:lineRule="auto"/>
            </w:pPr>
            <w:r>
              <w:rPr>
                <w:sz w:val="20"/>
                <w:szCs w:val="20"/>
              </w:rPr>
              <w:t>Anders als bei einem Umzug innerhalb Europas ist ein spontaner Kurzbesuch in Deutschland aus Australien keine Option, sondern eine Reise, die Wochen im Voraus geplant wird. Das ist zuerst ein emotionaler Faktor und erst in zweiter Linie eine Kostenfrage – plane beides bewusst ein, statt es zu verdrängen.</w:t>
            </w:r>
          </w:p>
        </w:tc>
      </w:tr>
    </w:tbl>
    <w:p w14:paraId="70A4F461"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64"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462" w14:textId="77777777" w:rsidR="00C1548D" w:rsidRDefault="009B1B4B">
            <w:pPr>
              <w:keepNext/>
              <w:spacing w:after="70" w:line="240" w:lineRule="auto"/>
            </w:pPr>
            <w:r>
              <w:rPr>
                <w:b/>
                <w:bCs/>
                <w:color w:val="4A5568"/>
                <w:spacing w:val="24"/>
                <w:sz w:val="16"/>
                <w:szCs w:val="16"/>
              </w:rPr>
              <w:t>PRAXISBEISPIEL · FIKTIV</w:t>
            </w:r>
          </w:p>
          <w:p w14:paraId="70A4F463" w14:textId="77777777" w:rsidR="00C1548D" w:rsidRDefault="009B1B4B">
            <w:pPr>
              <w:spacing w:after="80" w:line="264" w:lineRule="auto"/>
            </w:pPr>
            <w:r>
              <w:rPr>
                <w:sz w:val="20"/>
                <w:szCs w:val="20"/>
              </w:rPr>
              <w:t>Nina Voss (fiktives Beispiel) verabredet sich in ihren ersten Wochen in Sydney mehrfach mit neuen Bekannten aus dem Working-Holiday-Kreis, die alle „yeah, we should totally hang out again“ sagen und danach tagelang nichts von sich hören lassen. Erst als eine Kollegin ihr konkret einen Ort und eine Uhrzeit für den Freitagabend vorschlägt, merkt Nina den Unterschied zwischen Höflichkeitsfloskel und echter Einladung. Beim ersten Telefonat mit ihrer Mutter in Hamburg rechnet sie sich verkehrt: Statt des erwarte</w:t>
            </w:r>
            <w:r>
              <w:rPr>
                <w:sz w:val="20"/>
                <w:szCs w:val="20"/>
              </w:rPr>
              <w:t>ten Vormittags ruft sie mitten in der Nacht an – die Zeitverschiebung braucht, wie sie feststellt, mehr Übung als jede neue Vokabel.</w:t>
            </w:r>
          </w:p>
        </w:tc>
      </w:tr>
    </w:tbl>
    <w:p w14:paraId="70A4F465" w14:textId="77777777" w:rsidR="00C1548D" w:rsidRDefault="00C1548D">
      <w:pPr>
        <w:spacing w:line="220" w:lineRule="exact"/>
      </w:pPr>
    </w:p>
    <w:p w14:paraId="70A4F466"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469"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67"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68" w14:textId="77777777" w:rsidR="00C1548D" w:rsidRDefault="009B1B4B">
            <w:pPr>
              <w:spacing w:line="250" w:lineRule="auto"/>
            </w:pPr>
            <w:r>
              <w:rPr>
                <w:b/>
                <w:bCs/>
                <w:sz w:val="18"/>
                <w:szCs w:val="18"/>
              </w:rPr>
              <w:t>Minus</w:t>
            </w:r>
          </w:p>
        </w:tc>
      </w:tr>
      <w:tr w:rsidR="00C1548D" w14:paraId="70A4F46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6A" w14:textId="77777777" w:rsidR="00C1548D" w:rsidRDefault="009B1B4B">
            <w:pPr>
              <w:spacing w:line="250" w:lineRule="auto"/>
            </w:pPr>
            <w:r>
              <w:rPr>
                <w:sz w:val="18"/>
                <w:szCs w:val="18"/>
              </w:rPr>
              <w:t>Informeller Umgangston senkt die Hemmschwelle für den ersten Kontakt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6B" w14:textId="77777777" w:rsidR="00C1548D" w:rsidRDefault="009B1B4B">
            <w:pPr>
              <w:spacing w:line="250" w:lineRule="auto"/>
            </w:pPr>
            <w:r>
              <w:rPr>
                <w:sz w:val="18"/>
                <w:szCs w:val="18"/>
              </w:rPr>
              <w:t>„Mate“ zu sein heißt nicht automatisch, Freund zu sein</w:t>
            </w:r>
          </w:p>
        </w:tc>
      </w:tr>
      <w:tr w:rsidR="00C1548D" w14:paraId="70A4F46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6D" w14:textId="77777777" w:rsidR="00C1548D" w:rsidRDefault="009B1B4B">
            <w:pPr>
              <w:spacing w:line="250" w:lineRule="auto"/>
            </w:pPr>
            <w:r>
              <w:rPr>
                <w:sz w:val="18"/>
                <w:szCs w:val="18"/>
              </w:rPr>
              <w:t>Entspannte Grundhaltung erleichtert das Ankommen im Alltag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6E" w14:textId="77777777" w:rsidR="00C1548D" w:rsidRDefault="009B1B4B">
            <w:pPr>
              <w:spacing w:line="250" w:lineRule="auto"/>
            </w:pPr>
            <w:r>
              <w:rPr>
                <w:sz w:val="18"/>
                <w:szCs w:val="18"/>
              </w:rPr>
              <w:t>„No worries“ kann echte Probleme unter den Teppich kehren</w:t>
            </w:r>
          </w:p>
        </w:tc>
      </w:tr>
      <w:tr w:rsidR="00C1548D" w14:paraId="70A4F47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70" w14:textId="77777777" w:rsidR="00C1548D" w:rsidRDefault="009B1B4B">
            <w:pPr>
              <w:spacing w:line="250" w:lineRule="auto"/>
            </w:pPr>
            <w:r>
              <w:rPr>
                <w:sz w:val="18"/>
                <w:szCs w:val="18"/>
              </w:rPr>
              <w:t>Small Talk über Wetter und Sport ist überall ein einfacher Einstieg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71" w14:textId="77777777" w:rsidR="00C1548D" w:rsidRDefault="009B1B4B">
            <w:pPr>
              <w:spacing w:line="250" w:lineRule="auto"/>
            </w:pPr>
            <w:r>
              <w:rPr>
                <w:sz w:val="18"/>
                <w:szCs w:val="18"/>
              </w:rPr>
              <w:t>Persönliche Themen wie Gehalt oder Herkunft bleiben lange tabu</w:t>
            </w:r>
          </w:p>
        </w:tc>
      </w:tr>
      <w:tr w:rsidR="00C1548D" w14:paraId="70A4F47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73" w14:textId="77777777" w:rsidR="00C1548D" w:rsidRDefault="009B1B4B">
            <w:pPr>
              <w:spacing w:line="250" w:lineRule="auto"/>
            </w:pPr>
            <w:r>
              <w:rPr>
                <w:sz w:val="18"/>
                <w:szCs w:val="18"/>
              </w:rPr>
              <w:t>Einladungen sind unkompliziert, BYO senkt die Hürde mitzukommen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74" w14:textId="77777777" w:rsidR="00C1548D" w:rsidRDefault="009B1B4B">
            <w:pPr>
              <w:spacing w:line="250" w:lineRule="auto"/>
            </w:pPr>
            <w:r>
              <w:rPr>
                <w:sz w:val="18"/>
                <w:szCs w:val="18"/>
              </w:rPr>
              <w:t>„We should catch up sometime“ bleibt oft folgenlose Höflichkeit</w:t>
            </w:r>
          </w:p>
        </w:tc>
      </w:tr>
      <w:tr w:rsidR="00C1548D" w14:paraId="70A4F47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76" w14:textId="77777777" w:rsidR="00C1548D" w:rsidRDefault="009B1B4B">
            <w:pPr>
              <w:spacing w:line="250" w:lineRule="auto"/>
            </w:pPr>
            <w:r>
              <w:rPr>
                <w:sz w:val="18"/>
                <w:szCs w:val="18"/>
              </w:rPr>
              <w:t>Kritik wird selten mit voller Härte ausgesprochen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77" w14:textId="77777777" w:rsidR="00C1548D" w:rsidRDefault="009B1B4B">
            <w:pPr>
              <w:spacing w:line="250" w:lineRule="auto"/>
            </w:pPr>
            <w:r>
              <w:rPr>
                <w:sz w:val="18"/>
                <w:szCs w:val="18"/>
              </w:rPr>
              <w:t>Indirekte Kritik ist für Deutsche schwer zu entschlüsseln</w:t>
            </w:r>
          </w:p>
        </w:tc>
      </w:tr>
      <w:tr w:rsidR="00C1548D" w14:paraId="70A4F47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79" w14:textId="77777777" w:rsidR="00C1548D" w:rsidRDefault="009B1B4B">
            <w:pPr>
              <w:spacing w:line="250" w:lineRule="auto"/>
            </w:pPr>
            <w:r>
              <w:rPr>
                <w:sz w:val="18"/>
                <w:szCs w:val="18"/>
              </w:rPr>
              <w:t>Videoanrufe und seltene, lange Heimatbesuche schaffen eigene Rituale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7A" w14:textId="77777777" w:rsidR="00C1548D" w:rsidRDefault="009B1B4B">
            <w:pPr>
              <w:spacing w:line="250" w:lineRule="auto"/>
            </w:pPr>
            <w:r>
              <w:rPr>
                <w:sz w:val="18"/>
                <w:szCs w:val="18"/>
              </w:rPr>
              <w:t>Spontane Kurzbesuche in Deutschland sind praktisch unmöglich</w:t>
            </w:r>
          </w:p>
        </w:tc>
      </w:tr>
    </w:tbl>
    <w:p w14:paraId="70A4F47C" w14:textId="77777777" w:rsidR="00C1548D" w:rsidRDefault="00C1548D">
      <w:pPr>
        <w:spacing w:line="180" w:lineRule="exact"/>
      </w:pPr>
    </w:p>
    <w:p w14:paraId="70A4F47D"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47E" w14:textId="77777777" w:rsidR="00C1548D" w:rsidRDefault="009B1B4B" w:rsidP="009B1B4B">
      <w:pPr>
        <w:pStyle w:val="ListParagraph"/>
        <w:numPr>
          <w:ilvl w:val="0"/>
          <w:numId w:val="46"/>
        </w:numPr>
        <w:spacing w:after="60"/>
      </w:pPr>
      <w:r>
        <w:t>Vor dem Umzug: Erwartungen an Freundschaft und Nähe realistisch anpassen, spontane Heimatbesuche gedanklich abschreiben.</w:t>
      </w:r>
    </w:p>
    <w:p w14:paraId="70A4F47F" w14:textId="77777777" w:rsidR="00C1548D" w:rsidRDefault="009B1B4B" w:rsidP="009B1B4B">
      <w:pPr>
        <w:pStyle w:val="ListParagraph"/>
        <w:numPr>
          <w:ilvl w:val="0"/>
          <w:numId w:val="46"/>
        </w:numPr>
        <w:spacing w:after="60"/>
      </w:pPr>
      <w:r>
        <w:t>In den ersten Wochen: Small Talk aktiv üben, Einladungen zu Barbecue oder Bar verbindlich annehmen und selbst aussprechen.</w:t>
      </w:r>
    </w:p>
    <w:p w14:paraId="70A4F480" w14:textId="77777777" w:rsidR="00C1548D" w:rsidRDefault="009B1B4B" w:rsidP="009B1B4B">
      <w:pPr>
        <w:pStyle w:val="ListParagraph"/>
        <w:numPr>
          <w:ilvl w:val="0"/>
          <w:numId w:val="46"/>
        </w:numPr>
        <w:spacing w:after="60"/>
      </w:pPr>
      <w:r>
        <w:t>Laufend: Bei Unsicherheit über den Ton einer Aussage freundlich nachfragen, statt zu spekulieren.</w:t>
      </w:r>
    </w:p>
    <w:p w14:paraId="70A4F481"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8C"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482" w14:textId="77777777" w:rsidR="00C1548D" w:rsidRDefault="009B1B4B">
            <w:pPr>
              <w:keepNext/>
              <w:spacing w:after="70" w:line="240" w:lineRule="auto"/>
            </w:pPr>
            <w:r>
              <w:rPr>
                <w:b/>
                <w:bCs/>
                <w:color w:val="1F6F78"/>
                <w:spacing w:val="24"/>
                <w:sz w:val="16"/>
                <w:szCs w:val="16"/>
              </w:rPr>
              <w:lastRenderedPageBreak/>
              <w:t>CHECKLISTE</w:t>
            </w:r>
          </w:p>
          <w:p w14:paraId="70A4F48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Erwartungen an Tempo und Tiefe neuer Bekanntschaften realistisch angepasst</w:t>
            </w:r>
          </w:p>
          <w:p w14:paraId="70A4F48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Small-Talk-Themen (Wetter, Sport, Wochenende) parat, Tabuthemen (Gehalt, Politik) gemieden</w:t>
            </w:r>
          </w:p>
          <w:p w14:paraId="70A4F48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BYO- und Shout-Prinzip bei Einladungen und Barbecues verstanden</w:t>
            </w:r>
          </w:p>
          <w:p w14:paraId="70A4F48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vager Einladung „We should catch up“ selbst einen Tag und Ort vorgeschlagen</w:t>
            </w:r>
          </w:p>
          <w:p w14:paraId="70A4F48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Auf „yeah, nah“ und ähnliche Wendungen geachtet, im Zweifel nachgefragt</w:t>
            </w:r>
          </w:p>
          <w:p w14:paraId="70A4F48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Zeitverschiebung zu Deutschland (8 bis 10 Stunden, je nach Sommer-/Winterzeit) für Anrufe notiert</w:t>
            </w:r>
          </w:p>
          <w:p w14:paraId="70A4F48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Reisezeit und Kosten für einen Heimatbesuch (21 bis 24 Stunden, kein Direktflug) realistisch eingeplant</w:t>
            </w:r>
          </w:p>
          <w:p w14:paraId="70A4F48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Regelmäßige Videoanruf-Termine mit Familie und Freunden in Deutschland verabredet</w:t>
            </w:r>
          </w:p>
          <w:p w14:paraId="70A4F48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der Abreise: ein bis zwei Serien oder Filme im australischen Originalton angeschaut, Untertitel auf Englisch umgestellt</w:t>
            </w:r>
          </w:p>
        </w:tc>
      </w:tr>
    </w:tbl>
    <w:p w14:paraId="70A4F48D" w14:textId="77777777" w:rsidR="00C1548D" w:rsidRDefault="00C1548D">
      <w:pPr>
        <w:spacing w:line="220" w:lineRule="exact"/>
      </w:pPr>
    </w:p>
    <w:p w14:paraId="70A4F48E"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48F" w14:textId="602EDD89" w:rsidR="00C1548D" w:rsidRDefault="009B1B4B" w:rsidP="009B1B4B">
      <w:pPr>
        <w:pStyle w:val="ListParagraph"/>
        <w:numPr>
          <w:ilvl w:val="0"/>
          <w:numId w:val="1"/>
        </w:numPr>
        <w:spacing w:after="60"/>
      </w:pPr>
      <w:r>
        <w:t xml:space="preserve">SBS Cultural Atlas — Kommunikationsstil und Alltagskultur in Australien: </w:t>
      </w:r>
      <w:hyperlink r:id="rId442" w:history="1">
        <w:r>
          <w:rPr>
            <w:color w:val="0563C1"/>
            <w:u w:val="single"/>
          </w:rPr>
          <w:t>culturalatlas.sbs.com.au</w:t>
        </w:r>
      </w:hyperlink>
    </w:p>
    <w:p w14:paraId="70A4F490" w14:textId="6DC11BC5" w:rsidR="00C1548D" w:rsidRDefault="009B1B4B" w:rsidP="009B1B4B">
      <w:pPr>
        <w:pStyle w:val="ListParagraph"/>
        <w:numPr>
          <w:ilvl w:val="0"/>
          <w:numId w:val="1"/>
        </w:numPr>
        <w:spacing w:after="60"/>
      </w:pPr>
      <w:r>
        <w:t xml:space="preserve">Deutsche Botschaft Canberra und Generalkonsulate in Australien — Leben vor Ort: </w:t>
      </w:r>
      <w:hyperlink r:id="rId443" w:history="1">
        <w:r>
          <w:rPr>
            <w:color w:val="0563C1"/>
            <w:u w:val="single"/>
          </w:rPr>
          <w:t>australien.diplo.de</w:t>
        </w:r>
      </w:hyperlink>
    </w:p>
    <w:p w14:paraId="70A4F491" w14:textId="297B02CA" w:rsidR="00C1548D" w:rsidRDefault="009B1B4B" w:rsidP="009B1B4B">
      <w:pPr>
        <w:pStyle w:val="ListParagraph"/>
        <w:numPr>
          <w:ilvl w:val="0"/>
          <w:numId w:val="1"/>
        </w:numPr>
        <w:spacing w:after="60"/>
      </w:pPr>
      <w:r>
        <w:t xml:space="preserve">Fair Work Ombudsman — Umgangsformen und Umgangsregeln am Arbeitsplatz: </w:t>
      </w:r>
      <w:hyperlink r:id="rId444" w:history="1">
        <w:r>
          <w:rPr>
            <w:color w:val="0563C1"/>
            <w:u w:val="single"/>
          </w:rPr>
          <w:t>fairwork.gov.au</w:t>
        </w:r>
      </w:hyperlink>
    </w:p>
    <w:p w14:paraId="70A4F492" w14:textId="3CA53CB4" w:rsidR="00C1548D" w:rsidRDefault="009B1B4B" w:rsidP="009B1B4B">
      <w:pPr>
        <w:pStyle w:val="ListParagraph"/>
        <w:numPr>
          <w:ilvl w:val="0"/>
          <w:numId w:val="1"/>
        </w:numPr>
        <w:spacing w:after="60"/>
      </w:pPr>
      <w:r>
        <w:t xml:space="preserve">Tourism Australia — Alltag und Umgangsformen für Neuankömmlinge: </w:t>
      </w:r>
      <w:hyperlink r:id="rId445" w:history="1">
        <w:r>
          <w:rPr>
            <w:color w:val="0563C1"/>
            <w:u w:val="single"/>
          </w:rPr>
          <w:t>australia.com</w:t>
        </w:r>
      </w:hyperlink>
    </w:p>
    <w:p w14:paraId="70A4F493" w14:textId="40C4EDA8" w:rsidR="00C1548D" w:rsidRDefault="009B1B4B" w:rsidP="009B1B4B">
      <w:pPr>
        <w:pStyle w:val="ListParagraph"/>
        <w:numPr>
          <w:ilvl w:val="0"/>
          <w:numId w:val="1"/>
        </w:numPr>
        <w:spacing w:after="60"/>
      </w:pPr>
      <w:r>
        <w:t xml:space="preserve">WIRED — „Accent Expert“-Reihe mit Dialektcoach Erik Singer: </w:t>
      </w:r>
      <w:hyperlink r:id="rId446" w:history="1">
        <w:r>
          <w:rPr>
            <w:color w:val="0563C1"/>
            <w:u w:val="single"/>
          </w:rPr>
          <w:t>youtube.com/@wired</w:t>
        </w:r>
      </w:hyperlink>
    </w:p>
    <w:p w14:paraId="70A4F494" w14:textId="2F11AD52" w:rsidR="00C1548D" w:rsidRDefault="009B1B4B" w:rsidP="009B1B4B">
      <w:pPr>
        <w:pStyle w:val="ListParagraph"/>
        <w:numPr>
          <w:ilvl w:val="0"/>
          <w:numId w:val="1"/>
        </w:numPr>
        <w:spacing w:after="60"/>
      </w:pPr>
      <w:r>
        <w:lastRenderedPageBreak/>
        <w:t xml:space="preserve">ARD-alpha — Telekolleg Englisch, kostenlose Sprachkurse: </w:t>
      </w:r>
      <w:hyperlink r:id="rId447" w:history="1">
        <w:r>
          <w:rPr>
            <w:color w:val="0563C1"/>
            <w:u w:val="single"/>
          </w:rPr>
          <w:t>ardalpha.de</w:t>
        </w:r>
      </w:hyperlink>
    </w:p>
    <w:p w14:paraId="70A4F495" w14:textId="418B8FC0" w:rsidR="00C1548D" w:rsidRDefault="009B1B4B" w:rsidP="009B1B4B">
      <w:pPr>
        <w:pStyle w:val="ListParagraph"/>
        <w:numPr>
          <w:ilvl w:val="0"/>
          <w:numId w:val="1"/>
        </w:numPr>
        <w:spacing w:after="60"/>
      </w:pPr>
      <w:r>
        <w:t xml:space="preserve">JustWatch — aktuelle Streaming-Verfügbarkeit in Deutschland prüfen: </w:t>
      </w:r>
      <w:hyperlink r:id="rId448" w:history="1">
        <w:r>
          <w:rPr>
            <w:color w:val="0563C1"/>
            <w:u w:val="single"/>
          </w:rPr>
          <w:t>justwatch.de</w:t>
        </w:r>
      </w:hyperlink>
    </w:p>
    <w:p w14:paraId="70A4F49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99"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497" w14:textId="77777777" w:rsidR="00C1548D" w:rsidRDefault="009B1B4B">
            <w:pPr>
              <w:keepNext/>
              <w:spacing w:after="70" w:line="240" w:lineRule="auto"/>
            </w:pPr>
            <w:r>
              <w:rPr>
                <w:b/>
                <w:bCs/>
                <w:color w:val="6B7280"/>
                <w:spacing w:val="24"/>
                <w:sz w:val="16"/>
                <w:szCs w:val="16"/>
              </w:rPr>
              <w:t>STAND</w:t>
            </w:r>
          </w:p>
          <w:p w14:paraId="70A4F498" w14:textId="77777777" w:rsidR="00C1548D" w:rsidRDefault="009B1B4B">
            <w:pPr>
              <w:spacing w:after="80" w:line="264" w:lineRule="auto"/>
            </w:pPr>
            <w:r>
              <w:rPr>
                <w:sz w:val="20"/>
                <w:szCs w:val="20"/>
              </w:rPr>
              <w:t>23.09.2026. Die kulturellen Beobachtungen in diesem Kapitel sind allgemeine Tendenzen, keine Statistik – regionale und individuelle Unterschiede innerhalb Australiens sind groß, und eine Generation Australier tickt nicht wie die andere. Flugverbindungen, Reisezeiten und Zeitverschiebung ändern sich; prüfe sie vor jeder konkreten Reiseplanung neu.</w:t>
            </w:r>
          </w:p>
        </w:tc>
      </w:tr>
    </w:tbl>
    <w:p w14:paraId="70A4F49A" w14:textId="77777777" w:rsidR="00C1548D" w:rsidRDefault="00C1548D">
      <w:pPr>
        <w:spacing w:line="220" w:lineRule="exact"/>
      </w:pPr>
    </w:p>
    <w:p w14:paraId="70A4F49B" w14:textId="77777777" w:rsidR="00C1548D" w:rsidRDefault="009B1B4B">
      <w:pPr>
        <w:pStyle w:val="Heading2"/>
        <w:keepNext/>
        <w:pageBreakBefore/>
        <w:jc w:val="center"/>
      </w:pPr>
      <w:bookmarkStart w:id="124" w:name="tau12"/>
      <w:bookmarkStart w:id="125" w:name="_Toc241352513"/>
      <w:r>
        <w:rPr>
          <w:rFonts w:ascii="Amazon Ember" w:eastAsia="Amazon Ember" w:hAnsi="Amazon Ember" w:cs="Amazon Ember"/>
          <w:color w:val="0000FF"/>
          <w:sz w:val="36"/>
          <w:szCs w:val="36"/>
        </w:rPr>
        <w:lastRenderedPageBreak/>
        <w:t>Australien: Freunde finden und der Kulturschock der großen Distanz</w:t>
      </w:r>
      <w:bookmarkEnd w:id="124"/>
      <w:bookmarkEnd w:id="125"/>
    </w:p>
    <w:p w14:paraId="70A4F49C" w14:textId="77777777" w:rsidR="00C1548D" w:rsidRDefault="009B1B4B">
      <w:pPr>
        <w:spacing w:after="140"/>
      </w:pPr>
      <w:r>
        <w:t>„How ya going, mate?“ ruft der Nachbar über den Zaun, während er den Rasen mäht –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w:t>
      </w:r>
      <w:r>
        <w:t>öln oder Hamburg ist, und merkst: Freunde finden und Heimweh aushalten sind in Australien zwei Seiten derselben, ziemlich weiten Reise.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A4"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49D" w14:textId="77777777" w:rsidR="00C1548D" w:rsidRDefault="009B1B4B">
            <w:pPr>
              <w:keepNext/>
              <w:spacing w:after="70" w:line="240" w:lineRule="auto"/>
            </w:pPr>
            <w:r>
              <w:rPr>
                <w:b/>
                <w:bCs/>
                <w:color w:val="1F3A5F"/>
                <w:spacing w:val="24"/>
                <w:sz w:val="16"/>
                <w:szCs w:val="16"/>
              </w:rPr>
              <w:t>KURZ GESAGT</w:t>
            </w:r>
          </w:p>
          <w:p w14:paraId="70A4F49E" w14:textId="77777777" w:rsidR="00C1548D" w:rsidRDefault="009B1B4B" w:rsidP="009B1B4B">
            <w:pPr>
              <w:pStyle w:val="ListParagraph"/>
              <w:numPr>
                <w:ilvl w:val="0"/>
                <w:numId w:val="1"/>
              </w:numPr>
              <w:spacing w:after="50" w:line="264" w:lineRule="auto"/>
            </w:pPr>
            <w:r>
              <w:rPr>
                <w:sz w:val="20"/>
                <w:szCs w:val="20"/>
              </w:rPr>
              <w:t>Australische Freundlichkeit öffnet die erste Tür sehr leicht, sagt aber wenig über eine echte Freundschaft aus; Tiefe entsteht durch Wiederholung, nicht durch das erste nette Gespräch.</w:t>
            </w:r>
          </w:p>
          <w:p w14:paraId="70A4F49F" w14:textId="77777777" w:rsidR="00C1548D" w:rsidRDefault="009B1B4B" w:rsidP="009B1B4B">
            <w:pPr>
              <w:pStyle w:val="ListParagraph"/>
              <w:numPr>
                <w:ilvl w:val="0"/>
                <w:numId w:val="1"/>
              </w:numPr>
              <w:spacing w:after="50" w:line="264" w:lineRule="auto"/>
            </w:pPr>
            <w:r>
              <w:rPr>
                <w:sz w:val="20"/>
                <w:szCs w:val="20"/>
              </w:rPr>
              <w:t>Sportvereine, freiwillige Feuerwehr und Katastrophenschutz, Nachbarschaft und Kinder sind die schnellsten Wege zu festen Kontakten.</w:t>
            </w:r>
          </w:p>
          <w:p w14:paraId="70A4F4A0" w14:textId="77777777" w:rsidR="00C1548D" w:rsidRDefault="009B1B4B" w:rsidP="009B1B4B">
            <w:pPr>
              <w:pStyle w:val="ListParagraph"/>
              <w:numPr>
                <w:ilvl w:val="0"/>
                <w:numId w:val="1"/>
              </w:numPr>
              <w:spacing w:after="50" w:line="264" w:lineRule="auto"/>
            </w:pPr>
            <w:r>
              <w:rPr>
                <w:sz w:val="20"/>
                <w:szCs w:val="20"/>
              </w:rPr>
              <w:t>Deutsche Vertretungen, Goethe-Institute und deutsche Schulen konzentrieren sich auf Sydney und Melbourne; in anderen Großstädten bleibt vor allem die eigene Initiative.</w:t>
            </w:r>
          </w:p>
          <w:p w14:paraId="70A4F4A1" w14:textId="77777777" w:rsidR="00C1548D" w:rsidRDefault="009B1B4B" w:rsidP="009B1B4B">
            <w:pPr>
              <w:pStyle w:val="ListParagraph"/>
              <w:numPr>
                <w:ilvl w:val="0"/>
                <w:numId w:val="1"/>
              </w:numPr>
              <w:spacing w:after="50" w:line="264" w:lineRule="auto"/>
            </w:pPr>
            <w:r>
              <w:rPr>
                <w:sz w:val="20"/>
                <w:szCs w:val="20"/>
              </w:rPr>
              <w:t>Australien liegt für deutsche Verhältnisse ungewöhnlich weit weg: keine Direktflüge, 21 bis 24 Stunden Reisezeit, 8 bis 10 Stunden Zeitverschiebung – das prägt Heimweh anders als in näher gelegenen Zielländern.</w:t>
            </w:r>
          </w:p>
          <w:p w14:paraId="70A4F4A2" w14:textId="77777777" w:rsidR="00C1548D" w:rsidRDefault="009B1B4B" w:rsidP="009B1B4B">
            <w:pPr>
              <w:pStyle w:val="ListParagraph"/>
              <w:numPr>
                <w:ilvl w:val="0"/>
                <w:numId w:val="1"/>
              </w:numPr>
              <w:spacing w:after="50" w:line="264" w:lineRule="auto"/>
            </w:pPr>
            <w:r>
              <w:rPr>
                <w:sz w:val="20"/>
                <w:szCs w:val="20"/>
              </w:rPr>
              <w:t>Die kritischsten Monate sind meist der dritte bis sechste, dazu das erste Weihnachtsfest in Badehose statt am beschneiten Tannenbaum.</w:t>
            </w:r>
          </w:p>
          <w:p w14:paraId="70A4F4A3" w14:textId="77777777" w:rsidR="00C1548D" w:rsidRDefault="009B1B4B" w:rsidP="009B1B4B">
            <w:pPr>
              <w:pStyle w:val="ListParagraph"/>
              <w:numPr>
                <w:ilvl w:val="0"/>
                <w:numId w:val="1"/>
              </w:numPr>
              <w:spacing w:after="50" w:line="264" w:lineRule="auto"/>
            </w:pPr>
            <w:r>
              <w:rPr>
                <w:sz w:val="20"/>
                <w:szCs w:val="20"/>
              </w:rPr>
              <w:t>Wer isoliert lebt oder ernsthaft belastet ist, findet in Australien erreichbare Hilfe, auch auf Deutsch.</w:t>
            </w:r>
          </w:p>
        </w:tc>
      </w:tr>
    </w:tbl>
    <w:p w14:paraId="70A4F4A5" w14:textId="77777777" w:rsidR="00C1548D" w:rsidRDefault="00C1548D">
      <w:pPr>
        <w:spacing w:line="220" w:lineRule="exact"/>
      </w:pPr>
    </w:p>
    <w:p w14:paraId="70A4F4A6" w14:textId="77777777" w:rsidR="00C1548D" w:rsidRDefault="009B1B4B">
      <w:pPr>
        <w:pStyle w:val="Heading3"/>
        <w:keepNext/>
        <w:jc w:val="center"/>
      </w:pPr>
      <w:r>
        <w:rPr>
          <w:rFonts w:ascii="Amazon Ember" w:eastAsia="Amazon Ember" w:hAnsi="Amazon Ember" w:cs="Amazon Ember"/>
          <w:color w:val="0000FF"/>
          <w:sz w:val="36"/>
          <w:szCs w:val="36"/>
        </w:rPr>
        <w:lastRenderedPageBreak/>
        <w:t>Mateship und Understatement: Wie Australier Nähe zeigen</w:t>
      </w:r>
    </w:p>
    <w:p w14:paraId="70A4F4A7" w14:textId="77777777" w:rsidR="00C1548D" w:rsidRDefault="009B1B4B">
      <w:pPr>
        <w:spacing w:after="140"/>
      </w:pPr>
      <w:r>
        <w:t xml:space="preserve">Deutsche gelten in Alltagsgesprächen häufig als direkt und sachbezogen; Australier kommunizieren eher entspannt, indirekt und ausgesprochen konfliktscheu – eine Meinungsverschiedenheit wird gern mit einem Scherz entschärft statt mit einem Widerspruch ausgetragen. </w:t>
      </w:r>
      <w:r>
        <w:rPr>
          <w:i/>
          <w:iCs/>
        </w:rPr>
        <w:t>Mate</w:t>
      </w:r>
      <w:r>
        <w:t xml:space="preserve"> (wörtlich „Kumpel“, in Wirklichkeit eine Anrede für praktisch jeden – Kollegen, Verkäuferinnen, gelegentlich sogar den eigenen Hund) signalisiert Zugänglichkeit, nicht Freundschaft. Vornamen sind selbst gegenüber Vorgesetzten üblich, und wer im Bewerbungsgespräch versehentlich „Mr. Smith“ sagt, erntet eher ein amüsiertes Stirnrunzeln als Respekt.</w:t>
      </w:r>
    </w:p>
    <w:p w14:paraId="70A4F4A8" w14:textId="77777777" w:rsidR="00C1548D" w:rsidRDefault="009B1B4B">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 nur die erste Tür schwingt williger auf. „We should catch up sometime“ ist eine Höflichkeitsformel, kein Termin; wer daraus einen machen will, braucht wie überall ein konkretes Datum, keinen vagen Wunsch.</w:t>
      </w:r>
    </w:p>
    <w:p w14:paraId="70A4F4A9" w14:textId="77777777" w:rsidR="00C1548D" w:rsidRDefault="009B1B4B">
      <w:pPr>
        <w:spacing w:after="140"/>
      </w:pPr>
      <w:r>
        <w:t>Der britisch geprägte Humor dieses Länder-Teils zeigt sich hier besonders deutlich: Wo ein Deutscher sagen würde „Das war heute chaotisch“, sagt ein Australier eher „Bit of a day, that“ – und meint damit womöglich, dass gerade die Küche abgebrannt ist. Wer diese Untertreibung nicht mitbekommt, hält jede Krise für eine Kleinigkeit und wundert sich später, warum niemand um Hilfe gebeten hat. Sicherer Gesprächsstoff für den Anfang sind Wetter, Sport – vor allem die eigene Lieblingsmannschaft – und der letzte U</w:t>
      </w:r>
      <w:r>
        <w:t>rlaub; Gehalt, Politik und die eigene Steuererklärung bleiben, ähnlich wie in Deutschland, eher hintenan.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AC"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4AA" w14:textId="77777777" w:rsidR="00C1548D" w:rsidRDefault="009B1B4B">
            <w:pPr>
              <w:keepNext/>
              <w:spacing w:after="70" w:line="240" w:lineRule="auto"/>
            </w:pPr>
            <w:r>
              <w:rPr>
                <w:b/>
                <w:bCs/>
                <w:color w:val="8A6212"/>
                <w:spacing w:val="24"/>
                <w:sz w:val="16"/>
                <w:szCs w:val="16"/>
              </w:rPr>
              <w:lastRenderedPageBreak/>
              <w:t>MERKE</w:t>
            </w:r>
          </w:p>
          <w:p w14:paraId="70A4F4AB" w14:textId="77777777" w:rsidR="00C1548D" w:rsidRDefault="009B1B4B">
            <w:pPr>
              <w:spacing w:after="80" w:line="264" w:lineRule="auto"/>
            </w:pPr>
            <w:r>
              <w:rPr>
                <w:sz w:val="20"/>
                <w:szCs w:val="20"/>
              </w:rPr>
              <w:t>Ein offenes „G’day“ ist ein Türöffner, keine Einladung ins Wohnzimmer. Nimm die erste Freundlichkeit dankbar an, aber erwarte die eigentliche Freundschaft erst nach mehreren Wiederholungen.</w:t>
            </w:r>
          </w:p>
        </w:tc>
      </w:tr>
    </w:tbl>
    <w:p w14:paraId="70A4F4AD" w14:textId="77777777" w:rsidR="00C1548D" w:rsidRDefault="00C1548D">
      <w:pPr>
        <w:spacing w:line="220" w:lineRule="exact"/>
      </w:pPr>
    </w:p>
    <w:p w14:paraId="70A4F4AE" w14:textId="77777777" w:rsidR="00C1548D" w:rsidRDefault="009B1B4B">
      <w:pPr>
        <w:spacing w:after="140"/>
      </w:pPr>
      <w:r>
        <w:t xml:space="preserve">Eng damit verwandt ist das </w:t>
      </w:r>
      <w:r>
        <w:rPr>
          <w:i/>
          <w:iCs/>
        </w:rPr>
        <w:t>Tall Poppy Syndrome</w:t>
      </w:r>
      <w:r>
        <w:t xml:space="preserve"> (wörtlich „Syndrom der hohen Mohnblume“): Wer zu offensichtlich mit Erfolg, Titel oder Gehalt prahlt, wird in Australien nicht bewundert, sondern sozial „gestutzt“ – meist mit einem trockenen Kommentar statt mit offener Kritik. Für deutsche Fachkräfte, die aus einer Kultur kommen, in der der eigene Titel schon auf der Visitenkarte für Respekt sorgt, ist das eine Umstellung: Der Ingenieur, der seinen Doktortitel beim Grillabend beiläufig fallen lässt, erntet eher ein amüsiertes „Ooh, fancy“ als Anerkennung.</w:t>
      </w:r>
      <w:r>
        <w:t xml:space="preserve"> Wer stattdessen die eigenen Pannen erzählt – der verkorkste erste Linksverkehr-Versuch, die falsch ausgesprochenen Ortsnamen –, kommt in Australien meist erheblich weiter als mit einer Erfolgsliste.</w:t>
      </w:r>
    </w:p>
    <w:p w14:paraId="70A4F4AF" w14:textId="77777777" w:rsidR="00C1548D" w:rsidRDefault="009B1B4B">
      <w:pPr>
        <w:pStyle w:val="Heading3"/>
        <w:keepNext/>
        <w:jc w:val="center"/>
      </w:pPr>
      <w:r>
        <w:rPr>
          <w:rFonts w:ascii="Amazon Ember" w:eastAsia="Amazon Ember" w:hAnsi="Amazon Ember" w:cs="Amazon Ember"/>
          <w:color w:val="0000FF"/>
          <w:sz w:val="36"/>
          <w:szCs w:val="36"/>
        </w:rPr>
        <w:t>Wo du Anschluss findest: Sport, Vereine, Nachbarschaft</w:t>
      </w:r>
    </w:p>
    <w:p w14:paraId="70A4F4B0" w14:textId="77777777" w:rsidR="00C1548D" w:rsidRDefault="009B1B4B">
      <w:pPr>
        <w:spacing w:after="140"/>
      </w:pPr>
      <w:r>
        <w:t xml:space="preserve">Vereinswesen im deutschen Sinn – mit Satzung, Vorstand und Vereinsheim – ist in Australien selten; stattdessen dominieren Sportclubs, die zugleich soziale Zentren sind. Cricket ist im Sommer (Oktober bis März) überall präsent, im Winter wechselt es je nach Bundesstaat zu </w:t>
      </w:r>
      <w:r>
        <w:rPr>
          <w:i/>
          <w:iCs/>
        </w:rPr>
        <w:t>Australian Football</w:t>
      </w:r>
      <w:r>
        <w:t xml:space="preserve"> (AFL, mit Ursprüngen und größter Fangemeinde in Victoria, Western Australia und South Australia) oder </w:t>
      </w:r>
      <w:r>
        <w:rPr>
          <w:i/>
          <w:iCs/>
        </w:rPr>
        <w:t>Rugby League</w:t>
      </w:r>
      <w:r>
        <w:t xml:space="preserve"> (NRL, Schwerpunkt New South Wales und Queensland); </w:t>
      </w:r>
      <w:r>
        <w:rPr>
          <w:i/>
          <w:iCs/>
        </w:rPr>
        <w:t>Netball</w:t>
      </w:r>
      <w:r>
        <w:t xml:space="preserve"> zieht landesweit vor allem Frauen und Mädchen an Wochenenden auf die Plätze. Wer an der Küste lebt, findet in einem </w:t>
      </w:r>
      <w:r>
        <w:rPr>
          <w:i/>
          <w:iCs/>
        </w:rPr>
        <w:t>Surf Life Saving Club</w:t>
      </w:r>
      <w:r>
        <w:t xml:space="preserve"> eine typisch australische Kombination aus Rettungsschwimmer-Ausbildung, Wettkampfsport und Vereinsleben am Strand: Mitglieder patrouillieren ehrenamtlich die Strände und feiern danach gemeinsam im Clubhaus.</w:t>
      </w:r>
    </w:p>
    <w:p w14:paraId="70A4F4B1" w14:textId="54B2572B" w:rsidR="00C1548D" w:rsidRDefault="009B1B4B">
      <w:pPr>
        <w:spacing w:after="140"/>
      </w:pPr>
      <w:r>
        <w:lastRenderedPageBreak/>
        <w:t xml:space="preserve">Eine zweite, sehr australische Tür ist der Katastrophenschutz: Die freiwillige </w:t>
      </w:r>
      <w:r>
        <w:rPr>
          <w:i/>
          <w:iCs/>
        </w:rPr>
        <w:t>Rural Fire Service</w:t>
      </w:r>
      <w:r>
        <w:t xml:space="preserve"> (RFS, ländliche Feuerwehr, in einzelnen Bundesstaaten unter anderem Namen organisiert) und der </w:t>
      </w:r>
      <w:r>
        <w:rPr>
          <w:i/>
          <w:iCs/>
        </w:rPr>
        <w:t>State Emergency Service</w:t>
      </w:r>
      <w:r>
        <w:t xml:space="preserve"> (SES, freiwilliger Katastrophenschutz für Stürme und Fluten) suchen laufend Mitglieder. Wer sich in einer Region mit Buschfeuer- oder Flutrisiko niederlässt (siehe das </w:t>
      </w:r>
      <w:hyperlink w:anchor="tau09" w:history="1">
        <w:r>
          <w:rPr>
            <w:color w:val="0563C1"/>
            <w:u w:val="single"/>
          </w:rPr>
          <w:t>Kapitel zu Wohnen und den besten Orten in diesem Teil</w:t>
        </w:r>
      </w:hyperlink>
      <w:r>
        <w:t>), lernt darüber ungewöhnlich schnell Nachbarn kennen, die ohnehin zusammenhalten müssen – eine Freundschaft, die im Ernstfall entsteht, hält oft länger als eine, die am Kaffeetisch begann.</w:t>
      </w:r>
    </w:p>
    <w:p w14:paraId="70A4F4B2" w14:textId="77777777" w:rsidR="00C1548D" w:rsidRDefault="009B1B4B">
      <w:pPr>
        <w:spacing w:after="140"/>
      </w:pPr>
      <w:r>
        <w:t xml:space="preserve">In der Nachbarschaft ersetzt der </w:t>
      </w:r>
      <w:r>
        <w:rPr>
          <w:i/>
          <w:iCs/>
        </w:rPr>
        <w:t>Nature Strip</w:t>
      </w:r>
      <w:r>
        <w:t xml:space="preserve"> (der Grünstreifen zwischen Gehweg und Straße, den viele Anwohner gemeinsam pflegen und für spontane Plaudereien nutzen) den deutschen Gartenzaun; ein informelles „Barbie“ (</w:t>
      </w:r>
      <w:r>
        <w:rPr>
          <w:i/>
          <w:iCs/>
        </w:rPr>
        <w:t>Barbecue</w:t>
      </w:r>
      <w:r>
        <w:t xml:space="preserve">, Grillfest) am Wochenende ist die häufigste Einladung überhaupt und erwartet wenig mehr als eine Flasche Wein oder ein paar Getränke im Gepäck. Für Erwachsene ohne Kinder oder festen Sportverein bieten </w:t>
      </w:r>
      <w:r>
        <w:rPr>
          <w:i/>
          <w:iCs/>
        </w:rPr>
        <w:t>TAFE</w:t>
      </w:r>
      <w:r>
        <w:t>-Kurse (</w:t>
      </w:r>
      <w:r>
        <w:rPr>
          <w:i/>
          <w:iCs/>
        </w:rPr>
        <w:t>Technical and Further Education</w:t>
      </w:r>
      <w:r>
        <w:t>, die staatliche berufliche Weiterbildung, am ehesten mit der Volkshochschule vergleichbar) günstigen Zugang zu Gleichgesinnten, von Töpfern bis Spanisch. Wer allein und mit befristetem Visum unterwegs ist, findet zusätzlich über den Working-Holiday-Kreislauf aus Hostels, Farmarbeit und Backpacker-Touren schnell Bekanntschaften – nur wechselt diese Gruppe selbst ständig weiter, sodass feste Freundschaften hier besonders von eigener Beharrlichkeit abhängen.</w:t>
      </w:r>
    </w:p>
    <w:p w14:paraId="70A4F4B3" w14:textId="77777777" w:rsidR="00C1548D" w:rsidRDefault="009B1B4B">
      <w:pPr>
        <w:spacing w:after="140"/>
      </w:pPr>
      <w:r>
        <w:t>Bei der ersten Einladung hilft ein Blick auf die Formel „Bring a plate“ (wörtlich „bring einen Teller mit“), die auf Schulfesten, Nachbarschaftsfeiern und informellen Grillabenden praktisch überall auftaucht: Erwartet wird kein leerer Teller, sondern ein mitgebrachtes Gericht zum Teilen, ähnlich dem deutschen Buffet-Prinzip, nur ohne Absprache, wer was mitbringt. Ein selbst gebackener Kuchen oder Salat ist immer richtig; Nachfragen bei der Gastgeberin oder dem Gastgeber räumt jeden Zweifel aus.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5"/>
        <w:gridCol w:w="3675"/>
      </w:tblGrid>
      <w:tr w:rsidR="00C1548D" w14:paraId="70A4F4B6" w14:textId="77777777">
        <w:tblPrEx>
          <w:tblCellMar>
            <w:top w:w="0" w:type="dxa"/>
            <w:bottom w:w="0" w:type="dxa"/>
          </w:tblCellMar>
        </w:tblPrEx>
        <w:trPr>
          <w:cantSplit/>
          <w:tblHeader/>
        </w:trPr>
        <w:tc>
          <w:tcPr>
            <w:tcW w:w="280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B4" w14:textId="77777777" w:rsidR="00C1548D" w:rsidRDefault="009B1B4B">
            <w:pPr>
              <w:spacing w:line="250" w:lineRule="auto"/>
            </w:pPr>
            <w:r>
              <w:rPr>
                <w:b/>
                <w:bCs/>
                <w:sz w:val="18"/>
                <w:szCs w:val="18"/>
              </w:rPr>
              <w:lastRenderedPageBreak/>
              <w:t>Anlass</w:t>
            </w:r>
          </w:p>
        </w:tc>
        <w:tc>
          <w:tcPr>
            <w:tcW w:w="367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B5" w14:textId="77777777" w:rsidR="00C1548D" w:rsidRDefault="009B1B4B">
            <w:pPr>
              <w:spacing w:line="250" w:lineRule="auto"/>
            </w:pPr>
            <w:r>
              <w:rPr>
                <w:b/>
                <w:bCs/>
                <w:sz w:val="18"/>
                <w:szCs w:val="18"/>
              </w:rPr>
              <w:t>Was erwartet wird</w:t>
            </w:r>
          </w:p>
        </w:tc>
      </w:tr>
      <w:tr w:rsidR="00C1548D" w14:paraId="70A4F4B9" w14:textId="77777777">
        <w:tblPrEx>
          <w:tblCellMar>
            <w:top w:w="0" w:type="dxa"/>
            <w:bottom w:w="0" w:type="dxa"/>
          </w:tblCellMar>
        </w:tblPrEx>
        <w:trPr>
          <w:cantSplit/>
        </w:trPr>
        <w:tc>
          <w:tcPr>
            <w:tcW w:w="2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B7" w14:textId="77777777" w:rsidR="00C1548D" w:rsidRDefault="009B1B4B">
            <w:pPr>
              <w:spacing w:line="250" w:lineRule="auto"/>
            </w:pPr>
            <w:r>
              <w:rPr>
                <w:sz w:val="18"/>
                <w:szCs w:val="18"/>
              </w:rPr>
              <w:t>„Barbie“ am Nachbarhaus</w:t>
            </w:r>
          </w:p>
        </w:tc>
        <w:tc>
          <w:tcPr>
            <w:tcW w:w="36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B8" w14:textId="77777777" w:rsidR="00C1548D" w:rsidRDefault="009B1B4B">
            <w:pPr>
              <w:spacing w:line="250" w:lineRule="auto"/>
            </w:pPr>
            <w:r>
              <w:rPr>
                <w:sz w:val="18"/>
                <w:szCs w:val="18"/>
              </w:rPr>
              <w:t>Getränke oder eine Kleinigkeit zum Grillen</w:t>
            </w:r>
          </w:p>
        </w:tc>
      </w:tr>
      <w:tr w:rsidR="00C1548D" w14:paraId="70A4F4BC" w14:textId="77777777">
        <w:tblPrEx>
          <w:tblCellMar>
            <w:top w:w="0" w:type="dxa"/>
            <w:bottom w:w="0" w:type="dxa"/>
          </w:tblCellMar>
        </w:tblPrEx>
        <w:trPr>
          <w:cantSplit/>
        </w:trPr>
        <w:tc>
          <w:tcPr>
            <w:tcW w:w="2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BA" w14:textId="77777777" w:rsidR="00C1548D" w:rsidRDefault="009B1B4B">
            <w:pPr>
              <w:spacing w:line="250" w:lineRule="auto"/>
            </w:pPr>
            <w:r>
              <w:rPr>
                <w:sz w:val="18"/>
                <w:szCs w:val="18"/>
              </w:rPr>
              <w:t>„Bring a plate“ (Schulfest, Straßenfest)</w:t>
            </w:r>
          </w:p>
        </w:tc>
        <w:tc>
          <w:tcPr>
            <w:tcW w:w="36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BB" w14:textId="77777777" w:rsidR="00C1548D" w:rsidRDefault="009B1B4B">
            <w:pPr>
              <w:spacing w:line="250" w:lineRule="auto"/>
            </w:pPr>
            <w:r>
              <w:rPr>
                <w:sz w:val="18"/>
                <w:szCs w:val="18"/>
              </w:rPr>
              <w:t>Ein mitgebrachtes Gericht zum Teilen</w:t>
            </w:r>
          </w:p>
        </w:tc>
      </w:tr>
      <w:tr w:rsidR="00C1548D" w14:paraId="70A4F4BF" w14:textId="77777777">
        <w:tblPrEx>
          <w:tblCellMar>
            <w:top w:w="0" w:type="dxa"/>
            <w:bottom w:w="0" w:type="dxa"/>
          </w:tblCellMar>
        </w:tblPrEx>
        <w:trPr>
          <w:cantSplit/>
        </w:trPr>
        <w:tc>
          <w:tcPr>
            <w:tcW w:w="2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BD" w14:textId="77777777" w:rsidR="00C1548D" w:rsidRDefault="009B1B4B">
            <w:pPr>
              <w:spacing w:line="250" w:lineRule="auto"/>
            </w:pPr>
            <w:r>
              <w:rPr>
                <w:sz w:val="18"/>
                <w:szCs w:val="18"/>
              </w:rPr>
              <w:t>Einladung zum Abendessen</w:t>
            </w:r>
          </w:p>
        </w:tc>
        <w:tc>
          <w:tcPr>
            <w:tcW w:w="36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BE" w14:textId="77777777" w:rsidR="00C1548D" w:rsidRDefault="009B1B4B">
            <w:pPr>
              <w:spacing w:line="250" w:lineRule="auto"/>
            </w:pPr>
            <w:r>
              <w:rPr>
                <w:sz w:val="18"/>
                <w:szCs w:val="18"/>
              </w:rPr>
              <w:t>Wein, Dessert oder Blumen für die Gastgeber</w:t>
            </w:r>
          </w:p>
        </w:tc>
      </w:tr>
    </w:tbl>
    <w:p w14:paraId="70A4F4C0" w14:textId="77777777" w:rsidR="00C1548D" w:rsidRDefault="00C1548D">
      <w:pPr>
        <w:spacing w:line="180" w:lineRule="exact"/>
      </w:pPr>
    </w:p>
    <w:p w14:paraId="70A4F4C1" w14:textId="77777777" w:rsidR="00C1548D" w:rsidRDefault="009B1B4B">
      <w:pPr>
        <w:spacing w:after="140"/>
      </w:pPr>
      <w:r>
        <w:t>Selbst der Baumarkt wird in Australien zum sozialen Ort: Vor vielen Filialen der Kette Bunnings steht am Wochenende ein Grillstand, an dem Schulen, Sportvereine oder Feuerwehren Würstchen im Brot (</w:t>
      </w:r>
      <w:r>
        <w:rPr>
          <w:i/>
          <w:iCs/>
        </w:rPr>
        <w:t>Sausage Sizzle</w:t>
      </w:r>
      <w:r>
        <w:t xml:space="preserve">) für den guten Zweck verkaufen – ein paar Dollar, ein Plausch in der Schlange, und plötzlich kennst du den Namen des Vereins, der gerade sammelt. In Städten mit dünner deutscher Infrastruktur wie Perth oder Adelaide (siehe oben) lohnt sich außerdem ein zweiter Blick auf </w:t>
      </w:r>
      <w:r>
        <w:rPr>
          <w:i/>
          <w:iCs/>
        </w:rPr>
        <w:t>InterNations</w:t>
      </w:r>
      <w:r>
        <w:t>, ein Netzwerk für Zugewanderte aller Nationen mit lokalen Stammtischen, sowie auf die städtische Freizeitverwaltung (</w:t>
      </w:r>
      <w:r>
        <w:rPr>
          <w:i/>
          <w:iCs/>
        </w:rPr>
        <w:t>Council</w:t>
      </w:r>
      <w:r>
        <w:t>), die günstige Kurse und Ligen für Erwachsene anbietet.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C4"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4C2" w14:textId="77777777" w:rsidR="00C1548D" w:rsidRDefault="009B1B4B">
            <w:pPr>
              <w:keepNext/>
              <w:spacing w:after="70" w:line="240" w:lineRule="auto"/>
            </w:pPr>
            <w:r>
              <w:rPr>
                <w:b/>
                <w:bCs/>
                <w:color w:val="4A5568"/>
                <w:spacing w:val="24"/>
                <w:sz w:val="16"/>
                <w:szCs w:val="16"/>
              </w:rPr>
              <w:t>PRAXISBEISPIEL · FIKTIV</w:t>
            </w:r>
          </w:p>
          <w:p w14:paraId="70A4F4C3" w14:textId="77777777" w:rsidR="00C1548D" w:rsidRDefault="009B1B4B">
            <w:pPr>
              <w:spacing w:after="80" w:line="264" w:lineRule="auto"/>
            </w:pPr>
            <w:r>
              <w:rPr>
                <w:sz w:val="20"/>
                <w:szCs w:val="20"/>
              </w:rPr>
              <w:t>Familie Reinhardt (fiktiv) kommt mit dem Skilled Independent Visa nach Melbourne. Thomas meldet sich beim örtlichen Cricketclub an, in dem samstags die halbe Straße mitspielt; Sandra übernimmt nach einem halben Jahr eine Schicht im Elterncafé der Grundschule, die Emil (10) und Clara (6) besuchen. Am schnellsten öffnet sich aber die Tür über die Kinder: Emil wird bei Auskick angemeldet, dem spielerischen Einstiegsprogramm der australischen Football-Liga für Grundschulkinder, und binnen zweier Trainingsabende</w:t>
            </w:r>
            <w:r>
              <w:rPr>
                <w:sz w:val="20"/>
                <w:szCs w:val="20"/>
              </w:rPr>
              <w:t xml:space="preserve"> kennt Thomas drei Väter beim Vornamen. Aus „Wie war das Training?“ wird über die Wochen ein festes Bier danach – die Art Freundschaft, die mit einer Aktivität beginnt und erst später zu mehr wird.</w:t>
            </w:r>
          </w:p>
        </w:tc>
      </w:tr>
    </w:tbl>
    <w:p w14:paraId="70A4F4C5" w14:textId="77777777" w:rsidR="00C1548D" w:rsidRDefault="00C1548D">
      <w:pPr>
        <w:spacing w:line="220" w:lineRule="exact"/>
      </w:pPr>
    </w:p>
    <w:p w14:paraId="70A4F4C6"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deutsche Community: Konsulate, Goethe-Institut, Landsleute</w:t>
      </w:r>
    </w:p>
    <w:p w14:paraId="70A4F4C7" w14:textId="623086C7" w:rsidR="00C1548D" w:rsidRDefault="009B1B4B">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w:t>
      </w:r>
      <w:r>
        <w:t xml:space="preserve">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history="1">
        <w:r>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3"/>
        <w:gridCol w:w="1908"/>
        <w:gridCol w:w="1744"/>
        <w:gridCol w:w="1675"/>
      </w:tblGrid>
      <w:tr w:rsidR="00C1548D" w14:paraId="70A4F4CC" w14:textId="77777777">
        <w:tblPrEx>
          <w:tblCellMar>
            <w:top w:w="0" w:type="dxa"/>
            <w:bottom w:w="0" w:type="dxa"/>
          </w:tblCellMar>
        </w:tblPrEx>
        <w:trPr>
          <w:cantSplit/>
          <w:tblHeader/>
        </w:trPr>
        <w:tc>
          <w:tcPr>
            <w:tcW w:w="11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C8" w14:textId="77777777" w:rsidR="00C1548D" w:rsidRDefault="009B1B4B">
            <w:pPr>
              <w:spacing w:line="250" w:lineRule="auto"/>
            </w:pPr>
            <w:r>
              <w:rPr>
                <w:b/>
                <w:bCs/>
                <w:sz w:val="18"/>
                <w:szCs w:val="18"/>
              </w:rPr>
              <w:t>Stadt</w:t>
            </w:r>
          </w:p>
        </w:tc>
        <w:tc>
          <w:tcPr>
            <w:tcW w:w="190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C9" w14:textId="77777777" w:rsidR="00C1548D" w:rsidRDefault="009B1B4B">
            <w:pPr>
              <w:spacing w:line="250" w:lineRule="auto"/>
            </w:pPr>
            <w:r>
              <w:rPr>
                <w:b/>
                <w:bCs/>
                <w:sz w:val="18"/>
                <w:szCs w:val="18"/>
              </w:rPr>
              <w:t>Konsularische Vertretung</w:t>
            </w:r>
          </w:p>
        </w:tc>
        <w:tc>
          <w:tcPr>
            <w:tcW w:w="174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CA" w14:textId="77777777" w:rsidR="00C1548D" w:rsidRDefault="009B1B4B">
            <w:pPr>
              <w:spacing w:line="250" w:lineRule="auto"/>
            </w:pPr>
            <w:r>
              <w:rPr>
                <w:b/>
                <w:bCs/>
                <w:sz w:val="18"/>
                <w:szCs w:val="18"/>
              </w:rPr>
              <w:t>Goethe-Institut</w:t>
            </w:r>
          </w:p>
        </w:tc>
        <w:tc>
          <w:tcPr>
            <w:tcW w:w="167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4CB" w14:textId="77777777" w:rsidR="00C1548D" w:rsidRDefault="009B1B4B">
            <w:pPr>
              <w:spacing w:line="250" w:lineRule="auto"/>
            </w:pPr>
            <w:r>
              <w:rPr>
                <w:b/>
                <w:bCs/>
                <w:sz w:val="18"/>
                <w:szCs w:val="18"/>
              </w:rPr>
              <w:t>Deutsche Schule</w:t>
            </w:r>
          </w:p>
        </w:tc>
      </w:tr>
      <w:tr w:rsidR="00C1548D" w14:paraId="70A4F4D1" w14:textId="77777777">
        <w:tblPrEx>
          <w:tblCellMar>
            <w:top w:w="0" w:type="dxa"/>
            <w:bottom w:w="0" w:type="dxa"/>
          </w:tblCellMar>
        </w:tblPrEx>
        <w:trPr>
          <w:cantSplit/>
        </w:trPr>
        <w:tc>
          <w:tcPr>
            <w:tcW w:w="1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CD" w14:textId="77777777" w:rsidR="00C1548D" w:rsidRDefault="009B1B4B">
            <w:pPr>
              <w:spacing w:line="250" w:lineRule="auto"/>
            </w:pPr>
            <w:r>
              <w:rPr>
                <w:sz w:val="18"/>
                <w:szCs w:val="18"/>
              </w:rPr>
              <w:t>Sydney</w:t>
            </w:r>
          </w:p>
        </w:tc>
        <w:tc>
          <w:tcPr>
            <w:tcW w:w="19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CE" w14:textId="77777777" w:rsidR="00C1548D" w:rsidRDefault="009B1B4B">
            <w:pPr>
              <w:spacing w:line="250" w:lineRule="auto"/>
            </w:pPr>
            <w:r>
              <w:rPr>
                <w:sz w:val="18"/>
                <w:szCs w:val="18"/>
              </w:rPr>
              <w:t>Generalkonsulat</w:t>
            </w:r>
          </w:p>
        </w:tc>
        <w:tc>
          <w:tcPr>
            <w:tcW w:w="17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CF" w14:textId="77777777" w:rsidR="00C1548D" w:rsidRDefault="009B1B4B">
            <w:pPr>
              <w:spacing w:line="250" w:lineRule="auto"/>
            </w:pPr>
            <w:r>
              <w:rPr>
                <w:sz w:val="18"/>
                <w:szCs w:val="18"/>
              </w:rPr>
              <w:t>ja, seit 1974</w:t>
            </w:r>
          </w:p>
        </w:tc>
        <w:tc>
          <w:tcPr>
            <w:tcW w:w="16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0" w14:textId="77777777" w:rsidR="00C1548D" w:rsidRDefault="009B1B4B">
            <w:pPr>
              <w:spacing w:line="250" w:lineRule="auto"/>
            </w:pPr>
            <w:r>
              <w:rPr>
                <w:sz w:val="18"/>
                <w:szCs w:val="18"/>
              </w:rPr>
              <w:t>German International School Sydney</w:t>
            </w:r>
          </w:p>
        </w:tc>
      </w:tr>
      <w:tr w:rsidR="00C1548D" w14:paraId="70A4F4D6" w14:textId="77777777">
        <w:tblPrEx>
          <w:tblCellMar>
            <w:top w:w="0" w:type="dxa"/>
            <w:bottom w:w="0" w:type="dxa"/>
          </w:tblCellMar>
        </w:tblPrEx>
        <w:trPr>
          <w:cantSplit/>
        </w:trPr>
        <w:tc>
          <w:tcPr>
            <w:tcW w:w="1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2" w14:textId="77777777" w:rsidR="00C1548D" w:rsidRDefault="009B1B4B">
            <w:pPr>
              <w:spacing w:line="250" w:lineRule="auto"/>
            </w:pPr>
            <w:r>
              <w:rPr>
                <w:sz w:val="18"/>
                <w:szCs w:val="18"/>
              </w:rPr>
              <w:t>Melbourne</w:t>
            </w:r>
          </w:p>
        </w:tc>
        <w:tc>
          <w:tcPr>
            <w:tcW w:w="19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3" w14:textId="77777777" w:rsidR="00C1548D" w:rsidRDefault="009B1B4B">
            <w:pPr>
              <w:spacing w:line="250" w:lineRule="auto"/>
            </w:pPr>
            <w:r>
              <w:rPr>
                <w:sz w:val="18"/>
                <w:szCs w:val="18"/>
              </w:rPr>
              <w:t>über Sydney/Honorarkonsuln</w:t>
            </w:r>
          </w:p>
        </w:tc>
        <w:tc>
          <w:tcPr>
            <w:tcW w:w="17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4" w14:textId="77777777" w:rsidR="00C1548D" w:rsidRDefault="009B1B4B">
            <w:pPr>
              <w:spacing w:line="250" w:lineRule="auto"/>
            </w:pPr>
            <w:r>
              <w:rPr>
                <w:sz w:val="18"/>
                <w:szCs w:val="18"/>
              </w:rPr>
              <w:t>ja, seit 1972</w:t>
            </w:r>
          </w:p>
        </w:tc>
        <w:tc>
          <w:tcPr>
            <w:tcW w:w="16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5" w14:textId="77777777" w:rsidR="00C1548D" w:rsidRDefault="009B1B4B">
            <w:pPr>
              <w:spacing w:line="250" w:lineRule="auto"/>
            </w:pPr>
            <w:r>
              <w:rPr>
                <w:sz w:val="18"/>
                <w:szCs w:val="18"/>
              </w:rPr>
              <w:t>Deutsche Schule Melbourne</w:t>
            </w:r>
          </w:p>
        </w:tc>
      </w:tr>
      <w:tr w:rsidR="00C1548D" w14:paraId="70A4F4DB" w14:textId="77777777">
        <w:tblPrEx>
          <w:tblCellMar>
            <w:top w:w="0" w:type="dxa"/>
            <w:bottom w:w="0" w:type="dxa"/>
          </w:tblCellMar>
        </w:tblPrEx>
        <w:trPr>
          <w:cantSplit/>
        </w:trPr>
        <w:tc>
          <w:tcPr>
            <w:tcW w:w="1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7" w14:textId="77777777" w:rsidR="00C1548D" w:rsidRDefault="009B1B4B">
            <w:pPr>
              <w:spacing w:line="250" w:lineRule="auto"/>
            </w:pPr>
            <w:r>
              <w:rPr>
                <w:sz w:val="18"/>
                <w:szCs w:val="18"/>
              </w:rPr>
              <w:t>Canberra</w:t>
            </w:r>
          </w:p>
        </w:tc>
        <w:tc>
          <w:tcPr>
            <w:tcW w:w="19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8" w14:textId="77777777" w:rsidR="00C1548D" w:rsidRDefault="009B1B4B">
            <w:pPr>
              <w:spacing w:line="250" w:lineRule="auto"/>
            </w:pPr>
            <w:r>
              <w:rPr>
                <w:sz w:val="18"/>
                <w:szCs w:val="18"/>
              </w:rPr>
              <w:t>Botschaft (kein Privatkonsulat)</w:t>
            </w:r>
          </w:p>
        </w:tc>
        <w:tc>
          <w:tcPr>
            <w:tcW w:w="17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9" w14:textId="77777777" w:rsidR="00C1548D" w:rsidRDefault="009B1B4B">
            <w:pPr>
              <w:spacing w:line="250" w:lineRule="auto"/>
            </w:pPr>
            <w:r>
              <w:rPr>
                <w:sz w:val="18"/>
                <w:szCs w:val="18"/>
              </w:rPr>
              <w:t>nein</w:t>
            </w:r>
          </w:p>
        </w:tc>
        <w:tc>
          <w:tcPr>
            <w:tcW w:w="16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A" w14:textId="77777777" w:rsidR="00C1548D" w:rsidRDefault="009B1B4B">
            <w:pPr>
              <w:spacing w:line="250" w:lineRule="auto"/>
            </w:pPr>
            <w:r>
              <w:rPr>
                <w:sz w:val="18"/>
                <w:szCs w:val="18"/>
              </w:rPr>
              <w:t>nein</w:t>
            </w:r>
          </w:p>
        </w:tc>
      </w:tr>
      <w:tr w:rsidR="00C1548D" w14:paraId="70A4F4E0" w14:textId="77777777">
        <w:tblPrEx>
          <w:tblCellMar>
            <w:top w:w="0" w:type="dxa"/>
            <w:bottom w:w="0" w:type="dxa"/>
          </w:tblCellMar>
        </w:tblPrEx>
        <w:trPr>
          <w:cantSplit/>
        </w:trPr>
        <w:tc>
          <w:tcPr>
            <w:tcW w:w="1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C" w14:textId="77777777" w:rsidR="00C1548D" w:rsidRDefault="009B1B4B">
            <w:pPr>
              <w:spacing w:line="250" w:lineRule="auto"/>
            </w:pPr>
            <w:r>
              <w:rPr>
                <w:sz w:val="18"/>
                <w:szCs w:val="18"/>
              </w:rPr>
              <w:t>Brisbane, Perth, Adelaide</w:t>
            </w:r>
          </w:p>
        </w:tc>
        <w:tc>
          <w:tcPr>
            <w:tcW w:w="190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D" w14:textId="77777777" w:rsidR="00C1548D" w:rsidRDefault="009B1B4B">
            <w:pPr>
              <w:spacing w:line="250" w:lineRule="auto"/>
            </w:pPr>
            <w:r>
              <w:rPr>
                <w:sz w:val="18"/>
                <w:szCs w:val="18"/>
              </w:rPr>
              <w:t>Honorarkonsuln</w:t>
            </w:r>
          </w:p>
        </w:tc>
        <w:tc>
          <w:tcPr>
            <w:tcW w:w="17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E" w14:textId="77777777" w:rsidR="00C1548D" w:rsidRDefault="009B1B4B">
            <w:pPr>
              <w:spacing w:line="250" w:lineRule="auto"/>
            </w:pPr>
            <w:r>
              <w:rPr>
                <w:sz w:val="18"/>
                <w:szCs w:val="18"/>
              </w:rPr>
              <w:t>nein (Zuständigkeit Sydney/Melbourne)</w:t>
            </w:r>
          </w:p>
        </w:tc>
        <w:tc>
          <w:tcPr>
            <w:tcW w:w="16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4DF" w14:textId="77777777" w:rsidR="00C1548D" w:rsidRDefault="009B1B4B">
            <w:pPr>
              <w:spacing w:line="250" w:lineRule="auto"/>
            </w:pPr>
            <w:r>
              <w:rPr>
                <w:sz w:val="18"/>
                <w:szCs w:val="18"/>
              </w:rPr>
              <w:t>nein</w:t>
            </w:r>
          </w:p>
        </w:tc>
      </w:tr>
    </w:tbl>
    <w:p w14:paraId="70A4F4E1"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E4"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4E2" w14:textId="77777777" w:rsidR="00C1548D" w:rsidRDefault="009B1B4B">
            <w:pPr>
              <w:keepNext/>
              <w:spacing w:after="70" w:line="240" w:lineRule="auto"/>
            </w:pPr>
            <w:r>
              <w:rPr>
                <w:b/>
                <w:bCs/>
                <w:color w:val="2F6B3B"/>
                <w:spacing w:val="24"/>
                <w:sz w:val="16"/>
                <w:szCs w:val="16"/>
              </w:rPr>
              <w:lastRenderedPageBreak/>
              <w:t>SPARTIPP</w:t>
            </w:r>
          </w:p>
          <w:p w14:paraId="70A4F4E3" w14:textId="77777777" w:rsidR="00C1548D" w:rsidRDefault="009B1B4B">
            <w:pPr>
              <w:spacing w:after="80" w:line="264" w:lineRule="auto"/>
            </w:pPr>
            <w:r>
              <w:rPr>
                <w:sz w:val="20"/>
                <w:szCs w:val="20"/>
              </w:rPr>
              <w:t>Suche schon vor dem Umzug nach „Germans in“ plus Zielstadt bei Meetup und Facebook. Landsleute kennen Ärzte, Schulen und Behördenwege aus erster Hand und ersparen dir Monate an Ausprobieren.</w:t>
            </w:r>
          </w:p>
        </w:tc>
      </w:tr>
    </w:tbl>
    <w:p w14:paraId="70A4F4E5" w14:textId="77777777" w:rsidR="00C1548D" w:rsidRDefault="00C1548D">
      <w:pPr>
        <w:spacing w:line="220" w:lineRule="exact"/>
      </w:pPr>
    </w:p>
    <w:p w14:paraId="70A4F4E6" w14:textId="77777777" w:rsidR="00C1548D" w:rsidRDefault="009B1B4B">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w14:paraId="70A4F4E7" w14:textId="77777777" w:rsidR="00C1548D" w:rsidRDefault="009B1B4B">
      <w:pPr>
        <w:pStyle w:val="Heading3"/>
        <w:keepNext/>
        <w:jc w:val="center"/>
      </w:pPr>
      <w:r>
        <w:rPr>
          <w:rFonts w:ascii="Amazon Ember" w:eastAsia="Amazon Ember" w:hAnsi="Amazon Ember" w:cs="Amazon Ember"/>
          <w:color w:val="0000FF"/>
          <w:sz w:val="36"/>
          <w:szCs w:val="36"/>
        </w:rPr>
        <w:t>Wenn ein Partner neu anfängt</w:t>
      </w:r>
    </w:p>
    <w:p w14:paraId="70A4F4E8" w14:textId="77777777" w:rsidR="00C1548D" w:rsidRDefault="009B1B4B">
      <w:pPr>
        <w:spacing w:after="140"/>
      </w:pPr>
      <w:r>
        <w:t>Anders als bei manchen US-Visa dürfen Partnerinnen und Partner auf permanenten und den meisten befristeten australischen Visa in aller Regel von Anfang an arbeiten – das nimmt zumindest den rechtlichen Druck aus der Situation. Trotzdem trifft der Neustart häufig eine Person stärker als die andere: Während der Hauptantragsteller über den neuen Arbeitgeber sofort Kollegen und Struktur hat, muss der mitreisende Partner eigene Kontakte, eine eigene Zulassung im Beruf und oft ein neues Netzwerk von null aufbauen</w:t>
      </w:r>
      <w:r>
        <w:t xml:space="preserve">. Bei reglementierten Berufen wie der Pflege kommt hinzu, dass die australische Berufszulassung (etwa bei der </w:t>
      </w:r>
      <w:r>
        <w:rPr>
          <w:i/>
          <w:iCs/>
        </w:rPr>
        <w:t>Australian Health Practitioner Regulation Agency</w:t>
      </w:r>
      <w:r>
        <w:t>, kurz AHPRA, der zuständigen Zulassungsstelle für Gesundheitsberufe) einige Monate dauern kann, bevor die eigentliche Stellensuche überhaupt beginnt. Wer diese Wartezeit mit einem Kurs, einem Ehrenamt oder festen Terminen außerhalb der Wohnung überbrückt statt sie nur abzusitzen, baut nebenbei schon das Netzwerk auf, das die spätere Jobsuche erleichtert.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E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4E9" w14:textId="77777777" w:rsidR="00C1548D" w:rsidRDefault="009B1B4B">
            <w:pPr>
              <w:keepNext/>
              <w:spacing w:after="70" w:line="240" w:lineRule="auto"/>
            </w:pPr>
            <w:r>
              <w:rPr>
                <w:b/>
                <w:bCs/>
                <w:color w:val="9B2C2C"/>
                <w:spacing w:val="24"/>
                <w:sz w:val="16"/>
                <w:szCs w:val="16"/>
              </w:rPr>
              <w:lastRenderedPageBreak/>
              <w:t>ACHTUNG</w:t>
            </w:r>
          </w:p>
          <w:p w14:paraId="70A4F4EA" w14:textId="77777777" w:rsidR="00C1548D" w:rsidRDefault="009B1B4B">
            <w:pPr>
              <w:spacing w:after="80" w:line="264" w:lineRule="auto"/>
            </w:pPr>
            <w:r>
              <w:rPr>
                <w:sz w:val="20"/>
                <w:szCs w:val="20"/>
              </w:rPr>
              <w:t>Warte mit dem Netzwerkaufbau nicht, bis die Berufszulassung durch ist. Wer die Wartemonate isoliert zu Hause verbringt, verstärkt genau die Talsohle, die im nächsten Abschnitt beschrieben wird – ein Kurs oder ein fester Wochentermin wirkt dagegen doppelt: gegen die Einsamkeit und für den späteren Berufseinstieg.</w:t>
            </w:r>
          </w:p>
        </w:tc>
      </w:tr>
    </w:tbl>
    <w:p w14:paraId="70A4F4EC" w14:textId="77777777" w:rsidR="00C1548D" w:rsidRDefault="00C1548D">
      <w:pPr>
        <w:spacing w:line="220" w:lineRule="exact"/>
      </w:pPr>
    </w:p>
    <w:p w14:paraId="70A4F4ED" w14:textId="77777777" w:rsidR="00C1548D" w:rsidRDefault="009B1B4B">
      <w:pPr>
        <w:pStyle w:val="Heading3"/>
        <w:keepNext/>
        <w:jc w:val="center"/>
      </w:pPr>
      <w:r>
        <w:rPr>
          <w:rFonts w:ascii="Amazon Ember" w:eastAsia="Amazon Ember" w:hAnsi="Amazon Ember" w:cs="Amazon Ember"/>
          <w:color w:val="0000FF"/>
          <w:sz w:val="36"/>
          <w:szCs w:val="36"/>
        </w:rPr>
        <w:t>Der Kulturschock der Distanz: 16.000 Kilometer ohne Abkürzung</w:t>
      </w:r>
    </w:p>
    <w:p w14:paraId="70A4F4EE" w14:textId="77777777" w:rsidR="00C1548D" w:rsidRDefault="009B1B4B">
      <w:pPr>
        <w:spacing w:after="140"/>
      </w:pPr>
      <w:r>
        <w:t>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 ein „kurzer Sprung übers Wochenende nach Hause“ ist damit, nüchtern betrachtet, keine Option, die man ernsthaft erwägt, sondern eher eine Schlafentzugsübung mit Gepäck. Dazu kommt eine Zeitverschiebung von 8 bis</w:t>
      </w:r>
      <w:r>
        <w:t xml:space="preserve"> 10 Stunden gegenüber Deutschland, je nachdem, welches der beiden Länder gerade seine eigene Sommer- oder Winterzeit hat: Während in Köln das Frühstücksei noch dampft, geht in Sydney oder Melbourne bereits das Licht aus. Ein spontaner Anruf wird so zur logistischen Übung, kein Zufallsprodukt eines freien Abends.</w:t>
      </w:r>
    </w:p>
    <w:p w14:paraId="70A4F4EF" w14:textId="77777777" w:rsidR="00C1548D" w:rsidRDefault="009B1B4B">
      <w:pPr>
        <w:spacing w:after="140"/>
      </w:pPr>
      <w:r>
        <w:t>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 spontan ein Last-Minute-Ticket kauft, zahlt oft ein Vielfaches des Normalpreises für einen Flug, der wegen Jetlag und Kü</w:t>
      </w:r>
      <w:r>
        <w:t>rze kaum erholsam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F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4F0" w14:textId="77777777" w:rsidR="00C1548D" w:rsidRDefault="009B1B4B">
            <w:pPr>
              <w:keepNext/>
              <w:spacing w:after="70" w:line="240" w:lineRule="auto"/>
            </w:pPr>
            <w:r>
              <w:rPr>
                <w:b/>
                <w:bCs/>
                <w:color w:val="9B2C2C"/>
                <w:spacing w:val="24"/>
                <w:sz w:val="16"/>
                <w:szCs w:val="16"/>
              </w:rPr>
              <w:lastRenderedPageBreak/>
              <w:t>ACHTUNG</w:t>
            </w:r>
          </w:p>
          <w:p w14:paraId="70A4F4F1" w14:textId="77777777" w:rsidR="00C1548D" w:rsidRDefault="009B1B4B">
            <w:pPr>
              <w:spacing w:after="80" w:line="264" w:lineRule="auto"/>
            </w:pPr>
            <w:r>
              <w:rPr>
                <w:sz w:val="20"/>
                <w:szCs w:val="20"/>
              </w:rPr>
              <w:t>Buche Heimatbesuche über Weihnachten oder andere große Feiertage Monate im Voraus, nicht im akuten Tief. Wer erst im November für Weihnachten sucht, findet entweder nichts oder zahlt den Aufpreis für die eigene Verzweiflung gleich mit.</w:t>
            </w:r>
          </w:p>
        </w:tc>
      </w:tr>
    </w:tbl>
    <w:p w14:paraId="70A4F4F3" w14:textId="77777777" w:rsidR="00C1548D" w:rsidRDefault="00C1548D">
      <w:pPr>
        <w:spacing w:line="220" w:lineRule="exact"/>
      </w:pPr>
    </w:p>
    <w:p w14:paraId="70A4F4F4" w14:textId="77777777" w:rsidR="00C1548D" w:rsidRDefault="009B1B4B">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 nicht erst, wenn nachts das Telefon klingelt.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F7"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4F5" w14:textId="77777777" w:rsidR="00C1548D" w:rsidRDefault="009B1B4B">
            <w:pPr>
              <w:keepNext/>
              <w:spacing w:after="70" w:line="240" w:lineRule="auto"/>
            </w:pPr>
            <w:r>
              <w:rPr>
                <w:b/>
                <w:bCs/>
                <w:color w:val="8A6212"/>
                <w:spacing w:val="24"/>
                <w:sz w:val="16"/>
                <w:szCs w:val="16"/>
              </w:rPr>
              <w:t>MERKE</w:t>
            </w:r>
          </w:p>
          <w:p w14:paraId="70A4F4F6" w14:textId="77777777" w:rsidR="00C1548D" w:rsidRDefault="009B1B4B">
            <w:pPr>
              <w:spacing w:after="80" w:line="264" w:lineRule="auto"/>
            </w:pPr>
            <w:r>
              <w:rPr>
                <w:sz w:val="20"/>
                <w:szCs w:val="20"/>
              </w:rPr>
              <w:t>Die Entfernung selbst lässt sich nicht wegorganisieren, wohl aber ihre Folgen: feste Rituale statt spontaner Nähe, geplante statt improvisierte Heimreisen, eine Vollmacht statt eines hastigen Anrufs im Notfall.</w:t>
            </w:r>
          </w:p>
        </w:tc>
      </w:tr>
    </w:tbl>
    <w:p w14:paraId="70A4F4F8" w14:textId="77777777" w:rsidR="00C1548D" w:rsidRDefault="00C1548D">
      <w:pPr>
        <w:spacing w:line="220" w:lineRule="exact"/>
      </w:pPr>
    </w:p>
    <w:p w14:paraId="70A4F4F9" w14:textId="77777777" w:rsidR="00C1548D" w:rsidRDefault="009B1B4B">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w:t>
      </w:r>
      <w:r>
        <w:t>eo-Marathon, der dann zwei Monate ausfällt.</w:t>
      </w:r>
    </w:p>
    <w:p w14:paraId="70A4F4FA" w14:textId="77777777" w:rsidR="00C1548D" w:rsidRDefault="009B1B4B">
      <w:pPr>
        <w:pStyle w:val="Heading3"/>
        <w:keepNext/>
        <w:jc w:val="center"/>
      </w:pPr>
      <w:r>
        <w:rPr>
          <w:rFonts w:ascii="Amazon Ember" w:eastAsia="Amazon Ember" w:hAnsi="Amazon Ember" w:cs="Amazon Ember"/>
          <w:color w:val="0000FF"/>
          <w:sz w:val="36"/>
          <w:szCs w:val="36"/>
        </w:rPr>
        <w:t>Wenn Heimweh bleibt: Phasen, verkehrte Jahreszeiten, Hilfe</w:t>
      </w:r>
    </w:p>
    <w:p w14:paraId="70A4F4FB" w14:textId="77777777" w:rsidR="00C1548D" w:rsidRDefault="009B1B4B">
      <w:pPr>
        <w:spacing w:after="140"/>
      </w:pPr>
      <w:r>
        <w:t xml:space="preserve">Heimweh folgt auch in Australien einem einigermaßen vorhersehbaren Muster: Einer Anfangseuphorie folgt meist zwischen dem dritten und sechsten Monat eine Talsohle aus Erschöpfung und </w:t>
      </w:r>
      <w:r>
        <w:lastRenderedPageBreak/>
        <w:t>Zweifeln, bevor sich der Alltag ab etwa einem halben bis einem Jahr normalisiert. Was diese Talsohle in Australien zusätzlich würzt, ist die verkehrte Jahreszeit: Weihnachten fällt auf der Südhalbkugel mitten in den Hochsommer, mit Strand, Grillfleisch und Klimaanlage statt Schnee und Glühwein. Für die einen ist das ein hübsches Kuriosum, für andere – gerade im ersten Jahr – ein weiterer Stich, wenn Fotos vom verschneiten Weihnachtsmarkt zu Hause auf dem Handy aufploppen, während man selbst in Badeshorts am</w:t>
      </w:r>
      <w:r>
        <w:t xml:space="preserve"> Grill steht.</w:t>
      </w:r>
    </w:p>
    <w:p w14:paraId="70A4F4FC" w14:textId="77777777" w:rsidR="00C1548D" w:rsidRDefault="009B1B4B">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4F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4FD" w14:textId="77777777" w:rsidR="00C1548D" w:rsidRDefault="009B1B4B">
            <w:pPr>
              <w:keepNext/>
              <w:spacing w:after="70" w:line="240" w:lineRule="auto"/>
            </w:pPr>
            <w:r>
              <w:rPr>
                <w:b/>
                <w:bCs/>
                <w:color w:val="4A5568"/>
                <w:spacing w:val="24"/>
                <w:sz w:val="16"/>
                <w:szCs w:val="16"/>
              </w:rPr>
              <w:t>PRAXISBEISPIEL · FIKTIV</w:t>
            </w:r>
          </w:p>
          <w:p w14:paraId="70A4F4FE" w14:textId="77777777" w:rsidR="00C1548D" w:rsidRDefault="009B1B4B">
            <w:pPr>
              <w:spacing w:after="80" w:line="264" w:lineRule="auto"/>
            </w:pPr>
            <w:r>
              <w:rPr>
                <w:sz w:val="20"/>
                <w:szCs w:val="20"/>
              </w:rPr>
              <w:t>Nina Voss (fiktiv) kommt mit einem Working-Holiday-Visum nach Sydney, wohnt die ersten Wochen im Hostel in Bondi und wechselt danach mehrfach die WG. Nach drei Monaten hat sie viele nette Bekanntschaften, aber niemanden, den sie wirklich vermissen würde, wenn sie abreist – und genau das macht ihr an einem regnerischen Sonntagabend plötzlich zu schaffen. Sie meldet sich für einen festen Volleyball-Abend am Bondi Beach an und bleibt bewusst sechs Wochen bei derselben Gruppe, statt weiterzuziehen. Aus der lose</w:t>
            </w:r>
            <w:r>
              <w:rPr>
                <w:sz w:val="20"/>
                <w:szCs w:val="20"/>
              </w:rPr>
              <w:t>n Runde wird eine Mitbewohnerin, mit der sie später zusammenzieht, als sie über einen Arbeitgeber auf ein Skilled-Visum wechselt.</w:t>
            </w:r>
          </w:p>
        </w:tc>
      </w:tr>
    </w:tbl>
    <w:p w14:paraId="70A4F500"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0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501" w14:textId="77777777" w:rsidR="00C1548D" w:rsidRDefault="009B1B4B">
            <w:pPr>
              <w:keepNext/>
              <w:spacing w:after="70" w:line="240" w:lineRule="auto"/>
            </w:pPr>
            <w:r>
              <w:rPr>
                <w:b/>
                <w:bCs/>
                <w:color w:val="9B2C2C"/>
                <w:spacing w:val="24"/>
                <w:sz w:val="16"/>
                <w:szCs w:val="16"/>
              </w:rPr>
              <w:lastRenderedPageBreak/>
              <w:t>ACHTUNG</w:t>
            </w:r>
          </w:p>
          <w:p w14:paraId="70A4F502" w14:textId="77777777" w:rsidR="00C1548D" w:rsidRDefault="009B1B4B">
            <w:pPr>
              <w:spacing w:after="80" w:line="264" w:lineRule="auto"/>
            </w:pPr>
            <w:r>
              <w:rPr>
                <w:sz w:val="20"/>
                <w:szCs w:val="20"/>
              </w:rPr>
              <w:t>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tc>
      </w:tr>
    </w:tbl>
    <w:p w14:paraId="70A4F504" w14:textId="77777777" w:rsidR="00C1548D" w:rsidRDefault="00C1548D">
      <w:pPr>
        <w:spacing w:line="220" w:lineRule="exact"/>
      </w:pPr>
    </w:p>
    <w:p w14:paraId="70A4F505"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508"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506"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507" w14:textId="77777777" w:rsidR="00C1548D" w:rsidRDefault="009B1B4B">
            <w:pPr>
              <w:spacing w:line="250" w:lineRule="auto"/>
            </w:pPr>
            <w:r>
              <w:rPr>
                <w:b/>
                <w:bCs/>
                <w:sz w:val="18"/>
                <w:szCs w:val="18"/>
              </w:rPr>
              <w:t>Minus</w:t>
            </w:r>
          </w:p>
        </w:tc>
      </w:tr>
      <w:tr w:rsidR="00C1548D" w14:paraId="70A4F50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09" w14:textId="77777777" w:rsidR="00C1548D" w:rsidRDefault="009B1B4B">
            <w:pPr>
              <w:spacing w:line="250" w:lineRule="auto"/>
            </w:pPr>
            <w:r>
              <w:rPr>
                <w:sz w:val="18"/>
                <w:szCs w:val="18"/>
              </w:rPr>
              <w:t>Kontakt zu Fremden gelingt schnell, Sportvereine und Nachbarschaft sind offene Türen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0A" w14:textId="77777777" w:rsidR="00C1548D" w:rsidRDefault="009B1B4B">
            <w:pPr>
              <w:spacing w:line="250" w:lineRule="auto"/>
            </w:pPr>
            <w:r>
              <w:rPr>
                <w:sz w:val="18"/>
                <w:szCs w:val="18"/>
              </w:rPr>
              <w:t>Schneller Kontakt heißt nicht automatisch tiefe Freundschaft</w:t>
            </w:r>
          </w:p>
        </w:tc>
      </w:tr>
      <w:tr w:rsidR="00C1548D" w14:paraId="70A4F50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0C" w14:textId="77777777" w:rsidR="00C1548D" w:rsidRDefault="009B1B4B">
            <w:pPr>
              <w:spacing w:line="250" w:lineRule="auto"/>
            </w:pPr>
            <w:r>
              <w:rPr>
                <w:sz w:val="18"/>
                <w:szCs w:val="18"/>
              </w:rPr>
              <w:t>Freiwilligenarbeit bei RFS oder SES öffnet ungewöhnlich schnell feste Bindungen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0D" w14:textId="77777777" w:rsidR="00C1548D" w:rsidRDefault="009B1B4B">
            <w:pPr>
              <w:spacing w:line="250" w:lineRule="auto"/>
            </w:pPr>
            <w:r>
              <w:rPr>
                <w:sz w:val="18"/>
                <w:szCs w:val="18"/>
              </w:rPr>
              <w:t>Solche Ehrenämter setzen oft Wohnorte mit Buschfeuer- oder Flutrisiko voraus</w:t>
            </w:r>
          </w:p>
        </w:tc>
      </w:tr>
      <w:tr w:rsidR="00C1548D" w14:paraId="70A4F51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0F" w14:textId="77777777" w:rsidR="00C1548D" w:rsidRDefault="009B1B4B">
            <w:pPr>
              <w:spacing w:line="250" w:lineRule="auto"/>
            </w:pPr>
            <w:r>
              <w:rPr>
                <w:sz w:val="18"/>
                <w:szCs w:val="18"/>
              </w:rPr>
              <w:t>Deutsche Community in Sydney und Melbourne gut organisiert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10" w14:textId="77777777" w:rsidR="00C1548D" w:rsidRDefault="009B1B4B">
            <w:pPr>
              <w:spacing w:line="250" w:lineRule="auto"/>
            </w:pPr>
            <w:r>
              <w:rPr>
                <w:sz w:val="18"/>
                <w:szCs w:val="18"/>
              </w:rPr>
              <w:t>In anderen Großstädten kaum deutsche Infrastruktur</w:t>
            </w:r>
          </w:p>
        </w:tc>
      </w:tr>
      <w:tr w:rsidR="00C1548D" w14:paraId="70A4F51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12" w14:textId="77777777" w:rsidR="00C1548D" w:rsidRDefault="009B1B4B">
            <w:pPr>
              <w:spacing w:line="250" w:lineRule="auto"/>
            </w:pPr>
            <w:r>
              <w:rPr>
                <w:sz w:val="18"/>
                <w:szCs w:val="18"/>
              </w:rPr>
              <w:t>Videotelefonie hält Kontakt trotz der Distanz aufrecht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13" w14:textId="77777777" w:rsidR="00C1548D" w:rsidRDefault="009B1B4B">
            <w:pPr>
              <w:spacing w:line="250" w:lineRule="auto"/>
            </w:pPr>
            <w:r>
              <w:rPr>
                <w:sz w:val="18"/>
                <w:szCs w:val="18"/>
              </w:rPr>
              <w:t>Keine Direktflüge, 21 bis 24 Stunden Reisezeit, hohe Preise bei Last-Minute-Buchungen</w:t>
            </w:r>
          </w:p>
        </w:tc>
      </w:tr>
      <w:tr w:rsidR="00C1548D" w14:paraId="70A4F51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15" w14:textId="77777777" w:rsidR="00C1548D" w:rsidRDefault="009B1B4B">
            <w:pPr>
              <w:spacing w:line="250" w:lineRule="auto"/>
            </w:pPr>
            <w:r>
              <w:rPr>
                <w:sz w:val="18"/>
                <w:szCs w:val="18"/>
              </w:rPr>
              <w:t>Entspannte, offene Umgangsformen erleichtern erste Kontakte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16" w14:textId="77777777" w:rsidR="00C1548D" w:rsidRDefault="009B1B4B">
            <w:pPr>
              <w:spacing w:line="250" w:lineRule="auto"/>
            </w:pPr>
            <w:r>
              <w:rPr>
                <w:sz w:val="18"/>
                <w:szCs w:val="18"/>
              </w:rPr>
              <w:t>Indirekte Kommunikation macht Ablehnung oder echte Not schwer erkennbar</w:t>
            </w:r>
          </w:p>
        </w:tc>
      </w:tr>
      <w:tr w:rsidR="00C1548D" w14:paraId="70A4F51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18" w14:textId="77777777" w:rsidR="00C1548D" w:rsidRDefault="009B1B4B">
            <w:pPr>
              <w:spacing w:line="250" w:lineRule="auto"/>
            </w:pPr>
            <w:r>
              <w:rPr>
                <w:sz w:val="18"/>
                <w:szCs w:val="18"/>
              </w:rPr>
              <w:t>Professionelle Hilfe ist rund um die Uhr erreichbar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19" w14:textId="77777777" w:rsidR="00C1548D" w:rsidRDefault="009B1B4B">
            <w:pPr>
              <w:spacing w:line="250" w:lineRule="auto"/>
            </w:pPr>
            <w:r>
              <w:rPr>
                <w:sz w:val="18"/>
                <w:szCs w:val="18"/>
              </w:rPr>
              <w:t>Große Zeitverschiebung erschwert spontane Nähe im Ernstfall</w:t>
            </w:r>
          </w:p>
        </w:tc>
      </w:tr>
    </w:tbl>
    <w:p w14:paraId="70A4F51B" w14:textId="77777777" w:rsidR="00C1548D" w:rsidRDefault="00C1548D">
      <w:pPr>
        <w:spacing w:line="180" w:lineRule="exact"/>
      </w:pPr>
    </w:p>
    <w:p w14:paraId="70A4F51C"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51D" w14:textId="77777777" w:rsidR="00C1548D" w:rsidRDefault="009B1B4B">
      <w:pPr>
        <w:spacing w:after="140"/>
      </w:pPr>
      <w:r>
        <w:t xml:space="preserve">Wähle vor dem Umzug einen Sportverein oder ein Ehrenamt in deiner Zielstadt aus, tritt den passenden Online-Gruppen bei und plane feste Rituale mit der Familie zu Hause trotz Zeitverschiebung ein. Bereite dich außerdem darauf vor, dass Heimatbesuche in </w:t>
      </w:r>
      <w:r>
        <w:lastRenderedPageBreak/>
        <w:t>Australien geplant statt spontan sind, und kläre die wichtigsten Notfallfragen, bevor du sie brauchst.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27"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51E" w14:textId="77777777" w:rsidR="00C1548D" w:rsidRDefault="009B1B4B">
            <w:pPr>
              <w:keepNext/>
              <w:spacing w:after="70" w:line="240" w:lineRule="auto"/>
            </w:pPr>
            <w:r>
              <w:rPr>
                <w:b/>
                <w:bCs/>
                <w:color w:val="1F6F78"/>
                <w:spacing w:val="24"/>
                <w:sz w:val="16"/>
                <w:szCs w:val="16"/>
              </w:rPr>
              <w:t>CHECKLISTE</w:t>
            </w:r>
          </w:p>
          <w:p w14:paraId="70A4F51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dem Umzug einen Sportclub, ein Ehrenamt (RFS, SES, Surf Life Saving) oder eine TAFE-Kursliste der Zielstadt recherchiert</w:t>
            </w:r>
          </w:p>
          <w:p w14:paraId="70A4F52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Facebook- und Meetup-Gruppen „Germans in [Stadt]“ gesucht und beigetreten</w:t>
            </w:r>
          </w:p>
          <w:p w14:paraId="70A4F52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Zuständiges Generalkonsulat und nächstes Goethe-Institut notiert</w:t>
            </w:r>
          </w:p>
          <w:p w14:paraId="70A4F52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Festen Wochentermin für Kontakt nach Deutschland trotz Zeitverschiebung vereinbart</w:t>
            </w:r>
          </w:p>
          <w:p w14:paraId="70A4F52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Heimatbesuch zu Weihnachten oder größeren Feiertagen früh gebucht, nicht im akuten Tief</w:t>
            </w:r>
          </w:p>
          <w:p w14:paraId="70A4F52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Vorsorgevollmacht für eine Person in Deutschland geklärt, bevor ein Notfall eintritt</w:t>
            </w:r>
          </w:p>
          <w:p w14:paraId="70A4F52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Lifeline (13 11 14) und den Notruf 000 gespeichert</w:t>
            </w:r>
          </w:p>
          <w:p w14:paraId="70A4F52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Vorgenommen, mindestens die Hälfte der festen Termine unter Englischsprachigen zu verbringen</w:t>
            </w:r>
          </w:p>
        </w:tc>
      </w:tr>
    </w:tbl>
    <w:p w14:paraId="70A4F528" w14:textId="77777777" w:rsidR="00C1548D" w:rsidRDefault="00C1548D">
      <w:pPr>
        <w:spacing w:line="220" w:lineRule="exact"/>
      </w:pPr>
    </w:p>
    <w:p w14:paraId="70A4F529"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52A" w14:textId="3740B812" w:rsidR="00C1548D" w:rsidRDefault="009B1B4B" w:rsidP="009B1B4B">
      <w:pPr>
        <w:pStyle w:val="ListParagraph"/>
        <w:numPr>
          <w:ilvl w:val="0"/>
          <w:numId w:val="1"/>
        </w:numPr>
        <w:spacing w:after="60"/>
      </w:pPr>
      <w:r>
        <w:t>Deutsche Botschaft Canberra und Generalkonsulat Sydney — Zuständigkeiten, Kontakt (</w:t>
      </w:r>
      <w:hyperlink r:id="rId449" w:history="1">
        <w:r>
          <w:rPr>
            <w:color w:val="0563C1"/>
            <w:u w:val="single"/>
          </w:rPr>
          <w:t>australien.diplo.de</w:t>
        </w:r>
      </w:hyperlink>
      <w:r>
        <w:t>)</w:t>
      </w:r>
    </w:p>
    <w:p w14:paraId="70A4F52B" w14:textId="30E9A6A2" w:rsidR="00C1548D" w:rsidRDefault="009B1B4B" w:rsidP="009B1B4B">
      <w:pPr>
        <w:pStyle w:val="ListParagraph"/>
        <w:numPr>
          <w:ilvl w:val="0"/>
          <w:numId w:val="1"/>
        </w:numPr>
        <w:spacing w:after="60"/>
      </w:pPr>
      <w:r>
        <w:t>Goethe-Institut Australien — Standorte Sydney und Melbourne (</w:t>
      </w:r>
      <w:hyperlink r:id="rId450" w:history="1">
        <w:r>
          <w:rPr>
            <w:color w:val="0563C1"/>
            <w:u w:val="single"/>
          </w:rPr>
          <w:t>goethe.de/ins/au</w:t>
        </w:r>
      </w:hyperlink>
      <w:r>
        <w:t>)</w:t>
      </w:r>
    </w:p>
    <w:p w14:paraId="70A4F52C" w14:textId="3C0C0679" w:rsidR="00C1548D" w:rsidRDefault="009B1B4B" w:rsidP="009B1B4B">
      <w:pPr>
        <w:pStyle w:val="ListParagraph"/>
        <w:numPr>
          <w:ilvl w:val="0"/>
          <w:numId w:val="1"/>
        </w:numPr>
        <w:spacing w:after="60"/>
      </w:pPr>
      <w:r>
        <w:t>Lifeline Australia — Krisenhilfe rund um die Uhr (</w:t>
      </w:r>
      <w:hyperlink r:id="rId451" w:history="1">
        <w:r>
          <w:rPr>
            <w:color w:val="0563C1"/>
            <w:u w:val="single"/>
          </w:rPr>
          <w:t>lifeline.org.au</w:t>
        </w:r>
      </w:hyperlink>
      <w:r>
        <w:t>)</w:t>
      </w:r>
    </w:p>
    <w:p w14:paraId="70A4F52D" w14:textId="0D28D8D2" w:rsidR="00C1548D" w:rsidRDefault="009B1B4B" w:rsidP="009B1B4B">
      <w:pPr>
        <w:pStyle w:val="ListParagraph"/>
        <w:numPr>
          <w:ilvl w:val="0"/>
          <w:numId w:val="1"/>
        </w:numPr>
        <w:spacing w:after="60"/>
      </w:pPr>
      <w:r>
        <w:t>Surf Life Saving Australia — Clubs und Mitgliedschaft (</w:t>
      </w:r>
      <w:hyperlink r:id="rId452" w:history="1">
        <w:r>
          <w:rPr>
            <w:color w:val="0563C1"/>
            <w:u w:val="single"/>
          </w:rPr>
          <w:t>sls.com.au</w:t>
        </w:r>
      </w:hyperlink>
      <w:r>
        <w:t>)</w:t>
      </w:r>
    </w:p>
    <w:p w14:paraId="70A4F52E" w14:textId="59210E77" w:rsidR="00C1548D" w:rsidRDefault="009B1B4B" w:rsidP="009B1B4B">
      <w:pPr>
        <w:pStyle w:val="ListParagraph"/>
        <w:numPr>
          <w:ilvl w:val="0"/>
          <w:numId w:val="1"/>
        </w:numPr>
        <w:spacing w:after="60"/>
      </w:pPr>
      <w:r>
        <w:t>NSW Rural Fire Service und State Emergency Service — freiwillige Mitarbeit (</w:t>
      </w:r>
      <w:hyperlink r:id="rId453" w:history="1">
        <w:r>
          <w:rPr>
            <w:color w:val="0563C1"/>
            <w:u w:val="single"/>
          </w:rPr>
          <w:t>rfs.nsw.gov.au</w:t>
        </w:r>
      </w:hyperlink>
      <w:r>
        <w:t xml:space="preserve">, </w:t>
      </w:r>
      <w:hyperlink r:id="rId454" w:history="1">
        <w:r>
          <w:rPr>
            <w:color w:val="0563C1"/>
            <w:u w:val="single"/>
          </w:rPr>
          <w:t>ses.nsw.gov.au</w:t>
        </w:r>
      </w:hyperlink>
      <w:r>
        <w:t>)</w:t>
      </w:r>
    </w:p>
    <w:p w14:paraId="70A4F52F"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32"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530" w14:textId="77777777" w:rsidR="00C1548D" w:rsidRDefault="009B1B4B">
            <w:pPr>
              <w:keepNext/>
              <w:spacing w:after="70" w:line="240" w:lineRule="auto"/>
            </w:pPr>
            <w:r>
              <w:rPr>
                <w:b/>
                <w:bCs/>
                <w:color w:val="6B7280"/>
                <w:spacing w:val="24"/>
                <w:sz w:val="16"/>
                <w:szCs w:val="16"/>
              </w:rPr>
              <w:lastRenderedPageBreak/>
              <w:t>STAND</w:t>
            </w:r>
          </w:p>
          <w:p w14:paraId="70A4F531" w14:textId="77777777" w:rsidR="00C1548D" w:rsidRDefault="009B1B4B">
            <w:pPr>
              <w:spacing w:after="80" w:line="264" w:lineRule="auto"/>
            </w:pPr>
            <w:r>
              <w:rPr>
                <w:sz w:val="20"/>
                <w:szCs w:val="20"/>
              </w:rPr>
              <w:t>September 2026. Diese Angaben ändern sich: Zuständigkeiten von Konsulaten und Goethe-Instituten, Flugverbindungen und -preise sowie Kontaktdaten von Hilfsangeboten. Prüfe vor jeder Entscheidung die aktuellen Angaben der genannten Stellen.</w:t>
            </w:r>
          </w:p>
        </w:tc>
      </w:tr>
    </w:tbl>
    <w:p w14:paraId="70A4F533" w14:textId="77777777" w:rsidR="00C1548D" w:rsidRDefault="00C1548D">
      <w:pPr>
        <w:spacing w:line="220" w:lineRule="exact"/>
      </w:pPr>
    </w:p>
    <w:p w14:paraId="70A4F534" w14:textId="77777777" w:rsidR="00C1548D" w:rsidRDefault="009B1B4B">
      <w:pPr>
        <w:pStyle w:val="Heading2"/>
        <w:keepNext/>
        <w:pageBreakBefore/>
        <w:jc w:val="center"/>
      </w:pPr>
      <w:bookmarkStart w:id="126" w:name="tau13"/>
      <w:bookmarkStart w:id="127" w:name="_Toc241352514"/>
      <w:r>
        <w:rPr>
          <w:rFonts w:ascii="Amazon Ember" w:eastAsia="Amazon Ember" w:hAnsi="Amazon Ember" w:cs="Amazon Ember"/>
          <w:color w:val="0000FF"/>
          <w:sz w:val="36"/>
          <w:szCs w:val="36"/>
        </w:rPr>
        <w:lastRenderedPageBreak/>
        <w:t>Australien: Kinder, Schule und Spracheingewöhnung</w:t>
      </w:r>
      <w:bookmarkEnd w:id="126"/>
      <w:bookmarkEnd w:id="127"/>
    </w:p>
    <w:p w14:paraId="70A4F535" w14:textId="77777777" w:rsidR="00C1548D" w:rsidRDefault="009B1B4B">
      <w:pPr>
        <w:spacing w:after="140"/>
      </w:pPr>
      <w:r>
        <w:t>Der Schulbeginn im neuen Jahr ist in Australien wörtlich gemeint: Während deutsche Klassenkameraden im Januar mitten im zweiten Schulhalbjahr stecken, startet Emil (10, fiktiv, Familie Reinhardt) sein erstes australisches Schuljahr am Ende des australischen Sommers – in kurzen Hosen und mit Sonnencreme im Ranzen statt mit Mütze und Schal. Für Eltern ist das mehr als eine Kuriosität: Der Zeitpunkt des Umzugs entscheidet mit, wie glatt der Schulwechsel gelingt.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3D"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536" w14:textId="77777777" w:rsidR="00C1548D" w:rsidRDefault="009B1B4B">
            <w:pPr>
              <w:keepNext/>
              <w:spacing w:after="70" w:line="240" w:lineRule="auto"/>
            </w:pPr>
            <w:r>
              <w:rPr>
                <w:b/>
                <w:bCs/>
                <w:color w:val="1F3A5F"/>
                <w:spacing w:val="24"/>
                <w:sz w:val="16"/>
                <w:szCs w:val="16"/>
              </w:rPr>
              <w:t>KURZ GESAGT</w:t>
            </w:r>
          </w:p>
          <w:p w14:paraId="70A4F537" w14:textId="77777777" w:rsidR="00C1548D" w:rsidRDefault="009B1B4B" w:rsidP="009B1B4B">
            <w:pPr>
              <w:pStyle w:val="ListParagraph"/>
              <w:numPr>
                <w:ilvl w:val="0"/>
                <w:numId w:val="1"/>
              </w:numPr>
              <w:spacing w:after="50" w:line="264" w:lineRule="auto"/>
            </w:pPr>
            <w:r>
              <w:rPr>
                <w:sz w:val="20"/>
                <w:szCs w:val="20"/>
              </w:rPr>
              <w:t>Australiens Schuljahr läuft von Ende Januar/Anfang Februar bis Mitte Dezember, in vier Terms mit kurzen Pausen dazwischen – ein zentraler Unterschied zum deutschen Rhythmus, den du bei der Umzugsplanung nutzen solltest.</w:t>
            </w:r>
          </w:p>
          <w:p w14:paraId="70A4F538" w14:textId="77777777" w:rsidR="00C1548D" w:rsidRDefault="009B1B4B" w:rsidP="009B1B4B">
            <w:pPr>
              <w:pStyle w:val="ListParagraph"/>
              <w:numPr>
                <w:ilvl w:val="0"/>
                <w:numId w:val="1"/>
              </w:numPr>
              <w:spacing w:after="50" w:line="264" w:lineRule="auto"/>
            </w:pPr>
            <w:r>
              <w:rPr>
                <w:sz w:val="20"/>
                <w:szCs w:val="20"/>
              </w:rPr>
              <w:t>Primary School dauert meist von Kindergarten/Prep bis Year 6, Secondary School von Year 7 bis Year 12; jeder Bundesstaat zählt und benennt die Anfangsstufe leicht anders.</w:t>
            </w:r>
          </w:p>
          <w:p w14:paraId="70A4F539" w14:textId="77777777" w:rsidR="00C1548D" w:rsidRDefault="009B1B4B" w:rsidP="009B1B4B">
            <w:pPr>
              <w:pStyle w:val="ListParagraph"/>
              <w:numPr>
                <w:ilvl w:val="0"/>
                <w:numId w:val="1"/>
              </w:numPr>
              <w:spacing w:after="50" w:line="264" w:lineRule="auto"/>
            </w:pPr>
            <w:r>
              <w:rPr>
                <w:sz w:val="20"/>
                <w:szCs w:val="20"/>
              </w:rPr>
              <w:t>Rund 63 % der Kinder besuchen staatliche, kostenlose Schulen; katholische und unabhängige Privatschulen kosten von wenigen Tausend bis über 50.000 AUD im Jahr.</w:t>
            </w:r>
          </w:p>
          <w:p w14:paraId="70A4F53A" w14:textId="77777777" w:rsidR="00C1548D" w:rsidRDefault="009B1B4B" w:rsidP="009B1B4B">
            <w:pPr>
              <w:pStyle w:val="ListParagraph"/>
              <w:numPr>
                <w:ilvl w:val="0"/>
                <w:numId w:val="1"/>
              </w:numPr>
              <w:spacing w:after="50" w:line="264" w:lineRule="auto"/>
            </w:pPr>
            <w:r>
              <w:rPr>
                <w:sz w:val="20"/>
                <w:szCs w:val="20"/>
              </w:rPr>
              <w:t>Öffentliche Schulen kommen ohne Statusprüfung aus, verlangen aber Wohnsitz-, Alters- und Impfnachweise.</w:t>
            </w:r>
          </w:p>
          <w:p w14:paraId="70A4F53B" w14:textId="77777777" w:rsidR="00C1548D" w:rsidRDefault="009B1B4B" w:rsidP="009B1B4B">
            <w:pPr>
              <w:pStyle w:val="ListParagraph"/>
              <w:numPr>
                <w:ilvl w:val="0"/>
                <w:numId w:val="1"/>
              </w:numPr>
              <w:spacing w:after="50" w:line="264" w:lineRule="auto"/>
            </w:pPr>
            <w:r>
              <w:rPr>
                <w:sz w:val="20"/>
                <w:szCs w:val="20"/>
              </w:rPr>
              <w:t>Sprachförderung (EAL/D) ist an australischen Schulen Standard, nicht die Ausnahme – Kinder lernen meist deutlich schneller Englisch als ihre Eltern.</w:t>
            </w:r>
          </w:p>
          <w:p w14:paraId="70A4F53C" w14:textId="77777777" w:rsidR="00C1548D" w:rsidRDefault="009B1B4B" w:rsidP="009B1B4B">
            <w:pPr>
              <w:pStyle w:val="ListParagraph"/>
              <w:numPr>
                <w:ilvl w:val="0"/>
                <w:numId w:val="1"/>
              </w:numPr>
              <w:spacing w:after="50" w:line="264" w:lineRule="auto"/>
            </w:pPr>
            <w:r>
              <w:rPr>
                <w:sz w:val="20"/>
                <w:szCs w:val="20"/>
              </w:rPr>
              <w:t>Deutsche Schulen und Sprachangebote gibt es fast nur in Sydney und Melbourne; anderswo bleibt vor allem die eigene Initiative zu Hause.</w:t>
            </w:r>
          </w:p>
        </w:tc>
      </w:tr>
    </w:tbl>
    <w:p w14:paraId="70A4F53E" w14:textId="77777777" w:rsidR="00C1548D" w:rsidRDefault="00C1548D">
      <w:pPr>
        <w:spacing w:line="220" w:lineRule="exact"/>
      </w:pPr>
    </w:p>
    <w:p w14:paraId="70A4F53F" w14:textId="77777777" w:rsidR="00C1548D" w:rsidRDefault="009B1B4B">
      <w:pPr>
        <w:pStyle w:val="Heading3"/>
        <w:keepNext/>
        <w:jc w:val="center"/>
      </w:pPr>
      <w:r>
        <w:rPr>
          <w:rFonts w:ascii="Amazon Ember" w:eastAsia="Amazon Ember" w:hAnsi="Amazon Ember" w:cs="Amazon Ember"/>
          <w:color w:val="0000FF"/>
          <w:sz w:val="36"/>
          <w:szCs w:val="36"/>
        </w:rPr>
        <w:lastRenderedPageBreak/>
        <w:t>Aufbau des Schulsystems: Primary, Secondary und ein Flickenteppich der Bundesstaaten</w:t>
      </w:r>
    </w:p>
    <w:p w14:paraId="70A4F540" w14:textId="77777777" w:rsidR="00C1548D" w:rsidRDefault="009B1B4B">
      <w:pPr>
        <w:spacing w:after="140"/>
      </w:pPr>
      <w:r>
        <w:t>Bildung ist in Australien, ähnlich wie in Deutschland, Ländersache – hier eben Sache der sechs Bundesstaaten und zwei Territorien, nicht eines Bundesministeriums. Ein nationaler Rahmenlehrplan (</w:t>
      </w:r>
      <w:r>
        <w:rPr>
          <w:i/>
          <w:iCs/>
        </w:rPr>
        <w:t>Australian Curriculum</w:t>
      </w:r>
      <w:r>
        <w:t>) sorgt für eine gewisse Einheitlichkeit; die konkrete Umsetzung, Stufenzählung und Bezeichnung bleiben aber Ländersache – ein Flickenteppich, an den sich deutsche Eltern erst gewöhnen müssen.</w:t>
      </w:r>
    </w:p>
    <w:p w14:paraId="70A4F541" w14:textId="77777777" w:rsidR="00C1548D" w:rsidRDefault="009B1B4B">
      <w:pPr>
        <w:spacing w:after="140"/>
      </w:pPr>
      <w:r>
        <w:t xml:space="preserve">Der Aufbau folgt überall demselben Grundmuster: einem freiwilligen, aber weitverbreiteten Vorschuljahr (je nach Bundesstaat </w:t>
      </w:r>
      <w:r>
        <w:rPr>
          <w:i/>
          <w:iCs/>
        </w:rPr>
        <w:t>Kindergarten</w:t>
      </w:r>
      <w:r>
        <w:t xml:space="preserve">, </w:t>
      </w:r>
      <w:r>
        <w:rPr>
          <w:i/>
          <w:iCs/>
        </w:rPr>
        <w:t>Prep</w:t>
      </w:r>
      <w:r>
        <w:t xml:space="preserve">, </w:t>
      </w:r>
      <w:r>
        <w:rPr>
          <w:i/>
          <w:iCs/>
        </w:rPr>
        <w:t>Foundation</w:t>
      </w:r>
      <w:r>
        <w:t xml:space="preserve"> oder </w:t>
      </w:r>
      <w:r>
        <w:rPr>
          <w:i/>
          <w:iCs/>
        </w:rPr>
        <w:t>Reception</w:t>
      </w:r>
      <w:r>
        <w:t xml:space="preserve"> genannt) mit rund fünf Jahren, gefolgt von der </w:t>
      </w:r>
      <w:r>
        <w:rPr>
          <w:i/>
          <w:iCs/>
        </w:rPr>
        <w:t>Primary School</w:t>
      </w:r>
      <w:r>
        <w:t xml:space="preserve"> (Grundschule) bis Year 6 und der </w:t>
      </w:r>
      <w:r>
        <w:rPr>
          <w:i/>
          <w:iCs/>
        </w:rPr>
        <w:t>Secondary School</w:t>
      </w:r>
      <w:r>
        <w:t xml:space="preserve"> (weiterführende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w14:paraId="70A4F542" w14:textId="77777777" w:rsidR="00C1548D" w:rsidRDefault="009B1B4B">
      <w:pPr>
        <w:spacing w:after="140"/>
      </w:pPr>
      <w:r>
        <w:t xml:space="preserve">Den Abschluss der Schulzeit markiert kein bundesweit einheitliches Zeugnis, sondern ein Zertifikat je Bundesstaat: das </w:t>
      </w:r>
      <w:r>
        <w:rPr>
          <w:i/>
          <w:iCs/>
        </w:rPr>
        <w:t>Higher School Certificate</w:t>
      </w:r>
      <w:r>
        <w:t xml:space="preserve"> (HSC) in New South Wales, das </w:t>
      </w:r>
      <w:r>
        <w:rPr>
          <w:i/>
          <w:iCs/>
        </w:rPr>
        <w:t>Victorian Certificate of Education</w:t>
      </w:r>
      <w:r>
        <w:t xml:space="preserve"> (VCE) in Victoria, das </w:t>
      </w:r>
      <w:r>
        <w:rPr>
          <w:i/>
          <w:iCs/>
        </w:rPr>
        <w:t>Queensland Certificate of Education</w:t>
      </w:r>
      <w:r>
        <w:t xml:space="preserve"> (QCE) in Queensland und ähnliche Zertifikate in den übrigen Staaten – inhaltlich vergleichbar mit dem Abitur, aber ohne dessen bundesweite Einheitlichkeit. Für die Universitätszulassung zählt zusätzlich der </w:t>
      </w:r>
      <w:r>
        <w:rPr>
          <w:i/>
          <w:iCs/>
        </w:rPr>
        <w:t>ATAR</w:t>
      </w:r>
      <w:r>
        <w:t xml:space="preserve"> (</w:t>
      </w:r>
      <w:r>
        <w:rPr>
          <w:i/>
          <w:iCs/>
        </w:rPr>
        <w:t>Australian Tertiary Admission Rank</w:t>
      </w:r>
      <w:r>
        <w:t xml:space="preserve">), eine Rangzahl zwischen 0 und 99,95, die die Leistung eines Schülers </w:t>
      </w:r>
      <w:r>
        <w:lastRenderedPageBreak/>
        <w:t>relativ zum gesamten Jahrgang ausdrückt – ein Prinzip, das es in dieser Form in Deutschland nicht gibt und das sich beim ersten Elternabend gern zweimal erklären lässt.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45"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543" w14:textId="77777777" w:rsidR="00C1548D" w:rsidRDefault="009B1B4B">
            <w:pPr>
              <w:keepNext/>
              <w:spacing w:after="70" w:line="240" w:lineRule="auto"/>
            </w:pPr>
            <w:r>
              <w:rPr>
                <w:b/>
                <w:bCs/>
                <w:color w:val="8A6212"/>
                <w:spacing w:val="24"/>
                <w:sz w:val="16"/>
                <w:szCs w:val="16"/>
              </w:rPr>
              <w:t>MERKE</w:t>
            </w:r>
          </w:p>
          <w:p w14:paraId="70A4F544" w14:textId="77777777" w:rsidR="00C1548D" w:rsidRDefault="009B1B4B">
            <w:pPr>
              <w:spacing w:after="80" w:line="264" w:lineRule="auto"/>
            </w:pPr>
            <w:r>
              <w:rPr>
                <w:sz w:val="20"/>
                <w:szCs w:val="20"/>
              </w:rPr>
              <w:t>Vergiss die Suche nach „der deutschen Klasse“ als Vergleichsgröße. Wichtiger als die Year-Zahl sind der Stichtag des jeweiligen Bundesstaats und das, was die Schule vor Ort über den Wissensstand deines Kindes sagt.</w:t>
            </w:r>
          </w:p>
        </w:tc>
      </w:tr>
    </w:tbl>
    <w:p w14:paraId="70A4F546" w14:textId="77777777" w:rsidR="00C1548D" w:rsidRDefault="00C1548D">
      <w:pPr>
        <w:spacing w:line="220" w:lineRule="exact"/>
      </w:pPr>
    </w:p>
    <w:p w14:paraId="70A4F547" w14:textId="77777777" w:rsidR="00C1548D" w:rsidRDefault="009B1B4B">
      <w:pPr>
        <w:spacing w:after="140"/>
      </w:pPr>
      <w:r>
        <w:t>Zwei Alltagsdetails überraschen deutsche Familien fast immer: Erstens tragen australische Schulkinder, staatlich wie privat, fast überall eine Schuluniform –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w:t>
      </w:r>
      <w:r>
        <w:t>cht über Second-Hand-Börsen der Schule aber deutlich günstiger zu bekommen. Zweitens ist „kostenlos“ bei staatlichen Schulen mit Einschränkung zu lesen: Der Unterricht selbst ist gebührenfrei, doch die meisten Schulen bitten Eltern jährlich um einen freiwilligen Schulbeitrag (</w:t>
      </w:r>
      <w:r>
        <w:rPr>
          <w:i/>
          <w:iCs/>
        </w:rPr>
        <w:t>Voluntary Contribution</w:t>
      </w:r>
      <w:r>
        <w:t>, oft im niedrigen dreistelligen AUD-Bereich) für Materialien, Exkursionen und Ausstattung – rechtlich freiwillig, sozial aber meist erwartet.</w:t>
      </w:r>
    </w:p>
    <w:p w14:paraId="70A4F548" w14:textId="77777777" w:rsidR="00C1548D" w:rsidRDefault="009B1B4B">
      <w:pPr>
        <w:pStyle w:val="Heading3"/>
        <w:keepNext/>
        <w:jc w:val="center"/>
      </w:pPr>
      <w:r>
        <w:rPr>
          <w:rFonts w:ascii="Amazon Ember" w:eastAsia="Amazon Ember" w:hAnsi="Amazon Ember" w:cs="Amazon Ember"/>
          <w:color w:val="0000FF"/>
          <w:sz w:val="36"/>
          <w:szCs w:val="36"/>
        </w:rPr>
        <w:t>Staatlich, katholisch oder unabhängig: drei Schulwelten</w:t>
      </w:r>
    </w:p>
    <w:p w14:paraId="70A4F549" w14:textId="77777777" w:rsidR="00C1548D" w:rsidRDefault="009B1B4B">
      <w:pPr>
        <w:spacing w:after="140"/>
      </w:pPr>
      <w:r>
        <w:t xml:space="preserve">Anders als in den USA gibt es in Australien traditionell drei große Schulsektoren nebeneinander, und alle drei sind fest im Alltag verankert. Rund 63 % der Kinder besuchen staatliche </w:t>
      </w:r>
      <w:r>
        <w:rPr>
          <w:i/>
          <w:iCs/>
        </w:rPr>
        <w:t>Public Schools</w:t>
      </w:r>
      <w:r>
        <w:t xml:space="preserve">: kostenlos, konfessionsfrei, mit Aufnahme nach Wohnadresse – ganz ähnlich dem deutschen Prinzip „Schulbezirk bestimmt Schule“. Etwa 20 % gehen auf katholische </w:t>
      </w:r>
      <w:r>
        <w:rPr>
          <w:i/>
          <w:iCs/>
        </w:rPr>
        <w:t>Systemic Schools</w:t>
      </w:r>
      <w:r>
        <w:t xml:space="preserve">, die über das jeweilige </w:t>
      </w:r>
      <w:r>
        <w:lastRenderedPageBreak/>
        <w:t xml:space="preserve">Bistum organisiert sind und mit rund 4.000 bis 10.000 AUD Schulgeld pro Jahr merklich günstiger bleiben als unabhängige Privatschulen; ab dem dritten angemeldeten Kind einer Familie entfällt das Schulgeld bei vielen Diözesen. Die restlichen rund 17 % besuchen unabhängige </w:t>
      </w:r>
      <w:r>
        <w:rPr>
          <w:i/>
          <w:iCs/>
        </w:rPr>
        <w:t>Independent Schools</w:t>
      </w:r>
      <w:r>
        <w:t>, deren Schulgeld von rund 25.000 AUD bis, an renommierten Schulen der großen Städte, über 50.000 AUD im letzten Schuljahr reicht – ein Anteil, der in den letzten Jahren spürbar gewachsen ist, während der staatliche Sektor leicht schrumpft.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52"/>
        <w:gridCol w:w="1304"/>
        <w:gridCol w:w="2124"/>
      </w:tblGrid>
      <w:tr w:rsidR="00C1548D" w14:paraId="70A4F54D" w14:textId="77777777">
        <w:tblPrEx>
          <w:tblCellMar>
            <w:top w:w="0" w:type="dxa"/>
            <w:bottom w:w="0" w:type="dxa"/>
          </w:tblCellMar>
        </w:tblPrEx>
        <w:trPr>
          <w:cantSplit/>
          <w:tblHeader/>
        </w:trPr>
        <w:tc>
          <w:tcPr>
            <w:tcW w:w="30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54A" w14:textId="77777777" w:rsidR="00C1548D" w:rsidRDefault="009B1B4B">
            <w:pPr>
              <w:spacing w:line="250" w:lineRule="auto"/>
            </w:pPr>
            <w:r>
              <w:rPr>
                <w:b/>
                <w:bCs/>
                <w:sz w:val="18"/>
                <w:szCs w:val="18"/>
              </w:rPr>
              <w:t>Schultyp</w:t>
            </w:r>
          </w:p>
        </w:tc>
        <w:tc>
          <w:tcPr>
            <w:tcW w:w="130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54B" w14:textId="77777777" w:rsidR="00C1548D" w:rsidRDefault="009B1B4B">
            <w:pPr>
              <w:spacing w:line="250" w:lineRule="auto"/>
            </w:pPr>
            <w:r>
              <w:rPr>
                <w:b/>
                <w:bCs/>
                <w:sz w:val="18"/>
                <w:szCs w:val="18"/>
              </w:rPr>
              <w:t>Anteil Schüler</w:t>
            </w:r>
          </w:p>
        </w:tc>
        <w:tc>
          <w:tcPr>
            <w:tcW w:w="212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54C" w14:textId="77777777" w:rsidR="00C1548D" w:rsidRDefault="009B1B4B">
            <w:pPr>
              <w:spacing w:line="250" w:lineRule="auto"/>
            </w:pPr>
            <w:r>
              <w:rPr>
                <w:b/>
                <w:bCs/>
                <w:sz w:val="18"/>
                <w:szCs w:val="18"/>
              </w:rPr>
              <w:t>Kosten pro Jahr</w:t>
            </w:r>
          </w:p>
        </w:tc>
      </w:tr>
      <w:tr w:rsidR="00C1548D" w14:paraId="70A4F551" w14:textId="77777777">
        <w:tblPrEx>
          <w:tblCellMar>
            <w:top w:w="0" w:type="dxa"/>
            <w:bottom w:w="0" w:type="dxa"/>
          </w:tblCellMar>
        </w:tblPrEx>
        <w:trPr>
          <w:cantSplit/>
        </w:trPr>
        <w:tc>
          <w:tcPr>
            <w:tcW w:w="30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4E" w14:textId="77777777" w:rsidR="00C1548D" w:rsidRDefault="009B1B4B">
            <w:pPr>
              <w:spacing w:line="250" w:lineRule="auto"/>
            </w:pPr>
            <w:r>
              <w:rPr>
                <w:sz w:val="18"/>
                <w:szCs w:val="18"/>
              </w:rPr>
              <w:t>Public School (staatlich)</w:t>
            </w:r>
          </w:p>
        </w:tc>
        <w:tc>
          <w:tcPr>
            <w:tcW w:w="13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4F" w14:textId="77777777" w:rsidR="00C1548D" w:rsidRDefault="009B1B4B">
            <w:pPr>
              <w:spacing w:line="250" w:lineRule="auto"/>
            </w:pPr>
            <w:r>
              <w:rPr>
                <w:sz w:val="18"/>
                <w:szCs w:val="18"/>
              </w:rPr>
              <w:t>ca. 63 %</w:t>
            </w:r>
          </w:p>
        </w:tc>
        <w:tc>
          <w:tcPr>
            <w:tcW w:w="21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50" w14:textId="77777777" w:rsidR="00C1548D" w:rsidRDefault="009B1B4B">
            <w:pPr>
              <w:spacing w:line="250" w:lineRule="auto"/>
            </w:pPr>
            <w:r>
              <w:rPr>
                <w:sz w:val="18"/>
                <w:szCs w:val="18"/>
              </w:rPr>
              <w:t>kostenlos</w:t>
            </w:r>
          </w:p>
        </w:tc>
      </w:tr>
      <w:tr w:rsidR="00C1548D" w14:paraId="70A4F555" w14:textId="77777777">
        <w:tblPrEx>
          <w:tblCellMar>
            <w:top w:w="0" w:type="dxa"/>
            <w:bottom w:w="0" w:type="dxa"/>
          </w:tblCellMar>
        </w:tblPrEx>
        <w:trPr>
          <w:cantSplit/>
        </w:trPr>
        <w:tc>
          <w:tcPr>
            <w:tcW w:w="30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52" w14:textId="77777777" w:rsidR="00C1548D" w:rsidRDefault="009B1B4B">
            <w:pPr>
              <w:spacing w:line="250" w:lineRule="auto"/>
            </w:pPr>
            <w:r>
              <w:rPr>
                <w:sz w:val="18"/>
                <w:szCs w:val="18"/>
              </w:rPr>
              <w:t>Catholic School (katholisch)</w:t>
            </w:r>
          </w:p>
        </w:tc>
        <w:tc>
          <w:tcPr>
            <w:tcW w:w="13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53" w14:textId="77777777" w:rsidR="00C1548D" w:rsidRDefault="009B1B4B">
            <w:pPr>
              <w:spacing w:line="250" w:lineRule="auto"/>
            </w:pPr>
            <w:r>
              <w:rPr>
                <w:sz w:val="18"/>
                <w:szCs w:val="18"/>
              </w:rPr>
              <w:t>ca. 20 %</w:t>
            </w:r>
          </w:p>
        </w:tc>
        <w:tc>
          <w:tcPr>
            <w:tcW w:w="21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54" w14:textId="77777777" w:rsidR="00C1548D" w:rsidRDefault="009B1B4B">
            <w:pPr>
              <w:spacing w:line="250" w:lineRule="auto"/>
            </w:pPr>
            <w:r>
              <w:rPr>
                <w:sz w:val="18"/>
                <w:szCs w:val="18"/>
              </w:rPr>
              <w:t>ca. 4.000–10.000 AUD</w:t>
            </w:r>
          </w:p>
        </w:tc>
      </w:tr>
      <w:tr w:rsidR="00C1548D" w14:paraId="70A4F559" w14:textId="77777777">
        <w:tblPrEx>
          <w:tblCellMar>
            <w:top w:w="0" w:type="dxa"/>
            <w:bottom w:w="0" w:type="dxa"/>
          </w:tblCellMar>
        </w:tblPrEx>
        <w:trPr>
          <w:cantSplit/>
        </w:trPr>
        <w:tc>
          <w:tcPr>
            <w:tcW w:w="30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56" w14:textId="77777777" w:rsidR="00C1548D" w:rsidRDefault="009B1B4B">
            <w:pPr>
              <w:spacing w:line="250" w:lineRule="auto"/>
            </w:pPr>
            <w:r>
              <w:rPr>
                <w:sz w:val="18"/>
                <w:szCs w:val="18"/>
              </w:rPr>
              <w:t>Independent School (unabhängig)</w:t>
            </w:r>
          </w:p>
        </w:tc>
        <w:tc>
          <w:tcPr>
            <w:tcW w:w="130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57" w14:textId="77777777" w:rsidR="00C1548D" w:rsidRDefault="009B1B4B">
            <w:pPr>
              <w:spacing w:line="250" w:lineRule="auto"/>
            </w:pPr>
            <w:r>
              <w:rPr>
                <w:sz w:val="18"/>
                <w:szCs w:val="18"/>
              </w:rPr>
              <w:t>ca. 17 %</w:t>
            </w:r>
          </w:p>
        </w:tc>
        <w:tc>
          <w:tcPr>
            <w:tcW w:w="21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58" w14:textId="77777777" w:rsidR="00C1548D" w:rsidRDefault="009B1B4B">
            <w:pPr>
              <w:spacing w:line="250" w:lineRule="auto"/>
            </w:pPr>
            <w:r>
              <w:rPr>
                <w:sz w:val="18"/>
                <w:szCs w:val="18"/>
              </w:rPr>
              <w:t>ca. 25.000–55.000 AUD</w:t>
            </w:r>
          </w:p>
        </w:tc>
      </w:tr>
    </w:tbl>
    <w:p w14:paraId="70A4F55A" w14:textId="77777777" w:rsidR="00C1548D" w:rsidRDefault="00C1548D">
      <w:pPr>
        <w:spacing w:line="180" w:lineRule="exact"/>
      </w:pPr>
    </w:p>
    <w:p w14:paraId="70A4F55B" w14:textId="77777777" w:rsidR="00C1548D" w:rsidRDefault="009B1B4B">
      <w:pPr>
        <w:spacing w:after="140"/>
      </w:pPr>
      <w:r>
        <w:t>Für die Schulqualität gilt Ähnliches wie anderswo: Privatschulen erzielen im Schnitt bessere ATAR-Ergebnisse, doch ein erheblicher Teil dieses Vorsprungs erklärt sich eher durch die soziale Herkunft der Schülerschaft als durch bessere Lehre – die besten staatlichen Schulen mit Aufnahmeprüfung (</w:t>
      </w:r>
      <w:r>
        <w:rPr>
          <w:i/>
          <w:iCs/>
        </w:rPr>
        <w:t>Selective Schools</w:t>
      </w:r>
      <w:r>
        <w:t>, vor allem in New South Wales) übertreffen renommierte Privatschulen bei den Ergebnissen regelmäßig, und das kostenlos.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5E"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55C" w14:textId="77777777" w:rsidR="00C1548D" w:rsidRDefault="009B1B4B">
            <w:pPr>
              <w:keepNext/>
              <w:spacing w:after="70" w:line="240" w:lineRule="auto"/>
            </w:pPr>
            <w:r>
              <w:rPr>
                <w:b/>
                <w:bCs/>
                <w:color w:val="2F6B3B"/>
                <w:spacing w:val="24"/>
                <w:sz w:val="16"/>
                <w:szCs w:val="16"/>
              </w:rPr>
              <w:t>SPARTIPP</w:t>
            </w:r>
          </w:p>
          <w:p w14:paraId="70A4F55D" w14:textId="77777777" w:rsidR="00C1548D" w:rsidRDefault="009B1B4B">
            <w:pPr>
              <w:spacing w:after="80" w:line="264" w:lineRule="auto"/>
            </w:pPr>
            <w:r>
              <w:rPr>
                <w:sz w:val="20"/>
                <w:szCs w:val="20"/>
              </w:rPr>
              <w:t>Bevor du eine teure Privatschule bezahlst, prüfe zuerst das staatliche Angebot deines Wohnorts. Auch ohne Spitzenplatz auf großen Bewertungsportalen kann die staatliche Schule um die Ecke der katholischen oder unabhängigen Alternative in nichts nachstehen.</w:t>
            </w:r>
          </w:p>
        </w:tc>
      </w:tr>
    </w:tbl>
    <w:p w14:paraId="70A4F55F" w14:textId="77777777" w:rsidR="00C1548D" w:rsidRDefault="00C1548D">
      <w:pPr>
        <w:spacing w:line="220" w:lineRule="exact"/>
      </w:pPr>
    </w:p>
    <w:p w14:paraId="70A4F560" w14:textId="77777777" w:rsidR="00C1548D" w:rsidRDefault="009B1B4B">
      <w:pPr>
        <w:pStyle w:val="Heading3"/>
        <w:keepNext/>
        <w:jc w:val="center"/>
      </w:pPr>
      <w:r>
        <w:rPr>
          <w:rFonts w:ascii="Amazon Ember" w:eastAsia="Amazon Ember" w:hAnsi="Amazon Ember" w:cs="Amazon Ember"/>
          <w:color w:val="0000FF"/>
          <w:sz w:val="36"/>
          <w:szCs w:val="36"/>
        </w:rPr>
        <w:t>Das Schuljahr beginnt verkehrt herum: der große Unterschied zu Deutschland</w:t>
      </w:r>
    </w:p>
    <w:p w14:paraId="70A4F561" w14:textId="77777777" w:rsidR="00C1548D" w:rsidRDefault="009B1B4B">
      <w:pPr>
        <w:spacing w:after="140"/>
      </w:pPr>
      <w:r>
        <w:t xml:space="preserve">Für deutsche Familien ist dies wahrscheinlich die wichtigste praktische Erkenntnis dieses Kapitels: Das australische Schuljahr </w:t>
      </w:r>
      <w:r>
        <w:lastRenderedPageBreak/>
        <w:t xml:space="preserve">folgt der Südhalbkugel, nicht dem europäischen Rhythmus. Es beginnt Ende Januar oder Anfang Februar (der genaue Zeitpunkt variiert leicht nach Bundesstaat) und endet Mitte Dezember – mitten im australischen Sommer, während in Deutschland zur gleichen Zeit die Weihnachtsferien laufen. Statt zwei langer Halbjahre mit Sommer- und Winterferien gliedert sich das Jahr in vier </w:t>
      </w:r>
      <w:r>
        <w:rPr>
          <w:i/>
          <w:iCs/>
        </w:rPr>
        <w:t>Terms</w:t>
      </w:r>
      <w:r>
        <w:t xml:space="preserve"> von jeweils rund zehn Wochen, unterbrochen von zwei- bis dreiwöchigen Pausen; die längste Pause liegt zwischen Mitte Dezember und Ende Januar/Anfang Februar und übernimmt damit die Funktion der deutschen Sommerferien – nur eben eine Jahreszeit versetzt.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270"/>
        <w:gridCol w:w="2260"/>
      </w:tblGrid>
      <w:tr w:rsidR="00C1548D" w14:paraId="70A4F565"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562" w14:textId="77777777" w:rsidR="00C1548D" w:rsidRDefault="009B1B4B">
            <w:pPr>
              <w:spacing w:line="250" w:lineRule="auto"/>
            </w:pPr>
            <w:r>
              <w:rPr>
                <w:b/>
                <w:bCs/>
                <w:sz w:val="18"/>
                <w:szCs w:val="18"/>
              </w:rPr>
              <w:t>Term</w:t>
            </w:r>
          </w:p>
        </w:tc>
        <w:tc>
          <w:tcPr>
            <w:tcW w:w="32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563" w14:textId="77777777" w:rsidR="00C1548D" w:rsidRDefault="009B1B4B">
            <w:pPr>
              <w:spacing w:line="250" w:lineRule="auto"/>
            </w:pPr>
            <w:r>
              <w:rPr>
                <w:b/>
                <w:bCs/>
                <w:sz w:val="18"/>
                <w:szCs w:val="18"/>
              </w:rPr>
              <w:t>Ungefährer Zeitraum</w:t>
            </w:r>
          </w:p>
        </w:tc>
        <w:tc>
          <w:tcPr>
            <w:tcW w:w="22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564" w14:textId="77777777" w:rsidR="00C1548D" w:rsidRDefault="009B1B4B">
            <w:pPr>
              <w:spacing w:line="250" w:lineRule="auto"/>
            </w:pPr>
            <w:r>
              <w:rPr>
                <w:b/>
                <w:bCs/>
                <w:sz w:val="18"/>
                <w:szCs w:val="18"/>
              </w:rPr>
              <w:t>Pause danach</w:t>
            </w:r>
          </w:p>
        </w:tc>
      </w:tr>
      <w:tr w:rsidR="00C1548D" w14:paraId="70A4F56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66" w14:textId="77777777" w:rsidR="00C1548D" w:rsidRDefault="009B1B4B">
            <w:pPr>
              <w:spacing w:line="250" w:lineRule="auto"/>
            </w:pPr>
            <w:r>
              <w:rPr>
                <w:sz w:val="18"/>
                <w:szCs w:val="18"/>
              </w:rPr>
              <w:t>Term 1</w:t>
            </w:r>
          </w:p>
        </w:tc>
        <w:tc>
          <w:tcPr>
            <w:tcW w:w="32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67" w14:textId="77777777" w:rsidR="00C1548D" w:rsidRDefault="009B1B4B">
            <w:pPr>
              <w:spacing w:line="250" w:lineRule="auto"/>
            </w:pPr>
            <w:r>
              <w:rPr>
                <w:sz w:val="18"/>
                <w:szCs w:val="18"/>
              </w:rPr>
              <w:t>Ende Januar/Anfang Februar – Ende März/Mitte April</w:t>
            </w:r>
          </w:p>
        </w:tc>
        <w:tc>
          <w:tcPr>
            <w:tcW w:w="22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68" w14:textId="77777777" w:rsidR="00C1548D" w:rsidRDefault="009B1B4B">
            <w:pPr>
              <w:spacing w:line="250" w:lineRule="auto"/>
            </w:pPr>
            <w:r>
              <w:rPr>
                <w:sz w:val="18"/>
                <w:szCs w:val="18"/>
              </w:rPr>
              <w:t>ca. 2 Wochen (oft mit Ostern)</w:t>
            </w:r>
          </w:p>
        </w:tc>
      </w:tr>
      <w:tr w:rsidR="00C1548D" w14:paraId="70A4F56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6A" w14:textId="77777777" w:rsidR="00C1548D" w:rsidRDefault="009B1B4B">
            <w:pPr>
              <w:spacing w:line="250" w:lineRule="auto"/>
            </w:pPr>
            <w:r>
              <w:rPr>
                <w:sz w:val="18"/>
                <w:szCs w:val="18"/>
              </w:rPr>
              <w:t>Term 2</w:t>
            </w:r>
          </w:p>
        </w:tc>
        <w:tc>
          <w:tcPr>
            <w:tcW w:w="32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6B" w14:textId="77777777" w:rsidR="00C1548D" w:rsidRDefault="009B1B4B">
            <w:pPr>
              <w:spacing w:line="250" w:lineRule="auto"/>
            </w:pPr>
            <w:r>
              <w:rPr>
                <w:sz w:val="18"/>
                <w:szCs w:val="18"/>
              </w:rPr>
              <w:t>Ende April – Ende Juni</w:t>
            </w:r>
          </w:p>
        </w:tc>
        <w:tc>
          <w:tcPr>
            <w:tcW w:w="22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6C" w14:textId="77777777" w:rsidR="00C1548D" w:rsidRDefault="009B1B4B">
            <w:pPr>
              <w:spacing w:line="250" w:lineRule="auto"/>
            </w:pPr>
            <w:r>
              <w:rPr>
                <w:sz w:val="18"/>
                <w:szCs w:val="18"/>
              </w:rPr>
              <w:t>ca. 2 Wochen (Winter)</w:t>
            </w:r>
          </w:p>
        </w:tc>
      </w:tr>
      <w:tr w:rsidR="00C1548D" w14:paraId="70A4F57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6E" w14:textId="77777777" w:rsidR="00C1548D" w:rsidRDefault="009B1B4B">
            <w:pPr>
              <w:spacing w:line="250" w:lineRule="auto"/>
            </w:pPr>
            <w:r>
              <w:rPr>
                <w:sz w:val="18"/>
                <w:szCs w:val="18"/>
              </w:rPr>
              <w:t>Term 3</w:t>
            </w:r>
          </w:p>
        </w:tc>
        <w:tc>
          <w:tcPr>
            <w:tcW w:w="32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6F" w14:textId="77777777" w:rsidR="00C1548D" w:rsidRDefault="009B1B4B">
            <w:pPr>
              <w:spacing w:line="250" w:lineRule="auto"/>
            </w:pPr>
            <w:r>
              <w:rPr>
                <w:sz w:val="18"/>
                <w:szCs w:val="18"/>
              </w:rPr>
              <w:t>Mitte Juli – Mitte September</w:t>
            </w:r>
          </w:p>
        </w:tc>
        <w:tc>
          <w:tcPr>
            <w:tcW w:w="22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70" w14:textId="77777777" w:rsidR="00C1548D" w:rsidRDefault="009B1B4B">
            <w:pPr>
              <w:spacing w:line="250" w:lineRule="auto"/>
            </w:pPr>
            <w:r>
              <w:rPr>
                <w:sz w:val="18"/>
                <w:szCs w:val="18"/>
              </w:rPr>
              <w:t>ca. 2 Wochen (Frühling)</w:t>
            </w:r>
          </w:p>
        </w:tc>
      </w:tr>
      <w:tr w:rsidR="00C1548D" w14:paraId="70A4F57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72" w14:textId="77777777" w:rsidR="00C1548D" w:rsidRDefault="009B1B4B">
            <w:pPr>
              <w:spacing w:line="250" w:lineRule="auto"/>
            </w:pPr>
            <w:r>
              <w:rPr>
                <w:sz w:val="18"/>
                <w:szCs w:val="18"/>
              </w:rPr>
              <w:t>Term 4</w:t>
            </w:r>
          </w:p>
        </w:tc>
        <w:tc>
          <w:tcPr>
            <w:tcW w:w="32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73" w14:textId="77777777" w:rsidR="00C1548D" w:rsidRDefault="009B1B4B">
            <w:pPr>
              <w:spacing w:line="250" w:lineRule="auto"/>
            </w:pPr>
            <w:r>
              <w:rPr>
                <w:sz w:val="18"/>
                <w:szCs w:val="18"/>
              </w:rPr>
              <w:t>Anfang Oktober – Mitte Dezember</w:t>
            </w:r>
          </w:p>
        </w:tc>
        <w:tc>
          <w:tcPr>
            <w:tcW w:w="22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74" w14:textId="77777777" w:rsidR="00C1548D" w:rsidRDefault="009B1B4B">
            <w:pPr>
              <w:spacing w:line="250" w:lineRule="auto"/>
            </w:pPr>
            <w:r>
              <w:rPr>
                <w:sz w:val="18"/>
                <w:szCs w:val="18"/>
              </w:rPr>
              <w:t>ca. 6 Wochen Sommerferien</w:t>
            </w:r>
          </w:p>
        </w:tc>
      </w:tr>
    </w:tbl>
    <w:p w14:paraId="70A4F576" w14:textId="77777777" w:rsidR="00C1548D" w:rsidRDefault="00C1548D">
      <w:pPr>
        <w:spacing w:line="180" w:lineRule="exact"/>
      </w:pPr>
    </w:p>
    <w:p w14:paraId="70A4F577" w14:textId="77777777" w:rsidR="00C1548D" w:rsidRDefault="009B1B4B">
      <w:pPr>
        <w:spacing w:after="140"/>
      </w:pPr>
      <w:r>
        <w:t>Die genauen Daten legt jeder Bundesstaat einzeln fest und veröffentlicht sie auf der Website seiner Bildungsbehörde; sie unterscheiden sich von Jahr zu Jahr und zwischen den Staaten um bis zu zwei Wochen.</w:t>
      </w:r>
    </w:p>
    <w:p w14:paraId="70A4F578" w14:textId="77777777" w:rsidR="00C1548D" w:rsidRDefault="009B1B4B">
      <w:pPr>
        <w:spacing w:after="140"/>
      </w:pPr>
      <w:r>
        <w:t>Für den Umzug selbst bedeutet das doppeltes Rechnen: Wer sein Kind mitten im deutschen Schuljahr, aber zu Beginn eines australischen Terms verpflanzt, erwischt einen vergleichsweise glatten Einstieg –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w:t>
      </w:r>
      <w:r>
        <w:t xml:space="preserve"> ein doppelter Rhythmuswechsel, der zusätzlich verwirrt. Wenn der Zeitpunkt frei wählbar ist, spricht deshalb viel dafür, den Umzug auf die späten deutschen Herbst- oder frühen Wintermonate zu legen: </w:t>
      </w:r>
      <w:r>
        <w:lastRenderedPageBreak/>
        <w:t>Das Kind verpasst dann relativ wenig vom deutschen Schuljahr und startet in Australien fast punktgenau mit Term 1 im neuen Jahr.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7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579" w14:textId="77777777" w:rsidR="00C1548D" w:rsidRDefault="009B1B4B">
            <w:pPr>
              <w:keepNext/>
              <w:spacing w:after="70" w:line="240" w:lineRule="auto"/>
            </w:pPr>
            <w:r>
              <w:rPr>
                <w:b/>
                <w:bCs/>
                <w:color w:val="9B2C2C"/>
                <w:spacing w:val="24"/>
                <w:sz w:val="16"/>
                <w:szCs w:val="16"/>
              </w:rPr>
              <w:t>ACHTUNG</w:t>
            </w:r>
          </w:p>
          <w:p w14:paraId="70A4F57A" w14:textId="5836CCAD" w:rsidR="00C1548D" w:rsidRDefault="009B1B4B">
            <w:pPr>
              <w:spacing w:after="80" w:line="264" w:lineRule="auto"/>
            </w:pPr>
            <w:r>
              <w:rPr>
                <w:sz w:val="20"/>
                <w:szCs w:val="20"/>
              </w:rPr>
              <w:t xml:space="preserve">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w:t>
            </w:r>
            <w:hyperlink w:anchor="tau12" w:history="1">
              <w:r>
                <w:rPr>
                  <w:color w:val="0563C1"/>
                  <w:sz w:val="20"/>
                  <w:szCs w:val="20"/>
                  <w:u w:val="single"/>
                </w:rPr>
                <w:t>Kapitel zu Freunden und Kulturschock in diesem Teil</w:t>
              </w:r>
            </w:hyperlink>
            <w:r>
              <w:rPr>
                <w:sz w:val="20"/>
                <w:szCs w:val="20"/>
              </w:rPr>
              <w:t>).</w:t>
            </w:r>
          </w:p>
        </w:tc>
      </w:tr>
    </w:tbl>
    <w:p w14:paraId="70A4F57C" w14:textId="77777777" w:rsidR="00C1548D" w:rsidRDefault="00C1548D">
      <w:pPr>
        <w:spacing w:line="220" w:lineRule="exact"/>
      </w:pPr>
    </w:p>
    <w:p w14:paraId="70A4F57D" w14:textId="77777777" w:rsidR="00C1548D" w:rsidRDefault="009B1B4B">
      <w:pPr>
        <w:spacing w:after="140"/>
      </w:pPr>
      <w:r>
        <w:t xml:space="preserve">Neben dem Termsystem gibt es landesweit standardisierte Tests: </w:t>
      </w:r>
      <w:r>
        <w:rPr>
          <w:i/>
          <w:iCs/>
        </w:rPr>
        <w:t>NAPLAN</w:t>
      </w:r>
      <w:r>
        <w:t xml:space="preserve"> (</w:t>
      </w:r>
      <w:r>
        <w:rPr>
          <w:i/>
          <w:iCs/>
        </w:rPr>
        <w:t>National Assessment Program – Literacy and Numeracy</w:t>
      </w:r>
      <w:r>
        <w:t>)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w14:paraId="70A4F57E" w14:textId="77777777" w:rsidR="00C1548D" w:rsidRDefault="009B1B4B">
      <w:pPr>
        <w:pStyle w:val="Heading3"/>
        <w:keepNext/>
        <w:jc w:val="center"/>
      </w:pPr>
      <w:r>
        <w:rPr>
          <w:rFonts w:ascii="Amazon Ember" w:eastAsia="Amazon Ember" w:hAnsi="Amazon Ember" w:cs="Amazon Ember"/>
          <w:color w:val="0000FF"/>
          <w:sz w:val="36"/>
          <w:szCs w:val="36"/>
        </w:rPr>
        <w:t>Anmeldung: Unterlagen und Ablauf</w:t>
      </w:r>
    </w:p>
    <w:p w14:paraId="70A4F57F" w14:textId="77777777" w:rsidR="00C1548D" w:rsidRDefault="009B1B4B">
      <w:pPr>
        <w:spacing w:after="140"/>
      </w:pPr>
      <w:r>
        <w:t xml:space="preserve">Die Anmeldung an einer staatlichen Schule läuft über die zuständige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w:t>
      </w:r>
      <w:r>
        <w:t>legt jede Schule beziehungsweise jeder Bundesstaat im Detail selbst fest –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82"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580" w14:textId="77777777" w:rsidR="00C1548D" w:rsidRDefault="009B1B4B">
            <w:pPr>
              <w:keepNext/>
              <w:spacing w:after="70" w:line="240" w:lineRule="auto"/>
            </w:pPr>
            <w:r>
              <w:rPr>
                <w:b/>
                <w:bCs/>
                <w:color w:val="4A5568"/>
                <w:spacing w:val="24"/>
                <w:sz w:val="16"/>
                <w:szCs w:val="16"/>
              </w:rPr>
              <w:lastRenderedPageBreak/>
              <w:t>PRAXISBEISPIEL · FIKTIV</w:t>
            </w:r>
          </w:p>
          <w:p w14:paraId="70A4F581" w14:textId="77777777" w:rsidR="00C1548D" w:rsidRDefault="009B1B4B">
            <w:pPr>
              <w:spacing w:after="80" w:line="264" w:lineRule="auto"/>
            </w:pPr>
            <w:r>
              <w:rPr>
                <w:sz w:val="20"/>
                <w:szCs w:val="20"/>
              </w:rPr>
              <w:t>Familie Reinhardt (fiktiv) klärt vor dem Umzug nach Melbourne schriftlich mit zwei staatlichen Grundschulen, welche zu ihrer künftigen Adresse in Richmond gehört, und vereinbart für Emil (10) und Clara (6) je ein kurzes Einstufungsgespräch. Weil der Umzug im November stattfindet, starten beide Kinder erst mit dem regulären Term-1-Beginn im späten Januar. Für die Wochen davor meldet Sandra beide probeweise zu einem Ferienprogramm an, damit der Wechsel nicht mitten in ein fremdes, schon laufendes Schuljahr fä</w:t>
            </w:r>
            <w:r>
              <w:rPr>
                <w:sz w:val="20"/>
                <w:szCs w:val="20"/>
              </w:rPr>
              <w:t>llt, sondern mit einem sanften Übergang beginnt.</w:t>
            </w:r>
          </w:p>
        </w:tc>
      </w:tr>
    </w:tbl>
    <w:p w14:paraId="70A4F583" w14:textId="77777777" w:rsidR="00C1548D" w:rsidRDefault="00C1548D">
      <w:pPr>
        <w:spacing w:line="220" w:lineRule="exact"/>
      </w:pPr>
    </w:p>
    <w:p w14:paraId="70A4F584" w14:textId="77777777" w:rsidR="00C1548D" w:rsidRDefault="009B1B4B">
      <w:pPr>
        <w:pStyle w:val="Heading3"/>
        <w:keepNext/>
        <w:jc w:val="center"/>
      </w:pPr>
      <w:r>
        <w:rPr>
          <w:rFonts w:ascii="Amazon Ember" w:eastAsia="Amazon Ember" w:hAnsi="Amazon Ember" w:cs="Amazon Ember"/>
          <w:color w:val="0000FF"/>
          <w:sz w:val="36"/>
          <w:szCs w:val="36"/>
        </w:rPr>
        <w:t>Vor der Schule: Kinderbetreuung und Randzeiten</w:t>
      </w:r>
    </w:p>
    <w:p w14:paraId="70A4F585" w14:textId="77777777" w:rsidR="00C1548D" w:rsidRDefault="009B1B4B">
      <w:pPr>
        <w:spacing w:after="140"/>
      </w:pPr>
      <w:r>
        <w:t xml:space="preserve">Für Kinder unter dem Schulalter gibt es, anders als in Deutschland, kein flächendeckendes öffentliches Kita-Netz. Verbreitet sind private oder gemeinnützige </w:t>
      </w:r>
      <w:r>
        <w:rPr>
          <w:i/>
          <w:iCs/>
        </w:rPr>
        <w:t>Long Day Care</w:t>
      </w:r>
      <w:r>
        <w:t xml:space="preserve">-Zentren (ganztägige Kindertagesstätten) und </w:t>
      </w:r>
      <w:r>
        <w:rPr>
          <w:i/>
          <w:iCs/>
        </w:rPr>
        <w:t>Family Day Care</w:t>
      </w:r>
      <w:r>
        <w:t xml:space="preserve"> (Kindertagespflege in einem privaten Haushalt); die Bundesregierung bezuschusst beide Formen über die </w:t>
      </w:r>
      <w:r>
        <w:rPr>
          <w:i/>
          <w:iCs/>
        </w:rPr>
        <w:t>Child Care Subsidy</w:t>
      </w:r>
      <w:r>
        <w:t>,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w14:paraId="70A4F586" w14:textId="77777777" w:rsidR="00C1548D" w:rsidRDefault="009B1B4B">
      <w:pPr>
        <w:spacing w:after="140"/>
      </w:pPr>
      <w:r>
        <w:t xml:space="preserve">Auch nach der Einschulung endet die Betreuung nicht automatisch mit dem Schultag: Die meisten Grundschulen bieten oder vermitteln </w:t>
      </w:r>
      <w:r>
        <w:rPr>
          <w:i/>
          <w:iCs/>
        </w:rPr>
        <w:t>Outside School Hours Care</w:t>
      </w:r>
      <w:r>
        <w:t xml:space="preserve"> (OSHC), kostenpflichtige Betreuung vor und nach dem Unterricht sowie in einem Teil der Ferien. Wer beide Elternteile berufstätig hat, bucht OSHC am besten direkt bei der Schulanmeldung mit, statt es erst im laufenden Schuljahr nachzuholen – begehrte Plätze sind auch hier knapp.</w:t>
      </w:r>
    </w:p>
    <w:p w14:paraId="70A4F587" w14:textId="77777777" w:rsidR="00C1548D" w:rsidRDefault="009B1B4B">
      <w:pPr>
        <w:pStyle w:val="Heading3"/>
        <w:keepNext/>
        <w:jc w:val="center"/>
      </w:pPr>
      <w:r>
        <w:rPr>
          <w:rFonts w:ascii="Amazon Ember" w:eastAsia="Amazon Ember" w:hAnsi="Amazon Ember" w:cs="Amazon Ember"/>
          <w:color w:val="0000FF"/>
          <w:sz w:val="36"/>
          <w:szCs w:val="36"/>
        </w:rPr>
        <w:lastRenderedPageBreak/>
        <w:t>Spracheingewöhnung: EAL/D und wie Kinder (und Eltern) ankommen</w:t>
      </w:r>
    </w:p>
    <w:p w14:paraId="70A4F588" w14:textId="77777777" w:rsidR="00C1548D" w:rsidRDefault="009B1B4B">
      <w:pPr>
        <w:spacing w:after="140"/>
      </w:pPr>
      <w:r>
        <w:t xml:space="preserve">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w:t>
      </w:r>
      <w:r>
        <w:rPr>
          <w:i/>
          <w:iCs/>
        </w:rPr>
        <w:t>EAL/D</w:t>
      </w:r>
      <w:r>
        <w:t xml:space="preserve"> (</w:t>
      </w:r>
      <w:r>
        <w:rPr>
          <w:i/>
          <w:iCs/>
        </w:rPr>
        <w:t>English as an Additional Language or Dialect</w:t>
      </w:r>
      <w:r>
        <w:t>, Englisch als Zusatzsprache) und ist an Schulen mit Einwandereranteil eher 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w:t>
      </w:r>
      <w:r>
        <w:t>lien helfen mitunter zusätzlich zweisprachige Assistenzkräfte oder Verbindungspersonen zur Familie, die bei Elterngesprächen übersetzen.</w:t>
      </w:r>
    </w:p>
    <w:p w14:paraId="70A4F589" w14:textId="24ADD256" w:rsidR="00C1548D" w:rsidRDefault="009B1B4B">
      <w:pPr>
        <w:spacing w:after="140"/>
      </w:pPr>
      <w:r>
        <w:t xml:space="preserve">Für Erwachsene sieht die Lage anders aus. Wer über ein Skilled-Visum einwandert, hat die Englischprüfung (meist IELTS, PTE oder TOEFL, mit Kosten von rund 300 bis 400 AUD je Test) ohnehin schon für den Visumsantrag hinter sich (siehe das </w:t>
      </w:r>
      <w:hyperlink w:anchor="tau03" w:history="1">
        <w:r>
          <w:rPr>
            <w:color w:val="0563C1"/>
            <w:u w:val="single"/>
          </w:rPr>
          <w:t>Kapitel zum Arbeitsweg in diesem Teil</w:t>
        </w:r>
      </w:hyperlink>
      <w:r>
        <w:t>); wer mit einem Working-Holiday-Visum kommt, hat diese Hürde oft nicht durchlaufen und merkt die Lücke im Alltag deutlicher. Für beide Gruppen helfen TAFE-Kurse in Alltags- und Berufsenglisch, häufig zu deutlich niedrigeren Kosten als private Sprachschulen, sowie das Gespräch mit anderen Eltern am Schultor – der pragmatischste, wenn auch langsamste Weg zur Alltagssicherheit.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8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58A" w14:textId="77777777" w:rsidR="00C1548D" w:rsidRDefault="009B1B4B">
            <w:pPr>
              <w:keepNext/>
              <w:spacing w:after="70" w:line="240" w:lineRule="auto"/>
            </w:pPr>
            <w:r>
              <w:rPr>
                <w:b/>
                <w:bCs/>
                <w:color w:val="9B2C2C"/>
                <w:spacing w:val="24"/>
                <w:sz w:val="16"/>
                <w:szCs w:val="16"/>
              </w:rPr>
              <w:lastRenderedPageBreak/>
              <w:t>ACHTUNG</w:t>
            </w:r>
          </w:p>
          <w:p w14:paraId="70A4F58B" w14:textId="77777777" w:rsidR="00C1548D" w:rsidRDefault="009B1B4B">
            <w:pPr>
              <w:spacing w:after="80" w:line="264" w:lineRule="auto"/>
            </w:pPr>
            <w:r>
              <w:rPr>
                <w:sz w:val="20"/>
                <w:szCs w:val="20"/>
              </w:rPr>
              <w:t>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tc>
      </w:tr>
    </w:tbl>
    <w:p w14:paraId="70A4F58D" w14:textId="77777777" w:rsidR="00C1548D" w:rsidRDefault="00C1548D">
      <w:pPr>
        <w:spacing w:line="220" w:lineRule="exact"/>
      </w:pPr>
    </w:p>
    <w:p w14:paraId="70A4F58E" w14:textId="1188DE7F" w:rsidR="00C1548D" w:rsidRDefault="009B1B4B">
      <w:pPr>
        <w:spacing w:after="140"/>
      </w:pPr>
      <w:r>
        <w:t>Kinder verarbeiten den Sprachwechsel zudem altersabhängig unterschiedlich: Jüngere Grundschulkinder gewöhnen sich oft binnen weniger Monate ein und wechseln erstaunlich schnell ins australische Schulenglisch samt Akzent, während ältere Kinder und Teenager die Fachsprache in Geschichte oder Biologie länger brauchen und sozial stärker unter der Sprachlücke leiden, weil Freundschaften in dieser Lebensphase stärker über Wortwitz und schnelle Antworten laufen. Mehr zu dieser Dynamik über die Schule hinaus – Freu</w:t>
      </w:r>
      <w:r>
        <w:t xml:space="preserve">ndeskreis, Vereine, der erste Winter, der in Australien gar keiner ist – steht im </w:t>
      </w:r>
      <w:hyperlink w:anchor="tau12" w:history="1">
        <w:r>
          <w:rPr>
            <w:color w:val="0563C1"/>
            <w:u w:val="single"/>
          </w:rPr>
          <w:t>Kapitel zu Freunden und Kulturschock in diesem Teil</w:t>
        </w:r>
      </w:hyperlink>
      <w:r>
        <w:t>.</w:t>
      </w:r>
    </w:p>
    <w:p w14:paraId="70A4F58F" w14:textId="77777777" w:rsidR="00C1548D" w:rsidRDefault="009B1B4B">
      <w:pPr>
        <w:spacing w:after="140"/>
      </w:pPr>
      <w:r>
        <w:t>Besonders heikel wird ein Umzug, wenn ein Teenager mitten in den letzten beiden Schuljahren steckt. Weil HSC, VCE, QCE und die übrigen Landeszertifikate jeweils über zwei Jahre angelegt sind und Kurswahl, laufende Bewertungen und der ATAR eng ineinandergreifen, lässt sich ein begonnenes Jahr 11 oder 12 aus Deutschland selten nahtlos fortsetzen. Schulen prüfen mitgebrachte Zeugnisse und Kurse einzeln und entscheiden von Fall zu Fall, welche Fächer und Halbjahre anerkannt werden; oft bedeutet das eine zusätzl</w:t>
      </w:r>
      <w:r>
        <w:t>iche Klassenstufe oder ein angepasstes Fächerprofil.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9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590" w14:textId="77777777" w:rsidR="00C1548D" w:rsidRDefault="009B1B4B">
            <w:pPr>
              <w:keepNext/>
              <w:spacing w:after="70" w:line="240" w:lineRule="auto"/>
            </w:pPr>
            <w:r>
              <w:rPr>
                <w:b/>
                <w:bCs/>
                <w:color w:val="9B2C2C"/>
                <w:spacing w:val="24"/>
                <w:sz w:val="16"/>
                <w:szCs w:val="16"/>
              </w:rPr>
              <w:lastRenderedPageBreak/>
              <w:t>ACHTUNG</w:t>
            </w:r>
          </w:p>
          <w:p w14:paraId="70A4F591" w14:textId="77777777" w:rsidR="00C1548D" w:rsidRDefault="009B1B4B">
            <w:pPr>
              <w:spacing w:after="80" w:line="264" w:lineRule="auto"/>
            </w:pPr>
            <w:r>
              <w:rPr>
                <w:sz w:val="20"/>
                <w:szCs w:val="20"/>
              </w:rPr>
              <w:t>Bei Teenagern in den letzten beiden Schuljahren lohnt es sich, vor dem Umzug direkt mit der Zielschule und, falls vorhanden, mit einer deutschen Auslandsschule zu rechnen: Reicht die Zeit noch für einen sauberen Abschluss in Australien, oder ist ein Umzug erst nach dem deutschen oder australischen Abschluss die bessere Wahl? Diese Entscheidung früh zu klären erspart Kindern in einer ohnehin schon anspruchsvollen Phase unnötigen Extra-Stress.</w:t>
            </w:r>
          </w:p>
        </w:tc>
      </w:tr>
    </w:tbl>
    <w:p w14:paraId="70A4F593" w14:textId="77777777" w:rsidR="00C1548D" w:rsidRDefault="00C1548D">
      <w:pPr>
        <w:spacing w:line="220" w:lineRule="exact"/>
      </w:pPr>
    </w:p>
    <w:p w14:paraId="70A4F594" w14:textId="77777777" w:rsidR="00C1548D" w:rsidRDefault="009B1B4B">
      <w:pPr>
        <w:pStyle w:val="Heading3"/>
        <w:keepNext/>
        <w:jc w:val="center"/>
      </w:pPr>
      <w:r>
        <w:rPr>
          <w:rFonts w:ascii="Amazon Ember" w:eastAsia="Amazon Ember" w:hAnsi="Amazon Ember" w:cs="Amazon Ember"/>
          <w:color w:val="0000FF"/>
          <w:sz w:val="36"/>
          <w:szCs w:val="36"/>
        </w:rPr>
        <w:t>Englisch zu Hause vorbereiten: Medien nach Alter</w:t>
      </w:r>
    </w:p>
    <w:p w14:paraId="70A4F595" w14:textId="77777777" w:rsidR="00C1548D" w:rsidRDefault="009B1B4B">
      <w:pPr>
        <w:spacing w:after="140"/>
      </w:pPr>
      <w:r>
        <w:t>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wachsen in erste Kapitelbücher hinein, etwa „Diary of a Wimpy Kid“ (viele Bilder, wenig Text pro Seite). Für die Mittelstufe (10–13) eignen sich „Percy Jackson“-Bücher und, falls verfügbar, die klassi</w:t>
      </w:r>
      <w:r>
        <w:t>sche australische Serie „Round the Twist“ für echten Alltagsslang. Teenager (14–17) kommen mit „Heartbreak High“ (Netflix-Neuauflage, sehr australischer Jugendslang) näher an das heran, was sie am Schultor tatsächlich hören.</w:t>
      </w:r>
    </w:p>
    <w:p w14:paraId="70A4F596" w14:textId="77777777" w:rsidR="00C1548D" w:rsidRDefault="009B1B4B">
      <w:pPr>
        <w:spacing w:after="140"/>
      </w:pPr>
      <w:r>
        <w:t>Bei allen Altersgruppen wirkt derselbe Trick am zuverlässigsten: eine Serie, die das Kind schon auf Deutsch kennt, gemeinsam im englischen Original anschauen. Die bekannte Handlung nimmt den Druck, jedes Wort zu verstehen. Untertitel zuerst auf Englisch stellen, nicht auf Deutsch – Lesen und Hören gleichzeitig festigt mehr als reines Übersetzen.</w:t>
      </w:r>
    </w:p>
    <w:p w14:paraId="70A4F597" w14:textId="77777777" w:rsidR="00C1548D" w:rsidRDefault="009B1B4B">
      <w:pPr>
        <w:pStyle w:val="Heading3"/>
        <w:keepNext/>
        <w:jc w:val="center"/>
      </w:pPr>
      <w:r>
        <w:rPr>
          <w:rFonts w:ascii="Amazon Ember" w:eastAsia="Amazon Ember" w:hAnsi="Amazon Ember" w:cs="Amazon Ember"/>
          <w:color w:val="0000FF"/>
          <w:sz w:val="36"/>
          <w:szCs w:val="36"/>
        </w:rPr>
        <w:lastRenderedPageBreak/>
        <w:t>Deutsch bewahren: Goethe-Institut, deutsche Schulen, Samstagsschule</w:t>
      </w:r>
    </w:p>
    <w:p w14:paraId="70A4F598" w14:textId="77777777" w:rsidR="00C1548D" w:rsidRDefault="009B1B4B">
      <w:pPr>
        <w:spacing w:after="140"/>
      </w:pPr>
      <w:r>
        <w:t>Wer möchte, dass die Kinder neben dem australischen Englisch auch ihr Deutsch behalten, findet organisierte Angebote fast ausschließlich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 dafür bleibt der Anschluss an ein deutsches Zeugnis oder s</w:t>
      </w:r>
      <w:r>
        <w:t>ogar an einen deutschen Abschluss realistisch. In beiden Städten ergänzen die Goethe-Institute (Sydney seit 1974, Melbourne seit 1972) das Angebot mit Sprachkursen auch für Kinder und Jugendliche.</w:t>
      </w:r>
    </w:p>
    <w:p w14:paraId="70A4F599" w14:textId="77777777" w:rsidR="00C1548D" w:rsidRDefault="009B1B4B">
      <w:pPr>
        <w:spacing w:after="140"/>
      </w:pPr>
      <w:r>
        <w:t>Außerhalb von Sydney und Melbourne – in Brisbane, Perth, Adelaide, Canberra oder kleineren Städten – bleibt organisierte deutsche Sprachförderung dünn gesät bis gar nicht vorhanden. Hier hilft am ehesten Eigeninitiative: feste Vorlesezeiten auf Deutsch, deutschsprachige Hörbücher und Serien, regelmäßige Videoanrufe mit den Großeltern und, wo sich eine Gruppe von Familien findet, eine informelle Samstagsschule in Eigenregie.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9C"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59A" w14:textId="77777777" w:rsidR="00C1548D" w:rsidRDefault="009B1B4B">
            <w:pPr>
              <w:keepNext/>
              <w:spacing w:after="70" w:line="240" w:lineRule="auto"/>
            </w:pPr>
            <w:r>
              <w:rPr>
                <w:b/>
                <w:bCs/>
                <w:color w:val="2F6B3B"/>
                <w:spacing w:val="24"/>
                <w:sz w:val="16"/>
                <w:szCs w:val="16"/>
              </w:rPr>
              <w:t>SPARTIPP</w:t>
            </w:r>
          </w:p>
          <w:p w14:paraId="70A4F59B" w14:textId="77777777" w:rsidR="00C1548D" w:rsidRDefault="009B1B4B">
            <w:pPr>
              <w:spacing w:after="80" w:line="264" w:lineRule="auto"/>
            </w:pPr>
            <w:r>
              <w:rPr>
                <w:sz w:val="20"/>
                <w:szCs w:val="20"/>
              </w:rPr>
              <w:t>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tc>
      </w:tr>
    </w:tbl>
    <w:p w14:paraId="70A4F59D" w14:textId="77777777" w:rsidR="00C1548D" w:rsidRDefault="00C1548D">
      <w:pPr>
        <w:spacing w:line="220" w:lineRule="exact"/>
      </w:pPr>
    </w:p>
    <w:p w14:paraId="70A4F59E"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5A1"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59F"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5A0" w14:textId="77777777" w:rsidR="00C1548D" w:rsidRDefault="009B1B4B">
            <w:pPr>
              <w:spacing w:line="250" w:lineRule="auto"/>
            </w:pPr>
            <w:r>
              <w:rPr>
                <w:b/>
                <w:bCs/>
                <w:sz w:val="18"/>
                <w:szCs w:val="18"/>
              </w:rPr>
              <w:t>Minus</w:t>
            </w:r>
          </w:p>
        </w:tc>
      </w:tr>
      <w:tr w:rsidR="00C1548D" w14:paraId="70A4F5A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A2" w14:textId="77777777" w:rsidR="00C1548D" w:rsidRDefault="009B1B4B">
            <w:pPr>
              <w:spacing w:line="250" w:lineRule="auto"/>
            </w:pPr>
            <w:r>
              <w:rPr>
                <w:sz w:val="18"/>
                <w:szCs w:val="18"/>
              </w:rPr>
              <w:t>Öffentliche Schulen sind kostenlos und ohne Statusprüfung zugänglich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A3" w14:textId="77777777" w:rsidR="00C1548D" w:rsidRDefault="009B1B4B">
            <w:pPr>
              <w:spacing w:line="250" w:lineRule="auto"/>
            </w:pPr>
            <w:r>
              <w:rPr>
                <w:sz w:val="18"/>
                <w:szCs w:val="18"/>
              </w:rPr>
              <w:t>Ausstattung und Ruf hängen stark von Bundesstaat und Schule ab</w:t>
            </w:r>
          </w:p>
        </w:tc>
      </w:tr>
      <w:tr w:rsidR="00C1548D" w14:paraId="70A4F5A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A5" w14:textId="77777777" w:rsidR="00C1548D" w:rsidRDefault="009B1B4B">
            <w:pPr>
              <w:spacing w:line="250" w:lineRule="auto"/>
            </w:pPr>
            <w:r>
              <w:rPr>
                <w:sz w:val="18"/>
                <w:szCs w:val="18"/>
              </w:rPr>
              <w:t>EAL/D-Sprachförderung ist an vielen Schulen Standard, nicht Ausnahme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A6" w14:textId="77777777" w:rsidR="00C1548D" w:rsidRDefault="009B1B4B">
            <w:pPr>
              <w:spacing w:line="250" w:lineRule="auto"/>
            </w:pPr>
            <w:r>
              <w:rPr>
                <w:sz w:val="18"/>
                <w:szCs w:val="18"/>
              </w:rPr>
              <w:t>Außerhalb Sydney/Melbourne kaum organisierte deutsche Sprachangebote</w:t>
            </w:r>
          </w:p>
        </w:tc>
      </w:tr>
      <w:tr w:rsidR="00C1548D" w14:paraId="70A4F5A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A8" w14:textId="77777777" w:rsidR="00C1548D" w:rsidRDefault="009B1B4B">
            <w:pPr>
              <w:spacing w:line="250" w:lineRule="auto"/>
            </w:pPr>
            <w:r>
              <w:rPr>
                <w:sz w:val="18"/>
                <w:szCs w:val="18"/>
              </w:rPr>
              <w:t>Umzug lässt sich mit etwas Planung passgenau auf den Term-Start legen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A9" w14:textId="77777777" w:rsidR="00C1548D" w:rsidRDefault="009B1B4B">
            <w:pPr>
              <w:spacing w:line="250" w:lineRule="auto"/>
            </w:pPr>
            <w:r>
              <w:rPr>
                <w:sz w:val="18"/>
                <w:szCs w:val="18"/>
              </w:rPr>
              <w:t>Schuljahresrhythmus verkehrt zu Deutschland erschwert die Umzugsplanung</w:t>
            </w:r>
          </w:p>
        </w:tc>
      </w:tr>
      <w:tr w:rsidR="00C1548D" w14:paraId="70A4F5A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AB" w14:textId="77777777" w:rsidR="00C1548D" w:rsidRDefault="009B1B4B">
            <w:pPr>
              <w:spacing w:line="250" w:lineRule="auto"/>
            </w:pPr>
            <w:r>
              <w:rPr>
                <w:sz w:val="18"/>
                <w:szCs w:val="18"/>
              </w:rPr>
              <w:t>Kinder gewöhnen sich meist rascher ein als Erwachsene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AC" w14:textId="77777777" w:rsidR="00C1548D" w:rsidRDefault="009B1B4B">
            <w:pPr>
              <w:spacing w:line="250" w:lineRule="auto"/>
            </w:pPr>
            <w:r>
              <w:rPr>
                <w:sz w:val="18"/>
                <w:szCs w:val="18"/>
              </w:rPr>
              <w:t>Ältere Kinder und Teenager tun sich mit Fachsprache und sozialem Anschluss schwerer</w:t>
            </w:r>
          </w:p>
        </w:tc>
      </w:tr>
      <w:tr w:rsidR="00C1548D" w14:paraId="70A4F5B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AE" w14:textId="77777777" w:rsidR="00C1548D" w:rsidRDefault="009B1B4B">
            <w:pPr>
              <w:spacing w:line="250" w:lineRule="auto"/>
            </w:pPr>
            <w:r>
              <w:rPr>
                <w:sz w:val="18"/>
                <w:szCs w:val="18"/>
              </w:rPr>
              <w:t>Drei Schulsektoren bieten echte Wahlmöglichkeit nach Budget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AF" w14:textId="77777777" w:rsidR="00C1548D" w:rsidRDefault="009B1B4B">
            <w:pPr>
              <w:spacing w:line="250" w:lineRule="auto"/>
            </w:pPr>
            <w:r>
              <w:rPr>
                <w:sz w:val="18"/>
                <w:szCs w:val="18"/>
              </w:rPr>
              <w:t>Renommierte Privatschulen kosten bis über 50.000 AUD im Jahr</w:t>
            </w:r>
          </w:p>
        </w:tc>
      </w:tr>
      <w:tr w:rsidR="00C1548D" w14:paraId="70A4F5B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B1" w14:textId="77777777" w:rsidR="00C1548D" w:rsidRDefault="009B1B4B">
            <w:pPr>
              <w:spacing w:line="250" w:lineRule="auto"/>
            </w:pPr>
            <w:r>
              <w:rPr>
                <w:sz w:val="18"/>
                <w:szCs w:val="18"/>
              </w:rPr>
              <w:t>Selective Schools und gute staatliche Schulen erzielen Spitzenleistungen kostenlos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5B2" w14:textId="77777777" w:rsidR="00C1548D" w:rsidRDefault="009B1B4B">
            <w:pPr>
              <w:spacing w:line="250" w:lineRule="auto"/>
            </w:pPr>
            <w:r>
              <w:rPr>
                <w:sz w:val="18"/>
                <w:szCs w:val="18"/>
              </w:rPr>
              <w:t>Plätze an guten staatlichen Schulen sind entsprechend begehrt</w:t>
            </w:r>
          </w:p>
        </w:tc>
      </w:tr>
    </w:tbl>
    <w:p w14:paraId="70A4F5B4" w14:textId="77777777" w:rsidR="00C1548D" w:rsidRDefault="00C1548D">
      <w:pPr>
        <w:spacing w:line="180" w:lineRule="exact"/>
      </w:pPr>
    </w:p>
    <w:p w14:paraId="70A4F5B5"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5B6" w14:textId="77777777" w:rsidR="00C1548D" w:rsidRDefault="009B1B4B">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C0"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5B7" w14:textId="77777777" w:rsidR="00C1548D" w:rsidRDefault="009B1B4B">
            <w:pPr>
              <w:keepNext/>
              <w:spacing w:after="70" w:line="240" w:lineRule="auto"/>
            </w:pPr>
            <w:r>
              <w:rPr>
                <w:b/>
                <w:bCs/>
                <w:color w:val="1F6F78"/>
                <w:spacing w:val="24"/>
                <w:sz w:val="16"/>
                <w:szCs w:val="16"/>
              </w:rPr>
              <w:lastRenderedPageBreak/>
              <w:t>CHECKLISTE</w:t>
            </w:r>
          </w:p>
          <w:p w14:paraId="70A4F5B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Zuständigen Bundesstaat-Stichtag für Einschulung und Einstufung erfragt</w:t>
            </w:r>
          </w:p>
          <w:p w14:paraId="70A4F5B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Schultyp entschieden: staatlich, katholisch oder unabhängig, inklusive Kostenvergleich</w:t>
            </w:r>
          </w:p>
          <w:p w14:paraId="70A4F5B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Umzugstermin nach Möglichkeit auf den Beginn eines Terms gelegt</w:t>
            </w:r>
          </w:p>
          <w:p w14:paraId="70A4F5B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Geburtsurkunde, Reisepass, Impfnachweis und übersetzte Zeugnisse zusammengestellt</w:t>
            </w:r>
          </w:p>
          <w:p w14:paraId="70A4F5B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Zielschule direkt nach genauen Anmeldeunterlagen gefragt, nicht nur auf Erfahrungsberichte anderer verlassen</w:t>
            </w:r>
          </w:p>
          <w:p w14:paraId="70A4F5B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Sprachförderbedarf früh das Gespräch mit der Schule über EAL/D gesucht</w:t>
            </w:r>
          </w:p>
          <w:p w14:paraId="70A4F5B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eine deutsche Auslandsschule (Sydney, Melbourne) infrage kommt oder ob Deutsch zu Hause organisiert wird</w:t>
            </w:r>
          </w:p>
          <w:p w14:paraId="70A4F5B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Teenagern zusätzlich Zeit für die soziale Eingewöhnung eingeplant, nicht nur für die Sprache</w:t>
            </w:r>
          </w:p>
        </w:tc>
      </w:tr>
    </w:tbl>
    <w:p w14:paraId="70A4F5C1" w14:textId="77777777" w:rsidR="00C1548D" w:rsidRDefault="00C1548D">
      <w:pPr>
        <w:spacing w:line="220" w:lineRule="exact"/>
      </w:pPr>
    </w:p>
    <w:p w14:paraId="70A4F5C2"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5C3" w14:textId="201F7ACF" w:rsidR="00C1548D" w:rsidRDefault="009B1B4B" w:rsidP="009B1B4B">
      <w:pPr>
        <w:pStyle w:val="ListParagraph"/>
        <w:numPr>
          <w:ilvl w:val="0"/>
          <w:numId w:val="1"/>
        </w:numPr>
        <w:spacing w:after="60"/>
      </w:pPr>
      <w:r>
        <w:t>Australian Bureau of Statistics — Schulstatistik, Anteile der Schulsektoren (</w:t>
      </w:r>
      <w:hyperlink r:id="rId455" w:history="1">
        <w:r>
          <w:rPr>
            <w:color w:val="0563C1"/>
            <w:u w:val="single"/>
          </w:rPr>
          <w:t>abs.gov.au/statistics/people/education/schools</w:t>
        </w:r>
      </w:hyperlink>
      <w:r>
        <w:t>)</w:t>
      </w:r>
    </w:p>
    <w:p w14:paraId="70A4F5C4" w14:textId="76D5F5D7" w:rsidR="00C1548D" w:rsidRDefault="009B1B4B" w:rsidP="009B1B4B">
      <w:pPr>
        <w:pStyle w:val="ListParagraph"/>
        <w:numPr>
          <w:ilvl w:val="0"/>
          <w:numId w:val="1"/>
        </w:numPr>
        <w:spacing w:after="60"/>
      </w:pPr>
      <w:r>
        <w:t>Australian Curriculum, Assessment and Reporting Authority (ACARA) — Rahmenlehrplan, NAPLAN, EAL/D (</w:t>
      </w:r>
      <w:hyperlink r:id="rId456" w:history="1">
        <w:r>
          <w:rPr>
            <w:color w:val="0563C1"/>
            <w:u w:val="single"/>
          </w:rPr>
          <w:t>acara.edu.au</w:t>
        </w:r>
      </w:hyperlink>
      <w:r>
        <w:t>)</w:t>
      </w:r>
    </w:p>
    <w:p w14:paraId="70A4F5C5" w14:textId="3D0DFBF8" w:rsidR="00C1548D" w:rsidRDefault="009B1B4B" w:rsidP="009B1B4B">
      <w:pPr>
        <w:pStyle w:val="ListParagraph"/>
        <w:numPr>
          <w:ilvl w:val="0"/>
          <w:numId w:val="1"/>
        </w:numPr>
        <w:spacing w:after="60"/>
      </w:pPr>
      <w:r>
        <w:t>Bildungsbehörden der Bundesstaaten, z. B. NSW Department of Education — Term- und Ferientermine (</w:t>
      </w:r>
      <w:hyperlink r:id="rId457" w:history="1">
        <w:r>
          <w:rPr>
            <w:color w:val="0563C1"/>
            <w:u w:val="single"/>
          </w:rPr>
          <w:t>education.nsw.gov.au</w:t>
        </w:r>
      </w:hyperlink>
      <w:r>
        <w:t>)</w:t>
      </w:r>
    </w:p>
    <w:p w14:paraId="70A4F5C6" w14:textId="6D568C2E" w:rsidR="00C1548D" w:rsidRDefault="009B1B4B" w:rsidP="009B1B4B">
      <w:pPr>
        <w:pStyle w:val="ListParagraph"/>
        <w:numPr>
          <w:ilvl w:val="0"/>
          <w:numId w:val="1"/>
        </w:numPr>
        <w:spacing w:after="60"/>
      </w:pPr>
      <w:r>
        <w:t>Zentralstelle für das Auslandsschulwesen — deutsche Schulen im Ausland (</w:t>
      </w:r>
      <w:hyperlink r:id="rId458" w:history="1">
        <w:r>
          <w:rPr>
            <w:color w:val="0563C1"/>
            <w:u w:val="single"/>
          </w:rPr>
          <w:t>auslandsschulwesen.de</w:t>
        </w:r>
      </w:hyperlink>
      <w:r>
        <w:t>)</w:t>
      </w:r>
    </w:p>
    <w:p w14:paraId="70A4F5C7" w14:textId="13953098" w:rsidR="00C1548D" w:rsidRDefault="009B1B4B" w:rsidP="009B1B4B">
      <w:pPr>
        <w:pStyle w:val="ListParagraph"/>
        <w:numPr>
          <w:ilvl w:val="0"/>
          <w:numId w:val="1"/>
        </w:numPr>
        <w:spacing w:after="60"/>
      </w:pPr>
      <w:r>
        <w:t>Goethe-Institut Australien — Standorte Sydney und Melbourne (</w:t>
      </w:r>
      <w:hyperlink r:id="rId459" w:history="1">
        <w:r>
          <w:rPr>
            <w:color w:val="0563C1"/>
            <w:u w:val="single"/>
          </w:rPr>
          <w:t>goethe.de/ins/au</w:t>
        </w:r>
      </w:hyperlink>
      <w:r>
        <w:t>)</w:t>
      </w:r>
    </w:p>
    <w:p w14:paraId="70A4F5C8" w14:textId="106E9831" w:rsidR="00C1548D" w:rsidRDefault="009B1B4B" w:rsidP="009B1B4B">
      <w:pPr>
        <w:pStyle w:val="ListParagraph"/>
        <w:numPr>
          <w:ilvl w:val="0"/>
          <w:numId w:val="1"/>
        </w:numPr>
        <w:spacing w:after="60"/>
      </w:pPr>
      <w:r>
        <w:t>Universities Admissions Centre — Erklärung und Berechnung des ATAR (</w:t>
      </w:r>
      <w:hyperlink r:id="rId460" w:history="1">
        <w:r>
          <w:rPr>
            <w:color w:val="0563C1"/>
            <w:u w:val="single"/>
          </w:rPr>
          <w:t>uac.edu.au</w:t>
        </w:r>
      </w:hyperlink>
      <w:r>
        <w:t>)</w:t>
      </w:r>
    </w:p>
    <w:p w14:paraId="70A4F5C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C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5CA" w14:textId="77777777" w:rsidR="00C1548D" w:rsidRDefault="009B1B4B">
            <w:pPr>
              <w:keepNext/>
              <w:spacing w:after="70" w:line="240" w:lineRule="auto"/>
            </w:pPr>
            <w:r>
              <w:rPr>
                <w:b/>
                <w:bCs/>
                <w:color w:val="6B7280"/>
                <w:spacing w:val="24"/>
                <w:sz w:val="16"/>
                <w:szCs w:val="16"/>
              </w:rPr>
              <w:lastRenderedPageBreak/>
              <w:t>STAND</w:t>
            </w:r>
          </w:p>
          <w:p w14:paraId="70A4F5CB" w14:textId="77777777" w:rsidR="00C1548D" w:rsidRDefault="009B1B4B">
            <w:pPr>
              <w:spacing w:after="80" w:line="264" w:lineRule="auto"/>
            </w:pPr>
            <w:r>
              <w:rPr>
                <w:sz w:val="20"/>
                <w:szCs w:val="20"/>
              </w:rPr>
              <w:t>September 2026. Diese Angaben ändern sich: genaue Term-Termine (jedes Jahr und jeder Bundesstaat neu), Schulgelder der Privatschulen und deutschen Auslandsschulen sowie die Einstufungsregeln der Bundesstaaten. Prüfe vor jeder Entscheidung die aktuellen Angaben der zuständigen Bildungsbehörde und Zielschule.</w:t>
            </w:r>
          </w:p>
        </w:tc>
      </w:tr>
    </w:tbl>
    <w:p w14:paraId="70A4F5CD" w14:textId="77777777" w:rsidR="00C1548D" w:rsidRDefault="00C1548D">
      <w:pPr>
        <w:spacing w:line="220" w:lineRule="exact"/>
      </w:pPr>
    </w:p>
    <w:p w14:paraId="70A4F5CE" w14:textId="77777777" w:rsidR="00C1548D" w:rsidRDefault="009B1B4B">
      <w:pPr>
        <w:pStyle w:val="Heading2"/>
        <w:keepNext/>
        <w:pageBreakBefore/>
        <w:jc w:val="center"/>
      </w:pPr>
      <w:bookmarkStart w:id="128" w:name="tau14"/>
      <w:bookmarkStart w:id="129" w:name="_Toc241352515"/>
      <w:r>
        <w:rPr>
          <w:rFonts w:ascii="Amazon Ember" w:eastAsia="Amazon Ember" w:hAnsi="Amazon Ember" w:cs="Amazon Ember"/>
          <w:color w:val="0000FF"/>
          <w:sz w:val="36"/>
          <w:szCs w:val="36"/>
        </w:rPr>
        <w:lastRenderedPageBreak/>
        <w:t>Australien: Arbeitswelt und Jobwechsel</w:t>
      </w:r>
      <w:bookmarkEnd w:id="128"/>
      <w:bookmarkEnd w:id="129"/>
    </w:p>
    <w:p w14:paraId="70A4F5CF" w14:textId="77777777" w:rsidR="00C1548D" w:rsidRDefault="009B1B4B">
      <w:pPr>
        <w:spacing w:after="140"/>
      </w:pPr>
      <w:r>
        <w:t>Thomas Reinhardt sitzt in seiner ersten Woche auf einer Baustelle im Melbourner Umland, als sein Vorarbeiter um Punkt fünf Uhr den Helm auf den Container legt und sagt: „Right, that’s me for today, mate.“ Kein Blick auf die halbfertige Bewehrungszeichnung, kein schlechtes Gewissen, kein „Wir müssten das eigentlich noch fertig machen“. Thomas braucht ein paar Wochen, um zu begreifen: Das ist keine Nachlässigkeit, das ist die Regel. Willkommen in einer Arbeitswelt, die entspannter wirkt, als sie ist – und die</w:t>
      </w:r>
      <w:r>
        <w:t xml:space="preserve"> eigene Fallstricke hat, sobald ein Visum am Arbeitgeber hängt.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D7"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5D0" w14:textId="77777777" w:rsidR="00C1548D" w:rsidRDefault="009B1B4B">
            <w:pPr>
              <w:keepNext/>
              <w:spacing w:after="70" w:line="240" w:lineRule="auto"/>
            </w:pPr>
            <w:r>
              <w:rPr>
                <w:b/>
                <w:bCs/>
                <w:color w:val="1F3A5F"/>
                <w:spacing w:val="24"/>
                <w:sz w:val="16"/>
                <w:szCs w:val="16"/>
              </w:rPr>
              <w:t>KURZ GESAGT</w:t>
            </w:r>
          </w:p>
          <w:p w14:paraId="70A4F5D1" w14:textId="77777777" w:rsidR="00C1548D" w:rsidRDefault="009B1B4B" w:rsidP="009B1B4B">
            <w:pPr>
              <w:pStyle w:val="ListParagraph"/>
              <w:numPr>
                <w:ilvl w:val="0"/>
                <w:numId w:val="1"/>
              </w:numPr>
              <w:spacing w:after="50" w:line="264" w:lineRule="auto"/>
            </w:pPr>
            <w:r>
              <w:rPr>
                <w:sz w:val="20"/>
                <w:szCs w:val="20"/>
              </w:rPr>
              <w:t xml:space="preserve">Der </w:t>
            </w:r>
            <w:r>
              <w:rPr>
                <w:i/>
                <w:iCs/>
                <w:sz w:val="20"/>
                <w:szCs w:val="20"/>
              </w:rPr>
              <w:t>Fair Work Act</w:t>
            </w:r>
            <w:r>
              <w:rPr>
                <w:sz w:val="20"/>
                <w:szCs w:val="20"/>
              </w:rPr>
              <w:t xml:space="preserve"> setzt mit den </w:t>
            </w:r>
            <w:r>
              <w:rPr>
                <w:i/>
                <w:iCs/>
                <w:sz w:val="20"/>
                <w:szCs w:val="20"/>
              </w:rPr>
              <w:t>National Employment Standards</w:t>
            </w:r>
            <w:r>
              <w:rPr>
                <w:sz w:val="20"/>
                <w:szCs w:val="20"/>
              </w:rPr>
              <w:t xml:space="preserve"> bundesweite Mindestansprüche: mindestens vier Wochen bezahlter Jahresurlaub, zehn Tage Krankheits- und Pflegeurlaub, gestaffelte Kündigungsfristen.</w:t>
            </w:r>
          </w:p>
          <w:p w14:paraId="70A4F5D2" w14:textId="77777777" w:rsidR="00C1548D" w:rsidRDefault="009B1B4B" w:rsidP="009B1B4B">
            <w:pPr>
              <w:pStyle w:val="ListParagraph"/>
              <w:numPr>
                <w:ilvl w:val="0"/>
                <w:numId w:val="1"/>
              </w:numPr>
              <w:spacing w:after="50" w:line="264" w:lineRule="auto"/>
            </w:pPr>
            <w:r>
              <w:rPr>
                <w:sz w:val="20"/>
                <w:szCs w:val="20"/>
              </w:rPr>
              <w:t>Ein Kündigungsschutz nach deutschem Muster existiert nicht von Anfang an: Der Schutz vor unfairer Kündigung (</w:t>
            </w:r>
            <w:r>
              <w:rPr>
                <w:i/>
                <w:iCs/>
                <w:sz w:val="20"/>
                <w:szCs w:val="20"/>
              </w:rPr>
              <w:t>Unfair Dismissal</w:t>
            </w:r>
            <w:r>
              <w:rPr>
                <w:sz w:val="20"/>
                <w:szCs w:val="20"/>
              </w:rPr>
              <w:t>) greift erst nach sechs Monaten (größere Arbeitgeber) oder zwölf Monaten (Kleinbetriebe unter 15 Beschäftigten).</w:t>
            </w:r>
          </w:p>
          <w:p w14:paraId="70A4F5D3" w14:textId="77777777" w:rsidR="00C1548D" w:rsidRDefault="009B1B4B" w:rsidP="009B1B4B">
            <w:pPr>
              <w:pStyle w:val="ListParagraph"/>
              <w:numPr>
                <w:ilvl w:val="0"/>
                <w:numId w:val="1"/>
              </w:numPr>
              <w:spacing w:after="50" w:line="264" w:lineRule="auto"/>
            </w:pPr>
            <w:r>
              <w:rPr>
                <w:sz w:val="20"/>
                <w:szCs w:val="20"/>
              </w:rPr>
              <w:t>Die Arbeitskultur ist informell und flach: Vornamen bis zur Chefetage, „mate“ für fast jeden, und seit 2024/25 sogar ein Recht auf Nichterreichbarkeit außerhalb der Arbeitszeit.</w:t>
            </w:r>
          </w:p>
          <w:p w14:paraId="70A4F5D4" w14:textId="77777777" w:rsidR="00C1548D" w:rsidRDefault="009B1B4B" w:rsidP="009B1B4B">
            <w:pPr>
              <w:pStyle w:val="ListParagraph"/>
              <w:numPr>
                <w:ilvl w:val="0"/>
                <w:numId w:val="1"/>
              </w:numPr>
              <w:spacing w:after="50" w:line="264" w:lineRule="auto"/>
            </w:pPr>
            <w:r>
              <w:rPr>
                <w:sz w:val="20"/>
                <w:szCs w:val="20"/>
              </w:rPr>
              <w:t>Beim Skilled-Visum Subclass 482 bist du an den sponsernden Arbeitgeber gebunden: Ein Wechsel braucht dessen neue Nominierung, bevor du beim neuen Betrieb anfängst.</w:t>
            </w:r>
          </w:p>
          <w:p w14:paraId="70A4F5D5" w14:textId="77777777" w:rsidR="00C1548D" w:rsidRDefault="009B1B4B" w:rsidP="009B1B4B">
            <w:pPr>
              <w:pStyle w:val="ListParagraph"/>
              <w:numPr>
                <w:ilvl w:val="0"/>
                <w:numId w:val="1"/>
              </w:numPr>
              <w:spacing w:after="50" w:line="264" w:lineRule="auto"/>
            </w:pPr>
            <w:r>
              <w:rPr>
                <w:sz w:val="20"/>
                <w:szCs w:val="20"/>
              </w:rPr>
              <w:t>Verlierst du den Job auf dem 482, bleiben seit dem 1. Juli 2024 bis zu 180 Tage am Stück, um einen neuen Sponsor zu finden – deutlich mehr als die frühere 60-Tage-Regel.</w:t>
            </w:r>
          </w:p>
          <w:p w14:paraId="70A4F5D6" w14:textId="77777777" w:rsidR="00C1548D" w:rsidRDefault="009B1B4B" w:rsidP="009B1B4B">
            <w:pPr>
              <w:pStyle w:val="ListParagraph"/>
              <w:numPr>
                <w:ilvl w:val="0"/>
                <w:numId w:val="1"/>
              </w:numPr>
              <w:spacing w:after="50" w:line="264" w:lineRule="auto"/>
            </w:pPr>
            <w:r>
              <w:rPr>
                <w:sz w:val="20"/>
                <w:szCs w:val="20"/>
              </w:rPr>
              <w:t xml:space="preserve">Netzwerken läuft über Empfehlungen und Small Talk; ein deutsches Arbeitszeugnis kennt hier niemand, gefragt sind </w:t>
            </w:r>
            <w:r>
              <w:rPr>
                <w:i/>
                <w:iCs/>
                <w:sz w:val="20"/>
                <w:szCs w:val="20"/>
              </w:rPr>
              <w:t>Referees</w:t>
            </w:r>
            <w:r>
              <w:rPr>
                <w:sz w:val="20"/>
                <w:szCs w:val="20"/>
              </w:rPr>
              <w:t xml:space="preserve"> (Referenzpersonen).</w:t>
            </w:r>
          </w:p>
        </w:tc>
      </w:tr>
    </w:tbl>
    <w:p w14:paraId="70A4F5D8" w14:textId="77777777" w:rsidR="00C1548D" w:rsidRDefault="00C1548D">
      <w:pPr>
        <w:spacing w:line="220" w:lineRule="exact"/>
      </w:pPr>
    </w:p>
    <w:p w14:paraId="70A4F5D9" w14:textId="77777777" w:rsidR="00C1548D" w:rsidRDefault="009B1B4B">
      <w:pPr>
        <w:pStyle w:val="Heading3"/>
        <w:keepNext/>
        <w:jc w:val="center"/>
      </w:pPr>
      <w:r>
        <w:rPr>
          <w:rFonts w:ascii="Amazon Ember" w:eastAsia="Amazon Ember" w:hAnsi="Amazon Ember" w:cs="Amazon Ember"/>
          <w:color w:val="0000FF"/>
          <w:sz w:val="36"/>
          <w:szCs w:val="36"/>
        </w:rPr>
        <w:lastRenderedPageBreak/>
        <w:t>Fair Work Act und National Employment Standards: die Grundlage</w:t>
      </w:r>
    </w:p>
    <w:p w14:paraId="70A4F5DA" w14:textId="77777777" w:rsidR="00C1548D" w:rsidRDefault="009B1B4B">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w14:paraId="70A4F5DB" w14:textId="77777777" w:rsidR="00C1548D" w:rsidRDefault="009B1B4B">
      <w:pPr>
        <w:spacing w:after="140"/>
      </w:pPr>
      <w:r>
        <w:t xml:space="preserve">Darüber liegen zwei weitere Ebenen. Ein </w:t>
      </w:r>
      <w:r>
        <w:rPr>
          <w:i/>
          <w:iCs/>
        </w:rPr>
        <w:t>Modern Award</w:t>
      </w:r>
      <w:r>
        <w:t xml:space="preserve"> (Branchen-Mindeststandard) legt für viele Berufsgruppen Mindestlöhne, Zuschläge und Arbeitszeitregeln fest – vergleichbar einem deutschen Tarifvertrag, nur dass er automatisch für die Branche gilt, nicht nur für Gewerkschaftsmitglieder. Ein </w:t>
      </w:r>
      <w:r>
        <w:rPr>
          <w:i/>
          <w:iCs/>
        </w:rPr>
        <w:t>Enterprise Agreement</w:t>
      </w:r>
      <w:r>
        <w:t xml:space="preserve">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w:t>
      </w:r>
      <w:r>
        <w:rPr>
          <w:i/>
          <w:iCs/>
        </w:rPr>
        <w:t>Fair Work Ombudsman</w:t>
      </w:r>
      <w:r>
        <w:t xml:space="preserve"> (Aufsichts- und Beratungsstelle, prüft Löhne und Bedingungen, fairwork.gov.au) und die </w:t>
      </w:r>
      <w:r>
        <w:rPr>
          <w:i/>
          <w:iCs/>
        </w:rPr>
        <w:t>Fair Work Commission</w:t>
      </w:r>
      <w:r>
        <w:t xml:space="preserve"> (Schlichtungsstelle und Arbeitsgericht in einem, entscheidet unter anderem über unfaire Kündigungen).</w:t>
      </w:r>
    </w:p>
    <w:p w14:paraId="70A4F5DC" w14:textId="77777777" w:rsidR="00C1548D" w:rsidRDefault="009B1B4B">
      <w:pPr>
        <w:spacing w:after="140"/>
      </w:pPr>
      <w:r>
        <w:t>Ein Betriebsrat nach deutschem Muster existiert nicht; Mitbestimmung läuft, wenn überhaupt, über Gewerkschaften und Enterprise Agreements. Dein Arbeitsvertrag (</w:t>
      </w:r>
      <w:r>
        <w:rPr>
          <w:i/>
          <w:iCs/>
        </w:rPr>
        <w:t>Employment Contract</w:t>
      </w:r>
      <w:r>
        <w:t>) sollte Grundgehalt, Wochenstunden, Award- oder Agreement-Zugehörigkeit und Probezeit (</w:t>
      </w:r>
      <w:r>
        <w:rPr>
          <w:i/>
          <w:iCs/>
        </w:rPr>
        <w:t>Probation Period</w:t>
      </w:r>
      <w:r>
        <w:t>, meist drei bis sechs Monate) klar benennen – das meiste andere ergibt sich aus NES und Award, nicht aus dem Vertragstext selbst.</w:t>
      </w:r>
    </w:p>
    <w:p w14:paraId="70A4F5DD" w14:textId="77777777" w:rsidR="00C1548D" w:rsidRDefault="009B1B4B">
      <w:pPr>
        <w:pStyle w:val="Heading3"/>
        <w:keepNext/>
        <w:jc w:val="center"/>
      </w:pPr>
      <w:r>
        <w:rPr>
          <w:rFonts w:ascii="Amazon Ember" w:eastAsia="Amazon Ember" w:hAnsi="Amazon Ember" w:cs="Amazon Ember"/>
          <w:color w:val="0000FF"/>
          <w:sz w:val="36"/>
          <w:szCs w:val="36"/>
        </w:rPr>
        <w:lastRenderedPageBreak/>
        <w:t>Urlaub, Feiertage und Krankheit</w:t>
      </w:r>
    </w:p>
    <w:p w14:paraId="70A4F5DE" w14:textId="77777777" w:rsidR="00C1548D" w:rsidRDefault="009B1B4B">
      <w:pPr>
        <w:spacing w:after="140"/>
      </w:pPr>
      <w:r>
        <w:t>Die NES garantieren mindestens vier Wochen bezahlten Jahresurlaub pro Jahr (manche Schichtarbeiter erhalten eine fünfte Woche), der von Beginn an anteilig anwächst und sich ansammelt. Manche Awards zahlen zusätzlich einen Urlaubszuschlag (</w:t>
      </w:r>
      <w:r>
        <w:rPr>
          <w:i/>
          <w:iCs/>
        </w:rPr>
        <w:t>Leave Loading</w:t>
      </w:r>
      <w:r>
        <w:t>) von häufig 17,5 % auf den Urlaubslohn – ein kleiner, oft übersehener Bonus. Dazu kommen zehn Tage bezahlter Krankheits- und Pflegeurlaub (</w:t>
      </w:r>
      <w:r>
        <w:rPr>
          <w:i/>
          <w:iCs/>
        </w:rPr>
        <w:t>Personal/Carer’s Leave</w:t>
      </w:r>
      <w:r>
        <w:t>) im Jahr, die sich ebenfalls ansammeln und nicht verfallen.</w:t>
      </w:r>
    </w:p>
    <w:p w14:paraId="70A4F5DF" w14:textId="77777777" w:rsidR="00C1548D" w:rsidRDefault="009B1B4B">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w14:paraId="70A4F5E0" w14:textId="77777777" w:rsidR="00C1548D" w:rsidRDefault="009B1B4B">
      <w:pPr>
        <w:spacing w:after="140"/>
      </w:pPr>
      <w:r>
        <w:t>Feiertage sind Landessache: Sieben nationale Feiertage (u. a. Neujahr, Australia Day, Karfreitag, Ostermontag, Anzac Day, Weihnachten, zweiter Weihnachtsfeiertag) gelten überall, jeder Bundesstaat und jedes Territorium fügt ein bis drei eigene hinzu – macht je nach Wohnort neun bis elf Feiertage im Jahr, spürbar weniger als die 9 bis 13 vieler deutscher Bundesländer. Fällt ein Feiertag in deinen Jahresurlaub, wird der Tag als Feiertag und nicht als Urlaubstag gezählt; dein Urlaubskonto bleibt unberührt.</w:t>
      </w:r>
    </w:p>
    <w:p w14:paraId="70A4F5E1" w14:textId="77777777" w:rsidR="00C1548D" w:rsidRDefault="009B1B4B">
      <w:pPr>
        <w:spacing w:after="140"/>
      </w:pPr>
      <w:r>
        <w:t xml:space="preserve">Bei befristeter Anstellung als </w:t>
      </w:r>
      <w:r>
        <w:rPr>
          <w:i/>
          <w:iCs/>
        </w:rPr>
        <w:t>Casual Employee</w:t>
      </w:r>
      <w:r>
        <w:t xml:space="preserve"> (Aushilfskraft ohne feste Wochenstunden, verbreitet bei Working-Holiday-Jobs) entfallen Urlaubs- und Krankheitsanspruch; dafür kommt ein Zuschlag von meist 25 % auf den Stundenlohn (</w:t>
      </w:r>
      <w:r>
        <w:rPr>
          <w:i/>
          <w:iCs/>
        </w:rPr>
        <w:t>Casual Loading</w:t>
      </w:r>
      <w:r>
        <w:t>) obendrauf. Für Elternzeit gibt es neben einem knappen bundesstaatlichen Programm (</w:t>
      </w:r>
      <w:r>
        <w:rPr>
          <w:i/>
          <w:iCs/>
        </w:rPr>
        <w:t>Paid Parental Leave</w:t>
      </w:r>
      <w:r>
        <w:t xml:space="preserve">) oft zusätzliche, freiwillige Arbeitgeberregelungen – deutlich schmaler als das </w:t>
      </w:r>
      <w:r>
        <w:lastRenderedPageBreak/>
        <w:t>deutsche Elterngeld, und ein Thema, das sich lohnt, schon im Vorstellungsgespräch anzusprechen.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E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5E2" w14:textId="77777777" w:rsidR="00C1548D" w:rsidRDefault="009B1B4B">
            <w:pPr>
              <w:keepNext/>
              <w:spacing w:after="70" w:line="240" w:lineRule="auto"/>
            </w:pPr>
            <w:r>
              <w:rPr>
                <w:b/>
                <w:bCs/>
                <w:color w:val="9B2C2C"/>
                <w:spacing w:val="24"/>
                <w:sz w:val="16"/>
                <w:szCs w:val="16"/>
              </w:rPr>
              <w:t>ACHTUNG</w:t>
            </w:r>
          </w:p>
          <w:p w14:paraId="70A4F5E3" w14:textId="77777777" w:rsidR="00C1548D" w:rsidRDefault="009B1B4B">
            <w:pPr>
              <w:spacing w:after="80" w:line="264" w:lineRule="auto"/>
            </w:pPr>
            <w:r>
              <w:rPr>
                <w:sz w:val="20"/>
                <w:szCs w:val="20"/>
              </w:rPr>
              <w:t>Vier Wochen Urlaub sind das gesetzliche Minimum, nicht die Norm nach oben. Verhandle bei Führungspositionen oder gefragten Berufen ruhig mehr – viele Arbeitgeber gewähren es, ohne dass es im Award steht, wenn du danach fragst.</w:t>
            </w:r>
          </w:p>
        </w:tc>
      </w:tr>
    </w:tbl>
    <w:p w14:paraId="70A4F5E5" w14:textId="77777777" w:rsidR="00C1548D" w:rsidRDefault="00C1548D">
      <w:pPr>
        <w:spacing w:line="220" w:lineRule="exact"/>
      </w:pPr>
    </w:p>
    <w:p w14:paraId="70A4F5E6" w14:textId="77777777" w:rsidR="00C1548D" w:rsidRDefault="009B1B4B">
      <w:pPr>
        <w:pStyle w:val="Heading3"/>
        <w:keepNext/>
        <w:jc w:val="center"/>
      </w:pPr>
      <w:r>
        <w:rPr>
          <w:rFonts w:ascii="Amazon Ember" w:eastAsia="Amazon Ember" w:hAnsi="Amazon Ember" w:cs="Amazon Ember"/>
          <w:color w:val="0000FF"/>
          <w:sz w:val="36"/>
          <w:szCs w:val="36"/>
        </w:rPr>
        <w:t>Kündigungsschutz: Fristen, Unfair Dismissal und Redundancy</w:t>
      </w:r>
    </w:p>
    <w:p w14:paraId="70A4F5E7" w14:textId="77777777" w:rsidR="00C1548D" w:rsidRDefault="009B1B4B">
      <w:pPr>
        <w:spacing w:after="140"/>
      </w:pPr>
      <w:r>
        <w:t>Ein Kündigungsschutzgesetz wie in Deutschland, das ab dem ersten Tag nach der Probezeit greift, gibt es nicht. Stattdessen kennt der Fair Work Act den Schutz vor unfairer Kündigung (</w:t>
      </w:r>
      <w:r>
        <w:rPr>
          <w:i/>
          <w:iCs/>
        </w:rPr>
        <w:t>Unfair Dismissal</w:t>
      </w:r>
      <w:r>
        <w:t>) – aber erst nach einer Mindestbeschäftigungszeit (</w:t>
      </w:r>
      <w:r>
        <w:rPr>
          <w:i/>
          <w:iCs/>
        </w:rPr>
        <w:t>Minimum Employment Period</w:t>
      </w:r>
      <w:r>
        <w:t>): sechs Monate bei Arbeitgebern mit 15 oder mehr Beschäftigten, zwölf Monate bei Kleinbetrieben (</w:t>
      </w:r>
      <w:r>
        <w:rPr>
          <w:i/>
          <w:iCs/>
        </w:rPr>
        <w:t>Small Business</w:t>
      </w:r>
      <w:r>
        <w:t xml:space="preserve">, unter 15 Beschäftigten). Bei Kleinbetrieben genügt es zudem, wenn der Arbeitgeber den </w:t>
      </w:r>
      <w:r>
        <w:rPr>
          <w:i/>
          <w:iCs/>
        </w:rPr>
        <w:t>Small Business Fair Dismissal Code</w:t>
      </w:r>
      <w:r>
        <w:t xml:space="preserve"> (einen behördlichen Verhaltenskodex für faire Kündigungen) redlich befolgt hat – dann gilt die Kündigung automatisch als fair.</w:t>
      </w:r>
    </w:p>
    <w:p w14:paraId="70A4F5E8" w14:textId="77777777" w:rsidR="00C1548D" w:rsidRDefault="009B1B4B">
      <w:pPr>
        <w:spacing w:after="140"/>
      </w:pPr>
      <w:r>
        <w:t>Verbreiteter Irrtum: Man könnte meinen, kleine Betriebe seien in Australien komplett vom Kündigungsschutz ausgenommen, wie das deutsche Kündigungsschutzgesetz Betriebe mit zehn oder weniger Beschäftigten ganz ausnimmt. Tatsächlich ist es umgekehrt gelöst: Der Schutz gilt grundsätzlich überall, nur die Wartezeit ist beim Kleinbetrieb länger. Wer die Mindestzeit erreicht hat, kann bei der Fair Work Commission binnen 21 Tagen nach der Kündigung Beschwerde einlegen – eine kurze Frist, die man sich merken sollte</w:t>
      </w:r>
      <w:r>
        <w:t>. Der Schutz gilt außerdem nur unterhalb einer Einkommensschwelle (</w:t>
      </w:r>
      <w:r>
        <w:rPr>
          <w:i/>
          <w:iCs/>
        </w:rPr>
        <w:t>High Income Threshold</w:t>
      </w:r>
      <w:r>
        <w:t>, ab dem 1. Juli 2026: 190.100 AUD im Jahr), außer ein Award oder Agreement deckt die Stelle trotzdem ab.</w:t>
      </w:r>
    </w:p>
    <w:p w14:paraId="70A4F5E9" w14:textId="77777777" w:rsidR="00C1548D" w:rsidRDefault="009B1B4B">
      <w:pPr>
        <w:spacing w:after="140"/>
      </w:pPr>
      <w:r>
        <w:lastRenderedPageBreak/>
        <w:t>Die Kündigungsfristen (</w:t>
      </w:r>
      <w:r>
        <w:rPr>
          <w:i/>
          <w:iCs/>
        </w:rPr>
        <w:t>Notice of Termination</w:t>
      </w:r>
      <w:r>
        <w:t>) aus den NES sind gestaffelt: eine Woche bei unter einem Jahr Betriebszugehörigkeit, zwei Wochen bei ein bis drei Jahren, drei Wochen bei drei bis fünf Jahren, vier Wochen ab fünf Jahren – wer über 45 ist und mindestens zwei Jahre dabei war, bekommt eine zusätzliche Woche. Bei betriebsbedingter Kündigung (</w:t>
      </w:r>
      <w:r>
        <w:rPr>
          <w:i/>
          <w:iCs/>
        </w:rPr>
        <w:t>Redundancy</w:t>
      </w:r>
      <w:r>
        <w:t>) kommt eine gestaffelte Abfindung (</w:t>
      </w:r>
      <w:r>
        <w:rPr>
          <w:i/>
          <w:iCs/>
        </w:rPr>
        <w:t>Redundancy Pay</w:t>
      </w:r>
      <w:r>
        <w:t>) hinzu, von vier Wochen ab einem Jahr Betriebszugehörigkeit bis zu 16 Wochen ab neun Jahren – Kleinbetriebe unter 15 Beschäftigten sind davon allerdings befreit. Bei grobem Fehlverhalten (</w:t>
      </w:r>
      <w:r>
        <w:rPr>
          <w:i/>
          <w:iCs/>
        </w:rPr>
        <w:t>Serious Misconduct</w:t>
      </w:r>
      <w:r>
        <w:t>, etwa Diebstahl oder Gewalt) kann fristlos gekündigt werden, ohne Frist und ohne Abfindung.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E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5EA" w14:textId="77777777" w:rsidR="00C1548D" w:rsidRDefault="009B1B4B">
            <w:pPr>
              <w:keepNext/>
              <w:spacing w:after="70" w:line="240" w:lineRule="auto"/>
            </w:pPr>
            <w:r>
              <w:rPr>
                <w:b/>
                <w:bCs/>
                <w:color w:val="6B7280"/>
                <w:spacing w:val="24"/>
                <w:sz w:val="16"/>
                <w:szCs w:val="16"/>
              </w:rPr>
              <w:t>KEIN RECHTSRAT</w:t>
            </w:r>
          </w:p>
          <w:p w14:paraId="70A4F5EB" w14:textId="77777777" w:rsidR="00C1548D" w:rsidRDefault="009B1B4B">
            <w:pPr>
              <w:spacing w:after="80" w:line="264" w:lineRule="auto"/>
            </w:pPr>
            <w:r>
              <w:rPr>
                <w:sz w:val="20"/>
                <w:szCs w:val="20"/>
              </w:rPr>
              <w:t>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tc>
      </w:tr>
    </w:tbl>
    <w:p w14:paraId="70A4F5ED" w14:textId="77777777" w:rsidR="00C1548D" w:rsidRDefault="00C1548D">
      <w:pPr>
        <w:spacing w:line="220" w:lineRule="exact"/>
      </w:pPr>
    </w:p>
    <w:p w14:paraId="70A4F5EE" w14:textId="77777777" w:rsidR="00C1548D" w:rsidRDefault="009B1B4B">
      <w:pPr>
        <w:pStyle w:val="Heading3"/>
        <w:keepNext/>
        <w:jc w:val="center"/>
      </w:pPr>
      <w:r>
        <w:rPr>
          <w:rFonts w:ascii="Amazon Ember" w:eastAsia="Amazon Ember" w:hAnsi="Amazon Ember" w:cs="Amazon Ember"/>
          <w:color w:val="0000FF"/>
          <w:sz w:val="36"/>
          <w:szCs w:val="36"/>
        </w:rPr>
        <w:t>Arbeitszeit und das Recht auf Feierabend</w:t>
      </w:r>
    </w:p>
    <w:p w14:paraId="70A4F5EF" w14:textId="77777777" w:rsidR="00C1548D" w:rsidRDefault="009B1B4B">
      <w:pPr>
        <w:spacing w:after="140"/>
      </w:pPr>
      <w:r>
        <w:t>Die NES setzen die Standardwoche für Vollzeit auf 38 Stunden (</w:t>
      </w:r>
      <w:r>
        <w:rPr>
          <w:i/>
          <w:iCs/>
        </w:rPr>
        <w:t>Ordinary Hours</w:t>
      </w:r>
      <w:r>
        <w:t>), zuzüglich „angemessener“ Mehrarbeit, wenn betrieblich nötig. Was angemessen ist, hängt von Award, Gesundheit, familiären Pflichten und Ankündigungsfrist ab – im Zweifel darfst du unangemessene Mehrarbeit ablehnen. Überstunden- und Schichtzuschläge regelt meist der jeweilige Award, nicht ein Bundesgesetz.</w:t>
      </w:r>
    </w:p>
    <w:p w14:paraId="70A4F5F0" w14:textId="77777777" w:rsidR="00C1548D" w:rsidRDefault="009B1B4B">
      <w:pPr>
        <w:spacing w:after="140"/>
      </w:pPr>
      <w:r>
        <w:t>Seit dem 26. August 2024 gilt für größere Arbeitgeber, seit dem 26. August 2025 auch für Kleinbetriebe ein Recht auf Nichterreichbarkeit (</w:t>
      </w:r>
      <w:r>
        <w:rPr>
          <w:i/>
          <w:iCs/>
        </w:rPr>
        <w:t>Right to Disconnect</w:t>
      </w:r>
      <w:r>
        <w:t xml:space="preserve">): Du darfst Kontaktversuche außerhalb der Arbeitszeit ablehnen, sofern das </w:t>
      </w:r>
      <w:r>
        <w:lastRenderedPageBreak/>
        <w:t>nicht unangemessen ist. Nach den Kapiteln zu den USA in diesem Buch mag das nach einer Selbstverständlichkeit klingen – ist es in Australien aber nicht ganz: Das Recht ist neu, viele Arbeitgeber und Beschäftigte kennen die Details noch nicht, und „unangemessen“ ist Auslegungssache. Praktisch bleibt es klug, im Team offen zu klären, was von dir nach Feierabend erwartet wird, statt sich auf ein Gesetz zu verlassen, das noch niemand ge</w:t>
      </w:r>
      <w:r>
        <w:t>testet hat.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F3"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5F1" w14:textId="77777777" w:rsidR="00C1548D" w:rsidRDefault="009B1B4B">
            <w:pPr>
              <w:keepNext/>
              <w:spacing w:after="70" w:line="240" w:lineRule="auto"/>
            </w:pPr>
            <w:r>
              <w:rPr>
                <w:b/>
                <w:bCs/>
                <w:color w:val="8A6212"/>
                <w:spacing w:val="24"/>
                <w:sz w:val="16"/>
                <w:szCs w:val="16"/>
              </w:rPr>
              <w:t>MERKE</w:t>
            </w:r>
          </w:p>
          <w:p w14:paraId="70A4F5F2" w14:textId="77777777" w:rsidR="00C1548D" w:rsidRDefault="009B1B4B">
            <w:pPr>
              <w:spacing w:after="80" w:line="264" w:lineRule="auto"/>
            </w:pPr>
            <w:r>
              <w:rPr>
                <w:sz w:val="20"/>
                <w:szCs w:val="20"/>
              </w:rPr>
              <w:t>Dass ein Kollege um fünf den Stift fallen lässt, ist in Australien kein Zeichen von Desinteresse, sondern von Selbstverständlichkeit. Wer selbst länger bleibt, weil es in Deutschland so gehört, wird eher komisch angeschaut als gelobt.</w:t>
            </w:r>
          </w:p>
        </w:tc>
      </w:tr>
    </w:tbl>
    <w:p w14:paraId="70A4F5F4" w14:textId="77777777" w:rsidR="00C1548D" w:rsidRDefault="00C1548D">
      <w:pPr>
        <w:spacing w:line="220" w:lineRule="exact"/>
      </w:pPr>
    </w:p>
    <w:p w14:paraId="70A4F5F5" w14:textId="77777777" w:rsidR="00C1548D" w:rsidRDefault="009B1B4B">
      <w:pPr>
        <w:pStyle w:val="Heading3"/>
        <w:keepNext/>
        <w:jc w:val="center"/>
      </w:pPr>
      <w:r>
        <w:rPr>
          <w:rFonts w:ascii="Amazon Ember" w:eastAsia="Amazon Ember" w:hAnsi="Amazon Ember" w:cs="Amazon Ember"/>
          <w:color w:val="0000FF"/>
          <w:sz w:val="36"/>
          <w:szCs w:val="36"/>
        </w:rPr>
        <w:t>Netzwerken, Umgangston und Bewerbungskultur</w:t>
      </w:r>
    </w:p>
    <w:p w14:paraId="70A4F5F6" w14:textId="77777777" w:rsidR="00C1548D" w:rsidRDefault="009B1B4B">
      <w:pPr>
        <w:spacing w:after="140"/>
      </w:pPr>
      <w:r>
        <w:t>Im australischen Büro zählt der Vorname, auch beim Geschäftsführer; Titel wie „Dipl.-Ing.“ tauchen in der E-Mail-Signatur allenfalls in akademischen Berufen auf. „Mate“ ist keine Vertraulichkeit, sondern eine Standardfloskel, die für Kollegen, Kunden und gelegentlich auch für den eigenen Hund verwendet wird. Der Ton ist informell, direkte Kritik wird meist in beiläufigem Understatement verpackt: „Not a bad effort“ kann tatsächlich Lob bedeuten, „yeah, nah“ heißt in aller Regel Nein. Wer aus Deutschland gewo</w:t>
      </w:r>
      <w:r>
        <w:t>hnt ist, Dinge beim Namen zu nennen, braucht ein paar Wochen, um diese Zwischentöne zu entschlüsseln – und findet sich dabei gelegentlich in Gesprächen wieder, in denen er nicht ganz sicher ist, ob er gerade zugestimmt oder abgelehnt wurde.</w:t>
      </w:r>
    </w:p>
    <w:p w14:paraId="70A4F5F7" w14:textId="77777777" w:rsidR="00C1548D" w:rsidRDefault="009B1B4B">
      <w:pPr>
        <w:spacing w:after="140"/>
      </w:pPr>
      <w:r>
        <w:t xml:space="preserve">Ein Arbeitszeugnis wie in Deutschland gibt es nicht. Stattdessen nennst du gegen Ende eines Bewerbungsverfahrens zwei bis drei </w:t>
      </w:r>
      <w:r>
        <w:rPr>
          <w:i/>
          <w:iCs/>
        </w:rPr>
        <w:t>Referees</w:t>
      </w:r>
      <w:r>
        <w:t xml:space="preserve"> (Referenzpersonen, meist frühere Vorgesetzte), die der neue Arbeitgeber anruft. Bewerbungen laufen überwiegend über </w:t>
      </w:r>
      <w:r>
        <w:lastRenderedPageBreak/>
        <w:t>Online-Jobbörsen und LinkedIn; ein knappes, ergebnisorientiertes Resume ohne Foto ist Standard, ähnlich dem US-Format. Viele Stellen werden über persönliche Empfehlungen besetzt, nicht über offene Ausschreibungen – Networking über Berufsverbände, ehemalige Studienkollegen und informelle Treffen ist deshalb mehr als Höflichkeit, es ist Jobsuche.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5FA"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5F8" w14:textId="77777777" w:rsidR="00C1548D" w:rsidRDefault="009B1B4B">
            <w:pPr>
              <w:keepNext/>
              <w:spacing w:after="70" w:line="240" w:lineRule="auto"/>
            </w:pPr>
            <w:r>
              <w:rPr>
                <w:b/>
                <w:bCs/>
                <w:color w:val="2F6B3B"/>
                <w:spacing w:val="24"/>
                <w:sz w:val="16"/>
                <w:szCs w:val="16"/>
              </w:rPr>
              <w:t>SPARTIPP</w:t>
            </w:r>
          </w:p>
          <w:p w14:paraId="70A4F5F9" w14:textId="77777777" w:rsidR="00C1548D" w:rsidRDefault="009B1B4B">
            <w:pPr>
              <w:spacing w:after="80" w:line="264" w:lineRule="auto"/>
            </w:pPr>
            <w:r>
              <w:rPr>
                <w:sz w:val="20"/>
                <w:szCs w:val="20"/>
              </w:rPr>
              <w:t>Die Fair Work Ombudsman bietet kostenlose telefonische und Online-Beratung zu Löhnen, Verträgen und Kündigungsfristen (fairwork.gov.au, 13 13 94) – bevor du für eine Ersteinschätzung einen Anwalt bezahlst, lohnt sich dieser Anruf.</w:t>
            </w:r>
          </w:p>
        </w:tc>
      </w:tr>
    </w:tbl>
    <w:p w14:paraId="70A4F5FB" w14:textId="77777777" w:rsidR="00C1548D" w:rsidRDefault="00C1548D">
      <w:pPr>
        <w:spacing w:line="220" w:lineRule="exact"/>
      </w:pPr>
    </w:p>
    <w:p w14:paraId="70A4F5FC" w14:textId="77777777" w:rsidR="00C1548D" w:rsidRDefault="009B1B4B">
      <w:pPr>
        <w:pStyle w:val="Heading3"/>
        <w:keepNext/>
        <w:jc w:val="center"/>
      </w:pPr>
      <w:r>
        <w:rPr>
          <w:rFonts w:ascii="Amazon Ember" w:eastAsia="Amazon Ember" w:hAnsi="Amazon Ember" w:cs="Amazon Ember"/>
          <w:color w:val="0000FF"/>
          <w:sz w:val="36"/>
          <w:szCs w:val="36"/>
        </w:rPr>
        <w:t>Jobwechsel mit Skilled-Visum: was das Sponsoring bedeutet</w:t>
      </w:r>
    </w:p>
    <w:p w14:paraId="70A4F5FD" w14:textId="77777777" w:rsidR="00C1548D" w:rsidRDefault="009B1B4B">
      <w:pPr>
        <w:spacing w:after="140"/>
      </w:pPr>
      <w:r>
        <w:t xml:space="preserve">Wie frei du den Arbeitgeber wechseln kannst, hängt vom Visumtyp ab. Wer über den Punktetest ein </w:t>
      </w:r>
      <w:r>
        <w:rPr>
          <w:i/>
          <w:iCs/>
        </w:rPr>
        <w:t>Skilled Independent Visa</w:t>
      </w:r>
      <w:r>
        <w:t xml:space="preserve"> (Subclass 189) oder ein </w:t>
      </w:r>
      <w:r>
        <w:rPr>
          <w:i/>
          <w:iCs/>
        </w:rPr>
        <w:t>Skilled Nominated Visa</w:t>
      </w:r>
      <w:r>
        <w:t xml:space="preserve"> (Subclass 190) hält, ist an keinen Arbeitgeber gebunden und kann den Job so oft wechseln wie ein Staatsbürger – beim Subclass 190 lediglich mit der Auflage, mindestens zwei Jahre im nominierenden Bundesstaat wohnen zu bleiben. Familie Reinhardt, mit Subclass 189 nach Melbourne gezogen, könnte also morgen kündigen und übermorgen bei einem anderen Arbeitgeber anfangen, ohne die Einwanderungsbehörde einzuschalten.</w:t>
      </w:r>
    </w:p>
    <w:p w14:paraId="70A4F5FE" w14:textId="77777777" w:rsidR="00C1548D" w:rsidRDefault="009B1B4B">
      <w:pPr>
        <w:spacing w:after="140"/>
      </w:pPr>
      <w:r>
        <w:t xml:space="preserve">Anders beim </w:t>
      </w:r>
      <w:r>
        <w:rPr>
          <w:i/>
          <w:iCs/>
        </w:rPr>
        <w:t>Skills in Demand Visa</w:t>
      </w:r>
      <w:r>
        <w:t xml:space="preserve">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w:t>
      </w:r>
      <w:r>
        <w:lastRenderedPageBreak/>
        <w:t>aber erst anfangen, wenn diese Nominierung genehmigt ist. Wer vorher anfängt, verstößt gegen seine Visumbedingungen – mit Ri</w:t>
      </w:r>
      <w:r>
        <w:t>siko für Visum und den neuen Arbeitgeber gleichermaßen.</w:t>
      </w:r>
    </w:p>
    <w:p w14:paraId="70A4F5FF" w14:textId="77777777" w:rsidR="00C1548D" w:rsidRDefault="009B1B4B">
      <w:pPr>
        <w:spacing w:after="140"/>
      </w:pPr>
      <w:r>
        <w:t>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 ein deutlich größeres Sicherheitsnetz, das dir Zeit für eine gründliche Jobsuche statt einer Panikreaktion gibt. Nach zwei Jahren beim s</w:t>
      </w:r>
      <w:r>
        <w:t xml:space="preserve">elben 482-Sponsor führt häufig ein Weg über das </w:t>
      </w:r>
      <w:r>
        <w:rPr>
          <w:i/>
          <w:iCs/>
        </w:rPr>
        <w:t>Employer Nomination Scheme</w:t>
      </w:r>
      <w:r>
        <w:t xml:space="preserve"> (Subclass 186) zur unbefristeten Aufenthaltserlaubnis; auch das beendet die Bindung an einen einzelnen Arbeitgeber.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0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600" w14:textId="77777777" w:rsidR="00C1548D" w:rsidRDefault="009B1B4B">
            <w:pPr>
              <w:keepNext/>
              <w:spacing w:after="70" w:line="240" w:lineRule="auto"/>
            </w:pPr>
            <w:r>
              <w:rPr>
                <w:b/>
                <w:bCs/>
                <w:color w:val="9B2C2C"/>
                <w:spacing w:val="24"/>
                <w:sz w:val="16"/>
                <w:szCs w:val="16"/>
              </w:rPr>
              <w:t>ACHTUNG</w:t>
            </w:r>
          </w:p>
          <w:p w14:paraId="70A4F601" w14:textId="77777777" w:rsidR="00C1548D" w:rsidRDefault="009B1B4B">
            <w:pPr>
              <w:spacing w:after="80" w:line="264" w:lineRule="auto"/>
            </w:pPr>
            <w:r>
              <w:rPr>
                <w:sz w:val="20"/>
                <w:szCs w:val="20"/>
              </w:rPr>
              <w:t>Kündige beim 482 nie, bevor der neue Arbeitgeber die Nominierung eingereicht hat, und arbeite nie „auf Zuruf“ schon vorab mit. Kläre außerdem, wer die Nominierungsgebühr und die Skilling-Australians-Fund-Abgabe des neuen Arbeitgebers trägt – das ist Verhandlungssache, nicht Gesetz.</w:t>
            </w:r>
          </w:p>
        </w:tc>
      </w:tr>
    </w:tbl>
    <w:p w14:paraId="70A4F603"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06"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604" w14:textId="77777777" w:rsidR="00C1548D" w:rsidRDefault="009B1B4B">
            <w:pPr>
              <w:keepNext/>
              <w:spacing w:after="70" w:line="240" w:lineRule="auto"/>
            </w:pPr>
            <w:r>
              <w:rPr>
                <w:b/>
                <w:bCs/>
                <w:color w:val="4A5568"/>
                <w:spacing w:val="24"/>
                <w:sz w:val="16"/>
                <w:szCs w:val="16"/>
              </w:rPr>
              <w:lastRenderedPageBreak/>
              <w:t>PRAXISBEISPIEL · FIKTIV</w:t>
            </w:r>
          </w:p>
          <w:p w14:paraId="70A4F605" w14:textId="77777777" w:rsidR="00C1548D" w:rsidRDefault="009B1B4B">
            <w:pPr>
              <w:spacing w:after="80" w:line="264" w:lineRule="auto"/>
            </w:pPr>
            <w:r>
              <w:rPr>
                <w:sz w:val="20"/>
                <w:szCs w:val="20"/>
              </w:rPr>
              <w:t xml:space="preserve">Nina Voss (fiktives Beispiel) jobbt seit einem halben Jahr mit ihrem Working-Holiday-Visum in einer Sydney-Marketingagentur, zunächst als </w:t>
            </w:r>
            <w:r>
              <w:rPr>
                <w:i/>
                <w:iCs/>
                <w:sz w:val="20"/>
                <w:szCs w:val="20"/>
              </w:rPr>
              <w:t>Casual Employee</w:t>
            </w:r>
            <w:r>
              <w:rPr>
                <w:sz w:val="20"/>
                <w:szCs w:val="20"/>
              </w:rPr>
              <w:t xml:space="preserve"> mit 25 % Lohnzuschlag statt Urlaubsanspruch. Als ihre Chefin ihr anbietet, sie fest zu übernehmen und für ein Skilled-Visum zu sponsern, ist Nina zuerst erleichtert – bis der Einwanderungsberater der Agentur erklärt, dass sie nicht einfach am Montag als Festangestellte weiterarbeiten kann. Erst muss die Agentur eine Nominierung einreichen und genehmigt bekommen; bis dahin bleibt Nina bei ihren Working-Holiday-Bedingungen. Es dauert acht Wochen, in denen Nina übergangsweise reduziert weiterarbeitet und Gedu</w:t>
            </w:r>
            <w:r>
              <w:rPr>
                <w:sz w:val="20"/>
                <w:szCs w:val="20"/>
              </w:rPr>
              <w:t>ld übt – „yeah, nah, noch nicht“, sagt ihre Chefin jedes Mal, wenn Nina fragt, ob es schon so weit ist. Als die Nominierung endlich genehmigt ist, beginnt ihr neuer Vertrag mit vier Wochen Urlaub, zehn Tagen Krankheitsurlaub und, zum ersten Mal, einer Pensionskasseneinzahlung.</w:t>
            </w:r>
          </w:p>
        </w:tc>
      </w:tr>
    </w:tbl>
    <w:p w14:paraId="70A4F607" w14:textId="77777777" w:rsidR="00C1548D" w:rsidRDefault="00C1548D">
      <w:pPr>
        <w:spacing w:line="220" w:lineRule="exact"/>
      </w:pPr>
    </w:p>
    <w:p w14:paraId="70A4F608" w14:textId="77777777" w:rsidR="00C1548D" w:rsidRDefault="009B1B4B">
      <w:pPr>
        <w:pStyle w:val="Heading3"/>
        <w:keepNext/>
        <w:jc w:val="center"/>
      </w:pPr>
      <w:r>
        <w:rPr>
          <w:rFonts w:ascii="Amazon Ember" w:eastAsia="Amazon Ember" w:hAnsi="Amazon Ember" w:cs="Amazon Ember"/>
          <w:color w:val="0000FF"/>
          <w:sz w:val="36"/>
          <w:szCs w:val="36"/>
        </w:rPr>
        <w:t>Gehalt, Superannuation und Verhandlung</w:t>
      </w:r>
    </w:p>
    <w:p w14:paraId="70A4F609" w14:textId="77777777" w:rsidR="00C1548D" w:rsidRDefault="009B1B4B">
      <w:pPr>
        <w:spacing w:after="140"/>
      </w:pPr>
      <w:r>
        <w:t xml:space="preserve">Stellenanzeigen nennen ein Jahresgehalt „plus Super“ – gemeint ist die </w:t>
      </w:r>
      <w:r>
        <w:rPr>
          <w:i/>
          <w:iCs/>
        </w:rPr>
        <w:t>Superannuation Guarantee</w:t>
      </w:r>
      <w:r>
        <w:t xml:space="preserve"> (gesetzliche Pflicht-Altersvorsorge), die der Arbeitgeber zusätzlich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beziehungsweise 1.004,90 AUD für eine 38-Stunden-Woche; die </w:t>
      </w:r>
      <w:r>
        <w:t>meisten Fach- und Führungspositionen liegen darüber, orientiert an Award oder Markt.</w:t>
      </w:r>
    </w:p>
    <w:p w14:paraId="70A4F60A" w14:textId="77777777" w:rsidR="00C1548D" w:rsidRDefault="009B1B4B">
      <w:pPr>
        <w:spacing w:after="140"/>
      </w:pPr>
      <w:r>
        <w:t xml:space="preserve">Gehaltsverhandlungen sind, ähnlich wie in den USA-Kapiteln dieses Buches beschrieben, üblich und erwartet – nur eben im typisch australischen Understatement-Ton statt mit US-amerikanischer Direktheit. Frage nach der Gehaltsspanne, bevor du selbst eine Zahl </w:t>
      </w:r>
      <w:r>
        <w:lastRenderedPageBreak/>
        <w:t>nennst, und sprich Zusatzleistungen wie Homeoffice-Tage, zusätzlichen Urlaub oder einen höheren Super-Satz aktiv an – viele Arbeitgeber haben hier mehr Spielraum als beim Grundgehalt.</w:t>
      </w:r>
    </w:p>
    <w:p w14:paraId="70A4F60B"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60E"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60C"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60D" w14:textId="77777777" w:rsidR="00C1548D" w:rsidRDefault="009B1B4B">
            <w:pPr>
              <w:spacing w:line="250" w:lineRule="auto"/>
            </w:pPr>
            <w:r>
              <w:rPr>
                <w:b/>
                <w:bCs/>
                <w:sz w:val="18"/>
                <w:szCs w:val="18"/>
              </w:rPr>
              <w:t>Minus</w:t>
            </w:r>
          </w:p>
        </w:tc>
      </w:tr>
      <w:tr w:rsidR="00C1548D" w14:paraId="70A4F61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0F" w14:textId="77777777" w:rsidR="00C1548D" w:rsidRDefault="009B1B4B">
            <w:pPr>
              <w:spacing w:line="250" w:lineRule="auto"/>
            </w:pPr>
            <w:r>
              <w:rPr>
                <w:sz w:val="18"/>
                <w:szCs w:val="18"/>
              </w:rPr>
              <w:t>Vier Wochen Urlaub und zehn Tage Krankheitsurlaub sind gesetzlich garantiert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10" w14:textId="77777777" w:rsidR="00C1548D" w:rsidRDefault="009B1B4B">
            <w:pPr>
              <w:spacing w:line="250" w:lineRule="auto"/>
            </w:pPr>
            <w:r>
              <w:rPr>
                <w:sz w:val="18"/>
                <w:szCs w:val="18"/>
              </w:rPr>
              <w:t>Kein 13. Gehalt, kein tariflicher Urlaub von 25 bis 30 Tagen wie oft in Deutschland</w:t>
            </w:r>
          </w:p>
        </w:tc>
      </w:tr>
      <w:tr w:rsidR="00C1548D" w14:paraId="70A4F61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12" w14:textId="77777777" w:rsidR="00C1548D" w:rsidRDefault="009B1B4B">
            <w:pPr>
              <w:spacing w:line="250" w:lineRule="auto"/>
            </w:pPr>
            <w:r>
              <w:rPr>
                <w:sz w:val="18"/>
                <w:szCs w:val="18"/>
              </w:rPr>
              <w:t>Flache Hierarchien, entspannter Umgangston, seit 2024/25 ein Recht auf Nichterreichbarkeit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13" w14:textId="77777777" w:rsidR="00C1548D" w:rsidRDefault="009B1B4B">
            <w:pPr>
              <w:spacing w:line="250" w:lineRule="auto"/>
            </w:pPr>
            <w:r>
              <w:rPr>
                <w:sz w:val="18"/>
                <w:szCs w:val="18"/>
              </w:rPr>
              <w:t>Beim 482-Visum bist du an einen einzelnen Arbeitgeber gebunden</w:t>
            </w:r>
          </w:p>
        </w:tc>
      </w:tr>
      <w:tr w:rsidR="00C1548D" w14:paraId="70A4F61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15" w14:textId="77777777" w:rsidR="00C1548D" w:rsidRDefault="009B1B4B">
            <w:pPr>
              <w:spacing w:line="250" w:lineRule="auto"/>
            </w:pPr>
            <w:r>
              <w:rPr>
                <w:sz w:val="18"/>
                <w:szCs w:val="18"/>
              </w:rPr>
              <w:t>180-Tage-Sicherheitsnetz bei Jobverlust seit 1. Juli 2024, früher nur 60 Tage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16" w14:textId="77777777" w:rsidR="00C1548D" w:rsidRDefault="009B1B4B">
            <w:pPr>
              <w:spacing w:line="250" w:lineRule="auto"/>
            </w:pPr>
            <w:r>
              <w:rPr>
                <w:sz w:val="18"/>
                <w:szCs w:val="18"/>
              </w:rPr>
              <w:t>Unfair-Dismissal-Schutz greift erst nach sechs bis zwölf Monaten</w:t>
            </w:r>
          </w:p>
        </w:tc>
      </w:tr>
      <w:tr w:rsidR="00C1548D" w14:paraId="70A4F61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18" w14:textId="77777777" w:rsidR="00C1548D" w:rsidRDefault="009B1B4B">
            <w:pPr>
              <w:spacing w:line="250" w:lineRule="auto"/>
            </w:pPr>
            <w:r>
              <w:rPr>
                <w:sz w:val="18"/>
                <w:szCs w:val="18"/>
              </w:rPr>
              <w:t>Superannuation von 12 % kommt obendrauf zum Gehalt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19" w14:textId="77777777" w:rsidR="00C1548D" w:rsidRDefault="009B1B4B">
            <w:pPr>
              <w:spacing w:line="250" w:lineRule="auto"/>
            </w:pPr>
            <w:r>
              <w:rPr>
                <w:sz w:val="18"/>
                <w:szCs w:val="18"/>
              </w:rPr>
              <w:t>Ein Arbeitgeberwechsel beim 482 braucht Zeit: neue Nominierung, keine Arbeit vorab</w:t>
            </w:r>
          </w:p>
        </w:tc>
      </w:tr>
      <w:tr w:rsidR="00C1548D" w14:paraId="70A4F61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1B" w14:textId="77777777" w:rsidR="00C1548D" w:rsidRDefault="009B1B4B">
            <w:pPr>
              <w:spacing w:line="250" w:lineRule="auto"/>
            </w:pPr>
            <w:r>
              <w:rPr>
                <w:sz w:val="18"/>
                <w:szCs w:val="18"/>
              </w:rPr>
              <w:t>Punktebasierte Visa (189/190) machen frei von jeder Arbeitgeberbindung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1C" w14:textId="77777777" w:rsidR="00C1548D" w:rsidRDefault="009B1B4B">
            <w:pPr>
              <w:spacing w:line="250" w:lineRule="auto"/>
            </w:pPr>
            <w:r>
              <w:rPr>
                <w:sz w:val="18"/>
                <w:szCs w:val="18"/>
              </w:rPr>
              <w:t>Elternzeit- und Familienleistungen sind deutlich schmaler als in Deutschland</w:t>
            </w:r>
          </w:p>
        </w:tc>
      </w:tr>
      <w:tr w:rsidR="00C1548D" w14:paraId="70A4F62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1E" w14:textId="77777777" w:rsidR="00C1548D" w:rsidRDefault="009B1B4B">
            <w:pPr>
              <w:spacing w:line="250" w:lineRule="auto"/>
            </w:pPr>
            <w:r>
              <w:rPr>
                <w:sz w:val="18"/>
                <w:szCs w:val="18"/>
              </w:rPr>
              <w:t>Gehaltsverhandlung ist üblich und wird erwartet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1F" w14:textId="77777777" w:rsidR="00C1548D" w:rsidRDefault="009B1B4B">
            <w:pPr>
              <w:spacing w:line="250" w:lineRule="auto"/>
            </w:pPr>
            <w:r>
              <w:rPr>
                <w:sz w:val="18"/>
                <w:szCs w:val="18"/>
              </w:rPr>
              <w:t>Feiertage sind mit neun bis elf im Jahr spürbar weniger als in vielen Bundesländern</w:t>
            </w:r>
          </w:p>
        </w:tc>
      </w:tr>
    </w:tbl>
    <w:p w14:paraId="70A4F621" w14:textId="77777777" w:rsidR="00C1548D" w:rsidRDefault="00C1548D">
      <w:pPr>
        <w:spacing w:line="180" w:lineRule="exact"/>
      </w:pPr>
    </w:p>
    <w:p w14:paraId="70A4F622"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623" w14:textId="77777777" w:rsidR="00C1548D" w:rsidRDefault="009B1B4B">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2D"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624" w14:textId="77777777" w:rsidR="00C1548D" w:rsidRDefault="009B1B4B">
            <w:pPr>
              <w:keepNext/>
              <w:spacing w:after="70" w:line="240" w:lineRule="auto"/>
            </w:pPr>
            <w:r>
              <w:rPr>
                <w:b/>
                <w:bCs/>
                <w:color w:val="1F6F78"/>
                <w:spacing w:val="24"/>
                <w:sz w:val="16"/>
                <w:szCs w:val="16"/>
              </w:rPr>
              <w:lastRenderedPageBreak/>
              <w:t>CHECKLISTE</w:t>
            </w:r>
          </w:p>
          <w:p w14:paraId="70A4F62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Prüfen, ob ein Modern Award oder Enterprise Agreement für deine Stelle gilt, und dessen Mindestbedingungen mit dem Vertrag vergleichen.</w:t>
            </w:r>
          </w:p>
          <w:p w14:paraId="70A4F62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Urlaubs-, Krankheits- und Kündigungsregelungen im Vertrag genau klären, nicht nur „nach NES“ akzeptieren.</w:t>
            </w:r>
          </w:p>
          <w:p w14:paraId="70A4F62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Vertragsende: eigene Betriebszugehörigkeit und die geltende Mindestbeschäftigungszeit für Unfair-Dismissal-Schutz kennen.</w:t>
            </w:r>
          </w:p>
          <w:p w14:paraId="70A4F62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Auf dem 482-Visum: vor jedem Arbeitgeberwechsel die neue Nominierung abwarten, nie vorher anfangen.</w:t>
            </w:r>
          </w:p>
          <w:p w14:paraId="70A4F62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Jobverlust auf dem 482: die 180-Tage-Frist und den 365-Tage-Gesamtrahmen im Kalender notieren.</w:t>
            </w:r>
          </w:p>
          <w:p w14:paraId="70A4F62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Super-Satz und Einzahlung im Gehaltszettel regelmäßig kontrollieren (myGov-Konto verknüpfen).</w:t>
            </w:r>
          </w:p>
          <w:p w14:paraId="70A4F62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Zwei bis drei Referees vorbereiten und um Erlaubnis fragen, bevor du sie angibst.</w:t>
            </w:r>
          </w:p>
          <w:p w14:paraId="70A4F62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Unsicherheiten kostenlos bei der Fair Work Ombudsman anrufen (13 13 94).</w:t>
            </w:r>
          </w:p>
        </w:tc>
      </w:tr>
    </w:tbl>
    <w:p w14:paraId="70A4F62E" w14:textId="77777777" w:rsidR="00C1548D" w:rsidRDefault="00C1548D">
      <w:pPr>
        <w:spacing w:line="220" w:lineRule="exact"/>
      </w:pPr>
    </w:p>
    <w:p w14:paraId="70A4F62F"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630" w14:textId="61539DD9" w:rsidR="00C1548D" w:rsidRDefault="009B1B4B" w:rsidP="009B1B4B">
      <w:pPr>
        <w:pStyle w:val="ListParagraph"/>
        <w:numPr>
          <w:ilvl w:val="0"/>
          <w:numId w:val="1"/>
        </w:numPr>
        <w:spacing w:after="60"/>
      </w:pPr>
      <w:r>
        <w:t xml:space="preserve">Fair Work Ombudsman – National Employment Standards, Kündigungsfristen, Urlaub: </w:t>
      </w:r>
      <w:hyperlink r:id="rId461" w:history="1">
        <w:r>
          <w:rPr>
            <w:color w:val="0563C1"/>
            <w:u w:val="single"/>
          </w:rPr>
          <w:t>fairwork.gov.au</w:t>
        </w:r>
      </w:hyperlink>
    </w:p>
    <w:p w14:paraId="70A4F631" w14:textId="040A4AC6" w:rsidR="00C1548D" w:rsidRDefault="009B1B4B" w:rsidP="009B1B4B">
      <w:pPr>
        <w:pStyle w:val="ListParagraph"/>
        <w:numPr>
          <w:ilvl w:val="0"/>
          <w:numId w:val="1"/>
        </w:numPr>
        <w:spacing w:after="60"/>
      </w:pPr>
      <w:r>
        <w:t xml:space="preserve">Fair Work Commission – Unfair Dismissal, Mindestlohn, High Income Threshold: </w:t>
      </w:r>
      <w:hyperlink r:id="rId462" w:history="1">
        <w:r>
          <w:rPr>
            <w:color w:val="0563C1"/>
            <w:u w:val="single"/>
          </w:rPr>
          <w:t>fwc.gov.au</w:t>
        </w:r>
      </w:hyperlink>
    </w:p>
    <w:p w14:paraId="70A4F632" w14:textId="3F313A5E" w:rsidR="00C1548D" w:rsidRDefault="009B1B4B" w:rsidP="009B1B4B">
      <w:pPr>
        <w:pStyle w:val="ListParagraph"/>
        <w:numPr>
          <w:ilvl w:val="0"/>
          <w:numId w:val="1"/>
        </w:numPr>
        <w:spacing w:after="60"/>
      </w:pPr>
      <w:r>
        <w:t xml:space="preserve">Department of Home Affairs – Skills in Demand Visa (482), Wechsel des Arbeitgebers: </w:t>
      </w:r>
      <w:hyperlink r:id="rId463" w:history="1">
        <w:r>
          <w:rPr>
            <w:color w:val="0563C1"/>
            <w:u w:val="single"/>
          </w:rPr>
          <w:t>immi.homeaffairs.gov.au/visas/getting-a-visa/visa-listing/skills-in-demand-visa-subclass-482</w:t>
        </w:r>
      </w:hyperlink>
    </w:p>
    <w:p w14:paraId="70A4F633" w14:textId="2CAF3273" w:rsidR="00C1548D" w:rsidRDefault="009B1B4B" w:rsidP="009B1B4B">
      <w:pPr>
        <w:pStyle w:val="ListParagraph"/>
        <w:numPr>
          <w:ilvl w:val="0"/>
          <w:numId w:val="1"/>
        </w:numPr>
        <w:spacing w:after="60"/>
      </w:pPr>
      <w:r>
        <w:t xml:space="preserve">Australian Taxation Office – Superannuation Guarantee: </w:t>
      </w:r>
      <w:hyperlink r:id="rId464" w:history="1">
        <w:r>
          <w:rPr>
            <w:color w:val="0563C1"/>
            <w:u w:val="single"/>
          </w:rPr>
          <w:t>ato.gov.au/super</w:t>
        </w:r>
      </w:hyperlink>
    </w:p>
    <w:p w14:paraId="70A4F634" w14:textId="24A044FE" w:rsidR="00C1548D" w:rsidRDefault="009B1B4B" w:rsidP="009B1B4B">
      <w:pPr>
        <w:pStyle w:val="ListParagraph"/>
        <w:numPr>
          <w:ilvl w:val="0"/>
          <w:numId w:val="1"/>
        </w:numPr>
        <w:spacing w:after="60"/>
      </w:pPr>
      <w:r>
        <w:t xml:space="preserve">Fair Work Ombudsman – Right to Disconnect: </w:t>
      </w:r>
      <w:hyperlink r:id="rId465" w:history="1">
        <w:r>
          <w:rPr>
            <w:color w:val="0563C1"/>
            <w:u w:val="single"/>
          </w:rPr>
          <w:t>fairwork.gov.au/employment-conditions/right-to-disconnect</w:t>
        </w:r>
      </w:hyperlink>
    </w:p>
    <w:p w14:paraId="70A4F63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38"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636" w14:textId="77777777" w:rsidR="00C1548D" w:rsidRDefault="009B1B4B">
            <w:pPr>
              <w:keepNext/>
              <w:spacing w:after="70" w:line="240" w:lineRule="auto"/>
            </w:pPr>
            <w:r>
              <w:rPr>
                <w:b/>
                <w:bCs/>
                <w:color w:val="6B7280"/>
                <w:spacing w:val="24"/>
                <w:sz w:val="16"/>
                <w:szCs w:val="16"/>
              </w:rPr>
              <w:lastRenderedPageBreak/>
              <w:t>STAND</w:t>
            </w:r>
          </w:p>
          <w:p w14:paraId="70A4F637" w14:textId="77777777" w:rsidR="00C1548D" w:rsidRDefault="009B1B4B">
            <w:pPr>
              <w:spacing w:after="80" w:line="264" w:lineRule="auto"/>
            </w:pPr>
            <w:r>
              <w:rPr>
                <w:sz w:val="20"/>
                <w:szCs w:val="20"/>
              </w:rPr>
              <w:t>23.09.2026. Diese Angaben ändern sich schnell: Mindestlohn und Super-Satz werden jeweils zum 1. Juli angepasst, die Einkommensschwelle für Unfair-Dismissal-Schutz ebenso, und die Umsetzung des Rechts auf Nichterreichbarkeit ist noch jung und wenig erprobt. Prüfe vor jeder Entscheidung fairwork.gov.au und immi.homeaffairs.gov.au.</w:t>
            </w:r>
          </w:p>
        </w:tc>
      </w:tr>
    </w:tbl>
    <w:p w14:paraId="70A4F639" w14:textId="77777777" w:rsidR="00C1548D" w:rsidRDefault="00C1548D">
      <w:pPr>
        <w:spacing w:line="220" w:lineRule="exact"/>
      </w:pPr>
    </w:p>
    <w:p w14:paraId="70A4F63A" w14:textId="77777777" w:rsidR="00C1548D" w:rsidRDefault="009B1B4B">
      <w:pPr>
        <w:pStyle w:val="Heading2"/>
        <w:keepNext/>
        <w:pageBreakBefore/>
        <w:jc w:val="center"/>
      </w:pPr>
      <w:bookmarkStart w:id="130" w:name="tau15"/>
      <w:bookmarkStart w:id="131" w:name="_Toc241352516"/>
      <w:r>
        <w:rPr>
          <w:rFonts w:ascii="Amazon Ember" w:eastAsia="Amazon Ember" w:hAnsi="Amazon Ember" w:cs="Amazon Ember"/>
          <w:color w:val="0000FF"/>
          <w:sz w:val="36"/>
          <w:szCs w:val="36"/>
        </w:rPr>
        <w:lastRenderedPageBreak/>
        <w:t>Australien: Recht, Sicherheit und Polizeikontakt</w:t>
      </w:r>
      <w:bookmarkEnd w:id="130"/>
      <w:bookmarkEnd w:id="131"/>
    </w:p>
    <w:p w14:paraId="70A4F63B" w14:textId="77777777" w:rsidR="00C1548D" w:rsidRDefault="009B1B4B">
      <w:pPr>
        <w:spacing w:after="140"/>
      </w:pPr>
      <w:r>
        <w:t xml:space="preserve">Freitagabend, kurz vor der Westgate Bridge in Melbourne: Blaulicht, eine Reihe Warnwesten, ein Schlauch wird durchs Fenster gereicht, bevor überhaupt ein Wort gefallen ist. Thomas Reinhardt hat nichts falsch gemacht, keinen Tropfen Alkohol getrunken und keine Ahnung, wonach hier eigentlich gesucht wird – und trotzdem steht sein Wagen plötzlich in der Schlange vor einem sogenannten </w:t>
      </w:r>
      <w:r>
        <w:rPr>
          <w:i/>
          <w:iCs/>
        </w:rPr>
        <w:t>Booze Bus</w:t>
      </w:r>
      <w:r>
        <w:t xml:space="preserve"> (umgangssprachlich für eine mobile Polizeistation zur Alkohol- und Drogenkontrolle). In Deutschland hätte es dafür einen Anlass gebraucht; in Australien reicht ein x-beliebiger Freitagabend. Wer aus Deutschland kommt, muss beim Thema Recht und Sicherheit einiges neu lernen – nicht, weil Australien gefährlicher wäre, sondern weil an überraschend vielen Stellen einfach andere Regeln gelten.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43"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63C" w14:textId="77777777" w:rsidR="00C1548D" w:rsidRDefault="009B1B4B">
            <w:pPr>
              <w:keepNext/>
              <w:spacing w:after="70" w:line="240" w:lineRule="auto"/>
            </w:pPr>
            <w:r>
              <w:rPr>
                <w:b/>
                <w:bCs/>
                <w:color w:val="1F3A5F"/>
                <w:spacing w:val="24"/>
                <w:sz w:val="16"/>
                <w:szCs w:val="16"/>
              </w:rPr>
              <w:lastRenderedPageBreak/>
              <w:t>KURZ GESAGT</w:t>
            </w:r>
          </w:p>
          <w:p w14:paraId="70A4F63D" w14:textId="77777777" w:rsidR="00C1548D" w:rsidRDefault="009B1B4B" w:rsidP="009B1B4B">
            <w:pPr>
              <w:pStyle w:val="ListParagraph"/>
              <w:numPr>
                <w:ilvl w:val="0"/>
                <w:numId w:val="1"/>
              </w:numPr>
              <w:spacing w:after="50" w:line="264" w:lineRule="auto"/>
            </w:pPr>
            <w:r>
              <w:rPr>
                <w:sz w:val="20"/>
                <w:szCs w:val="20"/>
              </w:rPr>
              <w:t>Verdachtsunabhängige Alkohol- und Drogenkontrollen im Straßenverkehr (</w:t>
            </w:r>
            <w:r>
              <w:rPr>
                <w:i/>
                <w:iCs/>
                <w:sz w:val="20"/>
                <w:szCs w:val="20"/>
              </w:rPr>
              <w:t>Random Breath Testing</w:t>
            </w:r>
            <w:r>
              <w:rPr>
                <w:sz w:val="20"/>
                <w:szCs w:val="20"/>
              </w:rPr>
              <w:t xml:space="preserve">, RBT, und </w:t>
            </w:r>
            <w:r>
              <w:rPr>
                <w:i/>
                <w:iCs/>
                <w:sz w:val="20"/>
                <w:szCs w:val="20"/>
              </w:rPr>
              <w:t>Random Drug Testing</w:t>
            </w:r>
            <w:r>
              <w:rPr>
                <w:sz w:val="20"/>
                <w:szCs w:val="20"/>
              </w:rPr>
              <w:t>, RDT) sind in ganz Australien Routine – anders, als du es aus Deutschland gewohnt bist.</w:t>
            </w:r>
          </w:p>
          <w:p w14:paraId="70A4F63E" w14:textId="77777777" w:rsidR="00C1548D" w:rsidRDefault="009B1B4B" w:rsidP="009B1B4B">
            <w:pPr>
              <w:pStyle w:val="ListParagraph"/>
              <w:numPr>
                <w:ilvl w:val="0"/>
                <w:numId w:val="1"/>
              </w:numPr>
              <w:spacing w:after="50" w:line="264" w:lineRule="auto"/>
            </w:pPr>
            <w:r>
              <w:rPr>
                <w:sz w:val="20"/>
                <w:szCs w:val="20"/>
              </w:rPr>
              <w:t>Ab 18 Jahren musst du bei einer Kontrolle Namen und Adresse nennen, mehr nicht; eine Durchsuchung ohne Verdacht oder richterlichen Beschluss darfst du höflich ablehnen.</w:t>
            </w:r>
          </w:p>
          <w:p w14:paraId="70A4F63F" w14:textId="77777777" w:rsidR="00C1548D" w:rsidRDefault="009B1B4B" w:rsidP="009B1B4B">
            <w:pPr>
              <w:pStyle w:val="ListParagraph"/>
              <w:numPr>
                <w:ilvl w:val="0"/>
                <w:numId w:val="1"/>
              </w:numPr>
              <w:spacing w:after="50" w:line="264" w:lineRule="auto"/>
            </w:pPr>
            <w:r>
              <w:rPr>
                <w:sz w:val="20"/>
                <w:szCs w:val="20"/>
              </w:rPr>
              <w:t>Waffenrecht: seit 1996 eines der strengsten der Welt. „Selbstverteidigung“ ist ausdrücklich kein anerkannter Grund für eine Waffenlizenz.</w:t>
            </w:r>
          </w:p>
          <w:p w14:paraId="70A4F640" w14:textId="77777777" w:rsidR="00C1548D" w:rsidRDefault="009B1B4B" w:rsidP="009B1B4B">
            <w:pPr>
              <w:pStyle w:val="ListParagraph"/>
              <w:numPr>
                <w:ilvl w:val="0"/>
                <w:numId w:val="1"/>
              </w:numPr>
              <w:spacing w:after="50" w:line="264" w:lineRule="auto"/>
            </w:pPr>
            <w:r>
              <w:rPr>
                <w:sz w:val="20"/>
                <w:szCs w:val="20"/>
              </w:rPr>
              <w:t>Cannabis bleibt in sechs der acht Bundesstaaten und Territorien illegal; nur die Hauptstadtregion ACT erlaubt geringe Mengen zum Eigenbedarf, Südaustralien und das Northern Territory ahnden einen Ersttäter meist nur mit einem Bußgeld statt einer Anklage.</w:t>
            </w:r>
          </w:p>
          <w:p w14:paraId="70A4F641" w14:textId="77777777" w:rsidR="00C1548D" w:rsidRDefault="009B1B4B" w:rsidP="009B1B4B">
            <w:pPr>
              <w:pStyle w:val="ListParagraph"/>
              <w:numPr>
                <w:ilvl w:val="0"/>
                <w:numId w:val="1"/>
              </w:numPr>
              <w:spacing w:after="50" w:line="264" w:lineRule="auto"/>
            </w:pPr>
            <w:r>
              <w:rPr>
                <w:sz w:val="20"/>
                <w:szCs w:val="20"/>
              </w:rPr>
              <w:t>Auch mit ärztlichem Rezept für medizinisches Cannabis bleibt Autofahren mit nachweisbarem THC im Speichel in fast allen Bundesstaaten strafbar.</w:t>
            </w:r>
          </w:p>
          <w:p w14:paraId="70A4F642" w14:textId="77777777" w:rsidR="00C1548D" w:rsidRDefault="009B1B4B" w:rsidP="009B1B4B">
            <w:pPr>
              <w:pStyle w:val="ListParagraph"/>
              <w:numPr>
                <w:ilvl w:val="0"/>
                <w:numId w:val="1"/>
              </w:numPr>
              <w:spacing w:after="50" w:line="264" w:lineRule="auto"/>
            </w:pPr>
            <w:r>
              <w:rPr>
                <w:sz w:val="20"/>
                <w:szCs w:val="20"/>
              </w:rPr>
              <w:t>Buschbrand- und Zyklonsaison verlangen einen eigenen Vorsorgeplan: Warnstufen kennen, Fluchtweg kennen, Versicherung rechtzeitig prüfen.</w:t>
            </w:r>
          </w:p>
        </w:tc>
      </w:tr>
    </w:tbl>
    <w:p w14:paraId="70A4F644" w14:textId="77777777" w:rsidR="00C1548D" w:rsidRDefault="00C1548D">
      <w:pPr>
        <w:spacing w:line="220" w:lineRule="exact"/>
      </w:pPr>
    </w:p>
    <w:p w14:paraId="70A4F645" w14:textId="77777777" w:rsidR="00C1548D" w:rsidRDefault="009B1B4B">
      <w:pPr>
        <w:pStyle w:val="Heading3"/>
        <w:keepNext/>
        <w:jc w:val="center"/>
      </w:pPr>
      <w:r>
        <w:rPr>
          <w:rFonts w:ascii="Amazon Ember" w:eastAsia="Amazon Ember" w:hAnsi="Amazon Ember" w:cs="Amazon Ember"/>
          <w:color w:val="0000FF"/>
          <w:sz w:val="36"/>
          <w:szCs w:val="36"/>
        </w:rPr>
        <w:t>Das Rechtssystem in Kürze</w:t>
      </w:r>
    </w:p>
    <w:p w14:paraId="70A4F646" w14:textId="77777777" w:rsidR="00C1548D" w:rsidRDefault="009B1B4B">
      <w:pPr>
        <w:spacing w:after="140"/>
      </w:pPr>
      <w:r>
        <w:t xml:space="preserve">Australien folgt wie Großbritannien dem </w:t>
      </w:r>
      <w:r>
        <w:rPr>
          <w:i/>
          <w:iCs/>
        </w:rPr>
        <w:t>Common Law</w:t>
      </w:r>
      <w:r>
        <w:t xml:space="preserve"> (Fallrecht, das stark auf Präzedenzfällen und Richterrecht aufbaut, anders als das deutsche kodifizierte Recht). Acht Bundesstaaten und Territorien erlassen ihr eigenes Straf-, Verkehrs- und Polizeirecht; der Bund (</w:t>
      </w:r>
      <w:r>
        <w:rPr>
          <w:i/>
          <w:iCs/>
        </w:rPr>
        <w:t>Commonwealth</w:t>
      </w:r>
      <w:r>
        <w:t xml:space="preserve">) ist vor allem für Einwanderung, Zoll, Steuern und einige Bundesdelikte wie Terrorismus zuständig. Kleinere Delikte verhandelt das </w:t>
      </w:r>
      <w:r>
        <w:rPr>
          <w:i/>
          <w:iCs/>
        </w:rPr>
        <w:t>Magistrates Court</w:t>
      </w:r>
      <w:r>
        <w:t xml:space="preserve"> beziehungsweise </w:t>
      </w:r>
      <w:r>
        <w:rPr>
          <w:i/>
          <w:iCs/>
        </w:rPr>
        <w:t>Local Court</w:t>
      </w:r>
      <w:r>
        <w:t xml:space="preserve">, schwerere das </w:t>
      </w:r>
      <w:r>
        <w:rPr>
          <w:i/>
          <w:iCs/>
        </w:rPr>
        <w:t>District</w:t>
      </w:r>
      <w:r>
        <w:t xml:space="preserve"> oder </w:t>
      </w:r>
      <w:r>
        <w:rPr>
          <w:i/>
          <w:iCs/>
        </w:rPr>
        <w:t>County Court</w:t>
      </w:r>
      <w:r>
        <w:t xml:space="preserve">, die schwersten das </w:t>
      </w:r>
      <w:r>
        <w:rPr>
          <w:i/>
          <w:iCs/>
        </w:rPr>
        <w:t>Supreme Court</w:t>
      </w:r>
      <w:r>
        <w:t xml:space="preserve"> jedes Bundesstaats; oberste Instanz für das gesamte Land ist der </w:t>
      </w:r>
      <w:r>
        <w:rPr>
          <w:i/>
          <w:iCs/>
        </w:rPr>
        <w:t>High Court of Australia</w:t>
      </w:r>
      <w:r>
        <w:t xml:space="preserve"> in Canberra. Bei schwereren Anklagen hast du wie in Deutschland Anspruch auf ein </w:t>
      </w:r>
      <w:r>
        <w:lastRenderedPageBreak/>
        <w:t>Verfahren vor Geschworenen (</w:t>
      </w:r>
      <w:r>
        <w:rPr>
          <w:i/>
          <w:iCs/>
        </w:rPr>
        <w:t>Jury</w:t>
      </w:r>
      <w:r>
        <w:t>). Für dich als Neuankömmling heißt das vor allem: Was in Sydney gilt, muss in Perth nicht identisch sein – bei allem, was über die im Folgenden beschriebenen bundesweiten Grundsätze hinausgeht, lohnt ein Blick auf die Website der zuständigen Landespolizei oder Landesregierung.</w:t>
      </w:r>
    </w:p>
    <w:p w14:paraId="70A4F647" w14:textId="77777777" w:rsidR="00C1548D" w:rsidRDefault="009B1B4B">
      <w:pPr>
        <w:pStyle w:val="Heading3"/>
        <w:keepNext/>
        <w:jc w:val="center"/>
      </w:pPr>
      <w:r>
        <w:rPr>
          <w:rFonts w:ascii="Amazon Ember" w:eastAsia="Amazon Ember" w:hAnsi="Amazon Ember" w:cs="Amazon Ember"/>
          <w:color w:val="0000FF"/>
          <w:sz w:val="36"/>
          <w:szCs w:val="36"/>
        </w:rPr>
        <w:t>Polizeikontakt: Verkehrskontrollen und Zufallstests</w:t>
      </w:r>
    </w:p>
    <w:p w14:paraId="70A4F648" w14:textId="77777777" w:rsidR="00C1548D" w:rsidRDefault="009B1B4B">
      <w:pPr>
        <w:spacing w:after="140"/>
      </w:pPr>
      <w:r>
        <w:t xml:space="preserve">Was Thomas an diesem Freitagabend erlebt, ist kein Einzelfall, sondern Alltag: Polizei und Verkehrsbehörden führen australienweit </w:t>
      </w:r>
      <w:r>
        <w:rPr>
          <w:i/>
          <w:iCs/>
        </w:rPr>
        <w:t>Random Breath Testing</w:t>
      </w:r>
      <w:r>
        <w:t xml:space="preserve"> (RBT) und in den meisten Bundesstaaten zusätzlich </w:t>
      </w:r>
      <w:r>
        <w:rPr>
          <w:i/>
          <w:iCs/>
        </w:rPr>
        <w:t>Random Drug Testing</w:t>
      </w:r>
      <w:r>
        <w:t xml:space="preserve"> (RDT, Speicheltest auf THC, Amphetamine und ähnliche Substanzen) durch – stationär an belebten Ausfallstraßen oder mobil im fließenden Verkehr, besonders an Wochenenden und in der Nähe von Ausgehvierteln. Ein Anfangsverdacht ist dafür nicht nötig, ein Rechtsgrundsatz, den viele Neuankömmlinge zunächst befremdlich finden. Verhalte dich wie bei jeder anderen Verkehrskontrolle: rechts ranfahren, Motor aus, freundlich bleiben, Führerschein bereithalten. Der Atem- oder Speicheltest selbst dauert meist nur wenig</w:t>
      </w:r>
      <w:r>
        <w:t>e Minuten.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4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649" w14:textId="77777777" w:rsidR="00C1548D" w:rsidRDefault="009B1B4B">
            <w:pPr>
              <w:keepNext/>
              <w:spacing w:after="70" w:line="240" w:lineRule="auto"/>
            </w:pPr>
            <w:r>
              <w:rPr>
                <w:b/>
                <w:bCs/>
                <w:color w:val="9B2C2C"/>
                <w:spacing w:val="24"/>
                <w:sz w:val="16"/>
                <w:szCs w:val="16"/>
              </w:rPr>
              <w:t>ACHTUNG</w:t>
            </w:r>
          </w:p>
          <w:p w14:paraId="70A4F64A" w14:textId="77777777" w:rsidR="00C1548D" w:rsidRDefault="009B1B4B">
            <w:pPr>
              <w:spacing w:after="80" w:line="264" w:lineRule="auto"/>
            </w:pPr>
            <w:r>
              <w:rPr>
                <w:sz w:val="20"/>
                <w:szCs w:val="20"/>
              </w:rPr>
              <w:t>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tc>
      </w:tr>
    </w:tbl>
    <w:p w14:paraId="70A4F64C" w14:textId="77777777" w:rsidR="00C1548D" w:rsidRDefault="00C1548D">
      <w:pPr>
        <w:spacing w:line="220" w:lineRule="exact"/>
      </w:pPr>
    </w:p>
    <w:p w14:paraId="70A4F64D" w14:textId="77777777" w:rsidR="00C1548D" w:rsidRDefault="009B1B4B">
      <w:pPr>
        <w:spacing w:after="140"/>
      </w:pPr>
      <w:r>
        <w:t>Bei einem positiven Ergebnis drohen, je nach gemessenem Wert und Bundesstaat, eine sofortige vorläufige Führerscheinsperre direkt am Straßenrand und ein späterer Gerichtstermin. Widersprich in dem Moment nicht der Kontrolle selbst; ob sie rechtmäßig war, klärst du im Zweifel später vor Gericht, nicht an der Fahrertür.</w:t>
      </w:r>
    </w:p>
    <w:p w14:paraId="70A4F64E" w14:textId="77777777" w:rsidR="00C1548D" w:rsidRDefault="009B1B4B">
      <w:pPr>
        <w:pStyle w:val="Heading3"/>
        <w:keepNext/>
        <w:jc w:val="center"/>
      </w:pPr>
      <w:r>
        <w:rPr>
          <w:rFonts w:ascii="Amazon Ember" w:eastAsia="Amazon Ember" w:hAnsi="Amazon Ember" w:cs="Amazon Ember"/>
          <w:color w:val="0000FF"/>
          <w:sz w:val="36"/>
          <w:szCs w:val="36"/>
        </w:rPr>
        <w:lastRenderedPageBreak/>
        <w:t>Deine Rechte gegenüber der Polizei</w:t>
      </w:r>
    </w:p>
    <w:p w14:paraId="70A4F64F" w14:textId="77777777" w:rsidR="00C1548D" w:rsidRDefault="009B1B4B">
      <w:pPr>
        <w:spacing w:after="140"/>
      </w:pPr>
      <w:r>
        <w:t>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Darüber hinaus gilt ein allgemeines Schweigerecht: Du musst dich nicht selbst belasten. Eine Wohnungs- oder Fahrzeugdurchsuchung ohne konkreten Verdacht oder r</w:t>
      </w:r>
      <w:r>
        <w:t>ichterlichen Beschluss darfst du höflich verweigern („I do not consent to a search.“) – wehre dich nie körperlich, sondern lass die Ablehnung im Zweifel vor Gericht klären. Das Filmen einer Polizeikontrolle in der Öffentlichkeit ist grundsätzlich erlaubt, solange du die Diensthandlung nicht behinderst; ein Beamter darf dein Aufnahmegerät nicht allein deshalb konfiszieren, weil du filmst, kann das Filmen aber untersagen, wenn es den Einsatz stört. Diese Grundsätze gelten im Kern bundesweit ähnlich, die Detai</w:t>
      </w:r>
      <w:r>
        <w:t>ls unterscheiden sich zwischen den acht Bundesstaaten und Territorien – im Zweifel hilft ein australischer Anwalt schneller weiter als eine allgemeine Regel aus diesem Buch.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5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650" w14:textId="77777777" w:rsidR="00C1548D" w:rsidRDefault="009B1B4B">
            <w:pPr>
              <w:keepNext/>
              <w:spacing w:after="70" w:line="240" w:lineRule="auto"/>
            </w:pPr>
            <w:r>
              <w:rPr>
                <w:b/>
                <w:bCs/>
                <w:color w:val="8A6212"/>
                <w:spacing w:val="24"/>
                <w:sz w:val="16"/>
                <w:szCs w:val="16"/>
              </w:rPr>
              <w:t>MERKE</w:t>
            </w:r>
          </w:p>
          <w:p w14:paraId="70A4F651" w14:textId="77777777" w:rsidR="00C1548D" w:rsidRDefault="009B1B4B">
            <w:pPr>
              <w:spacing w:after="80" w:line="264" w:lineRule="auto"/>
            </w:pPr>
            <w:r>
              <w:rPr>
                <w:sz w:val="20"/>
                <w:szCs w:val="20"/>
              </w:rPr>
              <w:t>Schweigen ist erlaubt, Höflichkeit hilft, Widerstand schadet. Zeige deine Papiere, wenn eine Ausweispflicht besteht, und verlange bei allem, was darüber hinausgeht, ruhig einen Anwalt.</w:t>
            </w:r>
          </w:p>
        </w:tc>
      </w:tr>
    </w:tbl>
    <w:p w14:paraId="70A4F653" w14:textId="77777777" w:rsidR="00C1548D" w:rsidRDefault="00C1548D">
      <w:pPr>
        <w:spacing w:line="220" w:lineRule="exact"/>
      </w:pPr>
    </w:p>
    <w:p w14:paraId="70A4F654" w14:textId="77777777" w:rsidR="00C1548D" w:rsidRDefault="009B1B4B">
      <w:pPr>
        <w:spacing w:after="140"/>
      </w:pPr>
      <w:r>
        <w:t>Bei einer Festnahme hast du das Recht, einen Anwalt zu kontaktieren, und als deutscher Staatsangehöriger zusätzlich das Recht, mit einem Konsularbeamten zu sprechen – verlange das ausdrücklich, automatisch angeboten wird es nicht überall. Sprichst du kein ausreichendes Englisch, steht dir bei einer polizeilichen Befragung ein Dolmetscher zu. Nenne wie in jedem Rechtssystem nur Namen, Adresse und den Wunsch nach einem Anwalt – mehr nicht, bis dieser da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57"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655" w14:textId="77777777" w:rsidR="00C1548D" w:rsidRDefault="009B1B4B">
            <w:pPr>
              <w:keepNext/>
              <w:spacing w:after="70" w:line="240" w:lineRule="auto"/>
            </w:pPr>
            <w:r>
              <w:rPr>
                <w:b/>
                <w:bCs/>
                <w:color w:val="4A5568"/>
                <w:spacing w:val="24"/>
                <w:sz w:val="16"/>
                <w:szCs w:val="16"/>
              </w:rPr>
              <w:lastRenderedPageBreak/>
              <w:t>PRAXISBEISPIEL · FIKTIV</w:t>
            </w:r>
          </w:p>
          <w:p w14:paraId="70A4F656" w14:textId="77777777" w:rsidR="00C1548D" w:rsidRDefault="009B1B4B">
            <w:pPr>
              <w:spacing w:after="80" w:line="264" w:lineRule="auto"/>
            </w:pPr>
            <w:r>
              <w:rPr>
                <w:sz w:val="20"/>
                <w:szCs w:val="20"/>
              </w:rPr>
              <w:t xml:space="preserve">Familie Reinhardt (fiktives Beispiel) gerät auf dem Heimweg von einem Grillabend zum ersten Mal in einen </w:t>
            </w:r>
            <w:r>
              <w:rPr>
                <w:i/>
                <w:iCs/>
                <w:sz w:val="20"/>
                <w:szCs w:val="20"/>
              </w:rPr>
              <w:t>Booze Bus</w:t>
            </w:r>
            <w:r>
              <w:rPr>
                <w:sz w:val="20"/>
                <w:szCs w:val="20"/>
              </w:rPr>
              <w:t>. Thomas ist zunächst kurz nervös, obwohl er nüchtern ist – in Köln wäre er nie ohne Anlass angehalten worden. Der Test dauert keine zwei Minuten, ein Beamter wünscht „Safe travels, mate“, und die Familie fährt weiter. Ein paar Wochen später hält ihn eine Streife wegen eines defekten Rücklichts an; diesmal filmt eine Passantin die Szene vom Gehweg aus mit dem Handy. Thomas fragt sich kurz, ob das erlaubt ist – ist es, solange sie nicht in den Kontrollbereich tritt. Der Beamte wirkt davon unbeeindruckt und s</w:t>
            </w:r>
            <w:r>
              <w:rPr>
                <w:sz w:val="20"/>
                <w:szCs w:val="20"/>
              </w:rPr>
              <w:t>chreibt den Strafzettel wie geplant aus.</w:t>
            </w:r>
          </w:p>
        </w:tc>
      </w:tr>
    </w:tbl>
    <w:p w14:paraId="70A4F658" w14:textId="77777777" w:rsidR="00C1548D" w:rsidRDefault="00C1548D">
      <w:pPr>
        <w:spacing w:line="220" w:lineRule="exact"/>
      </w:pPr>
    </w:p>
    <w:p w14:paraId="70A4F659" w14:textId="77777777" w:rsidR="00C1548D" w:rsidRDefault="009B1B4B">
      <w:pPr>
        <w:pStyle w:val="Heading3"/>
        <w:keepNext/>
        <w:jc w:val="center"/>
      </w:pPr>
      <w:r>
        <w:rPr>
          <w:rFonts w:ascii="Amazon Ember" w:eastAsia="Amazon Ember" w:hAnsi="Amazon Ember" w:cs="Amazon Ember"/>
          <w:color w:val="0000FF"/>
          <w:sz w:val="36"/>
          <w:szCs w:val="36"/>
        </w:rPr>
        <w:t>Kriminalität im Alltag: sachlich betrachtet</w:t>
      </w:r>
    </w:p>
    <w:p w14:paraId="70A4F65A" w14:textId="558A52F0" w:rsidR="00C1548D" w:rsidRDefault="009B1B4B">
      <w:pPr>
        <w:spacing w:after="140"/>
      </w:pPr>
      <w:r>
        <w:t>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w:t>
      </w:r>
      <w:r>
        <w:t xml:space="preserve">tel vor der Wohnungssuche prüfen lässt (mehr zur Wohnortwahl im </w:t>
      </w:r>
      <w:hyperlink w:anchor="tau09" w:history="1">
        <w:r>
          <w:rPr>
            <w:color w:val="0563C1"/>
            <w:u w:val="single"/>
          </w:rPr>
          <w:t>Kapitel zum Wohnen in diesem Teil</w:t>
        </w:r>
      </w:hyperlink>
      <w:r>
        <w:t>).</w:t>
      </w:r>
    </w:p>
    <w:p w14:paraId="70A4F65B" w14:textId="77777777" w:rsidR="00C1548D" w:rsidRDefault="009B1B4B">
      <w:pPr>
        <w:spacing w:after="140"/>
      </w:pPr>
      <w:r>
        <w:t xml:space="preserve">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 einfache Gewohnheiten, die den Unterschied machen. Bei einem akuten Vorfall wählst du den Notruf 000, sonst meldest du dich online oder telefonisch bei der örtlichen Polizei; für eine Schadensmeldung bei der Versicherung </w:t>
      </w:r>
      <w:r>
        <w:t>brauchst du fast immer die Fallnummer der Anzeige.</w:t>
      </w:r>
    </w:p>
    <w:p w14:paraId="70A4F65C" w14:textId="77777777" w:rsidR="00C1548D" w:rsidRDefault="009B1B4B">
      <w:pPr>
        <w:pStyle w:val="Heading3"/>
        <w:keepNext/>
        <w:jc w:val="center"/>
      </w:pPr>
      <w:r>
        <w:rPr>
          <w:rFonts w:ascii="Amazon Ember" w:eastAsia="Amazon Ember" w:hAnsi="Amazon Ember" w:cs="Amazon Ember"/>
          <w:color w:val="0000FF"/>
          <w:sz w:val="36"/>
          <w:szCs w:val="36"/>
        </w:rPr>
        <w:lastRenderedPageBreak/>
        <w:t>Waffenrecht: eines der strengsten der Welt</w:t>
      </w:r>
    </w:p>
    <w:p w14:paraId="70A4F65D" w14:textId="77777777" w:rsidR="00C1548D" w:rsidRDefault="009B1B4B">
      <w:pPr>
        <w:spacing w:after="140"/>
      </w:pPr>
      <w:r>
        <w:t xml:space="preserve">Nach dem Massaker von Port Arthur 1996 einigten sich Bund und Bundesstaaten auf das </w:t>
      </w:r>
      <w:r>
        <w:rPr>
          <w:i/>
          <w:iCs/>
        </w:rPr>
        <w:t>National Firearms Agreement</w:t>
      </w:r>
      <w:r>
        <w:t xml:space="preserve"> (NFA, das nationale Waffenabkommen) – seither gilt Australiens Waffenrecht als eines der striktesten der westlichen Welt. Waffenbesitz ist darin ausdrücklich ein bedingtes Privileg, kein Grundrecht. Für jede Lizenz brauchst du einen anerkannten „</w:t>
      </w:r>
      <w:r>
        <w:rPr>
          <w:i/>
          <w:iCs/>
        </w:rPr>
        <w:t>Genuine Reason</w:t>
      </w:r>
      <w:r>
        <w:t xml:space="preserve">“ (triftigen Grund): 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w:t>
      </w:r>
      <w:r>
        <w:t>entzogen.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6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65E" w14:textId="77777777" w:rsidR="00C1548D" w:rsidRDefault="009B1B4B">
            <w:pPr>
              <w:keepNext/>
              <w:spacing w:after="70" w:line="240" w:lineRule="auto"/>
            </w:pPr>
            <w:r>
              <w:rPr>
                <w:b/>
                <w:bCs/>
                <w:color w:val="9B2C2C"/>
                <w:spacing w:val="24"/>
                <w:sz w:val="16"/>
                <w:szCs w:val="16"/>
              </w:rPr>
              <w:t>ACHTUNG</w:t>
            </w:r>
          </w:p>
          <w:p w14:paraId="70A4F65F" w14:textId="77777777" w:rsidR="00C1548D" w:rsidRDefault="009B1B4B">
            <w:pPr>
              <w:spacing w:after="80" w:line="264" w:lineRule="auto"/>
            </w:pPr>
            <w:r>
              <w:rPr>
                <w:sz w:val="20"/>
                <w:szCs w:val="20"/>
              </w:rPr>
              <w:t>Verbreiteter Irrtum, besonders bei Neuankömmlingen mit US-Vergleichshorizont: Waffenbesitz „zur Selbstverteidigung“ sei zumindest eingeschränkt möglich. Tatsächlich ist persönliche Selbstverteidigung in Australien überhaupt kein anerkannter Grund für eine Waffenlizenz – ein zentraler Unterschied zu vielen US-Bundesstaaten.</w:t>
            </w:r>
          </w:p>
        </w:tc>
      </w:tr>
    </w:tbl>
    <w:p w14:paraId="70A4F661" w14:textId="77777777" w:rsidR="00C1548D" w:rsidRDefault="00C1548D">
      <w:pPr>
        <w:spacing w:line="220" w:lineRule="exact"/>
      </w:pPr>
    </w:p>
    <w:p w14:paraId="70A4F662" w14:textId="77777777" w:rsidR="00C1548D" w:rsidRDefault="009B1B4B">
      <w:pPr>
        <w:spacing w:after="140"/>
      </w:pPr>
      <w:r>
        <w:t>Das NFA unterteilt Waffen zusätzlich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 Kontrollen durch die Polizei sind möglich.</w:t>
      </w:r>
    </w:p>
    <w:p w14:paraId="70A4F663" w14:textId="77777777" w:rsidR="00C1548D" w:rsidRDefault="009B1B4B">
      <w:pPr>
        <w:spacing w:after="140"/>
      </w:pPr>
      <w:r>
        <w:lastRenderedPageBreak/>
        <w:t>Für dich als Neuankömmling bedeutet das in der Praxis: Waffenbesitz spielt im Alltag kaum eine Rolle. Fasse fremde Waffen nicht ohne Weiteres an und leihe keine aus, selbst wenn Bekannte sie dir beim Farmbesuch oder auf der Jagd anbieten – ohne eigene Lizenz kann das rechtliche Folgen haben. Aus Deutschland solltest du ohnehin keine Waffen mitbringen; die Einfuhr unterliegt eigenen, strengen Bestimmungen.</w:t>
      </w:r>
    </w:p>
    <w:p w14:paraId="70A4F664" w14:textId="77777777" w:rsidR="00C1548D" w:rsidRDefault="009B1B4B">
      <w:pPr>
        <w:pStyle w:val="Heading3"/>
        <w:keepNext/>
        <w:jc w:val="center"/>
      </w:pPr>
      <w:r>
        <w:rPr>
          <w:rFonts w:ascii="Amazon Ember" w:eastAsia="Amazon Ember" w:hAnsi="Amazon Ember" w:cs="Amazon Ember"/>
          <w:color w:val="0000FF"/>
          <w:sz w:val="36"/>
          <w:szCs w:val="36"/>
        </w:rPr>
        <w:t>Cannabis-Recht: ein Flickenteppich zwischen den Bundesstaaten</w:t>
      </w:r>
    </w:p>
    <w:p w14:paraId="70A4F665" w14:textId="77777777" w:rsidR="00C1548D" w:rsidRDefault="009B1B4B">
      <w:pPr>
        <w:spacing w:after="140"/>
      </w:pPr>
      <w:r>
        <w:t>Medizinisches Cannabis ist bundesweit seit 2016 legal, verschrieben über die Arzneimittelbehörde TGA (</w:t>
      </w:r>
      <w:r>
        <w:rPr>
          <w:i/>
          <w:iCs/>
        </w:rPr>
        <w:t>Therapeutic Goods Administration</w:t>
      </w:r>
      <w:r>
        <w:t xml:space="preserve">). Beim Freizeitkonsum dagegen entscheidet jeder Bundesstaat für sich, und die Unterschiede sind erheblich. In New South Wales, Victoria, Queensland, Western Australia und Tasmanien bleibt Besitz und Konsum strafbar. Die Hauptstadtregion </w:t>
      </w:r>
      <w:r>
        <w:rPr>
          <w:i/>
          <w:iCs/>
        </w:rPr>
        <w:t>Australian Capital Territory</w:t>
      </w:r>
      <w:r>
        <w:t xml:space="preserve">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w:t>
      </w:r>
      <w:r>
        <w:t>lte Verstöße landen trotzdem vor Gericht.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6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666" w14:textId="77777777" w:rsidR="00C1548D" w:rsidRDefault="009B1B4B">
            <w:pPr>
              <w:keepNext/>
              <w:spacing w:after="70" w:line="240" w:lineRule="auto"/>
            </w:pPr>
            <w:r>
              <w:rPr>
                <w:b/>
                <w:bCs/>
                <w:color w:val="9B2C2C"/>
                <w:spacing w:val="24"/>
                <w:sz w:val="16"/>
                <w:szCs w:val="16"/>
              </w:rPr>
              <w:lastRenderedPageBreak/>
              <w:t>ACHTUNG</w:t>
            </w:r>
          </w:p>
          <w:p w14:paraId="70A4F667" w14:textId="77777777" w:rsidR="00C1548D" w:rsidRDefault="009B1B4B">
            <w:pPr>
              <w:spacing w:after="80" w:line="264" w:lineRule="auto"/>
            </w:pPr>
            <w:r>
              <w:rPr>
                <w:sz w:val="20"/>
                <w:szCs w:val="20"/>
              </w:rPr>
              <w:t>Das ACT-Gesetz löst einen bis heute ungelösten Rechtskonflikt aus: Cannabisbesitz bleibt nach dem Bundesstrafrecht (</w:t>
            </w:r>
            <w:r>
              <w:rPr>
                <w:i/>
                <w:iCs/>
                <w:sz w:val="20"/>
                <w:szCs w:val="20"/>
              </w:rPr>
              <w:t>Commonwealth Criminal Code</w:t>
            </w:r>
            <w:r>
              <w:rPr>
                <w:sz w:val="20"/>
                <w:szCs w:val="20"/>
              </w:rPr>
              <w:t>) grundsätzlich strafbar, auch innerhalb der ACT. In der Praxis verfolgen weder die örtliche Polizei noch die australische Bundespolizei Eigenbedarfsfälle nach Bundesrecht – rechtlich abschließend geklärt ist die Frage aber nicht. Verlass dich also nicht darauf, dass „legal in der ACT“ automatisch „überall in Australien unproblematisch“ bedeutet.</w:t>
            </w:r>
          </w:p>
        </w:tc>
      </w:tr>
    </w:tbl>
    <w:p w14:paraId="70A4F669" w14:textId="77777777" w:rsidR="00C1548D" w:rsidRDefault="00C1548D">
      <w:pPr>
        <w:spacing w:line="220" w:lineRule="exact"/>
      </w:pPr>
    </w:p>
    <w:p w14:paraId="70A4F66A" w14:textId="77777777" w:rsidR="00C1548D" w:rsidRDefault="009B1B4B">
      <w:pPr>
        <w:spacing w:after="140"/>
      </w:pPr>
      <w:r>
        <w:t xml:space="preserve">Südaustralien nutzt dafür ein eigenes Verwaltungsverfahren, die </w:t>
      </w:r>
      <w:r>
        <w:rPr>
          <w:i/>
          <w:iCs/>
        </w:rPr>
        <w:t>Cannabis Expiation Notice</w:t>
      </w:r>
      <w:r>
        <w:t xml:space="preserve"> (vergleichbar einem Verwarnungsgeld statt einer Anklage); das Northern Territory kennt ein ähnliches System unter anderem Namen. Beide gelten nur für kleine Mengen und Ersttäter – wer erwischt wird, weil er weiterverkauft oder größere Mengen anbaut, landet auch dort vor Gericht.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6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66B" w14:textId="77777777" w:rsidR="00C1548D" w:rsidRDefault="009B1B4B">
            <w:pPr>
              <w:keepNext/>
              <w:spacing w:after="70" w:line="240" w:lineRule="auto"/>
            </w:pPr>
            <w:r>
              <w:rPr>
                <w:b/>
                <w:bCs/>
                <w:color w:val="9B2C2C"/>
                <w:spacing w:val="24"/>
                <w:sz w:val="16"/>
                <w:szCs w:val="16"/>
              </w:rPr>
              <w:t>ACHTUNG</w:t>
            </w:r>
          </w:p>
          <w:p w14:paraId="70A4F66C" w14:textId="77777777" w:rsidR="00C1548D" w:rsidRDefault="009B1B4B">
            <w:pPr>
              <w:spacing w:after="80" w:line="264" w:lineRule="auto"/>
            </w:pPr>
            <w:r>
              <w:rPr>
                <w:sz w:val="20"/>
                <w:szCs w:val="20"/>
              </w:rPr>
              <w:t>Auch CBD-Öl und andere Hanfprodukte, die in Deutschland frei erhältlich sind, fallen bei der Einreise unter die australischen Einfuhrbestimmungen für Cannabisprodukte und können vom Zoll (</w:t>
            </w:r>
            <w:r>
              <w:rPr>
                <w:i/>
                <w:iCs/>
                <w:sz w:val="20"/>
                <w:szCs w:val="20"/>
              </w:rPr>
              <w:t>Australian Border Force</w:t>
            </w:r>
            <w:r>
              <w:rPr>
                <w:sz w:val="20"/>
                <w:szCs w:val="20"/>
              </w:rPr>
              <w:t>) beschlagnahmt werden, wenn keine gültige Einfuhrgenehmigung oder ärztliche Verschreibung vorliegt. Nimm solche Produkte im Zweifel gar nicht erst mit.</w:t>
            </w:r>
          </w:p>
        </w:tc>
      </w:tr>
    </w:tbl>
    <w:p w14:paraId="70A4F66E" w14:textId="77777777" w:rsidR="00C1548D" w:rsidRDefault="00C1548D">
      <w:pPr>
        <w:spacing w:line="220" w:lineRule="exact"/>
      </w:pPr>
    </w:p>
    <w:p w14:paraId="70A4F66F" w14:textId="77777777" w:rsidR="00C1548D" w:rsidRDefault="009B1B4B">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w:t>
      </w:r>
      <w:r>
        <w:t xml:space="preserve">borgrenzwerts eine Ausnahme einräumen soll; sie war zum Schreibzeitpunkt noch nicht in Kraft. Victoria erlaubt Richtern inzwischen einen gewissen Ermessensspielraum beim Führerscheinentzug, wenn Beeinträchtigung ausgeschlossen ist und </w:t>
      </w:r>
      <w:r>
        <w:lastRenderedPageBreak/>
        <w:t>ein gültiges Rezept vorliegt – strafbar bleibt das Fahren mit THC im Blut aber auch dort. Wer aus medizinischen Gründen Cannabis nimmt und regelmäßig Auto fährt, sollte sich vor Ort rechtlich beraten lassen, bevor er sich hinters Steuer setzt.</w:t>
      </w:r>
    </w:p>
    <w:p w14:paraId="70A4F670" w14:textId="77777777" w:rsidR="00C1548D" w:rsidRDefault="009B1B4B">
      <w:pPr>
        <w:pStyle w:val="Heading3"/>
        <w:keepNext/>
        <w:jc w:val="center"/>
      </w:pPr>
      <w:r>
        <w:rPr>
          <w:rFonts w:ascii="Amazon Ember" w:eastAsia="Amazon Ember" w:hAnsi="Amazon Ember" w:cs="Amazon Ember"/>
          <w:color w:val="0000FF"/>
          <w:sz w:val="36"/>
          <w:szCs w:val="36"/>
        </w:rPr>
        <w:t>Naturgefahren: Buschbrände und Zyklone</w:t>
      </w:r>
    </w:p>
    <w:p w14:paraId="70A4F671" w14:textId="77777777" w:rsidR="00C1548D" w:rsidRDefault="009B1B4B">
      <w:pPr>
        <w:spacing w:after="140"/>
      </w:pPr>
      <w:r>
        <w:t xml:space="preserve">Was in Deutschland allenfalls Extremwetter im Nachrichtenrand ist, gehört in weiten Teilen Australiens zur jährlichen Planung: Buschbrandsaison, meist Spätfrühling bis Ende Sommer, regional unterschiedlich, und im tropischen Norden zusätzlich die Zyklonsaison vom 1. November bis 30. April. Das </w:t>
      </w:r>
      <w:r>
        <w:rPr>
          <w:i/>
          <w:iCs/>
        </w:rPr>
        <w:t>Australian Fire Danger Rating System</w:t>
      </w:r>
      <w:r>
        <w:t xml:space="preserve"> (AFDRS) warnt in vier Stufen: „Moderate“ (an diesen Tagen ist Zeit für Vorbereitung, kein akutes Risiko), „High“, „Extreme“ (dein Notfallplan wird jetzt aktiviert) und „Catastrophic“ (die Feuerwehr kann den Brand voraussichtlich nicht kontrollieren; Evakuieren ist die sicherste Option). Zyklone werden in fünf Kategorien eingeteilt, gestaffelt nach Windstärke; ab Kategorie 3 gelten sie als „schwer“ (</w:t>
      </w:r>
      <w:r>
        <w:rPr>
          <w:i/>
          <w:iCs/>
        </w:rPr>
        <w:t>severe</w:t>
      </w:r>
      <w:r>
        <w:t>).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w14:paraId="70A4F672" w14:textId="77777777" w:rsidR="00C1548D" w:rsidRDefault="009B1B4B">
      <w:pPr>
        <w:spacing w:after="140"/>
      </w:pPr>
      <w:r>
        <w:t xml:space="preserve">Welche Gefahr für dich konkret zutrifft, hängt stark vom Wohnort ab: Im Süden und Osten (Melbourne-Umland, New-South-Wales-Buschland) dominiert das Buschbrandrisiko, im tropischen Norden (Queensland, Northern Territory, Nord-Western-Australia) vor allem Zyklone und die mit ihnen einhergehenden Überschwemmungen, im trockenen Landesinneren eher Hitzewellen und Wassermangel. Wer wie Familie Reinhardt in einem Vorort von Melbourne lebt, hat </w:t>
      </w:r>
      <w:r>
        <w:lastRenderedPageBreak/>
        <w:t>andere Vorsorge zu treffen als jemand, der wie Nina Voss zeitweise im tropischen Queensland arbeitet.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75"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673" w14:textId="77777777" w:rsidR="00C1548D" w:rsidRDefault="009B1B4B">
            <w:pPr>
              <w:keepNext/>
              <w:spacing w:after="70" w:line="240" w:lineRule="auto"/>
            </w:pPr>
            <w:r>
              <w:rPr>
                <w:b/>
                <w:bCs/>
                <w:color w:val="4A5568"/>
                <w:spacing w:val="24"/>
                <w:sz w:val="16"/>
                <w:szCs w:val="16"/>
              </w:rPr>
              <w:t>PRAXISBEISPIEL · FIKTIV</w:t>
            </w:r>
          </w:p>
          <w:p w14:paraId="70A4F674" w14:textId="77777777" w:rsidR="00C1548D" w:rsidRDefault="009B1B4B">
            <w:pPr>
              <w:spacing w:after="80" w:line="264" w:lineRule="auto"/>
            </w:pPr>
            <w:r>
              <w:rPr>
                <w:sz w:val="20"/>
                <w:szCs w:val="20"/>
              </w:rPr>
              <w:t>Nina Voss (fiktives Beispiel) jobbt während ihres Working-Holiday-Jahres einige Monate auf einer Farm in Queensland, um die für ein zweites Jahr nötigen Regional-Arbeitstage zu sammeln. Mitten in der Erntesaison ruft ihr Farmchef sie und die anderen Backpacker eines Nachmittags zusammen: Die örtliche Feuerbehörde hat für den nächsten Tag die Stufe „Catastrophic“ ausgerufen, ein Waldbrand brennt bereits zwei Ortschaften weiter. Nina hatte bis dahin nie eine Warn-App installiert und kein Codewort für einen Sa</w:t>
            </w:r>
            <w:r>
              <w:rPr>
                <w:sz w:val="20"/>
                <w:szCs w:val="20"/>
              </w:rPr>
              <w:t>mmelpunkt vereinbart – improvisiert klappt es trotzdem, aber sie beschließt danach, sich für den Rest ihrer Zeit in Australien nie wieder ohne Notfallplan in eine buschbrandgefährdete Gegend zu begeben.</w:t>
            </w:r>
          </w:p>
        </w:tc>
      </w:tr>
    </w:tbl>
    <w:p w14:paraId="70A4F676" w14:textId="77777777" w:rsidR="00C1548D" w:rsidRDefault="00C1548D">
      <w:pPr>
        <w:spacing w:line="220" w:lineRule="exact"/>
      </w:pPr>
    </w:p>
    <w:p w14:paraId="70A4F677" w14:textId="77777777" w:rsidR="00C1548D" w:rsidRDefault="009B1B4B">
      <w:pPr>
        <w:pStyle w:val="Heading3"/>
        <w:keepNext/>
        <w:jc w:val="center"/>
      </w:pPr>
      <w:r>
        <w:rPr>
          <w:rFonts w:ascii="Amazon Ember" w:eastAsia="Amazon Ember" w:hAnsi="Amazon Ember" w:cs="Amazon Ember"/>
          <w:color w:val="0000FF"/>
          <w:sz w:val="36"/>
          <w:szCs w:val="36"/>
        </w:rPr>
        <w:t>Vorsorge und Versicherung</w:t>
      </w:r>
    </w:p>
    <w:p w14:paraId="70A4F678" w14:textId="77777777" w:rsidR="00C1548D" w:rsidRDefault="009B1B4B">
      <w:pPr>
        <w:spacing w:after="140"/>
      </w:pPr>
      <w:r>
        <w:t xml:space="preserve">Installiere die Warn-App oder abonniere die Website der zuständigen Landesbehörde für deinen Wohnort (etwa das </w:t>
      </w:r>
      <w:r>
        <w:rPr>
          <w:i/>
          <w:iCs/>
        </w:rPr>
        <w:t>Rural Fire Service</w:t>
      </w:r>
      <w:r>
        <w:t xml:space="preserve"> in New South Wales, die </w:t>
      </w:r>
      <w:r>
        <w:rPr>
          <w:i/>
          <w:iCs/>
        </w:rPr>
        <w:t>Country Fire Authority</w:t>
      </w:r>
      <w:r>
        <w:t xml:space="preserve"> in Victoria oder die Feuerwehrbehörde in Queensland) sowie das bundesweite Telefon- und SMS-Warnsystem </w:t>
      </w:r>
      <w:r>
        <w:rPr>
          <w:i/>
          <w:iCs/>
        </w:rPr>
        <w:t>Emergency Alert</w:t>
      </w:r>
      <w:r>
        <w:t xml:space="preserve">. In Zyklongebieten verfolgst du außerdem die Warnungen des Wetterdienstes </w:t>
      </w:r>
      <w:r>
        <w:rPr>
          <w:i/>
          <w:iCs/>
        </w:rPr>
        <w:t>Bureau of Meteorology</w:t>
      </w:r>
      <w:r>
        <w:t>. Ein Notfallplan gehört in jeden Haushalt in einer gefährdeten Region: ein Sammelpunkt für die Familie, eine Kontaktperson außerhalb der 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7B"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679" w14:textId="77777777" w:rsidR="00C1548D" w:rsidRDefault="009B1B4B">
            <w:pPr>
              <w:keepNext/>
              <w:spacing w:after="70" w:line="240" w:lineRule="auto"/>
            </w:pPr>
            <w:r>
              <w:rPr>
                <w:b/>
                <w:bCs/>
                <w:color w:val="2F6B3B"/>
                <w:spacing w:val="24"/>
                <w:sz w:val="16"/>
                <w:szCs w:val="16"/>
              </w:rPr>
              <w:lastRenderedPageBreak/>
              <w:t>SPARTIPP</w:t>
            </w:r>
          </w:p>
          <w:p w14:paraId="70A4F67A" w14:textId="77777777" w:rsidR="00C1548D" w:rsidRDefault="009B1B4B">
            <w:pPr>
              <w:spacing w:after="80" w:line="264" w:lineRule="auto"/>
            </w:pPr>
            <w:r>
              <w:rPr>
                <w:sz w:val="20"/>
                <w:szCs w:val="20"/>
              </w:rPr>
              <w:t>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tc>
      </w:tr>
    </w:tbl>
    <w:p w14:paraId="70A4F67C" w14:textId="77777777" w:rsidR="00C1548D" w:rsidRDefault="00C1548D">
      <w:pPr>
        <w:spacing w:line="220" w:lineRule="exact"/>
      </w:pPr>
    </w:p>
    <w:p w14:paraId="70A4F67D" w14:textId="77777777" w:rsidR="00C1548D" w:rsidRDefault="009B1B4B">
      <w:pPr>
        <w:pStyle w:val="Heading3"/>
        <w:keepNext/>
        <w:jc w:val="center"/>
      </w:pPr>
      <w:r>
        <w:rPr>
          <w:rFonts w:ascii="Amazon Ember" w:eastAsia="Amazon Ember" w:hAnsi="Amazon Ember" w:cs="Amazon Ember"/>
          <w:color w:val="0000FF"/>
          <w:sz w:val="36"/>
          <w:szCs w:val="36"/>
        </w:rPr>
        <w:t>Konsularische Hilfe</w:t>
      </w:r>
    </w:p>
    <w:p w14:paraId="70A4F67E" w14:textId="77777777" w:rsidR="00C1548D" w:rsidRDefault="009B1B4B">
      <w:pPr>
        <w:spacing w:after="140"/>
      </w:pPr>
      <w:r>
        <w:t>Deutschland unterhält die Botschaft in Canberra und ein Generalkonsulat in Sydney; in mehreren Großstädten, darunter Melbourne, helfen zusätzlich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w:t>
      </w:r>
      <w:r>
        <w:t xml:space="preserve">eliste </w:t>
      </w:r>
      <w:r>
        <w:rPr>
          <w:i/>
          <w:iCs/>
        </w:rPr>
        <w:t>Elefand</w:t>
      </w:r>
      <w:r>
        <w:t xml:space="preserve"> des Auswärtigen Amts ein, damit dich die Botschaft im Krisenfall erreichen kann.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81"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67F" w14:textId="77777777" w:rsidR="00C1548D" w:rsidRDefault="009B1B4B">
            <w:pPr>
              <w:keepNext/>
              <w:spacing w:after="70" w:line="240" w:lineRule="auto"/>
            </w:pPr>
            <w:r>
              <w:rPr>
                <w:b/>
                <w:bCs/>
                <w:color w:val="6B7280"/>
                <w:spacing w:val="24"/>
                <w:sz w:val="16"/>
                <w:szCs w:val="16"/>
              </w:rPr>
              <w:t>KEIN RECHTSRAT</w:t>
            </w:r>
          </w:p>
          <w:p w14:paraId="70A4F680" w14:textId="77777777" w:rsidR="00C1548D" w:rsidRDefault="009B1B4B">
            <w:pPr>
              <w:spacing w:after="80" w:line="264" w:lineRule="auto"/>
            </w:pPr>
            <w:r>
              <w:rPr>
                <w:sz w:val="20"/>
                <w:szCs w:val="20"/>
              </w:rPr>
              <w:t>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tc>
      </w:tr>
    </w:tbl>
    <w:p w14:paraId="70A4F682" w14:textId="77777777" w:rsidR="00C1548D" w:rsidRDefault="00C1548D">
      <w:pPr>
        <w:spacing w:line="220" w:lineRule="exact"/>
      </w:pPr>
    </w:p>
    <w:p w14:paraId="70A4F683"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686"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684"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685" w14:textId="77777777" w:rsidR="00C1548D" w:rsidRDefault="009B1B4B">
            <w:pPr>
              <w:spacing w:line="250" w:lineRule="auto"/>
            </w:pPr>
            <w:r>
              <w:rPr>
                <w:b/>
                <w:bCs/>
                <w:sz w:val="18"/>
                <w:szCs w:val="18"/>
              </w:rPr>
              <w:t>Minus</w:t>
            </w:r>
          </w:p>
        </w:tc>
      </w:tr>
      <w:tr w:rsidR="00C1548D" w14:paraId="70A4F68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87" w14:textId="77777777" w:rsidR="00C1548D" w:rsidRDefault="009B1B4B">
            <w:pPr>
              <w:spacing w:line="250" w:lineRule="auto"/>
            </w:pPr>
            <w:r>
              <w:rPr>
                <w:sz w:val="18"/>
                <w:szCs w:val="18"/>
              </w:rPr>
              <w:t>Verdachtsunabhängige Kontrollen senken nachweislich Unfallzahlen im Straßenverkehr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88" w14:textId="77777777" w:rsidR="00C1548D" w:rsidRDefault="009B1B4B">
            <w:pPr>
              <w:spacing w:line="250" w:lineRule="auto"/>
            </w:pPr>
            <w:r>
              <w:rPr>
                <w:sz w:val="18"/>
                <w:szCs w:val="18"/>
              </w:rPr>
              <w:t>Zufallstests wirken auf Neuankömmlinge zunächst befremdlich und einschüchternd</w:t>
            </w:r>
          </w:p>
        </w:tc>
      </w:tr>
      <w:tr w:rsidR="00C1548D" w14:paraId="70A4F68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8A" w14:textId="77777777" w:rsidR="00C1548D" w:rsidRDefault="009B1B4B">
            <w:pPr>
              <w:spacing w:line="250" w:lineRule="auto"/>
            </w:pPr>
            <w:r>
              <w:rPr>
                <w:sz w:val="18"/>
                <w:szCs w:val="18"/>
              </w:rPr>
              <w:t>Striktes Waffenrecht bedeutet vergleichsweise wenig Waffengewalt im Alltag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8B" w14:textId="77777777" w:rsidR="00C1548D" w:rsidRDefault="009B1B4B">
            <w:pPr>
              <w:spacing w:line="250" w:lineRule="auto"/>
            </w:pPr>
            <w:r>
              <w:rPr>
                <w:sz w:val="18"/>
                <w:szCs w:val="18"/>
              </w:rPr>
              <w:t>Wer aus Ländern mit liberalerem Waffenrecht kommt, muss umdenken</w:t>
            </w:r>
          </w:p>
        </w:tc>
      </w:tr>
      <w:tr w:rsidR="00C1548D" w14:paraId="70A4F68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8D" w14:textId="77777777" w:rsidR="00C1548D" w:rsidRDefault="009B1B4B">
            <w:pPr>
              <w:spacing w:line="250" w:lineRule="auto"/>
            </w:pPr>
            <w:r>
              <w:rPr>
                <w:sz w:val="18"/>
                <w:szCs w:val="18"/>
              </w:rPr>
              <w:t>Klares, bundesweit bekanntes Warnstufensystem bei Buschbränden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8E" w14:textId="77777777" w:rsidR="00C1548D" w:rsidRDefault="009B1B4B">
            <w:pPr>
              <w:spacing w:line="250" w:lineRule="auto"/>
            </w:pPr>
            <w:r>
              <w:rPr>
                <w:sz w:val="18"/>
                <w:szCs w:val="18"/>
              </w:rPr>
              <w:t>Buschbrand- und Zyklonrisiko ist für viele Regionen real, nicht nur theoretisch</w:t>
            </w:r>
          </w:p>
        </w:tc>
      </w:tr>
      <w:tr w:rsidR="00C1548D" w14:paraId="70A4F69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90" w14:textId="77777777" w:rsidR="00C1548D" w:rsidRDefault="009B1B4B">
            <w:pPr>
              <w:spacing w:line="250" w:lineRule="auto"/>
            </w:pPr>
            <w:r>
              <w:rPr>
                <w:sz w:val="18"/>
                <w:szCs w:val="18"/>
              </w:rPr>
              <w:t>Grundrechte bei Polizeikontakt (Schweigen, Anwalt) gelten für alle im Land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91" w14:textId="77777777" w:rsidR="00C1548D" w:rsidRDefault="009B1B4B">
            <w:pPr>
              <w:spacing w:line="250" w:lineRule="auto"/>
            </w:pPr>
            <w:r>
              <w:rPr>
                <w:sz w:val="18"/>
                <w:szCs w:val="18"/>
              </w:rPr>
              <w:t>Cannabis-Recht ist ein Flickenteppich, der schnell zur Falle wird</w:t>
            </w:r>
          </w:p>
        </w:tc>
      </w:tr>
      <w:tr w:rsidR="00C1548D" w14:paraId="70A4F69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93" w14:textId="77777777" w:rsidR="00C1548D" w:rsidRDefault="009B1B4B">
            <w:pPr>
              <w:spacing w:line="250" w:lineRule="auto"/>
            </w:pPr>
            <w:r>
              <w:rPr>
                <w:sz w:val="18"/>
                <w:szCs w:val="18"/>
              </w:rPr>
              <w:t>Medizinisches Cannabis ist bundesweit legal zugänglich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94" w14:textId="77777777" w:rsidR="00C1548D" w:rsidRDefault="009B1B4B">
            <w:pPr>
              <w:spacing w:line="250" w:lineRule="auto"/>
            </w:pPr>
            <w:r>
              <w:rPr>
                <w:sz w:val="18"/>
                <w:szCs w:val="18"/>
              </w:rPr>
              <w:t>Auch mit Rezept bleibt Autofahren mit THC im Blut fast überall strafbar</w:t>
            </w:r>
          </w:p>
        </w:tc>
      </w:tr>
    </w:tbl>
    <w:p w14:paraId="70A4F696" w14:textId="77777777" w:rsidR="00C1548D" w:rsidRDefault="00C1548D">
      <w:pPr>
        <w:spacing w:line="180" w:lineRule="exact"/>
      </w:pPr>
    </w:p>
    <w:p w14:paraId="70A4F697"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698" w14:textId="77777777" w:rsidR="00C1548D" w:rsidRDefault="009B1B4B">
      <w:pPr>
        <w:spacing w:after="140"/>
      </w:pPr>
      <w:r>
        <w:t xml:space="preserve">Gewöhne dich frühzeitig an das Prinzip der verdachtsunabhängigen Verkehrskontrolle, damit dich der erste </w:t>
      </w:r>
      <w:r>
        <w:rPr>
          <w:i/>
          <w:iCs/>
        </w:rPr>
        <w:t>Booze Bus</w:t>
      </w:r>
      <w:r>
        <w:t xml:space="preserve">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 das gilt besonders für das Autofahren.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A3"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699" w14:textId="77777777" w:rsidR="00C1548D" w:rsidRDefault="009B1B4B">
            <w:pPr>
              <w:keepNext/>
              <w:spacing w:after="70" w:line="240" w:lineRule="auto"/>
            </w:pPr>
            <w:r>
              <w:rPr>
                <w:b/>
                <w:bCs/>
                <w:color w:val="1F6F78"/>
                <w:spacing w:val="24"/>
                <w:sz w:val="16"/>
                <w:szCs w:val="16"/>
              </w:rPr>
              <w:lastRenderedPageBreak/>
              <w:t>CHECKLISTE</w:t>
            </w:r>
          </w:p>
          <w:p w14:paraId="70A4F69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Verhalten bei Random Breath/Drug Testing mit der Familie einmal durchgesprochen</w:t>
            </w:r>
          </w:p>
          <w:p w14:paraId="70A4F69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Grundrechte bei Polizeikontakt gekannt: Namen und Adresse nennen, sonst schweigen dürfen, Durchsuchung ohne Verdacht ablehnen dürfen</w:t>
            </w:r>
          </w:p>
          <w:p w14:paraId="70A4F69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am Wohnort Waffenbesitz überhaupt relevant wird – meist nicht</w:t>
            </w:r>
          </w:p>
          <w:p w14:paraId="70A4F69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Cannabis-Rechtslage des eigenen Bundesstaats nachgeschlagen, statt sich auf Hörensagen zu verlassen</w:t>
            </w:r>
          </w:p>
          <w:p w14:paraId="70A4F69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ärztlich verordnetem Cannabis: Fahrregeln des eigenen Bundesstaats vorab mit einem Anwalt geklärt</w:t>
            </w:r>
          </w:p>
          <w:p w14:paraId="70A4F69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Warn-App der zuständigen Landesfeuerbehörde installiert und Emergency Alert aktiviert</w:t>
            </w:r>
          </w:p>
          <w:p w14:paraId="70A4F6A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Notfallplan mit Sammelpunkt, Notvorrat und externer Kontaktperson erstellt</w:t>
            </w:r>
          </w:p>
          <w:p w14:paraId="70A4F6A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Haus- oder Hausratversicherung auf Flut-, Sturmflut- und Buschbrandschutz geprüft</w:t>
            </w:r>
          </w:p>
          <w:p w14:paraId="70A4F6A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Nummer der deutschen Auslandsvertretung für Notfälle gespeichert und in die Krisenvorsorgeliste Elefand eingetragen</w:t>
            </w:r>
          </w:p>
        </w:tc>
      </w:tr>
    </w:tbl>
    <w:p w14:paraId="70A4F6A4" w14:textId="77777777" w:rsidR="00C1548D" w:rsidRDefault="00C1548D">
      <w:pPr>
        <w:spacing w:line="220" w:lineRule="exact"/>
      </w:pPr>
    </w:p>
    <w:p w14:paraId="70A4F6A5"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6A6" w14:textId="335B518A" w:rsidR="00C1548D" w:rsidRDefault="009B1B4B" w:rsidP="009B1B4B">
      <w:pPr>
        <w:pStyle w:val="ListParagraph"/>
        <w:numPr>
          <w:ilvl w:val="0"/>
          <w:numId w:val="1"/>
        </w:numPr>
        <w:spacing w:after="60"/>
      </w:pPr>
      <w:hyperlink r:id="rId466" w:history="1">
        <w:r>
          <w:rPr>
            <w:color w:val="0563C1"/>
            <w:u w:val="single"/>
          </w:rPr>
          <w:t>afdrs.com.au</w:t>
        </w:r>
      </w:hyperlink>
      <w:r>
        <w:t xml:space="preserve"> – Australian Fire Danger Rating System, Warnstufen</w:t>
      </w:r>
    </w:p>
    <w:p w14:paraId="70A4F6A7" w14:textId="1CE9C622" w:rsidR="00C1548D" w:rsidRDefault="009B1B4B" w:rsidP="009B1B4B">
      <w:pPr>
        <w:pStyle w:val="ListParagraph"/>
        <w:numPr>
          <w:ilvl w:val="0"/>
          <w:numId w:val="1"/>
        </w:numPr>
        <w:spacing w:after="60"/>
      </w:pPr>
      <w:hyperlink r:id="rId467" w:history="1">
        <w:r>
          <w:rPr>
            <w:color w:val="0563C1"/>
            <w:u w:val="single"/>
          </w:rPr>
          <w:t>bom.gov.au</w:t>
        </w:r>
      </w:hyperlink>
      <w:r>
        <w:t xml:space="preserve"> – Bureau of Meteorology, Wetter- und Zyklonwarnungen</w:t>
      </w:r>
    </w:p>
    <w:p w14:paraId="70A4F6A8" w14:textId="0A3A9B87" w:rsidR="00C1548D" w:rsidRDefault="009B1B4B" w:rsidP="009B1B4B">
      <w:pPr>
        <w:pStyle w:val="ListParagraph"/>
        <w:numPr>
          <w:ilvl w:val="0"/>
          <w:numId w:val="1"/>
        </w:numPr>
        <w:spacing w:after="60"/>
      </w:pPr>
      <w:hyperlink r:id="rId468" w:history="1">
        <w:r>
          <w:rPr>
            <w:color w:val="0563C1"/>
            <w:u w:val="single"/>
          </w:rPr>
          <w:t>rfs.nsw.gov.au</w:t>
        </w:r>
      </w:hyperlink>
      <w:r>
        <w:t xml:space="preserve"> / </w:t>
      </w:r>
      <w:hyperlink r:id="rId469" w:history="1">
        <w:r>
          <w:rPr>
            <w:color w:val="0563C1"/>
            <w:u w:val="single"/>
          </w:rPr>
          <w:t>cfa.vic.gov.au</w:t>
        </w:r>
      </w:hyperlink>
      <w:r>
        <w:t xml:space="preserve"> – Landesfeuerwehrbehörden New South Wales und Victoria</w:t>
      </w:r>
    </w:p>
    <w:p w14:paraId="70A4F6A9" w14:textId="7003CA41" w:rsidR="00C1548D" w:rsidRDefault="009B1B4B" w:rsidP="009B1B4B">
      <w:pPr>
        <w:pStyle w:val="ListParagraph"/>
        <w:numPr>
          <w:ilvl w:val="0"/>
          <w:numId w:val="1"/>
        </w:numPr>
        <w:spacing w:after="60"/>
      </w:pPr>
      <w:hyperlink r:id="rId470" w:history="1">
        <w:r>
          <w:rPr>
            <w:color w:val="0563C1"/>
            <w:u w:val="single"/>
          </w:rPr>
          <w:t>health.gov.au</w:t>
        </w:r>
      </w:hyperlink>
      <w:r>
        <w:t xml:space="preserve"> / </w:t>
      </w:r>
      <w:hyperlink r:id="rId471" w:history="1">
        <w:r>
          <w:rPr>
            <w:color w:val="0563C1"/>
            <w:u w:val="single"/>
          </w:rPr>
          <w:t>tga.gov.au</w:t>
        </w:r>
      </w:hyperlink>
      <w:r>
        <w:t xml:space="preserve"> – medizinisches Cannabis, Zulassung und Verschreibung</w:t>
      </w:r>
    </w:p>
    <w:p w14:paraId="70A4F6AA" w14:textId="479E266A" w:rsidR="00C1548D" w:rsidRDefault="009B1B4B" w:rsidP="009B1B4B">
      <w:pPr>
        <w:pStyle w:val="ListParagraph"/>
        <w:numPr>
          <w:ilvl w:val="0"/>
          <w:numId w:val="1"/>
        </w:numPr>
        <w:spacing w:after="60"/>
      </w:pPr>
      <w:hyperlink r:id="rId472" w:history="1">
        <w:r>
          <w:rPr>
            <w:color w:val="0563C1"/>
            <w:u w:val="single"/>
          </w:rPr>
          <w:t>legislation.act.gov.au</w:t>
        </w:r>
      </w:hyperlink>
      <w:r>
        <w:t xml:space="preserve"> – Cannabis-Recht in der Australian Capital Territory</w:t>
      </w:r>
    </w:p>
    <w:p w14:paraId="70A4F6AB" w14:textId="0F6A2CFB" w:rsidR="00C1548D" w:rsidRDefault="009B1B4B" w:rsidP="009B1B4B">
      <w:pPr>
        <w:pStyle w:val="ListParagraph"/>
        <w:numPr>
          <w:ilvl w:val="0"/>
          <w:numId w:val="1"/>
        </w:numPr>
        <w:spacing w:after="60"/>
      </w:pPr>
      <w:hyperlink r:id="rId473" w:history="1">
        <w:r>
          <w:rPr>
            <w:color w:val="0563C1"/>
            <w:u w:val="single"/>
          </w:rPr>
          <w:t>acic.gov.au</w:t>
        </w:r>
      </w:hyperlink>
      <w:r>
        <w:t xml:space="preserve"> – National Firearms Agreement 1996</w:t>
      </w:r>
    </w:p>
    <w:p w14:paraId="70A4F6AC" w14:textId="47C942AD" w:rsidR="00C1548D" w:rsidRDefault="009B1B4B" w:rsidP="009B1B4B">
      <w:pPr>
        <w:pStyle w:val="ListParagraph"/>
        <w:numPr>
          <w:ilvl w:val="0"/>
          <w:numId w:val="1"/>
        </w:numPr>
        <w:spacing w:after="60"/>
      </w:pPr>
      <w:hyperlink r:id="rId474" w:history="1">
        <w:r>
          <w:rPr>
            <w:color w:val="0563C1"/>
            <w:u w:val="single"/>
          </w:rPr>
          <w:t>transport.nsw.gov.au</w:t>
        </w:r>
      </w:hyperlink>
      <w:r>
        <w:t xml:space="preserve"> – Alkohol- und Drogenkontrollen im Straßenverkehr</w:t>
      </w:r>
    </w:p>
    <w:p w14:paraId="70A4F6AD" w14:textId="68EA426B" w:rsidR="00C1548D" w:rsidRDefault="009B1B4B" w:rsidP="009B1B4B">
      <w:pPr>
        <w:pStyle w:val="ListParagraph"/>
        <w:numPr>
          <w:ilvl w:val="0"/>
          <w:numId w:val="1"/>
        </w:numPr>
        <w:spacing w:after="60"/>
      </w:pPr>
      <w:hyperlink r:id="rId475" w:history="1">
        <w:r>
          <w:rPr>
            <w:color w:val="0563C1"/>
            <w:u w:val="single"/>
          </w:rPr>
          <w:t>germany.info</w:t>
        </w:r>
      </w:hyperlink>
      <w:r>
        <w:t xml:space="preserve"> – konsularische Hilfe für Deutsche in Australien</w:t>
      </w:r>
    </w:p>
    <w:p w14:paraId="70A4F6AE"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B1"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6AF" w14:textId="77777777" w:rsidR="00C1548D" w:rsidRDefault="009B1B4B">
            <w:pPr>
              <w:keepNext/>
              <w:spacing w:after="70" w:line="240" w:lineRule="auto"/>
            </w:pPr>
            <w:r>
              <w:rPr>
                <w:b/>
                <w:bCs/>
                <w:color w:val="6B7280"/>
                <w:spacing w:val="24"/>
                <w:sz w:val="16"/>
                <w:szCs w:val="16"/>
              </w:rPr>
              <w:t>STAND</w:t>
            </w:r>
          </w:p>
          <w:p w14:paraId="70A4F6B0" w14:textId="77777777" w:rsidR="00C1548D" w:rsidRDefault="009B1B4B">
            <w:pPr>
              <w:spacing w:after="80" w:line="264" w:lineRule="auto"/>
            </w:pPr>
            <w:r>
              <w:rPr>
                <w:sz w:val="20"/>
                <w:szCs w:val="20"/>
              </w:rPr>
              <w:t>September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zuständigen Landesbehörden.</w:t>
            </w:r>
          </w:p>
        </w:tc>
      </w:tr>
    </w:tbl>
    <w:p w14:paraId="70A4F6B2" w14:textId="77777777" w:rsidR="00C1548D" w:rsidRDefault="00C1548D">
      <w:pPr>
        <w:spacing w:line="220" w:lineRule="exact"/>
      </w:pPr>
    </w:p>
    <w:p w14:paraId="70A4F6B3" w14:textId="77777777" w:rsidR="00C1548D" w:rsidRDefault="009B1B4B">
      <w:pPr>
        <w:pStyle w:val="Heading2"/>
        <w:keepNext/>
        <w:pageBreakBefore/>
        <w:jc w:val="center"/>
      </w:pPr>
      <w:bookmarkStart w:id="132" w:name="tau16"/>
      <w:bookmarkStart w:id="133" w:name="_Toc241352517"/>
      <w:r>
        <w:rPr>
          <w:rFonts w:ascii="Amazon Ember" w:eastAsia="Amazon Ember" w:hAnsi="Amazon Ember" w:cs="Amazon Ember"/>
          <w:color w:val="0000FF"/>
          <w:sz w:val="36"/>
          <w:szCs w:val="36"/>
        </w:rPr>
        <w:lastRenderedPageBreak/>
        <w:t>Australien: Staatsbürgerschaft und Steuerresidenz</w:t>
      </w:r>
      <w:bookmarkEnd w:id="132"/>
      <w:bookmarkEnd w:id="133"/>
    </w:p>
    <w:p w14:paraId="70A4F6B4" w14:textId="77777777" w:rsidR="00C1548D" w:rsidRDefault="009B1B4B">
      <w:pPr>
        <w:spacing w:after="140"/>
      </w:pPr>
      <w:r>
        <w:t>Als Sandra Reinhardt zum ersten Mal hört, wie die USA ihre Staatsbürger besteuern – lebenslang, weltweit, unabhängig vom Wohnort, sogar nach einer Rückkehr nach Deutschland –, wird ihr kurz mulmig: Gilt das im Kern genauso für sie, sobald sie eines Tages den australischen Pass in der Tasche hat? Die Antwort, die ihr ein australischer Steuerberater gibt, überrascht sie. Australien fragt nicht, welchen Pass du trägst, sondern wo du lebst. Der Weg zum australischen Pass und die Frage, was er steuerlich bedeute</w:t>
      </w:r>
      <w:r>
        <w:t>t, sind zwei ganz verschiedene Geschichten – und genau die erzählt dieses Kapitel.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BB"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6B5" w14:textId="77777777" w:rsidR="00C1548D" w:rsidRDefault="009B1B4B">
            <w:pPr>
              <w:keepNext/>
              <w:spacing w:after="70" w:line="240" w:lineRule="auto"/>
            </w:pPr>
            <w:r>
              <w:rPr>
                <w:b/>
                <w:bCs/>
                <w:color w:val="1F3A5F"/>
                <w:spacing w:val="24"/>
                <w:sz w:val="16"/>
                <w:szCs w:val="16"/>
              </w:rPr>
              <w:t>KURZ GESAGT</w:t>
            </w:r>
          </w:p>
          <w:p w14:paraId="70A4F6B6" w14:textId="77777777" w:rsidR="00C1548D" w:rsidRDefault="009B1B4B" w:rsidP="009B1B4B">
            <w:pPr>
              <w:pStyle w:val="ListParagraph"/>
              <w:numPr>
                <w:ilvl w:val="0"/>
                <w:numId w:val="1"/>
              </w:numPr>
              <w:spacing w:after="50" w:line="264" w:lineRule="auto"/>
            </w:pPr>
            <w:r>
              <w:rPr>
                <w:sz w:val="20"/>
                <w:szCs w:val="20"/>
              </w:rPr>
              <w:t xml:space="preserve">Staatsbürgerschaft setzt in der Regel vier Jahre rechtmäßigen Aufenthalt unmittelbar vor Antragstellung voraus, davon die letzten zwölf Monate als </w:t>
            </w:r>
            <w:r>
              <w:rPr>
                <w:i/>
                <w:iCs/>
                <w:sz w:val="20"/>
                <w:szCs w:val="20"/>
              </w:rPr>
              <w:t>Permanent Resident</w:t>
            </w:r>
            <w:r>
              <w:rPr>
                <w:sz w:val="20"/>
                <w:szCs w:val="20"/>
              </w:rPr>
              <w:t xml:space="preserve"> (PR); zwei getrennte Abwesenheitsgrenzen gelten gleichzeitig.</w:t>
            </w:r>
          </w:p>
          <w:p w14:paraId="70A4F6B7" w14:textId="77777777" w:rsidR="00C1548D" w:rsidRDefault="009B1B4B" w:rsidP="009B1B4B">
            <w:pPr>
              <w:pStyle w:val="ListParagraph"/>
              <w:numPr>
                <w:ilvl w:val="0"/>
                <w:numId w:val="1"/>
              </w:numPr>
              <w:spacing w:after="50" w:line="264" w:lineRule="auto"/>
            </w:pPr>
            <w:r>
              <w:rPr>
                <w:sz w:val="20"/>
                <w:szCs w:val="20"/>
              </w:rPr>
              <w:t>Citizenship Test: 20 Fragen, mindestens 15 richtig (75 %) UND alle fünf Pflichtfragen zu „Australian Values“ korrekt; Befreiung von Test und Sprachnachweis ab 60 Jahren, das persönliche Interview bleibt aber Pflicht.</w:t>
            </w:r>
          </w:p>
          <w:p w14:paraId="70A4F6B8" w14:textId="77777777" w:rsidR="00C1548D" w:rsidRDefault="009B1B4B" w:rsidP="009B1B4B">
            <w:pPr>
              <w:pStyle w:val="ListParagraph"/>
              <w:numPr>
                <w:ilvl w:val="0"/>
                <w:numId w:val="1"/>
              </w:numPr>
              <w:spacing w:after="50" w:line="264" w:lineRule="auto"/>
            </w:pPr>
            <w:r>
              <w:rPr>
                <w:sz w:val="20"/>
                <w:szCs w:val="20"/>
              </w:rPr>
              <w:t>Gebühr 595 AUD (seit 1. Juli 2026); realistische Gesamtdauer von der Einreise bis zum Pass vier bis acht Jahre, je nachdem, über welchen Weg der PR-Status erreicht wurde.</w:t>
            </w:r>
          </w:p>
          <w:p w14:paraId="70A4F6B9" w14:textId="77777777" w:rsidR="00C1548D" w:rsidRDefault="009B1B4B" w:rsidP="009B1B4B">
            <w:pPr>
              <w:pStyle w:val="ListParagraph"/>
              <w:numPr>
                <w:ilvl w:val="0"/>
                <w:numId w:val="1"/>
              </w:numPr>
              <w:spacing w:after="50" w:line="264" w:lineRule="auto"/>
            </w:pPr>
            <w:r>
              <w:rPr>
                <w:sz w:val="20"/>
                <w:szCs w:val="20"/>
              </w:rPr>
              <w:t>Doppelte Staatsbürgerschaft ist seit 2002 (Australien) und seit dem 27. Juni 2024 (Deutschland) für beide Seiten unproblematisch – für Einbürgerungen vor diesem Datum kann die alte, strengere deutsche Rechtslage noch nachwirken.</w:t>
            </w:r>
          </w:p>
          <w:p w14:paraId="70A4F6BA" w14:textId="77777777" w:rsidR="00C1548D" w:rsidRDefault="009B1B4B" w:rsidP="009B1B4B">
            <w:pPr>
              <w:pStyle w:val="ListParagraph"/>
              <w:numPr>
                <w:ilvl w:val="0"/>
                <w:numId w:val="1"/>
              </w:numPr>
              <w:spacing w:after="50" w:line="264" w:lineRule="auto"/>
            </w:pPr>
            <w:r>
              <w:rPr>
                <w:sz w:val="20"/>
                <w:szCs w:val="20"/>
              </w:rPr>
              <w:t>Verbreiteter Irrtum: Australien besteuert nach Steuerwohnsitz, nicht nach Pass. Anders als die USA gibt es keine an die Staatsbürgerschaft gekoppelte, lebenslange Steuerpflicht und keine Exit Tax beim Verzicht auf die australische Staatsbürgerschaft.</w:t>
            </w:r>
          </w:p>
        </w:tc>
      </w:tr>
    </w:tbl>
    <w:p w14:paraId="70A4F6BC" w14:textId="77777777" w:rsidR="00C1548D" w:rsidRDefault="00C1548D">
      <w:pPr>
        <w:spacing w:line="220" w:lineRule="exact"/>
      </w:pPr>
    </w:p>
    <w:p w14:paraId="70A4F6BD" w14:textId="77777777" w:rsidR="00C1548D" w:rsidRDefault="009B1B4B">
      <w:pPr>
        <w:pStyle w:val="Heading3"/>
        <w:keepNext/>
        <w:jc w:val="center"/>
      </w:pPr>
      <w:r>
        <w:rPr>
          <w:rFonts w:ascii="Amazon Ember" w:eastAsia="Amazon Ember" w:hAnsi="Amazon Ember" w:cs="Amazon Ember"/>
          <w:color w:val="0000FF"/>
          <w:sz w:val="36"/>
          <w:szCs w:val="36"/>
        </w:rPr>
        <w:lastRenderedPageBreak/>
        <w:t>Der Stufenweg zur Staatsbürgerschaft</w:t>
      </w:r>
    </w:p>
    <w:p w14:paraId="70A4F6BE" w14:textId="77777777" w:rsidR="00C1548D" w:rsidRDefault="009B1B4B">
      <w:pPr>
        <w:spacing w:after="140"/>
      </w:pPr>
      <w:r>
        <w:t xml:space="preserve">Wie lange der Weg zum Pass dauert, hängt fast ausschließlich davon ab, wie schnell du den </w:t>
      </w:r>
      <w:r>
        <w:rPr>
          <w:i/>
          <w:iCs/>
        </w:rPr>
        <w:t>Permanent-Resident</w:t>
      </w:r>
      <w:r>
        <w:t xml:space="preserve">-Status erreichst – die eigentliche Staatsbürgerschafts-Uhr läuft erst richtig, sobald der PR-Status steht. Wer wie Familie Reinhardt direkt über das </w:t>
      </w:r>
      <w:r>
        <w:rPr>
          <w:i/>
          <w:iCs/>
        </w:rPr>
        <w:t>Skilled Independent Visa</w:t>
      </w:r>
      <w:r>
        <w:t xml:space="preserve"> (Subclass 189) einreist, hält den PR-Status bereits am Tag der Landung; die „letzten 12 Monate als PR“-Bedingung beginnt dann parallel zur allgemeinen 4-Jahres-Frist zu laufen, und der Antrag ist realistisch nach vier bis fünf Jahren möglich. Wer wie Nina Voss über ein Working-Holiday-Visum einreist, später über einen Arbeitgeber auf ein befristetes Skilled-Visum wechselt und erst nach mehrjährigem Sponsoring den PR-Status über den Übergang zur permanenten Stufe erhält, startet die entscheidende 12-Monats-</w:t>
      </w:r>
      <w:r>
        <w:t>Uhr deutlich später. Für diesen Weg sind sechs bis acht Jahre ab der Einreise realistischer, weil die PR-Erteilung selbst oft erst drei bis vier Jahre nach der Ankunft erfolgt.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77"/>
        <w:gridCol w:w="2903"/>
      </w:tblGrid>
      <w:tr w:rsidR="00C1548D" w14:paraId="70A4F6C1" w14:textId="77777777">
        <w:tblPrEx>
          <w:tblCellMar>
            <w:top w:w="0" w:type="dxa"/>
            <w:bottom w:w="0" w:type="dxa"/>
          </w:tblCellMar>
        </w:tblPrEx>
        <w:trPr>
          <w:cantSplit/>
          <w:tblHeader/>
        </w:trPr>
        <w:tc>
          <w:tcPr>
            <w:tcW w:w="35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6BF" w14:textId="77777777" w:rsidR="00C1548D" w:rsidRDefault="009B1B4B">
            <w:pPr>
              <w:spacing w:line="250" w:lineRule="auto"/>
            </w:pPr>
            <w:r>
              <w:rPr>
                <w:b/>
                <w:bCs/>
                <w:sz w:val="18"/>
                <w:szCs w:val="18"/>
              </w:rPr>
              <w:t>Einstiegsweg</w:t>
            </w:r>
          </w:p>
        </w:tc>
        <w:tc>
          <w:tcPr>
            <w:tcW w:w="29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6C0" w14:textId="77777777" w:rsidR="00C1548D" w:rsidRDefault="009B1B4B">
            <w:pPr>
              <w:spacing w:line="250" w:lineRule="auto"/>
            </w:pPr>
            <w:r>
              <w:rPr>
                <w:b/>
                <w:bCs/>
                <w:sz w:val="18"/>
                <w:szCs w:val="18"/>
              </w:rPr>
              <w:t>Realistische Gesamtdauer Einreise → Antrag</w:t>
            </w:r>
          </w:p>
        </w:tc>
      </w:tr>
      <w:tr w:rsidR="00C1548D" w14:paraId="70A4F6C4" w14:textId="77777777">
        <w:tblPrEx>
          <w:tblCellMar>
            <w:top w:w="0" w:type="dxa"/>
            <w:bottom w:w="0" w:type="dxa"/>
          </w:tblCellMar>
        </w:tblPrEx>
        <w:trPr>
          <w:cantSplit/>
        </w:trPr>
        <w:tc>
          <w:tcPr>
            <w:tcW w:w="3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C2" w14:textId="77777777" w:rsidR="00C1548D" w:rsidRDefault="009B1B4B">
            <w:pPr>
              <w:spacing w:line="250" w:lineRule="auto"/>
            </w:pPr>
            <w:r>
              <w:rPr>
                <w:sz w:val="18"/>
                <w:szCs w:val="18"/>
              </w:rPr>
              <w:t>Direkt mit PR-Visum (z. B. Subclass 189)</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C3" w14:textId="77777777" w:rsidR="00C1548D" w:rsidRDefault="009B1B4B">
            <w:pPr>
              <w:spacing w:line="250" w:lineRule="auto"/>
            </w:pPr>
            <w:r>
              <w:rPr>
                <w:sz w:val="18"/>
                <w:szCs w:val="18"/>
              </w:rPr>
              <w:t>ca. 4–5 Jahre</w:t>
            </w:r>
          </w:p>
        </w:tc>
      </w:tr>
      <w:tr w:rsidR="00C1548D" w14:paraId="70A4F6C7" w14:textId="77777777">
        <w:tblPrEx>
          <w:tblCellMar>
            <w:top w:w="0" w:type="dxa"/>
            <w:bottom w:w="0" w:type="dxa"/>
          </w:tblCellMar>
        </w:tblPrEx>
        <w:trPr>
          <w:cantSplit/>
        </w:trPr>
        <w:tc>
          <w:tcPr>
            <w:tcW w:w="3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C5" w14:textId="77777777" w:rsidR="00C1548D" w:rsidRDefault="009B1B4B">
            <w:pPr>
              <w:spacing w:line="250" w:lineRule="auto"/>
            </w:pPr>
            <w:r>
              <w:rPr>
                <w:sz w:val="18"/>
                <w:szCs w:val="18"/>
              </w:rPr>
              <w:t>Befristetes Arbeitgeber-Visum → PR-Übergang</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C6" w14:textId="77777777" w:rsidR="00C1548D" w:rsidRDefault="009B1B4B">
            <w:pPr>
              <w:spacing w:line="250" w:lineRule="auto"/>
            </w:pPr>
            <w:r>
              <w:rPr>
                <w:sz w:val="18"/>
                <w:szCs w:val="18"/>
              </w:rPr>
              <w:t>ca. 6–8 Jahre</w:t>
            </w:r>
          </w:p>
        </w:tc>
      </w:tr>
    </w:tbl>
    <w:p w14:paraId="70A4F6C8" w14:textId="77777777" w:rsidR="00C1548D" w:rsidRDefault="00C1548D">
      <w:pPr>
        <w:spacing w:line="180" w:lineRule="exact"/>
      </w:pPr>
    </w:p>
    <w:p w14:paraId="70A4F6C9" w14:textId="77777777" w:rsidR="00C1548D" w:rsidRDefault="009B1B4B">
      <w:pPr>
        <w:spacing w:after="140"/>
      </w:pPr>
      <w:r>
        <w:t>Der Weg über ein befristetes Arbeitgeber-Visum (</w:t>
      </w:r>
      <w:r>
        <w:rPr>
          <w:i/>
          <w:iCs/>
        </w:rPr>
        <w:t>Temporary Skill Shortage Visa</w:t>
      </w:r>
      <w:r>
        <w:t xml:space="preserve">, Subclass 482) führt seit einer Regeländerung schon nach zwei statt zuvor drei Jahren Sponsoring zum </w:t>
      </w:r>
      <w:r>
        <w:rPr>
          <w:i/>
          <w:iCs/>
        </w:rPr>
        <w:t>Employer Nomination Scheme</w:t>
      </w:r>
      <w:r>
        <w:t>-Visum (Subclass 186), der permanenten Stufe. Diese Verkürzung betrifft aber nur den Zugang zum PR-Antrag selbst – die anschließende Bearbeitung dieses Antrags dauert nach aktuellen Zahlen oft noch einmal 13 bis 22 Monate, und erst danach beginnt die für die Staatsbürgerschaft entscheidende 12-Monats-PR-Uhr zu laufen. Wer die Zwei-Jahres-Verkürzung mit der Staatsbürgerschafts-Frist verwechselt, plant seinen Zeitplan leicht zu optimistisch.</w:t>
      </w:r>
    </w:p>
    <w:p w14:paraId="70A4F6CA"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Anwesenheitspflicht: zwei Grenzen gleichzeitig</w:t>
      </w:r>
    </w:p>
    <w:p w14:paraId="70A4F6CB" w14:textId="77777777" w:rsidR="00C1548D" w:rsidRDefault="009B1B4B">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zusätzlich höchstens 90 Tage Abwesenheit in den letzten zwölf Monaten vor Antragstellung. Beide Grenzen sind voneinander unabhängig – eine Familie kann die 12-Monats-Gesamtgren</w:t>
      </w:r>
      <w:r>
        <w:t>ze locker einhalten und trotzdem an der 90-Tage-Grenze scheitern, wenn mehrere kürzere Heimatbesuche ins letzte Jahr fallen.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C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6CC" w14:textId="77777777" w:rsidR="00C1548D" w:rsidRDefault="009B1B4B">
            <w:pPr>
              <w:keepNext/>
              <w:spacing w:after="70" w:line="240" w:lineRule="auto"/>
            </w:pPr>
            <w:r>
              <w:rPr>
                <w:b/>
                <w:bCs/>
                <w:color w:val="9B2C2C"/>
                <w:spacing w:val="24"/>
                <w:sz w:val="16"/>
                <w:szCs w:val="16"/>
              </w:rPr>
              <w:t>ACHTUNG</w:t>
            </w:r>
          </w:p>
          <w:p w14:paraId="70A4F6CD" w14:textId="77777777" w:rsidR="00C1548D" w:rsidRDefault="009B1B4B">
            <w:pPr>
              <w:spacing w:after="80" w:line="264" w:lineRule="auto"/>
            </w:pPr>
            <w:r>
              <w:rPr>
                <w:sz w:val="20"/>
                <w:szCs w:val="20"/>
              </w:rPr>
              <w:t xml:space="preserve">Der häufigste Fehler ist, nur die große Zahl im Kopf zu behalten und die 90-Tage-Grenze im letzten Jahr vor Antragstellung zu übersehen. Mehrere kurze Deutschlandbesuche summieren sich schneller, als man denkt – nutze vor der Antragstellung den offiziellen </w:t>
            </w:r>
            <w:r>
              <w:rPr>
                <w:i/>
                <w:iCs/>
                <w:sz w:val="20"/>
                <w:szCs w:val="20"/>
              </w:rPr>
              <w:t>Residence Calculator</w:t>
            </w:r>
            <w:r>
              <w:rPr>
                <w:sz w:val="20"/>
                <w:szCs w:val="20"/>
              </w:rPr>
              <w:t xml:space="preserve"> der Einwanderungsbehörde, um beide Grenzen sauber zu prüfen.</w:t>
            </w:r>
          </w:p>
        </w:tc>
      </w:tr>
    </w:tbl>
    <w:p w14:paraId="70A4F6CF" w14:textId="77777777" w:rsidR="00C1548D" w:rsidRDefault="00C1548D">
      <w:pPr>
        <w:spacing w:line="220" w:lineRule="exact"/>
      </w:pPr>
    </w:p>
    <w:p w14:paraId="70A4F6D0" w14:textId="77777777" w:rsidR="00C1548D" w:rsidRDefault="009B1B4B">
      <w:pPr>
        <w:spacing w:after="140"/>
      </w:pPr>
      <w:r>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um als PR weiterhin problemlos aus- und wieder einzureisen. Wer das übersieht, riskiert an der Grenze unangenehme Rückfragen, auch wenn der PR-Status im Inland selbst davon unberührt bleibt.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D3"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6D1" w14:textId="77777777" w:rsidR="00C1548D" w:rsidRDefault="009B1B4B">
            <w:pPr>
              <w:keepNext/>
              <w:spacing w:after="70" w:line="240" w:lineRule="auto"/>
            </w:pPr>
            <w:r>
              <w:rPr>
                <w:b/>
                <w:bCs/>
                <w:color w:val="4A5568"/>
                <w:spacing w:val="24"/>
                <w:sz w:val="16"/>
                <w:szCs w:val="16"/>
              </w:rPr>
              <w:lastRenderedPageBreak/>
              <w:t>PRAXISBEISPIEL · FIKTIV</w:t>
            </w:r>
          </w:p>
          <w:p w14:paraId="70A4F6D2" w14:textId="77777777" w:rsidR="00C1548D" w:rsidRDefault="009B1B4B">
            <w:pPr>
              <w:spacing w:after="80" w:line="264" w:lineRule="auto"/>
            </w:pPr>
            <w:r>
              <w:rPr>
                <w:sz w:val="20"/>
                <w:szCs w:val="20"/>
              </w:rPr>
              <w:t>Familie Reinhardt (fiktives Beispiel) plant im vierten Jahr nach der Einreise nach Melbourne den Einbürgerungsantrag. Weil Sandras Mutter in Köln erkrankt, reist die Familie binnen zwölf Monaten dreimal für jeweils drei bis vier Wochen nach Deutschland. Als Thomas die Reisetage zusammenzählt, kommt er im letzten Jahr auf 94 Tage Abwesenheit – knapp über der 90-Tage-Grenze. Statt den Antrag trotzdem zu riskieren, verschiebt die Familie ihn um zwei Monate, bis das kritische Jahr rechnerisch wieder innerhalb d</w:t>
            </w:r>
            <w:r>
              <w:rPr>
                <w:sz w:val="20"/>
                <w:szCs w:val="20"/>
              </w:rPr>
              <w:t>er Frist liegt. Die vier Jahre Gesamtaufenthalt wären zu keinem Zeitpunkt das Problem gewesen – allein das letzte Jahr hätte den Antrag gekippt.</w:t>
            </w:r>
          </w:p>
        </w:tc>
      </w:tr>
    </w:tbl>
    <w:p w14:paraId="70A4F6D4" w14:textId="77777777" w:rsidR="00C1548D" w:rsidRDefault="00C1548D">
      <w:pPr>
        <w:spacing w:line="220" w:lineRule="exact"/>
      </w:pPr>
    </w:p>
    <w:p w14:paraId="70A4F6D5" w14:textId="77777777" w:rsidR="00C1548D" w:rsidRDefault="009B1B4B">
      <w:pPr>
        <w:pStyle w:val="Heading3"/>
        <w:keepNext/>
        <w:jc w:val="center"/>
      </w:pPr>
      <w:r>
        <w:rPr>
          <w:rFonts w:ascii="Amazon Ember" w:eastAsia="Amazon Ember" w:hAnsi="Amazon Ember" w:cs="Amazon Ember"/>
          <w:color w:val="0000FF"/>
          <w:sz w:val="36"/>
          <w:szCs w:val="36"/>
        </w:rPr>
        <w:t>Der Citizenship Test und die Zeremonie</w:t>
      </w:r>
    </w:p>
    <w:p w14:paraId="70A4F6D6" w14:textId="77777777" w:rsidR="00C1548D" w:rsidRDefault="009B1B4B">
      <w:pPr>
        <w:spacing w:after="140"/>
      </w:pPr>
      <w:r>
        <w:t>Der Staatskundetest (</w:t>
      </w:r>
      <w:r>
        <w:rPr>
          <w:i/>
          <w:iCs/>
        </w:rPr>
        <w:t>Citizenship Test</w:t>
      </w:r>
      <w:r>
        <w:t>) besteht aus 20 Multiple-Choice-Fragen zu australischer Geschichte, Regierungssystem und gesellschaftlichen Werten, Bearbeitungszeit 45 Minuten. Bestehen erfordert zwei Dinge gleichzeitig: mindestens 15 von 20 Fragen richtig (75 %) und zusätzlich alle 5 Pflichtfragen zu den „Australian Values“ korrekt beantwortet. Fällt der Test durch, ist ein kostenloser Wiederholungstermin möglich. Ab 60 Jahren am Tag der Antragstellung entfällt der Test vollständig, ebenso der gesonderte Englischnachweis; das persönlich</w:t>
      </w:r>
      <w:r>
        <w:t>e Interview zur Prüfung von Aufenthalt und Charakter bleibt trotzdem Pflicht. Einen eigenständigen Sprachtest kennt Australien anders als Kanada nicht – wer den englischsprachigen Staatskundetest besteht, gilt automatisch als ausreichend sprachkundig.</w:t>
      </w:r>
    </w:p>
    <w:p w14:paraId="70A4F6D7" w14:textId="77777777" w:rsidR="00C1548D" w:rsidRDefault="009B1B4B">
      <w:pPr>
        <w:spacing w:after="140"/>
      </w:pPr>
      <w:r>
        <w:t xml:space="preserve">Nach der Genehmigung folgt die Einbürgerungszeremonie, das </w:t>
      </w:r>
      <w:r>
        <w:rPr>
          <w:i/>
          <w:iCs/>
        </w:rPr>
        <w:t>Pledge of Commitment</w:t>
      </w:r>
      <w:r>
        <w:t xml:space="preserve"> (in zwei Fassungen, mit oder ohne Gottesbezug), geleitet von einem dazu berechtigten </w:t>
      </w:r>
      <w:r>
        <w:rPr>
          <w:i/>
          <w:iCs/>
        </w:rPr>
        <w:t>Presiding Officer</w:t>
      </w:r>
      <w:r>
        <w:t>, meist dem Bürgermeister der Gemeinde. Erst mit dem gesprochenen Bekenntnis bist du formal Staatsbürger.</w:t>
      </w:r>
    </w:p>
    <w:p w14:paraId="70A4F6D8" w14:textId="77777777" w:rsidR="00C1548D" w:rsidRDefault="009B1B4B">
      <w:pPr>
        <w:pStyle w:val="Heading3"/>
        <w:keepNext/>
        <w:jc w:val="center"/>
      </w:pPr>
      <w:r>
        <w:rPr>
          <w:rFonts w:ascii="Amazon Ember" w:eastAsia="Amazon Ember" w:hAnsi="Amazon Ember" w:cs="Amazon Ember"/>
          <w:color w:val="0000FF"/>
          <w:sz w:val="36"/>
          <w:szCs w:val="36"/>
        </w:rPr>
        <w:lastRenderedPageBreak/>
        <w:t>Charakterliche Eignung: mehr als eine Formalität</w:t>
      </w:r>
    </w:p>
    <w:p w14:paraId="70A4F6D9" w14:textId="77777777" w:rsidR="00C1548D" w:rsidRDefault="009B1B4B">
      <w:pPr>
        <w:spacing w:after="140"/>
      </w:pPr>
      <w:r>
        <w:t>Neben Aufenthalt und Test prüft die Einwanderungsbehörde Home Affairs bei jedem Antragsteller ab 18 Jahren die charakterliche Eignung (</w:t>
      </w:r>
      <w:r>
        <w:rPr>
          <w:i/>
          <w:iCs/>
        </w:rPr>
        <w:t>Good Character</w:t>
      </w:r>
      <w:r>
        <w:t>)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 wirklich jede Vorstrafe an, selbst wenn sie dir in Deutschland geringfügig</w:t>
      </w:r>
      <w:r>
        <w:t xml:space="preserve"> erscheint; im Zweifel prüft die Behörde ohnehin nach.</w:t>
      </w:r>
    </w:p>
    <w:p w14:paraId="70A4F6DA" w14:textId="77777777" w:rsidR="00C1548D" w:rsidRDefault="009B1B4B">
      <w:pPr>
        <w:pStyle w:val="Heading3"/>
        <w:keepNext/>
        <w:jc w:val="center"/>
      </w:pPr>
      <w:r>
        <w:rPr>
          <w:rFonts w:ascii="Amazon Ember" w:eastAsia="Amazon Ember" w:hAnsi="Amazon Ember" w:cs="Amazon Ember"/>
          <w:color w:val="0000FF"/>
          <w:sz w:val="36"/>
          <w:szCs w:val="36"/>
        </w:rPr>
        <w:t>Gebühren und Bearbeitungszeit</w:t>
      </w:r>
    </w:p>
    <w:p w14:paraId="70A4F6DB" w14:textId="77777777" w:rsidR="00C1548D" w:rsidRDefault="009B1B4B">
      <w:pPr>
        <w:spacing w:after="140"/>
      </w:pPr>
      <w:r>
        <w:t>Die Antragsgebühr für Erwachsene liegt seit dem 1. Juli 2026 bei 595 AUD und deckt Antrag, Test und Zeremonie ab; eine erneute Testrunde kostet nichts extra. Die Bearbeitung selbst geht oft zügig – rund die Hälfte der Anträge ist innerhalb von 60 Tagen entschieden –, doch die für dich spürbare Gesamtstrecke ist eine andere: Von Antragstellung bis zur tatsächlichen Zeremonie vergehen im Median etwa acht Monate, bei neun von zehn Anträgen bis zu 13 Monate. Plane diese Wartezeit realistisch ein, etwa wenn du a</w:t>
      </w:r>
      <w:r>
        <w:t>uf den australischen Pass für eine bestimmte Reise oder berufliche Gelegenheit angewiesen bist.</w:t>
      </w:r>
    </w:p>
    <w:p w14:paraId="70A4F6DC" w14:textId="77777777" w:rsidR="00C1548D" w:rsidRDefault="009B1B4B">
      <w:pPr>
        <w:spacing w:after="140"/>
      </w:pPr>
      <w:r>
        <w:t xml:space="preserve">Der Ablauf gliedert sich in vier Schritte: Zuerst stellst du den Antrag online über das </w:t>
      </w:r>
      <w:r>
        <w:rPr>
          <w:i/>
          <w:iCs/>
        </w:rPr>
        <w:t>ImmiAccount</w:t>
      </w:r>
      <w:r>
        <w:t xml:space="preserve">-Portal und lädst Nachweise zu Aufenthalt, Identität und gegebenenfalls Vorstrafen hoch. Danach folgen Staatskundetest und persönliches Interview, meist an einem Termin. Nach der Genehmigung lädt dich Home Affairs zur Pledge-Zeremonie ein, oft im Rahmen einer gemeinsamen Feier der </w:t>
      </w:r>
      <w:r>
        <w:lastRenderedPageBreak/>
        <w:t>Gemeinde mit mehreren anderen neuen Staatsbürgern. Erst danach beantragst du den australischen Reisepass separat beim Passport Office.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DF"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6DD" w14:textId="77777777" w:rsidR="00C1548D" w:rsidRDefault="009B1B4B">
            <w:pPr>
              <w:keepNext/>
              <w:spacing w:after="70" w:line="240" w:lineRule="auto"/>
            </w:pPr>
            <w:r>
              <w:rPr>
                <w:b/>
                <w:bCs/>
                <w:color w:val="2F6B3B"/>
                <w:spacing w:val="24"/>
                <w:sz w:val="16"/>
                <w:szCs w:val="16"/>
              </w:rPr>
              <w:t>SPARTIPP</w:t>
            </w:r>
          </w:p>
          <w:p w14:paraId="70A4F6DE" w14:textId="77777777" w:rsidR="00C1548D" w:rsidRDefault="009B1B4B">
            <w:pPr>
              <w:spacing w:after="80" w:line="264" w:lineRule="auto"/>
            </w:pPr>
            <w:r>
              <w:rPr>
                <w:sz w:val="20"/>
                <w:szCs w:val="20"/>
              </w:rPr>
              <w:t>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tc>
      </w:tr>
    </w:tbl>
    <w:p w14:paraId="70A4F6E0" w14:textId="77777777" w:rsidR="00C1548D" w:rsidRDefault="00C1548D">
      <w:pPr>
        <w:spacing w:line="220" w:lineRule="exact"/>
      </w:pPr>
    </w:p>
    <w:p w14:paraId="70A4F6E1" w14:textId="77777777" w:rsidR="00C1548D" w:rsidRDefault="009B1B4B">
      <w:pPr>
        <w:pStyle w:val="Heading3"/>
        <w:keepNext/>
        <w:jc w:val="center"/>
      </w:pPr>
      <w:r>
        <w:rPr>
          <w:rFonts w:ascii="Amazon Ember" w:eastAsia="Amazon Ember" w:hAnsi="Amazon Ember" w:cs="Amazon Ember"/>
          <w:color w:val="0000FF"/>
          <w:sz w:val="36"/>
          <w:szCs w:val="36"/>
        </w:rPr>
        <w:t>Doppelte Staatsbürgerschaft: Australien und Deutschland</w:t>
      </w:r>
    </w:p>
    <w:p w14:paraId="70A4F6E2" w14:textId="77777777" w:rsidR="00C1548D" w:rsidRDefault="009B1B4B">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w:t>
      </w:r>
      <w:r>
        <w:t>che Staatsangehörigkeit automatisch, ganz ohne die früher nötige Beibehaltungsgenehmigung.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E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6E3" w14:textId="77777777" w:rsidR="00C1548D" w:rsidRDefault="009B1B4B">
            <w:pPr>
              <w:keepNext/>
              <w:spacing w:after="70" w:line="240" w:lineRule="auto"/>
            </w:pPr>
            <w:r>
              <w:rPr>
                <w:b/>
                <w:bCs/>
                <w:color w:val="9B2C2C"/>
                <w:spacing w:val="24"/>
                <w:sz w:val="16"/>
                <w:szCs w:val="16"/>
              </w:rPr>
              <w:t>ACHTUNG</w:t>
            </w:r>
          </w:p>
          <w:p w14:paraId="70A4F6E4" w14:textId="77777777" w:rsidR="00C1548D" w:rsidRDefault="009B1B4B">
            <w:pPr>
              <w:spacing w:after="80" w:line="264" w:lineRule="auto"/>
            </w:pPr>
            <w:r>
              <w:rPr>
                <w:sz w:val="20"/>
                <w:szCs w:val="20"/>
              </w:rPr>
              <w:t>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zuständigen deutschen Generalkonsulat vornehmen lassen, insbesondere wenn sie schon länger in Australien leben.</w:t>
            </w:r>
          </w:p>
        </w:tc>
      </w:tr>
    </w:tbl>
    <w:p w14:paraId="70A4F6E6" w14:textId="77777777" w:rsidR="00C1548D" w:rsidRDefault="00C1548D">
      <w:pPr>
        <w:spacing w:line="220" w:lineRule="exact"/>
      </w:pPr>
    </w:p>
    <w:p w14:paraId="70A4F6E7" w14:textId="77777777" w:rsidR="00C1548D" w:rsidRDefault="009B1B4B">
      <w:pPr>
        <w:spacing w:after="140"/>
      </w:pPr>
      <w:r>
        <w:lastRenderedPageBreak/>
        <w:t>Vor der Reform musste, wer die deutsche Staatsangehörigkeit trotz einer Einbürgerung im Ausland behalten wollte, vorab eine Beibehaltungsgenehmigung beim Bundesverwaltungsamt beantragen – ein eigenes, oft langwieriges Verfahren mit Ermessensspielraum der Behörde. Seit dem 27. Juni 2024 entfällt dieser Schritt für alle künftigen Einbürgerungen ersatzlos: Die deutsche Staatsangehörigkeit bleibt automatisch erhalten, ganz ohne Antrag.</w:t>
      </w:r>
    </w:p>
    <w:p w14:paraId="70A4F6E8" w14:textId="77777777" w:rsidR="00C1548D" w:rsidRDefault="009B1B4B">
      <w:pPr>
        <w:pStyle w:val="Heading3"/>
        <w:keepNext/>
        <w:jc w:val="center"/>
      </w:pPr>
      <w:r>
        <w:rPr>
          <w:rFonts w:ascii="Amazon Ember" w:eastAsia="Amazon Ember" w:hAnsi="Amazon Ember" w:cs="Amazon Ember"/>
          <w:color w:val="0000FF"/>
          <w:sz w:val="36"/>
          <w:szCs w:val="36"/>
        </w:rPr>
        <w:t>Kinder: geboren in Australien oder im Ausland</w:t>
      </w:r>
    </w:p>
    <w:p w14:paraId="70A4F6E9" w14:textId="77777777" w:rsidR="00C1548D" w:rsidRDefault="009B1B4B">
      <w:pPr>
        <w:spacing w:after="140"/>
      </w:pPr>
      <w:r>
        <w:t>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 vorausgesetzt, es hat die gesamten ersten zehn Lebensjahre gewöhnlich in Australien gelebt. Wird ein Kind im Ausland geboren, etwa bei eine</w:t>
      </w:r>
      <w:r>
        <w:t xml:space="preserve">m Deutschlandbesuch, und ist ein Elternteil bereits australischer Staatsbürger, lässt sich die Staatsbürgerschaft über </w:t>
      </w:r>
      <w:r>
        <w:rPr>
          <w:i/>
          <w:iCs/>
        </w:rPr>
        <w:t>Citizenship by Descent</w:t>
      </w:r>
      <w:r>
        <w:t xml:space="preserve"> registrieren (Gebühr 370 AUD für das erste Kind, 150 AUD je weiteres Geschwisterkind) – ohne diese Registrierung entsteht sie nicht automatisch. Die deutsche Seite bleibt davon unberührt: Ein Kind mit einem deutschen Elternteil ist unabhängig vom Geburtsort von Geburt an deutsch.</w:t>
      </w:r>
    </w:p>
    <w:p w14:paraId="70A4F6EA" w14:textId="77777777" w:rsidR="00C1548D" w:rsidRDefault="009B1B4B">
      <w:pPr>
        <w:pStyle w:val="Heading3"/>
        <w:keepNext/>
        <w:jc w:val="center"/>
      </w:pPr>
      <w:r>
        <w:rPr>
          <w:rFonts w:ascii="Amazon Ember" w:eastAsia="Amazon Ember" w:hAnsi="Amazon Ember" w:cs="Amazon Ember"/>
          <w:color w:val="0000FF"/>
          <w:sz w:val="36"/>
          <w:szCs w:val="36"/>
        </w:rPr>
        <w:t>Das Steuerresidenz-Prinzip: Wohnsitz statt Pass</w:t>
      </w:r>
    </w:p>
    <w:p w14:paraId="70A4F6EB" w14:textId="5454C4AD" w:rsidR="00C1548D" w:rsidRDefault="009B1B4B">
      <w:pPr>
        <w:spacing w:after="140"/>
      </w:pPr>
      <w:r>
        <w:t xml:space="preserve">Hier liegt der wichtigste Unterschied zur US-Regelung, die viele Auswanderer verunsichert, sobald sie zum ersten Mal davon hören: </w:t>
      </w:r>
      <w:r>
        <w:lastRenderedPageBreak/>
        <w:t>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history="1">
        <w:r>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w14:paraId="70A4F6EC" w14:textId="442A5DD9" w:rsidR="00C1548D" w:rsidRDefault="009B1B4B">
      <w:pPr>
        <w:spacing w:after="140"/>
      </w:pPr>
      <w:r>
        <w:t xml:space="preserve">Ob du als Tax Resident giltst, entscheidet die ATO anhand mehrerer Tests, von denen keiner allein ausschlaggebend ist: dem </w:t>
      </w:r>
      <w:r>
        <w:rPr>
          <w:i/>
          <w:iCs/>
        </w:rPr>
        <w:t>Domicile Test</w:t>
      </w:r>
      <w:r>
        <w:t xml:space="preserve"> (liegt dein rechtlicher Wohnsitz in Australien und hast du keinen dauerhaften Wohnsitz woanders aufgebaut), dem </w:t>
      </w:r>
      <w:r>
        <w:rPr>
          <w:i/>
          <w:iCs/>
        </w:rPr>
        <w:t>183-Day Test</w:t>
      </w:r>
      <w:r>
        <w:t xml:space="preserve"> (mehr als 183 Tage Aufenthalt innerhalb eines Steuerjahres) und, für Beschäftigte im öffentlichen Dienst, einem eigenen Test über die Mitgliedschaft im staatlichen Pensionssystem. In der Praxis reicht meist einer dieser Tests, um als Ansässiger zu gelten; die genauen Details erklärt das </w:t>
      </w:r>
      <w:hyperlink w:anchor="tau07" w:history="1">
        <w:r>
          <w:rPr>
            <w:color w:val="0563C1"/>
            <w:u w:val="single"/>
          </w:rPr>
          <w:t>Kapitel zu Steuer-ID, Bank und Kredit in diesem Teil</w:t>
        </w:r>
      </w:hyperlink>
      <w:r>
        <w:t xml:space="preserve"> ausführlicher.</w:t>
      </w:r>
    </w:p>
    <w:p w14:paraId="70A4F6ED" w14:textId="77777777" w:rsidR="00C1548D" w:rsidRDefault="009B1B4B">
      <w:pPr>
        <w:spacing w:after="140"/>
      </w:pPr>
      <w:r>
        <w:t xml:space="preserve">Die USA gehen den entgegengesetzten Weg: Wer den US-Pass trägt, bleibt lebenslang steuerpflichtig, unabhängig vom Wohnort, und ein Verzicht auf die US-Staatsbürgerschaft kann eine eigene Steuer, die </w:t>
      </w:r>
      <w:r>
        <w:rPr>
          <w:i/>
          <w:iCs/>
        </w:rPr>
        <w:t>Exit Tax</w:t>
      </w:r>
      <w:r>
        <w:t>, auslösen –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 das betrifft dann aber jeden, der die steuerliche Ansässigkeit beendet, unabhängig davon, ob er den Pass behält oder abgibt. Das ist eine Fra</w:t>
      </w:r>
      <w:r>
        <w:t>ge des Steuerwohnsitzes, keine Frage der Staatsangehörigkeit.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F0"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6EE" w14:textId="77777777" w:rsidR="00C1548D" w:rsidRDefault="009B1B4B">
            <w:pPr>
              <w:keepNext/>
              <w:spacing w:after="70" w:line="240" w:lineRule="auto"/>
            </w:pPr>
            <w:r>
              <w:rPr>
                <w:b/>
                <w:bCs/>
                <w:color w:val="8A6212"/>
                <w:spacing w:val="24"/>
                <w:sz w:val="16"/>
                <w:szCs w:val="16"/>
              </w:rPr>
              <w:lastRenderedPageBreak/>
              <w:t>MERKE</w:t>
            </w:r>
          </w:p>
          <w:p w14:paraId="70A4F6EF" w14:textId="77777777" w:rsidR="00C1548D" w:rsidRDefault="009B1B4B">
            <w:pPr>
              <w:spacing w:after="80" w:line="264" w:lineRule="auto"/>
            </w:pPr>
            <w:r>
              <w:rPr>
                <w:sz w:val="20"/>
                <w:szCs w:val="20"/>
              </w:rPr>
              <w:t>Der australische Pass hat keine steuerlichen Nebenwirkungen. Was zählt, ist immer, wo du tatsächlich lebst – nicht, welchen Ausweis du dabei in der Tasche trägst.</w:t>
            </w:r>
          </w:p>
        </w:tc>
      </w:tr>
    </w:tbl>
    <w:p w14:paraId="70A4F6F1"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F4"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6F2" w14:textId="77777777" w:rsidR="00C1548D" w:rsidRDefault="009B1B4B">
            <w:pPr>
              <w:keepNext/>
              <w:spacing w:after="70" w:line="240" w:lineRule="auto"/>
            </w:pPr>
            <w:r>
              <w:rPr>
                <w:b/>
                <w:bCs/>
                <w:color w:val="4A5568"/>
                <w:spacing w:val="24"/>
                <w:sz w:val="16"/>
                <w:szCs w:val="16"/>
              </w:rPr>
              <w:t>PRAXISBEISPIEL · FIKTIV</w:t>
            </w:r>
          </w:p>
          <w:p w14:paraId="70A4F6F3" w14:textId="77777777" w:rsidR="00C1548D" w:rsidRDefault="009B1B4B">
            <w:pPr>
              <w:spacing w:after="80" w:line="264" w:lineRule="auto"/>
            </w:pPr>
            <w:r>
              <w:rPr>
                <w:sz w:val="20"/>
                <w:szCs w:val="20"/>
              </w:rPr>
              <w:t>Nina Voss (fiktives Beispiel) wechselt nach ihrem Working-Holiday-Jahr über einen Arbeitgeber auf ein Skilled-Visum und gilt schon nach wenigen Monaten als australische Steuerresidentin – Jahre, bevor sie überhaupt die Voraussetzungen für einen Einbürgerungsantrag erfüllt. Als sie nebenbei noch kleinere Design-Aufträge für eine Hamburger Agentur übernimmt, ist sie zunächst überrascht, dass sie dieses deutsche Einkommen in ihrer australischen Steuererklärung angeben muss – ihr steuerlicher Wohnsitz, nicht ih</w:t>
            </w:r>
            <w:r>
              <w:rPr>
                <w:sz w:val="20"/>
                <w:szCs w:val="20"/>
              </w:rPr>
              <w:t>re (noch deutsche) Staatsangehörigkeit entscheidet darüber. Das Doppelbesteuerungsabkommen zwischen Deutschland und Australien verhindert, dass sie am Ende doppelt zahlt, aber die Meldepflicht selbst bleibt bestehen, ganz unabhängig davon, ob sie später einmal den australischen Pass beantragt oder nicht.</w:t>
            </w:r>
          </w:p>
        </w:tc>
      </w:tr>
    </w:tbl>
    <w:p w14:paraId="70A4F6F5"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6F8"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6F6" w14:textId="77777777" w:rsidR="00C1548D" w:rsidRDefault="009B1B4B">
            <w:pPr>
              <w:keepNext/>
              <w:spacing w:after="70" w:line="240" w:lineRule="auto"/>
            </w:pPr>
            <w:r>
              <w:rPr>
                <w:b/>
                <w:bCs/>
                <w:color w:val="6B7280"/>
                <w:spacing w:val="24"/>
                <w:sz w:val="16"/>
                <w:szCs w:val="16"/>
              </w:rPr>
              <w:t>KEIN RECHTSRAT</w:t>
            </w:r>
          </w:p>
          <w:p w14:paraId="70A4F6F7" w14:textId="77777777" w:rsidR="00C1548D" w:rsidRDefault="009B1B4B">
            <w:pPr>
              <w:spacing w:after="80" w:line="264" w:lineRule="auto"/>
            </w:pPr>
            <w:r>
              <w:rPr>
                <w:sz w:val="20"/>
                <w:szCs w:val="20"/>
              </w:rPr>
              <w:t>Dieses Kapitel erklärt den Weg zur Staatsbürgerschaft und das Grundprinzip der australischen Steuerresidenz. Es ersetzt keine Rechts- oder Steuerberatung. Ob du im Einzelfall als Tax Resident giltst, wie sich ein Wegzug aus Australien konkret auswirkt und wie das Doppelbesteuerungsabkommen mit deutschem Einkommen, Vermögen oder der gesetzlichen Rente umgeht, hängt von Details ab. Lass das von einer australischen Steuerfachperson prüfen, die sich mit einer deutschen abstimmt.</w:t>
            </w:r>
          </w:p>
        </w:tc>
      </w:tr>
    </w:tbl>
    <w:p w14:paraId="70A4F6F9" w14:textId="77777777" w:rsidR="00C1548D" w:rsidRDefault="00C1548D">
      <w:pPr>
        <w:spacing w:line="220" w:lineRule="exact"/>
      </w:pPr>
    </w:p>
    <w:p w14:paraId="70A4F6FA"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6FD"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6FB"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6FC" w14:textId="77777777" w:rsidR="00C1548D" w:rsidRDefault="009B1B4B">
            <w:pPr>
              <w:spacing w:line="250" w:lineRule="auto"/>
            </w:pPr>
            <w:r>
              <w:rPr>
                <w:b/>
                <w:bCs/>
                <w:sz w:val="18"/>
                <w:szCs w:val="18"/>
              </w:rPr>
              <w:t>Minus</w:t>
            </w:r>
          </w:p>
        </w:tc>
      </w:tr>
      <w:tr w:rsidR="00C1548D" w14:paraId="70A4F70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FE" w14:textId="77777777" w:rsidR="00C1548D" w:rsidRDefault="009B1B4B">
            <w:pPr>
              <w:spacing w:line="250" w:lineRule="auto"/>
            </w:pPr>
            <w:r>
              <w:rPr>
                <w:sz w:val="18"/>
                <w:szCs w:val="18"/>
              </w:rPr>
              <w:t>Kein Zwang zur Aufgabe der deutschen Staatsangehörigkeit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6FF" w14:textId="77777777" w:rsidR="00C1548D" w:rsidRDefault="009B1B4B">
            <w:pPr>
              <w:spacing w:line="250" w:lineRule="auto"/>
            </w:pPr>
            <w:r>
              <w:rPr>
                <w:sz w:val="18"/>
                <w:szCs w:val="18"/>
              </w:rPr>
              <w:t>Zwei unabhängige Abwesenheitsgrenzen sind leicht zu übersehen</w:t>
            </w:r>
          </w:p>
        </w:tc>
      </w:tr>
      <w:tr w:rsidR="00C1548D" w14:paraId="70A4F70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01" w14:textId="77777777" w:rsidR="00C1548D" w:rsidRDefault="009B1B4B">
            <w:pPr>
              <w:spacing w:line="250" w:lineRule="auto"/>
            </w:pPr>
            <w:r>
              <w:rPr>
                <w:sz w:val="18"/>
                <w:szCs w:val="18"/>
              </w:rPr>
              <w:lastRenderedPageBreak/>
              <w:t>Kein eigenständiger Sprachtest, der Staatskundetest genügt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02" w14:textId="77777777" w:rsidR="00C1548D" w:rsidRDefault="009B1B4B">
            <w:pPr>
              <w:spacing w:line="250" w:lineRule="auto"/>
            </w:pPr>
            <w:r>
              <w:rPr>
                <w:sz w:val="18"/>
                <w:szCs w:val="18"/>
              </w:rPr>
              <w:t>Staatskundetest verlangt zusätzlich 100 % bei den Werte-Pflichtfragen</w:t>
            </w:r>
          </w:p>
        </w:tc>
      </w:tr>
      <w:tr w:rsidR="00C1548D" w14:paraId="70A4F70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04" w14:textId="77777777" w:rsidR="00C1548D" w:rsidRDefault="009B1B4B">
            <w:pPr>
              <w:spacing w:line="250" w:lineRule="auto"/>
            </w:pPr>
            <w:r>
              <w:rPr>
                <w:sz w:val="18"/>
                <w:szCs w:val="18"/>
              </w:rPr>
              <w:t>Steuerpflicht endet mit dem Steuerwohnsitz, nicht mit dem Pass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05" w14:textId="77777777" w:rsidR="00C1548D" w:rsidRDefault="009B1B4B">
            <w:pPr>
              <w:spacing w:line="250" w:lineRule="auto"/>
            </w:pPr>
            <w:r>
              <w:rPr>
                <w:sz w:val="18"/>
                <w:szCs w:val="18"/>
              </w:rPr>
              <w:t>Gesamtdauer bis zum Pass real oft 6 bis 8 Jahre, nicht 4</w:t>
            </w:r>
          </w:p>
        </w:tc>
      </w:tr>
      <w:tr w:rsidR="00C1548D" w14:paraId="70A4F70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07" w14:textId="77777777" w:rsidR="00C1548D" w:rsidRDefault="009B1B4B">
            <w:pPr>
              <w:spacing w:line="250" w:lineRule="auto"/>
            </w:pPr>
            <w:r>
              <w:rPr>
                <w:sz w:val="18"/>
                <w:szCs w:val="18"/>
              </w:rPr>
              <w:t>Keine Exit Tax beim Verzicht auf die Staatsbürgerschaft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08" w14:textId="77777777" w:rsidR="00C1548D" w:rsidRDefault="009B1B4B">
            <w:pPr>
              <w:spacing w:line="250" w:lineRule="auto"/>
            </w:pPr>
            <w:r>
              <w:rPr>
                <w:sz w:val="18"/>
                <w:szCs w:val="18"/>
              </w:rPr>
              <w:t>Wartezeit bis zur Zeremonie kann 8 bis 13 Monate betragen</w:t>
            </w:r>
          </w:p>
        </w:tc>
      </w:tr>
      <w:tr w:rsidR="00C1548D" w14:paraId="70A4F70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0A" w14:textId="77777777" w:rsidR="00C1548D" w:rsidRDefault="009B1B4B">
            <w:pPr>
              <w:spacing w:line="250" w:lineRule="auto"/>
            </w:pPr>
            <w:r>
              <w:rPr>
                <w:sz w:val="18"/>
                <w:szCs w:val="18"/>
              </w:rPr>
              <w:t>Altersbefreiung vom Test erleichtert älteren Einwanderern den Weg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0B" w14:textId="77777777" w:rsidR="00C1548D" w:rsidRDefault="009B1B4B">
            <w:pPr>
              <w:spacing w:line="250" w:lineRule="auto"/>
            </w:pPr>
            <w:r>
              <w:rPr>
                <w:sz w:val="18"/>
                <w:szCs w:val="18"/>
              </w:rPr>
              <w:t>Reform von 2024 wirkt nicht rückwirkend für ältere Einbürgerungsfälle</w:t>
            </w:r>
          </w:p>
        </w:tc>
      </w:tr>
    </w:tbl>
    <w:p w14:paraId="70A4F70D" w14:textId="77777777" w:rsidR="00C1548D" w:rsidRDefault="00C1548D">
      <w:pPr>
        <w:spacing w:line="180" w:lineRule="exact"/>
      </w:pPr>
    </w:p>
    <w:p w14:paraId="70A4F70E"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70F" w14:textId="77777777" w:rsidR="00C1548D" w:rsidRDefault="009B1B4B">
      <w:pPr>
        <w:spacing w:after="140"/>
      </w:pPr>
      <w:r>
        <w:t xml:space="preserve">Rechne früh aus, über welchen Weg du realistisch den PR-Status erreichst, denn davon hängt die gesamte weitere Zeitachse ab. Nutze rechtzeitig vor dem Antrag den offiziellen Residence Calculator, um beide Abwesenheitsgrenzen zu prüfen, nicht nur die große 4-Jahres-Zahl. Lerne für den Staatskundetest gezielt die Werte-Fragen mit, und rechne die Wartezeit bis zur Zeremonie realistisch in deine Pläne ein. Bei der Steuerresidenz gilt: Sprich frühzeitig mit einer Steuerfachperson, sobald du regelmäßig deutsches </w:t>
      </w:r>
      <w:r>
        <w:t>Einkommen neben dem australischen hast – das betrifft dich unabhängig davon, ob du je einbürgern willst.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1C"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710" w14:textId="77777777" w:rsidR="00C1548D" w:rsidRDefault="009B1B4B">
            <w:pPr>
              <w:keepNext/>
              <w:spacing w:after="70" w:line="240" w:lineRule="auto"/>
            </w:pPr>
            <w:r>
              <w:rPr>
                <w:b/>
                <w:bCs/>
                <w:color w:val="1F6F78"/>
                <w:spacing w:val="24"/>
                <w:sz w:val="16"/>
                <w:szCs w:val="16"/>
              </w:rPr>
              <w:lastRenderedPageBreak/>
              <w:t>CHECKLISTE</w:t>
            </w:r>
          </w:p>
          <w:p w14:paraId="70A4F71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Einstiegsweg (direktes PR-Visum oder Übergang vom befristeten Visum) und realistische Gesamtdauer bis zum Antrag eingeschätzt</w:t>
            </w:r>
          </w:p>
          <w:p w14:paraId="70A4F71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Residence Calculator genutzt, um beide Abwesenheitsgrenzen (12 Monate/4 Jahre und 90 Tage/letzte 12 Monate) zu prüfen</w:t>
            </w:r>
          </w:p>
          <w:p w14:paraId="70A4F71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Reiseprotokoll aller Auslandsaufenthalte seit Beginn des PR-Status geführt</w:t>
            </w:r>
          </w:p>
          <w:p w14:paraId="70A4F71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Staatskundetest vorbereitet, insbesondere die fünf Pflichtfragen zu „Australian Values“</w:t>
            </w:r>
          </w:p>
          <w:p w14:paraId="70A4F71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Alle Vorstrafen und Ungereimtheiten zu früheren Visa-Angaben vollständig offengelegt</w:t>
            </w:r>
          </w:p>
          <w:p w14:paraId="70A4F71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im Ausland geborenen Kindern: Citizenship by Descent rechtzeitig registriert</w:t>
            </w:r>
          </w:p>
          <w:p w14:paraId="70A4F71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Antragstellung ab 60 Jahren die Befreiung von Test und Sprachnachweis geprüft</w:t>
            </w:r>
          </w:p>
          <w:p w14:paraId="70A4F71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Wartezeit bis zur Zeremonie (median acht, bis zu 13 Monate) in eigene Pläne eingerechnet</w:t>
            </w:r>
          </w:p>
          <w:p w14:paraId="70A4F71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Einbürgerung vor dem 27. Juni 2024: eigenen Fall zur deutschen Staatsangehörigkeit beim Generalkonsulat prüfen lassen</w:t>
            </w:r>
          </w:p>
          <w:p w14:paraId="70A4F71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steuerlichen Status (Tax Resident oder Foreign Resident) mit einer Steuerfachperson geklärt</w:t>
            </w:r>
          </w:p>
          <w:p w14:paraId="70A4F71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Deutsches Nebeneinkommen (Miete, Freelance-Aufträge, Kapitalerträge) auf australische Meldepflicht geprüft</w:t>
            </w:r>
          </w:p>
        </w:tc>
      </w:tr>
    </w:tbl>
    <w:p w14:paraId="70A4F71D" w14:textId="77777777" w:rsidR="00C1548D" w:rsidRDefault="00C1548D">
      <w:pPr>
        <w:spacing w:line="220" w:lineRule="exact"/>
      </w:pPr>
    </w:p>
    <w:p w14:paraId="70A4F71E"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71F" w14:textId="63541C3E" w:rsidR="00C1548D" w:rsidRDefault="009B1B4B" w:rsidP="009B1B4B">
      <w:pPr>
        <w:pStyle w:val="ListParagraph"/>
        <w:numPr>
          <w:ilvl w:val="0"/>
          <w:numId w:val="1"/>
        </w:numPr>
        <w:spacing w:after="60"/>
      </w:pPr>
      <w:hyperlink r:id="rId476" w:history="1">
        <w:r>
          <w:rPr>
            <w:color w:val="0563C1"/>
            <w:u w:val="single"/>
          </w:rPr>
          <w:t>homeaffairs.gov.au</w:t>
        </w:r>
      </w:hyperlink>
      <w:r>
        <w:t xml:space="preserve"> – Citizenship by Conferral: Voraussetzungen, Test, Gebühren, Residence Calculator</w:t>
      </w:r>
    </w:p>
    <w:p w14:paraId="70A4F720" w14:textId="39F69AA0" w:rsidR="00C1548D" w:rsidRDefault="009B1B4B" w:rsidP="009B1B4B">
      <w:pPr>
        <w:pStyle w:val="ListParagraph"/>
        <w:numPr>
          <w:ilvl w:val="0"/>
          <w:numId w:val="1"/>
        </w:numPr>
        <w:spacing w:after="60"/>
      </w:pPr>
      <w:hyperlink r:id="rId477" w:history="1">
        <w:r>
          <w:rPr>
            <w:color w:val="0563C1"/>
            <w:u w:val="single"/>
          </w:rPr>
          <w:t>ato.gov.au</w:t>
        </w:r>
      </w:hyperlink>
      <w:r>
        <w:t xml:space="preserve"> – Your tax residency, Foreign and worldwide income</w:t>
      </w:r>
    </w:p>
    <w:p w14:paraId="70A4F721" w14:textId="63FF4B63" w:rsidR="00C1548D" w:rsidRDefault="009B1B4B" w:rsidP="009B1B4B">
      <w:pPr>
        <w:pStyle w:val="ListParagraph"/>
        <w:numPr>
          <w:ilvl w:val="0"/>
          <w:numId w:val="1"/>
        </w:numPr>
        <w:spacing w:after="60"/>
      </w:pPr>
      <w:hyperlink r:id="rId478" w:history="1">
        <w:r>
          <w:rPr>
            <w:color w:val="0563C1"/>
            <w:u w:val="single"/>
          </w:rPr>
          <w:t>bmi.bund.de</w:t>
        </w:r>
      </w:hyperlink>
      <w:r>
        <w:t xml:space="preserve"> – Staatsangehörigkeitsrecht, Reform 2024</w:t>
      </w:r>
    </w:p>
    <w:p w14:paraId="70A4F722" w14:textId="78F5DF6D" w:rsidR="00C1548D" w:rsidRDefault="009B1B4B" w:rsidP="009B1B4B">
      <w:pPr>
        <w:pStyle w:val="ListParagraph"/>
        <w:numPr>
          <w:ilvl w:val="0"/>
          <w:numId w:val="1"/>
        </w:numPr>
        <w:spacing w:after="60"/>
      </w:pPr>
      <w:hyperlink r:id="rId479" w:history="1">
        <w:r>
          <w:rPr>
            <w:color w:val="0563C1"/>
            <w:u w:val="single"/>
          </w:rPr>
          <w:t>auswaertiges-amt.de</w:t>
        </w:r>
      </w:hyperlink>
      <w:r>
        <w:t xml:space="preserve"> / </w:t>
      </w:r>
      <w:hyperlink r:id="rId480" w:history="1">
        <w:r>
          <w:rPr>
            <w:color w:val="0563C1"/>
            <w:u w:val="single"/>
          </w:rPr>
          <w:t>germany.info</w:t>
        </w:r>
      </w:hyperlink>
      <w:r>
        <w:t xml:space="preserve"> – Doppelte Staatsangehörigkeit, Beratung durch Auslandsvertretungen</w:t>
      </w:r>
    </w:p>
    <w:p w14:paraId="70A4F723"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2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724" w14:textId="77777777" w:rsidR="00C1548D" w:rsidRDefault="009B1B4B">
            <w:pPr>
              <w:keepNext/>
              <w:spacing w:after="70" w:line="240" w:lineRule="auto"/>
            </w:pPr>
            <w:r>
              <w:rPr>
                <w:b/>
                <w:bCs/>
                <w:color w:val="6B7280"/>
                <w:spacing w:val="24"/>
                <w:sz w:val="16"/>
                <w:szCs w:val="16"/>
              </w:rPr>
              <w:t>STAND</w:t>
            </w:r>
          </w:p>
          <w:p w14:paraId="70A4F725" w14:textId="77777777" w:rsidR="00C1548D" w:rsidRDefault="009B1B4B">
            <w:pPr>
              <w:spacing w:after="80" w:line="264" w:lineRule="auto"/>
            </w:pPr>
            <w:r>
              <w:rPr>
                <w:sz w:val="20"/>
                <w:szCs w:val="20"/>
              </w:rPr>
              <w:t>September 2026. Schnell ändern sich: die Einbürgerungsgebühr (jährliche Anpassung jeweils zum 1. Juli), Bearbeitungs- und Wartezeiten bis zur Zeremonie sowie Detailfragen der Steuerresidenz-Tests. Prüfe vor jeder Entscheidung die aktuellen Seiten von Home Affairs und ATO.</w:t>
            </w:r>
          </w:p>
        </w:tc>
      </w:tr>
    </w:tbl>
    <w:p w14:paraId="70A4F727" w14:textId="77777777" w:rsidR="00C1548D" w:rsidRDefault="00C1548D">
      <w:pPr>
        <w:spacing w:line="220" w:lineRule="exact"/>
      </w:pPr>
    </w:p>
    <w:p w14:paraId="70A4F728" w14:textId="77777777" w:rsidR="00C1548D" w:rsidRDefault="00C1548D">
      <w:pPr>
        <w:sectPr w:rsidR="00C1548D">
          <w:footerReference w:type="default" r:id="rId481"/>
          <w:pgSz w:w="8640" w:h="12960"/>
          <w:pgMar w:top="1080" w:right="1080" w:bottom="1100" w:left="1080" w:header="708" w:footer="708" w:gutter="0"/>
          <w:cols w:space="720"/>
          <w:docGrid w:linePitch="360"/>
        </w:sectPr>
      </w:pPr>
    </w:p>
    <w:p w14:paraId="70A4F729" w14:textId="77777777" w:rsidR="00C1548D" w:rsidRDefault="009B1B4B">
      <w:pPr>
        <w:pStyle w:val="Heading1"/>
        <w:jc w:val="center"/>
      </w:pPr>
      <w:bookmarkStart w:id="134" w:name="_Toc241352518"/>
      <w:r>
        <w:rPr>
          <w:rFonts w:ascii="Amazon Ember" w:eastAsia="Amazon Ember" w:hAnsi="Amazon Ember" w:cs="Amazon Ember"/>
          <w:color w:val="0000FF"/>
        </w:rPr>
        <w:lastRenderedPageBreak/>
        <w:t>TEIL KANADA — Nahe dran, trotzdem anders</w:t>
      </w:r>
      <w:bookmarkEnd w:id="134"/>
    </w:p>
    <w:p w14:paraId="70A4F72A" w14:textId="77777777" w:rsidR="00C1548D" w:rsidRDefault="009B1B4B">
      <w:pPr>
        <w:spacing w:after="160" w:line="300" w:lineRule="auto"/>
        <w:ind w:left="400" w:right="400"/>
        <w:jc w:val="center"/>
      </w:pPr>
      <w:r>
        <w:rPr>
          <w:i/>
          <w:iCs/>
          <w:sz w:val="24"/>
          <w:szCs w:val="24"/>
        </w:rPr>
        <w:t>Kanada ist unter den vier Ländern dieses Buches am nächsten an Deutschland dran – und trotzdem ein eigenständiges System mit eigenen Provinzen, eigenem Winter und eigener Bürokratie. Dieser Teil begleitet Familie Ahrens und Lukas Berger durch Einwanderungswege, Alltag und die Frage, was echte Nähe zur Heimat am Ende wirklich wert ist.</w:t>
      </w:r>
    </w:p>
    <w:p w14:paraId="70A4F72B" w14:textId="77777777" w:rsidR="00C1548D" w:rsidRDefault="00C1548D">
      <w:pPr>
        <w:sectPr w:rsidR="00C1548D">
          <w:footerReference w:type="default" r:id="rId482"/>
          <w:pgSz w:w="8640" w:h="12960"/>
          <w:pgMar w:top="1080" w:right="1080" w:bottom="1100" w:left="1080" w:header="708" w:footer="708" w:gutter="0"/>
          <w:cols w:space="720"/>
          <w:vAlign w:val="center"/>
          <w:docGrid w:linePitch="360"/>
        </w:sectPr>
      </w:pPr>
    </w:p>
    <w:p w14:paraId="70A4F72C" w14:textId="77777777" w:rsidR="00C1548D" w:rsidRDefault="009B1B4B">
      <w:pPr>
        <w:pStyle w:val="Heading2"/>
        <w:keepNext/>
        <w:pageBreakBefore/>
        <w:jc w:val="center"/>
      </w:pPr>
      <w:bookmarkStart w:id="135" w:name="tka01"/>
      <w:bookmarkStart w:id="136" w:name="_Toc241352519"/>
      <w:r>
        <w:rPr>
          <w:rFonts w:ascii="Amazon Ember" w:eastAsia="Amazon Ember" w:hAnsi="Amazon Ember" w:cs="Amazon Ember"/>
          <w:color w:val="0000FF"/>
          <w:sz w:val="36"/>
          <w:szCs w:val="36"/>
        </w:rPr>
        <w:lastRenderedPageBreak/>
        <w:t>Kanada: Die ehrliche Bilanz</w:t>
      </w:r>
      <w:bookmarkEnd w:id="135"/>
      <w:bookmarkEnd w:id="136"/>
    </w:p>
    <w:p w14:paraId="70A4F72D" w14:textId="77777777" w:rsidR="00C1548D" w:rsidRDefault="009B1B4B">
      <w:pPr>
        <w:spacing w:after="140"/>
      </w:pPr>
      <w:r>
        <w:t>Auf dem Küchentisch der Ahrens’ in Leipzig liegt ein Ausdruck der Express-Entry-Punkterechnung, daneben ein Vergleichsangebot für eine Softwarearchitekten-Stelle in Toronto. Markus, 40, hat seinen Comprehensive-Ranking-System-Score mehrfach nachgerechnet: komfortabel über den aktuellen Einladungsgrenzen. Julia, 37, Apothekerin, hat parallel das kanadische Bruttogehalt neben ihre heutige Leipziger Abrechnung gelegt – und war zunächst geblendet von der großen Zahl aus Toronto. Erst der zweite Blick auf Steuer</w:t>
      </w:r>
      <w:r>
        <w:t>staffel, Provinzsteuer und Verbrauchssteuer zeigte, was am Ende tatsächlich übrig bleibt. Genau diesen zweiten Blick liefert dieses Kapitel – zusammen mit allem, was sich nicht in kanadischen Dollar messen lässt.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35"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72E" w14:textId="77777777" w:rsidR="00C1548D" w:rsidRDefault="009B1B4B">
            <w:pPr>
              <w:keepNext/>
              <w:spacing w:after="70" w:line="240" w:lineRule="auto"/>
            </w:pPr>
            <w:r>
              <w:rPr>
                <w:b/>
                <w:bCs/>
                <w:color w:val="1F3A5F"/>
                <w:spacing w:val="24"/>
                <w:sz w:val="16"/>
                <w:szCs w:val="16"/>
              </w:rPr>
              <w:lastRenderedPageBreak/>
              <w:t>KURZ GESAGT</w:t>
            </w:r>
          </w:p>
          <w:p w14:paraId="70A4F72F" w14:textId="77777777" w:rsidR="00C1548D" w:rsidRDefault="009B1B4B" w:rsidP="009B1B4B">
            <w:pPr>
              <w:pStyle w:val="ListParagraph"/>
              <w:numPr>
                <w:ilvl w:val="0"/>
                <w:numId w:val="1"/>
              </w:numPr>
              <w:spacing w:after="50" w:line="264" w:lineRule="auto"/>
            </w:pPr>
            <w:r>
              <w:rPr>
                <w:sz w:val="20"/>
                <w:szCs w:val="20"/>
              </w:rPr>
              <w:t>Der OECD-Steuerkeil zeigt Kanada bei rund 32,0 % (Durchschnittsverdiener, 2024), Deutschland bei rund 49,3 % (2025) – aber die Provinz entscheidet mit: Ontario und Alberta liegen beim kombinierten Spitzensteuersatz mehr als 15 Prozentpunkte auseinander.</w:t>
            </w:r>
          </w:p>
          <w:p w14:paraId="70A4F730" w14:textId="77777777" w:rsidR="00C1548D" w:rsidRDefault="009B1B4B" w:rsidP="009B1B4B">
            <w:pPr>
              <w:pStyle w:val="ListParagraph"/>
              <w:numPr>
                <w:ilvl w:val="0"/>
                <w:numId w:val="1"/>
              </w:numPr>
              <w:spacing w:after="50" w:line="264" w:lineRule="auto"/>
            </w:pPr>
            <w:r>
              <w:rPr>
                <w:sz w:val="20"/>
                <w:szCs w:val="20"/>
              </w:rPr>
              <w:t>Toronto und Vancouver liegen bei den Lebenshaltungskosten laut Numbeo unter München und leicht unter Berlin – der kanadische Landesdurchschnitt liegt spürbar unter dem deutschen.</w:t>
            </w:r>
          </w:p>
          <w:p w14:paraId="70A4F731" w14:textId="77777777" w:rsidR="00C1548D" w:rsidRDefault="009B1B4B" w:rsidP="009B1B4B">
            <w:pPr>
              <w:pStyle w:val="ListParagraph"/>
              <w:numPr>
                <w:ilvl w:val="0"/>
                <w:numId w:val="1"/>
              </w:numPr>
              <w:spacing w:after="50" w:line="264" w:lineRule="auto"/>
            </w:pPr>
            <w:r>
              <w:rPr>
                <w:sz w:val="20"/>
                <w:szCs w:val="20"/>
              </w:rPr>
              <w:t>Die Gesundheitsversorgung ist überall in Kanada öffentlich und universell, aber provinziell organisiert: Ontario kennt keine Wartefrist für Neuankömmlinge, British Columbia und Québec verlangen rund drei Monate ohne Deckung.</w:t>
            </w:r>
          </w:p>
          <w:p w14:paraId="70A4F732" w14:textId="77777777" w:rsidR="00C1548D" w:rsidRDefault="009B1B4B" w:rsidP="009B1B4B">
            <w:pPr>
              <w:pStyle w:val="ListParagraph"/>
              <w:numPr>
                <w:ilvl w:val="0"/>
                <w:numId w:val="1"/>
              </w:numPr>
              <w:spacing w:after="50" w:line="264" w:lineRule="auto"/>
            </w:pPr>
            <w:r>
              <w:rPr>
                <w:sz w:val="20"/>
                <w:szCs w:val="20"/>
              </w:rPr>
              <w:t>Der Canada Pension Plan (CPP) ersetzt die gesetzliche Rente nur teilweise: 5,95 % vom Bruttolohn zahlt jede Seite, gedeckelt auf ein Jahreseinkommen von 74.600 CAD – deutlich schlanker als das deutsche Umlagesystem.</w:t>
            </w:r>
          </w:p>
          <w:p w14:paraId="70A4F733" w14:textId="77777777" w:rsidR="00C1548D" w:rsidRDefault="009B1B4B" w:rsidP="009B1B4B">
            <w:pPr>
              <w:pStyle w:val="ListParagraph"/>
              <w:numPr>
                <w:ilvl w:val="0"/>
                <w:numId w:val="1"/>
              </w:numPr>
              <w:spacing w:after="50" w:line="264" w:lineRule="auto"/>
            </w:pPr>
            <w:r>
              <w:rPr>
                <w:sz w:val="20"/>
                <w:szCs w:val="20"/>
              </w:rPr>
              <w:t>Schon der Antrag kostet: Eine vierköpfige Familie zahlt für die permanente Aufenthaltserlaubnis über Express Entry schnell über 3.700 CAD an reinen Behördengebühren, bevor der erste Lohn fließt.</w:t>
            </w:r>
          </w:p>
          <w:p w14:paraId="70A4F734" w14:textId="77777777" w:rsidR="00C1548D" w:rsidRDefault="009B1B4B" w:rsidP="009B1B4B">
            <w:pPr>
              <w:pStyle w:val="ListParagraph"/>
              <w:numPr>
                <w:ilvl w:val="0"/>
                <w:numId w:val="1"/>
              </w:numPr>
              <w:spacing w:after="50" w:line="264" w:lineRule="auto"/>
            </w:pPr>
            <w:r>
              <w:rPr>
                <w:sz w:val="20"/>
                <w:szCs w:val="20"/>
              </w:rPr>
              <w:t>Am stärksten überzeugt Kanada mit der Nähe zu Deutschland: Toronto ist in rund acht Stunden erreichbar, ohne die extreme Zeitverschiebung, die Australien oder Neuseeland mit sich bringen.</w:t>
            </w:r>
          </w:p>
        </w:tc>
      </w:tr>
    </w:tbl>
    <w:p w14:paraId="70A4F736" w14:textId="77777777" w:rsidR="00C1548D" w:rsidRDefault="00C1548D">
      <w:pPr>
        <w:spacing w:line="220" w:lineRule="exact"/>
      </w:pPr>
    </w:p>
    <w:p w14:paraId="70A4F737" w14:textId="77777777" w:rsidR="00C1548D" w:rsidRDefault="009B1B4B">
      <w:pPr>
        <w:pStyle w:val="Heading3"/>
        <w:keepNext/>
        <w:jc w:val="center"/>
      </w:pPr>
      <w:r>
        <w:rPr>
          <w:rFonts w:ascii="Amazon Ember" w:eastAsia="Amazon Ember" w:hAnsi="Amazon Ember" w:cs="Amazon Ember"/>
          <w:color w:val="0000FF"/>
          <w:sz w:val="36"/>
          <w:szCs w:val="36"/>
        </w:rPr>
        <w:t>Gehalt, Steuern und die Rolle der Provinz</w:t>
      </w:r>
    </w:p>
    <w:p w14:paraId="70A4F738" w14:textId="77777777" w:rsidR="00C1548D" w:rsidRDefault="009B1B4B">
      <w:pPr>
        <w:spacing w:after="140"/>
      </w:pPr>
      <w:r>
        <w:t>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w:t>
      </w:r>
      <w:r>
        <w:rPr>
          <w:i/>
          <w:iCs/>
        </w:rPr>
        <w:t>Tax Wedge</w:t>
      </w:r>
      <w:r>
        <w:t xml:space="preserve">, das Verhältnis aus Einkommensteuer plus Arbeitnehmer- und Arbeitgeberabgaben abzüglich </w:t>
      </w:r>
      <w:r>
        <w:lastRenderedPageBreak/>
        <w:t>Familienleistungen zu den gesamten Arbeitskosten) lag für einen kinderlosen Durchschnittsverdiener 2024 in Kanada bei 32,0 %, in Deutschland 2025 bei 49,3 %. Der Abstand ist real – aber die 32,0 % sind ein Landesdurchschnitt, der die großen Unterschiede zwischen den Provinzen verdeckt.</w:t>
      </w:r>
    </w:p>
    <w:p w14:paraId="70A4F739" w14:textId="77777777" w:rsidR="00C1548D" w:rsidRDefault="009B1B4B">
      <w:pPr>
        <w:spacing w:after="140"/>
      </w:pPr>
      <w:r>
        <w:t>Die Bundessteuer (</w:t>
      </w:r>
      <w:r>
        <w:rPr>
          <w:i/>
          <w:iCs/>
        </w:rPr>
        <w:t>Federal Tax</w:t>
      </w:r>
      <w:r>
        <w:t>) ist für alle Kanadier gleich: 2026 gilt ein Stufentarif von 14 % bis 58.523 CAD, 20,5 % bis 117.045 CAD, 26 % bis 181.440 CAD, 29 % bis 258.482 CAD und 33 % darüber, mit einem Grundfreibetrag (</w:t>
      </w:r>
      <w:r>
        <w:rPr>
          <w:i/>
          <w:iCs/>
        </w:rPr>
        <w:t>Basic Personal Amount</w:t>
      </w:r>
      <w:r>
        <w:t>) von 16.452 CAD. Darauf kommt die Provinzsteuer, und hier beginnt die eigentliche Standortfrage. Ontario, wo Familie Ahrens hinzieht, staffelt von 5,05 % bis 53.891 CAD bis 13,16 % über 220.000 CAD – und verlangt zusätzlich eine Zuschlagsteuer (</w:t>
      </w:r>
      <w:r>
        <w:rPr>
          <w:i/>
          <w:iCs/>
        </w:rPr>
        <w:t>Surtax</w:t>
      </w:r>
      <w:r>
        <w:t>) von 20 % auf die Ontario-Steuer über 5.818 CAD, weitere 36 % über 7.446 CAD. British Columbia reicht von 5,60 % bis 20,50 % über 265.545 CAD. Alberta, Lukas Bergers Ziel, erhebt keine eigene Verkaufssteuer und liegt bei der Provinzsteuer spürbar niedriger; der kombinierte Spitzensteuersatz aus Bund und Provinz reicht dadurch von etwa 36 % in Alberta bis über 53 % in Ontario oder Québec bei sehr hohen Einkommen.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3C"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73A" w14:textId="77777777" w:rsidR="00C1548D" w:rsidRDefault="009B1B4B">
            <w:pPr>
              <w:keepNext/>
              <w:spacing w:after="70" w:line="240" w:lineRule="auto"/>
            </w:pPr>
            <w:r>
              <w:rPr>
                <w:b/>
                <w:bCs/>
                <w:color w:val="2F6B3B"/>
                <w:spacing w:val="24"/>
                <w:sz w:val="16"/>
                <w:szCs w:val="16"/>
              </w:rPr>
              <w:t>SPARTIPP</w:t>
            </w:r>
          </w:p>
          <w:p w14:paraId="70A4F73B" w14:textId="77777777" w:rsidR="00C1548D" w:rsidRDefault="009B1B4B">
            <w:pPr>
              <w:spacing w:after="80" w:line="264" w:lineRule="auto"/>
            </w:pPr>
            <w:r>
              <w:rPr>
                <w:sz w:val="20"/>
                <w:szCs w:val="20"/>
              </w:rPr>
              <w:t>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tc>
      </w:tr>
    </w:tbl>
    <w:p w14:paraId="70A4F73D" w14:textId="77777777" w:rsidR="00C1548D" w:rsidRDefault="00C1548D">
      <w:pPr>
        <w:spacing w:line="220" w:lineRule="exact"/>
      </w:pPr>
    </w:p>
    <w:p w14:paraId="70A4F73E" w14:textId="77777777" w:rsidR="00C1548D" w:rsidRDefault="009B1B4B">
      <w:pPr>
        <w:spacing w:after="140"/>
      </w:pPr>
      <w:r>
        <w:t xml:space="preserve">Die zweite, oft übersehene Ebene ist die Verbrauchssteuer. Die bundesweite </w:t>
      </w:r>
      <w:r>
        <w:rPr>
          <w:i/>
          <w:iCs/>
        </w:rPr>
        <w:t>Goods and Services Tax</w:t>
      </w:r>
      <w:r>
        <w:t xml:space="preserve"> (GST, die kanadische Mehrwertsteuer) liegt einheitlich bei 5 %. Fünf Provinzen erheben daneben eine harmonisierte Steuer (HST), die beides zusammenfasst – Ontario 13 %, Neubraunschweig, Neufundland &amp; Labrador und Prince Edward Island je 15 %, Nova Scotia 14 % –, andere verlangen GST plus separate Provinzsteuer: British Columbia 12 % (5 % GST + </w:t>
      </w:r>
      <w:r>
        <w:lastRenderedPageBreak/>
        <w:t>7 % PST), Manitoba ebenfalls 12 %, Saskatchewan 11 %, Québec sogar 14,975 %. Alberta gehört neben den drei Territorien zu den wenigen Gebieten mit ausschließlich der</w:t>
      </w:r>
      <w:r>
        <w:t xml:space="preserve"> 5 % GST, ganz ohne Provinzsteuer auf Einkäufe. Wer zwischen Toronto und Calgary wählt, zahlt also nicht nur bei der Einkommensteuer, sondern bei jedem Einkauf einen merklich unterschiedlichen Aufschlag.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4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73F" w14:textId="77777777" w:rsidR="00C1548D" w:rsidRDefault="009B1B4B">
            <w:pPr>
              <w:keepNext/>
              <w:spacing w:after="70" w:line="240" w:lineRule="auto"/>
            </w:pPr>
            <w:r>
              <w:rPr>
                <w:b/>
                <w:bCs/>
                <w:color w:val="9B2C2C"/>
                <w:spacing w:val="24"/>
                <w:sz w:val="16"/>
                <w:szCs w:val="16"/>
              </w:rPr>
              <w:t>ACHTUNG</w:t>
            </w:r>
          </w:p>
          <w:p w14:paraId="70A4F740" w14:textId="77777777" w:rsidR="00C1548D" w:rsidRDefault="009B1B4B">
            <w:pPr>
              <w:spacing w:after="80" w:line="264" w:lineRule="auto"/>
            </w:pPr>
            <w:r>
              <w:rPr>
                <w:sz w:val="20"/>
                <w:szCs w:val="20"/>
              </w:rPr>
              <w:t>Die Steuersätze oben gelten für steuerlich Ansässige. Kanada besteuert nach Wohnsitz (</w:t>
            </w:r>
            <w:r>
              <w:rPr>
                <w:i/>
                <w:iCs/>
                <w:sz w:val="20"/>
                <w:szCs w:val="20"/>
              </w:rPr>
              <w:t>Residency</w:t>
            </w:r>
            <w:r>
              <w:rPr>
                <w:sz w:val="20"/>
                <w:szCs w:val="20"/>
              </w:rPr>
              <w:t>), nicht nach Staatsangehörigkeit oder Visumstyp: Sobald du einen gewöhnlichen Wohnsitz in Kanada begründest, musst du dein Weltjahreseinkommen versteuern, im Gegenzug bleibt vor diesem Zeitpunkt erzieltes Auslandseinkommen in Kanada steuerfrei. Wer diesen Zeitpunkt falsch einschätzt oder die erste Steuererklärung als Neuankömmling verpasst, verschenkt unter anderem den Anspruch auf die Verbrauchssteuer-Gutschrift.</w:t>
            </w:r>
          </w:p>
        </w:tc>
      </w:tr>
    </w:tbl>
    <w:p w14:paraId="70A4F742" w14:textId="77777777" w:rsidR="00C1548D" w:rsidRDefault="00C1548D">
      <w:pPr>
        <w:spacing w:line="220" w:lineRule="exact"/>
      </w:pPr>
    </w:p>
    <w:p w14:paraId="70A4F743" w14:textId="77777777" w:rsidR="00C1548D" w:rsidRDefault="009B1B4B">
      <w:pPr>
        <w:pStyle w:val="Heading3"/>
        <w:keepNext/>
        <w:jc w:val="center"/>
      </w:pPr>
      <w:r>
        <w:rPr>
          <w:rFonts w:ascii="Amazon Ember" w:eastAsia="Amazon Ember" w:hAnsi="Amazon Ember" w:cs="Amazon Ember"/>
          <w:color w:val="0000FF"/>
          <w:sz w:val="36"/>
          <w:szCs w:val="36"/>
        </w:rPr>
        <w:t>Lebenshaltungskosten: Toronto und Vancouver im Vergleich</w:t>
      </w:r>
    </w:p>
    <w:p w14:paraId="70A4F744" w14:textId="77777777" w:rsidR="00C1548D" w:rsidRDefault="009B1B4B">
      <w:pPr>
        <w:spacing w:after="140"/>
      </w:pPr>
      <w:r>
        <w:t>Nach dem Numbeo-Kostenindex (Mitte 2026, New York = 100, nutzergenerierte Vergleichsdaten, keine amtliche Statistik) liegen Toronto und Vancouver mit je 67,5 Punkten (Miete: Toronto 55,5, Vancouver 58,8) unter München (76,1, Miete 62,4) und leicht unter Berlin (70,0, Miete 54,9). Im Länderdurchschnitt liegt Kanada insgesamt bei 61,3 Punkten (Miete 46,6), Deutschland bei 68,0 (Miete 47,0). Kurz gesagt: Wer aus einer deutschen Großstadt kommt, erlebt in Toronto oder Vancouver in der Regel keinen Kaufkraftscho</w:t>
      </w:r>
      <w:r>
        <w:t>ck nach oben – die kanadischen Städte liegen im Index sogar unter dem deutschen Niveau.</w:t>
      </w:r>
    </w:p>
    <w:p w14:paraId="70A4F745" w14:textId="306273BC" w:rsidR="00C1548D" w:rsidRDefault="009B1B4B">
      <w:pPr>
        <w:spacing w:after="140"/>
      </w:pPr>
      <w:r>
        <w:t xml:space="preserve">Diese Durchschnittszahl verdeckt allerdings, wie ungleich Wohnraum in beiden Städten verteilt ist. Der Mietindex bildet laufende Mieten ab, nicht die Kaufpreise für Eigentum – und Eigentum ist in Toronto und vor allem in Vancouver traditionell </w:t>
      </w:r>
      <w:r>
        <w:lastRenderedPageBreak/>
        <w:t xml:space="preserve">teurer, als der Mietvergleich vermuten lässt. Wer kaufen statt mieten will, sollte das getrennt recherchieren; das </w:t>
      </w:r>
      <w:hyperlink w:anchor="tka09" w:history="1">
        <w:r>
          <w:rPr>
            <w:color w:val="0563C1"/>
            <w:u w:val="single"/>
          </w:rPr>
          <w:t>Kapitel zum Wohnen in diesem Teil</w:t>
        </w:r>
      </w:hyperlink>
      <w:r>
        <w:t xml:space="preserve"> geht darauf im Detail ein.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48"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746" w14:textId="77777777" w:rsidR="00C1548D" w:rsidRDefault="009B1B4B">
            <w:pPr>
              <w:keepNext/>
              <w:spacing w:after="70" w:line="240" w:lineRule="auto"/>
            </w:pPr>
            <w:r>
              <w:rPr>
                <w:b/>
                <w:bCs/>
                <w:color w:val="8A6212"/>
                <w:spacing w:val="24"/>
                <w:sz w:val="16"/>
                <w:szCs w:val="16"/>
              </w:rPr>
              <w:t>MERKE</w:t>
            </w:r>
          </w:p>
          <w:p w14:paraId="70A4F747" w14:textId="77777777" w:rsidR="00C1548D" w:rsidRDefault="009B1B4B">
            <w:pPr>
              <w:spacing w:after="80" w:line="264" w:lineRule="auto"/>
            </w:pPr>
            <w:r>
              <w:rPr>
                <w:sz w:val="20"/>
                <w:szCs w:val="20"/>
              </w:rPr>
              <w:t>Der Numbeo-Index vergleicht Ausgabenniveaus, nicht Kaufkraft nach Steuern. Die eigentliche Bilanz ergibt sich erst, wenn du das kanadische Nettogehalt – nach Bundes-, Provinz- und Verbrauchssteuer – den kanadischen Lebenshaltungskosten gegenüberstellst, nicht das Bruttogehalt den deutschen Ausgaben.</w:t>
            </w:r>
          </w:p>
        </w:tc>
      </w:tr>
    </w:tbl>
    <w:p w14:paraId="70A4F749" w14:textId="77777777" w:rsidR="00C1548D" w:rsidRDefault="00C1548D">
      <w:pPr>
        <w:spacing w:line="220" w:lineRule="exact"/>
      </w:pPr>
    </w:p>
    <w:p w14:paraId="70A4F74A" w14:textId="77777777" w:rsidR="00C1548D" w:rsidRDefault="009B1B4B">
      <w:pPr>
        <w:pStyle w:val="Heading3"/>
        <w:keepNext/>
        <w:jc w:val="center"/>
      </w:pPr>
      <w:r>
        <w:rPr>
          <w:rFonts w:ascii="Amazon Ember" w:eastAsia="Amazon Ember" w:hAnsi="Amazon Ember" w:cs="Amazon Ember"/>
          <w:color w:val="0000FF"/>
          <w:sz w:val="36"/>
          <w:szCs w:val="36"/>
        </w:rPr>
        <w:t>Gesundheit: ein Rahmengesetz, dreizehn Systeme</w:t>
      </w:r>
    </w:p>
    <w:p w14:paraId="70A4F74B" w14:textId="77777777" w:rsidR="00C1548D" w:rsidRDefault="009B1B4B">
      <w:pPr>
        <w:spacing w:after="140"/>
      </w:pPr>
      <w:r>
        <w:t xml:space="preserve">Verbreiteter Irrtum: Kanada habe, ähnlich wie Großbritannien mit seinem staatlichen Gesundheitsdienst, ein einziges nationales Gesundheitssystem. Tatsächlich schreibt der </w:t>
      </w:r>
      <w:r>
        <w:rPr>
          <w:i/>
          <w:iCs/>
        </w:rPr>
        <w:t>Canada Health Act</w:t>
      </w:r>
      <w:r>
        <w:t xml:space="preserve"> (das Rahmengesetz für die öffentliche Gesundheitsversorgung) nur Mindeststandards vor –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außerhalb des Krankenhauses, Sehhilfen und Physiotherapie sind so gut wie nirgends automatisch m</w:t>
      </w:r>
      <w:r>
        <w:t>itversichert.</w:t>
      </w:r>
    </w:p>
    <w:p w14:paraId="70A4F74C" w14:textId="77777777" w:rsidR="00C1548D" w:rsidRDefault="009B1B4B">
      <w:pPr>
        <w:spacing w:after="140"/>
      </w:pPr>
      <w:r>
        <w:t xml:space="preserve">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 in British Columbia konkret: den Rest des Ankunftsmonats plus zwei weitere volle Kalendermonate. </w:t>
      </w:r>
      <w:r>
        <w:lastRenderedPageBreak/>
        <w:t>Auch Manitoba und Neufundland &amp; Labrador sollen laut Sekundärquellen eine Wartefrist kennen, während Alberta und Saskatchewan als praktisch wartefristfrei gelten – Details, die du vor dem Umzug direkt bei der jeweiligen Provinz bestätigen solltest, da sie sich ändern können und hier nicht für jede Provinz einzeln primärquellen-geprüft sind.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4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74D" w14:textId="77777777" w:rsidR="00C1548D" w:rsidRDefault="009B1B4B">
            <w:pPr>
              <w:keepNext/>
              <w:spacing w:after="70" w:line="240" w:lineRule="auto"/>
            </w:pPr>
            <w:r>
              <w:rPr>
                <w:b/>
                <w:bCs/>
                <w:color w:val="9B2C2C"/>
                <w:spacing w:val="24"/>
                <w:sz w:val="16"/>
                <w:szCs w:val="16"/>
              </w:rPr>
              <w:t>ACHTUNG</w:t>
            </w:r>
          </w:p>
          <w:p w14:paraId="70A4F74E" w14:textId="77777777" w:rsidR="00C1548D" w:rsidRDefault="009B1B4B">
            <w:pPr>
              <w:spacing w:after="80" w:line="264" w:lineRule="auto"/>
            </w:pPr>
            <w:r>
              <w:rPr>
                <w:sz w:val="20"/>
                <w:szCs w:val="20"/>
              </w:rPr>
              <w:t>Wer nach British Columbia oder Québec zieht, sollte für die Wartezeit eine private Übergangskrankenversicherung abschließen – Kostenrahmen grob 100 bis 200 CAD pro Person und Monat, je nach Anbieter und Deckungsumfang. Ein Unfall oder eine Diagnose in dieser Lücke kann sonst schnell mehrere Tausend CAD kosten, die keine Provinz übernimmt.</w:t>
            </w:r>
          </w:p>
        </w:tc>
      </w:tr>
    </w:tbl>
    <w:p w14:paraId="70A4F750" w14:textId="77777777" w:rsidR="00C1548D" w:rsidRDefault="00C1548D">
      <w:pPr>
        <w:spacing w:line="220" w:lineRule="exact"/>
      </w:pPr>
    </w:p>
    <w:p w14:paraId="70A4F751" w14:textId="77777777" w:rsidR="00C1548D" w:rsidRDefault="009B1B4B">
      <w:pPr>
        <w:spacing w:after="140"/>
      </w:pPr>
      <w:r>
        <w:t>Für Lukas Berger, der als Öl- und Gasingenieur nach Calgary, Alberta zieht, bedeutet das nach den verfügbaren Quellen so gut wie keine Wartezeit; für Familie Ahrens in Ontario gilt dasselbe. Wer dagegen in eine Provinz mit Wartefrist zieht, sollte die Übergangsversicherung von Anfang an ins Budget einplanen – ein Punkt, der in den ersten, ohnehin teuren Wochen leicht untergeht.</w:t>
      </w:r>
    </w:p>
    <w:p w14:paraId="70A4F752" w14:textId="77777777" w:rsidR="00C1548D" w:rsidRDefault="009B1B4B">
      <w:pPr>
        <w:pStyle w:val="Heading3"/>
        <w:keepNext/>
        <w:jc w:val="center"/>
      </w:pPr>
      <w:r>
        <w:rPr>
          <w:rFonts w:ascii="Amazon Ember" w:eastAsia="Amazon Ember" w:hAnsi="Amazon Ember" w:cs="Amazon Ember"/>
          <w:color w:val="0000FF"/>
          <w:sz w:val="36"/>
          <w:szCs w:val="36"/>
        </w:rPr>
        <w:t>Canada Pension Plan statt gesetzlicher Rente</w:t>
      </w:r>
    </w:p>
    <w:p w14:paraId="70A4F753" w14:textId="77777777" w:rsidR="00C1548D" w:rsidRDefault="009B1B4B">
      <w:pPr>
        <w:spacing w:after="140"/>
      </w:pPr>
      <w:r>
        <w:t xml:space="preserve">Kanada kennt keine umlagefinanzierte Rentenversicherung nach deutschem Vorbild, sondern den </w:t>
      </w:r>
      <w:r>
        <w:rPr>
          <w:i/>
          <w:iCs/>
        </w:rPr>
        <w:t>Canada Pension Plan</w:t>
      </w:r>
      <w:r>
        <w:t xml:space="preserve"> (CPP, die bundesweite gesetzliche Altersvorsorge – Québec betreibt mit dem </w:t>
      </w:r>
      <w:r>
        <w:rPr>
          <w:i/>
          <w:iCs/>
        </w:rPr>
        <w:t>Québec Pension Plan</w:t>
      </w:r>
      <w:r>
        <w:t xml:space="preserve"> ein eigenes, paralleles System). Arbeitnehmer und Arbeitgeber zahlen 2026 je 5,95 % des Bruttolohns bis zu einer Beitragsbemessungsgrenze (</w:t>
      </w:r>
      <w:r>
        <w:rPr>
          <w:i/>
          <w:iCs/>
        </w:rPr>
        <w:t>Year’s Maximum Pensionable Earnings</w:t>
      </w:r>
      <w:r>
        <w:t>, YMPE) von 74.600 CAD, abzüglich eines Grundfreibetrags von 3.500 CAD – macht maximal 4.230,45 CAD je Seite. Seit einigen Jahren kommt eine zweite Stufe hinzu, CPP2: zusätzlich 4 % auf Einkommen zwischen der YMPE und einer zweiten Grenze (</w:t>
      </w:r>
      <w:r>
        <w:rPr>
          <w:i/>
          <w:iCs/>
        </w:rPr>
        <w:t xml:space="preserve">Year’s Additional </w:t>
      </w:r>
      <w:r>
        <w:rPr>
          <w:i/>
          <w:iCs/>
        </w:rPr>
        <w:lastRenderedPageBreak/>
        <w:t>Maximum Pensionable Earnings</w:t>
      </w:r>
      <w:r>
        <w:t>, YAMPE) von 85.000 CAD, maximal 416 CAD je Seite. Wer selbstständig ist, zahlt beide Anteile allein – 11,9 % plus 8 % CPP2.</w:t>
      </w:r>
    </w:p>
    <w:p w14:paraId="70A4F754" w14:textId="77777777" w:rsidR="00C1548D" w:rsidRDefault="009B1B4B">
      <w:pPr>
        <w:spacing w:after="140"/>
      </w:pPr>
      <w:r>
        <w:t xml:space="preserve">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w:t>
      </w:r>
      <w:r>
        <w:rPr>
          <w:i/>
          <w:iCs/>
        </w:rPr>
        <w:t>Registered Retirement Savings Plan</w:t>
      </w:r>
      <w:r>
        <w:t xml:space="preserve"> (RRSP, ein steuerbegünstigtes individuelles Vorsorgekonto) oder einen betrieblichen Pensionsplan des Arbeitgebers.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57"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755" w14:textId="77777777" w:rsidR="00C1548D" w:rsidRDefault="009B1B4B">
            <w:pPr>
              <w:keepNext/>
              <w:spacing w:after="70" w:line="240" w:lineRule="auto"/>
            </w:pPr>
            <w:r>
              <w:rPr>
                <w:b/>
                <w:bCs/>
                <w:color w:val="8A6212"/>
                <w:spacing w:val="24"/>
                <w:sz w:val="16"/>
                <w:szCs w:val="16"/>
              </w:rPr>
              <w:t>MERKE</w:t>
            </w:r>
          </w:p>
          <w:p w14:paraId="70A4F756" w14:textId="77777777" w:rsidR="00C1548D" w:rsidRDefault="009B1B4B">
            <w:pPr>
              <w:spacing w:after="80" w:line="264" w:lineRule="auto"/>
            </w:pPr>
            <w:r>
              <w:rPr>
                <w:sz w:val="20"/>
                <w:szCs w:val="20"/>
              </w:rPr>
              <w:t>Der CPP ist kein Ersatz für die deutsche Rente, sondern eine schlankere Ergänzung dazu. Ob und wie sich Beitragszeiten in Kanada und Deutschland gegenseitig anrechnen lassen, regelt ein eigenes Sozialversicherungsabkommen zwischen beiden Ländern – Details dazu stehen im Universal-Kapitel zu Steuern, Rente und Geld.</w:t>
            </w:r>
          </w:p>
        </w:tc>
      </w:tr>
    </w:tbl>
    <w:p w14:paraId="70A4F758" w14:textId="77777777" w:rsidR="00C1548D" w:rsidRDefault="00C1548D">
      <w:pPr>
        <w:spacing w:line="220" w:lineRule="exact"/>
      </w:pPr>
    </w:p>
    <w:p w14:paraId="70A4F759" w14:textId="77777777" w:rsidR="00C1548D" w:rsidRDefault="009B1B4B">
      <w:pPr>
        <w:spacing w:after="140"/>
      </w:pPr>
      <w:r>
        <w:t xml:space="preserve">Ein Vorteil gegenüber Australiens </w:t>
      </w:r>
      <w:r>
        <w:rPr>
          <w:i/>
          <w:iCs/>
        </w:rPr>
        <w:t>Superannuation</w:t>
      </w:r>
      <w:r>
        <w:t>: Der CPP wird unabhängig vom Aufenthaltsstatus für jede Beschäftigung in Kanada fällig – auch Lukas Berger zahlt als befristeter Work-Permit-Inhaber von der ersten Gehaltsabrechnung an ein. Anders als bei der australischen Superannuation gibt es beim CPP keine Möglichkeit und keine Notwendigkeit, sich das Guthaben bei einer Ausreise vorzeitig und mit hohem Steuerabzug auszahlen zu lassen: Die Rente bleibt bis zum gesetzlichen Rentenalter im System. Die genauen Regeln zur späteren Auszahlung aus dem Ausland</w:t>
      </w:r>
      <w:r>
        <w:t xml:space="preserve"> sind hier nicht vertieft.</w:t>
      </w:r>
    </w:p>
    <w:p w14:paraId="70A4F75A" w14:textId="77777777" w:rsidR="00C1548D" w:rsidRDefault="009B1B4B">
      <w:pPr>
        <w:pStyle w:val="Heading3"/>
        <w:keepNext/>
        <w:jc w:val="center"/>
      </w:pPr>
      <w:r>
        <w:rPr>
          <w:rFonts w:ascii="Amazon Ember" w:eastAsia="Amazon Ember" w:hAnsi="Amazon Ember" w:cs="Amazon Ember"/>
          <w:color w:val="0000FF"/>
          <w:sz w:val="36"/>
          <w:szCs w:val="36"/>
        </w:rPr>
        <w:t>Was der Umzug selbst kostet</w:t>
      </w:r>
    </w:p>
    <w:p w14:paraId="70A4F75B" w14:textId="77777777" w:rsidR="00C1548D" w:rsidRDefault="009B1B4B">
      <w:pPr>
        <w:spacing w:after="140"/>
      </w:pPr>
      <w:r>
        <w:t xml:space="preserve">Schon vor dem ersten Gehaltseingang verlangt auch Kanada Vorleistungen – wie hoch, hängt stark vom gewählten Weg ab. Für den Weg über Express Entry, wie ihn Familie Ahrens plant, fallen bei </w:t>
      </w:r>
      <w:r>
        <w:lastRenderedPageBreak/>
        <w:t>der Antragstellung auf die permanente Aufenthaltserlaubnis (</w:t>
      </w:r>
      <w:r>
        <w:rPr>
          <w:i/>
          <w:iCs/>
        </w:rPr>
        <w:t>Permanent Residence</w:t>
      </w:r>
      <w:r>
        <w:t xml:space="preserve">, PR) 1.590 CAD für den Hauptantragsteller an (darin bereits enthalten: 600 CAD </w:t>
      </w:r>
      <w:r>
        <w:rPr>
          <w:i/>
          <w:iCs/>
        </w:rPr>
        <w:t>Right of Permanent Residence Fee</w:t>
      </w:r>
      <w:r>
        <w:t>, die eigentliche Gebühr für den unbefristeten Status), weitere 1.590 CAD für den mitreisenden Partner und je 270 CAD pro unterhaltsberechtigtem Kind. Für die vierköpfige Familie Ahrens kommen so allein an PR-Gebühren rund 3.720 CAD zusammen, dazu Biometrie (85 CAD pro Person, Familien-Höchstbetrag 170 CAD), Sprachtest, Bildungsanerkennung (</w:t>
      </w:r>
      <w:r>
        <w:rPr>
          <w:i/>
          <w:iCs/>
        </w:rPr>
        <w:t>Educational Credential Assessment</w:t>
      </w:r>
      <w:r>
        <w:t>, ECA) und Führungszeugnisse – die konkreten Kosten dafür schwanken je Anbieter und sind hier nicht beziffert.</w:t>
      </w:r>
    </w:p>
    <w:p w14:paraId="70A4F75C" w14:textId="09DCA035" w:rsidR="00C1548D" w:rsidRDefault="009B1B4B">
      <w:pPr>
        <w:spacing w:after="140"/>
      </w:pPr>
      <w:r>
        <w:t xml:space="preserve">Wer stattdessen wie Lukas Berger über ein arbeitgebergesponsertes, LMIA-pflichtiges Arbeitsvisum einreist, trägt persönlich deutlich weniger: Das Arbeitsvisum selbst kostet 155 CAD, dazu 85 CAD Biometrie. Die eigentliche Hürde – die </w:t>
      </w:r>
      <w:r>
        <w:rPr>
          <w:i/>
          <w:iCs/>
        </w:rPr>
        <w:t>Labour Market Impact Assessment</w:t>
      </w:r>
      <w:r>
        <w:t xml:space="preserve"> (LMIA, der Arbeitsmarkttest, mit dem ein kanadischer Arbeitgeber nachweist, dass keine geeigneten kanadischen oder bereits ansässigen Bewerber verfügbar sind) – kostet 1.000 CAD pro Stelle und wird vom Arbeitgeber getragen, nicht vom Antragsteller. Von außerhalb Kanadas beantragt, dauert ein LMIA-basiertes Arbeitsvisum nach Kanzleiangaben insgesamt rund 7 bis 13 Wochen bis zur Erteilung – Zeit, die sich für Wohnungssuche und Umzugsplanung nutzen lässt, aber auch bedeutet, dass zwischen Jobzusage und Einrei</w:t>
      </w:r>
      <w:r>
        <w:t xml:space="preserve">se mehrere Monate liegen können. Der Preis für die niedrigeren Vorabkosten ist Bindung: Das Arbeitsvisum ist an den sponsernden Betrieb gekoppelt, nicht frei übertragbar, und die permanente Aufenthaltserlaubnis ist damit noch nicht erreicht – wie der Weg von einem befristeten Arbeitsvisum zur PR führt, zeigt das </w:t>
      </w:r>
      <w:hyperlink w:anchor="tka02" w:history="1">
        <w:r>
          <w:rPr>
            <w:color w:val="0563C1"/>
            <w:u w:val="single"/>
          </w:rPr>
          <w:t>nächste Kapitel dieses Teils</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5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75D" w14:textId="77777777" w:rsidR="00C1548D" w:rsidRDefault="009B1B4B">
            <w:pPr>
              <w:keepNext/>
              <w:spacing w:after="70" w:line="240" w:lineRule="auto"/>
            </w:pPr>
            <w:r>
              <w:rPr>
                <w:b/>
                <w:bCs/>
                <w:color w:val="4A5568"/>
                <w:spacing w:val="24"/>
                <w:sz w:val="16"/>
                <w:szCs w:val="16"/>
              </w:rPr>
              <w:lastRenderedPageBreak/>
              <w:t>PRAXISBEISPIEL · FIKTIV</w:t>
            </w:r>
          </w:p>
          <w:p w14:paraId="70A4F75E" w14:textId="77777777" w:rsidR="00C1548D" w:rsidRDefault="009B1B4B">
            <w:pPr>
              <w:spacing w:after="80" w:line="264" w:lineRule="auto"/>
            </w:pPr>
            <w:r>
              <w:rPr>
                <w:sz w:val="20"/>
                <w:szCs w:val="20"/>
              </w:rPr>
              <w:t>Familie Ahrens (fiktiv) rechnete vor der Entscheidung genau nach. Markus’ CRS-Score lag komfortabel über den Einladungsgrenzen der vergangenen Runden – realistisch für einen Softwarearchitekten mit mehrjähriger Erfahrung und gutem Englisch. An PR-Gebühren, Biometrie, Sprachtest und Bildungsanerkennung für die ganze Familie kamen dennoch mehrere Tausend CAD zusammen, bevor der erste kanadische Gehaltseingang überhaupt existierte. Der Vorteil auf der Habenseite: Als Inhaber der permanenten Aufenthaltserlaubni</w:t>
            </w:r>
            <w:r>
              <w:rPr>
                <w:sz w:val="20"/>
                <w:szCs w:val="20"/>
              </w:rPr>
              <w:t>s waren Markus, Julia, Finn und Mia ab dem Tag der Einreise voll bei OHIP versichert und nicht an einen einzelnen Arbeitgeber gebunden.</w:t>
            </w:r>
          </w:p>
        </w:tc>
      </w:tr>
    </w:tbl>
    <w:p w14:paraId="70A4F760" w14:textId="77777777" w:rsidR="00C1548D" w:rsidRDefault="00C1548D">
      <w:pPr>
        <w:spacing w:line="220" w:lineRule="exact"/>
      </w:pPr>
    </w:p>
    <w:p w14:paraId="70A4F761" w14:textId="77777777" w:rsidR="00C1548D" w:rsidRDefault="009B1B4B">
      <w:pPr>
        <w:pStyle w:val="Heading3"/>
        <w:keepNext/>
        <w:jc w:val="center"/>
      </w:pPr>
      <w:r>
        <w:rPr>
          <w:rFonts w:ascii="Amazon Ember" w:eastAsia="Amazon Ember" w:hAnsi="Amazon Ember" w:cs="Amazon Ember"/>
          <w:color w:val="0000FF"/>
          <w:sz w:val="36"/>
          <w:szCs w:val="36"/>
        </w:rPr>
        <w:t>Was sich nicht in CAD messen lässt</w:t>
      </w:r>
    </w:p>
    <w:p w14:paraId="70A4F762" w14:textId="77777777" w:rsidR="00C1548D" w:rsidRDefault="009B1B4B">
      <w:pPr>
        <w:spacing w:after="140"/>
      </w:pPr>
      <w:r>
        <w:t>Verglichen mit Australien oder Neuseeland ist der größte Pluspunkt Kanadas schnell benannt: die Entfernung. Toronto ist von Frankfurt aus in rund acht Stunden erreichbar, Vancouver in rund zehneinhalb Stunden über etwa 8.050 Kilometer Luftlinie – beides mit Direktflugverbindungen, wie sie Sydney oder Auckland von Deutschland aus nicht bieten. Die Zeitverschiebung liegt, ähnlich wie bei den USA, bei rund sechs Stunden an der Ostküste bis neun Stunden an der Westküste – spürbar, aber ohne die fast vollständig</w:t>
      </w:r>
      <w:r>
        <w:t>e Tag-Nacht-Umkehr, mit der sich Auswanderer nach Neuseeland arrangieren müssen. Ein Wochenendbesuch bei den Eltern in Deutschland ist von Toronto aus anstrengend, aber machbar; von Sydney aus ist er praktisch ausgeschlossen.</w:t>
      </w:r>
    </w:p>
    <w:p w14:paraId="70A4F763" w14:textId="77777777" w:rsidR="00C1548D" w:rsidRDefault="009B1B4B">
      <w:pPr>
        <w:spacing w:after="140"/>
      </w:pPr>
      <w:r>
        <w:t xml:space="preserve">In Kanada lebten 2021 rund 126.500 Personen mit deutscher Staatsangehörigkeit oder Herkunft, dazu fast 3 Millionen Menschen mit ganzer oder teilweiser deutscher Abstammung über mehrere Generationen – eine der größeren deutschstämmigen Communitys unter den vier Zielländern dieses Buches. Was diese Zahlen nicht zeigen: kanadische Winter. Wer aus Deutschland kommt, unterschätzt regelmäßig, wie lang und wie kalt die kalte Jahreszeit in weiten Teilen Kanadas ausfällt – ein Faktor, der sich in keiner </w:t>
      </w:r>
      <w:r>
        <w:lastRenderedPageBreak/>
        <w:t>Steuertabelle niederschlägt, aber jeden Alltag mehrere Monate im Jahr prägt.</w:t>
      </w:r>
    </w:p>
    <w:p w14:paraId="70A4F764" w14:textId="77777777" w:rsidR="00C1548D" w:rsidRDefault="009B1B4B">
      <w:pPr>
        <w:spacing w:after="140"/>
      </w:pPr>
      <w:r>
        <w:t>Sowohl Deutschland als auch Kanada erlauben die doppelte Staatsangehörigkeit ausdrücklich: Seit der deutschen Reform vom 27. Juni 2024 führt eine kanadische Einbürgerung nicht mehr automatisch zum Verlust des deutschen Passes – ein Punkt, der noch vor wenigen Jahren deutlich komplizierter war.</w:t>
      </w:r>
    </w:p>
    <w:p w14:paraId="70A4F765" w14:textId="77777777" w:rsidR="00C1548D" w:rsidRDefault="009B1B4B">
      <w:pPr>
        <w:pStyle w:val="Heading3"/>
        <w:keepNext/>
        <w:jc w:val="center"/>
      </w:pPr>
      <w:r>
        <w:rPr>
          <w:rFonts w:ascii="Amazon Ember" w:eastAsia="Amazon Ember" w:hAnsi="Amazon Ember" w:cs="Amazon Ember"/>
          <w:color w:val="0000FF"/>
          <w:sz w:val="36"/>
          <w:szCs w:val="36"/>
        </w:rPr>
        <w:t>Wer profitiert, wer nicht</w:t>
      </w:r>
    </w:p>
    <w:p w14:paraId="70A4F766" w14:textId="77777777" w:rsidR="00C1548D" w:rsidRDefault="009B1B4B">
      <w:pPr>
        <w:spacing w:after="140"/>
      </w:pPr>
      <w:r>
        <w:t>Am stärksten profitiert von der kanadischen Rechnung, wer einen guten CRS-Score mitbringt – gutes Englisch oder Französisch, einen anerkennungsfähigen Abschluss, einige Jahre Berufserfahrung – und Wert auf einen von Anfang an unbefristeten Status legt. Anders als Australiens Punktetest kennt das CRS keine feste Alters-Ausschlussgrenze, aber die Alterspunkte sinken mit steigendem Alter erheblich; wer weit jenseits der 40 ist, sollte das bei der eigenen Punkterechnung realistisch einkalkulieren, nicht erst na</w:t>
      </w:r>
      <w:r>
        <w:t>ch dem ECA-Antrag entdecken.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69"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767" w14:textId="77777777" w:rsidR="00C1548D" w:rsidRDefault="009B1B4B">
            <w:pPr>
              <w:keepNext/>
              <w:spacing w:after="70" w:line="240" w:lineRule="auto"/>
            </w:pPr>
            <w:r>
              <w:rPr>
                <w:b/>
                <w:bCs/>
                <w:color w:val="4A5568"/>
                <w:spacing w:val="24"/>
                <w:sz w:val="16"/>
                <w:szCs w:val="16"/>
              </w:rPr>
              <w:t>PRAXISBEISPIEL · FIKTIV</w:t>
            </w:r>
          </w:p>
          <w:p w14:paraId="70A4F768" w14:textId="77777777" w:rsidR="00C1548D" w:rsidRDefault="009B1B4B">
            <w:pPr>
              <w:spacing w:after="80" w:line="264" w:lineRule="auto"/>
            </w:pPr>
            <w:r>
              <w:rPr>
                <w:sz w:val="20"/>
                <w:szCs w:val="20"/>
              </w:rPr>
              <w:t>Lukas Berger (fiktiv), 29, Öl- und Gasingenieur aus Hannover, alleinstehend, fand seinen Weg nicht über Punkte, sondern über ein Jobangebot: Ein Unternehmen in Calgary erklärte sich bereit, ihn über ein LMIA-pflichtiges Arbeitsvisum zu sponsern. Die niedrigeren persönlichen Vorabkosten – keine PR-Gebühren, nur Visum und Biometrie – überzeugten ihn zunächst. Erst mit der ersten Gehaltsabrechnung wurde ihm klar, wie sehr die Provinzwahl mitentscheidet: keine Verkaufssteuer auf Einkäufe, eine niedrigere Provin</w:t>
            </w:r>
            <w:r>
              <w:rPr>
                <w:sz w:val="20"/>
                <w:szCs w:val="20"/>
              </w:rPr>
              <w:t>zsteuer als in Ontario – ein Vorteil, der die Bindung an seinen einzelnen Arbeitgeber für ihn aufwog, zumindest für die ersten Jahre bis zu einer möglichen permanenten Aufenthaltserlaubnis.</w:t>
            </w:r>
          </w:p>
        </w:tc>
      </w:tr>
    </w:tbl>
    <w:p w14:paraId="70A4F76A" w14:textId="77777777" w:rsidR="00C1548D" w:rsidRDefault="00C1548D">
      <w:pPr>
        <w:spacing w:line="220" w:lineRule="exact"/>
      </w:pPr>
    </w:p>
    <w:p w14:paraId="70A4F76B" w14:textId="77777777" w:rsidR="00C1548D" w:rsidRDefault="009B1B4B">
      <w:pPr>
        <w:spacing w:after="140"/>
      </w:pPr>
      <w:r>
        <w:t xml:space="preserve">Kritischer wird die Bilanz für alle, die auf schnelle, spontane Familienbesuche angewiesen sind – auch wenn Kanada hier merklich besser abschneidet als Australien oder Neuseeland –, für </w:t>
      </w:r>
      <w:r>
        <w:lastRenderedPageBreak/>
        <w:t>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w14:paraId="70A4F76C" w14:textId="77777777" w:rsidR="00C1548D" w:rsidRDefault="009B1B4B">
      <w:pPr>
        <w:spacing w:after="140"/>
      </w:pPr>
      <w:r>
        <w:t>Auch die Wahl der Provinz sollte zur eigenen Lebensplanung passen, nicht nur zum Jobangebot. Wer wie Familie Ahrens eine hohe Steuerlast gegen kürzere Wege, eine etablierte deutsche Community und ein mildes Klima im Süden Ontarios eintauscht, zieht eine andere Bilanz als jemand, der wie Lukas Berger eine niedrigere Steuerlast in Alberta gegen härtere Winter und größere Distanzen zu den nächsten Großstädten abwägt. Keine der beiden Rechnungen ist grundsätzlich richtiger – wichtig ist nur, sie vor dem Umzug b</w:t>
      </w:r>
      <w:r>
        <w:t>ewusst und mit den eigenen Prioritäten zu führen, nicht erst danach.</w:t>
      </w:r>
    </w:p>
    <w:p w14:paraId="70A4F76D"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770"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76E"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76F" w14:textId="77777777" w:rsidR="00C1548D" w:rsidRDefault="009B1B4B">
            <w:pPr>
              <w:spacing w:line="250" w:lineRule="auto"/>
            </w:pPr>
            <w:r>
              <w:rPr>
                <w:b/>
                <w:bCs/>
                <w:sz w:val="18"/>
                <w:szCs w:val="18"/>
              </w:rPr>
              <w:t>Minus</w:t>
            </w:r>
          </w:p>
        </w:tc>
      </w:tr>
      <w:tr w:rsidR="00C1548D" w14:paraId="70A4F77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71" w14:textId="77777777" w:rsidR="00C1548D" w:rsidRDefault="009B1B4B">
            <w:pPr>
              <w:spacing w:line="250" w:lineRule="auto"/>
            </w:pPr>
            <w:r>
              <w:rPr>
                <w:sz w:val="18"/>
                <w:szCs w:val="18"/>
              </w:rPr>
              <w:t>Niedrigerer Steuerkeil als Deutschland (32,0 % vs. 49,3 %)</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72" w14:textId="77777777" w:rsidR="00C1548D" w:rsidRDefault="009B1B4B">
            <w:pPr>
              <w:spacing w:line="250" w:lineRule="auto"/>
            </w:pPr>
            <w:r>
              <w:rPr>
                <w:sz w:val="18"/>
                <w:szCs w:val="18"/>
              </w:rPr>
              <w:t>Steuerlast hängt stark von der gewählten Provinz ab</w:t>
            </w:r>
          </w:p>
        </w:tc>
      </w:tr>
      <w:tr w:rsidR="00C1548D" w14:paraId="70A4F77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74" w14:textId="77777777" w:rsidR="00C1548D" w:rsidRDefault="009B1B4B">
            <w:pPr>
              <w:spacing w:line="250" w:lineRule="auto"/>
            </w:pPr>
            <w:r>
              <w:rPr>
                <w:sz w:val="18"/>
                <w:szCs w:val="18"/>
              </w:rPr>
              <w:t>Toronto und Vancouver bei Lebenshaltungskosten unter München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75" w14:textId="77777777" w:rsidR="00C1548D" w:rsidRDefault="009B1B4B">
            <w:pPr>
              <w:spacing w:line="250" w:lineRule="auto"/>
            </w:pPr>
            <w:r>
              <w:rPr>
                <w:sz w:val="18"/>
                <w:szCs w:val="18"/>
              </w:rPr>
              <w:t>Immobilienkaufpreise liegen über dem Mietindex</w:t>
            </w:r>
          </w:p>
        </w:tc>
      </w:tr>
      <w:tr w:rsidR="00C1548D" w14:paraId="70A4F77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77" w14:textId="77777777" w:rsidR="00C1548D" w:rsidRDefault="009B1B4B">
            <w:pPr>
              <w:spacing w:line="250" w:lineRule="auto"/>
            </w:pPr>
            <w:r>
              <w:rPr>
                <w:sz w:val="18"/>
                <w:szCs w:val="18"/>
              </w:rPr>
              <w:t>Universelles Gesundheitssystem, in mehreren Provinzen ohne Wartefrist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78" w14:textId="77777777" w:rsidR="00C1548D" w:rsidRDefault="009B1B4B">
            <w:pPr>
              <w:spacing w:line="250" w:lineRule="auto"/>
            </w:pPr>
            <w:r>
              <w:rPr>
                <w:sz w:val="18"/>
                <w:szCs w:val="18"/>
              </w:rPr>
              <w:t>In British Columbia und Québec rund drei Monate Deckungslücke</w:t>
            </w:r>
          </w:p>
        </w:tc>
      </w:tr>
      <w:tr w:rsidR="00C1548D" w14:paraId="70A4F77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7A" w14:textId="77777777" w:rsidR="00C1548D" w:rsidRDefault="009B1B4B">
            <w:pPr>
              <w:spacing w:line="250" w:lineRule="auto"/>
            </w:pPr>
            <w:r>
              <w:rPr>
                <w:sz w:val="18"/>
                <w:szCs w:val="18"/>
              </w:rPr>
              <w:t>CPP gilt ab dem ersten Gehalt, unabhängig vom Aufenthaltsstatus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7B" w14:textId="77777777" w:rsidR="00C1548D" w:rsidRDefault="009B1B4B">
            <w:pPr>
              <w:spacing w:line="250" w:lineRule="auto"/>
            </w:pPr>
            <w:r>
              <w:rPr>
                <w:sz w:val="18"/>
                <w:szCs w:val="18"/>
              </w:rPr>
              <w:t>CPP ersetzt die deutsche Rente nur teilweise</w:t>
            </w:r>
          </w:p>
        </w:tc>
      </w:tr>
      <w:tr w:rsidR="00C1548D" w14:paraId="70A4F77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7D" w14:textId="77777777" w:rsidR="00C1548D" w:rsidRDefault="009B1B4B">
            <w:pPr>
              <w:spacing w:line="250" w:lineRule="auto"/>
            </w:pPr>
            <w:r>
              <w:rPr>
                <w:sz w:val="18"/>
                <w:szCs w:val="18"/>
              </w:rPr>
              <w:t>Direktflüge und moderate Zeitverschiebung erleichtern Familienbesuche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7E" w14:textId="77777777" w:rsidR="00C1548D" w:rsidRDefault="009B1B4B">
            <w:pPr>
              <w:spacing w:line="250" w:lineRule="auto"/>
            </w:pPr>
            <w:r>
              <w:rPr>
                <w:sz w:val="18"/>
                <w:szCs w:val="18"/>
              </w:rPr>
              <w:t>Vorlaufkosten von mehreren Tausend CAD schon vor dem ersten Gehalt</w:t>
            </w:r>
          </w:p>
        </w:tc>
      </w:tr>
      <w:tr w:rsidR="00C1548D" w14:paraId="70A4F78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80" w14:textId="77777777" w:rsidR="00C1548D" w:rsidRDefault="009B1B4B">
            <w:pPr>
              <w:spacing w:line="250" w:lineRule="auto"/>
            </w:pPr>
            <w:r>
              <w:rPr>
                <w:sz w:val="18"/>
                <w:szCs w:val="18"/>
              </w:rPr>
              <w:t>Doppelte Staatsangehörigkeit ausdrücklich erlaubt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81" w14:textId="77777777" w:rsidR="00C1548D" w:rsidRDefault="009B1B4B">
            <w:pPr>
              <w:spacing w:line="250" w:lineRule="auto"/>
            </w:pPr>
            <w:r>
              <w:rPr>
                <w:sz w:val="18"/>
                <w:szCs w:val="18"/>
              </w:rPr>
              <w:t>Lange, kalte Winter in weiten Teilen des Landes</w:t>
            </w:r>
          </w:p>
        </w:tc>
      </w:tr>
    </w:tbl>
    <w:p w14:paraId="70A4F783" w14:textId="77777777" w:rsidR="00C1548D" w:rsidRDefault="00C1548D">
      <w:pPr>
        <w:spacing w:line="180" w:lineRule="exact"/>
      </w:pPr>
    </w:p>
    <w:p w14:paraId="70A4F784"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jetzt zu tun ist</w:t>
      </w:r>
    </w:p>
    <w:p w14:paraId="70A4F785" w14:textId="046DD3AF" w:rsidR="00C1548D" w:rsidRDefault="009B1B4B">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 nicht mit dem Bruttogehalt. Kläre parallel, welche Provinz überhaupt zu deinem Berufsfeld passt; das </w:t>
      </w:r>
      <w:hyperlink w:anchor="tka02" w:history="1">
        <w:r>
          <w:rPr>
            <w:color w:val="0563C1"/>
            <w:u w:val="single"/>
          </w:rPr>
          <w:t>nächste Kapitel dieses Teils</w:t>
        </w:r>
      </w:hyperlink>
      <w:r>
        <w:t xml:space="preserve"> zeigt die einzelnen Einwanderungswege im Detail, das Kapitel zum Wohnen die Unterschiede zwischen den Städten. Und plane die Vorlaufkosten – PR-Gebühren oder Visum, Sprachtest, Bildungsanerkennung, Führungszeugnisse – als eigenen Posten ein, getrennt vom eigentlichen Umzugsbudget.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8D"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786" w14:textId="77777777" w:rsidR="00C1548D" w:rsidRDefault="009B1B4B">
            <w:pPr>
              <w:keepNext/>
              <w:spacing w:after="70" w:line="240" w:lineRule="auto"/>
            </w:pPr>
            <w:r>
              <w:rPr>
                <w:b/>
                <w:bCs/>
                <w:color w:val="1F6F78"/>
                <w:spacing w:val="24"/>
                <w:sz w:val="16"/>
                <w:szCs w:val="16"/>
              </w:rPr>
              <w:t>CHECKLISTE</w:t>
            </w:r>
          </w:p>
          <w:p w14:paraId="70A4F78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Eigenes Bruttogehalt in Bundes- und Provinzsteuerstaffel eingetragen und mit der deutschen Nettoabrechnung verglichen</w:t>
            </w:r>
          </w:p>
          <w:p w14:paraId="70A4F78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Verbrauchssteuer der Zielprovinz (GST allein oder GST plus HST/PST) in die Alltagsrechnung einbezogen</w:t>
            </w:r>
          </w:p>
          <w:p w14:paraId="70A4F78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welche Provinz oder Provinzen für den eigenen Beruf und Lebensstil infrage kommen</w:t>
            </w:r>
          </w:p>
          <w:p w14:paraId="70A4F78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Wartefrist der provinziellen Krankenversicherung am Zielort geklärt, ggf. private Übergangsversicherung eingeplant</w:t>
            </w:r>
          </w:p>
          <w:p w14:paraId="70A4F78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Vorlaufkosten für PR-Antrag oder Arbeitsvisum, Sprachtest und Bildungsanerkennung überschlägig zusammengerechnet</w:t>
            </w:r>
          </w:p>
          <w:p w14:paraId="70A4F78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Überlegt, wie der CPP im Vergleich zur deutschen Rente einzuordnen ist und ob zusätzliche private Vorsorge sinnvoll ist</w:t>
            </w:r>
          </w:p>
        </w:tc>
      </w:tr>
    </w:tbl>
    <w:p w14:paraId="70A4F78E" w14:textId="77777777" w:rsidR="00C1548D" w:rsidRDefault="00C1548D">
      <w:pPr>
        <w:spacing w:line="220" w:lineRule="exact"/>
      </w:pPr>
    </w:p>
    <w:p w14:paraId="70A4F78F"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790" w14:textId="3C0F00A3" w:rsidR="00C1548D" w:rsidRDefault="009B1B4B" w:rsidP="009B1B4B">
      <w:pPr>
        <w:pStyle w:val="ListParagraph"/>
        <w:numPr>
          <w:ilvl w:val="0"/>
          <w:numId w:val="1"/>
        </w:numPr>
        <w:spacing w:after="60"/>
      </w:pPr>
      <w:r>
        <w:t>Canada Revenue Agency — Einkommensteuersätze Bund und CPP-Beitragssätze (</w:t>
      </w:r>
      <w:hyperlink r:id="rId483" w:history="1">
        <w:r>
          <w:rPr>
            <w:color w:val="0563C1"/>
            <w:u w:val="single"/>
          </w:rPr>
          <w:t>canada.ca/en/revenue-agency</w:t>
        </w:r>
      </w:hyperlink>
      <w:r>
        <w:t>)</w:t>
      </w:r>
    </w:p>
    <w:p w14:paraId="70A4F791" w14:textId="384A1405" w:rsidR="00C1548D" w:rsidRDefault="009B1B4B" w:rsidP="009B1B4B">
      <w:pPr>
        <w:pStyle w:val="ListParagraph"/>
        <w:numPr>
          <w:ilvl w:val="0"/>
          <w:numId w:val="1"/>
        </w:numPr>
        <w:spacing w:after="60"/>
      </w:pPr>
      <w:r>
        <w:t>Province of British Columbia — Einkommensteuersätze und MSP-Wartefrist (</w:t>
      </w:r>
      <w:hyperlink r:id="rId484" w:history="1">
        <w:r>
          <w:rPr>
            <w:color w:val="0563C1"/>
            <w:u w:val="single"/>
          </w:rPr>
          <w:t>gov.bc.ca</w:t>
        </w:r>
      </w:hyperlink>
      <w:r>
        <w:t>)</w:t>
      </w:r>
    </w:p>
    <w:p w14:paraId="70A4F792" w14:textId="188EDCDC" w:rsidR="00C1548D" w:rsidRDefault="009B1B4B" w:rsidP="009B1B4B">
      <w:pPr>
        <w:pStyle w:val="ListParagraph"/>
        <w:numPr>
          <w:ilvl w:val="0"/>
          <w:numId w:val="1"/>
        </w:numPr>
        <w:spacing w:after="60"/>
      </w:pPr>
      <w:hyperlink r:id="rId485" w:history="1">
        <w:r>
          <w:rPr>
            <w:color w:val="0563C1"/>
            <w:u w:val="single"/>
          </w:rPr>
          <w:t>taxtips.ca</w:t>
        </w:r>
      </w:hyperlink>
      <w:r>
        <w:t xml:space="preserve"> — Ontario-Steuersätze und Verkaufssteuern je Provinz (</w:t>
      </w:r>
      <w:hyperlink r:id="rId486" w:history="1">
        <w:r>
          <w:rPr>
            <w:color w:val="0563C1"/>
            <w:u w:val="single"/>
          </w:rPr>
          <w:t>taxtips.ca</w:t>
        </w:r>
      </w:hyperlink>
      <w:r>
        <w:t>)</w:t>
      </w:r>
    </w:p>
    <w:p w14:paraId="70A4F793" w14:textId="2B07438D" w:rsidR="00C1548D" w:rsidRDefault="009B1B4B" w:rsidP="009B1B4B">
      <w:pPr>
        <w:pStyle w:val="ListParagraph"/>
        <w:numPr>
          <w:ilvl w:val="0"/>
          <w:numId w:val="1"/>
        </w:numPr>
        <w:spacing w:after="60"/>
      </w:pPr>
      <w:r>
        <w:t>IRCC — Gebühren für Permanent Residence, Arbeitsvisum und Biometrie (</w:t>
      </w:r>
      <w:hyperlink r:id="rId487" w:history="1">
        <w:r>
          <w:rPr>
            <w:color w:val="0563C1"/>
            <w:u w:val="single"/>
          </w:rPr>
          <w:t>ircc.canada.ca/english/information/fees</w:t>
        </w:r>
      </w:hyperlink>
      <w:r>
        <w:t>)</w:t>
      </w:r>
    </w:p>
    <w:p w14:paraId="70A4F794" w14:textId="1FDA6F45" w:rsidR="00C1548D" w:rsidRDefault="009B1B4B" w:rsidP="009B1B4B">
      <w:pPr>
        <w:pStyle w:val="ListParagraph"/>
        <w:numPr>
          <w:ilvl w:val="0"/>
          <w:numId w:val="1"/>
        </w:numPr>
        <w:spacing w:after="60"/>
      </w:pPr>
      <w:r>
        <w:t>OECD — Taxing Wages, Steuerkeil-Vergleich (</w:t>
      </w:r>
      <w:hyperlink r:id="rId488" w:history="1">
        <w:r>
          <w:rPr>
            <w:color w:val="0563C1"/>
            <w:u w:val="single"/>
          </w:rPr>
          <w:t>oecd.org</w:t>
        </w:r>
      </w:hyperlink>
      <w:r>
        <w:t>)</w:t>
      </w:r>
    </w:p>
    <w:p w14:paraId="70A4F795" w14:textId="75876E21" w:rsidR="00C1548D" w:rsidRDefault="009B1B4B" w:rsidP="009B1B4B">
      <w:pPr>
        <w:pStyle w:val="ListParagraph"/>
        <w:numPr>
          <w:ilvl w:val="0"/>
          <w:numId w:val="1"/>
        </w:numPr>
        <w:spacing w:after="60"/>
      </w:pPr>
      <w:r>
        <w:t>Numbeo — Lebenshaltungskosten im Städtevergleich (</w:t>
      </w:r>
      <w:hyperlink r:id="rId489" w:history="1">
        <w:r>
          <w:rPr>
            <w:color w:val="0563C1"/>
            <w:u w:val="single"/>
          </w:rPr>
          <w:t>numbeo.com</w:t>
        </w:r>
      </w:hyperlink>
      <w:r>
        <w:t>)</w:t>
      </w:r>
    </w:p>
    <w:p w14:paraId="70A4F796"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99"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797" w14:textId="77777777" w:rsidR="00C1548D" w:rsidRDefault="009B1B4B">
            <w:pPr>
              <w:keepNext/>
              <w:spacing w:after="70" w:line="240" w:lineRule="auto"/>
            </w:pPr>
            <w:r>
              <w:rPr>
                <w:b/>
                <w:bCs/>
                <w:color w:val="6B7280"/>
                <w:spacing w:val="24"/>
                <w:sz w:val="16"/>
                <w:szCs w:val="16"/>
              </w:rPr>
              <w:t>STAND</w:t>
            </w:r>
          </w:p>
          <w:p w14:paraId="70A4F798" w14:textId="77777777" w:rsidR="00C1548D" w:rsidRDefault="009B1B4B">
            <w:pPr>
              <w:spacing w:after="80" w:line="264" w:lineRule="auto"/>
            </w:pPr>
            <w:r>
              <w:rPr>
                <w:sz w:val="20"/>
                <w:szCs w:val="20"/>
              </w:rPr>
              <w:t>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canada.ca und der Website deiner Zielprovinz.</w:t>
            </w:r>
          </w:p>
        </w:tc>
      </w:tr>
    </w:tbl>
    <w:p w14:paraId="70A4F79A" w14:textId="77777777" w:rsidR="00C1548D" w:rsidRDefault="00C1548D">
      <w:pPr>
        <w:spacing w:line="220" w:lineRule="exact"/>
      </w:pPr>
    </w:p>
    <w:p w14:paraId="70A4F79B" w14:textId="77777777" w:rsidR="00C1548D" w:rsidRDefault="009B1B4B">
      <w:pPr>
        <w:pStyle w:val="Heading2"/>
        <w:keepNext/>
        <w:pageBreakBefore/>
        <w:jc w:val="center"/>
      </w:pPr>
      <w:bookmarkStart w:id="137" w:name="tka02"/>
      <w:bookmarkStart w:id="138" w:name="_Toc241352520"/>
      <w:r>
        <w:rPr>
          <w:rFonts w:ascii="Amazon Ember" w:eastAsia="Amazon Ember" w:hAnsi="Amazon Ember" w:cs="Amazon Ember"/>
          <w:color w:val="0000FF"/>
          <w:sz w:val="36"/>
          <w:szCs w:val="36"/>
        </w:rPr>
        <w:lastRenderedPageBreak/>
        <w:t>Kanada: Wege der Einwanderung</w:t>
      </w:r>
      <w:bookmarkEnd w:id="137"/>
      <w:bookmarkEnd w:id="138"/>
    </w:p>
    <w:p w14:paraId="70A4F79C" w14:textId="77777777" w:rsidR="00C1548D" w:rsidRDefault="009B1B4B">
      <w:pPr>
        <w:spacing w:after="140"/>
      </w:pPr>
      <w:r>
        <w:t>Wer zum ersten Mal die Einwanderungsseiten von Immigration, Refugees and Citizenship Canada (IRCC, die kanadische Einwanderungsbehörde) durchklickt, findet kein einzelnes Formular, sondern ein ganzes System aus Programmen: Express Entry mit drei Unterprogrammen, dreizehn Provincial Nominee Programs, Study Permits, Arbeitsvisa mit und ohne Arbeitsmarkttest. Familie Ahrens aus Leipzig fand ihren Weg über die Punkterechnung von Express Entry; Lukas Berger aus Hannover kam über ein einzelnes Jobangebot ins Land</w:t>
      </w:r>
      <w:r>
        <w:t>, ganz ohne Punktetest. Beide werden – oder wurden – Kanadier auf Zeit oder auf Dauer, aber durch verschiedene Türen. Dieses Kapitel ordnet die wichtigsten Wege für Deutsche, bevor die folgenden Kapitel dieses Teils sie im Detail vertiefen.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A3"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79D" w14:textId="77777777" w:rsidR="00C1548D" w:rsidRDefault="009B1B4B">
            <w:pPr>
              <w:keepNext/>
              <w:spacing w:after="70" w:line="240" w:lineRule="auto"/>
            </w:pPr>
            <w:r>
              <w:rPr>
                <w:b/>
                <w:bCs/>
                <w:color w:val="1F3A5F"/>
                <w:spacing w:val="24"/>
                <w:sz w:val="16"/>
                <w:szCs w:val="16"/>
              </w:rPr>
              <w:t>KURZ GESAGT</w:t>
            </w:r>
          </w:p>
          <w:p w14:paraId="70A4F79E" w14:textId="77777777" w:rsidR="00C1548D" w:rsidRDefault="009B1B4B" w:rsidP="009B1B4B">
            <w:pPr>
              <w:pStyle w:val="ListParagraph"/>
              <w:numPr>
                <w:ilvl w:val="0"/>
                <w:numId w:val="1"/>
              </w:numPr>
              <w:spacing w:after="50" w:line="264" w:lineRule="auto"/>
            </w:pPr>
            <w:r>
              <w:rPr>
                <w:sz w:val="20"/>
                <w:szCs w:val="20"/>
              </w:rPr>
              <w:t>Kanada öffnet sich für Deutsche vor allem über zwei Prinzipien: das bundesweite Punktesystem Express Entry (FSW, CEC, FST) und die Provincial Nominee Programs (PNP) der einzelnen Provinzen – daneben das Arbeitgeber-Sponsoring über ein Arbeitsvisum.</w:t>
            </w:r>
          </w:p>
          <w:p w14:paraId="70A4F79F" w14:textId="77777777" w:rsidR="00C1548D" w:rsidRDefault="009B1B4B" w:rsidP="009B1B4B">
            <w:pPr>
              <w:pStyle w:val="ListParagraph"/>
              <w:numPr>
                <w:ilvl w:val="0"/>
                <w:numId w:val="1"/>
              </w:numPr>
              <w:spacing w:after="50" w:line="264" w:lineRule="auto"/>
            </w:pPr>
            <w:r>
              <w:rPr>
                <w:sz w:val="20"/>
                <w:szCs w:val="20"/>
              </w:rPr>
              <w:t>Arbeitsvisa teilen sich in zwei Schienen: LMIA-pflichtig (der Arbeitgeber muss einen Arbeitsmarkttest bestehen) und LMIA-frei (mehr als 50 Ausnahmekategorien, etwa konzerninterne Transfers oder Handelsabkommen).</w:t>
            </w:r>
          </w:p>
          <w:p w14:paraId="70A4F7A0" w14:textId="77777777" w:rsidR="00C1548D" w:rsidRDefault="009B1B4B" w:rsidP="009B1B4B">
            <w:pPr>
              <w:pStyle w:val="ListParagraph"/>
              <w:numPr>
                <w:ilvl w:val="0"/>
                <w:numId w:val="1"/>
              </w:numPr>
              <w:spacing w:after="50" w:line="264" w:lineRule="auto"/>
            </w:pPr>
            <w:r>
              <w:rPr>
                <w:sz w:val="20"/>
                <w:szCs w:val="20"/>
              </w:rPr>
              <w:t>Ein Study Permit mit anschließendem Post-Graduation Work Permit (PGWP) ist selbst kein Daueraufenthaltsweg, aber für viele der Umweg, über den die Canadian Experience Class oder ein Arbeitgeber-Sponsoring erst erreichbar wird.</w:t>
            </w:r>
          </w:p>
          <w:p w14:paraId="70A4F7A1" w14:textId="77777777" w:rsidR="00C1548D" w:rsidRDefault="009B1B4B" w:rsidP="009B1B4B">
            <w:pPr>
              <w:pStyle w:val="ListParagraph"/>
              <w:numPr>
                <w:ilvl w:val="0"/>
                <w:numId w:val="1"/>
              </w:numPr>
              <w:spacing w:after="50" w:line="264" w:lineRule="auto"/>
            </w:pPr>
            <w:r>
              <w:rPr>
                <w:sz w:val="20"/>
                <w:szCs w:val="20"/>
              </w:rPr>
              <w:t>Das Start-up Visa ist seit dem 1. Januar 2026 für neue Anträge pausiert.</w:t>
            </w:r>
          </w:p>
          <w:p w14:paraId="70A4F7A2" w14:textId="77777777" w:rsidR="00C1548D" w:rsidRDefault="009B1B4B" w:rsidP="009B1B4B">
            <w:pPr>
              <w:pStyle w:val="ListParagraph"/>
              <w:numPr>
                <w:ilvl w:val="0"/>
                <w:numId w:val="1"/>
              </w:numPr>
              <w:spacing w:after="50" w:line="264" w:lineRule="auto"/>
            </w:pPr>
            <w:r>
              <w:rPr>
                <w:sz w:val="20"/>
                <w:szCs w:val="20"/>
              </w:rPr>
              <w:t>Welcher Weg passt, hängt weniger vom Wunschort ab als von Sprachniveau, Berufserfahrung, vorhandenem Jobangebot und der Frage, wie viel Bindung an einen einzelnen Arbeitgeber du in Kauf nehmen willst.</w:t>
            </w:r>
          </w:p>
        </w:tc>
      </w:tr>
    </w:tbl>
    <w:p w14:paraId="70A4F7A4" w14:textId="77777777" w:rsidR="00C1548D" w:rsidRDefault="00C1548D">
      <w:pPr>
        <w:spacing w:line="220" w:lineRule="exact"/>
      </w:pPr>
    </w:p>
    <w:p w14:paraId="70A4F7A5" w14:textId="77777777" w:rsidR="00C1548D" w:rsidRDefault="009B1B4B">
      <w:pPr>
        <w:pStyle w:val="Heading3"/>
        <w:keepNext/>
        <w:jc w:val="center"/>
      </w:pPr>
      <w:r>
        <w:rPr>
          <w:rFonts w:ascii="Amazon Ember" w:eastAsia="Amazon Ember" w:hAnsi="Amazon Ember" w:cs="Amazon Ember"/>
          <w:color w:val="0000FF"/>
          <w:sz w:val="36"/>
          <w:szCs w:val="36"/>
        </w:rPr>
        <w:lastRenderedPageBreak/>
        <w:t>Zwei Systeme nebeneinander: Punkte oder Arbeitgeber</w:t>
      </w:r>
    </w:p>
    <w:p w14:paraId="70A4F7A6" w14:textId="77777777" w:rsidR="00C1548D" w:rsidRDefault="009B1B4B">
      <w:pPr>
        <w:spacing w:after="140"/>
      </w:pPr>
      <w:r>
        <w:t xml:space="preserve">Kanadas System für befristete Arbeit trennt sich grundsätzlich in zwei Schienen. Das </w:t>
      </w:r>
      <w:r>
        <w:rPr>
          <w:i/>
          <w:iCs/>
        </w:rPr>
        <w:t>Temporary Foreign Worker Program</w:t>
      </w:r>
      <w:r>
        <w:t xml:space="preserve"> (TFWP, das arbeitsmarktgeprüfte Programm) verlangt vom kanadischen Arbeitgeber vorab eine positive </w:t>
      </w:r>
      <w:r>
        <w:rPr>
          <w:i/>
          <w:iCs/>
        </w:rPr>
        <w:t>Labour Market Impact Assessment</w:t>
      </w:r>
      <w:r>
        <w:t xml:space="preserve"> (LMIA, der Arbeitsmarkttest durch Employment and Social Development Canada, ESDC) – den Nachweis, dass keine Kanadier oder bereits ansässigen Personen für die Stelle verfügbar sind. Das </w:t>
      </w:r>
      <w:r>
        <w:rPr>
          <w:i/>
          <w:iCs/>
        </w:rPr>
        <w:t>International Mobility Program</w:t>
      </w:r>
      <w:r>
        <w:t xml:space="preserve"> (IMP) befreit von dieser Pflicht, wenn die Stelle einen breiteren wirtschaftlichen, kulturellen oder reziproken Nutzen für Kanada hat; IRCC stellt das Arbeitsvisum dann direkt aus, ohne ESDC-Beteiligung.</w:t>
      </w:r>
    </w:p>
    <w:p w14:paraId="70A4F7A7" w14:textId="77777777" w:rsidR="00C1548D" w:rsidRDefault="009B1B4B">
      <w:pPr>
        <w:spacing w:after="140"/>
      </w:pPr>
      <w:r>
        <w:t xml:space="preserve">Für den Daueraufenthalt gilt eine zweite, davon unabhängige Unterscheidung: das bundesweite Punktesystem Express Entry gegenüber den Provincial Nominee Programs (PNP). Bei Express Entry bewirbst du dich selbst, ohne dass zwingend ein Arbeitgeber zusagen muss – du brauchst einen ausreichenden Punktestand im </w:t>
      </w:r>
      <w:r>
        <w:rPr>
          <w:i/>
          <w:iCs/>
        </w:rPr>
        <w:t>Comprehensive Ranking System</w:t>
      </w:r>
      <w:r>
        <w:t xml:space="preserve">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w:t>
      </w:r>
      <w:r>
        <w:t>orie springen.</w:t>
      </w:r>
    </w:p>
    <w:p w14:paraId="70A4F7A8" w14:textId="77777777" w:rsidR="00C1548D" w:rsidRDefault="009B1B4B">
      <w:pPr>
        <w:pStyle w:val="Heading3"/>
        <w:keepNext/>
        <w:jc w:val="center"/>
      </w:pPr>
      <w:r>
        <w:rPr>
          <w:rFonts w:ascii="Amazon Ember" w:eastAsia="Amazon Ember" w:hAnsi="Amazon Ember" w:cs="Amazon Ember"/>
          <w:color w:val="0000FF"/>
          <w:sz w:val="36"/>
          <w:szCs w:val="36"/>
        </w:rPr>
        <w:lastRenderedPageBreak/>
        <w:t>Express Entry: FSW, CEC und FST im Überblick</w:t>
      </w:r>
    </w:p>
    <w:p w14:paraId="70A4F7A9" w14:textId="77777777" w:rsidR="00C1548D" w:rsidRDefault="009B1B4B">
      <w:pPr>
        <w:spacing w:after="140"/>
      </w:pPr>
      <w:r>
        <w:t xml:space="preserve">Express Entry verwaltet drei Bundesprogramme über dieselbe Plattform und dieselbe CRS-Punkteskala. Der </w:t>
      </w:r>
      <w:r>
        <w:rPr>
          <w:i/>
          <w:iCs/>
        </w:rPr>
        <w:t>Federal Skilled Worker</w:t>
      </w:r>
      <w:r>
        <w:t xml:space="preserve">-Weg (FSW, die allgemeine Facharbeitereinwanderung ohne Kanada-Bezug) verlangt mindestens ein Jahr durchgehende Berufserfahrung in den letzten zehn Jahren, ein Sprachniveau von mindestens </w:t>
      </w:r>
      <w:r>
        <w:rPr>
          <w:i/>
          <w:iCs/>
        </w:rPr>
        <w:t>Canadian Language Benchmark</w:t>
      </w:r>
      <w:r>
        <w:t xml:space="preserve"> (CLB) 7 in allen vier Fertigkeiten, eine anerkannte Bildungsbewertung (</w:t>
      </w:r>
      <w:r>
        <w:rPr>
          <w:i/>
          <w:iCs/>
        </w:rPr>
        <w:t>Educational Credential Assessment</w:t>
      </w:r>
      <w:r>
        <w:t xml:space="preserve">, ECA, für ausländische Abschlüsse) und zusätzlich mindestens 67 von 100 Punkten in einem eigenen, vom CRS getrennten Zulassungsraster (Sprache, Bildung, Berufserfahrung, Alter, Jobangebot, Anpassungsfähigkeit). Die </w:t>
      </w:r>
      <w:r>
        <w:rPr>
          <w:i/>
          <w:iCs/>
        </w:rPr>
        <w:t>Canadian Experience Class</w:t>
      </w:r>
      <w:r>
        <w:t xml:space="preserve"> (CEC) richtet sich dagegen an alle, die bereits mindestens ein Jahr qualifiziert in Kanada gearbeitet haben – etwa nach einem Studium mit anschließendem PGWP –, mit niedrigerem Sprachminimum (CLB 7 beziehungsweise 5, je nach Berufskategorie) und ohne ECA-Pflicht. Der </w:t>
      </w:r>
      <w:r>
        <w:rPr>
          <w:i/>
          <w:iCs/>
        </w:rPr>
        <w:t>Federal Skilled Trades</w:t>
      </w:r>
      <w:r>
        <w:t>-Weg (FST) schließlich richtet sich an Handwerksberufe mit Jobangebot oder kanadischem Qualifikationszertifikat.</w:t>
      </w:r>
    </w:p>
    <w:p w14:paraId="70A4F7AA" w14:textId="77777777" w:rsidR="00C1548D" w:rsidRDefault="009B1B4B">
      <w:pPr>
        <w:spacing w:after="140"/>
      </w:pPr>
      <w:r>
        <w:t>Wer die Eignungshürde nimmt, wird in den Bewerberpool aufgenommen und nach CRS-Score gerankt – maximal erreichbar sind 1.200 Punkte, verteilt auf Kernfaktoren wie Alter, Ausbildung, Sprachtest und Berufserfahrung sowie Zusatzfaktoren wie eine PNP-Nominierung oder einen kanadischen Studienabschluss. Bei ausreichendem Score folgt eine Einladung zur Antragstellung (</w:t>
      </w:r>
      <w:r>
        <w:rPr>
          <w:i/>
          <w:iCs/>
        </w:rPr>
        <w:t>Invitation to Apply</w:t>
      </w:r>
      <w:r>
        <w:t xml:space="preserve">,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 bei denen die Cutoffs teils deutlich niedriger liegen: Die </w:t>
      </w:r>
      <w:r>
        <w:lastRenderedPageBreak/>
        <w:t>Kategorie Gesundheit und Soziales lud im September 2026 bereits bei 475 Punkten ein, die Kategorie für Ärzte mit kanadischer Erfahrung sogar schon ab rund 170</w:t>
      </w:r>
      <w:r>
        <w:t xml:space="preserve"> bis 200 Punkten. Wer in einem dieser Berufsfelder arbeitet, sollte die kategoriebasierten Runden gezielt im Blick behalten, nicht nur die allgemeinen.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A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7AB" w14:textId="77777777" w:rsidR="00C1548D" w:rsidRDefault="009B1B4B">
            <w:pPr>
              <w:keepNext/>
              <w:spacing w:after="70" w:line="240" w:lineRule="auto"/>
            </w:pPr>
            <w:r>
              <w:rPr>
                <w:b/>
                <w:bCs/>
                <w:color w:val="9B2C2C"/>
                <w:spacing w:val="24"/>
                <w:sz w:val="16"/>
                <w:szCs w:val="16"/>
              </w:rPr>
              <w:t>ACHTUNG</w:t>
            </w:r>
          </w:p>
          <w:p w14:paraId="70A4F7AC" w14:textId="77777777" w:rsidR="00C1548D" w:rsidRDefault="009B1B4B">
            <w:pPr>
              <w:spacing w:after="80" w:line="264" w:lineRule="auto"/>
            </w:pPr>
            <w:r>
              <w:rPr>
                <w:sz w:val="20"/>
                <w:szCs w:val="20"/>
              </w:rPr>
              <w:t>Seit dem 25. März 2025 bringt ein bestehendes Jobangebot im CRS keine Zusatzpunkte mehr – eine Änderung, die viele ältere Ratgeber im Internet noch nicht nachvollzogen haben. Ein Jobangebot bleibt wertvoll, weil es oft den Weg über die Canadian Experience Class oder ein Arbeitgeber-Sponsoring eröffnet, hebt aber den CRS-Score selbst nicht mehr an.</w:t>
            </w:r>
          </w:p>
        </w:tc>
      </w:tr>
    </w:tbl>
    <w:p w14:paraId="70A4F7AE"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B1"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7AF" w14:textId="77777777" w:rsidR="00C1548D" w:rsidRDefault="009B1B4B">
            <w:pPr>
              <w:keepNext/>
              <w:spacing w:after="70" w:line="240" w:lineRule="auto"/>
            </w:pPr>
            <w:r>
              <w:rPr>
                <w:b/>
                <w:bCs/>
                <w:color w:val="8A6212"/>
                <w:spacing w:val="24"/>
                <w:sz w:val="16"/>
                <w:szCs w:val="16"/>
              </w:rPr>
              <w:t>MERKE</w:t>
            </w:r>
          </w:p>
          <w:p w14:paraId="70A4F7B0" w14:textId="77777777" w:rsidR="00C1548D" w:rsidRDefault="009B1B4B">
            <w:pPr>
              <w:spacing w:after="80" w:line="264" w:lineRule="auto"/>
            </w:pPr>
            <w:r>
              <w:rPr>
                <w:sz w:val="20"/>
                <w:szCs w:val="20"/>
              </w:rPr>
              <w:t>Der CRS ist kein Ja-Nein-Filter, sondern eine laufende Rangliste im Bewerberpool. Ein hoher Score erhöht die Chance auf eine Einladung, garantiert sie aber nicht – und die Cutoffs schwanken von Runde zu Runde, je nachdem, wie viele Profile mit welchem Score gerade im Pool stehen.</w:t>
            </w:r>
          </w:p>
        </w:tc>
      </w:tr>
    </w:tbl>
    <w:p w14:paraId="70A4F7B2"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B5"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7B3" w14:textId="77777777" w:rsidR="00C1548D" w:rsidRDefault="009B1B4B">
            <w:pPr>
              <w:keepNext/>
              <w:spacing w:after="70" w:line="240" w:lineRule="auto"/>
            </w:pPr>
            <w:r>
              <w:rPr>
                <w:b/>
                <w:bCs/>
                <w:color w:val="4A5568"/>
                <w:spacing w:val="24"/>
                <w:sz w:val="16"/>
                <w:szCs w:val="16"/>
              </w:rPr>
              <w:t>PRAXISBEISPIEL · FIKTIV</w:t>
            </w:r>
          </w:p>
          <w:p w14:paraId="70A4F7B4" w14:textId="77777777" w:rsidR="00C1548D" w:rsidRDefault="009B1B4B">
            <w:pPr>
              <w:spacing w:after="80" w:line="264" w:lineRule="auto"/>
            </w:pPr>
            <w:r>
              <w:rPr>
                <w:sz w:val="20"/>
                <w:szCs w:val="20"/>
              </w:rPr>
              <w:t>Familie Ahrens (fiktiv) aus Leipzig prüfte vor der Entscheidung den Federal-Skilled-Worker-Weg. Markus, Softwarearchitekt mit mehrjähriger Erfahrung und einem guten Englischtestergebnis, kam über das 67-Punkte-Zulassungsraster hinweg und erreichte im CRS einen Score, der bei den meisten allgemeinen Runden 2026 komfortabel über der Einladungsgrenze lag. Dass Julia als Apothekerin zusätzliche Punkte für Bildung und Anpassungsfähigkeit beisteuerte, machte den Unterschied zwischen einem knappen und einem sicher</w:t>
            </w:r>
            <w:r>
              <w:rPr>
                <w:sz w:val="20"/>
                <w:szCs w:val="20"/>
              </w:rPr>
              <w:t>en Score. Anders als beim australischen Punktetest mussten die Ahrens keine Wohnsitzbindung an eine bestimmte Provinz eingehen – der Federal-Skilled-Worker-Weg erlaubt freie Wohnortwahl in ganz Kanada, sobald die Aufenthaltserlaubnis erteilt ist.</w:t>
            </w:r>
          </w:p>
        </w:tc>
      </w:tr>
    </w:tbl>
    <w:p w14:paraId="70A4F7B6" w14:textId="77777777" w:rsidR="00C1548D" w:rsidRDefault="00C1548D">
      <w:pPr>
        <w:spacing w:line="220" w:lineRule="exact"/>
      </w:pPr>
    </w:p>
    <w:p w14:paraId="70A4F7B7" w14:textId="77777777" w:rsidR="00C1548D" w:rsidRDefault="009B1B4B">
      <w:pPr>
        <w:pStyle w:val="Heading3"/>
        <w:keepNext/>
        <w:jc w:val="center"/>
      </w:pPr>
      <w:r>
        <w:rPr>
          <w:rFonts w:ascii="Amazon Ember" w:eastAsia="Amazon Ember" w:hAnsi="Amazon Ember" w:cs="Amazon Ember"/>
          <w:color w:val="0000FF"/>
          <w:sz w:val="36"/>
          <w:szCs w:val="36"/>
        </w:rPr>
        <w:lastRenderedPageBreak/>
        <w:t>Provincial Nominee Program: Einwanderung über die Provinz</w:t>
      </w:r>
    </w:p>
    <w:p w14:paraId="70A4F7B8" w14:textId="77777777" w:rsidR="00C1548D" w:rsidRDefault="009B1B4B">
      <w:pPr>
        <w:spacing w:after="140"/>
      </w:pPr>
      <w:r>
        <w:t xml:space="preserve">Wer im CRS knapp unter den Bundes-Cutoffs liegt oder einen konkreten regionalen Bezug hat, findet im </w:t>
      </w:r>
      <w:r>
        <w:rPr>
          <w:i/>
          <w:iCs/>
        </w:rPr>
        <w:t>Provincial Nominee Program</w:t>
      </w:r>
      <w:r>
        <w:t xml:space="preserve"> (PNP) oft den schnelleren Weg. Jede Provinz und jedes Territorium außer Québec, das mit </w:t>
      </w:r>
      <w:r>
        <w:rPr>
          <w:i/>
          <w:iCs/>
        </w:rPr>
        <w:t>Arrima</w:t>
      </w:r>
      <w:r>
        <w:t xml:space="preserve">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gegenüber dem vorherigen Planungsstand – das PNP ist damit der zweitgrößte Wirtschaftskanal nach den Bundesp</w:t>
      </w:r>
      <w:r>
        <w:t>rogrammen.</w:t>
      </w:r>
    </w:p>
    <w:p w14:paraId="70A4F7B9" w14:textId="77777777" w:rsidR="00C1548D" w:rsidRDefault="009B1B4B">
      <w:pPr>
        <w:spacing w:after="140"/>
      </w:pPr>
      <w:r>
        <w:t>Die Ausgestaltung unterscheidet sich stark. Ontario (OINP) hat sein System 2026 vereinfacht und acht frühere Programmlinien durch einen neuen, arbeitgebergeführten Weg ersetzt; die Antragsgebühr liegt bei 1.500 CAD, ein Express-Entry-verknüpfter Fall kostet inklusive Bundesgebühren insgesamt rund 3.175 CAD, bevor Sprachtest, Bildungsanerkennung und Führungszeugnisse überhaupt eingerechnet sind. British Columbia (BC PNP) erhöhte seine Antragsgebühr zum 22. Januar 2026 auf 1.750 CAD, für einzelne Ströme wie G</w:t>
      </w:r>
      <w:r>
        <w:t>esundheitsberufe auf bis zu 2.000 CAD. Alberta (AAIP), Manitoba (MPNP), Saskatchewan (SINP) und die Atlantikprovinzen betreiben eigene, teils Express-Entry-verknüpfte, teils eigenständige Ströme mit jeweils eigenen Zielberufslisten und eigenen Fristen – wer eine bestimmte Provinz ins Auge fasst, sollte deren aktuelles Programm gezielt und einzeln prüfen, da sich die Details laufend ändern und in diesem Überblick nicht erschöpfend behandelt werden können.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B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7BA" w14:textId="77777777" w:rsidR="00C1548D" w:rsidRDefault="009B1B4B">
            <w:pPr>
              <w:keepNext/>
              <w:spacing w:after="70" w:line="240" w:lineRule="auto"/>
            </w:pPr>
            <w:r>
              <w:rPr>
                <w:b/>
                <w:bCs/>
                <w:color w:val="9B2C2C"/>
                <w:spacing w:val="24"/>
                <w:sz w:val="16"/>
                <w:szCs w:val="16"/>
              </w:rPr>
              <w:lastRenderedPageBreak/>
              <w:t>ACHTUNG</w:t>
            </w:r>
          </w:p>
          <w:p w14:paraId="70A4F7BB" w14:textId="77777777" w:rsidR="00C1548D" w:rsidRDefault="009B1B4B">
            <w:pPr>
              <w:spacing w:after="80" w:line="264" w:lineRule="auto"/>
            </w:pPr>
            <w:r>
              <w:rPr>
                <w:sz w:val="20"/>
                <w:szCs w:val="20"/>
              </w:rPr>
              <w:t>Eine PNP-Nominierung bindet dich in aller Regel an eine Wohnsitzpflicht in der nominierenden Provinz, meist für die ersten Jahre. Wer diese Bindung nicht will, sollte prüfen, ob der eigene Score auch ohne Nominierung für eine Bundes-Einladung reicht.</w:t>
            </w:r>
          </w:p>
        </w:tc>
      </w:tr>
    </w:tbl>
    <w:p w14:paraId="70A4F7BD" w14:textId="77777777" w:rsidR="00C1548D" w:rsidRDefault="00C1548D">
      <w:pPr>
        <w:spacing w:line="220" w:lineRule="exact"/>
      </w:pPr>
    </w:p>
    <w:p w14:paraId="70A4F7BE" w14:textId="77777777" w:rsidR="00C1548D" w:rsidRDefault="009B1B4B">
      <w:pPr>
        <w:pStyle w:val="Heading3"/>
        <w:keepNext/>
        <w:jc w:val="center"/>
      </w:pPr>
      <w:r>
        <w:rPr>
          <w:rFonts w:ascii="Amazon Ember" w:eastAsia="Amazon Ember" w:hAnsi="Amazon Ember" w:cs="Amazon Ember"/>
          <w:color w:val="0000FF"/>
          <w:sz w:val="36"/>
          <w:szCs w:val="36"/>
        </w:rPr>
        <w:t>Arbeitgeber-Sponsoring: LMIA-pflichtig und LMIA-frei</w:t>
      </w:r>
    </w:p>
    <w:p w14:paraId="70A4F7BF" w14:textId="77777777" w:rsidR="00C1548D" w:rsidRDefault="009B1B4B">
      <w:pPr>
        <w:spacing w:after="140"/>
      </w:pPr>
      <w:r>
        <w:t xml:space="preserve">Wer wie Lukas Berger ein konkretes Jobangebot hat, kann den Punktetest ganz umgehen. Beim LMIA-pflichtigen Weg über das TFWP muss der kanadische Arbeitgeber zunächst die </w:t>
      </w:r>
      <w:r>
        <w:rPr>
          <w:i/>
          <w:iCs/>
        </w:rPr>
        <w:t>Labour Market Impact Assessment</w:t>
      </w:r>
      <w:r>
        <w:t xml:space="preserve"> bestehen – Kosten 1.000 CAD pro Stelle, vom Arbeitgeber zu tragen, nicht auf den Arbeitnehmer abwälzbar. Die Bearbeitungsdauer schwankt stark je nach Kategorie: Der </w:t>
      </w:r>
      <w:r>
        <w:rPr>
          <w:i/>
          <w:iCs/>
        </w:rPr>
        <w:t>Global Talent Stream</w:t>
      </w:r>
      <w:r>
        <w:t xml:space="preserve"> (ein beschleunigter Weg für bestimmte Technologieberufe) dauert oft nur rund zehn Werktage, ein Standard-Hochlohn-Antrag dagegen rund 88 Werktage. Erst nach positiver LMIA kann der Arbeitnehmer sein Arbeitsvisum beantragen – Gebühr 155 CAD, dazu 85 CAD Biometrie.</w:t>
      </w:r>
    </w:p>
    <w:p w14:paraId="70A4F7C0" w14:textId="77777777" w:rsidR="00C1548D" w:rsidRDefault="009B1B4B">
      <w:pPr>
        <w:spacing w:after="140"/>
      </w:pPr>
      <w:r>
        <w:t xml:space="preserve">Das </w:t>
      </w:r>
      <w:r>
        <w:rPr>
          <w:i/>
          <w:iCs/>
        </w:rPr>
        <w:t>International Mobility Program</w:t>
      </w:r>
      <w:r>
        <w:t xml:space="preserve"> befreit von der LMIA-Pflicht in über 50 Ausnahmekategorien: Handelsabkommen mit Mobilitätskapitel (etwa CETA mit der EU, relevant für bestimmte Berufsgruppen aus Deutschland), konzerninterne Transfers (</w:t>
      </w:r>
      <w:r>
        <w:rPr>
          <w:i/>
          <w:iCs/>
        </w:rPr>
        <w:t>Intra-Company Transfer</w:t>
      </w:r>
      <w:r>
        <w:t>, ICT), Fälle von „erheblichem Nutzen“ für Kanada sowie – praktisch relevant für Studierende und Ehepartner –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C3"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7C1" w14:textId="77777777" w:rsidR="00C1548D" w:rsidRDefault="009B1B4B">
            <w:pPr>
              <w:keepNext/>
              <w:spacing w:after="70" w:line="240" w:lineRule="auto"/>
            </w:pPr>
            <w:r>
              <w:rPr>
                <w:b/>
                <w:bCs/>
                <w:color w:val="6B7280"/>
                <w:spacing w:val="24"/>
                <w:sz w:val="16"/>
                <w:szCs w:val="16"/>
              </w:rPr>
              <w:lastRenderedPageBreak/>
              <w:t>KEIN RECHTSRAT</w:t>
            </w:r>
          </w:p>
          <w:p w14:paraId="70A4F7C2" w14:textId="77777777" w:rsidR="00C1548D" w:rsidRDefault="009B1B4B">
            <w:pPr>
              <w:spacing w:after="80" w:line="264" w:lineRule="auto"/>
            </w:pPr>
            <w:r>
              <w:rPr>
                <w:sz w:val="20"/>
                <w:szCs w:val="20"/>
              </w:rPr>
              <w:t>Dieses Kapitel erklärt Regeln und Praxis, ersetzt aber keine Beratung durch eine registrierte kanadische Einwanderungsberaterin, einen Einwanderungsberater (</w:t>
            </w:r>
            <w:r>
              <w:rPr>
                <w:i/>
                <w:iCs/>
                <w:sz w:val="20"/>
                <w:szCs w:val="20"/>
              </w:rPr>
              <w:t>Regulated Canadian Immigration Consultant</w:t>
            </w:r>
            <w:r>
              <w:rPr>
                <w:sz w:val="20"/>
                <w:szCs w:val="20"/>
              </w:rPr>
              <w:t>, RCIC) oder eine Anwältin beziehungsweise einen Anwalt für kanadisches Einwanderungsrecht.</w:t>
            </w:r>
          </w:p>
        </w:tc>
      </w:tr>
    </w:tbl>
    <w:p w14:paraId="70A4F7C4" w14:textId="77777777" w:rsidR="00C1548D" w:rsidRDefault="00C1548D">
      <w:pPr>
        <w:spacing w:line="220" w:lineRule="exact"/>
      </w:pPr>
    </w:p>
    <w:p w14:paraId="70A4F7C5" w14:textId="77777777" w:rsidR="00C1548D" w:rsidRDefault="009B1B4B">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zusätzlich kanadische Berufserfahrung für die Canadian Experience Class oder eine passende PNP-Kategorie.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C8"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7C6" w14:textId="77777777" w:rsidR="00C1548D" w:rsidRDefault="009B1B4B">
            <w:pPr>
              <w:keepNext/>
              <w:spacing w:after="70" w:line="240" w:lineRule="auto"/>
            </w:pPr>
            <w:r>
              <w:rPr>
                <w:b/>
                <w:bCs/>
                <w:color w:val="4A5568"/>
                <w:spacing w:val="24"/>
                <w:sz w:val="16"/>
                <w:szCs w:val="16"/>
              </w:rPr>
              <w:t>PRAXISBEISPIEL · FIKTIV</w:t>
            </w:r>
          </w:p>
          <w:p w14:paraId="70A4F7C7" w14:textId="77777777" w:rsidR="00C1548D" w:rsidRDefault="009B1B4B">
            <w:pPr>
              <w:spacing w:after="80" w:line="264" w:lineRule="auto"/>
            </w:pPr>
            <w:r>
              <w:rPr>
                <w:sz w:val="20"/>
                <w:szCs w:val="20"/>
              </w:rPr>
              <w:t>Lukas Berger (fiktiv), 29, Öl- und Gasingenieur aus Hannover, alleinstehend, fand über eine Stellenausschreibung ein Unternehmen in Calgary, das bereit war, ihn zu sponsern. Der Arbeitgeber ließ eine LMIA für die Position durchführen, was einige Monate dauerte; erst danach konnte Lukas sein Arbeitsvisum beantragen. Persönlich zahlte er nur die Visums- und Biometriegebühr – deutlich weniger, als der Express-Entry-Weg der Familie Ahrens gekostet hätte. Im Gegenzug ist er für die Dauer des Arbeitsvisums an sei</w:t>
            </w:r>
            <w:r>
              <w:rPr>
                <w:sz w:val="20"/>
                <w:szCs w:val="20"/>
              </w:rPr>
              <w:t>nen Arbeitgeber gebunden; einen Wechsel zu einem anderen Unternehmen müsste er über ein komplett neues Verfahren organisieren, es sei denn, er sammelt genug kanadische Erfahrung für einen Wechsel zur Canadian Experience Class.</w:t>
            </w:r>
          </w:p>
        </w:tc>
      </w:tr>
    </w:tbl>
    <w:p w14:paraId="70A4F7C9" w14:textId="77777777" w:rsidR="00C1548D" w:rsidRDefault="00C1548D">
      <w:pPr>
        <w:spacing w:line="220" w:lineRule="exact"/>
      </w:pPr>
    </w:p>
    <w:p w14:paraId="70A4F7CA" w14:textId="77777777" w:rsidR="00C1548D" w:rsidRDefault="009B1B4B">
      <w:pPr>
        <w:pStyle w:val="Heading3"/>
        <w:keepNext/>
        <w:jc w:val="center"/>
      </w:pPr>
      <w:r>
        <w:rPr>
          <w:rFonts w:ascii="Amazon Ember" w:eastAsia="Amazon Ember" w:hAnsi="Amazon Ember" w:cs="Amazon Ember"/>
          <w:color w:val="0000FF"/>
          <w:sz w:val="36"/>
          <w:szCs w:val="36"/>
        </w:rPr>
        <w:t>Study Permit und PGWP: der Umweg über den Studienabschluss</w:t>
      </w:r>
    </w:p>
    <w:p w14:paraId="70A4F7CB" w14:textId="77777777" w:rsidR="00C1548D" w:rsidRDefault="009B1B4B">
      <w:pPr>
        <w:spacing w:after="140"/>
      </w:pPr>
      <w:r>
        <w:t xml:space="preserve">Ein </w:t>
      </w:r>
      <w:r>
        <w:rPr>
          <w:i/>
          <w:iCs/>
        </w:rPr>
        <w:t>Study Permit</w:t>
      </w:r>
      <w:r>
        <w:t xml:space="preserve"> (das kanadische Studienvisum) führt nicht direkt zum Daueraufenthalt, öffnet aber zwei Türen zugleich: einen kanadischen Abschluss, der die Eignung für die Canadian Experience Class erst schafft, und häufig den ersten Kontakt zu einem künftigen </w:t>
      </w:r>
      <w:r>
        <w:lastRenderedPageBreak/>
        <w:t xml:space="preserve">Arbeitgeber. Die Gebühr liegt bei 150 CAD, die Bearbeitung dauert laut Servicestandard rund 60 Tage außerhalb beziehungsweise 120 Tage innerhalb Kanadas; ob der beschleunigte </w:t>
      </w:r>
      <w:r>
        <w:rPr>
          <w:i/>
          <w:iCs/>
        </w:rPr>
        <w:t>Student Direct Stream</w:t>
      </w:r>
      <w:r>
        <w:t xml:space="preserve"> (rund 20 Tage) auch für deutsche Bewerber offensteht, ist in den verfügbaren Quellen nicht abschließend geklärt – das solltest du vor der Bewerbung direkt bei IRCC prüfen.</w:t>
      </w:r>
    </w:p>
    <w:p w14:paraId="70A4F7CC" w14:textId="77777777" w:rsidR="00C1548D" w:rsidRDefault="009B1B4B">
      <w:pPr>
        <w:spacing w:after="140"/>
      </w:pPr>
      <w:r>
        <w:t xml:space="preserve">Nach dem Abschluss folgt für die meisten der </w:t>
      </w:r>
      <w:r>
        <w:rPr>
          <w:i/>
          <w:iCs/>
        </w:rPr>
        <w:t>Post-Graduation Work Permit</w:t>
      </w:r>
      <w:r>
        <w:t xml:space="preserve">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w:t>
      </w:r>
      <w:r>
        <w:t>er Feld-Einschränkung grundsätzlich ausgenommen.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CF"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7CD" w14:textId="77777777" w:rsidR="00C1548D" w:rsidRDefault="009B1B4B">
            <w:pPr>
              <w:keepNext/>
              <w:spacing w:after="70" w:line="240" w:lineRule="auto"/>
            </w:pPr>
            <w:r>
              <w:rPr>
                <w:b/>
                <w:bCs/>
                <w:color w:val="2F6B3B"/>
                <w:spacing w:val="24"/>
                <w:sz w:val="16"/>
                <w:szCs w:val="16"/>
              </w:rPr>
              <w:t>SPARTIPP</w:t>
            </w:r>
          </w:p>
          <w:p w14:paraId="70A4F7CE" w14:textId="77777777" w:rsidR="00C1548D" w:rsidRDefault="009B1B4B">
            <w:pPr>
              <w:spacing w:after="80" w:line="264" w:lineRule="auto"/>
            </w:pPr>
            <w:r>
              <w:rPr>
                <w:sz w:val="20"/>
                <w:szCs w:val="20"/>
              </w:rPr>
              <w:t>Wer sich für den Studienweg entscheidet, sollte schon bei der Programmwahl prüfen, ob das Fach auf der PGWP-Berechtigungsliste steht – ein nicht-berechtigtes Diplomprogramm kann sich später als teure Sackgasse erweisen, weil der Weg zur kanadischen Berufserfahrung dann fehlt.</w:t>
            </w:r>
          </w:p>
        </w:tc>
      </w:tr>
    </w:tbl>
    <w:p w14:paraId="70A4F7D0" w14:textId="77777777" w:rsidR="00C1548D" w:rsidRDefault="00C1548D">
      <w:pPr>
        <w:spacing w:line="220" w:lineRule="exact"/>
      </w:pPr>
    </w:p>
    <w:p w14:paraId="70A4F7D1" w14:textId="77777777" w:rsidR="00C1548D" w:rsidRDefault="009B1B4B">
      <w:pPr>
        <w:pStyle w:val="Heading3"/>
        <w:keepNext/>
        <w:jc w:val="center"/>
      </w:pPr>
      <w:r>
        <w:rPr>
          <w:rFonts w:ascii="Amazon Ember" w:eastAsia="Amazon Ember" w:hAnsi="Amazon Ember" w:cs="Amazon Ember"/>
          <w:color w:val="0000FF"/>
          <w:sz w:val="36"/>
          <w:szCs w:val="36"/>
        </w:rPr>
        <w:t>Start-up Visa und Familiennachzug – kurz gestreift</w:t>
      </w:r>
    </w:p>
    <w:p w14:paraId="70A4F7D2" w14:textId="70CE2902" w:rsidR="00C1548D" w:rsidRDefault="009B1B4B">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gültigen Commitment Certificate aus 2025 konnten ihren Antrag noch bis zum 30. Juni 2026 einreichen. Ob und in welcher Form das Programm wieder öffnet, war zum Zeitpunkt dieses Kapitels offen. </w:t>
      </w:r>
      <w:r>
        <w:lastRenderedPageBreak/>
        <w:t>Familiennachzug – etwa für Ehepartner ohne eigenen gefragten Beruf oder für Eltern und Großeltern – folgt einer eigenen Logik mit eigenen Einkommenssch</w:t>
      </w:r>
      <w:r>
        <w:t xml:space="preserve">wellen und ist hier nur gestreift; das </w:t>
      </w:r>
      <w:hyperlink w:anchor="tka04" w:history="1">
        <w:r>
          <w:rPr>
            <w:color w:val="0563C1"/>
            <w:u w:val="single"/>
          </w:rPr>
          <w:t>Kapitel zu Familie, Partner, Investor- und Sonderwegen in diesem Teil</w:t>
        </w:r>
      </w:hyperlink>
      <w:r>
        <w:t xml:space="preserve"> geht darauf im Detail ein.</w:t>
      </w:r>
    </w:p>
    <w:p w14:paraId="70A4F7D3" w14:textId="77777777" w:rsidR="00C1548D" w:rsidRDefault="009B1B4B">
      <w:pPr>
        <w:pStyle w:val="Heading3"/>
        <w:keepNext/>
        <w:jc w:val="center"/>
      </w:pPr>
      <w:r>
        <w:rPr>
          <w:rFonts w:ascii="Amazon Ember" w:eastAsia="Amazon Ember" w:hAnsi="Amazon Ember" w:cs="Amazon Ember"/>
          <w:color w:val="0000FF"/>
          <w:sz w:val="36"/>
          <w:szCs w:val="36"/>
        </w:rPr>
        <w:t>Typische Fehler</w:t>
      </w:r>
    </w:p>
    <w:p w14:paraId="70A4F7D4" w14:textId="77777777" w:rsidR="00C1548D" w:rsidRDefault="009B1B4B">
      <w:pPr>
        <w:spacing w:after="140"/>
      </w:pPr>
      <w:r>
        <w:t>Wer die Wege in diesem Kapitel zum ersten Mal vergleicht, tappt erfahrungsgemäß in ähnliche Fallen:</w:t>
      </w:r>
    </w:p>
    <w:p w14:paraId="70A4F7D5" w14:textId="77777777" w:rsidR="00C1548D" w:rsidRDefault="009B1B4B" w:rsidP="009B1B4B">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 das deutsche Diplom ist dafür der Ausgangspunkt, nicht der Nachweis selbst.</w:t>
      </w:r>
    </w:p>
    <w:p w14:paraId="70A4F7D6" w14:textId="77777777" w:rsidR="00C1548D" w:rsidRDefault="009B1B4B" w:rsidP="009B1B4B">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w14:paraId="70A4F7D7" w14:textId="77777777" w:rsidR="00C1548D" w:rsidRDefault="009B1B4B" w:rsidP="009B1B4B">
      <w:pPr>
        <w:pStyle w:val="ListParagraph"/>
        <w:numPr>
          <w:ilvl w:val="0"/>
          <w:numId w:val="1"/>
        </w:numPr>
        <w:spacing w:after="60"/>
      </w:pPr>
      <w:r>
        <w:t>LMIA-pflichtig und LMIA-frei werden verwechselt – wer ein Jobangebot hat, sollte früh klären, in welche Kategorie die Stelle fällt, weil sich Kosten und Bearbeitungsdauer stark unterscheiden.</w:t>
      </w:r>
    </w:p>
    <w:p w14:paraId="70A4F7D8" w14:textId="77777777" w:rsidR="00C1548D" w:rsidRDefault="009B1B4B" w:rsidP="009B1B4B">
      <w:pPr>
        <w:pStyle w:val="ListParagraph"/>
        <w:numPr>
          <w:ilvl w:val="0"/>
          <w:numId w:val="1"/>
        </w:numPr>
        <w:spacing w:after="60"/>
      </w:pPr>
      <w:r>
        <w:t>Die eTA für Besuchsreisen wird mit einer Arbeitsberechtigung verwechselt – sie erlaubt Tourismus und Transit, aber weder Arbeit noch Studium.</w:t>
      </w:r>
    </w:p>
    <w:p w14:paraId="70A4F7D9" w14:textId="77777777" w:rsidR="00C1548D" w:rsidRDefault="009B1B4B" w:rsidP="009B1B4B">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w14:paraId="70A4F7DA" w14:textId="77777777" w:rsidR="00C1548D" w:rsidRDefault="009B1B4B" w:rsidP="009B1B4B">
      <w:pPr>
        <w:pStyle w:val="ListParagraph"/>
        <w:numPr>
          <w:ilvl w:val="0"/>
          <w:numId w:val="1"/>
        </w:numPr>
        <w:spacing w:after="60"/>
      </w:pPr>
      <w:r>
        <w:t xml:space="preserve">Der Sprachtest wird zu spät oder mit der falschen Erwartung gebucht: CELPIP rechnet eins zu eins in die Canadian Language Benchmark um, während IELTS je Fertigkeit unterschiedlich </w:t>
      </w:r>
      <w:r>
        <w:lastRenderedPageBreak/>
        <w:t>gestaffelte Bänder hat – zwei Bewerber mit „gutem Englisch“ können so unterschiedliche CLB-Stufen erreichen.</w:t>
      </w:r>
    </w:p>
    <w:p w14:paraId="70A4F7DB" w14:textId="77777777" w:rsidR="00C1548D" w:rsidRDefault="00C1548D">
      <w:pPr>
        <w:spacing w:line="120" w:lineRule="exact"/>
      </w:pPr>
    </w:p>
    <w:p w14:paraId="70A4F7DC" w14:textId="77777777" w:rsidR="00C1548D" w:rsidRDefault="009B1B4B">
      <w:pPr>
        <w:pStyle w:val="Heading3"/>
        <w:keepNext/>
        <w:jc w:val="center"/>
      </w:pPr>
      <w:r>
        <w:rPr>
          <w:rFonts w:ascii="Amazon Ember" w:eastAsia="Amazon Ember" w:hAnsi="Amazon Ember" w:cs="Amazon Ember"/>
          <w:color w:val="0000FF"/>
          <w:sz w:val="36"/>
          <w:szCs w:val="36"/>
        </w:rPr>
        <w:t>Welcher Weg passt zu wem?</w:t>
      </w:r>
    </w:p>
    <w:p w14:paraId="70A4F7DD" w14:textId="77777777" w:rsidR="00C1548D" w:rsidRDefault="009B1B4B">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 nimmt dafür die Bindung an den Betrieb in Kauf. Die folgende Übersicht ersetzt keine individuelle Rechnung, zeigt aber, wo die meisten Deutschen typischerweise l</w:t>
      </w:r>
      <w:r>
        <w:t>anden: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54"/>
        <w:gridCol w:w="3126"/>
      </w:tblGrid>
      <w:tr w:rsidR="00C1548D" w14:paraId="70A4F7E0" w14:textId="77777777">
        <w:tblPrEx>
          <w:tblCellMar>
            <w:top w:w="0" w:type="dxa"/>
            <w:bottom w:w="0" w:type="dxa"/>
          </w:tblCellMar>
        </w:tblPrEx>
        <w:trPr>
          <w:cantSplit/>
          <w:tblHeader/>
        </w:trPr>
        <w:tc>
          <w:tcPr>
            <w:tcW w:w="335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7DE" w14:textId="77777777" w:rsidR="00C1548D" w:rsidRDefault="009B1B4B">
            <w:pPr>
              <w:spacing w:line="250" w:lineRule="auto"/>
            </w:pPr>
            <w:r>
              <w:rPr>
                <w:b/>
                <w:bCs/>
                <w:sz w:val="18"/>
                <w:szCs w:val="18"/>
              </w:rPr>
              <w:t>Ausgangslage</w:t>
            </w:r>
          </w:p>
        </w:tc>
        <w:tc>
          <w:tcPr>
            <w:tcW w:w="312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7DF" w14:textId="77777777" w:rsidR="00C1548D" w:rsidRDefault="009B1B4B">
            <w:pPr>
              <w:spacing w:line="250" w:lineRule="auto"/>
            </w:pPr>
            <w:r>
              <w:rPr>
                <w:b/>
                <w:bCs/>
                <w:sz w:val="18"/>
                <w:szCs w:val="18"/>
              </w:rPr>
              <w:t>Meist passender Weg</w:t>
            </w:r>
          </w:p>
        </w:tc>
      </w:tr>
      <w:tr w:rsidR="00C1548D" w14:paraId="70A4F7E3" w14:textId="77777777">
        <w:tblPrEx>
          <w:tblCellMar>
            <w:top w:w="0" w:type="dxa"/>
            <w:bottom w:w="0" w:type="dxa"/>
          </w:tblCellMar>
        </w:tblPrEx>
        <w:trPr>
          <w:cantSplit/>
        </w:trPr>
        <w:tc>
          <w:tcPr>
            <w:tcW w:w="33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E1" w14:textId="77777777" w:rsidR="00C1548D" w:rsidRDefault="009B1B4B">
            <w:pPr>
              <w:spacing w:line="250" w:lineRule="auto"/>
            </w:pPr>
            <w:r>
              <w:rPr>
                <w:sz w:val="18"/>
                <w:szCs w:val="18"/>
              </w:rPr>
              <w:t>Guter CRS-Score, kein Jobangebot nötig, freie Wohnortwahl gewünscht</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E2" w14:textId="77777777" w:rsidR="00C1548D" w:rsidRDefault="009B1B4B">
            <w:pPr>
              <w:spacing w:line="250" w:lineRule="auto"/>
            </w:pPr>
            <w:r>
              <w:rPr>
                <w:sz w:val="18"/>
                <w:szCs w:val="18"/>
              </w:rPr>
              <w:t>Express Entry (FSW)</w:t>
            </w:r>
          </w:p>
        </w:tc>
      </w:tr>
      <w:tr w:rsidR="00C1548D" w14:paraId="70A4F7E6" w14:textId="77777777">
        <w:tblPrEx>
          <w:tblCellMar>
            <w:top w:w="0" w:type="dxa"/>
            <w:bottom w:w="0" w:type="dxa"/>
          </w:tblCellMar>
        </w:tblPrEx>
        <w:trPr>
          <w:cantSplit/>
        </w:trPr>
        <w:tc>
          <w:tcPr>
            <w:tcW w:w="33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E4" w14:textId="77777777" w:rsidR="00C1548D" w:rsidRDefault="009B1B4B">
            <w:pPr>
              <w:spacing w:line="250" w:lineRule="auto"/>
            </w:pPr>
            <w:r>
              <w:rPr>
                <w:sz w:val="18"/>
                <w:szCs w:val="18"/>
              </w:rPr>
              <w:t>Score knapp unter dem Cutoff, Bereitschaft zu Wohnsitzbindung</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E5" w14:textId="77777777" w:rsidR="00C1548D" w:rsidRDefault="009B1B4B">
            <w:pPr>
              <w:spacing w:line="250" w:lineRule="auto"/>
            </w:pPr>
            <w:r>
              <w:rPr>
                <w:sz w:val="18"/>
                <w:szCs w:val="18"/>
              </w:rPr>
              <w:t>Provincial Nominee Program</w:t>
            </w:r>
          </w:p>
        </w:tc>
      </w:tr>
      <w:tr w:rsidR="00C1548D" w14:paraId="70A4F7E9" w14:textId="77777777">
        <w:tblPrEx>
          <w:tblCellMar>
            <w:top w:w="0" w:type="dxa"/>
            <w:bottom w:w="0" w:type="dxa"/>
          </w:tblCellMar>
        </w:tblPrEx>
        <w:trPr>
          <w:cantSplit/>
        </w:trPr>
        <w:tc>
          <w:tcPr>
            <w:tcW w:w="33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E7" w14:textId="77777777" w:rsidR="00C1548D" w:rsidRDefault="009B1B4B">
            <w:pPr>
              <w:spacing w:line="250" w:lineRule="auto"/>
            </w:pPr>
            <w:r>
              <w:rPr>
                <w:sz w:val="18"/>
                <w:szCs w:val="18"/>
              </w:rPr>
              <w:t>Bereits ein Jahr qualifiziert in Kanada gearbeitet (z. B. nach PGWP)</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E8" w14:textId="77777777" w:rsidR="00C1548D" w:rsidRDefault="009B1B4B">
            <w:pPr>
              <w:spacing w:line="250" w:lineRule="auto"/>
            </w:pPr>
            <w:r>
              <w:rPr>
                <w:sz w:val="18"/>
                <w:szCs w:val="18"/>
              </w:rPr>
              <w:t>Canadian Experience Class</w:t>
            </w:r>
          </w:p>
        </w:tc>
      </w:tr>
      <w:tr w:rsidR="00C1548D" w14:paraId="70A4F7EC" w14:textId="77777777">
        <w:tblPrEx>
          <w:tblCellMar>
            <w:top w:w="0" w:type="dxa"/>
            <w:bottom w:w="0" w:type="dxa"/>
          </w:tblCellMar>
        </w:tblPrEx>
        <w:trPr>
          <w:cantSplit/>
        </w:trPr>
        <w:tc>
          <w:tcPr>
            <w:tcW w:w="33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EA" w14:textId="77777777" w:rsidR="00C1548D" w:rsidRDefault="009B1B4B">
            <w:pPr>
              <w:spacing w:line="250" w:lineRule="auto"/>
            </w:pPr>
            <w:r>
              <w:rPr>
                <w:sz w:val="18"/>
                <w:szCs w:val="18"/>
              </w:rPr>
              <w:t>Konkretes Jobangebot eines kanadischen Arbeitgebers liegt vor</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EB" w14:textId="77777777" w:rsidR="00C1548D" w:rsidRDefault="009B1B4B">
            <w:pPr>
              <w:spacing w:line="250" w:lineRule="auto"/>
            </w:pPr>
            <w:r>
              <w:rPr>
                <w:sz w:val="18"/>
                <w:szCs w:val="18"/>
              </w:rPr>
              <w:t>LMIA-pflichtiges oder LMIA-freies Arbeitsvisum</w:t>
            </w:r>
          </w:p>
        </w:tc>
      </w:tr>
      <w:tr w:rsidR="00C1548D" w14:paraId="70A4F7EF" w14:textId="77777777">
        <w:tblPrEx>
          <w:tblCellMar>
            <w:top w:w="0" w:type="dxa"/>
            <w:bottom w:w="0" w:type="dxa"/>
          </w:tblCellMar>
        </w:tblPrEx>
        <w:trPr>
          <w:cantSplit/>
        </w:trPr>
        <w:tc>
          <w:tcPr>
            <w:tcW w:w="33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ED" w14:textId="77777777" w:rsidR="00C1548D" w:rsidRDefault="009B1B4B">
            <w:pPr>
              <w:spacing w:line="250" w:lineRule="auto"/>
            </w:pPr>
            <w:r>
              <w:rPr>
                <w:sz w:val="18"/>
                <w:szCs w:val="18"/>
              </w:rPr>
              <w:t>Punktzahl oder Abschluss reichen noch nicht</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EE" w14:textId="77777777" w:rsidR="00C1548D" w:rsidRDefault="009B1B4B">
            <w:pPr>
              <w:spacing w:line="250" w:lineRule="auto"/>
            </w:pPr>
            <w:r>
              <w:rPr>
                <w:sz w:val="18"/>
                <w:szCs w:val="18"/>
              </w:rPr>
              <w:t>Study Permit als Zwischenschritt</w:t>
            </w:r>
          </w:p>
        </w:tc>
      </w:tr>
      <w:tr w:rsidR="00C1548D" w14:paraId="70A4F7F2" w14:textId="77777777">
        <w:tblPrEx>
          <w:tblCellMar>
            <w:top w:w="0" w:type="dxa"/>
            <w:bottom w:w="0" w:type="dxa"/>
          </w:tblCellMar>
        </w:tblPrEx>
        <w:trPr>
          <w:cantSplit/>
        </w:trPr>
        <w:tc>
          <w:tcPr>
            <w:tcW w:w="33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F0" w14:textId="77777777" w:rsidR="00C1548D" w:rsidRDefault="009B1B4B">
            <w:pPr>
              <w:spacing w:line="250" w:lineRule="auto"/>
            </w:pPr>
            <w:r>
              <w:rPr>
                <w:sz w:val="18"/>
                <w:szCs w:val="18"/>
              </w:rPr>
              <w:t>Unternehmensidee mit Unterstützung einer designierten Organisation</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F1" w14:textId="77777777" w:rsidR="00C1548D" w:rsidRDefault="009B1B4B">
            <w:pPr>
              <w:spacing w:line="250" w:lineRule="auto"/>
            </w:pPr>
            <w:r>
              <w:rPr>
                <w:sz w:val="18"/>
                <w:szCs w:val="18"/>
              </w:rPr>
              <w:t>Start-up Visa (derzeit pausiert, siehe oben)</w:t>
            </w:r>
          </w:p>
        </w:tc>
      </w:tr>
      <w:tr w:rsidR="00C1548D" w14:paraId="70A4F7F5" w14:textId="77777777">
        <w:tblPrEx>
          <w:tblCellMar>
            <w:top w:w="0" w:type="dxa"/>
            <w:bottom w:w="0" w:type="dxa"/>
          </w:tblCellMar>
        </w:tblPrEx>
        <w:trPr>
          <w:cantSplit/>
        </w:trPr>
        <w:tc>
          <w:tcPr>
            <w:tcW w:w="33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F3" w14:textId="77777777" w:rsidR="00C1548D" w:rsidRDefault="009B1B4B">
            <w:pPr>
              <w:spacing w:line="250" w:lineRule="auto"/>
            </w:pPr>
            <w:r>
              <w:rPr>
                <w:sz w:val="18"/>
                <w:szCs w:val="18"/>
              </w:rPr>
              <w:t>Kein eigener gefragter Beruf, aber Familienangehörige mit Status in Kanada</w:t>
            </w:r>
          </w:p>
        </w:tc>
        <w:tc>
          <w:tcPr>
            <w:tcW w:w="3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F4" w14:textId="45E623D5" w:rsidR="00C1548D" w:rsidRDefault="009B1B4B">
            <w:pPr>
              <w:spacing w:line="250" w:lineRule="auto"/>
            </w:pPr>
            <w:r>
              <w:rPr>
                <w:sz w:val="18"/>
                <w:szCs w:val="18"/>
              </w:rPr>
              <w:t xml:space="preserve">siehe </w:t>
            </w:r>
            <w:hyperlink w:anchor="tka04" w:history="1">
              <w:r>
                <w:rPr>
                  <w:color w:val="0563C1"/>
                  <w:sz w:val="18"/>
                  <w:szCs w:val="18"/>
                  <w:u w:val="single"/>
                </w:rPr>
                <w:t>Kapitel zu Familie, Investor und Ruhestand in diesem Teil</w:t>
              </w:r>
            </w:hyperlink>
          </w:p>
        </w:tc>
      </w:tr>
    </w:tbl>
    <w:p w14:paraId="70A4F7F6"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7F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7F7" w14:textId="77777777" w:rsidR="00C1548D" w:rsidRDefault="009B1B4B">
            <w:pPr>
              <w:keepNext/>
              <w:spacing w:after="70" w:line="240" w:lineRule="auto"/>
            </w:pPr>
            <w:r>
              <w:rPr>
                <w:b/>
                <w:bCs/>
                <w:color w:val="9B2C2C"/>
                <w:spacing w:val="24"/>
                <w:sz w:val="16"/>
                <w:szCs w:val="16"/>
              </w:rPr>
              <w:t>ACHTUNG</w:t>
            </w:r>
          </w:p>
          <w:p w14:paraId="70A4F7F8" w14:textId="77777777" w:rsidR="00C1548D" w:rsidRDefault="009B1B4B">
            <w:pPr>
              <w:spacing w:after="80" w:line="264" w:lineRule="auto"/>
            </w:pPr>
            <w:r>
              <w:rPr>
                <w:sz w:val="20"/>
                <w:szCs w:val="20"/>
              </w:rPr>
              <w:t>Diese Zuordnung ist eine grobe Orientierung, keine Garantie. CRS-Cutoffs, PNP-Kriterien und Berufslisten ändern sich mehrfach im Jahr. Prüfe jede Zahl vor einer Kündigung in Deutschland direkt bei IRCC.</w:t>
            </w:r>
          </w:p>
        </w:tc>
      </w:tr>
    </w:tbl>
    <w:p w14:paraId="70A4F7FA" w14:textId="77777777" w:rsidR="00C1548D" w:rsidRDefault="00C1548D">
      <w:pPr>
        <w:spacing w:line="220" w:lineRule="exact"/>
      </w:pPr>
    </w:p>
    <w:p w14:paraId="70A4F7FB"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7FE"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7FC"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7FD" w14:textId="77777777" w:rsidR="00C1548D" w:rsidRDefault="009B1B4B">
            <w:pPr>
              <w:spacing w:line="250" w:lineRule="auto"/>
            </w:pPr>
            <w:r>
              <w:rPr>
                <w:b/>
                <w:bCs/>
                <w:sz w:val="18"/>
                <w:szCs w:val="18"/>
              </w:rPr>
              <w:t>Minus</w:t>
            </w:r>
          </w:p>
        </w:tc>
      </w:tr>
      <w:tr w:rsidR="00C1548D" w14:paraId="70A4F80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7FF" w14:textId="77777777" w:rsidR="00C1548D" w:rsidRDefault="009B1B4B">
            <w:pPr>
              <w:spacing w:line="250" w:lineRule="auto"/>
            </w:pPr>
            <w:r>
              <w:rPr>
                <w:sz w:val="18"/>
                <w:szCs w:val="18"/>
              </w:rPr>
              <w:t>Mehrere parallele Wege erhöhen die Gesamtchance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00" w14:textId="77777777" w:rsidR="00C1548D" w:rsidRDefault="009B1B4B">
            <w:pPr>
              <w:spacing w:line="250" w:lineRule="auto"/>
            </w:pPr>
            <w:r>
              <w:rPr>
                <w:sz w:val="18"/>
                <w:szCs w:val="18"/>
              </w:rPr>
              <w:t>Für die meisten Wege sind Sprachniveau oder ECA Voraussetzung</w:t>
            </w:r>
          </w:p>
        </w:tc>
      </w:tr>
      <w:tr w:rsidR="00C1548D" w14:paraId="70A4F80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02" w14:textId="77777777" w:rsidR="00C1548D" w:rsidRDefault="009B1B4B">
            <w:pPr>
              <w:spacing w:line="250" w:lineRule="auto"/>
            </w:pPr>
            <w:r>
              <w:rPr>
                <w:sz w:val="18"/>
                <w:szCs w:val="18"/>
              </w:rPr>
              <w:t>CRS ist transparent und selbst überschlagbar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03" w14:textId="77777777" w:rsidR="00C1548D" w:rsidRDefault="009B1B4B">
            <w:pPr>
              <w:spacing w:line="250" w:lineRule="auto"/>
            </w:pPr>
            <w:r>
              <w:rPr>
                <w:sz w:val="18"/>
                <w:szCs w:val="18"/>
              </w:rPr>
              <w:t>Cutoffs schwanken von Runde zu Runde</w:t>
            </w:r>
          </w:p>
        </w:tc>
      </w:tr>
      <w:tr w:rsidR="00C1548D" w14:paraId="70A4F80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05" w14:textId="77777777" w:rsidR="00C1548D" w:rsidRDefault="009B1B4B">
            <w:pPr>
              <w:spacing w:line="250" w:lineRule="auto"/>
            </w:pPr>
            <w:r>
              <w:rPr>
                <w:sz w:val="18"/>
                <w:szCs w:val="18"/>
              </w:rPr>
              <w:t>Arbeitgeber-Sponsoring umgeht den Punktetest komplett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06" w14:textId="77777777" w:rsidR="00C1548D" w:rsidRDefault="009B1B4B">
            <w:pPr>
              <w:spacing w:line="250" w:lineRule="auto"/>
            </w:pPr>
            <w:r>
              <w:rPr>
                <w:sz w:val="18"/>
                <w:szCs w:val="18"/>
              </w:rPr>
              <w:t>LMIA-pflichtige Visa binden dich an einen einzelnen Betrieb</w:t>
            </w:r>
          </w:p>
        </w:tc>
      </w:tr>
      <w:tr w:rsidR="00C1548D" w14:paraId="70A4F80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08" w14:textId="77777777" w:rsidR="00C1548D" w:rsidRDefault="009B1B4B">
            <w:pPr>
              <w:spacing w:line="250" w:lineRule="auto"/>
            </w:pPr>
            <w:r>
              <w:rPr>
                <w:sz w:val="18"/>
                <w:szCs w:val="18"/>
              </w:rPr>
              <w:t>PGWP eröffnet zusätzliche Punkte über kanadische Erfahrung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09" w14:textId="77777777" w:rsidR="00C1548D" w:rsidRDefault="009B1B4B">
            <w:pPr>
              <w:spacing w:line="250" w:lineRule="auto"/>
            </w:pPr>
            <w:r>
              <w:rPr>
                <w:sz w:val="18"/>
                <w:szCs w:val="18"/>
              </w:rPr>
              <w:t>Studienweg ist zeit- und kostenintensiv ohne Jobgarantie</w:t>
            </w:r>
          </w:p>
        </w:tc>
      </w:tr>
      <w:tr w:rsidR="00C1548D" w14:paraId="70A4F80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0B" w14:textId="77777777" w:rsidR="00C1548D" w:rsidRDefault="009B1B4B">
            <w:pPr>
              <w:spacing w:line="250" w:lineRule="auto"/>
            </w:pPr>
            <w:r>
              <w:rPr>
                <w:sz w:val="18"/>
                <w:szCs w:val="18"/>
              </w:rPr>
              <w:t>Keine feste Alters-Ausschlussgrenze wie in Australien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0C" w14:textId="77777777" w:rsidR="00C1548D" w:rsidRDefault="009B1B4B">
            <w:pPr>
              <w:spacing w:line="250" w:lineRule="auto"/>
            </w:pPr>
            <w:r>
              <w:rPr>
                <w:sz w:val="18"/>
                <w:szCs w:val="18"/>
              </w:rPr>
              <w:t>Start-up Visa seit 2026 für Neuanträge pausiert</w:t>
            </w:r>
          </w:p>
        </w:tc>
      </w:tr>
      <w:tr w:rsidR="00C1548D" w14:paraId="70A4F81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0E" w14:textId="77777777" w:rsidR="00C1548D" w:rsidRDefault="009B1B4B">
            <w:pPr>
              <w:spacing w:line="250" w:lineRule="auto"/>
            </w:pPr>
            <w:r>
              <w:rPr>
                <w:sz w:val="18"/>
                <w:szCs w:val="18"/>
              </w:rPr>
              <w:t>PNP erhöht die Chance bei knappem CRS-Score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0F" w14:textId="77777777" w:rsidR="00C1548D" w:rsidRDefault="009B1B4B">
            <w:pPr>
              <w:spacing w:line="250" w:lineRule="auto"/>
            </w:pPr>
            <w:r>
              <w:rPr>
                <w:sz w:val="18"/>
                <w:szCs w:val="18"/>
              </w:rPr>
              <w:t>PNP bindet meist an eine Wohnsitzpflicht in der Provinz</w:t>
            </w:r>
          </w:p>
        </w:tc>
      </w:tr>
    </w:tbl>
    <w:p w14:paraId="70A4F811" w14:textId="77777777" w:rsidR="00C1548D" w:rsidRDefault="00C1548D">
      <w:pPr>
        <w:spacing w:line="180" w:lineRule="exact"/>
      </w:pPr>
    </w:p>
    <w:p w14:paraId="70A4F812"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813" w14:textId="77777777" w:rsidR="00C1548D" w:rsidRDefault="009B1B4B">
      <w:pPr>
        <w:spacing w:after="140"/>
      </w:pPr>
      <w:r>
        <w:t>Beginne mit einer ehrlichen Bestandsaufnahme: Sprachniveau, Berufserfahrung, vorhandenes oder fehlendes Jobangebot, gewünschte Provinz. Prüfe, ob dein Beruf und Abschluss für eine Bildungsbewertung und den CRS überhaupt geeignet sind – ohne das lohnt sich die Detailarbeit an der Punktzahl kaum. Erst danach lohnt sich die Suche nach einem sponsernden Arbeitgeber oder die Vertiefung einer bestimmten PNP-Kategorie, die die folgenden Kapitel dieses Teils zeigen. Wer sich zwischen zwei Wegen nicht entscheiden ka</w:t>
      </w:r>
      <w:r>
        <w:t>nn, verliert selten Zeit, wenn er beide parallel vorbereitet: Ein begonnenes Express-Entry-Profil verfällt nicht, nur weil am Ende doch ein Jobangebot den Ausschlag gibt.</w:t>
      </w:r>
    </w:p>
    <w:p w14:paraId="70A4F814" w14:textId="77777777" w:rsidR="00C1548D" w:rsidRDefault="009B1B4B">
      <w:pPr>
        <w:spacing w:after="140"/>
      </w:pPr>
      <w:r>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w:t>
      </w:r>
      <w:r>
        <w:lastRenderedPageBreak/>
        <w:t>Regierung betreibt. Das ist ein reiner Verwaltungsschritt, kein Ersatz für die eigentliche Antragsprüfung, die immer bei IRCC in Kanada liegt.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1E"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815" w14:textId="77777777" w:rsidR="00C1548D" w:rsidRDefault="009B1B4B">
            <w:pPr>
              <w:keepNext/>
              <w:spacing w:after="70" w:line="240" w:lineRule="auto"/>
            </w:pPr>
            <w:r>
              <w:rPr>
                <w:b/>
                <w:bCs/>
                <w:color w:val="1F6F78"/>
                <w:spacing w:val="24"/>
                <w:sz w:val="16"/>
                <w:szCs w:val="16"/>
              </w:rPr>
              <w:t>CHECKLISTE</w:t>
            </w:r>
          </w:p>
          <w:p w14:paraId="70A4F81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Sprachtest (IELTS, CELPIP oder für Französisch TEF/TCF) gebucht oder Ergebnis vorliegend</w:t>
            </w:r>
          </w:p>
          <w:p w14:paraId="70A4F81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eine Bildungsbewertung (ECA) für den eigenen Abschluss nötig ist</w:t>
            </w:r>
          </w:p>
          <w:p w14:paraId="70A4F81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CRS-Score überschlägig berechnet und mit aktuellen Einladungsgrenzen verglichen</w:t>
            </w:r>
          </w:p>
          <w:p w14:paraId="70A4F81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eine kategoriebasierte Express-Entry-Ziehung für den eigenen Beruf infrage kommt</w:t>
            </w:r>
          </w:p>
          <w:p w14:paraId="70A4F81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PNP-Programme der bevorzugten Provinz oder Provinzen auf aktuelle Kriterien geprüft</w:t>
            </w:r>
          </w:p>
          <w:p w14:paraId="70A4F81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Falls Jobangebot vorhanden: geklärt, ob die Stelle LMIA-pflichtig oder LMIA-frei ist</w:t>
            </w:r>
          </w:p>
          <w:p w14:paraId="70A4F81C" w14:textId="03BAFD91"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hyperlink w:anchor="tka04" w:history="1">
              <w:r>
                <w:rPr>
                  <w:color w:val="0563C1"/>
                  <w:sz w:val="20"/>
                  <w:szCs w:val="20"/>
                  <w:u w:val="single"/>
                </w:rPr>
                <w:t>Kapitel zu Familie, Investor und Ruhestand in diesem Teil</w:t>
              </w:r>
            </w:hyperlink>
            <w:r>
              <w:rPr>
                <w:sz w:val="20"/>
                <w:szCs w:val="20"/>
              </w:rPr>
              <w:t xml:space="preserve"> gelesen, falls kein eigener gefragter Beruf vorliegt</w:t>
            </w:r>
          </w:p>
          <w:p w14:paraId="70A4F81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Aktuelle Gebühren, Cutoffs und Bearbeitungszeiten direkt bei IRCC geprüft</w:t>
            </w:r>
          </w:p>
        </w:tc>
      </w:tr>
    </w:tbl>
    <w:p w14:paraId="70A4F81F" w14:textId="77777777" w:rsidR="00C1548D" w:rsidRDefault="00C1548D">
      <w:pPr>
        <w:spacing w:line="220" w:lineRule="exact"/>
      </w:pPr>
    </w:p>
    <w:p w14:paraId="70A4F820"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821" w14:textId="4FC1AD81" w:rsidR="00C1548D" w:rsidRDefault="009B1B4B" w:rsidP="009B1B4B">
      <w:pPr>
        <w:pStyle w:val="ListParagraph"/>
        <w:numPr>
          <w:ilvl w:val="0"/>
          <w:numId w:val="1"/>
        </w:numPr>
        <w:spacing w:after="60"/>
      </w:pPr>
      <w:r>
        <w:t>IRCC — Express Entry, CRS und Einladungsrunden (</w:t>
      </w:r>
      <w:hyperlink r:id="rId490" w:history="1">
        <w:r>
          <w:rPr>
            <w:color w:val="0563C1"/>
            <w:u w:val="single"/>
          </w:rPr>
          <w:t>canada.ca/en/immigration-refugees-citizenship</w:t>
        </w:r>
      </w:hyperlink>
      <w:r>
        <w:t>)</w:t>
      </w:r>
    </w:p>
    <w:p w14:paraId="70A4F822" w14:textId="6C8769C6" w:rsidR="00C1548D" w:rsidRDefault="009B1B4B" w:rsidP="009B1B4B">
      <w:pPr>
        <w:pStyle w:val="ListParagraph"/>
        <w:numPr>
          <w:ilvl w:val="0"/>
          <w:numId w:val="1"/>
        </w:numPr>
        <w:spacing w:after="60"/>
      </w:pPr>
      <w:r>
        <w:t>IRCC — Provincial Nominee Program, Übersicht je Provinz (</w:t>
      </w:r>
      <w:hyperlink r:id="rId491" w:history="1">
        <w:r>
          <w:rPr>
            <w:color w:val="0563C1"/>
            <w:u w:val="single"/>
          </w:rPr>
          <w:t>canada.ca</w:t>
        </w:r>
      </w:hyperlink>
      <w:r>
        <w:t>, Suche: provincial-nominees)</w:t>
      </w:r>
    </w:p>
    <w:p w14:paraId="70A4F823" w14:textId="53B1C561" w:rsidR="00C1548D" w:rsidRDefault="009B1B4B" w:rsidP="009B1B4B">
      <w:pPr>
        <w:pStyle w:val="ListParagraph"/>
        <w:numPr>
          <w:ilvl w:val="0"/>
          <w:numId w:val="1"/>
        </w:numPr>
        <w:spacing w:after="60"/>
      </w:pPr>
      <w:r>
        <w:t>IRCC — Gebühren für Visa, PR und Biometrie (</w:t>
      </w:r>
      <w:hyperlink r:id="rId492" w:history="1">
        <w:r>
          <w:rPr>
            <w:color w:val="0563C1"/>
            <w:u w:val="single"/>
          </w:rPr>
          <w:t>ircc.canada.ca/english/information/fees</w:t>
        </w:r>
      </w:hyperlink>
      <w:r>
        <w:t>)</w:t>
      </w:r>
    </w:p>
    <w:p w14:paraId="70A4F824" w14:textId="74381AC1" w:rsidR="00C1548D" w:rsidRDefault="009B1B4B" w:rsidP="009B1B4B">
      <w:pPr>
        <w:pStyle w:val="ListParagraph"/>
        <w:numPr>
          <w:ilvl w:val="0"/>
          <w:numId w:val="1"/>
        </w:numPr>
        <w:spacing w:after="60"/>
      </w:pPr>
      <w:r>
        <w:t>ESDC — Labour Market Impact Assessment, Gebühren und Bearbeitungszeiten (</w:t>
      </w:r>
      <w:hyperlink r:id="rId493" w:history="1">
        <w:r>
          <w:rPr>
            <w:color w:val="0563C1"/>
            <w:u w:val="single"/>
          </w:rPr>
          <w:t>canada.ca/en/employment-social-development</w:t>
        </w:r>
      </w:hyperlink>
      <w:r>
        <w:t>)</w:t>
      </w:r>
    </w:p>
    <w:p w14:paraId="70A4F825" w14:textId="429486DE" w:rsidR="00C1548D" w:rsidRDefault="009B1B4B" w:rsidP="009B1B4B">
      <w:pPr>
        <w:pStyle w:val="ListParagraph"/>
        <w:numPr>
          <w:ilvl w:val="0"/>
          <w:numId w:val="1"/>
        </w:numPr>
        <w:spacing w:after="60"/>
      </w:pPr>
      <w:r>
        <w:lastRenderedPageBreak/>
        <w:t>IRCC — Study Permit und Post-Graduation Work Permit (</w:t>
      </w:r>
      <w:hyperlink r:id="rId494" w:history="1">
        <w:r>
          <w:rPr>
            <w:color w:val="0563C1"/>
            <w:u w:val="single"/>
          </w:rPr>
          <w:t>canada.ca</w:t>
        </w:r>
      </w:hyperlink>
      <w:r>
        <w:t>, Suche: study-permit, post-graduation-work-permit)</w:t>
      </w:r>
    </w:p>
    <w:p w14:paraId="70A4F826" w14:textId="3983D8BB" w:rsidR="00C1548D" w:rsidRDefault="009B1B4B" w:rsidP="009B1B4B">
      <w:pPr>
        <w:pStyle w:val="ListParagraph"/>
        <w:numPr>
          <w:ilvl w:val="0"/>
          <w:numId w:val="1"/>
        </w:numPr>
        <w:spacing w:after="60"/>
      </w:pPr>
      <w:r>
        <w:t>IRCC — Start-up Visa Program (</w:t>
      </w:r>
      <w:hyperlink r:id="rId495" w:history="1">
        <w:r>
          <w:rPr>
            <w:color w:val="0563C1"/>
            <w:u w:val="single"/>
          </w:rPr>
          <w:t>canada.ca</w:t>
        </w:r>
      </w:hyperlink>
      <w:r>
        <w:t>, Suche: start-visa)</w:t>
      </w:r>
    </w:p>
    <w:p w14:paraId="70A4F82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2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828" w14:textId="77777777" w:rsidR="00C1548D" w:rsidRDefault="009B1B4B">
            <w:pPr>
              <w:keepNext/>
              <w:spacing w:after="70" w:line="240" w:lineRule="auto"/>
            </w:pPr>
            <w:r>
              <w:rPr>
                <w:b/>
                <w:bCs/>
                <w:color w:val="6B7280"/>
                <w:spacing w:val="24"/>
                <w:sz w:val="16"/>
                <w:szCs w:val="16"/>
              </w:rPr>
              <w:t>STAND</w:t>
            </w:r>
          </w:p>
          <w:p w14:paraId="70A4F829" w14:textId="77777777" w:rsidR="00C1548D" w:rsidRDefault="009B1B4B">
            <w:pPr>
              <w:spacing w:after="80" w:line="264" w:lineRule="auto"/>
            </w:pPr>
            <w:r>
              <w:rPr>
                <w:sz w:val="20"/>
                <w:szCs w:val="20"/>
              </w:rPr>
              <w:t>23.09.2026. Diese Angaben ändern sich schnell: CRS-Cutoffs jeder Express-Entry-Runde, PNP-Kriterien und -Gebühren je Provinz, LMIA-Bearbeitungszeiten und die Regeln zum pausierten Start-up Visa. Prüfe vor jeder Entscheidung die aktuellen Werte direkt auf canada.ca/ircc.</w:t>
            </w:r>
          </w:p>
        </w:tc>
      </w:tr>
    </w:tbl>
    <w:p w14:paraId="70A4F82B" w14:textId="77777777" w:rsidR="00C1548D" w:rsidRDefault="00C1548D">
      <w:pPr>
        <w:spacing w:line="220" w:lineRule="exact"/>
      </w:pPr>
    </w:p>
    <w:p w14:paraId="70A4F82C" w14:textId="77777777" w:rsidR="00C1548D" w:rsidRDefault="009B1B4B">
      <w:pPr>
        <w:pStyle w:val="Heading2"/>
        <w:keepNext/>
        <w:pageBreakBefore/>
        <w:jc w:val="center"/>
      </w:pPr>
      <w:bookmarkStart w:id="139" w:name="tka03"/>
      <w:bookmarkStart w:id="140" w:name="_Toc241352521"/>
      <w:r>
        <w:rPr>
          <w:rFonts w:ascii="Amazon Ember" w:eastAsia="Amazon Ember" w:hAnsi="Amazon Ember" w:cs="Amazon Ember"/>
          <w:color w:val="0000FF"/>
          <w:sz w:val="36"/>
          <w:szCs w:val="36"/>
        </w:rPr>
        <w:lastRenderedPageBreak/>
        <w:t>Kanada: Der Arbeitsweg im Detail</w:t>
      </w:r>
      <w:bookmarkEnd w:id="139"/>
      <w:bookmarkEnd w:id="140"/>
    </w:p>
    <w:p w14:paraId="70A4F82D" w14:textId="77777777" w:rsidR="00C1548D" w:rsidRDefault="009B1B4B">
      <w:pPr>
        <w:spacing w:after="140"/>
      </w:pPr>
      <w:r>
        <w:t xml:space="preserve">Kanadas Einwanderungssystem hat einen Charme, den man erst zu schätzen lernt, wenn man ihn selbst durchlebt: Es sagt dir, in nackten Zahlen, wie begehrenswert du gerade bist. Wer ein Profil bei </w:t>
      </w:r>
      <w:r>
        <w:rPr>
          <w:i/>
          <w:iCs/>
        </w:rPr>
        <w:t>Express Entry</w:t>
      </w:r>
      <w:r>
        <w:t xml:space="preserve"> (dem Online-Bewerbersystem für die wirtschaftliche Einwanderung nach Kanada) anlegt, bekommt einen Punktwert – und verbringt danach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w:t>
      </w:r>
      <w:r>
        <w:t>unktur hat – und die wechselt schneller, als mancher Sprachtest gültig bleibt.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35"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82E" w14:textId="77777777" w:rsidR="00C1548D" w:rsidRDefault="009B1B4B">
            <w:pPr>
              <w:keepNext/>
              <w:spacing w:after="70" w:line="240" w:lineRule="auto"/>
            </w:pPr>
            <w:r>
              <w:rPr>
                <w:b/>
                <w:bCs/>
                <w:color w:val="1F3A5F"/>
                <w:spacing w:val="24"/>
                <w:sz w:val="16"/>
                <w:szCs w:val="16"/>
              </w:rPr>
              <w:lastRenderedPageBreak/>
              <w:t>KURZ GESAGT</w:t>
            </w:r>
          </w:p>
          <w:p w14:paraId="70A4F82F" w14:textId="77777777" w:rsidR="00C1548D" w:rsidRDefault="009B1B4B" w:rsidP="009B1B4B">
            <w:pPr>
              <w:pStyle w:val="ListParagraph"/>
              <w:numPr>
                <w:ilvl w:val="0"/>
                <w:numId w:val="1"/>
              </w:numPr>
              <w:spacing w:after="50" w:line="264" w:lineRule="auto"/>
            </w:pPr>
            <w:r>
              <w:rPr>
                <w:i/>
                <w:iCs/>
                <w:sz w:val="20"/>
                <w:szCs w:val="20"/>
              </w:rPr>
              <w:t>Express Entry</w:t>
            </w:r>
            <w:r>
              <w:rPr>
                <w:sz w:val="20"/>
                <w:szCs w:val="20"/>
              </w:rPr>
              <w:t xml:space="preserve"> bündelt drei Bundesprogramme (FSW, CEC, FST) und viele Provinzströme in einem Punktesystem; ein ausreichender Score bringt eine Einladung zum PR-Antrag (</w:t>
            </w:r>
            <w:r>
              <w:rPr>
                <w:i/>
                <w:iCs/>
                <w:sz w:val="20"/>
                <w:szCs w:val="20"/>
              </w:rPr>
              <w:t>Invitation to Apply</w:t>
            </w:r>
            <w:r>
              <w:rPr>
                <w:sz w:val="20"/>
                <w:szCs w:val="20"/>
              </w:rPr>
              <w:t>, ITA, Einladung zur Antragstellung).</w:t>
            </w:r>
          </w:p>
          <w:p w14:paraId="70A4F830" w14:textId="77777777" w:rsidR="00C1548D" w:rsidRDefault="009B1B4B" w:rsidP="009B1B4B">
            <w:pPr>
              <w:pStyle w:val="ListParagraph"/>
              <w:numPr>
                <w:ilvl w:val="0"/>
                <w:numId w:val="1"/>
              </w:numPr>
              <w:spacing w:after="50" w:line="264" w:lineRule="auto"/>
            </w:pPr>
            <w:r>
              <w:rPr>
                <w:sz w:val="20"/>
                <w:szCs w:val="20"/>
              </w:rPr>
              <w:t xml:space="preserve">Der </w:t>
            </w:r>
            <w:r>
              <w:rPr>
                <w:i/>
                <w:iCs/>
                <w:sz w:val="20"/>
                <w:szCs w:val="20"/>
              </w:rPr>
              <w:t>Comprehensive Ranking System</w:t>
            </w:r>
            <w:r>
              <w:rPr>
                <w:sz w:val="20"/>
                <w:szCs w:val="20"/>
              </w:rPr>
              <w:t>-Score (CRS) entscheidet, wer eingeladen wird. 2026 lagen die allgemeinen Cutoffs meist bei 480–530 Punkten, kategoriebasierte Ziehungen (Gesundheit, Französisch, Ärzte) oft deutlich darunter.</w:t>
            </w:r>
          </w:p>
          <w:p w14:paraId="70A4F831" w14:textId="77777777" w:rsidR="00C1548D" w:rsidRDefault="009B1B4B" w:rsidP="009B1B4B">
            <w:pPr>
              <w:pStyle w:val="ListParagraph"/>
              <w:numPr>
                <w:ilvl w:val="0"/>
                <w:numId w:val="1"/>
              </w:numPr>
              <w:spacing w:after="50" w:line="264" w:lineRule="auto"/>
            </w:pPr>
            <w:r>
              <w:rPr>
                <w:sz w:val="20"/>
                <w:szCs w:val="20"/>
              </w:rPr>
              <w:t xml:space="preserve">Das </w:t>
            </w:r>
            <w:r>
              <w:rPr>
                <w:i/>
                <w:iCs/>
                <w:sz w:val="20"/>
                <w:szCs w:val="20"/>
              </w:rPr>
              <w:t>Provincial Nominee Program</w:t>
            </w:r>
            <w:r>
              <w:rPr>
                <w:sz w:val="20"/>
                <w:szCs w:val="20"/>
              </w:rPr>
              <w:t xml:space="preserve"> (PNP, das provinzielle Nominierungsprogramm) ist der zweitgrößte Weg zur </w:t>
            </w:r>
            <w:r>
              <w:rPr>
                <w:i/>
                <w:iCs/>
                <w:sz w:val="20"/>
                <w:szCs w:val="20"/>
              </w:rPr>
              <w:t>Permanent Residence</w:t>
            </w:r>
            <w:r>
              <w:rPr>
                <w:sz w:val="20"/>
                <w:szCs w:val="20"/>
              </w:rPr>
              <w:t xml:space="preserve"> (PR, der unbefristete Aufenthaltsstatus Kanadas); jede Provinz setzt eigene Regeln, eine Nominierung bringt 600 CRS-Punkte extra.</w:t>
            </w:r>
          </w:p>
          <w:p w14:paraId="70A4F832" w14:textId="77777777" w:rsidR="00C1548D" w:rsidRDefault="009B1B4B" w:rsidP="009B1B4B">
            <w:pPr>
              <w:pStyle w:val="ListParagraph"/>
              <w:numPr>
                <w:ilvl w:val="0"/>
                <w:numId w:val="1"/>
              </w:numPr>
              <w:spacing w:after="50" w:line="264" w:lineRule="auto"/>
            </w:pPr>
            <w:r>
              <w:rPr>
                <w:sz w:val="20"/>
                <w:szCs w:val="20"/>
              </w:rPr>
              <w:t>Ontario und British Columbia zeigen beispielhaft, wie unterschiedlich – und wie unterschiedlich teuer – die Provinzverfahren ablaufen.</w:t>
            </w:r>
          </w:p>
          <w:p w14:paraId="70A4F833" w14:textId="77777777" w:rsidR="00C1548D" w:rsidRDefault="009B1B4B" w:rsidP="009B1B4B">
            <w:pPr>
              <w:pStyle w:val="ListParagraph"/>
              <w:numPr>
                <w:ilvl w:val="0"/>
                <w:numId w:val="1"/>
              </w:numPr>
              <w:spacing w:after="50" w:line="264" w:lineRule="auto"/>
            </w:pPr>
            <w:r>
              <w:rPr>
                <w:sz w:val="20"/>
                <w:szCs w:val="20"/>
              </w:rPr>
              <w:t>Für deutsche Fachkräfte mit soliden Englischkenntnissen, anerkanntem Abschluss und gefragtem Beruf ist Express Entry real erreichbar; ganz ohne Jobangebot oder Kanada-Bezug wird es eher zur Geduldsprobe.</w:t>
            </w:r>
          </w:p>
          <w:p w14:paraId="70A4F834" w14:textId="77777777" w:rsidR="00C1548D" w:rsidRDefault="009B1B4B" w:rsidP="009B1B4B">
            <w:pPr>
              <w:pStyle w:val="ListParagraph"/>
              <w:numPr>
                <w:ilvl w:val="0"/>
                <w:numId w:val="1"/>
              </w:numPr>
              <w:spacing w:after="50" w:line="264" w:lineRule="auto"/>
            </w:pPr>
            <w:r>
              <w:rPr>
                <w:sz w:val="20"/>
                <w:szCs w:val="20"/>
              </w:rPr>
              <w:t>Zahlen und Cutoffs ändern sich laufend: Prüfe vor jeder Entscheidung die aktuellen Werte auf canada.ca.</w:t>
            </w:r>
          </w:p>
        </w:tc>
      </w:tr>
    </w:tbl>
    <w:p w14:paraId="70A4F836" w14:textId="77777777" w:rsidR="00C1548D" w:rsidRDefault="00C1548D">
      <w:pPr>
        <w:spacing w:line="220" w:lineRule="exact"/>
      </w:pPr>
    </w:p>
    <w:p w14:paraId="70A4F837" w14:textId="77777777" w:rsidR="00C1548D" w:rsidRDefault="009B1B4B">
      <w:pPr>
        <w:pStyle w:val="Heading3"/>
        <w:keepNext/>
        <w:jc w:val="center"/>
      </w:pPr>
      <w:r>
        <w:rPr>
          <w:rFonts w:ascii="Amazon Ember" w:eastAsia="Amazon Ember" w:hAnsi="Amazon Ember" w:cs="Amazon Ember"/>
          <w:color w:val="0000FF"/>
          <w:sz w:val="36"/>
          <w:szCs w:val="36"/>
        </w:rPr>
        <w:t>Express Entry: drei Programme, ein Profil</w:t>
      </w:r>
    </w:p>
    <w:p w14:paraId="70A4F838" w14:textId="77777777" w:rsidR="00C1548D" w:rsidRDefault="009B1B4B">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und in regelmäßigen Runden lädt IRCC die am höchsten platzierten Profile zur Antragstellung auf die PR ein. Bis dahin ist nichts davon eine Zusage – dein Profil ist eher eine Bewerbung im Wartezimmer als ein Vertrag.</w:t>
      </w:r>
    </w:p>
    <w:p w14:paraId="70A4F839" w14:textId="77777777" w:rsidR="00C1548D" w:rsidRDefault="009B1B4B">
      <w:pPr>
        <w:spacing w:after="140"/>
      </w:pPr>
      <w:r>
        <w:lastRenderedPageBreak/>
        <w:t xml:space="preserve">Drei Programme laufen darüber. Der </w:t>
      </w:r>
      <w:r>
        <w:rPr>
          <w:i/>
          <w:iCs/>
        </w:rPr>
        <w:t>Federal Skilled Worker</w:t>
      </w:r>
      <w:r>
        <w:t xml:space="preserve">-Weg (FSW) ist die Standardtür für alle, die noch keine kanadische Berufserfahrung haben – also der typische Fall für jemanden, der direkt aus Deutschland bewirbt. Voraussetzung sind mindestens ein Jahr durchgehende Vollzeit-Berufserfahrung in den letzten zehn Jahren in einem Beruf der Klassifikation </w:t>
      </w:r>
      <w:r>
        <w:rPr>
          <w:i/>
          <w:iCs/>
        </w:rPr>
        <w:t>National Occupational Classification</w:t>
      </w:r>
      <w:r>
        <w:t xml:space="preserve"> (NOC, das kanadische Berufsklassifikationssystem, gestaffelt nach </w:t>
      </w:r>
      <w:r>
        <w:rPr>
          <w:i/>
          <w:iCs/>
        </w:rPr>
        <w:t>Training, Education, Experience and Responsibilities</w:t>
      </w:r>
      <w:r>
        <w:t xml:space="preserve">, TEER, den Anforderungsstufen 0 bis 5) der Stufen 0 bis 3, ein Sprachniveau von mindestens </w:t>
      </w:r>
      <w:r>
        <w:rPr>
          <w:i/>
          <w:iCs/>
        </w:rPr>
        <w:t>Canadian Language Benchmark</w:t>
      </w:r>
      <w:r>
        <w:t xml:space="preserve"> (CLB) 7 in allen vier Fertigkeiten sowie bei ausländischen Abschlüssen eine </w:t>
      </w:r>
      <w:r>
        <w:rPr>
          <w:i/>
          <w:iCs/>
        </w:rPr>
        <w:t>Educational Credential Assessment</w:t>
      </w:r>
      <w:r>
        <w:t xml:space="preserve"> (ECA, eine amtlich anerkannte Abschlussbewertung). Zusätzlich musst du vor jeder CRS-Berechnung ein eigenes 67-von-100-Punkte-Raster bestehen (Sprache max. 28, Bildung max. 25, Berufserfahrung max. 15, Alter max. 12, vorliegendes Jobangebot max. 10, Anpassungsfähigkeit max. 10) – eine Zulässigkeitshürde, keine Rangliste.</w:t>
      </w:r>
    </w:p>
    <w:p w14:paraId="70A4F83A" w14:textId="77777777" w:rsidR="00C1548D" w:rsidRDefault="009B1B4B">
      <w:pPr>
        <w:spacing w:after="140"/>
      </w:pPr>
      <w:r>
        <w:t xml:space="preserve">Die </w:t>
      </w:r>
      <w:r>
        <w:rPr>
          <w:i/>
          <w:iCs/>
        </w:rPr>
        <w:t>Canadian Experience Class</w:t>
      </w:r>
      <w:r>
        <w:t xml:space="preserve"> (CEC) verlangt dagegen mindestens ein Jahr qualifizierte Berufserfahrung </w:t>
      </w:r>
      <w:r>
        <w:rPr>
          <w:i/>
          <w:iCs/>
        </w:rPr>
        <w:t>in Kanada</w:t>
      </w:r>
      <w:r>
        <w:t xml:space="preserve"> innerhalb der letzten drei Jahre, dafür kein zwingendes ECA und ein niedrigeres Sprachniveau für einfachere Berufe (CLB 7 für TEER 0/1, CLB 5 für TEER 2/3). Sie ist für Neuankömmlinge aus Deutschland kein Einstiegsweg, sondern ein Anschlussweg, nachdem du bereits mit einem Arbeitsvisum in Kanada gearbeitet hast. Der dritte Weg, </w:t>
      </w:r>
      <w:r>
        <w:rPr>
          <w:i/>
          <w:iCs/>
        </w:rPr>
        <w:t>Federal Skilled Trades</w:t>
      </w:r>
      <w:r>
        <w:t xml:space="preserve"> (FST), richtet sich an Handwerksberufe mit Jobangebot oder kanadischem Befähigungsnachweis und spielt für die meisten Ingenieurs- und Wissenschaftsberufe kaum eine Rolle.</w:t>
      </w:r>
    </w:p>
    <w:p w14:paraId="70A4F83B" w14:textId="77777777" w:rsidR="00C1548D" w:rsidRDefault="009B1B4B">
      <w:pPr>
        <w:spacing w:after="140"/>
      </w:pPr>
      <w:r>
        <w:t xml:space="preserve">Der Vergleich mit Deutschland hilft beim Einordnen. Die Blaue Karte EU verlangt einen anerkannten Abschluss, ein Jobangebot und ein Mindestgehalt –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w:t>
      </w:r>
      <w:r>
        <w:lastRenderedPageBreak/>
        <w:t>etwas tun musst – bis sich deine Angaben ändern (neuer Sprachtest, neuer Job, ein weiteres Lebensjahr, das gegen dich zählt).</w:t>
      </w:r>
    </w:p>
    <w:p w14:paraId="70A4F83C" w14:textId="77777777" w:rsidR="00C1548D" w:rsidRDefault="009B1B4B">
      <w:pPr>
        <w:pStyle w:val="Heading3"/>
        <w:keepNext/>
        <w:jc w:val="center"/>
      </w:pPr>
      <w:r>
        <w:rPr>
          <w:rFonts w:ascii="Amazon Ember" w:eastAsia="Amazon Ember" w:hAnsi="Amazon Ember" w:cs="Amazon Ember"/>
          <w:color w:val="0000FF"/>
          <w:sz w:val="36"/>
          <w:szCs w:val="36"/>
        </w:rPr>
        <w:t>Der Umweg über ein Arbeitsvisum: TFWP und IMP</w:t>
      </w:r>
    </w:p>
    <w:p w14:paraId="70A4F83D" w14:textId="77777777" w:rsidR="00C1548D" w:rsidRDefault="009B1B4B">
      <w:pPr>
        <w:spacing w:after="140"/>
      </w:pPr>
      <w:r>
        <w:t xml:space="preserve">Nicht jeder Weg nach Kanada führt zuerst über Express Entry. Wer schneller einreisen will oder noch nicht genug CRS-Punkte hat, kann über ein befristetes Arbeitsvisum vorgehen – und sich die kanadische Erfahrung später für die Canadian Experience Class oder eine Provinznominierung anrechnen lassen. Kanada trennt befristete Arbeitserlaubnisse in zwei Schienen. Das </w:t>
      </w:r>
      <w:r>
        <w:rPr>
          <w:i/>
          <w:iCs/>
        </w:rPr>
        <w:t>Temporary Foreign Worker Program</w:t>
      </w:r>
      <w:r>
        <w:t xml:space="preserve"> (TFWP) verlangt vom kanadischen Arbeitgeber vorab eine positive </w:t>
      </w:r>
      <w:r>
        <w:rPr>
          <w:i/>
          <w:iCs/>
        </w:rPr>
        <w:t>Labour Market Impact Assessment</w:t>
      </w:r>
      <w:r>
        <w:t xml:space="preserve"> (LMIA, eine Arbeitsmarktprüfung), den behördlichen Nachweis, dass keine Kanadierin, kein Kanadier und keine bereits im Land lebende Person für die Stelle verfügbar ist. Die LMIA-Gebühr von 1.000 CAD je Stelle trägt allein der Arbeitgeber, nicht erstattungsfähig; die Bearbeitung dauert je nach Kategorie höchst unterschiedlich lang, von rund zehn Werktagen (Global Talent Stream) bis zu etwa 88 Werktagen bei Standardanträgen im hohen Lohnsegment.</w:t>
      </w:r>
    </w:p>
    <w:p w14:paraId="70A4F83E" w14:textId="77777777" w:rsidR="00C1548D" w:rsidRDefault="009B1B4B">
      <w:pPr>
        <w:spacing w:after="140"/>
      </w:pPr>
      <w:r>
        <w:t xml:space="preserve">Das </w:t>
      </w:r>
      <w:r>
        <w:rPr>
          <w:i/>
          <w:iCs/>
        </w:rPr>
        <w:t>International Mobility Program</w:t>
      </w:r>
      <w:r>
        <w:t xml:space="preserve"> (IMP) befreit von dieser Pflicht, wenn die Stelle einen breiteren wirtschaftlichen, kulturellen oder reziproken Nutzen für Kanada hat. Für deutsche Bewerberinnen und Bewerber ist hier vor allem eine Kategorie interessant: Das Handelsabkommen </w:t>
      </w:r>
      <w:r>
        <w:rPr>
          <w:i/>
          <w:iCs/>
        </w:rPr>
        <w:t>CETA</w:t>
      </w:r>
      <w:r>
        <w:t xml:space="preserve"> (das Freihandelsabkommen zwischen der EU und Kanada) erlaubt bestimmten Berufsgruppen – etwa in Management- oder Spezialistenfunktionen – ein LMIA-freies Arbeitsvisum, sofern die Voraussetzungen des Abkommens erfüllt sind. Auch konzerninterne Versetzungen (</w:t>
      </w:r>
      <w:r>
        <w:rPr>
          <w:i/>
          <w:iCs/>
        </w:rPr>
        <w:t>Intra-Company Transfer</w:t>
      </w:r>
      <w:r>
        <w:t>, ICT) laufen über das IMP, ebenso das Post-Graduation Work Permit für Absolventinnen und Absolventen kanadischer Hochschulen.</w:t>
      </w:r>
    </w:p>
    <w:p w14:paraId="70A4F83F" w14:textId="77777777" w:rsidR="00C1548D" w:rsidRDefault="009B1B4B">
      <w:pPr>
        <w:spacing w:after="140"/>
      </w:pPr>
      <w:r>
        <w:lastRenderedPageBreak/>
        <w:t>Seit Februar 2026 prüft IRCC einige dieser LMIA-freien Kategorien deutlich strenger: Bei konzerninternen Versetzungen muss die Muttergesellschaft inzwischen eine umsatzerzielende Geschäftstätigkeit in mindestens zwei Ländern nachweisen; eine reine kanadische Neugründung ohne bestehendes Auslandsgeschäft qualifiziert nicht mehr. Ein Standard-Arbeitsvisum kostet 155 CAD je Person (inklusive Verlängerungen), ein offenes, nicht arbeitgebergebundenes Arbeitsvisum zusätzlich 100 CAD Zuschlag.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4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840" w14:textId="77777777" w:rsidR="00C1548D" w:rsidRDefault="009B1B4B">
            <w:pPr>
              <w:keepNext/>
              <w:spacing w:after="70" w:line="240" w:lineRule="auto"/>
            </w:pPr>
            <w:r>
              <w:rPr>
                <w:b/>
                <w:bCs/>
                <w:color w:val="9B2C2C"/>
                <w:spacing w:val="24"/>
                <w:sz w:val="16"/>
                <w:szCs w:val="16"/>
              </w:rPr>
              <w:t>ACHTUNG</w:t>
            </w:r>
          </w:p>
          <w:p w14:paraId="70A4F841" w14:textId="77777777" w:rsidR="00C1548D" w:rsidRDefault="009B1B4B">
            <w:pPr>
              <w:spacing w:after="80" w:line="264" w:lineRule="auto"/>
            </w:pPr>
            <w:r>
              <w:rPr>
                <w:sz w:val="20"/>
                <w:szCs w:val="20"/>
              </w:rPr>
              <w:t>Ein Arbeitsvisum über TFWP oder IMP ist immer befristet und meist an einen einzigen Arbeitgeber gebunden. Es ersetzt keinen PR-Antrag – wer nicht rechtzeitig einen Anschlussweg einleitet (CEC, Provinznominierung, eine neue Express-Entry-Runde), muss Kanada nach Ablauf des Visums wieder verlassen.</w:t>
            </w:r>
          </w:p>
        </w:tc>
      </w:tr>
    </w:tbl>
    <w:p w14:paraId="70A4F843" w14:textId="77777777" w:rsidR="00C1548D" w:rsidRDefault="00C1548D">
      <w:pPr>
        <w:spacing w:line="220" w:lineRule="exact"/>
      </w:pPr>
    </w:p>
    <w:p w14:paraId="70A4F844" w14:textId="77777777" w:rsidR="00C1548D" w:rsidRDefault="009B1B4B">
      <w:pPr>
        <w:pStyle w:val="Heading3"/>
        <w:keepNext/>
        <w:jc w:val="center"/>
      </w:pPr>
      <w:r>
        <w:rPr>
          <w:rFonts w:ascii="Amazon Ember" w:eastAsia="Amazon Ember" w:hAnsi="Amazon Ember" w:cs="Amazon Ember"/>
          <w:color w:val="0000FF"/>
          <w:sz w:val="36"/>
          <w:szCs w:val="36"/>
        </w:rPr>
        <w:t>Der CRS-Score: was wirklich zählt</w:t>
      </w:r>
    </w:p>
    <w:p w14:paraId="70A4F845" w14:textId="77777777" w:rsidR="00C1548D" w:rsidRDefault="009B1B4B">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w:t>
      </w:r>
      <w:r>
        <w:t>ximal sind 1.200 Punkte erreichbar, real bewegen sich die meisten Profile deutscher Fachkräfte irgendwo zwischen 350 und 480 – abhängig vor allem von Alter, Sprache und Bildungsniveau.</w:t>
      </w:r>
    </w:p>
    <w:p w14:paraId="70A4F846" w14:textId="77777777" w:rsidR="00C1548D" w:rsidRDefault="009B1B4B">
      <w:pPr>
        <w:spacing w:after="140"/>
      </w:pPr>
      <w:r>
        <w:t xml:space="preserve">Den größten Sprung bringen die Zusatzpunkte: eine Nominierung durch eine Provinz (plus 600 Punkte, praktisch eine Einladungsgarantie), gute Französischkenntnisse, ein in Kanada erworbener Studienabschluss oder ein Geschwisterteil mit </w:t>
      </w:r>
      <w:r>
        <w:lastRenderedPageBreak/>
        <w:t>kanadischer Staatsbürgerschaft oder PR-Status, das in Kanada lebt. Ein bloßes Jobangebot bringt dagegen seit einer Regeländerung vom 25. März 2025 im CRS selbst keine Zusatzpunkte mehr – wertvoll bleibt es trotzdem, weil es andere Wege wie die Canadian Experience Class oder ein Arbeitgeber-Sponsoring eröffnet. Wer keinen dieser Zusatzpunkte mitbringt, ist auf einen guten Grundscore angewiesen – und der hängt stärker vom Alter ab, als viele erwarten: Die volle Alterspunktzahl gibt es nur bis Anfang 30, danac</w:t>
      </w:r>
      <w:r>
        <w:t>h sinkt sie schrittweise.</w:t>
      </w:r>
    </w:p>
    <w:p w14:paraId="70A4F847" w14:textId="77777777" w:rsidR="00C1548D" w:rsidRDefault="009B1B4B">
      <w:pPr>
        <w:spacing w:after="140"/>
      </w:pPr>
      <w:r>
        <w:t>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deutschen Bewerberinnen und Bewerber ohne Kanada-Bezug ist genau dieser Block oft der Hebel, der zwischen einem knapp nicht au</w:t>
      </w:r>
      <w:r>
        <w:t>sreichenden und einem soliden Score entscheidet.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4A"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848" w14:textId="77777777" w:rsidR="00C1548D" w:rsidRDefault="009B1B4B">
            <w:pPr>
              <w:keepNext/>
              <w:spacing w:after="70" w:line="240" w:lineRule="auto"/>
            </w:pPr>
            <w:r>
              <w:rPr>
                <w:b/>
                <w:bCs/>
                <w:color w:val="2F6B3B"/>
                <w:spacing w:val="24"/>
                <w:sz w:val="16"/>
                <w:szCs w:val="16"/>
              </w:rPr>
              <w:t>SPARTIPP</w:t>
            </w:r>
          </w:p>
          <w:p w14:paraId="70A4F849" w14:textId="77777777" w:rsidR="00C1548D" w:rsidRDefault="009B1B4B">
            <w:pPr>
              <w:spacing w:after="80" w:line="264" w:lineRule="auto"/>
            </w:pPr>
            <w:r>
              <w:rPr>
                <w:sz w:val="20"/>
                <w:szCs w:val="20"/>
              </w:rPr>
              <w:t xml:space="preserve">Wähle den Sprachtest strategisch. </w:t>
            </w:r>
            <w:r>
              <w:rPr>
                <w:i/>
                <w:iCs/>
                <w:sz w:val="20"/>
                <w:szCs w:val="20"/>
              </w:rPr>
              <w:t>CELPIP-General</w:t>
            </w:r>
            <w:r>
              <w:rPr>
                <w:sz w:val="20"/>
                <w:szCs w:val="20"/>
              </w:rPr>
              <w:t xml:space="preserve"> rechnet eins zu eins in CLB-Stufen um (CELPIP 7 in einer Fertigkeit ergibt CLB 7 in eben dieser Fertigkeit), planbar und ohne Überraschungen. </w:t>
            </w:r>
            <w:r>
              <w:rPr>
                <w:i/>
                <w:iCs/>
                <w:sz w:val="20"/>
                <w:szCs w:val="20"/>
              </w:rPr>
              <w:t>IELTS General Training</w:t>
            </w:r>
            <w:r>
              <w:rPr>
                <w:sz w:val="20"/>
                <w:szCs w:val="20"/>
              </w:rPr>
              <w:t xml:space="preserve"> staffelt dagegen pro Fertigkeit unterschiedlich: Ein Hörverstehen von 6,5 kann bereits CLB 7 ergeben, ein Leseverständnis von 6,5 dagegen erst CLB 8 verlangen. Wer knapp an einer Schwelle liegt, sollte beide Testformate vergleichen, bevor er einen bucht – ein zweiter Testtermin kostet mehr Zeit und Geld als ein Blick in die Umrechnungstabelle vorher.</w:t>
            </w:r>
          </w:p>
        </w:tc>
      </w:tr>
    </w:tbl>
    <w:p w14:paraId="70A4F84B" w14:textId="77777777" w:rsidR="00C1548D" w:rsidRDefault="00C1548D">
      <w:pPr>
        <w:spacing w:line="220" w:lineRule="exact"/>
      </w:pPr>
    </w:p>
    <w:p w14:paraId="70A4F84C" w14:textId="77777777" w:rsidR="00C1548D" w:rsidRDefault="009B1B4B">
      <w:pPr>
        <w:pStyle w:val="Heading3"/>
        <w:keepNext/>
        <w:jc w:val="center"/>
      </w:pPr>
      <w:r>
        <w:rPr>
          <w:rFonts w:ascii="Amazon Ember" w:eastAsia="Amazon Ember" w:hAnsi="Amazon Ember" w:cs="Amazon Ember"/>
          <w:color w:val="0000FF"/>
          <w:sz w:val="36"/>
          <w:szCs w:val="36"/>
        </w:rPr>
        <w:lastRenderedPageBreak/>
        <w:t>Der Verlauf 2026: Cutoffs und Kategorien</w:t>
      </w:r>
    </w:p>
    <w:p w14:paraId="70A4F84D" w14:textId="77777777" w:rsidR="00C1548D" w:rsidRDefault="009B1B4B">
      <w:pPr>
        <w:spacing w:after="140"/>
      </w:pPr>
      <w:r>
        <w:t>Seit 2023 zieht IRCC nicht mehr nur breite „All-Program“-Runden, sondern auch gezielte, kategoriebasierte Ziehungen für Berufsfelder, die Kanada besonders braucht. 2026 liefen zehn solcher Kategorien parallel: Französisch, Gesundheit und Soziales, MINT (Wissenschaft, Technik, Ingenieurwesen, Mathematik), Handwerk, Bildung, Transport, Ärztinnen und Ärzte mit kanadischer Erfahrung, Senior Manager mit kanadischer Erfahrung, Forschende mit kanadischer Erfahrung sowie qualifizierte Militärangehörige. Wer in eine</w:t>
      </w:r>
      <w:r>
        <w:t xml:space="preserve"> dieser Kategorien passt, konkurriert nicht mehr im großen Pool, sondern in einem viel kleineren.</w:t>
      </w:r>
    </w:p>
    <w:p w14:paraId="70A4F84E" w14:textId="77777777" w:rsidR="00C1548D" w:rsidRDefault="009B1B4B">
      <w:pPr>
        <w:spacing w:after="140"/>
      </w:pPr>
      <w:r>
        <w:t>Der Unterschied ist erheblich:</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7"/>
        <w:gridCol w:w="1279"/>
        <w:gridCol w:w="2594"/>
      </w:tblGrid>
      <w:tr w:rsidR="00C1548D" w14:paraId="70A4F852" w14:textId="77777777">
        <w:tblPrEx>
          <w:tblCellMar>
            <w:top w:w="0" w:type="dxa"/>
            <w:bottom w:w="0" w:type="dxa"/>
          </w:tblCellMar>
        </w:tblPrEx>
        <w:trPr>
          <w:cantSplit/>
          <w:tblHeader/>
        </w:trPr>
        <w:tc>
          <w:tcPr>
            <w:tcW w:w="260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84F" w14:textId="77777777" w:rsidR="00C1548D" w:rsidRDefault="009B1B4B">
            <w:pPr>
              <w:spacing w:line="250" w:lineRule="auto"/>
            </w:pPr>
            <w:r>
              <w:rPr>
                <w:b/>
                <w:bCs/>
                <w:sz w:val="18"/>
                <w:szCs w:val="18"/>
              </w:rPr>
              <w:t>Kategorie</w:t>
            </w:r>
          </w:p>
        </w:tc>
        <w:tc>
          <w:tcPr>
            <w:tcW w:w="127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850" w14:textId="77777777" w:rsidR="00C1548D" w:rsidRDefault="009B1B4B">
            <w:pPr>
              <w:spacing w:line="250" w:lineRule="auto"/>
            </w:pPr>
            <w:r>
              <w:rPr>
                <w:b/>
                <w:bCs/>
                <w:sz w:val="18"/>
                <w:szCs w:val="18"/>
              </w:rPr>
              <w:t>CRS-Cutoff 2026</w:t>
            </w:r>
          </w:p>
        </w:tc>
        <w:tc>
          <w:tcPr>
            <w:tcW w:w="259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851" w14:textId="77777777" w:rsidR="00C1548D" w:rsidRDefault="009B1B4B">
            <w:pPr>
              <w:spacing w:line="250" w:lineRule="auto"/>
            </w:pPr>
            <w:r>
              <w:rPr>
                <w:b/>
                <w:bCs/>
                <w:sz w:val="18"/>
                <w:szCs w:val="18"/>
              </w:rPr>
              <w:t>Beispielrunde</w:t>
            </w:r>
          </w:p>
        </w:tc>
      </w:tr>
      <w:tr w:rsidR="00C1548D" w14:paraId="70A4F856" w14:textId="77777777">
        <w:tblPrEx>
          <w:tblCellMar>
            <w:top w:w="0" w:type="dxa"/>
            <w:bottom w:w="0" w:type="dxa"/>
          </w:tblCellMar>
        </w:tblPrEx>
        <w:trPr>
          <w:cantSplit/>
        </w:trPr>
        <w:tc>
          <w:tcPr>
            <w:tcW w:w="26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53" w14:textId="77777777" w:rsidR="00C1548D" w:rsidRDefault="009B1B4B">
            <w:pPr>
              <w:spacing w:line="250" w:lineRule="auto"/>
            </w:pPr>
            <w:r>
              <w:rPr>
                <w:sz w:val="18"/>
                <w:szCs w:val="18"/>
              </w:rPr>
              <w:t>Allgemeine Runden</w:t>
            </w:r>
          </w:p>
        </w:tc>
        <w:tc>
          <w:tcPr>
            <w:tcW w:w="1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54" w14:textId="77777777" w:rsidR="00C1548D" w:rsidRDefault="009B1B4B">
            <w:pPr>
              <w:spacing w:line="250" w:lineRule="auto"/>
            </w:pPr>
            <w:r>
              <w:rPr>
                <w:sz w:val="18"/>
                <w:szCs w:val="18"/>
              </w:rPr>
              <w:t>480–530</w:t>
            </w:r>
          </w:p>
        </w:tc>
        <w:tc>
          <w:tcPr>
            <w:tcW w:w="2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55" w14:textId="77777777" w:rsidR="00C1548D" w:rsidRDefault="009B1B4B">
            <w:pPr>
              <w:spacing w:line="250" w:lineRule="auto"/>
            </w:pPr>
            <w:r>
              <w:rPr>
                <w:sz w:val="18"/>
                <w:szCs w:val="18"/>
              </w:rPr>
              <w:t>laufend</w:t>
            </w:r>
          </w:p>
        </w:tc>
      </w:tr>
      <w:tr w:rsidR="00C1548D" w14:paraId="70A4F85A" w14:textId="77777777">
        <w:tblPrEx>
          <w:tblCellMar>
            <w:top w:w="0" w:type="dxa"/>
            <w:bottom w:w="0" w:type="dxa"/>
          </w:tblCellMar>
        </w:tblPrEx>
        <w:trPr>
          <w:cantSplit/>
        </w:trPr>
        <w:tc>
          <w:tcPr>
            <w:tcW w:w="26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57" w14:textId="77777777" w:rsidR="00C1548D" w:rsidRDefault="009B1B4B">
            <w:pPr>
              <w:spacing w:line="250" w:lineRule="auto"/>
            </w:pPr>
            <w:r>
              <w:rPr>
                <w:sz w:val="18"/>
                <w:szCs w:val="18"/>
              </w:rPr>
              <w:t>CEC</w:t>
            </w:r>
          </w:p>
        </w:tc>
        <w:tc>
          <w:tcPr>
            <w:tcW w:w="1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58" w14:textId="77777777" w:rsidR="00C1548D" w:rsidRDefault="009B1B4B">
            <w:pPr>
              <w:spacing w:line="250" w:lineRule="auto"/>
            </w:pPr>
            <w:r>
              <w:rPr>
                <w:sz w:val="18"/>
                <w:szCs w:val="18"/>
              </w:rPr>
              <w:t>507–521</w:t>
            </w:r>
          </w:p>
        </w:tc>
        <w:tc>
          <w:tcPr>
            <w:tcW w:w="2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59" w14:textId="77777777" w:rsidR="00C1548D" w:rsidRDefault="009B1B4B">
            <w:pPr>
              <w:spacing w:line="250" w:lineRule="auto"/>
            </w:pPr>
            <w:r>
              <w:rPr>
                <w:sz w:val="18"/>
                <w:szCs w:val="18"/>
              </w:rPr>
              <w:t>15.09.2026: 519</w:t>
            </w:r>
          </w:p>
        </w:tc>
      </w:tr>
      <w:tr w:rsidR="00C1548D" w14:paraId="70A4F85E" w14:textId="77777777">
        <w:tblPrEx>
          <w:tblCellMar>
            <w:top w:w="0" w:type="dxa"/>
            <w:bottom w:w="0" w:type="dxa"/>
          </w:tblCellMar>
        </w:tblPrEx>
        <w:trPr>
          <w:cantSplit/>
        </w:trPr>
        <w:tc>
          <w:tcPr>
            <w:tcW w:w="26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5B" w14:textId="77777777" w:rsidR="00C1548D" w:rsidRDefault="009B1B4B">
            <w:pPr>
              <w:spacing w:line="250" w:lineRule="auto"/>
            </w:pPr>
            <w:r>
              <w:rPr>
                <w:sz w:val="18"/>
                <w:szCs w:val="18"/>
              </w:rPr>
              <w:t>Gesundheit/Soziales</w:t>
            </w:r>
          </w:p>
        </w:tc>
        <w:tc>
          <w:tcPr>
            <w:tcW w:w="1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5C" w14:textId="77777777" w:rsidR="00C1548D" w:rsidRDefault="009B1B4B">
            <w:pPr>
              <w:spacing w:line="250" w:lineRule="auto"/>
            </w:pPr>
            <w:r>
              <w:rPr>
                <w:sz w:val="18"/>
                <w:szCs w:val="18"/>
              </w:rPr>
              <w:t>ca. 475</w:t>
            </w:r>
          </w:p>
        </w:tc>
        <w:tc>
          <w:tcPr>
            <w:tcW w:w="2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5D" w14:textId="77777777" w:rsidR="00C1548D" w:rsidRDefault="009B1B4B">
            <w:pPr>
              <w:spacing w:line="250" w:lineRule="auto"/>
            </w:pPr>
            <w:r>
              <w:rPr>
                <w:sz w:val="18"/>
                <w:szCs w:val="18"/>
              </w:rPr>
              <w:t>04.09.2026: 3.500 Einladungen</w:t>
            </w:r>
          </w:p>
        </w:tc>
      </w:tr>
      <w:tr w:rsidR="00C1548D" w14:paraId="70A4F862" w14:textId="77777777">
        <w:tblPrEx>
          <w:tblCellMar>
            <w:top w:w="0" w:type="dxa"/>
            <w:bottom w:w="0" w:type="dxa"/>
          </w:tblCellMar>
        </w:tblPrEx>
        <w:trPr>
          <w:cantSplit/>
        </w:trPr>
        <w:tc>
          <w:tcPr>
            <w:tcW w:w="26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5F" w14:textId="77777777" w:rsidR="00C1548D" w:rsidRDefault="009B1B4B">
            <w:pPr>
              <w:spacing w:line="250" w:lineRule="auto"/>
            </w:pPr>
            <w:r>
              <w:rPr>
                <w:sz w:val="18"/>
                <w:szCs w:val="18"/>
              </w:rPr>
              <w:t>Französisch</w:t>
            </w:r>
          </w:p>
        </w:tc>
        <w:tc>
          <w:tcPr>
            <w:tcW w:w="1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60" w14:textId="77777777" w:rsidR="00C1548D" w:rsidRDefault="009B1B4B">
            <w:pPr>
              <w:spacing w:line="250" w:lineRule="auto"/>
            </w:pPr>
            <w:r>
              <w:rPr>
                <w:sz w:val="18"/>
                <w:szCs w:val="18"/>
              </w:rPr>
              <w:t>382–419</w:t>
            </w:r>
          </w:p>
        </w:tc>
        <w:tc>
          <w:tcPr>
            <w:tcW w:w="2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61" w14:textId="77777777" w:rsidR="00C1548D" w:rsidRDefault="009B1B4B">
            <w:pPr>
              <w:spacing w:line="250" w:lineRule="auto"/>
            </w:pPr>
            <w:r>
              <w:rPr>
                <w:sz w:val="18"/>
                <w:szCs w:val="18"/>
              </w:rPr>
              <w:t>19.08.2026: Tiefstwert 382</w:t>
            </w:r>
          </w:p>
        </w:tc>
      </w:tr>
      <w:tr w:rsidR="00C1548D" w14:paraId="70A4F866" w14:textId="77777777">
        <w:tblPrEx>
          <w:tblCellMar>
            <w:top w:w="0" w:type="dxa"/>
            <w:bottom w:w="0" w:type="dxa"/>
          </w:tblCellMar>
        </w:tblPrEx>
        <w:trPr>
          <w:cantSplit/>
        </w:trPr>
        <w:tc>
          <w:tcPr>
            <w:tcW w:w="26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63" w14:textId="77777777" w:rsidR="00C1548D" w:rsidRDefault="009B1B4B">
            <w:pPr>
              <w:spacing w:line="250" w:lineRule="auto"/>
            </w:pPr>
            <w:r>
              <w:rPr>
                <w:sz w:val="18"/>
                <w:szCs w:val="18"/>
              </w:rPr>
              <w:t>Ärztinnen/Ärzte (kanad. Erfahrung)</w:t>
            </w:r>
          </w:p>
        </w:tc>
        <w:tc>
          <w:tcPr>
            <w:tcW w:w="1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64" w14:textId="77777777" w:rsidR="00C1548D" w:rsidRDefault="009B1B4B">
            <w:pPr>
              <w:spacing w:line="250" w:lineRule="auto"/>
            </w:pPr>
            <w:r>
              <w:rPr>
                <w:sz w:val="18"/>
                <w:szCs w:val="18"/>
              </w:rPr>
              <w:t>169–198</w:t>
            </w:r>
          </w:p>
        </w:tc>
        <w:tc>
          <w:tcPr>
            <w:tcW w:w="2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65" w14:textId="77777777" w:rsidR="00C1548D" w:rsidRDefault="009B1B4B">
            <w:pPr>
              <w:spacing w:line="250" w:lineRule="auto"/>
            </w:pPr>
            <w:r>
              <w:rPr>
                <w:sz w:val="18"/>
                <w:szCs w:val="18"/>
              </w:rPr>
              <w:t>19.02.2026: 169</w:t>
            </w:r>
          </w:p>
        </w:tc>
      </w:tr>
    </w:tbl>
    <w:p w14:paraId="70A4F867" w14:textId="77777777" w:rsidR="00C1548D" w:rsidRDefault="00C1548D">
      <w:pPr>
        <w:spacing w:line="180" w:lineRule="exact"/>
      </w:pPr>
    </w:p>
    <w:p w14:paraId="70A4F868" w14:textId="77777777" w:rsidR="00C1548D" w:rsidRDefault="009B1B4B">
      <w:pPr>
        <w:spacing w:after="140"/>
      </w:pPr>
      <w:r>
        <w:t>Verbreiteter Irrtum: Wer im Internet liest, man brauche „mindestens 500 CRS-Punkte“, verwechselt die alten, breiten Runden mit der heutigen Realität. Bei der Ärzte-Kategorie lag der Cutoff im Februar 2026 bei nur 169 Punkten – nach Sekundärquellen mit Bezug auf IRCC-Daten der niedrigste je verzeichnete Wert der Programmgeschichte. Wer zu einer eng zugeschnittenen Kategorie passt, sollte sich von hohen allgemeinen Cutoffs nicht entmutigen lassen.</w:t>
      </w:r>
    </w:p>
    <w:p w14:paraId="70A4F869" w14:textId="77777777" w:rsidR="00C1548D" w:rsidRDefault="009B1B4B">
      <w:pPr>
        <w:spacing w:after="140"/>
      </w:pPr>
      <w:r>
        <w:t xml:space="preserve">Insgesamt verschickte IRCC bis Mitte September 2026 mehr als 128.000 Einladungen seit Jahresbeginn – nach Auswertungen </w:t>
      </w:r>
      <w:r>
        <w:lastRenderedPageBreak/>
        <w:t>mehrerer Sekundärquellen, die offiziellen IRCC-Rundendaten aggregieren, ohne dass die offizielle Rundenliste für diesen Wert direkt eingesehen wurde. Nicht jede Kategorie zieht gleich oft: Die MINT-Kategorie hatte laut Berichten von September 2026 seit mehr als 28 Monaten keine eigene Ziehung mehr.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6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86A" w14:textId="77777777" w:rsidR="00C1548D" w:rsidRDefault="009B1B4B">
            <w:pPr>
              <w:keepNext/>
              <w:spacing w:after="70" w:line="240" w:lineRule="auto"/>
            </w:pPr>
            <w:r>
              <w:rPr>
                <w:b/>
                <w:bCs/>
                <w:color w:val="9B2C2C"/>
                <w:spacing w:val="24"/>
                <w:sz w:val="16"/>
                <w:szCs w:val="16"/>
              </w:rPr>
              <w:t>ACHTUNG</w:t>
            </w:r>
          </w:p>
          <w:p w14:paraId="70A4F86B" w14:textId="77777777" w:rsidR="00C1548D" w:rsidRDefault="009B1B4B">
            <w:pPr>
              <w:spacing w:after="80" w:line="264" w:lineRule="auto"/>
            </w:pPr>
            <w:r>
              <w:rPr>
                <w:sz w:val="20"/>
                <w:szCs w:val="20"/>
              </w:rPr>
              <w:t>Die MINT-Kategorie klingt für Ingenieurinnen und Informatiker vielversprechend, zieht aber laut aktuellen Berichten seit über zwei Jahren nicht eigenständig. Verlass dich nicht darauf, dass „dein“ Berufsfeld demnächst eine eigene Runde bekommt – kalkuliere mit den allgemeinen und CEC-Cutoffs als realistischer Grundlage und behandle jede Kategorie-Ziehung als willkommenen Bonus, nicht als Plan.</w:t>
            </w:r>
          </w:p>
        </w:tc>
      </w:tr>
    </w:tbl>
    <w:p w14:paraId="70A4F86D" w14:textId="77777777" w:rsidR="00C1548D" w:rsidRDefault="00C1548D">
      <w:pPr>
        <w:spacing w:line="220" w:lineRule="exact"/>
      </w:pPr>
    </w:p>
    <w:p w14:paraId="70A4F86E" w14:textId="77777777" w:rsidR="00C1548D" w:rsidRDefault="009B1B4B">
      <w:pPr>
        <w:pStyle w:val="Heading3"/>
        <w:keepNext/>
        <w:jc w:val="center"/>
      </w:pPr>
      <w:r>
        <w:rPr>
          <w:rFonts w:ascii="Amazon Ember" w:eastAsia="Amazon Ember" w:hAnsi="Amazon Ember" w:cs="Amazon Ember"/>
          <w:color w:val="0000FF"/>
          <w:sz w:val="36"/>
          <w:szCs w:val="36"/>
        </w:rPr>
        <w:t>Das Provincial Nominee Program: die zweite Schiene</w:t>
      </w:r>
    </w:p>
    <w:p w14:paraId="70A4F86F" w14:textId="77777777" w:rsidR="00C1548D" w:rsidRDefault="009B1B4B">
      <w:pPr>
        <w:spacing w:after="140"/>
      </w:pPr>
      <w:r>
        <w:t>Neben dem Bundesweg nominiert jede Provinz und jedes Territorium außer Québec eigenständig Kandidaten für die PR – Québec betreibt ein vollständig eigenes System (Arrima), das hier nicht behandelt wird. Eine Nominierung ist keine Garantie für die PR selbst, aber praktisch ein Türöffner, der 600 zusätzliche CRS-Punkte bringt und die nächste Einladung so gut wie sicher macht. Für den Levels Plan 2026–2028 hat Kanada die PNP-Zielzahl auf 91.500 Personen für 2026 angehoben (plus 66 % gegenüber dem vorherigen Pl</w:t>
      </w:r>
      <w:r>
        <w:t>an) und damit das PNP zum zweitgrößten Wirtschaftskanal nach den föderalen Programmen für hochqualifizierte Fachkräfte gemacht.</w:t>
      </w:r>
    </w:p>
    <w:p w14:paraId="70A4F870" w14:textId="77777777" w:rsidR="00C1548D" w:rsidRDefault="009B1B4B">
      <w:pPr>
        <w:spacing w:after="140"/>
      </w:pPr>
      <w:r>
        <w:t xml:space="preserve">Der Weg zur Nominierung läuft meist über eine </w:t>
      </w:r>
      <w:r>
        <w:rPr>
          <w:i/>
          <w:iCs/>
        </w:rPr>
        <w:t>Expression of Interest</w:t>
      </w:r>
      <w:r>
        <w:t xml:space="preserve">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w:t>
      </w:r>
      <w:r>
        <w:lastRenderedPageBreak/>
        <w:t>sofort gutschreibt, sowie eine „Base“-Nominierung außerhalb von Express Entry, die zwar keine Kanada-Erfahrung oder hohen Sprachtest verlangt, dafür aber ohne CRS-Bonus auskommt und meist deutlic</w:t>
      </w:r>
      <w:r>
        <w:t>h länger bis zur PR braucht. Für die meisten deutschen Fachkräfte mit ordentlichem Englisch ist der Enhanced-Weg über Express Entry der planbarere.</w:t>
      </w:r>
    </w:p>
    <w:p w14:paraId="70A4F871" w14:textId="77777777" w:rsidR="00C1548D" w:rsidRDefault="009B1B4B">
      <w:pPr>
        <w:spacing w:after="140"/>
      </w:pPr>
      <w:r>
        <w:t>Die Verfahren der Provinzen unterscheiden sich zudem stark in Kosten und Ablauf, wie die beiden größten Provinzen zeigen.</w:t>
      </w:r>
    </w:p>
    <w:p w14:paraId="70A4F872" w14:textId="77777777" w:rsidR="00C1548D" w:rsidRDefault="009B1B4B">
      <w:pPr>
        <w:pStyle w:val="Heading4"/>
        <w:keepNext/>
        <w:jc w:val="center"/>
      </w:pPr>
      <w:r>
        <w:rPr>
          <w:rFonts w:ascii="Amazon Ember" w:eastAsia="Amazon Ember" w:hAnsi="Amazon Ember" w:cs="Amazon Ember"/>
          <w:color w:val="0000FF"/>
          <w:sz w:val="36"/>
          <w:szCs w:val="36"/>
        </w:rPr>
        <w:t>Ontario (OINP)</w:t>
      </w:r>
    </w:p>
    <w:p w14:paraId="70A4F873" w14:textId="77777777" w:rsidR="00C1548D" w:rsidRDefault="009B1B4B">
      <w:pPr>
        <w:spacing w:after="140"/>
      </w:pPr>
      <w:r>
        <w:t>Ontario hat sein Programm 2026 grundlegend vereinfacht: Acht frühere Einzelströme wurden durch den neuen, arbeitgebergeführten „Ontario Workforce Priority Stream“ ersetzt. Die Antragsgebühr liegt bei 1.500 CAD, nicht erstattungsfähig. Ein mit Express Entry verknüpfter Fall summiert sich inklusive der föderalen Gebühren (1.675 CAD) und der Provinzgebühr auf rund 3.175 CAD – noch vor Sprachtest, ECA, medizinischer Untersuchung, Führungszeugnis und Übersetzungskosten.</w:t>
      </w:r>
    </w:p>
    <w:p w14:paraId="70A4F874" w14:textId="77777777" w:rsidR="00C1548D" w:rsidRDefault="009B1B4B">
      <w:pPr>
        <w:pStyle w:val="Heading4"/>
        <w:keepNext/>
        <w:jc w:val="center"/>
      </w:pPr>
      <w:r>
        <w:rPr>
          <w:rFonts w:ascii="Amazon Ember" w:eastAsia="Amazon Ember" w:hAnsi="Amazon Ember" w:cs="Amazon Ember"/>
          <w:color w:val="0000FF"/>
          <w:sz w:val="36"/>
          <w:szCs w:val="36"/>
        </w:rPr>
        <w:t>British Columbia (BC PNP)</w:t>
      </w:r>
    </w:p>
    <w:p w14:paraId="70A4F875" w14:textId="77777777" w:rsidR="00C1548D" w:rsidRDefault="009B1B4B">
      <w:pPr>
        <w:spacing w:after="140"/>
      </w:pPr>
      <w:r>
        <w:t>British Columbia hat seine Gebühren zum 22. Januar 2026 angehoben: Die Antragsgebühr für die Kategorie Skills Immigration liegt seither bei 1.750 CAD, in bestimmten Strömen (Skilled Worker, Entry Level &amp; Semi-Skilled, Health Authority) bei bis zu 2.000 CAD. British Columbia ist besonders für Fachkräfte in Technologie- und Gesundheitsberufen im Großraum Vancouver attraktiv, verlangt aber wie Ontario meist ein konkretes Jobangebot eines Arbeitgebers in der Provinz.</w:t>
      </w:r>
    </w:p>
    <w:p w14:paraId="70A4F876" w14:textId="77777777" w:rsidR="00C1548D" w:rsidRDefault="009B1B4B">
      <w:pPr>
        <w:spacing w:after="140"/>
      </w:pPr>
      <w:r>
        <w:t xml:space="preserve">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w:t>
      </w:r>
      <w:r>
        <w:lastRenderedPageBreak/>
        <w:t>orientieren. Die Details sprengen den Rahmen dieses Kapitels; wer eine bestimmte Provinz ins Auge fasst, sollte deren Programm gesondert und aktuell prüfen, statt sich auf Erfahrungsberichte aus Foren zu verlassen.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7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877" w14:textId="77777777" w:rsidR="00C1548D" w:rsidRDefault="009B1B4B">
            <w:pPr>
              <w:keepNext/>
              <w:spacing w:after="70" w:line="240" w:lineRule="auto"/>
            </w:pPr>
            <w:r>
              <w:rPr>
                <w:b/>
                <w:bCs/>
                <w:color w:val="9B2C2C"/>
                <w:spacing w:val="24"/>
                <w:sz w:val="16"/>
                <w:szCs w:val="16"/>
              </w:rPr>
              <w:t>ACHTUNG</w:t>
            </w:r>
          </w:p>
          <w:p w14:paraId="70A4F878" w14:textId="77777777" w:rsidR="00C1548D" w:rsidRDefault="009B1B4B">
            <w:pPr>
              <w:spacing w:after="80" w:line="264" w:lineRule="auto"/>
            </w:pPr>
            <w:r>
              <w:rPr>
                <w:sz w:val="20"/>
                <w:szCs w:val="20"/>
              </w:rPr>
              <w:t>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 und meist auch die Gebühr.</w:t>
            </w:r>
          </w:p>
        </w:tc>
      </w:tr>
    </w:tbl>
    <w:p w14:paraId="70A4F87A" w14:textId="77777777" w:rsidR="00C1548D" w:rsidRDefault="00C1548D">
      <w:pPr>
        <w:spacing w:line="220" w:lineRule="exact"/>
      </w:pPr>
    </w:p>
    <w:p w14:paraId="70A4F87B" w14:textId="77777777" w:rsidR="00C1548D" w:rsidRDefault="009B1B4B">
      <w:pPr>
        <w:pStyle w:val="Heading3"/>
        <w:keepNext/>
        <w:jc w:val="center"/>
      </w:pPr>
      <w:r>
        <w:rPr>
          <w:rFonts w:ascii="Amazon Ember" w:eastAsia="Amazon Ember" w:hAnsi="Amazon Ember" w:cs="Amazon Ember"/>
          <w:color w:val="0000FF"/>
          <w:sz w:val="36"/>
          <w:szCs w:val="36"/>
        </w:rPr>
        <w:t>Was für deutsche Fachkräfte realistisch ist</w:t>
      </w:r>
    </w:p>
    <w:p w14:paraId="70A4F87C" w14:textId="77777777" w:rsidR="00C1548D" w:rsidRDefault="009B1B4B">
      <w:pPr>
        <w:spacing w:after="140"/>
      </w:pPr>
      <w:r>
        <w:t>Für gut ausgebildete deutsche Fachkräfte mit solidem Englisch, einem anerkannten Studienabschluss und mindestens einem Jahr einschlägiger Berufserfahrung ist Express Entry ein real gangbarer Weg, aber selten ein schneller. Ohne kanadische Erfahrung, ohne Jobangebot und ohne Provinznominierung bewegen sich viele Profile in einem Bereich, der bei allgemeinen Runden knapp reicht oder knapp nicht reicht – dann entscheidet häufig, ob dein Beruf gerade in einer Kategorie-Ziehung auftaucht. Wer zusätzlich Französi</w:t>
      </w:r>
      <w:r>
        <w:t>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p>
    <w:p w14:paraId="70A4F87D" w14:textId="77777777" w:rsidR="00C1548D" w:rsidRDefault="009B1B4B">
      <w:pPr>
        <w:spacing w:after="140"/>
      </w:pPr>
      <w:r>
        <w:t xml:space="preserve">Auch der Zeitrahmen gehört zur ehrlichen Bilanz. IRCC nennt für Express Entry einen Bearbeitungs-Service-Standard von sechs Monaten nach Einreichung des vollständigen PR-Antrags, seit Anfang 2022 in der Regel eingehalten. Bis zur Einladung selbst vergeht oft </w:t>
      </w:r>
      <w:r>
        <w:lastRenderedPageBreak/>
        <w:t>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 nur den zur ersten kanadischen Gehaltsabrechnung.</w:t>
      </w:r>
    </w:p>
    <w:p w14:paraId="70A4F87E" w14:textId="77777777" w:rsidR="00C1548D" w:rsidRDefault="009B1B4B">
      <w:pPr>
        <w:spacing w:after="140"/>
      </w:pPr>
      <w:r>
        <w:t>Eine zweite, oft unterschätzte Realität: Viele deutsche Fachkräfte kommen gar nicht über den direkten Express-Entry-Weg, sondern zunächst über ein befristetes, arbeitgebergebundenes Arbeitsvisum – und sammeln erst danach die kanadische Erfahrung, die CEC oder eine Provinznominierung leichter macht.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81"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87F" w14:textId="77777777" w:rsidR="00C1548D" w:rsidRDefault="009B1B4B">
            <w:pPr>
              <w:keepNext/>
              <w:spacing w:after="70" w:line="240" w:lineRule="auto"/>
            </w:pPr>
            <w:r>
              <w:rPr>
                <w:b/>
                <w:bCs/>
                <w:color w:val="4A5568"/>
                <w:spacing w:val="24"/>
                <w:sz w:val="16"/>
                <w:szCs w:val="16"/>
              </w:rPr>
              <w:t>PRAXISBEISPIEL · FIKTIV</w:t>
            </w:r>
          </w:p>
          <w:p w14:paraId="70A4F880" w14:textId="77777777" w:rsidR="00C1548D" w:rsidRDefault="009B1B4B">
            <w:pPr>
              <w:spacing w:after="80" w:line="264" w:lineRule="auto"/>
            </w:pPr>
            <w:r>
              <w:rPr>
                <w:sz w:val="20"/>
                <w:szCs w:val="20"/>
              </w:rPr>
              <w:t>Familie Ahrens (fiktiv). Markus, 40, Softwarearchitekt aus Leipzig, bringt einen Masterabschluss, CLB-8-Englisch und sieben Jahre Berufserfahrung mit – genau die Kombination, die im Skill-Transferability-Block zusätzliche Punkte bringt. Zusammen mit den Werten seiner mitreisenden Partnerin Julia, 37, Apothekerin, ergibt das einen CRS-Score, der bei den meisten allgemeinen Runden 2026 komfortabel über der Einladungsgrenze liegt. Mit Finn, 11, und Mia, 7, im Gepäck zieht die Familie nach Toronto, Ontario.</w:t>
            </w:r>
          </w:p>
        </w:tc>
      </w:tr>
    </w:tbl>
    <w:p w14:paraId="70A4F882"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85"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883" w14:textId="77777777" w:rsidR="00C1548D" w:rsidRDefault="009B1B4B">
            <w:pPr>
              <w:keepNext/>
              <w:spacing w:after="70" w:line="240" w:lineRule="auto"/>
            </w:pPr>
            <w:r>
              <w:rPr>
                <w:b/>
                <w:bCs/>
                <w:color w:val="4A5568"/>
                <w:spacing w:val="24"/>
                <w:sz w:val="16"/>
                <w:szCs w:val="16"/>
              </w:rPr>
              <w:t>PRAXISBEISPIEL · FIKTIV</w:t>
            </w:r>
          </w:p>
          <w:p w14:paraId="70A4F884" w14:textId="77777777" w:rsidR="00C1548D" w:rsidRDefault="009B1B4B">
            <w:pPr>
              <w:spacing w:after="80" w:line="264" w:lineRule="auto"/>
            </w:pPr>
            <w:r>
              <w:rPr>
                <w:sz w:val="20"/>
                <w:szCs w:val="20"/>
              </w:rPr>
              <w:t>Lukas Berger (fiktiv), 29, Öl- und Gasingenieur aus Hannover, hat parallel zum Jobangebot aus Calgary ein Express-Entry-Profil angelegt und vergleicht beide Wege. Sein Beruf taucht auf keiner aktuellen Kategorie-Liste auf, und ausgerechnet die MINT-Kategorie, die auf den ersten Blick passend wirkt, hat seit Monaten nicht gezogen. Er entscheidet sich für das LMIA-pflichtige Arbeitsvisum, lässt das Express-Entry-Profil vorerst ruhen und reist nach Alberta – nach einem Jahr kanadischer Erfahrung will er über d</w:t>
            </w:r>
            <w:r>
              <w:rPr>
                <w:sz w:val="20"/>
                <w:szCs w:val="20"/>
              </w:rPr>
              <w:t>ie Canadian Experience Class neu ansetzen, diesmal mit einer Kategorie oder Provinz im Rücken, die zu seinem Beruf passt.</w:t>
            </w:r>
          </w:p>
        </w:tc>
      </w:tr>
    </w:tbl>
    <w:p w14:paraId="70A4F886"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89"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887" w14:textId="77777777" w:rsidR="00C1548D" w:rsidRDefault="009B1B4B">
            <w:pPr>
              <w:keepNext/>
              <w:spacing w:after="70" w:line="240" w:lineRule="auto"/>
            </w:pPr>
            <w:r>
              <w:rPr>
                <w:b/>
                <w:bCs/>
                <w:color w:val="8A6212"/>
                <w:spacing w:val="24"/>
                <w:sz w:val="16"/>
                <w:szCs w:val="16"/>
              </w:rPr>
              <w:lastRenderedPageBreak/>
              <w:t>MERKE</w:t>
            </w:r>
          </w:p>
          <w:p w14:paraId="70A4F888" w14:textId="77777777" w:rsidR="00C1548D" w:rsidRDefault="009B1B4B">
            <w:pPr>
              <w:spacing w:after="80" w:line="264" w:lineRule="auto"/>
            </w:pPr>
            <w:r>
              <w:rPr>
                <w:sz w:val="20"/>
                <w:szCs w:val="20"/>
              </w:rPr>
              <w:t>Ein Work Permit ist keine PR. Es ist eine befristete, meist an einen einzigen Arbeitgeber gebundene Arbeitserlaubnis – die PR dagegen ist der unbefristete Aufenthaltsstatus, unabhängig von einem bestimmten Job. Wer über ein Arbeitsvisum einreist, hat noch keinen gesicherten Verbleib in Kanada, sondern nur einen zusätzlichen Trumpf für den späteren PR-Antrag.</w:t>
            </w:r>
          </w:p>
        </w:tc>
      </w:tr>
    </w:tbl>
    <w:p w14:paraId="70A4F88A"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8D"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88B" w14:textId="77777777" w:rsidR="00C1548D" w:rsidRDefault="009B1B4B">
            <w:pPr>
              <w:keepNext/>
              <w:spacing w:after="70" w:line="240" w:lineRule="auto"/>
            </w:pPr>
            <w:r>
              <w:rPr>
                <w:b/>
                <w:bCs/>
                <w:color w:val="6B7280"/>
                <w:spacing w:val="24"/>
                <w:sz w:val="16"/>
                <w:szCs w:val="16"/>
              </w:rPr>
              <w:t>KEIN RECHTSRAT</w:t>
            </w:r>
          </w:p>
          <w:p w14:paraId="70A4F88C" w14:textId="3105F982" w:rsidR="00C1548D" w:rsidRDefault="009B1B4B">
            <w:pPr>
              <w:spacing w:after="80" w:line="264" w:lineRule="auto"/>
            </w:pPr>
            <w:r>
              <w:rPr>
                <w:sz w:val="20"/>
                <w:szCs w:val="20"/>
              </w:rPr>
              <w:t xml:space="preserve">Dieses Kapitel erklärt Regeln und Praxis der kanadischen Einwanderung, ersetzt aber keine Beratung durch eine bei der </w:t>
            </w:r>
            <w:r>
              <w:rPr>
                <w:i/>
                <w:iCs/>
                <w:sz w:val="20"/>
                <w:szCs w:val="20"/>
              </w:rPr>
              <w:t>College of Immigration and Citizenship Consultants</w:t>
            </w:r>
            <w:r>
              <w:rPr>
                <w:sz w:val="20"/>
                <w:szCs w:val="20"/>
              </w:rPr>
              <w:t xml:space="preserve"> zugelassene Fachperson (</w:t>
            </w:r>
            <w:r>
              <w:rPr>
                <w:i/>
                <w:iCs/>
                <w:sz w:val="20"/>
                <w:szCs w:val="20"/>
              </w:rPr>
              <w:t>Regulated Canadian Immigration Consultant</w:t>
            </w:r>
            <w:r>
              <w:rPr>
                <w:sz w:val="20"/>
                <w:szCs w:val="20"/>
              </w:rPr>
              <w:t xml:space="preserve">, RCIC) oder eine Einwanderungsanwältin beziehungsweise einen Einwanderungsanwalt. Wie du eine seriöse Beratung findest und was sie kostet, steht im </w:t>
            </w:r>
            <w:hyperlink w:anchor="tka05" w:history="1">
              <w:r>
                <w:rPr>
                  <w:color w:val="0563C1"/>
                  <w:sz w:val="20"/>
                  <w:szCs w:val="20"/>
                  <w:u w:val="single"/>
                </w:rPr>
                <w:t>Kapitel zu Antrag, Kosten und Bearbeitungszeit in diesem Teil</w:t>
              </w:r>
            </w:hyperlink>
            <w:r>
              <w:rPr>
                <w:sz w:val="20"/>
                <w:szCs w:val="20"/>
              </w:rPr>
              <w:t>.</w:t>
            </w:r>
          </w:p>
        </w:tc>
      </w:tr>
    </w:tbl>
    <w:p w14:paraId="70A4F88E" w14:textId="77777777" w:rsidR="00C1548D" w:rsidRDefault="00C1548D">
      <w:pPr>
        <w:spacing w:line="220" w:lineRule="exact"/>
      </w:pPr>
    </w:p>
    <w:p w14:paraId="70A4F88F"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892"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890"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891" w14:textId="77777777" w:rsidR="00C1548D" w:rsidRDefault="009B1B4B">
            <w:pPr>
              <w:spacing w:line="250" w:lineRule="auto"/>
            </w:pPr>
            <w:r>
              <w:rPr>
                <w:b/>
                <w:bCs/>
                <w:sz w:val="18"/>
                <w:szCs w:val="18"/>
              </w:rPr>
              <w:t>Minus</w:t>
            </w:r>
          </w:p>
        </w:tc>
      </w:tr>
      <w:tr w:rsidR="00C1548D" w14:paraId="70A4F89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93" w14:textId="77777777" w:rsidR="00C1548D" w:rsidRDefault="009B1B4B">
            <w:pPr>
              <w:spacing w:line="250" w:lineRule="auto"/>
            </w:pPr>
            <w:r>
              <w:rPr>
                <w:sz w:val="18"/>
                <w:szCs w:val="18"/>
              </w:rPr>
              <w:t>Punktesystem ist transparent und öffentlich einsehbar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94" w14:textId="77777777" w:rsidR="00C1548D" w:rsidRDefault="009B1B4B">
            <w:pPr>
              <w:spacing w:line="250" w:lineRule="auto"/>
            </w:pPr>
            <w:r>
              <w:rPr>
                <w:sz w:val="18"/>
                <w:szCs w:val="18"/>
              </w:rPr>
              <w:t>Cutoffs schwanken stark und sind Monate im Voraus kaum vorhersagbar</w:t>
            </w:r>
          </w:p>
        </w:tc>
      </w:tr>
      <w:tr w:rsidR="00C1548D" w14:paraId="70A4F89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96" w14:textId="77777777" w:rsidR="00C1548D" w:rsidRDefault="009B1B4B">
            <w:pPr>
              <w:spacing w:line="250" w:lineRule="auto"/>
            </w:pPr>
            <w:r>
              <w:rPr>
                <w:sz w:val="18"/>
                <w:szCs w:val="18"/>
              </w:rPr>
              <w:t>Kategorie-Ziehungen können den Score-Bedarf drastisch senken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97" w14:textId="77777777" w:rsidR="00C1548D" w:rsidRDefault="009B1B4B">
            <w:pPr>
              <w:spacing w:line="250" w:lineRule="auto"/>
            </w:pPr>
            <w:r>
              <w:rPr>
                <w:sz w:val="18"/>
                <w:szCs w:val="18"/>
              </w:rPr>
              <w:t>Nicht jedes Berufsfeld bekommt regelmäßig eine eigene Kategorie</w:t>
            </w:r>
          </w:p>
        </w:tc>
      </w:tr>
      <w:tr w:rsidR="00C1548D" w14:paraId="70A4F89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99" w14:textId="77777777" w:rsidR="00C1548D" w:rsidRDefault="009B1B4B">
            <w:pPr>
              <w:spacing w:line="250" w:lineRule="auto"/>
            </w:pPr>
            <w:r>
              <w:rPr>
                <w:sz w:val="18"/>
                <w:szCs w:val="18"/>
              </w:rPr>
              <w:t>Provinznominierung macht die Einladung fast sicher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9A" w14:textId="77777777" w:rsidR="00C1548D" w:rsidRDefault="009B1B4B">
            <w:pPr>
              <w:spacing w:line="250" w:lineRule="auto"/>
            </w:pPr>
            <w:r>
              <w:rPr>
                <w:sz w:val="18"/>
                <w:szCs w:val="18"/>
              </w:rPr>
              <w:t>Provinzverfahren sind teuer und verlangen oft ein Jobangebot vor Ort</w:t>
            </w:r>
          </w:p>
        </w:tc>
      </w:tr>
      <w:tr w:rsidR="00C1548D" w14:paraId="70A4F89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9C" w14:textId="77777777" w:rsidR="00C1548D" w:rsidRDefault="009B1B4B">
            <w:pPr>
              <w:spacing w:line="250" w:lineRule="auto"/>
            </w:pPr>
            <w:r>
              <w:rPr>
                <w:sz w:val="18"/>
                <w:szCs w:val="18"/>
              </w:rPr>
              <w:t>Arbeitsvisum als schnellerer Zwischenschritt möglich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9D" w14:textId="77777777" w:rsidR="00C1548D" w:rsidRDefault="009B1B4B">
            <w:pPr>
              <w:spacing w:line="250" w:lineRule="auto"/>
            </w:pPr>
            <w:r>
              <w:rPr>
                <w:sz w:val="18"/>
                <w:szCs w:val="18"/>
              </w:rPr>
              <w:t>Arbeitsvisum bindet an einen Arbeitgeber und bringt noch keine PR</w:t>
            </w:r>
          </w:p>
        </w:tc>
      </w:tr>
      <w:tr w:rsidR="00C1548D" w14:paraId="70A4F8A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9F" w14:textId="77777777" w:rsidR="00C1548D" w:rsidRDefault="009B1B4B">
            <w:pPr>
              <w:spacing w:line="250" w:lineRule="auto"/>
            </w:pPr>
            <w:r>
              <w:rPr>
                <w:sz w:val="18"/>
                <w:szCs w:val="18"/>
              </w:rPr>
              <w:t>Profil bleibt zwölf Monate automatisch im Rennen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8A0" w14:textId="77777777" w:rsidR="00C1548D" w:rsidRDefault="009B1B4B">
            <w:pPr>
              <w:spacing w:line="250" w:lineRule="auto"/>
            </w:pPr>
            <w:r>
              <w:rPr>
                <w:sz w:val="18"/>
                <w:szCs w:val="18"/>
              </w:rPr>
              <w:t>Ohne Kanada-Bezug bewegt sich der Score oft im knappen Mittelfeld</w:t>
            </w:r>
          </w:p>
        </w:tc>
      </w:tr>
    </w:tbl>
    <w:p w14:paraId="70A4F8A2" w14:textId="77777777" w:rsidR="00C1548D" w:rsidRDefault="00C1548D">
      <w:pPr>
        <w:spacing w:line="180" w:lineRule="exact"/>
      </w:pPr>
    </w:p>
    <w:p w14:paraId="70A4F8A3"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8A4" w14:textId="6E73710C" w:rsidR="00C1548D" w:rsidRDefault="009B1B4B">
      <w:pPr>
        <w:spacing w:after="140"/>
      </w:pPr>
      <w:r>
        <w:t xml:space="preserve">Beginne mit der Bestandsaufnahme: Lass deinen Abschluss über eine anerkannte Stelle bewerten (ECA), bevor du dich festlegst, und </w:t>
      </w:r>
      <w:r>
        <w:lastRenderedPageBreak/>
        <w:t>mache einen Probetest bei CELPIP oder IELTS, um deine CLB-Stufe realistisch einzuschätzen. Lege dein Express-Entry-Profil auch bei einem noch unsicheren Score an –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w:t>
      </w:r>
      <w:r>
        <w:t xml:space="preserve">fragten Beruf arbeitet, sollte auch gezielt bei Arbeitgebern mit kanadischem Standort nach Sponsoring fragen – ein Arbeitsvisum über CETA oder eine konzerninterne Versetzung kann schneller zum Ziel führen als das Warten auf die nächste Runde. Die Gebühren und der Ablauf nach einer Einladung stehen im </w:t>
      </w:r>
      <w:hyperlink w:anchor="tka05" w:history="1">
        <w:r>
          <w:rPr>
            <w:color w:val="0563C1"/>
            <w:u w:val="single"/>
          </w:rPr>
          <w:t>Kapitel zu Antrag, Botschaft, Kosten und Bearbeitungszeit in diesem Teil</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AE"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8A5" w14:textId="77777777" w:rsidR="00C1548D" w:rsidRDefault="009B1B4B">
            <w:pPr>
              <w:keepNext/>
              <w:spacing w:after="70" w:line="240" w:lineRule="auto"/>
            </w:pPr>
            <w:r>
              <w:rPr>
                <w:b/>
                <w:bCs/>
                <w:color w:val="1F6F78"/>
                <w:spacing w:val="24"/>
                <w:sz w:val="16"/>
                <w:szCs w:val="16"/>
              </w:rPr>
              <w:t>CHECKLISTE</w:t>
            </w:r>
          </w:p>
          <w:p w14:paraId="70A4F8A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Abschluss über eine anerkannte Stelle bewerten lassen (ECA)</w:t>
            </w:r>
          </w:p>
          <w:p w14:paraId="70A4F8A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Sprachtest wählen (CELPIP oder IELTS) und CLB-Stufe realistisch einschätzen</w:t>
            </w:r>
          </w:p>
          <w:p w14:paraId="70A4F8A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Express-Entry-Profil anlegen, auch bei unsicherem Score</w:t>
            </w:r>
          </w:p>
          <w:p w14:paraId="70A4F8A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Aktuelle Kategorie-Ziehungen mit dem eigenen Beruf abgleichen</w:t>
            </w:r>
          </w:p>
          <w:p w14:paraId="70A4F8A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Provinzielle Bedarfslisten (mindestens Ontario und British Columbia) prüfen</w:t>
            </w:r>
          </w:p>
          <w:p w14:paraId="70A4F8A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Prüfen, ob ein befristetes Arbeitsvisum als schnellerer Zwischenschritt infrage kommt</w:t>
            </w:r>
          </w:p>
          <w:p w14:paraId="70A4F8A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knappem Score: Französischkenntnisse als zusätzlichen Hebel erwägen</w:t>
            </w:r>
          </w:p>
          <w:p w14:paraId="70A4F8A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jeder Entscheidung aktuelle Cutoffs und Gebühren auf canada.ca prüfen</w:t>
            </w:r>
          </w:p>
        </w:tc>
      </w:tr>
    </w:tbl>
    <w:p w14:paraId="70A4F8AF" w14:textId="77777777" w:rsidR="00C1548D" w:rsidRDefault="00C1548D">
      <w:pPr>
        <w:spacing w:line="220" w:lineRule="exact"/>
      </w:pPr>
    </w:p>
    <w:p w14:paraId="70A4F8B0" w14:textId="77777777" w:rsidR="00C1548D" w:rsidRDefault="009B1B4B">
      <w:pPr>
        <w:pStyle w:val="Heading3"/>
        <w:keepNext/>
        <w:jc w:val="center"/>
      </w:pPr>
      <w:r>
        <w:rPr>
          <w:rFonts w:ascii="Amazon Ember" w:eastAsia="Amazon Ember" w:hAnsi="Amazon Ember" w:cs="Amazon Ember"/>
          <w:color w:val="0000FF"/>
          <w:sz w:val="36"/>
          <w:szCs w:val="36"/>
        </w:rPr>
        <w:lastRenderedPageBreak/>
        <w:t>Quellen und weiterführende Links</w:t>
      </w:r>
    </w:p>
    <w:p w14:paraId="70A4F8B1" w14:textId="5FB0CAF6" w:rsidR="00C1548D" w:rsidRDefault="009B1B4B" w:rsidP="009B1B4B">
      <w:pPr>
        <w:pStyle w:val="ListParagraph"/>
        <w:numPr>
          <w:ilvl w:val="0"/>
          <w:numId w:val="1"/>
        </w:numPr>
        <w:spacing w:after="60"/>
      </w:pPr>
      <w:r>
        <w:t>IRCC — Express Entry: So funktioniert das System (</w:t>
      </w:r>
      <w:hyperlink r:id="rId496" w:history="1">
        <w:r>
          <w:rPr>
            <w:color w:val="0563C1"/>
            <w:u w:val="single"/>
          </w:rPr>
          <w:t>canada.ca/en/immigration-refugees-citizenship/services/immigrate-canada/express-entry.html</w:t>
        </w:r>
      </w:hyperlink>
      <w:r>
        <w:t>)</w:t>
      </w:r>
    </w:p>
    <w:p w14:paraId="70A4F8B2" w14:textId="3F15C030" w:rsidR="00C1548D" w:rsidRDefault="009B1B4B" w:rsidP="009B1B4B">
      <w:pPr>
        <w:pStyle w:val="ListParagraph"/>
        <w:numPr>
          <w:ilvl w:val="0"/>
          <w:numId w:val="1"/>
        </w:numPr>
        <w:spacing w:after="60"/>
      </w:pPr>
      <w:r>
        <w:t>IRCC — CRS-Kriterien und Punkteberechnung (</w:t>
      </w:r>
      <w:hyperlink r:id="rId497" w:history="1">
        <w:r>
          <w:rPr>
            <w:color w:val="0563C1"/>
            <w:u w:val="single"/>
          </w:rPr>
          <w:t>canada.ca/.../express-entry/eligibility/criteria-comprehensive-ranking-system.html</w:t>
        </w:r>
      </w:hyperlink>
      <w:r>
        <w:t>)</w:t>
      </w:r>
    </w:p>
    <w:p w14:paraId="70A4F8B3" w14:textId="400C2907" w:rsidR="00C1548D" w:rsidRDefault="009B1B4B" w:rsidP="009B1B4B">
      <w:pPr>
        <w:pStyle w:val="ListParagraph"/>
        <w:numPr>
          <w:ilvl w:val="0"/>
          <w:numId w:val="1"/>
        </w:numPr>
        <w:spacing w:after="60"/>
      </w:pPr>
      <w:r>
        <w:t>IRCC — Federal Skilled Worker Program (</w:t>
      </w:r>
      <w:hyperlink r:id="rId498" w:history="1">
        <w:r>
          <w:rPr>
            <w:color w:val="0563C1"/>
            <w:u w:val="single"/>
          </w:rPr>
          <w:t>canada.ca/.../express-entry/eligibility/federal-skilled-workers.html</w:t>
        </w:r>
      </w:hyperlink>
      <w:r>
        <w:t>)</w:t>
      </w:r>
    </w:p>
    <w:p w14:paraId="70A4F8B4" w14:textId="5A81DBBF" w:rsidR="00C1548D" w:rsidRDefault="009B1B4B" w:rsidP="009B1B4B">
      <w:pPr>
        <w:pStyle w:val="ListParagraph"/>
        <w:numPr>
          <w:ilvl w:val="0"/>
          <w:numId w:val="1"/>
        </w:numPr>
        <w:spacing w:after="60"/>
      </w:pPr>
      <w:r>
        <w:t>IRCC — Provincial Nominee Program: Übersicht (</w:t>
      </w:r>
      <w:hyperlink r:id="rId499" w:history="1">
        <w:r>
          <w:rPr>
            <w:color w:val="0563C1"/>
            <w:u w:val="single"/>
          </w:rPr>
          <w:t>canada.ca/.../provincial-nominees.html</w:t>
        </w:r>
      </w:hyperlink>
      <w:r>
        <w:t>)</w:t>
      </w:r>
    </w:p>
    <w:p w14:paraId="70A4F8B5" w14:textId="7610BB9C" w:rsidR="00C1548D" w:rsidRDefault="009B1B4B" w:rsidP="009B1B4B">
      <w:pPr>
        <w:pStyle w:val="ListParagraph"/>
        <w:numPr>
          <w:ilvl w:val="0"/>
          <w:numId w:val="1"/>
        </w:numPr>
        <w:spacing w:after="60"/>
      </w:pPr>
      <w:r>
        <w:t>IRCC — Gebührenübersicht (</w:t>
      </w:r>
      <w:hyperlink r:id="rId500" w:history="1">
        <w:r>
          <w:rPr>
            <w:color w:val="0563C1"/>
            <w:u w:val="single"/>
          </w:rPr>
          <w:t>ircc.canada.ca/english/information/fees/fees.asp</w:t>
        </w:r>
      </w:hyperlink>
      <w:r>
        <w:t>)</w:t>
      </w:r>
    </w:p>
    <w:p w14:paraId="70A4F8B6" w14:textId="6C815C9B" w:rsidR="00C1548D" w:rsidRDefault="009B1B4B" w:rsidP="009B1B4B">
      <w:pPr>
        <w:pStyle w:val="ListParagraph"/>
        <w:numPr>
          <w:ilvl w:val="0"/>
          <w:numId w:val="1"/>
        </w:numPr>
        <w:spacing w:after="60"/>
      </w:pPr>
      <w:r>
        <w:t>Ontario Immigrant Nominee Program (</w:t>
      </w:r>
      <w:hyperlink r:id="rId501" w:history="1">
        <w:r>
          <w:rPr>
            <w:color w:val="0563C1"/>
            <w:u w:val="single"/>
          </w:rPr>
          <w:t>ontario.ca/page/ontario-immigrant-nominee-program</w:t>
        </w:r>
      </w:hyperlink>
      <w:r>
        <w:t>)</w:t>
      </w:r>
    </w:p>
    <w:p w14:paraId="70A4F8B7" w14:textId="2A1E727B" w:rsidR="00C1548D" w:rsidRDefault="009B1B4B" w:rsidP="009B1B4B">
      <w:pPr>
        <w:pStyle w:val="ListParagraph"/>
        <w:numPr>
          <w:ilvl w:val="0"/>
          <w:numId w:val="1"/>
        </w:numPr>
        <w:spacing w:after="60"/>
      </w:pPr>
      <w:r>
        <w:t>British Columbia Provincial Nominee Program (</w:t>
      </w:r>
      <w:hyperlink r:id="rId502" w:history="1">
        <w:r>
          <w:rPr>
            <w:color w:val="0563C1"/>
            <w:u w:val="single"/>
          </w:rPr>
          <w:t>welcomebc.ca/immigrate-to-b-c/about-the-bc-pnp</w:t>
        </w:r>
      </w:hyperlink>
      <w:r>
        <w:t>)</w:t>
      </w:r>
    </w:p>
    <w:p w14:paraId="70A4F8B8"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BB"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8B9" w14:textId="77777777" w:rsidR="00C1548D" w:rsidRDefault="009B1B4B">
            <w:pPr>
              <w:keepNext/>
              <w:spacing w:after="70" w:line="240" w:lineRule="auto"/>
            </w:pPr>
            <w:r>
              <w:rPr>
                <w:b/>
                <w:bCs/>
                <w:color w:val="6B7280"/>
                <w:spacing w:val="24"/>
                <w:sz w:val="16"/>
                <w:szCs w:val="16"/>
              </w:rPr>
              <w:t>STAND</w:t>
            </w:r>
          </w:p>
          <w:p w14:paraId="70A4F8BA" w14:textId="77777777" w:rsidR="00C1548D" w:rsidRDefault="009B1B4B">
            <w:pPr>
              <w:spacing w:after="80" w:line="264" w:lineRule="auto"/>
            </w:pPr>
            <w:r>
              <w:rPr>
                <w:sz w:val="20"/>
                <w:szCs w:val="20"/>
              </w:rPr>
              <w:t>23.09.2026. Diese Angaben ändern sich besonders schnell: die CRS-Cutoffs jeder einzelnen Runde, ob und wie oft eine Kategorie zieht, die PNP-Gebühren und -Ströme der Provinzen sowie die Bearbeitungszeiten. Prüfe vor jeder Entscheidung die aktuellen Werte auf canada.ca und den Webseiten der jeweiligen Provinz.</w:t>
            </w:r>
          </w:p>
        </w:tc>
      </w:tr>
    </w:tbl>
    <w:p w14:paraId="70A4F8BC" w14:textId="77777777" w:rsidR="00C1548D" w:rsidRDefault="00C1548D">
      <w:pPr>
        <w:spacing w:line="220" w:lineRule="exact"/>
      </w:pPr>
    </w:p>
    <w:p w14:paraId="70A4F8BD" w14:textId="77777777" w:rsidR="00C1548D" w:rsidRDefault="009B1B4B">
      <w:pPr>
        <w:pStyle w:val="Heading2"/>
        <w:keepNext/>
        <w:pageBreakBefore/>
        <w:jc w:val="center"/>
      </w:pPr>
      <w:bookmarkStart w:id="141" w:name="tka04"/>
      <w:bookmarkStart w:id="142" w:name="_Toc241352522"/>
      <w:r>
        <w:rPr>
          <w:rFonts w:ascii="Amazon Ember" w:eastAsia="Amazon Ember" w:hAnsi="Amazon Ember" w:cs="Amazon Ember"/>
          <w:color w:val="0000FF"/>
          <w:sz w:val="36"/>
          <w:szCs w:val="36"/>
        </w:rPr>
        <w:lastRenderedPageBreak/>
        <w:t>Kanada: Familie, Investoren und der Ruhestand</w:t>
      </w:r>
      <w:bookmarkEnd w:id="141"/>
      <w:bookmarkEnd w:id="142"/>
    </w:p>
    <w:p w14:paraId="70A4F8BE" w14:textId="77777777" w:rsidR="00C1548D" w:rsidRDefault="009B1B4B">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w:t>
      </w:r>
      <w:r>
        <w:t>ügigste, sondern eines der restriktivsten Systeme der vier in diesem Buch behandelten Länder. Dieses Kapitel zeigt, was beim Familiennachzug tatsächlich zählt, warum das Start-up Visa derzeit keine Option ist, und was für Ruheständler ohne Job realistisch bleibt.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C6"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8BF" w14:textId="77777777" w:rsidR="00C1548D" w:rsidRDefault="009B1B4B">
            <w:pPr>
              <w:keepNext/>
              <w:spacing w:after="70" w:line="240" w:lineRule="auto"/>
            </w:pPr>
            <w:r>
              <w:rPr>
                <w:b/>
                <w:bCs/>
                <w:color w:val="1F3A5F"/>
                <w:spacing w:val="24"/>
                <w:sz w:val="16"/>
                <w:szCs w:val="16"/>
              </w:rPr>
              <w:lastRenderedPageBreak/>
              <w:t>KURZ GESAGT</w:t>
            </w:r>
          </w:p>
          <w:p w14:paraId="70A4F8C0" w14:textId="77777777" w:rsidR="00C1548D" w:rsidRDefault="009B1B4B" w:rsidP="009B1B4B">
            <w:pPr>
              <w:pStyle w:val="ListParagraph"/>
              <w:numPr>
                <w:ilvl w:val="0"/>
                <w:numId w:val="1"/>
              </w:numPr>
              <w:spacing w:after="50" w:line="264" w:lineRule="auto"/>
            </w:pPr>
            <w:r>
              <w:rPr>
                <w:sz w:val="20"/>
                <w:szCs w:val="20"/>
              </w:rPr>
              <w:t>Ehepartner- und Lebenspartner-Sponsoring verlangt kein Mindesteinkommen des Sponsors, dauert aber laut Kanzleiangaben 15 bis 24 Monate.</w:t>
            </w:r>
          </w:p>
          <w:p w14:paraId="70A4F8C1" w14:textId="77777777" w:rsidR="00C1548D" w:rsidRDefault="009B1B4B" w:rsidP="009B1B4B">
            <w:pPr>
              <w:pStyle w:val="ListParagraph"/>
              <w:numPr>
                <w:ilvl w:val="0"/>
                <w:numId w:val="1"/>
              </w:numPr>
              <w:spacing w:after="50" w:line="264" w:lineRule="auto"/>
            </w:pPr>
            <w:r>
              <w:rPr>
                <w:sz w:val="20"/>
                <w:szCs w:val="20"/>
              </w:rPr>
              <w:t>Das Start-up Visa ist seit dem 1. Januar 2026 für Neuanträge pausiert; nur wer bereits ein Commitment Certificate aus 2025 hält, kommt noch zum Zug.</w:t>
            </w:r>
          </w:p>
          <w:p w14:paraId="70A4F8C2" w14:textId="77777777" w:rsidR="00C1548D" w:rsidRDefault="009B1B4B" w:rsidP="009B1B4B">
            <w:pPr>
              <w:pStyle w:val="ListParagraph"/>
              <w:numPr>
                <w:ilvl w:val="0"/>
                <w:numId w:val="1"/>
              </w:numPr>
              <w:spacing w:after="50" w:line="264" w:lineRule="auto"/>
            </w:pPr>
            <w:r>
              <w:rPr>
                <w:sz w:val="20"/>
                <w:szCs w:val="20"/>
              </w:rPr>
              <w:t>Das Eltern- und Großeltern-Programm (PGP) ist die zentrale Enttäuschung für Ruheständler: Seit 2026 nimmt IRCC keine neuen Interessensbekundungen mehr an.</w:t>
            </w:r>
          </w:p>
          <w:p w14:paraId="70A4F8C3" w14:textId="77777777" w:rsidR="00C1548D" w:rsidRDefault="009B1B4B" w:rsidP="009B1B4B">
            <w:pPr>
              <w:pStyle w:val="ListParagraph"/>
              <w:numPr>
                <w:ilvl w:val="0"/>
                <w:numId w:val="1"/>
              </w:numPr>
              <w:spacing w:after="50" w:line="264" w:lineRule="auto"/>
            </w:pPr>
            <w:r>
              <w:rPr>
                <w:sz w:val="20"/>
                <w:szCs w:val="20"/>
              </w:rPr>
              <w:t>Das Super Visa – ein Mehrfacheinreise-Besuchervisum, kein Daueraufenthaltstitel – ist 2026 der einzige praktisch verlässliche Weg für Eltern und Großeltern.</w:t>
            </w:r>
          </w:p>
          <w:p w14:paraId="70A4F8C4" w14:textId="77777777" w:rsidR="00C1548D" w:rsidRDefault="009B1B4B" w:rsidP="009B1B4B">
            <w:pPr>
              <w:pStyle w:val="ListParagraph"/>
              <w:numPr>
                <w:ilvl w:val="0"/>
                <w:numId w:val="1"/>
              </w:numPr>
              <w:spacing w:after="50" w:line="264" w:lineRule="auto"/>
            </w:pPr>
            <w:r>
              <w:rPr>
                <w:sz w:val="20"/>
                <w:szCs w:val="20"/>
              </w:rPr>
              <w:t>Ohne ein bereits in Kanada lebendes Kind oder Enkelkind gibt es keinen eigenständigen Ruhestandsweg nach Kanada – anders als etwa in Neuseeland.</w:t>
            </w:r>
          </w:p>
          <w:p w14:paraId="70A4F8C5" w14:textId="77777777" w:rsidR="00C1548D" w:rsidRDefault="009B1B4B" w:rsidP="009B1B4B">
            <w:pPr>
              <w:pStyle w:val="ListParagraph"/>
              <w:numPr>
                <w:ilvl w:val="0"/>
                <w:numId w:val="1"/>
              </w:numPr>
              <w:spacing w:after="50" w:line="264" w:lineRule="auto"/>
            </w:pPr>
            <w:r>
              <w:rPr>
                <w:sz w:val="20"/>
                <w:szCs w:val="20"/>
              </w:rPr>
              <w:t>Diese Regeln ändern sich häufig und teils kurzfristig: Prüfe vor jeder Entscheidung die aktuellen Angaben auf canada.ca.</w:t>
            </w:r>
          </w:p>
        </w:tc>
      </w:tr>
    </w:tbl>
    <w:p w14:paraId="70A4F8C7" w14:textId="77777777" w:rsidR="00C1548D" w:rsidRDefault="00C1548D">
      <w:pPr>
        <w:spacing w:line="220" w:lineRule="exact"/>
      </w:pPr>
    </w:p>
    <w:p w14:paraId="70A4F8C8" w14:textId="77777777" w:rsidR="00C1548D" w:rsidRDefault="009B1B4B">
      <w:pPr>
        <w:pStyle w:val="Heading3"/>
        <w:keepNext/>
        <w:jc w:val="center"/>
      </w:pPr>
      <w:r>
        <w:rPr>
          <w:rFonts w:ascii="Amazon Ember" w:eastAsia="Amazon Ember" w:hAnsi="Amazon Ember" w:cs="Amazon Ember"/>
          <w:color w:val="0000FF"/>
          <w:sz w:val="36"/>
          <w:szCs w:val="36"/>
        </w:rPr>
        <w:t>Ehepartner, Lebenspartner und der Familiennachzug</w:t>
      </w:r>
    </w:p>
    <w:p w14:paraId="70A4F8C9" w14:textId="77777777" w:rsidR="00C1548D" w:rsidRDefault="009B1B4B">
      <w:pPr>
        <w:spacing w:after="140"/>
      </w:pPr>
      <w:r>
        <w:t xml:space="preserve">Wer verheiratet ist oder in einer eingetragenen Lebenspartnerschaft lebt, hat es beim Familiennachzug leichter als fast überall sonst im kanadischen System. IRCC unterscheidet dabei drei Fallgruppen: </w:t>
      </w:r>
      <w:r>
        <w:rPr>
          <w:i/>
          <w:iCs/>
        </w:rPr>
        <w:t>Spousal Sponsorship</w:t>
      </w:r>
      <w:r>
        <w:t xml:space="preserve"> für Ehepaare, </w:t>
      </w:r>
      <w:r>
        <w:rPr>
          <w:i/>
          <w:iCs/>
        </w:rPr>
        <w:t>Common-law Sponsorship</w:t>
      </w:r>
      <w:r>
        <w:t xml:space="preserve"> für Paare, die mindestens zwölf Monate ununterbrochen zusammengelebt haben, ohne verheiratet zu sein, und </w:t>
      </w:r>
      <w:r>
        <w:rPr>
          <w:i/>
          <w:iCs/>
        </w:rPr>
        <w:t>Conjugal Sponsorship</w:t>
      </w:r>
      <w:r>
        <w:t xml:space="preserve"> für Paare, die aus rechtlichen oder tatsächlichen Gründen (etwa fehlende Möglichkeit zur Heirat oder ein Einwanderungshindernis) nicht zusammenleben konnten, ihre Beziehung aber seit mindestens einem Jahr nachweisen können. Für alle drei Kategorien verlangt IRCC vom sponsernden Partner mit kanadischer Staatsbürgerschaft oder PR kein festes </w:t>
      </w:r>
      <w:r>
        <w:lastRenderedPageBreak/>
        <w:t>Mindesteinkommen. Einzige Ausnahme: Wer aus anderen Gründen als einer Behinderung Sozialhilfe bezieht, disqualifiziert sich als Sponsor. Die Gebühr aus dem Ausland liegt</w:t>
      </w:r>
      <w:r>
        <w:t xml:space="preserve"> bei 1.260 CAD (660 CAD ohne die </w:t>
      </w:r>
      <w:r>
        <w:rPr>
          <w:i/>
          <w:iCs/>
        </w:rPr>
        <w:t>Right of Permanent Residence Fee</w:t>
      </w:r>
      <w:r>
        <w:t>, eine zusätzliche Gebühr für das Recht auf Daueraufenthalt), zuzüglich 180 CAD je mitreisendem Kind.</w:t>
      </w:r>
    </w:p>
    <w:p w14:paraId="70A4F8CA" w14:textId="77777777" w:rsidR="00C1548D" w:rsidRDefault="009B1B4B">
      <w:pPr>
        <w:spacing w:after="140"/>
      </w:pPr>
      <w:r>
        <w:t>Der Preis für die vergleichsweise entspannten Einkommensregeln ist die Zeit: Kanzleien nennen für die Bearbeitung 15 bis 24 Monate, in denen Paare häufig getrennt leben oder der auswandernde Partner mit einem befristeten Besuchervisum überbrückt – was rechtlich heikel ist, wenn die Grenzbehörde eine bereits gefasste Zuwanderungsabsicht vermutet. Wer heiratet, um schneller nach Kanada zu kommen, sollte wissen, dass IRCC Scheinehen aktiv prüft; die Beziehung muss echt und die Ehe oder Partnerschaft entspreche</w:t>
      </w:r>
      <w:r>
        <w:t>nd belegbar sein, etwa durch gemeinsame Fotos, Korrespondenz, Kontoauszüge oder Besuche über einen längeren Zeitraum.</w:t>
      </w:r>
    </w:p>
    <w:p w14:paraId="70A4F8CB" w14:textId="77777777" w:rsidR="00C1548D" w:rsidRDefault="009B1B4B">
      <w:pPr>
        <w:spacing w:after="140"/>
      </w:pPr>
      <w:r>
        <w:t>Ob die Bearbeitung als „Inland“- oder „Outland“-Antrag läuft, macht praktisch einen Unterschied. Hält sich der einwandernde Partner 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und darf während der Wartezeit nicht in Kanada arbeiten, auch wenn Besuchsreis</w:t>
      </w:r>
      <w:r>
        <w:t>en grundsätzlich möglich sind.</w:t>
      </w:r>
    </w:p>
    <w:p w14:paraId="70A4F8CC" w14:textId="34313100" w:rsidR="00C1548D" w:rsidRDefault="009B1B4B">
      <w:pPr>
        <w:spacing w:after="140"/>
      </w:pPr>
      <w:r>
        <w:t xml:space="preserve">Für Kinder unter 22 Jahren, die noch nicht verheiratet sind, läuft der Nachzug meist über denselben Antrag wie der eines einwandernden Elternteils, etwa im Rahmen von Express Entry (siehe das </w:t>
      </w:r>
      <w:hyperlink w:anchor="tka03" w:history="1">
        <w:r>
          <w:rPr>
            <w:color w:val="0563C1"/>
            <w:u w:val="single"/>
          </w:rPr>
          <w:t>vorherige Kapitel in diesem Teil</w:t>
        </w:r>
      </w:hyperlink>
      <w:r>
        <w:t xml:space="preserve">). Wer älter als 22 ist, zählt nur dann noch als unterhaltsberechtigtes Kind, wenn eine dauerhafte körperliche oder geistige Beeinträchtigung finanzielle Unterstützung durch die Eltern nötig macht; ein laufendes Studium allein reicht seit einer </w:t>
      </w:r>
      <w:r>
        <w:lastRenderedPageBreak/>
        <w:t>Regelverschärfung nicht mehr aus, um über diese Altersgrenze hinaus als abhängiges Kind zu gelten. Eigenständige Anträge für erwachsene, bereits selbstständig lebende Kinder sieht das kanadische Familienrecht dagegen kaum vor – ein Unterschied zu manchen anderen Länd</w:t>
      </w:r>
      <w:r>
        <w:t>ern, in denen erwachsene Kinder unter bestimmten Bedingungen ebenfalls nachziehen können.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CF"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8CD" w14:textId="77777777" w:rsidR="00C1548D" w:rsidRDefault="009B1B4B">
            <w:pPr>
              <w:keepNext/>
              <w:spacing w:after="70" w:line="240" w:lineRule="auto"/>
            </w:pPr>
            <w:r>
              <w:rPr>
                <w:b/>
                <w:bCs/>
                <w:color w:val="8A6212"/>
                <w:spacing w:val="24"/>
                <w:sz w:val="16"/>
                <w:szCs w:val="16"/>
              </w:rPr>
              <w:t>MERKE</w:t>
            </w:r>
          </w:p>
          <w:p w14:paraId="70A4F8CE" w14:textId="77777777" w:rsidR="00C1548D" w:rsidRDefault="009B1B4B">
            <w:pPr>
              <w:spacing w:after="80" w:line="264" w:lineRule="auto"/>
            </w:pPr>
            <w:r>
              <w:rPr>
                <w:sz w:val="20"/>
                <w:szCs w:val="20"/>
              </w:rPr>
              <w:t>Kanada unterscheidet klar zwischen dem befristeten Besuchervisum (max. sechs Monate pro Einreise, ohne Arbeits- oder Studienrecht) und einem echten Aufenthaltsstatus. Wer während eines laufenden Sponsoring-Verfahrens „einfach mal besuchen“ will, riskiert bei der Einreise Nachfragen zur wahren Absicht – nimm entsprechende Nachweise (Rückflugticket, Adresse in Deutschland, laufender Mietvertrag) mit.</w:t>
            </w:r>
          </w:p>
        </w:tc>
      </w:tr>
    </w:tbl>
    <w:p w14:paraId="70A4F8D0" w14:textId="77777777" w:rsidR="00C1548D" w:rsidRDefault="00C1548D">
      <w:pPr>
        <w:spacing w:line="220" w:lineRule="exact"/>
      </w:pPr>
    </w:p>
    <w:p w14:paraId="70A4F8D1" w14:textId="77777777" w:rsidR="00C1548D" w:rsidRDefault="009B1B4B">
      <w:pPr>
        <w:pStyle w:val="Heading3"/>
        <w:keepNext/>
        <w:jc w:val="center"/>
      </w:pPr>
      <w:r>
        <w:rPr>
          <w:rFonts w:ascii="Amazon Ember" w:eastAsia="Amazon Ember" w:hAnsi="Amazon Ember" w:cs="Amazon Ember"/>
          <w:color w:val="0000FF"/>
          <w:sz w:val="36"/>
          <w:szCs w:val="36"/>
        </w:rPr>
        <w:t>Start-up Visa: pausiert seit 2026</w:t>
      </w:r>
    </w:p>
    <w:p w14:paraId="70A4F8D2" w14:textId="77777777" w:rsidR="00C1548D" w:rsidRDefault="009B1B4B">
      <w:pPr>
        <w:spacing w:after="140"/>
      </w:pPr>
      <w:r>
        <w:t xml:space="preserve">Für gründungswillige Fachkräfte war das </w:t>
      </w:r>
      <w:r>
        <w:rPr>
          <w:i/>
          <w:iCs/>
        </w:rPr>
        <w:t>Start-up Visa</w:t>
      </w:r>
      <w:r>
        <w:t xml:space="preserve"> lange ein attraktiver Weg zur PR ohne klassisches Punktesystem –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 dazu mussten Antragstellende mindestens 10 % der Stimmrechte halten, A</w:t>
      </w:r>
      <w:r>
        <w:t>ntragstellende und designierte Organisation zusammen mehr als 50 %.</w:t>
      </w:r>
    </w:p>
    <w:p w14:paraId="70A4F8D3" w14:textId="77777777" w:rsidR="00C1548D" w:rsidRDefault="009B1B4B">
      <w:pPr>
        <w:spacing w:after="140"/>
      </w:pPr>
      <w:r>
        <w:t xml:space="preserve">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w:t>
      </w:r>
      <w:r>
        <w:lastRenderedPageBreak/>
        <w:t>2026), gedeckelt auf maximal zehn vollständige Gruppenanträge je Organisation und Kalenderjahr bis Ende 2026 – nach dem Windhundprinzip vergeben.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D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8D4" w14:textId="77777777" w:rsidR="00C1548D" w:rsidRDefault="009B1B4B">
            <w:pPr>
              <w:keepNext/>
              <w:spacing w:after="70" w:line="240" w:lineRule="auto"/>
            </w:pPr>
            <w:r>
              <w:rPr>
                <w:b/>
                <w:bCs/>
                <w:color w:val="9B2C2C"/>
                <w:spacing w:val="24"/>
                <w:sz w:val="16"/>
                <w:szCs w:val="16"/>
              </w:rPr>
              <w:t>ACHTUNG</w:t>
            </w:r>
          </w:p>
          <w:p w14:paraId="70A4F8D5" w14:textId="77777777" w:rsidR="00C1548D" w:rsidRDefault="009B1B4B">
            <w:pPr>
              <w:spacing w:after="80" w:line="264" w:lineRule="auto"/>
            </w:pPr>
            <w:r>
              <w:rPr>
                <w:sz w:val="20"/>
                <w:szCs w:val="20"/>
              </w:rPr>
              <w:t>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 diese haben eigene Kapital- und Geschäftsplananforderungen und sind von der Bundes-Pause nicht betroffen.</w:t>
            </w:r>
          </w:p>
        </w:tc>
      </w:tr>
    </w:tbl>
    <w:p w14:paraId="70A4F8D7" w14:textId="77777777" w:rsidR="00C1548D" w:rsidRDefault="00C1548D">
      <w:pPr>
        <w:spacing w:line="220" w:lineRule="exact"/>
      </w:pPr>
    </w:p>
    <w:p w14:paraId="70A4F8D8" w14:textId="77777777" w:rsidR="00C1548D" w:rsidRDefault="009B1B4B">
      <w:pPr>
        <w:spacing w:after="140"/>
      </w:pPr>
      <w:r>
        <w:t>Diese provinzialen Unternehmerströme funktionieren nach einer anderen Logik als das Bundes-Start-up-Visa: Statt einer Organisation, die dein Geschäftskonzept unterstützt, verlangt die Provinz meist ein eigenes Kapital (persönliches Nettovermögen und Mindestinvestition, je nach Provinz unterschiedlich hoch), einen tragfähigen Geschäftsplan und häufig einen vorherigen Besuch zur Prüfung des Vorhabens vor Ort. Die Nominierung erfolgt oft erst, nachdem das Unternehmen eine gewisse Zeit erfolgreich läuft und Arb</w:t>
      </w:r>
      <w:r>
        <w:t>eitsplätze für Kanadierinnen und Kanadier geschaffen hat – ein längerer, aber von der Bundes-Pause unabhängiger Weg.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DB"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8D9" w14:textId="77777777" w:rsidR="00C1548D" w:rsidRDefault="009B1B4B">
            <w:pPr>
              <w:keepNext/>
              <w:spacing w:after="70" w:line="240" w:lineRule="auto"/>
            </w:pPr>
            <w:r>
              <w:rPr>
                <w:b/>
                <w:bCs/>
                <w:color w:val="4A5568"/>
                <w:spacing w:val="24"/>
                <w:sz w:val="16"/>
                <w:szCs w:val="16"/>
              </w:rPr>
              <w:t>PRAXISBEISPIEL · FIKTIV</w:t>
            </w:r>
          </w:p>
          <w:p w14:paraId="70A4F8DA" w14:textId="77777777" w:rsidR="00C1548D" w:rsidRDefault="009B1B4B">
            <w:pPr>
              <w:spacing w:after="80" w:line="264" w:lineRule="auto"/>
            </w:pPr>
            <w:r>
              <w:rPr>
                <w:sz w:val="20"/>
                <w:szCs w:val="20"/>
              </w:rPr>
              <w:t>Lukas Berger (fiktiv), 29, Öl- und Gasingenieur aus Hannover, erwägt neben seinem Job in Calgary eine eigene Beratungsfirma für Energieeffizienz. Als er sich über das Start-up Visa informiert, stellt er fest, dass das Programm für Neuanträge pausiert ist und die verbliebenen designierten Organisationen kaum noch Kapazität haben. Er verschiebt die Gründungsidee, bleibt zunächst bei seinem arbeitgebergebundenen Work Permit und beobachtet stattdessen die unternehmerischen PNP-Ströme Albertas für einen mögliche</w:t>
            </w:r>
            <w:r>
              <w:rPr>
                <w:sz w:val="20"/>
                <w:szCs w:val="20"/>
              </w:rPr>
              <w:t>n späteren Anlauf.</w:t>
            </w:r>
          </w:p>
        </w:tc>
      </w:tr>
    </w:tbl>
    <w:p w14:paraId="70A4F8DC" w14:textId="77777777" w:rsidR="00C1548D" w:rsidRDefault="00C1548D">
      <w:pPr>
        <w:spacing w:line="220" w:lineRule="exact"/>
      </w:pPr>
    </w:p>
    <w:p w14:paraId="70A4F8DD" w14:textId="77777777" w:rsidR="00C1548D" w:rsidRDefault="009B1B4B">
      <w:pPr>
        <w:pStyle w:val="Heading3"/>
        <w:keepNext/>
        <w:jc w:val="center"/>
      </w:pPr>
      <w:r>
        <w:rPr>
          <w:rFonts w:ascii="Amazon Ember" w:eastAsia="Amazon Ember" w:hAnsi="Amazon Ember" w:cs="Amazon Ember"/>
          <w:color w:val="0000FF"/>
          <w:sz w:val="36"/>
          <w:szCs w:val="36"/>
        </w:rPr>
        <w:lastRenderedPageBreak/>
        <w:t>Ruhestand ohne Job: die ehrliche Lage</w:t>
      </w:r>
    </w:p>
    <w:p w14:paraId="70A4F8DE" w14:textId="77777777" w:rsidR="00C1548D" w:rsidRDefault="009B1B4B">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 Express Entry, das Provincial Nominee Program und selbst das (derzeit pausierte) Start-</w:t>
      </w:r>
      <w:r>
        <w:t>up Visa verlangen Sprachtests, Berufserfahrung oder Geschäftskonzepte, die für reine Ruheständler ohne Erwerbsabsicht schlicht nicht gemacht sind.</w:t>
      </w:r>
    </w:p>
    <w:p w14:paraId="70A4F8DF" w14:textId="77777777" w:rsidR="00C1548D" w:rsidRDefault="009B1B4B">
      <w:pPr>
        <w:spacing w:after="140"/>
      </w:pPr>
      <w:r>
        <w:t>Im Vergleich der vier in diesem Buch behandelten Zielländer liegt Kanada damit am restriktiven Ende. Australien verlangt zwar ebenfalls ein dort lebendes Kind, bietet aber wenigstens eine – wenn auch nach Berichten des dortigen Einwanderungsministeriums teils jahrzehntelange – Warteliste zur Daueraufenthaltserlaubnis für Eltern. Neuseeland geht noch weiter und öffnet mit einem rein vermögensbasierten Besuchervisum sogar einen befristeten Weg ganz ohne Kind vor Ort (Details dazu im jeweiligen Länder-Teil die</w:t>
      </w:r>
      <w:r>
        <w:t>ses Buches). Kanada bietet nichts dergleichen: kein Vermögensweg, keine Warteliste mit Aussicht auf PR – nur die Bindung an ein bereits ansässiges Kind, und selbst die derzeit nur in Form eines befristeten Besuchervisums.</w:t>
      </w:r>
    </w:p>
    <w:p w14:paraId="70A4F8E0" w14:textId="77777777" w:rsidR="00C1548D" w:rsidRDefault="009B1B4B">
      <w:pPr>
        <w:pStyle w:val="Heading4"/>
        <w:keepNext/>
        <w:jc w:val="center"/>
      </w:pPr>
      <w:r>
        <w:rPr>
          <w:rFonts w:ascii="Amazon Ember" w:eastAsia="Amazon Ember" w:hAnsi="Amazon Ember" w:cs="Amazon Ember"/>
          <w:color w:val="0000FF"/>
          <w:sz w:val="36"/>
          <w:szCs w:val="36"/>
        </w:rPr>
        <w:t>Das Eltern- und Großeltern-Programm: pausiert</w:t>
      </w:r>
    </w:p>
    <w:p w14:paraId="70A4F8E1" w14:textId="77777777" w:rsidR="00C1548D" w:rsidRDefault="009B1B4B">
      <w:pPr>
        <w:spacing w:after="140"/>
      </w:pPr>
      <w:r>
        <w:t xml:space="preserve">Der einzige familienbasierte Weg zur PR für Eltern und Großeltern, das </w:t>
      </w:r>
      <w:r>
        <w:rPr>
          <w:i/>
          <w:iCs/>
        </w:rPr>
        <w:t>Parent and Grandparent Program</w:t>
      </w:r>
      <w:r>
        <w:t xml:space="preserve"> (PGP), war schon vor der aktuellen Pause kein schneller Weg. Sponsernde Kinder mussten ein Mindesteinkommen von </w:t>
      </w:r>
      <w:r>
        <w:rPr>
          <w:i/>
          <w:iCs/>
        </w:rPr>
        <w:t>Low Income Cut-Off</w:t>
      </w:r>
      <w:r>
        <w:t xml:space="preserve"> (LICO) plus 30 % über drei aufeinanderfolgende Steuerjahre nachweisen – für eine </w:t>
      </w:r>
      <w:r>
        <w:lastRenderedPageBreak/>
        <w:t>vierköpfige Familie umgerechnet rund 58.500 CAD. Der Zugang lief über ein Lotterieverfahren: Wer 2020 ein „Interest to Sponsor“-Formular einreichte, wurde – wenn überhaupt – erst ab Juli 2025 eingeladen; in nur zwei Wochen verschickte IRCC damals 17.860 Einladungen an über fünf Jahre alte Interessensbekundungen.</w:t>
      </w:r>
    </w:p>
    <w:p w14:paraId="70A4F8E2" w14:textId="77777777" w:rsidR="00C1548D" w:rsidRDefault="009B1B4B">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E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8E3" w14:textId="77777777" w:rsidR="00C1548D" w:rsidRDefault="009B1B4B">
            <w:pPr>
              <w:keepNext/>
              <w:spacing w:after="70" w:line="240" w:lineRule="auto"/>
            </w:pPr>
            <w:r>
              <w:rPr>
                <w:b/>
                <w:bCs/>
                <w:color w:val="9B2C2C"/>
                <w:spacing w:val="24"/>
                <w:sz w:val="16"/>
                <w:szCs w:val="16"/>
              </w:rPr>
              <w:t>ACHTUNG</w:t>
            </w:r>
          </w:p>
          <w:p w14:paraId="70A4F8E4" w14:textId="77777777" w:rsidR="00C1548D" w:rsidRDefault="009B1B4B">
            <w:pPr>
              <w:spacing w:after="80" w:line="264" w:lineRule="auto"/>
            </w:pPr>
            <w:r>
              <w:rPr>
                <w:sz w:val="20"/>
                <w:szCs w:val="20"/>
              </w:rPr>
              <w:t>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tc>
      </w:tr>
    </w:tbl>
    <w:p w14:paraId="70A4F8E6" w14:textId="77777777" w:rsidR="00C1548D" w:rsidRDefault="00C1548D">
      <w:pPr>
        <w:spacing w:line="220" w:lineRule="exact"/>
      </w:pPr>
    </w:p>
    <w:p w14:paraId="70A4F8E7" w14:textId="77777777" w:rsidR="00C1548D" w:rsidRDefault="009B1B4B">
      <w:pPr>
        <w:pStyle w:val="Heading4"/>
        <w:keepNext/>
        <w:jc w:val="center"/>
      </w:pPr>
      <w:r>
        <w:rPr>
          <w:rFonts w:ascii="Amazon Ember" w:eastAsia="Amazon Ember" w:hAnsi="Amazon Ember" w:cs="Amazon Ember"/>
          <w:color w:val="0000FF"/>
          <w:sz w:val="36"/>
          <w:szCs w:val="36"/>
        </w:rPr>
        <w:t>Super Visa: der realistische Weg</w:t>
      </w:r>
    </w:p>
    <w:p w14:paraId="70A4F8E8" w14:textId="77777777" w:rsidR="00C1548D" w:rsidRDefault="009B1B4B">
      <w:pPr>
        <w:spacing w:after="140"/>
      </w:pPr>
      <w:r>
        <w:t xml:space="preserve">Das </w:t>
      </w:r>
      <w:r>
        <w:rPr>
          <w:i/>
          <w:iCs/>
        </w:rPr>
        <w:t>Super Visa</w:t>
      </w:r>
      <w:r>
        <w:t xml:space="preserve">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 gegenüber den sonst üblichen sechs Monaten beim regulären Besuchervisum ein erheblicher Unterschied.</w:t>
      </w:r>
    </w:p>
    <w:p w14:paraId="70A4F8E9" w14:textId="77777777" w:rsidR="00C1548D" w:rsidRDefault="009B1B4B">
      <w:pPr>
        <w:spacing w:after="140"/>
      </w:pPr>
      <w:r>
        <w:t>Das Super Visa gilt ausschließlich für Eltern und Großeltern selbst – minderjährige Geschwister, Tanten, Onkel oder andere Angehörige lassen sich darüber nicht mitbringen; für sie bleibt nur ein reguläres Besuchervisum mit der üblichen Sechs-Monats-Grenze.</w:t>
      </w:r>
    </w:p>
    <w:p w14:paraId="70A4F8EA" w14:textId="77777777" w:rsidR="00C1548D" w:rsidRDefault="009B1B4B">
      <w:pPr>
        <w:spacing w:after="140"/>
      </w:pPr>
      <w:r>
        <w:lastRenderedPageBreak/>
        <w:t>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Zusätzlich muss die einladende Person in Kanada ein Mindesteinkommen nachweisen, gestaffelt nach Ha</w:t>
      </w:r>
      <w:r>
        <w:t>ushaltsgröße – Richtwerte reichen von etwa 30.526 CAD für eine Person bis 80.784 CAD für sieben Personen, zuzüglich 8.224 CAD je weiterer Person. Seit dem 31. März 2026 darf außerdem das Einkommen des besuchenden Elternteils oder Großelternteils angerechnet werden, um diese Schwelle zu erreichen – eine Erleichterung gerade für Familien, in denen die eigene deutsche Rente nicht ausreicht, das Kind in Kanada aber knapp unter der Schwelle liegt.</w:t>
      </w:r>
    </w:p>
    <w:p w14:paraId="70A4F8EB" w14:textId="77777777" w:rsidR="00C1548D" w:rsidRDefault="009B1B4B">
      <w:pPr>
        <w:spacing w:after="140"/>
      </w:pPr>
      <w:r>
        <w:t>Die Antragstellung läuft wie bei einem regulären Besuchervisum, ergänzt um die Nachweise zur Familienbeziehung und zur Versicherung: Formular, Biometrie (85 CAD), Nachweis der Versicherung sowie – weil der beantragte Aufenthalt über sechs Monate hinausgeht – eine ärztliche Untersuchung (</w:t>
      </w:r>
      <w:r>
        <w:rPr>
          <w:i/>
          <w:iCs/>
        </w:rPr>
        <w:t>Immigration Medical Exam</w:t>
      </w:r>
      <w:r>
        <w:t>) bei einer von IRCC anerkannten Ärztin oder einem anerkannten Arzt. Weil dem Super Visa ein Besucher- und kein Einwanderungsverfahren zugrunde liegt, bearbeitet IRCC die Anträge in aller Regel spürbar schneller als PR-Verfahren wie das PGP es je war.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EE"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8EC" w14:textId="77777777" w:rsidR="00C1548D" w:rsidRDefault="009B1B4B">
            <w:pPr>
              <w:keepNext/>
              <w:spacing w:after="70" w:line="240" w:lineRule="auto"/>
            </w:pPr>
            <w:r>
              <w:rPr>
                <w:b/>
                <w:bCs/>
                <w:color w:val="4A5568"/>
                <w:spacing w:val="24"/>
                <w:sz w:val="16"/>
                <w:szCs w:val="16"/>
              </w:rPr>
              <w:lastRenderedPageBreak/>
              <w:t>PRAXISBEISPIEL · FIKTIV</w:t>
            </w:r>
          </w:p>
          <w:p w14:paraId="70A4F8ED" w14:textId="77777777" w:rsidR="00C1548D" w:rsidRDefault="009B1B4B">
            <w:pPr>
              <w:spacing w:after="80" w:line="264" w:lineRule="auto"/>
            </w:pPr>
            <w:r>
              <w:rPr>
                <w:sz w:val="20"/>
                <w:szCs w:val="20"/>
              </w:rPr>
              <w:t xml:space="preserve">Familie Ahrens (fiktiv) lebt seit einigen Jahren in Toronto. Julias Eltern aus Leipzig würden gern mehrere Monate im Jahr bei Finn und Mia verbringen, ohne jedes halbe Jahr die Einreise neu zu organisieren. Da das Eltern- und Großeltern-Programm pausiert ist, beantragen sie stattdessen ein Super Visa: eine Kranken-Notfallversicherung mit 100.000 CAD Deckung, ein Einkommensnachweis von Markus und Julia als einladendem Paar, die ärztliche Untersuchung sowie die üblichen Unterlagen zur Familienbeziehung. Nach </w:t>
            </w:r>
            <w:r>
              <w:rPr>
                <w:sz w:val="20"/>
                <w:szCs w:val="20"/>
              </w:rPr>
              <w:t>Genehmigung dürfen die Großeltern bis zu fünf Jahre am Stück bleiben – ein Daueraufenthaltstitel ist das Super Visa trotzdem nicht, und ohne gültige Versicherung erlischt die Berechtigung.</w:t>
            </w:r>
          </w:p>
        </w:tc>
      </w:tr>
    </w:tbl>
    <w:p w14:paraId="70A4F8EF"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F2"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8F0" w14:textId="77777777" w:rsidR="00C1548D" w:rsidRDefault="009B1B4B">
            <w:pPr>
              <w:keepNext/>
              <w:spacing w:after="70" w:line="240" w:lineRule="auto"/>
            </w:pPr>
            <w:r>
              <w:rPr>
                <w:b/>
                <w:bCs/>
                <w:color w:val="2F6B3B"/>
                <w:spacing w:val="24"/>
                <w:sz w:val="16"/>
                <w:szCs w:val="16"/>
              </w:rPr>
              <w:t>SPARTIPP</w:t>
            </w:r>
          </w:p>
          <w:p w14:paraId="70A4F8F1" w14:textId="77777777" w:rsidR="00C1548D" w:rsidRDefault="009B1B4B">
            <w:pPr>
              <w:spacing w:after="80" w:line="264" w:lineRule="auto"/>
            </w:pPr>
            <w:r>
              <w:rPr>
                <w:sz w:val="20"/>
                <w:szCs w:val="20"/>
              </w:rPr>
              <w:t>Vergleiche mehrere Anbieter für die Kranken-Notfallversicherung, bevor du dich festlegst. Seit ausländische, bei der OSFI registrierte Versicherer zugelassen sind, lohnt sich auch ein Blick auf internationale Krankenversicherer neben den klassischen kanadischen Anbietern – die Prämien für Personen über 60 oder 70 Jahre unterscheiden sich zwischen Anbietern merklich. Prüfe zudem, ob eine Police für die volle mögliche Aufenthaltsdauer oder nur für ein Jahr mit Verlängerungsoption günstiger ist, und kläre vora</w:t>
            </w:r>
            <w:r>
              <w:rPr>
                <w:sz w:val="20"/>
                <w:szCs w:val="20"/>
              </w:rPr>
              <w:t>b, was bei einer vorzeitigen Rückreise nach Deutschland mit bereits gezahlten Beiträgen passiert.</w:t>
            </w:r>
          </w:p>
        </w:tc>
      </w:tr>
    </w:tbl>
    <w:p w14:paraId="70A4F8F3" w14:textId="77777777" w:rsidR="00C1548D" w:rsidRDefault="00C1548D">
      <w:pPr>
        <w:spacing w:line="220" w:lineRule="exact"/>
      </w:pPr>
    </w:p>
    <w:p w14:paraId="70A4F8F4" w14:textId="77777777" w:rsidR="00C1548D" w:rsidRDefault="009B1B4B">
      <w:pPr>
        <w:pStyle w:val="Heading4"/>
        <w:keepNext/>
        <w:jc w:val="center"/>
      </w:pPr>
      <w:r>
        <w:rPr>
          <w:rFonts w:ascii="Amazon Ember" w:eastAsia="Amazon Ember" w:hAnsi="Amazon Ember" w:cs="Amazon Ember"/>
          <w:color w:val="0000FF"/>
          <w:sz w:val="36"/>
          <w:szCs w:val="36"/>
        </w:rPr>
        <w:t>Kein eigenständiger Weg ohne kanadisches Kind</w:t>
      </w:r>
    </w:p>
    <w:p w14:paraId="70A4F8F5" w14:textId="77777777" w:rsidR="00C1548D" w:rsidRDefault="009B1B4B">
      <w:pPr>
        <w:spacing w:after="140"/>
      </w:pPr>
      <w:r>
        <w:t>Wer keine Kinder oder Enkelkinder mit kanadischem Status hat, findet in Kanada keine Alternative wie ein rein vermögensbasiertes Ruhestandsvisum. Bleibt die Bindung an ein bereits im Land lebendes Kind aus, bleibt nur der reguläre Besuchsstatus – maximal sechs Monate pro Einreise, ohne jede Perspektive auf Daueraufenthalt und ohne Zugang zum öffentlichen Gesundheitssystem.</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F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8F6" w14:textId="77777777" w:rsidR="00C1548D" w:rsidRDefault="009B1B4B">
            <w:pPr>
              <w:keepNext/>
              <w:spacing w:after="70" w:line="240" w:lineRule="auto"/>
            </w:pPr>
            <w:r>
              <w:rPr>
                <w:b/>
                <w:bCs/>
                <w:color w:val="9B2C2C"/>
                <w:spacing w:val="24"/>
                <w:sz w:val="16"/>
                <w:szCs w:val="16"/>
              </w:rPr>
              <w:lastRenderedPageBreak/>
              <w:t>ACHTUNG</w:t>
            </w:r>
          </w:p>
          <w:p w14:paraId="70A4F8F7" w14:textId="77777777" w:rsidR="00C1548D" w:rsidRDefault="009B1B4B">
            <w:pPr>
              <w:spacing w:after="80" w:line="264" w:lineRule="auto"/>
            </w:pPr>
            <w:r>
              <w:rPr>
                <w:sz w:val="20"/>
                <w:szCs w:val="20"/>
              </w:rPr>
              <w:t>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 und ohne kanadisches Kind gibt es dafür in Kanada derzeit keinen Weg.</w:t>
            </w:r>
          </w:p>
        </w:tc>
      </w:tr>
    </w:tbl>
    <w:p w14:paraId="70A4F8F9" w14:textId="77777777" w:rsidR="00C1548D" w:rsidRDefault="00C1548D">
      <w:pPr>
        <w:spacing w:line="220" w:lineRule="exact"/>
      </w:pPr>
    </w:p>
    <w:p w14:paraId="70A4F8FA" w14:textId="2F22B713" w:rsidR="00C1548D" w:rsidRDefault="009B1B4B">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history="1">
        <w:r>
          <w:rPr>
            <w:color w:val="0563C1"/>
            <w:u w:val="single"/>
          </w:rPr>
          <w:t>vorherige Kapitel in diesem Teil</w:t>
        </w:r>
      </w:hyperlink>
      <w:r>
        <w:t>), kann diese Rolle noch nicht übernehmen. Wer als Elternteil oder Großelternteil auf einen Nachzug hofft, sollte deshalb realistisch einplanen, dass zwischen der Ankunft des Kindes in Kanada und dessen eigener Berechtigung als Sponsor häufig mehrere Jahre liegen – die Zeit, die das Kind für den eigenen PR-Antrag und gegebenenfalls die Einbürgerung braucht.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8FD"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8FB" w14:textId="77777777" w:rsidR="00C1548D" w:rsidRDefault="009B1B4B">
            <w:pPr>
              <w:keepNext/>
              <w:spacing w:after="70" w:line="240" w:lineRule="auto"/>
            </w:pPr>
            <w:r>
              <w:rPr>
                <w:b/>
                <w:bCs/>
                <w:color w:val="8A6212"/>
                <w:spacing w:val="24"/>
                <w:sz w:val="16"/>
                <w:szCs w:val="16"/>
              </w:rPr>
              <w:t>MERKE</w:t>
            </w:r>
          </w:p>
          <w:p w14:paraId="70A4F8FC" w14:textId="77777777" w:rsidR="00C1548D" w:rsidRDefault="009B1B4B">
            <w:pPr>
              <w:spacing w:after="80" w:line="264" w:lineRule="auto"/>
            </w:pPr>
            <w:r>
              <w:rPr>
                <w:sz w:val="20"/>
                <w:szCs w:val="20"/>
              </w:rPr>
              <w:t>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tc>
      </w:tr>
    </w:tbl>
    <w:p w14:paraId="70A4F8FE" w14:textId="77777777" w:rsidR="00C1548D" w:rsidRDefault="00C1548D">
      <w:pPr>
        <w:spacing w:line="220" w:lineRule="exact"/>
      </w:pPr>
    </w:p>
    <w:p w14:paraId="70A4F8FF" w14:textId="77777777" w:rsidR="00C1548D" w:rsidRDefault="009B1B4B">
      <w:pPr>
        <w:pStyle w:val="Heading3"/>
        <w:keepNext/>
        <w:jc w:val="center"/>
      </w:pPr>
      <w:r>
        <w:rPr>
          <w:rFonts w:ascii="Amazon Ember" w:eastAsia="Amazon Ember" w:hAnsi="Amazon Ember" w:cs="Amazon Ember"/>
          <w:color w:val="0000FF"/>
          <w:sz w:val="36"/>
          <w:szCs w:val="36"/>
        </w:rPr>
        <w:lastRenderedPageBreak/>
        <w:t>Krankenversicherung und Steuern für Ruheständler</w:t>
      </w:r>
    </w:p>
    <w:p w14:paraId="70A4F900" w14:textId="708EA4BA" w:rsidR="00C1548D" w:rsidRDefault="009B1B4B">
      <w:pPr>
        <w:spacing w:after="140"/>
      </w:pPr>
      <w:r>
        <w:t>Die öffentlichen Provinz-Gesundheitspläne (etwa OHIP in Ontario) stehen Super-Visa-Inhaberinnen und -Inhabern nicht offen –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w:t>
      </w:r>
      <w:r>
        <w:t xml:space="preserve">üngeren Reisenden. Ausführlich behandelt das </w:t>
      </w:r>
      <w:hyperlink w:anchor="tka08" w:history="1">
        <w:r>
          <w:rPr>
            <w:color w:val="0563C1"/>
            <w:u w:val="single"/>
          </w:rPr>
          <w:t>Gesundheitssystem-Kapitel in diesem Teil</w:t>
        </w:r>
      </w:hyperlink>
      <w:r>
        <w:t>, wie sich Kanadas Provinz-Gesundheitssysteme grundsätzlich von der deutschen gesetzlichen Krankenversicherung unterscheiden.</w:t>
      </w:r>
    </w:p>
    <w:p w14:paraId="70A4F901" w14:textId="77777777" w:rsidR="00C1548D" w:rsidRDefault="009B1B4B">
      <w:pPr>
        <w:spacing w:after="140"/>
      </w:pPr>
      <w:r>
        <w:t>Steuerlich gilt: Kanada und Deutschland haben seit dem 28. März 2002 ein Doppelbesteuerungsabkommen. Anders als im deutsch-amerikanischen Abkommen ist die Behandlung der gesetzlichen deutschen Rente hier zu deinen Ungunsten geregelt: Seit einer Gesetzesänderung zum 1. Januar 2005 bleibt die gesetzliche Rente weiterhin in Deutschland steuerpflichtig, bestätigt durch ein Urteil des Bundesfinanzhofs vom Mai 2018. Kanadische Steueransässige müssen die Rente zwar zusätzlich als Welteinkommen in der kanadischen S</w:t>
      </w:r>
      <w:r>
        <w:t>teuererklärung angeben, können die in Deutschland gezahlte Steuer aber als Anrechnung (</w:t>
      </w:r>
      <w:r>
        <w:rPr>
          <w:i/>
          <w:iCs/>
        </w:rPr>
        <w:t>Foreign Tax Credit</w:t>
      </w:r>
      <w:r>
        <w:t>) gegenrechnen – eine echte Doppelbesteuerung entsteht dadurch in der Regel nicht, wohl aber zusätzlicher Erklärungsaufwand in zwei Ländern. Die deutsche Seite dieser Rechnung, samt Rente, Riester/Rürup und Vorsorge, behandelt das Kapitel zu Steuern, Rente und Geld in diesem Buch im Detail.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04"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902" w14:textId="77777777" w:rsidR="00C1548D" w:rsidRDefault="009B1B4B">
            <w:pPr>
              <w:keepNext/>
              <w:spacing w:after="70" w:line="240" w:lineRule="auto"/>
            </w:pPr>
            <w:r>
              <w:rPr>
                <w:b/>
                <w:bCs/>
                <w:color w:val="6B7280"/>
                <w:spacing w:val="24"/>
                <w:sz w:val="16"/>
                <w:szCs w:val="16"/>
              </w:rPr>
              <w:lastRenderedPageBreak/>
              <w:t>KEIN RECHTSRAT</w:t>
            </w:r>
          </w:p>
          <w:p w14:paraId="70A4F903" w14:textId="77777777" w:rsidR="00C1548D" w:rsidRDefault="009B1B4B">
            <w:pPr>
              <w:spacing w:after="80" w:line="264" w:lineRule="auto"/>
            </w:pPr>
            <w:r>
              <w:rPr>
                <w:sz w:val="20"/>
                <w:szCs w:val="20"/>
              </w:rPr>
              <w:t>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tc>
      </w:tr>
    </w:tbl>
    <w:p w14:paraId="70A4F905" w14:textId="77777777" w:rsidR="00C1548D" w:rsidRDefault="00C1548D">
      <w:pPr>
        <w:spacing w:line="220" w:lineRule="exact"/>
      </w:pPr>
    </w:p>
    <w:p w14:paraId="70A4F906"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909"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907"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908" w14:textId="77777777" w:rsidR="00C1548D" w:rsidRDefault="009B1B4B">
            <w:pPr>
              <w:spacing w:line="250" w:lineRule="auto"/>
            </w:pPr>
            <w:r>
              <w:rPr>
                <w:b/>
                <w:bCs/>
                <w:sz w:val="18"/>
                <w:szCs w:val="18"/>
              </w:rPr>
              <w:t>Minus</w:t>
            </w:r>
          </w:p>
        </w:tc>
      </w:tr>
      <w:tr w:rsidR="00C1548D" w14:paraId="70A4F90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0A" w14:textId="77777777" w:rsidR="00C1548D" w:rsidRDefault="009B1B4B">
            <w:pPr>
              <w:spacing w:line="250" w:lineRule="auto"/>
            </w:pPr>
            <w:r>
              <w:rPr>
                <w:sz w:val="18"/>
                <w:szCs w:val="18"/>
              </w:rPr>
              <w:t>Ehepartner-Sponsoring verlangt kein Mindesteinkommen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0B" w14:textId="77777777" w:rsidR="00C1548D" w:rsidRDefault="009B1B4B">
            <w:pPr>
              <w:spacing w:line="250" w:lineRule="auto"/>
            </w:pPr>
            <w:r>
              <w:rPr>
                <w:sz w:val="18"/>
                <w:szCs w:val="18"/>
              </w:rPr>
              <w:t>Bearbeitung dauert dennoch 15 bis 24 Monate</w:t>
            </w:r>
          </w:p>
        </w:tc>
      </w:tr>
      <w:tr w:rsidR="00C1548D" w14:paraId="70A4F90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0D" w14:textId="77777777" w:rsidR="00C1548D" w:rsidRDefault="009B1B4B">
            <w:pPr>
              <w:spacing w:line="250" w:lineRule="auto"/>
            </w:pPr>
            <w:r>
              <w:rPr>
                <w:sz w:val="18"/>
                <w:szCs w:val="18"/>
              </w:rPr>
              <w:t>Super Visa erlaubt bis zu fünf Jahre am Stück</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0E" w14:textId="77777777" w:rsidR="00C1548D" w:rsidRDefault="009B1B4B">
            <w:pPr>
              <w:spacing w:line="250" w:lineRule="auto"/>
            </w:pPr>
            <w:r>
              <w:rPr>
                <w:sz w:val="18"/>
                <w:szCs w:val="18"/>
              </w:rPr>
              <w:t>Super Visa ist kein Daueraufenthaltstitel</w:t>
            </w:r>
          </w:p>
        </w:tc>
      </w:tr>
      <w:tr w:rsidR="00C1548D" w14:paraId="70A4F91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10" w14:textId="77777777" w:rsidR="00C1548D" w:rsidRDefault="009B1B4B">
            <w:pPr>
              <w:spacing w:line="250" w:lineRule="auto"/>
            </w:pPr>
            <w:r>
              <w:rPr>
                <w:sz w:val="18"/>
                <w:szCs w:val="18"/>
              </w:rPr>
              <w:t>Einkommensanrechnung der Eltern seit 2026 erleichtert die Schwelle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11" w14:textId="77777777" w:rsidR="00C1548D" w:rsidRDefault="009B1B4B">
            <w:pPr>
              <w:spacing w:line="250" w:lineRule="auto"/>
            </w:pPr>
            <w:r>
              <w:rPr>
                <w:sz w:val="18"/>
                <w:szCs w:val="18"/>
              </w:rPr>
              <w:t>Pflichtversicherung von mindestens 100.000 CAD nötig</w:t>
            </w:r>
          </w:p>
        </w:tc>
      </w:tr>
      <w:tr w:rsidR="00C1548D" w14:paraId="70A4F91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13" w14:textId="77777777" w:rsidR="00C1548D" w:rsidRDefault="009B1B4B">
            <w:pPr>
              <w:spacing w:line="250" w:lineRule="auto"/>
            </w:pPr>
            <w:r>
              <w:rPr>
                <w:sz w:val="18"/>
                <w:szCs w:val="18"/>
              </w:rPr>
              <w:t>PNP-Unternehmerströme bleiben trotz Start-up-Visa-Pause offen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14" w14:textId="77777777" w:rsidR="00C1548D" w:rsidRDefault="009B1B4B">
            <w:pPr>
              <w:spacing w:line="250" w:lineRule="auto"/>
            </w:pPr>
            <w:r>
              <w:rPr>
                <w:sz w:val="18"/>
                <w:szCs w:val="18"/>
              </w:rPr>
              <w:t>Start-up Visa selbst faktisch geschlossen</w:t>
            </w:r>
          </w:p>
        </w:tc>
      </w:tr>
      <w:tr w:rsidR="00C1548D" w14:paraId="70A4F91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16" w14:textId="77777777" w:rsidR="00C1548D" w:rsidRDefault="009B1B4B">
            <w:pPr>
              <w:spacing w:line="250" w:lineRule="auto"/>
            </w:pPr>
            <w:r>
              <w:rPr>
                <w:sz w:val="18"/>
                <w:szCs w:val="18"/>
              </w:rPr>
              <w:t>Doppelbesteuerung wird durch das DBA vermieden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17" w14:textId="77777777" w:rsidR="00C1548D" w:rsidRDefault="009B1B4B">
            <w:pPr>
              <w:spacing w:line="250" w:lineRule="auto"/>
            </w:pPr>
            <w:r>
              <w:rPr>
                <w:sz w:val="18"/>
                <w:szCs w:val="18"/>
              </w:rPr>
              <w:t>Deutsche Rente bleibt trotzdem in Deutschland steuerpflichtig</w:t>
            </w:r>
          </w:p>
        </w:tc>
      </w:tr>
      <w:tr w:rsidR="00C1548D" w14:paraId="70A4F91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19" w14:textId="77777777" w:rsidR="00C1548D" w:rsidRDefault="009B1B4B">
            <w:pPr>
              <w:spacing w:line="250" w:lineRule="auto"/>
            </w:pPr>
            <w:r>
              <w:rPr>
                <w:sz w:val="18"/>
                <w:szCs w:val="18"/>
              </w:rPr>
              <w: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1A" w14:textId="77777777" w:rsidR="00C1548D" w:rsidRDefault="009B1B4B">
            <w:pPr>
              <w:spacing w:line="250" w:lineRule="auto"/>
            </w:pPr>
            <w:r>
              <w:rPr>
                <w:sz w:val="18"/>
                <w:szCs w:val="18"/>
              </w:rPr>
              <w:t>Ohne kanadisches Kind kein Ruhestandsweg überhaupt</w:t>
            </w:r>
          </w:p>
        </w:tc>
      </w:tr>
    </w:tbl>
    <w:p w14:paraId="70A4F91C" w14:textId="77777777" w:rsidR="00C1548D" w:rsidRDefault="00C1548D">
      <w:pPr>
        <w:spacing w:line="180" w:lineRule="exact"/>
      </w:pPr>
    </w:p>
    <w:p w14:paraId="70A4F91D"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91E" w14:textId="77777777" w:rsidR="00C1548D" w:rsidRDefault="009B1B4B">
      <w:pPr>
        <w:spacing w:after="140"/>
      </w:pPr>
      <w:r>
        <w:t xml:space="preserve">Kläre zuerst ehrlich, welcher Fall auf deine Familie zutrifft: Ehepartner-Sponsoring, Eltern-/Großeltern-Besuch über das Super Visa oder – ohne kanadisches Kind – realistisch gar keiner dieser Wege. Prüfe bei einem Sponsoring-Vorhaben frühzeitig die Einkommensschwellen und beginne die Unterlagen (Nachweise der Beziehung, Einkommensnachweise, Übersetzungen) rechtzeitig, da die Bearbeitung Monate bis Jahre dauert. Kläre außerdem, ob die sponsernde Person in Kanada überhaupt schon Staatsbürgerin, Staatsbürger </w:t>
      </w:r>
      <w:r>
        <w:t xml:space="preserve">oder PR-Inhaberin beziehungsweise PR-Inhaber ist – </w:t>
      </w:r>
      <w:r>
        <w:lastRenderedPageBreak/>
        <w:t>ohne diesen Status kann sie noch niemanden sponsern, egal wie gut die übrigen Voraussetzungen aussehen.</w:t>
      </w:r>
    </w:p>
    <w:p w14:paraId="70A4F91F" w14:textId="77777777" w:rsidR="00C1548D" w:rsidRDefault="009B1B4B">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Und wer ohne jeden Kanada-Bezug an den Ruhestand dort denkt, sollte diesen Plan gegen realistischere Alternativen abwägen – etwa gegen die in d</w:t>
      </w:r>
      <w:r>
        <w:t>en anderen Länder-Teilen dieses Buches beschriebenen Wege.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28"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920" w14:textId="77777777" w:rsidR="00C1548D" w:rsidRDefault="009B1B4B">
            <w:pPr>
              <w:keepNext/>
              <w:spacing w:after="70" w:line="240" w:lineRule="auto"/>
            </w:pPr>
            <w:r>
              <w:rPr>
                <w:b/>
                <w:bCs/>
                <w:color w:val="1F6F78"/>
                <w:spacing w:val="24"/>
                <w:sz w:val="16"/>
                <w:szCs w:val="16"/>
              </w:rPr>
              <w:t>CHECKLISTE</w:t>
            </w:r>
          </w:p>
          <w:p w14:paraId="70A4F92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Klären, ob Ehepartner-Sponsoring, Super Visa oder kein familienbasierter Weg zutrifft</w:t>
            </w:r>
          </w:p>
          <w:p w14:paraId="70A4F92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Ehepartner-Sponsoring: Einkommensnachweis des Sponsors und Beziehungsnachweise vorbereiten</w:t>
            </w:r>
          </w:p>
          <w:p w14:paraId="70A4F92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Super Visa: mehrere Angebote für die Kranken-Notfallversicherung (mind. 100.000 CAD) einholen</w:t>
            </w:r>
          </w:p>
          <w:p w14:paraId="70A4F92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Einkommensschwelle der einladenden Person berechnen, inklusive möglicher Anrechnung ab 2026</w:t>
            </w:r>
          </w:p>
          <w:p w14:paraId="70A4F92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Gründungsplänen: provinzielle Unternehmerströme statt Start-up Visa prüfen</w:t>
            </w:r>
          </w:p>
          <w:p w14:paraId="70A4F92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Steuerliche Behandlung der deutschen Rente mit einer Steuerberatung klären</w:t>
            </w:r>
          </w:p>
          <w:p w14:paraId="70A4F92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Regelmäßig auf canada.ca prüfen, ob sich am PGP oder am Start-up Visa etwas ändert</w:t>
            </w:r>
          </w:p>
        </w:tc>
      </w:tr>
    </w:tbl>
    <w:p w14:paraId="70A4F929" w14:textId="77777777" w:rsidR="00C1548D" w:rsidRDefault="00C1548D">
      <w:pPr>
        <w:spacing w:line="220" w:lineRule="exact"/>
      </w:pPr>
    </w:p>
    <w:p w14:paraId="70A4F92A"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92B" w14:textId="14500EC4" w:rsidR="00C1548D" w:rsidRDefault="009B1B4B" w:rsidP="009B1B4B">
      <w:pPr>
        <w:pStyle w:val="ListParagraph"/>
        <w:numPr>
          <w:ilvl w:val="0"/>
          <w:numId w:val="1"/>
        </w:numPr>
        <w:spacing w:after="60"/>
      </w:pPr>
      <w:r>
        <w:t>IRCC — Gebührenübersicht (</w:t>
      </w:r>
      <w:hyperlink r:id="rId503" w:history="1">
        <w:r>
          <w:rPr>
            <w:color w:val="0563C1"/>
            <w:u w:val="single"/>
          </w:rPr>
          <w:t>ircc.canada.ca/english/information/fees/fees.asp</w:t>
        </w:r>
      </w:hyperlink>
      <w:r>
        <w:t>)</w:t>
      </w:r>
    </w:p>
    <w:p w14:paraId="70A4F92C" w14:textId="3A74288B" w:rsidR="00C1548D" w:rsidRDefault="009B1B4B" w:rsidP="009B1B4B">
      <w:pPr>
        <w:pStyle w:val="ListParagraph"/>
        <w:numPr>
          <w:ilvl w:val="0"/>
          <w:numId w:val="1"/>
        </w:numPr>
        <w:spacing w:after="60"/>
      </w:pPr>
      <w:r>
        <w:lastRenderedPageBreak/>
        <w:t>IRCC — Ehepartner- und Lebenspartner-Sponsoring (</w:t>
      </w:r>
      <w:hyperlink r:id="rId504" w:history="1">
        <w:r>
          <w:rPr>
            <w:color w:val="0563C1"/>
            <w:u w:val="single"/>
          </w:rPr>
          <w:t>canada.ca/.../sponsor-spouse-partner-child.html</w:t>
        </w:r>
      </w:hyperlink>
      <w:r>
        <w:t>)</w:t>
      </w:r>
    </w:p>
    <w:p w14:paraId="70A4F92D" w14:textId="73C2FFF9" w:rsidR="00C1548D" w:rsidRDefault="009B1B4B" w:rsidP="009B1B4B">
      <w:pPr>
        <w:pStyle w:val="ListParagraph"/>
        <w:numPr>
          <w:ilvl w:val="0"/>
          <w:numId w:val="1"/>
        </w:numPr>
        <w:spacing w:after="60"/>
      </w:pPr>
      <w:r>
        <w:t>IRCC — Eltern- und Großeltern-Programm, Einkommensvoraussetzungen (</w:t>
      </w:r>
      <w:hyperlink r:id="rId505" w:history="1">
        <w:r>
          <w:rPr>
            <w:color w:val="0563C1"/>
            <w:u w:val="single"/>
          </w:rPr>
          <w:t>canada.ca/.../sponsor-parents-grandparents/eligibility/income.html</w:t>
        </w:r>
      </w:hyperlink>
      <w:r>
        <w:t>)</w:t>
      </w:r>
    </w:p>
    <w:p w14:paraId="70A4F92E" w14:textId="0EBBD6CE" w:rsidR="00C1548D" w:rsidRDefault="009B1B4B" w:rsidP="009B1B4B">
      <w:pPr>
        <w:pStyle w:val="ListParagraph"/>
        <w:numPr>
          <w:ilvl w:val="0"/>
          <w:numId w:val="1"/>
        </w:numPr>
        <w:spacing w:after="60"/>
      </w:pPr>
      <w:r>
        <w:t>IRCC — Super Visa: Informationen und Anforderungen (</w:t>
      </w:r>
      <w:hyperlink r:id="rId506" w:history="1">
        <w:r>
          <w:rPr>
            <w:color w:val="0563C1"/>
            <w:u w:val="single"/>
          </w:rPr>
          <w:t>canada.ca/.../super-visa.html</w:t>
        </w:r>
      </w:hyperlink>
      <w:r>
        <w:t>)</w:t>
      </w:r>
    </w:p>
    <w:p w14:paraId="70A4F92F" w14:textId="59850512" w:rsidR="00C1548D" w:rsidRDefault="009B1B4B" w:rsidP="009B1B4B">
      <w:pPr>
        <w:pStyle w:val="ListParagraph"/>
        <w:numPr>
          <w:ilvl w:val="0"/>
          <w:numId w:val="1"/>
        </w:numPr>
        <w:spacing w:after="60"/>
      </w:pPr>
      <w:r>
        <w:t>IRCC — Start-up Visa: Zulässigkeit und designierte Organisationen (</w:t>
      </w:r>
      <w:hyperlink r:id="rId507" w:history="1">
        <w:r>
          <w:rPr>
            <w:color w:val="0563C1"/>
            <w:u w:val="single"/>
          </w:rPr>
          <w:t>canada.ca/.../start-visa.html</w:t>
        </w:r>
      </w:hyperlink>
      <w:r>
        <w:t>)</w:t>
      </w:r>
    </w:p>
    <w:p w14:paraId="70A4F930" w14:textId="272A40CE" w:rsidR="00C1548D" w:rsidRDefault="009B1B4B" w:rsidP="009B1B4B">
      <w:pPr>
        <w:pStyle w:val="ListParagraph"/>
        <w:numPr>
          <w:ilvl w:val="0"/>
          <w:numId w:val="1"/>
        </w:numPr>
        <w:spacing w:after="60"/>
      </w:pPr>
      <w:r>
        <w:t>Canada Revenue Agency / BZSt — Doppelbesteuerungsabkommen Kanada–Deutschland (</w:t>
      </w:r>
      <w:hyperlink r:id="rId508" w:history="1">
        <w:r>
          <w:rPr>
            <w:color w:val="0563C1"/>
            <w:u w:val="single"/>
          </w:rPr>
          <w:t>canada.ca</w:t>
        </w:r>
      </w:hyperlink>
      <w:r>
        <w:t xml:space="preserve"> Competent Authority Notices; </w:t>
      </w:r>
      <w:hyperlink r:id="rId509" w:history="1">
        <w:r>
          <w:rPr>
            <w:color w:val="0563C1"/>
            <w:u w:val="single"/>
          </w:rPr>
          <w:t>bzst.de</w:t>
        </w:r>
      </w:hyperlink>
      <w:r>
        <w:t>)</w:t>
      </w:r>
    </w:p>
    <w:p w14:paraId="70A4F931"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34"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932" w14:textId="77777777" w:rsidR="00C1548D" w:rsidRDefault="009B1B4B">
            <w:pPr>
              <w:keepNext/>
              <w:spacing w:after="70" w:line="240" w:lineRule="auto"/>
            </w:pPr>
            <w:r>
              <w:rPr>
                <w:b/>
                <w:bCs/>
                <w:color w:val="6B7280"/>
                <w:spacing w:val="24"/>
                <w:sz w:val="16"/>
                <w:szCs w:val="16"/>
              </w:rPr>
              <w:t>STAND</w:t>
            </w:r>
          </w:p>
          <w:p w14:paraId="70A4F933" w14:textId="77777777" w:rsidR="00C1548D" w:rsidRDefault="009B1B4B">
            <w:pPr>
              <w:spacing w:after="80" w:line="264" w:lineRule="auto"/>
            </w:pPr>
            <w:r>
              <w:rPr>
                <w:sz w:val="20"/>
                <w:szCs w:val="20"/>
              </w:rPr>
              <w:t>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canada.ca.</w:t>
            </w:r>
          </w:p>
        </w:tc>
      </w:tr>
    </w:tbl>
    <w:p w14:paraId="70A4F935" w14:textId="77777777" w:rsidR="00C1548D" w:rsidRDefault="00C1548D">
      <w:pPr>
        <w:spacing w:line="220" w:lineRule="exact"/>
      </w:pPr>
    </w:p>
    <w:p w14:paraId="70A4F936" w14:textId="77777777" w:rsidR="00C1548D" w:rsidRDefault="009B1B4B">
      <w:pPr>
        <w:pStyle w:val="Heading2"/>
        <w:keepNext/>
        <w:pageBreakBefore/>
        <w:jc w:val="center"/>
      </w:pPr>
      <w:bookmarkStart w:id="143" w:name="tka05"/>
      <w:bookmarkStart w:id="144" w:name="_Toc241352523"/>
      <w:r>
        <w:rPr>
          <w:rFonts w:ascii="Amazon Ember" w:eastAsia="Amazon Ember" w:hAnsi="Amazon Ember" w:cs="Amazon Ember"/>
          <w:color w:val="0000FF"/>
          <w:sz w:val="36"/>
          <w:szCs w:val="36"/>
        </w:rPr>
        <w:lastRenderedPageBreak/>
        <w:t>Kanada: Antrag, Konsulat und Kosten</w:t>
      </w:r>
      <w:bookmarkEnd w:id="143"/>
      <w:bookmarkEnd w:id="144"/>
    </w:p>
    <w:p w14:paraId="70A4F937" w14:textId="77777777" w:rsidR="00C1548D" w:rsidRDefault="009B1B4B">
      <w:pPr>
        <w:spacing w:after="140"/>
      </w:pPr>
      <w:r>
        <w:t>Markus Ahrens sitzt am Küchentisch in Leipzig, aktualisiert zum wiederholten Mal sein Online-Bewerberprofil für die kanadische Einwanderung und findet zwischen zwei Schlucken Kaffee eine Nachricht vor: „You have been invited to apply.“ Kein Feuerwerk, kein Anruf, nicht einmal ein Ausrufezeichen – nur eine betont sachliche E-Mail, und von nun an laufen 60 Tage, in denen aus einem Online-Profil ein vollständiger Antrag werden muss. Was folgt, ist keine Reise zu einer Botschaft mit Wartenummer und Sicherheitss</w:t>
      </w:r>
      <w:r>
        <w:t>chleuse, sondern ein Verwaltungsmarathon am Bildschirm: ein Online-Konto, mehrere Gebühren in kanadischen Dollar, ein Termin bei einem privaten Dienstleister in Berlin für Fingerabdrücke – und die leise Erkenntnis, dass „online erledigt“ in Kanada nicht dasselbe bedeutet wie „schnell erledigt“.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3F"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938" w14:textId="77777777" w:rsidR="00C1548D" w:rsidRDefault="009B1B4B">
            <w:pPr>
              <w:keepNext/>
              <w:spacing w:after="70" w:line="240" w:lineRule="auto"/>
            </w:pPr>
            <w:r>
              <w:rPr>
                <w:b/>
                <w:bCs/>
                <w:color w:val="1F3A5F"/>
                <w:spacing w:val="24"/>
                <w:sz w:val="16"/>
                <w:szCs w:val="16"/>
              </w:rPr>
              <w:lastRenderedPageBreak/>
              <w:t>KURZ GESAGT</w:t>
            </w:r>
          </w:p>
          <w:p w14:paraId="70A4F939" w14:textId="77777777" w:rsidR="00C1548D" w:rsidRDefault="009B1B4B" w:rsidP="009B1B4B">
            <w:pPr>
              <w:pStyle w:val="ListParagraph"/>
              <w:numPr>
                <w:ilvl w:val="0"/>
                <w:numId w:val="1"/>
              </w:numPr>
              <w:spacing w:after="50" w:line="264" w:lineRule="auto"/>
            </w:pPr>
            <w:r>
              <w:rPr>
                <w:sz w:val="20"/>
                <w:szCs w:val="20"/>
              </w:rPr>
              <w:t xml:space="preserve">Fast der gesamte Antrag läuft online über dein persönliches Konto bei </w:t>
            </w:r>
            <w:r>
              <w:rPr>
                <w:i/>
                <w:iCs/>
                <w:sz w:val="20"/>
                <w:szCs w:val="20"/>
              </w:rPr>
              <w:t>Immigration, Refugees and Citizenship Canada</w:t>
            </w:r>
            <w:r>
              <w:rPr>
                <w:sz w:val="20"/>
                <w:szCs w:val="20"/>
              </w:rPr>
              <w:t xml:space="preserve"> (IRCC), der kanadischen Einwanderungsbehörde. Einen Termin bei einer kanadischen Auslandsvertretung gibt es für die meisten Antragsarten nicht.</w:t>
            </w:r>
          </w:p>
          <w:p w14:paraId="70A4F93A" w14:textId="77777777" w:rsidR="00C1548D" w:rsidRDefault="009B1B4B" w:rsidP="009B1B4B">
            <w:pPr>
              <w:pStyle w:val="ListParagraph"/>
              <w:numPr>
                <w:ilvl w:val="0"/>
                <w:numId w:val="1"/>
              </w:numPr>
              <w:spacing w:after="50" w:line="264" w:lineRule="auto"/>
            </w:pPr>
            <w:r>
              <w:rPr>
                <w:sz w:val="20"/>
                <w:szCs w:val="20"/>
              </w:rPr>
              <w:t>Die Kosten hängen stark vom Weg ab: Ein einzelnes Arbeitsvisum kostet 155 CAD, der Antrag auf permanenten Aufenthalt für eine vierköpfige Familie schnell über 5.000 CAD – und eine Gebühr wird dabei gern übersehen.</w:t>
            </w:r>
          </w:p>
          <w:p w14:paraId="70A4F93B" w14:textId="77777777" w:rsidR="00C1548D" w:rsidRDefault="009B1B4B" w:rsidP="009B1B4B">
            <w:pPr>
              <w:pStyle w:val="ListParagraph"/>
              <w:numPr>
                <w:ilvl w:val="0"/>
                <w:numId w:val="1"/>
              </w:numPr>
              <w:spacing w:after="50" w:line="264" w:lineRule="auto"/>
            </w:pPr>
            <w:r>
              <w:rPr>
                <w:sz w:val="20"/>
                <w:szCs w:val="20"/>
              </w:rPr>
              <w:t>Gesundheitsuntersuchung und polizeiliches Führungszeugnis sind eigene Pflichtschritte mit eigenen Fristen, keine Fußnoten im Antrag.</w:t>
            </w:r>
          </w:p>
          <w:p w14:paraId="70A4F93C" w14:textId="77777777" w:rsidR="00C1548D" w:rsidRDefault="009B1B4B" w:rsidP="009B1B4B">
            <w:pPr>
              <w:pStyle w:val="ListParagraph"/>
              <w:numPr>
                <w:ilvl w:val="0"/>
                <w:numId w:val="1"/>
              </w:numPr>
              <w:spacing w:after="50" w:line="264" w:lineRule="auto"/>
            </w:pPr>
            <w:r>
              <w:rPr>
                <w:sz w:val="20"/>
                <w:szCs w:val="20"/>
              </w:rPr>
              <w:t xml:space="preserve">Biometrische Daten gibst du nicht bei einer Botschaft ab, sondern bei </w:t>
            </w:r>
            <w:r>
              <w:rPr>
                <w:i/>
                <w:iCs/>
                <w:sz w:val="20"/>
                <w:szCs w:val="20"/>
              </w:rPr>
              <w:t>VFS Global</w:t>
            </w:r>
            <w:r>
              <w:rPr>
                <w:sz w:val="20"/>
                <w:szCs w:val="20"/>
              </w:rPr>
              <w:t>, einem privaten Dienstleister mit Standort in Berlin.</w:t>
            </w:r>
          </w:p>
          <w:p w14:paraId="70A4F93D" w14:textId="77777777" w:rsidR="00C1548D" w:rsidRDefault="009B1B4B" w:rsidP="009B1B4B">
            <w:pPr>
              <w:pStyle w:val="ListParagraph"/>
              <w:numPr>
                <w:ilvl w:val="0"/>
                <w:numId w:val="1"/>
              </w:numPr>
              <w:spacing w:after="50" w:line="264" w:lineRule="auto"/>
            </w:pPr>
            <w:r>
              <w:rPr>
                <w:sz w:val="20"/>
                <w:szCs w:val="20"/>
              </w:rPr>
              <w:t>Bearbeitungszeiten schwanken zwischen wenigen Wochen und über einem halben Jahr, je nach Programm und Auslastung.</w:t>
            </w:r>
          </w:p>
          <w:p w14:paraId="70A4F93E" w14:textId="77777777" w:rsidR="00C1548D" w:rsidRDefault="009B1B4B" w:rsidP="009B1B4B">
            <w:pPr>
              <w:pStyle w:val="ListParagraph"/>
              <w:numPr>
                <w:ilvl w:val="0"/>
                <w:numId w:val="1"/>
              </w:numPr>
              <w:spacing w:after="50" w:line="264" w:lineRule="auto"/>
            </w:pPr>
            <w:r>
              <w:rPr>
                <w:sz w:val="20"/>
                <w:szCs w:val="20"/>
              </w:rPr>
              <w:t>Die deutschen Auslandsvertretungen in Kanada helfen bei deutschen Dokumenten – beim kanadischen Antrag selbst helfen sie nicht, das entscheidet ausschließlich IRCC.</w:t>
            </w:r>
          </w:p>
        </w:tc>
      </w:tr>
    </w:tbl>
    <w:p w14:paraId="70A4F940" w14:textId="77777777" w:rsidR="00C1548D" w:rsidRDefault="00C1548D">
      <w:pPr>
        <w:spacing w:line="220" w:lineRule="exact"/>
      </w:pPr>
    </w:p>
    <w:p w14:paraId="70A4F941" w14:textId="77777777" w:rsidR="00C1548D" w:rsidRDefault="009B1B4B">
      <w:pPr>
        <w:pStyle w:val="Heading3"/>
        <w:keepNext/>
        <w:jc w:val="center"/>
      </w:pPr>
      <w:r>
        <w:rPr>
          <w:rFonts w:ascii="Amazon Ember" w:eastAsia="Amazon Ember" w:hAnsi="Amazon Ember" w:cs="Amazon Ember"/>
          <w:color w:val="0000FF"/>
          <w:sz w:val="36"/>
          <w:szCs w:val="36"/>
        </w:rPr>
        <w:t>Kein Botschaftstermin, aber ein Aktenberg: das IRCC-System</w:t>
      </w:r>
    </w:p>
    <w:p w14:paraId="70A4F942" w14:textId="77777777" w:rsidR="00C1548D" w:rsidRDefault="009B1B4B">
      <w:pPr>
        <w:spacing w:after="140"/>
      </w:pPr>
      <w: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w:t>
      </w:r>
      <w:r>
        <w:rPr>
          <w:i/>
          <w:iCs/>
        </w:rPr>
        <w:t>Permanent Residence</w:t>
      </w:r>
      <w:r>
        <w:t>, kurz PR, funktional vergleichbar mit der amerikanischen Green Card) – alles läuft über dein persönliches IRCC-Konto. Dort lädst du Dokumente hoch, bezahlst Gebühren per Kreditkarte, verfolgst den Status und erhältst jede Nachricht der Behörde – nicht per Brief, nicht per Anruf, ausschließlich im Konto.</w:t>
      </w:r>
    </w:p>
    <w:p w14:paraId="70A4F943" w14:textId="23E82E85" w:rsidR="00C1548D" w:rsidRDefault="009B1B4B">
      <w:pPr>
        <w:spacing w:after="140"/>
      </w:pPr>
      <w:r>
        <w:lastRenderedPageBreak/>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 die </w:t>
      </w:r>
      <w:r>
        <w:rPr>
          <w:i/>
          <w:iCs/>
        </w:rPr>
        <w:t>Labour Market Impact Assessment</w:t>
      </w:r>
      <w:r>
        <w:t xml:space="preserve">, LMIA –,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history="1">
        <w:r>
          <w:rPr>
            <w:color w:val="0563C1"/>
            <w:u w:val="single"/>
          </w:rPr>
          <w:t>Kapitel zum Arbeitsweg in diesem Teil</w:t>
        </w:r>
      </w:hyperlink>
      <w:r>
        <w:t xml:space="preserve"> ausführlich. Hier geht es um das, was nach der Entscheidung für einen Weg kommt: das nüchterne Kleingedruckte aus Formularen, Gebühren und Fristen.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4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944" w14:textId="77777777" w:rsidR="00C1548D" w:rsidRDefault="009B1B4B">
            <w:pPr>
              <w:keepNext/>
              <w:spacing w:after="70" w:line="240" w:lineRule="auto"/>
            </w:pPr>
            <w:r>
              <w:rPr>
                <w:b/>
                <w:bCs/>
                <w:color w:val="8A6212"/>
                <w:spacing w:val="24"/>
                <w:sz w:val="16"/>
                <w:szCs w:val="16"/>
              </w:rPr>
              <w:t>MERKE</w:t>
            </w:r>
          </w:p>
          <w:p w14:paraId="70A4F945" w14:textId="3E10972E" w:rsidR="00C1548D" w:rsidRDefault="009B1B4B">
            <w:pPr>
              <w:spacing w:after="80" w:line="264" w:lineRule="auto"/>
            </w:pPr>
            <w:r>
              <w:rPr>
                <w:sz w:val="20"/>
                <w:szCs w:val="20"/>
              </w:rPr>
              <w:t xml:space="preserve">Ein genehmigtes Visum ist noch keine Einreise. Bei den meisten Wegen bekommst du zunächst nur die Zusage; Arbeitsvisum oder der Status als Permanent Resident werden formal erst an der Grenze beziehungsweise bei der Landung wirksam – dazu mehr im </w:t>
            </w:r>
            <w:hyperlink w:anchor="tka06" w:history="1">
              <w:r>
                <w:rPr>
                  <w:color w:val="0563C1"/>
                  <w:sz w:val="20"/>
                  <w:szCs w:val="20"/>
                  <w:u w:val="single"/>
                </w:rPr>
                <w:t>Kapitel zur Ankunft in diesem Teil</w:t>
              </w:r>
            </w:hyperlink>
            <w:r>
              <w:rPr>
                <w:sz w:val="20"/>
                <w:szCs w:val="20"/>
              </w:rPr>
              <w:t>.</w:t>
            </w:r>
          </w:p>
        </w:tc>
      </w:tr>
    </w:tbl>
    <w:p w14:paraId="70A4F947" w14:textId="77777777" w:rsidR="00C1548D" w:rsidRDefault="00C1548D">
      <w:pPr>
        <w:spacing w:line="220" w:lineRule="exact"/>
      </w:pPr>
    </w:p>
    <w:p w14:paraId="70A4F948" w14:textId="77777777" w:rsidR="00C1548D" w:rsidRDefault="009B1B4B">
      <w:pPr>
        <w:pStyle w:val="Heading3"/>
        <w:keepNext/>
        <w:jc w:val="center"/>
      </w:pPr>
      <w:r>
        <w:rPr>
          <w:rFonts w:ascii="Amazon Ember" w:eastAsia="Amazon Ember" w:hAnsi="Amazon Ember" w:cs="Amazon Ember"/>
          <w:color w:val="0000FF"/>
          <w:sz w:val="36"/>
          <w:szCs w:val="36"/>
        </w:rPr>
        <w:t>Was der Antrag wirklich kostet</w:t>
      </w:r>
    </w:p>
    <w:p w14:paraId="70A4F949" w14:textId="77777777" w:rsidR="00C1548D" w:rsidRDefault="009B1B4B">
      <w:pPr>
        <w:spacing w:after="140"/>
      </w:pPr>
      <w:r>
        <w:t>Die Gebühren unterscheiden sich drastisch je nach Antragsart, und wie so oft im Leben ist die erste Zahl, die man findet, selten die letzte.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3"/>
        <w:gridCol w:w="950"/>
        <w:gridCol w:w="1421"/>
        <w:gridCol w:w="2236"/>
      </w:tblGrid>
      <w:tr w:rsidR="00C1548D" w14:paraId="70A4F94E" w14:textId="77777777">
        <w:tblPrEx>
          <w:tblCellMar>
            <w:top w:w="0" w:type="dxa"/>
            <w:bottom w:w="0" w:type="dxa"/>
          </w:tblCellMar>
        </w:tblPrEx>
        <w:trPr>
          <w:cantSplit/>
          <w:tblHeader/>
        </w:trPr>
        <w:tc>
          <w:tcPr>
            <w:tcW w:w="187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94A" w14:textId="77777777" w:rsidR="00C1548D" w:rsidRDefault="009B1B4B">
            <w:pPr>
              <w:spacing w:line="250" w:lineRule="auto"/>
            </w:pPr>
            <w:r>
              <w:rPr>
                <w:b/>
                <w:bCs/>
                <w:sz w:val="18"/>
                <w:szCs w:val="18"/>
              </w:rPr>
              <w:t>Antragsart</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94B" w14:textId="77777777" w:rsidR="00C1548D" w:rsidRDefault="009B1B4B">
            <w:pPr>
              <w:spacing w:line="250" w:lineRule="auto"/>
            </w:pPr>
            <w:r>
              <w:rPr>
                <w:b/>
                <w:bCs/>
                <w:sz w:val="18"/>
                <w:szCs w:val="18"/>
              </w:rPr>
              <w:t>Gebühr Hauptantragsteller</w:t>
            </w:r>
          </w:p>
        </w:tc>
        <w:tc>
          <w:tcPr>
            <w:tcW w:w="142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94C" w14:textId="77777777" w:rsidR="00C1548D" w:rsidRDefault="009B1B4B">
            <w:pPr>
              <w:spacing w:line="250" w:lineRule="auto"/>
            </w:pPr>
            <w:r>
              <w:rPr>
                <w:b/>
                <w:bCs/>
                <w:sz w:val="18"/>
                <w:szCs w:val="18"/>
              </w:rPr>
              <w:t>Zusatzgebühr Partner/Kind</w:t>
            </w:r>
          </w:p>
        </w:tc>
        <w:tc>
          <w:tcPr>
            <w:tcW w:w="223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94D" w14:textId="77777777" w:rsidR="00C1548D" w:rsidRDefault="009B1B4B">
            <w:pPr>
              <w:spacing w:line="250" w:lineRule="auto"/>
            </w:pPr>
            <w:r>
              <w:rPr>
                <w:b/>
                <w:bCs/>
                <w:sz w:val="18"/>
                <w:szCs w:val="18"/>
              </w:rPr>
              <w:t>Bemerkung</w:t>
            </w:r>
          </w:p>
        </w:tc>
      </w:tr>
      <w:tr w:rsidR="00C1548D" w14:paraId="70A4F953" w14:textId="77777777">
        <w:tblPrEx>
          <w:tblCellMar>
            <w:top w:w="0" w:type="dxa"/>
            <w:bottom w:w="0" w:type="dxa"/>
          </w:tblCellMar>
        </w:tblPrEx>
        <w:trPr>
          <w:cantSplit/>
        </w:trPr>
        <w:tc>
          <w:tcPr>
            <w:tcW w:w="18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4F" w14:textId="77777777" w:rsidR="00C1548D" w:rsidRDefault="009B1B4B">
            <w:pPr>
              <w:spacing w:line="250" w:lineRule="auto"/>
            </w:pPr>
            <w:r>
              <w:rPr>
                <w:sz w:val="18"/>
                <w:szCs w:val="18"/>
              </w:rPr>
              <w:t>Arbeitsvisum (Work Permit)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0" w14:textId="77777777" w:rsidR="00C1548D" w:rsidRDefault="009B1B4B">
            <w:pPr>
              <w:spacing w:line="250" w:lineRule="auto"/>
            </w:pPr>
            <w:r>
              <w:rPr>
                <w:sz w:val="18"/>
                <w:szCs w:val="18"/>
              </w:rPr>
              <w:t>155 CAD</w:t>
            </w:r>
          </w:p>
        </w:tc>
        <w:tc>
          <w:tcPr>
            <w:tcW w:w="14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1" w14:textId="77777777" w:rsidR="00C1548D" w:rsidRDefault="009B1B4B">
            <w:pPr>
              <w:spacing w:line="250" w:lineRule="auto"/>
            </w:pPr>
            <w:r>
              <w:rPr>
                <w:sz w:val="18"/>
                <w:szCs w:val="18"/>
              </w:rPr>
              <w:t>je Person gleich</w:t>
            </w:r>
          </w:p>
        </w:tc>
        <w:tc>
          <w:tcPr>
            <w:tcW w:w="22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2" w14:textId="77777777" w:rsidR="00C1548D" w:rsidRDefault="009B1B4B">
            <w:pPr>
              <w:spacing w:line="250" w:lineRule="auto"/>
            </w:pPr>
            <w:r>
              <w:rPr>
                <w:sz w:val="18"/>
                <w:szCs w:val="18"/>
              </w:rPr>
              <w:t>zzgl. 100 CAD bei offenem, nicht arbeitgebergebundenem Visum</w:t>
            </w:r>
          </w:p>
        </w:tc>
      </w:tr>
      <w:tr w:rsidR="00C1548D" w14:paraId="70A4F958" w14:textId="77777777">
        <w:tblPrEx>
          <w:tblCellMar>
            <w:top w:w="0" w:type="dxa"/>
            <w:bottom w:w="0" w:type="dxa"/>
          </w:tblCellMar>
        </w:tblPrEx>
        <w:trPr>
          <w:cantSplit/>
        </w:trPr>
        <w:tc>
          <w:tcPr>
            <w:tcW w:w="18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4" w14:textId="77777777" w:rsidR="00C1548D" w:rsidRDefault="009B1B4B">
            <w:pPr>
              <w:spacing w:line="250" w:lineRule="auto"/>
            </w:pPr>
            <w:r>
              <w:rPr>
                <w:sz w:val="18"/>
                <w:szCs w:val="18"/>
              </w:rPr>
              <w:lastRenderedPageBreak/>
              <w:t>Studienvisum (Study Permit)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5" w14:textId="77777777" w:rsidR="00C1548D" w:rsidRDefault="009B1B4B">
            <w:pPr>
              <w:spacing w:line="250" w:lineRule="auto"/>
            </w:pPr>
            <w:r>
              <w:rPr>
                <w:sz w:val="18"/>
                <w:szCs w:val="18"/>
              </w:rPr>
              <w:t>150 CAD</w:t>
            </w:r>
          </w:p>
        </w:tc>
        <w:tc>
          <w:tcPr>
            <w:tcW w:w="14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6" w14:textId="77777777" w:rsidR="00C1548D" w:rsidRDefault="009B1B4B">
            <w:pPr>
              <w:spacing w:line="250" w:lineRule="auto"/>
            </w:pPr>
            <w:r>
              <w:rPr>
                <w:sz w:val="18"/>
                <w:szCs w:val="18"/>
              </w:rPr>
              <w:t>je Person gleich</w:t>
            </w:r>
          </w:p>
        </w:tc>
        <w:tc>
          <w:tcPr>
            <w:tcW w:w="22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7" w14:textId="77777777" w:rsidR="00C1548D" w:rsidRDefault="009B1B4B">
            <w:pPr>
              <w:spacing w:line="250" w:lineRule="auto"/>
            </w:pPr>
            <w:r>
              <w:rPr>
                <w:sz w:val="18"/>
                <w:szCs w:val="18"/>
              </w:rPr>
              <w:t>–</w:t>
            </w:r>
          </w:p>
        </w:tc>
      </w:tr>
      <w:tr w:rsidR="00C1548D" w14:paraId="70A4F95D" w14:textId="77777777">
        <w:tblPrEx>
          <w:tblCellMar>
            <w:top w:w="0" w:type="dxa"/>
            <w:bottom w:w="0" w:type="dxa"/>
          </w:tblCellMar>
        </w:tblPrEx>
        <w:trPr>
          <w:cantSplit/>
        </w:trPr>
        <w:tc>
          <w:tcPr>
            <w:tcW w:w="18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9" w14:textId="77777777" w:rsidR="00C1548D" w:rsidRDefault="009B1B4B">
            <w:pPr>
              <w:spacing w:line="250" w:lineRule="auto"/>
            </w:pPr>
            <w:r>
              <w:rPr>
                <w:sz w:val="18"/>
                <w:szCs w:val="18"/>
              </w:rPr>
              <w:t>PR Wirtschaftskategorie (Express Entry/PNP)</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A" w14:textId="77777777" w:rsidR="00C1548D" w:rsidRDefault="009B1B4B">
            <w:pPr>
              <w:spacing w:line="250" w:lineRule="auto"/>
            </w:pPr>
            <w:r>
              <w:rPr>
                <w:sz w:val="18"/>
                <w:szCs w:val="18"/>
              </w:rPr>
              <w:t>1.590 CAD</w:t>
            </w:r>
          </w:p>
        </w:tc>
        <w:tc>
          <w:tcPr>
            <w:tcW w:w="14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B" w14:textId="77777777" w:rsidR="00C1548D" w:rsidRDefault="009B1B4B">
            <w:pPr>
              <w:spacing w:line="250" w:lineRule="auto"/>
            </w:pPr>
            <w:r>
              <w:rPr>
                <w:sz w:val="18"/>
                <w:szCs w:val="18"/>
              </w:rPr>
              <w:t>Partner 1.590 CAD, Kind 270 CAD</w:t>
            </w:r>
          </w:p>
        </w:tc>
        <w:tc>
          <w:tcPr>
            <w:tcW w:w="22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C" w14:textId="77777777" w:rsidR="00C1548D" w:rsidRDefault="009B1B4B">
            <w:pPr>
              <w:spacing w:line="250" w:lineRule="auto"/>
            </w:pPr>
            <w:r>
              <w:rPr>
                <w:sz w:val="18"/>
                <w:szCs w:val="18"/>
              </w:rPr>
              <w:t>ohne Recht-auf-PR-Gebühr nur 990 CAD</w:t>
            </w:r>
          </w:p>
        </w:tc>
      </w:tr>
      <w:tr w:rsidR="00C1548D" w14:paraId="70A4F962" w14:textId="77777777">
        <w:tblPrEx>
          <w:tblCellMar>
            <w:top w:w="0" w:type="dxa"/>
            <w:bottom w:w="0" w:type="dxa"/>
          </w:tblCellMar>
        </w:tblPrEx>
        <w:trPr>
          <w:cantSplit/>
        </w:trPr>
        <w:tc>
          <w:tcPr>
            <w:tcW w:w="18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E" w14:textId="77777777" w:rsidR="00C1548D" w:rsidRDefault="009B1B4B">
            <w:pPr>
              <w:spacing w:line="250" w:lineRule="auto"/>
            </w:pPr>
            <w:r>
              <w:rPr>
                <w:sz w:val="18"/>
                <w:szCs w:val="18"/>
              </w:rPr>
              <w:t>Recht-auf-permanenten-Aufenthalt-Gebühr (RPRF)</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5F" w14:textId="77777777" w:rsidR="00C1548D" w:rsidRDefault="009B1B4B">
            <w:pPr>
              <w:spacing w:line="250" w:lineRule="auto"/>
            </w:pPr>
            <w:r>
              <w:rPr>
                <w:sz w:val="18"/>
                <w:szCs w:val="18"/>
              </w:rPr>
              <w:t>600 CAD</w:t>
            </w:r>
          </w:p>
        </w:tc>
        <w:tc>
          <w:tcPr>
            <w:tcW w:w="14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0" w14:textId="77777777" w:rsidR="00C1548D" w:rsidRDefault="009B1B4B">
            <w:pPr>
              <w:spacing w:line="250" w:lineRule="auto"/>
            </w:pPr>
            <w:r>
              <w:rPr>
                <w:sz w:val="18"/>
                <w:szCs w:val="18"/>
              </w:rPr>
              <w:t>Partner 600 CAD, Kind entfällt</w:t>
            </w:r>
          </w:p>
        </w:tc>
        <w:tc>
          <w:tcPr>
            <w:tcW w:w="22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1" w14:textId="77777777" w:rsidR="00C1548D" w:rsidRDefault="009B1B4B">
            <w:pPr>
              <w:spacing w:line="250" w:lineRule="auto"/>
            </w:pPr>
            <w:r>
              <w:rPr>
                <w:sz w:val="18"/>
                <w:szCs w:val="18"/>
              </w:rPr>
              <w:t>separate Zusatzgebühr, wird gern übersehen</w:t>
            </w:r>
          </w:p>
        </w:tc>
      </w:tr>
      <w:tr w:rsidR="00C1548D" w14:paraId="70A4F967" w14:textId="77777777">
        <w:tblPrEx>
          <w:tblCellMar>
            <w:top w:w="0" w:type="dxa"/>
            <w:bottom w:w="0" w:type="dxa"/>
          </w:tblCellMar>
        </w:tblPrEx>
        <w:trPr>
          <w:cantSplit/>
        </w:trPr>
        <w:tc>
          <w:tcPr>
            <w:tcW w:w="18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3" w14:textId="77777777" w:rsidR="00C1548D" w:rsidRDefault="009B1B4B">
            <w:pPr>
              <w:spacing w:line="250" w:lineRule="auto"/>
            </w:pPr>
            <w:r>
              <w:rPr>
                <w:sz w:val="18"/>
                <w:szCs w:val="18"/>
              </w:rPr>
              <w:t>Familiennachzug Ehepartner (aus dem Ausland)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4" w14:textId="77777777" w:rsidR="00C1548D" w:rsidRDefault="009B1B4B">
            <w:pPr>
              <w:spacing w:line="250" w:lineRule="auto"/>
            </w:pPr>
            <w:r>
              <w:rPr>
                <w:sz w:val="18"/>
                <w:szCs w:val="18"/>
              </w:rPr>
              <w:t>1.260 CAD</w:t>
            </w:r>
          </w:p>
        </w:tc>
        <w:tc>
          <w:tcPr>
            <w:tcW w:w="14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5" w14:textId="77777777" w:rsidR="00C1548D" w:rsidRDefault="009B1B4B">
            <w:pPr>
              <w:spacing w:line="250" w:lineRule="auto"/>
            </w:pPr>
            <w:r>
              <w:rPr>
                <w:sz w:val="18"/>
                <w:szCs w:val="18"/>
              </w:rPr>
              <w:t>Kind 180 CAD</w:t>
            </w:r>
          </w:p>
        </w:tc>
        <w:tc>
          <w:tcPr>
            <w:tcW w:w="22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6" w14:textId="77777777" w:rsidR="00C1548D" w:rsidRDefault="009B1B4B">
            <w:pPr>
              <w:spacing w:line="250" w:lineRule="auto"/>
            </w:pPr>
            <w:r>
              <w:rPr>
                <w:sz w:val="18"/>
                <w:szCs w:val="18"/>
              </w:rPr>
              <w:t>ohne RPRF 660 CAD</w:t>
            </w:r>
          </w:p>
        </w:tc>
      </w:tr>
      <w:tr w:rsidR="00C1548D" w14:paraId="70A4F96C" w14:textId="77777777">
        <w:tblPrEx>
          <w:tblCellMar>
            <w:top w:w="0" w:type="dxa"/>
            <w:bottom w:w="0" w:type="dxa"/>
          </w:tblCellMar>
        </w:tblPrEx>
        <w:trPr>
          <w:cantSplit/>
        </w:trPr>
        <w:tc>
          <w:tcPr>
            <w:tcW w:w="18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8" w14:textId="77777777" w:rsidR="00C1548D" w:rsidRDefault="009B1B4B">
            <w:pPr>
              <w:spacing w:line="250" w:lineRule="auto"/>
            </w:pPr>
            <w:r>
              <w:rPr>
                <w:sz w:val="18"/>
                <w:szCs w:val="18"/>
              </w:rPr>
              <w:t>Biometrie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9" w14:textId="77777777" w:rsidR="00C1548D" w:rsidRDefault="009B1B4B">
            <w:pPr>
              <w:spacing w:line="250" w:lineRule="auto"/>
            </w:pPr>
            <w:r>
              <w:rPr>
                <w:sz w:val="18"/>
                <w:szCs w:val="18"/>
              </w:rPr>
              <w:t>85 CAD/Person</w:t>
            </w:r>
          </w:p>
        </w:tc>
        <w:tc>
          <w:tcPr>
            <w:tcW w:w="14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A" w14:textId="77777777" w:rsidR="00C1548D" w:rsidRDefault="009B1B4B">
            <w:pPr>
              <w:spacing w:line="250" w:lineRule="auto"/>
            </w:pPr>
            <w:r>
              <w:rPr>
                <w:sz w:val="18"/>
                <w:szCs w:val="18"/>
              </w:rPr>
              <w:t>Familien-Höchstsatz 170 CAD</w:t>
            </w:r>
          </w:p>
        </w:tc>
        <w:tc>
          <w:tcPr>
            <w:tcW w:w="22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B" w14:textId="77777777" w:rsidR="00C1548D" w:rsidRDefault="009B1B4B">
            <w:pPr>
              <w:spacing w:line="250" w:lineRule="auto"/>
            </w:pPr>
            <w:r>
              <w:rPr>
                <w:sz w:val="18"/>
                <w:szCs w:val="18"/>
              </w:rPr>
              <w:t>unabhängig von der Familiengröße gedeckelt</w:t>
            </w:r>
          </w:p>
        </w:tc>
      </w:tr>
      <w:tr w:rsidR="00C1548D" w14:paraId="70A4F971" w14:textId="77777777">
        <w:tblPrEx>
          <w:tblCellMar>
            <w:top w:w="0" w:type="dxa"/>
            <w:bottom w:w="0" w:type="dxa"/>
          </w:tblCellMar>
        </w:tblPrEx>
        <w:trPr>
          <w:cantSplit/>
        </w:trPr>
        <w:tc>
          <w:tcPr>
            <w:tcW w:w="18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D" w14:textId="77777777" w:rsidR="00C1548D" w:rsidRDefault="009B1B4B">
            <w:pPr>
              <w:spacing w:line="250" w:lineRule="auto"/>
            </w:pPr>
            <w:r>
              <w:rPr>
                <w:sz w:val="18"/>
                <w:szCs w:val="18"/>
              </w:rPr>
              <w:t>Einbürgerung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E" w14:textId="77777777" w:rsidR="00C1548D" w:rsidRDefault="009B1B4B">
            <w:pPr>
              <w:spacing w:line="250" w:lineRule="auto"/>
            </w:pPr>
            <w:r>
              <w:rPr>
                <w:sz w:val="18"/>
                <w:szCs w:val="18"/>
              </w:rPr>
              <w:t>653 CAD (Erwachsene)</w:t>
            </w:r>
          </w:p>
        </w:tc>
        <w:tc>
          <w:tcPr>
            <w:tcW w:w="14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6F" w14:textId="77777777" w:rsidR="00C1548D" w:rsidRDefault="009B1B4B">
            <w:pPr>
              <w:spacing w:line="250" w:lineRule="auto"/>
            </w:pPr>
            <w:r>
              <w:rPr>
                <w:sz w:val="18"/>
                <w:szCs w:val="18"/>
              </w:rPr>
              <w:t>Minderjährige 100 CAD</w:t>
            </w:r>
          </w:p>
        </w:tc>
        <w:tc>
          <w:tcPr>
            <w:tcW w:w="22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70" w14:textId="77777777" w:rsidR="00C1548D" w:rsidRDefault="009B1B4B">
            <w:pPr>
              <w:spacing w:line="250" w:lineRule="auto"/>
            </w:pPr>
            <w:r>
              <w:rPr>
                <w:sz w:val="18"/>
                <w:szCs w:val="18"/>
              </w:rPr>
              <w:t>zzgl. 75 CAD Staatsbürgerschaftszertifikat</w:t>
            </w:r>
          </w:p>
        </w:tc>
      </w:tr>
    </w:tbl>
    <w:p w14:paraId="70A4F972" w14:textId="77777777" w:rsidR="00C1548D" w:rsidRDefault="00C1548D">
      <w:pPr>
        <w:spacing w:line="180" w:lineRule="exact"/>
      </w:pPr>
    </w:p>
    <w:p w14:paraId="70A4F973" w14:textId="77777777" w:rsidR="00C1548D" w:rsidRDefault="009B1B4B">
      <w:pPr>
        <w:spacing w:after="140"/>
      </w:pPr>
      <w:r>
        <w:t>(Stand nach der Gebührenerhöhung vom 30. April 2026; Kanada erhebt seine Gebühren in kanadischen Dollar, unabhängig vom Wechselkurs zum Euro.)</w:t>
      </w:r>
    </w:p>
    <w:p w14:paraId="70A4F974" w14:textId="77777777" w:rsidR="00C1548D" w:rsidRDefault="009B1B4B">
      <w:pPr>
        <w:spacing w:after="140"/>
      </w:pPr>
      <w:r>
        <w:t xml:space="preserve">Auffällig ist die </w:t>
      </w:r>
      <w:r>
        <w:rPr>
          <w:i/>
          <w:iCs/>
        </w:rPr>
        <w:t>Right of Permanent Residence Fee</w:t>
      </w:r>
      <w:r>
        <w:t xml:space="preserve"> (RPRF, die Gebühr für das Recht auf permanenten Aufenthalt). Sie taucht in vielen ersten Kostenschätzungen gar nicht auf, weil sie getrennt von der eigentlichen Antragsgebühr erhoben wird – 600 CAD pro Erwachsenem, nicht für Kinder, seit dem 30. April 2026 angehoben von zuvor 575 CAD. Wer nur die Zahl aus der Antragsgebühren-Tabelle im Kopf hat, erlebt beim tatsächlichen Bezahlbildschirm eine unangenehme Überraschung.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7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975" w14:textId="77777777" w:rsidR="00C1548D" w:rsidRDefault="009B1B4B">
            <w:pPr>
              <w:keepNext/>
              <w:spacing w:after="70" w:line="240" w:lineRule="auto"/>
            </w:pPr>
            <w:r>
              <w:rPr>
                <w:b/>
                <w:bCs/>
                <w:color w:val="2F6B3B"/>
                <w:spacing w:val="24"/>
                <w:sz w:val="16"/>
                <w:szCs w:val="16"/>
              </w:rPr>
              <w:lastRenderedPageBreak/>
              <w:t>SPARTIPP</w:t>
            </w:r>
          </w:p>
          <w:p w14:paraId="70A4F976" w14:textId="77777777" w:rsidR="00C1548D" w:rsidRDefault="009B1B4B">
            <w:pPr>
              <w:spacing w:after="80" w:line="264" w:lineRule="auto"/>
            </w:pPr>
            <w:r>
              <w:rPr>
                <w:sz w:val="20"/>
                <w:szCs w:val="20"/>
              </w:rPr>
              <w:t>Die Biometriegebühr ist pro Familie auf 170 CAD gedeckelt – unabhängig davon, ob ihr zu zweit oder zu fünft seid. Für Einzelpersonen lohnt sich der Vergleich nicht, für Familien mit mehreren Kindern ist das eine der wenigen Stellen im gesamten Verfahren, an denen es günstiger wird, je größer die Familie ist.</w:t>
            </w:r>
          </w:p>
        </w:tc>
      </w:tr>
    </w:tbl>
    <w:p w14:paraId="70A4F978"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7B"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979" w14:textId="77777777" w:rsidR="00C1548D" w:rsidRDefault="009B1B4B">
            <w:pPr>
              <w:keepNext/>
              <w:spacing w:after="70" w:line="240" w:lineRule="auto"/>
            </w:pPr>
            <w:r>
              <w:rPr>
                <w:b/>
                <w:bCs/>
                <w:color w:val="4A5568"/>
                <w:spacing w:val="24"/>
                <w:sz w:val="16"/>
                <w:szCs w:val="16"/>
              </w:rPr>
              <w:t>PRAXISBEISPIEL · FIKTIV</w:t>
            </w:r>
          </w:p>
          <w:p w14:paraId="70A4F97A" w14:textId="77777777" w:rsidR="00C1548D" w:rsidRDefault="009B1B4B">
            <w:pPr>
              <w:spacing w:after="80" w:line="264" w:lineRule="auto"/>
            </w:pPr>
            <w:r>
              <w:rPr>
                <w:sz w:val="20"/>
                <w:szCs w:val="20"/>
              </w:rPr>
              <w:t>Familie Ahrens (Markus, 40, Softwarearchitekt; Julia, 37, Apothekerin; Finn, 11; Mia, 7; Leipzig) reicht nach der Einladung den PR-Antrag über Express Entry ein. Markus und Julia zahlen je 1.590 CAD Antragsgebühr, für Finn und Mia kommen je 270 CAD dazu – macht 3.720 CAD allein an Antragsgebühren. Dazu die RPRF für die Eltern (2 × 600 CAD) und die gedeckelte Familien-Biometriegebühr von 170 CAD. Summe: 5.090 CAD, bevor Sprachtest, Kompetenzbewertung des Abschlusses, Gesundheitsuntersuchung und Führungszeugn</w:t>
            </w:r>
            <w:r>
              <w:rPr>
                <w:sz w:val="20"/>
                <w:szCs w:val="20"/>
              </w:rPr>
              <w:t>isse überhaupt eingerechnet sind. Am Küchentisch in Leipzig hatte das vorher niemand so konkret aufgeschrieben. (Fiktives Beispiel.)</w:t>
            </w:r>
          </w:p>
        </w:tc>
      </w:tr>
    </w:tbl>
    <w:p w14:paraId="70A4F97C" w14:textId="77777777" w:rsidR="00C1548D" w:rsidRDefault="00C1548D">
      <w:pPr>
        <w:spacing w:line="220" w:lineRule="exact"/>
      </w:pPr>
    </w:p>
    <w:p w14:paraId="70A4F97D" w14:textId="77777777" w:rsidR="00C1548D" w:rsidRDefault="009B1B4B">
      <w:pPr>
        <w:pStyle w:val="Heading3"/>
        <w:keepNext/>
        <w:jc w:val="center"/>
      </w:pPr>
      <w:r>
        <w:rPr>
          <w:rFonts w:ascii="Amazon Ember" w:eastAsia="Amazon Ember" w:hAnsi="Amazon Ember" w:cs="Amazon Ember"/>
          <w:color w:val="0000FF"/>
          <w:sz w:val="36"/>
          <w:szCs w:val="36"/>
        </w:rPr>
        <w:t>Bearbeitungszeiten: Versprechen und Wirklichkeit</w:t>
      </w:r>
    </w:p>
    <w:p w14:paraId="70A4F97E" w14:textId="77777777" w:rsidR="00C1548D" w:rsidRDefault="009B1B4B">
      <w:pPr>
        <w:spacing w:after="140"/>
      </w:pPr>
      <w:r>
        <w:t>IRCC veröffentlicht für die meisten Programme einen Servicestandard, keine Garantie. Für Express Entry gilt seit Anfang 2022 in der Regel eine Bearbeitungszeit von 6 Monaten ab vollständigem Antrag, die IRCC nach eigenen Angaben meist einhält. Ein Arbeitsvisum, das auf einer bereits genehmigten LMIA beruht und von außerhalb Kanadas gestellt wird, braucht üblicherweise 7 bis 13 Wochen – wobei die LMIA selbst, je nach Kategorie, weitere 8 bis 88 Werktage in Anspruch nimmt, bevor dein Arbeitgeber überhaupt mit</w:t>
      </w:r>
      <w:r>
        <w:t xml:space="preserve"> deinem eigentlichen Antrag beginnen kann. Ein Studienvisum ist mit 60 Tagen bei Antragstellung außerhalb Kanadas beziehungsweise 120 Tagen von innerhalb veranschlagt.</w:t>
      </w:r>
    </w:p>
    <w:p w14:paraId="70A4F97F" w14:textId="77777777" w:rsidR="00C1548D" w:rsidRDefault="009B1B4B">
      <w:pPr>
        <w:spacing w:after="140"/>
      </w:pPr>
      <w:r>
        <w:lastRenderedPageBreak/>
        <w:t>Diese Zahlen sind, wie IRCC selbst einräumt, „rollende Schätzungen“ auf Basis zuletzt abgeschlossener Fälle – keine Zusage für deinen konkreten Antrag. Realistisch bedeutet das: Zwischen Einladung und tatsächlicher Einreise können bei Express Entry leicht sechs bis zwölf Monate liegen, bei einem klassischen Arbeitgeber-Antrag mit vorgeschalteter LMIA eher vier bis acht Monate insgesamt.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8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980" w14:textId="77777777" w:rsidR="00C1548D" w:rsidRDefault="009B1B4B">
            <w:pPr>
              <w:keepNext/>
              <w:spacing w:after="70" w:line="240" w:lineRule="auto"/>
            </w:pPr>
            <w:r>
              <w:rPr>
                <w:b/>
                <w:bCs/>
                <w:color w:val="9B2C2C"/>
                <w:spacing w:val="24"/>
                <w:sz w:val="16"/>
                <w:szCs w:val="16"/>
              </w:rPr>
              <w:t>ACHTUNG</w:t>
            </w:r>
          </w:p>
          <w:p w14:paraId="70A4F981" w14:textId="77777777" w:rsidR="00C1548D" w:rsidRDefault="009B1B4B">
            <w:pPr>
              <w:spacing w:after="80" w:line="264" w:lineRule="auto"/>
            </w:pPr>
            <w:r>
              <w:rPr>
                <w:sz w:val="20"/>
                <w:szCs w:val="20"/>
              </w:rPr>
              <w:t>Kündige Wohnung, Job oder Kinderbetreuung in Deutschland erst, wenn die Genehmigung tatsächlich vorliegt – nicht schon, wenn die LMIA deines künftigen Arbeitgebers durchgekommen ist. Zwischen diesen beiden Schritten liegt in der Praxis noch der komplette eigentliche Visumantrag.</w:t>
            </w:r>
          </w:p>
        </w:tc>
      </w:tr>
    </w:tbl>
    <w:p w14:paraId="70A4F983" w14:textId="77777777" w:rsidR="00C1548D" w:rsidRDefault="00C1548D">
      <w:pPr>
        <w:spacing w:line="220" w:lineRule="exact"/>
      </w:pPr>
    </w:p>
    <w:p w14:paraId="70A4F984" w14:textId="77777777" w:rsidR="00C1548D" w:rsidRDefault="009B1B4B">
      <w:pPr>
        <w:pStyle w:val="Heading3"/>
        <w:keepNext/>
        <w:jc w:val="center"/>
      </w:pPr>
      <w:r>
        <w:rPr>
          <w:rFonts w:ascii="Amazon Ember" w:eastAsia="Amazon Ember" w:hAnsi="Amazon Ember" w:cs="Amazon Ember"/>
          <w:color w:val="0000FF"/>
          <w:sz w:val="36"/>
          <w:szCs w:val="36"/>
        </w:rPr>
        <w:t>Biometrie: der Termin bei VFS Global in Berlin</w:t>
      </w:r>
    </w:p>
    <w:p w14:paraId="70A4F985" w14:textId="77777777" w:rsidR="00C1548D" w:rsidRDefault="009B1B4B">
      <w:pPr>
        <w:spacing w:after="140"/>
      </w:pPr>
      <w:r>
        <w:t>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 eine Art ausgelagerte Behördenfiliale, kein kanadisches Konsulat und ohne inhaltliche Entscheidungsbefugnis über deinen Antrag. In Deutschland betreibt VFS Global dafür ein Visa Application Centre in Berlin (Neue Grünstraß</w:t>
      </w:r>
      <w:r>
        <w:t>e 17/18, 10179 Berlin). Sobald IRCC deinen Antrag registriert hat, bekommst du eine Aufforderung, dort einen Termin zu buchen; VFS erhebt für die Terminorganisation üblicherweise eine eigene, separate Servicegebühr – die aktuelle Höhe steht auf der VFS-Seite, nicht bei IRCC. Die eigentliche Prüfung deines Antrags bleibt vollständig bei IRCC, dort werden lediglich biometrische Daten erfasst und teils Dokumente entgegengenommen.</w:t>
      </w:r>
    </w:p>
    <w:p w14:paraId="70A4F986"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Gesundheitsuntersuchung</w:t>
      </w:r>
    </w:p>
    <w:p w14:paraId="70A4F987" w14:textId="77777777" w:rsidR="00C1548D" w:rsidRDefault="009B1B4B">
      <w:pPr>
        <w:spacing w:after="140"/>
      </w:pPr>
      <w:r>
        <w:t xml:space="preserve">Für die permanente Aufenthaltserlaubnis und viele befristete Visa ist eine vollständige </w:t>
      </w:r>
      <w:r>
        <w:rPr>
          <w:i/>
          <w:iCs/>
        </w:rPr>
        <w:t>Immigration Medical Exam</w:t>
      </w:r>
      <w:r>
        <w:t xml:space="preserve"> (IME, die Einwanderungs-Gesundheitsuntersuchung) Pflicht – und zwar ausschließlich bei einem von IRCC zugelassenen </w:t>
      </w:r>
      <w:r>
        <w:rPr>
          <w:i/>
          <w:iCs/>
        </w:rPr>
        <w:t>Panel Physician</w:t>
      </w:r>
      <w:r>
        <w:t xml:space="preserve"> (einem behördlich anerkannten Vertragsarzt). Der eigene Hausarzt, 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liegen bei 200 bis 450 CAD pro Erwachsenem und 140 bis 180 CAD pro Kind, direkt beim Arzt zu zahlen; das Ergebnis gilt 12 Monate. Seit dem 21. Au</w:t>
      </w:r>
      <w:r>
        <w:t>gust 2025 müssen Express-Entry-Antragsteller auf dem Weg zur permanenten Aufenthaltserlaubnis die Untersuchung bereits vor der eigentlichen Antragstellung absolvieren, nicht erst danach.</w:t>
      </w:r>
    </w:p>
    <w:p w14:paraId="70A4F988" w14:textId="77777777" w:rsidR="00C1548D" w:rsidRDefault="009B1B4B">
      <w:pPr>
        <w:spacing w:after="140"/>
      </w:pPr>
      <w:r>
        <w:t>Ein Sonderfall, den man kennen sollte, ohne sich davon verunsichern zu lassen: Bei erheblichem, dauerhaftem Pflege- oder Behandlungsbedarf eines Familienmitglieds prüft IRCC, ob die zu erwartenden Kosten für das kanadische Gesundheits- oder Sozialsystem eine bestimmte Schwelle übersteigen – 2026 liegt sie bei 144.390 CAD über 5 Jahre. Das betrifft die wenigsten Familien, ist aber bei bekannten chronischen Erkrankungen oder Behinderungen eines Kindes ein Punkt, den du frühzeitig mit einer Fachperson besprech</w:t>
      </w:r>
      <w:r>
        <w:t>en solltest, nicht erst beim Untersuchungstermin.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8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989" w14:textId="77777777" w:rsidR="00C1548D" w:rsidRDefault="009B1B4B">
            <w:pPr>
              <w:keepNext/>
              <w:spacing w:after="70" w:line="240" w:lineRule="auto"/>
            </w:pPr>
            <w:r>
              <w:rPr>
                <w:b/>
                <w:bCs/>
                <w:color w:val="9B2C2C"/>
                <w:spacing w:val="24"/>
                <w:sz w:val="16"/>
                <w:szCs w:val="16"/>
              </w:rPr>
              <w:t>ACHTUNG</w:t>
            </w:r>
          </w:p>
          <w:p w14:paraId="70A4F98A" w14:textId="77777777" w:rsidR="00C1548D" w:rsidRDefault="009B1B4B">
            <w:pPr>
              <w:spacing w:after="80" w:line="264" w:lineRule="auto"/>
            </w:pPr>
            <w:r>
              <w:rPr>
                <w:sz w:val="20"/>
                <w:szCs w:val="20"/>
              </w:rPr>
              <w:t>Panel Physicians sind nicht an jeder deutschen Ecke zu finden. Buche den Termin, sobald die Aufforderung im IRCC-Konto erscheint – ein voller Terminkalender beim nächstgelegenen zugelassenen Arzt verzögert sonst den gesamten Antrag.</w:t>
            </w:r>
          </w:p>
        </w:tc>
      </w:tr>
    </w:tbl>
    <w:p w14:paraId="70A4F98C" w14:textId="77777777" w:rsidR="00C1548D" w:rsidRDefault="00C1548D">
      <w:pPr>
        <w:spacing w:line="220" w:lineRule="exact"/>
      </w:pPr>
    </w:p>
    <w:p w14:paraId="70A4F98D" w14:textId="77777777" w:rsidR="00C1548D" w:rsidRDefault="009B1B4B">
      <w:pPr>
        <w:pStyle w:val="Heading3"/>
        <w:keepNext/>
        <w:jc w:val="center"/>
      </w:pPr>
      <w:r>
        <w:rPr>
          <w:rFonts w:ascii="Amazon Ember" w:eastAsia="Amazon Ember" w:hAnsi="Amazon Ember" w:cs="Amazon Ember"/>
          <w:color w:val="0000FF"/>
          <w:sz w:val="36"/>
          <w:szCs w:val="36"/>
        </w:rPr>
        <w:lastRenderedPageBreak/>
        <w:t>Polizeiliches Führungszeugnis: einfacher, als du vielleicht denkst</w:t>
      </w:r>
    </w:p>
    <w:p w14:paraId="70A4F98E" w14:textId="77777777" w:rsidR="00C1548D" w:rsidRDefault="009B1B4B">
      <w:pPr>
        <w:spacing w:after="140"/>
      </w:pPr>
      <w:r>
        <w:t xml:space="preserve">Für Antragstellerinnen und Antragsteller ab 18 Jahren verlangt IRCC ein </w:t>
      </w:r>
      <w:r>
        <w:rPr>
          <w:i/>
          <w:iCs/>
        </w:rPr>
        <w:t>Police Certificate</w:t>
      </w:r>
      <w:r>
        <w:t xml:space="preserve"> aus jedem Land, in dem seit dem 18. Geburtstag mindestens sechs zusammenhängende Monate gelebt wurde; das Zeugnis für das aktuelle Wohnsitzland muss zudem vergleichsweise frisch sein. Für Deutschland ist das der </w:t>
      </w:r>
      <w:r>
        <w:rPr>
          <w:i/>
          <w:iCs/>
        </w:rPr>
        <w:t>Certificate of Good Conduct</w:t>
      </w:r>
      <w:r>
        <w:t xml:space="preserve"> – das bekannte Führungszeugnis, das du beim Bundesamt für Justiz in Bonn online, postalisch oder persönlich beantragst, für 13 €.</w:t>
      </w:r>
    </w:p>
    <w:p w14:paraId="70A4F98F" w14:textId="77777777" w:rsidR="00C1548D" w:rsidRDefault="009B1B4B">
      <w:pPr>
        <w:spacing w:after="140"/>
      </w:pPr>
      <w:r>
        <w:t xml:space="preserve">Verbreiteter Irrtum: Viele nehmen an, ein Führungszeugnis für eine ausländische Behörde brauche automatisch eine </w:t>
      </w:r>
      <w:r>
        <w:rPr>
          <w:i/>
          <w:iCs/>
        </w:rPr>
        <w:t>Apostille</w:t>
      </w:r>
      <w:r>
        <w:t>, die internationale Beglaubigung nach dem Haager Übereinkommen. Für Kanada ist das in aller Regel nicht der Fall. IRCC verlangt lediglich das Original; einzige Einschränkung: Wurde dein Führungszeugnis vor Februar 2019 ausgestellt, brauchst du zusätzlich eine beglaubigte Übersetzung ins Englische oder Französische, weil ältere Exemplare nur auf Deutsch ausgestellt wurden. Neuere Führungszeugnisse sind bereits mehrsprachig und werden ohne weitere Übersetzung akzeptiert.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9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990" w14:textId="77777777" w:rsidR="00C1548D" w:rsidRDefault="009B1B4B">
            <w:pPr>
              <w:keepNext/>
              <w:spacing w:after="70" w:line="240" w:lineRule="auto"/>
            </w:pPr>
            <w:r>
              <w:rPr>
                <w:b/>
                <w:bCs/>
                <w:color w:val="8A6212"/>
                <w:spacing w:val="24"/>
                <w:sz w:val="16"/>
                <w:szCs w:val="16"/>
              </w:rPr>
              <w:t>MERKE</w:t>
            </w:r>
          </w:p>
          <w:p w14:paraId="70A4F991" w14:textId="77777777" w:rsidR="00C1548D" w:rsidRDefault="009B1B4B">
            <w:pPr>
              <w:spacing w:after="80" w:line="264" w:lineRule="auto"/>
            </w:pPr>
            <w:r>
              <w:rPr>
                <w:sz w:val="20"/>
                <w:szCs w:val="20"/>
              </w:rPr>
              <w:t>Wer seit dem 18. Geburtstag schon einmal länger als sechs Monate am Stück in einem dritten Land gelebt hat – ein Auslandssemester zählt in der Regel nicht, ein längerer Arbeitsaufenthalt schon –, braucht außerdem ein Führungszeugnis von dort. Das gerät in der Vorbereitung leicht in Vergessenheit, weil man zuerst nur an das eigene Heimatland denkt.</w:t>
            </w:r>
          </w:p>
        </w:tc>
      </w:tr>
    </w:tbl>
    <w:p w14:paraId="70A4F993" w14:textId="77777777" w:rsidR="00C1548D" w:rsidRDefault="00C1548D">
      <w:pPr>
        <w:spacing w:line="220" w:lineRule="exact"/>
      </w:pPr>
    </w:p>
    <w:p w14:paraId="70A4F994" w14:textId="77777777" w:rsidR="00C1548D" w:rsidRDefault="009B1B4B">
      <w:pPr>
        <w:pStyle w:val="Heading3"/>
        <w:keepNext/>
        <w:jc w:val="center"/>
      </w:pPr>
      <w:r>
        <w:rPr>
          <w:rFonts w:ascii="Amazon Ember" w:eastAsia="Amazon Ember" w:hAnsi="Amazon Ember" w:cs="Amazon Ember"/>
          <w:color w:val="0000FF"/>
          <w:sz w:val="36"/>
          <w:szCs w:val="36"/>
        </w:rPr>
        <w:lastRenderedPageBreak/>
        <w:t>Einwanderungsberater oder allein durch den Antrag?</w:t>
      </w:r>
    </w:p>
    <w:p w14:paraId="70A4F995" w14:textId="77777777" w:rsidR="00C1548D" w:rsidRDefault="009B1B4B">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aktuell zugelassen ist. Daneben dürfen auch kanadische Rechtsanwälte einwanderungsrechtlich beraten.</w:t>
      </w:r>
    </w:p>
    <w:p w14:paraId="70A4F996" w14:textId="77777777" w:rsidR="00C1548D" w:rsidRDefault="009B1B4B">
      <w:pPr>
        <w:spacing w:after="140"/>
      </w:pPr>
      <w:r>
        <w:t>Für ein einzelnes, klar geregeltes Arbeitsvisum brauchst du in der Regel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w:t>
      </w:r>
      <w:r>
        <w:t>mulierte Rechnung. Warnsignale sind universell: Erfolgsgarantie, Drängen auf sofortige Vorkasse an ein Privatkonto, keine schriftliche Honorarvereinbarung, angebliche „Kontakte“ bei IRCC.</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99"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997" w14:textId="77777777" w:rsidR="00C1548D" w:rsidRDefault="009B1B4B">
            <w:pPr>
              <w:keepNext/>
              <w:spacing w:after="70" w:line="240" w:lineRule="auto"/>
            </w:pPr>
            <w:r>
              <w:rPr>
                <w:b/>
                <w:bCs/>
                <w:color w:val="6B7280"/>
                <w:spacing w:val="24"/>
                <w:sz w:val="16"/>
                <w:szCs w:val="16"/>
              </w:rPr>
              <w:t>KEIN RECHTSRAT</w:t>
            </w:r>
          </w:p>
          <w:p w14:paraId="70A4F998" w14:textId="77777777" w:rsidR="00C1548D" w:rsidRDefault="009B1B4B">
            <w:pPr>
              <w:spacing w:after="80" w:line="264" w:lineRule="auto"/>
            </w:pPr>
            <w:r>
              <w:rPr>
                <w:sz w:val="20"/>
                <w:szCs w:val="20"/>
              </w:rPr>
              <w:t>Dieses Kapitel beschreibt Verfahren und Praxis, keine Rechtsberatung. Bei komplexen Fällen – Vorstrafen, frühere Visumsablehnungen, ungewöhnliche Familienkonstellationen – lohnt sich die Beratung durch einen registrierten RCIC oder eine kanadische Anwältin mit Migrationsrecht als Schwerpunkt.</w:t>
            </w:r>
          </w:p>
        </w:tc>
      </w:tr>
    </w:tbl>
    <w:p w14:paraId="70A4F99A" w14:textId="77777777" w:rsidR="00C1548D" w:rsidRDefault="00C1548D">
      <w:pPr>
        <w:spacing w:line="220" w:lineRule="exact"/>
      </w:pPr>
    </w:p>
    <w:p w14:paraId="70A4F99B"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deutsche Auslandsvertretung – und die kanadische in Deutschland</w:t>
      </w:r>
    </w:p>
    <w:p w14:paraId="70A4F99C" w14:textId="77777777" w:rsidR="00C1548D" w:rsidRDefault="009B1B4B">
      <w:pPr>
        <w:spacing w:after="140"/>
      </w:pPr>
      <w:r>
        <w:t>Verbreiteter Irrtum: Viele erwarten, dass die kanadische Botschaft in Berlin beim eigenen Visumantrag hilft oder wenigstens Auskunft gibt. Tatsächlich bearbeitet die Botschaft keine eingehenden Anträge deutscher Antragsteller; das erledigt IRCC ausschließlich online, wie oben beschrieben. Die kanadische Botschaft (Leipziger Platz 17, 10117 Berlin) und die Konsularvertretungen in München, Düsseldorf und Stuttgart sind in erster Linie für kanadische Staatsangehörige da – Pässe, Notfallhilfe, Beglaubigungen –,</w:t>
      </w:r>
      <w:r>
        <w:t xml:space="preserve"> nicht für den deutschen Antragsteller im eigenen Wohnzimmer.</w:t>
      </w:r>
    </w:p>
    <w:p w14:paraId="70A4F99D" w14:textId="77777777" w:rsidR="00C1548D" w:rsidRDefault="009B1B4B">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w:t>
      </w:r>
      <w:r>
        <w:t>ndland und Labrador, Nova Scotia, Prince Edward Island, Québec und das Territorium Nunavut – geografisch der halbe Kontinent. Für den Westen – British Columbia, Alberta, Saskatchewan, Yukon und die Nordwest-Territorien – ist stattdessen das Generalkonsulat Vancouver zuständig.</w:t>
      </w:r>
    </w:p>
    <w:p w14:paraId="70A4F99E" w14:textId="77777777" w:rsidR="00C1548D" w:rsidRDefault="009B1B4B">
      <w:pPr>
        <w:spacing w:after="140"/>
      </w:pPr>
      <w:r>
        <w:t>Für Lukas Berger mit Ziel Calgary bedeutet das etwas, das auf den ersten Blick wenig einleuchtet: Calgary liegt rund 1.000 Kilometer von Vancouver entfernt, konsularisch gehört er trotzdem dorthin – nicht zum vermeintlich naheliegenderen Toronto. Ein Generalkonsulat gibt es zudem in Montreal, das nach eigener Aufgabenbeschreibung allerdings keine klassischen Konsulardienste mehr anbietet; für Pass, Beglaubigung oder Notfallhilfe bleibt trotz Sitz in Québec das Generalkonsulat Toronto zuständig.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A1"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99F" w14:textId="77777777" w:rsidR="00C1548D" w:rsidRDefault="009B1B4B">
            <w:pPr>
              <w:keepNext/>
              <w:spacing w:after="70" w:line="240" w:lineRule="auto"/>
            </w:pPr>
            <w:r>
              <w:rPr>
                <w:b/>
                <w:bCs/>
                <w:color w:val="8A6212"/>
                <w:spacing w:val="24"/>
                <w:sz w:val="16"/>
                <w:szCs w:val="16"/>
              </w:rPr>
              <w:lastRenderedPageBreak/>
              <w:t>MERKE</w:t>
            </w:r>
          </w:p>
          <w:p w14:paraId="70A4F9A0" w14:textId="77777777" w:rsidR="00C1548D" w:rsidRDefault="009B1B4B">
            <w:pPr>
              <w:spacing w:after="80" w:line="264" w:lineRule="auto"/>
            </w:pPr>
            <w:r>
              <w:rPr>
                <w:sz w:val="20"/>
                <w:szCs w:val="20"/>
              </w:rPr>
              <w:t>Welche deutsche Vertretung für dich zuständig ist, hängt von der Provinz ab, nicht von der Entfernung auf der Landkarte. Prüfe das früh, nicht erst, wenn du einen neuen Reisepass brauchst.</w:t>
            </w:r>
          </w:p>
        </w:tc>
      </w:tr>
    </w:tbl>
    <w:p w14:paraId="70A4F9A2"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A5"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9A3" w14:textId="77777777" w:rsidR="00C1548D" w:rsidRDefault="009B1B4B">
            <w:pPr>
              <w:keepNext/>
              <w:spacing w:after="70" w:line="240" w:lineRule="auto"/>
            </w:pPr>
            <w:r>
              <w:rPr>
                <w:b/>
                <w:bCs/>
                <w:color w:val="4A5568"/>
                <w:spacing w:val="24"/>
                <w:sz w:val="16"/>
                <w:szCs w:val="16"/>
              </w:rPr>
              <w:t>PRAXISBEISPIEL · FIKTIV</w:t>
            </w:r>
          </w:p>
          <w:p w14:paraId="70A4F9A4" w14:textId="77777777" w:rsidR="00C1548D" w:rsidRDefault="009B1B4B">
            <w:pPr>
              <w:spacing w:after="80" w:line="264" w:lineRule="auto"/>
            </w:pPr>
            <w:r>
              <w:rPr>
                <w:sz w:val="20"/>
                <w:szCs w:val="20"/>
              </w:rPr>
              <w:t>Lukas Berger (29, Öl- und Gasingenieur, Hannover) bekommt ein Jobangebot eines Unternehmens in Calgary, das für ihn die LMIA beantragt – Kosten für Lukas: nur die Work-Permit-Gebühr von 155 CAD plus 85 CAD Biometrie, den Rest trägt der Arbeitgeber. Sein Führungszeugnis braucht keine Apostille, seine Gesundheitsuntersuchung beim Panel Physician in Hannover kostet ihn rund 280 CAD. Vom Jobangebot bis zur Genehmigung des Arbeitsvisums vergehen gut fünf Monate – die LMIA seines Arbeitgebers allein braucht schon</w:t>
            </w:r>
            <w:r>
              <w:rPr>
                <w:sz w:val="20"/>
                <w:szCs w:val="20"/>
              </w:rPr>
              <w:t xml:space="preserve"> zwei davon. Für Passfragen bleibt Lukas später übrigens das Generalkonsulat Vancouver zuständig, nicht das geografisch nähere Toronto. (Fiktives Beispiel.)</w:t>
            </w:r>
          </w:p>
        </w:tc>
      </w:tr>
    </w:tbl>
    <w:p w14:paraId="70A4F9A6" w14:textId="77777777" w:rsidR="00C1548D" w:rsidRDefault="00C1548D">
      <w:pPr>
        <w:spacing w:line="220" w:lineRule="exact"/>
      </w:pPr>
    </w:p>
    <w:p w14:paraId="70A4F9A7"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9AA"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9A8"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9A9" w14:textId="77777777" w:rsidR="00C1548D" w:rsidRDefault="009B1B4B">
            <w:pPr>
              <w:spacing w:line="250" w:lineRule="auto"/>
            </w:pPr>
            <w:r>
              <w:rPr>
                <w:b/>
                <w:bCs/>
                <w:sz w:val="18"/>
                <w:szCs w:val="18"/>
              </w:rPr>
              <w:t>Minus</w:t>
            </w:r>
          </w:p>
        </w:tc>
      </w:tr>
      <w:tr w:rsidR="00C1548D" w14:paraId="70A4F9A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AB" w14:textId="77777777" w:rsidR="00C1548D" w:rsidRDefault="009B1B4B">
            <w:pPr>
              <w:spacing w:line="250" w:lineRule="auto"/>
            </w:pPr>
            <w:r>
              <w:rPr>
                <w:sz w:val="18"/>
                <w:szCs w:val="18"/>
              </w:rPr>
              <w:t>Alles online nachverfolgbar, kein Reisen zu einem Konsulattermin nötig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AC" w14:textId="77777777" w:rsidR="00C1548D" w:rsidRDefault="009B1B4B">
            <w:pPr>
              <w:spacing w:line="250" w:lineRule="auto"/>
            </w:pPr>
            <w:r>
              <w:rPr>
                <w:sz w:val="18"/>
                <w:szCs w:val="18"/>
              </w:rPr>
              <w:t>Recht-auf-PR-Gebühr wird in ersten Kostenschätzungen leicht übersehen</w:t>
            </w:r>
          </w:p>
        </w:tc>
      </w:tr>
      <w:tr w:rsidR="00C1548D" w14:paraId="70A4F9B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AE" w14:textId="77777777" w:rsidR="00C1548D" w:rsidRDefault="009B1B4B">
            <w:pPr>
              <w:spacing w:line="250" w:lineRule="auto"/>
            </w:pPr>
            <w:r>
              <w:rPr>
                <w:sz w:val="18"/>
                <w:szCs w:val="18"/>
              </w:rPr>
              <w:t>Biometrie-Termin in Berlin gut erreichbar, keine lange Anfahrt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AF" w14:textId="77777777" w:rsidR="00C1548D" w:rsidRDefault="009B1B4B">
            <w:pPr>
              <w:spacing w:line="250" w:lineRule="auto"/>
            </w:pPr>
            <w:r>
              <w:rPr>
                <w:sz w:val="18"/>
                <w:szCs w:val="18"/>
              </w:rPr>
              <w:t>Gesundheitsuntersuchung nur bei zugelassenem Panel Physician möglich</w:t>
            </w:r>
          </w:p>
        </w:tc>
      </w:tr>
      <w:tr w:rsidR="00C1548D" w14:paraId="70A4F9B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B1" w14:textId="77777777" w:rsidR="00C1548D" w:rsidRDefault="009B1B4B">
            <w:pPr>
              <w:spacing w:line="250" w:lineRule="auto"/>
            </w:pPr>
            <w:r>
              <w:rPr>
                <w:sz w:val="18"/>
                <w:szCs w:val="18"/>
              </w:rPr>
              <w:t>Kein Apostille-Aufwand beim Führungszeugnis wie bei manch anderem Zielland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B2" w14:textId="77777777" w:rsidR="00C1548D" w:rsidRDefault="009B1B4B">
            <w:pPr>
              <w:spacing w:line="250" w:lineRule="auto"/>
            </w:pPr>
            <w:r>
              <w:rPr>
                <w:sz w:val="18"/>
                <w:szCs w:val="18"/>
              </w:rPr>
              <w:t>Bearbeitungszeiten schwanken stark und sind reine Schätzwerte</w:t>
            </w:r>
          </w:p>
        </w:tc>
      </w:tr>
      <w:tr w:rsidR="00C1548D" w14:paraId="70A4F9B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B4" w14:textId="77777777" w:rsidR="00C1548D" w:rsidRDefault="009B1B4B">
            <w:pPr>
              <w:spacing w:line="250" w:lineRule="auto"/>
            </w:pPr>
            <w:r>
              <w:rPr>
                <w:sz w:val="18"/>
                <w:szCs w:val="18"/>
              </w:rPr>
              <w:t>Biometriegebühr pro Familie gedeckelt, nicht pro Kopf</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9B5" w14:textId="77777777" w:rsidR="00C1548D" w:rsidRDefault="009B1B4B">
            <w:pPr>
              <w:spacing w:line="250" w:lineRule="auto"/>
            </w:pPr>
            <w:r>
              <w:rPr>
                <w:sz w:val="18"/>
                <w:szCs w:val="18"/>
              </w:rPr>
              <w:t>Bei Ablehnung sind alle gezahlten Gebühren verloren</w:t>
            </w:r>
          </w:p>
        </w:tc>
      </w:tr>
    </w:tbl>
    <w:p w14:paraId="70A4F9B7" w14:textId="77777777" w:rsidR="00C1548D" w:rsidRDefault="00C1548D">
      <w:pPr>
        <w:spacing w:line="180" w:lineRule="exact"/>
      </w:pPr>
    </w:p>
    <w:p w14:paraId="70A4F9B8"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9B9" w14:textId="77777777" w:rsidR="00C1548D" w:rsidRDefault="009B1B4B">
      <w:pPr>
        <w:spacing w:after="140"/>
      </w:pPr>
      <w:r>
        <w:t>Kläre zuerst über das Kapitel zum Arbeitsweg, welcher Weg für dich passt – das entscheidet, ob eine LMIA deines Arbeitgebers oder ein eigenes Express-Entry-Profil der erste Schritt ist. Lege dein IRCC-</w:t>
      </w:r>
      <w:r>
        <w:lastRenderedPageBreak/>
        <w:t>Konto an, kalkuliere die Gesamtkosten inklusive RPRF realistisch, und bestelle Führungszeugnis sowie gegebenenfalls die passende Übersetzung frühzeitig. Buche Biometrie- und Gesundheitstermin, sobald IRCC dich dazu auffordert, und entscheide bewusst, ob ein registrierter RCIC für deinen Fall einen Unterschied macht.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C5"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9BA" w14:textId="77777777" w:rsidR="00C1548D" w:rsidRDefault="009B1B4B">
            <w:pPr>
              <w:keepNext/>
              <w:spacing w:after="70" w:line="240" w:lineRule="auto"/>
            </w:pPr>
            <w:r>
              <w:rPr>
                <w:b/>
                <w:bCs/>
                <w:color w:val="1F6F78"/>
                <w:spacing w:val="24"/>
                <w:sz w:val="16"/>
                <w:szCs w:val="16"/>
              </w:rPr>
              <w:t>CHECKLISTE</w:t>
            </w:r>
          </w:p>
          <w:p w14:paraId="70A4F9B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Zielweg geklärt (Work Permit LMIA-pflichtig/-frei, Express Entry, PNP, Study Permit)</w:t>
            </w:r>
          </w:p>
          <w:p w14:paraId="70A4F9B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IRCC-Kundenkonto angelegt, Benachrichtigungen aktiviert</w:t>
            </w:r>
          </w:p>
          <w:p w14:paraId="70A4F9B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Alle Gebühren realistisch kalkuliert, inklusive der separaten RPRF von 600 CAD pro Erwachsenem</w:t>
            </w:r>
          </w:p>
          <w:p w14:paraId="70A4F9B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Führungszeugnis für jedes Land mit mindestens sechs zusammenhängenden Monaten Aufenthalt seit dem 18. Geburtstag beantragt</w:t>
            </w:r>
          </w:p>
          <w:p w14:paraId="70A4F9B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Führungszeugnis mit Ausstellungsdatum vor Februar 2019: beglaubigte Übersetzung eingeplant</w:t>
            </w:r>
          </w:p>
          <w:p w14:paraId="70A4F9C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Termin bei VFS Global Berlin für Biometrie gebucht, sobald IRCC dazu auffordert</w:t>
            </w:r>
          </w:p>
          <w:p w14:paraId="70A4F9C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Termin bei einem zugelassenen Panel Physician für die Gesundheitsuntersuchung terminiert</w:t>
            </w:r>
          </w:p>
          <w:p w14:paraId="70A4F9C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Entschieden, ob ein registrierter RCIC sinnvoll ist; Registrierung im CICC-Register geprüft</w:t>
            </w:r>
          </w:p>
          <w:p w14:paraId="70A4F9C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Zuständige deutsche Auslandsvertretung für die Zielprovinz identifiziert</w:t>
            </w:r>
          </w:p>
          <w:p w14:paraId="70A4F9C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Aktuelle Bearbeitungszeiten auf der IRCC-Seite geprüft, Job und Wohnung in Deutschland erst nach der Genehmigung gekündigt</w:t>
            </w:r>
          </w:p>
        </w:tc>
      </w:tr>
    </w:tbl>
    <w:p w14:paraId="70A4F9C6" w14:textId="77777777" w:rsidR="00C1548D" w:rsidRDefault="00C1548D">
      <w:pPr>
        <w:spacing w:line="220" w:lineRule="exact"/>
      </w:pPr>
    </w:p>
    <w:p w14:paraId="70A4F9C7"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9C8" w14:textId="05340EAE" w:rsidR="00C1548D" w:rsidRDefault="009B1B4B" w:rsidP="009B1B4B">
      <w:pPr>
        <w:pStyle w:val="ListParagraph"/>
        <w:numPr>
          <w:ilvl w:val="0"/>
          <w:numId w:val="1"/>
        </w:numPr>
        <w:spacing w:after="60"/>
      </w:pPr>
      <w:r>
        <w:t xml:space="preserve">IRCC — Gebühren: </w:t>
      </w:r>
      <w:hyperlink r:id="rId510" w:history="1">
        <w:r>
          <w:rPr>
            <w:color w:val="0563C1"/>
            <w:u w:val="single"/>
          </w:rPr>
          <w:t>ircc.canada.ca/english/information/fees/fees.asp</w:t>
        </w:r>
      </w:hyperlink>
    </w:p>
    <w:p w14:paraId="70A4F9C9" w14:textId="30127AE5" w:rsidR="00C1548D" w:rsidRDefault="009B1B4B" w:rsidP="009B1B4B">
      <w:pPr>
        <w:pStyle w:val="ListParagraph"/>
        <w:numPr>
          <w:ilvl w:val="0"/>
          <w:numId w:val="1"/>
        </w:numPr>
        <w:spacing w:after="60"/>
      </w:pPr>
      <w:r>
        <w:lastRenderedPageBreak/>
        <w:t xml:space="preserve">IRCC — Bearbeitungszeiten: </w:t>
      </w:r>
      <w:hyperlink r:id="rId511" w:history="1">
        <w:r>
          <w:rPr>
            <w:color w:val="0563C1"/>
            <w:u w:val="single"/>
          </w:rPr>
          <w:t>canada.ca/en/immigration-refugees-citizenship/services/application/check-processing-times.html</w:t>
        </w:r>
      </w:hyperlink>
    </w:p>
    <w:p w14:paraId="70A4F9CA" w14:textId="629C9F4B" w:rsidR="00C1548D" w:rsidRDefault="009B1B4B" w:rsidP="009B1B4B">
      <w:pPr>
        <w:pStyle w:val="ListParagraph"/>
        <w:numPr>
          <w:ilvl w:val="0"/>
          <w:numId w:val="1"/>
        </w:numPr>
        <w:spacing w:after="60"/>
      </w:pPr>
      <w:r>
        <w:t xml:space="preserve">IRCC — Panel Physicians: </w:t>
      </w:r>
      <w:hyperlink r:id="rId512" w:history="1">
        <w:r>
          <w:rPr>
            <w:color w:val="0563C1"/>
            <w:u w:val="single"/>
          </w:rPr>
          <w:t>canada.ca/en/immigration-refugees-citizenship/corporate/partners-service-providers/panel-physicians.html</w:t>
        </w:r>
      </w:hyperlink>
    </w:p>
    <w:p w14:paraId="70A4F9CB" w14:textId="39A400FA" w:rsidR="00C1548D" w:rsidRDefault="009B1B4B" w:rsidP="009B1B4B">
      <w:pPr>
        <w:pStyle w:val="ListParagraph"/>
        <w:numPr>
          <w:ilvl w:val="0"/>
          <w:numId w:val="1"/>
        </w:numPr>
        <w:spacing w:after="60"/>
      </w:pPr>
      <w:r>
        <w:t xml:space="preserve">IRCC — Polizeiliches Führungszeugnis aus Deutschland: </w:t>
      </w:r>
      <w:hyperlink r:id="rId513" w:history="1">
        <w:r>
          <w:rPr>
            <w:color w:val="0563C1"/>
            <w:u w:val="single"/>
          </w:rPr>
          <w:t>canada.ca/en/immigration-refugees-citizenship/services/application/medical-police/police-certificates/how/germany.html</w:t>
        </w:r>
      </w:hyperlink>
    </w:p>
    <w:p w14:paraId="70A4F9CC" w14:textId="4B44C73A" w:rsidR="00C1548D" w:rsidRDefault="009B1B4B" w:rsidP="009B1B4B">
      <w:pPr>
        <w:pStyle w:val="ListParagraph"/>
        <w:numPr>
          <w:ilvl w:val="0"/>
          <w:numId w:val="1"/>
        </w:numPr>
        <w:spacing w:after="60"/>
      </w:pPr>
      <w:r>
        <w:t xml:space="preserve">College of Immigration and Citizenship Consultants — Register: </w:t>
      </w:r>
      <w:hyperlink r:id="rId514" w:history="1">
        <w:r>
          <w:rPr>
            <w:color w:val="0563C1"/>
            <w:u w:val="single"/>
          </w:rPr>
          <w:t>college-ic.ca</w:t>
        </w:r>
      </w:hyperlink>
    </w:p>
    <w:p w14:paraId="70A4F9CD" w14:textId="00415C9A" w:rsidR="00C1548D" w:rsidRDefault="009B1B4B" w:rsidP="009B1B4B">
      <w:pPr>
        <w:pStyle w:val="ListParagraph"/>
        <w:numPr>
          <w:ilvl w:val="0"/>
          <w:numId w:val="1"/>
        </w:numPr>
        <w:spacing w:after="60"/>
      </w:pPr>
      <w:r>
        <w:t xml:space="preserve">VFS Global — Visa Application Centre Berlin: </w:t>
      </w:r>
      <w:hyperlink r:id="rId515" w:history="1">
        <w:r>
          <w:rPr>
            <w:color w:val="0563C1"/>
            <w:u w:val="single"/>
          </w:rPr>
          <w:t>visa.vfsglobal.com/deu/de/can</w:t>
        </w:r>
      </w:hyperlink>
    </w:p>
    <w:p w14:paraId="70A4F9CE" w14:textId="5DCCB473" w:rsidR="00C1548D" w:rsidRDefault="009B1B4B" w:rsidP="009B1B4B">
      <w:pPr>
        <w:pStyle w:val="ListParagraph"/>
        <w:numPr>
          <w:ilvl w:val="0"/>
          <w:numId w:val="1"/>
        </w:numPr>
        <w:spacing w:after="60"/>
      </w:pPr>
      <w:r>
        <w:t xml:space="preserve">Deutsche Vertretungen in Kanada: </w:t>
      </w:r>
      <w:hyperlink r:id="rId516" w:history="1">
        <w:r>
          <w:rPr>
            <w:color w:val="0563C1"/>
            <w:u w:val="single"/>
          </w:rPr>
          <w:t>kanada.diplo.de</w:t>
        </w:r>
      </w:hyperlink>
    </w:p>
    <w:p w14:paraId="70A4F9CF" w14:textId="034E2037" w:rsidR="00C1548D" w:rsidRDefault="009B1B4B" w:rsidP="009B1B4B">
      <w:pPr>
        <w:pStyle w:val="ListParagraph"/>
        <w:numPr>
          <w:ilvl w:val="0"/>
          <w:numId w:val="1"/>
        </w:numPr>
        <w:spacing w:after="60"/>
      </w:pPr>
      <w:r>
        <w:t xml:space="preserve">Bundesamt für Justiz — Führungszeugnis: </w:t>
      </w:r>
      <w:hyperlink r:id="rId517" w:history="1">
        <w:r>
          <w:rPr>
            <w:color w:val="0563C1"/>
            <w:u w:val="single"/>
          </w:rPr>
          <w:t>bundesjustizamt.de</w:t>
        </w:r>
      </w:hyperlink>
    </w:p>
    <w:p w14:paraId="70A4F9D0"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D3"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9D1" w14:textId="77777777" w:rsidR="00C1548D" w:rsidRDefault="009B1B4B">
            <w:pPr>
              <w:keepNext/>
              <w:spacing w:after="70" w:line="240" w:lineRule="auto"/>
            </w:pPr>
            <w:r>
              <w:rPr>
                <w:b/>
                <w:bCs/>
                <w:color w:val="6B7280"/>
                <w:spacing w:val="24"/>
                <w:sz w:val="16"/>
                <w:szCs w:val="16"/>
              </w:rPr>
              <w:t>STAND</w:t>
            </w:r>
          </w:p>
          <w:p w14:paraId="70A4F9D2" w14:textId="77777777" w:rsidR="00C1548D" w:rsidRDefault="009B1B4B">
            <w:pPr>
              <w:spacing w:after="80" w:line="264" w:lineRule="auto"/>
            </w:pPr>
            <w:r>
              <w:rPr>
                <w:sz w:val="20"/>
                <w:szCs w:val="20"/>
              </w:rPr>
              <w:t>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ircc.canada.ca und die Seiten der deutschen Vertretungen.</w:t>
            </w:r>
          </w:p>
        </w:tc>
      </w:tr>
    </w:tbl>
    <w:p w14:paraId="70A4F9D4" w14:textId="77777777" w:rsidR="00C1548D" w:rsidRDefault="00C1548D">
      <w:pPr>
        <w:spacing w:line="220" w:lineRule="exact"/>
      </w:pPr>
    </w:p>
    <w:p w14:paraId="70A4F9D5" w14:textId="77777777" w:rsidR="00C1548D" w:rsidRDefault="009B1B4B">
      <w:pPr>
        <w:pStyle w:val="Heading2"/>
        <w:keepNext/>
        <w:pageBreakBefore/>
        <w:jc w:val="center"/>
      </w:pPr>
      <w:bookmarkStart w:id="145" w:name="tka06"/>
      <w:bookmarkStart w:id="146" w:name="_Toc241352524"/>
      <w:r>
        <w:rPr>
          <w:rFonts w:ascii="Amazon Ember" w:eastAsia="Amazon Ember" w:hAnsi="Amazon Ember" w:cs="Amazon Ember"/>
          <w:color w:val="0000FF"/>
          <w:sz w:val="36"/>
          <w:szCs w:val="36"/>
        </w:rPr>
        <w:lastRenderedPageBreak/>
        <w:t>Kanada: Ankunft, erste Tage und Wochen</w:t>
      </w:r>
      <w:bookmarkEnd w:id="145"/>
      <w:bookmarkEnd w:id="146"/>
    </w:p>
    <w:p w14:paraId="70A4F9D6" w14:textId="77777777" w:rsidR="00C1548D" w:rsidRDefault="009B1B4B">
      <w:pPr>
        <w:spacing w:after="140"/>
      </w:pPr>
      <w:r>
        <w:t>Der Koffer steht noch halb gepackt in der Ecke, der Jetlag hat sich noch nicht verzogen, und schon wartet ein Stapel erster Termine, von dem kein Reiseführer je etwas erwähnt hat: eine Sozialversicherungsnummer, ein Bankkonto, eine Handynummer, eine Krankenversicherungskarte, irgendwann auch eine Wohnung, die nicht nur für zwei Wochen gemietet ist. Wer aus Deutschland kommt, unterschätzt gern, wie viel Verwaltung sich in den ersten kanadischen Wochen ballt – nicht, weil Kanada besonders bürokratisch wäre, s</w:t>
      </w:r>
      <w:r>
        <w:t>ondern weil sich höflich und gründlich hier offenbar nicht gegenseitig ausschließen. Dieses Kapitel bringt Reihenfolge in das Durcheinander zwischen Landung und dem Gefühl, tatsächlich angekommen zu sein.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DE"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9D7" w14:textId="77777777" w:rsidR="00C1548D" w:rsidRDefault="009B1B4B">
            <w:pPr>
              <w:keepNext/>
              <w:spacing w:after="70" w:line="240" w:lineRule="auto"/>
            </w:pPr>
            <w:r>
              <w:rPr>
                <w:b/>
                <w:bCs/>
                <w:color w:val="1F3A5F"/>
                <w:spacing w:val="24"/>
                <w:sz w:val="16"/>
                <w:szCs w:val="16"/>
              </w:rPr>
              <w:lastRenderedPageBreak/>
              <w:t>KURZ GESAGT</w:t>
            </w:r>
          </w:p>
          <w:p w14:paraId="70A4F9D8" w14:textId="77777777" w:rsidR="00C1548D" w:rsidRDefault="009B1B4B" w:rsidP="009B1B4B">
            <w:pPr>
              <w:pStyle w:val="ListParagraph"/>
              <w:numPr>
                <w:ilvl w:val="0"/>
                <w:numId w:val="1"/>
              </w:numPr>
              <w:spacing w:after="50" w:line="264" w:lineRule="auto"/>
            </w:pPr>
            <w:r>
              <w:rPr>
                <w:sz w:val="20"/>
                <w:szCs w:val="20"/>
              </w:rPr>
              <w:t xml:space="preserve">Die Einreisekontrolle der </w:t>
            </w:r>
            <w:r>
              <w:rPr>
                <w:i/>
                <w:iCs/>
                <w:sz w:val="20"/>
                <w:szCs w:val="20"/>
              </w:rPr>
              <w:t>Canada Border Services Agency</w:t>
            </w:r>
            <w:r>
              <w:rPr>
                <w:sz w:val="20"/>
                <w:szCs w:val="20"/>
              </w:rPr>
              <w:t xml:space="preserve"> (CBSA, der kanadische Grenzschutz) ist meist zügig – bei einer permanenten Aufenthaltserlaubnis wird dort aber erst formal dein Status wirksam, nicht schon mit der Genehmigung aus Deutschland.</w:t>
            </w:r>
          </w:p>
          <w:p w14:paraId="70A4F9D9" w14:textId="77777777" w:rsidR="00C1548D" w:rsidRDefault="009B1B4B" w:rsidP="009B1B4B">
            <w:pPr>
              <w:pStyle w:val="ListParagraph"/>
              <w:numPr>
                <w:ilvl w:val="0"/>
                <w:numId w:val="1"/>
              </w:numPr>
              <w:spacing w:after="50" w:line="264" w:lineRule="auto"/>
            </w:pPr>
            <w:r>
              <w:rPr>
                <w:sz w:val="20"/>
                <w:szCs w:val="20"/>
              </w:rPr>
              <w:t xml:space="preserve">Beantrage die </w:t>
            </w:r>
            <w:r>
              <w:rPr>
                <w:i/>
                <w:iCs/>
                <w:sz w:val="20"/>
                <w:szCs w:val="20"/>
              </w:rPr>
              <w:t>Social Insurance Number</w:t>
            </w:r>
            <w:r>
              <w:rPr>
                <w:sz w:val="20"/>
                <w:szCs w:val="20"/>
              </w:rPr>
              <w:t xml:space="preserve"> (SIN, die kanadische Sozialversicherungsnummer) sofort: kostenlos, oft binnen fünf Werktagen bestätigt, aber ohne sie kein Gehalt und keine Steuererklärung.</w:t>
            </w:r>
          </w:p>
          <w:p w14:paraId="70A4F9DA" w14:textId="77777777" w:rsidR="00C1548D" w:rsidRDefault="009B1B4B" w:rsidP="009B1B4B">
            <w:pPr>
              <w:pStyle w:val="ListParagraph"/>
              <w:numPr>
                <w:ilvl w:val="0"/>
                <w:numId w:val="1"/>
              </w:numPr>
              <w:spacing w:after="50" w:line="264" w:lineRule="auto"/>
            </w:pPr>
            <w:r>
              <w:rPr>
                <w:sz w:val="20"/>
                <w:szCs w:val="20"/>
              </w:rPr>
              <w:t>Ein Bankkonto lässt sich bei mehreren Großbanken schon von Deutschland aus online vorbereiten.</w:t>
            </w:r>
          </w:p>
          <w:p w14:paraId="70A4F9DB" w14:textId="77777777" w:rsidR="00C1548D" w:rsidRDefault="009B1B4B" w:rsidP="009B1B4B">
            <w:pPr>
              <w:pStyle w:val="ListParagraph"/>
              <w:numPr>
                <w:ilvl w:val="0"/>
                <w:numId w:val="1"/>
              </w:numPr>
              <w:spacing w:after="50" w:line="264" w:lineRule="auto"/>
            </w:pPr>
            <w:r>
              <w:rPr>
                <w:sz w:val="20"/>
                <w:szCs w:val="20"/>
              </w:rPr>
              <w:t>Ob du sofort Zugang zur staatlichen Provinz-Krankenversicherung hast, hängt stark von der Provinz ab – Ontario ohne Wartezeit, andere Provinzen mit bis zu drei Monaten.</w:t>
            </w:r>
          </w:p>
          <w:p w14:paraId="70A4F9DC" w14:textId="77777777" w:rsidR="00C1548D" w:rsidRDefault="009B1B4B" w:rsidP="009B1B4B">
            <w:pPr>
              <w:pStyle w:val="ListParagraph"/>
              <w:numPr>
                <w:ilvl w:val="0"/>
                <w:numId w:val="1"/>
              </w:numPr>
              <w:spacing w:after="50" w:line="264" w:lineRule="auto"/>
            </w:pPr>
            <w:r>
              <w:rPr>
                <w:sz w:val="20"/>
                <w:szCs w:val="20"/>
              </w:rPr>
              <w:t>Organisiere SIM-Karte und Internet früh, idealerweise schon vor dem Abflug.</w:t>
            </w:r>
          </w:p>
          <w:p w14:paraId="70A4F9DD" w14:textId="77777777" w:rsidR="00C1548D" w:rsidRDefault="009B1B4B" w:rsidP="009B1B4B">
            <w:pPr>
              <w:pStyle w:val="ListParagraph"/>
              <w:numPr>
                <w:ilvl w:val="0"/>
                <w:numId w:val="1"/>
              </w:numPr>
              <w:spacing w:after="50" w:line="264" w:lineRule="auto"/>
            </w:pPr>
            <w:r>
              <w:rPr>
                <w:sz w:val="20"/>
                <w:szCs w:val="20"/>
              </w:rPr>
              <w:t>Buche die erste Unterkunft nur als flexible Übergangslösung; die eigentliche Wohnungssuche läuft besser vor Ort.</w:t>
            </w:r>
          </w:p>
        </w:tc>
      </w:tr>
    </w:tbl>
    <w:p w14:paraId="70A4F9DF" w14:textId="77777777" w:rsidR="00C1548D" w:rsidRDefault="00C1548D">
      <w:pPr>
        <w:spacing w:line="220" w:lineRule="exact"/>
      </w:pPr>
    </w:p>
    <w:p w14:paraId="70A4F9E0" w14:textId="77777777" w:rsidR="00C1548D" w:rsidRDefault="009B1B4B">
      <w:pPr>
        <w:pStyle w:val="Heading3"/>
        <w:keepNext/>
        <w:jc w:val="center"/>
      </w:pPr>
      <w:r>
        <w:rPr>
          <w:rFonts w:ascii="Amazon Ember" w:eastAsia="Amazon Ember" w:hAnsi="Amazon Ember" w:cs="Amazon Ember"/>
          <w:color w:val="0000FF"/>
          <w:sz w:val="36"/>
          <w:szCs w:val="36"/>
        </w:rPr>
        <w:t>Einreise: CBSA und die eigentliche „Landung“</w:t>
      </w:r>
    </w:p>
    <w:p w14:paraId="70A4F9E1" w14:textId="77777777" w:rsidR="00C1548D" w:rsidRDefault="009B1B4B">
      <w:pPr>
        <w:spacing w:after="140"/>
      </w:pPr>
      <w:r>
        <w:t xml:space="preserve">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bei der ein CBSA-Beamter deine </w:t>
      </w:r>
      <w:r>
        <w:rPr>
          <w:i/>
          <w:iCs/>
        </w:rPr>
        <w:t>Confirmation of Permanent Residence</w:t>
      </w:r>
      <w:r>
        <w:t xml:space="preserve"> (COPR, die Bestätigung des permanenten Aufenthalts) prüft und deinen Status offiziell aktiviert. Ohne dieses Dokument im Handgepäck – nicht im aufgegebenen Koffer – klappt die Landung nicht.</w:t>
      </w:r>
    </w:p>
    <w:p w14:paraId="70A4F9E2" w14:textId="77777777" w:rsidR="00C1548D" w:rsidRDefault="009B1B4B">
      <w:pPr>
        <w:spacing w:after="140"/>
      </w:pPr>
      <w:r>
        <w:lastRenderedPageBreak/>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nicht nur digital auf dem Handy, dessen Akku ausgerechnet nach zehn Stunden Flug selten volle Leistung ze</w:t>
      </w:r>
      <w:r>
        <w:t>igt.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E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9E3" w14:textId="77777777" w:rsidR="00C1548D" w:rsidRDefault="009B1B4B">
            <w:pPr>
              <w:keepNext/>
              <w:spacing w:after="70" w:line="240" w:lineRule="auto"/>
            </w:pPr>
            <w:r>
              <w:rPr>
                <w:b/>
                <w:bCs/>
                <w:color w:val="9B2C2C"/>
                <w:spacing w:val="24"/>
                <w:sz w:val="16"/>
                <w:szCs w:val="16"/>
              </w:rPr>
              <w:t>ACHTUNG</w:t>
            </w:r>
          </w:p>
          <w:p w14:paraId="70A4F9E4" w14:textId="77777777" w:rsidR="00C1548D" w:rsidRDefault="009B1B4B">
            <w:pPr>
              <w:spacing w:after="80" w:line="264" w:lineRule="auto"/>
            </w:pPr>
            <w:r>
              <w:rPr>
                <w:sz w:val="20"/>
                <w:szCs w:val="20"/>
              </w:rPr>
              <w:t>Verwechsle die IRCC-Genehmigung nicht mit der tatsächlichen Einreiseerlaubnis. Beides ist rechtlich getrennt, und der zweite Schritt findet ausschließlich am Grenzübergang statt – vorbereitet, aber nicht vorweggenommen.</w:t>
            </w:r>
          </w:p>
        </w:tc>
      </w:tr>
    </w:tbl>
    <w:p w14:paraId="70A4F9E6" w14:textId="77777777" w:rsidR="00C1548D" w:rsidRDefault="00C1548D">
      <w:pPr>
        <w:spacing w:line="220" w:lineRule="exact"/>
      </w:pPr>
    </w:p>
    <w:p w14:paraId="70A4F9E7" w14:textId="77777777" w:rsidR="00C1548D" w:rsidRDefault="009B1B4B">
      <w:pPr>
        <w:spacing w:after="140"/>
      </w:pPr>
      <w:r>
        <w:t xml:space="preserve">Vom Flughafen kommst du in Toronto, Calgary oder Vancouver meist per Zug, Bus, Taxi oder Fahrdienst wie Uber in die Innenstadt; der </w:t>
      </w:r>
      <w:r>
        <w:rPr>
          <w:i/>
          <w:iCs/>
        </w:rPr>
        <w:t>Union Pearson Express</w:t>
      </w:r>
      <w:r>
        <w:t xml:space="preserve"> etwa verbindet den Flughafen Toronto Pearson direkt und ohne Umsteigen mit der Innenstadt. Wechsle nur so viel Bargeld wie nötig am Flughafenschalter – die Kurse dort sind selten die besten –, den Rest erledigst du bequemer über Karte oder das neue Konto.</w:t>
      </w:r>
    </w:p>
    <w:p w14:paraId="70A4F9E8" w14:textId="77777777" w:rsidR="00C1548D" w:rsidRDefault="009B1B4B">
      <w:pPr>
        <w:pStyle w:val="Heading3"/>
        <w:keepNext/>
        <w:jc w:val="center"/>
      </w:pPr>
      <w:r>
        <w:rPr>
          <w:rFonts w:ascii="Amazon Ember" w:eastAsia="Amazon Ember" w:hAnsi="Amazon Ember" w:cs="Amazon Ember"/>
          <w:color w:val="0000FF"/>
          <w:sz w:val="36"/>
          <w:szCs w:val="36"/>
        </w:rPr>
        <w:t>Jetlag, Zeitzonen und die ersten Tage</w:t>
      </w:r>
    </w:p>
    <w:p w14:paraId="70A4F9E9" w14:textId="77777777" w:rsidR="00C1548D" w:rsidRDefault="009B1B4B">
      <w:pPr>
        <w:spacing w:after="140"/>
      </w:pPr>
      <w:r>
        <w:t>Kanada ist geografisch so groß, dass ein einzelner „Zeitunterschied zu Kanada“ wenig aussagt: Toronto liegt in der Eastern Time Zone, rund sechs Stunden hinter Deutschland, Calgary in der Mountain Time Zone, rund acht Stunden dahinter – und wer beide Städte auf einer Reise verbinden will, verschiebt die eigene innere Uhr gleich zweimal. Plane die ersten zwei, drei Tage bewusst ohne wichtige Termine ein: kein Bankgespräch am Ankunftstag, keine Wohnungsbesichtigung mit Kopfschmerzen vom Nachtflug. Tageslicht,</w:t>
      </w:r>
      <w:r>
        <w:t xml:space="preserve"> ein kurzer Spaziergang und das bewusste Durchhalten </w:t>
      </w:r>
      <w:r>
        <w:lastRenderedPageBreak/>
        <w:t>bis zum lokalen Abend helfen dem Rhythmus spürbar schneller auf die Sprünge als noch eine Tasse Kaffee.</w:t>
      </w:r>
    </w:p>
    <w:p w14:paraId="70A4F9EA" w14:textId="77777777" w:rsidR="00C1548D" w:rsidRDefault="009B1B4B">
      <w:pPr>
        <w:pStyle w:val="Heading3"/>
        <w:keepNext/>
        <w:jc w:val="center"/>
      </w:pPr>
      <w:r>
        <w:rPr>
          <w:rFonts w:ascii="Amazon Ember" w:eastAsia="Amazon Ember" w:hAnsi="Amazon Ember" w:cs="Amazon Ember"/>
          <w:color w:val="0000FF"/>
          <w:sz w:val="36"/>
          <w:szCs w:val="36"/>
        </w:rPr>
        <w:t>Die Social Insurance Number: dein erster Behördengang</w:t>
      </w:r>
    </w:p>
    <w:p w14:paraId="70A4F9EB" w14:textId="77777777" w:rsidR="00C1548D" w:rsidRDefault="009B1B4B">
      <w:pPr>
        <w:spacing w:after="140"/>
      </w:pPr>
      <w:r>
        <w:t xml:space="preserve">Eine der ersten Amtshandlungen nach der Ankunft sollte die Beantragung der SIN sein – der neunstelligen Nummer, ohne die in Kanada weder ein Gehalt fließt noch eine Steuererklärung möglich ist, und ohne die auch ein vollwertiges Bankkonto kaum zu eröffnen ist. Die Beantragung ist in allen drei Verfahren kostenlos: online über das eSIN-Portal mit hochgeladenen Dokumentenkopien, postalisch mit unterschriebenem Formular, oder persönlich bei einer Filiale von </w:t>
      </w:r>
      <w:r>
        <w:rPr>
          <w:i/>
          <w:iCs/>
        </w:rPr>
        <w:t>Service Canada</w:t>
      </w:r>
      <w:r>
        <w:t xml:space="preserve"> – dort meist mit sofortiger Ausstellung. Nötig sind ein gültiges Primärdokument (Pass plus Arbeits- oder Studienvisum beziehungsweise die PR-Bestätigung) sowie ein Sekundärdokument zum Identitätsnachweis. Die Online-Bestätigung dauert in der Regel bis zu fünf Werktage über dein </w:t>
      </w:r>
      <w:r>
        <w:rPr>
          <w:i/>
          <w:iCs/>
        </w:rPr>
        <w:t>My Service Canada Account</w:t>
      </w:r>
      <w:r>
        <w:t>.</w:t>
      </w:r>
    </w:p>
    <w:p w14:paraId="70A4F9EC" w14:textId="77777777" w:rsidR="00C1548D" w:rsidRDefault="009B1B4B">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 ein Betrag, der in den ohnehin teuren ersten Wochen schlicht fehlt.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EF"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9ED" w14:textId="77777777" w:rsidR="00C1548D" w:rsidRDefault="009B1B4B">
            <w:pPr>
              <w:keepNext/>
              <w:spacing w:after="70" w:line="240" w:lineRule="auto"/>
            </w:pPr>
            <w:r>
              <w:rPr>
                <w:b/>
                <w:bCs/>
                <w:color w:val="8A6212"/>
                <w:spacing w:val="24"/>
                <w:sz w:val="16"/>
                <w:szCs w:val="16"/>
              </w:rPr>
              <w:t>MERKE</w:t>
            </w:r>
          </w:p>
          <w:p w14:paraId="70A4F9EE" w14:textId="32F5AD00" w:rsidR="00C1548D" w:rsidRDefault="009B1B4B">
            <w:pPr>
              <w:spacing w:after="80" w:line="264" w:lineRule="auto"/>
            </w:pPr>
            <w:r>
              <w:rPr>
                <w:sz w:val="20"/>
                <w:szCs w:val="20"/>
              </w:rPr>
              <w:t xml:space="preserve">Die SIN ist reine Steuer- und Arbeits-ID. Für die Provinz-Krankenversicherung und für Sozialleistungen meldest du dich separat an – dazu gleich mehr. Das </w:t>
            </w:r>
            <w:hyperlink w:anchor="tka07" w:history="1">
              <w:r>
                <w:rPr>
                  <w:color w:val="0563C1"/>
                  <w:sz w:val="20"/>
                  <w:szCs w:val="20"/>
                  <w:u w:val="single"/>
                </w:rPr>
                <w:t>Kapitel zu Steuer-ID, Bank und Kredit in diesem Teil</w:t>
              </w:r>
            </w:hyperlink>
            <w:r>
              <w:rPr>
                <w:sz w:val="20"/>
                <w:szCs w:val="20"/>
              </w:rPr>
              <w:t xml:space="preserve"> vertieft, was danach mit deiner ersten Steuererklärung als „Newcomer“ passiert.</w:t>
            </w:r>
          </w:p>
        </w:tc>
      </w:tr>
    </w:tbl>
    <w:p w14:paraId="70A4F9F0" w14:textId="77777777" w:rsidR="00C1548D" w:rsidRDefault="00C1548D">
      <w:pPr>
        <w:spacing w:line="220" w:lineRule="exact"/>
      </w:pPr>
    </w:p>
    <w:p w14:paraId="70A4F9F1" w14:textId="77777777" w:rsidR="00C1548D" w:rsidRDefault="009B1B4B">
      <w:pPr>
        <w:pStyle w:val="Heading3"/>
        <w:keepNext/>
        <w:jc w:val="center"/>
      </w:pPr>
      <w:r>
        <w:rPr>
          <w:rFonts w:ascii="Amazon Ember" w:eastAsia="Amazon Ember" w:hAnsi="Amazon Ember" w:cs="Amazon Ember"/>
          <w:color w:val="0000FF"/>
          <w:sz w:val="36"/>
          <w:szCs w:val="36"/>
        </w:rPr>
        <w:lastRenderedPageBreak/>
        <w:t>Bankkonto: am besten schon vor dem Abflug vorbereitet</w:t>
      </w:r>
    </w:p>
    <w:p w14:paraId="70A4F9F2" w14:textId="77777777" w:rsidR="00C1548D" w:rsidRDefault="009B1B4B">
      <w:pPr>
        <w:spacing w:after="140"/>
      </w:pPr>
      <w:r>
        <w:t>Für Gehalt, Miete und Alltag brauchst du ein kanadisches Bankkonto –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Bonitätshistorie. Nutze das, wenn deine Zielbank es anbietet</w:t>
      </w:r>
      <w:r>
        <w:t>: Dann bist du vom ersten Arbeitstag an zahlungsfähig, statt in der turbulentesten Woche noch einen Filialtermin einzuschieben. Ohne Voreröffnung holst du das nach der Landung nach; alle Banken verlangen dafür einmalig eine persönliche Identifizierung mit Pass und Aufenthaltsnachweis in der Filiale.</w:t>
      </w:r>
    </w:p>
    <w:p w14:paraId="70A4F9F3" w14:textId="4A58DA0F" w:rsidR="00C1548D" w:rsidRDefault="009B1B4B">
      <w:pPr>
        <w:spacing w:after="140"/>
      </w:pPr>
      <w:r>
        <w:t xml:space="preserve">Ein zweiter Punkt, den viele erst hier lernen: Deine deutsche Bonität zählt in Kanada nicht das Geringste. Die kanadischen Auskunfteien Equifax Canada und TransUnion Canada übernehmen keine ausländische Kredithistorie –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history="1">
        <w:r>
          <w:rPr>
            <w:color w:val="0563C1"/>
            <w:u w:val="single"/>
          </w:rPr>
          <w:t>Kapitel zu Steuer-ID, Bank und Kredit in diesem Teil</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F6"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9F4" w14:textId="77777777" w:rsidR="00C1548D" w:rsidRDefault="009B1B4B">
            <w:pPr>
              <w:keepNext/>
              <w:spacing w:after="70" w:line="240" w:lineRule="auto"/>
            </w:pPr>
            <w:r>
              <w:rPr>
                <w:b/>
                <w:bCs/>
                <w:color w:val="2F6B3B"/>
                <w:spacing w:val="24"/>
                <w:sz w:val="16"/>
                <w:szCs w:val="16"/>
              </w:rPr>
              <w:lastRenderedPageBreak/>
              <w:t>SPARTIPP</w:t>
            </w:r>
          </w:p>
          <w:p w14:paraId="70A4F9F5" w14:textId="77777777" w:rsidR="00C1548D" w:rsidRDefault="009B1B4B">
            <w:pPr>
              <w:spacing w:after="80" w:line="264" w:lineRule="auto"/>
            </w:pPr>
            <w:r>
              <w:rPr>
                <w:sz w:val="20"/>
                <w:szCs w:val="20"/>
              </w:rPr>
              <w:t>Beantrage die Kreditkarte gleich in der ersten Woche, auch wenn du sie kaum brauchst. Jeder Monat, den du wartest, ist ein Monat, den du später bei Miet-, Auto- oder Hypothekenanträgen an Kredithistorie vermisst.</w:t>
            </w:r>
          </w:p>
        </w:tc>
      </w:tr>
    </w:tbl>
    <w:p w14:paraId="70A4F9F7" w14:textId="77777777" w:rsidR="00C1548D" w:rsidRDefault="00C1548D">
      <w:pPr>
        <w:spacing w:line="220" w:lineRule="exact"/>
      </w:pPr>
    </w:p>
    <w:p w14:paraId="70A4F9F8" w14:textId="77777777" w:rsidR="00C1548D" w:rsidRDefault="009B1B4B">
      <w:pPr>
        <w:pStyle w:val="Heading3"/>
        <w:keepNext/>
        <w:jc w:val="center"/>
      </w:pPr>
      <w:r>
        <w:rPr>
          <w:rFonts w:ascii="Amazon Ember" w:eastAsia="Amazon Ember" w:hAnsi="Amazon Ember" w:cs="Amazon Ember"/>
          <w:color w:val="0000FF"/>
          <w:sz w:val="36"/>
          <w:szCs w:val="36"/>
        </w:rPr>
        <w:t>Provinz-Krankenversicherung: der Unterschied, der sofort zählt</w:t>
      </w:r>
    </w:p>
    <w:p w14:paraId="70A4F9F9" w14:textId="77777777" w:rsidR="00C1548D" w:rsidRDefault="009B1B4B">
      <w:pPr>
        <w:spacing w:after="140"/>
      </w:pPr>
      <w:r>
        <w:t>Kanada hat kein einziges nationales „Medicare“-System, sondern 13 getrennte Provinz- und Territorialsysteme mit gemeinsamem gesetzlichem Rahmen. Für Neuankömmlinge ist das mehr als eine verwaltungstechnische Feinheit: Ob du ab Tag eins abgesichert bist oder erst nach einer Wartefrist, entscheidet allein die Provinz, in der du dich niederlässt.</w:t>
      </w:r>
    </w:p>
    <w:p w14:paraId="70A4F9FA" w14:textId="77777777" w:rsidR="00C1548D" w:rsidRDefault="009B1B4B">
      <w:pPr>
        <w:spacing w:after="140"/>
      </w:pPr>
      <w:r>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berichten mehrere unabhängige Quellen von keiner oder nur einer sehr kurzen Wartefrist – im Einzelfall lohnt sich vor dem Umzug trotzdem eine direkte Nachfrage bei der Provinzbehörde, da diese Angabe nicht amtlich im Detail geprüft ist.</w:t>
      </w:r>
    </w:p>
    <w:p w14:paraId="70A4F9FB" w14:textId="4AC2F5C8" w:rsidR="00C1548D" w:rsidRDefault="009B1B4B">
      <w:pPr>
        <w:spacing w:after="140"/>
      </w:pPr>
      <w:r>
        <w:t>Für jede Wartefrist gilt dieselbe Empfehlung: eine private Übergangsversicherung abschließen, nicht abwarten und hoffen. Anbieter wie Manulife, Sun Life oder Blue Cross bieten Policen für Neuankömmlinge in einer Preisspanne von grob 100 bis 200 CAD pro Person und Monat, je nach Deckungsumfang. Was die Provinz-</w:t>
      </w:r>
      <w:r>
        <w:lastRenderedPageBreak/>
        <w:t xml:space="preserve">Pläne abdecken – und was, wie Zahnbehandlung oder Medikamente außerhalb des Krankenhauses, meist zusätzlich versichert werden muss –, erklärt das </w:t>
      </w:r>
      <w:hyperlink w:anchor="tka08" w:history="1">
        <w:r>
          <w:rPr>
            <w:color w:val="0563C1"/>
            <w:u w:val="single"/>
          </w:rPr>
          <w:t>Kapitel zum Gesundheitssystem in diesem Teil</w:t>
        </w:r>
      </w:hyperlink>
      <w:r>
        <w:t xml:space="preserve"> ausführlich.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9F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9FC" w14:textId="77777777" w:rsidR="00C1548D" w:rsidRDefault="009B1B4B">
            <w:pPr>
              <w:keepNext/>
              <w:spacing w:after="70" w:line="240" w:lineRule="auto"/>
            </w:pPr>
            <w:r>
              <w:rPr>
                <w:b/>
                <w:bCs/>
                <w:color w:val="9B2C2C"/>
                <w:spacing w:val="24"/>
                <w:sz w:val="16"/>
                <w:szCs w:val="16"/>
              </w:rPr>
              <w:t>ACHTUNG</w:t>
            </w:r>
          </w:p>
          <w:p w14:paraId="70A4F9FD" w14:textId="77777777" w:rsidR="00C1548D" w:rsidRDefault="009B1B4B">
            <w:pPr>
              <w:spacing w:after="80" w:line="264" w:lineRule="auto"/>
            </w:pPr>
            <w:r>
              <w:rPr>
                <w:sz w:val="20"/>
                <w:szCs w:val="20"/>
              </w:rPr>
              <w:t>Verwechsle die Regeln deiner Zielprovinz nicht mit denen einer anderen. Wer aus Erzählungen von Bekannten in Toronto ableitet, es gebe generell keine Wartefrist in Kanada, steht in Vancouver oder Montreal unter Umständen drei Monate ohne jede staatliche Absicherung da.</w:t>
            </w:r>
          </w:p>
        </w:tc>
      </w:tr>
    </w:tbl>
    <w:p w14:paraId="70A4F9FF"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02"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A00" w14:textId="77777777" w:rsidR="00C1548D" w:rsidRDefault="009B1B4B">
            <w:pPr>
              <w:keepNext/>
              <w:spacing w:after="70" w:line="240" w:lineRule="auto"/>
            </w:pPr>
            <w:r>
              <w:rPr>
                <w:b/>
                <w:bCs/>
                <w:color w:val="4A5568"/>
                <w:spacing w:val="24"/>
                <w:sz w:val="16"/>
                <w:szCs w:val="16"/>
              </w:rPr>
              <w:t>PRAXISBEISPIEL · FIKTIV</w:t>
            </w:r>
          </w:p>
          <w:p w14:paraId="70A4FA01" w14:textId="77777777" w:rsidR="00C1548D" w:rsidRDefault="009B1B4B">
            <w:pPr>
              <w:spacing w:after="80" w:line="264" w:lineRule="auto"/>
            </w:pPr>
            <w:r>
              <w:rPr>
                <w:sz w:val="20"/>
                <w:szCs w:val="20"/>
              </w:rPr>
              <w:t>Familie Ahrens landet mit bereits genehmigtem PR-Status in Toronto und lässt die COPR bei der CBSA prüfen – ab diesem Moment sind alle vier offiziell Permanent Residents. Noch in derselben Woche beantragen Markus und Julia online die SIN für sich und die Kinder, bestätigt binnen vier Werktagen. Da Ontario keine Wartefrist kennt, melden sie sich direkt für die Gesundheitskarten an; die Plastikkarten selbst treffen erst gut einen Monat später per Post ein, bis dahin gilt für die Familie noch die deutsche Ausl</w:t>
            </w:r>
            <w:r>
              <w:rPr>
                <w:sz w:val="20"/>
                <w:szCs w:val="20"/>
              </w:rPr>
              <w:t>andskrankenversicherung. Das Bankkonto bei einer der Big-Five-Banken hatte Julia bereits vier Wochen vor dem Abflug online eingerichtet – am zweiten Tag in Toronto reicht ein kurzer Filialbesuch zur Identifizierung. (Fiktives Beispiel.)</w:t>
            </w:r>
          </w:p>
        </w:tc>
      </w:tr>
    </w:tbl>
    <w:p w14:paraId="70A4FA03" w14:textId="77777777" w:rsidR="00C1548D" w:rsidRDefault="00C1548D">
      <w:pPr>
        <w:spacing w:line="220" w:lineRule="exact"/>
      </w:pPr>
    </w:p>
    <w:p w14:paraId="70A4FA04" w14:textId="77777777" w:rsidR="00C1548D" w:rsidRDefault="009B1B4B">
      <w:pPr>
        <w:pStyle w:val="Heading3"/>
        <w:keepNext/>
        <w:jc w:val="center"/>
      </w:pPr>
      <w:r>
        <w:rPr>
          <w:rFonts w:ascii="Amazon Ember" w:eastAsia="Amazon Ember" w:hAnsi="Amazon Ember" w:cs="Amazon Ember"/>
          <w:color w:val="0000FF"/>
          <w:sz w:val="36"/>
          <w:szCs w:val="36"/>
        </w:rPr>
        <w:t>SIM-Karte und Internet</w:t>
      </w:r>
    </w:p>
    <w:p w14:paraId="70A4FA05" w14:textId="77777777" w:rsidR="00C1548D" w:rsidRDefault="009B1B4B">
      <w:pPr>
        <w:spacing w:after="140"/>
      </w:pPr>
      <w:r>
        <w:t xml:space="preserve">Deutsche Mobilfunktarife bieten für Kanada in aller Regel kein EU-Roaming, und wer das erst am Flughafen bemerkt, zahlt für die ersten Anrufe unangenehm viel. Praktischer ist eine </w:t>
      </w:r>
      <w:r>
        <w:rPr>
          <w:i/>
          <w:iCs/>
        </w:rPr>
        <w:t>eSIM</w:t>
      </w:r>
      <w:r>
        <w:t xml:space="preserve"> (eine rein digitale SIM-Karte) mit Kanada-Datenpaket, eingerichtet schon vor dem Abflug, oder eine physische Prepaid-SIM direkt nach der Landung – erhältlich an Kiosken im Ankunftsbereich, in Drogerien und bei den Netzbetreibern selbst. Die drei etablierten Anbieter Rogers, Bell und Telus decken das Land am dichtesten ab, auch </w:t>
      </w:r>
      <w:r>
        <w:lastRenderedPageBreak/>
        <w:t>abseits der Großstädte, verlangen dafür aber meist höhere Preise als ihre eigenen Zweitmarken – etwa Fido, Koodo, Virgin Plus oder Chatr –, die auf demselben Netz laufen, jedoch güns</w:t>
      </w:r>
      <w:r>
        <w:t>tiger und meist ganz ohne Bonitätsprüfung zu haben sind. Für den Anfang ist Prepaid die unkompliziertere Wahl; einen Laufzeitvertrag verlangt ohnehin oft eine kanadische Kreditkarte oder Bonitätsprüfung, die frisch Angekommene naturgemäß noch nicht vorweisen können. Behalte deine deutsche Nummer als Zweit-SIM, solange dort noch Bestätigungscodes von Bank oder deutschen Behörden ankommen.</w:t>
      </w:r>
    </w:p>
    <w:p w14:paraId="70A4FA06" w14:textId="77777777" w:rsidR="00C1548D" w:rsidRDefault="009B1B4B">
      <w:pPr>
        <w:pStyle w:val="Heading3"/>
        <w:keepNext/>
        <w:jc w:val="center"/>
      </w:pPr>
      <w:r>
        <w:rPr>
          <w:rFonts w:ascii="Amazon Ember" w:eastAsia="Amazon Ember" w:hAnsi="Amazon Ember" w:cs="Amazon Ember"/>
          <w:color w:val="0000FF"/>
          <w:sz w:val="36"/>
          <w:szCs w:val="36"/>
        </w:rPr>
        <w:t>Die erste Wohnung: Übergang und Suche</w:t>
      </w:r>
    </w:p>
    <w:p w14:paraId="70A4FA07" w14:textId="77777777" w:rsidR="00C1548D" w:rsidRDefault="009B1B4B">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denen du erst SIN, Bankkonto und einen ersten Gehaltsnachweis vorweisen solltest, bevor du dich um einen regulären Mietvertrag bemühst – viele Vermieter verlangen genau diese Unterlagen als Teil der Bewerbung.</w:t>
      </w:r>
    </w:p>
    <w:p w14:paraId="70A4FA08" w14:textId="40AE0DBE" w:rsidR="00C1548D" w:rsidRDefault="009B1B4B">
      <w:pPr>
        <w:spacing w:after="140"/>
      </w:pPr>
      <w:r>
        <w:t>Die eigentliche Wohnungssuche läuft überwiegend online über Immobilienportale; wer sich bewirbt, legt in der Regel Gehaltsnachweis oder Jobangebot, Referenzen und einen Ausweis mit Aufenthaltsnachweis vor. Eine kanadische Kredithistorie hast du naturgemäß noch nicht, weshalb manche Vermieter eine höhere Kaution, eine Bürgschaft oder gleich mehrere Monatsmieten im Voraus verlangen – Praxis und genaue Regeln unterscheiden sich je nach Provinz spürbar. Rechne außerdem mit einer Kaution, deren Höhe und Hinterle</w:t>
      </w:r>
      <w:r>
        <w:t xml:space="preserve">gungsart ebenfalls je nach Provinz geregelt ist. Mietpreise, Kautionshöhen und die passende Stadt nach Berufsfeld und Budget behandelt das </w:t>
      </w:r>
      <w:hyperlink w:anchor="tka09" w:history="1">
        <w:r>
          <w:rPr>
            <w:color w:val="0563C1"/>
            <w:u w:val="single"/>
          </w:rPr>
          <w:t>Kapitel zum Wohnen in diesem Teil</w:t>
        </w:r>
      </w:hyperlink>
      <w:r>
        <w:t xml:space="preserve"> ausführlich.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0B"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A09" w14:textId="77777777" w:rsidR="00C1548D" w:rsidRDefault="009B1B4B">
            <w:pPr>
              <w:keepNext/>
              <w:spacing w:after="70" w:line="240" w:lineRule="auto"/>
            </w:pPr>
            <w:r>
              <w:rPr>
                <w:b/>
                <w:bCs/>
                <w:color w:val="2F6B3B"/>
                <w:spacing w:val="24"/>
                <w:sz w:val="16"/>
                <w:szCs w:val="16"/>
              </w:rPr>
              <w:lastRenderedPageBreak/>
              <w:t>SPARTIPP</w:t>
            </w:r>
          </w:p>
          <w:p w14:paraId="70A4FA0A" w14:textId="77777777" w:rsidR="00C1548D" w:rsidRDefault="009B1B4B">
            <w:pPr>
              <w:spacing w:after="80" w:line="264" w:lineRule="auto"/>
            </w:pPr>
            <w:r>
              <w:rPr>
                <w:sz w:val="20"/>
                <w:szCs w:val="20"/>
              </w:rPr>
              <w:t>Nutze die Tage in der Übergangsunterkunft aktiv für Besichtigungen, statt erst mit schrumpfendem Hotelbudget in Torschlusspanik zu geraten. Mit vollständigen Unterlagen und einer Terminliste in der Tasche kommst du in begehrten Vierteln von Toronto oder Vancouver deutlich weiter als mit der Hoffnung, es werde sich schon fügen.</w:t>
            </w:r>
          </w:p>
        </w:tc>
      </w:tr>
    </w:tbl>
    <w:p w14:paraId="70A4FA0C" w14:textId="77777777" w:rsidR="00C1548D" w:rsidRDefault="00C1548D">
      <w:pPr>
        <w:spacing w:line="220" w:lineRule="exact"/>
      </w:pPr>
    </w:p>
    <w:p w14:paraId="70A4FA0D" w14:textId="77777777" w:rsidR="00C1548D" w:rsidRDefault="009B1B4B">
      <w:pPr>
        <w:pStyle w:val="Heading3"/>
        <w:keepNext/>
        <w:jc w:val="center"/>
      </w:pPr>
      <w:r>
        <w:rPr>
          <w:rFonts w:ascii="Amazon Ember" w:eastAsia="Amazon Ember" w:hAnsi="Amazon Ember" w:cs="Amazon Ember"/>
          <w:color w:val="0000FF"/>
          <w:sz w:val="36"/>
          <w:szCs w:val="36"/>
        </w:rPr>
        <w:t>Die ersten zwei Wochen als Fahrplan</w:t>
      </w:r>
    </w:p>
    <w:p w14:paraId="70A4FA0E" w14:textId="77777777" w:rsidR="00C1548D" w:rsidRDefault="009B1B4B">
      <w:pPr>
        <w:spacing w:after="140"/>
      </w:pPr>
      <w:r>
        <w:t>Die folgende Übersicht ordnet die wichtigsten Schritte grob nach Zeitpunkt – wie schnell es tatsächlich geht, hängt von Visumtyp, Provinz und Flug ab.</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4352"/>
        <w:gridCol w:w="1178"/>
      </w:tblGrid>
      <w:tr w:rsidR="00C1548D" w14:paraId="70A4FA12"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0F" w14:textId="77777777" w:rsidR="00C1548D" w:rsidRDefault="009B1B4B">
            <w:pPr>
              <w:spacing w:line="250" w:lineRule="auto"/>
            </w:pPr>
            <w:r>
              <w:rPr>
                <w:b/>
                <w:bCs/>
                <w:sz w:val="18"/>
                <w:szCs w:val="18"/>
              </w:rPr>
              <w:t>Zeitraum</w:t>
            </w:r>
          </w:p>
        </w:tc>
        <w:tc>
          <w:tcPr>
            <w:tcW w:w="43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10" w14:textId="77777777" w:rsidR="00C1548D" w:rsidRDefault="009B1B4B">
            <w:pPr>
              <w:spacing w:line="250" w:lineRule="auto"/>
            </w:pPr>
            <w:r>
              <w:rPr>
                <w:b/>
                <w:bCs/>
                <w:sz w:val="18"/>
                <w:szCs w:val="18"/>
              </w:rPr>
              <w:t>Aufgabe</w:t>
            </w:r>
          </w:p>
        </w:tc>
        <w:tc>
          <w:tcPr>
            <w:tcW w:w="117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11" w14:textId="77777777" w:rsidR="00C1548D" w:rsidRDefault="009B1B4B">
            <w:pPr>
              <w:spacing w:line="250" w:lineRule="auto"/>
            </w:pPr>
            <w:r>
              <w:rPr>
                <w:b/>
                <w:bCs/>
                <w:sz w:val="18"/>
                <w:szCs w:val="18"/>
              </w:rPr>
              <w:t>Mehr dazu</w:t>
            </w:r>
          </w:p>
        </w:tc>
      </w:tr>
      <w:tr w:rsidR="00C1548D" w14:paraId="70A4FA1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13" w14:textId="77777777" w:rsidR="00C1548D" w:rsidRDefault="009B1B4B">
            <w:pPr>
              <w:spacing w:line="250" w:lineRule="auto"/>
            </w:pPr>
            <w:r>
              <w:rPr>
                <w:sz w:val="18"/>
                <w:szCs w:val="18"/>
              </w:rPr>
              <w:t>Tag 1–2</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14" w14:textId="77777777" w:rsidR="00C1548D" w:rsidRDefault="009B1B4B">
            <w:pPr>
              <w:spacing w:line="250" w:lineRule="auto"/>
            </w:pPr>
            <w:r>
              <w:rPr>
                <w:sz w:val="18"/>
                <w:szCs w:val="18"/>
              </w:rPr>
              <w:t>Einreise, Landung/COPR-Prüfung, Übergangsunterkunft beziehen, SIM aktivieren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15" w14:textId="77777777" w:rsidR="00C1548D" w:rsidRDefault="009B1B4B">
            <w:pPr>
              <w:spacing w:line="250" w:lineRule="auto"/>
            </w:pPr>
            <w:r>
              <w:rPr>
                <w:sz w:val="18"/>
                <w:szCs w:val="18"/>
              </w:rPr>
              <w:t>–</w:t>
            </w:r>
          </w:p>
        </w:tc>
      </w:tr>
      <w:tr w:rsidR="00C1548D" w14:paraId="70A4FA1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17" w14:textId="77777777" w:rsidR="00C1548D" w:rsidRDefault="009B1B4B">
            <w:pPr>
              <w:spacing w:line="250" w:lineRule="auto"/>
            </w:pPr>
            <w:r>
              <w:rPr>
                <w:sz w:val="18"/>
                <w:szCs w:val="18"/>
              </w:rPr>
              <w:t>Tag 2–4</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18" w14:textId="77777777" w:rsidR="00C1548D" w:rsidRDefault="009B1B4B">
            <w:pPr>
              <w:spacing w:line="250" w:lineRule="auto"/>
            </w:pPr>
            <w:r>
              <w:rPr>
                <w:sz w:val="18"/>
                <w:szCs w:val="18"/>
              </w:rPr>
              <w:t>SIN beantragen; Bankkonto eröffnen oder vor Ort verifizieren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19" w14:textId="77777777" w:rsidR="00C1548D" w:rsidRDefault="009B1B4B">
            <w:pPr>
              <w:spacing w:line="250" w:lineRule="auto"/>
            </w:pPr>
            <w:r>
              <w:rPr>
                <w:sz w:val="18"/>
                <w:szCs w:val="18"/>
              </w:rPr>
              <w:t>Steuer-ID/Bank</w:t>
            </w:r>
          </w:p>
        </w:tc>
      </w:tr>
      <w:tr w:rsidR="00C1548D" w14:paraId="70A4FA1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1B" w14:textId="77777777" w:rsidR="00C1548D" w:rsidRDefault="009B1B4B">
            <w:pPr>
              <w:spacing w:line="250" w:lineRule="auto"/>
            </w:pPr>
            <w:r>
              <w:rPr>
                <w:sz w:val="18"/>
                <w:szCs w:val="18"/>
              </w:rPr>
              <w:t>Tag 3–10</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1C" w14:textId="77777777" w:rsidR="00C1548D" w:rsidRDefault="009B1B4B">
            <w:pPr>
              <w:spacing w:line="250" w:lineRule="auto"/>
            </w:pPr>
            <w:r>
              <w:rPr>
                <w:sz w:val="18"/>
                <w:szCs w:val="18"/>
              </w:rPr>
              <w:t>Anmeldung bei der Provinz-Krankenversicherung, sofern keine Wartefrist gilt; sonst private Übergangsversicherung prüfen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1D" w14:textId="77777777" w:rsidR="00C1548D" w:rsidRDefault="009B1B4B">
            <w:pPr>
              <w:spacing w:line="250" w:lineRule="auto"/>
            </w:pPr>
            <w:r>
              <w:rPr>
                <w:sz w:val="18"/>
                <w:szCs w:val="18"/>
              </w:rPr>
              <w:t>Gesundheitssystem</w:t>
            </w:r>
          </w:p>
        </w:tc>
      </w:tr>
      <w:tr w:rsidR="00C1548D" w14:paraId="70A4FA2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1F" w14:textId="77777777" w:rsidR="00C1548D" w:rsidRDefault="009B1B4B">
            <w:pPr>
              <w:spacing w:line="250" w:lineRule="auto"/>
            </w:pPr>
            <w:r>
              <w:rPr>
                <w:sz w:val="18"/>
                <w:szCs w:val="18"/>
              </w:rPr>
              <w:t>Woche 1–2</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20" w14:textId="77777777" w:rsidR="00C1548D" w:rsidRDefault="009B1B4B">
            <w:pPr>
              <w:spacing w:line="250" w:lineRule="auto"/>
            </w:pPr>
            <w:r>
              <w:rPr>
                <w:sz w:val="18"/>
                <w:szCs w:val="18"/>
              </w:rPr>
              <w:t>Wohnungssuche: Portale einrichten, Besichtigungen, Bewerbungsmappe vorbereiten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21" w14:textId="77777777" w:rsidR="00C1548D" w:rsidRDefault="009B1B4B">
            <w:pPr>
              <w:spacing w:line="250" w:lineRule="auto"/>
            </w:pPr>
            <w:r>
              <w:rPr>
                <w:sz w:val="18"/>
                <w:szCs w:val="18"/>
              </w:rPr>
              <w:t>Wohnen</w:t>
            </w:r>
          </w:p>
        </w:tc>
      </w:tr>
      <w:tr w:rsidR="00C1548D" w14:paraId="70A4FA2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23" w14:textId="77777777" w:rsidR="00C1548D" w:rsidRDefault="009B1B4B">
            <w:pPr>
              <w:spacing w:line="250" w:lineRule="auto"/>
            </w:pPr>
            <w:r>
              <w:rPr>
                <w:sz w:val="18"/>
                <w:szCs w:val="18"/>
              </w:rPr>
              <w:t>Woche 2</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24" w14:textId="77777777" w:rsidR="00C1548D" w:rsidRDefault="009B1B4B">
            <w:pPr>
              <w:spacing w:line="250" w:lineRule="auto"/>
            </w:pPr>
            <w:r>
              <w:rPr>
                <w:sz w:val="18"/>
                <w:szCs w:val="18"/>
              </w:rPr>
              <w:t>Erste Rückfragen zu Lohnsteuerabzug und Sozialleistungen mit dem Arbeitgeber klären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25" w14:textId="77777777" w:rsidR="00C1548D" w:rsidRDefault="009B1B4B">
            <w:pPr>
              <w:spacing w:line="250" w:lineRule="auto"/>
            </w:pPr>
            <w:r>
              <w:rPr>
                <w:sz w:val="18"/>
                <w:szCs w:val="18"/>
              </w:rPr>
              <w:t>Steuer-ID/Bank</w:t>
            </w:r>
          </w:p>
        </w:tc>
      </w:tr>
    </w:tbl>
    <w:p w14:paraId="70A4FA27"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2A"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A28" w14:textId="77777777" w:rsidR="00C1548D" w:rsidRDefault="009B1B4B">
            <w:pPr>
              <w:keepNext/>
              <w:spacing w:after="70" w:line="240" w:lineRule="auto"/>
            </w:pPr>
            <w:r>
              <w:rPr>
                <w:b/>
                <w:bCs/>
                <w:color w:val="4A5568"/>
                <w:spacing w:val="24"/>
                <w:sz w:val="16"/>
                <w:szCs w:val="16"/>
              </w:rPr>
              <w:lastRenderedPageBreak/>
              <w:t>PRAXISBEISPIEL · FIKTIV</w:t>
            </w:r>
          </w:p>
          <w:p w14:paraId="70A4FA29" w14:textId="77777777" w:rsidR="00C1548D" w:rsidRDefault="009B1B4B">
            <w:pPr>
              <w:spacing w:after="80" w:line="264" w:lineRule="auto"/>
            </w:pPr>
            <w:r>
              <w:rPr>
                <w:sz w:val="20"/>
                <w:szCs w:val="20"/>
              </w:rPr>
              <w:t>Lukas Berger reist mit seinem Arbeitsvisum allein nach Calgary, zunächst für zwei Wochen in ein möbliertes Apartment mit Wochenpreis. Am dritten Tag holt er seine vorab online bestellte Prepaid-SIM in einer Drogerie ab, am vierten Tag beantragt er online die SIN – bestätigt fünf Tage später. Da Alberta laut den ihm vorliegenden Informationen ohne nennenswerte Wartefrist arbeitet, meldet er sich in der zweiten Woche direkt bei der Provinzbehörde für die Gesundheitsversicherung an, sicherheitshalber mit einer</w:t>
            </w:r>
            <w:r>
              <w:rPr>
                <w:sz w:val="20"/>
                <w:szCs w:val="20"/>
              </w:rPr>
              <w:t xml:space="preserve"> zusätzlichen kurzen privaten Überbrückungspolice für die ersten Tage. Die Wohnungssuche beginnt er bewusst erst, nachdem der erste Gehaltsnachweis vorliegt. (Fiktives Beispiel.)</w:t>
            </w:r>
          </w:p>
        </w:tc>
      </w:tr>
    </w:tbl>
    <w:p w14:paraId="70A4FA2B" w14:textId="77777777" w:rsidR="00C1548D" w:rsidRDefault="00C1548D">
      <w:pPr>
        <w:spacing w:line="220" w:lineRule="exact"/>
      </w:pPr>
    </w:p>
    <w:p w14:paraId="70A4FA2C"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58"/>
        <w:gridCol w:w="3322"/>
      </w:tblGrid>
      <w:tr w:rsidR="00C1548D" w14:paraId="70A4FA2F" w14:textId="77777777">
        <w:tblPrEx>
          <w:tblCellMar>
            <w:top w:w="0" w:type="dxa"/>
            <w:bottom w:w="0" w:type="dxa"/>
          </w:tblCellMar>
        </w:tblPrEx>
        <w:trPr>
          <w:cantSplit/>
          <w:tblHeader/>
        </w:trPr>
        <w:tc>
          <w:tcPr>
            <w:tcW w:w="315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2D" w14:textId="77777777" w:rsidR="00C1548D" w:rsidRDefault="009B1B4B">
            <w:pPr>
              <w:spacing w:line="250" w:lineRule="auto"/>
            </w:pPr>
            <w:r>
              <w:rPr>
                <w:b/>
                <w:bCs/>
                <w:sz w:val="18"/>
                <w:szCs w:val="18"/>
              </w:rPr>
              <w:t>Plus</w:t>
            </w:r>
          </w:p>
        </w:tc>
        <w:tc>
          <w:tcPr>
            <w:tcW w:w="332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2E" w14:textId="77777777" w:rsidR="00C1548D" w:rsidRDefault="009B1B4B">
            <w:pPr>
              <w:spacing w:line="250" w:lineRule="auto"/>
            </w:pPr>
            <w:r>
              <w:rPr>
                <w:b/>
                <w:bCs/>
                <w:sz w:val="18"/>
                <w:szCs w:val="18"/>
              </w:rPr>
              <w:t>Minus</w:t>
            </w:r>
          </w:p>
        </w:tc>
      </w:tr>
      <w:tr w:rsidR="00C1548D" w14:paraId="70A4FA32" w14:textId="77777777">
        <w:tblPrEx>
          <w:tblCellMar>
            <w:top w:w="0" w:type="dxa"/>
            <w:bottom w:w="0" w:type="dxa"/>
          </w:tblCellMar>
        </w:tblPrEx>
        <w:trPr>
          <w:cantSplit/>
        </w:trPr>
        <w:tc>
          <w:tcPr>
            <w:tcW w:w="31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30" w14:textId="77777777" w:rsidR="00C1548D" w:rsidRDefault="009B1B4B">
            <w:pPr>
              <w:spacing w:line="250" w:lineRule="auto"/>
            </w:pPr>
            <w:r>
              <w:rPr>
                <w:sz w:val="18"/>
                <w:szCs w:val="18"/>
              </w:rPr>
              <w:t>Bankkonto oft schon vor Abflug online vorbereitbar</w:t>
            </w:r>
          </w:p>
        </w:tc>
        <w:tc>
          <w:tcPr>
            <w:tcW w:w="33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31" w14:textId="77777777" w:rsidR="00C1548D" w:rsidRDefault="009B1B4B">
            <w:pPr>
              <w:spacing w:line="250" w:lineRule="auto"/>
            </w:pPr>
            <w:r>
              <w:rPr>
                <w:sz w:val="18"/>
                <w:szCs w:val="18"/>
              </w:rPr>
              <w:t>SIN erst nach Ankunft mit gültigem Status-Nachweis beantragbar</w:t>
            </w:r>
          </w:p>
        </w:tc>
      </w:tr>
      <w:tr w:rsidR="00C1548D" w14:paraId="70A4FA35" w14:textId="77777777">
        <w:tblPrEx>
          <w:tblCellMar>
            <w:top w:w="0" w:type="dxa"/>
            <w:bottom w:w="0" w:type="dxa"/>
          </w:tblCellMar>
        </w:tblPrEx>
        <w:trPr>
          <w:cantSplit/>
        </w:trPr>
        <w:tc>
          <w:tcPr>
            <w:tcW w:w="31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33" w14:textId="77777777" w:rsidR="00C1548D" w:rsidRDefault="009B1B4B">
            <w:pPr>
              <w:spacing w:line="250" w:lineRule="auto"/>
            </w:pPr>
            <w:r>
              <w:rPr>
                <w:sz w:val="18"/>
                <w:szCs w:val="18"/>
              </w:rPr>
              <w:t>SIN-Bestätigung meist innerhalb weniger Werktage</w:t>
            </w:r>
          </w:p>
        </w:tc>
        <w:tc>
          <w:tcPr>
            <w:tcW w:w="33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34" w14:textId="77777777" w:rsidR="00C1548D" w:rsidRDefault="009B1B4B">
            <w:pPr>
              <w:spacing w:line="250" w:lineRule="auto"/>
            </w:pPr>
            <w:r>
              <w:rPr>
                <w:sz w:val="18"/>
                <w:szCs w:val="18"/>
              </w:rPr>
              <w:t>Kanadische Kredithistorie beginnt trotz deutscher Bonität bei null</w:t>
            </w:r>
          </w:p>
        </w:tc>
      </w:tr>
      <w:tr w:rsidR="00C1548D" w14:paraId="70A4FA38" w14:textId="77777777">
        <w:tblPrEx>
          <w:tblCellMar>
            <w:top w:w="0" w:type="dxa"/>
            <w:bottom w:w="0" w:type="dxa"/>
          </w:tblCellMar>
        </w:tblPrEx>
        <w:trPr>
          <w:cantSplit/>
        </w:trPr>
        <w:tc>
          <w:tcPr>
            <w:tcW w:w="31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36" w14:textId="77777777" w:rsidR="00C1548D" w:rsidRDefault="009B1B4B">
            <w:pPr>
              <w:spacing w:line="250" w:lineRule="auto"/>
            </w:pPr>
            <w:r>
              <w:rPr>
                <w:sz w:val="18"/>
                <w:szCs w:val="18"/>
              </w:rPr>
              <w:t>Ontario ganz ohne Wartefrist beim Gesundheitssystem</w:t>
            </w:r>
          </w:p>
        </w:tc>
        <w:tc>
          <w:tcPr>
            <w:tcW w:w="33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37" w14:textId="77777777" w:rsidR="00C1548D" w:rsidRDefault="009B1B4B">
            <w:pPr>
              <w:spacing w:line="250" w:lineRule="auto"/>
            </w:pPr>
            <w:r>
              <w:rPr>
                <w:sz w:val="18"/>
                <w:szCs w:val="18"/>
              </w:rPr>
              <w:t>BC und einige andere Provinzen mit bis zu drei Monaten Wartefrist</w:t>
            </w:r>
          </w:p>
        </w:tc>
      </w:tr>
      <w:tr w:rsidR="00C1548D" w14:paraId="70A4FA3B" w14:textId="77777777">
        <w:tblPrEx>
          <w:tblCellMar>
            <w:top w:w="0" w:type="dxa"/>
            <w:bottom w:w="0" w:type="dxa"/>
          </w:tblCellMar>
        </w:tblPrEx>
        <w:trPr>
          <w:cantSplit/>
        </w:trPr>
        <w:tc>
          <w:tcPr>
            <w:tcW w:w="31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39" w14:textId="77777777" w:rsidR="00C1548D" w:rsidRDefault="009B1B4B">
            <w:pPr>
              <w:spacing w:line="250" w:lineRule="auto"/>
            </w:pPr>
            <w:r>
              <w:rPr>
                <w:sz w:val="18"/>
                <w:szCs w:val="18"/>
              </w:rPr>
              <w:t>Prepaid-SIM unkompliziert und ohne Bonitätsprüfung</w:t>
            </w:r>
          </w:p>
        </w:tc>
        <w:tc>
          <w:tcPr>
            <w:tcW w:w="33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3A" w14:textId="77777777" w:rsidR="00C1548D" w:rsidRDefault="009B1B4B">
            <w:pPr>
              <w:spacing w:line="250" w:lineRule="auto"/>
            </w:pPr>
            <w:r>
              <w:rPr>
                <w:sz w:val="18"/>
                <w:szCs w:val="18"/>
              </w:rPr>
              <w:t>Wohnungssuche ohne Kredithistorie stellenweise mühsam</w:t>
            </w:r>
          </w:p>
        </w:tc>
      </w:tr>
    </w:tbl>
    <w:p w14:paraId="70A4FA3C" w14:textId="77777777" w:rsidR="00C1548D" w:rsidRDefault="00C1548D">
      <w:pPr>
        <w:spacing w:line="180" w:lineRule="exact"/>
      </w:pPr>
    </w:p>
    <w:p w14:paraId="70A4FA3D"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A3E" w14:textId="77777777" w:rsidR="00C1548D" w:rsidRDefault="009B1B4B">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49"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A3F" w14:textId="77777777" w:rsidR="00C1548D" w:rsidRDefault="009B1B4B">
            <w:pPr>
              <w:keepNext/>
              <w:spacing w:after="70" w:line="240" w:lineRule="auto"/>
            </w:pPr>
            <w:r>
              <w:rPr>
                <w:b/>
                <w:bCs/>
                <w:color w:val="1F6F78"/>
                <w:spacing w:val="24"/>
                <w:sz w:val="16"/>
                <w:szCs w:val="16"/>
              </w:rPr>
              <w:lastRenderedPageBreak/>
              <w:t>CHECKLISTE</w:t>
            </w:r>
          </w:p>
          <w:p w14:paraId="70A4FA4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Bank-Voreröffnung vor Abflug geprüft, sonst Filialtermin für die erste Woche eingeplant</w:t>
            </w:r>
          </w:p>
          <w:p w14:paraId="70A4FA4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eSIM oder Prepaid-SIM organisiert, deutsche Nummer als Zweit-SIM behalten</w:t>
            </w:r>
          </w:p>
          <w:p w14:paraId="70A4FA4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Übergangsunterkunft mit Stornierungsoption für mindestens ein bis zwei Wochen gebucht</w:t>
            </w:r>
          </w:p>
          <w:p w14:paraId="70A4FA4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COPR beziehungsweise Visumsbestätigung und alle Nachweise griffbereit im Handgepäck</w:t>
            </w:r>
          </w:p>
          <w:p w14:paraId="70A4FA4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SIN-Antrag direkt nach Ankunft gestellt</w:t>
            </w:r>
          </w:p>
          <w:p w14:paraId="70A4FA4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Wartefrist der Ziel-Provinz beim Gesundheitssystem vorab geprüft</w:t>
            </w:r>
          </w:p>
          <w:p w14:paraId="70A4FA4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Wartefrist: private Übergangsversicherung ab Ankunftstag aktiv</w:t>
            </w:r>
          </w:p>
          <w:p w14:paraId="70A4FA4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Secured Credit Card oder Newcomer-Kreditkarte in der ersten Woche beantragt</w:t>
            </w:r>
          </w:p>
          <w:p w14:paraId="70A4FA4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Bewerbungsmappe für die Wohnungssuche zusammengestellt (Gehaltsnachweis, Referenzen, Ausweis)</w:t>
            </w:r>
          </w:p>
        </w:tc>
      </w:tr>
    </w:tbl>
    <w:p w14:paraId="70A4FA4A" w14:textId="77777777" w:rsidR="00C1548D" w:rsidRDefault="00C1548D">
      <w:pPr>
        <w:spacing w:line="220" w:lineRule="exact"/>
      </w:pPr>
    </w:p>
    <w:p w14:paraId="70A4FA4B"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A4C" w14:textId="151140CF" w:rsidR="00C1548D" w:rsidRDefault="009B1B4B" w:rsidP="009B1B4B">
      <w:pPr>
        <w:pStyle w:val="ListParagraph"/>
        <w:numPr>
          <w:ilvl w:val="0"/>
          <w:numId w:val="1"/>
        </w:numPr>
        <w:spacing w:after="60"/>
      </w:pPr>
      <w:r>
        <w:t xml:space="preserve">Canada Border Services Agency — Einreise: </w:t>
      </w:r>
      <w:hyperlink r:id="rId518" w:history="1">
        <w:r>
          <w:rPr>
            <w:color w:val="0563C1"/>
            <w:u w:val="single"/>
          </w:rPr>
          <w:t>cbsa-asfc.gc.ca</w:t>
        </w:r>
      </w:hyperlink>
    </w:p>
    <w:p w14:paraId="70A4FA4D" w14:textId="7D0FE2EE" w:rsidR="00C1548D" w:rsidRDefault="009B1B4B" w:rsidP="009B1B4B">
      <w:pPr>
        <w:pStyle w:val="ListParagraph"/>
        <w:numPr>
          <w:ilvl w:val="0"/>
          <w:numId w:val="1"/>
        </w:numPr>
        <w:spacing w:after="60"/>
      </w:pPr>
      <w:r>
        <w:t xml:space="preserve">Service Canada — Social Insurance Number: </w:t>
      </w:r>
      <w:hyperlink r:id="rId519" w:history="1">
        <w:r>
          <w:rPr>
            <w:color w:val="0563C1"/>
            <w:u w:val="single"/>
          </w:rPr>
          <w:t>canada.ca/en/employment-social-development/services/sin.html</w:t>
        </w:r>
      </w:hyperlink>
    </w:p>
    <w:p w14:paraId="70A4FA4E" w14:textId="401D2B97" w:rsidR="00C1548D" w:rsidRDefault="009B1B4B" w:rsidP="009B1B4B">
      <w:pPr>
        <w:pStyle w:val="ListParagraph"/>
        <w:numPr>
          <w:ilvl w:val="0"/>
          <w:numId w:val="1"/>
        </w:numPr>
        <w:spacing w:after="60"/>
      </w:pPr>
      <w:r>
        <w:t xml:space="preserve">Ontario — OHIP-Anmeldung: </w:t>
      </w:r>
      <w:hyperlink r:id="rId520" w:history="1">
        <w:r>
          <w:rPr>
            <w:color w:val="0563C1"/>
            <w:u w:val="single"/>
          </w:rPr>
          <w:t>ontario.ca/page/apply-ohip-and-get-health-card</w:t>
        </w:r>
      </w:hyperlink>
    </w:p>
    <w:p w14:paraId="70A4FA4F" w14:textId="2DA78C0A" w:rsidR="00C1548D" w:rsidRDefault="009B1B4B" w:rsidP="009B1B4B">
      <w:pPr>
        <w:pStyle w:val="ListParagraph"/>
        <w:numPr>
          <w:ilvl w:val="0"/>
          <w:numId w:val="1"/>
        </w:numPr>
        <w:spacing w:after="60"/>
      </w:pPr>
      <w:r>
        <w:t xml:space="preserve">British Columbia — MSP-Wartefrist: </w:t>
      </w:r>
      <w:hyperlink r:id="rId521" w:history="1">
        <w:r>
          <w:rPr>
            <w:color w:val="0563C1"/>
            <w:u w:val="single"/>
          </w:rPr>
          <w:t>www2.gov.bc.ca/gov/content/health/health-drug-coverage/msp</w:t>
        </w:r>
      </w:hyperlink>
    </w:p>
    <w:p w14:paraId="70A4FA50" w14:textId="0C9CF55A" w:rsidR="00C1548D" w:rsidRDefault="009B1B4B" w:rsidP="009B1B4B">
      <w:pPr>
        <w:pStyle w:val="ListParagraph"/>
        <w:numPr>
          <w:ilvl w:val="0"/>
          <w:numId w:val="1"/>
        </w:numPr>
        <w:spacing w:after="60"/>
      </w:pPr>
      <w:r>
        <w:t xml:space="preserve">CRA — Steuern für Neuankömmlinge: </w:t>
      </w:r>
      <w:hyperlink r:id="rId522" w:history="1">
        <w:r>
          <w:rPr>
            <w:color w:val="0563C1"/>
            <w:u w:val="single"/>
          </w:rPr>
          <w:t>canada.ca/en/revenue-agency/services/tax/individuals/international-tax/newcomers-canada-immigrants.html</w:t>
        </w:r>
      </w:hyperlink>
    </w:p>
    <w:p w14:paraId="70A4FA51" w14:textId="6AC88BA9" w:rsidR="00C1548D" w:rsidRDefault="009B1B4B" w:rsidP="009B1B4B">
      <w:pPr>
        <w:pStyle w:val="ListParagraph"/>
        <w:numPr>
          <w:ilvl w:val="0"/>
          <w:numId w:val="1"/>
        </w:numPr>
        <w:spacing w:after="60"/>
      </w:pPr>
      <w:r>
        <w:t xml:space="preserve">Deutsche Vertretungen in Kanada: </w:t>
      </w:r>
      <w:hyperlink r:id="rId523" w:history="1">
        <w:r>
          <w:rPr>
            <w:color w:val="0563C1"/>
            <w:u w:val="single"/>
          </w:rPr>
          <w:t>kanada.diplo.de</w:t>
        </w:r>
      </w:hyperlink>
    </w:p>
    <w:p w14:paraId="70A4FA52"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55"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A53" w14:textId="77777777" w:rsidR="00C1548D" w:rsidRDefault="009B1B4B">
            <w:pPr>
              <w:keepNext/>
              <w:spacing w:after="70" w:line="240" w:lineRule="auto"/>
            </w:pPr>
            <w:r>
              <w:rPr>
                <w:b/>
                <w:bCs/>
                <w:color w:val="6B7280"/>
                <w:spacing w:val="24"/>
                <w:sz w:val="16"/>
                <w:szCs w:val="16"/>
              </w:rPr>
              <w:t>STAND</w:t>
            </w:r>
          </w:p>
          <w:p w14:paraId="70A4FA54" w14:textId="77777777" w:rsidR="00C1548D" w:rsidRDefault="009B1B4B">
            <w:pPr>
              <w:spacing w:after="80" w:line="264" w:lineRule="auto"/>
            </w:pPr>
            <w:r>
              <w:rPr>
                <w:sz w:val="20"/>
                <w:szCs w:val="20"/>
              </w:rPr>
              <w:t>23.09.2026. Diese Angaben ändern sich schnell: Wartefristen der Provinz-Krankenversicherungen, SIN-Verfahren, Bankkonditionen für Neuankömmlinge sowie Mobilfunktarife. Prüfe vor der Einreise die aktuellen Seiten von CBSA, Service Canada und der Provinzbehörde deines Zielorts.</w:t>
            </w:r>
          </w:p>
        </w:tc>
      </w:tr>
    </w:tbl>
    <w:p w14:paraId="70A4FA56" w14:textId="77777777" w:rsidR="00C1548D" w:rsidRDefault="00C1548D">
      <w:pPr>
        <w:spacing w:line="220" w:lineRule="exact"/>
      </w:pPr>
    </w:p>
    <w:p w14:paraId="70A4FA57" w14:textId="77777777" w:rsidR="00C1548D" w:rsidRDefault="009B1B4B">
      <w:pPr>
        <w:pStyle w:val="Heading2"/>
        <w:keepNext/>
        <w:pageBreakBefore/>
        <w:jc w:val="center"/>
      </w:pPr>
      <w:bookmarkStart w:id="147" w:name="tka07"/>
      <w:bookmarkStart w:id="148" w:name="_Toc241352525"/>
      <w:r>
        <w:rPr>
          <w:rFonts w:ascii="Amazon Ember" w:eastAsia="Amazon Ember" w:hAnsi="Amazon Ember" w:cs="Amazon Ember"/>
          <w:color w:val="0000FF"/>
          <w:sz w:val="36"/>
          <w:szCs w:val="36"/>
        </w:rPr>
        <w:lastRenderedPageBreak/>
        <w:t>Kanada: SIN, Steuern, Bank und Kredit aufbauen</w:t>
      </w:r>
      <w:bookmarkEnd w:id="147"/>
      <w:bookmarkEnd w:id="148"/>
    </w:p>
    <w:p w14:paraId="70A4FA58" w14:textId="77777777" w:rsidR="00C1548D" w:rsidRDefault="009B1B4B">
      <w:pPr>
        <w:spacing w:after="140"/>
      </w:pPr>
      <w:r>
        <w:t xml:space="preserve">Lukas Bergers erster Arbeitstag in Calgary beginnt vielversprechend: Bürotour, Laptop, ein Firmenausweis mit einem Foto, auf dem er müder aussieht, als er sich fühlt. Dann fragt die Personalabteilung nach seiner </w:t>
      </w:r>
      <w:r>
        <w:rPr>
          <w:i/>
          <w:iCs/>
        </w:rPr>
        <w:t>Social Insurance Number</w:t>
      </w:r>
      <w:r>
        <w:t xml:space="preserve"> (SIN, der neunstelligen kanadischen Sozialversicherungsnummer) – und Lukas muss zugeben, dass er sie noch gar nicht hat. Kein Beinbruch, aber ein deutlicher Hinweis darauf, dass ein kanadisches Arbeitsleben mit einem Formular beginnt, nicht mit einem Handschlag. Dieses Kapitel zeigt, wie du die SIN beantragst, wie das kanadische Steuersystem für Neuankömmlinge funktioniert, was Einkommen- und Verbrauchsteuer je nach Provinz kosten – und wie du dir bei null eine kanadische Kreditwürdigkeit aufbaust.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60"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A59" w14:textId="77777777" w:rsidR="00C1548D" w:rsidRDefault="009B1B4B">
            <w:pPr>
              <w:keepNext/>
              <w:spacing w:after="70" w:line="240" w:lineRule="auto"/>
            </w:pPr>
            <w:r>
              <w:rPr>
                <w:b/>
                <w:bCs/>
                <w:color w:val="1F3A5F"/>
                <w:spacing w:val="24"/>
                <w:sz w:val="16"/>
                <w:szCs w:val="16"/>
              </w:rPr>
              <w:lastRenderedPageBreak/>
              <w:t>KURZ GESAGT</w:t>
            </w:r>
          </w:p>
          <w:p w14:paraId="70A4FA5A" w14:textId="77777777" w:rsidR="00C1548D" w:rsidRDefault="009B1B4B" w:rsidP="009B1B4B">
            <w:pPr>
              <w:pStyle w:val="ListParagraph"/>
              <w:numPr>
                <w:ilvl w:val="0"/>
                <w:numId w:val="1"/>
              </w:numPr>
              <w:spacing w:after="50" w:line="264" w:lineRule="auto"/>
            </w:pPr>
            <w:r>
              <w:rPr>
                <w:sz w:val="20"/>
                <w:szCs w:val="20"/>
              </w:rPr>
              <w:t>Die SIN beantragst du kostenlos online, per Post oder persönlich; ohne sie gibt es kein Gehalt, keine Steuererklärung und kein vollwertiges Bankkonto.</w:t>
            </w:r>
          </w:p>
          <w:p w14:paraId="70A4FA5B" w14:textId="77777777" w:rsidR="00C1548D" w:rsidRDefault="009B1B4B" w:rsidP="009B1B4B">
            <w:pPr>
              <w:pStyle w:val="ListParagraph"/>
              <w:numPr>
                <w:ilvl w:val="0"/>
                <w:numId w:val="1"/>
              </w:numPr>
              <w:spacing w:after="50" w:line="264" w:lineRule="auto"/>
            </w:pPr>
            <w:r>
              <w:rPr>
                <w:sz w:val="20"/>
                <w:szCs w:val="20"/>
              </w:rPr>
              <w:t>Kanada besteuert nach steuerlicher Ansässigkeit, nicht nach Staatsangehörigkeit: Ab dem Tag deiner Ansässigkeit zählt dein Weltjahreseinkommen.</w:t>
            </w:r>
          </w:p>
          <w:p w14:paraId="70A4FA5C" w14:textId="77777777" w:rsidR="00C1548D" w:rsidRDefault="009B1B4B" w:rsidP="009B1B4B">
            <w:pPr>
              <w:pStyle w:val="ListParagraph"/>
              <w:numPr>
                <w:ilvl w:val="0"/>
                <w:numId w:val="1"/>
              </w:numPr>
              <w:spacing w:after="50" w:line="264" w:lineRule="auto"/>
            </w:pPr>
            <w:r>
              <w:rPr>
                <w:sz w:val="20"/>
                <w:szCs w:val="20"/>
              </w:rPr>
              <w:t xml:space="preserve">Der bisherige GST/HST-Credit wird zum 3. Juli 2026 durch die neue </w:t>
            </w:r>
            <w:r>
              <w:rPr>
                <w:i/>
                <w:iCs/>
                <w:sz w:val="20"/>
                <w:szCs w:val="20"/>
              </w:rPr>
              <w:t>Canada Groceries and Essentials Benefit</w:t>
            </w:r>
            <w:r>
              <w:rPr>
                <w:sz w:val="20"/>
                <w:szCs w:val="20"/>
              </w:rPr>
              <w:t xml:space="preserve"> (CGEB) abgelöst – melde dich trotzdem früh mit Formular RC151 an.</w:t>
            </w:r>
          </w:p>
          <w:p w14:paraId="70A4FA5D" w14:textId="77777777" w:rsidR="00C1548D" w:rsidRDefault="009B1B4B" w:rsidP="009B1B4B">
            <w:pPr>
              <w:pStyle w:val="ListParagraph"/>
              <w:numPr>
                <w:ilvl w:val="0"/>
                <w:numId w:val="1"/>
              </w:numPr>
              <w:spacing w:after="50" w:line="264" w:lineRule="auto"/>
            </w:pPr>
            <w:r>
              <w:rPr>
                <w:sz w:val="20"/>
                <w:szCs w:val="20"/>
              </w:rPr>
              <w:t>Einkommensteuer ist Bundessache plus Provinzsache: 2026 liegt der Bundessatz zwischen 14 % und 33 %, dazu kommt eine eigene Provinztabelle – Ontario und British Columbia unterscheiden sich in der Spitzenbelastung deutlich.</w:t>
            </w:r>
          </w:p>
          <w:p w14:paraId="70A4FA5E" w14:textId="77777777" w:rsidR="00C1548D" w:rsidRDefault="009B1B4B" w:rsidP="009B1B4B">
            <w:pPr>
              <w:pStyle w:val="ListParagraph"/>
              <w:numPr>
                <w:ilvl w:val="0"/>
                <w:numId w:val="1"/>
              </w:numPr>
              <w:spacing w:after="50" w:line="264" w:lineRule="auto"/>
            </w:pPr>
            <w:r>
              <w:rPr>
                <w:sz w:val="20"/>
                <w:szCs w:val="20"/>
              </w:rPr>
              <w:t>Die Mehrwertsteuer reicht von 5 % in Alberta bis 15 % in mehreren Ostprovinzen – ein Umzug über eine Provinzgrenze verändert jeden Einkaufszettel.</w:t>
            </w:r>
          </w:p>
          <w:p w14:paraId="70A4FA5F" w14:textId="77777777" w:rsidR="00C1548D" w:rsidRDefault="009B1B4B" w:rsidP="009B1B4B">
            <w:pPr>
              <w:pStyle w:val="ListParagraph"/>
              <w:numPr>
                <w:ilvl w:val="0"/>
                <w:numId w:val="1"/>
              </w:numPr>
              <w:spacing w:after="50" w:line="264" w:lineRule="auto"/>
            </w:pPr>
            <w:r>
              <w:rPr>
                <w:sz w:val="20"/>
                <w:szCs w:val="20"/>
              </w:rPr>
              <w:t>Deine deutsche Bonität zählt bei Equifax Canada und TransUnion Canada nichts: Du baust deine Kreditwürdigkeit über eine gesicherte Kreditkarte oder ein Newcomer-Paket der großen Banken neu auf.</w:t>
            </w:r>
          </w:p>
        </w:tc>
      </w:tr>
    </w:tbl>
    <w:p w14:paraId="70A4FA61" w14:textId="77777777" w:rsidR="00C1548D" w:rsidRDefault="00C1548D">
      <w:pPr>
        <w:spacing w:line="220" w:lineRule="exact"/>
      </w:pPr>
    </w:p>
    <w:p w14:paraId="70A4FA62" w14:textId="77777777" w:rsidR="00C1548D" w:rsidRDefault="009B1B4B">
      <w:pPr>
        <w:pStyle w:val="Heading3"/>
        <w:keepNext/>
        <w:jc w:val="center"/>
      </w:pPr>
      <w:r>
        <w:rPr>
          <w:rFonts w:ascii="Amazon Ember" w:eastAsia="Amazon Ember" w:hAnsi="Amazon Ember" w:cs="Amazon Ember"/>
          <w:color w:val="0000FF"/>
          <w:sz w:val="36"/>
          <w:szCs w:val="36"/>
        </w:rPr>
        <w:t>Die SIN: dein Zugang zum System</w:t>
      </w:r>
    </w:p>
    <w:p w14:paraId="70A4FA63" w14:textId="77777777" w:rsidR="00C1548D" w:rsidRDefault="009B1B4B">
      <w:pPr>
        <w:spacing w:after="140"/>
      </w:pPr>
      <w:r>
        <w:t xml:space="preserve">Die SIN ist die Voraussetzung, um in Kanada legal zu arbeiten, Steuererklärungen abzugeben und Sozialleistungen wie die </w:t>
      </w:r>
      <w:r>
        <w:rPr>
          <w:i/>
          <w:iCs/>
        </w:rPr>
        <w:t>Employment Insurance</w:t>
      </w:r>
      <w:r>
        <w:t xml:space="preserve"> (Arbeitslosenversicherung) oder den </w:t>
      </w:r>
      <w:r>
        <w:rPr>
          <w:i/>
          <w:iCs/>
        </w:rPr>
        <w:t>Canada Pension Plan</w:t>
      </w:r>
      <w:r>
        <w:t xml:space="preserve"> (CPP, die gesetzliche Rente) zu beziehen. Auch ein Bankkonto mit vollem Funktionsumfang setzt sie in der Regel voraus. Ohne SIN bist du im kanadischen System schlicht nicht vorhanden – eine erstaunlich wirkungsvolle Art, dir vorübergehend jede Bürokratie zu ersparen, nur leider auch jedes Gehalt.</w:t>
      </w:r>
    </w:p>
    <w:p w14:paraId="70A4FA64" w14:textId="77777777" w:rsidR="00C1548D" w:rsidRDefault="009B1B4B">
      <w:pPr>
        <w:spacing w:after="140"/>
      </w:pPr>
      <w:r>
        <w:t xml:space="preserve">Drei Wege führen zur SIN: online über das </w:t>
      </w:r>
      <w:r>
        <w:rPr>
          <w:i/>
          <w:iCs/>
        </w:rPr>
        <w:t>eSIN-Portal</w:t>
      </w:r>
      <w:r>
        <w:t xml:space="preserve"> (die digitale Antragsstrecke von Service Canada) mit hochgeladenen Dokumentkopien, postalisch mit unterschriebenem Antrag und </w:t>
      </w:r>
      <w:r>
        <w:lastRenderedPageBreak/>
        <w:t xml:space="preserve">Originaldokumenten, oder persönlich in einer Service-Canada-Filiale, wo die Nummer meist sofort ausgestellt wird. Du brauchst ein gültiges Primärdokument, das Identität und legalen Status in Kanada belegt – etwa dein Work Permit oder die PR-Karte –, dazu ein Sekundärdokument wie den Reisepass. Bei Namensabweichungen zwischen den Dokumenten verlangt Service Canada einen zusätzlichen </w:t>
      </w:r>
      <w:r>
        <w:t xml:space="preserve">Nachweis. Die Beantragung ist in allen drei Verfahren kostenlos; die Online-Bestätigung kommt meist binnen fünf Werktagen über dein </w:t>
      </w:r>
      <w:r>
        <w:rPr>
          <w:i/>
          <w:iCs/>
        </w:rPr>
        <w:t>My Service Canada Account</w:t>
      </w:r>
      <w:r>
        <w:t xml:space="preserve"> (MSCA, das persönliche Online-Konto bei Service Canada).</w:t>
      </w:r>
    </w:p>
    <w:p w14:paraId="70A4FA65" w14:textId="77777777" w:rsidR="00C1548D" w:rsidRDefault="009B1B4B">
      <w:pPr>
        <w:spacing w:after="140"/>
      </w:pPr>
      <w:r>
        <w:t xml:space="preserve">Inhaber befristeter Aufenthaltstitel – also Work oder Study Permit – erhalten eine SIN, die mit der Ziffer „9“ beginnt und ein Ablaufdatum entsprechend dem Aufenthaltstitel trägt. Nach der Umstellung auf den unbefristeten </w:t>
      </w:r>
      <w:r>
        <w:rPr>
          <w:i/>
          <w:iCs/>
        </w:rPr>
        <w:t>Permanent-Resident</w:t>
      </w:r>
      <w:r>
        <w:t>-Status (PR) musst du eine neue, unbefristete SIN beantragen; die alte „9er“-Nummer läuft dann einfach aus.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6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A66" w14:textId="77777777" w:rsidR="00C1548D" w:rsidRDefault="009B1B4B">
            <w:pPr>
              <w:keepNext/>
              <w:spacing w:after="70" w:line="240" w:lineRule="auto"/>
            </w:pPr>
            <w:r>
              <w:rPr>
                <w:b/>
                <w:bCs/>
                <w:color w:val="9B2C2C"/>
                <w:spacing w:val="24"/>
                <w:sz w:val="16"/>
                <w:szCs w:val="16"/>
              </w:rPr>
              <w:t>ACHTUNG</w:t>
            </w:r>
          </w:p>
          <w:p w14:paraId="70A4FA67" w14:textId="77777777" w:rsidR="00C1548D" w:rsidRDefault="009B1B4B">
            <w:pPr>
              <w:spacing w:after="80" w:line="264" w:lineRule="auto"/>
            </w:pPr>
            <w:r>
              <w:rPr>
                <w:sz w:val="20"/>
                <w:szCs w:val="20"/>
              </w:rPr>
              <w:t>Beantrage die SIN in deiner ersten Woche in Kanada, auch wenn Wohnungssuche und Jetlag drängender wirken. Ohne SIN kann die Personalabteilung deinen Lohn nicht korrekt melden, und die erste Gehaltsabrechnung verzögert sich im ungünstigsten Fall um Wochen.</w:t>
            </w:r>
          </w:p>
        </w:tc>
      </w:tr>
    </w:tbl>
    <w:p w14:paraId="70A4FA69" w14:textId="77777777" w:rsidR="00C1548D" w:rsidRDefault="00C1548D">
      <w:pPr>
        <w:spacing w:line="220" w:lineRule="exact"/>
      </w:pPr>
    </w:p>
    <w:p w14:paraId="70A4FA6A" w14:textId="77777777" w:rsidR="00C1548D" w:rsidRDefault="009B1B4B">
      <w:pPr>
        <w:spacing w:after="140"/>
      </w:pPr>
      <w:r>
        <w:t xml:space="preserve">Anders als in den USA wird die SIN in der Praxis seltener als allgemeiner Ausweis bei Vermietern oder Ladengeschäften verlangt; gib sie deshalb nur an autorisierte Stellen weiter – Arbeitgeber, die Steuerbehörde </w:t>
      </w:r>
      <w:r>
        <w:rPr>
          <w:i/>
          <w:iCs/>
        </w:rPr>
        <w:t>Canada Revenue Agency</w:t>
      </w:r>
      <w:r>
        <w:t xml:space="preserve"> (CRA) und Banken für Zinsmeldungen. Eine SIN-Karte im Portemonnaie ist ebenso riskant wie eine Kreditkarte: lieber zu Hause verwahren und nur die Nummer selbst bei Bedarf mitteilen.</w:t>
      </w:r>
    </w:p>
    <w:p w14:paraId="70A4FA6B" w14:textId="77777777" w:rsidR="00C1548D" w:rsidRDefault="009B1B4B">
      <w:pPr>
        <w:pStyle w:val="Heading3"/>
        <w:keepNext/>
        <w:jc w:val="center"/>
      </w:pPr>
      <w:r>
        <w:rPr>
          <w:rFonts w:ascii="Amazon Ember" w:eastAsia="Amazon Ember" w:hAnsi="Amazon Ember" w:cs="Amazon Ember"/>
          <w:color w:val="0000FF"/>
          <w:sz w:val="36"/>
          <w:szCs w:val="36"/>
        </w:rPr>
        <w:lastRenderedPageBreak/>
        <w:t>CRA: Besteuerung nach Wohnsitz statt nach Pass</w:t>
      </w:r>
    </w:p>
    <w:p w14:paraId="70A4FA6C" w14:textId="77777777" w:rsidR="00C1548D" w:rsidRDefault="009B1B4B">
      <w:pPr>
        <w:spacing w:after="140"/>
      </w:pPr>
      <w:r>
        <w:t>Die CRA ist die kanadische Bundessteuerbehörde und damit ungefähr das, was in Deutschland Finanzamt und Bundeszentralamt für Steuern zusammen wären. Entscheidend für Neuankömmlinge ist ein einziges Prinzip: Kanada besteuert nach steuerlicher Ansässigkeit (</w:t>
      </w:r>
      <w:r>
        <w:rPr>
          <w:i/>
          <w:iCs/>
        </w:rPr>
        <w:t>Residency</w:t>
      </w:r>
      <w:r>
        <w:t>), nicht nach Staatsangehörigkeit. Sobald du im Einwanderungsjahr als ansässig giltst, musst du ab genau diesem Tag dein Weltjahreseinkommen versteuern; Einkommen, das du vor dem Zuzug im Ausland erzielt hast, bleibt in Kanada steuerfrei.</w:t>
      </w:r>
    </w:p>
    <w:p w14:paraId="70A4FA6D" w14:textId="77777777" w:rsidR="00C1548D" w:rsidRDefault="009B1B4B">
      <w:pPr>
        <w:spacing w:after="140"/>
      </w:pPr>
      <w:r>
        <w:t>Für das erste Jahr deiner steuerlichen Ansässigkeit giltst du bei der CRA als „Newcomer“. Der persönliche Grundfreibetrag (</w:t>
      </w:r>
      <w:r>
        <w:rPr>
          <w:i/>
          <w:iCs/>
        </w:rPr>
        <w:t>Basic Personal Amount</w:t>
      </w:r>
      <w:r>
        <w:t>) wird dabei anteilig nach den Tagen berechnet, die du im Jahr tatsächlich in Kanada ansässig warst – ziehst du im September zu, bekommst du also nur einen Bruchteil des vollen Jahresfreibetrags. Die SIN ist Voraussetzung für die elektronische Steuererklärung; ohne sie bleibt nur der Postweg.</w:t>
      </w:r>
    </w:p>
    <w:p w14:paraId="70A4FA6E" w14:textId="77777777" w:rsidR="00C1548D" w:rsidRDefault="009B1B4B">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71"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A6F" w14:textId="77777777" w:rsidR="00C1548D" w:rsidRDefault="009B1B4B">
            <w:pPr>
              <w:keepNext/>
              <w:spacing w:after="70" w:line="240" w:lineRule="auto"/>
            </w:pPr>
            <w:r>
              <w:rPr>
                <w:b/>
                <w:bCs/>
                <w:color w:val="8A6212"/>
                <w:spacing w:val="24"/>
                <w:sz w:val="16"/>
                <w:szCs w:val="16"/>
              </w:rPr>
              <w:t>MERKE</w:t>
            </w:r>
          </w:p>
          <w:p w14:paraId="70A4FA70" w14:textId="77777777" w:rsidR="00C1548D" w:rsidRDefault="009B1B4B">
            <w:pPr>
              <w:spacing w:after="80" w:line="264" w:lineRule="auto"/>
            </w:pPr>
            <w:r>
              <w:rPr>
                <w:sz w:val="20"/>
                <w:szCs w:val="20"/>
              </w:rPr>
              <w:t>Reiche RC151 und, falls zutreffend, RC66 gleich mit dem SIN-Antrag oder kurz nach der Ankunft ein. Beide Leistungen laufen unabhängig von deiner ersten Steuererklärung und sollen speziell die ersten, finanziell engen Monate abfedern.</w:t>
            </w:r>
          </w:p>
        </w:tc>
      </w:tr>
    </w:tbl>
    <w:p w14:paraId="70A4FA72" w14:textId="77777777" w:rsidR="00C1548D" w:rsidRDefault="00C1548D">
      <w:pPr>
        <w:spacing w:line="220" w:lineRule="exact"/>
      </w:pPr>
    </w:p>
    <w:p w14:paraId="70A4FA73"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Reform 2026: Vom GST/HST-Credit zur CGEB</w:t>
      </w:r>
    </w:p>
    <w:p w14:paraId="70A4FA74" w14:textId="77777777" w:rsidR="00C1548D" w:rsidRDefault="009B1B4B">
      <w:pPr>
        <w:spacing w:after="140"/>
      </w:pPr>
      <w:r>
        <w:t xml:space="preserve">Der bisherige GST/HST-Credit – eine vierteljährliche Gutschrift, die einen Teil der Verbrauchsteuerlast für niedrige und mittlere Einkommen ausgleicht – wird zum Zahlungstermin 3. Juli 2026 durch die neue </w:t>
      </w:r>
      <w:r>
        <w:rPr>
          <w:i/>
          <w:iCs/>
        </w:rPr>
        <w:t>Canada Groceries and Essentials Benefit</w:t>
      </w:r>
      <w:r>
        <w:t xml:space="preserve"> (CGEB, wörtlich „Kanada-Zuschuss für Lebensmittel und Grundbedarf“) abgelöst. Die letzte reguläre GST/HST-Credit-Zahlung nach altem System erfolgt am 2. April 2026, dazwischen gibt es einen einmaligen Zuschlag am 5. Juni 2026.</w:t>
      </w:r>
    </w:p>
    <w:p w14:paraId="70A4FA75" w14:textId="77777777" w:rsidR="00C1548D" w:rsidRDefault="009B1B4B">
      <w:pPr>
        <w:spacing w:after="140"/>
      </w:pPr>
      <w:r>
        <w:t>Die genauen Anspruchsvoraussetzungen und Beträge der CGEB waren zum Zeitpunkt dieses Kapitels noch nicht im Detail dokumentiert – die Reform wurde erst im Januar 2026 angekündigt. Melde dich trotzdem, wie oben beschrieben, über RC151 an: Diese Anmeldung bleibt die Grundlage, über die dich die CRA für die Nachfolgeleistung berücksichtigt.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7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A76" w14:textId="77777777" w:rsidR="00C1548D" w:rsidRDefault="009B1B4B">
            <w:pPr>
              <w:keepNext/>
              <w:spacing w:after="70" w:line="240" w:lineRule="auto"/>
            </w:pPr>
            <w:r>
              <w:rPr>
                <w:b/>
                <w:bCs/>
                <w:color w:val="9B2C2C"/>
                <w:spacing w:val="24"/>
                <w:sz w:val="16"/>
                <w:szCs w:val="16"/>
              </w:rPr>
              <w:t>ACHTUNG</w:t>
            </w:r>
          </w:p>
          <w:p w14:paraId="70A4FA77" w14:textId="77777777" w:rsidR="00C1548D" w:rsidRDefault="009B1B4B">
            <w:pPr>
              <w:spacing w:after="80" w:line="264" w:lineRule="auto"/>
            </w:pPr>
            <w:r>
              <w:rPr>
                <w:sz w:val="20"/>
                <w:szCs w:val="20"/>
              </w:rPr>
              <w:t>Verlass dich vor deiner Ankunft nicht auf konkrete CGEB-Beträge aus Foren oder älteren Ratgebern. Prüfe kurz vor dem Umzug direkt bei der CRA (canada.ca), wie die Leistung zum Zeitpunkt deiner Einwanderung tatsächlich ausgestaltet ist.</w:t>
            </w:r>
          </w:p>
        </w:tc>
      </w:tr>
    </w:tbl>
    <w:p w14:paraId="70A4FA79" w14:textId="77777777" w:rsidR="00C1548D" w:rsidRDefault="00C1548D">
      <w:pPr>
        <w:spacing w:line="220" w:lineRule="exact"/>
      </w:pPr>
    </w:p>
    <w:p w14:paraId="70A4FA7A" w14:textId="77777777" w:rsidR="00C1548D" w:rsidRDefault="009B1B4B">
      <w:pPr>
        <w:pStyle w:val="Heading3"/>
        <w:keepNext/>
        <w:jc w:val="center"/>
      </w:pPr>
      <w:r>
        <w:rPr>
          <w:rFonts w:ascii="Amazon Ember" w:eastAsia="Amazon Ember" w:hAnsi="Amazon Ember" w:cs="Amazon Ember"/>
          <w:color w:val="0000FF"/>
          <w:sz w:val="36"/>
          <w:szCs w:val="36"/>
        </w:rPr>
        <w:t>Einkommensteuer: Bund, Ontario, British Columbia</w:t>
      </w:r>
    </w:p>
    <w:p w14:paraId="70A4FA7B" w14:textId="77777777" w:rsidR="00C1548D" w:rsidRDefault="009B1B4B">
      <w:pPr>
        <w:spacing w:after="140"/>
      </w:pPr>
      <w:r>
        <w:t>Deine Einkommensteuer setzt sich in Kanada aus zwei Schichten zusammen: einem Bundestarif, der überall gleich gilt, und einem Provinztarif, der von Provinz zu Provinz erheblich variiert. Für 2026 gilt bundesweit dieser progressive Tarif:</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23"/>
        <w:gridCol w:w="1957"/>
      </w:tblGrid>
      <w:tr w:rsidR="00C1548D" w14:paraId="70A4FA7E" w14:textId="77777777">
        <w:tblPrEx>
          <w:tblCellMar>
            <w:top w:w="0" w:type="dxa"/>
            <w:bottom w:w="0" w:type="dxa"/>
          </w:tblCellMar>
        </w:tblPrEx>
        <w:trPr>
          <w:cantSplit/>
          <w:tblHeader/>
        </w:trPr>
        <w:tc>
          <w:tcPr>
            <w:tcW w:w="452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7C" w14:textId="77777777" w:rsidR="00C1548D" w:rsidRDefault="009B1B4B">
            <w:pPr>
              <w:spacing w:line="250" w:lineRule="auto"/>
            </w:pPr>
            <w:r>
              <w:rPr>
                <w:b/>
                <w:bCs/>
                <w:sz w:val="18"/>
                <w:szCs w:val="18"/>
              </w:rPr>
              <w:lastRenderedPageBreak/>
              <w:t>Zu versteuerndes Einkommen (CAD)</w:t>
            </w:r>
          </w:p>
        </w:tc>
        <w:tc>
          <w:tcPr>
            <w:tcW w:w="195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7D" w14:textId="77777777" w:rsidR="00C1548D" w:rsidRDefault="009B1B4B">
            <w:pPr>
              <w:spacing w:line="250" w:lineRule="auto"/>
            </w:pPr>
            <w:r>
              <w:rPr>
                <w:b/>
                <w:bCs/>
                <w:sz w:val="18"/>
                <w:szCs w:val="18"/>
              </w:rPr>
              <w:t>Bundessatz</w:t>
            </w:r>
          </w:p>
        </w:tc>
      </w:tr>
      <w:tr w:rsidR="00C1548D" w14:paraId="70A4FA81" w14:textId="77777777">
        <w:tblPrEx>
          <w:tblCellMar>
            <w:top w:w="0" w:type="dxa"/>
            <w:bottom w:w="0" w:type="dxa"/>
          </w:tblCellMar>
        </w:tblPrEx>
        <w:trPr>
          <w:cantSplit/>
        </w:trPr>
        <w:tc>
          <w:tcPr>
            <w:tcW w:w="45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7F" w14:textId="77777777" w:rsidR="00C1548D" w:rsidRDefault="009B1B4B">
            <w:pPr>
              <w:spacing w:line="250" w:lineRule="auto"/>
            </w:pPr>
            <w:r>
              <w:rPr>
                <w:sz w:val="18"/>
                <w:szCs w:val="18"/>
              </w:rPr>
              <w:t>0–58.523</w:t>
            </w:r>
          </w:p>
        </w:tc>
        <w:tc>
          <w:tcPr>
            <w:tcW w:w="1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80" w14:textId="77777777" w:rsidR="00C1548D" w:rsidRDefault="009B1B4B">
            <w:pPr>
              <w:spacing w:line="250" w:lineRule="auto"/>
            </w:pPr>
            <w:r>
              <w:rPr>
                <w:sz w:val="18"/>
                <w:szCs w:val="18"/>
              </w:rPr>
              <w:t>14 %</w:t>
            </w:r>
          </w:p>
        </w:tc>
      </w:tr>
      <w:tr w:rsidR="00C1548D" w14:paraId="70A4FA84" w14:textId="77777777">
        <w:tblPrEx>
          <w:tblCellMar>
            <w:top w:w="0" w:type="dxa"/>
            <w:bottom w:w="0" w:type="dxa"/>
          </w:tblCellMar>
        </w:tblPrEx>
        <w:trPr>
          <w:cantSplit/>
        </w:trPr>
        <w:tc>
          <w:tcPr>
            <w:tcW w:w="45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82" w14:textId="77777777" w:rsidR="00C1548D" w:rsidRDefault="009B1B4B">
            <w:pPr>
              <w:spacing w:line="250" w:lineRule="auto"/>
            </w:pPr>
            <w:r>
              <w:rPr>
                <w:sz w:val="18"/>
                <w:szCs w:val="18"/>
              </w:rPr>
              <w:t>58.523–117.045</w:t>
            </w:r>
          </w:p>
        </w:tc>
        <w:tc>
          <w:tcPr>
            <w:tcW w:w="1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83" w14:textId="77777777" w:rsidR="00C1548D" w:rsidRDefault="009B1B4B">
            <w:pPr>
              <w:spacing w:line="250" w:lineRule="auto"/>
            </w:pPr>
            <w:r>
              <w:rPr>
                <w:sz w:val="18"/>
                <w:szCs w:val="18"/>
              </w:rPr>
              <w:t>20,5 %</w:t>
            </w:r>
          </w:p>
        </w:tc>
      </w:tr>
      <w:tr w:rsidR="00C1548D" w14:paraId="70A4FA87" w14:textId="77777777">
        <w:tblPrEx>
          <w:tblCellMar>
            <w:top w:w="0" w:type="dxa"/>
            <w:bottom w:w="0" w:type="dxa"/>
          </w:tblCellMar>
        </w:tblPrEx>
        <w:trPr>
          <w:cantSplit/>
        </w:trPr>
        <w:tc>
          <w:tcPr>
            <w:tcW w:w="45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85" w14:textId="77777777" w:rsidR="00C1548D" w:rsidRDefault="009B1B4B">
            <w:pPr>
              <w:spacing w:line="250" w:lineRule="auto"/>
            </w:pPr>
            <w:r>
              <w:rPr>
                <w:sz w:val="18"/>
                <w:szCs w:val="18"/>
              </w:rPr>
              <w:t>117.045–181.440</w:t>
            </w:r>
          </w:p>
        </w:tc>
        <w:tc>
          <w:tcPr>
            <w:tcW w:w="1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86" w14:textId="77777777" w:rsidR="00C1548D" w:rsidRDefault="009B1B4B">
            <w:pPr>
              <w:spacing w:line="250" w:lineRule="auto"/>
            </w:pPr>
            <w:r>
              <w:rPr>
                <w:sz w:val="18"/>
                <w:szCs w:val="18"/>
              </w:rPr>
              <w:t>26 %</w:t>
            </w:r>
          </w:p>
        </w:tc>
      </w:tr>
      <w:tr w:rsidR="00C1548D" w14:paraId="70A4FA8A" w14:textId="77777777">
        <w:tblPrEx>
          <w:tblCellMar>
            <w:top w:w="0" w:type="dxa"/>
            <w:bottom w:w="0" w:type="dxa"/>
          </w:tblCellMar>
        </w:tblPrEx>
        <w:trPr>
          <w:cantSplit/>
        </w:trPr>
        <w:tc>
          <w:tcPr>
            <w:tcW w:w="45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88" w14:textId="77777777" w:rsidR="00C1548D" w:rsidRDefault="009B1B4B">
            <w:pPr>
              <w:spacing w:line="250" w:lineRule="auto"/>
            </w:pPr>
            <w:r>
              <w:rPr>
                <w:sz w:val="18"/>
                <w:szCs w:val="18"/>
              </w:rPr>
              <w:t>181.440–258.482</w:t>
            </w:r>
          </w:p>
        </w:tc>
        <w:tc>
          <w:tcPr>
            <w:tcW w:w="1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89" w14:textId="77777777" w:rsidR="00C1548D" w:rsidRDefault="009B1B4B">
            <w:pPr>
              <w:spacing w:line="250" w:lineRule="auto"/>
            </w:pPr>
            <w:r>
              <w:rPr>
                <w:sz w:val="18"/>
                <w:szCs w:val="18"/>
              </w:rPr>
              <w:t>29 %</w:t>
            </w:r>
          </w:p>
        </w:tc>
      </w:tr>
      <w:tr w:rsidR="00C1548D" w14:paraId="70A4FA8D" w14:textId="77777777">
        <w:tblPrEx>
          <w:tblCellMar>
            <w:top w:w="0" w:type="dxa"/>
            <w:bottom w:w="0" w:type="dxa"/>
          </w:tblCellMar>
        </w:tblPrEx>
        <w:trPr>
          <w:cantSplit/>
        </w:trPr>
        <w:tc>
          <w:tcPr>
            <w:tcW w:w="45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8B" w14:textId="77777777" w:rsidR="00C1548D" w:rsidRDefault="009B1B4B">
            <w:pPr>
              <w:spacing w:line="250" w:lineRule="auto"/>
            </w:pPr>
            <w:r>
              <w:rPr>
                <w:sz w:val="18"/>
                <w:szCs w:val="18"/>
              </w:rPr>
              <w:t>über 258.482</w:t>
            </w:r>
          </w:p>
        </w:tc>
        <w:tc>
          <w:tcPr>
            <w:tcW w:w="1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8C" w14:textId="77777777" w:rsidR="00C1548D" w:rsidRDefault="009B1B4B">
            <w:pPr>
              <w:spacing w:line="250" w:lineRule="auto"/>
            </w:pPr>
            <w:r>
              <w:rPr>
                <w:sz w:val="18"/>
                <w:szCs w:val="18"/>
              </w:rPr>
              <w:t>33 %</w:t>
            </w:r>
          </w:p>
        </w:tc>
      </w:tr>
    </w:tbl>
    <w:p w14:paraId="70A4FA8E" w14:textId="77777777" w:rsidR="00C1548D" w:rsidRDefault="00C1548D">
      <w:pPr>
        <w:spacing w:line="180" w:lineRule="exact"/>
      </w:pPr>
    </w:p>
    <w:p w14:paraId="70A4FA8F" w14:textId="77777777" w:rsidR="00C1548D" w:rsidRDefault="009B1B4B">
      <w:pPr>
        <w:spacing w:after="140"/>
      </w:pPr>
      <w:r>
        <w:t>Der Eingangssatz sank von historisch 15 % auf 14 %, gesetzlich bereits 2025 beschlossen und seit 2026 voll wirksam. Der Bundes-Grundfreibetrag liegt 2026 bei 16.452 CAD und schmilzt für sehr hohe Einkommen im Bereich 181.440 bis 258.482 CAD auf 14.829 CAD ab.</w:t>
      </w:r>
    </w:p>
    <w:p w14:paraId="70A4FA90" w14:textId="77777777" w:rsidR="00C1548D" w:rsidRDefault="009B1B4B">
      <w:pPr>
        <w:spacing w:after="140"/>
      </w:pPr>
      <w:r>
        <w:t>Ontario erhebt zusätzlich einen eigenen, niedriger wirkenden Tarif – der Eindruck täuscht allerdings, denn hier kommt eine Besonderheit hinzu:</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23"/>
        <w:gridCol w:w="1957"/>
      </w:tblGrid>
      <w:tr w:rsidR="00C1548D" w14:paraId="70A4FA93" w14:textId="77777777">
        <w:tblPrEx>
          <w:tblCellMar>
            <w:top w:w="0" w:type="dxa"/>
            <w:bottom w:w="0" w:type="dxa"/>
          </w:tblCellMar>
        </w:tblPrEx>
        <w:trPr>
          <w:cantSplit/>
          <w:tblHeader/>
        </w:trPr>
        <w:tc>
          <w:tcPr>
            <w:tcW w:w="452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91" w14:textId="77777777" w:rsidR="00C1548D" w:rsidRDefault="009B1B4B">
            <w:pPr>
              <w:spacing w:line="250" w:lineRule="auto"/>
            </w:pPr>
            <w:r>
              <w:rPr>
                <w:b/>
                <w:bCs/>
                <w:sz w:val="18"/>
                <w:szCs w:val="18"/>
              </w:rPr>
              <w:t>Zu versteuerndes Einkommen (CAD)</w:t>
            </w:r>
          </w:p>
        </w:tc>
        <w:tc>
          <w:tcPr>
            <w:tcW w:w="195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92" w14:textId="77777777" w:rsidR="00C1548D" w:rsidRDefault="009B1B4B">
            <w:pPr>
              <w:spacing w:line="250" w:lineRule="auto"/>
            </w:pPr>
            <w:r>
              <w:rPr>
                <w:b/>
                <w:bCs/>
                <w:sz w:val="18"/>
                <w:szCs w:val="18"/>
              </w:rPr>
              <w:t>Ontario-Satz</w:t>
            </w:r>
          </w:p>
        </w:tc>
      </w:tr>
      <w:tr w:rsidR="00C1548D" w14:paraId="70A4FA96" w14:textId="77777777">
        <w:tblPrEx>
          <w:tblCellMar>
            <w:top w:w="0" w:type="dxa"/>
            <w:bottom w:w="0" w:type="dxa"/>
          </w:tblCellMar>
        </w:tblPrEx>
        <w:trPr>
          <w:cantSplit/>
        </w:trPr>
        <w:tc>
          <w:tcPr>
            <w:tcW w:w="45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94" w14:textId="77777777" w:rsidR="00C1548D" w:rsidRDefault="009B1B4B">
            <w:pPr>
              <w:spacing w:line="250" w:lineRule="auto"/>
            </w:pPr>
            <w:r>
              <w:rPr>
                <w:sz w:val="18"/>
                <w:szCs w:val="18"/>
              </w:rPr>
              <w:t>0–53.891</w:t>
            </w:r>
          </w:p>
        </w:tc>
        <w:tc>
          <w:tcPr>
            <w:tcW w:w="1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95" w14:textId="77777777" w:rsidR="00C1548D" w:rsidRDefault="009B1B4B">
            <w:pPr>
              <w:spacing w:line="250" w:lineRule="auto"/>
            </w:pPr>
            <w:r>
              <w:rPr>
                <w:sz w:val="18"/>
                <w:szCs w:val="18"/>
              </w:rPr>
              <w:t>5,05 %</w:t>
            </w:r>
          </w:p>
        </w:tc>
      </w:tr>
      <w:tr w:rsidR="00C1548D" w14:paraId="70A4FA99" w14:textId="77777777">
        <w:tblPrEx>
          <w:tblCellMar>
            <w:top w:w="0" w:type="dxa"/>
            <w:bottom w:w="0" w:type="dxa"/>
          </w:tblCellMar>
        </w:tblPrEx>
        <w:trPr>
          <w:cantSplit/>
        </w:trPr>
        <w:tc>
          <w:tcPr>
            <w:tcW w:w="45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97" w14:textId="77777777" w:rsidR="00C1548D" w:rsidRDefault="009B1B4B">
            <w:pPr>
              <w:spacing w:line="250" w:lineRule="auto"/>
            </w:pPr>
            <w:r>
              <w:rPr>
                <w:sz w:val="18"/>
                <w:szCs w:val="18"/>
              </w:rPr>
              <w:t>53.891–107.785</w:t>
            </w:r>
          </w:p>
        </w:tc>
        <w:tc>
          <w:tcPr>
            <w:tcW w:w="1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98" w14:textId="77777777" w:rsidR="00C1548D" w:rsidRDefault="009B1B4B">
            <w:pPr>
              <w:spacing w:line="250" w:lineRule="auto"/>
            </w:pPr>
            <w:r>
              <w:rPr>
                <w:sz w:val="18"/>
                <w:szCs w:val="18"/>
              </w:rPr>
              <w:t>9,15 %</w:t>
            </w:r>
          </w:p>
        </w:tc>
      </w:tr>
      <w:tr w:rsidR="00C1548D" w14:paraId="70A4FA9C" w14:textId="77777777">
        <w:tblPrEx>
          <w:tblCellMar>
            <w:top w:w="0" w:type="dxa"/>
            <w:bottom w:w="0" w:type="dxa"/>
          </w:tblCellMar>
        </w:tblPrEx>
        <w:trPr>
          <w:cantSplit/>
        </w:trPr>
        <w:tc>
          <w:tcPr>
            <w:tcW w:w="45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9A" w14:textId="77777777" w:rsidR="00C1548D" w:rsidRDefault="009B1B4B">
            <w:pPr>
              <w:spacing w:line="250" w:lineRule="auto"/>
            </w:pPr>
            <w:r>
              <w:rPr>
                <w:sz w:val="18"/>
                <w:szCs w:val="18"/>
              </w:rPr>
              <w:t>107.785–150.000</w:t>
            </w:r>
          </w:p>
        </w:tc>
        <w:tc>
          <w:tcPr>
            <w:tcW w:w="1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9B" w14:textId="77777777" w:rsidR="00C1548D" w:rsidRDefault="009B1B4B">
            <w:pPr>
              <w:spacing w:line="250" w:lineRule="auto"/>
            </w:pPr>
            <w:r>
              <w:rPr>
                <w:sz w:val="18"/>
                <w:szCs w:val="18"/>
              </w:rPr>
              <w:t>11,16 %</w:t>
            </w:r>
          </w:p>
        </w:tc>
      </w:tr>
      <w:tr w:rsidR="00C1548D" w14:paraId="70A4FA9F" w14:textId="77777777">
        <w:tblPrEx>
          <w:tblCellMar>
            <w:top w:w="0" w:type="dxa"/>
            <w:bottom w:w="0" w:type="dxa"/>
          </w:tblCellMar>
        </w:tblPrEx>
        <w:trPr>
          <w:cantSplit/>
        </w:trPr>
        <w:tc>
          <w:tcPr>
            <w:tcW w:w="45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9D" w14:textId="77777777" w:rsidR="00C1548D" w:rsidRDefault="009B1B4B">
            <w:pPr>
              <w:spacing w:line="250" w:lineRule="auto"/>
            </w:pPr>
            <w:r>
              <w:rPr>
                <w:sz w:val="18"/>
                <w:szCs w:val="18"/>
              </w:rPr>
              <w:t>150.000–220.000</w:t>
            </w:r>
          </w:p>
        </w:tc>
        <w:tc>
          <w:tcPr>
            <w:tcW w:w="1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9E" w14:textId="77777777" w:rsidR="00C1548D" w:rsidRDefault="009B1B4B">
            <w:pPr>
              <w:spacing w:line="250" w:lineRule="auto"/>
            </w:pPr>
            <w:r>
              <w:rPr>
                <w:sz w:val="18"/>
                <w:szCs w:val="18"/>
              </w:rPr>
              <w:t>12,16 %</w:t>
            </w:r>
          </w:p>
        </w:tc>
      </w:tr>
      <w:tr w:rsidR="00C1548D" w14:paraId="70A4FAA2" w14:textId="77777777">
        <w:tblPrEx>
          <w:tblCellMar>
            <w:top w:w="0" w:type="dxa"/>
            <w:bottom w:w="0" w:type="dxa"/>
          </w:tblCellMar>
        </w:tblPrEx>
        <w:trPr>
          <w:cantSplit/>
        </w:trPr>
        <w:tc>
          <w:tcPr>
            <w:tcW w:w="45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A0" w14:textId="77777777" w:rsidR="00C1548D" w:rsidRDefault="009B1B4B">
            <w:pPr>
              <w:spacing w:line="250" w:lineRule="auto"/>
            </w:pPr>
            <w:r>
              <w:rPr>
                <w:sz w:val="18"/>
                <w:szCs w:val="18"/>
              </w:rPr>
              <w:t>über 220.000</w:t>
            </w:r>
          </w:p>
        </w:tc>
        <w:tc>
          <w:tcPr>
            <w:tcW w:w="19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A1" w14:textId="77777777" w:rsidR="00C1548D" w:rsidRDefault="009B1B4B">
            <w:pPr>
              <w:spacing w:line="250" w:lineRule="auto"/>
            </w:pPr>
            <w:r>
              <w:rPr>
                <w:sz w:val="18"/>
                <w:szCs w:val="18"/>
              </w:rPr>
              <w:t>13,16 %</w:t>
            </w:r>
          </w:p>
        </w:tc>
      </w:tr>
    </w:tbl>
    <w:p w14:paraId="70A4FAA3" w14:textId="77777777" w:rsidR="00C1548D" w:rsidRDefault="00C1548D">
      <w:pPr>
        <w:spacing w:line="180" w:lineRule="exact"/>
      </w:pPr>
    </w:p>
    <w:p w14:paraId="70A4FAA4" w14:textId="77777777" w:rsidR="00C1548D" w:rsidRDefault="009B1B4B">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 sie wirkt faktisch wie eine sechste, verschärfte Progressionsstufe schon ab mittleren Einkommen. Der Ontario-Grundfreibetrag liegt bei 12.989 CAD.</w:t>
      </w:r>
    </w:p>
    <w:p w14:paraId="70A4FAA5" w14:textId="77777777" w:rsidR="00C1548D" w:rsidRDefault="009B1B4B">
      <w:pPr>
        <w:spacing w:after="140"/>
      </w:pPr>
      <w:r>
        <w:t>British Columbia rechnet in sieben statt fünf Stufen und geht deutlich höher hinauf:</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1"/>
        <w:gridCol w:w="1969"/>
      </w:tblGrid>
      <w:tr w:rsidR="00C1548D" w14:paraId="70A4FAA8" w14:textId="77777777">
        <w:tblPrEx>
          <w:tblCellMar>
            <w:top w:w="0" w:type="dxa"/>
            <w:bottom w:w="0" w:type="dxa"/>
          </w:tblCellMar>
        </w:tblPrEx>
        <w:trPr>
          <w:cantSplit/>
          <w:tblHeader/>
        </w:trPr>
        <w:tc>
          <w:tcPr>
            <w:tcW w:w="451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A6" w14:textId="77777777" w:rsidR="00C1548D" w:rsidRDefault="009B1B4B">
            <w:pPr>
              <w:spacing w:line="250" w:lineRule="auto"/>
            </w:pPr>
            <w:r>
              <w:rPr>
                <w:b/>
                <w:bCs/>
                <w:sz w:val="18"/>
                <w:szCs w:val="18"/>
              </w:rPr>
              <w:lastRenderedPageBreak/>
              <w:t>Zu versteuerndes Einkommen (CAD)</w:t>
            </w:r>
          </w:p>
        </w:tc>
        <w:tc>
          <w:tcPr>
            <w:tcW w:w="196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A7" w14:textId="77777777" w:rsidR="00C1548D" w:rsidRDefault="009B1B4B">
            <w:pPr>
              <w:spacing w:line="250" w:lineRule="auto"/>
            </w:pPr>
            <w:r>
              <w:rPr>
                <w:b/>
                <w:bCs/>
                <w:sz w:val="18"/>
                <w:szCs w:val="18"/>
              </w:rPr>
              <w:t>BC-Satz</w:t>
            </w:r>
          </w:p>
        </w:tc>
      </w:tr>
      <w:tr w:rsidR="00C1548D" w14:paraId="70A4FAAB" w14:textId="77777777">
        <w:tblPrEx>
          <w:tblCellMar>
            <w:top w:w="0" w:type="dxa"/>
            <w:bottom w:w="0" w:type="dxa"/>
          </w:tblCellMar>
        </w:tblPrEx>
        <w:trPr>
          <w:cantSplit/>
        </w:trPr>
        <w:tc>
          <w:tcPr>
            <w:tcW w:w="45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A9" w14:textId="77777777" w:rsidR="00C1548D" w:rsidRDefault="009B1B4B">
            <w:pPr>
              <w:spacing w:line="250" w:lineRule="auto"/>
            </w:pPr>
            <w:r>
              <w:rPr>
                <w:sz w:val="18"/>
                <w:szCs w:val="18"/>
              </w:rPr>
              <w:t>0–50.363</w:t>
            </w:r>
          </w:p>
        </w:tc>
        <w:tc>
          <w:tcPr>
            <w:tcW w:w="19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AA" w14:textId="77777777" w:rsidR="00C1548D" w:rsidRDefault="009B1B4B">
            <w:pPr>
              <w:spacing w:line="250" w:lineRule="auto"/>
            </w:pPr>
            <w:r>
              <w:rPr>
                <w:sz w:val="18"/>
                <w:szCs w:val="18"/>
              </w:rPr>
              <w:t>5,60 %</w:t>
            </w:r>
          </w:p>
        </w:tc>
      </w:tr>
      <w:tr w:rsidR="00C1548D" w14:paraId="70A4FAAE" w14:textId="77777777">
        <w:tblPrEx>
          <w:tblCellMar>
            <w:top w:w="0" w:type="dxa"/>
            <w:bottom w:w="0" w:type="dxa"/>
          </w:tblCellMar>
        </w:tblPrEx>
        <w:trPr>
          <w:cantSplit/>
        </w:trPr>
        <w:tc>
          <w:tcPr>
            <w:tcW w:w="45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AC" w14:textId="77777777" w:rsidR="00C1548D" w:rsidRDefault="009B1B4B">
            <w:pPr>
              <w:spacing w:line="250" w:lineRule="auto"/>
            </w:pPr>
            <w:r>
              <w:rPr>
                <w:sz w:val="18"/>
                <w:szCs w:val="18"/>
              </w:rPr>
              <w:t>50.363–100.728</w:t>
            </w:r>
          </w:p>
        </w:tc>
        <w:tc>
          <w:tcPr>
            <w:tcW w:w="19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AD" w14:textId="77777777" w:rsidR="00C1548D" w:rsidRDefault="009B1B4B">
            <w:pPr>
              <w:spacing w:line="250" w:lineRule="auto"/>
            </w:pPr>
            <w:r>
              <w:rPr>
                <w:sz w:val="18"/>
                <w:szCs w:val="18"/>
              </w:rPr>
              <w:t>7,70 %</w:t>
            </w:r>
          </w:p>
        </w:tc>
      </w:tr>
      <w:tr w:rsidR="00C1548D" w14:paraId="70A4FAB1" w14:textId="77777777">
        <w:tblPrEx>
          <w:tblCellMar>
            <w:top w:w="0" w:type="dxa"/>
            <w:bottom w:w="0" w:type="dxa"/>
          </w:tblCellMar>
        </w:tblPrEx>
        <w:trPr>
          <w:cantSplit/>
        </w:trPr>
        <w:tc>
          <w:tcPr>
            <w:tcW w:w="45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AF" w14:textId="77777777" w:rsidR="00C1548D" w:rsidRDefault="009B1B4B">
            <w:pPr>
              <w:spacing w:line="250" w:lineRule="auto"/>
            </w:pPr>
            <w:r>
              <w:rPr>
                <w:sz w:val="18"/>
                <w:szCs w:val="18"/>
              </w:rPr>
              <w:t>100.728–115.648</w:t>
            </w:r>
          </w:p>
        </w:tc>
        <w:tc>
          <w:tcPr>
            <w:tcW w:w="19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B0" w14:textId="77777777" w:rsidR="00C1548D" w:rsidRDefault="009B1B4B">
            <w:pPr>
              <w:spacing w:line="250" w:lineRule="auto"/>
            </w:pPr>
            <w:r>
              <w:rPr>
                <w:sz w:val="18"/>
                <w:szCs w:val="18"/>
              </w:rPr>
              <w:t>10,50 %</w:t>
            </w:r>
          </w:p>
        </w:tc>
      </w:tr>
      <w:tr w:rsidR="00C1548D" w14:paraId="70A4FAB4" w14:textId="77777777">
        <w:tblPrEx>
          <w:tblCellMar>
            <w:top w:w="0" w:type="dxa"/>
            <w:bottom w:w="0" w:type="dxa"/>
          </w:tblCellMar>
        </w:tblPrEx>
        <w:trPr>
          <w:cantSplit/>
        </w:trPr>
        <w:tc>
          <w:tcPr>
            <w:tcW w:w="45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B2" w14:textId="77777777" w:rsidR="00C1548D" w:rsidRDefault="009B1B4B">
            <w:pPr>
              <w:spacing w:line="250" w:lineRule="auto"/>
            </w:pPr>
            <w:r>
              <w:rPr>
                <w:sz w:val="18"/>
                <w:szCs w:val="18"/>
              </w:rPr>
              <w:t>115.648–140.430</w:t>
            </w:r>
          </w:p>
        </w:tc>
        <w:tc>
          <w:tcPr>
            <w:tcW w:w="19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B3" w14:textId="77777777" w:rsidR="00C1548D" w:rsidRDefault="009B1B4B">
            <w:pPr>
              <w:spacing w:line="250" w:lineRule="auto"/>
            </w:pPr>
            <w:r>
              <w:rPr>
                <w:sz w:val="18"/>
                <w:szCs w:val="18"/>
              </w:rPr>
              <w:t>12,29 %</w:t>
            </w:r>
          </w:p>
        </w:tc>
      </w:tr>
      <w:tr w:rsidR="00C1548D" w14:paraId="70A4FAB7" w14:textId="77777777">
        <w:tblPrEx>
          <w:tblCellMar>
            <w:top w:w="0" w:type="dxa"/>
            <w:bottom w:w="0" w:type="dxa"/>
          </w:tblCellMar>
        </w:tblPrEx>
        <w:trPr>
          <w:cantSplit/>
        </w:trPr>
        <w:tc>
          <w:tcPr>
            <w:tcW w:w="45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B5" w14:textId="77777777" w:rsidR="00C1548D" w:rsidRDefault="009B1B4B">
            <w:pPr>
              <w:spacing w:line="250" w:lineRule="auto"/>
            </w:pPr>
            <w:r>
              <w:rPr>
                <w:sz w:val="18"/>
                <w:szCs w:val="18"/>
              </w:rPr>
              <w:t>140.430–190.405</w:t>
            </w:r>
          </w:p>
        </w:tc>
        <w:tc>
          <w:tcPr>
            <w:tcW w:w="19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B6" w14:textId="77777777" w:rsidR="00C1548D" w:rsidRDefault="009B1B4B">
            <w:pPr>
              <w:spacing w:line="250" w:lineRule="auto"/>
            </w:pPr>
            <w:r>
              <w:rPr>
                <w:sz w:val="18"/>
                <w:szCs w:val="18"/>
              </w:rPr>
              <w:t>14,70 %</w:t>
            </w:r>
          </w:p>
        </w:tc>
      </w:tr>
      <w:tr w:rsidR="00C1548D" w14:paraId="70A4FABA" w14:textId="77777777">
        <w:tblPrEx>
          <w:tblCellMar>
            <w:top w:w="0" w:type="dxa"/>
            <w:bottom w:w="0" w:type="dxa"/>
          </w:tblCellMar>
        </w:tblPrEx>
        <w:trPr>
          <w:cantSplit/>
        </w:trPr>
        <w:tc>
          <w:tcPr>
            <w:tcW w:w="45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B8" w14:textId="77777777" w:rsidR="00C1548D" w:rsidRDefault="009B1B4B">
            <w:pPr>
              <w:spacing w:line="250" w:lineRule="auto"/>
            </w:pPr>
            <w:r>
              <w:rPr>
                <w:sz w:val="18"/>
                <w:szCs w:val="18"/>
              </w:rPr>
              <w:t>190.405–265.545</w:t>
            </w:r>
          </w:p>
        </w:tc>
        <w:tc>
          <w:tcPr>
            <w:tcW w:w="19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B9" w14:textId="77777777" w:rsidR="00C1548D" w:rsidRDefault="009B1B4B">
            <w:pPr>
              <w:spacing w:line="250" w:lineRule="auto"/>
            </w:pPr>
            <w:r>
              <w:rPr>
                <w:sz w:val="18"/>
                <w:szCs w:val="18"/>
              </w:rPr>
              <w:t>16,80 %</w:t>
            </w:r>
          </w:p>
        </w:tc>
      </w:tr>
      <w:tr w:rsidR="00C1548D" w14:paraId="70A4FABD" w14:textId="77777777">
        <w:tblPrEx>
          <w:tblCellMar>
            <w:top w:w="0" w:type="dxa"/>
            <w:bottom w:w="0" w:type="dxa"/>
          </w:tblCellMar>
        </w:tblPrEx>
        <w:trPr>
          <w:cantSplit/>
        </w:trPr>
        <w:tc>
          <w:tcPr>
            <w:tcW w:w="45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BB" w14:textId="77777777" w:rsidR="00C1548D" w:rsidRDefault="009B1B4B">
            <w:pPr>
              <w:spacing w:line="250" w:lineRule="auto"/>
            </w:pPr>
            <w:r>
              <w:rPr>
                <w:sz w:val="18"/>
                <w:szCs w:val="18"/>
              </w:rPr>
              <w:t>über 265.545</w:t>
            </w:r>
          </w:p>
        </w:tc>
        <w:tc>
          <w:tcPr>
            <w:tcW w:w="196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BC" w14:textId="77777777" w:rsidR="00C1548D" w:rsidRDefault="009B1B4B">
            <w:pPr>
              <w:spacing w:line="250" w:lineRule="auto"/>
            </w:pPr>
            <w:r>
              <w:rPr>
                <w:sz w:val="18"/>
                <w:szCs w:val="18"/>
              </w:rPr>
              <w:t>20,50 %</w:t>
            </w:r>
          </w:p>
        </w:tc>
      </w:tr>
    </w:tbl>
    <w:p w14:paraId="70A4FABE" w14:textId="77777777" w:rsidR="00C1548D" w:rsidRDefault="00C1548D">
      <w:pPr>
        <w:spacing w:line="180" w:lineRule="exact"/>
      </w:pPr>
    </w:p>
    <w:p w14:paraId="70A4FABF" w14:textId="77777777" w:rsidR="00C1548D" w:rsidRDefault="009B1B4B">
      <w:pPr>
        <w:spacing w:after="140"/>
      </w:pPr>
      <w:r>
        <w:t>Bei einem zu versteuernden Einkommen bis 24.580 CAD fällt in British Columbia dank der Niedrigeinkommen-Steuerreduktion in der Regel gar keine Provinzsteuer an. Überschlägig (eigene Näherungsrechnung aus den Tabellen oben, keine offizielle Kombinationszahl) liegt der kombinierte Spitzensteuersatz aus Bund und Provinz in Ontario bei rund 46 % einschließlich Surtax-Effekt, in British Columbia bei rund 53 % für Einkommen über 265.545 CAD.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C2"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AC0" w14:textId="77777777" w:rsidR="00C1548D" w:rsidRDefault="009B1B4B">
            <w:pPr>
              <w:keepNext/>
              <w:spacing w:after="70" w:line="240" w:lineRule="auto"/>
            </w:pPr>
            <w:r>
              <w:rPr>
                <w:b/>
                <w:bCs/>
                <w:color w:val="4A5568"/>
                <w:spacing w:val="24"/>
                <w:sz w:val="16"/>
                <w:szCs w:val="16"/>
              </w:rPr>
              <w:t>PRAXISBEISPIEL · FIKTIV</w:t>
            </w:r>
          </w:p>
          <w:p w14:paraId="70A4FAC1" w14:textId="77777777" w:rsidR="00C1548D" w:rsidRDefault="009B1B4B">
            <w:pPr>
              <w:spacing w:after="80" w:line="264" w:lineRule="auto"/>
            </w:pPr>
            <w:r>
              <w:rPr>
                <w:sz w:val="20"/>
                <w:szCs w:val="20"/>
              </w:rPr>
              <w:t>Familie Ahrens zieht mit hohem CRS-Score über Express Entry nach Toronto, Ontario. Markus, Softwarearchitekt, verdient klar über dem Ontario-Surtax-Schwellenwert. Bei der ersten gemeinsamen Steuerschätzung mit einer kanadischen Steuerberaterin stutzt Julia, als neben der eigentlichen Ontario-Steuer noch eine „Surtax“-Zeile auftaucht – eine Steuer auf die Steuer war ihr aus dem deutschen System schlicht nicht bekannt. Die Beraterin erklärt gelassen, dass Ontario damit seit Jahrzehnten arbeitet und die Zahl a</w:t>
            </w:r>
            <w:r>
              <w:rPr>
                <w:sz w:val="20"/>
                <w:szCs w:val="20"/>
              </w:rPr>
              <w:t>uf dem Bescheid trotzdem korrekt ist. Familie Ahrens plant die kombinierte Bundes- und Provinzlast von da an bewusst mit ein, statt sich jedes Jahr aufs Neue zu wundern.</w:t>
            </w:r>
          </w:p>
        </w:tc>
      </w:tr>
    </w:tbl>
    <w:p w14:paraId="70A4FAC3" w14:textId="77777777" w:rsidR="00C1548D" w:rsidRDefault="00C1548D">
      <w:pPr>
        <w:spacing w:line="220" w:lineRule="exact"/>
      </w:pPr>
    </w:p>
    <w:p w14:paraId="70A4FAC4" w14:textId="77777777" w:rsidR="00C1548D" w:rsidRDefault="009B1B4B">
      <w:pPr>
        <w:pStyle w:val="Heading3"/>
        <w:keepNext/>
        <w:jc w:val="center"/>
      </w:pPr>
      <w:r>
        <w:rPr>
          <w:rFonts w:ascii="Amazon Ember" w:eastAsia="Amazon Ember" w:hAnsi="Amazon Ember" w:cs="Amazon Ember"/>
          <w:color w:val="0000FF"/>
          <w:sz w:val="36"/>
          <w:szCs w:val="36"/>
        </w:rPr>
        <w:t>Mehrwertsteuer: ein System, viele Gesichter</w:t>
      </w:r>
    </w:p>
    <w:p w14:paraId="70A4FAC5" w14:textId="77777777" w:rsidR="00C1548D" w:rsidRDefault="009B1B4B">
      <w:pPr>
        <w:spacing w:after="140"/>
      </w:pPr>
      <w:r>
        <w:t xml:space="preserve">Verbreiteter Irrtum: Wer nur die bundesweite </w:t>
      </w:r>
      <w:r>
        <w:rPr>
          <w:i/>
          <w:iCs/>
        </w:rPr>
        <w:t>Goods and Services Tax</w:t>
      </w:r>
      <w:r>
        <w:t xml:space="preserve"> (GST) von 5 % kennt, geht oft davon aus, in Kanada gelte überall </w:t>
      </w:r>
      <w:r>
        <w:lastRenderedPageBreak/>
        <w:t>dieselbe Verbrauchsteuer. Tatsächlich bestimmt die Provinz, in der du einkaufst, den tatsächlichen Satz – und der schwankt zwischen 5 und 15 %.</w:t>
      </w:r>
    </w:p>
    <w:p w14:paraId="70A4FAC6" w14:textId="77777777" w:rsidR="00C1548D" w:rsidRDefault="009B1B4B">
      <w:pPr>
        <w:spacing w:after="140"/>
      </w:pPr>
      <w:r>
        <w:t>Fünf Provinzen erheben eine harmonisierte Steuer (</w:t>
      </w:r>
      <w:r>
        <w:rPr>
          <w:i/>
          <w:iCs/>
        </w:rPr>
        <w:t>Harmonized Sales Tax</w:t>
      </w:r>
      <w:r>
        <w:t>, HST), die GST und Provinzanteil in einem Satz zusammenfasst: Ontario 13 %; New Brunswick, Neufundland &amp; Labrador und Prince Edward Island je 15 %; Nova Scotia 14 % (zum 1. April 2025 von 15 % gesenkt). Vier Provinzen erheben die GST plus eine separate Provinzsteuer: British Columbia 12 % (5 % GST + 7 % PST), Manitoba 12 % (5 % + 7 % RST), Saskatchewan 11 % (5 % + 6 % PST) und Québec 14,975 % (5 % + 9,975 % QST, von der eigenen Provinzbehörde Revenu Québec verwaltet). Vier Gebiete verlangen nur die 5 % GST</w:t>
      </w:r>
      <w:r>
        <w:t xml:space="preserve"> ohne Provinzanteil: Alberta, Yukon, die Nordwest-Territorien und Nunavut.</w:t>
      </w:r>
    </w:p>
    <w:p w14:paraId="70A4FAC7" w14:textId="77777777" w:rsidR="00C1548D" w:rsidRDefault="009B1B4B">
      <w:pPr>
        <w:spacing w:after="140"/>
      </w:pPr>
      <w:r>
        <w:t>Wer von Alberta nach Ontario oder gar in eine HST-Provinz mit 15 % umzieht, zahlt beim gleichen Einkauf fast das Dreifache an Verbrauchsteuer – nicht weil die Regale dort teurer bestückt wären, sondern weil eine unsichtbare Provinzgrenze plötzlich sehr real wird.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CA"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AC8" w14:textId="77777777" w:rsidR="00C1548D" w:rsidRDefault="009B1B4B">
            <w:pPr>
              <w:keepNext/>
              <w:spacing w:after="70" w:line="240" w:lineRule="auto"/>
            </w:pPr>
            <w:r>
              <w:rPr>
                <w:b/>
                <w:bCs/>
                <w:color w:val="4A5568"/>
                <w:spacing w:val="24"/>
                <w:sz w:val="16"/>
                <w:szCs w:val="16"/>
              </w:rPr>
              <w:t>PRAXISBEISPIEL · FIKTIV</w:t>
            </w:r>
          </w:p>
          <w:p w14:paraId="70A4FAC9" w14:textId="77777777" w:rsidR="00C1548D" w:rsidRDefault="009B1B4B">
            <w:pPr>
              <w:spacing w:after="80" w:line="264" w:lineRule="auto"/>
            </w:pPr>
            <w:r>
              <w:rPr>
                <w:sz w:val="20"/>
                <w:szCs w:val="20"/>
              </w:rPr>
              <w:t>Lukas Berger arbeitet als Öl- und Gasingenieur mit einem LMIA-pflichtigen Work Permit in Calgary, Alberta. Beim ersten großen Einkauf für die neue Wohnung rechnet er aus alter Gewohnheit automatisch mit 19 % Mehrwertsteuer und wundert sich über den niedrigen Kassenbon – bis ihm auffällt, dass Alberta schlicht nur die 5 % GST kennt, ganz ohne Provinzsteuer. Als er das seinem ehemaligen Studienkollegen erzählt, der zeitgleich nach Toronto gezogen ist und dort 13 % HST zahlt, folgt am Telefon erst Unglauben, d</w:t>
            </w:r>
            <w:r>
              <w:rPr>
                <w:sz w:val="20"/>
                <w:szCs w:val="20"/>
              </w:rPr>
              <w:t>ann leiser Neid.</w:t>
            </w:r>
          </w:p>
        </w:tc>
      </w:tr>
    </w:tbl>
    <w:p w14:paraId="70A4FACB" w14:textId="77777777" w:rsidR="00C1548D" w:rsidRDefault="00C1548D">
      <w:pPr>
        <w:spacing w:line="220" w:lineRule="exact"/>
      </w:pPr>
    </w:p>
    <w:p w14:paraId="70A4FACC" w14:textId="77777777" w:rsidR="00C1548D" w:rsidRDefault="009B1B4B">
      <w:pPr>
        <w:pStyle w:val="Heading3"/>
        <w:keepNext/>
        <w:jc w:val="center"/>
      </w:pPr>
      <w:r>
        <w:rPr>
          <w:rFonts w:ascii="Amazon Ember" w:eastAsia="Amazon Ember" w:hAnsi="Amazon Ember" w:cs="Amazon Ember"/>
          <w:color w:val="0000FF"/>
          <w:sz w:val="36"/>
          <w:szCs w:val="36"/>
        </w:rPr>
        <w:lastRenderedPageBreak/>
        <w:t>Bankkonto eröffnen: die Big Five und ihre Newcomer-Pakete</w:t>
      </w:r>
    </w:p>
    <w:p w14:paraId="70A4FACD" w14:textId="77777777" w:rsidR="00C1548D" w:rsidRDefault="009B1B4B">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 verifiziere sie direkt bei der Bank, bevor du dich festlegst.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D0"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ACE" w14:textId="77777777" w:rsidR="00C1548D" w:rsidRDefault="009B1B4B">
            <w:pPr>
              <w:keepNext/>
              <w:spacing w:after="70" w:line="240" w:lineRule="auto"/>
            </w:pPr>
            <w:r>
              <w:rPr>
                <w:b/>
                <w:bCs/>
                <w:color w:val="2F6B3B"/>
                <w:spacing w:val="24"/>
                <w:sz w:val="16"/>
                <w:szCs w:val="16"/>
              </w:rPr>
              <w:t>SPARTIPP</w:t>
            </w:r>
          </w:p>
          <w:p w14:paraId="70A4FACF" w14:textId="77777777" w:rsidR="00C1548D" w:rsidRDefault="009B1B4B">
            <w:pPr>
              <w:spacing w:after="80" w:line="264" w:lineRule="auto"/>
            </w:pPr>
            <w:r>
              <w:rPr>
                <w:sz w:val="20"/>
                <w:szCs w:val="20"/>
              </w:rPr>
              <w:t>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tc>
      </w:tr>
    </w:tbl>
    <w:p w14:paraId="70A4FAD1" w14:textId="77777777" w:rsidR="00C1548D" w:rsidRDefault="00C1548D">
      <w:pPr>
        <w:spacing w:line="220" w:lineRule="exact"/>
      </w:pPr>
    </w:p>
    <w:p w14:paraId="70A4FAD2" w14:textId="77777777" w:rsidR="00C1548D" w:rsidRDefault="009B1B4B">
      <w:pPr>
        <w:spacing w:after="140"/>
      </w:pPr>
      <w:r>
        <w:t>Alle fünf Banken verlangen für das Basis-Newcomer-Konto und die zugehörige Kreditkarte keine kanadische Kredithistorie – ein deutlicher Unterschied zum regulären Kreditkartengeschäft, bei dem die Bonitätsprüfung sonst zum Standard gehört.</w:t>
      </w:r>
    </w:p>
    <w:p w14:paraId="70A4FAD3" w14:textId="77777777" w:rsidR="00C1548D" w:rsidRDefault="009B1B4B">
      <w:pPr>
        <w:pStyle w:val="Heading3"/>
        <w:keepNext/>
        <w:jc w:val="center"/>
      </w:pPr>
      <w:r>
        <w:rPr>
          <w:rFonts w:ascii="Amazon Ember" w:eastAsia="Amazon Ember" w:hAnsi="Amazon Ember" w:cs="Amazon Ember"/>
          <w:color w:val="0000FF"/>
          <w:sz w:val="36"/>
          <w:szCs w:val="36"/>
        </w:rPr>
        <w:lastRenderedPageBreak/>
        <w:t>Kreditwürdigkeit aufbauen: bei null anfangen</w:t>
      </w:r>
    </w:p>
    <w:p w14:paraId="70A4FAD4" w14:textId="77777777" w:rsidR="00C1548D" w:rsidRDefault="009B1B4B">
      <w:pPr>
        <w:spacing w:after="140"/>
      </w:pPr>
      <w:r>
        <w:t>Deine makellose Schufa-Akte interessiert Equifax Canada und TransUnion Canada – die beiden großen kanadischen Kreditauskunfteien – ungefähr so sehr wie ein deutscher Wetterbericht: gar nicht. Jahrzehnte pünktlicher Zahlungen in Deutschland werden nicht importiert, übersetzt oder auch nur zur Kenntnis genommen. Du startest bei null, unabhängig davon, wie sauber deine Bonität zu Hause war.</w:t>
      </w:r>
    </w:p>
    <w:p w14:paraId="70A4FAD5" w14:textId="77777777" w:rsidR="00C1548D" w:rsidRDefault="009B1B4B">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w14:paraId="70A4FAD6" w14:textId="77777777" w:rsidR="00C1548D" w:rsidRDefault="009B1B4B">
      <w:pPr>
        <w:spacing w:after="140"/>
      </w:pPr>
      <w:r>
        <w:t xml:space="preserve">Eine zusätzliche, zunehmend verbreitete Strategie ist </w:t>
      </w:r>
      <w:r>
        <w:rPr>
          <w:i/>
          <w:iCs/>
        </w:rPr>
        <w:t>Rent Reporting</w:t>
      </w:r>
      <w:r>
        <w:t>: Mietzahlungen lassen sich über bestimmte Dienste an die Auskunfteien melden und zählen dann ebenfalls für den Score-Aufbau – ein Weg, der sich lohnt, bevor die erste Kreditkarte überhaupt genehmigt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D9"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AD7" w14:textId="77777777" w:rsidR="00C1548D" w:rsidRDefault="009B1B4B">
            <w:pPr>
              <w:keepNext/>
              <w:spacing w:after="70" w:line="240" w:lineRule="auto"/>
            </w:pPr>
            <w:r>
              <w:rPr>
                <w:b/>
                <w:bCs/>
                <w:color w:val="8A6212"/>
                <w:spacing w:val="24"/>
                <w:sz w:val="16"/>
                <w:szCs w:val="16"/>
              </w:rPr>
              <w:t>MERKE</w:t>
            </w:r>
          </w:p>
          <w:p w14:paraId="70A4FAD8" w14:textId="77777777" w:rsidR="00C1548D" w:rsidRDefault="009B1B4B">
            <w:pPr>
              <w:spacing w:after="80" w:line="264" w:lineRule="auto"/>
            </w:pPr>
            <w:r>
              <w:rPr>
                <w:sz w:val="20"/>
                <w:szCs w:val="20"/>
              </w:rPr>
              <w:t>Kreditwürdigkeit in Kanada ist ein eigenständiges System, komplett getrennt von der deutschen Schufa. Niemand „nimmt sie mit“ – du baust sie ab dem ersten Tag in Kanada neu auf, und je früher du damit beginnst, desto eher zahlt es sich bei Miete, Autofinanzierung oder späterer Hypothek aus.</w:t>
            </w:r>
          </w:p>
        </w:tc>
      </w:tr>
    </w:tbl>
    <w:p w14:paraId="70A4FADA"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D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ADB" w14:textId="77777777" w:rsidR="00C1548D" w:rsidRDefault="009B1B4B">
            <w:pPr>
              <w:keepNext/>
              <w:spacing w:after="70" w:line="240" w:lineRule="auto"/>
            </w:pPr>
            <w:r>
              <w:rPr>
                <w:b/>
                <w:bCs/>
                <w:color w:val="9B2C2C"/>
                <w:spacing w:val="24"/>
                <w:sz w:val="16"/>
                <w:szCs w:val="16"/>
              </w:rPr>
              <w:lastRenderedPageBreak/>
              <w:t>ACHTUNG</w:t>
            </w:r>
          </w:p>
          <w:p w14:paraId="70A4FADC" w14:textId="77777777" w:rsidR="00C1548D" w:rsidRDefault="009B1B4B">
            <w:pPr>
              <w:spacing w:after="80" w:line="264" w:lineRule="auto"/>
            </w:pPr>
            <w:r>
              <w:rPr>
                <w:sz w:val="20"/>
                <w:szCs w:val="20"/>
              </w:rPr>
              <w:t>Beantrage nicht mehrere Kreditkarten gleichzeitig, nur um den Aufbau zu beschleunigen. Jede Anfrage hinterlässt eine Spur in deiner Akte und kann den frisch entstehenden Score kurzfristig eher drücken als stützen.</w:t>
            </w:r>
          </w:p>
        </w:tc>
      </w:tr>
    </w:tbl>
    <w:p w14:paraId="70A4FADE" w14:textId="77777777" w:rsidR="00C1548D" w:rsidRDefault="00C1548D">
      <w:pPr>
        <w:spacing w:line="220" w:lineRule="exact"/>
      </w:pPr>
    </w:p>
    <w:p w14:paraId="70A4FADF" w14:textId="77777777" w:rsidR="00C1548D" w:rsidRDefault="009B1B4B">
      <w:pPr>
        <w:pStyle w:val="Heading3"/>
        <w:keepNext/>
        <w:jc w:val="center"/>
      </w:pPr>
      <w:r>
        <w:rPr>
          <w:rFonts w:ascii="Amazon Ember" w:eastAsia="Amazon Ember" w:hAnsi="Amazon Ember" w:cs="Amazon Ember"/>
          <w:color w:val="0000FF"/>
          <w:sz w:val="36"/>
          <w:szCs w:val="36"/>
        </w:rPr>
        <w:t>Die Steuererklärung: Fristen im Blick</w:t>
      </w:r>
    </w:p>
    <w:p w14:paraId="70A4FAE0" w14:textId="77777777" w:rsidR="00C1548D" w:rsidRDefault="009B1B4B">
      <w:pPr>
        <w:spacing w:after="140"/>
      </w:pPr>
      <w:r>
        <w:t xml:space="preserve">Die reguläre Frist für die Steuererklärung ist der 30. April des Folgejahres, für die meisten Privatpersonen unabhängig vom Einreisedatum. Bist du selbstständig, gilt in der Regel der 15. Juni als Abgabefrist für die Erklärung selbst – die tatsächliche Zahlung ist aber unverändert bereits zum 30. April fällig, was gerne übersehen wird. Deine erste vollständige Steuererklärung als „Newcomer“ wird üblicherweise für das Kalenderjahr fällig, in dem du steuerlich ansässig geworden bist; bewahre dafür von Anfang </w:t>
      </w:r>
      <w:r>
        <w:t>an Gehaltsabrechnungen und Belege sorgfältig auf.</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AE3"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AE1" w14:textId="77777777" w:rsidR="00C1548D" w:rsidRDefault="009B1B4B">
            <w:pPr>
              <w:keepNext/>
              <w:spacing w:after="70" w:line="240" w:lineRule="auto"/>
            </w:pPr>
            <w:r>
              <w:rPr>
                <w:b/>
                <w:bCs/>
                <w:color w:val="6B7280"/>
                <w:spacing w:val="24"/>
                <w:sz w:val="16"/>
                <w:szCs w:val="16"/>
              </w:rPr>
              <w:t>KEIN RECHTSRAT</w:t>
            </w:r>
          </w:p>
          <w:p w14:paraId="70A4FAE2" w14:textId="77777777" w:rsidR="00C1548D" w:rsidRDefault="009B1B4B">
            <w:pPr>
              <w:spacing w:after="80" w:line="264" w:lineRule="auto"/>
            </w:pPr>
            <w:r>
              <w:rPr>
                <w:sz w:val="20"/>
                <w:szCs w:val="20"/>
              </w:rPr>
              <w:t>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die die deutsche Seite kennt oder sich mit einer deutschen Steuerberatung absti</w:t>
            </w:r>
            <w:r>
              <w:rPr>
                <w:sz w:val="20"/>
                <w:szCs w:val="20"/>
              </w:rPr>
              <w:t>mmt.</w:t>
            </w:r>
          </w:p>
        </w:tc>
      </w:tr>
    </w:tbl>
    <w:p w14:paraId="70A4FAE4" w14:textId="77777777" w:rsidR="00C1548D" w:rsidRDefault="00C1548D">
      <w:pPr>
        <w:spacing w:line="220" w:lineRule="exact"/>
      </w:pPr>
    </w:p>
    <w:p w14:paraId="70A4FAE5"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AE8"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E6"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AE7" w14:textId="77777777" w:rsidR="00C1548D" w:rsidRDefault="009B1B4B">
            <w:pPr>
              <w:spacing w:line="250" w:lineRule="auto"/>
            </w:pPr>
            <w:r>
              <w:rPr>
                <w:b/>
                <w:bCs/>
                <w:sz w:val="18"/>
                <w:szCs w:val="18"/>
              </w:rPr>
              <w:t>Minus</w:t>
            </w:r>
          </w:p>
        </w:tc>
      </w:tr>
      <w:tr w:rsidR="00C1548D" w14:paraId="70A4FAE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E9" w14:textId="77777777" w:rsidR="00C1548D" w:rsidRDefault="009B1B4B">
            <w:pPr>
              <w:spacing w:line="250" w:lineRule="auto"/>
            </w:pPr>
            <w:r>
              <w:rPr>
                <w:sz w:val="18"/>
                <w:szCs w:val="18"/>
              </w:rPr>
              <w:t>SIN-Beantragung ist kostenlos und meist zügig erledigt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EA" w14:textId="77777777" w:rsidR="00C1548D" w:rsidRDefault="009B1B4B">
            <w:pPr>
              <w:spacing w:line="250" w:lineRule="auto"/>
            </w:pPr>
            <w:r>
              <w:rPr>
                <w:sz w:val="18"/>
                <w:szCs w:val="18"/>
              </w:rPr>
              <w:t>Ohne SIN keine korrekte Lohnabrechnung und keine Steuererklärung</w:t>
            </w:r>
          </w:p>
        </w:tc>
      </w:tr>
      <w:tr w:rsidR="00C1548D" w14:paraId="70A4FAE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EC" w14:textId="77777777" w:rsidR="00C1548D" w:rsidRDefault="009B1B4B">
            <w:pPr>
              <w:spacing w:line="250" w:lineRule="auto"/>
            </w:pPr>
            <w:r>
              <w:rPr>
                <w:sz w:val="18"/>
                <w:szCs w:val="18"/>
              </w:rPr>
              <w:lastRenderedPageBreak/>
              <w:t>RC151 und RC66 lassen sich schon vor der ersten Steuererklärung einreichen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ED" w14:textId="77777777" w:rsidR="00C1548D" w:rsidRDefault="009B1B4B">
            <w:pPr>
              <w:spacing w:line="250" w:lineRule="auto"/>
            </w:pPr>
            <w:r>
              <w:rPr>
                <w:sz w:val="18"/>
                <w:szCs w:val="18"/>
              </w:rPr>
              <w:t>CGEB-Reform 2026 bringt Unsicherheit bei den genauen Leistungen</w:t>
            </w:r>
          </w:p>
        </w:tc>
      </w:tr>
      <w:tr w:rsidR="00C1548D" w14:paraId="70A4FAF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EF" w14:textId="77777777" w:rsidR="00C1548D" w:rsidRDefault="009B1B4B">
            <w:pPr>
              <w:spacing w:line="250" w:lineRule="auto"/>
            </w:pPr>
            <w:r>
              <w:rPr>
                <w:sz w:val="18"/>
                <w:szCs w:val="18"/>
              </w:rPr>
              <w:t>Newcomer-Bankpakete öffnen Konto und Kreditkarte ohne Wartezeit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F0" w14:textId="77777777" w:rsidR="00C1548D" w:rsidRDefault="009B1B4B">
            <w:pPr>
              <w:spacing w:line="250" w:lineRule="auto"/>
            </w:pPr>
            <w:r>
              <w:rPr>
                <w:sz w:val="18"/>
                <w:szCs w:val="18"/>
              </w:rPr>
              <w:t>Konditionen der Bankpakete sind befristet und ändern sich häufig</w:t>
            </w:r>
          </w:p>
        </w:tc>
      </w:tr>
      <w:tr w:rsidR="00C1548D" w14:paraId="70A4FAF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F2" w14:textId="77777777" w:rsidR="00C1548D" w:rsidRDefault="009B1B4B">
            <w:pPr>
              <w:spacing w:line="250" w:lineRule="auto"/>
            </w:pPr>
            <w:r>
              <w:rPr>
                <w:sz w:val="18"/>
                <w:szCs w:val="18"/>
              </w:rPr>
              <w:t>Provinzwahl kann die Steuer- und Verbrauchsteuerlast spürbar senken (z. B. Alberta)</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F3" w14:textId="77777777" w:rsidR="00C1548D" w:rsidRDefault="009B1B4B">
            <w:pPr>
              <w:spacing w:line="250" w:lineRule="auto"/>
            </w:pPr>
            <w:r>
              <w:rPr>
                <w:sz w:val="18"/>
                <w:szCs w:val="18"/>
              </w:rPr>
              <w:t>Ontario- und BC-Spitzensteuersätze liegen kombiniert bei rund 46 bis 53 %</w:t>
            </w:r>
          </w:p>
        </w:tc>
      </w:tr>
      <w:tr w:rsidR="00C1548D" w14:paraId="70A4FAF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F5" w14:textId="77777777" w:rsidR="00C1548D" w:rsidRDefault="009B1B4B">
            <w:pPr>
              <w:spacing w:line="250" w:lineRule="auto"/>
            </w:pPr>
            <w:r>
              <w:rPr>
                <w:sz w:val="18"/>
                <w:szCs w:val="18"/>
              </w:rPr>
              <w:t>Gesicherte Kreditkarte liefert schon nach wenigen Monaten einen ersten Score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AF6" w14:textId="77777777" w:rsidR="00C1548D" w:rsidRDefault="009B1B4B">
            <w:pPr>
              <w:spacing w:line="250" w:lineRule="auto"/>
            </w:pPr>
            <w:r>
              <w:rPr>
                <w:sz w:val="18"/>
                <w:szCs w:val="18"/>
              </w:rPr>
              <w:t>Start ohne jede kanadische Kredithistorie, Schufa zählt nicht</w:t>
            </w:r>
          </w:p>
        </w:tc>
      </w:tr>
    </w:tbl>
    <w:p w14:paraId="70A4FAF8" w14:textId="77777777" w:rsidR="00C1548D" w:rsidRDefault="00C1548D">
      <w:pPr>
        <w:spacing w:line="180" w:lineRule="exact"/>
      </w:pPr>
    </w:p>
    <w:p w14:paraId="70A4FAF9"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AFA" w14:textId="77777777" w:rsidR="00C1548D" w:rsidRDefault="009B1B4B">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06"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AFB" w14:textId="77777777" w:rsidR="00C1548D" w:rsidRDefault="009B1B4B">
            <w:pPr>
              <w:keepNext/>
              <w:spacing w:after="70" w:line="240" w:lineRule="auto"/>
            </w:pPr>
            <w:r>
              <w:rPr>
                <w:b/>
                <w:bCs/>
                <w:color w:val="1F6F78"/>
                <w:spacing w:val="24"/>
                <w:sz w:val="16"/>
                <w:szCs w:val="16"/>
              </w:rPr>
              <w:lastRenderedPageBreak/>
              <w:t>CHECKLISTE</w:t>
            </w:r>
          </w:p>
          <w:p w14:paraId="70A4FAF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SIN online, postalisch oder persönlich beantragt, Primär- und Sekundärdokument bereitgelegt</w:t>
            </w:r>
          </w:p>
          <w:p w14:paraId="70A4FAF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My Service Canada Account (MSCA) eingerichtet, Bestätigung der SIN geprüft</w:t>
            </w:r>
          </w:p>
          <w:p w14:paraId="70A4FAF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Formular RC151 (GST/HST-Credit bzw. CGEB) eingereicht</w:t>
            </w:r>
          </w:p>
          <w:p w14:paraId="70A4FAF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Kindern: Formular RC66 (Canada Child Benefit) eingereicht</w:t>
            </w:r>
          </w:p>
          <w:p w14:paraId="70A4FB0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Newcomer-Bankpaket verglichen und Konto bei einer der Big-Five-Banken eröffnet</w:t>
            </w:r>
          </w:p>
          <w:p w14:paraId="70A4FB0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Bundes- und Provinzsteuertabelle für deine Zielprovinz durchgerechnet</w:t>
            </w:r>
          </w:p>
          <w:p w14:paraId="70A4FB0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GST/HST-Satz deiner Zielprovinz beim Haushaltsbudget berücksichtigt</w:t>
            </w:r>
          </w:p>
          <w:p w14:paraId="70A4FB0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Gesicherte Kreditkarte oder Newcomer-Kreditkarte beantragt</w:t>
            </w:r>
          </w:p>
          <w:p w14:paraId="70A4FB0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Nicht mehrere Kreditanträge gleichzeitig gestellt</w:t>
            </w:r>
          </w:p>
          <w:p w14:paraId="70A4FB0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Frist für die erste kanadische Steuererklärung (30. April) im Kalender notiert</w:t>
            </w:r>
          </w:p>
        </w:tc>
      </w:tr>
    </w:tbl>
    <w:p w14:paraId="70A4FB07" w14:textId="77777777" w:rsidR="00C1548D" w:rsidRDefault="00C1548D">
      <w:pPr>
        <w:spacing w:line="220" w:lineRule="exact"/>
      </w:pPr>
    </w:p>
    <w:p w14:paraId="70A4FB08"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B09" w14:textId="42A712A4" w:rsidR="00C1548D" w:rsidRDefault="009B1B4B" w:rsidP="009B1B4B">
      <w:pPr>
        <w:pStyle w:val="ListParagraph"/>
        <w:numPr>
          <w:ilvl w:val="0"/>
          <w:numId w:val="1"/>
        </w:numPr>
        <w:spacing w:after="60"/>
      </w:pPr>
      <w:hyperlink r:id="rId524" w:history="1">
        <w:r>
          <w:rPr>
            <w:color w:val="0563C1"/>
            <w:u w:val="single"/>
          </w:rPr>
          <w:t>canada.ca/en/revenue-agency</w:t>
        </w:r>
      </w:hyperlink>
      <w:r>
        <w:t xml:space="preserve"> – CRA: SIN-Beantragung, Steuersätze, Newcomer-Regeln, RC151/RC66</w:t>
      </w:r>
    </w:p>
    <w:p w14:paraId="70A4FB0A" w14:textId="20CDBBE2" w:rsidR="00C1548D" w:rsidRDefault="009B1B4B" w:rsidP="009B1B4B">
      <w:pPr>
        <w:pStyle w:val="ListParagraph"/>
        <w:numPr>
          <w:ilvl w:val="0"/>
          <w:numId w:val="1"/>
        </w:numPr>
        <w:spacing w:after="60"/>
      </w:pPr>
      <w:hyperlink r:id="rId525" w:history="1">
        <w:r>
          <w:rPr>
            <w:color w:val="0563C1"/>
            <w:u w:val="single"/>
          </w:rPr>
          <w:t>canada.ca/en/employment-social-development/services/sin</w:t>
        </w:r>
      </w:hyperlink>
      <w:r>
        <w:t xml:space="preserve"> – SIN-Antrag im Detail</w:t>
      </w:r>
    </w:p>
    <w:p w14:paraId="70A4FB0B" w14:textId="0F9D4EC2" w:rsidR="00C1548D" w:rsidRDefault="009B1B4B" w:rsidP="009B1B4B">
      <w:pPr>
        <w:pStyle w:val="ListParagraph"/>
        <w:numPr>
          <w:ilvl w:val="0"/>
          <w:numId w:val="1"/>
        </w:numPr>
        <w:spacing w:after="60"/>
      </w:pPr>
      <w:hyperlink r:id="rId526" w:history="1">
        <w:r>
          <w:rPr>
            <w:color w:val="0563C1"/>
            <w:u w:val="single"/>
          </w:rPr>
          <w:t>www2.gov.bc.ca/gov/content/taxes/income-taxes</w:t>
        </w:r>
      </w:hyperlink>
      <w:r>
        <w:t xml:space="preserve"> – British-Columbia-Steuersätze</w:t>
      </w:r>
    </w:p>
    <w:p w14:paraId="70A4FB0C" w14:textId="4474C8A6" w:rsidR="00C1548D" w:rsidRDefault="009B1B4B" w:rsidP="009B1B4B">
      <w:pPr>
        <w:pStyle w:val="ListParagraph"/>
        <w:numPr>
          <w:ilvl w:val="0"/>
          <w:numId w:val="1"/>
        </w:numPr>
        <w:spacing w:after="60"/>
      </w:pPr>
      <w:hyperlink r:id="rId527" w:history="1">
        <w:r>
          <w:rPr>
            <w:color w:val="0563C1"/>
            <w:u w:val="single"/>
          </w:rPr>
          <w:t>taxtips.ca</w:t>
        </w:r>
      </w:hyperlink>
      <w:r>
        <w:t xml:space="preserve"> – unabhängige kanadische Steuer-Referenzseite (Ontario- und Provinztabellen)</w:t>
      </w:r>
    </w:p>
    <w:p w14:paraId="70A4FB0D" w14:textId="2E4DDC26" w:rsidR="00C1548D" w:rsidRDefault="009B1B4B" w:rsidP="009B1B4B">
      <w:pPr>
        <w:pStyle w:val="ListParagraph"/>
        <w:numPr>
          <w:ilvl w:val="0"/>
          <w:numId w:val="1"/>
        </w:numPr>
        <w:spacing w:after="60"/>
      </w:pPr>
      <w:hyperlink r:id="rId528" w:history="1">
        <w:r>
          <w:rPr>
            <w:color w:val="0563C1"/>
            <w:u w:val="single"/>
          </w:rPr>
          <w:t>rbc.com</w:t>
        </w:r>
      </w:hyperlink>
      <w:r>
        <w:t xml:space="preserve"> / </w:t>
      </w:r>
      <w:hyperlink r:id="rId529" w:history="1">
        <w:r>
          <w:rPr>
            <w:color w:val="0563C1"/>
            <w:u w:val="single"/>
          </w:rPr>
          <w:t>td.com</w:t>
        </w:r>
      </w:hyperlink>
      <w:r>
        <w:t xml:space="preserve"> / </w:t>
      </w:r>
      <w:hyperlink r:id="rId530" w:history="1">
        <w:r>
          <w:rPr>
            <w:color w:val="0563C1"/>
            <w:u w:val="single"/>
          </w:rPr>
          <w:t>scotiabank.com</w:t>
        </w:r>
      </w:hyperlink>
      <w:r>
        <w:t xml:space="preserve"> / </w:t>
      </w:r>
      <w:hyperlink r:id="rId531" w:history="1">
        <w:r>
          <w:rPr>
            <w:color w:val="0563C1"/>
            <w:u w:val="single"/>
          </w:rPr>
          <w:t>bmo.com</w:t>
        </w:r>
      </w:hyperlink>
      <w:r>
        <w:t xml:space="preserve"> / </w:t>
      </w:r>
      <w:hyperlink r:id="rId532" w:history="1">
        <w:r>
          <w:rPr>
            <w:color w:val="0563C1"/>
            <w:u w:val="single"/>
          </w:rPr>
          <w:t>cibc.com</w:t>
        </w:r>
      </w:hyperlink>
      <w:r>
        <w:t xml:space="preserve"> – Newcomer-Bankpakete der Big Five</w:t>
      </w:r>
    </w:p>
    <w:p w14:paraId="70A4FB0E" w14:textId="4AC0F132" w:rsidR="00C1548D" w:rsidRDefault="009B1B4B" w:rsidP="009B1B4B">
      <w:pPr>
        <w:pStyle w:val="ListParagraph"/>
        <w:numPr>
          <w:ilvl w:val="0"/>
          <w:numId w:val="1"/>
        </w:numPr>
        <w:spacing w:after="60"/>
      </w:pPr>
      <w:hyperlink r:id="rId533" w:history="1">
        <w:r>
          <w:rPr>
            <w:color w:val="0563C1"/>
            <w:u w:val="single"/>
          </w:rPr>
          <w:t>equifax.ca</w:t>
        </w:r>
      </w:hyperlink>
      <w:r>
        <w:t xml:space="preserve"> / </w:t>
      </w:r>
      <w:hyperlink r:id="rId534" w:history="1">
        <w:r>
          <w:rPr>
            <w:color w:val="0563C1"/>
            <w:u w:val="single"/>
          </w:rPr>
          <w:t>transunion.ca</w:t>
        </w:r>
      </w:hyperlink>
      <w:r>
        <w:t xml:space="preserve"> – Kreditauskunft und Score-Aufbau in Kanada</w:t>
      </w:r>
    </w:p>
    <w:p w14:paraId="70A4FB0F"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12"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B10" w14:textId="77777777" w:rsidR="00C1548D" w:rsidRDefault="009B1B4B">
            <w:pPr>
              <w:keepNext/>
              <w:spacing w:after="70" w:line="240" w:lineRule="auto"/>
            </w:pPr>
            <w:r>
              <w:rPr>
                <w:b/>
                <w:bCs/>
                <w:color w:val="6B7280"/>
                <w:spacing w:val="24"/>
                <w:sz w:val="16"/>
                <w:szCs w:val="16"/>
              </w:rPr>
              <w:lastRenderedPageBreak/>
              <w:t>STAND</w:t>
            </w:r>
          </w:p>
          <w:p w14:paraId="70A4FB11" w14:textId="77777777" w:rsidR="00C1548D" w:rsidRDefault="009B1B4B">
            <w:pPr>
              <w:spacing w:after="80" w:line="264" w:lineRule="auto"/>
            </w:pPr>
            <w:r>
              <w:rPr>
                <w:sz w:val="20"/>
                <w:szCs w:val="20"/>
              </w:rPr>
              <w:t>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canada.ca und den Websites deiner gewählten Bank.</w:t>
            </w:r>
          </w:p>
        </w:tc>
      </w:tr>
    </w:tbl>
    <w:p w14:paraId="70A4FB13" w14:textId="77777777" w:rsidR="00C1548D" w:rsidRDefault="00C1548D">
      <w:pPr>
        <w:spacing w:line="220" w:lineRule="exact"/>
      </w:pPr>
    </w:p>
    <w:p w14:paraId="70A4FB14" w14:textId="77777777" w:rsidR="00C1548D" w:rsidRDefault="009B1B4B">
      <w:pPr>
        <w:pStyle w:val="Heading2"/>
        <w:keepNext/>
        <w:pageBreakBefore/>
        <w:jc w:val="center"/>
      </w:pPr>
      <w:bookmarkStart w:id="149" w:name="tka08"/>
      <w:bookmarkStart w:id="150" w:name="_Toc241352526"/>
      <w:r>
        <w:rPr>
          <w:rFonts w:ascii="Amazon Ember" w:eastAsia="Amazon Ember" w:hAnsi="Amazon Ember" w:cs="Amazon Ember"/>
          <w:color w:val="0000FF"/>
          <w:sz w:val="36"/>
          <w:szCs w:val="36"/>
        </w:rPr>
        <w:lastRenderedPageBreak/>
        <w:t>Kanada: Das Gesundheitssystem</w:t>
      </w:r>
      <w:bookmarkEnd w:id="149"/>
      <w:bookmarkEnd w:id="150"/>
    </w:p>
    <w:p w14:paraId="70A4FB15" w14:textId="77777777" w:rsidR="00C1548D" w:rsidRDefault="009B1B4B">
      <w:pPr>
        <w:spacing w:after="140"/>
      </w:pPr>
      <w:r>
        <w:t xml:space="preserve">Wer in Deutschland aufgewachsen ist, kennt es nicht anders: Krankenversicherung ist Pflicht, greift ab dem ersten Tag, fertig. Kanada gilt in Deutschland als das Land mit der freundlichen, kostenlosen „Medicare“ für alle – ein Ruf, der bei genauerem Hinsehen eine wichtige Einschränkung verschweigt. Tatsächlich gibt es kein einziges nationales System, sondern 13 getrennte Provinz- und Territorialsysteme, und mehrere davon lassen Neuankömmlinge erst nach einer Wartefrist ohne Deckung dastehen. Dieses Kapitel </w:t>
      </w:r>
      <w:r>
        <w:t>erklärt, wie die Provinz-Krankenversicherung funktioniert, wo genau die Lücke lauert – und wie du sie überbrückst.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1D"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B16" w14:textId="77777777" w:rsidR="00C1548D" w:rsidRDefault="009B1B4B">
            <w:pPr>
              <w:keepNext/>
              <w:spacing w:after="70" w:line="240" w:lineRule="auto"/>
            </w:pPr>
            <w:r>
              <w:rPr>
                <w:b/>
                <w:bCs/>
                <w:color w:val="1F3A5F"/>
                <w:spacing w:val="24"/>
                <w:sz w:val="16"/>
                <w:szCs w:val="16"/>
              </w:rPr>
              <w:t>KURZ GESAGT</w:t>
            </w:r>
          </w:p>
          <w:p w14:paraId="70A4FB17" w14:textId="77777777" w:rsidR="00C1548D" w:rsidRDefault="009B1B4B" w:rsidP="009B1B4B">
            <w:pPr>
              <w:pStyle w:val="ListParagraph"/>
              <w:numPr>
                <w:ilvl w:val="0"/>
                <w:numId w:val="1"/>
              </w:numPr>
              <w:spacing w:after="50" w:line="264" w:lineRule="auto"/>
            </w:pPr>
            <w:r>
              <w:rPr>
                <w:sz w:val="20"/>
                <w:szCs w:val="20"/>
              </w:rPr>
              <w:t xml:space="preserve">Kanada hat kein einheitliches „Medicare“-System, sondern 13 separate Provinz- und Territorialsysteme mit dem </w:t>
            </w:r>
            <w:r>
              <w:rPr>
                <w:i/>
                <w:iCs/>
                <w:sz w:val="20"/>
                <w:szCs w:val="20"/>
              </w:rPr>
              <w:t>Canada Health Act</w:t>
            </w:r>
            <w:r>
              <w:rPr>
                <w:sz w:val="20"/>
                <w:szCs w:val="20"/>
              </w:rPr>
              <w:t xml:space="preserve"> als bundesweitem Mindeststandard.</w:t>
            </w:r>
          </w:p>
          <w:p w14:paraId="70A4FB18" w14:textId="77777777" w:rsidR="00C1548D" w:rsidRDefault="009B1B4B" w:rsidP="009B1B4B">
            <w:pPr>
              <w:pStyle w:val="ListParagraph"/>
              <w:numPr>
                <w:ilvl w:val="0"/>
                <w:numId w:val="1"/>
              </w:numPr>
              <w:spacing w:after="50" w:line="264" w:lineRule="auto"/>
            </w:pPr>
            <w:r>
              <w:rPr>
                <w:sz w:val="20"/>
                <w:szCs w:val="20"/>
              </w:rPr>
              <w:t>Ontario hat die frühere Drei-Monats-Wartefrist bereits 2020 abgeschafft: Die Deckung gilt dort ab Antragstellung.</w:t>
            </w:r>
          </w:p>
          <w:p w14:paraId="70A4FB19" w14:textId="77777777" w:rsidR="00C1548D" w:rsidRDefault="009B1B4B" w:rsidP="009B1B4B">
            <w:pPr>
              <w:pStyle w:val="ListParagraph"/>
              <w:numPr>
                <w:ilvl w:val="0"/>
                <w:numId w:val="1"/>
              </w:numPr>
              <w:spacing w:after="50" w:line="264" w:lineRule="auto"/>
            </w:pPr>
            <w:r>
              <w:rPr>
                <w:sz w:val="20"/>
                <w:szCs w:val="20"/>
              </w:rPr>
              <w:t>British Columbia und Québec verlangen weiterhin eine Wartefrist von rund drei Monaten ab Zuzug.</w:t>
            </w:r>
          </w:p>
          <w:p w14:paraId="70A4FB1A" w14:textId="77777777" w:rsidR="00C1548D" w:rsidRDefault="009B1B4B" w:rsidP="009B1B4B">
            <w:pPr>
              <w:pStyle w:val="ListParagraph"/>
              <w:numPr>
                <w:ilvl w:val="0"/>
                <w:numId w:val="1"/>
              </w:numPr>
              <w:spacing w:after="50" w:line="264" w:lineRule="auto"/>
            </w:pPr>
            <w:r>
              <w:rPr>
                <w:sz w:val="20"/>
                <w:szCs w:val="20"/>
              </w:rPr>
              <w:t>Alberta und Saskatchewan gelten laut mehreren Quellen als praktisch wartefrei, das ist aber nicht für jede Provinz einzeln amtlich bestätigt – vor dem Umzug direkt bei der Provinz nachfragen.</w:t>
            </w:r>
          </w:p>
          <w:p w14:paraId="70A4FB1B" w14:textId="77777777" w:rsidR="00C1548D" w:rsidRDefault="009B1B4B" w:rsidP="009B1B4B">
            <w:pPr>
              <w:pStyle w:val="ListParagraph"/>
              <w:numPr>
                <w:ilvl w:val="0"/>
                <w:numId w:val="1"/>
              </w:numPr>
              <w:spacing w:after="50" w:line="264" w:lineRule="auto"/>
            </w:pPr>
            <w:r>
              <w:rPr>
                <w:sz w:val="20"/>
                <w:szCs w:val="20"/>
              </w:rPr>
              <w:t>Für die Wartefrist brauchst du eine private Übergangsversicherung, meist rund 100 bis 200 CAD pro Person und Monat.</w:t>
            </w:r>
          </w:p>
          <w:p w14:paraId="70A4FB1C" w14:textId="77777777" w:rsidR="00C1548D" w:rsidRDefault="009B1B4B" w:rsidP="009B1B4B">
            <w:pPr>
              <w:pStyle w:val="ListParagraph"/>
              <w:numPr>
                <w:ilvl w:val="0"/>
                <w:numId w:val="1"/>
              </w:numPr>
              <w:spacing w:after="50" w:line="264" w:lineRule="auto"/>
            </w:pPr>
            <w:r>
              <w:rPr>
                <w:sz w:val="20"/>
                <w:szCs w:val="20"/>
              </w:rPr>
              <w:t>Selbst mit Provinz-Krankenversicherung bleiben Zahnbehandlung, verschreibungspflichtige Medikamente außerhalb der Klinik, Sehhilfen und Physiotherapie meist unversichert – dafür brauchst du eine private Zusatzversicherung.</w:t>
            </w:r>
          </w:p>
        </w:tc>
      </w:tr>
    </w:tbl>
    <w:p w14:paraId="70A4FB1E" w14:textId="77777777" w:rsidR="00C1548D" w:rsidRDefault="00C1548D">
      <w:pPr>
        <w:spacing w:line="220" w:lineRule="exact"/>
      </w:pPr>
    </w:p>
    <w:p w14:paraId="70A4FB1F" w14:textId="77777777" w:rsidR="00C1548D" w:rsidRDefault="009B1B4B">
      <w:pPr>
        <w:pStyle w:val="Heading3"/>
        <w:keepNext/>
        <w:jc w:val="center"/>
      </w:pPr>
      <w:r>
        <w:rPr>
          <w:rFonts w:ascii="Amazon Ember" w:eastAsia="Amazon Ember" w:hAnsi="Amazon Ember" w:cs="Amazon Ember"/>
          <w:color w:val="0000FF"/>
          <w:sz w:val="36"/>
          <w:szCs w:val="36"/>
        </w:rPr>
        <w:lastRenderedPageBreak/>
        <w:t>Ein System, 13 Varianten</w:t>
      </w:r>
    </w:p>
    <w:p w14:paraId="70A4FB20" w14:textId="77777777" w:rsidR="00C1548D" w:rsidRDefault="009B1B4B">
      <w:pPr>
        <w:spacing w:after="140"/>
      </w:pPr>
      <w:r>
        <w:t xml:space="preserve">Der </w:t>
      </w:r>
      <w:r>
        <w:rPr>
          <w:i/>
          <w:iCs/>
        </w:rPr>
        <w:t>Canada Health Act</w:t>
      </w:r>
      <w:r>
        <w:t xml:space="preserve"> von 1984 ist ein Rahmengesetz: Er verpflichtet jede Provinz und jedes Territorium, eine öffentliche Krankenversicherung mit bestimmten Mindeststandards anzubieten – medizinisch notwendige Arzt- und Krankenhausleistungen, allgemein zugänglich, ohne Zuzahlung an der Behandlungsstelle. Wie im Detail die einzelne Provinz das umsetzt, welche Wartefrist für Neuankömmlinge gilt und wie die Anmeldung abläuft, entscheidet sie aber selbst.</w:t>
      </w:r>
    </w:p>
    <w:p w14:paraId="70A4FB21" w14:textId="77777777" w:rsidR="00C1548D" w:rsidRDefault="009B1B4B">
      <w:pPr>
        <w:spacing w:after="140"/>
      </w:pPr>
      <w:r>
        <w:t xml:space="preserve">Verbreiteter Irrtum: Viele deutsche Auswanderer stellen sich unter „kanadischem Gesundheitssystem“ so etwas wie eine nationale Einheitskasse vor, vergleichbar mit einem zentralisierten NHS. Tatsächlich heißt das Programm in jeder Provinz anders – in Ontario etwa </w:t>
      </w:r>
      <w:r>
        <w:rPr>
          <w:i/>
          <w:iCs/>
        </w:rPr>
        <w:t>OHIP</w:t>
      </w:r>
      <w:r>
        <w:t xml:space="preserve"> (</w:t>
      </w:r>
      <w:r>
        <w:rPr>
          <w:i/>
          <w:iCs/>
        </w:rPr>
        <w:t>Ontario Health Insurance Plan</w:t>
      </w:r>
      <w:r>
        <w:t xml:space="preserve">), in British Columbia </w:t>
      </w:r>
      <w:r>
        <w:rPr>
          <w:i/>
          <w:iCs/>
        </w:rPr>
        <w:t>MSP</w:t>
      </w:r>
      <w:r>
        <w:t xml:space="preserve"> (</w:t>
      </w:r>
      <w:r>
        <w:rPr>
          <w:i/>
          <w:iCs/>
        </w:rPr>
        <w:t>Medical Services Plan</w:t>
      </w:r>
      <w:r>
        <w:t xml:space="preserve">), in Québec </w:t>
      </w:r>
      <w:r>
        <w:rPr>
          <w:i/>
          <w:iCs/>
        </w:rPr>
        <w:t>RAMQ</w:t>
      </w:r>
      <w:r>
        <w:t xml:space="preserve"> (</w:t>
      </w:r>
      <w:r>
        <w:rPr>
          <w:i/>
          <w:iCs/>
        </w:rPr>
        <w:t>Régie de l’assurance maladie du Québec</w:t>
      </w:r>
      <w:r>
        <w:t>) –, und die Regeln für Neuankömmlinge unterscheiden sich spürbar. Wer aus Ontario-Erfahrungsberichten pauschal auf ganz Kanada schließt, kann eine teure Überraschung erleben, sobald er nach British Columbia oder Québec zieht.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24"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B22" w14:textId="77777777" w:rsidR="00C1548D" w:rsidRDefault="009B1B4B">
            <w:pPr>
              <w:keepNext/>
              <w:spacing w:after="70" w:line="240" w:lineRule="auto"/>
            </w:pPr>
            <w:r>
              <w:rPr>
                <w:b/>
                <w:bCs/>
                <w:color w:val="8A6212"/>
                <w:spacing w:val="24"/>
                <w:sz w:val="16"/>
                <w:szCs w:val="16"/>
              </w:rPr>
              <w:t>MERKE</w:t>
            </w:r>
          </w:p>
          <w:p w14:paraId="70A4FB23" w14:textId="69A8E07F" w:rsidR="00C1548D" w:rsidRDefault="009B1B4B">
            <w:pPr>
              <w:spacing w:after="80" w:line="264" w:lineRule="auto"/>
            </w:pPr>
            <w:r>
              <w:rPr>
                <w:sz w:val="20"/>
                <w:szCs w:val="20"/>
              </w:rPr>
              <w:t xml:space="preserve">Die Provinz, in der du dich niederlässt, bestimmt maßgeblich, wie lange du ohne Krankenversicherungsschutz bist. Das ist bei der Wahl deines Zielorts (siehe das </w:t>
            </w:r>
            <w:hyperlink w:anchor="tka09" w:history="1">
              <w:r>
                <w:rPr>
                  <w:color w:val="0563C1"/>
                  <w:sz w:val="20"/>
                  <w:szCs w:val="20"/>
                  <w:u w:val="single"/>
                </w:rPr>
                <w:t>Kapitel zum Wohnen in diesem Teil</w:t>
              </w:r>
            </w:hyperlink>
            <w:r>
              <w:rPr>
                <w:sz w:val="20"/>
                <w:szCs w:val="20"/>
              </w:rPr>
              <w:t>) ein Faktor, den viele erst zu spät bedenken.</w:t>
            </w:r>
          </w:p>
        </w:tc>
      </w:tr>
    </w:tbl>
    <w:p w14:paraId="70A4FB25" w14:textId="77777777" w:rsidR="00C1548D" w:rsidRDefault="00C1548D">
      <w:pPr>
        <w:spacing w:line="220" w:lineRule="exact"/>
      </w:pPr>
    </w:p>
    <w:p w14:paraId="70A4FB26" w14:textId="77777777" w:rsidR="00C1548D" w:rsidRDefault="009B1B4B">
      <w:pPr>
        <w:pStyle w:val="Heading3"/>
        <w:keepNext/>
        <w:jc w:val="center"/>
      </w:pPr>
      <w:r>
        <w:rPr>
          <w:rFonts w:ascii="Amazon Ember" w:eastAsia="Amazon Ember" w:hAnsi="Amazon Ember" w:cs="Amazon Ember"/>
          <w:color w:val="0000FF"/>
          <w:sz w:val="36"/>
          <w:szCs w:val="36"/>
        </w:rPr>
        <w:t>Ontario: keine Wartefrist mehr seit 2020</w:t>
      </w:r>
    </w:p>
    <w:p w14:paraId="70A4FB27" w14:textId="77777777" w:rsidR="00C1548D" w:rsidRDefault="009B1B4B">
      <w:pPr>
        <w:spacing w:after="140"/>
      </w:pPr>
      <w:r>
        <w:t xml:space="preserve">Ontario hat seine historische Drei-Monats-Wartefrist, die seit 1994 galt, im März 2020 abgeschafft – und sie ist 2026 weiterhin außer Kraft. Wer sich bei OHIP anmeldet und die Zulassungskriterien </w:t>
      </w:r>
      <w:r>
        <w:lastRenderedPageBreak/>
        <w:t>erfüllt, ist ab dem Tag der Antragstellung versichert, auch wenn die physische Gesundheitskarte erst nach vier bis sechs Wochen im Briefkasten liegt. Bis dahin gilt die Anmeldebestätigung als Nachweis.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2A"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B28" w14:textId="77777777" w:rsidR="00C1548D" w:rsidRDefault="009B1B4B">
            <w:pPr>
              <w:keepNext/>
              <w:spacing w:after="70" w:line="240" w:lineRule="auto"/>
            </w:pPr>
            <w:r>
              <w:rPr>
                <w:b/>
                <w:bCs/>
                <w:color w:val="4A5568"/>
                <w:spacing w:val="24"/>
                <w:sz w:val="16"/>
                <w:szCs w:val="16"/>
              </w:rPr>
              <w:t>PRAXISBEISPIEL · FIKTIV</w:t>
            </w:r>
          </w:p>
          <w:p w14:paraId="70A4FB29" w14:textId="77777777" w:rsidR="00C1548D" w:rsidRDefault="009B1B4B">
            <w:pPr>
              <w:spacing w:after="80" w:line="264" w:lineRule="auto"/>
            </w:pPr>
            <w:r>
              <w:rPr>
                <w:sz w:val="20"/>
                <w:szCs w:val="20"/>
              </w:rPr>
              <w:t>Familie Ahrens zieht über Express Entry mit hohem CRS-Score nach Toronto. Vor der Abreise aus Leipzig hatte Julia, von Beruf Apothekerin, aus Erzählungen von Bekannten in Vancouver eine dreimonatige Deckungslücke einkalkuliert und bereits nach einer teuren privaten Übergangsversicherung für die ganze Familie gesucht. In der ersten Woche in Toronto stellt sich beim OHIP-Antrag heraus, dass diese Sorge unbegründet war: Ontario schützt ab dem Tag der Antragstellung, die Wartefrist gibt es seit 2020 schlicht ni</w:t>
            </w:r>
            <w:r>
              <w:rPr>
                <w:sz w:val="20"/>
                <w:szCs w:val="20"/>
              </w:rPr>
              <w:t>cht mehr. Finn und Mia sind bei ihrem ersten Kinderarztbesuch bereits regulär versichert, ohne dass die Familie einen einzigen Dollar für eine Übergangspolice ausgegeben hat.</w:t>
            </w:r>
          </w:p>
        </w:tc>
      </w:tr>
    </w:tbl>
    <w:p w14:paraId="70A4FB2B" w14:textId="77777777" w:rsidR="00C1548D" w:rsidRDefault="00C1548D">
      <w:pPr>
        <w:spacing w:line="220" w:lineRule="exact"/>
      </w:pPr>
    </w:p>
    <w:p w14:paraId="70A4FB2C" w14:textId="77777777" w:rsidR="00C1548D" w:rsidRDefault="009B1B4B">
      <w:pPr>
        <w:spacing w:after="140"/>
      </w:pPr>
      <w:r>
        <w:t>Die praktische Bearbeitungsdauer bis zur Kartenzustellung liegt bei etwa vier bis sechs Wochen; melde dich trotzdem so früh wie möglich an, damit die Deckung selbst keinen Tag Verzögerung hat.</w:t>
      </w:r>
    </w:p>
    <w:p w14:paraId="70A4FB2D" w14:textId="77777777" w:rsidR="00C1548D" w:rsidRDefault="009B1B4B">
      <w:pPr>
        <w:pStyle w:val="Heading3"/>
        <w:keepNext/>
        <w:jc w:val="center"/>
      </w:pPr>
      <w:r>
        <w:rPr>
          <w:rFonts w:ascii="Amazon Ember" w:eastAsia="Amazon Ember" w:hAnsi="Amazon Ember" w:cs="Amazon Ember"/>
          <w:color w:val="0000FF"/>
          <w:sz w:val="36"/>
          <w:szCs w:val="36"/>
        </w:rPr>
        <w:t>British Columbia und Québec: drei Monate ohne Deckung</w:t>
      </w:r>
    </w:p>
    <w:p w14:paraId="70A4FB2E" w14:textId="77777777" w:rsidR="00C1548D" w:rsidRDefault="009B1B4B">
      <w:pPr>
        <w:spacing w:after="140"/>
      </w:pPr>
      <w:r>
        <w:t>British Columbia hält an der Drei-Monats-Wartefrist fest – sie umfasst den Rest des Ankunftsmonats plus zwei weitere volle Kalendermonate. Wer am 10. eines Monats einreist, ist also erst ab dem Ersten des übernächsten Folgemonats über den MSP versichert. Immerhin ist der MSP seit dem 1. Januar 2020 beitragsfrei – die Wartefrist bleibt trotzdem bestehen, unabhängig von dieser Entlastung.</w:t>
      </w:r>
    </w:p>
    <w:p w14:paraId="70A4FB2F" w14:textId="77777777" w:rsidR="00C1548D" w:rsidRDefault="009B1B4B">
      <w:pPr>
        <w:spacing w:after="140"/>
      </w:pPr>
      <w:r>
        <w:t xml:space="preserve">Québec verlangt über den RAMQ nach vorliegenden Quellen ebenfalls rund drei Monate Wartefrist für Neuankömmlinge; eine einzelne, direkt bei der Provinzbehörde geprüfte Primärquelle liegt </w:t>
      </w:r>
      <w:r>
        <w:lastRenderedPageBreak/>
        <w:t>dafür nicht vor, weshalb du die genaue Regel vor dem Umzug direkt bei der RAMQ bestätigen solltest.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3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B30" w14:textId="77777777" w:rsidR="00C1548D" w:rsidRDefault="009B1B4B">
            <w:pPr>
              <w:keepNext/>
              <w:spacing w:after="70" w:line="240" w:lineRule="auto"/>
            </w:pPr>
            <w:r>
              <w:rPr>
                <w:b/>
                <w:bCs/>
                <w:color w:val="9B2C2C"/>
                <w:spacing w:val="24"/>
                <w:sz w:val="16"/>
                <w:szCs w:val="16"/>
              </w:rPr>
              <w:t>ACHTUNG</w:t>
            </w:r>
          </w:p>
          <w:p w14:paraId="70A4FB31" w14:textId="77777777" w:rsidR="00C1548D" w:rsidRDefault="009B1B4B">
            <w:pPr>
              <w:spacing w:after="80" w:line="264" w:lineRule="auto"/>
            </w:pPr>
            <w:r>
              <w:rPr>
                <w:sz w:val="20"/>
                <w:szCs w:val="20"/>
              </w:rPr>
              <w:t>Stelle den MSP- oder RAMQ-Antrag sofort nach der Ankunft, auch wenn die Wartefrist ohnehin läuft. Die Bearbeitung braucht Zeit, und ein verspäteter Antrag verlängert die faktische Lücke zusätzlich, statt sie nur auf dem Papier zu verkürzen.</w:t>
            </w:r>
          </w:p>
        </w:tc>
      </w:tr>
    </w:tbl>
    <w:p w14:paraId="70A4FB33" w14:textId="77777777" w:rsidR="00C1548D" w:rsidRDefault="00C1548D">
      <w:pPr>
        <w:spacing w:line="220" w:lineRule="exact"/>
      </w:pPr>
    </w:p>
    <w:p w14:paraId="70A4FB34" w14:textId="77777777" w:rsidR="00C1548D" w:rsidRDefault="009B1B4B">
      <w:pPr>
        <w:pStyle w:val="Heading3"/>
        <w:keepNext/>
        <w:jc w:val="center"/>
      </w:pPr>
      <w:r>
        <w:rPr>
          <w:rFonts w:ascii="Amazon Ember" w:eastAsia="Amazon Ember" w:hAnsi="Amazon Ember" w:cs="Amazon Ember"/>
          <w:color w:val="0000FF"/>
          <w:sz w:val="36"/>
          <w:szCs w:val="36"/>
        </w:rPr>
        <w:t>Alberta und Saskatchewan: praktisch keine Wartefrist</w:t>
      </w:r>
    </w:p>
    <w:p w14:paraId="70A4FB35" w14:textId="77777777" w:rsidR="00C1548D" w:rsidRDefault="009B1B4B">
      <w:pPr>
        <w:spacing w:after="140"/>
      </w:pPr>
      <w:r>
        <w:t>Für Alberta und Saskatchewan berichten mehrere unabhängige Quellen übereinstimmend von keiner oder so gut wie keiner Wartefrist – solltest du also in eine dieser beiden Provinzen ziehen, greift der Versicherungsschutz in der Regel ohne die in British Columbia oder Québec übliche Lücke. Für einzelne Provinzen liegt dafür allerdings keine direkt geprüfte Primärquelle vor; bestätige den genauen Stand deshalb kurz vor dem Umzug beim zuständigen Provinzministerium.</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38"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B36" w14:textId="77777777" w:rsidR="00C1548D" w:rsidRDefault="009B1B4B">
            <w:pPr>
              <w:keepNext/>
              <w:spacing w:after="70" w:line="240" w:lineRule="auto"/>
            </w:pPr>
            <w:r>
              <w:rPr>
                <w:b/>
                <w:bCs/>
                <w:color w:val="4A5568"/>
                <w:spacing w:val="24"/>
                <w:sz w:val="16"/>
                <w:szCs w:val="16"/>
              </w:rPr>
              <w:t>PRAXISBEISPIEL · FIKTIV</w:t>
            </w:r>
          </w:p>
          <w:p w14:paraId="70A4FB37" w14:textId="77777777" w:rsidR="00C1548D" w:rsidRDefault="009B1B4B">
            <w:pPr>
              <w:spacing w:after="80" w:line="264" w:lineRule="auto"/>
            </w:pPr>
            <w:r>
              <w:rPr>
                <w:sz w:val="20"/>
                <w:szCs w:val="20"/>
              </w:rPr>
              <w:t xml:space="preserve">Lukas Berger zieht mit einem LMIA-pflichtigen Work Permit als Öl- und Gasingenieur nach Calgary, Alberta. Auf Empfehlung eines Kollegen hatte er sich vorsorglich schon auf eine mehrmonatige Übergangsversicherung eingestellt – die Erfahrungen seiner Bekannten in British Columbia hatten ihn entsprechend vorsichtig gemacht. Beim Antrag stellt sich heraus, dass Alberta ohne nennenswerte Wartefrist arbeitet; die Alberta Health Care Insurance Plan-Karte greift fast unmittelbar nach der Anmeldung. Lukas storniert </w:t>
            </w:r>
            <w:r>
              <w:rPr>
                <w:sz w:val="20"/>
                <w:szCs w:val="20"/>
              </w:rPr>
              <w:t>die bereits fast abgeschlossene private Zwischenpolice wieder – ein Anruf, den er gerne führt.</w:t>
            </w:r>
          </w:p>
        </w:tc>
      </w:tr>
    </w:tbl>
    <w:p w14:paraId="70A4FB39" w14:textId="77777777" w:rsidR="00C1548D" w:rsidRDefault="00C1548D">
      <w:pPr>
        <w:spacing w:line="220" w:lineRule="exact"/>
      </w:pPr>
    </w:p>
    <w:p w14:paraId="70A4FB3A"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die Lücke für Neuankömmlinge bedeutet</w:t>
      </w:r>
    </w:p>
    <w:p w14:paraId="70A4FB3B" w14:textId="77777777" w:rsidR="00C1548D" w:rsidRDefault="009B1B4B">
      <w:pPr>
        <w:spacing w:after="140"/>
      </w:pPr>
      <w:r>
        <w:t>Wer in einer Provinz mit Wartefrist ankommt und keine Übergangsversicherung hat, trägt jede Behandlung in dieser Zeit vollständig selbst –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w:t>
      </w:r>
      <w:r>
        <w:t>rsten Monaten nicht krank zu werden oder zu stürzen – eine Wette, die sich nicht jeder bewusst eingeht, aber viele unbewusst eingehen.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3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B3C" w14:textId="77777777" w:rsidR="00C1548D" w:rsidRDefault="009B1B4B">
            <w:pPr>
              <w:keepNext/>
              <w:spacing w:after="70" w:line="240" w:lineRule="auto"/>
            </w:pPr>
            <w:r>
              <w:rPr>
                <w:b/>
                <w:bCs/>
                <w:color w:val="9B2C2C"/>
                <w:spacing w:val="24"/>
                <w:sz w:val="16"/>
                <w:szCs w:val="16"/>
              </w:rPr>
              <w:t>ACHTUNG</w:t>
            </w:r>
          </w:p>
          <w:p w14:paraId="70A4FB3D" w14:textId="77777777" w:rsidR="00C1548D" w:rsidRDefault="009B1B4B">
            <w:pPr>
              <w:spacing w:after="80" w:line="264" w:lineRule="auto"/>
            </w:pPr>
            <w:r>
              <w:rPr>
                <w:sz w:val="20"/>
                <w:szCs w:val="20"/>
              </w:rPr>
              <w:t>Auch scheinbar kleine Ereignisse – ein gebrochener Finger beim Umzugskisten-Tragen, eine Mittelohrentzündung bei Kindern – lösen ohne Versicherung volle Rechnungen aus. Plane die Wartefrist aktiv ein, statt sie zu verdrängen.</w:t>
            </w:r>
          </w:p>
        </w:tc>
      </w:tr>
    </w:tbl>
    <w:p w14:paraId="70A4FB3F" w14:textId="77777777" w:rsidR="00C1548D" w:rsidRDefault="00C1548D">
      <w:pPr>
        <w:spacing w:line="220" w:lineRule="exact"/>
      </w:pPr>
    </w:p>
    <w:p w14:paraId="70A4FB40" w14:textId="77777777" w:rsidR="00C1548D" w:rsidRDefault="009B1B4B">
      <w:pPr>
        <w:pStyle w:val="Heading3"/>
        <w:keepNext/>
        <w:jc w:val="center"/>
      </w:pPr>
      <w:r>
        <w:rPr>
          <w:rFonts w:ascii="Amazon Ember" w:eastAsia="Amazon Ember" w:hAnsi="Amazon Ember" w:cs="Amazon Ember"/>
          <w:color w:val="0000FF"/>
          <w:sz w:val="36"/>
          <w:szCs w:val="36"/>
        </w:rPr>
        <w:t>Private Übergangsversicherung überbrücken</w:t>
      </w:r>
    </w:p>
    <w:p w14:paraId="70A4FB41" w14:textId="77777777" w:rsidR="00C1548D" w:rsidRDefault="009B1B4B">
      <w:pPr>
        <w:spacing w:after="140"/>
      </w:pPr>
      <w:r>
        <w:t>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genauen 2026er-Tarife solltest du direkt beim Versicherer vor der B</w:t>
      </w:r>
      <w:r>
        <w:t>uchung abfragen, da sie sich häufig ändern.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44"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B42" w14:textId="77777777" w:rsidR="00C1548D" w:rsidRDefault="009B1B4B">
            <w:pPr>
              <w:keepNext/>
              <w:spacing w:after="70" w:line="240" w:lineRule="auto"/>
            </w:pPr>
            <w:r>
              <w:rPr>
                <w:b/>
                <w:bCs/>
                <w:color w:val="2F6B3B"/>
                <w:spacing w:val="24"/>
                <w:sz w:val="16"/>
                <w:szCs w:val="16"/>
              </w:rPr>
              <w:lastRenderedPageBreak/>
              <w:t>SPARTIPP</w:t>
            </w:r>
          </w:p>
          <w:p w14:paraId="70A4FB43" w14:textId="77777777" w:rsidR="00C1548D" w:rsidRDefault="009B1B4B">
            <w:pPr>
              <w:spacing w:after="80" w:line="264" w:lineRule="auto"/>
            </w:pPr>
            <w:r>
              <w:rPr>
                <w:sz w:val="20"/>
                <w:szCs w:val="20"/>
              </w:rPr>
              <w:t>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tc>
      </w:tr>
    </w:tbl>
    <w:p w14:paraId="70A4FB45" w14:textId="77777777" w:rsidR="00C1548D" w:rsidRDefault="00C1548D">
      <w:pPr>
        <w:spacing w:line="220" w:lineRule="exact"/>
      </w:pPr>
    </w:p>
    <w:p w14:paraId="70A4FB46" w14:textId="77777777" w:rsidR="00C1548D" w:rsidRDefault="009B1B4B">
      <w:pPr>
        <w:pStyle w:val="Heading3"/>
        <w:keepNext/>
        <w:jc w:val="center"/>
      </w:pPr>
      <w:r>
        <w:rPr>
          <w:rFonts w:ascii="Amazon Ember" w:eastAsia="Amazon Ember" w:hAnsi="Amazon Ember" w:cs="Amazon Ember"/>
          <w:color w:val="0000FF"/>
          <w:sz w:val="36"/>
          <w:szCs w:val="36"/>
        </w:rPr>
        <w:t>Anmeldung: was du mitbringst</w:t>
      </w:r>
    </w:p>
    <w:p w14:paraId="70A4FB47" w14:textId="794F2A00" w:rsidR="00C1548D" w:rsidRDefault="009B1B4B">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history="1">
        <w:r>
          <w:rPr>
            <w:color w:val="0563C1"/>
            <w:u w:val="single"/>
          </w:rPr>
          <w:t>Kapitel zu SIN, Steuern, Bank und Kredit in diesem Teil</w:t>
        </w:r>
      </w:hyperlink>
      <w:r>
        <w:t>). Melde neben dir selbst auch Partner und Kinder gleich mit an; Kinder laufen in den meisten Provinzen über denselben Familieneintrag wie die Eltern.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4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B48" w14:textId="77777777" w:rsidR="00C1548D" w:rsidRDefault="009B1B4B">
            <w:pPr>
              <w:keepNext/>
              <w:spacing w:after="70" w:line="240" w:lineRule="auto"/>
            </w:pPr>
            <w:r>
              <w:rPr>
                <w:b/>
                <w:bCs/>
                <w:color w:val="8A6212"/>
                <w:spacing w:val="24"/>
                <w:sz w:val="16"/>
                <w:szCs w:val="16"/>
              </w:rPr>
              <w:t>MERKE</w:t>
            </w:r>
          </w:p>
          <w:p w14:paraId="70A4FB49" w14:textId="77777777" w:rsidR="00C1548D" w:rsidRDefault="009B1B4B">
            <w:pPr>
              <w:spacing w:after="80" w:line="264" w:lineRule="auto"/>
            </w:pPr>
            <w:r>
              <w:rPr>
                <w:sz w:val="20"/>
                <w:szCs w:val="20"/>
              </w:rPr>
              <w:t>Beantrage die Provinz-Krankenversicherung in deiner ersten Woche, unabhängig davon, ob eine Wartefrist gilt oder nicht. In Ontario beginnt die Deckung ab Antragstellung – jeder Tag Verzögerung beim Antrag ist ein Tag ohne Schutz, obwohl er vermeidbar gewesen wäre. In British Columbia und Québec läuft die Wartefrist ohnehin, verkürzt sich aber nicht durch Zuwarten.</w:t>
            </w:r>
          </w:p>
        </w:tc>
      </w:tr>
    </w:tbl>
    <w:p w14:paraId="70A4FB4B" w14:textId="77777777" w:rsidR="00C1548D" w:rsidRDefault="00C1548D">
      <w:pPr>
        <w:spacing w:line="220" w:lineRule="exact"/>
      </w:pPr>
    </w:p>
    <w:p w14:paraId="70A4FB4C" w14:textId="77777777" w:rsidR="00C1548D" w:rsidRDefault="009B1B4B">
      <w:pPr>
        <w:pStyle w:val="Heading3"/>
        <w:keepNext/>
        <w:jc w:val="center"/>
      </w:pPr>
      <w:r>
        <w:rPr>
          <w:rFonts w:ascii="Amazon Ember" w:eastAsia="Amazon Ember" w:hAnsi="Amazon Ember" w:cs="Amazon Ember"/>
          <w:color w:val="0000FF"/>
          <w:sz w:val="36"/>
          <w:szCs w:val="36"/>
        </w:rPr>
        <w:t>Vergleich: GKV und Provinz-Krankenversicherung</w:t>
      </w:r>
    </w:p>
    <w:p w14:paraId="70A4FB4D" w14:textId="77777777" w:rsidR="00C1548D" w:rsidRDefault="009B1B4B">
      <w:pPr>
        <w:spacing w:after="140"/>
      </w:pPr>
      <w:r>
        <w:t>Ein direkter Vergleich hinkt, weil die beiden Systeme unterschiedlich finanziert sind – hilft aber trotzdem, die größten Unterschiede einzuordnen: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0"/>
        <w:gridCol w:w="2685"/>
        <w:gridCol w:w="2685"/>
      </w:tblGrid>
      <w:tr w:rsidR="00C1548D" w14:paraId="70A4FB51" w14:textId="77777777">
        <w:tblPrEx>
          <w:tblCellMar>
            <w:top w:w="0" w:type="dxa"/>
            <w:bottom w:w="0" w:type="dxa"/>
          </w:tblCellMar>
        </w:tblPrEx>
        <w:trPr>
          <w:cantSplit/>
          <w:tblHeader/>
        </w:trPr>
        <w:tc>
          <w:tcPr>
            <w:tcW w:w="11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B4E" w14:textId="77777777" w:rsidR="00C1548D" w:rsidRDefault="009B1B4B">
            <w:pPr>
              <w:spacing w:line="250" w:lineRule="auto"/>
            </w:pPr>
            <w:r>
              <w:rPr>
                <w:b/>
                <w:bCs/>
                <w:sz w:val="18"/>
                <w:szCs w:val="18"/>
              </w:rPr>
              <w:lastRenderedPageBreak/>
              <w:t>Kriterium</w:t>
            </w:r>
          </w:p>
        </w:tc>
        <w:tc>
          <w:tcPr>
            <w:tcW w:w="26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B4F" w14:textId="77777777" w:rsidR="00C1548D" w:rsidRDefault="009B1B4B">
            <w:pPr>
              <w:spacing w:line="250" w:lineRule="auto"/>
            </w:pPr>
            <w:r>
              <w:rPr>
                <w:b/>
                <w:bCs/>
                <w:sz w:val="18"/>
                <w:szCs w:val="18"/>
              </w:rPr>
              <w:t>GKV (Deutschland)</w:t>
            </w:r>
          </w:p>
        </w:tc>
        <w:tc>
          <w:tcPr>
            <w:tcW w:w="26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B50" w14:textId="77777777" w:rsidR="00C1548D" w:rsidRDefault="009B1B4B">
            <w:pPr>
              <w:spacing w:line="250" w:lineRule="auto"/>
            </w:pPr>
            <w:r>
              <w:rPr>
                <w:b/>
                <w:bCs/>
                <w:sz w:val="18"/>
                <w:szCs w:val="18"/>
              </w:rPr>
              <w:t>Provinz-Krankenversicherung (Kanada)</w:t>
            </w:r>
          </w:p>
        </w:tc>
      </w:tr>
      <w:tr w:rsidR="00C1548D" w14:paraId="70A4FB55" w14:textId="77777777">
        <w:tblPrEx>
          <w:tblCellMar>
            <w:top w:w="0" w:type="dxa"/>
            <w:bottom w:w="0" w:type="dxa"/>
          </w:tblCellMar>
        </w:tblPrEx>
        <w:trPr>
          <w:cantSplit/>
        </w:trPr>
        <w:tc>
          <w:tcPr>
            <w:tcW w:w="11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52" w14:textId="77777777" w:rsidR="00C1548D" w:rsidRDefault="009B1B4B">
            <w:pPr>
              <w:spacing w:line="250" w:lineRule="auto"/>
            </w:pPr>
            <w:r>
              <w:rPr>
                <w:sz w:val="18"/>
                <w:szCs w:val="18"/>
              </w:rPr>
              <w:t>Finanzierung</w:t>
            </w:r>
          </w:p>
        </w:tc>
        <w:tc>
          <w:tcPr>
            <w:tcW w:w="2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53" w14:textId="77777777" w:rsidR="00C1548D" w:rsidRDefault="009B1B4B">
            <w:pPr>
              <w:spacing w:line="250" w:lineRule="auto"/>
            </w:pPr>
            <w:r>
              <w:rPr>
                <w:sz w:val="18"/>
                <w:szCs w:val="18"/>
              </w:rPr>
              <w:t>Beitrag vom Bruttolohn, je zur Hälfte Arbeitnehmer und Arbeitgeber</w:t>
            </w:r>
          </w:p>
        </w:tc>
        <w:tc>
          <w:tcPr>
            <w:tcW w:w="2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54" w14:textId="77777777" w:rsidR="00C1548D" w:rsidRDefault="009B1B4B">
            <w:pPr>
              <w:spacing w:line="250" w:lineRule="auto"/>
            </w:pPr>
            <w:r>
              <w:rPr>
                <w:sz w:val="18"/>
                <w:szCs w:val="18"/>
              </w:rPr>
              <w:t>allgemeine Steuermittel der Provinz, keine laufende Monatsprämie (British Columbia erhob sie bis 2020, seither ebenfalls beitragsfrei)</w:t>
            </w:r>
          </w:p>
        </w:tc>
      </w:tr>
      <w:tr w:rsidR="00C1548D" w14:paraId="70A4FB59" w14:textId="77777777">
        <w:tblPrEx>
          <w:tblCellMar>
            <w:top w:w="0" w:type="dxa"/>
            <w:bottom w:w="0" w:type="dxa"/>
          </w:tblCellMar>
        </w:tblPrEx>
        <w:trPr>
          <w:cantSplit/>
        </w:trPr>
        <w:tc>
          <w:tcPr>
            <w:tcW w:w="11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56" w14:textId="77777777" w:rsidR="00C1548D" w:rsidRDefault="009B1B4B">
            <w:pPr>
              <w:spacing w:line="250" w:lineRule="auto"/>
            </w:pPr>
            <w:r>
              <w:rPr>
                <w:sz w:val="18"/>
                <w:szCs w:val="18"/>
              </w:rPr>
              <w:t>Beginn der Deckung</w:t>
            </w:r>
          </w:p>
        </w:tc>
        <w:tc>
          <w:tcPr>
            <w:tcW w:w="2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57" w14:textId="77777777" w:rsidR="00C1548D" w:rsidRDefault="009B1B4B">
            <w:pPr>
              <w:spacing w:line="250" w:lineRule="auto"/>
            </w:pPr>
            <w:r>
              <w:rPr>
                <w:sz w:val="18"/>
                <w:szCs w:val="18"/>
              </w:rPr>
              <w:t>praktisch ab Beschäftigungsbeginn beziehungsweise Anmeldung</w:t>
            </w:r>
          </w:p>
        </w:tc>
        <w:tc>
          <w:tcPr>
            <w:tcW w:w="2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58" w14:textId="77777777" w:rsidR="00C1548D" w:rsidRDefault="009B1B4B">
            <w:pPr>
              <w:spacing w:line="250" w:lineRule="auto"/>
            </w:pPr>
            <w:r>
              <w:rPr>
                <w:sz w:val="18"/>
                <w:szCs w:val="18"/>
              </w:rPr>
              <w:t>Ontario: ab Antragstellung; British Columbia und Québec: erst nach rund drei Monaten Wartefrist</w:t>
            </w:r>
          </w:p>
        </w:tc>
      </w:tr>
      <w:tr w:rsidR="00C1548D" w14:paraId="70A4FB5D" w14:textId="77777777">
        <w:tblPrEx>
          <w:tblCellMar>
            <w:top w:w="0" w:type="dxa"/>
            <w:bottom w:w="0" w:type="dxa"/>
          </w:tblCellMar>
        </w:tblPrEx>
        <w:trPr>
          <w:cantSplit/>
        </w:trPr>
        <w:tc>
          <w:tcPr>
            <w:tcW w:w="11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5A" w14:textId="77777777" w:rsidR="00C1548D" w:rsidRDefault="009B1B4B">
            <w:pPr>
              <w:spacing w:line="250" w:lineRule="auto"/>
            </w:pPr>
            <w:r>
              <w:rPr>
                <w:sz w:val="18"/>
                <w:szCs w:val="18"/>
              </w:rPr>
              <w:t>Hausarztwahl</w:t>
            </w:r>
          </w:p>
        </w:tc>
        <w:tc>
          <w:tcPr>
            <w:tcW w:w="2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5B" w14:textId="77777777" w:rsidR="00C1548D" w:rsidRDefault="009B1B4B">
            <w:pPr>
              <w:spacing w:line="250" w:lineRule="auto"/>
            </w:pPr>
            <w:r>
              <w:rPr>
                <w:sz w:val="18"/>
                <w:szCs w:val="18"/>
              </w:rPr>
              <w:t>freie Wahl unter allen Kassenärzten</w:t>
            </w:r>
          </w:p>
        </w:tc>
        <w:tc>
          <w:tcPr>
            <w:tcW w:w="2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5C" w14:textId="77777777" w:rsidR="00C1548D" w:rsidRDefault="009B1B4B">
            <w:pPr>
              <w:spacing w:line="250" w:lineRule="auto"/>
            </w:pPr>
            <w:r>
              <w:rPr>
                <w:sz w:val="18"/>
                <w:szCs w:val="18"/>
              </w:rPr>
              <w:t>grundsätzlich freie Wahl, in der Praxis aber vielerorts Mangel an aufnahmefähigen Hausärzten</w:t>
            </w:r>
          </w:p>
        </w:tc>
      </w:tr>
      <w:tr w:rsidR="00C1548D" w14:paraId="70A4FB61" w14:textId="77777777">
        <w:tblPrEx>
          <w:tblCellMar>
            <w:top w:w="0" w:type="dxa"/>
            <w:bottom w:w="0" w:type="dxa"/>
          </w:tblCellMar>
        </w:tblPrEx>
        <w:trPr>
          <w:cantSplit/>
        </w:trPr>
        <w:tc>
          <w:tcPr>
            <w:tcW w:w="11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5E" w14:textId="77777777" w:rsidR="00C1548D" w:rsidRDefault="009B1B4B">
            <w:pPr>
              <w:spacing w:line="250" w:lineRule="auto"/>
            </w:pPr>
            <w:r>
              <w:rPr>
                <w:sz w:val="18"/>
                <w:szCs w:val="18"/>
              </w:rPr>
              <w:t>Nicht enthaltene Leistungen</w:t>
            </w:r>
          </w:p>
        </w:tc>
        <w:tc>
          <w:tcPr>
            <w:tcW w:w="2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5F" w14:textId="77777777" w:rsidR="00C1548D" w:rsidRDefault="009B1B4B">
            <w:pPr>
              <w:spacing w:line="250" w:lineRule="auto"/>
            </w:pPr>
            <w:r>
              <w:rPr>
                <w:sz w:val="18"/>
                <w:szCs w:val="18"/>
              </w:rPr>
              <w:t>vergleichsweise wenige, je nach Kasse teils Zusatzleistungen</w:t>
            </w:r>
          </w:p>
        </w:tc>
        <w:tc>
          <w:tcPr>
            <w:tcW w:w="2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60" w14:textId="77777777" w:rsidR="00C1548D" w:rsidRDefault="009B1B4B">
            <w:pPr>
              <w:spacing w:line="250" w:lineRule="auto"/>
            </w:pPr>
            <w:r>
              <w:rPr>
                <w:sz w:val="18"/>
                <w:szCs w:val="18"/>
              </w:rPr>
              <w:t>Zahn, Medikamente außerhalb der Klinik, Sehhilfen, Physiotherapie, Krankentransport</w:t>
            </w:r>
          </w:p>
        </w:tc>
      </w:tr>
    </w:tbl>
    <w:p w14:paraId="70A4FB62" w14:textId="77777777" w:rsidR="00C1548D" w:rsidRDefault="00C1548D">
      <w:pPr>
        <w:spacing w:line="180" w:lineRule="exact"/>
      </w:pPr>
    </w:p>
    <w:p w14:paraId="70A4FB63" w14:textId="77777777" w:rsidR="00C1548D" w:rsidRDefault="009B1B4B">
      <w:pPr>
        <w:spacing w:after="140"/>
      </w:pPr>
      <w:r>
        <w:t>Der auffälligste Unterschied für Neuankömmlinge ist selten die Leistung selbst, sondern der Zeitpunkt, ab dem sie greift – und genau darauf zielt dieses Kapitel.</w:t>
      </w:r>
    </w:p>
    <w:p w14:paraId="70A4FB64" w14:textId="77777777" w:rsidR="00C1548D" w:rsidRDefault="009B1B4B">
      <w:pPr>
        <w:pStyle w:val="Heading3"/>
        <w:keepNext/>
        <w:jc w:val="center"/>
      </w:pPr>
      <w:r>
        <w:rPr>
          <w:rFonts w:ascii="Amazon Ember" w:eastAsia="Amazon Ember" w:hAnsi="Amazon Ember" w:cs="Amazon Ember"/>
          <w:color w:val="0000FF"/>
          <w:sz w:val="36"/>
          <w:szCs w:val="36"/>
        </w:rPr>
        <w:t>Alltag mit der Provinz-Karte: Hausarzt, Walk-in-Klinik, Notaufnahme</w:t>
      </w:r>
    </w:p>
    <w:p w14:paraId="70A4FB65" w14:textId="77777777" w:rsidR="00C1548D" w:rsidRDefault="009B1B4B">
      <w:pPr>
        <w:spacing w:after="140"/>
      </w:pPr>
      <w:r>
        <w:t>Ist die Provinz-Krankenversicherung einmal aktiv, unterscheidet sich der Praxisalltag spürbar von Deutschland. Ein fester Hausarzt (</w:t>
      </w:r>
      <w:r>
        <w:rPr>
          <w:i/>
          <w:iCs/>
        </w:rPr>
        <w:t>Family Doctor</w:t>
      </w:r>
      <w:r>
        <w:t xml:space="preserve">) ist in Kanada keine Selbstverständlichkeit: In vielen Regionen sind Praxen bereits ausgelastet und führen Wartelisten für neue Patienten, die sich über Monate ziehen können. Bis sich ein fester Hausarzt findet, weichen viele Neuankömmlinge auf eine </w:t>
      </w:r>
      <w:r>
        <w:rPr>
          <w:i/>
          <w:iCs/>
        </w:rPr>
        <w:t>Walk-in-Klinik</w:t>
      </w:r>
      <w:r>
        <w:t xml:space="preserve"> (Klinik ohne Terminvereinbarung, meist mit längeren Wartezeiten im Wartezimmer statt vorab) aus, die über die Provinz-Karte abrechnet, ohne dass eine feste Anmeldung nötig wäre.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68"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B66" w14:textId="77777777" w:rsidR="00C1548D" w:rsidRDefault="009B1B4B">
            <w:pPr>
              <w:keepNext/>
              <w:spacing w:after="70" w:line="240" w:lineRule="auto"/>
            </w:pPr>
            <w:r>
              <w:rPr>
                <w:b/>
                <w:bCs/>
                <w:color w:val="2F6B3B"/>
                <w:spacing w:val="24"/>
                <w:sz w:val="16"/>
                <w:szCs w:val="16"/>
              </w:rPr>
              <w:lastRenderedPageBreak/>
              <w:t>SPARTIPP</w:t>
            </w:r>
          </w:p>
          <w:p w14:paraId="70A4FB67" w14:textId="77777777" w:rsidR="00C1548D" w:rsidRDefault="009B1B4B">
            <w:pPr>
              <w:spacing w:after="80" w:line="264" w:lineRule="auto"/>
            </w:pPr>
            <w:r>
              <w:rPr>
                <w:sz w:val="20"/>
                <w:szCs w:val="20"/>
              </w:rPr>
              <w:t>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tc>
      </w:tr>
    </w:tbl>
    <w:p w14:paraId="70A4FB69" w14:textId="77777777" w:rsidR="00C1548D" w:rsidRDefault="00C1548D">
      <w:pPr>
        <w:spacing w:line="220" w:lineRule="exact"/>
      </w:pPr>
    </w:p>
    <w:p w14:paraId="70A4FB6A" w14:textId="77777777" w:rsidR="00C1548D" w:rsidRDefault="009B1B4B">
      <w:pPr>
        <w:spacing w:after="140"/>
      </w:pPr>
      <w:r>
        <w:t>Für nicht dringende medizinische Fragen bieten mehrere Provinzen eine telefonische Gesundheitsberatung an, häufig unter der Nummer 811 erreichbar; das genaue Angebot unterscheidet sich je Provinz. Für Fachärzte ist in der Regel weiterhin eine Überweisung vom Hausarzt nötig, ähnlich wie in Deutschland – planbare, nicht dringende Eingriffe können je nach Provinz und Fachrichtung länger dauern, als du es von zu Hause gewohnt bist. Konkrete Wartezeiten unterscheiden sich stark zwischen Provinzen und Fachrichtun</w:t>
      </w:r>
      <w:r>
        <w:t>gen und ändern sich laufend; aktuelle Werte erfährst du am besten direkt bei deinem Hausarzt oder der Gesundheitsbehörde deiner Provinz.</w:t>
      </w:r>
    </w:p>
    <w:p w14:paraId="70A4FB6B" w14:textId="77777777" w:rsidR="00C1548D" w:rsidRDefault="009B1B4B">
      <w:pPr>
        <w:spacing w:after="140"/>
      </w:pPr>
      <w:r>
        <w:t>Bei echten Notfällen gilt landesweit der Notruf 911, der Feuerwehr, Polizei und Rettungsdienst gleichermaßen erreicht. Öffentliche Notaufnahmen behandeln unabhängig vom Versicherungsstatus; mit gültiger Provinz-Karte fällt für die eigentliche Notfallbehandlung meist keine Rechnung an, während der Krankentransport selbst, wie oben beschrieben, häufig gesondert in Rechnung gestellt wird.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6E"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B6C" w14:textId="77777777" w:rsidR="00C1548D" w:rsidRDefault="009B1B4B">
            <w:pPr>
              <w:keepNext/>
              <w:spacing w:after="70" w:line="240" w:lineRule="auto"/>
            </w:pPr>
            <w:r>
              <w:rPr>
                <w:b/>
                <w:bCs/>
                <w:color w:val="8A6212"/>
                <w:spacing w:val="24"/>
                <w:sz w:val="16"/>
                <w:szCs w:val="16"/>
              </w:rPr>
              <w:t>MERKE</w:t>
            </w:r>
          </w:p>
          <w:p w14:paraId="70A4FB6D" w14:textId="77777777" w:rsidR="00C1548D" w:rsidRDefault="009B1B4B">
            <w:pPr>
              <w:spacing w:after="80" w:line="264" w:lineRule="auto"/>
            </w:pPr>
            <w:r>
              <w:rPr>
                <w:sz w:val="20"/>
                <w:szCs w:val="20"/>
              </w:rPr>
              <w:t>Ein fester Hausarzt ist in Kanada eher ein Ziel, auf das du hinarbeitest, als ein Automatismus, der mit der Versicherungskarte mitkommt. Melde dich früh auf Wartelisten an und nutze Walk-in-Kliniken und die telefonische Gesundheitsberatung als Brücke.</w:t>
            </w:r>
          </w:p>
        </w:tc>
      </w:tr>
    </w:tbl>
    <w:p w14:paraId="70A4FB6F" w14:textId="77777777" w:rsidR="00C1548D" w:rsidRDefault="00C1548D">
      <w:pPr>
        <w:spacing w:line="220" w:lineRule="exact"/>
      </w:pPr>
    </w:p>
    <w:p w14:paraId="70A4FB70"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die Provinz-Versicherung nicht abdeckt</w:t>
      </w:r>
    </w:p>
    <w:p w14:paraId="70A4FB71" w14:textId="77777777" w:rsidR="00C1548D" w:rsidRDefault="009B1B4B">
      <w:pPr>
        <w:spacing w:after="140"/>
      </w:pPr>
      <w:r>
        <w:t xml:space="preserve">Selbst mit gültiger Provinz-Krankenversicherung bist du nicht vollständig abgesichert. Zahnbehandlungen, verschreibungspflichtige Medikamente außerhalb eines Krankenhausaufenthalts, Sehhilfen, Physiotherapie und der Krankentransport per Rettungswagen fallen in den meisten Provinzen nicht unter die gesetzliche Deckung. Wer das absichern möchte, braucht eine private Zusatzversicherung – häufig über den Arbeitgeber als sogenannte </w:t>
      </w:r>
      <w:r>
        <w:rPr>
          <w:i/>
          <w:iCs/>
        </w:rPr>
        <w:t>Extended Health Benefits</w:t>
      </w:r>
      <w:r>
        <w:t xml:space="preserve"> (erweiterte Gesundheitsleistungen), ein in Kanada verbreiteter Bestandteil des Gehaltspakets, den du im Bewerbungsgespräch aktiv erfragen solltest.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7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B72" w14:textId="77777777" w:rsidR="00C1548D" w:rsidRDefault="009B1B4B">
            <w:pPr>
              <w:keepNext/>
              <w:spacing w:after="70" w:line="240" w:lineRule="auto"/>
            </w:pPr>
            <w:r>
              <w:rPr>
                <w:b/>
                <w:bCs/>
                <w:color w:val="9B2C2C"/>
                <w:spacing w:val="24"/>
                <w:sz w:val="16"/>
                <w:szCs w:val="16"/>
              </w:rPr>
              <w:t>ACHTUNG</w:t>
            </w:r>
          </w:p>
          <w:p w14:paraId="70A4FB73" w14:textId="77777777" w:rsidR="00C1548D" w:rsidRDefault="009B1B4B">
            <w:pPr>
              <w:spacing w:after="80" w:line="264" w:lineRule="auto"/>
            </w:pPr>
            <w:r>
              <w:rPr>
                <w:sz w:val="20"/>
                <w:szCs w:val="20"/>
              </w:rPr>
              <w:t>Frage beim neuen Arbeitgeber gezielt nach dem Umfang der Extended Health Benefits, bevor du eigene, unnötig teure Zusatzverträge abschließt. Viele größere Arbeitgeber decken Zahn, Medikamente und Sehhilfen bereits zu einem erheblichen Teil ab.</w:t>
            </w:r>
          </w:p>
        </w:tc>
      </w:tr>
    </w:tbl>
    <w:p w14:paraId="70A4FB75" w14:textId="77777777" w:rsidR="00C1548D" w:rsidRDefault="00C1548D">
      <w:pPr>
        <w:spacing w:line="220" w:lineRule="exact"/>
      </w:pPr>
    </w:p>
    <w:p w14:paraId="70A4FB76" w14:textId="77777777" w:rsidR="00C1548D" w:rsidRDefault="009B1B4B">
      <w:pPr>
        <w:pStyle w:val="Heading3"/>
        <w:keepNext/>
        <w:jc w:val="center"/>
      </w:pPr>
      <w:r>
        <w:rPr>
          <w:rFonts w:ascii="Amazon Ember" w:eastAsia="Amazon Ember" w:hAnsi="Amazon Ember" w:cs="Amazon Ember"/>
          <w:color w:val="0000FF"/>
          <w:sz w:val="36"/>
          <w:szCs w:val="36"/>
        </w:rPr>
        <w:t>Unterlagen aus Deutschland mitbringen</w:t>
      </w:r>
    </w:p>
    <w:p w14:paraId="70A4FB77" w14:textId="77777777" w:rsidR="00C1548D" w:rsidRDefault="009B1B4B">
      <w:pPr>
        <w:spacing w:after="140"/>
      </w:pPr>
      <w:r>
        <w:t>Bring Impfpass, Vorsorgeheft und relevante Arztbriefe möglichst in englischer Übersetzung mit – ein neuer Hausarzt oder eine Walk-in-Klinik in Kanada kennt weder deine Vorerkrankungen noch deinen Impfstatus, und ein deutsches Dokument ohne Übersetzung nützt im Zweifel wenig. Bei Dauermedikation lohnt sich zusätzlich ein Vorrat für die ersten Wochen sowie ein englischsprachiger Nachweis über Wirkstoff und Dosierung, da ein deutsches Rezept in kanadischen Apotheken nicht eingelöst werden kann und zunächst ein</w:t>
      </w:r>
      <w:r>
        <w:t xml:space="preserve"> neues von einem in Kanada zugelassenen Arzt nötig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7A"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B78" w14:textId="77777777" w:rsidR="00C1548D" w:rsidRDefault="009B1B4B">
            <w:pPr>
              <w:keepNext/>
              <w:spacing w:after="70" w:line="240" w:lineRule="auto"/>
            </w:pPr>
            <w:r>
              <w:rPr>
                <w:b/>
                <w:bCs/>
                <w:color w:val="2F6B3B"/>
                <w:spacing w:val="24"/>
                <w:sz w:val="16"/>
                <w:szCs w:val="16"/>
              </w:rPr>
              <w:lastRenderedPageBreak/>
              <w:t>SPARTIPP</w:t>
            </w:r>
          </w:p>
          <w:p w14:paraId="70A4FB79" w14:textId="77777777" w:rsidR="00C1548D" w:rsidRDefault="009B1B4B">
            <w:pPr>
              <w:spacing w:after="80" w:line="264" w:lineRule="auto"/>
            </w:pPr>
            <w:r>
              <w:rPr>
                <w:sz w:val="20"/>
                <w:szCs w:val="20"/>
              </w:rPr>
              <w:t>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tc>
      </w:tr>
    </w:tbl>
    <w:p w14:paraId="70A4FB7B" w14:textId="77777777" w:rsidR="00C1548D" w:rsidRDefault="00C1548D">
      <w:pPr>
        <w:spacing w:line="220" w:lineRule="exact"/>
      </w:pPr>
    </w:p>
    <w:p w14:paraId="70A4FB7C"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B7F"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B7D"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B7E" w14:textId="77777777" w:rsidR="00C1548D" w:rsidRDefault="009B1B4B">
            <w:pPr>
              <w:spacing w:line="250" w:lineRule="auto"/>
            </w:pPr>
            <w:r>
              <w:rPr>
                <w:b/>
                <w:bCs/>
                <w:sz w:val="18"/>
                <w:szCs w:val="18"/>
              </w:rPr>
              <w:t>Minus</w:t>
            </w:r>
          </w:p>
        </w:tc>
      </w:tr>
      <w:tr w:rsidR="00C1548D" w14:paraId="70A4FB8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80" w14:textId="77777777" w:rsidR="00C1548D" w:rsidRDefault="009B1B4B">
            <w:pPr>
              <w:spacing w:line="250" w:lineRule="auto"/>
            </w:pPr>
            <w:r>
              <w:rPr>
                <w:sz w:val="18"/>
                <w:szCs w:val="18"/>
              </w:rPr>
              <w:t>Grundversorgung über die Provinz-Krankenversicherung ist für Berechtigte im Kern kostenfrei</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81" w14:textId="77777777" w:rsidR="00C1548D" w:rsidRDefault="009B1B4B">
            <w:pPr>
              <w:spacing w:line="250" w:lineRule="auto"/>
            </w:pPr>
            <w:r>
              <w:rPr>
                <w:sz w:val="18"/>
                <w:szCs w:val="18"/>
              </w:rPr>
              <w:t>Kein einheitliches System – 13 Provinz- und Territorialregeln mit eigenen Fristen</w:t>
            </w:r>
          </w:p>
        </w:tc>
      </w:tr>
      <w:tr w:rsidR="00C1548D" w14:paraId="70A4FB8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83" w14:textId="77777777" w:rsidR="00C1548D" w:rsidRDefault="009B1B4B">
            <w:pPr>
              <w:spacing w:line="250" w:lineRule="auto"/>
            </w:pPr>
            <w:r>
              <w:rPr>
                <w:sz w:val="18"/>
                <w:szCs w:val="18"/>
              </w:rPr>
              <w:t>Ontario: keine Wartefrist mehr seit 2020, Deckung ab Antragstellung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84" w14:textId="77777777" w:rsidR="00C1548D" w:rsidRDefault="009B1B4B">
            <w:pPr>
              <w:spacing w:line="250" w:lineRule="auto"/>
            </w:pPr>
            <w:r>
              <w:rPr>
                <w:sz w:val="18"/>
                <w:szCs w:val="18"/>
              </w:rPr>
              <w:t>British Columbia und Québec: rund drei Monate ohne Deckung nach Zuzug</w:t>
            </w:r>
          </w:p>
        </w:tc>
      </w:tr>
      <w:tr w:rsidR="00C1548D" w14:paraId="70A4FB8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86" w14:textId="77777777" w:rsidR="00C1548D" w:rsidRDefault="009B1B4B">
            <w:pPr>
              <w:spacing w:line="250" w:lineRule="auto"/>
            </w:pPr>
            <w:r>
              <w:rPr>
                <w:sz w:val="18"/>
                <w:szCs w:val="18"/>
              </w:rPr>
              <w:t>Alberta und Saskatchewan gelten als praktisch wartefrei</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87" w14:textId="77777777" w:rsidR="00C1548D" w:rsidRDefault="009B1B4B">
            <w:pPr>
              <w:spacing w:line="250" w:lineRule="auto"/>
            </w:pPr>
            <w:r>
              <w:rPr>
                <w:sz w:val="18"/>
                <w:szCs w:val="18"/>
              </w:rPr>
              <w:t>Zahn, Medikamente außerhalb der Klinik, Sehhilfen und Physiotherapie meist unversichert</w:t>
            </w:r>
          </w:p>
        </w:tc>
      </w:tr>
      <w:tr w:rsidR="00C1548D" w14:paraId="70A4FB8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89" w14:textId="77777777" w:rsidR="00C1548D" w:rsidRDefault="009B1B4B">
            <w:pPr>
              <w:spacing w:line="250" w:lineRule="auto"/>
            </w:pPr>
            <w:r>
              <w:rPr>
                <w:sz w:val="18"/>
                <w:szCs w:val="18"/>
              </w:rPr>
              <w:t>Private Übergangsversicherung überbrückt die Lücke planbar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8A" w14:textId="77777777" w:rsidR="00C1548D" w:rsidRDefault="009B1B4B">
            <w:pPr>
              <w:spacing w:line="250" w:lineRule="auto"/>
            </w:pPr>
            <w:r>
              <w:rPr>
                <w:sz w:val="18"/>
                <w:szCs w:val="18"/>
              </w:rPr>
              <w:t>Ohne Übergangsversicherung trägst du jede Behandlung während der Wartefrist voll selbst</w:t>
            </w:r>
          </w:p>
        </w:tc>
      </w:tr>
      <w:tr w:rsidR="00C1548D" w14:paraId="70A4FB8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8C" w14:textId="77777777" w:rsidR="00C1548D" w:rsidRDefault="009B1B4B">
            <w:pPr>
              <w:spacing w:line="250" w:lineRule="auto"/>
            </w:pPr>
            <w:r>
              <w:rPr>
                <w:sz w:val="18"/>
                <w:szCs w:val="18"/>
              </w:rPr>
              <w:t>Arbeitgeber bieten häufig Extended Health Benefits als Zusatzschutz</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8D" w14:textId="77777777" w:rsidR="00C1548D" w:rsidRDefault="009B1B4B">
            <w:pPr>
              <w:spacing w:line="250" w:lineRule="auto"/>
            </w:pPr>
            <w:r>
              <w:rPr>
                <w:sz w:val="18"/>
                <w:szCs w:val="18"/>
              </w:rPr>
              <w:t>Genaue 2026er-Tarife der Übergangsversicherer ändern sich häufig</w:t>
            </w:r>
          </w:p>
        </w:tc>
      </w:tr>
    </w:tbl>
    <w:p w14:paraId="70A4FB8F" w14:textId="77777777" w:rsidR="00C1548D" w:rsidRDefault="00C1548D">
      <w:pPr>
        <w:spacing w:line="180" w:lineRule="exact"/>
      </w:pPr>
    </w:p>
    <w:p w14:paraId="70A4FB90"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B91" w14:textId="77777777" w:rsidR="00C1548D" w:rsidRDefault="009B1B4B">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9E"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B92" w14:textId="77777777" w:rsidR="00C1548D" w:rsidRDefault="009B1B4B">
            <w:pPr>
              <w:keepNext/>
              <w:spacing w:after="70" w:line="240" w:lineRule="auto"/>
            </w:pPr>
            <w:r>
              <w:rPr>
                <w:b/>
                <w:bCs/>
                <w:color w:val="1F6F78"/>
                <w:spacing w:val="24"/>
                <w:sz w:val="16"/>
                <w:szCs w:val="16"/>
              </w:rPr>
              <w:lastRenderedPageBreak/>
              <w:t>CHECKLISTE</w:t>
            </w:r>
          </w:p>
          <w:p w14:paraId="70A4FB9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Wartefrist der Zielprovinz vor dem Umzug direkt bei der Provinzbehörde geprüft</w:t>
            </w:r>
          </w:p>
          <w:p w14:paraId="70A4FB9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Wartefrist (v. a. British Columbia, Québec): private Übergangsversicherung mit Beginn zum Ankunftstag abgeschlossen</w:t>
            </w:r>
          </w:p>
          <w:p w14:paraId="70A4FB9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Reisepass, Aufenthaltsnachweis und Adressnachweis für den Antrag bereitgelegt</w:t>
            </w:r>
          </w:p>
          <w:p w14:paraId="70A4FB9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Antrag auf Provinz-Krankenversicherung in der ersten Woche gestellt, Partner und Kinder mit angemeldet</w:t>
            </w:r>
          </w:p>
          <w:p w14:paraId="70A4FB9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Anmeldebestätigung als vorläufigen Nachweis griffbereit, bis die Karte per Post ankommt</w:t>
            </w:r>
          </w:p>
          <w:p w14:paraId="70A4FB9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Extended Health Benefits beim Arbeitgeber erfragt, bevor eigene Zusatzverträge abgeschlossen werden</w:t>
            </w:r>
          </w:p>
          <w:p w14:paraId="70A4FB9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Bedarf an Zusatzversicherung für Zahn, Medikamente, Sehhilfen und Physiotherapie geprüft</w:t>
            </w:r>
          </w:p>
          <w:p w14:paraId="70A4FB9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Auf Wartelisten mehrerer Hausarztpraxen eingetragen, nächstgelegene Walk-in-Klinik notiert</w:t>
            </w:r>
          </w:p>
          <w:p w14:paraId="70A4FB9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Impfpass, Vorsorgeheft und relevante Arztbriefe in englischer Übersetzung bereitgelegt</w:t>
            </w:r>
          </w:p>
          <w:p w14:paraId="70A4FB9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Dauermedikation: Vorrat und englischsprachiger Wirkstoffnachweis eingepackt</w:t>
            </w:r>
          </w:p>
          <w:p w14:paraId="70A4FB9D" w14:textId="6184F2D4"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 xml:space="preserve">SIN-Antrag parallel im Blick (siehe das </w:t>
            </w:r>
            <w:hyperlink w:anchor="tka07" w:history="1">
              <w:r>
                <w:rPr>
                  <w:color w:val="0563C1"/>
                  <w:sz w:val="20"/>
                  <w:szCs w:val="20"/>
                  <w:u w:val="single"/>
                </w:rPr>
                <w:t>Kapitel zu SIN, Steuern, Bank und Kredit in diesem Teil</w:t>
              </w:r>
            </w:hyperlink>
            <w:r>
              <w:rPr>
                <w:sz w:val="20"/>
                <w:szCs w:val="20"/>
              </w:rPr>
              <w:t>)</w:t>
            </w:r>
          </w:p>
        </w:tc>
      </w:tr>
    </w:tbl>
    <w:p w14:paraId="70A4FB9F" w14:textId="77777777" w:rsidR="00C1548D" w:rsidRDefault="00C1548D">
      <w:pPr>
        <w:spacing w:line="220" w:lineRule="exact"/>
      </w:pPr>
    </w:p>
    <w:p w14:paraId="70A4FBA0"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BA1" w14:textId="6347242C" w:rsidR="00C1548D" w:rsidRDefault="009B1B4B" w:rsidP="009B1B4B">
      <w:pPr>
        <w:pStyle w:val="ListParagraph"/>
        <w:numPr>
          <w:ilvl w:val="0"/>
          <w:numId w:val="1"/>
        </w:numPr>
        <w:spacing w:after="60"/>
      </w:pPr>
      <w:hyperlink r:id="rId535" w:history="1">
        <w:r>
          <w:rPr>
            <w:color w:val="0563C1"/>
            <w:u w:val="single"/>
          </w:rPr>
          <w:t>canada.ca/en/health-canada</w:t>
        </w:r>
      </w:hyperlink>
      <w:r>
        <w:t xml:space="preserve"> – Canada Health Act, Grundprinzipien der Provinz-Krankenversicherung</w:t>
      </w:r>
    </w:p>
    <w:p w14:paraId="70A4FBA2" w14:textId="2B969D1D" w:rsidR="00C1548D" w:rsidRDefault="009B1B4B" w:rsidP="009B1B4B">
      <w:pPr>
        <w:pStyle w:val="ListParagraph"/>
        <w:numPr>
          <w:ilvl w:val="0"/>
          <w:numId w:val="1"/>
        </w:numPr>
        <w:spacing w:after="60"/>
      </w:pPr>
      <w:hyperlink r:id="rId536" w:history="1">
        <w:r>
          <w:rPr>
            <w:color w:val="0563C1"/>
            <w:u w:val="single"/>
          </w:rPr>
          <w:t>ontario.ca/page/apply-ohip-and-get-health-card</w:t>
        </w:r>
      </w:hyperlink>
      <w:r>
        <w:t xml:space="preserve"> – OHIP-Anmeldung, keine Wartefrist</w:t>
      </w:r>
    </w:p>
    <w:p w14:paraId="70A4FBA3" w14:textId="0B6C6980" w:rsidR="00C1548D" w:rsidRDefault="009B1B4B" w:rsidP="009B1B4B">
      <w:pPr>
        <w:pStyle w:val="ListParagraph"/>
        <w:numPr>
          <w:ilvl w:val="0"/>
          <w:numId w:val="1"/>
        </w:numPr>
        <w:spacing w:after="60"/>
      </w:pPr>
      <w:hyperlink r:id="rId537" w:history="1">
        <w:r>
          <w:rPr>
            <w:color w:val="0563C1"/>
            <w:u w:val="single"/>
          </w:rPr>
          <w:t>www2.gov.bc.ca/gov/content/health/health-drug-coverage/msp</w:t>
        </w:r>
      </w:hyperlink>
      <w:r>
        <w:t xml:space="preserve"> – MSP-Anmeldung und Wartefrist in British Columbia</w:t>
      </w:r>
    </w:p>
    <w:p w14:paraId="70A4FBA4" w14:textId="0968FB27" w:rsidR="00C1548D" w:rsidRDefault="009B1B4B" w:rsidP="009B1B4B">
      <w:pPr>
        <w:pStyle w:val="ListParagraph"/>
        <w:numPr>
          <w:ilvl w:val="0"/>
          <w:numId w:val="1"/>
        </w:numPr>
        <w:spacing w:after="60"/>
      </w:pPr>
      <w:hyperlink r:id="rId538" w:history="1">
        <w:r>
          <w:rPr>
            <w:color w:val="0563C1"/>
            <w:u w:val="single"/>
          </w:rPr>
          <w:t>ramq.gouv.qc.ca</w:t>
        </w:r>
      </w:hyperlink>
      <w:r>
        <w:t xml:space="preserve"> – Anmeldung und Wartefrist in Québec</w:t>
      </w:r>
    </w:p>
    <w:p w14:paraId="70A4FBA5" w14:textId="5A6B672F" w:rsidR="00C1548D" w:rsidRDefault="009B1B4B" w:rsidP="009B1B4B">
      <w:pPr>
        <w:pStyle w:val="ListParagraph"/>
        <w:numPr>
          <w:ilvl w:val="0"/>
          <w:numId w:val="1"/>
        </w:numPr>
        <w:spacing w:after="60"/>
      </w:pPr>
      <w:hyperlink r:id="rId539" w:history="1">
        <w:r>
          <w:rPr>
            <w:color w:val="0563C1"/>
            <w:u w:val="single"/>
          </w:rPr>
          <w:t>alberta.ca/ahcip</w:t>
        </w:r>
      </w:hyperlink>
      <w:r>
        <w:t xml:space="preserve"> – Alberta Health Care Insurance Plan</w:t>
      </w:r>
    </w:p>
    <w:p w14:paraId="70A4FBA6" w14:textId="074499D2" w:rsidR="00C1548D" w:rsidRDefault="009B1B4B" w:rsidP="009B1B4B">
      <w:pPr>
        <w:pStyle w:val="ListParagraph"/>
        <w:numPr>
          <w:ilvl w:val="0"/>
          <w:numId w:val="1"/>
        </w:numPr>
        <w:spacing w:after="60"/>
      </w:pPr>
      <w:hyperlink r:id="rId540" w:history="1">
        <w:r>
          <w:rPr>
            <w:color w:val="0563C1"/>
            <w:u w:val="single"/>
          </w:rPr>
          <w:t>saskatchewan.ca/residents/health</w:t>
        </w:r>
      </w:hyperlink>
      <w:r>
        <w:t xml:space="preserve"> – Saskatchewan Health Coverage</w:t>
      </w:r>
    </w:p>
    <w:p w14:paraId="70A4FBA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A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BA8" w14:textId="77777777" w:rsidR="00C1548D" w:rsidRDefault="009B1B4B">
            <w:pPr>
              <w:keepNext/>
              <w:spacing w:after="70" w:line="240" w:lineRule="auto"/>
            </w:pPr>
            <w:r>
              <w:rPr>
                <w:b/>
                <w:bCs/>
                <w:color w:val="6B7280"/>
                <w:spacing w:val="24"/>
                <w:sz w:val="16"/>
                <w:szCs w:val="16"/>
              </w:rPr>
              <w:t>STAND</w:t>
            </w:r>
          </w:p>
          <w:p w14:paraId="70A4FBA9" w14:textId="77777777" w:rsidR="00C1548D" w:rsidRDefault="009B1B4B">
            <w:pPr>
              <w:spacing w:after="80" w:line="264" w:lineRule="auto"/>
            </w:pPr>
            <w:r>
              <w:rPr>
                <w:sz w:val="20"/>
                <w:szCs w:val="20"/>
              </w:rPr>
              <w:t>23.09.2026. Diese Angaben ändern sich schnell: die genauen Wartefristen einzelner Provinzen, Tarife privater Übergangsversicherer sowie Umfang und Bedingungen von Extended Health Benefits einzelner Arbeitgeber. Prüfe vor jeder Entscheidung die aktuellen Seiten deiner Zielprovinz und die Police deines gewählten Versicherers.</w:t>
            </w:r>
          </w:p>
        </w:tc>
      </w:tr>
    </w:tbl>
    <w:p w14:paraId="70A4FBAB" w14:textId="77777777" w:rsidR="00C1548D" w:rsidRDefault="00C1548D">
      <w:pPr>
        <w:spacing w:line="220" w:lineRule="exact"/>
      </w:pPr>
    </w:p>
    <w:p w14:paraId="70A4FBAC" w14:textId="77777777" w:rsidR="00C1548D" w:rsidRDefault="009B1B4B">
      <w:pPr>
        <w:pStyle w:val="Heading2"/>
        <w:keepNext/>
        <w:pageBreakBefore/>
        <w:jc w:val="center"/>
      </w:pPr>
      <w:bookmarkStart w:id="151" w:name="tka09"/>
      <w:bookmarkStart w:id="152" w:name="_Toc241352527"/>
      <w:r>
        <w:rPr>
          <w:rFonts w:ascii="Amazon Ember" w:eastAsia="Amazon Ember" w:hAnsi="Amazon Ember" w:cs="Amazon Ember"/>
          <w:color w:val="0000FF"/>
          <w:sz w:val="36"/>
          <w:szCs w:val="36"/>
        </w:rPr>
        <w:lastRenderedPageBreak/>
        <w:t>Kanada: Wohnen und die besten Orte zum Leben</w:t>
      </w:r>
      <w:bookmarkEnd w:id="151"/>
      <w:bookmarkEnd w:id="152"/>
    </w:p>
    <w:p w14:paraId="70A4FBAD" w14:textId="77777777" w:rsidR="00C1548D" w:rsidRDefault="009B1B4B">
      <w:pPr>
        <w:spacing w:after="140"/>
      </w:pPr>
      <w:r>
        <w:t xml:space="preserve">Lukas Berger steht Anfang Februar zum ersten Mal auf seinem Balkon in Calgary, sieht auf eine schneebedeckte Straße – und zwei Stunden später auf nackten Asphalt, weil ein warmer Fallwind namens </w:t>
      </w:r>
      <w:r>
        <w:rPr>
          <w:i/>
          <w:iCs/>
        </w:rPr>
        <w:t>Chinook</w:t>
      </w:r>
      <w:r>
        <w:t xml:space="preserve"> die Temperatur um 15 Grad nach oben katapultiert hat. Die Nachbarin nickt nur, als sei das die normalste Sache der Welt, was es in Calgary tatsächlich ist. Beim kanadischen Wohnungsmarkt braucht es eine ähnliche Portion Gelassenheit: Mieten verlangt eine Kreditauskunft, die es in Deutschland so nicht gibt, und Kaufen bedeutet mancherorts, binnen Minuten gegen unsichtbare Mitbieter zu bestehen. Wo du am Ende landest, entscheidet nicht nur das Budget, sondern auch, ob du eher mit Blizzards, Eisstürmen oder H</w:t>
      </w:r>
      <w:r>
        <w:t>urrikan-Ausläufern leben willst.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B4"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BAE" w14:textId="77777777" w:rsidR="00C1548D" w:rsidRDefault="009B1B4B">
            <w:pPr>
              <w:keepNext/>
              <w:spacing w:after="70" w:line="240" w:lineRule="auto"/>
            </w:pPr>
            <w:r>
              <w:rPr>
                <w:b/>
                <w:bCs/>
                <w:color w:val="1F3A5F"/>
                <w:spacing w:val="24"/>
                <w:sz w:val="16"/>
                <w:szCs w:val="16"/>
              </w:rPr>
              <w:lastRenderedPageBreak/>
              <w:t>KURZ GESAGT</w:t>
            </w:r>
          </w:p>
          <w:p w14:paraId="70A4FBAF" w14:textId="77777777" w:rsidR="00C1548D" w:rsidRDefault="009B1B4B" w:rsidP="009B1B4B">
            <w:pPr>
              <w:pStyle w:val="ListParagraph"/>
              <w:numPr>
                <w:ilvl w:val="0"/>
                <w:numId w:val="1"/>
              </w:numPr>
              <w:spacing w:after="50" w:line="264" w:lineRule="auto"/>
            </w:pPr>
            <w:r>
              <w:rPr>
                <w:sz w:val="20"/>
                <w:szCs w:val="20"/>
              </w:rPr>
              <w:t>Mieten läuft über Portale wie rentals.ca, meist mit Kreditauskunft (</w:t>
            </w:r>
            <w:r>
              <w:rPr>
                <w:i/>
                <w:iCs/>
                <w:sz w:val="20"/>
                <w:szCs w:val="20"/>
              </w:rPr>
              <w:t>Credit Report</w:t>
            </w:r>
            <w:r>
              <w:rPr>
                <w:sz w:val="20"/>
                <w:szCs w:val="20"/>
              </w:rPr>
              <w:t>) und Einkommensnachweis; die Kautionsregeln unterscheiden sich stark: Ontario und Québec verbieten Schadenskautionen komplett, Alberta erlaubt bis zu einer, British Columbia bis zu einer halben Monatsmiete.</w:t>
            </w:r>
          </w:p>
          <w:p w14:paraId="70A4FBB0" w14:textId="77777777" w:rsidR="00C1548D" w:rsidRDefault="009B1B4B" w:rsidP="009B1B4B">
            <w:pPr>
              <w:pStyle w:val="ListParagraph"/>
              <w:numPr>
                <w:ilvl w:val="0"/>
                <w:numId w:val="1"/>
              </w:numPr>
              <w:spacing w:after="50" w:line="264" w:lineRule="auto"/>
            </w:pPr>
            <w:r>
              <w:rPr>
                <w:sz w:val="20"/>
                <w:szCs w:val="20"/>
              </w:rPr>
              <w:t>Ein bundesweites Kaufverbot für Nicht-Kanadier (befristet bis 1. Januar 2027) betrifft die meisten Wohnimmobilien in Städten; wer ein Arbeitsvisum mit mindestens 183 Tagen Restlaufzeit hat, darf trotzdem eine einzige Immobilie kaufen.</w:t>
            </w:r>
          </w:p>
          <w:p w14:paraId="70A4FBB1" w14:textId="77777777" w:rsidR="00C1548D" w:rsidRDefault="009B1B4B" w:rsidP="009B1B4B">
            <w:pPr>
              <w:pStyle w:val="ListParagraph"/>
              <w:numPr>
                <w:ilvl w:val="0"/>
                <w:numId w:val="1"/>
              </w:numPr>
              <w:spacing w:after="50" w:line="264" w:lineRule="auto"/>
            </w:pPr>
            <w:r>
              <w:rPr>
                <w:sz w:val="20"/>
                <w:szCs w:val="20"/>
              </w:rPr>
              <w:t>Ontario und British Columbia erheben zusätzlich eine Sondersteuer für ausländische Käufer (Ontario bis zu 35 % in Toronto, BC 20 % in Metro Vancouver); Permanent Residents sind davon ausgenommen.</w:t>
            </w:r>
          </w:p>
          <w:p w14:paraId="70A4FBB2" w14:textId="77777777" w:rsidR="00C1548D" w:rsidRDefault="009B1B4B" w:rsidP="009B1B4B">
            <w:pPr>
              <w:pStyle w:val="ListParagraph"/>
              <w:numPr>
                <w:ilvl w:val="0"/>
                <w:numId w:val="1"/>
              </w:numPr>
              <w:spacing w:after="50" w:line="264" w:lineRule="auto"/>
            </w:pPr>
            <w:r>
              <w:rPr>
                <w:sz w:val="20"/>
                <w:szCs w:val="20"/>
              </w:rPr>
              <w:t>Toronto und Vancouver sind am teuersten, bieten aber die meisten Jobs; Calgary und Montréal sind spürbar günstiger, verlangen dafür Kompromisse bei Sprache (Montréal) oder Jobfokus (Calgary).</w:t>
            </w:r>
          </w:p>
          <w:p w14:paraId="70A4FBB3" w14:textId="77777777" w:rsidR="00C1548D" w:rsidRDefault="009B1B4B" w:rsidP="009B1B4B">
            <w:pPr>
              <w:pStyle w:val="ListParagraph"/>
              <w:numPr>
                <w:ilvl w:val="0"/>
                <w:numId w:val="1"/>
              </w:numPr>
              <w:spacing w:after="50" w:line="264" w:lineRule="auto"/>
            </w:pPr>
            <w:r>
              <w:rPr>
                <w:sz w:val="20"/>
                <w:szCs w:val="20"/>
              </w:rPr>
              <w:t>Jede Stadt trägt ihr eigenes Naturgefahren-Profil – Derecho, Chinook-Vereisung, Eissturm oder Hurrikan-Ausläufer –, das in die Versicherungsprämie einfließt, nicht nur in die Wetter-App.</w:t>
            </w:r>
          </w:p>
        </w:tc>
      </w:tr>
    </w:tbl>
    <w:p w14:paraId="70A4FBB5" w14:textId="77777777" w:rsidR="00C1548D" w:rsidRDefault="00C1548D">
      <w:pPr>
        <w:spacing w:line="220" w:lineRule="exact"/>
      </w:pPr>
    </w:p>
    <w:p w14:paraId="70A4FBB6" w14:textId="77777777" w:rsidR="00C1548D" w:rsidRDefault="009B1B4B">
      <w:pPr>
        <w:pStyle w:val="Heading3"/>
        <w:keepNext/>
        <w:jc w:val="center"/>
      </w:pPr>
      <w:r>
        <w:rPr>
          <w:rFonts w:ascii="Amazon Ember" w:eastAsia="Amazon Ember" w:hAnsi="Amazon Ember" w:cs="Amazon Ember"/>
          <w:color w:val="0000FF"/>
          <w:sz w:val="36"/>
          <w:szCs w:val="36"/>
        </w:rPr>
        <w:t>Mieten: Bewerbung, Kaution, Vertrag</w:t>
      </w:r>
    </w:p>
    <w:p w14:paraId="70A4FBB7" w14:textId="77777777" w:rsidR="00C1548D" w:rsidRDefault="009B1B4B">
      <w:pPr>
        <w:spacing w:after="140"/>
      </w:pPr>
      <w:r>
        <w:t>Die Wohnungssuche läuft überwiegend online, über Portale wie rentals.ca oder kijiji.ca – funktional vergleichbar mit deutschen Immobilienportalen, nur mit deutlich mehr Fotos vom begehbaren Kleiderschrank. Wer sich bewirbt, legt üblicherweise eine Kreditauskunft (</w:t>
      </w:r>
      <w:r>
        <w:rPr>
          <w:i/>
          <w:iCs/>
        </w:rPr>
        <w:t>Credit Report</w:t>
      </w:r>
      <w:r>
        <w:t>, vergleichbar mit einer erweiterten 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w:t>
      </w:r>
      <w:r>
        <w:t xml:space="preserve">satznachweis </w:t>
      </w:r>
      <w:r>
        <w:lastRenderedPageBreak/>
        <w:t>akzeptieren; ohne das hilft oft nur, mehrere Monatsmieten im Voraus anzubieten oder einen kanadischen Bürgen zu stellen.</w:t>
      </w:r>
    </w:p>
    <w:p w14:paraId="70A4FBB8" w14:textId="77777777" w:rsidR="00C1548D" w:rsidRDefault="009B1B4B">
      <w:pPr>
        <w:spacing w:after="140"/>
      </w:pPr>
      <w:r>
        <w:t>Bei der Kaution lohnt ein zweiter Blick auf die Provinz, denn hier unterscheidet sich Kanada deutlicher, als man erwartet. In Ontario ist eine Schadenskaution schlicht verboten – erlaubt ist ausschließlich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w:t>
      </w:r>
      <w:r>
        <w:t xml:space="preserve"> darf der Vermieter bis zu einer vollen Monatsmiete als Kaution verlangen, in British Columbia bis zu einer halben Monatsmiete, plus optional eine weitere halbe Monatsmiete als Haustier-Kaution. Wer aus Deutschland eine Kaution von zwei bis drei Monatsmieten gewohnt ist, wird in Toronto oder Montréal also regelrecht überrascht – der Vermieter darf dort einfach nicht mehr verlangen, selbst wenn er es wollte. Mietverträge laufen meist zwölf Monate; danach folgt automatisch ein formloser Zeitmietvertrag (</w:t>
      </w:r>
      <w:r>
        <w:rPr>
          <w:i/>
          <w:iCs/>
        </w:rPr>
        <w:t>Month-to-Month Tenancy</w:t>
      </w:r>
      <w:r>
        <w:t>) zu denselben Bedingungen, sofern niemand kündigt.</w:t>
      </w:r>
    </w:p>
    <w:p w14:paraId="70A4FBB9" w14:textId="77777777" w:rsidR="00C1548D" w:rsidRDefault="009B1B4B">
      <w:pPr>
        <w:spacing w:after="140"/>
      </w:pPr>
      <w:r>
        <w:t>Bei der Ausstattung gilt ein anderer Standard als in Deutschland: Kühlschrank und Herd gehören praktisch immer zur Wohnung, Waschmaschine und Trockner je nach Gebäude entweder in der eigenen Einheit oder als Gemeinschaftswaschraum im Keller – eine komplett unmöblierte Küche wie in vielen deutschen Mietwohnungen ist unüblich. Ob Heizkosten in der Miete enthalten sind, hängt stark vom Gebäudetyp ab: In älteren Mehrfamilienhäusern übernimmt oft der Vermieter Heizung und Warmwasser, in freistehenden Häusern und</w:t>
      </w:r>
      <w:r>
        <w:t xml:space="preserve"> neueren Eigentumswohnungen zahlt meist der Mieter Strom (</w:t>
      </w:r>
      <w:r>
        <w:rPr>
          <w:i/>
          <w:iCs/>
        </w:rPr>
        <w:t>Hydro</w:t>
      </w:r>
      <w:r>
        <w:t xml:space="preserve">) und Heizung separat – bei kanadischen Wintertemperaturen ein Posten, den man nicht unterschätzen sollte. Kündigungsfristen regelt jede Provinz einzeln, meist 30 bis 60 Tage zum Ende eines Mietzeitraums; eine fristlose Kündigung durch den Vermieter ohne triftigen Grund </w:t>
      </w:r>
      <w:r>
        <w:lastRenderedPageBreak/>
        <w:t>(Eigenbedarf, Umbau, Zahlungsverzug) ist in den meisten Provinzen ähnlich eingeschränkt wie in Deutschland.</w:t>
      </w:r>
    </w:p>
    <w:p w14:paraId="70A4FBBA" w14:textId="77777777" w:rsidR="00C1548D" w:rsidRDefault="009B1B4B">
      <w:pPr>
        <w:spacing w:after="140"/>
      </w:pPr>
      <w:r>
        <w:t>Auch bei der Mietpreisbremse (</w:t>
      </w:r>
      <w:r>
        <w:rPr>
          <w:i/>
          <w:iCs/>
        </w:rPr>
        <w:t>Rent Control</w:t>
      </w:r>
      <w:r>
        <w:t>) unterscheiden sich die Provinzen deutlich. Ontario deckelt die jährliche Mieterhöhung für die meisten Bestandswohnungen gesetzlich – Neubauten ab einem bestimmten Stichdatum sind davon ausgenommen. British Columbia und Québec kennen ähnliche, jährlich neu festgelegte Obergrenzen. Alberta dagegen verzichtet komplett auf eine Mietpreisbremse: Der Vermieter darf die Miete bei Vertragsverlängerung grundsätzlich frei neu verhandeln, solange er die vorgeschriebene Ankündigungsfrist einhält.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B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BBB" w14:textId="77777777" w:rsidR="00C1548D" w:rsidRDefault="009B1B4B">
            <w:pPr>
              <w:keepNext/>
              <w:spacing w:after="70" w:line="240" w:lineRule="auto"/>
            </w:pPr>
            <w:r>
              <w:rPr>
                <w:b/>
                <w:bCs/>
                <w:color w:val="9B2C2C"/>
                <w:spacing w:val="24"/>
                <w:sz w:val="16"/>
                <w:szCs w:val="16"/>
              </w:rPr>
              <w:t>ACHTUNG</w:t>
            </w:r>
          </w:p>
          <w:p w14:paraId="70A4FBBC" w14:textId="77777777" w:rsidR="00C1548D" w:rsidRDefault="009B1B4B">
            <w:pPr>
              <w:spacing w:after="80" w:line="264" w:lineRule="auto"/>
            </w:pPr>
            <w:r>
              <w:rPr>
                <w:sz w:val="20"/>
                <w:szCs w:val="20"/>
              </w:rPr>
              <w:t>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tc>
      </w:tr>
    </w:tbl>
    <w:p w14:paraId="70A4FBBE"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C1"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BBF" w14:textId="77777777" w:rsidR="00C1548D" w:rsidRDefault="009B1B4B">
            <w:pPr>
              <w:keepNext/>
              <w:spacing w:after="70" w:line="240" w:lineRule="auto"/>
            </w:pPr>
            <w:r>
              <w:rPr>
                <w:b/>
                <w:bCs/>
                <w:color w:val="2F6B3B"/>
                <w:spacing w:val="24"/>
                <w:sz w:val="16"/>
                <w:szCs w:val="16"/>
              </w:rPr>
              <w:t>SPARTIPP</w:t>
            </w:r>
          </w:p>
          <w:p w14:paraId="70A4FBC0" w14:textId="77777777" w:rsidR="00C1548D" w:rsidRDefault="009B1B4B">
            <w:pPr>
              <w:spacing w:after="80" w:line="264" w:lineRule="auto"/>
            </w:pPr>
            <w:r>
              <w:rPr>
                <w:sz w:val="20"/>
                <w:szCs w:val="20"/>
              </w:rPr>
              <w:t>Montréal und Calgary liegen bei der Miete merklich unter Toronto und Vancouver – rund 700 bis 800 CAD weniger im Monat für eine vergleichbare Wohnung. Wer beim Jobmarkt flexibel ist, sollte diese beiden Städte ernsthaft mit in die Rechnung nehmen, statt automatisch auf die bekannteren Namen zu setzen.</w:t>
            </w:r>
          </w:p>
        </w:tc>
      </w:tr>
    </w:tbl>
    <w:p w14:paraId="70A4FBC2"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C5"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BC3" w14:textId="77777777" w:rsidR="00C1548D" w:rsidRDefault="009B1B4B">
            <w:pPr>
              <w:keepNext/>
              <w:spacing w:after="70" w:line="240" w:lineRule="auto"/>
            </w:pPr>
            <w:r>
              <w:rPr>
                <w:b/>
                <w:bCs/>
                <w:color w:val="4A5568"/>
                <w:spacing w:val="24"/>
                <w:sz w:val="16"/>
                <w:szCs w:val="16"/>
              </w:rPr>
              <w:lastRenderedPageBreak/>
              <w:t>PRAXISBEISPIEL · FIKTIV</w:t>
            </w:r>
          </w:p>
          <w:p w14:paraId="70A4FBC4" w14:textId="77777777" w:rsidR="00C1548D" w:rsidRDefault="009B1B4B">
            <w:pPr>
              <w:spacing w:after="80" w:line="264" w:lineRule="auto"/>
            </w:pPr>
            <w:r>
              <w:rPr>
                <w:sz w:val="20"/>
                <w:szCs w:val="20"/>
              </w:rPr>
              <w:t>Lukas Berger (fiktives Beispiel) kommt mit einem LMIA-pflichtigen Employer-Sponsored Work Permit nach Calgary und bewirbt sich auf eine Einzimmerwohnung im Stadtteil Beltline. Die Hausverwaltung fragt nach einer kanadischen Kreditauskunft, die er naturgemäß nicht hat. Statt aufzugeben, legt er seinen unbefristeten Arbeitsvertrag, die ersten beiden Gehaltsabrechnungen und ein Schreiben seines Arbeitgebers vor, das sein Gehalt bestätigt – und bietet an, die ersten drei Monatsmieten im Voraus zu überweisen. Di</w:t>
            </w:r>
            <w:r>
              <w:rPr>
                <w:sz w:val="20"/>
                <w:szCs w:val="20"/>
              </w:rPr>
              <w:t>e Zusage kommt zwei Tage später. Die Kaution, in Alberta bis zu einer vollen Monatsmiete zulässig, überweist er direkt an die Verwaltung, nicht an eine Treuhandstelle wie in manch anderer Provinz.</w:t>
            </w:r>
          </w:p>
        </w:tc>
      </w:tr>
    </w:tbl>
    <w:p w14:paraId="70A4FBC6" w14:textId="77777777" w:rsidR="00C1548D" w:rsidRDefault="00C1548D">
      <w:pPr>
        <w:spacing w:line="220" w:lineRule="exact"/>
      </w:pPr>
    </w:p>
    <w:p w14:paraId="70A4FBC7" w14:textId="77777777" w:rsidR="00C1548D" w:rsidRDefault="009B1B4B">
      <w:pPr>
        <w:pStyle w:val="Heading3"/>
        <w:keepNext/>
        <w:jc w:val="center"/>
      </w:pPr>
      <w:r>
        <w:rPr>
          <w:rFonts w:ascii="Amazon Ember" w:eastAsia="Amazon Ember" w:hAnsi="Amazon Ember" w:cs="Amazon Ember"/>
          <w:color w:val="0000FF"/>
          <w:sz w:val="36"/>
          <w:szCs w:val="36"/>
        </w:rPr>
        <w:t>Kaufen: Ablauf, Käuferschutz und das Kaufverbot für Ausländer</w:t>
      </w:r>
    </w:p>
    <w:p w14:paraId="70A4FBC8" w14:textId="77777777" w:rsidR="00C1548D" w:rsidRDefault="009B1B4B">
      <w:pPr>
        <w:spacing w:after="140"/>
      </w:pPr>
      <w:r>
        <w:t>Der Ablauf ähnelt in den Grundzügen dem deutschen Immobilienkauf, nur ohne Notartermin: In den meisten Provinzen prüft ein auf Immobilienrecht spezialisierter Anwalt (</w:t>
      </w:r>
      <w:r>
        <w:rPr>
          <w:i/>
          <w:iCs/>
        </w:rPr>
        <w:t>Real Estate Lawyer</w:t>
      </w:r>
      <w:r>
        <w:t xml:space="preserve">) den Vertrag und wickelt die Übergabe ab, in Québec übernimmt das traditionell ein </w:t>
      </w:r>
      <w:r>
        <w:rPr>
          <w:i/>
          <w:iCs/>
        </w:rPr>
        <w:t>Notaire</w:t>
      </w:r>
      <w:r>
        <w:t>. Ein unterschriebenes Kaufangebot (</w:t>
      </w:r>
      <w:r>
        <w:rPr>
          <w:i/>
          <w:iCs/>
        </w:rPr>
        <w:t>Offer</w:t>
      </w:r>
      <w:r>
        <w:t xml:space="preserve">) ist in den meisten Provinzen sofort bindend, sobald der Verkäufer annimmt –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w:t>
      </w:r>
      <w:r>
        <w:rPr>
          <w:i/>
          <w:iCs/>
        </w:rPr>
        <w:t>Blind Bidding</w:t>
      </w:r>
      <w:r>
        <w:t xml:space="preserve"> verbreitet: Interessenten geben verdeckte Gebote ab, ohne die Angebote der Konkurrenz zu kennen, oft deutlich über dem Angebotspreis – eine sehr kanadische Form des Wettbewerbs, höflich im Ton, aber schonungslos im Ergebnis.</w:t>
      </w:r>
    </w:p>
    <w:p w14:paraId="70A4FBC9" w14:textId="77777777" w:rsidR="00C1548D" w:rsidRDefault="009B1B4B">
      <w:pPr>
        <w:spacing w:after="140"/>
      </w:pPr>
      <w:r>
        <w:t xml:space="preserve">Bei der Finanzierung gilt bundesweit eine gestaffelte Mindestanzahlung: 5 % bei Kaufpreisen bis 500.000 CAD, 10 % auf </w:t>
      </w:r>
      <w:r>
        <w:lastRenderedPageBreak/>
        <w:t>den Anteil darüber bis zur Preisobergrenze für versicherte Hypotheken, die seit Dezember 2024 bei 1,5 Mio. CAD liegt; darüber ist eine Anzahlung von mindestens 20 % Pflicht. Wer weniger als 20 % anzahlt, braucht zusätzlich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w:t>
      </w:r>
      <w:r>
        <w:t>historie akzeptieren.</w:t>
      </w:r>
    </w:p>
    <w:p w14:paraId="70A4FBCA" w14:textId="77777777" w:rsidR="00C1548D" w:rsidRDefault="009B1B4B">
      <w:pPr>
        <w:spacing w:after="140"/>
      </w:pPr>
      <w:r>
        <w:t>Vor dem Angebot lohnt sich eine Hypotheken-Vorabzusage (</w:t>
      </w:r>
      <w:r>
        <w:rPr>
          <w:i/>
          <w:iCs/>
        </w:rPr>
        <w:t>Mortgage Pre-Approval</w:t>
      </w:r>
      <w:r>
        <w:t>) bei der eigenen Bank oder einem Hypothekenmakler – sie zeigt dem Verkäufer, dass die Finanzierung steht, und ist bei Blind-Bidding-Situationen praktisch Pflicht. Eine Haus-Inspektion (</w:t>
      </w:r>
      <w:r>
        <w:rPr>
          <w:i/>
          <w:iCs/>
        </w:rPr>
        <w:t>Home Inspection</w:t>
      </w:r>
      <w:r>
        <w:t>) vor der endgültigen Zusage ist unüblich vorgeschrieben, aber in den meisten Kaufangeboten als Bedingung (</w:t>
      </w:r>
      <w:r>
        <w:rPr>
          <w:i/>
          <w:iCs/>
        </w:rPr>
        <w:t>Condition</w:t>
      </w:r>
      <w:r>
        <w:t>) einbaubar, sofern der Verkäufermarkt das zulässt – in hart umkämpften Lagen verzichten Käufer aus Konkurrenzdruck darauf, was ein reales Risiko bleibt. Zu den Abschlusskosten (</w:t>
      </w:r>
      <w:r>
        <w:rPr>
          <w:i/>
          <w:iCs/>
        </w:rPr>
        <w:t>Closing Costs</w:t>
      </w:r>
      <w:r>
        <w:t>) zählen neben der Grunderwerbsteuer (</w:t>
      </w:r>
      <w:r>
        <w:rPr>
          <w:i/>
          <w:iCs/>
        </w:rPr>
        <w:t>Land Transfer Tax</w:t>
      </w:r>
      <w:r>
        <w:t>, gestaffelt nach Kaufpreis und Provinz) die Anwalts- oder Notargebühren sowie die Grundbucheintragung; als Faustregel kalkulieren Käufer obendrauf 1,5 bis 4 % des Kaufpreises außerhalb der Anzahlung ein.</w:t>
      </w:r>
    </w:p>
    <w:p w14:paraId="70A4FBCB" w14:textId="77777777" w:rsidR="00C1548D" w:rsidRDefault="009B1B4B">
      <w:pPr>
        <w:spacing w:after="140"/>
      </w:pPr>
      <w:r>
        <w:t>Für Käufer ohne Permanent Residence kommt seit dem 1. Januar 2023 eine deutliche Hürde hinzu: Das bundesweite „Prohibition on the Purchase of Residential Property by Non-Canadians Act“ verbietet Nicht-Kanadiern grundsätzlich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w:t>
      </w:r>
      <w:r>
        <w:t xml:space="preserve">rmit hat und noch keine andere Immobilie nach diesem Gesetz erworben hat, darf eine einzige Wohnimmobilie kaufen. Permanent Residents und kanadische Staatsbürger sind vom </w:t>
      </w:r>
      <w:r>
        <w:lastRenderedPageBreak/>
        <w:t>Verbot von vornherein ausgenommen – der PR-Status wirkt hier ganz ähnlich wie in Australien: Er entscheidet, ob dich das Gesetz überhaupt betrifft.</w:t>
      </w:r>
    </w:p>
    <w:p w14:paraId="70A4FBCC" w14:textId="77777777" w:rsidR="00C1548D" w:rsidRDefault="009B1B4B">
      <w:pPr>
        <w:spacing w:after="140"/>
      </w:pPr>
      <w:r>
        <w:t>Zusätzlich erheben zwei Provinzen eine eigene Steuer für ausländische Käufer, unabhängig vom Bundesverbot: Ontario verlangt eine „Non-Resident Speculation Tax“ von 25 % des Kaufpreises landesweit, in Toronto kommt eine städtische Zusatzabgabe von 10 % hinzu – macht zusammen 35 % Aufschlag auf den Kaufpreis. British Columbia erhebt in Metro Vancouver und weiteren festgelegten Regionen eine „Additional Property Transfer Tax“ von 20 %. Alberta und die meisten anderen Provinzen kennen keine vergleichbare Sonder</w:t>
      </w:r>
      <w:r>
        <w:t>steuer. Auch hier gilt: Permanent Residents zahlen diese Steuern nicht, sie treffen ausschließlich „foreign nationals“ ohne PR-Status.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CF"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BCD" w14:textId="77777777" w:rsidR="00C1548D" w:rsidRDefault="009B1B4B">
            <w:pPr>
              <w:keepNext/>
              <w:spacing w:after="70" w:line="240" w:lineRule="auto"/>
            </w:pPr>
            <w:r>
              <w:rPr>
                <w:b/>
                <w:bCs/>
                <w:color w:val="8A6212"/>
                <w:spacing w:val="24"/>
                <w:sz w:val="16"/>
                <w:szCs w:val="16"/>
              </w:rPr>
              <w:t>MERKE</w:t>
            </w:r>
          </w:p>
          <w:p w14:paraId="70A4FBCE" w14:textId="77777777" w:rsidR="00C1548D" w:rsidRDefault="009B1B4B">
            <w:pPr>
              <w:spacing w:after="80" w:line="264" w:lineRule="auto"/>
            </w:pPr>
            <w:r>
              <w:rPr>
                <w:sz w:val="20"/>
                <w:szCs w:val="20"/>
              </w:rPr>
              <w:t>Ob dich das Kaufverbot und die Foreign-Buyer-Steuern treffen, hängt am Aufenthaltsstatus, nicht an Herkunft oder Aufenthaltsdauer. Wer wie Familie Ahrens über Express Entry direkt mit Permanent Residence einreist, ist von der ersten Sekunde an ausgenommen. Wer mit einem befristeten Arbeitsvisum kommt, bleibt „foreign national“, bis der PR-Status offiziell erteilt ist – unabhängig davon, wie lange man schon in Kanada lebt oder Steuern zahlt.</w:t>
            </w:r>
          </w:p>
        </w:tc>
      </w:tr>
    </w:tbl>
    <w:p w14:paraId="70A4FBD0"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D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BD1" w14:textId="77777777" w:rsidR="00C1548D" w:rsidRDefault="009B1B4B">
            <w:pPr>
              <w:keepNext/>
              <w:spacing w:after="70" w:line="240" w:lineRule="auto"/>
            </w:pPr>
            <w:r>
              <w:rPr>
                <w:b/>
                <w:bCs/>
                <w:color w:val="9B2C2C"/>
                <w:spacing w:val="24"/>
                <w:sz w:val="16"/>
                <w:szCs w:val="16"/>
              </w:rPr>
              <w:t>ACHTUNG</w:t>
            </w:r>
          </w:p>
          <w:p w14:paraId="70A4FBD2" w14:textId="77777777" w:rsidR="00C1548D" w:rsidRDefault="009B1B4B">
            <w:pPr>
              <w:spacing w:after="80" w:line="264" w:lineRule="auto"/>
            </w:pPr>
            <w:r>
              <w:rPr>
                <w:sz w:val="20"/>
                <w:szCs w:val="20"/>
              </w:rPr>
              <w:t>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 im Zweifel klärt das ein auf Immobilienrecht spezialisierter Anwalt vorab.</w:t>
            </w:r>
          </w:p>
        </w:tc>
      </w:tr>
    </w:tbl>
    <w:p w14:paraId="70A4FBD4"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BD7"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BD5" w14:textId="77777777" w:rsidR="00C1548D" w:rsidRDefault="009B1B4B">
            <w:pPr>
              <w:keepNext/>
              <w:spacing w:after="70" w:line="240" w:lineRule="auto"/>
            </w:pPr>
            <w:r>
              <w:rPr>
                <w:b/>
                <w:bCs/>
                <w:color w:val="4A5568"/>
                <w:spacing w:val="24"/>
                <w:sz w:val="16"/>
                <w:szCs w:val="16"/>
              </w:rPr>
              <w:lastRenderedPageBreak/>
              <w:t>PRAXISBEISPIEL · FIKTIV</w:t>
            </w:r>
          </w:p>
          <w:p w14:paraId="70A4FBD6" w14:textId="77777777" w:rsidR="00C1548D" w:rsidRDefault="009B1B4B">
            <w:pPr>
              <w:spacing w:after="80" w:line="264" w:lineRule="auto"/>
            </w:pPr>
            <w:r>
              <w:rPr>
                <w:sz w:val="20"/>
                <w:szCs w:val="20"/>
              </w:rPr>
              <w:t>Familie Ahrens (fiktives Beispiel) zieht über Express Entry direkt mit Permanent Residence nach Toronto. Markus und Julia mieten die ersten Monate in Etobicoke, während sie Schuldistrikte für Finn (11) und Mia (7) vergleichen. Als sie nach anderthalb Jahren ein Reihenhaus besichtigen, geben sie ein verdecktes Gebot ab, ohne die Konkurrenz zu kennen – am Ende liegt ihr Angebot knapp über dem von zwei weiteren Familien. Weil sie Permanent Residents sind, zahlen sie nur die reguläre Grunderwerbsteuer (</w:t>
            </w:r>
            <w:r>
              <w:rPr>
                <w:i/>
                <w:iCs/>
                <w:sz w:val="20"/>
                <w:szCs w:val="20"/>
              </w:rPr>
              <w:t>Land Transfer Tax</w:t>
            </w:r>
            <w:r>
              <w:rPr>
                <w:sz w:val="20"/>
                <w:szCs w:val="20"/>
              </w:rPr>
              <w:t>), weder die 35-prozentige Non-Resident Speculation Tax noch braucht es eine Ausnahmegenehmigung vom Kaufverbot. Ein Kollege aus Julias Apotheke, der noch auf einem befristeten Visum arbeitet, hätte für dasselbe Haus rund 385.000 CAD zusätzlich aufbringen müssen – allein wegen des fehlenden PR-Status.</w:t>
            </w:r>
          </w:p>
        </w:tc>
      </w:tr>
    </w:tbl>
    <w:p w14:paraId="70A4FBD8" w14:textId="77777777" w:rsidR="00C1548D" w:rsidRDefault="00C1548D">
      <w:pPr>
        <w:spacing w:line="220" w:lineRule="exact"/>
      </w:pPr>
    </w:p>
    <w:p w14:paraId="70A4FBD9" w14:textId="77777777" w:rsidR="00C1548D" w:rsidRDefault="009B1B4B">
      <w:pPr>
        <w:pStyle w:val="Heading3"/>
        <w:keepNext/>
        <w:jc w:val="center"/>
      </w:pPr>
      <w:r>
        <w:rPr>
          <w:rFonts w:ascii="Amazon Ember" w:eastAsia="Amazon Ember" w:hAnsi="Amazon Ember" w:cs="Amazon Ember"/>
          <w:color w:val="0000FF"/>
          <w:sz w:val="36"/>
          <w:szCs w:val="36"/>
        </w:rPr>
        <w:t>Die besten Orte zum Leben: Klima, Naturgefahren, Kosten, Jobmarkt</w:t>
      </w:r>
    </w:p>
    <w:p w14:paraId="70A4FBDA" w14:textId="77777777" w:rsidR="00C1548D" w:rsidRDefault="009B1B4B">
      <w:pPr>
        <w:spacing w:after="140"/>
      </w:pPr>
      <w:r>
        <w:t>Verbreiteter Irrtum: „Kanada ist überall gleich kalt, also spielt der Wohnort für das Klima kaum eine Rolle.“ Tatsächlich liegen zwischen einem Calgary-Winter mit Chinook-Wärmeeinbrüchen und einem Vancouver-Winter mit Dauerregen bei milden Plusgraden klimatisch Welten – und jede der sechs großen Städte trägt außerdem ihr eigenes Naturgefahren-Risiko, das Versicherer Jahr für Jahr neu bepreisen. Rechne über Miete oder Kaufpreis hinaus auch mit den üblichen Fixkosten für Heizung, Auto und Kinderbetreuung; sie</w:t>
      </w:r>
      <w:r>
        <w:t xml:space="preserve"> schwanken zwischen den Städten spürbar weniger als Miete und Kaufpreis, gehören aber ebenso in die Budgetrechnung.</w:t>
      </w:r>
    </w:p>
    <w:p w14:paraId="70A4FBDB" w14:textId="77777777" w:rsidR="00C1548D" w:rsidRDefault="009B1B4B">
      <w:pPr>
        <w:spacing w:after="140"/>
      </w:pPr>
      <w:r>
        <w:rPr>
          <w:b/>
          <w:bCs/>
        </w:rPr>
        <w:t>Toronto (Ontario)</w:t>
      </w:r>
      <w:r>
        <w:t xml:space="preserve"> hat ein feucht-kontinentales Klima mit warmen, teils schwülen Sommern und kalten, schneereichen Wintern – meist berechenbar, bis zum Derecho vom Mai 2022: Böen bis 190 km/h, rund vier Tornados entlang einer etwa 1.000 Kilometer langen Schneise quer durch Südontario, mehrere Notstandserklärungen. Beim Wohnen ist Toronto die zweitteuerste Metro Kanadas: Miete </w:t>
      </w:r>
      <w:r>
        <w:lastRenderedPageBreak/>
        <w:t>durchschnittlich 2.660 CAD, Kaufpreis rund 993.410 CAD. Der Jobmarkt gleicht das teilweise aus – Toronto ist Kanadas Finanzzentrum („Bay Street“), dazu</w:t>
      </w:r>
      <w:r>
        <w:t xml:space="preserve">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w14:paraId="70A4FBDC" w14:textId="77777777" w:rsidR="00C1548D" w:rsidRDefault="009B1B4B">
      <w:pPr>
        <w:spacing w:after="140"/>
      </w:pPr>
      <w:r>
        <w:rPr>
          <w:b/>
          <w:bCs/>
        </w:rPr>
        <w:t>Vancouver (British Columbia)</w:t>
      </w:r>
      <w:r>
        <w:t xml:space="preserve"> gilt klimatisch als ozeanisch-mild, was die milden Temperaturen betrifft – bei den Niederschlägen aber 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w:t>
      </w:r>
      <w:r>
        <w:t>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w14:paraId="70A4FBDD" w14:textId="77777777" w:rsidR="00C1548D" w:rsidRDefault="009B1B4B">
      <w:pPr>
        <w:spacing w:after="140"/>
      </w:pPr>
      <w:r>
        <w:rPr>
          <w:b/>
          <w:bCs/>
        </w:rPr>
        <w:t>Calgary (Alberta)</w:t>
      </w:r>
      <w:r>
        <w:t xml:space="preserve">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Vancouver: Miete rund 1.900 CAD, Kaufpreis mit 638.440 CAD der niedrigste</w:t>
      </w:r>
      <w:r>
        <w:t xml:space="preserve"> der vier großen Metros. Der Jobmarkt wird von Öl und Gas dominiert, mit rund 45.000 direkt Beschäftigten und weiteren 205.000 Jobs in der Region; Pflegekräfte verdienen hier im Median rund 48 CAD pro Stunde, gegenüber etwa </w:t>
      </w:r>
      <w:r>
        <w:lastRenderedPageBreak/>
        <w:t>41 CAD in Toronto – ein Unterschied von rechnerisch rund 14.500 CAD im Jahr.</w:t>
      </w:r>
    </w:p>
    <w:p w14:paraId="70A4FBDE" w14:textId="77777777" w:rsidR="00C1548D" w:rsidRDefault="009B1B4B">
      <w:pPr>
        <w:spacing w:after="140"/>
      </w:pPr>
      <w:r>
        <w:rPr>
          <w:b/>
          <w:bCs/>
        </w:rPr>
        <w:t>Montréal (Québec)</w:t>
      </w:r>
      <w:r>
        <w:t xml:space="preserve"> hat ebenfalls feucht-kontinentales Klima mit kalten, schneereichen Wintern –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einem internationalen KI-Cluster </w:t>
      </w:r>
      <w:r>
        <w:t>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grundsätzlich Französisch statt Englisch im Behördenkontakt vorschreibt.</w:t>
      </w:r>
    </w:p>
    <w:p w14:paraId="70A4FBDF" w14:textId="77777777" w:rsidR="00C1548D" w:rsidRDefault="009B1B4B">
      <w:pPr>
        <w:spacing w:after="140"/>
      </w:pPr>
      <w:r>
        <w:rPr>
          <w:b/>
          <w:bCs/>
        </w:rPr>
        <w:t>Ottawa (Ontario, mit Gatineau in Québec)</w:t>
      </w:r>
      <w:r>
        <w:t xml:space="preserve"> teilt sich das feucht-kontinentale Klima mit Toronto, ist aber seltener von Tornados betroffen –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w:t>
      </w:r>
      <w:r>
        <w:t>, ergänzt durch den Technologiepark Kanata North mit Schwerpunkt Telekommunikation, Cybersicherheit und Photonik. Der Park beschäftigt laut einer Wirkungsstudie direkt rund 31.000 Menschen, landesweit sollen über 63.000 weitere Jobs von ihm abhängen – Zahlen der lokalen Wirtschaftsförderung, nicht unabhängig geprüft, aber ein Hinweis auf die Größenordnung. Die Deutsche Botschaft hat hier ihren Sitz, dazu ein Goethe-Institut.</w:t>
      </w:r>
    </w:p>
    <w:p w14:paraId="70A4FBE0" w14:textId="77777777" w:rsidR="00C1548D" w:rsidRDefault="009B1B4B">
      <w:pPr>
        <w:spacing w:after="140"/>
      </w:pPr>
      <w:r>
        <w:rPr>
          <w:b/>
          <w:bCs/>
        </w:rPr>
        <w:lastRenderedPageBreak/>
        <w:t>Halifax (Nova Scotia)</w:t>
      </w:r>
      <w:r>
        <w:t xml:space="preserve"> hat ein maritim-gemäßigtes Klima mit milderen Wintern als im kontinentalen Kanada, dafür feucht und stürmisch –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w:t>
      </w:r>
      <w:r>
        <w:t>hr). Der Jobmarkt ist überraschend vielseitig für eine Stadt dieser Größe: Software, Fintech, Health-Tech, Meerestechnologie und Cybersicherheit. Mit unter 1 % Einwanderer-Anteil in IT-Berufen ist Atlantic Canada eine der am wenigsten durch Zuwanderung erschlossenen Tech-Regionen des Landes – eine Chance für Neuankömmlinge, aber auch ein Hinweis darauf, dass sich berufliche Netzwerke vor Ort erst noch aufbauen lassen müssen.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848"/>
        <w:gridCol w:w="1900"/>
        <w:gridCol w:w="1782"/>
      </w:tblGrid>
      <w:tr w:rsidR="00C1548D" w14:paraId="70A4FBE5"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BE1" w14:textId="77777777" w:rsidR="00C1548D" w:rsidRDefault="009B1B4B">
            <w:pPr>
              <w:spacing w:line="250" w:lineRule="auto"/>
            </w:pPr>
            <w:r>
              <w:rPr>
                <w:b/>
                <w:bCs/>
                <w:sz w:val="18"/>
                <w:szCs w:val="18"/>
              </w:rPr>
              <w:t>Stadt</w:t>
            </w:r>
          </w:p>
        </w:tc>
        <w:tc>
          <w:tcPr>
            <w:tcW w:w="184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BE2" w14:textId="77777777" w:rsidR="00C1548D" w:rsidRDefault="009B1B4B">
            <w:pPr>
              <w:spacing w:line="250" w:lineRule="auto"/>
            </w:pPr>
            <w:r>
              <w:rPr>
                <w:b/>
                <w:bCs/>
                <w:sz w:val="18"/>
                <w:szCs w:val="18"/>
              </w:rPr>
              <w:t>Klima und Naturgefahr</w:t>
            </w:r>
          </w:p>
        </w:tc>
        <w:tc>
          <w:tcPr>
            <w:tcW w:w="19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BE3" w14:textId="77777777" w:rsidR="00C1548D" w:rsidRDefault="009B1B4B">
            <w:pPr>
              <w:spacing w:line="250" w:lineRule="auto"/>
            </w:pPr>
            <w:r>
              <w:rPr>
                <w:b/>
                <w:bCs/>
                <w:sz w:val="18"/>
                <w:szCs w:val="18"/>
              </w:rPr>
              <w:t>Kosten (Miete Ø/Monat · Kaufpreis)</w:t>
            </w:r>
          </w:p>
        </w:tc>
        <w:tc>
          <w:tcPr>
            <w:tcW w:w="178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BE4" w14:textId="77777777" w:rsidR="00C1548D" w:rsidRDefault="009B1B4B">
            <w:pPr>
              <w:spacing w:line="250" w:lineRule="auto"/>
            </w:pPr>
            <w:r>
              <w:rPr>
                <w:b/>
                <w:bCs/>
                <w:sz w:val="18"/>
                <w:szCs w:val="18"/>
              </w:rPr>
              <w:t>Jobmarkt-Stärke</w:t>
            </w:r>
          </w:p>
        </w:tc>
      </w:tr>
      <w:tr w:rsidR="00C1548D" w14:paraId="70A4FBE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E6" w14:textId="77777777" w:rsidR="00C1548D" w:rsidRDefault="009B1B4B">
            <w:pPr>
              <w:spacing w:line="250" w:lineRule="auto"/>
            </w:pPr>
            <w:r>
              <w:rPr>
                <w:sz w:val="18"/>
                <w:szCs w:val="18"/>
              </w:rPr>
              <w:t>Toronto</w:t>
            </w:r>
          </w:p>
        </w:tc>
        <w:tc>
          <w:tcPr>
            <w:tcW w:w="18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E7" w14:textId="77777777" w:rsidR="00C1548D" w:rsidRDefault="009B1B4B">
            <w:pPr>
              <w:spacing w:line="250" w:lineRule="auto"/>
            </w:pPr>
            <w:r>
              <w:rPr>
                <w:sz w:val="18"/>
                <w:szCs w:val="18"/>
              </w:rPr>
              <w:t>feucht-kontinental, Derecho-Risiko</w:t>
            </w:r>
          </w:p>
        </w:tc>
        <w:tc>
          <w:tcPr>
            <w:tcW w:w="19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E8" w14:textId="77777777" w:rsidR="00C1548D" w:rsidRDefault="009B1B4B">
            <w:pPr>
              <w:spacing w:line="250" w:lineRule="auto"/>
            </w:pPr>
            <w:r>
              <w:rPr>
                <w:sz w:val="18"/>
                <w:szCs w:val="18"/>
              </w:rPr>
              <w:t>2.660 CAD · 993.410 CAD</w:t>
            </w:r>
          </w:p>
        </w:tc>
        <w:tc>
          <w:tcPr>
            <w:tcW w:w="178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E9" w14:textId="77777777" w:rsidR="00C1548D" w:rsidRDefault="009B1B4B">
            <w:pPr>
              <w:spacing w:line="250" w:lineRule="auto"/>
            </w:pPr>
            <w:r>
              <w:rPr>
                <w:sz w:val="18"/>
                <w:szCs w:val="18"/>
              </w:rPr>
              <w:t>Finanzen (Bay Street), Fintech/Tech</w:t>
            </w:r>
          </w:p>
        </w:tc>
      </w:tr>
      <w:tr w:rsidR="00C1548D" w14:paraId="70A4FBE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EB" w14:textId="77777777" w:rsidR="00C1548D" w:rsidRDefault="009B1B4B">
            <w:pPr>
              <w:spacing w:line="250" w:lineRule="auto"/>
            </w:pPr>
            <w:r>
              <w:rPr>
                <w:sz w:val="18"/>
                <w:szCs w:val="18"/>
              </w:rPr>
              <w:t>Vancouver</w:t>
            </w:r>
          </w:p>
        </w:tc>
        <w:tc>
          <w:tcPr>
            <w:tcW w:w="18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EC" w14:textId="77777777" w:rsidR="00C1548D" w:rsidRDefault="009B1B4B">
            <w:pPr>
              <w:spacing w:line="250" w:lineRule="auto"/>
            </w:pPr>
            <w:r>
              <w:rPr>
                <w:sz w:val="18"/>
                <w:szCs w:val="18"/>
              </w:rPr>
              <w:t>ozeanisch, sehr regenreich, Erdbebenrisiko</w:t>
            </w:r>
          </w:p>
        </w:tc>
        <w:tc>
          <w:tcPr>
            <w:tcW w:w="19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ED" w14:textId="77777777" w:rsidR="00C1548D" w:rsidRDefault="009B1B4B">
            <w:pPr>
              <w:spacing w:line="250" w:lineRule="auto"/>
            </w:pPr>
            <w:r>
              <w:rPr>
                <w:sz w:val="18"/>
                <w:szCs w:val="18"/>
              </w:rPr>
              <w:t>3.100 CAD · 1.081.900 CAD</w:t>
            </w:r>
          </w:p>
        </w:tc>
        <w:tc>
          <w:tcPr>
            <w:tcW w:w="178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EE" w14:textId="77777777" w:rsidR="00C1548D" w:rsidRDefault="009B1B4B">
            <w:pPr>
              <w:spacing w:line="250" w:lineRule="auto"/>
            </w:pPr>
            <w:r>
              <w:rPr>
                <w:sz w:val="18"/>
                <w:szCs w:val="18"/>
              </w:rPr>
              <w:t>Tech/Software, Film/VFX</w:t>
            </w:r>
          </w:p>
        </w:tc>
      </w:tr>
      <w:tr w:rsidR="00C1548D" w14:paraId="70A4FBF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0" w14:textId="77777777" w:rsidR="00C1548D" w:rsidRDefault="009B1B4B">
            <w:pPr>
              <w:spacing w:line="250" w:lineRule="auto"/>
            </w:pPr>
            <w:r>
              <w:rPr>
                <w:sz w:val="18"/>
                <w:szCs w:val="18"/>
              </w:rPr>
              <w:t>Calgary</w:t>
            </w:r>
          </w:p>
        </w:tc>
        <w:tc>
          <w:tcPr>
            <w:tcW w:w="18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1" w14:textId="77777777" w:rsidR="00C1548D" w:rsidRDefault="009B1B4B">
            <w:pPr>
              <w:spacing w:line="250" w:lineRule="auto"/>
            </w:pPr>
            <w:r>
              <w:rPr>
                <w:sz w:val="18"/>
                <w:szCs w:val="18"/>
              </w:rPr>
              <w:t>trocken-kontinental, Chinook-Extreme</w:t>
            </w:r>
          </w:p>
        </w:tc>
        <w:tc>
          <w:tcPr>
            <w:tcW w:w="19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2" w14:textId="77777777" w:rsidR="00C1548D" w:rsidRDefault="009B1B4B">
            <w:pPr>
              <w:spacing w:line="250" w:lineRule="auto"/>
            </w:pPr>
            <w:r>
              <w:rPr>
                <w:sz w:val="18"/>
                <w:szCs w:val="18"/>
              </w:rPr>
              <w:t>1.900 CAD · 638.440 CAD</w:t>
            </w:r>
          </w:p>
        </w:tc>
        <w:tc>
          <w:tcPr>
            <w:tcW w:w="178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3" w14:textId="77777777" w:rsidR="00C1548D" w:rsidRDefault="009B1B4B">
            <w:pPr>
              <w:spacing w:line="250" w:lineRule="auto"/>
            </w:pPr>
            <w:r>
              <w:rPr>
                <w:sz w:val="18"/>
                <w:szCs w:val="18"/>
              </w:rPr>
              <w:t>Öl und Gas</w:t>
            </w:r>
          </w:p>
        </w:tc>
      </w:tr>
      <w:tr w:rsidR="00C1548D" w14:paraId="70A4FBF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5" w14:textId="77777777" w:rsidR="00C1548D" w:rsidRDefault="009B1B4B">
            <w:pPr>
              <w:spacing w:line="250" w:lineRule="auto"/>
            </w:pPr>
            <w:r>
              <w:rPr>
                <w:sz w:val="18"/>
                <w:szCs w:val="18"/>
              </w:rPr>
              <w:t>Montréal</w:t>
            </w:r>
          </w:p>
        </w:tc>
        <w:tc>
          <w:tcPr>
            <w:tcW w:w="18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6" w14:textId="77777777" w:rsidR="00C1548D" w:rsidRDefault="009B1B4B">
            <w:pPr>
              <w:spacing w:line="250" w:lineRule="auto"/>
            </w:pPr>
            <w:r>
              <w:rPr>
                <w:sz w:val="18"/>
                <w:szCs w:val="18"/>
              </w:rPr>
              <w:t>feucht-kontinental, Eissturm-Risiko</w:t>
            </w:r>
          </w:p>
        </w:tc>
        <w:tc>
          <w:tcPr>
            <w:tcW w:w="19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7" w14:textId="77777777" w:rsidR="00C1548D" w:rsidRDefault="009B1B4B">
            <w:pPr>
              <w:spacing w:line="250" w:lineRule="auto"/>
            </w:pPr>
            <w:r>
              <w:rPr>
                <w:sz w:val="18"/>
                <w:szCs w:val="18"/>
              </w:rPr>
              <w:t>1.900 CAD · 689.824 CAD</w:t>
            </w:r>
          </w:p>
        </w:tc>
        <w:tc>
          <w:tcPr>
            <w:tcW w:w="178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8" w14:textId="77777777" w:rsidR="00C1548D" w:rsidRDefault="009B1B4B">
            <w:pPr>
              <w:spacing w:line="250" w:lineRule="auto"/>
            </w:pPr>
            <w:r>
              <w:rPr>
                <w:sz w:val="18"/>
                <w:szCs w:val="18"/>
              </w:rPr>
              <w:t>Luft-/Raumfahrt, KI</w:t>
            </w:r>
          </w:p>
        </w:tc>
      </w:tr>
      <w:tr w:rsidR="00C1548D" w14:paraId="70A4FBF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A" w14:textId="77777777" w:rsidR="00C1548D" w:rsidRDefault="009B1B4B">
            <w:pPr>
              <w:spacing w:line="250" w:lineRule="auto"/>
            </w:pPr>
            <w:r>
              <w:rPr>
                <w:sz w:val="18"/>
                <w:szCs w:val="18"/>
              </w:rPr>
              <w:t>Ottawa</w:t>
            </w:r>
          </w:p>
        </w:tc>
        <w:tc>
          <w:tcPr>
            <w:tcW w:w="18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B" w14:textId="77777777" w:rsidR="00C1548D" w:rsidRDefault="009B1B4B">
            <w:pPr>
              <w:spacing w:line="250" w:lineRule="auto"/>
            </w:pPr>
            <w:r>
              <w:rPr>
                <w:sz w:val="18"/>
                <w:szCs w:val="18"/>
              </w:rPr>
              <w:t>feucht-kontinental, Eissturm-Risiko</w:t>
            </w:r>
          </w:p>
        </w:tc>
        <w:tc>
          <w:tcPr>
            <w:tcW w:w="19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C" w14:textId="77777777" w:rsidR="00C1548D" w:rsidRDefault="009B1B4B">
            <w:pPr>
              <w:spacing w:line="250" w:lineRule="auto"/>
            </w:pPr>
            <w:r>
              <w:rPr>
                <w:sz w:val="18"/>
                <w:szCs w:val="18"/>
              </w:rPr>
              <w:t>2.350 CAD · n. e. (national 668.219 CAD)</w:t>
            </w:r>
          </w:p>
        </w:tc>
        <w:tc>
          <w:tcPr>
            <w:tcW w:w="178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D" w14:textId="77777777" w:rsidR="00C1548D" w:rsidRDefault="009B1B4B">
            <w:pPr>
              <w:spacing w:line="250" w:lineRule="auto"/>
            </w:pPr>
            <w:r>
              <w:rPr>
                <w:sz w:val="18"/>
                <w:szCs w:val="18"/>
              </w:rPr>
              <w:t>Bundesverwaltung, Tech (Kanata North)</w:t>
            </w:r>
          </w:p>
        </w:tc>
      </w:tr>
      <w:tr w:rsidR="00C1548D" w14:paraId="70A4FC0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BFF" w14:textId="77777777" w:rsidR="00C1548D" w:rsidRDefault="009B1B4B">
            <w:pPr>
              <w:spacing w:line="250" w:lineRule="auto"/>
            </w:pPr>
            <w:r>
              <w:rPr>
                <w:sz w:val="18"/>
                <w:szCs w:val="18"/>
              </w:rPr>
              <w:t>Halifax</w:t>
            </w:r>
          </w:p>
        </w:tc>
        <w:tc>
          <w:tcPr>
            <w:tcW w:w="18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00" w14:textId="77777777" w:rsidR="00C1548D" w:rsidRDefault="009B1B4B">
            <w:pPr>
              <w:spacing w:line="250" w:lineRule="auto"/>
            </w:pPr>
            <w:r>
              <w:rPr>
                <w:sz w:val="18"/>
                <w:szCs w:val="18"/>
              </w:rPr>
              <w:t>maritim, Hurrikan-/Sturmrisiko</w:t>
            </w:r>
          </w:p>
        </w:tc>
        <w:tc>
          <w:tcPr>
            <w:tcW w:w="19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01" w14:textId="77777777" w:rsidR="00C1548D" w:rsidRDefault="009B1B4B">
            <w:pPr>
              <w:spacing w:line="250" w:lineRule="auto"/>
            </w:pPr>
            <w:r>
              <w:rPr>
                <w:sz w:val="18"/>
                <w:szCs w:val="18"/>
              </w:rPr>
              <w:t>2.350 CAD · n. e.</w:t>
            </w:r>
          </w:p>
        </w:tc>
        <w:tc>
          <w:tcPr>
            <w:tcW w:w="178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02" w14:textId="77777777" w:rsidR="00C1548D" w:rsidRDefault="009B1B4B">
            <w:pPr>
              <w:spacing w:line="250" w:lineRule="auto"/>
            </w:pPr>
            <w:r>
              <w:rPr>
                <w:sz w:val="18"/>
                <w:szCs w:val="18"/>
              </w:rPr>
              <w:t>Ocean-Tech, Fintech, Cybersicherheit</w:t>
            </w:r>
          </w:p>
        </w:tc>
      </w:tr>
    </w:tbl>
    <w:p w14:paraId="70A4FC04"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0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C05" w14:textId="77777777" w:rsidR="00C1548D" w:rsidRDefault="009B1B4B">
            <w:pPr>
              <w:keepNext/>
              <w:spacing w:after="70" w:line="240" w:lineRule="auto"/>
            </w:pPr>
            <w:r>
              <w:rPr>
                <w:b/>
                <w:bCs/>
                <w:color w:val="9B2C2C"/>
                <w:spacing w:val="24"/>
                <w:sz w:val="16"/>
                <w:szCs w:val="16"/>
              </w:rPr>
              <w:lastRenderedPageBreak/>
              <w:t>ACHTUNG</w:t>
            </w:r>
          </w:p>
          <w:p w14:paraId="70A4FC06" w14:textId="77777777" w:rsidR="00C1548D" w:rsidRDefault="009B1B4B">
            <w:pPr>
              <w:spacing w:after="80" w:line="264" w:lineRule="auto"/>
            </w:pPr>
            <w:r>
              <w:rPr>
                <w:sz w:val="20"/>
                <w:szCs w:val="20"/>
              </w:rPr>
              <w:t>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 nicht erst, nachdem der Vertrag schon unterschrieben ist.</w:t>
            </w:r>
          </w:p>
        </w:tc>
      </w:tr>
    </w:tbl>
    <w:p w14:paraId="70A4FC08" w14:textId="77777777" w:rsidR="00C1548D" w:rsidRDefault="00C1548D">
      <w:pPr>
        <w:spacing w:line="220" w:lineRule="exact"/>
      </w:pPr>
    </w:p>
    <w:p w14:paraId="70A4FC09" w14:textId="77777777" w:rsidR="00C1548D" w:rsidRDefault="009B1B4B">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außerhalb der jeweiligen Innenstadt ein eigenes Fahrzeug einplanen: Der öffentliche Nahverkehr ist meist auf Pendlerkorridore in Richtung Innenstadt ausgelegt, nicht auf die Fläche der Vorstädte, in denen viele Familien mit Kindern</w:t>
      </w:r>
      <w:r>
        <w:t xml:space="preserve"> eher landen.</w:t>
      </w:r>
    </w:p>
    <w:p w14:paraId="70A4FC0A"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C0D"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C0B"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C0C" w14:textId="77777777" w:rsidR="00C1548D" w:rsidRDefault="009B1B4B">
            <w:pPr>
              <w:spacing w:line="250" w:lineRule="auto"/>
            </w:pPr>
            <w:r>
              <w:rPr>
                <w:b/>
                <w:bCs/>
                <w:sz w:val="18"/>
                <w:szCs w:val="18"/>
              </w:rPr>
              <w:t>Minus</w:t>
            </w:r>
          </w:p>
        </w:tc>
      </w:tr>
      <w:tr w:rsidR="00C1548D" w14:paraId="70A4FC1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0E" w14:textId="77777777" w:rsidR="00C1548D" w:rsidRDefault="009B1B4B">
            <w:pPr>
              <w:spacing w:line="250" w:lineRule="auto"/>
            </w:pPr>
            <w:r>
              <w:rPr>
                <w:sz w:val="18"/>
                <w:szCs w:val="18"/>
              </w:rPr>
              <w:t>Permanent Residents sind von Kaufverbot und Foreign-Buyer-Steuern von Anfang an ausgenommen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0F" w14:textId="77777777" w:rsidR="00C1548D" w:rsidRDefault="009B1B4B">
            <w:pPr>
              <w:spacing w:line="250" w:lineRule="auto"/>
            </w:pPr>
            <w:r>
              <w:rPr>
                <w:sz w:val="18"/>
                <w:szCs w:val="18"/>
              </w:rPr>
              <w:t>Nicht-PR-Käufer brauchen ein gültiges Arbeitsvisum mit mindestens 183 Tagen Restlaufzeit</w:t>
            </w:r>
          </w:p>
        </w:tc>
      </w:tr>
      <w:tr w:rsidR="00C1548D" w14:paraId="70A4FC1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11" w14:textId="77777777" w:rsidR="00C1548D" w:rsidRDefault="009B1B4B">
            <w:pPr>
              <w:spacing w:line="250" w:lineRule="auto"/>
            </w:pPr>
            <w:r>
              <w:rPr>
                <w:sz w:val="18"/>
                <w:szCs w:val="18"/>
              </w:rPr>
              <w:t>Ontario und Québec verbieten Schadenskautionen – finanziell entlastend beim Einzug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12" w14:textId="77777777" w:rsidR="00C1548D" w:rsidRDefault="009B1B4B">
            <w:pPr>
              <w:spacing w:line="250" w:lineRule="auto"/>
            </w:pPr>
            <w:r>
              <w:rPr>
                <w:sz w:val="18"/>
                <w:szCs w:val="18"/>
              </w:rPr>
              <w:t>Ohne kanadische Kredithistorie ist die Wohnungssuche merklich schwerer als gedacht</w:t>
            </w:r>
          </w:p>
        </w:tc>
      </w:tr>
      <w:tr w:rsidR="00C1548D" w14:paraId="70A4FC1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14" w14:textId="77777777" w:rsidR="00C1548D" w:rsidRDefault="009B1B4B">
            <w:pPr>
              <w:spacing w:line="250" w:lineRule="auto"/>
            </w:pPr>
            <w:r>
              <w:rPr>
                <w:sz w:val="18"/>
                <w:szCs w:val="18"/>
              </w:rPr>
              <w:t>Calgary und Montréal bieten deutlich günstigeren Wohnraum als Toronto oder Vancouver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15" w14:textId="77777777" w:rsidR="00C1548D" w:rsidRDefault="009B1B4B">
            <w:pPr>
              <w:spacing w:line="250" w:lineRule="auto"/>
            </w:pPr>
            <w:r>
              <w:rPr>
                <w:sz w:val="18"/>
                <w:szCs w:val="18"/>
              </w:rPr>
              <w:t>Diese Städte verlangen Kompromisse bei Sprache (Québec) oder Jobfokus (Calgary)</w:t>
            </w:r>
          </w:p>
        </w:tc>
      </w:tr>
      <w:tr w:rsidR="00C1548D" w14:paraId="70A4FC1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17" w14:textId="77777777" w:rsidR="00C1548D" w:rsidRDefault="009B1B4B">
            <w:pPr>
              <w:spacing w:line="250" w:lineRule="auto"/>
            </w:pPr>
            <w:r>
              <w:rPr>
                <w:sz w:val="18"/>
                <w:szCs w:val="18"/>
              </w:rPr>
              <w:t>BC gewährt als einzige Provinz eine gesetzliche dreitägige Rücktrittsfrist beim Kauf</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18" w14:textId="77777777" w:rsidR="00C1548D" w:rsidRDefault="009B1B4B">
            <w:pPr>
              <w:spacing w:line="250" w:lineRule="auto"/>
            </w:pPr>
            <w:r>
              <w:rPr>
                <w:sz w:val="18"/>
                <w:szCs w:val="18"/>
              </w:rPr>
              <w:t>In den übrigen Provinzen ist ein angenommenes Angebot sofort bindend</w:t>
            </w:r>
          </w:p>
        </w:tc>
      </w:tr>
      <w:tr w:rsidR="00C1548D" w14:paraId="70A4FC1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1A" w14:textId="77777777" w:rsidR="00C1548D" w:rsidRDefault="009B1B4B">
            <w:pPr>
              <w:spacing w:line="250" w:lineRule="auto"/>
            </w:pPr>
            <w:r>
              <w:rPr>
                <w:sz w:val="18"/>
                <w:szCs w:val="18"/>
              </w:rPr>
              <w:t>Jede Stadt hat ein gut dokumentiertes Naturgefahren-Profil, das sich recherchieren lässt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1B" w14:textId="77777777" w:rsidR="00C1548D" w:rsidRDefault="009B1B4B">
            <w:pPr>
              <w:spacing w:line="250" w:lineRule="auto"/>
            </w:pPr>
            <w:r>
              <w:rPr>
                <w:sz w:val="18"/>
                <w:szCs w:val="18"/>
              </w:rPr>
              <w:t>Chinook-Vereisung, Derecho, Eissturm oder Hurrikan können Versicherbarkeit und -kosten merklich beeinflussen</w:t>
            </w:r>
          </w:p>
        </w:tc>
      </w:tr>
    </w:tbl>
    <w:p w14:paraId="70A4FC1D" w14:textId="77777777" w:rsidR="00C1548D" w:rsidRDefault="00C1548D">
      <w:pPr>
        <w:spacing w:line="180" w:lineRule="exact"/>
      </w:pPr>
    </w:p>
    <w:p w14:paraId="70A4FC1E"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jetzt zu tun ist</w:t>
      </w:r>
    </w:p>
    <w:p w14:paraId="70A4FC1F" w14:textId="77777777" w:rsidR="00C1548D" w:rsidRDefault="009B1B4B">
      <w:pPr>
        <w:spacing w:after="140"/>
      </w:pPr>
      <w:r>
        <w:t>Vergleiche vor der Zusage nicht nur das Gehalt, sondern die Kombination aus Miet- oder Kaufniveau, Jobmarkt im eigenen Berufsfeld und Naturgefahren-Profil der Zielstadt. Kläre früh, welchen Aufenthaltsstatus du beim Umzug hast – er entscheidet, ob dich das bundesweite Kaufverbot und die provinziellen Foreign-Buyer-Steuern überhaupt betreffen, und ob eine Bank dich ohne kanadische Kredithistorie finanziert. Miete zunächst, auch wenn ein Kauf verlockt: Du lernst Viertel und Schuldistrikt aus eigener Erfahrung</w:t>
      </w:r>
      <w:r>
        <w:t xml:space="preserve"> kennen und musst dich außerhalb von British Columbia nicht unter Zeitdruck in ein sofort bindendes Kaufangebot hineinsteigern.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2B"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C20" w14:textId="77777777" w:rsidR="00C1548D" w:rsidRDefault="009B1B4B">
            <w:pPr>
              <w:keepNext/>
              <w:spacing w:after="70" w:line="240" w:lineRule="auto"/>
            </w:pPr>
            <w:r>
              <w:rPr>
                <w:b/>
                <w:bCs/>
                <w:color w:val="1F6F78"/>
                <w:spacing w:val="24"/>
                <w:sz w:val="16"/>
                <w:szCs w:val="16"/>
              </w:rPr>
              <w:lastRenderedPageBreak/>
              <w:t>CHECKLISTE</w:t>
            </w:r>
          </w:p>
          <w:p w14:paraId="70A4FC2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Aufenthaltsstatus geklärt: Permanent Resident oder „non-Canadian“ im Sinne des Kaufverbots?</w:t>
            </w:r>
          </w:p>
          <w:p w14:paraId="70A4FC2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befristetem Visum geprüft, ob die 183-Tage-Restlaufzeit für eine Kaufausnahme reicht</w:t>
            </w:r>
          </w:p>
          <w:p w14:paraId="70A4FC2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Provinzielle Foreign-Buyer-Steuer der Zielprovinz recherchiert (Ontario, BC) oder ausgeschlossen (Alberta u. a.)</w:t>
            </w:r>
          </w:p>
          <w:p w14:paraId="70A4FC2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Kautionsregeln der Zielprovinz geprüft (Ontario/Québec: keine Schadenskaution; Alberta/BC: Obergrenzen beachten)</w:t>
            </w:r>
          </w:p>
          <w:p w14:paraId="70A4FC2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Unterlagen für Mietbewerbungen vorbereitet: Gehaltsnachweis, Arbeitsvertrag, ausländische Bonitätsnachweise</w:t>
            </w:r>
          </w:p>
          <w:p w14:paraId="70A4FC2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Kaufabsicht: Real-Estate-Anwalt oder, in Québec, Notaire kontaktiert</w:t>
            </w:r>
          </w:p>
          <w:p w14:paraId="70A4FC2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Finanzierungsbedingungen ohne kanadische Kredithistorie bei mindestens zwei Banken erfragt</w:t>
            </w:r>
          </w:p>
          <w:p w14:paraId="70A4FC2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Naturgefahren-Profil der Zielstadt mit einem konkreten Versicherungsangebot abgeglichen</w:t>
            </w:r>
          </w:p>
          <w:p w14:paraId="70A4FC2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Miet- und Kaufpreise mehrerer Städte im eigenen Berufsfeld verglichen, nicht nur Toronto oder Vancouver</w:t>
            </w:r>
          </w:p>
          <w:p w14:paraId="70A4FC2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Entschieden, mindestens die ersten sechs bis zwölf Monate zu mieten</w:t>
            </w:r>
          </w:p>
        </w:tc>
      </w:tr>
    </w:tbl>
    <w:p w14:paraId="70A4FC2C" w14:textId="77777777" w:rsidR="00C1548D" w:rsidRDefault="00C1548D">
      <w:pPr>
        <w:spacing w:line="220" w:lineRule="exact"/>
      </w:pPr>
    </w:p>
    <w:p w14:paraId="70A4FC2D"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C2E" w14:textId="0BDB94AF" w:rsidR="00C1548D" w:rsidRDefault="009B1B4B" w:rsidP="009B1B4B">
      <w:pPr>
        <w:pStyle w:val="ListParagraph"/>
        <w:numPr>
          <w:ilvl w:val="0"/>
          <w:numId w:val="1"/>
        </w:numPr>
        <w:spacing w:after="60"/>
      </w:pPr>
      <w:r>
        <w:t>Statistics Canada — Quarterly Rent Statistics (</w:t>
      </w:r>
      <w:hyperlink r:id="rId541" w:history="1">
        <w:r>
          <w:rPr>
            <w:color w:val="0563C1"/>
            <w:u w:val="single"/>
          </w:rPr>
          <w:t>statcan.gc.ca</w:t>
        </w:r>
      </w:hyperlink>
      <w:r>
        <w:t>)</w:t>
      </w:r>
    </w:p>
    <w:p w14:paraId="70A4FC2F" w14:textId="1A536BA2" w:rsidR="00C1548D" w:rsidRDefault="009B1B4B" w:rsidP="009B1B4B">
      <w:pPr>
        <w:pStyle w:val="ListParagraph"/>
        <w:numPr>
          <w:ilvl w:val="0"/>
          <w:numId w:val="1"/>
        </w:numPr>
        <w:spacing w:after="60"/>
      </w:pPr>
      <w:r>
        <w:t>CMHC (Canada Mortgage and Housing Corporation) — Rental- und Kaufmarktberichte, Hypothekenregeln (</w:t>
      </w:r>
      <w:hyperlink r:id="rId542" w:history="1">
        <w:r>
          <w:rPr>
            <w:color w:val="0563C1"/>
            <w:u w:val="single"/>
          </w:rPr>
          <w:t>cmhc-schl.gc.ca</w:t>
        </w:r>
      </w:hyperlink>
      <w:r>
        <w:t>)</w:t>
      </w:r>
    </w:p>
    <w:p w14:paraId="70A4FC30" w14:textId="0EB46B11" w:rsidR="00C1548D" w:rsidRDefault="009B1B4B" w:rsidP="009B1B4B">
      <w:pPr>
        <w:pStyle w:val="ListParagraph"/>
        <w:numPr>
          <w:ilvl w:val="0"/>
          <w:numId w:val="1"/>
        </w:numPr>
        <w:spacing w:after="60"/>
      </w:pPr>
      <w:r>
        <w:t>Kanadische Bundesregierung — Prohibition on the Purchase of Residential Property by Non-Canadians Act (</w:t>
      </w:r>
      <w:hyperlink r:id="rId543" w:history="1">
        <w:r>
          <w:rPr>
            <w:color w:val="0563C1"/>
            <w:u w:val="single"/>
          </w:rPr>
          <w:t>canada.ca</w:t>
        </w:r>
      </w:hyperlink>
      <w:r>
        <w:t>)</w:t>
      </w:r>
    </w:p>
    <w:p w14:paraId="70A4FC31" w14:textId="4A17B727" w:rsidR="00C1548D" w:rsidRDefault="009B1B4B" w:rsidP="009B1B4B">
      <w:pPr>
        <w:pStyle w:val="ListParagraph"/>
        <w:numPr>
          <w:ilvl w:val="0"/>
          <w:numId w:val="1"/>
        </w:numPr>
        <w:spacing w:after="60"/>
      </w:pPr>
      <w:r>
        <w:t>Province of British Columbia — Additional Property Transfer Tax, Home Buyer Rescission Period (</w:t>
      </w:r>
      <w:hyperlink r:id="rId544" w:history="1">
        <w:r>
          <w:rPr>
            <w:color w:val="0563C1"/>
            <w:u w:val="single"/>
          </w:rPr>
          <w:t>gov.bc.ca</w:t>
        </w:r>
      </w:hyperlink>
      <w:r>
        <w:t>)</w:t>
      </w:r>
    </w:p>
    <w:p w14:paraId="70A4FC32" w14:textId="71843A4C" w:rsidR="00C1548D" w:rsidRDefault="009B1B4B" w:rsidP="009B1B4B">
      <w:pPr>
        <w:pStyle w:val="ListParagraph"/>
        <w:numPr>
          <w:ilvl w:val="0"/>
          <w:numId w:val="1"/>
        </w:numPr>
        <w:spacing w:after="60"/>
      </w:pPr>
      <w:r>
        <w:t>Ontario — Non-Resident Speculation Tax, Residential Tenancies Act (</w:t>
      </w:r>
      <w:hyperlink r:id="rId545" w:history="1">
        <w:r>
          <w:rPr>
            <w:color w:val="0563C1"/>
            <w:u w:val="single"/>
          </w:rPr>
          <w:t>ontario.ca</w:t>
        </w:r>
      </w:hyperlink>
      <w:r>
        <w:t>)</w:t>
      </w:r>
    </w:p>
    <w:p w14:paraId="70A4FC33" w14:textId="16522A6A" w:rsidR="00C1548D" w:rsidRDefault="009B1B4B" w:rsidP="009B1B4B">
      <w:pPr>
        <w:pStyle w:val="ListParagraph"/>
        <w:numPr>
          <w:ilvl w:val="0"/>
          <w:numId w:val="1"/>
        </w:numPr>
        <w:spacing w:after="60"/>
      </w:pPr>
      <w:r>
        <w:lastRenderedPageBreak/>
        <w:t>Deutsche Auslandsvertretungen in Kanada — Generalkonsulate, Honorarkonsuln (</w:t>
      </w:r>
      <w:hyperlink r:id="rId546" w:history="1">
        <w:r>
          <w:rPr>
            <w:color w:val="0563C1"/>
            <w:u w:val="single"/>
          </w:rPr>
          <w:t>kanada.diplo.de</w:t>
        </w:r>
      </w:hyperlink>
      <w:r>
        <w:t>)</w:t>
      </w:r>
    </w:p>
    <w:p w14:paraId="70A4FC34"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37"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C35" w14:textId="77777777" w:rsidR="00C1548D" w:rsidRDefault="009B1B4B">
            <w:pPr>
              <w:keepNext/>
              <w:spacing w:after="70" w:line="240" w:lineRule="auto"/>
            </w:pPr>
            <w:r>
              <w:rPr>
                <w:b/>
                <w:bCs/>
                <w:color w:val="6B7280"/>
                <w:spacing w:val="24"/>
                <w:sz w:val="16"/>
                <w:szCs w:val="16"/>
              </w:rPr>
              <w:t>STAND</w:t>
            </w:r>
          </w:p>
          <w:p w14:paraId="70A4FC36" w14:textId="77777777" w:rsidR="00C1548D" w:rsidRDefault="009B1B4B">
            <w:pPr>
              <w:spacing w:after="80" w:line="264" w:lineRule="auto"/>
            </w:pPr>
            <w:r>
              <w:rPr>
                <w:sz w:val="20"/>
                <w:szCs w:val="20"/>
              </w:rPr>
              <w:t>September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tc>
      </w:tr>
    </w:tbl>
    <w:p w14:paraId="70A4FC38" w14:textId="77777777" w:rsidR="00C1548D" w:rsidRDefault="00C1548D">
      <w:pPr>
        <w:spacing w:line="220" w:lineRule="exact"/>
      </w:pPr>
    </w:p>
    <w:p w14:paraId="70A4FC39" w14:textId="77777777" w:rsidR="00C1548D" w:rsidRDefault="009B1B4B">
      <w:pPr>
        <w:pStyle w:val="Heading2"/>
        <w:keepNext/>
        <w:pageBreakBefore/>
        <w:jc w:val="center"/>
      </w:pPr>
      <w:bookmarkStart w:id="153" w:name="tka10"/>
      <w:bookmarkStart w:id="154" w:name="_Toc241352528"/>
      <w:r>
        <w:rPr>
          <w:rFonts w:ascii="Amazon Ember" w:eastAsia="Amazon Ember" w:hAnsi="Amazon Ember" w:cs="Amazon Ember"/>
          <w:color w:val="0000FF"/>
          <w:sz w:val="36"/>
          <w:szCs w:val="36"/>
        </w:rPr>
        <w:lastRenderedPageBreak/>
        <w:t>Kanada: Führerschein, Auto und Verkehrsregeln</w:t>
      </w:r>
      <w:bookmarkEnd w:id="153"/>
      <w:bookmarkEnd w:id="154"/>
    </w:p>
    <w:p w14:paraId="70A4FC3A" w14:textId="77777777" w:rsidR="00C1548D" w:rsidRDefault="009B1B4B">
      <w:pPr>
        <w:spacing w:after="140"/>
      </w:pPr>
      <w:r>
        <w:t>Markus Ahrens hält an seiner ersten Kreuzung in Toronto brav vor der roten Ampel – und wundert sich, warum der Wagen hinter ihm hupt, während der Fahrer vor ihm längst gemütlich nach rechts abgebogen ist. Erst beim zweiten Mal fällt ihm das kleine weiße Schild auf: Rechtsabbiegen bei Rot ist erlaubt, sofern niemand es ausdrücklich verbietet. Die gute Nachricht vorweg: Kanada fährt, anders als Australien oder Neuseeland, ganz gewöhnlich rechts, genau wie Deutschland. Die weniger gute Nachricht folgt in loser</w:t>
      </w:r>
      <w:r>
        <w:t xml:space="preserve"> Reihenfolge über die nächsten Wochen – in Form von Vierweg-Stopps, Schulbussen mit ausklappbaren Stoppschildern und, je nach Provinz, einer Winterreifenpflicht, die es in Deutschland so nicht gibt. Wer erwartet hatte, mit dem vertrauten Rechtsverkehr sei die größte Hürde schon genommen, unterschätzt gründlich, wie viel Kleinarbeit ein zweites, zehn Provinzen und drei Territorien umfassendes Rechtssystem noch bereithält. Dieses Kapitel sortiert, was beim Führerschein, beim Autokauf und im Straßenverkehr wir</w:t>
      </w:r>
      <w:r>
        <w:t>klich anders läuft.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42"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C3B" w14:textId="77777777" w:rsidR="00C1548D" w:rsidRDefault="009B1B4B">
            <w:pPr>
              <w:keepNext/>
              <w:spacing w:after="70" w:line="240" w:lineRule="auto"/>
            </w:pPr>
            <w:r>
              <w:rPr>
                <w:b/>
                <w:bCs/>
                <w:color w:val="1F3A5F"/>
                <w:spacing w:val="24"/>
                <w:sz w:val="16"/>
                <w:szCs w:val="16"/>
              </w:rPr>
              <w:lastRenderedPageBreak/>
              <w:t>KURZ GESAGT</w:t>
            </w:r>
          </w:p>
          <w:p w14:paraId="70A4FC3C" w14:textId="77777777" w:rsidR="00C1548D" w:rsidRDefault="009B1B4B" w:rsidP="009B1B4B">
            <w:pPr>
              <w:pStyle w:val="ListParagraph"/>
              <w:numPr>
                <w:ilvl w:val="0"/>
                <w:numId w:val="1"/>
              </w:numPr>
              <w:spacing w:after="50" w:line="264" w:lineRule="auto"/>
            </w:pPr>
            <w:r>
              <w:rPr>
                <w:sz w:val="20"/>
                <w:szCs w:val="20"/>
              </w:rPr>
              <w:t>Kanada fährt rechts wie Deutschland – die eigentliche Umstellung liegt im Detail, nicht in der Fahrbahnseite.</w:t>
            </w:r>
          </w:p>
          <w:p w14:paraId="70A4FC3D" w14:textId="77777777" w:rsidR="00C1548D" w:rsidRDefault="009B1B4B" w:rsidP="009B1B4B">
            <w:pPr>
              <w:pStyle w:val="ListParagraph"/>
              <w:numPr>
                <w:ilvl w:val="0"/>
                <w:numId w:val="1"/>
              </w:numPr>
              <w:spacing w:after="50" w:line="264" w:lineRule="auto"/>
            </w:pPr>
            <w:r>
              <w:rPr>
                <w:sz w:val="20"/>
                <w:szCs w:val="20"/>
              </w:rPr>
              <w:t>Der deutsche Führerschein lässt sich in Ontario, British Columbia, Québec und Alberta ohne Fahrprüfung umtauschen, aber mit sehr unterschiedlichen Fristen: Ontario 60 Tage, British Columbia 90 Tage, Québec 6 Monate.</w:t>
            </w:r>
          </w:p>
          <w:p w14:paraId="70A4FC3E" w14:textId="77777777" w:rsidR="00C1548D" w:rsidRDefault="009B1B4B" w:rsidP="009B1B4B">
            <w:pPr>
              <w:pStyle w:val="ListParagraph"/>
              <w:numPr>
                <w:ilvl w:val="0"/>
                <w:numId w:val="1"/>
              </w:numPr>
              <w:spacing w:after="50" w:line="264" w:lineRule="auto"/>
            </w:pPr>
            <w:r>
              <w:rPr>
                <w:sz w:val="20"/>
                <w:szCs w:val="20"/>
              </w:rPr>
              <w:t>Kfz-Versicherung ist reine Provinzsache: öffentliche Systeme in British Columbia, Saskatchewan, Manitoba und Québec stehen einem privaten Markt in Ontario und den meisten übrigen Provinzen gegenüber – mit Jahresprämien zwischen rund 750 CAD und über 2.000 CAD für dasselbe Risiko.</w:t>
            </w:r>
          </w:p>
          <w:p w14:paraId="70A4FC3F" w14:textId="77777777" w:rsidR="00C1548D" w:rsidRDefault="009B1B4B" w:rsidP="009B1B4B">
            <w:pPr>
              <w:pStyle w:val="ListParagraph"/>
              <w:numPr>
                <w:ilvl w:val="0"/>
                <w:numId w:val="1"/>
              </w:numPr>
              <w:spacing w:after="50" w:line="264" w:lineRule="auto"/>
            </w:pPr>
            <w:r>
              <w:rPr>
                <w:sz w:val="20"/>
                <w:szCs w:val="20"/>
              </w:rPr>
              <w:t>Rechtsabbiegen bei Rot ist fast überall in Kanada erlaubt, mit einer bemerkenswerten Ausnahme: der gesamten Insel Montreal.</w:t>
            </w:r>
          </w:p>
          <w:p w14:paraId="70A4FC40" w14:textId="77777777" w:rsidR="00C1548D" w:rsidRDefault="009B1B4B" w:rsidP="009B1B4B">
            <w:pPr>
              <w:pStyle w:val="ListParagraph"/>
              <w:numPr>
                <w:ilvl w:val="0"/>
                <w:numId w:val="1"/>
              </w:numPr>
              <w:spacing w:after="50" w:line="264" w:lineRule="auto"/>
            </w:pPr>
            <w:r>
              <w:rPr>
                <w:sz w:val="20"/>
                <w:szCs w:val="20"/>
              </w:rPr>
              <w:t>Vierweg-Stopps, Schulbus-Haltepflicht und eine Nulltoleranz für Fahranfänger beim Alkohol gehören zu den Regeln, die Neuankömmlinge zuverlässig unterschätzen.</w:t>
            </w:r>
          </w:p>
          <w:p w14:paraId="70A4FC41" w14:textId="77777777" w:rsidR="00C1548D" w:rsidRDefault="009B1B4B" w:rsidP="009B1B4B">
            <w:pPr>
              <w:pStyle w:val="ListParagraph"/>
              <w:numPr>
                <w:ilvl w:val="0"/>
                <w:numId w:val="1"/>
              </w:numPr>
              <w:spacing w:after="50" w:line="264" w:lineRule="auto"/>
            </w:pPr>
            <w:r>
              <w:rPr>
                <w:sz w:val="20"/>
                <w:szCs w:val="20"/>
              </w:rPr>
              <w:t>Québec verlangt gesetzlich Winterreifen, und Wildunfälle mit Elch oder Hirsch sind ein reales, ernst zu nehmendes Risiko abseits der Städte.</w:t>
            </w:r>
          </w:p>
        </w:tc>
      </w:tr>
    </w:tbl>
    <w:p w14:paraId="70A4FC43" w14:textId="77777777" w:rsidR="00C1548D" w:rsidRDefault="00C1548D">
      <w:pPr>
        <w:spacing w:line="220" w:lineRule="exact"/>
      </w:pPr>
    </w:p>
    <w:p w14:paraId="70A4FC44" w14:textId="77777777" w:rsidR="00C1548D" w:rsidRDefault="009B1B4B">
      <w:pPr>
        <w:pStyle w:val="Heading3"/>
        <w:keepNext/>
        <w:jc w:val="center"/>
      </w:pPr>
      <w:r>
        <w:rPr>
          <w:rFonts w:ascii="Amazon Ember" w:eastAsia="Amazon Ember" w:hAnsi="Amazon Ember" w:cs="Amazon Ember"/>
          <w:color w:val="0000FF"/>
          <w:sz w:val="36"/>
          <w:szCs w:val="36"/>
        </w:rPr>
        <w:t>Führerschein-Umtausch: eine Provinz, eine eigene Frist</w:t>
      </w:r>
    </w:p>
    <w:p w14:paraId="70A4FC45" w14:textId="77777777" w:rsidR="00C1548D" w:rsidRDefault="009B1B4B">
      <w:pPr>
        <w:spacing w:after="140"/>
      </w:pPr>
      <w:r>
        <w:t>Kanada hat, anders als man bei einem Land mit einer Bundesregierung vielleicht erwarten würde, keine landesweit 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grundsätzlich gut: Ontario, British Columbia, Québec und, nach übereinstimme</w:t>
      </w:r>
      <w:r>
        <w:t xml:space="preserve">nden Quellen, auch Alberta erkennen den deutschen Führerschein ohne theoretische oder praktische Prüfung an. Was </w:t>
      </w:r>
      <w:r>
        <w:lastRenderedPageBreak/>
        <w:t>sich zwischen den Provinzen dramatisch unterscheidet, ist die Zeit, die dafür bleibt.</w:t>
      </w:r>
    </w:p>
    <w:p w14:paraId="70A4FC46" w14:textId="77777777" w:rsidR="00C1548D" w:rsidRDefault="009B1B4B">
      <w:pPr>
        <w:spacing w:after="140"/>
      </w:pPr>
      <w:r>
        <w:t>In Ontario bleibt der deutsche Führerschein 60 Tage ab Wohnsitzbegründung gültig, danach ist der Umtausch bei einem DriveTest-Zentrum oder einem ServiceOntario-Büro Pflicht. British Columbia gewährt 90 Tage; die zuständige Behörde ICBC (</w:t>
      </w:r>
      <w:r>
        <w:rPr>
          <w:i/>
          <w:iCs/>
        </w:rPr>
        <w:t>Insurance Corporation of British Columbia</w:t>
      </w:r>
      <w:r>
        <w:t>, der staatliche Versicherer und zugleich Führerscheinstelle der Provinz) verlangt zusätzlich einen Nachweis von mindestens zwei Jahren Fahrerfahrung – in der Regel reicht dafür der deutsche Führerschein selbst, im Zweifel ergänzt um eine Bestätigung der ausstellenden Behörde. Québec ist mit 6 Monaten die großzügigste der drei sicher geprüften Provinzen: Die SAAQ (</w:t>
      </w:r>
      <w:r>
        <w:rPr>
          <w:i/>
          <w:iCs/>
        </w:rPr>
        <w:t>Société de l’assurance automobile du Québec</w:t>
      </w:r>
      <w:r>
        <w:t>, die für Führerschein und Kfz-Versicherung zuständige Provinzbehörde) tauscht ohne Prüfung um, lässt sich mit der Frist aber deutlich mehr Zeit als Ontario oder British Columbia.</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4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C47" w14:textId="77777777" w:rsidR="00C1548D" w:rsidRDefault="009B1B4B">
            <w:pPr>
              <w:keepNext/>
              <w:spacing w:after="70" w:line="240" w:lineRule="auto"/>
            </w:pPr>
            <w:r>
              <w:rPr>
                <w:b/>
                <w:bCs/>
                <w:color w:val="9B2C2C"/>
                <w:spacing w:val="24"/>
                <w:sz w:val="16"/>
                <w:szCs w:val="16"/>
              </w:rPr>
              <w:t>ACHTUNG</w:t>
            </w:r>
          </w:p>
          <w:p w14:paraId="70A4FC48" w14:textId="77777777" w:rsidR="00C1548D" w:rsidRDefault="009B1B4B">
            <w:pPr>
              <w:spacing w:after="80" w:line="264" w:lineRule="auto"/>
            </w:pPr>
            <w:r>
              <w:rPr>
                <w:sz w:val="20"/>
                <w:szCs w:val="20"/>
              </w:rPr>
              <w:t>Wer die Umtauschfrist seiner Provinz verstreichen lässt, fährt anschließend ohne gültigen Führerschein – mit Folgen für Bußgelder und, im Schadensfall, für den Versicherungsschutz. Da Ontario und British Columbia nur 60 beziehungsweise 90 Tage einräumen, lohnt sich ein Termin bei der zuständigen Stelle gleich in den ersten Wochen nach der Ankunft, nicht erst, wenn die Frist schon drückt.</w:t>
            </w:r>
          </w:p>
        </w:tc>
      </w:tr>
    </w:tbl>
    <w:p w14:paraId="70A4FC4A"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4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C4B" w14:textId="77777777" w:rsidR="00C1548D" w:rsidRDefault="009B1B4B">
            <w:pPr>
              <w:keepNext/>
              <w:spacing w:after="70" w:line="240" w:lineRule="auto"/>
            </w:pPr>
            <w:r>
              <w:rPr>
                <w:b/>
                <w:bCs/>
                <w:color w:val="4A5568"/>
                <w:spacing w:val="24"/>
                <w:sz w:val="16"/>
                <w:szCs w:val="16"/>
              </w:rPr>
              <w:lastRenderedPageBreak/>
              <w:t>PRAXISBEISPIEL · FIKTIV</w:t>
            </w:r>
          </w:p>
          <w:p w14:paraId="70A4FC4C" w14:textId="77777777" w:rsidR="00C1548D" w:rsidRDefault="009B1B4B">
            <w:pPr>
              <w:spacing w:after="80" w:line="264" w:lineRule="auto"/>
            </w:pPr>
            <w:r>
              <w:rPr>
                <w:sz w:val="20"/>
                <w:szCs w:val="20"/>
              </w:rPr>
              <w:t>Familie Ahrens (fiktives Beispiel) zieht nach Toronto und ist in den ersten Wochen mit Wohnungssuche, Schulanmeldung für Finn und Mia sowie der neuen Stelle von Markus vollauf beschäftigt. Erst ein Kalendereintrag von Julia erinnert die Familie rechtzeitig an die 60-Tage-Frist. Beim DriveTest-Zentrum reicht Markus seinen deutschen Führerschein, den Reisepass und einen Adressnachweis ein – keine Prüfung, kein Auto, nur Papierkram und eine gute halbe Stunde Wartezeit. Julia, die ihren Termin zwei Wochen späte</w:t>
            </w:r>
            <w:r>
              <w:rPr>
                <w:sz w:val="20"/>
                <w:szCs w:val="20"/>
              </w:rPr>
              <w:t>r legt, ärgert sich anschließend, nicht gleich mitgegangen zu sein: Der zweite Besuch bei derselben Behörde fühlt sich unnötig an, wo ein gemeinsamer Termin genügt hätte.</w:t>
            </w:r>
          </w:p>
        </w:tc>
      </w:tr>
    </w:tbl>
    <w:p w14:paraId="70A4FC4E" w14:textId="77777777" w:rsidR="00C1548D" w:rsidRDefault="00C1548D">
      <w:pPr>
        <w:spacing w:line="220" w:lineRule="exact"/>
      </w:pPr>
    </w:p>
    <w:p w14:paraId="70A4FC4F" w14:textId="77777777" w:rsidR="00C1548D" w:rsidRDefault="009B1B4B">
      <w:pPr>
        <w:spacing w:after="140"/>
      </w:pPr>
      <w:r>
        <w:t xml:space="preserve">Für alle übrigen Provinzen und Territorien – Manitoba, Saskatchewan, die Atlantikprovinzen, Yukon, Nordwest-Territorien, Nunavut –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w:t>
      </w:r>
      <w:r>
        <w:t>Aufenthaltsstatus – wer innerhalb Kanadas die Provinz wechselt, beginnt rechtlich wieder bei null und sollte die neue Frist am Tag des Umzugs notieren, nicht erst beim nächsten Behördengang.</w:t>
      </w:r>
    </w:p>
    <w:p w14:paraId="70A4FC50" w14:textId="77777777" w:rsidR="00C1548D" w:rsidRDefault="009B1B4B">
      <w:pPr>
        <w:pStyle w:val="Heading3"/>
        <w:keepNext/>
        <w:jc w:val="center"/>
      </w:pPr>
      <w:r>
        <w:rPr>
          <w:rFonts w:ascii="Amazon Ember" w:eastAsia="Amazon Ember" w:hAnsi="Amazon Ember" w:cs="Amazon Ember"/>
          <w:color w:val="0000FF"/>
          <w:sz w:val="36"/>
          <w:szCs w:val="36"/>
        </w:rPr>
        <w:t>Autokauf und Kfz-Versicherung: ein Flickenteppich mit echten Preisunterschieden</w:t>
      </w:r>
    </w:p>
    <w:p w14:paraId="70A4FC51" w14:textId="77777777" w:rsidR="00C1548D" w:rsidRDefault="009B1B4B">
      <w:pPr>
        <w:spacing w:after="140"/>
      </w:pPr>
      <w:r>
        <w:t xml:space="preserve">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w:t>
      </w:r>
      <w:r>
        <w:lastRenderedPageBreak/>
        <w:t>vergleichsweise stabilen Preisen. Ontario und die meisten übrigen Provinzen überlassen die Kfz-Versicherung dagegen vollständig privaten Anbietern – mit spürbaren Folgen für den Geldbeutel.</w:t>
      </w:r>
    </w:p>
    <w:p w14:paraId="70A4FC52" w14:textId="77777777" w:rsidR="00C1548D" w:rsidRDefault="009B1B4B">
      <w:pPr>
        <w:spacing w:after="140"/>
      </w:pPr>
      <w:r>
        <w:t>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 weniger als die Hälfte des Ontario-Niveaus für ein vergleichbares Risiko. Wer die Wahl zwischen zw</w:t>
      </w:r>
      <w:r>
        <w:t>ei Provinzen hat und die Kfz-Versicherung als ernsthaften Kostenfaktor einplant, findet hier einen der deutlichsten Unterschiede im ganzen Land.</w:t>
      </w:r>
    </w:p>
    <w:p w14:paraId="70A4FC53" w14:textId="77777777" w:rsidR="00C1548D" w:rsidRDefault="009B1B4B">
      <w:pPr>
        <w:spacing w:after="140"/>
      </w:pPr>
      <w:r>
        <w:t>Als Neuankömmling ohne kanadische Fahr- und Schadenshistorie wirst du von den meisten Versicherern zunächst als höheres Risiko eingestuft und zahlst entsprechend mehr als jemand mit lokaler Historie. Manche Anbieter berücksichtigen eine deutsche Schadenfreiheitsbescheinigung bei der Einstufung, andere nicht – hier lohnt sich echte Marktbeobachtung, kein Verlass auf die erstbeste Offerte.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56"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C54" w14:textId="77777777" w:rsidR="00C1548D" w:rsidRDefault="009B1B4B">
            <w:pPr>
              <w:keepNext/>
              <w:spacing w:after="70" w:line="240" w:lineRule="auto"/>
            </w:pPr>
            <w:r>
              <w:rPr>
                <w:b/>
                <w:bCs/>
                <w:color w:val="2F6B3B"/>
                <w:spacing w:val="24"/>
                <w:sz w:val="16"/>
                <w:szCs w:val="16"/>
              </w:rPr>
              <w:t>SPARTIPP</w:t>
            </w:r>
          </w:p>
          <w:p w14:paraId="70A4FC55" w14:textId="77777777" w:rsidR="00C1548D" w:rsidRDefault="009B1B4B">
            <w:pPr>
              <w:spacing w:after="80" w:line="264" w:lineRule="auto"/>
            </w:pPr>
            <w:r>
              <w:rPr>
                <w:sz w:val="20"/>
                <w:szCs w:val="20"/>
              </w:rPr>
              <w:t>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tc>
      </w:tr>
    </w:tbl>
    <w:p w14:paraId="70A4FC57" w14:textId="77777777" w:rsidR="00C1548D" w:rsidRDefault="00C1548D">
      <w:pPr>
        <w:spacing w:line="220" w:lineRule="exact"/>
      </w:pPr>
    </w:p>
    <w:p w14:paraId="70A4FC58" w14:textId="77777777" w:rsidR="00C1548D" w:rsidRDefault="009B1B4B">
      <w:pPr>
        <w:spacing w:after="140"/>
      </w:pPr>
      <w:r>
        <w:t xml:space="preserve">Der Fahrzeugkauf selbst – ob neu oder gebraucht – läuft regional unterschiedlich ab, folgt aber überall demselben Grundmuster: Kaufvertrag, Übertragung der Zulassung bei der zuständigen Provinzbehörde, Nachweis einer gültigen Versicherung vor der Anmeldung. Anders als beim deutschen TÜV gibt es keine </w:t>
      </w:r>
      <w:r>
        <w:lastRenderedPageBreak/>
        <w:t>bundesweit einheitliche Hauptuntersuchung; ob und wie oft ein Fahrzeug technisch geprüft werden muss, entscheidet wieder einmal die Provinz – manche verlangen eine Prüfung nur beim Halterwechsel, andere gar nicht. Beim Händlerkauf übernimmt der Verkäufer die Ummeldung in der Regel automatisch; beim Privatkauf erledigst du die Übertragung selbst bei der Zulassungsstelle, gegen Vorlage von Kaufvertrag, gültiger Versicherung und einem Identitätsnachweis.</w:t>
      </w:r>
    </w:p>
    <w:p w14:paraId="70A4FC59" w14:textId="77777777" w:rsidR="00C1548D" w:rsidRDefault="009B1B4B">
      <w:pPr>
        <w:spacing w:after="140"/>
      </w:pPr>
      <w:r>
        <w:t>Den eigenen deutschen Wagen mitzubringen ist technisch möglich, aber wegen der kanadischen Zulassungsvorschriften (Transport Canada) und des Zollverfahrens aufwendig genug, dass es sich für die meisten Neuankömmlinge nicht lohnt – ein gebrauchter Wagen vor Ort ist in aller Regel der einfachere Weg.</w:t>
      </w:r>
    </w:p>
    <w:p w14:paraId="70A4FC5A" w14:textId="77777777" w:rsidR="00C1548D" w:rsidRDefault="009B1B4B">
      <w:pPr>
        <w:pStyle w:val="Heading3"/>
        <w:keepNext/>
        <w:jc w:val="center"/>
      </w:pPr>
      <w:r>
        <w:rPr>
          <w:rFonts w:ascii="Amazon Ember" w:eastAsia="Amazon Ember" w:hAnsi="Amazon Ember" w:cs="Amazon Ember"/>
          <w:color w:val="0000FF"/>
          <w:sz w:val="36"/>
          <w:szCs w:val="36"/>
        </w:rPr>
        <w:t>Verkehrsregeln, die im Alltag überraschen</w:t>
      </w:r>
    </w:p>
    <w:p w14:paraId="70A4FC5B" w14:textId="77777777" w:rsidR="00C1548D" w:rsidRDefault="009B1B4B">
      <w:pPr>
        <w:spacing w:after="140"/>
      </w:pPr>
      <w:r>
        <w:t>Tempolimits werden in Kanada, wie in fast der gesamten Welt außerhalb der USA, in km/h angegeben –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 wer deutlich langsamer fährt, k</w:t>
      </w:r>
      <w:r>
        <w:t>ann selbst zum Verkehrshindernis werden.</w:t>
      </w:r>
    </w:p>
    <w:p w14:paraId="70A4FC5C" w14:textId="77777777" w:rsidR="00C1548D" w:rsidRDefault="009B1B4B">
      <w:pPr>
        <w:spacing w:after="140"/>
      </w:pPr>
      <w:r>
        <w:t xml:space="preserve">Die wohl überraschendste Einzelregel betrifft das Rechtsabbiegen bei Rot: In den meisten kanadischen Provinzen ist es nach vollständigem Halt erlaubt, sofern kein Schild es ausdrücklich untersagt – ähnlich wie in den USA. Die einzige große Ausnahme im ganzen Land ist die Insel Montreal: Dort ist Rechtsabbiegen bei Rot flächendeckend verboten, obwohl es im übrigen Québec seit 2003 </w:t>
      </w:r>
      <w:r>
        <w:lastRenderedPageBreak/>
        <w:t>erlaubt ist. Große Schilder an allen Zufahrtsbrücken zur Insel weisen darauf hin; eine Lockerung wird politisch diskutiert, war zuletzt aber nicht beschlossen.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5F"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C5D" w14:textId="77777777" w:rsidR="00C1548D" w:rsidRDefault="009B1B4B">
            <w:pPr>
              <w:keepNext/>
              <w:spacing w:after="70" w:line="240" w:lineRule="auto"/>
            </w:pPr>
            <w:r>
              <w:rPr>
                <w:b/>
                <w:bCs/>
                <w:color w:val="8A6212"/>
                <w:spacing w:val="24"/>
                <w:sz w:val="16"/>
                <w:szCs w:val="16"/>
              </w:rPr>
              <w:t>MERKE</w:t>
            </w:r>
          </w:p>
          <w:p w14:paraId="70A4FC5E" w14:textId="77777777" w:rsidR="00C1548D" w:rsidRDefault="009B1B4B">
            <w:pPr>
              <w:spacing w:after="80" w:line="264" w:lineRule="auto"/>
            </w:pPr>
            <w:r>
              <w:rPr>
                <w:sz w:val="20"/>
                <w:szCs w:val="20"/>
              </w:rPr>
              <w:t>Rechtsabbiegen bei Rot ist in Kanada die Regel, nicht die Ausnahme – außer ausgerechnet auf der Insel Montreal, wo es genau andersherum ist. Wer zwischen Ontario und Québec pendelt oder umzieht, gewöhnt sich zweimal um.</w:t>
            </w:r>
          </w:p>
        </w:tc>
      </w:tr>
    </w:tbl>
    <w:p w14:paraId="70A4FC60" w14:textId="77777777" w:rsidR="00C1548D" w:rsidRDefault="00C1548D">
      <w:pPr>
        <w:spacing w:line="220" w:lineRule="exact"/>
      </w:pPr>
    </w:p>
    <w:p w14:paraId="70A4FC61" w14:textId="77777777" w:rsidR="00C1548D" w:rsidRDefault="009B1B4B">
      <w:pPr>
        <w:spacing w:after="140"/>
      </w:pPr>
      <w:r>
        <w:t xml:space="preserve">An unbeschilderten Kreuzungen mit vier Stoppschildern (dem </w:t>
      </w:r>
      <w:r>
        <w:rPr>
          <w:i/>
          <w:iCs/>
        </w:rPr>
        <w:t>All-Way Stop</w:t>
      </w:r>
      <w:r>
        <w:t>, umgangssprachlich Vierweg-Stopp) gilt eine einfache, aber strikt befolgte Regel: Wer zuerst vollständig anhält, fährt zuerst. Halten zwei Fahrzeuge gleichzeitig, hat das Fahrzeug von rechts Vorfahrt; wer links abbiegen will, muss dem geradeaus fahrenden Gegenverkehr Vorfahrt gewähren. Ein bundesweit einheitliches Vorfahrtsrecht gibt es nicht – Verkehrsrecht ist Provinzsache –, doch die Grundregeln an Vierweg-Stopps sind landesweit erstaunlich ähnlich, was die Umgewöhnung immerhin erleichtert.</w:t>
      </w:r>
    </w:p>
    <w:p w14:paraId="70A4FC62" w14:textId="77777777" w:rsidR="00C1548D" w:rsidRDefault="009B1B4B">
      <w:pPr>
        <w:spacing w:after="140"/>
      </w:pPr>
      <w:r>
        <w:t>Schulbusse verdienen besondere Aufmerksamkeit: Klappt ein Schulbus sein rotes Blinklicht und sein Stoppschild aus, müssen Fahrzeuge aus beiden Richtungen anhalten –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w:t>
      </w:r>
      <w:r>
        <w:t>tremfall bis zu 6 Monate Haft. British Columbia verlangt 368 CAD plus 3 Punkte, Alberta rund 402 CAD.</w:t>
      </w:r>
    </w:p>
    <w:p w14:paraId="70A4FC63" w14:textId="77777777" w:rsidR="00C1548D" w:rsidRDefault="009B1B4B">
      <w:pPr>
        <w:spacing w:after="140"/>
      </w:pPr>
      <w:r>
        <w:t xml:space="preserve">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w:t>
      </w:r>
      <w:r>
        <w:lastRenderedPageBreak/>
        <w:t>Beim Alkohol gilt strafrechtlich landesweit eine Obergrenze von 0,08 % BAC (</w:t>
      </w:r>
      <w:r>
        <w:rPr>
          <w:i/>
          <w:iCs/>
        </w:rPr>
        <w:t>Blood Alcohol Concentration</w:t>
      </w:r>
      <w:r>
        <w:t>,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 in Alberta drohen dafür eine automatische 30-Tage-Sperre und eine 7-tägige Fahrzeugbeschlagnahmung.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6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C64" w14:textId="77777777" w:rsidR="00C1548D" w:rsidRDefault="009B1B4B">
            <w:pPr>
              <w:keepNext/>
              <w:spacing w:after="70" w:line="240" w:lineRule="auto"/>
            </w:pPr>
            <w:r>
              <w:rPr>
                <w:b/>
                <w:bCs/>
                <w:color w:val="9B2C2C"/>
                <w:spacing w:val="24"/>
                <w:sz w:val="16"/>
                <w:szCs w:val="16"/>
              </w:rPr>
              <w:t>ACHTUNG</w:t>
            </w:r>
          </w:p>
          <w:p w14:paraId="70A4FC65" w14:textId="77777777" w:rsidR="00C1548D" w:rsidRDefault="009B1B4B">
            <w:pPr>
              <w:spacing w:after="80" w:line="264" w:lineRule="auto"/>
            </w:pPr>
            <w:r>
              <w:rPr>
                <w:sz w:val="20"/>
                <w:szCs w:val="20"/>
              </w:rPr>
              <w:t>Wer mit Familie nach Kanada zieht und Teenager im Haus hat, sollte die Nulltoleranz für Fahranfänger ernst nehmen – sie gilt für jeden im Graduated-Licensing-System unabhängig vom Lebensalter, nicht nur für Minderjährige. Ein einziges Bier vor der Fahrt reicht für ernsthafte Konsequenzen.</w:t>
            </w:r>
          </w:p>
        </w:tc>
      </w:tr>
    </w:tbl>
    <w:p w14:paraId="70A4FC67" w14:textId="77777777" w:rsidR="00C1548D" w:rsidRDefault="00C1548D">
      <w:pPr>
        <w:spacing w:line="220" w:lineRule="exact"/>
      </w:pPr>
    </w:p>
    <w:p w14:paraId="70A4FC68" w14:textId="77777777" w:rsidR="00C1548D" w:rsidRDefault="009B1B4B">
      <w:pPr>
        <w:spacing w:after="140"/>
      </w:pPr>
      <w:r>
        <w:t>Anders als das deutsche Fahreignungsregister in Flensburg, das bundesweit einheitlich zählt, führt jede kanadische Provinz ihr eigenes Punktesystem (</w:t>
      </w:r>
      <w:r>
        <w:rPr>
          <w:i/>
          <w:iCs/>
        </w:rPr>
        <w:t>Demerit Points</w:t>
      </w:r>
      <w:r>
        <w:t>, Strafpunkte im Führerscheinregister) mit eigenen Schwellenwerten für die Sperre. Wie viele Punkte ein Verstoß kostet und ab wann die Fahrerlaubnis ruht, unterscheidet sich also nicht nur nach Vergehen, sondern auch nach Provinz – ein Umzug innerhalb Kanadas setzt in der Regel auch den eigenen Punktestand auf null, was Neuankömmlinge gelegentlich fälschlich für eine Lücke im System halten, tatsächlich aber schlicht ein weiteres Beispiel für die kanadische Vorliebe für provinzeigene Lösungen ist.</w:t>
      </w:r>
    </w:p>
    <w:p w14:paraId="70A4FC69" w14:textId="77777777" w:rsidR="00C1548D" w:rsidRDefault="009B1B4B">
      <w:pPr>
        <w:spacing w:after="140"/>
      </w:pPr>
      <w:r>
        <w:t xml:space="preserve">Maut ist in Kanada die Ausnahme, nicht die Regel: Nur wenige Provinzen betreiben nennenswerte Mautstrecken, allen voran die Highway 407 ETR rund um Toronto (Ontario, 151,4 Kilometer mit zeit-, zonen- und fahrzeugklassenabhängigen Tarifen) sowie einzelne Brücken in Québec und in den Atlantikprovinzen, etwa die Confederation Bridge zwischen Prince Edward Island und New </w:t>
      </w:r>
      <w:r>
        <w:lastRenderedPageBreak/>
        <w:t>Brunswick. Der Trans-Canada Highway und die meisten Fernstraßen sind mautfrei – ein Unterschied, über den sich niemand beschwert, der aus dem deutschen Autobahnsystem ohnehin nichts anderes kennt.</w:t>
      </w:r>
    </w:p>
    <w:p w14:paraId="70A4FC6A" w14:textId="77777777" w:rsidR="00C1548D" w:rsidRDefault="009B1B4B">
      <w:pPr>
        <w:pStyle w:val="Heading3"/>
        <w:keepNext/>
        <w:jc w:val="center"/>
      </w:pPr>
      <w:r>
        <w:rPr>
          <w:rFonts w:ascii="Amazon Ember" w:eastAsia="Amazon Ember" w:hAnsi="Amazon Ember" w:cs="Amazon Ember"/>
          <w:color w:val="0000FF"/>
          <w:sz w:val="36"/>
          <w:szCs w:val="36"/>
        </w:rPr>
        <w:t>Blitzer und Verkehrskontrollen: uneinheitlich und im Wandel</w:t>
      </w:r>
    </w:p>
    <w:p w14:paraId="70A4FC6B" w14:textId="77777777" w:rsidR="00C1548D" w:rsidRDefault="009B1B4B">
      <w:pPr>
        <w:spacing w:after="140"/>
      </w:pPr>
      <w:r>
        <w:t>Geschwindigkeitskameras (</w:t>
      </w:r>
      <w:r>
        <w:rPr>
          <w:i/>
          <w:iCs/>
        </w:rPr>
        <w:t>Photo Radar</w:t>
      </w:r>
      <w:r>
        <w:t>, automatische Radarblitzer ohne Polizeibeamten vor Ort) sind zwischen den Provinzen so uneinheitlich geregelt wie kaum ein anderes Verkehrsthema, und die Regeln sind 2025/2026 zusätzlich stark in Bewegung. Ontario hat Photo Radar seit November 2025 provinzweit verboten, nachdem es seit 2017 in Schul- und Sicherheitszonen erlaubt war. Alberta untersagt Photo Radar inzwischen auf Provinz-Highways und Verbindungsstraßen; erlaubt bleiben Kameras in Schul-, Spielplatz- und Baustellenzonen sowie Rotlichtkameras,</w:t>
      </w:r>
      <w:r>
        <w:t xml:space="preserve"> die ausschließlich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 ein Blick auf die aktuelle Regelung der Zielprovinz erspart unnötige Überraschungen im Briefkasten.</w:t>
      </w:r>
    </w:p>
    <w:p w14:paraId="70A4FC6C" w14:textId="3A319975" w:rsidR="00C1548D" w:rsidRDefault="009B1B4B">
      <w:pPr>
        <w:spacing w:after="140"/>
      </w:pPr>
      <w:r>
        <w:t xml:space="preserve">Bei einer klassischen Verkehrskontrolle mit Polizei oder RCMP (der kanadischen Bundespolizei, die in den meisten Provinzen außer Ontario und Québec auch als Provinzpolizei auftritt) gilt ein formellerer Ton, als man es von manch informeller deutscher Kontrolle gewohnt ist: im Fahrzeug bleiben, Fenster herunterlassen, Hände sichtbar auf dem Lenkrad halten, jede Bewegung – etwa zum Handschuhfach – vorher ausdrücklich ankündigen. Die Beamtin oder der Beamte muss sich identifizieren und den Grund der Kontrolle </w:t>
      </w:r>
      <w:r>
        <w:t xml:space="preserve">nennen; Führerschein, Fahrzeugzulassung und </w:t>
      </w:r>
      <w:r>
        <w:lastRenderedPageBreak/>
        <w:t xml:space="preserve">Versicherungsnachweis müssen vorgezeigt werden. Ruhiges, kooperatives Auftreten wird von sämtlichen Quellen unabhängig voneinander empfohlen – es ist selten der Moment, um auf dem eigenen Recht zu bestehen, so berechtigt das Anliegen auch sein mag. Der insgesamt formellere, regelorientierte Ton bei Behörden- und Polizeikontakt passt zu einem Muster, das sich durch den kanadischen Alltag zieht und im </w:t>
      </w:r>
      <w:hyperlink w:anchor="tka11" w:history="1">
        <w:r>
          <w:rPr>
            <w:color w:val="0563C1"/>
            <w:u w:val="single"/>
          </w:rPr>
          <w:t>Kapitel zur Alltagskultur in diesem Teil</w:t>
        </w:r>
      </w:hyperlink>
      <w:r>
        <w:t xml:space="preserve"> ausführlicher beschrieben wird.</w:t>
      </w:r>
    </w:p>
    <w:p w14:paraId="70A4FC6D" w14:textId="77777777" w:rsidR="00C1548D" w:rsidRDefault="009B1B4B">
      <w:pPr>
        <w:pStyle w:val="Heading3"/>
        <w:keepNext/>
        <w:jc w:val="center"/>
      </w:pPr>
      <w:r>
        <w:rPr>
          <w:rFonts w:ascii="Amazon Ember" w:eastAsia="Amazon Ember" w:hAnsi="Amazon Ember" w:cs="Amazon Ember"/>
          <w:color w:val="0000FF"/>
          <w:sz w:val="36"/>
          <w:szCs w:val="36"/>
        </w:rPr>
        <w:t>Winterreifenpflicht und Wildunfallrisiko: die kanadische Realität abseits der Stadt</w:t>
      </w:r>
    </w:p>
    <w:p w14:paraId="70A4FC6E" w14:textId="77777777" w:rsidR="00C1548D" w:rsidRDefault="009B1B4B">
      <w:pPr>
        <w:spacing w:after="140"/>
      </w:pPr>
      <w:r>
        <w:t>Québec ist die einzige Provinz mit einer gesetzlichen Winterreifenpflicht: Vom 1. Dezember bis 15. März müssen alle in Québec zugelassenen Fahrzeuge – auch Mietwagen – mit Winterreifen ausgestattet sein, erkennbar am 3PMS-Symbol (der Alpine-Schneeflocke) oder mit Spikereifen. Wer erwischt wird, zahlt 200 bis 300 CAD Bußgeld. Wer ein Fahrzeug erst im Winter neu kauft oder least, hat 7 Tage Zeit für die Montage; Spikereifen sind zusätzlich vom 15. Oktober bis 1. Mai erlaubt. Die meisten anderen Provinzen kenn</w:t>
      </w:r>
      <w:r>
        <w:t>en keine vergleichbare gesetzliche Pflicht, nur regionale Empfehlungen für Bergstraßen – wer aber tatsächlich in einer kanadischen Provinz mit Schnee, Eis und Minusgraden über mehrere Monate lebt, tut auch ohne Gesetz gut daran, im Herbst auf Winterreifen umzurüsten.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71"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C6F" w14:textId="77777777" w:rsidR="00C1548D" w:rsidRDefault="009B1B4B">
            <w:pPr>
              <w:keepNext/>
              <w:spacing w:after="70" w:line="240" w:lineRule="auto"/>
            </w:pPr>
            <w:r>
              <w:rPr>
                <w:b/>
                <w:bCs/>
                <w:color w:val="2F6B3B"/>
                <w:spacing w:val="24"/>
                <w:sz w:val="16"/>
                <w:szCs w:val="16"/>
              </w:rPr>
              <w:t>SPARTIPP</w:t>
            </w:r>
          </w:p>
          <w:p w14:paraId="70A4FC70" w14:textId="77777777" w:rsidR="00C1548D" w:rsidRDefault="009B1B4B">
            <w:pPr>
              <w:spacing w:after="80" w:line="264" w:lineRule="auto"/>
            </w:pPr>
            <w:r>
              <w:rPr>
                <w:sz w:val="20"/>
                <w:szCs w:val="20"/>
              </w:rPr>
              <w:t>Plane die Winterreifen-Anschaffung gleich beim Autokauf mit ein, statt sie als spätere Zusatzausgabe zu behandeln – gerade in Québec sinkt mit den richtigen Reifen nicht nur das Bußgeldrisiko, sondern messbar auch die Versicherungsprämie bei manchen Anbietern.</w:t>
            </w:r>
          </w:p>
        </w:tc>
      </w:tr>
    </w:tbl>
    <w:p w14:paraId="70A4FC72" w14:textId="77777777" w:rsidR="00C1548D" w:rsidRDefault="00C1548D">
      <w:pPr>
        <w:spacing w:line="220" w:lineRule="exact"/>
      </w:pPr>
    </w:p>
    <w:p w14:paraId="70A4FC73" w14:textId="77777777" w:rsidR="00C1548D" w:rsidRDefault="009B1B4B">
      <w:pPr>
        <w:spacing w:after="140"/>
      </w:pPr>
      <w:r>
        <w:lastRenderedPageBreak/>
        <w:t>Das zweite, weniger offensichtliche Risiko kanadischer Landstraßen sind Wildunfälle. Rund 45.000 gemeldete Kollisionen mit Wildtieren ereignen sich jedes Jahr in Kanada, mit vermutlich erheblicher Dunkelziffer –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w:t>
      </w:r>
      <w:r>
        <w:t xml:space="preserve"> einem Elch verbunden, knapp ein Drittel mit einem Hirsch – ein Elch bringt bis zu 700 Kilogramm auf die Waage und trifft ein Auto in Kopfhöhe des Fahrers, was das Risiko bei einer Kollision deutlich erhöht. Alberta allein meldet in den vergangenen Jahren regelmäßig über 4.250 tote Hirsche sowie 400 bis 500 tote Elche jährlich durch Fahrzeugkollisionen.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76"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C74" w14:textId="77777777" w:rsidR="00C1548D" w:rsidRDefault="009B1B4B">
            <w:pPr>
              <w:keepNext/>
              <w:spacing w:after="70" w:line="240" w:lineRule="auto"/>
            </w:pPr>
            <w:r>
              <w:rPr>
                <w:b/>
                <w:bCs/>
                <w:color w:val="4A5568"/>
                <w:spacing w:val="24"/>
                <w:sz w:val="16"/>
                <w:szCs w:val="16"/>
              </w:rPr>
              <w:t>PRAXISBEISPIEL · FIKTIV</w:t>
            </w:r>
          </w:p>
          <w:p w14:paraId="70A4FC75" w14:textId="77777777" w:rsidR="00C1548D" w:rsidRDefault="009B1B4B">
            <w:pPr>
              <w:spacing w:after="80" w:line="264" w:lineRule="auto"/>
            </w:pPr>
            <w:r>
              <w:rPr>
                <w:sz w:val="20"/>
                <w:szCs w:val="20"/>
              </w:rPr>
              <w:t>Lukas Berger (fiktives Beispiel) fährt in seinem ersten Winter in Calgary abends von einem Kollegentreffen zurück, als kurz nach der Stadtgrenze ohne Vorwarnung ein Hirsch am Straßenrand auftaucht und in letzter Sekunde die Fahrbahn kreuzt. Nur die Vollbremsung – und ein gehöriger Schreck – verhindern Schlimmeres. Seither fährt er in der Dämmerung außerhalb der Stadt merklich langsamer und hält bei Wildwarnschildern konsequent das angegebene Tempo ein, auch wenn die Straße gerade und die Sicht gut erscheint</w:t>
            </w:r>
            <w:r>
              <w:rPr>
                <w:sz w:val="20"/>
                <w:szCs w:val="20"/>
              </w:rPr>
              <w:t>. Seinen Kollegen, die die Geschichte mit trockenem Humor als „typische Alberta-Begrüßung“ kommentieren, kann er inzwischen selbst darüber lachen – beim ersten Mal war ihm nicht danach.</w:t>
            </w:r>
          </w:p>
        </w:tc>
      </w:tr>
    </w:tbl>
    <w:p w14:paraId="70A4FC77"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7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C78" w14:textId="77777777" w:rsidR="00C1548D" w:rsidRDefault="009B1B4B">
            <w:pPr>
              <w:keepNext/>
              <w:spacing w:after="70" w:line="240" w:lineRule="auto"/>
            </w:pPr>
            <w:r>
              <w:rPr>
                <w:b/>
                <w:bCs/>
                <w:color w:val="8A6212"/>
                <w:spacing w:val="24"/>
                <w:sz w:val="16"/>
                <w:szCs w:val="16"/>
              </w:rPr>
              <w:t>MERKE</w:t>
            </w:r>
          </w:p>
          <w:p w14:paraId="70A4FC79" w14:textId="77777777" w:rsidR="00C1548D" w:rsidRDefault="009B1B4B">
            <w:pPr>
              <w:spacing w:after="80" w:line="264" w:lineRule="auto"/>
            </w:pPr>
            <w:r>
              <w:rPr>
                <w:sz w:val="20"/>
                <w:szCs w:val="20"/>
              </w:rPr>
              <w:t>Wildwarnschilder auf kanadischen Landstraßen sind keine Dekoration. Besonders in der Dämmerung und in den ersten und letzten Stunden der Dunkelheit lohnt sich spürbar reduziertes Tempo – der Bremsweg, den ein Elch oder Hirsch dir schenkt, ist meist kürzer, als man hofft.</w:t>
            </w:r>
          </w:p>
        </w:tc>
      </w:tr>
    </w:tbl>
    <w:p w14:paraId="70A4FC7B" w14:textId="77777777" w:rsidR="00C1548D" w:rsidRDefault="00C1548D">
      <w:pPr>
        <w:spacing w:line="220" w:lineRule="exact"/>
      </w:pPr>
    </w:p>
    <w:p w14:paraId="70A4FC7C"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C7F"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C7D"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C7E" w14:textId="77777777" w:rsidR="00C1548D" w:rsidRDefault="009B1B4B">
            <w:pPr>
              <w:spacing w:line="250" w:lineRule="auto"/>
            </w:pPr>
            <w:r>
              <w:rPr>
                <w:b/>
                <w:bCs/>
                <w:sz w:val="18"/>
                <w:szCs w:val="18"/>
              </w:rPr>
              <w:t>Minus</w:t>
            </w:r>
          </w:p>
        </w:tc>
      </w:tr>
      <w:tr w:rsidR="00C1548D" w14:paraId="70A4FC8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80" w14:textId="77777777" w:rsidR="00C1548D" w:rsidRDefault="009B1B4B">
            <w:pPr>
              <w:spacing w:line="250" w:lineRule="auto"/>
            </w:pPr>
            <w:r>
              <w:rPr>
                <w:sz w:val="18"/>
                <w:szCs w:val="18"/>
              </w:rPr>
              <w:t>Rechtsverkehr wie in Deutschland – keine Umgewöhnung der Fahrbahnseite nötig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81" w14:textId="77777777" w:rsidR="00C1548D" w:rsidRDefault="009B1B4B">
            <w:pPr>
              <w:spacing w:line="250" w:lineRule="auto"/>
            </w:pPr>
            <w:r>
              <w:rPr>
                <w:sz w:val="18"/>
                <w:szCs w:val="18"/>
              </w:rPr>
              <w:t>Führerschein-Umtausch mit sehr unterschiedlichen Fristen je Provinz</w:t>
            </w:r>
          </w:p>
        </w:tc>
      </w:tr>
      <w:tr w:rsidR="00C1548D" w14:paraId="70A4FC8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83" w14:textId="77777777" w:rsidR="00C1548D" w:rsidRDefault="009B1B4B">
            <w:pPr>
              <w:spacing w:line="250" w:lineRule="auto"/>
            </w:pPr>
            <w:r>
              <w:rPr>
                <w:sz w:val="18"/>
                <w:szCs w:val="18"/>
              </w:rPr>
              <w:t>Umtausch in den wichtigsten Provinzen ohne Fahrprüfung möglich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84" w14:textId="77777777" w:rsidR="00C1548D" w:rsidRDefault="009B1B4B">
            <w:pPr>
              <w:spacing w:line="250" w:lineRule="auto"/>
            </w:pPr>
            <w:r>
              <w:rPr>
                <w:sz w:val="18"/>
                <w:szCs w:val="18"/>
              </w:rPr>
              <w:t>Kfz-Versicherung als Neuankömmling ohne lokale Historie merklich teurer</w:t>
            </w:r>
          </w:p>
        </w:tc>
      </w:tr>
      <w:tr w:rsidR="00C1548D" w14:paraId="70A4FC8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86" w14:textId="77777777" w:rsidR="00C1548D" w:rsidRDefault="009B1B4B">
            <w:pPr>
              <w:spacing w:line="250" w:lineRule="auto"/>
            </w:pPr>
            <w:r>
              <w:rPr>
                <w:sz w:val="18"/>
                <w:szCs w:val="18"/>
              </w:rPr>
              <w:t>Tempo in km/h, keine Umrechnung wie bei US-Zielen nötig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87" w14:textId="77777777" w:rsidR="00C1548D" w:rsidRDefault="009B1B4B">
            <w:pPr>
              <w:spacing w:line="250" w:lineRule="auto"/>
            </w:pPr>
            <w:r>
              <w:rPr>
                <w:sz w:val="18"/>
                <w:szCs w:val="18"/>
              </w:rPr>
              <w:t>Öffentliche und private Versicherungssysteme unterscheiden sich stark im Preis</w:t>
            </w:r>
          </w:p>
        </w:tc>
      </w:tr>
      <w:tr w:rsidR="00C1548D" w14:paraId="70A4FC8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89" w14:textId="77777777" w:rsidR="00C1548D" w:rsidRDefault="009B1B4B">
            <w:pPr>
              <w:spacing w:line="250" w:lineRule="auto"/>
            </w:pPr>
            <w:r>
              <w:rPr>
                <w:sz w:val="18"/>
                <w:szCs w:val="18"/>
              </w:rPr>
              <w:t>Vierweg-Stopps und Rechtsabbiegen bei Rot folgen klaren, lernbaren Regeln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8A" w14:textId="77777777" w:rsidR="00C1548D" w:rsidRDefault="009B1B4B">
            <w:pPr>
              <w:spacing w:line="250" w:lineRule="auto"/>
            </w:pPr>
            <w:r>
              <w:rPr>
                <w:sz w:val="18"/>
                <w:szCs w:val="18"/>
              </w:rPr>
              <w:t>Insel Montreal als Ausnahme vom Rechtsabbiegen-bei-Rot verwirrt viele</w:t>
            </w:r>
          </w:p>
        </w:tc>
      </w:tr>
      <w:tr w:rsidR="00C1548D" w14:paraId="70A4FC8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8C" w14:textId="77777777" w:rsidR="00C1548D" w:rsidRDefault="009B1B4B">
            <w:pPr>
              <w:spacing w:line="250" w:lineRule="auto"/>
            </w:pPr>
            <w:r>
              <w:rPr>
                <w:sz w:val="18"/>
                <w:szCs w:val="18"/>
              </w:rPr>
              <w:t>Mautfreie Fernstraßen im ganzen Land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8D" w14:textId="77777777" w:rsidR="00C1548D" w:rsidRDefault="009B1B4B">
            <w:pPr>
              <w:spacing w:line="250" w:lineRule="auto"/>
            </w:pPr>
            <w:r>
              <w:rPr>
                <w:sz w:val="18"/>
                <w:szCs w:val="18"/>
              </w:rPr>
              <w:t>Winterreifenpflicht in Québec und reales Wildunfallrisiko landesweit</w:t>
            </w:r>
          </w:p>
        </w:tc>
      </w:tr>
      <w:tr w:rsidR="00C1548D" w14:paraId="70A4FC9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8F" w14:textId="77777777" w:rsidR="00C1548D" w:rsidRDefault="009B1B4B">
            <w:pPr>
              <w:spacing w:line="250" w:lineRule="auto"/>
            </w:pPr>
            <w:r>
              <w:rPr>
                <w:sz w:val="18"/>
                <w:szCs w:val="18"/>
              </w:rPr>
              <w:t>Nulltoleranz für Fahranfänger erhöht die Sicherheit auf den Straßen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90" w14:textId="77777777" w:rsidR="00C1548D" w:rsidRDefault="009B1B4B">
            <w:pPr>
              <w:spacing w:line="250" w:lineRule="auto"/>
            </w:pPr>
            <w:r>
              <w:rPr>
                <w:sz w:val="18"/>
                <w:szCs w:val="18"/>
              </w:rPr>
              <w:t>Bußgelder für Handy und Schulbus-Verstöße erreichen empfindliche Höhen</w:t>
            </w:r>
          </w:p>
        </w:tc>
      </w:tr>
    </w:tbl>
    <w:p w14:paraId="70A4FC92" w14:textId="77777777" w:rsidR="00C1548D" w:rsidRDefault="00C1548D">
      <w:pPr>
        <w:spacing w:line="180" w:lineRule="exact"/>
      </w:pPr>
    </w:p>
    <w:p w14:paraId="70A4FC93"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C94" w14:textId="77777777" w:rsidR="00C1548D" w:rsidRDefault="009B1B4B" w:rsidP="009B1B4B">
      <w:pPr>
        <w:pStyle w:val="ListParagraph"/>
        <w:numPr>
          <w:ilvl w:val="0"/>
          <w:numId w:val="47"/>
        </w:numPr>
        <w:spacing w:after="60"/>
      </w:pPr>
      <w:r>
        <w:t>Vor dem Abflug: Umtauschfrist und Anerkennungsregel der Zielprovinz bei der zuständigen Behörde direkt bestätigen, nicht nur bei Drittanbieter-Seiten.</w:t>
      </w:r>
    </w:p>
    <w:p w14:paraId="70A4FC95" w14:textId="77777777" w:rsidR="00C1548D" w:rsidRDefault="009B1B4B" w:rsidP="009B1B4B">
      <w:pPr>
        <w:pStyle w:val="ListParagraph"/>
        <w:numPr>
          <w:ilvl w:val="0"/>
          <w:numId w:val="47"/>
        </w:numPr>
        <w:spacing w:after="60"/>
      </w:pPr>
      <w:r>
        <w:t>In den ersten Wochen: Termin für den Führerschein-Umtausch buchen, mehrere Kfz-Versicherungsangebote einholen und vergleichen.</w:t>
      </w:r>
    </w:p>
    <w:p w14:paraId="70A4FC96" w14:textId="77777777" w:rsidR="00C1548D" w:rsidRDefault="009B1B4B" w:rsidP="009B1B4B">
      <w:pPr>
        <w:pStyle w:val="ListParagraph"/>
        <w:numPr>
          <w:ilvl w:val="0"/>
          <w:numId w:val="47"/>
        </w:numPr>
        <w:spacing w:after="60"/>
      </w:pPr>
      <w:r>
        <w:t>Vor der ersten längeren Fahrt: Vierweg-Stopp-Regeln, Schulbus-Haltepflicht und – je nach Provinz und Jahreszeit – Winterreifenpflicht und Wildunfallrisiko einplanen.</w:t>
      </w:r>
    </w:p>
    <w:p w14:paraId="70A4FC97"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A3"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C98" w14:textId="77777777" w:rsidR="00C1548D" w:rsidRDefault="009B1B4B">
            <w:pPr>
              <w:keepNext/>
              <w:spacing w:after="70" w:line="240" w:lineRule="auto"/>
            </w:pPr>
            <w:r>
              <w:rPr>
                <w:b/>
                <w:bCs/>
                <w:color w:val="1F6F78"/>
                <w:spacing w:val="24"/>
                <w:sz w:val="16"/>
                <w:szCs w:val="16"/>
              </w:rPr>
              <w:lastRenderedPageBreak/>
              <w:t>CHECKLISTE</w:t>
            </w:r>
          </w:p>
          <w:p w14:paraId="70A4FC9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Umtauschfrist der Zielprovinz bei der zuständigen Führerscheinbehörde bestätigt (Ontario 60 Tage, British Columbia 90 Tage, Québec 6 Monate)</w:t>
            </w:r>
          </w:p>
          <w:p w14:paraId="70A4FC9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Termin für den Führerschein-Umtausch in den ersten Wochen nach Ankunft eingeplant</w:t>
            </w:r>
          </w:p>
          <w:p w14:paraId="70A4FC9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British Columbia: Nachweis von mindestens 2 Jahren Fahrerfahrung bereitgelegt</w:t>
            </w:r>
          </w:p>
          <w:p w14:paraId="70A4FC9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Mindestens drei Kfz-Versicherungsangebote mit identischer Deckung eingeholt</w:t>
            </w:r>
          </w:p>
          <w:p w14:paraId="70A4FC9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Nachgefragt, ob eine deutsche Schadenfreiheitsbescheinigung die Einstufung verbessert</w:t>
            </w:r>
          </w:p>
          <w:p w14:paraId="70A4FC9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Regeln zum Rechtsabbiegen bei Rot der Zielprovinz gekannt (Sonderfall Insel Montreal beachtet)</w:t>
            </w:r>
          </w:p>
          <w:p w14:paraId="70A4FC9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Vierweg-Stopp- und Schulbus-Regeln verinnerlicht</w:t>
            </w:r>
          </w:p>
          <w:p w14:paraId="70A4FCA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Zuzug nach Québec: Winterreifen mit 3PMS-Symbol vor dem 1. Dezember montiert</w:t>
            </w:r>
          </w:p>
          <w:p w14:paraId="70A4FCA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Fahrweise bei Dämmerung und Dunkelheit an das Wildunfallrisiko angepasst</w:t>
            </w:r>
          </w:p>
          <w:p w14:paraId="70A4FCA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Umzug zwischen Provinzen neue Umtauschfrist ab Wohnsitzwechsel geprüft</w:t>
            </w:r>
          </w:p>
        </w:tc>
      </w:tr>
    </w:tbl>
    <w:p w14:paraId="70A4FCA4" w14:textId="77777777" w:rsidR="00C1548D" w:rsidRDefault="00C1548D">
      <w:pPr>
        <w:spacing w:line="220" w:lineRule="exact"/>
      </w:pPr>
    </w:p>
    <w:p w14:paraId="70A4FCA5"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CA6" w14:textId="3FBAF56F" w:rsidR="00C1548D" w:rsidRDefault="009B1B4B" w:rsidP="009B1B4B">
      <w:pPr>
        <w:pStyle w:val="ListParagraph"/>
        <w:numPr>
          <w:ilvl w:val="0"/>
          <w:numId w:val="1"/>
        </w:numPr>
        <w:spacing w:after="60"/>
      </w:pPr>
      <w:r>
        <w:t xml:space="preserve">Führerscheinbehörden der Provinzen — Umtausch, Fristen: </w:t>
      </w:r>
      <w:hyperlink r:id="rId547" w:history="1">
        <w:r>
          <w:rPr>
            <w:color w:val="0563C1"/>
            <w:u w:val="single"/>
          </w:rPr>
          <w:t>drivetest.ca</w:t>
        </w:r>
      </w:hyperlink>
      <w:r>
        <w:t xml:space="preserve"> (Ontario), </w:t>
      </w:r>
      <w:hyperlink r:id="rId548" w:history="1">
        <w:r>
          <w:rPr>
            <w:color w:val="0563C1"/>
            <w:u w:val="single"/>
          </w:rPr>
          <w:t>icbc.com</w:t>
        </w:r>
      </w:hyperlink>
      <w:r>
        <w:t xml:space="preserve"> (British Columbia), </w:t>
      </w:r>
      <w:hyperlink r:id="rId549" w:history="1">
        <w:r>
          <w:rPr>
            <w:color w:val="0563C1"/>
            <w:u w:val="single"/>
          </w:rPr>
          <w:t>saaq.gouv.qc.ca</w:t>
        </w:r>
      </w:hyperlink>
      <w:r>
        <w:t xml:space="preserve"> (Québec)</w:t>
      </w:r>
    </w:p>
    <w:p w14:paraId="70A4FCA7" w14:textId="3243D5C4" w:rsidR="00C1548D" w:rsidRDefault="009B1B4B" w:rsidP="009B1B4B">
      <w:pPr>
        <w:pStyle w:val="ListParagraph"/>
        <w:numPr>
          <w:ilvl w:val="0"/>
          <w:numId w:val="1"/>
        </w:numPr>
        <w:spacing w:after="60"/>
      </w:pPr>
      <w:r>
        <w:t xml:space="preserve">RCMP — Verhalten bei Verkehrskontrollen für Neuankömmlinge: </w:t>
      </w:r>
      <w:hyperlink r:id="rId550" w:history="1">
        <w:r>
          <w:rPr>
            <w:color w:val="0563C1"/>
            <w:u w:val="single"/>
          </w:rPr>
          <w:t>rcmp.ca</w:t>
        </w:r>
      </w:hyperlink>
    </w:p>
    <w:p w14:paraId="70A4FCA8" w14:textId="31D7BDC5" w:rsidR="00C1548D" w:rsidRDefault="009B1B4B" w:rsidP="009B1B4B">
      <w:pPr>
        <w:pStyle w:val="ListParagraph"/>
        <w:numPr>
          <w:ilvl w:val="0"/>
          <w:numId w:val="1"/>
        </w:numPr>
        <w:spacing w:after="60"/>
      </w:pPr>
      <w:r>
        <w:t xml:space="preserve">Gouvernement du Québec — Winterreifenpflicht: </w:t>
      </w:r>
      <w:hyperlink r:id="rId551" w:history="1">
        <w:r>
          <w:rPr>
            <w:color w:val="0563C1"/>
            <w:u w:val="single"/>
          </w:rPr>
          <w:t>quebec.ca</w:t>
        </w:r>
      </w:hyperlink>
    </w:p>
    <w:p w14:paraId="70A4FCA9" w14:textId="2F1454A1" w:rsidR="00C1548D" w:rsidRDefault="009B1B4B" w:rsidP="009B1B4B">
      <w:pPr>
        <w:pStyle w:val="ListParagraph"/>
        <w:numPr>
          <w:ilvl w:val="0"/>
          <w:numId w:val="1"/>
        </w:numPr>
        <w:spacing w:after="60"/>
      </w:pPr>
      <w:r>
        <w:t xml:space="preserve">Wildlife Collision Prevention Program — Wildunfallstatistik: </w:t>
      </w:r>
      <w:hyperlink r:id="rId552" w:history="1">
        <w:r>
          <w:rPr>
            <w:color w:val="0563C1"/>
            <w:u w:val="single"/>
          </w:rPr>
          <w:t>wildlifecollisions.ca</w:t>
        </w:r>
      </w:hyperlink>
    </w:p>
    <w:p w14:paraId="70A4FCAA" w14:textId="15821D86" w:rsidR="00C1548D" w:rsidRDefault="009B1B4B" w:rsidP="009B1B4B">
      <w:pPr>
        <w:pStyle w:val="ListParagraph"/>
        <w:numPr>
          <w:ilvl w:val="0"/>
          <w:numId w:val="1"/>
        </w:numPr>
        <w:spacing w:after="60"/>
      </w:pPr>
      <w:r>
        <w:t xml:space="preserve">Kfz-Versicherungsvergleich — Provinzunterschiede: </w:t>
      </w:r>
      <w:hyperlink r:id="rId553" w:history="1">
        <w:r>
          <w:rPr>
            <w:color w:val="0563C1"/>
            <w:u w:val="single"/>
          </w:rPr>
          <w:t>rates.ca</w:t>
        </w:r>
      </w:hyperlink>
    </w:p>
    <w:p w14:paraId="70A4FCAB" w14:textId="6AFDA907" w:rsidR="00C1548D" w:rsidRDefault="009B1B4B" w:rsidP="009B1B4B">
      <w:pPr>
        <w:pStyle w:val="ListParagraph"/>
        <w:numPr>
          <w:ilvl w:val="0"/>
          <w:numId w:val="1"/>
        </w:numPr>
        <w:spacing w:after="60"/>
      </w:pPr>
      <w:r>
        <w:lastRenderedPageBreak/>
        <w:t xml:space="preserve">Deutsche Botschaft Ottawa und Generalkonsulate in Kanada — Führerschein und Ankunft: </w:t>
      </w:r>
      <w:hyperlink r:id="rId554" w:history="1">
        <w:r>
          <w:rPr>
            <w:color w:val="0563C1"/>
            <w:u w:val="single"/>
          </w:rPr>
          <w:t>kanada.diplo.de</w:t>
        </w:r>
      </w:hyperlink>
    </w:p>
    <w:p w14:paraId="70A4FCAC"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AF"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CAD" w14:textId="77777777" w:rsidR="00C1548D" w:rsidRDefault="009B1B4B">
            <w:pPr>
              <w:keepNext/>
              <w:spacing w:after="70" w:line="240" w:lineRule="auto"/>
            </w:pPr>
            <w:r>
              <w:rPr>
                <w:b/>
                <w:bCs/>
                <w:color w:val="6B7280"/>
                <w:spacing w:val="24"/>
                <w:sz w:val="16"/>
                <w:szCs w:val="16"/>
              </w:rPr>
              <w:t>STAND</w:t>
            </w:r>
          </w:p>
          <w:p w14:paraId="70A4FCAE" w14:textId="77777777" w:rsidR="00C1548D" w:rsidRDefault="009B1B4B">
            <w:pPr>
              <w:spacing w:after="80" w:line="264" w:lineRule="auto"/>
            </w:pPr>
            <w:r>
              <w:rPr>
                <w:sz w:val="20"/>
                <w:szCs w:val="20"/>
              </w:rPr>
              <w:t>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zuständigen Behörde deiner Zielprovinz.</w:t>
            </w:r>
          </w:p>
        </w:tc>
      </w:tr>
    </w:tbl>
    <w:p w14:paraId="70A4FCB0" w14:textId="77777777" w:rsidR="00C1548D" w:rsidRDefault="00C1548D">
      <w:pPr>
        <w:spacing w:line="220" w:lineRule="exact"/>
      </w:pPr>
    </w:p>
    <w:p w14:paraId="70A4FCB1" w14:textId="77777777" w:rsidR="00C1548D" w:rsidRDefault="009B1B4B">
      <w:pPr>
        <w:pStyle w:val="Heading2"/>
        <w:keepNext/>
        <w:pageBreakBefore/>
        <w:jc w:val="center"/>
      </w:pPr>
      <w:bookmarkStart w:id="155" w:name="tka11"/>
      <w:bookmarkStart w:id="156" w:name="_Toc241352529"/>
      <w:r>
        <w:rPr>
          <w:rFonts w:ascii="Amazon Ember" w:eastAsia="Amazon Ember" w:hAnsi="Amazon Ember" w:cs="Amazon Ember"/>
          <w:color w:val="0000FF"/>
          <w:sz w:val="36"/>
          <w:szCs w:val="36"/>
        </w:rPr>
        <w:lastRenderedPageBreak/>
        <w:t>Kanada: Alltagskultur und Umgangsformen</w:t>
      </w:r>
      <w:bookmarkEnd w:id="155"/>
      <w:bookmarkEnd w:id="156"/>
    </w:p>
    <w:p w14:paraId="70A4FCB2" w14:textId="77777777" w:rsidR="00C1548D" w:rsidRDefault="009B1B4B">
      <w:pPr>
        <w:spacing w:after="140"/>
      </w:pPr>
      <w:r>
        <w:t>Julia Ahrens rempelt im Supermarkt in Toronto versehentlich einen fremden Einkaufswagen – und bevor sie selbst „Entschuldigung“ sagen kann, hat sich die andere Person bereits zweimal entschuldigt, obwohl unstrittig der Ahrens’sche Wagen der Übeltäter war. Sie wird diese Szene, mit kleinen Variationen, in den kommenden Monaten noch etliche Male erleben. Kanadier entschuldigen sich, so scheint es zuweilen, für die bloße Tatsache, im selben Raum zu existieren – ein Understatement, das eher britisch als amerika</w:t>
      </w:r>
      <w:r>
        <w:t>nisch wirkt, und das für direkte deutsche Gemüter anfangs schwerer zu lesen ist, als es sich anhört. Nicht weil es unehrlich wäre, sondern weil es eine eigene Grammatik hat, die dieses Kapitel zu entschlüsseln versucht.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BA"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CB3" w14:textId="77777777" w:rsidR="00C1548D" w:rsidRDefault="009B1B4B">
            <w:pPr>
              <w:keepNext/>
              <w:spacing w:after="70" w:line="240" w:lineRule="auto"/>
            </w:pPr>
            <w:r>
              <w:rPr>
                <w:b/>
                <w:bCs/>
                <w:color w:val="1F3A5F"/>
                <w:spacing w:val="24"/>
                <w:sz w:val="16"/>
                <w:szCs w:val="16"/>
              </w:rPr>
              <w:lastRenderedPageBreak/>
              <w:t>KURZ GESAGT</w:t>
            </w:r>
          </w:p>
          <w:p w14:paraId="70A4FCB4" w14:textId="77777777" w:rsidR="00C1548D" w:rsidRDefault="009B1B4B" w:rsidP="009B1B4B">
            <w:pPr>
              <w:pStyle w:val="ListParagraph"/>
              <w:numPr>
                <w:ilvl w:val="0"/>
                <w:numId w:val="1"/>
              </w:numPr>
              <w:spacing w:after="50" w:line="264" w:lineRule="auto"/>
            </w:pPr>
            <w:r>
              <w:rPr>
                <w:sz w:val="20"/>
                <w:szCs w:val="20"/>
              </w:rPr>
              <w:t>Kanadische Umgangsformen sind höflich, indirekt und auffällig entschuldigungsfreudig – das berühmte „Sorry“ ist mehr Reflex als echte Entschuldigung.</w:t>
            </w:r>
          </w:p>
          <w:p w14:paraId="70A4FCB5" w14:textId="77777777" w:rsidR="00C1548D" w:rsidRDefault="009B1B4B" w:rsidP="009B1B4B">
            <w:pPr>
              <w:pStyle w:val="ListParagraph"/>
              <w:numPr>
                <w:ilvl w:val="0"/>
                <w:numId w:val="1"/>
              </w:numPr>
              <w:spacing w:after="50" w:line="264" w:lineRule="auto"/>
            </w:pPr>
            <w:r>
              <w:rPr>
                <w:sz w:val="20"/>
                <w:szCs w:val="20"/>
              </w:rPr>
              <w:t>Deutsche Direktheit, in Deutschland oft als ehrlich und effizient verstanden, wirkt in Kanada schnell hart oder unhöflich; Kritik kommt eher verpackt.</w:t>
            </w:r>
          </w:p>
          <w:p w14:paraId="70A4FCB6" w14:textId="77777777" w:rsidR="00C1548D" w:rsidRDefault="009B1B4B" w:rsidP="009B1B4B">
            <w:pPr>
              <w:pStyle w:val="ListParagraph"/>
              <w:numPr>
                <w:ilvl w:val="0"/>
                <w:numId w:val="1"/>
              </w:numPr>
              <w:spacing w:after="50" w:line="264" w:lineRule="auto"/>
            </w:pPr>
            <w:r>
              <w:rPr>
                <w:sz w:val="20"/>
                <w:szCs w:val="20"/>
              </w:rPr>
              <w:t>Kanada versteht sich offiziell als „Mosaik“ statt als „Schmelztiegel“: Einwanderergruppen sollen ihre kulturelle Eigenheit bewahren, nicht sich vollständig angleichen – ein bewusster Gegenentwurf zum US-amerikanischen Modell.</w:t>
            </w:r>
          </w:p>
          <w:p w14:paraId="70A4FCB7" w14:textId="77777777" w:rsidR="00C1548D" w:rsidRDefault="009B1B4B" w:rsidP="009B1B4B">
            <w:pPr>
              <w:pStyle w:val="ListParagraph"/>
              <w:numPr>
                <w:ilvl w:val="0"/>
                <w:numId w:val="1"/>
              </w:numPr>
              <w:spacing w:after="50" w:line="264" w:lineRule="auto"/>
            </w:pPr>
            <w:r>
              <w:rPr>
                <w:sz w:val="20"/>
                <w:szCs w:val="20"/>
              </w:rPr>
              <w:t>Anders als in Deutschland ist es unüblich, Fremde auf Regelverstöße hinzuweisen; informelle soziale Kontrolle ist schwächer ausgeprägt.</w:t>
            </w:r>
          </w:p>
          <w:p w14:paraId="70A4FCB8" w14:textId="77777777" w:rsidR="00C1548D" w:rsidRDefault="009B1B4B" w:rsidP="009B1B4B">
            <w:pPr>
              <w:pStyle w:val="ListParagraph"/>
              <w:numPr>
                <w:ilvl w:val="0"/>
                <w:numId w:val="1"/>
              </w:numPr>
              <w:spacing w:after="50" w:line="264" w:lineRule="auto"/>
            </w:pPr>
            <w:r>
              <w:rPr>
                <w:sz w:val="20"/>
                <w:szCs w:val="20"/>
              </w:rPr>
              <w:t>Québec bildet den kulturellen Sonderfall: Französisch ist einzige Amtssprache, und das Sprachgesetz Bill 96 lässt Neuankömmlingen nur 6 Monate, um noch auf Englisch mit Behörden zu kommunizieren.</w:t>
            </w:r>
          </w:p>
          <w:p w14:paraId="70A4FCB9" w14:textId="77777777" w:rsidR="00C1548D" w:rsidRDefault="009B1B4B" w:rsidP="009B1B4B">
            <w:pPr>
              <w:pStyle w:val="ListParagraph"/>
              <w:numPr>
                <w:ilvl w:val="0"/>
                <w:numId w:val="1"/>
              </w:numPr>
              <w:spacing w:after="50" w:line="264" w:lineRule="auto"/>
            </w:pPr>
            <w:r>
              <w:rPr>
                <w:sz w:val="20"/>
                <w:szCs w:val="20"/>
              </w:rPr>
              <w:t>Kleine Alltagsrituale wie Trinkgeld, das kanadische „Eh“ und eine insgesamt zurückhaltendere Gesprächskultur runden das Bild ab.</w:t>
            </w:r>
          </w:p>
        </w:tc>
      </w:tr>
    </w:tbl>
    <w:p w14:paraId="70A4FCBB" w14:textId="77777777" w:rsidR="00C1548D" w:rsidRDefault="00C1548D">
      <w:pPr>
        <w:spacing w:line="220" w:lineRule="exact"/>
      </w:pPr>
    </w:p>
    <w:p w14:paraId="70A4FCBC" w14:textId="77777777" w:rsidR="00C1548D" w:rsidRDefault="009B1B4B">
      <w:pPr>
        <w:pStyle w:val="Heading3"/>
        <w:keepNext/>
        <w:jc w:val="center"/>
      </w:pPr>
      <w:r>
        <w:rPr>
          <w:rFonts w:ascii="Amazon Ember" w:eastAsia="Amazon Ember" w:hAnsi="Amazon Ember" w:cs="Amazon Ember"/>
          <w:color w:val="0000FF"/>
          <w:sz w:val="36"/>
          <w:szCs w:val="36"/>
        </w:rPr>
        <w:t>Höflichkeit und die „Sorry“-Kultur</w:t>
      </w:r>
    </w:p>
    <w:p w14:paraId="70A4FCBD" w14:textId="77777777" w:rsidR="00C1548D" w:rsidRDefault="009B1B4B">
      <w:pPr>
        <w:spacing w:after="140"/>
      </w:pPr>
      <w:r>
        <w:t>Wer aus Deutschland kommt, wo eine Entschuldigung in der Regel bedeutet, dass tatsächlich ein Fehler passiert ist, muss sich in Kanada an eine großzügigere Verwendung des Wortes gewöhnen. „Sorry“ fällt, wenn jemand an dir vorbeigehen möchte, wenn zwei Personen gleichzeitig zu sprechen beginnen, wenn du selbst im Weg stehst, und gelegentlich auch dann, wenn objektiv gar nichts vorgefallen ist. Es ist weniger ein Schuldeingeständnis als ein soziales Schmiermittel, das Reibung im Alltag abfedert, bevor sie übe</w:t>
      </w:r>
      <w:r>
        <w:t>rhaupt entsteht. Wer das nicht weiß, überschätzt am Anfang leicht, wie viele echte Missgeschicke ihm angeblich unterlaufen.</w:t>
      </w:r>
    </w:p>
    <w:p w14:paraId="70A4FCBE" w14:textId="77777777" w:rsidR="00C1548D" w:rsidRDefault="009B1B4B">
      <w:pPr>
        <w:spacing w:after="140"/>
      </w:pPr>
      <w:r>
        <w:t xml:space="preserve">Der kanadische Kommunikationsstil insgesamt gilt im Vergleich zu Deutschland als spürbar indirekter und höflicher. Direkte, in </w:t>
      </w:r>
      <w:r>
        <w:lastRenderedPageBreak/>
        <w:t>Deutschland oft als ehrlich und effizient verstandene Kritik – „Das funktioniert so nicht“, ohne weitere Verpackung – kann in Kanada schnell hart oder gar unhöflich wirken. Kanadier verpacken unangenehme Botschaften lieber in eine Frage oder einen beiläufigen Nebensatz, bevor der eigentliche Punkt kommt, und erwarten von ihrem Gegenüber, dass es zwischen den Zeilen liest. Ein zu forsches „Nein, das sehe ich anders“ auf einer Teambesprechung erzeugt eher betretenes Schweigen als eine offene Diskussion.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C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CBF" w14:textId="77777777" w:rsidR="00C1548D" w:rsidRDefault="009B1B4B">
            <w:pPr>
              <w:keepNext/>
              <w:spacing w:after="70" w:line="240" w:lineRule="auto"/>
            </w:pPr>
            <w:r>
              <w:rPr>
                <w:b/>
                <w:bCs/>
                <w:color w:val="9B2C2C"/>
                <w:spacing w:val="24"/>
                <w:sz w:val="16"/>
                <w:szCs w:val="16"/>
              </w:rPr>
              <w:t>ACHTUNG</w:t>
            </w:r>
          </w:p>
          <w:p w14:paraId="70A4FCC0" w14:textId="77777777" w:rsidR="00C1548D" w:rsidRDefault="009B1B4B">
            <w:pPr>
              <w:spacing w:after="80" w:line="264" w:lineRule="auto"/>
            </w:pPr>
            <w:r>
              <w:rPr>
                <w:sz w:val="20"/>
                <w:szCs w:val="20"/>
              </w:rPr>
              <w:t>Was in Deutschland als sachlich und lösungsorientiert gilt, kommt in Kanada leicht als Angriff an. Formuliere Kritik und Widerspruch grundsätzlich eine Stufe vorsichtiger, als du es aus deutschen Meetings gewohnt bist – mit einer einleitenden positiven Bemerkung und einer Frage statt einer Feststellung fährst du in aller Regel besser.</w:t>
            </w:r>
          </w:p>
        </w:tc>
      </w:tr>
    </w:tbl>
    <w:p w14:paraId="70A4FCC2" w14:textId="77777777" w:rsidR="00C1548D" w:rsidRDefault="00C1548D">
      <w:pPr>
        <w:spacing w:line="220" w:lineRule="exact"/>
      </w:pPr>
    </w:p>
    <w:p w14:paraId="70A4FCC3" w14:textId="77777777" w:rsidR="00C1548D" w:rsidRDefault="009B1B4B">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in der Regel langsamer als in direkteren Kulturen – die freundliche Fassade ist echt gemeint, aber sie ist eben zunächst Fassade, keine sofortige Einladung zur Freundschaft.</w:t>
      </w:r>
    </w:p>
    <w:p w14:paraId="70A4FCC4" w14:textId="77777777" w:rsidR="00C1548D" w:rsidRDefault="009B1B4B">
      <w:pPr>
        <w:spacing w:after="140"/>
      </w:pPr>
      <w:r>
        <w:t>Für den beruflichen Alltag lohnt sich eine bewusste Übersetzungsübung zwischen deutscher und kanadischer Formulierung. Dieselbe Sachaussage lässt sich fast immer eine Stufe vorsichtiger verpacken, ohne an Substanz zu verlieren: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77"/>
        <w:gridCol w:w="1959"/>
        <w:gridCol w:w="2944"/>
      </w:tblGrid>
      <w:tr w:rsidR="00C1548D" w14:paraId="70A4FCC8" w14:textId="77777777">
        <w:tblPrEx>
          <w:tblCellMar>
            <w:top w:w="0" w:type="dxa"/>
            <w:bottom w:w="0" w:type="dxa"/>
          </w:tblCellMar>
        </w:tblPrEx>
        <w:trPr>
          <w:cantSplit/>
          <w:tblHeader/>
        </w:trPr>
        <w:tc>
          <w:tcPr>
            <w:tcW w:w="15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CC5" w14:textId="77777777" w:rsidR="00C1548D" w:rsidRDefault="009B1B4B">
            <w:pPr>
              <w:spacing w:line="250" w:lineRule="auto"/>
            </w:pPr>
            <w:r>
              <w:rPr>
                <w:b/>
                <w:bCs/>
                <w:sz w:val="18"/>
                <w:szCs w:val="18"/>
              </w:rPr>
              <w:t>Deutsche Formulierung</w:t>
            </w:r>
          </w:p>
        </w:tc>
        <w:tc>
          <w:tcPr>
            <w:tcW w:w="195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CC6" w14:textId="77777777" w:rsidR="00C1548D" w:rsidRDefault="009B1B4B">
            <w:pPr>
              <w:spacing w:line="250" w:lineRule="auto"/>
            </w:pPr>
            <w:r>
              <w:rPr>
                <w:b/>
                <w:bCs/>
                <w:sz w:val="18"/>
                <w:szCs w:val="18"/>
              </w:rPr>
              <w:t>Wirkung in Kanada</w:t>
            </w:r>
          </w:p>
        </w:tc>
        <w:tc>
          <w:tcPr>
            <w:tcW w:w="294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CC7" w14:textId="77777777" w:rsidR="00C1548D" w:rsidRDefault="009B1B4B">
            <w:pPr>
              <w:spacing w:line="250" w:lineRule="auto"/>
            </w:pPr>
            <w:r>
              <w:rPr>
                <w:b/>
                <w:bCs/>
                <w:sz w:val="18"/>
                <w:szCs w:val="18"/>
              </w:rPr>
              <w:t>Kanadische Alternative</w:t>
            </w:r>
          </w:p>
        </w:tc>
      </w:tr>
      <w:tr w:rsidR="00C1548D" w14:paraId="70A4FCCC" w14:textId="77777777">
        <w:tblPrEx>
          <w:tblCellMar>
            <w:top w:w="0" w:type="dxa"/>
            <w:bottom w:w="0" w:type="dxa"/>
          </w:tblCellMar>
        </w:tblPrEx>
        <w:trPr>
          <w:cantSplit/>
        </w:trPr>
        <w:tc>
          <w:tcPr>
            <w:tcW w:w="1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C9" w14:textId="77777777" w:rsidR="00C1548D" w:rsidRDefault="009B1B4B">
            <w:pPr>
              <w:spacing w:line="250" w:lineRule="auto"/>
            </w:pPr>
            <w:r>
              <w:rPr>
                <w:sz w:val="18"/>
                <w:szCs w:val="18"/>
              </w:rPr>
              <w:t>„Das funktioniert so nicht.“</w:t>
            </w:r>
          </w:p>
        </w:tc>
        <w:tc>
          <w:tcPr>
            <w:tcW w:w="19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CA" w14:textId="77777777" w:rsidR="00C1548D" w:rsidRDefault="009B1B4B">
            <w:pPr>
              <w:spacing w:line="250" w:lineRule="auto"/>
            </w:pPr>
            <w:r>
              <w:rPr>
                <w:sz w:val="18"/>
                <w:szCs w:val="18"/>
              </w:rPr>
              <w:t>wirkt wie ein persönlicher Vorwurf</w:t>
            </w:r>
          </w:p>
        </w:tc>
        <w:tc>
          <w:tcPr>
            <w:tcW w:w="29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CB" w14:textId="77777777" w:rsidR="00C1548D" w:rsidRDefault="009B1B4B">
            <w:pPr>
              <w:spacing w:line="250" w:lineRule="auto"/>
            </w:pPr>
            <w:r>
              <w:rPr>
                <w:sz w:val="18"/>
                <w:szCs w:val="18"/>
              </w:rPr>
              <w:t>„I’m not sure this approach will get us there – could we look at it differently?“</w:t>
            </w:r>
          </w:p>
        </w:tc>
      </w:tr>
      <w:tr w:rsidR="00C1548D" w14:paraId="70A4FCD0" w14:textId="77777777">
        <w:tblPrEx>
          <w:tblCellMar>
            <w:top w:w="0" w:type="dxa"/>
            <w:bottom w:w="0" w:type="dxa"/>
          </w:tblCellMar>
        </w:tblPrEx>
        <w:trPr>
          <w:cantSplit/>
        </w:trPr>
        <w:tc>
          <w:tcPr>
            <w:tcW w:w="1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CD" w14:textId="77777777" w:rsidR="00C1548D" w:rsidRDefault="009B1B4B">
            <w:pPr>
              <w:spacing w:line="250" w:lineRule="auto"/>
            </w:pPr>
            <w:r>
              <w:rPr>
                <w:sz w:val="18"/>
                <w:szCs w:val="18"/>
              </w:rPr>
              <w:lastRenderedPageBreak/>
              <w:t>„Ich bin anderer Meinung.“</w:t>
            </w:r>
          </w:p>
        </w:tc>
        <w:tc>
          <w:tcPr>
            <w:tcW w:w="19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CE" w14:textId="77777777" w:rsidR="00C1548D" w:rsidRDefault="009B1B4B">
            <w:pPr>
              <w:spacing w:line="250" w:lineRule="auto"/>
            </w:pPr>
            <w:r>
              <w:rPr>
                <w:sz w:val="18"/>
                <w:szCs w:val="18"/>
              </w:rPr>
              <w:t>klingt konfrontativ</w:t>
            </w:r>
          </w:p>
        </w:tc>
        <w:tc>
          <w:tcPr>
            <w:tcW w:w="29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CF" w14:textId="77777777" w:rsidR="00C1548D" w:rsidRDefault="009B1B4B">
            <w:pPr>
              <w:spacing w:line="250" w:lineRule="auto"/>
            </w:pPr>
            <w:r>
              <w:rPr>
                <w:sz w:val="18"/>
                <w:szCs w:val="18"/>
              </w:rPr>
              <w:t>„That’s an interesting point – I’d frame it a bit differently.“</w:t>
            </w:r>
          </w:p>
        </w:tc>
      </w:tr>
      <w:tr w:rsidR="00C1548D" w14:paraId="70A4FCD4" w14:textId="77777777">
        <w:tblPrEx>
          <w:tblCellMar>
            <w:top w:w="0" w:type="dxa"/>
            <w:bottom w:w="0" w:type="dxa"/>
          </w:tblCellMar>
        </w:tblPrEx>
        <w:trPr>
          <w:cantSplit/>
        </w:trPr>
        <w:tc>
          <w:tcPr>
            <w:tcW w:w="1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D1" w14:textId="77777777" w:rsidR="00C1548D" w:rsidRDefault="009B1B4B">
            <w:pPr>
              <w:spacing w:line="250" w:lineRule="auto"/>
            </w:pPr>
            <w:r>
              <w:rPr>
                <w:sz w:val="18"/>
                <w:szCs w:val="18"/>
              </w:rPr>
              <w:t>„Das ist falsch.“</w:t>
            </w:r>
          </w:p>
        </w:tc>
        <w:tc>
          <w:tcPr>
            <w:tcW w:w="19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D2" w14:textId="77777777" w:rsidR="00C1548D" w:rsidRDefault="009B1B4B">
            <w:pPr>
              <w:spacing w:line="250" w:lineRule="auto"/>
            </w:pPr>
            <w:r>
              <w:rPr>
                <w:sz w:val="18"/>
                <w:szCs w:val="18"/>
              </w:rPr>
              <w:t>wirkt hart, fast unhöflich</w:t>
            </w:r>
          </w:p>
        </w:tc>
        <w:tc>
          <w:tcPr>
            <w:tcW w:w="29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D3" w14:textId="77777777" w:rsidR="00C1548D" w:rsidRDefault="009B1B4B">
            <w:pPr>
              <w:spacing w:line="250" w:lineRule="auto"/>
            </w:pPr>
            <w:r>
              <w:rPr>
                <w:sz w:val="18"/>
                <w:szCs w:val="18"/>
              </w:rPr>
              <w:t>„I think there might be a gap here – can we double-check?“</w:t>
            </w:r>
          </w:p>
        </w:tc>
      </w:tr>
      <w:tr w:rsidR="00C1548D" w14:paraId="70A4FCD8" w14:textId="77777777">
        <w:tblPrEx>
          <w:tblCellMar>
            <w:top w:w="0" w:type="dxa"/>
            <w:bottom w:w="0" w:type="dxa"/>
          </w:tblCellMar>
        </w:tblPrEx>
        <w:trPr>
          <w:cantSplit/>
        </w:trPr>
        <w:tc>
          <w:tcPr>
            <w:tcW w:w="15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D5" w14:textId="77777777" w:rsidR="00C1548D" w:rsidRDefault="009B1B4B">
            <w:pPr>
              <w:spacing w:line="250" w:lineRule="auto"/>
            </w:pPr>
            <w:r>
              <w:rPr>
                <w:sz w:val="18"/>
                <w:szCs w:val="18"/>
              </w:rPr>
              <w:t>„Mach das bitte anders.“</w:t>
            </w:r>
          </w:p>
        </w:tc>
        <w:tc>
          <w:tcPr>
            <w:tcW w:w="19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D6" w14:textId="77777777" w:rsidR="00C1548D" w:rsidRDefault="009B1B4B">
            <w:pPr>
              <w:spacing w:line="250" w:lineRule="auto"/>
            </w:pPr>
            <w:r>
              <w:rPr>
                <w:sz w:val="18"/>
                <w:szCs w:val="18"/>
              </w:rPr>
              <w:t>wirkt wie eine Anweisung von oben herab</w:t>
            </w:r>
          </w:p>
        </w:tc>
        <w:tc>
          <w:tcPr>
            <w:tcW w:w="29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CD7" w14:textId="77777777" w:rsidR="00C1548D" w:rsidRDefault="009B1B4B">
            <w:pPr>
              <w:spacing w:line="250" w:lineRule="auto"/>
            </w:pPr>
            <w:r>
              <w:rPr>
                <w:sz w:val="18"/>
                <w:szCs w:val="18"/>
              </w:rPr>
              <w:t>„Would it work if we tried it this way instead?“</w:t>
            </w:r>
          </w:p>
        </w:tc>
      </w:tr>
    </w:tbl>
    <w:p w14:paraId="70A4FCD9" w14:textId="77777777" w:rsidR="00C1548D" w:rsidRDefault="00C1548D">
      <w:pPr>
        <w:spacing w:line="180" w:lineRule="exact"/>
      </w:pPr>
    </w:p>
    <w:p w14:paraId="70A4FCDA" w14:textId="77777777" w:rsidR="00C1548D" w:rsidRDefault="009B1B4B">
      <w:pPr>
        <w:spacing w:after="140"/>
      </w:pPr>
      <w:r>
        <w:t>Keine dieser kanadischen Varianten ist unehrlich – sie transportiert dieselbe Botschaft, nur mit mehr Rücksicht auf das Gesicht des Gegenübers. Wer diese Übersetzung ein paarmal bewusst geübt hat, wendet sie nach einigen Monaten automatisch an, ohne noch groß darüber nachzudenken.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D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CDB" w14:textId="77777777" w:rsidR="00C1548D" w:rsidRDefault="009B1B4B">
            <w:pPr>
              <w:keepNext/>
              <w:spacing w:after="70" w:line="240" w:lineRule="auto"/>
            </w:pPr>
            <w:r>
              <w:rPr>
                <w:b/>
                <w:bCs/>
                <w:color w:val="4A5568"/>
                <w:spacing w:val="24"/>
                <w:sz w:val="16"/>
                <w:szCs w:val="16"/>
              </w:rPr>
              <w:t>PRAXISBEISPIEL · FIKTIV</w:t>
            </w:r>
          </w:p>
          <w:p w14:paraId="70A4FCDC" w14:textId="77777777" w:rsidR="00C1548D" w:rsidRDefault="009B1B4B">
            <w:pPr>
              <w:spacing w:after="80" w:line="264" w:lineRule="auto"/>
            </w:pPr>
            <w:r>
              <w:rPr>
                <w:sz w:val="20"/>
                <w:szCs w:val="20"/>
              </w:rPr>
              <w:t>Familie Ahrens (fiktives Beispiel) lernt in den ersten Wochen in Toronto die neuen Nachbarn kennen, als Markus beim Rasenmähen versehentlich einen Ast über den Gartenzaun wirft. Bevor er sich entschuldigen kann, ruft der Nachbar bereits „Sorry, hätte ich wegräumen sollen“ herüber – obwohl der Ast eindeutig von der Ahrens’schen Seite kam. Julia braucht ein paar Wochen, um zu verstehen, dass diese ständigen Entschuldigungen keine tatsächliche Schuldübernahme sind, sondern eine Art Begrüßungsformel. Als sie se</w:t>
            </w:r>
            <w:r>
              <w:rPr>
                <w:sz w:val="20"/>
                <w:szCs w:val="20"/>
              </w:rPr>
              <w:t>lbst anfängt, bei jeder Kleinigkeit „Sorry“ zu sagen, statt wie gewohnt sachlich zu erklären, was passiert ist, fühlt sich das erstaunlich unaufwendig an – und erstaunlich wirksam.</w:t>
            </w:r>
          </w:p>
        </w:tc>
      </w:tr>
    </w:tbl>
    <w:p w14:paraId="70A4FCDE" w14:textId="77777777" w:rsidR="00C1548D" w:rsidRDefault="00C1548D">
      <w:pPr>
        <w:spacing w:line="220" w:lineRule="exact"/>
      </w:pPr>
    </w:p>
    <w:p w14:paraId="70A4FCDF" w14:textId="77777777" w:rsidR="00C1548D" w:rsidRDefault="009B1B4B">
      <w:pPr>
        <w:pStyle w:val="Heading3"/>
        <w:keepNext/>
        <w:jc w:val="center"/>
      </w:pPr>
      <w:r>
        <w:rPr>
          <w:rFonts w:ascii="Amazon Ember" w:eastAsia="Amazon Ember" w:hAnsi="Amazon Ember" w:cs="Amazon Ember"/>
          <w:color w:val="0000FF"/>
          <w:sz w:val="36"/>
          <w:szCs w:val="36"/>
        </w:rPr>
        <w:t>Das Mosaik-Modell: Multikulturalismus als Staatsprinzip</w:t>
      </w:r>
    </w:p>
    <w:p w14:paraId="70A4FCE0" w14:textId="77777777" w:rsidR="00C1548D" w:rsidRDefault="009B1B4B">
      <w:pPr>
        <w:spacing w:after="140"/>
      </w:pPr>
      <w:r>
        <w:t xml:space="preserve">Kanada ist seit 1971 offiziell multikulturell – als erstes Land der Welt mit einer solchen Politik – und hat dieses Prinzip 1982 in der </w:t>
      </w:r>
      <w:r>
        <w:rPr>
          <w:i/>
          <w:iCs/>
        </w:rPr>
        <w:t>Canadian Charter of Rights and Freedoms</w:t>
      </w:r>
      <w:r>
        <w:t xml:space="preserve"> (der kanadischen Grundrechtecharta, vergleichbar mit dem deutschen Grundgesetz) verfassungsrechtlich verankert. Anders als das US-amerikanische </w:t>
      </w:r>
      <w:r>
        <w:lastRenderedPageBreak/>
        <w:t xml:space="preserve">Bild vom </w:t>
      </w:r>
      <w:r>
        <w:rPr>
          <w:i/>
          <w:iCs/>
        </w:rPr>
        <w:t>Melting Pot</w:t>
      </w:r>
      <w:r>
        <w:t xml:space="preserve"> (Schmelztiegel, in dem sich Einwanderergruppen zu einer gemeinsamen Kultur verschmelzen sollen) verfolgt Kanada bewusst das </w:t>
      </w:r>
      <w:r>
        <w:rPr>
          <w:i/>
          <w:iCs/>
        </w:rPr>
        <w:t>Mosaic</w:t>
      </w:r>
      <w:r>
        <w:t>-Modell (Mosaik): Einwanderergruppen sollen ihre kulturelle Eigenheit bewahren dürfen, statt sich vollständig anzugleichen. Das ist kein informelles Stimmungsbild, sondern erklärte Staatsdoktrin – und im Alltag von Toronto, Vancouver oder Calgary durchaus sichtbar, etwa an der Vielzahl von Sprachen, Restaurants und Communitys, die nebeneinander bestehen, statt sich zu vermischen.</w:t>
      </w:r>
    </w:p>
    <w:p w14:paraId="70A4FCE1" w14:textId="5E8DF116" w:rsidR="00C1548D" w:rsidRDefault="009B1B4B">
      <w:pPr>
        <w:spacing w:after="140"/>
      </w:pPr>
      <w: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history="1">
        <w:r>
          <w:rPr>
            <w:color w:val="0563C1"/>
            <w:u w:val="single"/>
          </w:rPr>
          <w:t>Kapitel zum Freundefinden in diesem Teil</w:t>
        </w:r>
      </w:hyperlink>
      <w:r>
        <w:t xml:space="preserve"> ausführlicher behandelt wird.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E4"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CE2" w14:textId="77777777" w:rsidR="00C1548D" w:rsidRDefault="009B1B4B">
            <w:pPr>
              <w:keepNext/>
              <w:spacing w:after="70" w:line="240" w:lineRule="auto"/>
            </w:pPr>
            <w:r>
              <w:rPr>
                <w:b/>
                <w:bCs/>
                <w:color w:val="8A6212"/>
                <w:spacing w:val="24"/>
                <w:sz w:val="16"/>
                <w:szCs w:val="16"/>
              </w:rPr>
              <w:t>MERKE</w:t>
            </w:r>
          </w:p>
          <w:p w14:paraId="70A4FCE3" w14:textId="77777777" w:rsidR="00C1548D" w:rsidRDefault="009B1B4B">
            <w:pPr>
              <w:spacing w:after="80" w:line="264" w:lineRule="auto"/>
            </w:pPr>
            <w:r>
              <w:rPr>
                <w:sz w:val="20"/>
                <w:szCs w:val="20"/>
              </w:rPr>
              <w:t>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tc>
      </w:tr>
    </w:tbl>
    <w:p w14:paraId="70A4FCE5" w14:textId="77777777" w:rsidR="00C1548D" w:rsidRDefault="00C1548D">
      <w:pPr>
        <w:spacing w:line="220" w:lineRule="exact"/>
      </w:pPr>
    </w:p>
    <w:p w14:paraId="70A4FCE6" w14:textId="77777777" w:rsidR="00C1548D" w:rsidRDefault="009B1B4B">
      <w:pPr>
        <w:spacing w:after="140"/>
      </w:pPr>
      <w:r>
        <w:t xml:space="preserve">Die kulturelle und rechtliche Vielfalt Kanadas endet nicht an ethnischen Gruppen, sondern zieht sich auch durch die Provinzen selbst: Québec unterscheidet sich vom übrigen Land am stärksten, mit eigenem Zivilrechtssystem (dem </w:t>
      </w:r>
      <w:r>
        <w:rPr>
          <w:i/>
          <w:iCs/>
        </w:rPr>
        <w:t>Code civil du Québec</w:t>
      </w:r>
      <w:r>
        <w:t xml:space="preserve"> statt des britisch geprägten </w:t>
      </w:r>
      <w:r>
        <w:rPr>
          <w:i/>
          <w:iCs/>
        </w:rPr>
        <w:t>Common Law</w:t>
      </w:r>
      <w:r>
        <w:t>), eigener Mehrheitssprache und eigener Einwanderungsbehörde – dazu mehr im eigenen Abschnitt weiter unten. Das übrige Kanada ist überwiegend englischsprachig, mit regional unterschiedlich ausgeprägter Diversität; Toronto und Vancouver gelten als die vielfältigsten Großstädte des Landes.</w:t>
      </w:r>
    </w:p>
    <w:p w14:paraId="70A4FCE7" w14:textId="77777777" w:rsidR="00C1548D" w:rsidRDefault="009B1B4B">
      <w:pPr>
        <w:spacing w:after="140"/>
      </w:pPr>
      <w:r>
        <w:lastRenderedPageBreak/>
        <w:t>Was kanadische Identität eigentlich ausmacht, ist im Land selbst ein gern und mit einer gewissen Selbstironie geführtes Gespräch – nicht zufällig scherzen Kanadier gern über sich selbst, ihre Identität lasse 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w:t>
      </w:r>
      <w:r>
        <w:t xml:space="preserve">zlich verankert seit dem </w:t>
      </w:r>
      <w:r>
        <w:rPr>
          <w:i/>
          <w:iCs/>
        </w:rPr>
        <w:t>Official Languages Act</w:t>
      </w:r>
      <w:r>
        <w:t xml:space="preserve"> von 1969) und die bewusste Abgrenzung vom südlichen Nachbarn prägen das nationale Selbstverständnis stärker, als es von außen oft wahrgenommen wird.</w:t>
      </w:r>
    </w:p>
    <w:p w14:paraId="70A4FCE8" w14:textId="77777777" w:rsidR="00C1548D" w:rsidRDefault="009B1B4B">
      <w:pPr>
        <w:pStyle w:val="Heading3"/>
        <w:keepNext/>
        <w:jc w:val="center"/>
      </w:pPr>
      <w:r>
        <w:rPr>
          <w:rFonts w:ascii="Amazon Ember" w:eastAsia="Amazon Ember" w:hAnsi="Amazon Ember" w:cs="Amazon Ember"/>
          <w:color w:val="0000FF"/>
          <w:sz w:val="36"/>
          <w:szCs w:val="36"/>
        </w:rPr>
        <w:t>Regelkultur: warum dich niemand ermahnt</w:t>
      </w:r>
    </w:p>
    <w:p w14:paraId="70A4FCE9" w14:textId="77777777" w:rsidR="00C1548D" w:rsidRDefault="009B1B4B">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w:t>
      </w:r>
      <w:r>
        <w:t>geprägt ist. Eigenverantwortung und Zurückhaltung werden stärker betont als das gegenseitige Ermahnen.</w:t>
      </w:r>
    </w:p>
    <w:p w14:paraId="70A4FCEA" w14:textId="77777777" w:rsidR="00C1548D" w:rsidRDefault="009B1B4B">
      <w:pPr>
        <w:spacing w:after="140"/>
      </w:pPr>
      <w:r>
        <w:t>Für Neuankömmlinge bedeutet das zweierlei. Erstens: Wer selbst versehentlich gegen eine ungeschriebene Regel verstößt, wird seltener direkt korrigiert, als er es aus Deutschland gewohnt ist –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w:t>
      </w:r>
      <w:r>
        <w:t>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E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CEB" w14:textId="77777777" w:rsidR="00C1548D" w:rsidRDefault="009B1B4B">
            <w:pPr>
              <w:keepNext/>
              <w:spacing w:after="70" w:line="240" w:lineRule="auto"/>
            </w:pPr>
            <w:r>
              <w:rPr>
                <w:b/>
                <w:bCs/>
                <w:color w:val="9B2C2C"/>
                <w:spacing w:val="24"/>
                <w:sz w:val="16"/>
                <w:szCs w:val="16"/>
              </w:rPr>
              <w:lastRenderedPageBreak/>
              <w:t>ACHTUNG</w:t>
            </w:r>
          </w:p>
          <w:p w14:paraId="70A4FCEC" w14:textId="77777777" w:rsidR="00C1548D" w:rsidRDefault="009B1B4B">
            <w:pPr>
              <w:spacing w:after="80" w:line="264" w:lineRule="auto"/>
            </w:pPr>
            <w:r>
              <w:rPr>
                <w:sz w:val="20"/>
                <w:szCs w:val="20"/>
              </w:rPr>
              <w:t>Vermeide es, Fremde direkt auf vermeintliches Fehlverhalten anzusprechen, so gut die Absicht auch gemeint ist. Was in Deutschland als hilfreicher Hinweis gilt, wird in Kanada eher als Einmischung wahrgenommen – Zurückhaltung ist hier fast immer die sicherere Wahl.</w:t>
            </w:r>
          </w:p>
        </w:tc>
      </w:tr>
    </w:tbl>
    <w:p w14:paraId="70A4FCEE" w14:textId="77777777" w:rsidR="00C1548D" w:rsidRDefault="00C1548D">
      <w:pPr>
        <w:spacing w:line="220" w:lineRule="exact"/>
      </w:pPr>
    </w:p>
    <w:p w14:paraId="70A4FCEF" w14:textId="77777777" w:rsidR="00C1548D" w:rsidRDefault="009B1B4B">
      <w:pPr>
        <w:spacing w:after="140"/>
      </w:pPr>
      <w:r>
        <w:t>Am sichtbarsten wird diese Zurückhaltung an einer fast schon sprichwörtlichen kanadischen Tugend: dem Anstehen. Warteschlangen – vor dem Café, am Busbahnhof, an der Supermarktkasse –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 womit sich der Kreis zur „Sorry“</w:t>
      </w:r>
      <w:r>
        <w:t>-Kultur vom Anfang dieses Kapitels wieder schließt.</w:t>
      </w:r>
    </w:p>
    <w:p w14:paraId="70A4FCF0" w14:textId="77777777" w:rsidR="00C1548D" w:rsidRDefault="009B1B4B">
      <w:pPr>
        <w:pStyle w:val="Heading3"/>
        <w:keepNext/>
        <w:jc w:val="center"/>
      </w:pPr>
      <w:r>
        <w:rPr>
          <w:rFonts w:ascii="Amazon Ember" w:eastAsia="Amazon Ember" w:hAnsi="Amazon Ember" w:cs="Amazon Ember"/>
          <w:color w:val="0000FF"/>
          <w:sz w:val="36"/>
          <w:szCs w:val="36"/>
        </w:rPr>
        <w:t>Québec-Sonderfall: Bill 96 und die Sprache</w:t>
      </w:r>
    </w:p>
    <w:p w14:paraId="70A4FCF1" w14:textId="77777777" w:rsidR="00C1548D" w:rsidRDefault="009B1B4B">
      <w:pPr>
        <w:spacing w:after="140"/>
      </w:pPr>
      <w:r>
        <w:t xml:space="preserve">Kein anderer Teil Kanadas weicht kulturell so stark vom Rest des Landes ab wie Québec, und nirgendwo ist das spürbarer als bei der Sprache. Seit Verabschiedung des Sprachgesetzes </w:t>
      </w:r>
      <w:r>
        <w:rPr>
          <w:i/>
          <w:iCs/>
        </w:rPr>
        <w:t>Loi 96</w:t>
      </w:r>
      <w:r>
        <w:t xml:space="preserve">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 in der Regel Englisch – mit Provinzbehörden kommunizieren; danach gilt grundsätzlich nur noch Französisch. Siedlungsorganisationen kritisieren diese Fri</w:t>
      </w:r>
      <w:r>
        <w:t xml:space="preserve">st als zu kurz, um eine neue Sprache alltagstauglich zu lernen, und für </w:t>
      </w:r>
      <w:r>
        <w:lastRenderedPageBreak/>
        <w:t>bestimmte Berufszulassungen können zusätzliche Französischanforderungen gelten.</w:t>
      </w:r>
    </w:p>
    <w:p w14:paraId="70A4FCF2" w14:textId="77777777" w:rsidR="00C1548D" w:rsidRDefault="009B1B4B">
      <w:pPr>
        <w:spacing w:after="140"/>
      </w:pPr>
      <w:r>
        <w:t>Wer nach Montreal oder in eine andere Region Québecs zieht, sollte Französischkenntnisse deshalb realistisch als notwendig einplanen, nicht als nette Zusatzqualifikation. Konversationsfähiges Französisch erleichtert nicht nur Behördengänge nach Ablauf der Schonfrist, sondern auch die Berufsanerkennung und den sozialen Alltag spürbar. Im übrigen Kanada – von Toronto über Calgary bis Vancouver – reicht Englisch dagegen durchgehend aus; die Sprachfrage stellt sich dort in dieser Schärfe nicht.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F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CF3" w14:textId="77777777" w:rsidR="00C1548D" w:rsidRDefault="009B1B4B">
            <w:pPr>
              <w:keepNext/>
              <w:spacing w:after="70" w:line="240" w:lineRule="auto"/>
            </w:pPr>
            <w:r>
              <w:rPr>
                <w:b/>
                <w:bCs/>
                <w:color w:val="9B2C2C"/>
                <w:spacing w:val="24"/>
                <w:sz w:val="16"/>
                <w:szCs w:val="16"/>
              </w:rPr>
              <w:t>ACHTUNG</w:t>
            </w:r>
          </w:p>
          <w:p w14:paraId="70A4FCF4" w14:textId="77777777" w:rsidR="00C1548D" w:rsidRDefault="009B1B4B">
            <w:pPr>
              <w:spacing w:after="80" w:line="264" w:lineRule="auto"/>
            </w:pPr>
            <w:r>
              <w:rPr>
                <w:sz w:val="20"/>
                <w:szCs w:val="20"/>
              </w:rPr>
              <w:t>Unterschätze die Sechs-Monats-Frist von Bill 96 nicht, falls Québec dein Zielort ist. Wer erst nach der Ankunft mit dem Französischlernen beginnt, gerät leicht in Zeitdruck – ein Sprachkurs schon vor dem Umzug spart in Montreal mehr Nerven als anderswo in Kanada.</w:t>
            </w:r>
          </w:p>
        </w:tc>
      </w:tr>
    </w:tbl>
    <w:p w14:paraId="70A4FCF6" w14:textId="77777777" w:rsidR="00C1548D" w:rsidRDefault="00C1548D">
      <w:pPr>
        <w:spacing w:line="220" w:lineRule="exact"/>
      </w:pPr>
    </w:p>
    <w:p w14:paraId="70A4FCF7" w14:textId="2FBEA655" w:rsidR="00C1548D" w:rsidRDefault="009B1B4B">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history="1">
        <w:r>
          <w:rPr>
            <w:color w:val="0563C1"/>
            <w:u w:val="single"/>
          </w:rPr>
          <w:t>Kapitel zum Wohnen in diesem Teil</w:t>
        </w:r>
      </w:hyperlink>
      <w:r>
        <w:t xml:space="preserve"> beschrieben.</w:t>
      </w:r>
    </w:p>
    <w:p w14:paraId="70A4FCF8" w14:textId="77777777" w:rsidR="00C1548D" w:rsidRDefault="009B1B4B">
      <w:pPr>
        <w:spacing w:after="140"/>
      </w:pPr>
      <w:r>
        <w:t>Wichtig für die Einordnung: Bill 96 ist keine Ablehnung von Einwanderern, sondern der jüngste Ausläufer einer jahrzehntealten Sprachpolitik, mit der Québec seine frankophone Mehrheit innerhalb eines überwiegend englischsprachigen Kontinents bewahren will – eine Sorge, die von außen leicht unterschätzt wird, innerhalb Québecs aber tief verankert ist. Wer diese Hintergrundgeschichte kennt, tut sich leichter, die Sprachregeln als kulturelles Anliegen zu verstehen statt als bloße Bürokratie.</w:t>
      </w:r>
    </w:p>
    <w:p w14:paraId="70A4FCF9" w14:textId="77777777" w:rsidR="00C1548D" w:rsidRDefault="009B1B4B">
      <w:pPr>
        <w:pStyle w:val="Heading3"/>
        <w:keepNext/>
        <w:jc w:val="center"/>
      </w:pPr>
      <w:r>
        <w:rPr>
          <w:rFonts w:ascii="Amazon Ember" w:eastAsia="Amazon Ember" w:hAnsi="Amazon Ember" w:cs="Amazon Ember"/>
          <w:color w:val="0000FF"/>
          <w:sz w:val="36"/>
          <w:szCs w:val="36"/>
        </w:rPr>
        <w:lastRenderedPageBreak/>
        <w:t>Kleine Rituale: Trinkgeld, „Eh“ und der eigene Humor</w:t>
      </w:r>
    </w:p>
    <w:p w14:paraId="70A4FCFA" w14:textId="77777777" w:rsidR="00C1548D" w:rsidRDefault="009B1B4B">
      <w:pPr>
        <w:spacing w:after="140"/>
      </w:pPr>
      <w:r>
        <w:t>Ein paar kleinere Alltagsgewohnheiten runden das Bild ab. Trinkgeld ist in Restaurants, Cafés und Taxis erwartet, meist zwischen 15 und 20 % der Rechnung – deutlich mehr als das in Deutschland übliche Aufrunden, und für viele Neuankömmlinge die erste konkrete Rechenaufgabe im neuen Alltag. Das vielzitierte kanadische „Eh“ (ein Frageanhängsel, ungefähr „nicht wahr?“ oder „oder?“) taucht tatsächlich im Alltag auf, wenn auch seltener und regional unterschiedlicher, als es Klischees vermuten lassen – es lohnt s</w:t>
      </w:r>
      <w:r>
        <w:t>ich, es zu erkennen, ohne es selbst zu forciert nachzuahmen, solange es einem nicht von allein über die Lippen geht.</w:t>
      </w:r>
    </w:p>
    <w:p w14:paraId="70A4FCFB" w14:textId="77777777" w:rsidR="00C1548D" w:rsidRDefault="009B1B4B">
      <w:pPr>
        <w:spacing w:after="140"/>
      </w:pPr>
      <w: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w:t>
      </w:r>
      <w:r>
        <w:t>r auf, als dass es honoriert wird.</w:t>
      </w:r>
    </w:p>
    <w:p w14:paraId="70A4FCFC" w14:textId="77777777" w:rsidR="00C1548D" w:rsidRDefault="009B1B4B">
      <w:pPr>
        <w:spacing w:after="140"/>
      </w:pPr>
      <w:r>
        <w:t xml:space="preserve">Auch der kanadische Feiertagskalender hält eine kleine Verwechslungsfalle bereit: Der </w:t>
      </w:r>
      <w:r>
        <w:rPr>
          <w:i/>
          <w:iCs/>
        </w:rPr>
        <w:t>Thanksgiving</w:t>
      </w:r>
      <w:r>
        <w:t xml:space="preserve">-Feiertag (Erntedank) fällt in Kanada auf den zweiten Montag im Oktober, gut einen Monat früher als das bekanntere amerikanische Thanksgiving im November – wer aus Filmen und Serien die US-Variante im Kopf hat, plant das Familienessen sonst versehentlich falsch. Am Canada Day, dem 1. Juli, feiert das Land mit Feuerwerk und Nachbarschaftsfesten seine Staatsgründung von 1867, spürbar unaufgeregter als der amerikanische Independence Day; und am </w:t>
      </w:r>
      <w:r>
        <w:rPr>
          <w:i/>
          <w:iCs/>
        </w:rPr>
        <w:t>Remembrance Day</w:t>
      </w:r>
      <w:r>
        <w:t xml:space="preserve"> (Volkstrauertag) im November tragen viele Kanadier ab Ende Oktober eine rote Mohnblume am Revers – ein stilles, aber </w:t>
      </w:r>
      <w:r>
        <w:lastRenderedPageBreak/>
        <w:t>sichtbares Ritual, dem man sich als Neuankömmling nicht anschließen muss, dessen Bedeutung zu kennen aber hilft, es richtig einzuordnen.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CFF"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CFD" w14:textId="77777777" w:rsidR="00C1548D" w:rsidRDefault="009B1B4B">
            <w:pPr>
              <w:keepNext/>
              <w:spacing w:after="70" w:line="240" w:lineRule="auto"/>
            </w:pPr>
            <w:r>
              <w:rPr>
                <w:b/>
                <w:bCs/>
                <w:color w:val="2F6B3B"/>
                <w:spacing w:val="24"/>
                <w:sz w:val="16"/>
                <w:szCs w:val="16"/>
              </w:rPr>
              <w:t>SPARTIPP</w:t>
            </w:r>
          </w:p>
          <w:p w14:paraId="70A4FCFE" w14:textId="77777777" w:rsidR="00C1548D" w:rsidRDefault="009B1B4B">
            <w:pPr>
              <w:spacing w:after="80" w:line="264" w:lineRule="auto"/>
            </w:pPr>
            <w:r>
              <w:rPr>
                <w:sz w:val="20"/>
                <w:szCs w:val="20"/>
              </w:rPr>
              <w:t xml:space="preserve">Viele Städte und Gemeinden bieten kostenlose oder sehr günstige </w:t>
            </w:r>
            <w:r>
              <w:rPr>
                <w:i/>
                <w:iCs/>
                <w:sz w:val="20"/>
                <w:szCs w:val="20"/>
              </w:rPr>
              <w:t>Newcomer</w:t>
            </w:r>
            <w:r>
              <w:rPr>
                <w:sz w:val="20"/>
                <w:szCs w:val="20"/>
              </w:rPr>
              <w:t>-Programme (Willkommens- und Orientierungsangebote für Neuankömmlinge) an, oft über lokale Settlement-Organisationen oder Bibliotheken. Dort lassen sich Small Talk, Umgangsformen und selbst die feinen Zwischentöne der „Sorry“-Kultur in entspannter Runde üben – meist unter Leuten, die genau dieselbe Verwirrung gerade selbst durchleben.</w:t>
            </w:r>
          </w:p>
        </w:tc>
      </w:tr>
    </w:tbl>
    <w:p w14:paraId="70A4FD00" w14:textId="77777777" w:rsidR="00C1548D" w:rsidRDefault="00C1548D">
      <w:pPr>
        <w:spacing w:line="220" w:lineRule="exact"/>
      </w:pPr>
    </w:p>
    <w:p w14:paraId="70A4FD01" w14:textId="77777777" w:rsidR="00C1548D" w:rsidRDefault="009B1B4B">
      <w:pPr>
        <w:spacing w:after="140"/>
      </w:pPr>
      <w:r>
        <w:t>Der kanadische Humor, wo er sich zeigt, ist eher trocken und selbstironisch als lautstark – näher am britischen Understatement als am amerikanisch-direkten Witz. Ein verpasster Bus wird eher mit einem knappen „Well, that’s Tuesday for you“ kommentiert als mit sichtbarem Ärger, ein verregneter Sommer mit einem trockenen „Classic“. Wer selbst mit einer Prise Selbstironie über die eigene Verwirrung als Neuankömmling reagiert – über den falsch verstandenen Small Talk, die dritte „Sorry“-Verwechslung in einer Wo</w:t>
      </w:r>
      <w:r>
        <w:t>che –, kommt in Kanada erfahrungsgemäß besser an als mit sichtbarer Ungeduld gegenüber den vielen kleinen neuen Regeln.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04"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D02" w14:textId="77777777" w:rsidR="00C1548D" w:rsidRDefault="009B1B4B">
            <w:pPr>
              <w:keepNext/>
              <w:spacing w:after="70" w:line="240" w:lineRule="auto"/>
            </w:pPr>
            <w:r>
              <w:rPr>
                <w:b/>
                <w:bCs/>
                <w:color w:val="4A5568"/>
                <w:spacing w:val="24"/>
                <w:sz w:val="16"/>
                <w:szCs w:val="16"/>
              </w:rPr>
              <w:t>PRAXISBEISPIEL · FIKTIV</w:t>
            </w:r>
          </w:p>
          <w:p w14:paraId="70A4FD03" w14:textId="77777777" w:rsidR="00C1548D" w:rsidRDefault="009B1B4B">
            <w:pPr>
              <w:spacing w:after="80" w:line="264" w:lineRule="auto"/>
            </w:pPr>
            <w:r>
              <w:rPr>
                <w:sz w:val="20"/>
                <w:szCs w:val="20"/>
              </w:rPr>
              <w:t>Lukas Berger (fiktives Beispiel) sitzt in seinen ersten Monaten in Calgary in einer Projektbesprechung und formuliert einen Einwand so direkt, wie er es aus seiner deutschen Ingenieursausbildung gewohnt ist: „Das wird so nicht funktionieren.“ Es folgt eine kurze Stille, dann ein vorsichtiges „That’s an interesting point – maybe we could look at it from another angle?“ von seiner kanadischen Kollegin. Erst später erklärt ihm ein Kollege beim Kaffee, mit trockenem Unterton, dass sein Einwand fachlich völlig r</w:t>
            </w:r>
            <w:r>
              <w:rPr>
                <w:sz w:val="20"/>
                <w:szCs w:val="20"/>
              </w:rPr>
              <w:t>ichtig war, nur eben „auf Deutsch statt auf Kanadisch“ formuliert. Lukas lacht selbst am meisten darüber – und übt in den folgenden Wochen bewusst, denselben Punkt eine Spur vorsichtiger zu verpacken, ohne ihn inhaltlich zu verwässern.</w:t>
            </w:r>
          </w:p>
        </w:tc>
      </w:tr>
    </w:tbl>
    <w:p w14:paraId="70A4FD05"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08"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D06" w14:textId="77777777" w:rsidR="00C1548D" w:rsidRDefault="009B1B4B">
            <w:pPr>
              <w:keepNext/>
              <w:spacing w:after="70" w:line="240" w:lineRule="auto"/>
            </w:pPr>
            <w:r>
              <w:rPr>
                <w:b/>
                <w:bCs/>
                <w:color w:val="8A6212"/>
                <w:spacing w:val="24"/>
                <w:sz w:val="16"/>
                <w:szCs w:val="16"/>
              </w:rPr>
              <w:lastRenderedPageBreak/>
              <w:t>MERKE</w:t>
            </w:r>
          </w:p>
          <w:p w14:paraId="70A4FD07" w14:textId="77777777" w:rsidR="00C1548D" w:rsidRDefault="009B1B4B">
            <w:pPr>
              <w:spacing w:after="80" w:line="264" w:lineRule="auto"/>
            </w:pPr>
            <w:r>
              <w:rPr>
                <w:sz w:val="20"/>
                <w:szCs w:val="20"/>
              </w:rPr>
              <w:t>Der Unterschied zwischen deutscher und kanadischer Kommunikation liegt selten im Inhalt, sondern fast immer in der Verpackung. Wer denselben Punkt eine Stufe höflicher formuliert, verliert nichts an Substanz – gewinnt aber spürbar an Gehör.</w:t>
            </w:r>
          </w:p>
        </w:tc>
      </w:tr>
    </w:tbl>
    <w:p w14:paraId="70A4FD09" w14:textId="77777777" w:rsidR="00C1548D" w:rsidRDefault="00C1548D">
      <w:pPr>
        <w:spacing w:line="220" w:lineRule="exact"/>
      </w:pPr>
    </w:p>
    <w:p w14:paraId="70A4FD0A" w14:textId="77777777" w:rsidR="00C1548D" w:rsidRDefault="009B1B4B">
      <w:pPr>
        <w:pStyle w:val="Heading3"/>
        <w:keepNext/>
        <w:jc w:val="center"/>
      </w:pPr>
      <w:r>
        <w:rPr>
          <w:rFonts w:ascii="Amazon Ember" w:eastAsia="Amazon Ember" w:hAnsi="Amazon Ember" w:cs="Amazon Ember"/>
          <w:color w:val="0000FF"/>
          <w:sz w:val="36"/>
          <w:szCs w:val="36"/>
        </w:rPr>
        <w:t>Kanadisches Englisch vor der Abreise trainieren</w:t>
      </w:r>
    </w:p>
    <w:p w14:paraId="70A4FD0B" w14:textId="77777777" w:rsidR="00C1548D" w:rsidRDefault="009B1B4B">
      <w:pPr>
        <w:spacing w:after="140"/>
      </w:pPr>
      <w:r>
        <w:t xml:space="preserve">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w:t>
      </w:r>
      <w:r>
        <w:t>„Accent Expert“) erklärt anschaulich, woran du kanadisches von amerikanischem Englisch unterscheidest – die Unterschiede sind subtiler als bei Australien oder Neuseeland, aber hörbar.</w:t>
      </w:r>
    </w:p>
    <w:p w14:paraId="70A4FD0C" w14:textId="77777777" w:rsidR="00C1548D" w:rsidRDefault="009B1B4B">
      <w:pPr>
        <w:spacing w:after="140"/>
      </w:pPr>
      <w:r>
        <w:t>Für den Originalton eignen sich „Schitt’s Creek“ (auf Netflix Deutschland verfügbar, alle sechs Staffeln) und „Letterkenny“ (ebenfalls Netflix, sehr kanadischer Landslang, für Erwachsene) besonders gut. Prüfe die aktuelle Verfügbarkeit auf JustWatch.de, da sich Streaming-Kataloge laufend ändern. Stelle Untertitel wenn möglich auf Englisch, nicht auf Deutsch, und schau dir eine dir bekannte Serie noch einmal im Original an – die bekannte Handlung senkt die Einstiegshürde. Wer lieber strukturiert lernt: ARD u</w:t>
      </w:r>
      <w:r>
        <w:t>nd ZDF bieten in ihren Mediatheken kostenlose Englischkurse, weniger unterhaltsam, aber solide.</w:t>
      </w:r>
    </w:p>
    <w:p w14:paraId="70A4FD0D" w14:textId="55DF650F" w:rsidR="00C1548D" w:rsidRDefault="009B1B4B">
      <w:pPr>
        <w:spacing w:after="140"/>
      </w:pPr>
      <w:r>
        <w:t xml:space="preserve">Für Kinder gilt eine andere, altersabhängige Auswahl – dazu mehr im </w:t>
      </w:r>
      <w:hyperlink w:anchor="tka13" w:history="1">
        <w:r>
          <w:rPr>
            <w:color w:val="0563C1"/>
            <w:u w:val="single"/>
          </w:rPr>
          <w:t>Kapitel zu Kindern, Schule und Sprache in diesem Teil</w:t>
        </w:r>
      </w:hyperlink>
      <w:r>
        <w:t>.</w:t>
      </w:r>
    </w:p>
    <w:p w14:paraId="70A4FD0E"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D11"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D0F"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D10" w14:textId="77777777" w:rsidR="00C1548D" w:rsidRDefault="009B1B4B">
            <w:pPr>
              <w:spacing w:line="250" w:lineRule="auto"/>
            </w:pPr>
            <w:r>
              <w:rPr>
                <w:b/>
                <w:bCs/>
                <w:sz w:val="18"/>
                <w:szCs w:val="18"/>
              </w:rPr>
              <w:t>Minus</w:t>
            </w:r>
          </w:p>
        </w:tc>
      </w:tr>
      <w:tr w:rsidR="00C1548D" w14:paraId="70A4FD1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12" w14:textId="77777777" w:rsidR="00C1548D" w:rsidRDefault="009B1B4B">
            <w:pPr>
              <w:spacing w:line="250" w:lineRule="auto"/>
            </w:pPr>
            <w:r>
              <w:rPr>
                <w:sz w:val="18"/>
                <w:szCs w:val="18"/>
              </w:rPr>
              <w:t>Freundliche, entschuldigungsfreudige Umgangsformen senken die Hemmschwelle im Alltag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13" w14:textId="77777777" w:rsidR="00C1548D" w:rsidRDefault="009B1B4B">
            <w:pPr>
              <w:spacing w:line="250" w:lineRule="auto"/>
            </w:pPr>
            <w:r>
              <w:rPr>
                <w:sz w:val="18"/>
                <w:szCs w:val="18"/>
              </w:rPr>
              <w:t>„Sorry“ und Höflichkeitsfloskeln sind schwer von echter Anteilnahme zu unterscheiden</w:t>
            </w:r>
          </w:p>
        </w:tc>
      </w:tr>
      <w:tr w:rsidR="00C1548D" w14:paraId="70A4FD1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15" w14:textId="77777777" w:rsidR="00C1548D" w:rsidRDefault="009B1B4B">
            <w:pPr>
              <w:spacing w:line="250" w:lineRule="auto"/>
            </w:pPr>
            <w:r>
              <w:rPr>
                <w:sz w:val="18"/>
                <w:szCs w:val="18"/>
              </w:rPr>
              <w:t>Multikulturelles Mosaik erleichtert die Ankunft für Menschen mit anderer Herkunft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16" w14:textId="77777777" w:rsidR="00C1548D" w:rsidRDefault="009B1B4B">
            <w:pPr>
              <w:spacing w:line="250" w:lineRule="auto"/>
            </w:pPr>
            <w:r>
              <w:rPr>
                <w:sz w:val="18"/>
                <w:szCs w:val="18"/>
              </w:rPr>
              <w:t>Tiefere Integration in bestehende Gemeinschaften dauert oft länger als erwartet</w:t>
            </w:r>
          </w:p>
        </w:tc>
      </w:tr>
      <w:tr w:rsidR="00C1548D" w14:paraId="70A4FD1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18" w14:textId="77777777" w:rsidR="00C1548D" w:rsidRDefault="009B1B4B">
            <w:pPr>
              <w:spacing w:line="250" w:lineRule="auto"/>
            </w:pPr>
            <w:r>
              <w:rPr>
                <w:sz w:val="18"/>
                <w:szCs w:val="18"/>
              </w:rPr>
              <w:t>Zurückhaltende Regelkultur schafft ein entspanntes Grundklima</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19" w14:textId="77777777" w:rsidR="00C1548D" w:rsidRDefault="009B1B4B">
            <w:pPr>
              <w:spacing w:line="250" w:lineRule="auto"/>
            </w:pPr>
            <w:r>
              <w:rPr>
                <w:sz w:val="18"/>
                <w:szCs w:val="18"/>
              </w:rPr>
              <w:t>Indirekte Kritik ist für direkte deutsche Gemüter schwer zu entschlüsseln</w:t>
            </w:r>
          </w:p>
        </w:tc>
      </w:tr>
      <w:tr w:rsidR="00C1548D" w14:paraId="70A4FD1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1B" w14:textId="77777777" w:rsidR="00C1548D" w:rsidRDefault="009B1B4B">
            <w:pPr>
              <w:spacing w:line="250" w:lineRule="auto"/>
            </w:pPr>
            <w:r>
              <w:rPr>
                <w:sz w:val="18"/>
                <w:szCs w:val="18"/>
              </w:rPr>
              <w:t>Englisch reicht im größten Teil Kanadas für den kompletten Alltag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1C" w14:textId="77777777" w:rsidR="00C1548D" w:rsidRDefault="009B1B4B">
            <w:pPr>
              <w:spacing w:line="250" w:lineRule="auto"/>
            </w:pPr>
            <w:r>
              <w:rPr>
                <w:sz w:val="18"/>
                <w:szCs w:val="18"/>
              </w:rPr>
              <w:t>Québec verlangt de facto Französisch, mit nur 6 Monaten Schonfrist</w:t>
            </w:r>
          </w:p>
        </w:tc>
      </w:tr>
      <w:tr w:rsidR="00C1548D" w14:paraId="70A4FD2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1E" w14:textId="77777777" w:rsidR="00C1548D" w:rsidRDefault="009B1B4B">
            <w:pPr>
              <w:spacing w:line="250" w:lineRule="auto"/>
            </w:pPr>
            <w:r>
              <w:rPr>
                <w:sz w:val="18"/>
                <w:szCs w:val="18"/>
              </w:rPr>
              <w:t>Kanadischer Understatement-Humor wirkt entspannend und verbindend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1F" w14:textId="77777777" w:rsidR="00C1548D" w:rsidRDefault="009B1B4B">
            <w:pPr>
              <w:spacing w:line="250" w:lineRule="auto"/>
            </w:pPr>
            <w:r>
              <w:rPr>
                <w:sz w:val="18"/>
                <w:szCs w:val="18"/>
              </w:rPr>
              <w:t>Direkte deutsche Kritik kommt schnell als unhöflich oder hart an</w:t>
            </w:r>
          </w:p>
        </w:tc>
      </w:tr>
      <w:tr w:rsidR="00C1548D" w14:paraId="70A4FD2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21" w14:textId="77777777" w:rsidR="00C1548D" w:rsidRDefault="009B1B4B">
            <w:pPr>
              <w:spacing w:line="250" w:lineRule="auto"/>
            </w:pPr>
            <w:r>
              <w:rPr>
                <w:sz w:val="18"/>
                <w:szCs w:val="18"/>
              </w:rPr>
              <w:t>Höfliche Distanz erleichtert den ersten Kontakt mit Fremden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22" w14:textId="77777777" w:rsidR="00C1548D" w:rsidRDefault="009B1B4B">
            <w:pPr>
              <w:spacing w:line="250" w:lineRule="auto"/>
            </w:pPr>
            <w:r>
              <w:rPr>
                <w:sz w:val="18"/>
                <w:szCs w:val="18"/>
              </w:rPr>
              <w:t>Dieselbe Distanz macht echte Nähe manchmal schwerer greifbar</w:t>
            </w:r>
          </w:p>
        </w:tc>
      </w:tr>
    </w:tbl>
    <w:p w14:paraId="70A4FD24" w14:textId="77777777" w:rsidR="00C1548D" w:rsidRDefault="00C1548D">
      <w:pPr>
        <w:spacing w:line="180" w:lineRule="exact"/>
      </w:pPr>
    </w:p>
    <w:p w14:paraId="70A4FD25"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D26" w14:textId="77777777" w:rsidR="00C1548D" w:rsidRDefault="009B1B4B" w:rsidP="009B1B4B">
      <w:pPr>
        <w:pStyle w:val="ListParagraph"/>
        <w:numPr>
          <w:ilvl w:val="0"/>
          <w:numId w:val="48"/>
        </w:numPr>
        <w:spacing w:after="60"/>
      </w:pPr>
      <w:r>
        <w:t>Vor dem Umzug: Eigene Kommunikationsgewohnheiten reflektieren und bei Bedarf ein Stück höflicher, indirekter kalibrieren – besonders bei Kritik und Widerspruch.</w:t>
      </w:r>
    </w:p>
    <w:p w14:paraId="70A4FD27" w14:textId="77777777" w:rsidR="00C1548D" w:rsidRDefault="009B1B4B" w:rsidP="009B1B4B">
      <w:pPr>
        <w:pStyle w:val="ListParagraph"/>
        <w:numPr>
          <w:ilvl w:val="0"/>
          <w:numId w:val="48"/>
        </w:numPr>
        <w:spacing w:after="60"/>
      </w:pPr>
      <w:r>
        <w:t>In den ersten Wochen: Small Talk aktiv üben, „Sorry“-Kultur als soziales Schmiergel statt als Schuldeingeständnis verstehen lernen.</w:t>
      </w:r>
    </w:p>
    <w:p w14:paraId="70A4FD28" w14:textId="77777777" w:rsidR="00C1548D" w:rsidRDefault="009B1B4B" w:rsidP="009B1B4B">
      <w:pPr>
        <w:pStyle w:val="ListParagraph"/>
        <w:numPr>
          <w:ilvl w:val="0"/>
          <w:numId w:val="48"/>
        </w:numPr>
        <w:spacing w:after="60"/>
      </w:pPr>
      <w:r>
        <w:t>Bei Zielort Québec: Französischkurs möglichst schon vor der Abreise beginnen, nicht erst nach Ablauf der Sechs-Monats-Frist.</w:t>
      </w:r>
    </w:p>
    <w:p w14:paraId="70A4FD2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33"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D2A" w14:textId="77777777" w:rsidR="00C1548D" w:rsidRDefault="009B1B4B">
            <w:pPr>
              <w:keepNext/>
              <w:spacing w:after="70" w:line="240" w:lineRule="auto"/>
            </w:pPr>
            <w:r>
              <w:rPr>
                <w:b/>
                <w:bCs/>
                <w:color w:val="1F6F78"/>
                <w:spacing w:val="24"/>
                <w:sz w:val="16"/>
                <w:szCs w:val="16"/>
              </w:rPr>
              <w:lastRenderedPageBreak/>
              <w:t>CHECKLISTE</w:t>
            </w:r>
          </w:p>
          <w:p w14:paraId="70A4FD2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Direktheit bei Kritik und Widerspruch bewusst eine Stufe vorsichtiger kalibriert</w:t>
            </w:r>
          </w:p>
          <w:p w14:paraId="70A4FD2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„Sorry“-Kultur als Höflichkeitsformel verstanden, nicht als echtes Schuldeingeständnis</w:t>
            </w:r>
          </w:p>
          <w:p w14:paraId="70A4FD2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Small-Talk-Themen (Wetter, Wochenende, Nachbarschaft) parat, direkte Kritik an Fremden vermieden</w:t>
            </w:r>
          </w:p>
          <w:p w14:paraId="70A4FD2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Zielort Québec: Französischkenntnisse realistisch eingeschätzt und Kurs eingeplant</w:t>
            </w:r>
          </w:p>
          <w:p w14:paraId="70A4FD2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Bill-96-Sechs-Monats-Frist für Behördenkommunikation in Québec notiert</w:t>
            </w:r>
          </w:p>
          <w:p w14:paraId="70A4FD3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Trinkgeld-Erwartung (15 bis 20 %) in Restaurants und Taxis eingeplant</w:t>
            </w:r>
          </w:p>
          <w:p w14:paraId="70A4FD3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Erwartungen an Tempo und Tiefe neuer Bekanntschaften realistisch angepasst</w:t>
            </w:r>
          </w:p>
          <w:p w14:paraId="70A4FD3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Unsicherheit über eine indirekte Aussage freundlich nachgefragt statt spekuliert</w:t>
            </w:r>
          </w:p>
        </w:tc>
      </w:tr>
    </w:tbl>
    <w:p w14:paraId="70A4FD34" w14:textId="77777777" w:rsidR="00C1548D" w:rsidRDefault="00C1548D">
      <w:pPr>
        <w:spacing w:line="220" w:lineRule="exact"/>
      </w:pPr>
    </w:p>
    <w:p w14:paraId="70A4FD35"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D36" w14:textId="478D594B" w:rsidR="00C1548D" w:rsidRDefault="009B1B4B" w:rsidP="009B1B4B">
      <w:pPr>
        <w:pStyle w:val="ListParagraph"/>
        <w:numPr>
          <w:ilvl w:val="0"/>
          <w:numId w:val="1"/>
        </w:numPr>
        <w:spacing w:after="60"/>
      </w:pPr>
      <w:hyperlink r:id="rId555" w:history="1">
        <w:r>
          <w:rPr>
            <w:color w:val="0563C1"/>
            <w:u w:val="single"/>
          </w:rPr>
          <w:t>bpb.de</w:t>
        </w:r>
      </w:hyperlink>
      <w:r>
        <w:t xml:space="preserve"> (Bundeszentrale für politische Bildung) — Multikulturalismus in Kanada: </w:t>
      </w:r>
      <w:hyperlink r:id="rId556" w:history="1">
        <w:r>
          <w:rPr>
            <w:color w:val="0563C1"/>
            <w:u w:val="single"/>
          </w:rPr>
          <w:t>bpb.de</w:t>
        </w:r>
      </w:hyperlink>
    </w:p>
    <w:p w14:paraId="70A4FD37" w14:textId="77DE8329" w:rsidR="00C1548D" w:rsidRDefault="009B1B4B" w:rsidP="009B1B4B">
      <w:pPr>
        <w:pStyle w:val="ListParagraph"/>
        <w:numPr>
          <w:ilvl w:val="0"/>
          <w:numId w:val="1"/>
        </w:numPr>
        <w:spacing w:after="60"/>
      </w:pPr>
      <w:r>
        <w:t xml:space="preserve">Regierung von Kanada — Multiculturalism Policy und Charter of Rights and Freedoms: </w:t>
      </w:r>
      <w:hyperlink r:id="rId557" w:history="1">
        <w:r>
          <w:rPr>
            <w:color w:val="0563C1"/>
            <w:u w:val="single"/>
          </w:rPr>
          <w:t>canada.ca</w:t>
        </w:r>
      </w:hyperlink>
    </w:p>
    <w:p w14:paraId="70A4FD38" w14:textId="65E40B62" w:rsidR="00C1548D" w:rsidRDefault="009B1B4B" w:rsidP="009B1B4B">
      <w:pPr>
        <w:pStyle w:val="ListParagraph"/>
        <w:numPr>
          <w:ilvl w:val="0"/>
          <w:numId w:val="1"/>
        </w:numPr>
        <w:spacing w:after="60"/>
      </w:pPr>
      <w:r>
        <w:t xml:space="preserve">Gouvernement du Québec — Sprachgesetz Bill 96 (Loi 96): </w:t>
      </w:r>
      <w:hyperlink r:id="rId558" w:history="1">
        <w:r>
          <w:rPr>
            <w:color w:val="0563C1"/>
            <w:u w:val="single"/>
          </w:rPr>
          <w:t>quebec.ca</w:t>
        </w:r>
      </w:hyperlink>
    </w:p>
    <w:p w14:paraId="70A4FD39" w14:textId="52521512" w:rsidR="00C1548D" w:rsidRDefault="009B1B4B" w:rsidP="009B1B4B">
      <w:pPr>
        <w:pStyle w:val="ListParagraph"/>
        <w:numPr>
          <w:ilvl w:val="0"/>
          <w:numId w:val="1"/>
        </w:numPr>
        <w:spacing w:after="60"/>
      </w:pPr>
      <w:r>
        <w:t xml:space="preserve">Lexology, CBC News — Einordnung und Kritik an Bill 96: </w:t>
      </w:r>
      <w:hyperlink r:id="rId559" w:history="1">
        <w:r>
          <w:rPr>
            <w:color w:val="0563C1"/>
            <w:u w:val="single"/>
          </w:rPr>
          <w:t>lexology.com</w:t>
        </w:r>
      </w:hyperlink>
      <w:r>
        <w:t xml:space="preserve">, </w:t>
      </w:r>
      <w:hyperlink r:id="rId560" w:history="1">
        <w:r>
          <w:rPr>
            <w:color w:val="0563C1"/>
            <w:u w:val="single"/>
          </w:rPr>
          <w:t>cbc.ca</w:t>
        </w:r>
      </w:hyperlink>
    </w:p>
    <w:p w14:paraId="70A4FD3A" w14:textId="25433680" w:rsidR="00C1548D" w:rsidRDefault="009B1B4B" w:rsidP="009B1B4B">
      <w:pPr>
        <w:pStyle w:val="ListParagraph"/>
        <w:numPr>
          <w:ilvl w:val="0"/>
          <w:numId w:val="1"/>
        </w:numPr>
        <w:spacing w:after="60"/>
      </w:pPr>
      <w:r>
        <w:t xml:space="preserve">Deutsche Botschaft Ottawa und Generalkonsulate in Kanada — Leben vor Ort: </w:t>
      </w:r>
      <w:hyperlink r:id="rId561" w:history="1">
        <w:r>
          <w:rPr>
            <w:color w:val="0563C1"/>
            <w:u w:val="single"/>
          </w:rPr>
          <w:t>kanada.diplo.de</w:t>
        </w:r>
      </w:hyperlink>
    </w:p>
    <w:p w14:paraId="70A4FD3B"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3E"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D3C" w14:textId="77777777" w:rsidR="00C1548D" w:rsidRDefault="009B1B4B">
            <w:pPr>
              <w:keepNext/>
              <w:spacing w:after="70" w:line="240" w:lineRule="auto"/>
            </w:pPr>
            <w:r>
              <w:rPr>
                <w:b/>
                <w:bCs/>
                <w:color w:val="6B7280"/>
                <w:spacing w:val="24"/>
                <w:sz w:val="16"/>
                <w:szCs w:val="16"/>
              </w:rPr>
              <w:lastRenderedPageBreak/>
              <w:t>STAND</w:t>
            </w:r>
          </w:p>
          <w:p w14:paraId="70A4FD3D" w14:textId="77777777" w:rsidR="00C1548D" w:rsidRDefault="009B1B4B">
            <w:pPr>
              <w:spacing w:after="80" w:line="264" w:lineRule="auto"/>
            </w:pPr>
            <w:r>
              <w:rPr>
                <w:sz w:val="20"/>
                <w:szCs w:val="20"/>
              </w:rPr>
              <w:t>23.09.2026. Die kulturellen Beobachtungen in diesem Kapitel sind allgemeine Tendenzen, keine Statistik – regionale und individuelle Unterschiede innerhalb Kanadas sind groß. Die politische Entwicklung rund um Bill 96 in Québec ist im Fluss; prüfe den aktuellen Stand vor einer konkreten Umzugsentscheidung nach Québec direkt bei den Provinzbehörden.</w:t>
            </w:r>
          </w:p>
        </w:tc>
      </w:tr>
    </w:tbl>
    <w:p w14:paraId="70A4FD3F" w14:textId="77777777" w:rsidR="00C1548D" w:rsidRDefault="00C1548D">
      <w:pPr>
        <w:spacing w:line="220" w:lineRule="exact"/>
      </w:pPr>
    </w:p>
    <w:p w14:paraId="70A4FD40" w14:textId="77777777" w:rsidR="00C1548D" w:rsidRDefault="009B1B4B">
      <w:pPr>
        <w:pStyle w:val="Heading2"/>
        <w:keepNext/>
        <w:pageBreakBefore/>
        <w:jc w:val="center"/>
      </w:pPr>
      <w:bookmarkStart w:id="157" w:name="tka12"/>
      <w:bookmarkStart w:id="158" w:name="_Toc241352530"/>
      <w:r>
        <w:rPr>
          <w:rFonts w:ascii="Amazon Ember" w:eastAsia="Amazon Ember" w:hAnsi="Amazon Ember" w:cs="Amazon Ember"/>
          <w:color w:val="0000FF"/>
          <w:sz w:val="36"/>
          <w:szCs w:val="36"/>
        </w:rPr>
        <w:lastRenderedPageBreak/>
        <w:t>Kanada: Freunde finden und der Kulturschock des ersten Winters</w:t>
      </w:r>
      <w:bookmarkEnd w:id="157"/>
      <w:bookmarkEnd w:id="158"/>
    </w:p>
    <w:p w14:paraId="70A4FD41" w14:textId="77777777" w:rsidR="00C1548D" w:rsidRDefault="009B1B4B">
      <w:pPr>
        <w:spacing w:after="140"/>
      </w:pPr>
      <w:r>
        <w:t>Im Gedränge der Straßenbahn in Toronto rempelt dich jemand an –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w:t>
      </w:r>
      <w:r>
        <w:t>e Einladung wird – und wie du den ersten kanadischen Winter übersteht, ohne dabei den Anschluss an dein altes Leben zu verlieren.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49"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D42" w14:textId="77777777" w:rsidR="00C1548D" w:rsidRDefault="009B1B4B">
            <w:pPr>
              <w:keepNext/>
              <w:spacing w:after="70" w:line="240" w:lineRule="auto"/>
            </w:pPr>
            <w:r>
              <w:rPr>
                <w:b/>
                <w:bCs/>
                <w:color w:val="1F3A5F"/>
                <w:spacing w:val="24"/>
                <w:sz w:val="16"/>
                <w:szCs w:val="16"/>
              </w:rPr>
              <w:t>KURZ GESAGT</w:t>
            </w:r>
          </w:p>
          <w:p w14:paraId="70A4FD43" w14:textId="77777777" w:rsidR="00C1548D" w:rsidRDefault="009B1B4B" w:rsidP="009B1B4B">
            <w:pPr>
              <w:pStyle w:val="ListParagraph"/>
              <w:numPr>
                <w:ilvl w:val="0"/>
                <w:numId w:val="1"/>
              </w:numPr>
              <w:spacing w:after="50" w:line="264" w:lineRule="auto"/>
            </w:pPr>
            <w:r>
              <w:rPr>
                <w:sz w:val="20"/>
                <w:szCs w:val="20"/>
              </w:rPr>
              <w:t>Kanadische Freundlichkeit ist echt, aber keine automatische Einladung zu echter Nähe; die erste Tür öffnet sich leicht, der Rest braucht Wiederholung.</w:t>
            </w:r>
          </w:p>
          <w:p w14:paraId="70A4FD44" w14:textId="77777777" w:rsidR="00C1548D" w:rsidRDefault="009B1B4B" w:rsidP="009B1B4B">
            <w:pPr>
              <w:pStyle w:val="ListParagraph"/>
              <w:numPr>
                <w:ilvl w:val="0"/>
                <w:numId w:val="1"/>
              </w:numPr>
              <w:spacing w:after="50" w:line="264" w:lineRule="auto"/>
            </w:pPr>
            <w:r>
              <w:rPr>
                <w:sz w:val="20"/>
                <w:szCs w:val="20"/>
              </w:rPr>
              <w:t>Eishockey, Curling, Wandern und die kommunale Freizeitverwaltung sind schnelle Wege zu festen Kontakten; ein Vereinswesen im deutschen Sinn gibt es kaum.</w:t>
            </w:r>
          </w:p>
          <w:p w14:paraId="70A4FD45" w14:textId="77777777" w:rsidR="00C1548D" w:rsidRDefault="009B1B4B" w:rsidP="009B1B4B">
            <w:pPr>
              <w:pStyle w:val="ListParagraph"/>
              <w:numPr>
                <w:ilvl w:val="0"/>
                <w:numId w:val="1"/>
              </w:numPr>
              <w:spacing w:after="50" w:line="264" w:lineRule="auto"/>
            </w:pPr>
            <w:r>
              <w:rPr>
                <w:sz w:val="20"/>
                <w:szCs w:val="20"/>
              </w:rPr>
              <w:t>Deutsche Vertretungen, Goethe-Institute und deutsche Sprachschulen konzentrieren sich auf Toronto, Vancouver, Calgary und Montréal – anderswo bleibt vor allem Eigeninitiative.</w:t>
            </w:r>
          </w:p>
          <w:p w14:paraId="70A4FD46" w14:textId="77777777" w:rsidR="00C1548D" w:rsidRDefault="009B1B4B" w:rsidP="009B1B4B">
            <w:pPr>
              <w:pStyle w:val="ListParagraph"/>
              <w:numPr>
                <w:ilvl w:val="0"/>
                <w:numId w:val="1"/>
              </w:numPr>
              <w:spacing w:after="50" w:line="264" w:lineRule="auto"/>
            </w:pPr>
            <w:r>
              <w:rPr>
                <w:sz w:val="20"/>
                <w:szCs w:val="20"/>
              </w:rPr>
              <w:t>Wer über Express Entry einwandert, bringt den mitreisenden Partner meist von Anfang an mit vollem Aufenthaltstitel und Arbeitsrecht mit; die eigentliche Hürde liegt oft bei der Berufsanerkennung, nicht beim Visum.</w:t>
            </w:r>
          </w:p>
          <w:p w14:paraId="70A4FD47" w14:textId="77777777" w:rsidR="00C1548D" w:rsidRDefault="009B1B4B" w:rsidP="009B1B4B">
            <w:pPr>
              <w:pStyle w:val="ListParagraph"/>
              <w:numPr>
                <w:ilvl w:val="0"/>
                <w:numId w:val="1"/>
              </w:numPr>
              <w:spacing w:after="50" w:line="264" w:lineRule="auto"/>
            </w:pPr>
            <w:r>
              <w:rPr>
                <w:sz w:val="20"/>
                <w:szCs w:val="20"/>
              </w:rPr>
              <w:t>Nicht die Entfernung zu Deutschland ist für die meisten Neuankömmlinge der größere Kulturschock, sondern der erste richtige kanadische Winter.</w:t>
            </w:r>
          </w:p>
          <w:p w14:paraId="70A4FD48" w14:textId="77777777" w:rsidR="00C1548D" w:rsidRDefault="009B1B4B" w:rsidP="009B1B4B">
            <w:pPr>
              <w:pStyle w:val="ListParagraph"/>
              <w:numPr>
                <w:ilvl w:val="0"/>
                <w:numId w:val="1"/>
              </w:numPr>
              <w:spacing w:after="50" w:line="264" w:lineRule="auto"/>
            </w:pPr>
            <w:r>
              <w:rPr>
                <w:sz w:val="20"/>
                <w:szCs w:val="20"/>
              </w:rPr>
              <w:t>Wer isoliert lebt oder ernsthaft belastet ist, findet in Kanada rund um die Uhr erreichbare Hilfe, auch für Jugendliche und auf Französisch.</w:t>
            </w:r>
          </w:p>
        </w:tc>
      </w:tr>
    </w:tbl>
    <w:p w14:paraId="70A4FD4A" w14:textId="77777777" w:rsidR="00C1548D" w:rsidRDefault="00C1548D">
      <w:pPr>
        <w:spacing w:line="220" w:lineRule="exact"/>
      </w:pPr>
    </w:p>
    <w:p w14:paraId="70A4FD4B" w14:textId="77777777" w:rsidR="00C1548D" w:rsidRDefault="009B1B4B">
      <w:pPr>
        <w:pStyle w:val="Heading3"/>
        <w:keepNext/>
        <w:jc w:val="center"/>
      </w:pPr>
      <w:r>
        <w:rPr>
          <w:rFonts w:ascii="Amazon Ember" w:eastAsia="Amazon Ember" w:hAnsi="Amazon Ember" w:cs="Amazon Ember"/>
          <w:color w:val="0000FF"/>
          <w:sz w:val="36"/>
          <w:szCs w:val="36"/>
        </w:rPr>
        <w:lastRenderedPageBreak/>
        <w:t>„Sorry“ und die kanadische Höflichkeit: was das fürs Freundefinden bedeutet</w:t>
      </w:r>
    </w:p>
    <w:p w14:paraId="70A4FD4C" w14:textId="5C99A270" w:rsidR="00C1548D" w:rsidRDefault="009B1B4B">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history="1">
        <w:r>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4F"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D4D" w14:textId="77777777" w:rsidR="00C1548D" w:rsidRDefault="009B1B4B">
            <w:pPr>
              <w:keepNext/>
              <w:spacing w:after="70" w:line="240" w:lineRule="auto"/>
            </w:pPr>
            <w:r>
              <w:rPr>
                <w:b/>
                <w:bCs/>
                <w:color w:val="8A6212"/>
                <w:spacing w:val="24"/>
                <w:sz w:val="16"/>
                <w:szCs w:val="16"/>
              </w:rPr>
              <w:t>MERKE</w:t>
            </w:r>
          </w:p>
          <w:p w14:paraId="70A4FD4E" w14:textId="77777777" w:rsidR="00C1548D" w:rsidRDefault="009B1B4B">
            <w:pPr>
              <w:spacing w:after="80" w:line="264" w:lineRule="auto"/>
            </w:pPr>
            <w:r>
              <w:rPr>
                <w:sz w:val="20"/>
                <w:szCs w:val="20"/>
              </w:rPr>
              <w:t>Ein freundliches „Sorry“ ist ein Türöffner, keine Einladung ins Wohnzimmer. Nimm die kanadische Freundlichkeit dankbar an, aber miss echte Nähe an Wiederholung, nicht am ersten netten Gespräch.</w:t>
            </w:r>
          </w:p>
        </w:tc>
      </w:tr>
    </w:tbl>
    <w:p w14:paraId="70A4FD50" w14:textId="77777777" w:rsidR="00C1548D" w:rsidRDefault="00C1548D">
      <w:pPr>
        <w:spacing w:line="220" w:lineRule="exact"/>
      </w:pPr>
    </w:p>
    <w:p w14:paraId="70A4FD51" w14:textId="5CDCF9AD" w:rsidR="00C1548D" w:rsidRDefault="009B1B4B">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history="1">
        <w:r>
          <w:rPr>
            <w:color w:val="0563C1"/>
            <w:u w:val="single"/>
          </w:rPr>
          <w:t>Kapitel zur Alltagskultur in diesem Teil</w:t>
        </w:r>
      </w:hyperlink>
      <w:r>
        <w:t>).</w:t>
      </w:r>
    </w:p>
    <w:p w14:paraId="70A4FD52" w14:textId="77777777" w:rsidR="00C1548D" w:rsidRDefault="009B1B4B">
      <w:pPr>
        <w:pStyle w:val="Heading3"/>
        <w:keepNext/>
        <w:jc w:val="center"/>
      </w:pPr>
      <w:r>
        <w:rPr>
          <w:rFonts w:ascii="Amazon Ember" w:eastAsia="Amazon Ember" w:hAnsi="Amazon Ember" w:cs="Amazon Ember"/>
          <w:color w:val="0000FF"/>
          <w:sz w:val="36"/>
          <w:szCs w:val="36"/>
        </w:rPr>
        <w:lastRenderedPageBreak/>
        <w:t>Wo du Anschluss findest: Eishockey, Curling, Nachbarschaft</w:t>
      </w:r>
    </w:p>
    <w:p w14:paraId="70A4FD53" w14:textId="77777777" w:rsidR="00C1548D" w:rsidRDefault="009B1B4B">
      <w:pPr>
        <w:spacing w:after="140"/>
      </w:pPr>
      <w:r>
        <w:t xml:space="preserve">Ein Vereinswesen mit Satzung und Vorstand wie in Deutschland ist in Kanada selten; stattdessen dominieren offene Ligen, Kurse und die kommunale Freizeitverwaltung. Eishockey ist überall präsent, keineswegs nur für Profis: Erwachsenenligen mit lockerem Niveau, sogenannte </w:t>
      </w:r>
      <w:r>
        <w:rPr>
          <w:i/>
          <w:iCs/>
        </w:rPr>
        <w:t>Beer Leagues</w:t>
      </w:r>
      <w:r>
        <w:t xml:space="preserve">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w:t>
      </w:r>
      <w:r>
        <w:rPr>
          <w:i/>
          <w:iCs/>
        </w:rPr>
        <w:t>Bonspiel</w:t>
      </w:r>
      <w:r>
        <w:t xml:space="preserve"> (ein Curling-Turnier mit ausgiebigem geselligem Rahmenprogramm danach) ist eher gesellschaftliches Ereignis als Hochleistungssport – der Signature-Drink im Clubhaus gehört oft fest dazu.</w:t>
      </w:r>
    </w:p>
    <w:p w14:paraId="70A4FD54" w14:textId="77777777" w:rsidR="00C1548D" w:rsidRDefault="009B1B4B">
      <w:pPr>
        <w:spacing w:after="140"/>
      </w:pPr>
      <w:r>
        <w:t xml:space="preserve">Weitere verlässliche Türöffner sind Wander- und Laufgruppen (in Gebirgsregionen etwa Ortsgruppen des Alpine Club of Canada), die kommunalen </w:t>
      </w:r>
      <w:r>
        <w:rPr>
          <w:i/>
          <w:iCs/>
        </w:rPr>
        <w:t>Community Centres</w:t>
      </w:r>
      <w:r>
        <w:t xml:space="preserve"> (kommunale Freizeitzentren mit Schwimmbad, Fitnessraum, Kursen und Ligen für Erwachsene, vergleichbar mit einer Mischung aus Volkshochschule und Sportverein) sowie öffentliche Bibliotheken mit Vorlesestunden, Konversationsrunden und Buchclubs. Nachbarschaftliche Anlässe wie die </w:t>
      </w:r>
      <w:r>
        <w:rPr>
          <w:i/>
          <w:iCs/>
        </w:rPr>
        <w:t>Block Party</w:t>
      </w:r>
      <w:r>
        <w:t xml:space="preserve">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w14:paraId="70A4FD55" w14:textId="0F2652E7" w:rsidR="00C1548D" w:rsidRDefault="009B1B4B">
      <w:pPr>
        <w:spacing w:after="140"/>
      </w:pPr>
      <w:r>
        <w:t xml:space="preserve">Kinder bleiben der schnellste Weg zu festen Kontakten: Schulsport, Spielplatzverabredungen und der Elternverein der Schule bringen dieselben Eltern Woche für Woche zusammen (mehr dazu im </w:t>
      </w:r>
      <w:hyperlink w:anchor="tka13" w:history="1">
        <w:r>
          <w:rPr>
            <w:color w:val="0563C1"/>
            <w:u w:val="single"/>
          </w:rPr>
          <w:t>Kapitel zu Kindern, Schule und Sprache in diesem Teil</w:t>
        </w:r>
      </w:hyperlink>
      <w:r>
        <w:t xml:space="preserve">). Für Erwachsene </w:t>
      </w:r>
      <w:r>
        <w:lastRenderedPageBreak/>
        <w:t>ohne Kinder oder festen Sportverein füllen Meetup-Gruppen und lokale Facebook-Gruppen die Lücke, auch wenn Kanada insgesamt etwas kleinere, dafür beständigere Szenen hat als etwa amerikanische Großstädte.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4"/>
        <w:gridCol w:w="2305"/>
        <w:gridCol w:w="1711"/>
      </w:tblGrid>
      <w:tr w:rsidR="00C1548D" w14:paraId="70A4FD59" w14:textId="77777777">
        <w:tblPrEx>
          <w:tblCellMar>
            <w:top w:w="0" w:type="dxa"/>
            <w:bottom w:w="0" w:type="dxa"/>
          </w:tblCellMar>
        </w:tblPrEx>
        <w:trPr>
          <w:cantSplit/>
          <w:tblHeader/>
        </w:trPr>
        <w:tc>
          <w:tcPr>
            <w:tcW w:w="246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D56" w14:textId="77777777" w:rsidR="00C1548D" w:rsidRDefault="009B1B4B">
            <w:pPr>
              <w:spacing w:line="250" w:lineRule="auto"/>
            </w:pPr>
            <w:r>
              <w:rPr>
                <w:b/>
                <w:bCs/>
                <w:sz w:val="18"/>
                <w:szCs w:val="18"/>
              </w:rPr>
              <w:t>Ort</w:t>
            </w:r>
          </w:p>
        </w:tc>
        <w:tc>
          <w:tcPr>
            <w:tcW w:w="230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D57" w14:textId="77777777" w:rsidR="00C1548D" w:rsidRDefault="009B1B4B">
            <w:pPr>
              <w:spacing w:line="250" w:lineRule="auto"/>
            </w:pPr>
            <w:r>
              <w:rPr>
                <w:b/>
                <w:bCs/>
                <w:sz w:val="18"/>
                <w:szCs w:val="18"/>
              </w:rPr>
              <w:t>Passt für</w:t>
            </w:r>
          </w:p>
        </w:tc>
        <w:tc>
          <w:tcPr>
            <w:tcW w:w="171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D58" w14:textId="77777777" w:rsidR="00C1548D" w:rsidRDefault="009B1B4B">
            <w:pPr>
              <w:spacing w:line="250" w:lineRule="auto"/>
            </w:pPr>
            <w:r>
              <w:rPr>
                <w:b/>
                <w:bCs/>
                <w:sz w:val="18"/>
                <w:szCs w:val="18"/>
              </w:rPr>
              <w:t>Tempo</w:t>
            </w:r>
          </w:p>
        </w:tc>
      </w:tr>
      <w:tr w:rsidR="00C1548D" w14:paraId="70A4FD5D" w14:textId="77777777">
        <w:tblPrEx>
          <w:tblCellMar>
            <w:top w:w="0" w:type="dxa"/>
            <w:bottom w:w="0" w:type="dxa"/>
          </w:tblCellMar>
        </w:tblPrEx>
        <w:trPr>
          <w:cantSplit/>
        </w:trPr>
        <w:tc>
          <w:tcPr>
            <w:tcW w:w="24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5A" w14:textId="77777777" w:rsidR="00C1548D" w:rsidRDefault="009B1B4B">
            <w:pPr>
              <w:spacing w:line="250" w:lineRule="auto"/>
            </w:pPr>
            <w:r>
              <w:rPr>
                <w:sz w:val="18"/>
                <w:szCs w:val="18"/>
              </w:rPr>
              <w:t>Beer League (Eishockey) oder Curlingclub</w:t>
            </w:r>
          </w:p>
        </w:tc>
        <w:tc>
          <w:tcPr>
            <w:tcW w:w="23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5B" w14:textId="77777777" w:rsidR="00C1548D" w:rsidRDefault="009B1B4B">
            <w:pPr>
              <w:spacing w:line="250" w:lineRule="auto"/>
            </w:pPr>
            <w:r>
              <w:rPr>
                <w:sz w:val="18"/>
                <w:szCs w:val="18"/>
              </w:rPr>
              <w:t>Fast alle, auch ohne Vorerfahrung</w:t>
            </w:r>
          </w:p>
        </w:tc>
        <w:tc>
          <w:tcPr>
            <w:tcW w:w="17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5C" w14:textId="77777777" w:rsidR="00C1548D" w:rsidRDefault="009B1B4B">
            <w:pPr>
              <w:spacing w:line="250" w:lineRule="auto"/>
            </w:pPr>
            <w:r>
              <w:rPr>
                <w:sz w:val="18"/>
                <w:szCs w:val="18"/>
              </w:rPr>
              <w:t>Mittel; feste wöchentliche Wiederholung</w:t>
            </w:r>
          </w:p>
        </w:tc>
      </w:tr>
      <w:tr w:rsidR="00C1548D" w14:paraId="70A4FD61" w14:textId="77777777">
        <w:tblPrEx>
          <w:tblCellMar>
            <w:top w:w="0" w:type="dxa"/>
            <w:bottom w:w="0" w:type="dxa"/>
          </w:tblCellMar>
        </w:tblPrEx>
        <w:trPr>
          <w:cantSplit/>
        </w:trPr>
        <w:tc>
          <w:tcPr>
            <w:tcW w:w="24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5E" w14:textId="77777777" w:rsidR="00C1548D" w:rsidRDefault="009B1B4B">
            <w:pPr>
              <w:spacing w:line="250" w:lineRule="auto"/>
            </w:pPr>
            <w:r>
              <w:rPr>
                <w:sz w:val="18"/>
                <w:szCs w:val="18"/>
              </w:rPr>
              <w:t>Community Centre (Kurse, Ligen, Schwimmbad)</w:t>
            </w:r>
          </w:p>
        </w:tc>
        <w:tc>
          <w:tcPr>
            <w:tcW w:w="23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5F" w14:textId="77777777" w:rsidR="00C1548D" w:rsidRDefault="009B1B4B">
            <w:pPr>
              <w:spacing w:line="250" w:lineRule="auto"/>
            </w:pPr>
            <w:r>
              <w:rPr>
                <w:sz w:val="18"/>
                <w:szCs w:val="18"/>
              </w:rPr>
              <w:t>Fast alle, günstig</w:t>
            </w:r>
          </w:p>
        </w:tc>
        <w:tc>
          <w:tcPr>
            <w:tcW w:w="17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0" w14:textId="77777777" w:rsidR="00C1548D" w:rsidRDefault="009B1B4B">
            <w:pPr>
              <w:spacing w:line="250" w:lineRule="auto"/>
            </w:pPr>
            <w:r>
              <w:rPr>
                <w:sz w:val="18"/>
                <w:szCs w:val="18"/>
              </w:rPr>
              <w:t>Mittel</w:t>
            </w:r>
          </w:p>
        </w:tc>
      </w:tr>
      <w:tr w:rsidR="00C1548D" w14:paraId="70A4FD65" w14:textId="77777777">
        <w:tblPrEx>
          <w:tblCellMar>
            <w:top w:w="0" w:type="dxa"/>
            <w:bottom w:w="0" w:type="dxa"/>
          </w:tblCellMar>
        </w:tblPrEx>
        <w:trPr>
          <w:cantSplit/>
        </w:trPr>
        <w:tc>
          <w:tcPr>
            <w:tcW w:w="24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2" w14:textId="77777777" w:rsidR="00C1548D" w:rsidRDefault="009B1B4B">
            <w:pPr>
              <w:spacing w:line="250" w:lineRule="auto"/>
            </w:pPr>
            <w:r>
              <w:rPr>
                <w:sz w:val="18"/>
                <w:szCs w:val="18"/>
              </w:rPr>
              <w:t>Wander- oder Laufgruppe</w:t>
            </w:r>
          </w:p>
        </w:tc>
        <w:tc>
          <w:tcPr>
            <w:tcW w:w="23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3" w14:textId="77777777" w:rsidR="00C1548D" w:rsidRDefault="009B1B4B">
            <w:pPr>
              <w:spacing w:line="250" w:lineRule="auto"/>
            </w:pPr>
            <w:r>
              <w:rPr>
                <w:sz w:val="18"/>
                <w:szCs w:val="18"/>
              </w:rPr>
              <w:t>Sportlich Interessierte, vor allem in Gebirgsnähe</w:t>
            </w:r>
          </w:p>
        </w:tc>
        <w:tc>
          <w:tcPr>
            <w:tcW w:w="17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4" w14:textId="77777777" w:rsidR="00C1548D" w:rsidRDefault="009B1B4B">
            <w:pPr>
              <w:spacing w:line="250" w:lineRule="auto"/>
            </w:pPr>
            <w:r>
              <w:rPr>
                <w:sz w:val="18"/>
                <w:szCs w:val="18"/>
              </w:rPr>
              <w:t>Mittel bis schnell</w:t>
            </w:r>
          </w:p>
        </w:tc>
      </w:tr>
      <w:tr w:rsidR="00C1548D" w14:paraId="70A4FD69" w14:textId="77777777">
        <w:tblPrEx>
          <w:tblCellMar>
            <w:top w:w="0" w:type="dxa"/>
            <w:bottom w:w="0" w:type="dxa"/>
          </w:tblCellMar>
        </w:tblPrEx>
        <w:trPr>
          <w:cantSplit/>
        </w:trPr>
        <w:tc>
          <w:tcPr>
            <w:tcW w:w="24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6" w14:textId="77777777" w:rsidR="00C1548D" w:rsidRDefault="009B1B4B">
            <w:pPr>
              <w:spacing w:line="250" w:lineRule="auto"/>
            </w:pPr>
            <w:r>
              <w:rPr>
                <w:sz w:val="18"/>
                <w:szCs w:val="18"/>
              </w:rPr>
              <w:t>Nachbarschaft, Block Party, Canada Day</w:t>
            </w:r>
          </w:p>
        </w:tc>
        <w:tc>
          <w:tcPr>
            <w:tcW w:w="23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7" w14:textId="77777777" w:rsidR="00C1548D" w:rsidRDefault="009B1B4B">
            <w:pPr>
              <w:spacing w:line="250" w:lineRule="auto"/>
            </w:pPr>
            <w:r>
              <w:rPr>
                <w:sz w:val="18"/>
                <w:szCs w:val="18"/>
              </w:rPr>
              <w:t>Familien, Hausbesitzer, Mieter</w:t>
            </w:r>
          </w:p>
        </w:tc>
        <w:tc>
          <w:tcPr>
            <w:tcW w:w="17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8" w14:textId="77777777" w:rsidR="00C1548D" w:rsidRDefault="009B1B4B">
            <w:pPr>
              <w:spacing w:line="250" w:lineRule="auto"/>
            </w:pPr>
            <w:r>
              <w:rPr>
                <w:sz w:val="18"/>
                <w:szCs w:val="18"/>
              </w:rPr>
              <w:t>Langsam</w:t>
            </w:r>
          </w:p>
        </w:tc>
      </w:tr>
      <w:tr w:rsidR="00C1548D" w14:paraId="70A4FD6D" w14:textId="77777777">
        <w:tblPrEx>
          <w:tblCellMar>
            <w:top w:w="0" w:type="dxa"/>
            <w:bottom w:w="0" w:type="dxa"/>
          </w:tblCellMar>
        </w:tblPrEx>
        <w:trPr>
          <w:cantSplit/>
        </w:trPr>
        <w:tc>
          <w:tcPr>
            <w:tcW w:w="24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A" w14:textId="77777777" w:rsidR="00C1548D" w:rsidRDefault="009B1B4B">
            <w:pPr>
              <w:spacing w:line="250" w:lineRule="auto"/>
            </w:pPr>
            <w:r>
              <w:rPr>
                <w:sz w:val="18"/>
                <w:szCs w:val="18"/>
              </w:rPr>
              <w:t>Schule, Kindersport, Elternverein</w:t>
            </w:r>
          </w:p>
        </w:tc>
        <w:tc>
          <w:tcPr>
            <w:tcW w:w="23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B" w14:textId="77777777" w:rsidR="00C1548D" w:rsidRDefault="009B1B4B">
            <w:pPr>
              <w:spacing w:line="250" w:lineRule="auto"/>
            </w:pPr>
            <w:r>
              <w:rPr>
                <w:sz w:val="18"/>
                <w:szCs w:val="18"/>
              </w:rPr>
              <w:t>Eltern</w:t>
            </w:r>
          </w:p>
        </w:tc>
        <w:tc>
          <w:tcPr>
            <w:tcW w:w="17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C" w14:textId="77777777" w:rsidR="00C1548D" w:rsidRDefault="009B1B4B">
            <w:pPr>
              <w:spacing w:line="250" w:lineRule="auto"/>
            </w:pPr>
            <w:r>
              <w:rPr>
                <w:sz w:val="18"/>
                <w:szCs w:val="18"/>
              </w:rPr>
              <w:t>Schnell</w:t>
            </w:r>
          </w:p>
        </w:tc>
      </w:tr>
      <w:tr w:rsidR="00C1548D" w14:paraId="70A4FD71" w14:textId="77777777">
        <w:tblPrEx>
          <w:tblCellMar>
            <w:top w:w="0" w:type="dxa"/>
            <w:bottom w:w="0" w:type="dxa"/>
          </w:tblCellMar>
        </w:tblPrEx>
        <w:trPr>
          <w:cantSplit/>
        </w:trPr>
        <w:tc>
          <w:tcPr>
            <w:tcW w:w="24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E" w14:textId="77777777" w:rsidR="00C1548D" w:rsidRDefault="009B1B4B">
            <w:pPr>
              <w:spacing w:line="250" w:lineRule="auto"/>
            </w:pPr>
            <w:r>
              <w:rPr>
                <w:sz w:val="18"/>
                <w:szCs w:val="18"/>
              </w:rPr>
              <w:t>Meetup, lokale Facebook-Gruppen</w:t>
            </w:r>
          </w:p>
        </w:tc>
        <w:tc>
          <w:tcPr>
            <w:tcW w:w="23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6F" w14:textId="77777777" w:rsidR="00C1548D" w:rsidRDefault="009B1B4B">
            <w:pPr>
              <w:spacing w:line="250" w:lineRule="auto"/>
            </w:pPr>
            <w:r>
              <w:rPr>
                <w:sz w:val="18"/>
                <w:szCs w:val="18"/>
              </w:rPr>
              <w:t>Alleinstehende, Zugezogene</w:t>
            </w:r>
          </w:p>
        </w:tc>
        <w:tc>
          <w:tcPr>
            <w:tcW w:w="17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70" w14:textId="77777777" w:rsidR="00C1548D" w:rsidRDefault="009B1B4B">
            <w:pPr>
              <w:spacing w:line="250" w:lineRule="auto"/>
            </w:pPr>
            <w:r>
              <w:rPr>
                <w:sz w:val="18"/>
                <w:szCs w:val="18"/>
              </w:rPr>
              <w:t>Kontakt schnell, Freundschaft langsam</w:t>
            </w:r>
          </w:p>
        </w:tc>
      </w:tr>
    </w:tbl>
    <w:p w14:paraId="70A4FD72"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75"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D73" w14:textId="77777777" w:rsidR="00C1548D" w:rsidRDefault="009B1B4B">
            <w:pPr>
              <w:keepNext/>
              <w:spacing w:after="70" w:line="240" w:lineRule="auto"/>
            </w:pPr>
            <w:r>
              <w:rPr>
                <w:b/>
                <w:bCs/>
                <w:color w:val="2F6B3B"/>
                <w:spacing w:val="24"/>
                <w:sz w:val="16"/>
                <w:szCs w:val="16"/>
              </w:rPr>
              <w:t>SPARTIPP</w:t>
            </w:r>
          </w:p>
          <w:p w14:paraId="70A4FD74" w14:textId="77777777" w:rsidR="00C1548D" w:rsidRDefault="009B1B4B">
            <w:pPr>
              <w:spacing w:after="80" w:line="264" w:lineRule="auto"/>
            </w:pPr>
            <w:r>
              <w:rPr>
                <w:sz w:val="20"/>
                <w:szCs w:val="20"/>
              </w:rPr>
              <w:t>Community Centres verlangen für Erwachsenenkurse und -ligen meist nur einen kleinen Beitrag, „Learn to Curl“-Abende und Bibliotheksprogramme sind häufig ganz kostenlos. Für den Aufbau eines Freundeskreises brauchst du in Kanada kein großes Budget – nur Wiederholung.</w:t>
            </w:r>
          </w:p>
        </w:tc>
      </w:tr>
    </w:tbl>
    <w:p w14:paraId="70A4FD76"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79"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D77" w14:textId="77777777" w:rsidR="00C1548D" w:rsidRDefault="009B1B4B">
            <w:pPr>
              <w:keepNext/>
              <w:spacing w:after="70" w:line="240" w:lineRule="auto"/>
            </w:pPr>
            <w:r>
              <w:rPr>
                <w:b/>
                <w:bCs/>
                <w:color w:val="4A5568"/>
                <w:spacing w:val="24"/>
                <w:sz w:val="16"/>
                <w:szCs w:val="16"/>
              </w:rPr>
              <w:lastRenderedPageBreak/>
              <w:t>PRAXISBEISPIEL · FIKTIV</w:t>
            </w:r>
          </w:p>
          <w:p w14:paraId="70A4FD78" w14:textId="77777777" w:rsidR="00C1548D" w:rsidRDefault="009B1B4B">
            <w:pPr>
              <w:spacing w:after="80" w:line="264" w:lineRule="auto"/>
            </w:pPr>
            <w:r>
              <w:rPr>
                <w:sz w:val="20"/>
                <w:szCs w:val="20"/>
              </w:rPr>
              <w:t>Familie Ahrens (fiktiv) zieht mit Express Entry nach Toronto. Markus meldet sich bei einer Beer League seines Community Centres an, in der ein guter Teil der Mannschaft selbst erst seit wenigen Jahren im Land ist. Julia, die als Apothekerin auf die kanadische Zulassung wartet, beginnt mit einem „Learn to Curl“-Kurs, gemeinsam mit zwei Nachbarinnen, die sie über die Facebook-Gruppe der Straße kennengelernt hat. Nach dem dritten Kursabend verabreden sie sich erstmals auch ohne Eis, zum Kaffee. Finn (11) finde</w:t>
            </w:r>
            <w:r>
              <w:rPr>
                <w:sz w:val="20"/>
                <w:szCs w:val="20"/>
              </w:rPr>
              <w:t>t über die Schulmannschaft schneller Anschluss als seine Eltern; Mia (7) über die Nachbarskinder auf dem gemeinsamen Spielplatz der Straße.</w:t>
            </w:r>
          </w:p>
        </w:tc>
      </w:tr>
    </w:tbl>
    <w:p w14:paraId="70A4FD7A" w14:textId="77777777" w:rsidR="00C1548D" w:rsidRDefault="00C1548D">
      <w:pPr>
        <w:spacing w:line="220" w:lineRule="exact"/>
      </w:pPr>
    </w:p>
    <w:p w14:paraId="70A4FD7B" w14:textId="77777777" w:rsidR="00C1548D" w:rsidRDefault="009B1B4B">
      <w:pPr>
        <w:pStyle w:val="Heading3"/>
        <w:keepNext/>
        <w:jc w:val="center"/>
      </w:pPr>
      <w:r>
        <w:rPr>
          <w:rFonts w:ascii="Amazon Ember" w:eastAsia="Amazon Ember" w:hAnsi="Amazon Ember" w:cs="Amazon Ember"/>
          <w:color w:val="0000FF"/>
          <w:sz w:val="36"/>
          <w:szCs w:val="36"/>
        </w:rPr>
        <w:t>Einladungskultur: Potluck, BYOB und ein Erntedankfest im Oktober</w:t>
      </w:r>
    </w:p>
    <w:p w14:paraId="70A4FD7C" w14:textId="77777777" w:rsidR="00C1548D" w:rsidRDefault="009B1B4B">
      <w:pPr>
        <w:spacing w:after="140"/>
      </w:pPr>
      <w:r>
        <w:t xml:space="preserve">Zu Hause eingeladen zu werden, ist ein gutes Zeichen und läuft meist unkompliziert ab. Der </w:t>
      </w:r>
      <w:r>
        <w:rPr>
          <w:i/>
          <w:iCs/>
        </w:rPr>
        <w:t>Potluck</w:t>
      </w:r>
      <w:r>
        <w:t xml:space="preserve"> (jeder bringt ein Gericht mit) ist auch in Kanada die häufigste Form geselligen Beisammenseins, ob im Büro, in der Nachbarschaft oder bei der Schulklasse; Nachfragen, was noch fehlt, gilt als höflich, nicht als aufdringlich. Bei Grillfesten und lockeren Abenden ist </w:t>
      </w:r>
      <w:r>
        <w:rPr>
          <w:i/>
          <w:iCs/>
        </w:rPr>
        <w:t>BYOB</w:t>
      </w:r>
      <w:r>
        <w:t xml:space="preserve"> (</w:t>
      </w:r>
      <w:r>
        <w:rPr>
          <w:i/>
          <w:iCs/>
        </w:rPr>
        <w:t>Bring Your Own Bottle</w:t>
      </w:r>
      <w:r>
        <w:t>,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 wer aus Erzählungen oder Filmen nur die amerikanische Novemberversion kennt, verpasst sonst leicht die erste Einladung der neuen Nachbarn.</w:t>
      </w:r>
    </w:p>
    <w:p w14:paraId="70A4FD7D"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deutsche Community: Konsulate, Goethe-Institut, Sprachschulen</w:t>
      </w:r>
    </w:p>
    <w:p w14:paraId="70A4FD7E" w14:textId="77777777" w:rsidR="00C1548D" w:rsidRDefault="009B1B4B">
      <w:pPr>
        <w:spacing w:after="140"/>
      </w:pPr>
      <w:r>
        <w:t>Der direkte Draht zur alten Heimat ist in Kanada regional sehr unterschiedlich dicht. Konsularisch bist du, je nach Provinz, dem 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w:t>
      </w:r>
      <w:r>
        <w:t>egen oder Englisch beziehungsweise Französisch verbessern wollen.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326"/>
        <w:gridCol w:w="950"/>
        <w:gridCol w:w="2254"/>
      </w:tblGrid>
      <w:tr w:rsidR="00C1548D" w14:paraId="70A4FD83"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D7F" w14:textId="77777777" w:rsidR="00C1548D" w:rsidRDefault="009B1B4B">
            <w:pPr>
              <w:spacing w:line="250" w:lineRule="auto"/>
            </w:pPr>
            <w:r>
              <w:rPr>
                <w:b/>
                <w:bCs/>
                <w:sz w:val="18"/>
                <w:szCs w:val="18"/>
              </w:rPr>
              <w:t>Stadt</w:t>
            </w:r>
          </w:p>
        </w:tc>
        <w:tc>
          <w:tcPr>
            <w:tcW w:w="232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D80" w14:textId="77777777" w:rsidR="00C1548D" w:rsidRDefault="009B1B4B">
            <w:pPr>
              <w:spacing w:line="250" w:lineRule="auto"/>
            </w:pPr>
            <w:r>
              <w:rPr>
                <w:b/>
                <w:bCs/>
                <w:sz w:val="18"/>
                <w:szCs w:val="18"/>
              </w:rPr>
              <w:t>Konsularische Vertretung</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D81" w14:textId="77777777" w:rsidR="00C1548D" w:rsidRDefault="009B1B4B">
            <w:pPr>
              <w:spacing w:line="250" w:lineRule="auto"/>
            </w:pPr>
            <w:r>
              <w:rPr>
                <w:b/>
                <w:bCs/>
                <w:sz w:val="18"/>
                <w:szCs w:val="18"/>
              </w:rPr>
              <w:t>Goethe-Institut</w:t>
            </w:r>
          </w:p>
        </w:tc>
        <w:tc>
          <w:tcPr>
            <w:tcW w:w="225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D82" w14:textId="77777777" w:rsidR="00C1548D" w:rsidRDefault="009B1B4B">
            <w:pPr>
              <w:spacing w:line="250" w:lineRule="auto"/>
            </w:pPr>
            <w:r>
              <w:rPr>
                <w:b/>
                <w:bCs/>
                <w:sz w:val="18"/>
                <w:szCs w:val="18"/>
              </w:rPr>
              <w:t>Deutsches Sprachangebot</w:t>
            </w:r>
          </w:p>
        </w:tc>
      </w:tr>
      <w:tr w:rsidR="00C1548D" w14:paraId="70A4FD8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84" w14:textId="77777777" w:rsidR="00C1548D" w:rsidRDefault="009B1B4B">
            <w:pPr>
              <w:spacing w:line="250" w:lineRule="auto"/>
            </w:pPr>
            <w:r>
              <w:rPr>
                <w:sz w:val="18"/>
                <w:szCs w:val="18"/>
              </w:rPr>
              <w:t>Toronto</w:t>
            </w:r>
          </w:p>
        </w:tc>
        <w:tc>
          <w:tcPr>
            <w:tcW w:w="23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85" w14:textId="77777777" w:rsidR="00C1548D" w:rsidRDefault="009B1B4B">
            <w:pPr>
              <w:spacing w:line="250" w:lineRule="auto"/>
            </w:pPr>
            <w:r>
              <w:rPr>
                <w:sz w:val="18"/>
                <w:szCs w:val="18"/>
              </w:rPr>
              <w:t>Generalkonsulat (auch für Ottawa)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86" w14:textId="77777777" w:rsidR="00C1548D" w:rsidRDefault="009B1B4B">
            <w:pPr>
              <w:spacing w:line="250" w:lineRule="auto"/>
            </w:pPr>
            <w:r>
              <w:rPr>
                <w:sz w:val="18"/>
                <w:szCs w:val="18"/>
              </w:rPr>
              <w:t>ja</w:t>
            </w:r>
          </w:p>
        </w:tc>
        <w:tc>
          <w:tcPr>
            <w:tcW w:w="2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87" w14:textId="77777777" w:rsidR="00C1548D" w:rsidRDefault="009B1B4B">
            <w:pPr>
              <w:spacing w:line="250" w:lineRule="auto"/>
            </w:pPr>
            <w:r>
              <w:rPr>
                <w:sz w:val="18"/>
                <w:szCs w:val="18"/>
              </w:rPr>
              <w:t>German International School Toronto (Vorschule bis Klasse 12)</w:t>
            </w:r>
          </w:p>
        </w:tc>
      </w:tr>
      <w:tr w:rsidR="00C1548D" w14:paraId="70A4FD8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89" w14:textId="77777777" w:rsidR="00C1548D" w:rsidRDefault="009B1B4B">
            <w:pPr>
              <w:spacing w:line="250" w:lineRule="auto"/>
            </w:pPr>
            <w:r>
              <w:rPr>
                <w:sz w:val="18"/>
                <w:szCs w:val="18"/>
              </w:rPr>
              <w:t>Vancouver</w:t>
            </w:r>
          </w:p>
        </w:tc>
        <w:tc>
          <w:tcPr>
            <w:tcW w:w="23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8A" w14:textId="77777777" w:rsidR="00C1548D" w:rsidRDefault="009B1B4B">
            <w:pPr>
              <w:spacing w:line="250" w:lineRule="auto"/>
            </w:pPr>
            <w:r>
              <w:rPr>
                <w:sz w:val="18"/>
                <w:szCs w:val="18"/>
              </w:rPr>
              <w:t>Generalkonsulat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8B" w14:textId="77777777" w:rsidR="00C1548D" w:rsidRDefault="009B1B4B">
            <w:pPr>
              <w:spacing w:line="250" w:lineRule="auto"/>
            </w:pPr>
            <w:r>
              <w:rPr>
                <w:sz w:val="18"/>
                <w:szCs w:val="18"/>
              </w:rPr>
              <w:t>nein (nicht identifiziert)</w:t>
            </w:r>
          </w:p>
        </w:tc>
        <w:tc>
          <w:tcPr>
            <w:tcW w:w="2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8C" w14:textId="77777777" w:rsidR="00C1548D" w:rsidRDefault="009B1B4B">
            <w:pPr>
              <w:spacing w:line="250" w:lineRule="auto"/>
            </w:pPr>
            <w:r>
              <w:rPr>
                <w:sz w:val="18"/>
                <w:szCs w:val="18"/>
              </w:rPr>
              <w:t>Vancouver Westside German School (Samstagsschule, seit 1992)</w:t>
            </w:r>
          </w:p>
        </w:tc>
      </w:tr>
      <w:tr w:rsidR="00C1548D" w14:paraId="70A4FD9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8E" w14:textId="77777777" w:rsidR="00C1548D" w:rsidRDefault="009B1B4B">
            <w:pPr>
              <w:spacing w:line="250" w:lineRule="auto"/>
            </w:pPr>
            <w:r>
              <w:rPr>
                <w:sz w:val="18"/>
                <w:szCs w:val="18"/>
              </w:rPr>
              <w:t>Calgary</w:t>
            </w:r>
          </w:p>
        </w:tc>
        <w:tc>
          <w:tcPr>
            <w:tcW w:w="23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8F" w14:textId="77777777" w:rsidR="00C1548D" w:rsidRDefault="009B1B4B">
            <w:pPr>
              <w:spacing w:line="250" w:lineRule="auto"/>
            </w:pPr>
            <w:r>
              <w:rPr>
                <w:sz w:val="18"/>
                <w:szCs w:val="18"/>
              </w:rPr>
              <w:t>Honorarkonsul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90" w14:textId="77777777" w:rsidR="00C1548D" w:rsidRDefault="009B1B4B">
            <w:pPr>
              <w:spacing w:line="250" w:lineRule="auto"/>
            </w:pPr>
            <w:r>
              <w:rPr>
                <w:sz w:val="18"/>
                <w:szCs w:val="18"/>
              </w:rPr>
              <w:t>nein</w:t>
            </w:r>
          </w:p>
        </w:tc>
        <w:tc>
          <w:tcPr>
            <w:tcW w:w="2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91" w14:textId="77777777" w:rsidR="00C1548D" w:rsidRDefault="009B1B4B">
            <w:pPr>
              <w:spacing w:line="250" w:lineRule="auto"/>
            </w:pPr>
            <w:r>
              <w:rPr>
                <w:sz w:val="18"/>
                <w:szCs w:val="18"/>
              </w:rPr>
              <w:t>Calgary German Language School (Vorschule bis Klasse 12, auch Erwachsenenkurse)</w:t>
            </w:r>
          </w:p>
        </w:tc>
      </w:tr>
      <w:tr w:rsidR="00C1548D" w14:paraId="70A4FD9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93" w14:textId="77777777" w:rsidR="00C1548D" w:rsidRDefault="009B1B4B">
            <w:pPr>
              <w:spacing w:line="250" w:lineRule="auto"/>
            </w:pPr>
            <w:r>
              <w:rPr>
                <w:sz w:val="18"/>
                <w:szCs w:val="18"/>
              </w:rPr>
              <w:t>Montréal</w:t>
            </w:r>
          </w:p>
        </w:tc>
        <w:tc>
          <w:tcPr>
            <w:tcW w:w="23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94" w14:textId="77777777" w:rsidR="00C1548D" w:rsidRDefault="009B1B4B">
            <w:pPr>
              <w:spacing w:line="250" w:lineRule="auto"/>
            </w:pPr>
            <w:r>
              <w:rPr>
                <w:sz w:val="18"/>
                <w:szCs w:val="18"/>
              </w:rPr>
              <w:t>Generalkonsulat (seit 1893)</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95" w14:textId="77777777" w:rsidR="00C1548D" w:rsidRDefault="009B1B4B">
            <w:pPr>
              <w:spacing w:line="250" w:lineRule="auto"/>
            </w:pPr>
            <w:r>
              <w:rPr>
                <w:sz w:val="18"/>
                <w:szCs w:val="18"/>
              </w:rPr>
              <w:t>ja</w:t>
            </w:r>
          </w:p>
        </w:tc>
        <w:tc>
          <w:tcPr>
            <w:tcW w:w="2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96" w14:textId="77777777" w:rsidR="00C1548D" w:rsidRDefault="009B1B4B">
            <w:pPr>
              <w:spacing w:line="250" w:lineRule="auto"/>
            </w:pPr>
            <w:r>
              <w:rPr>
                <w:sz w:val="18"/>
                <w:szCs w:val="18"/>
              </w:rPr>
              <w:t>Alexander-von-Humboldt-Schule (Baie-d’Urfé)</w:t>
            </w:r>
          </w:p>
        </w:tc>
      </w:tr>
      <w:tr w:rsidR="00C1548D" w14:paraId="70A4FD9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98" w14:textId="77777777" w:rsidR="00C1548D" w:rsidRDefault="009B1B4B">
            <w:pPr>
              <w:spacing w:line="250" w:lineRule="auto"/>
            </w:pPr>
            <w:r>
              <w:rPr>
                <w:sz w:val="18"/>
                <w:szCs w:val="18"/>
              </w:rPr>
              <w:t>Ottawa</w:t>
            </w:r>
          </w:p>
        </w:tc>
        <w:tc>
          <w:tcPr>
            <w:tcW w:w="23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99" w14:textId="77777777" w:rsidR="00C1548D" w:rsidRDefault="009B1B4B">
            <w:pPr>
              <w:spacing w:line="250" w:lineRule="auto"/>
            </w:pPr>
            <w:r>
              <w:rPr>
                <w:sz w:val="18"/>
                <w:szCs w:val="18"/>
              </w:rPr>
              <w:t>Sitz der Botschaft (kein eigenes Konsulat für Privatpersonen)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9A" w14:textId="77777777" w:rsidR="00C1548D" w:rsidRDefault="009B1B4B">
            <w:pPr>
              <w:spacing w:line="250" w:lineRule="auto"/>
            </w:pPr>
            <w:r>
              <w:rPr>
                <w:sz w:val="18"/>
                <w:szCs w:val="18"/>
              </w:rPr>
              <w:t>ja</w:t>
            </w:r>
          </w:p>
        </w:tc>
        <w:tc>
          <w:tcPr>
            <w:tcW w:w="22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9B" w14:textId="77777777" w:rsidR="00C1548D" w:rsidRDefault="009B1B4B">
            <w:pPr>
              <w:spacing w:line="250" w:lineRule="auto"/>
            </w:pPr>
            <w:r>
              <w:rPr>
                <w:sz w:val="18"/>
                <w:szCs w:val="18"/>
              </w:rPr>
              <w:t>–</w:t>
            </w:r>
          </w:p>
        </w:tc>
      </w:tr>
    </w:tbl>
    <w:p w14:paraId="70A4FD9D" w14:textId="77777777" w:rsidR="00C1548D" w:rsidRDefault="00C1548D">
      <w:pPr>
        <w:spacing w:line="180" w:lineRule="exact"/>
      </w:pPr>
    </w:p>
    <w:p w14:paraId="70A4FD9E" w14:textId="77777777" w:rsidR="00C1548D" w:rsidRDefault="009B1B4B">
      <w:pPr>
        <w:spacing w:after="140"/>
      </w:pPr>
      <w:r>
        <w:t xml:space="preserve">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w:t>
      </w:r>
      <w:r>
        <w:lastRenderedPageBreak/>
        <w:t>katholischen Auslandsgemeinden, die es in mehreren Großstädten gibt.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A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D9F" w14:textId="77777777" w:rsidR="00C1548D" w:rsidRDefault="009B1B4B">
            <w:pPr>
              <w:keepNext/>
              <w:spacing w:after="70" w:line="240" w:lineRule="auto"/>
            </w:pPr>
            <w:r>
              <w:rPr>
                <w:b/>
                <w:bCs/>
                <w:color w:val="9B2C2C"/>
                <w:spacing w:val="24"/>
                <w:sz w:val="16"/>
                <w:szCs w:val="16"/>
              </w:rPr>
              <w:t>ACHTUNG</w:t>
            </w:r>
          </w:p>
          <w:p w14:paraId="70A4FDA0" w14:textId="77777777" w:rsidR="00C1548D" w:rsidRDefault="009B1B4B">
            <w:pPr>
              <w:spacing w:after="80" w:line="264" w:lineRule="auto"/>
            </w:pPr>
            <w:r>
              <w:rPr>
                <w:sz w:val="20"/>
                <w:szCs w:val="20"/>
              </w:rPr>
              <w:t>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tc>
      </w:tr>
    </w:tbl>
    <w:p w14:paraId="70A4FDA2" w14:textId="77777777" w:rsidR="00C1548D" w:rsidRDefault="00C1548D">
      <w:pPr>
        <w:spacing w:line="220" w:lineRule="exact"/>
      </w:pPr>
    </w:p>
    <w:p w14:paraId="70A4FDA3" w14:textId="77777777" w:rsidR="00C1548D" w:rsidRDefault="009B1B4B">
      <w:pPr>
        <w:pStyle w:val="Heading3"/>
        <w:keepNext/>
        <w:jc w:val="center"/>
      </w:pPr>
      <w:r>
        <w:rPr>
          <w:rFonts w:ascii="Amazon Ember" w:eastAsia="Amazon Ember" w:hAnsi="Amazon Ember" w:cs="Amazon Ember"/>
          <w:color w:val="0000FF"/>
          <w:sz w:val="36"/>
          <w:szCs w:val="36"/>
        </w:rPr>
        <w:t>Wenn ein Partner neu anfängt</w:t>
      </w:r>
    </w:p>
    <w:p w14:paraId="70A4FDA4" w14:textId="77777777" w:rsidR="00C1548D" w:rsidRDefault="009B1B4B">
      <w:pPr>
        <w:spacing w:after="140"/>
      </w:pPr>
      <w:r>
        <w:t xml:space="preserve">Ein struktureller Unterschied zu manchen anderen Zielländern: Wer über </w:t>
      </w:r>
      <w:r>
        <w:rPr>
          <w:i/>
          <w:iCs/>
        </w:rPr>
        <w:t>Express Entry</w:t>
      </w:r>
      <w:r>
        <w:t xml:space="preserve"> (das kanadische Punktesystem-Verfahren für Fachkräfte) einwandert, bekommt die unbefristete Aufenthaltserlaubnis (</w:t>
      </w:r>
      <w:r>
        <w:rPr>
          <w:i/>
          <w:iCs/>
        </w:rPr>
        <w:t>Permanent Residence</w:t>
      </w:r>
      <w:r>
        <w:t xml:space="preserve">) meist gemeinsam mit dem mitreisenden Ehepartner – Julia Ahrens hat damit von Tag eins an dieselben Rechte wie Markus, einschließlich uneingeschränkter Arbeitserlaubnis. Das nimmt zumindest den rechtlichen Druck aus der Situation, den manche Leser dieses Buches aus anderen Programmen kennen. Bei einem </w:t>
      </w:r>
      <w:r>
        <w:rPr>
          <w:i/>
          <w:iCs/>
        </w:rPr>
        <w:t>Employer-Sponsored Work Permit</w:t>
      </w:r>
      <w:r>
        <w:t xml:space="preserve"> mit </w:t>
      </w:r>
      <w:r>
        <w:rPr>
          <w:i/>
          <w:iCs/>
        </w:rPr>
        <w:t>LMIA</w:t>
      </w:r>
      <w:r>
        <w:t xml:space="preserve"> (</w:t>
      </w:r>
      <w:r>
        <w:rPr>
          <w:i/>
          <w:iCs/>
        </w:rPr>
        <w:t>Labour Market Impact Assessment</w:t>
      </w:r>
      <w:r>
        <w:t xml:space="preserve">, der arbeitsmarktbezogenen Vorprüfung, die der kanadische Arbeitgeber für die Anstellung durchlaufen muss) – dem Weg von Lukas Berger nach Calgary – gilt das nicht automatisch: Ob der mitreisende Partner einen eigenen, offenen </w:t>
      </w:r>
      <w:r>
        <w:rPr>
          <w:i/>
          <w:iCs/>
        </w:rPr>
        <w:t>Open Work Permit</w:t>
      </w:r>
      <w:r>
        <w:t xml:space="preserve"> (eine Arbeitserlaubnis ohne Bindung an einen bestimmten Arbeitgeber) erhält, hängt von der Qualifikationsstufe der Stelle und den jeweils aktuellen Einwanderungsregeln ab; diese wurden in den vergangenen Jahren mehrfach angepasst. Prüfe den aktuellen Stand direkt bei IRCC (</w:t>
      </w:r>
      <w:r>
        <w:rPr>
          <w:i/>
          <w:iCs/>
        </w:rPr>
        <w:t>Immigration, Refugees and Citizenship Canada</w:t>
      </w:r>
      <w:r>
        <w:t>, der kanadischen Einwanderungsbehörde), bevor du fest damit planst.</w:t>
      </w:r>
    </w:p>
    <w:p w14:paraId="70A4FDA5" w14:textId="77777777" w:rsidR="00C1548D" w:rsidRDefault="009B1B4B">
      <w:pPr>
        <w:spacing w:after="140"/>
      </w:pPr>
      <w:r>
        <w:t xml:space="preserve">Der eigentliche Engpass liegt oft woanders: bei reglementierten Berufen wie Apotheker, Pflegekraft oder Ingenieurin prüft eine </w:t>
      </w:r>
      <w:r>
        <w:lastRenderedPageBreak/>
        <w:t>provinzielle Zulassungsstelle Ausbildung und Erfahrung, bevor die eigentliche Stellensuche beginnt – bei Julia Ahrens etwa das College of Pharmacists der Provinz Ontario. Diese Prüfung kann Monate dauern, unabhängig vom Aufenthaltstitel.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A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DA6" w14:textId="77777777" w:rsidR="00C1548D" w:rsidRDefault="009B1B4B">
            <w:pPr>
              <w:keepNext/>
              <w:spacing w:after="70" w:line="240" w:lineRule="auto"/>
            </w:pPr>
            <w:r>
              <w:rPr>
                <w:b/>
                <w:bCs/>
                <w:color w:val="9B2C2C"/>
                <w:spacing w:val="24"/>
                <w:sz w:val="16"/>
                <w:szCs w:val="16"/>
              </w:rPr>
              <w:t>ACHTUNG</w:t>
            </w:r>
          </w:p>
          <w:p w14:paraId="70A4FDA7" w14:textId="77777777" w:rsidR="00C1548D" w:rsidRDefault="009B1B4B">
            <w:pPr>
              <w:spacing w:after="80" w:line="264" w:lineRule="auto"/>
            </w:pPr>
            <w:r>
              <w:rPr>
                <w:sz w:val="20"/>
                <w:szCs w:val="20"/>
              </w:rPr>
              <w:t>Warte mit dem eigenen Netzwerkaufbau nicht, bis die Berufszulassung durchgekommen ist. Wer die Wartemonate isoliert zu Hause verbringt, verstärkt genau die Talsohle, die weiter unten beschrieben wird – ein Kurs, ein Ehrenamt oder ein fester Sporttermin wirken dagegen doppelt: gegen die Einsamkeit und für das spätere berufliche Netzwerk.</w:t>
            </w:r>
          </w:p>
        </w:tc>
      </w:tr>
    </w:tbl>
    <w:p w14:paraId="70A4FDA9" w14:textId="77777777" w:rsidR="00C1548D" w:rsidRDefault="00C1548D">
      <w:pPr>
        <w:spacing w:line="220" w:lineRule="exact"/>
      </w:pPr>
    </w:p>
    <w:p w14:paraId="70A4FDAA" w14:textId="77777777" w:rsidR="00C1548D" w:rsidRDefault="009B1B4B">
      <w:pPr>
        <w:pStyle w:val="Heading3"/>
        <w:keepNext/>
        <w:jc w:val="center"/>
      </w:pPr>
      <w:r>
        <w:rPr>
          <w:rFonts w:ascii="Amazon Ember" w:eastAsia="Amazon Ember" w:hAnsi="Amazon Ember" w:cs="Amazon Ember"/>
          <w:color w:val="0000FF"/>
          <w:sz w:val="36"/>
          <w:szCs w:val="36"/>
        </w:rPr>
        <w:t>Der erste kanadische Winter statt der großen Distanz</w:t>
      </w:r>
    </w:p>
    <w:p w14:paraId="70A4FDAB" w14:textId="77777777" w:rsidR="00C1548D" w:rsidRDefault="009B1B4B">
      <w:pPr>
        <w:spacing w:after="140"/>
      </w:pPr>
      <w:r>
        <w:t xml:space="preserve">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w:t>
      </w:r>
      <w:r>
        <w:t>Sommer- und Winterzeit wechseln. Ein Wochenendbesuch ist damit anstrengend, aber tatsächlich möglich – anders als bei einer Zielregion auf der anderen Seite der Erdkugel.</w:t>
      </w:r>
    </w:p>
    <w:p w14:paraId="70A4FDAC" w14:textId="77777777" w:rsidR="00C1548D" w:rsidRDefault="009B1B4B">
      <w:pPr>
        <w:spacing w:after="140"/>
      </w:pPr>
      <w:r>
        <w:t xml:space="preserve">Was viele Neuankömmlinge stattdessen kalt erwischt, ist im Wortsinn der erste richtige Winter. In Toronto und Montréal bedeutet das feuchte Kälte, viel Schnee und gelegentliche Eisstürme; in Calgary wechseln sich Kälteeinbrüche bis −30 °C mit dem </w:t>
      </w:r>
      <w:r>
        <w:rPr>
          <w:i/>
          <w:iCs/>
        </w:rPr>
        <w:t>Chinook</w:t>
      </w:r>
      <w:r>
        <w:t xml:space="preserve"> ab, einem warmen Fallwind von den Rocky Mountains, der die Temperatur binnen weniger Stunden um bis zu 20 °C anheben kann – ein Wetterphänomen, das selbst gestandene Albertaner noch verblüfft, wenn es Mitte Januar plötzlich nach Frühling riecht. </w:t>
      </w:r>
      <w:r>
        <w:lastRenderedPageBreak/>
        <w:t>Kürzere Tage, mehr Zeit drinnen und ein noch dünner Freundeskreis verstärken sich in diesen ersten Monaten gegenseitig.</w:t>
      </w:r>
    </w:p>
    <w:p w14:paraId="70A4FDAD" w14:textId="77777777" w:rsidR="00C1548D" w:rsidRDefault="009B1B4B">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 eine unglückliche, aber vorhersehbare Überschneidung.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B0"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DAE" w14:textId="77777777" w:rsidR="00C1548D" w:rsidRDefault="009B1B4B">
            <w:pPr>
              <w:keepNext/>
              <w:spacing w:after="70" w:line="240" w:lineRule="auto"/>
            </w:pPr>
            <w:r>
              <w:rPr>
                <w:b/>
                <w:bCs/>
                <w:color w:val="8A6212"/>
                <w:spacing w:val="24"/>
                <w:sz w:val="16"/>
                <w:szCs w:val="16"/>
              </w:rPr>
              <w:t>MERKE</w:t>
            </w:r>
          </w:p>
          <w:p w14:paraId="70A4FDAF" w14:textId="77777777" w:rsidR="00C1548D" w:rsidRDefault="009B1B4B">
            <w:pPr>
              <w:spacing w:after="80" w:line="264" w:lineRule="auto"/>
            </w:pPr>
            <w:r>
              <w:rPr>
                <w:sz w:val="20"/>
                <w:szCs w:val="20"/>
              </w:rPr>
              <w:t>Der erste Winter ist zeitlich begrenzt, so unwahrscheinlich sich das im Februar anfühlt. Er ist kein Beweis, dass die Entscheidung für Kanada falsch war, sondern der vorhersehbare Tiefpunkt einer Kurve, die danach wieder nach oben zeigt.</w:t>
            </w:r>
          </w:p>
        </w:tc>
      </w:tr>
    </w:tbl>
    <w:p w14:paraId="70A4FDB1" w14:textId="77777777" w:rsidR="00C1548D" w:rsidRDefault="00C1548D">
      <w:pPr>
        <w:spacing w:line="220" w:lineRule="exact"/>
      </w:pPr>
    </w:p>
    <w:p w14:paraId="70A4FDB2" w14:textId="77777777" w:rsidR="00C1548D" w:rsidRDefault="009B1B4B">
      <w:pPr>
        <w:pStyle w:val="Heading3"/>
        <w:keepNext/>
        <w:jc w:val="center"/>
      </w:pPr>
      <w:r>
        <w:rPr>
          <w:rFonts w:ascii="Amazon Ember" w:eastAsia="Amazon Ember" w:hAnsi="Amazon Ember" w:cs="Amazon Ember"/>
          <w:color w:val="0000FF"/>
          <w:sz w:val="36"/>
          <w:szCs w:val="36"/>
        </w:rPr>
        <w:t>Wenn Heimweh bleibt: Hilfe finden</w:t>
      </w:r>
    </w:p>
    <w:p w14:paraId="70A4FDB3" w14:textId="77777777" w:rsidR="00C1548D" w:rsidRDefault="009B1B4B">
      <w:pPr>
        <w:spacing w:after="140"/>
      </w:pPr>
      <w:r>
        <w:t xml:space="preserve">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w:t>
      </w:r>
      <w:r>
        <w:rPr>
          <w:i/>
          <w:iCs/>
        </w:rPr>
        <w:t>Employee Assistance Program</w:t>
      </w:r>
      <w:r>
        <w:t xml:space="preserve"> (EAP, ein betriebliches Beratungs- und Vermittlungsprogramm mit meist mehreren kostenlosen Sitzungen pro Jahr) an; frage gezielt danach, auch für mitversicherte Angehörige. Deutschsprachige Therapeutinnen und Therapeuten findest du über internationale Verzeichnisse wie Psychology Today, viele davon per Videositzung erreichbar, sofern sie in deiner Provinz zugelassen sind.</w:t>
      </w:r>
    </w:p>
    <w:p w14:paraId="70A4FDB4" w14:textId="77777777" w:rsidR="00C1548D" w:rsidRDefault="009B1B4B">
      <w:pPr>
        <w:spacing w:after="140"/>
      </w:pPr>
      <w:r>
        <w:t xml:space="preserve">Für akute Krisen ist die </w:t>
      </w:r>
      <w:r>
        <w:rPr>
          <w:i/>
          <w:iCs/>
        </w:rPr>
        <w:t>9-8-8: Suicide Crisis Helpline</w:t>
      </w:r>
      <w:r>
        <w:t xml:space="preserve"> seit dem 30. November 2023 landesweit rund um die Uhr per Anruf oder Textnachricht erreichbar, kostenlos, auf Englisch und Französisch. Für Kinder und Jugendliche steht zusätzlich Kids Help Phone bereit: </w:t>
      </w:r>
      <w:r>
        <w:lastRenderedPageBreak/>
        <w:t>Anruf oder eine Textnachricht mit „CONNECT“ an 686868 verbindet rund um die Uhr mit einer geschulten, freiwilligen Ansprechperson, ganz ohne Datentarif oder App. Bei unmittelbarer Gefahr wählst du wie überall in Kanada 911.</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B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DB5" w14:textId="77777777" w:rsidR="00C1548D" w:rsidRDefault="009B1B4B">
            <w:pPr>
              <w:keepNext/>
              <w:spacing w:after="70" w:line="240" w:lineRule="auto"/>
            </w:pPr>
            <w:r>
              <w:rPr>
                <w:b/>
                <w:bCs/>
                <w:color w:val="9B2C2C"/>
                <w:spacing w:val="24"/>
                <w:sz w:val="16"/>
                <w:szCs w:val="16"/>
              </w:rPr>
              <w:t>ACHTUNG</w:t>
            </w:r>
          </w:p>
          <w:p w14:paraId="70A4FDB6" w14:textId="77777777" w:rsidR="00C1548D" w:rsidRDefault="009B1B4B">
            <w:pPr>
              <w:spacing w:after="80" w:line="264" w:lineRule="auto"/>
            </w:pPr>
            <w:r>
              <w:rPr>
                <w:sz w:val="20"/>
                <w:szCs w:val="20"/>
              </w:rPr>
              <w:t>Bei akuten Gedanken, sich selbst oder anderen etwas anzutun, wartest du nicht ab. Ruf oder schreib sofort 9-8-8, oder wähle bei unmittelbarer Gefahr 911. Die deutsche Auslandsvertretung ist keine Krisenhotline, hilft aber in echten Notlagen rund um die Uhr weiter.</w:t>
            </w:r>
          </w:p>
        </w:tc>
      </w:tr>
    </w:tbl>
    <w:p w14:paraId="70A4FDB8"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BB"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DB9" w14:textId="77777777" w:rsidR="00C1548D" w:rsidRDefault="009B1B4B">
            <w:pPr>
              <w:keepNext/>
              <w:spacing w:after="70" w:line="240" w:lineRule="auto"/>
            </w:pPr>
            <w:r>
              <w:rPr>
                <w:b/>
                <w:bCs/>
                <w:color w:val="4A5568"/>
                <w:spacing w:val="24"/>
                <w:sz w:val="16"/>
                <w:szCs w:val="16"/>
              </w:rPr>
              <w:t>PRAXISBEISPIEL · FIKTIV</w:t>
            </w:r>
          </w:p>
          <w:p w14:paraId="70A4FDBA" w14:textId="77777777" w:rsidR="00C1548D" w:rsidRDefault="009B1B4B">
            <w:pPr>
              <w:spacing w:after="80" w:line="264" w:lineRule="auto"/>
            </w:pPr>
            <w:r>
              <w:rPr>
                <w:sz w:val="20"/>
                <w:szCs w:val="20"/>
              </w:rPr>
              <w:t>Lukas Berger (fiktiv) verbringt seinen ersten Calgary-Winter allein in einer möblierten Mietwohnung, ohne die Familie und die alten Kumpels aus Hannover. Im Januar, nach mehreren Tagen mit −25 °C, sagt er zwei Verabredungen ab, weil ihm draußen schlicht zu kalt ist, und merkt danach, wie leer sein Kalender plötzlich aussieht. Er meldet sich bei einer Beer League seines Community Centres an, weil dort wenigstens dienstags ein fester Termin steht, egal wie das Wetter ist. Als eine Chinook-Wetterlage die Tempe</w:t>
            </w:r>
            <w:r>
              <w:rPr>
                <w:sz w:val="20"/>
                <w:szCs w:val="20"/>
              </w:rPr>
              <w:t>ratur binnen eines Tages von −22 °C auf 8 °C hebt, geht er mit zwei neuen Mannschaftskollegen spontan draußen laufen – der erste Abend, an dem sich Calgary nicht mehr fremd anfühlt.</w:t>
            </w:r>
          </w:p>
        </w:tc>
      </w:tr>
    </w:tbl>
    <w:p w14:paraId="70A4FDBC" w14:textId="77777777" w:rsidR="00C1548D" w:rsidRDefault="00C1548D">
      <w:pPr>
        <w:spacing w:line="220" w:lineRule="exact"/>
      </w:pPr>
    </w:p>
    <w:p w14:paraId="70A4FDBD"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DC0"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DBE"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DBF" w14:textId="77777777" w:rsidR="00C1548D" w:rsidRDefault="009B1B4B">
            <w:pPr>
              <w:spacing w:line="250" w:lineRule="auto"/>
            </w:pPr>
            <w:r>
              <w:rPr>
                <w:b/>
                <w:bCs/>
                <w:sz w:val="18"/>
                <w:szCs w:val="18"/>
              </w:rPr>
              <w:t>Minus</w:t>
            </w:r>
          </w:p>
        </w:tc>
      </w:tr>
      <w:tr w:rsidR="00C1548D" w14:paraId="70A4FDC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C1" w14:textId="77777777" w:rsidR="00C1548D" w:rsidRDefault="009B1B4B">
            <w:pPr>
              <w:spacing w:line="250" w:lineRule="auto"/>
            </w:pPr>
            <w:r>
              <w:rPr>
                <w:sz w:val="18"/>
                <w:szCs w:val="18"/>
              </w:rPr>
              <w:t>Kontakt zu Fremden gelingt schnell; Höflichkeit senkt die Hemmschwelle für den ersten Schritt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C2" w14:textId="77777777" w:rsidR="00C1548D" w:rsidRDefault="009B1B4B">
            <w:pPr>
              <w:spacing w:line="250" w:lineRule="auto"/>
            </w:pPr>
            <w:r>
              <w:rPr>
                <w:sz w:val="18"/>
                <w:szCs w:val="18"/>
              </w:rPr>
              <w:t>Freundlichkeit sagt wenig über echte Nähe aus; Kritik und Ablehnung bleiben oft unausgesprochen</w:t>
            </w:r>
          </w:p>
        </w:tc>
      </w:tr>
      <w:tr w:rsidR="00C1548D" w14:paraId="70A4FDC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C4" w14:textId="77777777" w:rsidR="00C1548D" w:rsidRDefault="009B1B4B">
            <w:pPr>
              <w:spacing w:line="250" w:lineRule="auto"/>
            </w:pPr>
            <w:r>
              <w:rPr>
                <w:sz w:val="18"/>
                <w:szCs w:val="18"/>
              </w:rPr>
              <w:t>Eishockey, Curling und Community Centres bieten günstigen, verlässlichen Anschluss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C5" w14:textId="77777777" w:rsidR="00C1548D" w:rsidRDefault="009B1B4B">
            <w:pPr>
              <w:spacing w:line="250" w:lineRule="auto"/>
            </w:pPr>
            <w:r>
              <w:rPr>
                <w:sz w:val="18"/>
                <w:szCs w:val="18"/>
              </w:rPr>
              <w:t>Ein Vereinswesen im deutschen Sinn gibt es kaum; du musst selbst aktiv werden</w:t>
            </w:r>
          </w:p>
        </w:tc>
      </w:tr>
      <w:tr w:rsidR="00C1548D" w14:paraId="70A4FDC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C7" w14:textId="77777777" w:rsidR="00C1548D" w:rsidRDefault="009B1B4B">
            <w:pPr>
              <w:spacing w:line="250" w:lineRule="auto"/>
            </w:pPr>
            <w:r>
              <w:rPr>
                <w:sz w:val="18"/>
                <w:szCs w:val="18"/>
              </w:rPr>
              <w:t>Express Entry gibt vielen mitreisenden Partnern von Anfang an volle Arbeitsrechte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C8" w14:textId="77777777" w:rsidR="00C1548D" w:rsidRDefault="009B1B4B">
            <w:pPr>
              <w:spacing w:line="250" w:lineRule="auto"/>
            </w:pPr>
            <w:r>
              <w:rPr>
                <w:sz w:val="18"/>
                <w:szCs w:val="18"/>
              </w:rPr>
              <w:t>Berufsanerkennung bei reglementierten Berufen kann trotzdem Monate dauern</w:t>
            </w:r>
          </w:p>
        </w:tc>
      </w:tr>
      <w:tr w:rsidR="00C1548D" w14:paraId="70A4FDC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CA" w14:textId="77777777" w:rsidR="00C1548D" w:rsidRDefault="009B1B4B">
            <w:pPr>
              <w:spacing w:line="250" w:lineRule="auto"/>
            </w:pPr>
            <w:r>
              <w:rPr>
                <w:sz w:val="18"/>
                <w:szCs w:val="18"/>
              </w:rPr>
              <w:lastRenderedPageBreak/>
              <w:t>Deutsche Community in Toronto, Vancouver, Calgary und Montréal gut organisiert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CB" w14:textId="77777777" w:rsidR="00C1548D" w:rsidRDefault="009B1B4B">
            <w:pPr>
              <w:spacing w:line="250" w:lineRule="auto"/>
            </w:pPr>
            <w:r>
              <w:rPr>
                <w:sz w:val="18"/>
                <w:szCs w:val="18"/>
              </w:rPr>
              <w:t>Anderswo kaum deutsche Infrastruktur; Eigeninitiative bleibt Pflicht</w:t>
            </w:r>
          </w:p>
        </w:tc>
      </w:tr>
      <w:tr w:rsidR="00C1548D" w14:paraId="70A4FDC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CD" w14:textId="77777777" w:rsidR="00C1548D" w:rsidRDefault="009B1B4B">
            <w:pPr>
              <w:spacing w:line="250" w:lineRule="auto"/>
            </w:pPr>
            <w:r>
              <w:rPr>
                <w:sz w:val="18"/>
                <w:szCs w:val="18"/>
              </w:rPr>
              <w:t>Direktflüge und moderate Zeitverschiebung machen Heimatbesuche realistisch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CE" w14:textId="77777777" w:rsidR="00C1548D" w:rsidRDefault="009B1B4B">
            <w:pPr>
              <w:spacing w:line="250" w:lineRule="auto"/>
            </w:pPr>
            <w:r>
              <w:rPr>
                <w:sz w:val="18"/>
                <w:szCs w:val="18"/>
              </w:rPr>
              <w:t>Der erste Winter trifft oft genau in die kritischste Kulturschock-Phase</w:t>
            </w:r>
          </w:p>
        </w:tc>
      </w:tr>
      <w:tr w:rsidR="00C1548D" w14:paraId="70A4FDD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D0" w14:textId="77777777" w:rsidR="00C1548D" w:rsidRDefault="009B1B4B">
            <w:pPr>
              <w:spacing w:line="250" w:lineRule="auto"/>
            </w:pPr>
            <w:r>
              <w:rPr>
                <w:sz w:val="18"/>
                <w:szCs w:val="18"/>
              </w:rPr>
              <w:t>Hilfe (988, Kids Help Phone, EAP) ist rund um die Uhr erreichbar, auch auf Französisch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DD1" w14:textId="77777777" w:rsidR="00C1548D" w:rsidRDefault="009B1B4B">
            <w:pPr>
              <w:spacing w:line="250" w:lineRule="auto"/>
            </w:pPr>
            <w:r>
              <w:rPr>
                <w:sz w:val="18"/>
                <w:szCs w:val="18"/>
              </w:rPr>
              <w:t>Deutschsprachige Angebote sind dünner gesät als in Deutschland</w:t>
            </w:r>
          </w:p>
        </w:tc>
      </w:tr>
    </w:tbl>
    <w:p w14:paraId="70A4FDD3" w14:textId="77777777" w:rsidR="00C1548D" w:rsidRDefault="00C1548D">
      <w:pPr>
        <w:spacing w:line="180" w:lineRule="exact"/>
      </w:pPr>
    </w:p>
    <w:p w14:paraId="70A4FDD4"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DD5" w14:textId="77777777" w:rsidR="00C1548D" w:rsidRDefault="009B1B4B">
      <w:pPr>
        <w:spacing w:after="140"/>
      </w:pPr>
      <w:r>
        <w:t>Wähle vor dem Umzug einen Sport oder ein Community Centre deiner Zielstadt aus, tritt den passenden Online-Gruppen bei und plane für den ersten Winter bewusst feste Termine ein, die nicht am Wetter hängen. Kläre für den mitreisenden Partner früh, ob eine Berufszulassung nötig ist, und beginne diesen Prozess parallel zum eigenen Ankommen, nicht danach.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E0"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DD6" w14:textId="77777777" w:rsidR="00C1548D" w:rsidRDefault="009B1B4B">
            <w:pPr>
              <w:keepNext/>
              <w:spacing w:after="70" w:line="240" w:lineRule="auto"/>
            </w:pPr>
            <w:r>
              <w:rPr>
                <w:b/>
                <w:bCs/>
                <w:color w:val="1F6F78"/>
                <w:spacing w:val="24"/>
                <w:sz w:val="16"/>
                <w:szCs w:val="16"/>
              </w:rPr>
              <w:lastRenderedPageBreak/>
              <w:t>CHECKLISTE</w:t>
            </w:r>
          </w:p>
          <w:p w14:paraId="70A4FDD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dem Umzug ein Community Centre, eine Beer League, einen Curlingclub oder eine Wandergruppe der Zielstadt recherchiert</w:t>
            </w:r>
          </w:p>
          <w:p w14:paraId="70A4FDD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Facebook- und Meetup-Gruppen „Germans in [Stadt]“ gesucht und beigetreten</w:t>
            </w:r>
          </w:p>
          <w:p w14:paraId="70A4FDD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Zuständiges Generalkonsulat oder Honorarkonsulat sowie nächstes Goethe-Institut notiert</w:t>
            </w:r>
          </w:p>
          <w:p w14:paraId="70A4FDD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Für den mitreisenden Partner geprüft: volle Arbeitserlaubnis von Anfang an oder Antrag auf Open Work Permit nötig?</w:t>
            </w:r>
          </w:p>
          <w:p w14:paraId="70A4FDD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reglementiertem Beruf des Partners die zuständige provinzielle Zulassungsstelle frühzeitig kontaktiert</w:t>
            </w:r>
          </w:p>
          <w:p w14:paraId="70A4FDD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Festen Wochentermin für Kontakt nach Deutschland trotz Zeitverschiebung vereinbart</w:t>
            </w:r>
          </w:p>
          <w:p w14:paraId="70A4FDD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Für den ersten Winter mindestens zwei feste Termine außerhalb der Wohnung eingeplant, die nicht vom Wetter abhängen</w:t>
            </w:r>
          </w:p>
          <w:p w14:paraId="70A4FDD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9-8-8 sowie, bei Kindern und Jugendlichen, Kids Help Phone (Text „CONNECT“ an 686868) gespeichert</w:t>
            </w:r>
          </w:p>
          <w:p w14:paraId="70A4FDD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Vorgenommen, mindestens die Hälfte der festen Termine unter Englisch- oder Französischsprachigen zu verbringen</w:t>
            </w:r>
          </w:p>
        </w:tc>
      </w:tr>
    </w:tbl>
    <w:p w14:paraId="70A4FDE1" w14:textId="77777777" w:rsidR="00C1548D" w:rsidRDefault="00C1548D">
      <w:pPr>
        <w:spacing w:line="220" w:lineRule="exact"/>
      </w:pPr>
    </w:p>
    <w:p w14:paraId="70A4FDE2"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DE3" w14:textId="62681B87" w:rsidR="00C1548D" w:rsidRDefault="009B1B4B" w:rsidP="009B1B4B">
      <w:pPr>
        <w:pStyle w:val="ListParagraph"/>
        <w:numPr>
          <w:ilvl w:val="0"/>
          <w:numId w:val="1"/>
        </w:numPr>
        <w:spacing w:after="60"/>
      </w:pPr>
      <w:r>
        <w:t>Deutsche Auslandsvertretungen in Kanada — Zuständigkeiten, Kontakt (</w:t>
      </w:r>
      <w:hyperlink r:id="rId562" w:history="1">
        <w:r>
          <w:rPr>
            <w:color w:val="0563C1"/>
            <w:u w:val="single"/>
          </w:rPr>
          <w:t>kanada.diplo.de</w:t>
        </w:r>
      </w:hyperlink>
      <w:r>
        <w:t>)</w:t>
      </w:r>
    </w:p>
    <w:p w14:paraId="70A4FDE4" w14:textId="29072B07" w:rsidR="00C1548D" w:rsidRDefault="009B1B4B" w:rsidP="009B1B4B">
      <w:pPr>
        <w:pStyle w:val="ListParagraph"/>
        <w:numPr>
          <w:ilvl w:val="0"/>
          <w:numId w:val="1"/>
        </w:numPr>
        <w:spacing w:after="60"/>
      </w:pPr>
      <w:r>
        <w:t>Goethe-Institut Kanada — Standorte Toronto, Ottawa, Montréal (</w:t>
      </w:r>
      <w:hyperlink r:id="rId563" w:history="1">
        <w:r>
          <w:rPr>
            <w:color w:val="0563C1"/>
            <w:u w:val="single"/>
          </w:rPr>
          <w:t>goethe.de/ins/ca</w:t>
        </w:r>
      </w:hyperlink>
      <w:r>
        <w:t>)</w:t>
      </w:r>
    </w:p>
    <w:p w14:paraId="70A4FDE5" w14:textId="11FCFCB2" w:rsidR="00C1548D" w:rsidRDefault="009B1B4B" w:rsidP="009B1B4B">
      <w:pPr>
        <w:pStyle w:val="ListParagraph"/>
        <w:numPr>
          <w:ilvl w:val="0"/>
          <w:numId w:val="1"/>
        </w:numPr>
        <w:spacing w:after="60"/>
      </w:pPr>
      <w:r>
        <w:t>9-8-8: Suicide Crisis Helpline — Krisenhilfe rund um die Uhr (</w:t>
      </w:r>
      <w:hyperlink r:id="rId564" w:history="1">
        <w:r>
          <w:rPr>
            <w:color w:val="0563C1"/>
            <w:u w:val="single"/>
          </w:rPr>
          <w:t>988.ca</w:t>
        </w:r>
      </w:hyperlink>
      <w:r>
        <w:t>)</w:t>
      </w:r>
    </w:p>
    <w:p w14:paraId="70A4FDE6" w14:textId="3B95A402" w:rsidR="00C1548D" w:rsidRDefault="009B1B4B" w:rsidP="009B1B4B">
      <w:pPr>
        <w:pStyle w:val="ListParagraph"/>
        <w:numPr>
          <w:ilvl w:val="0"/>
          <w:numId w:val="1"/>
        </w:numPr>
        <w:spacing w:after="60"/>
      </w:pPr>
      <w:r>
        <w:t>Kids Help Phone — Hilfe für Kinder und Jugendliche (</w:t>
      </w:r>
      <w:hyperlink r:id="rId565" w:history="1">
        <w:r>
          <w:rPr>
            <w:color w:val="0563C1"/>
            <w:u w:val="single"/>
          </w:rPr>
          <w:t>kidshelpphone.ca</w:t>
        </w:r>
      </w:hyperlink>
      <w:r>
        <w:t>)</w:t>
      </w:r>
    </w:p>
    <w:p w14:paraId="70A4FDE7" w14:textId="7FA3AF6A" w:rsidR="00C1548D" w:rsidRDefault="009B1B4B" w:rsidP="009B1B4B">
      <w:pPr>
        <w:pStyle w:val="ListParagraph"/>
        <w:numPr>
          <w:ilvl w:val="0"/>
          <w:numId w:val="1"/>
        </w:numPr>
        <w:spacing w:after="60"/>
      </w:pPr>
      <w:r>
        <w:t>Immigration, Refugees and Citizenship Canada (IRCC) — Regeln zu Open Work Permits für Partner (</w:t>
      </w:r>
      <w:hyperlink r:id="rId566" w:history="1">
        <w:r>
          <w:rPr>
            <w:color w:val="0563C1"/>
            <w:u w:val="single"/>
          </w:rPr>
          <w:t>canada.ca</w:t>
        </w:r>
      </w:hyperlink>
      <w:r>
        <w:t>, Suche: open work permit spouse)</w:t>
      </w:r>
    </w:p>
    <w:p w14:paraId="70A4FDE8" w14:textId="536AB3E3" w:rsidR="00C1548D" w:rsidRDefault="009B1B4B" w:rsidP="009B1B4B">
      <w:pPr>
        <w:pStyle w:val="ListParagraph"/>
        <w:numPr>
          <w:ilvl w:val="0"/>
          <w:numId w:val="1"/>
        </w:numPr>
        <w:spacing w:after="60"/>
      </w:pPr>
      <w:r>
        <w:lastRenderedPageBreak/>
        <w:t>Vancouver Westside German School und Calgary German Language School — deutsche Sprachschulen vor Ort (</w:t>
      </w:r>
      <w:hyperlink r:id="rId567" w:history="1">
        <w:r>
          <w:rPr>
            <w:color w:val="0563C1"/>
            <w:u w:val="single"/>
          </w:rPr>
          <w:t>vwgs.org</w:t>
        </w:r>
      </w:hyperlink>
      <w:r>
        <w:t xml:space="preserve">, </w:t>
      </w:r>
      <w:hyperlink r:id="rId568" w:history="1">
        <w:r>
          <w:rPr>
            <w:color w:val="0563C1"/>
            <w:u w:val="single"/>
          </w:rPr>
          <w:t>calgarygermanschool.com</w:t>
        </w:r>
      </w:hyperlink>
      <w:r>
        <w:t>)</w:t>
      </w:r>
    </w:p>
    <w:p w14:paraId="70A4FDE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E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DEA" w14:textId="77777777" w:rsidR="00C1548D" w:rsidRDefault="009B1B4B">
            <w:pPr>
              <w:keepNext/>
              <w:spacing w:after="70" w:line="240" w:lineRule="auto"/>
            </w:pPr>
            <w:r>
              <w:rPr>
                <w:b/>
                <w:bCs/>
                <w:color w:val="6B7280"/>
                <w:spacing w:val="24"/>
                <w:sz w:val="16"/>
                <w:szCs w:val="16"/>
              </w:rPr>
              <w:t>STAND</w:t>
            </w:r>
          </w:p>
          <w:p w14:paraId="70A4FDEB" w14:textId="77777777" w:rsidR="00C1548D" w:rsidRDefault="009B1B4B">
            <w:pPr>
              <w:spacing w:after="80" w:line="264" w:lineRule="auto"/>
            </w:pPr>
            <w:r>
              <w:rPr>
                <w:sz w:val="20"/>
                <w:szCs w:val="20"/>
              </w:rPr>
              <w:t>September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tc>
      </w:tr>
    </w:tbl>
    <w:p w14:paraId="70A4FDED" w14:textId="77777777" w:rsidR="00C1548D" w:rsidRDefault="00C1548D">
      <w:pPr>
        <w:spacing w:line="220" w:lineRule="exact"/>
      </w:pPr>
    </w:p>
    <w:p w14:paraId="70A4FDEE" w14:textId="77777777" w:rsidR="00C1548D" w:rsidRDefault="009B1B4B">
      <w:pPr>
        <w:pStyle w:val="Heading2"/>
        <w:keepNext/>
        <w:pageBreakBefore/>
        <w:jc w:val="center"/>
      </w:pPr>
      <w:bookmarkStart w:id="159" w:name="tka13"/>
      <w:bookmarkStart w:id="160" w:name="_Toc241352531"/>
      <w:r>
        <w:rPr>
          <w:rFonts w:ascii="Amazon Ember" w:eastAsia="Amazon Ember" w:hAnsi="Amazon Ember" w:cs="Amazon Ember"/>
          <w:color w:val="0000FF"/>
          <w:sz w:val="36"/>
          <w:szCs w:val="36"/>
        </w:rPr>
        <w:lastRenderedPageBreak/>
        <w:t>Kanada: Kinder, Schule und Spracheingewöhnung</w:t>
      </w:r>
      <w:bookmarkEnd w:id="159"/>
      <w:bookmarkEnd w:id="160"/>
    </w:p>
    <w:p w14:paraId="70A4FDEF" w14:textId="77777777" w:rsidR="00C1548D" w:rsidRDefault="009B1B4B">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 nur dass es in Kanada zehn Provinzen und drei Territorien sind, nicht sechzehn Bundesländer, und dass Québec dabei eine ganz eigene Geschichte schreibt, die eigene Fragen aufwirft, bevor die er</w:t>
      </w:r>
      <w:r>
        <w:t>ste Hausaufgabe überhaupt ansteht.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F7"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DF0" w14:textId="77777777" w:rsidR="00C1548D" w:rsidRDefault="009B1B4B">
            <w:pPr>
              <w:keepNext/>
              <w:spacing w:after="70" w:line="240" w:lineRule="auto"/>
            </w:pPr>
            <w:r>
              <w:rPr>
                <w:b/>
                <w:bCs/>
                <w:color w:val="1F3A5F"/>
                <w:spacing w:val="24"/>
                <w:sz w:val="16"/>
                <w:szCs w:val="16"/>
              </w:rPr>
              <w:t>KURZ GESAGT</w:t>
            </w:r>
          </w:p>
          <w:p w14:paraId="70A4FDF1" w14:textId="77777777" w:rsidR="00C1548D" w:rsidRDefault="009B1B4B" w:rsidP="009B1B4B">
            <w:pPr>
              <w:pStyle w:val="ListParagraph"/>
              <w:numPr>
                <w:ilvl w:val="0"/>
                <w:numId w:val="1"/>
              </w:numPr>
              <w:spacing w:after="50" w:line="264" w:lineRule="auto"/>
            </w:pPr>
            <w:r>
              <w:rPr>
                <w:sz w:val="20"/>
                <w:szCs w:val="20"/>
              </w:rPr>
              <w:t>Bildung ist reine Provinzsache; ein einheitliches kanadisches Schulsystem gibt es nicht, auch wenn sich die Grundstruktur stark ähnelt.</w:t>
            </w:r>
          </w:p>
          <w:p w14:paraId="70A4FDF2" w14:textId="77777777" w:rsidR="00C1548D" w:rsidRDefault="009B1B4B" w:rsidP="009B1B4B">
            <w:pPr>
              <w:pStyle w:val="ListParagraph"/>
              <w:numPr>
                <w:ilvl w:val="0"/>
                <w:numId w:val="1"/>
              </w:numPr>
              <w:spacing w:after="50" w:line="264" w:lineRule="auto"/>
            </w:pPr>
            <w:r>
              <w:rPr>
                <w:sz w:val="20"/>
                <w:szCs w:val="20"/>
              </w:rPr>
              <w:t>Der Weg führt meist von einem freiwilligen Vorschuljahr über die Elementary School bis zur Secondary/High School; wo genau die Grenzen liegen, legt jede Provinz selbst fest.</w:t>
            </w:r>
          </w:p>
          <w:p w14:paraId="70A4FDF3" w14:textId="77777777" w:rsidR="00C1548D" w:rsidRDefault="009B1B4B" w:rsidP="009B1B4B">
            <w:pPr>
              <w:pStyle w:val="ListParagraph"/>
              <w:numPr>
                <w:ilvl w:val="0"/>
                <w:numId w:val="1"/>
              </w:numPr>
              <w:spacing w:after="50" w:line="264" w:lineRule="auto"/>
            </w:pPr>
            <w:r>
              <w:rPr>
                <w:sz w:val="20"/>
                <w:szCs w:val="20"/>
              </w:rPr>
              <w:t>Québec ist der große Sonderfall: Französisch ist Pflichtunterrichtssprache für die meisten Kinder, mit engen Ausnahmen für Kinder mit kanadischer Vorbildung auf Englisch.</w:t>
            </w:r>
          </w:p>
          <w:p w14:paraId="70A4FDF4" w14:textId="77777777" w:rsidR="00C1548D" w:rsidRDefault="009B1B4B" w:rsidP="009B1B4B">
            <w:pPr>
              <w:pStyle w:val="ListParagraph"/>
              <w:numPr>
                <w:ilvl w:val="0"/>
                <w:numId w:val="1"/>
              </w:numPr>
              <w:spacing w:after="50" w:line="264" w:lineRule="auto"/>
            </w:pPr>
            <w:r>
              <w:rPr>
                <w:sz w:val="20"/>
                <w:szCs w:val="20"/>
              </w:rPr>
              <w:t>Öffentliche Schulen sind kostenlos und prüfen in der Regel keinen Aufenthaltsstatus, verlangen aber Wohnsitz-, Alters- und Impfnachweise.</w:t>
            </w:r>
          </w:p>
          <w:p w14:paraId="70A4FDF5" w14:textId="77777777" w:rsidR="00C1548D" w:rsidRDefault="009B1B4B" w:rsidP="009B1B4B">
            <w:pPr>
              <w:pStyle w:val="ListParagraph"/>
              <w:numPr>
                <w:ilvl w:val="0"/>
                <w:numId w:val="1"/>
              </w:numPr>
              <w:spacing w:after="50" w:line="264" w:lineRule="auto"/>
            </w:pPr>
            <w:r>
              <w:rPr>
                <w:sz w:val="20"/>
                <w:szCs w:val="20"/>
              </w:rPr>
              <w:t>Sprachförderung (ESL) gehört an kanadischen Schulen zum Alltag, nicht zur Ausnahme – Kinder lernen die neue Sprache meist deutlich schneller als ihre Eltern.</w:t>
            </w:r>
          </w:p>
          <w:p w14:paraId="70A4FDF6" w14:textId="77777777" w:rsidR="00C1548D" w:rsidRDefault="009B1B4B" w:rsidP="009B1B4B">
            <w:pPr>
              <w:pStyle w:val="ListParagraph"/>
              <w:numPr>
                <w:ilvl w:val="0"/>
                <w:numId w:val="1"/>
              </w:numPr>
              <w:spacing w:after="50" w:line="264" w:lineRule="auto"/>
            </w:pPr>
            <w:r>
              <w:rPr>
                <w:sz w:val="20"/>
                <w:szCs w:val="20"/>
              </w:rPr>
              <w:t>Deutsche Schulen und Sprachangebote gibt es vor allem in Toronto, Vancouver, Calgary und Montréal; anderswo bleibt vor allem die eigene Initiative zu Hause.</w:t>
            </w:r>
          </w:p>
        </w:tc>
      </w:tr>
    </w:tbl>
    <w:p w14:paraId="70A4FDF8" w14:textId="77777777" w:rsidR="00C1548D" w:rsidRDefault="00C1548D">
      <w:pPr>
        <w:spacing w:line="220" w:lineRule="exact"/>
      </w:pPr>
    </w:p>
    <w:p w14:paraId="70A4FDF9" w14:textId="77777777" w:rsidR="00C1548D" w:rsidRDefault="009B1B4B">
      <w:pPr>
        <w:pStyle w:val="Heading3"/>
        <w:keepNext/>
        <w:jc w:val="center"/>
      </w:pPr>
      <w:r>
        <w:rPr>
          <w:rFonts w:ascii="Amazon Ember" w:eastAsia="Amazon Ember" w:hAnsi="Amazon Ember" w:cs="Amazon Ember"/>
          <w:color w:val="0000FF"/>
          <w:sz w:val="36"/>
          <w:szCs w:val="36"/>
        </w:rPr>
        <w:lastRenderedPageBreak/>
        <w:t>Aufbau des Systems: zehn Provinzen, ein Grundmuster</w:t>
      </w:r>
    </w:p>
    <w:p w14:paraId="70A4FDFA" w14:textId="77777777" w:rsidR="00C1548D" w:rsidRDefault="009B1B4B">
      <w:pPr>
        <w:spacing w:after="140"/>
      </w:pPr>
      <w:r>
        <w:t>Jede Provinz und jedes Territorium führt ein eigenes Bildungsministerium (</w:t>
      </w:r>
      <w:r>
        <w:rPr>
          <w:i/>
          <w:iCs/>
        </w:rPr>
        <w:t>Ministry</w:t>
      </w:r>
      <w:r>
        <w:t xml:space="preserve"> oder </w:t>
      </w:r>
      <w:r>
        <w:rPr>
          <w:i/>
          <w:iCs/>
        </w:rPr>
        <w:t>Department of Education</w:t>
      </w:r>
      <w:r>
        <w:t xml:space="preserve">) und überträgt die Umsetzung an lokale </w:t>
      </w:r>
      <w:r>
        <w:rPr>
          <w:i/>
          <w:iCs/>
        </w:rPr>
        <w:t>School Boards</w:t>
      </w:r>
      <w:r>
        <w:t xml:space="preserve"> (Schulbehörden, mit gewähltem Gremium und eigenem Budget – vergleichbar den deutschen Schulämtern, nur mit mehr eigener Entscheidungsbefugnis). Ein Kind besucht damit nicht „die kanadische Schule“, sondern die Schule seines </w:t>
      </w:r>
      <w:r>
        <w:rPr>
          <w:i/>
          <w:iCs/>
        </w:rPr>
        <w:t>School Board</w:t>
      </w:r>
      <w:r>
        <w:t>, und dessen Regeln zu Einschulungsalter, Notenskala und Lehrplan können sich vom Nachbardistrikt spürbar unterscheiden.</w:t>
      </w:r>
    </w:p>
    <w:p w14:paraId="70A4FDFB" w14:textId="77777777" w:rsidR="00C1548D" w:rsidRDefault="009B1B4B">
      <w:pPr>
        <w:spacing w:after="140"/>
      </w:pPr>
      <w:r>
        <w:t xml:space="preserve">Trotz der föderalen Vielfalt ähnelt sich der Grundaufbau landesweit: einem freiwilligen, aber verbreiteten Vorschuljahr folgt die </w:t>
      </w:r>
      <w:r>
        <w:rPr>
          <w:i/>
          <w:iCs/>
        </w:rPr>
        <w:t>Elementary School</w:t>
      </w:r>
      <w:r>
        <w:t xml:space="preserve"> (Grundschule, meist bis Grade 6, in manchen Provinzen bis Grade 7 oder 8) und danach die </w:t>
      </w:r>
      <w:r>
        <w:rPr>
          <w:i/>
          <w:iCs/>
        </w:rPr>
        <w:t>Secondary School</w:t>
      </w:r>
      <w:r>
        <w:t xml:space="preserve"> oder </w:t>
      </w:r>
      <w:r>
        <w:rPr>
          <w:i/>
          <w:iCs/>
        </w:rPr>
        <w:t>High School</w:t>
      </w:r>
      <w:r>
        <w:t xml:space="preserve"> (meist Grade 9 bis 12). Ontario geht beim Vorschuljahr weiter als die meisten anderen Provinzen: Dort ist die zweijährige, ganztägige </w:t>
      </w:r>
      <w:r>
        <w:rPr>
          <w:i/>
          <w:iCs/>
        </w:rPr>
        <w:t>Junior Kindergarten/Senior Kindergarten</w:t>
      </w:r>
      <w:r>
        <w:t xml:space="preserve">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w:t>
      </w:r>
      <w:r>
        <w:rPr>
          <w:i/>
          <w:iCs/>
        </w:rPr>
        <w:t>Labour Day</w:t>
      </w:r>
      <w:r>
        <w:t>, dem ersten Montag im September) liegen näher an Deutschland als an manch anderem Zielland dieses Buches.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DFE"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DFC" w14:textId="77777777" w:rsidR="00C1548D" w:rsidRDefault="009B1B4B">
            <w:pPr>
              <w:keepNext/>
              <w:spacing w:after="70" w:line="240" w:lineRule="auto"/>
            </w:pPr>
            <w:r>
              <w:rPr>
                <w:b/>
                <w:bCs/>
                <w:color w:val="8A6212"/>
                <w:spacing w:val="24"/>
                <w:sz w:val="16"/>
                <w:szCs w:val="16"/>
              </w:rPr>
              <w:t>MERKE</w:t>
            </w:r>
          </w:p>
          <w:p w14:paraId="70A4FDFD" w14:textId="77777777" w:rsidR="00C1548D" w:rsidRDefault="009B1B4B">
            <w:pPr>
              <w:spacing w:after="80" w:line="264" w:lineRule="auto"/>
            </w:pPr>
            <w:r>
              <w:rPr>
                <w:sz w:val="20"/>
                <w:szCs w:val="20"/>
              </w:rPr>
              <w:t>Vergiss die Suche nach „der einen kanadischen Schulordnung“. Wichtiger ist der Stichtag und die Einstufungspraxis des zuständigen School Boards am Zielort – frag dort direkt nach, statt dich auf allgemeine Ratgeber zu verlassen.</w:t>
            </w:r>
          </w:p>
        </w:tc>
      </w:tr>
    </w:tbl>
    <w:p w14:paraId="70A4FDFF" w14:textId="77777777" w:rsidR="00C1548D" w:rsidRDefault="00C1548D">
      <w:pPr>
        <w:spacing w:line="220" w:lineRule="exact"/>
      </w:pPr>
    </w:p>
    <w:p w14:paraId="70A4FE00" w14:textId="77777777" w:rsidR="00C1548D" w:rsidRDefault="009B1B4B">
      <w:pPr>
        <w:spacing w:after="140"/>
      </w:pPr>
      <w:r>
        <w:lastRenderedPageBreak/>
        <w:t xml:space="preserve">Zum Abschluss vergibt jede Provinz ihr eigenes Zeugnis (etwa das </w:t>
      </w:r>
      <w:r>
        <w:rPr>
          <w:i/>
          <w:iCs/>
        </w:rPr>
        <w:t>Ontario Secondary School Diploma</w:t>
      </w:r>
      <w:r>
        <w:t>,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 frage die Zielschule direkt, wie sie bewertet.</w:t>
      </w:r>
    </w:p>
    <w:p w14:paraId="70A4FE01" w14:textId="77777777" w:rsidR="00C1548D" w:rsidRDefault="009B1B4B">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w14:paraId="70A4FE02" w14:textId="77777777" w:rsidR="00C1548D" w:rsidRDefault="009B1B4B">
      <w:pPr>
        <w:pStyle w:val="Heading3"/>
        <w:keepNext/>
        <w:jc w:val="center"/>
      </w:pPr>
      <w:r>
        <w:rPr>
          <w:rFonts w:ascii="Amazon Ember" w:eastAsia="Amazon Ember" w:hAnsi="Amazon Ember" w:cs="Amazon Ember"/>
          <w:color w:val="0000FF"/>
          <w:sz w:val="36"/>
          <w:szCs w:val="36"/>
        </w:rPr>
        <w:t>Öffentlich, katholisch, französischsprachig, privat: vier Schulwelten</w:t>
      </w:r>
    </w:p>
    <w:p w14:paraId="70A4FE03" w14:textId="77777777" w:rsidR="00C1548D" w:rsidRDefault="009B1B4B">
      <w:pPr>
        <w:spacing w:after="140"/>
      </w:pPr>
      <w:r>
        <w:t xml:space="preserve">Anders, als viele Neuankömmlinge erwarten, gibt es in weiten Teilen Kanadas nicht nur eine, sondern gleich mehrere öffentlich finanzierte Schulformen nebeneinander. Neben dem säkularen öffentlichen </w:t>
      </w:r>
      <w:r>
        <w:rPr>
          <w:i/>
          <w:iCs/>
        </w:rPr>
        <w:t>School Board</w:t>
      </w:r>
      <w:r>
        <w:t xml:space="preserve"> führen Ontario, Alberta und Saskatchewan eigene, ebenfalls öffentlich finanzierte katholische </w:t>
      </w:r>
      <w:r>
        <w:rPr>
          <w:i/>
          <w:iCs/>
        </w:rPr>
        <w:t>School Boards</w:t>
      </w:r>
      <w:r>
        <w:t xml:space="preserve"> – ein historisches Zugeständnis an die katholische Minderheit bei der Gründung Kanadas, das bis heute gilt. Der Unterricht ist dort ebenso kostenlos wie an der säkularen Schule, mit religiös geprägtem Zusatzprogramm; die Aufnahme läuft in der Regel unabhängig von der eigenen Konfession der Familie, wird aber von Schule zu Schule unterschiedlich gehandhabt.</w:t>
      </w:r>
    </w:p>
    <w:p w14:paraId="70A4FE04" w14:textId="77777777" w:rsidR="00C1548D" w:rsidRDefault="009B1B4B">
      <w:pPr>
        <w:spacing w:after="140"/>
      </w:pPr>
      <w:r>
        <w:lastRenderedPageBreak/>
        <w:t xml:space="preserve">Zusätzlich betreiben viele Provinzen außerhalb Québecs eigene französischsprachige öffentliche </w:t>
      </w:r>
      <w:r>
        <w:rPr>
          <w:i/>
          <w:iCs/>
        </w:rPr>
        <w:t>School Boards</w:t>
      </w:r>
      <w:r>
        <w:t xml:space="preserve"> für die dortige französischsprachige Minderheit; das Recht darauf ist in der kanadischen Grundrechtecharta verankert. Für zugewanderte Familien ohne französischen Bezug sind diese Schulen normalerweise nicht die erste Anlaufstelle, wohl aber die im nächsten Abschnitt beschriebene </w:t>
      </w:r>
      <w:r>
        <w:rPr>
          <w:i/>
          <w:iCs/>
        </w:rPr>
        <w:t>French Immersion</w:t>
      </w:r>
      <w:r>
        <w:t xml:space="preserve"> an regulären englischsprachigen Schulen.</w:t>
      </w:r>
    </w:p>
    <w:p w14:paraId="70A4FE05" w14:textId="77777777" w:rsidR="00C1548D" w:rsidRDefault="009B1B4B">
      <w:pPr>
        <w:spacing w:after="140"/>
      </w:pPr>
      <w:r>
        <w:t>Private und unabhängige Schulen verlangen Schulgeld, dessen Höhe stark schwankt – von wenigen Tausend Dollar bei manchen konfessionellen Schulen bis zu einem hohen fünfstelligen Betrag pro Jahr an renommierten unabhängigen Schulen der großen Städte. Homeschooling ist in allen Provinzen und Territorien grundsätzlich erlaubt, wobei Meldepflichten und Aufsicht von Provinz zu Provinz unterschiedlich streng ausfallen.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0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E06" w14:textId="77777777" w:rsidR="00C1548D" w:rsidRDefault="009B1B4B">
            <w:pPr>
              <w:keepNext/>
              <w:spacing w:after="70" w:line="240" w:lineRule="auto"/>
            </w:pPr>
            <w:r>
              <w:rPr>
                <w:b/>
                <w:bCs/>
                <w:color w:val="9B2C2C"/>
                <w:spacing w:val="24"/>
                <w:sz w:val="16"/>
                <w:szCs w:val="16"/>
              </w:rPr>
              <w:t>ACHTUNG</w:t>
            </w:r>
          </w:p>
          <w:p w14:paraId="70A4FE07" w14:textId="77777777" w:rsidR="00C1548D" w:rsidRDefault="009B1B4B">
            <w:pPr>
              <w:spacing w:after="80" w:line="264" w:lineRule="auto"/>
            </w:pPr>
            <w:r>
              <w:rPr>
                <w:sz w:val="20"/>
                <w:szCs w:val="20"/>
              </w:rPr>
              <w:t>„Kostenlos“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tc>
      </w:tr>
    </w:tbl>
    <w:p w14:paraId="70A4FE09" w14:textId="77777777" w:rsidR="00C1548D" w:rsidRDefault="00C1548D">
      <w:pPr>
        <w:spacing w:line="220" w:lineRule="exact"/>
      </w:pPr>
    </w:p>
    <w:p w14:paraId="70A4FE0A" w14:textId="77777777" w:rsidR="00C1548D" w:rsidRDefault="009B1B4B">
      <w:pPr>
        <w:pStyle w:val="Heading3"/>
        <w:keepNext/>
        <w:jc w:val="center"/>
      </w:pPr>
      <w:r>
        <w:rPr>
          <w:rFonts w:ascii="Amazon Ember" w:eastAsia="Amazon Ember" w:hAnsi="Amazon Ember" w:cs="Amazon Ember"/>
          <w:color w:val="0000FF"/>
          <w:sz w:val="36"/>
          <w:szCs w:val="36"/>
        </w:rPr>
        <w:t>French Immersion: ein typisch kanadisches Angebot</w:t>
      </w:r>
    </w:p>
    <w:p w14:paraId="70A4FE0B" w14:textId="77777777" w:rsidR="00C1548D" w:rsidRDefault="009B1B4B">
      <w:pPr>
        <w:spacing w:after="140"/>
      </w:pPr>
      <w:r>
        <w:t xml:space="preserve">Ein Angebot, das es in dieser Form in kaum einem anderen Land dieses Buches gibt, ist </w:t>
      </w:r>
      <w:r>
        <w:rPr>
          <w:i/>
          <w:iCs/>
        </w:rPr>
        <w:t>French Immersion</w:t>
      </w:r>
      <w:r>
        <w:t xml:space="preserve">: ein optionaler Schulzweig an regulären englischsprachigen öffentlichen Schulen, in dem ein erheblicher Teil des Unterrichts – oft der überwiegende Teil in den ersten Grundschuljahren – auf Französisch stattfindet, mit wachsendem Englischanteil in höheren Klassen. Kinder ohne jede Französischvorkenntnis werden dabei in aller Regel aufgenommen; </w:t>
      </w:r>
      <w:r>
        <w:lastRenderedPageBreak/>
        <w:t>der Einstieg gelingt jüngeren Kindern erfahrungsgemäß leichter als Kindern, die erst in der Mittelstufe dazustoßen.</w:t>
      </w:r>
    </w:p>
    <w:p w14:paraId="70A4FE0C" w14:textId="77777777" w:rsidR="00C1548D" w:rsidRDefault="009B1B4B">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innerhalb des öffentlichen Systems – ein Kontrast zu Einwanderungsländern</w:t>
      </w:r>
      <w:r>
        <w:t>, in denen Zweisprachigkeit nur über kostenpflichtige Zusatzangebote zu haben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0F"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E0D" w14:textId="77777777" w:rsidR="00C1548D" w:rsidRDefault="009B1B4B">
            <w:pPr>
              <w:keepNext/>
              <w:spacing w:after="70" w:line="240" w:lineRule="auto"/>
            </w:pPr>
            <w:r>
              <w:rPr>
                <w:b/>
                <w:bCs/>
                <w:color w:val="2F6B3B"/>
                <w:spacing w:val="24"/>
                <w:sz w:val="16"/>
                <w:szCs w:val="16"/>
              </w:rPr>
              <w:t>SPARTIPP</w:t>
            </w:r>
          </w:p>
          <w:p w14:paraId="70A4FE0E" w14:textId="77777777" w:rsidR="00C1548D" w:rsidRDefault="009B1B4B">
            <w:pPr>
              <w:spacing w:after="80" w:line="264" w:lineRule="auto"/>
            </w:pPr>
            <w:r>
              <w:rPr>
                <w:sz w:val="20"/>
                <w:szCs w:val="20"/>
              </w:rPr>
              <w:t>Frage schon bei der Wohnortwahl, ob die zuständige Schule French Immersion anbietet und wie lang die Warteliste ist. Wer sich erst nach dem Umzug bewirbt, kommt in gefragten Stadtteilen oft ein Jahr zu spät.</w:t>
            </w:r>
          </w:p>
        </w:tc>
      </w:tr>
    </w:tbl>
    <w:p w14:paraId="70A4FE10" w14:textId="77777777" w:rsidR="00C1548D" w:rsidRDefault="00C1548D">
      <w:pPr>
        <w:spacing w:line="220" w:lineRule="exact"/>
      </w:pPr>
    </w:p>
    <w:p w14:paraId="70A4FE11" w14:textId="77777777" w:rsidR="00C1548D" w:rsidRDefault="009B1B4B">
      <w:pPr>
        <w:pStyle w:val="Heading3"/>
        <w:keepNext/>
        <w:jc w:val="center"/>
      </w:pPr>
      <w:r>
        <w:rPr>
          <w:rFonts w:ascii="Amazon Ember" w:eastAsia="Amazon Ember" w:hAnsi="Amazon Ember" w:cs="Amazon Ember"/>
          <w:color w:val="0000FF"/>
          <w:sz w:val="36"/>
          <w:szCs w:val="36"/>
        </w:rPr>
        <w:t>Der Sonderfall Québec: Französisch als Unterrichtssprache</w:t>
      </w:r>
    </w:p>
    <w:p w14:paraId="70A4FE12" w14:textId="453F6DA2" w:rsidR="00C1548D" w:rsidRDefault="009B1B4B">
      <w:pPr>
        <w:spacing w:after="140"/>
      </w:pPr>
      <w:r>
        <w:t xml:space="preserve">Wer nach Québec, insbesondere nach Montréal, zieht, trifft auf ein grundlegend anderes System (zur Sprachpolitik der Provinz allgemein siehe das </w:t>
      </w:r>
      <w:hyperlink w:anchor="tka11" w:history="1">
        <w:r>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Berechtigungsbescheinigung) hat im Kern nur, wessen Elternteil selbst den größeren Teil der eigenen Grund- oder Sekundarschulzeit auf Englisch in Kanada absolviert hat, oder wessen Geschwister das </w:t>
      </w:r>
      <w:r>
        <w:lastRenderedPageBreak/>
        <w:t>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w:t>
      </w:r>
      <w:r>
        <w:t xml:space="preserve">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w14:paraId="70A4FE13" w14:textId="77777777" w:rsidR="00C1548D" w:rsidRDefault="009B1B4B">
      <w:pPr>
        <w:spacing w:after="140"/>
      </w:pPr>
      <w:r>
        <w:t xml:space="preserve">Kinder ohne ausreichende Französischkenntnisse besuchen beim Einstieg häufig eine </w:t>
      </w:r>
      <w:r>
        <w:rPr>
          <w:i/>
          <w:iCs/>
        </w:rPr>
        <w:t>classe d’accueil</w:t>
      </w:r>
      <w:r>
        <w:t xml:space="preserve"> (wörtlich „Empfangsklasse“, eine Willkommens- oder Vorbereitungsklasse mit intensivem Französischunterricht), bevor sie in die reguläre Klasse wechseln – ein Modell, das dem deutschen Konzept der Willkommensklasse ähnelt und sich damit vom übrigen Kanada unterscheidet, wo neu zugewanderte Kinder in der Regel von Anfang an in der Regelklasse sitzen und Förderstunden zusätzlich erhalten.</w:t>
      </w:r>
    </w:p>
    <w:p w14:paraId="70A4FE14" w14:textId="77777777" w:rsidR="00C1548D" w:rsidRDefault="009B1B4B">
      <w:pPr>
        <w:spacing w:after="140"/>
      </w:pPr>
      <w:r>
        <w:t>Nach der Sekundarstufe (</w:t>
      </w:r>
      <w:r>
        <w:rPr>
          <w:i/>
          <w:iCs/>
        </w:rPr>
        <w:t>secondaire</w:t>
      </w:r>
      <w:r>
        <w:t xml:space="preserve">, fünf statt vier Jahre wie im übrigen Kanada) folgt in Québec zudem eine Besonderheit ganz Nordamerikas: das </w:t>
      </w:r>
      <w:r>
        <w:rPr>
          <w:i/>
          <w:iCs/>
        </w:rPr>
        <w:t>CEGEP</w:t>
      </w:r>
      <w:r>
        <w:t xml:space="preserve"> (</w:t>
      </w:r>
      <w:r>
        <w:rPr>
          <w:i/>
          <w:iCs/>
        </w:rPr>
        <w:t>Collège d’enseignement général et professionnel</w:t>
      </w:r>
      <w:r>
        <w:t>), ein zwei- bis dreijähriges Zwischenglied zwischen Schule und Universität, das es in keiner anderen Provinz gibt und das Québecer Schulabgänger von den übrigen kanadischen Provinzen unterscheidet.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1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E15" w14:textId="77777777" w:rsidR="00C1548D" w:rsidRDefault="009B1B4B">
            <w:pPr>
              <w:keepNext/>
              <w:spacing w:after="70" w:line="240" w:lineRule="auto"/>
            </w:pPr>
            <w:r>
              <w:rPr>
                <w:b/>
                <w:bCs/>
                <w:color w:val="9B2C2C"/>
                <w:spacing w:val="24"/>
                <w:sz w:val="16"/>
                <w:szCs w:val="16"/>
              </w:rPr>
              <w:t>ACHTUNG</w:t>
            </w:r>
          </w:p>
          <w:p w14:paraId="70A4FE16" w14:textId="77777777" w:rsidR="00C1548D" w:rsidRDefault="009B1B4B">
            <w:pPr>
              <w:spacing w:after="80" w:line="264" w:lineRule="auto"/>
            </w:pPr>
            <w:r>
              <w:rPr>
                <w:sz w:val="20"/>
                <w:szCs w:val="20"/>
              </w:rPr>
              <w:t>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tc>
      </w:tr>
    </w:tbl>
    <w:p w14:paraId="70A4FE18" w14:textId="77777777" w:rsidR="00C1548D" w:rsidRDefault="00C1548D">
      <w:pPr>
        <w:spacing w:line="220" w:lineRule="exact"/>
      </w:pPr>
    </w:p>
    <w:p w14:paraId="70A4FE19" w14:textId="77777777" w:rsidR="00C1548D" w:rsidRDefault="009B1B4B">
      <w:pPr>
        <w:pStyle w:val="Heading3"/>
        <w:keepNext/>
        <w:jc w:val="center"/>
      </w:pPr>
      <w:r>
        <w:rPr>
          <w:rFonts w:ascii="Amazon Ember" w:eastAsia="Amazon Ember" w:hAnsi="Amazon Ember" w:cs="Amazon Ember"/>
          <w:color w:val="0000FF"/>
          <w:sz w:val="36"/>
          <w:szCs w:val="36"/>
        </w:rPr>
        <w:lastRenderedPageBreak/>
        <w:t>Anmeldung: Unterlagen und Ablauf</w:t>
      </w:r>
    </w:p>
    <w:p w14:paraId="70A4FE1A" w14:textId="77777777" w:rsidR="00C1548D" w:rsidRDefault="009B1B4B">
      <w:pPr>
        <w:spacing w:after="140"/>
      </w:pPr>
      <w:r>
        <w:t xml:space="preserve">Die Anmeldung läuft über das zuständige </w:t>
      </w:r>
      <w:r>
        <w:rPr>
          <w:i/>
          <w:iCs/>
        </w:rPr>
        <w:t>School Board</w:t>
      </w:r>
      <w:r>
        <w:t xml:space="preserve">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w:t>
      </w:r>
      <w:r>
        <w:t>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1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E1B" w14:textId="77777777" w:rsidR="00C1548D" w:rsidRDefault="009B1B4B">
            <w:pPr>
              <w:keepNext/>
              <w:spacing w:after="70" w:line="240" w:lineRule="auto"/>
            </w:pPr>
            <w:r>
              <w:rPr>
                <w:b/>
                <w:bCs/>
                <w:color w:val="4A5568"/>
                <w:spacing w:val="24"/>
                <w:sz w:val="16"/>
                <w:szCs w:val="16"/>
              </w:rPr>
              <w:t>PRAXISBEISPIEL · FIKTIV</w:t>
            </w:r>
          </w:p>
          <w:p w14:paraId="70A4FE1C" w14:textId="77777777" w:rsidR="00C1548D" w:rsidRDefault="009B1B4B">
            <w:pPr>
              <w:spacing w:after="80" w:line="264" w:lineRule="auto"/>
            </w:pPr>
            <w:r>
              <w:rPr>
                <w:sz w:val="20"/>
                <w:szCs w:val="20"/>
              </w:rPr>
              <w:t>Familie Ahrens (fiktiv) meldet Finn (11) und Mia (7) im August bei ihrem Toronto District School Board online an. Der Distrikt bestätigt vorab schriftlich, welche Grundschule zu ihrer neuen Adresse gehört – erst danach unterschreiben Markus und Julia den Mietvertrag. Mit Geburtsurkunden, Mietvertrag, Impfpässen und Finns letztem Zeugnis (mit einer selbst angefertigten, später von der Schule akzeptierten Übersetzung) geht es zum Anmeldetermin. Finn kommt in Grade 6, Mia in Grade 2; beide werden zusätzlich fü</w:t>
            </w:r>
            <w:r>
              <w:rPr>
                <w:sz w:val="20"/>
                <w:szCs w:val="20"/>
              </w:rPr>
              <w:t>r ein optionales French-Immersion-Programm vorgemerkt, dessen Warteliste die Schule offen mitteilt. Rund drei Wochen nach der Landung sitzen beide Kinder im Klassenzimmer.</w:t>
            </w:r>
          </w:p>
        </w:tc>
      </w:tr>
    </w:tbl>
    <w:p w14:paraId="70A4FE1E" w14:textId="77777777" w:rsidR="00C1548D" w:rsidRDefault="00C1548D">
      <w:pPr>
        <w:spacing w:line="220" w:lineRule="exact"/>
      </w:pPr>
    </w:p>
    <w:p w14:paraId="70A4FE1F" w14:textId="77777777" w:rsidR="00C1548D" w:rsidRDefault="009B1B4B">
      <w:pPr>
        <w:pStyle w:val="Heading3"/>
        <w:keepNext/>
        <w:jc w:val="center"/>
      </w:pPr>
      <w:r>
        <w:rPr>
          <w:rFonts w:ascii="Amazon Ember" w:eastAsia="Amazon Ember" w:hAnsi="Amazon Ember" w:cs="Amazon Ember"/>
          <w:color w:val="0000FF"/>
          <w:sz w:val="36"/>
          <w:szCs w:val="36"/>
        </w:rPr>
        <w:t>Kinderbetreuung vor der Schule</w:t>
      </w:r>
    </w:p>
    <w:p w14:paraId="70A4FE20" w14:textId="77777777" w:rsidR="00C1548D" w:rsidRDefault="009B1B4B">
      <w:pPr>
        <w:spacing w:after="140"/>
      </w:pPr>
      <w:r>
        <w:t xml:space="preserve">Für Kinder unter dem Schulalter gibt es kein flächendeckendes öffentliches Netz wie die deutsche Kita, aber ein spürbar günstigeres System, als viele Neuankömmlinge erwarten. Über die </w:t>
      </w:r>
      <w:r>
        <w:rPr>
          <w:i/>
          <w:iCs/>
        </w:rPr>
        <w:t xml:space="preserve">Canada-Wide </w:t>
      </w:r>
      <w:r>
        <w:rPr>
          <w:i/>
          <w:iCs/>
        </w:rPr>
        <w:lastRenderedPageBreak/>
        <w:t>Early Learning and Child Care</w:t>
      </w:r>
      <w:r>
        <w:t>-Vereinbarungen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marktüblichen, anbiete</w:t>
      </w:r>
      <w:r>
        <w:t>rabhängigen Preisen. Die genaue Höhe und der Zeitplan bis zum landesweiten 10-CAD-Ziel ändern sich laufend; informiere dich vor der Ortswahl über den aktuellen Stand deiner Zielprovinz.</w:t>
      </w:r>
    </w:p>
    <w:p w14:paraId="70A4FE21" w14:textId="77777777" w:rsidR="00C1548D" w:rsidRDefault="009B1B4B">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w14:paraId="70A4FE22" w14:textId="77777777" w:rsidR="00C1548D" w:rsidRDefault="009B1B4B">
      <w:pPr>
        <w:pStyle w:val="Heading3"/>
        <w:keepNext/>
        <w:jc w:val="center"/>
      </w:pPr>
      <w:r>
        <w:rPr>
          <w:rFonts w:ascii="Amazon Ember" w:eastAsia="Amazon Ember" w:hAnsi="Amazon Ember" w:cs="Amazon Ember"/>
          <w:color w:val="0000FF"/>
          <w:sz w:val="36"/>
          <w:szCs w:val="36"/>
        </w:rPr>
        <w:t>Spracheingewöhnung: ESL, Willkommensklassen und Geduld</w:t>
      </w:r>
    </w:p>
    <w:p w14:paraId="70A4FE23" w14:textId="77777777" w:rsidR="00C1548D" w:rsidRDefault="009B1B4B">
      <w:pPr>
        <w:spacing w:after="140"/>
      </w:pPr>
      <w:r>
        <w:t xml:space="preserve">Kinder, die noch nicht ausreichend Englisch (oder in Québec Französisch) sprechen, werden in Kanada meist als </w:t>
      </w:r>
      <w:r>
        <w:rPr>
          <w:i/>
          <w:iCs/>
        </w:rPr>
        <w:t>English Language Learners</w:t>
      </w:r>
      <w:r>
        <w:t xml:space="preserve"> (ELL) oder unter dem Sammelbegriff </w:t>
      </w:r>
      <w:r>
        <w:rPr>
          <w:i/>
          <w:iCs/>
        </w:rPr>
        <w:t>ESL</w:t>
      </w:r>
      <w:r>
        <w:t xml:space="preserve"> (</w:t>
      </w:r>
      <w:r>
        <w:rPr>
          <w:i/>
          <w:iCs/>
        </w:rPr>
        <w:t>English as a Second Language</w:t>
      </w:r>
      <w:r>
        <w:t xml:space="preserve">) geführt; öffentliche Schulen müssen ihnen helfen, dem Unterricht zu folgen, unabhängig vom Aufenthaltsstatus der Familie. Wie genau diese Förderung aussieht, entscheidet jedes School Board selbst: Häufig verlässt das Kind für einige Stunden pro Woche die Klasse für Extra-Unterricht (ähnlich dem </w:t>
      </w:r>
      <w:r>
        <w:rPr>
          <w:i/>
          <w:iCs/>
        </w:rPr>
        <w:t>Pull-out</w:t>
      </w:r>
      <w:r>
        <w:t xml:space="preserve">-Modell), oder eine zusätzliche Lehrkraft unterstützt direkt im Klassenzimmer. In Städten mit vielen neu zugewanderten Familien gibt es außerdem eigene Willkommens- oder </w:t>
      </w:r>
      <w:r>
        <w:lastRenderedPageBreak/>
        <w:t>Neuankömmlingsprogramme, oft mit mehrsprachigen Assistenzkräften für die ersten Wochen.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3"/>
        <w:gridCol w:w="2589"/>
        <w:gridCol w:w="2388"/>
      </w:tblGrid>
      <w:tr w:rsidR="00C1548D" w14:paraId="70A4FE27" w14:textId="77777777">
        <w:tblPrEx>
          <w:tblCellMar>
            <w:top w:w="0" w:type="dxa"/>
            <w:bottom w:w="0" w:type="dxa"/>
          </w:tblCellMar>
        </w:tblPrEx>
        <w:trPr>
          <w:cantSplit/>
          <w:tblHeader/>
        </w:trPr>
        <w:tc>
          <w:tcPr>
            <w:tcW w:w="15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E24" w14:textId="77777777" w:rsidR="00C1548D" w:rsidRDefault="009B1B4B">
            <w:pPr>
              <w:spacing w:line="250" w:lineRule="auto"/>
            </w:pPr>
            <w:r>
              <w:rPr>
                <w:b/>
                <w:bCs/>
                <w:sz w:val="18"/>
                <w:szCs w:val="18"/>
              </w:rPr>
              <w:t>Modell</w:t>
            </w:r>
          </w:p>
        </w:tc>
        <w:tc>
          <w:tcPr>
            <w:tcW w:w="25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E25" w14:textId="77777777" w:rsidR="00C1548D" w:rsidRDefault="009B1B4B">
            <w:pPr>
              <w:spacing w:line="250" w:lineRule="auto"/>
            </w:pPr>
            <w:r>
              <w:rPr>
                <w:b/>
                <w:bCs/>
                <w:sz w:val="18"/>
                <w:szCs w:val="18"/>
              </w:rPr>
              <w:t>So läuft es</w:t>
            </w:r>
          </w:p>
        </w:tc>
        <w:tc>
          <w:tcPr>
            <w:tcW w:w="238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E26" w14:textId="77777777" w:rsidR="00C1548D" w:rsidRDefault="009B1B4B">
            <w:pPr>
              <w:spacing w:line="250" w:lineRule="auto"/>
            </w:pPr>
            <w:r>
              <w:rPr>
                <w:b/>
                <w:bCs/>
                <w:sz w:val="18"/>
                <w:szCs w:val="18"/>
              </w:rPr>
              <w:t>Worauf achten</w:t>
            </w:r>
          </w:p>
        </w:tc>
      </w:tr>
      <w:tr w:rsidR="00C1548D" w14:paraId="70A4FE2B" w14:textId="77777777">
        <w:tblPrEx>
          <w:tblCellMar>
            <w:top w:w="0" w:type="dxa"/>
            <w:bottom w:w="0" w:type="dxa"/>
          </w:tblCellMar>
        </w:tblPrEx>
        <w:trPr>
          <w:cantSplit/>
        </w:trPr>
        <w:tc>
          <w:tcPr>
            <w:tcW w:w="15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28" w14:textId="77777777" w:rsidR="00C1548D" w:rsidRDefault="009B1B4B">
            <w:pPr>
              <w:spacing w:line="250" w:lineRule="auto"/>
            </w:pPr>
            <w:r>
              <w:rPr>
                <w:i/>
                <w:iCs/>
                <w:sz w:val="18"/>
                <w:szCs w:val="18"/>
              </w:rPr>
              <w:t>Pull-out</w:t>
            </w:r>
          </w:p>
        </w:tc>
        <w:tc>
          <w:tcPr>
            <w:tcW w:w="2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29" w14:textId="77777777" w:rsidR="00C1548D" w:rsidRDefault="009B1B4B">
            <w:pPr>
              <w:spacing w:line="250" w:lineRule="auto"/>
            </w:pPr>
            <w:r>
              <w:rPr>
                <w:sz w:val="18"/>
                <w:szCs w:val="18"/>
              </w:rPr>
              <w:t>Das Kind verlässt die Klasse für einige Stunden Extra-Unterricht pro Woche</w:t>
            </w:r>
          </w:p>
        </w:tc>
        <w:tc>
          <w:tcPr>
            <w:tcW w:w="23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2A" w14:textId="77777777" w:rsidR="00C1548D" w:rsidRDefault="009B1B4B">
            <w:pPr>
              <w:spacing w:line="250" w:lineRule="auto"/>
            </w:pPr>
            <w:r>
              <w:rPr>
                <w:sz w:val="18"/>
                <w:szCs w:val="18"/>
              </w:rPr>
              <w:t>Welche Fächer fallen dafür aus?</w:t>
            </w:r>
          </w:p>
        </w:tc>
      </w:tr>
      <w:tr w:rsidR="00C1548D" w14:paraId="70A4FE2F" w14:textId="77777777">
        <w:tblPrEx>
          <w:tblCellMar>
            <w:top w:w="0" w:type="dxa"/>
            <w:bottom w:w="0" w:type="dxa"/>
          </w:tblCellMar>
        </w:tblPrEx>
        <w:trPr>
          <w:cantSplit/>
        </w:trPr>
        <w:tc>
          <w:tcPr>
            <w:tcW w:w="15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2C" w14:textId="77777777" w:rsidR="00C1548D" w:rsidRDefault="009B1B4B">
            <w:pPr>
              <w:spacing w:line="250" w:lineRule="auto"/>
            </w:pPr>
            <w:r>
              <w:rPr>
                <w:sz w:val="18"/>
                <w:szCs w:val="18"/>
              </w:rPr>
              <w:t>Unterstützung im Klassenzimmer</w:t>
            </w:r>
          </w:p>
        </w:tc>
        <w:tc>
          <w:tcPr>
            <w:tcW w:w="2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2D" w14:textId="77777777" w:rsidR="00C1548D" w:rsidRDefault="009B1B4B">
            <w:pPr>
              <w:spacing w:line="250" w:lineRule="auto"/>
            </w:pPr>
            <w:r>
              <w:rPr>
                <w:sz w:val="18"/>
                <w:szCs w:val="18"/>
              </w:rPr>
              <w:t>Eine zusätzliche Lehrkraft hilft direkt während des Regelunterrichts</w:t>
            </w:r>
          </w:p>
        </w:tc>
        <w:tc>
          <w:tcPr>
            <w:tcW w:w="23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2E" w14:textId="77777777" w:rsidR="00C1548D" w:rsidRDefault="009B1B4B">
            <w:pPr>
              <w:spacing w:line="250" w:lineRule="auto"/>
            </w:pPr>
            <w:r>
              <w:rPr>
                <w:sz w:val="18"/>
                <w:szCs w:val="18"/>
              </w:rPr>
              <w:t>Wie viel Einzelzeit bleibt für dein Kind?</w:t>
            </w:r>
          </w:p>
        </w:tc>
      </w:tr>
      <w:tr w:rsidR="00C1548D" w14:paraId="70A4FE33" w14:textId="77777777">
        <w:tblPrEx>
          <w:tblCellMar>
            <w:top w:w="0" w:type="dxa"/>
            <w:bottom w:w="0" w:type="dxa"/>
          </w:tblCellMar>
        </w:tblPrEx>
        <w:trPr>
          <w:cantSplit/>
        </w:trPr>
        <w:tc>
          <w:tcPr>
            <w:tcW w:w="15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30" w14:textId="77777777" w:rsidR="00C1548D" w:rsidRDefault="009B1B4B">
            <w:pPr>
              <w:spacing w:line="250" w:lineRule="auto"/>
            </w:pPr>
            <w:r>
              <w:rPr>
                <w:sz w:val="18"/>
                <w:szCs w:val="18"/>
              </w:rPr>
              <w:t>Willkommens- oder Neuankömmlingsprogramm</w:t>
            </w:r>
          </w:p>
        </w:tc>
        <w:tc>
          <w:tcPr>
            <w:tcW w:w="25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31" w14:textId="77777777" w:rsidR="00C1548D" w:rsidRDefault="009B1B4B">
            <w:pPr>
              <w:spacing w:line="250" w:lineRule="auto"/>
            </w:pPr>
            <w:r>
              <w:rPr>
                <w:sz w:val="18"/>
                <w:szCs w:val="18"/>
              </w:rPr>
              <w:t>Zeitlich begrenzte Intensivförderung, oft mit mehrsprachigen Assistenzkräften</w:t>
            </w:r>
          </w:p>
        </w:tc>
        <w:tc>
          <w:tcPr>
            <w:tcW w:w="23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32" w14:textId="77777777" w:rsidR="00C1548D" w:rsidRDefault="009B1B4B">
            <w:pPr>
              <w:spacing w:line="250" w:lineRule="auto"/>
            </w:pPr>
            <w:r>
              <w:rPr>
                <w:sz w:val="18"/>
                <w:szCs w:val="18"/>
              </w:rPr>
              <w:t>Nicht an jeder Schule vorhanden; nach Verfügbarkeit fragen</w:t>
            </w:r>
          </w:p>
        </w:tc>
      </w:tr>
    </w:tbl>
    <w:p w14:paraId="70A4FE34" w14:textId="77777777" w:rsidR="00C1548D" w:rsidRDefault="00C1548D">
      <w:pPr>
        <w:spacing w:line="180" w:lineRule="exact"/>
      </w:pPr>
    </w:p>
    <w:p w14:paraId="70A4FE35" w14:textId="77777777" w:rsidR="00C1548D" w:rsidRDefault="009B1B4B">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w14:paraId="70A4FE36" w14:textId="7F5630B8" w:rsidR="00C1548D" w:rsidRDefault="009B1B4B">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Seite </w:t>
      </w:r>
      <w:r>
        <w:t xml:space="preserve">im </w:t>
      </w:r>
      <w:hyperlink w:anchor="tka12" w:history="1">
        <w:r>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39"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E37" w14:textId="77777777" w:rsidR="00C1548D" w:rsidRDefault="009B1B4B">
            <w:pPr>
              <w:keepNext/>
              <w:spacing w:after="70" w:line="240" w:lineRule="auto"/>
            </w:pPr>
            <w:r>
              <w:rPr>
                <w:b/>
                <w:bCs/>
                <w:color w:val="8A6212"/>
                <w:spacing w:val="24"/>
                <w:sz w:val="16"/>
                <w:szCs w:val="16"/>
              </w:rPr>
              <w:lastRenderedPageBreak/>
              <w:t>MERKE</w:t>
            </w:r>
          </w:p>
          <w:p w14:paraId="70A4FE38" w14:textId="77777777" w:rsidR="00C1548D" w:rsidRDefault="009B1B4B">
            <w:pPr>
              <w:spacing w:after="80" w:line="264" w:lineRule="auto"/>
            </w:pPr>
            <w:r>
              <w:rPr>
                <w:sz w:val="20"/>
                <w:szCs w:val="20"/>
              </w:rPr>
              <w:t>Fließend auf dem Pausenhof plaudern heißt nicht „fertig“. Schulsprache und Fachbegriffe brauchen oft noch Jahre Unterstützung, auch wenn niemand mehr einen Akzent bemerkt.</w:t>
            </w:r>
          </w:p>
        </w:tc>
      </w:tr>
    </w:tbl>
    <w:p w14:paraId="70A4FE3A" w14:textId="77777777" w:rsidR="00C1548D" w:rsidRDefault="00C1548D">
      <w:pPr>
        <w:spacing w:line="220" w:lineRule="exact"/>
      </w:pPr>
    </w:p>
    <w:p w14:paraId="70A4FE3B" w14:textId="77777777" w:rsidR="00C1548D" w:rsidRDefault="009B1B4B">
      <w:pPr>
        <w:pStyle w:val="Heading3"/>
        <w:keepNext/>
        <w:jc w:val="center"/>
      </w:pPr>
      <w:r>
        <w:rPr>
          <w:rFonts w:ascii="Amazon Ember" w:eastAsia="Amazon Ember" w:hAnsi="Amazon Ember" w:cs="Amazon Ember"/>
          <w:color w:val="0000FF"/>
          <w:sz w:val="36"/>
          <w:szCs w:val="36"/>
        </w:rPr>
        <w:t>Englisch zu Hause vorbereiten: Medien nach Alter</w:t>
      </w:r>
    </w:p>
    <w:p w14:paraId="70A4FE3C" w14:textId="77777777" w:rsidR="00C1548D" w:rsidRDefault="009B1B4B">
      <w:pPr>
        <w:spacing w:after="140"/>
      </w:pPr>
      <w:r>
        <w:t>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w:t>
      </w:r>
      <w:r>
        <w:t>son“-Bücher und die kanadische Netflix-Serie „Anne with an E“ (ruhiges Erzähltempo, gut verständliches Englisch). Bei Teenagern (14–17) hilft aktuelle Jugendliteratur; prüfe für kanadische Teen-Serien die Verfügbarkeit auf JustWatch.de, da sich Kataloge häufig ändern.</w:t>
      </w:r>
    </w:p>
    <w:p w14:paraId="70A4FE3D" w14:textId="77777777" w:rsidR="00C1548D" w:rsidRDefault="009B1B4B">
      <w:pPr>
        <w:spacing w:after="140"/>
      </w:pPr>
      <w:r>
        <w:t>Bei allen Altersgruppen wirkt derselbe Trick am zuverlässigsten: eine Serie, die das Kind schon auf Deutsch kennt, gemeinsam im englischen Original anschauen – die bekannte Handlung nimmt den Druck, jedes Wort zu verstehen. Untertitel zuerst auf Englisch stellen, nicht auf Deutsch.</w:t>
      </w:r>
    </w:p>
    <w:p w14:paraId="70A4FE3E" w14:textId="77777777" w:rsidR="00C1548D" w:rsidRDefault="009B1B4B">
      <w:pPr>
        <w:pStyle w:val="Heading3"/>
        <w:keepNext/>
        <w:jc w:val="center"/>
      </w:pPr>
      <w:r>
        <w:rPr>
          <w:rFonts w:ascii="Amazon Ember" w:eastAsia="Amazon Ember" w:hAnsi="Amazon Ember" w:cs="Amazon Ember"/>
          <w:color w:val="0000FF"/>
          <w:sz w:val="36"/>
          <w:szCs w:val="36"/>
        </w:rPr>
        <w:t>Deutsch bewahren: Schulen, Samstagsschule, Familienalltag</w:t>
      </w:r>
    </w:p>
    <w:p w14:paraId="70A4FE3F" w14:textId="6B520E2D" w:rsidR="00C1548D" w:rsidRDefault="009B1B4B">
      <w:pPr>
        <w:spacing w:after="140"/>
      </w:pPr>
      <w:r>
        <w:t xml:space="preserve">Wer möchte, dass Kinder neben der neuen Landessprache auch ihr Deutsch behalten, findet organisierte Angebote vor allem in den vier </w:t>
      </w:r>
      <w:r>
        <w:lastRenderedPageBreak/>
        <w:t xml:space="preserve">größten Städten. Die German International School Toronto unterrichtet von der Vorschule bis Klasse 12 bilingual Deutsch-Englisch und führt als </w:t>
      </w:r>
      <w:r>
        <w:rPr>
          <w:i/>
          <w:iCs/>
        </w:rPr>
        <w:t>IB World School</w:t>
      </w:r>
      <w:r>
        <w:t xml:space="preserve"> zum International-Baccalaureate-Diplomprogramm in den letzten beiden Schuljahren. In Montréal übernimmt die Alexander-von-Humboldt-Schule in Baie-d’Urfé eine ähnliche Rolle. Wo eine solche Tagesschule fehlt, helfen Samstagsschulen: die Vancouver Westside German School (seit 1992, vom Kindergarten bis Klasse 12) und die Calgary German Language School (Vorschule bis Klasse 12, zusätzlich Abendkurse für Erwachsene) unterrichten an Wochenenden reines Deutsch als Fach, ergänzend zur regulären, englischsprachige</w:t>
      </w:r>
      <w:r>
        <w:t xml:space="preserve">n Schule (Details und weitere Standorte im </w:t>
      </w:r>
      <w:hyperlink w:anchor="tka12" w:history="1">
        <w:r>
          <w:rPr>
            <w:color w:val="0563C1"/>
            <w:u w:val="single"/>
          </w:rPr>
          <w:t>Kapitel zu Freunden und Kulturschock in diesem Teil</w:t>
        </w:r>
      </w:hyperlink>
      <w:r>
        <w:t>).</w:t>
      </w:r>
    </w:p>
    <w:p w14:paraId="70A4FE40" w14:textId="253745BC" w:rsidR="00C1548D" w:rsidRDefault="009B1B4B">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history="1">
        <w:r>
          <w:rPr>
            <w:color w:val="0563C1"/>
            <w:u w:val="single"/>
          </w:rPr>
          <w:t>Kapitel zu Freunden und Kulturschock in diesem Teil</w:t>
        </w:r>
      </w:hyperlink>
      <w:r>
        <w:t>) – realistisch planbare Ferienbesuche in Deutschland. Antwortet das Kind zunehmend auf Englisch oder Französisch, ist das normal und kein Grund zur Sorge; wiederhole den Satz einfach auf Deutsch, ohne zu tadeln.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43"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E41" w14:textId="77777777" w:rsidR="00C1548D" w:rsidRDefault="009B1B4B">
            <w:pPr>
              <w:keepNext/>
              <w:spacing w:after="70" w:line="240" w:lineRule="auto"/>
            </w:pPr>
            <w:r>
              <w:rPr>
                <w:b/>
                <w:bCs/>
                <w:color w:val="2F6B3B"/>
                <w:spacing w:val="24"/>
                <w:sz w:val="16"/>
                <w:szCs w:val="16"/>
              </w:rPr>
              <w:t>SPARTIPP</w:t>
            </w:r>
          </w:p>
          <w:p w14:paraId="70A4FE42" w14:textId="77777777" w:rsidR="00C1548D" w:rsidRDefault="009B1B4B">
            <w:pPr>
              <w:spacing w:after="80" w:line="264" w:lineRule="auto"/>
            </w:pPr>
            <w:r>
              <w:rPr>
                <w:sz w:val="20"/>
                <w:szCs w:val="20"/>
              </w:rPr>
              <w:t>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tc>
      </w:tr>
    </w:tbl>
    <w:p w14:paraId="70A4FE44" w14:textId="77777777" w:rsidR="00C1548D" w:rsidRDefault="00C1548D">
      <w:pPr>
        <w:spacing w:line="220" w:lineRule="exact"/>
      </w:pPr>
    </w:p>
    <w:p w14:paraId="70A4FE45"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E48"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E46"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E47" w14:textId="77777777" w:rsidR="00C1548D" w:rsidRDefault="009B1B4B">
            <w:pPr>
              <w:spacing w:line="250" w:lineRule="auto"/>
            </w:pPr>
            <w:r>
              <w:rPr>
                <w:b/>
                <w:bCs/>
                <w:sz w:val="18"/>
                <w:szCs w:val="18"/>
              </w:rPr>
              <w:t>Minus</w:t>
            </w:r>
          </w:p>
        </w:tc>
      </w:tr>
      <w:tr w:rsidR="00C1548D" w14:paraId="70A4FE4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49" w14:textId="77777777" w:rsidR="00C1548D" w:rsidRDefault="009B1B4B">
            <w:pPr>
              <w:spacing w:line="250" w:lineRule="auto"/>
            </w:pPr>
            <w:r>
              <w:rPr>
                <w:sz w:val="18"/>
                <w:szCs w:val="18"/>
              </w:rPr>
              <w:t>Öffentliche Schulen sind kostenlos und prüfen in der Regel keinen Aufenthaltsstatus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4A" w14:textId="77777777" w:rsidR="00C1548D" w:rsidRDefault="009B1B4B">
            <w:pPr>
              <w:spacing w:line="250" w:lineRule="auto"/>
            </w:pPr>
            <w:r>
              <w:rPr>
                <w:sz w:val="18"/>
                <w:szCs w:val="18"/>
              </w:rPr>
              <w:t>Ausstattung, Notenskala und Regeln hängen stark von Provinz und School Board ab</w:t>
            </w:r>
          </w:p>
        </w:tc>
      </w:tr>
      <w:tr w:rsidR="00C1548D" w14:paraId="70A4FE4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4C" w14:textId="77777777" w:rsidR="00C1548D" w:rsidRDefault="009B1B4B">
            <w:pPr>
              <w:spacing w:line="250" w:lineRule="auto"/>
            </w:pPr>
            <w:r>
              <w:rPr>
                <w:sz w:val="18"/>
                <w:szCs w:val="18"/>
              </w:rPr>
              <w:t>French Immersion bietet kostenlose Zweisprachigkeit innerhalb des öffentlichen Systems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4D" w14:textId="77777777" w:rsidR="00C1548D" w:rsidRDefault="009B1B4B">
            <w:pPr>
              <w:spacing w:line="250" w:lineRule="auto"/>
            </w:pPr>
            <w:r>
              <w:rPr>
                <w:sz w:val="18"/>
                <w:szCs w:val="18"/>
              </w:rPr>
              <w:t>Beliebte Programme haben lange Wartelisten oder ein Losverfahren</w:t>
            </w:r>
          </w:p>
        </w:tc>
      </w:tr>
      <w:tr w:rsidR="00C1548D" w14:paraId="70A4FE5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4F" w14:textId="77777777" w:rsidR="00C1548D" w:rsidRDefault="009B1B4B">
            <w:pPr>
              <w:spacing w:line="250" w:lineRule="auto"/>
            </w:pPr>
            <w:r>
              <w:rPr>
                <w:sz w:val="18"/>
                <w:szCs w:val="18"/>
              </w:rPr>
              <w:t>Kinderbetreuung wird durch CWELCC in den meisten Provinzen spürbar günstiger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50" w14:textId="77777777" w:rsidR="00C1548D" w:rsidRDefault="009B1B4B">
            <w:pPr>
              <w:spacing w:line="250" w:lineRule="auto"/>
            </w:pPr>
            <w:r>
              <w:rPr>
                <w:sz w:val="18"/>
                <w:szCs w:val="18"/>
              </w:rPr>
              <w:t>Ontario und Alberta liegen mit 22 beziehungsweise 15 CAD pro Tag noch über dem 10-CAD-Ziel</w:t>
            </w:r>
          </w:p>
        </w:tc>
      </w:tr>
      <w:tr w:rsidR="00C1548D" w14:paraId="70A4FE5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52" w14:textId="77777777" w:rsidR="00C1548D" w:rsidRDefault="009B1B4B">
            <w:pPr>
              <w:spacing w:line="250" w:lineRule="auto"/>
            </w:pPr>
            <w:r>
              <w:rPr>
                <w:sz w:val="18"/>
                <w:szCs w:val="18"/>
              </w:rPr>
              <w:t>ESL-Förderung ist an vielen Schulen Standard, nicht Ausnahme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53" w14:textId="77777777" w:rsidR="00C1548D" w:rsidRDefault="009B1B4B">
            <w:pPr>
              <w:spacing w:line="250" w:lineRule="auto"/>
            </w:pPr>
            <w:r>
              <w:rPr>
                <w:sz w:val="18"/>
                <w:szCs w:val="18"/>
              </w:rPr>
              <w:t>Außerhalb der vier großen Städte kaum organisierte deutsche Sprachangebote</w:t>
            </w:r>
          </w:p>
        </w:tc>
      </w:tr>
      <w:tr w:rsidR="00C1548D" w14:paraId="70A4FE5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55" w14:textId="77777777" w:rsidR="00C1548D" w:rsidRDefault="009B1B4B">
            <w:pPr>
              <w:spacing w:line="250" w:lineRule="auto"/>
            </w:pPr>
            <w:r>
              <w:rPr>
                <w:sz w:val="18"/>
                <w:szCs w:val="18"/>
              </w:rPr>
              <w:t>Schuljahresrhythmus (September bis Juni) ähnelt dem deutschen, kein Umdenken bei der Jahreszeit nötig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56" w14:textId="77777777" w:rsidR="00C1548D" w:rsidRDefault="009B1B4B">
            <w:pPr>
              <w:spacing w:line="250" w:lineRule="auto"/>
            </w:pPr>
            <w:r>
              <w:rPr>
                <w:sz w:val="18"/>
                <w:szCs w:val="18"/>
              </w:rPr>
              <w:t>Québec verlangt für die meisten Kinder verbindlich Französisch als Unterrichtssprache</w:t>
            </w:r>
          </w:p>
        </w:tc>
      </w:tr>
      <w:tr w:rsidR="00C1548D" w14:paraId="70A4FE5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58" w14:textId="77777777" w:rsidR="00C1548D" w:rsidRDefault="009B1B4B">
            <w:pPr>
              <w:spacing w:line="250" w:lineRule="auto"/>
            </w:pPr>
            <w:r>
              <w:rPr>
                <w:sz w:val="18"/>
                <w:szCs w:val="18"/>
              </w:rPr>
              <w:t>Katholische und französischsprachige Schulen erweitern die kostenlose Auswahl zusätzlich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59" w14:textId="77777777" w:rsidR="00C1548D" w:rsidRDefault="009B1B4B">
            <w:pPr>
              <w:spacing w:line="250" w:lineRule="auto"/>
            </w:pPr>
            <w:r>
              <w:rPr>
                <w:sz w:val="18"/>
                <w:szCs w:val="18"/>
              </w:rPr>
              <w:t>Kein bundesweit einheitliches Abschlusszeugnis; Anerkennung in Deutschland im Einzelfall zu klären</w:t>
            </w:r>
          </w:p>
        </w:tc>
      </w:tr>
    </w:tbl>
    <w:p w14:paraId="70A4FE5B" w14:textId="77777777" w:rsidR="00C1548D" w:rsidRDefault="00C1548D">
      <w:pPr>
        <w:spacing w:line="180" w:lineRule="exact"/>
      </w:pPr>
    </w:p>
    <w:p w14:paraId="70A4FE5C"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E5D" w14:textId="77777777" w:rsidR="00C1548D" w:rsidRDefault="009B1B4B">
      <w:pPr>
        <w:spacing w:after="140"/>
      </w:pPr>
      <w:r>
        <w:t>Kläre vor dem Umzug den zuständigen School Board und dessen Stichtag für die Einstufung, sammle Geburtsurkunde, Impfnachweis und übersetzte Zeugnisse, und entscheide früh, ob French Immersion oder – in Québec – die Eligibility-Frage für euch relevant ist. Melde einen Betreuungsplatz für jüngere Kinder frühzeitig vor dem Umzug an.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69"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E5E" w14:textId="77777777" w:rsidR="00C1548D" w:rsidRDefault="009B1B4B">
            <w:pPr>
              <w:keepNext/>
              <w:spacing w:after="70" w:line="240" w:lineRule="auto"/>
            </w:pPr>
            <w:r>
              <w:rPr>
                <w:b/>
                <w:bCs/>
                <w:color w:val="1F6F78"/>
                <w:spacing w:val="24"/>
                <w:sz w:val="16"/>
                <w:szCs w:val="16"/>
              </w:rPr>
              <w:lastRenderedPageBreak/>
              <w:t>CHECKLISTE</w:t>
            </w:r>
          </w:p>
          <w:p w14:paraId="70A4FE5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Zuständigen School Board der Zieladresse ermittelt und Schulzuordnung schriftlich bestätigen lassen</w:t>
            </w:r>
          </w:p>
          <w:p w14:paraId="70A4FE6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Stichtag und Einstufung des Kindes beim School Board geklärt</w:t>
            </w:r>
          </w:p>
          <w:p w14:paraId="70A4FE6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Geburtsurkunde, Reisepass, Impfnachweis und übersetzte Zeugnisse zusammengestellt</w:t>
            </w:r>
          </w:p>
          <w:p w14:paraId="70A4FE6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Interesse an French Immersion die Warteliste der Zielschule frühzeitig erfragt</w:t>
            </w:r>
          </w:p>
          <w:p w14:paraId="70A4FE6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Umzug nach Québec die Eligibility-Frage für englischsprachigen Unterricht vor der Jobzusage geklärt</w:t>
            </w:r>
          </w:p>
          <w:p w14:paraId="70A4FE6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Betreuungsplatz (CWELCC-Anbieter) für jüngere Kinder Monate vor dem Umzug angefragt</w:t>
            </w:r>
          </w:p>
          <w:p w14:paraId="70A4FE6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und Nachmittagsbetreuung (Before/After School Care) bei der Zielschule mit angefragt</w:t>
            </w:r>
          </w:p>
          <w:p w14:paraId="70A4FE6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Sprachförderbedarf früh das Gespräch mit dem School Board über ESL-Angebote gesucht</w:t>
            </w:r>
          </w:p>
          <w:p w14:paraId="70A4FE6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Deutsche Tagesschule oder Samstagsschule in der Zielstadt recherchiert, Fristen notiert</w:t>
            </w:r>
          </w:p>
          <w:p w14:paraId="70A4FE6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Familienregel für Deutsch und ein tägliches Vorleseritual festgelegt</w:t>
            </w:r>
          </w:p>
        </w:tc>
      </w:tr>
    </w:tbl>
    <w:p w14:paraId="70A4FE6A" w14:textId="77777777" w:rsidR="00C1548D" w:rsidRDefault="00C1548D">
      <w:pPr>
        <w:spacing w:line="220" w:lineRule="exact"/>
      </w:pPr>
    </w:p>
    <w:p w14:paraId="70A4FE6B"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E6C" w14:textId="20D99D0E" w:rsidR="00C1548D" w:rsidRDefault="009B1B4B" w:rsidP="009B1B4B">
      <w:pPr>
        <w:pStyle w:val="ListParagraph"/>
        <w:numPr>
          <w:ilvl w:val="0"/>
          <w:numId w:val="1"/>
        </w:numPr>
        <w:spacing w:after="60"/>
      </w:pPr>
      <w:r>
        <w:t>Bildungsministerien der Provinzen, z. B. Ontario (</w:t>
      </w:r>
      <w:hyperlink r:id="rId569" w:history="1">
        <w:r>
          <w:rPr>
            <w:color w:val="0563C1"/>
            <w:u w:val="single"/>
          </w:rPr>
          <w:t>ontario.ca/page/education-and-training</w:t>
        </w:r>
      </w:hyperlink>
      <w:r>
        <w:t>) und Québec (</w:t>
      </w:r>
      <w:hyperlink r:id="rId570" w:history="1">
        <w:r>
          <w:rPr>
            <w:color w:val="0563C1"/>
            <w:u w:val="single"/>
          </w:rPr>
          <w:t>education.gouv.qc.ca</w:t>
        </w:r>
      </w:hyperlink>
      <w:r>
        <w:t>)</w:t>
      </w:r>
    </w:p>
    <w:p w14:paraId="70A4FE6D" w14:textId="3B55C70B" w:rsidR="00C1548D" w:rsidRDefault="009B1B4B" w:rsidP="009B1B4B">
      <w:pPr>
        <w:pStyle w:val="ListParagraph"/>
        <w:numPr>
          <w:ilvl w:val="0"/>
          <w:numId w:val="1"/>
        </w:numPr>
        <w:spacing w:after="60"/>
      </w:pPr>
      <w:r>
        <w:t>Ministère de l’Éducation du Québec — Charter of the French Language, Certificate of Eligibility (</w:t>
      </w:r>
      <w:hyperlink r:id="rId571" w:history="1">
        <w:r>
          <w:rPr>
            <w:color w:val="0563C1"/>
            <w:u w:val="single"/>
          </w:rPr>
          <w:t>quebec.ca</w:t>
        </w:r>
      </w:hyperlink>
      <w:r>
        <w:t>, Suche: certificate of eligibility english instruction)</w:t>
      </w:r>
    </w:p>
    <w:p w14:paraId="70A4FE6E" w14:textId="766D497E" w:rsidR="00C1548D" w:rsidRDefault="009B1B4B" w:rsidP="009B1B4B">
      <w:pPr>
        <w:pStyle w:val="ListParagraph"/>
        <w:numPr>
          <w:ilvl w:val="0"/>
          <w:numId w:val="1"/>
        </w:numPr>
        <w:spacing w:after="60"/>
      </w:pPr>
      <w:r>
        <w:t>Employment and Social Development Canada — Canada-Wide Early Learning and Child Care, Gebühren je Provinz (</w:t>
      </w:r>
      <w:hyperlink r:id="rId572" w:history="1">
        <w:r>
          <w:rPr>
            <w:color w:val="0563C1"/>
            <w:u w:val="single"/>
          </w:rPr>
          <w:t>canada.ca/en/employment-social-development/campaigns/child-care.html</w:t>
        </w:r>
      </w:hyperlink>
      <w:r>
        <w:t>)</w:t>
      </w:r>
    </w:p>
    <w:p w14:paraId="70A4FE6F" w14:textId="52A3F95B" w:rsidR="00C1548D" w:rsidRDefault="009B1B4B" w:rsidP="009B1B4B">
      <w:pPr>
        <w:pStyle w:val="ListParagraph"/>
        <w:numPr>
          <w:ilvl w:val="0"/>
          <w:numId w:val="1"/>
        </w:numPr>
        <w:spacing w:after="60"/>
      </w:pPr>
      <w:r>
        <w:lastRenderedPageBreak/>
        <w:t>Zentralstelle für das Auslandsschulwesen — deutsche Schulen im Ausland (</w:t>
      </w:r>
      <w:hyperlink r:id="rId573" w:history="1">
        <w:r>
          <w:rPr>
            <w:color w:val="0563C1"/>
            <w:u w:val="single"/>
          </w:rPr>
          <w:t>auslandsschulwesen.de</w:t>
        </w:r>
      </w:hyperlink>
      <w:r>
        <w:t>)</w:t>
      </w:r>
    </w:p>
    <w:p w14:paraId="70A4FE70" w14:textId="1E47CE02" w:rsidR="00C1548D" w:rsidRDefault="009B1B4B" w:rsidP="009B1B4B">
      <w:pPr>
        <w:pStyle w:val="ListParagraph"/>
        <w:numPr>
          <w:ilvl w:val="0"/>
          <w:numId w:val="1"/>
        </w:numPr>
        <w:spacing w:after="60"/>
      </w:pPr>
      <w:r>
        <w:t>German International School Toronto (</w:t>
      </w:r>
      <w:hyperlink r:id="rId574" w:history="1">
        <w:r>
          <w:rPr>
            <w:color w:val="0563C1"/>
            <w:u w:val="single"/>
          </w:rPr>
          <w:t>gistonline.ca</w:t>
        </w:r>
      </w:hyperlink>
      <w:r>
        <w:t>)</w:t>
      </w:r>
    </w:p>
    <w:p w14:paraId="70A4FE71" w14:textId="53C9670A" w:rsidR="00C1548D" w:rsidRDefault="009B1B4B" w:rsidP="009B1B4B">
      <w:pPr>
        <w:pStyle w:val="ListParagraph"/>
        <w:numPr>
          <w:ilvl w:val="0"/>
          <w:numId w:val="1"/>
        </w:numPr>
        <w:spacing w:after="60"/>
      </w:pPr>
      <w:r>
        <w:t>Vancouver Westside German School und Calgary German Language School (</w:t>
      </w:r>
      <w:hyperlink r:id="rId575" w:history="1">
        <w:r>
          <w:rPr>
            <w:color w:val="0563C1"/>
            <w:u w:val="single"/>
          </w:rPr>
          <w:t>vwgs.org</w:t>
        </w:r>
      </w:hyperlink>
      <w:r>
        <w:t xml:space="preserve">, </w:t>
      </w:r>
      <w:hyperlink r:id="rId576" w:history="1">
        <w:r>
          <w:rPr>
            <w:color w:val="0563C1"/>
            <w:u w:val="single"/>
          </w:rPr>
          <w:t>calgarygermanschool.com</w:t>
        </w:r>
      </w:hyperlink>
      <w:r>
        <w:t>)</w:t>
      </w:r>
    </w:p>
    <w:p w14:paraId="70A4FE72"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75"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E73" w14:textId="77777777" w:rsidR="00C1548D" w:rsidRDefault="009B1B4B">
            <w:pPr>
              <w:keepNext/>
              <w:spacing w:after="70" w:line="240" w:lineRule="auto"/>
            </w:pPr>
            <w:r>
              <w:rPr>
                <w:b/>
                <w:bCs/>
                <w:color w:val="6B7280"/>
                <w:spacing w:val="24"/>
                <w:sz w:val="16"/>
                <w:szCs w:val="16"/>
              </w:rPr>
              <w:t>STAND</w:t>
            </w:r>
          </w:p>
          <w:p w14:paraId="70A4FE74" w14:textId="77777777" w:rsidR="00C1548D" w:rsidRDefault="009B1B4B">
            <w:pPr>
              <w:spacing w:after="80" w:line="264" w:lineRule="auto"/>
            </w:pPr>
            <w:r>
              <w:rPr>
                <w:sz w:val="20"/>
                <w:szCs w:val="20"/>
              </w:rPr>
              <w:t>September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tc>
      </w:tr>
    </w:tbl>
    <w:p w14:paraId="70A4FE76" w14:textId="77777777" w:rsidR="00C1548D" w:rsidRDefault="00C1548D">
      <w:pPr>
        <w:spacing w:line="220" w:lineRule="exact"/>
      </w:pPr>
    </w:p>
    <w:p w14:paraId="70A4FE77" w14:textId="77777777" w:rsidR="00C1548D" w:rsidRDefault="009B1B4B">
      <w:pPr>
        <w:pStyle w:val="Heading2"/>
        <w:keepNext/>
        <w:pageBreakBefore/>
        <w:jc w:val="center"/>
      </w:pPr>
      <w:bookmarkStart w:id="161" w:name="tka14"/>
      <w:bookmarkStart w:id="162" w:name="_Toc241352532"/>
      <w:r>
        <w:rPr>
          <w:rFonts w:ascii="Amazon Ember" w:eastAsia="Amazon Ember" w:hAnsi="Amazon Ember" w:cs="Amazon Ember"/>
          <w:color w:val="0000FF"/>
          <w:sz w:val="36"/>
          <w:szCs w:val="36"/>
        </w:rPr>
        <w:lastRenderedPageBreak/>
        <w:t>Kanada: Arbeitswelt und Jobwechsel</w:t>
      </w:r>
      <w:bookmarkEnd w:id="161"/>
      <w:bookmarkEnd w:id="162"/>
    </w:p>
    <w:p w14:paraId="70A4FE78" w14:textId="77777777" w:rsidR="00C1548D" w:rsidRDefault="009B1B4B">
      <w:pPr>
        <w:spacing w:after="140"/>
      </w:pPr>
      <w:r>
        <w:t>Lukas Berger rempelt in der Teeküche seines neuen Arbeitgebers in Calgary versehentlich einen Kollegen an – und bevor er selbst etwas sagen kann, hat sich der andere bereits entschuldigt: „Sorry!“ Es dauert einige Wochen, bis Lukas begreift, dass dieses Wort in Kanada seltener ein Schuldeingeständnis ist als ein Reflex, ungefähr so bedeutungsschwer wie ein Räuspern. Die kanadische Arbeitswelt wirkt auf den ersten Blick angenehm unaufgeregt – bis zu dem Tag, an dem er selbst über einen Arbeitgeberwechsel nac</w:t>
      </w:r>
      <w:r>
        <w:t xml:space="preserve">hdenkt und merkt, dass sein </w:t>
      </w:r>
      <w:r>
        <w:rPr>
          <w:i/>
          <w:iCs/>
        </w:rPr>
        <w:t>Work Permit</w:t>
      </w:r>
      <w:r>
        <w:t xml:space="preserve"> (Arbeitsvisum) ihn fest an genau diesen einen Arbeitgeber bindet.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80"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E79" w14:textId="77777777" w:rsidR="00C1548D" w:rsidRDefault="009B1B4B">
            <w:pPr>
              <w:keepNext/>
              <w:spacing w:after="70" w:line="240" w:lineRule="auto"/>
            </w:pPr>
            <w:r>
              <w:rPr>
                <w:b/>
                <w:bCs/>
                <w:color w:val="1F3A5F"/>
                <w:spacing w:val="24"/>
                <w:sz w:val="16"/>
                <w:szCs w:val="16"/>
              </w:rPr>
              <w:t>KURZ GESAGT</w:t>
            </w:r>
          </w:p>
          <w:p w14:paraId="70A4FE7A" w14:textId="77777777" w:rsidR="00C1548D" w:rsidRDefault="009B1B4B" w:rsidP="009B1B4B">
            <w:pPr>
              <w:pStyle w:val="ListParagraph"/>
              <w:numPr>
                <w:ilvl w:val="0"/>
                <w:numId w:val="1"/>
              </w:numPr>
              <w:spacing w:after="50" w:line="264" w:lineRule="auto"/>
            </w:pPr>
            <w:r>
              <w:rPr>
                <w:sz w:val="20"/>
                <w:szCs w:val="20"/>
              </w:rPr>
              <w:t>Der Urlaubsanspruch ist Provinzsache und startet meist bei nur zwei Wochen im Jahr – spürbar weniger als das deutsche Minimum von 20 Tagen, wächst aber mit der Betriebszugehörigkeit.</w:t>
            </w:r>
          </w:p>
          <w:p w14:paraId="70A4FE7B" w14:textId="77777777" w:rsidR="00C1548D" w:rsidRDefault="009B1B4B" w:rsidP="009B1B4B">
            <w:pPr>
              <w:pStyle w:val="ListParagraph"/>
              <w:numPr>
                <w:ilvl w:val="0"/>
                <w:numId w:val="1"/>
              </w:numPr>
              <w:spacing w:after="50" w:line="264" w:lineRule="auto"/>
            </w:pPr>
            <w:r>
              <w:rPr>
                <w:sz w:val="20"/>
                <w:szCs w:val="20"/>
              </w:rPr>
              <w:t>Kündigen ohne Grund ist möglich, aber nicht ohne Ankündigungsfrist oder Abfindung: Kanada kennt weder ein deutsches Kündigungsschutzgesetz noch ein „Hire and Fire“ nach US-Vorbild.</w:t>
            </w:r>
          </w:p>
          <w:p w14:paraId="70A4FE7C" w14:textId="77777777" w:rsidR="00C1548D" w:rsidRDefault="009B1B4B" w:rsidP="009B1B4B">
            <w:pPr>
              <w:pStyle w:val="ListParagraph"/>
              <w:numPr>
                <w:ilvl w:val="0"/>
                <w:numId w:val="1"/>
              </w:numPr>
              <w:spacing w:after="50" w:line="264" w:lineRule="auto"/>
            </w:pPr>
            <w:r>
              <w:rPr>
                <w:sz w:val="20"/>
                <w:szCs w:val="20"/>
              </w:rPr>
              <w:t>Der Umgangston ist höflicher und indirekter als in Deutschland; direkte Kritik kommt selten unverpackt.</w:t>
            </w:r>
          </w:p>
          <w:p w14:paraId="70A4FE7D" w14:textId="77777777" w:rsidR="00C1548D" w:rsidRDefault="009B1B4B" w:rsidP="009B1B4B">
            <w:pPr>
              <w:pStyle w:val="ListParagraph"/>
              <w:numPr>
                <w:ilvl w:val="0"/>
                <w:numId w:val="1"/>
              </w:numPr>
              <w:spacing w:after="50" w:line="264" w:lineRule="auto"/>
            </w:pPr>
            <w:r>
              <w:rPr>
                <w:sz w:val="20"/>
                <w:szCs w:val="20"/>
              </w:rPr>
              <w:t>Mit einem arbeitgebergebundenen, LMIA-pflichtigen Work Permit brauchst du für jeden Arbeitgeberwechsel in der Regel eine neue Arbeitsmarktprüfung des neuen Arbeitgebers und ein neues Arbeitsvisum – und musst dessen Genehmigung meist abwarten, bevor du dort anfängst.</w:t>
            </w:r>
          </w:p>
          <w:p w14:paraId="70A4FE7E" w14:textId="77777777" w:rsidR="00C1548D" w:rsidRDefault="009B1B4B" w:rsidP="009B1B4B">
            <w:pPr>
              <w:pStyle w:val="ListParagraph"/>
              <w:numPr>
                <w:ilvl w:val="0"/>
                <w:numId w:val="1"/>
              </w:numPr>
              <w:spacing w:after="50" w:line="264" w:lineRule="auto"/>
            </w:pPr>
            <w:r>
              <w:rPr>
                <w:sz w:val="20"/>
                <w:szCs w:val="20"/>
              </w:rPr>
              <w:t>Offene Arbeitsvisa (etwa nach dem PGWP oder für mitreisende Ehepartner) erlauben dagegen den Wechsel ohne neuen Antrag.</w:t>
            </w:r>
          </w:p>
          <w:p w14:paraId="70A4FE7F" w14:textId="77777777" w:rsidR="00C1548D" w:rsidRDefault="009B1B4B" w:rsidP="009B1B4B">
            <w:pPr>
              <w:pStyle w:val="ListParagraph"/>
              <w:numPr>
                <w:ilvl w:val="0"/>
                <w:numId w:val="1"/>
              </w:numPr>
              <w:spacing w:after="50" w:line="264" w:lineRule="auto"/>
            </w:pPr>
            <w:r>
              <w:rPr>
                <w:sz w:val="20"/>
                <w:szCs w:val="20"/>
              </w:rPr>
              <w:t>Networking über Empfehlungen zählt auch hier mehr als die Bewerbung auf gut Glück.</w:t>
            </w:r>
          </w:p>
        </w:tc>
      </w:tr>
    </w:tbl>
    <w:p w14:paraId="70A4FE81" w14:textId="77777777" w:rsidR="00C1548D" w:rsidRDefault="00C1548D">
      <w:pPr>
        <w:spacing w:line="220" w:lineRule="exact"/>
      </w:pPr>
    </w:p>
    <w:p w14:paraId="70A4FE82" w14:textId="77777777" w:rsidR="00C1548D" w:rsidRDefault="009B1B4B">
      <w:pPr>
        <w:pStyle w:val="Heading3"/>
        <w:keepNext/>
        <w:jc w:val="center"/>
      </w:pPr>
      <w:r>
        <w:rPr>
          <w:rFonts w:ascii="Amazon Ember" w:eastAsia="Amazon Ember" w:hAnsi="Amazon Ember" w:cs="Amazon Ember"/>
          <w:color w:val="0000FF"/>
          <w:sz w:val="36"/>
          <w:szCs w:val="36"/>
        </w:rPr>
        <w:lastRenderedPageBreak/>
        <w:t>Arbeitsrecht: Bundessache oder Provinzsache?</w:t>
      </w:r>
    </w:p>
    <w:p w14:paraId="70A4FE83" w14:textId="65505543" w:rsidR="00C1548D" w:rsidRDefault="009B1B4B">
      <w:pPr>
        <w:spacing w:after="140"/>
      </w:pPr>
      <w:r>
        <w:t xml:space="preserve">Anders als das Einwanderungsrecht, das ausschließlich der Bund regelt (siehe das </w:t>
      </w:r>
      <w:hyperlink w:anchor="tka03" w:history="1">
        <w:r>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w14:paraId="70A4FE84" w14:textId="77777777" w:rsidR="00C1548D" w:rsidRDefault="009B1B4B">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w14:paraId="70A4FE85" w14:textId="77777777" w:rsidR="00C1548D" w:rsidRDefault="009B1B4B">
      <w:pPr>
        <w:pStyle w:val="Heading3"/>
        <w:keepNext/>
        <w:jc w:val="center"/>
      </w:pPr>
      <w:r>
        <w:rPr>
          <w:rFonts w:ascii="Amazon Ember" w:eastAsia="Amazon Ember" w:hAnsi="Amazon Ember" w:cs="Amazon Ember"/>
          <w:color w:val="0000FF"/>
          <w:sz w:val="36"/>
          <w:szCs w:val="36"/>
        </w:rPr>
        <w:t>Urlaub, Feiertage und Krankheit</w:t>
      </w:r>
    </w:p>
    <w:p w14:paraId="70A4FE86" w14:textId="77777777" w:rsidR="00C1548D" w:rsidRDefault="009B1B4B">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363"/>
        <w:gridCol w:w="3167"/>
      </w:tblGrid>
      <w:tr w:rsidR="00C1548D" w14:paraId="70A4FE8A"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E87" w14:textId="77777777" w:rsidR="00C1548D" w:rsidRDefault="009B1B4B">
            <w:pPr>
              <w:spacing w:line="250" w:lineRule="auto"/>
            </w:pPr>
            <w:r>
              <w:rPr>
                <w:b/>
                <w:bCs/>
                <w:sz w:val="18"/>
                <w:szCs w:val="18"/>
              </w:rPr>
              <w:lastRenderedPageBreak/>
              <w:t>Thema</w:t>
            </w:r>
          </w:p>
        </w:tc>
        <w:tc>
          <w:tcPr>
            <w:tcW w:w="236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E88" w14:textId="77777777" w:rsidR="00C1548D" w:rsidRDefault="009B1B4B">
            <w:pPr>
              <w:spacing w:line="250" w:lineRule="auto"/>
            </w:pPr>
            <w:r>
              <w:rPr>
                <w:b/>
                <w:bCs/>
                <w:sz w:val="18"/>
                <w:szCs w:val="18"/>
              </w:rPr>
              <w:t>Deutschland</w:t>
            </w:r>
          </w:p>
        </w:tc>
        <w:tc>
          <w:tcPr>
            <w:tcW w:w="316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E89" w14:textId="77777777" w:rsidR="00C1548D" w:rsidRDefault="009B1B4B">
            <w:pPr>
              <w:spacing w:line="250" w:lineRule="auto"/>
            </w:pPr>
            <w:r>
              <w:rPr>
                <w:b/>
                <w:bCs/>
                <w:sz w:val="18"/>
                <w:szCs w:val="18"/>
              </w:rPr>
              <w:t>Kanada (Provinzrecht, Richtwerte)</w:t>
            </w:r>
          </w:p>
        </w:tc>
      </w:tr>
      <w:tr w:rsidR="00C1548D" w14:paraId="70A4FE8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8B" w14:textId="77777777" w:rsidR="00C1548D" w:rsidRDefault="009B1B4B">
            <w:pPr>
              <w:spacing w:line="250" w:lineRule="auto"/>
            </w:pPr>
            <w:r>
              <w:rPr>
                <w:sz w:val="18"/>
                <w:szCs w:val="18"/>
              </w:rPr>
              <w:t>Urlaub</w:t>
            </w:r>
          </w:p>
        </w:tc>
        <w:tc>
          <w:tcPr>
            <w:tcW w:w="23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8C" w14:textId="77777777" w:rsidR="00C1548D" w:rsidRDefault="009B1B4B">
            <w:pPr>
              <w:spacing w:line="250" w:lineRule="auto"/>
            </w:pPr>
            <w:r>
              <w:rPr>
                <w:sz w:val="18"/>
                <w:szCs w:val="18"/>
              </w:rPr>
              <w:t>mind. 20 Tage bei Fünftagewoche, meist 25–30</w:t>
            </w:r>
          </w:p>
        </w:tc>
        <w:tc>
          <w:tcPr>
            <w:tcW w:w="31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8D" w14:textId="77777777" w:rsidR="00C1548D" w:rsidRDefault="009B1B4B">
            <w:pPr>
              <w:spacing w:line="250" w:lineRule="auto"/>
            </w:pPr>
            <w:r>
              <w:rPr>
                <w:sz w:val="18"/>
                <w:szCs w:val="18"/>
              </w:rPr>
              <w:t>meist 2 Wochen ab dem ersten Jahr, 3 Wochen nach rund 5 Jahren; Québec hebt die dritte Woche oft schon nach 3 Jahren an</w:t>
            </w:r>
          </w:p>
        </w:tc>
      </w:tr>
      <w:tr w:rsidR="00C1548D" w14:paraId="70A4FE9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8F" w14:textId="77777777" w:rsidR="00C1548D" w:rsidRDefault="009B1B4B">
            <w:pPr>
              <w:spacing w:line="250" w:lineRule="auto"/>
            </w:pPr>
            <w:r>
              <w:rPr>
                <w:sz w:val="18"/>
                <w:szCs w:val="18"/>
              </w:rPr>
              <w:t>Feiertage</w:t>
            </w:r>
          </w:p>
        </w:tc>
        <w:tc>
          <w:tcPr>
            <w:tcW w:w="23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90" w14:textId="77777777" w:rsidR="00C1548D" w:rsidRDefault="009B1B4B">
            <w:pPr>
              <w:spacing w:line="250" w:lineRule="auto"/>
            </w:pPr>
            <w:r>
              <w:rPr>
                <w:sz w:val="18"/>
                <w:szCs w:val="18"/>
              </w:rPr>
              <w:t>9–13, je Bundesland</w:t>
            </w:r>
          </w:p>
        </w:tc>
        <w:tc>
          <w:tcPr>
            <w:tcW w:w="31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91" w14:textId="77777777" w:rsidR="00C1548D" w:rsidRDefault="009B1B4B">
            <w:pPr>
              <w:spacing w:line="250" w:lineRule="auto"/>
            </w:pPr>
            <w:r>
              <w:rPr>
                <w:sz w:val="18"/>
                <w:szCs w:val="18"/>
              </w:rPr>
              <w:t>meist 9–10, je Provinz unterschiedlich</w:t>
            </w:r>
          </w:p>
        </w:tc>
      </w:tr>
      <w:tr w:rsidR="00C1548D" w14:paraId="70A4FE9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93" w14:textId="77777777" w:rsidR="00C1548D" w:rsidRDefault="009B1B4B">
            <w:pPr>
              <w:spacing w:line="250" w:lineRule="auto"/>
            </w:pPr>
            <w:r>
              <w:rPr>
                <w:sz w:val="18"/>
                <w:szCs w:val="18"/>
              </w:rPr>
              <w:t>Krankheit</w:t>
            </w:r>
          </w:p>
        </w:tc>
        <w:tc>
          <w:tcPr>
            <w:tcW w:w="23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94" w14:textId="77777777" w:rsidR="00C1548D" w:rsidRDefault="009B1B4B">
            <w:pPr>
              <w:spacing w:line="250" w:lineRule="auto"/>
            </w:pPr>
            <w:r>
              <w:rPr>
                <w:sz w:val="18"/>
                <w:szCs w:val="18"/>
              </w:rPr>
              <w:t>Lohnfortzahlung bis zu 6 Wochen</w:t>
            </w:r>
          </w:p>
        </w:tc>
        <w:tc>
          <w:tcPr>
            <w:tcW w:w="316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95" w14:textId="77777777" w:rsidR="00C1548D" w:rsidRDefault="009B1B4B">
            <w:pPr>
              <w:spacing w:line="250" w:lineRule="auto"/>
            </w:pPr>
            <w:r>
              <w:rPr>
                <w:sz w:val="18"/>
                <w:szCs w:val="18"/>
              </w:rPr>
              <w:t>uneinheitlich: teils nur unbezahlter, gesetzlich geschützter Anspruch, teils einzelne bezahlte Tage – abhängig von Provinz und Arbeitgeberpolitik</w:t>
            </w:r>
          </w:p>
        </w:tc>
      </w:tr>
    </w:tbl>
    <w:p w14:paraId="70A4FE97" w14:textId="77777777" w:rsidR="00C1548D" w:rsidRDefault="00C1548D">
      <w:pPr>
        <w:spacing w:line="180" w:lineRule="exact"/>
      </w:pPr>
    </w:p>
    <w:p w14:paraId="70A4FE98" w14:textId="77777777" w:rsidR="00C1548D" w:rsidRDefault="009B1B4B">
      <w:pPr>
        <w:spacing w:after="140"/>
      </w:pPr>
      <w:r>
        <w:t xml:space="preserve">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w:t>
      </w:r>
      <w:r>
        <w:t>unterscheidet sich von Provinz zu Provinz erheblich. Kläre das konkret mit der Personalabteilung, bevor du dich auf einen informellen Eindruck verlässt.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9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E99" w14:textId="77777777" w:rsidR="00C1548D" w:rsidRDefault="009B1B4B">
            <w:pPr>
              <w:keepNext/>
              <w:spacing w:after="70" w:line="240" w:lineRule="auto"/>
            </w:pPr>
            <w:r>
              <w:rPr>
                <w:b/>
                <w:bCs/>
                <w:color w:val="9B2C2C"/>
                <w:spacing w:val="24"/>
                <w:sz w:val="16"/>
                <w:szCs w:val="16"/>
              </w:rPr>
              <w:t>ACHTUNG</w:t>
            </w:r>
          </w:p>
          <w:p w14:paraId="70A4FE9A" w14:textId="77777777" w:rsidR="00C1548D" w:rsidRDefault="009B1B4B">
            <w:pPr>
              <w:spacing w:after="80" w:line="264" w:lineRule="auto"/>
            </w:pPr>
            <w:r>
              <w:rPr>
                <w:sz w:val="20"/>
                <w:szCs w:val="20"/>
              </w:rPr>
              <w:t>Verlasse dich nie auf mündliche Zusagen zu Urlaub oder Krankheitstagen. Lass dir die genauen Ansprüche schriftlich im Vertrag oder im Mitarbeiterhandbuch bestätigen und vergleiche sie mit dem gesetzlichen Minimum deiner Provinz.</w:t>
            </w:r>
          </w:p>
        </w:tc>
      </w:tr>
    </w:tbl>
    <w:p w14:paraId="70A4FE9C" w14:textId="77777777" w:rsidR="00C1548D" w:rsidRDefault="00C1548D">
      <w:pPr>
        <w:spacing w:line="220" w:lineRule="exact"/>
      </w:pPr>
    </w:p>
    <w:p w14:paraId="70A4FE9D" w14:textId="77777777" w:rsidR="00C1548D" w:rsidRDefault="009B1B4B">
      <w:pPr>
        <w:pStyle w:val="Heading3"/>
        <w:keepNext/>
        <w:jc w:val="center"/>
      </w:pPr>
      <w:r>
        <w:rPr>
          <w:rFonts w:ascii="Amazon Ember" w:eastAsia="Amazon Ember" w:hAnsi="Amazon Ember" w:cs="Amazon Ember"/>
          <w:color w:val="0000FF"/>
          <w:sz w:val="36"/>
          <w:szCs w:val="36"/>
        </w:rPr>
        <w:t>Kündigungsschutz: Notice statt Kündigungsschutzgesetz</w:t>
      </w:r>
    </w:p>
    <w:p w14:paraId="70A4FE9E" w14:textId="77777777" w:rsidR="00C1548D" w:rsidRDefault="009B1B4B">
      <w:pPr>
        <w:spacing w:after="140"/>
      </w:pPr>
      <w:r>
        <w:t xml:space="preserve">Kanada liegt zwischen zwei Extremen, die du vielleicht aus diesem Buch kennst: kein Kündigungsschutzgesetz wie in Deutschland, aber auch kein grundloses „Hire and Fire“ ohne jede Konsequenz. Ein Arbeitgeber darf ohne Angabe von Gründen kündigen, muss dafür </w:t>
      </w:r>
      <w:r>
        <w:lastRenderedPageBreak/>
        <w:t>aber je nach Provinz eine Ankündigungsfrist (</w:t>
      </w:r>
      <w:r>
        <w:rPr>
          <w:i/>
          <w:iCs/>
        </w:rPr>
        <w:t>Notice of Termination</w:t>
      </w:r>
      <w:r>
        <w:t>) einhalten oder eine entsprechende Abfindung anstelle der Frist zahlen (</w:t>
      </w:r>
      <w:r>
        <w:rPr>
          <w:i/>
          <w:iCs/>
        </w:rPr>
        <w:t>Pay in Lieu of Notice</w:t>
      </w:r>
      <w:r>
        <w:t>). In Ontario etwa steigt die gesetzliche Mindestfrist mit der Betriebszugehörigkeit von einer Woche auf bis zu acht Wochen bei sehr langer Beschäftigung; Alberta staffelt ähnlich, wenn auch mit anderen Sprungpunkten. Nur bei einem schwerwiegenden Fehlverhalten (</w:t>
      </w:r>
      <w:r>
        <w:rPr>
          <w:i/>
          <w:iCs/>
        </w:rPr>
        <w:t>Just Cause</w:t>
      </w:r>
      <w:r>
        <w:t>, etwa Diebstahl oder grobe Pflichtverletzung) entfällt die Frist vollständig.</w:t>
      </w:r>
    </w:p>
    <w:p w14:paraId="70A4FE9F" w14:textId="77777777" w:rsidR="00C1548D" w:rsidRDefault="009B1B4B">
      <w:pPr>
        <w:spacing w:after="140"/>
      </w:pPr>
      <w:r>
        <w:t>Was viele deutsche Neuankömmlinge überrascht: Die gesetzliche Mindestfrist ist oft nicht das letzte Wort. Nach dem Fallrecht (</w:t>
      </w:r>
      <w:r>
        <w:rPr>
          <w:i/>
          <w:iCs/>
        </w:rPr>
        <w:t>Common Law</w:t>
      </w:r>
      <w:r>
        <w:t>) kann ein Gericht bei ungerechtfertigter Kündigung eine deutlich längere „angemessene Frist“ zusprechen, orientiert an Lebensalter, Position, Betriebszugehörigkeit und Aussicht auf eine neue Stelle –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w:t>
      </w:r>
      <w:r>
        <w:t xml:space="preserve"> kanadischen Gerichten regelmäßig verworfen, wenn sie unklar oder zu weitgehend formuliert ist. In Ontario kommt bei mindestens fünf Jahren Betriebszugehörigkeit und einer Lohnsumme des Arbeitgebers ab 2,5 Millionen CAD zusätzlich eine gesetzliche Abfindung (</w:t>
      </w:r>
      <w:r>
        <w:rPr>
          <w:i/>
          <w:iCs/>
        </w:rPr>
        <w:t>Severance Pay</w:t>
      </w:r>
      <w:r>
        <w:t>) hinzu, oben auf die Kündigungsfrist.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A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EA0" w14:textId="77777777" w:rsidR="00C1548D" w:rsidRDefault="009B1B4B">
            <w:pPr>
              <w:keepNext/>
              <w:spacing w:after="70" w:line="240" w:lineRule="auto"/>
            </w:pPr>
            <w:r>
              <w:rPr>
                <w:b/>
                <w:bCs/>
                <w:color w:val="8A6212"/>
                <w:spacing w:val="24"/>
                <w:sz w:val="16"/>
                <w:szCs w:val="16"/>
              </w:rPr>
              <w:t>MERKE</w:t>
            </w:r>
          </w:p>
          <w:p w14:paraId="70A4FEA1" w14:textId="77777777" w:rsidR="00C1548D" w:rsidRDefault="009B1B4B">
            <w:pPr>
              <w:spacing w:after="80" w:line="264" w:lineRule="auto"/>
            </w:pPr>
            <w:r>
              <w:rPr>
                <w:sz w:val="20"/>
                <w:szCs w:val="20"/>
              </w:rPr>
              <w:t>Ohne Grund kündigen darf dein Arbeitgeber auch in Kanada – aber nie ohne Frist oder Ausgleich, es sei denn, es liegt ein schwerwiegender Grund vor. Das ist weder deutscher Kündigungsschutz noch amerikanisches At-will Employment, sondern ein eigenes, drittes System.</w:t>
            </w:r>
          </w:p>
        </w:tc>
      </w:tr>
    </w:tbl>
    <w:p w14:paraId="70A4FEA3" w14:textId="77777777" w:rsidR="00C1548D" w:rsidRDefault="00C1548D">
      <w:pPr>
        <w:spacing w:line="220" w:lineRule="exact"/>
      </w:pPr>
    </w:p>
    <w:p w14:paraId="70A4FEA4" w14:textId="77777777" w:rsidR="00C1548D" w:rsidRDefault="009B1B4B">
      <w:pPr>
        <w:spacing w:after="140"/>
      </w:pPr>
      <w:r>
        <w:t>Streicht ein Arbeitgeber gleich mehrere Stellen auf einmal (</w:t>
      </w:r>
      <w:r>
        <w:rPr>
          <w:i/>
          <w:iCs/>
        </w:rPr>
        <w:t>Mass Termination</w:t>
      </w:r>
      <w:r>
        <w:t xml:space="preserve">, in Ontario ab 50 Betroffenen innerhalb von vier Wochen), verlangen mehrere Provinzen zusätzliche, längere </w:t>
      </w:r>
      <w:r>
        <w:lastRenderedPageBreak/>
        <w:t xml:space="preserve">Ankündigungsfristen und eine Meldung an die zuständige Arbeitsbehörde – ähnlich dem Gedanken hinter dem amerikanischen WARN Act, nur mit anderen Schwellenwerten. Nach einem Jobverlust hilft zudem, anders als bei vielen befristeten US-Visa, die </w:t>
      </w:r>
      <w:r>
        <w:rPr>
          <w:i/>
          <w:iCs/>
        </w:rPr>
        <w:t>Employment Insurance</w:t>
      </w:r>
      <w:r>
        <w:t xml:space="preserve"> (EI, die Arbeitslosenversicherung): Wer rechtmäßig 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A7"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EA5" w14:textId="77777777" w:rsidR="00C1548D" w:rsidRDefault="009B1B4B">
            <w:pPr>
              <w:keepNext/>
              <w:spacing w:after="70" w:line="240" w:lineRule="auto"/>
            </w:pPr>
            <w:r>
              <w:rPr>
                <w:b/>
                <w:bCs/>
                <w:color w:val="6B7280"/>
                <w:spacing w:val="24"/>
                <w:sz w:val="16"/>
                <w:szCs w:val="16"/>
              </w:rPr>
              <w:t>KEIN RECHTSRAT</w:t>
            </w:r>
          </w:p>
          <w:p w14:paraId="70A4FEA6" w14:textId="77777777" w:rsidR="00C1548D" w:rsidRDefault="009B1B4B">
            <w:pPr>
              <w:spacing w:after="80" w:line="264" w:lineRule="auto"/>
            </w:pPr>
            <w:r>
              <w:rPr>
                <w:sz w:val="20"/>
                <w:szCs w:val="20"/>
              </w:rPr>
              <w:t>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tc>
      </w:tr>
    </w:tbl>
    <w:p w14:paraId="70A4FEA8" w14:textId="77777777" w:rsidR="00C1548D" w:rsidRDefault="00C1548D">
      <w:pPr>
        <w:spacing w:line="220" w:lineRule="exact"/>
      </w:pPr>
    </w:p>
    <w:p w14:paraId="70A4FEA9" w14:textId="77777777" w:rsidR="00C1548D" w:rsidRDefault="009B1B4B">
      <w:pPr>
        <w:pStyle w:val="Heading3"/>
        <w:keepNext/>
        <w:jc w:val="center"/>
      </w:pPr>
      <w:r>
        <w:rPr>
          <w:rFonts w:ascii="Amazon Ember" w:eastAsia="Amazon Ember" w:hAnsi="Amazon Ember" w:cs="Amazon Ember"/>
          <w:color w:val="0000FF"/>
          <w:sz w:val="36"/>
          <w:szCs w:val="36"/>
        </w:rPr>
        <w:t>Arbeitszeitkultur: höflich, indirekt, pünktlich</w:t>
      </w:r>
    </w:p>
    <w:p w14:paraId="70A4FEAA" w14:textId="77777777" w:rsidR="00C1548D" w:rsidRDefault="009B1B4B">
      <w:pPr>
        <w:spacing w:after="140"/>
      </w:pPr>
      <w:r>
        <w:t>Die Standardarbeitswoche liegt bei rund 40 Stunden; ab wann Überstundenzuschläge greifen, legt jede Provinz eigenständig fest, meist zwischen 40 und 44 Wochenstunden. Wichtiger als die reine Stundenzahl ist der Umgangston. Direkte, in Deutschland als „ehrlich und sachlich“ verstandene Kritik gilt in Kanada schnell als unhöflich; Rückmeldungen kommen eher eingepackt in Small Talk und vorsichtige Formulierungen. Auch das gegenseitige Ermahnen bei Regelverstößen, in Deutschland oft selbstverständlich, ist in K</w:t>
      </w:r>
      <w:r>
        <w:t>anada unüblich – informelle soziale Kontrolle ist schwächer ausgeprägt, Zurückhaltung wird stärker geschätzt als Eigeninitiative beim Zurechtweisen anderer.</w:t>
      </w:r>
    </w:p>
    <w:p w14:paraId="70A4FEAB" w14:textId="77777777" w:rsidR="00C1548D" w:rsidRDefault="009B1B4B">
      <w:pPr>
        <w:spacing w:after="140"/>
      </w:pPr>
      <w:r>
        <w:lastRenderedPageBreak/>
        <w:t>Das mag anfangs wie ein Mangel an Klarheit wirken, ist aber eher ein anderes Betriebssystem als ein fehlendes. Wer aus Gewohnheit weiterhin „Das funktioniert so nicht“ sagt, wo ein „Könnten wir das noch einmal gemeinsam prüfen?“ genauso viel bewirkt hätte, erntet eher betretenes Schweigen als Zustimmung. Meetings beginnen häufig mit ein paar Minuten Wetter- oder Wochenend-Small-Talk, bevor es zur Sache geht; das zu überspringen wirkt schroffer, als es gemeint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AE"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EAC" w14:textId="77777777" w:rsidR="00C1548D" w:rsidRDefault="009B1B4B">
            <w:pPr>
              <w:keepNext/>
              <w:spacing w:after="70" w:line="240" w:lineRule="auto"/>
            </w:pPr>
            <w:r>
              <w:rPr>
                <w:b/>
                <w:bCs/>
                <w:color w:val="8A6212"/>
                <w:spacing w:val="24"/>
                <w:sz w:val="16"/>
                <w:szCs w:val="16"/>
              </w:rPr>
              <w:t>MERKE</w:t>
            </w:r>
          </w:p>
          <w:p w14:paraId="70A4FEAD" w14:textId="77777777" w:rsidR="00C1548D" w:rsidRDefault="009B1B4B">
            <w:pPr>
              <w:spacing w:after="80" w:line="264" w:lineRule="auto"/>
            </w:pPr>
            <w:r>
              <w:rPr>
                <w:sz w:val="20"/>
                <w:szCs w:val="20"/>
              </w:rPr>
              <w:t>Wer in Kanada zu direkt auftritt, wird nicht als ehrlich gelobt, sondern als schwierig empfunden. Übe die höflichere Formulierung so lange, bis sie sich nicht mehr künstlich anfühlt.</w:t>
            </w:r>
          </w:p>
        </w:tc>
      </w:tr>
    </w:tbl>
    <w:p w14:paraId="70A4FEAF" w14:textId="77777777" w:rsidR="00C1548D" w:rsidRDefault="00C1548D">
      <w:pPr>
        <w:spacing w:line="220" w:lineRule="exact"/>
      </w:pPr>
    </w:p>
    <w:p w14:paraId="70A4FEB0" w14:textId="77777777" w:rsidR="00C1548D" w:rsidRDefault="009B1B4B">
      <w:pPr>
        <w:spacing w:after="140"/>
      </w:pPr>
      <w:r>
        <w:t xml:space="preserve">In der Ressourcenindustrie, in der Lukas Berger arbeitet, kommt eine eigene Zeitkultur hinzu: Viele Stellen in der Ölförderung laufen im Schichtbetrieb oder als </w:t>
      </w:r>
      <w:r>
        <w:rPr>
          <w:i/>
          <w:iCs/>
        </w:rPr>
        <w:t>Camp Job</w:t>
      </w:r>
      <w:r>
        <w:t xml:space="preserve"> mit mehrtägigen Blöcken vor Ort und entsprechend langen freien Phasen danach – ein Rhythmus, den man sich vorab bewusst machen sollte, gerade mit Familie im Hintergrund. Überstunden über die vertraglich vereinbarte Wochenarbeitszeit hinaus sind für die meisten Beschäftigten zuschlagspflichtig; nur bestimmte Führungs- und Fachfunktionen gelten je nach Provinz als davon ausgenommen. Frage im Vorstellungsgespräch offen nach dem tatsächlichen Rhythmus, nicht nur nach der formalen Wochenstundenzahl.</w:t>
      </w:r>
    </w:p>
    <w:p w14:paraId="70A4FEB1" w14:textId="77777777" w:rsidR="00C1548D" w:rsidRDefault="009B1B4B">
      <w:pPr>
        <w:pStyle w:val="Heading3"/>
        <w:keepNext/>
        <w:jc w:val="center"/>
      </w:pPr>
      <w:r>
        <w:rPr>
          <w:rFonts w:ascii="Amazon Ember" w:eastAsia="Amazon Ember" w:hAnsi="Amazon Ember" w:cs="Amazon Ember"/>
          <w:color w:val="0000FF"/>
          <w:sz w:val="36"/>
          <w:szCs w:val="36"/>
        </w:rPr>
        <w:t>Networking und Bewerbung</w:t>
      </w:r>
    </w:p>
    <w:p w14:paraId="70A4FEB2" w14:textId="77777777" w:rsidR="00C1548D" w:rsidRDefault="009B1B4B">
      <w:pPr>
        <w:spacing w:after="140"/>
      </w:pPr>
      <w:r>
        <w:t xml:space="preserve">Auch in Kanada werden viele Stellen über Empfehlungen besetzt, bevor sie überhaupt öffentlich ausgeschrieben sind. LinkedIn-Profil auf Englisch, ein knappes, ergebnisorientiertes </w:t>
      </w:r>
      <w:r>
        <w:rPr>
          <w:i/>
          <w:iCs/>
        </w:rPr>
        <w:t>Resume</w:t>
      </w:r>
      <w:r>
        <w:t xml:space="preserve"> (Lebenslauf ohne Foto, Geburtsdatum oder Familienstand) und, anders als im rein amerikanischen Bewerbungsstil, häufig weiterhin ein kurzes </w:t>
      </w:r>
      <w:r>
        <w:rPr>
          <w:i/>
          <w:iCs/>
        </w:rPr>
        <w:t>Cover Letter</w:t>
      </w:r>
      <w:r>
        <w:t xml:space="preserve"> (Anschreiben) gehören zum Standard. Berufsverbände, Alumni-Netzwerke der eigenen Hochschule und – für technische </w:t>
      </w:r>
      <w:r>
        <w:lastRenderedPageBreak/>
        <w:t>Berufe – Fachgesellschaften sind gute Anlaufstellen, ebenso informelle Gespräche mit jemandem in der Zielfirma, um Einblick zu bekommen, nicht um direkt um eine Stelle zu bitten.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B5"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EB3" w14:textId="77777777" w:rsidR="00C1548D" w:rsidRDefault="009B1B4B">
            <w:pPr>
              <w:keepNext/>
              <w:spacing w:after="70" w:line="240" w:lineRule="auto"/>
            </w:pPr>
            <w:r>
              <w:rPr>
                <w:b/>
                <w:bCs/>
                <w:color w:val="2F6B3B"/>
                <w:spacing w:val="24"/>
                <w:sz w:val="16"/>
                <w:szCs w:val="16"/>
              </w:rPr>
              <w:t>SPARTIPP</w:t>
            </w:r>
          </w:p>
          <w:p w14:paraId="70A4FEB4" w14:textId="77777777" w:rsidR="00C1548D" w:rsidRDefault="009B1B4B">
            <w:pPr>
              <w:spacing w:after="80" w:line="264" w:lineRule="auto"/>
            </w:pPr>
            <w:r>
              <w:rPr>
                <w:i/>
                <w:iCs/>
                <w:sz w:val="20"/>
                <w:szCs w:val="20"/>
              </w:rPr>
              <w:t>Job Bank</w:t>
            </w:r>
            <w:r>
              <w:rPr>
                <w:sz w:val="20"/>
                <w:szCs w:val="20"/>
              </w:rPr>
              <w:t xml:space="preserve"> (jobbank.gc.ca), die kostenlose Jobbörse des kanadischen Arbeitsministeriums, bietet neben Stellenanzeigen auch kostenlose Werkzeuge für Lebenslauf und Anschreiben sowie regionale Lohnvergleiche. Viele gemeinnützige Ankommensorganisationen (</w:t>
            </w:r>
            <w:r>
              <w:rPr>
                <w:i/>
                <w:iCs/>
                <w:sz w:val="20"/>
                <w:szCs w:val="20"/>
              </w:rPr>
              <w:t>Settlement Agencies</w:t>
            </w:r>
            <w:r>
              <w:rPr>
                <w:sz w:val="20"/>
                <w:szCs w:val="20"/>
              </w:rPr>
              <w:t>) bieten zusätzlich kostenlose Bewerbungsberatung für Neuankömmlinge an; die genaue Berechtigung hängt vom Aufenthaltsstatus ab und lohnt eine kurze Nachfrage vor Ort.</w:t>
            </w:r>
          </w:p>
        </w:tc>
      </w:tr>
    </w:tbl>
    <w:p w14:paraId="70A4FEB6" w14:textId="77777777" w:rsidR="00C1548D" w:rsidRDefault="00C1548D">
      <w:pPr>
        <w:spacing w:line="220" w:lineRule="exact"/>
      </w:pPr>
    </w:p>
    <w:p w14:paraId="70A4FEB7" w14:textId="77777777" w:rsidR="00C1548D" w:rsidRDefault="009B1B4B">
      <w:pPr>
        <w:spacing w:after="140"/>
      </w:pPr>
      <w:r>
        <w:t>Im Vorstellungsgespräch selbst zählt Pünktlichkeit als selbstverständlich, Verspätung ohne Vorwarnung gilt als schwerer Fauxpas, als es in manchen südeuropäischen oder auch deutschen Betrieben empfunden würde. Verhaltensfragen nach dem Muster „Erzähl mir von einer Situation, in der …“ beantwortest du am besten strukturiert mit Situation, Aufgabe, Handlung und Ergebnis, in der Ich-Form – „wir“ zu sagen, wo „ich“ gemeint ist, wirkt auch hier eher bescheiden als überzeugend. Für reglementierte Berufe (Medizin,</w:t>
      </w:r>
      <w:r>
        <w:t xml:space="preserve"> Pflege, bestimmte Ingenieurdisziplinen mit Berufsordnung, Lehramt) braucht es außerdem eine Anerkennung der Qualifikation durch die zuständige Provinzbehörde oder Berufskammer, bevor du unter dem geschützten Titel arbeiten darfst; für die meisten Ingenieur- und IT-Stellen dagegen ist der ausländische Abschluss ein Qualifikationsnachweis unter vielen, keine Zulassungsvoraussetzung.</w:t>
      </w:r>
    </w:p>
    <w:p w14:paraId="70A4FEB8" w14:textId="77777777" w:rsidR="00C1548D" w:rsidRDefault="009B1B4B">
      <w:pPr>
        <w:pStyle w:val="Heading3"/>
        <w:keepNext/>
        <w:jc w:val="center"/>
      </w:pPr>
      <w:r>
        <w:rPr>
          <w:rFonts w:ascii="Amazon Ember" w:eastAsia="Amazon Ember" w:hAnsi="Amazon Ember" w:cs="Amazon Ember"/>
          <w:color w:val="0000FF"/>
          <w:sz w:val="36"/>
          <w:szCs w:val="36"/>
        </w:rPr>
        <w:t>Jobwechsel mit Work Permit: Was das LMIA-pflichtige Visum bedeutet</w:t>
      </w:r>
    </w:p>
    <w:p w14:paraId="70A4FEB9" w14:textId="224916C2" w:rsidR="00C1548D" w:rsidRDefault="009B1B4B">
      <w:pPr>
        <w:spacing w:after="140"/>
      </w:pPr>
      <w:r>
        <w:t xml:space="preserve">Für Kanadier und für Inhaber der permanenten Aufenthaltserlaubnis ist ein Arbeitgeberwechsel reine Formsache – wer wie Familie </w:t>
      </w:r>
      <w:r>
        <w:lastRenderedPageBreak/>
        <w:t xml:space="preserve">Ahrens direkt mit der permanenten Aufenthaltserlaubnis über Express Entry eingereist ist, kann von Anfang an für jeden Arbeitgeber im Land arbeiten, ganz ohne zusätzliches Verfahren. Ganz anders sieht es aus, solange du mit einem befristeten, arbeitgebergebundenen </w:t>
      </w:r>
      <w:r>
        <w:rPr>
          <w:i/>
          <w:iCs/>
        </w:rPr>
        <w:t>Work Permit</w:t>
      </w:r>
      <w:r>
        <w:t xml:space="preserve"> im Land bist – dem Weg, den Lukas Berger als LMIA-pflichtiger Ölingenieur gegangen ist (siehe das </w:t>
      </w:r>
      <w:hyperlink w:anchor="tka03" w:history="1">
        <w:r>
          <w:rPr>
            <w:color w:val="0563C1"/>
            <w:u w:val="single"/>
          </w:rPr>
          <w:t>Kapitel zum Arbeitsweg in diesem Teil</w:t>
        </w:r>
      </w:hyperlink>
      <w:r>
        <w:t>).</w:t>
      </w:r>
    </w:p>
    <w:p w14:paraId="70A4FEBA" w14:textId="77777777" w:rsidR="00C1548D" w:rsidRDefault="009B1B4B">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w14:paraId="70A4FEBB" w14:textId="77777777" w:rsidR="00C1548D" w:rsidRDefault="009B1B4B">
      <w:pPr>
        <w:spacing w:after="140"/>
      </w:pPr>
      <w:r>
        <w:t xml:space="preserve">Willst du zu einem neuen Arbeitgeber wechseln, muss dieser in aller Regel zunächst selbst eine positive </w:t>
      </w:r>
      <w:r>
        <w:rPr>
          <w:i/>
          <w:iCs/>
        </w:rPr>
        <w:t>Labour Market Impact Assessment</w:t>
      </w:r>
      <w:r>
        <w:t xml:space="preserve"> (LMIA, die Arbeitsmarktprüfung von Employment and Social Development Canada) für die konkrete Stelle einholen – die LMIA deines bisherigen Arbeitgebers gilt ausschließlich für ihn und ist nicht übertragbar. Das kostet den neuen Arbeitgeber 1.000 CAD, nicht erstattungsfähig und gesetzlich nicht auf dich abwälzbar, und dauert je nach Berufsgruppe und Lohnstream Wochen bis mehrere Monate: Beim besonders schnellen Global-Talent-Stream sind es nach den Zielwerten der Behörde rund zehn Werktage, bei einer gewöhn</w:t>
      </w:r>
      <w:r>
        <w:t>lichen High-Wage-Stelle können es rund 88 Werktage werden (ESDC-Zielwerte, Stand August 2026 – aktuelle Werte vor jeder Planung neu prüfen). Erst nach positiver LMIA stellt der neue Arbeitgeber dir gegenüber die Grundlage, mit der du selbst bei der Einwanderungsbehörde IRCC ein neues Work Permit beantragst (Gebühr 155 CAD, zuzüglich 85 CAD Biometrie, falls noch nicht hinterlegt).</w:t>
      </w:r>
    </w:p>
    <w:p w14:paraId="70A4FEBC" w14:textId="77777777" w:rsidR="00C1548D" w:rsidRDefault="009B1B4B">
      <w:pPr>
        <w:spacing w:after="140"/>
      </w:pPr>
      <w:r>
        <w:t xml:space="preserve">Verbreiteter Irrtum: Wer aus dem US-Teil dieses Buches oder aus Berichten über den amerikanischen H-1B-Transfer eine ähnliche </w:t>
      </w:r>
      <w:r>
        <w:lastRenderedPageBreak/>
        <w:t>Regelung erwartet, geht oft davon aus, mit der bloßen Antragstellung beim neuen Arbeitgeber schon anfangen zu dürfen. Genau das gilt in Kanada in der Regel nicht: Solange du nicht schon zuvor ein gültiges, auf diesen Arbeitgeber ausgestelltes Work Permit besitzt, darfst du beim neuen Arbeitgeber erst arbeiten, wenn das neue Permit tatsächlich genehmigt ist – der bloße Eingang des Antrags reicht anders als in den USA nicht aus. Die sogenannte „aufrechterhaltene Zulassung“ (</w:t>
      </w:r>
      <w:r>
        <w:rPr>
          <w:i/>
          <w:iCs/>
        </w:rPr>
        <w:t>Maintained Status</w:t>
      </w:r>
      <w:r>
        <w:t xml:space="preserve">, umgangssprachlich </w:t>
      </w:r>
      <w:r>
        <w:rPr>
          <w:i/>
          <w:iCs/>
        </w:rPr>
        <w:t>Implied Status</w:t>
      </w:r>
      <w:r>
        <w:t>) hilft dir nur, wenn du deinen bestehenden Antrag beim selben Arbeitgeber vor Ablauf verlängerst; sie erlaubt keinen vorzeitigen Start bei einem neuen Arbeitgeber.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BF"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EBD" w14:textId="77777777" w:rsidR="00C1548D" w:rsidRDefault="009B1B4B">
            <w:pPr>
              <w:keepNext/>
              <w:spacing w:after="70" w:line="240" w:lineRule="auto"/>
            </w:pPr>
            <w:r>
              <w:rPr>
                <w:b/>
                <w:bCs/>
                <w:color w:val="9B2C2C"/>
                <w:spacing w:val="24"/>
                <w:sz w:val="16"/>
                <w:szCs w:val="16"/>
              </w:rPr>
              <w:t>ACHTUNG</w:t>
            </w:r>
          </w:p>
          <w:p w14:paraId="70A4FEBE" w14:textId="77777777" w:rsidR="00C1548D" w:rsidRDefault="009B1B4B">
            <w:pPr>
              <w:spacing w:after="80" w:line="264" w:lineRule="auto"/>
            </w:pPr>
            <w:r>
              <w:rPr>
                <w:sz w:val="20"/>
                <w:szCs w:val="20"/>
              </w:rPr>
              <w:t>Kündige beim bisherigen Arbeitgeber nie, bevor dein neues Work Permit genehmigt ist, nicht schon bei Antragstellung. Wer vorzeitig beim neuen Arbeitgeber anfängt, arbeitet ohne gültige Erlaubnis – mit Risiko für Status und künftige Anträge, auch bei bester Absicht auf beiden Seiten.</w:t>
            </w:r>
          </w:p>
        </w:tc>
      </w:tr>
    </w:tbl>
    <w:p w14:paraId="70A4FEC0" w14:textId="77777777" w:rsidR="00C1548D" w:rsidRDefault="00C1548D">
      <w:pPr>
        <w:spacing w:line="220" w:lineRule="exact"/>
      </w:pPr>
    </w:p>
    <w:p w14:paraId="70A4FEC1" w14:textId="77777777" w:rsidR="00C1548D" w:rsidRDefault="009B1B4B">
      <w:pPr>
        <w:spacing w:after="140"/>
      </w:pPr>
      <w:r>
        <w:t>Es gibt Auswege, die den Prozess beschleunigen oder ganz überflüssig machen. Ist der neue Arbeitgeber von der LMIA-Pflicht befreit (</w:t>
      </w:r>
      <w:r>
        <w:rPr>
          <w:i/>
          <w:iCs/>
        </w:rPr>
        <w:t>LMIA-exempt</w:t>
      </w:r>
      <w:r>
        <w:t xml:space="preserve">, etwa bei bestimmten konzerninternen Transfers oder Handelsabkommen wie CETA für einzelne Berufsgruppen), entfällt der zeitaufwendigste Schritt, und nur das neue Work Permit selbst ist noch nötig. Hast du bereits ein PR-Verfahren über Express Entry angestoßen und wartet dein bestehendes Work Permit auf den Ablauf, kann unter bestimmten Voraussetzungen ein </w:t>
      </w:r>
      <w:r>
        <w:rPr>
          <w:i/>
          <w:iCs/>
        </w:rPr>
        <w:t>Bridging Open Work Permit</w:t>
      </w:r>
      <w:r>
        <w:t xml:space="preserve"> (Überbrückungs-Arbeitsvisum ohne Arbeitgeberbindung) greifen, mit dem du bis zur endgültigen Entscheidung für praktisch jeden Arbeitgeber arbeiten darfst. Und wer in einem eindeutig missbräuchlichen Arbeitsverhältnis steckt, kann bei IRCC ein offenes Arbeitsvisum für gefährdete Arbeitnehmer (</w:t>
      </w:r>
      <w:r>
        <w:rPr>
          <w:i/>
          <w:iCs/>
        </w:rPr>
        <w:t>Open Work Permit for Vulnerable Workers</w:t>
      </w:r>
      <w:r>
        <w:t xml:space="preserve">) beantragen, um den Arbeitgeber sofort verlassen zu </w:t>
      </w:r>
      <w:r>
        <w:lastRenderedPageBreak/>
        <w:t>können, ohne erst eine neue LMIA des nächsten Arbeitgebers abzuwarten.</w:t>
      </w:r>
    </w:p>
    <w:p w14:paraId="70A4FEC2" w14:textId="77777777" w:rsidR="00C1548D" w:rsidRDefault="009B1B4B">
      <w:pPr>
        <w:spacing w:after="140"/>
      </w:pPr>
      <w:r>
        <w:t>Deutlich einfacher haben es Inhaber eines offenen Arbeitsvisums (</w:t>
      </w:r>
      <w:r>
        <w:rPr>
          <w:i/>
          <w:iCs/>
        </w:rPr>
        <w:t>Open Work Permit</w:t>
      </w:r>
      <w:r>
        <w:t xml:space="preserve">) – etwa nach einem </w:t>
      </w:r>
      <w:r>
        <w:rPr>
          <w:i/>
          <w:iCs/>
        </w:rPr>
        <w:t>Post-Graduation Work Permit</w:t>
      </w:r>
      <w:r>
        <w:t xml:space="preserve">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C5"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EC3" w14:textId="77777777" w:rsidR="00C1548D" w:rsidRDefault="009B1B4B">
            <w:pPr>
              <w:keepNext/>
              <w:spacing w:after="70" w:line="240" w:lineRule="auto"/>
            </w:pPr>
            <w:r>
              <w:rPr>
                <w:b/>
                <w:bCs/>
                <w:color w:val="4A5568"/>
                <w:spacing w:val="24"/>
                <w:sz w:val="16"/>
                <w:szCs w:val="16"/>
              </w:rPr>
              <w:t>PRAXISBEISPIEL · FIKTIV</w:t>
            </w:r>
          </w:p>
          <w:p w14:paraId="70A4FEC4" w14:textId="77777777" w:rsidR="00C1548D" w:rsidRDefault="009B1B4B">
            <w:pPr>
              <w:spacing w:after="80" w:line="264" w:lineRule="auto"/>
            </w:pPr>
            <w:r>
              <w:rPr>
                <w:sz w:val="20"/>
                <w:szCs w:val="20"/>
              </w:rPr>
              <w:t>Lukas Berger (fiktives Beispiel) arbeitet seit gut zwei Jahren mit seinem LMIA-pflichtigen Work Permit als Ölingenieur in Calgary, als ihm ein Wettbewerber ein spürbar besseres Angebot macht. Aus Gewohnheit will er kündigen, sobald der neue Vertrag unterschrieben ist – bis ihn eine Kollegin warnt, das sei in Kanada anders als in Deutschland oder den USA. Der neue Arbeitgeber beantragt zunächst eine LMIA im High-Wage-Stream; die Bearbeitung zieht sich über elf Wochen. Erst danach reicht Lukas sein neues Work</w:t>
            </w:r>
            <w:r>
              <w:rPr>
                <w:sz w:val="20"/>
                <w:szCs w:val="20"/>
              </w:rPr>
              <w:t xml:space="preserve"> Permit ein, wartet weitere Wochen auf die Genehmigung und kündigt seinen bisherigen Job erst, als die Bestätigung in seinem IRCC-Konto erscheint. Zwischen erstem Angebot und erstem Arbeitstag beim neuen Arbeitgeber liegen gut vier Monate – Zeit, die er einplant, statt sich zu ärgern.</w:t>
            </w:r>
          </w:p>
        </w:tc>
      </w:tr>
    </w:tbl>
    <w:p w14:paraId="70A4FEC6" w14:textId="77777777" w:rsidR="00C1548D" w:rsidRDefault="00C1548D">
      <w:pPr>
        <w:spacing w:line="220" w:lineRule="exact"/>
      </w:pPr>
    </w:p>
    <w:p w14:paraId="70A4FEC7"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ECA"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EC8"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EC9" w14:textId="77777777" w:rsidR="00C1548D" w:rsidRDefault="009B1B4B">
            <w:pPr>
              <w:spacing w:line="250" w:lineRule="auto"/>
            </w:pPr>
            <w:r>
              <w:rPr>
                <w:b/>
                <w:bCs/>
                <w:sz w:val="18"/>
                <w:szCs w:val="18"/>
              </w:rPr>
              <w:t>Minus</w:t>
            </w:r>
          </w:p>
        </w:tc>
      </w:tr>
      <w:tr w:rsidR="00C1548D" w14:paraId="70A4FEC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CB" w14:textId="77777777" w:rsidR="00C1548D" w:rsidRDefault="009B1B4B">
            <w:pPr>
              <w:spacing w:line="250" w:lineRule="auto"/>
            </w:pPr>
            <w:r>
              <w:rPr>
                <w:sz w:val="18"/>
                <w:szCs w:val="18"/>
              </w:rPr>
              <w:t>Kündigungen ohne Grund sind möglich, aber immer mit Frist oder Ausgleich verbunden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CC" w14:textId="77777777" w:rsidR="00C1548D" w:rsidRDefault="009B1B4B">
            <w:pPr>
              <w:spacing w:line="250" w:lineRule="auto"/>
            </w:pPr>
            <w:r>
              <w:rPr>
                <w:sz w:val="18"/>
                <w:szCs w:val="18"/>
              </w:rPr>
              <w:t>Kein deutsches Kündigungsschutzgesetz; die gesetzliche Mindestfrist ist oft kurz</w:t>
            </w:r>
          </w:p>
        </w:tc>
      </w:tr>
      <w:tr w:rsidR="00C1548D" w14:paraId="70A4FED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CE" w14:textId="77777777" w:rsidR="00C1548D" w:rsidRDefault="009B1B4B">
            <w:pPr>
              <w:spacing w:line="250" w:lineRule="auto"/>
            </w:pPr>
            <w:r>
              <w:rPr>
                <w:sz w:val="18"/>
                <w:szCs w:val="18"/>
              </w:rPr>
              <w:t>Höflicher, konfliktarmer Umgangston im Team</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CF" w14:textId="77777777" w:rsidR="00C1548D" w:rsidRDefault="009B1B4B">
            <w:pPr>
              <w:spacing w:line="250" w:lineRule="auto"/>
            </w:pPr>
            <w:r>
              <w:rPr>
                <w:sz w:val="18"/>
                <w:szCs w:val="18"/>
              </w:rPr>
              <w:t>Direkte Kritik wird schnell als unhöflich empfunden, Feedback bleibt vage</w:t>
            </w:r>
          </w:p>
        </w:tc>
      </w:tr>
      <w:tr w:rsidR="00C1548D" w14:paraId="70A4FED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D1" w14:textId="77777777" w:rsidR="00C1548D" w:rsidRDefault="009B1B4B">
            <w:pPr>
              <w:spacing w:line="250" w:lineRule="auto"/>
            </w:pPr>
            <w:r>
              <w:rPr>
                <w:sz w:val="18"/>
                <w:szCs w:val="18"/>
              </w:rPr>
              <w:t>Permanente Aufenthaltserlaubnis (wie bei Familie Ahrens) macht von Anfang an frei bei der Arbeitgeberwahl</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D2" w14:textId="77777777" w:rsidR="00C1548D" w:rsidRDefault="009B1B4B">
            <w:pPr>
              <w:spacing w:line="250" w:lineRule="auto"/>
            </w:pPr>
            <w:r>
              <w:rPr>
                <w:sz w:val="18"/>
                <w:szCs w:val="18"/>
              </w:rPr>
              <w:t>LMIA-pflichtiges Work Permit bindet dich fest an einen Arbeitgeber</w:t>
            </w:r>
          </w:p>
        </w:tc>
      </w:tr>
      <w:tr w:rsidR="00C1548D" w14:paraId="70A4FED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D4" w14:textId="77777777" w:rsidR="00C1548D" w:rsidRDefault="009B1B4B">
            <w:pPr>
              <w:spacing w:line="250" w:lineRule="auto"/>
            </w:pPr>
            <w:r>
              <w:rPr>
                <w:sz w:val="18"/>
                <w:szCs w:val="18"/>
              </w:rPr>
              <w:lastRenderedPageBreak/>
              <w:t>Offene Arbeitsvisa (PGWP, Ehepartner) erlauben Wechsel ohne neuen Antrag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D5" w14:textId="77777777" w:rsidR="00C1548D" w:rsidRDefault="009B1B4B">
            <w:pPr>
              <w:spacing w:line="250" w:lineRule="auto"/>
            </w:pPr>
            <w:r>
              <w:rPr>
                <w:sz w:val="18"/>
                <w:szCs w:val="18"/>
              </w:rPr>
              <w:t>Ein Arbeitgeberwechsel mit LMIA-pflichtigem Visum kann Monate dauern</w:t>
            </w:r>
          </w:p>
        </w:tc>
      </w:tr>
      <w:tr w:rsidR="00C1548D" w14:paraId="70A4FED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D7" w14:textId="77777777" w:rsidR="00C1548D" w:rsidRDefault="009B1B4B">
            <w:pPr>
              <w:spacing w:line="250" w:lineRule="auto"/>
            </w:pPr>
            <w:r>
              <w:rPr>
                <w:sz w:val="18"/>
                <w:szCs w:val="18"/>
              </w:rPr>
              <w:t>Kostenlose Jobbörsen und Ankommensorganisationen unterstützen die Jobsuche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ED8" w14:textId="77777777" w:rsidR="00C1548D" w:rsidRDefault="009B1B4B">
            <w:pPr>
              <w:spacing w:line="250" w:lineRule="auto"/>
            </w:pPr>
            <w:r>
              <w:rPr>
                <w:sz w:val="18"/>
                <w:szCs w:val="18"/>
              </w:rPr>
              <w:t>Urlaubsminimum von zwei Wochen liegt deutlich unter deutschem Niveau</w:t>
            </w:r>
          </w:p>
        </w:tc>
      </w:tr>
    </w:tbl>
    <w:p w14:paraId="70A4FEDA" w14:textId="77777777" w:rsidR="00C1548D" w:rsidRDefault="00C1548D">
      <w:pPr>
        <w:spacing w:line="180" w:lineRule="exact"/>
      </w:pPr>
    </w:p>
    <w:p w14:paraId="70A4FEDB"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EDC" w14:textId="77777777" w:rsidR="00C1548D" w:rsidRDefault="009B1B4B">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E6"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EDD" w14:textId="77777777" w:rsidR="00C1548D" w:rsidRDefault="009B1B4B">
            <w:pPr>
              <w:keepNext/>
              <w:spacing w:after="70" w:line="240" w:lineRule="auto"/>
            </w:pPr>
            <w:r>
              <w:rPr>
                <w:b/>
                <w:bCs/>
                <w:color w:val="1F6F78"/>
                <w:spacing w:val="24"/>
                <w:sz w:val="16"/>
                <w:szCs w:val="16"/>
              </w:rPr>
              <w:t>CHECKLISTE</w:t>
            </w:r>
          </w:p>
          <w:p w14:paraId="70A4FED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Arbeitsvertrag mit dem gesetzlichen Minimum der zuständigen Provinz verglichen (Urlaub, Kündigungsfrist, Krankheitstage).</w:t>
            </w:r>
          </w:p>
          <w:p w14:paraId="70A4FED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Geklärt, ob eine Kündigungsklausel im Vertrag auf das gesetzliche Minimum begrenzt oder unklar formuliert ist.</w:t>
            </w:r>
          </w:p>
          <w:p w14:paraId="70A4FEE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Visumstyp geprüft: arbeitgebergebundenes (LMIA-pflichtiges) oder offenes Work Permit.</w:t>
            </w:r>
          </w:p>
          <w:p w14:paraId="70A4FEE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geplantem Arbeitgeberwechsel: LMIA-Bearbeitungszeit des passenden Streams realistisch eingeplant.</w:t>
            </w:r>
          </w:p>
          <w:p w14:paraId="70A4FEE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 gekündigt, wenn das neue Work Permit tatsächlich genehmigt ist, nicht schon bei Antragstellung.</w:t>
            </w:r>
          </w:p>
          <w:p w14:paraId="70A4FEE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der neue Arbeitgeber LMIA-befreit ist oder ein Bridging Open Work Permit infrage kommt.</w:t>
            </w:r>
          </w:p>
          <w:p w14:paraId="70A4FEE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LinkedIn-Profil und Resume auf kanadisches Format gebracht, Cover Letter vorbereitet.</w:t>
            </w:r>
          </w:p>
          <w:p w14:paraId="70A4FEE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Kostenlose Angebote von Job Bank und lokalen Ankommensorganisationen genutzt.</w:t>
            </w:r>
          </w:p>
        </w:tc>
      </w:tr>
    </w:tbl>
    <w:p w14:paraId="70A4FEE7" w14:textId="77777777" w:rsidR="00C1548D" w:rsidRDefault="00C1548D">
      <w:pPr>
        <w:spacing w:line="220" w:lineRule="exact"/>
      </w:pPr>
    </w:p>
    <w:p w14:paraId="70A4FEE8" w14:textId="77777777" w:rsidR="00C1548D" w:rsidRDefault="009B1B4B">
      <w:pPr>
        <w:pStyle w:val="Heading3"/>
        <w:keepNext/>
        <w:jc w:val="center"/>
      </w:pPr>
      <w:r>
        <w:rPr>
          <w:rFonts w:ascii="Amazon Ember" w:eastAsia="Amazon Ember" w:hAnsi="Amazon Ember" w:cs="Amazon Ember"/>
          <w:color w:val="0000FF"/>
          <w:sz w:val="36"/>
          <w:szCs w:val="36"/>
        </w:rPr>
        <w:lastRenderedPageBreak/>
        <w:t>Quellen und weiterführende Links</w:t>
      </w:r>
    </w:p>
    <w:p w14:paraId="70A4FEE9" w14:textId="7AABD1BC" w:rsidR="00C1548D" w:rsidRDefault="009B1B4B" w:rsidP="009B1B4B">
      <w:pPr>
        <w:pStyle w:val="ListParagraph"/>
        <w:numPr>
          <w:ilvl w:val="0"/>
          <w:numId w:val="1"/>
        </w:numPr>
        <w:spacing w:after="60"/>
      </w:pPr>
      <w:r>
        <w:t xml:space="preserve">Employment and Social Development Canada (ESDC) – LMIA-Prozess und Bearbeitungszeiten: </w:t>
      </w:r>
      <w:hyperlink r:id="rId577" w:history="1">
        <w:r>
          <w:rPr>
            <w:color w:val="0563C1"/>
            <w:u w:val="single"/>
          </w:rPr>
          <w:t>canada.ca/en/employment-social-development/services/foreign-workers</w:t>
        </w:r>
      </w:hyperlink>
    </w:p>
    <w:p w14:paraId="70A4FEEA" w14:textId="2F7D8D7D" w:rsidR="00C1548D" w:rsidRDefault="009B1B4B" w:rsidP="009B1B4B">
      <w:pPr>
        <w:pStyle w:val="ListParagraph"/>
        <w:numPr>
          <w:ilvl w:val="0"/>
          <w:numId w:val="1"/>
        </w:numPr>
        <w:spacing w:after="60"/>
      </w:pPr>
      <w:r>
        <w:t xml:space="preserve">Immigration, Refugees and Citizenship Canada (IRCC) – Work Permit, Arbeitgeberwechsel, Bridging Open Work Permit: </w:t>
      </w:r>
      <w:hyperlink r:id="rId578" w:history="1">
        <w:r>
          <w:rPr>
            <w:color w:val="0563C1"/>
            <w:u w:val="single"/>
          </w:rPr>
          <w:t>canada.ca/en/immigration-refugees-citizenship/services/work-canada</w:t>
        </w:r>
      </w:hyperlink>
    </w:p>
    <w:p w14:paraId="70A4FEEB" w14:textId="51C4F128" w:rsidR="00C1548D" w:rsidRDefault="009B1B4B" w:rsidP="009B1B4B">
      <w:pPr>
        <w:pStyle w:val="ListParagraph"/>
        <w:numPr>
          <w:ilvl w:val="0"/>
          <w:numId w:val="1"/>
        </w:numPr>
        <w:spacing w:after="60"/>
      </w:pPr>
      <w:r>
        <w:t xml:space="preserve">IRCC – Offenes Arbeitsvisum für gefährdete Arbeitnehmer: </w:t>
      </w:r>
      <w:hyperlink r:id="rId579" w:history="1">
        <w:r>
          <w:rPr>
            <w:color w:val="0563C1"/>
            <w:u w:val="single"/>
          </w:rPr>
          <w:t>canada.ca/en/immigration-refugees-citizenship/services/work-canada/permit/temporary/vulnerable-workers.html</w:t>
        </w:r>
      </w:hyperlink>
    </w:p>
    <w:p w14:paraId="70A4FEEC" w14:textId="265AF622" w:rsidR="00C1548D" w:rsidRDefault="009B1B4B" w:rsidP="009B1B4B">
      <w:pPr>
        <w:pStyle w:val="ListParagraph"/>
        <w:numPr>
          <w:ilvl w:val="0"/>
          <w:numId w:val="1"/>
        </w:numPr>
        <w:spacing w:after="60"/>
      </w:pPr>
      <w:r>
        <w:t xml:space="preserve">Job Bank (ESDC) – Stellensuche, Lebenslauf-Hilfe, Lohnvergleiche: </w:t>
      </w:r>
      <w:hyperlink r:id="rId580" w:history="1">
        <w:r>
          <w:rPr>
            <w:color w:val="0563C1"/>
            <w:u w:val="single"/>
          </w:rPr>
          <w:t>jobbank.gc.ca</w:t>
        </w:r>
      </w:hyperlink>
    </w:p>
    <w:p w14:paraId="70A4FEED" w14:textId="66805CA6" w:rsidR="00C1548D" w:rsidRDefault="009B1B4B" w:rsidP="009B1B4B">
      <w:pPr>
        <w:pStyle w:val="ListParagraph"/>
        <w:numPr>
          <w:ilvl w:val="0"/>
          <w:numId w:val="1"/>
        </w:numPr>
        <w:spacing w:after="60"/>
      </w:pPr>
      <w:r>
        <w:t xml:space="preserve">Ontario – Employment Standards Act, Kündigungsfristen und Urlaub: </w:t>
      </w:r>
      <w:hyperlink r:id="rId581" w:history="1">
        <w:r>
          <w:rPr>
            <w:color w:val="0563C1"/>
            <w:u w:val="single"/>
          </w:rPr>
          <w:t>ontario.ca/document/your-guide-employment-standards-act-0</w:t>
        </w:r>
      </w:hyperlink>
    </w:p>
    <w:p w14:paraId="70A4FEEE" w14:textId="7547DD67" w:rsidR="00C1548D" w:rsidRDefault="009B1B4B" w:rsidP="009B1B4B">
      <w:pPr>
        <w:pStyle w:val="ListParagraph"/>
        <w:numPr>
          <w:ilvl w:val="0"/>
          <w:numId w:val="1"/>
        </w:numPr>
        <w:spacing w:after="60"/>
      </w:pPr>
      <w:r>
        <w:t xml:space="preserve">Alberta – Employment Standards Code: </w:t>
      </w:r>
      <w:hyperlink r:id="rId582" w:history="1">
        <w:r>
          <w:rPr>
            <w:color w:val="0563C1"/>
            <w:u w:val="single"/>
          </w:rPr>
          <w:t>alberta.ca/employment-standards</w:t>
        </w:r>
      </w:hyperlink>
    </w:p>
    <w:p w14:paraId="70A4FEEF"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F2"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EF0" w14:textId="77777777" w:rsidR="00C1548D" w:rsidRDefault="009B1B4B">
            <w:pPr>
              <w:keepNext/>
              <w:spacing w:after="70" w:line="240" w:lineRule="auto"/>
            </w:pPr>
            <w:r>
              <w:rPr>
                <w:b/>
                <w:bCs/>
                <w:color w:val="6B7280"/>
                <w:spacing w:val="24"/>
                <w:sz w:val="16"/>
                <w:szCs w:val="16"/>
              </w:rPr>
              <w:t>STAND</w:t>
            </w:r>
          </w:p>
          <w:p w14:paraId="70A4FEF1" w14:textId="77777777" w:rsidR="00C1548D" w:rsidRDefault="009B1B4B">
            <w:pPr>
              <w:spacing w:after="80" w:line="264" w:lineRule="auto"/>
            </w:pPr>
            <w:r>
              <w:rPr>
                <w:sz w:val="20"/>
                <w:szCs w:val="20"/>
              </w:rPr>
              <w:t>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tc>
      </w:tr>
    </w:tbl>
    <w:p w14:paraId="70A4FEF3" w14:textId="77777777" w:rsidR="00C1548D" w:rsidRDefault="00C1548D">
      <w:pPr>
        <w:spacing w:line="220" w:lineRule="exact"/>
      </w:pPr>
    </w:p>
    <w:p w14:paraId="70A4FEF4" w14:textId="77777777" w:rsidR="00C1548D" w:rsidRDefault="009B1B4B">
      <w:pPr>
        <w:pStyle w:val="Heading2"/>
        <w:keepNext/>
        <w:pageBreakBefore/>
        <w:jc w:val="center"/>
      </w:pPr>
      <w:bookmarkStart w:id="163" w:name="tka15"/>
      <w:bookmarkStart w:id="164" w:name="_Toc241352533"/>
      <w:r>
        <w:rPr>
          <w:rFonts w:ascii="Amazon Ember" w:eastAsia="Amazon Ember" w:hAnsi="Amazon Ember" w:cs="Amazon Ember"/>
          <w:color w:val="0000FF"/>
          <w:sz w:val="36"/>
          <w:szCs w:val="36"/>
        </w:rPr>
        <w:lastRenderedPageBreak/>
        <w:t>Kanada: Recht, Sicherheit und Polizeikontakt</w:t>
      </w:r>
      <w:bookmarkEnd w:id="163"/>
      <w:bookmarkEnd w:id="164"/>
    </w:p>
    <w:p w14:paraId="70A4FEF5" w14:textId="77777777" w:rsidR="00C1548D" w:rsidRDefault="009B1B4B">
      <w:pPr>
        <w:spacing w:after="140"/>
      </w:pPr>
      <w:r>
        <w:t xml:space="preserve">Lukas Berger ist auf dem Highway nördlich von Calgary unterwegs zu einer Förderanlage, als im Rückspiegel die rot-weiße Lichterreihe eines Streifenwagens der </w:t>
      </w:r>
      <w:r>
        <w:rPr>
          <w:i/>
          <w:iCs/>
        </w:rPr>
        <w:t>Royal Canadian Mounted Police</w:t>
      </w:r>
      <w:r>
        <w:t xml:space="preserve"> (RCMP, die kanadische Bundespolizei) auftaucht. Er fährt rechts ran, wie er es aus Deutschland gewohnt ist – und wartet dann, reglos, die Hände am Lenkrad, bis der Beamte ans Fenster tritt. Der Themenwechsel von der Autobahnkontrolle zu Hause zur formelleren kanadischen Variante ist klein, aber er zeigt gut, worum es in diesem Kapitel geht: Kanada ist beim Alltagsrecht nicht die USA und nicht Deutschland, sondern sein eigenes, drittes System – höflicher formuliert als beides, aber keineswegs beliebig.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EFC"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EF6" w14:textId="77777777" w:rsidR="00C1548D" w:rsidRDefault="009B1B4B">
            <w:pPr>
              <w:keepNext/>
              <w:spacing w:after="70" w:line="240" w:lineRule="auto"/>
            </w:pPr>
            <w:r>
              <w:rPr>
                <w:b/>
                <w:bCs/>
                <w:color w:val="1F3A5F"/>
                <w:spacing w:val="24"/>
                <w:sz w:val="16"/>
                <w:szCs w:val="16"/>
              </w:rPr>
              <w:t>KURZ GESAGT</w:t>
            </w:r>
          </w:p>
          <w:p w14:paraId="70A4FEF7" w14:textId="77777777" w:rsidR="00C1548D" w:rsidRDefault="009B1B4B" w:rsidP="009B1B4B">
            <w:pPr>
              <w:pStyle w:val="ListParagraph"/>
              <w:numPr>
                <w:ilvl w:val="0"/>
                <w:numId w:val="1"/>
              </w:numPr>
              <w:spacing w:after="50" w:line="264" w:lineRule="auto"/>
            </w:pPr>
            <w:r>
              <w:rPr>
                <w:sz w:val="20"/>
                <w:szCs w:val="20"/>
              </w:rPr>
              <w:t>Kanada hat kein einheitliches Polizeisystem: Bundespolizei RCMP, eigenständige Provinzpolizeien in Ontario und Québec sowie viele städtische Polizeien arbeiten nebeneinander.</w:t>
            </w:r>
          </w:p>
          <w:p w14:paraId="70A4FEF8" w14:textId="77777777" w:rsidR="00C1548D" w:rsidRDefault="009B1B4B" w:rsidP="009B1B4B">
            <w:pPr>
              <w:pStyle w:val="ListParagraph"/>
              <w:numPr>
                <w:ilvl w:val="0"/>
                <w:numId w:val="1"/>
              </w:numPr>
              <w:spacing w:after="50" w:line="264" w:lineRule="auto"/>
            </w:pPr>
            <w:r>
              <w:rPr>
                <w:sz w:val="20"/>
                <w:szCs w:val="20"/>
              </w:rPr>
              <w:t>Bei einer Verkehrskontrolle bleibst du im Auto, hältst die Hände sichtbar und kündigst jede Bewegung vorher an; Name und Dienstnummer des Beamten darfst du erfragen.</w:t>
            </w:r>
          </w:p>
          <w:p w14:paraId="70A4FEF9" w14:textId="77777777" w:rsidR="00C1548D" w:rsidRDefault="009B1B4B" w:rsidP="009B1B4B">
            <w:pPr>
              <w:pStyle w:val="ListParagraph"/>
              <w:numPr>
                <w:ilvl w:val="0"/>
                <w:numId w:val="1"/>
              </w:numPr>
              <w:spacing w:after="50" w:line="264" w:lineRule="auto"/>
            </w:pPr>
            <w:r>
              <w:rPr>
                <w:sz w:val="20"/>
                <w:szCs w:val="20"/>
              </w:rPr>
              <w:t>Waffenrecht ist deutlich reguliert: Handfeuerwaffen-Neuerwerb ist seit 2022 eingefroren, ein laufendes Rückkaufprogramm für „Assault-Style“-Waffen läuft 2026 mit Amnestiefrist bis 30. Oktober.</w:t>
            </w:r>
          </w:p>
          <w:p w14:paraId="70A4FEFA" w14:textId="77777777" w:rsidR="00C1548D" w:rsidRDefault="009B1B4B" w:rsidP="009B1B4B">
            <w:pPr>
              <w:pStyle w:val="ListParagraph"/>
              <w:numPr>
                <w:ilvl w:val="0"/>
                <w:numId w:val="1"/>
              </w:numPr>
              <w:spacing w:after="50" w:line="264" w:lineRule="auto"/>
            </w:pPr>
            <w:r>
              <w:rPr>
                <w:sz w:val="20"/>
                <w:szCs w:val="20"/>
              </w:rPr>
              <w:t>Cannabis ist bundesweit legal seit 2018 – ein grundlegender Unterschied zu den USA, wo es bundesrechtlich weiterhin verboten bleibt; an der Grenze zu den USA darfst du trotzdem keinen Krümel mitnehmen.</w:t>
            </w:r>
          </w:p>
          <w:p w14:paraId="70A4FEFB" w14:textId="77777777" w:rsidR="00C1548D" w:rsidRDefault="009B1B4B" w:rsidP="009B1B4B">
            <w:pPr>
              <w:pStyle w:val="ListParagraph"/>
              <w:numPr>
                <w:ilvl w:val="0"/>
                <w:numId w:val="1"/>
              </w:numPr>
              <w:spacing w:after="50" w:line="264" w:lineRule="auto"/>
            </w:pPr>
            <w:r>
              <w:rPr>
                <w:sz w:val="20"/>
                <w:szCs w:val="20"/>
              </w:rPr>
              <w:t>Waldbrände im Westen und Winterstürme im Osten verlangen eigene Vorsorge: Warn-Apps, Notvorrat und die richtige Versicherung.</w:t>
            </w:r>
          </w:p>
        </w:tc>
      </w:tr>
    </w:tbl>
    <w:p w14:paraId="70A4FEFD" w14:textId="77777777" w:rsidR="00C1548D" w:rsidRDefault="00C1548D">
      <w:pPr>
        <w:spacing w:line="220" w:lineRule="exact"/>
      </w:pPr>
    </w:p>
    <w:p w14:paraId="70A4FEFE" w14:textId="77777777" w:rsidR="00C1548D" w:rsidRDefault="009B1B4B">
      <w:pPr>
        <w:pStyle w:val="Heading3"/>
        <w:keepNext/>
        <w:jc w:val="center"/>
      </w:pPr>
      <w:r>
        <w:rPr>
          <w:rFonts w:ascii="Amazon Ember" w:eastAsia="Amazon Ember" w:hAnsi="Amazon Ember" w:cs="Amazon Ember"/>
          <w:color w:val="0000FF"/>
          <w:sz w:val="36"/>
          <w:szCs w:val="36"/>
        </w:rPr>
        <w:lastRenderedPageBreak/>
        <w:t>Das Rechtssystem und die Polizei in Kurzform</w:t>
      </w:r>
    </w:p>
    <w:p w14:paraId="70A4FEFF" w14:textId="77777777" w:rsidR="00C1548D" w:rsidRDefault="009B1B4B">
      <w:pPr>
        <w:spacing w:after="140"/>
      </w:pPr>
      <w:r>
        <w:t xml:space="preserve">Kanada folgt wie Großbritannien dem </w:t>
      </w:r>
      <w:r>
        <w:rPr>
          <w:i/>
          <w:iCs/>
        </w:rPr>
        <w:t>Common Law</w:t>
      </w:r>
      <w:r>
        <w:t xml:space="preserve"> (Fallrecht, das stark auf Präzedenzfällen und Richterrecht aufbaut), mit Ausnahme von Québec, das für Zivilsachen ein eigenes, am französischen Recht orientiertes Zivilgesetzbuch (</w:t>
      </w:r>
      <w:r>
        <w:rPr>
          <w:i/>
          <w:iCs/>
        </w:rPr>
        <w:t>Code civil du Québec</w:t>
      </w:r>
      <w:r>
        <w:t xml:space="preserve">) hat. Strafrecht dagegen ist bundesweit einheitlich im </w:t>
      </w:r>
      <w:r>
        <w:rPr>
          <w:i/>
          <w:iCs/>
        </w:rPr>
        <w:t>Criminal Code</w:t>
      </w:r>
      <w:r>
        <w:t xml:space="preserve"> geregelt – anders als in den USA, wo jeder Bundesstaat sein eigenes Strafgesetz hat. Was sich zwischen den Provinzen unterscheidet, ist vor allem die Umsetzung: Verkehrsrecht, Polizeiorganisation und viele Ordnungsvorschriften sind Provinzsache.</w:t>
      </w:r>
    </w:p>
    <w:p w14:paraId="70A4FF00" w14:textId="77777777" w:rsidR="00C1548D" w:rsidRDefault="009B1B4B">
      <w:pPr>
        <w:spacing w:after="140"/>
      </w:pPr>
      <w:r>
        <w:t xml:space="preserve">Die Polizei arbeitet dabei mehrschichtig. Die RCMP ist Bundespolizei und übernimmt zugleich in den meisten Provinzen (außer Ontario und Québec, die eigene Provinzpolizeien betreiben, </w:t>
      </w:r>
      <w:r>
        <w:rPr>
          <w:i/>
          <w:iCs/>
        </w:rPr>
        <w:t>Ontario Provincial Police</w:t>
      </w:r>
      <w:r>
        <w:t xml:space="preserve"> und </w:t>
      </w:r>
      <w:r>
        <w:rPr>
          <w:i/>
          <w:iCs/>
        </w:rPr>
        <w:t>Sûreté du Québec</w:t>
      </w:r>
      <w:r>
        <w:t>) im Auftrag auch die alltägliche Provinz- und oft Kommunalpolizei. Größere Städte wie Toronto, Vancouver oder Calgary haben zusätzlich eigene städtische Polizeibehörden. Für dich als Neuankömmling bedeutet das: Wer genau vor dir steht – RCMP, Provinzpolizei oder Stadtpolizei –, hängt vom Ort ab, die Grundregeln im Umgang bleiben aber gleich.</w:t>
      </w:r>
    </w:p>
    <w:p w14:paraId="70A4FF01" w14:textId="77777777" w:rsidR="00C1548D" w:rsidRDefault="009B1B4B">
      <w:pPr>
        <w:pStyle w:val="Heading3"/>
        <w:keepNext/>
        <w:jc w:val="center"/>
      </w:pPr>
      <w:r>
        <w:rPr>
          <w:rFonts w:ascii="Amazon Ember" w:eastAsia="Amazon Ember" w:hAnsi="Amazon Ember" w:cs="Amazon Ember"/>
          <w:color w:val="0000FF"/>
          <w:sz w:val="36"/>
          <w:szCs w:val="36"/>
        </w:rPr>
        <w:t>Verhalten bei einer Verkehrskontrolle</w:t>
      </w:r>
    </w:p>
    <w:p w14:paraId="70A4FF02" w14:textId="77777777" w:rsidR="00C1548D" w:rsidRDefault="009B1B4B">
      <w:pPr>
        <w:spacing w:after="140"/>
      </w:pPr>
      <w:r>
        <w:t>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w:t>
      </w:r>
      <w:r>
        <w:t xml:space="preserve">t nach Namen und Dienstnummer fragen. Bleib höflich, diskutiere </w:t>
      </w:r>
      <w:r>
        <w:lastRenderedPageBreak/>
        <w:t>nicht am Straßenrand über die Berechtigung der Kontrolle – das klärst du später, notfalls vor Gericht, nicht an der Autotür.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0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F03" w14:textId="77777777" w:rsidR="00C1548D" w:rsidRDefault="009B1B4B">
            <w:pPr>
              <w:keepNext/>
              <w:spacing w:after="70" w:line="240" w:lineRule="auto"/>
            </w:pPr>
            <w:r>
              <w:rPr>
                <w:b/>
                <w:bCs/>
                <w:color w:val="9B2C2C"/>
                <w:spacing w:val="24"/>
                <w:sz w:val="16"/>
                <w:szCs w:val="16"/>
              </w:rPr>
              <w:t>ACHTUNG</w:t>
            </w:r>
          </w:p>
          <w:p w14:paraId="70A4FF04" w14:textId="77777777" w:rsidR="00C1548D" w:rsidRDefault="009B1B4B">
            <w:pPr>
              <w:spacing w:after="80" w:line="264" w:lineRule="auto"/>
            </w:pPr>
            <w:r>
              <w:rPr>
                <w:sz w:val="20"/>
                <w:szCs w:val="20"/>
              </w:rPr>
              <w:t>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tc>
      </w:tr>
    </w:tbl>
    <w:p w14:paraId="70A4FF06" w14:textId="77777777" w:rsidR="00C1548D" w:rsidRDefault="00C1548D">
      <w:pPr>
        <w:spacing w:line="220" w:lineRule="exact"/>
      </w:pPr>
    </w:p>
    <w:p w14:paraId="70A4FF07" w14:textId="77777777" w:rsidR="00C1548D" w:rsidRDefault="009B1B4B">
      <w:pPr>
        <w:pStyle w:val="Heading3"/>
        <w:keepNext/>
        <w:jc w:val="center"/>
      </w:pPr>
      <w:r>
        <w:rPr>
          <w:rFonts w:ascii="Amazon Ember" w:eastAsia="Amazon Ember" w:hAnsi="Amazon Ember" w:cs="Amazon Ember"/>
          <w:color w:val="0000FF"/>
          <w:sz w:val="36"/>
          <w:szCs w:val="36"/>
        </w:rPr>
        <w:t>Deine Rechte gegenüber der Polizei</w:t>
      </w:r>
    </w:p>
    <w:p w14:paraId="70A4FF08" w14:textId="77777777" w:rsidR="00C1548D" w:rsidRDefault="009B1B4B">
      <w:pPr>
        <w:spacing w:after="140"/>
      </w:pPr>
      <w:r>
        <w:t>Die kanadische Grundrechtecharta (</w:t>
      </w:r>
      <w:r>
        <w:rPr>
          <w:i/>
          <w:iCs/>
        </w:rPr>
        <w:t>Canadian Charter of Rights and Freedoms</w:t>
      </w:r>
      <w:r>
        <w:t>) gilt für jeden im Land, unabhängig von der Staatsangehörigkeit. Sie schützt unter anderem vor willkürlicher Festnahme, garantiert das Recht, umgehend über den Grund einer Festnahme oder Ingewahrsamnahme informiert zu werden, und das Recht, ohne Verzögerung einen Anwalt zu kontaktieren und über dieses Recht informiert zu werden. Ein allgemeines Schweigerecht gilt ebenfalls: Über deinen Namen und die gesetzlich verlangten Angaben (bei einer Verkehrskontrolle etwa Führerschein und Fahrzeugpapiere) hinaus mus</w:t>
      </w:r>
      <w:r>
        <w:t>st du nichts sagen. Eine Durchsuchung deines Fahrzeugs oder deiner Wohnung ohne konkreten Verdacht oder richterlichen Beschluss darfst du höflich ablehnen – „I do not consent to a search“ –, ohne dich körperlich zu widersetzen; ob die Ablehnung im Ergebnis Bestand hat, klärt im Zweifel ein Gericht.</w:t>
      </w:r>
    </w:p>
    <w:p w14:paraId="70A4FF09" w14:textId="77777777" w:rsidR="00C1548D" w:rsidRDefault="009B1B4B">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zusätzlich als deutscher Staatsangehöriger das Recht, mit einem Konsularbeamten zu sprechen – verlange das ausdrücklich, es wird nicht überall automatisch angeboten.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0C"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F0A" w14:textId="77777777" w:rsidR="00C1548D" w:rsidRDefault="009B1B4B">
            <w:pPr>
              <w:keepNext/>
              <w:spacing w:after="70" w:line="240" w:lineRule="auto"/>
            </w:pPr>
            <w:r>
              <w:rPr>
                <w:b/>
                <w:bCs/>
                <w:color w:val="8A6212"/>
                <w:spacing w:val="24"/>
                <w:sz w:val="16"/>
                <w:szCs w:val="16"/>
              </w:rPr>
              <w:lastRenderedPageBreak/>
              <w:t>MERKE</w:t>
            </w:r>
          </w:p>
          <w:p w14:paraId="70A4FF0B" w14:textId="77777777" w:rsidR="00C1548D" w:rsidRDefault="009B1B4B">
            <w:pPr>
              <w:spacing w:after="80" w:line="264" w:lineRule="auto"/>
            </w:pPr>
            <w:r>
              <w:rPr>
                <w:sz w:val="20"/>
                <w:szCs w:val="20"/>
              </w:rPr>
              <w:t>Schweigen ist erlaubt, Höflichkeit hilft, Widerstand schadet. Nenne Name und die gesetzlich verlangten Angaben, verlange bei allem Weiteren ruhig einen Anwalt.</w:t>
            </w:r>
          </w:p>
        </w:tc>
      </w:tr>
    </w:tbl>
    <w:p w14:paraId="70A4FF0D" w14:textId="77777777" w:rsidR="00C1548D" w:rsidRDefault="00C1548D">
      <w:pPr>
        <w:spacing w:line="220" w:lineRule="exact"/>
      </w:pPr>
    </w:p>
    <w:p w14:paraId="70A4FF0E" w14:textId="77777777" w:rsidR="00C1548D" w:rsidRDefault="009B1B4B">
      <w:pPr>
        <w:spacing w:after="140"/>
      </w:pPr>
      <w:r>
        <w:rPr>
          <w:b/>
          <w:bCs/>
        </w:rPr>
        <w:t>Bei einer Festnahme</w:t>
      </w:r>
      <w:r>
        <w:t xml:space="preserve"> gilt: Leiste keinen Widerstand, das hält die Lage kontrollierbar. Sage nur Namen, Adresse und den Wunsch nach einem Anwalt; im Strafverfahren steht dir bei Bedürftigkeit in jeder Provinz eine Form von Pflichtverteidigung zu (</w:t>
      </w:r>
      <w:r>
        <w:rPr>
          <w:i/>
          <w:iCs/>
        </w:rPr>
        <w:t>Legal Aid</w:t>
      </w:r>
      <w:r>
        <w:t>, Organisation und Kosten unterscheiden sich je Provinz). Gegen Kaution (</w:t>
      </w:r>
      <w:r>
        <w:rPr>
          <w:i/>
          <w:iCs/>
        </w:rPr>
        <w:t>Bail</w:t>
      </w:r>
      <w:r>
        <w:t>) kommst du in den meisten Fällen frei, die genauen Bedingungen setzt ein Richter oder Friedensrichter fest. Für Nichtstaatsbürger kommt eine zweite Ebene hinzu: Bestimmte Verurteilungen können den Aufenthaltsstatus gefährden, bis hin zur Ausweisung (</w:t>
      </w:r>
      <w:r>
        <w:rPr>
          <w:i/>
          <w:iCs/>
        </w:rPr>
        <w:t>Removal</w:t>
      </w:r>
      <w:r>
        <w:t>) durch die Einwanderungsbehörde. Sag deinem Verteidiger deshalb als Erstes, dass du kein kanadischer Staatsbürger bist, damit er diese Folgen von Anfang an mitdenkt.</w:t>
      </w:r>
    </w:p>
    <w:p w14:paraId="70A4FF0F" w14:textId="77777777" w:rsidR="00C1548D" w:rsidRDefault="009B1B4B">
      <w:pPr>
        <w:pStyle w:val="Heading3"/>
        <w:keepNext/>
        <w:jc w:val="center"/>
      </w:pPr>
      <w:r>
        <w:rPr>
          <w:rFonts w:ascii="Amazon Ember" w:eastAsia="Amazon Ember" w:hAnsi="Amazon Ember" w:cs="Amazon Ember"/>
          <w:color w:val="0000FF"/>
          <w:sz w:val="36"/>
          <w:szCs w:val="36"/>
        </w:rPr>
        <w:t>Waffenrecht: drei Klassen und das laufende Rückkaufprogramm</w:t>
      </w:r>
    </w:p>
    <w:p w14:paraId="70A4FF10" w14:textId="77777777" w:rsidR="00C1548D" w:rsidRDefault="009B1B4B">
      <w:pPr>
        <w:spacing w:after="140"/>
      </w:pPr>
      <w:r>
        <w:t xml:space="preserve">Kanadisches Waffenrecht kennt drei gesetzliche Kategorien: </w:t>
      </w:r>
      <w:r>
        <w:rPr>
          <w:i/>
          <w:iCs/>
        </w:rPr>
        <w:t>Non-Restricted</w:t>
      </w:r>
      <w:r>
        <w:t xml:space="preserve"> (die meisten Jagd- und Sportgewehre sowie Schrotflinten), </w:t>
      </w:r>
      <w:r>
        <w:rPr>
          <w:i/>
          <w:iCs/>
        </w:rPr>
        <w:t>Restricted</w:t>
      </w:r>
      <w:r>
        <w:t xml:space="preserve"> (bestimmte Faustfeuerwaffen und kurzläufige halbautomatische Gewehre) und </w:t>
      </w:r>
      <w:r>
        <w:rPr>
          <w:i/>
          <w:iCs/>
        </w:rPr>
        <w:t>Prohibited</w:t>
      </w:r>
      <w:r>
        <w:t xml:space="preserve"> (Vollautomaten sowie mehr als 2.500 seit 2020 schrittweise verbotene „Assault-Style“-Modelle). Für Non-Restricted-Waffen brauchst du eine </w:t>
      </w:r>
      <w:r>
        <w:rPr>
          <w:i/>
          <w:iCs/>
        </w:rPr>
        <w:t>Possession and Acquisition Licence</w:t>
      </w:r>
      <w:r>
        <w:t xml:space="preserve"> (PAL, Besitz- und Erwerbserlaubnis) – Mindestalter 18 Jahre, ein Sicherheitskurs und eine behördliche Sicherheitsüberprüfung sind Pflicht. Für Restricted-Waffen kommt eine zusätzliche, strengere Lizenz mit eigenem Kurs hinzu.</w:t>
      </w:r>
    </w:p>
    <w:p w14:paraId="70A4FF11" w14:textId="77777777" w:rsidR="00C1548D" w:rsidRDefault="009B1B4B">
      <w:pPr>
        <w:spacing w:after="140"/>
      </w:pPr>
      <w:r>
        <w:t xml:space="preserve">Seit Oktober 2022 gilt ein bundesweiter Einfrierungsstopp: Verkauf, Erwerb und Import von Handfeuerwaffen sind für Privatpersonen praktisch blockiert, mit engen Ausnahmen für bereits zuvor </w:t>
      </w:r>
      <w:r>
        <w:lastRenderedPageBreak/>
        <w:t>Berechtigte und für Sportschützen in olympischen Disziplinen. Für die bereits verbotenen „Assault-Style“-Waffen läuft 2026 ein Rückkaufprogramm für Privatpersonen (</w:t>
      </w:r>
      <w:r>
        <w:rPr>
          <w:i/>
          <w:iCs/>
        </w:rPr>
        <w:t>Assault-Style Firearms Compensation Program</w:t>
      </w:r>
      <w:r>
        <w:t>,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1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F12" w14:textId="77777777" w:rsidR="00C1548D" w:rsidRDefault="009B1B4B">
            <w:pPr>
              <w:keepNext/>
              <w:spacing w:after="70" w:line="240" w:lineRule="auto"/>
            </w:pPr>
            <w:r>
              <w:rPr>
                <w:b/>
                <w:bCs/>
                <w:color w:val="9B2C2C"/>
                <w:spacing w:val="24"/>
                <w:sz w:val="16"/>
                <w:szCs w:val="16"/>
              </w:rPr>
              <w:t>ACHTUNG</w:t>
            </w:r>
          </w:p>
          <w:p w14:paraId="70A4FF13" w14:textId="77777777" w:rsidR="00C1548D" w:rsidRDefault="009B1B4B">
            <w:pPr>
              <w:spacing w:after="80" w:line="264" w:lineRule="auto"/>
            </w:pPr>
            <w:r>
              <w:rPr>
                <w:sz w:val="20"/>
                <w:szCs w:val="20"/>
              </w:rPr>
              <w:t>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tc>
      </w:tr>
    </w:tbl>
    <w:p w14:paraId="70A4FF15" w14:textId="77777777" w:rsidR="00C1548D" w:rsidRDefault="00C1548D">
      <w:pPr>
        <w:spacing w:line="220" w:lineRule="exact"/>
      </w:pPr>
    </w:p>
    <w:p w14:paraId="70A4FF16" w14:textId="77777777" w:rsidR="00C1548D" w:rsidRDefault="009B1B4B">
      <w:pPr>
        <w:spacing w:after="140"/>
      </w:pPr>
      <w:r>
        <w:t>Für dich als deutschen Neuankömmling bedeutet das in der Praxis meist wenig Berührung mit dem Thema: Waffenbesitz ist grundsätzlich möglich, aber mit Lizenz, Kurs und Sicherheitsprüfung verbunden –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w:t>
      </w:r>
      <w:r>
        <w:t xml:space="preserve"> du ohnehin keine Waffen mitbringen (siehe das Kapitel zum Umzug in diesem Buch).</w:t>
      </w:r>
    </w:p>
    <w:p w14:paraId="70A4FF17" w14:textId="77777777" w:rsidR="00C1548D" w:rsidRDefault="009B1B4B">
      <w:pPr>
        <w:spacing w:after="140"/>
      </w:pPr>
      <w:r>
        <w:t>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Handschuhfach. Kontrollen durch die Polizei sind jederzeit möglich, auch ohne konkreten Anlass.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1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F18" w14:textId="77777777" w:rsidR="00C1548D" w:rsidRDefault="009B1B4B">
            <w:pPr>
              <w:keepNext/>
              <w:spacing w:after="70" w:line="240" w:lineRule="auto"/>
            </w:pPr>
            <w:r>
              <w:rPr>
                <w:b/>
                <w:bCs/>
                <w:color w:val="8A6212"/>
                <w:spacing w:val="24"/>
                <w:sz w:val="16"/>
                <w:szCs w:val="16"/>
              </w:rPr>
              <w:lastRenderedPageBreak/>
              <w:t>MERKE</w:t>
            </w:r>
          </w:p>
          <w:p w14:paraId="70A4FF19" w14:textId="77777777" w:rsidR="00C1548D" w:rsidRDefault="009B1B4B">
            <w:pPr>
              <w:spacing w:after="80" w:line="264" w:lineRule="auto"/>
            </w:pPr>
            <w:r>
              <w:rPr>
                <w:sz w:val="20"/>
                <w:szCs w:val="20"/>
              </w:rPr>
              <w:t>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tc>
      </w:tr>
    </w:tbl>
    <w:p w14:paraId="70A4FF1B" w14:textId="77777777" w:rsidR="00C1548D" w:rsidRDefault="00C1548D">
      <w:pPr>
        <w:spacing w:line="220" w:lineRule="exact"/>
      </w:pPr>
    </w:p>
    <w:p w14:paraId="70A4FF1C" w14:textId="77777777" w:rsidR="00C1548D" w:rsidRDefault="009B1B4B">
      <w:pPr>
        <w:pStyle w:val="Heading3"/>
        <w:keepNext/>
        <w:jc w:val="center"/>
      </w:pPr>
      <w:r>
        <w:rPr>
          <w:rFonts w:ascii="Amazon Ember" w:eastAsia="Amazon Ember" w:hAnsi="Amazon Ember" w:cs="Amazon Ember"/>
          <w:color w:val="0000FF"/>
          <w:sz w:val="36"/>
          <w:szCs w:val="36"/>
        </w:rPr>
        <w:t>Cannabis-Recht: legal in Kanada, illegal in den USA</w:t>
      </w:r>
    </w:p>
    <w:p w14:paraId="70A4FF1D" w14:textId="77777777" w:rsidR="00C1548D" w:rsidRDefault="009B1B4B">
      <w:pPr>
        <w:spacing w:after="140"/>
      </w:pPr>
      <w:r>
        <w:t xml:space="preserve">Ein Punkt, den viele deutsche Auswanderer unterschätzen: Cannabis ist in Kanada seit dem </w:t>
      </w:r>
      <w:r>
        <w:rPr>
          <w:i/>
          <w:iCs/>
        </w:rPr>
        <w:t>Cannabis Act</w:t>
      </w:r>
      <w:r>
        <w:t xml:space="preserve">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w:t>
      </w:r>
      <w:r>
        <w:t>ils als staatliches Monopol, teils privat organisiert.</w:t>
      </w:r>
    </w:p>
    <w:p w14:paraId="70A4FF1E" w14:textId="77777777" w:rsidR="00C1548D" w:rsidRDefault="009B1B4B">
      <w:pPr>
        <w:spacing w:after="140"/>
      </w:pPr>
      <w:r>
        <w:t>Deutschland hat mit dem Cannabisgesetz vom 1. April 2024 einen eigenen, vorsichtigeren Schritt gemacht: Besitz begrenzter Mengen und Eigenanbau von bis zu drei Pflanzen sind seither erlaubt, ein regulierter Verkauf wie in Kanada existiert bislang nicht. Wer mit deutschem Maßstab nach Kanada kommt, findet dort also ein deutlich offeneres, seit acht Jahren etabliertes System vor.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2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F1F" w14:textId="77777777" w:rsidR="00C1548D" w:rsidRDefault="009B1B4B">
            <w:pPr>
              <w:keepNext/>
              <w:spacing w:after="70" w:line="240" w:lineRule="auto"/>
            </w:pPr>
            <w:r>
              <w:rPr>
                <w:b/>
                <w:bCs/>
                <w:color w:val="9B2C2C"/>
                <w:spacing w:val="24"/>
                <w:sz w:val="16"/>
                <w:szCs w:val="16"/>
              </w:rPr>
              <w:lastRenderedPageBreak/>
              <w:t>ACHTUNG</w:t>
            </w:r>
          </w:p>
          <w:p w14:paraId="70A4FF20" w14:textId="77777777" w:rsidR="00C1548D" w:rsidRDefault="009B1B4B">
            <w:pPr>
              <w:spacing w:after="80" w:line="264" w:lineRule="auto"/>
            </w:pPr>
            <w:r>
              <w:rPr>
                <w:sz w:val="20"/>
                <w:szCs w:val="20"/>
              </w:rPr>
              <w:t>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 ist ein Bundesdelikt und kann selbst bei kleinsten Mengen zu jahrelangen Einreiseverboten führen. Lass beim Grenzübertritt jede Spur von Cannabis, auch CBD-Produkte, zu Hause.</w:t>
            </w:r>
          </w:p>
        </w:tc>
      </w:tr>
    </w:tbl>
    <w:p w14:paraId="70A4FF22" w14:textId="77777777" w:rsidR="00C1548D" w:rsidRDefault="00C1548D">
      <w:pPr>
        <w:spacing w:line="220" w:lineRule="exact"/>
      </w:pPr>
    </w:p>
    <w:p w14:paraId="70A4FF23" w14:textId="77777777" w:rsidR="00C1548D" w:rsidRDefault="009B1B4B">
      <w:pPr>
        <w:spacing w:after="140"/>
      </w:pPr>
      <w:r>
        <w:t xml:space="preserve">Legal ist zudem nicht gleichbedeutend mit folgenlos. Seit der Reform des Strafgesetzbuchs von 2018 gilt Fahren mit Cannabis im Blut als eigenständige Straftat, unabhängig von einer tatsächlichen Fahruntüchtigkeit: Bereits ab einem THC-Grenzwert von 2 Nanogramm pro Milliliter Blut drohen Bußgeld und Punkte, ab 5 Nanogramm sowie bei einer Kombination mit Alkohol wird es zum ernsteren Straftatbestand mit Führerscheinentzug und möglicher Haftstrafe. Ein ärztliches Rezept für medizinisches Cannabis ändert daran </w:t>
      </w:r>
      <w:r>
        <w:t>nichts – der Test misst die Substanz im Blut, nicht die Verschreibung. Arbeitgeber in sicherheitskritischen Branchen, etwa in der Ölförderung, in der Lukas Berger arbeitet, testen außerdem regelmäßig auf Drogen- und Alkoholkonsum; das ist arbeitsrechtlich zulässig und in der Ressourcenindustrie eher Regel als Ausnahme.</w:t>
      </w:r>
    </w:p>
    <w:p w14:paraId="70A4FF24" w14:textId="77777777" w:rsidR="00C1548D" w:rsidRDefault="009B1B4B">
      <w:pPr>
        <w:pStyle w:val="Heading3"/>
        <w:keepNext/>
        <w:jc w:val="center"/>
      </w:pPr>
      <w:r>
        <w:rPr>
          <w:rFonts w:ascii="Amazon Ember" w:eastAsia="Amazon Ember" w:hAnsi="Amazon Ember" w:cs="Amazon Ember"/>
          <w:color w:val="0000FF"/>
          <w:sz w:val="36"/>
          <w:szCs w:val="36"/>
        </w:rPr>
        <w:t>Kriminalität im Alltag und die Wahl des Wohnorts</w:t>
      </w:r>
    </w:p>
    <w:p w14:paraId="70A4FF25" w14:textId="313E17E4" w:rsidR="00C1548D" w:rsidRDefault="009B1B4B">
      <w:pPr>
        <w:spacing w:after="140"/>
      </w:pPr>
      <w:r>
        <w:t>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w:t>
      </w:r>
      <w:r>
        <w:t xml:space="preserve">ere Auskunft als jede Online-Bewertung (mehr dazu im </w:t>
      </w:r>
      <w:hyperlink w:anchor="tka09" w:history="1">
        <w:r>
          <w:rPr>
            <w:color w:val="0563C1"/>
            <w:u w:val="single"/>
          </w:rPr>
          <w:t xml:space="preserve">Kapitel zum </w:t>
        </w:r>
        <w:r>
          <w:rPr>
            <w:color w:val="0563C1"/>
            <w:u w:val="single"/>
          </w:rPr>
          <w:lastRenderedPageBreak/>
          <w:t>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w14:paraId="70A4FF26" w14:textId="77777777" w:rsidR="00C1548D" w:rsidRDefault="009B1B4B">
      <w:pPr>
        <w:spacing w:after="140"/>
      </w:pPr>
      <w:r>
        <w:t xml:space="preserve">Auch Betrug gegenüber Neuankömmlingen kommt vor, meist in vertrauten Mustern: angebliche Steuerbehörden-Anrufe (die </w:t>
      </w:r>
      <w:r>
        <w:rPr>
          <w:i/>
          <w:iCs/>
        </w:rPr>
        <w:t>Canada Revenue Agency</w:t>
      </w:r>
      <w:r>
        <w:t xml:space="preserve">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w14:paraId="70A4FF27" w14:textId="77777777" w:rsidR="00C1548D" w:rsidRDefault="009B1B4B">
      <w:pPr>
        <w:pStyle w:val="Heading3"/>
        <w:keepNext/>
        <w:jc w:val="center"/>
      </w:pPr>
      <w:r>
        <w:rPr>
          <w:rFonts w:ascii="Amazon Ember" w:eastAsia="Amazon Ember" w:hAnsi="Amazon Ember" w:cs="Amazon Ember"/>
          <w:color w:val="0000FF"/>
          <w:sz w:val="36"/>
          <w:szCs w:val="36"/>
        </w:rPr>
        <w:t>Naturgefahren: Waldbrände im Westen, Winterstürme im Osten</w:t>
      </w:r>
    </w:p>
    <w:p w14:paraId="70A4FF28" w14:textId="77777777" w:rsidR="00C1548D" w:rsidRDefault="009B1B4B">
      <w:pPr>
        <w:spacing w:after="140"/>
      </w:pPr>
      <w:r>
        <w:t>Welche Naturgefahr für dich am wichtigsten ist, hängt stark vom Wohnort ab. British Columbia und Alberta – also auch Calgary, wo Lukas Berger lebt – liegen mitten in der Waldbrandzone: Die Saison reicht meist von Mai bis September, mit Rauch, der ganze Städte tagelang einhüllen kann, und gelegentlichen Evakuierungsanordnungen. Im bisherigen Rekordjahr 2023 brannte nach Angaben kanadischer Waldbrandbehörden eine Fläche von rund 18 Millionen Hektar – mehr als doppelt so viel wie im bisherigen Höchststand –, m</w:t>
      </w:r>
      <w:r>
        <w:t xml:space="preserve">it Evakuierungen unter anderem in der Stadt Yellowknife in den Nordwest-Territorien. Das ist kein jährliches Regelereignis, zeigt aber die Größenordnung, die ein Extremjahr erreichen kann. Warnungen zu Waldbränden und Luftqualität kommen über die jeweilige Provinzbehörde (in Alberta etwa Alberta Wildfire) und über das nationale Warnsystem </w:t>
      </w:r>
      <w:r>
        <w:rPr>
          <w:i/>
          <w:iCs/>
        </w:rPr>
        <w:t xml:space="preserve">Alert </w:t>
      </w:r>
      <w:r>
        <w:rPr>
          <w:i/>
          <w:iCs/>
        </w:rPr>
        <w:lastRenderedPageBreak/>
        <w:t>Ready</w:t>
      </w:r>
      <w:r>
        <w:t>, das Warnmeldungen automatisch auf Handys, Radio und Fernsehen ausspielt, ähnlich dem Cell Broadcast in Deutschland.</w:t>
      </w:r>
    </w:p>
    <w:p w14:paraId="70A4FF29" w14:textId="77777777" w:rsidR="00C1548D" w:rsidRDefault="009B1B4B">
      <w:pPr>
        <w:spacing w:after="140"/>
      </w:pPr>
      <w:r>
        <w:t>Im Osten – etwa in Toronto, wo Familie Ahrens lebt – prägt dagegen der Winter das Naturgefahrenbild: Schneestürme (</w:t>
      </w:r>
      <w:r>
        <w:rPr>
          <w:i/>
          <w:iCs/>
        </w:rPr>
        <w:t>Blizzards</w:t>
      </w:r>
      <w:r>
        <w:t xml:space="preserve">), gelegentliche Eisstürme mit tagelangen Stromausfällen und Kälteperioden mit zweistelligen Minusgraden. Der Wetterdienst </w:t>
      </w:r>
      <w:r>
        <w:rPr>
          <w:i/>
          <w:iCs/>
        </w:rPr>
        <w:t>Environment and Climate Change Canada</w:t>
      </w:r>
      <w:r>
        <w:t xml:space="preserve"> warnt bei extremer Kälte mit einer </w:t>
      </w:r>
      <w:r>
        <w:rPr>
          <w:i/>
          <w:iCs/>
        </w:rPr>
        <w:t>Extreme Cold Warning</w:t>
      </w:r>
      <w:r>
        <w:t>, die den gefühlten Windchill-Wert einbezieht; schon kurze Zeit im Freien kann dann zu Erfrierungen führen. Ein Winter-Notfallset im Auto – Decke, kleine Schaufel, Streusalz oder Katzenstreu für griffigere Reifen, Starthilfekabel, warme Kleidung – ist in weiten Teilen Kanadas so selbstverständlich wie der Eiskratzer in Deutschland, nur mit höherem Einsatz.</w:t>
      </w:r>
    </w:p>
    <w:p w14:paraId="70A4FF2A" w14:textId="77777777" w:rsidR="00C1548D" w:rsidRDefault="009B1B4B">
      <w:pPr>
        <w:spacing w:after="140"/>
      </w:pPr>
      <w:r>
        <w:t>Weitere Regionen bringen eigene Risiken mit, die sich grob nach Landesteil einordnen lassen: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63"/>
        <w:gridCol w:w="3417"/>
      </w:tblGrid>
      <w:tr w:rsidR="00C1548D" w14:paraId="70A4FF2D" w14:textId="77777777">
        <w:tblPrEx>
          <w:tblCellMar>
            <w:top w:w="0" w:type="dxa"/>
            <w:bottom w:w="0" w:type="dxa"/>
          </w:tblCellMar>
        </w:tblPrEx>
        <w:trPr>
          <w:cantSplit/>
          <w:tblHeader/>
        </w:trPr>
        <w:tc>
          <w:tcPr>
            <w:tcW w:w="306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F2B" w14:textId="77777777" w:rsidR="00C1548D" w:rsidRDefault="009B1B4B">
            <w:pPr>
              <w:spacing w:line="250" w:lineRule="auto"/>
            </w:pPr>
            <w:r>
              <w:rPr>
                <w:b/>
                <w:bCs/>
                <w:sz w:val="18"/>
                <w:szCs w:val="18"/>
              </w:rPr>
              <w:t>Region</w:t>
            </w:r>
          </w:p>
        </w:tc>
        <w:tc>
          <w:tcPr>
            <w:tcW w:w="341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F2C" w14:textId="77777777" w:rsidR="00C1548D" w:rsidRDefault="009B1B4B">
            <w:pPr>
              <w:spacing w:line="250" w:lineRule="auto"/>
            </w:pPr>
            <w:r>
              <w:rPr>
                <w:b/>
                <w:bCs/>
                <w:sz w:val="18"/>
                <w:szCs w:val="18"/>
              </w:rPr>
              <w:t>Typische Gefahr</w:t>
            </w:r>
          </w:p>
        </w:tc>
      </w:tr>
      <w:tr w:rsidR="00C1548D" w14:paraId="70A4FF30" w14:textId="77777777">
        <w:tblPrEx>
          <w:tblCellMar>
            <w:top w:w="0" w:type="dxa"/>
            <w:bottom w:w="0" w:type="dxa"/>
          </w:tblCellMar>
        </w:tblPrEx>
        <w:trPr>
          <w:cantSplit/>
        </w:trPr>
        <w:tc>
          <w:tcPr>
            <w:tcW w:w="30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2E" w14:textId="77777777" w:rsidR="00C1548D" w:rsidRDefault="009B1B4B">
            <w:pPr>
              <w:spacing w:line="250" w:lineRule="auto"/>
            </w:pPr>
            <w:r>
              <w:rPr>
                <w:sz w:val="18"/>
                <w:szCs w:val="18"/>
              </w:rPr>
              <w:t>British Columbia, Alberta (Calgary)</w:t>
            </w:r>
          </w:p>
        </w:tc>
        <w:tc>
          <w:tcPr>
            <w:tcW w:w="34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2F" w14:textId="77777777" w:rsidR="00C1548D" w:rsidRDefault="009B1B4B">
            <w:pPr>
              <w:spacing w:line="250" w:lineRule="auto"/>
            </w:pPr>
            <w:r>
              <w:rPr>
                <w:sz w:val="18"/>
                <w:szCs w:val="18"/>
              </w:rPr>
              <w:t>Waldbrände Mai bis September, Rauchbelastung, gelegentliche Erdbebengefahr an der Pazifikküste</w:t>
            </w:r>
          </w:p>
        </w:tc>
      </w:tr>
      <w:tr w:rsidR="00C1548D" w14:paraId="70A4FF33" w14:textId="77777777">
        <w:tblPrEx>
          <w:tblCellMar>
            <w:top w:w="0" w:type="dxa"/>
            <w:bottom w:w="0" w:type="dxa"/>
          </w:tblCellMar>
        </w:tblPrEx>
        <w:trPr>
          <w:cantSplit/>
        </w:trPr>
        <w:tc>
          <w:tcPr>
            <w:tcW w:w="30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31" w14:textId="77777777" w:rsidR="00C1548D" w:rsidRDefault="009B1B4B">
            <w:pPr>
              <w:spacing w:line="250" w:lineRule="auto"/>
            </w:pPr>
            <w:r>
              <w:rPr>
                <w:sz w:val="18"/>
                <w:szCs w:val="18"/>
              </w:rPr>
              <w:t>Prairies (Saskatchewan, Teile Albertas und Manitobas)</w:t>
            </w:r>
          </w:p>
        </w:tc>
        <w:tc>
          <w:tcPr>
            <w:tcW w:w="34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32" w14:textId="77777777" w:rsidR="00C1548D" w:rsidRDefault="009B1B4B">
            <w:pPr>
              <w:spacing w:line="250" w:lineRule="auto"/>
            </w:pPr>
            <w:r>
              <w:rPr>
                <w:sz w:val="18"/>
                <w:szCs w:val="18"/>
              </w:rPr>
              <w:t>Tornados im Frühsommer, schwere Gewitter mit Hagel</w:t>
            </w:r>
          </w:p>
        </w:tc>
      </w:tr>
      <w:tr w:rsidR="00C1548D" w14:paraId="70A4FF36" w14:textId="77777777">
        <w:tblPrEx>
          <w:tblCellMar>
            <w:top w:w="0" w:type="dxa"/>
            <w:bottom w:w="0" w:type="dxa"/>
          </w:tblCellMar>
        </w:tblPrEx>
        <w:trPr>
          <w:cantSplit/>
        </w:trPr>
        <w:tc>
          <w:tcPr>
            <w:tcW w:w="30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34" w14:textId="77777777" w:rsidR="00C1548D" w:rsidRDefault="009B1B4B">
            <w:pPr>
              <w:spacing w:line="250" w:lineRule="auto"/>
            </w:pPr>
            <w:r>
              <w:rPr>
                <w:sz w:val="18"/>
                <w:szCs w:val="18"/>
              </w:rPr>
              <w:t>Ontario, Québec (Toronto, Montreal)</w:t>
            </w:r>
          </w:p>
        </w:tc>
        <w:tc>
          <w:tcPr>
            <w:tcW w:w="34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35" w14:textId="77777777" w:rsidR="00C1548D" w:rsidRDefault="009B1B4B">
            <w:pPr>
              <w:spacing w:line="250" w:lineRule="auto"/>
            </w:pPr>
            <w:r>
              <w:rPr>
                <w:sz w:val="18"/>
                <w:szCs w:val="18"/>
              </w:rPr>
              <w:t>Schneestürme, Eisstürme, Extremkälte im Winter</w:t>
            </w:r>
          </w:p>
        </w:tc>
      </w:tr>
      <w:tr w:rsidR="00C1548D" w14:paraId="70A4FF39" w14:textId="77777777">
        <w:tblPrEx>
          <w:tblCellMar>
            <w:top w:w="0" w:type="dxa"/>
            <w:bottom w:w="0" w:type="dxa"/>
          </w:tblCellMar>
        </w:tblPrEx>
        <w:trPr>
          <w:cantSplit/>
        </w:trPr>
        <w:tc>
          <w:tcPr>
            <w:tcW w:w="30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37" w14:textId="77777777" w:rsidR="00C1548D" w:rsidRDefault="009B1B4B">
            <w:pPr>
              <w:spacing w:line="250" w:lineRule="auto"/>
            </w:pPr>
            <w:r>
              <w:rPr>
                <w:sz w:val="18"/>
                <w:szCs w:val="18"/>
              </w:rPr>
              <w:t>Atlantikprovinzen (Nova Scotia, New Brunswick u. a.)</w:t>
            </w:r>
          </w:p>
        </w:tc>
        <w:tc>
          <w:tcPr>
            <w:tcW w:w="34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38" w14:textId="77777777" w:rsidR="00C1548D" w:rsidRDefault="009B1B4B">
            <w:pPr>
              <w:spacing w:line="250" w:lineRule="auto"/>
            </w:pPr>
            <w:r>
              <w:rPr>
                <w:sz w:val="18"/>
                <w:szCs w:val="18"/>
              </w:rPr>
              <w:t>Ausläufer tropischer Wirbelstürme im Spätsommer und Herbst, Sturmfluten</w:t>
            </w:r>
          </w:p>
        </w:tc>
      </w:tr>
    </w:tbl>
    <w:p w14:paraId="70A4FF3A" w14:textId="77777777" w:rsidR="00C1548D" w:rsidRDefault="00C1548D">
      <w:pPr>
        <w:spacing w:line="180" w:lineRule="exact"/>
      </w:pPr>
    </w:p>
    <w:p w14:paraId="70A4FF3B" w14:textId="77777777" w:rsidR="00C1548D" w:rsidRDefault="009B1B4B">
      <w:pPr>
        <w:spacing w:after="140"/>
      </w:pPr>
      <w:r>
        <w:t>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sich an der jeweiligen Saison orientieren, nicht an der aus Deutschland gewohnten Vorstellung von einem gleichmäßig gemäßigten Klima.</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3E"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F3C" w14:textId="77777777" w:rsidR="00C1548D" w:rsidRDefault="009B1B4B">
            <w:pPr>
              <w:keepNext/>
              <w:spacing w:after="70" w:line="240" w:lineRule="auto"/>
            </w:pPr>
            <w:r>
              <w:rPr>
                <w:b/>
                <w:bCs/>
                <w:color w:val="4A5568"/>
                <w:spacing w:val="24"/>
                <w:sz w:val="16"/>
                <w:szCs w:val="16"/>
              </w:rPr>
              <w:lastRenderedPageBreak/>
              <w:t>PRAXISBEISPIEL · FIKTIV</w:t>
            </w:r>
          </w:p>
          <w:p w14:paraId="70A4FF3D" w14:textId="77777777" w:rsidR="00C1548D" w:rsidRDefault="009B1B4B">
            <w:pPr>
              <w:spacing w:after="80" w:line="264" w:lineRule="auto"/>
            </w:pPr>
            <w:r>
              <w:rPr>
                <w:sz w:val="20"/>
                <w:szCs w:val="20"/>
              </w:rPr>
              <w:t xml:space="preserve">Familie Ahrens (fiktives Beispiel) erlebt im ersten Winter in Toronto einen mehrtägigen Kälteeinbruch mit Windchill-Werten deutlich unter minus 20 Grad. Julia Ahrens hatte die Warnung der Stadt auf dem Handy zunächst weggewischt, „das wird schon nicht so schlimm“, bis eine Nachbarin erklärt, dass die Schule bei solchen Werten die Pausen nach draußen streicht und Finn und Mia in dicken Mänteln trotzdem nur kurz vor die Tür sollen. Von da an liegen Handschuhe, Mützen und eine Packung Streusalz griffbereit am </w:t>
            </w:r>
            <w:r>
              <w:rPr>
                <w:sz w:val="20"/>
                <w:szCs w:val="20"/>
              </w:rPr>
              <w:t>Wohnungseingang, und die Familie prüft die Wetterwarnung morgens so selbstverständlich wie früher den Wetterbericht im Radio.</w:t>
            </w:r>
          </w:p>
        </w:tc>
      </w:tr>
    </w:tbl>
    <w:p w14:paraId="70A4FF3F"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42"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F40" w14:textId="77777777" w:rsidR="00C1548D" w:rsidRDefault="009B1B4B">
            <w:pPr>
              <w:keepNext/>
              <w:spacing w:after="70" w:line="240" w:lineRule="auto"/>
            </w:pPr>
            <w:r>
              <w:rPr>
                <w:b/>
                <w:bCs/>
                <w:color w:val="2F6B3B"/>
                <w:spacing w:val="24"/>
                <w:sz w:val="16"/>
                <w:szCs w:val="16"/>
              </w:rPr>
              <w:t>SPARTIPP</w:t>
            </w:r>
          </w:p>
          <w:p w14:paraId="70A4FF41" w14:textId="77777777" w:rsidR="00C1548D" w:rsidRDefault="009B1B4B">
            <w:pPr>
              <w:spacing w:after="80" w:line="264" w:lineRule="auto"/>
            </w:pPr>
            <w:r>
              <w:rPr>
                <w:sz w:val="20"/>
                <w:szCs w:val="20"/>
              </w:rPr>
              <w:t>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tc>
      </w:tr>
    </w:tbl>
    <w:p w14:paraId="70A4FF43" w14:textId="77777777" w:rsidR="00C1548D" w:rsidRDefault="00C1548D">
      <w:pPr>
        <w:spacing w:line="220" w:lineRule="exact"/>
      </w:pPr>
    </w:p>
    <w:p w14:paraId="70A4FF44" w14:textId="77777777" w:rsidR="00C1548D" w:rsidRDefault="009B1B4B">
      <w:pPr>
        <w:pStyle w:val="Heading3"/>
        <w:keepNext/>
        <w:jc w:val="center"/>
      </w:pPr>
      <w:r>
        <w:rPr>
          <w:rFonts w:ascii="Amazon Ember" w:eastAsia="Amazon Ember" w:hAnsi="Amazon Ember" w:cs="Amazon Ember"/>
          <w:color w:val="0000FF"/>
          <w:sz w:val="36"/>
          <w:szCs w:val="36"/>
        </w:rPr>
        <w:t>Konsularische Hilfe</w:t>
      </w:r>
    </w:p>
    <w:p w14:paraId="70A4FF45" w14:textId="77777777" w:rsidR="00C1548D" w:rsidRDefault="009B1B4B">
      <w:pPr>
        <w:spacing w:after="140"/>
      </w:pPr>
      <w:r>
        <w:t xml:space="preserve">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zusätzlich in die Krisenvorsorgeliste </w:t>
      </w:r>
      <w:r>
        <w:rPr>
          <w:i/>
          <w:iCs/>
        </w:rPr>
        <w:t>Elefand</w:t>
      </w:r>
      <w:r>
        <w:t xml:space="preserve"> des Auswärtigen Amts ein, damit dich die Botschaft im Krisenfall erreichen kann.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48"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F46" w14:textId="77777777" w:rsidR="00C1548D" w:rsidRDefault="009B1B4B">
            <w:pPr>
              <w:keepNext/>
              <w:spacing w:after="70" w:line="240" w:lineRule="auto"/>
            </w:pPr>
            <w:r>
              <w:rPr>
                <w:b/>
                <w:bCs/>
                <w:color w:val="6B7280"/>
                <w:spacing w:val="24"/>
                <w:sz w:val="16"/>
                <w:szCs w:val="16"/>
              </w:rPr>
              <w:lastRenderedPageBreak/>
              <w:t>KEIN RECHTSRAT</w:t>
            </w:r>
          </w:p>
          <w:p w14:paraId="70A4FF47" w14:textId="77777777" w:rsidR="00C1548D" w:rsidRDefault="009B1B4B">
            <w:pPr>
              <w:spacing w:after="80" w:line="264" w:lineRule="auto"/>
            </w:pPr>
            <w:r>
              <w:rPr>
                <w:sz w:val="20"/>
                <w:szCs w:val="20"/>
              </w:rPr>
              <w:t>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tc>
      </w:tr>
    </w:tbl>
    <w:p w14:paraId="70A4FF49" w14:textId="77777777" w:rsidR="00C1548D" w:rsidRDefault="00C1548D">
      <w:pPr>
        <w:spacing w:line="220" w:lineRule="exact"/>
      </w:pPr>
    </w:p>
    <w:p w14:paraId="70A4FF4A"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F4D"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F4B"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F4C" w14:textId="77777777" w:rsidR="00C1548D" w:rsidRDefault="009B1B4B">
            <w:pPr>
              <w:spacing w:line="250" w:lineRule="auto"/>
            </w:pPr>
            <w:r>
              <w:rPr>
                <w:b/>
                <w:bCs/>
                <w:sz w:val="18"/>
                <w:szCs w:val="18"/>
              </w:rPr>
              <w:t>Minus</w:t>
            </w:r>
          </w:p>
        </w:tc>
      </w:tr>
      <w:tr w:rsidR="00C1548D" w14:paraId="70A4FF5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4E" w14:textId="77777777" w:rsidR="00C1548D" w:rsidRDefault="009B1B4B">
            <w:pPr>
              <w:spacing w:line="250" w:lineRule="auto"/>
            </w:pPr>
            <w:r>
              <w:rPr>
                <w:sz w:val="18"/>
                <w:szCs w:val="18"/>
              </w:rPr>
              <w:t>Einheitliches Strafrecht im ganzen Land, anders als in den 50 US-Bundesstaaten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4F" w14:textId="77777777" w:rsidR="00C1548D" w:rsidRDefault="009B1B4B">
            <w:pPr>
              <w:spacing w:line="250" w:lineRule="auto"/>
            </w:pPr>
            <w:r>
              <w:rPr>
                <w:sz w:val="18"/>
                <w:szCs w:val="18"/>
              </w:rPr>
              <w:t>Polizeiorganisation bleibt ein Flickenteppich aus RCMP, Provinz- und Stadtpolizei</w:t>
            </w:r>
          </w:p>
        </w:tc>
      </w:tr>
      <w:tr w:rsidR="00C1548D" w14:paraId="70A4FF5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51" w14:textId="77777777" w:rsidR="00C1548D" w:rsidRDefault="009B1B4B">
            <w:pPr>
              <w:spacing w:line="250" w:lineRule="auto"/>
            </w:pPr>
            <w:r>
              <w:rPr>
                <w:sz w:val="18"/>
                <w:szCs w:val="18"/>
              </w:rPr>
              <w:t>Grundrechte bei Polizeikontakt (Schweigen, Anwalt) gelten für alle im Land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52" w14:textId="77777777" w:rsidR="00C1548D" w:rsidRDefault="009B1B4B">
            <w:pPr>
              <w:spacing w:line="250" w:lineRule="auto"/>
            </w:pPr>
            <w:r>
              <w:rPr>
                <w:sz w:val="18"/>
                <w:szCs w:val="18"/>
              </w:rPr>
              <w:t>Formellerer, distanzierterer Kontrollton als mancher informelle deutsche Alltag</w:t>
            </w:r>
          </w:p>
        </w:tc>
      </w:tr>
      <w:tr w:rsidR="00C1548D" w14:paraId="70A4FF5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54" w14:textId="77777777" w:rsidR="00C1548D" w:rsidRDefault="009B1B4B">
            <w:pPr>
              <w:spacing w:line="250" w:lineRule="auto"/>
            </w:pPr>
            <w:r>
              <w:rPr>
                <w:sz w:val="18"/>
                <w:szCs w:val="18"/>
              </w:rPr>
              <w:t>Striktes Waffenrecht bedeutet vergleichsweise wenig Waffengewalt im Alltag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55" w14:textId="77777777" w:rsidR="00C1548D" w:rsidRDefault="009B1B4B">
            <w:pPr>
              <w:spacing w:line="250" w:lineRule="auto"/>
            </w:pPr>
            <w:r>
              <w:rPr>
                <w:sz w:val="18"/>
                <w:szCs w:val="18"/>
              </w:rPr>
              <w:t>Rückkaufprogramm und Fristen sind 2026 noch in Bewegung</w:t>
            </w:r>
          </w:p>
        </w:tc>
      </w:tr>
      <w:tr w:rsidR="00C1548D" w14:paraId="70A4FF5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57" w14:textId="77777777" w:rsidR="00C1548D" w:rsidRDefault="009B1B4B">
            <w:pPr>
              <w:spacing w:line="250" w:lineRule="auto"/>
            </w:pPr>
            <w:r>
              <w:rPr>
                <w:sz w:val="18"/>
                <w:szCs w:val="18"/>
              </w:rPr>
              <w:t>Cannabis ist bundesweit legal und reguliert, anders als in den USA</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58" w14:textId="77777777" w:rsidR="00C1548D" w:rsidRDefault="009B1B4B">
            <w:pPr>
              <w:spacing w:line="250" w:lineRule="auto"/>
            </w:pPr>
            <w:r>
              <w:rPr>
                <w:sz w:val="18"/>
                <w:szCs w:val="18"/>
              </w:rPr>
              <w:t>Grenzübertritt in die USA mit Cannabis bleibt ein Bundesdelikt</w:t>
            </w:r>
          </w:p>
        </w:tc>
      </w:tr>
      <w:tr w:rsidR="00C1548D" w14:paraId="70A4FF5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5A" w14:textId="77777777" w:rsidR="00C1548D" w:rsidRDefault="009B1B4B">
            <w:pPr>
              <w:spacing w:line="250" w:lineRule="auto"/>
            </w:pPr>
            <w:r>
              <w:rPr>
                <w:sz w:val="18"/>
                <w:szCs w:val="18"/>
              </w:rPr>
              <w:t>Klare Warnsysteme (Alert Ready) für Waldbrand, Sturm und Kälte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5B" w14:textId="77777777" w:rsidR="00C1548D" w:rsidRDefault="009B1B4B">
            <w:pPr>
              <w:spacing w:line="250" w:lineRule="auto"/>
            </w:pPr>
            <w:r>
              <w:rPr>
                <w:sz w:val="18"/>
                <w:szCs w:val="18"/>
              </w:rPr>
              <w:t>Waldbrand- und Winterrisiko sind für viele Regionen real, nicht nur theoretisch</w:t>
            </w:r>
          </w:p>
        </w:tc>
      </w:tr>
    </w:tbl>
    <w:p w14:paraId="70A4FF5D" w14:textId="77777777" w:rsidR="00C1548D" w:rsidRDefault="00C1548D">
      <w:pPr>
        <w:spacing w:line="180" w:lineRule="exact"/>
      </w:pPr>
    </w:p>
    <w:p w14:paraId="70A4FF5E"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F5F" w14:textId="77777777" w:rsidR="00C1548D" w:rsidRDefault="009B1B4B">
      <w:pPr>
        <w:spacing w:after="140"/>
      </w:pPr>
      <w:r>
        <w:t>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beginnt. Cannabis meidest du am besten komplett, sobald eine Reise in die USA ansteht.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6A"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F60" w14:textId="77777777" w:rsidR="00C1548D" w:rsidRDefault="009B1B4B">
            <w:pPr>
              <w:keepNext/>
              <w:spacing w:after="70" w:line="240" w:lineRule="auto"/>
            </w:pPr>
            <w:r>
              <w:rPr>
                <w:b/>
                <w:bCs/>
                <w:color w:val="1F6F78"/>
                <w:spacing w:val="24"/>
                <w:sz w:val="16"/>
                <w:szCs w:val="16"/>
              </w:rPr>
              <w:lastRenderedPageBreak/>
              <w:t>CHECKLISTE</w:t>
            </w:r>
          </w:p>
          <w:p w14:paraId="70A4FF6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Verhalten bei einer Verkehrskontrolle mit der Familie einmal durchgesprochen: Hände sichtbar, Bewegungen ankündigen, ruhig bleiben.</w:t>
            </w:r>
          </w:p>
          <w:p w14:paraId="70A4FF6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Grundrechte gekannt: Name und Pflichtangaben nennen, sonst schweigen dürfen, Durchsuchung ohne Verdacht ablehnen dürfen.</w:t>
            </w:r>
          </w:p>
          <w:p w14:paraId="70A4FF6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am Wohnort Waffenbesitz überhaupt relevant wird – für die meisten Neuankömmlinge nicht.</w:t>
            </w:r>
          </w:p>
          <w:p w14:paraId="70A4FF6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Cannabis-Grenzen der eigenen Provinz nachgeschlagen und Cannabis vor jeder Reise in die USA konsequent zu Hause gelassen.</w:t>
            </w:r>
          </w:p>
          <w:p w14:paraId="70A4FF6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Warn-App der zuständigen Provinzbehörde und Alert Ready aktiviert.</w:t>
            </w:r>
          </w:p>
          <w:p w14:paraId="70A4FF6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Notfallplan mit Sammelpunkt, Notvorrat und externer Kontaktperson erstellt.</w:t>
            </w:r>
          </w:p>
          <w:p w14:paraId="70A4FF6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Winter-Notfallset fürs Auto zusammengestellt, wenn der Wohnort das nahelegt.</w:t>
            </w:r>
          </w:p>
          <w:p w14:paraId="70A4FF6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Hausrat- oder Gebäudeversicherung auf Überflutungs- und Rückstauschutz geprüft.</w:t>
            </w:r>
          </w:p>
          <w:p w14:paraId="70A4FF6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Nummer der deutschen Auslandsvertretung gespeichert und in die Krisenvorsorgeliste Elefand eingetragen.</w:t>
            </w:r>
          </w:p>
        </w:tc>
      </w:tr>
    </w:tbl>
    <w:p w14:paraId="70A4FF6B" w14:textId="77777777" w:rsidR="00C1548D" w:rsidRDefault="00C1548D">
      <w:pPr>
        <w:spacing w:line="220" w:lineRule="exact"/>
      </w:pPr>
    </w:p>
    <w:p w14:paraId="70A4FF6C"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F6D" w14:textId="20098F3C" w:rsidR="00C1548D" w:rsidRDefault="009B1B4B" w:rsidP="009B1B4B">
      <w:pPr>
        <w:pStyle w:val="ListParagraph"/>
        <w:numPr>
          <w:ilvl w:val="0"/>
          <w:numId w:val="1"/>
        </w:numPr>
        <w:spacing w:after="60"/>
      </w:pPr>
      <w:r>
        <w:t xml:space="preserve">RCMP – Newcomers Guide, Verhalten bei Polizeikontakt: </w:t>
      </w:r>
      <w:hyperlink r:id="rId583" w:history="1">
        <w:r>
          <w:rPr>
            <w:color w:val="0563C1"/>
            <w:u w:val="single"/>
          </w:rPr>
          <w:t>rcmp.ca/en/bc/corporate-information/newcomers-guide/interactions-police</w:t>
        </w:r>
      </w:hyperlink>
    </w:p>
    <w:p w14:paraId="70A4FF6E" w14:textId="13722AA9" w:rsidR="00C1548D" w:rsidRDefault="009B1B4B" w:rsidP="009B1B4B">
      <w:pPr>
        <w:pStyle w:val="ListParagraph"/>
        <w:numPr>
          <w:ilvl w:val="0"/>
          <w:numId w:val="1"/>
        </w:numPr>
        <w:spacing w:after="60"/>
      </w:pPr>
      <w:r>
        <w:t xml:space="preserve">RCMP – Waffenrecht und Lizenzierung: </w:t>
      </w:r>
      <w:hyperlink r:id="rId584" w:history="1">
        <w:r>
          <w:rPr>
            <w:color w:val="0563C1"/>
            <w:u w:val="single"/>
          </w:rPr>
          <w:t>rcmp.ca/en/firearms</w:t>
        </w:r>
      </w:hyperlink>
    </w:p>
    <w:p w14:paraId="70A4FF6F" w14:textId="0478574B" w:rsidR="00C1548D" w:rsidRDefault="009B1B4B" w:rsidP="009B1B4B">
      <w:pPr>
        <w:pStyle w:val="ListParagraph"/>
        <w:numPr>
          <w:ilvl w:val="0"/>
          <w:numId w:val="1"/>
        </w:numPr>
        <w:spacing w:after="60"/>
      </w:pPr>
      <w:r>
        <w:t xml:space="preserve">Kanadische Regierung – Rückkaufprogramm für Waffen (Suchbegriff Assault-Style Firearms Compensation Program): </w:t>
      </w:r>
      <w:hyperlink r:id="rId585" w:history="1">
        <w:r>
          <w:rPr>
            <w:color w:val="0563C1"/>
            <w:u w:val="single"/>
          </w:rPr>
          <w:t>canada.ca</w:t>
        </w:r>
      </w:hyperlink>
    </w:p>
    <w:p w14:paraId="70A4FF70" w14:textId="45D2D720" w:rsidR="00C1548D" w:rsidRDefault="009B1B4B" w:rsidP="009B1B4B">
      <w:pPr>
        <w:pStyle w:val="ListParagraph"/>
        <w:numPr>
          <w:ilvl w:val="0"/>
          <w:numId w:val="1"/>
        </w:numPr>
        <w:spacing w:after="60"/>
      </w:pPr>
      <w:r>
        <w:t xml:space="preserve">Health Canada – Cannabis Act, Regeln zu Besitz und Anbau: </w:t>
      </w:r>
      <w:hyperlink r:id="rId586" w:history="1">
        <w:r>
          <w:rPr>
            <w:color w:val="0563C1"/>
            <w:u w:val="single"/>
          </w:rPr>
          <w:t>canada.ca/en/health-canada/services/drugs-medication/cannabis.html</w:t>
        </w:r>
      </w:hyperlink>
    </w:p>
    <w:p w14:paraId="70A4FF71" w14:textId="75A9EB9D" w:rsidR="00C1548D" w:rsidRDefault="009B1B4B" w:rsidP="009B1B4B">
      <w:pPr>
        <w:pStyle w:val="ListParagraph"/>
        <w:numPr>
          <w:ilvl w:val="0"/>
          <w:numId w:val="1"/>
        </w:numPr>
        <w:spacing w:after="60"/>
      </w:pPr>
      <w:r>
        <w:lastRenderedPageBreak/>
        <w:t xml:space="preserve">Canada Border Services Agency – Einfuhrbestimmungen für Cannabis (Suchbegriff CBSA cannabis travellers): </w:t>
      </w:r>
      <w:hyperlink r:id="rId587" w:history="1">
        <w:r>
          <w:rPr>
            <w:color w:val="0563C1"/>
            <w:u w:val="single"/>
          </w:rPr>
          <w:t>cbsa-asfc.gc.ca</w:t>
        </w:r>
      </w:hyperlink>
    </w:p>
    <w:p w14:paraId="70A4FF72" w14:textId="096810B6" w:rsidR="00C1548D" w:rsidRDefault="009B1B4B" w:rsidP="009B1B4B">
      <w:pPr>
        <w:pStyle w:val="ListParagraph"/>
        <w:numPr>
          <w:ilvl w:val="0"/>
          <w:numId w:val="1"/>
        </w:numPr>
        <w:spacing w:after="60"/>
      </w:pPr>
      <w:r>
        <w:t xml:space="preserve">Alert Ready – nationales Warnsystem: </w:t>
      </w:r>
      <w:hyperlink r:id="rId588" w:history="1">
        <w:r>
          <w:rPr>
            <w:color w:val="0563C1"/>
            <w:u w:val="single"/>
          </w:rPr>
          <w:t>alertready.ca</w:t>
        </w:r>
      </w:hyperlink>
    </w:p>
    <w:p w14:paraId="70A4FF73" w14:textId="0FA7AC6F" w:rsidR="00C1548D" w:rsidRDefault="009B1B4B" w:rsidP="009B1B4B">
      <w:pPr>
        <w:pStyle w:val="ListParagraph"/>
        <w:numPr>
          <w:ilvl w:val="0"/>
          <w:numId w:val="1"/>
        </w:numPr>
        <w:spacing w:after="60"/>
      </w:pPr>
      <w:r>
        <w:t xml:space="preserve">Environment and Climate Change Canada – Wetterwarnungen: </w:t>
      </w:r>
      <w:hyperlink r:id="rId589" w:history="1">
        <w:r>
          <w:rPr>
            <w:color w:val="0563C1"/>
            <w:u w:val="single"/>
          </w:rPr>
          <w:t>weather.gc.ca</w:t>
        </w:r>
      </w:hyperlink>
    </w:p>
    <w:p w14:paraId="70A4FF74" w14:textId="3AE216D0" w:rsidR="00C1548D" w:rsidRDefault="009B1B4B" w:rsidP="009B1B4B">
      <w:pPr>
        <w:pStyle w:val="ListParagraph"/>
        <w:numPr>
          <w:ilvl w:val="0"/>
          <w:numId w:val="1"/>
        </w:numPr>
        <w:spacing w:after="60"/>
      </w:pPr>
      <w:r>
        <w:t xml:space="preserve">Auswärtiges Amt – Hilfe für Deutsche im Ausland und Krisenvorsorgeliste Elefand: </w:t>
      </w:r>
      <w:hyperlink r:id="rId590" w:history="1">
        <w:r>
          <w:rPr>
            <w:color w:val="0563C1"/>
            <w:u w:val="single"/>
          </w:rPr>
          <w:t>auswaertiges-amt.de</w:t>
        </w:r>
      </w:hyperlink>
    </w:p>
    <w:p w14:paraId="70A4FF7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78"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F76" w14:textId="77777777" w:rsidR="00C1548D" w:rsidRDefault="009B1B4B">
            <w:pPr>
              <w:keepNext/>
              <w:spacing w:after="70" w:line="240" w:lineRule="auto"/>
            </w:pPr>
            <w:r>
              <w:rPr>
                <w:b/>
                <w:bCs/>
                <w:color w:val="6B7280"/>
                <w:spacing w:val="24"/>
                <w:sz w:val="16"/>
                <w:szCs w:val="16"/>
              </w:rPr>
              <w:t>STAND</w:t>
            </w:r>
          </w:p>
          <w:p w14:paraId="70A4FF77" w14:textId="77777777" w:rsidR="00C1548D" w:rsidRDefault="009B1B4B">
            <w:pPr>
              <w:spacing w:after="80" w:line="264" w:lineRule="auto"/>
            </w:pPr>
            <w:r>
              <w:rPr>
                <w:sz w:val="20"/>
                <w:szCs w:val="20"/>
              </w:rPr>
              <w:t>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zuständigen Provinzbehörde.</w:t>
            </w:r>
          </w:p>
        </w:tc>
      </w:tr>
    </w:tbl>
    <w:p w14:paraId="70A4FF79" w14:textId="77777777" w:rsidR="00C1548D" w:rsidRDefault="00C1548D">
      <w:pPr>
        <w:spacing w:line="220" w:lineRule="exact"/>
      </w:pPr>
    </w:p>
    <w:p w14:paraId="70A4FF7A" w14:textId="77777777" w:rsidR="00C1548D" w:rsidRDefault="009B1B4B">
      <w:pPr>
        <w:pStyle w:val="Heading2"/>
        <w:keepNext/>
        <w:pageBreakBefore/>
        <w:jc w:val="center"/>
      </w:pPr>
      <w:bookmarkStart w:id="165" w:name="tka16"/>
      <w:bookmarkStart w:id="166" w:name="_Toc241352534"/>
      <w:r>
        <w:rPr>
          <w:rFonts w:ascii="Amazon Ember" w:eastAsia="Amazon Ember" w:hAnsi="Amazon Ember" w:cs="Amazon Ember"/>
          <w:color w:val="0000FF"/>
          <w:sz w:val="36"/>
          <w:szCs w:val="36"/>
        </w:rPr>
        <w:lastRenderedPageBreak/>
        <w:t>Kanada: Staatsbürgerschaft und Steuerresidenz</w:t>
      </w:r>
      <w:bookmarkEnd w:id="165"/>
      <w:bookmarkEnd w:id="166"/>
    </w:p>
    <w:p w14:paraId="70A4FF7B" w14:textId="77777777" w:rsidR="00C1548D" w:rsidRDefault="009B1B4B">
      <w:pPr>
        <w:spacing w:after="140"/>
      </w:pPr>
      <w:r>
        <w:t>Als Julia Ahrens zum ersten Mal hört, wie die USA ihre Staatsbürger besteuern – lebenslang, weltweit, unabhängig vom Wohnort, sogar nach einer Rückkehr nach Deutschland –, fragt sie sich kurz, ob Kanada das ähnlich handhabt, sobald sie eines Tages den kanadischen Pass hat. Ein kanadischer Steuerberater in Toronto winkt ab: Kanada fragt nicht, welchen Pass man trägt, sondern wo man lebt. Der Weg zum kanadischen Pass und die Frage, was er steuerlich bedeutet, sind zwei ganz verschiedene Geschichten – und gena</w:t>
      </w:r>
      <w:r>
        <w:t>u die erzählt dieses Kapitel.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82"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F7C" w14:textId="77777777" w:rsidR="00C1548D" w:rsidRDefault="009B1B4B">
            <w:pPr>
              <w:keepNext/>
              <w:spacing w:after="70" w:line="240" w:lineRule="auto"/>
            </w:pPr>
            <w:r>
              <w:rPr>
                <w:b/>
                <w:bCs/>
                <w:color w:val="1F3A5F"/>
                <w:spacing w:val="24"/>
                <w:sz w:val="16"/>
                <w:szCs w:val="16"/>
              </w:rPr>
              <w:t>KURZ GESAGT</w:t>
            </w:r>
          </w:p>
          <w:p w14:paraId="70A4FF7D" w14:textId="77777777" w:rsidR="00C1548D" w:rsidRDefault="009B1B4B" w:rsidP="009B1B4B">
            <w:pPr>
              <w:pStyle w:val="ListParagraph"/>
              <w:numPr>
                <w:ilvl w:val="0"/>
                <w:numId w:val="1"/>
              </w:numPr>
              <w:spacing w:after="50" w:line="264" w:lineRule="auto"/>
            </w:pPr>
            <w:r>
              <w:rPr>
                <w:sz w:val="20"/>
                <w:szCs w:val="20"/>
              </w:rPr>
              <w:t>Einbürgerung setzt 1.095 Tage (drei Jahre) physische Anwesenheit innerhalb der letzten fünf Jahre vor Antragstellung voraus, davon mindestens 730 Tage als Permanent Resident (PR); Zeiten vor dem PR-Status zählen nur zur Hälfte, gedeckelt auf 365 Anrechnungstage.</w:t>
            </w:r>
          </w:p>
          <w:p w14:paraId="70A4FF7E" w14:textId="77777777" w:rsidR="00C1548D" w:rsidRDefault="009B1B4B" w:rsidP="009B1B4B">
            <w:pPr>
              <w:pStyle w:val="ListParagraph"/>
              <w:numPr>
                <w:ilvl w:val="0"/>
                <w:numId w:val="1"/>
              </w:numPr>
              <w:spacing w:after="50" w:line="264" w:lineRule="auto"/>
            </w:pPr>
            <w:r>
              <w:rPr>
                <w:sz w:val="20"/>
                <w:szCs w:val="20"/>
              </w:rPr>
              <w:t>Sprachnachweis (CLB/NCLC 4 in Sprechen und Hören) und Staatskundetest (20 Fragen, 15 richtig) sind nur für 18- bis 54-Jährige Pflicht; der Test läuft seit März 2026 dauerhaft online.</w:t>
            </w:r>
          </w:p>
          <w:p w14:paraId="70A4FF7F" w14:textId="77777777" w:rsidR="00C1548D" w:rsidRDefault="009B1B4B" w:rsidP="009B1B4B">
            <w:pPr>
              <w:pStyle w:val="ListParagraph"/>
              <w:numPr>
                <w:ilvl w:val="0"/>
                <w:numId w:val="1"/>
              </w:numPr>
              <w:spacing w:after="50" w:line="264" w:lineRule="auto"/>
            </w:pPr>
            <w:r>
              <w:rPr>
                <w:sz w:val="20"/>
                <w:szCs w:val="20"/>
              </w:rPr>
              <w:t>Gebühr 653 CAD pro Erwachsenem (seit 31. März 2026); realistische Gesamtdauer von der Einreise bis zum Einbürgerungsantrag vier bis neun Jahre, je nachdem, wie schnell der PR-Status erreicht wurde.</w:t>
            </w:r>
          </w:p>
          <w:p w14:paraId="70A4FF80" w14:textId="77777777" w:rsidR="00C1548D" w:rsidRDefault="009B1B4B" w:rsidP="009B1B4B">
            <w:pPr>
              <w:pStyle w:val="ListParagraph"/>
              <w:numPr>
                <w:ilvl w:val="0"/>
                <w:numId w:val="1"/>
              </w:numPr>
              <w:spacing w:after="50" w:line="264" w:lineRule="auto"/>
            </w:pPr>
            <w:r>
              <w:rPr>
                <w:sz w:val="20"/>
                <w:szCs w:val="20"/>
              </w:rPr>
              <w:t>Doppelte Staatsbürgerschaft ist seit 1977 (Kanada) und seit dem 27. Juni 2024 (Deutschland) für beide Seiten unproblematisch.</w:t>
            </w:r>
          </w:p>
          <w:p w14:paraId="70A4FF81" w14:textId="77777777" w:rsidR="00C1548D" w:rsidRDefault="009B1B4B" w:rsidP="009B1B4B">
            <w:pPr>
              <w:pStyle w:val="ListParagraph"/>
              <w:numPr>
                <w:ilvl w:val="0"/>
                <w:numId w:val="1"/>
              </w:numPr>
              <w:spacing w:after="50" w:line="264" w:lineRule="auto"/>
            </w:pPr>
            <w:r>
              <w:rPr>
                <w:sz w:val="20"/>
                <w:szCs w:val="20"/>
              </w:rPr>
              <w:t>Verbreiteter Irrtum: Kanada besteuert nach Steuerwohnsitz, nicht nach Pass. Anders als die USA gibt es keine an die Staatsbürgerschaft gekoppelte, lebenslange Steuerpflicht und keine Exit Tax beim Verzicht auf die kanadische Staatsbürgerschaft.</w:t>
            </w:r>
          </w:p>
        </w:tc>
      </w:tr>
    </w:tbl>
    <w:p w14:paraId="70A4FF83" w14:textId="77777777" w:rsidR="00C1548D" w:rsidRDefault="00C1548D">
      <w:pPr>
        <w:spacing w:line="220" w:lineRule="exact"/>
      </w:pPr>
    </w:p>
    <w:p w14:paraId="70A4FF84" w14:textId="77777777" w:rsidR="00C1548D" w:rsidRDefault="009B1B4B">
      <w:pPr>
        <w:pStyle w:val="Heading3"/>
        <w:keepNext/>
        <w:jc w:val="center"/>
      </w:pPr>
      <w:r>
        <w:rPr>
          <w:rFonts w:ascii="Amazon Ember" w:eastAsia="Amazon Ember" w:hAnsi="Amazon Ember" w:cs="Amazon Ember"/>
          <w:color w:val="0000FF"/>
          <w:sz w:val="36"/>
          <w:szCs w:val="36"/>
        </w:rPr>
        <w:lastRenderedPageBreak/>
        <w:t>Der Stufenweg zur Staatsbürgerschaft</w:t>
      </w:r>
    </w:p>
    <w:p w14:paraId="70A4FF85" w14:textId="77777777" w:rsidR="00C1548D" w:rsidRDefault="009B1B4B">
      <w:pPr>
        <w:spacing w:after="140"/>
      </w:pPr>
      <w:r>
        <w:t xml:space="preserve">Wie lange der Weg zum Pass dauert, hängt fast ausschließlich davon ab, wie schnell der </w:t>
      </w:r>
      <w:r>
        <w:rPr>
          <w:i/>
          <w:iCs/>
        </w:rPr>
        <w:t>Permanent-Resident</w:t>
      </w:r>
      <w:r>
        <w:t xml:space="preserve">-Status erreicht wird – die eigentliche Einbürgerungs-Uhr läuft erst richtig, sobald der PR-Status steht. Wer wie Familie Ahrens direkt über Express Entry mit hohem CRS-Score einreist, hält den PR-Status bereits bei der Landung; die 1.095-Tage-Uhr beginnt dann sofort zu laufen, und der Antrag ist realistisch nach vier bis fünf Jahren möglich. Wer dagegen zunächst mit einem befristeten Work Permit oder Study Permit einreist und erst nach kanadischer Berufserfahrung über die </w:t>
      </w:r>
      <w:r>
        <w:rPr>
          <w:i/>
          <w:iCs/>
        </w:rPr>
        <w:t>Canadian Experience Class</w:t>
      </w:r>
      <w:r>
        <w:t xml:space="preserve"> den PR-Status erhält, startet die entscheidende Uhr deutlich später. Für diesen Weg sind sechs bis neun Jahre ab der Einreise realistischer, weil vor der PR-Erteilung meist ein bis drei Jahre als befristeter Resident liegen, die nur zur Hälfte und gedeckelt auf maximal 365 Tage angerechnet werden.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3"/>
        <w:gridCol w:w="2477"/>
      </w:tblGrid>
      <w:tr w:rsidR="00C1548D" w14:paraId="70A4FF88" w14:textId="77777777">
        <w:tblPrEx>
          <w:tblCellMar>
            <w:top w:w="0" w:type="dxa"/>
            <w:bottom w:w="0" w:type="dxa"/>
          </w:tblCellMar>
        </w:tblPrEx>
        <w:trPr>
          <w:cantSplit/>
          <w:tblHeader/>
        </w:trPr>
        <w:tc>
          <w:tcPr>
            <w:tcW w:w="40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F86" w14:textId="77777777" w:rsidR="00C1548D" w:rsidRDefault="009B1B4B">
            <w:pPr>
              <w:spacing w:line="250" w:lineRule="auto"/>
            </w:pPr>
            <w:r>
              <w:rPr>
                <w:b/>
                <w:bCs/>
                <w:sz w:val="18"/>
                <w:szCs w:val="18"/>
              </w:rPr>
              <w:t>Einstiegsweg</w:t>
            </w:r>
          </w:p>
        </w:tc>
        <w:tc>
          <w:tcPr>
            <w:tcW w:w="24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F87" w14:textId="77777777" w:rsidR="00C1548D" w:rsidRDefault="009B1B4B">
            <w:pPr>
              <w:spacing w:line="250" w:lineRule="auto"/>
            </w:pPr>
            <w:r>
              <w:rPr>
                <w:b/>
                <w:bCs/>
                <w:sz w:val="18"/>
                <w:szCs w:val="18"/>
              </w:rPr>
              <w:t>Realistische Gesamtdauer Einreise → Antrag</w:t>
            </w:r>
          </w:p>
        </w:tc>
      </w:tr>
      <w:tr w:rsidR="00C1548D" w14:paraId="70A4FF8B" w14:textId="77777777">
        <w:tblPrEx>
          <w:tblCellMar>
            <w:top w:w="0" w:type="dxa"/>
            <w:bottom w:w="0" w:type="dxa"/>
          </w:tblCellMar>
        </w:tblPrEx>
        <w:trPr>
          <w:cantSplit/>
        </w:trPr>
        <w:tc>
          <w:tcPr>
            <w:tcW w:w="4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89" w14:textId="77777777" w:rsidR="00C1548D" w:rsidRDefault="009B1B4B">
            <w:pPr>
              <w:spacing w:line="250" w:lineRule="auto"/>
            </w:pPr>
            <w:r>
              <w:rPr>
                <w:sz w:val="18"/>
                <w:szCs w:val="18"/>
              </w:rPr>
              <w:t>Express Entry direkt aus Deutschland (wie Familie Ahrens)</w:t>
            </w:r>
          </w:p>
        </w:tc>
        <w:tc>
          <w:tcPr>
            <w:tcW w:w="2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8A" w14:textId="77777777" w:rsidR="00C1548D" w:rsidRDefault="009B1B4B">
            <w:pPr>
              <w:spacing w:line="250" w:lineRule="auto"/>
            </w:pPr>
            <w:r>
              <w:rPr>
                <w:sz w:val="18"/>
                <w:szCs w:val="18"/>
              </w:rPr>
              <w:t>ca. 4–5 Jahre</w:t>
            </w:r>
          </w:p>
        </w:tc>
      </w:tr>
      <w:tr w:rsidR="00C1548D" w14:paraId="70A4FF8E" w14:textId="77777777">
        <w:tblPrEx>
          <w:tblCellMar>
            <w:top w:w="0" w:type="dxa"/>
            <w:bottom w:w="0" w:type="dxa"/>
          </w:tblCellMar>
        </w:tblPrEx>
        <w:trPr>
          <w:cantSplit/>
        </w:trPr>
        <w:tc>
          <w:tcPr>
            <w:tcW w:w="4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8C" w14:textId="77777777" w:rsidR="00C1548D" w:rsidRDefault="009B1B4B">
            <w:pPr>
              <w:spacing w:line="250" w:lineRule="auto"/>
            </w:pPr>
            <w:r>
              <w:rPr>
                <w:sz w:val="18"/>
                <w:szCs w:val="18"/>
              </w:rPr>
              <w:t>Befristetes Work- oder Study-Permit → PR über Canadian Experience Class</w:t>
            </w:r>
          </w:p>
        </w:tc>
        <w:tc>
          <w:tcPr>
            <w:tcW w:w="2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8D" w14:textId="77777777" w:rsidR="00C1548D" w:rsidRDefault="009B1B4B">
            <w:pPr>
              <w:spacing w:line="250" w:lineRule="auto"/>
            </w:pPr>
            <w:r>
              <w:rPr>
                <w:sz w:val="18"/>
                <w:szCs w:val="18"/>
              </w:rPr>
              <w:t>ca. 6–9 Jahre</w:t>
            </w:r>
          </w:p>
        </w:tc>
      </w:tr>
    </w:tbl>
    <w:p w14:paraId="70A4FF8F" w14:textId="77777777" w:rsidR="00C1548D" w:rsidRDefault="00C1548D">
      <w:pPr>
        <w:spacing w:line="180" w:lineRule="exact"/>
      </w:pPr>
    </w:p>
    <w:p w14:paraId="70A4FF90" w14:textId="77777777" w:rsidR="00C1548D" w:rsidRDefault="009B1B4B">
      <w:pPr>
        <w:spacing w:after="140"/>
      </w:pPr>
      <w:r>
        <w:t xml:space="preserve">Der Stufenweg selbst hat vier Etappen: befristeter Aufenthalt (Work Permit, oft LMIA-gestützt, oder Study Permit mit anschließendem </w:t>
      </w:r>
      <w:r>
        <w:rPr>
          <w:i/>
          <w:iCs/>
        </w:rPr>
        <w:t>Post-Graduation Work Permit</w:t>
      </w:r>
      <w:r>
        <w:t xml:space="preserve">), Übergang zum PR-Status über Express Entry oder eine </w:t>
      </w:r>
      <w:r>
        <w:rPr>
          <w:i/>
          <w:iCs/>
        </w:rPr>
        <w:t>Provincial Nominee Program</w:t>
      </w:r>
      <w:r>
        <w:t>-Nominierung, die 1.095-Tage-Anwesenheitspflicht als PR, und schließlich der Einbürgerungsantrag selbst mit anschließender Bearbeitung von rund zwölf bis 18 Monaten bis zur Zeremonie.</w:t>
      </w:r>
    </w:p>
    <w:p w14:paraId="70A4FF91"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Anwesenheitspflicht: 1.095 Tage, aber nicht wie gedacht</w:t>
      </w:r>
    </w:p>
    <w:p w14:paraId="70A4FF92" w14:textId="77777777" w:rsidR="00C1548D" w:rsidRDefault="009B1B4B">
      <w:pPr>
        <w:spacing w:after="140"/>
      </w:pPr>
      <w:r>
        <w:t xml:space="preserve">Die Grundregel klingt einfach: 1.095 Tage physische Anwesenheit in Kanada innerhalb der fünf Jahre unmittelbar vor der Antragstellung, nicht am Stück. Der Teufel steckt in zwei Details, die in Foren und Ratgebern regelmäßig durcheinandergeraten. Erstens: Mindestens 730 dieser 1.095 Tage müssen als PR verbracht worden sein – wer vorher lange als </w:t>
      </w:r>
      <w:r>
        <w:rPr>
          <w:i/>
          <w:iCs/>
        </w:rPr>
        <w:t>Temporary Resident</w:t>
      </w:r>
      <w:r>
        <w:t xml:space="preserve">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 nicht die vollen 730 Tage, wie viele Neuankömmlinge zunächst annehmen.</w:t>
      </w:r>
    </w:p>
    <w:p w14:paraId="70A4FF93" w14:textId="77777777" w:rsidR="00C1548D" w:rsidRDefault="009B1B4B">
      <w:pPr>
        <w:spacing w:after="140"/>
      </w:pPr>
      <w:r>
        <w:t>Ein zweiter, oft vermischter Punkt betrifft den PR-Status selbst: Um ihn zu behalten (unabhängig von der Einbürgerung), reicht eine andere Regel – 730 von 1.825 Tagen (fünf Jahre), ebenfalls nicht am Stück. Diese beiden 730-Tage-Regeln beziehen sich auf unterschiedliche Dinge (PR-Erhalt versus Einbürgerungsfähigkeit) und werden in der Praxis häufig verwechselt.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9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F94" w14:textId="77777777" w:rsidR="00C1548D" w:rsidRDefault="009B1B4B">
            <w:pPr>
              <w:keepNext/>
              <w:spacing w:after="70" w:line="240" w:lineRule="auto"/>
            </w:pPr>
            <w:r>
              <w:rPr>
                <w:b/>
                <w:bCs/>
                <w:color w:val="9B2C2C"/>
                <w:spacing w:val="24"/>
                <w:sz w:val="16"/>
                <w:szCs w:val="16"/>
              </w:rPr>
              <w:t>ACHTUNG</w:t>
            </w:r>
          </w:p>
          <w:p w14:paraId="70A4FF95" w14:textId="77777777" w:rsidR="00C1548D" w:rsidRDefault="009B1B4B">
            <w:pPr>
              <w:spacing w:after="80" w:line="264" w:lineRule="auto"/>
            </w:pPr>
            <w:r>
              <w:rPr>
                <w:sz w:val="20"/>
                <w:szCs w:val="20"/>
              </w:rPr>
              <w:t>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Deckel von 365 halb angerechneten Tagen, nicht mit der vollen Aufenthaltsdauer.</w:t>
            </w:r>
          </w:p>
        </w:tc>
      </w:tr>
    </w:tbl>
    <w:p w14:paraId="70A4FF97" w14:textId="77777777" w:rsidR="00C1548D" w:rsidRDefault="00C1548D">
      <w:pPr>
        <w:spacing w:line="220" w:lineRule="exact"/>
      </w:pPr>
    </w:p>
    <w:p w14:paraId="70A4FF98" w14:textId="77777777" w:rsidR="00C1548D" w:rsidRDefault="009B1B4B">
      <w:pPr>
        <w:spacing w:after="140"/>
      </w:pPr>
      <w:r>
        <w:t xml:space="preserve">Auslandsreisen nach der Antragstellung sind grundsätzlich erlaubt, solange die Anwesenheitspflicht davor bereits erfüllt war – riskant wird es nur, wenn dabei ein Testtermin, ein Zeremonietermin oder wichtige Post der Einwanderungsbehörde IRCC verpasst wird. Zeiten </w:t>
      </w:r>
      <w:r>
        <w:lastRenderedPageBreak/>
        <w:t>in Haft, Bewährung oder gegen Kaution freigelassen zählen in aller Regel nicht zur Anwesenheit.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9B"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F99" w14:textId="77777777" w:rsidR="00C1548D" w:rsidRDefault="009B1B4B">
            <w:pPr>
              <w:keepNext/>
              <w:spacing w:after="70" w:line="240" w:lineRule="auto"/>
            </w:pPr>
            <w:r>
              <w:rPr>
                <w:b/>
                <w:bCs/>
                <w:color w:val="4A5568"/>
                <w:spacing w:val="24"/>
                <w:sz w:val="16"/>
                <w:szCs w:val="16"/>
              </w:rPr>
              <w:t>PRAXISBEISPIEL · FIKTIV</w:t>
            </w:r>
          </w:p>
          <w:p w14:paraId="70A4FF9A" w14:textId="77777777" w:rsidR="00C1548D" w:rsidRDefault="009B1B4B">
            <w:pPr>
              <w:spacing w:after="80" w:line="264" w:lineRule="auto"/>
            </w:pPr>
            <w:r>
              <w:rPr>
                <w:sz w:val="20"/>
                <w:szCs w:val="20"/>
              </w:rPr>
              <w:t>Lukas Berger (fiktives Beispiel) kommt mit einem LMIA-pflichtigen Employer-Sponsored Work Permit nach Calgary und arbeitet dort zwei Jahre, bevor sein Arbeitgeber den Übergang zur Canadian Experience Class unterstützt und er den PR-Status erhält. Beim Hochrechnen seiner Einbürgerungsfrist geht Lukas zunächst davon aus, die zwei Jahre als Work-Permit-Inhaber zählten voll zu den 1.095 Tagen – tatsächlich werden nur 365 Tage davon angerechnet, und auch das nur zur Hälfte, also 182,5 Tage. Statt der erhofften e</w:t>
            </w:r>
            <w:r>
              <w:rPr>
                <w:sz w:val="20"/>
                <w:szCs w:val="20"/>
              </w:rPr>
              <w:t>ineinhalb Jahre bis zum Antrag nach der PR-Erteilung muss er rund zweieinhalb Jahre als PR in Kanada verbringen, bevor die 1.095-Tage-Schwelle wirklich erreicht ist.</w:t>
            </w:r>
          </w:p>
        </w:tc>
      </w:tr>
    </w:tbl>
    <w:p w14:paraId="70A4FF9C" w14:textId="77777777" w:rsidR="00C1548D" w:rsidRDefault="00C1548D">
      <w:pPr>
        <w:spacing w:line="220" w:lineRule="exact"/>
      </w:pPr>
    </w:p>
    <w:p w14:paraId="70A4FF9D" w14:textId="77777777" w:rsidR="00C1548D" w:rsidRDefault="009B1B4B">
      <w:pPr>
        <w:pStyle w:val="Heading3"/>
        <w:keepNext/>
        <w:jc w:val="center"/>
      </w:pPr>
      <w:r>
        <w:rPr>
          <w:rFonts w:ascii="Amazon Ember" w:eastAsia="Amazon Ember" w:hAnsi="Amazon Ember" w:cs="Amazon Ember"/>
          <w:color w:val="0000FF"/>
          <w:sz w:val="36"/>
          <w:szCs w:val="36"/>
        </w:rPr>
        <w:t>Sprache und Staatskundetest</w:t>
      </w:r>
    </w:p>
    <w:p w14:paraId="70A4FF9E" w14:textId="77777777" w:rsidR="00C1548D" w:rsidRDefault="009B1B4B">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w14:paraId="70A4FF9F" w14:textId="77777777" w:rsidR="00C1548D" w:rsidRDefault="009B1B4B">
      <w:pPr>
        <w:spacing w:after="140"/>
      </w:pPr>
      <w:r>
        <w:t>Der Staatskundetest (</w:t>
      </w:r>
      <w:r>
        <w:rPr>
          <w:i/>
          <w:iCs/>
        </w:rPr>
        <w:t>Citizenship Test</w:t>
      </w:r>
      <w:r>
        <w:t>)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Nach Sekundärquellen bestehen rund 96 % der</w:t>
      </w:r>
      <w:r>
        <w:t xml:space="preserve"> Antragsteller den </w:t>
      </w:r>
      <w:r>
        <w:lastRenderedPageBreak/>
        <w:t>Test beim ersten Versuch – wer durchfällt, kann ihn in aller Regel wiederholen.</w:t>
      </w:r>
    </w:p>
    <w:p w14:paraId="70A4FFA0" w14:textId="77777777" w:rsidR="00C1548D" w:rsidRDefault="009B1B4B">
      <w:pPr>
        <w:spacing w:after="140"/>
      </w:pPr>
      <w:r>
        <w:t>Ein ausländisches Führungszeugnis ist für den Einbürgerungsantrag selbst normalerweise nicht einzureichen; die Einwanderungsbehörde IRCC gleicht stattdessen mit eigenen Datenbanken ab und fragt gezielt nach, falls nötig. Anders bei der vorgelagerten PR-Erteilung: Dort ist ein Führungszeugnis aus jedem Land Pflicht, in dem man in den letzten Jahren mindestens sechs Monate am Stück gelebt hat – für Deutsche also das Führungszeugnis vom Bundesamt für Justiz.</w:t>
      </w:r>
    </w:p>
    <w:p w14:paraId="70A4FFA1" w14:textId="77777777" w:rsidR="00C1548D" w:rsidRDefault="009B1B4B">
      <w:pPr>
        <w:pStyle w:val="Heading3"/>
        <w:keepNext/>
        <w:jc w:val="center"/>
      </w:pPr>
      <w:r>
        <w:rPr>
          <w:rFonts w:ascii="Amazon Ember" w:eastAsia="Amazon Ember" w:hAnsi="Amazon Ember" w:cs="Amazon Ember"/>
          <w:color w:val="0000FF"/>
          <w:sz w:val="36"/>
          <w:szCs w:val="36"/>
        </w:rPr>
        <w:t>Gebühren und Bearbeitungszeit</w:t>
      </w:r>
    </w:p>
    <w:p w14:paraId="70A4FFA2" w14:textId="77777777" w:rsidR="00C1548D" w:rsidRDefault="009B1B4B">
      <w:pPr>
        <w:spacing w:after="140"/>
      </w:pPr>
      <w:r>
        <w:t>Die Einbürgerungsgebühr liegt seit dem 31. März 2026 bei 653 CAD pro Erwachsenem (530 CAD Bearbeitungsgebühr plus 123 CAD „Right of Citizenship Fee“); Kinder zahlen pauschal 100 CAD ohne diese Zusatzgebühr. Wer anschließend ein offizielles Staatsbürgerschaftszertifikat benötigt, zahlt dafür zusätzlich 75 CAD. Die Bearbeitung selbst dauert von der Antragstellung bis zur Einbürgerungszeremonie üblicherweise rund zwölf bis 18 Monate, verteilt auf Background-Check (drei bis neun Monate), Testtermin (ein bis dre</w:t>
      </w:r>
      <w:r>
        <w:t>i Monate danach) und die abschließende Zeremonie (ein bis drei weitere Monate).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A5"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FA3" w14:textId="77777777" w:rsidR="00C1548D" w:rsidRDefault="009B1B4B">
            <w:pPr>
              <w:keepNext/>
              <w:spacing w:after="70" w:line="240" w:lineRule="auto"/>
            </w:pPr>
            <w:r>
              <w:rPr>
                <w:b/>
                <w:bCs/>
                <w:color w:val="9B2C2C"/>
                <w:spacing w:val="24"/>
                <w:sz w:val="16"/>
                <w:szCs w:val="16"/>
              </w:rPr>
              <w:t>ACHTUNG</w:t>
            </w:r>
          </w:p>
          <w:p w14:paraId="70A4FFA4" w14:textId="77777777" w:rsidR="00C1548D" w:rsidRDefault="009B1B4B">
            <w:pPr>
              <w:spacing w:after="80" w:line="264" w:lineRule="auto"/>
            </w:pPr>
            <w:r>
              <w:rPr>
                <w:sz w:val="20"/>
                <w:szCs w:val="20"/>
              </w:rPr>
              <w:t>Verwechsle den regulären Einbürgerungsantrag nicht mit dem separaten „Proof of Citizenship“-Zertifikat, das vor allem im Ausland geborene Personen mit Anspruch auf die kanadische Staatsangehörigkeit beantragen. Dessen Wartezeit ist 2026 auf rund 33 Monate gestiegen – ein völlig anderes Verfahren als der normale Grant-Antrag für in Kanada lebende Permanent Residents, der weiterhin bei zwölf bis 18 Monaten liegt. Presseberichte vermengen beide Fristen gelegentlich.</w:t>
            </w:r>
          </w:p>
        </w:tc>
      </w:tr>
    </w:tbl>
    <w:p w14:paraId="70A4FFA6" w14:textId="77777777" w:rsidR="00C1548D" w:rsidRDefault="00C1548D">
      <w:pPr>
        <w:spacing w:line="220" w:lineRule="exact"/>
      </w:pPr>
    </w:p>
    <w:p w14:paraId="70A4FFA7" w14:textId="77777777" w:rsidR="00C1548D" w:rsidRDefault="009B1B4B">
      <w:pPr>
        <w:spacing w:after="140"/>
      </w:pPr>
      <w:r>
        <w:t xml:space="preserve">Der eigentliche Ablauf gliedert sich in drei Schritte: Online-Antrag mit Nachweisen zu Aufenthalt, Sprache und Identität; Testtermin </w:t>
      </w:r>
      <w:r>
        <w:lastRenderedPageBreak/>
        <w:t>und, je nach Fall, ein persönliches Interview; und schließlich die Einbürgerungszeremonie, meist per Videokonferenz, seltener in Präsenz im IRCC-Büro. Die Einladung dazu kommt üblicherweise ein bis zwei Wochen vorher; Kernbestandteile sind der Eid oder eine Bestätigung (</w:t>
      </w:r>
      <w:r>
        <w:rPr>
          <w:i/>
          <w:iCs/>
        </w:rPr>
        <w:t>Oath/Affirmation of Citizenship</w:t>
      </w:r>
      <w:r>
        <w:t>), die kanadische Nationalhymne und die Unterschrift des Oath-Formulars. Ab 14 Jahren ist die Teilnahme an 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AA"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4FFA8" w14:textId="77777777" w:rsidR="00C1548D" w:rsidRDefault="009B1B4B">
            <w:pPr>
              <w:keepNext/>
              <w:spacing w:after="70" w:line="240" w:lineRule="auto"/>
            </w:pPr>
            <w:r>
              <w:rPr>
                <w:b/>
                <w:bCs/>
                <w:color w:val="2F6B3B"/>
                <w:spacing w:val="24"/>
                <w:sz w:val="16"/>
                <w:szCs w:val="16"/>
              </w:rPr>
              <w:t>SPARTIPP</w:t>
            </w:r>
          </w:p>
          <w:p w14:paraId="70A4FFA9" w14:textId="77777777" w:rsidR="00C1548D" w:rsidRDefault="009B1B4B">
            <w:pPr>
              <w:spacing w:after="80" w:line="264" w:lineRule="auto"/>
            </w:pPr>
            <w:r>
              <w:rPr>
                <w:sz w:val="20"/>
                <w:szCs w:val="20"/>
              </w:rPr>
              <w:t>Ein Anwalt ist für den Einbürgerungsantrag nicht vorgeschrieben. Bei einer sauberen Aktenlage – korrekt geführtes Reiseprotokoll, keine Lücken bei der Steuererklärung, keine offenen Rechtsfragen – lässt sich der Antrag in aller Regel gut in Eigenregie stellen.</w:t>
            </w:r>
          </w:p>
        </w:tc>
      </w:tr>
    </w:tbl>
    <w:p w14:paraId="70A4FFAB" w14:textId="77777777" w:rsidR="00C1548D" w:rsidRDefault="00C1548D">
      <w:pPr>
        <w:spacing w:line="220" w:lineRule="exact"/>
      </w:pPr>
    </w:p>
    <w:p w14:paraId="70A4FFAC" w14:textId="77777777" w:rsidR="00C1548D" w:rsidRDefault="009B1B4B">
      <w:pPr>
        <w:pStyle w:val="Heading3"/>
        <w:keepNext/>
        <w:jc w:val="center"/>
      </w:pPr>
      <w:r>
        <w:rPr>
          <w:rFonts w:ascii="Amazon Ember" w:eastAsia="Amazon Ember" w:hAnsi="Amazon Ember" w:cs="Amazon Ember"/>
          <w:color w:val="0000FF"/>
          <w:sz w:val="36"/>
          <w:szCs w:val="36"/>
        </w:rPr>
        <w:t>Doppelte Staatsbürgerschaft: Kanada und Deutschland</w:t>
      </w:r>
    </w:p>
    <w:p w14:paraId="70A4FFAD" w14:textId="77777777" w:rsidR="00C1548D" w:rsidRDefault="009B1B4B">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w:t>
      </w:r>
      <w:r>
        <w:t>ält die deutsche Staatsangehörigkeit automatisch, ganz ohne die früher nötige Beibehaltungsgenehmigung.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B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4FFAE" w14:textId="77777777" w:rsidR="00C1548D" w:rsidRDefault="009B1B4B">
            <w:pPr>
              <w:keepNext/>
              <w:spacing w:after="70" w:line="240" w:lineRule="auto"/>
            </w:pPr>
            <w:r>
              <w:rPr>
                <w:b/>
                <w:bCs/>
                <w:color w:val="9B2C2C"/>
                <w:spacing w:val="24"/>
                <w:sz w:val="16"/>
                <w:szCs w:val="16"/>
              </w:rPr>
              <w:lastRenderedPageBreak/>
              <w:t>ACHTUNG</w:t>
            </w:r>
          </w:p>
          <w:p w14:paraId="70A4FFAF" w14:textId="77777777" w:rsidR="00C1548D" w:rsidRDefault="009B1B4B">
            <w:pPr>
              <w:spacing w:after="80" w:line="264" w:lineRule="auto"/>
            </w:pPr>
            <w:r>
              <w:rPr>
                <w:sz w:val="20"/>
                <w:szCs w:val="20"/>
              </w:rPr>
              <w:t>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bereits Folgen hatte, sollte den eigenen Fall beim zuständigen deutschen Generalkons</w:t>
            </w:r>
            <w:r>
              <w:rPr>
                <w:sz w:val="20"/>
                <w:szCs w:val="20"/>
              </w:rPr>
              <w:t>ulat individuell prüfen lassen.</w:t>
            </w:r>
          </w:p>
        </w:tc>
      </w:tr>
    </w:tbl>
    <w:p w14:paraId="70A4FFB1" w14:textId="77777777" w:rsidR="00C1548D" w:rsidRDefault="00C1548D">
      <w:pPr>
        <w:spacing w:line="220" w:lineRule="exact"/>
      </w:pPr>
    </w:p>
    <w:p w14:paraId="70A4FFB2" w14:textId="77777777" w:rsidR="00C1548D" w:rsidRDefault="009B1B4B">
      <w:pPr>
        <w:pStyle w:val="Heading3"/>
        <w:keepNext/>
        <w:jc w:val="center"/>
      </w:pPr>
      <w:r>
        <w:rPr>
          <w:rFonts w:ascii="Amazon Ember" w:eastAsia="Amazon Ember" w:hAnsi="Amazon Ember" w:cs="Amazon Ember"/>
          <w:color w:val="0000FF"/>
          <w:sz w:val="36"/>
          <w:szCs w:val="36"/>
        </w:rPr>
        <w:t>Kinder: das kanadische Geburtsortsprinzip</w:t>
      </w:r>
    </w:p>
    <w:p w14:paraId="70A4FFB3" w14:textId="77777777" w:rsidR="00C1548D" w:rsidRDefault="009B1B4B">
      <w:pPr>
        <w:spacing w:after="140"/>
      </w:pPr>
      <w:r>
        <w:t>Anders als in Australien oder Neuseeland gilt in Kanada ein unbedingtes Geburtsortsprinzip (</w:t>
      </w:r>
      <w:r>
        <w:rPr>
          <w:i/>
          <w:iCs/>
        </w:rPr>
        <w:t>Jus Soli</w:t>
      </w:r>
      <w:r>
        <w:t>): Wer in Kanada geboren wird, ist automatisch kanadischer Staatsbürger, unabhängig vom Aufenthaltsstatus der Eltern – die einzige Ausnahme betrifft Kinder von Diplomaten oder Vertretern fremder Regierungen. Für Familien wie die Ahrens bedeutet das: Ein in Toronto geborenes Geschwisterkind von Finn und Mia wäre vom ersten Atemzug an kanadischer Staatsbürger, selbst wenn die Eltern zu diesem Zeitpunkt noch gar keinen PR-Status gehabt hätten.</w:t>
      </w:r>
    </w:p>
    <w:p w14:paraId="70A4FFB4" w14:textId="77777777" w:rsidR="00C1548D" w:rsidRDefault="009B1B4B">
      <w:pPr>
        <w:spacing w:after="140"/>
      </w:pPr>
      <w:r>
        <w:t>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 dieselbe Tageszahl wie bei der Einb</w:t>
      </w:r>
      <w:r>
        <w:t xml:space="preserve">ürgerung selbst, hier aber auf den Elternteil bezogen. Die deutsche Seite bleibt davon unberührt: Ein Kind mit einem </w:t>
      </w:r>
      <w:r>
        <w:lastRenderedPageBreak/>
        <w:t>deutschen Elternteil ist unabhängig vom Geburtsort von Geburt an deutsch (§ 4 Abs. 1 StAG).</w:t>
      </w:r>
    </w:p>
    <w:p w14:paraId="70A4FFB5" w14:textId="77777777" w:rsidR="00C1548D" w:rsidRDefault="009B1B4B">
      <w:pPr>
        <w:pStyle w:val="Heading3"/>
        <w:keepNext/>
        <w:jc w:val="center"/>
      </w:pPr>
      <w:r>
        <w:rPr>
          <w:rFonts w:ascii="Amazon Ember" w:eastAsia="Amazon Ember" w:hAnsi="Amazon Ember" w:cs="Amazon Ember"/>
          <w:color w:val="0000FF"/>
          <w:sz w:val="36"/>
          <w:szCs w:val="36"/>
        </w:rPr>
        <w:t>Das Steuerresidenz-Prinzip: Wohnsitz statt Pass</w:t>
      </w:r>
    </w:p>
    <w:p w14:paraId="70A4FFB6" w14:textId="135CCF4C" w:rsidR="00C1548D" w:rsidRDefault="009B1B4B">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Einkommen kanadische Steuern – die genauen Kriterien dafür sind ein eigenes, komplexes Thema und im </w:t>
      </w:r>
      <w:hyperlink w:anchor="tka07" w:history="1">
        <w:r>
          <w:rPr>
            <w:color w:val="0563C1"/>
            <w:u w:val="single"/>
          </w:rPr>
          <w:t>Kapitel zu Steuer-ID, Bank und Kredit in diesem Teil</w:t>
        </w:r>
      </w:hyperlink>
      <w:r>
        <w:t xml:space="preserve"> ausführlicher erklärt.</w:t>
      </w:r>
    </w:p>
    <w:p w14:paraId="70A4FFB7" w14:textId="77777777" w:rsidR="00C1548D" w:rsidRDefault="009B1B4B">
      <w:pPr>
        <w:spacing w:after="140"/>
      </w:pPr>
      <w:r>
        <w:t xml:space="preserve">Die USA gehen den entgegengesetzten Weg: Wer den US-Pass trägt, bleibt lebenslang steuerpflichtig, unabhängig vom Wohnort, und ein Verzicht auf die US-Staatsbürgerschaft kann eine eigene Steuer, die </w:t>
      </w:r>
      <w:r>
        <w:rPr>
          <w:i/>
          <w:iCs/>
        </w:rPr>
        <w:t>Exit Tax</w:t>
      </w:r>
      <w:r>
        <w:t xml:space="preserve">, auslösen – nachzulesen im Teil zu den USA in diesem Buch. In Kanada gibt es dieses Konstrukt nicht: Der Verzicht auf die kanadische Staatsbürgerschaft selbst löst keine gesonderte Steuer aus. Was es gibt, ist eine „Deemed Disposition“ (eine fiktive Veräußerung des Vermögens zum Marktwert), die beim Wegzug als Steuerresident anfallen kann – das betrifft aber jeden, der die steuerliche Ansässigkeit aufgibt, unabhängig davon, ob er den kanadischen Pass behält, ablegt oder nie besessen hat. Es ist eine Frage </w:t>
      </w:r>
      <w:r>
        <w:t>des Steuerwohnsitzes, keine Frage der Staatsangehörigkeit.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B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4FFB8" w14:textId="77777777" w:rsidR="00C1548D" w:rsidRDefault="009B1B4B">
            <w:pPr>
              <w:keepNext/>
              <w:spacing w:after="70" w:line="240" w:lineRule="auto"/>
            </w:pPr>
            <w:r>
              <w:rPr>
                <w:b/>
                <w:bCs/>
                <w:color w:val="8A6212"/>
                <w:spacing w:val="24"/>
                <w:sz w:val="16"/>
                <w:szCs w:val="16"/>
              </w:rPr>
              <w:lastRenderedPageBreak/>
              <w:t>MERKE</w:t>
            </w:r>
          </w:p>
          <w:p w14:paraId="70A4FFB9" w14:textId="77777777" w:rsidR="00C1548D" w:rsidRDefault="009B1B4B">
            <w:pPr>
              <w:spacing w:after="80" w:line="264" w:lineRule="auto"/>
            </w:pPr>
            <w:r>
              <w:rPr>
                <w:sz w:val="20"/>
                <w:szCs w:val="20"/>
              </w:rPr>
              <w:t>Der kanadische Pass hat keine steuerlichen Nebenwirkungen. Was zählt, ist immer, wo du tatsächlich lebst – nicht, welchen Ausweis du dabei in der Tasche trägst.</w:t>
            </w:r>
          </w:p>
        </w:tc>
      </w:tr>
    </w:tbl>
    <w:p w14:paraId="70A4FFBB"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BE"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4FFBC" w14:textId="77777777" w:rsidR="00C1548D" w:rsidRDefault="009B1B4B">
            <w:pPr>
              <w:keepNext/>
              <w:spacing w:after="70" w:line="240" w:lineRule="auto"/>
            </w:pPr>
            <w:r>
              <w:rPr>
                <w:b/>
                <w:bCs/>
                <w:color w:val="4A5568"/>
                <w:spacing w:val="24"/>
                <w:sz w:val="16"/>
                <w:szCs w:val="16"/>
              </w:rPr>
              <w:t>PRAXISBEISPIEL · FIKTIV</w:t>
            </w:r>
          </w:p>
          <w:p w14:paraId="70A4FFBD" w14:textId="77777777" w:rsidR="00C1548D" w:rsidRDefault="009B1B4B">
            <w:pPr>
              <w:spacing w:after="80" w:line="264" w:lineRule="auto"/>
            </w:pPr>
            <w:r>
              <w:rPr>
                <w:sz w:val="20"/>
                <w:szCs w:val="20"/>
              </w:rPr>
              <w:t>Familie Ahrens (fiktives Beispiel) lebt seit einigen Jahren mit kanadischem Pass in Toronto, als Markus überlegt, ein Angebot eines Leipziger Arbeitgebers anzunehmen und mit der Familie für zwei Jahre nach Deutschland zurückzukehren. Sein erster Gedanke gilt der Sorge, ob Kanada ihn dann weiter besteuert, weil er ja Staatsbürger bleibt. Ein Steuerberater klärt ihn auf: Sobald die Familie Wohnung, Schulplätze und den Lebensmittelpunkt nach Leipzig verlagert und keine wesentlichen kanadischen Bindungen mehr h</w:t>
            </w:r>
            <w:r>
              <w:rPr>
                <w:sz w:val="20"/>
                <w:szCs w:val="20"/>
              </w:rPr>
              <w:t xml:space="preserve">at, gilt Markus als </w:t>
            </w:r>
            <w:r>
              <w:rPr>
                <w:i/>
                <w:iCs/>
                <w:sz w:val="20"/>
                <w:szCs w:val="20"/>
              </w:rPr>
              <w:t>Non-Resident</w:t>
            </w:r>
            <w:r>
              <w:rPr>
                <w:sz w:val="20"/>
                <w:szCs w:val="20"/>
              </w:rPr>
              <w:t xml:space="preserve"> – unabhängig vom kanadischen Pass. Kanadische Steuern fallen dann nur noch auf rein kanadische Einkünfte an, etwa eine vermietete Eigentumswohnung in Toronto, nicht auf sein neues deutsches Gehalt.</w:t>
            </w:r>
          </w:p>
        </w:tc>
      </w:tr>
    </w:tbl>
    <w:p w14:paraId="70A4FFBF"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C2"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FC0" w14:textId="77777777" w:rsidR="00C1548D" w:rsidRDefault="009B1B4B">
            <w:pPr>
              <w:keepNext/>
              <w:spacing w:after="70" w:line="240" w:lineRule="auto"/>
            </w:pPr>
            <w:r>
              <w:rPr>
                <w:b/>
                <w:bCs/>
                <w:color w:val="6B7280"/>
                <w:spacing w:val="24"/>
                <w:sz w:val="16"/>
                <w:szCs w:val="16"/>
              </w:rPr>
              <w:t>KEIN RECHTSRAT</w:t>
            </w:r>
          </w:p>
          <w:p w14:paraId="70A4FFC1" w14:textId="77777777" w:rsidR="00C1548D" w:rsidRDefault="009B1B4B">
            <w:pPr>
              <w:spacing w:after="80" w:line="264" w:lineRule="auto"/>
            </w:pPr>
            <w:r>
              <w:rPr>
                <w:sz w:val="20"/>
                <w:szCs w:val="20"/>
              </w:rPr>
              <w:t>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w:t>
            </w:r>
            <w:r>
              <w:rPr>
                <w:sz w:val="20"/>
                <w:szCs w:val="20"/>
              </w:rPr>
              <w:t>tschen abstimmt.</w:t>
            </w:r>
          </w:p>
        </w:tc>
      </w:tr>
    </w:tbl>
    <w:p w14:paraId="70A4FFC3" w14:textId="77777777" w:rsidR="00C1548D" w:rsidRDefault="00C1548D">
      <w:pPr>
        <w:spacing w:line="220" w:lineRule="exact"/>
      </w:pPr>
    </w:p>
    <w:p w14:paraId="70A4FFC4"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4FFC7"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FC5"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4FFC6" w14:textId="77777777" w:rsidR="00C1548D" w:rsidRDefault="009B1B4B">
            <w:pPr>
              <w:spacing w:line="250" w:lineRule="auto"/>
            </w:pPr>
            <w:r>
              <w:rPr>
                <w:b/>
                <w:bCs/>
                <w:sz w:val="18"/>
                <w:szCs w:val="18"/>
              </w:rPr>
              <w:t>Minus</w:t>
            </w:r>
          </w:p>
        </w:tc>
      </w:tr>
      <w:tr w:rsidR="00C1548D" w14:paraId="70A4FFC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C8" w14:textId="77777777" w:rsidR="00C1548D" w:rsidRDefault="009B1B4B">
            <w:pPr>
              <w:spacing w:line="250" w:lineRule="auto"/>
            </w:pPr>
            <w:r>
              <w:rPr>
                <w:sz w:val="18"/>
                <w:szCs w:val="18"/>
              </w:rPr>
              <w:t>Kein Zwang zur Aufgabe der deutschen Staatsangehörigkeit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C9" w14:textId="77777777" w:rsidR="00C1548D" w:rsidRDefault="009B1B4B">
            <w:pPr>
              <w:spacing w:line="250" w:lineRule="auto"/>
            </w:pPr>
            <w:r>
              <w:rPr>
                <w:sz w:val="18"/>
                <w:szCs w:val="18"/>
              </w:rPr>
              <w:t>Zwei getrennte 730-Tage-Regeln (PR-Erhalt und Einbürgerungsfähigkeit) werden leicht verwechselt</w:t>
            </w:r>
          </w:p>
        </w:tc>
      </w:tr>
      <w:tr w:rsidR="00C1548D" w14:paraId="70A4FFC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CB" w14:textId="77777777" w:rsidR="00C1548D" w:rsidRDefault="009B1B4B">
            <w:pPr>
              <w:spacing w:line="250" w:lineRule="auto"/>
            </w:pPr>
            <w:r>
              <w:rPr>
                <w:sz w:val="18"/>
                <w:szCs w:val="18"/>
              </w:rPr>
              <w:lastRenderedPageBreak/>
              <w:t>Unbedingtes Jus Soli für in Kanada geborene Kinder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CC" w14:textId="77777777" w:rsidR="00C1548D" w:rsidRDefault="009B1B4B">
            <w:pPr>
              <w:spacing w:line="250" w:lineRule="auto"/>
            </w:pPr>
            <w:r>
              <w:rPr>
                <w:sz w:val="18"/>
                <w:szCs w:val="18"/>
              </w:rPr>
              <w:t>Anrechnungsdeckel von 365 halben Tagen für Zeit vor dem PR-Status oft unterschätzt</w:t>
            </w:r>
          </w:p>
        </w:tc>
      </w:tr>
      <w:tr w:rsidR="00C1548D" w14:paraId="70A4FFD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CE" w14:textId="77777777" w:rsidR="00C1548D" w:rsidRDefault="009B1B4B">
            <w:pPr>
              <w:spacing w:line="250" w:lineRule="auto"/>
            </w:pPr>
            <w:r>
              <w:rPr>
                <w:sz w:val="18"/>
                <w:szCs w:val="18"/>
              </w:rPr>
              <w:t>Steuerpflicht endet mit dem Steuerwohnsitz, nicht mit dem Pass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CF" w14:textId="77777777" w:rsidR="00C1548D" w:rsidRDefault="009B1B4B">
            <w:pPr>
              <w:spacing w:line="250" w:lineRule="auto"/>
            </w:pPr>
            <w:r>
              <w:rPr>
                <w:sz w:val="18"/>
                <w:szCs w:val="18"/>
              </w:rPr>
              <w:t>Gesamtdauer bis zum Pass real oft 6 bis 9 Jahre, nicht die schnellstmöglichen 4</w:t>
            </w:r>
          </w:p>
        </w:tc>
      </w:tr>
      <w:tr w:rsidR="00C1548D" w14:paraId="70A4FFD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D1" w14:textId="77777777" w:rsidR="00C1548D" w:rsidRDefault="009B1B4B">
            <w:pPr>
              <w:spacing w:line="250" w:lineRule="auto"/>
            </w:pPr>
            <w:r>
              <w:rPr>
                <w:sz w:val="18"/>
                <w:szCs w:val="18"/>
              </w:rPr>
              <w:t>Keine Exit Tax beim Verzicht auf die Staatsbürgerschaft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D2" w14:textId="77777777" w:rsidR="00C1548D" w:rsidRDefault="009B1B4B">
            <w:pPr>
              <w:spacing w:line="250" w:lineRule="auto"/>
            </w:pPr>
            <w:r>
              <w:rPr>
                <w:sz w:val="18"/>
                <w:szCs w:val="18"/>
              </w:rPr>
              <w:t>„Proof of Citizenship“-Zertifikat (getrennt vom Grant-Antrag) aktuell mit 33 Monaten Wartezeit</w:t>
            </w:r>
          </w:p>
        </w:tc>
      </w:tr>
      <w:tr w:rsidR="00C1548D" w14:paraId="70A4FFD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D4" w14:textId="77777777" w:rsidR="00C1548D" w:rsidRDefault="009B1B4B">
            <w:pPr>
              <w:spacing w:line="250" w:lineRule="auto"/>
            </w:pPr>
            <w:r>
              <w:rPr>
                <w:sz w:val="18"/>
                <w:szCs w:val="18"/>
              </w:rPr>
              <w:t>Test und Sprachnachweis entfallen komplett unter 18 und ab 55 Jahren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4FFD5" w14:textId="77777777" w:rsidR="00C1548D" w:rsidRDefault="009B1B4B">
            <w:pPr>
              <w:spacing w:line="250" w:lineRule="auto"/>
            </w:pPr>
            <w:r>
              <w:rPr>
                <w:sz w:val="18"/>
                <w:szCs w:val="18"/>
              </w:rPr>
              <w:t>Reform von 2024 wirkt nicht rückwirkend für ältere Einbürgerungsfälle</w:t>
            </w:r>
          </w:p>
        </w:tc>
      </w:tr>
    </w:tbl>
    <w:p w14:paraId="70A4FFD7" w14:textId="77777777" w:rsidR="00C1548D" w:rsidRDefault="00C1548D">
      <w:pPr>
        <w:spacing w:line="180" w:lineRule="exact"/>
      </w:pPr>
    </w:p>
    <w:p w14:paraId="70A4FFD8"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4FFD9" w14:textId="77777777" w:rsidR="00C1548D" w:rsidRDefault="009B1B4B">
      <w:pPr>
        <w:spacing w:after="140"/>
      </w:pPr>
      <w:r>
        <w:t>Rechne früh aus, über welchen Weg du realistisch den PR-Status erreichst, denn davon hängt die gesamte weitere Zeitachse ab – und rechne dabei bewusst mit dem Anrechnungsdeckel, nicht mit der vollen Aufenthaltsdauer vor dem PR-Status. Führe von Anfang an ein Reiseprotokoll aller Auslandsaufenthalte, damit die 1.095-Tage-Rechnung am Ende nicht zur Detektivarbeit wird. Bereite Sprachnachweis und Staatskundetest rechtzeitig vor, falls du zwischen 18 und 54 Jahre alt bist. Bei der Steuerresidenz gilt: Sprich fr</w:t>
      </w:r>
      <w:r>
        <w:t>ühzeitig mit einer Steuerfachperson, sobald ein Wegzug aus Kanada – auch nur vorübergehend – im Raum steht, denn das betrifft dich unabhängig davon, ob du je einbürgern willst oder den Pass schon hast.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E5"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4FFDA" w14:textId="77777777" w:rsidR="00C1548D" w:rsidRDefault="009B1B4B">
            <w:pPr>
              <w:keepNext/>
              <w:spacing w:after="70" w:line="240" w:lineRule="auto"/>
            </w:pPr>
            <w:r>
              <w:rPr>
                <w:b/>
                <w:bCs/>
                <w:color w:val="1F6F78"/>
                <w:spacing w:val="24"/>
                <w:sz w:val="16"/>
                <w:szCs w:val="16"/>
              </w:rPr>
              <w:lastRenderedPageBreak/>
              <w:t>CHECKLISTE</w:t>
            </w:r>
          </w:p>
          <w:p w14:paraId="70A4FFD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Einstiegsweg (direktes PR-Visum oder Übergang vom befristeten Permit) und realistische Gesamtdauer bis zum Antrag eingeschätzt</w:t>
            </w:r>
          </w:p>
          <w:p w14:paraId="70A4FFD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Anrechnungsdeckel (max. 365 Tage zur Hälfte) für Zeit vor dem PR-Status korrekt einkalkuliert</w:t>
            </w:r>
          </w:p>
          <w:p w14:paraId="70A4FFD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Unterschied zwischen PR-Erhalt (730/1.825 Tage) und Einbürgerungsfähigkeit (1.095/1.825 Tage, davon ≥ 730 als PR) verstanden</w:t>
            </w:r>
          </w:p>
          <w:p w14:paraId="70A4FFD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Reiseprotokoll aller Auslandsaufenthalte seit Einreise geführt</w:t>
            </w:r>
          </w:p>
          <w:p w14:paraId="70A4FFD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Sprachnachweis (CLB/NCLC 4) und Staatskundetest vorbereitet, falls zwischen 18 und 54 Jahre alt</w:t>
            </w:r>
          </w:p>
          <w:p w14:paraId="70A4FFE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Steuererklärungspflicht in mindestens drei der letzten fünf Jahre erfüllt</w:t>
            </w:r>
          </w:p>
          <w:p w14:paraId="70A4FFE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im Ausland geborenen Kindern: Bill-C-3-Regeln und Substantial Connection Test geprüft</w:t>
            </w:r>
          </w:p>
          <w:p w14:paraId="70A4FFE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steuerlichen Status (Tax Resident oder Non-Resident) mit einer Steuerfachperson geklärt</w:t>
            </w:r>
          </w:p>
          <w:p w14:paraId="70A4FFE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geplantem Wegzug aus Kanada: Folgen einer „Deemed Disposition“ vorab mit Steuerberatung geprüft</w:t>
            </w:r>
          </w:p>
          <w:p w14:paraId="70A4FFE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Regulären Einbürgerungsantrag nicht mit dem separaten „Proof of Citizenship“-Verfahren verwechselt</w:t>
            </w:r>
          </w:p>
        </w:tc>
      </w:tr>
    </w:tbl>
    <w:p w14:paraId="70A4FFE6" w14:textId="77777777" w:rsidR="00C1548D" w:rsidRDefault="00C1548D">
      <w:pPr>
        <w:spacing w:line="220" w:lineRule="exact"/>
      </w:pPr>
    </w:p>
    <w:p w14:paraId="70A4FFE7"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4FFE8" w14:textId="33DA1267" w:rsidR="00C1548D" w:rsidRDefault="009B1B4B" w:rsidP="009B1B4B">
      <w:pPr>
        <w:pStyle w:val="ListParagraph"/>
        <w:numPr>
          <w:ilvl w:val="0"/>
          <w:numId w:val="1"/>
        </w:numPr>
        <w:spacing w:after="60"/>
      </w:pPr>
      <w:hyperlink r:id="rId591" w:history="1">
        <w:r>
          <w:rPr>
            <w:color w:val="0563C1"/>
            <w:u w:val="single"/>
          </w:rPr>
          <w:t>canada.ca</w:t>
        </w:r>
      </w:hyperlink>
      <w:r>
        <w:t xml:space="preserve"> – Citizenship: physical presence calculator, requirements, fees</w:t>
      </w:r>
    </w:p>
    <w:p w14:paraId="70A4FFE9" w14:textId="473484FF" w:rsidR="00C1548D" w:rsidRDefault="009B1B4B" w:rsidP="009B1B4B">
      <w:pPr>
        <w:pStyle w:val="ListParagraph"/>
        <w:numPr>
          <w:ilvl w:val="0"/>
          <w:numId w:val="1"/>
        </w:numPr>
        <w:spacing w:after="60"/>
      </w:pPr>
      <w:hyperlink r:id="rId592" w:history="1">
        <w:r>
          <w:rPr>
            <w:color w:val="0563C1"/>
            <w:u w:val="single"/>
          </w:rPr>
          <w:t>canada.ca</w:t>
        </w:r>
      </w:hyperlink>
      <w:r>
        <w:t xml:space="preserve"> – Understand permanent resident status, IRPA-Aufenthaltspflichten</w:t>
      </w:r>
    </w:p>
    <w:p w14:paraId="70A4FFEA" w14:textId="3DA12CA0" w:rsidR="00C1548D" w:rsidRDefault="009B1B4B" w:rsidP="009B1B4B">
      <w:pPr>
        <w:pStyle w:val="ListParagraph"/>
        <w:numPr>
          <w:ilvl w:val="0"/>
          <w:numId w:val="1"/>
        </w:numPr>
        <w:spacing w:after="60"/>
      </w:pPr>
      <w:hyperlink r:id="rId593" w:history="1">
        <w:r>
          <w:rPr>
            <w:color w:val="0563C1"/>
            <w:u w:val="single"/>
          </w:rPr>
          <w:t>cra-arc.gc.ca</w:t>
        </w:r>
      </w:hyperlink>
      <w:r>
        <w:t xml:space="preserve"> – Non-residents of Canada, steuerliche Ansässigkeit</w:t>
      </w:r>
    </w:p>
    <w:p w14:paraId="70A4FFEB" w14:textId="257E764C" w:rsidR="00C1548D" w:rsidRDefault="009B1B4B" w:rsidP="009B1B4B">
      <w:pPr>
        <w:pStyle w:val="ListParagraph"/>
        <w:numPr>
          <w:ilvl w:val="0"/>
          <w:numId w:val="1"/>
        </w:numPr>
        <w:spacing w:after="60"/>
      </w:pPr>
      <w:hyperlink r:id="rId594" w:history="1">
        <w:r>
          <w:rPr>
            <w:color w:val="0563C1"/>
            <w:u w:val="single"/>
          </w:rPr>
          <w:t>bmi.bund.de</w:t>
        </w:r>
      </w:hyperlink>
      <w:r>
        <w:t xml:space="preserve"> – Staatsangehörigkeitsrecht, Reform 2024</w:t>
      </w:r>
    </w:p>
    <w:p w14:paraId="70A4FFEC" w14:textId="631DDF8D" w:rsidR="00C1548D" w:rsidRDefault="009B1B4B" w:rsidP="009B1B4B">
      <w:pPr>
        <w:pStyle w:val="ListParagraph"/>
        <w:numPr>
          <w:ilvl w:val="0"/>
          <w:numId w:val="1"/>
        </w:numPr>
        <w:spacing w:after="60"/>
      </w:pPr>
      <w:hyperlink r:id="rId595" w:history="1">
        <w:r>
          <w:rPr>
            <w:color w:val="0563C1"/>
            <w:u w:val="single"/>
          </w:rPr>
          <w:t>kanada.diplo.de</w:t>
        </w:r>
      </w:hyperlink>
      <w:r>
        <w:t xml:space="preserve"> – Deutsche Botschaft Ottawa, Generalkonsulate, Beratung zur doppelten Staatsangehörigkeit</w:t>
      </w:r>
    </w:p>
    <w:p w14:paraId="70A4FFED"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F0"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4FFEE" w14:textId="77777777" w:rsidR="00C1548D" w:rsidRDefault="009B1B4B">
            <w:pPr>
              <w:keepNext/>
              <w:spacing w:after="70" w:line="240" w:lineRule="auto"/>
            </w:pPr>
            <w:r>
              <w:rPr>
                <w:b/>
                <w:bCs/>
                <w:color w:val="6B7280"/>
                <w:spacing w:val="24"/>
                <w:sz w:val="16"/>
                <w:szCs w:val="16"/>
              </w:rPr>
              <w:lastRenderedPageBreak/>
              <w:t>STAND</w:t>
            </w:r>
          </w:p>
          <w:p w14:paraId="70A4FFEF" w14:textId="77777777" w:rsidR="00C1548D" w:rsidRDefault="009B1B4B">
            <w:pPr>
              <w:spacing w:after="80" w:line="264" w:lineRule="auto"/>
            </w:pPr>
            <w:r>
              <w:rPr>
                <w:sz w:val="20"/>
                <w:szCs w:val="20"/>
              </w:rPr>
              <w:t>September 2026. Schnell ändern sich: die Einbürgerungsgebühr, Bearbeitungs- und Wartezeiten bis zur Zeremonie sowie Detailfragen der Steuerresidenz-Tests. Prüfe vor jeder Entscheidung die aktuellen Seiten von IRCC und CRA.</w:t>
            </w:r>
          </w:p>
        </w:tc>
      </w:tr>
    </w:tbl>
    <w:p w14:paraId="70A4FFF1" w14:textId="77777777" w:rsidR="00C1548D" w:rsidRDefault="00C1548D">
      <w:pPr>
        <w:spacing w:line="220" w:lineRule="exact"/>
      </w:pPr>
    </w:p>
    <w:p w14:paraId="70A4FFF2" w14:textId="77777777" w:rsidR="00C1548D" w:rsidRDefault="00C1548D">
      <w:pPr>
        <w:sectPr w:rsidR="00C1548D">
          <w:footerReference w:type="default" r:id="rId596"/>
          <w:pgSz w:w="8640" w:h="12960"/>
          <w:pgMar w:top="1080" w:right="1080" w:bottom="1100" w:left="1080" w:header="708" w:footer="708" w:gutter="0"/>
          <w:cols w:space="720"/>
          <w:docGrid w:linePitch="360"/>
        </w:sectPr>
      </w:pPr>
    </w:p>
    <w:p w14:paraId="70A4FFF3" w14:textId="77777777" w:rsidR="00C1548D" w:rsidRDefault="009B1B4B">
      <w:pPr>
        <w:pStyle w:val="Heading1"/>
        <w:jc w:val="center"/>
      </w:pPr>
      <w:bookmarkStart w:id="167" w:name="_Toc241352535"/>
      <w:r>
        <w:rPr>
          <w:rFonts w:ascii="Amazon Ember" w:eastAsia="Amazon Ember" w:hAnsi="Amazon Ember" w:cs="Amazon Ember"/>
          <w:color w:val="0000FF"/>
        </w:rPr>
        <w:lastRenderedPageBreak/>
        <w:t>TEIL NEUSEELAND — Am Ende der Welt neu anfangen</w:t>
      </w:r>
      <w:bookmarkEnd w:id="167"/>
    </w:p>
    <w:p w14:paraId="70A4FFF4" w14:textId="77777777" w:rsidR="00C1548D" w:rsidRDefault="009B1B4B">
      <w:pPr>
        <w:spacing w:after="160" w:line="300" w:lineRule="auto"/>
        <w:ind w:left="400" w:right="400"/>
        <w:jc w:val="center"/>
      </w:pPr>
      <w:r>
        <w:rPr>
          <w:i/>
          <w:iCs/>
          <w:sz w:val="24"/>
          <w:szCs w:val="24"/>
        </w:rPr>
        <w:t>Neuseeland ist das am weitesten entfernte der vier Länder dieses Buches, mit dem niedrigsten Steuerkeil und einem eigenen Verhältnis zu Familie, Ruhestand und Naturgefahren. Dieser Teil begleitet Familie Krüger und Paul Lindner durch Einwanderungswege, Alltag und die Frage, ob die Distanz zu Deutschland für dich tragbar ist.</w:t>
      </w:r>
    </w:p>
    <w:p w14:paraId="70A4FFF5" w14:textId="77777777" w:rsidR="00C1548D" w:rsidRDefault="00C1548D">
      <w:pPr>
        <w:sectPr w:rsidR="00C1548D">
          <w:footerReference w:type="default" r:id="rId597"/>
          <w:pgSz w:w="8640" w:h="12960"/>
          <w:pgMar w:top="1080" w:right="1080" w:bottom="1100" w:left="1080" w:header="708" w:footer="708" w:gutter="0"/>
          <w:cols w:space="720"/>
          <w:vAlign w:val="center"/>
          <w:docGrid w:linePitch="360"/>
        </w:sectPr>
      </w:pPr>
    </w:p>
    <w:p w14:paraId="70A4FFF6" w14:textId="77777777" w:rsidR="00C1548D" w:rsidRDefault="009B1B4B">
      <w:pPr>
        <w:pStyle w:val="Heading2"/>
        <w:keepNext/>
        <w:pageBreakBefore/>
        <w:jc w:val="center"/>
      </w:pPr>
      <w:bookmarkStart w:id="168" w:name="tnz01"/>
      <w:bookmarkStart w:id="169" w:name="_Toc241352536"/>
      <w:r>
        <w:rPr>
          <w:rFonts w:ascii="Amazon Ember" w:eastAsia="Amazon Ember" w:hAnsi="Amazon Ember" w:cs="Amazon Ember"/>
          <w:color w:val="0000FF"/>
          <w:sz w:val="36"/>
          <w:szCs w:val="36"/>
        </w:rPr>
        <w:lastRenderedPageBreak/>
        <w:t>Neuseeland: Die ehrliche Bilanz</w:t>
      </w:r>
      <w:bookmarkEnd w:id="168"/>
      <w:bookmarkEnd w:id="169"/>
    </w:p>
    <w:p w14:paraId="70A4FFF7" w14:textId="77777777" w:rsidR="00C1548D" w:rsidRDefault="009B1B4B">
      <w:pPr>
        <w:spacing w:after="140"/>
      </w:pPr>
      <w:r>
        <w:t xml:space="preserve">Auf dem Küchentisch der Krügers in Rostock liegt ein Ausdruck der Green List, mit gelbem Textmarker an zwei Stellen markiert: Agrarwissenschaften, Tiermedizin. Sebastian, 43, Agraringenieur, hat seinen künftigen Arbeitgeber in Christchurch bereits zweimal am Telefon gehabt; Petra, 40, Tierärztin, rechnet parallel nach, was von einem neuseeländischen Gehalt nach Steuern tatsächlich übrig bleibt – und stößt auf eine Zahl, die sie zunächst für einen Tippfehler hält. Der Anteil, den Steuern und Abgaben von den </w:t>
      </w:r>
      <w:r>
        <w:t>gesamten Arbeitskosten wegnehmen, liegt in Neuseeland nicht nur deutlich unter dem deutschen Wert, sondern auch spürbar unter dem von Australien und Kanada. Bevor aus dieser Zahl eine Entscheidung wird, verdient sie einen zweiten, nüchternen Blick – zusammen mit allem, was sie nicht zeigt. Genau den liefert dieses Kapitel.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4FFFF"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4FFF8" w14:textId="77777777" w:rsidR="00C1548D" w:rsidRDefault="009B1B4B">
            <w:pPr>
              <w:keepNext/>
              <w:spacing w:after="70" w:line="240" w:lineRule="auto"/>
            </w:pPr>
            <w:r>
              <w:rPr>
                <w:b/>
                <w:bCs/>
                <w:color w:val="1F3A5F"/>
                <w:spacing w:val="24"/>
                <w:sz w:val="16"/>
                <w:szCs w:val="16"/>
              </w:rPr>
              <w:lastRenderedPageBreak/>
              <w:t>KURZ GESAGT</w:t>
            </w:r>
          </w:p>
          <w:p w14:paraId="70A4FFF9" w14:textId="77777777" w:rsidR="00C1548D" w:rsidRDefault="009B1B4B" w:rsidP="009B1B4B">
            <w:pPr>
              <w:pStyle w:val="ListParagraph"/>
              <w:numPr>
                <w:ilvl w:val="0"/>
                <w:numId w:val="1"/>
              </w:numPr>
              <w:spacing w:after="50" w:line="264" w:lineRule="auto"/>
            </w:pPr>
            <w:r>
              <w:rPr>
                <w:sz w:val="20"/>
                <w:szCs w:val="20"/>
              </w:rPr>
              <w:t>Der OECD-Steuerkeil zeigt Neuseeland 2025 bei 18,5 % – der niedrigste Wert unter den vier Zielländern dieses Buches, weit unter Deutschland (49,3 %) und auch unter Australien (29,6 %) und Kanada (32,0 %).</w:t>
            </w:r>
          </w:p>
          <w:p w14:paraId="70A4FFFA" w14:textId="77777777" w:rsidR="00C1548D" w:rsidRDefault="009B1B4B" w:rsidP="009B1B4B">
            <w:pPr>
              <w:pStyle w:val="ListParagraph"/>
              <w:numPr>
                <w:ilvl w:val="0"/>
                <w:numId w:val="1"/>
              </w:numPr>
              <w:spacing w:after="50" w:line="264" w:lineRule="auto"/>
            </w:pPr>
            <w:r>
              <w:rPr>
                <w:sz w:val="20"/>
                <w:szCs w:val="20"/>
              </w:rPr>
              <w:t>Die Kehrseite: keine Steuerfreigrenze (der Satz greift ab dem ersten Dollar) und kein Sozialsystem, das der deutschen Kombination aus GKV und gesetzlicher Rente entspricht.</w:t>
            </w:r>
          </w:p>
          <w:p w14:paraId="70A4FFFB" w14:textId="77777777" w:rsidR="00C1548D" w:rsidRDefault="009B1B4B" w:rsidP="009B1B4B">
            <w:pPr>
              <w:pStyle w:val="ListParagraph"/>
              <w:numPr>
                <w:ilvl w:val="0"/>
                <w:numId w:val="1"/>
              </w:numPr>
              <w:spacing w:after="50" w:line="264" w:lineRule="auto"/>
            </w:pPr>
            <w:r>
              <w:rPr>
                <w:sz w:val="20"/>
                <w:szCs w:val="20"/>
              </w:rPr>
              <w:t>Das öffentliche Gesundheitssystem steht erst Inhabern eines Visums mit mindestens 2 Jahren Laufzeit offen; wer kürzer bleibt, braucht eine private Übergangsversicherung.</w:t>
            </w:r>
          </w:p>
          <w:p w14:paraId="70A4FFFC" w14:textId="77777777" w:rsidR="00C1548D" w:rsidRDefault="009B1B4B" w:rsidP="009B1B4B">
            <w:pPr>
              <w:pStyle w:val="ListParagraph"/>
              <w:numPr>
                <w:ilvl w:val="0"/>
                <w:numId w:val="1"/>
              </w:numPr>
              <w:spacing w:after="50" w:line="264" w:lineRule="auto"/>
            </w:pPr>
            <w:r>
              <w:rPr>
                <w:sz w:val="20"/>
                <w:szCs w:val="20"/>
              </w:rPr>
              <w:t>KiwiSaver, das neuseeländische Altersvorsorgesystem, ist nur für Bürger und Personen mit unbefristetem Aufenthaltsrecht offen – mit einem befristeten Arbeitsvisum bleibst du in der Regel außen vor, bis die Residency erreicht ist.</w:t>
            </w:r>
          </w:p>
          <w:p w14:paraId="70A4FFFD" w14:textId="77777777" w:rsidR="00C1548D" w:rsidRDefault="009B1B4B" w:rsidP="009B1B4B">
            <w:pPr>
              <w:pStyle w:val="ListParagraph"/>
              <w:numPr>
                <w:ilvl w:val="0"/>
                <w:numId w:val="1"/>
              </w:numPr>
              <w:spacing w:after="50" w:line="264" w:lineRule="auto"/>
            </w:pPr>
            <w:r>
              <w:rPr>
                <w:sz w:val="20"/>
                <w:szCs w:val="20"/>
              </w:rPr>
              <w:t>ACC deckt jeden Unfall in Neuseeland ohne Verschuldensfrage ab, auch bei Touristen und Kindern – im Gegenzug entfällt für Personenschäden praktisch das Klagerecht auf Schadensersatz.</w:t>
            </w:r>
          </w:p>
          <w:p w14:paraId="70A4FFFE" w14:textId="77777777" w:rsidR="00C1548D" w:rsidRDefault="009B1B4B" w:rsidP="009B1B4B">
            <w:pPr>
              <w:pStyle w:val="ListParagraph"/>
              <w:numPr>
                <w:ilvl w:val="0"/>
                <w:numId w:val="1"/>
              </w:numPr>
              <w:spacing w:after="50" w:line="264" w:lineRule="auto"/>
            </w:pPr>
            <w:r>
              <w:rPr>
                <w:sz w:val="20"/>
                <w:szCs w:val="20"/>
              </w:rPr>
              <w:t>Auckland und Wellington liegen bei den Lebenshaltungskosten merklich unter München und Berlin – aber Neuseeland ist von den vier Ländern am weitesten von Deutschland entfernt: kein Direktflug, rund 24 Stunden Reisezeit, 11 bis 12 Stunden Zeitverschiebung.</w:t>
            </w:r>
          </w:p>
        </w:tc>
      </w:tr>
    </w:tbl>
    <w:p w14:paraId="70A50000" w14:textId="77777777" w:rsidR="00C1548D" w:rsidRDefault="00C1548D">
      <w:pPr>
        <w:spacing w:line="220" w:lineRule="exact"/>
      </w:pPr>
    </w:p>
    <w:p w14:paraId="70A50001" w14:textId="77777777" w:rsidR="00C1548D" w:rsidRDefault="009B1B4B">
      <w:pPr>
        <w:pStyle w:val="Heading3"/>
        <w:keepNext/>
        <w:jc w:val="center"/>
      </w:pPr>
      <w:r>
        <w:rPr>
          <w:rFonts w:ascii="Amazon Ember" w:eastAsia="Amazon Ember" w:hAnsi="Amazon Ember" w:cs="Amazon Ember"/>
          <w:color w:val="0000FF"/>
          <w:sz w:val="36"/>
          <w:szCs w:val="36"/>
        </w:rPr>
        <w:t>Gehalt, Steuern und der niedrigste Steuerkeil der vier Länder</w:t>
      </w:r>
    </w:p>
    <w:p w14:paraId="70A50002" w14:textId="77777777" w:rsidR="00C1548D" w:rsidRDefault="009B1B4B">
      <w:pPr>
        <w:spacing w:after="140"/>
      </w:pPr>
      <w:r>
        <w:t>Wer zum ersten Mal ein neuseeländisches Jobangebot neben die deutsche Gehaltsabrechnung legt, sieht selten die spektakuläre Bruttozahl, die man aus manchem US-amerikanischen Vergleich kennt. Interessant wird es erst beim zweiten Blick, dem OECD-Steuerkeil (</w:t>
      </w:r>
      <w:r>
        <w:rPr>
          <w:i/>
          <w:iCs/>
        </w:rPr>
        <w:t>Tax Wedge</w:t>
      </w:r>
      <w:r>
        <w:t xml:space="preserve">, das Verhältnis aus Einkommensteuer plus Arbeitnehmer- und Arbeitgeberabgaben abzüglich Familienleistungen zu den gesamten Arbeitskosten). Für einen kinderlosen Durchschnittsverdiener lag er 2025 in Neuseeland bei </w:t>
      </w:r>
      <w:r>
        <w:lastRenderedPageBreak/>
        <w:t xml:space="preserve">18,5 % – niedriger als in Australien (29,6 %, 2024), niedriger als in Kanada (32,0 %, 2024) und weit unter dem deutschen Wert von 49,3 % (2025), dem zweithöchsten unter 38 OECD-Ländern nach Belgien. Unter den vier Zielländern dieses Buches ist Neuseeland damit der Spitzenreiter bei der niedrigen </w:t>
      </w:r>
      <w:r>
        <w:t>Abgabenlast – allerdings, wie so oft bei Zahlen, die zu gut aussehen, um wahr zu sein, mit einem Preis: Was in Deutschland über die umlagefinanzierte Rentenversicherung und die gesetzliche Krankenversicherung mitfinanziert wird, existiert in Neuseeland in dieser Form schlicht nicht (mehr dazu weiter unten bei KiwiSaver und dem Gesundheitssystem).</w:t>
      </w:r>
    </w:p>
    <w:p w14:paraId="70A50003" w14:textId="77777777" w:rsidR="00C1548D" w:rsidRDefault="009B1B4B">
      <w:pPr>
        <w:spacing w:after="140"/>
      </w:pPr>
      <w:r>
        <w:t>Konkret gilt für Steuerinländer im neuseeländischen Steuerjahr 2026/27 (1. April 2026 bis 31. März 2027, unverändert gegenüber dem Vorjahr) ein fünfstufiger Tarif: 10,5 % bis 15.600 NZD, 17,5 % von 15.601 bis 53.500 NZD, 30 % von 53.501 bis 78.100 NZD, 33 % von 78.101 bis 180.000 NZD und 39 % darüber.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0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004" w14:textId="77777777" w:rsidR="00C1548D" w:rsidRDefault="009B1B4B">
            <w:pPr>
              <w:keepNext/>
              <w:spacing w:after="70" w:line="240" w:lineRule="auto"/>
            </w:pPr>
            <w:r>
              <w:rPr>
                <w:b/>
                <w:bCs/>
                <w:color w:val="9B2C2C"/>
                <w:spacing w:val="24"/>
                <w:sz w:val="16"/>
                <w:szCs w:val="16"/>
              </w:rPr>
              <w:t>ACHTUNG</w:t>
            </w:r>
          </w:p>
          <w:p w14:paraId="70A50005" w14:textId="77777777" w:rsidR="00C1548D" w:rsidRDefault="009B1B4B">
            <w:pPr>
              <w:spacing w:after="80" w:line="264" w:lineRule="auto"/>
            </w:pPr>
            <w:r>
              <w:rPr>
                <w:sz w:val="20"/>
                <w:szCs w:val="20"/>
              </w:rPr>
              <w:t>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tc>
      </w:tr>
    </w:tbl>
    <w:p w14:paraId="70A50007" w14:textId="77777777" w:rsidR="00C1548D" w:rsidRDefault="00C1548D">
      <w:pPr>
        <w:spacing w:line="220" w:lineRule="exact"/>
      </w:pPr>
    </w:p>
    <w:p w14:paraId="70A50008" w14:textId="77777777" w:rsidR="00C1548D" w:rsidRDefault="009B1B4B">
      <w:pPr>
        <w:spacing w:after="140"/>
      </w:pPr>
      <w:r>
        <w:t>Der Lohnsteuerabzug (</w:t>
      </w:r>
      <w:r>
        <w:rPr>
          <w:i/>
          <w:iCs/>
        </w:rPr>
        <w:t>PAYE</w:t>
      </w:r>
      <w:r>
        <w:t xml:space="preserve">, „Pay As You Earn“, der laufende Steuerabzug direkt vom Arbeitgeber) folgt automatisch denselben Stufen, sodass die meisten Angestellten keine eigene Steuererklärung abgeben müssen. Dazu kommt die Verbrauchssteuer: Die </w:t>
      </w:r>
      <w:r>
        <w:rPr>
          <w:i/>
          <w:iCs/>
        </w:rPr>
        <w:t>GST</w:t>
      </w:r>
      <w:r>
        <w:t xml:space="preserve"> (</w:t>
      </w:r>
      <w:r>
        <w:rPr>
          <w:i/>
          <w:iCs/>
        </w:rPr>
        <w:t>Goods and Services Tax</w:t>
      </w:r>
      <w:r>
        <w:t xml:space="preserve">) liegt einheitlich bei 15 % und ist, anders als die separat ausgewiesene US-Sales-Tax, bereits im angezeigten Preis enthalten – näher am Prinzip der deutschen Mehrwertsteuer als am amerikanischen System. Der ausgezeichnete Preis ist tatsächlich der Preis, den man zahlt – eine </w:t>
      </w:r>
      <w:r>
        <w:lastRenderedPageBreak/>
        <w:t>Schlichtheit, die man erst zu schätzen weiß, wenn man sie einmal vermisst hat.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0B"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009" w14:textId="77777777" w:rsidR="00C1548D" w:rsidRDefault="009B1B4B">
            <w:pPr>
              <w:keepNext/>
              <w:spacing w:after="70" w:line="240" w:lineRule="auto"/>
            </w:pPr>
            <w:r>
              <w:rPr>
                <w:b/>
                <w:bCs/>
                <w:color w:val="2F6B3B"/>
                <w:spacing w:val="24"/>
                <w:sz w:val="16"/>
                <w:szCs w:val="16"/>
              </w:rPr>
              <w:t>SPARTIPP</w:t>
            </w:r>
          </w:p>
          <w:p w14:paraId="70A5000A" w14:textId="77777777" w:rsidR="00C1548D" w:rsidRDefault="009B1B4B">
            <w:pPr>
              <w:spacing w:after="80" w:line="264" w:lineRule="auto"/>
            </w:pPr>
            <w:r>
              <w:rPr>
                <w:sz w:val="20"/>
                <w:szCs w:val="20"/>
              </w:rPr>
              <w:t>Beantrage deine IRD-Nummer (die kostenlose, lebenslang gültige neuseeländische Steuernummer) so früh wie möglich, am besten direkt nach Erhalt des Visums über das Verfahren „New Arrival to New Zealand“ – bei erfolgreicher Online-Prüfung liegt sie innerhalb von 2 Tagen vor. Ohne sie drohen laut mehreren übereinstimmenden, aber nicht amtlich einzeln bestätigten Quellen pauschale Steuerabzüge von bis zu 45 % auf Zinsen und bestimmte Zahlungen – ein Betrag, den man sich erst mit der nächsten Steuererklärung zur</w:t>
            </w:r>
            <w:r>
              <w:rPr>
                <w:sz w:val="20"/>
                <w:szCs w:val="20"/>
              </w:rPr>
              <w:t>ückholt.</w:t>
            </w:r>
          </w:p>
        </w:tc>
      </w:tr>
    </w:tbl>
    <w:p w14:paraId="70A5000C" w14:textId="77777777" w:rsidR="00C1548D" w:rsidRDefault="00C1548D">
      <w:pPr>
        <w:spacing w:line="220" w:lineRule="exact"/>
      </w:pPr>
    </w:p>
    <w:p w14:paraId="70A5000D" w14:textId="77777777" w:rsidR="00C1548D" w:rsidRDefault="009B1B4B">
      <w:pPr>
        <w:spacing w:after="140"/>
      </w:pPr>
      <w:r>
        <w:t xml:space="preserve">Wer steuerlich als </w:t>
      </w:r>
      <w:r>
        <w:rPr>
          <w:i/>
          <w:iCs/>
        </w:rPr>
        <w:t>Resident</w:t>
      </w:r>
      <w:r>
        <w:t xml:space="preserve"> gilt – im Kern über die 183-Tage-Regel innerhalb eines rollierenden 12-Monats-Fensters, rückwirkend zum ersten dieser Tage –, versteuert sein weltweites Einkommen in Neuseeland. Für Neuankömmlinge gibt es dabei eine Erleichterung: die </w:t>
      </w:r>
      <w:r>
        <w:rPr>
          <w:i/>
          <w:iCs/>
        </w:rPr>
        <w:t>Transitional-Resident</w:t>
      </w:r>
      <w:r>
        <w:t>-Befreiung. Wer in den vergangenen zehn Jahren kein neuseeländischer Steuerinländer war, ist automatisch 48 Monate lang von den meisten ausländischen Kapital-, Miet- und Beteiligungseinkünften befreit – nicht jedoch von im Ausland erzieltem Erwerbseinkommen. Für Deutsche mit Mieteinnahmen, Kapitalerträgen oder einer Betriebsrente aus Deutschland ist das ein Detail, das sich finanziell lohnen kann, aber vor der Ausreise mit einem Steuerberater geklärt gehört; das Doppelbesteuerungsabkommen zwischen Deutschla</w:t>
      </w:r>
      <w:r>
        <w:t>nd und Neuseeland ist hier nicht im Detail geprüft.</w:t>
      </w:r>
    </w:p>
    <w:p w14:paraId="70A5000E" w14:textId="4607D7B9" w:rsidR="00C1548D" w:rsidRDefault="009B1B4B">
      <w:pPr>
        <w:spacing w:after="140"/>
      </w:pPr>
      <w:r>
        <w:t xml:space="preserve">Neuseeland reiht sich damit, ebenso wie Australien und Kanada, in die Gruppe der punktebasierten Einwanderungsländer ein – im Unterschied zum stärker sponsoring- und lotterieabhängigen System der USA. Wie genau das Punktesystem der Skilled Migrant Category funktioniert und welche der hier nur angerissenen Wege zu wem passt, zeigt das </w:t>
      </w:r>
      <w:hyperlink w:anchor="tnz02" w:history="1">
        <w:r>
          <w:rPr>
            <w:color w:val="0563C1"/>
            <w:u w:val="single"/>
          </w:rPr>
          <w:t>nächste Kapitel dieses Teils</w:t>
        </w:r>
      </w:hyperlink>
      <w:r>
        <w:t>.</w:t>
      </w:r>
    </w:p>
    <w:p w14:paraId="70A5000F" w14:textId="77777777" w:rsidR="00C1548D" w:rsidRDefault="009B1B4B">
      <w:pPr>
        <w:pStyle w:val="Heading3"/>
        <w:keepNext/>
        <w:jc w:val="center"/>
      </w:pPr>
      <w:r>
        <w:rPr>
          <w:rFonts w:ascii="Amazon Ember" w:eastAsia="Amazon Ember" w:hAnsi="Amazon Ember" w:cs="Amazon Ember"/>
          <w:color w:val="0000FF"/>
          <w:sz w:val="36"/>
          <w:szCs w:val="36"/>
        </w:rPr>
        <w:lastRenderedPageBreak/>
        <w:t>Lebenshaltungskosten: Auckland und Wellington im Vergleich</w:t>
      </w:r>
    </w:p>
    <w:p w14:paraId="70A50010" w14:textId="77777777" w:rsidR="00C1548D" w:rsidRDefault="009B1B4B">
      <w:pPr>
        <w:spacing w:after="140"/>
      </w:pPr>
      <w:r>
        <w:t xml:space="preserve">Nach dem Numbeo-Kostenindex (Mitte 2026, New York = 100, nutzergenerierte Vergleichsdaten, keine amtliche Statistik) liegen Auckland bei 62,5 Punkten (Miete 48,7) und Wellington bei 63,0 (Miete 48,8) – beide spürbar unter München (76,1, Miete 62,4) und auch unter Berlin (70,0, Miete 54,9). Im Länderdurchschnitt liegt Neuseeland insgesamt bei 60,2 Punkten (Miete 43,9) – der niedrigste Wert unter den vier Zielländern dieses Buches, noch unter Kanada (61,3/46,6). Kurz gesagt: Wer aus einer deutschen Großstadt </w:t>
      </w:r>
      <w:r>
        <w:t>kommt, erlebt in Auckland oder Wellington in aller Regel keinen Kaufkraftschock nach oben, sondern eher das Gegenteil.</w:t>
      </w:r>
    </w:p>
    <w:p w14:paraId="70A50011" w14:textId="77777777" w:rsidR="00C1548D" w:rsidRDefault="009B1B4B">
      <w:pPr>
        <w:spacing w:after="140"/>
      </w:pPr>
      <w:r>
        <w:t>Diese Durchschnittszahl sagt nichts über die Verteilung innerhalb der Städte – ein gefragtes Viertel in Auckland kann ebenso über dem Durchschnitt liegen wie ein Szeneviertel in Berlin. Und sie sagt erst recht nichts über das, was am Ende auf dem Konto ankommt: Erst das neuseeländische Nettogehalt – nach Einkommensteuer, ohne Grundfreibetrag – den tatsächlichen Ausgaben am Zielort gegenüberzustellen, ergibt ein ehrliches Bild.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14"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012" w14:textId="77777777" w:rsidR="00C1548D" w:rsidRDefault="009B1B4B">
            <w:pPr>
              <w:keepNext/>
              <w:spacing w:after="70" w:line="240" w:lineRule="auto"/>
            </w:pPr>
            <w:r>
              <w:rPr>
                <w:b/>
                <w:bCs/>
                <w:color w:val="8A6212"/>
                <w:spacing w:val="24"/>
                <w:sz w:val="16"/>
                <w:szCs w:val="16"/>
              </w:rPr>
              <w:t>MERKE</w:t>
            </w:r>
          </w:p>
          <w:p w14:paraId="70A50013" w14:textId="77777777" w:rsidR="00C1548D" w:rsidRDefault="009B1B4B">
            <w:pPr>
              <w:spacing w:after="80" w:line="264" w:lineRule="auto"/>
            </w:pPr>
            <w:r>
              <w:rPr>
                <w:sz w:val="20"/>
                <w:szCs w:val="20"/>
              </w:rPr>
              <w:t>Der niedrige Steuerkeil aus dem vorigen Abschnitt und die im Index vergleichsweise günstigen Städte verstärken sich für die meisten Neuankömmlinge in der Praxis gegenseitig – eine seltene Kombination unter den vier Ländern dieses Buches. Das ersetzt aber nicht die eigene Rechnung mit dem konkreten Zielort, dem konkreten Beruf und der konkreten Wohnform.</w:t>
            </w:r>
          </w:p>
        </w:tc>
      </w:tr>
    </w:tbl>
    <w:p w14:paraId="70A50015" w14:textId="77777777" w:rsidR="00C1548D" w:rsidRDefault="00C1548D">
      <w:pPr>
        <w:spacing w:line="220" w:lineRule="exact"/>
      </w:pPr>
    </w:p>
    <w:p w14:paraId="70A50016" w14:textId="77777777" w:rsidR="00C1548D" w:rsidRDefault="009B1B4B">
      <w:pPr>
        <w:pStyle w:val="Heading3"/>
        <w:keepNext/>
        <w:jc w:val="center"/>
      </w:pPr>
      <w:r>
        <w:rPr>
          <w:rFonts w:ascii="Amazon Ember" w:eastAsia="Amazon Ember" w:hAnsi="Amazon Ember" w:cs="Amazon Ember"/>
          <w:color w:val="0000FF"/>
          <w:sz w:val="36"/>
          <w:szCs w:val="36"/>
        </w:rPr>
        <w:lastRenderedPageBreak/>
        <w:t>Gesundheit: öffentlich, aber nicht ab dem ersten Tag</w:t>
      </w:r>
    </w:p>
    <w:p w14:paraId="70A50017" w14:textId="77777777" w:rsidR="00C1548D" w:rsidRDefault="009B1B4B">
      <w:pPr>
        <w:spacing w:after="140"/>
      </w:pPr>
      <w:r>
        <w:t>Verbreiteter Irrtum: Wer in ein Land mit einem staatlichen Gesundheitssystem zieht, sei von Ankunft an automatisch mitversichert, ähnlich wie beim Wechsel zwischen zwei EU-Staaten. Für Neuseeland stimmt das nur für einen Teil der Neuankömmlinge. Zugang zur subventionierten öffentlichen Gesundheitsversorgung haben von Anfang an neuseeländische Staatsbürger, Inhaber eines Resident-Visums – und Inhaber eines Arbeitsvisums mit einer Laufzeit von mindestens 2 Jahren, gerechnet ab dem ersten Tag in Neuseeland (be</w:t>
      </w:r>
      <w:r>
        <w:t>reits in Neuseeland verbrachte Zeit wird angerechnet). Wer mit einem kürzeren Visum einreist, etwa Working Holiday oder ein Studienvisum, ist in aller Regel nicht automatisch abgedeckt.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1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018" w14:textId="77777777" w:rsidR="00C1548D" w:rsidRDefault="009B1B4B">
            <w:pPr>
              <w:keepNext/>
              <w:spacing w:after="70" w:line="240" w:lineRule="auto"/>
            </w:pPr>
            <w:r>
              <w:rPr>
                <w:b/>
                <w:bCs/>
                <w:color w:val="9B2C2C"/>
                <w:spacing w:val="24"/>
                <w:sz w:val="16"/>
                <w:szCs w:val="16"/>
              </w:rPr>
              <w:t>ACHTUNG</w:t>
            </w:r>
          </w:p>
          <w:p w14:paraId="70A50019" w14:textId="77777777" w:rsidR="00C1548D" w:rsidRDefault="009B1B4B">
            <w:pPr>
              <w:spacing w:after="80" w:line="264" w:lineRule="auto"/>
            </w:pPr>
            <w:r>
              <w:rPr>
                <w:sz w:val="20"/>
                <w:szCs w:val="20"/>
              </w:rPr>
              <w:t>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tc>
      </w:tr>
    </w:tbl>
    <w:p w14:paraId="70A5001B" w14:textId="77777777" w:rsidR="00C1548D" w:rsidRDefault="00C1548D">
      <w:pPr>
        <w:spacing w:line="220" w:lineRule="exact"/>
      </w:pPr>
    </w:p>
    <w:p w14:paraId="70A5001C" w14:textId="77777777" w:rsidR="00C1548D" w:rsidRDefault="009B1B4B">
      <w:pPr>
        <w:spacing w:after="140"/>
      </w:pPr>
      <w:r>
        <w:t>Wer die Schwelle nicht erreicht, zahlt Behandlungen privat oder schließt eine private Zusatzversicherung ab – bei einigen befristeten 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w:t>
      </w:r>
      <w:r>
        <w:t xml:space="preserve">. Diese Werte stammen von Vergleichsportalen, nicht direkt </w:t>
      </w:r>
      <w:r>
        <w:lastRenderedPageBreak/>
        <w:t>von den Versicherern, und gehören vor einer Entscheidung mit einem aktuellen Tarifrechner gegengeprüft.</w:t>
      </w:r>
    </w:p>
    <w:p w14:paraId="70A5001D" w14:textId="77777777" w:rsidR="00C1548D" w:rsidRDefault="009B1B4B">
      <w:pPr>
        <w:spacing w:after="140"/>
      </w:pPr>
      <w:r>
        <w:t xml:space="preserve">Eine zweite Besonderheit kennt Neuseeland, die es in dieser Form in keinem der anderen drei Zielländer dieses Buches gibt: die </w:t>
      </w:r>
      <w:r>
        <w:rPr>
          <w:i/>
          <w:iCs/>
        </w:rPr>
        <w:t>Accident Compensation Corporation</w:t>
      </w:r>
      <w:r>
        <w:t xml:space="preserve"> (ACC), eine verpflichtende, aus einer eigenen Abgabe finanzierte No-Fault-Unfallversicherung für alle Personen in Neuseeland –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w:t>
      </w:r>
      <w:r>
        <w:t>Systemwechsel verstehen, bevor er ihn am eigenen Leib erlebt – im Guten wie im Schlechten ersetzt ACC private Ansprüche vollständig.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20"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01E" w14:textId="77777777" w:rsidR="00C1548D" w:rsidRDefault="009B1B4B">
            <w:pPr>
              <w:keepNext/>
              <w:spacing w:after="70" w:line="240" w:lineRule="auto"/>
            </w:pPr>
            <w:r>
              <w:rPr>
                <w:b/>
                <w:bCs/>
                <w:color w:val="8A6212"/>
                <w:spacing w:val="24"/>
                <w:sz w:val="16"/>
                <w:szCs w:val="16"/>
              </w:rPr>
              <w:t>MERKE</w:t>
            </w:r>
          </w:p>
          <w:p w14:paraId="70A5001F" w14:textId="77777777" w:rsidR="00C1548D" w:rsidRDefault="009B1B4B">
            <w:pPr>
              <w:spacing w:after="80" w:line="264" w:lineRule="auto"/>
            </w:pPr>
            <w:r>
              <w:rPr>
                <w:sz w:val="20"/>
                <w:szCs w:val="20"/>
              </w:rPr>
              <w:t xml:space="preserve">ACC finanziert sich über die </w:t>
            </w:r>
            <w:r>
              <w:rPr>
                <w:i/>
                <w:iCs/>
                <w:sz w:val="20"/>
                <w:szCs w:val="20"/>
              </w:rPr>
              <w:t>Earner’s Levy</w:t>
            </w:r>
            <w:r>
              <w:rPr>
                <w:sz w:val="20"/>
                <w:szCs w:val="20"/>
              </w:rPr>
              <w:t>, ab April 2026 1,75 % des beitragspflichtigen Einkommens, gedeckelt bei 156.641 NZD Jahreseinkommen. Anders gesagt: Ein Teil des niedrigen Steuerkeils aus dem ersten Abschnitt fließt über diesen Umweg wieder in ein staatliches System – nur eben in ein anderes als in Deutschland, ohne direkte deutsche Entsprechung.</w:t>
            </w:r>
          </w:p>
        </w:tc>
      </w:tr>
    </w:tbl>
    <w:p w14:paraId="70A50021" w14:textId="77777777" w:rsidR="00C1548D" w:rsidRDefault="00C1548D">
      <w:pPr>
        <w:spacing w:line="220" w:lineRule="exact"/>
      </w:pPr>
    </w:p>
    <w:p w14:paraId="70A50022" w14:textId="77777777" w:rsidR="00C1548D" w:rsidRDefault="009B1B4B">
      <w:pPr>
        <w:pStyle w:val="Heading3"/>
        <w:keepNext/>
        <w:jc w:val="center"/>
      </w:pPr>
      <w:r>
        <w:rPr>
          <w:rFonts w:ascii="Amazon Ember" w:eastAsia="Amazon Ember" w:hAnsi="Amazon Ember" w:cs="Amazon Ember"/>
          <w:color w:val="0000FF"/>
          <w:sz w:val="36"/>
          <w:szCs w:val="36"/>
        </w:rPr>
        <w:t>KiwiSaver statt gesetzlicher Rente – und wer draußen bleibt</w:t>
      </w:r>
    </w:p>
    <w:p w14:paraId="70A50023" w14:textId="77777777" w:rsidR="00C1548D" w:rsidRDefault="009B1B4B">
      <w:pPr>
        <w:spacing w:after="140"/>
      </w:pPr>
      <w:r>
        <w:t xml:space="preserve">Neuseeland kennt, wie Australien und Kanada, keine umlagefinanzierte gesetzliche Rentenversicherung nach deutschem Vorbild. Das Äquivalent heißt </w:t>
      </w:r>
      <w:r>
        <w:rPr>
          <w:i/>
          <w:iCs/>
        </w:rPr>
        <w:t>KiwiSaver</w:t>
      </w:r>
      <w:r>
        <w:t>, ein grundsätzlich freiwilliges, aber vom Staat gefördertes Sparsystem mit verpflichtendem Arbeitgeberbeitrag für Mitglieder – ab 1. April 2026 mindestens 3,5 % des Lohns, mit einer weiteren geplanten Erhöhung auf 4 % bis 2028.</w:t>
      </w:r>
    </w:p>
    <w:p w14:paraId="70A50024" w14:textId="77777777" w:rsidR="00C1548D" w:rsidRDefault="009B1B4B">
      <w:pPr>
        <w:spacing w:after="140"/>
      </w:pPr>
      <w:r>
        <w:lastRenderedPageBreak/>
        <w:t>Der Haken für frisch zugewanderte Deutsche steht schon in der Beitrittsvoraussetzung: KiwiSaver steht nur neuseeländischen Staatsbürgern und Personen mit einem unbefristeten Aufenthaltsrecht offen. Wer mit einem AEWV oder einem Working-Holiday-Visum einreist, also mit einem befristeten Status, kann in aller Regel nicht beitreten, selbst wenn er wollte. Das ist ein klarer Unterschied zu Australiens Superannuation, die vom ersten Arbeitstag an für so gut wie jeden Beschäftigten unabhängig vom Aufenthaltsstatu</w:t>
      </w:r>
      <w:r>
        <w:t>s gilt, und zu Kanadas CPP, der ebenfalls ab der ersten Gehaltsabrechnung greift. Wer über AEWV und Green List den Weg zur Residency geht, wie Familie Krüger, baut also unter Umständen mehrere Jahre lang gar keine betriebliche Altersvorsorge in Neuseeland auf – ein Punkt, der in der Euphorie über den niedrigen Steuerkeil leicht untergeht.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27"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025" w14:textId="77777777" w:rsidR="00C1548D" w:rsidRDefault="009B1B4B">
            <w:pPr>
              <w:keepNext/>
              <w:spacing w:after="70" w:line="240" w:lineRule="auto"/>
            </w:pPr>
            <w:r>
              <w:rPr>
                <w:b/>
                <w:bCs/>
                <w:color w:val="4A5568"/>
                <w:spacing w:val="24"/>
                <w:sz w:val="16"/>
                <w:szCs w:val="16"/>
              </w:rPr>
              <w:t>PRAXISBEISPIEL · FIKTIV</w:t>
            </w:r>
          </w:p>
          <w:p w14:paraId="70A50026" w14:textId="77777777" w:rsidR="00C1548D" w:rsidRDefault="009B1B4B">
            <w:pPr>
              <w:spacing w:after="80" w:line="264" w:lineRule="auto"/>
            </w:pPr>
            <w:r>
              <w:rPr>
                <w:sz w:val="20"/>
                <w:szCs w:val="20"/>
              </w:rPr>
              <w:t>Familie Krüger (fiktiv) rechnete diesen Punkt zunächst nicht mit ein. Sebastian, Agraringenieur, hatte seinen Job in Christchurch über das AEWV-Verfahren gesichert, sein Beruf stand auf der Green List. Erst beim Gespräch mit einer Finanzberaterin kurz vor der Ausreise fiel auf: Weder er noch Petra würden als AEWV-Inhaber in KiwiSaver einzahlen können, solange keiner von beiden über die Green-List-Regelung zur Residency gewechselt wäre – realistisch nach rund zwei Jahren Arbeit in Neuseeland. Für die Übergan</w:t>
            </w:r>
            <w:r>
              <w:rPr>
                <w:sz w:val="20"/>
                <w:szCs w:val="20"/>
              </w:rPr>
              <w:t>gszeit blieb es bei freiwilligen Beiträgen zur deutschen Rentenversicherung, ein Punkt, den das Kapitel zu Steuern, Rente und Geld im Universal-Teil dieses Buches vertieft.</w:t>
            </w:r>
          </w:p>
        </w:tc>
      </w:tr>
    </w:tbl>
    <w:p w14:paraId="70A50028" w14:textId="77777777" w:rsidR="00C1548D" w:rsidRDefault="00C1548D">
      <w:pPr>
        <w:spacing w:line="220" w:lineRule="exact"/>
      </w:pPr>
    </w:p>
    <w:p w14:paraId="70A50029" w14:textId="77777777" w:rsidR="00C1548D" w:rsidRDefault="009B1B4B">
      <w:pPr>
        <w:spacing w:after="140"/>
      </w:pPr>
      <w:r>
        <w:t>Wer dagegen wie Paul Lindner direkt mit einem Daueraufenthaltstitel einreist, kann KiwiSaver von Anfang an nutzen und profitiert vom Arbeitgeberbeitrag ohne Wartezeit – ein weiterer Unterschied, der bei der Wahl des Einwanderungswegs mitentscheiden sollte, nicht erst nach der Ankunft auffallen sollte.</w:t>
      </w:r>
    </w:p>
    <w:p w14:paraId="70A5002A" w14:textId="77777777" w:rsidR="00C1548D" w:rsidRDefault="009B1B4B">
      <w:pPr>
        <w:pStyle w:val="Heading3"/>
        <w:keepNext/>
        <w:jc w:val="center"/>
      </w:pPr>
      <w:r>
        <w:rPr>
          <w:rFonts w:ascii="Amazon Ember" w:eastAsia="Amazon Ember" w:hAnsi="Amazon Ember" w:cs="Amazon Ember"/>
          <w:color w:val="0000FF"/>
          <w:sz w:val="36"/>
          <w:szCs w:val="36"/>
        </w:rPr>
        <w:lastRenderedPageBreak/>
        <w:t>Was der Umzug selbst kostet</w:t>
      </w:r>
    </w:p>
    <w:p w14:paraId="70A5002B" w14:textId="77777777" w:rsidR="00C1548D" w:rsidRDefault="009B1B4B">
      <w:pPr>
        <w:spacing w:after="140"/>
      </w:pPr>
      <w:r>
        <w:t>Schon vor dem ersten Gehaltseingang verlangt Neuseeland Vorleistungen, deren Höhe stark vom gewählten Weg abhängt. Ein Antrag auf das Skilled Migrant Category Resident Visa – der direkte Weg zum Daueraufenthalt, wie ihn Paul Lindner wählt – kostet 6.450 NZD für den Hauptantragsteller (2.880 NZD Antragsgebühr plus 3.570 NZD Immigration Levy, eine zusätzliche Einwanderungsabgabe); Partner und Kinder zahlen jeweils separat. Das Accredited Employer Work Visa, Familie Krügers Weg, ist mit 1.540 NZD auf den erste</w:t>
      </w:r>
      <w:r>
        <w:t>n Blick deutlich günstiger – allerdings kommt hier vorher die Prüfung des Arbeitgebers (</w:t>
      </w:r>
      <w:r>
        <w:rPr>
          <w:i/>
          <w:iCs/>
        </w:rPr>
        <w:t>Employer Accreditation</w:t>
      </w:r>
      <w:r>
        <w:t>) und der konkreten Stelle (</w:t>
      </w:r>
      <w:r>
        <w:rPr>
          <w:i/>
          <w:iCs/>
        </w:rPr>
        <w:t>Job Check</w:t>
      </w:r>
      <w:r>
        <w:t>) hinzu, deren Gebühren der Arbeitgeber trägt, nicht der Antragsteller.</w:t>
      </w:r>
    </w:p>
    <w:p w14:paraId="70A5002C" w14:textId="77777777" w:rsidR="00C1548D" w:rsidRDefault="009B1B4B">
      <w:pPr>
        <w:spacing w:after="140"/>
      </w:pPr>
      <w:r>
        <w:t>Zu beiden Wegen kommen für jede Person ab 15 Jahren eine ärztliche Untersuchung mit Röntgen-Thorax (Nachweis höchstens 3 Monate alt) sowie ein Führungszeugnis (höchstens 6 Monate alt) hinzu – die konkreten Kosten dafür hängen vom jeweiligen Land und Anbieter ab und sind hier nicht beziffert. Deutschland gehört zudem nicht zu den Ländern, mit denen Neuseeland ein Gebührenbefreiungsabkommen hat – anders als etwa Österreich zahlen deutsche Antragsteller die vollen Sätze ohne Rabatt. Für eine vierköpfige Famili</w:t>
      </w:r>
      <w:r>
        <w:t>e wie die Krügers kommen so allein an Visumsgebühren mehrere Tausend NZD zusammen, bevor überhaupt ein Flug gebucht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2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02D" w14:textId="77777777" w:rsidR="00C1548D" w:rsidRDefault="009B1B4B">
            <w:pPr>
              <w:keepNext/>
              <w:spacing w:after="70" w:line="240" w:lineRule="auto"/>
            </w:pPr>
            <w:r>
              <w:rPr>
                <w:b/>
                <w:bCs/>
                <w:color w:val="4A5568"/>
                <w:spacing w:val="24"/>
                <w:sz w:val="16"/>
                <w:szCs w:val="16"/>
              </w:rPr>
              <w:lastRenderedPageBreak/>
              <w:t>PRAXISBEISPIEL · FIKTIV</w:t>
            </w:r>
          </w:p>
          <w:p w14:paraId="70A5002E" w14:textId="77777777" w:rsidR="00C1548D" w:rsidRDefault="009B1B4B">
            <w:pPr>
              <w:spacing w:after="80" w:line="264" w:lineRule="auto"/>
            </w:pPr>
            <w:r>
              <w:rPr>
                <w:sz w:val="20"/>
                <w:szCs w:val="20"/>
              </w:rPr>
              <w:t>Paul Lindner (fiktiv), 31, IT-Berater aus Frankfurt, alleinstehend, beantragte das Skilled-Migrant-Category-Visum direkt aus Deutschland, ohne vorherige Zwischenstation über ein Arbeitsvisum. Die 6.450 NZD Antragsgebühr plus Kosten für Gesundheitscheck, Führungszeugnis und Sprachtest summierten sich vor der Ausreise auf einen Betrag im vierstelligen Bereich. Der Vorteil: Als Inhaber eines Daueraufenthaltsvisums war er ab dem Tag der Einreise voll bei der öffentlichen Gesundheitsversorgung abgesichert und ko</w:t>
            </w:r>
            <w:r>
              <w:rPr>
                <w:sz w:val="20"/>
                <w:szCs w:val="20"/>
              </w:rPr>
              <w:t>nnte sofort einer KiwiSaver-Mitgliedschaft beitreten – beides blieb Familie Krüger mit ihrem befristeten AEWV zunächst verwehrt.</w:t>
            </w:r>
          </w:p>
        </w:tc>
      </w:tr>
    </w:tbl>
    <w:p w14:paraId="70A50030" w14:textId="77777777" w:rsidR="00C1548D" w:rsidRDefault="00C1548D">
      <w:pPr>
        <w:spacing w:line="220" w:lineRule="exact"/>
      </w:pPr>
    </w:p>
    <w:p w14:paraId="70A50031" w14:textId="77777777" w:rsidR="00C1548D" w:rsidRDefault="009B1B4B">
      <w:pPr>
        <w:pStyle w:val="Heading3"/>
        <w:keepNext/>
        <w:jc w:val="center"/>
      </w:pPr>
      <w:r>
        <w:rPr>
          <w:rFonts w:ascii="Amazon Ember" w:eastAsia="Amazon Ember" w:hAnsi="Amazon Ember" w:cs="Amazon Ember"/>
          <w:color w:val="0000FF"/>
          <w:sz w:val="36"/>
          <w:szCs w:val="36"/>
        </w:rPr>
        <w:t>Was sich nicht in NZD messen lässt</w:t>
      </w:r>
    </w:p>
    <w:p w14:paraId="70A50032" w14:textId="77777777" w:rsidR="00C1548D" w:rsidRDefault="009B1B4B">
      <w:pPr>
        <w:spacing w:after="140"/>
      </w:pPr>
      <w:r>
        <w:t>Unter den vier Zielländern dieses Buches ist Neuseeland am weitesten von Deutschland entfernt – merklich weiter als Kanada, spürbar weiter noch als Australien. Zwischen Frankfurt und Auckland gibt es keinen Direktflug; mit mindestens einem Zwischenstopp dauert die Reise rund 24 Stunden über etwa 18.201 Kilometer Luftlinie. Dazu kommt die größte Zeitverschiebung aller vier Länder: Neuseeland liegt rund 11 bis 12 Stunden vor Deutschland, fast eine vollständige Tag-Nacht-Umkehr. Ein Anruf bei den Eltern zur de</w:t>
      </w:r>
      <w:r>
        <w:t>utschen Frühstückszeit trifft in Neuseeland auf den frühen Abend; wer sich das nicht vorher bewusst macht, wundert sich später jedes Mal aufs Neue, warum niemand rangeht.</w:t>
      </w:r>
    </w:p>
    <w:p w14:paraId="70A50033" w14:textId="77777777" w:rsidR="00C1548D" w:rsidRDefault="009B1B4B">
      <w:pPr>
        <w:spacing w:after="140"/>
      </w:pPr>
      <w:r>
        <w:t>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Auswanderer-Seiten kursierende Schätzung von rund 200.000 Personen deutscher Abstammung ist nirgends belastbar belegt und sollte nich</w:t>
      </w:r>
      <w:r>
        <w:t xml:space="preserve">t als Fakt behandelt werden – ein kleines Beispiel dafür, </w:t>
      </w:r>
      <w:r>
        <w:lastRenderedPageBreak/>
        <w:t>dass sich nicht jede Zahl googeln lässt, nur weil sie oft genug wiederholt wird.</w:t>
      </w:r>
    </w:p>
    <w:p w14:paraId="70A50034" w14:textId="77777777" w:rsidR="00C1548D" w:rsidRDefault="009B1B4B">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 ein Punkt, der noch vor wenigen Jahren deutlich komplizierter war.</w:t>
      </w:r>
    </w:p>
    <w:p w14:paraId="70A50035" w14:textId="77777777" w:rsidR="00C1548D" w:rsidRDefault="009B1B4B">
      <w:pPr>
        <w:pStyle w:val="Heading3"/>
        <w:keepNext/>
        <w:jc w:val="center"/>
      </w:pPr>
      <w:r>
        <w:rPr>
          <w:rFonts w:ascii="Amazon Ember" w:eastAsia="Amazon Ember" w:hAnsi="Amazon Ember" w:cs="Amazon Ember"/>
          <w:color w:val="0000FF"/>
          <w:sz w:val="36"/>
          <w:szCs w:val="36"/>
        </w:rPr>
        <w:t>Wer profitiert, wer nicht</w:t>
      </w:r>
    </w:p>
    <w:p w14:paraId="70A50036" w14:textId="77777777" w:rsidR="00C1548D" w:rsidRDefault="009B1B4B">
      <w:pPr>
        <w:spacing w:after="140"/>
      </w:pPr>
      <w:r>
        <w:t>Am stärksten profitiert von der neuseeländischen Rechnung, wer einen Beruf auf der Green List mitbringt oder die Punkteschwelle der Skilled Migrant Category komfortabel erreicht, und wer die geringere Abgabenlast bewusst gegen ein dünneres soziales Sicherungsnetz eintauschen will. Auch alleinstehende Berufseinsteiger ohne große Bindungen fahren mit dem direkten SMC-Weg vergleichsweise gut, sofern Alter (unter 55 Jahren) und Berufserfahrung passen.</w:t>
      </w:r>
    </w:p>
    <w:p w14:paraId="70A50037" w14:textId="77777777" w:rsidR="00C1548D" w:rsidRDefault="009B1B4B">
      <w:pPr>
        <w:spacing w:after="140"/>
      </w:pPr>
      <w:r>
        <w:t>Kritischer wird die Bilanz für alle, die zunächst über ein befristetes Arbeitsvisum einreisen und mehrere Jahre mit Lücken bei Gesundheitsversorgung und Altersvorsorge überbrücken müssen, für alle mit pflegebedürftigen Eltern in Deutschland – die Distanz wiegt hier schwerer als bei jedem anderen der vier Länder dieses Buches – und für alle, die finanziell wenig Puffer für Vorlaufkosten und private Übergangsversicherung mitbringen.</w:t>
      </w:r>
    </w:p>
    <w:p w14:paraId="70A50038"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03B"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039"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03A" w14:textId="77777777" w:rsidR="00C1548D" w:rsidRDefault="009B1B4B">
            <w:pPr>
              <w:spacing w:line="250" w:lineRule="auto"/>
            </w:pPr>
            <w:r>
              <w:rPr>
                <w:b/>
                <w:bCs/>
                <w:sz w:val="18"/>
                <w:szCs w:val="18"/>
              </w:rPr>
              <w:t>Minus</w:t>
            </w:r>
          </w:p>
        </w:tc>
      </w:tr>
      <w:tr w:rsidR="00C1548D" w14:paraId="70A5003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3C" w14:textId="77777777" w:rsidR="00C1548D" w:rsidRDefault="009B1B4B">
            <w:pPr>
              <w:spacing w:line="250" w:lineRule="auto"/>
            </w:pPr>
            <w:r>
              <w:rPr>
                <w:sz w:val="18"/>
                <w:szCs w:val="18"/>
              </w:rPr>
              <w:t>Niedrigster Steuerkeil der vier Zielländer (18,5 % gegenüber 49,3 % in Deutschland)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3D" w14:textId="77777777" w:rsidR="00C1548D" w:rsidRDefault="009B1B4B">
            <w:pPr>
              <w:spacing w:line="250" w:lineRule="auto"/>
            </w:pPr>
            <w:r>
              <w:rPr>
                <w:sz w:val="18"/>
                <w:szCs w:val="18"/>
              </w:rPr>
              <w:t>Keine Steuerfreigrenze – der volle Satz greift ab dem ersten Dollar</w:t>
            </w:r>
          </w:p>
        </w:tc>
      </w:tr>
      <w:tr w:rsidR="00C1548D" w14:paraId="70A5004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3F" w14:textId="77777777" w:rsidR="00C1548D" w:rsidRDefault="009B1B4B">
            <w:pPr>
              <w:spacing w:line="250" w:lineRule="auto"/>
            </w:pPr>
            <w:r>
              <w:rPr>
                <w:sz w:val="18"/>
                <w:szCs w:val="18"/>
              </w:rPr>
              <w:lastRenderedPageBreak/>
              <w:t>Auckland und Wellington bei Lebenshaltungskosten unter München und Berlin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40" w14:textId="77777777" w:rsidR="00C1548D" w:rsidRDefault="009B1B4B">
            <w:pPr>
              <w:spacing w:line="250" w:lineRule="auto"/>
            </w:pPr>
            <w:r>
              <w:rPr>
                <w:sz w:val="18"/>
                <w:szCs w:val="18"/>
              </w:rPr>
              <w:t>Öffentliche Gesundheitsversorgung erst ab Visum mit mindestens 2 Jahren Laufzeit</w:t>
            </w:r>
          </w:p>
        </w:tc>
      </w:tr>
      <w:tr w:rsidR="00C1548D" w14:paraId="70A5004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42" w14:textId="77777777" w:rsidR="00C1548D" w:rsidRDefault="009B1B4B">
            <w:pPr>
              <w:spacing w:line="250" w:lineRule="auto"/>
            </w:pPr>
            <w:r>
              <w:rPr>
                <w:sz w:val="18"/>
                <w:szCs w:val="18"/>
              </w:rPr>
              <w:t>ACC deckt jeden Unfall ohne Verschuldensfrage – auch für Besucher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43" w14:textId="77777777" w:rsidR="00C1548D" w:rsidRDefault="009B1B4B">
            <w:pPr>
              <w:spacing w:line="250" w:lineRule="auto"/>
            </w:pPr>
            <w:r>
              <w:rPr>
                <w:sz w:val="18"/>
                <w:szCs w:val="18"/>
              </w:rPr>
              <w:t>Im Gegenzug praktisch kein Klagerecht auf Schadensersatz bei Personenschäden</w:t>
            </w:r>
          </w:p>
        </w:tc>
      </w:tr>
      <w:tr w:rsidR="00C1548D" w14:paraId="70A5004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45" w14:textId="77777777" w:rsidR="00C1548D" w:rsidRDefault="009B1B4B">
            <w:pPr>
              <w:spacing w:line="250" w:lineRule="auto"/>
            </w:pPr>
            <w:r>
              <w:rPr>
                <w:sz w:val="18"/>
                <w:szCs w:val="18"/>
              </w:rPr>
              <w:t>Green List erlaubt bei Mangelberufen einen direkten Weg zur Residency</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46" w14:textId="77777777" w:rsidR="00C1548D" w:rsidRDefault="009B1B4B">
            <w:pPr>
              <w:spacing w:line="250" w:lineRule="auto"/>
            </w:pPr>
            <w:r>
              <w:rPr>
                <w:sz w:val="18"/>
                <w:szCs w:val="18"/>
              </w:rPr>
              <w:t>KiwiSaver erst nach Erreichen eines unbefristeten Aufenthaltstitels</w:t>
            </w:r>
          </w:p>
        </w:tc>
      </w:tr>
      <w:tr w:rsidR="00C1548D" w14:paraId="70A5004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48" w14:textId="77777777" w:rsidR="00C1548D" w:rsidRDefault="009B1B4B">
            <w:pPr>
              <w:spacing w:line="250" w:lineRule="auto"/>
            </w:pPr>
            <w:r>
              <w:rPr>
                <w:sz w:val="18"/>
                <w:szCs w:val="18"/>
              </w:rPr>
              <w:t>Doppelte Staatsangehörigkeit ausdrücklich erlaubt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49" w14:textId="77777777" w:rsidR="00C1548D" w:rsidRDefault="009B1B4B">
            <w:pPr>
              <w:spacing w:line="250" w:lineRule="auto"/>
            </w:pPr>
            <w:r>
              <w:rPr>
                <w:sz w:val="18"/>
                <w:szCs w:val="18"/>
              </w:rPr>
              <w:t>Größte Distanz und Zeitverschiebung aller vier Zielländer, kein Direktflug</w:t>
            </w:r>
          </w:p>
        </w:tc>
      </w:tr>
      <w:tr w:rsidR="00C1548D" w14:paraId="70A5004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4B" w14:textId="77777777" w:rsidR="00C1548D" w:rsidRDefault="009B1B4B">
            <w:pPr>
              <w:spacing w:line="250" w:lineRule="auto"/>
            </w:pPr>
            <w:r>
              <w:rPr>
                <w:sz w:val="18"/>
                <w:szCs w:val="18"/>
              </w:rPr>
              <w:t>Transitional-Resident-Befreiung erleichtert die ersten vier Jahre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4C" w14:textId="77777777" w:rsidR="00C1548D" w:rsidRDefault="009B1B4B">
            <w:pPr>
              <w:spacing w:line="250" w:lineRule="auto"/>
            </w:pPr>
            <w:r>
              <w:rPr>
                <w:sz w:val="18"/>
                <w:szCs w:val="18"/>
              </w:rPr>
              <w:t>Deutschland zählt nicht zu den Gebührenbefreiungsländern – volle Visumskosten</w:t>
            </w:r>
          </w:p>
        </w:tc>
      </w:tr>
    </w:tbl>
    <w:p w14:paraId="70A5004E" w14:textId="77777777" w:rsidR="00C1548D" w:rsidRDefault="00C1548D">
      <w:pPr>
        <w:spacing w:line="180" w:lineRule="exact"/>
      </w:pPr>
    </w:p>
    <w:p w14:paraId="70A5004F"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050" w14:textId="2B532D1F" w:rsidR="00C1548D" w:rsidRDefault="009B1B4B">
      <w:pPr>
        <w:spacing w:after="140"/>
      </w:pPr>
      <w:r>
        <w:t xml:space="preserve">Rechne mit deinen eigenen Zahlen, nicht mit dem Bruttogehalt: Trage dein voraussichtliches Einkommen in die neuseeländische Steuerstaffel ein, und vergleiche das Ergebnis mit deiner heutigen deutschen Nettoabrechnung – nicht mit dem Bruttogehalt. Kläre parallel, ob dein Beruf auf der Green List steht oder ob die Skilled Migrant Category realistisch erreichbar ist; das </w:t>
      </w:r>
      <w:hyperlink w:anchor="tnz02" w:history="1">
        <w:r>
          <w:rPr>
            <w:color w:val="0563C1"/>
            <w:u w:val="single"/>
          </w:rPr>
          <w:t>nächste Kapitel dieses Teils</w:t>
        </w:r>
      </w:hyperlink>
      <w:r>
        <w:t xml:space="preserve"> zeigt die einzelnen Wege im Detail. Prüfe außerdem, wie lange dein konkretes Visum tatsächlich gilt, um die Wartezeit bis zur öffentlichen Gesundheitsversorgung einzuschätzen, und plane für diese Zeit eine private Zusatzversicherung fest ein.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58"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051" w14:textId="77777777" w:rsidR="00C1548D" w:rsidRDefault="009B1B4B">
            <w:pPr>
              <w:keepNext/>
              <w:spacing w:after="70" w:line="240" w:lineRule="auto"/>
            </w:pPr>
            <w:r>
              <w:rPr>
                <w:b/>
                <w:bCs/>
                <w:color w:val="1F6F78"/>
                <w:spacing w:val="24"/>
                <w:sz w:val="16"/>
                <w:szCs w:val="16"/>
              </w:rPr>
              <w:lastRenderedPageBreak/>
              <w:t>CHECKLISTE</w:t>
            </w:r>
          </w:p>
          <w:p w14:paraId="70A5005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Eigenes Bruttogehalt in die neuseeländische Steuerstaffel eingetragen und mit der deutschen Nettoabrechnung verglichen</w:t>
            </w:r>
          </w:p>
          <w:p w14:paraId="70A5005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der eigene Beruf auf der Green List steht oder ob die SMC-Punkteschwelle erreichbar ist</w:t>
            </w:r>
          </w:p>
          <w:p w14:paraId="70A5005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Tatsächliche Visumslaufzeit geklärt und daraus abgeleitet, ab wann öffentliche Gesundheitsversorgung greift</w:t>
            </w:r>
          </w:p>
          <w:p w14:paraId="70A5005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Kosten für eine private Übergangsversicherung für die Zeit bis zur 2-Jahres-Schwelle eingeplant</w:t>
            </w:r>
          </w:p>
          <w:p w14:paraId="70A5005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Geklärt, ob und wann eine KiwiSaver-Mitgliedschaft möglich wird, und Alternativen für die Übergangszeit überlegt</w:t>
            </w:r>
          </w:p>
          <w:p w14:paraId="70A5005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Lebenshaltungskosten am konkreten Zielort, nicht nur den Landesdurchschnitt, recherchiert</w:t>
            </w:r>
          </w:p>
        </w:tc>
      </w:tr>
    </w:tbl>
    <w:p w14:paraId="70A50059" w14:textId="77777777" w:rsidR="00C1548D" w:rsidRDefault="00C1548D">
      <w:pPr>
        <w:spacing w:line="220" w:lineRule="exact"/>
      </w:pPr>
    </w:p>
    <w:p w14:paraId="70A5005A"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05B" w14:textId="07D03A80" w:rsidR="00C1548D" w:rsidRDefault="009B1B4B" w:rsidP="009B1B4B">
      <w:pPr>
        <w:pStyle w:val="ListParagraph"/>
        <w:numPr>
          <w:ilvl w:val="0"/>
          <w:numId w:val="1"/>
        </w:numPr>
        <w:spacing w:after="60"/>
      </w:pPr>
      <w:r>
        <w:t>Immigration New Zealand — Gebühren, Visakategorien, Gesundheitsanforderungen (</w:t>
      </w:r>
      <w:hyperlink r:id="rId598" w:history="1">
        <w:r>
          <w:rPr>
            <w:color w:val="0563C1"/>
            <w:u w:val="single"/>
          </w:rPr>
          <w:t>immigration.govt.nz</w:t>
        </w:r>
      </w:hyperlink>
      <w:r>
        <w:t>)</w:t>
      </w:r>
    </w:p>
    <w:p w14:paraId="70A5005C" w14:textId="57063243" w:rsidR="00C1548D" w:rsidRDefault="009B1B4B" w:rsidP="009B1B4B">
      <w:pPr>
        <w:pStyle w:val="ListParagraph"/>
        <w:numPr>
          <w:ilvl w:val="0"/>
          <w:numId w:val="1"/>
        </w:numPr>
        <w:spacing w:after="60"/>
      </w:pPr>
      <w:r>
        <w:t>Inland Revenue Department — Einkommensteuersätze, IRD-Nummer, Steuerresidenz (</w:t>
      </w:r>
      <w:hyperlink r:id="rId599" w:history="1">
        <w:r>
          <w:rPr>
            <w:color w:val="0563C1"/>
            <w:u w:val="single"/>
          </w:rPr>
          <w:t>ird.govt.nz</w:t>
        </w:r>
      </w:hyperlink>
      <w:r>
        <w:t>)</w:t>
      </w:r>
    </w:p>
    <w:p w14:paraId="70A5005D" w14:textId="111A1D50" w:rsidR="00C1548D" w:rsidRDefault="009B1B4B" w:rsidP="009B1B4B">
      <w:pPr>
        <w:pStyle w:val="ListParagraph"/>
        <w:numPr>
          <w:ilvl w:val="0"/>
          <w:numId w:val="1"/>
        </w:numPr>
        <w:spacing w:after="60"/>
      </w:pPr>
      <w:r>
        <w:t>ACC — Leistungen und Finanzierung der Unfallversicherung (</w:t>
      </w:r>
      <w:hyperlink r:id="rId600" w:history="1">
        <w:r>
          <w:rPr>
            <w:color w:val="0563C1"/>
            <w:u w:val="single"/>
          </w:rPr>
          <w:t>acc.co.nz</w:t>
        </w:r>
      </w:hyperlink>
      <w:r>
        <w:t>)</w:t>
      </w:r>
    </w:p>
    <w:p w14:paraId="70A5005E" w14:textId="747C7C4D" w:rsidR="00C1548D" w:rsidRDefault="009B1B4B" w:rsidP="009B1B4B">
      <w:pPr>
        <w:pStyle w:val="ListParagraph"/>
        <w:numPr>
          <w:ilvl w:val="0"/>
          <w:numId w:val="1"/>
        </w:numPr>
        <w:spacing w:after="60"/>
      </w:pPr>
      <w:r>
        <w:t>OECD — Taxing Wages, Steuerkeil-Vergleich (</w:t>
      </w:r>
      <w:hyperlink r:id="rId601" w:history="1">
        <w:r>
          <w:rPr>
            <w:color w:val="0563C1"/>
            <w:u w:val="single"/>
          </w:rPr>
          <w:t>oecd.org</w:t>
        </w:r>
      </w:hyperlink>
      <w:r>
        <w:t>)</w:t>
      </w:r>
    </w:p>
    <w:p w14:paraId="70A5005F" w14:textId="7A04FF9B" w:rsidR="00C1548D" w:rsidRDefault="009B1B4B" w:rsidP="009B1B4B">
      <w:pPr>
        <w:pStyle w:val="ListParagraph"/>
        <w:numPr>
          <w:ilvl w:val="0"/>
          <w:numId w:val="1"/>
        </w:numPr>
        <w:spacing w:after="60"/>
      </w:pPr>
      <w:r>
        <w:t>Numbeo — Lebenshaltungskosten im Städtevergleich (</w:t>
      </w:r>
      <w:hyperlink r:id="rId602" w:history="1">
        <w:r>
          <w:rPr>
            <w:color w:val="0563C1"/>
            <w:u w:val="single"/>
          </w:rPr>
          <w:t>numbeo.com</w:t>
        </w:r>
      </w:hyperlink>
      <w:r>
        <w:t>)</w:t>
      </w:r>
    </w:p>
    <w:p w14:paraId="70A50060" w14:textId="17E0D33B" w:rsidR="00C1548D" w:rsidRDefault="009B1B4B" w:rsidP="009B1B4B">
      <w:pPr>
        <w:pStyle w:val="ListParagraph"/>
        <w:numPr>
          <w:ilvl w:val="0"/>
          <w:numId w:val="1"/>
        </w:numPr>
        <w:spacing w:after="60"/>
      </w:pPr>
      <w:r>
        <w:t>Statistics New Zealand — Bevölkerungs- und Zensusdaten (</w:t>
      </w:r>
      <w:hyperlink r:id="rId603" w:history="1">
        <w:r>
          <w:rPr>
            <w:color w:val="0563C1"/>
            <w:u w:val="single"/>
          </w:rPr>
          <w:t>stats.govt.nz</w:t>
        </w:r>
      </w:hyperlink>
      <w:r>
        <w:t>)</w:t>
      </w:r>
    </w:p>
    <w:p w14:paraId="70A50061"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64"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062" w14:textId="77777777" w:rsidR="00C1548D" w:rsidRDefault="009B1B4B">
            <w:pPr>
              <w:keepNext/>
              <w:spacing w:after="70" w:line="240" w:lineRule="auto"/>
            </w:pPr>
            <w:r>
              <w:rPr>
                <w:b/>
                <w:bCs/>
                <w:color w:val="6B7280"/>
                <w:spacing w:val="24"/>
                <w:sz w:val="16"/>
                <w:szCs w:val="16"/>
              </w:rPr>
              <w:lastRenderedPageBreak/>
              <w:t>STAND</w:t>
            </w:r>
          </w:p>
          <w:p w14:paraId="70A50063" w14:textId="77777777" w:rsidR="00C1548D" w:rsidRDefault="009B1B4B">
            <w:pPr>
              <w:spacing w:after="80" w:line="264" w:lineRule="auto"/>
            </w:pPr>
            <w:r>
              <w:rPr>
                <w:sz w:val="20"/>
                <w:szCs w:val="20"/>
              </w:rPr>
              <w:t>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immigration.govt.nz und ird.govt.nz.</w:t>
            </w:r>
          </w:p>
        </w:tc>
      </w:tr>
    </w:tbl>
    <w:p w14:paraId="70A50065" w14:textId="77777777" w:rsidR="00C1548D" w:rsidRDefault="00C1548D">
      <w:pPr>
        <w:spacing w:line="220" w:lineRule="exact"/>
      </w:pPr>
    </w:p>
    <w:p w14:paraId="70A50066" w14:textId="77777777" w:rsidR="00C1548D" w:rsidRDefault="009B1B4B">
      <w:pPr>
        <w:pStyle w:val="Heading2"/>
        <w:keepNext/>
        <w:pageBreakBefore/>
        <w:jc w:val="center"/>
      </w:pPr>
      <w:bookmarkStart w:id="170" w:name="tnz02"/>
      <w:bookmarkStart w:id="171" w:name="_Toc241352537"/>
      <w:r>
        <w:rPr>
          <w:rFonts w:ascii="Amazon Ember" w:eastAsia="Amazon Ember" w:hAnsi="Amazon Ember" w:cs="Amazon Ember"/>
          <w:color w:val="0000FF"/>
          <w:sz w:val="36"/>
          <w:szCs w:val="36"/>
        </w:rPr>
        <w:lastRenderedPageBreak/>
        <w:t>Neuseeland: Wege der Einwanderung</w:t>
      </w:r>
      <w:bookmarkEnd w:id="170"/>
      <w:bookmarkEnd w:id="171"/>
    </w:p>
    <w:p w14:paraId="70A50067" w14:textId="77777777" w:rsidR="00C1548D" w:rsidRDefault="009B1B4B">
      <w:pPr>
        <w:spacing w:after="140"/>
      </w:pPr>
      <w:r>
        <w:t>Wer zum ersten Mal die Visa-Seiten von Immigration New Zealand (INZ, die neuseeländische Einwanderungsbehörde, Teil des Wirtschaftsministeriums MBIE) durchklickt, stößt nicht auf eine einzelne Tür, sondern auf ein kleines Labyrinth aus Kategorien: Skilled Migrant Category, Accredited Employer Work Visa, Green List, Working Holiday, Student Visa – jede mit eigenen Schwellen, eigenen Gebühren, eigenem Tempo. Paul Lindner aus Frankfurt fand seinen Weg direkt über das Punktesystem; Familie Krüger aus Rostock ka</w:t>
      </w:r>
      <w:r>
        <w:t>m über ein Jobangebot und einen Beruf auf der Green List ins Land. Beide leben heute – oder bald – in Neuseeland, aber durch unterschiedliche Türen. Dieses Kapitel ordnet die wichtigsten Wege für Deutsche, bevor die folgenden Kapitel dieses Teils sie im Detail vertiefen.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6F"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068" w14:textId="77777777" w:rsidR="00C1548D" w:rsidRDefault="009B1B4B">
            <w:pPr>
              <w:keepNext/>
              <w:spacing w:after="70" w:line="240" w:lineRule="auto"/>
            </w:pPr>
            <w:r>
              <w:rPr>
                <w:b/>
                <w:bCs/>
                <w:color w:val="1F3A5F"/>
                <w:spacing w:val="24"/>
                <w:sz w:val="16"/>
                <w:szCs w:val="16"/>
              </w:rPr>
              <w:lastRenderedPageBreak/>
              <w:t>KURZ GESAGT</w:t>
            </w:r>
          </w:p>
          <w:p w14:paraId="70A50069" w14:textId="77777777" w:rsidR="00C1548D" w:rsidRDefault="009B1B4B" w:rsidP="009B1B4B">
            <w:pPr>
              <w:pStyle w:val="ListParagraph"/>
              <w:numPr>
                <w:ilvl w:val="0"/>
                <w:numId w:val="1"/>
              </w:numPr>
              <w:spacing w:after="50" w:line="264" w:lineRule="auto"/>
            </w:pPr>
            <w:r>
              <w:rPr>
                <w:sz w:val="20"/>
                <w:szCs w:val="20"/>
              </w:rPr>
              <w:t>Neuseeland öffnet sich für Deutsche vor allem über zwei Prinzipien: das Punktesystem der Skilled Migrant Category (SMC) und das Arbeitgeber-Sponsoring über das Accredited Employer Work Visa (AEWV).</w:t>
            </w:r>
          </w:p>
          <w:p w14:paraId="70A5006A" w14:textId="77777777" w:rsidR="00C1548D" w:rsidRDefault="009B1B4B" w:rsidP="009B1B4B">
            <w:pPr>
              <w:pStyle w:val="ListParagraph"/>
              <w:numPr>
                <w:ilvl w:val="0"/>
                <w:numId w:val="1"/>
              </w:numPr>
              <w:spacing w:after="50" w:line="264" w:lineRule="auto"/>
            </w:pPr>
            <w:r>
              <w:rPr>
                <w:sz w:val="20"/>
                <w:szCs w:val="20"/>
              </w:rPr>
              <w:t>Seit einer Reform 2025/26 reicht für die SMC eine neue, deutlich einfachere Schwelle von 6 Punkten – vorher waren es 180 Punkte in einem komplizierteren Modell.</w:t>
            </w:r>
          </w:p>
          <w:p w14:paraId="70A5006B" w14:textId="77777777" w:rsidR="00C1548D" w:rsidRDefault="009B1B4B" w:rsidP="009B1B4B">
            <w:pPr>
              <w:pStyle w:val="ListParagraph"/>
              <w:numPr>
                <w:ilvl w:val="0"/>
                <w:numId w:val="1"/>
              </w:numPr>
              <w:spacing w:after="50" w:line="264" w:lineRule="auto"/>
            </w:pPr>
            <w:r>
              <w:rPr>
                <w:sz w:val="20"/>
                <w:szCs w:val="20"/>
              </w:rPr>
              <w:t>Die Green List (Mangelberufe-Liste) verkürzt oder ersetzt für rund 200 Berufe den üblichen Weg: Tier 1 erlaubt den direkten Antrag auf Daueraufenthalt, Tier 2 verlangt vorher 24 Monate Arbeit in Neuseeland.</w:t>
            </w:r>
          </w:p>
          <w:p w14:paraId="70A5006C" w14:textId="77777777" w:rsidR="00C1548D" w:rsidRDefault="009B1B4B" w:rsidP="009B1B4B">
            <w:pPr>
              <w:pStyle w:val="ListParagraph"/>
              <w:numPr>
                <w:ilvl w:val="0"/>
                <w:numId w:val="1"/>
              </w:numPr>
              <w:spacing w:after="50" w:line="264" w:lineRule="auto"/>
            </w:pPr>
            <w:r>
              <w:rPr>
                <w:sz w:val="20"/>
                <w:szCs w:val="20"/>
              </w:rPr>
              <w:t>Working Holiday und Studienvisum sind selbst keine Daueraufenthaltswege, aber für viele der Seiteneingang, über den sich AEWV oder SMC später leichter öffnen.</w:t>
            </w:r>
          </w:p>
          <w:p w14:paraId="70A5006D" w14:textId="77777777" w:rsidR="00C1548D" w:rsidRDefault="009B1B4B" w:rsidP="009B1B4B">
            <w:pPr>
              <w:pStyle w:val="ListParagraph"/>
              <w:numPr>
                <w:ilvl w:val="0"/>
                <w:numId w:val="1"/>
              </w:numPr>
              <w:spacing w:after="50" w:line="264" w:lineRule="auto"/>
            </w:pPr>
            <w:r>
              <w:rPr>
                <w:sz w:val="20"/>
                <w:szCs w:val="20"/>
              </w:rPr>
              <w:t>Deutschland zählt nicht zu den Ländern mit Gebührenbefreiung – anders als etwa Österreich zahlst du die vollen INZ-Gebühren.</w:t>
            </w:r>
          </w:p>
          <w:p w14:paraId="70A5006E" w14:textId="77777777" w:rsidR="00C1548D" w:rsidRDefault="009B1B4B" w:rsidP="009B1B4B">
            <w:pPr>
              <w:pStyle w:val="ListParagraph"/>
              <w:numPr>
                <w:ilvl w:val="0"/>
                <w:numId w:val="1"/>
              </w:numPr>
              <w:spacing w:after="50" w:line="264" w:lineRule="auto"/>
            </w:pPr>
            <w:r>
              <w:rPr>
                <w:sz w:val="20"/>
                <w:szCs w:val="20"/>
              </w:rPr>
              <w:t>Welcher Weg passt, hängt weniger vom Wunschort ab als von Beruf, Alter, Sprachniveau und der Frage, ob bereits ein Jobangebot vorliegt.</w:t>
            </w:r>
          </w:p>
        </w:tc>
      </w:tr>
    </w:tbl>
    <w:p w14:paraId="70A50070" w14:textId="77777777" w:rsidR="00C1548D" w:rsidRDefault="00C1548D">
      <w:pPr>
        <w:spacing w:line="220" w:lineRule="exact"/>
      </w:pPr>
    </w:p>
    <w:p w14:paraId="70A50071" w14:textId="77777777" w:rsidR="00C1548D" w:rsidRDefault="009B1B4B">
      <w:pPr>
        <w:pStyle w:val="Heading3"/>
        <w:keepNext/>
        <w:jc w:val="center"/>
      </w:pPr>
      <w:r>
        <w:rPr>
          <w:rFonts w:ascii="Amazon Ember" w:eastAsia="Amazon Ember" w:hAnsi="Amazon Ember" w:cs="Amazon Ember"/>
          <w:color w:val="0000FF"/>
          <w:sz w:val="36"/>
          <w:szCs w:val="36"/>
        </w:rPr>
        <w:t>Das Grundprinzip: Punkte oder Arbeitgeber</w:t>
      </w:r>
    </w:p>
    <w:p w14:paraId="70A50072" w14:textId="77777777" w:rsidR="00C1548D" w:rsidRDefault="009B1B4B">
      <w:pPr>
        <w:spacing w:after="140"/>
      </w:pPr>
      <w:r>
        <w:t xml:space="preserve">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w:t>
      </w:r>
      <w:r>
        <w:rPr>
          <w:i/>
          <w:iCs/>
        </w:rPr>
        <w:t>Skilled Migrant Category</w:t>
      </w:r>
      <w:r>
        <w:t xml:space="preserve"> (SMC), dem zentralen Punktesystem für Fachkräfte. Die zweite führt zum </w:t>
      </w:r>
      <w:r>
        <w:rPr>
          <w:i/>
          <w:iCs/>
        </w:rPr>
        <w:t>Accredited Employer Work Visa</w:t>
      </w:r>
      <w:r>
        <w:t xml:space="preserve"> (AEWV), dem befristeten Arbeitsvisum, über das die meisten Deutschen zunächst ins Land kommen, bevor sie – oft über die Green List – zur Residency wechseln.</w:t>
      </w:r>
    </w:p>
    <w:p w14:paraId="70A50073" w14:textId="77777777" w:rsidR="00C1548D" w:rsidRDefault="009B1B4B">
      <w:pPr>
        <w:spacing w:after="140"/>
      </w:pPr>
      <w:r>
        <w:lastRenderedPageBreak/>
        <w:t>Beide Wege sind eng miteinander verzahnt, nicht strikt getrennt: Ein AEWV kann der erste Schritt zu einer späteren SMC-Bewerbung sein, sobald genug Berufserfahrung in Neuseeland vorliegt. Wer dagegen schon jetzt komfortabel über der Punkteschwelle liegt, kann die SMC auch direkt aus Deutschland beantragen, ganz ohne vorherigen Zwischenschritt über ein Arbeitsvisum – der Weg, den Paul Lindner wählt.</w:t>
      </w:r>
    </w:p>
    <w:p w14:paraId="70A50074" w14:textId="77777777" w:rsidR="00C1548D" w:rsidRDefault="009B1B4B">
      <w:pPr>
        <w:pStyle w:val="Heading3"/>
        <w:keepNext/>
        <w:jc w:val="center"/>
      </w:pPr>
      <w:r>
        <w:rPr>
          <w:rFonts w:ascii="Amazon Ember" w:eastAsia="Amazon Ember" w:hAnsi="Amazon Ember" w:cs="Amazon Ember"/>
          <w:color w:val="0000FF"/>
          <w:sz w:val="36"/>
          <w:szCs w:val="36"/>
        </w:rPr>
        <w:t>Skilled Migrant Category: das neue, einfachere Punktesystem</w:t>
      </w:r>
    </w:p>
    <w:p w14:paraId="70A50075" w14:textId="77777777" w:rsidR="00C1548D" w:rsidRDefault="009B1B4B">
      <w:pPr>
        <w:spacing w:after="140"/>
      </w:pPr>
      <w:r>
        <w:t xml:space="preserve">Die SMC ist seit einer Reform 2025/26 grundlegend einfacher geworden. Das frühere System mit einer Schwelle von 180 Punkten in einem umfangreichen Punkteraster (das genaue Datum der Umstellung ist in den verfügbaren Quellen nicht abschließend belegt) wurde durch ein schlankeres Modell mit einer Mindestschwelle von nur noch </w:t>
      </w:r>
      <w:r>
        <w:rPr>
          <w:b/>
          <w:bCs/>
        </w:rPr>
        <w:t>6 Punkten</w:t>
      </w:r>
      <w:r>
        <w:t xml:space="preserve"> ersetzt. Diese Punkte stammen aus vier Quellen:</w:t>
      </w:r>
    </w:p>
    <w:p w14:paraId="70A50076" w14:textId="77777777" w:rsidR="00C1548D" w:rsidRDefault="009B1B4B" w:rsidP="009B1B4B">
      <w:pPr>
        <w:pStyle w:val="ListParagraph"/>
        <w:numPr>
          <w:ilvl w:val="0"/>
          <w:numId w:val="1"/>
        </w:numPr>
        <w:spacing w:after="60"/>
      </w:pPr>
      <w:r>
        <w:rPr>
          <w:b/>
          <w:bCs/>
        </w:rPr>
        <w:t>Qualifikation:</w:t>
      </w:r>
      <w:r>
        <w:t xml:space="preserve"> 4 bis 6 Punkte – ein Bachelorabschluss bringt seit dem 24.08.2026 4 statt vorher 3 Punkte, ein Master- oder Doktortitel entsprechend mehr.</w:t>
      </w:r>
    </w:p>
    <w:p w14:paraId="70A50077" w14:textId="77777777" w:rsidR="00C1548D" w:rsidRDefault="009B1B4B" w:rsidP="009B1B4B">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w14:paraId="70A50078" w14:textId="77777777" w:rsidR="00C1548D" w:rsidRDefault="009B1B4B" w:rsidP="009B1B4B">
      <w:pPr>
        <w:pStyle w:val="ListParagraph"/>
        <w:numPr>
          <w:ilvl w:val="0"/>
          <w:numId w:val="1"/>
        </w:numPr>
        <w:spacing w:after="60"/>
      </w:pPr>
      <w:r>
        <w:rPr>
          <w:b/>
          <w:bCs/>
        </w:rPr>
        <w:t>Einkommen:</w:t>
      </w:r>
      <w:r>
        <w:t xml:space="preserve"> 3 bis 6 Punkte, gestaffelt nach Lohnschwelle (siehe unten).</w:t>
      </w:r>
    </w:p>
    <w:p w14:paraId="70A50079" w14:textId="77777777" w:rsidR="00C1548D" w:rsidRDefault="009B1B4B" w:rsidP="009B1B4B">
      <w:pPr>
        <w:pStyle w:val="ListParagraph"/>
        <w:numPr>
          <w:ilvl w:val="0"/>
          <w:numId w:val="1"/>
        </w:numPr>
        <w:spacing w:after="60"/>
      </w:pPr>
      <w:r>
        <w:rPr>
          <w:b/>
          <w:bCs/>
        </w:rPr>
        <w:t>Neuseeländische Facharbeitserfahrung:</w:t>
      </w:r>
      <w:r>
        <w:t xml:space="preserve"> bis zu 3 Zusatzpunkte für bereits geleistete Arbeit im Land.</w:t>
      </w:r>
    </w:p>
    <w:p w14:paraId="70A5007A" w14:textId="77777777" w:rsidR="00C1548D" w:rsidRDefault="00C1548D">
      <w:pPr>
        <w:spacing w:line="120" w:lineRule="exact"/>
      </w:pPr>
    </w:p>
    <w:p w14:paraId="70A5007B" w14:textId="77777777" w:rsidR="00C1548D" w:rsidRDefault="009B1B4B">
      <w:pPr>
        <w:spacing w:after="140"/>
      </w:pPr>
      <w:r>
        <w:t xml:space="preserve">Für die Einkommenspunkte gilt ein System aus Vielfachen des neuseeländischen Medianlohns, der seit dem 09.03.2026 bei 35,00 NZD pro Stunde liegt: Wer ohne bisherige neuseeländische Arbeitserfahrung das Dreifache dieses Medianlohns verdient – </w:t>
      </w:r>
      <w:r>
        <w:lastRenderedPageBreak/>
        <w:t>105,00 NZD/Std. –, erhält die vollen 6 Punkte. Mit bereits vorhandener neuseeländischer Arbeitserfahrung genügt das Doppelte, 70,00 NZD/Std., für 4 Punkte. Ein wichtiges Detail: Einmal festgelegt, bleibt die Lohnschwelle für den jeweiligen Antrag bestehen – „once your threshold is set, it does not change“, wie INZ es formuliert. Wer früh mit einer Stelle unterhalb der aktuell gültigen Schwelle beginnt, sollte den genauen Startzeitpunkt sorgfältig dokumentieren, da spätere Erhöhungen nicht rückwirkend gelten</w:t>
      </w:r>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7E"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07C" w14:textId="77777777" w:rsidR="00C1548D" w:rsidRDefault="009B1B4B">
            <w:pPr>
              <w:keepNext/>
              <w:spacing w:after="70" w:line="240" w:lineRule="auto"/>
            </w:pPr>
            <w:r>
              <w:rPr>
                <w:b/>
                <w:bCs/>
                <w:color w:val="8A6212"/>
                <w:spacing w:val="24"/>
                <w:sz w:val="16"/>
                <w:szCs w:val="16"/>
              </w:rPr>
              <w:t>MERKE</w:t>
            </w:r>
          </w:p>
          <w:p w14:paraId="70A5007D" w14:textId="77777777" w:rsidR="00C1548D" w:rsidRDefault="009B1B4B">
            <w:pPr>
              <w:spacing w:after="80" w:line="264" w:lineRule="auto"/>
            </w:pPr>
            <w:r>
              <w:rPr>
                <w:sz w:val="20"/>
                <w:szCs w:val="20"/>
              </w:rPr>
              <w:t>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tc>
      </w:tr>
    </w:tbl>
    <w:p w14:paraId="70A5007F" w14:textId="77777777" w:rsidR="00C1548D" w:rsidRDefault="00C1548D">
      <w:pPr>
        <w:spacing w:line="220" w:lineRule="exact"/>
      </w:pPr>
    </w:p>
    <w:p w14:paraId="70A50080" w14:textId="77777777" w:rsidR="00C1548D" w:rsidRDefault="009B1B4B">
      <w:pPr>
        <w:spacing w:after="140"/>
      </w:pPr>
      <w: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den </w:t>
      </w:r>
      <w:r>
        <w:rPr>
          <w:i/>
          <w:iCs/>
        </w:rPr>
        <w:t>Skilled-Work-Experience-Pfad</w:t>
      </w:r>
      <w:r>
        <w:t xml:space="preserve"> für Personen mit mindestens 5 Jahren einschlägiger Erfahrung, davon mindestens 2 Jahre in Neuseeland zum geforderten Lohnsatz, und den </w:t>
      </w:r>
      <w:r>
        <w:rPr>
          <w:i/>
          <w:iCs/>
        </w:rPr>
        <w:t>Trades-&amp;-Technician-Pfad</w:t>
      </w:r>
      <w:r>
        <w:t xml:space="preserve"> für Personen mit einer Level-4-Qualifikation oder höher und mindestens 2,5 Jahren einschlägiger Erfahrung nach Abschluss.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8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081" w14:textId="77777777" w:rsidR="00C1548D" w:rsidRDefault="009B1B4B">
            <w:pPr>
              <w:keepNext/>
              <w:spacing w:after="70" w:line="240" w:lineRule="auto"/>
            </w:pPr>
            <w:r>
              <w:rPr>
                <w:b/>
                <w:bCs/>
                <w:color w:val="9B2C2C"/>
                <w:spacing w:val="24"/>
                <w:sz w:val="16"/>
                <w:szCs w:val="16"/>
              </w:rPr>
              <w:lastRenderedPageBreak/>
              <w:t>ACHTUNG</w:t>
            </w:r>
          </w:p>
          <w:p w14:paraId="70A50082" w14:textId="77777777" w:rsidR="00C1548D" w:rsidRDefault="009B1B4B">
            <w:pPr>
              <w:spacing w:after="80" w:line="264" w:lineRule="auto"/>
            </w:pPr>
            <w:r>
              <w:rPr>
                <w:sz w:val="20"/>
                <w:szCs w:val="20"/>
              </w:rPr>
              <w:t>Die Reform vom 24.08.2026 hat auch die Regeln verschärft, nicht nur vereinfacht. Selbstständigkeit zählt seither nicht mehr automatisch als „direkt relevante Arbeitserfahrung“, und alle Nachweise müssen „unabhängig überprüfbar“ sein – reine Eigenerklärungen reichen nicht mehr. Wer seine Berufserfahrung über frühere Selbstständigkeit begründen wollte, sollte das vor der Antragstellung genau mit einer Einwanderungsberatung klären.</w:t>
            </w:r>
          </w:p>
        </w:tc>
      </w:tr>
    </w:tbl>
    <w:p w14:paraId="70A50084" w14:textId="77777777" w:rsidR="00C1548D" w:rsidRDefault="00C1548D">
      <w:pPr>
        <w:spacing w:line="220" w:lineRule="exact"/>
      </w:pPr>
    </w:p>
    <w:p w14:paraId="70A50085" w14:textId="77777777" w:rsidR="00C1548D" w:rsidRDefault="009B1B4B">
      <w:pPr>
        <w:spacing w:after="140"/>
      </w:pPr>
      <w:r>
        <w:t xml:space="preserve">Die Gebühr für den Hauptantragsteller liegt bei 6.450 NZD (2.880 NZD Antragsgebühr plus 3.570 NZD </w:t>
      </w:r>
      <w:r>
        <w:rPr>
          <w:i/>
          <w:iCs/>
        </w:rPr>
        <w:t>Immigration Levy</w:t>
      </w:r>
      <w:r>
        <w:t xml:space="preserve">, eine zusätzliche Einwanderungsabgabe); Partner und Kinder zahlen über die Family Category beziehungsweise als Dependent Child jeweils separat. Wer die SMC erfolgreich durchläuft, erhält ein </w:t>
      </w:r>
      <w:r>
        <w:rPr>
          <w:i/>
          <w:iCs/>
        </w:rPr>
        <w:t>Resident Visa</w:t>
      </w:r>
      <w:r>
        <w:t xml:space="preserve"> – de facto einen Daueraufenthaltstitel, wenn auch mit Reisebedingungen, die zunächst 2 Jahre nach der ersten Einreise laufen, bevor gegebenenfalls ein </w:t>
      </w:r>
      <w:r>
        <w:rPr>
          <w:i/>
          <w:iCs/>
        </w:rPr>
        <w:t>Permanent Resident Visa</w:t>
      </w:r>
      <w:r>
        <w:t xml:space="preserve"> für uneingeschränktes Ein- und Ausreisen nötig wird.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88"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086" w14:textId="77777777" w:rsidR="00C1548D" w:rsidRDefault="009B1B4B">
            <w:pPr>
              <w:keepNext/>
              <w:spacing w:after="70" w:line="240" w:lineRule="auto"/>
            </w:pPr>
            <w:r>
              <w:rPr>
                <w:b/>
                <w:bCs/>
                <w:color w:val="4A5568"/>
                <w:spacing w:val="24"/>
                <w:sz w:val="16"/>
                <w:szCs w:val="16"/>
              </w:rPr>
              <w:t>PRAXISBEISPIEL · FIKTIV</w:t>
            </w:r>
          </w:p>
          <w:p w14:paraId="70A50087" w14:textId="77777777" w:rsidR="00C1548D" w:rsidRDefault="009B1B4B">
            <w:pPr>
              <w:spacing w:after="80" w:line="264" w:lineRule="auto"/>
            </w:pPr>
            <w:r>
              <w:rPr>
                <w:sz w:val="20"/>
                <w:szCs w:val="20"/>
              </w:rPr>
              <w:t>Paul Lindner (fiktiv), 31, IT-Berater aus Frankfurt, alleinstehend, rechnete seine Punktzahl schon Monate vor der geplanten Ausreise durch. Mit einem Masterabschluss, einigen Jahren einschlägiger Berufserfahrung und einem Jobangebot eines Auckland-Unternehmens deutlich über der 105,00-NZD-Schwelle kam er komfortabel über die 6-Punkte-Marke – ein Ergebnis, das ihn selbst überraschte, weil er aus Erzählungen über das alte 180-Punkte-System eine viel härtere Hürde erwartet hatte. Der eigentliche Aufwand lag ni</w:t>
            </w:r>
            <w:r>
              <w:rPr>
                <w:sz w:val="20"/>
                <w:szCs w:val="20"/>
              </w:rPr>
              <w:t>cht in der Punkterechnung, sondern im Sprachtest, dem Gesundheitscheck und der Beschaffung eines aktuellen Führungszeugnisses.</w:t>
            </w:r>
          </w:p>
        </w:tc>
      </w:tr>
    </w:tbl>
    <w:p w14:paraId="70A50089" w14:textId="77777777" w:rsidR="00C1548D" w:rsidRDefault="00C1548D">
      <w:pPr>
        <w:spacing w:line="220" w:lineRule="exact"/>
      </w:pPr>
    </w:p>
    <w:p w14:paraId="70A5008A" w14:textId="77777777" w:rsidR="00C1548D" w:rsidRDefault="009B1B4B">
      <w:pPr>
        <w:pStyle w:val="Heading3"/>
        <w:keepNext/>
        <w:jc w:val="center"/>
      </w:pPr>
      <w:r>
        <w:rPr>
          <w:rFonts w:ascii="Amazon Ember" w:eastAsia="Amazon Ember" w:hAnsi="Amazon Ember" w:cs="Amazon Ember"/>
          <w:color w:val="0000FF"/>
          <w:sz w:val="36"/>
          <w:szCs w:val="36"/>
        </w:rPr>
        <w:t>Accredited Employer Work Visa: der häufigste erste Schritt</w:t>
      </w:r>
    </w:p>
    <w:p w14:paraId="70A5008B" w14:textId="77777777" w:rsidR="00C1548D" w:rsidRDefault="009B1B4B">
      <w:pPr>
        <w:spacing w:after="140"/>
      </w:pPr>
      <w:r>
        <w:t xml:space="preserve">Wer wie Familie Krüger keinen Direktweg über die SMC-Punktzahl anstrebt oder ihn erst über neuseeländische Berufserfahrung </w:t>
      </w:r>
      <w:r>
        <w:lastRenderedPageBreak/>
        <w:t xml:space="preserve">erreichen will, kommt in aller Regel über das </w:t>
      </w:r>
      <w:r>
        <w:rPr>
          <w:i/>
          <w:iCs/>
        </w:rPr>
        <w:t>Accredited Employer Work Visa</w:t>
      </w:r>
      <w:r>
        <w:t xml:space="preserve"> (AEWV) ins Land. Anders als bei der SMC bewirbst du dich hier nicht selbst um Punkte, sondern brauchst einen Arbeitgeber, der zwei Hürden nimmt: Er muss zunächst als Betrieb akkreditiert sein (</w:t>
      </w:r>
      <w:r>
        <w:rPr>
          <w:i/>
          <w:iCs/>
        </w:rPr>
        <w:t>Employer Accreditation</w:t>
      </w:r>
      <w:r>
        <w:t xml:space="preserve">) und anschließend für die konkrete Stelle einen </w:t>
      </w:r>
      <w:r>
        <w:rPr>
          <w:i/>
          <w:iCs/>
        </w:rPr>
        <w:t>Job Check</w:t>
      </w:r>
      <w:r>
        <w:t xml:space="preserve"> bestehen, mit dem INZ prüft, ob die Position den Anforderungen entspricht. Erst danach kannst du selbst das AEWV beantragen.</w:t>
      </w:r>
    </w:p>
    <w:p w14:paraId="70A5008C" w14:textId="77777777" w:rsidR="00C1548D" w:rsidRDefault="009B1B4B">
      <w:pPr>
        <w:spacing w:after="140"/>
      </w:pPr>
      <w:r>
        <w:t>Die Voraussetzungen auf deiner Seite: eine Vollzeitstelle mit mindestens 30 Wochenstunden, Bezahlung mindestens zum geltenden Lohnsatz der jeweiligen Tätigkeit, dazu entweder mindestens 2 Jahre einschlägige Berufserfahrung oder eine Qualifikation ab Level 4 des neuseeländischen Qualifikationsrahmens. Englischkenntnisse sind nur für mittlere bis höhere Kompetenzstufen verpflichtend vorgeschrieben. Bei einer Bezahlung ab dem Doppelten des Medianlohns (67,12 NZD/Std.) entfällt der gesonderte Nachweis der Kompe</w:t>
      </w:r>
      <w:r>
        <w:t>tenzanforderungen ganz – ein Umstand, der besonders für gut bezahlte Fachkräfte den Verwaltungsaufwand spürbar senkt.</w:t>
      </w:r>
    </w:p>
    <w:p w14:paraId="70A5008D" w14:textId="77777777" w:rsidR="00C1548D" w:rsidRDefault="009B1B4B">
      <w:pPr>
        <w:spacing w:after="140"/>
      </w:pPr>
      <w:r>
        <w:t>Das AEWV gilt je nach Kompetenzstufe der Tätigkeit bis zu 5 Jahre, bei geringerer Kompetenzstufe 3 Jahre. Die Gesamtgebühr liegt bei 1.540 NZD (480 NZD Antrag plus 1.060 NZD Levy) – deutlich unter der SMC-Gebühr, allerdings trägt der Arbeitgeber zusätzlich die Kosten für Akkreditierung (775 NZD im Standardfall) und Job Check (735 NZD). Medizinische und charakterliche Anforderungen greifen gestaffelt: Ein Röntgen-Thorax wird erst ab 6 Monaten Aufenthalt und bei Herkunft aus einem Land mit erhöhtem Tuberkulos</w:t>
      </w:r>
      <w:r>
        <w:t>e-Risiko verlangt, ein Führungszeugnis erst, wenn der Gesamtaufenthalt in Neuseeland 24 Monate übersteigt – merklich niedrigere Hürden als bei der SMC, wo beides von Anfang an Pflicht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90"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08E" w14:textId="77777777" w:rsidR="00C1548D" w:rsidRDefault="009B1B4B">
            <w:pPr>
              <w:keepNext/>
              <w:spacing w:after="70" w:line="240" w:lineRule="auto"/>
            </w:pPr>
            <w:r>
              <w:rPr>
                <w:b/>
                <w:bCs/>
                <w:color w:val="6B7280"/>
                <w:spacing w:val="24"/>
                <w:sz w:val="16"/>
                <w:szCs w:val="16"/>
              </w:rPr>
              <w:lastRenderedPageBreak/>
              <w:t>KEIN RECHTSRAT</w:t>
            </w:r>
          </w:p>
          <w:p w14:paraId="70A5008F" w14:textId="77777777" w:rsidR="00C1548D" w:rsidRDefault="009B1B4B">
            <w:pPr>
              <w:spacing w:after="80" w:line="264" w:lineRule="auto"/>
            </w:pPr>
            <w:r>
              <w:rPr>
                <w:sz w:val="20"/>
                <w:szCs w:val="20"/>
              </w:rPr>
              <w:t>Dieses Kapitel erklärt Regeln und Praxis, ersetzt aber keine Beratung durch eine lizenzierte Einwanderungsberaterin, einen Einwanderungsberater oder eine Anwältin beziehungsweise einen Anwalt für neuseeländisches Einwanderungsrecht.</w:t>
            </w:r>
          </w:p>
        </w:tc>
      </w:tr>
    </w:tbl>
    <w:p w14:paraId="70A50091" w14:textId="77777777" w:rsidR="00C1548D" w:rsidRDefault="00C1548D">
      <w:pPr>
        <w:spacing w:line="220" w:lineRule="exact"/>
      </w:pPr>
    </w:p>
    <w:p w14:paraId="70A50092" w14:textId="77777777" w:rsidR="00C1548D" w:rsidRDefault="009B1B4B">
      <w:pPr>
        <w:spacing w:after="140"/>
      </w:pPr>
      <w:r>
        <w:t>Der große Vorteil des AEWV liegt in der niedrigeren Einstiegshürde: kein Punktetest, keine Altersgrenze wie bei der SMC. Der Preis ist die Bindung an den sponsernden Arbeitgeber – ein Wechsel bedeutet grundsätzlich ein neues Job-Check-Verfahren. Wer von dort aus zur Residency will, braucht entweder einen Beruf auf der Green List oder muss über die Jahre genug Punkte für die reguläre SMC sammeln.</w:t>
      </w:r>
    </w:p>
    <w:p w14:paraId="70A50093" w14:textId="77777777" w:rsidR="00C1548D" w:rsidRDefault="009B1B4B">
      <w:pPr>
        <w:pStyle w:val="Heading3"/>
        <w:keepNext/>
        <w:jc w:val="center"/>
      </w:pPr>
      <w:r>
        <w:rPr>
          <w:rFonts w:ascii="Amazon Ember" w:eastAsia="Amazon Ember" w:hAnsi="Amazon Ember" w:cs="Amazon Ember"/>
          <w:color w:val="0000FF"/>
          <w:sz w:val="36"/>
          <w:szCs w:val="36"/>
        </w:rPr>
        <w:t>Green List: der Überholstreifen für Mangelberufe</w:t>
      </w:r>
    </w:p>
    <w:p w14:paraId="70A50094" w14:textId="77777777" w:rsidR="00C1548D" w:rsidRDefault="009B1B4B">
      <w:pPr>
        <w:spacing w:after="140"/>
      </w:pPr>
      <w:r>
        <w:t xml:space="preserve">Für rund 200 einzelne Berufe – Schwerpunkte liegen bei Ingenieurwesen, Gesundheitswesen, Bauwesen und Gewerken, IT und Lehrberufen – bietet die </w:t>
      </w:r>
      <w:r>
        <w:rPr>
          <w:i/>
          <w:iCs/>
        </w:rPr>
        <w:t>Green List</w:t>
      </w:r>
      <w:r>
        <w:t xml:space="preserve"> (die Mangelberufe-Liste) einen verkürzten oder direkten Weg zur Residency, unabhängig vom sonstigen Punktesystem. Sie unterscheidet zwei Stufen:</w:t>
      </w:r>
    </w:p>
    <w:p w14:paraId="70A50095" w14:textId="77777777" w:rsidR="00C1548D" w:rsidRDefault="009B1B4B" w:rsidP="009B1B4B">
      <w:pPr>
        <w:pStyle w:val="ListParagraph"/>
        <w:numPr>
          <w:ilvl w:val="0"/>
          <w:numId w:val="1"/>
        </w:numPr>
        <w:spacing w:after="60"/>
      </w:pPr>
      <w:r>
        <w:rPr>
          <w:b/>
          <w:bCs/>
        </w:rPr>
        <w:t>Tier 1, „Straight to Residence“:</w:t>
      </w:r>
      <w:r>
        <w:t xml:space="preserve"> Sobald ein Jobangebot eines akkreditierten Arbeitgebers und die berufsspezifischen Voraussetzungen vorliegen, kann der direkte Antrag auf ein Daueraufenthaltsvisum gestellt werden – ganz ohne vorherige Arbeitszeit in Neuseeland.</w:t>
      </w:r>
    </w:p>
    <w:p w14:paraId="70A50096" w14:textId="77777777" w:rsidR="00C1548D" w:rsidRDefault="009B1B4B" w:rsidP="009B1B4B">
      <w:pPr>
        <w:pStyle w:val="ListParagraph"/>
        <w:numPr>
          <w:ilvl w:val="0"/>
          <w:numId w:val="1"/>
        </w:numPr>
        <w:spacing w:after="60"/>
      </w:pPr>
      <w:r>
        <w:rPr>
          <w:b/>
          <w:bCs/>
        </w:rPr>
        <w:t>Tier 2, „Work to Residence“:</w:t>
      </w:r>
      <w:r>
        <w:t xml:space="preserve"> Zunächst ist ein AEWV nötig; nach 24 Monaten Arbeit in Neuseeland innerhalb der letzten 30 Monate vor Antragstellung öffnet sich der Wechsel zur Residency.</w:t>
      </w:r>
    </w:p>
    <w:p w14:paraId="70A50097" w14:textId="77777777" w:rsidR="00C1548D" w:rsidRDefault="00C1548D">
      <w:pPr>
        <w:spacing w:line="120" w:lineRule="exact"/>
      </w:pPr>
    </w:p>
    <w:p w14:paraId="70A50098" w14:textId="77777777" w:rsidR="00C1548D" w:rsidRDefault="009B1B4B">
      <w:pPr>
        <w:spacing w:after="140"/>
      </w:pPr>
      <w:r>
        <w:t xml:space="preserve">Wo kein eigener berufsspezifischer Schwellenwert gilt, greift als Mindestlohn der allgemeine Immigration-Medianlohn von 35,00 </w:t>
      </w:r>
      <w:r>
        <w:lastRenderedPageBreak/>
        <w:t>NZD pro Stunde. Wichtig: Beide Tiers setzen trotzdem eine Stelle bei einem akkreditierten Arbeitgeber voraus – die Green List ersetzt also nicht das AEWV-System, sondern beschleunigt den Weg von dort zur Residency.</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9B"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099" w14:textId="77777777" w:rsidR="00C1548D" w:rsidRDefault="009B1B4B">
            <w:pPr>
              <w:keepNext/>
              <w:spacing w:after="70" w:line="240" w:lineRule="auto"/>
            </w:pPr>
            <w:r>
              <w:rPr>
                <w:b/>
                <w:bCs/>
                <w:color w:val="2F6B3B"/>
                <w:spacing w:val="24"/>
                <w:sz w:val="16"/>
                <w:szCs w:val="16"/>
              </w:rPr>
              <w:t>SPARTIPP</w:t>
            </w:r>
          </w:p>
          <w:p w14:paraId="70A5009A" w14:textId="77777777" w:rsidR="00C1548D" w:rsidRDefault="009B1B4B">
            <w:pPr>
              <w:spacing w:after="80" w:line="264" w:lineRule="auto"/>
            </w:pPr>
            <w:r>
              <w:rPr>
                <w:sz w:val="20"/>
                <w:szCs w:val="20"/>
              </w:rPr>
              <w:t>Prüfe schon vor der Jobsuche, ob dein konkreter Beruf – mit dem passenden ANZSCO-Code, der australisch-neuseeländischen Standardklassifikation für Berufe – tatsächlich auf der Green List steht und welche Zusatzanforderungen (etwa eine berufliche Registrierung) für genau diesen Beruf gelten. Eine grobe Ähnlichkeit der Berufsbezeichnung reicht nicht; die Liste ist nach Einzelberufen, nicht nach Berufsfeldern sortiert.</w:t>
            </w:r>
          </w:p>
        </w:tc>
      </w:tr>
    </w:tbl>
    <w:p w14:paraId="70A5009C"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9F"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09D" w14:textId="77777777" w:rsidR="00C1548D" w:rsidRDefault="009B1B4B">
            <w:pPr>
              <w:keepNext/>
              <w:spacing w:after="70" w:line="240" w:lineRule="auto"/>
            </w:pPr>
            <w:r>
              <w:rPr>
                <w:b/>
                <w:bCs/>
                <w:color w:val="4A5568"/>
                <w:spacing w:val="24"/>
                <w:sz w:val="16"/>
                <w:szCs w:val="16"/>
              </w:rPr>
              <w:t>PRAXISBEISPIEL · FIKTIV</w:t>
            </w:r>
          </w:p>
          <w:p w14:paraId="70A5009E" w14:textId="50F5F956" w:rsidR="00C1548D" w:rsidRDefault="009B1B4B">
            <w:pPr>
              <w:spacing w:after="80" w:line="264" w:lineRule="auto"/>
            </w:pPr>
            <w:r>
              <w:rPr>
                <w:sz w:val="20"/>
                <w:szCs w:val="20"/>
              </w:rPr>
              <w:t>Familie Krüger (fiktiv) prüfte vor der Entscheidung gezielt, ob Sebastians Tätigkeit als Agraringenieur auf der Green List steht – was sich bestätigte. Der Plan: zunächst über das AEWV nach Christchurch, dort mindestens 24 Monate arbeiten, dann über Tier 2 den Wechsel zur Residency beantragen. Der Vorteil gegenüber dem regulären SMC-Punktepfad: kein eigenständiges Punkterechnen nötig, solange der Beruf gelistet bleibt und der Arbeitgeber akkreditiert ist. Der Nachteil: Bis zur Residency bleibt die Familie a</w:t>
            </w:r>
            <w:r>
              <w:rPr>
                <w:sz w:val="20"/>
                <w:szCs w:val="20"/>
              </w:rPr>
              <w:t xml:space="preserve">n den Arbeitgeber gebunden und, wie das </w:t>
            </w:r>
            <w:hyperlink w:anchor="tnz01" w:history="1">
              <w:r>
                <w:rPr>
                  <w:color w:val="0563C1"/>
                  <w:sz w:val="20"/>
                  <w:szCs w:val="20"/>
                  <w:u w:val="single"/>
                </w:rPr>
                <w:t>vorige Kapitel dieses Teils</w:t>
              </w:r>
            </w:hyperlink>
            <w:r>
              <w:rPr>
                <w:sz w:val="20"/>
                <w:szCs w:val="20"/>
              </w:rPr>
              <w:t xml:space="preserve"> zeigt, zunächst von KiwiSaver und teilweise von der öffentlichen Gesundheitsversorgung ausgeschlossen.</w:t>
            </w:r>
          </w:p>
        </w:tc>
      </w:tr>
    </w:tbl>
    <w:p w14:paraId="70A500A0" w14:textId="77777777" w:rsidR="00C1548D" w:rsidRDefault="00C1548D">
      <w:pPr>
        <w:spacing w:line="220" w:lineRule="exact"/>
      </w:pPr>
    </w:p>
    <w:p w14:paraId="70A500A1" w14:textId="77777777" w:rsidR="00C1548D" w:rsidRDefault="009B1B4B">
      <w:pPr>
        <w:pStyle w:val="Heading3"/>
        <w:keepNext/>
        <w:jc w:val="center"/>
      </w:pPr>
      <w:r>
        <w:rPr>
          <w:rFonts w:ascii="Amazon Ember" w:eastAsia="Amazon Ember" w:hAnsi="Amazon Ember" w:cs="Amazon Ember"/>
          <w:color w:val="0000FF"/>
          <w:sz w:val="36"/>
          <w:szCs w:val="36"/>
        </w:rPr>
        <w:t>Working Holiday: der Seiteneingang für junge Deutsche</w:t>
      </w:r>
    </w:p>
    <w:p w14:paraId="70A500A2" w14:textId="77777777" w:rsidR="00C1548D" w:rsidRDefault="009B1B4B">
      <w:pPr>
        <w:spacing w:after="140"/>
      </w:pPr>
      <w:r>
        <w:t xml:space="preserve">Das </w:t>
      </w:r>
      <w:r>
        <w:rPr>
          <w:i/>
          <w:iCs/>
        </w:rPr>
        <w:t>Working-Holiday-Visum</w:t>
      </w:r>
      <w:r>
        <w:t xml:space="preserve"> ist für sich genommen kein Weg zum Daueraufenthalt, aber für viele junge Deutsche der niedrigschwelligste erste Einstieg. Voraussetzungen: Alter zwischen 18 und 30 Jahren, deutsche Staatsangehörigkeit, kein früheres, bereits genutztes Working-Holiday-Visum, eine Vollkrankenversicherung für die gesamte Aufenthaltsdauer und der Nachweis von mindestens 4.200 NZD an Lebenshaltungsmitteln. Der </w:t>
      </w:r>
      <w:r>
        <w:lastRenderedPageBreak/>
        <w:t>Aufenthalt ist auf bis zu 12 Monate befristet, ein Daueranstellungsverhältnis ist ausdrücklich nicht erlaubt, Studium o</w:t>
      </w:r>
      <w:r>
        <w:t>der Ausbildung sind für bis zu 6 Monate im Rahmen des Aufenthalts zulässig. Die Gebühr liegt bei 770 NZD, ein Jobangebot ist für die Antragstellung nicht nötig.</w:t>
      </w:r>
    </w:p>
    <w:p w14:paraId="70A500A3" w14:textId="77777777" w:rsidR="00C1548D" w:rsidRDefault="009B1B4B">
      <w:pPr>
        <w:spacing w:after="140"/>
      </w:pPr>
      <w:r>
        <w:t>Der eigentliche Wert dieses Visums liegt selten im Visum selbst, sondern in dem, was währenddessen entsteht: ein Netzwerk, ein Probejob, im besten Fall ein Arbeitgeber, der anschließend bereit ist, ein AEWV zu sponsern. Da für das Working-Holiday-Visum kein Jobangebot vorausgesetzt wird, steht dem Umstieg auf ein AEWV grundsätzlich nichts entgegen, sobald sich vor Ort eine passende Stelle findet.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A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0A4" w14:textId="77777777" w:rsidR="00C1548D" w:rsidRDefault="009B1B4B">
            <w:pPr>
              <w:keepNext/>
              <w:spacing w:after="70" w:line="240" w:lineRule="auto"/>
            </w:pPr>
            <w:r>
              <w:rPr>
                <w:b/>
                <w:bCs/>
                <w:color w:val="9B2C2C"/>
                <w:spacing w:val="24"/>
                <w:sz w:val="16"/>
                <w:szCs w:val="16"/>
              </w:rPr>
              <w:t>ACHTUNG</w:t>
            </w:r>
          </w:p>
          <w:p w14:paraId="70A500A5" w14:textId="77777777" w:rsidR="00C1548D" w:rsidRDefault="009B1B4B">
            <w:pPr>
              <w:spacing w:after="80" w:line="264" w:lineRule="auto"/>
            </w:pPr>
            <w:r>
              <w:rPr>
                <w:sz w:val="20"/>
                <w:szCs w:val="20"/>
              </w:rPr>
              <w:t>Während des Working-Holiday-Jahres bist du in aller Regel nicht bei der öffentlichen Gesundheitsversorgung abgesichert –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tc>
      </w:tr>
    </w:tbl>
    <w:p w14:paraId="70A500A7" w14:textId="77777777" w:rsidR="00C1548D" w:rsidRDefault="00C1548D">
      <w:pPr>
        <w:spacing w:line="220" w:lineRule="exact"/>
      </w:pPr>
    </w:p>
    <w:p w14:paraId="70A500A8" w14:textId="77777777" w:rsidR="00C1548D" w:rsidRDefault="009B1B4B">
      <w:pPr>
        <w:pStyle w:val="Heading3"/>
        <w:keepNext/>
        <w:jc w:val="center"/>
      </w:pPr>
      <w:r>
        <w:rPr>
          <w:rFonts w:ascii="Amazon Ember" w:eastAsia="Amazon Ember" w:hAnsi="Amazon Ember" w:cs="Amazon Ember"/>
          <w:color w:val="0000FF"/>
          <w:sz w:val="36"/>
          <w:szCs w:val="36"/>
        </w:rPr>
        <w:t>Studium als Umweg zur Fachkraft</w:t>
      </w:r>
    </w:p>
    <w:p w14:paraId="70A500A9" w14:textId="77777777" w:rsidR="00C1548D" w:rsidRDefault="009B1B4B">
      <w:pPr>
        <w:spacing w:after="140"/>
      </w:pPr>
      <w:r>
        <w:t xml:space="preserve">Ein </w:t>
      </w:r>
      <w:r>
        <w:rPr>
          <w:i/>
          <w:iCs/>
        </w:rPr>
        <w:t>Fee Paying Student Visa</w:t>
      </w:r>
      <w:r>
        <w:t xml:space="preserve"> führt nicht direkt zur Einwanderung,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w:t>
      </w:r>
      <w:r>
        <w:t>t bei 850 NZD.</w:t>
      </w:r>
    </w:p>
    <w:p w14:paraId="70A500AA" w14:textId="77777777" w:rsidR="00C1548D" w:rsidRDefault="009B1B4B">
      <w:pPr>
        <w:spacing w:after="140"/>
      </w:pPr>
      <w:r>
        <w:lastRenderedPageBreak/>
        <w:t xml:space="preserve">Nach dem Abschluss ermöglicht das </w:t>
      </w:r>
      <w:r>
        <w:rPr>
          <w:i/>
          <w:iCs/>
        </w:rPr>
        <w:t>Post-Study Work Visa</w:t>
      </w:r>
      <w:r>
        <w:t xml:space="preserve">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weiter Richtung Residency planen. Einige angekündigte Neuerungen – etwa ein neues, kürzeres Graduate-Arbeitsvisum und eine mögliche Verkürzung der nötigen neuseeländischen Facharbeitserfahrung von 3 a</w:t>
      </w:r>
      <w:r>
        <w:t>uf 2 Jahre – waren zum Zeitpunkt dieses Kapitels angekündigt, aber nicht abschließend bestätigt; prüfe den aktuellen Stand direkt bei INZ, bevor du deine Planung darauf aufbaust.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AD"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0AB" w14:textId="77777777" w:rsidR="00C1548D" w:rsidRDefault="009B1B4B">
            <w:pPr>
              <w:keepNext/>
              <w:spacing w:after="70" w:line="240" w:lineRule="auto"/>
            </w:pPr>
            <w:r>
              <w:rPr>
                <w:b/>
                <w:bCs/>
                <w:color w:val="8A6212"/>
                <w:spacing w:val="24"/>
                <w:sz w:val="16"/>
                <w:szCs w:val="16"/>
              </w:rPr>
              <w:t>MERKE</w:t>
            </w:r>
          </w:p>
          <w:p w14:paraId="70A500AC" w14:textId="77777777" w:rsidR="00C1548D" w:rsidRDefault="009B1B4B">
            <w:pPr>
              <w:spacing w:after="80" w:line="264" w:lineRule="auto"/>
            </w:pPr>
            <w:r>
              <w:rPr>
                <w:sz w:val="20"/>
                <w:szCs w:val="20"/>
              </w:rPr>
              <w:t>Der Studienweg gilt als planbarster, aber auch teuerster Weg nach Neuseeland – Studiengebühren selbst kommen zu den hier genannten Visumskosten noch hinzu und sind von Hochschule zu Hochschule sehr unterschiedlich.</w:t>
            </w:r>
          </w:p>
        </w:tc>
      </w:tr>
    </w:tbl>
    <w:p w14:paraId="70A500AE" w14:textId="77777777" w:rsidR="00C1548D" w:rsidRDefault="00C1548D">
      <w:pPr>
        <w:spacing w:line="220" w:lineRule="exact"/>
      </w:pPr>
    </w:p>
    <w:p w14:paraId="70A500AF" w14:textId="77777777" w:rsidR="00C1548D" w:rsidRDefault="009B1B4B">
      <w:pPr>
        <w:pStyle w:val="Heading3"/>
        <w:keepNext/>
        <w:jc w:val="center"/>
      </w:pPr>
      <w:r>
        <w:rPr>
          <w:rFonts w:ascii="Amazon Ember" w:eastAsia="Amazon Ember" w:hAnsi="Amazon Ember" w:cs="Amazon Ember"/>
          <w:color w:val="0000FF"/>
          <w:sz w:val="36"/>
          <w:szCs w:val="36"/>
        </w:rPr>
        <w:t>Typische Fehler</w:t>
      </w:r>
    </w:p>
    <w:p w14:paraId="70A500B0" w14:textId="77777777" w:rsidR="00C1548D" w:rsidRDefault="009B1B4B">
      <w:pPr>
        <w:spacing w:after="140"/>
      </w:pPr>
      <w:r>
        <w:t>Wer die Wege in diesem Kapitel zum ersten Mal vergleicht, tappt erfahrungsgemäß in ähnliche Fallen:</w:t>
      </w:r>
    </w:p>
    <w:p w14:paraId="70A500B1" w14:textId="77777777" w:rsidR="00C1548D" w:rsidRDefault="009B1B4B" w:rsidP="009B1B4B">
      <w:pPr>
        <w:pStyle w:val="ListParagraph"/>
        <w:numPr>
          <w:ilvl w:val="0"/>
          <w:numId w:val="1"/>
        </w:numPr>
        <w:spacing w:after="60"/>
      </w:pPr>
      <w:r>
        <w:t>Verbreiteter Irrtum: 6 Punkte für die SMC klingen nach einer reinen Formsache. Tatsächlich stecken die eigentlichen Hürden in den Voraussetzungen dahinter – Jobangebot oder mehrjährige Erfahrung, Lohnschwelle, Sprachtest, Gesundheitscheck –, nicht in der Punktzahl selbst.</w:t>
      </w:r>
    </w:p>
    <w:p w14:paraId="70A500B2" w14:textId="77777777" w:rsidR="00C1548D" w:rsidRDefault="009B1B4B" w:rsidP="009B1B4B">
      <w:pPr>
        <w:pStyle w:val="ListParagraph"/>
        <w:numPr>
          <w:ilvl w:val="0"/>
          <w:numId w:val="1"/>
        </w:numPr>
        <w:spacing w:after="60"/>
      </w:pPr>
      <w:r>
        <w:t>AEWV und SMC werden verwechselt: Das AEWV ist ein befristetes Arbeitsvisum an einen bestimmten Arbeitgeber gebunden, die SMC ein Daueraufenthaltstitel ohne diese Bindung. Wer „ein Visum für Neuseeland“ sucht, ohne diesen Unterschied zu kennen, bewirbt sich leicht für den falschen Weg.</w:t>
      </w:r>
    </w:p>
    <w:p w14:paraId="70A500B3" w14:textId="77777777" w:rsidR="00C1548D" w:rsidRDefault="009B1B4B" w:rsidP="009B1B4B">
      <w:pPr>
        <w:pStyle w:val="ListParagraph"/>
        <w:numPr>
          <w:ilvl w:val="0"/>
          <w:numId w:val="1"/>
        </w:numPr>
        <w:spacing w:after="60"/>
      </w:pPr>
      <w:r>
        <w:lastRenderedPageBreak/>
        <w:t>Die einmal festgelegte SMC-Lohnschwelle wird mit der zum Zeitpunkt der Antragstellung aktuellen Schwelle verwechselt – maßgeblich ist der Satz zum Start der Facharbeit, nicht ein späterer, möglicherweise höherer Wert.</w:t>
      </w:r>
    </w:p>
    <w:p w14:paraId="70A500B4" w14:textId="77777777" w:rsidR="00C1548D" w:rsidRDefault="009B1B4B" w:rsidP="009B1B4B">
      <w:pPr>
        <w:pStyle w:val="ListParagraph"/>
        <w:numPr>
          <w:ilvl w:val="0"/>
          <w:numId w:val="1"/>
        </w:numPr>
        <w:spacing w:after="60"/>
      </w:pPr>
      <w:r>
        <w:t>Working Holiday wird als eigenständiger Einwanderungsweg missverstanden, obwohl das Visum selbst keinen Daueraufenthalt vorsieht.</w:t>
      </w:r>
    </w:p>
    <w:p w14:paraId="70A500B5" w14:textId="77777777" w:rsidR="00C1548D" w:rsidRDefault="009B1B4B" w:rsidP="009B1B4B">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w14:paraId="70A500B6" w14:textId="77777777" w:rsidR="00C1548D" w:rsidRDefault="00C1548D">
      <w:pPr>
        <w:spacing w:line="120" w:lineRule="exact"/>
      </w:pPr>
    </w:p>
    <w:p w14:paraId="70A500B7" w14:textId="77777777" w:rsidR="00C1548D" w:rsidRDefault="009B1B4B">
      <w:pPr>
        <w:pStyle w:val="Heading3"/>
        <w:keepNext/>
        <w:jc w:val="center"/>
      </w:pPr>
      <w:r>
        <w:rPr>
          <w:rFonts w:ascii="Amazon Ember" w:eastAsia="Amazon Ember" w:hAnsi="Amazon Ember" w:cs="Amazon Ember"/>
          <w:color w:val="0000FF"/>
          <w:sz w:val="36"/>
          <w:szCs w:val="36"/>
        </w:rPr>
        <w:t>Welcher Weg passt zu wem?</w:t>
      </w:r>
    </w:p>
    <w:p w14:paraId="70A500B8" w14:textId="77777777" w:rsidR="00C1548D" w:rsidRDefault="009B1B4B">
      <w:pPr>
        <w:spacing w:after="140"/>
      </w:pPr>
      <w:r>
        <w:t>Die Entscheidung ist selten eine reine Punkterechnung. Wer eine Familie mitnimmt, wie die Krügers, gewichtet oft Planbarkeit und einen konkreten Arbeitsplatz höher als Tempo und wählt den Weg über AEWV und Green List. Wer alleinstehend ist, gut verdient und die Punktzahl direkt erreicht, wie Paul Lindner, kann den Umweg über ein befristetes Arbeitsvisum überspringen und direkt zur SMC. Die folgende Übersicht ersetzt keine individuelle Rechnung, zeigt aber, wo die meisten Deutschen typischerweise landen: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0BB"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0B9" w14:textId="77777777" w:rsidR="00C1548D" w:rsidRDefault="009B1B4B">
            <w:pPr>
              <w:spacing w:line="250" w:lineRule="auto"/>
            </w:pPr>
            <w:r>
              <w:rPr>
                <w:b/>
                <w:bCs/>
                <w:sz w:val="18"/>
                <w:szCs w:val="18"/>
              </w:rPr>
              <w:t>Ausgangslage</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0BA" w14:textId="77777777" w:rsidR="00C1548D" w:rsidRDefault="009B1B4B">
            <w:pPr>
              <w:spacing w:line="250" w:lineRule="auto"/>
            </w:pPr>
            <w:r>
              <w:rPr>
                <w:b/>
                <w:bCs/>
                <w:sz w:val="18"/>
                <w:szCs w:val="18"/>
              </w:rPr>
              <w:t>Meist passender Weg</w:t>
            </w:r>
          </w:p>
        </w:tc>
      </w:tr>
      <w:tr w:rsidR="00C1548D" w14:paraId="70A500B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BC" w14:textId="77777777" w:rsidR="00C1548D" w:rsidRDefault="009B1B4B">
            <w:pPr>
              <w:spacing w:line="250" w:lineRule="auto"/>
            </w:pPr>
            <w:r>
              <w:rPr>
                <w:sz w:val="18"/>
                <w:szCs w:val="18"/>
              </w:rPr>
              <w:t>Jobangebot mit hohem Gehalt, SMC-Punktzahl direkt erreichbar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BD" w14:textId="77777777" w:rsidR="00C1548D" w:rsidRDefault="009B1B4B">
            <w:pPr>
              <w:spacing w:line="250" w:lineRule="auto"/>
            </w:pPr>
            <w:r>
              <w:rPr>
                <w:sz w:val="18"/>
                <w:szCs w:val="18"/>
              </w:rPr>
              <w:t>Skilled Migrant Category, direkt aus Deutschland</w:t>
            </w:r>
          </w:p>
        </w:tc>
      </w:tr>
      <w:tr w:rsidR="00C1548D" w14:paraId="70A500C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BF" w14:textId="77777777" w:rsidR="00C1548D" w:rsidRDefault="009B1B4B">
            <w:pPr>
              <w:spacing w:line="250" w:lineRule="auto"/>
            </w:pPr>
            <w:r>
              <w:rPr>
                <w:sz w:val="18"/>
                <w:szCs w:val="18"/>
              </w:rPr>
              <w:t>Beruf steht auf der Green List, Jobangebot liegt vor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C0" w14:textId="77777777" w:rsidR="00C1548D" w:rsidRDefault="009B1B4B">
            <w:pPr>
              <w:spacing w:line="250" w:lineRule="auto"/>
            </w:pPr>
            <w:r>
              <w:rPr>
                <w:sz w:val="18"/>
                <w:szCs w:val="18"/>
              </w:rPr>
              <w:t>Green List Tier 1 (direkt) oder Tier 2 über AEWV</w:t>
            </w:r>
          </w:p>
        </w:tc>
      </w:tr>
      <w:tr w:rsidR="00C1548D" w14:paraId="70A500C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C2" w14:textId="77777777" w:rsidR="00C1548D" w:rsidRDefault="009B1B4B">
            <w:pPr>
              <w:spacing w:line="250" w:lineRule="auto"/>
            </w:pPr>
            <w:r>
              <w:rPr>
                <w:sz w:val="18"/>
                <w:szCs w:val="18"/>
              </w:rPr>
              <w:t>Jobangebot vorhanden, Beruf nicht auf der Green List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C3" w14:textId="77777777" w:rsidR="00C1548D" w:rsidRDefault="009B1B4B">
            <w:pPr>
              <w:spacing w:line="250" w:lineRule="auto"/>
            </w:pPr>
            <w:r>
              <w:rPr>
                <w:sz w:val="18"/>
                <w:szCs w:val="18"/>
              </w:rPr>
              <w:t>Accredited Employer Work Visa, später ggf. SMC</w:t>
            </w:r>
          </w:p>
        </w:tc>
      </w:tr>
      <w:tr w:rsidR="00C1548D" w14:paraId="70A500C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C5" w14:textId="77777777" w:rsidR="00C1548D" w:rsidRDefault="009B1B4B">
            <w:pPr>
              <w:spacing w:line="250" w:lineRule="auto"/>
            </w:pPr>
            <w:r>
              <w:rPr>
                <w:sz w:val="18"/>
                <w:szCs w:val="18"/>
              </w:rPr>
              <w:t>Noch kein Jobangebot, 18 bis 30 Jahre, will erst reinschnuppern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C6" w14:textId="77777777" w:rsidR="00C1548D" w:rsidRDefault="009B1B4B">
            <w:pPr>
              <w:spacing w:line="250" w:lineRule="auto"/>
            </w:pPr>
            <w:r>
              <w:rPr>
                <w:sz w:val="18"/>
                <w:szCs w:val="18"/>
              </w:rPr>
              <w:t>Working Holiday</w:t>
            </w:r>
          </w:p>
        </w:tc>
      </w:tr>
      <w:tr w:rsidR="00C1548D" w14:paraId="70A500C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C8" w14:textId="77777777" w:rsidR="00C1548D" w:rsidRDefault="009B1B4B">
            <w:pPr>
              <w:spacing w:line="250" w:lineRule="auto"/>
            </w:pPr>
            <w:r>
              <w:rPr>
                <w:sz w:val="18"/>
                <w:szCs w:val="18"/>
              </w:rPr>
              <w:t>Punktzahl oder Abschluss reichen noch nicht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C9" w14:textId="77777777" w:rsidR="00C1548D" w:rsidRDefault="009B1B4B">
            <w:pPr>
              <w:spacing w:line="250" w:lineRule="auto"/>
            </w:pPr>
            <w:r>
              <w:rPr>
                <w:sz w:val="18"/>
                <w:szCs w:val="18"/>
              </w:rPr>
              <w:t>Studienvisum als Zwischenschritt über PSWV</w:t>
            </w:r>
          </w:p>
        </w:tc>
      </w:tr>
      <w:tr w:rsidR="00C1548D" w14:paraId="70A500C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CB" w14:textId="77777777" w:rsidR="00C1548D" w:rsidRDefault="009B1B4B">
            <w:pPr>
              <w:spacing w:line="250" w:lineRule="auto"/>
            </w:pPr>
            <w:r>
              <w:rPr>
                <w:sz w:val="18"/>
                <w:szCs w:val="18"/>
              </w:rPr>
              <w:lastRenderedPageBreak/>
              <w:t>Über 55 Jahre oder Punktetest-Weg nicht offen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CC" w14:textId="37337861" w:rsidR="00C1548D" w:rsidRDefault="009B1B4B">
            <w:pPr>
              <w:spacing w:line="250" w:lineRule="auto"/>
            </w:pPr>
            <w:r>
              <w:rPr>
                <w:sz w:val="18"/>
                <w:szCs w:val="18"/>
              </w:rPr>
              <w:t xml:space="preserve">siehe </w:t>
            </w:r>
            <w:hyperlink w:anchor="tnz04" w:history="1">
              <w:r>
                <w:rPr>
                  <w:color w:val="0563C1"/>
                  <w:sz w:val="18"/>
                  <w:szCs w:val="18"/>
                  <w:u w:val="single"/>
                </w:rPr>
                <w:t>Kapitel zu Familie, Investor und Ruhestand in diesem Teil</w:t>
              </w:r>
            </w:hyperlink>
          </w:p>
        </w:tc>
      </w:tr>
    </w:tbl>
    <w:p w14:paraId="70A500CE"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D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0CF" w14:textId="77777777" w:rsidR="00C1548D" w:rsidRDefault="009B1B4B">
            <w:pPr>
              <w:keepNext/>
              <w:spacing w:after="70" w:line="240" w:lineRule="auto"/>
            </w:pPr>
            <w:r>
              <w:rPr>
                <w:b/>
                <w:bCs/>
                <w:color w:val="9B2C2C"/>
                <w:spacing w:val="24"/>
                <w:sz w:val="16"/>
                <w:szCs w:val="16"/>
              </w:rPr>
              <w:t>ACHTUNG</w:t>
            </w:r>
          </w:p>
          <w:p w14:paraId="70A500D0" w14:textId="77777777" w:rsidR="00C1548D" w:rsidRDefault="009B1B4B">
            <w:pPr>
              <w:spacing w:after="80" w:line="264" w:lineRule="auto"/>
            </w:pPr>
            <w:r>
              <w:rPr>
                <w:sz w:val="20"/>
                <w:szCs w:val="20"/>
              </w:rPr>
              <w:t>Diese Zuordnung ist eine grobe Orientierung, keine Garantie. Lohnschwellen, die Green-List-Berufe und die genauen SMC-Regeln ändern sich mehrfach im Jahr – zuletzt zum 24.08.2026. Prüfe jede Zahl vor einer Kündigung in Deutschland direkt bei Immigration New Zealand.</w:t>
            </w:r>
          </w:p>
        </w:tc>
      </w:tr>
    </w:tbl>
    <w:p w14:paraId="70A500D2" w14:textId="77777777" w:rsidR="00C1548D" w:rsidRDefault="00C1548D">
      <w:pPr>
        <w:spacing w:line="220" w:lineRule="exact"/>
      </w:pPr>
    </w:p>
    <w:p w14:paraId="70A500D3"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0D6"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0D4"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0D5" w14:textId="77777777" w:rsidR="00C1548D" w:rsidRDefault="009B1B4B">
            <w:pPr>
              <w:spacing w:line="250" w:lineRule="auto"/>
            </w:pPr>
            <w:r>
              <w:rPr>
                <w:b/>
                <w:bCs/>
                <w:sz w:val="18"/>
                <w:szCs w:val="18"/>
              </w:rPr>
              <w:t>Minus</w:t>
            </w:r>
          </w:p>
        </w:tc>
      </w:tr>
      <w:tr w:rsidR="00C1548D" w14:paraId="70A500D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D7" w14:textId="77777777" w:rsidR="00C1548D" w:rsidRDefault="009B1B4B">
            <w:pPr>
              <w:spacing w:line="250" w:lineRule="auto"/>
            </w:pPr>
            <w:r>
              <w:rPr>
                <w:sz w:val="18"/>
                <w:szCs w:val="18"/>
              </w:rPr>
              <w:t>SMC-Punktesystem seit der Reform deutlich einfacher (6-Punkte-Schwelle)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D8" w14:textId="77777777" w:rsidR="00C1548D" w:rsidRDefault="009B1B4B">
            <w:pPr>
              <w:spacing w:line="250" w:lineRule="auto"/>
            </w:pPr>
            <w:r>
              <w:rPr>
                <w:sz w:val="18"/>
                <w:szCs w:val="18"/>
              </w:rPr>
              <w:t>Voraussetzungen hinter der Punktzahl bleiben anspruchsvoll</w:t>
            </w:r>
          </w:p>
        </w:tc>
      </w:tr>
      <w:tr w:rsidR="00C1548D" w14:paraId="70A500D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DA" w14:textId="77777777" w:rsidR="00C1548D" w:rsidRDefault="009B1B4B">
            <w:pPr>
              <w:spacing w:line="250" w:lineRule="auto"/>
            </w:pPr>
            <w:r>
              <w:rPr>
                <w:sz w:val="18"/>
                <w:szCs w:val="18"/>
              </w:rPr>
              <w:t>Green List verkürzt für rund 200 Berufe den Weg zur Residency</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DB" w14:textId="77777777" w:rsidR="00C1548D" w:rsidRDefault="009B1B4B">
            <w:pPr>
              <w:spacing w:line="250" w:lineRule="auto"/>
            </w:pPr>
            <w:r>
              <w:rPr>
                <w:sz w:val="18"/>
                <w:szCs w:val="18"/>
              </w:rPr>
              <w:t>Nur exakt gelistete Berufe profitieren, keine verwandten Tätigkeiten</w:t>
            </w:r>
          </w:p>
        </w:tc>
      </w:tr>
      <w:tr w:rsidR="00C1548D" w14:paraId="70A500D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DD" w14:textId="77777777" w:rsidR="00C1548D" w:rsidRDefault="009B1B4B">
            <w:pPr>
              <w:spacing w:line="250" w:lineRule="auto"/>
            </w:pPr>
            <w:r>
              <w:rPr>
                <w:sz w:val="18"/>
                <w:szCs w:val="18"/>
              </w:rPr>
              <w:t>AEWV erlaubt Einstieg ohne Punktetest und ohne Altersgrenze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DE" w14:textId="77777777" w:rsidR="00C1548D" w:rsidRDefault="009B1B4B">
            <w:pPr>
              <w:spacing w:line="250" w:lineRule="auto"/>
            </w:pPr>
            <w:r>
              <w:rPr>
                <w:sz w:val="18"/>
                <w:szCs w:val="18"/>
              </w:rPr>
              <w:t>AEWV bindet für die Vertragsdauer an einen einzelnen Arbeitgeber</w:t>
            </w:r>
          </w:p>
        </w:tc>
      </w:tr>
      <w:tr w:rsidR="00C1548D" w14:paraId="70A500E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E0" w14:textId="77777777" w:rsidR="00C1548D" w:rsidRDefault="009B1B4B">
            <w:pPr>
              <w:spacing w:line="250" w:lineRule="auto"/>
            </w:pPr>
            <w:r>
              <w:rPr>
                <w:sz w:val="18"/>
                <w:szCs w:val="18"/>
              </w:rPr>
              <w:t>Working Holiday ermöglicht risikoarmes erstes Kennenlernen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E1" w14:textId="77777777" w:rsidR="00C1548D" w:rsidRDefault="009B1B4B">
            <w:pPr>
              <w:spacing w:line="250" w:lineRule="auto"/>
            </w:pPr>
            <w:r>
              <w:rPr>
                <w:sz w:val="18"/>
                <w:szCs w:val="18"/>
              </w:rPr>
              <w:t>Working Holiday ist selbst kein Daueraufenthaltsweg</w:t>
            </w:r>
          </w:p>
        </w:tc>
      </w:tr>
      <w:tr w:rsidR="00C1548D" w14:paraId="70A500E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E3" w14:textId="77777777" w:rsidR="00C1548D" w:rsidRDefault="009B1B4B">
            <w:pPr>
              <w:spacing w:line="250" w:lineRule="auto"/>
            </w:pPr>
            <w:r>
              <w:rPr>
                <w:sz w:val="18"/>
                <w:szCs w:val="18"/>
              </w:rPr>
              <w:t>Mehrere parallele Wege erhöhen die Gesamtchance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E4" w14:textId="77777777" w:rsidR="00C1548D" w:rsidRDefault="009B1B4B">
            <w:pPr>
              <w:spacing w:line="250" w:lineRule="auto"/>
            </w:pPr>
            <w:r>
              <w:rPr>
                <w:sz w:val="18"/>
                <w:szCs w:val="18"/>
              </w:rPr>
              <w:t>Deutschland zahlt volle Gebühren, keine Fee-Waiver-Vergünstigung</w:t>
            </w:r>
          </w:p>
        </w:tc>
      </w:tr>
      <w:tr w:rsidR="00C1548D" w14:paraId="70A500E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E6" w14:textId="77777777" w:rsidR="00C1548D" w:rsidRDefault="009B1B4B">
            <w:pPr>
              <w:spacing w:line="250" w:lineRule="auto"/>
            </w:pPr>
            <w:r>
              <w:rPr>
                <w:sz w:val="18"/>
                <w:szCs w:val="18"/>
              </w:rPr>
              <w:t>Studienweg eröffnet Abschluss, Punkte und Kontakte zugleich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0E7" w14:textId="77777777" w:rsidR="00C1548D" w:rsidRDefault="009B1B4B">
            <w:pPr>
              <w:spacing w:line="250" w:lineRule="auto"/>
            </w:pPr>
            <w:r>
              <w:rPr>
                <w:sz w:val="18"/>
                <w:szCs w:val="18"/>
              </w:rPr>
              <w:t>Studienweg ist zeit- und kostenintensiv ohne Jobgarantie</w:t>
            </w:r>
          </w:p>
        </w:tc>
      </w:tr>
    </w:tbl>
    <w:p w14:paraId="70A500E9" w14:textId="77777777" w:rsidR="00C1548D" w:rsidRDefault="00C1548D">
      <w:pPr>
        <w:spacing w:line="180" w:lineRule="exact"/>
      </w:pPr>
    </w:p>
    <w:p w14:paraId="70A500EA"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0EB" w14:textId="77777777" w:rsidR="00C1548D" w:rsidRDefault="009B1B4B">
      <w:pPr>
        <w:spacing w:after="140"/>
      </w:pPr>
      <w:r>
        <w:t xml:space="preserve">Beginne mit einer ehrlichen Bestandsaufnahme: Beruf, Alter, Sprachniveau, vorhandenes oder fehlendes Jobangebot. Prüfe als Erstes, ob dein Beruf auf der Green List steht – das entscheidet oft mehr über den passenden Weg als jede andere einzelne Zahl. Rechne parallel deine SMC-Punktzahl überschlägig durch, auch wenn du zunächst über ein AEWV einreisen willst – die Punktzahl zeigt dir, </w:t>
      </w:r>
      <w:r>
        <w:lastRenderedPageBreak/>
        <w:t>wie weit der spätere Wechsel zur Residency entfernt ist. Die folgenden Kapitel dieses Teils vertiefen den Arbeitsweg im Detail sowie Familie, Investor- und Ruhestandswege für alle, die keinen eigenen gefragten Beruf mitbringen.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F3"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0EC" w14:textId="77777777" w:rsidR="00C1548D" w:rsidRDefault="009B1B4B">
            <w:pPr>
              <w:keepNext/>
              <w:spacing w:after="70" w:line="240" w:lineRule="auto"/>
            </w:pPr>
            <w:r>
              <w:rPr>
                <w:b/>
                <w:bCs/>
                <w:color w:val="1F6F78"/>
                <w:spacing w:val="24"/>
                <w:sz w:val="16"/>
                <w:szCs w:val="16"/>
              </w:rPr>
              <w:t>CHECKLISTE</w:t>
            </w:r>
          </w:p>
          <w:p w14:paraId="70A500E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Beruf mit der aktuellen Green List und dem passenden ANZSCO-Code abgeglichen</w:t>
            </w:r>
          </w:p>
          <w:p w14:paraId="70A500E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SMC-Punktzahl überschlägig berechnet (Qualifikation, Registrierung, Einkommen, NZ-Erfahrung)</w:t>
            </w:r>
          </w:p>
          <w:p w14:paraId="70A500E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ein Jobangebot eines akkreditierten Arbeitgebers realistisch erreichbar ist</w:t>
            </w:r>
          </w:p>
          <w:p w14:paraId="70A500F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Working Holiday als möglichen ersten Schritt erwogen, falls 18 bis 30 Jahre und noch unentschlossen</w:t>
            </w:r>
          </w:p>
          <w:p w14:paraId="70A500F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Studienvisum als Zwischenschritt geprüft, falls Punktzahl oder Abschluss noch nicht reichen</w:t>
            </w:r>
          </w:p>
          <w:p w14:paraId="70A500F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Aktuelle Lohnschwellen, Gebühren und Bearbeitungszeiten direkt bei Immigration New Zealand geprüft</w:t>
            </w:r>
          </w:p>
        </w:tc>
      </w:tr>
    </w:tbl>
    <w:p w14:paraId="70A500F4" w14:textId="77777777" w:rsidR="00C1548D" w:rsidRDefault="00C1548D">
      <w:pPr>
        <w:spacing w:line="220" w:lineRule="exact"/>
      </w:pPr>
    </w:p>
    <w:p w14:paraId="70A500F5"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0F6" w14:textId="61463C00" w:rsidR="00C1548D" w:rsidRDefault="009B1B4B" w:rsidP="009B1B4B">
      <w:pPr>
        <w:pStyle w:val="ListParagraph"/>
        <w:numPr>
          <w:ilvl w:val="0"/>
          <w:numId w:val="1"/>
        </w:numPr>
        <w:spacing w:after="60"/>
      </w:pPr>
      <w:r>
        <w:t>Immigration New Zealand — Skilled Migrant Category Resident Visa (</w:t>
      </w:r>
      <w:hyperlink r:id="rId604" w:history="1">
        <w:r>
          <w:rPr>
            <w:color w:val="0563C1"/>
            <w:u w:val="single"/>
          </w:rPr>
          <w:t>immigration.govt.nz</w:t>
        </w:r>
      </w:hyperlink>
      <w:r>
        <w:t>)</w:t>
      </w:r>
    </w:p>
    <w:p w14:paraId="70A500F7" w14:textId="5736C6FD" w:rsidR="00C1548D" w:rsidRDefault="009B1B4B" w:rsidP="009B1B4B">
      <w:pPr>
        <w:pStyle w:val="ListParagraph"/>
        <w:numPr>
          <w:ilvl w:val="0"/>
          <w:numId w:val="1"/>
        </w:numPr>
        <w:spacing w:after="60"/>
      </w:pPr>
      <w:r>
        <w:t>Immigration New Zealand — Accredited Employer Work Visa (</w:t>
      </w:r>
      <w:hyperlink r:id="rId605" w:history="1">
        <w:r>
          <w:rPr>
            <w:color w:val="0563C1"/>
            <w:u w:val="single"/>
          </w:rPr>
          <w:t>immigration.govt.nz</w:t>
        </w:r>
      </w:hyperlink>
      <w:r>
        <w:t>)</w:t>
      </w:r>
    </w:p>
    <w:p w14:paraId="70A500F8" w14:textId="2CE95FD3" w:rsidR="00C1548D" w:rsidRDefault="009B1B4B" w:rsidP="009B1B4B">
      <w:pPr>
        <w:pStyle w:val="ListParagraph"/>
        <w:numPr>
          <w:ilvl w:val="0"/>
          <w:numId w:val="1"/>
        </w:numPr>
        <w:spacing w:after="60"/>
      </w:pPr>
      <w:r>
        <w:t>Immigration New Zealand — Green List (</w:t>
      </w:r>
      <w:hyperlink r:id="rId606" w:history="1">
        <w:r>
          <w:rPr>
            <w:color w:val="0563C1"/>
            <w:u w:val="single"/>
          </w:rPr>
          <w:t>immigration.govt.nz</w:t>
        </w:r>
      </w:hyperlink>
      <w:r>
        <w:t>)</w:t>
      </w:r>
    </w:p>
    <w:p w14:paraId="70A500F9" w14:textId="011A3D9C" w:rsidR="00C1548D" w:rsidRDefault="009B1B4B" w:rsidP="009B1B4B">
      <w:pPr>
        <w:pStyle w:val="ListParagraph"/>
        <w:numPr>
          <w:ilvl w:val="0"/>
          <w:numId w:val="1"/>
        </w:numPr>
        <w:spacing w:after="60"/>
      </w:pPr>
      <w:r>
        <w:t>Immigration New Zealand — Germany Working Holiday Visa (</w:t>
      </w:r>
      <w:hyperlink r:id="rId607" w:history="1">
        <w:r>
          <w:rPr>
            <w:color w:val="0563C1"/>
            <w:u w:val="single"/>
          </w:rPr>
          <w:t>immigration.govt.nz</w:t>
        </w:r>
      </w:hyperlink>
      <w:r>
        <w:t>)</w:t>
      </w:r>
    </w:p>
    <w:p w14:paraId="70A500FA" w14:textId="0F2DCA7C" w:rsidR="00C1548D" w:rsidRDefault="009B1B4B" w:rsidP="009B1B4B">
      <w:pPr>
        <w:pStyle w:val="ListParagraph"/>
        <w:numPr>
          <w:ilvl w:val="0"/>
          <w:numId w:val="1"/>
        </w:numPr>
        <w:spacing w:after="60"/>
      </w:pPr>
      <w:r>
        <w:t>Immigration New Zealand — Fees Guide INZ 1028 (</w:t>
      </w:r>
      <w:hyperlink r:id="rId608" w:history="1">
        <w:r>
          <w:rPr>
            <w:color w:val="0563C1"/>
            <w:u w:val="single"/>
          </w:rPr>
          <w:t>immigration.govt.nz</w:t>
        </w:r>
      </w:hyperlink>
      <w:r>
        <w:t>, PDF-Formularseite)</w:t>
      </w:r>
    </w:p>
    <w:p w14:paraId="70A500FB" w14:textId="0A773A84" w:rsidR="00C1548D" w:rsidRDefault="009B1B4B" w:rsidP="009B1B4B">
      <w:pPr>
        <w:pStyle w:val="ListParagraph"/>
        <w:numPr>
          <w:ilvl w:val="0"/>
          <w:numId w:val="1"/>
        </w:numPr>
        <w:spacing w:after="60"/>
      </w:pPr>
      <w:r>
        <w:t>Immigration New Zealand — Gesundheits- und Charakteranforderungen (</w:t>
      </w:r>
      <w:hyperlink r:id="rId609" w:history="1">
        <w:r>
          <w:rPr>
            <w:color w:val="0563C1"/>
            <w:u w:val="single"/>
          </w:rPr>
          <w:t>immigration.govt.nz</w:t>
        </w:r>
      </w:hyperlink>
      <w:r>
        <w:t>)</w:t>
      </w:r>
    </w:p>
    <w:p w14:paraId="70A500FC"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0FF"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0FD" w14:textId="77777777" w:rsidR="00C1548D" w:rsidRDefault="009B1B4B">
            <w:pPr>
              <w:keepNext/>
              <w:spacing w:after="70" w:line="240" w:lineRule="auto"/>
            </w:pPr>
            <w:r>
              <w:rPr>
                <w:b/>
                <w:bCs/>
                <w:color w:val="6B7280"/>
                <w:spacing w:val="24"/>
                <w:sz w:val="16"/>
                <w:szCs w:val="16"/>
              </w:rPr>
              <w:lastRenderedPageBreak/>
              <w:t>STAND</w:t>
            </w:r>
          </w:p>
          <w:p w14:paraId="70A500FE" w14:textId="77777777" w:rsidR="00C1548D" w:rsidRDefault="009B1B4B">
            <w:pPr>
              <w:spacing w:after="80" w:line="264" w:lineRule="auto"/>
            </w:pPr>
            <w:r>
              <w:rPr>
                <w:sz w:val="20"/>
                <w:szCs w:val="20"/>
              </w:rPr>
              <w:t>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immigration.govt.nz.</w:t>
            </w:r>
          </w:p>
        </w:tc>
      </w:tr>
    </w:tbl>
    <w:p w14:paraId="70A50100" w14:textId="77777777" w:rsidR="00C1548D" w:rsidRDefault="00C1548D">
      <w:pPr>
        <w:spacing w:line="220" w:lineRule="exact"/>
      </w:pPr>
    </w:p>
    <w:p w14:paraId="70A50101" w14:textId="77777777" w:rsidR="00C1548D" w:rsidRDefault="009B1B4B">
      <w:pPr>
        <w:pStyle w:val="Heading2"/>
        <w:keepNext/>
        <w:pageBreakBefore/>
        <w:jc w:val="center"/>
      </w:pPr>
      <w:bookmarkStart w:id="172" w:name="tnz03"/>
      <w:bookmarkStart w:id="173" w:name="_Toc241352538"/>
      <w:r>
        <w:rPr>
          <w:rFonts w:ascii="Amazon Ember" w:eastAsia="Amazon Ember" w:hAnsi="Amazon Ember" w:cs="Amazon Ember"/>
          <w:color w:val="0000FF"/>
          <w:sz w:val="36"/>
          <w:szCs w:val="36"/>
        </w:rPr>
        <w:lastRenderedPageBreak/>
        <w:t>Neuseeland: Der Arbeitsweg im Detail</w:t>
      </w:r>
      <w:bookmarkEnd w:id="172"/>
      <w:bookmarkEnd w:id="173"/>
    </w:p>
    <w:p w14:paraId="70A50102" w14:textId="77777777" w:rsidR="00C1548D" w:rsidRDefault="009B1B4B">
      <w:pPr>
        <w:spacing w:after="140"/>
      </w:pPr>
      <w:r>
        <w:t xml:space="preserve">Wer glaubt, in Neuseeland zähle vor allem guter Wille und ein fester Händedruck, wird von der ersten Antwort-E-Mail von </w:t>
      </w:r>
      <w:r>
        <w:rPr>
          <w:i/>
          <w:iCs/>
        </w:rPr>
        <w:t>Immigration New Zealand</w:t>
      </w:r>
      <w:r>
        <w:t xml:space="preserve">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 wer die Regeln kennt, kann seinen eigenen Weg fast wie eine Rechnung nachvollziehen. Die weniger gute Nachricht: Ausgerechnet diese Regeln ändern sich derzeit im Halbjahrestakt, und wer sich auf </w:t>
      </w:r>
      <w:r>
        <w:t>den Stand von vor zwölf Monaten verlässt, rechnet mit der falschen Formel. Wer den deutschen Umgang mit Bürokratie für gründlich hält, darf sich auf ein weiteres Level gefasst machen – nur eben mit deutlich mehr Sonne und einer Behörde, die zumindest auf ihrer Website erstaunlich offen kommuniziert, was sie von dir will.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0A"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103" w14:textId="77777777" w:rsidR="00C1548D" w:rsidRDefault="009B1B4B">
            <w:pPr>
              <w:keepNext/>
              <w:spacing w:after="70" w:line="240" w:lineRule="auto"/>
            </w:pPr>
            <w:r>
              <w:rPr>
                <w:b/>
                <w:bCs/>
                <w:color w:val="1F3A5F"/>
                <w:spacing w:val="24"/>
                <w:sz w:val="16"/>
                <w:szCs w:val="16"/>
              </w:rPr>
              <w:lastRenderedPageBreak/>
              <w:t>KURZ GESAGT</w:t>
            </w:r>
          </w:p>
          <w:p w14:paraId="70A50104" w14:textId="77777777" w:rsidR="00C1548D" w:rsidRDefault="009B1B4B" w:rsidP="009B1B4B">
            <w:pPr>
              <w:pStyle w:val="ListParagraph"/>
              <w:numPr>
                <w:ilvl w:val="0"/>
                <w:numId w:val="1"/>
              </w:numPr>
              <w:spacing w:after="50" w:line="264" w:lineRule="auto"/>
            </w:pPr>
            <w:r>
              <w:rPr>
                <w:sz w:val="20"/>
                <w:szCs w:val="20"/>
              </w:rPr>
              <w:t xml:space="preserve">Das </w:t>
            </w:r>
            <w:r>
              <w:rPr>
                <w:i/>
                <w:iCs/>
                <w:sz w:val="20"/>
                <w:szCs w:val="20"/>
              </w:rPr>
              <w:t>Accredited Employer Work Visa</w:t>
            </w:r>
            <w:r>
              <w:rPr>
                <w:sz w:val="20"/>
                <w:szCs w:val="20"/>
              </w:rPr>
              <w:t xml:space="preserve"> (AEWV, das Arbeitsvisum für Angestellte akkreditierter Arbeitgeber) ist das zentrale befristete Arbeitsvisum: Der Arbeitgeber muss vorab akkreditiert sein und einen </w:t>
            </w:r>
            <w:r>
              <w:rPr>
                <w:i/>
                <w:iCs/>
                <w:sz w:val="20"/>
                <w:szCs w:val="20"/>
              </w:rPr>
              <w:t>Job Check</w:t>
            </w:r>
            <w:r>
              <w:rPr>
                <w:sz w:val="20"/>
                <w:szCs w:val="20"/>
              </w:rPr>
              <w:t xml:space="preserve"> bestehen, bevor du überhaupt einen Antrag stellen kannst.</w:t>
            </w:r>
          </w:p>
          <w:p w14:paraId="70A50105" w14:textId="77777777" w:rsidR="00C1548D" w:rsidRDefault="009B1B4B" w:rsidP="009B1B4B">
            <w:pPr>
              <w:pStyle w:val="ListParagraph"/>
              <w:numPr>
                <w:ilvl w:val="0"/>
                <w:numId w:val="1"/>
              </w:numPr>
              <w:spacing w:after="50" w:line="264" w:lineRule="auto"/>
            </w:pPr>
            <w:r>
              <w:rPr>
                <w:sz w:val="20"/>
                <w:szCs w:val="20"/>
              </w:rPr>
              <w:t xml:space="preserve">Die </w:t>
            </w:r>
            <w:r>
              <w:rPr>
                <w:i/>
                <w:iCs/>
                <w:sz w:val="20"/>
                <w:szCs w:val="20"/>
              </w:rPr>
              <w:t>Green List</w:t>
            </w:r>
            <w:r>
              <w:rPr>
                <w:sz w:val="20"/>
                <w:szCs w:val="20"/>
              </w:rPr>
              <w:t xml:space="preserve"> (Berufsliste mit bevorzugtem Zugang zur Residency) öffnet für rund 200 Berufe einen direkten (Tier 1) oder verkürzten (Tier 2, nach 24 Monaten Arbeit) Weg zum Daueraufenthalt.</w:t>
            </w:r>
          </w:p>
          <w:p w14:paraId="70A50106" w14:textId="77777777" w:rsidR="00C1548D" w:rsidRDefault="009B1B4B" w:rsidP="009B1B4B">
            <w:pPr>
              <w:pStyle w:val="ListParagraph"/>
              <w:numPr>
                <w:ilvl w:val="0"/>
                <w:numId w:val="1"/>
              </w:numPr>
              <w:spacing w:after="50" w:line="264" w:lineRule="auto"/>
            </w:pPr>
            <w:r>
              <w:rPr>
                <w:sz w:val="20"/>
                <w:szCs w:val="20"/>
              </w:rPr>
              <w:t xml:space="preserve">Die </w:t>
            </w:r>
            <w:r>
              <w:rPr>
                <w:i/>
                <w:iCs/>
                <w:sz w:val="20"/>
                <w:szCs w:val="20"/>
              </w:rPr>
              <w:t>Skilled Migrant Category</w:t>
            </w:r>
            <w:r>
              <w:rPr>
                <w:sz w:val="20"/>
                <w:szCs w:val="20"/>
              </w:rPr>
              <w:t xml:space="preserve"> (SMC, die Fachkräfte-Kategorie für den Daueraufenthalt) wurde 2025/26 grundlegend vereinfacht: Statt eines alten 180-Punkte-Systems reicht heute eine Schwelle von 6 Punkten.</w:t>
            </w:r>
          </w:p>
          <w:p w14:paraId="70A50107" w14:textId="77777777" w:rsidR="00C1548D" w:rsidRDefault="009B1B4B" w:rsidP="009B1B4B">
            <w:pPr>
              <w:pStyle w:val="ListParagraph"/>
              <w:numPr>
                <w:ilvl w:val="0"/>
                <w:numId w:val="1"/>
              </w:numPr>
              <w:spacing w:after="50" w:line="264" w:lineRule="auto"/>
            </w:pPr>
            <w:r>
              <w:rPr>
                <w:sz w:val="20"/>
                <w:szCs w:val="20"/>
              </w:rPr>
              <w:t>Wer die SMC ohne neuseeländische Arbeitserfahrung direkt aus Deutschland beantragen will, braucht ein sehr hohes Gehalt – für die meisten deutschen Fachkräfte ist der Umweg über das AEWV realistischer.</w:t>
            </w:r>
          </w:p>
          <w:p w14:paraId="70A50108" w14:textId="77777777" w:rsidR="00C1548D" w:rsidRDefault="009B1B4B" w:rsidP="009B1B4B">
            <w:pPr>
              <w:pStyle w:val="ListParagraph"/>
              <w:numPr>
                <w:ilvl w:val="0"/>
                <w:numId w:val="1"/>
              </w:numPr>
              <w:spacing w:after="50" w:line="264" w:lineRule="auto"/>
            </w:pPr>
            <w:r>
              <w:rPr>
                <w:sz w:val="20"/>
                <w:szCs w:val="20"/>
              </w:rPr>
              <w:t>Deutschland gehört nicht zu den Ländern mit Gebührenbefreiung; du zahlst die vollen Sätze, anders als etwa Antragstellende aus Österreich.</w:t>
            </w:r>
          </w:p>
          <w:p w14:paraId="70A50109" w14:textId="77777777" w:rsidR="00C1548D" w:rsidRDefault="009B1B4B" w:rsidP="009B1B4B">
            <w:pPr>
              <w:pStyle w:val="ListParagraph"/>
              <w:numPr>
                <w:ilvl w:val="0"/>
                <w:numId w:val="1"/>
              </w:numPr>
              <w:spacing w:after="50" w:line="264" w:lineRule="auto"/>
            </w:pPr>
            <w:r>
              <w:rPr>
                <w:sz w:val="20"/>
                <w:szCs w:val="20"/>
              </w:rPr>
              <w:t>Zahlen, Schwellen und Fristen ändern sich laufend: Prüfe vor jeder Entscheidung die aktuellen Werte auf immigration.govt.nz.</w:t>
            </w:r>
          </w:p>
        </w:tc>
      </w:tr>
    </w:tbl>
    <w:p w14:paraId="70A5010B" w14:textId="77777777" w:rsidR="00C1548D" w:rsidRDefault="00C1548D">
      <w:pPr>
        <w:spacing w:line="220" w:lineRule="exact"/>
      </w:pPr>
    </w:p>
    <w:p w14:paraId="70A5010C" w14:textId="77777777" w:rsidR="00C1548D" w:rsidRDefault="009B1B4B">
      <w:pPr>
        <w:pStyle w:val="Heading3"/>
        <w:keepNext/>
        <w:jc w:val="center"/>
      </w:pPr>
      <w:r>
        <w:rPr>
          <w:rFonts w:ascii="Amazon Ember" w:eastAsia="Amazon Ember" w:hAnsi="Amazon Ember" w:cs="Amazon Ember"/>
          <w:color w:val="0000FF"/>
          <w:sz w:val="36"/>
          <w:szCs w:val="36"/>
        </w:rPr>
        <w:t>Das Accredited Employer Work Visa im Detail</w:t>
      </w:r>
    </w:p>
    <w:p w14:paraId="70A5010D" w14:textId="77777777" w:rsidR="00C1548D" w:rsidRDefault="009B1B4B">
      <w:pPr>
        <w:spacing w:after="140"/>
      </w:pPr>
      <w:r>
        <w:t xml:space="preserve">Das AEWV ist seit 2022 der zentrale Zugang zum neuseeländischen Arbeitsmarkt für befristete Fachkräfte und läuft in drei getrennten Schritten, die auch drei getrennte Gebühren nach sich ziehen. Zuerst muss dein künftiger Arbeitgeber selbst die </w:t>
      </w:r>
      <w:r>
        <w:rPr>
          <w:i/>
          <w:iCs/>
        </w:rPr>
        <w:t>Employer Accreditation</w:t>
      </w:r>
      <w:r>
        <w:t xml:space="preserve"> (Arbeitgeber-Akkreditierung) durchlaufen – eine Prüfung, ob das Unternehmen finanziell solide genug ist und Arbeits- sowie Einwanderungsrecht einhält. Je nach erwarteter Zahl an AEWV-Beschäftigten zahlt der Arbeitgeber dafür 775 NZD (Standard), 1.280 NZD (High Volume, ab sechs Beschäftigten) oder 4.060 NZD </w:t>
      </w:r>
      <w:r>
        <w:lastRenderedPageBreak/>
        <w:t xml:space="preserve">(Triangular Employment, bei Personalverleih über Drittfirmen); die Bearbeitung dauert laut INZ rund zwei Werktage. Erst danach folgt der zweite Schritt, der </w:t>
      </w:r>
      <w:r>
        <w:rPr>
          <w:i/>
          <w:iCs/>
        </w:rPr>
        <w:t>Job Check</w:t>
      </w:r>
      <w:r>
        <w:t xml:space="preserve"> (Stellenprüfung): Der Arbeitgeber weist für die konkrete Position nach, dass Lohn und Arbeitsbedingungen den Vorgaben entsprechen. Das kostet 735 NZD und dauert rund drei Werktage. Erst wenn beides bestätigt ist, kannst du selbst das eigentliche AEWV beantragen – Gebühr 1.540 NZD (480 NZD Antrag plus 1.060 NZD </w:t>
      </w:r>
      <w:r>
        <w:rPr>
          <w:i/>
          <w:iCs/>
        </w:rPr>
        <w:t>Immigration Levy</w:t>
      </w:r>
      <w:r>
        <w:t>, eine Zusatzabgabe, die praktisch bei jedem Visum anfällt). INZ nennt für die Bearbeitung des Visumsantrags selbst „80 % innerhalb von sechs Wochen“.</w:t>
      </w:r>
    </w:p>
    <w:p w14:paraId="70A5010E" w14:textId="77777777" w:rsidR="00C1548D" w:rsidRDefault="009B1B4B">
      <w:pPr>
        <w:spacing w:after="140"/>
      </w:pPr>
      <w:r>
        <w:t>Der Vergleich mit Deutschland hilft beim Einordnen. Die Blaue Karte EU verlangt von dir einen anerkannten Abschluss, ein Jobangebot und ein Mindestgehalt –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w:t>
      </w:r>
      <w:r>
        <w:t>rde schon hinter sich, und dein eigener Antrag läuft danach vergleichsweise zügig durch.</w:t>
      </w:r>
    </w:p>
    <w:p w14:paraId="70A5010F" w14:textId="77777777" w:rsidR="00C1548D" w:rsidRDefault="009B1B4B">
      <w:pPr>
        <w:spacing w:after="140"/>
      </w:pPr>
      <w:r>
        <w:t xml:space="preserve">Inhaltlich verlangt das AEWV eine Vollzeitstelle von mindestens 30 Wochenstunden, bezahlt mindestens zum marktüblichen Lohnsatz der Tätigkeit, sowie entweder mindestens zwei Jahre einschlägige Berufserfahrung oder eine Qualifikation auf </w:t>
      </w:r>
      <w:r>
        <w:rPr>
          <w:i/>
          <w:iCs/>
        </w:rPr>
        <w:t>New Zealand Qualifications Framework</w:t>
      </w:r>
      <w:r>
        <w:t xml:space="preserve">-Level 4 oder höher (NZQF, das neuseeländische Qualifikationsrahmenwerk, vergleichbar mit dem Deutschen Qualifikationsrahmen). Ein Englischnachweis ist nur für Berufe der ANZSCO-Kompetenzstufen 3 bis 5 zwingend vorgeschrieben – die </w:t>
      </w:r>
      <w:r>
        <w:rPr>
          <w:i/>
          <w:iCs/>
        </w:rPr>
        <w:t>Australian and New Zealand Standard Classification of Occupations</w:t>
      </w:r>
      <w:r>
        <w:t xml:space="preserve"> (ANZSCO) ist das gemeinsame Berufsklassifikationssystem beider Länder und taucht dir in fast jedem Dokument von INZ wieder unter. Branchenvereinbarungen erlauben in Fleisch-, Fisch-, Pflege- sowie Tourismus- und </w:t>
      </w:r>
      <w:r>
        <w:lastRenderedPageBreak/>
        <w:t>Gastgewerbeberufen sogar Löhne unter dem allgemeinen Medianlohn (bis hinunter zu 29,66 NZD/Std.); umgekehrt entfällt ab einem Lohn von 67,12 NZD/Std. (dem doppelten Medianlohn) die gesonderte Prüfung der Kompetenzanforderungen – wer so viel verdient, gilt automatisch als ausreichend qualifiziert. Z</w:t>
      </w:r>
      <w:r>
        <w:t>ur Einordnung: Der allgemeine neuseeländische Mindestlohn liegt seit dem 1. April 2026 bei 23,95 NZD/Std. – selbst die niedrigsten AEWV-Branchenausnahmen liegen also spürbar darüber, und der reguläre Medianlohn von 35,00 NZD/Std. bildet für die meisten Berufe die eigentliche Untergrenze.</w:t>
      </w:r>
    </w:p>
    <w:p w14:paraId="70A50110" w14:textId="77777777" w:rsidR="00C1548D" w:rsidRDefault="009B1B4B">
      <w:pPr>
        <w:spacing w:after="140"/>
      </w:pPr>
      <w:r>
        <w:t>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insgesamt</w:t>
      </w:r>
      <w:r>
        <w:t xml:space="preserve"> 24 Monate überschreitet. INZ verpflichtet den Arbeitgeber ausdrücklich, bei der Ansiedlung zu unterstützen, keine Anwerbekosten auf dich abzuwälzen und Arbeits- sowie Migrationsrecht einzuhalten – eine Klausel, die es in dieser Form so pauschal im deutschen Arbeitsrecht nicht gibt.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1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111" w14:textId="77777777" w:rsidR="00C1548D" w:rsidRDefault="009B1B4B">
            <w:pPr>
              <w:keepNext/>
              <w:spacing w:after="70" w:line="240" w:lineRule="auto"/>
            </w:pPr>
            <w:r>
              <w:rPr>
                <w:b/>
                <w:bCs/>
                <w:color w:val="9B2C2C"/>
                <w:spacing w:val="24"/>
                <w:sz w:val="16"/>
                <w:szCs w:val="16"/>
              </w:rPr>
              <w:t>ACHTUNG</w:t>
            </w:r>
          </w:p>
          <w:p w14:paraId="70A50112" w14:textId="77777777" w:rsidR="00C1548D" w:rsidRDefault="009B1B4B">
            <w:pPr>
              <w:spacing w:after="80" w:line="264" w:lineRule="auto"/>
            </w:pPr>
            <w:r>
              <w:rPr>
                <w:sz w:val="20"/>
                <w:szCs w:val="20"/>
              </w:rPr>
              <w:t>Das AEWV bindet dich an genau einen Arbeitgeber und eine einzige Position. Ein Jobwechsel bedeutet in aller Regel: neuer Job Check, neuer Antrag, neue Gebühren – nicht einfach eine formlose Ummeldung. Wer während der Jobsuche schon eine Kündigung in Deutschland ausspricht, sollte diesen zeitlichen Vorlauf realistisch einplanen und nicht mit einem nahtlosen Übergang rechnen.</w:t>
            </w:r>
          </w:p>
        </w:tc>
      </w:tr>
    </w:tbl>
    <w:p w14:paraId="70A50114" w14:textId="77777777" w:rsidR="00C1548D" w:rsidRDefault="00C1548D">
      <w:pPr>
        <w:spacing w:line="220" w:lineRule="exact"/>
      </w:pPr>
    </w:p>
    <w:p w14:paraId="70A50115"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Green List: direkter oder verkürzter Weg zur Residency</w:t>
      </w:r>
    </w:p>
    <w:p w14:paraId="70A50116" w14:textId="77777777" w:rsidR="00C1548D" w:rsidRDefault="009B1B4B">
      <w:pPr>
        <w:spacing w:after="140"/>
      </w:pPr>
      <w:r>
        <w:t xml:space="preserve">Für rund 200 Einzelberufe hat INZ mit der </w:t>
      </w:r>
      <w:r>
        <w:rPr>
          <w:i/>
          <w:iCs/>
        </w:rPr>
        <w:t>Green List</w:t>
      </w:r>
      <w:r>
        <w:t xml:space="preserve"> einen Sonderweg geschaffen, der das AEWV mit einem beschleunigten Zugang zum Daueraufenthalt verbindet. Die Liste ist in zwei Stufen gegliedert. In </w:t>
      </w:r>
      <w:r>
        <w:rPr>
          <w:b/>
          <w:bCs/>
        </w:rPr>
        <w:t>Tier 1 („Straight to Residence“)</w:t>
      </w:r>
      <w:r>
        <w:t xml:space="preserve"> kannst du direkt ein Daueraufenthaltsvisum beantragen, sobald ein akkreditierter Arbeitgeber dir eine Stelle anbietet und du die berufsspezifischen Anforderungen erfüllst – ganz ohne vorherige Arbeitszeit in Neuseeland. In </w:t>
      </w:r>
      <w:r>
        <w:rPr>
          <w:b/>
          <w:bCs/>
        </w:rPr>
        <w:t>Tier 2 („Work to Residence“)</w:t>
      </w:r>
      <w:r>
        <w:t xml:space="preserve"> startest du zunächst mit dem regulären AEWV und kannst erst wechseln, nachdem du innerhalb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 Felder, in denen deutsche Fachkräfte traditionell stark vertreten sind. Die Logik dahinter ist wenig</w:t>
      </w:r>
      <w:r>
        <w:t xml:space="preserve"> überraschend: INZ pflegt die Liste dort ein, wo der neuseeländische Arbeitsmarkt seit Jahren spürbaren Fachkräftemangel meldet, und passt sie entsprechend an, wenn sich dieser Mangel verschiebt.</w:t>
      </w:r>
    </w:p>
    <w:p w14:paraId="70A50117" w14:textId="77777777" w:rsidR="00C1548D" w:rsidRDefault="009B1B4B">
      <w:pPr>
        <w:spacing w:after="140"/>
      </w:pPr>
      <w:r>
        <w:t>Wo für einen Beruf kein eigener Lohnschwellenwert gilt, greift ersatzweise der allgemeine Immigration-Medianlohn von 35,00 NZD/Std. als Mindestgrenze. Beide Tiers setzen dabei immer eine Stelle bei einem akkreditierten Arbeitgeber voraus – die Green List ist also kein eigenständiges Visum, sondern ein Turbo-Aufsatz auf das AEWV-System.</w:t>
      </w:r>
    </w:p>
    <w:p w14:paraId="70A50118" w14:textId="77777777" w:rsidR="00C1548D" w:rsidRDefault="009B1B4B">
      <w:pPr>
        <w:spacing w:after="140"/>
      </w:pPr>
      <w:r>
        <w:t xml:space="preserve">Verbreiteter Irrtum: Viele lesen „Green List“ und denken an eine Art Lotteriegewinn, der automatisch zur Aufenthaltserlaubnis führt. Tatsächlich ersetzt die Liste weder die Jobsuche noch die Lohn- und Registrierungsvoraussetzungen des jeweiligen Berufs – sie verkürzt lediglich den Weg, nachdem du diese Hürden bereits genommen </w:t>
      </w:r>
      <w:r>
        <w:lastRenderedPageBreak/>
        <w:t>hast. Wer seinen Beruf auf der Liste findet, sollte vor jeder Entscheidung genau prüfen, ob die eigene Qualifikation und gegebenenfalls die berufliche Registrierung exakt dem gelisteten ANZSCO-Code entsprechen; Abweichungen im Detail sind keine Seltenheit.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1B"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119" w14:textId="77777777" w:rsidR="00C1548D" w:rsidRDefault="009B1B4B">
            <w:pPr>
              <w:keepNext/>
              <w:spacing w:after="70" w:line="240" w:lineRule="auto"/>
            </w:pPr>
            <w:r>
              <w:rPr>
                <w:b/>
                <w:bCs/>
                <w:color w:val="4A5568"/>
                <w:spacing w:val="24"/>
                <w:sz w:val="16"/>
                <w:szCs w:val="16"/>
              </w:rPr>
              <w:t>PRAXISBEISPIEL · FIKTIV</w:t>
            </w:r>
          </w:p>
          <w:p w14:paraId="70A5011A" w14:textId="77777777" w:rsidR="00C1548D" w:rsidRDefault="009B1B4B">
            <w:pPr>
              <w:spacing w:after="80" w:line="264" w:lineRule="auto"/>
            </w:pPr>
            <w:r>
              <w:rPr>
                <w:sz w:val="20"/>
                <w:szCs w:val="20"/>
              </w:rPr>
              <w:t>Familie Krüger (fiktiv). Sebastian, 43, Agraringenieur aus Rostock, findet über eine Fachmesse Kontakt zu einem akkreditierten Arbeitgeber im Großraum Christchurch. Sein Beruf taucht in der Green List unter den Ingenieursrollen auf, sodass er nach bestandenem Job Check direkt in Tier 1 einsteigen kann, statt erst zwei Jahre AEWV-Arbeit nachweisen zu müssen. Petra, 40, Tierärztin, erhält als Partnerin ein eigenes Arbeitsvisum und kann ihre Zulassung parallel bei der zuständigen neuseeländischen Stelle prüfen</w:t>
            </w:r>
            <w:r>
              <w:rPr>
                <w:sz w:val="20"/>
                <w:szCs w:val="20"/>
              </w:rPr>
              <w:t xml:space="preserve"> lassen. Mit Lotta, 12, und Finn, 8, zieht die Familie nach Christchurch, Canterbury – für die Kinder ändert sich vor allem der Schulweg, für die Eltern vor allem die Papierlage.</w:t>
            </w:r>
          </w:p>
        </w:tc>
      </w:tr>
    </w:tbl>
    <w:p w14:paraId="70A5011C" w14:textId="77777777" w:rsidR="00C1548D" w:rsidRDefault="00C1548D">
      <w:pPr>
        <w:spacing w:line="220" w:lineRule="exact"/>
      </w:pPr>
    </w:p>
    <w:p w14:paraId="70A5011D" w14:textId="77777777" w:rsidR="00C1548D" w:rsidRDefault="009B1B4B">
      <w:pPr>
        <w:pStyle w:val="Heading3"/>
        <w:keepNext/>
        <w:jc w:val="center"/>
      </w:pPr>
      <w:r>
        <w:rPr>
          <w:rFonts w:ascii="Amazon Ember" w:eastAsia="Amazon Ember" w:hAnsi="Amazon Ember" w:cs="Amazon Ember"/>
          <w:color w:val="0000FF"/>
          <w:sz w:val="36"/>
          <w:szCs w:val="36"/>
        </w:rPr>
        <w:t>Die Skilled Migrant Category im Detail</w:t>
      </w:r>
    </w:p>
    <w:p w14:paraId="70A5011E" w14:textId="77777777" w:rsidR="00C1548D" w:rsidRDefault="009B1B4B">
      <w:pPr>
        <w:spacing w:after="140"/>
      </w:pPr>
      <w:r>
        <w:t xml:space="preserve">Die </w:t>
      </w:r>
      <w:r>
        <w:rPr>
          <w:i/>
          <w:iCs/>
        </w:rPr>
        <w:t>Skilled Migrant Category</w:t>
      </w:r>
      <w:r>
        <w:t xml:space="preserve"> (SMC) ist das Hauptvisum für Fachkräfte, die dauerhaft in Neuseeland leben wollen, unabhängig von der Green List. Seit einer 2025/26 durchgeführten Reform arbeitet die SMC mit einer vereinfachten Schwelle von nur noch </w:t>
      </w:r>
      <w:r>
        <w:rPr>
          <w:b/>
          <w:bCs/>
        </w:rPr>
        <w:t>6 Punkten</w:t>
      </w:r>
      <w:r>
        <w:t xml:space="preserve"> – deutlich weniger komplex als das frühere 180-Punkte-Modell mit Bewerberpool, dessen genaues Reformdatum sich nicht abschließend verifizieren ließ und das hier deshalb nur als Kontrastfolie dient. Die Punkte setzen sich aus vier Quellen zusammen: Qualifikation (4 bis 6 Punkte, ein Bachelorabschluss bringt seit dem 24. August 2026 vier statt vorher drei Punkte – ausdrücklich auch, wenn er nach dem </w:t>
      </w:r>
      <w:r>
        <w:rPr>
          <w:i/>
          <w:iCs/>
        </w:rPr>
        <w:t>Washington Accord</w:t>
      </w:r>
      <w:r>
        <w:t xml:space="preserve"> oder </w:t>
      </w:r>
      <w:r>
        <w:rPr>
          <w:i/>
          <w:iCs/>
        </w:rPr>
        <w:t>Sydney Accord</w:t>
      </w:r>
      <w:r>
        <w:t xml:space="preserve"> akkreditiert ist, zwei internationalen Abkommen zur gegenseitigen Anerkennung von Ingenieursabschlüssen, denen auch deutsche Akkreditierungsstellen angehören können –, ein Master- oder Doktortitel entsprechend mehr; prüfe die Akkreditierung </w:t>
      </w:r>
      <w:r>
        <w:lastRenderedPageBreak/>
        <w:t>deines konkreten Studiengangs im Einzelfall), berufliche Registrierung (3 bis 6 Punkte, relevant vor allem für reglementierte Berufe wie Pflege, Medizin oder bestimmte Ingenieursdisziplinen), Einkommen (3 bis 6 Punkte, siehe unten) sowie ein Bonus von bis zu 3 zusätzlic</w:t>
      </w:r>
      <w:r>
        <w:t>hen Punkten für bereits geleistete Facharbeit in Neuseeland.</w:t>
      </w:r>
    </w:p>
    <w:p w14:paraId="70A5011F" w14:textId="77777777" w:rsidR="00C1548D" w:rsidRDefault="009B1B4B">
      <w:pPr>
        <w:spacing w:after="140"/>
      </w:pPr>
      <w:r>
        <w:t>Die Einkommenspunkte hängen unmittelbar vom Stundenlohn ab, und zwar gestaffelt: Ohne jede neuseeländische Arbeitserfahrung braucht es 105,00 NZD/Std. (das Dreifache des Medianlohns) für die vollen 6 Punkte. Mit bereits geleisteter Facharbeit in Neuseeland genügen 70,00 NZD/Std. (das Doppelte) für 4 Punkte, mit einer Grundschwelle von 35,00 NZD/Std. für Berufe der ANZSCO-Kompetenzstufen 1 bis 3 beziehungsweise 52,50 NZD/Std. für Stufe 4/5 oder ungelistete Berufe. Für den Trades-&amp;-Technician-Pfad gilt eine e</w:t>
      </w:r>
      <w:r>
        <w:t>igene Staffelung zwischen 35,00 und 42,00 NZD/Std., je nachdem, ob der Beruf auf der sogenannten Amber List steht. Wichtig für die Planung: Nach dem Grundsatz „once your threshold is set, it does not change“ bleibt der beim Start deiner Facharbeit geltende Lohnsatz maßgeblich, auch wenn die Schwelle später steigt.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22"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120" w14:textId="77777777" w:rsidR="00C1548D" w:rsidRDefault="009B1B4B">
            <w:pPr>
              <w:keepNext/>
              <w:spacing w:after="70" w:line="240" w:lineRule="auto"/>
            </w:pPr>
            <w:r>
              <w:rPr>
                <w:b/>
                <w:bCs/>
                <w:color w:val="2F6B3B"/>
                <w:spacing w:val="24"/>
                <w:sz w:val="16"/>
                <w:szCs w:val="16"/>
              </w:rPr>
              <w:t>SPARTIPP</w:t>
            </w:r>
          </w:p>
          <w:p w14:paraId="70A50121" w14:textId="77777777" w:rsidR="00C1548D" w:rsidRDefault="009B1B4B">
            <w:pPr>
              <w:spacing w:after="80" w:line="264" w:lineRule="auto"/>
            </w:pPr>
            <w:r>
              <w:rPr>
                <w:sz w:val="20"/>
                <w:szCs w:val="20"/>
              </w:rPr>
              <w:t>Beginnst du deine Facharbeit rechtzeitig, bevor eine angekündigte Schwellenerhöhung greift, dokumentiere Startdatum und damals geltenden Lohnsatz sorgfältig – etwa mit Arbeitsvertrag, erster Gehaltsabrechnung und einem Ausdruck der damals gültigen INZ-Lohnschwellenseite. Weil der Einstiegssatz eingefroren wird, kann dich das später vor einer sonst nötigen Gehaltssteigerung allein wegen einer Regeländerung bewahren.</w:t>
            </w:r>
          </w:p>
        </w:tc>
      </w:tr>
    </w:tbl>
    <w:p w14:paraId="70A50123" w14:textId="77777777" w:rsidR="00C1548D" w:rsidRDefault="00C1548D">
      <w:pPr>
        <w:spacing w:line="220" w:lineRule="exact"/>
      </w:pPr>
    </w:p>
    <w:p w14:paraId="70A50124" w14:textId="77777777" w:rsidR="00C1548D" w:rsidRDefault="009B1B4B">
      <w:pPr>
        <w:spacing w:after="140"/>
      </w:pPr>
      <w:r>
        <w:t xml:space="preserve">Die Reform vom 24. August 2026 hat das System an mehreren Stellen weiter verändert: Statt getrennter Lohnsätze für die Erfahrungsphase und die Antragstellung gilt seither nur noch eine einheitliche SMC-Lohnschwelle, ergänzt um eine fünfmonatige Kulanzfrist, wenn die Facharbeit innerhalb von fünf Monaten nach Visumerteilung beginnt. Level-8- oder Level-9-Qualifikationen (etwa </w:t>
      </w:r>
      <w:r>
        <w:lastRenderedPageBreak/>
        <w:t>bestimmte Masterabschlüsse) benötigen zusätzlich einen nachgewiesenen Bachelor-Unterbau, außer bei speziell gelisteten neuseeländischen Masterabschlüssen mit eigener Fünf-Punkte-Regel. Beim Trades-&amp;-Technician-Pfad zählen für neuseeländische Qualifikationen mindestens 120 Credits, während ausländische Abschlüsse stattdessen über eine individuelle Qualifikationsbewertung (IQA) auf Level 4 oder höher eingestuft werden. Eine Änderung betrifft besonders Selbstständige: Selbstständigkeit zählt seit der Reform ni</w:t>
      </w:r>
      <w:r>
        <w:t>cht mehr automatisch als „direkt relevante Arbeitserfahrung“ – Nachweise müssen unabhängig überprüfbar sein, etwa durch Kundenverträge, Rechnungen und Referenzen Dritter, nicht durch eigene Angaben allein.</w:t>
      </w:r>
    </w:p>
    <w:p w14:paraId="70A50125" w14:textId="77777777" w:rsidR="00C1548D" w:rsidRDefault="009B1B4B">
      <w:pPr>
        <w:spacing w:after="140"/>
      </w:pPr>
      <w: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beziehungsweise mindestens sechs Monate Vertrag oder Vertragsreihe, guter Gesundheitszustand sowie ein Führungszeugnis ab 17 Jahren. Wer die reguläre Einkommensschwelle nicht erreicht, hat zwei alternative Pfade: den </w:t>
      </w:r>
      <w:r>
        <w:rPr>
          <w:i/>
          <w:iCs/>
        </w:rPr>
        <w:t>Skilled Work Experience Pathway</w:t>
      </w:r>
      <w:r>
        <w:t xml:space="preserve"> (mindestens fünf Jahre einschlägige Berufserfahrung, davon mindestens zwei Jahre in Neuseeland zum geforderten Lohnsatz) und den </w:t>
      </w:r>
      <w:r>
        <w:rPr>
          <w:i/>
          <w:iCs/>
        </w:rPr>
        <w:t>Trades-&amp;-Technician-Pfad</w:t>
      </w:r>
      <w:r>
        <w:t xml:space="preserve"> (Level-4-Qualifikation oder höher, mindestens 2,5 Jahre einschlägige Erfahrung nach Abschluss, davon mindestens 1,5 Jahre in Neuseeland).</w:t>
      </w:r>
    </w:p>
    <w:p w14:paraId="70A50126" w14:textId="77777777" w:rsidR="00C1548D" w:rsidRDefault="009B1B4B">
      <w:pPr>
        <w:spacing w:after="140"/>
      </w:pPr>
      <w:r>
        <w:t xml:space="preserve">Nach Erteilung ist das Daueraufenthaltsvisum nicht ganz voraussetzungslos: Eine sogenannte Section-49-Bedingung kann vorsehen, dass eine ununterbrochene Arbeitslosigkeit von mehr als drei Monaten die Bedingungen des Visums verletzt. Die Kosten liegen bei 6.450 NZD für die Hauptantragstellerin oder den Hauptantragsteller (2.880 NZD Antragsgebühr plus 3.570 NZD Levy); Partner und Kinder werden über eigene Kategorien separat </w:t>
      </w:r>
      <w:r>
        <w:lastRenderedPageBreak/>
        <w:t xml:space="preserve">berechnet. Wichtig für die Reiseplanung: Das erteilte Daueraufenthaltsvisum erlaubt zunächst zwei Jahre freies Ein- und Ausreisen ab der ersten Einreise; danach braucht es in der Regel ein </w:t>
      </w:r>
      <w:r>
        <w:rPr>
          <w:i/>
          <w:iCs/>
        </w:rPr>
        <w:t>Permanent Resident Visa</w:t>
      </w:r>
      <w:r>
        <w:t xml:space="preserve"> (unbefristetes Daueraufenthaltsvisum ohne Reisebeschränkung), um weiterhin uneingeschränkt reisen zu können.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29"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127" w14:textId="77777777" w:rsidR="00C1548D" w:rsidRDefault="009B1B4B">
            <w:pPr>
              <w:keepNext/>
              <w:spacing w:after="70" w:line="240" w:lineRule="auto"/>
            </w:pPr>
            <w:r>
              <w:rPr>
                <w:b/>
                <w:bCs/>
                <w:color w:val="8A6212"/>
                <w:spacing w:val="24"/>
                <w:sz w:val="16"/>
                <w:szCs w:val="16"/>
              </w:rPr>
              <w:t>MERKE</w:t>
            </w:r>
          </w:p>
          <w:p w14:paraId="70A50128" w14:textId="77777777" w:rsidR="00C1548D" w:rsidRDefault="009B1B4B">
            <w:pPr>
              <w:spacing w:after="80" w:line="264" w:lineRule="auto"/>
            </w:pPr>
            <w:r>
              <w:rPr>
                <w:sz w:val="20"/>
                <w:szCs w:val="20"/>
              </w:rPr>
              <w:t>Ein Arbeitsvisum wie das AEWV ist kein Daueraufenthalt. Es ist befristet, an einen einzigen Arbeitgeber gebunden und endet mit dem Job. Die SMC dagegen führt zu einem unbefristeten Aufenthaltsrecht, unabhängig von einer bestimmten Stelle – auch wenn die Section-49-Bedingung zeigt, dass „unbefristet“ nicht ganz ohne Erwartungen an dich kommt.</w:t>
            </w:r>
          </w:p>
        </w:tc>
      </w:tr>
    </w:tbl>
    <w:p w14:paraId="70A5012A"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2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12B" w14:textId="77777777" w:rsidR="00C1548D" w:rsidRDefault="009B1B4B">
            <w:pPr>
              <w:keepNext/>
              <w:spacing w:after="70" w:line="240" w:lineRule="auto"/>
            </w:pPr>
            <w:r>
              <w:rPr>
                <w:b/>
                <w:bCs/>
                <w:color w:val="4A5568"/>
                <w:spacing w:val="24"/>
                <w:sz w:val="16"/>
                <w:szCs w:val="16"/>
              </w:rPr>
              <w:t>PRAXISBEISPIEL · FIKTIV</w:t>
            </w:r>
          </w:p>
          <w:p w14:paraId="70A5012C" w14:textId="77777777" w:rsidR="00C1548D" w:rsidRDefault="009B1B4B">
            <w:pPr>
              <w:spacing w:after="80" w:line="264" w:lineRule="auto"/>
            </w:pPr>
            <w:r>
              <w:rPr>
                <w:sz w:val="20"/>
                <w:szCs w:val="20"/>
              </w:rPr>
              <w:t xml:space="preserve">Paul Lindner (fiktiv), 31, IT-Berater aus Frankfurt, alleinstehend, plant den Weg direkt aus Deutschland, ohne vorherige neuseeländische Arbeitserfahrung. Damit braucht er für die vollen Einkommenspunkte einen Stundenlohn von rund 105 NZD – bei seinem Beratungsprofil mit internationalen Kunden realistisch erreichbar, aber kein Selbstläufer. Seinen Bachelorabschluss lässt er vorab bewerten, um sicherzugehen, dass er die seit August 2026 vier statt drei Punkte auch tatsächlich bekommt, und kombiniert das mit </w:t>
            </w:r>
            <w:r>
              <w:rPr>
                <w:sz w:val="20"/>
                <w:szCs w:val="20"/>
              </w:rPr>
              <w:t>einem konkreten Jobangebot eines Unternehmens in Auckland, um die Gesamtschwelle von 6 Punkten sicher zu erreichen.</w:t>
            </w:r>
          </w:p>
        </w:tc>
      </w:tr>
    </w:tbl>
    <w:p w14:paraId="70A5012E" w14:textId="77777777" w:rsidR="00C1548D" w:rsidRDefault="00C1548D">
      <w:pPr>
        <w:spacing w:line="220" w:lineRule="exact"/>
      </w:pPr>
    </w:p>
    <w:p w14:paraId="70A5012F" w14:textId="77777777" w:rsidR="00C1548D" w:rsidRDefault="009B1B4B">
      <w:pPr>
        <w:pStyle w:val="Heading3"/>
        <w:keepNext/>
        <w:jc w:val="center"/>
      </w:pPr>
      <w:r>
        <w:rPr>
          <w:rFonts w:ascii="Amazon Ember" w:eastAsia="Amazon Ember" w:hAnsi="Amazon Ember" w:cs="Amazon Ember"/>
          <w:color w:val="0000FF"/>
          <w:sz w:val="36"/>
          <w:szCs w:val="36"/>
        </w:rPr>
        <w:t>Was für deutsche Fachkräfte realistisch ist</w:t>
      </w:r>
    </w:p>
    <w:p w14:paraId="70A50130" w14:textId="77777777" w:rsidR="00C1548D" w:rsidRDefault="009B1B4B">
      <w:pPr>
        <w:spacing w:after="140"/>
      </w:pPr>
      <w:r>
        <w:t xml:space="preserve">In der Praxis führen für die meisten deutschen Fachkräfte drei Routen nach Neuseeland, und sie unterscheiden sich deutlich in Tempo und Risiko. Der planbarste Weg ist das AEWV mit anschließendem Wechsel über </w:t>
      </w:r>
      <w:r>
        <w:rPr>
          <w:b/>
          <w:bCs/>
        </w:rPr>
        <w:t>Green-List-Tier-2</w:t>
      </w:r>
      <w:r>
        <w:t xml:space="preserve"> oder die SMC mit neuseeländischer Arbeitserfahrung: Du brauchst zunächst „nur“ </w:t>
      </w:r>
      <w:r>
        <w:lastRenderedPageBreak/>
        <w:t xml:space="preserve">einen akkreditierten Arbeitgeber und den niedrigeren Lohnsatz von 70,00 NZD/Std. für die Einkommenspunkte, sammelst vor Ort Erfahrung und stellst den Residency-Antrag erst, wenn du die Lohnschwelle bereits erreichst. Schneller, aber enger ist </w:t>
      </w:r>
      <w:r>
        <w:rPr>
          <w:b/>
          <w:bCs/>
        </w:rPr>
        <w:t>Green-List-Tier 1</w:t>
      </w:r>
      <w:r>
        <w:t xml:space="preserve">: Direkter Weg zur Residency, aber nur, wenn dein exakter Beruf gelistet ist und ein akkreditierter Arbeitgeber sofort bereitsteht. Am voraussetzungsreichsten ist die </w:t>
      </w:r>
      <w:r>
        <w:rPr>
          <w:b/>
          <w:bCs/>
        </w:rPr>
        <w:t>direkte SMC-Bewerbung aus Deutschland</w:t>
      </w:r>
      <w:r>
        <w:t xml:space="preserve"> ohne jede neuseeländische Erfahrung. Dieser Weg verlangt den höchsten Lohnsatz (105,00 NZD/Std., umgerechnet auf eine Vollzeitstelle etwa 218.000 NZD im Jahr) und eignet sich vor allem für Fachkräfte in gut bezahlten Nischen wie erfahrene IT-Beraterinnen und -Berater, Fachärztinnen und Fachärzte oder Senior-Ingenieurinnen und -Ingenieure mit internationalem Gehaltsniveau.</w:t>
      </w:r>
    </w:p>
    <w:p w14:paraId="70A50131" w14:textId="77777777" w:rsidR="00C1548D" w:rsidRDefault="009B1B4B">
      <w:pPr>
        <w:spacing w:after="140"/>
      </w:pPr>
      <w:r>
        <w:t>Zwei Dinge solltest du bei der Kostenplanung nicht übersehen. Erstens: Deutschland steht nicht auf der INZ-Liste der Länder mit Gebührenbefreiung – anders als etwa Österreich zahlst du bei jedem Visum den vollen Satz, ohne Rabatt. Zweitens: Die Bearbeitungszeiten summieren sich. Für das AEWV kommen zu den „80 % innerhalb von sechs Wochen“ noch die vorgelagerte Akkreditierung (rund zwei Werktage) und der Job Check (rund drei Werktage) hinzu; die SMC-Residence dauert im Schnitt rund neun Wochen ab vollständig</w:t>
      </w:r>
      <w:r>
        <w:t>em Antrag. Realistisch bedeutet das für die meisten Interessierten ohne bereits bestehenden Neuseeland-Bezug: mehrere Monate von der ersten Bewerbung bis zur Einreise, plus – je nach gewähltem Pfad – ein bis zwei weitere Jahre bis zum Daueraufenthalt.</w:t>
      </w:r>
    </w:p>
    <w:p w14:paraId="70A50132" w14:textId="77777777" w:rsidR="00C1548D" w:rsidRDefault="009B1B4B">
      <w:pPr>
        <w:spacing w:after="140"/>
      </w:pPr>
      <w:r>
        <w:t xml:space="preserve">Sprachlich sind gute Englischkenntnisse in jedem der drei Wege Pflicht, wenn auch beim AEWV nur für bestimmte Kompetenzstufen zwingend vorgeschrieben. Wer aus einem reglementierten Beruf kommt – Pflege, Medizin, bestimmte Ingenieursdisziplinen –, sollte die Anerkennung der eigenen Qualifikation und die Registrierung bei der zuständigen neuseeländischen Berufsstelle so früh wie möglich </w:t>
      </w:r>
      <w:r>
        <w:lastRenderedPageBreak/>
        <w:t>klären, da diese Prüfungen oft mehr Zeit beanspruchen als der eigentliche Visumsantrag.</w:t>
      </w:r>
    </w:p>
    <w:p w14:paraId="70A50133" w14:textId="77777777" w:rsidR="00C1548D" w:rsidRDefault="009B1B4B">
      <w:pPr>
        <w:spacing w:after="140"/>
      </w:pPr>
      <w:r>
        <w:t xml:space="preserve">Wer noch keinen akkreditierten Arbeitgeber gefunden hat, aber unter 31 Jahre alt ist, hat noch eine weitere, deutlich niedrigschwelligere Tür: das </w:t>
      </w:r>
      <w:r>
        <w:rPr>
          <w:i/>
          <w:iCs/>
        </w:rPr>
        <w:t>Working Holiday Visa</w:t>
      </w:r>
      <w:r>
        <w:t xml:space="preserve"> für deutsche Staatsangehörige zwischen 18 und 30 Jahren, ohne Jobangebot beantragbar, gültig für bis zu zwölf Monate, gegen Nachweis von mindestens 4.200 NZD Lebenshaltungsmitteln. Es erlaubt keine Dauerstelle, aber genau die Art von Vor-Ort-Kontakten, aus denen später ein Jobangebot und damit ein AEWV werden kann – ein Umweg, der sich vor allem für jüngere Fachkräfte am Anfang der Karriere lohnt, die noch keinen fertigen Arbeitsvertrag in der Tasche haben. Wer darüber hinaus ist, bleibt auf die direkte Be</w:t>
      </w:r>
      <w:r>
        <w:t>werbung bei akkreditierten Arbeitgebern angewiesen.</w:t>
      </w:r>
    </w:p>
    <w:p w14:paraId="70A50134" w14:textId="77777777" w:rsidR="00C1548D" w:rsidRDefault="009B1B4B">
      <w:pPr>
        <w:spacing w:after="140"/>
      </w:pPr>
      <w:r>
        <w:t>Der Vergleich mit dem deutschen System zeigt noch einen grundsätzlichen Unterschied: Die Blaue Karte EU kennt keinen Wettbewerb um eine begrenzte Zahl an Einladungen und auch keine Punkteschwelle, die sich mehrmals im Jahr verschiebt – wer die Voraussetzungen erfüllt, bekommt die Karte. Das neuseeländische System dagegen bewertet dich laufend neu: Die SMC-Lohnschwelle von heute muss nicht die von übermorgen sein, und wer seinen Antrag ein halbes Jahr verschiebt, kann in eine andere Rechnung hineinlaufen. We</w:t>
      </w:r>
      <w:r>
        <w:t>r ernsthaft plant, sollte deshalb nicht nur die aktuellen Zahlen kennen, sondern auch beobachten, in welche Richtung sie sich zuletzt bewegt haben.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37"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135" w14:textId="77777777" w:rsidR="00C1548D" w:rsidRDefault="009B1B4B">
            <w:pPr>
              <w:keepNext/>
              <w:spacing w:after="70" w:line="240" w:lineRule="auto"/>
            </w:pPr>
            <w:r>
              <w:rPr>
                <w:b/>
                <w:bCs/>
                <w:color w:val="6B7280"/>
                <w:spacing w:val="24"/>
                <w:sz w:val="16"/>
                <w:szCs w:val="16"/>
              </w:rPr>
              <w:lastRenderedPageBreak/>
              <w:t>KEIN RECHTSRAT</w:t>
            </w:r>
          </w:p>
          <w:p w14:paraId="70A50136" w14:textId="77777777" w:rsidR="00C1548D" w:rsidRDefault="009B1B4B">
            <w:pPr>
              <w:spacing w:after="80" w:line="264" w:lineRule="auto"/>
            </w:pPr>
            <w:r>
              <w:rPr>
                <w:sz w:val="20"/>
                <w:szCs w:val="20"/>
              </w:rPr>
              <w:t>Dieses Kapitel erklärt Regeln und gängige Praxis des neuseeländischen Arbeitsvisumssystems, ersetzt aber keine Beratung durch eine bei der zuständigen Aufsichtsstelle registrierte Einwanderungsberaterin, einen registrierten Einwanderungsberater (</w:t>
            </w:r>
            <w:r>
              <w:rPr>
                <w:i/>
                <w:iCs/>
                <w:sz w:val="20"/>
                <w:szCs w:val="20"/>
              </w:rPr>
              <w:t>Licensed Immigration Adviser</w:t>
            </w:r>
            <w:r>
              <w:rPr>
                <w:sz w:val="20"/>
                <w:szCs w:val="20"/>
              </w:rPr>
              <w:t>) oder eine auf neuseeländisches Recht spezialisierte Anwaltskanzlei. Gerade bei Lohnschwellen, Berufsregistrierung und der Wahl zwischen AEWV, Green List und SMC lohnt sich eine individuelle Prüfung, bevor du kündigst oder Gebühren zahlst.</w:t>
            </w:r>
          </w:p>
        </w:tc>
      </w:tr>
    </w:tbl>
    <w:p w14:paraId="70A50138" w14:textId="77777777" w:rsidR="00C1548D" w:rsidRDefault="00C1548D">
      <w:pPr>
        <w:spacing w:line="220" w:lineRule="exact"/>
      </w:pPr>
    </w:p>
    <w:p w14:paraId="70A50139"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13C"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13A"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13B" w14:textId="77777777" w:rsidR="00C1548D" w:rsidRDefault="009B1B4B">
            <w:pPr>
              <w:spacing w:line="250" w:lineRule="auto"/>
            </w:pPr>
            <w:r>
              <w:rPr>
                <w:b/>
                <w:bCs/>
                <w:sz w:val="18"/>
                <w:szCs w:val="18"/>
              </w:rPr>
              <w:t>Minus</w:t>
            </w:r>
          </w:p>
        </w:tc>
      </w:tr>
      <w:tr w:rsidR="00C1548D" w14:paraId="70A5013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3D" w14:textId="77777777" w:rsidR="00C1548D" w:rsidRDefault="009B1B4B">
            <w:pPr>
              <w:spacing w:line="250" w:lineRule="auto"/>
            </w:pPr>
            <w:r>
              <w:rPr>
                <w:sz w:val="18"/>
                <w:szCs w:val="18"/>
              </w:rPr>
              <w:t>Klar dokumentiertes, transparentes Punkte- und Lohnschwellensystem</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3E" w14:textId="77777777" w:rsidR="00C1548D" w:rsidRDefault="009B1B4B">
            <w:pPr>
              <w:spacing w:line="250" w:lineRule="auto"/>
            </w:pPr>
            <w:r>
              <w:rPr>
                <w:sz w:val="18"/>
                <w:szCs w:val="18"/>
              </w:rPr>
              <w:t>Schwellen und Regeln ändern sich mehrfach jährlich</w:t>
            </w:r>
          </w:p>
        </w:tc>
      </w:tr>
      <w:tr w:rsidR="00C1548D" w14:paraId="70A5014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40" w14:textId="77777777" w:rsidR="00C1548D" w:rsidRDefault="009B1B4B">
            <w:pPr>
              <w:spacing w:line="250" w:lineRule="auto"/>
            </w:pPr>
            <w:r>
              <w:rPr>
                <w:sz w:val="18"/>
                <w:szCs w:val="18"/>
              </w:rPr>
              <w:t>Green List verkürzt den Weg zum Daueraufenthalt erheblich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41" w14:textId="77777777" w:rsidR="00C1548D" w:rsidRDefault="009B1B4B">
            <w:pPr>
              <w:spacing w:line="250" w:lineRule="auto"/>
            </w:pPr>
            <w:r>
              <w:rPr>
                <w:sz w:val="18"/>
                <w:szCs w:val="18"/>
              </w:rPr>
              <w:t>Nur für rund 200 Berufe gültig, exakter ANZSCO-Code entscheidet</w:t>
            </w:r>
          </w:p>
        </w:tc>
      </w:tr>
      <w:tr w:rsidR="00C1548D" w14:paraId="70A5014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43" w14:textId="77777777" w:rsidR="00C1548D" w:rsidRDefault="009B1B4B">
            <w:pPr>
              <w:spacing w:line="250" w:lineRule="auto"/>
            </w:pPr>
            <w:r>
              <w:rPr>
                <w:sz w:val="18"/>
                <w:szCs w:val="18"/>
              </w:rPr>
              <w:t>AEWV-Einstieg auch ohne sofortige Spitzengehälter möglich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44" w14:textId="77777777" w:rsidR="00C1548D" w:rsidRDefault="009B1B4B">
            <w:pPr>
              <w:spacing w:line="250" w:lineRule="auto"/>
            </w:pPr>
            <w:r>
              <w:rPr>
                <w:sz w:val="18"/>
                <w:szCs w:val="18"/>
              </w:rPr>
              <w:t>AEWV bindet dich fest an einen einzigen Arbeitgeber</w:t>
            </w:r>
          </w:p>
        </w:tc>
      </w:tr>
      <w:tr w:rsidR="00C1548D" w14:paraId="70A5014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46" w14:textId="77777777" w:rsidR="00C1548D" w:rsidRDefault="009B1B4B">
            <w:pPr>
              <w:spacing w:line="250" w:lineRule="auto"/>
            </w:pPr>
            <w:r>
              <w:rPr>
                <w:sz w:val="18"/>
                <w:szCs w:val="18"/>
              </w:rPr>
              <w:t>SMC bietet mit 6-Punkte-Schwelle ein einfacheres Modell als früher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47" w14:textId="77777777" w:rsidR="00C1548D" w:rsidRDefault="009B1B4B">
            <w:pPr>
              <w:spacing w:line="250" w:lineRule="auto"/>
            </w:pPr>
            <w:r>
              <w:rPr>
                <w:sz w:val="18"/>
                <w:szCs w:val="18"/>
              </w:rPr>
              <w:t>Direktbewerbung aus Deutschland verlangt sehr hohes Gehalt</w:t>
            </w:r>
          </w:p>
        </w:tc>
      </w:tr>
      <w:tr w:rsidR="00C1548D" w14:paraId="70A5014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49" w14:textId="77777777" w:rsidR="00C1548D" w:rsidRDefault="009B1B4B">
            <w:pPr>
              <w:spacing w:line="250" w:lineRule="auto"/>
            </w:pPr>
            <w:r>
              <w:rPr>
                <w:sz w:val="18"/>
                <w:szCs w:val="18"/>
              </w:rPr>
              <w:t>Einmal gesetzte Lohnschwelle bleibt für dich eingefroren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4A" w14:textId="77777777" w:rsidR="00C1548D" w:rsidRDefault="009B1B4B">
            <w:pPr>
              <w:spacing w:line="250" w:lineRule="auto"/>
            </w:pPr>
            <w:r>
              <w:rPr>
                <w:sz w:val="18"/>
                <w:szCs w:val="18"/>
              </w:rPr>
              <w:t>Keine Gebührenbefreiung für Deutschland</w:t>
            </w:r>
          </w:p>
        </w:tc>
      </w:tr>
    </w:tbl>
    <w:p w14:paraId="70A5014C" w14:textId="77777777" w:rsidR="00C1548D" w:rsidRDefault="00C1548D">
      <w:pPr>
        <w:spacing w:line="180" w:lineRule="exact"/>
      </w:pPr>
    </w:p>
    <w:p w14:paraId="70A5014D"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14E" w14:textId="77777777" w:rsidR="00C1548D" w:rsidRDefault="009B1B4B">
      <w:pPr>
        <w:spacing w:after="140"/>
      </w:pPr>
      <w:r>
        <w:t>Beginne mit einem nüchternen Abgleich: Prüfe, ob dein Beruf auf der Green List steht und, wenn ja, in welchem Tier, und ob der dort genannte ANZSCO-Code wirklich zu deiner Qualifikation und beruflichen Registrierung passt. Lass parallel deinen Abschluss und – falls einschlägig – deine berufliche Zulassung von der zuständigen neuseeländischen Stelle bewerten, denn das dauert oft länger als du denkst. Berechne anhand der aktuellen Lohnschwellen, welchen der drei Wege (AEWV mit späterem Wechsel, Green-List-Tie</w:t>
      </w:r>
      <w:r>
        <w:t xml:space="preserve">r-1 oder direkte SMC-Bewerbung) dein Gehaltsniveau realistisch zulässt, und </w:t>
      </w:r>
      <w:r>
        <w:lastRenderedPageBreak/>
        <w:t>suche gezielt nach akkreditierten Arbeitgebern in deinem Berufsfeld. Kläre außerdem frühzeitig deinen Englischnachweis, auch wenn er für deine ANZSCO-Stufe formal nicht zwingend ist – ein aktueller Test schadet keiner Bewerbung.</w:t>
      </w:r>
    </w:p>
    <w:p w14:paraId="70A5014F" w14:textId="4E71C5EA" w:rsidR="00C1548D" w:rsidRDefault="009B1B4B">
      <w:pPr>
        <w:spacing w:after="140"/>
      </w:pPr>
      <w:r>
        <w:t>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 wer sie schon während der Jobsuche griffbereit hat, gewinnt bei der eigentlichen Antragstellung wertvolle Wochen. Die konkreten Schritte zu Antrag, Konsulat, Gesamtkosten und</w:t>
      </w:r>
      <w:r>
        <w:t xml:space="preserve"> Bearbeitungszeit behandelt das </w:t>
      </w:r>
      <w:hyperlink w:anchor="tnz05" w:history="1">
        <w:r>
          <w:rPr>
            <w:color w:val="0563C1"/>
            <w:u w:val="single"/>
          </w:rPr>
          <w:t>Kapitel zu Antrag, Kosten und Bearbeitungszeit in diesem Teil</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59"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150" w14:textId="77777777" w:rsidR="00C1548D" w:rsidRDefault="009B1B4B">
            <w:pPr>
              <w:keepNext/>
              <w:spacing w:after="70" w:line="240" w:lineRule="auto"/>
            </w:pPr>
            <w:r>
              <w:rPr>
                <w:b/>
                <w:bCs/>
                <w:color w:val="1F6F78"/>
                <w:spacing w:val="24"/>
                <w:sz w:val="16"/>
                <w:szCs w:val="16"/>
              </w:rPr>
              <w:t>CHECKLISTE</w:t>
            </w:r>
          </w:p>
          <w:p w14:paraId="70A5015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Beruf gegen die aktuelle Green List und den passenden ANZSCO-Code prüfen</w:t>
            </w:r>
          </w:p>
          <w:p w14:paraId="70A5015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Qualifikation und ggf. Berufsregistrierung bei der zuständigen neuseeländischen Stelle bewerten lassen</w:t>
            </w:r>
          </w:p>
          <w:p w14:paraId="70A5015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Aktuelle SMC-Lohnschwellen mit dem eigenen (angestrebten) Gehalt abgleichen</w:t>
            </w:r>
          </w:p>
          <w:p w14:paraId="70A5015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Englischnachweis vorbereiten, auch wenn nicht für jede Stufe zwingend</w:t>
            </w:r>
          </w:p>
          <w:p w14:paraId="70A5015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Gezielt nach akkreditierten Arbeitgebern im eigenen Berufsfeld suchen</w:t>
            </w:r>
          </w:p>
          <w:p w14:paraId="70A5015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Prüfen, ob AEWV+Wechsel, Green-List-Tier-1 oder Direktbewerbung realistisch zum eigenen Profil passt</w:t>
            </w:r>
          </w:p>
          <w:p w14:paraId="70A5015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Start- und Lohndaten bei Arbeitsbeginn sorgfältig dokumentieren</w:t>
            </w:r>
          </w:p>
          <w:p w14:paraId="70A5015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jeder Entscheidung aktuelle Werte auf immigration.govt.nz prüfen</w:t>
            </w:r>
          </w:p>
        </w:tc>
      </w:tr>
    </w:tbl>
    <w:p w14:paraId="70A5015A" w14:textId="77777777" w:rsidR="00C1548D" w:rsidRDefault="00C1548D">
      <w:pPr>
        <w:spacing w:line="220" w:lineRule="exact"/>
      </w:pPr>
    </w:p>
    <w:p w14:paraId="70A5015B" w14:textId="77777777" w:rsidR="00C1548D" w:rsidRDefault="009B1B4B">
      <w:pPr>
        <w:pStyle w:val="Heading3"/>
        <w:keepNext/>
        <w:jc w:val="center"/>
      </w:pPr>
      <w:r>
        <w:rPr>
          <w:rFonts w:ascii="Amazon Ember" w:eastAsia="Amazon Ember" w:hAnsi="Amazon Ember" w:cs="Amazon Ember"/>
          <w:color w:val="0000FF"/>
          <w:sz w:val="36"/>
          <w:szCs w:val="36"/>
        </w:rPr>
        <w:lastRenderedPageBreak/>
        <w:t>Quellen und weiterführende Links</w:t>
      </w:r>
    </w:p>
    <w:p w14:paraId="70A5015C" w14:textId="27FF320D" w:rsidR="00C1548D" w:rsidRDefault="009B1B4B" w:rsidP="009B1B4B">
      <w:pPr>
        <w:pStyle w:val="ListParagraph"/>
        <w:numPr>
          <w:ilvl w:val="0"/>
          <w:numId w:val="1"/>
        </w:numPr>
        <w:spacing w:after="60"/>
      </w:pPr>
      <w:r>
        <w:t>Immigration New Zealand — Accredited Employer Work Visa (</w:t>
      </w:r>
      <w:hyperlink r:id="rId610" w:history="1">
        <w:r>
          <w:rPr>
            <w:color w:val="0563C1"/>
            <w:u w:val="single"/>
          </w:rPr>
          <w:t>immigration.govt.nz/new-zealand-visas/visas/visa/accredited-employer-work-visa</w:t>
        </w:r>
      </w:hyperlink>
      <w:r>
        <w:t>)</w:t>
      </w:r>
    </w:p>
    <w:p w14:paraId="70A5015D" w14:textId="3BAEAB0B" w:rsidR="00C1548D" w:rsidRDefault="009B1B4B" w:rsidP="009B1B4B">
      <w:pPr>
        <w:pStyle w:val="ListParagraph"/>
        <w:numPr>
          <w:ilvl w:val="0"/>
          <w:numId w:val="1"/>
        </w:numPr>
        <w:spacing w:after="60"/>
      </w:pPr>
      <w:r>
        <w:t>Immigration New Zealand — Skilled Migrant Category Resident Visa (</w:t>
      </w:r>
      <w:hyperlink r:id="rId611" w:history="1">
        <w:r>
          <w:rPr>
            <w:color w:val="0563C1"/>
            <w:u w:val="single"/>
          </w:rPr>
          <w:t>immigration.govt.nz/new-zealand-visas/visas/visa/skilled-migrant-category-resident-visa</w:t>
        </w:r>
      </w:hyperlink>
      <w:r>
        <w:t>)</w:t>
      </w:r>
    </w:p>
    <w:p w14:paraId="70A5015E" w14:textId="7866EF2D" w:rsidR="00C1548D" w:rsidRDefault="009B1B4B" w:rsidP="009B1B4B">
      <w:pPr>
        <w:pStyle w:val="ListParagraph"/>
        <w:numPr>
          <w:ilvl w:val="0"/>
          <w:numId w:val="1"/>
        </w:numPr>
        <w:spacing w:after="60"/>
      </w:pPr>
      <w:r>
        <w:t>Immigration New Zealand — Green List (</w:t>
      </w:r>
      <w:hyperlink r:id="rId612" w:history="1">
        <w:r>
          <w:rPr>
            <w:color w:val="0563C1"/>
            <w:u w:val="single"/>
          </w:rPr>
          <w:t>immigration.govt.nz/new-zealand-visas/preparing-a-visa-application/working-in-nz/green-list</w:t>
        </w:r>
      </w:hyperlink>
      <w:r>
        <w:t>)</w:t>
      </w:r>
    </w:p>
    <w:p w14:paraId="70A5015F" w14:textId="34120AA6" w:rsidR="00C1548D" w:rsidRDefault="009B1B4B" w:rsidP="009B1B4B">
      <w:pPr>
        <w:pStyle w:val="ListParagraph"/>
        <w:numPr>
          <w:ilvl w:val="0"/>
          <w:numId w:val="1"/>
        </w:numPr>
        <w:spacing w:after="60"/>
      </w:pPr>
      <w:r>
        <w:t>Immigration New Zealand — SMC-Lohnschwellen (</w:t>
      </w:r>
      <w:hyperlink r:id="rId613" w:history="1">
        <w:r>
          <w:rPr>
            <w:color w:val="0563C1"/>
            <w:u w:val="single"/>
          </w:rPr>
          <w:t>immigration.govt.nz/.../skilled-migrant-category-resident-visa-wage-rate-thresholds</w:t>
        </w:r>
      </w:hyperlink>
      <w:r>
        <w:t>)</w:t>
      </w:r>
    </w:p>
    <w:p w14:paraId="70A50160" w14:textId="38BE4255" w:rsidR="00C1548D" w:rsidRDefault="009B1B4B" w:rsidP="009B1B4B">
      <w:pPr>
        <w:pStyle w:val="ListParagraph"/>
        <w:numPr>
          <w:ilvl w:val="0"/>
          <w:numId w:val="1"/>
        </w:numPr>
        <w:spacing w:after="60"/>
      </w:pPr>
      <w:r>
        <w:t>Immigration New Zealand — Fees Guide INZ 1028, Ausgabe Mai 2026 (</w:t>
      </w:r>
      <w:hyperlink r:id="rId614" w:history="1">
        <w:r>
          <w:rPr>
            <w:color w:val="0563C1"/>
            <w:u w:val="single"/>
          </w:rPr>
          <w:t>immigration.govt.nz/assets/inz/documents/forms-and-guides/Fees-Guide-INZ-1028.pdf</w:t>
        </w:r>
      </w:hyperlink>
      <w:r>
        <w:t>)</w:t>
      </w:r>
    </w:p>
    <w:p w14:paraId="70A50161" w14:textId="0174D8CA" w:rsidR="00C1548D" w:rsidRDefault="009B1B4B" w:rsidP="009B1B4B">
      <w:pPr>
        <w:pStyle w:val="ListParagraph"/>
        <w:numPr>
          <w:ilvl w:val="0"/>
          <w:numId w:val="1"/>
        </w:numPr>
        <w:spacing w:after="60"/>
      </w:pPr>
      <w:r>
        <w:t>Immigration New Zealand — Gesundheitsanforderungen (</w:t>
      </w:r>
      <w:hyperlink r:id="rId615" w:history="1">
        <w:r>
          <w:rPr>
            <w:color w:val="0563C1"/>
            <w:u w:val="single"/>
          </w:rPr>
          <w:t>immigration.govt.nz/process-to-apply/applying-for-a-visa/providing-evidence-and-documents-to-support-your-visa-application/health-requirements</w:t>
        </w:r>
      </w:hyperlink>
      <w:r>
        <w:t>)</w:t>
      </w:r>
    </w:p>
    <w:p w14:paraId="70A50162"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65"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163" w14:textId="77777777" w:rsidR="00C1548D" w:rsidRDefault="009B1B4B">
            <w:pPr>
              <w:keepNext/>
              <w:spacing w:after="70" w:line="240" w:lineRule="auto"/>
            </w:pPr>
            <w:r>
              <w:rPr>
                <w:b/>
                <w:bCs/>
                <w:color w:val="6B7280"/>
                <w:spacing w:val="24"/>
                <w:sz w:val="16"/>
                <w:szCs w:val="16"/>
              </w:rPr>
              <w:t>STAND</w:t>
            </w:r>
          </w:p>
          <w:p w14:paraId="70A50164" w14:textId="77777777" w:rsidR="00C1548D" w:rsidRDefault="009B1B4B">
            <w:pPr>
              <w:spacing w:after="80" w:line="264" w:lineRule="auto"/>
            </w:pPr>
            <w:r>
              <w:rPr>
                <w:sz w:val="20"/>
                <w:szCs w:val="20"/>
              </w:rPr>
              <w:t>23.09.2026. Diese Angaben ändern sich besonders schnell: die SMC- und AEWV-Lohnschwellen, die genaue Zusammensetzung der Green List, Bearbeitungszeiten und Gebühren. Prüfe vor jeder Entscheidung die aktuellen Werte auf immigration.govt.nz.</w:t>
            </w:r>
          </w:p>
        </w:tc>
      </w:tr>
    </w:tbl>
    <w:p w14:paraId="70A50166" w14:textId="77777777" w:rsidR="00C1548D" w:rsidRDefault="00C1548D">
      <w:pPr>
        <w:spacing w:line="220" w:lineRule="exact"/>
      </w:pPr>
    </w:p>
    <w:p w14:paraId="70A50167" w14:textId="77777777" w:rsidR="00C1548D" w:rsidRDefault="009B1B4B">
      <w:pPr>
        <w:pStyle w:val="Heading2"/>
        <w:keepNext/>
        <w:pageBreakBefore/>
        <w:jc w:val="center"/>
      </w:pPr>
      <w:bookmarkStart w:id="174" w:name="tnz04"/>
      <w:bookmarkStart w:id="175" w:name="_Toc241352539"/>
      <w:r>
        <w:rPr>
          <w:rFonts w:ascii="Amazon Ember" w:eastAsia="Amazon Ember" w:hAnsi="Amazon Ember" w:cs="Amazon Ember"/>
          <w:color w:val="0000FF"/>
          <w:sz w:val="36"/>
          <w:szCs w:val="36"/>
        </w:rPr>
        <w:lastRenderedPageBreak/>
        <w:t>Neuseeland: Familie, Investoren und der Ruhestand</w:t>
      </w:r>
      <w:bookmarkEnd w:id="174"/>
      <w:bookmarkEnd w:id="175"/>
    </w:p>
    <w:p w14:paraId="70A50168" w14:textId="77777777" w:rsidR="00C1548D" w:rsidRDefault="009B1B4B">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w:t>
      </w:r>
      <w:r>
        <w:t xml:space="preserve"> ganz ohne dort lebendes Kind auskommt –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w:t>
      </w:r>
      <w:r>
        <w:t>treng.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70"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169" w14:textId="77777777" w:rsidR="00C1548D" w:rsidRDefault="009B1B4B">
            <w:pPr>
              <w:keepNext/>
              <w:spacing w:after="70" w:line="240" w:lineRule="auto"/>
            </w:pPr>
            <w:r>
              <w:rPr>
                <w:b/>
                <w:bCs/>
                <w:color w:val="1F3A5F"/>
                <w:spacing w:val="24"/>
                <w:sz w:val="16"/>
                <w:szCs w:val="16"/>
              </w:rPr>
              <w:lastRenderedPageBreak/>
              <w:t>KURZ GESAGT</w:t>
            </w:r>
          </w:p>
          <w:p w14:paraId="70A5016A" w14:textId="77777777" w:rsidR="00C1548D" w:rsidRDefault="009B1B4B" w:rsidP="009B1B4B">
            <w:pPr>
              <w:pStyle w:val="ListParagraph"/>
              <w:numPr>
                <w:ilvl w:val="0"/>
                <w:numId w:val="1"/>
              </w:numPr>
              <w:spacing w:after="50" w:line="264" w:lineRule="auto"/>
            </w:pPr>
            <w:r>
              <w:rPr>
                <w:sz w:val="20"/>
                <w:szCs w:val="20"/>
              </w:rPr>
              <w:t>Das Partnervisum verlangt zwölf Monate nachgewiesenes Zusammenleben in einer echten Partnerschaft; die Bearbeitung dauert im Schnitt rund sechs Monate.</w:t>
            </w:r>
          </w:p>
          <w:p w14:paraId="70A5016B" w14:textId="77777777" w:rsidR="00C1548D" w:rsidRDefault="009B1B4B" w:rsidP="009B1B4B">
            <w:pPr>
              <w:pStyle w:val="ListParagraph"/>
              <w:numPr>
                <w:ilvl w:val="0"/>
                <w:numId w:val="1"/>
              </w:numPr>
              <w:spacing w:after="50" w:line="264" w:lineRule="auto"/>
            </w:pPr>
            <w:r>
              <w:rPr>
                <w:sz w:val="20"/>
                <w:szCs w:val="20"/>
              </w:rPr>
              <w:t>Das frühere Entrepreneur Work Visa wurde offiziell zum 27.08.2025 durch das Business Investor Work Visa ersetzt – die Gebührentabelle von Immigration New Zealand führt die alte Kategorie im Mai 2026 aber weiterhin auf. Diese Diskrepanz ist ungeklärt.</w:t>
            </w:r>
          </w:p>
          <w:p w14:paraId="70A5016C" w14:textId="77777777" w:rsidR="00C1548D" w:rsidRDefault="009B1B4B" w:rsidP="009B1B4B">
            <w:pPr>
              <w:pStyle w:val="ListParagraph"/>
              <w:numPr>
                <w:ilvl w:val="0"/>
                <w:numId w:val="1"/>
              </w:numPr>
              <w:spacing w:after="50" w:line="264" w:lineRule="auto"/>
            </w:pPr>
            <w:r>
              <w:rPr>
                <w:sz w:val="20"/>
                <w:szCs w:val="20"/>
              </w:rPr>
              <w:t>Investorenvisa bewegen sich zwischen 1 Million NZD (langsamerer Weg) und 10 Millionen NZD (Active Investor Plus, „Balanced“) – nichts davon ist ein Weg für den Mittelstand.</w:t>
            </w:r>
          </w:p>
          <w:p w14:paraId="70A5016D" w14:textId="77777777" w:rsidR="00C1548D" w:rsidRDefault="009B1B4B" w:rsidP="009B1B4B">
            <w:pPr>
              <w:pStyle w:val="ListParagraph"/>
              <w:numPr>
                <w:ilvl w:val="0"/>
                <w:numId w:val="1"/>
              </w:numPr>
              <w:spacing w:after="50" w:line="264" w:lineRule="auto"/>
            </w:pPr>
            <w:r>
              <w:rPr>
                <w:sz w:val="20"/>
                <w:szCs w:val="20"/>
              </w:rPr>
              <w:t xml:space="preserve">Neuseeland ist unter den vier Ländern dieses Buches das einzige mit einem Ruhestandsweg ganz ohne dort lebendes Kind: der </w:t>
            </w:r>
            <w:r>
              <w:rPr>
                <w:i/>
                <w:iCs/>
                <w:sz w:val="20"/>
                <w:szCs w:val="20"/>
              </w:rPr>
              <w:t>Temporary Retirement Visitor Visa</w:t>
            </w:r>
            <w:r>
              <w:rPr>
                <w:sz w:val="20"/>
                <w:szCs w:val="20"/>
              </w:rPr>
              <w:t>.</w:t>
            </w:r>
          </w:p>
          <w:p w14:paraId="70A5016E" w14:textId="77777777" w:rsidR="00C1548D" w:rsidRDefault="009B1B4B" w:rsidP="009B1B4B">
            <w:pPr>
              <w:pStyle w:val="ListParagraph"/>
              <w:numPr>
                <w:ilvl w:val="0"/>
                <w:numId w:val="1"/>
              </w:numPr>
              <w:spacing w:after="50" w:line="264" w:lineRule="auto"/>
            </w:pPr>
            <w:r>
              <w:rPr>
                <w:sz w:val="20"/>
                <w:szCs w:val="20"/>
              </w:rPr>
              <w:t>Dieser Weg ist allerdings nur zwei Jahre befristet und verlangt 750.000 NZD Investition, 500.000 NZD Liquidität und 60.000 NZD Jahreseinkommen – eine durchschnittliche deutsche Rente allein reicht dafür nicht.</w:t>
            </w:r>
          </w:p>
          <w:p w14:paraId="70A5016F" w14:textId="77777777" w:rsidR="00C1548D" w:rsidRDefault="009B1B4B" w:rsidP="009B1B4B">
            <w:pPr>
              <w:pStyle w:val="ListParagraph"/>
              <w:numPr>
                <w:ilvl w:val="0"/>
                <w:numId w:val="1"/>
              </w:numPr>
              <w:spacing w:after="50" w:line="264" w:lineRule="auto"/>
            </w:pPr>
            <w:r>
              <w:rPr>
                <w:sz w:val="20"/>
                <w:szCs w:val="20"/>
              </w:rPr>
              <w:t>Zahlen, Schwellen und Programmstatus ändern sich häufig: Prüfe vor jeder Entscheidung die aktuellen Angaben auf immigration.govt.nz.</w:t>
            </w:r>
          </w:p>
        </w:tc>
      </w:tr>
    </w:tbl>
    <w:p w14:paraId="70A50171" w14:textId="77777777" w:rsidR="00C1548D" w:rsidRDefault="00C1548D">
      <w:pPr>
        <w:spacing w:line="220" w:lineRule="exact"/>
      </w:pPr>
    </w:p>
    <w:p w14:paraId="70A50172" w14:textId="77777777" w:rsidR="00C1548D" w:rsidRDefault="009B1B4B">
      <w:pPr>
        <w:pStyle w:val="Heading3"/>
        <w:keepNext/>
        <w:jc w:val="center"/>
      </w:pPr>
      <w:r>
        <w:rPr>
          <w:rFonts w:ascii="Amazon Ember" w:eastAsia="Amazon Ember" w:hAnsi="Amazon Ember" w:cs="Amazon Ember"/>
          <w:color w:val="0000FF"/>
          <w:sz w:val="36"/>
          <w:szCs w:val="36"/>
        </w:rPr>
        <w:t>Partnervisum und Familiennachzug</w:t>
      </w:r>
    </w:p>
    <w:p w14:paraId="70A50173" w14:textId="77777777" w:rsidR="00C1548D" w:rsidRDefault="009B1B4B">
      <w:pPr>
        <w:spacing w:after="140"/>
      </w:pPr>
      <w:r>
        <w:t xml:space="preserve">Für Ehepaare, eingetragene Lebenspartnerschaften und sogenannte </w:t>
      </w:r>
      <w:r>
        <w:rPr>
          <w:i/>
          <w:iCs/>
        </w:rPr>
        <w:t>De-facto</w:t>
      </w:r>
      <w:r>
        <w:t xml:space="preserve">-Partnerschaften (unverheiratete, aber fest zusammenlebende Paare, einschließlich gleichgeschlechtlicher Paare) sieht die </w:t>
      </w:r>
      <w:r>
        <w:rPr>
          <w:i/>
          <w:iCs/>
        </w:rPr>
        <w:t>Family Category</w:t>
      </w:r>
      <w:r>
        <w:t xml:space="preserve"> („Partner of a New Zealander Resident Visa“) einen eigenen Weg zum Daueraufenthalt vor. Zentrale Voraussetzung: Das Paar muss zum Zeitpunkt der Antragstellung seit mindestens zwölf Monaten in einer echten, festen Partnerschaft zusammenleben. Der unterstützende Partner muss neuseeländische Staatsbürgerschaft oder einen Residence-Status besitzen und darf in den vergangenen fünf Jahren keine andere Person für ein Residence-Visum unterstützt haben – eine Klausel, die </w:t>
      </w:r>
      <w:r>
        <w:lastRenderedPageBreak/>
        <w:t>Mehrfach-Sponsoring in kurzer Folge verhind</w:t>
      </w:r>
      <w:r>
        <w:t>ern soll. Beide Partner müssen zudem die üblichen Gesundheits- und Charakteranforderungen erfüllen, die für praktisch jedes Daueraufenthaltsvisum gelten.</w:t>
      </w:r>
    </w:p>
    <w:p w14:paraId="70A50174" w14:textId="77777777" w:rsidR="00C1548D" w:rsidRDefault="009B1B4B">
      <w:pPr>
        <w:spacing w:after="140"/>
      </w:pPr>
      <w:r>
        <w:t xml:space="preserve">Die Gebühr liegt bei 5.360 NZD (1.940 NZD Antrag plus 3.420 NZD </w:t>
      </w:r>
      <w:r>
        <w:rPr>
          <w:i/>
          <w:iCs/>
        </w:rPr>
        <w:t>Immigration Levy</w:t>
      </w:r>
      <w:r>
        <w:t>), ein mitreisendes, abhängiges Kind kostet zusätzlich 1.830 NZD Antrag plus 1.400 NZD Levy. Als „abhängiges Kind“ zählt dabei, wer 17 Jahre oder jünger und ledig ist, 18 bis 20 Jahre, ledig und kinderlos, oder 21 bis 24 Jahre, ledig, kinderlos und wirtschaftlich überwiegend von den Eltern abhängig. Die Bearbeitung dauert im Schnitt rund sechs Monate – deutlich länger als bei vielen Arbeitsvisa, aber ohne die jahrelangen Wartezeiten, die andere Länder bei manchen Familienkategorien kennen.</w:t>
      </w:r>
    </w:p>
    <w:p w14:paraId="70A50175" w14:textId="77777777" w:rsidR="00C1548D" w:rsidRDefault="009B1B4B">
      <w:pPr>
        <w:spacing w:after="140"/>
      </w:pPr>
      <w:r>
        <w:t>Der Vergleich mit Deutschland relativiert die Wartezeit außerdem: Auch ein deutsches Verwaltungsverfahren für den Familiennachzug – etwa bei binationalen Paaren, die von einem Drittstaat nach Deutschland ziehen wollen –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w:t>
      </w:r>
      <w:r>
        <w:t>visum schlicht noch nicht beantragen, unabhängig davon, wie ernst die Beziehung gemeint ist.</w:t>
      </w:r>
    </w:p>
    <w:p w14:paraId="70A50176" w14:textId="77777777" w:rsidR="00C1548D" w:rsidRDefault="009B1B4B">
      <w:pPr>
        <w:spacing w:after="140"/>
      </w:pPr>
      <w:r>
        <w:t xml:space="preserve">Wer nicht auf die Entscheidung über das Daueraufenthaltsvisum warten will oder kann, findet im </w:t>
      </w:r>
      <w:r>
        <w:rPr>
          <w:i/>
          <w:iCs/>
        </w:rPr>
        <w:t>Partnership Work Visa</w:t>
      </w:r>
      <w:r>
        <w:t xml:space="preserve"> eine befristete Zwischenlösung: ein Arbeitsvisum für Partnerinnen und Partner neuseeländischer Staatsbürgerinnen und Staatsbürger oder Residents sowie für Partner bestimmter Arbeits- oder Studienvisum-Inhaberinnen und -Inhaber, Gebühr 1.630 NZD (570 NZD Antrag plus 1.060 NZD Levy).</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7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177" w14:textId="77777777" w:rsidR="00C1548D" w:rsidRDefault="009B1B4B">
            <w:pPr>
              <w:keepNext/>
              <w:spacing w:after="70" w:line="240" w:lineRule="auto"/>
            </w:pPr>
            <w:r>
              <w:rPr>
                <w:b/>
                <w:bCs/>
                <w:color w:val="9B2C2C"/>
                <w:spacing w:val="24"/>
                <w:sz w:val="16"/>
                <w:szCs w:val="16"/>
              </w:rPr>
              <w:lastRenderedPageBreak/>
              <w:t>ACHTUNG</w:t>
            </w:r>
          </w:p>
          <w:p w14:paraId="70A50178" w14:textId="77777777" w:rsidR="00C1548D" w:rsidRDefault="009B1B4B">
            <w:pPr>
              <w:spacing w:after="80" w:line="264" w:lineRule="auto"/>
            </w:pPr>
            <w:r>
              <w:rPr>
                <w:sz w:val="20"/>
                <w:szCs w:val="20"/>
              </w:rPr>
              <w:t>Verwechsle das befristete Partnership Work Visa nicht mit dem eigentlichen Daueraufenthaltsvisum der Family Category. Das eine erlaubt dir zu arbeiten, während der Antrag läuft – das andere ist das Ziel selbst. Wer nach Erhalt des Partnership Work Visa den eigentlichen Residence-Antrag aus den Augen verliert, sitzt am Ende mit einem befristeten Status da, obwohl eigentlich ein unbefristeter geplant war.</w:t>
            </w:r>
          </w:p>
        </w:tc>
      </w:tr>
    </w:tbl>
    <w:p w14:paraId="70A5017A" w14:textId="77777777" w:rsidR="00C1548D" w:rsidRDefault="00C1548D">
      <w:pPr>
        <w:spacing w:line="220" w:lineRule="exact"/>
      </w:pPr>
    </w:p>
    <w:p w14:paraId="70A5017B" w14:textId="6823585F" w:rsidR="00C1548D" w:rsidRDefault="009B1B4B">
      <w:pPr>
        <w:spacing w:after="140"/>
      </w:pPr>
      <w:r>
        <w:t xml:space="preserve">Für Familien, die gemeinsam auswandern, ist der Familiennachzug im engeren Sinne oft weniger relevant als die praktische Frage, wie Partnerin oder Partner sowie Kinder parallel zur Hauptantragstellung ihre eigenen Visa erhalten. Beim AEWV oder der Skilled Migrant Category (beide ausführlich im </w:t>
      </w:r>
      <w:hyperlink w:anchor="tnz03" w:history="1">
        <w:r>
          <w:rPr>
            <w:color w:val="0563C1"/>
            <w:u w:val="single"/>
          </w:rPr>
          <w:t>vorherigen Kapitel dieses Teils</w:t>
        </w:r>
      </w:hyperlink>
      <w:r>
        <w:t xml:space="preserve"> behandelt) läuft das über eigene Partner- und Kindervisa, die an das Hauptvisum anknüpfen, nicht über die Family Category selbst.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7E"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17C" w14:textId="77777777" w:rsidR="00C1548D" w:rsidRDefault="009B1B4B">
            <w:pPr>
              <w:keepNext/>
              <w:spacing w:after="70" w:line="240" w:lineRule="auto"/>
            </w:pPr>
            <w:r>
              <w:rPr>
                <w:b/>
                <w:bCs/>
                <w:color w:val="4A5568"/>
                <w:spacing w:val="24"/>
                <w:sz w:val="16"/>
                <w:szCs w:val="16"/>
              </w:rPr>
              <w:t>PRAXISBEISPIEL · FIKTIV</w:t>
            </w:r>
          </w:p>
          <w:p w14:paraId="70A5017D" w14:textId="77777777" w:rsidR="00C1548D" w:rsidRDefault="009B1B4B">
            <w:pPr>
              <w:spacing w:after="80" w:line="264" w:lineRule="auto"/>
            </w:pPr>
            <w:r>
              <w:rPr>
                <w:sz w:val="20"/>
                <w:szCs w:val="20"/>
              </w:rPr>
              <w:t>Familie Krüger (fiktiv). Während Sebastian, 43, Agraringenieur aus Rostock, sein Arbeitsvisum über die Green List beantragt, stellt Petra, 40, Tierärztin, parallel einen Antrag auf ein eigenes Partnervisum mit Arbeitsberechtigung – so kann sie nach der Einreise unabhängig von Sebastians Arbeitgeber selbst eine Stelle suchen oder ihre tierärztliche Zulassung bei der zuständigen neuseeländischen Stelle prüfen lassen. Lotta, 12, und Finn, 8, werden als abhängige Kinder in den Antrag eingeschlossen. Die Familie</w:t>
            </w:r>
            <w:r>
              <w:rPr>
                <w:sz w:val="20"/>
                <w:szCs w:val="20"/>
              </w:rPr>
              <w:t xml:space="preserve"> plant die Bearbeitungszeit von mehreren Monaten von vornherein in den Umzugstermin ein, statt sich auf einen nahtlosen Übergang zu verlassen.</w:t>
            </w:r>
          </w:p>
        </w:tc>
      </w:tr>
    </w:tbl>
    <w:p w14:paraId="70A5017F" w14:textId="77777777" w:rsidR="00C1548D" w:rsidRDefault="00C1548D">
      <w:pPr>
        <w:spacing w:line="220" w:lineRule="exact"/>
      </w:pPr>
    </w:p>
    <w:p w14:paraId="70A50180" w14:textId="77777777" w:rsidR="00C1548D" w:rsidRDefault="009B1B4B">
      <w:pPr>
        <w:pStyle w:val="Heading3"/>
        <w:keepNext/>
        <w:jc w:val="center"/>
      </w:pPr>
      <w:r>
        <w:rPr>
          <w:rFonts w:ascii="Amazon Ember" w:eastAsia="Amazon Ember" w:hAnsi="Amazon Ember" w:cs="Amazon Ember"/>
          <w:color w:val="0000FF"/>
          <w:sz w:val="36"/>
          <w:szCs w:val="36"/>
        </w:rPr>
        <w:t>Investoren- und Unternehmervisa</w:t>
      </w:r>
    </w:p>
    <w:p w14:paraId="70A50181" w14:textId="77777777" w:rsidR="00C1548D" w:rsidRDefault="009B1B4B">
      <w:pPr>
        <w:spacing w:after="140"/>
      </w:pPr>
      <w:r>
        <w:t xml:space="preserve">Wer nicht über einen Arbeitgeber, sondern über Kapital nach Neuseeland will, hat seit den letzten Jahren zwei sehr unterschiedlich anspruchsvolle Türen. Am oberen Ende steht das </w:t>
      </w:r>
      <w:r>
        <w:rPr>
          <w:i/>
          <w:iCs/>
        </w:rPr>
        <w:t>Active Investor Plus Visa</w:t>
      </w:r>
      <w:r>
        <w:t xml:space="preserve">, reine Kapitalanlage ohne operative Geschäftsführung: Die Kategorie „Growth“ verlangt mindestens 5 </w:t>
      </w:r>
      <w:r>
        <w:lastRenderedPageBreak/>
        <w:t>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 die mit Abstand höchste Levy aller neuseeländischen Visakategor</w:t>
      </w:r>
      <w:r>
        <w:t>ien.</w:t>
      </w:r>
    </w:p>
    <w:p w14:paraId="70A50182" w14:textId="77777777" w:rsidR="00C1548D" w:rsidRDefault="009B1B4B">
      <w:pPr>
        <w:spacing w:after="140"/>
      </w:pPr>
      <w:r>
        <w:t xml:space="preserve">Für alle, die tatsächlich ein Unternehmen führen statt nur Kapital zu parken, ist das </w:t>
      </w:r>
      <w:r>
        <w:rPr>
          <w:i/>
          <w:iCs/>
        </w:rPr>
        <w:t>Business Investor Work Visa</w:t>
      </w:r>
      <w:r>
        <w:t xml:space="preserve"> der relevante Weg. Es bietet zwei Optionen: eine Investition von 1 Million NZD in ein bestehendes neuseeländisches Unternehmen, verbunden mit einem dreijährigen </w:t>
      </w:r>
      <w:r>
        <w:rPr>
          <w:i/>
          <w:iCs/>
        </w:rPr>
        <w:t>Work-to-Residence</w:t>
      </w:r>
      <w:r>
        <w:t>-Pfad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w:t>
      </w:r>
      <w:r>
        <w:t>estition in ein Unternehmen mit mindestens fünf Vollzeitstellen. Ausdrücklich ausgeschlossen sind unter anderem Dropshipping, Glücksspiel, Tabak- und Vaping-Handel, Convenience-Stores, Franchise-Betriebe, Fast-Food-Konzepte, reine Homeoffice-Geschäftsmodelle und Einwanderungsberatung – Branchen, die INZ offenbar als zu passiv oder zu leicht simulierbar einstuft.</w:t>
      </w:r>
    </w:p>
    <w:p w14:paraId="70A50183" w14:textId="77777777" w:rsidR="00C1548D" w:rsidRDefault="009B1B4B">
      <w:pPr>
        <w:spacing w:after="140"/>
      </w:pPr>
      <w:r>
        <w:t xml:space="preserve">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sicherstellen, dass die Investition eine reale Wirtschaftstätigkeit finanziert – und keine bloße </w:t>
      </w:r>
      <w:r>
        <w:lastRenderedPageBreak/>
        <w:t>Briefkastenkonstruktion, mit der jemand vor allem den eigenen Aufenthaltsstatus kauft.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8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184" w14:textId="77777777" w:rsidR="00C1548D" w:rsidRDefault="009B1B4B">
            <w:pPr>
              <w:keepNext/>
              <w:spacing w:after="70" w:line="240" w:lineRule="auto"/>
            </w:pPr>
            <w:r>
              <w:rPr>
                <w:b/>
                <w:bCs/>
                <w:color w:val="8A6212"/>
                <w:spacing w:val="24"/>
                <w:sz w:val="16"/>
                <w:szCs w:val="16"/>
              </w:rPr>
              <w:t>MERKE</w:t>
            </w:r>
          </w:p>
          <w:p w14:paraId="70A50185" w14:textId="77777777" w:rsidR="00C1548D" w:rsidRDefault="009B1B4B">
            <w:pPr>
              <w:spacing w:after="80" w:line="264" w:lineRule="auto"/>
            </w:pPr>
            <w:r>
              <w:rPr>
                <w:sz w:val="20"/>
                <w:szCs w:val="20"/>
              </w:rPr>
              <w:t>Kläre früh, ob dein Vorhaben zum Active Investor Plus Visa (reine Kapitalanlage, kein eigener operativer Aufwand nötig) oder zum Business Investor Work Visa (aktive Unternehmensführung mit Mindestbeschäftigung) passt. Beide Kategorien sprechen völlig unterschiedliche Profile an, und eine Verwechslung kostet im Zweifel eine teure Fehlplanung.</w:t>
            </w:r>
          </w:p>
        </w:tc>
      </w:tr>
    </w:tbl>
    <w:p w14:paraId="70A50187" w14:textId="77777777" w:rsidR="00C1548D" w:rsidRDefault="00C1548D">
      <w:pPr>
        <w:spacing w:line="220" w:lineRule="exact"/>
      </w:pPr>
    </w:p>
    <w:p w14:paraId="70A50188" w14:textId="77777777" w:rsidR="00C1548D" w:rsidRDefault="009B1B4B">
      <w:pPr>
        <w:spacing w:after="140"/>
      </w:pPr>
      <w:r>
        <w:t>Bei den Kosten wird die Quellenlage unübersichtlich, und das sollte hier offen benannt werden: Eine spezialisierte Kanzleiquelle nennt für das Business Investor Work Visa eine Gesamtgebühr von 12.380 NZD, während die offizielle INZ-Gebührentabelle (Fees Guide, Ausgabe Mai 2026) die Residence-Komponente „Business Investor Category“ mit 11.320 NZD Antrag plus 3.570 NZD Levy und die temporäre Work-Visa-Komponente mit 11.320 NZD Antrag plus 1.060 NZD Levy getrennt aufführt. Beide Angaben lassen sich nicht saube</w:t>
      </w:r>
      <w:r>
        <w:t>r zur Deckung bringen; möglicherweise beruht die Kanzleisumme auf einer anderen Kombination aus Antrag, Levy und Nebenkosten.</w:t>
      </w:r>
    </w:p>
    <w:p w14:paraId="70A50189" w14:textId="77777777" w:rsidR="00C1548D" w:rsidRDefault="009B1B4B">
      <w:pPr>
        <w:spacing w:after="140"/>
      </w:pPr>
      <w:r>
        <w:t xml:space="preserve">Noch verwirrender: Dieselbe Gebührentabelle vom Mai 2026 führt weiterhin zwei separate Zeilen für die eigentlich abgeschaffte alte Kategorie – „Entrepreneur Residence Category“ (11.320 NZD plus 3.570 NZD Levy) und „Entrepreneur Work Visa“ (11.320 NZD plus 1.060 NZD Levy) –, obwohl der offizielle INZ-Newsroom-Text von einer Schließung dieser Kategorie zum 27. August 2025 spricht. Ob diese Zeilen nur für laufende Übergangsfälle gedacht sind oder schlicht ein redaktioneller Rückstand im Gebührendokument sind, </w:t>
      </w:r>
      <w:r>
        <w:t>ließ sich nicht klären.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8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18A" w14:textId="77777777" w:rsidR="00C1548D" w:rsidRDefault="009B1B4B">
            <w:pPr>
              <w:keepNext/>
              <w:spacing w:after="70" w:line="240" w:lineRule="auto"/>
            </w:pPr>
            <w:r>
              <w:rPr>
                <w:b/>
                <w:bCs/>
                <w:color w:val="9B2C2C"/>
                <w:spacing w:val="24"/>
                <w:sz w:val="16"/>
                <w:szCs w:val="16"/>
              </w:rPr>
              <w:lastRenderedPageBreak/>
              <w:t>ACHTUNG</w:t>
            </w:r>
          </w:p>
          <w:p w14:paraId="70A5018B" w14:textId="77777777" w:rsidR="00C1548D" w:rsidRDefault="009B1B4B">
            <w:pPr>
              <w:spacing w:after="80" w:line="264" w:lineRule="auto"/>
            </w:pPr>
            <w:r>
              <w:rPr>
                <w:sz w:val="20"/>
                <w:szCs w:val="20"/>
              </w:rPr>
              <w:t>Die Fachliteratur zur alten Entrepreneur Work Visa widerspricht sich in diesem Punkt selbst –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beziehungsweise einem registrierten Einwanderungsberater erfragen, bevor Kapital gebunden oder eine G</w:t>
            </w:r>
            <w:r>
              <w:rPr>
                <w:sz w:val="20"/>
                <w:szCs w:val="20"/>
              </w:rPr>
              <w:t>ebühr gezahlt wird. Verlasse dich hier nicht auf eine einzelne Quelle, auch nicht auf dieses Kapitel.</w:t>
            </w:r>
          </w:p>
        </w:tc>
      </w:tr>
    </w:tbl>
    <w:p w14:paraId="70A5018D" w14:textId="77777777" w:rsidR="00C1548D" w:rsidRDefault="00C1548D">
      <w:pPr>
        <w:spacing w:line="220" w:lineRule="exact"/>
      </w:pPr>
    </w:p>
    <w:p w14:paraId="70A5018E" w14:textId="77777777" w:rsidR="00C1548D" w:rsidRDefault="009B1B4B">
      <w:pPr>
        <w:pStyle w:val="Heading3"/>
        <w:keepNext/>
        <w:jc w:val="center"/>
      </w:pPr>
      <w:r>
        <w:rPr>
          <w:rFonts w:ascii="Amazon Ember" w:eastAsia="Amazon Ember" w:hAnsi="Amazon Ember" w:cs="Amazon Ember"/>
          <w:color w:val="0000FF"/>
          <w:sz w:val="36"/>
          <w:szCs w:val="36"/>
        </w:rPr>
        <w:t>Ruhestand ohne Job: Neuseelands Sonderweg</w:t>
      </w:r>
    </w:p>
    <w:p w14:paraId="70A5018F" w14:textId="77777777" w:rsidR="00C1548D" w:rsidRDefault="009B1B4B">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w14:paraId="70A50190" w14:textId="77777777" w:rsidR="00C1548D" w:rsidRDefault="009B1B4B">
      <w:pPr>
        <w:spacing w:after="140"/>
      </w:pPr>
      <w:r>
        <w:t xml:space="preserve">Der reguläre Familienweg, die </w:t>
      </w:r>
      <w:r>
        <w:rPr>
          <w:i/>
          <w:iCs/>
        </w:rPr>
        <w:t>Parent Category</w:t>
      </w:r>
      <w:r>
        <w:t>, bleibt an ein Kind mit neuseeländischer Staatsbürgerschaft oder Aufenthaltstitel vor Ort gebunden. Das jährliche Kontingent liegt bei 2.500 Parent Resident Visa pro Finanzjahr; die nächste reguläre Auswahlrunde unter dem noch laufenden System ist für den 11. August 2026 angesetzt. Zum 5. Oktober 2026 wechselt das Verfahren auf ein Hybridmodell: Rund 90 % der Interessensbekundungen werden künftig nach Eingangsdatum („first-in-first-served“) ausgewählt, die übrigen rund 10 % per Losverfahren; die erste Rund</w:t>
      </w:r>
      <w:r>
        <w:t xml:space="preserve">e unter diesem neuen Modell folgt am 10. November 2026, bestehende Interessensbekundungen werden automatisch übernommen. Eine befristete Alternative ohne Daueraufenthaltsperspektive ist der </w:t>
      </w:r>
      <w:r>
        <w:rPr>
          <w:i/>
          <w:iCs/>
        </w:rPr>
        <w:lastRenderedPageBreak/>
        <w:t>Parent Boost Visitor Visa</w:t>
      </w:r>
      <w:r>
        <w:t>, ein Mehrfacheinreise-Besuchervisum für Eltern neuseeländischer Bürgerinnen, Bürger oder Residents mit Aufenthalten bis zu fünf Jahren am Stück und einer zweiten Ausstellung auf kumulativ bis zu zehn Jahre – aber eben kein Weg zur Residency. Für Anträge ab dem 30. April 2026 gelten neue, an den Medianlohn gekoppelte Einkommensschwellen für Sponsor und Antragstellerin oder Antragsteller.</w:t>
      </w:r>
    </w:p>
    <w:p w14:paraId="70A50191" w14:textId="77777777" w:rsidR="00C1548D" w:rsidRDefault="009B1B4B">
      <w:pPr>
        <w:spacing w:after="140"/>
      </w:pPr>
      <w:r>
        <w:t xml:space="preserve">Der eigentlich interessante Weg für kinderlose Ruheständler oder für Paare ohne Kind in Neuseeland ist der </w:t>
      </w:r>
      <w:r>
        <w:rPr>
          <w:b/>
          <w:bCs/>
        </w:rPr>
        <w:t>*Temporary Retirement Visitor Visa</w:t>
      </w:r>
      <w:r>
        <w:t>*. Er verlangt kein dort lebendes Kind – die einzige derart kindunabhängige Lösung unter den vier Ländern dieses Buches. Die Bedingungen sind allerdings hoch angesetzt: Mindestalter 66 Jahre, eine Investitionssumme von 750.000 NZD, die für mindestens zwei Jahre in Neuseeland angelegt bleiben muss, zusätzlich vorzuhaltende liquide Mittel von 500.000 NZD für den Lebensunterhalt sowie ein Jahreseinkommen von mindestens 60.000 NZD. Das Visum selbst gilt für bis zu zwei Jahre; danach ist eine erneute Antragstell</w:t>
      </w:r>
      <w:r>
        <w:t xml:space="preserve">ung beziehungsweise Verlängerung möglich, solange die Bedingungen weiter erfüllt sind. Entscheidend zu wissen: Dieses Visum führt </w:t>
      </w:r>
      <w:r>
        <w:rPr>
          <w:b/>
          <w:bCs/>
        </w:rPr>
        <w:t>nicht automatisch</w:t>
      </w:r>
      <w:r>
        <w:t xml:space="preserve"> zu einem Daueraufenthaltsrecht. Die Antragskosten liegen ab 7.891 NZD, die Bearbeitung läuft nach INZ-Angaben zu 80 % innerhalb von vier Wochen ab.</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9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192" w14:textId="77777777" w:rsidR="00C1548D" w:rsidRDefault="009B1B4B">
            <w:pPr>
              <w:keepNext/>
              <w:spacing w:after="70" w:line="240" w:lineRule="auto"/>
            </w:pPr>
            <w:r>
              <w:rPr>
                <w:b/>
                <w:bCs/>
                <w:color w:val="9B2C2C"/>
                <w:spacing w:val="24"/>
                <w:sz w:val="16"/>
                <w:szCs w:val="16"/>
              </w:rPr>
              <w:t>ACHTUNG</w:t>
            </w:r>
          </w:p>
          <w:p w14:paraId="70A50193" w14:textId="77777777" w:rsidR="00C1548D" w:rsidRDefault="009B1B4B">
            <w:pPr>
              <w:spacing w:after="80" w:line="264" w:lineRule="auto"/>
            </w:pPr>
            <w:r>
              <w:rPr>
                <w:sz w:val="20"/>
                <w:szCs w:val="20"/>
              </w:rPr>
              <w:t>Eine durchschnittliche deutsche gesetzliche Rente allein reicht für die geforderten 60.000 NZD Jahreseinkommen in aller Regel nicht aus. Wer diesen Weg ernsthaft plant, braucht zusätzliches Einkommen aus Kapitalanlagen, einer Betriebsrente, Vermietung oder ähnlichen Quellen – und sollte diese Einkommensnachweise frühzeitig und lückenlos dokumentieren, bevor ein Antrag gestellt wird.</w:t>
            </w:r>
          </w:p>
        </w:tc>
      </w:tr>
    </w:tbl>
    <w:p w14:paraId="70A50195" w14:textId="77777777" w:rsidR="00C1548D" w:rsidRDefault="00C1548D">
      <w:pPr>
        <w:spacing w:line="220" w:lineRule="exact"/>
      </w:pPr>
    </w:p>
    <w:p w14:paraId="70A50196" w14:textId="77777777" w:rsidR="00C1548D" w:rsidRDefault="009B1B4B">
      <w:pPr>
        <w:spacing w:after="140"/>
      </w:pPr>
      <w:r>
        <w:t xml:space="preserve">Realistisch angesprochen sind mit diesem Visum also weniger Menschen mit „nur“ solider gesetzlicher Rente, sondern eher ehemalige Selbstständige oder Unternehmerinnen und Unternehmer </w:t>
      </w:r>
      <w:r>
        <w:lastRenderedPageBreak/>
        <w:t>nach einem Firmenverkauf, gut situierte Ruheständler mit vermietetem Immobilienbesitz in Deutschland oder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 ein zu früher Verkauf bindet Kapital unnötig lange in Neuseeland, ein zu später verzögert den ganzen Umzug. Wie</w:t>
      </w:r>
      <w:r>
        <w:t xml:space="preserve"> sich ein solcher Vermögenstransfer steuerlich auf der deutschen Seite auswirkt, behandelt das Kapitel zu Steuern, Rente und Geld im Universal-Teil dieses Buches.</w:t>
      </w:r>
    </w:p>
    <w:p w14:paraId="70A50197" w14:textId="77777777" w:rsidR="00C1548D" w:rsidRDefault="009B1B4B">
      <w:pPr>
        <w:spacing w:after="140"/>
      </w:pPr>
      <w:r>
        <w:t xml:space="preserve">Wer ein erwachsenes Kind mit neuseeländischer Staatsbürgerschaft oder Residency vor Ort hat und stattdessen direkt einen Daueraufenthalt anstrebt, findet im </w:t>
      </w:r>
      <w:r>
        <w:rPr>
          <w:i/>
          <w:iCs/>
        </w:rPr>
        <w:t>Parent Retirement Resident Visa</w:t>
      </w:r>
      <w:r>
        <w:t xml:space="preserve">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w:t>
      </w:r>
      <w:r>
        <w:t>altsrecht –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eine Diskrepanz, die sich nicht abschließend klären ließ und die du bei der Zeitplanung als Unsicherheit einkalkulieren solltest. Nach der Grundsatzgenehmigung bleiben genau zwölf Monate, um das Kapital</w:t>
      </w:r>
      <w:r>
        <w:t xml:space="preserve"> tatsächlich nach Neuseeland zu überweisen – eine Verlängerung dieser Frist ist nicht vorgesehen. Die Antragskosten beginnen bei 12.850 NZD.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9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198" w14:textId="77777777" w:rsidR="00C1548D" w:rsidRDefault="009B1B4B">
            <w:pPr>
              <w:keepNext/>
              <w:spacing w:after="70" w:line="240" w:lineRule="auto"/>
            </w:pPr>
            <w:r>
              <w:rPr>
                <w:b/>
                <w:bCs/>
                <w:color w:val="8A6212"/>
                <w:spacing w:val="24"/>
                <w:sz w:val="16"/>
                <w:szCs w:val="16"/>
              </w:rPr>
              <w:lastRenderedPageBreak/>
              <w:t>MERKE</w:t>
            </w:r>
          </w:p>
          <w:p w14:paraId="70A50199" w14:textId="77777777" w:rsidR="00C1548D" w:rsidRDefault="009B1B4B">
            <w:pPr>
              <w:spacing w:after="80" w:line="264" w:lineRule="auto"/>
            </w:pPr>
            <w:r>
              <w:rPr>
                <w:sz w:val="20"/>
                <w:szCs w:val="20"/>
              </w:rPr>
              <w:t>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tc>
      </w:tr>
    </w:tbl>
    <w:p w14:paraId="70A5019B" w14:textId="77777777" w:rsidR="00C1548D" w:rsidRDefault="00C1548D">
      <w:pPr>
        <w:spacing w:line="220" w:lineRule="exact"/>
      </w:pPr>
    </w:p>
    <w:p w14:paraId="70A5019C" w14:textId="01D86BBA" w:rsidR="00C1548D" w:rsidRDefault="009B1B4B">
      <w:pPr>
        <w:spacing w:after="140"/>
      </w:pPr>
      <w:r>
        <w:t xml:space="preserve">Ein Punkt für die langfristige Finanzplanung, der in der ersten Begeisterung über einen erfolgreichen Antrag leicht untergeht: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 wohl aber für die Fina</w:t>
      </w:r>
      <w:r>
        <w:t xml:space="preserve">nzplanung nach einer eventuellen späteren Einbürgerung, die das </w:t>
      </w:r>
      <w:hyperlink w:anchor="tnz16" w:history="1">
        <w:r>
          <w:rPr>
            <w:color w:val="0563C1"/>
            <w:u w:val="single"/>
          </w:rPr>
          <w:t>Kapitel zur Staatsbürgerschaft und Steuerresidenz in diesem Teil</w:t>
        </w:r>
      </w:hyperlink>
      <w:r>
        <w:t xml:space="preserve"> behandelt.</w:t>
      </w:r>
    </w:p>
    <w:p w14:paraId="70A5019D" w14:textId="0D2D0C2D" w:rsidR="00C1548D" w:rsidRDefault="009B1B4B">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und fachärztliche Behandlung kommen mit weiteren 40 bis 80 NZD im Monat hinzu. Das ausführliche </w:t>
      </w:r>
      <w:hyperlink w:anchor="tnz08" w:history="1">
        <w:r>
          <w:rPr>
            <w:color w:val="0563C1"/>
            <w:u w:val="single"/>
          </w:rPr>
          <w:t>Gesundheitssystem-Kapitel in diesem Teil</w:t>
        </w:r>
      </w:hyperlink>
      <w:r>
        <w:t xml:space="preserve"> geht auf die </w:t>
      </w:r>
      <w:r>
        <w:lastRenderedPageBreak/>
        <w:t>Unterschiede zur deutschen gesetzlichen Krankenversicherung näher ein.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A0"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19E" w14:textId="77777777" w:rsidR="00C1548D" w:rsidRDefault="009B1B4B">
            <w:pPr>
              <w:keepNext/>
              <w:spacing w:after="70" w:line="240" w:lineRule="auto"/>
            </w:pPr>
            <w:r>
              <w:rPr>
                <w:b/>
                <w:bCs/>
                <w:color w:val="6B7280"/>
                <w:spacing w:val="24"/>
                <w:sz w:val="16"/>
                <w:szCs w:val="16"/>
              </w:rPr>
              <w:t>KEIN RECHTSRAT</w:t>
            </w:r>
          </w:p>
          <w:p w14:paraId="70A5019F" w14:textId="77777777" w:rsidR="00C1548D" w:rsidRDefault="009B1B4B">
            <w:pPr>
              <w:spacing w:after="80" w:line="264" w:lineRule="auto"/>
            </w:pPr>
            <w:r>
              <w:rPr>
                <w:sz w:val="20"/>
                <w:szCs w:val="20"/>
              </w:rPr>
              <w:t xml:space="preserve">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Policy auf die eigene Rente lohnt sich eine individuelle Prüfung, bevor du Kapital bindest </w:t>
            </w:r>
            <w:r>
              <w:rPr>
                <w:sz w:val="20"/>
                <w:szCs w:val="20"/>
              </w:rPr>
              <w:t>oder Anträge einreichst.</w:t>
            </w:r>
          </w:p>
        </w:tc>
      </w:tr>
    </w:tbl>
    <w:p w14:paraId="70A501A1" w14:textId="77777777" w:rsidR="00C1548D" w:rsidRDefault="00C1548D">
      <w:pPr>
        <w:spacing w:line="220" w:lineRule="exact"/>
      </w:pPr>
    </w:p>
    <w:p w14:paraId="70A501A2"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1A5"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1A3"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1A4" w14:textId="77777777" w:rsidR="00C1548D" w:rsidRDefault="009B1B4B">
            <w:pPr>
              <w:spacing w:line="250" w:lineRule="auto"/>
            </w:pPr>
            <w:r>
              <w:rPr>
                <w:b/>
                <w:bCs/>
                <w:sz w:val="18"/>
                <w:szCs w:val="18"/>
              </w:rPr>
              <w:t>Minus</w:t>
            </w:r>
          </w:p>
        </w:tc>
      </w:tr>
      <w:tr w:rsidR="00C1548D" w14:paraId="70A501A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A6" w14:textId="77777777" w:rsidR="00C1548D" w:rsidRDefault="009B1B4B">
            <w:pPr>
              <w:spacing w:line="250" w:lineRule="auto"/>
            </w:pPr>
            <w:r>
              <w:rPr>
                <w:sz w:val="18"/>
                <w:szCs w:val="18"/>
              </w:rPr>
              <w:t>Partnervisum verlangt kein Mindesteinkommen des Sponsors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A7" w14:textId="77777777" w:rsidR="00C1548D" w:rsidRDefault="009B1B4B">
            <w:pPr>
              <w:spacing w:line="250" w:lineRule="auto"/>
            </w:pPr>
            <w:r>
              <w:rPr>
                <w:sz w:val="18"/>
                <w:szCs w:val="18"/>
              </w:rPr>
              <w:t>Bearbeitung dauert dennoch rund sechs Monate</w:t>
            </w:r>
          </w:p>
        </w:tc>
      </w:tr>
      <w:tr w:rsidR="00C1548D" w14:paraId="70A501A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A9" w14:textId="77777777" w:rsidR="00C1548D" w:rsidRDefault="009B1B4B">
            <w:pPr>
              <w:spacing w:line="250" w:lineRule="auto"/>
            </w:pPr>
            <w:r>
              <w:rPr>
                <w:sz w:val="18"/>
                <w:szCs w:val="18"/>
              </w:rPr>
              <w:t>Business Investor Work Visa bietet zwei Investitionswege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AA" w14:textId="77777777" w:rsidR="00C1548D" w:rsidRDefault="009B1B4B">
            <w:pPr>
              <w:spacing w:line="250" w:lineRule="auto"/>
            </w:pPr>
            <w:r>
              <w:rPr>
                <w:sz w:val="18"/>
                <w:szCs w:val="18"/>
              </w:rPr>
              <w:t>Quellenlage zur alten Entrepreneur-Kategorie widersprüchlich</w:t>
            </w:r>
          </w:p>
        </w:tc>
      </w:tr>
      <w:tr w:rsidR="00C1548D" w14:paraId="70A501A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AC" w14:textId="77777777" w:rsidR="00C1548D" w:rsidRDefault="009B1B4B">
            <w:pPr>
              <w:spacing w:line="250" w:lineRule="auto"/>
            </w:pPr>
            <w:r>
              <w:rPr>
                <w:sz w:val="18"/>
                <w:szCs w:val="18"/>
              </w:rPr>
              <w:t>Einziges Land der vier mit kindunabhängigem Ruhestandsweg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AD" w14:textId="77777777" w:rsidR="00C1548D" w:rsidRDefault="009B1B4B">
            <w:pPr>
              <w:spacing w:line="250" w:lineRule="auto"/>
            </w:pPr>
            <w:r>
              <w:rPr>
                <w:sz w:val="18"/>
                <w:szCs w:val="18"/>
              </w:rPr>
              <w:t>Temporary Retirement Visitor Visa bleibt nur zwei Jahre befristet</w:t>
            </w:r>
          </w:p>
        </w:tc>
      </w:tr>
      <w:tr w:rsidR="00C1548D" w14:paraId="70A501B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AF" w14:textId="77777777" w:rsidR="00C1548D" w:rsidRDefault="009B1B4B">
            <w:pPr>
              <w:spacing w:line="250" w:lineRule="auto"/>
            </w:pPr>
            <w:r>
              <w:rPr>
                <w:sz w:val="18"/>
                <w:szCs w:val="18"/>
              </w:rPr>
              <w:t>Parent Retirement Resident Visa führt zu echtem Daueraufenthalt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B0" w14:textId="77777777" w:rsidR="00C1548D" w:rsidRDefault="009B1B4B">
            <w:pPr>
              <w:spacing w:line="250" w:lineRule="auto"/>
            </w:pPr>
            <w:r>
              <w:rPr>
                <w:sz w:val="18"/>
                <w:szCs w:val="18"/>
              </w:rPr>
              <w:t>Dafür zwingend ein Kind vor Ort nötig, plus 1 Million NZD Investition</w:t>
            </w:r>
          </w:p>
        </w:tc>
      </w:tr>
      <w:tr w:rsidR="00C1548D" w14:paraId="70A501B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B2" w14:textId="77777777" w:rsidR="00C1548D" w:rsidRDefault="009B1B4B">
            <w:pPr>
              <w:spacing w:line="250" w:lineRule="auto"/>
            </w:pPr>
            <w:r>
              <w:rPr>
                <w:sz w:val="18"/>
                <w:szCs w:val="18"/>
              </w:rPr>
              <w:t>Deutsche Rente wird bei NZ Super teilweise angerechnet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B3" w14:textId="77777777" w:rsidR="00C1548D" w:rsidRDefault="009B1B4B">
            <w:pPr>
              <w:spacing w:line="250" w:lineRule="auto"/>
            </w:pPr>
            <w:r>
              <w:rPr>
                <w:sz w:val="18"/>
                <w:szCs w:val="18"/>
              </w:rPr>
              <w:t>Direct Deduction Policy kürzt die NZ Super Dollar für Dollar</w:t>
            </w:r>
          </w:p>
        </w:tc>
      </w:tr>
    </w:tbl>
    <w:p w14:paraId="70A501B5" w14:textId="77777777" w:rsidR="00C1548D" w:rsidRDefault="00C1548D">
      <w:pPr>
        <w:spacing w:line="180" w:lineRule="exact"/>
      </w:pPr>
    </w:p>
    <w:p w14:paraId="70A501B6"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1B7" w14:textId="626247A4" w:rsidR="00C1548D" w:rsidRDefault="009B1B4B">
      <w:pPr>
        <w:spacing w:after="140"/>
      </w:pPr>
      <w:r>
        <w:t xml:space="preserve">Kläre zuerst, welcher Fall auf deine Situation zutrifft: Partnerschaft mit Nachzug, Investitionskapital für ein Unternehmerprofil oder Ruhestand ohne Job – und im letzten Fall, ob ein Kind mit neuseeländischem Status vor Ort lebt oder nicht. Bei einem Partnervisum solltest du frühzeitig Nachweise der Beziehung (gemeinsame Fotos, Mietverträge, Kontoauszüge, Reisebelege) sammeln, da die Bearbeitung Monate dauert. Wer ein Investoren- </w:t>
      </w:r>
      <w:r>
        <w:lastRenderedPageBreak/>
        <w:t>oder Unternehmervisum erwägt, sollte den aktuellen Status der jeweiligen Kategorie direkt bei Immigration New Zealand oder einer registrierten Fachperson erfragen, bevor Kapital gebunden wird – die widersprüchliche Quellenlage zur alten Entrepreneur-Kategorie zeigt, wie schnell sich hier etwas ändert. Für einen geplanten Ruhestand ohne Job rechne frühzeitig durch, ob dein Jahreseinkommen die Schwelle von 60.000 NZD erreicht, und hole dir eine erste Einschätzung, ob der Temporary Retirement Visitor Visa oder</w:t>
      </w:r>
      <w:r>
        <w:t xml:space="preserve">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w:t>
      </w:r>
      <w:r>
        <w:t xml:space="preserve">spätere Altersvorsorge, bevor du dich auf einen der beiden Wege festlegst. Die Kosten und Fristen für die Antragstellung selbst behandelt das </w:t>
      </w:r>
      <w:hyperlink w:anchor="tnz05" w:history="1">
        <w:r>
          <w:rPr>
            <w:color w:val="0563C1"/>
            <w:u w:val="single"/>
          </w:rPr>
          <w:t>Kapitel zu Antrag, Konsulat und Bearbeitungszeit in diesem Teil</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C1"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1B8" w14:textId="77777777" w:rsidR="00C1548D" w:rsidRDefault="009B1B4B">
            <w:pPr>
              <w:keepNext/>
              <w:spacing w:after="70" w:line="240" w:lineRule="auto"/>
            </w:pPr>
            <w:r>
              <w:rPr>
                <w:b/>
                <w:bCs/>
                <w:color w:val="1F6F78"/>
                <w:spacing w:val="24"/>
                <w:sz w:val="16"/>
                <w:szCs w:val="16"/>
              </w:rPr>
              <w:lastRenderedPageBreak/>
              <w:t>CHECKLISTE</w:t>
            </w:r>
          </w:p>
          <w:p w14:paraId="70A501B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Zutreffenden Fall klären: Partnerschaft, Investition oder Ruhestand ohne Job</w:t>
            </w:r>
          </w:p>
          <w:p w14:paraId="70A501B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Partnervisum: Nachweise der Beziehung frühzeitig sammeln</w:t>
            </w:r>
          </w:p>
          <w:p w14:paraId="70A501B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Investorenvisa: aktuellen Status direkt bei INZ oder Fachperson erfragen</w:t>
            </w:r>
          </w:p>
          <w:p w14:paraId="70A501B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Ruhestandsplänen: prüfen, ob ein Kind mit neuseeländischem Status vor Ort lebt</w:t>
            </w:r>
          </w:p>
          <w:p w14:paraId="70A501B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Jahreseinkommen von mindestens 60.000 NZD realistisch nachweisen können</w:t>
            </w:r>
          </w:p>
          <w:p w14:paraId="70A501B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Investitionssumme (750.000 NZD bzw. 1 Million NZD) und Liquiditätsanforderung klären</w:t>
            </w:r>
          </w:p>
          <w:p w14:paraId="70A501B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Langfristige Wirkung der Direct Deduction Policy auf die eigene Rente einkalkulieren</w:t>
            </w:r>
          </w:p>
          <w:p w14:paraId="70A501C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Regelmäßig auf immigration.govt.nz prüfen, ob sich Schwellen oder Kategorien geändert haben</w:t>
            </w:r>
          </w:p>
        </w:tc>
      </w:tr>
    </w:tbl>
    <w:p w14:paraId="70A501C2" w14:textId="77777777" w:rsidR="00C1548D" w:rsidRDefault="00C1548D">
      <w:pPr>
        <w:spacing w:line="220" w:lineRule="exact"/>
      </w:pPr>
    </w:p>
    <w:p w14:paraId="70A501C3"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1C4" w14:textId="4FDF2B5B" w:rsidR="00C1548D" w:rsidRDefault="009B1B4B" w:rsidP="009B1B4B">
      <w:pPr>
        <w:pStyle w:val="ListParagraph"/>
        <w:numPr>
          <w:ilvl w:val="0"/>
          <w:numId w:val="1"/>
        </w:numPr>
        <w:spacing w:after="60"/>
      </w:pPr>
      <w:r>
        <w:t>Immigration New Zealand — Partner of a New Zealander Resident Visa (</w:t>
      </w:r>
      <w:hyperlink r:id="rId616" w:history="1">
        <w:r>
          <w:rPr>
            <w:color w:val="0563C1"/>
            <w:u w:val="single"/>
          </w:rPr>
          <w:t>immigration.govt.nz/new-zealand-visas/visas/visa/partner-of-a-new-zealander-resident-visa</w:t>
        </w:r>
      </w:hyperlink>
      <w:r>
        <w:t>)</w:t>
      </w:r>
    </w:p>
    <w:p w14:paraId="70A501C5" w14:textId="72B7BAFF" w:rsidR="00C1548D" w:rsidRDefault="009B1B4B" w:rsidP="009B1B4B">
      <w:pPr>
        <w:pStyle w:val="ListParagraph"/>
        <w:numPr>
          <w:ilvl w:val="0"/>
          <w:numId w:val="1"/>
        </w:numPr>
        <w:spacing w:after="60"/>
      </w:pPr>
      <w:r>
        <w:t>Immigration New Zealand — Fees Guide INZ 1028, Ausgabe Mai 2026 (</w:t>
      </w:r>
      <w:hyperlink r:id="rId617" w:history="1">
        <w:r>
          <w:rPr>
            <w:color w:val="0563C1"/>
            <w:u w:val="single"/>
          </w:rPr>
          <w:t>immigration.govt.nz/assets/inz/documents/forms-and-guides/Fees-Guide-INZ-1028.pdf</w:t>
        </w:r>
      </w:hyperlink>
      <w:r>
        <w:t>)</w:t>
      </w:r>
    </w:p>
    <w:p w14:paraId="70A501C6" w14:textId="11B544FF" w:rsidR="00C1548D" w:rsidRDefault="009B1B4B" w:rsidP="009B1B4B">
      <w:pPr>
        <w:pStyle w:val="ListParagraph"/>
        <w:numPr>
          <w:ilvl w:val="0"/>
          <w:numId w:val="1"/>
        </w:numPr>
        <w:spacing w:after="60"/>
      </w:pPr>
      <w:r>
        <w:t>Immigration New Zealand — Newsroom: Entrepreneur category closes, Business Investor Visa offers new immigration options (</w:t>
      </w:r>
      <w:hyperlink r:id="rId618" w:history="1">
        <w:r>
          <w:rPr>
            <w:color w:val="0563C1"/>
            <w:u w:val="single"/>
          </w:rPr>
          <w:t>immigration.govt.nz/about-us/news-centre</w:t>
        </w:r>
      </w:hyperlink>
      <w:r>
        <w:t>)</w:t>
      </w:r>
    </w:p>
    <w:p w14:paraId="70A501C7" w14:textId="02372BAF" w:rsidR="00C1548D" w:rsidRDefault="009B1B4B" w:rsidP="009B1B4B">
      <w:pPr>
        <w:pStyle w:val="ListParagraph"/>
        <w:numPr>
          <w:ilvl w:val="0"/>
          <w:numId w:val="1"/>
        </w:numPr>
        <w:spacing w:after="60"/>
      </w:pPr>
      <w:r>
        <w:t>Immigration New Zealand — Investor Category / Active Investor Plus (</w:t>
      </w:r>
      <w:hyperlink r:id="rId619" w:history="1">
        <w:r>
          <w:rPr>
            <w:color w:val="0563C1"/>
            <w:u w:val="single"/>
          </w:rPr>
          <w:t>immigration.govt.nz/new-zealand-visas/visas/visa/active-investor-plus-visa</w:t>
        </w:r>
      </w:hyperlink>
      <w:r>
        <w:t>)</w:t>
      </w:r>
    </w:p>
    <w:p w14:paraId="70A501C8" w14:textId="4DC3D123" w:rsidR="00C1548D" w:rsidRDefault="009B1B4B" w:rsidP="009B1B4B">
      <w:pPr>
        <w:pStyle w:val="ListParagraph"/>
        <w:numPr>
          <w:ilvl w:val="0"/>
          <w:numId w:val="1"/>
        </w:numPr>
        <w:spacing w:after="60"/>
      </w:pPr>
      <w:r>
        <w:lastRenderedPageBreak/>
        <w:t>Immigration New Zealand — Parent Category und Parent Boost Visitor Visa (</w:t>
      </w:r>
      <w:hyperlink r:id="rId620" w:history="1">
        <w:r>
          <w:rPr>
            <w:color w:val="0563C1"/>
            <w:u w:val="single"/>
          </w:rPr>
          <w:t>immigration.govt.nz/new-zealand-visas/visas/visa/parent-resident-visa</w:t>
        </w:r>
      </w:hyperlink>
      <w:r>
        <w:t>)</w:t>
      </w:r>
    </w:p>
    <w:p w14:paraId="70A501C9" w14:textId="2ECF9014" w:rsidR="00C1548D" w:rsidRDefault="009B1B4B" w:rsidP="009B1B4B">
      <w:pPr>
        <w:pStyle w:val="ListParagraph"/>
        <w:numPr>
          <w:ilvl w:val="0"/>
          <w:numId w:val="1"/>
        </w:numPr>
        <w:spacing w:after="60"/>
      </w:pPr>
      <w:r>
        <w:t>Work and Income New Zealand — New Zealand Superannuation, Direct Deduction Policy (</w:t>
      </w:r>
      <w:hyperlink r:id="rId621" w:history="1">
        <w:r>
          <w:rPr>
            <w:color w:val="0563C1"/>
            <w:u w:val="single"/>
          </w:rPr>
          <w:t>workandincome.govt.nz</w:t>
        </w:r>
      </w:hyperlink>
      <w:r>
        <w:t>)</w:t>
      </w:r>
    </w:p>
    <w:p w14:paraId="70A501CA"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CD"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1CB" w14:textId="77777777" w:rsidR="00C1548D" w:rsidRDefault="009B1B4B">
            <w:pPr>
              <w:keepNext/>
              <w:spacing w:after="70" w:line="240" w:lineRule="auto"/>
            </w:pPr>
            <w:r>
              <w:rPr>
                <w:b/>
                <w:bCs/>
                <w:color w:val="6B7280"/>
                <w:spacing w:val="24"/>
                <w:sz w:val="16"/>
                <w:szCs w:val="16"/>
              </w:rPr>
              <w:t>STAND</w:t>
            </w:r>
          </w:p>
          <w:p w14:paraId="70A501CC" w14:textId="77777777" w:rsidR="00C1548D" w:rsidRDefault="009B1B4B">
            <w:pPr>
              <w:spacing w:after="80" w:line="264" w:lineRule="auto"/>
            </w:pPr>
            <w:r>
              <w:rPr>
                <w:sz w:val="20"/>
                <w:szCs w:val="20"/>
              </w:rPr>
              <w:t>23.09.2026. Diese Angaben ändern sich besonders schnell: der Status der ehemaligen Entrepreneur-Kategorie, die Auswahlverfahren der Parent Category ab Oktober/November 2026, Einkommensschwellen und Gebühren. Prüfe vor jeder Entscheidung die aktuellen Angaben auf immigration.govt.nz.</w:t>
            </w:r>
          </w:p>
        </w:tc>
      </w:tr>
    </w:tbl>
    <w:p w14:paraId="70A501CE" w14:textId="77777777" w:rsidR="00C1548D" w:rsidRDefault="00C1548D">
      <w:pPr>
        <w:spacing w:line="220" w:lineRule="exact"/>
      </w:pPr>
    </w:p>
    <w:p w14:paraId="70A501CF" w14:textId="77777777" w:rsidR="00C1548D" w:rsidRDefault="009B1B4B">
      <w:pPr>
        <w:pStyle w:val="Heading2"/>
        <w:keepNext/>
        <w:pageBreakBefore/>
        <w:jc w:val="center"/>
      </w:pPr>
      <w:bookmarkStart w:id="176" w:name="tnz05"/>
      <w:bookmarkStart w:id="177" w:name="_Toc241352540"/>
      <w:r>
        <w:rPr>
          <w:rFonts w:ascii="Amazon Ember" w:eastAsia="Amazon Ember" w:hAnsi="Amazon Ember" w:cs="Amazon Ember"/>
          <w:color w:val="0000FF"/>
          <w:sz w:val="36"/>
          <w:szCs w:val="36"/>
        </w:rPr>
        <w:lastRenderedPageBreak/>
        <w:t>Neuseeland: Antrag, Konsulat und Kosten</w:t>
      </w:r>
      <w:bookmarkEnd w:id="176"/>
      <w:bookmarkEnd w:id="177"/>
    </w:p>
    <w:p w14:paraId="70A501D0" w14:textId="77777777" w:rsidR="00C1548D" w:rsidRDefault="009B1B4B">
      <w:pPr>
        <w:spacing w:after="140"/>
      </w:pPr>
      <w:r>
        <w:t>Paul Lindner sitzt an einem Dienstagabend in seiner Frankfurter Wohnung, das Jobangebot eines Aucklander IT-Beratungshauses seit drei Wochen unterschrieben, und lädt die letzten Nachweise in sein Online-Konto bei Immigration New Zealand (INZ) hoch: Abschlusszeugnis, Arbeitsvertrag, Gehaltsnachweis, ein Foto. Kein Termin, kein Wartesaal, kein Beamter, der die Mappe durchblättert und stirnrunzelt. Die Entscheidung kommt Wochen später schlicht als Statusänderung im Konto – ungefähr so aufregend wie ein Softwar</w:t>
      </w:r>
      <w:r>
        <w:t>e-Update, das man sowieso installieren musste, nur mit deutlich größeren Folgen. Was zwischen Absenden und Entscheidung liegt, ist reine Verwaltungsarbeit: ein Online-Portal, mehrere Gebühren in neuseeländischen Dollar, ein Arztbesuch und ein Führungszeugnis. Keine Auslandsvertretung, kein Interview am Schalter – Neuseeland erledigt fast alles über den Bildschirm.</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D8"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1D1" w14:textId="77777777" w:rsidR="00C1548D" w:rsidRDefault="009B1B4B">
            <w:pPr>
              <w:keepNext/>
              <w:spacing w:after="70" w:line="240" w:lineRule="auto"/>
            </w:pPr>
            <w:r>
              <w:rPr>
                <w:b/>
                <w:bCs/>
                <w:color w:val="1F3A5F"/>
                <w:spacing w:val="24"/>
                <w:sz w:val="16"/>
                <w:szCs w:val="16"/>
              </w:rPr>
              <w:lastRenderedPageBreak/>
              <w:t>KURZ GESAGT</w:t>
            </w:r>
          </w:p>
          <w:p w14:paraId="70A501D2" w14:textId="77777777" w:rsidR="00C1548D" w:rsidRDefault="009B1B4B" w:rsidP="009B1B4B">
            <w:pPr>
              <w:pStyle w:val="ListParagraph"/>
              <w:numPr>
                <w:ilvl w:val="0"/>
                <w:numId w:val="1"/>
              </w:numPr>
              <w:spacing w:after="50" w:line="264" w:lineRule="auto"/>
            </w:pPr>
            <w:r>
              <w:rPr>
                <w:sz w:val="20"/>
                <w:szCs w:val="20"/>
              </w:rPr>
              <w:t xml:space="preserve">Der Antrag läuft vollständig online über dein persönliches Konto bei Immigration New Zealand (INZ), Teil des </w:t>
            </w:r>
            <w:r>
              <w:rPr>
                <w:i/>
                <w:iCs/>
                <w:sz w:val="20"/>
                <w:szCs w:val="20"/>
              </w:rPr>
              <w:t>Ministry of Business, Innovation &amp; Employment</w:t>
            </w:r>
            <w:r>
              <w:rPr>
                <w:sz w:val="20"/>
                <w:szCs w:val="20"/>
              </w:rPr>
              <w:t xml:space="preserve"> (MBIE). Einen Termin bei einer neuseeländischen Auslandsvertretung gibt es für die reguläre Antragstellung nicht.</w:t>
            </w:r>
          </w:p>
          <w:p w14:paraId="70A501D3" w14:textId="77777777" w:rsidR="00C1548D" w:rsidRDefault="009B1B4B" w:rsidP="009B1B4B">
            <w:pPr>
              <w:pStyle w:val="ListParagraph"/>
              <w:numPr>
                <w:ilvl w:val="0"/>
                <w:numId w:val="1"/>
              </w:numPr>
              <w:spacing w:after="50" w:line="264" w:lineRule="auto"/>
            </w:pPr>
            <w:r>
              <w:rPr>
                <w:sz w:val="20"/>
                <w:szCs w:val="20"/>
              </w:rPr>
              <w:t>Die Kosten hängen stark vom Weg ab: Ein Accredited Employer Work Visa kostet 1.540 NZD, ein Skilled Migrant Category Resident Visa 6.450 NZD je Hauptantragsteller – Deutschland zählt nicht zu den Ländern mit Gebührenbefreiung.</w:t>
            </w:r>
          </w:p>
          <w:p w14:paraId="70A501D4" w14:textId="77777777" w:rsidR="00C1548D" w:rsidRDefault="009B1B4B" w:rsidP="009B1B4B">
            <w:pPr>
              <w:pStyle w:val="ListParagraph"/>
              <w:numPr>
                <w:ilvl w:val="0"/>
                <w:numId w:val="1"/>
              </w:numPr>
              <w:spacing w:after="50" w:line="264" w:lineRule="auto"/>
            </w:pPr>
            <w:r>
              <w:rPr>
                <w:sz w:val="20"/>
                <w:szCs w:val="20"/>
              </w:rPr>
              <w:t xml:space="preserve">Gesundheitsuntersuchung und Führungszeugnis (der </w:t>
            </w:r>
            <w:r>
              <w:rPr>
                <w:i/>
                <w:iCs/>
                <w:sz w:val="20"/>
                <w:szCs w:val="20"/>
              </w:rPr>
              <w:t>Character Requirement</w:t>
            </w:r>
            <w:r>
              <w:rPr>
                <w:sz w:val="20"/>
                <w:szCs w:val="20"/>
              </w:rPr>
              <w:t>, die Vorgabe zum guten Leumund) sind eigene Pflichtschritte mit eigenen Fristen.</w:t>
            </w:r>
          </w:p>
          <w:p w14:paraId="70A501D5" w14:textId="77777777" w:rsidR="00C1548D" w:rsidRDefault="009B1B4B" w:rsidP="009B1B4B">
            <w:pPr>
              <w:pStyle w:val="ListParagraph"/>
              <w:numPr>
                <w:ilvl w:val="0"/>
                <w:numId w:val="1"/>
              </w:numPr>
              <w:spacing w:after="50" w:line="264" w:lineRule="auto"/>
            </w:pPr>
            <w:r>
              <w:rPr>
                <w:sz w:val="20"/>
                <w:szCs w:val="20"/>
              </w:rPr>
              <w:t>Anders als bei manch anderem Zielland verlangt INZ für das deutsche Führungszeugnis keine Apostille, sondern eine beglaubigte englische Übersetzung.</w:t>
            </w:r>
          </w:p>
          <w:p w14:paraId="70A501D6" w14:textId="77777777" w:rsidR="00C1548D" w:rsidRDefault="009B1B4B" w:rsidP="009B1B4B">
            <w:pPr>
              <w:pStyle w:val="ListParagraph"/>
              <w:numPr>
                <w:ilvl w:val="0"/>
                <w:numId w:val="1"/>
              </w:numPr>
              <w:spacing w:after="50" w:line="264" w:lineRule="auto"/>
            </w:pPr>
            <w:r>
              <w:rPr>
                <w:sz w:val="20"/>
                <w:szCs w:val="20"/>
              </w:rPr>
              <w:t>Bearbeitungszeiten schwanken zwischen wenigen Wochen (Arbeitsvisa) und mehreren Monaten (Residence-Kategorien).</w:t>
            </w:r>
          </w:p>
          <w:p w14:paraId="70A501D7" w14:textId="77777777" w:rsidR="00C1548D" w:rsidRDefault="009B1B4B" w:rsidP="009B1B4B">
            <w:pPr>
              <w:pStyle w:val="ListParagraph"/>
              <w:numPr>
                <w:ilvl w:val="0"/>
                <w:numId w:val="1"/>
              </w:numPr>
              <w:spacing w:after="50" w:line="264" w:lineRule="auto"/>
            </w:pPr>
            <w:r>
              <w:rPr>
                <w:sz w:val="20"/>
                <w:szCs w:val="20"/>
              </w:rPr>
              <w:t>Die deutsche Botschaft in Wellington und die Honorarkonsulate in Auckland und Christchurch helfen bei deutschen Dokumenten – über deinen neuseeländischen Visumantrag entscheidet ausschließlich INZ.</w:t>
            </w:r>
          </w:p>
        </w:tc>
      </w:tr>
    </w:tbl>
    <w:p w14:paraId="70A501D9" w14:textId="77777777" w:rsidR="00C1548D" w:rsidRDefault="00C1548D">
      <w:pPr>
        <w:spacing w:line="220" w:lineRule="exact"/>
      </w:pPr>
    </w:p>
    <w:p w14:paraId="70A501DA" w14:textId="77777777" w:rsidR="00C1548D" w:rsidRDefault="009B1B4B">
      <w:pPr>
        <w:pStyle w:val="Heading3"/>
        <w:keepNext/>
        <w:jc w:val="center"/>
      </w:pPr>
      <w:r>
        <w:rPr>
          <w:rFonts w:ascii="Amazon Ember" w:eastAsia="Amazon Ember" w:hAnsi="Amazon Ember" w:cs="Amazon Ember"/>
          <w:color w:val="0000FF"/>
          <w:sz w:val="36"/>
          <w:szCs w:val="36"/>
        </w:rPr>
        <w:t>Das System: ein Konto statt eines Konsulattermins</w:t>
      </w:r>
    </w:p>
    <w:p w14:paraId="70A501DB" w14:textId="77777777" w:rsidR="00C1548D" w:rsidRDefault="009B1B4B">
      <w:pPr>
        <w:spacing w:after="140"/>
      </w:pPr>
      <w:r>
        <w:t xml:space="preserve">Wer aus Deutschland kommt, verbindet einen Visumantrag fast automatisch mit einer Behörde vor Ort: Wartenummer, Schalter, ein Mensch, der Stempel setzt. Bei INZ fällt das komplett weg. Ob Arbeitsvisum, Working Holiday oder der Antrag auf ein Daueraufenthaltsvisum (das neuseeländische </w:t>
      </w:r>
      <w:r>
        <w:rPr>
          <w:i/>
          <w:iCs/>
        </w:rPr>
        <w:t>Resident Visa</w:t>
      </w:r>
      <w:r>
        <w:t xml:space="preserve">, funktional vergleichbar mit der amerikanischen Green Card) – alles läuft über dein persönliches Online-Konto bei Immigration New Zealand. Dort trägst du Angaben ein, lädst Dokumente hoch, bezahlst die Gebühr per Kreditkarte und verfolgst den Status. Jede Nachricht </w:t>
      </w:r>
      <w:r>
        <w:lastRenderedPageBreak/>
        <w:t>der Behörde – auch Nachforderungen – kommt ausschließlich dort an, nicht per Brief und nicht per Anruf. Ein Postfach, das du in den folgenden Wochen regelmäßig prüfen solltest.</w:t>
      </w:r>
    </w:p>
    <w:p w14:paraId="70A501DC" w14:textId="374E0E1F" w:rsidR="00C1548D" w:rsidRDefault="009B1B4B">
      <w:pPr>
        <w:spacing w:after="140"/>
      </w:pPr>
      <w:r>
        <w:t xml:space="preserve">Welcher Weg für dich der richtige ist – die punktebasierte Skilled Migrant Category (SMC), das Accredited Employer Work Visa (AEWV) mit einem Beruf auf der Green List, ein Familien- oder Investorenweg –, erklären die </w:t>
      </w:r>
      <w:hyperlink w:anchor="tnz03" w:history="1">
        <w:r>
          <w:rPr>
            <w:color w:val="0563C1"/>
            <w:u w:val="single"/>
          </w:rPr>
          <w:t>Kapitel zu den Einwanderungswegen und zum Arbeitsweg in diesem Teil</w:t>
        </w:r>
      </w:hyperlink>
      <w:r>
        <w:t xml:space="preserve"> ausführlich. Für den Antrag selbst macht es allerdings einen spürbaren Unterschied, welche Stufe der Green List für deinen Beruf gilt: Bei einem Tier-1-Beruf („Straight to Residence“) stellst du direkt einen Antrag auf ein Daueraufenthaltsvisum, sobald das Jobangebot steht; bei Tier 2 („Work to Residence“) beginnst du mit dem AEWV und wechselst erst nach 24 Monaten Arbeit in Neuseeland zur Residency – zwei völlig unterschiedliche Kostenkurven für dieselbe Berufsgruppe. Dieses Kapitel beginnt dort, wo die E</w:t>
      </w:r>
      <w:r>
        <w:t>ntscheidung für einen Weg schon gefallen ist: beim nüchternen Kleingedruckten aus Formularen, Gebühren und Fristen.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1DF"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1DD" w14:textId="77777777" w:rsidR="00C1548D" w:rsidRDefault="009B1B4B">
            <w:pPr>
              <w:keepNext/>
              <w:spacing w:after="70" w:line="240" w:lineRule="auto"/>
            </w:pPr>
            <w:r>
              <w:rPr>
                <w:b/>
                <w:bCs/>
                <w:color w:val="8A6212"/>
                <w:spacing w:val="24"/>
                <w:sz w:val="16"/>
                <w:szCs w:val="16"/>
              </w:rPr>
              <w:t>MERKE</w:t>
            </w:r>
          </w:p>
          <w:p w14:paraId="70A501DE" w14:textId="05EAEEE2" w:rsidR="00C1548D" w:rsidRDefault="009B1B4B">
            <w:pPr>
              <w:spacing w:after="80" w:line="264" w:lineRule="auto"/>
            </w:pPr>
            <w:r>
              <w:rPr>
                <w:sz w:val="20"/>
                <w:szCs w:val="20"/>
              </w:rPr>
              <w:t xml:space="preserve">Eine erteilte Genehmigung ist noch keine Einreise. Bei AEWV und SMC bekommst du zunächst die Zusage; wirksam wird dein Status endgültig erst bei der Einreisekontrolle – dazu mehr im </w:t>
            </w:r>
            <w:hyperlink w:anchor="tnz06" w:history="1">
              <w:r>
                <w:rPr>
                  <w:color w:val="0563C1"/>
                  <w:sz w:val="20"/>
                  <w:szCs w:val="20"/>
                  <w:u w:val="single"/>
                </w:rPr>
                <w:t>Kapitel zur Ankunft in diesem Teil</w:t>
              </w:r>
            </w:hyperlink>
            <w:r>
              <w:rPr>
                <w:sz w:val="20"/>
                <w:szCs w:val="20"/>
              </w:rPr>
              <w:t>.</w:t>
            </w:r>
          </w:p>
        </w:tc>
      </w:tr>
    </w:tbl>
    <w:p w14:paraId="70A501E0" w14:textId="77777777" w:rsidR="00C1548D" w:rsidRDefault="00C1548D">
      <w:pPr>
        <w:spacing w:line="220" w:lineRule="exact"/>
      </w:pPr>
    </w:p>
    <w:p w14:paraId="70A501E1" w14:textId="77777777" w:rsidR="00C1548D" w:rsidRDefault="009B1B4B">
      <w:pPr>
        <w:pStyle w:val="Heading3"/>
        <w:keepNext/>
        <w:jc w:val="center"/>
      </w:pPr>
      <w:r>
        <w:rPr>
          <w:rFonts w:ascii="Amazon Ember" w:eastAsia="Amazon Ember" w:hAnsi="Amazon Ember" w:cs="Amazon Ember"/>
          <w:color w:val="0000FF"/>
          <w:sz w:val="36"/>
          <w:szCs w:val="36"/>
        </w:rPr>
        <w:t>Was der Antrag wirklich kostet</w:t>
      </w:r>
    </w:p>
    <w:p w14:paraId="70A501E2" w14:textId="77777777" w:rsidR="00C1548D" w:rsidRDefault="009B1B4B">
      <w:pPr>
        <w:spacing w:after="140"/>
      </w:pPr>
      <w:r>
        <w:t xml:space="preserve">Die Gebühren unterscheiden sich drastisch je nach Visumtyp, und die reine Antragsgebühr ist nur die halbe Rechnung: Fast überall kommt die </w:t>
      </w:r>
      <w:r>
        <w:rPr>
          <w:i/>
          <w:iCs/>
        </w:rPr>
        <w:t>Immigration Levy</w:t>
      </w:r>
      <w:r>
        <w:t xml:space="preserve"> dazu, ein separater Aufschlag, der die Systemkosten von INZ mitfinanziert und in keiner ersten Kostenschätzung fehlen sollte.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9"/>
        <w:gridCol w:w="950"/>
        <w:gridCol w:w="1658"/>
        <w:gridCol w:w="1033"/>
      </w:tblGrid>
      <w:tr w:rsidR="00C1548D" w14:paraId="70A501E7" w14:textId="77777777">
        <w:tblPrEx>
          <w:tblCellMar>
            <w:top w:w="0" w:type="dxa"/>
            <w:bottom w:w="0" w:type="dxa"/>
          </w:tblCellMar>
        </w:tblPrEx>
        <w:trPr>
          <w:cantSplit/>
          <w:tblHeader/>
        </w:trPr>
        <w:tc>
          <w:tcPr>
            <w:tcW w:w="283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1E3" w14:textId="77777777" w:rsidR="00C1548D" w:rsidRDefault="009B1B4B">
            <w:pPr>
              <w:spacing w:line="250" w:lineRule="auto"/>
            </w:pPr>
            <w:r>
              <w:rPr>
                <w:b/>
                <w:bCs/>
                <w:sz w:val="18"/>
                <w:szCs w:val="18"/>
              </w:rPr>
              <w:lastRenderedPageBreak/>
              <w:t>Kategorie</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1E4" w14:textId="77777777" w:rsidR="00C1548D" w:rsidRDefault="009B1B4B">
            <w:pPr>
              <w:spacing w:line="250" w:lineRule="auto"/>
            </w:pPr>
            <w:r>
              <w:rPr>
                <w:b/>
                <w:bCs/>
                <w:sz w:val="18"/>
                <w:szCs w:val="18"/>
              </w:rPr>
              <w:t>Antragsgebühr</w:t>
            </w:r>
          </w:p>
        </w:tc>
        <w:tc>
          <w:tcPr>
            <w:tcW w:w="165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1E5" w14:textId="77777777" w:rsidR="00C1548D" w:rsidRDefault="009B1B4B">
            <w:pPr>
              <w:spacing w:line="250" w:lineRule="auto"/>
            </w:pPr>
            <w:r>
              <w:rPr>
                <w:b/>
                <w:bCs/>
                <w:sz w:val="18"/>
                <w:szCs w:val="18"/>
              </w:rPr>
              <w:t>Levy</w:t>
            </w:r>
          </w:p>
        </w:tc>
        <w:tc>
          <w:tcPr>
            <w:tcW w:w="103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1E6" w14:textId="77777777" w:rsidR="00C1548D" w:rsidRDefault="009B1B4B">
            <w:pPr>
              <w:spacing w:line="250" w:lineRule="auto"/>
            </w:pPr>
            <w:r>
              <w:rPr>
                <w:b/>
                <w:bCs/>
                <w:sz w:val="18"/>
                <w:szCs w:val="18"/>
              </w:rPr>
              <w:t>Gesamt</w:t>
            </w:r>
          </w:p>
        </w:tc>
      </w:tr>
      <w:tr w:rsidR="00C1548D" w14:paraId="70A501EC" w14:textId="77777777">
        <w:tblPrEx>
          <w:tblCellMar>
            <w:top w:w="0" w:type="dxa"/>
            <w:bottom w:w="0" w:type="dxa"/>
          </w:tblCellMar>
        </w:tblPrEx>
        <w:trPr>
          <w:cantSplit/>
        </w:trPr>
        <w:tc>
          <w:tcPr>
            <w:tcW w:w="28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E8" w14:textId="77777777" w:rsidR="00C1548D" w:rsidRDefault="009B1B4B">
            <w:pPr>
              <w:spacing w:line="250" w:lineRule="auto"/>
            </w:pPr>
            <w:r>
              <w:rPr>
                <w:sz w:val="18"/>
                <w:szCs w:val="18"/>
              </w:rPr>
              <w:t>Accredited Employer Work Visa (AEWV)</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E9" w14:textId="77777777" w:rsidR="00C1548D" w:rsidRDefault="009B1B4B">
            <w:pPr>
              <w:spacing w:line="250" w:lineRule="auto"/>
            </w:pPr>
            <w:r>
              <w:rPr>
                <w:sz w:val="18"/>
                <w:szCs w:val="18"/>
              </w:rPr>
              <w:t>480 NZD</w:t>
            </w:r>
          </w:p>
        </w:tc>
        <w:tc>
          <w:tcPr>
            <w:tcW w:w="1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EA" w14:textId="77777777" w:rsidR="00C1548D" w:rsidRDefault="009B1B4B">
            <w:pPr>
              <w:spacing w:line="250" w:lineRule="auto"/>
            </w:pPr>
            <w:r>
              <w:rPr>
                <w:sz w:val="18"/>
                <w:szCs w:val="18"/>
              </w:rPr>
              <w:t>1.060 NZD</w:t>
            </w:r>
          </w:p>
        </w:tc>
        <w:tc>
          <w:tcPr>
            <w:tcW w:w="10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EB" w14:textId="77777777" w:rsidR="00C1548D" w:rsidRDefault="009B1B4B">
            <w:pPr>
              <w:spacing w:line="250" w:lineRule="auto"/>
            </w:pPr>
            <w:r>
              <w:rPr>
                <w:sz w:val="18"/>
                <w:szCs w:val="18"/>
              </w:rPr>
              <w:t>1.540 NZD</w:t>
            </w:r>
          </w:p>
        </w:tc>
      </w:tr>
      <w:tr w:rsidR="00C1548D" w14:paraId="70A501F1" w14:textId="77777777">
        <w:tblPrEx>
          <w:tblCellMar>
            <w:top w:w="0" w:type="dxa"/>
            <w:bottom w:w="0" w:type="dxa"/>
          </w:tblCellMar>
        </w:tblPrEx>
        <w:trPr>
          <w:cantSplit/>
        </w:trPr>
        <w:tc>
          <w:tcPr>
            <w:tcW w:w="28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ED" w14:textId="77777777" w:rsidR="00C1548D" w:rsidRDefault="009B1B4B">
            <w:pPr>
              <w:spacing w:line="250" w:lineRule="auto"/>
            </w:pPr>
            <w:r>
              <w:rPr>
                <w:sz w:val="18"/>
                <w:szCs w:val="18"/>
              </w:rPr>
              <w:t>Skilled Migrant Category Resident Visa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EE" w14:textId="77777777" w:rsidR="00C1548D" w:rsidRDefault="009B1B4B">
            <w:pPr>
              <w:spacing w:line="250" w:lineRule="auto"/>
            </w:pPr>
            <w:r>
              <w:rPr>
                <w:sz w:val="18"/>
                <w:szCs w:val="18"/>
              </w:rPr>
              <w:t>2.880 NZD</w:t>
            </w:r>
          </w:p>
        </w:tc>
        <w:tc>
          <w:tcPr>
            <w:tcW w:w="1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EF" w14:textId="77777777" w:rsidR="00C1548D" w:rsidRDefault="009B1B4B">
            <w:pPr>
              <w:spacing w:line="250" w:lineRule="auto"/>
            </w:pPr>
            <w:r>
              <w:rPr>
                <w:sz w:val="18"/>
                <w:szCs w:val="18"/>
              </w:rPr>
              <w:t>3.570 NZD</w:t>
            </w:r>
          </w:p>
        </w:tc>
        <w:tc>
          <w:tcPr>
            <w:tcW w:w="10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0" w14:textId="77777777" w:rsidR="00C1548D" w:rsidRDefault="009B1B4B">
            <w:pPr>
              <w:spacing w:line="250" w:lineRule="auto"/>
            </w:pPr>
            <w:r>
              <w:rPr>
                <w:sz w:val="18"/>
                <w:szCs w:val="18"/>
              </w:rPr>
              <w:t>6.450 NZD</w:t>
            </w:r>
          </w:p>
        </w:tc>
      </w:tr>
      <w:tr w:rsidR="00C1548D" w14:paraId="70A501F6" w14:textId="77777777">
        <w:tblPrEx>
          <w:tblCellMar>
            <w:top w:w="0" w:type="dxa"/>
            <w:bottom w:w="0" w:type="dxa"/>
          </w:tblCellMar>
        </w:tblPrEx>
        <w:trPr>
          <w:cantSplit/>
        </w:trPr>
        <w:tc>
          <w:tcPr>
            <w:tcW w:w="28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2" w14:textId="77777777" w:rsidR="00C1548D" w:rsidRDefault="009B1B4B">
            <w:pPr>
              <w:spacing w:line="250" w:lineRule="auto"/>
            </w:pPr>
            <w:r>
              <w:rPr>
                <w:sz w:val="18"/>
                <w:szCs w:val="18"/>
              </w:rPr>
              <w:t>Partner-Residence-Visum (Family Category)</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3" w14:textId="77777777" w:rsidR="00C1548D" w:rsidRDefault="009B1B4B">
            <w:pPr>
              <w:spacing w:line="250" w:lineRule="auto"/>
            </w:pPr>
            <w:r>
              <w:rPr>
                <w:sz w:val="18"/>
                <w:szCs w:val="18"/>
              </w:rPr>
              <w:t>1.940 NZD</w:t>
            </w:r>
          </w:p>
        </w:tc>
        <w:tc>
          <w:tcPr>
            <w:tcW w:w="1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4" w14:textId="77777777" w:rsidR="00C1548D" w:rsidRDefault="009B1B4B">
            <w:pPr>
              <w:spacing w:line="250" w:lineRule="auto"/>
            </w:pPr>
            <w:r>
              <w:rPr>
                <w:sz w:val="18"/>
                <w:szCs w:val="18"/>
              </w:rPr>
              <w:t>3.420 NZD</w:t>
            </w:r>
          </w:p>
        </w:tc>
        <w:tc>
          <w:tcPr>
            <w:tcW w:w="10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5" w14:textId="77777777" w:rsidR="00C1548D" w:rsidRDefault="009B1B4B">
            <w:pPr>
              <w:spacing w:line="250" w:lineRule="auto"/>
            </w:pPr>
            <w:r>
              <w:rPr>
                <w:sz w:val="18"/>
                <w:szCs w:val="18"/>
              </w:rPr>
              <w:t>5.360 NZD</w:t>
            </w:r>
          </w:p>
        </w:tc>
      </w:tr>
      <w:tr w:rsidR="00C1548D" w14:paraId="70A501FB" w14:textId="77777777">
        <w:tblPrEx>
          <w:tblCellMar>
            <w:top w:w="0" w:type="dxa"/>
            <w:bottom w:w="0" w:type="dxa"/>
          </w:tblCellMar>
        </w:tblPrEx>
        <w:trPr>
          <w:cantSplit/>
        </w:trPr>
        <w:tc>
          <w:tcPr>
            <w:tcW w:w="28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7" w14:textId="77777777" w:rsidR="00C1548D" w:rsidRDefault="009B1B4B">
            <w:pPr>
              <w:spacing w:line="250" w:lineRule="auto"/>
            </w:pPr>
            <w:r>
              <w:rPr>
                <w:sz w:val="18"/>
                <w:szCs w:val="18"/>
              </w:rPr>
              <w:t>Partnership Work Visa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8" w14:textId="77777777" w:rsidR="00C1548D" w:rsidRDefault="009B1B4B">
            <w:pPr>
              <w:spacing w:line="250" w:lineRule="auto"/>
            </w:pPr>
            <w:r>
              <w:rPr>
                <w:sz w:val="18"/>
                <w:szCs w:val="18"/>
              </w:rPr>
              <w:t>570 NZD</w:t>
            </w:r>
          </w:p>
        </w:tc>
        <w:tc>
          <w:tcPr>
            <w:tcW w:w="1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9" w14:textId="77777777" w:rsidR="00C1548D" w:rsidRDefault="009B1B4B">
            <w:pPr>
              <w:spacing w:line="250" w:lineRule="auto"/>
            </w:pPr>
            <w:r>
              <w:rPr>
                <w:sz w:val="18"/>
                <w:szCs w:val="18"/>
              </w:rPr>
              <w:t>1.060 NZD</w:t>
            </w:r>
          </w:p>
        </w:tc>
        <w:tc>
          <w:tcPr>
            <w:tcW w:w="10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A" w14:textId="77777777" w:rsidR="00C1548D" w:rsidRDefault="009B1B4B">
            <w:pPr>
              <w:spacing w:line="250" w:lineRule="auto"/>
            </w:pPr>
            <w:r>
              <w:rPr>
                <w:sz w:val="18"/>
                <w:szCs w:val="18"/>
              </w:rPr>
              <w:t>1.630 NZD</w:t>
            </w:r>
          </w:p>
        </w:tc>
      </w:tr>
      <w:tr w:rsidR="00C1548D" w14:paraId="70A50200" w14:textId="77777777">
        <w:tblPrEx>
          <w:tblCellMar>
            <w:top w:w="0" w:type="dxa"/>
            <w:bottom w:w="0" w:type="dxa"/>
          </w:tblCellMar>
        </w:tblPrEx>
        <w:trPr>
          <w:cantSplit/>
        </w:trPr>
        <w:tc>
          <w:tcPr>
            <w:tcW w:w="28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C" w14:textId="77777777" w:rsidR="00C1548D" w:rsidRDefault="009B1B4B">
            <w:pPr>
              <w:spacing w:line="250" w:lineRule="auto"/>
            </w:pPr>
            <w:r>
              <w:rPr>
                <w:sz w:val="18"/>
                <w:szCs w:val="18"/>
              </w:rPr>
              <w:t>Studienvisum</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D" w14:textId="77777777" w:rsidR="00C1548D" w:rsidRDefault="009B1B4B">
            <w:pPr>
              <w:spacing w:line="250" w:lineRule="auto"/>
            </w:pPr>
            <w:r>
              <w:rPr>
                <w:sz w:val="18"/>
                <w:szCs w:val="18"/>
              </w:rPr>
              <w:t>485 NZD</w:t>
            </w:r>
          </w:p>
        </w:tc>
        <w:tc>
          <w:tcPr>
            <w:tcW w:w="1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E" w14:textId="77777777" w:rsidR="00C1548D" w:rsidRDefault="009B1B4B">
            <w:pPr>
              <w:spacing w:line="250" w:lineRule="auto"/>
            </w:pPr>
            <w:r>
              <w:rPr>
                <w:sz w:val="18"/>
                <w:szCs w:val="18"/>
              </w:rPr>
              <w:t>265 NZD (+ ggf. 100 NZD IVL)</w:t>
            </w:r>
          </w:p>
        </w:tc>
        <w:tc>
          <w:tcPr>
            <w:tcW w:w="10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1FF" w14:textId="77777777" w:rsidR="00C1548D" w:rsidRDefault="009B1B4B">
            <w:pPr>
              <w:spacing w:line="250" w:lineRule="auto"/>
            </w:pPr>
            <w:r>
              <w:rPr>
                <w:sz w:val="18"/>
                <w:szCs w:val="18"/>
              </w:rPr>
              <w:t>ca. 750–850 NZD</w:t>
            </w:r>
          </w:p>
        </w:tc>
      </w:tr>
      <w:tr w:rsidR="00C1548D" w14:paraId="70A50205" w14:textId="77777777">
        <w:tblPrEx>
          <w:tblCellMar>
            <w:top w:w="0" w:type="dxa"/>
            <w:bottom w:w="0" w:type="dxa"/>
          </w:tblCellMar>
        </w:tblPrEx>
        <w:trPr>
          <w:cantSplit/>
        </w:trPr>
        <w:tc>
          <w:tcPr>
            <w:tcW w:w="28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01" w14:textId="77777777" w:rsidR="00C1548D" w:rsidRDefault="009B1B4B">
            <w:pPr>
              <w:spacing w:line="250" w:lineRule="auto"/>
            </w:pPr>
            <w:r>
              <w:rPr>
                <w:sz w:val="18"/>
                <w:szCs w:val="18"/>
              </w:rPr>
              <w:t>Working Holiday Scheme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02" w14:textId="77777777" w:rsidR="00C1548D" w:rsidRDefault="009B1B4B">
            <w:pPr>
              <w:spacing w:line="250" w:lineRule="auto"/>
            </w:pPr>
            <w:r>
              <w:rPr>
                <w:sz w:val="18"/>
                <w:szCs w:val="18"/>
              </w:rPr>
              <w:t>215 NZD</w:t>
            </w:r>
          </w:p>
        </w:tc>
        <w:tc>
          <w:tcPr>
            <w:tcW w:w="16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03" w14:textId="77777777" w:rsidR="00C1548D" w:rsidRDefault="009B1B4B">
            <w:pPr>
              <w:spacing w:line="250" w:lineRule="auto"/>
            </w:pPr>
            <w:r>
              <w:rPr>
                <w:sz w:val="18"/>
                <w:szCs w:val="18"/>
              </w:rPr>
              <w:t>455 NZD (+ 100 NZD IVL)</w:t>
            </w:r>
          </w:p>
        </w:tc>
        <w:tc>
          <w:tcPr>
            <w:tcW w:w="10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04" w14:textId="77777777" w:rsidR="00C1548D" w:rsidRDefault="009B1B4B">
            <w:pPr>
              <w:spacing w:line="250" w:lineRule="auto"/>
            </w:pPr>
            <w:r>
              <w:rPr>
                <w:sz w:val="18"/>
                <w:szCs w:val="18"/>
              </w:rPr>
              <w:t>770 NZD</w:t>
            </w:r>
          </w:p>
        </w:tc>
      </w:tr>
    </w:tbl>
    <w:p w14:paraId="70A50206" w14:textId="77777777" w:rsidR="00C1548D" w:rsidRDefault="00C1548D">
      <w:pPr>
        <w:spacing w:line="180" w:lineRule="exact"/>
      </w:pPr>
    </w:p>
    <w:p w14:paraId="70A50207" w14:textId="77777777" w:rsidR="00C1548D" w:rsidRDefault="009B1B4B">
      <w:pPr>
        <w:spacing w:after="140"/>
      </w:pPr>
      <w:r>
        <w:t>(Quelle: INZ Fees Guide INZ 1028, Ausgabe Mai 2026. Alle Beträge je Hauptantragsteller; Partner und Kinder zahlen bei den meisten Kategorien anteilig mit eigener Gebühr, beim AEWV etwa 1.630 NZD für den mitreisenden Partner über die Partnership Work Visa.)</w:t>
      </w:r>
    </w:p>
    <w:p w14:paraId="70A50208" w14:textId="77777777" w:rsidR="00C1548D" w:rsidRDefault="009B1B4B">
      <w:pPr>
        <w:spacing w:after="140"/>
      </w:pPr>
      <w:r>
        <w:t xml:space="preserve">Beim AEWV kommen für deinen Arbeitgeber weitere Posten dazu, die dich indirekt betreffen, weil sie über die Stellenverhandlung mitentschieden werden: die </w:t>
      </w:r>
      <w:r>
        <w:rPr>
          <w:i/>
          <w:iCs/>
        </w:rPr>
        <w:t>Employer Accreditation</w:t>
      </w:r>
      <w:r>
        <w:t xml:space="preserve"> (775 NZD in der Standardstufe, 1.280 NZD für Vielanstellende, 4.060 NZD bei Dreiecksbeschäftigung über Personaldienstleister) und der </w:t>
      </w:r>
      <w:r>
        <w:rPr>
          <w:i/>
          <w:iCs/>
        </w:rPr>
        <w:t>Job Check</w:t>
      </w:r>
      <w:r>
        <w:t xml:space="preserve"> für die konkrete Stelle (735 NZD). Diese Kosten trägt laut INZ-Vorgabe der Arbeitgeber, nicht der Arbeitnehmer – ein Punkt, den du im Bewerbungsgespräch ruhig ansprechen darfst, falls er unerwähnt bleibt.</w:t>
      </w:r>
    </w:p>
    <w:p w14:paraId="70A50209" w14:textId="77777777" w:rsidR="00C1548D" w:rsidRDefault="009B1B4B">
      <w:pPr>
        <w:spacing w:after="140"/>
      </w:pPr>
      <w:r>
        <w:t xml:space="preserve">Eine Besonderheit, die viele erst beim Bezahlbildschirm bemerken: die </w:t>
      </w:r>
      <w:r>
        <w:rPr>
          <w:i/>
          <w:iCs/>
        </w:rPr>
        <w:t>International Visitor Conservation and Tourism Levy</w:t>
      </w:r>
      <w:r>
        <w:t xml:space="preserve"> (IVL), eine Pauschale von 100 NZD pro Person, die bei einigen befristeten Kategorien zusätzlich zu Antragsgebühr und Levy anfällt und seit Oktober 2024 verdreifacht wurde. Und noch etwas, das sich nicht ändern lässt, so unfair es sich anfühlen mag: INZ hat mit einigen Ländern – darunter Österreich, Italien, Japan und die USA – Gebührenbefreiungsabkommen für bestimmte Antragsarten </w:t>
      </w:r>
      <w:r>
        <w:lastRenderedPageBreak/>
        <w:t xml:space="preserve">geschlossen. Deutschland gehört nicht dazu. Deutsche Antragsteller zahlen die vollen Sätze, während der österreichische Nachbar </w:t>
      </w:r>
      <w:r>
        <w:t>am Küchentisch nebenan unter Umständen für denselben Visumtyp gar nichts zahlt.</w:t>
      </w:r>
    </w:p>
    <w:p w14:paraId="70A5020A" w14:textId="77777777" w:rsidR="00C1548D" w:rsidRDefault="009B1B4B">
      <w:pPr>
        <w:spacing w:after="140"/>
      </w:pPr>
      <w:r>
        <w:t xml:space="preserve">Für eine vierköpfige Familie auf dem AEWV-Weg kommen so schnell mehrere Tausend NZD zusammen, sobald der mitreisende Partner eingerechnet wird: 1.540 NZD für den Hauptantragsteller, 1.630 NZD für die Partnership Work Visa – und dazu für jedes Kind ein eigener, kleinerer Antrag auf ein Visitor- oder Student-Visum, dessen genaue Gebühr vom jeweiligen Kategorietyp abhängt und deshalb im INZ-Konto individuell zu prüfen ist. Wer stattdessen über die SMC direkt zur Residency will, zahlt zwar pro Kopf mehr, dafür </w:t>
      </w:r>
      <w:r>
        <w:t>aber nur einmal – ohne die spätere Zusatzrunde vom befristeten Arbeitsvisum zur Daueraufenthaltserlaubnis.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0D"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20B" w14:textId="77777777" w:rsidR="00C1548D" w:rsidRDefault="009B1B4B">
            <w:pPr>
              <w:keepNext/>
              <w:spacing w:after="70" w:line="240" w:lineRule="auto"/>
            </w:pPr>
            <w:r>
              <w:rPr>
                <w:b/>
                <w:bCs/>
                <w:color w:val="2F6B3B"/>
                <w:spacing w:val="24"/>
                <w:sz w:val="16"/>
                <w:szCs w:val="16"/>
              </w:rPr>
              <w:t>SPARTIPP</w:t>
            </w:r>
          </w:p>
          <w:p w14:paraId="70A5020C" w14:textId="77777777" w:rsidR="00C1548D" w:rsidRDefault="009B1B4B">
            <w:pPr>
              <w:spacing w:after="80" w:line="264" w:lineRule="auto"/>
            </w:pPr>
            <w:r>
              <w:rPr>
                <w:sz w:val="20"/>
                <w:szCs w:val="20"/>
              </w:rPr>
              <w:t>Bezahle die Gebühr im INZ-Konto erst, wenn wirklich alle Unterlagen vollständig sind. Ein unvollständiger Antrag lässt sich zwar nachbessern, die Gebühr ist bei einer Ablehnung aber ebenso verloren wie bei einer Genehmigung – eine Kulanzrunde wie beim deutschen Bürgeramt gibt es bei INZ nicht.</w:t>
            </w:r>
          </w:p>
        </w:tc>
      </w:tr>
    </w:tbl>
    <w:p w14:paraId="70A5020E" w14:textId="77777777" w:rsidR="00C1548D" w:rsidRDefault="00C1548D">
      <w:pPr>
        <w:spacing w:line="220" w:lineRule="exact"/>
      </w:pPr>
    </w:p>
    <w:p w14:paraId="70A5020F" w14:textId="77777777" w:rsidR="00C1548D" w:rsidRDefault="009B1B4B">
      <w:pPr>
        <w:pStyle w:val="Heading3"/>
        <w:keepNext/>
        <w:jc w:val="center"/>
      </w:pPr>
      <w:r>
        <w:rPr>
          <w:rFonts w:ascii="Amazon Ember" w:eastAsia="Amazon Ember" w:hAnsi="Amazon Ember" w:cs="Amazon Ember"/>
          <w:color w:val="0000FF"/>
          <w:sz w:val="36"/>
          <w:szCs w:val="36"/>
        </w:rPr>
        <w:t>Bearbeitungszeiten: realistisch planen</w:t>
      </w:r>
    </w:p>
    <w:p w14:paraId="70A50210" w14:textId="77777777" w:rsidR="00C1548D" w:rsidRDefault="009B1B4B">
      <w:pPr>
        <w:spacing w:after="140"/>
      </w:pPr>
      <w:r>
        <w:t xml:space="preserve">INZ veröffentlicht laufend aktualisierte Bearbeitungszeiten, die sich je nach Kategorie und Auslastung deutlich unterscheiden. Zum Stand September 2026 gilt grob: Ein AEWV ist in 80 % der Fälle innerhalb von 25 bis 35 Werktagen entschieden, sobald der Antrag vollständig ist – allerdings erst, nachdem dein Arbeitgeber die Employer Accreditation (rund 2 Werktage) und den Job Check (rund 3 Werktage) durchlaufen hat. Für die SMC-Residence liegt die durchschnittliche Bearbeitungszeit bei rund 9 Wochen, für eine </w:t>
      </w:r>
      <w:r>
        <w:t xml:space="preserve">Partnerschafts-Residence bei rund 6 Monaten. Das Working-Holiday-Visum ist in 80 % der Fälle bereits innerhalb von 2 Wochen </w:t>
      </w:r>
      <w:r>
        <w:lastRenderedPageBreak/>
        <w:t>entschieden – für viele der schnellste Weg überhaupt ins Land, wenn auch mit den bekannten Einschränkungen bei Alter und Aufenthaltsdauer.</w:t>
      </w:r>
    </w:p>
    <w:p w14:paraId="70A50211" w14:textId="77777777" w:rsidR="00C1548D" w:rsidRDefault="009B1B4B">
      <w:pPr>
        <w:spacing w:after="140"/>
      </w:pPr>
      <w:r>
        <w:t xml:space="preserve">Diese Zahlen sind, wie bei vergleichbaren Behörden anderer Länder auch, rollende Durchschnittswerte auf Basis zuletzt abgeschlossener Fälle –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w:t>
      </w:r>
      <w:r>
        <w:t>Schätzung für deine konkrete Kategorie – ein Blick hinein gehört in jede Zeitplanung, nicht nur in die grobe Vorabrecherche.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14"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212" w14:textId="77777777" w:rsidR="00C1548D" w:rsidRDefault="009B1B4B">
            <w:pPr>
              <w:keepNext/>
              <w:spacing w:after="70" w:line="240" w:lineRule="auto"/>
            </w:pPr>
            <w:r>
              <w:rPr>
                <w:b/>
                <w:bCs/>
                <w:color w:val="9B2C2C"/>
                <w:spacing w:val="24"/>
                <w:sz w:val="16"/>
                <w:szCs w:val="16"/>
              </w:rPr>
              <w:t>ACHTUNG</w:t>
            </w:r>
          </w:p>
          <w:p w14:paraId="70A50213" w14:textId="77777777" w:rsidR="00C1548D" w:rsidRDefault="009B1B4B">
            <w:pPr>
              <w:spacing w:after="80" w:line="264" w:lineRule="auto"/>
            </w:pPr>
            <w:r>
              <w:rPr>
                <w:sz w:val="20"/>
                <w:szCs w:val="20"/>
              </w:rPr>
              <w:t>Kündige Wohnung, Job oder Kinderbetreuungsplatz in Deutschland erst, wenn die Genehmigung tatsächlich im INZ-Konto steht – nicht schon, wenn die Employer Accreditation deines künftigen Arbeitgebers durchgekommen ist. Zwischen diesen beiden Schritten liegt in der Praxis noch der komplette eigentliche Visumantrag samt Gesundheits- und Charakterprüfung.</w:t>
            </w:r>
          </w:p>
        </w:tc>
      </w:tr>
    </w:tbl>
    <w:p w14:paraId="70A50215" w14:textId="77777777" w:rsidR="00C1548D" w:rsidRDefault="00C1548D">
      <w:pPr>
        <w:spacing w:line="220" w:lineRule="exact"/>
      </w:pPr>
    </w:p>
    <w:p w14:paraId="70A50216" w14:textId="77777777" w:rsidR="00C1548D" w:rsidRDefault="009B1B4B">
      <w:pPr>
        <w:pStyle w:val="Heading3"/>
        <w:keepNext/>
        <w:jc w:val="center"/>
      </w:pPr>
      <w:r>
        <w:rPr>
          <w:rFonts w:ascii="Amazon Ember" w:eastAsia="Amazon Ember" w:hAnsi="Amazon Ember" w:cs="Amazon Ember"/>
          <w:color w:val="0000FF"/>
          <w:sz w:val="36"/>
          <w:szCs w:val="36"/>
        </w:rPr>
        <w:t>Die Gesundheitsuntersuchung</w:t>
      </w:r>
    </w:p>
    <w:p w14:paraId="70A50217" w14:textId="77777777" w:rsidR="00C1548D" w:rsidRDefault="009B1B4B">
      <w:pPr>
        <w:spacing w:after="140"/>
      </w:pPr>
      <w:r>
        <w:t xml:space="preserve">Für die meisten Daueraufenthaltsvisa und viele befristete Kategorien ist die </w:t>
      </w:r>
      <w:r>
        <w:rPr>
          <w:i/>
          <w:iCs/>
        </w:rPr>
        <w:t>Health Examination</w:t>
      </w:r>
      <w:r>
        <w:t xml:space="preserve"> Pflicht – eine freie Arztwahl gibt es dabei nicht. Ab 15 Jahren verlangt INZ ein Röntgenbild des Brustkorbs zusätzlich zur allgemeinen ärztlichen Untersuchung; Kinder zwischen 11 und 14 Jahren brauchen ebenfalls beides, Kinder bis 10 Jahre in der Regel nur die ärztliche Untersuchung ohne Röntgen. Beide Nachweise dürfen bei Einreichung höchstens drei Monate alt sein. Untersuchen darf dich nur ein von INZ zugelassener </w:t>
      </w:r>
      <w:r>
        <w:rPr>
          <w:i/>
          <w:iCs/>
        </w:rPr>
        <w:t>Panel Physician</w:t>
      </w:r>
      <w:r>
        <w:t xml:space="preserve"> beziehungsweise ein anerkanntes Röntgeninstitut – der </w:t>
      </w:r>
      <w:r>
        <w:lastRenderedPageBreak/>
        <w:t>eigene Hausarzt genügt nicht, egal wie vertraut und gründlich er sonst arbeitet.</w:t>
      </w:r>
    </w:p>
    <w:p w14:paraId="70A50218" w14:textId="77777777" w:rsidR="00C1548D" w:rsidRDefault="009B1B4B">
      <w:pPr>
        <w:spacing w:after="140"/>
      </w:pPr>
      <w:r>
        <w:t>Beim AEWV gelten die Anforderungen abgestuft: Das Röntgenbild wird erst ab sechs Monaten geplantem Aufenthalt verlangt, und auch dann nur bei Herkunft aus einem Land mit erhöhtem Tuberkulose-Risiko –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w:t>
      </w:r>
      <w:r>
        <w:t>ine Pauschalzahl zu verlassen, die ohnehin von Praxis zu Praxis schwankt.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1B"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219" w14:textId="77777777" w:rsidR="00C1548D" w:rsidRDefault="009B1B4B">
            <w:pPr>
              <w:keepNext/>
              <w:spacing w:after="70" w:line="240" w:lineRule="auto"/>
            </w:pPr>
            <w:r>
              <w:rPr>
                <w:b/>
                <w:bCs/>
                <w:color w:val="8A6212"/>
                <w:spacing w:val="24"/>
                <w:sz w:val="16"/>
                <w:szCs w:val="16"/>
              </w:rPr>
              <w:t>MERKE</w:t>
            </w:r>
          </w:p>
          <w:p w14:paraId="70A5021A" w14:textId="77777777" w:rsidR="00C1548D" w:rsidRDefault="009B1B4B">
            <w:pPr>
              <w:spacing w:after="80" w:line="264" w:lineRule="auto"/>
            </w:pPr>
            <w:r>
              <w:rPr>
                <w:sz w:val="20"/>
                <w:szCs w:val="20"/>
              </w:rPr>
              <w:t>Buche den Untersuchungstermin, sobald INZ ihn anfordert, nicht erst kurz vor knapp. Zugelassene Panel Physicians sind nicht an jeder deutschen Ecke zu finden, und ein voller Terminkalender verzögert sonst den gesamten Antrag um Wochen.</w:t>
            </w:r>
          </w:p>
        </w:tc>
      </w:tr>
    </w:tbl>
    <w:p w14:paraId="70A5021C" w14:textId="77777777" w:rsidR="00C1548D" w:rsidRDefault="00C1548D">
      <w:pPr>
        <w:spacing w:line="220" w:lineRule="exact"/>
      </w:pPr>
    </w:p>
    <w:p w14:paraId="70A5021D" w14:textId="77777777" w:rsidR="00C1548D" w:rsidRDefault="009B1B4B">
      <w:pPr>
        <w:pStyle w:val="Heading3"/>
        <w:keepNext/>
        <w:jc w:val="center"/>
      </w:pPr>
      <w:r>
        <w:rPr>
          <w:rFonts w:ascii="Amazon Ember" w:eastAsia="Amazon Ember" w:hAnsi="Amazon Ember" w:cs="Amazon Ember"/>
          <w:color w:val="0000FF"/>
          <w:sz w:val="36"/>
          <w:szCs w:val="36"/>
        </w:rPr>
        <w:t>Führungszeugnis und der Character Requirement</w:t>
      </w:r>
    </w:p>
    <w:p w14:paraId="70A5021E" w14:textId="77777777" w:rsidR="00C1548D" w:rsidRDefault="009B1B4B">
      <w:pPr>
        <w:spacing w:after="140"/>
      </w:pPr>
      <w:r>
        <w:t xml:space="preserve">Für Antragsteller ab 17 Jahren verlangt INZ ein </w:t>
      </w:r>
      <w:r>
        <w:rPr>
          <w:i/>
          <w:iCs/>
        </w:rPr>
        <w:t>Police Certificate</w:t>
      </w:r>
      <w:r>
        <w:t xml:space="preserve"> – ein Führungszeugnis, das bei Antragstellung höchstens sechs Monate alt sein darf. Für deutsche Antragsteller ist das schlicht das bekannte Führungszeugnis vom Bundesamt für Justiz in Bonn, das du online, postalisch oder beim Einwohnermeldeamt beantragst, für 13 €.</w:t>
      </w:r>
    </w:p>
    <w:p w14:paraId="70A5021F" w14:textId="77777777" w:rsidR="00C1548D" w:rsidRDefault="009B1B4B">
      <w:pPr>
        <w:spacing w:after="140"/>
      </w:pPr>
      <w:r>
        <w:t xml:space="preserve">Verbreiteter Irrtum: Wer sich vorher schon mit einem anderen Zielland beschäftigt hat, geht oft automatisch davon aus, dass auch Neuseeland eine </w:t>
      </w:r>
      <w:r>
        <w:rPr>
          <w:i/>
          <w:iCs/>
        </w:rPr>
        <w:t>Apostille</w:t>
      </w:r>
      <w:r>
        <w:t xml:space="preserv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w:t>
      </w:r>
      <w:r>
        <w:lastRenderedPageBreak/>
        <w:t>eingereicht wird – erstellt von einer Person oder einem Übersetzungsbüro, das mit beiden Sprachen vertraut und für Übersetzungsarbeit qualifiziert ist, mit Stempel oder Unterschrift versehen (immigration.govt.nz, „P</w:t>
      </w:r>
      <w:r>
        <w:t>olice certificates“). Eine Apostille schadet zwar nicht, ist aber für den INZ-Antrag reiner überflüssiger Aufwand.</w:t>
      </w:r>
    </w:p>
    <w:p w14:paraId="70A50220" w14:textId="77777777" w:rsidR="00C1548D" w:rsidRDefault="009B1B4B">
      <w:pPr>
        <w:spacing w:after="140"/>
      </w:pPr>
      <w:r>
        <w:t xml:space="preserve">Der </w:t>
      </w:r>
      <w:r>
        <w:rPr>
          <w:i/>
          <w:iCs/>
        </w:rPr>
        <w:t>Character Requirement</w:t>
      </w:r>
      <w:r>
        <w:t xml:space="preserve"> selbst verlangt „guten Leumund“ von allen im Antrag eingeschlossenen Personen ab 17 Jahren; Vorstrafen führen nicht automatisch zur Ablehnung, müssen aber offengelegt werden und werden je nach Schwere unterschiedlich bewertet.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2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221" w14:textId="77777777" w:rsidR="00C1548D" w:rsidRDefault="009B1B4B">
            <w:pPr>
              <w:keepNext/>
              <w:spacing w:after="70" w:line="240" w:lineRule="auto"/>
            </w:pPr>
            <w:r>
              <w:rPr>
                <w:b/>
                <w:bCs/>
                <w:color w:val="9B2C2C"/>
                <w:spacing w:val="24"/>
                <w:sz w:val="16"/>
                <w:szCs w:val="16"/>
              </w:rPr>
              <w:t>ACHTUNG</w:t>
            </w:r>
          </w:p>
          <w:p w14:paraId="70A50222" w14:textId="77777777" w:rsidR="00C1548D" w:rsidRDefault="009B1B4B">
            <w:pPr>
              <w:spacing w:after="80" w:line="264" w:lineRule="auto"/>
            </w:pPr>
            <w:r>
              <w:rPr>
                <w:sz w:val="20"/>
                <w:szCs w:val="20"/>
              </w:rPr>
              <w:t>Ein Führungszeugnis, das bei der tatsächlichen Antragsprüfung schon älter als sechs Monate ist, wird nicht mehr akzeptiert. Bei mehrmonatigen Bearbeitungszeiten – etwa bei der SMC – lohnt es sich, den Bestellzeitpunkt bewusst zu terminieren, statt das Dokument Monate im Voraus in der Schublade liegen zu haben.</w:t>
            </w:r>
          </w:p>
        </w:tc>
      </w:tr>
    </w:tbl>
    <w:p w14:paraId="70A50224" w14:textId="77777777" w:rsidR="00C1548D" w:rsidRDefault="00C1548D">
      <w:pPr>
        <w:spacing w:line="220" w:lineRule="exact"/>
      </w:pPr>
    </w:p>
    <w:p w14:paraId="70A50225" w14:textId="77777777" w:rsidR="00C1548D" w:rsidRDefault="009B1B4B">
      <w:pPr>
        <w:pStyle w:val="Heading3"/>
        <w:keepNext/>
        <w:jc w:val="center"/>
      </w:pPr>
      <w:r>
        <w:rPr>
          <w:rFonts w:ascii="Amazon Ember" w:eastAsia="Amazon Ember" w:hAnsi="Amazon Ember" w:cs="Amazon Ember"/>
          <w:color w:val="0000FF"/>
          <w:sz w:val="36"/>
          <w:szCs w:val="36"/>
        </w:rPr>
        <w:t>Immigration Adviser oder allein durch den Antrag?</w:t>
      </w:r>
    </w:p>
    <w:p w14:paraId="70A50226" w14:textId="77777777" w:rsidR="00C1548D" w:rsidRDefault="009B1B4B">
      <w:pPr>
        <w:spacing w:after="140"/>
      </w:pPr>
      <w:r>
        <w:t xml:space="preserve">Wer sich professionelle Unterstützung holen möchte, findet in Neuseeland einen eigenen regulierten Berufsstand: den </w:t>
      </w:r>
      <w:r>
        <w:rPr>
          <w:i/>
          <w:iCs/>
        </w:rPr>
        <w:t>Licensed Immigration Adviser</w:t>
      </w:r>
      <w:r>
        <w:t xml:space="preserve"> (LIA, den lizenzierten Einwanderungsberater). Reguliert wird dieser Berufsstand nach dem </w:t>
      </w:r>
      <w:r>
        <w:rPr>
          <w:i/>
          <w:iCs/>
        </w:rPr>
        <w:t>Immigration Advisers Licensing Act 2007</w:t>
      </w:r>
      <w:r>
        <w:t xml:space="preserve"> durch die </w:t>
      </w:r>
      <w:r>
        <w:rPr>
          <w:i/>
          <w:iCs/>
        </w:rPr>
        <w:t>Immigration Advisers Authority</w:t>
      </w:r>
      <w:r>
        <w:t xml:space="preserve"> (IAA), deren öffentliches Register auf iaa.govt.nz zeigt, ob eine Person aktuell lizenziert ist. Wer gegen Bezahlung Einwanderungsberatung anbietet – Anträge vorbereiten, Strategie empfehlen, mit INZ kommunizieren –, muss dort lizenziert sein, sofern er nicht ausdrücklich davon befreit ist.</w:t>
      </w:r>
    </w:p>
    <w:p w14:paraId="70A50227" w14:textId="77777777" w:rsidR="00C1548D" w:rsidRDefault="009B1B4B">
      <w:pPr>
        <w:spacing w:after="140"/>
      </w:pPr>
      <w:r>
        <w:t xml:space="preserve">Für ein einzelnes AEWV mit klarer Stelle brauchst du in der Regel keinen Berater: Das Formular ist selbsterklärend, und dein </w:t>
      </w:r>
      <w:r>
        <w:lastRenderedPageBreak/>
        <w:t>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w:t>
      </w:r>
      <w:r>
        <w:t>vatkonto, keine schriftliche Honorarvereinbarung, angebliche „Kontakte“ bei INZ, die den Prozess beschleunigen sollen.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2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228" w14:textId="77777777" w:rsidR="00C1548D" w:rsidRDefault="009B1B4B">
            <w:pPr>
              <w:keepNext/>
              <w:spacing w:after="70" w:line="240" w:lineRule="auto"/>
            </w:pPr>
            <w:r>
              <w:rPr>
                <w:b/>
                <w:bCs/>
                <w:color w:val="6B7280"/>
                <w:spacing w:val="24"/>
                <w:sz w:val="16"/>
                <w:szCs w:val="16"/>
              </w:rPr>
              <w:t>KEIN RECHTSRAT</w:t>
            </w:r>
          </w:p>
          <w:p w14:paraId="70A50229" w14:textId="77777777" w:rsidR="00C1548D" w:rsidRDefault="009B1B4B">
            <w:pPr>
              <w:spacing w:after="80" w:line="264" w:lineRule="auto"/>
            </w:pPr>
            <w:r>
              <w:rPr>
                <w:sz w:val="20"/>
                <w:szCs w:val="20"/>
              </w:rPr>
              <w:t>Dieses Kapitel beschreibt Verfahren und Praxis, keine Rechtsberatung. Bei komplexen Fällen – Vorstrafen, frühere Visumsablehnungen, ungewöhnliche Familienkonstellationen – lohnt sich die Beratung durch einen lizenzierten Immigration Adviser oder eine neuseeländische Anwältin mit Migrationsrecht als Schwerpunkt.</w:t>
            </w:r>
          </w:p>
        </w:tc>
      </w:tr>
    </w:tbl>
    <w:p w14:paraId="70A5022B" w14:textId="77777777" w:rsidR="00C1548D" w:rsidRDefault="00C1548D">
      <w:pPr>
        <w:spacing w:line="220" w:lineRule="exact"/>
      </w:pPr>
    </w:p>
    <w:p w14:paraId="70A5022C" w14:textId="77777777" w:rsidR="00C1548D" w:rsidRDefault="009B1B4B">
      <w:pPr>
        <w:pStyle w:val="Heading3"/>
        <w:keepNext/>
        <w:jc w:val="center"/>
      </w:pPr>
      <w:r>
        <w:rPr>
          <w:rFonts w:ascii="Amazon Ember" w:eastAsia="Amazon Ember" w:hAnsi="Amazon Ember" w:cs="Amazon Ember"/>
          <w:color w:val="0000FF"/>
          <w:sz w:val="36"/>
          <w:szCs w:val="36"/>
        </w:rPr>
        <w:t>Die deutsche Auslandsvertretung: zuständig für Deutsches, nicht für Neuseeländisches</w:t>
      </w:r>
    </w:p>
    <w:p w14:paraId="70A5022D" w14:textId="77777777" w:rsidR="00C1548D" w:rsidRDefault="009B1B4B">
      <w:pPr>
        <w:spacing w:after="140"/>
      </w:pPr>
      <w:r>
        <w:t>Verbreiteter Irrtum: Viele Auswanderer erwarten, dass die deutsche Botschaft beim neuseeländischen Visumantrag hilft oder zumindest vermittelt. Das ist nicht ihre Aufgabe. Über die Erteilung eines neuseeländischen Visums entscheidet ausschließlich INZ, online und ohne dass eine deutsche Stelle Einfluss darauf hätte. Die deutschen Vertretungen sind für deutsche Angelegenheiten zuständig – Reisepass, Personalausweis, Beglaubigungen, Notfallhilfe für deutsche Staatsangehörige –, nicht für neuseeländisches Verw</w:t>
      </w:r>
      <w:r>
        <w:t>altungsrecht.</w:t>
      </w:r>
    </w:p>
    <w:p w14:paraId="70A5022E" w14:textId="77777777" w:rsidR="00C1548D" w:rsidRDefault="009B1B4B">
      <w:pPr>
        <w:spacing w:after="140"/>
      </w:pPr>
      <w:r>
        <w:t xml:space="preserve">In Neuseeland gliedert sich das Netz so: Die Deutsche Botschaft in Wellington ist die übergeordnete Vertretung für das gesamte Land. </w:t>
      </w:r>
      <w:r>
        <w:lastRenderedPageBreak/>
        <w:t>Ergänzt wird sie durch zwei Honorarkonsulate: In Auckland deckt der Honorarkonsul den Amtsbezirk Nord- und Südauckland ab, in Christchurch der Honorarkonsul den Amtsbezirk Nelson-Marlborough, Canterbury, West Coast, Otago und Southland. Honorarkonsuln sind meist ortsansässige Persönlichkeiten, die ehrenamtlich einen eingeschränkten Service anbieten – etwa Beglaubigungen oder die Weiterleitung von Passanträgen –, aber keine vollständige Konsularabteilung ersetzen. Für alles, was darüber hinausgeht, bleibt di</w:t>
      </w:r>
      <w:r>
        <w:t>e Botschaft in Wellington zuständig, teils postalisch erreichbar.</w:t>
      </w:r>
    </w:p>
    <w:p w14:paraId="70A5022F" w14:textId="77777777" w:rsidR="00C1548D" w:rsidRDefault="009B1B4B">
      <w:pPr>
        <w:spacing w:after="140"/>
      </w:pPr>
      <w:r>
        <w:t xml:space="preserve">Für Familie Krüger mit Ziel Christchurch heißt das konkret: Der Honorarkonsul vor Ort hilft bei kleineren Formalitäten, für einen neuen Reisepass oder umfangreichere Beglaubigungen bleibt der Weg nach Wellington. Für Paul Lindner mit Ziel Auckland gilt dasselbe mit dem dortigen Honorarkonsulat als erster Anlaufstelle. Beide Konsulate haben mit dem eigentlichen INZ-Antrag nichts zu tun – die beglaubigte Übersetzung des Führungszeugnisses etwa erledigst du über ein qualifiziertes Übersetzungsbüro, nicht über </w:t>
      </w:r>
      <w:r>
        <w:t>die Botschaft.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3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230" w14:textId="77777777" w:rsidR="00C1548D" w:rsidRDefault="009B1B4B">
            <w:pPr>
              <w:keepNext/>
              <w:spacing w:after="70" w:line="240" w:lineRule="auto"/>
            </w:pPr>
            <w:r>
              <w:rPr>
                <w:b/>
                <w:bCs/>
                <w:color w:val="8A6212"/>
                <w:spacing w:val="24"/>
                <w:sz w:val="16"/>
                <w:szCs w:val="16"/>
              </w:rPr>
              <w:t>MERKE</w:t>
            </w:r>
          </w:p>
          <w:p w14:paraId="70A50231" w14:textId="77777777" w:rsidR="00C1548D" w:rsidRDefault="009B1B4B">
            <w:pPr>
              <w:spacing w:after="80" w:line="264" w:lineRule="auto"/>
            </w:pPr>
            <w:r>
              <w:rPr>
                <w:sz w:val="20"/>
                <w:szCs w:val="20"/>
              </w:rPr>
              <w:t>Die deutsche Auslandsvertretung ist deine Anlaufstelle für deutsche Dokumente und Notfälle, nicht für den neuseeländischen Visumantrag. Das erledigst du ausschließlich selbst über dein INZ-Konto, notfalls mit einem lizenzierten Immigration Adviser.</w:t>
            </w:r>
          </w:p>
        </w:tc>
      </w:tr>
    </w:tbl>
    <w:p w14:paraId="70A50233" w14:textId="77777777" w:rsidR="00C1548D" w:rsidRDefault="00C1548D">
      <w:pPr>
        <w:spacing w:line="220" w:lineRule="exact"/>
      </w:pPr>
    </w:p>
    <w:p w14:paraId="70A50234"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237"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235"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236" w14:textId="77777777" w:rsidR="00C1548D" w:rsidRDefault="009B1B4B">
            <w:pPr>
              <w:spacing w:line="250" w:lineRule="auto"/>
            </w:pPr>
            <w:r>
              <w:rPr>
                <w:b/>
                <w:bCs/>
                <w:sz w:val="18"/>
                <w:szCs w:val="18"/>
              </w:rPr>
              <w:t>Minus</w:t>
            </w:r>
          </w:p>
        </w:tc>
      </w:tr>
      <w:tr w:rsidR="00C1548D" w14:paraId="70A5023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38" w14:textId="77777777" w:rsidR="00C1548D" w:rsidRDefault="009B1B4B">
            <w:pPr>
              <w:spacing w:line="250" w:lineRule="auto"/>
            </w:pPr>
            <w:r>
              <w:rPr>
                <w:sz w:val="18"/>
                <w:szCs w:val="18"/>
              </w:rPr>
              <w:t>Alles online nachverfolgbar, kein Reisen zu einem Konsulattermin nötig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39" w14:textId="77777777" w:rsidR="00C1548D" w:rsidRDefault="009B1B4B">
            <w:pPr>
              <w:spacing w:line="250" w:lineRule="auto"/>
            </w:pPr>
            <w:r>
              <w:rPr>
                <w:sz w:val="18"/>
                <w:szCs w:val="18"/>
              </w:rPr>
              <w:t>Deutschland gehört nicht zu den Gebührenbefreiungsländern</w:t>
            </w:r>
          </w:p>
        </w:tc>
      </w:tr>
      <w:tr w:rsidR="00C1548D" w14:paraId="70A5023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3B" w14:textId="77777777" w:rsidR="00C1548D" w:rsidRDefault="009B1B4B">
            <w:pPr>
              <w:spacing w:line="250" w:lineRule="auto"/>
            </w:pPr>
            <w:r>
              <w:rPr>
                <w:sz w:val="18"/>
                <w:szCs w:val="18"/>
              </w:rPr>
              <w:t>Keine Apostille für das Führungszeugnis nötig, nur beglaubigte Übersetzung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3C" w14:textId="77777777" w:rsidR="00C1548D" w:rsidRDefault="009B1B4B">
            <w:pPr>
              <w:spacing w:line="250" w:lineRule="auto"/>
            </w:pPr>
            <w:r>
              <w:rPr>
                <w:sz w:val="18"/>
                <w:szCs w:val="18"/>
              </w:rPr>
              <w:t>Employer Accreditation und Job Check verlängern den AEWV-Prozess spürbar</w:t>
            </w:r>
          </w:p>
        </w:tc>
      </w:tr>
      <w:tr w:rsidR="00C1548D" w14:paraId="70A5024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3E" w14:textId="77777777" w:rsidR="00C1548D" w:rsidRDefault="009B1B4B">
            <w:pPr>
              <w:spacing w:line="250" w:lineRule="auto"/>
            </w:pPr>
            <w:r>
              <w:rPr>
                <w:sz w:val="18"/>
                <w:szCs w:val="18"/>
              </w:rPr>
              <w:lastRenderedPageBreak/>
              <w:t>Employer-Kosten (Accreditation, Job Check) trägt der Arbeitgeber, nicht du</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3F" w14:textId="77777777" w:rsidR="00C1548D" w:rsidRDefault="009B1B4B">
            <w:pPr>
              <w:spacing w:line="250" w:lineRule="auto"/>
            </w:pPr>
            <w:r>
              <w:rPr>
                <w:sz w:val="18"/>
                <w:szCs w:val="18"/>
              </w:rPr>
              <w:t>Gesundheitsuntersuchung nur bei zugelassenem Panel Physician möglich</w:t>
            </w:r>
          </w:p>
        </w:tc>
      </w:tr>
      <w:tr w:rsidR="00C1548D" w14:paraId="70A5024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41" w14:textId="77777777" w:rsidR="00C1548D" w:rsidRDefault="009B1B4B">
            <w:pPr>
              <w:spacing w:line="250" w:lineRule="auto"/>
            </w:pPr>
            <w:r>
              <w:rPr>
                <w:sz w:val="18"/>
                <w:szCs w:val="18"/>
              </w:rPr>
              <w:t>Working Holiday meist innerhalb von zwei Wochen entschieden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42" w14:textId="77777777" w:rsidR="00C1548D" w:rsidRDefault="009B1B4B">
            <w:pPr>
              <w:spacing w:line="250" w:lineRule="auto"/>
            </w:pPr>
            <w:r>
              <w:rPr>
                <w:sz w:val="18"/>
                <w:szCs w:val="18"/>
              </w:rPr>
              <w:t>Bei Ablehnung sind alle gezahlten Gebühren unwiederbringlich verloren</w:t>
            </w:r>
          </w:p>
        </w:tc>
      </w:tr>
    </w:tbl>
    <w:p w14:paraId="70A50244"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47"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245" w14:textId="77777777" w:rsidR="00C1548D" w:rsidRDefault="009B1B4B">
            <w:pPr>
              <w:keepNext/>
              <w:spacing w:after="70" w:line="240" w:lineRule="auto"/>
            </w:pPr>
            <w:r>
              <w:rPr>
                <w:b/>
                <w:bCs/>
                <w:color w:val="4A5568"/>
                <w:spacing w:val="24"/>
                <w:sz w:val="16"/>
                <w:szCs w:val="16"/>
              </w:rPr>
              <w:t>PRAXISBEISPIEL · FIKTIV</w:t>
            </w:r>
          </w:p>
          <w:p w14:paraId="70A50246" w14:textId="77777777" w:rsidR="00C1548D" w:rsidRDefault="009B1B4B">
            <w:pPr>
              <w:spacing w:after="80" w:line="264" w:lineRule="auto"/>
            </w:pPr>
            <w:r>
              <w:rPr>
                <w:sz w:val="20"/>
                <w:szCs w:val="20"/>
              </w:rPr>
              <w:t xml:space="preserve">Familie Krüger (Sebastian, 43, Agraringenieur; Petra, 40, Tierärztin; Lotta, 12; Finn, 8; Rostock) hat ein Jobangebot eines Agrarunternehmens bei Christchurch, dessen Beruf auf der Green List steht. Der Arbeitgeber übernimmt Accreditation und Job Check; Sebastian zahlt für sein AEWV 1.540 NZD, für Petras Partnership Work Visa kommen weitere 1.630 NZD dazu. Beide lassen ihre Führungszeugnisse beim Bundesamt für Justiz ausstellen und von einem vereidigten Übersetzer ins Englische übertragen – eine Apostille, </w:t>
            </w:r>
            <w:r>
              <w:rPr>
                <w:sz w:val="20"/>
                <w:szCs w:val="20"/>
              </w:rPr>
              <w:t>mit der Sebastian schon aus einer früheren Australien-Recherche gerechnet hatte, brauchen sie am Ende gar nicht. Die Gesundheitsuntersuchung bei einem Panel Physician in Rostock dauert einen Vormittag für die ganze Familie. Nach knapp drei Monaten liegt die Genehmigung vor. (Fiktives Beispiel.)</w:t>
            </w:r>
          </w:p>
        </w:tc>
      </w:tr>
    </w:tbl>
    <w:p w14:paraId="70A50248"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4B"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249" w14:textId="77777777" w:rsidR="00C1548D" w:rsidRDefault="009B1B4B">
            <w:pPr>
              <w:keepNext/>
              <w:spacing w:after="70" w:line="240" w:lineRule="auto"/>
            </w:pPr>
            <w:r>
              <w:rPr>
                <w:b/>
                <w:bCs/>
                <w:color w:val="4A5568"/>
                <w:spacing w:val="24"/>
                <w:sz w:val="16"/>
                <w:szCs w:val="16"/>
              </w:rPr>
              <w:t>PRAXISBEISPIEL · FIKTIV</w:t>
            </w:r>
          </w:p>
          <w:p w14:paraId="70A5024A" w14:textId="77777777" w:rsidR="00C1548D" w:rsidRDefault="009B1B4B">
            <w:pPr>
              <w:spacing w:after="80" w:line="264" w:lineRule="auto"/>
            </w:pPr>
            <w:r>
              <w:rPr>
                <w:sz w:val="20"/>
                <w:szCs w:val="20"/>
              </w:rPr>
              <w:t>Paul Lindner (31, IT-Berater, Frankfurt) sichert sich sein Jobangebot noch von Deutschland aus und erfüllt mit Masterabschluss, Berufserfahrung und einem Gehalt deutlich über der geforderten Lohnschwelle die Punktzahl für die Skilled Migrant Category direkt – ohne vorheriges AEWV. Er zahlt 6.450 NZD, lässt sein Führungszeugnis beglaubigt übersetzen und bucht die Gesundheitsuntersuchung noch für dieselbe Woche. Rund neun Wochen später steht die Entscheidung im INZ-Konto – schneller, als er erwartet hatte, na</w:t>
            </w:r>
            <w:r>
              <w:rPr>
                <w:sz w:val="20"/>
                <w:szCs w:val="20"/>
              </w:rPr>
              <w:t>chdem ihm ein Bekannter von einem AEWV-Verfahren mit mehreren Monaten Wartezeit erzählt hatte. (Fiktives Beispiel.)</w:t>
            </w:r>
          </w:p>
        </w:tc>
      </w:tr>
    </w:tbl>
    <w:p w14:paraId="70A5024C" w14:textId="77777777" w:rsidR="00C1548D" w:rsidRDefault="00C1548D">
      <w:pPr>
        <w:spacing w:line="220" w:lineRule="exact"/>
      </w:pPr>
    </w:p>
    <w:p w14:paraId="70A5024D"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24E" w14:textId="0D23516D" w:rsidR="00C1548D" w:rsidRDefault="009B1B4B">
      <w:pPr>
        <w:spacing w:after="140"/>
      </w:pPr>
      <w:r>
        <w:t xml:space="preserve">Kläre zuerst über die </w:t>
      </w:r>
      <w:hyperlink w:anchor="tnz02" w:history="1">
        <w:r>
          <w:rPr>
            <w:color w:val="0563C1"/>
            <w:u w:val="single"/>
          </w:rPr>
          <w:t>Kapitel zu den Einwanderungswegen in diesem Teil</w:t>
        </w:r>
      </w:hyperlink>
      <w:r>
        <w:t xml:space="preserve">, welcher Weg für dich infrage kommt – das entscheidet, ob ein </w:t>
      </w:r>
      <w:r>
        <w:lastRenderedPageBreak/>
        <w:t>Arbeitgeber Accreditation und Job Check durchlaufen muss oder ob du direkt einen SMC-Antrag stellst. Lege dein INZ-Konto an, kalkuliere die Gesamtkosten inklusive Levy und IVL realistisch, und bestelle Führungszeugnis und Übersetzung so, dass beide bei Einreichung frisch genug sind. Buche die Gesundheitsuntersuchung, sobald INZ sie anfordert, und entscheide bewusst, ob ein lizenzierter Immigration Adviser für deinen Fall einen Unterschied macht.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59"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24F" w14:textId="77777777" w:rsidR="00C1548D" w:rsidRDefault="009B1B4B">
            <w:pPr>
              <w:keepNext/>
              <w:spacing w:after="70" w:line="240" w:lineRule="auto"/>
            </w:pPr>
            <w:r>
              <w:rPr>
                <w:b/>
                <w:bCs/>
                <w:color w:val="1F6F78"/>
                <w:spacing w:val="24"/>
                <w:sz w:val="16"/>
                <w:szCs w:val="16"/>
              </w:rPr>
              <w:t>CHECKLISTE</w:t>
            </w:r>
          </w:p>
          <w:p w14:paraId="70A5025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Visumweg geklärt (AEWV mit Green-List-Beruf, SMC direkt, Working Holiday, Familie/Investor)</w:t>
            </w:r>
          </w:p>
          <w:p w14:paraId="70A5025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INZ-Konto angelegt, Benachrichtigungen aktiviert</w:t>
            </w:r>
          </w:p>
          <w:p w14:paraId="70A5025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Alle Gebühren realistisch kalkuliert: Antragsgebühr, Levy, ggf. IVL, ggf. Employer-Kosten</w:t>
            </w:r>
          </w:p>
          <w:p w14:paraId="70A5025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Führungszeugnis beim Bundesamt für Justiz beantragt, höchstens sechs Monate vor Einreichung</w:t>
            </w:r>
          </w:p>
          <w:p w14:paraId="70A5025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Beglaubigte englische Übersetzung des Führungszeugnisses organisiert (keine Apostille nötig)</w:t>
            </w:r>
          </w:p>
          <w:p w14:paraId="70A5025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Gesundheitsuntersuchung bei einem von INZ zugelassenen Panel Physician terminiert</w:t>
            </w:r>
          </w:p>
          <w:p w14:paraId="70A5025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Entschieden, ob ein lizenzierter Immigration Adviser sinnvoll ist; Registrierung im IAA-Register geprüft</w:t>
            </w:r>
          </w:p>
          <w:p w14:paraId="70A5025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Zuständiges deutsches Honorarkonsulat (Auckland oder Christchurch) beziehungsweise die Botschaft Wellington für deutsche Dokumente identifiziert</w:t>
            </w:r>
          </w:p>
          <w:p w14:paraId="70A5025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Aktuelle Bearbeitungszeiten auf der INZ-Seite geprüft, Job und Wohnung in Deutschland erst nach der Genehmigung gekündigt</w:t>
            </w:r>
          </w:p>
        </w:tc>
      </w:tr>
    </w:tbl>
    <w:p w14:paraId="70A5025A" w14:textId="77777777" w:rsidR="00C1548D" w:rsidRDefault="00C1548D">
      <w:pPr>
        <w:spacing w:line="220" w:lineRule="exact"/>
      </w:pPr>
    </w:p>
    <w:p w14:paraId="70A5025B"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25C" w14:textId="1543168B" w:rsidR="00C1548D" w:rsidRDefault="009B1B4B" w:rsidP="009B1B4B">
      <w:pPr>
        <w:pStyle w:val="ListParagraph"/>
        <w:numPr>
          <w:ilvl w:val="0"/>
          <w:numId w:val="1"/>
        </w:numPr>
        <w:spacing w:after="60"/>
      </w:pPr>
      <w:r>
        <w:t xml:space="preserve">Immigration New Zealand — Visa, Gebühren, Antragskonto: </w:t>
      </w:r>
      <w:hyperlink r:id="rId622" w:history="1">
        <w:r>
          <w:rPr>
            <w:color w:val="0563C1"/>
            <w:u w:val="single"/>
          </w:rPr>
          <w:t>immigration.govt.nz</w:t>
        </w:r>
      </w:hyperlink>
    </w:p>
    <w:p w14:paraId="70A5025D" w14:textId="16B88C13" w:rsidR="00C1548D" w:rsidRDefault="009B1B4B" w:rsidP="009B1B4B">
      <w:pPr>
        <w:pStyle w:val="ListParagraph"/>
        <w:numPr>
          <w:ilvl w:val="0"/>
          <w:numId w:val="1"/>
        </w:numPr>
        <w:spacing w:after="60"/>
      </w:pPr>
      <w:r>
        <w:lastRenderedPageBreak/>
        <w:t xml:space="preserve">INZ Fees Guide (INZ 1028), Ausgabe Mai 2026: </w:t>
      </w:r>
      <w:hyperlink r:id="rId623" w:history="1">
        <w:r>
          <w:rPr>
            <w:color w:val="0563C1"/>
            <w:u w:val="single"/>
          </w:rPr>
          <w:t>immigration.govt.nz/assets/inz/documents/forms-and-guides/Fees-Guide-INZ-1028.pdf</w:t>
        </w:r>
      </w:hyperlink>
    </w:p>
    <w:p w14:paraId="70A5025E" w14:textId="4BEFFEB3" w:rsidR="00C1548D" w:rsidRDefault="009B1B4B" w:rsidP="009B1B4B">
      <w:pPr>
        <w:pStyle w:val="ListParagraph"/>
        <w:numPr>
          <w:ilvl w:val="0"/>
          <w:numId w:val="1"/>
        </w:numPr>
        <w:spacing w:after="60"/>
      </w:pPr>
      <w:r>
        <w:t xml:space="preserve">INZ — Gesundheitsanforderungen: </w:t>
      </w:r>
      <w:hyperlink r:id="rId624" w:history="1">
        <w:r>
          <w:rPr>
            <w:color w:val="0563C1"/>
            <w:u w:val="single"/>
          </w:rPr>
          <w:t>immigration.govt.nz/process-to-apply/applying-for-a-visa/providing-evidence-and-documents-to-support-your-visa-application/health-requirements</w:t>
        </w:r>
      </w:hyperlink>
    </w:p>
    <w:p w14:paraId="70A5025F" w14:textId="2B8FC645" w:rsidR="00C1548D" w:rsidRDefault="009B1B4B" w:rsidP="009B1B4B">
      <w:pPr>
        <w:pStyle w:val="ListParagraph"/>
        <w:numPr>
          <w:ilvl w:val="0"/>
          <w:numId w:val="1"/>
        </w:numPr>
        <w:spacing w:after="60"/>
      </w:pPr>
      <w:r>
        <w:t xml:space="preserve">INZ — Führungszeugnisse und Übersetzungen: </w:t>
      </w:r>
      <w:hyperlink r:id="rId625" w:history="1">
        <w:r>
          <w:rPr>
            <w:color w:val="0563C1"/>
            <w:u w:val="single"/>
          </w:rPr>
          <w:t>immigration.govt.nz/process-to-apply/applying-for-a-visa/providing-evidence-and-documents-to-support-your-visa-application/good-character-requirements-and-police-certificates/police-certificates</w:t>
        </w:r>
      </w:hyperlink>
    </w:p>
    <w:p w14:paraId="70A50260" w14:textId="7665009B" w:rsidR="00C1548D" w:rsidRDefault="009B1B4B" w:rsidP="009B1B4B">
      <w:pPr>
        <w:pStyle w:val="ListParagraph"/>
        <w:numPr>
          <w:ilvl w:val="0"/>
          <w:numId w:val="1"/>
        </w:numPr>
        <w:spacing w:after="60"/>
      </w:pPr>
      <w:r>
        <w:t xml:space="preserve">Immigration Advisers Authority — Register: </w:t>
      </w:r>
      <w:hyperlink r:id="rId626" w:history="1">
        <w:r>
          <w:rPr>
            <w:color w:val="0563C1"/>
            <w:u w:val="single"/>
          </w:rPr>
          <w:t>iaa.govt.nz</w:t>
        </w:r>
      </w:hyperlink>
    </w:p>
    <w:p w14:paraId="70A50261" w14:textId="5D5DCEE8" w:rsidR="00C1548D" w:rsidRDefault="009B1B4B" w:rsidP="009B1B4B">
      <w:pPr>
        <w:pStyle w:val="ListParagraph"/>
        <w:numPr>
          <w:ilvl w:val="0"/>
          <w:numId w:val="1"/>
        </w:numPr>
        <w:spacing w:after="60"/>
      </w:pPr>
      <w:r>
        <w:t xml:space="preserve">Deutsche Botschaft Wellington und Honorarkonsulate: </w:t>
      </w:r>
      <w:hyperlink r:id="rId627" w:history="1">
        <w:r>
          <w:rPr>
            <w:color w:val="0563C1"/>
            <w:u w:val="single"/>
          </w:rPr>
          <w:t>wellington.diplo.de</w:t>
        </w:r>
      </w:hyperlink>
    </w:p>
    <w:p w14:paraId="70A50262" w14:textId="4F3DF30B" w:rsidR="00C1548D" w:rsidRDefault="009B1B4B" w:rsidP="009B1B4B">
      <w:pPr>
        <w:pStyle w:val="ListParagraph"/>
        <w:numPr>
          <w:ilvl w:val="0"/>
          <w:numId w:val="1"/>
        </w:numPr>
        <w:spacing w:after="60"/>
      </w:pPr>
      <w:r>
        <w:t xml:space="preserve">Bundesamt für Justiz — Führungszeugnis: </w:t>
      </w:r>
      <w:hyperlink r:id="rId628" w:history="1">
        <w:r>
          <w:rPr>
            <w:color w:val="0563C1"/>
            <w:u w:val="single"/>
          </w:rPr>
          <w:t>bundesjustizamt.de</w:t>
        </w:r>
      </w:hyperlink>
    </w:p>
    <w:p w14:paraId="70A50263"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6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264" w14:textId="77777777" w:rsidR="00C1548D" w:rsidRDefault="009B1B4B">
            <w:pPr>
              <w:keepNext/>
              <w:spacing w:after="70" w:line="240" w:lineRule="auto"/>
            </w:pPr>
            <w:r>
              <w:rPr>
                <w:b/>
                <w:bCs/>
                <w:color w:val="6B7280"/>
                <w:spacing w:val="24"/>
                <w:sz w:val="16"/>
                <w:szCs w:val="16"/>
              </w:rPr>
              <w:t>STAND</w:t>
            </w:r>
          </w:p>
          <w:p w14:paraId="70A50265" w14:textId="77777777" w:rsidR="00C1548D" w:rsidRDefault="009B1B4B">
            <w:pPr>
              <w:spacing w:after="80" w:line="264" w:lineRule="auto"/>
            </w:pPr>
            <w:r>
              <w:rPr>
                <w:sz w:val="20"/>
                <w:szCs w:val="20"/>
              </w:rPr>
              <w:t>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immigration.govt.nz und die Seiten der deutschen Vertretungen.</w:t>
            </w:r>
          </w:p>
        </w:tc>
      </w:tr>
    </w:tbl>
    <w:p w14:paraId="70A50267" w14:textId="77777777" w:rsidR="00C1548D" w:rsidRDefault="00C1548D">
      <w:pPr>
        <w:spacing w:line="220" w:lineRule="exact"/>
      </w:pPr>
    </w:p>
    <w:p w14:paraId="70A50268" w14:textId="77777777" w:rsidR="00C1548D" w:rsidRDefault="009B1B4B">
      <w:pPr>
        <w:pStyle w:val="Heading2"/>
        <w:keepNext/>
        <w:pageBreakBefore/>
        <w:jc w:val="center"/>
      </w:pPr>
      <w:bookmarkStart w:id="178" w:name="tnz06"/>
      <w:bookmarkStart w:id="179" w:name="_Toc241352541"/>
      <w:r>
        <w:rPr>
          <w:rFonts w:ascii="Amazon Ember" w:eastAsia="Amazon Ember" w:hAnsi="Amazon Ember" w:cs="Amazon Ember"/>
          <w:color w:val="0000FF"/>
          <w:sz w:val="36"/>
          <w:szCs w:val="36"/>
        </w:rPr>
        <w:lastRenderedPageBreak/>
        <w:t>Neuseeland: Ankunft, erste Tage und Wochen</w:t>
      </w:r>
      <w:bookmarkEnd w:id="178"/>
      <w:bookmarkEnd w:id="179"/>
    </w:p>
    <w:p w14:paraId="70A50269" w14:textId="77777777" w:rsidR="00C1548D" w:rsidRDefault="009B1B4B">
      <w:pPr>
        <w:spacing w:after="140"/>
      </w:pPr>
      <w:r>
        <w:t>Der Koffer ist noch nicht ausgepackt, der Langstreckenflug über Dubai oder Singapur liegt Sebastian Krüger noch spürbar in den Knochen, und schon steht die Familie am Gepäckband des Flughafens Christchurch vor der nächsten Aufgabe: die Biosecurity-Kontrolle, bei der ein Beagle interessiert an Lottas Rucksack schnuppert, weil darin noch ein Apfel vom Zwischenstopp steckt. Kein Drama, nur eine kurze Zusatzkontrolle – aber ein guter erster Eindruck davon, wie ernst Neuseeland die eigene Abgeschiedenheit nimmt.</w:t>
      </w:r>
      <w:r>
        <w:t xml:space="preserve"> Was danach folgt, ist reine Organisation: eine Steuernummer, ein Bankkonto, eine SIM-Karte, irgendwann eine Wohnung, die nicht nur für zwei Wochen gemietet ist. Dieses Kapitel bringt Reihenfolge in das Durcheinander zwischen Landung und dem Gefühl, tatsächlich angekommen zu sein.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71"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26A" w14:textId="77777777" w:rsidR="00C1548D" w:rsidRDefault="009B1B4B">
            <w:pPr>
              <w:keepNext/>
              <w:spacing w:after="70" w:line="240" w:lineRule="auto"/>
            </w:pPr>
            <w:r>
              <w:rPr>
                <w:b/>
                <w:bCs/>
                <w:color w:val="1F3A5F"/>
                <w:spacing w:val="24"/>
                <w:sz w:val="16"/>
                <w:szCs w:val="16"/>
              </w:rPr>
              <w:lastRenderedPageBreak/>
              <w:t>KURZ GESAGT</w:t>
            </w:r>
          </w:p>
          <w:p w14:paraId="70A5026B" w14:textId="77777777" w:rsidR="00C1548D" w:rsidRDefault="009B1B4B" w:rsidP="009B1B4B">
            <w:pPr>
              <w:pStyle w:val="ListParagraph"/>
              <w:numPr>
                <w:ilvl w:val="0"/>
                <w:numId w:val="1"/>
              </w:numPr>
              <w:spacing w:after="50" w:line="264" w:lineRule="auto"/>
            </w:pPr>
            <w:r>
              <w:rPr>
                <w:sz w:val="20"/>
                <w:szCs w:val="20"/>
              </w:rPr>
              <w:t xml:space="preserve">Vor der Landung ist die </w:t>
            </w:r>
            <w:r>
              <w:rPr>
                <w:i/>
                <w:iCs/>
                <w:sz w:val="20"/>
                <w:szCs w:val="20"/>
              </w:rPr>
              <w:t>New Zealand Traveller Declaration</w:t>
            </w:r>
            <w:r>
              <w:rPr>
                <w:sz w:val="20"/>
                <w:szCs w:val="20"/>
              </w:rPr>
              <w:t xml:space="preserve"> (NZTD) Pflicht – die digitale Einreise-, Zoll- und Biosecurity-Erklärung, die die frühere Papierkarte ersetzt hat.</w:t>
            </w:r>
          </w:p>
          <w:p w14:paraId="70A5026C" w14:textId="77777777" w:rsidR="00C1548D" w:rsidRDefault="009B1B4B" w:rsidP="009B1B4B">
            <w:pPr>
              <w:pStyle w:val="ListParagraph"/>
              <w:numPr>
                <w:ilvl w:val="0"/>
                <w:numId w:val="1"/>
              </w:numPr>
              <w:spacing w:after="50" w:line="264" w:lineRule="auto"/>
            </w:pPr>
            <w:r>
              <w:rPr>
                <w:sz w:val="20"/>
                <w:szCs w:val="20"/>
              </w:rPr>
              <w:t xml:space="preserve">Beantrage die </w:t>
            </w:r>
            <w:r>
              <w:rPr>
                <w:i/>
                <w:iCs/>
                <w:sz w:val="20"/>
                <w:szCs w:val="20"/>
              </w:rPr>
              <w:t>IRD-Nummer</w:t>
            </w:r>
            <w:r>
              <w:rPr>
                <w:sz w:val="20"/>
                <w:szCs w:val="20"/>
              </w:rPr>
              <w:t xml:space="preserve"> (Inland Revenue Department, die neuseeländische Steuerbehörde) sofort nach der Ankunft: kostenlos, oft binnen zwei Tagen bestätigt, aber ohne sie drohen hohe pauschale Steuerabzüge.</w:t>
            </w:r>
          </w:p>
          <w:p w14:paraId="70A5026D" w14:textId="77777777" w:rsidR="00C1548D" w:rsidRDefault="009B1B4B" w:rsidP="009B1B4B">
            <w:pPr>
              <w:pStyle w:val="ListParagraph"/>
              <w:numPr>
                <w:ilvl w:val="0"/>
                <w:numId w:val="1"/>
              </w:numPr>
              <w:spacing w:after="50" w:line="264" w:lineRule="auto"/>
            </w:pPr>
            <w:r>
              <w:rPr>
                <w:sz w:val="20"/>
                <w:szCs w:val="20"/>
              </w:rPr>
              <w:t>Ein Bankkonto lässt sich bei mehreren Großbanken schon von Deutschland aus online vorbereiten, wird aber erst nach persönlicher Identifizierung vor Ort voll nutzbar.</w:t>
            </w:r>
          </w:p>
          <w:p w14:paraId="70A5026E" w14:textId="77777777" w:rsidR="00C1548D" w:rsidRDefault="009B1B4B" w:rsidP="009B1B4B">
            <w:pPr>
              <w:pStyle w:val="ListParagraph"/>
              <w:numPr>
                <w:ilvl w:val="0"/>
                <w:numId w:val="1"/>
              </w:numPr>
              <w:spacing w:after="50" w:line="264" w:lineRule="auto"/>
            </w:pPr>
            <w:r>
              <w:rPr>
                <w:sz w:val="20"/>
                <w:szCs w:val="20"/>
              </w:rPr>
              <w:t xml:space="preserve">Zugang zum öffentlichen Gesundheitssystem hast du erst mit einem Visum für mindestens zwei Jahre oder als Resident – die </w:t>
            </w:r>
            <w:r>
              <w:rPr>
                <w:i/>
                <w:iCs/>
                <w:sz w:val="20"/>
                <w:szCs w:val="20"/>
              </w:rPr>
              <w:t>ACC</w:t>
            </w:r>
            <w:r>
              <w:rPr>
                <w:sz w:val="20"/>
                <w:szCs w:val="20"/>
              </w:rPr>
              <w:t xml:space="preserve"> (die staatliche Unfallversicherung) deckt dagegen von der ersten Minute an jeden in Neuseeland ab.</w:t>
            </w:r>
          </w:p>
          <w:p w14:paraId="70A5026F" w14:textId="77777777" w:rsidR="00C1548D" w:rsidRDefault="009B1B4B" w:rsidP="009B1B4B">
            <w:pPr>
              <w:pStyle w:val="ListParagraph"/>
              <w:numPr>
                <w:ilvl w:val="0"/>
                <w:numId w:val="1"/>
              </w:numPr>
              <w:spacing w:after="50" w:line="264" w:lineRule="auto"/>
            </w:pPr>
            <w:r>
              <w:rPr>
                <w:sz w:val="20"/>
                <w:szCs w:val="20"/>
              </w:rPr>
              <w:t>Organisiere SIM-Karte und Internet früh, idealerweise schon vor dem Abflug.</w:t>
            </w:r>
          </w:p>
          <w:p w14:paraId="70A50270" w14:textId="77777777" w:rsidR="00C1548D" w:rsidRDefault="009B1B4B" w:rsidP="009B1B4B">
            <w:pPr>
              <w:pStyle w:val="ListParagraph"/>
              <w:numPr>
                <w:ilvl w:val="0"/>
                <w:numId w:val="1"/>
              </w:numPr>
              <w:spacing w:after="50" w:line="264" w:lineRule="auto"/>
            </w:pPr>
            <w:r>
              <w:rPr>
                <w:sz w:val="20"/>
                <w:szCs w:val="20"/>
              </w:rPr>
              <w:t>Buche die erste Unterkunft nur als flexible Übergangslösung; die eigentliche Wohnungssuche läuft am besten vor Ort.</w:t>
            </w:r>
          </w:p>
        </w:tc>
      </w:tr>
    </w:tbl>
    <w:p w14:paraId="70A50272" w14:textId="77777777" w:rsidR="00C1548D" w:rsidRDefault="00C1548D">
      <w:pPr>
        <w:spacing w:line="220" w:lineRule="exact"/>
      </w:pPr>
    </w:p>
    <w:p w14:paraId="70A50273" w14:textId="77777777" w:rsidR="00C1548D" w:rsidRDefault="009B1B4B">
      <w:pPr>
        <w:pStyle w:val="Heading3"/>
        <w:keepNext/>
        <w:jc w:val="center"/>
      </w:pPr>
      <w:r>
        <w:rPr>
          <w:rFonts w:ascii="Amazon Ember" w:eastAsia="Amazon Ember" w:hAnsi="Amazon Ember" w:cs="Amazon Ember"/>
          <w:color w:val="0000FF"/>
          <w:sz w:val="36"/>
          <w:szCs w:val="36"/>
        </w:rPr>
        <w:t>Einreise: NZTD, Zoll und Biosecurity</w:t>
      </w:r>
    </w:p>
    <w:p w14:paraId="70A50274" w14:textId="77777777" w:rsidR="00C1548D" w:rsidRDefault="009B1B4B">
      <w:pPr>
        <w:spacing w:after="140"/>
      </w:pPr>
      <w:r>
        <w:t>Vor dem Abflug – frühestens 24 Stunden davor, spätestens vor der Passkontrolle in Neuseeland – füllst du die New Zealand Traveller Declaration online oder per App aus. Sie bündelt Reise-, Zoll-, Einwanderungs- und Biosecurity-Angaben in einem einzigen digitalen Formular und ersetzt die frühere Papier-Einreisekarte; ausfüllen muss sie jeder, auch Kinder und Kleinkinder mit eigener Erklärung. Das dauert rund zehn Minuten und erspart am Flughafen selbst viel Papierkram – nicht aber die eigentliche Kontrolle.</w:t>
      </w:r>
    </w:p>
    <w:p w14:paraId="70A50275" w14:textId="77777777" w:rsidR="00C1548D" w:rsidRDefault="009B1B4B">
      <w:pPr>
        <w:spacing w:after="140"/>
      </w:pPr>
      <w:r>
        <w:t xml:space="preserve">Direkt nach der Passkontrolle folgt die Biosecurity-Prüfung durch das </w:t>
      </w:r>
      <w:r>
        <w:rPr>
          <w:i/>
          <w:iCs/>
        </w:rPr>
        <w:t>Ministry for Primary Industries</w:t>
      </w:r>
      <w:r>
        <w:t xml:space="preserve"> (MPI, das Ministerium für Grundstoffindustrien, zuständig unter anderem für Biosicherheit). Neuseeland zählt zu den Ländern mit der strengsten Einfuhrkontrolle für Lebensmittel, Pflanzen, Holzprodukte und </w:t>
      </w:r>
      <w:r>
        <w:lastRenderedPageBreak/>
        <w:t>gebrauchte Outdoor-Ausrüstung weltweit – aus gutem Grund: Ohne nennenswerte natürliche Fressfeinde reagiert das Inselökosystem empfindlich auf eingeschleppte Schädlinge. Wanderschuhe mit Erdresten, Camping-Ausrüstung, Honig, frisches Obst oder auch nur eine offen angebrochene Tüte Nüsse gehören auf die Er</w:t>
      </w:r>
      <w:r>
        <w:t>klärung, ganz gleich, wie harmlos sie wirken. Speziell trainierte Spürhunde patrouillieren am Gepäckband und finden zuverlässig, was in der Eile vergessen wurde. Ehrliches Deklarieren kostet höchstens ein paar Minuten Nachfrage; Verschweigen kann teuer werden.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7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276" w14:textId="77777777" w:rsidR="00C1548D" w:rsidRDefault="009B1B4B">
            <w:pPr>
              <w:keepNext/>
              <w:spacing w:after="70" w:line="240" w:lineRule="auto"/>
            </w:pPr>
            <w:r>
              <w:rPr>
                <w:b/>
                <w:bCs/>
                <w:color w:val="9B2C2C"/>
                <w:spacing w:val="24"/>
                <w:sz w:val="16"/>
                <w:szCs w:val="16"/>
              </w:rPr>
              <w:t>ACHTUNG</w:t>
            </w:r>
          </w:p>
          <w:p w14:paraId="70A50277" w14:textId="77777777" w:rsidR="00C1548D" w:rsidRDefault="009B1B4B">
            <w:pPr>
              <w:spacing w:after="80" w:line="264" w:lineRule="auto"/>
            </w:pPr>
            <w:r>
              <w:rPr>
                <w:sz w:val="20"/>
                <w:szCs w:val="20"/>
              </w:rPr>
              <w:t>Die Biosecurity-Kontrolle gilt für jedes Familienmitglied und jedes Gepäckstück einzeln. Ein einzelner vergessener Apfel im Rucksack der Kinder reicht, um die ganze Familie in die längere Kontrollspur zu schicken – deklariere lieber einmal zu viel als zu wenig.</w:t>
            </w:r>
          </w:p>
        </w:tc>
      </w:tr>
    </w:tbl>
    <w:p w14:paraId="70A50279" w14:textId="77777777" w:rsidR="00C1548D" w:rsidRDefault="00C1548D">
      <w:pPr>
        <w:spacing w:line="220" w:lineRule="exact"/>
      </w:pPr>
    </w:p>
    <w:p w14:paraId="70A5027A" w14:textId="77777777" w:rsidR="00C1548D" w:rsidRDefault="009B1B4B">
      <w:pPr>
        <w:spacing w:after="140"/>
      </w:pPr>
      <w:r>
        <w:t>Vom Flughafen geht es meist per Shuttle, Taxi, Fahrdienst oder Mietwagen weiter; in Christchurch, Auckland und Wellington sind die Stadtzentren jeweils nur eine kurze Fahrt entfernt. Wechsle nur so viel Bargeld wie nötig am Flughafenschalter – die Kurse dort sind selten die besten –, den Rest erledigst du bequemer über Karte oder das neue Konto.</w:t>
      </w:r>
    </w:p>
    <w:p w14:paraId="70A5027B" w14:textId="77777777" w:rsidR="00C1548D" w:rsidRDefault="009B1B4B">
      <w:pPr>
        <w:spacing w:after="140"/>
      </w:pPr>
      <w:r>
        <w:t>Bargeld und Reiseschecks über einem bestimmten Gesamtwert meldest du in der NZTD ebenfalls aktiv an; die Anmeldung selbst ist unproblematisch, das Verschweigen dagegen nicht. Wer mit dem Auto weiterreist, sollte sich außerdem gleich am ersten Tag klarmachen, dass in Neuseeland Linksverkehr gilt – ein Detail, das nach einem Nachtflug leichter in Vergessenheit gerät, als man denkt. Führerschein-Umtausch und die Besonderheiten des neuseeländischen Straßenverkehrs behandelt ein eigenes Kapitel in diesem Teil au</w:t>
      </w:r>
      <w:r>
        <w:t>sführlich.</w:t>
      </w:r>
    </w:p>
    <w:p w14:paraId="70A5027C" w14:textId="77777777" w:rsidR="00C1548D" w:rsidRDefault="009B1B4B">
      <w:pPr>
        <w:pStyle w:val="Heading3"/>
        <w:keepNext/>
        <w:jc w:val="center"/>
      </w:pPr>
      <w:r>
        <w:rPr>
          <w:rFonts w:ascii="Amazon Ember" w:eastAsia="Amazon Ember" w:hAnsi="Amazon Ember" w:cs="Amazon Ember"/>
          <w:color w:val="0000FF"/>
          <w:sz w:val="36"/>
          <w:szCs w:val="36"/>
        </w:rPr>
        <w:lastRenderedPageBreak/>
        <w:t>Jetlag und die ersten Tage</w:t>
      </w:r>
    </w:p>
    <w:p w14:paraId="70A5027D" w14:textId="77777777" w:rsidR="00C1548D" w:rsidRDefault="009B1B4B">
      <w:pPr>
        <w:spacing w:after="140"/>
      </w:pPr>
      <w:r>
        <w:t>Neuseeland liegt, je nach Sommer- oder Winterzeit auf beiden Seiten der Erde, rund elf bis zwölf Stunden vor der deutschen Zeit – ein Sprung, der sich nicht mit einer Mütze Schlaf im Flugzeug erledigt.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w:t>
      </w:r>
      <w:r>
        <w:t xml:space="preserve"> eine Tasse Kaffee.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80"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27E" w14:textId="77777777" w:rsidR="00C1548D" w:rsidRDefault="009B1B4B">
            <w:pPr>
              <w:keepNext/>
              <w:spacing w:after="70" w:line="240" w:lineRule="auto"/>
            </w:pPr>
            <w:r>
              <w:rPr>
                <w:b/>
                <w:bCs/>
                <w:color w:val="8A6212"/>
                <w:spacing w:val="24"/>
                <w:sz w:val="16"/>
                <w:szCs w:val="16"/>
              </w:rPr>
              <w:t>MERKE</w:t>
            </w:r>
          </w:p>
          <w:p w14:paraId="70A5027F" w14:textId="77777777" w:rsidR="00C1548D" w:rsidRDefault="009B1B4B">
            <w:pPr>
              <w:spacing w:after="80" w:line="264" w:lineRule="auto"/>
            </w:pPr>
            <w:r>
              <w:rPr>
                <w:sz w:val="20"/>
                <w:szCs w:val="20"/>
              </w:rPr>
              <w:t>Wer gleich am zweiten Tag zum wichtigen Behördentermin will, überschätzt meist die eigene Tagesform. Ein, zwei Tage Puffer zahlen sich in jedem Gespräch aus, bei dem es auf Konzentration ankommt.</w:t>
            </w:r>
          </w:p>
        </w:tc>
      </w:tr>
    </w:tbl>
    <w:p w14:paraId="70A50281" w14:textId="77777777" w:rsidR="00C1548D" w:rsidRDefault="00C1548D">
      <w:pPr>
        <w:spacing w:line="220" w:lineRule="exact"/>
      </w:pPr>
    </w:p>
    <w:p w14:paraId="70A50282" w14:textId="77777777" w:rsidR="00C1548D" w:rsidRDefault="009B1B4B">
      <w:pPr>
        <w:pStyle w:val="Heading3"/>
        <w:keepNext/>
        <w:jc w:val="center"/>
      </w:pPr>
      <w:r>
        <w:rPr>
          <w:rFonts w:ascii="Amazon Ember" w:eastAsia="Amazon Ember" w:hAnsi="Amazon Ember" w:cs="Amazon Ember"/>
          <w:color w:val="0000FF"/>
          <w:sz w:val="36"/>
          <w:szCs w:val="36"/>
        </w:rPr>
        <w:t>Die IRD-Nummer: dein erster Behördengang</w:t>
      </w:r>
    </w:p>
    <w:p w14:paraId="70A50283" w14:textId="77777777" w:rsidR="00C1548D" w:rsidRDefault="009B1B4B">
      <w:pPr>
        <w:spacing w:after="140"/>
      </w:pPr>
      <w:r>
        <w:t xml:space="preserve">Eine der ersten Amtshandlungen nach der Ankunft sollte die Beantragung der </w:t>
      </w:r>
      <w:r>
        <w:rPr>
          <w:i/>
          <w:iCs/>
        </w:rPr>
        <w:t>IRD-Nummer</w:t>
      </w:r>
      <w:r>
        <w:t xml:space="preserve"> sein, der kostenlosen, lebenslangen Steuer-Identifikationsnummer des </w:t>
      </w:r>
      <w:r>
        <w:rPr>
          <w:i/>
          <w:iCs/>
        </w:rPr>
        <w:t>Inland Revenue Department</w:t>
      </w:r>
      <w:r>
        <w:t xml:space="preserve">. Ohne sie läuft in Neuseeland weder ein reguläres Gehalt noch ein voll nutzbares Bankkonto oder ein späterer Beitritt zu </w:t>
      </w:r>
      <w:r>
        <w:rPr>
          <w:i/>
          <w:iCs/>
        </w:rPr>
        <w:t>KiwiSaver</w:t>
      </w:r>
      <w:r>
        <w:t xml:space="preserve">, dem staatlich geförderten Rentensparsystem. Die Beantragung läuft im Verfahren „New Arrival to New Zealand“ über ein persönliches </w:t>
      </w:r>
      <w:r>
        <w:rPr>
          <w:i/>
          <w:iCs/>
        </w:rPr>
        <w:t>myIR</w:t>
      </w:r>
      <w:r>
        <w:t>-Konto, bei dem das System deine Identität direkt mit den bei INZ hinterlegten Visadaten abgleicht. Resident-Visum-Inhaber brauchen dafür nur Passdaten und die INZ-Antragsnummer; wer mit einem Arbeits- oder Studienvisum einreist, gibt zusätzlich nach Möglichkeit die letzte ausländische Steuernummer an.</w:t>
      </w:r>
    </w:p>
    <w:p w14:paraId="70A50284" w14:textId="77777777" w:rsidR="00C1548D" w:rsidRDefault="009B1B4B">
      <w:pPr>
        <w:spacing w:after="140"/>
      </w:pPr>
      <w:r>
        <w:lastRenderedPageBreak/>
        <w:t>Bei erfolgreicher Online-Verifizierung kommt die IRD-Nummer meist innerhalb von zwei Tagen per SMS oder E-Mail – ein Tempo, das in der sonst eher gemächlichen Behördenwelt angenehm überrascht. Wichtig ist die Reihenfolge: Ohne Wohnsitznachweis oder ohne die passenden Visadaten im System lässt sich der Antrag nicht sauber stellen, weshalb sich die Beantragung in der Praxis erst nach den ersten Tagen vor Ort erledigen lässt, nicht schon vom Hotelzimmer am Ankunftstag aus.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87"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285" w14:textId="77777777" w:rsidR="00C1548D" w:rsidRDefault="009B1B4B">
            <w:pPr>
              <w:keepNext/>
              <w:spacing w:after="70" w:line="240" w:lineRule="auto"/>
            </w:pPr>
            <w:r>
              <w:rPr>
                <w:b/>
                <w:bCs/>
                <w:color w:val="9B2C2C"/>
                <w:spacing w:val="24"/>
                <w:sz w:val="16"/>
                <w:szCs w:val="16"/>
              </w:rPr>
              <w:t>ACHTUNG</w:t>
            </w:r>
          </w:p>
          <w:p w14:paraId="70A50286" w14:textId="77777777" w:rsidR="00C1548D" w:rsidRDefault="009B1B4B">
            <w:pPr>
              <w:spacing w:after="80" w:line="264" w:lineRule="auto"/>
            </w:pPr>
            <w:r>
              <w:rPr>
                <w:sz w:val="20"/>
                <w:szCs w:val="20"/>
              </w:rPr>
              <w:t>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 der offiziellen IRD-Quelle verifizieren. Verlasse dich sicherheitshalber nicht auf eine bestimmte Zahl, sondern beantrage die Nummer schlicht so früh wie möglich – das kostet nichts und erspart im Zweifel eine unangenehme</w:t>
            </w:r>
            <w:r>
              <w:rPr>
                <w:sz w:val="20"/>
                <w:szCs w:val="20"/>
              </w:rPr>
              <w:t xml:space="preserve"> erste Gehaltsabrechnung.</w:t>
            </w:r>
          </w:p>
        </w:tc>
      </w:tr>
    </w:tbl>
    <w:p w14:paraId="70A50288" w14:textId="77777777" w:rsidR="00C1548D" w:rsidRDefault="00C1548D">
      <w:pPr>
        <w:spacing w:line="220" w:lineRule="exact"/>
      </w:pPr>
    </w:p>
    <w:p w14:paraId="70A50289" w14:textId="77777777" w:rsidR="00C1548D" w:rsidRDefault="009B1B4B">
      <w:pPr>
        <w:pStyle w:val="Heading3"/>
        <w:keepNext/>
        <w:jc w:val="center"/>
      </w:pPr>
      <w:r>
        <w:rPr>
          <w:rFonts w:ascii="Amazon Ember" w:eastAsia="Amazon Ember" w:hAnsi="Amazon Ember" w:cs="Amazon Ember"/>
          <w:color w:val="0000FF"/>
          <w:sz w:val="36"/>
          <w:szCs w:val="36"/>
        </w:rPr>
        <w:t>Bankkonto: am besten schon vor dem Abflug vorbereitet</w:t>
      </w:r>
    </w:p>
    <w:p w14:paraId="70A5028A" w14:textId="77777777" w:rsidR="00C1548D" w:rsidRDefault="009B1B4B">
      <w:pPr>
        <w:spacing w:after="140"/>
      </w:pPr>
      <w:r>
        <w:t>Für Gehalt, Miete und Alltag brauchst du ein neuseeländisches Bankkonto – und die gute Nachricht vorweg: ANZ bietet für die meisten Visumkategorien eine Kontoeröffnung bis zu 90 Tage vor der Einreise an, ASB lässt sich per App schon aus dem Ausland kontaktieren, sofern ein längerfristiges Visum vorliegt. Bei Westpac und BNZ ist laut mehreren Quellen eher ein persönlicher Filialbesuch üblich, wobei sich die genauen Abläufe der Banken immer wieder ändern. Nutze eine Vorab-Eröffnung, wenn deine Zielbank sie an</w:t>
      </w:r>
      <w:r>
        <w:t>bietet: Dann bist du vom ersten Arbeitstag an zahlungsfähig, statt in der turbulentesten Woche noch einen Filialtermin einzuschieben.</w:t>
      </w:r>
    </w:p>
    <w:p w14:paraId="70A5028B" w14:textId="59D9B472" w:rsidR="00C1548D" w:rsidRDefault="009B1B4B">
      <w:pPr>
        <w:spacing w:after="140"/>
      </w:pPr>
      <w:r>
        <w:lastRenderedPageBreak/>
        <w:t>Unabhängig vom Vorab-Status bleibt jedes Konto bis zur persönlichen Identitätsprüfung in einer Filiale – mit Pass, Visumsnachweis und einem neuseeländischen Adressnachweis – im reinen „Nur-Einzahlung“-Modus: Geld kommt rein, aber Überweisungen, Karte und Online-Banking funktionieren erst nach der Verifizierung vor Ort. Auch ohne IRD-Nummer und ohne feste Adresse lässt sich meist ein Übergangskonto eröffnen; reiche die IRD-Nummer aber zügig nach, sonst greift bei Zinserträgen der oben beschriebene hohe Vorst</w:t>
      </w:r>
      <w:r>
        <w:t xml:space="preserve">euersatz. Wie du dir eine neuseeländische Kreditwürdigkeit aufbaust und welche Bank sich für dich lohnt, vertieft das </w:t>
      </w:r>
      <w:hyperlink w:anchor="tnz07" w:history="1">
        <w:r>
          <w:rPr>
            <w:color w:val="0563C1"/>
            <w:u w:val="single"/>
          </w:rPr>
          <w:t>Kapitel zu Steuer-ID, Bank und Kredit in diesem Teil</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8E"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28C" w14:textId="77777777" w:rsidR="00C1548D" w:rsidRDefault="009B1B4B">
            <w:pPr>
              <w:keepNext/>
              <w:spacing w:after="70" w:line="240" w:lineRule="auto"/>
            </w:pPr>
            <w:r>
              <w:rPr>
                <w:b/>
                <w:bCs/>
                <w:color w:val="2F6B3B"/>
                <w:spacing w:val="24"/>
                <w:sz w:val="16"/>
                <w:szCs w:val="16"/>
              </w:rPr>
              <w:t>SPARTIPP</w:t>
            </w:r>
          </w:p>
          <w:p w14:paraId="70A5028D" w14:textId="77777777" w:rsidR="00C1548D" w:rsidRDefault="009B1B4B">
            <w:pPr>
              <w:spacing w:after="80" w:line="264" w:lineRule="auto"/>
            </w:pPr>
            <w:r>
              <w:rPr>
                <w:sz w:val="20"/>
                <w:szCs w:val="20"/>
              </w:rPr>
              <w:t>Vergleiche vor der Wahl der Bank gezielt die Kontoführungsgebühren für Neuankömmlinge – einige Institute bieten befristete gebührenfreie Pakete an, die im Kleingedruckten der Newcomer-Seiten stehen, nicht auf der allgemeinen Startseite.</w:t>
            </w:r>
          </w:p>
        </w:tc>
      </w:tr>
    </w:tbl>
    <w:p w14:paraId="70A5028F" w14:textId="77777777" w:rsidR="00C1548D" w:rsidRDefault="00C1548D">
      <w:pPr>
        <w:spacing w:line="220" w:lineRule="exact"/>
      </w:pPr>
    </w:p>
    <w:p w14:paraId="70A50290" w14:textId="77777777" w:rsidR="00C1548D" w:rsidRDefault="009B1B4B">
      <w:pPr>
        <w:spacing w:after="140"/>
      </w:pPr>
      <w:r>
        <w:t>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läuft – das holst du nach, sobald ein Daueraufenthaltstitel vorliegt, nicht vorher.</w:t>
      </w:r>
    </w:p>
    <w:p w14:paraId="70A50291" w14:textId="77777777" w:rsidR="00C1548D" w:rsidRDefault="009B1B4B">
      <w:pPr>
        <w:pStyle w:val="Heading3"/>
        <w:keepNext/>
        <w:jc w:val="center"/>
      </w:pPr>
      <w:r>
        <w:rPr>
          <w:rFonts w:ascii="Amazon Ember" w:eastAsia="Amazon Ember" w:hAnsi="Amazon Ember" w:cs="Amazon Ember"/>
          <w:color w:val="0000FF"/>
          <w:sz w:val="36"/>
          <w:szCs w:val="36"/>
        </w:rPr>
        <w:t>Gesundheitssystem und ACC: zwei unterschiedliche Systeme</w:t>
      </w:r>
    </w:p>
    <w:p w14:paraId="70A50292" w14:textId="77777777" w:rsidR="00C1548D" w:rsidRDefault="009B1B4B">
      <w:pPr>
        <w:spacing w:after="140"/>
      </w:pPr>
      <w:r>
        <w:t xml:space="preserve">Noch bevor der erste Arztbesuch ansteht, lohnt sich Klarheit über einen Punkt, den viele Neuankömmlinge durcheinanderbringen: Neuseeland hat zwei getrennte Absicherungssysteme, die nach völlig unterschiedlichen Regeln funktionieren. Zugang zum subventionierten öffentlichen Gesundheitssystem hast du erst als Staatsbürger, als Inhaber eines Resident-Visums oder mit einem </w:t>
      </w:r>
      <w:r>
        <w:lastRenderedPageBreak/>
        <w:t>Arbeitsvisum von mindestens zwei Jahren Laufzeit, gerechnet ab dem ersten Tag in Neuseeland beziehungsweise unter Anrechnung bereits verbrachter Zeit. Wer mit einem kürzeren Visum einreist – etwa Working Holiday oder ein kurz laufendes AEWV –, ist in der Regel nicht automatisch abgedeckt und braucht eine private Übergangsversicherung, wie sie bei vielen befristeten Visa ohnehin schon Voraussetzung für die Erteilung ist.</w:t>
      </w:r>
    </w:p>
    <w:p w14:paraId="70A50293" w14:textId="77D57B32" w:rsidR="00C1548D" w:rsidRDefault="009B1B4B">
      <w:pPr>
        <w:spacing w:after="140"/>
      </w:pPr>
      <w:r>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ein Systemunterschied, der viele Deutsche zunächst überrascht. Finanziert wird das unter anderem über die Earner’s Levy, die direkt vom Gehalt abgezogen w</w:t>
      </w:r>
      <w:r>
        <w:t xml:space="preserve">ird, sobald du regulär angestellt bist. Details zu beiden Systemen, zu Wartefristen und zu privaten Zusatzversicherungen erklärt das </w:t>
      </w:r>
      <w:hyperlink w:anchor="tnz08" w:history="1">
        <w:r>
          <w:rPr>
            <w:color w:val="0563C1"/>
            <w:u w:val="single"/>
          </w:rPr>
          <w:t>Kapitel zum Gesundheitssystem in diesem Teil</w:t>
        </w:r>
      </w:hyperlink>
      <w:r>
        <w:t xml:space="preserve"> ausführlich.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9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294" w14:textId="77777777" w:rsidR="00C1548D" w:rsidRDefault="009B1B4B">
            <w:pPr>
              <w:keepNext/>
              <w:spacing w:after="70" w:line="240" w:lineRule="auto"/>
            </w:pPr>
            <w:r>
              <w:rPr>
                <w:b/>
                <w:bCs/>
                <w:color w:val="8A6212"/>
                <w:spacing w:val="24"/>
                <w:sz w:val="16"/>
                <w:szCs w:val="16"/>
              </w:rPr>
              <w:t>MERKE</w:t>
            </w:r>
          </w:p>
          <w:p w14:paraId="70A50295" w14:textId="77777777" w:rsidR="00C1548D" w:rsidRDefault="009B1B4B">
            <w:pPr>
              <w:spacing w:after="80" w:line="264" w:lineRule="auto"/>
            </w:pPr>
            <w:r>
              <w:rPr>
                <w:sz w:val="20"/>
                <w:szCs w:val="20"/>
              </w:rPr>
              <w:t>ACC greift ab der ersten Minute in Neuseeland, das öffentliche Gesundheitssystem erst mit ausreichend langem Aufenthaltstitel. Verwechsle die beiden nicht – ein Skiunfall in der ersten Woche ist über ACC abgesichert, ein banaler Zahnarztbesuch mit kurzem Visum in der Regel nicht.</w:t>
            </w:r>
          </w:p>
        </w:tc>
      </w:tr>
    </w:tbl>
    <w:p w14:paraId="70A50297"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9A"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298" w14:textId="77777777" w:rsidR="00C1548D" w:rsidRDefault="009B1B4B">
            <w:pPr>
              <w:keepNext/>
              <w:spacing w:after="70" w:line="240" w:lineRule="auto"/>
            </w:pPr>
            <w:r>
              <w:rPr>
                <w:b/>
                <w:bCs/>
                <w:color w:val="4A5568"/>
                <w:spacing w:val="24"/>
                <w:sz w:val="16"/>
                <w:szCs w:val="16"/>
              </w:rPr>
              <w:lastRenderedPageBreak/>
              <w:t>PRAXISBEISPIEL · FIKTIV</w:t>
            </w:r>
          </w:p>
          <w:p w14:paraId="70A50299" w14:textId="77777777" w:rsidR="00C1548D" w:rsidRDefault="009B1B4B">
            <w:pPr>
              <w:spacing w:after="80" w:line="264" w:lineRule="auto"/>
            </w:pPr>
            <w:r>
              <w:rPr>
                <w:sz w:val="20"/>
                <w:szCs w:val="20"/>
              </w:rPr>
              <w:t>Familie Krüger landet mit dem bereits genehmigten AEWV in Christchurch – der Vertrag läuft über drei Jahre, womit die Familie die Zwei-Jahres-Schwelle für das öffentliche Gesundheitssystem von Anfang an erfüllt. Trotzdem dauert die formale Anmeldung einige Tage, weshalb Petra für die ersten zwei Wochen sicherheitshalber die deutsche Auslandskrankenversicherung der Familie verlängert. Als Finn sich in der zweiten Woche beim Klettern am Spielplatz den Arm verstaucht, übernimmt ACC die Behandlung im Krankenhau</w:t>
            </w:r>
            <w:r>
              <w:rPr>
                <w:sz w:val="20"/>
                <w:szCs w:val="20"/>
              </w:rPr>
              <w:t>s, unabhängig vom Versicherungsstatus – eine Rechnung, die in Deutschland vermutlich zuerst bei der eigenen Kasse gelandet wäre. (Fiktives Beispiel.)</w:t>
            </w:r>
          </w:p>
        </w:tc>
      </w:tr>
    </w:tbl>
    <w:p w14:paraId="70A5029B" w14:textId="77777777" w:rsidR="00C1548D" w:rsidRDefault="00C1548D">
      <w:pPr>
        <w:spacing w:line="220" w:lineRule="exact"/>
      </w:pPr>
    </w:p>
    <w:p w14:paraId="70A5029C" w14:textId="77777777" w:rsidR="00C1548D" w:rsidRDefault="009B1B4B">
      <w:pPr>
        <w:pStyle w:val="Heading3"/>
        <w:keepNext/>
        <w:jc w:val="center"/>
      </w:pPr>
      <w:r>
        <w:rPr>
          <w:rFonts w:ascii="Amazon Ember" w:eastAsia="Amazon Ember" w:hAnsi="Amazon Ember" w:cs="Amazon Ember"/>
          <w:color w:val="0000FF"/>
          <w:sz w:val="36"/>
          <w:szCs w:val="36"/>
        </w:rPr>
        <w:t>SIM-Karte und Internet</w:t>
      </w:r>
    </w:p>
    <w:p w14:paraId="70A5029D" w14:textId="77777777" w:rsidR="00C1548D" w:rsidRDefault="009B1B4B">
      <w:pPr>
        <w:spacing w:after="140"/>
      </w:pPr>
      <w:r>
        <w:t xml:space="preserve">Deutsche Mobilfunktarife bieten für Neuseeland in aller Regel kein EU-Roaming, und wer das erst am Gepäckband merkt, zahlt für die ersten Anrufe unangenehm viel. Praktischer ist eine </w:t>
      </w:r>
      <w:r>
        <w:rPr>
          <w:i/>
          <w:iCs/>
        </w:rPr>
        <w:t>eSIM</w:t>
      </w:r>
      <w:r>
        <w:t xml:space="preserve"> (eine rein digitale SIM-Karte) mit Neuseeland-Datenpaket, eingerichtet schon vor dem Abflug, oder eine physische Prepaid-SIM direkt nach der Landung – erhältlich an Kiosken im Ankunftsbereich, in Supermärkten oder bei den Netzbetreibern selbst. Die drei großen Netze sind Spark, One NZ (früher Vodafone New Zealand) und 2degrees; alle drei betreiben eigene Mobilfunknetze mit guter Abdeckung in den Städten, während abgelegenere Regionen der Südinsel stellenweise dünner versorgt sind. Wer besonders auf den Pre</w:t>
      </w:r>
      <w:r>
        <w:t>is schaut, findet bei Skinny – der Billigmarke von Spark – günstige Prepaid-Tarife ganz ohne Bonitätsprüfung. Behalte deine deutsche Nummer als Zweit-SIM, solange dort noch Bestätigungscodes von Bank oder deutschen Behörden eintreffen.</w:t>
      </w:r>
    </w:p>
    <w:p w14:paraId="70A5029E"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erste Unterkunft: Übergang und Wohnungssuche</w:t>
      </w:r>
    </w:p>
    <w:p w14:paraId="70A5029F" w14:textId="77777777" w:rsidR="00C1548D" w:rsidRDefault="009B1B4B">
      <w:pPr>
        <w:spacing w:after="140"/>
      </w:pPr>
      <w:r>
        <w:t>Die erste neuseeländische Adresse ist selten die endgültige – und genau so solltest du sie auch buchen: mit kostenloser Stornierung, ohne Langzeitvertrag. Ein möbliertes Apartment auf Zeit, ein Airbnb oder ein Motel mit Wochenpreisen überbrücken die ersten Tage bis Wochen, in denen du ohnehin erst IRD-Nummer, Bankverbindung und einen ersten Gehaltsnachweis vorweisen können solltest, bevor du dich um einen regulären Mietvertrag bemühst.</w:t>
      </w:r>
    </w:p>
    <w:p w14:paraId="70A502A0" w14:textId="7414BC3D" w:rsidR="00C1548D" w:rsidRDefault="009B1B4B">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history="1">
        <w:r>
          <w:rPr>
            <w:color w:val="0563C1"/>
            <w:u w:val="single"/>
          </w:rPr>
          <w:t>Kapitel zum Wohnen in diesem Teil</w:t>
        </w:r>
      </w:hyperlink>
      <w:r>
        <w:t xml:space="preserve"> ausführlich.</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A3"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2A1" w14:textId="77777777" w:rsidR="00C1548D" w:rsidRDefault="009B1B4B">
            <w:pPr>
              <w:keepNext/>
              <w:spacing w:after="70" w:line="240" w:lineRule="auto"/>
            </w:pPr>
            <w:r>
              <w:rPr>
                <w:b/>
                <w:bCs/>
                <w:color w:val="2F6B3B"/>
                <w:spacing w:val="24"/>
                <w:sz w:val="16"/>
                <w:szCs w:val="16"/>
              </w:rPr>
              <w:t>SPARTIPP</w:t>
            </w:r>
          </w:p>
          <w:p w14:paraId="70A502A2" w14:textId="77777777" w:rsidR="00C1548D" w:rsidRDefault="009B1B4B">
            <w:pPr>
              <w:spacing w:after="80" w:line="264" w:lineRule="auto"/>
            </w:pPr>
            <w:r>
              <w:rPr>
                <w:sz w:val="20"/>
                <w:szCs w:val="20"/>
              </w:rPr>
              <w:t>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tc>
      </w:tr>
    </w:tbl>
    <w:p w14:paraId="70A502A4" w14:textId="77777777" w:rsidR="00C1548D" w:rsidRDefault="00C1548D">
      <w:pPr>
        <w:spacing w:line="220" w:lineRule="exact"/>
      </w:pPr>
    </w:p>
    <w:p w14:paraId="70A502A5"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ersten zwei Wochen als Fahrplan</w:t>
      </w:r>
    </w:p>
    <w:p w14:paraId="70A502A6" w14:textId="77777777" w:rsidR="00C1548D" w:rsidRDefault="009B1B4B">
      <w:pPr>
        <w:spacing w:after="140"/>
      </w:pPr>
      <w:r>
        <w:t>Die folgende Übersicht ordnet die wichtigsten Schritte grob nach Zeitpunkt – wie schnell es tatsächlich geht, hängt von Visumtyp, Flug und Wohnort ab.</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4352"/>
        <w:gridCol w:w="1178"/>
      </w:tblGrid>
      <w:tr w:rsidR="00C1548D" w14:paraId="70A502AA"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2A7" w14:textId="77777777" w:rsidR="00C1548D" w:rsidRDefault="009B1B4B">
            <w:pPr>
              <w:spacing w:line="250" w:lineRule="auto"/>
            </w:pPr>
            <w:r>
              <w:rPr>
                <w:b/>
                <w:bCs/>
                <w:sz w:val="18"/>
                <w:szCs w:val="18"/>
              </w:rPr>
              <w:t>Zeitraum</w:t>
            </w:r>
          </w:p>
        </w:tc>
        <w:tc>
          <w:tcPr>
            <w:tcW w:w="43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2A8" w14:textId="77777777" w:rsidR="00C1548D" w:rsidRDefault="009B1B4B">
            <w:pPr>
              <w:spacing w:line="250" w:lineRule="auto"/>
            </w:pPr>
            <w:r>
              <w:rPr>
                <w:b/>
                <w:bCs/>
                <w:sz w:val="18"/>
                <w:szCs w:val="18"/>
              </w:rPr>
              <w:t>Aufgabe</w:t>
            </w:r>
          </w:p>
        </w:tc>
        <w:tc>
          <w:tcPr>
            <w:tcW w:w="117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2A9" w14:textId="77777777" w:rsidR="00C1548D" w:rsidRDefault="009B1B4B">
            <w:pPr>
              <w:spacing w:line="250" w:lineRule="auto"/>
            </w:pPr>
            <w:r>
              <w:rPr>
                <w:b/>
                <w:bCs/>
                <w:sz w:val="18"/>
                <w:szCs w:val="18"/>
              </w:rPr>
              <w:t>Mehr dazu</w:t>
            </w:r>
          </w:p>
        </w:tc>
      </w:tr>
      <w:tr w:rsidR="00C1548D" w14:paraId="70A502A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AB" w14:textId="77777777" w:rsidR="00C1548D" w:rsidRDefault="009B1B4B">
            <w:pPr>
              <w:spacing w:line="250" w:lineRule="auto"/>
            </w:pPr>
            <w:r>
              <w:rPr>
                <w:sz w:val="18"/>
                <w:szCs w:val="18"/>
              </w:rPr>
              <w:t>Tag 1–2</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AC" w14:textId="77777777" w:rsidR="00C1548D" w:rsidRDefault="009B1B4B">
            <w:pPr>
              <w:spacing w:line="250" w:lineRule="auto"/>
            </w:pPr>
            <w:r>
              <w:rPr>
                <w:sz w:val="18"/>
                <w:szCs w:val="18"/>
              </w:rPr>
              <w:t>Einreise mit NZTD, Übergangsunterkunft beziehen, SIM aktivieren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AD" w14:textId="77777777" w:rsidR="00C1548D" w:rsidRDefault="009B1B4B">
            <w:pPr>
              <w:spacing w:line="250" w:lineRule="auto"/>
            </w:pPr>
            <w:r>
              <w:rPr>
                <w:sz w:val="18"/>
                <w:szCs w:val="18"/>
              </w:rPr>
              <w:t>–</w:t>
            </w:r>
          </w:p>
        </w:tc>
      </w:tr>
      <w:tr w:rsidR="00C1548D" w14:paraId="70A502B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AF" w14:textId="77777777" w:rsidR="00C1548D" w:rsidRDefault="009B1B4B">
            <w:pPr>
              <w:spacing w:line="250" w:lineRule="auto"/>
            </w:pPr>
            <w:r>
              <w:rPr>
                <w:sz w:val="18"/>
                <w:szCs w:val="18"/>
              </w:rPr>
              <w:t>Tag 2–5</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B0" w14:textId="77777777" w:rsidR="00C1548D" w:rsidRDefault="009B1B4B">
            <w:pPr>
              <w:spacing w:line="250" w:lineRule="auto"/>
            </w:pPr>
            <w:r>
              <w:rPr>
                <w:sz w:val="18"/>
                <w:szCs w:val="18"/>
              </w:rPr>
              <w:t>IRD-Nummer über myIR beantragen; Bankkonto eröffnen oder vor Ort verifizieren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B1" w14:textId="77777777" w:rsidR="00C1548D" w:rsidRDefault="009B1B4B">
            <w:pPr>
              <w:spacing w:line="250" w:lineRule="auto"/>
            </w:pPr>
            <w:r>
              <w:rPr>
                <w:sz w:val="18"/>
                <w:szCs w:val="18"/>
              </w:rPr>
              <w:t>Steuer-ID/Bank</w:t>
            </w:r>
          </w:p>
        </w:tc>
      </w:tr>
      <w:tr w:rsidR="00C1548D" w14:paraId="70A502B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B3" w14:textId="77777777" w:rsidR="00C1548D" w:rsidRDefault="009B1B4B">
            <w:pPr>
              <w:spacing w:line="250" w:lineRule="auto"/>
            </w:pPr>
            <w:r>
              <w:rPr>
                <w:sz w:val="18"/>
                <w:szCs w:val="18"/>
              </w:rPr>
              <w:t>Tag 3–10</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B4" w14:textId="77777777" w:rsidR="00C1548D" w:rsidRDefault="009B1B4B">
            <w:pPr>
              <w:spacing w:line="250" w:lineRule="auto"/>
            </w:pPr>
            <w:r>
              <w:rPr>
                <w:sz w:val="18"/>
                <w:szCs w:val="18"/>
              </w:rPr>
              <w:t>Bei ausreichend langem Visum: Anmeldung beim öffentlichen Gesundheitssystem; sonst private Übergangsversicherung prüfen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B5" w14:textId="77777777" w:rsidR="00C1548D" w:rsidRDefault="009B1B4B">
            <w:pPr>
              <w:spacing w:line="250" w:lineRule="auto"/>
            </w:pPr>
            <w:r>
              <w:rPr>
                <w:sz w:val="18"/>
                <w:szCs w:val="18"/>
              </w:rPr>
              <w:t>Gesundheitssystem</w:t>
            </w:r>
          </w:p>
        </w:tc>
      </w:tr>
      <w:tr w:rsidR="00C1548D" w14:paraId="70A502B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B7" w14:textId="77777777" w:rsidR="00C1548D" w:rsidRDefault="009B1B4B">
            <w:pPr>
              <w:spacing w:line="250" w:lineRule="auto"/>
            </w:pPr>
            <w:r>
              <w:rPr>
                <w:sz w:val="18"/>
                <w:szCs w:val="18"/>
              </w:rPr>
              <w:t>Woche 1–2</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B8" w14:textId="77777777" w:rsidR="00C1548D" w:rsidRDefault="009B1B4B">
            <w:pPr>
              <w:spacing w:line="250" w:lineRule="auto"/>
            </w:pPr>
            <w:r>
              <w:rPr>
                <w:sz w:val="18"/>
                <w:szCs w:val="18"/>
              </w:rPr>
              <w:t>Wohnungssuche: Portale einrichten, Besichtigungen, Bewerbungsunterlagen vorbereiten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B9" w14:textId="77777777" w:rsidR="00C1548D" w:rsidRDefault="009B1B4B">
            <w:pPr>
              <w:spacing w:line="250" w:lineRule="auto"/>
            </w:pPr>
            <w:r>
              <w:rPr>
                <w:sz w:val="18"/>
                <w:szCs w:val="18"/>
              </w:rPr>
              <w:t>Wohnen</w:t>
            </w:r>
          </w:p>
        </w:tc>
      </w:tr>
      <w:tr w:rsidR="00C1548D" w14:paraId="70A502B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BB" w14:textId="77777777" w:rsidR="00C1548D" w:rsidRDefault="009B1B4B">
            <w:pPr>
              <w:spacing w:line="250" w:lineRule="auto"/>
            </w:pPr>
            <w:r>
              <w:rPr>
                <w:sz w:val="18"/>
                <w:szCs w:val="18"/>
              </w:rPr>
              <w:t>Woche 2</w:t>
            </w:r>
          </w:p>
        </w:tc>
        <w:tc>
          <w:tcPr>
            <w:tcW w:w="4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BC" w14:textId="77777777" w:rsidR="00C1548D" w:rsidRDefault="009B1B4B">
            <w:pPr>
              <w:spacing w:line="250" w:lineRule="auto"/>
            </w:pPr>
            <w:r>
              <w:rPr>
                <w:sz w:val="18"/>
                <w:szCs w:val="18"/>
              </w:rPr>
              <w:t>Erste Rückfragen zu Lohnsteuerabzug und KiwiSaver-Berechtigung mit dem Arbeitgeber klären</w:t>
            </w:r>
          </w:p>
        </w:tc>
        <w:tc>
          <w:tcPr>
            <w:tcW w:w="11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BD" w14:textId="77777777" w:rsidR="00C1548D" w:rsidRDefault="009B1B4B">
            <w:pPr>
              <w:spacing w:line="250" w:lineRule="auto"/>
            </w:pPr>
            <w:r>
              <w:rPr>
                <w:sz w:val="18"/>
                <w:szCs w:val="18"/>
              </w:rPr>
              <w:t>Steuer-ID/Bank</w:t>
            </w:r>
          </w:p>
        </w:tc>
      </w:tr>
    </w:tbl>
    <w:p w14:paraId="70A502BF"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C2"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2C0" w14:textId="77777777" w:rsidR="00C1548D" w:rsidRDefault="009B1B4B">
            <w:pPr>
              <w:keepNext/>
              <w:spacing w:after="70" w:line="240" w:lineRule="auto"/>
            </w:pPr>
            <w:r>
              <w:rPr>
                <w:b/>
                <w:bCs/>
                <w:color w:val="4A5568"/>
                <w:spacing w:val="24"/>
                <w:sz w:val="16"/>
                <w:szCs w:val="16"/>
              </w:rPr>
              <w:t>PRAXISBEISPIEL · FIKTIV</w:t>
            </w:r>
          </w:p>
          <w:p w14:paraId="70A502C1" w14:textId="77777777" w:rsidR="00C1548D" w:rsidRDefault="009B1B4B">
            <w:pPr>
              <w:spacing w:after="80" w:line="264" w:lineRule="auto"/>
            </w:pPr>
            <w:r>
              <w:rPr>
                <w:sz w:val="20"/>
                <w:szCs w:val="20"/>
              </w:rPr>
              <w:t>Paul Lindner reist mit seinem bereits genehmigten Skilled Migrant Category Resident Visa nach Auckland, zunächst für zwei Wochen in ein möbliertes Apartment mit Wochenpreis gebucht. Am zweiten Tag holt er seine vorab online bestellte eSIM ab, am dritten Tag beantragt er über myIR seine IRD-Nummer – bestätigt zwei Tage später. Da er als Resident-Visum-Inhaber sofortigen Zugang zum öffentlichen Gesundheitssystem hat, meldet er sich noch in derselben Woche an. Die Wohnungssuche beginnt er bewusst erst, nachdem</w:t>
            </w:r>
            <w:r>
              <w:rPr>
                <w:sz w:val="20"/>
                <w:szCs w:val="20"/>
              </w:rPr>
              <w:t xml:space="preserve"> Bankkonto und erster Gehaltsnachweis stehen – eine Reihenfolge, die ihm bei der Bewerbung um eine WG-Wohnung in Ponsonby merklich hilft. (Fiktives Beispiel.)</w:t>
            </w:r>
          </w:p>
        </w:tc>
      </w:tr>
    </w:tbl>
    <w:p w14:paraId="70A502C3" w14:textId="77777777" w:rsidR="00C1548D" w:rsidRDefault="00C1548D">
      <w:pPr>
        <w:spacing w:line="220" w:lineRule="exact"/>
      </w:pPr>
    </w:p>
    <w:p w14:paraId="70A502C4"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2C7"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2C5"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2C6" w14:textId="77777777" w:rsidR="00C1548D" w:rsidRDefault="009B1B4B">
            <w:pPr>
              <w:spacing w:line="250" w:lineRule="auto"/>
            </w:pPr>
            <w:r>
              <w:rPr>
                <w:b/>
                <w:bCs/>
                <w:sz w:val="18"/>
                <w:szCs w:val="18"/>
              </w:rPr>
              <w:t>Minus</w:t>
            </w:r>
          </w:p>
        </w:tc>
      </w:tr>
      <w:tr w:rsidR="00C1548D" w14:paraId="70A502C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C8" w14:textId="77777777" w:rsidR="00C1548D" w:rsidRDefault="009B1B4B">
            <w:pPr>
              <w:spacing w:line="250" w:lineRule="auto"/>
            </w:pPr>
            <w:r>
              <w:rPr>
                <w:sz w:val="18"/>
                <w:szCs w:val="18"/>
              </w:rPr>
              <w:t>NZTD bündelt Zoll, Einreise und Biosecurity in einem digitalen Formular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C9" w14:textId="77777777" w:rsidR="00C1548D" w:rsidRDefault="009B1B4B">
            <w:pPr>
              <w:spacing w:line="250" w:lineRule="auto"/>
            </w:pPr>
            <w:r>
              <w:rPr>
                <w:sz w:val="18"/>
                <w:szCs w:val="18"/>
              </w:rPr>
              <w:t>Biosecurity-Kontrolle streng, Deklarationspflicht auch für Kleinigkeiten</w:t>
            </w:r>
          </w:p>
        </w:tc>
      </w:tr>
      <w:tr w:rsidR="00C1548D" w14:paraId="70A502C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CB" w14:textId="77777777" w:rsidR="00C1548D" w:rsidRDefault="009B1B4B">
            <w:pPr>
              <w:spacing w:line="250" w:lineRule="auto"/>
            </w:pPr>
            <w:r>
              <w:rPr>
                <w:sz w:val="18"/>
                <w:szCs w:val="18"/>
              </w:rPr>
              <w:lastRenderedPageBreak/>
              <w:t>IRD-Nummer oft innerhalb weniger Tage bestätigt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CC" w14:textId="77777777" w:rsidR="00C1548D" w:rsidRDefault="009B1B4B">
            <w:pPr>
              <w:spacing w:line="250" w:lineRule="auto"/>
            </w:pPr>
            <w:r>
              <w:rPr>
                <w:sz w:val="18"/>
                <w:szCs w:val="18"/>
              </w:rPr>
              <w:t>Bankkonto bis zur Filial-Identifizierung nur im Einzahlungsmodus</w:t>
            </w:r>
          </w:p>
        </w:tc>
      </w:tr>
      <w:tr w:rsidR="00C1548D" w14:paraId="70A502D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CE" w14:textId="77777777" w:rsidR="00C1548D" w:rsidRDefault="009B1B4B">
            <w:pPr>
              <w:spacing w:line="250" w:lineRule="auto"/>
            </w:pPr>
            <w:r>
              <w:rPr>
                <w:sz w:val="18"/>
                <w:szCs w:val="18"/>
              </w:rPr>
              <w:t>ACC deckt jeden ab der ersten Minute bei Unfällen ab</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CF" w14:textId="77777777" w:rsidR="00C1548D" w:rsidRDefault="009B1B4B">
            <w:pPr>
              <w:spacing w:line="250" w:lineRule="auto"/>
            </w:pPr>
            <w:r>
              <w:rPr>
                <w:sz w:val="18"/>
                <w:szCs w:val="18"/>
              </w:rPr>
              <w:t>Öffentliches Gesundheitssystem erst ab zweijährigem Visum oder Residency</w:t>
            </w:r>
          </w:p>
        </w:tc>
      </w:tr>
      <w:tr w:rsidR="00C1548D" w14:paraId="70A502D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D1" w14:textId="77777777" w:rsidR="00C1548D" w:rsidRDefault="009B1B4B">
            <w:pPr>
              <w:spacing w:line="250" w:lineRule="auto"/>
            </w:pPr>
            <w:r>
              <w:rPr>
                <w:sz w:val="18"/>
                <w:szCs w:val="18"/>
              </w:rPr>
              <w:t>SIM-Karten und Prepaid-Tarife unkompliziert, ohne Bonitätsprüfung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2D2" w14:textId="77777777" w:rsidR="00C1548D" w:rsidRDefault="009B1B4B">
            <w:pPr>
              <w:spacing w:line="250" w:lineRule="auto"/>
            </w:pPr>
            <w:r>
              <w:rPr>
                <w:sz w:val="18"/>
                <w:szCs w:val="18"/>
              </w:rPr>
              <w:t>Wohnungssuche in Auckland und Wellington spürbar kompetitiv</w:t>
            </w:r>
          </w:p>
        </w:tc>
      </w:tr>
    </w:tbl>
    <w:p w14:paraId="70A502D4" w14:textId="77777777" w:rsidR="00C1548D" w:rsidRDefault="00C1548D">
      <w:pPr>
        <w:spacing w:line="180" w:lineRule="exact"/>
      </w:pPr>
    </w:p>
    <w:p w14:paraId="70A502D5"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2D6" w14:textId="77777777" w:rsidR="00C1548D" w:rsidRDefault="009B1B4B">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E1"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2D7" w14:textId="77777777" w:rsidR="00C1548D" w:rsidRDefault="009B1B4B">
            <w:pPr>
              <w:keepNext/>
              <w:spacing w:after="70" w:line="240" w:lineRule="auto"/>
            </w:pPr>
            <w:r>
              <w:rPr>
                <w:b/>
                <w:bCs/>
                <w:color w:val="1F6F78"/>
                <w:spacing w:val="24"/>
                <w:sz w:val="16"/>
                <w:szCs w:val="16"/>
              </w:rPr>
              <w:lastRenderedPageBreak/>
              <w:t>CHECKLISTE</w:t>
            </w:r>
          </w:p>
          <w:p w14:paraId="70A502D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New Zealand Traveller Declaration spätestens vor der Passkontrolle ausgefüllt</w:t>
            </w:r>
          </w:p>
          <w:p w14:paraId="70A502D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Biosecurity-Regeln vor dem Kofferpacken geprüft, nichts Undeklariertes im Gepäck</w:t>
            </w:r>
          </w:p>
          <w:p w14:paraId="70A502D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Bank-Voreröffnung vor Abflug geprüft, sonst Filialtermin für die erste Woche eingeplant</w:t>
            </w:r>
          </w:p>
          <w:p w14:paraId="70A502D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eSIM oder Prepaid-SIM organisiert, deutsche Nummer als Zweit-SIM behalten</w:t>
            </w:r>
          </w:p>
          <w:p w14:paraId="70A502D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Übergangsunterkunft mit Stornierungsoption für mindestens ein bis zwei Wochen gebucht</w:t>
            </w:r>
          </w:p>
          <w:p w14:paraId="70A502D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IRD-Antrag über myIR direkt nach Ankunft gestellt</w:t>
            </w:r>
          </w:p>
          <w:p w14:paraId="70A502D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Berechtigung fürs öffentliche Gesundheitssystem anhand der Visumdauer geprüft</w:t>
            </w:r>
          </w:p>
          <w:p w14:paraId="70A502D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fehlender Berechtigung: private Übergangsversicherung ab Ankunftstag aktiv</w:t>
            </w:r>
          </w:p>
          <w:p w14:paraId="70A502E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Bewerbungsunterlagen für die Wohnungssuche zusammengestellt (Gehaltsnachweis, Referenzen, Ausweis)</w:t>
            </w:r>
          </w:p>
        </w:tc>
      </w:tr>
    </w:tbl>
    <w:p w14:paraId="70A502E2" w14:textId="77777777" w:rsidR="00C1548D" w:rsidRDefault="00C1548D">
      <w:pPr>
        <w:spacing w:line="220" w:lineRule="exact"/>
      </w:pPr>
    </w:p>
    <w:p w14:paraId="70A502E3"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2E4" w14:textId="6E8F3FC6" w:rsidR="00C1548D" w:rsidRDefault="009B1B4B" w:rsidP="009B1B4B">
      <w:pPr>
        <w:pStyle w:val="ListParagraph"/>
        <w:numPr>
          <w:ilvl w:val="0"/>
          <w:numId w:val="1"/>
        </w:numPr>
        <w:spacing w:after="60"/>
      </w:pPr>
      <w:r>
        <w:t xml:space="preserve">New Zealand Customs Service — New Zealand Traveller Declaration: </w:t>
      </w:r>
      <w:hyperlink r:id="rId629" w:history="1">
        <w:r>
          <w:rPr>
            <w:color w:val="0563C1"/>
            <w:u w:val="single"/>
          </w:rPr>
          <w:t>travellerdeclaration.govt.nz</w:t>
        </w:r>
      </w:hyperlink>
    </w:p>
    <w:p w14:paraId="70A502E5" w14:textId="5E5E10F5" w:rsidR="00C1548D" w:rsidRDefault="009B1B4B" w:rsidP="009B1B4B">
      <w:pPr>
        <w:pStyle w:val="ListParagraph"/>
        <w:numPr>
          <w:ilvl w:val="0"/>
          <w:numId w:val="1"/>
        </w:numPr>
        <w:spacing w:after="60"/>
      </w:pPr>
      <w:r>
        <w:t xml:space="preserve">Ministry for Primary Industries — Biosecurity bei der Einreise: </w:t>
      </w:r>
      <w:hyperlink r:id="rId630" w:history="1">
        <w:r>
          <w:rPr>
            <w:color w:val="0563C1"/>
            <w:u w:val="single"/>
          </w:rPr>
          <w:t>mpi.govt.nz</w:t>
        </w:r>
      </w:hyperlink>
    </w:p>
    <w:p w14:paraId="70A502E6" w14:textId="55BF7C05" w:rsidR="00C1548D" w:rsidRDefault="009B1B4B" w:rsidP="009B1B4B">
      <w:pPr>
        <w:pStyle w:val="ListParagraph"/>
        <w:numPr>
          <w:ilvl w:val="0"/>
          <w:numId w:val="1"/>
        </w:numPr>
        <w:spacing w:after="60"/>
      </w:pPr>
      <w:r>
        <w:t xml:space="preserve">Inland Revenue Department — IRD-Nummer für Neuankömmlinge: </w:t>
      </w:r>
      <w:hyperlink r:id="rId631" w:history="1">
        <w:r>
          <w:rPr>
            <w:color w:val="0563C1"/>
            <w:u w:val="single"/>
          </w:rPr>
          <w:t>ird.govt.nz</w:t>
        </w:r>
      </w:hyperlink>
    </w:p>
    <w:p w14:paraId="70A502E7" w14:textId="2DB32189" w:rsidR="00C1548D" w:rsidRDefault="009B1B4B" w:rsidP="009B1B4B">
      <w:pPr>
        <w:pStyle w:val="ListParagraph"/>
        <w:numPr>
          <w:ilvl w:val="0"/>
          <w:numId w:val="1"/>
        </w:numPr>
        <w:spacing w:after="60"/>
      </w:pPr>
      <w:r>
        <w:t xml:space="preserve">Immigration New Zealand — Zugang zum Gesundheitssystem: </w:t>
      </w:r>
      <w:hyperlink r:id="rId632" w:history="1">
        <w:r>
          <w:rPr>
            <w:color w:val="0563C1"/>
            <w:u w:val="single"/>
          </w:rPr>
          <w:t>immigration.govt.nz</w:t>
        </w:r>
      </w:hyperlink>
    </w:p>
    <w:p w14:paraId="70A502E8" w14:textId="28989045" w:rsidR="00C1548D" w:rsidRDefault="009B1B4B" w:rsidP="009B1B4B">
      <w:pPr>
        <w:pStyle w:val="ListParagraph"/>
        <w:numPr>
          <w:ilvl w:val="0"/>
          <w:numId w:val="1"/>
        </w:numPr>
        <w:spacing w:after="60"/>
      </w:pPr>
      <w:r>
        <w:t xml:space="preserve">Tenancy Services — Kaution und Mietrecht: </w:t>
      </w:r>
      <w:hyperlink r:id="rId633" w:history="1">
        <w:r>
          <w:rPr>
            <w:color w:val="0563C1"/>
            <w:u w:val="single"/>
          </w:rPr>
          <w:t>tenancy.govt.nz</w:t>
        </w:r>
      </w:hyperlink>
    </w:p>
    <w:p w14:paraId="70A502E9" w14:textId="5508FF22" w:rsidR="00C1548D" w:rsidRDefault="009B1B4B" w:rsidP="009B1B4B">
      <w:pPr>
        <w:pStyle w:val="ListParagraph"/>
        <w:numPr>
          <w:ilvl w:val="0"/>
          <w:numId w:val="1"/>
        </w:numPr>
        <w:spacing w:after="60"/>
      </w:pPr>
      <w:r>
        <w:t xml:space="preserve">Deutsche Botschaft Wellington und Honorarkonsulate: </w:t>
      </w:r>
      <w:hyperlink r:id="rId634" w:history="1">
        <w:r>
          <w:rPr>
            <w:color w:val="0563C1"/>
            <w:u w:val="single"/>
          </w:rPr>
          <w:t>wellington.diplo.de</w:t>
        </w:r>
      </w:hyperlink>
    </w:p>
    <w:p w14:paraId="70A502EA"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ED"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2EB" w14:textId="77777777" w:rsidR="00C1548D" w:rsidRDefault="009B1B4B">
            <w:pPr>
              <w:keepNext/>
              <w:spacing w:after="70" w:line="240" w:lineRule="auto"/>
            </w:pPr>
            <w:r>
              <w:rPr>
                <w:b/>
                <w:bCs/>
                <w:color w:val="6B7280"/>
                <w:spacing w:val="24"/>
                <w:sz w:val="16"/>
                <w:szCs w:val="16"/>
              </w:rPr>
              <w:lastRenderedPageBreak/>
              <w:t>STAND</w:t>
            </w:r>
          </w:p>
          <w:p w14:paraId="70A502EC" w14:textId="77777777" w:rsidR="00C1548D" w:rsidRDefault="009B1B4B">
            <w:pPr>
              <w:spacing w:after="80" w:line="264" w:lineRule="auto"/>
            </w:pPr>
            <w:r>
              <w:rPr>
                <w:sz w:val="20"/>
                <w:szCs w:val="20"/>
              </w:rPr>
              <w:t>23.09.2026. Diese Angaben ändern sich schnell: die genauen Bedingungen der NZTD, Bankkonditionen für Neuankömmlinge, die Höhe des „No-notification“-Steuersatzes ohne IRD-Nummer sowie die Zwei-Jahres-Schwelle beim öffentlichen Gesundheitssystem. Prüfe vor der Einreise die aktuellen Seiten des New Zealand Customs Service, des Inland Revenue Department und von Immigration New Zealand.</w:t>
            </w:r>
          </w:p>
        </w:tc>
      </w:tr>
    </w:tbl>
    <w:p w14:paraId="70A502EE" w14:textId="77777777" w:rsidR="00C1548D" w:rsidRDefault="00C1548D">
      <w:pPr>
        <w:spacing w:line="220" w:lineRule="exact"/>
      </w:pPr>
    </w:p>
    <w:p w14:paraId="70A502EF" w14:textId="77777777" w:rsidR="00C1548D" w:rsidRDefault="009B1B4B">
      <w:pPr>
        <w:pStyle w:val="Heading2"/>
        <w:keepNext/>
        <w:pageBreakBefore/>
        <w:jc w:val="center"/>
      </w:pPr>
      <w:bookmarkStart w:id="180" w:name="tnz07"/>
      <w:bookmarkStart w:id="181" w:name="_Toc241352542"/>
      <w:r>
        <w:rPr>
          <w:rFonts w:ascii="Amazon Ember" w:eastAsia="Amazon Ember" w:hAnsi="Amazon Ember" w:cs="Amazon Ember"/>
          <w:color w:val="0000FF"/>
          <w:sz w:val="36"/>
          <w:szCs w:val="36"/>
        </w:rPr>
        <w:lastRenderedPageBreak/>
        <w:t>Neuseeland: IRD-Nummer, Steuern, Bank und Kredit aufbauen</w:t>
      </w:r>
      <w:bookmarkEnd w:id="180"/>
      <w:bookmarkEnd w:id="181"/>
    </w:p>
    <w:p w14:paraId="70A502F0" w14:textId="77777777" w:rsidR="00C1548D" w:rsidRDefault="009B1B4B">
      <w:pPr>
        <w:spacing w:after="140"/>
      </w:pPr>
      <w:r>
        <w:t>Paul Lindner hat sein Bankkonto in Auckland schon aus Frankfurt heraus online beantragt – ein Klick, ein hochgeladener Reisepass, fertig, dachte er. Am ersten Arbeitstag als IT-Berater erklärt ihm die Personalabteilung freundlich, dass ohne eine bestimmte achtstellige Nummer weder sein Gehalt richtig ankommt noch sein neues Konto aus dem „nur Einzahlungen“-Modus herauskommt. Die Nummer heißt IRD-Nummer, sie ist kostenlos, und sie ist – so viel vorweg – die eine Bürokratie-Hürde in Neuseeland, die sich wirkl</w:t>
      </w:r>
      <w:r>
        <w:t>ich lohnt, sofort zu nehmen. Dieses Kapitel zeigt, wie du sie beantragst, was das neuseeländische Steuersystem von dir verlangt, wie KiwiSaver funktioniert, wie du ein Bankkonto eröffnest – und wie du dir, ganz ohne mitgebrachte Schufa-Historie, eine neuseeländische Kreditwürdigkeit aufbaust.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2F8"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2F1" w14:textId="77777777" w:rsidR="00C1548D" w:rsidRDefault="009B1B4B">
            <w:pPr>
              <w:keepNext/>
              <w:spacing w:after="70" w:line="240" w:lineRule="auto"/>
            </w:pPr>
            <w:r>
              <w:rPr>
                <w:b/>
                <w:bCs/>
                <w:color w:val="1F3A5F"/>
                <w:spacing w:val="24"/>
                <w:sz w:val="16"/>
                <w:szCs w:val="16"/>
              </w:rPr>
              <w:lastRenderedPageBreak/>
              <w:t>KURZ GESAGT</w:t>
            </w:r>
          </w:p>
          <w:p w14:paraId="70A502F2" w14:textId="77777777" w:rsidR="00C1548D" w:rsidRDefault="009B1B4B" w:rsidP="009B1B4B">
            <w:pPr>
              <w:pStyle w:val="ListParagraph"/>
              <w:numPr>
                <w:ilvl w:val="0"/>
                <w:numId w:val="1"/>
              </w:numPr>
              <w:spacing w:after="50" w:line="264" w:lineRule="auto"/>
            </w:pPr>
            <w:r>
              <w:rPr>
                <w:sz w:val="20"/>
                <w:szCs w:val="20"/>
              </w:rPr>
              <w:t xml:space="preserve">Beantrage die </w:t>
            </w:r>
            <w:r>
              <w:rPr>
                <w:i/>
                <w:iCs/>
                <w:sz w:val="20"/>
                <w:szCs w:val="20"/>
              </w:rPr>
              <w:t>IRD-Nummer</w:t>
            </w:r>
            <w:r>
              <w:rPr>
                <w:sz w:val="20"/>
                <w:szCs w:val="20"/>
              </w:rPr>
              <w:t xml:space="preserve"> (Inland Revenue Department, die neuseeländische Steuerbehörde) über das „New Arrival to New Zealand“-Verfahren so früh wie möglich – kostenlos, meist in 2 Tagen nach erfolgreicher Visa-Verifizierung.</w:t>
            </w:r>
          </w:p>
          <w:p w14:paraId="70A502F3" w14:textId="77777777" w:rsidR="00C1548D" w:rsidRDefault="009B1B4B" w:rsidP="009B1B4B">
            <w:pPr>
              <w:pStyle w:val="ListParagraph"/>
              <w:numPr>
                <w:ilvl w:val="0"/>
                <w:numId w:val="1"/>
              </w:numPr>
              <w:spacing w:after="50" w:line="264" w:lineRule="auto"/>
            </w:pPr>
            <w:r>
              <w:rPr>
                <w:sz w:val="20"/>
                <w:szCs w:val="20"/>
              </w:rPr>
              <w:t>Ohne IRD-Nummer bzw. ohne ausgefülltes Formular IR330 beim Arbeitgeber greift der „No-notification rate“ von 45 % auf dein Gehalt – der höchste PAYE-Satz, den es gibt.</w:t>
            </w:r>
          </w:p>
          <w:p w14:paraId="70A502F4" w14:textId="77777777" w:rsidR="00C1548D" w:rsidRDefault="009B1B4B" w:rsidP="009B1B4B">
            <w:pPr>
              <w:pStyle w:val="ListParagraph"/>
              <w:numPr>
                <w:ilvl w:val="0"/>
                <w:numId w:val="1"/>
              </w:numPr>
              <w:spacing w:after="50" w:line="264" w:lineRule="auto"/>
            </w:pPr>
            <w:r>
              <w:rPr>
                <w:sz w:val="20"/>
                <w:szCs w:val="20"/>
              </w:rPr>
              <w:t>Neuseeland besteuert progressiv in fünf Stufen ohne Grundfreibetrag, für 2026/27 (Steuerjahr 1. April bis 31. März) unverändert gegenüber dem Vorjahr.</w:t>
            </w:r>
          </w:p>
          <w:p w14:paraId="70A502F5" w14:textId="77777777" w:rsidR="00C1548D" w:rsidRDefault="009B1B4B" w:rsidP="009B1B4B">
            <w:pPr>
              <w:pStyle w:val="ListParagraph"/>
              <w:numPr>
                <w:ilvl w:val="0"/>
                <w:numId w:val="1"/>
              </w:numPr>
              <w:spacing w:after="50" w:line="264" w:lineRule="auto"/>
            </w:pPr>
            <w:r>
              <w:rPr>
                <w:sz w:val="20"/>
                <w:szCs w:val="20"/>
              </w:rPr>
              <w:t xml:space="preserve">Die </w:t>
            </w:r>
            <w:r>
              <w:rPr>
                <w:i/>
                <w:iCs/>
                <w:sz w:val="20"/>
                <w:szCs w:val="20"/>
              </w:rPr>
              <w:t>GST</w:t>
            </w:r>
            <w:r>
              <w:rPr>
                <w:sz w:val="20"/>
                <w:szCs w:val="20"/>
              </w:rPr>
              <w:t xml:space="preserve"> (Goods and Services Tax, die neuseeländische Verbrauchsteuer) liegt bei 15 % und steckt – anders als die US-Sales-Tax – bereits im ausgezeichneten Preis.</w:t>
            </w:r>
          </w:p>
          <w:p w14:paraId="70A502F6" w14:textId="77777777" w:rsidR="00C1548D" w:rsidRDefault="009B1B4B" w:rsidP="009B1B4B">
            <w:pPr>
              <w:pStyle w:val="ListParagraph"/>
              <w:numPr>
                <w:ilvl w:val="0"/>
                <w:numId w:val="1"/>
              </w:numPr>
              <w:spacing w:after="50" w:line="264" w:lineRule="auto"/>
            </w:pPr>
            <w:r>
              <w:rPr>
                <w:sz w:val="20"/>
                <w:szCs w:val="20"/>
              </w:rPr>
              <w:t>Steuerinländer (183-Tage-Regel) versteuern ihr Weltjahreseinkommen; Neuankömmlinge sind meist 48 Monate lang von der Steuer auf die meisten ausländischen Kapitalerträge befreit.</w:t>
            </w:r>
          </w:p>
          <w:p w14:paraId="70A502F7" w14:textId="77777777" w:rsidR="00C1548D" w:rsidRDefault="009B1B4B" w:rsidP="009B1B4B">
            <w:pPr>
              <w:pStyle w:val="ListParagraph"/>
              <w:numPr>
                <w:ilvl w:val="0"/>
                <w:numId w:val="1"/>
              </w:numPr>
              <w:spacing w:after="50" w:line="264" w:lineRule="auto"/>
            </w:pPr>
            <w:r>
              <w:rPr>
                <w:i/>
                <w:iCs/>
                <w:sz w:val="20"/>
                <w:szCs w:val="20"/>
              </w:rPr>
              <w:t>KiwiSaver</w:t>
            </w:r>
            <w:r>
              <w:rPr>
                <w:sz w:val="20"/>
                <w:szCs w:val="20"/>
              </w:rPr>
              <w:t xml:space="preserve"> (das freiwillige, staatlich geförderte Rentensparsystem) steht nur Personen mit unbefristetem Aufenthaltsrecht offen – ein befristetes Arbeitsvisum reicht dafür in aller Regel nicht.</w:t>
            </w:r>
          </w:p>
        </w:tc>
      </w:tr>
    </w:tbl>
    <w:p w14:paraId="70A502F9" w14:textId="77777777" w:rsidR="00C1548D" w:rsidRDefault="00C1548D">
      <w:pPr>
        <w:spacing w:line="220" w:lineRule="exact"/>
      </w:pPr>
    </w:p>
    <w:p w14:paraId="70A502FA" w14:textId="77777777" w:rsidR="00C1548D" w:rsidRDefault="009B1B4B">
      <w:pPr>
        <w:pStyle w:val="Heading3"/>
        <w:keepNext/>
        <w:jc w:val="center"/>
      </w:pPr>
      <w:r>
        <w:rPr>
          <w:rFonts w:ascii="Amazon Ember" w:eastAsia="Amazon Ember" w:hAnsi="Amazon Ember" w:cs="Amazon Ember"/>
          <w:color w:val="0000FF"/>
          <w:sz w:val="36"/>
          <w:szCs w:val="36"/>
        </w:rPr>
        <w:t>Die IRD-Nummer: deine Eintrittskarte ins System</w:t>
      </w:r>
    </w:p>
    <w:p w14:paraId="70A502FB" w14:textId="77777777" w:rsidR="00C1548D" w:rsidRDefault="009B1B4B">
      <w:pPr>
        <w:spacing w:after="140"/>
      </w:pPr>
      <w:r>
        <w:t xml:space="preserve">Die IRD-Nummer ist lebenslang gültig, kostenlos und Voraussetzung für so ziemlich alles, was mit Geld zu tun hat: legale Erwerbstätigkeit zum korrekten Steuersatz, ein voll funktionsfähiges Bankkonto, KiwiSaver-Mitgliedschaft und diverse staatliche Leistungen. Wer frisch mit einem Visum einreist, beantragt sie über das Verfahren „New Arrival to New Zealand“: online, über ein persönliches </w:t>
      </w:r>
      <w:r>
        <w:rPr>
          <w:i/>
          <w:iCs/>
        </w:rPr>
        <w:t>myIR</w:t>
      </w:r>
      <w:r>
        <w:t xml:space="preserve">-Konto (das digitale Steuerkonto beim IRD), wobei das System deine Identität automatisch mit den Visadaten von Immigration New Zealand abgleicht. Resident-Visa-Inhaber wie Paul Lindner geben dafür im Wesentlichen Passdaten und ihre INZ-Antragsnummer an; </w:t>
      </w:r>
      <w:r>
        <w:lastRenderedPageBreak/>
        <w:t>Inhaber von Arbeits- oder Studienvisa ergänzen nach Möglichkeit ihre bisherige ausländische Steuernummer.</w:t>
      </w:r>
    </w:p>
    <w:p w14:paraId="70A502FC" w14:textId="77777777" w:rsidR="00C1548D" w:rsidRDefault="009B1B4B">
      <w:pPr>
        <w:spacing w:after="140"/>
      </w:pPr>
      <w:r>
        <w:t>Läuft die Verifizierung glatt, kommt die IRD-Nummer meist innerhalb von 2 Tagen per SMS oder E-Mail. Wichtig ist die Frist: Wer kein australisches Passdokument hat (für das eigene, großzügigere Regeln gelten), sollte den Antrag noch vor Ablauf des ersten möglichen Einreisezeitraums seines Visums stellen – sonst greift das reguläre, deutlich langsamere Verfahren „Living in New Zealand“ mit 10 Werktagen Bearbeitung online beziehungsweise 12 Werktagen in Papierform.</w:t>
      </w:r>
    </w:p>
    <w:p w14:paraId="70A502FD" w14:textId="77777777" w:rsidR="00C1548D" w:rsidRDefault="009B1B4B">
      <w:pPr>
        <w:spacing w:after="140"/>
      </w:pPr>
      <w:r>
        <w:t>Wer schon vor dem Abflug planen möchte, kann alternativ das Verfahren „Living overseas – IRD number application“ nutzen, solange noch kein neuseeländischer Wohnsitz besteht. Das IRD strebt hier eine Bearbeitung innerhalb von rund 20 Tagen an; der postalische Versand der Bestätigung kann zusätzlich bis zu 20 Tage dauern. Für die meisten Neuankömmlinge mit bereits bewilligtem Visum ist der „New Arrival“-Weg nach der Landung trotzdem der schnellere – die Vorab-Variante lohnt sich vor allem, wenn du schon Monat</w:t>
      </w:r>
      <w:r>
        <w:t>e vor der Einreise Kapitalerträge in Neuseeland erwartest.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0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2FE" w14:textId="77777777" w:rsidR="00C1548D" w:rsidRDefault="009B1B4B">
            <w:pPr>
              <w:keepNext/>
              <w:spacing w:after="70" w:line="240" w:lineRule="auto"/>
            </w:pPr>
            <w:r>
              <w:rPr>
                <w:b/>
                <w:bCs/>
                <w:color w:val="9B2C2C"/>
                <w:spacing w:val="24"/>
                <w:sz w:val="16"/>
                <w:szCs w:val="16"/>
              </w:rPr>
              <w:t>ACHTUNG</w:t>
            </w:r>
          </w:p>
          <w:p w14:paraId="70A502FF" w14:textId="77777777" w:rsidR="00C1548D" w:rsidRDefault="009B1B4B">
            <w:pPr>
              <w:spacing w:after="80" w:line="264" w:lineRule="auto"/>
            </w:pPr>
            <w:r>
              <w:rPr>
                <w:sz w:val="20"/>
                <w:szCs w:val="20"/>
              </w:rPr>
              <w:t>Ohne IRD-Nummer und ohne ausgefülltes Formular IR330 (die Steuercode-Erklärung für Arbeitnehmer) ist dein Arbeitgeber gesetzlich verpflichtet, den sogenannten „No-notification rate“ einzubehalten – 45 % deines Bruttolohns, der höchste PAYE-Satz überhaupt, erheblich mehr als selbst der Spitzensteuersatz für sehr hohe Einkommen. Dasselbe gilt für Zinserträge ohne hinterlegte IRD-Nummer bei deiner Bank. Zu viel gezahlte Steuer bekommst du zwar über die Steuererklärung zurück, aber das dauert – in der Zwischenz</w:t>
            </w:r>
            <w:r>
              <w:rPr>
                <w:sz w:val="20"/>
                <w:szCs w:val="20"/>
              </w:rPr>
              <w:t>eit fehlt dir das Geld für Miete und Lebenshaltung. Reiche die IRD-Nummer deshalb bei Arbeitgeber und Bank ein, bevor die erste Gehaltsabrechnung überhaupt läuft, nicht erst danach.</w:t>
            </w:r>
          </w:p>
        </w:tc>
      </w:tr>
    </w:tbl>
    <w:p w14:paraId="70A50301" w14:textId="77777777" w:rsidR="00C1548D" w:rsidRDefault="00C1548D">
      <w:pPr>
        <w:spacing w:line="220" w:lineRule="exact"/>
      </w:pPr>
    </w:p>
    <w:p w14:paraId="70A50302" w14:textId="77777777" w:rsidR="00C1548D" w:rsidRDefault="009B1B4B">
      <w:pPr>
        <w:pStyle w:val="Heading3"/>
        <w:keepNext/>
        <w:jc w:val="center"/>
      </w:pPr>
      <w:r>
        <w:rPr>
          <w:rFonts w:ascii="Amazon Ember" w:eastAsia="Amazon Ember" w:hAnsi="Amazon Ember" w:cs="Amazon Ember"/>
          <w:color w:val="0000FF"/>
          <w:sz w:val="36"/>
          <w:szCs w:val="36"/>
        </w:rPr>
        <w:lastRenderedPageBreak/>
        <w:t>Einkommensteuer: fünf Stufen, kein Freibetrag</w:t>
      </w:r>
    </w:p>
    <w:p w14:paraId="70A50303" w14:textId="77777777" w:rsidR="00C1548D" w:rsidRDefault="009B1B4B">
      <w:pPr>
        <w:spacing w:after="140"/>
      </w:pPr>
      <w:r>
        <w:t>Neuseeland kennt kein Finanzamt, das dir einen Grundfreibetrag schenkt – jeder verdiente Dollar wird ab dem ersten Cent besteuert, nur eben progressiv gestaffelt. Das Steuerjahr läuft, anders als in Deutschland, vom 1. April bis zum 31. März; für 2026/27 (01.04.2026–31.03.2027) gelten dieselben Stufen wie im Vorjahr: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80"/>
        <w:gridCol w:w="2300"/>
      </w:tblGrid>
      <w:tr w:rsidR="00C1548D" w14:paraId="70A50306" w14:textId="77777777">
        <w:tblPrEx>
          <w:tblCellMar>
            <w:top w:w="0" w:type="dxa"/>
            <w:bottom w:w="0" w:type="dxa"/>
          </w:tblCellMar>
        </w:tblPrEx>
        <w:trPr>
          <w:cantSplit/>
          <w:tblHeader/>
        </w:trPr>
        <w:tc>
          <w:tcPr>
            <w:tcW w:w="418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304" w14:textId="77777777" w:rsidR="00C1548D" w:rsidRDefault="009B1B4B">
            <w:pPr>
              <w:spacing w:line="250" w:lineRule="auto"/>
            </w:pPr>
            <w:r>
              <w:rPr>
                <w:b/>
                <w:bCs/>
                <w:sz w:val="18"/>
                <w:szCs w:val="18"/>
              </w:rPr>
              <w:t>Einkommensstufe (NZD)</w:t>
            </w:r>
          </w:p>
        </w:tc>
        <w:tc>
          <w:tcPr>
            <w:tcW w:w="23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305" w14:textId="77777777" w:rsidR="00C1548D" w:rsidRDefault="009B1B4B">
            <w:pPr>
              <w:spacing w:line="250" w:lineRule="auto"/>
            </w:pPr>
            <w:r>
              <w:rPr>
                <w:b/>
                <w:bCs/>
                <w:sz w:val="18"/>
                <w:szCs w:val="18"/>
              </w:rPr>
              <w:t>Grenzsteuersatz</w:t>
            </w:r>
          </w:p>
        </w:tc>
      </w:tr>
      <w:tr w:rsidR="00C1548D" w14:paraId="70A50309" w14:textId="77777777">
        <w:tblPrEx>
          <w:tblCellMar>
            <w:top w:w="0" w:type="dxa"/>
            <w:bottom w:w="0" w:type="dxa"/>
          </w:tblCellMar>
        </w:tblPrEx>
        <w:trPr>
          <w:cantSplit/>
        </w:trPr>
        <w:tc>
          <w:tcPr>
            <w:tcW w:w="41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07" w14:textId="77777777" w:rsidR="00C1548D" w:rsidRDefault="009B1B4B">
            <w:pPr>
              <w:spacing w:line="250" w:lineRule="auto"/>
            </w:pPr>
            <w:r>
              <w:rPr>
                <w:sz w:val="18"/>
                <w:szCs w:val="18"/>
              </w:rPr>
              <w:t>0 – 15.600</w:t>
            </w:r>
          </w:p>
        </w:tc>
        <w:tc>
          <w:tcPr>
            <w:tcW w:w="23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08" w14:textId="77777777" w:rsidR="00C1548D" w:rsidRDefault="009B1B4B">
            <w:pPr>
              <w:spacing w:line="250" w:lineRule="auto"/>
            </w:pPr>
            <w:r>
              <w:rPr>
                <w:sz w:val="18"/>
                <w:szCs w:val="18"/>
              </w:rPr>
              <w:t>10,5 %</w:t>
            </w:r>
          </w:p>
        </w:tc>
      </w:tr>
      <w:tr w:rsidR="00C1548D" w14:paraId="70A5030C" w14:textId="77777777">
        <w:tblPrEx>
          <w:tblCellMar>
            <w:top w:w="0" w:type="dxa"/>
            <w:bottom w:w="0" w:type="dxa"/>
          </w:tblCellMar>
        </w:tblPrEx>
        <w:trPr>
          <w:cantSplit/>
        </w:trPr>
        <w:tc>
          <w:tcPr>
            <w:tcW w:w="41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0A" w14:textId="77777777" w:rsidR="00C1548D" w:rsidRDefault="009B1B4B">
            <w:pPr>
              <w:spacing w:line="250" w:lineRule="auto"/>
            </w:pPr>
            <w:r>
              <w:rPr>
                <w:sz w:val="18"/>
                <w:szCs w:val="18"/>
              </w:rPr>
              <w:t>15.601 – 53.500</w:t>
            </w:r>
          </w:p>
        </w:tc>
        <w:tc>
          <w:tcPr>
            <w:tcW w:w="23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0B" w14:textId="77777777" w:rsidR="00C1548D" w:rsidRDefault="009B1B4B">
            <w:pPr>
              <w:spacing w:line="250" w:lineRule="auto"/>
            </w:pPr>
            <w:r>
              <w:rPr>
                <w:sz w:val="18"/>
                <w:szCs w:val="18"/>
              </w:rPr>
              <w:t>17,5 %</w:t>
            </w:r>
          </w:p>
        </w:tc>
      </w:tr>
      <w:tr w:rsidR="00C1548D" w14:paraId="70A5030F" w14:textId="77777777">
        <w:tblPrEx>
          <w:tblCellMar>
            <w:top w:w="0" w:type="dxa"/>
            <w:bottom w:w="0" w:type="dxa"/>
          </w:tblCellMar>
        </w:tblPrEx>
        <w:trPr>
          <w:cantSplit/>
        </w:trPr>
        <w:tc>
          <w:tcPr>
            <w:tcW w:w="41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0D" w14:textId="77777777" w:rsidR="00C1548D" w:rsidRDefault="009B1B4B">
            <w:pPr>
              <w:spacing w:line="250" w:lineRule="auto"/>
            </w:pPr>
            <w:r>
              <w:rPr>
                <w:sz w:val="18"/>
                <w:szCs w:val="18"/>
              </w:rPr>
              <w:t>53.501 – 78.100</w:t>
            </w:r>
          </w:p>
        </w:tc>
        <w:tc>
          <w:tcPr>
            <w:tcW w:w="23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0E" w14:textId="77777777" w:rsidR="00C1548D" w:rsidRDefault="009B1B4B">
            <w:pPr>
              <w:spacing w:line="250" w:lineRule="auto"/>
            </w:pPr>
            <w:r>
              <w:rPr>
                <w:sz w:val="18"/>
                <w:szCs w:val="18"/>
              </w:rPr>
              <w:t>30 %</w:t>
            </w:r>
          </w:p>
        </w:tc>
      </w:tr>
      <w:tr w:rsidR="00C1548D" w14:paraId="70A50312" w14:textId="77777777">
        <w:tblPrEx>
          <w:tblCellMar>
            <w:top w:w="0" w:type="dxa"/>
            <w:bottom w:w="0" w:type="dxa"/>
          </w:tblCellMar>
        </w:tblPrEx>
        <w:trPr>
          <w:cantSplit/>
        </w:trPr>
        <w:tc>
          <w:tcPr>
            <w:tcW w:w="41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10" w14:textId="77777777" w:rsidR="00C1548D" w:rsidRDefault="009B1B4B">
            <w:pPr>
              <w:spacing w:line="250" w:lineRule="auto"/>
            </w:pPr>
            <w:r>
              <w:rPr>
                <w:sz w:val="18"/>
                <w:szCs w:val="18"/>
              </w:rPr>
              <w:t>78.101 – 180.000</w:t>
            </w:r>
          </w:p>
        </w:tc>
        <w:tc>
          <w:tcPr>
            <w:tcW w:w="23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11" w14:textId="77777777" w:rsidR="00C1548D" w:rsidRDefault="009B1B4B">
            <w:pPr>
              <w:spacing w:line="250" w:lineRule="auto"/>
            </w:pPr>
            <w:r>
              <w:rPr>
                <w:sz w:val="18"/>
                <w:szCs w:val="18"/>
              </w:rPr>
              <w:t>33 %</w:t>
            </w:r>
          </w:p>
        </w:tc>
      </w:tr>
      <w:tr w:rsidR="00C1548D" w14:paraId="70A50315" w14:textId="77777777">
        <w:tblPrEx>
          <w:tblCellMar>
            <w:top w:w="0" w:type="dxa"/>
            <w:bottom w:w="0" w:type="dxa"/>
          </w:tblCellMar>
        </w:tblPrEx>
        <w:trPr>
          <w:cantSplit/>
        </w:trPr>
        <w:tc>
          <w:tcPr>
            <w:tcW w:w="41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13" w14:textId="77777777" w:rsidR="00C1548D" w:rsidRDefault="009B1B4B">
            <w:pPr>
              <w:spacing w:line="250" w:lineRule="auto"/>
            </w:pPr>
            <w:r>
              <w:rPr>
                <w:sz w:val="18"/>
                <w:szCs w:val="18"/>
              </w:rPr>
              <w:t>ab 180.001</w:t>
            </w:r>
          </w:p>
        </w:tc>
        <w:tc>
          <w:tcPr>
            <w:tcW w:w="23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14" w14:textId="77777777" w:rsidR="00C1548D" w:rsidRDefault="009B1B4B">
            <w:pPr>
              <w:spacing w:line="250" w:lineRule="auto"/>
            </w:pPr>
            <w:r>
              <w:rPr>
                <w:sz w:val="18"/>
                <w:szCs w:val="18"/>
              </w:rPr>
              <w:t>39 %</w:t>
            </w:r>
          </w:p>
        </w:tc>
      </w:tr>
    </w:tbl>
    <w:p w14:paraId="70A50316" w14:textId="77777777" w:rsidR="00C1548D" w:rsidRDefault="00C1548D">
      <w:pPr>
        <w:spacing w:line="180" w:lineRule="exact"/>
      </w:pPr>
    </w:p>
    <w:p w14:paraId="70A50317" w14:textId="77777777" w:rsidR="00C1548D" w:rsidRDefault="009B1B4B">
      <w:pPr>
        <w:spacing w:after="140"/>
      </w:pPr>
      <w:r>
        <w:rPr>
          <w:i/>
          <w:iCs/>
        </w:rPr>
        <w:t>PAYE</w:t>
      </w:r>
      <w:r>
        <w:t xml:space="preserve"> (Pay As You Earn, der laufende Lohnsteuerabzug) wendet diese Stufen automatisch auf jede Gehaltsabrechnung an; wer ausschließlich als Angestellter arbeitet, kommt in vielen Fällen ganz ohne eigene Steuererklärung aus. Selbstständige, Vermieter oder Personen mit mehreren Einkommensquellen – etwa Paul Lindner, sobald er neben seiner Festanstellung IT-Beratungsprojekte annimmt – müssen dagegen aktiv eine Erklärung abgeben.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1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318" w14:textId="77777777" w:rsidR="00C1548D" w:rsidRDefault="009B1B4B">
            <w:pPr>
              <w:keepNext/>
              <w:spacing w:after="70" w:line="240" w:lineRule="auto"/>
            </w:pPr>
            <w:r>
              <w:rPr>
                <w:b/>
                <w:bCs/>
                <w:color w:val="8A6212"/>
                <w:spacing w:val="24"/>
                <w:sz w:val="16"/>
                <w:szCs w:val="16"/>
              </w:rPr>
              <w:t>MERKE</w:t>
            </w:r>
          </w:p>
          <w:p w14:paraId="70A50319" w14:textId="77777777" w:rsidR="00C1548D" w:rsidRDefault="009B1B4B">
            <w:pPr>
              <w:spacing w:after="80" w:line="264" w:lineRule="auto"/>
            </w:pPr>
            <w:r>
              <w:rPr>
                <w:sz w:val="20"/>
                <w:szCs w:val="20"/>
              </w:rPr>
              <w:t>Der Sprung von 17,5 % auf 30 % bei nur 53.500 NZD Jahreseinkommen ist steiler, als viele erwarten, die aus dem deutschen Stufentarif kommen. Rechne bei einer Gehaltsverhandlung lieber einmal zu genau nach, was netto tatsächlich ankommt, als dich von der Bruttozahl blenden zu lassen.</w:t>
            </w:r>
          </w:p>
        </w:tc>
      </w:tr>
    </w:tbl>
    <w:p w14:paraId="70A5031B" w14:textId="77777777" w:rsidR="00C1548D" w:rsidRDefault="00C1548D">
      <w:pPr>
        <w:spacing w:line="220" w:lineRule="exact"/>
      </w:pPr>
    </w:p>
    <w:p w14:paraId="70A5031C" w14:textId="77777777" w:rsidR="00C1548D" w:rsidRDefault="009B1B4B">
      <w:pPr>
        <w:pStyle w:val="Heading3"/>
        <w:keepNext/>
        <w:jc w:val="center"/>
      </w:pPr>
      <w:r>
        <w:rPr>
          <w:rFonts w:ascii="Amazon Ember" w:eastAsia="Amazon Ember" w:hAnsi="Amazon Ember" w:cs="Amazon Ember"/>
          <w:color w:val="0000FF"/>
          <w:sz w:val="36"/>
          <w:szCs w:val="36"/>
        </w:rPr>
        <w:t>GST: 15 % – aber schon im Preis</w:t>
      </w:r>
    </w:p>
    <w:p w14:paraId="70A5031D" w14:textId="77777777" w:rsidR="00C1548D" w:rsidRDefault="009B1B4B">
      <w:pPr>
        <w:spacing w:after="140"/>
      </w:pPr>
      <w:r>
        <w:t xml:space="preserve">Die </w:t>
      </w:r>
      <w:r>
        <w:rPr>
          <w:i/>
          <w:iCs/>
        </w:rPr>
        <w:t>Goods and Services Tax</w:t>
      </w:r>
      <w:r>
        <w:t xml:space="preserve"> liegt bei einheitlich 15 % und ist, anders als die separat ausgewiesene US-Sales-Tax, bereits in praktisch </w:t>
      </w:r>
      <w:r>
        <w:lastRenderedPageBreak/>
        <w:t>jedem angezeigten Verkaufspreis enthalten. Was auf dem Preisschild steht, zahlst du an der Kasse – keine Überraschung, kein Kopfrechnen im Supermarktgang. Für 2026/27 ist keine Satzänderung angekündigt.</w:t>
      </w:r>
    </w:p>
    <w:p w14:paraId="70A5031E" w14:textId="77777777" w:rsidR="00C1548D" w:rsidRDefault="009B1B4B">
      <w:pPr>
        <w:spacing w:after="140"/>
      </w:pPr>
      <w:r>
        <w:t xml:space="preserve">Relevant wird GST vor allem für Selbstständige und Freiberufler: Wer als Einzelunternehmer in einem rollierenden 12-Monats-Fenster mehr als 60.000 NZD Umsatz erzielt oder das absehbar tun wird, muss sich innerhalb von 21 Tagen nach Überschreiten der Schwelle beim IRD für GST registrieren – unabhängig davon, ob am Ende ein Gewinn übrig bleibt. Unterhalb der Schwelle ist die Registrierung freiwillig, kann sich aber lohnen, weil dann auch auf Geschäftsausgaben gezahlte GST erstattet wird. Wer wie Paul Lindner </w:t>
      </w:r>
      <w:r>
        <w:t>neben einer Festanstellung freiberufliche IT-Projekte annimmt, sollte die eigenen Rechnungssummen deshalb im Blick behalten, statt von der Schwelle überrascht zu werden – die Nachmeldung selbst ist unkompliziert, die verpasste Frist dagegen nicht.</w:t>
      </w:r>
    </w:p>
    <w:p w14:paraId="70A5031F" w14:textId="77777777" w:rsidR="00C1548D" w:rsidRDefault="009B1B4B">
      <w:pPr>
        <w:pStyle w:val="Heading3"/>
        <w:keepNext/>
        <w:jc w:val="center"/>
      </w:pPr>
      <w:r>
        <w:rPr>
          <w:rFonts w:ascii="Amazon Ember" w:eastAsia="Amazon Ember" w:hAnsi="Amazon Ember" w:cs="Amazon Ember"/>
          <w:color w:val="0000FF"/>
          <w:sz w:val="36"/>
          <w:szCs w:val="36"/>
        </w:rPr>
        <w:t>Steuerresidenz: die 183-Tage-Regel</w:t>
      </w:r>
    </w:p>
    <w:p w14:paraId="70A50320" w14:textId="4764A19B" w:rsidR="00C1548D" w:rsidRDefault="009B1B4B">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w:t>
      </w:r>
      <w:r>
        <w:t xml:space="preserve">statt Staatsangehörigkeit sich von den USA unterscheidet und was es für deinen Weg zur Staatsbürgerschaft bedeutet, erklärt das </w:t>
      </w:r>
      <w:hyperlink w:anchor="tnz16" w:history="1">
        <w:r>
          <w:rPr>
            <w:color w:val="0563C1"/>
            <w:u w:val="single"/>
          </w:rPr>
          <w:t>Kapitel zu Staatsbürgerschaft und Steuerresidenz in diesem Teil</w:t>
        </w:r>
      </w:hyperlink>
      <w:r>
        <w:t xml:space="preserve"> ausführlicher.</w:t>
      </w:r>
    </w:p>
    <w:p w14:paraId="70A50321" w14:textId="77777777" w:rsidR="00C1548D" w:rsidRDefault="009B1B4B">
      <w:pPr>
        <w:spacing w:after="140"/>
      </w:pPr>
      <w:r>
        <w:t xml:space="preserve">Steuerinländer versteuern ihr </w:t>
      </w:r>
      <w:r>
        <w:rPr>
          <w:b/>
          <w:bCs/>
        </w:rPr>
        <w:t>weltweites</w:t>
      </w:r>
      <w:r>
        <w:t xml:space="preserve"> Einkommen in Neuseeland; Nicht-Steuerinländer nur das, was tatsächlich aus </w:t>
      </w:r>
      <w:r>
        <w:lastRenderedPageBreak/>
        <w:t>neuseeländischen Quellen stammt. Für Deutsche mit Mieteinnahmen, Kapitalerträgen oder einer Betriebsrente in Deutschland ist das der entscheidende Punkt – und genau hier hilft die folgende Sonderregel für frisch Zugewanderte.</w:t>
      </w:r>
    </w:p>
    <w:p w14:paraId="70A50322" w14:textId="77777777" w:rsidR="00C1548D" w:rsidRDefault="009B1B4B">
      <w:pPr>
        <w:spacing w:after="140"/>
      </w:pPr>
      <w:r>
        <w:t xml:space="preserve">Die Steuerresidenz endet übrigens nicht automatisch mit dem Rückflug: Diese fällt erst weg, wenn du keinen festen Wohnsitz mehr in Neuseeland hast </w:t>
      </w:r>
      <w:r>
        <w:rPr>
          <w:b/>
          <w:bCs/>
        </w:rPr>
        <w:t>und</w:t>
      </w:r>
      <w:r>
        <w:t xml:space="preserve"> dich in einem rollierenden 12-Monats-Fenster an mehr als 325 Tagen außerhalb Neuseelands aufhältst. Wer also nach ein paar Jahren zurück nach Deutschland zieht, aber noch eine neuseeländische Wohnung oder ein Haus behält, bleibt unter Umständen länger steuerpflichtig, als er denkt.</w:t>
      </w:r>
    </w:p>
    <w:p w14:paraId="70A50323" w14:textId="77777777" w:rsidR="00C1548D" w:rsidRDefault="009B1B4B">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 wer also weiterhin remote für einen deutschen Arbeitgeber tätig ist, versteuert dieses Einkommen ganz regulär in Neuseeland.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26"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324" w14:textId="77777777" w:rsidR="00C1548D" w:rsidRDefault="009B1B4B">
            <w:pPr>
              <w:keepNext/>
              <w:spacing w:after="70" w:line="240" w:lineRule="auto"/>
            </w:pPr>
            <w:r>
              <w:rPr>
                <w:b/>
                <w:bCs/>
                <w:color w:val="4A5568"/>
                <w:spacing w:val="24"/>
                <w:sz w:val="16"/>
                <w:szCs w:val="16"/>
              </w:rPr>
              <w:t>PRAXISBEISPIEL · FIKTIV</w:t>
            </w:r>
          </w:p>
          <w:p w14:paraId="70A50325" w14:textId="77777777" w:rsidR="00C1548D" w:rsidRDefault="009B1B4B">
            <w:pPr>
              <w:spacing w:after="80" w:line="264" w:lineRule="auto"/>
            </w:pPr>
            <w:r>
              <w:rPr>
                <w:sz w:val="20"/>
                <w:szCs w:val="20"/>
              </w:rPr>
              <w:t>Familie Krüger vermietet ihr Reihenhaus bei Rostock weiter, nachdem Sebastian und Petra mit dem AEWV nach Christchurch gezogen sind. In den ersten vier Jahren fällt auf die deutschen Mieteinnahmen dank der Transitional-Resident-Befreiung keine neuseeländische Steuer an – ein Umstand, den ihre Steuerberaterin in Christchurch ausdrücklich lobt, bevor sie im selben Satz darauf hinweist, dass die Befreiung nach 48 Monaten automatisch endet und die Familie sich rechtzeitig auf die dann volle Steuerpflicht einste</w:t>
            </w:r>
            <w:r>
              <w:rPr>
                <w:sz w:val="20"/>
                <w:szCs w:val="20"/>
              </w:rPr>
              <w:t>llen sollte.</w:t>
            </w:r>
          </w:p>
        </w:tc>
      </w:tr>
    </w:tbl>
    <w:p w14:paraId="70A50327"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2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328" w14:textId="77777777" w:rsidR="00C1548D" w:rsidRDefault="009B1B4B">
            <w:pPr>
              <w:keepNext/>
              <w:spacing w:after="70" w:line="240" w:lineRule="auto"/>
            </w:pPr>
            <w:r>
              <w:rPr>
                <w:b/>
                <w:bCs/>
                <w:color w:val="6B7280"/>
                <w:spacing w:val="24"/>
                <w:sz w:val="16"/>
                <w:szCs w:val="16"/>
              </w:rPr>
              <w:lastRenderedPageBreak/>
              <w:t>KEIN RECHTSRAT</w:t>
            </w:r>
          </w:p>
          <w:p w14:paraId="70A50329" w14:textId="77777777" w:rsidR="00C1548D" w:rsidRDefault="009B1B4B">
            <w:pPr>
              <w:spacing w:after="80" w:line="264" w:lineRule="auto"/>
            </w:pPr>
            <w:r>
              <w:rPr>
                <w:sz w:val="20"/>
                <w:szCs w:val="20"/>
              </w:rPr>
              <w:t>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w:t>
            </w:r>
            <w:r>
              <w:rPr>
                <w:sz w:val="20"/>
                <w:szCs w:val="20"/>
              </w:rPr>
              <w:t xml:space="preserve"> abstimmt oder die deutsche Seite kennt.</w:t>
            </w:r>
          </w:p>
        </w:tc>
      </w:tr>
    </w:tbl>
    <w:p w14:paraId="70A5032B" w14:textId="77777777" w:rsidR="00C1548D" w:rsidRDefault="00C1548D">
      <w:pPr>
        <w:spacing w:line="220" w:lineRule="exact"/>
      </w:pPr>
    </w:p>
    <w:p w14:paraId="70A5032C" w14:textId="77777777" w:rsidR="00C1548D" w:rsidRDefault="009B1B4B">
      <w:pPr>
        <w:pStyle w:val="Heading3"/>
        <w:keepNext/>
        <w:jc w:val="center"/>
      </w:pPr>
      <w:r>
        <w:rPr>
          <w:rFonts w:ascii="Amazon Ember" w:eastAsia="Amazon Ember" w:hAnsi="Amazon Ember" w:cs="Amazon Ember"/>
          <w:color w:val="0000FF"/>
          <w:sz w:val="36"/>
          <w:szCs w:val="36"/>
        </w:rPr>
        <w:t>KiwiSaver: Altersvorsorge, aber nicht für jeden</w:t>
      </w:r>
    </w:p>
    <w:p w14:paraId="70A5032D" w14:textId="77777777" w:rsidR="00C1548D" w:rsidRDefault="009B1B4B">
      <w:pPr>
        <w:spacing w:after="140"/>
      </w:pPr>
      <w:r>
        <w:rPr>
          <w:i/>
          <w:iCs/>
        </w:rPr>
        <w:t>KiwiSaver</w:t>
      </w:r>
      <w:r>
        <w:t xml:space="preserve"> ist Neuseelands freiwilliges, staatlich gefördertes Rentensparsystem – und ausgerechnet hier trennt sich der Weg vieler Neuankömmlinge in zwei Klassen. Beitreten können nur Personen zwischen 18 und 65 Jahren, die in Neuseeland wohnen und entweder neuseeländische Staatsangehörige sind oder ein </w:t>
      </w:r>
      <w:r>
        <w:rPr>
          <w:b/>
          <w:bCs/>
        </w:rPr>
        <w:t>unbefristetes Aufenthaltsrecht</w:t>
      </w:r>
      <w:r>
        <w:t xml:space="preserve"> haben. Ein befristetes Arbeits-, Studien- oder Besuchervisum reicht dafür grundsätzlich nicht.</w:t>
      </w:r>
    </w:p>
    <w:p w14:paraId="70A5032E" w14:textId="77777777" w:rsidR="00C1548D" w:rsidRDefault="009B1B4B">
      <w:pPr>
        <w:spacing w:after="140"/>
      </w:pPr>
      <w:r>
        <w:t>Für die beiden Hauptfiguren dieses Buchteils bedeutet das zwei völlig unterschiedliche Startpunkte: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31"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32F" w14:textId="77777777" w:rsidR="00C1548D" w:rsidRDefault="009B1B4B">
            <w:pPr>
              <w:keepNext/>
              <w:spacing w:after="70" w:line="240" w:lineRule="auto"/>
            </w:pPr>
            <w:r>
              <w:rPr>
                <w:b/>
                <w:bCs/>
                <w:color w:val="4A5568"/>
                <w:spacing w:val="24"/>
                <w:sz w:val="16"/>
                <w:szCs w:val="16"/>
              </w:rPr>
              <w:lastRenderedPageBreak/>
              <w:t>PRAXISBEISPIEL · FIKTIV</w:t>
            </w:r>
          </w:p>
          <w:p w14:paraId="70A50330" w14:textId="77777777" w:rsidR="00C1548D" w:rsidRDefault="009B1B4B">
            <w:pPr>
              <w:spacing w:after="80" w:line="264" w:lineRule="auto"/>
            </w:pPr>
            <w:r>
              <w:rPr>
                <w:sz w:val="20"/>
                <w:szCs w:val="20"/>
              </w:rPr>
              <w:t>Paul Lindner reist mit einem bereits bewilligten Skilled Migrant Category Resident Visa direkt aus Frankfurt an. Da er damit ein unbefristetes Aufenthaltsrecht besitzt, kann er noch in seiner ersten Woche in Auckland KiwiSaver beitreten und wählt einen wachstumsorientierten Fonds – ohne Wartezeit, ohne Zwischenschritt. Familie Krüger dagegen reist mit einem Accredited Employer Work Visa ein: Sebastian und Petra sind damit vorerst schlicht nicht beitrittsberechtigt, so gerne ihr neuer Arbeitgeber in Christch</w:t>
            </w:r>
            <w:r>
              <w:rPr>
                <w:sz w:val="20"/>
                <w:szCs w:val="20"/>
              </w:rPr>
              <w:t>urch sie auch fürs betriebliche Sparen begeistern würde. Erst mit einem eigenen Daueraufenthaltstitel – meist über die Skilled Migrant Category, sobald die Green-List-Beschäftigung die nötige Zeit erreicht hat – öffnet sich KiwiSaver auch für sie.</w:t>
            </w:r>
          </w:p>
        </w:tc>
      </w:tr>
    </w:tbl>
    <w:p w14:paraId="70A50332" w14:textId="77777777" w:rsidR="00C1548D" w:rsidRDefault="00C1548D">
      <w:pPr>
        <w:spacing w:line="220" w:lineRule="exact"/>
      </w:pPr>
    </w:p>
    <w:p w14:paraId="70A50333" w14:textId="77777777" w:rsidR="00C1548D" w:rsidRDefault="009B1B4B">
      <w:pPr>
        <w:spacing w:after="140"/>
      </w:pPr>
      <w:r>
        <w:t xml:space="preserve">Für berechtigte Mitglieder ist der Arbeitgeberbeitrag verpflichtend, sobald man einmal beigetreten ist: mindestens 3 % bisher, ab dem 1. April 2026 mindestens </w:t>
      </w:r>
      <w:r>
        <w:rPr>
          <w:b/>
          <w:bCs/>
        </w:rPr>
        <w:t>3,5 %</w:t>
      </w:r>
      <w:r>
        <w:t xml:space="preserve"> des Lohns, mit einer weiteren geplanten Stufe auf 4 % ab dem 1. April 2028. Seit demselben Stichtag gelten Pflichtbeiträge erstmals auch für 16- und 17-Jährige, zuvor erst ab 18 Jahren.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36"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334" w14:textId="77777777" w:rsidR="00C1548D" w:rsidRDefault="009B1B4B">
            <w:pPr>
              <w:keepNext/>
              <w:spacing w:after="70" w:line="240" w:lineRule="auto"/>
            </w:pPr>
            <w:r>
              <w:rPr>
                <w:b/>
                <w:bCs/>
                <w:color w:val="8A6212"/>
                <w:spacing w:val="24"/>
                <w:sz w:val="16"/>
                <w:szCs w:val="16"/>
              </w:rPr>
              <w:t>MERKE</w:t>
            </w:r>
          </w:p>
          <w:p w14:paraId="70A50335" w14:textId="77777777" w:rsidR="00C1548D" w:rsidRDefault="009B1B4B">
            <w:pPr>
              <w:spacing w:after="80" w:line="264" w:lineRule="auto"/>
            </w:pPr>
            <w:r>
              <w:rPr>
                <w:sz w:val="20"/>
                <w:szCs w:val="20"/>
              </w:rPr>
              <w:t>Wer zunächst nur ein befristetes Visum hat, verliert durch die fehlende KiwiSaver-Berechtigung keine automatische Ersparnis – man kann eben noch nicht beitreten. Sobald ein Daueraufenthaltstitel vorliegt, lohnt sich der Beitritt aber meist zügig: Der verpflichtende Arbeitgeberbeitrag ist im Kern geschenktes Geld, das ohne eigene Mitgliedschaft ungenutzt bliebe.</w:t>
            </w:r>
          </w:p>
        </w:tc>
      </w:tr>
    </w:tbl>
    <w:p w14:paraId="70A50337" w14:textId="77777777" w:rsidR="00C1548D" w:rsidRDefault="00C1548D">
      <w:pPr>
        <w:spacing w:line="220" w:lineRule="exact"/>
      </w:pPr>
    </w:p>
    <w:p w14:paraId="70A50338" w14:textId="77777777" w:rsidR="00C1548D" w:rsidRDefault="009B1B4B">
      <w:pPr>
        <w:pStyle w:val="Heading3"/>
        <w:keepNext/>
        <w:jc w:val="center"/>
      </w:pPr>
      <w:r>
        <w:rPr>
          <w:rFonts w:ascii="Amazon Ember" w:eastAsia="Amazon Ember" w:hAnsi="Amazon Ember" w:cs="Amazon Ember"/>
          <w:color w:val="0000FF"/>
          <w:sz w:val="36"/>
          <w:szCs w:val="36"/>
        </w:rPr>
        <w:t>Bankkonto eröffnen: ANZ, ASB, Westpac und BNZ</w:t>
      </w:r>
    </w:p>
    <w:p w14:paraId="70A50339" w14:textId="77777777" w:rsidR="00C1548D" w:rsidRDefault="009B1B4B">
      <w:pPr>
        <w:spacing w:after="140"/>
      </w:pPr>
      <w:r>
        <w:t xml:space="preserve">Neuseelands größte Privatkundenbanken – ANZ, ASB, Westpac und BNZ – bieten alle eine Form der Kontoeröffnung aus dem Ausland an, allerdings mit spürbaren Unterschieden im Detail. ANZ ermöglicht die Voranmeldung bis zu 90 Tage vor der Einreise für die meisten </w:t>
      </w:r>
      <w:r>
        <w:lastRenderedPageBreak/>
        <w:t>Visakategorien; ASB wirbt mit einer App-basierten Beantragung, bei der die Kontonummer oft innerhalb weniger Tage vorliegt. Bei Westpac und BNZ ist nach mehreren übereinstimmenden Quellen häufiger ein persönlicher Filialbesuch nötig – die genauen Bedingungen ändern sich jedoch öfter, als man sich das für eine Bank wünschen würde, und lohnen einen aktuellen Check direkt auf der jeweiligen Website.</w:t>
      </w:r>
    </w:p>
    <w:p w14:paraId="70A5033A" w14:textId="77777777" w:rsidR="00C1548D" w:rsidRDefault="009B1B4B">
      <w:pPr>
        <w:spacing w:after="140"/>
      </w:pPr>
      <w:r>
        <w:t>Wichtig für die Erwartungshaltung: Ein aus dem Ausland eröffnetes Konto bleibt bis zur persönlichen Identitätsprüfung in einer Filiale – mit neuseeländischem Adressnachweis – im „Nur-Einzahlung“-Modus. Geld kommt rein, aber nicht wieder raus, keine Kartenzahlung, keine Überweisung. Genau das musste Paul Lindner am ersten Arbeitstag lernen: Sein online eröffnetes Konto konnte zwar sein erstes Gehalt entgegennehmen, für die eigentliche Nutzung brauchte es trotzdem noch einen Filialtermin mit Pass und Adressna</w:t>
      </w:r>
      <w:r>
        <w:t>chweis.</w:t>
      </w:r>
    </w:p>
    <w:p w14:paraId="70A5033B" w14:textId="77777777" w:rsidR="00C1548D" w:rsidRDefault="009B1B4B">
      <w:pPr>
        <w:spacing w:after="140"/>
      </w:pPr>
      <w:r>
        <w:t xml:space="preserve">Zur Filialprüfung bringst du üblicherweise Reisepass, den Nachweis über dein Visum sowie einen frischen Adressnachweis mit – ein Mietvertrag, eine Rechnung oder notfalls eine Buchungsbestätigung der ersten Unterkunft. Erst danach schaltet die Bank Debitkarte und Online-Banking vollständig frei. Im Alltag zahlst du in Neuseeland fast überall mit </w:t>
      </w:r>
      <w:r>
        <w:rPr>
          <w:i/>
          <w:iCs/>
        </w:rPr>
        <w:t>EFTPOS</w:t>
      </w:r>
      <w:r>
        <w:t xml:space="preserve"> (der landesweit verbreiteten Debitkarten-Zahlung direkt vom Girokonto) – Bargeld ist selbst für kleine Beträge längst zur Ausnahme geworden, was die erste Woche ohne freigeschaltetes Konto besonders unpraktisch macht.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3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33C" w14:textId="77777777" w:rsidR="00C1548D" w:rsidRDefault="009B1B4B">
            <w:pPr>
              <w:keepNext/>
              <w:spacing w:after="70" w:line="240" w:lineRule="auto"/>
            </w:pPr>
            <w:r>
              <w:rPr>
                <w:b/>
                <w:bCs/>
                <w:color w:val="9B2C2C"/>
                <w:spacing w:val="24"/>
                <w:sz w:val="16"/>
                <w:szCs w:val="16"/>
              </w:rPr>
              <w:t>ACHTUNG</w:t>
            </w:r>
          </w:p>
          <w:p w14:paraId="70A5033D" w14:textId="77777777" w:rsidR="00C1548D" w:rsidRDefault="009B1B4B">
            <w:pPr>
              <w:spacing w:after="80" w:line="264" w:lineRule="auto"/>
            </w:pPr>
            <w:r>
              <w:rPr>
                <w:sz w:val="20"/>
                <w:szCs w:val="20"/>
              </w:rPr>
              <w:t>Ein EFTPOS-Konto ohne echte Kreditkarte hilft dir beim Kreditaufbau kaum weiter – reine Debit-Zahlungen vom eigenen Guthaben melden die Auskunfteien in der Regel nicht. Für den Aufbau einer Kredithistorie brauchst du tatsächlich ein Produkt, bei dem du geliehenes Geld pünktlich zurückzahlst, nicht nur dein eigenes ausgibst.</w:t>
            </w:r>
          </w:p>
        </w:tc>
      </w:tr>
    </w:tbl>
    <w:p w14:paraId="70A5033F"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42"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340" w14:textId="77777777" w:rsidR="00C1548D" w:rsidRDefault="009B1B4B">
            <w:pPr>
              <w:keepNext/>
              <w:spacing w:after="70" w:line="240" w:lineRule="auto"/>
            </w:pPr>
            <w:r>
              <w:rPr>
                <w:b/>
                <w:bCs/>
                <w:color w:val="2F6B3B"/>
                <w:spacing w:val="24"/>
                <w:sz w:val="16"/>
                <w:szCs w:val="16"/>
              </w:rPr>
              <w:lastRenderedPageBreak/>
              <w:t>SPARTIPP</w:t>
            </w:r>
          </w:p>
          <w:p w14:paraId="70A50341" w14:textId="77777777" w:rsidR="00C1548D" w:rsidRDefault="009B1B4B">
            <w:pPr>
              <w:spacing w:after="80" w:line="264" w:lineRule="auto"/>
            </w:pPr>
            <w:r>
              <w:rPr>
                <w:sz w:val="20"/>
                <w:szCs w:val="20"/>
              </w:rPr>
              <w:t>Beantrage IRD-Nummer und Bankkonto parallel, idealerweise schon aus Deutschland. Sobald du die IRD-Nummer bei deiner Bank hinterlegst, entfällt der hohe „No-notification“-Steuerabzug auf Zinserträge – ein Detail, das sich bei einem größeren Startkapital durchaus bemerkbar macht.</w:t>
            </w:r>
          </w:p>
        </w:tc>
      </w:tr>
    </w:tbl>
    <w:p w14:paraId="70A50343" w14:textId="77777777" w:rsidR="00C1548D" w:rsidRDefault="00C1548D">
      <w:pPr>
        <w:spacing w:line="220" w:lineRule="exact"/>
      </w:pPr>
    </w:p>
    <w:p w14:paraId="70A50344" w14:textId="77777777" w:rsidR="00C1548D" w:rsidRDefault="009B1B4B">
      <w:pPr>
        <w:pStyle w:val="Heading3"/>
        <w:keepNext/>
        <w:jc w:val="center"/>
      </w:pPr>
      <w:r>
        <w:rPr>
          <w:rFonts w:ascii="Amazon Ember" w:eastAsia="Amazon Ember" w:hAnsi="Amazon Ember" w:cs="Amazon Ember"/>
          <w:color w:val="0000FF"/>
          <w:sz w:val="36"/>
          <w:szCs w:val="36"/>
        </w:rPr>
        <w:t>Kreditwürdigkeit aufbauen: Centrix, Equifax und illion</w:t>
      </w:r>
    </w:p>
    <w:p w14:paraId="70A50345" w14:textId="77777777" w:rsidR="00C1548D" w:rsidRDefault="009B1B4B">
      <w:pPr>
        <w:spacing w:after="140"/>
      </w:pPr>
      <w:r>
        <w:t xml:space="preserve">Deine makellose Schufa-Akte ist in Neuseeland ungefähr so nützlich wie ein Regenschirm in der Sahara: Drei Kreditauskunfteien – </w:t>
      </w:r>
      <w:r>
        <w:rPr>
          <w:i/>
          <w:iCs/>
        </w:rPr>
        <w:t>Centrix</w:t>
      </w:r>
      <w:r>
        <w:t xml:space="preserve"> (der einzige neuseeländische Anbieter in lokalem Besitz, mit nach eigenen Angaben rund 95 % aller kreditaktiven Neuseeländer in der Datenbank), </w:t>
      </w:r>
      <w:r>
        <w:rPr>
          <w:i/>
          <w:iCs/>
        </w:rPr>
        <w:t>Equifax New Zealand</w:t>
      </w:r>
      <w:r>
        <w:t xml:space="preserve"> (Referenzagentur fast aller großen Banken) und </w:t>
      </w:r>
      <w:r>
        <w:rPr>
          <w:i/>
          <w:iCs/>
        </w:rPr>
        <w:t>illion</w:t>
      </w:r>
      <w:r>
        <w:t xml:space="preserve"> – führen jeweils eigene Scores zwischen 0 und 1.000 (Centrix, Equifax) beziehungsweise 0 und 1.200 (illion). Keine davon kennt dich, deine deutsche Bonität oder deine jahrelange pünktliche Kontoführung zu Hause. Du startest bei null – und null ist in diesem System ausdrücklich kein Makel, sondern schlicht: noch nicht bewertet.</w:t>
      </w:r>
    </w:p>
    <w:p w14:paraId="70A50346" w14:textId="77777777" w:rsidR="00C1548D" w:rsidRDefault="009B1B4B">
      <w:pPr>
        <w:spacing w:after="140"/>
      </w:pPr>
      <w:r>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w:t>
      </w:r>
      <w:r>
        <w:t>ter“-Dienste (Ratenkauf-Apps) melden inzwischen an die Auskunfteien – eine verpasste Rate schadet dort also genauso wie bei einer klassischen Kreditkarte.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49"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347" w14:textId="77777777" w:rsidR="00C1548D" w:rsidRDefault="009B1B4B">
            <w:pPr>
              <w:keepNext/>
              <w:spacing w:after="70" w:line="240" w:lineRule="auto"/>
            </w:pPr>
            <w:r>
              <w:rPr>
                <w:b/>
                <w:bCs/>
                <w:color w:val="8A6212"/>
                <w:spacing w:val="24"/>
                <w:sz w:val="16"/>
                <w:szCs w:val="16"/>
              </w:rPr>
              <w:lastRenderedPageBreak/>
              <w:t>MERKE</w:t>
            </w:r>
          </w:p>
          <w:p w14:paraId="70A50348" w14:textId="77777777" w:rsidR="00C1548D" w:rsidRDefault="009B1B4B">
            <w:pPr>
              <w:spacing w:after="80" w:line="264" w:lineRule="auto"/>
            </w:pPr>
            <w:r>
              <w:rPr>
                <w:sz w:val="20"/>
                <w:szCs w:val="20"/>
              </w:rPr>
              <w:t>Kreditwürdigkeit ist in Neuseeland ein eigenständiges System, komplett getrennt von der deutschen Schufa. Niemand importiert deine Geschichte – du beginnst neu, und Strom-, Internet- und Kreditkartenrechnungen zählen von Anfang an mit, wenn du sie pünktlich bezahlst.</w:t>
            </w:r>
          </w:p>
        </w:tc>
      </w:tr>
    </w:tbl>
    <w:p w14:paraId="70A5034A"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4D"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34B" w14:textId="77777777" w:rsidR="00C1548D" w:rsidRDefault="009B1B4B">
            <w:pPr>
              <w:keepNext/>
              <w:spacing w:after="70" w:line="240" w:lineRule="auto"/>
            </w:pPr>
            <w:r>
              <w:rPr>
                <w:b/>
                <w:bCs/>
                <w:color w:val="2F6B3B"/>
                <w:spacing w:val="24"/>
                <w:sz w:val="16"/>
                <w:szCs w:val="16"/>
              </w:rPr>
              <w:t>SPARTIPP</w:t>
            </w:r>
          </w:p>
          <w:p w14:paraId="70A5034C" w14:textId="77777777" w:rsidR="00C1548D" w:rsidRDefault="009B1B4B">
            <w:pPr>
              <w:spacing w:after="80" w:line="264" w:lineRule="auto"/>
            </w:pPr>
            <w:r>
              <w:rPr>
                <w:sz w:val="20"/>
                <w:szCs w:val="20"/>
              </w:rPr>
              <w:t>Du hast bei allen drei Auskunfteien Anspruch auf einen kostenlosen Kreditreport. Prüfe ihn nach den ersten Monaten in Neuseeland bewusst – so erkennst du Fehler früh und siehst, welche deiner Rechnungen tatsächlich schon als positive Historie zählen.</w:t>
            </w:r>
          </w:p>
        </w:tc>
      </w:tr>
    </w:tbl>
    <w:p w14:paraId="70A5034E"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5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34F" w14:textId="77777777" w:rsidR="00C1548D" w:rsidRDefault="009B1B4B">
            <w:pPr>
              <w:keepNext/>
              <w:spacing w:after="70" w:line="240" w:lineRule="auto"/>
            </w:pPr>
            <w:r>
              <w:rPr>
                <w:b/>
                <w:bCs/>
                <w:color w:val="9B2C2C"/>
                <w:spacing w:val="24"/>
                <w:sz w:val="16"/>
                <w:szCs w:val="16"/>
              </w:rPr>
              <w:t>ACHTUNG</w:t>
            </w:r>
          </w:p>
          <w:p w14:paraId="70A50350" w14:textId="77777777" w:rsidR="00C1548D" w:rsidRDefault="009B1B4B">
            <w:pPr>
              <w:spacing w:after="80" w:line="264" w:lineRule="auto"/>
            </w:pPr>
            <w:r>
              <w:rPr>
                <w:sz w:val="20"/>
                <w:szCs w:val="20"/>
              </w:rPr>
              <w:t>Stelle nicht mehrere Kreditkartenanträge gleichzeitig, nur um den Aufbau zu beschleunigen. Jede Anfrage hinterlässt eine eigene Spur in der Akte und kann einen gerade erst entstehenden Score kurzfristig eher drücken als stützen.</w:t>
            </w:r>
          </w:p>
        </w:tc>
      </w:tr>
    </w:tbl>
    <w:p w14:paraId="70A50352" w14:textId="77777777" w:rsidR="00C1548D" w:rsidRDefault="00C1548D">
      <w:pPr>
        <w:spacing w:line="220" w:lineRule="exact"/>
      </w:pPr>
    </w:p>
    <w:p w14:paraId="70A50353" w14:textId="77777777" w:rsidR="00C1548D" w:rsidRDefault="009B1B4B">
      <w:pPr>
        <w:pStyle w:val="Heading3"/>
        <w:keepNext/>
        <w:jc w:val="center"/>
      </w:pPr>
      <w:r>
        <w:rPr>
          <w:rFonts w:ascii="Amazon Ember" w:eastAsia="Amazon Ember" w:hAnsi="Amazon Ember" w:cs="Amazon Ember"/>
          <w:color w:val="0000FF"/>
          <w:sz w:val="36"/>
          <w:szCs w:val="36"/>
        </w:rPr>
        <w:t>Die Steuererklärung: was Angestellte wissen müssen</w:t>
      </w:r>
    </w:p>
    <w:p w14:paraId="70A50354" w14:textId="77777777" w:rsidR="00C1548D" w:rsidRDefault="009B1B4B">
      <w:pPr>
        <w:spacing w:after="140"/>
      </w:pPr>
      <w:r>
        <w:t>Wer ausschließlich Lohn oder Gehalt bezieht und dessen PAYE korrekt abgeführt wurde, muss oft überhaupt keine eigene Erklärung abgeben – das IRD gleicht viele Fälle automatisch ab und meldet sich von sich aus, falls eine Nachzahlung oder Erstattung ansteht. Wer zusätzliche Einkünfte hat – Vermietung, Selbstständigkeit, ausländische Kapitalerträge außerhalb der Transitional-Resident-Befreiung –, muss dagegen aktiv über myIR eine Erklärung einreichen. Bewahre dafür von Anfang an Gehaltsabrechnungen, den Jahre</w:t>
      </w:r>
      <w:r>
        <w:t>sabschluss deines Arbeitgebers und Belege für berufsbezogene Ausgaben sorgfältig auf.</w:t>
      </w:r>
    </w:p>
    <w:p w14:paraId="70A50355" w14:textId="77777777" w:rsidR="00C1548D" w:rsidRDefault="009B1B4B">
      <w:pPr>
        <w:spacing w:after="140"/>
      </w:pPr>
      <w:r>
        <w:lastRenderedPageBreak/>
        <w:t>Bei komplexeren Fällen – etwa deutschem Immobilienbesitz, mehreren Einkommensquellen oder Unsicherheit über die eigene Steuerresidenz – lohnt sich ein registrierter Steuerberater (</w:t>
      </w:r>
      <w:r>
        <w:rPr>
          <w:i/>
          <w:iCs/>
        </w:rPr>
        <w:t>tax agent</w:t>
      </w:r>
      <w:r>
        <w:t>, ein bei IRD registrierter Steuerberatungsdienst). Er kennt nicht nur die aktuellen Fristen in myIR, sondern kann bei komplizierten Fällen auch mit dem IRD über Zahlungsvereinbarungen oder Fristverlängerungen verhandeln – ein Aufwand, der sich gerade im ersten neuseeländischen Steuerjahr auszahlt, wenn ohnehin schon vieles neu ist.</w:t>
      </w:r>
    </w:p>
    <w:p w14:paraId="70A50356"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359"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357"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358" w14:textId="77777777" w:rsidR="00C1548D" w:rsidRDefault="009B1B4B">
            <w:pPr>
              <w:spacing w:line="250" w:lineRule="auto"/>
            </w:pPr>
            <w:r>
              <w:rPr>
                <w:b/>
                <w:bCs/>
                <w:sz w:val="18"/>
                <w:szCs w:val="18"/>
              </w:rPr>
              <w:t>Minus</w:t>
            </w:r>
          </w:p>
        </w:tc>
      </w:tr>
      <w:tr w:rsidR="00C1548D" w14:paraId="70A5035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5A" w14:textId="77777777" w:rsidR="00C1548D" w:rsidRDefault="009B1B4B">
            <w:pPr>
              <w:spacing w:line="250" w:lineRule="auto"/>
            </w:pPr>
            <w:r>
              <w:rPr>
                <w:sz w:val="18"/>
                <w:szCs w:val="18"/>
              </w:rPr>
              <w:t>IRD-Nummer ist kostenlos und meist binnen 2 Tagen bestätigt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5B" w14:textId="77777777" w:rsidR="00C1548D" w:rsidRDefault="009B1B4B">
            <w:pPr>
              <w:spacing w:line="250" w:lineRule="auto"/>
            </w:pPr>
            <w:r>
              <w:rPr>
                <w:sz w:val="18"/>
                <w:szCs w:val="18"/>
              </w:rPr>
              <w:t>Ohne IRD-Nummer bzw. IR330 droht der 45-%-No-notification-Satz</w:t>
            </w:r>
          </w:p>
        </w:tc>
      </w:tr>
      <w:tr w:rsidR="00C1548D" w14:paraId="70A5035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5D" w14:textId="77777777" w:rsidR="00C1548D" w:rsidRDefault="009B1B4B">
            <w:pPr>
              <w:spacing w:line="250" w:lineRule="auto"/>
            </w:pPr>
            <w:r>
              <w:rPr>
                <w:sz w:val="18"/>
                <w:szCs w:val="18"/>
              </w:rPr>
              <w:t>GST steckt bereits im Preis – keine Überraschung an der Kasse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5E" w14:textId="77777777" w:rsidR="00C1548D" w:rsidRDefault="009B1B4B">
            <w:pPr>
              <w:spacing w:line="250" w:lineRule="auto"/>
            </w:pPr>
            <w:r>
              <w:rPr>
                <w:sz w:val="18"/>
                <w:szCs w:val="18"/>
              </w:rPr>
              <w:t>Kein Grundfreibetrag: jeder Dollar wird ab dem ersten Cent versteuert</w:t>
            </w:r>
          </w:p>
        </w:tc>
      </w:tr>
      <w:tr w:rsidR="00C1548D" w14:paraId="70A5036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60" w14:textId="77777777" w:rsidR="00C1548D" w:rsidRDefault="009B1B4B">
            <w:pPr>
              <w:spacing w:line="250" w:lineRule="auto"/>
            </w:pPr>
            <w:r>
              <w:rPr>
                <w:sz w:val="18"/>
                <w:szCs w:val="18"/>
              </w:rPr>
              <w:t>Transitional-Resident-Befreiung schont 48 Monate lang viele ausländische Kapitalerträge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61" w14:textId="77777777" w:rsidR="00C1548D" w:rsidRDefault="009B1B4B">
            <w:pPr>
              <w:spacing w:line="250" w:lineRule="auto"/>
            </w:pPr>
            <w:r>
              <w:rPr>
                <w:sz w:val="18"/>
                <w:szCs w:val="18"/>
              </w:rPr>
              <w:t>Ausländisches Erwerbseinkommen bleibt von der Befreiung ausgenommen</w:t>
            </w:r>
          </w:p>
        </w:tc>
      </w:tr>
      <w:tr w:rsidR="00C1548D" w14:paraId="70A5036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63" w14:textId="77777777" w:rsidR="00C1548D" w:rsidRDefault="009B1B4B">
            <w:pPr>
              <w:spacing w:line="250" w:lineRule="auto"/>
            </w:pPr>
            <w:r>
              <w:rPr>
                <w:sz w:val="18"/>
                <w:szCs w:val="18"/>
              </w:rPr>
              <w:t>Resident-Visa-Inhaber wie Paul Lindner können KiwiSaver sofort nutzen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64" w14:textId="77777777" w:rsidR="00C1548D" w:rsidRDefault="009B1B4B">
            <w:pPr>
              <w:spacing w:line="250" w:lineRule="auto"/>
            </w:pPr>
            <w:r>
              <w:rPr>
                <w:sz w:val="18"/>
                <w:szCs w:val="18"/>
              </w:rPr>
              <w:t>Befristete Arbeitsvisa (z. B. AEWV) schließen KiwiSaver zunächst aus</w:t>
            </w:r>
          </w:p>
        </w:tc>
      </w:tr>
      <w:tr w:rsidR="00C1548D" w14:paraId="70A5036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66" w14:textId="77777777" w:rsidR="00C1548D" w:rsidRDefault="009B1B4B">
            <w:pPr>
              <w:spacing w:line="250" w:lineRule="auto"/>
            </w:pPr>
            <w:r>
              <w:rPr>
                <w:sz w:val="18"/>
                <w:szCs w:val="18"/>
              </w:rPr>
              <w:t>Bankkonto lässt sich oft schon aus Deutschland vorbereiten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67" w14:textId="77777777" w:rsidR="00C1548D" w:rsidRDefault="009B1B4B">
            <w:pPr>
              <w:spacing w:line="250" w:lineRule="auto"/>
            </w:pPr>
            <w:r>
              <w:rPr>
                <w:sz w:val="18"/>
                <w:szCs w:val="18"/>
              </w:rPr>
              <w:t>Volle Kontofunktion erst nach persönlicher Identitätsprüfung vor Ort</w:t>
            </w:r>
          </w:p>
        </w:tc>
      </w:tr>
      <w:tr w:rsidR="00C1548D" w14:paraId="70A5036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69" w14:textId="77777777" w:rsidR="00C1548D" w:rsidRDefault="009B1B4B">
            <w:pPr>
              <w:spacing w:line="250" w:lineRule="auto"/>
            </w:pPr>
            <w:r>
              <w:rPr>
                <w:sz w:val="18"/>
                <w:szCs w:val="18"/>
              </w:rPr>
              <w:t>Kostenloser Kreditreport bei allen drei Auskunfteien einsehbar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6A" w14:textId="77777777" w:rsidR="00C1548D" w:rsidRDefault="009B1B4B">
            <w:pPr>
              <w:spacing w:line="250" w:lineRule="auto"/>
            </w:pPr>
            <w:r>
              <w:rPr>
                <w:sz w:val="18"/>
                <w:szCs w:val="18"/>
              </w:rPr>
              <w:t>Start ohne jede neuseeländische Kredithistorie, Schufa zählt nicht</w:t>
            </w:r>
          </w:p>
        </w:tc>
      </w:tr>
    </w:tbl>
    <w:p w14:paraId="70A5036C" w14:textId="77777777" w:rsidR="00C1548D" w:rsidRDefault="00C1548D">
      <w:pPr>
        <w:spacing w:line="180" w:lineRule="exact"/>
      </w:pPr>
    </w:p>
    <w:p w14:paraId="70A5036D"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36E" w14:textId="77777777" w:rsidR="00C1548D" w:rsidRDefault="009B1B4B">
      <w:pPr>
        <w:spacing w:after="140"/>
      </w:pPr>
      <w:r>
        <w:t xml:space="preserve">Beantrage die IRD-Nummer über myIR, sobald dein Visum verifizierbar ist, und reiche sie zusammen mit dem Formular IR330 bei deinem Arbeitgeber ein, bevor die erste Gehaltsabrechnung läuft. Eröffne parallel ein Bankkonto bei einer der vier großen Banken, plane aber einen Filialtermin für die vollständige Identitätsprüfung nach der Einreise ein. Kläre deine KiwiSaver-Berechtigung anhand deines Aufenthaltsstatus, und beginne unabhängig davon früh mit </w:t>
      </w:r>
      <w:r>
        <w:lastRenderedPageBreak/>
        <w:t>dem Aufbau deiner neuseeländischen Kreditwürdigkeit – über pünktliche Rechnungen, eine erste Kreditkarte und einen frühen Blick in deinen kostenlosen Kreditreport.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7B"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36F" w14:textId="77777777" w:rsidR="00C1548D" w:rsidRDefault="009B1B4B">
            <w:pPr>
              <w:keepNext/>
              <w:spacing w:after="70" w:line="240" w:lineRule="auto"/>
            </w:pPr>
            <w:r>
              <w:rPr>
                <w:b/>
                <w:bCs/>
                <w:color w:val="1F6F78"/>
                <w:spacing w:val="24"/>
                <w:sz w:val="16"/>
                <w:szCs w:val="16"/>
              </w:rPr>
              <w:t>CHECKLISTE</w:t>
            </w:r>
          </w:p>
          <w:p w14:paraId="70A5037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IRD-Nummer über myIR beantragt („New Arrival to New Zealand“), Visa-Verifizierung abgewartet</w:t>
            </w:r>
          </w:p>
          <w:p w14:paraId="70A5037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Formular IR330 beim Arbeitgeber eingereicht, bevor die erste Gehaltsabrechnung lief</w:t>
            </w:r>
          </w:p>
          <w:p w14:paraId="70A5037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IRD-Nummer auch bei der Bank hinterlegt, um den hohen Steuerabzug auf Zinsen zu vermeiden</w:t>
            </w:r>
          </w:p>
          <w:p w14:paraId="70A5037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Einkommensteuerstufen 2026/27 und das Steuerjahr (1. April–31. März) im Kopf</w:t>
            </w:r>
          </w:p>
          <w:p w14:paraId="70A5037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Steuerresidenz-Status (183-Tage-Regel) geprüft</w:t>
            </w:r>
          </w:p>
          <w:p w14:paraId="70A5037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Transitional-Resident-Befreiung mit Steuerberatung auf deutsche Kapitalerträge/Mieteinnahmen geprüft</w:t>
            </w:r>
          </w:p>
          <w:p w14:paraId="70A5037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KiwiSaver-Berechtigung anhand des Aufenthaltsstatus geklärt</w:t>
            </w:r>
          </w:p>
          <w:p w14:paraId="70A5037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Bankkonto bei ANZ, ASB, Westpac oder BNZ vorab online beantragt</w:t>
            </w:r>
          </w:p>
          <w:p w14:paraId="70A5037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Filialtermin für die persönliche Identitätsprüfung nach der Einreise eingeplant</w:t>
            </w:r>
          </w:p>
          <w:p w14:paraId="70A5037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Erste Kreditkarte oder pünktlich gezahlte Rechnungen zum Kreditaufbau genutzt</w:t>
            </w:r>
          </w:p>
          <w:p w14:paraId="70A5037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Kostenlosen Kreditreport bei Centrix, Equifax NZ oder illion nach den ersten Monaten geprüft</w:t>
            </w:r>
          </w:p>
        </w:tc>
      </w:tr>
    </w:tbl>
    <w:p w14:paraId="70A5037C" w14:textId="77777777" w:rsidR="00C1548D" w:rsidRDefault="00C1548D">
      <w:pPr>
        <w:spacing w:line="220" w:lineRule="exact"/>
      </w:pPr>
    </w:p>
    <w:p w14:paraId="70A5037D"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37E" w14:textId="4A446DA2" w:rsidR="00C1548D" w:rsidRDefault="009B1B4B" w:rsidP="009B1B4B">
      <w:pPr>
        <w:pStyle w:val="ListParagraph"/>
        <w:numPr>
          <w:ilvl w:val="0"/>
          <w:numId w:val="1"/>
        </w:numPr>
        <w:spacing w:after="60"/>
      </w:pPr>
      <w:hyperlink r:id="rId635" w:history="1">
        <w:r>
          <w:rPr>
            <w:color w:val="0563C1"/>
            <w:u w:val="single"/>
          </w:rPr>
          <w:t>ird.govt.nz</w:t>
        </w:r>
      </w:hyperlink>
      <w:r>
        <w:t xml:space="preserve"> – IRD-Nummer, Einkommensteuersätze, GST, Steuerresidenz, KiwiSaver, No-notification-Satz</w:t>
      </w:r>
    </w:p>
    <w:p w14:paraId="70A5037F" w14:textId="1F6EA5CE" w:rsidR="00C1548D" w:rsidRDefault="009B1B4B" w:rsidP="009B1B4B">
      <w:pPr>
        <w:pStyle w:val="ListParagraph"/>
        <w:numPr>
          <w:ilvl w:val="0"/>
          <w:numId w:val="1"/>
        </w:numPr>
        <w:spacing w:after="60"/>
      </w:pPr>
      <w:hyperlink r:id="rId636" w:history="1">
        <w:r>
          <w:rPr>
            <w:color w:val="0563C1"/>
            <w:u w:val="single"/>
          </w:rPr>
          <w:t>immigration.govt.nz</w:t>
        </w:r>
      </w:hyperlink>
      <w:r>
        <w:t xml:space="preserve"> – Visa-Kategorien und Aufenthaltsrecht als Grundlage der KiwiSaver-Berechtigung</w:t>
      </w:r>
    </w:p>
    <w:p w14:paraId="70A50380" w14:textId="3317C095" w:rsidR="00C1548D" w:rsidRDefault="009B1B4B" w:rsidP="009B1B4B">
      <w:pPr>
        <w:pStyle w:val="ListParagraph"/>
        <w:numPr>
          <w:ilvl w:val="0"/>
          <w:numId w:val="1"/>
        </w:numPr>
        <w:spacing w:after="60"/>
      </w:pPr>
      <w:hyperlink r:id="rId637" w:history="1">
        <w:r>
          <w:rPr>
            <w:color w:val="0563C1"/>
            <w:u w:val="single"/>
          </w:rPr>
          <w:t>centrix.co.nz</w:t>
        </w:r>
      </w:hyperlink>
      <w:r>
        <w:t xml:space="preserve"> / </w:t>
      </w:r>
      <w:hyperlink r:id="rId638" w:history="1">
        <w:r>
          <w:rPr>
            <w:color w:val="0563C1"/>
            <w:u w:val="single"/>
          </w:rPr>
          <w:t>equifax.co.nz/nz</w:t>
        </w:r>
      </w:hyperlink>
      <w:r>
        <w:t xml:space="preserve"> / </w:t>
      </w:r>
      <w:hyperlink r:id="rId639" w:history="1">
        <w:r>
          <w:rPr>
            <w:color w:val="0563C1"/>
            <w:u w:val="single"/>
          </w:rPr>
          <w:t>illion.co.nz</w:t>
        </w:r>
      </w:hyperlink>
      <w:r>
        <w:t xml:space="preserve"> – kostenlose Kreditauskunft und Score-Aufbau</w:t>
      </w:r>
    </w:p>
    <w:p w14:paraId="70A50381" w14:textId="5138FD9B" w:rsidR="00C1548D" w:rsidRDefault="009B1B4B" w:rsidP="009B1B4B">
      <w:pPr>
        <w:pStyle w:val="ListParagraph"/>
        <w:numPr>
          <w:ilvl w:val="0"/>
          <w:numId w:val="1"/>
        </w:numPr>
        <w:spacing w:after="60"/>
      </w:pPr>
      <w:hyperlink r:id="rId640" w:history="1">
        <w:r>
          <w:rPr>
            <w:color w:val="0563C1"/>
            <w:u w:val="single"/>
          </w:rPr>
          <w:t>anz.co.nz</w:t>
        </w:r>
      </w:hyperlink>
      <w:r>
        <w:t xml:space="preserve"> / </w:t>
      </w:r>
      <w:hyperlink r:id="rId641" w:history="1">
        <w:r>
          <w:rPr>
            <w:color w:val="0563C1"/>
            <w:u w:val="single"/>
          </w:rPr>
          <w:t>asb.co.nz</w:t>
        </w:r>
      </w:hyperlink>
      <w:r>
        <w:t xml:space="preserve"> / </w:t>
      </w:r>
      <w:hyperlink r:id="rId642" w:history="1">
        <w:r>
          <w:rPr>
            <w:color w:val="0563C1"/>
            <w:u w:val="single"/>
          </w:rPr>
          <w:t>westpac.co.nz</w:t>
        </w:r>
      </w:hyperlink>
      <w:r>
        <w:t xml:space="preserve"> / </w:t>
      </w:r>
      <w:hyperlink r:id="rId643" w:history="1">
        <w:r>
          <w:rPr>
            <w:color w:val="0563C1"/>
            <w:u w:val="single"/>
          </w:rPr>
          <w:t>bnz.co.nz</w:t>
        </w:r>
      </w:hyperlink>
      <w:r>
        <w:t xml:space="preserve"> – Kontoeröffnung für Neuankömmlinge</w:t>
      </w:r>
    </w:p>
    <w:p w14:paraId="70A50382" w14:textId="6CD5D62C" w:rsidR="00C1548D" w:rsidRDefault="009B1B4B" w:rsidP="009B1B4B">
      <w:pPr>
        <w:pStyle w:val="ListParagraph"/>
        <w:numPr>
          <w:ilvl w:val="0"/>
          <w:numId w:val="1"/>
        </w:numPr>
        <w:spacing w:after="60"/>
      </w:pPr>
      <w:hyperlink r:id="rId644" w:history="1">
        <w:r>
          <w:rPr>
            <w:color w:val="0563C1"/>
            <w:u w:val="single"/>
          </w:rPr>
          <w:t>govt.nz</w:t>
        </w:r>
      </w:hyperlink>
      <w:r>
        <w:t xml:space="preserve"> – unabhängige Verbraucherinformation zu Kreditreports</w:t>
      </w:r>
    </w:p>
    <w:p w14:paraId="70A50383"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8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384" w14:textId="77777777" w:rsidR="00C1548D" w:rsidRDefault="009B1B4B">
            <w:pPr>
              <w:keepNext/>
              <w:spacing w:after="70" w:line="240" w:lineRule="auto"/>
            </w:pPr>
            <w:r>
              <w:rPr>
                <w:b/>
                <w:bCs/>
                <w:color w:val="6B7280"/>
                <w:spacing w:val="24"/>
                <w:sz w:val="16"/>
                <w:szCs w:val="16"/>
              </w:rPr>
              <w:t>STAND</w:t>
            </w:r>
          </w:p>
          <w:p w14:paraId="70A50385" w14:textId="77777777" w:rsidR="00C1548D" w:rsidRDefault="009B1B4B">
            <w:pPr>
              <w:spacing w:after="80" w:line="264" w:lineRule="auto"/>
            </w:pPr>
            <w:r>
              <w:rPr>
                <w:sz w:val="20"/>
                <w:szCs w:val="20"/>
              </w:rPr>
              <w:t>23.09.2026. Diese Angaben ändern sich schnell: die genaue Rechtsgrundlage und Detailregeln der Transitional-Resident-Befreiung, jährliche Anpassungen der Einkommensteuerstufen, die nächste KiwiSaver-Stufe (4 % ab 01.04.2028) sowie Kontokonditionen und Kreditscoring-Modelle der genannten Anbieter. Prüfe vor jeder Entscheidung die aktuellen Werte auf ird.govt.nz und den Websites deiner gewählten Bank oder Auskunftei.</w:t>
            </w:r>
          </w:p>
        </w:tc>
      </w:tr>
    </w:tbl>
    <w:p w14:paraId="70A50387" w14:textId="77777777" w:rsidR="00C1548D" w:rsidRDefault="00C1548D">
      <w:pPr>
        <w:spacing w:line="220" w:lineRule="exact"/>
      </w:pPr>
    </w:p>
    <w:p w14:paraId="70A50388" w14:textId="77777777" w:rsidR="00C1548D" w:rsidRDefault="009B1B4B">
      <w:pPr>
        <w:pStyle w:val="Heading2"/>
        <w:keepNext/>
        <w:pageBreakBefore/>
        <w:jc w:val="center"/>
      </w:pPr>
      <w:bookmarkStart w:id="182" w:name="tnz08"/>
      <w:bookmarkStart w:id="183" w:name="_Toc241352543"/>
      <w:r>
        <w:rPr>
          <w:rFonts w:ascii="Amazon Ember" w:eastAsia="Amazon Ember" w:hAnsi="Amazon Ember" w:cs="Amazon Ember"/>
          <w:color w:val="0000FF"/>
          <w:sz w:val="36"/>
          <w:szCs w:val="36"/>
        </w:rPr>
        <w:lastRenderedPageBreak/>
        <w:t>Neuseeland: Das Gesundheitssystem</w:t>
      </w:r>
      <w:bookmarkEnd w:id="182"/>
      <w:bookmarkEnd w:id="183"/>
    </w:p>
    <w:p w14:paraId="70A50389" w14:textId="77777777" w:rsidR="00C1548D" w:rsidRDefault="009B1B4B">
      <w:pPr>
        <w:spacing w:after="140"/>
      </w:pPr>
      <w:r>
        <w:t>Sebastian und Petra Krüger hatten sich in Rostock vorsichtshalber auf eine lange Durststrecke ohne Versicherungsschutz eingestellt – so, wie es Bekannte aus Kanada und Australien geschildert hatten, die jeweils Wartefristen oder fehlende Abkommen mit Deutschland beklagten. Beim ersten Termin bei einer Hausarztpraxis in Christchurch stellt sich heraus, dass diese Sorge unbegründet war: Mit ihrem Accredited Employer Work Visa für eine Tätigkeit auf der Green List sind sie ab dem ersten Tag im öffentlichen Sys</w:t>
      </w:r>
      <w:r>
        <w:t>tem versichert, ganz ohne Wartezeit. Der Haken liegt nur woanders, nämlich in einer Zahl, die auf den ersten Blick simpel wirkt und trotzdem regelmäßig übersehen wird. Dieses Kapitel erklärt, wer in Neuseeland Zugang zur öffentlichen Gesundheitsversorgung hat, wie du die Übergangszeit privat absicherst – und wie das neuseeländische Unfallversicherungssystem ACC funktioniert, das in dieser Form in Deutschland kein Vorbild hat.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91"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38A" w14:textId="77777777" w:rsidR="00C1548D" w:rsidRDefault="009B1B4B">
            <w:pPr>
              <w:keepNext/>
              <w:spacing w:after="70" w:line="240" w:lineRule="auto"/>
            </w:pPr>
            <w:r>
              <w:rPr>
                <w:b/>
                <w:bCs/>
                <w:color w:val="1F3A5F"/>
                <w:spacing w:val="24"/>
                <w:sz w:val="16"/>
                <w:szCs w:val="16"/>
              </w:rPr>
              <w:lastRenderedPageBreak/>
              <w:t>KURZ GESAGT</w:t>
            </w:r>
          </w:p>
          <w:p w14:paraId="70A5038B" w14:textId="77777777" w:rsidR="00C1548D" w:rsidRDefault="009B1B4B" w:rsidP="009B1B4B">
            <w:pPr>
              <w:pStyle w:val="ListParagraph"/>
              <w:numPr>
                <w:ilvl w:val="0"/>
                <w:numId w:val="1"/>
              </w:numPr>
              <w:spacing w:after="50" w:line="264" w:lineRule="auto"/>
            </w:pPr>
            <w:r>
              <w:rPr>
                <w:sz w:val="20"/>
                <w:szCs w:val="20"/>
              </w:rPr>
              <w:t xml:space="preserve">Zugang zur öffentlichen Gesundheitsversorgung hängt nicht von deiner Staatsangehörigkeit ab, sondern von der Laufzeit deines Visums: Ab </w:t>
            </w:r>
            <w:r>
              <w:rPr>
                <w:b/>
                <w:bCs/>
                <w:sz w:val="20"/>
                <w:szCs w:val="20"/>
              </w:rPr>
              <w:t>2 Jahren oder länger</w:t>
            </w:r>
            <w:r>
              <w:rPr>
                <w:sz w:val="20"/>
                <w:szCs w:val="20"/>
              </w:rPr>
              <w:t xml:space="preserve"> giltst du ab dem ersten Tag als berechtigt.</w:t>
            </w:r>
          </w:p>
          <w:p w14:paraId="70A5038C" w14:textId="77777777" w:rsidR="00C1548D" w:rsidRDefault="009B1B4B" w:rsidP="009B1B4B">
            <w:pPr>
              <w:pStyle w:val="ListParagraph"/>
              <w:numPr>
                <w:ilvl w:val="0"/>
                <w:numId w:val="1"/>
              </w:numPr>
              <w:spacing w:after="50" w:line="264" w:lineRule="auto"/>
            </w:pPr>
            <w:r>
              <w:rPr>
                <w:sz w:val="20"/>
                <w:szCs w:val="20"/>
              </w:rPr>
              <w:t xml:space="preserve">Kürzere Visa – Working Holiday, die meisten Studienvisa, ein AEWV unter 2 Jahren – geben </w:t>
            </w:r>
            <w:r>
              <w:rPr>
                <w:b/>
                <w:bCs/>
                <w:sz w:val="20"/>
                <w:szCs w:val="20"/>
              </w:rPr>
              <w:t>keinen</w:t>
            </w:r>
            <w:r>
              <w:rPr>
                <w:sz w:val="20"/>
                <w:szCs w:val="20"/>
              </w:rPr>
              <w:t xml:space="preserve"> automatischen Zugang; du brauchst eine private Übergangsversicherung.</w:t>
            </w:r>
          </w:p>
          <w:p w14:paraId="70A5038D" w14:textId="77777777" w:rsidR="00C1548D" w:rsidRDefault="009B1B4B" w:rsidP="009B1B4B">
            <w:pPr>
              <w:pStyle w:val="ListParagraph"/>
              <w:numPr>
                <w:ilvl w:val="0"/>
                <w:numId w:val="1"/>
              </w:numPr>
              <w:spacing w:after="50" w:line="264" w:lineRule="auto"/>
            </w:pPr>
            <w:r>
              <w:rPr>
                <w:sz w:val="20"/>
                <w:szCs w:val="20"/>
              </w:rPr>
              <w:t>Anbieter wie Southern Cross und nib bieten entsprechende Policen; grobe Richtwerte liegen bei 50 bis 120 NZD im Monat, je nach Deckungsumfang, plus Wartezeiten für nicht-akute Behandlungen.</w:t>
            </w:r>
          </w:p>
          <w:p w14:paraId="70A5038E" w14:textId="77777777" w:rsidR="00C1548D" w:rsidRDefault="009B1B4B" w:rsidP="009B1B4B">
            <w:pPr>
              <w:pStyle w:val="ListParagraph"/>
              <w:numPr>
                <w:ilvl w:val="0"/>
                <w:numId w:val="1"/>
              </w:numPr>
              <w:spacing w:after="50" w:line="264" w:lineRule="auto"/>
            </w:pPr>
            <w:r>
              <w:rPr>
                <w:i/>
                <w:iCs/>
                <w:sz w:val="20"/>
                <w:szCs w:val="20"/>
              </w:rPr>
              <w:t>ACC</w:t>
            </w:r>
            <w:r>
              <w:rPr>
                <w:sz w:val="20"/>
                <w:szCs w:val="20"/>
              </w:rPr>
              <w:t xml:space="preserve"> (Accident Compensation Corporation, die staatliche Unfallversicherungsanstalt) deckt Unfallverletzungen für </w:t>
            </w:r>
            <w:r>
              <w:rPr>
                <w:b/>
                <w:bCs/>
                <w:sz w:val="20"/>
                <w:szCs w:val="20"/>
              </w:rPr>
              <w:t>jeden</w:t>
            </w:r>
            <w:r>
              <w:rPr>
                <w:sz w:val="20"/>
                <w:szCs w:val="20"/>
              </w:rPr>
              <w:t xml:space="preserve"> in Neuseeland ab – unabhängig vom Aufenthaltsstatus, sogar für Touristen.</w:t>
            </w:r>
          </w:p>
          <w:p w14:paraId="70A5038F" w14:textId="77777777" w:rsidR="00C1548D" w:rsidRDefault="009B1B4B" w:rsidP="009B1B4B">
            <w:pPr>
              <w:pStyle w:val="ListParagraph"/>
              <w:numPr>
                <w:ilvl w:val="0"/>
                <w:numId w:val="1"/>
              </w:numPr>
              <w:spacing w:after="50" w:line="264" w:lineRule="auto"/>
            </w:pPr>
            <w:r>
              <w:rPr>
                <w:sz w:val="20"/>
                <w:szCs w:val="20"/>
              </w:rPr>
              <w:t xml:space="preserve">Im Gegenzug für die ACC-Deckung gibt es grundsätzlich </w:t>
            </w:r>
            <w:r>
              <w:rPr>
                <w:b/>
                <w:bCs/>
                <w:sz w:val="20"/>
                <w:szCs w:val="20"/>
              </w:rPr>
              <w:t>kein Klagerecht</w:t>
            </w:r>
            <w:r>
              <w:rPr>
                <w:sz w:val="20"/>
                <w:szCs w:val="20"/>
              </w:rPr>
              <w:t xml:space="preserve"> auf Schadensersatz bei Personenschäden – ein Systemunterschied, der viele Deutsche überrascht.</w:t>
            </w:r>
          </w:p>
          <w:p w14:paraId="70A50390" w14:textId="77777777" w:rsidR="00C1548D" w:rsidRDefault="009B1B4B" w:rsidP="009B1B4B">
            <w:pPr>
              <w:pStyle w:val="ListParagraph"/>
              <w:numPr>
                <w:ilvl w:val="0"/>
                <w:numId w:val="1"/>
              </w:numPr>
              <w:spacing w:after="50" w:line="264" w:lineRule="auto"/>
            </w:pPr>
            <w:r>
              <w:rPr>
                <w:sz w:val="20"/>
                <w:szCs w:val="20"/>
              </w:rPr>
              <w:t xml:space="preserve">Finanziert wird ACC unter anderem über die </w:t>
            </w:r>
            <w:r>
              <w:rPr>
                <w:i/>
                <w:iCs/>
                <w:sz w:val="20"/>
                <w:szCs w:val="20"/>
              </w:rPr>
              <w:t>Earner’s Levy</w:t>
            </w:r>
            <w:r>
              <w:rPr>
                <w:sz w:val="20"/>
                <w:szCs w:val="20"/>
              </w:rPr>
              <w:t xml:space="preserve"> (Arbeitnehmerbeitrag), ab dem 1. April 2026 </w:t>
            </w:r>
            <w:r>
              <w:rPr>
                <w:b/>
                <w:bCs/>
                <w:sz w:val="20"/>
                <w:szCs w:val="20"/>
              </w:rPr>
              <w:t>1,75 %</w:t>
            </w:r>
            <w:r>
              <w:rPr>
                <w:sz w:val="20"/>
                <w:szCs w:val="20"/>
              </w:rPr>
              <w:t xml:space="preserve"> deines Einkommens, gedeckelt bei 156.641 NZD im Jahr.</w:t>
            </w:r>
          </w:p>
        </w:tc>
      </w:tr>
    </w:tbl>
    <w:p w14:paraId="70A50392" w14:textId="77777777" w:rsidR="00C1548D" w:rsidRDefault="00C1548D">
      <w:pPr>
        <w:spacing w:line="220" w:lineRule="exact"/>
      </w:pPr>
    </w:p>
    <w:p w14:paraId="70A50393" w14:textId="77777777" w:rsidR="00C1548D" w:rsidRDefault="009B1B4B">
      <w:pPr>
        <w:pStyle w:val="Heading3"/>
        <w:keepNext/>
        <w:jc w:val="center"/>
      </w:pPr>
      <w:r>
        <w:rPr>
          <w:rFonts w:ascii="Amazon Ember" w:eastAsia="Amazon Ember" w:hAnsi="Amazon Ember" w:cs="Amazon Ember"/>
          <w:color w:val="0000FF"/>
          <w:sz w:val="36"/>
          <w:szCs w:val="36"/>
        </w:rPr>
        <w:t>Der Zwei-Jahres-Test statt eines Abkommens</w:t>
      </w:r>
    </w:p>
    <w:p w14:paraId="70A50394" w14:textId="77777777" w:rsidR="00C1548D" w:rsidRDefault="009B1B4B">
      <w:pPr>
        <w:spacing w:after="140"/>
      </w:pPr>
      <w:r>
        <w:t xml:space="preserve">Wer aus Deutschland kommt, denkt beim Wort „öffentliches Gesundheitssystem“ schnell an etwas, das einfach da ist, sobald man gemeldet und krankenversichert ist. Neuseeland tickt anders, und die entscheidende Stellschraube ist nicht deine Herkunft, sondern die Laufzeit deines Visums. Wer ein Visum für 2 Jahre oder länger hat – gerechnet ab dem ersten Tag in Neuseeland, wobei bereits vor Ort verbrachte Zeit mitzählt –, ist ab diesem ersten Tag für subventionierte öffentliche Gesundheitsleistungen berechtigt. </w:t>
      </w:r>
      <w:r>
        <w:t>Wer darunterliegt, ist es in aller Regel nicht.</w:t>
      </w:r>
    </w:p>
    <w:p w14:paraId="70A50395" w14:textId="77777777" w:rsidR="00C1548D" w:rsidRDefault="009B1B4B">
      <w:pPr>
        <w:spacing w:after="140"/>
      </w:pPr>
      <w:r>
        <w:lastRenderedPageBreak/>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 ein Kriterium, das sich leicht selbst nachr</w:t>
      </w:r>
      <w:r>
        <w:t>echnen lässt, bevor man sich auf Erzählungen von Bekannten verlässt.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98"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396" w14:textId="77777777" w:rsidR="00C1548D" w:rsidRDefault="009B1B4B">
            <w:pPr>
              <w:keepNext/>
              <w:spacing w:after="70" w:line="240" w:lineRule="auto"/>
            </w:pPr>
            <w:r>
              <w:rPr>
                <w:b/>
                <w:bCs/>
                <w:color w:val="8A6212"/>
                <w:spacing w:val="24"/>
                <w:sz w:val="16"/>
                <w:szCs w:val="16"/>
              </w:rPr>
              <w:t>MERKE</w:t>
            </w:r>
          </w:p>
          <w:p w14:paraId="70A50397" w14:textId="77777777" w:rsidR="00C1548D" w:rsidRDefault="009B1B4B">
            <w:pPr>
              <w:spacing w:after="80" w:line="264" w:lineRule="auto"/>
            </w:pPr>
            <w:r>
              <w:rPr>
                <w:sz w:val="20"/>
                <w:szCs w:val="20"/>
              </w:rPr>
              <w:t>Frage nicht „Wie lange bin ich schon hier?“, sondern „Wie lange gilt mein Visum insgesamt?“. Für den Zugang zum öffentlichen System zählt die bewilligte Gesamtlaufzeit, nicht deine tatsächliche Aufenthaltsdauer bis zu einem bestimmten Stichtag.</w:t>
            </w:r>
          </w:p>
        </w:tc>
      </w:tr>
    </w:tbl>
    <w:p w14:paraId="70A50399" w14:textId="77777777" w:rsidR="00C1548D" w:rsidRDefault="00C1548D">
      <w:pPr>
        <w:spacing w:line="220" w:lineRule="exact"/>
      </w:pPr>
    </w:p>
    <w:p w14:paraId="70A5039A" w14:textId="77777777" w:rsidR="00C1548D" w:rsidRDefault="009B1B4B">
      <w:pPr>
        <w:pStyle w:val="Heading3"/>
        <w:keepNext/>
        <w:jc w:val="center"/>
      </w:pPr>
      <w:r>
        <w:rPr>
          <w:rFonts w:ascii="Amazon Ember" w:eastAsia="Amazon Ember" w:hAnsi="Amazon Ember" w:cs="Amazon Ember"/>
          <w:color w:val="0000FF"/>
          <w:sz w:val="36"/>
          <w:szCs w:val="36"/>
        </w:rPr>
        <w:t>Wer sofort abgesichert ist – und wer nicht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2"/>
        <w:gridCol w:w="994"/>
        <w:gridCol w:w="3264"/>
      </w:tblGrid>
      <w:tr w:rsidR="00C1548D" w14:paraId="70A5039E" w14:textId="77777777">
        <w:tblPrEx>
          <w:tblCellMar>
            <w:top w:w="0" w:type="dxa"/>
            <w:bottom w:w="0" w:type="dxa"/>
          </w:tblCellMar>
        </w:tblPrEx>
        <w:trPr>
          <w:cantSplit/>
          <w:tblHeader/>
        </w:trPr>
        <w:tc>
          <w:tcPr>
            <w:tcW w:w="222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39B" w14:textId="77777777" w:rsidR="00C1548D" w:rsidRDefault="009B1B4B">
            <w:pPr>
              <w:spacing w:line="250" w:lineRule="auto"/>
            </w:pPr>
            <w:r>
              <w:rPr>
                <w:b/>
                <w:bCs/>
                <w:sz w:val="18"/>
                <w:szCs w:val="18"/>
              </w:rPr>
              <w:t>Status</w:t>
            </w:r>
          </w:p>
        </w:tc>
        <w:tc>
          <w:tcPr>
            <w:tcW w:w="99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39C" w14:textId="77777777" w:rsidR="00C1548D" w:rsidRDefault="009B1B4B">
            <w:pPr>
              <w:spacing w:line="250" w:lineRule="auto"/>
            </w:pPr>
            <w:r>
              <w:rPr>
                <w:b/>
                <w:bCs/>
                <w:sz w:val="18"/>
                <w:szCs w:val="18"/>
              </w:rPr>
              <w:t>Öffentlicher Zugang</w:t>
            </w:r>
          </w:p>
        </w:tc>
        <w:tc>
          <w:tcPr>
            <w:tcW w:w="326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39D" w14:textId="77777777" w:rsidR="00C1548D" w:rsidRDefault="009B1B4B">
            <w:pPr>
              <w:spacing w:line="250" w:lineRule="auto"/>
            </w:pPr>
            <w:r>
              <w:rPr>
                <w:b/>
                <w:bCs/>
                <w:sz w:val="18"/>
                <w:szCs w:val="18"/>
              </w:rPr>
              <w:t>Was du brauchst</w:t>
            </w:r>
          </w:p>
        </w:tc>
      </w:tr>
      <w:tr w:rsidR="00C1548D" w14:paraId="70A503A2" w14:textId="77777777">
        <w:tblPrEx>
          <w:tblCellMar>
            <w:top w:w="0" w:type="dxa"/>
            <w:bottom w:w="0" w:type="dxa"/>
          </w:tblCellMar>
        </w:tblPrEx>
        <w:trPr>
          <w:cantSplit/>
        </w:trPr>
        <w:tc>
          <w:tcPr>
            <w:tcW w:w="22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9F" w14:textId="77777777" w:rsidR="00C1548D" w:rsidRDefault="009B1B4B">
            <w:pPr>
              <w:spacing w:line="250" w:lineRule="auto"/>
            </w:pPr>
            <w:r>
              <w:rPr>
                <w:sz w:val="18"/>
                <w:szCs w:val="18"/>
              </w:rPr>
              <w:t>Resident Visa (z. B. Skilled Migrant Category)</w:t>
            </w:r>
          </w:p>
        </w:tc>
        <w:tc>
          <w:tcPr>
            <w:tcW w:w="9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0" w14:textId="77777777" w:rsidR="00C1548D" w:rsidRDefault="009B1B4B">
            <w:pPr>
              <w:spacing w:line="250" w:lineRule="auto"/>
            </w:pPr>
            <w:r>
              <w:rPr>
                <w:sz w:val="18"/>
                <w:szCs w:val="18"/>
              </w:rPr>
              <w:t>Ja, ab Ankunft</w:t>
            </w:r>
          </w:p>
        </w:tc>
        <w:tc>
          <w:tcPr>
            <w:tcW w:w="32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1" w14:textId="77777777" w:rsidR="00C1548D" w:rsidRDefault="009B1B4B">
            <w:pPr>
              <w:spacing w:line="250" w:lineRule="auto"/>
            </w:pPr>
            <w:r>
              <w:rPr>
                <w:sz w:val="18"/>
                <w:szCs w:val="18"/>
              </w:rPr>
              <w:t>Nachweis bei der Praxis/Klinik</w:t>
            </w:r>
          </w:p>
        </w:tc>
      </w:tr>
      <w:tr w:rsidR="00C1548D" w14:paraId="70A503A6" w14:textId="77777777">
        <w:tblPrEx>
          <w:tblCellMar>
            <w:top w:w="0" w:type="dxa"/>
            <w:bottom w:w="0" w:type="dxa"/>
          </w:tblCellMar>
        </w:tblPrEx>
        <w:trPr>
          <w:cantSplit/>
        </w:trPr>
        <w:tc>
          <w:tcPr>
            <w:tcW w:w="22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3" w14:textId="77777777" w:rsidR="00C1548D" w:rsidRDefault="009B1B4B">
            <w:pPr>
              <w:spacing w:line="250" w:lineRule="auto"/>
            </w:pPr>
            <w:r>
              <w:rPr>
                <w:sz w:val="18"/>
                <w:szCs w:val="18"/>
              </w:rPr>
              <w:t>AEWV mit 2 Jahren Laufzeit oder mehr</w:t>
            </w:r>
          </w:p>
        </w:tc>
        <w:tc>
          <w:tcPr>
            <w:tcW w:w="9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4" w14:textId="77777777" w:rsidR="00C1548D" w:rsidRDefault="009B1B4B">
            <w:pPr>
              <w:spacing w:line="250" w:lineRule="auto"/>
            </w:pPr>
            <w:r>
              <w:rPr>
                <w:sz w:val="18"/>
                <w:szCs w:val="18"/>
              </w:rPr>
              <w:t>Ja, ab dem ersten Tag</w:t>
            </w:r>
          </w:p>
        </w:tc>
        <w:tc>
          <w:tcPr>
            <w:tcW w:w="32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5" w14:textId="77777777" w:rsidR="00C1548D" w:rsidRDefault="009B1B4B">
            <w:pPr>
              <w:spacing w:line="250" w:lineRule="auto"/>
            </w:pPr>
            <w:r>
              <w:rPr>
                <w:sz w:val="18"/>
                <w:szCs w:val="18"/>
              </w:rPr>
              <w:t>Visumsnachweis, ggf. bereits in NZ verbrachte Zeit anrechnen lassen</w:t>
            </w:r>
          </w:p>
        </w:tc>
      </w:tr>
      <w:tr w:rsidR="00C1548D" w14:paraId="70A503AA" w14:textId="77777777">
        <w:tblPrEx>
          <w:tblCellMar>
            <w:top w:w="0" w:type="dxa"/>
            <w:bottom w:w="0" w:type="dxa"/>
          </w:tblCellMar>
        </w:tblPrEx>
        <w:trPr>
          <w:cantSplit/>
        </w:trPr>
        <w:tc>
          <w:tcPr>
            <w:tcW w:w="22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7" w14:textId="77777777" w:rsidR="00C1548D" w:rsidRDefault="009B1B4B">
            <w:pPr>
              <w:spacing w:line="250" w:lineRule="auto"/>
            </w:pPr>
            <w:r>
              <w:rPr>
                <w:sz w:val="18"/>
                <w:szCs w:val="18"/>
              </w:rPr>
              <w:t>AEWV unter 2 Jahren</w:t>
            </w:r>
          </w:p>
        </w:tc>
        <w:tc>
          <w:tcPr>
            <w:tcW w:w="9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8" w14:textId="77777777" w:rsidR="00C1548D" w:rsidRDefault="009B1B4B">
            <w:pPr>
              <w:spacing w:line="250" w:lineRule="auto"/>
            </w:pPr>
            <w:r>
              <w:rPr>
                <w:sz w:val="18"/>
                <w:szCs w:val="18"/>
              </w:rPr>
              <w:t>Nein</w:t>
            </w:r>
          </w:p>
        </w:tc>
        <w:tc>
          <w:tcPr>
            <w:tcW w:w="32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9" w14:textId="77777777" w:rsidR="00C1548D" w:rsidRDefault="009B1B4B">
            <w:pPr>
              <w:spacing w:line="250" w:lineRule="auto"/>
            </w:pPr>
            <w:r>
              <w:rPr>
                <w:sz w:val="18"/>
                <w:szCs w:val="18"/>
              </w:rPr>
              <w:t>Private Übergangsversicherung</w:t>
            </w:r>
          </w:p>
        </w:tc>
      </w:tr>
      <w:tr w:rsidR="00C1548D" w14:paraId="70A503AE" w14:textId="77777777">
        <w:tblPrEx>
          <w:tblCellMar>
            <w:top w:w="0" w:type="dxa"/>
            <w:bottom w:w="0" w:type="dxa"/>
          </w:tblCellMar>
        </w:tblPrEx>
        <w:trPr>
          <w:cantSplit/>
        </w:trPr>
        <w:tc>
          <w:tcPr>
            <w:tcW w:w="22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B" w14:textId="77777777" w:rsidR="00C1548D" w:rsidRDefault="009B1B4B">
            <w:pPr>
              <w:spacing w:line="250" w:lineRule="auto"/>
            </w:pPr>
            <w:r>
              <w:rPr>
                <w:sz w:val="18"/>
                <w:szCs w:val="18"/>
              </w:rPr>
              <w:t>Working Holiday Visa</w:t>
            </w:r>
          </w:p>
        </w:tc>
        <w:tc>
          <w:tcPr>
            <w:tcW w:w="9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C" w14:textId="77777777" w:rsidR="00C1548D" w:rsidRDefault="009B1B4B">
            <w:pPr>
              <w:spacing w:line="250" w:lineRule="auto"/>
            </w:pPr>
            <w:r>
              <w:rPr>
                <w:sz w:val="18"/>
                <w:szCs w:val="18"/>
              </w:rPr>
              <w:t>Nein</w:t>
            </w:r>
          </w:p>
        </w:tc>
        <w:tc>
          <w:tcPr>
            <w:tcW w:w="32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D" w14:textId="77777777" w:rsidR="00C1548D" w:rsidRDefault="009B1B4B">
            <w:pPr>
              <w:spacing w:line="250" w:lineRule="auto"/>
            </w:pPr>
            <w:r>
              <w:rPr>
                <w:sz w:val="18"/>
                <w:szCs w:val="18"/>
              </w:rPr>
              <w:t>Vollständige private Krankenversicherung, oft ohnehin Visumsvoraussetzung</w:t>
            </w:r>
          </w:p>
        </w:tc>
      </w:tr>
      <w:tr w:rsidR="00C1548D" w14:paraId="70A503B2" w14:textId="77777777">
        <w:tblPrEx>
          <w:tblCellMar>
            <w:top w:w="0" w:type="dxa"/>
            <w:bottom w:w="0" w:type="dxa"/>
          </w:tblCellMar>
        </w:tblPrEx>
        <w:trPr>
          <w:cantSplit/>
        </w:trPr>
        <w:tc>
          <w:tcPr>
            <w:tcW w:w="22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AF" w14:textId="77777777" w:rsidR="00C1548D" w:rsidRDefault="009B1B4B">
            <w:pPr>
              <w:spacing w:line="250" w:lineRule="auto"/>
            </w:pPr>
            <w:r>
              <w:rPr>
                <w:sz w:val="18"/>
                <w:szCs w:val="18"/>
              </w:rPr>
              <w:t>Fee Paying Student Visa</w:t>
            </w:r>
          </w:p>
        </w:tc>
        <w:tc>
          <w:tcPr>
            <w:tcW w:w="9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B0" w14:textId="77777777" w:rsidR="00C1548D" w:rsidRDefault="009B1B4B">
            <w:pPr>
              <w:spacing w:line="250" w:lineRule="auto"/>
            </w:pPr>
            <w:r>
              <w:rPr>
                <w:sz w:val="18"/>
                <w:szCs w:val="18"/>
              </w:rPr>
              <w:t>Nein</w:t>
            </w:r>
          </w:p>
        </w:tc>
        <w:tc>
          <w:tcPr>
            <w:tcW w:w="32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B1" w14:textId="77777777" w:rsidR="00C1548D" w:rsidRDefault="009B1B4B">
            <w:pPr>
              <w:spacing w:line="250" w:lineRule="auto"/>
            </w:pPr>
            <w:r>
              <w:rPr>
                <w:sz w:val="18"/>
                <w:szCs w:val="18"/>
              </w:rPr>
              <w:t>Private Krankenversicherung für die Studiendauer</w:t>
            </w:r>
          </w:p>
        </w:tc>
      </w:tr>
    </w:tbl>
    <w:p w14:paraId="70A503B3"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B6"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3B4" w14:textId="77777777" w:rsidR="00C1548D" w:rsidRDefault="009B1B4B">
            <w:pPr>
              <w:keepNext/>
              <w:spacing w:after="70" w:line="240" w:lineRule="auto"/>
            </w:pPr>
            <w:r>
              <w:rPr>
                <w:b/>
                <w:bCs/>
                <w:color w:val="4A5568"/>
                <w:spacing w:val="24"/>
                <w:sz w:val="16"/>
                <w:szCs w:val="16"/>
              </w:rPr>
              <w:lastRenderedPageBreak/>
              <w:t>PRAXISBEISPIEL · FIKTIV</w:t>
            </w:r>
          </w:p>
          <w:p w14:paraId="70A503B5" w14:textId="77777777" w:rsidR="00C1548D" w:rsidRDefault="009B1B4B">
            <w:pPr>
              <w:spacing w:after="80" w:line="264" w:lineRule="auto"/>
            </w:pPr>
            <w:r>
              <w:rPr>
                <w:sz w:val="20"/>
                <w:szCs w:val="20"/>
              </w:rPr>
              <w:t>Familie Krüger reist mit einem Accredited Employer Work Visa für Sebastians Tätigkeit als Agraringenieur ein – ein Green-List-Beruf, für den Arbeitgeber in der Praxis meist eine mehrjährige Laufzeit beantragen. Da ihr Visum von Anfang an auf eine Laufzeit von deutlich über 2 Jahren ausgestellt ist, sind Sebastian, Petra sowie Lotta und Finn ab dem Tag der Einreise berechtigt, das öffentliche Gesundheitssystem zu nutzen. Bei der ersten Anmeldung in einer Hausarztpraxis in Christchurch reicht der Visumsnachwe</w:t>
            </w:r>
            <w:r>
              <w:rPr>
                <w:sz w:val="20"/>
                <w:szCs w:val="20"/>
              </w:rPr>
              <w:t>is aus der INZ-Bewilligung, um das zu belegen – kein separates Formular, keine Wartefrist, kein Kleingedrucktes. Petra, von Beruf Tierärztin, kommentiert trocken, dass ausgerechnet die Bürokratie hier einmal schneller war als ihre eigenen Erwartungen.</w:t>
            </w:r>
          </w:p>
        </w:tc>
      </w:tr>
    </w:tbl>
    <w:p w14:paraId="70A503B7" w14:textId="77777777" w:rsidR="00C1548D" w:rsidRDefault="00C1548D">
      <w:pPr>
        <w:spacing w:line="220" w:lineRule="exact"/>
      </w:pPr>
    </w:p>
    <w:p w14:paraId="70A503B8" w14:textId="77777777" w:rsidR="00C1548D" w:rsidRDefault="009B1B4B">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w14:paraId="70A503B9" w14:textId="77777777" w:rsidR="00C1548D" w:rsidRDefault="009B1B4B">
      <w:pPr>
        <w:spacing w:after="140"/>
      </w:pPr>
      <w:r>
        <w:t>Ein Detail lohnt sich für alle, die zunächst mit einem kürzeren Visum eingereist sind und später verlängern oder wechseln: Für die Zwei-Jahres-Schwelle zählt nicht nur die Laufzeit des aktuellen Visums allein, sondern die bereits in Neuseeland verbrachte Zeit plus die verbleibende Visumdauer zusammengerechnet. Wer beispielsweise anderthalb Jahre mit einem kürzeren AEWV gearbeitet hat und danach ein neues Visum mit mindestens einem weiteren halben Jahr Laufzeit erhält, kann die Schwelle so rechnerisch doch n</w:t>
      </w:r>
      <w:r>
        <w:t>och erreichen, ohne dass der Zugang komplett neu beginnt. Lass dir diese Rechnung im Zweifel direkt von Immigration New Zealand oder deiner Hausarztpraxis bestätigen, statt sie selbst zu schätzen.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BC"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3BA" w14:textId="77777777" w:rsidR="00C1548D" w:rsidRDefault="009B1B4B">
            <w:pPr>
              <w:keepNext/>
              <w:spacing w:after="70" w:line="240" w:lineRule="auto"/>
            </w:pPr>
            <w:r>
              <w:rPr>
                <w:b/>
                <w:bCs/>
                <w:color w:val="9B2C2C"/>
                <w:spacing w:val="24"/>
                <w:sz w:val="16"/>
                <w:szCs w:val="16"/>
              </w:rPr>
              <w:lastRenderedPageBreak/>
              <w:t>ACHTUNG</w:t>
            </w:r>
          </w:p>
          <w:p w14:paraId="70A503BB" w14:textId="77777777" w:rsidR="00C1548D" w:rsidRDefault="009B1B4B">
            <w:pPr>
              <w:spacing w:after="80" w:line="264" w:lineRule="auto"/>
            </w:pPr>
            <w:r>
              <w:rPr>
                <w:sz w:val="20"/>
                <w:szCs w:val="20"/>
              </w:rPr>
              <w:t>Verlass dich bei dieser Berechnung nicht auf eigene Näherungen. Schon wenige fehlende Wochen können darüber entscheiden, ob eine Behandlung öffentlich abgerechnet wird oder du die volle private Rechnung trägst – im Zweifel lohnt sich ein kurzer Anruf beim Praxisteam oder bei Immigration New Zealand, bevor ein größerer Eingriff ansteht.</w:t>
            </w:r>
          </w:p>
        </w:tc>
      </w:tr>
    </w:tbl>
    <w:p w14:paraId="70A503BD" w14:textId="77777777" w:rsidR="00C1548D" w:rsidRDefault="00C1548D">
      <w:pPr>
        <w:spacing w:line="220" w:lineRule="exact"/>
      </w:pPr>
    </w:p>
    <w:p w14:paraId="70A503BE" w14:textId="77777777" w:rsidR="00C1548D" w:rsidRDefault="009B1B4B">
      <w:pPr>
        <w:pStyle w:val="Heading3"/>
        <w:keepNext/>
        <w:jc w:val="center"/>
      </w:pPr>
      <w:r>
        <w:rPr>
          <w:rFonts w:ascii="Amazon Ember" w:eastAsia="Amazon Ember" w:hAnsi="Amazon Ember" w:cs="Amazon Ember"/>
          <w:color w:val="0000FF"/>
          <w:sz w:val="36"/>
          <w:szCs w:val="36"/>
        </w:rPr>
        <w:t>Private Zusatzversicherung für die Übergangszeit</w:t>
      </w:r>
    </w:p>
    <w:p w14:paraId="70A503BF" w14:textId="56E75E49" w:rsidR="00C1548D" w:rsidRDefault="009B1B4B">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history="1">
        <w:r>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w14:paraId="70A503C0" w14:textId="77777777" w:rsidR="00C1548D" w:rsidRDefault="009B1B4B">
      <w:pPr>
        <w:spacing w:after="140"/>
      </w:pPr>
      <w:r>
        <w:t>Als grobe Richtwerte für eine gesunde Einzelperson kursieren in Vergleichsportalen und bei mehreren unabhängig recherchierten Anbietern: rund 50 bis 80 NZD im Monat für eine Basis-Operationspolice, 80 bis 120 NZD für einen umfassenderen Krankenhausplan mit rund 500 NZD Selbstbehalt, und 150 bis 250 NZD für ein Rundum-Paket mit Hausarzt- und Zahnarztleistungen. Diese Zahlen schwanken je nach Alter, Anbieter und Deckungsumfang spürbar und sollten vor Vertragsabschluss über einen aktuellen Tarifrechner der Ver</w:t>
      </w:r>
      <w:r>
        <w:t>sicherer selbst bestätigt werden – Gesundheitsprämien sind in Neuseeland in den vergangenen Jahren merklich gestiegen.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C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3C1" w14:textId="77777777" w:rsidR="00C1548D" w:rsidRDefault="009B1B4B">
            <w:pPr>
              <w:keepNext/>
              <w:spacing w:after="70" w:line="240" w:lineRule="auto"/>
            </w:pPr>
            <w:r>
              <w:rPr>
                <w:b/>
                <w:bCs/>
                <w:color w:val="9B2C2C"/>
                <w:spacing w:val="24"/>
                <w:sz w:val="16"/>
                <w:szCs w:val="16"/>
              </w:rPr>
              <w:lastRenderedPageBreak/>
              <w:t>ACHTUNG</w:t>
            </w:r>
          </w:p>
          <w:p w14:paraId="70A503C2" w14:textId="77777777" w:rsidR="00C1548D" w:rsidRDefault="009B1B4B">
            <w:pPr>
              <w:spacing w:after="80" w:line="264" w:lineRule="auto"/>
            </w:pPr>
            <w:r>
              <w:rPr>
                <w:sz w:val="20"/>
                <w:szCs w:val="20"/>
              </w:rPr>
              <w:t>Für nicht-akute Behandlungen gelten bei privaten Policen typischerweise Wartezeiten von 2 bis 6 Monaten, bei Vorerkrankungen sind Ausschlüsse von 3 bis 5 Jahren keine Seltenheit. Vergleiche vor dem Abschluss im Detail, was ab wann tatsächlich gedeckt ist – ein Vertrag, der erst nach deinem geplanten Eingriff greift, hilft dir wenig.</w:t>
            </w:r>
          </w:p>
        </w:tc>
      </w:tr>
    </w:tbl>
    <w:p w14:paraId="70A503C4"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C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3C5" w14:textId="77777777" w:rsidR="00C1548D" w:rsidRDefault="009B1B4B">
            <w:pPr>
              <w:keepNext/>
              <w:spacing w:after="70" w:line="240" w:lineRule="auto"/>
            </w:pPr>
            <w:r>
              <w:rPr>
                <w:b/>
                <w:bCs/>
                <w:color w:val="2F6B3B"/>
                <w:spacing w:val="24"/>
                <w:sz w:val="16"/>
                <w:szCs w:val="16"/>
              </w:rPr>
              <w:t>SPARTIPP</w:t>
            </w:r>
          </w:p>
          <w:p w14:paraId="70A503C6" w14:textId="77777777" w:rsidR="00C1548D" w:rsidRDefault="009B1B4B">
            <w:pPr>
              <w:spacing w:after="80" w:line="264" w:lineRule="auto"/>
            </w:pPr>
            <w:r>
              <w:rPr>
                <w:sz w:val="20"/>
                <w:szCs w:val="20"/>
              </w:rPr>
              <w:t>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tc>
      </w:tr>
    </w:tbl>
    <w:p w14:paraId="70A503C8" w14:textId="77777777" w:rsidR="00C1548D" w:rsidRDefault="00C1548D">
      <w:pPr>
        <w:spacing w:line="220" w:lineRule="exact"/>
      </w:pPr>
    </w:p>
    <w:p w14:paraId="70A503C9" w14:textId="77777777" w:rsidR="00C1548D" w:rsidRDefault="009B1B4B">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w:t>
      </w:r>
      <w:r>
        <w:t>lbst einen zusätzlichen privaten Vertrag abschließt – doppelte Deckung kostet doppelt, ohne doppelten Nutzen zu bringen.</w:t>
      </w:r>
    </w:p>
    <w:p w14:paraId="70A503CA" w14:textId="77777777" w:rsidR="00C1548D" w:rsidRDefault="009B1B4B">
      <w:pPr>
        <w:pStyle w:val="Heading3"/>
        <w:keepNext/>
        <w:jc w:val="center"/>
      </w:pPr>
      <w:r>
        <w:rPr>
          <w:rFonts w:ascii="Amazon Ember" w:eastAsia="Amazon Ember" w:hAnsi="Amazon Ember" w:cs="Amazon Ember"/>
          <w:color w:val="0000FF"/>
          <w:sz w:val="36"/>
          <w:szCs w:val="36"/>
        </w:rPr>
        <w:t>ACC: die Unfallversicherung, die für alle gilt</w:t>
      </w:r>
    </w:p>
    <w:p w14:paraId="70A503CB" w14:textId="77777777" w:rsidR="00C1548D" w:rsidRDefault="009B1B4B">
      <w:pPr>
        <w:spacing w:after="140"/>
      </w:pPr>
      <w:r>
        <w:t xml:space="preserve">Hier wird es für deutsche Leser ungewohnt: </w:t>
      </w:r>
      <w:r>
        <w:rPr>
          <w:i/>
          <w:iCs/>
        </w:rPr>
        <w:t>ACC</w:t>
      </w:r>
      <w:r>
        <w:t xml:space="preserve"> ist Neuseelands alleiniger, staatlicher, verpflichtender Unfallversicherer – und er deckt buchstäblich jeden, der sich in Neuseeland aufhält, egal ob Staatsbürger, Resident, befristeter Visuminhaber, Working-Holiday-Reisender, Kind, Rentner oder Tourist auf Durchreise. Wer sich bei einer Wanderung den Knöchel verstaucht, beim Radfahren stürzt </w:t>
      </w:r>
      <w:r>
        <w:lastRenderedPageBreak/>
        <w:t>oder bei der Arbeit verletzt wird, bekommt die notwendige Behandlung über ACC finanziert – unabhängig davon, wer den Unfall verschuldet hat.</w:t>
      </w:r>
    </w:p>
    <w:p w14:paraId="70A503CC" w14:textId="77777777" w:rsidR="00C1548D" w:rsidRDefault="009B1B4B">
      <w:pPr>
        <w:spacing w:after="140"/>
      </w:pPr>
      <w:r>
        <w:t>Genau dieses No-Fault-Prinzip ist die Kehrseite der Medaille: Im Gegenzug für die verschuldensunabhängige Deckung ist eine zivilrechtliche Klage auf Schadensersatz bei Personenschäden in Neuseeland grundsätzlich ausgeschlossen. Es gibt enge Ausnahmen, etwa „exemplary damages“ bei besonders vorwerfbarem Verhalten, aber der große Regelfall – „ich verklage den Unfallverursacher auf Schmerzensgeld“ – existiert in dieser Form schlicht nicht.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CF"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3CD" w14:textId="77777777" w:rsidR="00C1548D" w:rsidRDefault="009B1B4B">
            <w:pPr>
              <w:keepNext/>
              <w:spacing w:after="70" w:line="240" w:lineRule="auto"/>
            </w:pPr>
            <w:r>
              <w:rPr>
                <w:b/>
                <w:bCs/>
                <w:color w:val="8A6212"/>
                <w:spacing w:val="24"/>
                <w:sz w:val="16"/>
                <w:szCs w:val="16"/>
              </w:rPr>
              <w:t>MERKE</w:t>
            </w:r>
          </w:p>
          <w:p w14:paraId="70A503CE" w14:textId="77777777" w:rsidR="00C1548D" w:rsidRDefault="009B1B4B">
            <w:pPr>
              <w:spacing w:after="80" w:line="264" w:lineRule="auto"/>
            </w:pPr>
            <w:r>
              <w:rPr>
                <w:sz w:val="20"/>
                <w:szCs w:val="20"/>
              </w:rPr>
              <w:t>ACC ersetzt private Haftpflicht- und Unfallklagen bei Personenschäden vollständig. Was in Deutschland selbstverständlich über eine private Haftpflichtversicherung oder eine Klage läuft, läuft in Neuseeland ausschließlich über ACC – dafür meist unbürokratischer und ohne jahrelangen Rechtsstreit, aber eben auch ohne die Möglichkeit, auf zusätzlichen Schadensersatz zu klagen.</w:t>
            </w:r>
          </w:p>
        </w:tc>
      </w:tr>
    </w:tbl>
    <w:p w14:paraId="70A503D0"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D3"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3D1" w14:textId="77777777" w:rsidR="00C1548D" w:rsidRDefault="009B1B4B">
            <w:pPr>
              <w:keepNext/>
              <w:spacing w:after="70" w:line="240" w:lineRule="auto"/>
            </w:pPr>
            <w:r>
              <w:rPr>
                <w:b/>
                <w:bCs/>
                <w:color w:val="4A5568"/>
                <w:spacing w:val="24"/>
                <w:sz w:val="16"/>
                <w:szCs w:val="16"/>
              </w:rPr>
              <w:t>PRAXISBEISPIEL · FIKTIV</w:t>
            </w:r>
          </w:p>
          <w:p w14:paraId="70A503D2" w14:textId="77777777" w:rsidR="00C1548D" w:rsidRDefault="009B1B4B">
            <w:pPr>
              <w:spacing w:after="80" w:line="264" w:lineRule="auto"/>
            </w:pPr>
            <w:r>
              <w:rPr>
                <w:sz w:val="20"/>
                <w:szCs w:val="20"/>
              </w:rPr>
              <w:t>Paul Lindner stürzt mit dem Fahrrad auf dem Weg zur Arbeit in Auckland, als ein Kurierfahrer unachtsam eine Autotür öffnet. Die Behandlung der Platzwunde und des geprellten Handgelenks in der Notaufnahme übernimmt ACC vollständig, unabhängig davon, dass der Kurierfahrer den Unfall eindeutig verursacht hat. Ein erster Impuls, den Fahrer oder dessen Arbeitgeber auf Schmerzensgeld zu verklagen, verläuft im Sand, sobald ihm ein Arbeitskollege erklärt, dass ausgerechnet das in Neuseeland so nicht vorgesehen ist.</w:t>
            </w:r>
            <w:r>
              <w:rPr>
                <w:sz w:val="20"/>
                <w:szCs w:val="20"/>
              </w:rPr>
              <w:t xml:space="preserve"> Paul gewöhnt sich schneller an dieses System, als er erwartet hatte – vor allem, weil die Rechnung der Notaufnahme trotzdem bei null blieb.</w:t>
            </w:r>
          </w:p>
        </w:tc>
      </w:tr>
    </w:tbl>
    <w:p w14:paraId="70A503D4" w14:textId="77777777" w:rsidR="00C1548D" w:rsidRDefault="00C1548D">
      <w:pPr>
        <w:spacing w:line="220" w:lineRule="exact"/>
      </w:pPr>
    </w:p>
    <w:p w14:paraId="70A503D5" w14:textId="77777777" w:rsidR="00C1548D" w:rsidRDefault="009B1B4B">
      <w:pPr>
        <w:spacing w:after="140"/>
      </w:pPr>
      <w:r>
        <w:t xml:space="preserve">Finanziert wird ACC über mehrere Abgaben, von denen für Arbeitnehmer vor allem die </w:t>
      </w:r>
      <w:r>
        <w:rPr>
          <w:i/>
          <w:iCs/>
        </w:rPr>
        <w:t>Earner’s Levy</w:t>
      </w:r>
      <w:r>
        <w:t xml:space="preserve"> (der Arbeitnehmerbeitrag zur Unfallversicherung) zählt. Sie beträgt ab dem 1. April 2026 </w:t>
      </w:r>
      <w:r>
        <w:rPr>
          <w:b/>
          <w:bCs/>
        </w:rPr>
        <w:t>1,75 %</w:t>
      </w:r>
      <w:r>
        <w:t xml:space="preserve"> deines beitragspflichtigen Einkommens (zuvor 1,67 %), automatisch über die Lohnabrechnung einbehalten, gedeckelt bei </w:t>
      </w:r>
      <w:r>
        <w:lastRenderedPageBreak/>
        <w:t>einem Jahreseinkommen von 156.641 NZD (zuvor 152.790 NZD). Weitere Abgaben – etwa eine Work Levy für Arbeitgeber oder eine Levy auf Kfz-Zulassungen – kommen hinzu, sind für den einzelnen Arbeitnehmer aber nicht unmittelbar auf der eigenen Gehaltsabrechnung sichtbar.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D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3D6" w14:textId="77777777" w:rsidR="00C1548D" w:rsidRDefault="009B1B4B">
            <w:pPr>
              <w:keepNext/>
              <w:spacing w:after="70" w:line="240" w:lineRule="auto"/>
            </w:pPr>
            <w:r>
              <w:rPr>
                <w:b/>
                <w:bCs/>
                <w:color w:val="9B2C2C"/>
                <w:spacing w:val="24"/>
                <w:sz w:val="16"/>
                <w:szCs w:val="16"/>
              </w:rPr>
              <w:t>ACHTUNG</w:t>
            </w:r>
          </w:p>
          <w:p w14:paraId="70A503D7" w14:textId="77777777" w:rsidR="00C1548D" w:rsidRDefault="009B1B4B">
            <w:pPr>
              <w:spacing w:after="80" w:line="264" w:lineRule="auto"/>
            </w:pPr>
            <w:r>
              <w:rPr>
                <w:sz w:val="20"/>
                <w:szCs w:val="20"/>
              </w:rPr>
              <w:t>ACC deckt Unfälle und Verletzungen, nicht aber gewöhnliche Krankheiten. Eine Grippe, eine chronische Erkrankung oder eine notwendige Operation ohne Unfallursache läuft weiterhin über das öffentliche Gesundheitssystem oder deine private Krankenversicherung – ACC ist eine wichtige Ergänzung, aber kein Ersatz für Krankenversicherungsschutz.</w:t>
            </w:r>
          </w:p>
        </w:tc>
      </w:tr>
    </w:tbl>
    <w:p w14:paraId="70A503D9" w14:textId="77777777" w:rsidR="00C1548D" w:rsidRDefault="00C1548D">
      <w:pPr>
        <w:spacing w:line="220" w:lineRule="exact"/>
      </w:pPr>
    </w:p>
    <w:p w14:paraId="70A503DA" w14:textId="77777777" w:rsidR="00C1548D" w:rsidRDefault="009B1B4B">
      <w:pPr>
        <w:spacing w:after="140"/>
      </w:pPr>
      <w:r>
        <w:t>In der Praxis musst du einen ACC-Antrag selten selbst aufsetzen: Die behandelnde Hausarztpraxis, Notaufnahme oder Physiotherapie meldet eine Unfallverletzung in aller Regel direkt bei ACC an, sobald du den Unfallhergang schilderst. Für dich bleibt vor allem, den Hergang möglichst genau zu beschreiben und, falls Arbeitsunfähigkeit entsteht, den entsprechenden Nachweis für die Lohnfortzahlung über ACC einzureichen. Wer sich unsicher ist, ob ein Vorfall als Unfall im Sinne von ACC zählt, fragt am besten direkt</w:t>
      </w:r>
      <w:r>
        <w:t xml:space="preserve"> bei der Behandlungsstelle nach, statt selbst zu spekulieren.</w:t>
      </w:r>
    </w:p>
    <w:p w14:paraId="70A503DB" w14:textId="77777777" w:rsidR="00C1548D" w:rsidRDefault="009B1B4B">
      <w:pPr>
        <w:pStyle w:val="Heading3"/>
        <w:keepNext/>
        <w:jc w:val="center"/>
      </w:pPr>
      <w:r>
        <w:rPr>
          <w:rFonts w:ascii="Amazon Ember" w:eastAsia="Amazon Ember" w:hAnsi="Amazon Ember" w:cs="Amazon Ember"/>
          <w:color w:val="0000FF"/>
          <w:sz w:val="36"/>
          <w:szCs w:val="36"/>
        </w:rPr>
        <w:t>Alltag beim Arzt: Hausarzt, Notaufnahme, Notruf</w:t>
      </w:r>
    </w:p>
    <w:p w14:paraId="70A503DC" w14:textId="77777777" w:rsidR="00C1548D" w:rsidRDefault="009B1B4B">
      <w:pPr>
        <w:spacing w:after="140"/>
      </w:pPr>
      <w:r>
        <w:t>Auch mit öffentlichem Zugang ist ein Arztbesuch in Neuseeland nicht automatisch kostenlos. Ein Hausarzt (</w:t>
      </w:r>
      <w:r>
        <w:rPr>
          <w:i/>
          <w:iCs/>
        </w:rPr>
        <w:t>General Practitioner</w:t>
      </w:r>
      <w:r>
        <w:t xml:space="preserve">, GP) ist meist über eine </w:t>
      </w:r>
      <w:r>
        <w:rPr>
          <w:i/>
          <w:iCs/>
        </w:rPr>
        <w:t>Primary Health Organisation</w:t>
      </w:r>
      <w:r>
        <w:t xml:space="preserve">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gegebenenfalls einer </w:t>
      </w:r>
      <w:r>
        <w:rPr>
          <w:i/>
          <w:iCs/>
        </w:rPr>
        <w:lastRenderedPageBreak/>
        <w:t>Community Services Card</w:t>
      </w:r>
      <w:r>
        <w:t xml:space="preserve"> (einer Ermäßigungskarte für Menschen mit niedrigem Einkommen) ab – verlässliche, bundesweit einheitliche Zahlen gibt es dafür nicht, frage am besten direkt bei der Praxis nach der aktuellen Gebühr.</w:t>
      </w:r>
    </w:p>
    <w:p w14:paraId="70A503DD" w14:textId="77777777" w:rsidR="00C1548D" w:rsidRDefault="009B1B4B">
      <w:pPr>
        <w:spacing w:after="140"/>
      </w:pPr>
      <w:r>
        <w:t>Die Anmeldung bei einer Hausarztpraxis läuft über ein einfaches Enrolment-Formular der Praxis selbst; du brauchst dafür in der Regel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w:t>
      </w:r>
      <w:r>
        <w:t>tert.</w:t>
      </w:r>
    </w:p>
    <w:p w14:paraId="70A503DE" w14:textId="77777777" w:rsidR="00C1548D" w:rsidRDefault="009B1B4B">
      <w:pPr>
        <w:spacing w:after="140"/>
      </w:pPr>
      <w:r>
        <w:t>Öffentliche Krankenhäuser behandeln bei echten Notfällen jeden, unabhängig vom Versicherungsstatus; wer nicht öffentlich berechtigt oder privat versichert ist, bekommt die Rechnung im Nachgang gestellt. Für planbare, nicht dringende Eingriffe existieren wie in vielen öffentlichen Systemen Wartelisten, deren Länge stark nach Region und Fachrichtung schwankt und sich laufend ändert.</w:t>
      </w:r>
    </w:p>
    <w:p w14:paraId="70A503DF" w14:textId="77777777" w:rsidR="00C1548D" w:rsidRDefault="009B1B4B">
      <w:pPr>
        <w:spacing w:after="140"/>
      </w:pPr>
      <w:r>
        <w:t xml:space="preserve">Für echte Notfälle gilt landesweit der Notruf </w:t>
      </w:r>
      <w:r>
        <w:rPr>
          <w:b/>
          <w:bCs/>
        </w:rPr>
        <w:t>111</w:t>
      </w:r>
      <w:r>
        <w:t>, der Feuerwehr, Polizei und Rettungsdienst gleichermaßen erreicht. Für dringende, aber nicht lebensbedrohliche Fragen bieten manche Regionen zusätzlich eine telefonische Gesundheitsberatung an – erkundige dich nach der Ankunft, welches Angebot in deiner Region existiert.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E2"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3E0" w14:textId="77777777" w:rsidR="00C1548D" w:rsidRDefault="009B1B4B">
            <w:pPr>
              <w:keepNext/>
              <w:spacing w:after="70" w:line="240" w:lineRule="auto"/>
            </w:pPr>
            <w:r>
              <w:rPr>
                <w:b/>
                <w:bCs/>
                <w:color w:val="2F6B3B"/>
                <w:spacing w:val="24"/>
                <w:sz w:val="16"/>
                <w:szCs w:val="16"/>
              </w:rPr>
              <w:t>SPARTIPP</w:t>
            </w:r>
          </w:p>
          <w:p w14:paraId="70A503E1" w14:textId="77777777" w:rsidR="00C1548D" w:rsidRDefault="009B1B4B">
            <w:pPr>
              <w:spacing w:after="80" w:line="264" w:lineRule="auto"/>
            </w:pPr>
            <w:r>
              <w:rPr>
                <w:sz w:val="20"/>
                <w:szCs w:val="20"/>
              </w:rPr>
              <w:t>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tc>
      </w:tr>
    </w:tbl>
    <w:p w14:paraId="70A503E3" w14:textId="77777777" w:rsidR="00C1548D" w:rsidRDefault="00C1548D">
      <w:pPr>
        <w:spacing w:line="220" w:lineRule="exact"/>
      </w:pPr>
    </w:p>
    <w:p w14:paraId="70A503E4" w14:textId="77777777" w:rsidR="00C1548D" w:rsidRDefault="009B1B4B">
      <w:pPr>
        <w:pStyle w:val="Heading3"/>
        <w:keepNext/>
        <w:jc w:val="center"/>
      </w:pPr>
      <w:r>
        <w:rPr>
          <w:rFonts w:ascii="Amazon Ember" w:eastAsia="Amazon Ember" w:hAnsi="Amazon Ember" w:cs="Amazon Ember"/>
          <w:color w:val="0000FF"/>
          <w:sz w:val="36"/>
          <w:szCs w:val="36"/>
        </w:rPr>
        <w:lastRenderedPageBreak/>
        <w:t>Vergleich: GKV und das neuseeländische System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1"/>
        <w:gridCol w:w="2699"/>
        <w:gridCol w:w="2700"/>
      </w:tblGrid>
      <w:tr w:rsidR="00C1548D" w14:paraId="70A503E8" w14:textId="77777777">
        <w:tblPrEx>
          <w:tblCellMar>
            <w:top w:w="0" w:type="dxa"/>
            <w:bottom w:w="0" w:type="dxa"/>
          </w:tblCellMar>
        </w:tblPrEx>
        <w:trPr>
          <w:cantSplit/>
          <w:tblHeader/>
        </w:trPr>
        <w:tc>
          <w:tcPr>
            <w:tcW w:w="108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3E5" w14:textId="77777777" w:rsidR="00C1548D" w:rsidRDefault="009B1B4B">
            <w:pPr>
              <w:spacing w:line="250" w:lineRule="auto"/>
            </w:pPr>
            <w:r>
              <w:rPr>
                <w:b/>
                <w:bCs/>
                <w:sz w:val="18"/>
                <w:szCs w:val="18"/>
              </w:rPr>
              <w:t>Kriterium</w:t>
            </w:r>
          </w:p>
        </w:tc>
        <w:tc>
          <w:tcPr>
            <w:tcW w:w="269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3E6" w14:textId="77777777" w:rsidR="00C1548D" w:rsidRDefault="009B1B4B">
            <w:pPr>
              <w:spacing w:line="250" w:lineRule="auto"/>
            </w:pPr>
            <w:r>
              <w:rPr>
                <w:b/>
                <w:bCs/>
                <w:sz w:val="18"/>
                <w:szCs w:val="18"/>
              </w:rPr>
              <w:t>GKV (Deutschland)</w:t>
            </w:r>
          </w:p>
        </w:tc>
        <w:tc>
          <w:tcPr>
            <w:tcW w:w="27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3E7" w14:textId="77777777" w:rsidR="00C1548D" w:rsidRDefault="009B1B4B">
            <w:pPr>
              <w:spacing w:line="250" w:lineRule="auto"/>
            </w:pPr>
            <w:r>
              <w:rPr>
                <w:b/>
                <w:bCs/>
                <w:sz w:val="18"/>
                <w:szCs w:val="18"/>
              </w:rPr>
              <w:t>Neuseeland</w:t>
            </w:r>
          </w:p>
        </w:tc>
      </w:tr>
      <w:tr w:rsidR="00C1548D" w14:paraId="70A503EC" w14:textId="77777777">
        <w:tblPrEx>
          <w:tblCellMar>
            <w:top w:w="0" w:type="dxa"/>
            <w:bottom w:w="0" w:type="dxa"/>
          </w:tblCellMar>
        </w:tblPrEx>
        <w:trPr>
          <w:cantSplit/>
        </w:trPr>
        <w:tc>
          <w:tcPr>
            <w:tcW w:w="10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E9" w14:textId="77777777" w:rsidR="00C1548D" w:rsidRDefault="009B1B4B">
            <w:pPr>
              <w:spacing w:line="250" w:lineRule="auto"/>
            </w:pPr>
            <w:r>
              <w:rPr>
                <w:sz w:val="18"/>
                <w:szCs w:val="18"/>
              </w:rPr>
              <w:t>Zugangsvoraussetzung</w:t>
            </w:r>
          </w:p>
        </w:tc>
        <w:tc>
          <w:tcPr>
            <w:tcW w:w="26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EA" w14:textId="77777777" w:rsidR="00C1548D" w:rsidRDefault="009B1B4B">
            <w:pPr>
              <w:spacing w:line="250" w:lineRule="auto"/>
            </w:pPr>
            <w:r>
              <w:rPr>
                <w:sz w:val="18"/>
                <w:szCs w:val="18"/>
              </w:rPr>
              <w:t>Wohnsitz/Beschäftigung, praktisch ab Tag eins</w:t>
            </w:r>
          </w:p>
        </w:tc>
        <w:tc>
          <w:tcPr>
            <w:tcW w:w="27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EB" w14:textId="77777777" w:rsidR="00C1548D" w:rsidRDefault="009B1B4B">
            <w:pPr>
              <w:spacing w:line="250" w:lineRule="auto"/>
            </w:pPr>
            <w:r>
              <w:rPr>
                <w:sz w:val="18"/>
                <w:szCs w:val="18"/>
              </w:rPr>
              <w:t>Visumlaufzeit von 2 Jahren oder mehr</w:t>
            </w:r>
          </w:p>
        </w:tc>
      </w:tr>
      <w:tr w:rsidR="00C1548D" w14:paraId="70A503F0" w14:textId="77777777">
        <w:tblPrEx>
          <w:tblCellMar>
            <w:top w:w="0" w:type="dxa"/>
            <w:bottom w:w="0" w:type="dxa"/>
          </w:tblCellMar>
        </w:tblPrEx>
        <w:trPr>
          <w:cantSplit/>
        </w:trPr>
        <w:tc>
          <w:tcPr>
            <w:tcW w:w="10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ED" w14:textId="77777777" w:rsidR="00C1548D" w:rsidRDefault="009B1B4B">
            <w:pPr>
              <w:spacing w:line="250" w:lineRule="auto"/>
            </w:pPr>
            <w:r>
              <w:rPr>
                <w:sz w:val="18"/>
                <w:szCs w:val="18"/>
              </w:rPr>
              <w:t>Finanzierung</w:t>
            </w:r>
          </w:p>
        </w:tc>
        <w:tc>
          <w:tcPr>
            <w:tcW w:w="26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EE" w14:textId="77777777" w:rsidR="00C1548D" w:rsidRDefault="009B1B4B">
            <w:pPr>
              <w:spacing w:line="250" w:lineRule="auto"/>
            </w:pPr>
            <w:r>
              <w:rPr>
                <w:sz w:val="18"/>
                <w:szCs w:val="18"/>
              </w:rPr>
              <w:t>Beitrag vom Bruttolohn, je zur Hälfte Arbeitnehmer/Arbeitgeber</w:t>
            </w:r>
          </w:p>
        </w:tc>
        <w:tc>
          <w:tcPr>
            <w:tcW w:w="27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EF" w14:textId="77777777" w:rsidR="00C1548D" w:rsidRDefault="009B1B4B">
            <w:pPr>
              <w:spacing w:line="250" w:lineRule="auto"/>
            </w:pPr>
            <w:r>
              <w:rPr>
                <w:sz w:val="18"/>
                <w:szCs w:val="18"/>
              </w:rPr>
              <w:t>Allgemeine Steuermittel; ACC ergänzend über eigene Levies</w:t>
            </w:r>
          </w:p>
        </w:tc>
      </w:tr>
      <w:tr w:rsidR="00C1548D" w14:paraId="70A503F4" w14:textId="77777777">
        <w:tblPrEx>
          <w:tblCellMar>
            <w:top w:w="0" w:type="dxa"/>
            <w:bottom w:w="0" w:type="dxa"/>
          </w:tblCellMar>
        </w:tblPrEx>
        <w:trPr>
          <w:cantSplit/>
        </w:trPr>
        <w:tc>
          <w:tcPr>
            <w:tcW w:w="10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F1" w14:textId="77777777" w:rsidR="00C1548D" w:rsidRDefault="009B1B4B">
            <w:pPr>
              <w:spacing w:line="250" w:lineRule="auto"/>
            </w:pPr>
            <w:r>
              <w:rPr>
                <w:sz w:val="18"/>
                <w:szCs w:val="18"/>
              </w:rPr>
              <w:t>Unfallschutz</w:t>
            </w:r>
          </w:p>
        </w:tc>
        <w:tc>
          <w:tcPr>
            <w:tcW w:w="26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F2" w14:textId="77777777" w:rsidR="00C1548D" w:rsidRDefault="009B1B4B">
            <w:pPr>
              <w:spacing w:line="250" w:lineRule="auto"/>
            </w:pPr>
            <w:r>
              <w:rPr>
                <w:sz w:val="18"/>
                <w:szCs w:val="18"/>
              </w:rPr>
              <w:t>Gesetzliche Unfallversicherung nur für Arbeitsunfälle, sonst private Haftpflicht/Klage</w:t>
            </w:r>
          </w:p>
        </w:tc>
        <w:tc>
          <w:tcPr>
            <w:tcW w:w="27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F3" w14:textId="77777777" w:rsidR="00C1548D" w:rsidRDefault="009B1B4B">
            <w:pPr>
              <w:spacing w:line="250" w:lineRule="auto"/>
            </w:pPr>
            <w:r>
              <w:rPr>
                <w:sz w:val="18"/>
                <w:szCs w:val="18"/>
              </w:rPr>
              <w:t>ACC deckt so gut wie jeden Unfall, jede Person, dafür kein Klagerecht</w:t>
            </w:r>
          </w:p>
        </w:tc>
      </w:tr>
      <w:tr w:rsidR="00C1548D" w14:paraId="70A503F8" w14:textId="77777777">
        <w:tblPrEx>
          <w:tblCellMar>
            <w:top w:w="0" w:type="dxa"/>
            <w:bottom w:w="0" w:type="dxa"/>
          </w:tblCellMar>
        </w:tblPrEx>
        <w:trPr>
          <w:cantSplit/>
        </w:trPr>
        <w:tc>
          <w:tcPr>
            <w:tcW w:w="10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F5" w14:textId="77777777" w:rsidR="00C1548D" w:rsidRDefault="009B1B4B">
            <w:pPr>
              <w:spacing w:line="250" w:lineRule="auto"/>
            </w:pPr>
            <w:r>
              <w:rPr>
                <w:sz w:val="18"/>
                <w:szCs w:val="18"/>
              </w:rPr>
              <w:t>Zuzahlungen beim Hausarzt</w:t>
            </w:r>
          </w:p>
        </w:tc>
        <w:tc>
          <w:tcPr>
            <w:tcW w:w="26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F6" w14:textId="77777777" w:rsidR="00C1548D" w:rsidRDefault="009B1B4B">
            <w:pPr>
              <w:spacing w:line="250" w:lineRule="auto"/>
            </w:pPr>
            <w:r>
              <w:rPr>
                <w:sz w:val="18"/>
                <w:szCs w:val="18"/>
              </w:rPr>
              <w:t>Meist keine bei Kassenpatienten</w:t>
            </w:r>
          </w:p>
        </w:tc>
        <w:tc>
          <w:tcPr>
            <w:tcW w:w="27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3F7" w14:textId="77777777" w:rsidR="00C1548D" w:rsidRDefault="009B1B4B">
            <w:pPr>
              <w:spacing w:line="250" w:lineRule="auto"/>
            </w:pPr>
            <w:r>
              <w:rPr>
                <w:sz w:val="18"/>
                <w:szCs w:val="18"/>
              </w:rPr>
              <w:t>Praxisgebühr trotz Förderung häufig üblich</w:t>
            </w:r>
          </w:p>
        </w:tc>
      </w:tr>
    </w:tbl>
    <w:p w14:paraId="70A503F9" w14:textId="77777777" w:rsidR="00C1548D" w:rsidRDefault="00C1548D">
      <w:pPr>
        <w:spacing w:line="180" w:lineRule="exact"/>
      </w:pPr>
    </w:p>
    <w:p w14:paraId="70A503FA" w14:textId="77777777" w:rsidR="00C1548D" w:rsidRDefault="009B1B4B">
      <w:pPr>
        <w:pStyle w:val="Heading3"/>
        <w:keepNext/>
        <w:jc w:val="center"/>
      </w:pPr>
      <w:r>
        <w:rPr>
          <w:rFonts w:ascii="Amazon Ember" w:eastAsia="Amazon Ember" w:hAnsi="Amazon Ember" w:cs="Amazon Ember"/>
          <w:color w:val="0000FF"/>
          <w:sz w:val="36"/>
          <w:szCs w:val="36"/>
        </w:rPr>
        <w:t>Unterlagen aus Deutschland mitbringen</w:t>
      </w:r>
    </w:p>
    <w:p w14:paraId="70A503FB" w14:textId="77777777" w:rsidR="00C1548D" w:rsidRDefault="009B1B4B">
      <w:pPr>
        <w:spacing w:after="140"/>
      </w:pPr>
      <w:r>
        <w:t>Bring Impfpass, Vorsorgeheft und wichtige Arztbriefe möglichst mit englischer Übersetzung mit –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3FE"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3FC" w14:textId="77777777" w:rsidR="00C1548D" w:rsidRDefault="009B1B4B">
            <w:pPr>
              <w:keepNext/>
              <w:spacing w:after="70" w:line="240" w:lineRule="auto"/>
            </w:pPr>
            <w:r>
              <w:rPr>
                <w:b/>
                <w:bCs/>
                <w:color w:val="2F6B3B"/>
                <w:spacing w:val="24"/>
                <w:sz w:val="16"/>
                <w:szCs w:val="16"/>
              </w:rPr>
              <w:t>SPARTIPP</w:t>
            </w:r>
          </w:p>
          <w:p w14:paraId="70A503FD" w14:textId="77777777" w:rsidR="00C1548D" w:rsidRDefault="009B1B4B">
            <w:pPr>
              <w:spacing w:after="80" w:line="264" w:lineRule="auto"/>
            </w:pPr>
            <w:r>
              <w:rPr>
                <w:sz w:val="20"/>
                <w:szCs w:val="20"/>
              </w:rPr>
              <w:t>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tc>
      </w:tr>
    </w:tbl>
    <w:p w14:paraId="70A503FF" w14:textId="77777777" w:rsidR="00C1548D" w:rsidRDefault="00C1548D">
      <w:pPr>
        <w:spacing w:line="220" w:lineRule="exact"/>
      </w:pPr>
    </w:p>
    <w:p w14:paraId="70A50400" w14:textId="77777777" w:rsidR="00C1548D" w:rsidRDefault="009B1B4B">
      <w:pPr>
        <w:pStyle w:val="Heading3"/>
        <w:keepNext/>
        <w:jc w:val="center"/>
      </w:pPr>
      <w:r>
        <w:rPr>
          <w:rFonts w:ascii="Amazon Ember" w:eastAsia="Amazon Ember" w:hAnsi="Amazon Ember" w:cs="Amazon Ember"/>
          <w:color w:val="0000FF"/>
          <w:sz w:val="36"/>
          <w:szCs w:val="36"/>
        </w:rPr>
        <w:lastRenderedPageBreak/>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403"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401"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402" w14:textId="77777777" w:rsidR="00C1548D" w:rsidRDefault="009B1B4B">
            <w:pPr>
              <w:spacing w:line="250" w:lineRule="auto"/>
            </w:pPr>
            <w:r>
              <w:rPr>
                <w:b/>
                <w:bCs/>
                <w:sz w:val="18"/>
                <w:szCs w:val="18"/>
              </w:rPr>
              <w:t>Minus</w:t>
            </w:r>
          </w:p>
        </w:tc>
      </w:tr>
      <w:tr w:rsidR="00C1548D" w14:paraId="70A5040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04" w14:textId="77777777" w:rsidR="00C1548D" w:rsidRDefault="009B1B4B">
            <w:pPr>
              <w:spacing w:line="250" w:lineRule="auto"/>
            </w:pPr>
            <w:r>
              <w:rPr>
                <w:sz w:val="18"/>
                <w:szCs w:val="18"/>
              </w:rPr>
              <w:t>Ab 2 Jahren Visumlaufzeit: öffentlicher Zugang ab Tag eins, ohne Wartefrist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05" w14:textId="77777777" w:rsidR="00C1548D" w:rsidRDefault="009B1B4B">
            <w:pPr>
              <w:spacing w:line="250" w:lineRule="auto"/>
            </w:pPr>
            <w:r>
              <w:rPr>
                <w:sz w:val="18"/>
                <w:szCs w:val="18"/>
              </w:rPr>
              <w:t>Unter 2 Jahren Visumlaufzeit: kein automatischer Zugang, private Police Pflicht</w:t>
            </w:r>
          </w:p>
        </w:tc>
      </w:tr>
      <w:tr w:rsidR="00C1548D" w14:paraId="70A5040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07" w14:textId="77777777" w:rsidR="00C1548D" w:rsidRDefault="009B1B4B">
            <w:pPr>
              <w:spacing w:line="250" w:lineRule="auto"/>
            </w:pPr>
            <w:r>
              <w:rPr>
                <w:sz w:val="18"/>
                <w:szCs w:val="18"/>
              </w:rPr>
              <w:t>ACC deckt Unfälle für buchstäblich jeden in Neuseeland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08" w14:textId="77777777" w:rsidR="00C1548D" w:rsidRDefault="009B1B4B">
            <w:pPr>
              <w:spacing w:line="250" w:lineRule="auto"/>
            </w:pPr>
            <w:r>
              <w:rPr>
                <w:sz w:val="18"/>
                <w:szCs w:val="18"/>
              </w:rPr>
              <w:t>Kein Klagerecht auf Schadensersatz bei Personenschäden</w:t>
            </w:r>
          </w:p>
        </w:tc>
      </w:tr>
      <w:tr w:rsidR="00C1548D" w14:paraId="70A5040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0A" w14:textId="77777777" w:rsidR="00C1548D" w:rsidRDefault="009B1B4B">
            <w:pPr>
              <w:spacing w:line="250" w:lineRule="auto"/>
            </w:pPr>
            <w:r>
              <w:rPr>
                <w:sz w:val="18"/>
                <w:szCs w:val="18"/>
              </w:rPr>
              <w:t>Private Übergangsversicherung lässt sich schon aus Deutschland abschließen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0B" w14:textId="77777777" w:rsidR="00C1548D" w:rsidRDefault="009B1B4B">
            <w:pPr>
              <w:spacing w:line="250" w:lineRule="auto"/>
            </w:pPr>
            <w:r>
              <w:rPr>
                <w:sz w:val="18"/>
                <w:szCs w:val="18"/>
              </w:rPr>
              <w:t>Wartezeiten und Vorerkrankungsausschlüsse bei privaten Policen</w:t>
            </w:r>
          </w:p>
        </w:tc>
      </w:tr>
      <w:tr w:rsidR="00C1548D" w14:paraId="70A5040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0D" w14:textId="77777777" w:rsidR="00C1548D" w:rsidRDefault="009B1B4B">
            <w:pPr>
              <w:spacing w:line="250" w:lineRule="auto"/>
            </w:pPr>
            <w:r>
              <w:rPr>
                <w:sz w:val="18"/>
                <w:szCs w:val="18"/>
              </w:rPr>
              <w:t>Notaufnahmen behandeln unabhängig vom Versicherungsstatus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0E" w14:textId="77777777" w:rsidR="00C1548D" w:rsidRDefault="009B1B4B">
            <w:pPr>
              <w:spacing w:line="250" w:lineRule="auto"/>
            </w:pPr>
            <w:r>
              <w:rPr>
                <w:sz w:val="18"/>
                <w:szCs w:val="18"/>
              </w:rPr>
              <w:t>Praxisgebühren beim Hausarzt trotz Förderung häufig üblich</w:t>
            </w:r>
          </w:p>
        </w:tc>
      </w:tr>
    </w:tbl>
    <w:p w14:paraId="70A50410" w14:textId="77777777" w:rsidR="00C1548D" w:rsidRDefault="00C1548D">
      <w:pPr>
        <w:spacing w:line="180" w:lineRule="exact"/>
      </w:pPr>
    </w:p>
    <w:p w14:paraId="70A50411"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412" w14:textId="77777777" w:rsidR="00C1548D" w:rsidRDefault="009B1B4B">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 er gilt ohnehin automatisch, du musst nur wissen, was er abdeckt und was nicht.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1D"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413" w14:textId="77777777" w:rsidR="00C1548D" w:rsidRDefault="009B1B4B">
            <w:pPr>
              <w:keepNext/>
              <w:spacing w:after="70" w:line="240" w:lineRule="auto"/>
            </w:pPr>
            <w:r>
              <w:rPr>
                <w:b/>
                <w:bCs/>
                <w:color w:val="1F6F78"/>
                <w:spacing w:val="24"/>
                <w:sz w:val="16"/>
                <w:szCs w:val="16"/>
              </w:rPr>
              <w:lastRenderedPageBreak/>
              <w:t>CHECKLISTE</w:t>
            </w:r>
          </w:p>
          <w:p w14:paraId="70A5041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Laufzeit des eigenen Visums geprüft: 2 Jahre oder mehr für automatischen öffentlichen Zugang?</w:t>
            </w:r>
          </w:p>
          <w:p w14:paraId="70A5041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unter 2 Jahren: private Übergangsversicherung mit Beginn zum Ankunftstag abgeschlossen</w:t>
            </w:r>
          </w:p>
          <w:p w14:paraId="70A5041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Aktuelle Tarife bei Southern Cross oder nib direkt verglichen, nicht nur Richtwerte übernommen</w:t>
            </w:r>
          </w:p>
          <w:p w14:paraId="70A5041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Visumsnachweis für den ersten Arztbesuch bereitgelegt</w:t>
            </w:r>
          </w:p>
          <w:p w14:paraId="70A5041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öffentlichem Zugang: bei einer Hausarztpraxis (PHO) angemeldet</w:t>
            </w:r>
          </w:p>
          <w:p w14:paraId="70A5041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ACC-Grundprinzip verstanden: Unfälle ja, gewöhnliche Krankheit nein</w:t>
            </w:r>
          </w:p>
          <w:p w14:paraId="70A5041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Notruf 111 und nächstgelegene Notaufnahme notiert</w:t>
            </w:r>
          </w:p>
          <w:p w14:paraId="70A5041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Impfpass, Vorsorgeheft und relevante Arztbriefe in englischer Übersetzung eingepackt</w:t>
            </w:r>
          </w:p>
          <w:p w14:paraId="70A5041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Dauermedikation: Vorrat und englischsprachiger Wirkstoffnachweis eingepackt</w:t>
            </w:r>
          </w:p>
        </w:tc>
      </w:tr>
    </w:tbl>
    <w:p w14:paraId="70A5041E" w14:textId="77777777" w:rsidR="00C1548D" w:rsidRDefault="00C1548D">
      <w:pPr>
        <w:spacing w:line="220" w:lineRule="exact"/>
      </w:pPr>
    </w:p>
    <w:p w14:paraId="70A5041F"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420" w14:textId="281A72FC" w:rsidR="00C1548D" w:rsidRDefault="009B1B4B" w:rsidP="009B1B4B">
      <w:pPr>
        <w:pStyle w:val="ListParagraph"/>
        <w:numPr>
          <w:ilvl w:val="0"/>
          <w:numId w:val="1"/>
        </w:numPr>
        <w:spacing w:after="60"/>
      </w:pPr>
      <w:hyperlink r:id="rId645" w:history="1">
        <w:r>
          <w:rPr>
            <w:color w:val="0563C1"/>
            <w:u w:val="single"/>
          </w:rPr>
          <w:t>immigration.govt.nz</w:t>
        </w:r>
      </w:hyperlink>
      <w:r>
        <w:t xml:space="preserve"> – Zugangsvoraussetzungen zur öffentlichen Gesundheitsversorgung nach Visumtyp</w:t>
      </w:r>
    </w:p>
    <w:p w14:paraId="70A50421" w14:textId="0E16B108" w:rsidR="00C1548D" w:rsidRDefault="009B1B4B" w:rsidP="009B1B4B">
      <w:pPr>
        <w:pStyle w:val="ListParagraph"/>
        <w:numPr>
          <w:ilvl w:val="0"/>
          <w:numId w:val="1"/>
        </w:numPr>
        <w:spacing w:after="60"/>
      </w:pPr>
      <w:hyperlink r:id="rId646" w:history="1">
        <w:r>
          <w:rPr>
            <w:color w:val="0563C1"/>
            <w:u w:val="single"/>
          </w:rPr>
          <w:t>health.govt.nz</w:t>
        </w:r>
      </w:hyperlink>
      <w:r>
        <w:t xml:space="preserve"> – Ministry of Health, Aufbau des öffentlichen Gesundheitssystems</w:t>
      </w:r>
    </w:p>
    <w:p w14:paraId="70A50422" w14:textId="602018E2" w:rsidR="00C1548D" w:rsidRDefault="009B1B4B" w:rsidP="009B1B4B">
      <w:pPr>
        <w:pStyle w:val="ListParagraph"/>
        <w:numPr>
          <w:ilvl w:val="0"/>
          <w:numId w:val="1"/>
        </w:numPr>
        <w:spacing w:after="60"/>
      </w:pPr>
      <w:hyperlink r:id="rId647" w:history="1">
        <w:r>
          <w:rPr>
            <w:color w:val="0563C1"/>
            <w:u w:val="single"/>
          </w:rPr>
          <w:t>acc.co.nz</w:t>
        </w:r>
      </w:hyperlink>
      <w:r>
        <w:t xml:space="preserve"> – ACC-Deckung, Earner’s Levy, Leistungen im Unfallfall</w:t>
      </w:r>
    </w:p>
    <w:p w14:paraId="70A50423" w14:textId="039698C0" w:rsidR="00C1548D" w:rsidRDefault="009B1B4B" w:rsidP="009B1B4B">
      <w:pPr>
        <w:pStyle w:val="ListParagraph"/>
        <w:numPr>
          <w:ilvl w:val="0"/>
          <w:numId w:val="1"/>
        </w:numPr>
        <w:spacing w:after="60"/>
      </w:pPr>
      <w:hyperlink r:id="rId648" w:history="1">
        <w:r>
          <w:rPr>
            <w:color w:val="0563C1"/>
            <w:u w:val="single"/>
          </w:rPr>
          <w:t>southerncross.co.nz</w:t>
        </w:r>
      </w:hyperlink>
      <w:r>
        <w:t xml:space="preserve"> / </w:t>
      </w:r>
      <w:hyperlink r:id="rId649" w:history="1">
        <w:r>
          <w:rPr>
            <w:color w:val="0563C1"/>
            <w:u w:val="single"/>
          </w:rPr>
          <w:t>nib.co.nz</w:t>
        </w:r>
      </w:hyperlink>
      <w:r>
        <w:t xml:space="preserve"> – private Krankenversicherungstarife für Neuankömmlinge</w:t>
      </w:r>
    </w:p>
    <w:p w14:paraId="70A50424" w14:textId="0A9FD814" w:rsidR="00C1548D" w:rsidRDefault="009B1B4B" w:rsidP="009B1B4B">
      <w:pPr>
        <w:pStyle w:val="ListParagraph"/>
        <w:numPr>
          <w:ilvl w:val="0"/>
          <w:numId w:val="1"/>
        </w:numPr>
        <w:spacing w:after="60"/>
      </w:pPr>
      <w:hyperlink r:id="rId650" w:history="1">
        <w:r>
          <w:rPr>
            <w:color w:val="0563C1"/>
            <w:u w:val="single"/>
          </w:rPr>
          <w:t>healthpoint.co.nz</w:t>
        </w:r>
      </w:hyperlink>
      <w:r>
        <w:t xml:space="preserve"> – Verzeichnis von Hausarztpraxen und Gesundheitsdiensten nach Region</w:t>
      </w:r>
    </w:p>
    <w:p w14:paraId="70A5042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28"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426" w14:textId="77777777" w:rsidR="00C1548D" w:rsidRDefault="009B1B4B">
            <w:pPr>
              <w:keepNext/>
              <w:spacing w:after="70" w:line="240" w:lineRule="auto"/>
            </w:pPr>
            <w:r>
              <w:rPr>
                <w:b/>
                <w:bCs/>
                <w:color w:val="6B7280"/>
                <w:spacing w:val="24"/>
                <w:sz w:val="16"/>
                <w:szCs w:val="16"/>
              </w:rPr>
              <w:lastRenderedPageBreak/>
              <w:t>STAND</w:t>
            </w:r>
          </w:p>
          <w:p w14:paraId="70A50427" w14:textId="77777777" w:rsidR="00C1548D" w:rsidRDefault="009B1B4B">
            <w:pPr>
              <w:spacing w:after="80" w:line="264" w:lineRule="auto"/>
            </w:pPr>
            <w:r>
              <w:rPr>
                <w:sz w:val="20"/>
                <w:szCs w:val="20"/>
              </w:rPr>
              <w:t>23.09.2026. Diese Angaben ändern sich schnell: die genaue Handhabung der Zwei-Jahres-Schwelle in Grenzfällen, ACC-Levy-Sätze und -Deckelung (jährlich zum 1. April angepasst), Prämien und Wartezeiten privater Versicherer sowie Praxisgebühren einzelner Hausarztpraxen. Prüfe vor jeder Entscheidung die aktuellen Werte auf immigration.govt.nz, acc.co.nz und bei deinem gewählten Versicherer.</w:t>
            </w:r>
          </w:p>
        </w:tc>
      </w:tr>
    </w:tbl>
    <w:p w14:paraId="70A50429" w14:textId="77777777" w:rsidR="00C1548D" w:rsidRDefault="00C1548D">
      <w:pPr>
        <w:spacing w:line="220" w:lineRule="exact"/>
      </w:pPr>
    </w:p>
    <w:p w14:paraId="70A5042A" w14:textId="77777777" w:rsidR="00C1548D" w:rsidRDefault="009B1B4B">
      <w:pPr>
        <w:pStyle w:val="Heading2"/>
        <w:keepNext/>
        <w:pageBreakBefore/>
        <w:jc w:val="center"/>
      </w:pPr>
      <w:bookmarkStart w:id="184" w:name="tnz09"/>
      <w:bookmarkStart w:id="185" w:name="_Toc241352544"/>
      <w:r>
        <w:rPr>
          <w:rFonts w:ascii="Amazon Ember" w:eastAsia="Amazon Ember" w:hAnsi="Amazon Ember" w:cs="Amazon Ember"/>
          <w:color w:val="0000FF"/>
          <w:sz w:val="36"/>
          <w:szCs w:val="36"/>
        </w:rPr>
        <w:lastRenderedPageBreak/>
        <w:t>Neuseeland: Wohnen und die besten Orte zum Leben</w:t>
      </w:r>
      <w:bookmarkEnd w:id="184"/>
      <w:bookmarkEnd w:id="185"/>
    </w:p>
    <w:p w14:paraId="70A5042B" w14:textId="77777777" w:rsidR="00C1548D" w:rsidRDefault="009B1B4B">
      <w:pPr>
        <w:spacing w:after="140"/>
      </w:pPr>
      <w:r>
        <w:t>In Wellington genügt mitunter ein kräftiger Windstoß, damit im Flur eines frisch besichtigten Reihenhauses die losen Teppichfliesen leise klappern – der Makler nennt das nicht Baumangel, sondern schlicht „typisch Wellington“. Wer aus Deutschland kommt, wo ein Haus im Idealfall vor allem eines sein soll – solide und für die Ewigkeit gebaut –, gewöhnt sich hier an eine andere Kategorie: Häuser, die mit Erdstößen, Sturmböen und gelegentlichem Vulkanstaub rechnen, nicht nur mit Regen. Beim Wohnort in Neuseeland</w:t>
      </w:r>
      <w:r>
        <w:t xml:space="preserve"> entscheiden am Ende nicht nur Job und Budget, sondern auch, wie gelassen du einer wackelnden Teppichfliese – oder einer echten Bodenwelle – gegenüberstehst.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32"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42C" w14:textId="77777777" w:rsidR="00C1548D" w:rsidRDefault="009B1B4B">
            <w:pPr>
              <w:keepNext/>
              <w:spacing w:after="70" w:line="240" w:lineRule="auto"/>
            </w:pPr>
            <w:r>
              <w:rPr>
                <w:b/>
                <w:bCs/>
                <w:color w:val="1F3A5F"/>
                <w:spacing w:val="24"/>
                <w:sz w:val="16"/>
                <w:szCs w:val="16"/>
              </w:rPr>
              <w:t>KURZ GESAGT</w:t>
            </w:r>
          </w:p>
          <w:p w14:paraId="70A5042D" w14:textId="77777777" w:rsidR="00C1548D" w:rsidRDefault="009B1B4B" w:rsidP="009B1B4B">
            <w:pPr>
              <w:pStyle w:val="ListParagraph"/>
              <w:numPr>
                <w:ilvl w:val="0"/>
                <w:numId w:val="1"/>
              </w:numPr>
              <w:spacing w:after="50" w:line="264" w:lineRule="auto"/>
            </w:pPr>
            <w:r>
              <w:rPr>
                <w:sz w:val="20"/>
                <w:szCs w:val="20"/>
              </w:rPr>
              <w:t>Der Mietmarkt läuft über Online-Portale wie Trade Me Property; die Kaution (</w:t>
            </w:r>
            <w:r>
              <w:rPr>
                <w:i/>
                <w:iCs/>
                <w:sz w:val="20"/>
                <w:szCs w:val="20"/>
              </w:rPr>
              <w:t>Bond</w:t>
            </w:r>
            <w:r>
              <w:rPr>
                <w:sz w:val="20"/>
                <w:szCs w:val="20"/>
              </w:rPr>
              <w:t>) ist gesetzlich auf höchstens vier Wochenmieten gedeckelt und wird treuhänderisch bei der staatlichen Stelle Tenancy Services hinterlegt, nicht beim Vermieter.</w:t>
            </w:r>
          </w:p>
          <w:p w14:paraId="70A5042E" w14:textId="77777777" w:rsidR="00C1548D" w:rsidRDefault="009B1B4B" w:rsidP="009B1B4B">
            <w:pPr>
              <w:pStyle w:val="ListParagraph"/>
              <w:numPr>
                <w:ilvl w:val="0"/>
                <w:numId w:val="1"/>
              </w:numPr>
              <w:spacing w:after="50" w:line="264" w:lineRule="auto"/>
            </w:pPr>
            <w:r>
              <w:rPr>
                <w:sz w:val="20"/>
                <w:szCs w:val="20"/>
              </w:rPr>
              <w:t xml:space="preserve">Ausländer dürfen nach dem </w:t>
            </w:r>
            <w:r>
              <w:rPr>
                <w:i/>
                <w:iCs/>
                <w:sz w:val="20"/>
                <w:szCs w:val="20"/>
              </w:rPr>
              <w:t>Overseas Investment Act</w:t>
            </w:r>
            <w:r>
              <w:rPr>
                <w:sz w:val="20"/>
                <w:szCs w:val="20"/>
              </w:rPr>
              <w:t xml:space="preserve"> 2005 grundsätzlich keine bestehende Wohnimmobilie kaufen; die Ausnahme greift erst, wenn du als „</w:t>
            </w:r>
            <w:r>
              <w:rPr>
                <w:i/>
                <w:iCs/>
                <w:sz w:val="20"/>
                <w:szCs w:val="20"/>
              </w:rPr>
              <w:t>ordinarily resident</w:t>
            </w:r>
            <w:r>
              <w:rPr>
                <w:sz w:val="20"/>
                <w:szCs w:val="20"/>
              </w:rPr>
              <w:t>“ (gewöhnlich ansässig) giltst – vier Kriterien, die alle gleichzeitig erfüllt sein müssen.</w:t>
            </w:r>
          </w:p>
          <w:p w14:paraId="70A5042F" w14:textId="77777777" w:rsidR="00C1548D" w:rsidRDefault="009B1B4B" w:rsidP="009B1B4B">
            <w:pPr>
              <w:pStyle w:val="ListParagraph"/>
              <w:numPr>
                <w:ilvl w:val="0"/>
                <w:numId w:val="1"/>
              </w:numPr>
              <w:spacing w:after="50" w:line="264" w:lineRule="auto"/>
            </w:pPr>
            <w:r>
              <w:rPr>
                <w:sz w:val="20"/>
                <w:szCs w:val="20"/>
              </w:rPr>
              <w:t>Australische und singapurische Staatsangehörige sind von dieser Regel ausgenommen; für Deutsche gilt keine Erleichterung.</w:t>
            </w:r>
          </w:p>
          <w:p w14:paraId="70A50430" w14:textId="77777777" w:rsidR="00C1548D" w:rsidRDefault="009B1B4B" w:rsidP="009B1B4B">
            <w:pPr>
              <w:pStyle w:val="ListParagraph"/>
              <w:numPr>
                <w:ilvl w:val="0"/>
                <w:numId w:val="1"/>
              </w:numPr>
              <w:spacing w:after="50" w:line="264" w:lineRule="auto"/>
            </w:pPr>
            <w:r>
              <w:rPr>
                <w:sz w:val="20"/>
                <w:szCs w:val="20"/>
              </w:rPr>
              <w:t>Auckland ist am teuersten und bietet den breitesten Jobmarkt, Christchurch ist spürbar günstiger und wirbt aktiv um Fachkräfte, Wellington liegt preislich dazwischen, Queenstown/Otago ist trotz kleiner Einwohnerzahl ein eigener teurer Sonderfall.</w:t>
            </w:r>
          </w:p>
          <w:p w14:paraId="70A50431" w14:textId="77777777" w:rsidR="00C1548D" w:rsidRDefault="009B1B4B" w:rsidP="009B1B4B">
            <w:pPr>
              <w:pStyle w:val="ListParagraph"/>
              <w:numPr>
                <w:ilvl w:val="0"/>
                <w:numId w:val="1"/>
              </w:numPr>
              <w:spacing w:after="50" w:line="264" w:lineRule="auto"/>
            </w:pPr>
            <w:r>
              <w:rPr>
                <w:sz w:val="20"/>
                <w:szCs w:val="20"/>
              </w:rPr>
              <w:t>Jede Region trägt ihr eigenes Naturgefahren-Risiko – Erdbeben, Überschwemmung, Vulkan oder Lawine –, das in Versicherungsprämie und Kaufentscheidung einfließt, nicht nur in die Wetter-App.</w:t>
            </w:r>
          </w:p>
        </w:tc>
      </w:tr>
    </w:tbl>
    <w:p w14:paraId="70A50433" w14:textId="77777777" w:rsidR="00C1548D" w:rsidRDefault="00C1548D">
      <w:pPr>
        <w:spacing w:line="220" w:lineRule="exact"/>
      </w:pPr>
    </w:p>
    <w:p w14:paraId="70A50434" w14:textId="77777777" w:rsidR="00C1548D" w:rsidRDefault="009B1B4B">
      <w:pPr>
        <w:pStyle w:val="Heading3"/>
        <w:keepNext/>
        <w:jc w:val="center"/>
      </w:pPr>
      <w:r>
        <w:rPr>
          <w:rFonts w:ascii="Amazon Ember" w:eastAsia="Amazon Ember" w:hAnsi="Amazon Ember" w:cs="Amazon Ember"/>
          <w:color w:val="0000FF"/>
          <w:sz w:val="36"/>
          <w:szCs w:val="36"/>
        </w:rPr>
        <w:lastRenderedPageBreak/>
        <w:t>Mieten: Bond, Tenancy Services und der Alltag der Besichtigung</w:t>
      </w:r>
    </w:p>
    <w:p w14:paraId="70A50435" w14:textId="77777777" w:rsidR="00C1548D" w:rsidRDefault="009B1B4B">
      <w:pPr>
        <w:spacing w:after="140"/>
      </w:pPr>
      <w:r>
        <w:t>Die Wohnungssuche läuft praktisch vollständig online, allen voran über das Portal Trade Me Property – funktional vergleichbar mit deutschen Immobilienportalen, nur mit deutlich mehr Fotos vom Garten. Besichtigungen (</w:t>
      </w:r>
      <w:r>
        <w:rPr>
          <w:i/>
          <w:iCs/>
        </w:rPr>
        <w:t>Open Homes</w:t>
      </w:r>
      <w:r>
        <w:t xml:space="preserve">) laufen meist offen, oft samstags im Halbstundentakt: Ein Dutzend Interessenten zieht in Straßenschuhen durch dieselbe Wohnung, während der </w:t>
      </w:r>
      <w:r>
        <w:rPr>
          <w:i/>
          <w:iCs/>
        </w:rPr>
        <w:t>Property Manager</w:t>
      </w:r>
      <w:r>
        <w:t xml:space="preserve"> (die Hausverwaltung, die für den Eigentümer vermietet) beiläufig Namen auf einer Liste abhakt. Wer die Wohnung will, bewirbt sich meist noch am selben Tag online, mit Einkommensnachweis und Referenzen früherer Vermieter.</w:t>
      </w:r>
    </w:p>
    <w:p w14:paraId="70A50436" w14:textId="77777777" w:rsidR="00C1548D" w:rsidRDefault="009B1B4B">
      <w:pPr>
        <w:spacing w:after="140"/>
      </w:pPr>
      <w:r>
        <w:t>Bei der Kaution (</w:t>
      </w:r>
      <w:r>
        <w:rPr>
          <w:i/>
          <w:iCs/>
        </w:rPr>
        <w:t>Bond</w:t>
      </w:r>
      <w:r>
        <w:t>, vergleichbar mit der deutschen Mietkaution) hast du es als Neuankömmling leichter, als du vielleicht erwartest: Die Kaution ist gesetzlich auf höchstens vier Wochenmieten gedeckelt – merklich weniger als die in Deutschland üblichen zwei bis drei Monatsmieten. Zusätzlich darf der Vermieter höchstens zwei Wochen Miete im Voraus verlangen. Die Besonderheit gegenüber Deutschland: Die Kaution geht nicht an den Vermieter, sondern wird treuhänderisch bei Tenancy Services hinterlegt, einer Stelle des neuseeländis</w:t>
      </w:r>
      <w:r>
        <w:t>chen Ministeriums für Wirtschaft, Innovation und Beschäftigung (</w:t>
      </w:r>
      <w:r>
        <w:rPr>
          <w:i/>
          <w:iCs/>
        </w:rPr>
        <w:t>Ministry of Business, Innovation and Employment</w:t>
      </w:r>
      <w:r>
        <w:t>, MBIE). Ein Streit über die Rückzahlung – üblicherweise fünf bis zehn Werktage nach Mietende – landet damit vor einer Behörde, nicht in einer stillen Absprache zwischen den Parteien. Seit dem 12. Dezember 2018 sind zusätzliche Vermittlungsgebühren (</w:t>
      </w:r>
      <w:r>
        <w:rPr>
          <w:i/>
          <w:iCs/>
        </w:rPr>
        <w:t>Letting Fees</w:t>
      </w:r>
      <w:r>
        <w:t>) an den Mieter verboten; ab dem 29. Juni 2026 soll die gesamte Kautionsabwicklung zudem über ein neues, durchgängig digitales System namens „Bond Hub“ laufen.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3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437" w14:textId="77777777" w:rsidR="00C1548D" w:rsidRDefault="009B1B4B">
            <w:pPr>
              <w:keepNext/>
              <w:spacing w:after="70" w:line="240" w:lineRule="auto"/>
            </w:pPr>
            <w:r>
              <w:rPr>
                <w:b/>
                <w:bCs/>
                <w:color w:val="9B2C2C"/>
                <w:spacing w:val="24"/>
                <w:sz w:val="16"/>
                <w:szCs w:val="16"/>
              </w:rPr>
              <w:lastRenderedPageBreak/>
              <w:t>ACHTUNG</w:t>
            </w:r>
          </w:p>
          <w:p w14:paraId="70A50438" w14:textId="77777777" w:rsidR="00C1548D" w:rsidRDefault="009B1B4B">
            <w:pPr>
              <w:spacing w:after="80" w:line="264" w:lineRule="auto"/>
            </w:pPr>
            <w:r>
              <w:rPr>
                <w:sz w:val="20"/>
                <w:szCs w:val="20"/>
              </w:rPr>
              <w:t>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tc>
      </w:tr>
    </w:tbl>
    <w:p w14:paraId="70A5043A"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3D"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43B" w14:textId="77777777" w:rsidR="00C1548D" w:rsidRDefault="009B1B4B">
            <w:pPr>
              <w:keepNext/>
              <w:spacing w:after="70" w:line="240" w:lineRule="auto"/>
            </w:pPr>
            <w:r>
              <w:rPr>
                <w:b/>
                <w:bCs/>
                <w:color w:val="2F6B3B"/>
                <w:spacing w:val="24"/>
                <w:sz w:val="16"/>
                <w:szCs w:val="16"/>
              </w:rPr>
              <w:t>SPARTIPP</w:t>
            </w:r>
          </w:p>
          <w:p w14:paraId="70A5043C" w14:textId="77777777" w:rsidR="00C1548D" w:rsidRDefault="009B1B4B">
            <w:pPr>
              <w:spacing w:after="80" w:line="264" w:lineRule="auto"/>
            </w:pPr>
            <w:r>
              <w:rPr>
                <w:sz w:val="20"/>
                <w:szCs w:val="20"/>
              </w:rPr>
              <w:t xml:space="preserve">Christchurch ist unter den drei großen Städten die günstigste Option – rund 1.800 NZD Lebenshaltungskosten pro Person und Monat, nahe am Landesdurchschnitt, während allein ein Einzimmerapartment im Zentrum Aucklands 2.170 bis 2.820 NZD monatlich kostet. Wellington liegt bei der Miete rund 20 bis 25 % unter Auckland und gilt unter Auswanderern als bestes Verhältnis von Lebensqualität zu Kosten. Wer beim Jobmarkt flexibel ist, sollte diesen Unterschied ernsthaft in die Rechnung einbeziehen, statt automatisch </w:t>
            </w:r>
            <w:r>
              <w:rPr>
                <w:sz w:val="20"/>
                <w:szCs w:val="20"/>
              </w:rPr>
              <w:t>auf Auckland zu setzen.</w:t>
            </w:r>
          </w:p>
        </w:tc>
      </w:tr>
    </w:tbl>
    <w:p w14:paraId="70A5043E"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41"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43F" w14:textId="77777777" w:rsidR="00C1548D" w:rsidRDefault="009B1B4B">
            <w:pPr>
              <w:keepNext/>
              <w:spacing w:after="70" w:line="240" w:lineRule="auto"/>
            </w:pPr>
            <w:r>
              <w:rPr>
                <w:b/>
                <w:bCs/>
                <w:color w:val="4A5568"/>
                <w:spacing w:val="24"/>
                <w:sz w:val="16"/>
                <w:szCs w:val="16"/>
              </w:rPr>
              <w:t>PRAXISBEISPIEL · FIKTIV</w:t>
            </w:r>
          </w:p>
          <w:p w14:paraId="70A50440" w14:textId="77777777" w:rsidR="00C1548D" w:rsidRDefault="009B1B4B">
            <w:pPr>
              <w:spacing w:after="80" w:line="264" w:lineRule="auto"/>
            </w:pPr>
            <w:r>
              <w:rPr>
                <w:sz w:val="20"/>
                <w:szCs w:val="20"/>
              </w:rPr>
              <w:t xml:space="preserve">Familie Krüger (fiktives Beispiel) kommt mit dem </w:t>
            </w:r>
            <w:r>
              <w:rPr>
                <w:i/>
                <w:iCs/>
                <w:sz w:val="20"/>
                <w:szCs w:val="20"/>
              </w:rPr>
              <w:t>Accredited Employer Work Visa</w:t>
            </w:r>
            <w:r>
              <w:rPr>
                <w:sz w:val="20"/>
                <w:szCs w:val="20"/>
              </w:rPr>
              <w:t xml:space="preserve"> (AEWV) nach Christchurch, weil Sebastians Beruf als Agraringenieur auf der </w:t>
            </w:r>
            <w:r>
              <w:rPr>
                <w:i/>
                <w:iCs/>
                <w:sz w:val="20"/>
                <w:szCs w:val="20"/>
              </w:rPr>
              <w:t>Green List</w:t>
            </w:r>
            <w:r>
              <w:rPr>
                <w:sz w:val="20"/>
                <w:szCs w:val="20"/>
              </w:rPr>
              <w:t xml:space="preserve"> (Mangelberufeliste mit erleichtertem Weg zur Residenz) steht. Für die ersten Monate mieten Sebastian und Petra ein Haus in einem Vorort mit nachgewiesen erdbebenverstärktem Fundament – eine Frage, die sie in Deutschland bei einer Besichtigung nie hätten stellen müssen, hier aber routinemäßig stellen, während der Makler geduldig das Baujahr und die letzte Nachrüstung erklärt. Die Kaution von vier Wochenmieten überweisen sie nicht an die Vermieterin, sondern über das Online-Formular direkt an Tenancy Service</w:t>
            </w:r>
            <w:r>
              <w:rPr>
                <w:sz w:val="20"/>
                <w:szCs w:val="20"/>
              </w:rPr>
              <w:t>s. Für Lotta (12) und Finn (8) ist die Schulplatzsuche der eigentliche Zeitdruck, für die Eltern die Frage, wie robust das Haus im Ernstfall auf einen weiteren Erdstoß reagiert.</w:t>
            </w:r>
          </w:p>
        </w:tc>
      </w:tr>
    </w:tbl>
    <w:p w14:paraId="70A50442" w14:textId="77777777" w:rsidR="00C1548D" w:rsidRDefault="00C1548D">
      <w:pPr>
        <w:spacing w:line="220" w:lineRule="exact"/>
      </w:pPr>
    </w:p>
    <w:p w14:paraId="70A50443" w14:textId="77777777" w:rsidR="00C1548D" w:rsidRDefault="009B1B4B">
      <w:pPr>
        <w:pStyle w:val="Heading3"/>
        <w:keepNext/>
        <w:jc w:val="center"/>
      </w:pPr>
      <w:r>
        <w:rPr>
          <w:rFonts w:ascii="Amazon Ember" w:eastAsia="Amazon Ember" w:hAnsi="Amazon Ember" w:cs="Amazon Ember"/>
          <w:color w:val="0000FF"/>
          <w:sz w:val="36"/>
          <w:szCs w:val="36"/>
        </w:rPr>
        <w:lastRenderedPageBreak/>
        <w:t>Kaufen: Der Foreign-Buyer-Test „ordinarily resident“</w:t>
      </w:r>
    </w:p>
    <w:p w14:paraId="70A50444" w14:textId="77777777" w:rsidR="00C1548D" w:rsidRDefault="009B1B4B">
      <w:pPr>
        <w:spacing w:after="140"/>
      </w:pPr>
      <w:r>
        <w:t>Der Immobilienkauf selbst läuft ähnlich unkompliziert wie in Deutschland ab – kein Notartermin, sondern ein auf Immobilienrecht spezialisierter Anwalt (</w:t>
      </w:r>
      <w:r>
        <w:rPr>
          <w:i/>
          <w:iCs/>
        </w:rPr>
        <w:t>Solicitor</w:t>
      </w:r>
      <w:r>
        <w:t>) prüft Vertrag und Grundbuch. Bevor du aber überhaupt ein Gebot abgeben kannst, entscheidet eine ganz andere Frage: Giltst du nach neuseeländischem Recht als „</w:t>
      </w:r>
      <w:r>
        <w:rPr>
          <w:i/>
          <w:iCs/>
        </w:rPr>
        <w:t>Overseas Person</w:t>
      </w:r>
      <w:r>
        <w:t>“ oder nicht?</w:t>
      </w:r>
    </w:p>
    <w:p w14:paraId="70A50445" w14:textId="482756D7" w:rsidR="00C1548D" w:rsidRDefault="009B1B4B">
      <w:pPr>
        <w:spacing w:after="140"/>
      </w:pPr>
      <w:r>
        <w:t xml:space="preserve">Der </w:t>
      </w:r>
      <w:r>
        <w:rPr>
          <w:i/>
          <w:iCs/>
        </w:rPr>
        <w:t>Overseas Investment Act</w:t>
      </w:r>
      <w:r>
        <w:t xml:space="preserve"> 2005 regelt es so: Wer als „Overseas Person“ eingestuft wird, darf grundsätzlich keine bestehende Wohnimmobilie (</w:t>
      </w:r>
      <w:r>
        <w:rPr>
          <w:i/>
          <w:iCs/>
        </w:rPr>
        <w:t>Established Dwelling</w:t>
      </w:r>
      <w:r>
        <w:t>) in Neuseeland kaufen. Die Ausnahme greift erst, wenn du als „</w:t>
      </w:r>
      <w:r>
        <w:rPr>
          <w:i/>
          <w:iCs/>
        </w:rPr>
        <w:t>ordinarily resident</w:t>
      </w:r>
      <w:r>
        <w:t xml:space="preserve">“ giltst – und dafür müssen laut der zuständigen Behörde </w:t>
      </w:r>
      <w:r>
        <w:rPr>
          <w:i/>
          <w:iCs/>
        </w:rPr>
        <w:t>Land Information New Zealand</w:t>
      </w:r>
      <w:r>
        <w:t xml:space="preserve"> (LINZ) vier Kriterien gleichzeitig erfüllt sein: ein </w:t>
      </w:r>
      <w:r>
        <w:rPr>
          <w:i/>
          <w:iCs/>
        </w:rPr>
        <w:t>Resident Class Visa</w:t>
      </w:r>
      <w:r>
        <w:t xml:space="preserve">, mindestens zwölf Monate tatsächlicher Aufenthalt in Neuseeland, mindestens 183 Tage physische Anwesenheit in den letzten zwölf Monaten, und neuseeländische Steuerresidenz (die genauen Kriterien dafür erklärt das </w:t>
      </w:r>
      <w:hyperlink w:anchor="tnz07" w:history="1">
        <w:r>
          <w:rPr>
            <w:color w:val="0563C1"/>
            <w:u w:val="single"/>
          </w:rPr>
          <w:t>Kapitel zu Steuer-ID, Bank und Kredit in diesem Teil</w:t>
        </w:r>
      </w:hyperlink>
      <w:r>
        <w:t xml:space="preserve"> ausführlicher). Fehlt auch nur eines dieser vier Kriterien, bleibst du „Overseas Person“ – unabhängig davon, wie viel Kapital du mitbringst oder wie lange du schon in Neuseeland arbeitest.</w:t>
      </w:r>
    </w:p>
    <w:p w14:paraId="70A50446" w14:textId="77777777" w:rsidR="00C1548D" w:rsidRDefault="009B1B4B">
      <w:pPr>
        <w:spacing w:after="140"/>
      </w:pPr>
      <w:r>
        <w:t>Eine kleine Ausnahme von der Ausnahme gibt es: Australische und singapurische Staatsangehörige sind aufgrund bilateraler Freihandelsabkommen ganz von der Regel befreit, unabhängig vom „ordinarily resident“-Status. Für deutsche Staatsangehörige gilt diese Erleichterung nicht. Seit dem 6. März 2026 gibt es zusätzlich eine neue Ausnahme für eine kleine, sehr spezifische Gruppe: Inhaber der Investor-Visa Active Investor Plus, Investor 1 oder Investor 2 dürfen ein Wohnhaus über 5 Mio. NZD kaufen oder bauen, auch</w:t>
      </w:r>
      <w:r>
        <w:t xml:space="preserve"> ohne „ordinarily resident“ zu sein. Für den typischen Fachkräfte-</w:t>
      </w:r>
      <w:r>
        <w:lastRenderedPageBreak/>
        <w:t>Einwanderer wie Familie Krüger oder Paul Lindner ist das ohne Bedeutung.</w:t>
      </w:r>
    </w:p>
    <w:p w14:paraId="70A50447" w14:textId="77777777" w:rsidR="00C1548D" w:rsidRDefault="009B1B4B">
      <w:pPr>
        <w:spacing w:after="140"/>
      </w:pPr>
      <w:r>
        <w:t>Für Familie Krüger bedeutet das etwas anderes als für Paul Lindner: Mit dem AEWV halten Sebastian und Petra zunächst gar kein Resident Class Visa – die vier „ordinarily resident“-Kriterien beginnen für sie erst zu laufen, wenn der Übergang zur Residenz über die Green List oder die Skilled Migrant Category gelungen ist. Bis dahin bleibt für die Familie ohnehin nur die Miete eine realistische Option, unabhängig davon, wie lange sie schon in Neuseeland leben oder arbeiten. Auch bei der Finanzierung selbst lohn</w:t>
      </w:r>
      <w:r>
        <w:t>t sich Geduld: Ohne neuseeländische Kredithistorie prüfen Banken Einkommen und Bonität in der Regel strenger, und nicht jedes Institut finanziert Käufer ohne längere lokale Kontobeziehung. Frage frühzeitig bei mehreren Banken oder einem Hypothekenmakler nach den konkreten Bedingungen für deine Situation, bevor du überhaupt ein Gebot in Erwägung ziehst.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4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448" w14:textId="77777777" w:rsidR="00C1548D" w:rsidRDefault="009B1B4B">
            <w:pPr>
              <w:keepNext/>
              <w:spacing w:after="70" w:line="240" w:lineRule="auto"/>
            </w:pPr>
            <w:r>
              <w:rPr>
                <w:b/>
                <w:bCs/>
                <w:color w:val="8A6212"/>
                <w:spacing w:val="24"/>
                <w:sz w:val="16"/>
                <w:szCs w:val="16"/>
              </w:rPr>
              <w:t>MERKE</w:t>
            </w:r>
          </w:p>
          <w:p w14:paraId="70A50449" w14:textId="77777777" w:rsidR="00C1548D" w:rsidRDefault="009B1B4B">
            <w:pPr>
              <w:spacing w:after="80" w:line="264" w:lineRule="auto"/>
            </w:pPr>
            <w:r>
              <w:rPr>
                <w:sz w:val="20"/>
                <w:szCs w:val="20"/>
              </w:rPr>
              <w:t>Ein Resident-Visum allein reicht nicht. Erst die Kombination aus Visum, Aufenthaltsdauer, physischer Anwesenheit und Steuerresidenz entscheidet, ob das Kaufverbot für dich gilt – nicht dein Pass, nicht dein Kontostand, und auch nicht allein die Tatsache, dass du bereits in Neuseeland arbeitest.</w:t>
            </w:r>
          </w:p>
        </w:tc>
      </w:tr>
    </w:tbl>
    <w:p w14:paraId="70A5044B"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4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44C" w14:textId="77777777" w:rsidR="00C1548D" w:rsidRDefault="009B1B4B">
            <w:pPr>
              <w:keepNext/>
              <w:spacing w:after="70" w:line="240" w:lineRule="auto"/>
            </w:pPr>
            <w:r>
              <w:rPr>
                <w:b/>
                <w:bCs/>
                <w:color w:val="9B2C2C"/>
                <w:spacing w:val="24"/>
                <w:sz w:val="16"/>
                <w:szCs w:val="16"/>
              </w:rPr>
              <w:t>ACHTUNG</w:t>
            </w:r>
          </w:p>
          <w:p w14:paraId="70A5044D" w14:textId="77777777" w:rsidR="00C1548D" w:rsidRDefault="009B1B4B">
            <w:pPr>
              <w:spacing w:after="80" w:line="264" w:lineRule="auto"/>
            </w:pPr>
            <w:r>
              <w:rPr>
                <w:sz w:val="20"/>
                <w:szCs w:val="20"/>
              </w:rPr>
              <w:t xml:space="preserve">Ein Verstoß gegen den </w:t>
            </w:r>
            <w:r>
              <w:rPr>
                <w:i/>
                <w:iCs/>
                <w:sz w:val="20"/>
                <w:szCs w:val="20"/>
              </w:rPr>
              <w:t>Overseas Investment Act</w:t>
            </w:r>
            <w:r>
              <w:rPr>
                <w:sz w:val="20"/>
                <w:szCs w:val="20"/>
              </w:rPr>
              <w:t xml:space="preserve"> ist kein Kavaliersdelikt und wird von der zuständigen </w:t>
            </w:r>
            <w:r>
              <w:rPr>
                <w:i/>
                <w:iCs/>
                <w:sz w:val="20"/>
                <w:szCs w:val="20"/>
              </w:rPr>
              <w:t>Overseas Investment Office</w:t>
            </w:r>
            <w:r>
              <w:rPr>
                <w:sz w:val="20"/>
                <w:szCs w:val="20"/>
              </w:rPr>
              <w:t xml:space="preserve"> verfolgt. Kläre deinen „ordinarily resident“-Status vor jedem Gebot mit einem darauf spezialisierten Solicitor – nicht erst, wenn ein Verkäufer dein Angebot schon angenommen hat.</w:t>
            </w:r>
          </w:p>
        </w:tc>
      </w:tr>
    </w:tbl>
    <w:p w14:paraId="70A5044F"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52"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450" w14:textId="77777777" w:rsidR="00C1548D" w:rsidRDefault="009B1B4B">
            <w:pPr>
              <w:keepNext/>
              <w:spacing w:after="70" w:line="240" w:lineRule="auto"/>
            </w:pPr>
            <w:r>
              <w:rPr>
                <w:b/>
                <w:bCs/>
                <w:color w:val="4A5568"/>
                <w:spacing w:val="24"/>
                <w:sz w:val="16"/>
                <w:szCs w:val="16"/>
              </w:rPr>
              <w:lastRenderedPageBreak/>
              <w:t>PRAXISBEISPIEL · FIKTIV</w:t>
            </w:r>
          </w:p>
          <w:p w14:paraId="70A50451" w14:textId="77777777" w:rsidR="00C1548D" w:rsidRDefault="009B1B4B">
            <w:pPr>
              <w:spacing w:after="80" w:line="264" w:lineRule="auto"/>
            </w:pPr>
            <w:r>
              <w:rPr>
                <w:sz w:val="20"/>
                <w:szCs w:val="20"/>
              </w:rPr>
              <w:t xml:space="preserve">Paul Lindner (fiktives Beispiel) zieht mit einem </w:t>
            </w:r>
            <w:r>
              <w:rPr>
                <w:i/>
                <w:iCs/>
                <w:sz w:val="20"/>
                <w:szCs w:val="20"/>
              </w:rPr>
              <w:t>Skilled Migrant Category Resident Visa</w:t>
            </w:r>
            <w:r>
              <w:rPr>
                <w:sz w:val="20"/>
                <w:szCs w:val="20"/>
              </w:rPr>
              <w:t xml:space="preserve"> direkt aus Deutschland nach Auckland – ein Resident Class Visa hält er damit vom ersten Tag an. Als er nach zehn Monaten eine Eigentumswohnung im Stadtteil Kingsland besichtigen will und dem Makler bereits gedanklich die Möbel einräumt, erklärt dieser ihm höflich, dass ihm noch zwei der vier „ordinarily resident“-Kriterien fehlen: Die vollen zwölf Monate tatsächlichen Aufenthalts sind noch nicht erreicht, und seine Steuerresidenz muss erst noch offiziell bestätigt werden. Paul mietet deshalb weitere andert</w:t>
            </w:r>
            <w:r>
              <w:rPr>
                <w:sz w:val="20"/>
                <w:szCs w:val="20"/>
              </w:rPr>
              <w:t>halb Jahre in derselben Straße weiter, bevor er den Kauf ernsthaft angeht – nicht, weil ihm das Geld fehlt, sondern weil ihm das Gesetz schlicht noch keine Erlaubnis gibt.</w:t>
            </w:r>
          </w:p>
        </w:tc>
      </w:tr>
    </w:tbl>
    <w:p w14:paraId="70A50453" w14:textId="77777777" w:rsidR="00C1548D" w:rsidRDefault="00C1548D">
      <w:pPr>
        <w:spacing w:line="220" w:lineRule="exact"/>
      </w:pPr>
    </w:p>
    <w:p w14:paraId="70A50454" w14:textId="77777777" w:rsidR="00C1548D" w:rsidRDefault="009B1B4B">
      <w:pPr>
        <w:pStyle w:val="Heading3"/>
        <w:keepNext/>
        <w:jc w:val="center"/>
      </w:pPr>
      <w:r>
        <w:rPr>
          <w:rFonts w:ascii="Amazon Ember" w:eastAsia="Amazon Ember" w:hAnsi="Amazon Ember" w:cs="Amazon Ember"/>
          <w:color w:val="0000FF"/>
          <w:sz w:val="36"/>
          <w:szCs w:val="36"/>
        </w:rPr>
        <w:t>Die besten Orte zum Leben: Klima, Naturgefahren, Kosten, Jobmarkt</w:t>
      </w:r>
    </w:p>
    <w:p w14:paraId="70A50455" w14:textId="77777777" w:rsidR="00C1548D" w:rsidRDefault="009B1B4B">
      <w:pPr>
        <w:spacing w:after="140"/>
      </w:pPr>
      <w:r>
        <w:t>Verbreiteter Irrtum: Erdbeben seien vor allem ein Wellington-Thema, weil die Stadt direkt auf einer bekannten Verwerfung sitzt. Tatsächlich zeigte die Erdbebenserie in Christchurch 2010/2011, dass auch vermeintlich ruhige Regionen betroffen sein können – die Verwerfung unter der Canterbury-Ebene war vor der ersten Erschütterung nicht einmal bekannt. Wo du am Ende landest, sollte deshalb nicht davon abhängen, ob eine Stadt „bekannt“ für eine bestimmte Naturgefahr ist, sondern von einem realistischen Blick au</w:t>
      </w:r>
      <w:r>
        <w:t>f Klima, Naturgefahren-Profil, Kosten und Jobmarkt gemeinsam. Rechne über Miete oder Kaufpreis hinaus auch mit den üblichen Fixkosten für Auto, Strom und Kinderbetreuung; sie gehören ebenso in deine Budgetrechnung. Landesweit lag der Kaufpreis-Median im August 2026 bei 750.000 NZD, ein Rückgang von 1,3 % gegenüber dem Vorjahr; Ende 2025 wuchsen die Preise in Auckland noch um 6,0 %, in Wellington nur um 1,4 % – ein Hinweis darauf, wie unterschiedlich sich die Regionen selbst innerhalb eines Jahres entwickeln</w:t>
      </w:r>
      <w:r>
        <w:t xml:space="preserve">. Zur groben, bundesweiten Einordnung, die sich zwischen den Regionen kaum unterscheidet: Pflegekräfte verdienen </w:t>
      </w:r>
      <w:r>
        <w:lastRenderedPageBreak/>
        <w:t xml:space="preserve">zum Einstieg rund 60.000 bis 65.000 NZD, mit fünf Jahren Erfahrung 75.000 bis 85.000 NZD, als </w:t>
      </w:r>
      <w:r>
        <w:rPr>
          <w:i/>
          <w:iCs/>
        </w:rPr>
        <w:t>Nurse Practitioner</w:t>
      </w:r>
      <w:r>
        <w:t xml:space="preserve"> (Pflegekraft mit erweiterten klinischen Befugnissen) 95.000 bis 135.000 NZD.</w:t>
      </w:r>
    </w:p>
    <w:p w14:paraId="70A50456" w14:textId="77777777" w:rsidR="00C1548D" w:rsidRDefault="009B1B4B">
      <w:pPr>
        <w:spacing w:after="140"/>
      </w:pPr>
      <w:r>
        <w:rPr>
          <w:b/>
          <w:bCs/>
        </w:rPr>
        <w:t>Auckland</w:t>
      </w:r>
      <w:r>
        <w:t xml:space="preserve"> liegt subtropisch-feucht auf einer schmalen Landenge zwischen zwei warmen Ozeanen: rund 132 Regentage im Jahr bei 1.119 bis 1.167 Millimetern Jahresniederschlag, dazu eine Anfälligkeit für kurze, extreme Starkregenereignisse. Was Deutsche besonders überrascht: Die „Auckland Anniversary Weekend“-Flut vom 27. Januar 2023 war laut dem Wetterforschungsinstitut NIWA ein statistisches Ereignis, wie es im Schnitt nur alle 200 Jahre vorkommt – an einem einzigen Tag fiel eine ganze durchschnittliche Sommer-Niedersc</w:t>
      </w:r>
      <w:r>
        <w:t>hlagsmenge, mit einem Sachschaden von rund 2,2 Mrd. NZD und vier Todesopfern. Hinzu kommt ein Vulkanrisiko, das im Alltag kaum auffällt: Auckland liegt auf einem aktiven Vulkanfeld mit 53 Einzelvulkanen; der letzte Ausbruch (Rangitoto) liegt rund 600 Jahre zurück, Geologen schätzen die jährliche Ausbruchswahrscheinlichkeit auf etwa 1:1.000. Beim Wohnen ist Auckland die teuerste der vier Regionen: Miete rund 635 NZD pro Woche, Kaufmedian 950.000 NZD, ein Einzimmerapartment im Zentrum kostet 2.170 bis 2.820 N</w:t>
      </w:r>
      <w:r>
        <w:t>ZD im Monat. Der Jobmarkt ist dafür der breiteste des Landes – Finanz- und Versicherungsdienstleistungen sowie Informationsmedien und Telekommunikation zählen zu den produktivsten Branchen der Stadt, 12 % der Beschäftigten arbeiten in wissenschaftlich-technischen Dienstleistungen, und die Innenstadt erreicht landesweit die höchste Arbeitsproduktivität. Softwareentwickler verdienen bundesweit im Schnitt 78.955 NZD im Jahr, Berufseinsteiger mit unter einem Jahr Erfahrung rund 56.018 NZD; erfahrene Senior-Inge</w:t>
      </w:r>
      <w:r>
        <w:t>nieure in etablierten Firmen in Auckland oder Wellington kommen auf 140.000 bis 170.000 NZD, in Spezialrollen auf 180.000 bis 220.000 NZD. Für die deutsche Community sorgt ein Honorarkonsul (HSBC Tower, Quay Street); eine eigene deutsche Auslandsschule gibt es nicht, nur eine deutsche Spielgruppe, das Goethe-Institut ist von Wellington aus zuständig.</w:t>
      </w:r>
    </w:p>
    <w:p w14:paraId="70A50457" w14:textId="77777777" w:rsidR="00C1548D" w:rsidRDefault="009B1B4B">
      <w:pPr>
        <w:spacing w:after="140"/>
      </w:pPr>
      <w:r>
        <w:rPr>
          <w:b/>
          <w:bCs/>
        </w:rPr>
        <w:lastRenderedPageBreak/>
        <w:t>Wellington</w:t>
      </w:r>
      <w:r>
        <w:t xml:space="preserve"> ist mild-gemäßigt und maritim geprägt, mit vergleichsweise geringen Temperaturschwankungen – dafür aber ein Wetterphänomen, das kaum ein Neuankömmling erwartet: Wellington gilt als windigste Hauptstadt der Welt, mit im Schnitt über 26 km/h Durchschnittswindgeschwindigkeit und an rund 160 Tagen im Jahr Böen ab 63 km/h, verursacht durch den Trichtereffekt der Cook Strait zwischen Nord- und Südinsel. Sommer sind mild (19 bis 24 °C, nur selten über 30 °C), Winter (Juni bis August) nass und unbeständig. Das eig</w:t>
      </w:r>
      <w:r>
        <w:t>entliche Naturgefahren-Risiko liegt aber unter der Erde: Wellington sitzt direkt auf der Kollisionszone zweier tektonischer Platten, die Wellington-Verwerfung (170 Kilometer lang, Stärke bis Mw 8, Wiederkehrintervall 500 bis 1.120 Jahre) gilt als eine der größten Naturgefahren des Landes, dazu kommen die Ohariu-Verwerfung und die vorgelagerte Hikurangi-Subduktionszone – Neuseelands größte und aktivste Verwerfung mit Erdbeben- und Tsunamirisiko. Beim Wohnen ist Wellington rund 20 bis 25 % günstiger als Auckl</w:t>
      </w:r>
      <w:r>
        <w:t>and: Miete rund 600 NZD pro Woche, ein stadtspezifischer Kaufpreis ist nicht gesondert ermittelt, das Jahreswachstum lag Ende 2025 bei nur 1,4 %. Der Jobmarkt wird vom öffentlichen Dienst geprägt – 2026 unter Spardruck mit Einstellungsstopps –, daneben wächst eine Tech- und Startup-Szene mit Schwerpunkt auf Governance- und „Responsible AI“-Rahmenwerken, die Anfang 2026 deutliche Erholungssignale zeigte, auch wenn erfahrene Fachkräfte gleichzeitig ins Ausland abwandern und den lokalen Talentpool verengen. We</w:t>
      </w:r>
      <w:r>
        <w:t>llington ist Sitz der deutschen Botschaft, hat ein Goethe-Institut sowie die German School Wellington (Newtown, Ergänzungsschule) und eine deutsche Spielgruppe.</w:t>
      </w:r>
    </w:p>
    <w:p w14:paraId="70A50458" w14:textId="77777777" w:rsidR="00C1548D" w:rsidRDefault="009B1B4B">
      <w:pPr>
        <w:spacing w:after="140"/>
      </w:pPr>
      <w:r>
        <w:rPr>
          <w:b/>
          <w:bCs/>
        </w:rPr>
        <w:t>Christchurch</w:t>
      </w:r>
      <w:r>
        <w:t xml:space="preserve"> ist kühl-gemäßigt, mit deutlicheren jahreszeitlichen Unterschieden als in Auckland oder Wellington. Das Naturgefahren-Profil ist durch die Erdbebenserie von 2010/2011 geprägt: Das Beben vom 4. September 2010 (Stärke 7,1) und vor allem das vom 22. Februar 2011 (Stärke 6,3, nur 4 Kilometer Tiefe) gelten inflationsbereinigt mit rund 54,8 Mrd. NZD Schaden als teuerste </w:t>
      </w:r>
      <w:r>
        <w:lastRenderedPageBreak/>
        <w:t xml:space="preserve">Naturkatastrophe der neuseeländischen Geschichte – 185 Todesopfer, 10.000 Häuser mussten wiederaufgebaut, 3.500 abgerissen werden. Vor 2010 war </w:t>
      </w:r>
      <w:r>
        <w:t>die Verwerfung unter der Canterbury-Ebene den Geologen nicht einmal bekannt – ein Warnsignal, dass auch scheinbar ruhige Regionen Neuseelands Erdbebenrisiko tragen. Beim Wohnen ist Christchurch die günstigste der drei großen Städte: Miete rund 660 NZD pro Woche für 3- bis 4-Zimmer-Häuser (ein anderer Wohnungszuschnitt als bei den Auckland- und Wellington-Werten, daher nur bedingt vergleichbar), Kaufmedian 735.000 NZD; die Lebenshaltungskosten liegen mit rund 1.800 NZD pro Monat und Person nahe am Landesdurc</w:t>
      </w:r>
      <w:r>
        <w:t>hschnitt, ein Einzimmerapartment im Zentrum kostet 1.300 bis 1.950 NZD im Monat. Der Jobmarkt lebt vom Nachwirken des Wiederaufbaus: Ingenieurwesen, Bauwirtschaft und Fertigung sind Kernstärken, zunehmend auch Agrartechnologie und luftfahrtnahe Industrie; die Kampagne „Christchurch is Hiring“ wirbt branchenübergreifend, und Prognosen rechnen mit zusätzlich rund 70.000 benötigten Arbeitskräften in den nächsten 15 Jahren, allein um das derzeitige Wirtschaftswachstum bei alternder Bevölkerung zu halten. Ingeni</w:t>
      </w:r>
      <w:r>
        <w:t>eure verdienen bundesweit im Schnitt 92.035 NZD im Jahr, Cloud- und Infrastruktur-Ingenieure als IT-nahe Spezialrolle 95.000 bis 140.000 NZD. Vor Ort vertritt ein Honorarkonsul die deutschen Interessen; ein eigenes Goethe-Institut oder eine deutsche Schule sind vor Ort nicht bekannt.</w:t>
      </w:r>
    </w:p>
    <w:p w14:paraId="70A50459" w14:textId="77777777" w:rsidR="00C1548D" w:rsidRDefault="009B1B4B">
      <w:pPr>
        <w:spacing w:after="140"/>
      </w:pPr>
      <w:r>
        <w:rPr>
          <w:b/>
          <w:bCs/>
        </w:rPr>
        <w:t>Queenstown und die Region Otago</w:t>
      </w:r>
      <w:r>
        <w:t xml:space="preserve"> liegen alpin-kontinental im ausgeprägten Regenschatten der Southern Alps: Während die Westseite der Alpen 6.000 bis 10.000 Millimeter Niederschlag im Jahr abbekommt, fallen in Queenstown selbst nur rund 860 Millimeter. Was Deutsche überrascht, sind die für neuseeländische Verhältnisse extremen Temperaturspannen – Wintertiefstwerte bis −10 °C, Sommerhöchstwerte über 33 °C, beides selten, aber möglich. Naturgefahren sind hier eher alpin als tektonisch: Das Mountain Safety Council warnt bei starkem Schneefall</w:t>
      </w:r>
      <w:r>
        <w:t xml:space="preserve"> regelmäßig vor natürlich und menschlich ausgelösten Lawinen in den Southern Alps, </w:t>
      </w:r>
      <w:r>
        <w:lastRenderedPageBreak/>
        <w:t>dazu kommt ein moderates Hochwasserrisiko – 1999 etwa überflutete ein Hochwasser die Innenstadt von Queenstown und die Straßeninfrastruktur, Schaden rund 50 Mio. NZD. Eigene REINZ- oder MBIE-Werte für die Stadt selbst gibt es nicht; die weitere Region Otago verzeichnete beim Kaufpreis zuletzt mit 755.000 NZD (+13,2 %) den stärksten Anstieg im ganzen Land, die Wochenmiete liegt lokal bei 730 NZD und mehr – die höchste der vier</w:t>
      </w:r>
      <w:r>
        <w:t xml:space="preserve"> Regionen. Der Jobmarkt ist stark saisongeprägt und vom Tourismus abhängig: Skigebiete wie The Remarkables, Cardrona und Coronet Peak im Winter, Wander- und Wassersporttourismus im Sommer, dazu ein Wechselspiel mit der Obsternte im nahen Central Otago; zunehmend diversifiziert sich die Region auch in Tech-Startups, Filmproduktion und eine wachsende Weinindustrie. Konsularisch ist hier das Honorarkonsulat Christchurch beziehungsweise die Botschaft Wellington zuständig; eine eigene deutsche Institution vor Or</w:t>
      </w:r>
      <w:r>
        <w:t>t ist nicht bekannt.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860"/>
        <w:gridCol w:w="1510"/>
        <w:gridCol w:w="2160"/>
      </w:tblGrid>
      <w:tr w:rsidR="00C1548D" w14:paraId="70A5045E"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45A" w14:textId="77777777" w:rsidR="00C1548D" w:rsidRDefault="009B1B4B">
            <w:pPr>
              <w:spacing w:line="250" w:lineRule="auto"/>
            </w:pPr>
            <w:r>
              <w:rPr>
                <w:b/>
                <w:bCs/>
                <w:sz w:val="18"/>
                <w:szCs w:val="18"/>
              </w:rPr>
              <w:t>Ort</w:t>
            </w:r>
          </w:p>
        </w:tc>
        <w:tc>
          <w:tcPr>
            <w:tcW w:w="18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45B" w14:textId="77777777" w:rsidR="00C1548D" w:rsidRDefault="009B1B4B">
            <w:pPr>
              <w:spacing w:line="250" w:lineRule="auto"/>
            </w:pPr>
            <w:r>
              <w:rPr>
                <w:b/>
                <w:bCs/>
                <w:sz w:val="18"/>
                <w:szCs w:val="18"/>
              </w:rPr>
              <w:t>Klima und Naturgefahr</w:t>
            </w:r>
          </w:p>
        </w:tc>
        <w:tc>
          <w:tcPr>
            <w:tcW w:w="15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45C" w14:textId="77777777" w:rsidR="00C1548D" w:rsidRDefault="009B1B4B">
            <w:pPr>
              <w:spacing w:line="250" w:lineRule="auto"/>
            </w:pPr>
            <w:r>
              <w:rPr>
                <w:b/>
                <w:bCs/>
                <w:sz w:val="18"/>
                <w:szCs w:val="18"/>
              </w:rPr>
              <w:t>Kosten (Miete NZD/Woche · Kaufmedian)</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45D" w14:textId="77777777" w:rsidR="00C1548D" w:rsidRDefault="009B1B4B">
            <w:pPr>
              <w:spacing w:line="250" w:lineRule="auto"/>
            </w:pPr>
            <w:r>
              <w:rPr>
                <w:b/>
                <w:bCs/>
                <w:sz w:val="18"/>
                <w:szCs w:val="18"/>
              </w:rPr>
              <w:t>Jobmarkt-Stärke</w:t>
            </w:r>
          </w:p>
        </w:tc>
      </w:tr>
      <w:tr w:rsidR="00C1548D" w14:paraId="70A5046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5F" w14:textId="77777777" w:rsidR="00C1548D" w:rsidRDefault="009B1B4B">
            <w:pPr>
              <w:spacing w:line="250" w:lineRule="auto"/>
            </w:pPr>
            <w:r>
              <w:rPr>
                <w:sz w:val="18"/>
                <w:szCs w:val="18"/>
              </w:rPr>
              <w:t>Auckland</w:t>
            </w:r>
          </w:p>
        </w:tc>
        <w:tc>
          <w:tcPr>
            <w:tcW w:w="1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0" w14:textId="77777777" w:rsidR="00C1548D" w:rsidRDefault="009B1B4B">
            <w:pPr>
              <w:spacing w:line="250" w:lineRule="auto"/>
            </w:pPr>
            <w:r>
              <w:rPr>
                <w:sz w:val="18"/>
                <w:szCs w:val="18"/>
              </w:rPr>
              <w:t>subtropisch-feucht, Starkregen- und Vulkanrisiko</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1" w14:textId="77777777" w:rsidR="00C1548D" w:rsidRDefault="009B1B4B">
            <w:pPr>
              <w:spacing w:line="250" w:lineRule="auto"/>
            </w:pPr>
            <w:r>
              <w:rPr>
                <w:sz w:val="18"/>
                <w:szCs w:val="18"/>
              </w:rPr>
              <w:t>635 · 950.000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2" w14:textId="77777777" w:rsidR="00C1548D" w:rsidRDefault="009B1B4B">
            <w:pPr>
              <w:spacing w:line="250" w:lineRule="auto"/>
            </w:pPr>
            <w:r>
              <w:rPr>
                <w:sz w:val="18"/>
                <w:szCs w:val="18"/>
              </w:rPr>
              <w:t>Finanzen, Medien/Telekom, breiter Dienstleistungsmarkt</w:t>
            </w:r>
          </w:p>
        </w:tc>
      </w:tr>
      <w:tr w:rsidR="00C1548D" w14:paraId="70A5046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4" w14:textId="77777777" w:rsidR="00C1548D" w:rsidRDefault="009B1B4B">
            <w:pPr>
              <w:spacing w:line="250" w:lineRule="auto"/>
            </w:pPr>
            <w:r>
              <w:rPr>
                <w:sz w:val="18"/>
                <w:szCs w:val="18"/>
              </w:rPr>
              <w:t>Wellington</w:t>
            </w:r>
          </w:p>
        </w:tc>
        <w:tc>
          <w:tcPr>
            <w:tcW w:w="1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5" w14:textId="77777777" w:rsidR="00C1548D" w:rsidRDefault="009B1B4B">
            <w:pPr>
              <w:spacing w:line="250" w:lineRule="auto"/>
            </w:pPr>
            <w:r>
              <w:rPr>
                <w:sz w:val="18"/>
                <w:szCs w:val="18"/>
              </w:rPr>
              <w:t>windig, mild-maritim, Erdbebenrisiko</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6" w14:textId="77777777" w:rsidR="00C1548D" w:rsidRDefault="009B1B4B">
            <w:pPr>
              <w:spacing w:line="250" w:lineRule="auto"/>
            </w:pPr>
            <w:r>
              <w:rPr>
                <w:sz w:val="18"/>
                <w:szCs w:val="18"/>
              </w:rPr>
              <w:t>600 · n. e.</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7" w14:textId="77777777" w:rsidR="00C1548D" w:rsidRDefault="009B1B4B">
            <w:pPr>
              <w:spacing w:line="250" w:lineRule="auto"/>
            </w:pPr>
            <w:r>
              <w:rPr>
                <w:sz w:val="18"/>
                <w:szCs w:val="18"/>
              </w:rPr>
              <w:t>Regierung/Verwaltung, Tech/Governance</w:t>
            </w:r>
          </w:p>
        </w:tc>
      </w:tr>
      <w:tr w:rsidR="00C1548D" w14:paraId="70A5046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9" w14:textId="77777777" w:rsidR="00C1548D" w:rsidRDefault="009B1B4B">
            <w:pPr>
              <w:spacing w:line="250" w:lineRule="auto"/>
            </w:pPr>
            <w:r>
              <w:rPr>
                <w:sz w:val="18"/>
                <w:szCs w:val="18"/>
              </w:rPr>
              <w:t>Christchurch</w:t>
            </w:r>
          </w:p>
        </w:tc>
        <w:tc>
          <w:tcPr>
            <w:tcW w:w="1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A" w14:textId="77777777" w:rsidR="00C1548D" w:rsidRDefault="009B1B4B">
            <w:pPr>
              <w:spacing w:line="250" w:lineRule="auto"/>
            </w:pPr>
            <w:r>
              <w:rPr>
                <w:sz w:val="18"/>
                <w:szCs w:val="18"/>
              </w:rPr>
              <w:t>kühl-gemäßigt, Erdbebenrisiko (2010/11)</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B" w14:textId="77777777" w:rsidR="00C1548D" w:rsidRDefault="009B1B4B">
            <w:pPr>
              <w:spacing w:line="250" w:lineRule="auto"/>
            </w:pPr>
            <w:r>
              <w:rPr>
                <w:sz w:val="18"/>
                <w:szCs w:val="18"/>
              </w:rPr>
              <w:t>660 (3–4-Zi-Haus) · 735.000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C" w14:textId="77777777" w:rsidR="00C1548D" w:rsidRDefault="009B1B4B">
            <w:pPr>
              <w:spacing w:line="250" w:lineRule="auto"/>
            </w:pPr>
            <w:r>
              <w:rPr>
                <w:sz w:val="18"/>
                <w:szCs w:val="18"/>
              </w:rPr>
              <w:t>Ingenieurwesen, Bau, Agritech</w:t>
            </w:r>
          </w:p>
        </w:tc>
      </w:tr>
      <w:tr w:rsidR="00C1548D" w14:paraId="70A5047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E" w14:textId="77777777" w:rsidR="00C1548D" w:rsidRDefault="009B1B4B">
            <w:pPr>
              <w:spacing w:line="250" w:lineRule="auto"/>
            </w:pPr>
            <w:r>
              <w:rPr>
                <w:sz w:val="18"/>
                <w:szCs w:val="18"/>
              </w:rPr>
              <w:t>Queenstown/Otago</w:t>
            </w:r>
          </w:p>
        </w:tc>
        <w:tc>
          <w:tcPr>
            <w:tcW w:w="1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6F" w14:textId="77777777" w:rsidR="00C1548D" w:rsidRDefault="009B1B4B">
            <w:pPr>
              <w:spacing w:line="250" w:lineRule="auto"/>
            </w:pPr>
            <w:r>
              <w:rPr>
                <w:sz w:val="18"/>
                <w:szCs w:val="18"/>
              </w:rPr>
              <w:t>alpin, Regenschatten, Lawinenrisiko</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70" w14:textId="77777777" w:rsidR="00C1548D" w:rsidRDefault="009B1B4B">
            <w:pPr>
              <w:spacing w:line="250" w:lineRule="auto"/>
            </w:pPr>
            <w:r>
              <w:rPr>
                <w:sz w:val="18"/>
                <w:szCs w:val="18"/>
              </w:rPr>
              <w:t>730+ · 755.000 (Region Otago)</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71" w14:textId="77777777" w:rsidR="00C1548D" w:rsidRDefault="009B1B4B">
            <w:pPr>
              <w:spacing w:line="250" w:lineRule="auto"/>
            </w:pPr>
            <w:r>
              <w:rPr>
                <w:sz w:val="18"/>
                <w:szCs w:val="18"/>
              </w:rPr>
              <w:t>Tourismus, zunehmend Tech/Wein</w:t>
            </w:r>
          </w:p>
        </w:tc>
      </w:tr>
    </w:tbl>
    <w:p w14:paraId="70A50473"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7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474" w14:textId="77777777" w:rsidR="00C1548D" w:rsidRDefault="009B1B4B">
            <w:pPr>
              <w:keepNext/>
              <w:spacing w:after="70" w:line="240" w:lineRule="auto"/>
            </w:pPr>
            <w:r>
              <w:rPr>
                <w:b/>
                <w:bCs/>
                <w:color w:val="9B2C2C"/>
                <w:spacing w:val="24"/>
                <w:sz w:val="16"/>
                <w:szCs w:val="16"/>
              </w:rPr>
              <w:lastRenderedPageBreak/>
              <w:t>ACHTUNG</w:t>
            </w:r>
          </w:p>
          <w:p w14:paraId="70A50475" w14:textId="77777777" w:rsidR="00C1548D" w:rsidRDefault="009B1B4B">
            <w:pPr>
              <w:spacing w:after="80" w:line="264" w:lineRule="auto"/>
            </w:pPr>
            <w:r>
              <w:rPr>
                <w:sz w:val="20"/>
                <w:szCs w:val="20"/>
              </w:rPr>
              <w:t xml:space="preserve">Naturgefahren sind in Neuseeland kein Randthema, sondern ein Versicherungsposten. Die staatliche </w:t>
            </w:r>
            <w:r>
              <w:rPr>
                <w:i/>
                <w:iCs/>
                <w:sz w:val="20"/>
                <w:szCs w:val="20"/>
              </w:rPr>
              <w:t>Natural Hazards Commission Toka Tū Ake</w:t>
            </w:r>
            <w:r>
              <w:rPr>
                <w:sz w:val="20"/>
                <w:szCs w:val="20"/>
              </w:rPr>
              <w:t xml:space="preserve"> (früher EQC) übernimmt bei einem anerkannten Erdbebenschaden am Wohnhaus die ersten 300.000 NZD – vorausgesetzt, eine private Wohngebäudeversicherung mit Feuerschutz besteht bereits. Das staatliche System ergänzt die private Versicherung, ersetzt sie aber nicht. Die Umlage dafür ist über die Hausversicherung gedeckelt bei 480 NZD zzgl. Mehrwertsteuer pro Jahr. Hol dir vor jedem Kauf ein konkretes Angebot für genau dieses Grundstück ein, nicht erst danach.</w:t>
            </w:r>
          </w:p>
        </w:tc>
      </w:tr>
    </w:tbl>
    <w:p w14:paraId="70A50477" w14:textId="77777777" w:rsidR="00C1548D" w:rsidRDefault="00C1548D">
      <w:pPr>
        <w:spacing w:line="220" w:lineRule="exact"/>
      </w:pPr>
    </w:p>
    <w:p w14:paraId="70A50478" w14:textId="05827395" w:rsidR="00C1548D" w:rsidRDefault="009B1B4B">
      <w:pPr>
        <w:spacing w:after="140"/>
      </w:pPr>
      <w:r>
        <w:t xml:space="preserve">Neben Miete oder Kaufpreis unterscheiden sich die vier Regionen bei Auto, Kinderbetreuung und alltäglichen Lebenshaltungskosten spürbar weniger stark als beim Wohnen selbst. Wer aus einer deutschen Großstadt ohne eigenes Auto kommt, sollte trotzdem außerhalb der jeweiligen Innenstadt in praktisch allen vier Regionen ein eigenes Fahrzeug einplanen – Details zu Führerschein-Umtausch, Autokauf und Kfz-Versicherung erklärt das </w:t>
      </w:r>
      <w:hyperlink w:anchor="tnz10" w:history="1">
        <w:r>
          <w:rPr>
            <w:color w:val="0563C1"/>
            <w:u w:val="single"/>
          </w:rPr>
          <w:t>Kapitel zu Führerschein, Auto und Verkehrsregeln in diesem Teil</w:t>
        </w:r>
      </w:hyperlink>
      <w:r>
        <w:t>.</w:t>
      </w:r>
    </w:p>
    <w:p w14:paraId="70A50479"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47C"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47A"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47B" w14:textId="77777777" w:rsidR="00C1548D" w:rsidRDefault="009B1B4B">
            <w:pPr>
              <w:spacing w:line="250" w:lineRule="auto"/>
            </w:pPr>
            <w:r>
              <w:rPr>
                <w:b/>
                <w:bCs/>
                <w:sz w:val="18"/>
                <w:szCs w:val="18"/>
              </w:rPr>
              <w:t>Minus</w:t>
            </w:r>
          </w:p>
        </w:tc>
      </w:tr>
      <w:tr w:rsidR="00C1548D" w14:paraId="70A5047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7D" w14:textId="77777777" w:rsidR="00C1548D" w:rsidRDefault="009B1B4B">
            <w:pPr>
              <w:spacing w:line="250" w:lineRule="auto"/>
            </w:pPr>
            <w:r>
              <w:rPr>
                <w:sz w:val="18"/>
                <w:szCs w:val="18"/>
              </w:rPr>
              <w:t>Kaution gesetzlich auf vier Wochenmieten gedeckelt, treuhänderisch bei Tenancy Services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7E" w14:textId="77777777" w:rsidR="00C1548D" w:rsidRDefault="009B1B4B">
            <w:pPr>
              <w:spacing w:line="250" w:lineRule="auto"/>
            </w:pPr>
            <w:r>
              <w:rPr>
                <w:sz w:val="18"/>
                <w:szCs w:val="18"/>
              </w:rPr>
              <w:t>Auckland und Wellington mit hohem Wettbewerb um gute Mietwohnungen</w:t>
            </w:r>
          </w:p>
        </w:tc>
      </w:tr>
      <w:tr w:rsidR="00C1548D" w14:paraId="70A5048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80" w14:textId="77777777" w:rsidR="00C1548D" w:rsidRDefault="009B1B4B">
            <w:pPr>
              <w:spacing w:line="250" w:lineRule="auto"/>
            </w:pPr>
            <w:r>
              <w:rPr>
                <w:sz w:val="18"/>
                <w:szCs w:val="18"/>
              </w:rPr>
              <w:t>Vermittlungsgebühren für Mieter seit 2018 verboten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81" w14:textId="77777777" w:rsidR="00C1548D" w:rsidRDefault="009B1B4B">
            <w:pPr>
              <w:spacing w:line="250" w:lineRule="auto"/>
            </w:pPr>
            <w:r>
              <w:rPr>
                <w:sz w:val="18"/>
                <w:szCs w:val="18"/>
              </w:rPr>
              <w:t>Bestandsimmobilien-Kauf für die meisten Einwanderer erst nach Erfüllung aller vier „ordinarily resident“-Kriterien möglich</w:t>
            </w:r>
          </w:p>
        </w:tc>
      </w:tr>
      <w:tr w:rsidR="00C1548D" w14:paraId="70A5048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83" w14:textId="77777777" w:rsidR="00C1548D" w:rsidRDefault="009B1B4B">
            <w:pPr>
              <w:spacing w:line="250" w:lineRule="auto"/>
            </w:pPr>
            <w:r>
              <w:rPr>
                <w:sz w:val="18"/>
                <w:szCs w:val="18"/>
              </w:rPr>
              <w:t>Christchurch bietet klar günstigeren Wohnraum und aktive Fachkräfte-Werbung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84" w14:textId="77777777" w:rsidR="00C1548D" w:rsidRDefault="009B1B4B">
            <w:pPr>
              <w:spacing w:line="250" w:lineRule="auto"/>
            </w:pPr>
            <w:r>
              <w:rPr>
                <w:sz w:val="18"/>
                <w:szCs w:val="18"/>
              </w:rPr>
              <w:t>Erdbeben-, Überschwemmungs- und Vulkanrisiko unterscheiden sich stark von Region zu Region</w:t>
            </w:r>
          </w:p>
        </w:tc>
      </w:tr>
      <w:tr w:rsidR="00C1548D" w14:paraId="70A5048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86" w14:textId="77777777" w:rsidR="00C1548D" w:rsidRDefault="009B1B4B">
            <w:pPr>
              <w:spacing w:line="250" w:lineRule="auto"/>
            </w:pPr>
            <w:r>
              <w:rPr>
                <w:sz w:val="18"/>
                <w:szCs w:val="18"/>
              </w:rPr>
              <w:t>Staatliche Toka-Tū-Ake-Deckung ergänzt die private Erdbebenversicherung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87" w14:textId="77777777" w:rsidR="00C1548D" w:rsidRDefault="009B1B4B">
            <w:pPr>
              <w:spacing w:line="250" w:lineRule="auto"/>
            </w:pPr>
            <w:r>
              <w:rPr>
                <w:sz w:val="18"/>
                <w:szCs w:val="18"/>
              </w:rPr>
              <w:t>Die Deckung von 300.000 NZD ersetzt keine ausreichende private Wohngebäudeversicherung</w:t>
            </w:r>
          </w:p>
        </w:tc>
      </w:tr>
      <w:tr w:rsidR="00C1548D" w14:paraId="70A5048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89" w14:textId="77777777" w:rsidR="00C1548D" w:rsidRDefault="009B1B4B">
            <w:pPr>
              <w:spacing w:line="250" w:lineRule="auto"/>
            </w:pPr>
            <w:r>
              <w:rPr>
                <w:sz w:val="18"/>
                <w:szCs w:val="18"/>
              </w:rPr>
              <w:lastRenderedPageBreak/>
              <w:t>Australische und singapurische Staatsangehörige haben eine Sonderregel beim Hauskauf</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8A" w14:textId="77777777" w:rsidR="00C1548D" w:rsidRDefault="009B1B4B">
            <w:pPr>
              <w:spacing w:line="250" w:lineRule="auto"/>
            </w:pPr>
            <w:r>
              <w:rPr>
                <w:sz w:val="18"/>
                <w:szCs w:val="18"/>
              </w:rPr>
              <w:t>Für Deutsche gilt keine der Ausnahmeregeln vom Kaufverbot</w:t>
            </w:r>
          </w:p>
        </w:tc>
      </w:tr>
      <w:tr w:rsidR="00C1548D" w14:paraId="70A5048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8C" w14:textId="77777777" w:rsidR="00C1548D" w:rsidRDefault="009B1B4B">
            <w:pPr>
              <w:spacing w:line="250" w:lineRule="auto"/>
            </w:pPr>
            <w:r>
              <w:rPr>
                <w:sz w:val="18"/>
                <w:szCs w:val="18"/>
              </w:rPr>
              <w:t>Jede Region hat ein gut dokumentiertes Naturgefahren-Profil, das sich recherchieren lässt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48D" w14:textId="77777777" w:rsidR="00C1548D" w:rsidRDefault="009B1B4B">
            <w:pPr>
              <w:spacing w:line="250" w:lineRule="auto"/>
            </w:pPr>
            <w:r>
              <w:rPr>
                <w:sz w:val="18"/>
                <w:szCs w:val="18"/>
              </w:rPr>
              <w:t>Queenstown/Otago ohne eigene isolierte Miet- oder Kaufstatistik, nur über die Gesamtregion abschätzbar</w:t>
            </w:r>
          </w:p>
        </w:tc>
      </w:tr>
    </w:tbl>
    <w:p w14:paraId="70A5048F" w14:textId="77777777" w:rsidR="00C1548D" w:rsidRDefault="00C1548D">
      <w:pPr>
        <w:spacing w:line="180" w:lineRule="exact"/>
      </w:pPr>
    </w:p>
    <w:p w14:paraId="70A50490"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491" w14:textId="77777777" w:rsidR="00C1548D" w:rsidRDefault="009B1B4B">
      <w:pPr>
        <w:spacing w:after="140"/>
      </w:pPr>
      <w:r>
        <w:t>Vergleiche vor der Zusage nicht nur das Gehalt, sondern die Kombination aus Miet- oder Kaufniveau, Jobmarkt im eigenen Berufsfeld und Naturgefahren-Profil der Zielregion. Kläre früh, ob und wann du die vier „ordinarily resident“-Kriterien erfüllst – das entscheidet, ob und wann ein Hauskauf überhaupt infrage kommt, unabhängig vom verfügbaren Kapital. Miete zunächst, auch wenn dich ein Kauf reizt: Du lernst Viertel, Schule und Erdbebensicherheit des Hauses aus eigener Erfahrung kennen, statt dich unter Zeitd</w:t>
      </w:r>
      <w:r>
        <w:t>ruck auf eine Entscheidung einzulassen, die dir das Gesetz ohnehin noch nicht erlaubt. Sprich außerdem frühzeitig mit einem Versicherungsmakler über die Kombination aus privater Wohngebäudeversicherung und der staatlichen Toka-Tū-Ake-Deckung – gerade in Wellington und Christchurch ist das keine Formsache, sondern ein Posten, der die monatliche Kalkulation spürbar verändern kann.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9B"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492" w14:textId="77777777" w:rsidR="00C1548D" w:rsidRDefault="009B1B4B">
            <w:pPr>
              <w:keepNext/>
              <w:spacing w:after="70" w:line="240" w:lineRule="auto"/>
            </w:pPr>
            <w:r>
              <w:rPr>
                <w:b/>
                <w:bCs/>
                <w:color w:val="1F6F78"/>
                <w:spacing w:val="24"/>
                <w:sz w:val="16"/>
                <w:szCs w:val="16"/>
              </w:rPr>
              <w:lastRenderedPageBreak/>
              <w:t>CHECKLISTE</w:t>
            </w:r>
          </w:p>
          <w:p w14:paraId="70A5049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„Ordinarily resident“-Status geprüft: Visum, 12 Monate Aufenthalt, 183-Tage-Regel und Steuerresidenz alle vier erfüllt?</w:t>
            </w:r>
          </w:p>
          <w:p w14:paraId="70A5049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Unterlagen für Mietbewerbungen vorbereitet: Einkommensnachweis, Arbeitsvertrag, Referenzen früherer Vermieter</w:t>
            </w:r>
          </w:p>
          <w:p w14:paraId="70A5049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Kautionshöhe (max. vier Wochenmieten) und Hinterlegung bei Tenancy Services verstanden</w:t>
            </w:r>
          </w:p>
          <w:p w14:paraId="70A5049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Miet- und Kaufpreise mehrerer Regionen im eigenen Berufsfeld verglichen, nicht nur Auckland</w:t>
            </w:r>
          </w:p>
          <w:p w14:paraId="70A5049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Naturgefahren-Profil der Zielregion recherchiert (Erdbeben, Überschwemmung, Vulkan, Lawine)</w:t>
            </w:r>
          </w:p>
          <w:p w14:paraId="70A5049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Private Wohngebäudeversicherung mit Feuerschutz und Toka-Tū-Ake-Deckung abgeglichen</w:t>
            </w:r>
          </w:p>
          <w:p w14:paraId="70A5049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Kaufabsicht: auf Immobilienrecht spezialisierten Solicitor kontaktiert</w:t>
            </w:r>
          </w:p>
          <w:p w14:paraId="70A5049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Entschieden, mindestens die ersten ein bis zwei Jahre zu mieten</w:t>
            </w:r>
          </w:p>
        </w:tc>
      </w:tr>
    </w:tbl>
    <w:p w14:paraId="70A5049C" w14:textId="77777777" w:rsidR="00C1548D" w:rsidRDefault="00C1548D">
      <w:pPr>
        <w:spacing w:line="220" w:lineRule="exact"/>
      </w:pPr>
    </w:p>
    <w:p w14:paraId="70A5049D"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49E" w14:textId="19EA3A18" w:rsidR="00C1548D" w:rsidRDefault="009B1B4B" w:rsidP="009B1B4B">
      <w:pPr>
        <w:pStyle w:val="ListParagraph"/>
        <w:numPr>
          <w:ilvl w:val="0"/>
          <w:numId w:val="1"/>
        </w:numPr>
        <w:spacing w:after="60"/>
      </w:pPr>
      <w:r>
        <w:t>Tenancy Services — Kaution, Mietrecht, Bond Hub (</w:t>
      </w:r>
      <w:hyperlink r:id="rId651" w:history="1">
        <w:r>
          <w:rPr>
            <w:color w:val="0563C1"/>
            <w:u w:val="single"/>
          </w:rPr>
          <w:t>tenancy.govt.nz</w:t>
        </w:r>
      </w:hyperlink>
      <w:r>
        <w:t>)</w:t>
      </w:r>
    </w:p>
    <w:p w14:paraId="70A5049F" w14:textId="698558DD" w:rsidR="00C1548D" w:rsidRDefault="009B1B4B" w:rsidP="009B1B4B">
      <w:pPr>
        <w:pStyle w:val="ListParagraph"/>
        <w:numPr>
          <w:ilvl w:val="0"/>
          <w:numId w:val="1"/>
        </w:numPr>
        <w:spacing w:after="60"/>
      </w:pPr>
      <w:r>
        <w:t>Land Information New Zealand (LINZ) — Overseas Investment Act, „ordinarily resident“-Kriterien (</w:t>
      </w:r>
      <w:hyperlink r:id="rId652" w:history="1">
        <w:r>
          <w:rPr>
            <w:color w:val="0563C1"/>
            <w:u w:val="single"/>
          </w:rPr>
          <w:t>linz.govt.nz</w:t>
        </w:r>
      </w:hyperlink>
      <w:r>
        <w:t>)</w:t>
      </w:r>
    </w:p>
    <w:p w14:paraId="70A504A0" w14:textId="46914FFF" w:rsidR="00C1548D" w:rsidRDefault="009B1B4B" w:rsidP="009B1B4B">
      <w:pPr>
        <w:pStyle w:val="ListParagraph"/>
        <w:numPr>
          <w:ilvl w:val="0"/>
          <w:numId w:val="1"/>
        </w:numPr>
        <w:spacing w:after="60"/>
      </w:pPr>
      <w:r>
        <w:t>REINZ — monatliche Kaufpreisberichte (</w:t>
      </w:r>
      <w:hyperlink r:id="rId653" w:history="1">
        <w:r>
          <w:rPr>
            <w:color w:val="0563C1"/>
            <w:u w:val="single"/>
          </w:rPr>
          <w:t>reinz.co.nz</w:t>
        </w:r>
      </w:hyperlink>
      <w:r>
        <w:t>)</w:t>
      </w:r>
    </w:p>
    <w:p w14:paraId="70A504A1" w14:textId="31DD6C56" w:rsidR="00C1548D" w:rsidRDefault="009B1B4B" w:rsidP="009B1B4B">
      <w:pPr>
        <w:pStyle w:val="ListParagraph"/>
        <w:numPr>
          <w:ilvl w:val="0"/>
          <w:numId w:val="1"/>
        </w:numPr>
        <w:spacing w:after="60"/>
      </w:pPr>
      <w:r>
        <w:t>Natural Hazards Commission Toka Tū Ake — Erdbebenversicherung (</w:t>
      </w:r>
      <w:hyperlink r:id="rId654" w:history="1">
        <w:r>
          <w:rPr>
            <w:color w:val="0563C1"/>
            <w:u w:val="single"/>
          </w:rPr>
          <w:t>naturalhazards.govt.nz</w:t>
        </w:r>
      </w:hyperlink>
      <w:r>
        <w:t>)</w:t>
      </w:r>
    </w:p>
    <w:p w14:paraId="70A504A2" w14:textId="79BFA448" w:rsidR="00C1548D" w:rsidRDefault="009B1B4B" w:rsidP="009B1B4B">
      <w:pPr>
        <w:pStyle w:val="ListParagraph"/>
        <w:numPr>
          <w:ilvl w:val="0"/>
          <w:numId w:val="1"/>
        </w:numPr>
        <w:spacing w:after="60"/>
      </w:pPr>
      <w:r>
        <w:t>Deutsche Botschaft Wellington und Honorarkonsulate — Vertretungen vor Ort (</w:t>
      </w:r>
      <w:hyperlink r:id="rId655" w:history="1">
        <w:r>
          <w:rPr>
            <w:color w:val="0563C1"/>
            <w:u w:val="single"/>
          </w:rPr>
          <w:t>wellington.diplo.de</w:t>
        </w:r>
      </w:hyperlink>
      <w:r>
        <w:t>)</w:t>
      </w:r>
    </w:p>
    <w:p w14:paraId="70A504A3"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A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4A4" w14:textId="77777777" w:rsidR="00C1548D" w:rsidRDefault="009B1B4B">
            <w:pPr>
              <w:keepNext/>
              <w:spacing w:after="70" w:line="240" w:lineRule="auto"/>
            </w:pPr>
            <w:r>
              <w:rPr>
                <w:b/>
                <w:bCs/>
                <w:color w:val="6B7280"/>
                <w:spacing w:val="24"/>
                <w:sz w:val="16"/>
                <w:szCs w:val="16"/>
              </w:rPr>
              <w:lastRenderedPageBreak/>
              <w:t>STAND</w:t>
            </w:r>
          </w:p>
          <w:p w14:paraId="70A504A5" w14:textId="77777777" w:rsidR="00C1548D" w:rsidRDefault="009B1B4B">
            <w:pPr>
              <w:spacing w:after="80" w:line="264" w:lineRule="auto"/>
            </w:pPr>
            <w:r>
              <w:rPr>
                <w:sz w:val="20"/>
                <w:szCs w:val="20"/>
              </w:rPr>
              <w:t>September 2026 (Schreibdatum 23. September 2026). Miet- und Kaufpreise ändern sich monatlich merklich, ebenso die Kriterien und Ausnahmen des Overseas Investment Act und die Umlagehöhe der Natural Hazards Commission. Prüfe vor jeder Entscheidung die offiziellen Seiten und aktuelle Marktberichte.</w:t>
            </w:r>
          </w:p>
        </w:tc>
      </w:tr>
    </w:tbl>
    <w:p w14:paraId="70A504A7" w14:textId="77777777" w:rsidR="00C1548D" w:rsidRDefault="00C1548D">
      <w:pPr>
        <w:spacing w:line="220" w:lineRule="exact"/>
      </w:pPr>
    </w:p>
    <w:p w14:paraId="70A504A8" w14:textId="77777777" w:rsidR="00C1548D" w:rsidRDefault="009B1B4B">
      <w:pPr>
        <w:pStyle w:val="Heading2"/>
        <w:keepNext/>
        <w:pageBreakBefore/>
        <w:jc w:val="center"/>
      </w:pPr>
      <w:bookmarkStart w:id="186" w:name="tnz10"/>
      <w:bookmarkStart w:id="187" w:name="_Toc241352545"/>
      <w:r>
        <w:rPr>
          <w:rFonts w:ascii="Amazon Ember" w:eastAsia="Amazon Ember" w:hAnsi="Amazon Ember" w:cs="Amazon Ember"/>
          <w:color w:val="0000FF"/>
          <w:sz w:val="36"/>
          <w:szCs w:val="36"/>
        </w:rPr>
        <w:lastRenderedPageBreak/>
        <w:t>Neuseeland: Führerschein, Auto und Verkehrsregeln</w:t>
      </w:r>
      <w:bookmarkEnd w:id="186"/>
      <w:bookmarkEnd w:id="187"/>
    </w:p>
    <w:p w14:paraId="70A504A9" w14:textId="77777777" w:rsidR="00C1548D" w:rsidRDefault="009B1B4B">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w:t>
      </w:r>
      <w:r>
        <w:t>he’ll be right“ (etwa: „wird schon irgendwie“) eine ernstgemeinte Lebenshaltung ist. Wer nach Neuseeland auswandert, muss nicht nur einen neuen Führerschein besorgen, sondern buchstäblich neu fahren lernen – und genau darum geht es in diesem Kapitel.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B1"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4AA" w14:textId="77777777" w:rsidR="00C1548D" w:rsidRDefault="009B1B4B">
            <w:pPr>
              <w:keepNext/>
              <w:spacing w:after="70" w:line="240" w:lineRule="auto"/>
            </w:pPr>
            <w:r>
              <w:rPr>
                <w:b/>
                <w:bCs/>
                <w:color w:val="1F3A5F"/>
                <w:spacing w:val="24"/>
                <w:sz w:val="16"/>
                <w:szCs w:val="16"/>
              </w:rPr>
              <w:lastRenderedPageBreak/>
              <w:t>KURZ GESAGT</w:t>
            </w:r>
          </w:p>
          <w:p w14:paraId="70A504AB" w14:textId="77777777" w:rsidR="00C1548D" w:rsidRDefault="009B1B4B" w:rsidP="009B1B4B">
            <w:pPr>
              <w:pStyle w:val="ListParagraph"/>
              <w:numPr>
                <w:ilvl w:val="0"/>
                <w:numId w:val="1"/>
              </w:numPr>
              <w:spacing w:after="50" w:line="264" w:lineRule="auto"/>
            </w:pPr>
            <w:r>
              <w:rPr>
                <w:sz w:val="20"/>
                <w:szCs w:val="20"/>
              </w:rPr>
              <w:t xml:space="preserve">Deutschland zählt zu den </w:t>
            </w:r>
            <w:r>
              <w:rPr>
                <w:i/>
                <w:iCs/>
                <w:sz w:val="20"/>
                <w:szCs w:val="20"/>
              </w:rPr>
              <w:t>exempt countries</w:t>
            </w:r>
            <w:r>
              <w:rPr>
                <w:sz w:val="20"/>
                <w:szCs w:val="20"/>
              </w:rPr>
              <w:t xml:space="preserve"> (den von der Prüfungspflicht befreiten Ländern): Mit einem seit mindestens 2 Jahren gültigen vollen Pkw-Führerschein tauschst du ihn ohne Theorie- oder Praxisprüfung um.</w:t>
            </w:r>
          </w:p>
          <w:p w14:paraId="70A504AC" w14:textId="77777777" w:rsidR="00C1548D" w:rsidRDefault="009B1B4B" w:rsidP="009B1B4B">
            <w:pPr>
              <w:pStyle w:val="ListParagraph"/>
              <w:numPr>
                <w:ilvl w:val="0"/>
                <w:numId w:val="1"/>
              </w:numPr>
              <w:spacing w:after="50" w:line="264" w:lineRule="auto"/>
            </w:pPr>
            <w:r>
              <w:rPr>
                <w:sz w:val="20"/>
                <w:szCs w:val="20"/>
              </w:rPr>
              <w:t>Ohne Umtausch darfst du aktuell (Stand September 2026) bis zu 18 Monate ab deiner letzten Einreise mit dem deutschen Führerschein fahren – eine befristete Verlängerung der ursprünglichen 12-Monats-Frist, die absehbar wieder zurückgenommen wird.</w:t>
            </w:r>
          </w:p>
          <w:p w14:paraId="70A504AD" w14:textId="77777777" w:rsidR="00C1548D" w:rsidRDefault="009B1B4B" w:rsidP="009B1B4B">
            <w:pPr>
              <w:pStyle w:val="ListParagraph"/>
              <w:numPr>
                <w:ilvl w:val="0"/>
                <w:numId w:val="1"/>
              </w:numPr>
              <w:spacing w:after="50" w:line="264" w:lineRule="auto"/>
            </w:pPr>
            <w:r>
              <w:rPr>
                <w:sz w:val="20"/>
                <w:szCs w:val="20"/>
              </w:rPr>
              <w:t>Der wichtigste Punkt überhaupt: Neuseeland fährt auf der linken Straßenseite, wie Australien und Großbritannien. Das betrifft Kreisverkehre, Blinkerhebel und vor allem deinen Blick an der Kreuzung.</w:t>
            </w:r>
          </w:p>
          <w:p w14:paraId="70A504AE" w14:textId="77777777" w:rsidR="00C1548D" w:rsidRDefault="009B1B4B" w:rsidP="009B1B4B">
            <w:pPr>
              <w:pStyle w:val="ListParagraph"/>
              <w:numPr>
                <w:ilvl w:val="0"/>
                <w:numId w:val="1"/>
              </w:numPr>
              <w:spacing w:after="50" w:line="264" w:lineRule="auto"/>
            </w:pPr>
            <w:r>
              <w:rPr>
                <w:sz w:val="20"/>
                <w:szCs w:val="20"/>
              </w:rPr>
              <w:t>Seit der „Give-Way“-Reform vom 25. März 2012 hat abbiegender Verkehr nicht mehr automatisch Vorrang; die Regeln ähneln seither stärker den deutschen.</w:t>
            </w:r>
          </w:p>
          <w:p w14:paraId="70A504AF" w14:textId="77777777" w:rsidR="00C1548D" w:rsidRDefault="009B1B4B" w:rsidP="009B1B4B">
            <w:pPr>
              <w:pStyle w:val="ListParagraph"/>
              <w:numPr>
                <w:ilvl w:val="0"/>
                <w:numId w:val="1"/>
              </w:numPr>
              <w:spacing w:after="50" w:line="264" w:lineRule="auto"/>
            </w:pPr>
            <w:r>
              <w:rPr>
                <w:sz w:val="20"/>
                <w:szCs w:val="20"/>
              </w:rPr>
              <w:t>Viele Straßen sind unbefestigt, viele Brücken einspurig – beides mit eigenen Vorfahrtsregeln.</w:t>
            </w:r>
          </w:p>
          <w:p w14:paraId="70A504B0" w14:textId="77777777" w:rsidR="00C1548D" w:rsidRDefault="009B1B4B" w:rsidP="009B1B4B">
            <w:pPr>
              <w:pStyle w:val="ListParagraph"/>
              <w:numPr>
                <w:ilvl w:val="0"/>
                <w:numId w:val="1"/>
              </w:numPr>
              <w:spacing w:after="50" w:line="264" w:lineRule="auto"/>
            </w:pPr>
            <w:r>
              <w:rPr>
                <w:sz w:val="20"/>
                <w:szCs w:val="20"/>
              </w:rPr>
              <w:t>Alkoholgrenze: 0,05 % für Fahrer ab 20 Jahren, 0,00 % darunter. Handy am Steuer ist grundsätzlich verboten, auch freihändig für Fahranfänger.</w:t>
            </w:r>
          </w:p>
        </w:tc>
      </w:tr>
    </w:tbl>
    <w:p w14:paraId="70A504B2" w14:textId="77777777" w:rsidR="00C1548D" w:rsidRDefault="00C1548D">
      <w:pPr>
        <w:spacing w:line="220" w:lineRule="exact"/>
      </w:pPr>
    </w:p>
    <w:p w14:paraId="70A504B3" w14:textId="77777777" w:rsidR="00C1548D" w:rsidRDefault="009B1B4B">
      <w:pPr>
        <w:pStyle w:val="Heading3"/>
        <w:keepNext/>
        <w:jc w:val="center"/>
      </w:pPr>
      <w:r>
        <w:rPr>
          <w:rFonts w:ascii="Amazon Ember" w:eastAsia="Amazon Ember" w:hAnsi="Amazon Ember" w:cs="Amazon Ember"/>
          <w:color w:val="0000FF"/>
          <w:sz w:val="36"/>
          <w:szCs w:val="36"/>
        </w:rPr>
        <w:t>Der Führerschein-Umtausch: Deutschland als „exempt country“</w:t>
      </w:r>
    </w:p>
    <w:p w14:paraId="70A504B4" w14:textId="77777777" w:rsidR="00C1548D" w:rsidRDefault="009B1B4B">
      <w:pPr>
        <w:spacing w:after="140"/>
      </w:pPr>
      <w:r>
        <w:t>Die neuseeländische Verkehrsbehörde NZTA (</w:t>
      </w:r>
      <w:r>
        <w:rPr>
          <w:i/>
          <w:iCs/>
        </w:rPr>
        <w:t>New Zealand Transport Agency Waka Kotahi</w:t>
      </w:r>
      <w:r>
        <w:t xml:space="preserve">) führt eine Liste von Ländern, deren Führerscheine sie als gleichwertig anerkennt – die </w:t>
      </w:r>
      <w:r>
        <w:rPr>
          <w:i/>
          <w:iCs/>
        </w:rPr>
        <w:t>exempt countries</w:t>
      </w:r>
      <w:r>
        <w:t xml:space="preserve">. Deutschland gehört dazu, ebenso Österreich, die Schweiz, Frankreich, die Niederlande, Japan, Kanada, Australien, die USA, Südkorea und rund ein Dutzend weitere Staaten. Wer seinen vollen Pkw-Führerschein seit mindestens 2 Jahren besitzt, kann ihn bei einer autorisierten Umtauschstelle – unter anderem ausgewählten </w:t>
      </w:r>
      <w:r>
        <w:lastRenderedPageBreak/>
        <w:t xml:space="preserve">Standorten der </w:t>
      </w:r>
      <w:r>
        <w:rPr>
          <w:i/>
          <w:iCs/>
        </w:rPr>
        <w:t>Automobile Association</w:t>
      </w:r>
      <w:r>
        <w:t xml:space="preserve"> (AA) – ohne Wissens- oder Fahrprüfung in einen neuseeländischen Führerschein umtauschen.</w:t>
      </w:r>
    </w:p>
    <w:p w14:paraId="70A504B5" w14:textId="77777777" w:rsidR="00C1548D" w:rsidRDefault="009B1B4B">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w:t>
      </w:r>
      <w:r>
        <w:t>dere Behördengänge auf dich warten.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B8"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4B6" w14:textId="77777777" w:rsidR="00C1548D" w:rsidRDefault="009B1B4B">
            <w:pPr>
              <w:keepNext/>
              <w:spacing w:after="70" w:line="240" w:lineRule="auto"/>
            </w:pPr>
            <w:r>
              <w:rPr>
                <w:b/>
                <w:bCs/>
                <w:color w:val="2F6B3B"/>
                <w:spacing w:val="24"/>
                <w:sz w:val="16"/>
                <w:szCs w:val="16"/>
              </w:rPr>
              <w:t>SPARTIPP</w:t>
            </w:r>
          </w:p>
          <w:p w14:paraId="70A504B7" w14:textId="77777777" w:rsidR="00C1548D" w:rsidRDefault="009B1B4B">
            <w:pPr>
              <w:spacing w:after="80" w:line="264" w:lineRule="auto"/>
            </w:pPr>
            <w:r>
              <w:rPr>
                <w:sz w:val="20"/>
                <w:szCs w:val="20"/>
              </w:rPr>
              <w:t>Kläre die englische Übersetzung deines Führerscheins und, falls nötig, eine Bescheinigung des Ausstellungsdatums bereits vor dem Abflug mit deiner deutschen Führerscheinstelle. Das erspart dir in Neuseeland einen zusätzlichen Behördengang und mögliche Wartezeit.</w:t>
            </w:r>
          </w:p>
        </w:tc>
      </w:tr>
    </w:tbl>
    <w:p w14:paraId="70A504B9" w14:textId="77777777" w:rsidR="00C1548D" w:rsidRDefault="00C1548D">
      <w:pPr>
        <w:spacing w:line="220" w:lineRule="exact"/>
      </w:pPr>
    </w:p>
    <w:p w14:paraId="70A504BA" w14:textId="77777777" w:rsidR="00C1548D" w:rsidRDefault="009B1B4B">
      <w:pPr>
        <w:spacing w:after="140"/>
      </w:pPr>
      <w:r>
        <w:t>Wer den Umtausch nicht sofort erledigt, darf laut aktueller NZTA-Regel bis zu 18 Monate ab der letzten Einreise mit dem deutschen Führerschein weiterfahren. Diese 18 Monate sind allerdings eine befristete Verlängerung der ursprünglich geltenden 12-Monats-Frist und sollen nach einer Übergangszeit von rund 2 Jahren wieder auf 12 Monate zurückgehen – eine Sekundärquelle nennt konkret den 1. November 2026 als Rückkehr-Termin, was an der NZTA-Originalseite nicht bestätigt ist. Für Motorrad- und Lkw-Führerscheine</w:t>
      </w:r>
      <w:r>
        <w:t xml:space="preserve"> gilt unabhängig davon weiterhin die 12-Monats-Frist.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B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4BB" w14:textId="77777777" w:rsidR="00C1548D" w:rsidRDefault="009B1B4B">
            <w:pPr>
              <w:keepNext/>
              <w:spacing w:after="70" w:line="240" w:lineRule="auto"/>
            </w:pPr>
            <w:r>
              <w:rPr>
                <w:b/>
                <w:bCs/>
                <w:color w:val="9B2C2C"/>
                <w:spacing w:val="24"/>
                <w:sz w:val="16"/>
                <w:szCs w:val="16"/>
              </w:rPr>
              <w:t>ACHTUNG</w:t>
            </w:r>
          </w:p>
          <w:p w14:paraId="70A504BC" w14:textId="77777777" w:rsidR="00C1548D" w:rsidRDefault="009B1B4B">
            <w:pPr>
              <w:spacing w:after="80" w:line="264" w:lineRule="auto"/>
            </w:pPr>
            <w:r>
              <w:rPr>
                <w:sz w:val="20"/>
                <w:szCs w:val="20"/>
              </w:rPr>
              <w:t>Verlasse dich nicht auf eine feste Zahl von Monaten, ohne sie kurz vor deiner Reise auf nzta.govt.nz gegenzuprüfen. Übergangsregeln wie diese ändern sich in Neuseeland öfter, als man in Deutschland erwarten würde – und „das war letztes Jahr noch anders“ ist ein Satz, den du hier öfter hörst, als dir lieb ist.</w:t>
            </w:r>
          </w:p>
        </w:tc>
      </w:tr>
    </w:tbl>
    <w:p w14:paraId="70A504BE" w14:textId="77777777" w:rsidR="00C1548D" w:rsidRDefault="00C1548D">
      <w:pPr>
        <w:spacing w:line="220" w:lineRule="exact"/>
      </w:pPr>
    </w:p>
    <w:p w14:paraId="70A504BF" w14:textId="77777777" w:rsidR="00C1548D" w:rsidRDefault="009B1B4B">
      <w:pPr>
        <w:spacing w:after="140"/>
      </w:pPr>
      <w:r>
        <w:lastRenderedPageBreak/>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w14:paraId="70A504C0" w14:textId="77777777" w:rsidR="00C1548D" w:rsidRDefault="009B1B4B">
      <w:pPr>
        <w:spacing w:after="140"/>
      </w:pPr>
      <w:r>
        <w:t>Der Ablauf selbst ist überschaubar:</w:t>
      </w:r>
    </w:p>
    <w:p w14:paraId="70A504C1" w14:textId="77777777" w:rsidR="00C1548D" w:rsidRDefault="009B1B4B" w:rsidP="009B1B4B">
      <w:pPr>
        <w:pStyle w:val="ListParagraph"/>
        <w:numPr>
          <w:ilvl w:val="0"/>
          <w:numId w:val="49"/>
        </w:numPr>
        <w:spacing w:after="60"/>
      </w:pPr>
      <w:r>
        <w:rPr>
          <w:b/>
          <w:bCs/>
        </w:rPr>
        <w:t>Termin oder Vor-Ort-Besuch</w:t>
      </w:r>
      <w:r>
        <w:t xml:space="preserve"> bei einer autorisierten </w:t>
      </w:r>
      <w:r>
        <w:rPr>
          <w:i/>
          <w:iCs/>
        </w:rPr>
        <w:t>Overseas Licence Conversion</w:t>
      </w:r>
      <w:r>
        <w:t>-Stelle, etwa einem AA-Driver-Licensing-Standort, vereinbaren.</w:t>
      </w:r>
    </w:p>
    <w:p w14:paraId="70A504C2" w14:textId="77777777" w:rsidR="00C1548D" w:rsidRDefault="009B1B4B" w:rsidP="009B1B4B">
      <w:pPr>
        <w:pStyle w:val="ListParagraph"/>
        <w:numPr>
          <w:ilvl w:val="0"/>
          <w:numId w:val="49"/>
        </w:numPr>
        <w:spacing w:after="60"/>
      </w:pPr>
      <w:r>
        <w:rPr>
          <w:b/>
          <w:bCs/>
        </w:rPr>
        <w:t>Unterlagen zusammenstellen:</w:t>
      </w:r>
      <w:r>
        <w:t xml:space="preserve"> Original-Führerschein, die englische Übersetzung, ein amtlicher Nachweis deiner neuseeländischen Adresse und ein gültiger Identitätsnachweis (Reisepass).</w:t>
      </w:r>
    </w:p>
    <w:p w14:paraId="70A504C3" w14:textId="77777777" w:rsidR="00C1548D" w:rsidRDefault="009B1B4B" w:rsidP="009B1B4B">
      <w:pPr>
        <w:pStyle w:val="ListParagraph"/>
        <w:numPr>
          <w:ilvl w:val="0"/>
          <w:numId w:val="49"/>
        </w:numPr>
        <w:spacing w:after="60"/>
      </w:pPr>
      <w:r>
        <w:rPr>
          <w:b/>
          <w:bCs/>
        </w:rPr>
        <w:t>Sehtest</w:t>
      </w:r>
      <w:r>
        <w:t xml:space="preserve"> vor Ort ablegen – auch als „exempt country“-Umtauscher kommst du daran nicht vorbei.</w:t>
      </w:r>
    </w:p>
    <w:p w14:paraId="70A504C4" w14:textId="77777777" w:rsidR="00C1548D" w:rsidRDefault="009B1B4B" w:rsidP="009B1B4B">
      <w:pPr>
        <w:pStyle w:val="ListParagraph"/>
        <w:numPr>
          <w:ilvl w:val="0"/>
          <w:numId w:val="49"/>
        </w:numPr>
        <w:spacing w:after="60"/>
      </w:pPr>
      <w:r>
        <w:rPr>
          <w:b/>
          <w:bCs/>
        </w:rPr>
        <w:t>Foto und Unterschrift</w:t>
      </w:r>
      <w:r>
        <w:t xml:space="preserve"> für die neue Karte erfassen lassen.</w:t>
      </w:r>
    </w:p>
    <w:p w14:paraId="70A504C5" w14:textId="77777777" w:rsidR="00C1548D" w:rsidRDefault="009B1B4B" w:rsidP="009B1B4B">
      <w:pPr>
        <w:pStyle w:val="ListParagraph"/>
        <w:numPr>
          <w:ilvl w:val="0"/>
          <w:numId w:val="49"/>
        </w:numPr>
        <w:spacing w:after="60"/>
      </w:pPr>
      <w:r>
        <w:rPr>
          <w:b/>
          <w:bCs/>
        </w:rPr>
        <w:t>Neuen Führerschein abwarten:</w:t>
      </w:r>
      <w:r>
        <w:t xml:space="preserve"> Er wird dir zugeschickt, eine vorläufige Bestätigung dient in der Zwischenzeit als Nachweis.</w:t>
      </w:r>
    </w:p>
    <w:p w14:paraId="70A504C6" w14:textId="77777777" w:rsidR="00C1548D" w:rsidRDefault="00C1548D">
      <w:pPr>
        <w:spacing w:line="120" w:lineRule="exact"/>
      </w:pPr>
    </w:p>
    <w:p w14:paraId="70A504C7" w14:textId="77777777" w:rsidR="00C1548D" w:rsidRDefault="009B1B4B">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anschließend meist innerhalb weniger Wochen per Post – spürbar zügiger, als man es von einer Behörde erwarten würde, und fast schon Grund genug, kurz misstrauisch zu werden, ob man nicht doc</w:t>
      </w:r>
      <w:r>
        <w:t>h etwas übersehen hat.</w:t>
      </w:r>
    </w:p>
    <w:p w14:paraId="70A504C8" w14:textId="77777777" w:rsidR="00C1548D" w:rsidRDefault="009B1B4B">
      <w:pPr>
        <w:pStyle w:val="Heading3"/>
        <w:keepNext/>
        <w:jc w:val="center"/>
      </w:pPr>
      <w:r>
        <w:rPr>
          <w:rFonts w:ascii="Amazon Ember" w:eastAsia="Amazon Ember" w:hAnsi="Amazon Ember" w:cs="Amazon Ember"/>
          <w:color w:val="0000FF"/>
          <w:sz w:val="36"/>
          <w:szCs w:val="36"/>
        </w:rPr>
        <w:lastRenderedPageBreak/>
        <w:t>Linksverkehr: die größte Umstellung überhaupt</w:t>
      </w:r>
    </w:p>
    <w:p w14:paraId="70A504C9" w14:textId="77777777" w:rsidR="00C1548D" w:rsidRDefault="009B1B4B">
      <w:pPr>
        <w:spacing w:after="140"/>
      </w:pPr>
      <w:r>
        <w:t>Neuseeland fährt, wie Australien, auf der linken Straßenseite mit rechtsgesteuerten Fahrzeugen –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w14:paraId="70A504CA" w14:textId="77777777" w:rsidR="00C1548D" w:rsidRDefault="009B1B4B">
      <w:pPr>
        <w:spacing w:after="140"/>
      </w:pPr>
      <w:r>
        <w:t>Konkret bedeutet das:</w:t>
      </w:r>
    </w:p>
    <w:p w14:paraId="70A504CB" w14:textId="77777777" w:rsidR="00C1548D" w:rsidRDefault="009B1B4B" w:rsidP="009B1B4B">
      <w:pPr>
        <w:pStyle w:val="ListParagraph"/>
        <w:numPr>
          <w:ilvl w:val="0"/>
          <w:numId w:val="1"/>
        </w:numPr>
        <w:spacing w:after="60"/>
      </w:pPr>
      <w:r>
        <w:t>Kreisverkehre durchfährst du im Uhrzeigersinn statt gegen ihn.</w:t>
      </w:r>
    </w:p>
    <w:p w14:paraId="70A504CC" w14:textId="77777777" w:rsidR="00C1548D" w:rsidRDefault="009B1B4B" w:rsidP="009B1B4B">
      <w:pPr>
        <w:pStyle w:val="ListParagraph"/>
        <w:numPr>
          <w:ilvl w:val="0"/>
          <w:numId w:val="1"/>
        </w:numPr>
        <w:spacing w:after="60"/>
      </w:pPr>
      <w:r>
        <w:t>Blinker- und Scheibenwischerhebel sitzen bei vielen Fahrzeugen vertauscht, weil die Fahrerposition gespiegelt ist – der erste Griff nach dem Blinker aktiviert erfahrungsgemäß erst einmal den Wischer.</w:t>
      </w:r>
    </w:p>
    <w:p w14:paraId="70A504CD" w14:textId="77777777" w:rsidR="00C1548D" w:rsidRDefault="009B1B4B" w:rsidP="009B1B4B">
      <w:pPr>
        <w:pStyle w:val="ListParagraph"/>
        <w:numPr>
          <w:ilvl w:val="0"/>
          <w:numId w:val="1"/>
        </w:numPr>
        <w:spacing w:after="60"/>
      </w:pPr>
      <w:r>
        <w:t>An Kreuzungen und beim Linksabbiegen musst du dich aktiv daran gewöhnen, zuerst nach rechts zu schauen; der Gegenverkehr kommt aus der für dich „falschen“ Richtung.</w:t>
      </w:r>
    </w:p>
    <w:p w14:paraId="70A504CE" w14:textId="77777777" w:rsidR="00C1548D" w:rsidRDefault="009B1B4B" w:rsidP="009B1B4B">
      <w:pPr>
        <w:pStyle w:val="ListParagraph"/>
        <w:numPr>
          <w:ilvl w:val="0"/>
          <w:numId w:val="1"/>
        </w:numPr>
        <w:spacing w:after="60"/>
      </w:pPr>
      <w:r>
        <w:t>Auf mehrspurigen Straßen hältst du dich grundsätzlich möglichst weit links und überholst rechts.</w:t>
      </w:r>
    </w:p>
    <w:p w14:paraId="70A504CF" w14:textId="77777777" w:rsidR="00C1548D" w:rsidRDefault="00C1548D">
      <w:pPr>
        <w:spacing w:line="120" w:lineRule="exact"/>
      </w:pPr>
    </w:p>
    <w:p w14:paraId="70A504D0" w14:textId="77777777" w:rsidR="00C1548D" w:rsidRDefault="009B1B4B">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D3"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4D1" w14:textId="77777777" w:rsidR="00C1548D" w:rsidRDefault="009B1B4B">
            <w:pPr>
              <w:keepNext/>
              <w:spacing w:after="70" w:line="240" w:lineRule="auto"/>
            </w:pPr>
            <w:r>
              <w:rPr>
                <w:b/>
                <w:bCs/>
                <w:color w:val="8A6212"/>
                <w:spacing w:val="24"/>
                <w:sz w:val="16"/>
                <w:szCs w:val="16"/>
              </w:rPr>
              <w:lastRenderedPageBreak/>
              <w:t>MERKE</w:t>
            </w:r>
          </w:p>
          <w:p w14:paraId="70A504D2" w14:textId="77777777" w:rsidR="00C1548D" w:rsidRDefault="009B1B4B">
            <w:pPr>
              <w:spacing w:after="80" w:line="264" w:lineRule="auto"/>
            </w:pPr>
            <w:r>
              <w:rPr>
                <w:sz w:val="20"/>
                <w:szCs w:val="20"/>
              </w:rPr>
              <w:t>Der Blick nach rechts vor jedem Linksabbiegen ist keine Formsache, sondern die wichtigste neue Bewegung, die du dir in Neuseeland antrainieren musst. Übe sie bewusst, bis sie automatisch wird – am besten zuerst auf ruhigen Straßen, nicht im Feierabendverkehr von Auckland.</w:t>
            </w:r>
          </w:p>
        </w:tc>
      </w:tr>
    </w:tbl>
    <w:p w14:paraId="70A504D4" w14:textId="77777777" w:rsidR="00C1548D" w:rsidRDefault="00C1548D">
      <w:pPr>
        <w:spacing w:line="220" w:lineRule="exact"/>
      </w:pPr>
    </w:p>
    <w:p w14:paraId="70A504D5" w14:textId="77777777" w:rsidR="00C1548D" w:rsidRDefault="009B1B4B">
      <w:pPr>
        <w:spacing w:after="140"/>
      </w:pPr>
      <w:r>
        <w:t xml:space="preserve">Erschwerend kommt hinzu, dass viele neuseeländische Überlandstraßen schmal, kurvig und bergig sind –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w:t>
      </w:r>
      <w:r>
        <w:t>Strecken mehr Zeit ein, als es die reine Kilometerzahl vermuten lässt, und meide nach langen Flugreisen möglichst die ersten Fahrten in der Dämmerung.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D8"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4D6" w14:textId="77777777" w:rsidR="00C1548D" w:rsidRDefault="009B1B4B">
            <w:pPr>
              <w:keepNext/>
              <w:spacing w:after="70" w:line="240" w:lineRule="auto"/>
            </w:pPr>
            <w:r>
              <w:rPr>
                <w:b/>
                <w:bCs/>
                <w:color w:val="4A5568"/>
                <w:spacing w:val="24"/>
                <w:sz w:val="16"/>
                <w:szCs w:val="16"/>
              </w:rPr>
              <w:t>PRAXISBEISPIEL · FIKTIV</w:t>
            </w:r>
          </w:p>
          <w:p w14:paraId="70A504D7" w14:textId="77777777" w:rsidR="00C1548D" w:rsidRDefault="009B1B4B">
            <w:pPr>
              <w:spacing w:after="80" w:line="264" w:lineRule="auto"/>
            </w:pPr>
            <w:r>
              <w:rPr>
                <w:sz w:val="20"/>
                <w:szCs w:val="20"/>
              </w:rPr>
              <w:t>Familie Krüger (fiktiv) holt ihren gebraucht gekauften Kombi am zweiten Wochenende in Christchurch ab. Auf der Rückfahrt sitzt Tochter Lotta, 12, hinten und ruft bei jeder Kreuzung „Papa, links bleiben!“ – halb Warnung, halb Spiel. Sebastian gewöhnt sich schneller an die Fahrbahnseite als erwartet, tappt aber zwei Wochen lang zuverlässig in dieselbe Falle: Der Blinker links gedacht, der Scheibenwischer rechts betätigt. Petra nennt es liebevoll das „Krüger’sche Scheibenwischer-Ballett“ und filmt es für die G</w:t>
            </w:r>
            <w:r>
              <w:rPr>
                <w:sz w:val="20"/>
                <w:szCs w:val="20"/>
              </w:rPr>
              <w:t>roßeltern in Rostock.</w:t>
            </w:r>
          </w:p>
        </w:tc>
      </w:tr>
    </w:tbl>
    <w:p w14:paraId="70A504D9" w14:textId="77777777" w:rsidR="00C1548D" w:rsidRDefault="00C1548D">
      <w:pPr>
        <w:spacing w:line="220" w:lineRule="exact"/>
      </w:pPr>
    </w:p>
    <w:p w14:paraId="70A504DA" w14:textId="77777777" w:rsidR="00C1548D" w:rsidRDefault="009B1B4B">
      <w:pPr>
        <w:pStyle w:val="Heading3"/>
        <w:keepNext/>
        <w:jc w:val="center"/>
      </w:pPr>
      <w:r>
        <w:rPr>
          <w:rFonts w:ascii="Amazon Ember" w:eastAsia="Amazon Ember" w:hAnsi="Amazon Ember" w:cs="Amazon Ember"/>
          <w:color w:val="0000FF"/>
          <w:sz w:val="36"/>
          <w:szCs w:val="36"/>
        </w:rPr>
        <w:t>Die „Give-Way“-Reform vom 25. März 2012</w:t>
      </w:r>
    </w:p>
    <w:p w14:paraId="70A504DB" w14:textId="77777777" w:rsidR="00C1548D" w:rsidRDefault="009B1B4B">
      <w:pPr>
        <w:spacing w:after="140"/>
      </w:pPr>
      <w:r>
        <w:t xml:space="preserve">Verbreiteter Irrtum: Manche ältere Reiseführer und langjährige Bewohner erklären dir noch die alte neuseeländische Sonderregel, </w:t>
      </w:r>
      <w:r>
        <w:lastRenderedPageBreak/>
        <w:t>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w14:paraId="70A504DC" w14:textId="77777777" w:rsidR="00C1548D" w:rsidRDefault="009B1B4B" w:rsidP="009B1B4B">
      <w:pPr>
        <w:pStyle w:val="ListParagraph"/>
        <w:numPr>
          <w:ilvl w:val="0"/>
          <w:numId w:val="50"/>
        </w:numPr>
        <w:spacing w:after="60"/>
      </w:pPr>
      <w:r>
        <w:t>Rechtsabbiegender Verkehr muss seitdem entgegenkommendem linksabbiegendem Verkehr Vorfahrt gewähren – an Kreuzungen, T-Kreuzungen und Einfahrten ohne Ampel- oder Schilderregelung.</w:t>
      </w:r>
    </w:p>
    <w:p w14:paraId="70A504DD" w14:textId="77777777" w:rsidR="00C1548D" w:rsidRDefault="009B1B4B" w:rsidP="009B1B4B">
      <w:pPr>
        <w:pStyle w:val="ListParagraph"/>
        <w:numPr>
          <w:ilvl w:val="0"/>
          <w:numId w:val="50"/>
        </w:numPr>
        <w:spacing w:after="60"/>
      </w:pPr>
      <w:r>
        <w:t>An unkontrollierten T-Kreuzungen muss der Verkehr von der endenden Straße (dem „Fuß“ des T) dem durchgehenden Verkehr auf der Straße am „Balken“ des T Vorfahrt gewähren.</w:t>
      </w:r>
    </w:p>
    <w:p w14:paraId="70A504DE" w14:textId="77777777" w:rsidR="00C1548D" w:rsidRDefault="00C1548D">
      <w:pPr>
        <w:spacing w:line="120" w:lineRule="exact"/>
      </w:pPr>
    </w:p>
    <w:p w14:paraId="70A504DF" w14:textId="77777777" w:rsidR="00C1548D" w:rsidRDefault="009B1B4B">
      <w:pPr>
        <w:spacing w:after="140"/>
      </w:pPr>
      <w:r>
        <w:t>Für dich als deutschen Neuankömmling ist das eine gute Nachricht: Die heutige Regel ähnelt im Kern dem in Deutschland vertrauten Prinzip, dass durchgehender Verkehr Vorrang vor Abbiegern und Einmündenden hat. Die historische Sonderregel vor 2012 kannst du getrost vergessen – außer, ein älterer Nachbar erklärt sie dir mit unerschütterlicher Überzeugung als aktuell gültig. Widersprich höflich, aber bestimmt.</w:t>
      </w:r>
    </w:p>
    <w:p w14:paraId="70A504E0" w14:textId="77777777" w:rsidR="00C1548D" w:rsidRDefault="009B1B4B">
      <w:pPr>
        <w:pStyle w:val="Heading3"/>
        <w:keepNext/>
        <w:jc w:val="center"/>
      </w:pPr>
      <w:r>
        <w:rPr>
          <w:rFonts w:ascii="Amazon Ember" w:eastAsia="Amazon Ember" w:hAnsi="Amazon Ember" w:cs="Amazon Ember"/>
          <w:color w:val="0000FF"/>
          <w:sz w:val="36"/>
          <w:szCs w:val="36"/>
        </w:rPr>
        <w:t>Tempolimits: Kilometer statt Meilen</w:t>
      </w:r>
    </w:p>
    <w:p w14:paraId="70A504E1" w14:textId="77777777" w:rsidR="00C1548D" w:rsidRDefault="009B1B4B">
      <w:pPr>
        <w:spacing w:after="140"/>
      </w:pPr>
      <w:r>
        <w:t xml:space="preserve">Neuseeland misst Geschwindigkeit, anders als du es vielleicht aus manchen Reiseberichten über die USA kennst, durchgehend in km/h – hier gibt es also keine Umrechnung zu üben. Außerorts, auf der sogenannten </w:t>
      </w:r>
      <w:r>
        <w:rPr>
          <w:i/>
          <w:iCs/>
        </w:rPr>
        <w:t>Open Road</w:t>
      </w:r>
      <w:r>
        <w:t>, gilt als Standard 100 km/h, auf einzelnen Motorway-Abschnitten bis zu 110 km/h für Pkw und Motorräder ohne Anhänger. Innerorts liegt das Standardtempo bei 50 km/h.</w:t>
      </w:r>
    </w:p>
    <w:p w14:paraId="70A504E2" w14:textId="77777777" w:rsidR="00C1548D" w:rsidRDefault="009B1B4B">
      <w:pPr>
        <w:spacing w:after="140"/>
      </w:pPr>
      <w:r>
        <w:t xml:space="preserve">Seit einer neuen Regel („Setting of Speed Limits 2024“, unterzeichnet am 28. September 2024) gilt zusätzlich: Alle lokalen Straßen vor Schulen müssen bis zum 1. Juli 2026 ein variables 30-km/h-Limit erhalten, meist auf die Bring- und Abholzeiten begrenzt. Städtische </w:t>
      </w:r>
      <w:r>
        <w:lastRenderedPageBreak/>
        <w:t>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w14:paraId="70A504E3" w14:textId="77777777" w:rsidR="00C1548D" w:rsidRDefault="009B1B4B">
      <w:pPr>
        <w:pStyle w:val="Heading3"/>
        <w:keepNext/>
        <w:jc w:val="center"/>
      </w:pPr>
      <w:r>
        <w:rPr>
          <w:rFonts w:ascii="Amazon Ember" w:eastAsia="Amazon Ember" w:hAnsi="Amazon Ember" w:cs="Amazon Ember"/>
          <w:color w:val="0000FF"/>
          <w:sz w:val="36"/>
          <w:szCs w:val="36"/>
        </w:rPr>
        <w:t>Unbefestigte Straßen und Ein-Spur-Brücken</w:t>
      </w:r>
    </w:p>
    <w:p w14:paraId="70A504E4" w14:textId="77777777" w:rsidR="00C1548D" w:rsidRDefault="009B1B4B">
      <w:pPr>
        <w:spacing w:after="140"/>
      </w:pPr>
      <w:r>
        <w:t>Verbreiteter Irrtum: Wer sich Neuseeland als durchgängig asphaltiertes Straßennetz nach deutschem Vorbild vorstellt, irrt gründlich. Tatsächlich sind rund 39 % des lokalen Straßennetzes unbefestigt oder aus Schotter (etwa 31.400 km); in ländlichen Regionen wie Central Otago liegt der Anteil bei bis zu 74 %. Viele Mietwagenverträge schließen unbefestigte Straßen ausdrücklich von der Versicherung aus – lies das Kleingedruckte, bevor du für einen Ausflug auf der Südinsel den vermeintlich kürzesten Weg über ein</w:t>
      </w:r>
      <w:r>
        <w:t>e Schotterpiste wählst.</w:t>
      </w:r>
    </w:p>
    <w:p w14:paraId="70A504E5" w14:textId="77777777" w:rsidR="00C1548D" w:rsidRDefault="009B1B4B">
      <w:pPr>
        <w:spacing w:after="140"/>
      </w:pPr>
      <w:r>
        <w:t>Ebenso alltäglich sind einspurige Brücken (</w:t>
      </w:r>
      <w:r>
        <w:rPr>
          <w:i/>
          <w:iCs/>
        </w:rPr>
        <w:t>One-Lane Bridges</w:t>
      </w:r>
      <w:r>
        <w:t>),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 du fährst erst auf, wenn die Brü</w:t>
      </w:r>
      <w:r>
        <w:t>cke wieder frei ist.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E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4E6" w14:textId="77777777" w:rsidR="00C1548D" w:rsidRDefault="009B1B4B">
            <w:pPr>
              <w:keepNext/>
              <w:spacing w:after="70" w:line="240" w:lineRule="auto"/>
            </w:pPr>
            <w:r>
              <w:rPr>
                <w:b/>
                <w:bCs/>
                <w:color w:val="9B2C2C"/>
                <w:spacing w:val="24"/>
                <w:sz w:val="16"/>
                <w:szCs w:val="16"/>
              </w:rPr>
              <w:lastRenderedPageBreak/>
              <w:t>ACHTUNG</w:t>
            </w:r>
          </w:p>
          <w:p w14:paraId="70A504E7" w14:textId="77777777" w:rsidR="00C1548D" w:rsidRDefault="009B1B4B">
            <w:pPr>
              <w:spacing w:after="80" w:line="264" w:lineRule="auto"/>
            </w:pPr>
            <w:r>
              <w:rPr>
                <w:sz w:val="20"/>
                <w:szCs w:val="20"/>
              </w:rPr>
              <w:t>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 ein Steinschlagschaden auf einer nicht versicherten Piste geht sonst komplett zu deinen Lasten.</w:t>
            </w:r>
          </w:p>
        </w:tc>
      </w:tr>
    </w:tbl>
    <w:p w14:paraId="70A504E9"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EC"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4EA" w14:textId="77777777" w:rsidR="00C1548D" w:rsidRDefault="009B1B4B">
            <w:pPr>
              <w:keepNext/>
              <w:spacing w:after="70" w:line="240" w:lineRule="auto"/>
            </w:pPr>
            <w:r>
              <w:rPr>
                <w:b/>
                <w:bCs/>
                <w:color w:val="4A5568"/>
                <w:spacing w:val="24"/>
                <w:sz w:val="16"/>
                <w:szCs w:val="16"/>
              </w:rPr>
              <w:t>PRAXISBEISPIEL · FIKTIV</w:t>
            </w:r>
          </w:p>
          <w:p w14:paraId="70A504EB" w14:textId="77777777" w:rsidR="00C1548D" w:rsidRDefault="009B1B4B">
            <w:pPr>
              <w:spacing w:after="80" w:line="264" w:lineRule="auto"/>
            </w:pPr>
            <w:r>
              <w:rPr>
                <w:sz w:val="20"/>
                <w:szCs w:val="20"/>
              </w:rPr>
              <w:t>Paul Lindner (fiktiv) fährt an einem Wochenende von Auckland aus zu einer Wanderung im Landesinneren und steht plötzlich vor einer einspurigen Brücke mit rundem, rot umrandetem Schild. Er hält an, obwohl kein Gegenverkehr zu sehen ist, wartet einen Moment zu lange und wird von einem geduldigen Ortsansässigen mit knappem Winken durchgewunken – die neuseeländische Version von „jetzt fahr doch endlich“. Auf dem Rückweg nimmt er testweise eine Schotterstraße, merkt nach 200 Metern, wie das Heck des Mietwagens l</w:t>
            </w:r>
            <w:r>
              <w:rPr>
                <w:sz w:val="20"/>
                <w:szCs w:val="20"/>
              </w:rPr>
              <w:t>eicht ausbricht, und kehrt vorsichtiger um, als er gekommen ist.</w:t>
            </w:r>
          </w:p>
        </w:tc>
      </w:tr>
    </w:tbl>
    <w:p w14:paraId="70A504ED" w14:textId="77777777" w:rsidR="00C1548D" w:rsidRDefault="00C1548D">
      <w:pPr>
        <w:spacing w:line="220" w:lineRule="exact"/>
      </w:pPr>
    </w:p>
    <w:p w14:paraId="70A504EE" w14:textId="77777777" w:rsidR="00C1548D" w:rsidRDefault="009B1B4B">
      <w:pPr>
        <w:pStyle w:val="Heading3"/>
        <w:keepNext/>
        <w:jc w:val="center"/>
      </w:pPr>
      <w:r>
        <w:rPr>
          <w:rFonts w:ascii="Amazon Ember" w:eastAsia="Amazon Ember" w:hAnsi="Amazon Ember" w:cs="Amazon Ember"/>
          <w:color w:val="0000FF"/>
          <w:sz w:val="36"/>
          <w:szCs w:val="36"/>
        </w:rPr>
        <w:t>Alkohol und Handy am Steuer</w:t>
      </w:r>
    </w:p>
    <w:p w14:paraId="70A504EF" w14:textId="77777777" w:rsidR="00C1548D" w:rsidRDefault="009B1B4B">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Entscheidend ist damit – anders als in Deutschland, wo die Probezeit über den Nullwert entscheidet –</w:t>
      </w:r>
      <w:r>
        <w:t xml:space="preserve"> allein das Lebensalter, nicht die Art des Führerscheins.</w:t>
      </w:r>
    </w:p>
    <w:p w14:paraId="70A504F0" w14:textId="77777777" w:rsidR="00C1548D" w:rsidRDefault="009B1B4B">
      <w:pPr>
        <w:spacing w:after="140"/>
      </w:pPr>
      <w:r>
        <w:t xml:space="preserve">Beim Telefon ist die Regel strenger, als mancher erwartet: Verboten ist jedes Halten oder Bedienen des Mobiltelefons während der Fahrt, einschließlich Telefonieren, Schreiben, Scrollen oder Festhalten zur Navigation. Ein Verstoß kostet 150 NZD Bußgeld und 20 </w:t>
      </w:r>
      <w:r>
        <w:lastRenderedPageBreak/>
        <w:t xml:space="preserve">Demeritpunkte; wer innerhalb von 2 Jahren 100 Punkte sammelt, riskiert eine dreimonatige Führerscheinsperre. Lern- und </w:t>
      </w:r>
      <w:r>
        <w:rPr>
          <w:i/>
          <w:iCs/>
        </w:rPr>
        <w:t>Restricted</w:t>
      </w:r>
      <w:r>
        <w:t>-Fahrer (die neuseeländischen Zwischenstufen des Führerscheins) dürfen das Telefon während der Fahrt überhaupt nicht nutzen, auch nicht freihändig über eine Halterung.</w:t>
      </w:r>
    </w:p>
    <w:p w14:paraId="70A504F1" w14:textId="77777777" w:rsidR="00C1548D" w:rsidRDefault="009B1B4B">
      <w:pPr>
        <w:pStyle w:val="Heading3"/>
        <w:keepNext/>
        <w:jc w:val="center"/>
      </w:pPr>
      <w:r>
        <w:rPr>
          <w:rFonts w:ascii="Amazon Ember" w:eastAsia="Amazon Ember" w:hAnsi="Amazon Ember" w:cs="Amazon Ember"/>
          <w:color w:val="0000FF"/>
          <w:sz w:val="36"/>
          <w:szCs w:val="36"/>
        </w:rPr>
        <w:t>Autokauf und Kfz-Versicherung</w:t>
      </w:r>
    </w:p>
    <w:p w14:paraId="70A504F2" w14:textId="77777777" w:rsidR="00C1548D" w:rsidRDefault="009B1B4B">
      <w:pPr>
        <w:spacing w:after="140"/>
      </w:pPr>
      <w:r>
        <w:t xml:space="preserve">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t>
      </w:r>
      <w:r>
        <w:rPr>
          <w:i/>
          <w:iCs/>
        </w:rPr>
        <w:t>Warrant of Fitness</w:t>
      </w:r>
      <w:r>
        <w:t xml:space="preserve"> (WoF, das neuseeländische Pendant zum TÜV), das bei Verkauf höchstens 1 Monat alt sein darf. Bei Privatkäufen gilt dagegen „buyer beware“ – anders als beim Händlerkauf gibt es keine gesetzlichen Verbraucherschutzrechte. Nach dem Kauf müssen Käufer und Verkäufer den Eigentümerwechsel unmittelbar online bei der NZTA melden; das erledigst du in wenigen Minuten am Rechner, nicht auf einem Amt mit Wartenummer.</w:t>
      </w:r>
    </w:p>
    <w:p w14:paraId="70A504F3" w14:textId="77777777" w:rsidR="00C1548D" w:rsidRDefault="009B1B4B">
      <w:pPr>
        <w:spacing w:after="140"/>
      </w:pPr>
      <w:r>
        <w:t>Bei der Versicherung lohnt sich ein bewusster Vergleich: Eine durchschnittliche Vollkaskoprämie kostete 2026 rund 1.311 NZD im Jahr (109 NZD im Monat) – ein Anstieg von 56 % seit 2022. Reine Teilkasko- oder Haftpflichtdeckung (</w:t>
      </w:r>
      <w:r>
        <w:rPr>
          <w:i/>
          <w:iCs/>
        </w:rPr>
        <w:t>Third Party</w:t>
      </w:r>
      <w:r>
        <w:t>) ist mit rund 200 bis 475 NZD im Jahr deutlich günstiger; laut Vergleichsportalen senkt der Wechsel von Vollkasko auf Teilkasko die Prämie um 40 bis 60 %.</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4F6"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4F4" w14:textId="77777777" w:rsidR="00C1548D" w:rsidRDefault="009B1B4B">
            <w:pPr>
              <w:keepNext/>
              <w:spacing w:after="70" w:line="240" w:lineRule="auto"/>
            </w:pPr>
            <w:r>
              <w:rPr>
                <w:b/>
                <w:bCs/>
                <w:color w:val="2F6B3B"/>
                <w:spacing w:val="24"/>
                <w:sz w:val="16"/>
                <w:szCs w:val="16"/>
              </w:rPr>
              <w:lastRenderedPageBreak/>
              <w:t>SPARTIPP</w:t>
            </w:r>
          </w:p>
          <w:p w14:paraId="70A504F5" w14:textId="77777777" w:rsidR="00C1548D" w:rsidRDefault="009B1B4B">
            <w:pPr>
              <w:spacing w:after="80" w:line="264" w:lineRule="auto"/>
            </w:pPr>
            <w:r>
              <w:rPr>
                <w:sz w:val="20"/>
                <w:szCs w:val="20"/>
              </w:rPr>
              <w:t>Prüfe vor Vertragsabschluss ehrlich, ob du bei einem älteren Gebrauchtwagen wirklich eine Vollkaskodeckung brauchst. Bei Fahrzeugen mit geringem Zeitwert gleicht die Ersparnis bei der Teilkasko einen Totalschaden oft schneller aus, als es die höhere Prämie je könnte.</w:t>
            </w:r>
          </w:p>
        </w:tc>
      </w:tr>
    </w:tbl>
    <w:p w14:paraId="70A504F7" w14:textId="77777777" w:rsidR="00C1548D" w:rsidRDefault="00C1548D">
      <w:pPr>
        <w:spacing w:line="220" w:lineRule="exact"/>
      </w:pPr>
    </w:p>
    <w:p w14:paraId="70A504F8" w14:textId="77777777" w:rsidR="00C1548D" w:rsidRDefault="009B1B4B">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w:t>
      </w:r>
      <w:r>
        <w:t>in schriftlicher Kaufvertrag mit Kilometerstand, Preis und Datum schützt beide Seiten, auch wenn er in Neuseeland nicht zwingend vorgeschrieben ist.</w:t>
      </w:r>
    </w:p>
    <w:p w14:paraId="70A504F9" w14:textId="77777777" w:rsidR="00C1548D" w:rsidRDefault="009B1B4B">
      <w:pPr>
        <w:pStyle w:val="Heading3"/>
        <w:keepNext/>
        <w:jc w:val="center"/>
      </w:pPr>
      <w:r>
        <w:rPr>
          <w:rFonts w:ascii="Amazon Ember" w:eastAsia="Amazon Ember" w:hAnsi="Amazon Ember" w:cs="Amazon Ember"/>
          <w:color w:val="0000FF"/>
          <w:sz w:val="36"/>
          <w:szCs w:val="36"/>
        </w:rPr>
        <w:t>Geschwindigkeitskameras und die Sache mit den Neuankömmlingen</w:t>
      </w:r>
    </w:p>
    <w:p w14:paraId="70A504FA" w14:textId="77777777" w:rsidR="00C1548D" w:rsidRDefault="009B1B4B">
      <w:pPr>
        <w:spacing w:after="140"/>
      </w:pPr>
      <w:r>
        <w:t>Seit dem 1. Juli 2025 liegt die Verantwortung für das gesamte „Safety Camera“-Netz nicht mehr bei der Polizei, sondern bei der NZTA; aktuell sind es rund 65 feste und 34 mobile Kameras, mit geplantem Ausbau auf rund 200 Kameras bis 2027. Mobile Einheiten arbeiten unmarkiert und landesweit, ganz bewusst als generalpräventive Maßnahme nach dem Motto „könnte jederzeit, überall sein“.</w:t>
      </w:r>
    </w:p>
    <w:p w14:paraId="70A504FB" w14:textId="77777777" w:rsidR="00C1548D" w:rsidRDefault="009B1B4B">
      <w:pPr>
        <w:spacing w:after="140"/>
      </w:pPr>
      <w:r>
        <w:t xml:space="preserve">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w:t>
      </w:r>
      <w:r>
        <w:lastRenderedPageBreak/>
        <w:t>Personenschaden im Land, verursachten Fahrer mit ausländischer Lizenz insgesamt nur rund 6,2 % davon – neuseeländische Fahrer selbst sind an mehr Unfällen beteiligt als Besucher. Die kursierende Meldung, wonach 97 % internationaler Fahrer einen informellen Theorietest-Quiz nicht bestanden hätten, ist eine einzelne Medienmeldung, keine amtliche Statistik – unterhaltsam, aber kein Grund zur Panik.</w:t>
      </w:r>
    </w:p>
    <w:p w14:paraId="70A504FC"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4FF"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4FD"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4FE" w14:textId="77777777" w:rsidR="00C1548D" w:rsidRDefault="009B1B4B">
            <w:pPr>
              <w:spacing w:line="250" w:lineRule="auto"/>
            </w:pPr>
            <w:r>
              <w:rPr>
                <w:b/>
                <w:bCs/>
                <w:sz w:val="18"/>
                <w:szCs w:val="18"/>
              </w:rPr>
              <w:t>Minus</w:t>
            </w:r>
          </w:p>
        </w:tc>
      </w:tr>
      <w:tr w:rsidR="00C1548D" w14:paraId="70A5050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00" w14:textId="77777777" w:rsidR="00C1548D" w:rsidRDefault="009B1B4B">
            <w:pPr>
              <w:spacing w:line="250" w:lineRule="auto"/>
            </w:pPr>
            <w:r>
              <w:rPr>
                <w:sz w:val="18"/>
                <w:szCs w:val="18"/>
              </w:rPr>
              <w:t>Deutschland ist „exempt country“: Umtausch ohne Prüfung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01" w14:textId="77777777" w:rsidR="00C1548D" w:rsidRDefault="009B1B4B">
            <w:pPr>
              <w:spacing w:line="250" w:lineRule="auto"/>
            </w:pPr>
            <w:r>
              <w:rPr>
                <w:sz w:val="18"/>
                <w:szCs w:val="18"/>
              </w:rPr>
              <w:t>Übergangsfristen (12 oder 18 Monate) ändern sich und sind unklar terminiert</w:t>
            </w:r>
          </w:p>
        </w:tc>
      </w:tr>
      <w:tr w:rsidR="00C1548D" w14:paraId="70A5050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03" w14:textId="77777777" w:rsidR="00C1548D" w:rsidRDefault="009B1B4B">
            <w:pPr>
              <w:spacing w:line="250" w:lineRule="auto"/>
            </w:pPr>
            <w:r>
              <w:rPr>
                <w:sz w:val="18"/>
                <w:szCs w:val="18"/>
              </w:rPr>
              <w:t>Die neue Give-Way-Regel ähnelt der deutschen Vorfahrtslogik</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04" w14:textId="77777777" w:rsidR="00C1548D" w:rsidRDefault="009B1B4B">
            <w:pPr>
              <w:spacing w:line="250" w:lineRule="auto"/>
            </w:pPr>
            <w:r>
              <w:rPr>
                <w:sz w:val="18"/>
                <w:szCs w:val="18"/>
              </w:rPr>
              <w:t>Linksverkehr ist die größte motorische Umstellung des ganzen Umzugs</w:t>
            </w:r>
          </w:p>
        </w:tc>
      </w:tr>
      <w:tr w:rsidR="00C1548D" w14:paraId="70A5050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06" w14:textId="77777777" w:rsidR="00C1548D" w:rsidRDefault="009B1B4B">
            <w:pPr>
              <w:spacing w:line="250" w:lineRule="auto"/>
            </w:pPr>
            <w:r>
              <w:rPr>
                <w:sz w:val="18"/>
                <w:szCs w:val="18"/>
              </w:rPr>
              <w:t>Landschaftlich reizvolle Nebenstraßen und Ein-Spur-Brücken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07" w14:textId="77777777" w:rsidR="00C1548D" w:rsidRDefault="009B1B4B">
            <w:pPr>
              <w:spacing w:line="250" w:lineRule="auto"/>
            </w:pPr>
            <w:r>
              <w:rPr>
                <w:sz w:val="18"/>
                <w:szCs w:val="18"/>
              </w:rPr>
              <w:t>Unbefestigte Straßen sind oft von der Mietwagenversicherung ausgeschlossen</w:t>
            </w:r>
          </w:p>
        </w:tc>
      </w:tr>
      <w:tr w:rsidR="00C1548D" w14:paraId="70A5050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09" w14:textId="77777777" w:rsidR="00C1548D" w:rsidRDefault="009B1B4B">
            <w:pPr>
              <w:spacing w:line="250" w:lineRule="auto"/>
            </w:pPr>
            <w:r>
              <w:rPr>
                <w:sz w:val="18"/>
                <w:szCs w:val="18"/>
              </w:rPr>
              <w:t>Alkoholgrenze (0,05 %) entspricht etwa der deutschen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0A" w14:textId="77777777" w:rsidR="00C1548D" w:rsidRDefault="009B1B4B">
            <w:pPr>
              <w:spacing w:line="250" w:lineRule="auto"/>
            </w:pPr>
            <w:r>
              <w:rPr>
                <w:sz w:val="18"/>
                <w:szCs w:val="18"/>
              </w:rPr>
              <w:t>Kfz-Versicherung ist seit 2022 deutlich teurer geworden (plus 56 %)</w:t>
            </w:r>
          </w:p>
        </w:tc>
      </w:tr>
      <w:tr w:rsidR="00C1548D" w14:paraId="70A5050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0C" w14:textId="77777777" w:rsidR="00C1548D" w:rsidRDefault="009B1B4B">
            <w:pPr>
              <w:spacing w:line="250" w:lineRule="auto"/>
            </w:pPr>
            <w:r>
              <w:rPr>
                <w:sz w:val="18"/>
                <w:szCs w:val="18"/>
              </w:rPr>
              <w:t>Eigentümerwechsel läuft unbürokratisch online über die NZTA</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0D" w14:textId="77777777" w:rsidR="00C1548D" w:rsidRDefault="009B1B4B">
            <w:pPr>
              <w:spacing w:line="250" w:lineRule="auto"/>
            </w:pPr>
            <w:r>
              <w:rPr>
                <w:sz w:val="18"/>
                <w:szCs w:val="18"/>
              </w:rPr>
              <w:t>Handyverbot am Steuer wird mit Kamerapräsenz konsequent verfolgt</w:t>
            </w:r>
          </w:p>
        </w:tc>
      </w:tr>
    </w:tbl>
    <w:p w14:paraId="70A5050F" w14:textId="77777777" w:rsidR="00C1548D" w:rsidRDefault="00C1548D">
      <w:pPr>
        <w:spacing w:line="180" w:lineRule="exact"/>
      </w:pPr>
    </w:p>
    <w:p w14:paraId="70A50510"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511" w14:textId="77777777" w:rsidR="00C1548D" w:rsidRDefault="009B1B4B" w:rsidP="009B1B4B">
      <w:pPr>
        <w:pStyle w:val="ListParagraph"/>
        <w:numPr>
          <w:ilvl w:val="0"/>
          <w:numId w:val="51"/>
        </w:numPr>
        <w:spacing w:after="60"/>
      </w:pPr>
      <w:r>
        <w:t>Vor dem Abflug: englische Übersetzung des Führerscheins und Nachweis des Ausstellungsdatums klären.</w:t>
      </w:r>
    </w:p>
    <w:p w14:paraId="70A50512" w14:textId="77777777" w:rsidR="00C1548D" w:rsidRDefault="009B1B4B" w:rsidP="009B1B4B">
      <w:pPr>
        <w:pStyle w:val="ListParagraph"/>
        <w:numPr>
          <w:ilvl w:val="0"/>
          <w:numId w:val="51"/>
        </w:numPr>
        <w:spacing w:after="60"/>
      </w:pPr>
      <w:r>
        <w:t>In den ersten Wochen: Umtauschtermin bei einer autorisierten Stelle (z. B. AA) buchen, bevor die Übergangsfrist näher rückt.</w:t>
      </w:r>
    </w:p>
    <w:p w14:paraId="70A50513" w14:textId="77777777" w:rsidR="00C1548D" w:rsidRDefault="009B1B4B" w:rsidP="009B1B4B">
      <w:pPr>
        <w:pStyle w:val="ListParagraph"/>
        <w:numPr>
          <w:ilvl w:val="0"/>
          <w:numId w:val="51"/>
        </w:numPr>
        <w:spacing w:after="60"/>
      </w:pPr>
      <w:r>
        <w:t>Vor dem Autokauf: WoF und Fahrzeughistorie prüfen, mehrere Versicherungsangebote (Voll- und Teilkasko) vergleichen.</w:t>
      </w:r>
    </w:p>
    <w:p w14:paraId="70A50514" w14:textId="77777777" w:rsidR="00C1548D" w:rsidRDefault="009B1B4B" w:rsidP="009B1B4B">
      <w:pPr>
        <w:pStyle w:val="ListParagraph"/>
        <w:numPr>
          <w:ilvl w:val="0"/>
          <w:numId w:val="51"/>
        </w:numPr>
        <w:spacing w:after="60"/>
      </w:pPr>
      <w:r>
        <w:t>Ab dem ersten Fahrversuch: bewusst den Blick nach rechts beim Abbiegen üben, am besten zuerst auf ruhigen Straßen.</w:t>
      </w:r>
    </w:p>
    <w:p w14:paraId="70A5051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21"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516" w14:textId="77777777" w:rsidR="00C1548D" w:rsidRDefault="009B1B4B">
            <w:pPr>
              <w:keepNext/>
              <w:spacing w:after="70" w:line="240" w:lineRule="auto"/>
            </w:pPr>
            <w:r>
              <w:rPr>
                <w:b/>
                <w:bCs/>
                <w:color w:val="1F6F78"/>
                <w:spacing w:val="24"/>
                <w:sz w:val="16"/>
                <w:szCs w:val="16"/>
              </w:rPr>
              <w:lastRenderedPageBreak/>
              <w:t>CHECKLISTE</w:t>
            </w:r>
          </w:p>
          <w:p w14:paraId="70A5051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Englische Übersetzung des deutschen Führerscheins besorgt</w:t>
            </w:r>
          </w:p>
          <w:p w14:paraId="70A5051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Ausstellungsdatum (älter als 2 Jahre) eindeutig nachweisbar</w:t>
            </w:r>
          </w:p>
          <w:p w14:paraId="70A5051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Aktuelle Übergangsfrist (12 oder 18 Monate) bei der NZTA gegengeprüft</w:t>
            </w:r>
          </w:p>
          <w:p w14:paraId="70A5051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Termin für den Umtausch bei einer autorisierten Stelle (z. B. AA) gebucht</w:t>
            </w:r>
          </w:p>
          <w:p w14:paraId="70A5051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Mietwagen- oder Kfz-Versicherung auf Ausschluss unbefestigter Straßen geprüft</w:t>
            </w:r>
          </w:p>
          <w:p w14:paraId="70A5051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Fahrzeughistorie und WoF vor dem Autokauf kontrolliert</w:t>
            </w:r>
          </w:p>
          <w:p w14:paraId="70A5051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Mindestens zwei Versicherungsangebote (Voll- und Teilkasko) verglichen</w:t>
            </w:r>
          </w:p>
          <w:p w14:paraId="70A5051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Eigentümerwechsel nach dem Kauf sofort online bei der NZTA gemeldet</w:t>
            </w:r>
          </w:p>
          <w:p w14:paraId="70A5051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Ein-Spur-Brücken-Beschilderung (Warndreieck, Vorfahrt-, eigenes Vorfahrtsschild) verinnerlicht</w:t>
            </w:r>
          </w:p>
          <w:p w14:paraId="70A5052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Bewusst geübt: erst nach rechts schauen, dann links abbiegen</w:t>
            </w:r>
          </w:p>
        </w:tc>
      </w:tr>
    </w:tbl>
    <w:p w14:paraId="70A50522" w14:textId="77777777" w:rsidR="00C1548D" w:rsidRDefault="00C1548D">
      <w:pPr>
        <w:spacing w:line="220" w:lineRule="exact"/>
      </w:pPr>
    </w:p>
    <w:p w14:paraId="70A50523"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524" w14:textId="6669EDA8" w:rsidR="00C1548D" w:rsidRDefault="009B1B4B" w:rsidP="009B1B4B">
      <w:pPr>
        <w:pStyle w:val="ListParagraph"/>
        <w:numPr>
          <w:ilvl w:val="0"/>
          <w:numId w:val="1"/>
        </w:numPr>
        <w:spacing w:after="60"/>
      </w:pPr>
      <w:r>
        <w:t>NZ Transport Agency Waka Kotahi (NZTA) — Führerschein-Umtausch, Verkehrsregeln, Geschwindigkeitskameras (</w:t>
      </w:r>
      <w:hyperlink r:id="rId656" w:history="1">
        <w:r>
          <w:rPr>
            <w:color w:val="0563C1"/>
            <w:u w:val="single"/>
          </w:rPr>
          <w:t>nzta.govt.nz</w:t>
        </w:r>
      </w:hyperlink>
      <w:r>
        <w:t>)</w:t>
      </w:r>
    </w:p>
    <w:p w14:paraId="70A50525" w14:textId="0DBB978A" w:rsidR="00C1548D" w:rsidRDefault="009B1B4B" w:rsidP="009B1B4B">
      <w:pPr>
        <w:pStyle w:val="ListParagraph"/>
        <w:numPr>
          <w:ilvl w:val="0"/>
          <w:numId w:val="1"/>
        </w:numPr>
        <w:spacing w:after="60"/>
      </w:pPr>
      <w:r>
        <w:t>Automobile Association (AA) — Fahrzeugkauf, -prüfung und Umtauschstellen (</w:t>
      </w:r>
      <w:hyperlink r:id="rId657" w:history="1">
        <w:r>
          <w:rPr>
            <w:color w:val="0563C1"/>
            <w:u w:val="single"/>
          </w:rPr>
          <w:t>aa.co.nz</w:t>
        </w:r>
      </w:hyperlink>
      <w:r>
        <w:t>)</w:t>
      </w:r>
    </w:p>
    <w:p w14:paraId="70A50526" w14:textId="5BB3CFBB" w:rsidR="00C1548D" w:rsidRDefault="009B1B4B" w:rsidP="009B1B4B">
      <w:pPr>
        <w:pStyle w:val="ListParagraph"/>
        <w:numPr>
          <w:ilvl w:val="0"/>
          <w:numId w:val="1"/>
        </w:numPr>
        <w:spacing w:after="60"/>
      </w:pPr>
      <w:r>
        <w:t>Ministry of Transport — Alkoholgrenzwerte und Verkehrssicherheit (</w:t>
      </w:r>
      <w:hyperlink r:id="rId658" w:history="1">
        <w:r>
          <w:rPr>
            <w:color w:val="0563C1"/>
            <w:u w:val="single"/>
          </w:rPr>
          <w:t>transport.govt.nz</w:t>
        </w:r>
      </w:hyperlink>
      <w:r>
        <w:t>)</w:t>
      </w:r>
    </w:p>
    <w:p w14:paraId="70A50527" w14:textId="3A43916E" w:rsidR="00C1548D" w:rsidRDefault="009B1B4B" w:rsidP="009B1B4B">
      <w:pPr>
        <w:pStyle w:val="ListParagraph"/>
        <w:numPr>
          <w:ilvl w:val="0"/>
          <w:numId w:val="1"/>
        </w:numPr>
        <w:spacing w:after="60"/>
      </w:pPr>
      <w:r>
        <w:t>Consumer Protection, MBIE — Rechte beim Fahrzeugkauf (</w:t>
      </w:r>
      <w:hyperlink r:id="rId659" w:history="1">
        <w:r>
          <w:rPr>
            <w:color w:val="0563C1"/>
            <w:u w:val="single"/>
          </w:rPr>
          <w:t>consumerprotection.govt.nz</w:t>
        </w:r>
      </w:hyperlink>
      <w:r>
        <w:t>)</w:t>
      </w:r>
    </w:p>
    <w:p w14:paraId="70A50528" w14:textId="206B7A0F" w:rsidR="00C1548D" w:rsidRDefault="009B1B4B" w:rsidP="009B1B4B">
      <w:pPr>
        <w:pStyle w:val="ListParagraph"/>
        <w:numPr>
          <w:ilvl w:val="0"/>
          <w:numId w:val="1"/>
        </w:numPr>
        <w:spacing w:after="60"/>
      </w:pPr>
      <w:r>
        <w:t>New Zealand Police — Verkehrsregeln, Bußgelder, Demeritpunkte (</w:t>
      </w:r>
      <w:hyperlink r:id="rId660" w:history="1">
        <w:r>
          <w:rPr>
            <w:color w:val="0563C1"/>
            <w:u w:val="single"/>
          </w:rPr>
          <w:t>police.govt.nz</w:t>
        </w:r>
      </w:hyperlink>
      <w:r>
        <w:t>)</w:t>
      </w:r>
    </w:p>
    <w:p w14:paraId="70A50529"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2C"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52A" w14:textId="77777777" w:rsidR="00C1548D" w:rsidRDefault="009B1B4B">
            <w:pPr>
              <w:keepNext/>
              <w:spacing w:after="70" w:line="240" w:lineRule="auto"/>
            </w:pPr>
            <w:r>
              <w:rPr>
                <w:b/>
                <w:bCs/>
                <w:color w:val="6B7280"/>
                <w:spacing w:val="24"/>
                <w:sz w:val="16"/>
                <w:szCs w:val="16"/>
              </w:rPr>
              <w:lastRenderedPageBreak/>
              <w:t>STAND</w:t>
            </w:r>
          </w:p>
          <w:p w14:paraId="70A5052B" w14:textId="77777777" w:rsidR="00C1548D" w:rsidRDefault="009B1B4B">
            <w:pPr>
              <w:spacing w:after="80" w:line="264" w:lineRule="auto"/>
            </w:pPr>
            <w:r>
              <w:rPr>
                <w:sz w:val="20"/>
                <w:szCs w:val="20"/>
              </w:rPr>
              <w:t>September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p>
        </w:tc>
      </w:tr>
    </w:tbl>
    <w:p w14:paraId="70A5052D" w14:textId="77777777" w:rsidR="00C1548D" w:rsidRDefault="00C1548D">
      <w:pPr>
        <w:spacing w:line="220" w:lineRule="exact"/>
      </w:pPr>
    </w:p>
    <w:p w14:paraId="70A5052E" w14:textId="77777777" w:rsidR="00C1548D" w:rsidRDefault="009B1B4B">
      <w:pPr>
        <w:pStyle w:val="Heading2"/>
        <w:keepNext/>
        <w:pageBreakBefore/>
        <w:jc w:val="center"/>
      </w:pPr>
      <w:bookmarkStart w:id="188" w:name="tnz11"/>
      <w:bookmarkStart w:id="189" w:name="_Toc241352546"/>
      <w:r>
        <w:rPr>
          <w:rFonts w:ascii="Amazon Ember" w:eastAsia="Amazon Ember" w:hAnsi="Amazon Ember" w:cs="Amazon Ember"/>
          <w:color w:val="0000FF"/>
          <w:sz w:val="36"/>
          <w:szCs w:val="36"/>
        </w:rPr>
        <w:lastRenderedPageBreak/>
        <w:t>Neuseeland: Alltagskultur und Umgangsformen</w:t>
      </w:r>
      <w:bookmarkEnd w:id="188"/>
      <w:bookmarkEnd w:id="189"/>
    </w:p>
    <w:p w14:paraId="70A5052F" w14:textId="77777777" w:rsidR="00C1548D" w:rsidRDefault="009B1B4B">
      <w:pPr>
        <w:spacing w:after="140"/>
      </w:pPr>
      <w:r>
        <w:t>Am ersten Arbeitstag begrüßt dich die Geschäftsführerin mit einem lockeren „Kia ora – nice to meet you“ und spricht dich vom ersten Satz an mit deinem Vornamen an: keine Krawatte, kein förmlicher Nachname. Du suchst instinktiv nach der unsichtbaren Hierarchie im Raum – und findest sie erst, als dir auffällt, dass die Chefin bei Besprechungen genauso am Konferenztisch sitzt wie alle anderen und ihren Kaffee selbst holt. Willkommen in einem der informellsten Länder der westlichen Welt.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36"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530" w14:textId="77777777" w:rsidR="00C1548D" w:rsidRDefault="009B1B4B">
            <w:pPr>
              <w:keepNext/>
              <w:spacing w:after="70" w:line="240" w:lineRule="auto"/>
            </w:pPr>
            <w:r>
              <w:rPr>
                <w:b/>
                <w:bCs/>
                <w:color w:val="1F3A5F"/>
                <w:spacing w:val="24"/>
                <w:sz w:val="16"/>
                <w:szCs w:val="16"/>
              </w:rPr>
              <w:t>KURZ GESAGT</w:t>
            </w:r>
          </w:p>
          <w:p w14:paraId="70A50531" w14:textId="77777777" w:rsidR="00C1548D" w:rsidRDefault="009B1B4B" w:rsidP="009B1B4B">
            <w:pPr>
              <w:pStyle w:val="ListParagraph"/>
              <w:numPr>
                <w:ilvl w:val="0"/>
                <w:numId w:val="1"/>
              </w:numPr>
              <w:spacing w:after="50" w:line="264" w:lineRule="auto"/>
            </w:pPr>
            <w:r>
              <w:rPr>
                <w:sz w:val="20"/>
                <w:szCs w:val="20"/>
              </w:rPr>
              <w:t>Neuseeland gilt als eine der informellsten westlichen Gesellschaften: Vornamen sind Standard, auch beim Chef, Kleidung im Beruf ist lockerer als in Deutschland.</w:t>
            </w:r>
          </w:p>
          <w:p w14:paraId="70A50532" w14:textId="77777777" w:rsidR="00C1548D" w:rsidRDefault="009B1B4B" w:rsidP="009B1B4B">
            <w:pPr>
              <w:pStyle w:val="ListParagraph"/>
              <w:numPr>
                <w:ilvl w:val="0"/>
                <w:numId w:val="1"/>
              </w:numPr>
              <w:spacing w:after="50" w:line="264" w:lineRule="auto"/>
            </w:pPr>
            <w:r>
              <w:rPr>
                <w:sz w:val="20"/>
                <w:szCs w:val="20"/>
              </w:rPr>
              <w:t>Der Kommunikationsstil ist konfliktvermeidender und indirekter als die deutsche Direktheit – Kritik kommt selten geradeheraus.</w:t>
            </w:r>
          </w:p>
          <w:p w14:paraId="70A50533" w14:textId="77777777" w:rsidR="00C1548D" w:rsidRDefault="009B1B4B" w:rsidP="009B1B4B">
            <w:pPr>
              <w:pStyle w:val="ListParagraph"/>
              <w:numPr>
                <w:ilvl w:val="0"/>
                <w:numId w:val="1"/>
              </w:numPr>
              <w:spacing w:after="50" w:line="264" w:lineRule="auto"/>
            </w:pPr>
            <w:r>
              <w:rPr>
                <w:sz w:val="20"/>
                <w:szCs w:val="20"/>
              </w:rPr>
              <w:t>Te Ao Māori (die Māori-Weltsicht) prägt zunehmend den Alltag: Begrüßungen auf Te Reo Māori, Willkommenszeremonien im Job, respektvoller Umgang mit Māori-Bräuchen.</w:t>
            </w:r>
          </w:p>
          <w:p w14:paraId="70A50534" w14:textId="77777777" w:rsidR="00C1548D" w:rsidRDefault="009B1B4B" w:rsidP="009B1B4B">
            <w:pPr>
              <w:pStyle w:val="ListParagraph"/>
              <w:numPr>
                <w:ilvl w:val="0"/>
                <w:numId w:val="1"/>
              </w:numPr>
              <w:spacing w:after="50" w:line="264" w:lineRule="auto"/>
            </w:pPr>
            <w:r>
              <w:rPr>
                <w:sz w:val="20"/>
                <w:szCs w:val="20"/>
              </w:rPr>
              <w:t>„No worries“ und „she’ll be right“ stehen für eine entspannte Grundhaltung gegenüber Terminen und kleinen Pannen – das ist aber nicht mit Unzuverlässigkeit zu verwechseln.</w:t>
            </w:r>
          </w:p>
          <w:p w14:paraId="70A50535" w14:textId="77777777" w:rsidR="00C1548D" w:rsidRDefault="009B1B4B" w:rsidP="009B1B4B">
            <w:pPr>
              <w:pStyle w:val="ListParagraph"/>
              <w:numPr>
                <w:ilvl w:val="0"/>
                <w:numId w:val="1"/>
              </w:numPr>
              <w:spacing w:after="50" w:line="264" w:lineRule="auto"/>
            </w:pPr>
            <w:r>
              <w:rPr>
                <w:sz w:val="20"/>
                <w:szCs w:val="20"/>
              </w:rPr>
              <w:t>Die geografische Isolation (nächster großer Nachbar Australien, rund 2.000 km entfernt) prägt Mentalität, Reiseplanung und den Kontakt zur Familie in Deutschland.</w:t>
            </w:r>
          </w:p>
        </w:tc>
      </w:tr>
    </w:tbl>
    <w:p w14:paraId="70A50537" w14:textId="77777777" w:rsidR="00C1548D" w:rsidRDefault="00C1548D">
      <w:pPr>
        <w:spacing w:line="220" w:lineRule="exact"/>
      </w:pPr>
    </w:p>
    <w:p w14:paraId="70A50538" w14:textId="77777777" w:rsidR="00C1548D" w:rsidRDefault="009B1B4B">
      <w:pPr>
        <w:pStyle w:val="Heading3"/>
        <w:keepNext/>
        <w:jc w:val="center"/>
      </w:pPr>
      <w:r>
        <w:rPr>
          <w:rFonts w:ascii="Amazon Ember" w:eastAsia="Amazon Ember" w:hAnsi="Amazon Ember" w:cs="Amazon Ember"/>
          <w:color w:val="0000FF"/>
          <w:sz w:val="36"/>
          <w:szCs w:val="36"/>
        </w:rPr>
        <w:t>Informalität: Vornamen, lockere Kleidung, flache Hierarchien</w:t>
      </w:r>
    </w:p>
    <w:p w14:paraId="70A50539" w14:textId="77777777" w:rsidR="00C1548D" w:rsidRDefault="009B1B4B">
      <w:pPr>
        <w:spacing w:after="140"/>
      </w:pPr>
      <w:r>
        <w:t xml:space="preserve">Neuseeland gehört zu den informellsten westlichen Gesellschaften überhaupt. Die Anrede mit Vornamen ist Standard – vom Postboten </w:t>
      </w:r>
      <w:r>
        <w:lastRenderedPageBreak/>
        <w:t>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w:t>
      </w:r>
      <w:r>
        <w:t>prechungen: Hierarchien existieren zweifellos, zeigen sich aber seltener in äußeren Signalen wie Sitzordnung oder Titeln als in Deutschland.</w:t>
      </w:r>
    </w:p>
    <w:p w14:paraId="70A5053A" w14:textId="77777777" w:rsidR="00C1548D" w:rsidRDefault="009B1B4B">
      <w:pPr>
        <w:spacing w:after="140"/>
      </w:pPr>
      <w:r>
        <w:t xml:space="preserve">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 oft als mehrmonatige bis mehrjährige </w:t>
      </w:r>
      <w:r>
        <w:rPr>
          <w:i/>
          <w:iCs/>
        </w:rPr>
        <w:t>Overseas Experience</w:t>
      </w:r>
      <w:r>
        <w:t xml:space="preserve"> (OE, ein Auslandsjahr als fester Bestandteil vieler Lebensläufe), meist in Europa oder Großbritannien. Das schafft auf beiden Seiten Verständnis fürs Auswandern und macht dich als Neuankömmling schneller zum Gesprächspartner als zum Exoten.</w:t>
      </w:r>
    </w:p>
    <w:p w14:paraId="70A5053B" w14:textId="77777777" w:rsidR="00C1548D" w:rsidRDefault="009B1B4B">
      <w:pPr>
        <w:pStyle w:val="Heading3"/>
        <w:keepNext/>
        <w:jc w:val="center"/>
      </w:pPr>
      <w:r>
        <w:rPr>
          <w:rFonts w:ascii="Amazon Ember" w:eastAsia="Amazon Ember" w:hAnsi="Amazon Ember" w:cs="Amazon Ember"/>
          <w:color w:val="0000FF"/>
          <w:sz w:val="36"/>
          <w:szCs w:val="36"/>
        </w:rPr>
        <w:t>Begrüßung und Small Talk im Alltag</w:t>
      </w:r>
    </w:p>
    <w:p w14:paraId="70A5053C" w14:textId="77777777" w:rsidR="00C1548D" w:rsidRDefault="009B1B4B">
      <w:pPr>
        <w:spacing w:after="140"/>
      </w:pPr>
      <w:r>
        <w:t xml:space="preserve">Die neuseeländische Standardfrage im Vorbeigehen lautet „How’s it going?“ oder schlicht „Good day“ –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w:t>
      </w:r>
      <w:r>
        <w:t>selbst.</w:t>
      </w:r>
    </w:p>
    <w:p w14:paraId="70A5053D" w14:textId="77777777" w:rsidR="00C1548D" w:rsidRDefault="009B1B4B">
      <w:pPr>
        <w:spacing w:after="140"/>
      </w:pPr>
      <w:r>
        <w:lastRenderedPageBreak/>
        <w:t xml:space="preserve">Kiwi-Slang begegnet dir dabei ständig: </w:t>
      </w:r>
      <w:r>
        <w:rPr>
          <w:i/>
          <w:iCs/>
        </w:rPr>
        <w:t>Sweet as</w:t>
      </w:r>
      <w:r>
        <w:t xml:space="preserve"> und </w:t>
      </w:r>
      <w:r>
        <w:rPr>
          <w:i/>
          <w:iCs/>
        </w:rPr>
        <w:t>good as gold</w:t>
      </w:r>
      <w:r>
        <w:t xml:space="preserve"> bedeuten einfach „gut“ oder „in Ordnung“, </w:t>
      </w:r>
      <w:r>
        <w:rPr>
          <w:i/>
          <w:iCs/>
        </w:rPr>
        <w:t>choice</w:t>
      </w:r>
      <w:r>
        <w:t xml:space="preserve"> ist eine Bestätigung im Sinne von „klasse“, und ein knappes </w:t>
      </w:r>
      <w:r>
        <w:rPr>
          <w:i/>
          <w:iCs/>
        </w:rPr>
        <w:t>ta</w:t>
      </w:r>
      <w:r>
        <w:t xml:space="preserve"> ersetzt oft ein ausführlicheres „thank you“. Diese Ausdrücke wirken für deutsche Ohren zunächst wie Satzfragmente – als hätte jemand mitten im Gedanken aufgehört zu sprechen –, sind aber vollständige, verstandene Aussagen. Wer aus Deutschland eine präzise, vollständige Antwort gewohnt ist, muss sich daran gewöhnen, dass ein knappes „sweet as“ bereits das Ende des Gesprächs markiert, nicht, weil dein Gegenüber unhöflich wäre, sondern weil hier gilt: Je weniger Worte für ein zufriedenes Ergebnis nötig sind, </w:t>
      </w:r>
      <w:r>
        <w:t>desto besser.</w:t>
      </w:r>
    </w:p>
    <w:p w14:paraId="70A5053E" w14:textId="77777777" w:rsidR="00C1548D" w:rsidRDefault="009B1B4B">
      <w:pPr>
        <w:spacing w:after="140"/>
      </w:pPr>
      <w:r>
        <w:t>Nachbarn grüßen im Vorbeigehen, auch ohne dass man sich näher kennt; ein kurzes Winken oder Nicken reicht. Spontane Besuche sind seltener als ihr Ruf – auch in Neuseeland kündigt man sich meist kurz per Nachricht an, bevor man vorbeikommt.</w:t>
      </w:r>
    </w:p>
    <w:p w14:paraId="70A5053F" w14:textId="77777777" w:rsidR="00C1548D" w:rsidRDefault="009B1B4B">
      <w:pPr>
        <w:pStyle w:val="Heading3"/>
        <w:keepNext/>
        <w:jc w:val="center"/>
      </w:pPr>
      <w:r>
        <w:rPr>
          <w:rFonts w:ascii="Amazon Ember" w:eastAsia="Amazon Ember" w:hAnsi="Amazon Ember" w:cs="Amazon Ember"/>
          <w:color w:val="0000FF"/>
          <w:sz w:val="36"/>
          <w:szCs w:val="36"/>
        </w:rPr>
        <w:t>Kommunikationsstil: Understatement statt Konfrontation</w:t>
      </w:r>
    </w:p>
    <w:p w14:paraId="70A50540" w14:textId="77777777" w:rsidR="00C1548D" w:rsidRDefault="009B1B4B">
      <w:pPr>
        <w:spacing w:after="140"/>
      </w:pPr>
      <w:r>
        <w:t>Neuseeländische Kommunikation gilt im internationalen Vergleich als deutlich konfliktvermeidender und indirekter als die als sehr direkt wahrgenommene deutsche Art. Wo ein deutscher Kollege sagen würde: „Das funktioniert so nicht“, hörst du in Neuseeland eher ein zurückhaltendes „yeah, nah“ (wörtlich „ja, nein“ – gemeint ist meist ein höfliches Nein) oder ein knappes „interesting approach“. Verbreiteter Irrtum: Viele deutsche Neuankömmlinge lesen diese Zurückhaltung als Unverbindlichkeit oder sogar als Zust</w:t>
      </w:r>
      <w:r>
        <w:t>immung. Tatsächlich ist sie oft die höflichste Form der Ablehnung, die das Land kennt – wer genau hinhört und im Zweifel nachfragt, verpasst selten eine eigentlich klare Botschaft.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43"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541" w14:textId="77777777" w:rsidR="00C1548D" w:rsidRDefault="009B1B4B">
            <w:pPr>
              <w:keepNext/>
              <w:spacing w:after="70" w:line="240" w:lineRule="auto"/>
            </w:pPr>
            <w:r>
              <w:rPr>
                <w:b/>
                <w:bCs/>
                <w:color w:val="9B2C2C"/>
                <w:spacing w:val="24"/>
                <w:sz w:val="16"/>
                <w:szCs w:val="16"/>
              </w:rPr>
              <w:lastRenderedPageBreak/>
              <w:t>ACHTUNG</w:t>
            </w:r>
          </w:p>
          <w:p w14:paraId="70A50542" w14:textId="77777777" w:rsidR="00C1548D" w:rsidRDefault="009B1B4B">
            <w:pPr>
              <w:spacing w:after="80" w:line="264" w:lineRule="auto"/>
            </w:pPr>
            <w:r>
              <w:rPr>
                <w:sz w:val="20"/>
                <w:szCs w:val="20"/>
              </w:rPr>
              <w:t>Ein einfaches „no worries“ auf eine Bitte hin heißt fast immer Zustimmung, ein zögerliches „we’ll see“ dagegen häufig ein sanftes Nein. Verlasse dich im Zweifel nicht auf die wörtliche Übersetzung, sondern auf den Tonfall – und frage notfalls direkt nach, ob etwas als Zusage zu verstehen ist.</w:t>
            </w:r>
          </w:p>
        </w:tc>
      </w:tr>
    </w:tbl>
    <w:p w14:paraId="70A50544" w14:textId="77777777" w:rsidR="00C1548D" w:rsidRDefault="00C1548D">
      <w:pPr>
        <w:spacing w:line="220" w:lineRule="exact"/>
      </w:pPr>
    </w:p>
    <w:p w14:paraId="70A50545" w14:textId="7E7FE16B" w:rsidR="00C1548D" w:rsidRDefault="009B1B4B">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w:t>
      </w:r>
      <w:r>
        <w:t xml:space="preserve">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history="1">
        <w:r>
          <w:rPr>
            <w:color w:val="0563C1"/>
            <w:u w:val="single"/>
          </w:rPr>
          <w:t>Kapitel zur Arbeitswelt in diesem Teil</w:t>
        </w:r>
      </w:hyperlink>
      <w:r>
        <w:t>.</w:t>
      </w:r>
    </w:p>
    <w:p w14:paraId="70A50546" w14:textId="77777777" w:rsidR="00C1548D" w:rsidRDefault="009B1B4B">
      <w:pPr>
        <w:pStyle w:val="Heading3"/>
        <w:keepNext/>
        <w:jc w:val="center"/>
      </w:pPr>
      <w:r>
        <w:rPr>
          <w:rFonts w:ascii="Amazon Ember" w:eastAsia="Amazon Ember" w:hAnsi="Amazon Ember" w:cs="Amazon Ember"/>
          <w:color w:val="0000FF"/>
          <w:sz w:val="36"/>
          <w:szCs w:val="36"/>
        </w:rPr>
        <w:t>Te Ao Māori im Alltag</w:t>
      </w:r>
    </w:p>
    <w:p w14:paraId="70A50547" w14:textId="77777777" w:rsidR="00C1548D" w:rsidRDefault="009B1B4B">
      <w:pPr>
        <w:spacing w:after="140"/>
      </w:pPr>
      <w:r>
        <w:t xml:space="preserve">Neuseeland versteht sich zunehmend als bikulturelles Land auf Grundlage des Vertrags von Waitangi (1840), des Gründungsdokuments zwischen der britischen Krone und Māori-Stammesführern. Für deinen Alltag bedeutet das konkret: Begrüßungsfloskeln aus dem </w:t>
      </w:r>
      <w:r>
        <w:rPr>
          <w:i/>
          <w:iCs/>
        </w:rPr>
        <w:t>Te Reo Māori</w:t>
      </w:r>
      <w:r>
        <w:t xml:space="preserve"> (der Māori-Sprache) sind allgegenwärtig. </w:t>
      </w:r>
      <w:r>
        <w:rPr>
          <w:i/>
          <w:iCs/>
        </w:rPr>
        <w:t>Kia ora</w:t>
      </w:r>
      <w:r>
        <w:t xml:space="preserve"> (etwa „sei gesund“ oder schlicht „hallo“) hörst du im Supermarkt genauso wie in offiziellen E-Mails; </w:t>
      </w:r>
      <w:r>
        <w:rPr>
          <w:i/>
          <w:iCs/>
        </w:rPr>
        <w:t>Ngā mihi</w:t>
      </w:r>
      <w:r>
        <w:t xml:space="preserve"> oder </w:t>
      </w:r>
      <w:r>
        <w:rPr>
          <w:i/>
          <w:iCs/>
        </w:rPr>
        <w:t>Ngā mihi nui</w:t>
      </w:r>
      <w:r>
        <w:t xml:space="preserve"> (Dank, Grüße) ist eine gängige Grußformel am Ende einer geschäftlichen Nachricht.</w:t>
      </w:r>
    </w:p>
    <w:p w14:paraId="70A50548" w14:textId="77777777" w:rsidR="00C1548D" w:rsidRDefault="009B1B4B">
      <w:pPr>
        <w:spacing w:after="140"/>
      </w:pPr>
      <w:r>
        <w:lastRenderedPageBreak/>
        <w:t xml:space="preserve">In vielen Organisationen – zuerst Behörden, zunehmend auch Unternehmen – wirst du als neue Mitarbeiterin oder neuer Mitarbeiter mit einem </w:t>
      </w:r>
      <w:r>
        <w:rPr>
          <w:i/>
          <w:iCs/>
        </w:rPr>
        <w:t>Pōwhiri</w:t>
      </w:r>
      <w:r>
        <w:t xml:space="preserve"> oder dem etwas kürzeren </w:t>
      </w:r>
      <w:r>
        <w:rPr>
          <w:i/>
          <w:iCs/>
        </w:rPr>
        <w:t>Mihi Whakatau</w:t>
      </w:r>
      <w:r>
        <w:t xml:space="preserve"> willkommen geheißen: einer Zeremonie mit Reden (</w:t>
      </w:r>
      <w:r>
        <w:rPr>
          <w:i/>
          <w:iCs/>
        </w:rPr>
        <w:t>Kōrero</w:t>
      </w:r>
      <w:r>
        <w:t>), Gesang (</w:t>
      </w:r>
      <w:r>
        <w:rPr>
          <w:i/>
          <w:iCs/>
        </w:rPr>
        <w:t>Waiata</w:t>
      </w:r>
      <w:r>
        <w:t>) und einem kurzen einleitenden Ritual (</w:t>
      </w:r>
      <w:r>
        <w:rPr>
          <w:i/>
          <w:iCs/>
        </w:rPr>
        <w:t>Karakia</w:t>
      </w:r>
      <w:r>
        <w:t>), das oft nicht länger als eine halbe Minute dauert. Auch viele Besprechungen werden mit einer Karakia eröffnet oder beendet – ein kurzer, meist ruhiger Moment, den du respektvoll mitträgst, auch wenn du die Worte nicht verstehst.</w:t>
      </w:r>
    </w:p>
    <w:p w14:paraId="70A50549" w14:textId="77777777" w:rsidR="00C1548D" w:rsidRDefault="009B1B4B">
      <w:pPr>
        <w:spacing w:after="140"/>
      </w:pPr>
      <w:r>
        <w:t xml:space="preserve">Besuchst du eine </w:t>
      </w:r>
      <w:r>
        <w:rPr>
          <w:i/>
          <w:iCs/>
        </w:rPr>
        <w:t>Marae</w:t>
      </w:r>
      <w:r>
        <w:t xml:space="preserve"> (den traditionellen Versammlungsort eines Māori-Stammes mit Versammlungshaus, dem </w:t>
      </w:r>
      <w:r>
        <w:rPr>
          <w:i/>
          <w:iCs/>
        </w:rPr>
        <w:t>Wharenui</w:t>
      </w:r>
      <w:r>
        <w:t>), gelten eigene Umgangsformen: Schuhe bleiben meist vor dem Versammlungshaus, du wartest auf die formelle Begrüßung, bevor du eintrittst, und isst in der Regel nicht im Wharenui selbst. Wie der Ablauf im Einzelfall genau aussieht, erklärt dir meist jemand vom gastgebenden Stamm vor Ort – frag lieber einmal zu viel, als etwas falsch zu machen. Der Grundton ist überall derselbe: Respekt vor dem Ritual zählt mehr als perfekte Aussprache.</w:t>
      </w:r>
    </w:p>
    <w:p w14:paraId="70A5054A" w14:textId="77777777" w:rsidR="00C1548D" w:rsidRDefault="009B1B4B">
      <w:pPr>
        <w:spacing w:after="140"/>
      </w:pPr>
      <w:r>
        <w:t xml:space="preserve">Auch außerhalb von Zeremonien begegnet dir Te Ao Māori im Berufsalltag: Projekte, Rollen und ganze Behörden tragen zunehmend Māori-Namen neben oder statt der englischen Bezeichnung, und viele Besprechungen eröffnen mit einem kurzen </w:t>
      </w:r>
      <w:r>
        <w:rPr>
          <w:i/>
          <w:iCs/>
        </w:rPr>
        <w:t>Whakataukī</w:t>
      </w:r>
      <w:r>
        <w:t xml:space="preserve"> (einem traditionellen Sprichwort), das den Ton für das Treffen setzt. Von dir wird dabei keine eigene Übersetzung oder gar ein eigener Redebeitrag auf Te Reo Māori erwartet – aufmerksames Zuhören und die grundsätzliche Bereitschaft, sich auf diese Ebene der Organisation einzulassen, genügen.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4D"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54B" w14:textId="77777777" w:rsidR="00C1548D" w:rsidRDefault="009B1B4B">
            <w:pPr>
              <w:keepNext/>
              <w:spacing w:after="70" w:line="240" w:lineRule="auto"/>
            </w:pPr>
            <w:r>
              <w:rPr>
                <w:b/>
                <w:bCs/>
                <w:color w:val="8A6212"/>
                <w:spacing w:val="24"/>
                <w:sz w:val="16"/>
                <w:szCs w:val="16"/>
              </w:rPr>
              <w:t>MERKE</w:t>
            </w:r>
          </w:p>
          <w:p w14:paraId="70A5054C" w14:textId="77777777" w:rsidR="00C1548D" w:rsidRDefault="009B1B4B">
            <w:pPr>
              <w:spacing w:after="80" w:line="264" w:lineRule="auto"/>
            </w:pPr>
            <w:r>
              <w:rPr>
                <w:sz w:val="20"/>
                <w:szCs w:val="20"/>
              </w:rPr>
              <w:t>Du musst kein Māori sprechen, um dich richtig zu verhalten. Es reicht, Begrüßungen wie „Kia ora“ zu übernehmen, Zeremonien aufmerksam mitzutragen und bei Unsicherheit einfach zu fragen, statt zu improvisieren.</w:t>
            </w:r>
          </w:p>
        </w:tc>
      </w:tr>
    </w:tbl>
    <w:p w14:paraId="70A5054E"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51"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54F" w14:textId="77777777" w:rsidR="00C1548D" w:rsidRDefault="009B1B4B">
            <w:pPr>
              <w:keepNext/>
              <w:spacing w:after="70" w:line="240" w:lineRule="auto"/>
            </w:pPr>
            <w:r>
              <w:rPr>
                <w:b/>
                <w:bCs/>
                <w:color w:val="4A5568"/>
                <w:spacing w:val="24"/>
                <w:sz w:val="16"/>
                <w:szCs w:val="16"/>
              </w:rPr>
              <w:lastRenderedPageBreak/>
              <w:t>PRAXISBEISPIEL · FIKTIV</w:t>
            </w:r>
          </w:p>
          <w:p w14:paraId="70A50550" w14:textId="77777777" w:rsidR="00C1548D" w:rsidRDefault="009B1B4B">
            <w:pPr>
              <w:spacing w:after="80" w:line="264" w:lineRule="auto"/>
            </w:pPr>
            <w:r>
              <w:rPr>
                <w:sz w:val="20"/>
                <w:szCs w:val="20"/>
              </w:rPr>
              <w:t>Petra Krüger (fiktiv), Tierärztin, betreut in Canterbury auch einen Hof, der einer Māori-Genossenschaft (</w:t>
            </w:r>
            <w:r>
              <w:rPr>
                <w:i/>
                <w:iCs/>
                <w:sz w:val="20"/>
                <w:szCs w:val="20"/>
              </w:rPr>
              <w:t>Trust</w:t>
            </w:r>
            <w:r>
              <w:rPr>
                <w:sz w:val="20"/>
                <w:szCs w:val="20"/>
              </w:rPr>
              <w:t>) gehört. Zum Antrittsbesuch wird sie mit einem kurzen Mihi Whakatau begrüßt, bevor überhaupt über Impfpläne für die Herde gesprochen wird. Anfangs findet sie das ungewohnt förmlich für einen reinen Arbeitstermin; nach ein paar Monaten merkt sie, dass ausgerechnet dieser kurze, respektvolle Auftakt die spätere Zusammenarbeit leichter macht als jede direkte Sachfrage zum Einstieg.</w:t>
            </w:r>
          </w:p>
        </w:tc>
      </w:tr>
    </w:tbl>
    <w:p w14:paraId="70A50552" w14:textId="77777777" w:rsidR="00C1548D" w:rsidRDefault="00C1548D">
      <w:pPr>
        <w:spacing w:line="220" w:lineRule="exact"/>
      </w:pPr>
    </w:p>
    <w:p w14:paraId="70A50553" w14:textId="77777777" w:rsidR="00C1548D" w:rsidRDefault="009B1B4B">
      <w:pPr>
        <w:pStyle w:val="Heading3"/>
        <w:keepNext/>
        <w:jc w:val="center"/>
      </w:pPr>
      <w:r>
        <w:rPr>
          <w:rFonts w:ascii="Amazon Ember" w:eastAsia="Amazon Ember" w:hAnsi="Amazon Ember" w:cs="Amazon Ember"/>
          <w:color w:val="0000FF"/>
          <w:sz w:val="36"/>
          <w:szCs w:val="36"/>
        </w:rPr>
        <w:t>„No worries“-Lässigkeit und Termine</w:t>
      </w:r>
    </w:p>
    <w:p w14:paraId="70A50554" w14:textId="77777777" w:rsidR="00C1548D" w:rsidRDefault="009B1B4B">
      <w:pPr>
        <w:spacing w:after="140"/>
      </w:pPr>
      <w:r>
        <w:t xml:space="preserve">Die entspannte Grundhaltung, für die Neuseeland ähnlich wie Australien bekannt ist, zeigt sich am deutlichsten im Umgang mit kleinen Pannen und Terminen. </w:t>
      </w:r>
      <w:r>
        <w:rPr>
          <w:i/>
          <w:iCs/>
        </w:rPr>
        <w:t>No worries</w:t>
      </w:r>
      <w:r>
        <w:t xml:space="preserve"> ist die Standardantwort auf fast alles –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w14:paraId="70A50555" w14:textId="77777777" w:rsidR="00C1548D" w:rsidRDefault="009B1B4B">
      <w:pPr>
        <w:spacing w:after="140"/>
      </w:pPr>
      <w:r>
        <w:t>Das heißt nicht, dass Verlässlichkeit keine Rolle spielt: Bei Terminen im Beruf, bei Handwerkern und Behörden wird pünktlich erwartet, 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w:t>
      </w:r>
      <w:r>
        <w:t>eibt die eigentliche Verabredung meist bindend. Wer aus Deutschland eine minutengenaue Fahrplan-Mentalität mitbringt, lernt hier schnell, dass „about ten minutes“ auch fünfzehn oder fünfundzwanzig bedeuten kann, ohne dass irgendjemand darin ein Problem sieht.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5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556" w14:textId="77777777" w:rsidR="00C1548D" w:rsidRDefault="009B1B4B">
            <w:pPr>
              <w:keepNext/>
              <w:spacing w:after="70" w:line="240" w:lineRule="auto"/>
            </w:pPr>
            <w:r>
              <w:rPr>
                <w:b/>
                <w:bCs/>
                <w:color w:val="9B2C2C"/>
                <w:spacing w:val="24"/>
                <w:sz w:val="16"/>
                <w:szCs w:val="16"/>
              </w:rPr>
              <w:lastRenderedPageBreak/>
              <w:t>ACHTUNG</w:t>
            </w:r>
          </w:p>
          <w:p w14:paraId="70A50557" w14:textId="77777777" w:rsidR="00C1548D" w:rsidRDefault="009B1B4B">
            <w:pPr>
              <w:spacing w:after="80" w:line="264" w:lineRule="auto"/>
            </w:pPr>
            <w:r>
              <w:rPr>
                <w:sz w:val="20"/>
                <w:szCs w:val="20"/>
              </w:rPr>
              <w:t xml:space="preserve">So entspannt der Ton im Alltag ist – bei Fristen der Einwanderungsbehörde, der Steuerbehörde </w:t>
            </w:r>
            <w:r>
              <w:rPr>
                <w:i/>
                <w:iCs/>
                <w:sz w:val="20"/>
                <w:szCs w:val="20"/>
              </w:rPr>
              <w:t>Inland Revenue</w:t>
            </w:r>
            <w:r>
              <w:rPr>
                <w:sz w:val="20"/>
                <w:szCs w:val="20"/>
              </w:rPr>
              <w:t xml:space="preserve"> (IRD) oder im Mietvertrag zählt Pünktlichkeit wie in Deutschland. Verwechsle die lässige Sprache nicht mit lässigen Konsequenzen: Ein verspätetes Formular bleibt ein verspätetes Formular, so freundlich die Rückmeldung dazu auch klingen mag.</w:t>
            </w:r>
          </w:p>
        </w:tc>
      </w:tr>
    </w:tbl>
    <w:p w14:paraId="70A50559" w14:textId="77777777" w:rsidR="00C1548D" w:rsidRDefault="00C1548D">
      <w:pPr>
        <w:spacing w:line="220" w:lineRule="exact"/>
      </w:pPr>
    </w:p>
    <w:p w14:paraId="70A5055A" w14:textId="77777777" w:rsidR="00C1548D" w:rsidRDefault="009B1B4B">
      <w:pPr>
        <w:pStyle w:val="Heading3"/>
        <w:keepNext/>
        <w:jc w:val="center"/>
      </w:pPr>
      <w:r>
        <w:rPr>
          <w:rFonts w:ascii="Amazon Ember" w:eastAsia="Amazon Ember" w:hAnsi="Amazon Ember" w:cs="Amazon Ember"/>
          <w:color w:val="0000FF"/>
          <w:sz w:val="36"/>
          <w:szCs w:val="36"/>
        </w:rPr>
        <w:t>Arbeitsleben, Pausenkultur und Wochenende</w:t>
      </w:r>
    </w:p>
    <w:p w14:paraId="70A5055B" w14:textId="77777777" w:rsidR="00C1548D" w:rsidRDefault="009B1B4B">
      <w:pPr>
        <w:spacing w:after="140"/>
      </w:pPr>
      <w:r>
        <w:t xml:space="preserve">Auch im Berufsalltag zeigt sich die entspanntere Grundhaltung, ohne dass die Arbeit dadurch weniger ernst genommen wird. Die informelle Kaffee- oder Teepause zwischendurch trägt vielerorts noch den traditionellen Namen </w:t>
      </w:r>
      <w:r>
        <w:rPr>
          <w:i/>
          <w:iCs/>
        </w:rPr>
        <w:t>Smoko</w:t>
      </w:r>
      <w:r>
        <w:t xml:space="preserve"> (ursprünglich die Raucherpause, heute meist eine kurze gemeinsame Pause ohne Zigarette) und ist ein fester, akzeptierter Bestandteil des Arbeitstages, gerade in handwerklichen und landwirtschaftlichen Berufen. Nach Feierabend sind spontane </w:t>
      </w:r>
      <w:r>
        <w:rPr>
          <w:i/>
          <w:iCs/>
        </w:rPr>
        <w:t>Friday Drinks</w:t>
      </w:r>
      <w:r>
        <w:t xml:space="preserve"> mit dem Team verbreitet – ein informelles Getränk zum Wochenausklang, oft direkt im Büro oder in der nächsten Bar, ohne festes Protokoll oder Ansprache.</w:t>
      </w:r>
    </w:p>
    <w:p w14:paraId="70A5055C" w14:textId="5B6E7B91" w:rsidR="00C1548D" w:rsidRDefault="009B1B4B">
      <w:pPr>
        <w:spacing w:after="140"/>
      </w:pPr>
      <w:r>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zum Aufbau echter Freundschaften darüber hinaus liest du im </w:t>
      </w:r>
      <w:hyperlink w:anchor="tnz12" w:history="1">
        <w:r>
          <w:rPr>
            <w:color w:val="0563C1"/>
            <w:u w:val="single"/>
          </w:rPr>
          <w:t>Kapitel zu Freundschaften und Kulturschock in diesem Teil</w:t>
        </w:r>
      </w:hyperlink>
      <w:r>
        <w:t>.</w:t>
      </w:r>
    </w:p>
    <w:p w14:paraId="70A5055D" w14:textId="77777777" w:rsidR="00C1548D" w:rsidRDefault="009B1B4B">
      <w:pPr>
        <w:pStyle w:val="Heading3"/>
        <w:keepNext/>
        <w:jc w:val="center"/>
      </w:pPr>
      <w:r>
        <w:rPr>
          <w:rFonts w:ascii="Amazon Ember" w:eastAsia="Amazon Ember" w:hAnsi="Amazon Ember" w:cs="Amazon Ember"/>
          <w:color w:val="0000FF"/>
          <w:sz w:val="36"/>
          <w:szCs w:val="36"/>
        </w:rPr>
        <w:lastRenderedPageBreak/>
        <w:t>Geografische Isolation</w:t>
      </w:r>
    </w:p>
    <w:p w14:paraId="70A5055E" w14:textId="77777777" w:rsidR="00C1548D" w:rsidRDefault="009B1B4B">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w14:paraId="70A5055F" w14:textId="77777777" w:rsidR="00C1548D" w:rsidRDefault="009B1B4B">
      <w:pPr>
        <w:spacing w:after="140"/>
      </w:pPr>
      <w:r>
        <w:t xml:space="preserve">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 wenn es in Christchurch früher Abend ist, schläft die Familie in Deutschland noch, oder umgekehrt. Diese Isolation erklärt auch einen Teil der neuseeländischen Mentalität: eine gewisse Selbstgenügsamkeit, ein starkes </w:t>
      </w:r>
      <w:r>
        <w:t>Interesse an Natur und Freizeit direkt vor der Haustür und eine Portion Gelassenheit gegenüber Nachrichten aus der übrigen Welt, die ohnehin erst mit Verzögerung ankommen.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62"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560" w14:textId="77777777" w:rsidR="00C1548D" w:rsidRDefault="009B1B4B">
            <w:pPr>
              <w:keepNext/>
              <w:spacing w:after="70" w:line="240" w:lineRule="auto"/>
            </w:pPr>
            <w:r>
              <w:rPr>
                <w:b/>
                <w:bCs/>
                <w:color w:val="2F6B3B"/>
                <w:spacing w:val="24"/>
                <w:sz w:val="16"/>
                <w:szCs w:val="16"/>
              </w:rPr>
              <w:t>SPARTIPP</w:t>
            </w:r>
          </w:p>
          <w:p w14:paraId="70A50561" w14:textId="77777777" w:rsidR="00C1548D" w:rsidRDefault="009B1B4B">
            <w:pPr>
              <w:spacing w:after="80" w:line="264" w:lineRule="auto"/>
            </w:pPr>
            <w:r>
              <w:rPr>
                <w:sz w:val="20"/>
                <w:szCs w:val="20"/>
              </w:rPr>
              <w:t>Buche Flüge nach Deutschland so früh wie möglich und lege, wenn der Zeitplan es zulässt, einen längeren Zwischenstopp ein statt eines reinen Umsteigezwischenstopps – etwa in Singapur, Dubai oder Hongkong. Das unterbricht die lange Reise wenigstens einmal angenehm, statt sie in einem einzigen Flugmarathon durchzustehen.</w:t>
            </w:r>
          </w:p>
        </w:tc>
      </w:tr>
    </w:tbl>
    <w:p w14:paraId="70A50563"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66"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564" w14:textId="77777777" w:rsidR="00C1548D" w:rsidRDefault="009B1B4B">
            <w:pPr>
              <w:keepNext/>
              <w:spacing w:after="70" w:line="240" w:lineRule="auto"/>
            </w:pPr>
            <w:r>
              <w:rPr>
                <w:b/>
                <w:bCs/>
                <w:color w:val="4A5568"/>
                <w:spacing w:val="24"/>
                <w:sz w:val="16"/>
                <w:szCs w:val="16"/>
              </w:rPr>
              <w:lastRenderedPageBreak/>
              <w:t>PRAXISBEISPIEL · FIKTIV</w:t>
            </w:r>
          </w:p>
          <w:p w14:paraId="70A50565" w14:textId="77777777" w:rsidR="00C1548D" w:rsidRDefault="009B1B4B">
            <w:pPr>
              <w:spacing w:after="80" w:line="264" w:lineRule="auto"/>
            </w:pPr>
            <w:r>
              <w:rPr>
                <w:sz w:val="20"/>
                <w:szCs w:val="20"/>
              </w:rPr>
              <w:t>Familie Krüger (fiktiv) richtet nach dem Umzug nach Christchurch einen festen Videotelefonie-Termin mit den Großeltern in Rostock ein: sonntags neuseeländische Frühstückszeit, deutscher Samstagabend. Anfangs vermisst Sohn Finn, 8, vor allem den direkten Vergleich mit Freunden von zu Hause; nach ein paar Monaten erzählt er lieber von den Schafen auf dem Nachbargrundstück als von der Zeitverschiebung. Sebastian und Petra gewöhnen sich daran, dass ein schneller Rat vom Hausarzt in Deutschland künftig einen Tag</w:t>
            </w:r>
            <w:r>
              <w:rPr>
                <w:sz w:val="20"/>
                <w:szCs w:val="20"/>
              </w:rPr>
              <w:t xml:space="preserve"> Wartezeit bedeutet – nicht wegen der Entfernung an sich, sondern wegen der Uhrzeit dazwischen.</w:t>
            </w:r>
          </w:p>
        </w:tc>
      </w:tr>
    </w:tbl>
    <w:p w14:paraId="70A50567" w14:textId="77777777" w:rsidR="00C1548D" w:rsidRDefault="00C1548D">
      <w:pPr>
        <w:spacing w:line="220" w:lineRule="exact"/>
      </w:pPr>
    </w:p>
    <w:p w14:paraId="70A50568" w14:textId="77777777" w:rsidR="00C1548D" w:rsidRDefault="009B1B4B">
      <w:pPr>
        <w:pStyle w:val="Heading3"/>
        <w:keepNext/>
        <w:jc w:val="center"/>
      </w:pPr>
      <w:r>
        <w:rPr>
          <w:rFonts w:ascii="Amazon Ember" w:eastAsia="Amazon Ember" w:hAnsi="Amazon Ember" w:cs="Amazon Ember"/>
          <w:color w:val="0000FF"/>
          <w:sz w:val="36"/>
          <w:szCs w:val="36"/>
        </w:rPr>
        <w:t>Was Neuseeländer an Deutschen schätzen und was irritiert</w:t>
      </w:r>
    </w:p>
    <w:p w14:paraId="70A50569" w14:textId="77777777" w:rsidR="00C1548D" w:rsidRDefault="009B1B4B">
      <w:pPr>
        <w:spacing w:after="140"/>
      </w:pPr>
      <w:r>
        <w:t>Die folgenden Punkte sind Tendenzen aus Erfahrungsberichten, keine Messwerte, und gelten nicht für jede Person.</w:t>
      </w:r>
    </w:p>
    <w:p w14:paraId="70A5056A" w14:textId="77777777" w:rsidR="00C1548D" w:rsidRDefault="009B1B4B">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 eine Eigenschaft, die im entspannten neuseeländischen Alltag durchaus mit Respekt beobachtet wird, solange sie nicht zur Besserwisserei wird.</w:t>
      </w:r>
    </w:p>
    <w:p w14:paraId="70A5056B" w14:textId="77777777" w:rsidR="00C1548D" w:rsidRDefault="009B1B4B">
      <w:pPr>
        <w:spacing w:after="140"/>
      </w:pPr>
      <w:r>
        <w:t>Häufig irritiert dagegen eine zu direkte, unverpackte Kritik, die schnell als unhöflich gilt, sowie das Bedürfnis, Regeln oder Abläufe sofort und lautstark zu hinterfragen, statt erst einmal abzuwarten, wie sich die Dinge von selbst fügen. Auch ein zu ernster Umgang mit kleinen Pannen – ein verpasster Bus, ein falsch bestelltes Gericht – wirkt auf Neuseeländer schnell überzogen; Humor über die eigene Verwirrung kommt fast immer besser an als eine Beschwerde.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599"/>
        <w:gridCol w:w="1990"/>
        <w:gridCol w:w="1941"/>
      </w:tblGrid>
      <w:tr w:rsidR="00C1548D" w14:paraId="70A50570"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6C" w14:textId="77777777" w:rsidR="00C1548D" w:rsidRDefault="009B1B4B">
            <w:pPr>
              <w:spacing w:line="250" w:lineRule="auto"/>
            </w:pPr>
            <w:r>
              <w:rPr>
                <w:b/>
                <w:bCs/>
                <w:sz w:val="18"/>
                <w:szCs w:val="18"/>
              </w:rPr>
              <w:t>Situation</w:t>
            </w:r>
          </w:p>
        </w:tc>
        <w:tc>
          <w:tcPr>
            <w:tcW w:w="159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6D" w14:textId="77777777" w:rsidR="00C1548D" w:rsidRDefault="009B1B4B">
            <w:pPr>
              <w:spacing w:line="250" w:lineRule="auto"/>
            </w:pPr>
            <w:r>
              <w:rPr>
                <w:b/>
                <w:bCs/>
                <w:sz w:val="18"/>
                <w:szCs w:val="18"/>
              </w:rPr>
              <w:t>In Deutschland</w:t>
            </w:r>
          </w:p>
        </w:tc>
        <w:tc>
          <w:tcPr>
            <w:tcW w:w="199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6E" w14:textId="77777777" w:rsidR="00C1548D" w:rsidRDefault="009B1B4B">
            <w:pPr>
              <w:spacing w:line="250" w:lineRule="auto"/>
            </w:pPr>
            <w:r>
              <w:rPr>
                <w:b/>
                <w:bCs/>
                <w:sz w:val="18"/>
                <w:szCs w:val="18"/>
              </w:rPr>
              <w:t>In Neuseeland</w:t>
            </w:r>
          </w:p>
        </w:tc>
        <w:tc>
          <w:tcPr>
            <w:tcW w:w="194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6F" w14:textId="77777777" w:rsidR="00C1548D" w:rsidRDefault="009B1B4B">
            <w:pPr>
              <w:spacing w:line="250" w:lineRule="auto"/>
            </w:pPr>
            <w:r>
              <w:rPr>
                <w:b/>
                <w:bCs/>
                <w:sz w:val="18"/>
                <w:szCs w:val="18"/>
              </w:rPr>
              <w:t>Tipp</w:t>
            </w:r>
          </w:p>
        </w:tc>
      </w:tr>
      <w:tr w:rsidR="00C1548D" w14:paraId="70A5057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1" w14:textId="77777777" w:rsidR="00C1548D" w:rsidRDefault="009B1B4B">
            <w:pPr>
              <w:spacing w:line="250" w:lineRule="auto"/>
            </w:pPr>
            <w:r>
              <w:rPr>
                <w:sz w:val="18"/>
                <w:szCs w:val="18"/>
              </w:rPr>
              <w:t>Anrede im Beruf</w:t>
            </w:r>
          </w:p>
        </w:tc>
        <w:tc>
          <w:tcPr>
            <w:tcW w:w="1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2" w14:textId="77777777" w:rsidR="00C1548D" w:rsidRDefault="009B1B4B">
            <w:pPr>
              <w:spacing w:line="250" w:lineRule="auto"/>
            </w:pPr>
            <w:r>
              <w:rPr>
                <w:sz w:val="18"/>
                <w:szCs w:val="18"/>
              </w:rPr>
              <w:t>Nachname, oft mit Titel</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3" w14:textId="77777777" w:rsidR="00C1548D" w:rsidRDefault="009B1B4B">
            <w:pPr>
              <w:spacing w:line="250" w:lineRule="auto"/>
            </w:pPr>
            <w:r>
              <w:rPr>
                <w:sz w:val="18"/>
                <w:szCs w:val="18"/>
              </w:rPr>
              <w:t>Vorname, auch beim Chef</w:t>
            </w:r>
          </w:p>
        </w:tc>
        <w:tc>
          <w:tcPr>
            <w:tcW w:w="19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4" w14:textId="77777777" w:rsidR="00C1548D" w:rsidRDefault="009B1B4B">
            <w:pPr>
              <w:spacing w:line="250" w:lineRule="auto"/>
            </w:pPr>
            <w:r>
              <w:rPr>
                <w:sz w:val="18"/>
                <w:szCs w:val="18"/>
              </w:rPr>
              <w:t>Vorname anbieten, Titel meiden</w:t>
            </w:r>
          </w:p>
        </w:tc>
      </w:tr>
      <w:tr w:rsidR="00C1548D" w14:paraId="70A5057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6" w14:textId="77777777" w:rsidR="00C1548D" w:rsidRDefault="009B1B4B">
            <w:pPr>
              <w:spacing w:line="250" w:lineRule="auto"/>
            </w:pPr>
            <w:r>
              <w:rPr>
                <w:sz w:val="18"/>
                <w:szCs w:val="18"/>
              </w:rPr>
              <w:lastRenderedPageBreak/>
              <w:t>Kritik äußern</w:t>
            </w:r>
          </w:p>
        </w:tc>
        <w:tc>
          <w:tcPr>
            <w:tcW w:w="1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7" w14:textId="77777777" w:rsidR="00C1548D" w:rsidRDefault="009B1B4B">
            <w:pPr>
              <w:spacing w:line="250" w:lineRule="auto"/>
            </w:pPr>
            <w:r>
              <w:rPr>
                <w:sz w:val="18"/>
                <w:szCs w:val="18"/>
              </w:rPr>
              <w:t>Direkt und sachlich</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8" w14:textId="77777777" w:rsidR="00C1548D" w:rsidRDefault="009B1B4B">
            <w:pPr>
              <w:spacing w:line="250" w:lineRule="auto"/>
            </w:pPr>
            <w:r>
              <w:rPr>
                <w:sz w:val="18"/>
                <w:szCs w:val="18"/>
              </w:rPr>
              <w:t>Indirekt, oft als Frage verpackt</w:t>
            </w:r>
          </w:p>
        </w:tc>
        <w:tc>
          <w:tcPr>
            <w:tcW w:w="19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9" w14:textId="77777777" w:rsidR="00C1548D" w:rsidRDefault="009B1B4B">
            <w:pPr>
              <w:spacing w:line="250" w:lineRule="auto"/>
            </w:pPr>
            <w:r>
              <w:rPr>
                <w:sz w:val="18"/>
                <w:szCs w:val="18"/>
              </w:rPr>
              <w:t>Erst Anerkennung, dann vorsichtig fragen</w:t>
            </w:r>
          </w:p>
        </w:tc>
      </w:tr>
      <w:tr w:rsidR="00C1548D" w14:paraId="70A5057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B" w14:textId="77777777" w:rsidR="00C1548D" w:rsidRDefault="009B1B4B">
            <w:pPr>
              <w:spacing w:line="250" w:lineRule="auto"/>
            </w:pPr>
            <w:r>
              <w:rPr>
                <w:sz w:val="18"/>
                <w:szCs w:val="18"/>
              </w:rPr>
              <w:t>Verspätung</w:t>
            </w:r>
          </w:p>
        </w:tc>
        <w:tc>
          <w:tcPr>
            <w:tcW w:w="1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C" w14:textId="77777777" w:rsidR="00C1548D" w:rsidRDefault="009B1B4B">
            <w:pPr>
              <w:spacing w:line="250" w:lineRule="auto"/>
            </w:pPr>
            <w:r>
              <w:rPr>
                <w:sz w:val="18"/>
                <w:szCs w:val="18"/>
              </w:rPr>
              <w:t>Entschuldigung mit Grund erwartet</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D" w14:textId="77777777" w:rsidR="00C1548D" w:rsidRDefault="009B1B4B">
            <w:pPr>
              <w:spacing w:line="250" w:lineRule="auto"/>
            </w:pPr>
            <w:r>
              <w:rPr>
                <w:sz w:val="18"/>
                <w:szCs w:val="18"/>
              </w:rPr>
              <w:t>Kurzes „sorry“, „no worries“ reicht</w:t>
            </w:r>
          </w:p>
        </w:tc>
        <w:tc>
          <w:tcPr>
            <w:tcW w:w="19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7E" w14:textId="77777777" w:rsidR="00C1548D" w:rsidRDefault="009B1B4B">
            <w:pPr>
              <w:spacing w:line="250" w:lineRule="auto"/>
            </w:pPr>
            <w:r>
              <w:rPr>
                <w:sz w:val="18"/>
                <w:szCs w:val="18"/>
              </w:rPr>
              <w:t>Nicht überrechtfertigen</w:t>
            </w:r>
          </w:p>
        </w:tc>
      </w:tr>
      <w:tr w:rsidR="00C1548D" w14:paraId="70A5058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80" w14:textId="77777777" w:rsidR="00C1548D" w:rsidRDefault="009B1B4B">
            <w:pPr>
              <w:spacing w:line="250" w:lineRule="auto"/>
            </w:pPr>
            <w:r>
              <w:rPr>
                <w:sz w:val="18"/>
                <w:szCs w:val="18"/>
              </w:rPr>
              <w:t>Meeting-Eröffnung</w:t>
            </w:r>
          </w:p>
        </w:tc>
        <w:tc>
          <w:tcPr>
            <w:tcW w:w="1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81" w14:textId="77777777" w:rsidR="00C1548D" w:rsidRDefault="009B1B4B">
            <w:pPr>
              <w:spacing w:line="250" w:lineRule="auto"/>
            </w:pPr>
            <w:r>
              <w:rPr>
                <w:sz w:val="18"/>
                <w:szCs w:val="18"/>
              </w:rPr>
              <w:t>Sachlicher Einstieg</w:t>
            </w:r>
          </w:p>
        </w:tc>
        <w:tc>
          <w:tcPr>
            <w:tcW w:w="19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82" w14:textId="77777777" w:rsidR="00C1548D" w:rsidRDefault="009B1B4B">
            <w:pPr>
              <w:spacing w:line="250" w:lineRule="auto"/>
            </w:pPr>
            <w:r>
              <w:rPr>
                <w:sz w:val="18"/>
                <w:szCs w:val="18"/>
              </w:rPr>
              <w:t>Oft Karakia oder kurze Māori-Begrüßung</w:t>
            </w:r>
          </w:p>
        </w:tc>
        <w:tc>
          <w:tcPr>
            <w:tcW w:w="19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83" w14:textId="77777777" w:rsidR="00C1548D" w:rsidRDefault="009B1B4B">
            <w:pPr>
              <w:spacing w:line="250" w:lineRule="auto"/>
            </w:pPr>
            <w:r>
              <w:rPr>
                <w:sz w:val="18"/>
                <w:szCs w:val="18"/>
              </w:rPr>
              <w:t>Aufmerksam mittragen, nicht kommentieren</w:t>
            </w:r>
          </w:p>
        </w:tc>
      </w:tr>
    </w:tbl>
    <w:p w14:paraId="70A50585"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88"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586" w14:textId="77777777" w:rsidR="00C1548D" w:rsidRDefault="009B1B4B">
            <w:pPr>
              <w:keepNext/>
              <w:spacing w:after="70" w:line="240" w:lineRule="auto"/>
            </w:pPr>
            <w:r>
              <w:rPr>
                <w:b/>
                <w:bCs/>
                <w:color w:val="8A6212"/>
                <w:spacing w:val="24"/>
                <w:sz w:val="16"/>
                <w:szCs w:val="16"/>
              </w:rPr>
              <w:t>MERKE</w:t>
            </w:r>
          </w:p>
          <w:p w14:paraId="70A50587" w14:textId="77777777" w:rsidR="00C1548D" w:rsidRDefault="009B1B4B">
            <w:pPr>
              <w:spacing w:after="80" w:line="264" w:lineRule="auto"/>
            </w:pPr>
            <w:r>
              <w:rPr>
                <w:sz w:val="20"/>
                <w:szCs w:val="20"/>
              </w:rPr>
              <w:t>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tc>
      </w:tr>
    </w:tbl>
    <w:p w14:paraId="70A50589" w14:textId="77777777" w:rsidR="00C1548D" w:rsidRDefault="00C1548D">
      <w:pPr>
        <w:spacing w:line="220" w:lineRule="exact"/>
      </w:pPr>
    </w:p>
    <w:p w14:paraId="70A5058A" w14:textId="77777777" w:rsidR="00C1548D" w:rsidRDefault="009B1B4B">
      <w:pPr>
        <w:pStyle w:val="Heading3"/>
        <w:keepNext/>
        <w:jc w:val="center"/>
      </w:pPr>
      <w:r>
        <w:rPr>
          <w:rFonts w:ascii="Amazon Ember" w:eastAsia="Amazon Ember" w:hAnsi="Amazon Ember" w:cs="Amazon Ember"/>
          <w:color w:val="0000FF"/>
          <w:sz w:val="36"/>
          <w:szCs w:val="36"/>
        </w:rPr>
        <w:t>Neuseeländisches Englisch vor der Abreise trainieren</w:t>
      </w:r>
    </w:p>
    <w:p w14:paraId="70A5058B" w14:textId="77777777" w:rsidR="00C1548D" w:rsidRDefault="009B1B4B">
      <w:pPr>
        <w:spacing w:after="140"/>
      </w:pPr>
      <w:r>
        <w:t>Schulenglisch ist meist britisch geprägt; der neuseeländische Alltagston mit seiner eigenen Sprechmelodie und Māori-Lehnwörtern (siehe oben) klingt trotzdem anfangs ungewohnt. Bücher mit einfacher, dialoggetriebener Prosa bauen Wortschatz am schnellsten auf: Stephen King, John Grisham oder Lee Child eignen sich unabhängig vom Zielland. Die „Accent Expert“-Reihe von WIRED auf YouTube (Dialektcoach Erik Singer) erklärt anschaulich, woran du neuseeländisches von australischem und amerikanischem Englisch unters</w:t>
      </w:r>
      <w:r>
        <w:t>cheidest – für ungeübte Ohren klingen die beiden Südhalbkugel-Akzente zunächst ähnlich, Kiwis selbst hören den Unterschied sofort.</w:t>
      </w:r>
    </w:p>
    <w:p w14:paraId="70A5058C" w14:textId="77777777" w:rsidR="00C1548D" w:rsidRDefault="009B1B4B">
      <w:pPr>
        <w:spacing w:after="140"/>
      </w:pPr>
      <w:r>
        <w:t xml:space="preserve">Für den Originalton eignen sich zwei neuseeländische Filme besonders gut: „What We Do in the Shadows“ (Taika-Waititi-Klassiker, auf Amazon Prime Video Deutschland mit deutscher und englischer Tonspur) und „Hunt for the Wilderpeople“ (ebenfalls </w:t>
      </w:r>
      <w:r>
        <w:lastRenderedPageBreak/>
        <w:t>Waititi, bei Netflix oder Amazon oft im Angebot). Prüfe die aktuelle Verfügbarkeit auf JustWatch.de,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w14:paraId="70A5058D" w14:textId="3935C51E" w:rsidR="00C1548D" w:rsidRDefault="009B1B4B">
      <w:pPr>
        <w:spacing w:after="140"/>
      </w:pPr>
      <w:r>
        <w:t xml:space="preserve">Für Kinder gilt eine andere, altersabhängige Auswahl – dazu mehr im </w:t>
      </w:r>
      <w:hyperlink w:anchor="tnz13" w:history="1">
        <w:r>
          <w:rPr>
            <w:color w:val="0563C1"/>
            <w:u w:val="single"/>
          </w:rPr>
          <w:t>Kapitel zu Kindern, Schule und Sprache in diesem Teil</w:t>
        </w:r>
      </w:hyperlink>
      <w:r>
        <w:t>.</w:t>
      </w:r>
    </w:p>
    <w:p w14:paraId="70A5058E"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60"/>
        <w:gridCol w:w="3620"/>
      </w:tblGrid>
      <w:tr w:rsidR="00C1548D" w14:paraId="70A50591" w14:textId="77777777">
        <w:tblPrEx>
          <w:tblCellMar>
            <w:top w:w="0" w:type="dxa"/>
            <w:bottom w:w="0" w:type="dxa"/>
          </w:tblCellMar>
        </w:tblPrEx>
        <w:trPr>
          <w:cantSplit/>
          <w:tblHeader/>
        </w:trPr>
        <w:tc>
          <w:tcPr>
            <w:tcW w:w="28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8F" w14:textId="77777777" w:rsidR="00C1548D" w:rsidRDefault="009B1B4B">
            <w:pPr>
              <w:spacing w:line="250" w:lineRule="auto"/>
            </w:pPr>
            <w:r>
              <w:rPr>
                <w:b/>
                <w:bCs/>
                <w:sz w:val="18"/>
                <w:szCs w:val="18"/>
              </w:rPr>
              <w:t>Plus</w:t>
            </w:r>
          </w:p>
        </w:tc>
        <w:tc>
          <w:tcPr>
            <w:tcW w:w="362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90" w14:textId="77777777" w:rsidR="00C1548D" w:rsidRDefault="009B1B4B">
            <w:pPr>
              <w:spacing w:line="250" w:lineRule="auto"/>
            </w:pPr>
            <w:r>
              <w:rPr>
                <w:b/>
                <w:bCs/>
                <w:sz w:val="18"/>
                <w:szCs w:val="18"/>
              </w:rPr>
              <w:t>Minus</w:t>
            </w:r>
          </w:p>
        </w:tc>
      </w:tr>
      <w:tr w:rsidR="00C1548D" w14:paraId="70A50594" w14:textId="77777777">
        <w:tblPrEx>
          <w:tblCellMar>
            <w:top w:w="0" w:type="dxa"/>
            <w:bottom w:w="0" w:type="dxa"/>
          </w:tblCellMar>
        </w:tblPrEx>
        <w:trPr>
          <w:cantSplit/>
        </w:trPr>
        <w:tc>
          <w:tcPr>
            <w:tcW w:w="2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92" w14:textId="77777777" w:rsidR="00C1548D" w:rsidRDefault="009B1B4B">
            <w:pPr>
              <w:spacing w:line="250" w:lineRule="auto"/>
            </w:pPr>
            <w:r>
              <w:rPr>
                <w:sz w:val="18"/>
                <w:szCs w:val="18"/>
              </w:rPr>
              <w:t>Schnelle, unkomplizierte Kontakte im Alltag</w:t>
            </w:r>
          </w:p>
        </w:tc>
        <w:tc>
          <w:tcPr>
            <w:tcW w:w="3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93" w14:textId="18E48F3A" w:rsidR="00C1548D" w:rsidRDefault="009B1B4B">
            <w:pPr>
              <w:spacing w:line="250" w:lineRule="auto"/>
            </w:pPr>
            <w:r>
              <w:rPr>
                <w:sz w:val="18"/>
                <w:szCs w:val="18"/>
              </w:rPr>
              <w:t xml:space="preserve">Echte Nähe braucht trotzdem Zeit (siehe das </w:t>
            </w:r>
            <w:hyperlink w:anchor="tnz12" w:history="1">
              <w:r>
                <w:rPr>
                  <w:color w:val="0563C1"/>
                  <w:sz w:val="18"/>
                  <w:szCs w:val="18"/>
                  <w:u w:val="single"/>
                </w:rPr>
                <w:t>Kapitel zu Freundschaften in diesem Teil</w:t>
              </w:r>
            </w:hyperlink>
            <w:r>
              <w:rPr>
                <w:sz w:val="18"/>
                <w:szCs w:val="18"/>
              </w:rPr>
              <w:t>)</w:t>
            </w:r>
          </w:p>
        </w:tc>
      </w:tr>
      <w:tr w:rsidR="00C1548D" w14:paraId="70A50597" w14:textId="77777777">
        <w:tblPrEx>
          <w:tblCellMar>
            <w:top w:w="0" w:type="dxa"/>
            <w:bottom w:w="0" w:type="dxa"/>
          </w:tblCellMar>
        </w:tblPrEx>
        <w:trPr>
          <w:cantSplit/>
        </w:trPr>
        <w:tc>
          <w:tcPr>
            <w:tcW w:w="2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95" w14:textId="77777777" w:rsidR="00C1548D" w:rsidRDefault="009B1B4B">
            <w:pPr>
              <w:spacing w:line="250" w:lineRule="auto"/>
            </w:pPr>
            <w:r>
              <w:rPr>
                <w:sz w:val="18"/>
                <w:szCs w:val="18"/>
              </w:rPr>
              <w:t>Wenig Hierarchie-Theater im Job</w:t>
            </w:r>
          </w:p>
        </w:tc>
        <w:tc>
          <w:tcPr>
            <w:tcW w:w="3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96" w14:textId="77777777" w:rsidR="00C1548D" w:rsidRDefault="009B1B4B">
            <w:pPr>
              <w:spacing w:line="250" w:lineRule="auto"/>
            </w:pPr>
            <w:r>
              <w:rPr>
                <w:sz w:val="18"/>
                <w:szCs w:val="18"/>
              </w:rPr>
              <w:t>Kritik richtig zu deuten braucht Übung</w:t>
            </w:r>
          </w:p>
        </w:tc>
      </w:tr>
      <w:tr w:rsidR="00C1548D" w14:paraId="70A5059A" w14:textId="77777777">
        <w:tblPrEx>
          <w:tblCellMar>
            <w:top w:w="0" w:type="dxa"/>
            <w:bottom w:w="0" w:type="dxa"/>
          </w:tblCellMar>
        </w:tblPrEx>
        <w:trPr>
          <w:cantSplit/>
        </w:trPr>
        <w:tc>
          <w:tcPr>
            <w:tcW w:w="2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98" w14:textId="77777777" w:rsidR="00C1548D" w:rsidRDefault="009B1B4B">
            <w:pPr>
              <w:spacing w:line="250" w:lineRule="auto"/>
            </w:pPr>
            <w:r>
              <w:rPr>
                <w:sz w:val="18"/>
                <w:szCs w:val="18"/>
              </w:rPr>
              <w:t>Bikulturelle Rituale schaffen Zugehörigkeit</w:t>
            </w:r>
          </w:p>
        </w:tc>
        <w:tc>
          <w:tcPr>
            <w:tcW w:w="3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99" w14:textId="77777777" w:rsidR="00C1548D" w:rsidRDefault="009B1B4B">
            <w:pPr>
              <w:spacing w:line="250" w:lineRule="auto"/>
            </w:pPr>
            <w:r>
              <w:rPr>
                <w:sz w:val="18"/>
                <w:szCs w:val="18"/>
              </w:rPr>
              <w:t>Wer Te Ao Māori ignoriert, wirkt schnell respektlos</w:t>
            </w:r>
          </w:p>
        </w:tc>
      </w:tr>
      <w:tr w:rsidR="00C1548D" w14:paraId="70A5059D" w14:textId="77777777">
        <w:tblPrEx>
          <w:tblCellMar>
            <w:top w:w="0" w:type="dxa"/>
            <w:bottom w:w="0" w:type="dxa"/>
          </w:tblCellMar>
        </w:tblPrEx>
        <w:trPr>
          <w:cantSplit/>
        </w:trPr>
        <w:tc>
          <w:tcPr>
            <w:tcW w:w="2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9B" w14:textId="77777777" w:rsidR="00C1548D" w:rsidRDefault="009B1B4B">
            <w:pPr>
              <w:spacing w:line="250" w:lineRule="auto"/>
            </w:pPr>
            <w:r>
              <w:rPr>
                <w:sz w:val="18"/>
                <w:szCs w:val="18"/>
              </w:rPr>
              <w:t>Entspannter Umgang mit kleinen Pannen</w:t>
            </w:r>
          </w:p>
        </w:tc>
        <w:tc>
          <w:tcPr>
            <w:tcW w:w="3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9C" w14:textId="77777777" w:rsidR="00C1548D" w:rsidRDefault="009B1B4B">
            <w:pPr>
              <w:spacing w:line="250" w:lineRule="auto"/>
            </w:pPr>
            <w:r>
              <w:rPr>
                <w:sz w:val="18"/>
                <w:szCs w:val="18"/>
              </w:rPr>
              <w:t>Gelassenheit kann bei echten Problemen wie Trägheit wirken</w:t>
            </w:r>
          </w:p>
        </w:tc>
      </w:tr>
      <w:tr w:rsidR="00C1548D" w14:paraId="70A505A0" w14:textId="77777777">
        <w:tblPrEx>
          <w:tblCellMar>
            <w:top w:w="0" w:type="dxa"/>
            <w:bottom w:w="0" w:type="dxa"/>
          </w:tblCellMar>
        </w:tblPrEx>
        <w:trPr>
          <w:cantSplit/>
        </w:trPr>
        <w:tc>
          <w:tcPr>
            <w:tcW w:w="2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9E" w14:textId="77777777" w:rsidR="00C1548D" w:rsidRDefault="009B1B4B">
            <w:pPr>
              <w:spacing w:line="250" w:lineRule="auto"/>
            </w:pPr>
            <w:r>
              <w:rPr>
                <w:sz w:val="18"/>
                <w:szCs w:val="18"/>
              </w:rPr>
              <w:t>Beeindruckende Natur direkt vor der Haustür</w:t>
            </w:r>
          </w:p>
        </w:tc>
        <w:tc>
          <w:tcPr>
            <w:tcW w:w="3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9F" w14:textId="77777777" w:rsidR="00C1548D" w:rsidRDefault="009B1B4B">
            <w:pPr>
              <w:spacing w:line="250" w:lineRule="auto"/>
            </w:pPr>
            <w:r>
              <w:rPr>
                <w:sz w:val="18"/>
                <w:szCs w:val="18"/>
              </w:rPr>
              <w:t>Geografische Isolation erschwert spontane Deutschlandbesuche</w:t>
            </w:r>
          </w:p>
        </w:tc>
      </w:tr>
    </w:tbl>
    <w:p w14:paraId="70A505A1" w14:textId="77777777" w:rsidR="00C1548D" w:rsidRDefault="00C1548D">
      <w:pPr>
        <w:spacing w:line="180" w:lineRule="exact"/>
      </w:pPr>
    </w:p>
    <w:p w14:paraId="70A505A2"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5A3" w14:textId="77777777" w:rsidR="00C1548D" w:rsidRDefault="009B1B4B">
      <w:pPr>
        <w:spacing w:after="140"/>
      </w:pPr>
      <w:r>
        <w:t>Beobachte in den ersten Wochen bewusst, wie Kolleginnen und Nachbarn Kritik formulieren, wie Meetings eröffnet werden und wie selbstverständlich Vornamen fallen. Übernimm das Muster, statt es zu bewerten, und plane den Kontakt nach Deutschland von Anfang an mit fester Zeitverschiebung statt mit Spontaneität.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AD"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5A4" w14:textId="77777777" w:rsidR="00C1548D" w:rsidRDefault="009B1B4B">
            <w:pPr>
              <w:keepNext/>
              <w:spacing w:after="70" w:line="240" w:lineRule="auto"/>
            </w:pPr>
            <w:r>
              <w:rPr>
                <w:b/>
                <w:bCs/>
                <w:color w:val="1F6F78"/>
                <w:spacing w:val="24"/>
                <w:sz w:val="16"/>
                <w:szCs w:val="16"/>
              </w:rPr>
              <w:lastRenderedPageBreak/>
              <w:t>CHECKLISTE</w:t>
            </w:r>
          </w:p>
          <w:p w14:paraId="70A505A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Vornamen-Anrede im neuen Job und unter Nachbarn von Anfang an übernommen</w:t>
            </w:r>
          </w:p>
          <w:p w14:paraId="70A505A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Grundbegriffe auf Te Reo Māori (Kia ora, Ngā mihi) eingeübt</w:t>
            </w:r>
          </w:p>
          <w:p w14:paraId="70A505A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Verhalten bei Pōwhiri oder Karakia im Job vorab erfragt</w:t>
            </w:r>
          </w:p>
          <w:p w14:paraId="70A505A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 Kritik bewusst indirekter formuliert, mit Frage statt Feststellung</w:t>
            </w:r>
          </w:p>
          <w:p w14:paraId="70A505A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Zurückhaltende Antworten („yeah, nah“, „we’ll see“) richtig eingeordnet</w:t>
            </w:r>
          </w:p>
          <w:p w14:paraId="70A505A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Festen Videotelefonie-Termin mit der Familie in Deutschland unter Berücksichtigung der Zeitverschiebung eingerichtet</w:t>
            </w:r>
          </w:p>
          <w:p w14:paraId="70A505A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Reisebudget und Vorlaufzeit für Deutschlandbesuche realistisch eingeplant</w:t>
            </w:r>
          </w:p>
          <w:p w14:paraId="70A505A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Marae-Besuchen vorab nach den geltenden Umgangsformen gefragt</w:t>
            </w:r>
          </w:p>
        </w:tc>
      </w:tr>
    </w:tbl>
    <w:p w14:paraId="70A505AE" w14:textId="77777777" w:rsidR="00C1548D" w:rsidRDefault="00C1548D">
      <w:pPr>
        <w:spacing w:line="220" w:lineRule="exact"/>
      </w:pPr>
    </w:p>
    <w:p w14:paraId="70A505AF"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5B0" w14:textId="1B6FA8E2" w:rsidR="00C1548D" w:rsidRDefault="009B1B4B" w:rsidP="009B1B4B">
      <w:pPr>
        <w:pStyle w:val="ListParagraph"/>
        <w:numPr>
          <w:ilvl w:val="0"/>
          <w:numId w:val="1"/>
        </w:numPr>
        <w:spacing w:after="60"/>
      </w:pPr>
      <w:r>
        <w:t>Te Puni Kōkiri (Ministerium für Māori-Entwicklung) — Te Ao Māori im Alltag und am Arbeitsplatz (</w:t>
      </w:r>
      <w:hyperlink r:id="rId661" w:history="1">
        <w:r>
          <w:rPr>
            <w:color w:val="0563C1"/>
            <w:u w:val="single"/>
          </w:rPr>
          <w:t>tpk.govt.nz</w:t>
        </w:r>
      </w:hyperlink>
      <w:r>
        <w:t>)</w:t>
      </w:r>
    </w:p>
    <w:p w14:paraId="70A505B1" w14:textId="39519164" w:rsidR="00C1548D" w:rsidRDefault="009B1B4B" w:rsidP="009B1B4B">
      <w:pPr>
        <w:pStyle w:val="ListParagraph"/>
        <w:numPr>
          <w:ilvl w:val="0"/>
          <w:numId w:val="1"/>
        </w:numPr>
        <w:spacing w:after="60"/>
      </w:pPr>
      <w:r>
        <w:t>New Zealand Now, Immigration New Zealand — Einleben und Alltagskultur (</w:t>
      </w:r>
      <w:hyperlink r:id="rId662" w:history="1">
        <w:r>
          <w:rPr>
            <w:color w:val="0563C1"/>
            <w:u w:val="single"/>
          </w:rPr>
          <w:t>newzealand.govt.nz</w:t>
        </w:r>
      </w:hyperlink>
      <w:r>
        <w:t>)</w:t>
      </w:r>
    </w:p>
    <w:p w14:paraId="70A505B2" w14:textId="7D56C270" w:rsidR="00C1548D" w:rsidRDefault="009B1B4B" w:rsidP="009B1B4B">
      <w:pPr>
        <w:pStyle w:val="ListParagraph"/>
        <w:numPr>
          <w:ilvl w:val="0"/>
          <w:numId w:val="1"/>
        </w:numPr>
        <w:spacing w:after="60"/>
      </w:pPr>
      <w:r>
        <w:t>Ministry for Culture and Heritage — Vertrag von Waitangi, Te Reo Māori (</w:t>
      </w:r>
      <w:hyperlink r:id="rId663" w:history="1">
        <w:r>
          <w:rPr>
            <w:color w:val="0563C1"/>
            <w:u w:val="single"/>
          </w:rPr>
          <w:t>mch.govt.nz</w:t>
        </w:r>
      </w:hyperlink>
      <w:r>
        <w:t>)</w:t>
      </w:r>
    </w:p>
    <w:p w14:paraId="70A505B3" w14:textId="13A1A6D2" w:rsidR="00C1548D" w:rsidRDefault="009B1B4B" w:rsidP="009B1B4B">
      <w:pPr>
        <w:pStyle w:val="ListParagraph"/>
        <w:numPr>
          <w:ilvl w:val="0"/>
          <w:numId w:val="1"/>
        </w:numPr>
        <w:spacing w:after="60"/>
      </w:pPr>
      <w:r>
        <w:t>Stats NZ — Bevölkerung, Herkunft und Lebensverhältnisse (</w:t>
      </w:r>
      <w:hyperlink r:id="rId664" w:history="1">
        <w:r>
          <w:rPr>
            <w:color w:val="0563C1"/>
            <w:u w:val="single"/>
          </w:rPr>
          <w:t>stats.govt.nz</w:t>
        </w:r>
      </w:hyperlink>
      <w:r>
        <w:t>)</w:t>
      </w:r>
    </w:p>
    <w:p w14:paraId="70A505B4"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B7"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5B5" w14:textId="77777777" w:rsidR="00C1548D" w:rsidRDefault="009B1B4B">
            <w:pPr>
              <w:keepNext/>
              <w:spacing w:after="70" w:line="240" w:lineRule="auto"/>
            </w:pPr>
            <w:r>
              <w:rPr>
                <w:b/>
                <w:bCs/>
                <w:color w:val="6B7280"/>
                <w:spacing w:val="24"/>
                <w:sz w:val="16"/>
                <w:szCs w:val="16"/>
              </w:rPr>
              <w:t>STAND</w:t>
            </w:r>
          </w:p>
          <w:p w14:paraId="70A505B6" w14:textId="77777777" w:rsidR="00C1548D" w:rsidRDefault="009B1B4B">
            <w:pPr>
              <w:spacing w:after="80" w:line="264" w:lineRule="auto"/>
            </w:pPr>
            <w:r>
              <w:rPr>
                <w:sz w:val="20"/>
                <w:szCs w:val="20"/>
              </w:rPr>
              <w:t>September 2026. Diese Angaben ändern sich langsamer als Zahlen und Fristen, sind aber Tendenzen und keine Messwerte: Wahrnehmungen zu Kommunikationsstil und Umgangsformen schwanken je nach Region, Branche und Generation. Prüfe im Zweifel, etwa vor einem Pōwhiri, direkt bei den Beteiligten vor Ort nach.</w:t>
            </w:r>
          </w:p>
        </w:tc>
      </w:tr>
    </w:tbl>
    <w:p w14:paraId="70A505B8" w14:textId="77777777" w:rsidR="00C1548D" w:rsidRDefault="00C1548D">
      <w:pPr>
        <w:spacing w:line="220" w:lineRule="exact"/>
      </w:pPr>
    </w:p>
    <w:p w14:paraId="70A505B9" w14:textId="77777777" w:rsidR="00C1548D" w:rsidRDefault="009B1B4B">
      <w:pPr>
        <w:pStyle w:val="Heading2"/>
        <w:keepNext/>
        <w:pageBreakBefore/>
        <w:jc w:val="center"/>
      </w:pPr>
      <w:bookmarkStart w:id="190" w:name="tnz12"/>
      <w:bookmarkStart w:id="191" w:name="_Toc241352547"/>
      <w:r>
        <w:rPr>
          <w:rFonts w:ascii="Amazon Ember" w:eastAsia="Amazon Ember" w:hAnsi="Amazon Ember" w:cs="Amazon Ember"/>
          <w:color w:val="0000FF"/>
          <w:sz w:val="36"/>
          <w:szCs w:val="36"/>
        </w:rPr>
        <w:lastRenderedPageBreak/>
        <w:t>Neuseeland: Freunde finden und der Kulturschock der Distanz</w:t>
      </w:r>
      <w:bookmarkEnd w:id="190"/>
      <w:bookmarkEnd w:id="191"/>
    </w:p>
    <w:p w14:paraId="70A505BA" w14:textId="77777777" w:rsidR="00C1548D" w:rsidRDefault="009B1B4B">
      <w:pPr>
        <w:spacing w:after="140"/>
      </w:pPr>
      <w:r>
        <w:t>„Kia ora, how’s it going?“ ruft die Nachbarin über den niedrigen Gartenzaun, während sie in Jandals (den hier allgegenwärtigen Flip-Flops) zum Briefkasten schlurft. Eine ausführliche Antwort erwartet sie nicht – „Kia ora“ (der Māori-Gruß, mittlerweile fester Bestandteil des neuseeländischen Alltagsenglisch für „Hallo“) plus ein knappes „Good, thanks“ reicht vollkommen. Komplizierter wird es abends, wenn du im Kopf nachrechnest, wie spät es gerade bei den Eltern in Deutschland ist, und merkst: Neuseeland ist</w:t>
      </w:r>
      <w:r>
        <w:t xml:space="preserve"> nicht einfach „noch etwas weiter weg als Australien“, sondern, nüchtern betrachtet, ziemlich am anderen Ende der Welt – und genau das prägt Freundschaften und Heimweh hier auf eine Weise, die kein anderes Ziel dieses Buches in dieser Deutlichkeit kennt.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C2"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5BB" w14:textId="77777777" w:rsidR="00C1548D" w:rsidRDefault="009B1B4B">
            <w:pPr>
              <w:keepNext/>
              <w:spacing w:after="70" w:line="240" w:lineRule="auto"/>
            </w:pPr>
            <w:r>
              <w:rPr>
                <w:b/>
                <w:bCs/>
                <w:color w:val="1F3A5F"/>
                <w:spacing w:val="24"/>
                <w:sz w:val="16"/>
                <w:szCs w:val="16"/>
              </w:rPr>
              <w:lastRenderedPageBreak/>
              <w:t>KURZ GESAGT</w:t>
            </w:r>
          </w:p>
          <w:p w14:paraId="70A505BC" w14:textId="77777777" w:rsidR="00C1548D" w:rsidRDefault="009B1B4B" w:rsidP="009B1B4B">
            <w:pPr>
              <w:pStyle w:val="ListParagraph"/>
              <w:numPr>
                <w:ilvl w:val="0"/>
                <w:numId w:val="1"/>
              </w:numPr>
              <w:spacing w:after="50" w:line="264" w:lineRule="auto"/>
            </w:pPr>
            <w:r>
              <w:rPr>
                <w:sz w:val="20"/>
                <w:szCs w:val="20"/>
              </w:rPr>
              <w:t>Neuseeländische Freundlichkeit ist echt, aber zurückhaltend: Kiwis öffnen die Tür bereitwillig, laden seltener spontan ins Wohnzimmer ein, als es sich im ersten Moment anfühlt.</w:t>
            </w:r>
          </w:p>
          <w:p w14:paraId="70A505BD" w14:textId="77777777" w:rsidR="00C1548D" w:rsidRDefault="009B1B4B" w:rsidP="009B1B4B">
            <w:pPr>
              <w:pStyle w:val="ListParagraph"/>
              <w:numPr>
                <w:ilvl w:val="0"/>
                <w:numId w:val="1"/>
              </w:numPr>
              <w:spacing w:after="50" w:line="264" w:lineRule="auto"/>
            </w:pPr>
            <w:r>
              <w:rPr>
                <w:sz w:val="20"/>
                <w:szCs w:val="20"/>
              </w:rPr>
              <w:t>Sportvereine (vor allem Rugby und Netball), Krabbelgruppen, Freiwilligenarbeit bei Feuerwehr oder Nachbarschaftswache und der Kontakt über die eigenen Kinder sind die verlässlichsten Wege zu festen Bekanntschaften.</w:t>
            </w:r>
          </w:p>
          <w:p w14:paraId="70A505BE" w14:textId="77777777" w:rsidR="00C1548D" w:rsidRDefault="009B1B4B" w:rsidP="009B1B4B">
            <w:pPr>
              <w:pStyle w:val="ListParagraph"/>
              <w:numPr>
                <w:ilvl w:val="0"/>
                <w:numId w:val="1"/>
              </w:numPr>
              <w:spacing w:after="50" w:line="264" w:lineRule="auto"/>
            </w:pPr>
            <w:r>
              <w:rPr>
                <w:sz w:val="20"/>
                <w:szCs w:val="20"/>
              </w:rPr>
              <w:t>Die deutsche Infrastruktur konzentriert sich auf Wellington; Auckland hat wenig, Christchurch fast nichts – abseits davon bist du überwiegend auf dich gestellt.</w:t>
            </w:r>
          </w:p>
          <w:p w14:paraId="70A505BF" w14:textId="77777777" w:rsidR="00C1548D" w:rsidRDefault="009B1B4B" w:rsidP="009B1B4B">
            <w:pPr>
              <w:pStyle w:val="ListParagraph"/>
              <w:numPr>
                <w:ilvl w:val="0"/>
                <w:numId w:val="1"/>
              </w:numPr>
              <w:spacing w:after="50" w:line="264" w:lineRule="auto"/>
            </w:pPr>
            <w:r>
              <w:rPr>
                <w:sz w:val="20"/>
                <w:szCs w:val="20"/>
              </w:rPr>
              <w:t>Neuseeland liegt für deutsche Verhältnisse extrem weit weg: keine Direktflüge, meist 24 bis 27 Stunden Reisezeit, 10 bis 12 Stunden Zeitverschiebung – eine Distanz, die noch über der Australiens liegt.</w:t>
            </w:r>
          </w:p>
          <w:p w14:paraId="70A505C0" w14:textId="77777777" w:rsidR="00C1548D" w:rsidRDefault="009B1B4B" w:rsidP="009B1B4B">
            <w:pPr>
              <w:pStyle w:val="ListParagraph"/>
              <w:numPr>
                <w:ilvl w:val="0"/>
                <w:numId w:val="1"/>
              </w:numPr>
              <w:spacing w:after="50" w:line="264" w:lineRule="auto"/>
            </w:pPr>
            <w:r>
              <w:rPr>
                <w:sz w:val="20"/>
                <w:szCs w:val="20"/>
              </w:rPr>
              <w:t>Die kritischsten Monate sind meist der dritte bis sechste, verschärft durch ein Weihnachtsfest am Strand statt am Tannenbaum.</w:t>
            </w:r>
          </w:p>
          <w:p w14:paraId="70A505C1" w14:textId="77777777" w:rsidR="00C1548D" w:rsidRDefault="009B1B4B" w:rsidP="009B1B4B">
            <w:pPr>
              <w:pStyle w:val="ListParagraph"/>
              <w:numPr>
                <w:ilvl w:val="0"/>
                <w:numId w:val="1"/>
              </w:numPr>
              <w:spacing w:after="50" w:line="264" w:lineRule="auto"/>
            </w:pPr>
            <w:r>
              <w:rPr>
                <w:sz w:val="20"/>
                <w:szCs w:val="20"/>
              </w:rPr>
              <w:t>Bei anhaltender Erschöpfung oder Einsamkeit gibt es rund um die Uhr erreichbare, kostenlose Hilfe.</w:t>
            </w:r>
          </w:p>
        </w:tc>
      </w:tr>
    </w:tbl>
    <w:p w14:paraId="70A505C3" w14:textId="77777777" w:rsidR="00C1548D" w:rsidRDefault="00C1548D">
      <w:pPr>
        <w:spacing w:line="220" w:lineRule="exact"/>
      </w:pPr>
    </w:p>
    <w:p w14:paraId="70A505C4" w14:textId="77777777" w:rsidR="00C1548D" w:rsidRDefault="009B1B4B">
      <w:pPr>
        <w:pStyle w:val="Heading3"/>
        <w:keepNext/>
        <w:jc w:val="center"/>
      </w:pPr>
      <w:r>
        <w:rPr>
          <w:rFonts w:ascii="Amazon Ember" w:eastAsia="Amazon Ember" w:hAnsi="Amazon Ember" w:cs="Amazon Ember"/>
          <w:color w:val="0000FF"/>
          <w:sz w:val="36"/>
          <w:szCs w:val="36"/>
        </w:rPr>
        <w:t>Kiwi-Freundlichkeit: höflich, zurückhaltend, gründlich unaufgeregt</w:t>
      </w:r>
    </w:p>
    <w:p w14:paraId="70A505C5" w14:textId="77777777" w:rsidR="00C1548D" w:rsidRDefault="009B1B4B">
      <w:pPr>
        <w:spacing w:after="140"/>
      </w:pPr>
      <w:r>
        <w:t>Neuseeland gilt als eine der informellsten westlichen Gesellschaften überhaupt: Vornamen-Anrede ist Standard, auch gegenüber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 ein deutlicher Unterschied zur als sehr direkt wahrgenommenen deutschen</w:t>
      </w:r>
      <w:r>
        <w:t xml:space="preserve"> Gesprächskultur. Kritik wird selten offen ausgesprochen, Ablehnung selten klar formuliert; „yeah, maybe“ bedeutet in vielen Zusammenhängen ein höfliches Nein, kein vages Vielleicht.</w:t>
      </w:r>
    </w:p>
    <w:p w14:paraId="70A505C6" w14:textId="77777777" w:rsidR="00C1548D" w:rsidRDefault="009B1B4B">
      <w:pPr>
        <w:spacing w:after="140"/>
      </w:pPr>
      <w:r>
        <w:lastRenderedPageBreak/>
        <w:t xml:space="preserve">Verbreiteter Irrtum: Viele stellen sich Neuseeländer als eine Art ruhigere Kopie der Australier vor –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 oder umgekehrt beiläufige Freundlichkeit als festen Freundschaftsantrag. Die Realität liegt dazwischen: </w:t>
      </w:r>
      <w:r>
        <w:t>freundlich, aber gründlich unaufgeregt.</w:t>
      </w:r>
    </w:p>
    <w:p w14:paraId="70A505C7" w14:textId="77777777" w:rsidR="00C1548D" w:rsidRDefault="009B1B4B">
      <w:pPr>
        <w:spacing w:after="140"/>
      </w:pPr>
      <w:r>
        <w:t xml:space="preserve">Typisch für diese Grundhaltung ist die Redewendung „she’ll be right“ (sinngemäß „wird schon werden“), die auf beinahe jedes Problem angewendet wird, vom verspäteten Bus bis zur undichten Wasserleitung. Verwandt damit ist die sogenannte </w:t>
      </w:r>
      <w:r>
        <w:rPr>
          <w:i/>
          <w:iCs/>
        </w:rPr>
        <w:t>No.-8-wire</w:t>
      </w:r>
      <w:r>
        <w:t>-Mentalität (benannt nach dem Standard-Zaundraht, mit dem findige Farmer früher praktisch alles reparierten) – ein tief verwurzelter Stolz 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CA"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5C8" w14:textId="77777777" w:rsidR="00C1548D" w:rsidRDefault="009B1B4B">
            <w:pPr>
              <w:keepNext/>
              <w:spacing w:after="70" w:line="240" w:lineRule="auto"/>
            </w:pPr>
            <w:r>
              <w:rPr>
                <w:b/>
                <w:bCs/>
                <w:color w:val="8A6212"/>
                <w:spacing w:val="24"/>
                <w:sz w:val="16"/>
                <w:szCs w:val="16"/>
              </w:rPr>
              <w:t>MERKE</w:t>
            </w:r>
          </w:p>
          <w:p w14:paraId="70A505C9" w14:textId="77777777" w:rsidR="00C1548D" w:rsidRDefault="009B1B4B">
            <w:pPr>
              <w:spacing w:after="80" w:line="264" w:lineRule="auto"/>
            </w:pPr>
            <w:r>
              <w:rPr>
                <w:sz w:val="20"/>
                <w:szCs w:val="20"/>
              </w:rPr>
              <w:t>Ein entspanntes „Kia ora“ oder „How’s it going?“ ist ein Türöffner, keine Einladung ins Wohnzimmer. Nimm die erste Freundlichkeit dankbar an, erwarte die eigentliche Freundschaft aber erst nach mehreren Wiederholungen desselben Kontakts.</w:t>
            </w:r>
          </w:p>
        </w:tc>
      </w:tr>
    </w:tbl>
    <w:p w14:paraId="70A505CB" w14:textId="77777777" w:rsidR="00C1548D" w:rsidRDefault="00C1548D">
      <w:pPr>
        <w:spacing w:line="220" w:lineRule="exact"/>
      </w:pPr>
    </w:p>
    <w:p w14:paraId="70A505CC" w14:textId="77777777" w:rsidR="00C1548D" w:rsidRDefault="009B1B4B">
      <w:pPr>
        <w:spacing w:after="140"/>
      </w:pPr>
      <w:r>
        <w:t xml:space="preserve">Eine zusätzliche, spezifisch neuseeländische Ebene bildet </w:t>
      </w:r>
      <w:r>
        <w:rPr>
          <w:i/>
          <w:iCs/>
        </w:rPr>
        <w:t>Te Ao Māori</w:t>
      </w:r>
      <w:r>
        <w:t xml:space="preserve"> (die Māori-Weltsicht), die im Alltag präsenter ist, als viele Neuankömmlinge erwarten. Neue Mitarbeitende werden in manchen Organisationen mit einem </w:t>
      </w:r>
      <w:r>
        <w:rPr>
          <w:i/>
          <w:iCs/>
        </w:rPr>
        <w:t>Mihi Whakatau</w:t>
      </w:r>
      <w:r>
        <w:t xml:space="preserve"> oder einer formelleren </w:t>
      </w:r>
      <w:r>
        <w:rPr>
          <w:i/>
          <w:iCs/>
        </w:rPr>
        <w:t>Pōwhiri</w:t>
      </w:r>
      <w:r>
        <w:t xml:space="preserve"> (Willkommenszeremonie mit Reden, Liedern und einem kurzen einleitenden Ritual, der </w:t>
      </w:r>
      <w:r>
        <w:rPr>
          <w:i/>
          <w:iCs/>
        </w:rPr>
        <w:t>Karakia</w:t>
      </w:r>
      <w:r>
        <w:t xml:space="preserve">) begrüßt; Meetings beginnen und enden in vielen Behörden und zunehmend auch Unternehmen mit einer kurzen Karakia. Wer diesen Ritualen mit echtem Respekt </w:t>
      </w:r>
      <w:r>
        <w:lastRenderedPageBreak/>
        <w:t>statt mit Verlegenheit begegnet, gewinnt dabei überraschend oft die ersten Sympathiepunkte im neuen Job – ein Baustein für spätere Freundschaften, der in keinem anderen Land dieses Buches eine vergleichbare Rolle spielt.</w:t>
      </w:r>
    </w:p>
    <w:p w14:paraId="70A505CD" w14:textId="77777777" w:rsidR="00C1548D" w:rsidRDefault="009B1B4B">
      <w:pPr>
        <w:pStyle w:val="Heading3"/>
        <w:keepNext/>
        <w:jc w:val="center"/>
      </w:pPr>
      <w:r>
        <w:rPr>
          <w:rFonts w:ascii="Amazon Ember" w:eastAsia="Amazon Ember" w:hAnsi="Amazon Ember" w:cs="Amazon Ember"/>
          <w:color w:val="0000FF"/>
          <w:sz w:val="36"/>
          <w:szCs w:val="36"/>
        </w:rPr>
        <w:t>Wo du Anschluss findest: Sport, Vereine, Nachbarschaft</w:t>
      </w:r>
    </w:p>
    <w:p w14:paraId="70A505CE" w14:textId="77777777" w:rsidR="00C1548D" w:rsidRDefault="009B1B4B">
      <w:pPr>
        <w:spacing w:after="140"/>
      </w:pPr>
      <w:r>
        <w:t xml:space="preserve">Rugby ist mehr als Sport – die </w:t>
      </w:r>
      <w:r>
        <w:rPr>
          <w:i/>
          <w:iCs/>
        </w:rPr>
        <w:t>All Blacks</w:t>
      </w:r>
      <w:r>
        <w:t xml:space="preserve"> sind identitätsstiftend, und ein örtlicher Rugbyclub ist fast überall im Land ein sicherer sozialer Ankerpunkt, auch für Zugezogene ohne jede Ballerfahrung. Fast ebenso präsent ist </w:t>
      </w:r>
      <w:r>
        <w:rPr>
          <w:i/>
          <w:iCs/>
        </w:rPr>
        <w:t>Netball</w:t>
      </w:r>
      <w:r>
        <w:t xml:space="preserve">, in Neuseeland überwiegend, wenn auch nicht ausschließlich, von Frauen und Mädchen gespielt und mit eigenen Ligen bis in kleinste Orte organisiert. Wer weniger Kontaktsport sucht, findet in </w:t>
      </w:r>
      <w:r>
        <w:rPr>
          <w:i/>
          <w:iCs/>
        </w:rPr>
        <w:t>Touch</w:t>
      </w:r>
      <w:r>
        <w:t xml:space="preserve">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w:t>
      </w:r>
      <w:r>
        <w:rPr>
          <w:i/>
          <w:iCs/>
        </w:rPr>
        <w:t>Tramping</w:t>
      </w:r>
      <w:r>
        <w:t xml:space="preserve"> (Wandern über mehrere Tage, meist mit Hüttenübernachtung – ein eigenes neuseeländisches Wort, keine wörtliche Übersetzung von „trampen“) hat landesweit organisierte Clubs mit regelmäßigen Gruppentouren.</w:t>
      </w:r>
    </w:p>
    <w:p w14:paraId="70A505CF" w14:textId="77777777" w:rsidR="00C1548D" w:rsidRDefault="009B1B4B">
      <w:pPr>
        <w:spacing w:after="140"/>
      </w:pPr>
      <w:r>
        <w:t xml:space="preserve">Für Familien mit kleinen Kindern ist </w:t>
      </w:r>
      <w:r>
        <w:rPr>
          <w:i/>
          <w:iCs/>
        </w:rPr>
        <w:t>Plunket</w:t>
      </w:r>
      <w:r>
        <w:t xml:space="preserve">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w:t>
      </w:r>
      <w:r>
        <w:t xml:space="preserve"> suchen; </w:t>
      </w:r>
      <w:r>
        <w:rPr>
          <w:i/>
          <w:iCs/>
        </w:rPr>
        <w:t>Neighbourhood Support</w:t>
      </w:r>
      <w:r>
        <w:t xml:space="preserve"> (ein landesweites Netzwerk aus Nachbarschaftsgruppen zur gegenseitigen Wachsamkeit und Hilfe </w:t>
      </w:r>
      <w:r>
        <w:lastRenderedPageBreak/>
        <w:t>bei Notfällen) organisiert in vielen Straßenzügen feste Treffen. Wer sich für eine dieser Gruppen entscheidet, lernt Nachbarn kennen, die im Ernstfall ohnehin zusammenhalten müssen – eine Bekanntschaft, die oft tragfähiger ist als eine, die nur am Gartenzaun begann.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44"/>
        <w:gridCol w:w="3436"/>
      </w:tblGrid>
      <w:tr w:rsidR="00C1548D" w14:paraId="70A505D2" w14:textId="77777777">
        <w:tblPrEx>
          <w:tblCellMar>
            <w:top w:w="0" w:type="dxa"/>
            <w:bottom w:w="0" w:type="dxa"/>
          </w:tblCellMar>
        </w:tblPrEx>
        <w:trPr>
          <w:cantSplit/>
          <w:tblHeader/>
        </w:trPr>
        <w:tc>
          <w:tcPr>
            <w:tcW w:w="304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D0" w14:textId="77777777" w:rsidR="00C1548D" w:rsidRDefault="009B1B4B">
            <w:pPr>
              <w:spacing w:line="250" w:lineRule="auto"/>
            </w:pPr>
            <w:r>
              <w:rPr>
                <w:b/>
                <w:bCs/>
                <w:sz w:val="18"/>
                <w:szCs w:val="18"/>
              </w:rPr>
              <w:t>Weg zum Kontakt</w:t>
            </w:r>
          </w:p>
        </w:tc>
        <w:tc>
          <w:tcPr>
            <w:tcW w:w="343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D1" w14:textId="77777777" w:rsidR="00C1548D" w:rsidRDefault="009B1B4B">
            <w:pPr>
              <w:spacing w:line="250" w:lineRule="auto"/>
            </w:pPr>
            <w:r>
              <w:rPr>
                <w:b/>
                <w:bCs/>
                <w:sz w:val="18"/>
                <w:szCs w:val="18"/>
              </w:rPr>
              <w:t>Besonders geeignet für</w:t>
            </w:r>
          </w:p>
        </w:tc>
      </w:tr>
      <w:tr w:rsidR="00C1548D" w14:paraId="70A505D5" w14:textId="77777777">
        <w:tblPrEx>
          <w:tblCellMar>
            <w:top w:w="0" w:type="dxa"/>
            <w:bottom w:w="0" w:type="dxa"/>
          </w:tblCellMar>
        </w:tblPrEx>
        <w:trPr>
          <w:cantSplit/>
        </w:trPr>
        <w:tc>
          <w:tcPr>
            <w:tcW w:w="30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D3" w14:textId="77777777" w:rsidR="00C1548D" w:rsidRDefault="009B1B4B">
            <w:pPr>
              <w:spacing w:line="250" w:lineRule="auto"/>
            </w:pPr>
            <w:r>
              <w:rPr>
                <w:sz w:val="18"/>
                <w:szCs w:val="18"/>
              </w:rPr>
              <w:t>Rugbyclub, Netball, Touch, Cricket</w:t>
            </w:r>
          </w:p>
        </w:tc>
        <w:tc>
          <w:tcPr>
            <w:tcW w:w="34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D4" w14:textId="77777777" w:rsidR="00C1548D" w:rsidRDefault="009B1B4B">
            <w:pPr>
              <w:spacing w:line="250" w:lineRule="auto"/>
            </w:pPr>
            <w:r>
              <w:rPr>
                <w:sz w:val="18"/>
                <w:szCs w:val="18"/>
              </w:rPr>
              <w:t>breite Altersgruppen, auch ohne Vorerfahrung</w:t>
            </w:r>
          </w:p>
        </w:tc>
      </w:tr>
      <w:tr w:rsidR="00C1548D" w14:paraId="70A505D8" w14:textId="77777777">
        <w:tblPrEx>
          <w:tblCellMar>
            <w:top w:w="0" w:type="dxa"/>
            <w:bottom w:w="0" w:type="dxa"/>
          </w:tblCellMar>
        </w:tblPrEx>
        <w:trPr>
          <w:cantSplit/>
        </w:trPr>
        <w:tc>
          <w:tcPr>
            <w:tcW w:w="30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D6" w14:textId="77777777" w:rsidR="00C1548D" w:rsidRDefault="009B1B4B">
            <w:pPr>
              <w:spacing w:line="250" w:lineRule="auto"/>
            </w:pPr>
            <w:r>
              <w:rPr>
                <w:sz w:val="18"/>
                <w:szCs w:val="18"/>
              </w:rPr>
              <w:t>Plunket-Krabbelgruppe</w:t>
            </w:r>
          </w:p>
        </w:tc>
        <w:tc>
          <w:tcPr>
            <w:tcW w:w="34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D7" w14:textId="77777777" w:rsidR="00C1548D" w:rsidRDefault="009B1B4B">
            <w:pPr>
              <w:spacing w:line="250" w:lineRule="auto"/>
            </w:pPr>
            <w:r>
              <w:rPr>
                <w:sz w:val="18"/>
                <w:szCs w:val="18"/>
              </w:rPr>
              <w:t>Eltern mit Kleinkindern</w:t>
            </w:r>
          </w:p>
        </w:tc>
      </w:tr>
      <w:tr w:rsidR="00C1548D" w14:paraId="70A505DB" w14:textId="77777777">
        <w:tblPrEx>
          <w:tblCellMar>
            <w:top w:w="0" w:type="dxa"/>
            <w:bottom w:w="0" w:type="dxa"/>
          </w:tblCellMar>
        </w:tblPrEx>
        <w:trPr>
          <w:cantSplit/>
        </w:trPr>
        <w:tc>
          <w:tcPr>
            <w:tcW w:w="30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D9" w14:textId="77777777" w:rsidR="00C1548D" w:rsidRDefault="009B1B4B">
            <w:pPr>
              <w:spacing w:line="250" w:lineRule="auto"/>
            </w:pPr>
            <w:r>
              <w:rPr>
                <w:sz w:val="18"/>
                <w:szCs w:val="18"/>
              </w:rPr>
              <w:t>Freiwillige Feuerwehr, Neighbourhood Support</w:t>
            </w:r>
          </w:p>
        </w:tc>
        <w:tc>
          <w:tcPr>
            <w:tcW w:w="34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DA" w14:textId="77777777" w:rsidR="00C1548D" w:rsidRDefault="009B1B4B">
            <w:pPr>
              <w:spacing w:line="250" w:lineRule="auto"/>
            </w:pPr>
            <w:r>
              <w:rPr>
                <w:sz w:val="18"/>
                <w:szCs w:val="18"/>
              </w:rPr>
              <w:t>wer schnell feste Nachbarschaftskontakte sucht</w:t>
            </w:r>
          </w:p>
        </w:tc>
      </w:tr>
      <w:tr w:rsidR="00C1548D" w14:paraId="70A505DE" w14:textId="77777777">
        <w:tblPrEx>
          <w:tblCellMar>
            <w:top w:w="0" w:type="dxa"/>
            <w:bottom w:w="0" w:type="dxa"/>
          </w:tblCellMar>
        </w:tblPrEx>
        <w:trPr>
          <w:cantSplit/>
        </w:trPr>
        <w:tc>
          <w:tcPr>
            <w:tcW w:w="304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DC" w14:textId="77777777" w:rsidR="00C1548D" w:rsidRDefault="009B1B4B">
            <w:pPr>
              <w:spacing w:line="250" w:lineRule="auto"/>
            </w:pPr>
            <w:r>
              <w:rPr>
                <w:sz w:val="18"/>
                <w:szCs w:val="18"/>
              </w:rPr>
              <w:t>Tramping-Club, Rotary, Toastmasters</w:t>
            </w:r>
          </w:p>
        </w:tc>
        <w:tc>
          <w:tcPr>
            <w:tcW w:w="34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DD" w14:textId="77777777" w:rsidR="00C1548D" w:rsidRDefault="009B1B4B">
            <w:pPr>
              <w:spacing w:line="250" w:lineRule="auto"/>
            </w:pPr>
            <w:r>
              <w:rPr>
                <w:sz w:val="18"/>
                <w:szCs w:val="18"/>
              </w:rPr>
              <w:t>Erwachsene ohne Kinder oder festen Verein</w:t>
            </w:r>
          </w:p>
        </w:tc>
      </w:tr>
    </w:tbl>
    <w:p w14:paraId="70A505DF" w14:textId="77777777" w:rsidR="00C1548D" w:rsidRDefault="00C1548D">
      <w:pPr>
        <w:spacing w:line="180" w:lineRule="exact"/>
      </w:pPr>
    </w:p>
    <w:p w14:paraId="70A505E0" w14:textId="77777777" w:rsidR="00C1548D" w:rsidRDefault="009B1B4B">
      <w:pPr>
        <w:spacing w:after="140"/>
      </w:pPr>
      <w:r>
        <w:t xml:space="preserve">Auch der Alltag selbst bietet Gelegenheiten: Ein „bring a plate“ (wörtlich „bring einen Teller mit“) bei Schulfesten oder Nachbarschaftsfeiern erwartet ein mitgebrachtes Gericht zum Teilen, ähnlich dem deutschen Buffet-Prinzip, nur ohne Absprache, wer was mitbringt. Ganz ähnlich funktioniert die </w:t>
      </w:r>
      <w:r>
        <w:rPr>
          <w:i/>
          <w:iCs/>
        </w:rPr>
        <w:t>Working Bee</w:t>
      </w:r>
      <w:r>
        <w:t xml:space="preserve"> (ein gemeinsamer Arbeitseinsatz, meist samstagvormittags, etwa um den Schulgarten herzurichten oder den Marae-Vorplatz zu pflegen): Wer zwei Stunden Streichen oder Unkrautjäten investiert, bekommt danach meist Tee, Kekse und – wichtiger noch – ein halbes Dutzend neuer Gesichter, die man beim nächsten Schulfest schon wiedererkennt. Rotary, Lions und Toastmasters bieten in praktisch jeder mittelgroßen Stadt ein Netzwerk für Erwachsene ohne Kinder oder Vereinsanbindung; in Städten mit dünner deutscher Infrast</w:t>
      </w:r>
      <w:r>
        <w:t xml:space="preserve">ruktur wie Christchurch lohnt zusätzlich ein Blick auf </w:t>
      </w:r>
      <w:r>
        <w:rPr>
          <w:i/>
          <w:iCs/>
        </w:rPr>
        <w:t>InterNations</w:t>
      </w:r>
      <w:r>
        <w:t>, ein Netzwerk für Zugewanderte aller Nationen mit lokalen Stammtischen.</w:t>
      </w:r>
    </w:p>
    <w:p w14:paraId="70A505E1" w14:textId="77777777" w:rsidR="00C1548D" w:rsidRDefault="009B1B4B">
      <w:pPr>
        <w:spacing w:after="140"/>
      </w:pPr>
      <w:r>
        <w:t xml:space="preserve">Wer beruflich in Kontakt mit Māori-Institutionen kommt oder in der Nähe eines </w:t>
      </w:r>
      <w:r>
        <w:rPr>
          <w:i/>
          <w:iCs/>
        </w:rPr>
        <w:t>Marae</w:t>
      </w:r>
      <w:r>
        <w:t xml:space="preserve"> (dem zentralen Versammlungsort einer Māori-Gemeinschaft, mit eigenem Versammlungshaus und eigenen Verhaltensregeln) wohnt, findet dort gelegentlich zusätzliche Gelegenheit zu echtem Austausch – vorausgesetzt, man kommt als aufmerksamer Gast, nicht als Tourist mit Kamera. Eine offene </w:t>
      </w:r>
      <w:r>
        <w:lastRenderedPageBreak/>
        <w:t>Einladung zu einem Gemeinschaftsanlass ehrlich anzunehmen, statt sie aus Unsicherheit abzulehnen, öffnet hier oft mehr Türen, als es die reine Sprachbarriere vermuten lässt.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E4"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5E2" w14:textId="77777777" w:rsidR="00C1548D" w:rsidRDefault="009B1B4B">
            <w:pPr>
              <w:keepNext/>
              <w:spacing w:after="70" w:line="240" w:lineRule="auto"/>
            </w:pPr>
            <w:r>
              <w:rPr>
                <w:b/>
                <w:bCs/>
                <w:color w:val="4A5568"/>
                <w:spacing w:val="24"/>
                <w:sz w:val="16"/>
                <w:szCs w:val="16"/>
              </w:rPr>
              <w:t>PRAXISBEISPIEL · FIKTIV</w:t>
            </w:r>
          </w:p>
          <w:p w14:paraId="70A505E3" w14:textId="77777777" w:rsidR="00C1548D" w:rsidRDefault="009B1B4B">
            <w:pPr>
              <w:spacing w:after="80" w:line="264" w:lineRule="auto"/>
            </w:pPr>
            <w:r>
              <w:rPr>
                <w:sz w:val="20"/>
                <w:szCs w:val="20"/>
              </w:rPr>
              <w:t>Paul Lindner (fiktiv), 31, IT-Berater aus Frankfurt, alleinstehend, zieht direkt mit einem SMC-Visum nach Auckland. In den ersten Wochen fällt ihm auf, wie freundlich, aber unverbindlich die Gespräche mit Kollegen bleiben – „We should grab a coffee sometime“ verläuft mehrfach im Sand. Über eine Meetup-Gruppe findet er einen wöchentlichen Touch-Abend in seinem Stadtteil; nach der dritten Teilnahme kennt er die Namen der halben Mannschaft, nach zwei Monaten trifft er sich mit dreien davon regelmäßig auch abse</w:t>
            </w:r>
            <w:r>
              <w:rPr>
                <w:sz w:val="20"/>
                <w:szCs w:val="20"/>
              </w:rPr>
              <w:t>its des Sportplatzes. Aus der vagen Kaffee-Einladung ist inzwischen ein fester Freitagabend-Termin geworden – nur eben nicht über Kaffee, sondern über den Sportplatz entstanden.</w:t>
            </w:r>
          </w:p>
        </w:tc>
      </w:tr>
    </w:tbl>
    <w:p w14:paraId="70A505E5" w14:textId="77777777" w:rsidR="00C1548D" w:rsidRDefault="00C1548D">
      <w:pPr>
        <w:spacing w:line="220" w:lineRule="exact"/>
      </w:pPr>
    </w:p>
    <w:p w14:paraId="70A505E6" w14:textId="77777777" w:rsidR="00C1548D" w:rsidRDefault="009B1B4B">
      <w:pPr>
        <w:pStyle w:val="Heading3"/>
        <w:keepNext/>
        <w:jc w:val="center"/>
      </w:pPr>
      <w:r>
        <w:rPr>
          <w:rFonts w:ascii="Amazon Ember" w:eastAsia="Amazon Ember" w:hAnsi="Amazon Ember" w:cs="Amazon Ember"/>
          <w:color w:val="0000FF"/>
          <w:sz w:val="36"/>
          <w:szCs w:val="36"/>
        </w:rPr>
        <w:t>Die deutsche Community: Botschaft, Goethe-Institut, Landsleute</w:t>
      </w:r>
    </w:p>
    <w:p w14:paraId="70A505E7" w14:textId="77777777" w:rsidR="00C1548D" w:rsidRDefault="009B1B4B">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zusätzlich in Auckland und Christchurch, die jedoch überwiegend formale Amtsgeschäfte übernehmen, kein Vereinsleben. Das einzige Goethe-Institut des Landes sitzt ebenfalls in Wellington und deckt von dort aus Sprachkurse und kulturelle Veranstaltu</w:t>
      </w:r>
      <w:r>
        <w:t>ngen für das ganze Land ab – wer in Auckland oder Christchurch lebt, nimmt entweder online teil oder reist gelegentlich an.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1228"/>
        <w:gridCol w:w="1621"/>
        <w:gridCol w:w="2681"/>
      </w:tblGrid>
      <w:tr w:rsidR="00C1548D" w14:paraId="70A505EC"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E8" w14:textId="77777777" w:rsidR="00C1548D" w:rsidRDefault="009B1B4B">
            <w:pPr>
              <w:spacing w:line="250" w:lineRule="auto"/>
            </w:pPr>
            <w:r>
              <w:rPr>
                <w:b/>
                <w:bCs/>
                <w:sz w:val="18"/>
                <w:szCs w:val="18"/>
              </w:rPr>
              <w:lastRenderedPageBreak/>
              <w:t>Stadt</w:t>
            </w:r>
          </w:p>
        </w:tc>
        <w:tc>
          <w:tcPr>
            <w:tcW w:w="12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E9" w14:textId="77777777" w:rsidR="00C1548D" w:rsidRDefault="009B1B4B">
            <w:pPr>
              <w:spacing w:line="250" w:lineRule="auto"/>
            </w:pPr>
            <w:r>
              <w:rPr>
                <w:b/>
                <w:bCs/>
                <w:sz w:val="18"/>
                <w:szCs w:val="18"/>
              </w:rPr>
              <w:t>Konsularische Vertretung</w:t>
            </w:r>
          </w:p>
        </w:tc>
        <w:tc>
          <w:tcPr>
            <w:tcW w:w="162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EA" w14:textId="77777777" w:rsidR="00C1548D" w:rsidRDefault="009B1B4B">
            <w:pPr>
              <w:spacing w:line="250" w:lineRule="auto"/>
            </w:pPr>
            <w:r>
              <w:rPr>
                <w:b/>
                <w:bCs/>
                <w:sz w:val="18"/>
                <w:szCs w:val="18"/>
              </w:rPr>
              <w:t>Goethe-Institut</w:t>
            </w:r>
          </w:p>
        </w:tc>
        <w:tc>
          <w:tcPr>
            <w:tcW w:w="268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5EB" w14:textId="77777777" w:rsidR="00C1548D" w:rsidRDefault="009B1B4B">
            <w:pPr>
              <w:spacing w:line="250" w:lineRule="auto"/>
            </w:pPr>
            <w:r>
              <w:rPr>
                <w:b/>
                <w:bCs/>
                <w:sz w:val="18"/>
                <w:szCs w:val="18"/>
              </w:rPr>
              <w:t>Deutsche Angebote vor Ort</w:t>
            </w:r>
          </w:p>
        </w:tc>
      </w:tr>
      <w:tr w:rsidR="00C1548D" w14:paraId="70A505F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ED" w14:textId="77777777" w:rsidR="00C1548D" w:rsidRDefault="009B1B4B">
            <w:pPr>
              <w:spacing w:line="250" w:lineRule="auto"/>
            </w:pPr>
            <w:r>
              <w:rPr>
                <w:sz w:val="18"/>
                <w:szCs w:val="18"/>
              </w:rPr>
              <w:t>Wellington</w:t>
            </w:r>
          </w:p>
        </w:tc>
        <w:tc>
          <w:tcPr>
            <w:tcW w:w="12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EE" w14:textId="77777777" w:rsidR="00C1548D" w:rsidRDefault="009B1B4B">
            <w:pPr>
              <w:spacing w:line="250" w:lineRule="auto"/>
            </w:pPr>
            <w:r>
              <w:rPr>
                <w:sz w:val="18"/>
                <w:szCs w:val="18"/>
              </w:rPr>
              <w:t>Botschaft</w:t>
            </w:r>
          </w:p>
        </w:tc>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EF" w14:textId="77777777" w:rsidR="00C1548D" w:rsidRDefault="009B1B4B">
            <w:pPr>
              <w:spacing w:line="250" w:lineRule="auto"/>
            </w:pPr>
            <w:r>
              <w:rPr>
                <w:sz w:val="18"/>
                <w:szCs w:val="18"/>
              </w:rPr>
              <w:t>ja</w:t>
            </w:r>
          </w:p>
        </w:tc>
        <w:tc>
          <w:tcPr>
            <w:tcW w:w="2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F0" w14:textId="77777777" w:rsidR="00C1548D" w:rsidRDefault="009B1B4B">
            <w:pPr>
              <w:spacing w:line="250" w:lineRule="auto"/>
            </w:pPr>
            <w:r>
              <w:rPr>
                <w:sz w:val="18"/>
                <w:szCs w:val="18"/>
              </w:rPr>
              <w:t>German School Wellington (Ergänzungsschule), deutsche Spielgruppe</w:t>
            </w:r>
          </w:p>
        </w:tc>
      </w:tr>
      <w:tr w:rsidR="00C1548D" w14:paraId="70A505F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F2" w14:textId="77777777" w:rsidR="00C1548D" w:rsidRDefault="009B1B4B">
            <w:pPr>
              <w:spacing w:line="250" w:lineRule="auto"/>
            </w:pPr>
            <w:r>
              <w:rPr>
                <w:sz w:val="18"/>
                <w:szCs w:val="18"/>
              </w:rPr>
              <w:t>Auckland</w:t>
            </w:r>
          </w:p>
        </w:tc>
        <w:tc>
          <w:tcPr>
            <w:tcW w:w="12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F3" w14:textId="77777777" w:rsidR="00C1548D" w:rsidRDefault="009B1B4B">
            <w:pPr>
              <w:spacing w:line="250" w:lineRule="auto"/>
            </w:pPr>
            <w:r>
              <w:rPr>
                <w:sz w:val="18"/>
                <w:szCs w:val="18"/>
              </w:rPr>
              <w:t>Honorarkonsul</w:t>
            </w:r>
          </w:p>
        </w:tc>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F4" w14:textId="77777777" w:rsidR="00C1548D" w:rsidRDefault="009B1B4B">
            <w:pPr>
              <w:spacing w:line="250" w:lineRule="auto"/>
            </w:pPr>
            <w:r>
              <w:rPr>
                <w:sz w:val="18"/>
                <w:szCs w:val="18"/>
              </w:rPr>
              <w:t>nein (Zuständigkeit Wellington)</w:t>
            </w:r>
          </w:p>
        </w:tc>
        <w:tc>
          <w:tcPr>
            <w:tcW w:w="2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F5" w14:textId="77777777" w:rsidR="00C1548D" w:rsidRDefault="009B1B4B">
            <w:pPr>
              <w:spacing w:line="250" w:lineRule="auto"/>
            </w:pPr>
            <w:r>
              <w:rPr>
                <w:sz w:val="18"/>
                <w:szCs w:val="18"/>
              </w:rPr>
              <w:t>deutsche Spielgruppe</w:t>
            </w:r>
          </w:p>
        </w:tc>
      </w:tr>
      <w:tr w:rsidR="00C1548D" w14:paraId="70A505F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F7" w14:textId="77777777" w:rsidR="00C1548D" w:rsidRDefault="009B1B4B">
            <w:pPr>
              <w:spacing w:line="250" w:lineRule="auto"/>
            </w:pPr>
            <w:r>
              <w:rPr>
                <w:sz w:val="18"/>
                <w:szCs w:val="18"/>
              </w:rPr>
              <w:t>Christchurch</w:t>
            </w:r>
          </w:p>
        </w:tc>
        <w:tc>
          <w:tcPr>
            <w:tcW w:w="12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F8" w14:textId="77777777" w:rsidR="00C1548D" w:rsidRDefault="009B1B4B">
            <w:pPr>
              <w:spacing w:line="250" w:lineRule="auto"/>
            </w:pPr>
            <w:r>
              <w:rPr>
                <w:sz w:val="18"/>
                <w:szCs w:val="18"/>
              </w:rPr>
              <w:t>Honorarkonsul</w:t>
            </w:r>
          </w:p>
        </w:tc>
        <w:tc>
          <w:tcPr>
            <w:tcW w:w="16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F9" w14:textId="77777777" w:rsidR="00C1548D" w:rsidRDefault="009B1B4B">
            <w:pPr>
              <w:spacing w:line="250" w:lineRule="auto"/>
            </w:pPr>
            <w:r>
              <w:rPr>
                <w:sz w:val="18"/>
                <w:szCs w:val="18"/>
              </w:rPr>
              <w:t>nein (Zuständigkeit Wellington)</w:t>
            </w:r>
          </w:p>
        </w:tc>
        <w:tc>
          <w:tcPr>
            <w:tcW w:w="268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5FA" w14:textId="77777777" w:rsidR="00C1548D" w:rsidRDefault="009B1B4B">
            <w:pPr>
              <w:spacing w:line="250" w:lineRule="auto"/>
            </w:pPr>
            <w:r>
              <w:rPr>
                <w:sz w:val="18"/>
                <w:szCs w:val="18"/>
              </w:rPr>
              <w:t>keine identifiziert</w:t>
            </w:r>
          </w:p>
        </w:tc>
      </w:tr>
    </w:tbl>
    <w:p w14:paraId="70A505FC"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5FF"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5FD" w14:textId="77777777" w:rsidR="00C1548D" w:rsidRDefault="009B1B4B">
            <w:pPr>
              <w:keepNext/>
              <w:spacing w:after="70" w:line="240" w:lineRule="auto"/>
            </w:pPr>
            <w:r>
              <w:rPr>
                <w:b/>
                <w:bCs/>
                <w:color w:val="2F6B3B"/>
                <w:spacing w:val="24"/>
                <w:sz w:val="16"/>
                <w:szCs w:val="16"/>
              </w:rPr>
              <w:t>SPARTIPP</w:t>
            </w:r>
          </w:p>
          <w:p w14:paraId="70A505FE" w14:textId="77777777" w:rsidR="00C1548D" w:rsidRDefault="009B1B4B">
            <w:pPr>
              <w:spacing w:after="80" w:line="264" w:lineRule="auto"/>
            </w:pPr>
            <w:r>
              <w:rPr>
                <w:sz w:val="20"/>
                <w:szCs w:val="20"/>
              </w:rPr>
              <w:t>Suche schon vor dem Umzug nach „Germans in“ plus Zielstadt bei Facebook und Meetup. Gerade dort, wo es keine offizielle deutsche Infrastruktur gibt – wie in Christchurch –, sind diese informellen Gruppen oft die einzige Quelle für Erfahrungswerte zu Ärzten, Kitas und Behördenwegen aus erster Hand.</w:t>
            </w:r>
          </w:p>
        </w:tc>
      </w:tr>
    </w:tbl>
    <w:p w14:paraId="70A50600" w14:textId="77777777" w:rsidR="00C1548D" w:rsidRDefault="00C1548D">
      <w:pPr>
        <w:spacing w:line="220" w:lineRule="exact"/>
      </w:pPr>
    </w:p>
    <w:p w14:paraId="70A50601" w14:textId="77777777" w:rsidR="00C1548D" w:rsidRDefault="009B1B4B">
      <w:pPr>
        <w:spacing w:after="140"/>
      </w:pPr>
      <w:r>
        <w:t>Die Kehrseite dieser dünnen Infrastruktur ist zugleich ein kleiner Vorteil: Wer in Neuseeland lebt, landet fast zwangsläufig schneller im englischsprachigen Alltag, weil eine bequeme deutsche Blase schlicht seltener zur Verfügung steht als etwa in Sydney oder Melbourne. Das beschleunigt die Sprachgewöhnung, verschärft aber in den ersten Monaten auch das Gefühl, ganz auf sich gestellt zu sein – ein Punkt, der im Abschnitt zur Distanz weiter unten noch wichtig wird.</w:t>
      </w:r>
    </w:p>
    <w:p w14:paraId="70A50602" w14:textId="77777777" w:rsidR="00C1548D" w:rsidRDefault="009B1B4B">
      <w:pPr>
        <w:pStyle w:val="Heading3"/>
        <w:keepNext/>
        <w:jc w:val="center"/>
      </w:pPr>
      <w:r>
        <w:rPr>
          <w:rFonts w:ascii="Amazon Ember" w:eastAsia="Amazon Ember" w:hAnsi="Amazon Ember" w:cs="Amazon Ember"/>
          <w:color w:val="0000FF"/>
          <w:sz w:val="36"/>
          <w:szCs w:val="36"/>
        </w:rPr>
        <w:t>Wenn ein Partner neu anfängt</w:t>
      </w:r>
    </w:p>
    <w:p w14:paraId="70A50603" w14:textId="77777777" w:rsidR="00C1548D" w:rsidRDefault="009B1B4B">
      <w:pPr>
        <w:spacing w:after="140"/>
      </w:pPr>
      <w:r>
        <w:t xml:space="preserve">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w:t>
      </w:r>
      <w:r>
        <w:lastRenderedPageBreak/>
        <w:t>Tagesstruktur hat, muss der Partner eigene Kontakte, oft eine eigene Berufszulassung und ein komplett neues Netzwerk von null aufbauen. Bei reglementierten Berufen – etwa in der Tiermedizin oder Pflege – kann die Anerkennung der Qualifikation durch die zuständige neuseeländische Stelle mehrere Monate dauern, bevor die eigentliche Stellensuche überhaupt beginnt.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06"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604" w14:textId="77777777" w:rsidR="00C1548D" w:rsidRDefault="009B1B4B">
            <w:pPr>
              <w:keepNext/>
              <w:spacing w:after="70" w:line="240" w:lineRule="auto"/>
            </w:pPr>
            <w:r>
              <w:rPr>
                <w:b/>
                <w:bCs/>
                <w:color w:val="9B2C2C"/>
                <w:spacing w:val="24"/>
                <w:sz w:val="16"/>
                <w:szCs w:val="16"/>
              </w:rPr>
              <w:t>ACHTUNG</w:t>
            </w:r>
          </w:p>
          <w:p w14:paraId="70A50605" w14:textId="77777777" w:rsidR="00C1548D" w:rsidRDefault="009B1B4B">
            <w:pPr>
              <w:spacing w:after="80" w:line="264" w:lineRule="auto"/>
            </w:pPr>
            <w:r>
              <w:rPr>
                <w:sz w:val="20"/>
                <w:szCs w:val="20"/>
              </w:rPr>
              <w:t>Warte mit dem eigenen Netzwerkaufbau nicht, bis die Berufszulassung durch ist. Ein fester Wochentermin – ob Plunket-Gruppe, Sportverein oder Ehrenamt – wirkt in dieser Wartezeit doppelt: gegen die Einsamkeit und als Vorbereitung auf den späteren Berufseinstieg.</w:t>
            </w:r>
          </w:p>
        </w:tc>
      </w:tr>
    </w:tbl>
    <w:p w14:paraId="70A50607" w14:textId="77777777" w:rsidR="00C1548D" w:rsidRDefault="00C1548D">
      <w:pPr>
        <w:spacing w:line="220" w:lineRule="exact"/>
      </w:pPr>
    </w:p>
    <w:p w14:paraId="70A50608" w14:textId="77777777" w:rsidR="00C1548D" w:rsidRDefault="009B1B4B">
      <w:pPr>
        <w:pStyle w:val="Heading3"/>
        <w:keepNext/>
        <w:jc w:val="center"/>
      </w:pPr>
      <w:r>
        <w:rPr>
          <w:rFonts w:ascii="Amazon Ember" w:eastAsia="Amazon Ember" w:hAnsi="Amazon Ember" w:cs="Amazon Ember"/>
          <w:color w:val="0000FF"/>
          <w:sz w:val="36"/>
          <w:szCs w:val="36"/>
        </w:rPr>
        <w:t>Der Kulturschock der Distanz: 18.200 Kilometer ohne Abkürzung</w:t>
      </w:r>
    </w:p>
    <w:p w14:paraId="70A50609" w14:textId="77777777" w:rsidR="00C1548D" w:rsidRDefault="009B1B4B">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 ein spontaner „Sprung übers Wochenende nach Hause“ ist damit, nüchtern betrachtet, keine ernsthafte Option, sondern eher ein mehrtägiges Jetlag-Projekt. Dazu kommt eine Zeitverschiebu</w:t>
      </w:r>
      <w:r>
        <w:t>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w14:paraId="70A5060A" w14:textId="77777777" w:rsidR="00C1548D" w:rsidRDefault="009B1B4B">
      <w:pPr>
        <w:spacing w:after="140"/>
      </w:pPr>
      <w:r>
        <w:t xml:space="preserve">Diese Distanz verändert den Charakter des Heimwehs spürbar. In näher gelegenen Zielländern bleibt ein Wochenendbesuch zumindest theoretisch denkbar, selbst wenn ihn kaum jemand tatsächlich </w:t>
      </w:r>
      <w:r>
        <w:lastRenderedPageBreak/>
        <w:t>bucht; in Neuseeland fällt diese gedankliche Rückfahrkarte praktisch ganz weg, noch konsequenter als in Australien. Wer in der Kulturschock-Talsohle – meist zwischen dem dritten und sechsten Monat – spontan ein Last-Minute-Ticket kauft, zahlt für einen Flug, der wegen Jetlag und Kürze kaum erholsam ist, oft ein Vielfaches des Normalpreises.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0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60B" w14:textId="77777777" w:rsidR="00C1548D" w:rsidRDefault="009B1B4B">
            <w:pPr>
              <w:keepNext/>
              <w:spacing w:after="70" w:line="240" w:lineRule="auto"/>
            </w:pPr>
            <w:r>
              <w:rPr>
                <w:b/>
                <w:bCs/>
                <w:color w:val="9B2C2C"/>
                <w:spacing w:val="24"/>
                <w:sz w:val="16"/>
                <w:szCs w:val="16"/>
              </w:rPr>
              <w:t>ACHTUNG</w:t>
            </w:r>
          </w:p>
          <w:p w14:paraId="70A5060C" w14:textId="77777777" w:rsidR="00C1548D" w:rsidRDefault="009B1B4B">
            <w:pPr>
              <w:spacing w:after="80" w:line="264" w:lineRule="auto"/>
            </w:pPr>
            <w:r>
              <w:rPr>
                <w:sz w:val="20"/>
                <w:szCs w:val="20"/>
              </w:rPr>
              <w:t>Buche Heimatbesuche über Weihnachten oder andere große Feiertage Monate im Voraus, nicht im akuten Tief. Wer erst im November für Weihnachten sucht, findet entweder nichts oder zahlt den Aufpreis für die eigene Verzweiflung gleich mit.</w:t>
            </w:r>
          </w:p>
        </w:tc>
      </w:tr>
    </w:tbl>
    <w:p w14:paraId="70A5060E" w14:textId="77777777" w:rsidR="00C1548D" w:rsidRDefault="00C1548D">
      <w:pPr>
        <w:spacing w:line="220" w:lineRule="exact"/>
      </w:pPr>
    </w:p>
    <w:p w14:paraId="70A5060F" w14:textId="77777777" w:rsidR="00C1548D" w:rsidRDefault="009B1B4B">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 nicht erst, wenn nachts um drei das Telefon klingelt.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1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610" w14:textId="77777777" w:rsidR="00C1548D" w:rsidRDefault="009B1B4B">
            <w:pPr>
              <w:keepNext/>
              <w:spacing w:after="70" w:line="240" w:lineRule="auto"/>
            </w:pPr>
            <w:r>
              <w:rPr>
                <w:b/>
                <w:bCs/>
                <w:color w:val="8A6212"/>
                <w:spacing w:val="24"/>
                <w:sz w:val="16"/>
                <w:szCs w:val="16"/>
              </w:rPr>
              <w:t>MERKE</w:t>
            </w:r>
          </w:p>
          <w:p w14:paraId="70A50611" w14:textId="77777777" w:rsidR="00C1548D" w:rsidRDefault="009B1B4B">
            <w:pPr>
              <w:spacing w:after="80" w:line="264" w:lineRule="auto"/>
            </w:pPr>
            <w:r>
              <w:rPr>
                <w:sz w:val="20"/>
                <w:szCs w:val="20"/>
              </w:rPr>
              <w:t>Die Entfernung selbst lässt sich nicht wegorganisieren, wohl aber ihre Folgen: feste Rituale statt spontaner Nähe, geplante statt improvisierte Heimreisen, eine Vollmacht statt eines hastigen Anrufs im Notfall.</w:t>
            </w:r>
          </w:p>
        </w:tc>
      </w:tr>
    </w:tbl>
    <w:p w14:paraId="70A50613" w14:textId="77777777" w:rsidR="00C1548D" w:rsidRDefault="00C1548D">
      <w:pPr>
        <w:spacing w:line="220" w:lineRule="exact"/>
      </w:pPr>
    </w:p>
    <w:p w14:paraId="70A50614" w14:textId="77777777" w:rsidR="00C1548D" w:rsidRDefault="009B1B4B">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w:t>
      </w:r>
      <w:r>
        <w:t>rathon, der danach zwei Monate ausfällt.</w:t>
      </w:r>
    </w:p>
    <w:p w14:paraId="70A50615" w14:textId="77777777" w:rsidR="00C1548D" w:rsidRDefault="009B1B4B">
      <w:pPr>
        <w:pStyle w:val="Heading3"/>
        <w:keepNext/>
        <w:jc w:val="center"/>
      </w:pPr>
      <w:r>
        <w:rPr>
          <w:rFonts w:ascii="Amazon Ember" w:eastAsia="Amazon Ember" w:hAnsi="Amazon Ember" w:cs="Amazon Ember"/>
          <w:color w:val="0000FF"/>
          <w:sz w:val="36"/>
          <w:szCs w:val="36"/>
        </w:rPr>
        <w:lastRenderedPageBreak/>
        <w:t>Wenn Heimweh bleibt: Phasen, verkehrte Jahreszeiten, Hilfe</w:t>
      </w:r>
    </w:p>
    <w:p w14:paraId="70A50616" w14:textId="77777777" w:rsidR="00C1548D" w:rsidRDefault="009B1B4B">
      <w:pPr>
        <w:spacing w:after="140"/>
      </w:pPr>
      <w:r>
        <w:t xml:space="preserve">Heimweh folgt auch in Neuseeland einem einigermaßen vorhersehbaren Muster: Einer Anfangseuphorie folgt meist zwischen dem dritten und sechsten Monat eine Talsohle aus Erschöpfung und 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w:t>
      </w:r>
      <w:r>
        <w:t>Jahr – ein zusätzlicher Stich, wenn Fotos vom verschneiten Weihnachtsmarkt zu Hause auf dem Handy aufploppen, während man selbst in kurzen Hosen am Grill steht.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19"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617" w14:textId="77777777" w:rsidR="00C1548D" w:rsidRDefault="009B1B4B">
            <w:pPr>
              <w:keepNext/>
              <w:spacing w:after="70" w:line="240" w:lineRule="auto"/>
            </w:pPr>
            <w:r>
              <w:rPr>
                <w:b/>
                <w:bCs/>
                <w:color w:val="4A5568"/>
                <w:spacing w:val="24"/>
                <w:sz w:val="16"/>
                <w:szCs w:val="16"/>
              </w:rPr>
              <w:t>PRAXISBEISPIEL · FIKTIV</w:t>
            </w:r>
          </w:p>
          <w:p w14:paraId="70A50618" w14:textId="77777777" w:rsidR="00C1548D" w:rsidRDefault="009B1B4B">
            <w:pPr>
              <w:spacing w:after="80" w:line="264" w:lineRule="auto"/>
            </w:pPr>
            <w:r>
              <w:rPr>
                <w:sz w:val="20"/>
                <w:szCs w:val="20"/>
              </w:rPr>
              <w:t xml:space="preserve">Familie Krüger (fiktiv) verbringt ihr erstes Weihnachten in Christchurch bei 28 Grad am Strand von Sumner statt verschneit bei den Großeltern in Rostock. Sebastian und Petra hatten sich fest vorgenommen, „das doch eigentlich schön zu finden“ – und sind trotzdem beide überrascht, wie sehr ihnen am Heiligabend die vertrauten Rituale fehlen. Statt das Gefühl wegzudrücken, verabreden sie kurzerhand ein eigenes Ritual: Punsch (notfalls warm serviert, trotz Hitze) am Nachmittag, ein Videoanruf mit den Großeltern </w:t>
            </w:r>
            <w:r>
              <w:rPr>
                <w:sz w:val="20"/>
                <w:szCs w:val="20"/>
              </w:rPr>
              <w:t>zur für beide Seiten machbaren Uhrzeit, und am zweiten Feiertag ein Ausflug mit zwei befreundeten Familien vom Rugbyclub der Kinder. Kein Ersatz für Rostock, aber ein eigenes, funktionierendes Weihnachten.</w:t>
            </w:r>
          </w:p>
        </w:tc>
      </w:tr>
    </w:tbl>
    <w:p w14:paraId="70A5061A" w14:textId="77777777" w:rsidR="00C1548D" w:rsidRDefault="00C1548D">
      <w:pPr>
        <w:spacing w:line="220" w:lineRule="exact"/>
      </w:pPr>
    </w:p>
    <w:p w14:paraId="70A5061B" w14:textId="77777777" w:rsidR="00C1548D" w:rsidRDefault="009B1B4B">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1E"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61C" w14:textId="77777777" w:rsidR="00C1548D" w:rsidRDefault="009B1B4B">
            <w:pPr>
              <w:keepNext/>
              <w:spacing w:after="70" w:line="240" w:lineRule="auto"/>
            </w:pPr>
            <w:r>
              <w:rPr>
                <w:b/>
                <w:bCs/>
                <w:color w:val="9B2C2C"/>
                <w:spacing w:val="24"/>
                <w:sz w:val="16"/>
                <w:szCs w:val="16"/>
              </w:rPr>
              <w:lastRenderedPageBreak/>
              <w:t>ACHTUNG</w:t>
            </w:r>
          </w:p>
          <w:p w14:paraId="70A5061D" w14:textId="77777777" w:rsidR="00C1548D" w:rsidRDefault="009B1B4B">
            <w:pPr>
              <w:spacing w:after="80" w:line="264" w:lineRule="auto"/>
            </w:pPr>
            <w:r>
              <w:rPr>
                <w:sz w:val="20"/>
                <w:szCs w:val="20"/>
              </w:rPr>
              <w:t xml:space="preserve">Bei anhaltender Erschöpfung, Schlafproblemen oder dem Gefühl, nicht mehr allein zurechtzukommen, ist professionelle Hilfe kein Zeichen des Scheiterns. </w:t>
            </w:r>
            <w:r>
              <w:rPr>
                <w:i/>
                <w:iCs/>
                <w:sz w:val="20"/>
                <w:szCs w:val="20"/>
              </w:rPr>
              <w:t>1737</w:t>
            </w:r>
            <w:r>
              <w:rPr>
                <w:sz w:val="20"/>
                <w:szCs w:val="20"/>
              </w:rPr>
              <w:t xml:space="preserve"> (Anruf oder SMS, kostenlos, rund um 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tc>
      </w:tr>
    </w:tbl>
    <w:p w14:paraId="70A5061F" w14:textId="77777777" w:rsidR="00C1548D" w:rsidRDefault="00C1548D">
      <w:pPr>
        <w:spacing w:line="220" w:lineRule="exact"/>
      </w:pPr>
    </w:p>
    <w:p w14:paraId="70A50620"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623"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621"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622" w14:textId="77777777" w:rsidR="00C1548D" w:rsidRDefault="009B1B4B">
            <w:pPr>
              <w:spacing w:line="250" w:lineRule="auto"/>
            </w:pPr>
            <w:r>
              <w:rPr>
                <w:b/>
                <w:bCs/>
                <w:sz w:val="18"/>
                <w:szCs w:val="18"/>
              </w:rPr>
              <w:t>Minus</w:t>
            </w:r>
          </w:p>
        </w:tc>
      </w:tr>
      <w:tr w:rsidR="00C1548D" w14:paraId="70A5062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24" w14:textId="77777777" w:rsidR="00C1548D" w:rsidRDefault="009B1B4B">
            <w:pPr>
              <w:spacing w:line="250" w:lineRule="auto"/>
            </w:pPr>
            <w:r>
              <w:rPr>
                <w:sz w:val="18"/>
                <w:szCs w:val="18"/>
              </w:rPr>
              <w:t>Sportvereine, Plunket-Gruppen und Nachbarschaftswache sind offene, niedrigschwellige Türen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25" w14:textId="77777777" w:rsidR="00C1548D" w:rsidRDefault="009B1B4B">
            <w:pPr>
              <w:spacing w:line="250" w:lineRule="auto"/>
            </w:pPr>
            <w:r>
              <w:rPr>
                <w:sz w:val="18"/>
                <w:szCs w:val="18"/>
              </w:rPr>
              <w:t>Schneller Kontakt heißt nicht automatisch tiefe Freundschaft</w:t>
            </w:r>
          </w:p>
        </w:tc>
      </w:tr>
      <w:tr w:rsidR="00C1548D" w14:paraId="70A5062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27" w14:textId="77777777" w:rsidR="00C1548D" w:rsidRDefault="009B1B4B">
            <w:pPr>
              <w:spacing w:line="250" w:lineRule="auto"/>
            </w:pPr>
            <w:r>
              <w:rPr>
                <w:sz w:val="18"/>
                <w:szCs w:val="18"/>
              </w:rPr>
              <w:t>Dünne deutsche Infrastruktur beschleunigt die eigene Sprach- und Alltagsintegration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28" w14:textId="77777777" w:rsidR="00C1548D" w:rsidRDefault="009B1B4B">
            <w:pPr>
              <w:spacing w:line="250" w:lineRule="auto"/>
            </w:pPr>
            <w:r>
              <w:rPr>
                <w:sz w:val="18"/>
                <w:szCs w:val="18"/>
              </w:rPr>
              <w:t>Wenig Rückhalt aus einer organisierten deutschen Community, besonders außerhalb Wellingtons</w:t>
            </w:r>
          </w:p>
        </w:tc>
      </w:tr>
      <w:tr w:rsidR="00C1548D" w14:paraId="70A5062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2A" w14:textId="77777777" w:rsidR="00C1548D" w:rsidRDefault="009B1B4B">
            <w:pPr>
              <w:spacing w:line="250" w:lineRule="auto"/>
            </w:pPr>
            <w:r>
              <w:rPr>
                <w:sz w:val="18"/>
                <w:szCs w:val="18"/>
              </w:rPr>
              <w:t>Entspannte, informelle Umgangsformen erleichtern erste Kontakte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2B" w14:textId="77777777" w:rsidR="00C1548D" w:rsidRDefault="009B1B4B">
            <w:pPr>
              <w:spacing w:line="250" w:lineRule="auto"/>
            </w:pPr>
            <w:r>
              <w:rPr>
                <w:sz w:val="18"/>
                <w:szCs w:val="18"/>
              </w:rPr>
              <w:t>Indirekte Kommunikation macht Ablehnung oder echte Not schwer erkennbar</w:t>
            </w:r>
          </w:p>
        </w:tc>
      </w:tr>
      <w:tr w:rsidR="00C1548D" w14:paraId="70A5062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2D" w14:textId="77777777" w:rsidR="00C1548D" w:rsidRDefault="009B1B4B">
            <w:pPr>
              <w:spacing w:line="250" w:lineRule="auto"/>
            </w:pPr>
            <w:r>
              <w:rPr>
                <w:sz w:val="18"/>
                <w:szCs w:val="18"/>
              </w:rPr>
              <w:t>Videotelefonie hält Kontakt trotz der Distanz aufrecht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2E" w14:textId="77777777" w:rsidR="00C1548D" w:rsidRDefault="009B1B4B">
            <w:pPr>
              <w:spacing w:line="250" w:lineRule="auto"/>
            </w:pPr>
            <w:r>
              <w:rPr>
                <w:sz w:val="18"/>
                <w:szCs w:val="18"/>
              </w:rPr>
              <w:t>Keine Direktflüge, 24 bis 27 Stunden Reisezeit, hohe Preise bei Last-Minute-Buchungen</w:t>
            </w:r>
          </w:p>
        </w:tc>
      </w:tr>
      <w:tr w:rsidR="00C1548D" w14:paraId="70A5063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30" w14:textId="77777777" w:rsidR="00C1548D" w:rsidRDefault="009B1B4B">
            <w:pPr>
              <w:spacing w:line="250" w:lineRule="auto"/>
            </w:pPr>
            <w:r>
              <w:rPr>
                <w:sz w:val="18"/>
                <w:szCs w:val="18"/>
              </w:rPr>
              <w:t>Professionelle Hilfe ist rund um die Uhr kostenlos erreichbar</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31" w14:textId="77777777" w:rsidR="00C1548D" w:rsidRDefault="009B1B4B">
            <w:pPr>
              <w:spacing w:line="250" w:lineRule="auto"/>
            </w:pPr>
            <w:r>
              <w:rPr>
                <w:sz w:val="18"/>
                <w:szCs w:val="18"/>
              </w:rPr>
              <w:t>Größte Zeitverschiebung aller vier Zielländer erschwert spontane Nähe im Ernstfall</w:t>
            </w:r>
          </w:p>
        </w:tc>
      </w:tr>
    </w:tbl>
    <w:p w14:paraId="70A50633" w14:textId="77777777" w:rsidR="00C1548D" w:rsidRDefault="00C1548D">
      <w:pPr>
        <w:spacing w:line="180" w:lineRule="exact"/>
      </w:pPr>
    </w:p>
    <w:p w14:paraId="70A50634"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635" w14:textId="77777777" w:rsidR="00C1548D" w:rsidRDefault="009B1B4B">
      <w:pPr>
        <w:spacing w:after="140"/>
      </w:pPr>
      <w:r>
        <w:t>Wähle vor dem Umzug einen Sportverein, eine Plunket-Gruppe oder ein Ehrenamt in deiner Zielstadt aus, tritt den passenden Online-Gruppen bei und plane feste Rituale mit der Familie zu Hause trotz Zeitverschiebung ein. Bereite dich darauf vor, dass Heimatbesuche in Neuseeland geplant statt spontan sind, und kläre die wichtigsten Notfallfragen, bevor du sie brauchst.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3F"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636" w14:textId="77777777" w:rsidR="00C1548D" w:rsidRDefault="009B1B4B">
            <w:pPr>
              <w:keepNext/>
              <w:spacing w:after="70" w:line="240" w:lineRule="auto"/>
            </w:pPr>
            <w:r>
              <w:rPr>
                <w:b/>
                <w:bCs/>
                <w:color w:val="1F6F78"/>
                <w:spacing w:val="24"/>
                <w:sz w:val="16"/>
                <w:szCs w:val="16"/>
              </w:rPr>
              <w:lastRenderedPageBreak/>
              <w:t>CHECKLISTE</w:t>
            </w:r>
          </w:p>
          <w:p w14:paraId="70A5063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 dem Umzug einen Sportclub, eine Plunket-Gruppe oder ein Ehrenamt (Feuerwehr, Neighbourhood Support) der Zielstadt recherchiert</w:t>
            </w:r>
          </w:p>
          <w:p w14:paraId="70A5063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Facebook- und Meetup-Gruppen „Germans in [Stadt]“ gesucht und beigetreten</w:t>
            </w:r>
          </w:p>
          <w:p w14:paraId="70A5063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Zuständigkeiten von Botschaft Wellington, Honorarkonsul und Goethe-Institut notiert</w:t>
            </w:r>
          </w:p>
          <w:p w14:paraId="70A5063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Festen Wochentermin für Kontakt nach Deutschland trotz Zeitverschiebung vereinbart</w:t>
            </w:r>
          </w:p>
          <w:p w14:paraId="70A5063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Heimatbesuch zu Weihnachten oder größeren Feiertagen früh gebucht, nicht im akuten Tief</w:t>
            </w:r>
          </w:p>
          <w:p w14:paraId="70A5063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Vorsorgevollmacht für eine Person in Deutschland geklärt, bevor ein Notfall eintritt</w:t>
            </w:r>
          </w:p>
          <w:p w14:paraId="70A5063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1737 und den Notruf 111 gespeichert</w:t>
            </w:r>
          </w:p>
          <w:p w14:paraId="70A5063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Ein eigenes Weihnachtsritual für die Südhalbkugel überlegt, statt das erste Fest zu improvisieren</w:t>
            </w:r>
          </w:p>
        </w:tc>
      </w:tr>
    </w:tbl>
    <w:p w14:paraId="70A50640" w14:textId="77777777" w:rsidR="00C1548D" w:rsidRDefault="00C1548D">
      <w:pPr>
        <w:spacing w:line="220" w:lineRule="exact"/>
      </w:pPr>
    </w:p>
    <w:p w14:paraId="70A50641"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642" w14:textId="22CC547E" w:rsidR="00C1548D" w:rsidRDefault="009B1B4B" w:rsidP="009B1B4B">
      <w:pPr>
        <w:pStyle w:val="ListParagraph"/>
        <w:numPr>
          <w:ilvl w:val="0"/>
          <w:numId w:val="1"/>
        </w:numPr>
        <w:spacing w:after="60"/>
      </w:pPr>
      <w:r>
        <w:t>Deutsche Botschaft Wellington — Zuständigkeiten, Kontakt, Honorarkonsuln (</w:t>
      </w:r>
      <w:hyperlink r:id="rId665" w:history="1">
        <w:r>
          <w:rPr>
            <w:color w:val="0563C1"/>
            <w:u w:val="single"/>
          </w:rPr>
          <w:t>wellington.diplo.de</w:t>
        </w:r>
      </w:hyperlink>
      <w:r>
        <w:t>)</w:t>
      </w:r>
    </w:p>
    <w:p w14:paraId="70A50643" w14:textId="7EDA5583" w:rsidR="00C1548D" w:rsidRDefault="009B1B4B" w:rsidP="009B1B4B">
      <w:pPr>
        <w:pStyle w:val="ListParagraph"/>
        <w:numPr>
          <w:ilvl w:val="0"/>
          <w:numId w:val="1"/>
        </w:numPr>
        <w:spacing w:after="60"/>
      </w:pPr>
      <w:r>
        <w:t>Goethe-Institut Neuseeland — Standort Wellington, Sprachkurse (</w:t>
      </w:r>
      <w:hyperlink r:id="rId666" w:history="1">
        <w:r>
          <w:rPr>
            <w:color w:val="0563C1"/>
            <w:u w:val="single"/>
          </w:rPr>
          <w:t>goethe.de/ins/nz</w:t>
        </w:r>
      </w:hyperlink>
      <w:r>
        <w:t>)</w:t>
      </w:r>
    </w:p>
    <w:p w14:paraId="70A50644" w14:textId="0322172F" w:rsidR="00C1548D" w:rsidRDefault="009B1B4B" w:rsidP="009B1B4B">
      <w:pPr>
        <w:pStyle w:val="ListParagraph"/>
        <w:numPr>
          <w:ilvl w:val="0"/>
          <w:numId w:val="1"/>
        </w:numPr>
        <w:spacing w:after="60"/>
      </w:pPr>
      <w:r>
        <w:t>1737 Need to Talk — kostenlose Beratung rund um die Uhr (</w:t>
      </w:r>
      <w:hyperlink r:id="rId667" w:history="1">
        <w:r>
          <w:rPr>
            <w:color w:val="0563C1"/>
            <w:u w:val="single"/>
          </w:rPr>
          <w:t>1737.org.nz</w:t>
        </w:r>
      </w:hyperlink>
      <w:r>
        <w:t>)</w:t>
      </w:r>
    </w:p>
    <w:p w14:paraId="70A50645" w14:textId="296C25F5" w:rsidR="00C1548D" w:rsidRDefault="009B1B4B" w:rsidP="009B1B4B">
      <w:pPr>
        <w:pStyle w:val="ListParagraph"/>
        <w:numPr>
          <w:ilvl w:val="0"/>
          <w:numId w:val="1"/>
        </w:numPr>
        <w:spacing w:after="60"/>
      </w:pPr>
      <w:r>
        <w:t>Lifeline Aotearoa — Krisenhilfe (</w:t>
      </w:r>
      <w:hyperlink r:id="rId668" w:history="1">
        <w:r>
          <w:rPr>
            <w:color w:val="0563C1"/>
            <w:u w:val="single"/>
          </w:rPr>
          <w:t>lifeline.org.nz</w:t>
        </w:r>
      </w:hyperlink>
      <w:r>
        <w:t>)</w:t>
      </w:r>
    </w:p>
    <w:p w14:paraId="70A50646" w14:textId="4FA60EB1" w:rsidR="00C1548D" w:rsidRDefault="009B1B4B" w:rsidP="009B1B4B">
      <w:pPr>
        <w:pStyle w:val="ListParagraph"/>
        <w:numPr>
          <w:ilvl w:val="0"/>
          <w:numId w:val="1"/>
        </w:numPr>
        <w:spacing w:after="60"/>
      </w:pPr>
      <w:r>
        <w:t>Plunket — Krabbelgruppen und Familienangebote (</w:t>
      </w:r>
      <w:hyperlink r:id="rId669" w:history="1">
        <w:r>
          <w:rPr>
            <w:color w:val="0563C1"/>
            <w:u w:val="single"/>
          </w:rPr>
          <w:t>plunket.org.nz</w:t>
        </w:r>
      </w:hyperlink>
      <w:r>
        <w:t>)</w:t>
      </w:r>
    </w:p>
    <w:p w14:paraId="70A50647" w14:textId="65EF4262" w:rsidR="00C1548D" w:rsidRDefault="009B1B4B" w:rsidP="009B1B4B">
      <w:pPr>
        <w:pStyle w:val="ListParagraph"/>
        <w:numPr>
          <w:ilvl w:val="0"/>
          <w:numId w:val="1"/>
        </w:numPr>
        <w:spacing w:after="60"/>
      </w:pPr>
      <w:r>
        <w:t>Fire and Emergency New Zealand — freiwillige Mitarbeit (</w:t>
      </w:r>
      <w:hyperlink r:id="rId670" w:history="1">
        <w:r>
          <w:rPr>
            <w:color w:val="0563C1"/>
            <w:u w:val="single"/>
          </w:rPr>
          <w:t>fireandemergency.nz</w:t>
        </w:r>
      </w:hyperlink>
      <w:r>
        <w:t>)</w:t>
      </w:r>
    </w:p>
    <w:p w14:paraId="70A50648"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4B"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649" w14:textId="77777777" w:rsidR="00C1548D" w:rsidRDefault="009B1B4B">
            <w:pPr>
              <w:keepNext/>
              <w:spacing w:after="70" w:line="240" w:lineRule="auto"/>
            </w:pPr>
            <w:r>
              <w:rPr>
                <w:b/>
                <w:bCs/>
                <w:color w:val="6B7280"/>
                <w:spacing w:val="24"/>
                <w:sz w:val="16"/>
                <w:szCs w:val="16"/>
              </w:rPr>
              <w:lastRenderedPageBreak/>
              <w:t>STAND</w:t>
            </w:r>
          </w:p>
          <w:p w14:paraId="70A5064A" w14:textId="77777777" w:rsidR="00C1548D" w:rsidRDefault="009B1B4B">
            <w:pPr>
              <w:spacing w:after="80" w:line="264" w:lineRule="auto"/>
            </w:pPr>
            <w:r>
              <w:rPr>
                <w:sz w:val="20"/>
                <w:szCs w:val="20"/>
              </w:rPr>
              <w:t>September 2026. Diese Angaben ändern sich: Zuständigkeiten von Konsulat und Goethe-Institut, Flugverbindungen und -preise sowie Kontaktdaten von Hilfsangeboten. Prüfe vor jeder Entscheidung die aktuellen Angaben der genannten Stellen.</w:t>
            </w:r>
          </w:p>
        </w:tc>
      </w:tr>
    </w:tbl>
    <w:p w14:paraId="70A5064C" w14:textId="77777777" w:rsidR="00C1548D" w:rsidRDefault="00C1548D">
      <w:pPr>
        <w:spacing w:line="220" w:lineRule="exact"/>
      </w:pPr>
    </w:p>
    <w:p w14:paraId="70A5064D" w14:textId="77777777" w:rsidR="00C1548D" w:rsidRDefault="009B1B4B">
      <w:pPr>
        <w:pStyle w:val="Heading2"/>
        <w:keepNext/>
        <w:pageBreakBefore/>
        <w:jc w:val="center"/>
      </w:pPr>
      <w:bookmarkStart w:id="192" w:name="tnz13"/>
      <w:bookmarkStart w:id="193" w:name="_Toc241352548"/>
      <w:r>
        <w:rPr>
          <w:rFonts w:ascii="Amazon Ember" w:eastAsia="Amazon Ember" w:hAnsi="Amazon Ember" w:cs="Amazon Ember"/>
          <w:color w:val="0000FF"/>
          <w:sz w:val="36"/>
          <w:szCs w:val="36"/>
        </w:rPr>
        <w:lastRenderedPageBreak/>
        <w:t>Neuseeland: Kinder, Schule und Spracheingewöhnung</w:t>
      </w:r>
      <w:bookmarkEnd w:id="192"/>
      <w:bookmarkEnd w:id="193"/>
    </w:p>
    <w:p w14:paraId="70A5064E" w14:textId="77777777" w:rsidR="00C1548D" w:rsidRDefault="009B1B4B">
      <w:pPr>
        <w:spacing w:after="140"/>
      </w:pPr>
      <w:r>
        <w:t>Während Finn (8, fiktiv, Familie Krüger) in Rostock mitten im zweiten Schulhalbjahr steckte, beginnt sein erstes neuseeländisches Schuljahr Ende Januar – bei sommerlichen Temperaturen, mit Sonnenhut statt Mütze im Ranzen und einem Klassenzimmer, das gerade erst zum ersten Mal zusammenfindet. Für Eltern ist das mehr als eine Kuriosität am Rande: Der Zeitpunkt des Umzugs entscheidet spürbar mit, wie glatt der Schulwechsel gelingt – und wer diesen Rhythmus nicht kennt, plant leicht am falschen Fenster vorbei.</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56"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64F" w14:textId="77777777" w:rsidR="00C1548D" w:rsidRDefault="009B1B4B">
            <w:pPr>
              <w:keepNext/>
              <w:spacing w:after="70" w:line="240" w:lineRule="auto"/>
            </w:pPr>
            <w:r>
              <w:rPr>
                <w:b/>
                <w:bCs/>
                <w:color w:val="1F3A5F"/>
                <w:spacing w:val="24"/>
                <w:sz w:val="16"/>
                <w:szCs w:val="16"/>
              </w:rPr>
              <w:t>KURZ GESAGT</w:t>
            </w:r>
          </w:p>
          <w:p w14:paraId="70A50650" w14:textId="77777777" w:rsidR="00C1548D" w:rsidRDefault="009B1B4B" w:rsidP="009B1B4B">
            <w:pPr>
              <w:pStyle w:val="ListParagraph"/>
              <w:numPr>
                <w:ilvl w:val="0"/>
                <w:numId w:val="1"/>
              </w:numPr>
              <w:spacing w:after="50" w:line="264" w:lineRule="auto"/>
            </w:pPr>
            <w:r>
              <w:rPr>
                <w:sz w:val="20"/>
                <w:szCs w:val="20"/>
              </w:rPr>
              <w:t xml:space="preserve">Neuseelands Schuljahr läuft von Ende Januar/Anfang Februar bis Mitte Dezember, in vier </w:t>
            </w:r>
            <w:r>
              <w:rPr>
                <w:i/>
                <w:iCs/>
                <w:sz w:val="20"/>
                <w:szCs w:val="20"/>
              </w:rPr>
              <w:t>Terms</w:t>
            </w:r>
            <w:r>
              <w:rPr>
                <w:sz w:val="20"/>
                <w:szCs w:val="20"/>
              </w:rPr>
              <w:t xml:space="preserve"> (Schulblöcken) mit kurzen Ferien dazwischen – ein zentraler Unterschied zum deutschen Rhythmus, den du bei der Umzugsplanung nutzen solltest.</w:t>
            </w:r>
          </w:p>
          <w:p w14:paraId="70A50651" w14:textId="77777777" w:rsidR="00C1548D" w:rsidRDefault="009B1B4B" w:rsidP="009B1B4B">
            <w:pPr>
              <w:pStyle w:val="ListParagraph"/>
              <w:numPr>
                <w:ilvl w:val="0"/>
                <w:numId w:val="1"/>
              </w:numPr>
              <w:spacing w:after="50" w:line="264" w:lineRule="auto"/>
            </w:pPr>
            <w:r>
              <w:rPr>
                <w:sz w:val="20"/>
                <w:szCs w:val="20"/>
              </w:rPr>
              <w:t xml:space="preserve">Primary School dauert meist Year 1 bis Year 8 (teils mit eigener </w:t>
            </w:r>
            <w:r>
              <w:rPr>
                <w:i/>
                <w:iCs/>
                <w:sz w:val="20"/>
                <w:szCs w:val="20"/>
              </w:rPr>
              <w:t>Intermediate School</w:t>
            </w:r>
            <w:r>
              <w:rPr>
                <w:sz w:val="20"/>
                <w:szCs w:val="20"/>
              </w:rPr>
              <w:t xml:space="preserve"> für Year 7/8), Secondary School Year 9 bis Year 13; anders als in Deutschland zählen alle Jahrgänge bundesweit einheitlich durch.</w:t>
            </w:r>
          </w:p>
          <w:p w14:paraId="70A50652" w14:textId="77777777" w:rsidR="00C1548D" w:rsidRDefault="009B1B4B" w:rsidP="009B1B4B">
            <w:pPr>
              <w:pStyle w:val="ListParagraph"/>
              <w:numPr>
                <w:ilvl w:val="0"/>
                <w:numId w:val="1"/>
              </w:numPr>
              <w:spacing w:after="50" w:line="264" w:lineRule="auto"/>
            </w:pPr>
            <w:r>
              <w:rPr>
                <w:sz w:val="20"/>
                <w:szCs w:val="20"/>
              </w:rPr>
              <w:t>Rund vier von fünf Kindern besuchen staatliche, gebührenfreie Schulen; state-integrierte und private Schulen kosten von wenigen Hundert bis über 20.000 NZD im Jahr.</w:t>
            </w:r>
          </w:p>
          <w:p w14:paraId="70A50653" w14:textId="77777777" w:rsidR="00C1548D" w:rsidRDefault="009B1B4B" w:rsidP="009B1B4B">
            <w:pPr>
              <w:pStyle w:val="ListParagraph"/>
              <w:numPr>
                <w:ilvl w:val="0"/>
                <w:numId w:val="1"/>
              </w:numPr>
              <w:spacing w:after="50" w:line="264" w:lineRule="auto"/>
            </w:pPr>
            <w:r>
              <w:rPr>
                <w:sz w:val="20"/>
                <w:szCs w:val="20"/>
              </w:rPr>
              <w:t>Kinder dürfen ab dem fünften Geburtstag eingeschult werden, müssen es aber erst mit sechs Jahren; Schulzonen nach Wohnadresse entscheiden vielerorts über den Platz an der Wunschschule.</w:t>
            </w:r>
          </w:p>
          <w:p w14:paraId="70A50654" w14:textId="77777777" w:rsidR="00C1548D" w:rsidRDefault="009B1B4B" w:rsidP="009B1B4B">
            <w:pPr>
              <w:pStyle w:val="ListParagraph"/>
              <w:numPr>
                <w:ilvl w:val="0"/>
                <w:numId w:val="1"/>
              </w:numPr>
              <w:spacing w:after="50" w:line="264" w:lineRule="auto"/>
            </w:pPr>
            <w:r>
              <w:rPr>
                <w:sz w:val="20"/>
                <w:szCs w:val="20"/>
              </w:rPr>
              <w:t xml:space="preserve">Sprachförderung heißt </w:t>
            </w:r>
            <w:r>
              <w:rPr>
                <w:i/>
                <w:iCs/>
                <w:sz w:val="20"/>
                <w:szCs w:val="20"/>
              </w:rPr>
              <w:t>ESOL</w:t>
            </w:r>
            <w:r>
              <w:rPr>
                <w:sz w:val="20"/>
                <w:szCs w:val="20"/>
              </w:rPr>
              <w:t xml:space="preserve"> und wird über Jahre hinweg gestaffelt vom Ministerium mitfinanziert – Kinder gewöhnen sich meist deutlich schneller ein als ihre Eltern.</w:t>
            </w:r>
          </w:p>
          <w:p w14:paraId="70A50655" w14:textId="77777777" w:rsidR="00C1548D" w:rsidRDefault="009B1B4B" w:rsidP="009B1B4B">
            <w:pPr>
              <w:pStyle w:val="ListParagraph"/>
              <w:numPr>
                <w:ilvl w:val="0"/>
                <w:numId w:val="1"/>
              </w:numPr>
              <w:spacing w:after="50" w:line="264" w:lineRule="auto"/>
            </w:pPr>
            <w:r>
              <w:rPr>
                <w:sz w:val="20"/>
                <w:szCs w:val="20"/>
              </w:rPr>
              <w:t>Organisierte deutsche Sprachangebote gibt es fast nur in Wellington; anderswo bleibt vor allem die eigene Initiative zu Hause.</w:t>
            </w:r>
          </w:p>
        </w:tc>
      </w:tr>
    </w:tbl>
    <w:p w14:paraId="70A50657" w14:textId="77777777" w:rsidR="00C1548D" w:rsidRDefault="00C1548D">
      <w:pPr>
        <w:spacing w:line="220" w:lineRule="exact"/>
      </w:pPr>
    </w:p>
    <w:p w14:paraId="70A50658" w14:textId="77777777" w:rsidR="00C1548D" w:rsidRDefault="009B1B4B">
      <w:pPr>
        <w:pStyle w:val="Heading3"/>
        <w:keepNext/>
        <w:jc w:val="center"/>
      </w:pPr>
      <w:r>
        <w:rPr>
          <w:rFonts w:ascii="Amazon Ember" w:eastAsia="Amazon Ember" w:hAnsi="Amazon Ember" w:cs="Amazon Ember"/>
          <w:color w:val="0000FF"/>
          <w:sz w:val="36"/>
          <w:szCs w:val="36"/>
        </w:rPr>
        <w:lastRenderedPageBreak/>
        <w:t>Aufbau des Schulsystems: von der Kita bis zur Universitätsreife</w:t>
      </w:r>
    </w:p>
    <w:p w14:paraId="70A50659" w14:textId="77777777" w:rsidR="00C1548D" w:rsidRDefault="009B1B4B">
      <w:pPr>
        <w:spacing w:after="140"/>
      </w:pPr>
      <w:r>
        <w:t>Vor der Schulpflicht gibt es in Neuseeland kein flächendeckendes, kostenloses Kita-Netz wie in Deutschland. Frühkindliche Bildung (</w:t>
      </w:r>
      <w:r>
        <w:rPr>
          <w:i/>
          <w:iCs/>
        </w:rPr>
        <w:t>Early Childhood Education</w:t>
      </w:r>
      <w:r>
        <w:t xml:space="preserve">, ECE) läuft überwiegend über private oder gemeinnützige Einrichtungen – von klassischen </w:t>
      </w:r>
      <w:r>
        <w:rPr>
          <w:i/>
          <w:iCs/>
        </w:rPr>
        <w:t>Kindergartens</w:t>
      </w:r>
      <w:r>
        <w:t xml:space="preserve"> über </w:t>
      </w:r>
      <w:r>
        <w:rPr>
          <w:i/>
          <w:iCs/>
        </w:rPr>
        <w:t>Playcentres</w:t>
      </w:r>
      <w:r>
        <w:t xml:space="preserve"> (Eltern-Kind-Initiativen mit hohem Elternengagement) bis zu ganztägigen </w:t>
      </w:r>
      <w:r>
        <w:rPr>
          <w:i/>
          <w:iCs/>
        </w:rPr>
        <w:t>Daycare</w:t>
      </w:r>
      <w:r>
        <w:t>-Zentren.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w14:paraId="70A5065A" w14:textId="77777777" w:rsidR="00C1548D" w:rsidRDefault="009B1B4B">
      <w:pPr>
        <w:spacing w:after="140"/>
      </w:pPr>
      <w:r>
        <w:t xml:space="preserve">Die eigentliche Schulzeit gliedert sich, anders als im föderal organisierten Deutschland, in ein landesweit einheitliches Zählsystem: </w:t>
      </w:r>
      <w:r>
        <w:rPr>
          <w:i/>
          <w:iCs/>
        </w:rPr>
        <w:t>Year 1</w:t>
      </w:r>
      <w:r>
        <w:t xml:space="preserve"> bis </w:t>
      </w:r>
      <w:r>
        <w:rPr>
          <w:i/>
          <w:iCs/>
        </w:rPr>
        <w:t>Year 8</w:t>
      </w:r>
      <w:r>
        <w:t xml:space="preserve"> entsprechen der Primarstufe (an vielen Orten als durchgehende </w:t>
      </w:r>
      <w:r>
        <w:rPr>
          <w:i/>
          <w:iCs/>
        </w:rPr>
        <w:t>Full Primary School</w:t>
      </w:r>
      <w:r>
        <w:t xml:space="preserve"> organisiert, andernorts mit einem Wechsel zur eigenständigen </w:t>
      </w:r>
      <w:r>
        <w:rPr>
          <w:i/>
          <w:iCs/>
        </w:rPr>
        <w:t>Intermediate School</w:t>
      </w:r>
      <w:r>
        <w:t xml:space="preserve"> für Year 7 und 8), </w:t>
      </w:r>
      <w:r>
        <w:rPr>
          <w:i/>
          <w:iCs/>
        </w:rPr>
        <w:t>Year 9</w:t>
      </w:r>
      <w:r>
        <w:t xml:space="preserve"> bis </w:t>
      </w:r>
      <w:r>
        <w:rPr>
          <w:i/>
          <w:iCs/>
        </w:rPr>
        <w:t>Year 13</w:t>
      </w:r>
      <w:r>
        <w:t xml:space="preserve"> der Sekundarstufe (</w:t>
      </w:r>
      <w:r>
        <w:rPr>
          <w:i/>
          <w:iCs/>
        </w:rPr>
        <w:t>Secondary School</w:t>
      </w:r>
      <w:r>
        <w:t>, oft schlicht „College“ oder „High School“ genannt). Die Schulpflicht endet formal erst mit 16 Jahren, faktisch bleiben aber die meisten Jugendlichen bis Year 13, um einen vollständigen Abschluss zu erreichen.</w:t>
      </w:r>
    </w:p>
    <w:p w14:paraId="70A5065B" w14:textId="77777777" w:rsidR="00C1548D" w:rsidRDefault="009B1B4B">
      <w:pPr>
        <w:spacing w:after="140"/>
      </w:pPr>
      <w:r>
        <w:t xml:space="preserve">Dieser Abschluss heißt </w:t>
      </w:r>
      <w:r>
        <w:rPr>
          <w:i/>
          <w:iCs/>
        </w:rPr>
        <w:t>NCEA</w:t>
      </w:r>
      <w:r>
        <w:t xml:space="preserve"> (</w:t>
      </w:r>
      <w:r>
        <w:rPr>
          <w:i/>
          <w:iCs/>
        </w:rPr>
        <w:t>National Certificate of Educational Achievement</w:t>
      </w:r>
      <w:r>
        <w:t xml:space="preserve">) und wird in drei aufeinander aufbauenden Stufen erworben, die ungefähr Year 11 bis Year 13 entsprechen – ein System, das über Einzelfächer und Kredit-Punkte funktioniert und deshalb flexibler, aber auch unübersichtlicher ist als das deutsche Abitur. Wichtig für die Planung: Die neuseeländische Regierung hat im März 2026 angekündigt, NCEA zwischen 2028 und 2030 schrittweise durch ein neues Qualifikationssystem zu ersetzen. Wer </w:t>
      </w:r>
      <w:r>
        <w:lastRenderedPageBreak/>
        <w:t>heute mit älteren Kindern einwandert, sollte diese Übergangsphase im Blick behal</w:t>
      </w:r>
      <w:r>
        <w:t>ten und sich bei der Zielschule direkt nach dem aktuellen Planungsstand erkundigen, statt sich auf ältere Informationen zu verlassen.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5E"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65C" w14:textId="77777777" w:rsidR="00C1548D" w:rsidRDefault="009B1B4B">
            <w:pPr>
              <w:keepNext/>
              <w:spacing w:after="70" w:line="240" w:lineRule="auto"/>
            </w:pPr>
            <w:r>
              <w:rPr>
                <w:b/>
                <w:bCs/>
                <w:color w:val="8A6212"/>
                <w:spacing w:val="24"/>
                <w:sz w:val="16"/>
                <w:szCs w:val="16"/>
              </w:rPr>
              <w:t>MERKE</w:t>
            </w:r>
          </w:p>
          <w:p w14:paraId="70A5065D" w14:textId="77777777" w:rsidR="00C1548D" w:rsidRDefault="009B1B4B">
            <w:pPr>
              <w:spacing w:after="80" w:line="264" w:lineRule="auto"/>
            </w:pPr>
            <w:r>
              <w:rPr>
                <w:sz w:val="20"/>
                <w:szCs w:val="20"/>
              </w:rPr>
              <w:t>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tc>
      </w:tr>
    </w:tbl>
    <w:p w14:paraId="70A5065F" w14:textId="77777777" w:rsidR="00C1548D" w:rsidRDefault="00C1548D">
      <w:pPr>
        <w:spacing w:line="220" w:lineRule="exact"/>
      </w:pPr>
    </w:p>
    <w:p w14:paraId="70A50660" w14:textId="77777777" w:rsidR="00C1548D" w:rsidRDefault="009B1B4B">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 ähnli</w:t>
      </w:r>
      <w:r>
        <w:t>ch wie in Teilen Deutschlands, allerdings ohne das dichte Nachmittagsangebot deutscher Ganztagsschulen; Betreuung außerhalb dieser Zeiten organisieren viele Schulen über angegliederte, kostenpflichtige „Out of School Care“-Programme.</w:t>
      </w:r>
    </w:p>
    <w:p w14:paraId="70A50661" w14:textId="77777777" w:rsidR="00C1548D" w:rsidRDefault="009B1B4B">
      <w:pPr>
        <w:spacing w:after="140"/>
      </w:pPr>
      <w:r>
        <w:t xml:space="preserve">Ein weiteres, sehr neuseeländisches Element des Schulalltags ist </w:t>
      </w:r>
      <w:r>
        <w:rPr>
          <w:i/>
          <w:iCs/>
        </w:rPr>
        <w:t>Kapa Haka</w:t>
      </w:r>
      <w:r>
        <w:t>: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 körperlicher Ausdruck und Rhythmus überbrücken hier die Sprachlücke oft schneller als jedes Gespräch auf dem Pausenhof.</w:t>
      </w:r>
    </w:p>
    <w:p w14:paraId="70A50662" w14:textId="77777777" w:rsidR="00C1548D" w:rsidRDefault="009B1B4B">
      <w:pPr>
        <w:pStyle w:val="Heading3"/>
        <w:keepNext/>
        <w:jc w:val="center"/>
      </w:pPr>
      <w:r>
        <w:rPr>
          <w:rFonts w:ascii="Amazon Ember" w:eastAsia="Amazon Ember" w:hAnsi="Amazon Ember" w:cs="Amazon Ember"/>
          <w:color w:val="0000FF"/>
          <w:sz w:val="36"/>
          <w:szCs w:val="36"/>
        </w:rPr>
        <w:lastRenderedPageBreak/>
        <w:t>Staatlich, state-integriert oder privat: drei Schulwelten</w:t>
      </w:r>
    </w:p>
    <w:p w14:paraId="70A50663" w14:textId="77777777" w:rsidR="00C1548D" w:rsidRDefault="009B1B4B">
      <w:pPr>
        <w:spacing w:after="140"/>
      </w:pPr>
      <w:r>
        <w:t xml:space="preserve">Wie in Australien existieren in Neuseeland drei Schulsektoren nebeneinander, wenn auch mit anderer Verteilung. Die große Mehrheit der Kinder besucht staatliche </w:t>
      </w:r>
      <w:r>
        <w:rPr>
          <w:i/>
          <w:iCs/>
        </w:rPr>
        <w:t>State Schools</w:t>
      </w:r>
      <w:r>
        <w:t xml:space="preserve">: gebührenfrei, ohne Statusprüfung, mit Aufnahme nach Wohnadresse – dem deutschen Prinzip „Schulbezirk bestimmt Schule“ nicht unähnlich. Daneben stehen </w:t>
      </w:r>
      <w:r>
        <w:rPr>
          <w:i/>
          <w:iCs/>
        </w:rPr>
        <w:t>State-integrated Schools</w:t>
      </w:r>
      <w:r>
        <w:t xml:space="preserve">: ehemals private, meist konfessionell geprägte Schulen, die unter einem eigenen Gesetz in das staatliche System integriert wurden. Der Unterricht selbst ist staatlich finanziert, doch die Schulen erheben weiterhin sogenannte </w:t>
      </w:r>
      <w:r>
        <w:rPr>
          <w:i/>
          <w:iCs/>
        </w:rPr>
        <w:t>Attendance Dues</w:t>
      </w:r>
      <w:r>
        <w:t xml:space="preserve"> (Schulbesuchsgebühren) für den Erhalt von Gebäuden und Grundstück, die im Unterschied zur „freiwilligen“ Spende staatlicher Schulen tatsächlich verpflichtend sind. Ganz unabhängig bleiben die </w:t>
      </w:r>
      <w:r>
        <w:rPr>
          <w:i/>
          <w:iCs/>
        </w:rPr>
        <w:t>Independent Schools</w:t>
      </w:r>
      <w:r>
        <w:t xml:space="preserve"> (Privatschulen), deren Schulgeld von einigen Tausend bis über 20.000 NZD im Jahr reicht, an einzelnen renommierten Internaten auch deutlich darüber.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75"/>
        <w:gridCol w:w="2818"/>
        <w:gridCol w:w="2287"/>
      </w:tblGrid>
      <w:tr w:rsidR="00C1548D" w14:paraId="70A50667" w14:textId="77777777">
        <w:tblPrEx>
          <w:tblCellMar>
            <w:top w:w="0" w:type="dxa"/>
            <w:bottom w:w="0" w:type="dxa"/>
          </w:tblCellMar>
        </w:tblPrEx>
        <w:trPr>
          <w:cantSplit/>
          <w:tblHeader/>
        </w:trPr>
        <w:tc>
          <w:tcPr>
            <w:tcW w:w="137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664" w14:textId="77777777" w:rsidR="00C1548D" w:rsidRDefault="009B1B4B">
            <w:pPr>
              <w:spacing w:line="250" w:lineRule="auto"/>
            </w:pPr>
            <w:r>
              <w:rPr>
                <w:b/>
                <w:bCs/>
                <w:sz w:val="18"/>
                <w:szCs w:val="18"/>
              </w:rPr>
              <w:t>Schultyp</w:t>
            </w:r>
          </w:p>
        </w:tc>
        <w:tc>
          <w:tcPr>
            <w:tcW w:w="281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665" w14:textId="77777777" w:rsidR="00C1548D" w:rsidRDefault="009B1B4B">
            <w:pPr>
              <w:spacing w:line="250" w:lineRule="auto"/>
            </w:pPr>
            <w:r>
              <w:rPr>
                <w:b/>
                <w:bCs/>
                <w:sz w:val="18"/>
                <w:szCs w:val="18"/>
              </w:rPr>
              <w:t>Kosten</w:t>
            </w:r>
          </w:p>
        </w:tc>
        <w:tc>
          <w:tcPr>
            <w:tcW w:w="228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666" w14:textId="77777777" w:rsidR="00C1548D" w:rsidRDefault="009B1B4B">
            <w:pPr>
              <w:spacing w:line="250" w:lineRule="auto"/>
            </w:pPr>
            <w:r>
              <w:rPr>
                <w:b/>
                <w:bCs/>
                <w:sz w:val="18"/>
                <w:szCs w:val="18"/>
              </w:rPr>
              <w:t>Besonderheit</w:t>
            </w:r>
          </w:p>
        </w:tc>
      </w:tr>
      <w:tr w:rsidR="00C1548D" w14:paraId="70A5066B" w14:textId="77777777">
        <w:tblPrEx>
          <w:tblCellMar>
            <w:top w:w="0" w:type="dxa"/>
            <w:bottom w:w="0" w:type="dxa"/>
          </w:tblCellMar>
        </w:tblPrEx>
        <w:trPr>
          <w:cantSplit/>
        </w:trPr>
        <w:tc>
          <w:tcPr>
            <w:tcW w:w="13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68" w14:textId="77777777" w:rsidR="00C1548D" w:rsidRDefault="009B1B4B">
            <w:pPr>
              <w:spacing w:line="250" w:lineRule="auto"/>
            </w:pPr>
            <w:r>
              <w:rPr>
                <w:sz w:val="18"/>
                <w:szCs w:val="18"/>
              </w:rPr>
              <w:t>State School (staatlich)</w:t>
            </w:r>
          </w:p>
        </w:tc>
        <w:tc>
          <w:tcPr>
            <w:tcW w:w="28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69" w14:textId="77777777" w:rsidR="00C1548D" w:rsidRDefault="009B1B4B">
            <w:pPr>
              <w:spacing w:line="250" w:lineRule="auto"/>
            </w:pPr>
            <w:r>
              <w:rPr>
                <w:sz w:val="18"/>
                <w:szCs w:val="18"/>
              </w:rPr>
              <w:t>gebührenfrei, freiwillige Spende üblich</w:t>
            </w:r>
          </w:p>
        </w:tc>
        <w:tc>
          <w:tcPr>
            <w:tcW w:w="2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6A" w14:textId="77777777" w:rsidR="00C1548D" w:rsidRDefault="009B1B4B">
            <w:pPr>
              <w:spacing w:line="250" w:lineRule="auto"/>
            </w:pPr>
            <w:r>
              <w:rPr>
                <w:sz w:val="18"/>
                <w:szCs w:val="18"/>
              </w:rPr>
              <w:t>Aufnahme meist nach Wohnzone</w:t>
            </w:r>
          </w:p>
        </w:tc>
      </w:tr>
      <w:tr w:rsidR="00C1548D" w14:paraId="70A5066F" w14:textId="77777777">
        <w:tblPrEx>
          <w:tblCellMar>
            <w:top w:w="0" w:type="dxa"/>
            <w:bottom w:w="0" w:type="dxa"/>
          </w:tblCellMar>
        </w:tblPrEx>
        <w:trPr>
          <w:cantSplit/>
        </w:trPr>
        <w:tc>
          <w:tcPr>
            <w:tcW w:w="13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6C" w14:textId="77777777" w:rsidR="00C1548D" w:rsidRDefault="009B1B4B">
            <w:pPr>
              <w:spacing w:line="250" w:lineRule="auto"/>
            </w:pPr>
            <w:r>
              <w:rPr>
                <w:sz w:val="18"/>
                <w:szCs w:val="18"/>
              </w:rPr>
              <w:t>State-integrated School</w:t>
            </w:r>
          </w:p>
        </w:tc>
        <w:tc>
          <w:tcPr>
            <w:tcW w:w="28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6D" w14:textId="77777777" w:rsidR="00C1548D" w:rsidRDefault="009B1B4B">
            <w:pPr>
              <w:spacing w:line="250" w:lineRule="auto"/>
            </w:pPr>
            <w:r>
              <w:rPr>
                <w:sz w:val="18"/>
                <w:szCs w:val="18"/>
              </w:rPr>
              <w:t>verpflichtende Attendance Dues (meist niedrig- bis mittlerer dreistelliger NZD-Betrag/Jahr)</w:t>
            </w:r>
          </w:p>
        </w:tc>
        <w:tc>
          <w:tcPr>
            <w:tcW w:w="2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6E" w14:textId="77777777" w:rsidR="00C1548D" w:rsidRDefault="009B1B4B">
            <w:pPr>
              <w:spacing w:line="250" w:lineRule="auto"/>
            </w:pPr>
            <w:r>
              <w:rPr>
                <w:sz w:val="18"/>
                <w:szCs w:val="18"/>
              </w:rPr>
              <w:t>oft eigenes religiöses oder pädagogisches Profil</w:t>
            </w:r>
          </w:p>
        </w:tc>
      </w:tr>
      <w:tr w:rsidR="00C1548D" w14:paraId="70A50673" w14:textId="77777777">
        <w:tblPrEx>
          <w:tblCellMar>
            <w:top w:w="0" w:type="dxa"/>
            <w:bottom w:w="0" w:type="dxa"/>
          </w:tblCellMar>
        </w:tblPrEx>
        <w:trPr>
          <w:cantSplit/>
        </w:trPr>
        <w:tc>
          <w:tcPr>
            <w:tcW w:w="13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70" w14:textId="77777777" w:rsidR="00C1548D" w:rsidRDefault="009B1B4B">
            <w:pPr>
              <w:spacing w:line="250" w:lineRule="auto"/>
            </w:pPr>
            <w:r>
              <w:rPr>
                <w:sz w:val="18"/>
                <w:szCs w:val="18"/>
              </w:rPr>
              <w:t>Independent School (privat)</w:t>
            </w:r>
          </w:p>
        </w:tc>
        <w:tc>
          <w:tcPr>
            <w:tcW w:w="28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71" w14:textId="77777777" w:rsidR="00C1548D" w:rsidRDefault="009B1B4B">
            <w:pPr>
              <w:spacing w:line="250" w:lineRule="auto"/>
            </w:pPr>
            <w:r>
              <w:rPr>
                <w:sz w:val="18"/>
                <w:szCs w:val="18"/>
              </w:rPr>
              <w:t>mehrere Tausend bis über 20.000 NZD/Jahr</w:t>
            </w:r>
          </w:p>
        </w:tc>
        <w:tc>
          <w:tcPr>
            <w:tcW w:w="2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72" w14:textId="77777777" w:rsidR="00C1548D" w:rsidRDefault="009B1B4B">
            <w:pPr>
              <w:spacing w:line="250" w:lineRule="auto"/>
            </w:pPr>
            <w:r>
              <w:rPr>
                <w:sz w:val="18"/>
                <w:szCs w:val="18"/>
              </w:rPr>
              <w:t>volle Unabhängigkeit vom staatlichen System</w:t>
            </w:r>
          </w:p>
        </w:tc>
      </w:tr>
    </w:tbl>
    <w:p w14:paraId="70A50674" w14:textId="77777777" w:rsidR="00C1548D" w:rsidRDefault="00C1548D">
      <w:pPr>
        <w:spacing w:line="180" w:lineRule="exact"/>
      </w:pPr>
    </w:p>
    <w:p w14:paraId="70A50675" w14:textId="77777777" w:rsidR="00C1548D" w:rsidRDefault="009B1B4B">
      <w:pPr>
        <w:spacing w:after="140"/>
      </w:pPr>
      <w:r>
        <w:t>Auch bei staatlichen Schulen ist „kostenlos“ mit Einschränkung zu lesen: Der Unterricht selbst ist gebührenfrei, doch die meisten Schulen bitten Eltern jährlich um eine freiwillige Spende (</w:t>
      </w:r>
      <w:r>
        <w:rPr>
          <w:i/>
          <w:iCs/>
        </w:rPr>
        <w:t>School Donation</w:t>
      </w:r>
      <w:r>
        <w:t xml:space="preserve">) für Materialien, Exkursionen und Ausstattung – rechtlich freiwillig, sozial aber meist erwartet, ähnlich der „Voluntary Contribution“ australischer Schulen. Hinzu kommen Kosten für Schuluniform, Stationery-Pakete (Schreibwaren-Sets, die viele </w:t>
      </w:r>
      <w:r>
        <w:lastRenderedPageBreak/>
        <w:t>Schulen vorab zusammenstellen und in Rechnung stellen) und gelegentliche Exkursionsbeiträge.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78"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676" w14:textId="77777777" w:rsidR="00C1548D" w:rsidRDefault="009B1B4B">
            <w:pPr>
              <w:keepNext/>
              <w:spacing w:after="70" w:line="240" w:lineRule="auto"/>
            </w:pPr>
            <w:r>
              <w:rPr>
                <w:b/>
                <w:bCs/>
                <w:color w:val="2F6B3B"/>
                <w:spacing w:val="24"/>
                <w:sz w:val="16"/>
                <w:szCs w:val="16"/>
              </w:rPr>
              <w:t>SPARTIPP</w:t>
            </w:r>
          </w:p>
          <w:p w14:paraId="70A50677" w14:textId="77777777" w:rsidR="00C1548D" w:rsidRDefault="009B1B4B">
            <w:pPr>
              <w:spacing w:after="80" w:line="264" w:lineRule="auto"/>
            </w:pPr>
            <w:r>
              <w:rPr>
                <w:sz w:val="20"/>
                <w:szCs w:val="20"/>
              </w:rPr>
              <w:t>Bevor du eine kostenpflichtige State-integrated- oder Independent School ins Auge fasst, prüfe zuerst das staatliche Angebot deiner Zielzone. Der Ruf einer Schule hängt in Neuseeland stark vom Einzugsgebiet und Engagement der Elternschaft ab, nicht zwingend vom Etikett „privat“ – ein Besuchstermin vor Ort sagt oft mehr als jede Rangliste.</w:t>
            </w:r>
          </w:p>
        </w:tc>
      </w:tr>
    </w:tbl>
    <w:p w14:paraId="70A50679" w14:textId="77777777" w:rsidR="00C1548D" w:rsidRDefault="00C1548D">
      <w:pPr>
        <w:spacing w:line="220" w:lineRule="exact"/>
      </w:pPr>
    </w:p>
    <w:p w14:paraId="70A5067A" w14:textId="77777777" w:rsidR="00C1548D" w:rsidRDefault="009B1B4B">
      <w:pPr>
        <w:pStyle w:val="Heading3"/>
        <w:keepNext/>
        <w:jc w:val="center"/>
      </w:pPr>
      <w:r>
        <w:rPr>
          <w:rFonts w:ascii="Amazon Ember" w:eastAsia="Amazon Ember" w:hAnsi="Amazon Ember" w:cs="Amazon Ember"/>
          <w:color w:val="0000FF"/>
          <w:sz w:val="36"/>
          <w:szCs w:val="36"/>
        </w:rPr>
        <w:t>Zonierung und Anmeldung: wer wo hin darf</w:t>
      </w:r>
    </w:p>
    <w:p w14:paraId="70A5067B" w14:textId="79422718" w:rsidR="00C1548D" w:rsidRDefault="009B1B4B">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history="1">
        <w:r>
          <w:rPr>
            <w:color w:val="0563C1"/>
            <w:u w:val="single"/>
          </w:rPr>
          <w:t>Kapitel zum Wohnen in diesem Teil</w:t>
        </w:r>
      </w:hyperlink>
      <w:r>
        <w:t>), lohnt sich deshalb ein Blick auf die exakten Zonengrenzen der gewünschten Schule – ein paar Hundert Meter können hier über den Schulplatz entscheiden.</w:t>
      </w:r>
    </w:p>
    <w:p w14:paraId="70A5067C" w14:textId="77777777" w:rsidR="00C1548D" w:rsidRDefault="009B1B4B">
      <w:pPr>
        <w:spacing w:after="140"/>
      </w:pPr>
      <w:r>
        <w:t xml:space="preserve">Ein zweites Detail überrascht viele deutsche Eltern: Es gibt keinen einzelnen, bundesweiten Einschulungsstichtag. Kinder dürfen ab ihrem fünften Geburtstag zur Schule angemeldet werden, müssen es aber erst mit sechs Jahren. Viele Schulen praktizieren inzwischen eine sogenannte </w:t>
      </w:r>
      <w:r>
        <w:rPr>
          <w:i/>
          <w:iCs/>
        </w:rPr>
        <w:t>Cohort Entry</w:t>
      </w:r>
      <w:r>
        <w:t xml:space="preserve"> (Gruppen-Einschulung): Statt am exakten Geburtstag zu starten, beginnen neue Erstklässler an einem von mehreren festen Terminen im Jahr – ein System, das ankommenden Familien tatsächlich entgegenkommt, weil es keinen einzigen, unumstößlichen deutschen „Einschulungstag“ gibt, um den herum ein Umzug organisiert werden müsste.</w:t>
      </w:r>
    </w:p>
    <w:p w14:paraId="70A5067D" w14:textId="77777777" w:rsidR="00C1548D" w:rsidRDefault="009B1B4B">
      <w:pPr>
        <w:spacing w:after="140"/>
      </w:pPr>
      <w:r>
        <w:lastRenderedPageBreak/>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w:t>
      </w:r>
      <w:r>
        <w:t>tattfindet.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80"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67E" w14:textId="77777777" w:rsidR="00C1548D" w:rsidRDefault="009B1B4B">
            <w:pPr>
              <w:keepNext/>
              <w:spacing w:after="70" w:line="240" w:lineRule="auto"/>
            </w:pPr>
            <w:r>
              <w:rPr>
                <w:b/>
                <w:bCs/>
                <w:color w:val="4A5568"/>
                <w:spacing w:val="24"/>
                <w:sz w:val="16"/>
                <w:szCs w:val="16"/>
              </w:rPr>
              <w:t>PRAXISBEISPIEL · FIKTIV</w:t>
            </w:r>
          </w:p>
          <w:p w14:paraId="70A5067F" w14:textId="77777777" w:rsidR="00C1548D" w:rsidRDefault="009B1B4B">
            <w:pPr>
              <w:spacing w:after="80" w:line="264" w:lineRule="auto"/>
            </w:pPr>
            <w:r>
              <w:rPr>
                <w:sz w:val="20"/>
                <w:szCs w:val="20"/>
              </w:rPr>
              <w:t>Familie Krüger (fiktiv) klärt vor dem Umzug nach Christchurch schriftlich, welche staatliche Grundschule zur künftigen Adresse gehört, und meldet Lotta (12) und Finn (8) rechtzeitig für den Beginn von Term 1 an. Weil ihr AEWV-Antrag glücklich früh genug durchläuft, entscheiden sich Sebastian und Petra bewusst für einen Umzugstermin im neuseeländischen Spätsommer statt mitten im laufenden Term – die Kinder starten so mit dem Rest der Klasse gemeinsam neu, statt in ein bereits laufendes Schuljahr hineinzuplat</w:t>
            </w:r>
            <w:r>
              <w:rPr>
                <w:sz w:val="20"/>
                <w:szCs w:val="20"/>
              </w:rPr>
              <w:t>zen. Für Lotta, die in Rostock gerade Year 7 begonnen hätte, ergibt das Einstufungsgespräch Year 8 an einer Intermediate School; Finn wechselt nahtlos in Year 3 der örtlichen Full Primary School.</w:t>
            </w:r>
          </w:p>
        </w:tc>
      </w:tr>
    </w:tbl>
    <w:p w14:paraId="70A50681" w14:textId="77777777" w:rsidR="00C1548D" w:rsidRDefault="00C1548D">
      <w:pPr>
        <w:spacing w:line="220" w:lineRule="exact"/>
      </w:pPr>
    </w:p>
    <w:p w14:paraId="70A50682" w14:textId="77777777" w:rsidR="00C1548D" w:rsidRDefault="009B1B4B">
      <w:pPr>
        <w:pStyle w:val="Heading3"/>
        <w:keepNext/>
        <w:jc w:val="center"/>
      </w:pPr>
      <w:r>
        <w:rPr>
          <w:rFonts w:ascii="Amazon Ember" w:eastAsia="Amazon Ember" w:hAnsi="Amazon Ember" w:cs="Amazon Ember"/>
          <w:color w:val="0000FF"/>
          <w:sz w:val="36"/>
          <w:szCs w:val="36"/>
        </w:rPr>
        <w:t>Das Schuljahr beginnt verkehrt herum: der große Unterschied zu Deutschland</w:t>
      </w:r>
    </w:p>
    <w:p w14:paraId="70A50683" w14:textId="77777777" w:rsidR="00C1548D" w:rsidRDefault="009B1B4B">
      <w:pPr>
        <w:spacing w:after="140"/>
      </w:pPr>
      <w:r>
        <w:t xml:space="preserve">Für deutsche Familien ist dies wahrscheinlich die wichtigste praktische Erkenntnis dieses Kapitels: Das neuseeländische Schuljahr folgt der Südhalbkugel, nicht dem europäischen Rhythmus. Es beginnt Ende Januar oder Anfang Februar (der genaue Tag variiert leicht von Schule zu Schule) und endet Mitte Dezember – mitten im neuseeländischen Sommer, während in Deutschland zeitgleich die Weihnachtsferien laufen. Statt zwei langer Halbjahre mit Sommer- und Winterferien gliedert sich das Jahr in vier </w:t>
      </w:r>
      <w:r>
        <w:rPr>
          <w:i/>
          <w:iCs/>
        </w:rPr>
        <w:t>Terms</w:t>
      </w:r>
      <w:r>
        <w:t xml:space="preserve"> von rund zehn Wochen, unterbrochen von zwei- bis dreiwöchigen Pausen; die längste Pause liegt zwischen Mitte Dezember und Ende </w:t>
      </w:r>
      <w:r>
        <w:lastRenderedPageBreak/>
        <w:t>Januar/Anfang Februar und übernimmt damit die Funktion der deutschen Sommerferien – nur eben eine Jahreszeit versetzt.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376"/>
        <w:gridCol w:w="2154"/>
      </w:tblGrid>
      <w:tr w:rsidR="00C1548D" w14:paraId="70A50687"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684" w14:textId="77777777" w:rsidR="00C1548D" w:rsidRDefault="009B1B4B">
            <w:pPr>
              <w:spacing w:line="250" w:lineRule="auto"/>
            </w:pPr>
            <w:r>
              <w:rPr>
                <w:b/>
                <w:bCs/>
                <w:sz w:val="18"/>
                <w:szCs w:val="18"/>
              </w:rPr>
              <w:t>Term</w:t>
            </w:r>
          </w:p>
        </w:tc>
        <w:tc>
          <w:tcPr>
            <w:tcW w:w="337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685" w14:textId="77777777" w:rsidR="00C1548D" w:rsidRDefault="009B1B4B">
            <w:pPr>
              <w:spacing w:line="250" w:lineRule="auto"/>
            </w:pPr>
            <w:r>
              <w:rPr>
                <w:b/>
                <w:bCs/>
                <w:sz w:val="18"/>
                <w:szCs w:val="18"/>
              </w:rPr>
              <w:t>Ungefährer Zeitraum (2026)</w:t>
            </w:r>
          </w:p>
        </w:tc>
        <w:tc>
          <w:tcPr>
            <w:tcW w:w="215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686" w14:textId="77777777" w:rsidR="00C1548D" w:rsidRDefault="009B1B4B">
            <w:pPr>
              <w:spacing w:line="250" w:lineRule="auto"/>
            </w:pPr>
            <w:r>
              <w:rPr>
                <w:b/>
                <w:bCs/>
                <w:sz w:val="18"/>
                <w:szCs w:val="18"/>
              </w:rPr>
              <w:t>Pause danach</w:t>
            </w:r>
          </w:p>
        </w:tc>
      </w:tr>
      <w:tr w:rsidR="00C1548D" w14:paraId="70A5068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88" w14:textId="77777777" w:rsidR="00C1548D" w:rsidRDefault="009B1B4B">
            <w:pPr>
              <w:spacing w:line="250" w:lineRule="auto"/>
            </w:pPr>
            <w:r>
              <w:rPr>
                <w:sz w:val="18"/>
                <w:szCs w:val="18"/>
              </w:rPr>
              <w:t>Term 1</w:t>
            </w:r>
          </w:p>
        </w:tc>
        <w:tc>
          <w:tcPr>
            <w:tcW w:w="33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89" w14:textId="77777777" w:rsidR="00C1548D" w:rsidRDefault="009B1B4B">
            <w:pPr>
              <w:spacing w:line="250" w:lineRule="auto"/>
            </w:pPr>
            <w:r>
              <w:rPr>
                <w:sz w:val="18"/>
                <w:szCs w:val="18"/>
              </w:rPr>
              <w:t>Ende Januar/Anfang Februar – Anfang April</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8A" w14:textId="77777777" w:rsidR="00C1548D" w:rsidRDefault="009B1B4B">
            <w:pPr>
              <w:spacing w:line="250" w:lineRule="auto"/>
            </w:pPr>
            <w:r>
              <w:rPr>
                <w:sz w:val="18"/>
                <w:szCs w:val="18"/>
              </w:rPr>
              <w:t>ca. 2 Wochen (meist mit Ostern)</w:t>
            </w:r>
          </w:p>
        </w:tc>
      </w:tr>
      <w:tr w:rsidR="00C1548D" w14:paraId="70A5068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8C" w14:textId="77777777" w:rsidR="00C1548D" w:rsidRDefault="009B1B4B">
            <w:pPr>
              <w:spacing w:line="250" w:lineRule="auto"/>
            </w:pPr>
            <w:r>
              <w:rPr>
                <w:sz w:val="18"/>
                <w:szCs w:val="18"/>
              </w:rPr>
              <w:t>Term 2</w:t>
            </w:r>
          </w:p>
        </w:tc>
        <w:tc>
          <w:tcPr>
            <w:tcW w:w="33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8D" w14:textId="77777777" w:rsidR="00C1548D" w:rsidRDefault="009B1B4B">
            <w:pPr>
              <w:spacing w:line="250" w:lineRule="auto"/>
            </w:pPr>
            <w:r>
              <w:rPr>
                <w:sz w:val="18"/>
                <w:szCs w:val="18"/>
              </w:rPr>
              <w:t>Mitte/Ende April – Anfang Juli</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8E" w14:textId="77777777" w:rsidR="00C1548D" w:rsidRDefault="009B1B4B">
            <w:pPr>
              <w:spacing w:line="250" w:lineRule="auto"/>
            </w:pPr>
            <w:r>
              <w:rPr>
                <w:sz w:val="18"/>
                <w:szCs w:val="18"/>
              </w:rPr>
              <w:t>ca. 2 Wochen</w:t>
            </w:r>
          </w:p>
        </w:tc>
      </w:tr>
      <w:tr w:rsidR="00C1548D" w14:paraId="70A5069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90" w14:textId="77777777" w:rsidR="00C1548D" w:rsidRDefault="009B1B4B">
            <w:pPr>
              <w:spacing w:line="250" w:lineRule="auto"/>
            </w:pPr>
            <w:r>
              <w:rPr>
                <w:sz w:val="18"/>
                <w:szCs w:val="18"/>
              </w:rPr>
              <w:t>Term 3</w:t>
            </w:r>
          </w:p>
        </w:tc>
        <w:tc>
          <w:tcPr>
            <w:tcW w:w="33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91" w14:textId="77777777" w:rsidR="00C1548D" w:rsidRDefault="009B1B4B">
            <w:pPr>
              <w:spacing w:line="250" w:lineRule="auto"/>
            </w:pPr>
            <w:r>
              <w:rPr>
                <w:sz w:val="18"/>
                <w:szCs w:val="18"/>
              </w:rPr>
              <w:t>Mitte/Ende Juli – Ende September</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92" w14:textId="77777777" w:rsidR="00C1548D" w:rsidRDefault="009B1B4B">
            <w:pPr>
              <w:spacing w:line="250" w:lineRule="auto"/>
            </w:pPr>
            <w:r>
              <w:rPr>
                <w:sz w:val="18"/>
                <w:szCs w:val="18"/>
              </w:rPr>
              <w:t>ca. 2 Wochen</w:t>
            </w:r>
          </w:p>
        </w:tc>
      </w:tr>
      <w:tr w:rsidR="00C1548D" w14:paraId="70A5069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94" w14:textId="77777777" w:rsidR="00C1548D" w:rsidRDefault="009B1B4B">
            <w:pPr>
              <w:spacing w:line="250" w:lineRule="auto"/>
            </w:pPr>
            <w:r>
              <w:rPr>
                <w:sz w:val="18"/>
                <w:szCs w:val="18"/>
              </w:rPr>
              <w:t>Term 4</w:t>
            </w:r>
          </w:p>
        </w:tc>
        <w:tc>
          <w:tcPr>
            <w:tcW w:w="33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95" w14:textId="77777777" w:rsidR="00C1548D" w:rsidRDefault="009B1B4B">
            <w:pPr>
              <w:spacing w:line="250" w:lineRule="auto"/>
            </w:pPr>
            <w:r>
              <w:rPr>
                <w:sz w:val="18"/>
                <w:szCs w:val="18"/>
              </w:rPr>
              <w:t>Anfang/Mitte Oktober – Mitte Dezember</w:t>
            </w:r>
          </w:p>
        </w:tc>
        <w:tc>
          <w:tcPr>
            <w:tcW w:w="215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96" w14:textId="77777777" w:rsidR="00C1548D" w:rsidRDefault="009B1B4B">
            <w:pPr>
              <w:spacing w:line="250" w:lineRule="auto"/>
            </w:pPr>
            <w:r>
              <w:rPr>
                <w:sz w:val="18"/>
                <w:szCs w:val="18"/>
              </w:rPr>
              <w:t>ca. 6 Wochen Sommerferien</w:t>
            </w:r>
          </w:p>
        </w:tc>
      </w:tr>
    </w:tbl>
    <w:p w14:paraId="70A50698" w14:textId="77777777" w:rsidR="00C1548D" w:rsidRDefault="00C1548D">
      <w:pPr>
        <w:spacing w:line="180" w:lineRule="exact"/>
      </w:pPr>
    </w:p>
    <w:p w14:paraId="70A50699" w14:textId="77777777" w:rsidR="00C1548D" w:rsidRDefault="009B1B4B">
      <w:pPr>
        <w:spacing w:after="140"/>
      </w:pPr>
      <w:r>
        <w:t>Die genauen Daten legt jede Schule im Rahmen ministerieller Vorgaben einzeln fest und veröffentlicht sie auf der eigenen Website; sie unterscheiden sich von Jahr zu Jahr und zwischen einzelnen Schulen um bis zu einer Woche.</w:t>
      </w:r>
    </w:p>
    <w:p w14:paraId="70A5069A" w14:textId="77777777" w:rsidR="00C1548D" w:rsidRDefault="009B1B4B">
      <w:pPr>
        <w:spacing w:after="140"/>
      </w:pPr>
      <w:r>
        <w:t>Für den Umzug selbst bedeutet das doppeltes Rechnen: Wer sein Kind mitten im deutschen Schuljahr, aber zu Beginn eines neuseeländischen Terms verpflanzt, erwischt einen vergleichsweise glatten Einstieg – die neue Klasse startet dann ebenfalls gerade neu oder ist noch nicht tief in einem Themenblock. Wer dagegen versucht, exakt zum deutschen Schuljahresende im Sommer umzuziehen, landet in Neuseeland mitten in Term 2 oder 3, während die eigenen Kinder zu Hause gerade erst in die großen Ferien starten – ein do</w:t>
      </w:r>
      <w:r>
        <w:t>ppelter Rhythmuswechsel, der zusätzlich verwirrt. Wenn der Zeitpunkt frei wählbar ist, spricht deshalb viel dafür, den Umzug auf die späten deutschen Herbst- oder frühen Wintermonate zu legen: Das Kind verpasst dann relativ wenig vom deutschen Schuljahr und startet in Neuseeland fast punktgenau mit Term 1 im neuen Jahr.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9D"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69B" w14:textId="77777777" w:rsidR="00C1548D" w:rsidRDefault="009B1B4B">
            <w:pPr>
              <w:keepNext/>
              <w:spacing w:after="70" w:line="240" w:lineRule="auto"/>
            </w:pPr>
            <w:r>
              <w:rPr>
                <w:b/>
                <w:bCs/>
                <w:color w:val="9B2C2C"/>
                <w:spacing w:val="24"/>
                <w:sz w:val="16"/>
                <w:szCs w:val="16"/>
              </w:rPr>
              <w:lastRenderedPageBreak/>
              <w:t>ACHTUNG</w:t>
            </w:r>
          </w:p>
          <w:p w14:paraId="70A5069C" w14:textId="0932E120" w:rsidR="00C1548D" w:rsidRDefault="009B1B4B">
            <w:pPr>
              <w:spacing w:after="80" w:line="264" w:lineRule="auto"/>
            </w:pPr>
            <w:r>
              <w:rPr>
                <w:sz w:val="20"/>
                <w:szCs w:val="20"/>
              </w:rPr>
              <w:t xml:space="preserve">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w:t>
            </w:r>
            <w:hyperlink w:anchor="tnz12" w:history="1">
              <w:r>
                <w:rPr>
                  <w:color w:val="0563C1"/>
                  <w:sz w:val="20"/>
                  <w:szCs w:val="20"/>
                  <w:u w:val="single"/>
                </w:rPr>
                <w:t>Kapitel zu Freunden und Kulturschock in diesem Teil</w:t>
              </w:r>
            </w:hyperlink>
            <w:r>
              <w:rPr>
                <w:sz w:val="20"/>
                <w:szCs w:val="20"/>
              </w:rPr>
              <w:t>).</w:t>
            </w:r>
          </w:p>
        </w:tc>
      </w:tr>
    </w:tbl>
    <w:p w14:paraId="70A5069E" w14:textId="77777777" w:rsidR="00C1548D" w:rsidRDefault="00C1548D">
      <w:pPr>
        <w:spacing w:line="220" w:lineRule="exact"/>
      </w:pPr>
    </w:p>
    <w:p w14:paraId="70A5069F" w14:textId="77777777" w:rsidR="00C1548D" w:rsidRDefault="009B1B4B">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w:t>
      </w:r>
      <w:r>
        <w:t>tere Unsicherheitsebene hinzu.</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A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6A0" w14:textId="77777777" w:rsidR="00C1548D" w:rsidRDefault="009B1B4B">
            <w:pPr>
              <w:keepNext/>
              <w:spacing w:after="70" w:line="240" w:lineRule="auto"/>
            </w:pPr>
            <w:r>
              <w:rPr>
                <w:b/>
                <w:bCs/>
                <w:color w:val="9B2C2C"/>
                <w:spacing w:val="24"/>
                <w:sz w:val="16"/>
                <w:szCs w:val="16"/>
              </w:rPr>
              <w:t>ACHTUNG</w:t>
            </w:r>
          </w:p>
          <w:p w14:paraId="70A506A1" w14:textId="77777777" w:rsidR="00C1548D" w:rsidRDefault="009B1B4B">
            <w:pPr>
              <w:spacing w:after="80" w:line="264" w:lineRule="auto"/>
            </w:pPr>
            <w:r>
              <w:rPr>
                <w:sz w:val="20"/>
                <w:szCs w:val="20"/>
              </w:rPr>
              <w:t>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tc>
      </w:tr>
    </w:tbl>
    <w:p w14:paraId="70A506A3" w14:textId="77777777" w:rsidR="00C1548D" w:rsidRDefault="00C1548D">
      <w:pPr>
        <w:spacing w:line="220" w:lineRule="exact"/>
      </w:pPr>
    </w:p>
    <w:p w14:paraId="70A506A4" w14:textId="77777777" w:rsidR="00C1548D" w:rsidRDefault="009B1B4B">
      <w:pPr>
        <w:pStyle w:val="Heading3"/>
        <w:keepNext/>
        <w:jc w:val="center"/>
      </w:pPr>
      <w:r>
        <w:rPr>
          <w:rFonts w:ascii="Amazon Ember" w:eastAsia="Amazon Ember" w:hAnsi="Amazon Ember" w:cs="Amazon Ember"/>
          <w:color w:val="0000FF"/>
          <w:sz w:val="36"/>
          <w:szCs w:val="36"/>
        </w:rPr>
        <w:t>Spracheingewöhnung: ESOL und wie Kinder (und Eltern) ankommen</w:t>
      </w:r>
    </w:p>
    <w:p w14:paraId="70A506A5" w14:textId="77777777" w:rsidR="00C1548D" w:rsidRDefault="009B1B4B">
      <w:pPr>
        <w:spacing w:after="140"/>
      </w:pPr>
      <w:r>
        <w:t xml:space="preserve">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w:t>
      </w:r>
      <w:r>
        <w:rPr>
          <w:i/>
          <w:iCs/>
        </w:rPr>
        <w:t>ESOL</w:t>
      </w:r>
      <w:r>
        <w:t xml:space="preserve"> (</w:t>
      </w:r>
      <w:r>
        <w:rPr>
          <w:i/>
          <w:iCs/>
        </w:rPr>
        <w:t>English for Speakers of Other Languages</w:t>
      </w:r>
      <w:r>
        <w:t xml:space="preserve">) und wird vom </w:t>
      </w:r>
      <w:r>
        <w:lastRenderedPageBreak/>
        <w:t xml:space="preserve">Bildungsministerium zusätzlich zur allgemeinen Schulfinanzierung bezuschusst. Für Kinder aus Migranten- oder Flüchtlingsfamilien wird die Förderung für maximal fünf Jahre (20 </w:t>
      </w:r>
      <w:r>
        <w:rPr>
          <w:i/>
          <w:iCs/>
        </w:rPr>
        <w:t>Terms</w:t>
      </w:r>
      <w:r>
        <w:t>)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 von einer eigenen ESOL-Lehrkraft über Kleingruppenförderung bis zu zweisprachigen Assistenzkräften, je nach Bedarf der jeweiligen Schülerschaft.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A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6A6" w14:textId="77777777" w:rsidR="00C1548D" w:rsidRDefault="009B1B4B">
            <w:pPr>
              <w:keepNext/>
              <w:spacing w:after="70" w:line="240" w:lineRule="auto"/>
            </w:pPr>
            <w:r>
              <w:rPr>
                <w:b/>
                <w:bCs/>
                <w:color w:val="9B2C2C"/>
                <w:spacing w:val="24"/>
                <w:sz w:val="16"/>
                <w:szCs w:val="16"/>
              </w:rPr>
              <w:t>ACHTUNG</w:t>
            </w:r>
          </w:p>
          <w:p w14:paraId="70A506A7" w14:textId="77777777" w:rsidR="00C1548D" w:rsidRDefault="009B1B4B">
            <w:pPr>
              <w:spacing w:after="80" w:line="264" w:lineRule="auto"/>
            </w:pPr>
            <w:r>
              <w:rPr>
                <w:sz w:val="20"/>
                <w:szCs w:val="20"/>
              </w:rPr>
              <w:t>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tc>
      </w:tr>
    </w:tbl>
    <w:p w14:paraId="70A506A9" w14:textId="77777777" w:rsidR="00C1548D" w:rsidRDefault="00C1548D">
      <w:pPr>
        <w:spacing w:line="220" w:lineRule="exact"/>
      </w:pPr>
    </w:p>
    <w:p w14:paraId="70A506AA" w14:textId="77777777" w:rsidR="00C1548D" w:rsidRDefault="009B1B4B">
      <w:pPr>
        <w:spacing w:after="140"/>
      </w:pPr>
      <w:r>
        <w:t>Kinder verarbeiten den Sprachwechsel zudem altersabhängig unterschiedlich: Jüngere Grundschulkinder gewöhnen sich oft binnen weniger Monate ein, während ältere Kinder und Teenager die Fachsprache in Geschichte oder Biologie länger brauchen und sozial stärker unter der Sprachlücke leiden, weil Freundschaften in dieser Lebensphase stärker über Wortwitz und schnelle Antworten laufen.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AD"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6AB" w14:textId="77777777" w:rsidR="00C1548D" w:rsidRDefault="009B1B4B">
            <w:pPr>
              <w:keepNext/>
              <w:spacing w:after="70" w:line="240" w:lineRule="auto"/>
            </w:pPr>
            <w:r>
              <w:rPr>
                <w:b/>
                <w:bCs/>
                <w:color w:val="4A5568"/>
                <w:spacing w:val="24"/>
                <w:sz w:val="16"/>
                <w:szCs w:val="16"/>
              </w:rPr>
              <w:lastRenderedPageBreak/>
              <w:t>PRAXISBEISPIEL · FIKTIV</w:t>
            </w:r>
          </w:p>
          <w:p w14:paraId="70A506AC" w14:textId="77777777" w:rsidR="00C1548D" w:rsidRDefault="009B1B4B">
            <w:pPr>
              <w:spacing w:after="80" w:line="264" w:lineRule="auto"/>
            </w:pPr>
            <w:r>
              <w:rPr>
                <w:sz w:val="20"/>
                <w:szCs w:val="20"/>
              </w:rPr>
              <w:t>Finn (8, fiktiv, Familie Krüger) kann in den ersten Wochen im Unterricht kaum folgen, findet aber über den Rugbyclub der Schule schnell Anschluss – auf dem Spielfeld zählt der Ballbesitz mehr als der Wortschatz. Lotta (12) tut sich schwerer: In der Intermediate School hängen Freundschaften stärker an schnellen, witzigen Wortwechseln in den Pausen, die ihr anfangs komplett verschlossen bleiben. Petra vereinbart mit der Klassenlehrerin zusätzliche ESOL-Kleingruppenstunden für Lotta und bucht parallel einen wö</w:t>
            </w:r>
            <w:r>
              <w:rPr>
                <w:sz w:val="20"/>
                <w:szCs w:val="20"/>
              </w:rPr>
              <w:t>chentlichen Nachhilfetermin bei einer örtlichen Englischlehrerin – nach rund einem halben Jahr meldet die Schule spürbare Fortschritte, sowohl fachlich als auch beim ersten festen Freundeskreis.</w:t>
            </w:r>
          </w:p>
        </w:tc>
      </w:tr>
    </w:tbl>
    <w:p w14:paraId="70A506AE" w14:textId="77777777" w:rsidR="00C1548D" w:rsidRDefault="00C1548D">
      <w:pPr>
        <w:spacing w:line="220" w:lineRule="exact"/>
      </w:pPr>
    </w:p>
    <w:p w14:paraId="70A506AF" w14:textId="33102F34" w:rsidR="00C1548D" w:rsidRDefault="009B1B4B">
      <w:pPr>
        <w:spacing w:after="140"/>
      </w:pPr>
      <w:r>
        <w:t xml:space="preserve">Für Erwachsene sieht die Lage anders aus: Wer über die Skilled Migrant Category einwandert, hat einen Englischnachweis meist bereits für den Visumsantrag erbracht (siehe das </w:t>
      </w:r>
      <w:hyperlink w:anchor="tnz03" w:history="1">
        <w:r>
          <w:rPr>
            <w:color w:val="0563C1"/>
            <w:u w:val="single"/>
          </w:rPr>
          <w:t>Kapitel zum Arbeitsweg in diesem Teil</w:t>
        </w:r>
      </w:hyperlink>
      <w:r>
        <w:t xml:space="preserve">); trotzdem bleibt der Alltag – Elternabende, Behördengänge, Small Talk am Schultor – für viele Erwachsene die eigentliche Übungsstrecke. Volkshochschulähnliche Kurse an lokalen </w:t>
      </w:r>
      <w:r>
        <w:rPr>
          <w:i/>
          <w:iCs/>
        </w:rPr>
        <w:t>Community Education</w:t>
      </w:r>
      <w:r>
        <w:t>-Zentren sowie das Gespräch mit anderen Eltern helfen hier oft mehr als ein weiteres Lehrbuch.</w:t>
      </w:r>
    </w:p>
    <w:p w14:paraId="70A506B0" w14:textId="77777777" w:rsidR="00C1548D" w:rsidRDefault="009B1B4B">
      <w:pPr>
        <w:pStyle w:val="Heading3"/>
        <w:keepNext/>
        <w:jc w:val="center"/>
      </w:pPr>
      <w:r>
        <w:rPr>
          <w:rFonts w:ascii="Amazon Ember" w:eastAsia="Amazon Ember" w:hAnsi="Amazon Ember" w:cs="Amazon Ember"/>
          <w:color w:val="0000FF"/>
          <w:sz w:val="36"/>
          <w:szCs w:val="36"/>
        </w:rPr>
        <w:t>Englisch zu Hause vorbereiten: Medien nach Alter</w:t>
      </w:r>
    </w:p>
    <w:p w14:paraId="70A506B1" w14:textId="77777777" w:rsidR="00C1548D" w:rsidRDefault="009B1B4B">
      <w:pPr>
        <w:spacing w:after="140"/>
      </w:pPr>
      <w:r>
        <w:t>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Familienfilm</w:t>
      </w:r>
      <w:r>
        <w:t xml:space="preserve"> „Hunt for the Wilderpeople“ (bei Netflix oder Amazon Prime Video oft verfügbar, Verfügbarkeit auf JustWatch.de prüfen) </w:t>
      </w:r>
      <w:r>
        <w:lastRenderedPageBreak/>
        <w:t>funktioniert schon für diese Altersgruppe und zeigt echten Kiwi-Alltagston. Teenager (14–17) kommen mit aktueller englischsprachiger Jugendliteratur und denselben Filmen in ungekürzter Fassung weiter.</w:t>
      </w:r>
    </w:p>
    <w:p w14:paraId="70A506B2" w14:textId="77777777" w:rsidR="00C1548D" w:rsidRDefault="009B1B4B">
      <w:pPr>
        <w:spacing w:after="140"/>
      </w:pPr>
      <w:r>
        <w:t>Bei allen Altersgruppen wirkt derselbe Trick am zuverlässigsten: eine Serie, die das Kind schon auf Deutsch kennt, gemeinsam im englischen Original anschauen – die bekannte Handlung nimmt den Druck, jedes Wort zu verstehen. Untertitel zuerst auf Englisch stellen, nicht auf Deutsch.</w:t>
      </w:r>
    </w:p>
    <w:p w14:paraId="70A506B3" w14:textId="77777777" w:rsidR="00C1548D" w:rsidRDefault="009B1B4B">
      <w:pPr>
        <w:pStyle w:val="Heading3"/>
        <w:keepNext/>
        <w:jc w:val="center"/>
      </w:pPr>
      <w:r>
        <w:rPr>
          <w:rFonts w:ascii="Amazon Ember" w:eastAsia="Amazon Ember" w:hAnsi="Amazon Ember" w:cs="Amazon Ember"/>
          <w:color w:val="0000FF"/>
          <w:sz w:val="36"/>
          <w:szCs w:val="36"/>
        </w:rPr>
        <w:t>Deutsch bewahren: Wellington als einziger fester Anlaufpunkt</w:t>
      </w:r>
    </w:p>
    <w:p w14:paraId="70A506B4" w14:textId="77777777" w:rsidR="00C1548D" w:rsidRDefault="009B1B4B">
      <w:pPr>
        <w:spacing w:after="140"/>
      </w:pPr>
      <w:r>
        <w:t>Wer möchte, dass die Kinder neben ihrem neuseeländischen Englisch auch das Deutsche behalten, findet organisierte Angebote fast ausschließlich in Wellington. Die German School Wellington (eine Ergänzungsschule in Newtown, die samstags oder nachmittags ergänzend zum regulären neuseeländischen Unterricht stattfindet, kein vollständiger deutscher Schulzweig wie in manchen anderen Ländern) sowie das Goethe-Institut Wellington mit eigenen Kinder- und Jugendkursen bilden hier den Kern; dazu kommt eine deutschspra</w:t>
      </w:r>
      <w:r>
        <w:t>chige Spielgruppe für die Jüngsten.</w:t>
      </w:r>
    </w:p>
    <w:p w14:paraId="70A506B5" w14:textId="77777777" w:rsidR="00C1548D" w:rsidRDefault="009B1B4B">
      <w:pPr>
        <w:spacing w:after="140"/>
      </w:pPr>
      <w:r>
        <w:t>Außerhalb Wellingtons – in Auckland mit nur einer kleinen Spielgruppe, in Christchurch ganz ohne identifizierbares organisiertes Angebot – bleibt vor allem Eigeninitiative: feste Vorlesezeiten auf Deutsch, deutschsprachige Hörbücher und Serien, regelmäßige Videoanrufe mit den Großeltern und, wo sich eine Gruppe von Familien findet, eine informelle Samstagsschule in Eigenregie.</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B8"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6B6" w14:textId="77777777" w:rsidR="00C1548D" w:rsidRDefault="009B1B4B">
            <w:pPr>
              <w:keepNext/>
              <w:spacing w:after="70" w:line="240" w:lineRule="auto"/>
            </w:pPr>
            <w:r>
              <w:rPr>
                <w:b/>
                <w:bCs/>
                <w:color w:val="2F6B3B"/>
                <w:spacing w:val="24"/>
                <w:sz w:val="16"/>
                <w:szCs w:val="16"/>
              </w:rPr>
              <w:lastRenderedPageBreak/>
              <w:t>SPARTIPP</w:t>
            </w:r>
          </w:p>
          <w:p w14:paraId="70A506B7" w14:textId="77777777" w:rsidR="00C1548D" w:rsidRDefault="009B1B4B">
            <w:pPr>
              <w:spacing w:after="80" w:line="264" w:lineRule="auto"/>
            </w:pPr>
            <w:r>
              <w:rPr>
                <w:sz w:val="20"/>
                <w:szCs w:val="20"/>
              </w:rPr>
              <w:t>Bevor du eine aufwendige, selbst organisierte Deutsch-Struktur aufbaust, prüfe, ob dir die Kombination aus kostenloser staatlicher Schule plus konsequent gepflegtem Deutsch zu Hause für deine Ziele reicht. Für die meisten Familien, die nicht dauerhaft zwischen beiden Ländern pendeln wollen, ist das die deutlich einfachere und oft ausreichende Lösung – gerade dort, wo wie in Christchurch ohnehin keine organisierte Alternative existiert.</w:t>
            </w:r>
          </w:p>
        </w:tc>
      </w:tr>
    </w:tbl>
    <w:p w14:paraId="70A506B9" w14:textId="77777777" w:rsidR="00C1548D" w:rsidRDefault="00C1548D">
      <w:pPr>
        <w:spacing w:line="220" w:lineRule="exact"/>
      </w:pPr>
    </w:p>
    <w:p w14:paraId="70A506BA"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6BD"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6BB"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6BC" w14:textId="77777777" w:rsidR="00C1548D" w:rsidRDefault="009B1B4B">
            <w:pPr>
              <w:spacing w:line="250" w:lineRule="auto"/>
            </w:pPr>
            <w:r>
              <w:rPr>
                <w:b/>
                <w:bCs/>
                <w:sz w:val="18"/>
                <w:szCs w:val="18"/>
              </w:rPr>
              <w:t>Minus</w:t>
            </w:r>
          </w:p>
        </w:tc>
      </w:tr>
      <w:tr w:rsidR="00C1548D" w14:paraId="70A506C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BE" w14:textId="77777777" w:rsidR="00C1548D" w:rsidRDefault="009B1B4B">
            <w:pPr>
              <w:spacing w:line="250" w:lineRule="auto"/>
            </w:pPr>
            <w:r>
              <w:rPr>
                <w:sz w:val="18"/>
                <w:szCs w:val="18"/>
              </w:rPr>
              <w:t>Staatliche Schulen sind gebührenfrei und ohne Statusprüfung zugänglich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BF" w14:textId="77777777" w:rsidR="00C1548D" w:rsidRDefault="009B1B4B">
            <w:pPr>
              <w:spacing w:line="250" w:lineRule="auto"/>
            </w:pPr>
            <w:r>
              <w:rPr>
                <w:sz w:val="18"/>
                <w:szCs w:val="18"/>
              </w:rPr>
              <w:t>Zonierung kann die Wunschschule vom Wohnort abhängig machen</w:t>
            </w:r>
          </w:p>
        </w:tc>
      </w:tr>
      <w:tr w:rsidR="00C1548D" w14:paraId="70A506C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C1" w14:textId="77777777" w:rsidR="00C1548D" w:rsidRDefault="009B1B4B">
            <w:pPr>
              <w:spacing w:line="250" w:lineRule="auto"/>
            </w:pPr>
            <w:r>
              <w:rPr>
                <w:sz w:val="18"/>
                <w:szCs w:val="18"/>
              </w:rPr>
              <w:t>Kein starrer Einschulungsstichtag – Umzugstermin lässt sich flexibel legen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C2" w14:textId="77777777" w:rsidR="00C1548D" w:rsidRDefault="009B1B4B">
            <w:pPr>
              <w:spacing w:line="250" w:lineRule="auto"/>
            </w:pPr>
            <w:r>
              <w:rPr>
                <w:sz w:val="18"/>
                <w:szCs w:val="18"/>
              </w:rPr>
              <w:t>Schuljahresrhythmus verkehrt zu Deutschland erschwert die Umzugsplanung</w:t>
            </w:r>
          </w:p>
        </w:tc>
      </w:tr>
      <w:tr w:rsidR="00C1548D" w14:paraId="70A506C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C4" w14:textId="77777777" w:rsidR="00C1548D" w:rsidRDefault="009B1B4B">
            <w:pPr>
              <w:spacing w:line="250" w:lineRule="auto"/>
            </w:pPr>
            <w:r>
              <w:rPr>
                <w:sz w:val="18"/>
                <w:szCs w:val="18"/>
              </w:rPr>
              <w:t>ESOL-Förderung ist über Jahre hinweg strukturiert finanziert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C5" w14:textId="77777777" w:rsidR="00C1548D" w:rsidRDefault="009B1B4B">
            <w:pPr>
              <w:spacing w:line="250" w:lineRule="auto"/>
            </w:pPr>
            <w:r>
              <w:rPr>
                <w:sz w:val="18"/>
                <w:szCs w:val="18"/>
              </w:rPr>
              <w:t>Außerhalb Wellingtons kaum organisierte deutsche Sprachangebote</w:t>
            </w:r>
          </w:p>
        </w:tc>
      </w:tr>
      <w:tr w:rsidR="00C1548D" w14:paraId="70A506C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C7" w14:textId="77777777" w:rsidR="00C1548D" w:rsidRDefault="009B1B4B">
            <w:pPr>
              <w:spacing w:line="250" w:lineRule="auto"/>
            </w:pPr>
            <w:r>
              <w:rPr>
                <w:sz w:val="18"/>
                <w:szCs w:val="18"/>
              </w:rPr>
              <w:t>Kinder gewöhnen sich meist rascher ein als Erwachsene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C8" w14:textId="77777777" w:rsidR="00C1548D" w:rsidRDefault="009B1B4B">
            <w:pPr>
              <w:spacing w:line="250" w:lineRule="auto"/>
            </w:pPr>
            <w:r>
              <w:rPr>
                <w:sz w:val="18"/>
                <w:szCs w:val="18"/>
              </w:rPr>
              <w:t>Ältere Kinder und Teenager tun sich mit Fachsprache und sozialem Anschluss schwerer</w:t>
            </w:r>
          </w:p>
        </w:tc>
      </w:tr>
      <w:tr w:rsidR="00C1548D" w14:paraId="70A506C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CA" w14:textId="77777777" w:rsidR="00C1548D" w:rsidRDefault="009B1B4B">
            <w:pPr>
              <w:spacing w:line="250" w:lineRule="auto"/>
            </w:pPr>
            <w:r>
              <w:rPr>
                <w:sz w:val="18"/>
                <w:szCs w:val="18"/>
              </w:rPr>
              <w:t>Drei Schulsektoren bieten Wahlmöglichkeit nach Budget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6CB" w14:textId="77777777" w:rsidR="00C1548D" w:rsidRDefault="009B1B4B">
            <w:pPr>
              <w:spacing w:line="250" w:lineRule="auto"/>
            </w:pPr>
            <w:r>
              <w:rPr>
                <w:sz w:val="18"/>
                <w:szCs w:val="18"/>
              </w:rPr>
              <w:t>NCEA-Umstellung ab 2028 schafft zusätzliche Planungsunsicherheit für Teenager</w:t>
            </w:r>
          </w:p>
        </w:tc>
      </w:tr>
    </w:tbl>
    <w:p w14:paraId="70A506CD" w14:textId="77777777" w:rsidR="00C1548D" w:rsidRDefault="00C1548D">
      <w:pPr>
        <w:spacing w:line="180" w:lineRule="exact"/>
      </w:pPr>
    </w:p>
    <w:p w14:paraId="70A506CE"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6CF" w14:textId="77777777" w:rsidR="00C1548D" w:rsidRDefault="009B1B4B">
      <w:pPr>
        <w:spacing w:after="140"/>
      </w:pPr>
      <w:r>
        <w:t>Kläre vor dem Umzug die Schulzone deiner Zieladresse und die Einstufung deines Kindes bei der Zielschule, lege den Umzugstermin nach Möglichkeit auf einen Term-Beginn, sammle Geburtsurkunde, Impfnachweis und übersetzte Zeugnisse, und entscheide früh, ob eine organisierte deutsche Sprachstruktur infrage kommt oder ob dir Deutsch zu Hause reicht.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D9"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6D0" w14:textId="77777777" w:rsidR="00C1548D" w:rsidRDefault="009B1B4B">
            <w:pPr>
              <w:keepNext/>
              <w:spacing w:after="70" w:line="240" w:lineRule="auto"/>
            </w:pPr>
            <w:r>
              <w:rPr>
                <w:b/>
                <w:bCs/>
                <w:color w:val="1F6F78"/>
                <w:spacing w:val="24"/>
                <w:sz w:val="16"/>
                <w:szCs w:val="16"/>
              </w:rPr>
              <w:lastRenderedPageBreak/>
              <w:t>CHECKLISTE</w:t>
            </w:r>
          </w:p>
          <w:p w14:paraId="70A506D1"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Schulzone der Zieladresse und Aufnahmechancen an der Wunschschule geprüft</w:t>
            </w:r>
          </w:p>
          <w:p w14:paraId="70A506D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Schultyp entschieden: staatlich, state-integriert oder privat, inklusive Kostenvergleich</w:t>
            </w:r>
          </w:p>
          <w:p w14:paraId="70A506D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Umzugstermin nach Möglichkeit auf den Beginn eines Terms gelegt</w:t>
            </w:r>
          </w:p>
          <w:p w14:paraId="70A506D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Geburtsurkunde, Reisepass, Impfnachweis und übersetzte Zeugnisse zusammengestellt</w:t>
            </w:r>
          </w:p>
          <w:p w14:paraId="70A506D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Zielschule direkt nach genauen Anmeldeunterlagen und Cohort-Entry-Terminen gefragt</w:t>
            </w:r>
          </w:p>
          <w:p w14:paraId="70A506D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Sprachförderbedarf früh das Gespräch mit der Schule über ESOL gesucht</w:t>
            </w:r>
          </w:p>
          <w:p w14:paraId="70A506D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eine organisierte deutsche Sprachstruktur (nur Wellington) infrage kommt oder ob Deutsch zu Hause organisiert wird</w:t>
            </w:r>
          </w:p>
          <w:p w14:paraId="70A506D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Teenagern zusätzlich NCEA-Kreditübernahme und die angekündigte Reform ab 2028 mit der Zielschule besprochen</w:t>
            </w:r>
          </w:p>
        </w:tc>
      </w:tr>
    </w:tbl>
    <w:p w14:paraId="70A506DA" w14:textId="77777777" w:rsidR="00C1548D" w:rsidRDefault="00C1548D">
      <w:pPr>
        <w:spacing w:line="220" w:lineRule="exact"/>
      </w:pPr>
    </w:p>
    <w:p w14:paraId="70A506DB"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6DC" w14:textId="1A37F756" w:rsidR="00C1548D" w:rsidRDefault="009B1B4B" w:rsidP="009B1B4B">
      <w:pPr>
        <w:pStyle w:val="ListParagraph"/>
        <w:numPr>
          <w:ilvl w:val="0"/>
          <w:numId w:val="1"/>
        </w:numPr>
        <w:spacing w:after="60"/>
      </w:pPr>
      <w:r>
        <w:t>New Zealand Ministry of Education — Schulsystem, Term- und Ferientermine (</w:t>
      </w:r>
      <w:hyperlink r:id="rId671" w:history="1">
        <w:r>
          <w:rPr>
            <w:color w:val="0563C1"/>
            <w:u w:val="single"/>
          </w:rPr>
          <w:t>education.govt.nz</w:t>
        </w:r>
      </w:hyperlink>
      <w:r>
        <w:t>)</w:t>
      </w:r>
    </w:p>
    <w:p w14:paraId="70A506DD" w14:textId="72DDF0AA" w:rsidR="00C1548D" w:rsidRDefault="009B1B4B" w:rsidP="009B1B4B">
      <w:pPr>
        <w:pStyle w:val="ListParagraph"/>
        <w:numPr>
          <w:ilvl w:val="0"/>
          <w:numId w:val="1"/>
        </w:numPr>
        <w:spacing w:after="60"/>
      </w:pPr>
      <w:r>
        <w:t>New Zealand Qualifications Authority — NCEA, Reformpläne ab 2028 (</w:t>
      </w:r>
      <w:hyperlink r:id="rId672" w:history="1">
        <w:r>
          <w:rPr>
            <w:color w:val="0563C1"/>
            <w:u w:val="single"/>
          </w:rPr>
          <w:t>nzqa.govt.nz</w:t>
        </w:r>
      </w:hyperlink>
      <w:r>
        <w:t>)</w:t>
      </w:r>
    </w:p>
    <w:p w14:paraId="70A506DE" w14:textId="46DE27C5" w:rsidR="00C1548D" w:rsidRDefault="009B1B4B" w:rsidP="009B1B4B">
      <w:pPr>
        <w:pStyle w:val="ListParagraph"/>
        <w:numPr>
          <w:ilvl w:val="0"/>
          <w:numId w:val="1"/>
        </w:numPr>
        <w:spacing w:after="60"/>
      </w:pPr>
      <w:r>
        <w:t>Ministry of Education — ESOL-Förderung für Schulen (</w:t>
      </w:r>
      <w:hyperlink r:id="rId673" w:history="1">
        <w:r>
          <w:rPr>
            <w:color w:val="0563C1"/>
            <w:u w:val="single"/>
          </w:rPr>
          <w:t>education.govt.nz</w:t>
        </w:r>
      </w:hyperlink>
      <w:r>
        <w:t>, Suchbegriff „ESOL funding“)</w:t>
      </w:r>
    </w:p>
    <w:p w14:paraId="70A506DF" w14:textId="06AF887B" w:rsidR="00C1548D" w:rsidRDefault="009B1B4B" w:rsidP="009B1B4B">
      <w:pPr>
        <w:pStyle w:val="ListParagraph"/>
        <w:numPr>
          <w:ilvl w:val="0"/>
          <w:numId w:val="1"/>
        </w:numPr>
        <w:spacing w:after="60"/>
      </w:pPr>
      <w:r>
        <w:t>Zentralstelle für das Auslandsschulwesen — deutsche Angebote im Ausland (</w:t>
      </w:r>
      <w:hyperlink r:id="rId674" w:history="1">
        <w:r>
          <w:rPr>
            <w:color w:val="0563C1"/>
            <w:u w:val="single"/>
          </w:rPr>
          <w:t>auslandsschulwesen.de</w:t>
        </w:r>
      </w:hyperlink>
      <w:r>
        <w:t>)</w:t>
      </w:r>
    </w:p>
    <w:p w14:paraId="70A506E0" w14:textId="61551356" w:rsidR="00C1548D" w:rsidRDefault="009B1B4B" w:rsidP="009B1B4B">
      <w:pPr>
        <w:pStyle w:val="ListParagraph"/>
        <w:numPr>
          <w:ilvl w:val="0"/>
          <w:numId w:val="1"/>
        </w:numPr>
        <w:spacing w:after="60"/>
      </w:pPr>
      <w:r>
        <w:t>Goethe-Institut Neuseeland — Standort Wellington (</w:t>
      </w:r>
      <w:hyperlink r:id="rId675" w:history="1">
        <w:r>
          <w:rPr>
            <w:color w:val="0563C1"/>
            <w:u w:val="single"/>
          </w:rPr>
          <w:t>goethe.de/ins/nz</w:t>
        </w:r>
      </w:hyperlink>
      <w:r>
        <w:t>)</w:t>
      </w:r>
    </w:p>
    <w:p w14:paraId="70A506E1"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E4"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6E2" w14:textId="77777777" w:rsidR="00C1548D" w:rsidRDefault="009B1B4B">
            <w:pPr>
              <w:keepNext/>
              <w:spacing w:after="70" w:line="240" w:lineRule="auto"/>
            </w:pPr>
            <w:r>
              <w:rPr>
                <w:b/>
                <w:bCs/>
                <w:color w:val="6B7280"/>
                <w:spacing w:val="24"/>
                <w:sz w:val="16"/>
                <w:szCs w:val="16"/>
              </w:rPr>
              <w:lastRenderedPageBreak/>
              <w:t>STAND</w:t>
            </w:r>
          </w:p>
          <w:p w14:paraId="70A506E3" w14:textId="77777777" w:rsidR="00C1548D" w:rsidRDefault="009B1B4B">
            <w:pPr>
              <w:spacing w:after="80" w:line="264" w:lineRule="auto"/>
            </w:pPr>
            <w:r>
              <w:rPr>
                <w:sz w:val="20"/>
                <w:szCs w:val="20"/>
              </w:rPr>
              <w:t>September 2026. Diese Angaben ändern sich: genaue Term-Termine (jedes Jahr neu, je Schule leicht abweichend), Höhe der ESOL-Förderpauschale, Details und Zeitplan der NCEA-Reform sowie Schulgelder von state-integrierten und privaten Schulen. Prüfe vor jeder Entscheidung die aktuellen Angaben der zuständigen Bildungsbehörde und Zielschule.</w:t>
            </w:r>
          </w:p>
        </w:tc>
      </w:tr>
    </w:tbl>
    <w:p w14:paraId="70A506E5" w14:textId="77777777" w:rsidR="00C1548D" w:rsidRDefault="00C1548D">
      <w:pPr>
        <w:spacing w:line="220" w:lineRule="exact"/>
      </w:pPr>
    </w:p>
    <w:p w14:paraId="70A506E6" w14:textId="77777777" w:rsidR="00C1548D" w:rsidRDefault="009B1B4B">
      <w:pPr>
        <w:pStyle w:val="Heading2"/>
        <w:keepNext/>
        <w:pageBreakBefore/>
        <w:jc w:val="center"/>
      </w:pPr>
      <w:bookmarkStart w:id="194" w:name="tnz14"/>
      <w:bookmarkStart w:id="195" w:name="_Toc241352549"/>
      <w:r>
        <w:rPr>
          <w:rFonts w:ascii="Amazon Ember" w:eastAsia="Amazon Ember" w:hAnsi="Amazon Ember" w:cs="Amazon Ember"/>
          <w:color w:val="0000FF"/>
          <w:sz w:val="36"/>
          <w:szCs w:val="36"/>
        </w:rPr>
        <w:lastRenderedPageBreak/>
        <w:t>Neuseeland: Arbeitswelt und Jobwechsel</w:t>
      </w:r>
      <w:bookmarkEnd w:id="194"/>
      <w:bookmarkEnd w:id="195"/>
    </w:p>
    <w:p w14:paraId="70A506E7" w14:textId="77777777" w:rsidR="00C1548D" w:rsidRDefault="009B1B4B">
      <w:pPr>
        <w:spacing w:after="140"/>
      </w:pPr>
      <w:r>
        <w:t xml:space="preserve">Als Sebastian Krüger in Christchurch seinen ersten Arbeitsvertrag unterschreibt, stockt er kurz bei einer Klausel, die er aus Deutschland nicht kennt: 90 Tage </w:t>
      </w:r>
      <w:r>
        <w:rPr>
          <w:i/>
          <w:iCs/>
        </w:rPr>
        <w:t>Trial Period</w:t>
      </w:r>
      <w:r>
        <w:t xml:space="preserve"> (Probezeit ohne Kündigungsschutz), in denen der Arbeitgeber ihn ohne Angabe von Gründen und ohne die Möglichkeit einer Klage wieder entlassen kann. Er fragt vorsichtig nach, ob das üblich sei. „She’ll be right“, sagt die Personalleiterin und lächelt, was so viel heißt wie „Wird schon passen“ – eine Beruhigung, die bei jemandem, der aus einem Land mit einem der strengsten Kündigungsschutzgesetze der Welt kommt, ihre Wirkung zunächst verfehlt. Drei Monate später ist Sebastian noch da, hat die Probezeit unbes</w:t>
      </w:r>
      <w:r>
        <w:t>chadet überstanden und ziemlich viel über neuseeländisches Arbeitsrecht gelernt – vor allem, dass es erstaunlich schlank ist, gemessen an dem, was er gewohnt war.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EF" w14:textId="77777777">
        <w:tblPrEx>
          <w:tblCellMar>
            <w:top w:w="0" w:type="dxa"/>
            <w:bottom w:w="0" w:type="dxa"/>
          </w:tblCellMar>
        </w:tblPrEx>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6E8" w14:textId="77777777" w:rsidR="00C1548D" w:rsidRDefault="009B1B4B">
            <w:pPr>
              <w:keepNext/>
              <w:spacing w:after="70" w:line="240" w:lineRule="auto"/>
            </w:pPr>
            <w:r>
              <w:rPr>
                <w:b/>
                <w:bCs/>
                <w:color w:val="1F3A5F"/>
                <w:spacing w:val="24"/>
                <w:sz w:val="16"/>
                <w:szCs w:val="16"/>
              </w:rPr>
              <w:lastRenderedPageBreak/>
              <w:t>KURZ GESAGT</w:t>
            </w:r>
          </w:p>
          <w:p w14:paraId="70A506E9" w14:textId="77777777" w:rsidR="00C1548D" w:rsidRDefault="009B1B4B" w:rsidP="009B1B4B">
            <w:pPr>
              <w:pStyle w:val="ListParagraph"/>
              <w:numPr>
                <w:ilvl w:val="0"/>
                <w:numId w:val="1"/>
              </w:numPr>
              <w:spacing w:after="50" w:line="264" w:lineRule="auto"/>
            </w:pPr>
            <w:r>
              <w:rPr>
                <w:sz w:val="20"/>
                <w:szCs w:val="20"/>
              </w:rPr>
              <w:t>Neuseeländisches Arbeitsrecht gilt bundesweit einheitlich – keine Bundesstaaten, keine Provinzen, keine Awards oder Tarifebenen wie in Australien oder Kanada.</w:t>
            </w:r>
          </w:p>
          <w:p w14:paraId="70A506EA" w14:textId="77777777" w:rsidR="00C1548D" w:rsidRDefault="009B1B4B" w:rsidP="009B1B4B">
            <w:pPr>
              <w:pStyle w:val="ListParagraph"/>
              <w:numPr>
                <w:ilvl w:val="0"/>
                <w:numId w:val="1"/>
              </w:numPr>
              <w:spacing w:after="50" w:line="264" w:lineRule="auto"/>
            </w:pPr>
            <w:r>
              <w:rPr>
                <w:sz w:val="20"/>
                <w:szCs w:val="20"/>
              </w:rPr>
              <w:t>Der gesetzliche Mindesturlaub liegt bei vier Wochen im Jahr, dazu kommen elf bis zwölf Feiertage und zehn Tage bezahlter Krankheitsurlaub nach sechs Monaten Betriebszugehörigkeit.</w:t>
            </w:r>
          </w:p>
          <w:p w14:paraId="70A506EB" w14:textId="77777777" w:rsidR="00C1548D" w:rsidRDefault="009B1B4B" w:rsidP="009B1B4B">
            <w:pPr>
              <w:pStyle w:val="ListParagraph"/>
              <w:numPr>
                <w:ilvl w:val="0"/>
                <w:numId w:val="1"/>
              </w:numPr>
              <w:spacing w:after="50" w:line="264" w:lineRule="auto"/>
            </w:pPr>
            <w:r>
              <w:rPr>
                <w:sz w:val="20"/>
                <w:szCs w:val="20"/>
              </w:rPr>
              <w:t>Ein Kündigungsschutzgesetz nach deutschem Muster gibt es nicht, aber auch kein grundloses Entlassen: Der Maßstab ist, ob ein fairer, vernünftiger Arbeitgeber unter den gegebenen Umständen ebenso gehandelt hätte.</w:t>
            </w:r>
          </w:p>
          <w:p w14:paraId="70A506EC" w14:textId="77777777" w:rsidR="00C1548D" w:rsidRDefault="009B1B4B" w:rsidP="009B1B4B">
            <w:pPr>
              <w:pStyle w:val="ListParagraph"/>
              <w:numPr>
                <w:ilvl w:val="0"/>
                <w:numId w:val="1"/>
              </w:numPr>
              <w:spacing w:after="50" w:line="264" w:lineRule="auto"/>
            </w:pPr>
            <w:r>
              <w:rPr>
                <w:sz w:val="20"/>
                <w:szCs w:val="20"/>
              </w:rPr>
              <w:t>Seit dem 23. Dezember 2023 darf jeder Arbeitgeber, unabhängig von der Betriebsgröße, eine 90-tägige Probezeit ohne Kündigungsschutz vereinbaren – zuvor war das auf Kleinbetriebe unter 20 Beschäftigten beschränkt.</w:t>
            </w:r>
          </w:p>
          <w:p w14:paraId="70A506ED" w14:textId="77777777" w:rsidR="00C1548D" w:rsidRDefault="009B1B4B" w:rsidP="009B1B4B">
            <w:pPr>
              <w:pStyle w:val="ListParagraph"/>
              <w:numPr>
                <w:ilvl w:val="0"/>
                <w:numId w:val="1"/>
              </w:numPr>
              <w:spacing w:after="50" w:line="264" w:lineRule="auto"/>
            </w:pPr>
            <w:r>
              <w:rPr>
                <w:sz w:val="20"/>
                <w:szCs w:val="20"/>
              </w:rPr>
              <w:t>Eine gesetzliche Abfindung bei betriebsbedingter Kündigung gibt es nicht automatisch; sie gilt nur, wenn der Arbeitsvertrag sie ausdrücklich vorsieht.</w:t>
            </w:r>
          </w:p>
          <w:p w14:paraId="70A506EE" w14:textId="77777777" w:rsidR="00C1548D" w:rsidRDefault="009B1B4B" w:rsidP="009B1B4B">
            <w:pPr>
              <w:pStyle w:val="ListParagraph"/>
              <w:numPr>
                <w:ilvl w:val="0"/>
                <w:numId w:val="1"/>
              </w:numPr>
              <w:spacing w:after="50" w:line="264" w:lineRule="auto"/>
            </w:pPr>
            <w:r>
              <w:rPr>
                <w:sz w:val="20"/>
                <w:szCs w:val="20"/>
              </w:rPr>
              <w:t xml:space="preserve">Beim </w:t>
            </w:r>
            <w:r>
              <w:rPr>
                <w:i/>
                <w:iCs/>
                <w:sz w:val="20"/>
                <w:szCs w:val="20"/>
              </w:rPr>
              <w:t>Accredited Employer Work Visa</w:t>
            </w:r>
            <w:r>
              <w:rPr>
                <w:sz w:val="20"/>
                <w:szCs w:val="20"/>
              </w:rPr>
              <w:t xml:space="preserve"> (AEWV) bist du an einen konkreten Arbeitgeber gebunden: Ein Wechsel braucht dessen Akkreditierung und eine genehmigte Stellenprüfung, bevor du dort anfangen darfst.</w:t>
            </w:r>
          </w:p>
        </w:tc>
      </w:tr>
    </w:tbl>
    <w:p w14:paraId="70A506F0" w14:textId="77777777" w:rsidR="00C1548D" w:rsidRDefault="00C1548D">
      <w:pPr>
        <w:spacing w:line="220" w:lineRule="exact"/>
      </w:pPr>
    </w:p>
    <w:p w14:paraId="70A506F1" w14:textId="77777777" w:rsidR="00C1548D" w:rsidRDefault="009B1B4B">
      <w:pPr>
        <w:pStyle w:val="Heading3"/>
        <w:keepNext/>
        <w:jc w:val="center"/>
      </w:pPr>
      <w:r>
        <w:rPr>
          <w:rFonts w:ascii="Amazon Ember" w:eastAsia="Amazon Ember" w:hAnsi="Amazon Ember" w:cs="Amazon Ember"/>
          <w:color w:val="0000FF"/>
          <w:sz w:val="36"/>
          <w:szCs w:val="36"/>
        </w:rPr>
        <w:t>Arbeitsrecht in Neuseeland: erfrischend einheitlich</w:t>
      </w:r>
    </w:p>
    <w:p w14:paraId="70A506F2" w14:textId="77777777" w:rsidR="00C1548D" w:rsidRDefault="009B1B4B">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w:t>
      </w:r>
      <w:r>
        <w:rPr>
          <w:i/>
          <w:iCs/>
        </w:rPr>
        <w:t>Employment Relations Act 2000</w:t>
      </w:r>
      <w:r>
        <w:t xml:space="preserve"> (das zentrale Arbeitsverhältnisgesetz), ergänzt um den </w:t>
      </w:r>
      <w:r>
        <w:rPr>
          <w:i/>
          <w:iCs/>
        </w:rPr>
        <w:t>Holidays Act 2003</w:t>
      </w:r>
      <w:r>
        <w:t xml:space="preserve"> (das Urlaubs- und Feiertagsgesetz). Zuständige Behörde für Information und kostenlose Beratung ist </w:t>
      </w:r>
      <w:r>
        <w:rPr>
          <w:i/>
          <w:iCs/>
        </w:rPr>
        <w:t>Employment New Zealand</w:t>
      </w:r>
      <w:r>
        <w:t xml:space="preserve"> </w:t>
      </w:r>
      <w:r>
        <w:lastRenderedPageBreak/>
        <w:t>(der Arbeitsbereich des Ministeriums für Wirtschaft, Innovation und Beschäftigung, MBIE, employment.govt.nz).</w:t>
      </w:r>
    </w:p>
    <w:p w14:paraId="70A506F3" w14:textId="77777777" w:rsidR="00C1548D" w:rsidRDefault="009B1B4B">
      <w:pPr>
        <w:spacing w:after="140"/>
      </w:pPr>
      <w:r>
        <w:t xml:space="preserve">Zentraler Rechtsgrundsatz ist </w:t>
      </w:r>
      <w:r>
        <w:rPr>
          <w:i/>
          <w:iCs/>
        </w:rPr>
        <w:t>good faith</w:t>
      </w:r>
      <w:r>
        <w:t xml:space="preserve"> (Treu und Glauben): Arbeitgeber und Beschäftigte sind gesetzlich verpflichtet, offen, ehrlich und ohne Hintergedanken miteinander umzugehen –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w:t>
      </w:r>
      <w:r>
        <w:rPr>
          <w:i/>
          <w:iCs/>
        </w:rPr>
        <w:t>Employment Mediation Services</w:t>
      </w:r>
      <w:r>
        <w:t xml:space="preserve"> (der staatlichen Schlichtungsstelle), dann bei der </w:t>
      </w:r>
      <w:r>
        <w:rPr>
          <w:i/>
          <w:iCs/>
        </w:rPr>
        <w:t>Employment Relations Authority</w:t>
      </w:r>
      <w:r>
        <w:t xml:space="preserve"> (ERA, der arbeitsrechtlichen Untersuchungsbehörde) und erst in letzter Instanz vor dem </w:t>
      </w:r>
      <w:r>
        <w:rPr>
          <w:i/>
          <w:iCs/>
        </w:rPr>
        <w:t>Employment Court</w:t>
      </w:r>
      <w:r>
        <w:t xml:space="preserve"> (Arbeitsgericht).</w:t>
      </w:r>
    </w:p>
    <w:p w14:paraId="70A506F4" w14:textId="77777777" w:rsidR="00C1548D" w:rsidRDefault="009B1B4B">
      <w:pPr>
        <w:pStyle w:val="Heading3"/>
        <w:keepNext/>
        <w:jc w:val="center"/>
      </w:pPr>
      <w:r>
        <w:rPr>
          <w:rFonts w:ascii="Amazon Ember" w:eastAsia="Amazon Ember" w:hAnsi="Amazon Ember" w:cs="Amazon Ember"/>
          <w:color w:val="0000FF"/>
          <w:sz w:val="36"/>
          <w:szCs w:val="36"/>
        </w:rPr>
        <w:t>Urlaub, Feiertage und Krankheit</w:t>
      </w:r>
    </w:p>
    <w:p w14:paraId="70A506F5" w14:textId="77777777" w:rsidR="00C1548D" w:rsidRDefault="009B1B4B">
      <w:pPr>
        <w:spacing w:after="140"/>
      </w:pPr>
      <w:r>
        <w:t>Der Holidays Act 2003 garantiert mindestens vier Wochen bezahlten Jahresurlaub (20 Arbeitstage bei einer Fünftagewoche). Der Anspruch entsteht mit dem ersten Arbeitstag, ausgezahlt und regulär genommen wird er aber normalerweise erst nach zwölf Monaten ununterbrochener Beschäftigung, sofern nicht Arbeitgeber und Beschäftigter einen früheren Bezug vereinbaren. Dazu kommen elf landesweite Feiertage – darunter Neujahr (zwei Tage), Waitangi Day (Nationalfeiertag zum Vertrag von Waitangi), Karfreitag, Ostermonta</w:t>
      </w:r>
      <w:r>
        <w:t xml:space="preserve">g, Anzac Day, der König-Geburtstag, </w:t>
      </w:r>
      <w:r>
        <w:rPr>
          <w:i/>
          <w:iCs/>
        </w:rPr>
        <w:t>Matariki</w:t>
      </w:r>
      <w:r>
        <w:t xml:space="preserve"> (das Māori-Neujahrsfest, seit 2022 gesetzlicher Feiertag mit wechselndem Datum nach dem Mondkalender) sowie Weihnachten und der zweite Weihnachtsfeiertag. Hinzu kommt, ähnlich wie in einigen australischen Bundesstaaten, ein regionaler </w:t>
      </w:r>
      <w:r>
        <w:rPr>
          <w:i/>
          <w:iCs/>
        </w:rPr>
        <w:t>Anniversary Day</w:t>
      </w:r>
      <w:r>
        <w:t xml:space="preserve"> (Provinz-Gründungstag), dessen Datum von der Region abhängt – macht effektiv zwölf freie Tage im Jahr, ordentlich, aber kein Grund zur Übertreibung im Vergleich zu den 9 bis 13 Feiertagen deutscher Bundesländer.</w:t>
      </w:r>
    </w:p>
    <w:p w14:paraId="70A506F6" w14:textId="77777777" w:rsidR="00C1548D" w:rsidRDefault="009B1B4B">
      <w:pPr>
        <w:spacing w:after="140"/>
      </w:pPr>
      <w:r>
        <w:lastRenderedPageBreak/>
        <w:t>Verbreiteter Irrtum: Wer aus Deutschland mindestens 20 gesetzliche Urlaubstage und meist 25 bis 30 tarifliche gewohnt ist, hält vier Wochen für ein mageres Angebot. Rechnerisch stimmt das, doch es ist das gesetzliche Minimum, keine übliche Norm – viele Arbeitgeber im IT- und Ingenieurbereich rund um Auckland und Christchurch bieten fünf Wochen an, um im engen Fachkräftemarkt zu bestehen. Frage danach, statt es als Deckelung hinzunehmen.</w:t>
      </w:r>
    </w:p>
    <w:p w14:paraId="70A506F7" w14:textId="77777777" w:rsidR="00C1548D" w:rsidRDefault="009B1B4B">
      <w:pPr>
        <w:spacing w:after="140"/>
      </w:pPr>
      <w:r>
        <w:t>Bezahlter Krankheitsurlaub (</w:t>
      </w:r>
      <w:r>
        <w:rPr>
          <w:i/>
          <w:iCs/>
        </w:rPr>
        <w:t>Sick Leave</w:t>
      </w:r>
      <w:r>
        <w:t xml:space="preserve">) steht dir mit zehn Tagen pro Jahr zu, allerdings erst nach Abschluss der ersten sechs Beschäftigungsmonate; danach erneuert sich der Anspruch jeweils zu deinem persönlichen Jahrestag. Nicht genommene Krankheitstage verfallen nicht sofort, sondern sammeln sich bis zu einer gesetzlichen Obergrenze an. Bei einem Todesfall in der engeren Familie stehen drei Tage bezahlter </w:t>
      </w:r>
      <w:r>
        <w:rPr>
          <w:i/>
          <w:iCs/>
        </w:rPr>
        <w:t>Bereavement Leave</w:t>
      </w:r>
      <w:r>
        <w:t xml:space="preserve"> (Trauerurlaub) zu, bei entfernteren Beziehungen ein Tag, sofern der Arbeitgeber einen echten Bedarf anerkennt.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6F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6F8" w14:textId="77777777" w:rsidR="00C1548D" w:rsidRDefault="009B1B4B">
            <w:pPr>
              <w:keepNext/>
              <w:spacing w:after="70" w:line="240" w:lineRule="auto"/>
            </w:pPr>
            <w:r>
              <w:rPr>
                <w:b/>
                <w:bCs/>
                <w:color w:val="9B2C2C"/>
                <w:spacing w:val="24"/>
                <w:sz w:val="16"/>
                <w:szCs w:val="16"/>
              </w:rPr>
              <w:t>ACHTUNG</w:t>
            </w:r>
          </w:p>
          <w:p w14:paraId="70A506F9" w14:textId="77777777" w:rsidR="00C1548D" w:rsidRDefault="009B1B4B">
            <w:pPr>
              <w:spacing w:after="80" w:line="264" w:lineRule="auto"/>
            </w:pPr>
            <w:r>
              <w:rPr>
                <w:sz w:val="20"/>
                <w:szCs w:val="20"/>
              </w:rPr>
              <w:t>Verlasse dich nie auf mündliche Zusagen zu Urlaub, Krankheitstagen oder Feiertagsvergütung. Lass dir die genauen Ansprüche schriftlich im Arbeitsvertrag bestätigen – der Holidays Act ist detailreich und wird in der betrieblichen Praxis nicht immer korrekt angewendet, wie wiederkehrende Prüfberichte des MBIE zu Nachzahlungsfällen zeigen.</w:t>
            </w:r>
          </w:p>
        </w:tc>
      </w:tr>
    </w:tbl>
    <w:p w14:paraId="70A506FB" w14:textId="77777777" w:rsidR="00C1548D" w:rsidRDefault="00C1548D">
      <w:pPr>
        <w:spacing w:line="220" w:lineRule="exact"/>
      </w:pPr>
    </w:p>
    <w:p w14:paraId="70A506FC" w14:textId="77777777" w:rsidR="00C1548D" w:rsidRDefault="009B1B4B">
      <w:pPr>
        <w:pStyle w:val="Heading3"/>
        <w:keepNext/>
        <w:jc w:val="center"/>
      </w:pPr>
      <w:r>
        <w:rPr>
          <w:rFonts w:ascii="Amazon Ember" w:eastAsia="Amazon Ember" w:hAnsi="Amazon Ember" w:cs="Amazon Ember"/>
          <w:color w:val="0000FF"/>
          <w:sz w:val="36"/>
          <w:szCs w:val="36"/>
        </w:rPr>
        <w:t>Kündigungsschutz: 90-Tage-Probezeit und Personal Grievance</w:t>
      </w:r>
    </w:p>
    <w:p w14:paraId="70A506FD" w14:textId="77777777" w:rsidR="00C1548D" w:rsidRDefault="009B1B4B">
      <w:pPr>
        <w:spacing w:after="140"/>
      </w:pPr>
      <w:r>
        <w:t xml:space="preserve">Ein Kündigungsschutzgesetz wie in Deutschland kennt Neuseeland nicht –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 ein Test aus Verfahren (wurde fair angehört, gab es eine echte Untersuchung?) </w:t>
      </w:r>
      <w:r>
        <w:lastRenderedPageBreak/>
        <w:t xml:space="preserve">und Substanz (gab es einen triftigen Grund?) zugleich. Fühlst du dich ungerecht behandelt, kannst du eine </w:t>
      </w:r>
      <w:r>
        <w:rPr>
          <w:i/>
          <w:iCs/>
        </w:rPr>
        <w:t>Personal Grievance</w:t>
      </w:r>
      <w:r>
        <w:t xml:space="preserve"> (arbeitsrechtliche Beschwerde) erheben, ohne eine Mindestbeschäftigungszeit erfüllen zu müssen – anders als in Australien, wo der Schutz erst nach sechs oder zwölf Monaten greift. Die Frist dafür ist jedoch kurz: 90 Tage ab der beanstandeten Handlung.</w:t>
      </w:r>
    </w:p>
    <w:p w14:paraId="70A506FE" w14:textId="77777777" w:rsidR="00C1548D" w:rsidRDefault="009B1B4B">
      <w:pPr>
        <w:spacing w:after="140"/>
      </w:pPr>
      <w:r>
        <w:t xml:space="preserve">Die auffälligste neuseeländische Besonderheit ist die </w:t>
      </w:r>
      <w:r>
        <w:rPr>
          <w:i/>
          <w:iCs/>
        </w:rPr>
        <w:t>90-Day Trial Period</w:t>
      </w:r>
      <w:r>
        <w:t xml:space="preserve"> (90-Tage-Probezeit ohne Kündigungsschutz): Seit einer Gesetzesänderung, die am 23. Dezember 2023 in Kraft trat (Employment Relations (Trial Periods) Amendment Act 2023), darf jeder Arbeitgeber – unabhängig von der Betriebsgröße –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w:t>
      </w:r>
      <w:r>
        <w:t>ger als 20 Beschäftigten beschränkt. Wichtig für die Wirksamkeit: Die Probezeit-Klausel muss im schriftlichen Arbeitsvertrag stehen, und du musst ihn unterschrieben haben, bevor du deine erste Schicht antrittst – ein nachträglich unterschriebener Vertrag rettet die Klausel nicht mehr.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0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6FF" w14:textId="77777777" w:rsidR="00C1548D" w:rsidRDefault="009B1B4B">
            <w:pPr>
              <w:keepNext/>
              <w:spacing w:after="70" w:line="240" w:lineRule="auto"/>
            </w:pPr>
            <w:r>
              <w:rPr>
                <w:b/>
                <w:bCs/>
                <w:color w:val="9B2C2C"/>
                <w:spacing w:val="24"/>
                <w:sz w:val="16"/>
                <w:szCs w:val="16"/>
              </w:rPr>
              <w:t>ACHTUNG</w:t>
            </w:r>
          </w:p>
          <w:p w14:paraId="70A50700" w14:textId="77777777" w:rsidR="00C1548D" w:rsidRDefault="009B1B4B">
            <w:pPr>
              <w:spacing w:after="80" w:line="264" w:lineRule="auto"/>
            </w:pPr>
            <w:r>
              <w:rPr>
                <w:sz w:val="20"/>
                <w:szCs w:val="20"/>
              </w:rPr>
              <w:t>Prüfe deinen Arbeitsvertrag vor der Unterschrift genau darauf, ob eine 90-Tage-Probezeit vereinbart ist, und rechne in dieser Zeit nicht mit dem Beschwerdeweg, den du sonst hättest. Das gilt besonders, wenn dein AEWV an eben diese Stelle gebunden ist: Ein Jobverlust in der Probezeit trifft dich doppelt, arbeitsrechtlich und aufenthaltsrechtlich.</w:t>
            </w:r>
          </w:p>
        </w:tc>
      </w:tr>
    </w:tbl>
    <w:p w14:paraId="70A50702" w14:textId="77777777" w:rsidR="00C1548D" w:rsidRDefault="00C1548D">
      <w:pPr>
        <w:spacing w:line="220" w:lineRule="exact"/>
      </w:pPr>
    </w:p>
    <w:p w14:paraId="70A50703" w14:textId="77777777" w:rsidR="00C1548D" w:rsidRDefault="009B1B4B">
      <w:pPr>
        <w:spacing w:after="140"/>
      </w:pPr>
      <w:r>
        <w:t xml:space="preserve">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w:t>
      </w:r>
      <w:r>
        <w:lastRenderedPageBreak/>
        <w:t>Vergleichshorizont: Bei betriebsbedingter Kündigung (</w:t>
      </w:r>
      <w:r>
        <w:rPr>
          <w:i/>
          <w:iCs/>
        </w:rPr>
        <w:t>Redundancy</w:t>
      </w:r>
      <w:r>
        <w:t>) gebe es automatisch eine Abfindung wie einen Sozialplan. Tatsächlich schreibt das Gesetz keine Mindestabfindung vor – sie steht dir nur zu, wenn dein Arbeits- oder Tarifvertrag sie ausdrücklich vorsieht. Garantiert ist in jedem Fall nur die Auszahlung nicht genommenen Urlaubs sowie die vereinbarte Kündigungsfrist oder eine Abgeltung dafür.</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0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704" w14:textId="77777777" w:rsidR="00C1548D" w:rsidRDefault="009B1B4B">
            <w:pPr>
              <w:keepNext/>
              <w:spacing w:after="70" w:line="240" w:lineRule="auto"/>
            </w:pPr>
            <w:r>
              <w:rPr>
                <w:b/>
                <w:bCs/>
                <w:color w:val="6B7280"/>
                <w:spacing w:val="24"/>
                <w:sz w:val="16"/>
                <w:szCs w:val="16"/>
              </w:rPr>
              <w:t>KEIN RECHTSRAT</w:t>
            </w:r>
          </w:p>
          <w:p w14:paraId="70A50705" w14:textId="77777777" w:rsidR="00C1548D" w:rsidRDefault="009B1B4B">
            <w:pPr>
              <w:spacing w:after="80" w:line="264" w:lineRule="auto"/>
            </w:pPr>
            <w:r>
              <w:rPr>
                <w:sz w:val="20"/>
                <w:szCs w:val="20"/>
              </w:rPr>
              <w:t>Dieser Abschnitt gibt eine Orientierung, keine Rechtsberatung. Ob eine Kündigung oder eine Probezeit-Klausel im Einzelfall wirksam ist, hängt vom genauen Vertragswortlaut und den Umständen ab. Lass Arbeitsverträge und insbesondere jede Kündigung von einer neuseeländischen Arbeitsrechtskanzlei oder kostenlos von Employment Mediation Services prüfen.</w:t>
            </w:r>
          </w:p>
        </w:tc>
      </w:tr>
    </w:tbl>
    <w:p w14:paraId="70A50707"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0A"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708" w14:textId="77777777" w:rsidR="00C1548D" w:rsidRDefault="009B1B4B">
            <w:pPr>
              <w:keepNext/>
              <w:spacing w:after="70" w:line="240" w:lineRule="auto"/>
            </w:pPr>
            <w:r>
              <w:rPr>
                <w:b/>
                <w:bCs/>
                <w:color w:val="2F6B3B"/>
                <w:spacing w:val="24"/>
                <w:sz w:val="16"/>
                <w:szCs w:val="16"/>
              </w:rPr>
              <w:t>SPARTIPP</w:t>
            </w:r>
          </w:p>
          <w:p w14:paraId="70A50709" w14:textId="77777777" w:rsidR="00C1548D" w:rsidRDefault="009B1B4B">
            <w:pPr>
              <w:spacing w:after="80" w:line="264" w:lineRule="auto"/>
            </w:pPr>
            <w:r>
              <w:rPr>
                <w:sz w:val="20"/>
                <w:szCs w:val="20"/>
              </w:rPr>
              <w:t>Employment New Zealand bietet unter employment.govt.nz kostenlose Musterverträge, einen Feiertagsrechner und eine telefonische Erstberatung (0800 20 90 20). Die Employment Mediation Services vermitteln bei Konflikten ebenfalls kostenlos, bevor es zu einem förmlichen ERA-Verfahren kommt.</w:t>
            </w:r>
          </w:p>
        </w:tc>
      </w:tr>
    </w:tbl>
    <w:p w14:paraId="70A5070B" w14:textId="77777777" w:rsidR="00C1548D" w:rsidRDefault="00C1548D">
      <w:pPr>
        <w:spacing w:line="220" w:lineRule="exact"/>
      </w:pPr>
    </w:p>
    <w:p w14:paraId="70A5070C" w14:textId="77777777" w:rsidR="00C1548D" w:rsidRDefault="009B1B4B">
      <w:pPr>
        <w:pStyle w:val="Heading3"/>
        <w:keepNext/>
        <w:jc w:val="center"/>
      </w:pPr>
      <w:r>
        <w:rPr>
          <w:rFonts w:ascii="Amazon Ember" w:eastAsia="Amazon Ember" w:hAnsi="Amazon Ember" w:cs="Amazon Ember"/>
          <w:color w:val="0000FF"/>
          <w:sz w:val="36"/>
          <w:szCs w:val="36"/>
        </w:rPr>
        <w:t>Arbeitszeitkultur: entspannt, aber nicht beliebig</w:t>
      </w:r>
    </w:p>
    <w:p w14:paraId="70A5070D" w14:textId="77777777" w:rsidR="00C1548D" w:rsidRDefault="009B1B4B">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w:t>
      </w:r>
      <w:r>
        <w:t xml:space="preserve">ümte Kritik gewohnt ist, muss lernen, zwischen den Zeilen zu lesen: Ein </w:t>
      </w:r>
      <w:r>
        <w:lastRenderedPageBreak/>
        <w:t>zurückhaltendes „yeah, maybe“ bedeutet oft ein höfliches Nein, kein „vielleicht“.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10"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70E" w14:textId="77777777" w:rsidR="00C1548D" w:rsidRDefault="009B1B4B">
            <w:pPr>
              <w:keepNext/>
              <w:spacing w:after="70" w:line="240" w:lineRule="auto"/>
            </w:pPr>
            <w:r>
              <w:rPr>
                <w:b/>
                <w:bCs/>
                <w:color w:val="8A6212"/>
                <w:spacing w:val="24"/>
                <w:sz w:val="16"/>
                <w:szCs w:val="16"/>
              </w:rPr>
              <w:t>MERKE</w:t>
            </w:r>
          </w:p>
          <w:p w14:paraId="70A5070F" w14:textId="77777777" w:rsidR="00C1548D" w:rsidRDefault="009B1B4B">
            <w:pPr>
              <w:spacing w:after="80" w:line="264" w:lineRule="auto"/>
            </w:pPr>
            <w:r>
              <w:rPr>
                <w:sz w:val="20"/>
                <w:szCs w:val="20"/>
              </w:rPr>
              <w:t>Dass dein neuseeländischer Kollege pünktlich um fünf geht, ist kein Zeichen von Desinteresse. Wer aus Gewohnheit länger bleibt, weil es in Deutschland so gehört, wird eher gefragt, ob zu Hause alles in Ordnung ist, als dafür gelobt.</w:t>
            </w:r>
          </w:p>
        </w:tc>
      </w:tr>
    </w:tbl>
    <w:p w14:paraId="70A50711" w14:textId="77777777" w:rsidR="00C1548D" w:rsidRDefault="00C1548D">
      <w:pPr>
        <w:spacing w:line="220" w:lineRule="exact"/>
      </w:pPr>
    </w:p>
    <w:p w14:paraId="70A50712" w14:textId="77777777" w:rsidR="00C1548D" w:rsidRDefault="009B1B4B">
      <w:pPr>
        <w:spacing w:after="140"/>
      </w:pPr>
      <w:r>
        <w:t>Work-Life-Balance wird ernst genommen, gerade außerhalb der Großstädte: Ein Nachmittag am Strand oder in den Bergen gilt als legitimer Grund, den Bürotag früher zu beenden, sofern die Arbeit erledigt ist. Das täuscht aber nicht darüber hinweg, dass Fachkräftemangel in vielen Berufen – von der Landwirtschaft bis zur IT – reale Mehrbelastung bedeuten kann; „entspannt“ heißt nicht „wenig zu tun“.</w:t>
      </w:r>
    </w:p>
    <w:p w14:paraId="70A50713" w14:textId="77777777" w:rsidR="00C1548D" w:rsidRDefault="009B1B4B">
      <w:pPr>
        <w:pStyle w:val="Heading3"/>
        <w:keepNext/>
        <w:jc w:val="center"/>
      </w:pPr>
      <w:r>
        <w:rPr>
          <w:rFonts w:ascii="Amazon Ember" w:eastAsia="Amazon Ember" w:hAnsi="Amazon Ember" w:cs="Amazon Ember"/>
          <w:color w:val="0000FF"/>
          <w:sz w:val="36"/>
          <w:szCs w:val="36"/>
        </w:rPr>
        <w:t>Networking und Bewerbung in einem kleinen Land</w:t>
      </w:r>
    </w:p>
    <w:p w14:paraId="70A50714" w14:textId="77777777" w:rsidR="00C1548D" w:rsidRDefault="009B1B4B">
      <w:pPr>
        <w:spacing w:after="140"/>
      </w:pPr>
      <w:r>
        <w:t xml:space="preserve">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 ein guter Ruf reist hier schneller, als einem manchmal lieb ist, und das gilt in beide Richtungen. Die wichtigsten Online-Jobbörsen sind </w:t>
      </w:r>
      <w:r>
        <w:t>Seek und TradeMe Jobs, ergänzt um LinkedIn, das inzwischen auch in Neuseeland Standard ist, wenn auch mit spürbar kleinerem Netzwerk als in Deutschland oder den USA.</w:t>
      </w:r>
    </w:p>
    <w:p w14:paraId="70A50715" w14:textId="77777777" w:rsidR="00C1548D" w:rsidRDefault="009B1B4B">
      <w:pPr>
        <w:spacing w:after="140"/>
      </w:pPr>
      <w:r>
        <w:t xml:space="preserve">Ein Arbeitszeugnis wie in Deutschland gibt es nicht. Stattdessen nennst du am Ende eines Bewerbungsverfahrens zwei bis drei </w:t>
      </w:r>
      <w:r>
        <w:rPr>
          <w:i/>
          <w:iCs/>
        </w:rPr>
        <w:t>Referees</w:t>
      </w:r>
      <w:r>
        <w:t xml:space="preserve"> (Referenzpersonen, meist frühere Vorgesetzte), die der </w:t>
      </w:r>
      <w:r>
        <w:lastRenderedPageBreak/>
        <w:t xml:space="preserve">neue Arbeitgeber anruft – sag ihnen vorher Bescheid. Ein knappes, ergebnisorientiertes </w:t>
      </w:r>
      <w:r>
        <w:rPr>
          <w:i/>
          <w:iCs/>
        </w:rPr>
        <w:t>Curriculum Vitae</w:t>
      </w:r>
      <w:r>
        <w:t xml:space="preserve"> (CV, ohne Foto und Geburtsdatum) ist Standard; viele Stellen, besonders außerhalb der großen Jobportale, werden weiterhin über persönliche Empfehlung besetzt, bevor sie überhaupt öffentlich ausgeschrieben werden.</w:t>
      </w:r>
    </w:p>
    <w:p w14:paraId="70A50716" w14:textId="77777777" w:rsidR="00C1548D" w:rsidRDefault="009B1B4B">
      <w:pPr>
        <w:pStyle w:val="Heading3"/>
        <w:keepNext/>
        <w:jc w:val="center"/>
      </w:pPr>
      <w:r>
        <w:rPr>
          <w:rFonts w:ascii="Amazon Ember" w:eastAsia="Amazon Ember" w:hAnsi="Amazon Ember" w:cs="Amazon Ember"/>
          <w:color w:val="0000FF"/>
          <w:sz w:val="36"/>
          <w:szCs w:val="36"/>
        </w:rPr>
        <w:t>Jobwechsel mit dem AEWV: was die Arbeitgeberbindung bedeutet</w:t>
      </w:r>
    </w:p>
    <w:p w14:paraId="70A50717" w14:textId="5A16DF54" w:rsidR="00C1548D" w:rsidRDefault="009B1B4B">
      <w:pPr>
        <w:spacing w:after="140"/>
      </w:pPr>
      <w:r>
        <w:t xml:space="preserve">Wie frei du den Arbeitgeber wechseln kannst, hängt entscheidend vom Visumtyp ab. Wer wie Paul Lindner direkt mit der </w:t>
      </w:r>
      <w:r>
        <w:rPr>
          <w:i/>
          <w:iCs/>
        </w:rPr>
        <w:t>Skilled Migrant Category Resident Visa</w:t>
      </w:r>
      <w:r>
        <w:t xml:space="preserve"> (SMC, dem punktebasierten Daueraufenthaltsvisum für Fachkräfte, siehe das </w:t>
      </w:r>
      <w:hyperlink w:anchor="tnz03" w:history="1">
        <w:r>
          <w:rPr>
            <w:color w:val="0563C1"/>
            <w:u w:val="single"/>
          </w:rPr>
          <w:t>Kapitel zum Arbeitsweg in diesem Teil</w:t>
        </w:r>
      </w:hyperlink>
      <w:r>
        <w:t xml:space="preserve">) eingereist ist, besitzt ein Daueraufenthaltsvisum ganz ohne Arbeitgeberbindung und kann den Job so oft wechseln wie ein neuseeländischer Staatsbürger. Das Gleiche gilt für Green-List-Tier-1-Berufe, bei denen der direkte Weg zum Daueraufenthalt führt (siehe das </w:t>
      </w:r>
      <w:hyperlink w:anchor="tnz03" w:history="1">
        <w:r>
          <w:rPr>
            <w:color w:val="0563C1"/>
            <w:u w:val="single"/>
          </w:rPr>
          <w:t>Kapitel zum Arbeitsweg in diesem Teil</w:t>
        </w:r>
      </w:hyperlink>
      <w:r>
        <w:t>).</w:t>
      </w:r>
    </w:p>
    <w:p w14:paraId="70A50718" w14:textId="77777777" w:rsidR="00C1548D" w:rsidRDefault="009B1B4B">
      <w:pPr>
        <w:spacing w:after="140"/>
      </w:pPr>
      <w:r>
        <w:t xml:space="preserve">Anders bei Familie Krüger: Das </w:t>
      </w:r>
      <w:r>
        <w:rPr>
          <w:i/>
          <w:iCs/>
        </w:rPr>
        <w:t>Accredited Employer Work Visa</w:t>
      </w:r>
      <w:r>
        <w:t xml:space="preserve"> (AEWV, das arbeitgebergebundene Fachkräfte-Arbeitsvisum) ist an drei feste Punkte gekoppelt – einen konkreten Arbeitgeber, eine konkrete Tätigkeit und die dazugehörige Genehmigung (den sogenannten </w:t>
      </w:r>
      <w:r>
        <w:rPr>
          <w:i/>
          <w:iCs/>
        </w:rPr>
        <w:t>Job Check</w:t>
      </w:r>
      <w:r>
        <w:t xml:space="preserve">, die behördliche Prüfung der einzelnen Stelle). Ändert sich einer dieser Punkte, reicht die bestehende Erlaubnis nicht mehr. Willst du den Arbeitgeber wechseln, braucht der neue Betrieb zunächst selbst die </w:t>
      </w:r>
      <w:r>
        <w:rPr>
          <w:i/>
          <w:iCs/>
        </w:rPr>
        <w:t>Employer Accreditation</w:t>
      </w:r>
      <w:r>
        <w:t xml:space="preserve"> (die Arbeitgeberakkreditierung von Immigration New Zealand) – ist er noch nicht akkreditiert, muss er das erst beantragen, bevor überhaupt etwas anderes möglich ist. Danach muss er für die konkrete Stelle einen eigenen Job Check bestehen. Erst wenn diese Genehmigung vorliegt, beantragst du selbst eine </w:t>
      </w:r>
      <w:r>
        <w:rPr>
          <w:i/>
          <w:iCs/>
        </w:rPr>
        <w:t>Variation of Conditions</w:t>
      </w:r>
      <w:r>
        <w:t xml:space="preserve"> (VOC, die Änderung der Visumsbedingungen für einen bestehenden AEWV) oder, je nach Konstellation, ein komplett neues </w:t>
      </w:r>
      <w:r>
        <w:lastRenderedPageBreak/>
        <w:t>AEWV. Wichtig: Dein neuer Arbeitsvertrag muss zudem die inhaltlichen Anforderungen erfüllen, die Immigration New Zealand an Arbeitsverträge stellt (u. a. Mindestlohnsatz, Wochenstunden) – ein formal unvollständiger Vertrag kann den Antrag verzögern oder scheitern lassen.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1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719" w14:textId="77777777" w:rsidR="00C1548D" w:rsidRDefault="009B1B4B">
            <w:pPr>
              <w:keepNext/>
              <w:spacing w:after="70" w:line="240" w:lineRule="auto"/>
            </w:pPr>
            <w:r>
              <w:rPr>
                <w:b/>
                <w:bCs/>
                <w:color w:val="9B2C2C"/>
                <w:spacing w:val="24"/>
                <w:sz w:val="16"/>
                <w:szCs w:val="16"/>
              </w:rPr>
              <w:t>ACHTUNG</w:t>
            </w:r>
          </w:p>
          <w:p w14:paraId="70A5071A" w14:textId="77777777" w:rsidR="00C1548D" w:rsidRDefault="009B1B4B">
            <w:pPr>
              <w:spacing w:after="80" w:line="264" w:lineRule="auto"/>
            </w:pPr>
            <w:r>
              <w:rPr>
                <w:sz w:val="20"/>
                <w:szCs w:val="20"/>
              </w:rPr>
              <w:t>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 mit Risiko für Visum und künftige Anträge.</w:t>
            </w:r>
          </w:p>
        </w:tc>
      </w:tr>
    </w:tbl>
    <w:p w14:paraId="70A5071C" w14:textId="77777777" w:rsidR="00C1548D" w:rsidRDefault="00C1548D">
      <w:pPr>
        <w:spacing w:line="220" w:lineRule="exact"/>
      </w:pPr>
    </w:p>
    <w:p w14:paraId="70A5071D" w14:textId="77777777" w:rsidR="00C1548D" w:rsidRDefault="009B1B4B">
      <w:pPr>
        <w:spacing w:after="140"/>
      </w:pPr>
      <w:r>
        <w:t>Verlierst du deine Stelle beim AEWV-Sponsor unerwartet – etwa durch eine betriebsbedingte Kündigung oder, wie im Abschnitt zur Probezeit beschrieben, während der ersten 90 Tage –, bleibt dir keine gesetzlich garantierte Frist wie bei einigen australischen Visa, um in Ruhe einen neuen Sponsor zu suchen: Dein AEWV erlischt mit dem Ende der Beschäftigung, für die es ausgestellt wurde, und du musst zügig eine neue akkreditierte Stelle mit genehmigtem Job Check finden und einen neuen Antrag stellen, um deinen Au</w:t>
      </w:r>
      <w:r>
        <w:t>fenthalt fortzusetzen. Das ist ein Punkt, den viele Neuankömmlinge unterschätzen, solange der eigene Job sicher wirkt.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20"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71E" w14:textId="77777777" w:rsidR="00C1548D" w:rsidRDefault="009B1B4B">
            <w:pPr>
              <w:keepNext/>
              <w:spacing w:after="70" w:line="240" w:lineRule="auto"/>
            </w:pPr>
            <w:r>
              <w:rPr>
                <w:b/>
                <w:bCs/>
                <w:color w:val="4A5568"/>
                <w:spacing w:val="24"/>
                <w:sz w:val="16"/>
                <w:szCs w:val="16"/>
              </w:rPr>
              <w:lastRenderedPageBreak/>
              <w:t>PRAXISBEISPIEL · FIKTIV</w:t>
            </w:r>
          </w:p>
          <w:p w14:paraId="70A5071F" w14:textId="77777777" w:rsidR="00C1548D" w:rsidRDefault="009B1B4B">
            <w:pPr>
              <w:spacing w:after="80" w:line="264" w:lineRule="auto"/>
            </w:pPr>
            <w:r>
              <w:rPr>
                <w:sz w:val="20"/>
                <w:szCs w:val="20"/>
              </w:rPr>
              <w:t>Sebastian Krüger (fiktives Beispiel) arbeitet seit zwei Jahren mit seinem AEWV als Agraringenieur bei einem Molkereibetrieb nahe Christchurch, als ihm ein größeres Unternehmen ein deutlich besseres Angebot macht. Aus Gewohnheit will er kündigen, sobald der neue Vertrag unterschrieben ist – bis ihm eine neuseeländische Kollegin erklärt, dass das riskant wäre. Der neue Arbeitgeber ist zwar bereits akkreditiert, muss aber trotzdem für Sebastians konkrete Stelle einen eigenen Job Check bestehen. Das dauert eini</w:t>
            </w:r>
            <w:r>
              <w:rPr>
                <w:sz w:val="20"/>
                <w:szCs w:val="20"/>
              </w:rPr>
              <w:t>ge Wochen; erst danach reicht Sebastian seine Variation of Conditions ein und wartet auf die Genehmigung. Petra Krüger, seine Frau, fragt ihn jeden Abend, ob es schon so weit sei – „she’ll be right“, sagt Sebastian inzwischen selbst, nicht ganz ohne Ironie. Erst als die Bestätigung in seinem Konto erscheint, kündigt er beim alten Arbeitgeber und beginnt beim neuen.</w:t>
            </w:r>
          </w:p>
        </w:tc>
      </w:tr>
    </w:tbl>
    <w:p w14:paraId="70A50721"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24"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722" w14:textId="77777777" w:rsidR="00C1548D" w:rsidRDefault="009B1B4B">
            <w:pPr>
              <w:keepNext/>
              <w:spacing w:after="70" w:line="240" w:lineRule="auto"/>
            </w:pPr>
            <w:r>
              <w:rPr>
                <w:b/>
                <w:bCs/>
                <w:color w:val="4A5568"/>
                <w:spacing w:val="24"/>
                <w:sz w:val="16"/>
                <w:szCs w:val="16"/>
              </w:rPr>
              <w:t>PRAXISBEISPIEL · FIKTIV</w:t>
            </w:r>
          </w:p>
          <w:p w14:paraId="70A50723" w14:textId="77777777" w:rsidR="00C1548D" w:rsidRDefault="009B1B4B">
            <w:pPr>
              <w:spacing w:after="80" w:line="264" w:lineRule="auto"/>
            </w:pPr>
            <w:r>
              <w:rPr>
                <w:sz w:val="20"/>
                <w:szCs w:val="20"/>
              </w:rPr>
              <w:t>Paul Lindner (fiktives Beispiel) wechselt in seinem zweiten Jahr in Auckland als IT-Berater den Arbeitgeber, ohne Immigration New Zealand auch nur zu informieren – seine SMC-Resident-Visa macht das überflüssig. Was ihm dagegen zu schaffen macht, ist die Kleinheit der Branche: Sein neuer Arbeitgeber kennt seinen alten Chef aus einem gemeinsamen Branchenverband, und beim ersten Teammeeting wird beiläufig erwähnt, man habe sich „ohnehin schon gefragt, wann Paul wechselt“. In Frankfurt hätte niemand davon erfah</w:t>
            </w:r>
            <w:r>
              <w:rPr>
                <w:sz w:val="20"/>
                <w:szCs w:val="20"/>
              </w:rPr>
              <w:t>ren; in Auckland, lernt Paul, ist der professionelle Ruf ungefähr so öffentlich wie das Wetter.</w:t>
            </w:r>
          </w:p>
        </w:tc>
      </w:tr>
    </w:tbl>
    <w:p w14:paraId="70A50725" w14:textId="77777777" w:rsidR="00C1548D" w:rsidRDefault="00C1548D">
      <w:pPr>
        <w:spacing w:line="220" w:lineRule="exact"/>
      </w:pPr>
    </w:p>
    <w:p w14:paraId="70A50726" w14:textId="77777777" w:rsidR="00C1548D" w:rsidRDefault="009B1B4B">
      <w:pPr>
        <w:pStyle w:val="Heading3"/>
        <w:keepNext/>
        <w:jc w:val="center"/>
      </w:pPr>
      <w:r>
        <w:rPr>
          <w:rFonts w:ascii="Amazon Ember" w:eastAsia="Amazon Ember" w:hAnsi="Amazon Ember" w:cs="Amazon Ember"/>
          <w:color w:val="0000FF"/>
          <w:sz w:val="36"/>
          <w:szCs w:val="36"/>
        </w:rPr>
        <w:t>Gehalt und Verhandlung</w:t>
      </w:r>
    </w:p>
    <w:p w14:paraId="70A50727" w14:textId="3A0056B0" w:rsidR="00C1548D" w:rsidRDefault="009B1B4B">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w:t>
      </w:r>
      <w:r>
        <w:lastRenderedPageBreak/>
        <w:t xml:space="preserve">Markt und, bei AEWV-Stellen, zusätzlich an den Lohnschwellen der Einwanderungsbehörde (mehr dazu im </w:t>
      </w:r>
      <w:hyperlink w:anchor="tnz03" w:history="1">
        <w:r>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w14:paraId="70A50728"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72B"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729"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72A" w14:textId="77777777" w:rsidR="00C1548D" w:rsidRDefault="009B1B4B">
            <w:pPr>
              <w:spacing w:line="250" w:lineRule="auto"/>
            </w:pPr>
            <w:r>
              <w:rPr>
                <w:b/>
                <w:bCs/>
                <w:sz w:val="18"/>
                <w:szCs w:val="18"/>
              </w:rPr>
              <w:t>Minus</w:t>
            </w:r>
          </w:p>
        </w:tc>
      </w:tr>
      <w:tr w:rsidR="00C1548D" w14:paraId="70A5072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2C" w14:textId="77777777" w:rsidR="00C1548D" w:rsidRDefault="009B1B4B">
            <w:pPr>
              <w:spacing w:line="250" w:lineRule="auto"/>
            </w:pPr>
            <w:r>
              <w:rPr>
                <w:sz w:val="18"/>
                <w:szCs w:val="18"/>
              </w:rPr>
              <w:t>Ein einziges, landesweit einheitliches Arbeitsrecht ohne föderale Verwirrung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2D" w14:textId="77777777" w:rsidR="00C1548D" w:rsidRDefault="009B1B4B">
            <w:pPr>
              <w:spacing w:line="250" w:lineRule="auto"/>
            </w:pPr>
            <w:r>
              <w:rPr>
                <w:sz w:val="18"/>
                <w:szCs w:val="18"/>
              </w:rPr>
              <w:t>Vier Wochen Urlaub sind das gesetzliche Minimum, kein branchenüblicher Standard darüber</w:t>
            </w:r>
          </w:p>
        </w:tc>
      </w:tr>
      <w:tr w:rsidR="00C1548D" w14:paraId="70A5073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2F" w14:textId="77777777" w:rsidR="00C1548D" w:rsidRDefault="009B1B4B">
            <w:pPr>
              <w:spacing w:line="250" w:lineRule="auto"/>
            </w:pPr>
            <w:r>
              <w:rPr>
                <w:sz w:val="18"/>
                <w:szCs w:val="18"/>
              </w:rPr>
              <w:t>Personal-Grievance-Schutz gilt ab dem ersten Tag, ohne Wartezeit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30" w14:textId="77777777" w:rsidR="00C1548D" w:rsidRDefault="009B1B4B">
            <w:pPr>
              <w:spacing w:line="250" w:lineRule="auto"/>
            </w:pPr>
            <w:r>
              <w:rPr>
                <w:sz w:val="18"/>
                <w:szCs w:val="18"/>
              </w:rPr>
              <w:t>Seit Ende 2023 kann jeder Arbeitgeber eine 90-Tage-Probezeit ohne Kündigungsschutz nutzen</w:t>
            </w:r>
          </w:p>
        </w:tc>
      </w:tr>
      <w:tr w:rsidR="00C1548D" w14:paraId="70A5073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32" w14:textId="77777777" w:rsidR="00C1548D" w:rsidRDefault="009B1B4B">
            <w:pPr>
              <w:spacing w:line="250" w:lineRule="auto"/>
            </w:pPr>
            <w:r>
              <w:rPr>
                <w:sz w:val="18"/>
                <w:szCs w:val="18"/>
              </w:rPr>
              <w:t>Informelle, konfliktarme Arbeitskultur mit echter Work-Life-Balance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33" w14:textId="77777777" w:rsidR="00C1548D" w:rsidRDefault="009B1B4B">
            <w:pPr>
              <w:spacing w:line="250" w:lineRule="auto"/>
            </w:pPr>
            <w:r>
              <w:rPr>
                <w:sz w:val="18"/>
                <w:szCs w:val="18"/>
              </w:rPr>
              <w:t>Keine gesetzliche Abfindungspflicht bei betriebsbedingter Kündigung</w:t>
            </w:r>
          </w:p>
        </w:tc>
      </w:tr>
      <w:tr w:rsidR="00C1548D" w14:paraId="70A5073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35" w14:textId="77777777" w:rsidR="00C1548D" w:rsidRDefault="009B1B4B">
            <w:pPr>
              <w:spacing w:line="250" w:lineRule="auto"/>
            </w:pPr>
            <w:r>
              <w:rPr>
                <w:sz w:val="18"/>
                <w:szCs w:val="18"/>
              </w:rPr>
              <w:t>SMC- und Green-List-Tier-1-Visa machen von Anfang an frei von jeder Arbeitgeberbindung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36" w14:textId="77777777" w:rsidR="00C1548D" w:rsidRDefault="009B1B4B">
            <w:pPr>
              <w:spacing w:line="250" w:lineRule="auto"/>
            </w:pPr>
            <w:r>
              <w:rPr>
                <w:sz w:val="18"/>
                <w:szCs w:val="18"/>
              </w:rPr>
              <w:t>Beim AEWV bindet dich das Visum an einen einzelnen Arbeitgeber und eine einzelne Stelle</w:t>
            </w:r>
          </w:p>
        </w:tc>
      </w:tr>
      <w:tr w:rsidR="00C1548D" w14:paraId="70A5073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38" w14:textId="77777777" w:rsidR="00C1548D" w:rsidRDefault="009B1B4B">
            <w:pPr>
              <w:spacing w:line="250" w:lineRule="auto"/>
            </w:pPr>
            <w:r>
              <w:rPr>
                <w:sz w:val="18"/>
                <w:szCs w:val="18"/>
              </w:rPr>
              <w:t>Kostenlose, gut erreichbare Beratung über Employment New Zealand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39" w14:textId="77777777" w:rsidR="00C1548D" w:rsidRDefault="009B1B4B">
            <w:pPr>
              <w:spacing w:line="250" w:lineRule="auto"/>
            </w:pPr>
            <w:r>
              <w:rPr>
                <w:sz w:val="18"/>
                <w:szCs w:val="18"/>
              </w:rPr>
              <w:t>Ein Arbeitgeberwechsel beim AEWV braucht Zeit: Akkreditierung und Job Check zuerst</w:t>
            </w:r>
          </w:p>
        </w:tc>
      </w:tr>
      <w:tr w:rsidR="00C1548D" w14:paraId="70A5073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3B" w14:textId="77777777" w:rsidR="00C1548D" w:rsidRDefault="009B1B4B">
            <w:pPr>
              <w:spacing w:line="250" w:lineRule="auto"/>
            </w:pPr>
            <w:r>
              <w:rPr>
                <w:sz w:val="18"/>
                <w:szCs w:val="18"/>
              </w:rPr>
              <w:t>Kleines Land, enge Branchennetzwerke erleichtern die Jobsuche über Empfehlungen</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3C" w14:textId="77777777" w:rsidR="00C1548D" w:rsidRDefault="009B1B4B">
            <w:pPr>
              <w:spacing w:line="250" w:lineRule="auto"/>
            </w:pPr>
            <w:r>
              <w:rPr>
                <w:sz w:val="18"/>
                <w:szCs w:val="18"/>
              </w:rPr>
              <w:t>Derselbe kleine Kreis macht einen schlechten Ruf ebenso schnell bekannt wie einen guten</w:t>
            </w:r>
          </w:p>
        </w:tc>
      </w:tr>
    </w:tbl>
    <w:p w14:paraId="70A5073E" w14:textId="77777777" w:rsidR="00C1548D" w:rsidRDefault="00C1548D">
      <w:pPr>
        <w:spacing w:line="180" w:lineRule="exact"/>
      </w:pPr>
    </w:p>
    <w:p w14:paraId="70A5073F"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740" w14:textId="77777777" w:rsidR="00C1548D" w:rsidRDefault="009B1B4B">
      <w:pPr>
        <w:spacing w:after="140"/>
      </w:pPr>
      <w:r>
        <w:t xml:space="preserve">Lies deinen Arbeitsvertrag genau, bevor du unterschreibst, und kläre insbesondere, ob eine 90-Tage-Probezeit vereinbart ist. Bist du auf einem AEWV, plane jeden Arbeitgeberwechsel als Verwaltungsvorgang mit mehreren Wochen Vorlauf, nicht als spontane Entscheidung: Akkreditierung und Job Check des neuen </w:t>
      </w:r>
      <w:r>
        <w:lastRenderedPageBreak/>
        <w:t>Arbeitgebers zuerst, eigene Genehmigung danach, Kündigung beim alten Arbeitgeber erst zum Schluss.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4A"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741" w14:textId="77777777" w:rsidR="00C1548D" w:rsidRDefault="009B1B4B">
            <w:pPr>
              <w:keepNext/>
              <w:spacing w:after="70" w:line="240" w:lineRule="auto"/>
            </w:pPr>
            <w:r>
              <w:rPr>
                <w:b/>
                <w:bCs/>
                <w:color w:val="1F6F78"/>
                <w:spacing w:val="24"/>
                <w:sz w:val="16"/>
                <w:szCs w:val="16"/>
              </w:rPr>
              <w:t>CHECKLISTE</w:t>
            </w:r>
          </w:p>
          <w:p w14:paraId="70A50742"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Arbeitsvertrag auf Probezeit-Klausel, Kündigungsfrist und Urlaubsregelung geprüft, bevor unterschrieben wird.</w:t>
            </w:r>
          </w:p>
          <w:p w14:paraId="70A5074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Geklärt, ob und wann die 90-Tage-Trial-Period für die eigene Stelle gilt.</w:t>
            </w:r>
          </w:p>
          <w:p w14:paraId="70A5074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Visumstyp gekannt: arbeitgebergebunden (AEWV) oder frei (SMC-Resident-Visa, Green-List-Tier-1).</w:t>
            </w:r>
          </w:p>
          <w:p w14:paraId="70A5074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geplantem Arbeitgeberwechsel: Akkreditierungsstatus des neuen Arbeitgebers und Bearbeitungszeit für den Job Check realistisch eingeplant.</w:t>
            </w:r>
          </w:p>
          <w:p w14:paraId="70A5074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Erst gekündigt, wenn die Variation of Conditions oder das neue AEWV tatsächlich genehmigt ist.</w:t>
            </w:r>
          </w:p>
          <w:p w14:paraId="70A5074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Zwei bis drei Referees vorbereitet und um Erlaubnis gefragt, bevor sie angegeben werden.</w:t>
            </w:r>
          </w:p>
          <w:p w14:paraId="70A5074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CV und LinkedIn-Profil auf neuseeländisches Format gebracht (kein Foto, kein Geburtsdatum).</w:t>
            </w:r>
          </w:p>
          <w:p w14:paraId="70A5074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Unsicherheiten kostenlos bei Employment New Zealand oder den Employment Mediation Services nachgefragt.</w:t>
            </w:r>
          </w:p>
        </w:tc>
      </w:tr>
    </w:tbl>
    <w:p w14:paraId="70A5074B" w14:textId="77777777" w:rsidR="00C1548D" w:rsidRDefault="00C1548D">
      <w:pPr>
        <w:spacing w:line="220" w:lineRule="exact"/>
      </w:pPr>
    </w:p>
    <w:p w14:paraId="70A5074C"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74D" w14:textId="3D79CC49" w:rsidR="00C1548D" w:rsidRDefault="009B1B4B" w:rsidP="009B1B4B">
      <w:pPr>
        <w:pStyle w:val="ListParagraph"/>
        <w:numPr>
          <w:ilvl w:val="0"/>
          <w:numId w:val="1"/>
        </w:numPr>
        <w:spacing w:after="60"/>
      </w:pPr>
      <w:r>
        <w:t xml:space="preserve">Employment New Zealand (MBIE) – Employment Relations Act, Holidays Act, Musterverträge, Beratung: </w:t>
      </w:r>
      <w:hyperlink r:id="rId676" w:history="1">
        <w:r>
          <w:rPr>
            <w:color w:val="0563C1"/>
            <w:u w:val="single"/>
          </w:rPr>
          <w:t>employment.govt.nz</w:t>
        </w:r>
      </w:hyperlink>
    </w:p>
    <w:p w14:paraId="70A5074E" w14:textId="5F45C59A" w:rsidR="00C1548D" w:rsidRDefault="009B1B4B" w:rsidP="009B1B4B">
      <w:pPr>
        <w:pStyle w:val="ListParagraph"/>
        <w:numPr>
          <w:ilvl w:val="0"/>
          <w:numId w:val="1"/>
        </w:numPr>
        <w:spacing w:after="60"/>
      </w:pPr>
      <w:r>
        <w:t xml:space="preserve">Employment New Zealand – 90-Day Trial Periods: </w:t>
      </w:r>
      <w:hyperlink r:id="rId677" w:history="1">
        <w:r>
          <w:rPr>
            <w:color w:val="0563C1"/>
            <w:u w:val="single"/>
          </w:rPr>
          <w:t>employment.govt.nz/starting-employment/trial-periods</w:t>
        </w:r>
      </w:hyperlink>
    </w:p>
    <w:p w14:paraId="70A5074F" w14:textId="182010E0" w:rsidR="00C1548D" w:rsidRDefault="009B1B4B" w:rsidP="009B1B4B">
      <w:pPr>
        <w:pStyle w:val="ListParagraph"/>
        <w:numPr>
          <w:ilvl w:val="0"/>
          <w:numId w:val="1"/>
        </w:numPr>
        <w:spacing w:after="60"/>
      </w:pPr>
      <w:r>
        <w:t xml:space="preserve">Employment Relations Authority – Verfahren bei Personal Grievance: </w:t>
      </w:r>
      <w:hyperlink r:id="rId678" w:history="1">
        <w:r>
          <w:rPr>
            <w:color w:val="0563C1"/>
            <w:u w:val="single"/>
          </w:rPr>
          <w:t>era.govt.nz</w:t>
        </w:r>
      </w:hyperlink>
    </w:p>
    <w:p w14:paraId="70A50750" w14:textId="66F3D6A6" w:rsidR="00C1548D" w:rsidRDefault="009B1B4B" w:rsidP="009B1B4B">
      <w:pPr>
        <w:pStyle w:val="ListParagraph"/>
        <w:numPr>
          <w:ilvl w:val="0"/>
          <w:numId w:val="1"/>
        </w:numPr>
        <w:spacing w:after="60"/>
      </w:pPr>
      <w:r>
        <w:t xml:space="preserve">Immigration New Zealand – Accredited Employer Work Visa, Job Check, Variation of Conditions: </w:t>
      </w:r>
      <w:hyperlink r:id="rId679" w:history="1">
        <w:r>
          <w:rPr>
            <w:color w:val="0563C1"/>
            <w:u w:val="single"/>
          </w:rPr>
          <w:t>immigration.govt.nz/visas/accredited-employer-work-visa</w:t>
        </w:r>
      </w:hyperlink>
    </w:p>
    <w:p w14:paraId="70A50751" w14:textId="18B6B3E1" w:rsidR="00C1548D" w:rsidRDefault="009B1B4B" w:rsidP="009B1B4B">
      <w:pPr>
        <w:pStyle w:val="ListParagraph"/>
        <w:numPr>
          <w:ilvl w:val="0"/>
          <w:numId w:val="1"/>
        </w:numPr>
        <w:spacing w:after="60"/>
      </w:pPr>
      <w:r>
        <w:lastRenderedPageBreak/>
        <w:t xml:space="preserve">New Zealand Legislation – Employment Relations (Trial Periods) Amendment Act 2023: </w:t>
      </w:r>
      <w:hyperlink r:id="rId680" w:history="1">
        <w:r>
          <w:rPr>
            <w:color w:val="0563C1"/>
            <w:u w:val="single"/>
          </w:rPr>
          <w:t>legislation.govt.nz</w:t>
        </w:r>
      </w:hyperlink>
    </w:p>
    <w:p w14:paraId="70A50752" w14:textId="267B8637" w:rsidR="00C1548D" w:rsidRDefault="009B1B4B" w:rsidP="009B1B4B">
      <w:pPr>
        <w:pStyle w:val="ListParagraph"/>
        <w:numPr>
          <w:ilvl w:val="0"/>
          <w:numId w:val="1"/>
        </w:numPr>
        <w:spacing w:after="60"/>
      </w:pPr>
      <w:r>
        <w:t xml:space="preserve">Seek New Zealand / TradeMe Jobs – Stellenbörsen: </w:t>
      </w:r>
      <w:hyperlink r:id="rId681" w:history="1">
        <w:r>
          <w:rPr>
            <w:color w:val="0563C1"/>
            <w:u w:val="single"/>
          </w:rPr>
          <w:t>seek.co.nz</w:t>
        </w:r>
      </w:hyperlink>
      <w:r>
        <w:t xml:space="preserve">, </w:t>
      </w:r>
      <w:hyperlink r:id="rId682" w:history="1">
        <w:r>
          <w:rPr>
            <w:color w:val="0563C1"/>
            <w:u w:val="single"/>
          </w:rPr>
          <w:t>trademe.co.nz/jobs</w:t>
        </w:r>
      </w:hyperlink>
    </w:p>
    <w:p w14:paraId="70A50753"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5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754" w14:textId="77777777" w:rsidR="00C1548D" w:rsidRDefault="009B1B4B">
            <w:pPr>
              <w:keepNext/>
              <w:spacing w:after="70" w:line="240" w:lineRule="auto"/>
            </w:pPr>
            <w:r>
              <w:rPr>
                <w:b/>
                <w:bCs/>
                <w:color w:val="6B7280"/>
                <w:spacing w:val="24"/>
                <w:sz w:val="16"/>
                <w:szCs w:val="16"/>
              </w:rPr>
              <w:t>STAND</w:t>
            </w:r>
          </w:p>
          <w:p w14:paraId="70A50755" w14:textId="77777777" w:rsidR="00C1548D" w:rsidRDefault="009B1B4B">
            <w:pPr>
              <w:spacing w:after="80" w:line="264" w:lineRule="auto"/>
            </w:pPr>
            <w:r>
              <w:rPr>
                <w:sz w:val="20"/>
                <w:szCs w:val="20"/>
              </w:rPr>
              <w:t>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employment.govt.nz und immigration.govt.nz.</w:t>
            </w:r>
          </w:p>
        </w:tc>
      </w:tr>
    </w:tbl>
    <w:p w14:paraId="70A50757" w14:textId="77777777" w:rsidR="00C1548D" w:rsidRDefault="00C1548D">
      <w:pPr>
        <w:spacing w:line="220" w:lineRule="exact"/>
      </w:pPr>
    </w:p>
    <w:p w14:paraId="70A50758" w14:textId="77777777" w:rsidR="00C1548D" w:rsidRDefault="009B1B4B">
      <w:pPr>
        <w:pStyle w:val="Heading2"/>
        <w:keepNext/>
        <w:pageBreakBefore/>
        <w:jc w:val="center"/>
      </w:pPr>
      <w:bookmarkStart w:id="196" w:name="tnz15"/>
      <w:bookmarkStart w:id="197" w:name="_Toc241352550"/>
      <w:r>
        <w:rPr>
          <w:rFonts w:ascii="Amazon Ember" w:eastAsia="Amazon Ember" w:hAnsi="Amazon Ember" w:cs="Amazon Ember"/>
          <w:color w:val="0000FF"/>
          <w:sz w:val="36"/>
          <w:szCs w:val="36"/>
        </w:rPr>
        <w:lastRenderedPageBreak/>
        <w:t>Neuseeland: Recht, Sicherheit und Polizeikontakt</w:t>
      </w:r>
      <w:bookmarkEnd w:id="196"/>
      <w:bookmarkEnd w:id="197"/>
    </w:p>
    <w:p w14:paraId="70A50759" w14:textId="77777777" w:rsidR="00C1548D" w:rsidRDefault="009B1B4B">
      <w:pPr>
        <w:spacing w:after="140"/>
      </w:pPr>
      <w:r>
        <w:t>Auf der Fahrt zur Arbeit wird Paul Lindner in Auckland zum ersten Mal an einem Kontrollpunkt herausgewunken. Er fährt rechts ran, die Hände fest am Lenkrad, und wartet auf das, was er aus Frankfurt kennt: einen Beamten mit Dienstwaffe am Gürtel. Stattdessen tritt eine Polizistin ohne sichtbare Waffe ans Fenster, pustet ihn kurz mit einem kleinen Gerät an und wünscht ihm „have a good one“, bevor er überhaupt begriffen hat, dass die Kontrolle schon vorbei ist. Es dauert ein paar Wochen, bis Paul begreift, das</w:t>
      </w:r>
      <w:r>
        <w:t>s die unbewaffnete Polizei in Neuseeland kein Zufall und keine Nachlässigkeit ist, sondern eine bewusste, immer wieder verteidigte Entscheidung – so unspektakulär vorgetragen, dass man sie leicht für Selbstverständlichkeit hält.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61"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75A" w14:textId="77777777" w:rsidR="00C1548D" w:rsidRDefault="009B1B4B">
            <w:pPr>
              <w:keepNext/>
              <w:spacing w:after="70" w:line="240" w:lineRule="auto"/>
            </w:pPr>
            <w:r>
              <w:rPr>
                <w:b/>
                <w:bCs/>
                <w:color w:val="1F3A5F"/>
                <w:spacing w:val="24"/>
                <w:sz w:val="16"/>
                <w:szCs w:val="16"/>
              </w:rPr>
              <w:lastRenderedPageBreak/>
              <w:t>KURZ GESAGT</w:t>
            </w:r>
          </w:p>
          <w:p w14:paraId="70A5075B" w14:textId="77777777" w:rsidR="00C1548D" w:rsidRDefault="009B1B4B" w:rsidP="009B1B4B">
            <w:pPr>
              <w:pStyle w:val="ListParagraph"/>
              <w:numPr>
                <w:ilvl w:val="0"/>
                <w:numId w:val="1"/>
              </w:numPr>
              <w:spacing w:after="50" w:line="264" w:lineRule="auto"/>
            </w:pPr>
            <w:r>
              <w:rPr>
                <w:sz w:val="20"/>
                <w:szCs w:val="20"/>
              </w:rPr>
              <w:t>Die neuseeländische Polizei patrouilliert im Regelbetrieb unbewaffnet – eine bewusste, öffentlich immer wieder bestätigte Entscheidung, keine Ausnahme.</w:t>
            </w:r>
          </w:p>
          <w:p w14:paraId="70A5075C" w14:textId="77777777" w:rsidR="00C1548D" w:rsidRDefault="009B1B4B" w:rsidP="009B1B4B">
            <w:pPr>
              <w:pStyle w:val="ListParagraph"/>
              <w:numPr>
                <w:ilvl w:val="0"/>
                <w:numId w:val="1"/>
              </w:numPr>
              <w:spacing w:after="50" w:line="264" w:lineRule="auto"/>
            </w:pPr>
            <w:r>
              <w:rPr>
                <w:sz w:val="20"/>
                <w:szCs w:val="20"/>
              </w:rPr>
              <w:t>Verdachtsunabhängige Alkoholkontrollen im Straßenverkehr sind seit Langem Alltag; seit dem landesweiten Rollout zum 1. Juli 2026 kommen ebenso verdachtsunabhängige Drogen-Speicheltests hinzu.</w:t>
            </w:r>
          </w:p>
          <w:p w14:paraId="70A5075D" w14:textId="77777777" w:rsidR="00C1548D" w:rsidRDefault="009B1B4B" w:rsidP="009B1B4B">
            <w:pPr>
              <w:pStyle w:val="ListParagraph"/>
              <w:numPr>
                <w:ilvl w:val="0"/>
                <w:numId w:val="1"/>
              </w:numPr>
              <w:spacing w:after="50" w:line="264" w:lineRule="auto"/>
            </w:pPr>
            <w:r>
              <w:rPr>
                <w:sz w:val="20"/>
                <w:szCs w:val="20"/>
              </w:rPr>
              <w:t>Waffenrecht wurde nach dem Anschlag auf zwei Moscheen in Christchurch 2019 deutlich verschärft und zum 23. September 2026 mit dem neuen Arms Act 2026 und einer eigenständigen Aufsichtsbehörde erneut umgebaut.</w:t>
            </w:r>
          </w:p>
          <w:p w14:paraId="70A5075E" w14:textId="77777777" w:rsidR="00C1548D" w:rsidRDefault="009B1B4B" w:rsidP="009B1B4B">
            <w:pPr>
              <w:pStyle w:val="ListParagraph"/>
              <w:numPr>
                <w:ilvl w:val="0"/>
                <w:numId w:val="1"/>
              </w:numPr>
              <w:spacing w:after="50" w:line="264" w:lineRule="auto"/>
            </w:pPr>
            <w:r>
              <w:rPr>
                <w:sz w:val="20"/>
                <w:szCs w:val="20"/>
              </w:rPr>
              <w:t>Cannabis bleibt trotz eines knapp gescheiterten Referendums 2020 im ganzen Land illegal – anders als in Teilen Australiens gibt es keinen regionalen Sonderfall.</w:t>
            </w:r>
          </w:p>
          <w:p w14:paraId="70A5075F" w14:textId="77777777" w:rsidR="00C1548D" w:rsidRDefault="009B1B4B" w:rsidP="009B1B4B">
            <w:pPr>
              <w:pStyle w:val="ListParagraph"/>
              <w:numPr>
                <w:ilvl w:val="0"/>
                <w:numId w:val="1"/>
              </w:numPr>
              <w:spacing w:after="50" w:line="264" w:lineRule="auto"/>
            </w:pPr>
            <w:r>
              <w:rPr>
                <w:sz w:val="20"/>
                <w:szCs w:val="20"/>
              </w:rPr>
              <w:t>Erdbeben sind eine reale, wiederkehrende Gefahr: Die staatliche Grundversicherung Toka Tū Ake/EQC deckt die ersten 300.000 NZD Gebäudeschaden, ersetzt aber keine private Police.</w:t>
            </w:r>
          </w:p>
          <w:p w14:paraId="70A50760" w14:textId="77777777" w:rsidR="00C1548D" w:rsidRDefault="009B1B4B" w:rsidP="009B1B4B">
            <w:pPr>
              <w:pStyle w:val="ListParagraph"/>
              <w:numPr>
                <w:ilvl w:val="0"/>
                <w:numId w:val="1"/>
              </w:numPr>
              <w:spacing w:after="50" w:line="264" w:lineRule="auto"/>
            </w:pPr>
            <w:r>
              <w:rPr>
                <w:sz w:val="20"/>
                <w:szCs w:val="20"/>
              </w:rPr>
              <w:t>Neuseeland liegt auf einer aktiven Vulkanzone – von Auckland bis zum Tongariro-Nationalpark wird das Risiko laufend über GeoNet überwacht.</w:t>
            </w:r>
          </w:p>
        </w:tc>
      </w:tr>
    </w:tbl>
    <w:p w14:paraId="70A50762" w14:textId="77777777" w:rsidR="00C1548D" w:rsidRDefault="00C1548D">
      <w:pPr>
        <w:spacing w:line="220" w:lineRule="exact"/>
      </w:pPr>
    </w:p>
    <w:p w14:paraId="70A50763" w14:textId="77777777" w:rsidR="00C1548D" w:rsidRDefault="009B1B4B">
      <w:pPr>
        <w:pStyle w:val="Heading3"/>
        <w:keepNext/>
        <w:jc w:val="center"/>
      </w:pPr>
      <w:r>
        <w:rPr>
          <w:rFonts w:ascii="Amazon Ember" w:eastAsia="Amazon Ember" w:hAnsi="Amazon Ember" w:cs="Amazon Ember"/>
          <w:color w:val="0000FF"/>
          <w:sz w:val="36"/>
          <w:szCs w:val="36"/>
        </w:rPr>
        <w:t>Das Rechtssystem und die Polizei in Kürze</w:t>
      </w:r>
    </w:p>
    <w:p w14:paraId="70A50764" w14:textId="77777777" w:rsidR="00C1548D" w:rsidRDefault="009B1B4B">
      <w:pPr>
        <w:spacing w:after="140"/>
      </w:pPr>
      <w:r>
        <w:t xml:space="preserve">Neuseeland folgt wie Großbritannien dem </w:t>
      </w:r>
      <w:r>
        <w:rPr>
          <w:i/>
          <w:iCs/>
        </w:rPr>
        <w:t>Common Law</w:t>
      </w:r>
      <w:r>
        <w:t xml:space="preserve"> (Fallrecht, das stark auf Präzedenzfällen und Richterrecht aufbaut). Anders als in den Länderkapiteln zu den USA, Kanada und Australien in diesem Buch musst du dir hier keine 50 oder mehr Rechtsordnungen merken: Neuseeland hat kein föderales System, sondern ein einziges, landesweit einheitliches Straf-, Polizei- und Verkehrsrecht. Zivil- und Strafsachen durchlaufen das </w:t>
      </w:r>
      <w:r>
        <w:rPr>
          <w:i/>
          <w:iCs/>
        </w:rPr>
        <w:t>District Court</w:t>
      </w:r>
      <w:r>
        <w:t xml:space="preserve"> (Amts- und Landgericht in einem), bei schwereren Fällen das </w:t>
      </w:r>
      <w:r>
        <w:rPr>
          <w:i/>
          <w:iCs/>
        </w:rPr>
        <w:t>High Court</w:t>
      </w:r>
      <w:r>
        <w:t xml:space="preserve">, in der Berufung das </w:t>
      </w:r>
      <w:r>
        <w:rPr>
          <w:i/>
          <w:iCs/>
        </w:rPr>
        <w:t>Court of Appeal</w:t>
      </w:r>
      <w:r>
        <w:t xml:space="preserve"> und zuletzt das </w:t>
      </w:r>
      <w:r>
        <w:rPr>
          <w:i/>
          <w:iCs/>
        </w:rPr>
        <w:t>Supreme Court</w:t>
      </w:r>
      <w:r>
        <w:t xml:space="preserve"> (den obersten Gerichtshof) – der erst seit dem 1. Januar 2004 die letzte Instanz </w:t>
      </w:r>
      <w:r>
        <w:lastRenderedPageBreak/>
        <w:t xml:space="preserve">bildet. Davor musste ein letztes Rechtsmittel formell beim </w:t>
      </w:r>
      <w:r>
        <w:rPr>
          <w:i/>
          <w:iCs/>
        </w:rPr>
        <w:t>Privy Council</w:t>
      </w:r>
      <w:r>
        <w:t xml:space="preserve"> in London eingelegt werden; ein hübsches Detail, das zeigt, wie jung Neuseelands vollständige rechtliche Eigenständigkeit tatsächlich ist.</w:t>
      </w:r>
    </w:p>
    <w:p w14:paraId="70A50765" w14:textId="77777777" w:rsidR="00C1548D" w:rsidRDefault="009B1B4B">
      <w:pPr>
        <w:spacing w:after="140"/>
      </w:pPr>
      <w:r>
        <w:t xml:space="preserve">Ebenso einheitlich ist die Polizei organisiert: </w:t>
      </w:r>
      <w:r>
        <w:rPr>
          <w:i/>
          <w:iCs/>
        </w:rPr>
        <w:t>New Zealand Police</w:t>
      </w:r>
      <w:r>
        <w:t xml:space="preserve"> ist die einzige Polizeibehörde des Landes, es gibt keine parallelen Bundesstaaten- oder Provinzpolizeien wie in Australien oder Kanada. Für dich als Neuankömmling bedeutet das: Die Regeln, die du in Auckland lernst, gelten unverändert in Christchurch oder Wellington.</w:t>
      </w:r>
    </w:p>
    <w:p w14:paraId="70A50766" w14:textId="77777777" w:rsidR="00C1548D" w:rsidRDefault="009B1B4B">
      <w:pPr>
        <w:pStyle w:val="Heading3"/>
        <w:keepNext/>
        <w:jc w:val="center"/>
      </w:pPr>
      <w:r>
        <w:rPr>
          <w:rFonts w:ascii="Amazon Ember" w:eastAsia="Amazon Ember" w:hAnsi="Amazon Ember" w:cs="Amazon Ember"/>
          <w:color w:val="0000FF"/>
          <w:sz w:val="36"/>
          <w:szCs w:val="36"/>
        </w:rPr>
        <w:t>Polizeikontakt: unbewaffnet, aber nicht beliebig</w:t>
      </w:r>
    </w:p>
    <w:p w14:paraId="70A50767" w14:textId="77777777" w:rsidR="00C1548D" w:rsidRDefault="009B1B4B">
      <w:pPr>
        <w:spacing w:after="140"/>
      </w:pPr>
      <w:r>
        <w:t xml:space="preserve">New Zealand Police gehört zu den wenigen Polizeikräften der OECD, die im Regelbetrieb unbewaffnet patrouillieren. Streifenwagen führen Schusswaffen in einem verschlossenen Fach mit, Beamte tragen sie jedoch nicht routinemäßig am Körper. Für Einsätze mit erhöhtem Risiko existiert das spezialisierte </w:t>
      </w:r>
      <w:r>
        <w:rPr>
          <w:i/>
          <w:iCs/>
        </w:rPr>
        <w:t>Armed Offenders Squad</w:t>
      </w:r>
      <w:r>
        <w:t xml:space="preserve"> (AOS, eine bewaffnete Sondereinheit). Wie ernst dem Land diese Grundhaltung ist, zeigte sich zwischen Oktober 2019 und April 2020: Nach den Anschlägen von Christchurch testete die Polizei versuchsweise durchgehend bewaffnete </w:t>
      </w:r>
      <w:r>
        <w:rPr>
          <w:i/>
          <w:iCs/>
        </w:rPr>
        <w:t>Armed Response Teams</w:t>
      </w:r>
      <w:r>
        <w:t xml:space="preserve"> (ART) in einigen Regionen – und beendete den Versuch nach öffentlichem Widerstand wieder, mit der ausdrücklichen Begründung, die Polizei solle „im Wesentlichen ein unbewaffneter Dienst“ bleiben. Für dich heißt das: Eine neuseeländische Polizeikontrolle wirkt oft überraschend entspannt – was nicht bedeutet, dass du dich unhöflich oder unkooperativ verhalten solltest.</w:t>
      </w:r>
    </w:p>
    <w:p w14:paraId="70A50768" w14:textId="77777777" w:rsidR="00C1548D" w:rsidRDefault="009B1B4B">
      <w:pPr>
        <w:spacing w:after="140"/>
      </w:pPr>
      <w:r>
        <w:t>Verdachtsunabhängige Alkoholkontrollen (</w:t>
      </w:r>
      <w:r>
        <w:rPr>
          <w:i/>
          <w:iCs/>
        </w:rPr>
        <w:t>Compulsory Breath Testing</w:t>
      </w:r>
      <w:r>
        <w:t xml:space="preserve">, CBT) sind seit Jahrzehnten Alltag: Ein Beamter darf jeden Fahrer jederzeit anhalten und pusten lassen, ganz ohne </w:t>
      </w:r>
      <w:r>
        <w:lastRenderedPageBreak/>
        <w:t>Anfangsverdacht – ähnlich wie in Australien, nur ohne den dortigen Spitznamen „Booze Bus“. Der Grenzwert liegt für Fahrer ab 20 Jahren bei 250 Mikrogramm Alkohol pro Liter Atemluft beziehungsweise 50 Milligramm pro 100 Milliliter Blut; unter 20 Jahren gilt eine Nullgrenze. Seit dem landesweiten Rollout zum 1. Juli 2026 (zuvor als Pilotprojekt in Wellington getestet) kommt ein zweites, ebenfalls</w:t>
      </w:r>
      <w:r>
        <w:t xml:space="preserve">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aus, Führerschein bereithalten, freundlich bleiben. Der Test selbst dauert meist nur wenige Minuten.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6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769" w14:textId="77777777" w:rsidR="00C1548D" w:rsidRDefault="009B1B4B">
            <w:pPr>
              <w:keepNext/>
              <w:spacing w:after="70" w:line="240" w:lineRule="auto"/>
            </w:pPr>
            <w:r>
              <w:rPr>
                <w:b/>
                <w:bCs/>
                <w:color w:val="9B2C2C"/>
                <w:spacing w:val="24"/>
                <w:sz w:val="16"/>
                <w:szCs w:val="16"/>
              </w:rPr>
              <w:t>ACHTUNG</w:t>
            </w:r>
          </w:p>
          <w:p w14:paraId="70A5076A" w14:textId="77777777" w:rsidR="00C1548D" w:rsidRDefault="009B1B4B">
            <w:pPr>
              <w:spacing w:after="80" w:line="264" w:lineRule="auto"/>
            </w:pPr>
            <w:r>
              <w:rPr>
                <w:sz w:val="20"/>
                <w:szCs w:val="20"/>
              </w:rPr>
              <w:t>Auch mit ärztlichem Rezept für medizinisches Cannabis schützt dich das nicht automatisch beim Fahren. Der Speicheltest weist die Substanz nach, nicht die tatsächliche Beeinträchtigung – ein positives Ergebnis kann unabhängig vom Rezept rechtliche Folgen haben.</w:t>
            </w:r>
          </w:p>
        </w:tc>
      </w:tr>
    </w:tbl>
    <w:p w14:paraId="70A5076C" w14:textId="77777777" w:rsidR="00C1548D" w:rsidRDefault="00C1548D">
      <w:pPr>
        <w:spacing w:line="220" w:lineRule="exact"/>
      </w:pPr>
    </w:p>
    <w:p w14:paraId="70A5076D" w14:textId="77777777" w:rsidR="00C1548D" w:rsidRDefault="009B1B4B">
      <w:pPr>
        <w:pStyle w:val="Heading3"/>
        <w:keepNext/>
        <w:jc w:val="center"/>
      </w:pPr>
      <w:r>
        <w:rPr>
          <w:rFonts w:ascii="Amazon Ember" w:eastAsia="Amazon Ember" w:hAnsi="Amazon Ember" w:cs="Amazon Ember"/>
          <w:color w:val="0000FF"/>
          <w:sz w:val="36"/>
          <w:szCs w:val="36"/>
        </w:rPr>
        <w:t>Deine Rechte gegenüber der Polizei</w:t>
      </w:r>
    </w:p>
    <w:p w14:paraId="70A5076E" w14:textId="77777777" w:rsidR="00C1548D" w:rsidRDefault="009B1B4B">
      <w:pPr>
        <w:spacing w:after="140"/>
      </w:pPr>
      <w:r>
        <w:t xml:space="preserve">Der </w:t>
      </w:r>
      <w:r>
        <w:rPr>
          <w:i/>
          <w:iCs/>
        </w:rPr>
        <w:t>New Zealand Bill of Rights Act 1990</w:t>
      </w:r>
      <w:r>
        <w:t xml:space="preserve"> (die neuseeländische Grundrechtecharta) gilt für jeden im Land, unabhängig von der Staatsangehörigkeit. Er garantiert unter anderem das Recht, bei einer Festnahme oder Ingewahrsamnahme umgehend über den Grund informiert zu werden, das Recht auf einen Anwalt ohne Verzögerung sowie das Recht, darüber informiert zu werden. Ein allgemeines Schweigerecht gilt ebenfalls: Über deinen Namen sowie die bei einer Verkehrskontrolle gesetzlich verlangten Angaben (Führerschein, Fahrzeugpapiere) hinaus musst du nichts sa</w:t>
      </w:r>
      <w:r>
        <w:t xml:space="preserve">gen. Eine Durchsuchung deiner Wohnung oder deines Fahrzeugs ohne konkreten Verdacht oder richterlichen Beschluss darfst du höflich ablehnen – „I do not consent to a search“ –, ohne dich körperlich zu </w:t>
      </w:r>
      <w:r>
        <w:lastRenderedPageBreak/>
        <w:t>widersetzen; ob die Ablehnung Bestand hat, klärt im Zweifel ein Gericht. Das Filmen einer Polizeikontrolle in der Öffentlichkeit ist grundsätzlich erlaubt, solange du die Diensthandlung nicht behinderst.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71"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76F" w14:textId="77777777" w:rsidR="00C1548D" w:rsidRDefault="009B1B4B">
            <w:pPr>
              <w:keepNext/>
              <w:spacing w:after="70" w:line="240" w:lineRule="auto"/>
            </w:pPr>
            <w:r>
              <w:rPr>
                <w:b/>
                <w:bCs/>
                <w:color w:val="8A6212"/>
                <w:spacing w:val="24"/>
                <w:sz w:val="16"/>
                <w:szCs w:val="16"/>
              </w:rPr>
              <w:t>MERKE</w:t>
            </w:r>
          </w:p>
          <w:p w14:paraId="70A50770" w14:textId="77777777" w:rsidR="00C1548D" w:rsidRDefault="009B1B4B">
            <w:pPr>
              <w:spacing w:after="80" w:line="264" w:lineRule="auto"/>
            </w:pPr>
            <w:r>
              <w:rPr>
                <w:sz w:val="20"/>
                <w:szCs w:val="20"/>
              </w:rPr>
              <w:t>Schweigen ist erlaubt, Höflichkeit hilft, Widerstand schadet. Nenne Name und die gesetzlich verlangten Angaben, verlange bei allem Weiteren ruhig einen Anwalt.</w:t>
            </w:r>
          </w:p>
        </w:tc>
      </w:tr>
    </w:tbl>
    <w:p w14:paraId="70A50772" w14:textId="77777777" w:rsidR="00C1548D" w:rsidRDefault="00C1548D">
      <w:pPr>
        <w:spacing w:line="220" w:lineRule="exact"/>
      </w:pPr>
    </w:p>
    <w:p w14:paraId="70A50773" w14:textId="77777777" w:rsidR="00C1548D" w:rsidRDefault="009B1B4B">
      <w:pPr>
        <w:spacing w:after="140"/>
      </w:pPr>
      <w:r>
        <w:t>Bei einer Festnahme hast du zusätzlich als deutscher Staatsangehöriger das Recht, mit einem Konsularbeamten zu sprechen –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w14:paraId="70A50774" w14:textId="77777777" w:rsidR="00C1548D" w:rsidRDefault="009B1B4B">
      <w:pPr>
        <w:pStyle w:val="Heading3"/>
        <w:keepNext/>
        <w:jc w:val="center"/>
      </w:pPr>
      <w:r>
        <w:rPr>
          <w:rFonts w:ascii="Amazon Ember" w:eastAsia="Amazon Ember" w:hAnsi="Amazon Ember" w:cs="Amazon Ember"/>
          <w:color w:val="0000FF"/>
          <w:sz w:val="36"/>
          <w:szCs w:val="36"/>
        </w:rPr>
        <w:t>Waffenrecht: nach Christchurch verschärft, 2026 neu geordnet</w:t>
      </w:r>
    </w:p>
    <w:p w14:paraId="70A50775" w14:textId="77777777" w:rsidR="00C1548D" w:rsidRDefault="009B1B4B">
      <w:pPr>
        <w:spacing w:after="140"/>
      </w:pPr>
      <w:r>
        <w:t xml:space="preserve">Am 15. März 2019 tötete ein bewaffneter Angreifer bei einem Anschlag auf zwei Moscheen in Christchurch 51 Menschen. Neuseeland reagierte in ungewöhnlichem Tempo: Innerhalb weniger Wochen verabschiedete das Parlament den </w:t>
      </w:r>
      <w:r>
        <w:rPr>
          <w:i/>
          <w:iCs/>
        </w:rPr>
        <w:t>Arms (Prohibited Firearms, Magazines, and Parts) Amendment Act 2019</w:t>
      </w:r>
      <w:r>
        <w:t>, der die meisten halbautomatischen „Military Style“-Waffen sowie bestimmte Pump-Action-Schrotflinten als verboten einstufte. In einem anschließenden Rückkaufprogramm gaben rund 33.000 Personen etwa 56.000 Waffen gegen Entschädigung ab.</w:t>
      </w:r>
    </w:p>
    <w:p w14:paraId="70A50776" w14:textId="77777777" w:rsidR="00C1548D" w:rsidRDefault="009B1B4B">
      <w:pPr>
        <w:spacing w:after="140"/>
      </w:pPr>
      <w:r>
        <w:t xml:space="preserve">Das neuseeländische Lizenzsystem unterscheidet eine Standardlizenz der Kategorie A (für die meisten Jagd- und Sportgewehre) sowie vier Zusatz-Endorsements: B (Pistolenbesitz, nur für Mitglieder eines Schützenvereins und nur auf zugelassenen </w:t>
      </w:r>
      <w:r>
        <w:lastRenderedPageBreak/>
        <w:t>Schießständen), C (Pistolen und weitere „restricted weapons“), D (für Waffenhändler und Büchsenmacher) und E (die wenigen verbliebenen erlaubten „Military Style Semi-Automatics“, etwa für berufliche Schädlingsbekämpfung, Sammler oder bestimmte Sportschützen-Disziplinen). Wie in Australien zählt Selbstschutz ausdrücklich nicht zu den anerkannten Gründen für eine Waffenlizenz.</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7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777" w14:textId="77777777" w:rsidR="00C1548D" w:rsidRDefault="009B1B4B">
            <w:pPr>
              <w:keepNext/>
              <w:spacing w:after="70" w:line="240" w:lineRule="auto"/>
            </w:pPr>
            <w:r>
              <w:rPr>
                <w:b/>
                <w:bCs/>
                <w:color w:val="9B2C2C"/>
                <w:spacing w:val="24"/>
                <w:sz w:val="16"/>
                <w:szCs w:val="16"/>
              </w:rPr>
              <w:t>ACHTUNG</w:t>
            </w:r>
          </w:p>
          <w:p w14:paraId="70A50778" w14:textId="77777777" w:rsidR="00C1548D" w:rsidRDefault="009B1B4B">
            <w:pPr>
              <w:spacing w:after="80" w:line="264" w:lineRule="auto"/>
            </w:pPr>
            <w:r>
              <w:rPr>
                <w:sz w:val="20"/>
                <w:szCs w:val="20"/>
              </w:rPr>
              <w:t xml:space="preserve">Die Zuständigkeit für Waffenrecht ist 2026 in Bewegung. Der neue </w:t>
            </w:r>
            <w:r>
              <w:rPr>
                <w:i/>
                <w:iCs/>
                <w:sz w:val="20"/>
                <w:szCs w:val="20"/>
              </w:rPr>
              <w:t>Arms Act 2026</w:t>
            </w:r>
            <w:r>
              <w:rPr>
                <w:sz w:val="20"/>
                <w:szCs w:val="20"/>
              </w:rPr>
              <w:t xml:space="preserve"> erhielt am 5. August 2026 die königliche Zustimmung; die meisten Bestimmungen traten zum 23. September 2026 in Kraft. Er löst die bisherige, noch bei der Polizei angesiedelte Firearms Safety Authority durch eine eigenständige, von der Polizei getrennte Behörde ab (Te Tari Pūreke, Firearms Safety and Education New Zealand) und schließt unter anderem Bandenmitglieder ausdrücklich von einer Lizenz aus. Weitere Übergangsfristen für Waffenhändler und -munition laufen bis Februar 2028. Prüfe den aktuellen Stand </w:t>
            </w:r>
            <w:r>
              <w:rPr>
                <w:sz w:val="20"/>
                <w:szCs w:val="20"/>
              </w:rPr>
              <w:t>direkt bei der neuen Behörde, bevor du dich auf ältere Informationen verlässt.</w:t>
            </w:r>
          </w:p>
        </w:tc>
      </w:tr>
    </w:tbl>
    <w:p w14:paraId="70A5077A" w14:textId="77777777" w:rsidR="00C1548D" w:rsidRDefault="00C1548D">
      <w:pPr>
        <w:spacing w:line="220" w:lineRule="exact"/>
      </w:pPr>
    </w:p>
    <w:p w14:paraId="70A5077B" w14:textId="77777777" w:rsidR="00C1548D" w:rsidRDefault="009B1B4B">
      <w:pPr>
        <w:spacing w:after="140"/>
      </w:pPr>
      <w:r>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w14:paraId="70A5077C" w14:textId="77777777" w:rsidR="00C1548D" w:rsidRDefault="009B1B4B">
      <w:pPr>
        <w:pStyle w:val="Heading3"/>
        <w:keepNext/>
        <w:jc w:val="center"/>
      </w:pPr>
      <w:r>
        <w:rPr>
          <w:rFonts w:ascii="Amazon Ember" w:eastAsia="Amazon Ember" w:hAnsi="Amazon Ember" w:cs="Amazon Ember"/>
          <w:color w:val="0000FF"/>
          <w:sz w:val="36"/>
          <w:szCs w:val="36"/>
        </w:rPr>
        <w:t>Cannabis-Recht: nach dem Referendum weiterhin illegal</w:t>
      </w:r>
    </w:p>
    <w:p w14:paraId="70A5077D" w14:textId="77777777" w:rsidR="00C1548D" w:rsidRDefault="009B1B4B">
      <w:pPr>
        <w:spacing w:after="140"/>
      </w:pPr>
      <w:r>
        <w:t xml:space="preserve">Am 17. Oktober 2020 stimmten die Neuseeländer in einem Referendum über die Legalisierung von Freizeit-Cannabis ab – und lehnten sie denkbar knapp ab, mit 51,17 % Nein-Stimmen gegenüber 48,83 % Ja-Stimmen. Cannabis bleibt seither im ganzen Land ein Klasse-C-Betäubungsmittel nach dem </w:t>
      </w:r>
      <w:r>
        <w:rPr>
          <w:i/>
          <w:iCs/>
        </w:rPr>
        <w:t>Misuse of Drugs Act 1975</w:t>
      </w:r>
      <w:r>
        <w:t xml:space="preserve"> (dem zentralen Betäubungsmittelgesetz); der Besitz zum Eigenkonsum </w:t>
      </w:r>
      <w:r>
        <w:lastRenderedPageBreak/>
        <w:t>kann theoretisch mit bis zu drei Monaten Haft oder einer Geldstrafe von bis zu 500 NZD geahndet werden.</w:t>
      </w:r>
    </w:p>
    <w:p w14:paraId="70A5077E" w14:textId="77777777" w:rsidR="00C1548D" w:rsidRDefault="009B1B4B">
      <w:pPr>
        <w:spacing w:after="140"/>
      </w:pPr>
      <w:r>
        <w:t xml:space="preserve">Verbreiteter Irrtum: Wer aus dem Australien-Teil dieses Buches oder aus internationalen Nachrichten über das knappe Ergebnis weiß, nimmt manchmal an, Neuseeland habe eine ähnliche Grauzone wie das australische Hauptstadtterritorium ACT. Tatsächlich ist Cannabis, anders als in Australiens föderalem Flickenteppich, in Neuseeland einheitlich und ausnahmslos illegal – es gibt keine Region mit eigener Sonderregel. Das ist auch strenger als der deutsche Rechtsstand: Seit dem deutschen Cannabisgesetz vom 1. April </w:t>
      </w:r>
      <w:r>
        <w:t xml:space="preserve">2024 sind Besitz begrenzter Mengen und der Eigenanbau von bis zu drei Pflanzen erlaubt – ein Maßstab, den du in Neuseeland komplett vergisst. Der </w:t>
      </w:r>
      <w:r>
        <w:rPr>
          <w:i/>
          <w:iCs/>
        </w:rPr>
        <w:t>Misuse of Drugs Amendment Act 2019</w:t>
      </w:r>
      <w:r>
        <w:t xml:space="preserve"> verpflichtet die Polizei zwar, bei geringen Mengen zum Eigenbedarf einen gesundheitsbasierten statt einen strafrechtlichen Ansatz zu erwägen – das ist Ermessen im Einzelfall, keine Entkriminalisierung. Seit 2020 gibt es zusätzlich ein staatlich reguliertes Medizinalcannabis-Programm für ärztlich verschriebene Präparate, das mit dem allgemeinen Verbot nichts zu tun hat.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81"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77F" w14:textId="77777777" w:rsidR="00C1548D" w:rsidRDefault="009B1B4B">
            <w:pPr>
              <w:keepNext/>
              <w:spacing w:after="70" w:line="240" w:lineRule="auto"/>
            </w:pPr>
            <w:r>
              <w:rPr>
                <w:b/>
                <w:bCs/>
                <w:color w:val="9B2C2C"/>
                <w:spacing w:val="24"/>
                <w:sz w:val="16"/>
                <w:szCs w:val="16"/>
              </w:rPr>
              <w:t>ACHTUNG</w:t>
            </w:r>
          </w:p>
          <w:p w14:paraId="70A50780" w14:textId="77777777" w:rsidR="00C1548D" w:rsidRDefault="009B1B4B">
            <w:pPr>
              <w:spacing w:after="80" w:line="264" w:lineRule="auto"/>
            </w:pPr>
            <w:r>
              <w:rPr>
                <w:sz w:val="20"/>
                <w:szCs w:val="20"/>
              </w:rPr>
              <w:t>Seit dem landesweiten Rollout der Drogen-Speicheltests zum 1. Juli 2026 wird THC-Konsum im Straßenverkehr aktiv und verdachtsunabhängig kontrolliert. Ein positiver Test zieht dieselben Folgen nach sich wie bei anderen erfassten Substanzen – unabhängig davon, ob eine tatsächliche Fahrbeeinträchtigung vorliegt.</w:t>
            </w:r>
          </w:p>
        </w:tc>
      </w:tr>
    </w:tbl>
    <w:p w14:paraId="70A50782" w14:textId="77777777" w:rsidR="00C1548D" w:rsidRDefault="00C1548D">
      <w:pPr>
        <w:spacing w:line="220" w:lineRule="exact"/>
      </w:pPr>
    </w:p>
    <w:p w14:paraId="70A50783" w14:textId="77777777" w:rsidR="00C1548D" w:rsidRDefault="009B1B4B">
      <w:pPr>
        <w:pStyle w:val="Heading3"/>
        <w:keepNext/>
        <w:jc w:val="center"/>
      </w:pPr>
      <w:r>
        <w:rPr>
          <w:rFonts w:ascii="Amazon Ember" w:eastAsia="Amazon Ember" w:hAnsi="Amazon Ember" w:cs="Amazon Ember"/>
          <w:color w:val="0000FF"/>
          <w:sz w:val="36"/>
          <w:szCs w:val="36"/>
        </w:rPr>
        <w:t>Erdbeben: Toka Tū Ake/EQC und die Alpine Fault</w:t>
      </w:r>
    </w:p>
    <w:p w14:paraId="70A50784" w14:textId="74A00CAD" w:rsidR="00C1548D" w:rsidRDefault="009B1B4B">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w:t>
      </w:r>
      <w:r>
        <w:lastRenderedPageBreak/>
        <w:t xml:space="preserve">ist bis heute das Referenzereignis, an dem sich Vorsorge in Neuseeland orientiert (mehr zu Bauqualität und Versicherung im </w:t>
      </w:r>
      <w:hyperlink w:anchor="tnz09" w:history="1">
        <w:r>
          <w:rPr>
            <w:color w:val="0563C1"/>
            <w:u w:val="single"/>
          </w:rPr>
          <w:t>Kapitel zum Wohnen in diesem Teil</w:t>
        </w:r>
      </w:hyperlink>
      <w:r>
        <w:t xml:space="preserve">). Auf der Südinsel kommt ein weiteres, gut erforschtes Risiko hinzu: die </w:t>
      </w:r>
      <w:r>
        <w:rPr>
          <w:i/>
          <w:iCs/>
        </w:rPr>
        <w:t>Alpine Fault</w:t>
      </w:r>
      <w:r>
        <w:t xml:space="preserve"> (die Alpen-Verwerfung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w14:paraId="70A50785" w14:textId="6C371CDE" w:rsidR="00C1548D" w:rsidRDefault="009B1B4B">
      <w:pPr>
        <w:spacing w:after="140"/>
      </w:pPr>
      <w:r>
        <w:t xml:space="preserve">Die staatliche Naturgefahrenversicherung </w:t>
      </w:r>
      <w:r>
        <w:rPr>
          <w:i/>
          <w:iCs/>
        </w:rPr>
        <w:t>Toka Tū Ake</w:t>
      </w:r>
      <w:r>
        <w:t xml:space="preserve"> (Natural Hazards Commission, vormals Earthquake Commission, EQC) deckt bei einem anerkannten Schaden die ersten 300.000 NZD am Wohngebäude, vorausgesetzt, es besteht eine private Wohngebäudeversicherung mit Feuerschutz; die Umlage dafür ist auf 480 NZD zuzüglich Mehrwertsteuer pro Jahr gedeckelt und wird über die private Police eingezogen. Diese Basisdeckung ersetzt keine ausreichende private Versicherung, sondern ergänzt sie (mehr Details im </w:t>
      </w:r>
      <w:hyperlink w:anchor="tnz09" w:history="1">
        <w:r>
          <w:rPr>
            <w:color w:val="0563C1"/>
            <w:u w:val="single"/>
          </w:rPr>
          <w:t>Kapitel zum Wohnen in diesem Teil</w:t>
        </w:r>
      </w:hyperlink>
      <w:r>
        <w: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88"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786" w14:textId="77777777" w:rsidR="00C1548D" w:rsidRDefault="009B1B4B">
            <w:pPr>
              <w:keepNext/>
              <w:spacing w:after="70" w:line="240" w:lineRule="auto"/>
            </w:pPr>
            <w:r>
              <w:rPr>
                <w:b/>
                <w:bCs/>
                <w:color w:val="4A5568"/>
                <w:spacing w:val="24"/>
                <w:sz w:val="16"/>
                <w:szCs w:val="16"/>
              </w:rPr>
              <w:lastRenderedPageBreak/>
              <w:t>PRAXISBEISPIEL · FIKTIV</w:t>
            </w:r>
          </w:p>
          <w:p w14:paraId="70A50787" w14:textId="77777777" w:rsidR="00C1548D" w:rsidRDefault="009B1B4B">
            <w:pPr>
              <w:spacing w:after="80" w:line="264" w:lineRule="auto"/>
            </w:pPr>
            <w:r>
              <w:rPr>
                <w:sz w:val="20"/>
                <w:szCs w:val="20"/>
              </w:rPr>
              <w:t>Familie Krüger (fiktives Beispiel) zieht mit ihrem AEWV nach Christchurch, einer Stadt, die den Wiederaufbau nach 2011 noch sichtbar vor Augen hat – Baulücken, neue erdbebensichere Bürogebäude, Infotafeln an historischen Stellen. Sebastian Krüger ist zunächst unsicher, ob er das als beruhigend oder beunruhigend werten soll. Ein Nachbar erklärt ihm, worauf es ankomme: eine private Wohngebäudeversicherung mit korrekt eingeschlossenem Feuerschutz, damit die Toka-Tū-Ake-Basisdeckung überhaupt greift, ein Notfal</w:t>
            </w:r>
            <w:r>
              <w:rPr>
                <w:sz w:val="20"/>
                <w:szCs w:val="20"/>
              </w:rPr>
              <w:t>lrucksack im Flurschrank und ein fest vereinbarter Treffpunkt für die Familie, falls Lotta und Finn bei einem Beben gerade in der Schule sind und die Handynetze überlastet sein sollten. Petra Krüger übt mit den Kindern einmal im Quartal den „Drop, Cover, Hold“-Ablauf (Hinlegen, Schützen, Festhalten) – so nüchtern wie einen Feueralarm-Test, keineswegs dramatisch.</w:t>
            </w:r>
          </w:p>
        </w:tc>
      </w:tr>
    </w:tbl>
    <w:p w14:paraId="70A50789" w14:textId="77777777" w:rsidR="00C1548D" w:rsidRDefault="00C1548D">
      <w:pPr>
        <w:spacing w:line="220" w:lineRule="exact"/>
      </w:pPr>
    </w:p>
    <w:p w14:paraId="70A5078A" w14:textId="77777777" w:rsidR="00C1548D" w:rsidRDefault="009B1B4B">
      <w:pPr>
        <w:pStyle w:val="Heading3"/>
        <w:keepNext/>
        <w:jc w:val="center"/>
      </w:pPr>
      <w:r>
        <w:rPr>
          <w:rFonts w:ascii="Amazon Ember" w:eastAsia="Amazon Ember" w:hAnsi="Amazon Ember" w:cs="Amazon Ember"/>
          <w:color w:val="0000FF"/>
          <w:sz w:val="36"/>
          <w:szCs w:val="36"/>
        </w:rPr>
        <w:t>Vulkanrisiko: von Auckland bis Tongariro</w:t>
      </w:r>
    </w:p>
    <w:p w14:paraId="70A5078B" w14:textId="77777777" w:rsidR="00C1548D" w:rsidRDefault="009B1B4B">
      <w:pPr>
        <w:spacing w:after="140"/>
      </w:pPr>
      <w:r>
        <w:t xml:space="preserve">Was viele Neuankömmlinge überrascht: Auch die größte Stadt des Landes liegt auf einem Vulkanfeld. Das </w:t>
      </w:r>
      <w:r>
        <w:rPr>
          <w:i/>
          <w:iCs/>
        </w:rPr>
        <w:t>Auckland Volcanic Field</w:t>
      </w:r>
      <w:r>
        <w:t xml:space="preserve"> (Auckland-Vulkanfeld) umfasst rund 53 einzelne Vulkankegel unter und um die Stadt, darunter bekannte Wahrzeichen wie den Mount Eden oder Rangitoto Island – Letztere der jüngste und größte Kegel des Feldes, entstanden vor rund 600 Jahren. Das Feld gilt als ruhend, nicht als erloschen, und wird permanent überwacht.</w:t>
      </w:r>
    </w:p>
    <w:p w14:paraId="70A5078C" w14:textId="77777777" w:rsidR="00C1548D" w:rsidRDefault="009B1B4B">
      <w:pPr>
        <w:spacing w:after="140"/>
      </w:pPr>
      <w:r>
        <w:t xml:space="preserve">Zuständig dafür ist </w:t>
      </w:r>
      <w:r>
        <w:rPr>
          <w:i/>
          <w:iCs/>
        </w:rPr>
        <w:t>GeoNet</w:t>
      </w:r>
      <w:r>
        <w:t xml:space="preserve"> (das gemeinsame Erdbeben-, Vulkan- und Tsunami-Überwachungssystem von GNS Science, Toka Tū Ake und weiteren Behörden), das jeden aktiven oder potenziell aktiven Vulkan auf einer sechsstufigen </w:t>
      </w:r>
      <w:r>
        <w:rPr>
          <w:i/>
          <w:iCs/>
        </w:rPr>
        <w:t>Volcanic Alert Level</w:t>
      </w:r>
      <w:r>
        <w:t xml:space="preserve"> (VAL, Vulkan-Warnstufe) von 0 bis 5 einstuft: Stufe 0 bedeutet Ruhe ohne Unruhe, die Stufen 1 und 2 markieren zunehmende vulkanische Unruhe, die Stufen 3 bis 5 einen tatsächlichen Ausbruch von gering bis schwer.</w:t>
      </w:r>
    </w:p>
    <w:p w14:paraId="70A5078D" w14:textId="77777777" w:rsidR="00C1548D" w:rsidRDefault="009B1B4B">
      <w:pPr>
        <w:spacing w:after="140"/>
      </w:pPr>
      <w:r>
        <w:lastRenderedPageBreak/>
        <w:t xml:space="preserve">Das aktivste Beispiel liegt vor der Küste: </w:t>
      </w:r>
      <w:r>
        <w:rPr>
          <w:i/>
          <w:iCs/>
        </w:rPr>
        <w:t>Whakaari/White Island</w:t>
      </w:r>
      <w:r>
        <w:t>,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Tongariro-Vulkankomplex mit dem Mount Ruapehu – hier erei</w:t>
      </w:r>
      <w:r>
        <w:t xml:space="preserve">gnete sich am 24. Dezember 1953 eines der schwersten Unglücke der neuseeländischen Geschichte: Ein </w:t>
      </w:r>
      <w:r>
        <w:rPr>
          <w:i/>
          <w:iCs/>
        </w:rPr>
        <w:t>Lahar</w:t>
      </w:r>
      <w:r>
        <w:t xml:space="preserve"> (ein Schlammstrom aus vulkanischem Material und Wasser, ausgelöst durch den Kraterseeausbruch des Ruapehu) riss bei Tangiwai eine Eisenbahnbrücke fort, kurz bevor ein Personenzug sie passierte; 151 Menschen starben.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90"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78E" w14:textId="77777777" w:rsidR="00C1548D" w:rsidRDefault="009B1B4B">
            <w:pPr>
              <w:keepNext/>
              <w:spacing w:after="70" w:line="240" w:lineRule="auto"/>
            </w:pPr>
            <w:r>
              <w:rPr>
                <w:b/>
                <w:bCs/>
                <w:color w:val="4A5568"/>
                <w:spacing w:val="24"/>
                <w:sz w:val="16"/>
                <w:szCs w:val="16"/>
              </w:rPr>
              <w:t>PRAXISBEISPIEL · FIKTIV</w:t>
            </w:r>
          </w:p>
          <w:p w14:paraId="70A5078F" w14:textId="77777777" w:rsidR="00C1548D" w:rsidRDefault="009B1B4B">
            <w:pPr>
              <w:spacing w:after="80" w:line="264" w:lineRule="auto"/>
            </w:pPr>
            <w:r>
              <w:rPr>
                <w:sz w:val="20"/>
                <w:szCs w:val="20"/>
              </w:rPr>
              <w:t>Paul Lindner (fiktives Beispiel) wundert sich in seinem ersten Monat in Auckland über die vielen kleinen, grasbewachsenen Hügel mitten in der Stadt – bis ihm ein Kollege erklärt, dass er dort gerade seinen Feierabendlauf auf einem erloschen wirkenden, aber offiziell nur „ruhenden“ Vulkan absolviert hat. Paul ist kurz irritiert, dass niemand in seinem Büro das für erwähnenswert hält, dann liest er auf der GeoNet-Website nach: Das Auckland-Vulkanfeld wird seit Jahrzehnten engmaschig überwacht, ein Ausbruch oh</w:t>
            </w:r>
            <w:r>
              <w:rPr>
                <w:sz w:val="20"/>
                <w:szCs w:val="20"/>
              </w:rPr>
              <w:t>ne monatelange Vorwarnung gilt als unwahrscheinlich. Er installiert trotzdem, mehr aus Neugier als aus Sorge, die GeoNet-App auf dem Handy – und bemerkt bald, dass sie ohnehin meist wegen kleinerer Erdbeben piept, nicht wegen Vulkanen.</w:t>
            </w:r>
          </w:p>
        </w:tc>
      </w:tr>
    </w:tbl>
    <w:p w14:paraId="70A50791" w14:textId="77777777" w:rsidR="00C1548D" w:rsidRDefault="00C1548D">
      <w:pPr>
        <w:spacing w:line="220" w:lineRule="exact"/>
      </w:pPr>
    </w:p>
    <w:p w14:paraId="70A50792" w14:textId="77777777" w:rsidR="00C1548D" w:rsidRDefault="009B1B4B">
      <w:pPr>
        <w:pStyle w:val="Heading3"/>
        <w:keepNext/>
        <w:jc w:val="center"/>
      </w:pPr>
      <w:r>
        <w:rPr>
          <w:rFonts w:ascii="Amazon Ember" w:eastAsia="Amazon Ember" w:hAnsi="Amazon Ember" w:cs="Amazon Ember"/>
          <w:color w:val="0000FF"/>
          <w:sz w:val="36"/>
          <w:szCs w:val="36"/>
        </w:rPr>
        <w:t>Vorsorge, Tsunami und Notfallausrüstung</w:t>
      </w:r>
    </w:p>
    <w:p w14:paraId="70A50793" w14:textId="77777777" w:rsidR="00C1548D" w:rsidRDefault="009B1B4B">
      <w:pPr>
        <w:spacing w:after="140"/>
      </w:pPr>
      <w:r>
        <w:t xml:space="preserve">Die </w:t>
      </w:r>
      <w:r>
        <w:rPr>
          <w:i/>
          <w:iCs/>
        </w:rPr>
        <w:t>National Emergency Management Agency</w:t>
      </w:r>
      <w:r>
        <w:t xml:space="preserve"> (NEMA, die nationale Zivilschutzbehörde) betreibt unter getready.govt.nz die Kampagne „Get Ready“ mit konkreten Vorsorgeempfehlungen. Für </w:t>
      </w:r>
      <w:r>
        <w:lastRenderedPageBreak/>
        <w:t>Küstenregionen gilt eine einprägsame Faustregel für Tsunamis: „Long or Strong, Get Gone“ – ist ein Erdbeben lang (länger als eine Minute) oder stark (du kannst kaum noch stehen), sofort zu Fuß oder mit dem Rad ins Hochland oder so weit wie möglich landeinwärts, ohne auf eine offizielle Warnung zu warten. Bei einem Erdbeben in Küstennähe kann eine lokale Tsunamiwelle inne</w:t>
      </w:r>
      <w:r>
        <w:t>rhalb weniger Minuten eintreffen, für eine amtliche Warnung bleibt dann keine Zeit.</w:t>
      </w:r>
    </w:p>
    <w:p w14:paraId="70A50794" w14:textId="77777777" w:rsidR="00C1548D" w:rsidRDefault="009B1B4B">
      <w:pPr>
        <w:spacing w:after="140"/>
      </w:pPr>
      <w:r>
        <w:t xml:space="preserve">Ein Haushalts-Notfallset gehört in jeden neuseeländischen Haushalt: Wasser und haltbare Lebensmittel für mindestens drei Tage, Erste-Hilfe-Material, eine Taschenlampe mit Ersatzbatterien, ein batteriebetriebenes Radio, wichtige Dokumente in Kopie sowie etwas Bargeld, da Kartenzahlung bei einem Stromausfall ausfallen kann. Installiere zusätzlich die GeoNet-App für Erdbeben- und Vulkanwarnungen sowie das landesweite Notfall-Warnsystem </w:t>
      </w:r>
      <w:r>
        <w:rPr>
          <w:i/>
          <w:iCs/>
        </w:rPr>
        <w:t>Emergency Mobile Alert</w:t>
      </w:r>
      <w:r>
        <w:t>, das Warnungen direkt aufs Handy sendet.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97"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795" w14:textId="77777777" w:rsidR="00C1548D" w:rsidRDefault="009B1B4B">
            <w:pPr>
              <w:keepNext/>
              <w:spacing w:after="70" w:line="240" w:lineRule="auto"/>
            </w:pPr>
            <w:r>
              <w:rPr>
                <w:b/>
                <w:bCs/>
                <w:color w:val="2F6B3B"/>
                <w:spacing w:val="24"/>
                <w:sz w:val="16"/>
                <w:szCs w:val="16"/>
              </w:rPr>
              <w:t>SPARTIPP</w:t>
            </w:r>
          </w:p>
          <w:p w14:paraId="70A50796" w14:textId="77777777" w:rsidR="00C1548D" w:rsidRDefault="009B1B4B">
            <w:pPr>
              <w:spacing w:after="80" w:line="264" w:lineRule="auto"/>
            </w:pPr>
            <w:r>
              <w:rPr>
                <w:sz w:val="20"/>
                <w:szCs w:val="20"/>
              </w:rPr>
              <w:t>Die Get-Ready-Website und die GeoNet-App sind kostenlos und auf Englisch leicht verständlich. Ein Notfallset lässt sich über Monate günstig selbst zusammenstellen, statt teure Fertig-Sets zu kaufen – die offizielle Checkliste von getready.govt.nz zeigt genau, was hineingehört.</w:t>
            </w:r>
          </w:p>
        </w:tc>
      </w:tr>
    </w:tbl>
    <w:p w14:paraId="70A50798" w14:textId="77777777" w:rsidR="00C1548D" w:rsidRDefault="00C1548D">
      <w:pPr>
        <w:spacing w:line="220" w:lineRule="exact"/>
      </w:pPr>
    </w:p>
    <w:p w14:paraId="70A50799" w14:textId="77777777" w:rsidR="00C1548D" w:rsidRDefault="009B1B4B">
      <w:pPr>
        <w:pStyle w:val="Heading3"/>
        <w:keepNext/>
        <w:jc w:val="center"/>
      </w:pPr>
      <w:r>
        <w:rPr>
          <w:rFonts w:ascii="Amazon Ember" w:eastAsia="Amazon Ember" w:hAnsi="Amazon Ember" w:cs="Amazon Ember"/>
          <w:color w:val="0000FF"/>
          <w:sz w:val="36"/>
          <w:szCs w:val="36"/>
        </w:rPr>
        <w:t>Kriminalität im Alltag</w:t>
      </w:r>
    </w:p>
    <w:p w14:paraId="70A5079A" w14:textId="5FE63C54" w:rsidR="00C1548D" w:rsidRDefault="009B1B4B">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history="1">
        <w:r>
          <w:rPr>
            <w:color w:val="0563C1"/>
            <w:u w:val="single"/>
          </w:rPr>
          <w:t>Kapitel zum Wohnen in diesem Teil</w:t>
        </w:r>
      </w:hyperlink>
      <w:r>
        <w:t xml:space="preserve">). Häufiger als Gewaltkriminalität sind Eigentumsdelikte wie Fahrzeugaufbrüche; lass Wertsachen </w:t>
      </w:r>
      <w:r>
        <w:lastRenderedPageBreak/>
        <w:t>nicht sichtbar im Auto liegen. Bei einem akuten Notfall wählst du 111, für weniger dringende Anliegen die Nicht-Notfall-Nummer 105.</w:t>
      </w:r>
    </w:p>
    <w:p w14:paraId="70A5079B" w14:textId="77777777" w:rsidR="00C1548D" w:rsidRDefault="009B1B4B">
      <w:pPr>
        <w:pStyle w:val="Heading3"/>
        <w:keepNext/>
        <w:jc w:val="center"/>
      </w:pPr>
      <w:r>
        <w:rPr>
          <w:rFonts w:ascii="Amazon Ember" w:eastAsia="Amazon Ember" w:hAnsi="Amazon Ember" w:cs="Amazon Ember"/>
          <w:color w:val="0000FF"/>
          <w:sz w:val="36"/>
          <w:szCs w:val="36"/>
        </w:rPr>
        <w:t>Konsularische Hilfe</w:t>
      </w:r>
    </w:p>
    <w:p w14:paraId="70A5079C" w14:textId="77777777" w:rsidR="00C1548D" w:rsidRDefault="009B1B4B">
      <w:pPr>
        <w:spacing w:after="140"/>
      </w:pPr>
      <w:r>
        <w:t xml:space="preserve">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w:t>
      </w:r>
      <w:r>
        <w:rPr>
          <w:i/>
          <w:iCs/>
        </w:rPr>
        <w:t>Elefand</w:t>
      </w:r>
      <w:r>
        <w:t xml:space="preserve"> des Auswärtigen Amts ein, damit dich die Botschaft im Krisenfall erreichen kann.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9F"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79D" w14:textId="77777777" w:rsidR="00C1548D" w:rsidRDefault="009B1B4B">
            <w:pPr>
              <w:keepNext/>
              <w:spacing w:after="70" w:line="240" w:lineRule="auto"/>
            </w:pPr>
            <w:r>
              <w:rPr>
                <w:b/>
                <w:bCs/>
                <w:color w:val="6B7280"/>
                <w:spacing w:val="24"/>
                <w:sz w:val="16"/>
                <w:szCs w:val="16"/>
              </w:rPr>
              <w:t>KEIN RECHTSRAT</w:t>
            </w:r>
          </w:p>
          <w:p w14:paraId="70A5079E" w14:textId="77777777" w:rsidR="00C1548D" w:rsidRDefault="009B1B4B">
            <w:pPr>
              <w:spacing w:after="80" w:line="264" w:lineRule="auto"/>
            </w:pPr>
            <w:r>
              <w:rPr>
                <w:sz w:val="20"/>
                <w:szCs w:val="20"/>
              </w:rPr>
              <w:t>Dieses Kapitel gibt eine Orientierung zu Recht und Sicherheit in Neuseeland, keine Rechtsberatung. Polizei-, Waffen- und Cannabis-Recht befinden sich 2026 mit dem neuen Arms Act und dem landesweiten Drogentest-Rollout in spürbarer Bewegung. Lass dich im Einzelfall von einer neuseeländischen Anwältin beraten.</w:t>
            </w:r>
          </w:p>
        </w:tc>
      </w:tr>
    </w:tbl>
    <w:p w14:paraId="70A507A0" w14:textId="77777777" w:rsidR="00C1548D" w:rsidRDefault="00C1548D">
      <w:pPr>
        <w:spacing w:line="220" w:lineRule="exact"/>
      </w:pPr>
    </w:p>
    <w:p w14:paraId="70A507A1"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7A4"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7A2"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7A3" w14:textId="77777777" w:rsidR="00C1548D" w:rsidRDefault="009B1B4B">
            <w:pPr>
              <w:spacing w:line="250" w:lineRule="auto"/>
            </w:pPr>
            <w:r>
              <w:rPr>
                <w:b/>
                <w:bCs/>
                <w:sz w:val="18"/>
                <w:szCs w:val="18"/>
              </w:rPr>
              <w:t>Minus</w:t>
            </w:r>
          </w:p>
        </w:tc>
      </w:tr>
      <w:tr w:rsidR="00C1548D" w14:paraId="70A507A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A5" w14:textId="77777777" w:rsidR="00C1548D" w:rsidRDefault="009B1B4B">
            <w:pPr>
              <w:spacing w:line="250" w:lineRule="auto"/>
            </w:pPr>
            <w:r>
              <w:rPr>
                <w:sz w:val="18"/>
                <w:szCs w:val="18"/>
              </w:rPr>
              <w:t>Unbewaffnete Polizei im Alltag, bewusst und öffentlich verteidigt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A6" w14:textId="77777777" w:rsidR="00C1548D" w:rsidRDefault="009B1B4B">
            <w:pPr>
              <w:spacing w:line="250" w:lineRule="auto"/>
            </w:pPr>
            <w:r>
              <w:rPr>
                <w:sz w:val="18"/>
                <w:szCs w:val="18"/>
              </w:rPr>
              <w:t>Verdachtsunabhängige Alkohol- und seit 2026 Drogenkontrollen wirken auf Neuankömmlinge zunächst befremdlich</w:t>
            </w:r>
          </w:p>
        </w:tc>
      </w:tr>
      <w:tr w:rsidR="00C1548D" w14:paraId="70A507A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A8" w14:textId="77777777" w:rsidR="00C1548D" w:rsidRDefault="009B1B4B">
            <w:pPr>
              <w:spacing w:line="250" w:lineRule="auto"/>
            </w:pPr>
            <w:r>
              <w:rPr>
                <w:sz w:val="18"/>
                <w:szCs w:val="18"/>
              </w:rPr>
              <w:t>Einheitliches Recht im ganzen Land, kein föderaler Flickenteppich</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A9" w14:textId="77777777" w:rsidR="00C1548D" w:rsidRDefault="009B1B4B">
            <w:pPr>
              <w:spacing w:line="250" w:lineRule="auto"/>
            </w:pPr>
            <w:r>
              <w:rPr>
                <w:sz w:val="18"/>
                <w:szCs w:val="18"/>
              </w:rPr>
              <w:t>Waffen- und Cannabis-Recht ändern sich 2026 gleich mehrfach spürbar</w:t>
            </w:r>
          </w:p>
        </w:tc>
      </w:tr>
      <w:tr w:rsidR="00C1548D" w14:paraId="70A507A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AB" w14:textId="77777777" w:rsidR="00C1548D" w:rsidRDefault="009B1B4B">
            <w:pPr>
              <w:spacing w:line="250" w:lineRule="auto"/>
            </w:pPr>
            <w:r>
              <w:rPr>
                <w:sz w:val="18"/>
                <w:szCs w:val="18"/>
              </w:rPr>
              <w:t>Striktes Waffenrecht bedeutet vergleichsweise wenig Waffengewalt im Alltag</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AC" w14:textId="77777777" w:rsidR="00C1548D" w:rsidRDefault="009B1B4B">
            <w:pPr>
              <w:spacing w:line="250" w:lineRule="auto"/>
            </w:pPr>
            <w:r>
              <w:rPr>
                <w:sz w:val="18"/>
                <w:szCs w:val="18"/>
              </w:rPr>
              <w:t>Cannabis bleibt trotz knappem Referendum ausnahmslos illegal</w:t>
            </w:r>
          </w:p>
        </w:tc>
      </w:tr>
      <w:tr w:rsidR="00C1548D" w14:paraId="70A507B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AE" w14:textId="77777777" w:rsidR="00C1548D" w:rsidRDefault="009B1B4B">
            <w:pPr>
              <w:spacing w:line="250" w:lineRule="auto"/>
            </w:pPr>
            <w:r>
              <w:rPr>
                <w:sz w:val="18"/>
                <w:szCs w:val="18"/>
              </w:rPr>
              <w:t>Grundrechte bei Polizeikontakt (Schweigen, Anwalt) gelten für alle im Land</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AF" w14:textId="77777777" w:rsidR="00C1548D" w:rsidRDefault="009B1B4B">
            <w:pPr>
              <w:spacing w:line="250" w:lineRule="auto"/>
            </w:pPr>
            <w:r>
              <w:rPr>
                <w:sz w:val="18"/>
                <w:szCs w:val="18"/>
              </w:rPr>
              <w:t>Erdbeben- und Vulkanrisiko sind für weite Teile des Landes real, nicht nur theoretisch</w:t>
            </w:r>
          </w:p>
        </w:tc>
      </w:tr>
      <w:tr w:rsidR="00C1548D" w14:paraId="70A507B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B1" w14:textId="77777777" w:rsidR="00C1548D" w:rsidRDefault="009B1B4B">
            <w:pPr>
              <w:spacing w:line="250" w:lineRule="auto"/>
            </w:pPr>
            <w:r>
              <w:rPr>
                <w:sz w:val="18"/>
                <w:szCs w:val="18"/>
              </w:rPr>
              <w:lastRenderedPageBreak/>
              <w:t>Gut ausgebautes, kostenloses Warn- und Vorsorgesystem (GeoNet, NEMA)</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B2" w14:textId="77777777" w:rsidR="00C1548D" w:rsidRDefault="009B1B4B">
            <w:pPr>
              <w:spacing w:line="250" w:lineRule="auto"/>
            </w:pPr>
            <w:r>
              <w:rPr>
                <w:sz w:val="18"/>
                <w:szCs w:val="18"/>
              </w:rPr>
              <w:t>Toka-Tū-Ake-Deckung ist eine Ergänzung, kein Ersatz für private Versicherung</w:t>
            </w:r>
          </w:p>
        </w:tc>
      </w:tr>
    </w:tbl>
    <w:p w14:paraId="70A507B4" w14:textId="77777777" w:rsidR="00C1548D" w:rsidRDefault="00C1548D">
      <w:pPr>
        <w:spacing w:line="180" w:lineRule="exact"/>
      </w:pPr>
    </w:p>
    <w:p w14:paraId="70A507B5"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7B6" w14:textId="77777777" w:rsidR="00C1548D" w:rsidRDefault="009B1B4B">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grundsätzlich, solange du dir über die Rechtslage nicht absolut sicher bist – das gilt besonders fürs Autofahren.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C1"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7B7" w14:textId="77777777" w:rsidR="00C1548D" w:rsidRDefault="009B1B4B">
            <w:pPr>
              <w:keepNext/>
              <w:spacing w:after="70" w:line="240" w:lineRule="auto"/>
            </w:pPr>
            <w:r>
              <w:rPr>
                <w:b/>
                <w:bCs/>
                <w:color w:val="1F6F78"/>
                <w:spacing w:val="24"/>
                <w:sz w:val="16"/>
                <w:szCs w:val="16"/>
              </w:rPr>
              <w:lastRenderedPageBreak/>
              <w:t>CHECKLISTE</w:t>
            </w:r>
          </w:p>
          <w:p w14:paraId="70A507B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Verhalten bei Alkohol- und Drogenkontrolle mit der Familie einmal durchgesprochen.</w:t>
            </w:r>
          </w:p>
          <w:p w14:paraId="70A507B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Grundrechte bei Polizeikontakt gekannt: Name und Pflichtangaben nennen, sonst schweigen dürfen, Durchsuchung ohne Verdacht ablehnen dürfen.</w:t>
            </w:r>
          </w:p>
          <w:p w14:paraId="70A507B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Geprüft, ob am Wohnort Waffenbesitz überhaupt relevant wird – meist nicht.</w:t>
            </w:r>
          </w:p>
          <w:p w14:paraId="70A507BB"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Cannabis-Rechtslage zur Kenntnis genommen: im ganzen Land illegal, kein regionaler Sonderfall.</w:t>
            </w:r>
          </w:p>
          <w:p w14:paraId="70A507BC"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Private Wohngebäudeversicherung mit Feuerschutz abgeschlossen, damit die Toka-Tū-Ake-Basisdeckung greift.</w:t>
            </w:r>
          </w:p>
          <w:p w14:paraId="70A507BD"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GeoNet-App und Emergency Mobile Alert installiert.</w:t>
            </w:r>
          </w:p>
          <w:p w14:paraId="70A507BE"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Haushalts-Notfallset für mindestens drei Tage zusammengestellt (Wasser, Lebensmittel, Erste Hilfe, Bargeld, Dokumente).</w:t>
            </w:r>
          </w:p>
          <w:p w14:paraId="70A507BF"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Tsunami-Regel „Long or Strong, Get Gone“ mit der Familie besprochen, falls der Wohnort küstennah liegt.</w:t>
            </w:r>
          </w:p>
          <w:p w14:paraId="70A507C0"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Nummer der deutschen Auslandsvertretung gespeichert und in die Krisenvorsorgeliste Elefand eingetragen.</w:t>
            </w:r>
          </w:p>
        </w:tc>
      </w:tr>
    </w:tbl>
    <w:p w14:paraId="70A507C2" w14:textId="77777777" w:rsidR="00C1548D" w:rsidRDefault="00C1548D">
      <w:pPr>
        <w:spacing w:line="220" w:lineRule="exact"/>
      </w:pPr>
    </w:p>
    <w:p w14:paraId="70A507C3"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7C4" w14:textId="4667C571" w:rsidR="00C1548D" w:rsidRDefault="009B1B4B" w:rsidP="009B1B4B">
      <w:pPr>
        <w:pStyle w:val="ListParagraph"/>
        <w:numPr>
          <w:ilvl w:val="0"/>
          <w:numId w:val="1"/>
        </w:numPr>
        <w:spacing w:after="60"/>
      </w:pPr>
      <w:r>
        <w:t xml:space="preserve">New Zealand Police – Verhalten bei Kontrollen, Notrufnummern: </w:t>
      </w:r>
      <w:hyperlink r:id="rId683" w:history="1">
        <w:r>
          <w:rPr>
            <w:color w:val="0563C1"/>
            <w:u w:val="single"/>
          </w:rPr>
          <w:t>police.govt.nz</w:t>
        </w:r>
      </w:hyperlink>
    </w:p>
    <w:p w14:paraId="70A507C5" w14:textId="41759C29" w:rsidR="00C1548D" w:rsidRDefault="009B1B4B" w:rsidP="009B1B4B">
      <w:pPr>
        <w:pStyle w:val="ListParagraph"/>
        <w:numPr>
          <w:ilvl w:val="0"/>
          <w:numId w:val="1"/>
        </w:numPr>
        <w:spacing w:after="60"/>
      </w:pPr>
      <w:r>
        <w:t xml:space="preserve">Firearms Safety and Education New Zealand (Te Tari Pūreke) – Waffenrecht, Arms Act 2026: </w:t>
      </w:r>
      <w:hyperlink r:id="rId684" w:history="1">
        <w:r>
          <w:rPr>
            <w:color w:val="0563C1"/>
            <w:u w:val="single"/>
          </w:rPr>
          <w:t>firearmssafety.govt.nz</w:t>
        </w:r>
      </w:hyperlink>
    </w:p>
    <w:p w14:paraId="70A507C6" w14:textId="61CACE82" w:rsidR="00C1548D" w:rsidRDefault="009B1B4B" w:rsidP="009B1B4B">
      <w:pPr>
        <w:pStyle w:val="ListParagraph"/>
        <w:numPr>
          <w:ilvl w:val="0"/>
          <w:numId w:val="1"/>
        </w:numPr>
        <w:spacing w:after="60"/>
      </w:pPr>
      <w:r>
        <w:t xml:space="preserve">New Zealand Ministry of Justice – Firearms Reform, Arms Act 2026: </w:t>
      </w:r>
      <w:hyperlink r:id="rId685" w:history="1">
        <w:r>
          <w:rPr>
            <w:color w:val="0563C1"/>
            <w:u w:val="single"/>
          </w:rPr>
          <w:t>justice.govt.nz</w:t>
        </w:r>
      </w:hyperlink>
    </w:p>
    <w:p w14:paraId="70A507C7" w14:textId="6DF55D92" w:rsidR="00C1548D" w:rsidRDefault="009B1B4B" w:rsidP="009B1B4B">
      <w:pPr>
        <w:pStyle w:val="ListParagraph"/>
        <w:numPr>
          <w:ilvl w:val="0"/>
          <w:numId w:val="1"/>
        </w:numPr>
        <w:spacing w:after="60"/>
      </w:pPr>
      <w:r>
        <w:t xml:space="preserve">NZ Drug Foundation / New Zealand Police – Roadside Drug Testing: </w:t>
      </w:r>
      <w:hyperlink r:id="rId686" w:history="1">
        <w:r>
          <w:rPr>
            <w:color w:val="0563C1"/>
            <w:u w:val="single"/>
          </w:rPr>
          <w:t>drugfoundation.org.nz</w:t>
        </w:r>
      </w:hyperlink>
      <w:r>
        <w:t xml:space="preserve">, </w:t>
      </w:r>
      <w:hyperlink r:id="rId687" w:history="1">
        <w:r>
          <w:rPr>
            <w:color w:val="0563C1"/>
            <w:u w:val="single"/>
          </w:rPr>
          <w:t>police.govt.nz</w:t>
        </w:r>
      </w:hyperlink>
    </w:p>
    <w:p w14:paraId="70A507C8" w14:textId="7D833760" w:rsidR="00C1548D" w:rsidRDefault="009B1B4B" w:rsidP="009B1B4B">
      <w:pPr>
        <w:pStyle w:val="ListParagraph"/>
        <w:numPr>
          <w:ilvl w:val="0"/>
          <w:numId w:val="1"/>
        </w:numPr>
        <w:spacing w:after="60"/>
      </w:pPr>
      <w:r>
        <w:t xml:space="preserve">GeoNet (GNS Science, Toka Tū Ake u. a.) – Erdbeben-, Vulkan- und Tsunamiüberwachung: </w:t>
      </w:r>
      <w:hyperlink r:id="rId688" w:history="1">
        <w:r>
          <w:rPr>
            <w:color w:val="0563C1"/>
            <w:u w:val="single"/>
          </w:rPr>
          <w:t>geonet.org.nz</w:t>
        </w:r>
      </w:hyperlink>
    </w:p>
    <w:p w14:paraId="70A507C9" w14:textId="20653FA5" w:rsidR="00C1548D" w:rsidRDefault="009B1B4B" w:rsidP="009B1B4B">
      <w:pPr>
        <w:pStyle w:val="ListParagraph"/>
        <w:numPr>
          <w:ilvl w:val="0"/>
          <w:numId w:val="1"/>
        </w:numPr>
        <w:spacing w:after="60"/>
      </w:pPr>
      <w:r>
        <w:lastRenderedPageBreak/>
        <w:t xml:space="preserve">National Emergency Management Agency – Get Ready, Notfallvorsorge: </w:t>
      </w:r>
      <w:hyperlink r:id="rId689" w:history="1">
        <w:r>
          <w:rPr>
            <w:color w:val="0563C1"/>
            <w:u w:val="single"/>
          </w:rPr>
          <w:t>getready.govt.nz</w:t>
        </w:r>
      </w:hyperlink>
      <w:r>
        <w:t xml:space="preserve">, </w:t>
      </w:r>
      <w:hyperlink r:id="rId690" w:history="1">
        <w:r>
          <w:rPr>
            <w:color w:val="0563C1"/>
            <w:u w:val="single"/>
          </w:rPr>
          <w:t>civildefence.govt.nz</w:t>
        </w:r>
      </w:hyperlink>
    </w:p>
    <w:p w14:paraId="70A507CA" w14:textId="3AD2D1C5" w:rsidR="00C1548D" w:rsidRDefault="009B1B4B" w:rsidP="009B1B4B">
      <w:pPr>
        <w:pStyle w:val="ListParagraph"/>
        <w:numPr>
          <w:ilvl w:val="0"/>
          <w:numId w:val="1"/>
        </w:numPr>
        <w:spacing w:after="60"/>
      </w:pPr>
      <w:r>
        <w:t xml:space="preserve">Toka Tū Ake Natural Hazards Commission – Erdbebenversicherung: </w:t>
      </w:r>
      <w:hyperlink r:id="rId691" w:history="1">
        <w:r>
          <w:rPr>
            <w:color w:val="0563C1"/>
            <w:u w:val="single"/>
          </w:rPr>
          <w:t>naturalhazards.govt.nz</w:t>
        </w:r>
      </w:hyperlink>
    </w:p>
    <w:p w14:paraId="70A507CB" w14:textId="0573EEB5" w:rsidR="00C1548D" w:rsidRDefault="009B1B4B" w:rsidP="009B1B4B">
      <w:pPr>
        <w:pStyle w:val="ListParagraph"/>
        <w:numPr>
          <w:ilvl w:val="0"/>
          <w:numId w:val="1"/>
        </w:numPr>
        <w:spacing w:after="60"/>
      </w:pPr>
      <w:r>
        <w:t xml:space="preserve">Auswärtiges Amt – Hilfe für Deutsche im Ausland, Krisenvorsorgeliste Elefand: </w:t>
      </w:r>
      <w:hyperlink r:id="rId692" w:history="1">
        <w:r>
          <w:rPr>
            <w:color w:val="0563C1"/>
            <w:u w:val="single"/>
          </w:rPr>
          <w:t>auswaertiges-amt.de</w:t>
        </w:r>
      </w:hyperlink>
    </w:p>
    <w:p w14:paraId="70A507CC"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CF"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7CD" w14:textId="77777777" w:rsidR="00C1548D" w:rsidRDefault="009B1B4B">
            <w:pPr>
              <w:keepNext/>
              <w:spacing w:after="70" w:line="240" w:lineRule="auto"/>
            </w:pPr>
            <w:r>
              <w:rPr>
                <w:b/>
                <w:bCs/>
                <w:color w:val="6B7280"/>
                <w:spacing w:val="24"/>
                <w:sz w:val="16"/>
                <w:szCs w:val="16"/>
              </w:rPr>
              <w:t>STAND</w:t>
            </w:r>
          </w:p>
          <w:p w14:paraId="70A507CE" w14:textId="77777777" w:rsidR="00C1548D" w:rsidRDefault="009B1B4B">
            <w:pPr>
              <w:spacing w:after="80" w:line="264" w:lineRule="auto"/>
            </w:pPr>
            <w:r>
              <w:rPr>
                <w:sz w:val="20"/>
                <w:szCs w:val="20"/>
              </w:rPr>
              <w:t>23.09.2026. Diese Angaben ändern sich schnell: Der neue Arms Act 2026 ist erst seit heute weitgehend in Kraft und wird bis 2028 in mehreren Stufen umgesetzt, das landesweite Drogentest-Programm läuft erst seit dem 1. Juli 2026 vollständig, und die Erdbeben- und Vulkanwarnstufen ändern sich laufend. Prüfe vor jeder Entscheidung die aktuellen Seiten von firearmssafety.govt.nz, geonet.org.nz und civildefence.govt.nz.</w:t>
            </w:r>
          </w:p>
        </w:tc>
      </w:tr>
    </w:tbl>
    <w:p w14:paraId="70A507D0" w14:textId="77777777" w:rsidR="00C1548D" w:rsidRDefault="00C1548D">
      <w:pPr>
        <w:spacing w:line="220" w:lineRule="exact"/>
      </w:pPr>
    </w:p>
    <w:p w14:paraId="70A507D1" w14:textId="77777777" w:rsidR="00C1548D" w:rsidRDefault="009B1B4B">
      <w:pPr>
        <w:pStyle w:val="Heading2"/>
        <w:keepNext/>
        <w:pageBreakBefore/>
        <w:jc w:val="center"/>
      </w:pPr>
      <w:bookmarkStart w:id="198" w:name="tnz16"/>
      <w:bookmarkStart w:id="199" w:name="_Toc241352551"/>
      <w:r>
        <w:rPr>
          <w:rFonts w:ascii="Amazon Ember" w:eastAsia="Amazon Ember" w:hAnsi="Amazon Ember" w:cs="Amazon Ember"/>
          <w:color w:val="0000FF"/>
          <w:sz w:val="36"/>
          <w:szCs w:val="36"/>
        </w:rPr>
        <w:lastRenderedPageBreak/>
        <w:t>Neuseeland: Staatsbürgerschaft und Steuerresidenz</w:t>
      </w:r>
      <w:bookmarkEnd w:id="198"/>
      <w:bookmarkEnd w:id="199"/>
    </w:p>
    <w:p w14:paraId="70A507D2" w14:textId="77777777" w:rsidR="00C1548D" w:rsidRDefault="009B1B4B">
      <w:pPr>
        <w:spacing w:after="140"/>
      </w:pPr>
      <w:r>
        <w:t>Als Paul Lindner zum ersten Mal hört, wie die USA ihre Staatsbürger besteuern – lebenslang, weltweit, unabhängig vom Wohnort, sogar nach einer Rückkehr nach Deutschland –, fragt er sich kurz, ob ihn das eines Tages mit neuseeländischem Pass ähnlich treffen könnte. Ein Steuerberater in Auckland winkt ab: Neuseeland fragt nicht, welchen Pass du trägst, sondern wo du lebst. Der Weg zum neuseeländischen Pass und die Frage, was er steuerlich bedeutet, sind zwei ganz verschiedene Geschichten – und genau die erzäh</w:t>
      </w:r>
      <w:r>
        <w:t>lt dieses Kapitel.</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D9" w14:textId="77777777">
        <w:tblPrEx>
          <w:tblCellMar>
            <w:top w:w="0" w:type="dxa"/>
            <w:bottom w:w="0" w:type="dxa"/>
          </w:tblCellMar>
        </w:tblPrEx>
        <w:trPr>
          <w:cantSplit/>
        </w:trPr>
        <w:tc>
          <w:tcPr>
            <w:tcW w:w="6480" w:type="dxa"/>
            <w:tcBorders>
              <w:top w:val="none" w:sz="0" w:space="0" w:color="FFFFFF"/>
              <w:left w:val="single" w:sz="24" w:space="0" w:color="1F3A5F"/>
              <w:bottom w:val="none" w:sz="0" w:space="0" w:color="FFFFFF"/>
              <w:right w:val="none" w:sz="0" w:space="0" w:color="FFFFFF"/>
            </w:tcBorders>
            <w:shd w:val="clear" w:color="auto" w:fill="ECF1F7"/>
            <w:tcMar>
              <w:top w:w="110" w:type="dxa"/>
              <w:left w:w="200" w:type="dxa"/>
              <w:bottom w:w="80" w:type="dxa"/>
              <w:right w:w="160" w:type="dxa"/>
            </w:tcMar>
          </w:tcPr>
          <w:p w14:paraId="70A507D3" w14:textId="77777777" w:rsidR="00C1548D" w:rsidRDefault="009B1B4B">
            <w:pPr>
              <w:keepNext/>
              <w:spacing w:after="70" w:line="240" w:lineRule="auto"/>
            </w:pPr>
            <w:r>
              <w:rPr>
                <w:b/>
                <w:bCs/>
                <w:color w:val="1F3A5F"/>
                <w:spacing w:val="24"/>
                <w:sz w:val="16"/>
                <w:szCs w:val="16"/>
              </w:rPr>
              <w:t>KURZ GESAGT</w:t>
            </w:r>
          </w:p>
          <w:p w14:paraId="70A507D4" w14:textId="77777777" w:rsidR="00C1548D" w:rsidRDefault="009B1B4B" w:rsidP="009B1B4B">
            <w:pPr>
              <w:pStyle w:val="ListParagraph"/>
              <w:numPr>
                <w:ilvl w:val="0"/>
                <w:numId w:val="1"/>
              </w:numPr>
              <w:spacing w:after="50" w:line="264" w:lineRule="auto"/>
            </w:pPr>
            <w:r>
              <w:rPr>
                <w:sz w:val="20"/>
                <w:szCs w:val="20"/>
              </w:rPr>
              <w:t>Einbürgerung setzt fünf Jahre durchgehenden Besitz eines Resident-Class-Visums voraus, mit mindestens 1.350 von 1.825 Tagen physischer Anwesenheit UND mindestens 240 Tagen in jedem einzelnen dieser fünf Jahre – gezählt ab dem Jahrestag des Visums, nicht ab dem Kalenderjahr.</w:t>
            </w:r>
          </w:p>
          <w:p w14:paraId="70A507D5" w14:textId="77777777" w:rsidR="00C1548D" w:rsidRDefault="009B1B4B" w:rsidP="009B1B4B">
            <w:pPr>
              <w:pStyle w:val="ListParagraph"/>
              <w:numPr>
                <w:ilvl w:val="0"/>
                <w:numId w:val="1"/>
              </w:numPr>
              <w:spacing w:after="50" w:line="264" w:lineRule="auto"/>
            </w:pPr>
            <w:r>
              <w:rPr>
                <w:sz w:val="20"/>
                <w:szCs w:val="20"/>
              </w:rPr>
              <w:t>Ab voraussichtlich Ende 2027 kommt ein neuer Staatskundetest (20 Fragen, 15 richtig zum Bestehen); wer vorher schon einen Antrag gestellt hat, muss ihn nicht ablegen.</w:t>
            </w:r>
          </w:p>
          <w:p w14:paraId="70A507D6" w14:textId="77777777" w:rsidR="00C1548D" w:rsidRDefault="009B1B4B" w:rsidP="009B1B4B">
            <w:pPr>
              <w:pStyle w:val="ListParagraph"/>
              <w:numPr>
                <w:ilvl w:val="0"/>
                <w:numId w:val="1"/>
              </w:numPr>
              <w:spacing w:after="50" w:line="264" w:lineRule="auto"/>
            </w:pPr>
            <w:r>
              <w:rPr>
                <w:sz w:val="20"/>
                <w:szCs w:val="20"/>
              </w:rPr>
              <w:t>Gebühr 560 NZD pro Erwachsenem (seit 28. August 2026); rund 91 % der Anträge werden innerhalb von acht Monaten entschieden, zusätzlich ein bis drei Monate bis zur Zeremonie.</w:t>
            </w:r>
          </w:p>
          <w:p w14:paraId="70A507D7" w14:textId="77777777" w:rsidR="00C1548D" w:rsidRDefault="009B1B4B" w:rsidP="009B1B4B">
            <w:pPr>
              <w:pStyle w:val="ListParagraph"/>
              <w:numPr>
                <w:ilvl w:val="0"/>
                <w:numId w:val="1"/>
              </w:numPr>
              <w:spacing w:after="50" w:line="264" w:lineRule="auto"/>
            </w:pPr>
            <w:r>
              <w:rPr>
                <w:sz w:val="20"/>
                <w:szCs w:val="20"/>
              </w:rPr>
              <w:t>Doppelte Staatsbürgerschaft ist beidseitig unproblematisch: Neuseeland verlangt keinen Verzicht, und seit der deutschen Reform vom 27. Juni 2024 bleibt auch die deutsche Staatsangehörigkeit automatisch erhalten.</w:t>
            </w:r>
          </w:p>
          <w:p w14:paraId="70A507D8" w14:textId="77777777" w:rsidR="00C1548D" w:rsidRDefault="009B1B4B" w:rsidP="009B1B4B">
            <w:pPr>
              <w:pStyle w:val="ListParagraph"/>
              <w:numPr>
                <w:ilvl w:val="0"/>
                <w:numId w:val="1"/>
              </w:numPr>
              <w:spacing w:after="50" w:line="264" w:lineRule="auto"/>
            </w:pPr>
            <w:r>
              <w:rPr>
                <w:sz w:val="20"/>
                <w:szCs w:val="20"/>
              </w:rPr>
              <w:t>Verbreiteter Irrtum: Neuseeland besteuert nach Steuerwohnsitz, nicht nach Pass. Anders als die USA gibt es keine an die Staatsbürgerschaft gekoppelte, lebenslange Steuerpflicht und keine Exit Tax beim Verzicht auf den neuseeländischen Pass.</w:t>
            </w:r>
          </w:p>
        </w:tc>
      </w:tr>
    </w:tbl>
    <w:p w14:paraId="70A507DA" w14:textId="77777777" w:rsidR="00C1548D" w:rsidRDefault="00C1548D">
      <w:pPr>
        <w:spacing w:line="220" w:lineRule="exact"/>
      </w:pPr>
    </w:p>
    <w:p w14:paraId="70A507DB" w14:textId="77777777" w:rsidR="00C1548D" w:rsidRDefault="009B1B4B">
      <w:pPr>
        <w:pStyle w:val="Heading3"/>
        <w:keepNext/>
        <w:jc w:val="center"/>
      </w:pPr>
      <w:r>
        <w:rPr>
          <w:rFonts w:ascii="Amazon Ember" w:eastAsia="Amazon Ember" w:hAnsi="Amazon Ember" w:cs="Amazon Ember"/>
          <w:color w:val="0000FF"/>
          <w:sz w:val="36"/>
          <w:szCs w:val="36"/>
        </w:rPr>
        <w:lastRenderedPageBreak/>
        <w:t>Der Stufenweg zur Staatsbürgerschaft</w:t>
      </w:r>
    </w:p>
    <w:p w14:paraId="70A507DC" w14:textId="5486B7FD" w:rsidR="00C1548D" w:rsidRDefault="009B1B4B">
      <w:pPr>
        <w:spacing w:after="140"/>
      </w:pPr>
      <w:r>
        <w:t xml:space="preserve">Wie lange der Weg zum Pass dauert, hängt vor allem davon ab, wie schnell du ein </w:t>
      </w:r>
      <w:r>
        <w:rPr>
          <w:i/>
          <w:iCs/>
        </w:rPr>
        <w:t>Resident Class Visa</w:t>
      </w:r>
      <w:r>
        <w:t xml:space="preserve"> erreichst – erst dann beginnt die eigentliche Einbürgerungs-Uhr zu laufen. Paul Lindner, der wie im </w:t>
      </w:r>
      <w:hyperlink w:anchor="tnz03" w:history="1">
        <w:r>
          <w:rPr>
            <w:color w:val="0563C1"/>
            <w:u w:val="single"/>
          </w:rPr>
          <w:t>Kapitel zum Arbeitsweg in diesem Teil</w:t>
        </w:r>
      </w:hyperlink>
      <w:r>
        <w:t xml:space="preserve"> beschrieben direkt mit einem </w:t>
      </w:r>
      <w:r>
        <w:rPr>
          <w:i/>
          <w:iCs/>
        </w:rPr>
        <w:t>Skilled Migrant Category</w:t>
      </w:r>
      <w:r>
        <w:t xml:space="preserve"> (SMC) Resident Visa aus Deutschland einreist, hält dieses Visum bereits am Tag der Landung; die 1.350-Tage-Uhr läuft ab diesem Zeitpunkt. Familie Krüger dagegen kommt zunächst mit dem befristeten </w:t>
      </w:r>
      <w:r>
        <w:rPr>
          <w:i/>
          <w:iCs/>
        </w:rPr>
        <w:t>Accredited Employer Work Visa</w:t>
      </w:r>
      <w:r>
        <w:t xml:space="preserve"> (AEWV), weil Sebastians Beruf als Agraringenieur auf der </w:t>
      </w:r>
      <w:r>
        <w:rPr>
          <w:i/>
          <w:iCs/>
        </w:rPr>
        <w:t>Green List</w:t>
      </w:r>
      <w:r>
        <w:t xml:space="preserve"> steht – der Wechsel zum Resident Visa erfolgt hier typischerweise über den „Straight to Residence“-Pfad der Green List oder über die SMC selbst, nach einigen Monaten bis zu zwei Jahren Berufserfahrung in Neuseeland. Die formale Anwesenheitspflicht beginnt für die Familie erst mit der Erteilung dieses Resident Visa, nicht schon mit dem AEWV.</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20"/>
        <w:gridCol w:w="2860"/>
      </w:tblGrid>
      <w:tr w:rsidR="00C1548D" w14:paraId="70A507DF" w14:textId="77777777">
        <w:tblPrEx>
          <w:tblCellMar>
            <w:top w:w="0" w:type="dxa"/>
            <w:bottom w:w="0" w:type="dxa"/>
          </w:tblCellMar>
        </w:tblPrEx>
        <w:trPr>
          <w:cantSplit/>
          <w:tblHeader/>
        </w:trPr>
        <w:tc>
          <w:tcPr>
            <w:tcW w:w="362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7DD" w14:textId="77777777" w:rsidR="00C1548D" w:rsidRDefault="009B1B4B">
            <w:pPr>
              <w:spacing w:line="250" w:lineRule="auto"/>
            </w:pPr>
            <w:r>
              <w:rPr>
                <w:b/>
                <w:bCs/>
                <w:sz w:val="18"/>
                <w:szCs w:val="18"/>
              </w:rPr>
              <w:t>Einstiegsweg</w:t>
            </w:r>
          </w:p>
        </w:tc>
        <w:tc>
          <w:tcPr>
            <w:tcW w:w="28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7DE" w14:textId="77777777" w:rsidR="00C1548D" w:rsidRDefault="009B1B4B">
            <w:pPr>
              <w:spacing w:line="250" w:lineRule="auto"/>
            </w:pPr>
            <w:r>
              <w:rPr>
                <w:b/>
                <w:bCs/>
                <w:sz w:val="18"/>
                <w:szCs w:val="18"/>
              </w:rPr>
              <w:t>Realistische Gesamtdauer Einreise → Einbürgerungsantrag</w:t>
            </w:r>
          </w:p>
        </w:tc>
      </w:tr>
      <w:tr w:rsidR="00C1548D" w14:paraId="70A507E2" w14:textId="77777777">
        <w:tblPrEx>
          <w:tblCellMar>
            <w:top w:w="0" w:type="dxa"/>
            <w:bottom w:w="0" w:type="dxa"/>
          </w:tblCellMar>
        </w:tblPrEx>
        <w:trPr>
          <w:cantSplit/>
        </w:trPr>
        <w:tc>
          <w:tcPr>
            <w:tcW w:w="3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E0" w14:textId="77777777" w:rsidR="00C1548D" w:rsidRDefault="009B1B4B">
            <w:pPr>
              <w:spacing w:line="250" w:lineRule="auto"/>
            </w:pPr>
            <w:r>
              <w:rPr>
                <w:sz w:val="18"/>
                <w:szCs w:val="18"/>
              </w:rPr>
              <w:t>Direkt mit SMC Resident Visa (wie Paul Lindner)</w:t>
            </w:r>
          </w:p>
        </w:tc>
        <w:tc>
          <w:tcPr>
            <w:tcW w:w="2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E1" w14:textId="77777777" w:rsidR="00C1548D" w:rsidRDefault="009B1B4B">
            <w:pPr>
              <w:spacing w:line="250" w:lineRule="auto"/>
            </w:pPr>
            <w:r>
              <w:rPr>
                <w:sz w:val="18"/>
                <w:szCs w:val="18"/>
              </w:rPr>
              <w:t>ca. 5,5–7 Jahre</w:t>
            </w:r>
          </w:p>
        </w:tc>
      </w:tr>
      <w:tr w:rsidR="00C1548D" w14:paraId="70A507E5" w14:textId="77777777">
        <w:tblPrEx>
          <w:tblCellMar>
            <w:top w:w="0" w:type="dxa"/>
            <w:bottom w:w="0" w:type="dxa"/>
          </w:tblCellMar>
        </w:tblPrEx>
        <w:trPr>
          <w:cantSplit/>
        </w:trPr>
        <w:tc>
          <w:tcPr>
            <w:tcW w:w="3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E3" w14:textId="77777777" w:rsidR="00C1548D" w:rsidRDefault="009B1B4B">
            <w:pPr>
              <w:spacing w:line="250" w:lineRule="auto"/>
            </w:pPr>
            <w:r>
              <w:rPr>
                <w:sz w:val="18"/>
                <w:szCs w:val="18"/>
              </w:rPr>
              <w:t>AEWV → Green List/SMC-Übergang zur Residenz (wie Familie Krüger)</w:t>
            </w:r>
          </w:p>
        </w:tc>
        <w:tc>
          <w:tcPr>
            <w:tcW w:w="28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7E4" w14:textId="77777777" w:rsidR="00C1548D" w:rsidRDefault="009B1B4B">
            <w:pPr>
              <w:spacing w:line="250" w:lineRule="auto"/>
            </w:pPr>
            <w:r>
              <w:rPr>
                <w:sz w:val="18"/>
                <w:szCs w:val="18"/>
              </w:rPr>
              <w:t>ca. 6,5–8 Jahre</w:t>
            </w:r>
          </w:p>
        </w:tc>
      </w:tr>
    </w:tbl>
    <w:p w14:paraId="70A507E6" w14:textId="77777777" w:rsidR="00C1548D" w:rsidRDefault="00C1548D">
      <w:pPr>
        <w:spacing w:line="180" w:lineRule="exact"/>
      </w:pPr>
    </w:p>
    <w:p w14:paraId="70A507E7" w14:textId="77777777" w:rsidR="00C1548D" w:rsidRDefault="009B1B4B">
      <w:pPr>
        <w:spacing w:after="140"/>
      </w:pPr>
      <w:r>
        <w:t xml:space="preserve">Der Resident Visa selbst ist zunächst rund 24 Monate reisebeschränkt – wer in dieser Zeit ohne vorherige Zustimmung zu lange im Ausland ist, riskiert Probleme bei der Wiedereinreise. Danach wandelt sich der Titel üblicherweise in die unbefristete, reisebeschränkungsfreie </w:t>
      </w:r>
      <w:r>
        <w:rPr>
          <w:i/>
          <w:iCs/>
        </w:rPr>
        <w:t>Permanent Resident Visa</w:t>
      </w:r>
      <w:r>
        <w:t xml:space="preserve"> (PRV); für die Einbürgerung selbst ist die PRV aber nicht zwingend Voraussetzung – auch die Zeit mit dem reisebeschränkten Resident Visa zählt zur fünfjährigen Frist. Die Bearbeitung des SMC-Resident-Visa-Antrags selbst dauert im Median rund neun Wochen; wer wie Familie Krüger erst über das AEWV einreist, sollte diese Bearbeitungszeit zusätzlich zur vorherigen Berufserfahrung in seine Zeitplanung einrechnen.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EA"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7E8" w14:textId="77777777" w:rsidR="00C1548D" w:rsidRDefault="009B1B4B">
            <w:pPr>
              <w:keepNext/>
              <w:spacing w:after="70" w:line="240" w:lineRule="auto"/>
            </w:pPr>
            <w:r>
              <w:rPr>
                <w:b/>
                <w:bCs/>
                <w:color w:val="9B2C2C"/>
                <w:spacing w:val="24"/>
                <w:sz w:val="16"/>
                <w:szCs w:val="16"/>
              </w:rPr>
              <w:lastRenderedPageBreak/>
              <w:t>ACHTUNG</w:t>
            </w:r>
          </w:p>
          <w:p w14:paraId="70A507E9" w14:textId="77777777" w:rsidR="00C1548D" w:rsidRDefault="009B1B4B">
            <w:pPr>
              <w:spacing w:after="80" w:line="264" w:lineRule="auto"/>
            </w:pPr>
            <w:r>
              <w:rPr>
                <w:sz w:val="20"/>
                <w:szCs w:val="20"/>
              </w:rPr>
              <w:t>Das AEWV ist für Inhaber ohne erkennbaren Weg zur Residenz auf eine Gesamtdauer von maximal fünf Jahren begrenzt. Wer bis dahin nicht auf ein Resident Visa – etwa über die Green List oder die SMC – gewechselt ist, muss zwölf Monate außerhalb Neuseelands verbringen, bevor ein neues AEWV überhaupt wieder möglich ist. Wer den Übergang zur Residenz plant, sollte ihn deshalb rechtzeitig angehen und nicht auf das Ende der fünf Jahre zulaufen lassen.</w:t>
            </w:r>
          </w:p>
        </w:tc>
      </w:tr>
    </w:tbl>
    <w:p w14:paraId="70A507EB" w14:textId="77777777" w:rsidR="00C1548D" w:rsidRDefault="00C1548D">
      <w:pPr>
        <w:spacing w:line="220" w:lineRule="exact"/>
      </w:pPr>
    </w:p>
    <w:p w14:paraId="70A507EC" w14:textId="77777777" w:rsidR="00C1548D" w:rsidRDefault="009B1B4B">
      <w:pPr>
        <w:pStyle w:val="Heading3"/>
        <w:keepNext/>
        <w:jc w:val="center"/>
      </w:pPr>
      <w:r>
        <w:rPr>
          <w:rFonts w:ascii="Amazon Ember" w:eastAsia="Amazon Ember" w:hAnsi="Amazon Ember" w:cs="Amazon Ember"/>
          <w:color w:val="0000FF"/>
          <w:sz w:val="36"/>
          <w:szCs w:val="36"/>
        </w:rPr>
        <w:t>Die Anwesenheitspflicht: 1.350 Tage, aber nicht wie gedacht</w:t>
      </w:r>
    </w:p>
    <w:p w14:paraId="70A507ED" w14:textId="77777777" w:rsidR="00C1548D" w:rsidRDefault="009B1B4B">
      <w:pPr>
        <w:spacing w:after="140"/>
      </w:pPr>
      <w:r>
        <w:t xml:space="preserve">Die Grundregel klingt zunächst einfach: mindestens 1.350 Tage physische Anwesenheit innerhalb der fünf Jahre unmittelbar vor der Antragstellung. Der eigentliche Stolperstein liegt in einer zweiten, unabhängigen Bedingung: mindestens 240 Tage Anwesenheit in </w:t>
      </w:r>
      <w:r>
        <w:rPr>
          <w:b/>
          <w:bCs/>
        </w:rPr>
        <w:t>jedem einzelnen</w:t>
      </w:r>
      <w:r>
        <w:t xml:space="preserve"> dieser fünf 12-Monats-Zeiträume – nicht im Kalenderjahr, sondern gezählt ab dem individuellen Jahrestag deines Resident Visa. Ein einzelnes „schwaches“ Jahr mit beispielsweise nur 210 Tagen Anwesenheit lässt die gesamte Fünf-Jahres-Periode scheitern, selbst wenn die Gesamtsumme von 1.350 Tagen über die anderen Jahre klar erreicht wird.</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F0"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7EE" w14:textId="77777777" w:rsidR="00C1548D" w:rsidRDefault="009B1B4B">
            <w:pPr>
              <w:keepNext/>
              <w:spacing w:after="70" w:line="240" w:lineRule="auto"/>
            </w:pPr>
            <w:r>
              <w:rPr>
                <w:b/>
                <w:bCs/>
                <w:color w:val="9B2C2C"/>
                <w:spacing w:val="24"/>
                <w:sz w:val="16"/>
                <w:szCs w:val="16"/>
              </w:rPr>
              <w:t>ACHTUNG</w:t>
            </w:r>
          </w:p>
          <w:p w14:paraId="70A507EF" w14:textId="77777777" w:rsidR="00C1548D" w:rsidRDefault="009B1B4B">
            <w:pPr>
              <w:spacing w:after="80" w:line="264" w:lineRule="auto"/>
            </w:pPr>
            <w:r>
              <w:rPr>
                <w:sz w:val="20"/>
                <w:szCs w:val="20"/>
              </w:rPr>
              <w:t>Die verbreitetste Fehlkalkulation ist die Annahme, nur die 1.350-Tage-Gesamtsumme zähle. Eine längere Deutschlandreise – etwa wegen der Pflege eines erkrankten Elternteils – kann ausgerechnet in einem einzelnen Jahr die 240-Tage-Schwelle reißen, auch wenn du in den übrigen vier Jahren kaum verreist bist. Führe von Anfang an ein Anwesenheitslogbuch und rechne beide Bedingungen getrennt durch, nicht nur die große Zahl.</w:t>
            </w:r>
          </w:p>
        </w:tc>
      </w:tr>
    </w:tbl>
    <w:p w14:paraId="70A507F1" w14:textId="77777777" w:rsidR="00C1548D" w:rsidRDefault="00C1548D">
      <w:pPr>
        <w:spacing w:line="220" w:lineRule="exact"/>
      </w:pPr>
    </w:p>
    <w:p w14:paraId="70A507F2" w14:textId="77777777" w:rsidR="00C1548D" w:rsidRDefault="009B1B4B">
      <w:pPr>
        <w:spacing w:after="140"/>
      </w:pPr>
      <w:r>
        <w:t>Ein zweiter, oft übersehener Punkt: Weil die Jahresgrenzen ab dem Jahrestag deines Visums laufen und nicht ab dem 1. Januar, berührt eine Reise über den Jahreswechsel häufig zwei verschiedene „Visa-</w:t>
      </w:r>
      <w:r>
        <w:lastRenderedPageBreak/>
        <w:t>Jahre“ gleichzeitig – wer nur mit dem Kalenderjahr rechnet, verzählt sich leicht.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F5"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7F3" w14:textId="77777777" w:rsidR="00C1548D" w:rsidRDefault="009B1B4B">
            <w:pPr>
              <w:keepNext/>
              <w:spacing w:after="70" w:line="240" w:lineRule="auto"/>
            </w:pPr>
            <w:r>
              <w:rPr>
                <w:b/>
                <w:bCs/>
                <w:color w:val="4A5568"/>
                <w:spacing w:val="24"/>
                <w:sz w:val="16"/>
                <w:szCs w:val="16"/>
              </w:rPr>
              <w:t>PRAXISBEISPIEL · FIKTIV</w:t>
            </w:r>
          </w:p>
          <w:p w14:paraId="70A507F4" w14:textId="77777777" w:rsidR="00C1548D" w:rsidRDefault="009B1B4B">
            <w:pPr>
              <w:spacing w:after="80" w:line="264" w:lineRule="auto"/>
            </w:pPr>
            <w:r>
              <w:rPr>
                <w:sz w:val="20"/>
                <w:szCs w:val="20"/>
              </w:rPr>
              <w:t>Familie Krüger (fiktives Beispiel) lebt seit über vier Jahren mit Resident Visa in Christchurch, als Petras Mutter in Deutschland schwer erkrankt. Petra reist für rund fünf Monate zur Pflege nach Deutschland, während Sebastian mit Lotta und Finn in Christchurch bleibt. Als sie später ihre Anwesenheitstage für den Einbürgerungsantrag zusammenrechnet, stellt Petra fest, dass ausgerechnet dieses eine Visa-Jahr nur auf rund 210 Tage kommt – deutlich unter der 240-Tage-Schwelle. Die Gesamtsumme über alle fünf Ja</w:t>
            </w:r>
            <w:r>
              <w:rPr>
                <w:sz w:val="20"/>
                <w:szCs w:val="20"/>
              </w:rPr>
              <w:t>hre liegt weit über 1.350 Tagen, das ändert aber nichts: Petra muss ein zusätzliches Jahr warten, bis ein neues, vollständiges Fünf-Jahres-Fenster ohne dieses schwache Jahr entsteht.</w:t>
            </w:r>
          </w:p>
        </w:tc>
      </w:tr>
    </w:tbl>
    <w:p w14:paraId="70A507F6" w14:textId="77777777" w:rsidR="00C1548D" w:rsidRDefault="00C1548D">
      <w:pPr>
        <w:spacing w:line="220" w:lineRule="exact"/>
      </w:pPr>
    </w:p>
    <w:p w14:paraId="70A507F7" w14:textId="77777777" w:rsidR="00C1548D" w:rsidRDefault="009B1B4B">
      <w:pPr>
        <w:pStyle w:val="Heading3"/>
        <w:keepNext/>
        <w:jc w:val="center"/>
      </w:pPr>
      <w:r>
        <w:rPr>
          <w:rFonts w:ascii="Amazon Ember" w:eastAsia="Amazon Ember" w:hAnsi="Amazon Ember" w:cs="Amazon Ember"/>
          <w:color w:val="0000FF"/>
          <w:sz w:val="36"/>
          <w:szCs w:val="36"/>
        </w:rPr>
        <w:t>Sprache und der angekündigte Staatskundetest</w:t>
      </w:r>
    </w:p>
    <w:p w14:paraId="70A507F8" w14:textId="77777777" w:rsidR="00C1548D" w:rsidRDefault="009B1B4B">
      <w:pPr>
        <w:spacing w:after="140"/>
      </w:pPr>
      <w:r>
        <w:t>Bis heute verlangt Neuseeland für die Einbürgerung keinen formalisierten Sprachtest – „ausreichende Kenntnisse der englischen Sprache“ werden einzelfallbezogen geprüft, oft im persönlichen Interview, ohne festgelegtes Prüfungsformat oder Sprachniveau. Das ändert sich, sobald der neue Staatskundetest kommt: Die Regierung hat ihn für voraussichtlich Ende 2027 angekündigt, mit 20 Multiple-Choice-Fragen und einer Bestehensgrenze von 15 richtigen Antworten (75 %), voraussichtlich als Präsenzprüfung. Themen solle</w:t>
      </w:r>
      <w:r>
        <w:t xml:space="preserve">n unter anderem der </w:t>
      </w:r>
      <w:r>
        <w:rPr>
          <w:i/>
          <w:iCs/>
        </w:rPr>
        <w:t>Bill of Rights Act</w:t>
      </w:r>
      <w:r>
        <w:t>, ausgewählte Straftatbestände, Wahlrecht, demokratische Prinzipien, die Regierungsstruktur sowie Ein- und Ausreiseregeln sein. Ausgenommen sind Antragsteller unter 16 und über 65 Jahren sowie alle, die die Staatsbürgerschaft über Geburt, Abstammung oder den Western-Samoa-Sonderpfad erwerben – und wer seinen Antrag schon vor Inkrafttreten der neuen Regel eingereicht hat, muss den Test ebenfalls nicht ablegen.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7FB" w14:textId="77777777">
        <w:tblPrEx>
          <w:tblCellMar>
            <w:top w:w="0" w:type="dxa"/>
            <w:bottom w:w="0" w:type="dxa"/>
          </w:tblCellMar>
        </w:tblPrEx>
        <w:trPr>
          <w:cantSplit/>
        </w:trPr>
        <w:tc>
          <w:tcPr>
            <w:tcW w:w="6480" w:type="dxa"/>
            <w:tcBorders>
              <w:top w:val="none" w:sz="0" w:space="0" w:color="FFFFFF"/>
              <w:left w:val="single" w:sz="24" w:space="0" w:color="2F6B3B"/>
              <w:bottom w:val="none" w:sz="0" w:space="0" w:color="FFFFFF"/>
              <w:right w:val="none" w:sz="0" w:space="0" w:color="FFFFFF"/>
            </w:tcBorders>
            <w:shd w:val="clear" w:color="auto" w:fill="EDF6EF"/>
            <w:tcMar>
              <w:top w:w="110" w:type="dxa"/>
              <w:left w:w="200" w:type="dxa"/>
              <w:bottom w:w="80" w:type="dxa"/>
              <w:right w:w="160" w:type="dxa"/>
            </w:tcMar>
          </w:tcPr>
          <w:p w14:paraId="70A507F9" w14:textId="77777777" w:rsidR="00C1548D" w:rsidRDefault="009B1B4B">
            <w:pPr>
              <w:keepNext/>
              <w:spacing w:after="70" w:line="240" w:lineRule="auto"/>
            </w:pPr>
            <w:r>
              <w:rPr>
                <w:b/>
                <w:bCs/>
                <w:color w:val="2F6B3B"/>
                <w:spacing w:val="24"/>
                <w:sz w:val="16"/>
                <w:szCs w:val="16"/>
              </w:rPr>
              <w:lastRenderedPageBreak/>
              <w:t>SPARTIPP</w:t>
            </w:r>
          </w:p>
          <w:p w14:paraId="70A507FA" w14:textId="77777777" w:rsidR="00C1548D" w:rsidRDefault="009B1B4B">
            <w:pPr>
              <w:spacing w:after="80" w:line="264" w:lineRule="auto"/>
            </w:pPr>
            <w:r>
              <w:rPr>
                <w:sz w:val="20"/>
                <w:szCs w:val="20"/>
              </w:rPr>
              <w:t>Wer die 1.350/240-Tage-Frist ohnehin bald erfüllt, sollte den Einbürgerungsantrag bewusst so timen, dass er vor Inkrafttreten des neuen Staatskundetests Ende 2027 eingereicht wird – auch wenn Format und genauer Starttermin noch nicht endgültig feststehen, spart eine frühere Antragstellung möglicherweise die zusätzliche Prüfungshürde.</w:t>
            </w:r>
          </w:p>
        </w:tc>
      </w:tr>
    </w:tbl>
    <w:p w14:paraId="70A507FC" w14:textId="77777777" w:rsidR="00C1548D" w:rsidRDefault="00C1548D">
      <w:pPr>
        <w:spacing w:line="220" w:lineRule="exact"/>
      </w:pPr>
    </w:p>
    <w:p w14:paraId="70A507FD" w14:textId="77777777" w:rsidR="00C1548D" w:rsidRDefault="009B1B4B">
      <w:pPr>
        <w:pStyle w:val="Heading3"/>
        <w:keepNext/>
        <w:jc w:val="center"/>
      </w:pPr>
      <w:r>
        <w:rPr>
          <w:rFonts w:ascii="Amazon Ember" w:eastAsia="Amazon Ember" w:hAnsi="Amazon Ember" w:cs="Amazon Ember"/>
          <w:color w:val="0000FF"/>
          <w:sz w:val="36"/>
          <w:szCs w:val="36"/>
        </w:rPr>
        <w:t>Charakterliche Eignung und Gebühren</w:t>
      </w:r>
    </w:p>
    <w:p w14:paraId="70A507FE" w14:textId="77777777" w:rsidR="00C1548D" w:rsidRDefault="009B1B4B">
      <w:pPr>
        <w:spacing w:after="140"/>
      </w:pPr>
      <w:r>
        <w:t xml:space="preserve">Neben der Anwesenheitspflicht prüft das </w:t>
      </w:r>
      <w:r>
        <w:rPr>
          <w:i/>
          <w:iCs/>
        </w:rPr>
        <w:t>Department of Internal Affairs</w:t>
      </w:r>
      <w:r>
        <w:t xml:space="preserve"> (DIA) bei jedem Antragsteller den „guten Leumund“ (</w:t>
      </w:r>
      <w:r>
        <w:rPr>
          <w:i/>
          <w:iCs/>
        </w:rPr>
        <w:t>Good Character</w:t>
      </w:r>
      <w:r>
        <w:t>)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w14:paraId="70A507FF" w14:textId="77777777" w:rsidR="00C1548D" w:rsidRDefault="009B1B4B">
      <w:pPr>
        <w:spacing w:after="140"/>
      </w:pPr>
      <w:r>
        <w:t>Die Antragsgebühr liegt seit dem 28. August 2026 bei 560 NZD pro Erwachsenem (eine Anhebung um 14,4 % gegenüber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 erst mit ihr bist du formal Staatsbürger und kannst den Reisepass beantragen. Die Zeremonie selbs</w:t>
      </w:r>
      <w:r>
        <w:t>t (</w:t>
      </w:r>
      <w:r>
        <w:rPr>
          <w:i/>
          <w:iCs/>
        </w:rPr>
        <w:t>Oath or Affirmation of Allegiance</w:t>
      </w:r>
      <w:r>
        <w:t>, wählbar auf Englisch oder Te Reo Māori) wird meist vom Bürgermeister der Gemeinde geleitet, dauert inklusive Reden und kulturellem Programm oft mehrere Stunden und schließt mit der Nationalhymne; das Zertifikat erhältst du direkt vor Ort. Die Teilnahme ist innerhalb eines Jahres nach der Genehmigung Pflicht.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802"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800" w14:textId="77777777" w:rsidR="00C1548D" w:rsidRDefault="009B1B4B">
            <w:pPr>
              <w:keepNext/>
              <w:spacing w:after="70" w:line="240" w:lineRule="auto"/>
            </w:pPr>
            <w:r>
              <w:rPr>
                <w:b/>
                <w:bCs/>
                <w:color w:val="9B2C2C"/>
                <w:spacing w:val="24"/>
                <w:sz w:val="16"/>
                <w:szCs w:val="16"/>
              </w:rPr>
              <w:lastRenderedPageBreak/>
              <w:t>ACHTUNG</w:t>
            </w:r>
          </w:p>
          <w:p w14:paraId="70A50801" w14:textId="77777777" w:rsidR="00C1548D" w:rsidRDefault="009B1B4B">
            <w:pPr>
              <w:spacing w:after="80" w:line="264" w:lineRule="auto"/>
            </w:pPr>
            <w:r>
              <w:rPr>
                <w:sz w:val="20"/>
                <w:szCs w:val="20"/>
              </w:rPr>
              <w:t>Ab Ende 2026 werden viele Inhaber der 2021 Resident Visa (ein Sonderprogramm aus der Pandemiezeit) einbürgerungsberechtigt. Das DIA selbst weist darauf hin, dass sich die Bearbeitungszeiten dadurch wieder verlängern könnten – plane bei einem Antrag in diesem Zeitraum einen zeitlichen Puffer ein.</w:t>
            </w:r>
          </w:p>
        </w:tc>
      </w:tr>
    </w:tbl>
    <w:p w14:paraId="70A50803" w14:textId="77777777" w:rsidR="00C1548D" w:rsidRDefault="00C1548D">
      <w:pPr>
        <w:spacing w:line="220" w:lineRule="exact"/>
      </w:pPr>
    </w:p>
    <w:p w14:paraId="70A50804" w14:textId="77777777" w:rsidR="00C1548D" w:rsidRDefault="009B1B4B">
      <w:pPr>
        <w:pStyle w:val="Heading3"/>
        <w:keepNext/>
        <w:jc w:val="center"/>
      </w:pPr>
      <w:r>
        <w:rPr>
          <w:rFonts w:ascii="Amazon Ember" w:eastAsia="Amazon Ember" w:hAnsi="Amazon Ember" w:cs="Amazon Ember"/>
          <w:color w:val="0000FF"/>
          <w:sz w:val="36"/>
          <w:szCs w:val="36"/>
        </w:rPr>
        <w:t>Doppelte Staatsbürgerschaft: Neuseeland und Deutschland</w:t>
      </w:r>
    </w:p>
    <w:p w14:paraId="70A50805" w14:textId="77777777" w:rsidR="00C1548D" w:rsidRDefault="009B1B4B">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w:t>
      </w:r>
      <w:r>
        <w:t>r wird, behält die deutsche Staatsangehörigkeit automatisch, ganz ohne die früher nötige Beibehaltungsgenehmigung.</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808"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0806" w14:textId="77777777" w:rsidR="00C1548D" w:rsidRDefault="009B1B4B">
            <w:pPr>
              <w:keepNext/>
              <w:spacing w:after="70" w:line="240" w:lineRule="auto"/>
            </w:pPr>
            <w:r>
              <w:rPr>
                <w:b/>
                <w:bCs/>
                <w:color w:val="9B2C2C"/>
                <w:spacing w:val="24"/>
                <w:sz w:val="16"/>
                <w:szCs w:val="16"/>
              </w:rPr>
              <w:t>ACHTUNG</w:t>
            </w:r>
          </w:p>
          <w:p w14:paraId="70A50807" w14:textId="77777777" w:rsidR="00C1548D" w:rsidRDefault="009B1B4B">
            <w:pPr>
              <w:spacing w:after="80" w:line="264" w:lineRule="auto"/>
            </w:pPr>
            <w:r>
              <w:rPr>
                <w:sz w:val="20"/>
                <w:szCs w:val="20"/>
              </w:rPr>
              <w:t>Die Reform wirkt nicht rückwirkend. Wer sich vor dem 27. Juni 2024 in Neuseeland einbürgern ließ, ohne vorher eine Beibehaltungsgenehmigung beim Bundesverwaltungsamt eingeholt zu haben, hat die deutsche Staatsangehörigkeit nach damaliger Rechtslage verloren – dieser Verlust bleibt bestehen. Wer schon länger in Neuseeland lebt und unsicher ist, ob eine frühere Einbürgerung Folgen hatte, sollte den eigenen Fall bei der deutschen Botschaft Wellington oder dem zuständigen Honorarkonsulat individuell prüfen lass</w:t>
            </w:r>
            <w:r>
              <w:rPr>
                <w:sz w:val="20"/>
                <w:szCs w:val="20"/>
              </w:rPr>
              <w:t>en.</w:t>
            </w:r>
          </w:p>
        </w:tc>
      </w:tr>
    </w:tbl>
    <w:p w14:paraId="70A50809" w14:textId="77777777" w:rsidR="00C1548D" w:rsidRDefault="00C1548D">
      <w:pPr>
        <w:spacing w:line="220" w:lineRule="exact"/>
      </w:pPr>
    </w:p>
    <w:p w14:paraId="70A5080A" w14:textId="77777777" w:rsidR="00C1548D" w:rsidRDefault="009B1B4B">
      <w:pPr>
        <w:pStyle w:val="Heading3"/>
        <w:keepNext/>
        <w:jc w:val="center"/>
      </w:pPr>
      <w:r>
        <w:rPr>
          <w:rFonts w:ascii="Amazon Ember" w:eastAsia="Amazon Ember" w:hAnsi="Amazon Ember" w:cs="Amazon Ember"/>
          <w:color w:val="0000FF"/>
          <w:sz w:val="36"/>
          <w:szCs w:val="36"/>
        </w:rPr>
        <w:lastRenderedPageBreak/>
        <w:t>Kinder: kein unbedingtes Geburtsortsprinzip</w:t>
      </w:r>
    </w:p>
    <w:p w14:paraId="70A5080B" w14:textId="77777777" w:rsidR="00C1548D" w:rsidRDefault="009B1B4B">
      <w:pPr>
        <w:spacing w:after="140"/>
      </w:pPr>
      <w:r>
        <w:t>Anders als in Kanada gilt in Neuseeland seit dem 1. Januar 2006 kein unbedingtes Geburtsortsprinzip (</w:t>
      </w:r>
      <w:r>
        <w:rPr>
          <w:i/>
          <w:iCs/>
        </w:rPr>
        <w:t>Jus Soli</w:t>
      </w:r>
      <w:r>
        <w:t>) mehr. Ein in Neuseeland geborenes Kind wird nur dann automatisch Staatsbürger, wenn mindestens ein Elternteil zum Geburtszeitpunkt neuseeländischer Staatsbürger oder Permanent Resident ist – oder australischer Staatsbürger beziehungsweise Bürger oder Permanent Resident der Cookinseln, Tokelaus oder Niues, eine Besonderheit aus der historischen Verbindung Neuseelands zu diesen pazifischen Inselgruppen. Vor 2006 Geborene erhielten die Staatsangehörigkeit noch unabhängig vom Status der Eltern.</w:t>
      </w:r>
    </w:p>
    <w:p w14:paraId="70A5080C" w14:textId="77777777" w:rsidR="00C1548D" w:rsidRDefault="009B1B4B">
      <w:pPr>
        <w:spacing w:after="140"/>
      </w:pPr>
      <w:r>
        <w:t>Für im Ausland geborene Kinder neuseeländischer Eltern gilt zusätzlich ein Generationenlimit: Ein Elternteil, der selbst nur „</w:t>
      </w:r>
      <w:r>
        <w:rPr>
          <w:i/>
          <w:iCs/>
        </w:rPr>
        <w:t>by descent</w:t>
      </w:r>
      <w:r>
        <w:t xml:space="preserve">“ (durch Abstammung im Ausland) neuseeländischer Staatsbürger wurde, kann diese Staatsbürgerschaft nicht an ein eigenes, im Ausland geborenes Kind weitergeben – das Kind braucht dann den regulären Weg über </w:t>
      </w:r>
      <w:r>
        <w:rPr>
          <w:i/>
          <w:iCs/>
        </w:rPr>
        <w:t>Citizenship by Grant</w:t>
      </w:r>
      <w:r>
        <w:t xml:space="preserve">. Für die erste Generation im Ausland ist die Registrierung als </w:t>
      </w:r>
      <w:r>
        <w:rPr>
          <w:i/>
          <w:iCs/>
        </w:rPr>
        <w:t>Citizenship by Descent</w:t>
      </w:r>
      <w:r>
        <w:t xml:space="preserve"> beim DIA Pflicht und konstitutiv – die Staatsbürgerschaft entsteht erst mit der Registrierung, nicht automatisch mit der Geburt (Gebühr 243 NZD). Die deutsche Seite bleibt davon unberührt: Ein Kind mit einem deutschen Elternteil ist unabhängig vom Geburtsort von Geburt an deutsch (§ 4 Abs. 1 StAG).</w:t>
      </w:r>
    </w:p>
    <w:p w14:paraId="70A5080D" w14:textId="77777777" w:rsidR="00C1548D" w:rsidRDefault="009B1B4B">
      <w:pPr>
        <w:pStyle w:val="Heading3"/>
        <w:keepNext/>
        <w:jc w:val="center"/>
      </w:pPr>
      <w:r>
        <w:rPr>
          <w:rFonts w:ascii="Amazon Ember" w:eastAsia="Amazon Ember" w:hAnsi="Amazon Ember" w:cs="Amazon Ember"/>
          <w:color w:val="0000FF"/>
          <w:sz w:val="36"/>
          <w:szCs w:val="36"/>
        </w:rPr>
        <w:t>Das Steuerresidenz-Prinzip: Wohnsitz statt Pass</w:t>
      </w:r>
    </w:p>
    <w:p w14:paraId="70A5080E" w14:textId="64FC546C" w:rsidR="00C1548D" w:rsidRDefault="009B1B4B">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w:t>
      </w:r>
      <w:r>
        <w:lastRenderedPageBreak/>
        <w:t>entsteht entweder durch einen „</w:t>
      </w:r>
      <w:r>
        <w:rPr>
          <w:i/>
          <w:iCs/>
        </w:rPr>
        <w:t>permanent place of abode</w:t>
      </w:r>
      <w:r>
        <w:t>“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nur noch auf neuseeländische Quelleneinkünfte Steuern, selbst mit neuseeländischem Pass in der Tasche. Ein Doppelbesteuerungsabkommen zwi</w:t>
      </w:r>
      <w:r>
        <w:t xml:space="preserve">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history="1">
        <w:r>
          <w:rPr>
            <w:color w:val="0563C1"/>
            <w:u w:val="single"/>
          </w:rPr>
          <w:t>Kapitel zu Steuer-ID, Bank und Kredit in diesem Teil</w:t>
        </w:r>
      </w:hyperlink>
      <w:r>
        <w:t xml:space="preserve"> ausführlicher.</w:t>
      </w:r>
    </w:p>
    <w:p w14:paraId="70A5080F" w14:textId="77777777" w:rsidR="00C1548D" w:rsidRDefault="009B1B4B">
      <w:pPr>
        <w:spacing w:after="140"/>
      </w:pPr>
      <w:r>
        <w:t xml:space="preserve">Die USA gehen den entgegengesetzten Weg: Wer den US-Pass trägt, bleibt lebenslang steuerpflichtig, unabhängig vom Wohnort, und ein Verzicht auf die US-Staatsbürgerschaft kann eine eigene Steuer, die </w:t>
      </w:r>
      <w:r>
        <w:rPr>
          <w:i/>
          <w:iCs/>
        </w:rPr>
        <w:t>Exit Tax</w:t>
      </w:r>
      <w:r>
        <w:t>, auslösen – nachzulesen im Teil zu den USA in diesem Buch. In Neuseeland gibt es dieses Konstrukt nicht: Der Verzicht auf die neuseeländische Staatsbürgerschaft (</w:t>
      </w:r>
      <w:r>
        <w:rPr>
          <w:i/>
          <w:iCs/>
        </w:rPr>
        <w:t>Renunciation</w:t>
      </w:r>
      <w:r>
        <w:t>) kostet lediglich eine Verwaltungsgebühr von 474 NZD, keine gesonderte Steuer. Ein steuerlicher Wegzug – die Aufgabe der neuseeländischen Steuerresidenz – ist eine Frage des Wohnsitzes, keine Frage der Staatsangehörigkeit, und betrifft jeden, der seinen Lebensmittelpunkt verlagert, ganz unabhängig vom Pass.</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81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0810" w14:textId="77777777" w:rsidR="00C1548D" w:rsidRDefault="009B1B4B">
            <w:pPr>
              <w:keepNext/>
              <w:spacing w:after="70" w:line="240" w:lineRule="auto"/>
            </w:pPr>
            <w:r>
              <w:rPr>
                <w:b/>
                <w:bCs/>
                <w:color w:val="8A6212"/>
                <w:spacing w:val="24"/>
                <w:sz w:val="16"/>
                <w:szCs w:val="16"/>
              </w:rPr>
              <w:t>MERKE</w:t>
            </w:r>
          </w:p>
          <w:p w14:paraId="70A50811" w14:textId="77777777" w:rsidR="00C1548D" w:rsidRDefault="009B1B4B">
            <w:pPr>
              <w:spacing w:after="80" w:line="264" w:lineRule="auto"/>
            </w:pPr>
            <w:r>
              <w:rPr>
                <w:sz w:val="20"/>
                <w:szCs w:val="20"/>
              </w:rPr>
              <w:t>Der neuseeländische Pass hat keine steuerlichen Nebenwirkungen. Was zählt, ist immer, wo du tatsächlich lebst – nicht, welchen Ausweis du dabei in der Tasche trägst.</w:t>
            </w:r>
          </w:p>
        </w:tc>
      </w:tr>
    </w:tbl>
    <w:p w14:paraId="70A50813"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816" w14:textId="77777777">
        <w:tblPrEx>
          <w:tblCellMar>
            <w:top w:w="0" w:type="dxa"/>
            <w:bottom w:w="0" w:type="dxa"/>
          </w:tblCellMar>
        </w:tblPrEx>
        <w:trPr>
          <w:cantSplit/>
        </w:trPr>
        <w:tc>
          <w:tcPr>
            <w:tcW w:w="6480" w:type="dxa"/>
            <w:tcBorders>
              <w:top w:val="none" w:sz="0" w:space="0" w:color="FFFFFF"/>
              <w:left w:val="single" w:sz="24" w:space="0" w:color="4A5568"/>
              <w:bottom w:val="none" w:sz="0" w:space="0" w:color="FFFFFF"/>
              <w:right w:val="none" w:sz="0" w:space="0" w:color="FFFFFF"/>
            </w:tcBorders>
            <w:shd w:val="clear" w:color="auto" w:fill="F0F2F5"/>
            <w:tcMar>
              <w:top w:w="110" w:type="dxa"/>
              <w:left w:w="200" w:type="dxa"/>
              <w:bottom w:w="80" w:type="dxa"/>
              <w:right w:w="160" w:type="dxa"/>
            </w:tcMar>
          </w:tcPr>
          <w:p w14:paraId="70A50814" w14:textId="77777777" w:rsidR="00C1548D" w:rsidRDefault="009B1B4B">
            <w:pPr>
              <w:keepNext/>
              <w:spacing w:after="70" w:line="240" w:lineRule="auto"/>
            </w:pPr>
            <w:r>
              <w:rPr>
                <w:b/>
                <w:bCs/>
                <w:color w:val="4A5568"/>
                <w:spacing w:val="24"/>
                <w:sz w:val="16"/>
                <w:szCs w:val="16"/>
              </w:rPr>
              <w:lastRenderedPageBreak/>
              <w:t>PRAXISBEISPIEL · FIKTIV</w:t>
            </w:r>
          </w:p>
          <w:p w14:paraId="70A50815" w14:textId="77777777" w:rsidR="00C1548D" w:rsidRDefault="009B1B4B">
            <w:pPr>
              <w:spacing w:after="80" w:line="264" w:lineRule="auto"/>
            </w:pPr>
            <w:r>
              <w:rPr>
                <w:sz w:val="20"/>
                <w:szCs w:val="20"/>
              </w:rPr>
              <w:t>Paul Lindner (fiktives Beispiel) arbeitet seit einigen Jahren als IT-Berater in Auckland und überlegt, ein Angebot eines Frankfurter Kunden anzunehmen, das ihn für zwei Jahre zurück nach Deutschland führen würde. Seine erste Sorge gilt der Frage, ob Neuseeland ihn dann weiterhin besteuert, weil er ja irgendwann den neuseeländischen Pass anstrebt. Ein Steuerberater klärt ihn auf: Sobald Paul seinen Wohnsitz und Lebensmittelpunkt wirklich nach Frankfurt verlagert und die 183-Tage-Grenze in Neuseeland untersch</w:t>
            </w:r>
            <w:r>
              <w:rPr>
                <w:sz w:val="20"/>
                <w:szCs w:val="20"/>
              </w:rPr>
              <w:t>reitet, gilt er als steuerlich nicht mehr ansässig – unabhängig davon, ob er später einen neuseeländischen Pass besitzt oder nicht. Neuseeländische Steuern fallen dann nur noch auf rein neuseeländische Einkünfte an, etwa eine vermietete Eigentumswohnung in Auckland, nicht auf sein neues deutsches Gehalt.</w:t>
            </w:r>
          </w:p>
        </w:tc>
      </w:tr>
    </w:tbl>
    <w:p w14:paraId="70A50817"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81A"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818" w14:textId="77777777" w:rsidR="00C1548D" w:rsidRDefault="009B1B4B">
            <w:pPr>
              <w:keepNext/>
              <w:spacing w:after="70" w:line="240" w:lineRule="auto"/>
            </w:pPr>
            <w:r>
              <w:rPr>
                <w:b/>
                <w:bCs/>
                <w:color w:val="6B7280"/>
                <w:spacing w:val="24"/>
                <w:sz w:val="16"/>
                <w:szCs w:val="16"/>
              </w:rPr>
              <w:t>KEIN RECHTSRAT</w:t>
            </w:r>
          </w:p>
          <w:p w14:paraId="70A50819" w14:textId="77777777" w:rsidR="00C1548D" w:rsidRDefault="009B1B4B">
            <w:pPr>
              <w:spacing w:after="80" w:line="264" w:lineRule="auto"/>
            </w:pPr>
            <w:r>
              <w:rPr>
                <w:sz w:val="20"/>
                <w:szCs w:val="20"/>
              </w:rPr>
              <w:t>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w:t>
            </w:r>
            <w:r>
              <w:rPr>
                <w:sz w:val="20"/>
                <w:szCs w:val="20"/>
              </w:rPr>
              <w:t>eutschen abstimmt.</w:t>
            </w:r>
          </w:p>
        </w:tc>
      </w:tr>
    </w:tbl>
    <w:p w14:paraId="70A5081B" w14:textId="77777777" w:rsidR="00C1548D" w:rsidRDefault="00C1548D">
      <w:pPr>
        <w:spacing w:line="220" w:lineRule="exact"/>
      </w:pPr>
    </w:p>
    <w:p w14:paraId="70A5081C" w14:textId="77777777" w:rsidR="00C1548D" w:rsidRDefault="009B1B4B">
      <w:pPr>
        <w:pStyle w:val="Heading3"/>
        <w:keepNext/>
        <w:jc w:val="center"/>
      </w:pPr>
      <w:r>
        <w:rPr>
          <w:rFonts w:ascii="Amazon Ember" w:eastAsia="Amazon Ember" w:hAnsi="Amazon Ember" w:cs="Amazon Ember"/>
          <w:color w:val="0000FF"/>
          <w:sz w:val="36"/>
          <w:szCs w:val="36"/>
        </w:rPr>
        <w:t>Plus und Minus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81F"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81D" w14:textId="77777777" w:rsidR="00C1548D" w:rsidRDefault="009B1B4B">
            <w:pPr>
              <w:spacing w:line="250" w:lineRule="auto"/>
            </w:pPr>
            <w:r>
              <w:rPr>
                <w:b/>
                <w:bCs/>
                <w:sz w:val="18"/>
                <w:szCs w:val="18"/>
              </w:rPr>
              <w:t>Plus</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81E" w14:textId="77777777" w:rsidR="00C1548D" w:rsidRDefault="009B1B4B">
            <w:pPr>
              <w:spacing w:line="250" w:lineRule="auto"/>
            </w:pPr>
            <w:r>
              <w:rPr>
                <w:b/>
                <w:bCs/>
                <w:sz w:val="18"/>
                <w:szCs w:val="18"/>
              </w:rPr>
              <w:t>Minus</w:t>
            </w:r>
          </w:p>
        </w:tc>
      </w:tr>
      <w:tr w:rsidR="00C1548D" w14:paraId="70A5082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820" w14:textId="77777777" w:rsidR="00C1548D" w:rsidRDefault="009B1B4B">
            <w:pPr>
              <w:spacing w:line="250" w:lineRule="auto"/>
            </w:pPr>
            <w:r>
              <w:rPr>
                <w:sz w:val="18"/>
                <w:szCs w:val="18"/>
              </w:rPr>
              <w:t>Kein Zwang zur Aufgabe der deutschen Staatsangehörigkeit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821" w14:textId="77777777" w:rsidR="00C1548D" w:rsidRDefault="009B1B4B">
            <w:pPr>
              <w:spacing w:line="250" w:lineRule="auto"/>
            </w:pPr>
            <w:r>
              <w:rPr>
                <w:sz w:val="18"/>
                <w:szCs w:val="18"/>
              </w:rPr>
              <w:t>240-Tage-Regel pro Einzeljahr wird leicht übersehen</w:t>
            </w:r>
          </w:p>
        </w:tc>
      </w:tr>
      <w:tr w:rsidR="00C1548D" w14:paraId="70A5082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823" w14:textId="77777777" w:rsidR="00C1548D" w:rsidRDefault="009B1B4B">
            <w:pPr>
              <w:spacing w:line="250" w:lineRule="auto"/>
            </w:pPr>
            <w:r>
              <w:rPr>
                <w:sz w:val="18"/>
                <w:szCs w:val="18"/>
              </w:rPr>
              <w:t>Kein formaler Sprachtest bis mindestens Ende 2027</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824" w14:textId="77777777" w:rsidR="00C1548D" w:rsidRDefault="009B1B4B">
            <w:pPr>
              <w:spacing w:line="250" w:lineRule="auto"/>
            </w:pPr>
            <w:r>
              <w:rPr>
                <w:sz w:val="18"/>
                <w:szCs w:val="18"/>
              </w:rPr>
              <w:t>Neuer Staatskundetest ab Ende 2027 angekündigt, Details noch nicht final</w:t>
            </w:r>
          </w:p>
        </w:tc>
      </w:tr>
      <w:tr w:rsidR="00C1548D" w14:paraId="70A5082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826" w14:textId="77777777" w:rsidR="00C1548D" w:rsidRDefault="009B1B4B">
            <w:pPr>
              <w:spacing w:line="250" w:lineRule="auto"/>
            </w:pPr>
            <w:r>
              <w:rPr>
                <w:sz w:val="18"/>
                <w:szCs w:val="18"/>
              </w:rPr>
              <w:t>Steuerpflicht endet mit dem Steuerwohnsitz, nicht mit dem Pass</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827" w14:textId="77777777" w:rsidR="00C1548D" w:rsidRDefault="009B1B4B">
            <w:pPr>
              <w:spacing w:line="250" w:lineRule="auto"/>
            </w:pPr>
            <w:r>
              <w:rPr>
                <w:sz w:val="18"/>
                <w:szCs w:val="18"/>
              </w:rPr>
              <w:t>Gesamtdauer bis zum Pass real oft 6 bis 8 Jahre, nicht die schnellstmöglichen 5</w:t>
            </w:r>
          </w:p>
        </w:tc>
      </w:tr>
      <w:tr w:rsidR="00C1548D" w14:paraId="70A5082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829" w14:textId="77777777" w:rsidR="00C1548D" w:rsidRDefault="009B1B4B">
            <w:pPr>
              <w:spacing w:line="250" w:lineRule="auto"/>
            </w:pPr>
            <w:r>
              <w:rPr>
                <w:sz w:val="18"/>
                <w:szCs w:val="18"/>
              </w:rPr>
              <w:t>Keine Exit Tax beim Verzicht auf die Staatsbürgerschaft</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82A" w14:textId="77777777" w:rsidR="00C1548D" w:rsidRDefault="009B1B4B">
            <w:pPr>
              <w:spacing w:line="250" w:lineRule="auto"/>
            </w:pPr>
            <w:r>
              <w:rPr>
                <w:sz w:val="18"/>
                <w:szCs w:val="18"/>
              </w:rPr>
              <w:t>Steuerfolgen eines Wegzugs bleiben trotzdem individuell zu prüfen</w:t>
            </w:r>
          </w:p>
        </w:tc>
      </w:tr>
      <w:tr w:rsidR="00C1548D" w14:paraId="70A5082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82C" w14:textId="77777777" w:rsidR="00C1548D" w:rsidRDefault="009B1B4B">
            <w:pPr>
              <w:spacing w:line="250" w:lineRule="auto"/>
            </w:pPr>
            <w:r>
              <w:rPr>
                <w:sz w:val="18"/>
                <w:szCs w:val="18"/>
              </w:rPr>
              <w:lastRenderedPageBreak/>
              <w:t>Altersbefreiung vom künftigen Test für unter 16- und über 65-Jährige</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82D" w14:textId="77777777" w:rsidR="00C1548D" w:rsidRDefault="009B1B4B">
            <w:pPr>
              <w:spacing w:line="250" w:lineRule="auto"/>
            </w:pPr>
            <w:r>
              <w:rPr>
                <w:sz w:val="18"/>
                <w:szCs w:val="18"/>
              </w:rPr>
              <w:t>Reform von 2024 wirkt nicht rückwirkend für ältere Einbürgerungsfälle</w:t>
            </w:r>
          </w:p>
        </w:tc>
      </w:tr>
    </w:tbl>
    <w:p w14:paraId="70A5082F" w14:textId="77777777" w:rsidR="00C1548D" w:rsidRDefault="00C1548D">
      <w:pPr>
        <w:spacing w:line="180" w:lineRule="exact"/>
      </w:pPr>
    </w:p>
    <w:p w14:paraId="70A50830" w14:textId="77777777" w:rsidR="00C1548D" w:rsidRDefault="009B1B4B">
      <w:pPr>
        <w:pStyle w:val="Heading3"/>
        <w:keepNext/>
        <w:jc w:val="center"/>
      </w:pPr>
      <w:r>
        <w:rPr>
          <w:rFonts w:ascii="Amazon Ember" w:eastAsia="Amazon Ember" w:hAnsi="Amazon Ember" w:cs="Amazon Ember"/>
          <w:color w:val="0000FF"/>
          <w:sz w:val="36"/>
          <w:szCs w:val="36"/>
        </w:rPr>
        <w:t>Was jetzt zu tun ist</w:t>
      </w:r>
    </w:p>
    <w:p w14:paraId="70A50831" w14:textId="77777777" w:rsidR="00C1548D" w:rsidRDefault="009B1B4B">
      <w:pPr>
        <w:spacing w:after="140"/>
      </w:pPr>
      <w:r>
        <w:t>Rechne früh aus, über welchen Weg du realistisch ein Resident Visa erreichst, denn davon hängt die gesamte weitere Zeitachse ab; wer noch auf dem AEWV sitzt, sollte den Übergang zur Residenz bewusst vor der Fünf-Jahres-Grenze angehen, nicht erst kurz davor. Führe von Beginn an ein Anwesenheitslogbuch und prüfe beide Bedingungen getrennt – die 1.350-Tage-Gesamtsumme und die 240-Tage-Schwelle in jedem einzelnen Visa-Jahr. Wenn du die Einbürgerung ohnehin planst, ziehe in Betracht, den Antrag vor Inkrafttreten</w:t>
      </w:r>
      <w:r>
        <w:t xml:space="preserve"> des neuen Staatskundetests Ende 2027 zu stellen. Bei der Steuerresidenz gilt: Sprich frühzeitig mit einer Steuerfachperson, sobald ein längerer Auslandsaufenthalt – auch nur vorübergehend – im Raum steht, denn das betrifft dich unabhängig davon, ob du je einbürgern willst oder den Pass schon hast.</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83B" w14:textId="77777777">
        <w:tblPrEx>
          <w:tblCellMar>
            <w:top w:w="0" w:type="dxa"/>
            <w:bottom w:w="0" w:type="dxa"/>
          </w:tblCellMar>
        </w:tblPrEx>
        <w:trPr>
          <w:cantSplit/>
        </w:trPr>
        <w:tc>
          <w:tcPr>
            <w:tcW w:w="6480" w:type="dxa"/>
            <w:tcBorders>
              <w:top w:val="none" w:sz="0" w:space="0" w:color="FFFFFF"/>
              <w:left w:val="single" w:sz="24" w:space="0" w:color="1F6F78"/>
              <w:bottom w:val="none" w:sz="0" w:space="0" w:color="FFFFFF"/>
              <w:right w:val="none" w:sz="0" w:space="0" w:color="FFFFFF"/>
            </w:tcBorders>
            <w:shd w:val="clear" w:color="auto" w:fill="EBF5F6"/>
            <w:tcMar>
              <w:top w:w="110" w:type="dxa"/>
              <w:left w:w="200" w:type="dxa"/>
              <w:bottom w:w="80" w:type="dxa"/>
              <w:right w:w="160" w:type="dxa"/>
            </w:tcMar>
          </w:tcPr>
          <w:p w14:paraId="70A50832" w14:textId="77777777" w:rsidR="00C1548D" w:rsidRDefault="009B1B4B">
            <w:pPr>
              <w:keepNext/>
              <w:spacing w:after="70" w:line="240" w:lineRule="auto"/>
            </w:pPr>
            <w:r>
              <w:rPr>
                <w:b/>
                <w:bCs/>
                <w:color w:val="1F6F78"/>
                <w:spacing w:val="24"/>
                <w:sz w:val="16"/>
                <w:szCs w:val="16"/>
              </w:rPr>
              <w:lastRenderedPageBreak/>
              <w:t>CHECKLISTE</w:t>
            </w:r>
          </w:p>
          <w:p w14:paraId="70A50833"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Einstiegsweg (direktes Resident Visa oder Übergang vom AEWV) und realistische Gesamtdauer bis zum Antrag eingeschätzt</w:t>
            </w:r>
          </w:p>
          <w:p w14:paraId="70A50834"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Anwesenheitslogbuch geführt: Gesamtsumme (1.350/1.825 Tage) und Einzeljahr-Schwelle (240 Tage) getrennt berechnet</w:t>
            </w:r>
          </w:p>
          <w:p w14:paraId="70A50835"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Jahresgrenzen korrekt ab dem individuellen Visa-Jahrestag berechnet, nicht ab dem Kalenderjahr</w:t>
            </w:r>
          </w:p>
          <w:p w14:paraId="70A50836"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Guten Leumund und vollständige Offenlegung aller relevanten Vorstrafen sichergestellt</w:t>
            </w:r>
          </w:p>
          <w:p w14:paraId="70A50837"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Ankündigung des neuen Staatskundetests (Ende 2027) im eigenen Zeitplan berücksichtigt</w:t>
            </w:r>
          </w:p>
          <w:p w14:paraId="70A50838"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im Ausland geborenen Kindern: Citizenship-by-Descent-Registrierung rechtzeitig geprüft</w:t>
            </w:r>
          </w:p>
          <w:p w14:paraId="70A50839"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Eigenen steuerlichen Status (Steuerresident oder nicht) mit einer Steuerfachperson geklärt</w:t>
            </w:r>
          </w:p>
          <w:p w14:paraId="70A5083A" w14:textId="77777777" w:rsidR="00C1548D" w:rsidRDefault="009B1B4B">
            <w:pPr>
              <w:tabs>
                <w:tab w:val="left" w:pos="400"/>
              </w:tabs>
              <w:spacing w:after="50" w:line="264" w:lineRule="auto"/>
              <w:ind w:left="400" w:hanging="330"/>
            </w:pPr>
            <w:r>
              <w:rPr>
                <w:rFonts w:ascii="Segoe UI Symbol" w:eastAsia="Segoe UI Symbol" w:hAnsi="Segoe UI Symbol" w:cs="Segoe UI Symbol"/>
                <w:sz w:val="20"/>
                <w:szCs w:val="20"/>
              </w:rPr>
              <w:t>☐</w:t>
            </w:r>
            <w:r>
              <w:rPr>
                <w:sz w:val="20"/>
                <w:szCs w:val="20"/>
              </w:rPr>
              <w:tab/>
            </w:r>
            <w:r>
              <w:rPr>
                <w:sz w:val="20"/>
                <w:szCs w:val="20"/>
              </w:rPr>
              <w:t>Bei geplantem Wegzug aus Neuseeland: steuerliche Folgen vorab mit Steuerberatung geprüft</w:t>
            </w:r>
          </w:p>
        </w:tc>
      </w:tr>
    </w:tbl>
    <w:p w14:paraId="70A5083C" w14:textId="77777777" w:rsidR="00C1548D" w:rsidRDefault="00C1548D">
      <w:pPr>
        <w:spacing w:line="220" w:lineRule="exact"/>
      </w:pPr>
    </w:p>
    <w:p w14:paraId="70A5083D" w14:textId="77777777" w:rsidR="00C1548D" w:rsidRDefault="009B1B4B">
      <w:pPr>
        <w:pStyle w:val="Heading3"/>
        <w:keepNext/>
        <w:jc w:val="center"/>
      </w:pPr>
      <w:r>
        <w:rPr>
          <w:rFonts w:ascii="Amazon Ember" w:eastAsia="Amazon Ember" w:hAnsi="Amazon Ember" w:cs="Amazon Ember"/>
          <w:color w:val="0000FF"/>
          <w:sz w:val="36"/>
          <w:szCs w:val="36"/>
        </w:rPr>
        <w:t>Quellen und weiterführende Links</w:t>
      </w:r>
    </w:p>
    <w:p w14:paraId="70A5083E" w14:textId="0974C5A1" w:rsidR="00C1548D" w:rsidRDefault="009B1B4B" w:rsidP="009B1B4B">
      <w:pPr>
        <w:pStyle w:val="ListParagraph"/>
        <w:numPr>
          <w:ilvl w:val="0"/>
          <w:numId w:val="1"/>
        </w:numPr>
        <w:spacing w:after="60"/>
      </w:pPr>
      <w:r>
        <w:t>Department of Internal Affairs (DIA) — Citizenship by Grant: Voraussetzungen, Gebühren, angekündigter Staatskundetest (</w:t>
      </w:r>
      <w:hyperlink r:id="rId693" w:history="1">
        <w:r>
          <w:rPr>
            <w:color w:val="0563C1"/>
            <w:u w:val="single"/>
          </w:rPr>
          <w:t>dia.govt.nz</w:t>
        </w:r>
      </w:hyperlink>
      <w:r>
        <w:t>)</w:t>
      </w:r>
    </w:p>
    <w:p w14:paraId="70A5083F" w14:textId="0F14E61A" w:rsidR="00C1548D" w:rsidRDefault="009B1B4B" w:rsidP="009B1B4B">
      <w:pPr>
        <w:pStyle w:val="ListParagraph"/>
        <w:numPr>
          <w:ilvl w:val="0"/>
          <w:numId w:val="1"/>
        </w:numPr>
        <w:spacing w:after="60"/>
      </w:pPr>
      <w:r>
        <w:t>Immigration New Zealand — Resident Visa, Permanent Resident Visa, Green List (</w:t>
      </w:r>
      <w:hyperlink r:id="rId694" w:history="1">
        <w:r>
          <w:rPr>
            <w:color w:val="0563C1"/>
            <w:u w:val="single"/>
          </w:rPr>
          <w:t>immigration.govt.nz</w:t>
        </w:r>
      </w:hyperlink>
      <w:r>
        <w:t>)</w:t>
      </w:r>
    </w:p>
    <w:p w14:paraId="70A50840" w14:textId="440CB3C8" w:rsidR="00C1548D" w:rsidRDefault="009B1B4B" w:rsidP="009B1B4B">
      <w:pPr>
        <w:pStyle w:val="ListParagraph"/>
        <w:numPr>
          <w:ilvl w:val="0"/>
          <w:numId w:val="1"/>
        </w:numPr>
        <w:spacing w:after="60"/>
      </w:pPr>
      <w:r>
        <w:t>Inland Revenue (IRD) — Steuerresidenz für Neuseeland (</w:t>
      </w:r>
      <w:hyperlink r:id="rId695" w:history="1">
        <w:r>
          <w:rPr>
            <w:color w:val="0563C1"/>
            <w:u w:val="single"/>
          </w:rPr>
          <w:t>ird.govt.nz</w:t>
        </w:r>
      </w:hyperlink>
      <w:r>
        <w:t>)</w:t>
      </w:r>
    </w:p>
    <w:p w14:paraId="70A50841" w14:textId="2D842B22" w:rsidR="00C1548D" w:rsidRDefault="009B1B4B" w:rsidP="009B1B4B">
      <w:pPr>
        <w:pStyle w:val="ListParagraph"/>
        <w:numPr>
          <w:ilvl w:val="0"/>
          <w:numId w:val="1"/>
        </w:numPr>
        <w:spacing w:after="60"/>
      </w:pPr>
      <w:r>
        <w:t>Bundesministerium des Innern — Staatsangehörigkeitsrecht, Reform 2024 (</w:t>
      </w:r>
      <w:hyperlink r:id="rId696" w:history="1">
        <w:r>
          <w:rPr>
            <w:color w:val="0563C1"/>
            <w:u w:val="single"/>
          </w:rPr>
          <w:t>bmi.bund.de</w:t>
        </w:r>
      </w:hyperlink>
      <w:r>
        <w:t>)</w:t>
      </w:r>
    </w:p>
    <w:p w14:paraId="70A50842" w14:textId="7D3E16AC" w:rsidR="00C1548D" w:rsidRDefault="009B1B4B" w:rsidP="009B1B4B">
      <w:pPr>
        <w:pStyle w:val="ListParagraph"/>
        <w:numPr>
          <w:ilvl w:val="0"/>
          <w:numId w:val="1"/>
        </w:numPr>
        <w:spacing w:after="60"/>
      </w:pPr>
      <w:r>
        <w:t>Deutsche Botschaft Wellington — doppelte Staatsangehörigkeit, Beratung (</w:t>
      </w:r>
      <w:hyperlink r:id="rId697" w:history="1">
        <w:r>
          <w:rPr>
            <w:color w:val="0563C1"/>
            <w:u w:val="single"/>
          </w:rPr>
          <w:t>wellington.diplo.de</w:t>
        </w:r>
      </w:hyperlink>
      <w:r>
        <w:t>)</w:t>
      </w:r>
    </w:p>
    <w:p w14:paraId="70A50843"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84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844" w14:textId="77777777" w:rsidR="00C1548D" w:rsidRDefault="009B1B4B">
            <w:pPr>
              <w:keepNext/>
              <w:spacing w:after="70" w:line="240" w:lineRule="auto"/>
            </w:pPr>
            <w:r>
              <w:rPr>
                <w:b/>
                <w:bCs/>
                <w:color w:val="6B7280"/>
                <w:spacing w:val="24"/>
                <w:sz w:val="16"/>
                <w:szCs w:val="16"/>
              </w:rPr>
              <w:lastRenderedPageBreak/>
              <w:t>STAND</w:t>
            </w:r>
          </w:p>
          <w:p w14:paraId="70A50845" w14:textId="77777777" w:rsidR="00C1548D" w:rsidRDefault="009B1B4B">
            <w:pPr>
              <w:spacing w:after="80" w:line="264" w:lineRule="auto"/>
            </w:pPr>
            <w:r>
              <w:rPr>
                <w:sz w:val="20"/>
                <w:szCs w:val="20"/>
              </w:rPr>
              <w:t>September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tc>
      </w:tr>
    </w:tbl>
    <w:p w14:paraId="70A50847" w14:textId="77777777" w:rsidR="00C1548D" w:rsidRDefault="00C1548D">
      <w:pPr>
        <w:spacing w:line="220" w:lineRule="exact"/>
      </w:pPr>
    </w:p>
    <w:p w14:paraId="70A50848" w14:textId="77777777" w:rsidR="00C1548D" w:rsidRDefault="009B1B4B">
      <w:pPr>
        <w:pStyle w:val="Heading2"/>
        <w:keepNext/>
        <w:pageBreakBefore/>
        <w:jc w:val="center"/>
      </w:pPr>
      <w:bookmarkStart w:id="200" w:name="anhang_a"/>
      <w:bookmarkStart w:id="201" w:name="_Toc241352552"/>
      <w:r>
        <w:rPr>
          <w:rFonts w:ascii="Amazon Ember" w:eastAsia="Amazon Ember" w:hAnsi="Amazon Ember" w:cs="Amazon Ember"/>
          <w:color w:val="0000FF"/>
          <w:sz w:val="36"/>
          <w:szCs w:val="36"/>
        </w:rPr>
        <w:lastRenderedPageBreak/>
        <w:t>Anhang A: Die Master-Checkliste</w:t>
      </w:r>
      <w:bookmarkEnd w:id="200"/>
      <w:bookmarkEnd w:id="201"/>
    </w:p>
    <w:p w14:paraId="70A50849" w14:textId="77777777" w:rsidR="00C1548D" w:rsidRDefault="009B1B4B">
      <w:pPr>
        <w:spacing w:after="140"/>
      </w:pPr>
      <w:r>
        <w:t>Diese Checkliste bündelt die wichtigsten Aufgaben aus allen 42 Kapiteln in einer einzigen Zeitleiste, vom ersten Entschluss bis zu den ersten sechs Monaten in den USA. Sie zeigt, wann welcher Schritt ansteht, ersetzt aber nicht die Details der einzelnen Kapitel. Hake ab, was erledigt ist, und nutze die Klammerverweise zum Nachlesen.</w:t>
      </w:r>
    </w:p>
    <w:p w14:paraId="70A5084A" w14:textId="77777777" w:rsidR="00C1548D" w:rsidRDefault="009B1B4B">
      <w:pPr>
        <w:spacing w:after="140"/>
      </w:pPr>
      <w:r>
        <w:t xml:space="preserve">Die ersten Phasen auf dem Weg ins Ausland – Entschluss, Vorbereitung in Deutschland bei Behörden, Steuern, Dokumenten und die Umzugsentscheidung selbst – laufen für alle vier Zielländer identisch ab und stehen deshalb bereits im Teil Universal. Die Checkliste unten ergänzt das um die Schritte, die sich vom jeweiligen Zielland unterscheiden: Zusätzlich zur ausführlichen USA-Liste findest du einen eigenen Abschnitt für Kanada, Australien und Neuseeland mit den Punkten zu Visum, Ankunft, Steuer-ID, den ersten </w:t>
      </w:r>
      <w:r>
        <w:t>Wochen und den ersten sechs Monaten, die dort jeweils anders verlaufen als in den USA.</w:t>
      </w:r>
    </w:p>
    <w:p w14:paraId="70A5084B" w14:textId="77777777" w:rsidR="00C1548D" w:rsidRDefault="009B1B4B">
      <w:pPr>
        <w:pStyle w:val="Heading3"/>
        <w:keepNext/>
        <w:jc w:val="center"/>
      </w:pPr>
      <w:r>
        <w:rPr>
          <w:rFonts w:ascii="Amazon Ember" w:eastAsia="Amazon Ember" w:hAnsi="Amazon Ember" w:cs="Amazon Ember"/>
          <w:color w:val="0000FF"/>
          <w:sz w:val="36"/>
          <w:szCs w:val="36"/>
        </w:rPr>
        <w:t>USA</w:t>
      </w:r>
    </w:p>
    <w:p w14:paraId="70A5084C" w14:textId="77777777" w:rsidR="00C1548D" w:rsidRDefault="009B1B4B">
      <w:pPr>
        <w:pStyle w:val="Heading3"/>
        <w:keepNext/>
        <w:jc w:val="center"/>
      </w:pPr>
      <w:r>
        <w:rPr>
          <w:rFonts w:ascii="Amazon Ember" w:eastAsia="Amazon Ember" w:hAnsi="Amazon Ember" w:cs="Amazon Ember"/>
          <w:color w:val="0000FF"/>
          <w:sz w:val="36"/>
          <w:szCs w:val="36"/>
        </w:rPr>
        <w:t>T–18 bis T–12 Monate: Entscheidung und Vorbereitung</w:t>
      </w:r>
    </w:p>
    <w:p w14:paraId="70A5084D" w14:textId="4E1A5711" w:rsidR="00C1548D" w:rsidRDefault="009B1B4B">
      <w:pPr>
        <w:tabs>
          <w:tab w:val="left" w:pos="400"/>
        </w:tabs>
        <w:spacing w:after="60"/>
        <w:ind w:left="400" w:hanging="330"/>
      </w:pPr>
      <w:r>
        <w:rPr>
          <w:rFonts w:ascii="Segoe UI Symbol" w:eastAsia="Segoe UI Symbol" w:hAnsi="Segoe UI Symbol" w:cs="Segoe UI Symbol"/>
        </w:rPr>
        <w:t>☐</w:t>
      </w:r>
      <w:r>
        <w:tab/>
      </w:r>
      <w:r>
        <w:t>Eigene Netto-Rechnung für Gehalt, Steuern, Krankenversicherung und Wohnkosten mit dem Rechenmodell erstellt (Kapitel </w:t>
      </w:r>
      <w:hyperlink w:anchor="k3" w:history="1">
        <w:r>
          <w:t>3</w:t>
        </w:r>
      </w:hyperlink>
      <w:r>
        <w:t>)</w:t>
      </w:r>
    </w:p>
    <w:p w14:paraId="70A5084E" w14:textId="698447A9" w:rsidR="00C1548D" w:rsidRDefault="009B1B4B">
      <w:pPr>
        <w:tabs>
          <w:tab w:val="left" w:pos="400"/>
        </w:tabs>
        <w:spacing w:after="60"/>
        <w:ind w:left="400" w:hanging="330"/>
      </w:pPr>
      <w:r>
        <w:rPr>
          <w:rFonts w:ascii="Segoe UI Symbol" w:eastAsia="Segoe UI Symbol" w:hAnsi="Segoe UI Symbol" w:cs="Segoe UI Symbol"/>
        </w:rPr>
        <w:t>☐</w:t>
      </w:r>
      <w:r>
        <w:tab/>
      </w:r>
      <w:r>
        <w:t>Die drei wichtigsten Plus- und Minuspunkte mit Partner oder Familie besprochen und gewichtet (Kapitel </w:t>
      </w:r>
      <w:hyperlink w:anchor="k1" w:history="1">
        <w:r>
          <w:t>1</w:t>
        </w:r>
      </w:hyperlink>
      <w:r>
        <w:t>)</w:t>
      </w:r>
    </w:p>
    <w:p w14:paraId="70A5084F" w14:textId="4AC66F39" w:rsidR="00C1548D" w:rsidRDefault="009B1B4B">
      <w:pPr>
        <w:tabs>
          <w:tab w:val="left" w:pos="400"/>
        </w:tabs>
        <w:spacing w:after="60"/>
        <w:ind w:left="400" w:hanging="330"/>
      </w:pPr>
      <w:r>
        <w:rPr>
          <w:rFonts w:ascii="Segoe UI Symbol" w:eastAsia="Segoe UI Symbol" w:hAnsi="Segoe UI Symbol" w:cs="Segoe UI Symbol"/>
        </w:rPr>
        <w:t>☐</w:t>
      </w:r>
      <w:r>
        <w:tab/>
      </w:r>
      <w:r>
        <w:t>Zeithorizont für den USA-Aufenthalt festgelegt: einige Jahre, unbefristet oder offen (Kapitel </w:t>
      </w:r>
      <w:hyperlink w:anchor="k1" w:history="1">
        <w:r>
          <w:t>1</w:t>
        </w:r>
      </w:hyperlink>
      <w:r>
        <w:t>, Kapitel </w:t>
      </w:r>
      <w:hyperlink w:anchor="k3" w:history="1">
        <w:r>
          <w:t>3</w:t>
        </w:r>
      </w:hyperlink>
      <w:r>
        <w:t>)</w:t>
      </w:r>
    </w:p>
    <w:p w14:paraId="70A50850" w14:textId="28060A6F"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Eigene Situation im Entscheidungsbaum der Visumswege eingeordnet und das passende Detailkapitel gelesen (Kapitel </w:t>
      </w:r>
      <w:hyperlink w:anchor="k4" w:history="1">
        <w:r>
          <w:t>4</w:t>
        </w:r>
      </w:hyperlink>
      <w:r>
        <w:t>)</w:t>
      </w:r>
    </w:p>
    <w:p w14:paraId="70A50851" w14:textId="5D9A7F90" w:rsidR="00C1548D" w:rsidRDefault="009B1B4B">
      <w:pPr>
        <w:tabs>
          <w:tab w:val="left" w:pos="400"/>
        </w:tabs>
        <w:spacing w:after="60"/>
        <w:ind w:left="400" w:hanging="330"/>
      </w:pPr>
      <w:r>
        <w:rPr>
          <w:rFonts w:ascii="Segoe UI Symbol" w:eastAsia="Segoe UI Symbol" w:hAnsi="Segoe UI Symbol" w:cs="Segoe UI Symbol"/>
        </w:rPr>
        <w:t>☐</w:t>
      </w:r>
      <w:r>
        <w:tab/>
      </w:r>
      <w:r>
        <w:t>Geprüft, ob und über welchen Weg der Arbeitgeber ein Visum sponsert (Kapitel </w:t>
      </w:r>
      <w:hyperlink w:anchor="k4" w:history="1">
        <w:r>
          <w:t>4</w:t>
        </w:r>
      </w:hyperlink>
      <w:r>
        <w:t>, Kapitel </w:t>
      </w:r>
      <w:hyperlink w:anchor="k5" w:history="1">
        <w:r>
          <w:t>5</w:t>
        </w:r>
      </w:hyperlink>
      <w:r>
        <w:t>)</w:t>
      </w:r>
    </w:p>
    <w:p w14:paraId="70A50852" w14:textId="62F36B96" w:rsidR="00C1548D" w:rsidRDefault="009B1B4B">
      <w:pPr>
        <w:tabs>
          <w:tab w:val="left" w:pos="400"/>
        </w:tabs>
        <w:spacing w:after="60"/>
        <w:ind w:left="400" w:hanging="330"/>
      </w:pPr>
      <w:r>
        <w:rPr>
          <w:rFonts w:ascii="Segoe UI Symbol" w:eastAsia="Segoe UI Symbol" w:hAnsi="Segoe UI Symbol" w:cs="Segoe UI Symbol"/>
        </w:rPr>
        <w:t>☐</w:t>
      </w:r>
      <w:r>
        <w:tab/>
      </w:r>
      <w:r>
        <w:t>Geklärt, ob der Partner mitarbeiten darf und welche Arbeitserlaubnis-Perspektive besteht (Kapitel </w:t>
      </w:r>
      <w:hyperlink w:anchor="k10" w:history="1">
        <w:r>
          <w:t>10</w:t>
        </w:r>
      </w:hyperlink>
      <w:r>
        <w:t>)</w:t>
      </w:r>
    </w:p>
    <w:p w14:paraId="70A50853" w14:textId="7536CB00" w:rsidR="00C1548D" w:rsidRDefault="009B1B4B">
      <w:pPr>
        <w:tabs>
          <w:tab w:val="left" w:pos="400"/>
        </w:tabs>
        <w:spacing w:after="60"/>
        <w:ind w:left="400" w:hanging="330"/>
      </w:pPr>
      <w:r>
        <w:rPr>
          <w:rFonts w:ascii="Segoe UI Symbol" w:eastAsia="Segoe UI Symbol" w:hAnsi="Segoe UI Symbol" w:cs="Segoe UI Symbol"/>
        </w:rPr>
        <w:t>☐</w:t>
      </w:r>
      <w:r>
        <w:tab/>
      </w:r>
      <w:r>
        <w:t>Muss-, Kann- und Ausschlusskriterien schriftlich mit Partner oder Familie festgelegt (Kapitel </w:t>
      </w:r>
      <w:hyperlink w:anchor="k3" w:history="1">
        <w:r>
          <w:t>3</w:t>
        </w:r>
      </w:hyperlink>
      <w:r>
        <w:t>)</w:t>
      </w:r>
    </w:p>
    <w:p w14:paraId="70A50854" w14:textId="4573B6B2" w:rsidR="00C1548D" w:rsidRDefault="009B1B4B">
      <w:pPr>
        <w:tabs>
          <w:tab w:val="left" w:pos="400"/>
        </w:tabs>
        <w:spacing w:after="60"/>
        <w:ind w:left="400" w:hanging="330"/>
      </w:pPr>
      <w:r>
        <w:rPr>
          <w:rFonts w:ascii="Segoe UI Symbol" w:eastAsia="Segoe UI Symbol" w:hAnsi="Segoe UI Symbol" w:cs="Segoe UI Symbol"/>
        </w:rPr>
        <w:t>☐</w:t>
      </w:r>
      <w:r>
        <w:tab/>
      </w:r>
      <w:r>
        <w:t>Rücklage von mindestens sechs Monatsfixkosten aufgebaut, bevor gekündigt wird (Kapitel </w:t>
      </w:r>
      <w:hyperlink w:anchor="k2" w:history="1">
        <w:r>
          <w:t>2</w:t>
        </w:r>
      </w:hyperlink>
      <w:r>
        <w:t>, Kapitel </w:t>
      </w:r>
      <w:hyperlink w:anchor="k30" w:history="1">
        <w:r>
          <w:t>30</w:t>
        </w:r>
      </w:hyperlink>
      <w:r>
        <w:t>)</w:t>
      </w:r>
    </w:p>
    <w:p w14:paraId="70A50855" w14:textId="172188D2" w:rsidR="00C1548D" w:rsidRDefault="009B1B4B">
      <w:pPr>
        <w:tabs>
          <w:tab w:val="left" w:pos="400"/>
        </w:tabs>
        <w:spacing w:after="60"/>
        <w:ind w:left="400" w:hanging="330"/>
      </w:pPr>
      <w:r>
        <w:rPr>
          <w:rFonts w:ascii="Segoe UI Symbol" w:eastAsia="Segoe UI Symbol" w:hAnsi="Segoe UI Symbol" w:cs="Segoe UI Symbol"/>
        </w:rPr>
        <w:t>☐</w:t>
      </w:r>
      <w:r>
        <w:tab/>
      </w:r>
      <w:r>
        <w:t>Resume auf US-Format gebracht und LinkedIn-Profil auf Englisch angelegt (Kapitel </w:t>
      </w:r>
      <w:hyperlink w:anchor="k29" w:history="1">
        <w:r>
          <w:t>29</w:t>
        </w:r>
      </w:hyperlink>
      <w:r>
        <w:t>)</w:t>
      </w:r>
    </w:p>
    <w:p w14:paraId="70A50856" w14:textId="6CE33CE6" w:rsidR="00C1548D" w:rsidRDefault="009B1B4B">
      <w:pPr>
        <w:tabs>
          <w:tab w:val="left" w:pos="400"/>
        </w:tabs>
        <w:spacing w:after="60"/>
        <w:ind w:left="400" w:hanging="330"/>
      </w:pPr>
      <w:r>
        <w:rPr>
          <w:rFonts w:ascii="Segoe UI Symbol" w:eastAsia="Segoe UI Symbol" w:hAnsi="Segoe UI Symbol" w:cs="Segoe UI Symbol"/>
        </w:rPr>
        <w:t>☐</w:t>
      </w:r>
      <w:r>
        <w:tab/>
      </w:r>
      <w:r>
        <w:t>Antwort auf die Sponsoring-Frage und drei STAR-Geschichten für Vorstellungsgespräche vorbereitet (Kapitel </w:t>
      </w:r>
      <w:hyperlink w:anchor="k29" w:history="1">
        <w:r>
          <w:t>29</w:t>
        </w:r>
      </w:hyperlink>
      <w:r>
        <w:t>)</w:t>
      </w:r>
    </w:p>
    <w:p w14:paraId="70A50857" w14:textId="5211B5A0" w:rsidR="00C1548D" w:rsidRDefault="009B1B4B">
      <w:pPr>
        <w:tabs>
          <w:tab w:val="left" w:pos="400"/>
        </w:tabs>
        <w:spacing w:after="60"/>
        <w:ind w:left="400" w:hanging="330"/>
      </w:pPr>
      <w:r>
        <w:rPr>
          <w:rFonts w:ascii="Segoe UI Symbol" w:eastAsia="Segoe UI Symbol" w:hAnsi="Segoe UI Symbol" w:cs="Segoe UI Symbol"/>
        </w:rPr>
        <w:t>☐</w:t>
      </w:r>
      <w:r>
        <w:tab/>
      </w:r>
      <w:r>
        <w:t>Wohnort und Schulbezirk vorläufig recherchiert, bevor Jobangebote verglichen werden (Kapitel </w:t>
      </w:r>
      <w:hyperlink w:anchor="k1" w:history="1">
        <w:r>
          <w:t>1</w:t>
        </w:r>
      </w:hyperlink>
      <w:r>
        <w:t>, Kapitel </w:t>
      </w:r>
      <w:hyperlink w:anchor="k12" w:history="1">
        <w:r>
          <w:t>12</w:t>
        </w:r>
      </w:hyperlink>
      <w:r>
        <w:t>)</w:t>
      </w:r>
    </w:p>
    <w:p w14:paraId="70A50858" w14:textId="40C535B3" w:rsidR="00C1548D" w:rsidRDefault="009B1B4B">
      <w:pPr>
        <w:tabs>
          <w:tab w:val="left" w:pos="400"/>
        </w:tabs>
        <w:spacing w:after="60"/>
        <w:ind w:left="400" w:hanging="330"/>
      </w:pPr>
      <w:r>
        <w:rPr>
          <w:rFonts w:ascii="Segoe UI Symbol" w:eastAsia="Segoe UI Symbol" w:hAnsi="Segoe UI Symbol" w:cs="Segoe UI Symbol"/>
        </w:rPr>
        <w:t>☐</w:t>
      </w:r>
      <w:r>
        <w:tab/>
      </w:r>
      <w:r>
        <w:t>21. Geburtstag aller mitreisenden Kinder im Kalender notiert (Age-out-Risiko) (Kapitel </w:t>
      </w:r>
      <w:hyperlink w:anchor="k2" w:history="1">
        <w:r>
          <w:t>2</w:t>
        </w:r>
      </w:hyperlink>
      <w:r>
        <w:t>, Kapitel </w:t>
      </w:r>
      <w:hyperlink w:anchor="k10" w:history="1">
        <w:r>
          <w:t>10</w:t>
        </w:r>
      </w:hyperlink>
      <w:r>
        <w:t>)</w:t>
      </w:r>
    </w:p>
    <w:p w14:paraId="70A50859" w14:textId="5950D83E" w:rsidR="00C1548D" w:rsidRDefault="009B1B4B">
      <w:pPr>
        <w:tabs>
          <w:tab w:val="left" w:pos="400"/>
        </w:tabs>
        <w:spacing w:after="60"/>
        <w:ind w:left="400" w:hanging="330"/>
      </w:pPr>
      <w:r>
        <w:rPr>
          <w:rFonts w:ascii="Segoe UI Symbol" w:eastAsia="Segoe UI Symbol" w:hAnsi="Segoe UI Symbol" w:cs="Segoe UI Symbol"/>
        </w:rPr>
        <w:t>☐</w:t>
      </w:r>
      <w:r>
        <w:tab/>
      </w:r>
      <w:r>
        <w:t>Bei anderen Wegen als H-1B (L-1, O-1, E-2, J-1, Lotterie, Selbständigkeit) die jeweilige Eintrittsvoraussetzung geklärt: Konzernjahr, Leistungsbelege, Kapital oder Programmplatz (Kapitel </w:t>
      </w:r>
      <w:hyperlink w:anchor="k9" w:history="1">
        <w:r>
          <w:t>9</w:t>
        </w:r>
      </w:hyperlink>
      <w:r>
        <w:t>)</w:t>
      </w:r>
    </w:p>
    <w:p w14:paraId="70A5085A" w14:textId="220E96ED" w:rsidR="00C1548D" w:rsidRDefault="009B1B4B">
      <w:pPr>
        <w:tabs>
          <w:tab w:val="left" w:pos="400"/>
        </w:tabs>
        <w:spacing w:after="60"/>
        <w:ind w:left="400" w:hanging="330"/>
      </w:pPr>
      <w:r>
        <w:rPr>
          <w:rFonts w:ascii="Segoe UI Symbol" w:eastAsia="Segoe UI Symbol" w:hAnsi="Segoe UI Symbol" w:cs="Segoe UI Symbol"/>
        </w:rPr>
        <w:t>☐</w:t>
      </w:r>
      <w:r>
        <w:tab/>
      </w:r>
      <w:r>
        <w:t>Plan B für den Visumsweg parallel festgelegt (Kapitel </w:t>
      </w:r>
      <w:hyperlink w:anchor="k5" w:history="1">
        <w:r>
          <w:t>5</w:t>
        </w:r>
      </w:hyperlink>
      <w:r>
        <w:t>, Kapitel </w:t>
      </w:r>
      <w:hyperlink w:anchor="k8" w:history="1">
        <w:r>
          <w:t>8</w:t>
        </w:r>
      </w:hyperlink>
      <w:r>
        <w:t>, Kapitel </w:t>
      </w:r>
      <w:hyperlink w:anchor="k9" w:history="1">
        <w:r>
          <w:t>9</w:t>
        </w:r>
      </w:hyperlink>
      <w:r>
        <w:t>)</w:t>
      </w:r>
    </w:p>
    <w:p w14:paraId="70A5085B" w14:textId="111F2D46" w:rsidR="00C1548D" w:rsidRDefault="009B1B4B">
      <w:pPr>
        <w:tabs>
          <w:tab w:val="left" w:pos="400"/>
        </w:tabs>
        <w:spacing w:after="60"/>
        <w:ind w:left="400" w:hanging="330"/>
      </w:pPr>
      <w:r>
        <w:rPr>
          <w:rFonts w:ascii="Segoe UI Symbol" w:eastAsia="Segoe UI Symbol" w:hAnsi="Segoe UI Symbol" w:cs="Segoe UI Symbol"/>
        </w:rPr>
        <w:t>☐</w:t>
      </w:r>
      <w:r>
        <w:tab/>
      </w:r>
      <w:r>
        <w:t>Verhandlungsliste vor der Zusage durchgegangen: Relocation, Anwalt, Green-Card-Sponsoring, Steuerberatung, Rückkehrklausel (Kapitel </w:t>
      </w:r>
      <w:hyperlink w:anchor="k3" w:history="1">
        <w:r>
          <w:t>3</w:t>
        </w:r>
      </w:hyperlink>
      <w:r>
        <w:t>)</w:t>
      </w:r>
    </w:p>
    <w:p w14:paraId="70A5085C" w14:textId="2594C1C8" w:rsidR="00C1548D" w:rsidRDefault="009B1B4B">
      <w:pPr>
        <w:tabs>
          <w:tab w:val="left" w:pos="400"/>
        </w:tabs>
        <w:spacing w:after="60"/>
        <w:ind w:left="400" w:hanging="330"/>
      </w:pPr>
      <w:r>
        <w:rPr>
          <w:rFonts w:ascii="Segoe UI Symbol" w:eastAsia="Segoe UI Symbol" w:hAnsi="Segoe UI Symbol" w:cs="Segoe UI Symbol"/>
        </w:rPr>
        <w:t>☐</w:t>
      </w:r>
      <w:r>
        <w:tab/>
      </w:r>
      <w:r>
        <w:t>Alle finanziell relevanten Zusagen schriftlich im Angebot oder einer Zusatzvereinbarung bestätigt (Kapitel </w:t>
      </w:r>
      <w:hyperlink w:anchor="k3" w:history="1">
        <w:r>
          <w:t>3</w:t>
        </w:r>
      </w:hyperlink>
      <w:r>
        <w:t>, Kapitel </w:t>
      </w:r>
      <w:hyperlink w:anchor="k11" w:history="1">
        <w:r>
          <w:t>11</w:t>
        </w:r>
      </w:hyperlink>
      <w:r>
        <w:t>)</w:t>
      </w:r>
    </w:p>
    <w:p w14:paraId="70A5085D" w14:textId="22ECE8D1"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Offer Letter geprüft: Titel und Level, Bonusziel, Aktien, 401(k)-Match, Beginn der Krankenversicherung (Kapitel </w:t>
      </w:r>
      <w:hyperlink w:anchor="k29" w:history="1">
        <w:r>
          <w:t>29</w:t>
        </w:r>
      </w:hyperlink>
      <w:r>
        <w:t>)</w:t>
      </w:r>
    </w:p>
    <w:p w14:paraId="70A5085E" w14:textId="72EAC2FF" w:rsidR="00C1548D" w:rsidRDefault="009B1B4B">
      <w:pPr>
        <w:tabs>
          <w:tab w:val="left" w:pos="400"/>
        </w:tabs>
        <w:spacing w:after="60"/>
        <w:ind w:left="400" w:hanging="330"/>
      </w:pPr>
      <w:r>
        <w:rPr>
          <w:rFonts w:ascii="Segoe UI Symbol" w:eastAsia="Segoe UI Symbol" w:hAnsi="Segoe UI Symbol" w:cs="Segoe UI Symbol"/>
        </w:rPr>
        <w:t>☐</w:t>
      </w:r>
      <w:r>
        <w:tab/>
      </w:r>
      <w:r>
        <w:t>Level, Sign-on, Aktien und Startdatum verhandelt, nicht nur das Grundgehalt (Kapitel </w:t>
      </w:r>
      <w:hyperlink w:anchor="k29" w:history="1">
        <w:r>
          <w:t>29</w:t>
        </w:r>
      </w:hyperlink>
      <w:r>
        <w:t>)</w:t>
      </w:r>
    </w:p>
    <w:p w14:paraId="70A5085F" w14:textId="5BE5AD10" w:rsidR="00C1548D" w:rsidRDefault="009B1B4B">
      <w:pPr>
        <w:tabs>
          <w:tab w:val="left" w:pos="400"/>
        </w:tabs>
        <w:spacing w:after="60"/>
        <w:ind w:left="400" w:hanging="330"/>
      </w:pPr>
      <w:r>
        <w:rPr>
          <w:rFonts w:ascii="Segoe UI Symbol" w:eastAsia="Segoe UI Symbol" w:hAnsi="Segoe UI Symbol" w:cs="Segoe UI Symbol"/>
        </w:rPr>
        <w:t>☐</w:t>
      </w:r>
      <w:r>
        <w:tab/>
      </w:r>
      <w:r>
        <w:t>Wettbewerbsverbot, Schiedsvereinbarung und Erfindungszuweisung geprüft, eigene Vorerfindungen als Ausnahme eingetragen (Kapitel </w:t>
      </w:r>
      <w:hyperlink w:anchor="k29" w:history="1">
        <w:r>
          <w:t>29</w:t>
        </w:r>
      </w:hyperlink>
      <w:r>
        <w:t>)</w:t>
      </w:r>
    </w:p>
    <w:p w14:paraId="70A50860" w14:textId="777D1D83" w:rsidR="00C1548D" w:rsidRDefault="009B1B4B">
      <w:pPr>
        <w:tabs>
          <w:tab w:val="left" w:pos="400"/>
        </w:tabs>
        <w:spacing w:after="60"/>
        <w:ind w:left="400" w:hanging="330"/>
      </w:pPr>
      <w:r>
        <w:rPr>
          <w:rFonts w:ascii="Segoe UI Symbol" w:eastAsia="Segoe UI Symbol" w:hAnsi="Segoe UI Symbol" w:cs="Segoe UI Symbol"/>
        </w:rPr>
        <w:t>☐</w:t>
      </w:r>
      <w:r>
        <w:tab/>
      </w:r>
      <w:r>
        <w:t>Geklärt, wer die Visa- und Green-Card-Kosten trägt und wann das Verfahren startet (Kapitel </w:t>
      </w:r>
      <w:hyperlink w:anchor="k5" w:history="1">
        <w:r>
          <w:t>5</w:t>
        </w:r>
      </w:hyperlink>
      <w:r>
        <w:t>, Kapitel </w:t>
      </w:r>
      <w:hyperlink w:anchor="k6" w:history="1">
        <w:r>
          <w:t>6</w:t>
        </w:r>
      </w:hyperlink>
      <w:r>
        <w:t>, Kapitel </w:t>
      </w:r>
      <w:hyperlink w:anchor="k7" w:history="1">
        <w:r>
          <w:t>7</w:t>
        </w:r>
      </w:hyperlink>
      <w:r>
        <w:t>, Kapitel </w:t>
      </w:r>
      <w:hyperlink w:anchor="k29" w:history="1">
        <w:r>
          <w:t>29</w:t>
        </w:r>
      </w:hyperlink>
      <w:r>
        <w:t>)</w:t>
      </w:r>
    </w:p>
    <w:p w14:paraId="70A50861" w14:textId="77777777" w:rsidR="00C1548D" w:rsidRDefault="00C1548D">
      <w:pPr>
        <w:spacing w:line="120" w:lineRule="exact"/>
      </w:pPr>
    </w:p>
    <w:p w14:paraId="70A50862" w14:textId="77777777" w:rsidR="00C1548D" w:rsidRDefault="009B1B4B">
      <w:pPr>
        <w:pStyle w:val="Heading3"/>
        <w:keepNext/>
        <w:jc w:val="center"/>
      </w:pPr>
      <w:r>
        <w:rPr>
          <w:rFonts w:ascii="Amazon Ember" w:eastAsia="Amazon Ember" w:hAnsi="Amazon Ember" w:cs="Amazon Ember"/>
          <w:color w:val="0000FF"/>
          <w:sz w:val="36"/>
          <w:szCs w:val="36"/>
        </w:rPr>
        <w:t>T–12 bis T–6 Monate: Visum und Papiere</w:t>
      </w:r>
    </w:p>
    <w:p w14:paraId="70A50863" w14:textId="20C71D1D" w:rsidR="00C1548D" w:rsidRDefault="009B1B4B">
      <w:pPr>
        <w:tabs>
          <w:tab w:val="left" w:pos="400"/>
        </w:tabs>
        <w:spacing w:after="60"/>
        <w:ind w:left="400" w:hanging="330"/>
      </w:pPr>
      <w:r>
        <w:rPr>
          <w:rFonts w:ascii="Segoe UI Symbol" w:eastAsia="Segoe UI Symbol" w:hAnsi="Segoe UI Symbol" w:cs="Segoe UI Symbol"/>
        </w:rPr>
        <w:t>☐</w:t>
      </w:r>
      <w:r>
        <w:tab/>
      </w:r>
      <w:r>
        <w:t>Studienfach und Stelle abgeglichen, Bewertungsgutachten bei Bedarf mit der Kanzlei besprochen (Kapitel </w:t>
      </w:r>
      <w:hyperlink w:anchor="k5" w:history="1">
        <w:r>
          <w:t>5</w:t>
        </w:r>
      </w:hyperlink>
      <w:r>
        <w:t>)</w:t>
      </w:r>
    </w:p>
    <w:p w14:paraId="70A50864" w14:textId="44FD4CE6" w:rsidR="00C1548D" w:rsidRDefault="009B1B4B">
      <w:pPr>
        <w:tabs>
          <w:tab w:val="left" w:pos="400"/>
        </w:tabs>
        <w:spacing w:after="60"/>
        <w:ind w:left="400" w:hanging="330"/>
      </w:pPr>
      <w:r>
        <w:rPr>
          <w:rFonts w:ascii="Segoe UI Symbol" w:eastAsia="Segoe UI Symbol" w:hAnsi="Segoe UI Symbol" w:cs="Segoe UI Symbol"/>
        </w:rPr>
        <w:t>☐</w:t>
      </w:r>
      <w:r>
        <w:tab/>
      </w:r>
      <w:r>
        <w:t>Arbeitgeber schriftlich gefragt, ob und wie er das Visum sponsert, welche Lohnstufe gemeldet wird und wer die Gebühren trägt (Kapitel </w:t>
      </w:r>
      <w:hyperlink w:anchor="k5" w:history="1">
        <w:r>
          <w:t>5</w:t>
        </w:r>
      </w:hyperlink>
      <w:r>
        <w:t>, Kapitel </w:t>
      </w:r>
      <w:hyperlink w:anchor="k11" w:history="1">
        <w:r>
          <w:t>11</w:t>
        </w:r>
      </w:hyperlink>
      <w:r>
        <w:t>)</w:t>
      </w:r>
    </w:p>
    <w:p w14:paraId="70A50865" w14:textId="25A9DEBC" w:rsidR="00C1548D" w:rsidRDefault="009B1B4B">
      <w:pPr>
        <w:tabs>
          <w:tab w:val="left" w:pos="400"/>
        </w:tabs>
        <w:spacing w:after="60"/>
        <w:ind w:left="400" w:hanging="330"/>
      </w:pPr>
      <w:r>
        <w:rPr>
          <w:rFonts w:ascii="Segoe UI Symbol" w:eastAsia="Segoe UI Symbol" w:hAnsi="Segoe UI Symbol" w:cs="Segoe UI Symbol"/>
        </w:rPr>
        <w:t>☐</w:t>
      </w:r>
      <w:r>
        <w:tab/>
      </w:r>
      <w:r>
        <w:t>Nach Stellenabbau in den letzten zwölf Monaten beim Arbeitgeber gefragt (Kapitel </w:t>
      </w:r>
      <w:hyperlink w:anchor="k5" w:history="1">
        <w:r>
          <w:t>5</w:t>
        </w:r>
      </w:hyperlink>
      <w:r>
        <w:t>, Kapitel </w:t>
      </w:r>
      <w:hyperlink w:anchor="k9" w:history="1">
        <w:r>
          <w:t>9</w:t>
        </w:r>
      </w:hyperlink>
      <w:r>
        <w:t>, Kapitel </w:t>
      </w:r>
      <w:hyperlink w:anchor="k30" w:history="1">
        <w:r>
          <w:t>30</w:t>
        </w:r>
      </w:hyperlink>
      <w:r>
        <w:t>)</w:t>
      </w:r>
    </w:p>
    <w:p w14:paraId="70A50866" w14:textId="18FC6F87" w:rsidR="00C1548D" w:rsidRDefault="009B1B4B">
      <w:pPr>
        <w:tabs>
          <w:tab w:val="left" w:pos="400"/>
        </w:tabs>
        <w:spacing w:after="60"/>
        <w:ind w:left="400" w:hanging="330"/>
      </w:pPr>
      <w:r>
        <w:rPr>
          <w:rFonts w:ascii="Segoe UI Symbol" w:eastAsia="Segoe UI Symbol" w:hAnsi="Segoe UI Symbol" w:cs="Segoe UI Symbol"/>
        </w:rPr>
        <w:t>☐</w:t>
      </w:r>
      <w:r>
        <w:tab/>
      </w:r>
      <w:r>
        <w:t>Zeitplan rückwärts vom Starttermin aufgestellt, Registrierungsfenster bei Lotterie-Verfahren auf uscis.gov beobachtet (Kapitel </w:t>
      </w:r>
      <w:hyperlink w:anchor="k5" w:history="1">
        <w:r>
          <w:t>5</w:t>
        </w:r>
      </w:hyperlink>
      <w:r>
        <w:t>, Kapitel </w:t>
      </w:r>
      <w:hyperlink w:anchor="k15" w:history="1">
        <w:r>
          <w:t>15</w:t>
        </w:r>
      </w:hyperlink>
      <w:r>
        <w:t>)</w:t>
      </w:r>
    </w:p>
    <w:p w14:paraId="70A50867" w14:textId="2B6BE468" w:rsidR="00C1548D" w:rsidRDefault="009B1B4B">
      <w:pPr>
        <w:tabs>
          <w:tab w:val="left" w:pos="400"/>
        </w:tabs>
        <w:spacing w:after="60"/>
        <w:ind w:left="400" w:hanging="330"/>
      </w:pPr>
      <w:r>
        <w:rPr>
          <w:rFonts w:ascii="Segoe UI Symbol" w:eastAsia="Segoe UI Symbol" w:hAnsi="Segoe UI Symbol" w:cs="Segoe UI Symbol"/>
        </w:rPr>
        <w:t>☐</w:t>
      </w:r>
      <w:r>
        <w:tab/>
      </w:r>
      <w:r>
        <w:t>Bei Green Card: Geburtsland und passende Spalte des Visa Bulletin geprüft, Kategorie (EB-2, EB-3, EB-1C, NIW, EB-1A) mit der Kanzlei festgelegt (Kapitel </w:t>
      </w:r>
      <w:hyperlink w:anchor="k6" w:history="1">
        <w:r>
          <w:t>6</w:t>
        </w:r>
      </w:hyperlink>
      <w:r>
        <w:t>, Kapitel </w:t>
      </w:r>
      <w:hyperlink w:anchor="k7" w:history="1">
        <w:r>
          <w:t>7</w:t>
        </w:r>
      </w:hyperlink>
      <w:r>
        <w:t>)</w:t>
      </w:r>
    </w:p>
    <w:p w14:paraId="70A50868" w14:textId="07D4C820" w:rsidR="00C1548D" w:rsidRDefault="009B1B4B">
      <w:pPr>
        <w:tabs>
          <w:tab w:val="left" w:pos="400"/>
        </w:tabs>
        <w:spacing w:after="60"/>
        <w:ind w:left="400" w:hanging="330"/>
      </w:pPr>
      <w:r>
        <w:rPr>
          <w:rFonts w:ascii="Segoe UI Symbol" w:eastAsia="Segoe UI Symbol" w:hAnsi="Segoe UI Symbol" w:cs="Segoe UI Symbol"/>
        </w:rPr>
        <w:t>☐</w:t>
      </w:r>
      <w:r>
        <w:tab/>
      </w:r>
      <w:r>
        <w:t>Vor der Vertragsunterschrift schriftlich geklärt: Start der PERM, Kostenübernahme, Rückzahlungsklauseln (Kapitel </w:t>
      </w:r>
      <w:hyperlink w:anchor="k6" w:history="1">
        <w:r>
          <w:t>6</w:t>
        </w:r>
      </w:hyperlink>
      <w:r>
        <w:t>, Kapitel </w:t>
      </w:r>
      <w:hyperlink w:anchor="k7" w:history="1">
        <w:r>
          <w:t>7</w:t>
        </w:r>
      </w:hyperlink>
      <w:r>
        <w:t>)</w:t>
      </w:r>
    </w:p>
    <w:p w14:paraId="70A50869" w14:textId="165788C1"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Kanzlei, Ansprechperson und Kopien von Petition und LCA erfragt; entschieden, ob ein eigener Anwalt nötig ist (Kapitel </w:t>
      </w:r>
      <w:hyperlink w:anchor="k11" w:history="1">
        <w:r>
          <w:t>11</w:t>
        </w:r>
      </w:hyperlink>
      <w:r>
        <w:t>, Kapitel </w:t>
      </w:r>
      <w:hyperlink w:anchor="k30" w:history="1">
        <w:r>
          <w:t>30</w:t>
        </w:r>
      </w:hyperlink>
      <w:r>
        <w:t>)</w:t>
      </w:r>
    </w:p>
    <w:p w14:paraId="70A5086A" w14:textId="2EA01CD0" w:rsidR="00C1548D" w:rsidRDefault="009B1B4B">
      <w:pPr>
        <w:tabs>
          <w:tab w:val="left" w:pos="400"/>
        </w:tabs>
        <w:spacing w:after="60"/>
        <w:ind w:left="400" w:hanging="330"/>
      </w:pPr>
      <w:r>
        <w:rPr>
          <w:rFonts w:ascii="Segoe UI Symbol" w:eastAsia="Segoe UI Symbol" w:hAnsi="Segoe UI Symbol" w:cs="Segoe UI Symbol"/>
        </w:rPr>
        <w:t>☐</w:t>
      </w:r>
      <w:r>
        <w:tab/>
      </w:r>
      <w:r>
        <w:t>Für Ehepartner und Kinder geklärt: eigenes DS-160, Termin und Gebühr je Person, Anträge auf Arbeitserlaubnis; Familienstand vor dem Konsulatstermin geregelt (Heirat, Lebenspartnerschaft) (Kapitel </w:t>
      </w:r>
      <w:hyperlink w:anchor="k10" w:history="1">
        <w:r>
          <w:t>10</w:t>
        </w:r>
      </w:hyperlink>
      <w:r>
        <w:t>, Kapitel </w:t>
      </w:r>
      <w:hyperlink w:anchor="k11" w:history="1">
        <w:r>
          <w:t>11</w:t>
        </w:r>
      </w:hyperlink>
      <w:r>
        <w:t>)</w:t>
      </w:r>
    </w:p>
    <w:p w14:paraId="70A5086B" w14:textId="36B8B3E9" w:rsidR="00C1548D" w:rsidRDefault="009B1B4B">
      <w:pPr>
        <w:tabs>
          <w:tab w:val="left" w:pos="400"/>
        </w:tabs>
        <w:spacing w:after="60"/>
        <w:ind w:left="400" w:hanging="330"/>
      </w:pPr>
      <w:r>
        <w:rPr>
          <w:rFonts w:ascii="Segoe UI Symbol" w:eastAsia="Segoe UI Symbol" w:hAnsi="Segoe UI Symbol" w:cs="Segoe UI Symbol"/>
        </w:rPr>
        <w:t>☐</w:t>
      </w:r>
      <w:r>
        <w:tab/>
      </w:r>
      <w:r>
        <w:t>Im Angebotsschreiben festgehalten, wer die Kosten für Ehepartner und Kinder trägt (Kapitel </w:t>
      </w:r>
      <w:hyperlink w:anchor="k10" w:history="1">
        <w:r>
          <w:t>10</w:t>
        </w:r>
      </w:hyperlink>
      <w:r>
        <w:t>)</w:t>
      </w:r>
    </w:p>
    <w:p w14:paraId="70A5086C" w14:textId="71B7917C" w:rsidR="00C1548D" w:rsidRDefault="009B1B4B">
      <w:pPr>
        <w:tabs>
          <w:tab w:val="left" w:pos="400"/>
        </w:tabs>
        <w:spacing w:after="60"/>
        <w:ind w:left="400" w:hanging="330"/>
      </w:pPr>
      <w:r>
        <w:rPr>
          <w:rFonts w:ascii="Segoe UI Symbol" w:eastAsia="Segoe UI Symbol" w:hAnsi="Segoe UI Symbol" w:cs="Segoe UI Symbol"/>
        </w:rPr>
        <w:t>☐</w:t>
      </w:r>
      <w:r>
        <w:tab/>
      </w:r>
      <w:r>
        <w:t>Lizenzpflichtigen Beruf des Partners erkannt und Behörde des Zielstaats sowie Bewertungsdienst kontaktiert (Kapitel </w:t>
      </w:r>
      <w:hyperlink w:anchor="k10" w:history="1">
        <w:r>
          <w:t>10</w:t>
        </w:r>
      </w:hyperlink>
      <w:r>
        <w:t>)</w:t>
      </w:r>
    </w:p>
    <w:p w14:paraId="70A5086D" w14:textId="227F92B9" w:rsidR="00C1548D" w:rsidRDefault="009B1B4B">
      <w:pPr>
        <w:tabs>
          <w:tab w:val="left" w:pos="400"/>
        </w:tabs>
        <w:spacing w:after="60"/>
        <w:ind w:left="400" w:hanging="330"/>
      </w:pPr>
      <w:r>
        <w:rPr>
          <w:rFonts w:ascii="Segoe UI Symbol" w:eastAsia="Segoe UI Symbol" w:hAnsi="Segoe UI Symbol" w:cs="Segoe UI Symbol"/>
        </w:rPr>
        <w:t>☐</w:t>
      </w:r>
      <w:r>
        <w:tab/>
      </w:r>
      <w:r>
        <w:t>Ablaufdaten aller Reisepässe notiert, bei kurzer Restgültigkeit erneuert; für jedes Kind einen eigenen ePass beantragt (Kapitel </w:t>
      </w:r>
      <w:hyperlink w:anchor="k19" w:history="1">
        <w:r>
          <w:t>19</w:t>
        </w:r>
      </w:hyperlink>
      <w:r>
        <w:t>)</w:t>
      </w:r>
    </w:p>
    <w:p w14:paraId="70A5086E" w14:textId="475D5950" w:rsidR="00C1548D" w:rsidRDefault="009B1B4B">
      <w:pPr>
        <w:tabs>
          <w:tab w:val="left" w:pos="400"/>
        </w:tabs>
        <w:spacing w:after="60"/>
        <w:ind w:left="400" w:hanging="330"/>
      </w:pPr>
      <w:r>
        <w:rPr>
          <w:rFonts w:ascii="Segoe UI Symbol" w:eastAsia="Segoe UI Symbol" w:hAnsi="Segoe UI Symbol" w:cs="Segoe UI Symbol"/>
        </w:rPr>
        <w:t>☐</w:t>
      </w:r>
      <w:r>
        <w:tab/>
      </w:r>
      <w:r>
        <w:t>Zeugnisbewertung rechtzeitig vor der Registrierungsfrist beauftragt (Kapitel </w:t>
      </w:r>
      <w:hyperlink w:anchor="k15" w:history="1">
        <w:r>
          <w:t>15</w:t>
        </w:r>
      </w:hyperlink>
      <w:r>
        <w:t>, Kapitel </w:t>
      </w:r>
      <w:hyperlink w:anchor="k19" w:history="1">
        <w:r>
          <w:t>19</w:t>
        </w:r>
      </w:hyperlink>
      <w:r>
        <w:t>)</w:t>
      </w:r>
    </w:p>
    <w:p w14:paraId="70A5086F" w14:textId="7E212144" w:rsidR="00C1548D" w:rsidRDefault="009B1B4B">
      <w:pPr>
        <w:tabs>
          <w:tab w:val="left" w:pos="400"/>
        </w:tabs>
        <w:spacing w:after="60"/>
        <w:ind w:left="400" w:hanging="330"/>
      </w:pPr>
      <w:r>
        <w:rPr>
          <w:rFonts w:ascii="Segoe UI Symbol" w:eastAsia="Segoe UI Symbol" w:hAnsi="Segoe UI Symbol" w:cs="Segoe UI Symbol"/>
        </w:rPr>
        <w:t>☐</w:t>
      </w:r>
      <w:r>
        <w:tab/>
      </w:r>
      <w:r>
        <w:t>Diplome, Zeugnisse und Arbeitszeugnisse beschafft; Geburts- und Heiratsurkunden als internationale Ausfertigung zwei- bis dreimal bestellt (Kapitel </w:t>
      </w:r>
      <w:hyperlink w:anchor="k19" w:history="1">
        <w:r>
          <w:t>19</w:t>
        </w:r>
      </w:hyperlink>
      <w:r>
        <w:t>)</w:t>
      </w:r>
    </w:p>
    <w:p w14:paraId="70A50870" w14:textId="7FABD3FE" w:rsidR="00C1548D" w:rsidRDefault="009B1B4B">
      <w:pPr>
        <w:tabs>
          <w:tab w:val="left" w:pos="400"/>
        </w:tabs>
        <w:spacing w:after="60"/>
        <w:ind w:left="400" w:hanging="330"/>
      </w:pPr>
      <w:r>
        <w:rPr>
          <w:rFonts w:ascii="Segoe UI Symbol" w:eastAsia="Segoe UI Symbol" w:hAnsi="Segoe UI Symbol" w:cs="Segoe UI Symbol"/>
        </w:rPr>
        <w:t>☐</w:t>
      </w:r>
      <w:r>
        <w:tab/>
      </w:r>
      <w:r>
        <w:t>Übersetzer mit Bescheinigung beauftragt, Namen exakt wie im Pass geschrieben; Apostille mit der Kanzlei geklärt (Kapitel </w:t>
      </w:r>
      <w:hyperlink w:anchor="k19" w:history="1">
        <w:r>
          <w:t>19</w:t>
        </w:r>
      </w:hyperlink>
      <w:r>
        <w:t>)</w:t>
      </w:r>
    </w:p>
    <w:p w14:paraId="70A50871" w14:textId="17C12960" w:rsidR="00C1548D" w:rsidRDefault="009B1B4B">
      <w:pPr>
        <w:tabs>
          <w:tab w:val="left" w:pos="400"/>
        </w:tabs>
        <w:spacing w:after="60"/>
        <w:ind w:left="400" w:hanging="330"/>
      </w:pPr>
      <w:r>
        <w:rPr>
          <w:rFonts w:ascii="Segoe UI Symbol" w:eastAsia="Segoe UI Symbol" w:hAnsi="Segoe UI Symbol" w:cs="Segoe UI Symbol"/>
        </w:rPr>
        <w:t>☐</w:t>
      </w:r>
      <w:r>
        <w:tab/>
      </w:r>
      <w:r>
        <w:t>Bei Bedarf Führungszeugnis beantragt und Vorlauf für die Apostille eingeplant (Kapitel </w:t>
      </w:r>
      <w:hyperlink w:anchor="k19" w:history="1">
        <w:r>
          <w:t>19</w:t>
        </w:r>
      </w:hyperlink>
      <w:r>
        <w:t>)</w:t>
      </w:r>
    </w:p>
    <w:p w14:paraId="70A50872" w14:textId="55765716" w:rsidR="00C1548D" w:rsidRDefault="009B1B4B">
      <w:pPr>
        <w:tabs>
          <w:tab w:val="left" w:pos="400"/>
        </w:tabs>
        <w:spacing w:after="60"/>
        <w:ind w:left="400" w:hanging="330"/>
      </w:pPr>
      <w:r>
        <w:rPr>
          <w:rFonts w:ascii="Segoe UI Symbol" w:eastAsia="Segoe UI Symbol" w:hAnsi="Segoe UI Symbol" w:cs="Segoe UI Symbol"/>
        </w:rPr>
        <w:t>☐</w:t>
      </w:r>
      <w:r>
        <w:tab/>
      </w:r>
      <w:r>
        <w:t>Bei lizenzpflichtigem Beruf einen Fahrplan mit der Behörde des Ziel-Bundesstaats erstellt (Kapitel </w:t>
      </w:r>
      <w:hyperlink w:anchor="k19" w:history="1">
        <w:r>
          <w:t>19</w:t>
        </w:r>
      </w:hyperlink>
      <w:r>
        <w:t>)</w:t>
      </w:r>
    </w:p>
    <w:p w14:paraId="70A50873" w14:textId="2B701BA2" w:rsidR="00C1548D" w:rsidRDefault="009B1B4B">
      <w:pPr>
        <w:tabs>
          <w:tab w:val="left" w:pos="400"/>
        </w:tabs>
        <w:spacing w:after="60"/>
        <w:ind w:left="400" w:hanging="330"/>
      </w:pPr>
      <w:r>
        <w:rPr>
          <w:rFonts w:ascii="Segoe UI Symbol" w:eastAsia="Segoe UI Symbol" w:hAnsi="Segoe UI Symbol" w:cs="Segoe UI Symbol"/>
        </w:rPr>
        <w:t>☐</w:t>
      </w:r>
      <w:r>
        <w:tab/>
      </w:r>
      <w:r>
        <w:t>Vor jeder Entscheidung uscis.gov, federalregister.gov und die Kanzlei zum aktuellen Stand befragt (Kapitel </w:t>
      </w:r>
      <w:hyperlink w:anchor="k5" w:history="1">
        <w:r>
          <w:t>5</w:t>
        </w:r>
      </w:hyperlink>
      <w:r>
        <w:t>, Kapitel </w:t>
      </w:r>
      <w:hyperlink w:anchor="k7" w:history="1">
        <w:r>
          <w:t>7</w:t>
        </w:r>
      </w:hyperlink>
      <w:r>
        <w:t>)</w:t>
      </w:r>
    </w:p>
    <w:p w14:paraId="70A50874" w14:textId="77777777" w:rsidR="00C1548D" w:rsidRDefault="00C1548D">
      <w:pPr>
        <w:spacing w:line="120" w:lineRule="exact"/>
      </w:pPr>
    </w:p>
    <w:p w14:paraId="70A50875" w14:textId="77777777" w:rsidR="00C1548D" w:rsidRDefault="009B1B4B">
      <w:pPr>
        <w:pStyle w:val="Heading3"/>
        <w:keepNext/>
        <w:jc w:val="center"/>
      </w:pPr>
      <w:r>
        <w:rPr>
          <w:rFonts w:ascii="Amazon Ember" w:eastAsia="Amazon Ember" w:hAnsi="Amazon Ember" w:cs="Amazon Ember"/>
          <w:color w:val="0000FF"/>
          <w:sz w:val="36"/>
          <w:szCs w:val="36"/>
        </w:rPr>
        <w:lastRenderedPageBreak/>
        <w:t>T–6 bis T–3 Monate: Kündigungen und Umzug organisieren</w:t>
      </w:r>
    </w:p>
    <w:p w14:paraId="70A50876" w14:textId="2BB42AFA" w:rsidR="00C1548D" w:rsidRDefault="009B1B4B">
      <w:pPr>
        <w:tabs>
          <w:tab w:val="left" w:pos="400"/>
        </w:tabs>
        <w:spacing w:after="60"/>
        <w:ind w:left="400" w:hanging="330"/>
      </w:pPr>
      <w:r>
        <w:rPr>
          <w:rFonts w:ascii="Segoe UI Symbol" w:eastAsia="Segoe UI Symbol" w:hAnsi="Segoe UI Symbol" w:cs="Segoe UI Symbol"/>
        </w:rPr>
        <w:t>☐</w:t>
      </w:r>
      <w:r>
        <w:tab/>
      </w:r>
      <w:r>
        <w:t>Nettogehalt für den Zielort berechnet, Kauf- und Mietpreise mit dem eigenen Budget verglichen (Kapitel </w:t>
      </w:r>
      <w:hyperlink w:anchor="k12" w:history="1">
        <w:r>
          <w:t>12</w:t>
        </w:r>
      </w:hyperlink>
      <w:r>
        <w:t>, Kapitel </w:t>
      </w:r>
      <w:hyperlink w:anchor="k13" w:history="1">
        <w:r>
          <w:t>13</w:t>
        </w:r>
      </w:hyperlink>
      <w:r>
        <w:t>, Kapitel </w:t>
      </w:r>
      <w:hyperlink w:anchor="k14" w:history="1">
        <w:r>
          <w:t>14</w:t>
        </w:r>
      </w:hyperlink>
      <w:r>
        <w:t>)</w:t>
      </w:r>
    </w:p>
    <w:p w14:paraId="70A50877" w14:textId="19380372" w:rsidR="00C1548D" w:rsidRDefault="009B1B4B">
      <w:pPr>
        <w:tabs>
          <w:tab w:val="left" w:pos="400"/>
        </w:tabs>
        <w:spacing w:after="60"/>
        <w:ind w:left="400" w:hanging="330"/>
      </w:pPr>
      <w:r>
        <w:rPr>
          <w:rFonts w:ascii="Segoe UI Symbol" w:eastAsia="Segoe UI Symbol" w:hAnsi="Segoe UI Symbol" w:cs="Segoe UI Symbol"/>
        </w:rPr>
        <w:t>☐</w:t>
      </w:r>
      <w:r>
        <w:tab/>
      </w:r>
      <w:r>
        <w:t>Naturgefahren der Region recherchiert, Versicherbarkeit eingeschätzt; entschieden, das erste Jahr zu mieten statt zu kaufen (Kapitel </w:t>
      </w:r>
      <w:hyperlink w:anchor="k12" w:history="1">
        <w:r>
          <w:t>12</w:t>
        </w:r>
      </w:hyperlink>
      <w:r>
        <w:t>)</w:t>
      </w:r>
    </w:p>
    <w:p w14:paraId="70A50878" w14:textId="5B66CA69" w:rsidR="00C1548D" w:rsidRDefault="009B1B4B">
      <w:pPr>
        <w:tabs>
          <w:tab w:val="left" w:pos="400"/>
        </w:tabs>
        <w:spacing w:after="60"/>
        <w:ind w:left="400" w:hanging="330"/>
      </w:pPr>
      <w:r>
        <w:rPr>
          <w:rFonts w:ascii="Segoe UI Symbol" w:eastAsia="Segoe UI Symbol" w:hAnsi="Segoe UI Symbol" w:cs="Segoe UI Symbol"/>
        </w:rPr>
        <w:t>☐</w:t>
      </w:r>
      <w:r>
        <w:tab/>
      </w:r>
      <w:r>
        <w:t>Schuldistrikt vor der Wohnungssuche geprüft und schriftlich bestätigen lassen (Kapitel </w:t>
      </w:r>
      <w:hyperlink w:anchor="k2" w:history="1">
        <w:r>
          <w:t>2</w:t>
        </w:r>
      </w:hyperlink>
      <w:r>
        <w:t>, Kapitel </w:t>
      </w:r>
      <w:hyperlink w:anchor="k12" w:history="1">
        <w:r>
          <w:t>12</w:t>
        </w:r>
      </w:hyperlink>
      <w:r>
        <w:t>, Kapitel </w:t>
      </w:r>
      <w:hyperlink w:anchor="k36" w:history="1">
        <w:r>
          <w:t>36</w:t>
        </w:r>
      </w:hyperlink>
      <w:r>
        <w:t>)</w:t>
      </w:r>
    </w:p>
    <w:p w14:paraId="70A50879" w14:textId="66C81B48" w:rsidR="00C1548D" w:rsidRDefault="009B1B4B">
      <w:pPr>
        <w:tabs>
          <w:tab w:val="left" w:pos="400"/>
        </w:tabs>
        <w:spacing w:after="60"/>
        <w:ind w:left="400" w:hanging="330"/>
      </w:pPr>
      <w:r>
        <w:rPr>
          <w:rFonts w:ascii="Segoe UI Symbol" w:eastAsia="Segoe UI Symbol" w:hAnsi="Segoe UI Symbol" w:cs="Segoe UI Symbol"/>
        </w:rPr>
        <w:t>☐</w:t>
      </w:r>
      <w:r>
        <w:tab/>
      </w:r>
      <w:r>
        <w:t>Geklärt, ob am Wohnort ein Auto nötig ist und Budget dafür eingeplant; Nahverkehrsanbindung geprüft (Kapitel </w:t>
      </w:r>
      <w:hyperlink w:anchor="k12" w:history="1">
        <w:r>
          <w:t>12</w:t>
        </w:r>
      </w:hyperlink>
      <w:r>
        <w:t>, Kapitel </w:t>
      </w:r>
      <w:hyperlink w:anchor="k27" w:history="1">
        <w:r>
          <w:t>27</w:t>
        </w:r>
      </w:hyperlink>
      <w:r>
        <w:t>)</w:t>
      </w:r>
    </w:p>
    <w:p w14:paraId="70A5087A" w14:textId="517D0AEE" w:rsidR="00C1548D" w:rsidRDefault="009B1B4B">
      <w:pPr>
        <w:tabs>
          <w:tab w:val="left" w:pos="400"/>
        </w:tabs>
        <w:spacing w:after="60"/>
        <w:ind w:left="400" w:hanging="330"/>
      </w:pPr>
      <w:r>
        <w:rPr>
          <w:rFonts w:ascii="Segoe UI Symbol" w:eastAsia="Segoe UI Symbol" w:hAnsi="Segoe UI Symbol" w:cs="Segoe UI Symbol"/>
        </w:rPr>
        <w:t>☐</w:t>
      </w:r>
      <w:r>
        <w:tab/>
      </w:r>
      <w:r>
        <w:t>Vertragsliste aus zwölf Monaten Kontoauszügen erstellt, Kündigungstermine vom Abflug rückwärts berechnet (Kapitel </w:t>
      </w:r>
      <w:hyperlink w:anchor="k2" w:history="1">
        <w:r>
          <w:t>2</w:t>
        </w:r>
      </w:hyperlink>
      <w:r>
        <w:t>, Kapitel </w:t>
      </w:r>
      <w:hyperlink w:anchor="k16" w:history="1">
        <w:r>
          <w:t>16</w:t>
        </w:r>
      </w:hyperlink>
      <w:r>
        <w:t>)</w:t>
      </w:r>
    </w:p>
    <w:p w14:paraId="70A5087B" w14:textId="6BCCB905" w:rsidR="00C1548D" w:rsidRDefault="009B1B4B">
      <w:pPr>
        <w:tabs>
          <w:tab w:val="left" w:pos="400"/>
        </w:tabs>
        <w:spacing w:after="60"/>
        <w:ind w:left="400" w:hanging="330"/>
      </w:pPr>
      <w:r>
        <w:rPr>
          <w:rFonts w:ascii="Segoe UI Symbol" w:eastAsia="Segoe UI Symbol" w:hAnsi="Segoe UI Symbol" w:cs="Segoe UI Symbol"/>
        </w:rPr>
        <w:t>☐</w:t>
      </w:r>
      <w:r>
        <w:tab/>
      </w:r>
      <w:r>
        <w:t>Relocation-Bedingungen schriftlich geklärt: brutto oder netto, Gross-up, Direktabrechnung, Rückzahlungsklausel (Kapitel </w:t>
      </w:r>
      <w:hyperlink w:anchor="k20" w:history="1">
        <w:r>
          <w:t>20</w:t>
        </w:r>
      </w:hyperlink>
      <w:r>
        <w:t>, Kapitel </w:t>
      </w:r>
      <w:hyperlink w:anchor="k28" w:history="1">
        <w:r>
          <w:t>28</w:t>
        </w:r>
      </w:hyperlink>
      <w:r>
        <w:t>)</w:t>
      </w:r>
    </w:p>
    <w:p w14:paraId="70A5087C" w14:textId="45CDD5F2" w:rsidR="00C1548D" w:rsidRDefault="009B1B4B">
      <w:pPr>
        <w:tabs>
          <w:tab w:val="left" w:pos="400"/>
        </w:tabs>
        <w:spacing w:after="60"/>
        <w:ind w:left="400" w:hanging="330"/>
      </w:pPr>
      <w:r>
        <w:rPr>
          <w:rFonts w:ascii="Segoe UI Symbol" w:eastAsia="Segoe UI Symbol" w:hAnsi="Segoe UI Symbol" w:cs="Segoe UI Symbol"/>
        </w:rPr>
        <w:t>☐</w:t>
      </w:r>
      <w:r>
        <w:tab/>
      </w:r>
      <w:r>
        <w:t>Drei Tür-zu-Tür-Festpreise für die Spedition nach Besichtigung oder Video-Survey eingeholt, FIDI-FAIM und AMSA ProMover geprüft (Kapitel </w:t>
      </w:r>
      <w:hyperlink w:anchor="k20" w:history="1">
        <w:r>
          <w:t>20</w:t>
        </w:r>
      </w:hyperlink>
      <w:r>
        <w:t>)</w:t>
      </w:r>
    </w:p>
    <w:p w14:paraId="70A5087D" w14:textId="1D02CBEA" w:rsidR="00C1548D" w:rsidRDefault="009B1B4B">
      <w:pPr>
        <w:tabs>
          <w:tab w:val="left" w:pos="400"/>
        </w:tabs>
        <w:spacing w:after="60"/>
        <w:ind w:left="400" w:hanging="330"/>
      </w:pPr>
      <w:r>
        <w:rPr>
          <w:rFonts w:ascii="Segoe UI Symbol" w:eastAsia="Segoe UI Symbol" w:hAnsi="Segoe UI Symbol" w:cs="Segoe UI Symbol"/>
        </w:rPr>
        <w:t>☐</w:t>
      </w:r>
      <w:r>
        <w:tab/>
      </w:r>
      <w:r>
        <w:t>Volumen geschätzt, ausgemistet und Raum-für-Raum-Inventar mit der Entscheidung Mitnehmen, Verkaufen oder Neukaufen angelegt (Kapitel </w:t>
      </w:r>
      <w:hyperlink w:anchor="k20" w:history="1">
        <w:r>
          <w:t>20</w:t>
        </w:r>
      </w:hyperlink>
      <w:r>
        <w:t>, Kapitel </w:t>
      </w:r>
      <w:hyperlink w:anchor="k21" w:history="1">
        <w:r>
          <w:t>21</w:t>
        </w:r>
      </w:hyperlink>
      <w:r>
        <w:t>)</w:t>
      </w:r>
    </w:p>
    <w:p w14:paraId="70A5087E" w14:textId="44B6ADED" w:rsidR="00C1548D" w:rsidRDefault="009B1B4B">
      <w:pPr>
        <w:tabs>
          <w:tab w:val="left" w:pos="400"/>
        </w:tabs>
        <w:spacing w:after="60"/>
        <w:ind w:left="400" w:hanging="330"/>
      </w:pPr>
      <w:r>
        <w:rPr>
          <w:rFonts w:ascii="Segoe UI Symbol" w:eastAsia="Segoe UI Symbol" w:hAnsi="Segoe UI Symbol" w:cs="Segoe UI Symbol"/>
        </w:rPr>
        <w:t>☐</w:t>
      </w:r>
      <w:r>
        <w:tab/>
      </w:r>
      <w:r>
        <w:t>Betten, Matratzen und Elektrogeräte auf US-Normen (Spannung, Maße) geprüft; was nicht passt, bleibt zurück (Kapitel </w:t>
      </w:r>
      <w:hyperlink w:anchor="k2" w:history="1">
        <w:r>
          <w:t>2</w:t>
        </w:r>
      </w:hyperlink>
      <w:r>
        <w:t>, Kapitel </w:t>
      </w:r>
      <w:hyperlink w:anchor="k21" w:history="1">
        <w:r>
          <w:t>21</w:t>
        </w:r>
      </w:hyperlink>
      <w:r>
        <w:t>)</w:t>
      </w:r>
    </w:p>
    <w:p w14:paraId="70A5087F" w14:textId="0DC0067A" w:rsidR="00C1548D" w:rsidRDefault="009B1B4B">
      <w:pPr>
        <w:tabs>
          <w:tab w:val="left" w:pos="400"/>
        </w:tabs>
        <w:spacing w:after="60"/>
        <w:ind w:left="400" w:hanging="330"/>
      </w:pPr>
      <w:r>
        <w:rPr>
          <w:rFonts w:ascii="Segoe UI Symbol" w:eastAsia="Segoe UI Symbol" w:hAnsi="Segoe UI Symbol" w:cs="Segoe UI Symbol"/>
        </w:rPr>
        <w:t>☐</w:t>
      </w:r>
      <w:r>
        <w:tab/>
      </w:r>
      <w:r>
        <w:t>Verkaufen, Verschenken und Spenden acht bis zwölf Wochen vor dem Abflug begonnen (Kapitel </w:t>
      </w:r>
      <w:hyperlink w:anchor="k21" w:history="1">
        <w:r>
          <w:t>21</w:t>
        </w:r>
      </w:hyperlink>
      <w:r>
        <w:t>)</w:t>
      </w:r>
    </w:p>
    <w:p w14:paraId="70A50880" w14:textId="55D65D7E"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Deutsche Fondssparpläne und Depots vor dem steuerlichen Zuzug mit einem Steuerberater auf PFIC-Risiko geprüft: verkaufen oder behalten (Kapitel </w:t>
      </w:r>
      <w:hyperlink w:anchor="k2" w:history="1">
        <w:r>
          <w:t>2</w:t>
        </w:r>
      </w:hyperlink>
      <w:r>
        <w:t>, Kapitel </w:t>
      </w:r>
      <w:hyperlink w:anchor="k17" w:history="1">
        <w:r>
          <w:t>17</w:t>
        </w:r>
      </w:hyperlink>
      <w:r>
        <w:t>, Kapitel </w:t>
      </w:r>
      <w:hyperlink w:anchor="k28" w:history="1">
        <w:r>
          <w:t>28</w:t>
        </w:r>
      </w:hyperlink>
      <w:r>
        <w:t>, Kapitel </w:t>
      </w:r>
      <w:hyperlink w:anchor="k39" w:history="1">
        <w:r>
          <w:t>39</w:t>
        </w:r>
      </w:hyperlink>
      <w:r>
        <w:t>)</w:t>
      </w:r>
    </w:p>
    <w:p w14:paraId="70A50881" w14:textId="36934AA4" w:rsidR="00C1548D" w:rsidRDefault="009B1B4B">
      <w:pPr>
        <w:tabs>
          <w:tab w:val="left" w:pos="400"/>
        </w:tabs>
        <w:spacing w:after="60"/>
        <w:ind w:left="400" w:hanging="330"/>
      </w:pPr>
      <w:r>
        <w:rPr>
          <w:rFonts w:ascii="Segoe UI Symbol" w:eastAsia="Segoe UI Symbol" w:hAnsi="Segoe UI Symbol" w:cs="Segoe UI Symbol"/>
        </w:rPr>
        <w:t>☐</w:t>
      </w:r>
      <w:r>
        <w:tab/>
      </w:r>
      <w:r>
        <w:t>Bei Unternehmensanteilen ab 1 %: Wegzugsteuer nach § 6 AStG mit dem Steuerberater durchgerechnet (Kapitel </w:t>
      </w:r>
      <w:hyperlink w:anchor="k17" w:history="1">
        <w:r>
          <w:t>17</w:t>
        </w:r>
      </w:hyperlink>
      <w:r>
        <w:t>)</w:t>
      </w:r>
    </w:p>
    <w:p w14:paraId="70A50882" w14:textId="0E1D34DC" w:rsidR="00C1548D" w:rsidRDefault="009B1B4B">
      <w:pPr>
        <w:tabs>
          <w:tab w:val="left" w:pos="400"/>
        </w:tabs>
        <w:spacing w:after="60"/>
        <w:ind w:left="400" w:hanging="330"/>
      </w:pPr>
      <w:r>
        <w:rPr>
          <w:rFonts w:ascii="Segoe UI Symbol" w:eastAsia="Segoe UI Symbol" w:hAnsi="Segoe UI Symbol" w:cs="Segoe UI Symbol"/>
        </w:rPr>
        <w:t>☐</w:t>
      </w:r>
      <w:r>
        <w:tab/>
      </w:r>
      <w:r>
        <w:t>Rentenversicherungsverlauf klären lassen, neue Anschrift der Deutschen Rentenversicherung gemeldet, freiwillige Beiträge geprüft (Kapitel </w:t>
      </w:r>
      <w:hyperlink w:anchor="k17" w:history="1">
        <w:r>
          <w:t>17</w:t>
        </w:r>
      </w:hyperlink>
      <w:r>
        <w:t>, Kapitel </w:t>
      </w:r>
      <w:hyperlink w:anchor="k39" w:history="1">
        <w:r>
          <w:t>39</w:t>
        </w:r>
      </w:hyperlink>
      <w:r>
        <w:t>)</w:t>
      </w:r>
    </w:p>
    <w:p w14:paraId="70A50883" w14:textId="237114F2" w:rsidR="00C1548D" w:rsidRDefault="009B1B4B">
      <w:pPr>
        <w:tabs>
          <w:tab w:val="left" w:pos="400"/>
        </w:tabs>
        <w:spacing w:after="60"/>
        <w:ind w:left="400" w:hanging="330"/>
      </w:pPr>
      <w:r>
        <w:rPr>
          <w:rFonts w:ascii="Segoe UI Symbol" w:eastAsia="Segoe UI Symbol" w:hAnsi="Segoe UI Symbol" w:cs="Segoe UI Symbol"/>
        </w:rPr>
        <w:t>☐</w:t>
      </w:r>
      <w:r>
        <w:tab/>
      </w:r>
      <w:r>
        <w:t>Bei vermieteter oder noch keine zehn Jahre gehaltener Immobilie die steuerlichen Folgen von Vermietung oder Verkauf geklärt (Kapitel </w:t>
      </w:r>
      <w:hyperlink w:anchor="k14" w:history="1">
        <w:r>
          <w:t>14</w:t>
        </w:r>
      </w:hyperlink>
      <w:r>
        <w:t>, Kapitel </w:t>
      </w:r>
      <w:hyperlink w:anchor="k17" w:history="1">
        <w:r>
          <w:t>17</w:t>
        </w:r>
      </w:hyperlink>
      <w:r>
        <w:t>)</w:t>
      </w:r>
    </w:p>
    <w:p w14:paraId="70A50884" w14:textId="7DC5A9DB" w:rsidR="00C1548D" w:rsidRDefault="009B1B4B">
      <w:pPr>
        <w:tabs>
          <w:tab w:val="left" w:pos="400"/>
        </w:tabs>
        <w:spacing w:after="60"/>
        <w:ind w:left="400" w:hanging="330"/>
      </w:pPr>
      <w:r>
        <w:rPr>
          <w:rFonts w:ascii="Segoe UI Symbol" w:eastAsia="Segoe UI Symbol" w:hAnsi="Segoe UI Symbol" w:cs="Segoe UI Symbol"/>
        </w:rPr>
        <w:t>☐</w:t>
      </w:r>
      <w:r>
        <w:tab/>
      </w:r>
      <w:r>
        <w:t>Zustellungsbevollmächtigten in Deutschland benannt, Steuerberater mit deutsch-amerikanischer Erfahrung gefunden (Kapitel </w:t>
      </w:r>
      <w:hyperlink w:anchor="k17" w:history="1">
        <w:r>
          <w:t>17</w:t>
        </w:r>
      </w:hyperlink>
      <w:r>
        <w:t>)</w:t>
      </w:r>
    </w:p>
    <w:p w14:paraId="70A50885" w14:textId="79FAB898" w:rsidR="00C1548D" w:rsidRDefault="009B1B4B">
      <w:pPr>
        <w:tabs>
          <w:tab w:val="left" w:pos="400"/>
        </w:tabs>
        <w:spacing w:after="60"/>
        <w:ind w:left="400" w:hanging="330"/>
      </w:pPr>
      <w:r>
        <w:rPr>
          <w:rFonts w:ascii="Segoe UI Symbol" w:eastAsia="Segoe UI Symbol" w:hAnsi="Segoe UI Symbol" w:cs="Segoe UI Symbol"/>
        </w:rPr>
        <w:t>☐</w:t>
      </w:r>
      <w:r>
        <w:tab/>
      </w:r>
      <w:r>
        <w:t>Bei Bedarf GKV- oder PKV-Anwartschaft beantragt, solange noch gesund (Kapitel </w:t>
      </w:r>
      <w:hyperlink w:anchor="k2" w:history="1">
        <w:r>
          <w:t>2</w:t>
        </w:r>
      </w:hyperlink>
      <w:r>
        <w:t>, Kapitel </w:t>
      </w:r>
      <w:hyperlink w:anchor="k18" w:history="1">
        <w:r>
          <w:t>18</w:t>
        </w:r>
      </w:hyperlink>
      <w:r>
        <w:t>, Kapitel </w:t>
      </w:r>
      <w:hyperlink w:anchor="k39" w:history="1">
        <w:r>
          <w:t>39</w:t>
        </w:r>
      </w:hyperlink>
      <w:r>
        <w:t>)</w:t>
      </w:r>
    </w:p>
    <w:p w14:paraId="70A50886" w14:textId="6DBAAB04" w:rsidR="00C1548D" w:rsidRDefault="009B1B4B">
      <w:pPr>
        <w:tabs>
          <w:tab w:val="left" w:pos="400"/>
        </w:tabs>
        <w:spacing w:after="60"/>
        <w:ind w:left="400" w:hanging="330"/>
      </w:pPr>
      <w:r>
        <w:rPr>
          <w:rFonts w:ascii="Segoe UI Symbol" w:eastAsia="Segoe UI Symbol" w:hAnsi="Segoe UI Symbol" w:cs="Segoe UI Symbol"/>
        </w:rPr>
        <w:t>☐</w:t>
      </w:r>
      <w:r>
        <w:tab/>
      </w:r>
      <w:r>
        <w:t>Termine bei Zahnarzt, Augenarzt und Kinderarzt für die ganze Familie vereinbart, fehlende Impfungen nachgeholt (Kapitel </w:t>
      </w:r>
      <w:hyperlink w:anchor="k18" w:history="1">
        <w:r>
          <w:t>18</w:t>
        </w:r>
      </w:hyperlink>
      <w:r>
        <w:t>)</w:t>
      </w:r>
    </w:p>
    <w:p w14:paraId="70A50887" w14:textId="40E74FEB" w:rsidR="00C1548D" w:rsidRDefault="009B1B4B">
      <w:pPr>
        <w:tabs>
          <w:tab w:val="left" w:pos="400"/>
        </w:tabs>
        <w:spacing w:after="60"/>
        <w:ind w:left="400" w:hanging="330"/>
      </w:pPr>
      <w:r>
        <w:rPr>
          <w:rFonts w:ascii="Segoe UI Symbol" w:eastAsia="Segoe UI Symbol" w:hAnsi="Segoe UI Symbol" w:cs="Segoe UI Symbol"/>
        </w:rPr>
        <w:t>☐</w:t>
      </w:r>
      <w:r>
        <w:tab/>
      </w:r>
      <w:r>
        <w:t>Betreuungsplatz für Kinder frühzeitig angefragt (Kapitel </w:t>
      </w:r>
      <w:hyperlink w:anchor="k2" w:history="1">
        <w:r>
          <w:t>2</w:t>
        </w:r>
      </w:hyperlink>
      <w:r>
        <w:t>, Kapitel </w:t>
      </w:r>
      <w:hyperlink w:anchor="k38" w:history="1">
        <w:r>
          <w:t>38</w:t>
        </w:r>
      </w:hyperlink>
      <w:r>
        <w:t>)</w:t>
      </w:r>
    </w:p>
    <w:p w14:paraId="70A50888" w14:textId="494D7569" w:rsidR="00C1548D" w:rsidRDefault="009B1B4B">
      <w:pPr>
        <w:tabs>
          <w:tab w:val="left" w:pos="400"/>
        </w:tabs>
        <w:spacing w:after="60"/>
        <w:ind w:left="400" w:hanging="330"/>
      </w:pPr>
      <w:r>
        <w:rPr>
          <w:rFonts w:ascii="Segoe UI Symbol" w:eastAsia="Segoe UI Symbol" w:hAnsi="Segoe UI Symbol" w:cs="Segoe UI Symbol"/>
        </w:rPr>
        <w:t>☐</w:t>
      </w:r>
      <w:r>
        <w:tab/>
      </w:r>
      <w:r>
        <w:t>Bei Haustieren: Tierarzttermin drei bis vier Monate vor Abflug, Tollwutimpfung, Airline-Regeln und Transportbox geklärt (Kapitel </w:t>
      </w:r>
      <w:hyperlink w:anchor="k22" w:history="1">
        <w:r>
          <w:t>22</w:t>
        </w:r>
      </w:hyperlink>
      <w:r>
        <w:t>)</w:t>
      </w:r>
    </w:p>
    <w:p w14:paraId="70A50889" w14:textId="77777777" w:rsidR="00C1548D" w:rsidRDefault="00C1548D">
      <w:pPr>
        <w:spacing w:line="120" w:lineRule="exact"/>
      </w:pPr>
    </w:p>
    <w:p w14:paraId="70A5088A" w14:textId="77777777" w:rsidR="00C1548D" w:rsidRDefault="009B1B4B">
      <w:pPr>
        <w:pStyle w:val="Heading3"/>
        <w:keepNext/>
        <w:jc w:val="center"/>
      </w:pPr>
      <w:r>
        <w:rPr>
          <w:rFonts w:ascii="Amazon Ember" w:eastAsia="Amazon Ember" w:hAnsi="Amazon Ember" w:cs="Amazon Ember"/>
          <w:color w:val="0000FF"/>
          <w:sz w:val="36"/>
          <w:szCs w:val="36"/>
        </w:rPr>
        <w:t>T–3 bis T–1 Monat: Feinschliff</w:t>
      </w:r>
    </w:p>
    <w:p w14:paraId="70A5088B" w14:textId="48889838" w:rsidR="00C1548D" w:rsidRDefault="009B1B4B">
      <w:pPr>
        <w:tabs>
          <w:tab w:val="left" w:pos="400"/>
        </w:tabs>
        <w:spacing w:after="60"/>
        <w:ind w:left="400" w:hanging="330"/>
      </w:pPr>
      <w:r>
        <w:rPr>
          <w:rFonts w:ascii="Segoe UI Symbol" w:eastAsia="Segoe UI Symbol" w:hAnsi="Segoe UI Symbol" w:cs="Segoe UI Symbol"/>
        </w:rPr>
        <w:t>☐</w:t>
      </w:r>
      <w:r>
        <w:tab/>
      </w:r>
      <w:r>
        <w:t>DS-160 für jede Person ausgefüllt, mit Petition und Lebenslauf abgeglichen, alle Social-Media-Konten angegeben und Profile auf öffentlich gestellt (Kapitel </w:t>
      </w:r>
      <w:hyperlink w:anchor="k5" w:history="1">
        <w:r>
          <w:t>5</w:t>
        </w:r>
      </w:hyperlink>
      <w:r>
        <w:t>, Kapitel </w:t>
      </w:r>
      <w:hyperlink w:anchor="k8" w:history="1">
        <w:r>
          <w:t>8</w:t>
        </w:r>
      </w:hyperlink>
      <w:r>
        <w:t>, Kapitel </w:t>
      </w:r>
      <w:hyperlink w:anchor="k11" w:history="1">
        <w:r>
          <w:t>11</w:t>
        </w:r>
      </w:hyperlink>
      <w:r>
        <w:t>)</w:t>
      </w:r>
    </w:p>
    <w:p w14:paraId="70A5088C" w14:textId="4C823A3A"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Konsulargebühr gezahlt, Termin für die Familie gemeinsam gebucht, Interview-Mappe gepackt: Pass, DS-160-Bestätigung, Gebührenbeleg, I-797, Kopien (Kapitel </w:t>
      </w:r>
      <w:hyperlink w:anchor="k11" w:history="1">
        <w:r>
          <w:t>11</w:t>
        </w:r>
      </w:hyperlink>
      <w:r>
        <w:t>)</w:t>
      </w:r>
    </w:p>
    <w:p w14:paraId="70A5088D" w14:textId="6712EE24" w:rsidR="00C1548D" w:rsidRDefault="009B1B4B">
      <w:pPr>
        <w:tabs>
          <w:tab w:val="left" w:pos="400"/>
        </w:tabs>
        <w:spacing w:after="60"/>
        <w:ind w:left="400" w:hanging="330"/>
      </w:pPr>
      <w:r>
        <w:rPr>
          <w:rFonts w:ascii="Segoe UI Symbol" w:eastAsia="Segoe UI Symbol" w:hAnsi="Segoe UI Symbol" w:cs="Segoe UI Symbol"/>
        </w:rPr>
        <w:t>☐</w:t>
      </w:r>
      <w:r>
        <w:tab/>
      </w:r>
      <w:r>
        <w:t>Visum nach dem Interview geprüft (Name, Kategorie, Datum); erst danach Kündigungen und Buchungen verbindlich gemacht (Kapitel </w:t>
      </w:r>
      <w:hyperlink w:anchor="k5" w:history="1">
        <w:r>
          <w:t>5</w:t>
        </w:r>
      </w:hyperlink>
      <w:r>
        <w:t>, Kapitel </w:t>
      </w:r>
      <w:hyperlink w:anchor="k11" w:history="1">
        <w:r>
          <w:t>11</w:t>
        </w:r>
      </w:hyperlink>
      <w:r>
        <w:t>)</w:t>
      </w:r>
    </w:p>
    <w:p w14:paraId="70A5088E" w14:textId="0904C3F0" w:rsidR="00C1548D" w:rsidRDefault="009B1B4B">
      <w:pPr>
        <w:tabs>
          <w:tab w:val="left" w:pos="400"/>
        </w:tabs>
        <w:spacing w:after="60"/>
        <w:ind w:left="400" w:hanging="330"/>
      </w:pPr>
      <w:r>
        <w:rPr>
          <w:rFonts w:ascii="Segoe UI Symbol" w:eastAsia="Segoe UI Symbol" w:hAnsi="Segoe UI Symbol" w:cs="Segoe UI Symbol"/>
        </w:rPr>
        <w:t>☐</w:t>
      </w:r>
      <w:r>
        <w:tab/>
      </w:r>
      <w:r>
        <w:t>Wohnung schriftlich gekündigt, sobald Genehmigung und Interviewtermin feststehen; Übergabetermin und Kautionskonto mitgeteilt (Kapitel </w:t>
      </w:r>
      <w:hyperlink w:anchor="k15" w:history="1">
        <w:r>
          <w:t>15</w:t>
        </w:r>
      </w:hyperlink>
      <w:r>
        <w:t>, Kapitel </w:t>
      </w:r>
      <w:hyperlink w:anchor="k16" w:history="1">
        <w:r>
          <w:t>16</w:t>
        </w:r>
      </w:hyperlink>
      <w:r>
        <w:t>)</w:t>
      </w:r>
    </w:p>
    <w:p w14:paraId="70A5088F" w14:textId="4E11EE9C" w:rsidR="00C1548D" w:rsidRDefault="009B1B4B">
      <w:pPr>
        <w:tabs>
          <w:tab w:val="left" w:pos="400"/>
        </w:tabs>
        <w:spacing w:after="60"/>
        <w:ind w:left="400" w:hanging="330"/>
      </w:pPr>
      <w:r>
        <w:rPr>
          <w:rFonts w:ascii="Segoe UI Symbol" w:eastAsia="Segoe UI Symbol" w:hAnsi="Segoe UI Symbol" w:cs="Segoe UI Symbol"/>
        </w:rPr>
        <w:t>☐</w:t>
      </w:r>
      <w:r>
        <w:tab/>
      </w:r>
      <w:r>
        <w:t>Arbeitsvertrag erst nach gesichertem Visum gekündigt oder Aufhebungsvertrag geschlossen, Arbeitszeugnis angefordert (Kapitel </w:t>
      </w:r>
      <w:hyperlink w:anchor="k15" w:history="1">
        <w:r>
          <w:t>15</w:t>
        </w:r>
      </w:hyperlink>
      <w:r>
        <w:t>, Kapitel </w:t>
      </w:r>
      <w:hyperlink w:anchor="k16" w:history="1">
        <w:r>
          <w:t>16</w:t>
        </w:r>
      </w:hyperlink>
      <w:r>
        <w:t>)</w:t>
      </w:r>
    </w:p>
    <w:p w14:paraId="70A50890" w14:textId="30DAFC94" w:rsidR="00C1548D" w:rsidRDefault="009B1B4B">
      <w:pPr>
        <w:tabs>
          <w:tab w:val="left" w:pos="400"/>
        </w:tabs>
        <w:spacing w:after="60"/>
        <w:ind w:left="400" w:hanging="330"/>
      </w:pPr>
      <w:r>
        <w:rPr>
          <w:rFonts w:ascii="Segoe UI Symbol" w:eastAsia="Segoe UI Symbol" w:hAnsi="Segoe UI Symbol" w:cs="Segoe UI Symbol"/>
        </w:rPr>
        <w:t>☐</w:t>
      </w:r>
      <w:r>
        <w:tab/>
      </w:r>
      <w:r>
        <w:t>Spedition mit Visum im Pass verbindlich gebucht, sechs bis acht Wochen vor der Verladung, Transportversicherung „all risk“ abgeschlossen (Kapitel </w:t>
      </w:r>
      <w:hyperlink w:anchor="k15" w:history="1">
        <w:r>
          <w:t>15</w:t>
        </w:r>
      </w:hyperlink>
      <w:r>
        <w:t>, Kapitel </w:t>
      </w:r>
      <w:hyperlink w:anchor="k20" w:history="1">
        <w:r>
          <w:t>20</w:t>
        </w:r>
      </w:hyperlink>
      <w:r>
        <w:t>)</w:t>
      </w:r>
    </w:p>
    <w:p w14:paraId="70A50891" w14:textId="315D071A" w:rsidR="00C1548D" w:rsidRDefault="009B1B4B">
      <w:pPr>
        <w:tabs>
          <w:tab w:val="left" w:pos="400"/>
        </w:tabs>
        <w:spacing w:after="60"/>
        <w:ind w:left="400" w:hanging="330"/>
      </w:pPr>
      <w:r>
        <w:rPr>
          <w:rFonts w:ascii="Segoe UI Symbol" w:eastAsia="Segoe UI Symbol" w:hAnsi="Segoe UI Symbol" w:cs="Segoe UI Symbol"/>
        </w:rPr>
        <w:t>☐</w:t>
      </w:r>
      <w:r>
        <w:tab/>
      </w:r>
      <w:r>
        <w:t>Englische Inventarliste mit Werten erstellt, Zollagent und Vollmacht mit der Spedition abgestimmt (CBP Form 3299) (Kapitel </w:t>
      </w:r>
      <w:hyperlink w:anchor="k20" w:history="1">
        <w:r>
          <w:t>20</w:t>
        </w:r>
      </w:hyperlink>
      <w:r>
        <w:t>)</w:t>
      </w:r>
    </w:p>
    <w:p w14:paraId="70A50892" w14:textId="1197F3EA" w:rsidR="00C1548D" w:rsidRDefault="009B1B4B">
      <w:pPr>
        <w:tabs>
          <w:tab w:val="left" w:pos="400"/>
        </w:tabs>
        <w:spacing w:after="60"/>
        <w:ind w:left="400" w:hanging="330"/>
      </w:pPr>
      <w:r>
        <w:rPr>
          <w:rFonts w:ascii="Segoe UI Symbol" w:eastAsia="Segoe UI Symbol" w:hAnsi="Segoe UI Symbol" w:cs="Segoe UI Symbol"/>
        </w:rPr>
        <w:t>☐</w:t>
      </w:r>
      <w:r>
        <w:tab/>
      </w:r>
      <w:r>
        <w:t>Lebensmittel, Pflanzen, Holz ohne ISPM-15-Stempel, Alkohol und Waffen aus der Ladung aussortiert (Kapitel </w:t>
      </w:r>
      <w:hyperlink w:anchor="k20" w:history="1">
        <w:r>
          <w:t>20</w:t>
        </w:r>
      </w:hyperlink>
      <w:r>
        <w:t>)</w:t>
      </w:r>
    </w:p>
    <w:p w14:paraId="70A50893" w14:textId="59A88BC5" w:rsidR="00C1548D" w:rsidRDefault="009B1B4B">
      <w:pPr>
        <w:tabs>
          <w:tab w:val="left" w:pos="400"/>
        </w:tabs>
        <w:spacing w:after="60"/>
        <w:ind w:left="400" w:hanging="330"/>
      </w:pPr>
      <w:r>
        <w:rPr>
          <w:rFonts w:ascii="Segoe UI Symbol" w:eastAsia="Segoe UI Symbol" w:hAnsi="Segoe UI Symbol" w:cs="Segoe UI Symbol"/>
        </w:rPr>
        <w:t>☐</w:t>
      </w:r>
      <w:r>
        <w:tab/>
      </w:r>
      <w:r>
        <w:t>Auslandsreise- oder Langzeit-Auslandskrankenversicherung abgeschlossen, die an den Start der US-Versicherung anschließt (Kapitel </w:t>
      </w:r>
      <w:hyperlink w:anchor="k1" w:history="1">
        <w:r>
          <w:t>1</w:t>
        </w:r>
      </w:hyperlink>
      <w:r>
        <w:t>, Kapitel </w:t>
      </w:r>
      <w:hyperlink w:anchor="k2" w:history="1">
        <w:r>
          <w:t>2</w:t>
        </w:r>
      </w:hyperlink>
      <w:r>
        <w:t>, Kapitel </w:t>
      </w:r>
      <w:hyperlink w:anchor="k18" w:history="1">
        <w:r>
          <w:t>18</w:t>
        </w:r>
      </w:hyperlink>
      <w:r>
        <w:t>)</w:t>
      </w:r>
    </w:p>
    <w:p w14:paraId="70A50894" w14:textId="4BBD36E5" w:rsidR="00C1548D" w:rsidRDefault="009B1B4B">
      <w:pPr>
        <w:tabs>
          <w:tab w:val="left" w:pos="400"/>
        </w:tabs>
        <w:spacing w:after="60"/>
        <w:ind w:left="400" w:hanging="330"/>
      </w:pPr>
      <w:r>
        <w:rPr>
          <w:rFonts w:ascii="Segoe UI Symbol" w:eastAsia="Segoe UI Symbol" w:hAnsi="Segoe UI Symbol" w:cs="Segoe UI Symbol"/>
        </w:rPr>
        <w:t>☐</w:t>
      </w:r>
      <w:r>
        <w:tab/>
      </w:r>
      <w:r>
        <w:t>Englischen Arztbrief, Bildgebung und übersetzten Impfpass besorgt; ausreichenden Medikamentenvorrat mit englischem Rezept geklärt (Kapitel </w:t>
      </w:r>
      <w:hyperlink w:anchor="k18" w:history="1">
        <w:r>
          <w:t>18</w:t>
        </w:r>
      </w:hyperlink>
      <w:r>
        <w:t>)</w:t>
      </w:r>
    </w:p>
    <w:p w14:paraId="70A50895" w14:textId="6D05F4D4" w:rsidR="00C1548D" w:rsidRDefault="009B1B4B">
      <w:pPr>
        <w:tabs>
          <w:tab w:val="left" w:pos="400"/>
        </w:tabs>
        <w:spacing w:after="60"/>
        <w:ind w:left="400" w:hanging="330"/>
      </w:pPr>
      <w:r>
        <w:rPr>
          <w:rFonts w:ascii="Segoe UI Symbol" w:eastAsia="Segoe UI Symbol" w:hAnsi="Segoe UI Symbol" w:cs="Segoe UI Symbol"/>
        </w:rPr>
        <w:t>☐</w:t>
      </w:r>
      <w:r>
        <w:tab/>
      </w:r>
      <w:r>
        <w:t>Einfuhrregeln für Medikamente vor der Einreise bei CBP oder der US-Botschaft geprüft (Kapitel </w:t>
      </w:r>
      <w:hyperlink w:anchor="k18" w:history="1">
        <w:r>
          <w:t>18</w:t>
        </w:r>
      </w:hyperlink>
      <w:r>
        <w:t>)</w:t>
      </w:r>
    </w:p>
    <w:p w14:paraId="70A50896" w14:textId="64370854" w:rsidR="00C1548D" w:rsidRDefault="009B1B4B">
      <w:pPr>
        <w:tabs>
          <w:tab w:val="left" w:pos="400"/>
        </w:tabs>
        <w:spacing w:after="60"/>
        <w:ind w:left="400" w:hanging="330"/>
      </w:pPr>
      <w:r>
        <w:rPr>
          <w:rFonts w:ascii="Segoe UI Symbol" w:eastAsia="Segoe UI Symbol" w:hAnsi="Segoe UI Symbol" w:cs="Segoe UI Symbol"/>
        </w:rPr>
        <w:t>☐</w:t>
      </w:r>
      <w:r>
        <w:tab/>
      </w:r>
      <w:r>
        <w:t>Haftpflicht, Hausrat und Rechtsschutz zum Übergabetag gekündigt, Schadenfreiheitsbescheinigung auf Englisch angefordert, Auto verkauft (Kapitel </w:t>
      </w:r>
      <w:hyperlink w:anchor="k16" w:history="1">
        <w:r>
          <w:t>16</w:t>
        </w:r>
      </w:hyperlink>
      <w:r>
        <w:t>, Kapitel </w:t>
      </w:r>
      <w:hyperlink w:anchor="k27" w:history="1">
        <w:r>
          <w:t>27</w:t>
        </w:r>
      </w:hyperlink>
      <w:r>
        <w:t>)</w:t>
      </w:r>
    </w:p>
    <w:p w14:paraId="70A50897" w14:textId="0795ED5D"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Internationalen Führerschein beantragt, KBA-Auskünfte und Konsulatsbescheinigung geklärt, falls der Zielstaat sie verlangt (Kapitel </w:t>
      </w:r>
      <w:hyperlink w:anchor="k27" w:history="1">
        <w:r>
          <w:t>27</w:t>
        </w:r>
      </w:hyperlink>
      <w:r>
        <w:t>)</w:t>
      </w:r>
    </w:p>
    <w:p w14:paraId="70A50898" w14:textId="61AB90BB" w:rsidR="00C1548D" w:rsidRDefault="009B1B4B">
      <w:pPr>
        <w:tabs>
          <w:tab w:val="left" w:pos="400"/>
        </w:tabs>
        <w:spacing w:after="60"/>
        <w:ind w:left="400" w:hanging="330"/>
      </w:pPr>
      <w:r>
        <w:rPr>
          <w:rFonts w:ascii="Segoe UI Symbol" w:eastAsia="Segoe UI Symbol" w:hAnsi="Segoe UI Symbol" w:cs="Segoe UI Symbol"/>
        </w:rPr>
        <w:t>☐</w:t>
      </w:r>
      <w:r>
        <w:tab/>
      </w:r>
      <w:r>
        <w:t>Bank über den Wegzug informiert, App-Verfahren für Überweisungen eingerichtet, Konto und Kreditkarte behalten (Kapitel </w:t>
      </w:r>
      <w:hyperlink w:anchor="k16" w:history="1">
        <w:r>
          <w:t>16</w:t>
        </w:r>
      </w:hyperlink>
      <w:r>
        <w:t>)</w:t>
      </w:r>
    </w:p>
    <w:p w14:paraId="70A50899" w14:textId="56E1A568" w:rsidR="00C1548D" w:rsidRDefault="009B1B4B">
      <w:pPr>
        <w:tabs>
          <w:tab w:val="left" w:pos="400"/>
        </w:tabs>
        <w:spacing w:after="60"/>
        <w:ind w:left="400" w:hanging="330"/>
      </w:pPr>
      <w:r>
        <w:rPr>
          <w:rFonts w:ascii="Segoe UI Symbol" w:eastAsia="Segoe UI Symbol" w:hAnsi="Segoe UI Symbol" w:cs="Segoe UI Symbol"/>
        </w:rPr>
        <w:t>☐</w:t>
      </w:r>
      <w:r>
        <w:tab/>
      </w:r>
      <w:r>
        <w:t>Bei Haustieren: CDC Dog Import Form ausgefüllt, Gesundheitszeugnis nach Airline-Vorgabe besorgt, Tierregeln der künftigen Wohnung geklärt (Kapitel </w:t>
      </w:r>
      <w:hyperlink w:anchor="k22" w:history="1">
        <w:r>
          <w:t>22</w:t>
        </w:r>
      </w:hyperlink>
      <w:r>
        <w:t>)</w:t>
      </w:r>
    </w:p>
    <w:p w14:paraId="70A5089A" w14:textId="1948E210" w:rsidR="00C1548D" w:rsidRDefault="009B1B4B">
      <w:pPr>
        <w:tabs>
          <w:tab w:val="left" w:pos="400"/>
        </w:tabs>
        <w:spacing w:after="60"/>
        <w:ind w:left="400" w:hanging="330"/>
      </w:pPr>
      <w:r>
        <w:rPr>
          <w:rFonts w:ascii="Segoe UI Symbol" w:eastAsia="Segoe UI Symbol" w:hAnsi="Segoe UI Symbol" w:cs="Segoe UI Symbol"/>
        </w:rPr>
        <w:t>☐</w:t>
      </w:r>
      <w:r>
        <w:tab/>
      </w:r>
      <w:r>
        <w:t>Schuldistrikt am Zielort informiert, Einstufungstests erfragt, Unterlagen fürs Handgepäck vorbereitet (Kapitel </w:t>
      </w:r>
      <w:hyperlink w:anchor="k15" w:history="1">
        <w:r>
          <w:t>15</w:t>
        </w:r>
      </w:hyperlink>
      <w:r>
        <w:t>, Kapitel </w:t>
      </w:r>
      <w:hyperlink w:anchor="k36" w:history="1">
        <w:r>
          <w:t>36</w:t>
        </w:r>
      </w:hyperlink>
      <w:r>
        <w:t>)</w:t>
      </w:r>
    </w:p>
    <w:p w14:paraId="70A5089B" w14:textId="7731CEF6" w:rsidR="00C1548D" w:rsidRDefault="009B1B4B">
      <w:pPr>
        <w:tabs>
          <w:tab w:val="left" w:pos="400"/>
        </w:tabs>
        <w:spacing w:after="60"/>
        <w:ind w:left="400" w:hanging="330"/>
      </w:pPr>
      <w:r>
        <w:rPr>
          <w:rFonts w:ascii="Segoe UI Symbol" w:eastAsia="Segoe UI Symbol" w:hAnsi="Segoe UI Symbol" w:cs="Segoe UI Symbol"/>
        </w:rPr>
        <w:t>☐</w:t>
      </w:r>
      <w:r>
        <w:tab/>
      </w:r>
      <w:r>
        <w:t>Erste Unterkunft in den USA für mindestens fünf Nächte mit Stornierungsoption gebucht, Transfer geplant (Kapitel </w:t>
      </w:r>
      <w:hyperlink w:anchor="k23" w:history="1">
        <w:r>
          <w:t>23</w:t>
        </w:r>
      </w:hyperlink>
      <w:r>
        <w:t>)</w:t>
      </w:r>
    </w:p>
    <w:p w14:paraId="70A5089C" w14:textId="6FC5FF37" w:rsidR="00C1548D" w:rsidRDefault="009B1B4B">
      <w:pPr>
        <w:tabs>
          <w:tab w:val="left" w:pos="400"/>
        </w:tabs>
        <w:spacing w:after="60"/>
        <w:ind w:left="400" w:hanging="330"/>
      </w:pPr>
      <w:r>
        <w:rPr>
          <w:rFonts w:ascii="Segoe UI Symbol" w:eastAsia="Segoe UI Symbol" w:hAnsi="Segoe UI Symbol" w:cs="Segoe UI Symbol"/>
        </w:rPr>
        <w:t>☐</w:t>
      </w:r>
      <w:r>
        <w:tab/>
      </w:r>
      <w:r>
        <w:t>Alle Dokumente gescannt, verschlüsselt gespeichert, eine Kopie bei einer Vertrauensperson hinterlegt (Kapitel </w:t>
      </w:r>
      <w:hyperlink w:anchor="k19" w:history="1">
        <w:r>
          <w:t>19</w:t>
        </w:r>
      </w:hyperlink>
      <w:r>
        <w:t>)</w:t>
      </w:r>
    </w:p>
    <w:p w14:paraId="70A5089D" w14:textId="77777777" w:rsidR="00C1548D" w:rsidRDefault="00C1548D">
      <w:pPr>
        <w:spacing w:line="120" w:lineRule="exact"/>
      </w:pPr>
    </w:p>
    <w:p w14:paraId="70A5089E" w14:textId="77777777" w:rsidR="00C1548D" w:rsidRDefault="009B1B4B">
      <w:pPr>
        <w:pStyle w:val="Heading3"/>
        <w:keepNext/>
        <w:jc w:val="center"/>
      </w:pPr>
      <w:r>
        <w:rPr>
          <w:rFonts w:ascii="Amazon Ember" w:eastAsia="Amazon Ember" w:hAnsi="Amazon Ember" w:cs="Amazon Ember"/>
          <w:color w:val="0000FF"/>
          <w:sz w:val="36"/>
          <w:szCs w:val="36"/>
        </w:rPr>
        <w:t>Die letzten Wochen</w:t>
      </w:r>
    </w:p>
    <w:p w14:paraId="70A5089F" w14:textId="47E30ED3" w:rsidR="00C1548D" w:rsidRDefault="009B1B4B">
      <w:pPr>
        <w:tabs>
          <w:tab w:val="left" w:pos="400"/>
        </w:tabs>
        <w:spacing w:after="60"/>
        <w:ind w:left="400" w:hanging="330"/>
      </w:pPr>
      <w:r>
        <w:rPr>
          <w:rFonts w:ascii="Segoe UI Symbol" w:eastAsia="Segoe UI Symbol" w:hAnsi="Segoe UI Symbol" w:cs="Segoe UI Symbol"/>
        </w:rPr>
        <w:t>☐</w:t>
      </w:r>
      <w:r>
        <w:tab/>
      </w:r>
      <w:r>
        <w:t>Abmeldung frühestens eine Woche vor dem Auszug erledigt, Abmeldebescheinigung mehrfach kopiert (Kapitel </w:t>
      </w:r>
      <w:hyperlink w:anchor="k16" w:history="1">
        <w:r>
          <w:t>16</w:t>
        </w:r>
      </w:hyperlink>
      <w:r>
        <w:t>)</w:t>
      </w:r>
    </w:p>
    <w:p w14:paraId="70A508A0" w14:textId="1B904878" w:rsidR="00C1548D" w:rsidRDefault="009B1B4B">
      <w:pPr>
        <w:tabs>
          <w:tab w:val="left" w:pos="400"/>
        </w:tabs>
        <w:spacing w:after="60"/>
        <w:ind w:left="400" w:hanging="330"/>
      </w:pPr>
      <w:r>
        <w:rPr>
          <w:rFonts w:ascii="Segoe UI Symbol" w:eastAsia="Segoe UI Symbol" w:hAnsi="Segoe UI Symbol" w:cs="Segoe UI Symbol"/>
        </w:rPr>
        <w:t>☐</w:t>
      </w:r>
      <w:r>
        <w:tab/>
      </w:r>
      <w:r>
        <w:t>Rundfunkbeitrag, Handy, Internet, Strom und Gas beendet oder abgemeldet, Bestätigungen abgelegt (Kapitel </w:t>
      </w:r>
      <w:hyperlink w:anchor="k16" w:history="1">
        <w:r>
          <w:t>16</w:t>
        </w:r>
      </w:hyperlink>
      <w:r>
        <w:t>)</w:t>
      </w:r>
    </w:p>
    <w:p w14:paraId="70A508A1" w14:textId="795D5CFF" w:rsidR="00C1548D" w:rsidRDefault="009B1B4B">
      <w:pPr>
        <w:tabs>
          <w:tab w:val="left" w:pos="400"/>
        </w:tabs>
        <w:spacing w:after="60"/>
        <w:ind w:left="400" w:hanging="330"/>
      </w:pPr>
      <w:r>
        <w:rPr>
          <w:rFonts w:ascii="Segoe UI Symbol" w:eastAsia="Segoe UI Symbol" w:hAnsi="Segoe UI Symbol" w:cs="Segoe UI Symbol"/>
        </w:rPr>
        <w:t>☐</w:t>
      </w:r>
      <w:r>
        <w:tab/>
      </w:r>
      <w:r>
        <w:t>Vorsorgevollmacht, Patientenverfügung und Betreuungsverfügung beim Notar beurkundet und registriert (Kapitel </w:t>
      </w:r>
      <w:hyperlink w:anchor="k15" w:history="1">
        <w:r>
          <w:t>15</w:t>
        </w:r>
      </w:hyperlink>
      <w:r>
        <w:t>, Kapitel </w:t>
      </w:r>
      <w:hyperlink w:anchor="k16" w:history="1">
        <w:r>
          <w:t>16</w:t>
        </w:r>
      </w:hyperlink>
      <w:r>
        <w:t>)</w:t>
      </w:r>
    </w:p>
    <w:p w14:paraId="70A508A2" w14:textId="6F64421D" w:rsidR="00C1548D" w:rsidRDefault="009B1B4B">
      <w:pPr>
        <w:tabs>
          <w:tab w:val="left" w:pos="400"/>
        </w:tabs>
        <w:spacing w:after="60"/>
        <w:ind w:left="400" w:hanging="330"/>
      </w:pPr>
      <w:r>
        <w:rPr>
          <w:rFonts w:ascii="Segoe UI Symbol" w:eastAsia="Segoe UI Symbol" w:hAnsi="Segoe UI Symbol" w:cs="Segoe UI Symbol"/>
        </w:rPr>
        <w:t>☐</w:t>
      </w:r>
      <w:r>
        <w:tab/>
      </w:r>
      <w:r>
        <w:t>Familienkasse, Elterngeldstelle, Kita und Schule informiert, Zeugniskopien besorgt; Nachsendeauftrag eingerichtet (Kapitel </w:t>
      </w:r>
      <w:hyperlink w:anchor="k16" w:history="1">
        <w:r>
          <w:t>16</w:t>
        </w:r>
      </w:hyperlink>
      <w:r>
        <w:t>)</w:t>
      </w:r>
    </w:p>
    <w:p w14:paraId="70A508A3" w14:textId="5F36292E" w:rsidR="00C1548D" w:rsidRDefault="009B1B4B">
      <w:pPr>
        <w:tabs>
          <w:tab w:val="left" w:pos="400"/>
        </w:tabs>
        <w:spacing w:after="60"/>
        <w:ind w:left="400" w:hanging="330"/>
      </w:pPr>
      <w:r>
        <w:rPr>
          <w:rFonts w:ascii="Segoe UI Symbol" w:eastAsia="Segoe UI Symbol" w:hAnsi="Segoe UI Symbol" w:cs="Segoe UI Symbol"/>
        </w:rPr>
        <w:t>☐</w:t>
      </w:r>
      <w:r>
        <w:tab/>
      </w:r>
      <w:r>
        <w:t>Originale wie Pässe, Urkunden, Zeugnisse und Bescheide in die Handgepäck-Mappe gelegt, nicht in den Container (Kapitel </w:t>
      </w:r>
      <w:hyperlink w:anchor="k19" w:history="1">
        <w:r>
          <w:t>19</w:t>
        </w:r>
      </w:hyperlink>
      <w:r>
        <w:t>, Kapitel </w:t>
      </w:r>
      <w:hyperlink w:anchor="k23" w:history="1">
        <w:r>
          <w:t>23</w:t>
        </w:r>
      </w:hyperlink>
      <w:r>
        <w:t>)</w:t>
      </w:r>
    </w:p>
    <w:p w14:paraId="70A508A4" w14:textId="34F3E265"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Koffer für die ersten zwei Wochen gepackt, Wertsachen ins Handgepäck gelegt, Erstausstattungsbudget festgelegt (Kapitel </w:t>
      </w:r>
      <w:hyperlink w:anchor="k21" w:history="1">
        <w:r>
          <w:t>21</w:t>
        </w:r>
      </w:hyperlink>
      <w:r>
        <w:t>)</w:t>
      </w:r>
    </w:p>
    <w:p w14:paraId="70A508A5" w14:textId="59A5C11D" w:rsidR="00C1548D" w:rsidRDefault="009B1B4B">
      <w:pPr>
        <w:tabs>
          <w:tab w:val="left" w:pos="400"/>
        </w:tabs>
        <w:spacing w:after="60"/>
        <w:ind w:left="400" w:hanging="330"/>
      </w:pPr>
      <w:r>
        <w:rPr>
          <w:rFonts w:ascii="Segoe UI Symbol" w:eastAsia="Segoe UI Symbol" w:hAnsi="Segoe UI Symbol" w:cs="Segoe UI Symbol"/>
        </w:rPr>
        <w:t>☐</w:t>
      </w:r>
      <w:r>
        <w:tab/>
      </w:r>
      <w:r>
        <w:t>Kindersitze und weitere US-pflichtige Ausstattung erst vor Ort eingeplant, nicht mitgenommen (Kapitel </w:t>
      </w:r>
      <w:hyperlink w:anchor="k21" w:history="1">
        <w:r>
          <w:t>21</w:t>
        </w:r>
      </w:hyperlink>
      <w:r>
        <w:t>)</w:t>
      </w:r>
    </w:p>
    <w:p w14:paraId="70A508A6" w14:textId="5C114883" w:rsidR="00C1548D" w:rsidRDefault="009B1B4B">
      <w:pPr>
        <w:tabs>
          <w:tab w:val="left" w:pos="400"/>
        </w:tabs>
        <w:spacing w:after="60"/>
        <w:ind w:left="400" w:hanging="330"/>
      </w:pPr>
      <w:r>
        <w:rPr>
          <w:rFonts w:ascii="Segoe UI Symbol" w:eastAsia="Segoe UI Symbol" w:hAnsi="Segoe UI Symbol" w:cs="Segoe UI Symbol"/>
        </w:rPr>
        <w:t>☐</w:t>
      </w:r>
      <w:r>
        <w:tab/>
      </w:r>
      <w:r>
        <w:t>Bargeld ab 10.000 € beim deutschen Zoll angemeldet, Übergangswohnen gebucht und Puffer auf dem US-Konto bereitgestellt (Kapitel </w:t>
      </w:r>
      <w:hyperlink w:anchor="k20" w:history="1">
        <w:r>
          <w:t>20</w:t>
        </w:r>
      </w:hyperlink>
      <w:r>
        <w:t>, Kapitel </w:t>
      </w:r>
      <w:hyperlink w:anchor="k23" w:history="1">
        <w:r>
          <w:t>23</w:t>
        </w:r>
      </w:hyperlink>
      <w:r>
        <w:t>)</w:t>
      </w:r>
    </w:p>
    <w:p w14:paraId="70A508A7" w14:textId="0CA33C1A" w:rsidR="00C1548D" w:rsidRDefault="009B1B4B">
      <w:pPr>
        <w:tabs>
          <w:tab w:val="left" w:pos="400"/>
        </w:tabs>
        <w:spacing w:after="60"/>
        <w:ind w:left="400" w:hanging="330"/>
      </w:pPr>
      <w:r>
        <w:rPr>
          <w:rFonts w:ascii="Segoe UI Symbol" w:eastAsia="Segoe UI Symbol" w:hAnsi="Segoe UI Symbol" w:cs="Segoe UI Symbol"/>
        </w:rPr>
        <w:t>☐</w:t>
      </w:r>
      <w:r>
        <w:tab/>
      </w:r>
      <w:r>
        <w:t>eSIM oder Prepaid-SIM eingerichtet, deutsche Nummer als Zweit-SIM behalten (Kapitel </w:t>
      </w:r>
      <w:hyperlink w:anchor="k23" w:history="1">
        <w:r>
          <w:t>23</w:t>
        </w:r>
      </w:hyperlink>
      <w:r>
        <w:t>)</w:t>
      </w:r>
    </w:p>
    <w:p w14:paraId="70A508A8" w14:textId="19A80A22" w:rsidR="00C1548D" w:rsidRDefault="009B1B4B">
      <w:pPr>
        <w:tabs>
          <w:tab w:val="left" w:pos="400"/>
        </w:tabs>
        <w:spacing w:after="60"/>
        <w:ind w:left="400" w:hanging="330"/>
      </w:pPr>
      <w:r>
        <w:rPr>
          <w:rFonts w:ascii="Segoe UI Symbol" w:eastAsia="Segoe UI Symbol" w:hAnsi="Segoe UI Symbol" w:cs="Segoe UI Symbol"/>
        </w:rPr>
        <w:t>☐</w:t>
      </w:r>
      <w:r>
        <w:tab/>
      </w:r>
      <w:r>
        <w:t>Kreditkarte und 200–300 $ Bargeld dabei, insgesamt unter 10.000 $ (Kapitel </w:t>
      </w:r>
      <w:hyperlink w:anchor="k23" w:history="1">
        <w:r>
          <w:t>23</w:t>
        </w:r>
      </w:hyperlink>
      <w:r>
        <w:t>)</w:t>
      </w:r>
    </w:p>
    <w:p w14:paraId="70A508A9" w14:textId="426A0968" w:rsidR="00C1548D" w:rsidRDefault="009B1B4B">
      <w:pPr>
        <w:tabs>
          <w:tab w:val="left" w:pos="400"/>
        </w:tabs>
        <w:spacing w:after="60"/>
        <w:ind w:left="400" w:hanging="330"/>
      </w:pPr>
      <w:r>
        <w:rPr>
          <w:rFonts w:ascii="Segoe UI Symbol" w:eastAsia="Segoe UI Symbol" w:hAnsi="Segoe UI Symbol" w:cs="Segoe UI Symbol"/>
        </w:rPr>
        <w:t>☐</w:t>
      </w:r>
      <w:r>
        <w:tab/>
      </w:r>
      <w:r>
        <w:t>Puffer von zwei bis vier Wochen für Verzögerungen wie 221(g) oder Nachforderungen im Zeitplan eingeplant (</w:t>
      </w:r>
      <w:r>
        <w:t>Kapitel </w:t>
      </w:r>
      <w:hyperlink w:anchor="k15" w:history="1">
        <w:r>
          <w:t>15</w:t>
        </w:r>
      </w:hyperlink>
      <w:r>
        <w:t>)</w:t>
      </w:r>
    </w:p>
    <w:p w14:paraId="70A508AA" w14:textId="4E63AE93" w:rsidR="00C1548D" w:rsidRDefault="009B1B4B">
      <w:pPr>
        <w:tabs>
          <w:tab w:val="left" w:pos="400"/>
        </w:tabs>
        <w:spacing w:after="60"/>
        <w:ind w:left="400" w:hanging="330"/>
      </w:pPr>
      <w:r>
        <w:rPr>
          <w:rFonts w:ascii="Segoe UI Symbol" w:eastAsia="Segoe UI Symbol" w:hAnsi="Segoe UI Symbol" w:cs="Segoe UI Symbol"/>
        </w:rPr>
        <w:t>☐</w:t>
      </w:r>
      <w:r>
        <w:tab/>
      </w:r>
      <w:r>
        <w:t>Bewusst Zeit für Abschiedsbesuche bei Familie, Freunden und wichtigen Arztterminen eingeplant (Kapitel </w:t>
      </w:r>
      <w:hyperlink w:anchor="k15" w:history="1">
        <w:r>
          <w:t>15</w:t>
        </w:r>
      </w:hyperlink>
      <w:r>
        <w:t>, Kapitel </w:t>
      </w:r>
      <w:hyperlink w:anchor="k33" w:history="1">
        <w:r>
          <w:t>33</w:t>
        </w:r>
      </w:hyperlink>
      <w:r>
        <w:t>)</w:t>
      </w:r>
    </w:p>
    <w:p w14:paraId="70A508AB" w14:textId="397F41EA" w:rsidR="00C1548D" w:rsidRDefault="009B1B4B">
      <w:pPr>
        <w:tabs>
          <w:tab w:val="left" w:pos="400"/>
        </w:tabs>
        <w:spacing w:after="60"/>
        <w:ind w:left="400" w:hanging="330"/>
      </w:pPr>
      <w:r>
        <w:rPr>
          <w:rFonts w:ascii="Segoe UI Symbol" w:eastAsia="Segoe UI Symbol" w:hAnsi="Segoe UI Symbol" w:cs="Segoe UI Symbol"/>
        </w:rPr>
        <w:t>☐</w:t>
      </w:r>
      <w:r>
        <w:tab/>
      </w:r>
      <w:r>
        <w:t>Möbel und Hausrat, die nicht mitreisen, verkauft, verschenkt oder gespendet (Kapitel </w:t>
      </w:r>
      <w:hyperlink w:anchor="k15" w:history="1">
        <w:r>
          <w:t>15</w:t>
        </w:r>
      </w:hyperlink>
      <w:r>
        <w:t>, Kapitel </w:t>
      </w:r>
      <w:hyperlink w:anchor="k21" w:history="1">
        <w:r>
          <w:t>21</w:t>
        </w:r>
      </w:hyperlink>
      <w:r>
        <w:t>)</w:t>
      </w:r>
    </w:p>
    <w:p w14:paraId="70A508AC" w14:textId="2D8934E7" w:rsidR="00C1548D" w:rsidRDefault="009B1B4B">
      <w:pPr>
        <w:tabs>
          <w:tab w:val="left" w:pos="400"/>
        </w:tabs>
        <w:spacing w:after="60"/>
        <w:ind w:left="400" w:hanging="330"/>
      </w:pPr>
      <w:r>
        <w:rPr>
          <w:rFonts w:ascii="Segoe UI Symbol" w:eastAsia="Segoe UI Symbol" w:hAnsi="Segoe UI Symbol" w:cs="Segoe UI Symbol"/>
        </w:rPr>
        <w:t>☐</w:t>
      </w:r>
      <w:r>
        <w:tab/>
      </w:r>
      <w:r>
        <w:t>Bei Haustieren: Transportbox über mehrere Wochen gewöhnt, Papiermappe fürs Handgepäck gepackt, Abholort am Zielflughafen erfragt (Kapitel </w:t>
      </w:r>
      <w:hyperlink w:anchor="k22" w:history="1">
        <w:r>
          <w:t>22</w:t>
        </w:r>
      </w:hyperlink>
      <w:r>
        <w:t>)</w:t>
      </w:r>
    </w:p>
    <w:p w14:paraId="70A508AD" w14:textId="5FC56C6C" w:rsidR="00C1548D" w:rsidRDefault="009B1B4B">
      <w:pPr>
        <w:tabs>
          <w:tab w:val="left" w:pos="400"/>
        </w:tabs>
        <w:spacing w:after="60"/>
        <w:ind w:left="400" w:hanging="330"/>
      </w:pPr>
      <w:r>
        <w:rPr>
          <w:rFonts w:ascii="Segoe UI Symbol" w:eastAsia="Segoe UI Symbol" w:hAnsi="Segoe UI Symbol" w:cs="Segoe UI Symbol"/>
        </w:rPr>
        <w:t>☐</w:t>
      </w:r>
      <w:r>
        <w:tab/>
      </w:r>
      <w:r>
        <w:t>Landetag festgelegt: frühestens zehn Tage vor dem Von-Datum im Bescheid (Kapitel </w:t>
      </w:r>
      <w:hyperlink w:anchor="k23" w:history="1">
        <w:r>
          <w:t>23</w:t>
        </w:r>
      </w:hyperlink>
      <w:r>
        <w:t>)</w:t>
      </w:r>
    </w:p>
    <w:p w14:paraId="70A508AE" w14:textId="77777777" w:rsidR="00C1548D" w:rsidRDefault="00C1548D">
      <w:pPr>
        <w:spacing w:line="120" w:lineRule="exact"/>
      </w:pPr>
    </w:p>
    <w:p w14:paraId="70A508AF" w14:textId="77777777" w:rsidR="00C1548D" w:rsidRDefault="009B1B4B">
      <w:pPr>
        <w:pStyle w:val="Heading3"/>
        <w:keepNext/>
        <w:jc w:val="center"/>
      </w:pPr>
      <w:r>
        <w:rPr>
          <w:rFonts w:ascii="Amazon Ember" w:eastAsia="Amazon Ember" w:hAnsi="Amazon Ember" w:cs="Amazon Ember"/>
          <w:color w:val="0000FF"/>
          <w:sz w:val="36"/>
          <w:szCs w:val="36"/>
        </w:rPr>
        <w:t>Die ersten 30 Tage in den USA</w:t>
      </w:r>
    </w:p>
    <w:p w14:paraId="70A508B0" w14:textId="3187F6BE" w:rsidR="00C1548D" w:rsidRDefault="009B1B4B">
      <w:pPr>
        <w:tabs>
          <w:tab w:val="left" w:pos="400"/>
        </w:tabs>
        <w:spacing w:after="60"/>
        <w:ind w:left="400" w:hanging="330"/>
      </w:pPr>
      <w:r>
        <w:rPr>
          <w:rFonts w:ascii="Segoe UI Symbol" w:eastAsia="Segoe UI Symbol" w:hAnsi="Segoe UI Symbol" w:cs="Segoe UI Symbol"/>
        </w:rPr>
        <w:t>☐</w:t>
      </w:r>
      <w:r>
        <w:tab/>
      </w:r>
      <w:r>
        <w:t>Am Ankunftstag den I-94 jedes Familienmitglieds über i94.cbp.dhs.gov abgerufen, geprüft und gesichert (Kapitel </w:t>
      </w:r>
      <w:hyperlink w:anchor="k23" w:history="1">
        <w:r>
          <w:t>23</w:t>
        </w:r>
      </w:hyperlink>
      <w:r>
        <w:t>, Kapitel </w:t>
      </w:r>
      <w:hyperlink w:anchor="k40" w:history="1">
        <w:r>
          <w:t>40</w:t>
        </w:r>
      </w:hyperlink>
      <w:r>
        <w:t>)</w:t>
      </w:r>
    </w:p>
    <w:p w14:paraId="70A508B1" w14:textId="6822B252"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911 und Adresse der Unterkunft im Handy gespeichert; Auslandskrankenversicherung gilt ab Landung (Kapitel </w:t>
      </w:r>
      <w:hyperlink w:anchor="k23" w:history="1">
        <w:r>
          <w:t>23</w:t>
        </w:r>
      </w:hyperlink>
      <w:r>
        <w:t>)</w:t>
      </w:r>
    </w:p>
    <w:p w14:paraId="70A508B2" w14:textId="5E84DB1F" w:rsidR="00C1548D" w:rsidRDefault="009B1B4B">
      <w:pPr>
        <w:tabs>
          <w:tab w:val="left" w:pos="400"/>
        </w:tabs>
        <w:spacing w:after="60"/>
        <w:ind w:left="400" w:hanging="330"/>
      </w:pPr>
      <w:r>
        <w:rPr>
          <w:rFonts w:ascii="Segoe UI Symbol" w:eastAsia="Segoe UI Symbol" w:hAnsi="Segoe UI Symbol" w:cs="Segoe UI Symbol"/>
        </w:rPr>
        <w:t>☐</w:t>
      </w:r>
      <w:r>
        <w:tab/>
      </w:r>
      <w:r>
        <w:t>Originale für die Form I-9 und Bankdaten für das Gehalt bereitgelegt (Kapitel </w:t>
      </w:r>
      <w:hyperlink w:anchor="k23" w:history="1">
        <w:r>
          <w:t>23</w:t>
        </w:r>
      </w:hyperlink>
      <w:r>
        <w:t>)</w:t>
      </w:r>
    </w:p>
    <w:p w14:paraId="70A508B3" w14:textId="3E1BE0E3" w:rsidR="00C1548D" w:rsidRDefault="009B1B4B">
      <w:pPr>
        <w:tabs>
          <w:tab w:val="left" w:pos="400"/>
        </w:tabs>
        <w:spacing w:after="60"/>
        <w:ind w:left="400" w:hanging="330"/>
      </w:pPr>
      <w:r>
        <w:rPr>
          <w:rFonts w:ascii="Segoe UI Symbol" w:eastAsia="Segoe UI Symbol" w:hAnsi="Segoe UI Symbol" w:cs="Segoe UI Symbol"/>
        </w:rPr>
        <w:t>☐</w:t>
      </w:r>
      <w:r>
        <w:tab/>
      </w:r>
      <w:r>
        <w:t>Erste Termine gebucht: Bank, SSN-Antrag, Wohnungsbesichtigungen (Kapitel </w:t>
      </w:r>
      <w:hyperlink w:anchor="k23" w:history="1">
        <w:r>
          <w:t>23</w:t>
        </w:r>
      </w:hyperlink>
      <w:r>
        <w:t>)</w:t>
      </w:r>
    </w:p>
    <w:p w14:paraId="70A508B4" w14:textId="69C5F774" w:rsidR="00C1548D" w:rsidRDefault="009B1B4B">
      <w:pPr>
        <w:tabs>
          <w:tab w:val="left" w:pos="400"/>
        </w:tabs>
        <w:spacing w:after="60"/>
        <w:ind w:left="400" w:hanging="330"/>
      </w:pPr>
      <w:r>
        <w:rPr>
          <w:rFonts w:ascii="Segoe UI Symbol" w:eastAsia="Segoe UI Symbol" w:hAnsi="Segoe UI Symbol" w:cs="Segoe UI Symbol"/>
        </w:rPr>
        <w:t>☐</w:t>
      </w:r>
      <w:r>
        <w:tab/>
      </w:r>
      <w:r>
        <w:t>Sobald der I-94 zehn Tage alt ist, zur SSA gegangen: SS-5 ausgefüllt, Pass, Visum, I-94-Ausdruck und I-797 im Original mitgebracht (Kapitel </w:t>
      </w:r>
      <w:hyperlink w:anchor="k24" w:history="1">
        <w:r>
          <w:t>24</w:t>
        </w:r>
      </w:hyperlink>
      <w:r>
        <w:t>)</w:t>
      </w:r>
    </w:p>
    <w:p w14:paraId="70A508B5" w14:textId="70187D13" w:rsidR="00C1548D" w:rsidRDefault="009B1B4B">
      <w:pPr>
        <w:tabs>
          <w:tab w:val="left" w:pos="400"/>
        </w:tabs>
        <w:spacing w:after="60"/>
        <w:ind w:left="400" w:hanging="330"/>
      </w:pPr>
      <w:r>
        <w:rPr>
          <w:rFonts w:ascii="Segoe UI Symbol" w:eastAsia="Segoe UI Symbol" w:hAnsi="Segoe UI Symbol" w:cs="Segoe UI Symbol"/>
        </w:rPr>
        <w:t>☐</w:t>
      </w:r>
      <w:r>
        <w:tab/>
      </w:r>
      <w:r>
        <w:t>Arbeitgeber über „Applied For“ informiert, falls der Job vor der SSN beginnt; für Familienmitglieder ohne Arbeitserlaubnis SSN oder ITIN geklärt (Kapitel </w:t>
      </w:r>
      <w:hyperlink w:anchor="k24" w:history="1">
        <w:r>
          <w:t>24</w:t>
        </w:r>
      </w:hyperlink>
      <w:r>
        <w:t>)</w:t>
      </w:r>
    </w:p>
    <w:p w14:paraId="70A508B6" w14:textId="23DF5F51" w:rsidR="00C1548D" w:rsidRDefault="009B1B4B">
      <w:pPr>
        <w:tabs>
          <w:tab w:val="left" w:pos="400"/>
        </w:tabs>
        <w:spacing w:after="60"/>
        <w:ind w:left="400" w:hanging="330"/>
      </w:pPr>
      <w:r>
        <w:rPr>
          <w:rFonts w:ascii="Segoe UI Symbol" w:eastAsia="Segoe UI Symbol" w:hAnsi="Segoe UI Symbol" w:cs="Segoe UI Symbol"/>
        </w:rPr>
        <w:t>☐</w:t>
      </w:r>
      <w:r>
        <w:tab/>
      </w:r>
      <w:r>
        <w:t>Bankkonto eröffnet (Pass, Visum, I-94, Adressnachweis mitgebracht), Zelle und Venmo eingerichtet (Kapitel </w:t>
      </w:r>
      <w:hyperlink w:anchor="k25" w:history="1">
        <w:r>
          <w:t>25</w:t>
        </w:r>
      </w:hyperlink>
      <w:r>
        <w:t>)</w:t>
      </w:r>
    </w:p>
    <w:p w14:paraId="70A508B7" w14:textId="65C74A0E" w:rsidR="00C1548D" w:rsidRDefault="009B1B4B">
      <w:pPr>
        <w:tabs>
          <w:tab w:val="left" w:pos="400"/>
        </w:tabs>
        <w:spacing w:after="60"/>
        <w:ind w:left="400" w:hanging="330"/>
      </w:pPr>
      <w:r>
        <w:rPr>
          <w:rFonts w:ascii="Segoe UI Symbol" w:eastAsia="Segoe UI Symbol" w:hAnsi="Segoe UI Symbol" w:cs="Segoe UI Symbol"/>
        </w:rPr>
        <w:t>☐</w:t>
      </w:r>
      <w:r>
        <w:tab/>
      </w:r>
      <w:r>
        <w:t>Sobald die SSN da ist: Credit Freeze bei Equifax, Experian und TransUnion eingerichtet, erste besicherte Kreditkarte beantragt (Kapitel </w:t>
      </w:r>
      <w:hyperlink w:anchor="k2" w:history="1">
        <w:r>
          <w:t>2</w:t>
        </w:r>
      </w:hyperlink>
      <w:r>
        <w:t>, Kapitel </w:t>
      </w:r>
      <w:hyperlink w:anchor="k24" w:history="1">
        <w:r>
          <w:t>24</w:t>
        </w:r>
      </w:hyperlink>
      <w:r>
        <w:t xml:space="preserve">, </w:t>
      </w:r>
      <w:r>
        <w:t>Kapitel </w:t>
      </w:r>
      <w:hyperlink w:anchor="k25" w:history="1">
        <w:r>
          <w:t>25</w:t>
        </w:r>
      </w:hyperlink>
      <w:r>
        <w:t>, Kapitel </w:t>
      </w:r>
      <w:hyperlink w:anchor="k40" w:history="1">
        <w:r>
          <w:t>40</w:t>
        </w:r>
      </w:hyperlink>
      <w:r>
        <w:t>)</w:t>
      </w:r>
    </w:p>
    <w:p w14:paraId="70A508B8" w14:textId="6A20C8B2" w:rsidR="00C1548D" w:rsidRDefault="009B1B4B">
      <w:pPr>
        <w:tabs>
          <w:tab w:val="left" w:pos="400"/>
        </w:tabs>
        <w:spacing w:after="60"/>
        <w:ind w:left="400" w:hanging="330"/>
      </w:pPr>
      <w:r>
        <w:rPr>
          <w:rFonts w:ascii="Segoe UI Symbol" w:eastAsia="Segoe UI Symbol" w:hAnsi="Segoe UI Symbol" w:cs="Segoe UI Symbol"/>
        </w:rPr>
        <w:t>☐</w:t>
      </w:r>
      <w:r>
        <w:tab/>
      </w:r>
      <w:r>
        <w:t>Wohnung besichtigt und beworben: Offer Letter, Kontoauszüge und englische Vermieter-Referenz bereitgehalten; nie vor Vertragsabschluss gezahlt (Kapitel </w:t>
      </w:r>
      <w:hyperlink w:anchor="k13" w:history="1">
        <w:r>
          <w:t>13</w:t>
        </w:r>
      </w:hyperlink>
      <w:r>
        <w:t>)</w:t>
      </w:r>
    </w:p>
    <w:p w14:paraId="70A508B9" w14:textId="1A6AE6FF" w:rsidR="00C1548D" w:rsidRDefault="009B1B4B">
      <w:pPr>
        <w:tabs>
          <w:tab w:val="left" w:pos="400"/>
        </w:tabs>
        <w:spacing w:after="60"/>
        <w:ind w:left="400" w:hanging="330"/>
      </w:pPr>
      <w:r>
        <w:rPr>
          <w:rFonts w:ascii="Segoe UI Symbol" w:eastAsia="Segoe UI Symbol" w:hAnsi="Segoe UI Symbol" w:cs="Segoe UI Symbol"/>
        </w:rPr>
        <w:t>☐</w:t>
      </w:r>
      <w:r>
        <w:tab/>
      </w:r>
      <w:r>
        <w:t>Mietvertrag komplett gelesen, Renters Insurance abgeschlossen, beim Einzug jeder Raum fotografiert (Kapitel </w:t>
      </w:r>
      <w:hyperlink w:anchor="k13" w:history="1">
        <w:r>
          <w:t>13</w:t>
        </w:r>
      </w:hyperlink>
      <w:r>
        <w:t>)</w:t>
      </w:r>
    </w:p>
    <w:p w14:paraId="70A508BA" w14:textId="51FFA010" w:rsidR="00C1548D" w:rsidRDefault="009B1B4B">
      <w:pPr>
        <w:tabs>
          <w:tab w:val="left" w:pos="400"/>
        </w:tabs>
        <w:spacing w:after="60"/>
        <w:ind w:left="400" w:hanging="330"/>
      </w:pPr>
      <w:r>
        <w:rPr>
          <w:rFonts w:ascii="Segoe UI Symbol" w:eastAsia="Segoe UI Symbol" w:hAnsi="Segoe UI Symbol" w:cs="Segoe UI Symbol"/>
        </w:rPr>
        <w:t>☐</w:t>
      </w:r>
      <w:r>
        <w:tab/>
      </w:r>
      <w:r>
        <w:t>Krankenversicherung fristgerecht zur Einschreibefrist des Arbeitgebers für die ganze Familie angemeldet, Hausarzt und Kinderarzt „in-network“ bestätigt (Kapitel </w:t>
      </w:r>
      <w:hyperlink w:anchor="k26" w:history="1">
        <w:r>
          <w:t>26</w:t>
        </w:r>
      </w:hyperlink>
      <w:r>
        <w:t>)</w:t>
      </w:r>
    </w:p>
    <w:p w14:paraId="70A508BB" w14:textId="317BF1B3" w:rsidR="00C1548D" w:rsidRDefault="009B1B4B">
      <w:pPr>
        <w:tabs>
          <w:tab w:val="left" w:pos="400"/>
        </w:tabs>
        <w:spacing w:after="60"/>
        <w:ind w:left="400" w:hanging="330"/>
      </w:pPr>
      <w:r>
        <w:rPr>
          <w:rFonts w:ascii="Segoe UI Symbol" w:eastAsia="Segoe UI Symbol" w:hAnsi="Segoe UI Symbol" w:cs="Segoe UI Symbol"/>
        </w:rPr>
        <w:t>☐</w:t>
      </w:r>
      <w:r>
        <w:tab/>
      </w:r>
      <w:r>
        <w:t>DMV-Termin für den Führerschein gebucht, Frist des Bundesstaats geprüft, REAL-ID-konforme Karte beantragt (Kapitel </w:t>
      </w:r>
      <w:hyperlink w:anchor="k27" w:history="1">
        <w:r>
          <w:t>27</w:t>
        </w:r>
      </w:hyperlink>
      <w:r>
        <w:t>)</w:t>
      </w:r>
    </w:p>
    <w:p w14:paraId="70A508BC" w14:textId="02E77328" w:rsidR="00C1548D" w:rsidRDefault="009B1B4B">
      <w:pPr>
        <w:tabs>
          <w:tab w:val="left" w:pos="400"/>
        </w:tabs>
        <w:spacing w:after="60"/>
        <w:ind w:left="400" w:hanging="330"/>
      </w:pPr>
      <w:r>
        <w:rPr>
          <w:rFonts w:ascii="Segoe UI Symbol" w:eastAsia="Segoe UI Symbol" w:hAnsi="Segoe UI Symbol" w:cs="Segoe UI Symbol"/>
        </w:rPr>
        <w:t>☐</w:t>
      </w:r>
      <w:r>
        <w:tab/>
      </w:r>
      <w:r>
        <w:t>Form W-4 am ersten Arbeitstag ausgefüllt (Kapitel </w:t>
      </w:r>
      <w:hyperlink w:anchor="k28" w:history="1">
        <w:r>
          <w:t>28</w:t>
        </w:r>
      </w:hyperlink>
      <w:r>
        <w:t>)</w:t>
      </w:r>
    </w:p>
    <w:p w14:paraId="70A508BD" w14:textId="2C570E3B"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Schuldistrikt der neuen Adresse bestätigt, Kind eingestuft, Wohnsitznachweis vorgelegt (Kapitel </w:t>
      </w:r>
      <w:hyperlink w:anchor="k36" w:history="1">
        <w:r>
          <w:t>36</w:t>
        </w:r>
      </w:hyperlink>
      <w:r>
        <w:t>)</w:t>
      </w:r>
    </w:p>
    <w:p w14:paraId="70A508BE" w14:textId="2DDACD13" w:rsidR="00C1548D" w:rsidRDefault="009B1B4B">
      <w:pPr>
        <w:tabs>
          <w:tab w:val="left" w:pos="400"/>
        </w:tabs>
        <w:spacing w:after="60"/>
        <w:ind w:left="400" w:hanging="330"/>
      </w:pPr>
      <w:r>
        <w:rPr>
          <w:rFonts w:ascii="Segoe UI Symbol" w:eastAsia="Segoe UI Symbol" w:hAnsi="Segoe UI Symbol" w:cs="Segoe UI Symbol"/>
        </w:rPr>
        <w:t>☐</w:t>
      </w:r>
      <w:r>
        <w:tab/>
      </w:r>
      <w:r>
        <w:t>Home Language Survey ausgefüllt, EL-Koordinator bei Bedarf kontaktiert (Kapitel </w:t>
      </w:r>
      <w:hyperlink w:anchor="k37" w:history="1">
        <w:r>
          <w:t>37</w:t>
        </w:r>
      </w:hyperlink>
      <w:r>
        <w:t>)</w:t>
      </w:r>
    </w:p>
    <w:p w14:paraId="70A508BF" w14:textId="3EA85993" w:rsidR="00C1548D" w:rsidRDefault="009B1B4B">
      <w:pPr>
        <w:tabs>
          <w:tab w:val="left" w:pos="400"/>
        </w:tabs>
        <w:spacing w:after="60"/>
        <w:ind w:left="400" w:hanging="330"/>
      </w:pPr>
      <w:r>
        <w:rPr>
          <w:rFonts w:ascii="Segoe UI Symbol" w:eastAsia="Segoe UI Symbol" w:hAnsi="Segoe UI Symbol" w:cs="Segoe UI Symbol"/>
        </w:rPr>
        <w:t>☐</w:t>
      </w:r>
      <w:r>
        <w:tab/>
      </w:r>
      <w:r>
        <w:t>Zwei Basisläden für Lebensmittel festgelegt, Wasserqualitätsbericht gelesen (Kapitel </w:t>
      </w:r>
      <w:hyperlink w:anchor="k35" w:history="1">
        <w:r>
          <w:t>35</w:t>
        </w:r>
      </w:hyperlink>
      <w:r>
        <w:t>)</w:t>
      </w:r>
    </w:p>
    <w:p w14:paraId="70A508C0" w14:textId="06D9DC66" w:rsidR="00C1548D" w:rsidRDefault="009B1B4B">
      <w:pPr>
        <w:tabs>
          <w:tab w:val="left" w:pos="400"/>
        </w:tabs>
        <w:spacing w:after="60"/>
        <w:ind w:left="400" w:hanging="330"/>
      </w:pPr>
      <w:r>
        <w:rPr>
          <w:rFonts w:ascii="Segoe UI Symbol" w:eastAsia="Segoe UI Symbol" w:hAnsi="Segoe UI Symbol" w:cs="Segoe UI Symbol"/>
        </w:rPr>
        <w:t>☐</w:t>
      </w:r>
      <w:r>
        <w:tab/>
      </w:r>
      <w:r>
        <w:t>Bei Haustieren: Tierarzt gesucht, Lizenz beantragt, Chipregister aktualisiert (Kapitel </w:t>
      </w:r>
      <w:hyperlink w:anchor="k22" w:history="1">
        <w:r>
          <w:t>22</w:t>
        </w:r>
      </w:hyperlink>
      <w:r>
        <w:t>)</w:t>
      </w:r>
    </w:p>
    <w:p w14:paraId="70A508C1" w14:textId="771C675C" w:rsidR="00C1548D" w:rsidRDefault="009B1B4B">
      <w:pPr>
        <w:tabs>
          <w:tab w:val="left" w:pos="400"/>
        </w:tabs>
        <w:spacing w:after="60"/>
        <w:ind w:left="400" w:hanging="330"/>
      </w:pPr>
      <w:r>
        <w:rPr>
          <w:rFonts w:ascii="Segoe UI Symbol" w:eastAsia="Segoe UI Symbol" w:hAnsi="Segoe UI Symbol" w:cs="Segoe UI Symbol"/>
        </w:rPr>
        <w:t>☐</w:t>
      </w:r>
      <w:r>
        <w:tab/>
      </w:r>
      <w:r>
        <w:t>Nummer eines Einwanderungsanwalts und der Botschaft gespeichert; beim Führerscheinantrag nicht als Wähler registrieren lassen (Kapitel </w:t>
      </w:r>
      <w:hyperlink w:anchor="k40" w:history="1">
        <w:r>
          <w:t>40</w:t>
        </w:r>
      </w:hyperlink>
      <w:r>
        <w:t>)</w:t>
      </w:r>
    </w:p>
    <w:p w14:paraId="70A508C2" w14:textId="77777777" w:rsidR="00C1548D" w:rsidRDefault="00C1548D">
      <w:pPr>
        <w:spacing w:line="120" w:lineRule="exact"/>
      </w:pPr>
    </w:p>
    <w:p w14:paraId="70A508C3" w14:textId="77777777" w:rsidR="00C1548D" w:rsidRDefault="009B1B4B">
      <w:pPr>
        <w:pStyle w:val="Heading3"/>
        <w:keepNext/>
        <w:jc w:val="center"/>
      </w:pPr>
      <w:r>
        <w:rPr>
          <w:rFonts w:ascii="Amazon Ember" w:eastAsia="Amazon Ember" w:hAnsi="Amazon Ember" w:cs="Amazon Ember"/>
          <w:color w:val="0000FF"/>
          <w:sz w:val="36"/>
          <w:szCs w:val="36"/>
        </w:rPr>
        <w:t>Die ersten 6 Monate</w:t>
      </w:r>
    </w:p>
    <w:p w14:paraId="70A508C4" w14:textId="3DCF00E5" w:rsidR="00C1548D" w:rsidRDefault="009B1B4B">
      <w:pPr>
        <w:tabs>
          <w:tab w:val="left" w:pos="400"/>
        </w:tabs>
        <w:spacing w:after="60"/>
        <w:ind w:left="400" w:hanging="330"/>
      </w:pPr>
      <w:r>
        <w:rPr>
          <w:rFonts w:ascii="Segoe UI Symbol" w:eastAsia="Segoe UI Symbol" w:hAnsi="Segoe UI Symbol" w:cs="Segoe UI Symbol"/>
        </w:rPr>
        <w:t>☐</w:t>
      </w:r>
      <w:r>
        <w:tab/>
      </w:r>
      <w:r>
        <w:t>Zwei feste Wochentermine (Sport, Kurs, Gemeinde, Ehrenamt) gewählt und mindestens sechs Wochen durchgehalten (Kapitel </w:t>
      </w:r>
      <w:hyperlink w:anchor="k32" w:history="1">
        <w:r>
          <w:t>32</w:t>
        </w:r>
      </w:hyperlink>
      <w:r>
        <w:t>, Kapitel </w:t>
      </w:r>
      <w:hyperlink w:anchor="k33" w:history="1">
        <w:r>
          <w:t>33</w:t>
        </w:r>
      </w:hyperlink>
      <w:r>
        <w:t>)</w:t>
      </w:r>
    </w:p>
    <w:p w14:paraId="70A508C5" w14:textId="46A07B33" w:rsidR="00C1548D" w:rsidRDefault="009B1B4B">
      <w:pPr>
        <w:tabs>
          <w:tab w:val="left" w:pos="400"/>
        </w:tabs>
        <w:spacing w:after="60"/>
        <w:ind w:left="400" w:hanging="330"/>
      </w:pPr>
      <w:r>
        <w:rPr>
          <w:rFonts w:ascii="Segoe UI Symbol" w:eastAsia="Segoe UI Symbol" w:hAnsi="Segoe UI Symbol" w:cs="Segoe UI Symbol"/>
        </w:rPr>
        <w:t>☐</w:t>
      </w:r>
      <w:r>
        <w:tab/>
      </w:r>
      <w:r>
        <w:t>Nach jedem netten Gespräch binnen drei Tagen zwei konkrete Terminvorschläge gesendet; Einladungen binnen zwei Tagen beantwortet (Kapitel </w:t>
      </w:r>
      <w:hyperlink w:anchor="k31" w:history="1">
        <w:r>
          <w:t>31</w:t>
        </w:r>
      </w:hyperlink>
      <w:r>
        <w:t>, Kapitel </w:t>
      </w:r>
      <w:hyperlink w:anchor="k32" w:history="1">
        <w:r>
          <w:t>32</w:t>
        </w:r>
      </w:hyperlink>
      <w:r>
        <w:t>)</w:t>
      </w:r>
    </w:p>
    <w:p w14:paraId="70A508C6" w14:textId="1F7E1822" w:rsidR="00C1548D" w:rsidRDefault="009B1B4B">
      <w:pPr>
        <w:tabs>
          <w:tab w:val="left" w:pos="400"/>
        </w:tabs>
        <w:spacing w:after="60"/>
        <w:ind w:left="400" w:hanging="330"/>
      </w:pPr>
      <w:r>
        <w:rPr>
          <w:rFonts w:ascii="Segoe UI Symbol" w:eastAsia="Segoe UI Symbol" w:hAnsi="Segoe UI Symbol" w:cs="Segoe UI Symbol"/>
        </w:rPr>
        <w:t>☐</w:t>
      </w:r>
      <w:r>
        <w:tab/>
      </w:r>
      <w:r>
        <w:t>Beim Arbeitgeber nach Employee Resource Groups gefragt; im Job wöchentliche 1:1-Gespräche genutzt und Erfolge für das Review festgehalten (Kapitel </w:t>
      </w:r>
      <w:hyperlink w:anchor="k29" w:history="1">
        <w:r>
          <w:t>29</w:t>
        </w:r>
      </w:hyperlink>
      <w:r>
        <w:t>, Kapitel </w:t>
      </w:r>
      <w:hyperlink w:anchor="k32" w:history="1">
        <w:r>
          <w:t>32</w:t>
        </w:r>
      </w:hyperlink>
      <w:r>
        <w:t>)</w:t>
      </w:r>
    </w:p>
    <w:p w14:paraId="70A508C7" w14:textId="52B13D52" w:rsidR="00C1548D" w:rsidRDefault="009B1B4B">
      <w:pPr>
        <w:tabs>
          <w:tab w:val="left" w:pos="400"/>
        </w:tabs>
        <w:spacing w:after="60"/>
        <w:ind w:left="400" w:hanging="330"/>
      </w:pPr>
      <w:r>
        <w:rPr>
          <w:rFonts w:ascii="Segoe UI Symbol" w:eastAsia="Segoe UI Symbol" w:hAnsi="Segoe UI Symbol" w:cs="Segoe UI Symbol"/>
        </w:rPr>
        <w:t>☐</w:t>
      </w:r>
      <w:r>
        <w:tab/>
      </w:r>
      <w:r>
        <w:t>EAP-Leistungen des Arbeitgebers erfragt, deutschsprachige Therapeutin oder Therapeut vorgemerkt, 988 in den Kontakten gespeichert (Kapitel </w:t>
      </w:r>
      <w:hyperlink w:anchor="k33" w:history="1">
        <w:r>
          <w:t>33</w:t>
        </w:r>
      </w:hyperlink>
      <w:r>
        <w:t>)</w:t>
      </w:r>
    </w:p>
    <w:p w14:paraId="70A508C8" w14:textId="77969A93" w:rsidR="00C1548D" w:rsidRDefault="009B1B4B">
      <w:pPr>
        <w:tabs>
          <w:tab w:val="left" w:pos="400"/>
        </w:tabs>
        <w:spacing w:after="60"/>
        <w:ind w:left="400" w:hanging="330"/>
      </w:pPr>
      <w:r>
        <w:rPr>
          <w:rFonts w:ascii="Segoe UI Symbol" w:eastAsia="Segoe UI Symbol" w:hAnsi="Segoe UI Symbol" w:cs="Segoe UI Symbol"/>
        </w:rPr>
        <w:t>☐</w:t>
      </w:r>
      <w:r>
        <w:tab/>
      </w:r>
      <w:r>
        <w:t>Nach drei Monaten mit der Familie Bilanz gezogen: Welche Gruppen und Routinen funktionieren, welche nicht? (Kapitel </w:t>
      </w:r>
      <w:hyperlink w:anchor="k32" w:history="1">
        <w:r>
          <w:t>32</w:t>
        </w:r>
      </w:hyperlink>
      <w:r>
        <w:t>)</w:t>
      </w:r>
    </w:p>
    <w:p w14:paraId="70A508C9" w14:textId="169F1556" w:rsidR="00C1548D" w:rsidRDefault="009B1B4B">
      <w:pPr>
        <w:tabs>
          <w:tab w:val="left" w:pos="400"/>
        </w:tabs>
        <w:spacing w:after="60"/>
        <w:ind w:left="400" w:hanging="330"/>
      </w:pPr>
      <w:r>
        <w:rPr>
          <w:rFonts w:ascii="Segoe UI Symbol" w:eastAsia="Segoe UI Symbol" w:hAnsi="Segoe UI Symbol" w:cs="Segoe UI Symbol"/>
        </w:rPr>
        <w:t>☐</w:t>
      </w:r>
      <w:r>
        <w:tab/>
      </w:r>
      <w:r>
        <w:t>Rituale mit Freunden und Familie in Deutschland vereinbart, Heimatbesuche zu Feiertagen früh gebucht (Kapitel </w:t>
      </w:r>
      <w:hyperlink w:anchor="k32" w:history="1">
        <w:r>
          <w:t>32</w:t>
        </w:r>
      </w:hyperlink>
      <w:r>
        <w:t>, Kapitel </w:t>
      </w:r>
      <w:hyperlink w:anchor="k33" w:history="1">
        <w:r>
          <w:t>33</w:t>
        </w:r>
      </w:hyperlink>
      <w:r>
        <w:t>)</w:t>
      </w:r>
    </w:p>
    <w:p w14:paraId="70A508CA" w14:textId="6E9AA385"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Mindestens den vollen 401(k)-Match eingezahlt, HSA bei Hochselbstbehalt-Tarif eröffnet (Kapitel </w:t>
      </w:r>
      <w:hyperlink w:anchor="k29" w:history="1">
        <w:r>
          <w:t>29</w:t>
        </w:r>
      </w:hyperlink>
      <w:r>
        <w:t>, Kapitel </w:t>
      </w:r>
      <w:hyperlink w:anchor="k39" w:history="1">
        <w:r>
          <w:t>39</w:t>
        </w:r>
      </w:hyperlink>
      <w:r>
        <w:t>)</w:t>
      </w:r>
    </w:p>
    <w:p w14:paraId="70A508CB" w14:textId="749A1A30" w:rsidR="00C1548D" w:rsidRDefault="009B1B4B">
      <w:pPr>
        <w:tabs>
          <w:tab w:val="left" w:pos="400"/>
        </w:tabs>
        <w:spacing w:after="60"/>
        <w:ind w:left="400" w:hanging="330"/>
      </w:pPr>
      <w:r>
        <w:rPr>
          <w:rFonts w:ascii="Segoe UI Symbol" w:eastAsia="Segoe UI Symbol" w:hAnsi="Segoe UI Symbol" w:cs="Segoe UI Symbol"/>
        </w:rPr>
        <w:t>☐</w:t>
      </w:r>
      <w:r>
        <w:tab/>
      </w:r>
      <w:r>
        <w:t>US-Testament mit Vormundschaftsklausel, finanzielle Vollmacht und Patientenverfügung nach dem Recht des Bundesstaats aufgesetzt; Begünstigte bei den Konten eingetragen (</w:t>
      </w:r>
      <w:r>
        <w:t>Kapitel </w:t>
      </w:r>
      <w:hyperlink w:anchor="k39" w:history="1">
        <w:r>
          <w:t>39</w:t>
        </w:r>
      </w:hyperlink>
      <w:r>
        <w:t>)</w:t>
      </w:r>
    </w:p>
    <w:p w14:paraId="70A508CC" w14:textId="2517A89C" w:rsidR="00C1548D" w:rsidRDefault="009B1B4B">
      <w:pPr>
        <w:tabs>
          <w:tab w:val="left" w:pos="400"/>
        </w:tabs>
        <w:spacing w:after="60"/>
        <w:ind w:left="400" w:hanging="330"/>
      </w:pPr>
      <w:r>
        <w:rPr>
          <w:rFonts w:ascii="Segoe UI Symbol" w:eastAsia="Segoe UI Symbol" w:hAnsi="Segoe UI Symbol" w:cs="Segoe UI Symbol"/>
        </w:rPr>
        <w:t>☐</w:t>
      </w:r>
      <w:r>
        <w:tab/>
      </w:r>
      <w:r>
        <w:t>Jede Arztrechnung erst nach Abgleich mit der EOB gezahlt, Belege abgeheftet (Kapitel </w:t>
      </w:r>
      <w:hyperlink w:anchor="k26" w:history="1">
        <w:r>
          <w:t>26</w:t>
        </w:r>
      </w:hyperlink>
      <w:r>
        <w:t>)</w:t>
      </w:r>
    </w:p>
    <w:p w14:paraId="70A508CD" w14:textId="36C3853C" w:rsidR="00C1548D" w:rsidRDefault="009B1B4B">
      <w:pPr>
        <w:tabs>
          <w:tab w:val="left" w:pos="400"/>
        </w:tabs>
        <w:spacing w:after="60"/>
        <w:ind w:left="400" w:hanging="330"/>
      </w:pPr>
      <w:r>
        <w:rPr>
          <w:rFonts w:ascii="Segoe UI Symbol" w:eastAsia="Segoe UI Symbol" w:hAnsi="Segoe UI Symbol" w:cs="Segoe UI Symbol"/>
        </w:rPr>
        <w:t>☐</w:t>
      </w:r>
      <w:r>
        <w:tab/>
      </w:r>
      <w:r>
        <w:t>Ab dem ersten Tag einen Kalender mit Ein- und Ausreisen geführt; Rücklage für eine mögliche Steuernachzahlung im ersten April gebildet (Kapitel </w:t>
      </w:r>
      <w:hyperlink w:anchor="k6" w:history="1">
        <w:r>
          <w:t>6</w:t>
        </w:r>
      </w:hyperlink>
      <w:r>
        <w:t>, Kapitel </w:t>
      </w:r>
      <w:hyperlink w:anchor="k28" w:history="1">
        <w:r>
          <w:t>28</w:t>
        </w:r>
      </w:hyperlink>
      <w:r>
        <w:t>, Kapitel </w:t>
      </w:r>
      <w:hyperlink w:anchor="k41" w:history="1">
        <w:r>
          <w:t>41</w:t>
        </w:r>
      </w:hyperlink>
      <w:r>
        <w:t>)</w:t>
      </w:r>
    </w:p>
    <w:p w14:paraId="70A508CE" w14:textId="059EB23C" w:rsidR="00C1548D" w:rsidRDefault="009B1B4B">
      <w:pPr>
        <w:tabs>
          <w:tab w:val="left" w:pos="400"/>
        </w:tabs>
        <w:spacing w:after="60"/>
        <w:ind w:left="400" w:hanging="330"/>
      </w:pPr>
      <w:r>
        <w:rPr>
          <w:rFonts w:ascii="Segoe UI Symbol" w:eastAsia="Segoe UI Symbol" w:hAnsi="Segoe UI Symbol" w:cs="Segoe UI Symbol"/>
        </w:rPr>
        <w:t>☐</w:t>
      </w:r>
      <w:r>
        <w:tab/>
      </w:r>
      <w:r>
        <w:t>Steuerexperten (CPA oder EA) mit Auslandserfahrung gebucht; FBAR-Frist (15. April, automatisch 15. Oktober) im Kalender notiert (Kapitel </w:t>
      </w:r>
      <w:hyperlink w:anchor="k17" w:history="1">
        <w:r>
          <w:t>17</w:t>
        </w:r>
      </w:hyperlink>
      <w:r>
        <w:t>, Kapitel </w:t>
      </w:r>
      <w:hyperlink w:anchor="k28" w:history="1">
        <w:r>
          <w:t>28</w:t>
        </w:r>
      </w:hyperlink>
      <w:r>
        <w:t>)</w:t>
      </w:r>
    </w:p>
    <w:p w14:paraId="70A508CF" w14:textId="4AFAA982" w:rsidR="00C1548D" w:rsidRDefault="009B1B4B">
      <w:pPr>
        <w:tabs>
          <w:tab w:val="left" w:pos="400"/>
        </w:tabs>
        <w:spacing w:after="60"/>
        <w:ind w:left="400" w:hanging="330"/>
      </w:pPr>
      <w:r>
        <w:rPr>
          <w:rFonts w:ascii="Segoe UI Symbol" w:eastAsia="Segoe UI Symbol" w:hAnsi="Segoe UI Symbol" w:cs="Segoe UI Symbol"/>
        </w:rPr>
        <w:t>☐</w:t>
      </w:r>
      <w:r>
        <w:tab/>
      </w:r>
      <w:r>
        <w:t>Nach jedem Umzug innerhalb der USA binnen zehn Tagen die Adressänderung AR-11 online eingereicht (Kapitel </w:t>
      </w:r>
      <w:hyperlink w:anchor="k6" w:history="1">
        <w:r>
          <w:t>6</w:t>
        </w:r>
      </w:hyperlink>
      <w:r>
        <w:t>, Kapitel </w:t>
      </w:r>
      <w:hyperlink w:anchor="k10" w:history="1">
        <w:r>
          <w:t>10</w:t>
        </w:r>
      </w:hyperlink>
      <w:r>
        <w:t>, Kapitel </w:t>
      </w:r>
      <w:hyperlink w:anchor="k30" w:history="1">
        <w:r>
          <w:t>30</w:t>
        </w:r>
      </w:hyperlink>
      <w:r>
        <w:t>, Kapitel </w:t>
      </w:r>
      <w:hyperlink w:anchor="k40" w:history="1">
        <w:r>
          <w:t>40</w:t>
        </w:r>
      </w:hyperlink>
      <w:r>
        <w:t>)</w:t>
      </w:r>
    </w:p>
    <w:p w14:paraId="70A508D0" w14:textId="0A521A9E" w:rsidR="00C1548D" w:rsidRDefault="009B1B4B">
      <w:pPr>
        <w:tabs>
          <w:tab w:val="left" w:pos="400"/>
        </w:tabs>
        <w:spacing w:after="60"/>
        <w:ind w:left="400" w:hanging="330"/>
      </w:pPr>
      <w:r>
        <w:rPr>
          <w:rFonts w:ascii="Segoe UI Symbol" w:eastAsia="Segoe UI Symbol" w:hAnsi="Segoe UI Symbol" w:cs="Segoe UI Symbol"/>
        </w:rPr>
        <w:t>☐</w:t>
      </w:r>
      <w:r>
        <w:tab/>
      </w:r>
      <w:r>
        <w:t>Bei Jobverlust: 60 Tage ab letztem Arbeitstag und die COBRA-Fristen notiert, eigenen Einwanderungsanwalt griffbereit (Kapitel </w:t>
      </w:r>
      <w:hyperlink w:anchor="k26" w:history="1">
        <w:r>
          <w:t>26</w:t>
        </w:r>
      </w:hyperlink>
      <w:r>
        <w:t>, Kapitel </w:t>
      </w:r>
      <w:hyperlink w:anchor="k30" w:history="1">
        <w:r>
          <w:t>30</w:t>
        </w:r>
      </w:hyperlink>
      <w:r>
        <w:t>)</w:t>
      </w:r>
    </w:p>
    <w:p w14:paraId="70A508D1" w14:textId="7CDA5B32" w:rsidR="00C1548D" w:rsidRDefault="009B1B4B">
      <w:pPr>
        <w:tabs>
          <w:tab w:val="left" w:pos="400"/>
        </w:tabs>
        <w:spacing w:after="60"/>
        <w:ind w:left="400" w:hanging="330"/>
      </w:pPr>
      <w:r>
        <w:rPr>
          <w:rFonts w:ascii="Segoe UI Symbol" w:eastAsia="Segoe UI Symbol" w:hAnsi="Segoe UI Symbol" w:cs="Segoe UI Symbol"/>
        </w:rPr>
        <w:t>☐</w:t>
      </w:r>
      <w:r>
        <w:tab/>
      </w:r>
      <w:r>
        <w:t>Wetterwarnungen aktiviert, Notvorrat angelegt, Codewort mit den Eltern in Deutschland gegen Schockanrufe vereinbart (Kapitel </w:t>
      </w:r>
      <w:hyperlink w:anchor="k40" w:history="1">
        <w:r>
          <w:t>40</w:t>
        </w:r>
      </w:hyperlink>
      <w:r>
        <w:t>)</w:t>
      </w:r>
    </w:p>
    <w:p w14:paraId="70A508D2" w14:textId="1ED29609" w:rsidR="00C1548D" w:rsidRDefault="009B1B4B">
      <w:pPr>
        <w:tabs>
          <w:tab w:val="left" w:pos="400"/>
        </w:tabs>
        <w:spacing w:after="60"/>
        <w:ind w:left="400" w:hanging="330"/>
      </w:pPr>
      <w:r>
        <w:rPr>
          <w:rFonts w:ascii="Segoe UI Symbol" w:eastAsia="Segoe UI Symbol" w:hAnsi="Segoe UI Symbol" w:cs="Segoe UI Symbol"/>
        </w:rPr>
        <w:t>☐</w:t>
      </w:r>
      <w:r>
        <w:tab/>
      </w:r>
      <w:r>
        <w:t>Bibliotheksausweis geholt, Familienregel für Deutsch und ein tägliches Vorleseritual festgelegt; Samstags- oder Immersionsschule recherchiert (Kapitel </w:t>
      </w:r>
      <w:hyperlink w:anchor="k37" w:history="1">
        <w:r>
          <w:t>37</w:t>
        </w:r>
      </w:hyperlink>
      <w:r>
        <w:t>)</w:t>
      </w:r>
    </w:p>
    <w:p w14:paraId="70A508D3" w14:textId="1BF9295D" w:rsidR="00C1548D" w:rsidRDefault="009B1B4B">
      <w:pPr>
        <w:tabs>
          <w:tab w:val="left" w:pos="400"/>
        </w:tabs>
        <w:spacing w:after="60"/>
        <w:ind w:left="400" w:hanging="330"/>
      </w:pPr>
      <w:r>
        <w:rPr>
          <w:rFonts w:ascii="Segoe UI Symbol" w:eastAsia="Segoe UI Symbol" w:hAnsi="Segoe UI Symbol" w:cs="Segoe UI Symbol"/>
        </w:rPr>
        <w:t>☐</w:t>
      </w:r>
      <w:r>
        <w:tab/>
      </w:r>
      <w:r>
        <w:t>Costco-Mitgliedschaft geprüft, Ersatz für Brot, Wurst und Käse gefunden (Kapitel </w:t>
      </w:r>
      <w:hyperlink w:anchor="k35" w:history="1">
        <w:r>
          <w:t>35</w:t>
        </w:r>
      </w:hyperlink>
      <w:r>
        <w:t>)</w:t>
      </w:r>
    </w:p>
    <w:p w14:paraId="70A508D4" w14:textId="6877A889" w:rsidR="00C1548D" w:rsidRDefault="009B1B4B">
      <w:pPr>
        <w:tabs>
          <w:tab w:val="left" w:pos="400"/>
        </w:tabs>
        <w:spacing w:after="60"/>
        <w:ind w:left="400" w:hanging="330"/>
      </w:pPr>
      <w:r>
        <w:rPr>
          <w:rFonts w:ascii="Segoe UI Symbol" w:eastAsia="Segoe UI Symbol" w:hAnsi="Segoe UI Symbol" w:cs="Segoe UI Symbol"/>
        </w:rPr>
        <w:t>☐</w:t>
      </w:r>
      <w:r>
        <w:tab/>
      </w:r>
      <w:r>
        <w:t>Winterjacke, gute Schuhe und Business-Kleidung nach Bedarf besorgt statt in Mengen mitgenommen (Kapitel </w:t>
      </w:r>
      <w:hyperlink w:anchor="k34" w:history="1">
        <w:r>
          <w:t>34</w:t>
        </w:r>
      </w:hyperlink>
      <w:r>
        <w:t>)</w:t>
      </w:r>
    </w:p>
    <w:p w14:paraId="70A508D5" w14:textId="23F245D0" w:rsidR="00C1548D" w:rsidRDefault="009B1B4B">
      <w:pPr>
        <w:tabs>
          <w:tab w:val="left" w:pos="400"/>
        </w:tabs>
        <w:spacing w:after="60"/>
        <w:ind w:left="400" w:hanging="330"/>
      </w:pPr>
      <w:r>
        <w:rPr>
          <w:rFonts w:ascii="Segoe UI Symbol" w:eastAsia="Segoe UI Symbol" w:hAnsi="Segoe UI Symbol" w:cs="Segoe UI Symbol"/>
        </w:rPr>
        <w:t>☐</w:t>
      </w:r>
      <w:r>
        <w:tab/>
      </w:r>
      <w:r>
        <w:t xml:space="preserve">Bei Kindern: Betreuungsplatz, Sommerbetreuung oder Credits mit dem Counselor geklärt; bei Teenagern Führerscheinregeln </w:t>
      </w:r>
      <w:r>
        <w:lastRenderedPageBreak/>
        <w:t>und ein Versicherungsangebot vor dem 16. Geburtstag eingeholt (Kapitel </w:t>
      </w:r>
      <w:hyperlink w:anchor="k38" w:history="1">
        <w:r>
          <w:t>38</w:t>
        </w:r>
      </w:hyperlink>
      <w:r>
        <w:t>)</w:t>
      </w:r>
    </w:p>
    <w:p w14:paraId="70A508D6" w14:textId="78276397" w:rsidR="00C1548D" w:rsidRDefault="009B1B4B">
      <w:pPr>
        <w:tabs>
          <w:tab w:val="left" w:pos="400"/>
        </w:tabs>
        <w:spacing w:after="60"/>
        <w:ind w:left="400" w:hanging="330"/>
      </w:pPr>
      <w:r>
        <w:rPr>
          <w:rFonts w:ascii="Segoe UI Symbol" w:eastAsia="Segoe UI Symbol" w:hAnsi="Segoe UI Symbol" w:cs="Segoe UI Symbol"/>
        </w:rPr>
        <w:t>☐</w:t>
      </w:r>
      <w:r>
        <w:tab/>
      </w:r>
      <w:r>
        <w:t>GKV- oder PKV-Anwartschaft sowie die Rentenanwartschaft in Deutschland im Blick behalten, falls eine Rückkehr später infrage kommt (Kapitel </w:t>
      </w:r>
      <w:hyperlink w:anchor="k17" w:history="1">
        <w:r>
          <w:t>17</w:t>
        </w:r>
      </w:hyperlink>
      <w:r>
        <w:t>, Kapitel </w:t>
      </w:r>
      <w:hyperlink w:anchor="k42" w:history="1">
        <w:r>
          <w:t>42</w:t>
        </w:r>
      </w:hyperlink>
      <w:r>
        <w:t>)</w:t>
      </w:r>
    </w:p>
    <w:p w14:paraId="70A508D7" w14:textId="0840B0C1" w:rsidR="00C1548D" w:rsidRDefault="009B1B4B">
      <w:pPr>
        <w:tabs>
          <w:tab w:val="left" w:pos="400"/>
        </w:tabs>
        <w:spacing w:after="60"/>
        <w:ind w:left="400" w:hanging="330"/>
      </w:pPr>
      <w:r>
        <w:rPr>
          <w:rFonts w:ascii="Segoe UI Symbol" w:eastAsia="Segoe UI Symbol" w:hAnsi="Segoe UI Symbol" w:cs="Segoe UI Symbol"/>
        </w:rPr>
        <w:t>☐</w:t>
      </w:r>
      <w:r>
        <w:tab/>
      </w:r>
      <w:r>
        <w:t>Datum „Resident Since“ auf der Green Card notiert, um den frühesten Termin für Einbürgerung oder Reentry Permit später zu kennen (Kapitel </w:t>
      </w:r>
      <w:hyperlink w:anchor="k41" w:history="1">
        <w:r>
          <w:t>41</w:t>
        </w:r>
      </w:hyperlink>
      <w:r>
        <w:t>)</w:t>
      </w:r>
    </w:p>
    <w:p w14:paraId="70A508D8" w14:textId="77777777" w:rsidR="00C1548D" w:rsidRDefault="00C1548D">
      <w:pPr>
        <w:spacing w:line="120" w:lineRule="exact"/>
      </w:pPr>
    </w:p>
    <w:p w14:paraId="70A508D9" w14:textId="77777777" w:rsidR="00C1548D" w:rsidRDefault="009B1B4B">
      <w:pPr>
        <w:pStyle w:val="Heading3"/>
        <w:keepNext/>
        <w:jc w:val="center"/>
      </w:pPr>
      <w:r>
        <w:rPr>
          <w:rFonts w:ascii="Amazon Ember" w:eastAsia="Amazon Ember" w:hAnsi="Amazon Ember" w:cs="Amazon Ember"/>
          <w:color w:val="0000FF"/>
          <w:sz w:val="36"/>
          <w:szCs w:val="36"/>
        </w:rPr>
        <w:t>Kanada</w:t>
      </w:r>
    </w:p>
    <w:p w14:paraId="70A508DA" w14:textId="77777777" w:rsidR="00C1548D" w:rsidRDefault="009B1B4B">
      <w:pPr>
        <w:pStyle w:val="Heading3"/>
        <w:keepNext/>
        <w:jc w:val="center"/>
      </w:pPr>
      <w:r>
        <w:rPr>
          <w:rFonts w:ascii="Amazon Ember" w:eastAsia="Amazon Ember" w:hAnsi="Amazon Ember" w:cs="Amazon Ember"/>
          <w:color w:val="0000FF"/>
          <w:sz w:val="36"/>
          <w:szCs w:val="36"/>
        </w:rPr>
        <w:t>T–18 bis T–12 Monate: Entscheidung und Vorbereitung</w:t>
      </w:r>
    </w:p>
    <w:p w14:paraId="70A508DB" w14:textId="77777777" w:rsidR="00C1548D" w:rsidRDefault="009B1B4B">
      <w:pPr>
        <w:tabs>
          <w:tab w:val="left" w:pos="400"/>
        </w:tabs>
        <w:spacing w:after="60"/>
        <w:ind w:left="400" w:hanging="330"/>
      </w:pPr>
      <w:r>
        <w:rPr>
          <w:rFonts w:ascii="Segoe UI Symbol" w:eastAsia="Segoe UI Symbol" w:hAnsi="Segoe UI Symbol" w:cs="Segoe UI Symbol"/>
        </w:rPr>
        <w:t>☐</w:t>
      </w:r>
      <w:r>
        <w:tab/>
      </w:r>
      <w:r>
        <w:t>Eigenen Express-Entry-CRS-Score überschlägig berechnet und mit den aktuellen Einladungsgrenzen verglichen (Kanada: Einwanderungswege)</w:t>
      </w:r>
    </w:p>
    <w:p w14:paraId="70A508DC" w14:textId="77777777" w:rsidR="00C1548D" w:rsidRDefault="009B1B4B">
      <w:pPr>
        <w:tabs>
          <w:tab w:val="left" w:pos="400"/>
        </w:tabs>
        <w:spacing w:after="60"/>
        <w:ind w:left="400" w:hanging="330"/>
      </w:pPr>
      <w:r>
        <w:rPr>
          <w:rFonts w:ascii="Segoe UI Symbol" w:eastAsia="Segoe UI Symbol" w:hAnsi="Segoe UI Symbol" w:cs="Segoe UI Symbol"/>
        </w:rPr>
        <w:t>☐</w:t>
      </w:r>
      <w:r>
        <w:tab/>
      </w:r>
      <w:r>
        <w:t>Provincial Nominee Program (PNP) der bevorzugten Provinz oder Provinzen auf die aktuellen Kriterien geprüft (Kanada: Einwanderungswege)</w:t>
      </w:r>
    </w:p>
    <w:p w14:paraId="70A508DD" w14:textId="77777777" w:rsidR="00C1548D" w:rsidRDefault="009B1B4B">
      <w:pPr>
        <w:tabs>
          <w:tab w:val="left" w:pos="400"/>
        </w:tabs>
        <w:spacing w:after="60"/>
        <w:ind w:left="400" w:hanging="330"/>
      </w:pPr>
      <w:r>
        <w:rPr>
          <w:rFonts w:ascii="Segoe UI Symbol" w:eastAsia="Segoe UI Symbol" w:hAnsi="Segoe UI Symbol" w:cs="Segoe UI Symbol"/>
        </w:rPr>
        <w:t>☐</w:t>
      </w:r>
      <w:r>
        <w:tab/>
      </w:r>
      <w:r>
        <w:t>Geprüft, ob ein arbeitgebergesponsertes, LMIA-pflichtiges oder LMIA-freies Arbeitsvisum als schnellerer Weg infrage kommt (Kanada: Arbeitsweg)</w:t>
      </w:r>
    </w:p>
    <w:p w14:paraId="70A508DE" w14:textId="77777777" w:rsidR="00C1548D" w:rsidRDefault="00C1548D">
      <w:pPr>
        <w:spacing w:line="120" w:lineRule="exact"/>
      </w:pPr>
    </w:p>
    <w:p w14:paraId="70A508DF" w14:textId="77777777" w:rsidR="00C1548D" w:rsidRDefault="009B1B4B">
      <w:pPr>
        <w:pStyle w:val="Heading3"/>
        <w:keepNext/>
        <w:jc w:val="center"/>
      </w:pPr>
      <w:r>
        <w:rPr>
          <w:rFonts w:ascii="Amazon Ember" w:eastAsia="Amazon Ember" w:hAnsi="Amazon Ember" w:cs="Amazon Ember"/>
          <w:color w:val="0000FF"/>
          <w:sz w:val="36"/>
          <w:szCs w:val="36"/>
        </w:rPr>
        <w:t>T–12 bis T–6 Monate: Visum und Papiere</w:t>
      </w:r>
    </w:p>
    <w:p w14:paraId="70A508E0" w14:textId="77777777" w:rsidR="00C1548D" w:rsidRDefault="009B1B4B">
      <w:pPr>
        <w:tabs>
          <w:tab w:val="left" w:pos="400"/>
        </w:tabs>
        <w:spacing w:after="60"/>
        <w:ind w:left="400" w:hanging="330"/>
      </w:pPr>
      <w:r>
        <w:rPr>
          <w:rFonts w:ascii="Segoe UI Symbol" w:eastAsia="Segoe UI Symbol" w:hAnsi="Segoe UI Symbol" w:cs="Segoe UI Symbol"/>
        </w:rPr>
        <w:t>☐</w:t>
      </w:r>
      <w:r>
        <w:tab/>
      </w:r>
      <w:r>
        <w:t>Sprachtest (CELPIP oder IELTS) gebucht und die eigene CLB-Stufe realistisch eingeschätzt (Kanada: Arbeitsweg)</w:t>
      </w:r>
    </w:p>
    <w:p w14:paraId="70A508E1" w14:textId="77777777"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Bildungsbewertung (</w:t>
      </w:r>
      <w:r>
        <w:rPr>
          <w:i/>
          <w:iCs/>
        </w:rPr>
        <w:t>Educational Credential Assessment</w:t>
      </w:r>
      <w:r>
        <w:t>, ECA) für den eigenen Abschluss bei einer anerkannten Stelle beauftragt (Kanada: Einwanderungswege)</w:t>
      </w:r>
    </w:p>
    <w:p w14:paraId="70A508E2" w14:textId="77777777" w:rsidR="00C1548D" w:rsidRDefault="009B1B4B">
      <w:pPr>
        <w:tabs>
          <w:tab w:val="left" w:pos="400"/>
        </w:tabs>
        <w:spacing w:after="60"/>
        <w:ind w:left="400" w:hanging="330"/>
      </w:pPr>
      <w:r>
        <w:rPr>
          <w:rFonts w:ascii="Segoe UI Symbol" w:eastAsia="Segoe UI Symbol" w:hAnsi="Segoe UI Symbol" w:cs="Segoe UI Symbol"/>
        </w:rPr>
        <w:t>☐</w:t>
      </w:r>
      <w:r>
        <w:tab/>
      </w:r>
      <w:r>
        <w:t>IRCC-Kundenkonto angelegt, Gesamtkosten inklusive der separaten Right-of-PR-Gebühr (600 CAD pro Erwachsenem) realistisch kalkuliert (Kanada: Antrag/Konsulat)</w:t>
      </w:r>
    </w:p>
    <w:p w14:paraId="70A508E3" w14:textId="77777777" w:rsidR="00C1548D" w:rsidRDefault="009B1B4B">
      <w:pPr>
        <w:tabs>
          <w:tab w:val="left" w:pos="400"/>
        </w:tabs>
        <w:spacing w:after="60"/>
        <w:ind w:left="400" w:hanging="330"/>
      </w:pPr>
      <w:r>
        <w:rPr>
          <w:rFonts w:ascii="Segoe UI Symbol" w:eastAsia="Segoe UI Symbol" w:hAnsi="Segoe UI Symbol" w:cs="Segoe UI Symbol"/>
        </w:rPr>
        <w:t>☐</w:t>
      </w:r>
      <w:r>
        <w:tab/>
      </w:r>
      <w:r>
        <w:t>Führungszeugnis beim Bundesamt für Justiz beantragt; für Kanada in der Regel ohne Apostille, bei Ausstellung vor Februar 2019 aber beglaubigte Übersetzung eingeplant (Kanada: Antrag/Konsulat)</w:t>
      </w:r>
    </w:p>
    <w:p w14:paraId="70A508E4" w14:textId="77777777" w:rsidR="00C1548D" w:rsidRDefault="009B1B4B">
      <w:pPr>
        <w:tabs>
          <w:tab w:val="left" w:pos="400"/>
        </w:tabs>
        <w:spacing w:after="60"/>
        <w:ind w:left="400" w:hanging="330"/>
      </w:pPr>
      <w:r>
        <w:rPr>
          <w:rFonts w:ascii="Segoe UI Symbol" w:eastAsia="Segoe UI Symbol" w:hAnsi="Segoe UI Symbol" w:cs="Segoe UI Symbol"/>
        </w:rPr>
        <w:t>☐</w:t>
      </w:r>
      <w:r>
        <w:tab/>
      </w:r>
      <w:r>
        <w:t>Termin bei einem IRCC-zugelassenen Panel Physician für die Gesundheitsuntersuchung gebucht (Kanada: Antrag/Konsulat)</w:t>
      </w:r>
    </w:p>
    <w:p w14:paraId="70A508E5" w14:textId="77777777" w:rsidR="00C1548D" w:rsidRDefault="009B1B4B">
      <w:pPr>
        <w:tabs>
          <w:tab w:val="left" w:pos="400"/>
        </w:tabs>
        <w:spacing w:after="60"/>
        <w:ind w:left="400" w:hanging="330"/>
      </w:pPr>
      <w:r>
        <w:rPr>
          <w:rFonts w:ascii="Segoe UI Symbol" w:eastAsia="Segoe UI Symbol" w:hAnsi="Segoe UI Symbol" w:cs="Segoe UI Symbol"/>
        </w:rPr>
        <w:t>☐</w:t>
      </w:r>
      <w:r>
        <w:tab/>
      </w:r>
      <w:r>
        <w:t>Termin bei VFS Global Berlin für Biometrie (Fingerabdrücke, Foto) gebucht, sobald IRCC dazu auffordert (Kanada: Antrag/Konsulat)</w:t>
      </w:r>
    </w:p>
    <w:p w14:paraId="70A508E6" w14:textId="77777777" w:rsidR="00C1548D" w:rsidRDefault="00C1548D">
      <w:pPr>
        <w:spacing w:line="120" w:lineRule="exact"/>
      </w:pPr>
    </w:p>
    <w:p w14:paraId="70A508E7" w14:textId="77777777" w:rsidR="00C1548D" w:rsidRDefault="009B1B4B">
      <w:pPr>
        <w:pStyle w:val="Heading3"/>
        <w:keepNext/>
        <w:jc w:val="center"/>
      </w:pPr>
      <w:r>
        <w:rPr>
          <w:rFonts w:ascii="Amazon Ember" w:eastAsia="Amazon Ember" w:hAnsi="Amazon Ember" w:cs="Amazon Ember"/>
          <w:color w:val="0000FF"/>
          <w:sz w:val="36"/>
          <w:szCs w:val="36"/>
        </w:rPr>
        <w:t>T–6 bis T–3 Monate: Umzug organisieren</w:t>
      </w:r>
    </w:p>
    <w:p w14:paraId="70A508E8" w14:textId="77777777" w:rsidR="00C1548D" w:rsidRDefault="009B1B4B">
      <w:pPr>
        <w:tabs>
          <w:tab w:val="left" w:pos="400"/>
        </w:tabs>
        <w:spacing w:after="60"/>
        <w:ind w:left="400" w:hanging="330"/>
      </w:pPr>
      <w:r>
        <w:rPr>
          <w:rFonts w:ascii="Segoe UI Symbol" w:eastAsia="Segoe UI Symbol" w:hAnsi="Segoe UI Symbol" w:cs="Segoe UI Symbol"/>
        </w:rPr>
        <w:t>☐</w:t>
      </w:r>
      <w:r>
        <w:tab/>
      </w:r>
      <w:r>
        <w:t>Newcomer-Bankpaket einer der fünf großen Banken (RBC, TD, Scotiabank, BMO, CIBC) verglichen und die Kontoeröffnung, wo möglich, schon von Deutschland aus online vorbereitet (Kanada: Ankunft)</w:t>
      </w:r>
    </w:p>
    <w:p w14:paraId="70A508E9" w14:textId="77777777" w:rsidR="00C1548D" w:rsidRDefault="009B1B4B">
      <w:pPr>
        <w:tabs>
          <w:tab w:val="left" w:pos="400"/>
        </w:tabs>
        <w:spacing w:after="60"/>
        <w:ind w:left="400" w:hanging="330"/>
      </w:pPr>
      <w:r>
        <w:rPr>
          <w:rFonts w:ascii="Segoe UI Symbol" w:eastAsia="Segoe UI Symbol" w:hAnsi="Segoe UI Symbol" w:cs="Segoe UI Symbol"/>
        </w:rPr>
        <w:t>☐</w:t>
      </w:r>
      <w:r>
        <w:tab/>
      </w:r>
      <w:r>
        <w:t>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w14:paraId="70A508EA" w14:textId="77777777"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Führerschein-Umtauschfrist der Zielprovinz bestätigt (Ontario 60 Tage, British Columbia 90 Tage, Québec 6 Monate) (Kanada: Führerschein/Auto)</w:t>
      </w:r>
    </w:p>
    <w:p w14:paraId="70A508EB" w14:textId="77777777" w:rsidR="00C1548D" w:rsidRDefault="009B1B4B">
      <w:pPr>
        <w:tabs>
          <w:tab w:val="left" w:pos="400"/>
        </w:tabs>
        <w:spacing w:after="60"/>
        <w:ind w:left="400" w:hanging="330"/>
      </w:pPr>
      <w:r>
        <w:rPr>
          <w:rFonts w:ascii="Segoe UI Symbol" w:eastAsia="Segoe UI Symbol" w:hAnsi="Segoe UI Symbol" w:cs="Segoe UI Symbol"/>
        </w:rPr>
        <w:t>☐</w:t>
      </w:r>
      <w:r>
        <w:tab/>
      </w:r>
      <w:r>
        <w:t>Mindestens drei Kfz-Versicherungsangebote mit gleicher Deckung für die Zielprovinz eingeholt und nach Anrechnung der deutschen Schadenfreiheitsbescheinigung gefragt (Kanada: Führerschein/Auto)</w:t>
      </w:r>
    </w:p>
    <w:p w14:paraId="70A508EC" w14:textId="77777777" w:rsidR="00C1548D" w:rsidRDefault="009B1B4B">
      <w:pPr>
        <w:tabs>
          <w:tab w:val="left" w:pos="400"/>
        </w:tabs>
        <w:spacing w:after="60"/>
        <w:ind w:left="400" w:hanging="330"/>
      </w:pPr>
      <w:r>
        <w:rPr>
          <w:rFonts w:ascii="Segoe UI Symbol" w:eastAsia="Segoe UI Symbol" w:hAnsi="Segoe UI Symbol" w:cs="Segoe UI Symbol"/>
        </w:rPr>
        <w:t>☐</w:t>
      </w:r>
      <w:r>
        <w:tab/>
      </w:r>
      <w:r>
        <w:t>Bei Kindern: Betreuungsplatz und Schulzuordnung beim zuständigen School Board Monate vor dem Umzug angefragt (Kanada: Kinder/Schule)</w:t>
      </w:r>
    </w:p>
    <w:p w14:paraId="70A508ED" w14:textId="77777777" w:rsidR="00C1548D" w:rsidRDefault="009B1B4B">
      <w:pPr>
        <w:tabs>
          <w:tab w:val="left" w:pos="400"/>
        </w:tabs>
        <w:spacing w:after="60"/>
        <w:ind w:left="400" w:hanging="330"/>
      </w:pPr>
      <w:r>
        <w:rPr>
          <w:rFonts w:ascii="Segoe UI Symbol" w:eastAsia="Segoe UI Symbol" w:hAnsi="Segoe UI Symbol" w:cs="Segoe UI Symbol"/>
        </w:rPr>
        <w:t>☐</w:t>
      </w:r>
      <w:r>
        <w:tab/>
      </w:r>
      <w:r>
        <w:t>Bei Kaufabsicht: eigener Aufenthaltsstatus gegen das bundesweite Kaufverbot für Nicht-Kanadier und provinzielle Foreign-Buyer-Steuern (in Toronto bis zu 35 %) abgeglichen (Kanada: Wohnen)</w:t>
      </w:r>
    </w:p>
    <w:p w14:paraId="70A508EE" w14:textId="77777777" w:rsidR="00C1548D" w:rsidRDefault="00C1548D">
      <w:pPr>
        <w:spacing w:line="120" w:lineRule="exact"/>
      </w:pPr>
    </w:p>
    <w:p w14:paraId="70A508EF" w14:textId="77777777" w:rsidR="00C1548D" w:rsidRDefault="009B1B4B">
      <w:pPr>
        <w:pStyle w:val="Heading3"/>
        <w:keepNext/>
        <w:jc w:val="center"/>
      </w:pPr>
      <w:r>
        <w:rPr>
          <w:rFonts w:ascii="Amazon Ember" w:eastAsia="Amazon Ember" w:hAnsi="Amazon Ember" w:cs="Amazon Ember"/>
          <w:color w:val="0000FF"/>
          <w:sz w:val="36"/>
          <w:szCs w:val="36"/>
        </w:rPr>
        <w:t>T–3 bis T–1 Monat: Feinschliff</w:t>
      </w:r>
    </w:p>
    <w:p w14:paraId="70A508F0" w14:textId="77777777" w:rsidR="00C1548D" w:rsidRDefault="009B1B4B">
      <w:pPr>
        <w:tabs>
          <w:tab w:val="left" w:pos="400"/>
        </w:tabs>
        <w:spacing w:after="60"/>
        <w:ind w:left="400" w:hanging="330"/>
      </w:pPr>
      <w:r>
        <w:rPr>
          <w:rFonts w:ascii="Segoe UI Symbol" w:eastAsia="Segoe UI Symbol" w:hAnsi="Segoe UI Symbol" w:cs="Segoe UI Symbol"/>
        </w:rPr>
        <w:t>☐</w:t>
      </w:r>
      <w:r>
        <w:tab/>
      </w:r>
      <w:r>
        <w:t>eSIM mit Kanada-Datenpaket eingerichtet oder Prepaid-SIM-Kauf am Zielort vorbereitet, deutsche Nummer als Zweit-SIM behalten (Kanada: Ankunft)</w:t>
      </w:r>
    </w:p>
    <w:p w14:paraId="70A508F1" w14:textId="77777777" w:rsidR="00C1548D" w:rsidRDefault="009B1B4B">
      <w:pPr>
        <w:tabs>
          <w:tab w:val="left" w:pos="400"/>
        </w:tabs>
        <w:spacing w:after="60"/>
        <w:ind w:left="400" w:hanging="330"/>
      </w:pPr>
      <w:r>
        <w:rPr>
          <w:rFonts w:ascii="Segoe UI Symbol" w:eastAsia="Segoe UI Symbol" w:hAnsi="Segoe UI Symbol" w:cs="Segoe UI Symbol"/>
        </w:rPr>
        <w:t>☐</w:t>
      </w:r>
      <w:r>
        <w:tab/>
      </w:r>
      <w:r>
        <w:t>Übergangsunterkunft mit kostenloser Stornierung für die ersten ein bis zwei Wochen gebucht (Kanada: Ankunft)</w:t>
      </w:r>
    </w:p>
    <w:p w14:paraId="70A508F2" w14:textId="77777777" w:rsidR="00C1548D" w:rsidRDefault="009B1B4B">
      <w:pPr>
        <w:tabs>
          <w:tab w:val="left" w:pos="400"/>
        </w:tabs>
        <w:spacing w:after="60"/>
        <w:ind w:left="400" w:hanging="330"/>
      </w:pPr>
      <w:r>
        <w:rPr>
          <w:rFonts w:ascii="Segoe UI Symbol" w:eastAsia="Segoe UI Symbol" w:hAnsi="Segoe UI Symbol" w:cs="Segoe UI Symbol"/>
        </w:rPr>
        <w:t>☐</w:t>
      </w:r>
      <w:r>
        <w:tab/>
      </w:r>
      <w:r>
        <w:t>Confirmation of Permanent Residence (COPR) beziehungsweise Visumsbestätigung, Genehmigungsschreiben des Arbeitgebers und Ergebnis der Gesundheitsuntersuchung im Handgepäck verstaut, nicht im Container (Kanada: Ankunft)</w:t>
      </w:r>
    </w:p>
    <w:p w14:paraId="70A508F3" w14:textId="77777777" w:rsidR="00C1548D" w:rsidRDefault="009B1B4B">
      <w:pPr>
        <w:tabs>
          <w:tab w:val="left" w:pos="400"/>
        </w:tabs>
        <w:spacing w:after="60"/>
        <w:ind w:left="400" w:hanging="330"/>
      </w:pPr>
      <w:r>
        <w:rPr>
          <w:rFonts w:ascii="Segoe UI Symbol" w:eastAsia="Segoe UI Symbol" w:hAnsi="Segoe UI Symbol" w:cs="Segoe UI Symbol"/>
        </w:rPr>
        <w:t>☐</w:t>
      </w:r>
      <w:r>
        <w:tab/>
      </w:r>
      <w:r>
        <w:t>Bei Zielort Québec: Französischkurs begonnen, da Bill 96 Neuankömmlingen nur sechs Monate Übergangsfrist für Behördenkontakt auf Englisch lässt (Kanada: Alltagskultur)</w:t>
      </w:r>
    </w:p>
    <w:p w14:paraId="70A508F4" w14:textId="77777777" w:rsidR="00C1548D" w:rsidRDefault="00C1548D">
      <w:pPr>
        <w:spacing w:line="120" w:lineRule="exact"/>
      </w:pPr>
    </w:p>
    <w:p w14:paraId="70A508F5"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ersten 30 Tage in Kanada</w:t>
      </w:r>
    </w:p>
    <w:p w14:paraId="70A508F6" w14:textId="77777777" w:rsidR="00C1548D" w:rsidRDefault="009B1B4B">
      <w:pPr>
        <w:tabs>
          <w:tab w:val="left" w:pos="400"/>
        </w:tabs>
        <w:spacing w:after="60"/>
        <w:ind w:left="400" w:hanging="330"/>
      </w:pPr>
      <w:r>
        <w:rPr>
          <w:rFonts w:ascii="Segoe UI Symbol" w:eastAsia="Segoe UI Symbol" w:hAnsi="Segoe UI Symbol" w:cs="Segoe UI Symbol"/>
        </w:rPr>
        <w:t>☐</w:t>
      </w:r>
      <w:r>
        <w:tab/>
      </w:r>
      <w:r>
        <w:t>SIN in der ersten Woche online, postalisch oder persönlich bei Service Canada beantragt, Bestätigung meist binnen fünf Werktagen im My Service Canada Account geprüft (Kanada: Steuer-ID/Bank)</w:t>
      </w:r>
    </w:p>
    <w:p w14:paraId="70A508F7" w14:textId="77777777" w:rsidR="00C1548D" w:rsidRDefault="009B1B4B">
      <w:pPr>
        <w:tabs>
          <w:tab w:val="left" w:pos="400"/>
        </w:tabs>
        <w:spacing w:after="60"/>
        <w:ind w:left="400" w:hanging="330"/>
      </w:pPr>
      <w:r>
        <w:rPr>
          <w:rFonts w:ascii="Segoe UI Symbol" w:eastAsia="Segoe UI Symbol" w:hAnsi="Segoe UI Symbol" w:cs="Segoe UI Symbol"/>
        </w:rPr>
        <w:t>☐</w:t>
      </w:r>
      <w:r>
        <w:tab/>
      </w:r>
      <w:r>
        <w:t>Antrag auf Provinz-Krankenversicherung gestellt, unabhängig davon, ob eine Wartefrist gilt (Kanada: Gesundheitssystem)</w:t>
      </w:r>
    </w:p>
    <w:p w14:paraId="70A508F8" w14:textId="77777777" w:rsidR="00C1548D" w:rsidRDefault="009B1B4B">
      <w:pPr>
        <w:tabs>
          <w:tab w:val="left" w:pos="400"/>
        </w:tabs>
        <w:spacing w:after="60"/>
        <w:ind w:left="400" w:hanging="330"/>
      </w:pPr>
      <w:r>
        <w:rPr>
          <w:rFonts w:ascii="Segoe UI Symbol" w:eastAsia="Segoe UI Symbol" w:hAnsi="Segoe UI Symbol" w:cs="Segoe UI Symbol"/>
        </w:rPr>
        <w:t>☐</w:t>
      </w:r>
      <w:r>
        <w:tab/>
      </w:r>
      <w:r>
        <w:t>Formular RC151 (GST/HST-Credit) und bei Kindern RC66 (Canada Child Benefit) eingereicht (Kanada: Steuer-ID/Bank)</w:t>
      </w:r>
    </w:p>
    <w:p w14:paraId="70A508F9" w14:textId="77777777" w:rsidR="00C1548D" w:rsidRDefault="009B1B4B">
      <w:pPr>
        <w:tabs>
          <w:tab w:val="left" w:pos="400"/>
        </w:tabs>
        <w:spacing w:after="60"/>
        <w:ind w:left="400" w:hanging="330"/>
      </w:pPr>
      <w:r>
        <w:rPr>
          <w:rFonts w:ascii="Segoe UI Symbol" w:eastAsia="Segoe UI Symbol" w:hAnsi="Segoe UI Symbol" w:cs="Segoe UI Symbol"/>
        </w:rPr>
        <w:t>☐</w:t>
      </w:r>
      <w:r>
        <w:tab/>
      </w:r>
      <w:r>
        <w:t>Bankkonto eröffnet oder vor Ort mit Pass und Aufenthaltsnachweis verifiziert; Secured Credit Card oder Newcomer-Kreditkarte beantragt, um den bei null startenden kanadischen Credit Score aufzubauen (Kanada: Ankunft)</w:t>
      </w:r>
    </w:p>
    <w:p w14:paraId="70A508FA" w14:textId="77777777" w:rsidR="00C1548D" w:rsidRDefault="009B1B4B">
      <w:pPr>
        <w:tabs>
          <w:tab w:val="left" w:pos="400"/>
        </w:tabs>
        <w:spacing w:after="60"/>
        <w:ind w:left="400" w:hanging="330"/>
      </w:pPr>
      <w:r>
        <w:rPr>
          <w:rFonts w:ascii="Segoe UI Symbol" w:eastAsia="Segoe UI Symbol" w:hAnsi="Segoe UI Symbol" w:cs="Segoe UI Symbol"/>
        </w:rPr>
        <w:t>☐</w:t>
      </w:r>
      <w:r>
        <w:tab/>
      </w:r>
      <w:r>
        <w:t>Führerschein innerhalb der Umtauschfrist der Provinz umgetauscht (Kanada: Führerschein/Auto)</w:t>
      </w:r>
    </w:p>
    <w:p w14:paraId="70A508FB" w14:textId="77777777" w:rsidR="00C1548D" w:rsidRDefault="009B1B4B">
      <w:pPr>
        <w:tabs>
          <w:tab w:val="left" w:pos="400"/>
        </w:tabs>
        <w:spacing w:after="60"/>
        <w:ind w:left="400" w:hanging="330"/>
      </w:pPr>
      <w:r>
        <w:rPr>
          <w:rFonts w:ascii="Segoe UI Symbol" w:eastAsia="Segoe UI Symbol" w:hAnsi="Segoe UI Symbol" w:cs="Segoe UI Symbol"/>
        </w:rPr>
        <w:t>☐</w:t>
      </w:r>
      <w:r>
        <w:tab/>
      </w:r>
      <w:r>
        <w:t>Wohnungssuche mit Bewerbungsmappe (Gehaltsnachweis, Arbeitsvertrag, ausländische Bonitätsnachweise) begonnen, Kautionsregeln der Provinz beachtet (Kanada: Wohnen)</w:t>
      </w:r>
    </w:p>
    <w:p w14:paraId="70A508FC" w14:textId="77777777" w:rsidR="00C1548D" w:rsidRDefault="009B1B4B">
      <w:pPr>
        <w:tabs>
          <w:tab w:val="left" w:pos="400"/>
        </w:tabs>
        <w:spacing w:after="60"/>
        <w:ind w:left="400" w:hanging="330"/>
      </w:pPr>
      <w:r>
        <w:rPr>
          <w:rFonts w:ascii="Segoe UI Symbol" w:eastAsia="Segoe UI Symbol" w:hAnsi="Segoe UI Symbol" w:cs="Segoe UI Symbol"/>
        </w:rPr>
        <w:t>☐</w:t>
      </w:r>
      <w:r>
        <w:tab/>
      </w:r>
      <w:r>
        <w:t>Kinder beim zuständigen School Board angemeldet, Einstufung und gegebenenfalls French-Immersion-Warteliste geklärt (Kanada: Kinder/Schule)</w:t>
      </w:r>
    </w:p>
    <w:p w14:paraId="70A508FD" w14:textId="77777777" w:rsidR="00C1548D" w:rsidRDefault="009B1B4B">
      <w:pPr>
        <w:tabs>
          <w:tab w:val="left" w:pos="400"/>
        </w:tabs>
        <w:spacing w:after="60"/>
        <w:ind w:left="400" w:hanging="330"/>
      </w:pPr>
      <w:r>
        <w:rPr>
          <w:rFonts w:ascii="Segoe UI Symbol" w:eastAsia="Segoe UI Symbol" w:hAnsi="Segoe UI Symbol" w:cs="Segoe UI Symbol"/>
        </w:rPr>
        <w:t>☐</w:t>
      </w:r>
      <w:r>
        <w:tab/>
      </w:r>
      <w:r>
        <w:t>Community Centre, Sportverein oder Wandergruppe der Zielstadt für den Einstieg ins soziale Leben kontaktiert (Kanada: Freunde/Kulturschock)</w:t>
      </w:r>
    </w:p>
    <w:p w14:paraId="70A508FE" w14:textId="77777777" w:rsidR="00C1548D" w:rsidRDefault="00C1548D">
      <w:pPr>
        <w:spacing w:line="120" w:lineRule="exact"/>
      </w:pPr>
    </w:p>
    <w:p w14:paraId="70A508FF" w14:textId="77777777" w:rsidR="00C1548D" w:rsidRDefault="009B1B4B">
      <w:pPr>
        <w:pStyle w:val="Heading3"/>
        <w:keepNext/>
        <w:jc w:val="center"/>
      </w:pPr>
      <w:r>
        <w:rPr>
          <w:rFonts w:ascii="Amazon Ember" w:eastAsia="Amazon Ember" w:hAnsi="Amazon Ember" w:cs="Amazon Ember"/>
          <w:color w:val="0000FF"/>
          <w:sz w:val="36"/>
          <w:szCs w:val="36"/>
        </w:rPr>
        <w:t>Die ersten 6 Monate</w:t>
      </w:r>
    </w:p>
    <w:p w14:paraId="70A50900" w14:textId="77777777" w:rsidR="00C1548D" w:rsidRDefault="009B1B4B">
      <w:pPr>
        <w:tabs>
          <w:tab w:val="left" w:pos="400"/>
        </w:tabs>
        <w:spacing w:after="60"/>
        <w:ind w:left="400" w:hanging="330"/>
      </w:pPr>
      <w:r>
        <w:rPr>
          <w:rFonts w:ascii="Segoe UI Symbol" w:eastAsia="Segoe UI Symbol" w:hAnsi="Segoe UI Symbol" w:cs="Segoe UI Symbol"/>
        </w:rPr>
        <w:t>☐</w:t>
      </w:r>
      <w:r>
        <w:tab/>
      </w:r>
      <w:r>
        <w:t>Erste kanadische Steuererklärung als Newcomer vorbereitet (anteiliger Grundfreibetrag), Frist 30. April notiert (Kanada: Steuer-ID/Bank)</w:t>
      </w:r>
    </w:p>
    <w:p w14:paraId="70A50901" w14:textId="77777777"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Extended Health Benefits beim Arbeitgeber erfragt, bevor eine eigene Zusatzversicherung für Zahn, Medikamente oder Sehhilfen abgeschlossen wird (Kanada: Gesundheitssystem)</w:t>
      </w:r>
    </w:p>
    <w:p w14:paraId="70A50902" w14:textId="77777777" w:rsidR="00C1548D" w:rsidRDefault="009B1B4B">
      <w:pPr>
        <w:tabs>
          <w:tab w:val="left" w:pos="400"/>
        </w:tabs>
        <w:spacing w:after="60"/>
        <w:ind w:left="400" w:hanging="330"/>
      </w:pPr>
      <w:r>
        <w:rPr>
          <w:rFonts w:ascii="Segoe UI Symbol" w:eastAsia="Segoe UI Symbol" w:hAnsi="Segoe UI Symbol" w:cs="Segoe UI Symbol"/>
        </w:rPr>
        <w:t>☐</w:t>
      </w:r>
      <w:r>
        <w:tab/>
      </w:r>
      <w:r>
        <w:t>Auf Wartelisten mehrerer Hausarztpraxen eingetragen, nächstgelegene Walk-in-Klinik notiert (Kanada: Gesundheitssystem)</w:t>
      </w:r>
    </w:p>
    <w:p w14:paraId="70A50903" w14:textId="77777777" w:rsidR="00C1548D" w:rsidRDefault="009B1B4B">
      <w:pPr>
        <w:tabs>
          <w:tab w:val="left" w:pos="400"/>
        </w:tabs>
        <w:spacing w:after="60"/>
        <w:ind w:left="400" w:hanging="330"/>
      </w:pPr>
      <w:r>
        <w:rPr>
          <w:rFonts w:ascii="Segoe UI Symbol" w:eastAsia="Segoe UI Symbol" w:hAnsi="Segoe UI Symbol" w:cs="Segoe UI Symbol"/>
        </w:rPr>
        <w:t>☐</w:t>
      </w:r>
      <w:r>
        <w:tab/>
      </w:r>
      <w:r>
        <w:t>Arbeitsvertrag mit dem gesetzlichen Minimum der Provinz verglichen (Urlaub ab zwei Wochen, Kündigungsfrist, Krankheitstage) (Kanada: Arbeitswelt)</w:t>
      </w:r>
    </w:p>
    <w:p w14:paraId="70A50904" w14:textId="77777777" w:rsidR="00C1548D" w:rsidRDefault="009B1B4B">
      <w:pPr>
        <w:tabs>
          <w:tab w:val="left" w:pos="400"/>
        </w:tabs>
        <w:spacing w:after="60"/>
        <w:ind w:left="400" w:hanging="330"/>
      </w:pPr>
      <w:r>
        <w:rPr>
          <w:rFonts w:ascii="Segoe UI Symbol" w:eastAsia="Segoe UI Symbol" w:hAnsi="Segoe UI Symbol" w:cs="Segoe UI Symbol"/>
        </w:rPr>
        <w:t>☐</w:t>
      </w:r>
      <w:r>
        <w:tab/>
      </w:r>
      <w:r>
        <w:t>Verhalten bei einer Verkehrskontrolle und die eigenen Rechte gegenüber der Polizei mit der Familie durchgesprochen (Kanada: Recht/Sicherheit)</w:t>
      </w:r>
    </w:p>
    <w:p w14:paraId="70A50905" w14:textId="77777777" w:rsidR="00C1548D" w:rsidRDefault="009B1B4B">
      <w:pPr>
        <w:tabs>
          <w:tab w:val="left" w:pos="400"/>
        </w:tabs>
        <w:spacing w:after="60"/>
        <w:ind w:left="400" w:hanging="330"/>
      </w:pPr>
      <w:r>
        <w:rPr>
          <w:rFonts w:ascii="Segoe UI Symbol" w:eastAsia="Segoe UI Symbol" w:hAnsi="Segoe UI Symbol" w:cs="Segoe UI Symbol"/>
        </w:rPr>
        <w:t>☐</w:t>
      </w:r>
      <w:r>
        <w:tab/>
      </w:r>
      <w:r>
        <w:t>Reiseprotokoll für die spätere Einbürgerung geführt: 1.095 Tage Anwesenheit, davon mindestens 730 Tage als Permanent Resident (Kanada: Staatsbürgerschaft/Steuerresidenz)</w:t>
      </w:r>
    </w:p>
    <w:p w14:paraId="70A50906" w14:textId="77777777" w:rsidR="00C1548D" w:rsidRDefault="00C1548D">
      <w:pPr>
        <w:spacing w:line="120" w:lineRule="exact"/>
      </w:pPr>
    </w:p>
    <w:p w14:paraId="70A50907" w14:textId="77777777" w:rsidR="00C1548D" w:rsidRDefault="009B1B4B">
      <w:pPr>
        <w:pStyle w:val="Heading3"/>
        <w:keepNext/>
        <w:jc w:val="center"/>
      </w:pPr>
      <w:r>
        <w:rPr>
          <w:rFonts w:ascii="Amazon Ember" w:eastAsia="Amazon Ember" w:hAnsi="Amazon Ember" w:cs="Amazon Ember"/>
          <w:color w:val="0000FF"/>
          <w:sz w:val="36"/>
          <w:szCs w:val="36"/>
        </w:rPr>
        <w:t>Australien</w:t>
      </w:r>
    </w:p>
    <w:p w14:paraId="70A50908" w14:textId="77777777" w:rsidR="00C1548D" w:rsidRDefault="009B1B4B">
      <w:pPr>
        <w:pStyle w:val="Heading3"/>
        <w:keepNext/>
        <w:jc w:val="center"/>
      </w:pPr>
      <w:r>
        <w:rPr>
          <w:rFonts w:ascii="Amazon Ember" w:eastAsia="Amazon Ember" w:hAnsi="Amazon Ember" w:cs="Amazon Ember"/>
          <w:color w:val="0000FF"/>
          <w:sz w:val="36"/>
          <w:szCs w:val="36"/>
        </w:rPr>
        <w:t>T–18 bis T–12 Monate: Entscheidung und Vorbereitung</w:t>
      </w:r>
    </w:p>
    <w:p w14:paraId="70A50909" w14:textId="77777777" w:rsidR="00C1548D" w:rsidRDefault="009B1B4B">
      <w:pPr>
        <w:tabs>
          <w:tab w:val="left" w:pos="400"/>
        </w:tabs>
        <w:spacing w:after="60"/>
        <w:ind w:left="400" w:hanging="330"/>
      </w:pPr>
      <w:r>
        <w:rPr>
          <w:rFonts w:ascii="Segoe UI Symbol" w:eastAsia="Segoe UI Symbol" w:hAnsi="Segoe UI Symbol" w:cs="Segoe UI Symbol"/>
        </w:rPr>
        <w:t>☐</w:t>
      </w:r>
      <w:r>
        <w:tab/>
      </w:r>
      <w:r>
        <w:t>Eigenen Punktestand für den Punktetest (Subclass 189/190/491) anhand Alter, Englischniveau, Bildung und Berufserfahrung überschlägig berechnet und mit den aktuellen Cut-off-Werten verglichen, nicht nur mit der gesetzlichen Mindestpunktzahl von 65 (Australien: Arbeitsweg)</w:t>
      </w:r>
    </w:p>
    <w:p w14:paraId="70A5090A" w14:textId="77777777" w:rsidR="00C1548D" w:rsidRDefault="009B1B4B">
      <w:pPr>
        <w:tabs>
          <w:tab w:val="left" w:pos="400"/>
        </w:tabs>
        <w:spacing w:after="60"/>
        <w:ind w:left="400" w:hanging="330"/>
      </w:pPr>
      <w:r>
        <w:rPr>
          <w:rFonts w:ascii="Segoe UI Symbol" w:eastAsia="Segoe UI Symbol" w:hAnsi="Segoe UI Symbol" w:cs="Segoe UI Symbol"/>
        </w:rPr>
        <w:t>☐</w:t>
      </w:r>
      <w:r>
        <w:tab/>
      </w:r>
      <w:r>
        <w:t>Geprüft, ob der eigene Beruf auf der für das jeweilige Visum einschlägigen Berufsliste steht (Australien: Einwanderungswege)</w:t>
      </w:r>
    </w:p>
    <w:p w14:paraId="70A5090B" w14:textId="77777777"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Working-Holiday-Visum (Subclass 417) als risikoarmer erster Schritt geprüft, falls unter 35 und noch unentschlossen (Australien: Einwanderungswege)</w:t>
      </w:r>
    </w:p>
    <w:p w14:paraId="70A5090C" w14:textId="77777777" w:rsidR="00C1548D" w:rsidRDefault="00C1548D">
      <w:pPr>
        <w:spacing w:line="120" w:lineRule="exact"/>
      </w:pPr>
    </w:p>
    <w:p w14:paraId="70A5090D" w14:textId="77777777" w:rsidR="00C1548D" w:rsidRDefault="009B1B4B">
      <w:pPr>
        <w:pStyle w:val="Heading3"/>
        <w:keepNext/>
        <w:jc w:val="center"/>
      </w:pPr>
      <w:r>
        <w:rPr>
          <w:rFonts w:ascii="Amazon Ember" w:eastAsia="Amazon Ember" w:hAnsi="Amazon Ember" w:cs="Amazon Ember"/>
          <w:color w:val="0000FF"/>
          <w:sz w:val="36"/>
          <w:szCs w:val="36"/>
        </w:rPr>
        <w:t>T–12 bis T–6 Monate: Visum und Papiere</w:t>
      </w:r>
    </w:p>
    <w:p w14:paraId="70A5090E" w14:textId="77777777" w:rsidR="00C1548D" w:rsidRDefault="009B1B4B">
      <w:pPr>
        <w:tabs>
          <w:tab w:val="left" w:pos="400"/>
        </w:tabs>
        <w:spacing w:after="60"/>
        <w:ind w:left="400" w:hanging="330"/>
      </w:pPr>
      <w:r>
        <w:rPr>
          <w:rFonts w:ascii="Segoe UI Symbol" w:eastAsia="Segoe UI Symbol" w:hAnsi="Segoe UI Symbol" w:cs="Segoe UI Symbol"/>
        </w:rPr>
        <w:t>☐</w:t>
      </w:r>
      <w:r>
        <w:tab/>
      </w:r>
      <w:r>
        <w:t>Skills Assessment bei der zuständigen Bewertungsstelle (etwa Engineers Australia, ACS, VETASSESS, ANMAC oder TRA) beantragt, parallel zum Englischtest, weil es oft der eigentliche Flaschenhals im Verfahren ist (Australien: Arbeitsweg)</w:t>
      </w:r>
    </w:p>
    <w:p w14:paraId="70A5090F" w14:textId="77777777" w:rsidR="00C1548D" w:rsidRDefault="009B1B4B">
      <w:pPr>
        <w:tabs>
          <w:tab w:val="left" w:pos="400"/>
        </w:tabs>
        <w:spacing w:after="60"/>
        <w:ind w:left="400" w:hanging="330"/>
      </w:pPr>
      <w:r>
        <w:rPr>
          <w:rFonts w:ascii="Segoe UI Symbol" w:eastAsia="Segoe UI Symbol" w:hAnsi="Segoe UI Symbol" w:cs="Segoe UI Symbol"/>
        </w:rPr>
        <w:t>☐</w:t>
      </w:r>
      <w:r>
        <w:tab/>
      </w:r>
      <w:r>
        <w:t xml:space="preserve">Englischtest (IELTS, PTE oder gleichwertig) gebucht; bei knapper Punktzahl gezielt auf das Sprachniveau </w:t>
      </w:r>
      <w:r>
        <w:rPr>
          <w:i/>
          <w:iCs/>
        </w:rPr>
        <w:t>Superior</w:t>
      </w:r>
      <w:r>
        <w:t xml:space="preserve"> statt nur </w:t>
      </w:r>
      <w:r>
        <w:rPr>
          <w:i/>
          <w:iCs/>
        </w:rPr>
        <w:t>Proficient</w:t>
      </w:r>
      <w:r>
        <w:t xml:space="preserve"> hingearbeitet (Australien: Arbeitsweg)</w:t>
      </w:r>
    </w:p>
    <w:p w14:paraId="70A50910" w14:textId="77777777" w:rsidR="00C1548D" w:rsidRDefault="009B1B4B">
      <w:pPr>
        <w:tabs>
          <w:tab w:val="left" w:pos="400"/>
        </w:tabs>
        <w:spacing w:after="60"/>
        <w:ind w:left="400" w:hanging="330"/>
      </w:pPr>
      <w:r>
        <w:rPr>
          <w:rFonts w:ascii="Segoe UI Symbol" w:eastAsia="Segoe UI Symbol" w:hAnsi="Segoe UI Symbol" w:cs="Segoe UI Symbol"/>
        </w:rPr>
        <w:t>☐</w:t>
      </w:r>
      <w:r>
        <w:tab/>
      </w:r>
      <w:r>
        <w:t>Expression of Interest (EOI) über SkillSelect eingereicht, sobald Skills Assessment und Sprachtest vorliegen; nach Einladung den Antrag innerhalb der 60-Tage-Frist über ImmiAccount gestellt (Australien: Antrag/Konsulat)</w:t>
      </w:r>
    </w:p>
    <w:p w14:paraId="70A50911" w14:textId="77777777" w:rsidR="00C1548D" w:rsidRDefault="009B1B4B">
      <w:pPr>
        <w:tabs>
          <w:tab w:val="left" w:pos="400"/>
        </w:tabs>
        <w:spacing w:after="60"/>
        <w:ind w:left="400" w:hanging="330"/>
      </w:pPr>
      <w:r>
        <w:rPr>
          <w:rFonts w:ascii="Segoe UI Symbol" w:eastAsia="Segoe UI Symbol" w:hAnsi="Segoe UI Symbol" w:cs="Segoe UI Symbol"/>
        </w:rPr>
        <w:t>☐</w:t>
      </w:r>
      <w:r>
        <w:tab/>
      </w:r>
      <w:r>
        <w:t>Gesundheitsuntersuchung bei einem zugelassenen Panel Physician terminiert, sobald die HAP-ID vorliegt (Australien: Antrag/Konsulat)</w:t>
      </w:r>
    </w:p>
    <w:p w14:paraId="70A50912" w14:textId="77777777" w:rsidR="00C1548D" w:rsidRDefault="009B1B4B">
      <w:pPr>
        <w:tabs>
          <w:tab w:val="left" w:pos="400"/>
        </w:tabs>
        <w:spacing w:after="60"/>
        <w:ind w:left="400" w:hanging="330"/>
      </w:pPr>
      <w:r>
        <w:rPr>
          <w:rFonts w:ascii="Segoe UI Symbol" w:eastAsia="Segoe UI Symbol" w:hAnsi="Segoe UI Symbol" w:cs="Segoe UI Symbol"/>
        </w:rPr>
        <w:t>☐</w:t>
      </w:r>
      <w:r>
        <w:tab/>
      </w:r>
      <w:r>
        <w:t>Führungszeugnis für jedes Land mit mehr als 12 Monaten Aufenthalt seit dem 16. Geburtstag beantragt und die Apostille direkt über das Online-Datenformular des Bundesamts für Auswärtige Angelegenheiten eingeholt – eine nachträgliche Apostille ist auf diesem Weg nicht vorgesehen (Australien: Antrag/Konsulat)</w:t>
      </w:r>
    </w:p>
    <w:p w14:paraId="70A50913" w14:textId="77777777" w:rsidR="00C1548D" w:rsidRDefault="009B1B4B">
      <w:pPr>
        <w:tabs>
          <w:tab w:val="left" w:pos="400"/>
        </w:tabs>
        <w:spacing w:after="60"/>
        <w:ind w:left="400" w:hanging="330"/>
      </w:pPr>
      <w:r>
        <w:rPr>
          <w:rFonts w:ascii="Segoe UI Symbol" w:eastAsia="Segoe UI Symbol" w:hAnsi="Segoe UI Symbol" w:cs="Segoe UI Symbol"/>
        </w:rPr>
        <w:t>☐</w:t>
      </w:r>
      <w:r>
        <w:tab/>
      </w:r>
      <w:r>
        <w:t>Bei Arbeitgeber-Sponsoring (Subclass 482): Gehalt mit der maßgeblichen Lohnschwelle verglichen und schriftlich festgehalten, dass die Skilling-Australians-Fund-Levy beim Arbeitgeber bleibt (Australien: Arbeitsweg)</w:t>
      </w:r>
    </w:p>
    <w:p w14:paraId="70A50914" w14:textId="77777777"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Registrierten Migration Agent im OMARA-Self-Service-Portal auf aktuelle Zulassung geprüft, falls Beratung gewünscht ist (Australien: Antrag/Konsulat)</w:t>
      </w:r>
    </w:p>
    <w:p w14:paraId="70A50915" w14:textId="77777777" w:rsidR="00C1548D" w:rsidRDefault="00C1548D">
      <w:pPr>
        <w:spacing w:line="120" w:lineRule="exact"/>
      </w:pPr>
    </w:p>
    <w:p w14:paraId="70A50916" w14:textId="77777777" w:rsidR="00C1548D" w:rsidRDefault="009B1B4B">
      <w:pPr>
        <w:pStyle w:val="Heading3"/>
        <w:keepNext/>
        <w:jc w:val="center"/>
      </w:pPr>
      <w:r>
        <w:rPr>
          <w:rFonts w:ascii="Amazon Ember" w:eastAsia="Amazon Ember" w:hAnsi="Amazon Ember" w:cs="Amazon Ember"/>
          <w:color w:val="0000FF"/>
          <w:sz w:val="36"/>
          <w:szCs w:val="36"/>
        </w:rPr>
        <w:t>T–6 bis T–3 Monate: Umzug organisieren</w:t>
      </w:r>
    </w:p>
    <w:p w14:paraId="70A50917" w14:textId="77777777" w:rsidR="00C1548D" w:rsidRDefault="009B1B4B">
      <w:pPr>
        <w:tabs>
          <w:tab w:val="left" w:pos="400"/>
        </w:tabs>
        <w:spacing w:after="60"/>
        <w:ind w:left="400" w:hanging="330"/>
      </w:pPr>
      <w:r>
        <w:rPr>
          <w:rFonts w:ascii="Segoe UI Symbol" w:eastAsia="Segoe UI Symbol" w:hAnsi="Segoe UI Symbol" w:cs="Segoe UI Symbol"/>
        </w:rPr>
        <w:t>☐</w:t>
      </w:r>
      <w:r>
        <w:tab/>
      </w:r>
      <w:r>
        <w:t>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w14:paraId="70A50918" w14:textId="77777777" w:rsidR="00C1548D" w:rsidRDefault="009B1B4B">
      <w:pPr>
        <w:tabs>
          <w:tab w:val="left" w:pos="400"/>
        </w:tabs>
        <w:spacing w:after="60"/>
        <w:ind w:left="400" w:hanging="330"/>
      </w:pPr>
      <w:r>
        <w:rPr>
          <w:rFonts w:ascii="Segoe UI Symbol" w:eastAsia="Segoe UI Symbol" w:hAnsi="Segoe UI Symbol" w:cs="Segoe UI Symbol"/>
        </w:rPr>
        <w:t>☐</w:t>
      </w:r>
      <w:r>
        <w:tab/>
      </w:r>
      <w:r>
        <w:t>Bank-Voreröffnung bei einer australischen Großbank online vorbereitet (Westpac bis zu 12 Monate, CommBank bis zu 14 Tage vor Einreise möglich) (Australien: Steuer-ID/Bank)</w:t>
      </w:r>
    </w:p>
    <w:p w14:paraId="70A50919" w14:textId="77777777" w:rsidR="00C1548D" w:rsidRDefault="009B1B4B">
      <w:pPr>
        <w:tabs>
          <w:tab w:val="left" w:pos="400"/>
        </w:tabs>
        <w:spacing w:after="60"/>
        <w:ind w:left="400" w:hanging="330"/>
      </w:pPr>
      <w:r>
        <w:rPr>
          <w:rFonts w:ascii="Segoe UI Symbol" w:eastAsia="Segoe UI Symbol" w:hAnsi="Segoe UI Symbol" w:cs="Segoe UI Symbol"/>
        </w:rPr>
        <w:t>☐</w:t>
      </w:r>
      <w:r>
        <w:tab/>
      </w:r>
      <w:r>
        <w:t xml:space="preserve">Bei Kaufabsicht: geklärt, ob der eigene Visumstatus als </w:t>
      </w:r>
      <w:r>
        <w:rPr>
          <w:i/>
          <w:iCs/>
        </w:rPr>
        <w:t>foreign person</w:t>
      </w:r>
      <w:r>
        <w:t xml:space="preserve"> unter das FIRB-Verbot für Bestandsimmobilien fällt, und der Foreign-Buyer-Zuschlag (7–9 % Stamp Duty) einkalkuliert (Australien: Wohnen)</w:t>
      </w:r>
    </w:p>
    <w:p w14:paraId="70A5091A" w14:textId="77777777" w:rsidR="00C1548D" w:rsidRDefault="009B1B4B">
      <w:pPr>
        <w:tabs>
          <w:tab w:val="left" w:pos="400"/>
        </w:tabs>
        <w:spacing w:after="60"/>
        <w:ind w:left="400" w:hanging="330"/>
      </w:pPr>
      <w:r>
        <w:rPr>
          <w:rFonts w:ascii="Segoe UI Symbol" w:eastAsia="Segoe UI Symbol" w:hAnsi="Segoe UI Symbol" w:cs="Segoe UI Symbol"/>
        </w:rPr>
        <w:t>☐</w:t>
      </w:r>
      <w:r>
        <w:tab/>
      </w:r>
      <w:r>
        <w:t>Internationalen Führerschein oder eine beglaubigte englische Übersetzung des deutschen Führerscheins in Deutschland beantragt, Umtauschfrist des Zielbundesstaats notiert (Australien: Führerschein/Auto)</w:t>
      </w:r>
    </w:p>
    <w:p w14:paraId="70A5091B" w14:textId="77777777" w:rsidR="00C1548D" w:rsidRDefault="00C1548D">
      <w:pPr>
        <w:spacing w:line="120" w:lineRule="exact"/>
      </w:pPr>
    </w:p>
    <w:p w14:paraId="70A5091C" w14:textId="77777777" w:rsidR="00C1548D" w:rsidRDefault="009B1B4B">
      <w:pPr>
        <w:pStyle w:val="Heading3"/>
        <w:keepNext/>
        <w:jc w:val="center"/>
      </w:pPr>
      <w:r>
        <w:rPr>
          <w:rFonts w:ascii="Amazon Ember" w:eastAsia="Amazon Ember" w:hAnsi="Amazon Ember" w:cs="Amazon Ember"/>
          <w:color w:val="0000FF"/>
          <w:sz w:val="36"/>
          <w:szCs w:val="36"/>
        </w:rPr>
        <w:t>T–3 bis T–1 Monat: Feinschliff</w:t>
      </w:r>
    </w:p>
    <w:p w14:paraId="70A5091D" w14:textId="77777777" w:rsidR="00C1548D" w:rsidRDefault="009B1B4B">
      <w:pPr>
        <w:tabs>
          <w:tab w:val="left" w:pos="400"/>
        </w:tabs>
        <w:spacing w:after="60"/>
        <w:ind w:left="400" w:hanging="330"/>
      </w:pPr>
      <w:r>
        <w:rPr>
          <w:rFonts w:ascii="Segoe UI Symbol" w:eastAsia="Segoe UI Symbol" w:hAnsi="Segoe UI Symbol" w:cs="Segoe UI Symbol"/>
        </w:rPr>
        <w:t>☐</w:t>
      </w:r>
      <w:r>
        <w:tab/>
      </w:r>
      <w:r>
        <w:t>OVHC (bei Arbeitsvisum) oder OSHC (bei Studienvisum) mit Versicherungsbeginn zum Ankunftstag abgeschlossen – Deutschland hat kein Reciprocal Health Care Agreement mit Australien, ohne private Absicherung besteht ab dem ersten Tag keine Krankenversicherungsdeckung (Australien: Gesundheitssystem)</w:t>
      </w:r>
    </w:p>
    <w:p w14:paraId="70A5091E" w14:textId="77777777"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eSIM mit Australien-Datenpaket eingerichtet oder Prepaid-SIM-Optionen recherchiert, da deutsche Mobilfunktarife in Australien kein EU-Roaming haben (Australien: Ankunft)</w:t>
      </w:r>
    </w:p>
    <w:p w14:paraId="70A5091F" w14:textId="77777777" w:rsidR="00C1548D" w:rsidRDefault="009B1B4B">
      <w:pPr>
        <w:tabs>
          <w:tab w:val="left" w:pos="400"/>
        </w:tabs>
        <w:spacing w:after="60"/>
        <w:ind w:left="400" w:hanging="330"/>
      </w:pPr>
      <w:r>
        <w:rPr>
          <w:rFonts w:ascii="Segoe UI Symbol" w:eastAsia="Segoe UI Symbol" w:hAnsi="Segoe UI Symbol" w:cs="Segoe UI Symbol"/>
        </w:rPr>
        <w:t>☐</w:t>
      </w:r>
      <w:r>
        <w:tab/>
      </w:r>
      <w:r>
        <w:t>Übergangsunterkunft mit Stornierungsoption für mindestens ein bis zwei Wochen gebucht (Australien: Ankunft)</w:t>
      </w:r>
    </w:p>
    <w:p w14:paraId="70A50920" w14:textId="77777777" w:rsidR="00C1548D" w:rsidRDefault="009B1B4B">
      <w:pPr>
        <w:tabs>
          <w:tab w:val="left" w:pos="400"/>
        </w:tabs>
        <w:spacing w:after="60"/>
        <w:ind w:left="400" w:hanging="330"/>
      </w:pPr>
      <w:r>
        <w:rPr>
          <w:rFonts w:ascii="Segoe UI Symbol" w:eastAsia="Segoe UI Symbol" w:hAnsi="Segoe UI Symbol" w:cs="Segoe UI Symbol"/>
        </w:rPr>
        <w:t>☐</w:t>
      </w:r>
      <w:r>
        <w:tab/>
      </w:r>
      <w:r>
        <w:t>Visumsbestätigung ausgedruckt fürs Handgepäck bereitgelegt, da das Visum nicht im Pass klebt, sondern nur elektronisch mit der Passnummer verknüpft ist (Australien: Ankunft)</w:t>
      </w:r>
    </w:p>
    <w:p w14:paraId="70A50921" w14:textId="77777777" w:rsidR="00C1548D" w:rsidRDefault="00C1548D">
      <w:pPr>
        <w:spacing w:line="120" w:lineRule="exact"/>
      </w:pPr>
    </w:p>
    <w:p w14:paraId="70A50922" w14:textId="77777777" w:rsidR="00C1548D" w:rsidRDefault="009B1B4B">
      <w:pPr>
        <w:pStyle w:val="Heading3"/>
        <w:keepNext/>
        <w:jc w:val="center"/>
      </w:pPr>
      <w:r>
        <w:rPr>
          <w:rFonts w:ascii="Amazon Ember" w:eastAsia="Amazon Ember" w:hAnsi="Amazon Ember" w:cs="Amazon Ember"/>
          <w:color w:val="0000FF"/>
          <w:sz w:val="36"/>
          <w:szCs w:val="36"/>
        </w:rPr>
        <w:t>Die ersten 30 Tage in Australien</w:t>
      </w:r>
    </w:p>
    <w:p w14:paraId="70A50923" w14:textId="77777777" w:rsidR="00C1548D" w:rsidRDefault="009B1B4B">
      <w:pPr>
        <w:tabs>
          <w:tab w:val="left" w:pos="400"/>
        </w:tabs>
        <w:spacing w:after="60"/>
        <w:ind w:left="400" w:hanging="330"/>
      </w:pPr>
      <w:r>
        <w:rPr>
          <w:rFonts w:ascii="Segoe UI Symbol" w:eastAsia="Segoe UI Symbol" w:hAnsi="Segoe UI Symbol" w:cs="Segoe UI Symbol"/>
        </w:rPr>
        <w:t>☐</w:t>
      </w:r>
      <w:r>
        <w:tab/>
      </w:r>
      <w:r>
        <w:t>Bargeld und Zahlungsmittel über 10.000 AUD bei der Einreise aktiv deklariert (Australien: Ankunft)</w:t>
      </w:r>
    </w:p>
    <w:p w14:paraId="70A50924" w14:textId="77777777" w:rsidR="00C1548D" w:rsidRDefault="009B1B4B">
      <w:pPr>
        <w:tabs>
          <w:tab w:val="left" w:pos="400"/>
        </w:tabs>
        <w:spacing w:after="60"/>
        <w:ind w:left="400" w:hanging="330"/>
      </w:pPr>
      <w:r>
        <w:rPr>
          <w:rFonts w:ascii="Segoe UI Symbol" w:eastAsia="Segoe UI Symbol" w:hAnsi="Segoe UI Symbol" w:cs="Segoe UI Symbol"/>
        </w:rPr>
        <w:t>☐</w:t>
      </w:r>
      <w:r>
        <w:tab/>
      </w:r>
      <w:r>
        <w:t>Biosecurity-Deklaration bei der Einreise ehrlich und vollständig ausgefüllt (Australien: Ankunft)</w:t>
      </w:r>
    </w:p>
    <w:p w14:paraId="70A50925" w14:textId="77777777" w:rsidR="00C1548D" w:rsidRDefault="009B1B4B">
      <w:pPr>
        <w:tabs>
          <w:tab w:val="left" w:pos="400"/>
        </w:tabs>
        <w:spacing w:after="60"/>
        <w:ind w:left="400" w:hanging="330"/>
      </w:pPr>
      <w:r>
        <w:rPr>
          <w:rFonts w:ascii="Segoe UI Symbol" w:eastAsia="Segoe UI Symbol" w:hAnsi="Segoe UI Symbol" w:cs="Segoe UI Symbol"/>
        </w:rPr>
        <w:t>☐</w:t>
      </w:r>
      <w:r>
        <w:tab/>
      </w:r>
      <w:r>
        <w:t>TFN online beim Australian Taxation Office beantragt, sobald ein australischer Wohnsitznachweis vorliegt – kostenlos, aber ohne sie behält der Arbeitgeber ab Tag 28 pauschal 47 % des Lohns ein (Australien: Steuer-ID/Bank)</w:t>
      </w:r>
    </w:p>
    <w:p w14:paraId="70A50926" w14:textId="77777777" w:rsidR="00C1548D" w:rsidRDefault="009B1B4B">
      <w:pPr>
        <w:tabs>
          <w:tab w:val="left" w:pos="400"/>
        </w:tabs>
        <w:spacing w:after="60"/>
        <w:ind w:left="400" w:hanging="330"/>
      </w:pPr>
      <w:r>
        <w:rPr>
          <w:rFonts w:ascii="Segoe UI Symbol" w:eastAsia="Segoe UI Symbol" w:hAnsi="Segoe UI Symbol" w:cs="Segoe UI Symbol"/>
        </w:rPr>
        <w:t>☐</w:t>
      </w:r>
      <w:r>
        <w:tab/>
      </w:r>
      <w:r>
        <w:t>Bei Permanent-Resident-Status: persönliche Medicare-Anmeldung bei einem Service Center von Services Australia mit Pass, Visumsnachweis und Adressnachweis erledigt (Australien: Gesundheitssystem)</w:t>
      </w:r>
    </w:p>
    <w:p w14:paraId="70A50927" w14:textId="77777777" w:rsidR="00C1548D" w:rsidRDefault="009B1B4B">
      <w:pPr>
        <w:tabs>
          <w:tab w:val="left" w:pos="400"/>
        </w:tabs>
        <w:spacing w:after="60"/>
        <w:ind w:left="400" w:hanging="330"/>
      </w:pPr>
      <w:r>
        <w:rPr>
          <w:rFonts w:ascii="Segoe UI Symbol" w:eastAsia="Segoe UI Symbol" w:hAnsi="Segoe UI Symbol" w:cs="Segoe UI Symbol"/>
        </w:rPr>
        <w:t>☐</w:t>
      </w:r>
      <w:r>
        <w:tab/>
      </w:r>
      <w:r>
        <w:t>Bankkonto vor Ort über den vorgeschriebenen 100-Punkte-Ausweischeck verifiziert oder online eröffnetes Konto aktiviert (Australien: Steuer-ID/Bank)</w:t>
      </w:r>
    </w:p>
    <w:p w14:paraId="70A50928" w14:textId="77777777" w:rsidR="00C1548D" w:rsidRDefault="009B1B4B">
      <w:pPr>
        <w:tabs>
          <w:tab w:val="left" w:pos="400"/>
        </w:tabs>
        <w:spacing w:after="60"/>
        <w:ind w:left="400" w:hanging="330"/>
      </w:pPr>
      <w:r>
        <w:rPr>
          <w:rFonts w:ascii="Segoe UI Symbol" w:eastAsia="Segoe UI Symbol" w:hAnsi="Segoe UI Symbol" w:cs="Segoe UI Symbol"/>
        </w:rPr>
        <w:t>☐</w:t>
      </w:r>
      <w:r>
        <w:tab/>
      </w:r>
      <w:r>
        <w:t>Superannuation-Fonds bei Arbeitsbeginn aktiv gewählt statt den Standardfonds zu übernehmen, Formular innerhalb von 28 Tagen eingereicht (Australien: Steuer-ID/Bank)</w:t>
      </w:r>
    </w:p>
    <w:p w14:paraId="70A50929" w14:textId="77777777" w:rsidR="00C1548D" w:rsidRDefault="009B1B4B">
      <w:pPr>
        <w:tabs>
          <w:tab w:val="left" w:pos="400"/>
        </w:tabs>
        <w:spacing w:after="60"/>
        <w:ind w:left="400" w:hanging="330"/>
      </w:pPr>
      <w:r>
        <w:rPr>
          <w:rFonts w:ascii="Segoe UI Symbol" w:eastAsia="Segoe UI Symbol" w:hAnsi="Segoe UI Symbol" w:cs="Segoe UI Symbol"/>
        </w:rPr>
        <w:t>☐</w:t>
      </w:r>
      <w:r>
        <w:tab/>
      </w:r>
      <w:r>
        <w:t xml:space="preserve">Erste Fahrten bewusst auf ruhigen Strecken geübt: Linksverkehr, Kreisverkehr im Uhrzeigersinn, vertauschte </w:t>
      </w:r>
      <w:r>
        <w:lastRenderedPageBreak/>
        <w:t>Blinker- und Scheibenwischerhebel – keine Autofahrt direkt nach der Ankunft mit Jetlag (Australien: Führerschein/Auto)</w:t>
      </w:r>
    </w:p>
    <w:p w14:paraId="70A5092A" w14:textId="77777777" w:rsidR="00C1548D" w:rsidRDefault="009B1B4B">
      <w:pPr>
        <w:tabs>
          <w:tab w:val="left" w:pos="400"/>
        </w:tabs>
        <w:spacing w:after="60"/>
        <w:ind w:left="400" w:hanging="330"/>
      </w:pPr>
      <w:r>
        <w:rPr>
          <w:rFonts w:ascii="Segoe UI Symbol" w:eastAsia="Segoe UI Symbol" w:hAnsi="Segoe UI Symbol" w:cs="Segoe UI Symbol"/>
        </w:rPr>
        <w:t>☐</w:t>
      </w:r>
      <w:r>
        <w:tab/>
      </w:r>
      <w:r>
        <w:t>Wohnungssuche mit vollständiger Bewerbungsmappe gestartet (Einkommensnachweis, Referenzen, Ausweis), Kaution über die staatliche Kautionsstelle statt direkt an den Vermieter eingeplant (Australien: Wohnen)</w:t>
      </w:r>
    </w:p>
    <w:p w14:paraId="70A5092B" w14:textId="77777777" w:rsidR="00C1548D" w:rsidRDefault="00C1548D">
      <w:pPr>
        <w:spacing w:line="120" w:lineRule="exact"/>
      </w:pPr>
    </w:p>
    <w:p w14:paraId="70A5092C" w14:textId="77777777" w:rsidR="00C1548D" w:rsidRDefault="009B1B4B">
      <w:pPr>
        <w:pStyle w:val="Heading3"/>
        <w:keepNext/>
        <w:jc w:val="center"/>
      </w:pPr>
      <w:r>
        <w:rPr>
          <w:rFonts w:ascii="Amazon Ember" w:eastAsia="Amazon Ember" w:hAnsi="Amazon Ember" w:cs="Amazon Ember"/>
          <w:color w:val="0000FF"/>
          <w:sz w:val="36"/>
          <w:szCs w:val="36"/>
        </w:rPr>
        <w:t>Die ersten 6 Monate</w:t>
      </w:r>
    </w:p>
    <w:p w14:paraId="70A5092D" w14:textId="77777777" w:rsidR="00C1548D" w:rsidRDefault="009B1B4B">
      <w:pPr>
        <w:tabs>
          <w:tab w:val="left" w:pos="400"/>
        </w:tabs>
        <w:spacing w:after="60"/>
        <w:ind w:left="400" w:hanging="330"/>
      </w:pPr>
      <w:r>
        <w:rPr>
          <w:rFonts w:ascii="Segoe UI Symbol" w:eastAsia="Segoe UI Symbol" w:hAnsi="Segoe UI Symbol" w:cs="Segoe UI Symbol"/>
        </w:rPr>
        <w:t>☐</w:t>
      </w:r>
      <w:r>
        <w:tab/>
      </w:r>
      <w:r>
        <w:t>Steuerlichen Status (Ansässiger oder Foreign Resident) geklärt und Einkommen mit den Schwellen der Medicare Levy Surcharge abgeglichen (Australien: Steuer-ID/Bank)</w:t>
      </w:r>
    </w:p>
    <w:p w14:paraId="70A5092E" w14:textId="77777777" w:rsidR="00C1548D" w:rsidRDefault="009B1B4B">
      <w:pPr>
        <w:tabs>
          <w:tab w:val="left" w:pos="400"/>
        </w:tabs>
        <w:spacing w:after="60"/>
        <w:ind w:left="400" w:hanging="330"/>
      </w:pPr>
      <w:r>
        <w:rPr>
          <w:rFonts w:ascii="Segoe UI Symbol" w:eastAsia="Segoe UI Symbol" w:hAnsi="Segoe UI Symbol" w:cs="Segoe UI Symbol"/>
        </w:rPr>
        <w:t>☐</w:t>
      </w:r>
      <w:r>
        <w:tab/>
      </w:r>
      <w:r>
        <w:t>Australische Kreditwürdigkeit gezielt aufgebaut: laufendes Konto, pünktlich bezahlte Rechnungen, erste Kreditkarte mit niedrigem Limit – die deutsche Schufa-Historie zählt in Australien nicht (Australien: Steuer-ID/Bank)</w:t>
      </w:r>
    </w:p>
    <w:p w14:paraId="70A5092F" w14:textId="77777777" w:rsidR="00C1548D" w:rsidRDefault="009B1B4B">
      <w:pPr>
        <w:tabs>
          <w:tab w:val="left" w:pos="400"/>
        </w:tabs>
        <w:spacing w:after="60"/>
        <w:ind w:left="400" w:hanging="330"/>
      </w:pPr>
      <w:r>
        <w:rPr>
          <w:rFonts w:ascii="Segoe UI Symbol" w:eastAsia="Segoe UI Symbol" w:hAnsi="Segoe UI Symbol" w:cs="Segoe UI Symbol"/>
        </w:rPr>
        <w:t>☐</w:t>
      </w:r>
      <w:r>
        <w:tab/>
      </w:r>
      <w:r>
        <w:t>Bei befristetem Arbeitsvisum (Subclass 482): vor jedem Arbeitgeberwechsel die neue Nominierung abgewartet, nie vorher beim neuen Arbeitgeber angefangen (Australien: Arbeitswelt)</w:t>
      </w:r>
    </w:p>
    <w:p w14:paraId="70A50930" w14:textId="77777777" w:rsidR="00C1548D" w:rsidRDefault="009B1B4B">
      <w:pPr>
        <w:tabs>
          <w:tab w:val="left" w:pos="400"/>
        </w:tabs>
        <w:spacing w:after="60"/>
        <w:ind w:left="400" w:hanging="330"/>
      </w:pPr>
      <w:r>
        <w:rPr>
          <w:rFonts w:ascii="Segoe UI Symbol" w:eastAsia="Segoe UI Symbol" w:hAnsi="Segoe UI Symbol" w:cs="Segoe UI Symbol"/>
        </w:rPr>
        <w:t>☐</w:t>
      </w:r>
      <w:r>
        <w:tab/>
      </w:r>
      <w:r>
        <w:t>Anschluss über Sportverein, freiwillige Feuerwehr, Nachbarschaft oder Kinder gesucht; aus vagen „We should catch up“-Angeboten konkrete Termine mit Ort und Uhrzeit gemacht (Australien: Freunde/Kulturschock)</w:t>
      </w:r>
    </w:p>
    <w:p w14:paraId="70A50931" w14:textId="77777777" w:rsidR="00C1548D" w:rsidRDefault="009B1B4B">
      <w:pPr>
        <w:tabs>
          <w:tab w:val="left" w:pos="400"/>
        </w:tabs>
        <w:spacing w:after="60"/>
        <w:ind w:left="400" w:hanging="330"/>
      </w:pPr>
      <w:r>
        <w:rPr>
          <w:rFonts w:ascii="Segoe UI Symbol" w:eastAsia="Segoe UI Symbol" w:hAnsi="Segoe UI Symbol" w:cs="Segoe UI Symbol"/>
        </w:rPr>
        <w:t>☐</w:t>
      </w:r>
      <w:r>
        <w:tab/>
      </w:r>
      <w:r>
        <w:t>Notfallplan für Buschfeuer- oder Zyklonsaison angelegt: Warn-App installiert, Sammelpunkt und Notvorrat festgelegt, Haus- oder Hausratversicherung auf Naturgefahren-Deckung geprüft (Australien: Recht/Sicherheit)</w:t>
      </w:r>
    </w:p>
    <w:p w14:paraId="70A50932" w14:textId="77777777" w:rsidR="00C1548D" w:rsidRDefault="009B1B4B">
      <w:pPr>
        <w:tabs>
          <w:tab w:val="left" w:pos="400"/>
        </w:tabs>
        <w:spacing w:after="60"/>
        <w:ind w:left="400" w:hanging="330"/>
      </w:pPr>
      <w:r>
        <w:rPr>
          <w:rFonts w:ascii="Segoe UI Symbol" w:eastAsia="Segoe UI Symbol" w:hAnsi="Segoe UI Symbol" w:cs="Segoe UI Symbol"/>
        </w:rPr>
        <w:t>☐</w:t>
      </w:r>
      <w:r>
        <w:tab/>
      </w:r>
      <w:r>
        <w:t>Regelmäßigen Videoanruf-Termin mit der Familie in Deutschland trotz 8 bis 10 Stunden Zeitverschiebung vereinbart, Heimatbesuch zu Weihnachten oder anderen großen Feiertagen früh gebucht (Australien: Alltagskultur)</w:t>
      </w:r>
    </w:p>
    <w:p w14:paraId="70A50933" w14:textId="77777777"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Erste Steuererklärung bis zur Frist am 31. Oktober über myGov/myTax vorbereitet oder rechtzeitig ein registrierter Steuerberater für die Fristverlängerung beauftragt (Australien: Steuer-ID/Bank)</w:t>
      </w:r>
    </w:p>
    <w:p w14:paraId="70A50934" w14:textId="77777777" w:rsidR="00C1548D" w:rsidRDefault="009B1B4B">
      <w:pPr>
        <w:tabs>
          <w:tab w:val="left" w:pos="400"/>
        </w:tabs>
        <w:spacing w:after="60"/>
        <w:ind w:left="400" w:hanging="330"/>
      </w:pPr>
      <w:r>
        <w:rPr>
          <w:rFonts w:ascii="Segoe UI Symbol" w:eastAsia="Segoe UI Symbol" w:hAnsi="Segoe UI Symbol" w:cs="Segoe UI Symbol"/>
        </w:rPr>
        <w:t>☐</w:t>
      </w:r>
      <w:r>
        <w:tab/>
      </w:r>
      <w:r>
        <w:t>Bei nur befristetem Aufenthalt oder Working-Holiday-Hintergrund: vor einer späteren, dauerhaften Ausreise die Besteuerung der Superannuation-Auszahlung (DASP) eingeplant, bis zu 65 % Steuer bei Working-Holiday-Anteilen, 35 % bei anderen befristeten Visa (Australien: Steuer-ID/Bank)</w:t>
      </w:r>
    </w:p>
    <w:p w14:paraId="70A50935" w14:textId="77777777" w:rsidR="00C1548D" w:rsidRDefault="00C1548D">
      <w:pPr>
        <w:spacing w:line="120" w:lineRule="exact"/>
      </w:pPr>
    </w:p>
    <w:p w14:paraId="70A50936" w14:textId="77777777" w:rsidR="00C1548D" w:rsidRDefault="009B1B4B">
      <w:pPr>
        <w:pStyle w:val="Heading3"/>
        <w:keepNext/>
        <w:jc w:val="center"/>
      </w:pPr>
      <w:r>
        <w:rPr>
          <w:rFonts w:ascii="Amazon Ember" w:eastAsia="Amazon Ember" w:hAnsi="Amazon Ember" w:cs="Amazon Ember"/>
          <w:color w:val="0000FF"/>
          <w:sz w:val="36"/>
          <w:szCs w:val="36"/>
        </w:rPr>
        <w:t>Neuseeland</w:t>
      </w:r>
    </w:p>
    <w:p w14:paraId="70A50937" w14:textId="77777777" w:rsidR="00C1548D" w:rsidRDefault="009B1B4B">
      <w:pPr>
        <w:pStyle w:val="Heading3"/>
        <w:keepNext/>
        <w:jc w:val="center"/>
      </w:pPr>
      <w:r>
        <w:rPr>
          <w:rFonts w:ascii="Amazon Ember" w:eastAsia="Amazon Ember" w:hAnsi="Amazon Ember" w:cs="Amazon Ember"/>
          <w:color w:val="0000FF"/>
          <w:sz w:val="36"/>
          <w:szCs w:val="36"/>
        </w:rPr>
        <w:t>T–18 bis T–12 Monate: Entscheidung und Vorbereitung</w:t>
      </w:r>
    </w:p>
    <w:p w14:paraId="70A50938" w14:textId="77777777" w:rsidR="00C1548D" w:rsidRDefault="009B1B4B">
      <w:pPr>
        <w:tabs>
          <w:tab w:val="left" w:pos="400"/>
        </w:tabs>
        <w:spacing w:after="60"/>
        <w:ind w:left="400" w:hanging="330"/>
      </w:pPr>
      <w:r>
        <w:rPr>
          <w:rFonts w:ascii="Segoe UI Symbol" w:eastAsia="Segoe UI Symbol" w:hAnsi="Segoe UI Symbol" w:cs="Segoe UI Symbol"/>
        </w:rPr>
        <w:t>☐</w:t>
      </w:r>
      <w:r>
        <w:tab/>
      </w:r>
      <w:r>
        <w:t>Eigenen Beruf mit der aktuellen Green List und dem passenden ANZSCO-Code abgeglichen, inklusive Tier 1 oder Tier 2 (Neuseeland: Einwanderungswege)</w:t>
      </w:r>
    </w:p>
    <w:p w14:paraId="70A50939" w14:textId="77777777" w:rsidR="00C1548D" w:rsidRDefault="009B1B4B">
      <w:pPr>
        <w:tabs>
          <w:tab w:val="left" w:pos="400"/>
        </w:tabs>
        <w:spacing w:after="60"/>
        <w:ind w:left="400" w:hanging="330"/>
      </w:pPr>
      <w:r>
        <w:rPr>
          <w:rFonts w:ascii="Segoe UI Symbol" w:eastAsia="Segoe UI Symbol" w:hAnsi="Segoe UI Symbol" w:cs="Segoe UI Symbol"/>
        </w:rPr>
        <w:t>☐</w:t>
      </w:r>
      <w:r>
        <w:tab/>
      </w:r>
      <w:r>
        <w:t>Geklärt, ob der künftige Arbeitgeber bereits als Accredited Employer akkreditiert ist oder die Akkreditierung erst noch beantragen muss (Neuseeland: Arbeitsweg)</w:t>
      </w:r>
    </w:p>
    <w:p w14:paraId="70A5093A" w14:textId="77777777" w:rsidR="00C1548D" w:rsidRDefault="009B1B4B">
      <w:pPr>
        <w:tabs>
          <w:tab w:val="left" w:pos="400"/>
        </w:tabs>
        <w:spacing w:after="60"/>
        <w:ind w:left="400" w:hanging="330"/>
      </w:pPr>
      <w:r>
        <w:rPr>
          <w:rFonts w:ascii="Segoe UI Symbol" w:eastAsia="Segoe UI Symbol" w:hAnsi="Segoe UI Symbol" w:cs="Segoe UI Symbol"/>
        </w:rPr>
        <w:t>☐</w:t>
      </w:r>
      <w:r>
        <w:tab/>
      </w:r>
      <w:r>
        <w:t>Entschieden, ob der Weg über das Accredited Employer Work Visa (AEWV) mit späterem Wechsel zur Residency oder die direkte Bewerbung über die Skilled Migrant Category (Höchstalter 55 Jahre) realistischer ist (Neuseeland: Einwanderungswege)</w:t>
      </w:r>
    </w:p>
    <w:p w14:paraId="70A5093B" w14:textId="77777777" w:rsidR="00C1548D" w:rsidRDefault="00C1548D">
      <w:pPr>
        <w:spacing w:line="120" w:lineRule="exact"/>
      </w:pPr>
    </w:p>
    <w:p w14:paraId="70A5093C" w14:textId="77777777" w:rsidR="00C1548D" w:rsidRDefault="009B1B4B">
      <w:pPr>
        <w:pStyle w:val="Heading3"/>
        <w:keepNext/>
        <w:jc w:val="center"/>
      </w:pPr>
      <w:r>
        <w:rPr>
          <w:rFonts w:ascii="Amazon Ember" w:eastAsia="Amazon Ember" w:hAnsi="Amazon Ember" w:cs="Amazon Ember"/>
          <w:color w:val="0000FF"/>
          <w:sz w:val="36"/>
          <w:szCs w:val="36"/>
        </w:rPr>
        <w:lastRenderedPageBreak/>
        <w:t>T–12 bis T–6 Monate: Visum und Papiere</w:t>
      </w:r>
    </w:p>
    <w:p w14:paraId="70A5093D" w14:textId="77777777" w:rsidR="00C1548D" w:rsidRDefault="009B1B4B">
      <w:pPr>
        <w:tabs>
          <w:tab w:val="left" w:pos="400"/>
        </w:tabs>
        <w:spacing w:after="60"/>
        <w:ind w:left="400" w:hanging="330"/>
      </w:pPr>
      <w:r>
        <w:rPr>
          <w:rFonts w:ascii="Segoe UI Symbol" w:eastAsia="Segoe UI Symbol" w:hAnsi="Segoe UI Symbol" w:cs="Segoe UI Symbol"/>
        </w:rPr>
        <w:t>☐</w:t>
      </w:r>
      <w:r>
        <w:tab/>
      </w:r>
      <w:r>
        <w:t>SMC-Punktzahl überschlägig anhand der Sechs-Punkte-Schwelle berechnet: Qualifikation, berufliche Registrierung, Einkommen, NZ-Erfahrung (Neuseeland: Einwanderungswege)</w:t>
      </w:r>
    </w:p>
    <w:p w14:paraId="70A5093E" w14:textId="77777777" w:rsidR="00C1548D" w:rsidRDefault="009B1B4B">
      <w:pPr>
        <w:tabs>
          <w:tab w:val="left" w:pos="400"/>
        </w:tabs>
        <w:spacing w:after="60"/>
        <w:ind w:left="400" w:hanging="330"/>
      </w:pPr>
      <w:r>
        <w:rPr>
          <w:rFonts w:ascii="Segoe UI Symbol" w:eastAsia="Segoe UI Symbol" w:hAnsi="Segoe UI Symbol" w:cs="Segoe UI Symbol"/>
        </w:rPr>
        <w:t>☐</w:t>
      </w:r>
      <w:r>
        <w:tab/>
      </w:r>
      <w:r>
        <w:t>Bei AEWV: Arbeitgeber gebeten, Employer Accreditation und Job Check für die konkrete Stelle zu durchlaufen, bevor der eigene Antrag gestellt wird (Neuseeland: Arbeitsweg)</w:t>
      </w:r>
    </w:p>
    <w:p w14:paraId="70A5093F" w14:textId="77777777" w:rsidR="00C1548D" w:rsidRDefault="009B1B4B">
      <w:pPr>
        <w:tabs>
          <w:tab w:val="left" w:pos="400"/>
        </w:tabs>
        <w:spacing w:after="60"/>
        <w:ind w:left="400" w:hanging="330"/>
      </w:pPr>
      <w:r>
        <w:rPr>
          <w:rFonts w:ascii="Segoe UI Symbol" w:eastAsia="Segoe UI Symbol" w:hAnsi="Segoe UI Symbol" w:cs="Segoe UI Symbol"/>
        </w:rPr>
        <w:t>☐</w:t>
      </w:r>
      <w:r>
        <w:tab/>
      </w:r>
      <w:r>
        <w:t>Führungszeugnis beim Bundesamt für Justiz beantragt (höchstens sechs Monate alt bei Einreichung) und beglaubigte englische Übersetzung organisiert – keine Apostille nötig (Neuseeland: Antrag/Konsulat)</w:t>
      </w:r>
    </w:p>
    <w:p w14:paraId="70A50940" w14:textId="77777777" w:rsidR="00C1548D" w:rsidRDefault="009B1B4B">
      <w:pPr>
        <w:tabs>
          <w:tab w:val="left" w:pos="400"/>
        </w:tabs>
        <w:spacing w:after="60"/>
        <w:ind w:left="400" w:hanging="330"/>
      </w:pPr>
      <w:r>
        <w:rPr>
          <w:rFonts w:ascii="Segoe UI Symbol" w:eastAsia="Segoe UI Symbol" w:hAnsi="Segoe UI Symbol" w:cs="Segoe UI Symbol"/>
        </w:rPr>
        <w:t>☐</w:t>
      </w:r>
      <w:r>
        <w:tab/>
      </w:r>
      <w:r>
        <w:t>Gesundheitsuntersuchung, gegebenenfalls mit Röntgen-Thorax, bei einem von Immigration New Zealand zugelassenen Panel Physician terminiert (Neuseeland: Antrag/Konsulat)</w:t>
      </w:r>
    </w:p>
    <w:p w14:paraId="70A50941" w14:textId="77777777" w:rsidR="00C1548D" w:rsidRDefault="009B1B4B">
      <w:pPr>
        <w:tabs>
          <w:tab w:val="left" w:pos="400"/>
        </w:tabs>
        <w:spacing w:after="60"/>
        <w:ind w:left="400" w:hanging="330"/>
      </w:pPr>
      <w:r>
        <w:rPr>
          <w:rFonts w:ascii="Segoe UI Symbol" w:eastAsia="Segoe UI Symbol" w:hAnsi="Segoe UI Symbol" w:cs="Segoe UI Symbol"/>
        </w:rPr>
        <w:t>☐</w:t>
      </w:r>
      <w:r>
        <w:tab/>
      </w:r>
      <w:r>
        <w:t>Konto bei Immigration New Zealand (INZ) angelegt und Gesamtkosten inklusive Immigration Levy und gegebenenfalls IVL realistisch kalkuliert – Deutschland zahlt volle Gebühren ohne Fee-Waiver (Neuseeland: Antrag/Konsulat)</w:t>
      </w:r>
    </w:p>
    <w:p w14:paraId="70A50942" w14:textId="77777777" w:rsidR="00C1548D" w:rsidRDefault="009B1B4B">
      <w:pPr>
        <w:tabs>
          <w:tab w:val="left" w:pos="400"/>
        </w:tabs>
        <w:spacing w:after="60"/>
        <w:ind w:left="400" w:hanging="330"/>
      </w:pPr>
      <w:r>
        <w:rPr>
          <w:rFonts w:ascii="Segoe UI Symbol" w:eastAsia="Segoe UI Symbol" w:hAnsi="Segoe UI Symbol" w:cs="Segoe UI Symbol"/>
        </w:rPr>
        <w:t>☐</w:t>
      </w:r>
      <w:r>
        <w:tab/>
      </w:r>
      <w:r>
        <w:t>Bei Familie: eigene Visa für Partner (Partnership Work Visa) und Kinder parallel zum Hauptantrag beantragt (Neuseeland: Antrag/Konsulat)</w:t>
      </w:r>
    </w:p>
    <w:p w14:paraId="70A50943" w14:textId="77777777" w:rsidR="00C1548D" w:rsidRDefault="009B1B4B">
      <w:pPr>
        <w:tabs>
          <w:tab w:val="left" w:pos="400"/>
        </w:tabs>
        <w:spacing w:after="60"/>
        <w:ind w:left="400" w:hanging="330"/>
      </w:pPr>
      <w:r>
        <w:rPr>
          <w:rFonts w:ascii="Segoe UI Symbol" w:eastAsia="Segoe UI Symbol" w:hAnsi="Segoe UI Symbol" w:cs="Segoe UI Symbol"/>
        </w:rPr>
        <w:t>☐</w:t>
      </w:r>
      <w:r>
        <w:tab/>
      </w:r>
      <w:r>
        <w:t>Job, Wohnung und Kinderbetreuung in Deutschland erst gekündigt, nachdem die Genehmigung tatsächlich im INZ-Konto steht, nicht schon nach bestandener Employer Accreditation (Neuseeland: Antrag/Konsulat)</w:t>
      </w:r>
    </w:p>
    <w:p w14:paraId="70A50944" w14:textId="77777777" w:rsidR="00C1548D" w:rsidRDefault="009B1B4B">
      <w:pPr>
        <w:tabs>
          <w:tab w:val="left" w:pos="400"/>
        </w:tabs>
        <w:spacing w:after="60"/>
        <w:ind w:left="400" w:hanging="330"/>
      </w:pPr>
      <w:r>
        <w:rPr>
          <w:rFonts w:ascii="Segoe UI Symbol" w:eastAsia="Segoe UI Symbol" w:hAnsi="Segoe UI Symbol" w:cs="Segoe UI Symbol"/>
        </w:rPr>
        <w:t>☐</w:t>
      </w:r>
      <w:r>
        <w:tab/>
      </w:r>
      <w:r>
        <w:t>Arbeitsvertrag vor der Unterschrift auf eine 90-Tage-Probezeit-Klausel ohne Kündigungsschutz geprüft (Neuseeland: Arbeitswelt)</w:t>
      </w:r>
    </w:p>
    <w:p w14:paraId="70A50945" w14:textId="77777777" w:rsidR="00C1548D" w:rsidRDefault="00C1548D">
      <w:pPr>
        <w:spacing w:line="120" w:lineRule="exact"/>
      </w:pPr>
    </w:p>
    <w:p w14:paraId="70A50946" w14:textId="77777777" w:rsidR="00C1548D" w:rsidRDefault="009B1B4B">
      <w:pPr>
        <w:pStyle w:val="Heading3"/>
        <w:keepNext/>
        <w:jc w:val="center"/>
      </w:pPr>
      <w:r>
        <w:rPr>
          <w:rFonts w:ascii="Amazon Ember" w:eastAsia="Amazon Ember" w:hAnsi="Amazon Ember" w:cs="Amazon Ember"/>
          <w:color w:val="0000FF"/>
          <w:sz w:val="36"/>
          <w:szCs w:val="36"/>
        </w:rPr>
        <w:lastRenderedPageBreak/>
        <w:t>T–6 bis T–3 Monate: Umzug organisieren</w:t>
      </w:r>
    </w:p>
    <w:p w14:paraId="70A50947" w14:textId="77777777" w:rsidR="00C1548D" w:rsidRDefault="009B1B4B">
      <w:pPr>
        <w:tabs>
          <w:tab w:val="left" w:pos="400"/>
        </w:tabs>
        <w:spacing w:after="60"/>
        <w:ind w:left="400" w:hanging="330"/>
      </w:pPr>
      <w:r>
        <w:rPr>
          <w:rFonts w:ascii="Segoe UI Symbol" w:eastAsia="Segoe UI Symbol" w:hAnsi="Segoe UI Symbol" w:cs="Segoe UI Symbol"/>
        </w:rPr>
        <w:t>☐</w:t>
      </w:r>
      <w:r>
        <w:tab/>
      </w:r>
      <w:r>
        <w:t>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w14:paraId="70A50948" w14:textId="77777777" w:rsidR="00C1548D" w:rsidRDefault="009B1B4B">
      <w:pPr>
        <w:tabs>
          <w:tab w:val="left" w:pos="400"/>
        </w:tabs>
        <w:spacing w:after="60"/>
        <w:ind w:left="400" w:hanging="330"/>
      </w:pPr>
      <w:r>
        <w:rPr>
          <w:rFonts w:ascii="Segoe UI Symbol" w:eastAsia="Segoe UI Symbol" w:hAnsi="Segoe UI Symbol" w:cs="Segoe UI Symbol"/>
        </w:rPr>
        <w:t>☐</w:t>
      </w:r>
      <w:r>
        <w:tab/>
      </w:r>
      <w:r>
        <w:t>Bankkonto-Voreröffnung geprüft: ANZ bis zu 90 Tage vor Einreise möglich, ASB per App (Neuseeland: Steuer-ID/Bank)</w:t>
      </w:r>
    </w:p>
    <w:p w14:paraId="70A50949" w14:textId="77777777" w:rsidR="00C1548D" w:rsidRDefault="009B1B4B">
      <w:pPr>
        <w:tabs>
          <w:tab w:val="left" w:pos="400"/>
        </w:tabs>
        <w:spacing w:after="60"/>
        <w:ind w:left="400" w:hanging="330"/>
      </w:pPr>
      <w:r>
        <w:rPr>
          <w:rFonts w:ascii="Segoe UI Symbol" w:eastAsia="Segoe UI Symbol" w:hAnsi="Segoe UI Symbol" w:cs="Segoe UI Symbol"/>
        </w:rPr>
        <w:t>☐</w:t>
      </w:r>
      <w:r>
        <w:tab/>
      </w:r>
      <w:r>
        <w:t>Private Übergangskrankenversicherung verglichen, falls das eigene Visum unter der Zwei-Jahres-Schwelle fürs öffentliche Gesundheitssystem bleibt (Neuseeland: Gesundheitssystem)</w:t>
      </w:r>
    </w:p>
    <w:p w14:paraId="70A5094A" w14:textId="77777777" w:rsidR="00C1548D" w:rsidRDefault="009B1B4B">
      <w:pPr>
        <w:tabs>
          <w:tab w:val="left" w:pos="400"/>
        </w:tabs>
        <w:spacing w:after="60"/>
        <w:ind w:left="400" w:hanging="330"/>
      </w:pPr>
      <w:r>
        <w:rPr>
          <w:rFonts w:ascii="Segoe UI Symbol" w:eastAsia="Segoe UI Symbol" w:hAnsi="Segoe UI Symbol" w:cs="Segoe UI Symbol"/>
        </w:rPr>
        <w:t>☐</w:t>
      </w:r>
      <w:r>
        <w:tab/>
      </w:r>
      <w:r>
        <w:t>Zielregion nach Naturgefahren-Profil (Erdbeben in Wellington und Christchurch, Vulkanfeld in Auckland, Lawinenrisiko bei Queenstown) und Kostenniveau verglichen (Neuseeland: Wohnen)</w:t>
      </w:r>
    </w:p>
    <w:p w14:paraId="70A5094B" w14:textId="77777777" w:rsidR="00C1548D" w:rsidRDefault="009B1B4B">
      <w:pPr>
        <w:tabs>
          <w:tab w:val="left" w:pos="400"/>
        </w:tabs>
        <w:spacing w:after="60"/>
        <w:ind w:left="400" w:hanging="330"/>
      </w:pPr>
      <w:r>
        <w:rPr>
          <w:rFonts w:ascii="Segoe UI Symbol" w:eastAsia="Segoe UI Symbol" w:hAnsi="Segoe UI Symbol" w:cs="Segoe UI Symbol"/>
        </w:rPr>
        <w:t>☐</w:t>
      </w:r>
      <w:r>
        <w:tab/>
      </w:r>
      <w:r>
        <w:t>Schulzone der Zieladresse geprüft und Kinder möglichst zum Beginn eines Terms angemeldet (Neuseeland: Kinder/Schule)</w:t>
      </w:r>
    </w:p>
    <w:p w14:paraId="70A5094C" w14:textId="77777777" w:rsidR="00C1548D" w:rsidRDefault="00C1548D">
      <w:pPr>
        <w:spacing w:line="120" w:lineRule="exact"/>
      </w:pPr>
    </w:p>
    <w:p w14:paraId="70A5094D" w14:textId="77777777" w:rsidR="00C1548D" w:rsidRDefault="009B1B4B">
      <w:pPr>
        <w:pStyle w:val="Heading3"/>
        <w:keepNext/>
        <w:jc w:val="center"/>
      </w:pPr>
      <w:r>
        <w:rPr>
          <w:rFonts w:ascii="Amazon Ember" w:eastAsia="Amazon Ember" w:hAnsi="Amazon Ember" w:cs="Amazon Ember"/>
          <w:color w:val="0000FF"/>
          <w:sz w:val="36"/>
          <w:szCs w:val="36"/>
        </w:rPr>
        <w:t>T–3 bis T–1 Monat: Feinschliff</w:t>
      </w:r>
    </w:p>
    <w:p w14:paraId="70A5094E" w14:textId="77777777" w:rsidR="00C1548D" w:rsidRDefault="009B1B4B">
      <w:pPr>
        <w:tabs>
          <w:tab w:val="left" w:pos="400"/>
        </w:tabs>
        <w:spacing w:after="60"/>
        <w:ind w:left="400" w:hanging="330"/>
      </w:pPr>
      <w:r>
        <w:rPr>
          <w:rFonts w:ascii="Segoe UI Symbol" w:eastAsia="Segoe UI Symbol" w:hAnsi="Segoe UI Symbol" w:cs="Segoe UI Symbol"/>
        </w:rPr>
        <w:t>☐</w:t>
      </w:r>
      <w:r>
        <w:tab/>
      </w:r>
      <w:r>
        <w:t>Englische Übersetzung des deutschen Führerscheins besorgt und das Ausstellungsdatum (älter als zwei Jahre) eindeutig nachweisbar gemacht (Neuseeland: Führerschein/Auto)</w:t>
      </w:r>
    </w:p>
    <w:p w14:paraId="70A5094F" w14:textId="77777777" w:rsidR="00C1548D" w:rsidRDefault="009B1B4B">
      <w:pPr>
        <w:tabs>
          <w:tab w:val="left" w:pos="400"/>
        </w:tabs>
        <w:spacing w:after="60"/>
        <w:ind w:left="400" w:hanging="330"/>
      </w:pPr>
      <w:r>
        <w:rPr>
          <w:rFonts w:ascii="Segoe UI Symbol" w:eastAsia="Segoe UI Symbol" w:hAnsi="Segoe UI Symbol" w:cs="Segoe UI Symbol"/>
        </w:rPr>
        <w:t>☐</w:t>
      </w:r>
      <w:r>
        <w:tab/>
      </w:r>
      <w:r>
        <w:t>eSIM mit Neuseeland-Datenpaket eingerichtet, deutsche Nummer als Zweit-SIM behalten (Neuseeland: Ankunft)</w:t>
      </w:r>
    </w:p>
    <w:p w14:paraId="70A50950" w14:textId="77777777" w:rsidR="00C1548D" w:rsidRDefault="009B1B4B">
      <w:pPr>
        <w:tabs>
          <w:tab w:val="left" w:pos="400"/>
        </w:tabs>
        <w:spacing w:after="60"/>
        <w:ind w:left="400" w:hanging="330"/>
      </w:pPr>
      <w:r>
        <w:rPr>
          <w:rFonts w:ascii="Segoe UI Symbol" w:eastAsia="Segoe UI Symbol" w:hAnsi="Segoe UI Symbol" w:cs="Segoe UI Symbol"/>
        </w:rPr>
        <w:t>☐</w:t>
      </w:r>
      <w:r>
        <w:tab/>
      </w:r>
      <w:r>
        <w:t>Übergangsunterkunft mit Stornierungsoption für die ersten ein bis zwei Wochen gebucht (Neuseeland: Ankunft)</w:t>
      </w:r>
    </w:p>
    <w:p w14:paraId="70A50951" w14:textId="77777777" w:rsidR="00C1548D" w:rsidRDefault="009B1B4B">
      <w:pPr>
        <w:tabs>
          <w:tab w:val="left" w:pos="400"/>
        </w:tabs>
        <w:spacing w:after="60"/>
        <w:ind w:left="400" w:hanging="330"/>
      </w:pPr>
      <w:r>
        <w:rPr>
          <w:rFonts w:ascii="Segoe UI Symbol" w:eastAsia="Segoe UI Symbol" w:hAnsi="Segoe UI Symbol" w:cs="Segoe UI Symbol"/>
        </w:rPr>
        <w:lastRenderedPageBreak/>
        <w:t>☐</w:t>
      </w:r>
      <w:r>
        <w:tab/>
      </w:r>
      <w:r>
        <w:t>Bewerbungsunterlagen für die Wohnungssuche zusammengestellt: Einkommensnachweis, Arbeitsvertrag, Referenzen früherer Vermieter (Neuseeland: Wohnen)</w:t>
      </w:r>
    </w:p>
    <w:p w14:paraId="70A50952" w14:textId="77777777" w:rsidR="00C1548D" w:rsidRDefault="00C1548D">
      <w:pPr>
        <w:spacing w:line="120" w:lineRule="exact"/>
      </w:pPr>
    </w:p>
    <w:p w14:paraId="70A50953" w14:textId="77777777" w:rsidR="00C1548D" w:rsidRDefault="009B1B4B">
      <w:pPr>
        <w:pStyle w:val="Heading3"/>
        <w:keepNext/>
        <w:jc w:val="center"/>
      </w:pPr>
      <w:r>
        <w:rPr>
          <w:rFonts w:ascii="Amazon Ember" w:eastAsia="Amazon Ember" w:hAnsi="Amazon Ember" w:cs="Amazon Ember"/>
          <w:color w:val="0000FF"/>
          <w:sz w:val="36"/>
          <w:szCs w:val="36"/>
        </w:rPr>
        <w:t>Die ersten 30 Tage in Neuseeland</w:t>
      </w:r>
    </w:p>
    <w:p w14:paraId="70A50954" w14:textId="77777777" w:rsidR="00C1548D" w:rsidRDefault="009B1B4B">
      <w:pPr>
        <w:tabs>
          <w:tab w:val="left" w:pos="400"/>
        </w:tabs>
        <w:spacing w:after="60"/>
        <w:ind w:left="400" w:hanging="330"/>
      </w:pPr>
      <w:r>
        <w:rPr>
          <w:rFonts w:ascii="Segoe UI Symbol" w:eastAsia="Segoe UI Symbol" w:hAnsi="Segoe UI Symbol" w:cs="Segoe UI Symbol"/>
        </w:rPr>
        <w:t>☐</w:t>
      </w:r>
      <w:r>
        <w:tab/>
      </w:r>
      <w:r>
        <w:t>New Zealand Traveller Declaration spätestens vor der Passkontrolle ausgefüllt, Biosecurity-Angaben auch bei Kleinigkeiten ehrlich deklariert (Neuseeland: Ankunft)</w:t>
      </w:r>
    </w:p>
    <w:p w14:paraId="70A50955" w14:textId="77777777" w:rsidR="00C1548D" w:rsidRDefault="009B1B4B">
      <w:pPr>
        <w:tabs>
          <w:tab w:val="left" w:pos="400"/>
        </w:tabs>
        <w:spacing w:after="60"/>
        <w:ind w:left="400" w:hanging="330"/>
      </w:pPr>
      <w:r>
        <w:rPr>
          <w:rFonts w:ascii="Segoe UI Symbol" w:eastAsia="Segoe UI Symbol" w:hAnsi="Segoe UI Symbol" w:cs="Segoe UI Symbol"/>
        </w:rPr>
        <w:t>☐</w:t>
      </w:r>
      <w:r>
        <w:tab/>
      </w:r>
      <w:r>
        <w:t>IRD-Nummer online beantragt, sobald die neuseeländische Bankverbindung steht (Neuseeland: Steuer-ID/Bank)</w:t>
      </w:r>
    </w:p>
    <w:p w14:paraId="70A50956" w14:textId="77777777" w:rsidR="00C1548D" w:rsidRDefault="009B1B4B">
      <w:pPr>
        <w:tabs>
          <w:tab w:val="left" w:pos="400"/>
        </w:tabs>
        <w:spacing w:after="60"/>
        <w:ind w:left="400" w:hanging="330"/>
      </w:pPr>
      <w:r>
        <w:rPr>
          <w:rFonts w:ascii="Segoe UI Symbol" w:eastAsia="Segoe UI Symbol" w:hAnsi="Segoe UI Symbol" w:cs="Segoe UI Symbol"/>
        </w:rPr>
        <w:t>☐</w:t>
      </w:r>
      <w:r>
        <w:tab/>
      </w:r>
      <w:r>
        <w:t>Formular IR330 beim Arbeitgeber eingereicht, bevor die erste Gehaltsabrechnung läuft, um den hohen pauschalen No-Notification-Steuersatz von 45 % zu vermeiden (Neuseeland: Steuer-ID/Bank)</w:t>
      </w:r>
    </w:p>
    <w:p w14:paraId="70A50957" w14:textId="77777777" w:rsidR="00C1548D" w:rsidRDefault="009B1B4B">
      <w:pPr>
        <w:tabs>
          <w:tab w:val="left" w:pos="400"/>
        </w:tabs>
        <w:spacing w:after="60"/>
        <w:ind w:left="400" w:hanging="330"/>
      </w:pPr>
      <w:r>
        <w:rPr>
          <w:rFonts w:ascii="Segoe UI Symbol" w:eastAsia="Segoe UI Symbol" w:hAnsi="Segoe UI Symbol" w:cs="Segoe UI Symbol"/>
        </w:rPr>
        <w:t>☐</w:t>
      </w:r>
      <w:r>
        <w:tab/>
      </w:r>
      <w:r>
        <w:t>Bankkonto per Filialtermin mit Pass, Visumsnachweis und Adressnachweis vollständig identitätsgeprüft (Neuseeland: Ankunft)</w:t>
      </w:r>
    </w:p>
    <w:p w14:paraId="70A50958" w14:textId="77777777" w:rsidR="00C1548D" w:rsidRDefault="009B1B4B">
      <w:pPr>
        <w:tabs>
          <w:tab w:val="left" w:pos="400"/>
        </w:tabs>
        <w:spacing w:after="60"/>
        <w:ind w:left="400" w:hanging="330"/>
      </w:pPr>
      <w:r>
        <w:rPr>
          <w:rFonts w:ascii="Segoe UI Symbol" w:eastAsia="Segoe UI Symbol" w:hAnsi="Segoe UI Symbol" w:cs="Segoe UI Symbol"/>
        </w:rPr>
        <w:t>☐</w:t>
      </w:r>
      <w:r>
        <w:tab/>
      </w:r>
      <w:r>
        <w:t>Eigene Berechtigung fürs öffentliche Gesundheitssystem anhand der tatsächlichen Visumslaufzeit geprüft (Zwei-Jahres-Schwelle ab dem ersten Tag in Neuseeland) und bei einer Hausarztpraxis angemeldet (Neuseeland: Gesundheitssystem)</w:t>
      </w:r>
    </w:p>
    <w:p w14:paraId="70A50959" w14:textId="77777777" w:rsidR="00C1548D" w:rsidRDefault="009B1B4B">
      <w:pPr>
        <w:tabs>
          <w:tab w:val="left" w:pos="400"/>
        </w:tabs>
        <w:spacing w:after="60"/>
        <w:ind w:left="400" w:hanging="330"/>
      </w:pPr>
      <w:r>
        <w:rPr>
          <w:rFonts w:ascii="Segoe UI Symbol" w:eastAsia="Segoe UI Symbol" w:hAnsi="Segoe UI Symbol" w:cs="Segoe UI Symbol"/>
        </w:rPr>
        <w:t>☐</w:t>
      </w:r>
      <w:r>
        <w:tab/>
      </w:r>
      <w:r>
        <w:t xml:space="preserve">Führerschein bei einer autorisierten Stelle umgetauscht – Deutschland zählt als </w:t>
      </w:r>
      <w:r>
        <w:rPr>
          <w:i/>
          <w:iCs/>
        </w:rPr>
        <w:t>exempt country</w:t>
      </w:r>
      <w:r>
        <w:t xml:space="preserve"> und kann nach Sehtest ohne weitere Prüfung umgeschrieben werden (Neuseeland: Führerschein/Auto)</w:t>
      </w:r>
    </w:p>
    <w:p w14:paraId="70A5095A" w14:textId="77777777" w:rsidR="00C1548D" w:rsidRDefault="009B1B4B">
      <w:pPr>
        <w:tabs>
          <w:tab w:val="left" w:pos="400"/>
        </w:tabs>
        <w:spacing w:after="60"/>
        <w:ind w:left="400" w:hanging="330"/>
      </w:pPr>
      <w:r>
        <w:rPr>
          <w:rFonts w:ascii="Segoe UI Symbol" w:eastAsia="Segoe UI Symbol" w:hAnsi="Segoe UI Symbol" w:cs="Segoe UI Symbol"/>
        </w:rPr>
        <w:t>☐</w:t>
      </w:r>
      <w:r>
        <w:tab/>
      </w:r>
      <w:r>
        <w:t>Linksverkehr bewusst geübt: vor jedem Linksabbiegen zuerst nach rechts geschaut (Neuseeland: Führerschein/Auto)</w:t>
      </w:r>
    </w:p>
    <w:p w14:paraId="70A5095B" w14:textId="77777777" w:rsidR="00C1548D" w:rsidRDefault="009B1B4B">
      <w:pPr>
        <w:tabs>
          <w:tab w:val="left" w:pos="400"/>
        </w:tabs>
        <w:spacing w:after="60"/>
        <w:ind w:left="400" w:hanging="330"/>
      </w:pPr>
      <w:r>
        <w:rPr>
          <w:rFonts w:ascii="Segoe UI Symbol" w:eastAsia="Segoe UI Symbol" w:hAnsi="Segoe UI Symbol" w:cs="Segoe UI Symbol"/>
        </w:rPr>
        <w:t>☐</w:t>
      </w:r>
      <w:r>
        <w:tab/>
      </w:r>
      <w:r>
        <w:t>Kaution (höchstens vier Wochenmieten) über das Online-Formular direkt an Tenancy Services überwiesen, nicht an den Vermieter (Neuseeland: Wohnen)</w:t>
      </w:r>
    </w:p>
    <w:p w14:paraId="70A5095C" w14:textId="77777777" w:rsidR="00C1548D" w:rsidRDefault="00C1548D">
      <w:pPr>
        <w:spacing w:line="120" w:lineRule="exact"/>
      </w:pPr>
    </w:p>
    <w:p w14:paraId="70A5095D" w14:textId="77777777" w:rsidR="00C1548D" w:rsidRDefault="009B1B4B">
      <w:pPr>
        <w:pStyle w:val="Heading3"/>
        <w:keepNext/>
        <w:jc w:val="center"/>
      </w:pPr>
      <w:r>
        <w:rPr>
          <w:rFonts w:ascii="Amazon Ember" w:eastAsia="Amazon Ember" w:hAnsi="Amazon Ember" w:cs="Amazon Ember"/>
          <w:color w:val="0000FF"/>
          <w:sz w:val="36"/>
          <w:szCs w:val="36"/>
        </w:rPr>
        <w:lastRenderedPageBreak/>
        <w:t>Die ersten 6 Monate</w:t>
      </w:r>
    </w:p>
    <w:p w14:paraId="70A5095E" w14:textId="77777777" w:rsidR="00C1548D" w:rsidRDefault="009B1B4B">
      <w:pPr>
        <w:tabs>
          <w:tab w:val="left" w:pos="400"/>
        </w:tabs>
        <w:spacing w:after="60"/>
        <w:ind w:left="400" w:hanging="330"/>
      </w:pPr>
      <w:r>
        <w:rPr>
          <w:rFonts w:ascii="Segoe UI Symbol" w:eastAsia="Segoe UI Symbol" w:hAnsi="Segoe UI Symbol" w:cs="Segoe UI Symbol"/>
        </w:rPr>
        <w:t>☐</w:t>
      </w:r>
      <w:r>
        <w:tab/>
      </w:r>
      <w:r>
        <w:t>Übergangsfrist für das Fahren mit deutschem Führerschein im Blick behalten (aktuell bis zu 18 Monate ab letzter Einreise) und Umtausch nicht aufschieben (Neuseeland: Führerschein/Auto)</w:t>
      </w:r>
    </w:p>
    <w:p w14:paraId="70A5095F" w14:textId="77777777" w:rsidR="00C1548D" w:rsidRDefault="009B1B4B">
      <w:pPr>
        <w:tabs>
          <w:tab w:val="left" w:pos="400"/>
        </w:tabs>
        <w:spacing w:after="60"/>
        <w:ind w:left="400" w:hanging="330"/>
      </w:pPr>
      <w:r>
        <w:rPr>
          <w:rFonts w:ascii="Segoe UI Symbol" w:eastAsia="Segoe UI Symbol" w:hAnsi="Segoe UI Symbol" w:cs="Segoe UI Symbol"/>
        </w:rPr>
        <w:t>☐</w:t>
      </w:r>
      <w:r>
        <w:tab/>
      </w:r>
      <w:r>
        <w:t>KiwiSaver-Berechtigung anhand des Aufenthaltsstatus geklärt – beim AEWV zunächst ausgeschlossen, erst ab Resident-Visum möglich (Neuseeland: Steuer-ID/Bank)</w:t>
      </w:r>
    </w:p>
    <w:p w14:paraId="70A50960" w14:textId="77777777" w:rsidR="00C1548D" w:rsidRDefault="009B1B4B">
      <w:pPr>
        <w:tabs>
          <w:tab w:val="left" w:pos="400"/>
        </w:tabs>
        <w:spacing w:after="60"/>
        <w:ind w:left="400" w:hanging="330"/>
      </w:pPr>
      <w:r>
        <w:rPr>
          <w:rFonts w:ascii="Segoe UI Symbol" w:eastAsia="Segoe UI Symbol" w:hAnsi="Segoe UI Symbol" w:cs="Segoe UI Symbol"/>
        </w:rPr>
        <w:t>☐</w:t>
      </w:r>
      <w:r>
        <w:tab/>
      </w:r>
      <w:r>
        <w:t>Neuseeländische Kreditwürdigkeit aufgebaut: erste Kreditkarte mit niedrigem Limit, pünktliche Strom- und Internetrechnungen, kostenlosen Report bei Centrix, Equifax NZ oder illion geprüft (Neuseeland: Steuer-ID/Bank)</w:t>
      </w:r>
    </w:p>
    <w:p w14:paraId="70A50961" w14:textId="77777777" w:rsidR="00C1548D" w:rsidRDefault="009B1B4B">
      <w:pPr>
        <w:tabs>
          <w:tab w:val="left" w:pos="400"/>
        </w:tabs>
        <w:spacing w:after="60"/>
        <w:ind w:left="400" w:hanging="330"/>
      </w:pPr>
      <w:r>
        <w:rPr>
          <w:rFonts w:ascii="Segoe UI Symbol" w:eastAsia="Segoe UI Symbol" w:hAnsi="Segoe UI Symbol" w:cs="Segoe UI Symbol"/>
        </w:rPr>
        <w:t>☐</w:t>
      </w:r>
      <w:r>
        <w:tab/>
      </w:r>
      <w:r>
        <w:t>Transitional-Resident-Befreiung (48 Monate auf die meisten ausländischen Kapital- und Mieteinkünfte) mit einer Steuerberatung auf die eigene Situation geprüft (Neuseeland: Steuer-ID/Bank)</w:t>
      </w:r>
    </w:p>
    <w:p w14:paraId="70A50962" w14:textId="77777777" w:rsidR="00C1548D" w:rsidRDefault="009B1B4B">
      <w:pPr>
        <w:tabs>
          <w:tab w:val="left" w:pos="400"/>
        </w:tabs>
        <w:spacing w:after="60"/>
        <w:ind w:left="400" w:hanging="330"/>
      </w:pPr>
      <w:r>
        <w:rPr>
          <w:rFonts w:ascii="Segoe UI Symbol" w:eastAsia="Segoe UI Symbol" w:hAnsi="Segoe UI Symbol" w:cs="Segoe UI Symbol"/>
        </w:rPr>
        <w:t>☐</w:t>
      </w:r>
      <w:r>
        <w:tab/>
      </w:r>
      <w:r>
        <w:t>Bei geplantem Arbeitgeberwechsel auf dem AEWV: Akkreditierung und Job Check des neuen Arbeitgebers sowie die eigene Variation of Conditions abgewartet, bevor beim alten Arbeitgeber gekündigt wird (Neuseeland: Arbeitswelt)</w:t>
      </w:r>
    </w:p>
    <w:p w14:paraId="70A50963" w14:textId="77777777" w:rsidR="00C1548D" w:rsidRDefault="009B1B4B">
      <w:pPr>
        <w:tabs>
          <w:tab w:val="left" w:pos="400"/>
        </w:tabs>
        <w:spacing w:after="60"/>
        <w:ind w:left="400" w:hanging="330"/>
      </w:pPr>
      <w:r>
        <w:rPr>
          <w:rFonts w:ascii="Segoe UI Symbol" w:eastAsia="Segoe UI Symbol" w:hAnsi="Segoe UI Symbol" w:cs="Segoe UI Symbol"/>
        </w:rPr>
        <w:t>☐</w:t>
      </w:r>
      <w:r>
        <w:tab/>
      </w:r>
      <w:r>
        <w:t>Notfallset für mindestens drei Tage angelegt, GeoNet-App und Emergency Mobile Alert installiert (Neuseeland: Recht/Sicherheit)</w:t>
      </w:r>
    </w:p>
    <w:p w14:paraId="70A50964" w14:textId="77777777" w:rsidR="00C1548D" w:rsidRDefault="009B1B4B">
      <w:pPr>
        <w:tabs>
          <w:tab w:val="left" w:pos="400"/>
        </w:tabs>
        <w:spacing w:after="60"/>
        <w:ind w:left="400" w:hanging="330"/>
      </w:pPr>
      <w:r>
        <w:rPr>
          <w:rFonts w:ascii="Segoe UI Symbol" w:eastAsia="Segoe UI Symbol" w:hAnsi="Segoe UI Symbol" w:cs="Segoe UI Symbol"/>
        </w:rPr>
        <w:t>☐</w:t>
      </w:r>
      <w:r>
        <w:tab/>
      </w:r>
      <w:r>
        <w:t>Festen Videotelefonie-Termin mit der Familie in Deutschland trotz der 10 bis 12 Stunden Zeitverschiebung eingerichtet, Heimatbesuche zu Feiertagen früh gebucht (Neuseeland: Freunde/Kulturschock)</w:t>
      </w:r>
    </w:p>
    <w:p w14:paraId="70A50965" w14:textId="77777777" w:rsidR="00C1548D" w:rsidRDefault="00C1548D">
      <w:pPr>
        <w:spacing w:line="1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968"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966" w14:textId="77777777" w:rsidR="00C1548D" w:rsidRDefault="009B1B4B">
            <w:pPr>
              <w:keepNext/>
              <w:spacing w:after="70" w:line="240" w:lineRule="auto"/>
            </w:pPr>
            <w:r>
              <w:rPr>
                <w:b/>
                <w:bCs/>
                <w:color w:val="6B7280"/>
                <w:spacing w:val="24"/>
                <w:sz w:val="16"/>
                <w:szCs w:val="16"/>
              </w:rPr>
              <w:lastRenderedPageBreak/>
              <w:t>STAND</w:t>
            </w:r>
          </w:p>
          <w:p w14:paraId="70A50967" w14:textId="77777777" w:rsidR="00C1548D" w:rsidRDefault="009B1B4B">
            <w:pPr>
              <w:spacing w:after="80" w:line="264" w:lineRule="auto"/>
            </w:pPr>
            <w:r>
              <w:rPr>
                <w:sz w:val="20"/>
                <w:szCs w:val="20"/>
              </w:rPr>
              <w:t>September 2026. Fristen, Gebühren und Bearbeitungszeiten in dieser Checkliste ändern sich häufig; prüfe vor jeder Kündigung, Buchung oder Behördenfahrt die aktuellen Angaben im jeweiligen Kapitel und auf den offiziellen Seiten.</w:t>
            </w:r>
          </w:p>
        </w:tc>
      </w:tr>
    </w:tbl>
    <w:p w14:paraId="70A50969" w14:textId="77777777" w:rsidR="00C1548D" w:rsidRDefault="00C1548D">
      <w:pPr>
        <w:spacing w:line="220" w:lineRule="exact"/>
      </w:pPr>
    </w:p>
    <w:p w14:paraId="70A5096A" w14:textId="77777777" w:rsidR="00C1548D" w:rsidRDefault="009B1B4B">
      <w:pPr>
        <w:pStyle w:val="Heading2"/>
        <w:keepNext/>
        <w:pageBreakBefore/>
        <w:jc w:val="center"/>
      </w:pPr>
      <w:bookmarkStart w:id="202" w:name="anhang_b"/>
      <w:bookmarkStart w:id="203" w:name="_Toc241352553"/>
      <w:r>
        <w:rPr>
          <w:rFonts w:ascii="Amazon Ember" w:eastAsia="Amazon Ember" w:hAnsi="Amazon Ember" w:cs="Amazon Ember"/>
          <w:color w:val="0000FF"/>
          <w:sz w:val="36"/>
          <w:szCs w:val="36"/>
        </w:rPr>
        <w:lastRenderedPageBreak/>
        <w:t>Anhang B: Glossar Deutsch–Englisch</w:t>
      </w:r>
      <w:bookmarkEnd w:id="202"/>
      <w:bookmarkEnd w:id="203"/>
    </w:p>
    <w:p w14:paraId="70A5096B" w14:textId="77777777" w:rsidR="00C1548D" w:rsidRDefault="009B1B4B">
      <w:pPr>
        <w:spacing w:after="140"/>
      </w:pPr>
      <w:r>
        <w:t>Dieses Buch erklärt englische Fachbegriffe bei ihrem ersten Auftreten im jeweiligen Kapitel. Dieser Anhang sammelt sie an einem Ort – zum schnellen Nachschlagen, wenn ein Begriff später wieder auftaucht und die Erklärung nicht mehr präsent ist. Die Tabelle für die USA ist alphabetisch nach dem englischen Begriff sortiert; danach folgen eigene, ebenfalls alphabetisch sortierte Abschnitte für Kanada, Australien und Neuseeland. Bei den USA nennt die letzte Spalte die Kapitelnummer; bei den drei anderen Ländern</w:t>
      </w:r>
      <w:r>
        <w:t xml:space="preserve"> steht dort statt einer festen Kapitelzahl – die Gliederung dieser Teile ist noch nicht abschließend fixiert – ein grober Themenbereich.</w:t>
      </w:r>
    </w:p>
    <w:p w14:paraId="70A5096C" w14:textId="77777777" w:rsidR="00C1548D" w:rsidRDefault="009B1B4B">
      <w:pPr>
        <w:pStyle w:val="Heading3"/>
        <w:keepNext/>
        <w:jc w:val="center"/>
      </w:pPr>
      <w:r>
        <w:rPr>
          <w:rFonts w:ascii="Amazon Ember" w:eastAsia="Amazon Ember" w:hAnsi="Amazon Ember" w:cs="Amazon Ember"/>
          <w:color w:val="0000FF"/>
          <w:sz w:val="36"/>
          <w:szCs w:val="36"/>
        </w:rPr>
        <w:t>USA</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47"/>
        <w:gridCol w:w="3083"/>
        <w:gridCol w:w="950"/>
      </w:tblGrid>
      <w:tr w:rsidR="00C1548D" w14:paraId="70A50970" w14:textId="77777777">
        <w:tblPrEx>
          <w:tblCellMar>
            <w:top w:w="0" w:type="dxa"/>
            <w:bottom w:w="0" w:type="dxa"/>
          </w:tblCellMar>
        </w:tblPrEx>
        <w:trPr>
          <w:cantSplit/>
          <w:tblHeader/>
        </w:trPr>
        <w:tc>
          <w:tcPr>
            <w:tcW w:w="244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96D" w14:textId="77777777" w:rsidR="00C1548D" w:rsidRDefault="009B1B4B">
            <w:pPr>
              <w:spacing w:line="250" w:lineRule="auto"/>
            </w:pPr>
            <w:r>
              <w:rPr>
                <w:b/>
                <w:bCs/>
                <w:sz w:val="18"/>
                <w:szCs w:val="18"/>
              </w:rPr>
              <w:t>Englisch</w:t>
            </w:r>
          </w:p>
        </w:tc>
        <w:tc>
          <w:tcPr>
            <w:tcW w:w="30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96E" w14:textId="77777777" w:rsidR="00C1548D" w:rsidRDefault="009B1B4B">
            <w:pPr>
              <w:spacing w:line="250" w:lineRule="auto"/>
            </w:pPr>
            <w:r>
              <w:rPr>
                <w:b/>
                <w:bCs/>
                <w:sz w:val="18"/>
                <w:szCs w:val="18"/>
              </w:rPr>
              <w:t>Deutsch/Erklärung</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96F" w14:textId="77777777" w:rsidR="00C1548D" w:rsidRDefault="009B1B4B">
            <w:pPr>
              <w:spacing w:line="250" w:lineRule="auto"/>
            </w:pPr>
            <w:r>
              <w:rPr>
                <w:b/>
                <w:bCs/>
                <w:sz w:val="18"/>
                <w:szCs w:val="18"/>
              </w:rPr>
              <w:t>Kapitel</w:t>
            </w:r>
          </w:p>
        </w:tc>
      </w:tr>
      <w:tr w:rsidR="00C1548D" w14:paraId="70A5097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1" w14:textId="77777777" w:rsidR="00C1548D" w:rsidRDefault="009B1B4B">
            <w:pPr>
              <w:spacing w:line="250" w:lineRule="auto"/>
            </w:pPr>
            <w:r>
              <w:rPr>
                <w:sz w:val="18"/>
                <w:szCs w:val="18"/>
              </w:rPr>
              <w:t>1BR</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2" w14:textId="77777777" w:rsidR="00C1548D" w:rsidRDefault="009B1B4B">
            <w:pPr>
              <w:spacing w:line="250" w:lineRule="auto"/>
            </w:pPr>
            <w:r>
              <w:rPr>
                <w:sz w:val="18"/>
                <w:szCs w:val="18"/>
              </w:rPr>
              <w:t>Wohnung mit einem separaten Schlafzimmer (One Bedroom), Standardangabe in Mietinseraten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3" w14:textId="77777777" w:rsidR="00C1548D" w:rsidRDefault="009B1B4B">
            <w:pPr>
              <w:spacing w:line="250" w:lineRule="auto"/>
            </w:pPr>
            <w:r>
              <w:rPr>
                <w:sz w:val="18"/>
                <w:szCs w:val="18"/>
              </w:rPr>
              <w:t>13</w:t>
            </w:r>
          </w:p>
        </w:tc>
      </w:tr>
      <w:tr w:rsidR="00C1548D" w14:paraId="70A5097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5" w14:textId="77777777" w:rsidR="00C1548D" w:rsidRDefault="009B1B4B">
            <w:pPr>
              <w:spacing w:line="250" w:lineRule="auto"/>
            </w:pPr>
            <w:r>
              <w:rPr>
                <w:sz w:val="18"/>
                <w:szCs w:val="18"/>
              </w:rPr>
              <w:t>401(k)</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6" w14:textId="77777777" w:rsidR="00C1548D" w:rsidRDefault="009B1B4B">
            <w:pPr>
              <w:spacing w:line="250" w:lineRule="auto"/>
            </w:pPr>
            <w:r>
              <w:rPr>
                <w:sz w:val="18"/>
                <w:szCs w:val="18"/>
              </w:rPr>
              <w:t>arbeitgebergeförderter US-Altersvorsorgeplan, oft mit Arbeitgeberzuschuss (Match)</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7" w14:textId="77777777" w:rsidR="00C1548D" w:rsidRDefault="009B1B4B">
            <w:pPr>
              <w:spacing w:line="250" w:lineRule="auto"/>
            </w:pPr>
            <w:r>
              <w:rPr>
                <w:sz w:val="18"/>
                <w:szCs w:val="18"/>
              </w:rPr>
              <w:t>29,39</w:t>
            </w:r>
          </w:p>
        </w:tc>
      </w:tr>
      <w:tr w:rsidR="00C1548D" w14:paraId="70A5097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9" w14:textId="77777777" w:rsidR="00C1548D" w:rsidRDefault="009B1B4B">
            <w:pPr>
              <w:spacing w:line="250" w:lineRule="auto"/>
            </w:pPr>
            <w:r>
              <w:rPr>
                <w:sz w:val="18"/>
                <w:szCs w:val="18"/>
              </w:rPr>
              <w:t>988 Suicide &amp; Crisis Lifeline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A" w14:textId="77777777" w:rsidR="00C1548D" w:rsidRDefault="009B1B4B">
            <w:pPr>
              <w:spacing w:line="250" w:lineRule="auto"/>
            </w:pPr>
            <w:r>
              <w:rPr>
                <w:sz w:val="18"/>
                <w:szCs w:val="18"/>
              </w:rPr>
              <w:t>kostenlose, rund um die Uhr erreichbare Krisenhotline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B" w14:textId="77777777" w:rsidR="00C1548D" w:rsidRDefault="009B1B4B">
            <w:pPr>
              <w:spacing w:line="250" w:lineRule="auto"/>
            </w:pPr>
            <w:r>
              <w:rPr>
                <w:sz w:val="18"/>
                <w:szCs w:val="18"/>
              </w:rPr>
              <w:t>33</w:t>
            </w:r>
          </w:p>
        </w:tc>
      </w:tr>
      <w:tr w:rsidR="00C1548D" w14:paraId="70A5098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D" w14:textId="77777777" w:rsidR="00C1548D" w:rsidRDefault="009B1B4B">
            <w:pPr>
              <w:spacing w:line="250" w:lineRule="auto"/>
            </w:pPr>
            <w:r>
              <w:rPr>
                <w:sz w:val="18"/>
                <w:szCs w:val="18"/>
              </w:rPr>
              <w:t>Acetaminophen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E" w14:textId="77777777" w:rsidR="00C1548D" w:rsidRDefault="009B1B4B">
            <w:pPr>
              <w:spacing w:line="250" w:lineRule="auto"/>
            </w:pPr>
            <w:r>
              <w:rPr>
                <w:sz w:val="18"/>
                <w:szCs w:val="18"/>
              </w:rPr>
              <w:t>Schmerz- und Fiebermittel, in Deutschland als Paracetamol bekannt (Markenname Tylenol)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7F" w14:textId="77777777" w:rsidR="00C1548D" w:rsidRDefault="009B1B4B">
            <w:pPr>
              <w:spacing w:line="250" w:lineRule="auto"/>
            </w:pPr>
            <w:r>
              <w:rPr>
                <w:sz w:val="18"/>
                <w:szCs w:val="18"/>
              </w:rPr>
              <w:t>23</w:t>
            </w:r>
          </w:p>
        </w:tc>
      </w:tr>
      <w:tr w:rsidR="00C1548D" w14:paraId="70A5098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1" w14:textId="77777777" w:rsidR="00C1548D" w:rsidRDefault="009B1B4B">
            <w:pPr>
              <w:spacing w:line="250" w:lineRule="auto"/>
            </w:pPr>
            <w:r>
              <w:rPr>
                <w:sz w:val="18"/>
                <w:szCs w:val="18"/>
              </w:rPr>
              <w:t>Adjustment of Status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2" w14:textId="77777777" w:rsidR="00C1548D" w:rsidRDefault="009B1B4B">
            <w:pPr>
              <w:spacing w:line="250" w:lineRule="auto"/>
            </w:pPr>
            <w:r>
              <w:rPr>
                <w:sz w:val="18"/>
                <w:szCs w:val="18"/>
              </w:rPr>
              <w:t>Antrag auf die Green Card im Inland, ohne Ausreise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3" w14:textId="77777777" w:rsidR="00C1548D" w:rsidRDefault="009B1B4B">
            <w:pPr>
              <w:spacing w:line="250" w:lineRule="auto"/>
            </w:pPr>
            <w:r>
              <w:rPr>
                <w:sz w:val="18"/>
                <w:szCs w:val="18"/>
              </w:rPr>
              <w:t>6,24</w:t>
            </w:r>
          </w:p>
        </w:tc>
      </w:tr>
      <w:tr w:rsidR="00C1548D" w14:paraId="70A5098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5" w14:textId="77777777" w:rsidR="00C1548D" w:rsidRDefault="009B1B4B">
            <w:pPr>
              <w:spacing w:line="250" w:lineRule="auto"/>
            </w:pPr>
            <w:r>
              <w:rPr>
                <w:sz w:val="18"/>
                <w:szCs w:val="18"/>
              </w:rPr>
              <w:t>Advance Directive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6" w14:textId="77777777" w:rsidR="00C1548D" w:rsidRDefault="009B1B4B">
            <w:pPr>
              <w:spacing w:line="250" w:lineRule="auto"/>
            </w:pPr>
            <w:r>
              <w:rPr>
                <w:sz w:val="18"/>
                <w:szCs w:val="18"/>
              </w:rPr>
              <w:t>Patientenverfügung und Vorsorgevollmacht für den Gesundheitsfall (auch Healthcare Directive)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7" w14:textId="77777777" w:rsidR="00C1548D" w:rsidRDefault="009B1B4B">
            <w:pPr>
              <w:spacing w:line="250" w:lineRule="auto"/>
            </w:pPr>
            <w:r>
              <w:rPr>
                <w:sz w:val="18"/>
                <w:szCs w:val="18"/>
              </w:rPr>
              <w:t>16,39</w:t>
            </w:r>
          </w:p>
        </w:tc>
      </w:tr>
      <w:tr w:rsidR="00C1548D" w14:paraId="70A5098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9" w14:textId="77777777" w:rsidR="00C1548D" w:rsidRDefault="009B1B4B">
            <w:pPr>
              <w:spacing w:line="250" w:lineRule="auto"/>
            </w:pPr>
            <w:r>
              <w:rPr>
                <w:sz w:val="18"/>
                <w:szCs w:val="18"/>
              </w:rPr>
              <w:t>Affidavit of Support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A" w14:textId="77777777" w:rsidR="00C1548D" w:rsidRDefault="009B1B4B">
            <w:pPr>
              <w:spacing w:line="250" w:lineRule="auto"/>
            </w:pPr>
            <w:r>
              <w:rPr>
                <w:sz w:val="18"/>
                <w:szCs w:val="18"/>
              </w:rPr>
              <w:t>finanzielle Verpflichtungserklärung eines Sponsors für nachziehende Angehörige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B" w14:textId="77777777" w:rsidR="00C1548D" w:rsidRDefault="009B1B4B">
            <w:pPr>
              <w:spacing w:line="250" w:lineRule="auto"/>
            </w:pPr>
            <w:r>
              <w:rPr>
                <w:sz w:val="18"/>
                <w:szCs w:val="18"/>
              </w:rPr>
              <w:t>6,9</w:t>
            </w:r>
          </w:p>
        </w:tc>
      </w:tr>
      <w:tr w:rsidR="00C1548D" w14:paraId="70A5099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D" w14:textId="77777777" w:rsidR="00C1548D" w:rsidRDefault="009B1B4B">
            <w:pPr>
              <w:spacing w:line="250" w:lineRule="auto"/>
            </w:pPr>
            <w:r>
              <w:rPr>
                <w:sz w:val="18"/>
                <w:szCs w:val="18"/>
              </w:rPr>
              <w:lastRenderedPageBreak/>
              <w:t>Affordable Care Act (ACA)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E" w14:textId="77777777" w:rsidR="00C1548D" w:rsidRDefault="009B1B4B">
            <w:pPr>
              <w:spacing w:line="250" w:lineRule="auto"/>
            </w:pPr>
            <w:r>
              <w:rPr>
                <w:sz w:val="18"/>
                <w:szCs w:val="18"/>
              </w:rPr>
              <w:t>US-Gesundheitsreformgesetz von 2010, Grundlage der Krankenversicherungs-Marktplätze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8F" w14:textId="77777777" w:rsidR="00C1548D" w:rsidRDefault="009B1B4B">
            <w:pPr>
              <w:spacing w:line="250" w:lineRule="auto"/>
            </w:pPr>
            <w:r>
              <w:rPr>
                <w:sz w:val="18"/>
                <w:szCs w:val="18"/>
              </w:rPr>
              <w:t>26</w:t>
            </w:r>
          </w:p>
        </w:tc>
      </w:tr>
      <w:tr w:rsidR="00C1548D" w14:paraId="70A5099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1" w14:textId="77777777" w:rsidR="00C1548D" w:rsidRDefault="009B1B4B">
            <w:pPr>
              <w:spacing w:line="250" w:lineRule="auto"/>
            </w:pPr>
            <w:r>
              <w:rPr>
                <w:sz w:val="18"/>
                <w:szCs w:val="18"/>
              </w:rPr>
              <w:t>Aggravated Felony</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2" w14:textId="77777777" w:rsidR="00C1548D" w:rsidRDefault="009B1B4B">
            <w:pPr>
              <w:spacing w:line="250" w:lineRule="auto"/>
            </w:pPr>
            <w:r>
              <w:rPr>
                <w:sz w:val="18"/>
                <w:szCs w:val="18"/>
              </w:rPr>
              <w:t>Schwerstverbrechen-Kategorie im Einwanderungsrecht, führt fast immer zur Abschiebung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3" w14:textId="77777777" w:rsidR="00C1548D" w:rsidRDefault="009B1B4B">
            <w:pPr>
              <w:spacing w:line="250" w:lineRule="auto"/>
            </w:pPr>
            <w:r>
              <w:rPr>
                <w:sz w:val="18"/>
                <w:szCs w:val="18"/>
              </w:rPr>
              <w:t>40</w:t>
            </w:r>
          </w:p>
        </w:tc>
      </w:tr>
      <w:tr w:rsidR="00C1548D" w14:paraId="70A5099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5" w14:textId="77777777" w:rsidR="00C1548D" w:rsidRDefault="009B1B4B">
            <w:pPr>
              <w:spacing w:line="250" w:lineRule="auto"/>
            </w:pPr>
            <w:r>
              <w:rPr>
                <w:sz w:val="18"/>
                <w:szCs w:val="18"/>
              </w:rPr>
              <w:t>Applicant Tracking System (ATS)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6" w14:textId="77777777" w:rsidR="00C1548D" w:rsidRDefault="009B1B4B">
            <w:pPr>
              <w:spacing w:line="250" w:lineRule="auto"/>
            </w:pPr>
            <w:r>
              <w:rPr>
                <w:sz w:val="18"/>
                <w:szCs w:val="18"/>
              </w:rPr>
              <w:t>Software, die Bewerbungen vor der Sichtung automatisch vorfiltert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7" w14:textId="77777777" w:rsidR="00C1548D" w:rsidRDefault="009B1B4B">
            <w:pPr>
              <w:spacing w:line="250" w:lineRule="auto"/>
            </w:pPr>
            <w:r>
              <w:rPr>
                <w:sz w:val="18"/>
                <w:szCs w:val="18"/>
              </w:rPr>
              <w:t>29</w:t>
            </w:r>
          </w:p>
        </w:tc>
      </w:tr>
      <w:tr w:rsidR="00C1548D" w14:paraId="70A5099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9" w14:textId="77777777" w:rsidR="00C1548D" w:rsidRDefault="009B1B4B">
            <w:pPr>
              <w:spacing w:line="250" w:lineRule="auto"/>
            </w:pPr>
            <w:r>
              <w:rPr>
                <w:sz w:val="18"/>
                <w:szCs w:val="18"/>
              </w:rPr>
              <w:t>APR</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A" w14:textId="77777777" w:rsidR="00C1548D" w:rsidRDefault="009B1B4B">
            <w:pPr>
              <w:spacing w:line="250" w:lineRule="auto"/>
            </w:pPr>
            <w:r>
              <w:rPr>
                <w:sz w:val="18"/>
                <w:szCs w:val="18"/>
              </w:rPr>
              <w:t>Annual Percentage Rate, effektiver Jahreszins inklusive Gebühren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B" w14:textId="77777777" w:rsidR="00C1548D" w:rsidRDefault="009B1B4B">
            <w:pPr>
              <w:spacing w:line="250" w:lineRule="auto"/>
            </w:pPr>
            <w:r>
              <w:rPr>
                <w:sz w:val="18"/>
                <w:szCs w:val="18"/>
              </w:rPr>
              <w:t>14,25</w:t>
            </w:r>
          </w:p>
        </w:tc>
      </w:tr>
      <w:tr w:rsidR="00C1548D" w14:paraId="70A509A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D" w14:textId="77777777" w:rsidR="00C1548D" w:rsidRDefault="009B1B4B">
            <w:pPr>
              <w:spacing w:line="250" w:lineRule="auto"/>
            </w:pPr>
            <w:r>
              <w:rPr>
                <w:sz w:val="18"/>
                <w:szCs w:val="18"/>
              </w:rPr>
              <w:t>ARM</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E" w14:textId="77777777" w:rsidR="00C1548D" w:rsidRDefault="009B1B4B">
            <w:pPr>
              <w:spacing w:line="250" w:lineRule="auto"/>
            </w:pPr>
            <w:r>
              <w:rPr>
                <w:sz w:val="18"/>
                <w:szCs w:val="18"/>
              </w:rPr>
              <w:t>Adjustable-Rate Mortgage, Hypothek mit anpassbarem Zins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9F" w14:textId="77777777" w:rsidR="00C1548D" w:rsidRDefault="009B1B4B">
            <w:pPr>
              <w:spacing w:line="250" w:lineRule="auto"/>
            </w:pPr>
            <w:r>
              <w:rPr>
                <w:sz w:val="18"/>
                <w:szCs w:val="18"/>
              </w:rPr>
              <w:t>14</w:t>
            </w:r>
          </w:p>
        </w:tc>
      </w:tr>
      <w:tr w:rsidR="00C1548D" w14:paraId="70A509A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1" w14:textId="77777777" w:rsidR="00C1548D" w:rsidRDefault="009B1B4B">
            <w:pPr>
              <w:spacing w:line="250" w:lineRule="auto"/>
            </w:pPr>
            <w:r>
              <w:rPr>
                <w:sz w:val="18"/>
                <w:szCs w:val="18"/>
              </w:rPr>
              <w:t>At-will Employment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2" w14:textId="77777777" w:rsidR="00C1548D" w:rsidRDefault="009B1B4B">
            <w:pPr>
              <w:spacing w:line="250" w:lineRule="auto"/>
            </w:pPr>
            <w:r>
              <w:rPr>
                <w:sz w:val="18"/>
                <w:szCs w:val="18"/>
              </w:rPr>
              <w:t>Kündigung ohne Grund und ohne Frist möglich, Kernunterschied zu Deutschland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3" w14:textId="77777777" w:rsidR="00C1548D" w:rsidRDefault="009B1B4B">
            <w:pPr>
              <w:spacing w:line="250" w:lineRule="auto"/>
            </w:pPr>
            <w:r>
              <w:rPr>
                <w:sz w:val="18"/>
                <w:szCs w:val="18"/>
              </w:rPr>
              <w:t>29,30</w:t>
            </w:r>
          </w:p>
        </w:tc>
      </w:tr>
      <w:tr w:rsidR="00C1548D" w14:paraId="70A509A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5" w14:textId="77777777" w:rsidR="00C1548D" w:rsidRDefault="009B1B4B">
            <w:pPr>
              <w:spacing w:line="250" w:lineRule="auto"/>
            </w:pPr>
            <w:r>
              <w:rPr>
                <w:sz w:val="18"/>
                <w:szCs w:val="18"/>
              </w:rPr>
              <w:t>Back-to-School Night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6" w14:textId="77777777" w:rsidR="00C1548D" w:rsidRDefault="009B1B4B">
            <w:pPr>
              <w:spacing w:line="250" w:lineRule="auto"/>
            </w:pPr>
            <w:r>
              <w:rPr>
                <w:sz w:val="18"/>
                <w:szCs w:val="18"/>
              </w:rPr>
              <w:t>Elternabend zum Schuljahresbeginn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7" w14:textId="77777777" w:rsidR="00C1548D" w:rsidRDefault="009B1B4B">
            <w:pPr>
              <w:spacing w:line="250" w:lineRule="auto"/>
            </w:pPr>
            <w:r>
              <w:rPr>
                <w:sz w:val="18"/>
                <w:szCs w:val="18"/>
              </w:rPr>
              <w:t>37</w:t>
            </w:r>
          </w:p>
        </w:tc>
      </w:tr>
      <w:tr w:rsidR="00C1548D" w14:paraId="70A509A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9" w14:textId="77777777" w:rsidR="00C1548D" w:rsidRDefault="009B1B4B">
            <w:pPr>
              <w:spacing w:line="250" w:lineRule="auto"/>
            </w:pPr>
            <w:r>
              <w:rPr>
                <w:sz w:val="18"/>
                <w:szCs w:val="18"/>
              </w:rPr>
              <w:t>Background Check</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A" w14:textId="77777777" w:rsidR="00C1548D" w:rsidRDefault="009B1B4B">
            <w:pPr>
              <w:spacing w:line="250" w:lineRule="auto"/>
            </w:pPr>
            <w:r>
              <w:rPr>
                <w:sz w:val="18"/>
                <w:szCs w:val="18"/>
              </w:rPr>
              <w:t>Überprüfung von Vorstrafen und Beschäftigungshistorie vor der Einstellung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B" w14:textId="77777777" w:rsidR="00C1548D" w:rsidRDefault="009B1B4B">
            <w:pPr>
              <w:spacing w:line="250" w:lineRule="auto"/>
            </w:pPr>
            <w:r>
              <w:rPr>
                <w:sz w:val="18"/>
                <w:szCs w:val="18"/>
              </w:rPr>
              <w:t>29</w:t>
            </w:r>
          </w:p>
        </w:tc>
      </w:tr>
      <w:tr w:rsidR="00C1548D" w14:paraId="70A509B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D" w14:textId="77777777" w:rsidR="00C1548D" w:rsidRDefault="009B1B4B">
            <w:pPr>
              <w:spacing w:line="250" w:lineRule="auto"/>
            </w:pPr>
            <w:r>
              <w:rPr>
                <w:sz w:val="18"/>
                <w:szCs w:val="18"/>
              </w:rPr>
              <w:t>Bake / Broil / Convection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E" w14:textId="77777777" w:rsidR="00C1548D" w:rsidRDefault="009B1B4B">
            <w:pPr>
              <w:spacing w:line="250" w:lineRule="auto"/>
            </w:pPr>
            <w:r>
              <w:rPr>
                <w:sz w:val="18"/>
                <w:szCs w:val="18"/>
              </w:rPr>
              <w:t>Ofeneinstellungen: Ober-/Unterhitze, Grillfunktion, Umluft (Convection senkt die angegebene Temperatur meist um ca. 25 °F)</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AF" w14:textId="77777777" w:rsidR="00C1548D" w:rsidRDefault="009B1B4B">
            <w:pPr>
              <w:spacing w:line="250" w:lineRule="auto"/>
            </w:pPr>
            <w:r>
              <w:rPr>
                <w:sz w:val="18"/>
                <w:szCs w:val="18"/>
              </w:rPr>
              <w:t>35</w:t>
            </w:r>
          </w:p>
        </w:tc>
      </w:tr>
      <w:tr w:rsidR="00C1548D" w14:paraId="70A509B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1" w14:textId="77777777" w:rsidR="00C1548D" w:rsidRDefault="009B1B4B">
            <w:pPr>
              <w:spacing w:line="250" w:lineRule="auto"/>
            </w:pPr>
            <w:r>
              <w:rPr>
                <w:sz w:val="18"/>
                <w:szCs w:val="18"/>
              </w:rPr>
              <w:t>Baking Powder / Baking Soda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2" w14:textId="77777777" w:rsidR="00C1548D" w:rsidRDefault="009B1B4B">
            <w:pPr>
              <w:spacing w:line="250" w:lineRule="auto"/>
            </w:pPr>
            <w:r>
              <w:rPr>
                <w:sz w:val="18"/>
                <w:szCs w:val="18"/>
              </w:rPr>
              <w:t>Backpulver bzw. Natron – leicht zu verwechseln, unterschiedliche Wirkung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3" w14:textId="77777777" w:rsidR="00C1548D" w:rsidRDefault="009B1B4B">
            <w:pPr>
              <w:spacing w:line="250" w:lineRule="auto"/>
            </w:pPr>
            <w:r>
              <w:rPr>
                <w:sz w:val="18"/>
                <w:szCs w:val="18"/>
              </w:rPr>
              <w:t>35</w:t>
            </w:r>
          </w:p>
        </w:tc>
      </w:tr>
      <w:tr w:rsidR="00C1548D" w14:paraId="70A509B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5" w14:textId="77777777" w:rsidR="00C1548D" w:rsidRDefault="009B1B4B">
            <w:pPr>
              <w:spacing w:line="250" w:lineRule="auto"/>
            </w:pPr>
            <w:r>
              <w:rPr>
                <w:sz w:val="18"/>
                <w:szCs w:val="18"/>
              </w:rPr>
              <w:t>Beneficiary</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6" w14:textId="77777777" w:rsidR="00C1548D" w:rsidRDefault="009B1B4B">
            <w:pPr>
              <w:spacing w:line="250" w:lineRule="auto"/>
            </w:pPr>
            <w:r>
              <w:rPr>
                <w:sz w:val="18"/>
                <w:szCs w:val="18"/>
              </w:rPr>
              <w:t>Begünstigter, etwa bei Versicherung, Konto oder Erbschaft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7" w14:textId="77777777" w:rsidR="00C1548D" w:rsidRDefault="009B1B4B">
            <w:pPr>
              <w:spacing w:line="250" w:lineRule="auto"/>
            </w:pPr>
            <w:r>
              <w:rPr>
                <w:sz w:val="18"/>
                <w:szCs w:val="18"/>
              </w:rPr>
              <w:t>11,39</w:t>
            </w:r>
          </w:p>
        </w:tc>
      </w:tr>
      <w:tr w:rsidR="00C1548D" w14:paraId="70A509B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9" w14:textId="77777777" w:rsidR="00C1548D" w:rsidRDefault="009B1B4B">
            <w:pPr>
              <w:spacing w:line="250" w:lineRule="auto"/>
            </w:pPr>
            <w:r>
              <w:rPr>
                <w:sz w:val="18"/>
                <w:szCs w:val="18"/>
              </w:rPr>
              <w:t>Black Tie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A" w14:textId="77777777" w:rsidR="00C1548D" w:rsidRDefault="009B1B4B">
            <w:pPr>
              <w:spacing w:line="250" w:lineRule="auto"/>
            </w:pPr>
            <w:r>
              <w:rPr>
                <w:sz w:val="18"/>
                <w:szCs w:val="18"/>
              </w:rPr>
              <w:t>festliche Kleiderordnung: Smoking beziehungsweise langes Kleid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B" w14:textId="77777777" w:rsidR="00C1548D" w:rsidRDefault="009B1B4B">
            <w:pPr>
              <w:spacing w:line="250" w:lineRule="auto"/>
            </w:pPr>
            <w:r>
              <w:rPr>
                <w:sz w:val="18"/>
                <w:szCs w:val="18"/>
              </w:rPr>
              <w:t>34</w:t>
            </w:r>
          </w:p>
        </w:tc>
      </w:tr>
      <w:tr w:rsidR="00C1548D" w14:paraId="70A509C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D" w14:textId="77777777" w:rsidR="00C1548D" w:rsidRDefault="009B1B4B">
            <w:pPr>
              <w:spacing w:line="250" w:lineRule="auto"/>
            </w:pPr>
            <w:r>
              <w:rPr>
                <w:sz w:val="18"/>
                <w:szCs w:val="18"/>
              </w:rPr>
              <w:t>Business Casual / Business Formal</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E" w14:textId="77777777" w:rsidR="00C1548D" w:rsidRDefault="009B1B4B">
            <w:pPr>
              <w:spacing w:line="250" w:lineRule="auto"/>
            </w:pPr>
            <w:r>
              <w:rPr>
                <w:sz w:val="18"/>
                <w:szCs w:val="18"/>
              </w:rPr>
              <w:t>abgestufte Kleiderordnung: Hemd/Bluse ohne Krawatte beziehungsweise Anzug/Kostüm mit Krawatte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BF" w14:textId="77777777" w:rsidR="00C1548D" w:rsidRDefault="009B1B4B">
            <w:pPr>
              <w:spacing w:line="250" w:lineRule="auto"/>
            </w:pPr>
            <w:r>
              <w:rPr>
                <w:sz w:val="18"/>
                <w:szCs w:val="18"/>
              </w:rPr>
              <w:t>34</w:t>
            </w:r>
          </w:p>
        </w:tc>
      </w:tr>
      <w:tr w:rsidR="00C1548D" w14:paraId="70A509C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1" w14:textId="77777777" w:rsidR="00C1548D" w:rsidRDefault="009B1B4B">
            <w:pPr>
              <w:spacing w:line="250" w:lineRule="auto"/>
            </w:pPr>
            <w:r>
              <w:rPr>
                <w:sz w:val="18"/>
                <w:szCs w:val="18"/>
              </w:rPr>
              <w:t>BYOB</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2" w14:textId="77777777" w:rsidR="00C1548D" w:rsidRDefault="009B1B4B">
            <w:pPr>
              <w:spacing w:line="250" w:lineRule="auto"/>
            </w:pPr>
            <w:r>
              <w:rPr>
                <w:sz w:val="18"/>
                <w:szCs w:val="18"/>
              </w:rPr>
              <w:t>Bring Your Own Bottle – du bringst dein eigenes Getränk zur Feier mit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3" w14:textId="77777777" w:rsidR="00C1548D" w:rsidRDefault="009B1B4B">
            <w:pPr>
              <w:spacing w:line="250" w:lineRule="auto"/>
            </w:pPr>
            <w:r>
              <w:rPr>
                <w:sz w:val="18"/>
                <w:szCs w:val="18"/>
              </w:rPr>
              <w:t>32</w:t>
            </w:r>
          </w:p>
        </w:tc>
      </w:tr>
      <w:tr w:rsidR="00C1548D" w14:paraId="70A509C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5" w14:textId="77777777" w:rsidR="00C1548D" w:rsidRDefault="009B1B4B">
            <w:pPr>
              <w:spacing w:line="250" w:lineRule="auto"/>
            </w:pPr>
            <w:r>
              <w:rPr>
                <w:sz w:val="18"/>
                <w:szCs w:val="18"/>
              </w:rPr>
              <w:t>Checking Account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6" w14:textId="77777777" w:rsidR="00C1548D" w:rsidRDefault="009B1B4B">
            <w:pPr>
              <w:spacing w:line="250" w:lineRule="auto"/>
            </w:pPr>
            <w:r>
              <w:rPr>
                <w:sz w:val="18"/>
                <w:szCs w:val="18"/>
              </w:rPr>
              <w:t>Girokonto mit Debitkarte für den täglichen Zahlungsverkehr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7" w14:textId="77777777" w:rsidR="00C1548D" w:rsidRDefault="009B1B4B">
            <w:pPr>
              <w:spacing w:line="250" w:lineRule="auto"/>
            </w:pPr>
            <w:r>
              <w:rPr>
                <w:sz w:val="18"/>
                <w:szCs w:val="18"/>
              </w:rPr>
              <w:t>25</w:t>
            </w:r>
          </w:p>
        </w:tc>
      </w:tr>
      <w:tr w:rsidR="00C1548D" w14:paraId="70A509C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9" w14:textId="77777777" w:rsidR="00C1548D" w:rsidRDefault="009B1B4B">
            <w:pPr>
              <w:spacing w:line="250" w:lineRule="auto"/>
            </w:pPr>
            <w:r>
              <w:rPr>
                <w:sz w:val="18"/>
                <w:szCs w:val="18"/>
              </w:rPr>
              <w:lastRenderedPageBreak/>
              <w:t>Child Care Center</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A" w14:textId="77777777" w:rsidR="00C1548D" w:rsidRDefault="009B1B4B">
            <w:pPr>
              <w:spacing w:line="250" w:lineRule="auto"/>
            </w:pPr>
            <w:r>
              <w:rPr>
                <w:sz w:val="18"/>
                <w:szCs w:val="18"/>
              </w:rPr>
              <w:t>Kindertagesstätte beziehungsweise Betreuungseinrichtung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B" w14:textId="77777777" w:rsidR="00C1548D" w:rsidRDefault="009B1B4B">
            <w:pPr>
              <w:spacing w:line="250" w:lineRule="auto"/>
            </w:pPr>
            <w:r>
              <w:rPr>
                <w:sz w:val="18"/>
                <w:szCs w:val="18"/>
              </w:rPr>
              <w:t>38</w:t>
            </w:r>
          </w:p>
        </w:tc>
      </w:tr>
      <w:tr w:rsidR="00C1548D" w14:paraId="70A509D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D" w14:textId="77777777" w:rsidR="00C1548D" w:rsidRDefault="009B1B4B">
            <w:pPr>
              <w:spacing w:line="250" w:lineRule="auto"/>
            </w:pPr>
            <w:r>
              <w:rPr>
                <w:sz w:val="18"/>
                <w:szCs w:val="18"/>
              </w:rPr>
              <w:t>Child Citizenship Act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E" w14:textId="77777777" w:rsidR="00C1548D" w:rsidRDefault="009B1B4B">
            <w:pPr>
              <w:spacing w:line="250" w:lineRule="auto"/>
            </w:pPr>
            <w:r>
              <w:rPr>
                <w:sz w:val="18"/>
                <w:szCs w:val="18"/>
              </w:rPr>
              <w:t>verleiht im Ausland geborenen oder adoptierten Kindern von US-Bürgern unter bestimmten Bedingungen automatisch die Staatsbürgerschaft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CF" w14:textId="77777777" w:rsidR="00C1548D" w:rsidRDefault="009B1B4B">
            <w:pPr>
              <w:spacing w:line="250" w:lineRule="auto"/>
            </w:pPr>
            <w:r>
              <w:rPr>
                <w:sz w:val="18"/>
                <w:szCs w:val="18"/>
              </w:rPr>
              <w:t>41</w:t>
            </w:r>
          </w:p>
        </w:tc>
      </w:tr>
      <w:tr w:rsidR="00C1548D" w14:paraId="70A509D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1" w14:textId="77777777" w:rsidR="00C1548D" w:rsidRDefault="009B1B4B">
            <w:pPr>
              <w:spacing w:line="250" w:lineRule="auto"/>
            </w:pPr>
            <w:r>
              <w:rPr>
                <w:sz w:val="18"/>
                <w:szCs w:val="18"/>
              </w:rPr>
              <w:t>Child Protective Services (CPS)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2" w14:textId="77777777" w:rsidR="00C1548D" w:rsidRDefault="009B1B4B">
            <w:pPr>
              <w:spacing w:line="250" w:lineRule="auto"/>
            </w:pPr>
            <w:r>
              <w:rPr>
                <w:sz w:val="18"/>
                <w:szCs w:val="18"/>
              </w:rPr>
              <w:t>Jugendamt-Äquivalent, zuständig bei Kindeswohlgefährdung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3" w14:textId="77777777" w:rsidR="00C1548D" w:rsidRDefault="009B1B4B">
            <w:pPr>
              <w:spacing w:line="250" w:lineRule="auto"/>
            </w:pPr>
            <w:r>
              <w:rPr>
                <w:sz w:val="18"/>
                <w:szCs w:val="18"/>
              </w:rPr>
              <w:t>38</w:t>
            </w:r>
          </w:p>
        </w:tc>
      </w:tr>
      <w:tr w:rsidR="00C1548D" w14:paraId="70A509D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5" w14:textId="77777777" w:rsidR="00C1548D" w:rsidRDefault="009B1B4B">
            <w:pPr>
              <w:spacing w:line="250" w:lineRule="auto"/>
            </w:pPr>
            <w:r>
              <w:rPr>
                <w:sz w:val="18"/>
                <w:szCs w:val="18"/>
              </w:rPr>
              <w:t>Child Tax Credit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6" w14:textId="77777777" w:rsidR="00C1548D" w:rsidRDefault="009B1B4B">
            <w:pPr>
              <w:spacing w:line="250" w:lineRule="auto"/>
            </w:pPr>
            <w:r>
              <w:rPr>
                <w:sz w:val="18"/>
                <w:szCs w:val="18"/>
              </w:rPr>
              <w:t>Steuergutschrift pro Kind bei der Bundeseinkommensteuer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7" w14:textId="77777777" w:rsidR="00C1548D" w:rsidRDefault="009B1B4B">
            <w:pPr>
              <w:spacing w:line="250" w:lineRule="auto"/>
            </w:pPr>
            <w:r>
              <w:rPr>
                <w:sz w:val="18"/>
                <w:szCs w:val="18"/>
              </w:rPr>
              <w:t>24,28</w:t>
            </w:r>
          </w:p>
        </w:tc>
      </w:tr>
      <w:tr w:rsidR="00C1548D" w14:paraId="70A509D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9" w14:textId="77777777" w:rsidR="00C1548D" w:rsidRDefault="009B1B4B">
            <w:pPr>
              <w:spacing w:line="250" w:lineRule="auto"/>
            </w:pPr>
            <w:r>
              <w:rPr>
                <w:sz w:val="18"/>
                <w:szCs w:val="18"/>
              </w:rPr>
              <w:t>CIMT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A" w14:textId="77777777" w:rsidR="00C1548D" w:rsidRDefault="009B1B4B">
            <w:pPr>
              <w:spacing w:line="250" w:lineRule="auto"/>
            </w:pPr>
            <w:r>
              <w:rPr>
                <w:sz w:val="18"/>
                <w:szCs w:val="18"/>
              </w:rPr>
              <w:t>Crime Involving Moral Turpitude, Delikt mit „sittlicher Verworfenheit“, kann Einwanderungsfolgen haben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B" w14:textId="77777777" w:rsidR="00C1548D" w:rsidRDefault="009B1B4B">
            <w:pPr>
              <w:spacing w:line="250" w:lineRule="auto"/>
            </w:pPr>
            <w:r>
              <w:rPr>
                <w:sz w:val="18"/>
                <w:szCs w:val="18"/>
              </w:rPr>
              <w:t>40</w:t>
            </w:r>
          </w:p>
        </w:tc>
      </w:tr>
      <w:tr w:rsidR="00C1548D" w14:paraId="70A509E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D" w14:textId="77777777" w:rsidR="00C1548D" w:rsidRDefault="009B1B4B">
            <w:pPr>
              <w:spacing w:line="250" w:lineRule="auto"/>
            </w:pPr>
            <w:r>
              <w:rPr>
                <w:sz w:val="18"/>
                <w:szCs w:val="18"/>
              </w:rPr>
              <w:t>Civics Test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E" w14:textId="77777777" w:rsidR="00C1548D" w:rsidRDefault="009B1B4B">
            <w:pPr>
              <w:spacing w:line="250" w:lineRule="auto"/>
            </w:pPr>
            <w:r>
              <w:rPr>
                <w:sz w:val="18"/>
                <w:szCs w:val="18"/>
              </w:rPr>
              <w:t>mündlicher Test zu US-Geschichte und Staatsbürgerkunde im Einbürgerungsverfahren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DF" w14:textId="77777777" w:rsidR="00C1548D" w:rsidRDefault="009B1B4B">
            <w:pPr>
              <w:spacing w:line="250" w:lineRule="auto"/>
            </w:pPr>
            <w:r>
              <w:rPr>
                <w:sz w:val="18"/>
                <w:szCs w:val="18"/>
              </w:rPr>
              <w:t>41</w:t>
            </w:r>
          </w:p>
        </w:tc>
      </w:tr>
      <w:tr w:rsidR="00C1548D" w14:paraId="70A509E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1" w14:textId="77777777" w:rsidR="00C1548D" w:rsidRDefault="009B1B4B">
            <w:pPr>
              <w:spacing w:line="250" w:lineRule="auto"/>
            </w:pPr>
            <w:r>
              <w:rPr>
                <w:sz w:val="18"/>
                <w:szCs w:val="18"/>
              </w:rPr>
              <w:t>Closing Costs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2" w14:textId="77777777" w:rsidR="00C1548D" w:rsidRDefault="009B1B4B">
            <w:pPr>
              <w:spacing w:line="250" w:lineRule="auto"/>
            </w:pPr>
            <w:r>
              <w:rPr>
                <w:sz w:val="18"/>
                <w:szCs w:val="18"/>
              </w:rPr>
              <w:t>Abschlusskosten beim Immobilienkauf, zusätzlich zum Kaufpreis, oft 2–5 %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3" w14:textId="77777777" w:rsidR="00C1548D" w:rsidRDefault="009B1B4B">
            <w:pPr>
              <w:spacing w:line="250" w:lineRule="auto"/>
            </w:pPr>
            <w:r>
              <w:rPr>
                <w:sz w:val="18"/>
                <w:szCs w:val="18"/>
              </w:rPr>
              <w:t>14</w:t>
            </w:r>
          </w:p>
        </w:tc>
      </w:tr>
      <w:tr w:rsidR="00C1548D" w14:paraId="70A509E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5" w14:textId="77777777" w:rsidR="00C1548D" w:rsidRDefault="009B1B4B">
            <w:pPr>
              <w:spacing w:line="250" w:lineRule="auto"/>
            </w:pPr>
            <w:r>
              <w:rPr>
                <w:sz w:val="18"/>
                <w:szCs w:val="18"/>
              </w:rPr>
              <w:t>Coinsurance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6" w14:textId="77777777" w:rsidR="00C1548D" w:rsidRDefault="009B1B4B">
            <w:pPr>
              <w:spacing w:line="250" w:lineRule="auto"/>
            </w:pPr>
            <w:r>
              <w:rPr>
                <w:sz w:val="18"/>
                <w:szCs w:val="18"/>
              </w:rPr>
              <w:t>prozentuale Selbstbeteiligung an den Behandlungskosten nach dem Selbstbehalt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7" w14:textId="77777777" w:rsidR="00C1548D" w:rsidRDefault="009B1B4B">
            <w:pPr>
              <w:spacing w:line="250" w:lineRule="auto"/>
            </w:pPr>
            <w:r>
              <w:rPr>
                <w:sz w:val="18"/>
                <w:szCs w:val="18"/>
              </w:rPr>
              <w:t>26</w:t>
            </w:r>
          </w:p>
        </w:tc>
      </w:tr>
      <w:tr w:rsidR="00C1548D" w14:paraId="70A509E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9" w14:textId="77777777" w:rsidR="00C1548D" w:rsidRDefault="009B1B4B">
            <w:pPr>
              <w:spacing w:line="250" w:lineRule="auto"/>
            </w:pPr>
            <w:r>
              <w:rPr>
                <w:sz w:val="18"/>
                <w:szCs w:val="18"/>
              </w:rPr>
              <w:t>Collision / Comprehensive Coverage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A" w14:textId="77777777" w:rsidR="00C1548D" w:rsidRDefault="009B1B4B">
            <w:pPr>
              <w:spacing w:line="250" w:lineRule="auto"/>
            </w:pPr>
            <w:r>
              <w:rPr>
                <w:sz w:val="18"/>
                <w:szCs w:val="18"/>
              </w:rPr>
              <w:t>Kfz-Versicherungsbausteine: Collision deckt Schäden am eigenen Auto nach einem Unfall, Comprehensive deckt Diebstahl, Hagel, Wildschaden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B" w14:textId="77777777" w:rsidR="00C1548D" w:rsidRDefault="009B1B4B">
            <w:pPr>
              <w:spacing w:line="250" w:lineRule="auto"/>
            </w:pPr>
            <w:r>
              <w:rPr>
                <w:sz w:val="18"/>
                <w:szCs w:val="18"/>
              </w:rPr>
              <w:t>27</w:t>
            </w:r>
          </w:p>
        </w:tc>
      </w:tr>
      <w:tr w:rsidR="00C1548D" w14:paraId="70A509F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D" w14:textId="77777777" w:rsidR="00C1548D" w:rsidRDefault="009B1B4B">
            <w:pPr>
              <w:spacing w:line="250" w:lineRule="auto"/>
            </w:pPr>
            <w:r>
              <w:rPr>
                <w:sz w:val="18"/>
                <w:szCs w:val="18"/>
              </w:rPr>
              <w:t>Community Colleges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E" w14:textId="77777777" w:rsidR="00C1548D" w:rsidRDefault="009B1B4B">
            <w:pPr>
              <w:spacing w:line="250" w:lineRule="auto"/>
            </w:pPr>
            <w:r>
              <w:rPr>
                <w:sz w:val="18"/>
                <w:szCs w:val="18"/>
              </w:rPr>
              <w:t>zweijährige, lokal getragene Hochschulen mit niedrigen Studiengebühren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EF" w14:textId="77777777" w:rsidR="00C1548D" w:rsidRDefault="009B1B4B">
            <w:pPr>
              <w:spacing w:line="250" w:lineRule="auto"/>
            </w:pPr>
            <w:r>
              <w:rPr>
                <w:sz w:val="18"/>
                <w:szCs w:val="18"/>
              </w:rPr>
              <w:t>32,36</w:t>
            </w:r>
          </w:p>
        </w:tc>
      </w:tr>
      <w:tr w:rsidR="00C1548D" w14:paraId="70A509F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1" w14:textId="77777777" w:rsidR="00C1548D" w:rsidRDefault="009B1B4B">
            <w:pPr>
              <w:spacing w:line="250" w:lineRule="auto"/>
            </w:pPr>
            <w:r>
              <w:rPr>
                <w:sz w:val="18"/>
                <w:szCs w:val="18"/>
              </w:rPr>
              <w:t>Consular Report of Birth Abroad (CRBA)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2" w14:textId="77777777" w:rsidR="00C1548D" w:rsidRDefault="009B1B4B">
            <w:pPr>
              <w:spacing w:line="250" w:lineRule="auto"/>
            </w:pPr>
            <w:r>
              <w:rPr>
                <w:sz w:val="18"/>
                <w:szCs w:val="18"/>
              </w:rPr>
              <w:t>Nachweis der US-Staatsbürgerschaft für im Ausland geborene Kinder von US-Bürgern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3" w14:textId="77777777" w:rsidR="00C1548D" w:rsidRDefault="009B1B4B">
            <w:pPr>
              <w:spacing w:line="250" w:lineRule="auto"/>
            </w:pPr>
            <w:r>
              <w:rPr>
                <w:sz w:val="18"/>
                <w:szCs w:val="18"/>
              </w:rPr>
              <w:t>24,41</w:t>
            </w:r>
          </w:p>
        </w:tc>
      </w:tr>
      <w:tr w:rsidR="00C1548D" w14:paraId="70A509F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5" w14:textId="77777777" w:rsidR="00C1548D" w:rsidRDefault="009B1B4B">
            <w:pPr>
              <w:spacing w:line="250" w:lineRule="auto"/>
            </w:pPr>
            <w:r>
              <w:rPr>
                <w:sz w:val="18"/>
                <w:szCs w:val="18"/>
              </w:rPr>
              <w:t>Contingencies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6" w14:textId="77777777" w:rsidR="00C1548D" w:rsidRDefault="009B1B4B">
            <w:pPr>
              <w:spacing w:line="250" w:lineRule="auto"/>
            </w:pPr>
            <w:r>
              <w:rPr>
                <w:sz w:val="18"/>
                <w:szCs w:val="18"/>
              </w:rPr>
              <w:t>Rücktrittsklauseln im Kaufvertrag, etwa für Inspektion, Finanzierung oder Gutachten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7" w14:textId="77777777" w:rsidR="00C1548D" w:rsidRDefault="009B1B4B">
            <w:pPr>
              <w:spacing w:line="250" w:lineRule="auto"/>
            </w:pPr>
            <w:r>
              <w:rPr>
                <w:sz w:val="18"/>
                <w:szCs w:val="18"/>
              </w:rPr>
              <w:t>14</w:t>
            </w:r>
          </w:p>
        </w:tc>
      </w:tr>
      <w:tr w:rsidR="00C1548D" w14:paraId="70A509F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9" w14:textId="77777777" w:rsidR="00C1548D" w:rsidRDefault="009B1B4B">
            <w:pPr>
              <w:spacing w:line="250" w:lineRule="auto"/>
            </w:pPr>
            <w:r>
              <w:rPr>
                <w:sz w:val="18"/>
                <w:szCs w:val="18"/>
              </w:rPr>
              <w:t>Copay</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A" w14:textId="77777777" w:rsidR="00C1548D" w:rsidRDefault="009B1B4B">
            <w:pPr>
              <w:spacing w:line="250" w:lineRule="auto"/>
            </w:pPr>
            <w:r>
              <w:rPr>
                <w:sz w:val="18"/>
                <w:szCs w:val="18"/>
              </w:rPr>
              <w:t>feste Zuzahlung pro Arztbesuch oder Rezept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B" w14:textId="77777777" w:rsidR="00C1548D" w:rsidRDefault="009B1B4B">
            <w:pPr>
              <w:spacing w:line="250" w:lineRule="auto"/>
            </w:pPr>
            <w:r>
              <w:rPr>
                <w:sz w:val="18"/>
                <w:szCs w:val="18"/>
              </w:rPr>
              <w:t>26,33</w:t>
            </w:r>
          </w:p>
        </w:tc>
      </w:tr>
      <w:tr w:rsidR="00C1548D" w14:paraId="70A50A0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D" w14:textId="77777777" w:rsidR="00C1548D" w:rsidRDefault="009B1B4B">
            <w:pPr>
              <w:spacing w:line="250" w:lineRule="auto"/>
            </w:pPr>
            <w:r>
              <w:rPr>
                <w:sz w:val="18"/>
                <w:szCs w:val="18"/>
              </w:rPr>
              <w:t>Corporate Housing</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E" w14:textId="77777777" w:rsidR="00C1548D" w:rsidRDefault="009B1B4B">
            <w:pPr>
              <w:spacing w:line="250" w:lineRule="auto"/>
            </w:pPr>
            <w:r>
              <w:rPr>
                <w:sz w:val="18"/>
                <w:szCs w:val="18"/>
              </w:rPr>
              <w:t>möblierte Monatsmiete oder Langzeithotel, oft für den Übergang nach der Ankunft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9FF" w14:textId="77777777" w:rsidR="00C1548D" w:rsidRDefault="009B1B4B">
            <w:pPr>
              <w:spacing w:line="250" w:lineRule="auto"/>
            </w:pPr>
            <w:r>
              <w:rPr>
                <w:sz w:val="18"/>
                <w:szCs w:val="18"/>
              </w:rPr>
              <w:t>20,22,23</w:t>
            </w:r>
          </w:p>
        </w:tc>
      </w:tr>
      <w:tr w:rsidR="00C1548D" w14:paraId="70A50A0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1" w14:textId="77777777" w:rsidR="00C1548D" w:rsidRDefault="009B1B4B">
            <w:pPr>
              <w:spacing w:line="250" w:lineRule="auto"/>
            </w:pPr>
            <w:r>
              <w:rPr>
                <w:sz w:val="18"/>
                <w:szCs w:val="18"/>
              </w:rPr>
              <w:lastRenderedPageBreak/>
              <w:t>Covered Expatriate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2" w14:textId="77777777" w:rsidR="00C1548D" w:rsidRDefault="009B1B4B">
            <w:pPr>
              <w:spacing w:line="250" w:lineRule="auto"/>
            </w:pPr>
            <w:r>
              <w:rPr>
                <w:sz w:val="18"/>
                <w:szCs w:val="18"/>
              </w:rPr>
              <w:t>Person, die beim Verzicht auf Green Card oder Staatsbürgerschaft besonderen Steuerregeln (Wegzugsteuer) unterliegt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3" w14:textId="77777777" w:rsidR="00C1548D" w:rsidRDefault="009B1B4B">
            <w:pPr>
              <w:spacing w:line="250" w:lineRule="auto"/>
            </w:pPr>
            <w:r>
              <w:rPr>
                <w:sz w:val="18"/>
                <w:szCs w:val="18"/>
              </w:rPr>
              <w:t>41,42</w:t>
            </w:r>
          </w:p>
        </w:tc>
      </w:tr>
      <w:tr w:rsidR="00C1548D" w14:paraId="70A50A0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5" w14:textId="77777777" w:rsidR="00C1548D" w:rsidRDefault="009B1B4B">
            <w:pPr>
              <w:spacing w:line="250" w:lineRule="auto"/>
            </w:pPr>
            <w:r>
              <w:rPr>
                <w:sz w:val="18"/>
                <w:szCs w:val="18"/>
              </w:rPr>
              <w:t>CPA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6" w14:textId="77777777" w:rsidR="00C1548D" w:rsidRDefault="009B1B4B">
            <w:pPr>
              <w:spacing w:line="250" w:lineRule="auto"/>
            </w:pPr>
            <w:r>
              <w:rPr>
                <w:sz w:val="18"/>
                <w:szCs w:val="18"/>
              </w:rPr>
              <w:t>Certified Public Accountant, in den USA zugelassener Steuer- und Finanzexperte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7" w14:textId="77777777" w:rsidR="00C1548D" w:rsidRDefault="009B1B4B">
            <w:pPr>
              <w:spacing w:line="250" w:lineRule="auto"/>
            </w:pPr>
            <w:r>
              <w:rPr>
                <w:sz w:val="18"/>
                <w:szCs w:val="18"/>
              </w:rPr>
              <w:t>14,17,28</w:t>
            </w:r>
          </w:p>
        </w:tc>
      </w:tr>
      <w:tr w:rsidR="00C1548D" w14:paraId="70A50A0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9" w14:textId="77777777" w:rsidR="00C1548D" w:rsidRDefault="009B1B4B">
            <w:pPr>
              <w:spacing w:line="250" w:lineRule="auto"/>
            </w:pPr>
            <w:r>
              <w:rPr>
                <w:sz w:val="18"/>
                <w:szCs w:val="18"/>
              </w:rPr>
              <w:t>Credit Freeze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A" w14:textId="77777777" w:rsidR="00C1548D" w:rsidRDefault="009B1B4B">
            <w:pPr>
              <w:spacing w:line="250" w:lineRule="auto"/>
            </w:pPr>
            <w:r>
              <w:rPr>
                <w:sz w:val="18"/>
                <w:szCs w:val="18"/>
              </w:rPr>
              <w:t>Sperre der Kreditauskunft gegen Identitätsdiebstahl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B" w14:textId="77777777" w:rsidR="00C1548D" w:rsidRDefault="009B1B4B">
            <w:pPr>
              <w:spacing w:line="250" w:lineRule="auto"/>
            </w:pPr>
            <w:r>
              <w:rPr>
                <w:sz w:val="18"/>
                <w:szCs w:val="18"/>
              </w:rPr>
              <w:t>25</w:t>
            </w:r>
          </w:p>
        </w:tc>
      </w:tr>
      <w:tr w:rsidR="00C1548D" w14:paraId="70A50A1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D" w14:textId="77777777" w:rsidR="00C1548D" w:rsidRDefault="009B1B4B">
            <w:pPr>
              <w:spacing w:line="250" w:lineRule="auto"/>
            </w:pPr>
            <w:r>
              <w:rPr>
                <w:sz w:val="18"/>
                <w:szCs w:val="18"/>
              </w:rPr>
              <w:t>Credit Report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E" w14:textId="77777777" w:rsidR="00C1548D" w:rsidRDefault="009B1B4B">
            <w:pPr>
              <w:spacing w:line="250" w:lineRule="auto"/>
            </w:pPr>
            <w:r>
              <w:rPr>
                <w:sz w:val="18"/>
                <w:szCs w:val="18"/>
              </w:rPr>
              <w:t>die US-Schufa-Auskunft, geführt von drei privaten Auskunfteien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0F" w14:textId="77777777" w:rsidR="00C1548D" w:rsidRDefault="009B1B4B">
            <w:pPr>
              <w:spacing w:line="250" w:lineRule="auto"/>
            </w:pPr>
            <w:r>
              <w:rPr>
                <w:sz w:val="18"/>
                <w:szCs w:val="18"/>
              </w:rPr>
              <w:t>24,25</w:t>
            </w:r>
          </w:p>
        </w:tc>
      </w:tr>
      <w:tr w:rsidR="00C1548D" w14:paraId="70A50A1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1" w14:textId="77777777" w:rsidR="00C1548D" w:rsidRDefault="009B1B4B">
            <w:pPr>
              <w:spacing w:line="250" w:lineRule="auto"/>
            </w:pPr>
            <w:r>
              <w:rPr>
                <w:sz w:val="18"/>
                <w:szCs w:val="18"/>
              </w:rPr>
              <w:t>Credit Score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2" w14:textId="77777777" w:rsidR="00C1548D" w:rsidRDefault="009B1B4B">
            <w:pPr>
              <w:spacing w:line="250" w:lineRule="auto"/>
            </w:pPr>
            <w:r>
              <w:rPr>
                <w:sz w:val="18"/>
                <w:szCs w:val="18"/>
              </w:rPr>
              <w:t>US-Bonitätskennzahl, meist der FICO-Score, vergleichbar mit, aber nicht identisch zur Schufa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3" w14:textId="77777777" w:rsidR="00C1548D" w:rsidRDefault="009B1B4B">
            <w:pPr>
              <w:spacing w:line="250" w:lineRule="auto"/>
            </w:pPr>
            <w:r>
              <w:rPr>
                <w:sz w:val="18"/>
                <w:szCs w:val="18"/>
              </w:rPr>
              <w:t>2,13,14,25</w:t>
            </w:r>
          </w:p>
        </w:tc>
      </w:tr>
      <w:tr w:rsidR="00C1548D" w14:paraId="70A50A1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5" w14:textId="77777777" w:rsidR="00C1548D" w:rsidRDefault="009B1B4B">
            <w:pPr>
              <w:spacing w:line="250" w:lineRule="auto"/>
            </w:pPr>
            <w:r>
              <w:rPr>
                <w:sz w:val="18"/>
                <w:szCs w:val="18"/>
              </w:rPr>
              <w:t>Credits (Quarters of Coverage)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6" w14:textId="77777777" w:rsidR="00C1548D" w:rsidRDefault="009B1B4B">
            <w:pPr>
              <w:spacing w:line="250" w:lineRule="auto"/>
            </w:pPr>
            <w:r>
              <w:rPr>
                <w:sz w:val="18"/>
                <w:szCs w:val="18"/>
              </w:rPr>
              <w:t>Beitragszeiteinheiten für die US-Rente, mindestens 40 für den Leistungsanspruch nötig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7" w14:textId="77777777" w:rsidR="00C1548D" w:rsidRDefault="009B1B4B">
            <w:pPr>
              <w:spacing w:line="250" w:lineRule="auto"/>
            </w:pPr>
            <w:r>
              <w:rPr>
                <w:sz w:val="18"/>
                <w:szCs w:val="18"/>
              </w:rPr>
              <w:t>24,39</w:t>
            </w:r>
          </w:p>
        </w:tc>
      </w:tr>
      <w:tr w:rsidR="00C1548D" w14:paraId="70A50A1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9" w14:textId="77777777" w:rsidR="00C1548D" w:rsidRDefault="009B1B4B">
            <w:pPr>
              <w:spacing w:line="250" w:lineRule="auto"/>
            </w:pPr>
            <w:r>
              <w:rPr>
                <w:sz w:val="18"/>
                <w:szCs w:val="18"/>
              </w:rPr>
              <w:t>Current (Visa Bulletin)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A" w14:textId="77777777" w:rsidR="00C1548D" w:rsidRDefault="009B1B4B">
            <w:pPr>
              <w:spacing w:line="250" w:lineRule="auto"/>
            </w:pPr>
            <w:r>
              <w:rPr>
                <w:sz w:val="18"/>
                <w:szCs w:val="18"/>
              </w:rPr>
              <w:t>Status im Visa Bulletin: kein Rückstand, Green Card ohne Wartezeit verfügbar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B" w14:textId="77777777" w:rsidR="00C1548D" w:rsidRDefault="009B1B4B">
            <w:pPr>
              <w:spacing w:line="250" w:lineRule="auto"/>
            </w:pPr>
            <w:r>
              <w:rPr>
                <w:sz w:val="18"/>
                <w:szCs w:val="18"/>
              </w:rPr>
              <w:t>6,7</w:t>
            </w:r>
          </w:p>
        </w:tc>
      </w:tr>
      <w:tr w:rsidR="00C1548D" w14:paraId="70A50A2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D" w14:textId="77777777" w:rsidR="00C1548D" w:rsidRDefault="009B1B4B">
            <w:pPr>
              <w:spacing w:line="250" w:lineRule="auto"/>
            </w:pPr>
            <w:r>
              <w:rPr>
                <w:sz w:val="18"/>
                <w:szCs w:val="18"/>
              </w:rPr>
              <w:t>Curricular Practical Training (CPT)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E" w14:textId="77777777" w:rsidR="00C1548D" w:rsidRDefault="009B1B4B">
            <w:pPr>
              <w:spacing w:line="250" w:lineRule="auto"/>
            </w:pPr>
            <w:r>
              <w:rPr>
                <w:sz w:val="18"/>
                <w:szCs w:val="18"/>
              </w:rPr>
              <w:t>Praktikumserlaubnis für F-1-Studierende während des Studiums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1F" w14:textId="77777777" w:rsidR="00C1548D" w:rsidRDefault="009B1B4B">
            <w:pPr>
              <w:spacing w:line="250" w:lineRule="auto"/>
            </w:pPr>
            <w:r>
              <w:rPr>
                <w:sz w:val="18"/>
                <w:szCs w:val="18"/>
              </w:rPr>
              <w:t>8</w:t>
            </w:r>
          </w:p>
        </w:tc>
      </w:tr>
      <w:tr w:rsidR="00C1548D" w14:paraId="70A50A2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1" w14:textId="77777777" w:rsidR="00C1548D" w:rsidRDefault="009B1B4B">
            <w:pPr>
              <w:spacing w:line="250" w:lineRule="auto"/>
            </w:pPr>
            <w:r>
              <w:rPr>
                <w:sz w:val="18"/>
                <w:szCs w:val="18"/>
              </w:rPr>
              <w:t>CV</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2" w14:textId="77777777" w:rsidR="00C1548D" w:rsidRDefault="009B1B4B">
            <w:pPr>
              <w:spacing w:line="250" w:lineRule="auto"/>
            </w:pPr>
            <w:r>
              <w:rPr>
                <w:sz w:val="18"/>
                <w:szCs w:val="18"/>
              </w:rPr>
              <w:t>Curriculum Vitae – in den USA meist nur in Wissenschaft und Medizin üblich, sonst Resume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3" w14:textId="77777777" w:rsidR="00C1548D" w:rsidRDefault="009B1B4B">
            <w:pPr>
              <w:spacing w:line="250" w:lineRule="auto"/>
            </w:pPr>
            <w:r>
              <w:rPr>
                <w:sz w:val="18"/>
                <w:szCs w:val="18"/>
              </w:rPr>
              <w:t>29</w:t>
            </w:r>
          </w:p>
        </w:tc>
      </w:tr>
      <w:tr w:rsidR="00C1548D" w14:paraId="70A50A2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5" w14:textId="77777777" w:rsidR="00C1548D" w:rsidRDefault="009B1B4B">
            <w:pPr>
              <w:spacing w:line="250" w:lineRule="auto"/>
            </w:pPr>
            <w:r>
              <w:rPr>
                <w:sz w:val="18"/>
                <w:szCs w:val="18"/>
              </w:rPr>
              <w:t>Deductible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6" w14:textId="77777777" w:rsidR="00C1548D" w:rsidRDefault="009B1B4B">
            <w:pPr>
              <w:spacing w:line="250" w:lineRule="auto"/>
            </w:pPr>
            <w:r>
              <w:rPr>
                <w:sz w:val="18"/>
                <w:szCs w:val="18"/>
              </w:rPr>
              <w:t>Selbstbehalt: der Betrag, den du vor der Erstattung durch die Versicherung selbst zahlst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7" w14:textId="77777777" w:rsidR="00C1548D" w:rsidRDefault="009B1B4B">
            <w:pPr>
              <w:spacing w:line="250" w:lineRule="auto"/>
            </w:pPr>
            <w:r>
              <w:rPr>
                <w:sz w:val="18"/>
                <w:szCs w:val="18"/>
              </w:rPr>
              <w:t>1,26,33</w:t>
            </w:r>
          </w:p>
        </w:tc>
      </w:tr>
      <w:tr w:rsidR="00C1548D" w14:paraId="70A50A2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9" w14:textId="77777777" w:rsidR="00C1548D" w:rsidRDefault="009B1B4B">
            <w:pPr>
              <w:spacing w:line="250" w:lineRule="auto"/>
            </w:pPr>
            <w:r>
              <w:rPr>
                <w:sz w:val="18"/>
                <w:szCs w:val="18"/>
              </w:rPr>
              <w:t>Designated School Official (DSO)</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A" w14:textId="77777777" w:rsidR="00C1548D" w:rsidRDefault="009B1B4B">
            <w:pPr>
              <w:spacing w:line="250" w:lineRule="auto"/>
            </w:pPr>
            <w:r>
              <w:rPr>
                <w:sz w:val="18"/>
                <w:szCs w:val="18"/>
              </w:rPr>
              <w:t>autorisierte Ansprechperson der Hochschule für F-1-Studierende und das SEVIS-System</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B" w14:textId="77777777" w:rsidR="00C1548D" w:rsidRDefault="009B1B4B">
            <w:pPr>
              <w:spacing w:line="250" w:lineRule="auto"/>
            </w:pPr>
            <w:r>
              <w:rPr>
                <w:sz w:val="18"/>
                <w:szCs w:val="18"/>
              </w:rPr>
              <w:t>8</w:t>
            </w:r>
          </w:p>
        </w:tc>
      </w:tr>
      <w:tr w:rsidR="00C1548D" w14:paraId="70A50A3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D" w14:textId="77777777" w:rsidR="00C1548D" w:rsidRDefault="009B1B4B">
            <w:pPr>
              <w:spacing w:line="250" w:lineRule="auto"/>
            </w:pPr>
            <w:r>
              <w:rPr>
                <w:sz w:val="18"/>
                <w:szCs w:val="18"/>
              </w:rPr>
              <w:t>Dog Import Form</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E" w14:textId="77777777" w:rsidR="00C1548D" w:rsidRDefault="009B1B4B">
            <w:pPr>
              <w:spacing w:line="250" w:lineRule="auto"/>
            </w:pPr>
            <w:r>
              <w:rPr>
                <w:sz w:val="18"/>
                <w:szCs w:val="18"/>
              </w:rPr>
              <w:t>seit 2024 von der US-Gesundheitsbehörde CDC verlangtes Online-Formular vor der Einreise mit Hund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2F" w14:textId="77777777" w:rsidR="00C1548D" w:rsidRDefault="009B1B4B">
            <w:pPr>
              <w:spacing w:line="250" w:lineRule="auto"/>
            </w:pPr>
            <w:r>
              <w:rPr>
                <w:sz w:val="18"/>
                <w:szCs w:val="18"/>
              </w:rPr>
              <w:t>22</w:t>
            </w:r>
          </w:p>
        </w:tc>
      </w:tr>
      <w:tr w:rsidR="00C1548D" w14:paraId="70A50A3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1" w14:textId="77777777" w:rsidR="00C1548D" w:rsidRDefault="009B1B4B">
            <w:pPr>
              <w:spacing w:line="250" w:lineRule="auto"/>
            </w:pPr>
            <w:r>
              <w:rPr>
                <w:sz w:val="18"/>
                <w:szCs w:val="18"/>
              </w:rPr>
              <w:t>Dress Code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2" w14:textId="77777777" w:rsidR="00C1548D" w:rsidRDefault="009B1B4B">
            <w:pPr>
              <w:spacing w:line="250" w:lineRule="auto"/>
            </w:pPr>
            <w:r>
              <w:rPr>
                <w:sz w:val="18"/>
                <w:szCs w:val="18"/>
              </w:rPr>
              <w:t>Kleiderordnung, für Schulen im Schülerhandbuch festgelegt, für Büros oft nur informell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3" w14:textId="77777777" w:rsidR="00C1548D" w:rsidRDefault="009B1B4B">
            <w:pPr>
              <w:spacing w:line="250" w:lineRule="auto"/>
            </w:pPr>
            <w:r>
              <w:rPr>
                <w:sz w:val="18"/>
                <w:szCs w:val="18"/>
              </w:rPr>
              <w:t>34</w:t>
            </w:r>
          </w:p>
        </w:tc>
      </w:tr>
      <w:tr w:rsidR="00C1548D" w14:paraId="70A50A3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5" w14:textId="77777777" w:rsidR="00C1548D" w:rsidRDefault="009B1B4B">
            <w:pPr>
              <w:spacing w:line="250" w:lineRule="auto"/>
            </w:pPr>
            <w:r>
              <w:rPr>
                <w:sz w:val="18"/>
                <w:szCs w:val="18"/>
              </w:rPr>
              <w:lastRenderedPageBreak/>
              <w:t>Dry Counties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6" w14:textId="77777777" w:rsidR="00C1548D" w:rsidRDefault="009B1B4B">
            <w:pPr>
              <w:spacing w:line="250" w:lineRule="auto"/>
            </w:pPr>
            <w:r>
              <w:rPr>
                <w:sz w:val="18"/>
                <w:szCs w:val="18"/>
              </w:rPr>
              <w:t>Landkreise mit Alkoholverkaufsverbot oder -beschränkung, vor allem im Süden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7" w14:textId="77777777" w:rsidR="00C1548D" w:rsidRDefault="009B1B4B">
            <w:pPr>
              <w:spacing w:line="250" w:lineRule="auto"/>
            </w:pPr>
            <w:r>
              <w:rPr>
                <w:sz w:val="18"/>
                <w:szCs w:val="18"/>
              </w:rPr>
              <w:t>35</w:t>
            </w:r>
          </w:p>
        </w:tc>
      </w:tr>
      <w:tr w:rsidR="00C1548D" w14:paraId="70A50A3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9" w14:textId="77777777" w:rsidR="00C1548D" w:rsidRDefault="009B1B4B">
            <w:pPr>
              <w:spacing w:line="250" w:lineRule="auto"/>
            </w:pPr>
            <w:r>
              <w:rPr>
                <w:sz w:val="18"/>
                <w:szCs w:val="18"/>
              </w:rPr>
              <w:t>Dual Intent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A" w14:textId="77777777" w:rsidR="00C1548D" w:rsidRDefault="009B1B4B">
            <w:pPr>
              <w:spacing w:line="250" w:lineRule="auto"/>
            </w:pPr>
            <w:r>
              <w:rPr>
                <w:sz w:val="18"/>
                <w:szCs w:val="18"/>
              </w:rPr>
              <w:t>gleichzeitig befristeter Aufenthalt und Absicht zur Green Card, bei bestimmten Visa erlaubt, etwa H-1B</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B" w14:textId="77777777" w:rsidR="00C1548D" w:rsidRDefault="009B1B4B">
            <w:pPr>
              <w:spacing w:line="250" w:lineRule="auto"/>
            </w:pPr>
            <w:r>
              <w:rPr>
                <w:sz w:val="18"/>
                <w:szCs w:val="18"/>
              </w:rPr>
              <w:t>4,5,6,8</w:t>
            </w:r>
          </w:p>
        </w:tc>
      </w:tr>
      <w:tr w:rsidR="00C1548D" w14:paraId="70A50A4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D" w14:textId="77777777" w:rsidR="00C1548D" w:rsidRDefault="009B1B4B">
            <w:pPr>
              <w:spacing w:line="250" w:lineRule="auto"/>
            </w:pPr>
            <w:r>
              <w:rPr>
                <w:sz w:val="18"/>
                <w:szCs w:val="18"/>
              </w:rPr>
              <w:t>Dual Language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E" w14:textId="77777777" w:rsidR="00C1548D" w:rsidRDefault="009B1B4B">
            <w:pPr>
              <w:spacing w:line="250" w:lineRule="auto"/>
            </w:pPr>
            <w:r>
              <w:rPr>
                <w:sz w:val="18"/>
                <w:szCs w:val="18"/>
              </w:rPr>
              <w:t>zweisprachiges Schulprogramm für Kinder beider Sprachgruppen (auch Two-Way Immersion)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3F" w14:textId="77777777" w:rsidR="00C1548D" w:rsidRDefault="009B1B4B">
            <w:pPr>
              <w:spacing w:line="250" w:lineRule="auto"/>
            </w:pPr>
            <w:r>
              <w:rPr>
                <w:sz w:val="18"/>
                <w:szCs w:val="18"/>
              </w:rPr>
              <w:t>37</w:t>
            </w:r>
          </w:p>
        </w:tc>
      </w:tr>
      <w:tr w:rsidR="00C1548D" w14:paraId="70A50A4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1" w14:textId="77777777" w:rsidR="00C1548D" w:rsidRDefault="009B1B4B">
            <w:pPr>
              <w:spacing w:line="250" w:lineRule="auto"/>
            </w:pPr>
            <w:r>
              <w:rPr>
                <w:sz w:val="18"/>
                <w:szCs w:val="18"/>
              </w:rPr>
              <w:t>DUI</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2" w14:textId="77777777" w:rsidR="00C1548D" w:rsidRDefault="009B1B4B">
            <w:pPr>
              <w:spacing w:line="250" w:lineRule="auto"/>
            </w:pPr>
            <w:r>
              <w:rPr>
                <w:sz w:val="18"/>
                <w:szCs w:val="18"/>
              </w:rPr>
              <w:t>Driving Under the Influence, Fahren unter Alkohol- oder Drogeneinfluss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3" w14:textId="77777777" w:rsidR="00C1548D" w:rsidRDefault="009B1B4B">
            <w:pPr>
              <w:spacing w:line="250" w:lineRule="auto"/>
            </w:pPr>
            <w:r>
              <w:rPr>
                <w:sz w:val="18"/>
                <w:szCs w:val="18"/>
              </w:rPr>
              <w:t>27,40</w:t>
            </w:r>
          </w:p>
        </w:tc>
      </w:tr>
      <w:tr w:rsidR="00C1548D" w14:paraId="70A50A4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5" w14:textId="77777777" w:rsidR="00C1548D" w:rsidRDefault="009B1B4B">
            <w:pPr>
              <w:spacing w:line="250" w:lineRule="auto"/>
            </w:pPr>
            <w:r>
              <w:rPr>
                <w:sz w:val="18"/>
                <w:szCs w:val="18"/>
              </w:rPr>
              <w:t>Durable Power of Attorney</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6" w14:textId="77777777" w:rsidR="00C1548D" w:rsidRDefault="009B1B4B">
            <w:pPr>
              <w:spacing w:line="250" w:lineRule="auto"/>
            </w:pPr>
            <w:r>
              <w:rPr>
                <w:sz w:val="18"/>
                <w:szCs w:val="18"/>
              </w:rPr>
              <w:t>Vollmacht, die auch bei Geschäftsunfähigkeit gültig bleibt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7" w14:textId="77777777" w:rsidR="00C1548D" w:rsidRDefault="009B1B4B">
            <w:pPr>
              <w:spacing w:line="250" w:lineRule="auto"/>
            </w:pPr>
            <w:r>
              <w:rPr>
                <w:sz w:val="18"/>
                <w:szCs w:val="18"/>
              </w:rPr>
              <w:t>16</w:t>
            </w:r>
          </w:p>
        </w:tc>
      </w:tr>
      <w:tr w:rsidR="00C1548D" w14:paraId="70A50A4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9" w14:textId="77777777" w:rsidR="00C1548D" w:rsidRDefault="009B1B4B">
            <w:pPr>
              <w:spacing w:line="250" w:lineRule="auto"/>
            </w:pPr>
            <w:r>
              <w:rPr>
                <w:sz w:val="18"/>
                <w:szCs w:val="18"/>
              </w:rPr>
              <w:t>Earnest Money</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A" w14:textId="77777777" w:rsidR="00C1548D" w:rsidRDefault="009B1B4B">
            <w:pPr>
              <w:spacing w:line="250" w:lineRule="auto"/>
            </w:pPr>
            <w:r>
              <w:rPr>
                <w:sz w:val="18"/>
                <w:szCs w:val="18"/>
              </w:rPr>
              <w:t>Anzahlung als Ernstzeichen beim Hauskauf, meist 1–3 % des Preises, im Escrow verwahrt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B" w14:textId="77777777" w:rsidR="00C1548D" w:rsidRDefault="009B1B4B">
            <w:pPr>
              <w:spacing w:line="250" w:lineRule="auto"/>
            </w:pPr>
            <w:r>
              <w:rPr>
                <w:sz w:val="18"/>
                <w:szCs w:val="18"/>
              </w:rPr>
              <w:t>14</w:t>
            </w:r>
          </w:p>
        </w:tc>
      </w:tr>
      <w:tr w:rsidR="00C1548D" w14:paraId="70A50A5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D" w14:textId="77777777" w:rsidR="00C1548D" w:rsidRDefault="009B1B4B">
            <w:pPr>
              <w:spacing w:line="250" w:lineRule="auto"/>
            </w:pPr>
            <w:r>
              <w:rPr>
                <w:sz w:val="18"/>
                <w:szCs w:val="18"/>
              </w:rPr>
              <w:t>Elementary School</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E" w14:textId="77777777" w:rsidR="00C1548D" w:rsidRDefault="009B1B4B">
            <w:pPr>
              <w:spacing w:line="250" w:lineRule="auto"/>
            </w:pPr>
            <w:r>
              <w:rPr>
                <w:sz w:val="18"/>
                <w:szCs w:val="18"/>
              </w:rPr>
              <w:t>Grundschule, Grade 1 bis 5</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4F" w14:textId="77777777" w:rsidR="00C1548D" w:rsidRDefault="009B1B4B">
            <w:pPr>
              <w:spacing w:line="250" w:lineRule="auto"/>
            </w:pPr>
            <w:r>
              <w:rPr>
                <w:sz w:val="18"/>
                <w:szCs w:val="18"/>
              </w:rPr>
              <w:t>36</w:t>
            </w:r>
          </w:p>
        </w:tc>
      </w:tr>
      <w:tr w:rsidR="00C1548D" w14:paraId="70A50A5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1" w14:textId="77777777" w:rsidR="00C1548D" w:rsidRDefault="009B1B4B">
            <w:pPr>
              <w:spacing w:line="250" w:lineRule="auto"/>
            </w:pPr>
            <w:r>
              <w:rPr>
                <w:sz w:val="18"/>
                <w:szCs w:val="18"/>
              </w:rPr>
              <w:t>ELL</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2" w14:textId="77777777" w:rsidR="00C1548D" w:rsidRDefault="009B1B4B">
            <w:pPr>
              <w:spacing w:line="250" w:lineRule="auto"/>
            </w:pPr>
            <w:r>
              <w:rPr>
                <w:sz w:val="18"/>
                <w:szCs w:val="18"/>
              </w:rPr>
              <w:t>English Language Learner, offizielle Bezeichnung für Schüler mit Englisch als Zweitsprache (auch ESL)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3" w14:textId="77777777" w:rsidR="00C1548D" w:rsidRDefault="009B1B4B">
            <w:pPr>
              <w:spacing w:line="250" w:lineRule="auto"/>
            </w:pPr>
            <w:r>
              <w:rPr>
                <w:sz w:val="18"/>
                <w:szCs w:val="18"/>
              </w:rPr>
              <w:t>37</w:t>
            </w:r>
          </w:p>
        </w:tc>
      </w:tr>
      <w:tr w:rsidR="00C1548D" w14:paraId="70A50A5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5" w14:textId="77777777" w:rsidR="00C1548D" w:rsidRDefault="009B1B4B">
            <w:pPr>
              <w:spacing w:line="250" w:lineRule="auto"/>
            </w:pPr>
            <w:r>
              <w:rPr>
                <w:sz w:val="18"/>
                <w:szCs w:val="18"/>
              </w:rPr>
              <w:t>Emergency Room (ER)</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6" w14:textId="77777777" w:rsidR="00C1548D" w:rsidRDefault="009B1B4B">
            <w:pPr>
              <w:spacing w:line="250" w:lineRule="auto"/>
            </w:pPr>
            <w:r>
              <w:rPr>
                <w:sz w:val="18"/>
                <w:szCs w:val="18"/>
              </w:rPr>
              <w:t>Notaufnahme im Krankenhaus, teuerste Anlaufstelle bei Beschwerden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7" w14:textId="77777777" w:rsidR="00C1548D" w:rsidRDefault="009B1B4B">
            <w:pPr>
              <w:spacing w:line="250" w:lineRule="auto"/>
            </w:pPr>
            <w:r>
              <w:rPr>
                <w:sz w:val="18"/>
                <w:szCs w:val="18"/>
              </w:rPr>
              <w:t>26</w:t>
            </w:r>
          </w:p>
        </w:tc>
      </w:tr>
      <w:tr w:rsidR="00C1548D" w14:paraId="70A50A5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9" w14:textId="77777777" w:rsidR="00C1548D" w:rsidRDefault="009B1B4B">
            <w:pPr>
              <w:spacing w:line="250" w:lineRule="auto"/>
            </w:pPr>
            <w:r>
              <w:rPr>
                <w:sz w:val="18"/>
                <w:szCs w:val="18"/>
              </w:rPr>
              <w:t>Employee Assistance Program (EAP)</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A" w14:textId="77777777" w:rsidR="00C1548D" w:rsidRDefault="009B1B4B">
            <w:pPr>
              <w:spacing w:line="250" w:lineRule="auto"/>
            </w:pPr>
            <w:r>
              <w:rPr>
                <w:sz w:val="18"/>
                <w:szCs w:val="18"/>
              </w:rPr>
              <w:t>kostenlose, vertrauliche Beratung, auch psychologisch, über den Arbeitgeber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B" w14:textId="77777777" w:rsidR="00C1548D" w:rsidRDefault="009B1B4B">
            <w:pPr>
              <w:spacing w:line="250" w:lineRule="auto"/>
            </w:pPr>
            <w:r>
              <w:rPr>
                <w:sz w:val="18"/>
                <w:szCs w:val="18"/>
              </w:rPr>
              <w:t>26,33</w:t>
            </w:r>
          </w:p>
        </w:tc>
      </w:tr>
      <w:tr w:rsidR="00C1548D" w14:paraId="70A50A6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D" w14:textId="77777777" w:rsidR="00C1548D" w:rsidRDefault="009B1B4B">
            <w:pPr>
              <w:spacing w:line="250" w:lineRule="auto"/>
            </w:pPr>
            <w:r>
              <w:rPr>
                <w:sz w:val="18"/>
                <w:szCs w:val="18"/>
              </w:rPr>
              <w:t>Enrolled Agent (EA)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E" w14:textId="77777777" w:rsidR="00C1548D" w:rsidRDefault="009B1B4B">
            <w:pPr>
              <w:spacing w:line="250" w:lineRule="auto"/>
            </w:pPr>
            <w:r>
              <w:rPr>
                <w:sz w:val="18"/>
                <w:szCs w:val="18"/>
              </w:rPr>
              <w:t>von der US-Steuerbehörde IRS zugelassener Steuerfachmann, darf bundesweit vor dem IRS vertreten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5F" w14:textId="77777777" w:rsidR="00C1548D" w:rsidRDefault="009B1B4B">
            <w:pPr>
              <w:spacing w:line="250" w:lineRule="auto"/>
            </w:pPr>
            <w:r>
              <w:rPr>
                <w:sz w:val="18"/>
                <w:szCs w:val="18"/>
              </w:rPr>
              <w:t>17,28</w:t>
            </w:r>
          </w:p>
        </w:tc>
      </w:tr>
      <w:tr w:rsidR="00C1548D" w14:paraId="70A50A6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1" w14:textId="77777777" w:rsidR="00C1548D" w:rsidRDefault="009B1B4B">
            <w:pPr>
              <w:spacing w:line="250" w:lineRule="auto"/>
            </w:pPr>
            <w:r>
              <w:rPr>
                <w:sz w:val="18"/>
                <w:szCs w:val="18"/>
              </w:rPr>
              <w:t>EOB</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2" w14:textId="77777777" w:rsidR="00C1548D" w:rsidRDefault="009B1B4B">
            <w:pPr>
              <w:spacing w:line="250" w:lineRule="auto"/>
            </w:pPr>
            <w:r>
              <w:rPr>
                <w:sz w:val="18"/>
                <w:szCs w:val="18"/>
              </w:rPr>
              <w:t>Explanation of Benefits, Abrechnungsübersicht der Krankenversicherung, keine Rechnung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3" w14:textId="77777777" w:rsidR="00C1548D" w:rsidRDefault="009B1B4B">
            <w:pPr>
              <w:spacing w:line="250" w:lineRule="auto"/>
            </w:pPr>
            <w:r>
              <w:rPr>
                <w:sz w:val="18"/>
                <w:szCs w:val="18"/>
              </w:rPr>
              <w:t>26</w:t>
            </w:r>
          </w:p>
        </w:tc>
      </w:tr>
      <w:tr w:rsidR="00C1548D" w14:paraId="70A50A6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5" w14:textId="77777777" w:rsidR="00C1548D" w:rsidRDefault="009B1B4B">
            <w:pPr>
              <w:spacing w:line="250" w:lineRule="auto"/>
            </w:pPr>
            <w:r>
              <w:rPr>
                <w:sz w:val="18"/>
                <w:szCs w:val="18"/>
              </w:rPr>
              <w:t>Equal Educational Opportunities Act (EEOA)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6" w14:textId="77777777" w:rsidR="00C1548D" w:rsidRDefault="009B1B4B">
            <w:pPr>
              <w:spacing w:line="250" w:lineRule="auto"/>
            </w:pPr>
            <w:r>
              <w:rPr>
                <w:sz w:val="18"/>
                <w:szCs w:val="18"/>
              </w:rPr>
              <w:t>Bundesgesetz von 1974, verpflichtet Schulen zur Sprachförderung für Englischlerner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7" w14:textId="77777777" w:rsidR="00C1548D" w:rsidRDefault="009B1B4B">
            <w:pPr>
              <w:spacing w:line="250" w:lineRule="auto"/>
            </w:pPr>
            <w:r>
              <w:rPr>
                <w:sz w:val="18"/>
                <w:szCs w:val="18"/>
              </w:rPr>
              <w:t>37</w:t>
            </w:r>
          </w:p>
        </w:tc>
      </w:tr>
      <w:tr w:rsidR="00C1548D" w14:paraId="70A50A6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9" w14:textId="77777777" w:rsidR="00C1548D" w:rsidRDefault="009B1B4B">
            <w:pPr>
              <w:spacing w:line="250" w:lineRule="auto"/>
            </w:pPr>
            <w:r>
              <w:rPr>
                <w:sz w:val="18"/>
                <w:szCs w:val="18"/>
              </w:rPr>
              <w:t>Escrow (Account)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A" w14:textId="77777777" w:rsidR="00C1548D" w:rsidRDefault="009B1B4B">
            <w:pPr>
              <w:spacing w:line="250" w:lineRule="auto"/>
            </w:pPr>
            <w:r>
              <w:rPr>
                <w:sz w:val="18"/>
                <w:szCs w:val="18"/>
              </w:rPr>
              <w:t>Treuhandkonto, etwa beim Hauskauf oder für Grundsteuer und Versicherung in der Hypothekenrate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B" w14:textId="77777777" w:rsidR="00C1548D" w:rsidRDefault="009B1B4B">
            <w:pPr>
              <w:spacing w:line="250" w:lineRule="auto"/>
            </w:pPr>
            <w:r>
              <w:rPr>
                <w:sz w:val="18"/>
                <w:szCs w:val="18"/>
              </w:rPr>
              <w:t>14</w:t>
            </w:r>
          </w:p>
        </w:tc>
      </w:tr>
      <w:tr w:rsidR="00C1548D" w14:paraId="70A50A7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D" w14:textId="77777777" w:rsidR="00C1548D" w:rsidRDefault="009B1B4B">
            <w:pPr>
              <w:spacing w:line="250" w:lineRule="auto"/>
            </w:pPr>
            <w:r>
              <w:rPr>
                <w:sz w:val="18"/>
                <w:szCs w:val="18"/>
              </w:rPr>
              <w:lastRenderedPageBreak/>
              <w:t>ESPP</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E" w14:textId="77777777" w:rsidR="00C1548D" w:rsidRDefault="009B1B4B">
            <w:pPr>
              <w:spacing w:line="250" w:lineRule="auto"/>
            </w:pPr>
            <w:r>
              <w:rPr>
                <w:sz w:val="18"/>
                <w:szCs w:val="18"/>
              </w:rPr>
              <w:t>Employee Stock Purchase Plan, vergünstigter Aktienkauf über den Arbeitgeber, oft mit Rabatt bis 15 %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6F" w14:textId="77777777" w:rsidR="00C1548D" w:rsidRDefault="009B1B4B">
            <w:pPr>
              <w:spacing w:line="250" w:lineRule="auto"/>
            </w:pPr>
            <w:r>
              <w:rPr>
                <w:sz w:val="18"/>
                <w:szCs w:val="18"/>
              </w:rPr>
              <w:t>29</w:t>
            </w:r>
          </w:p>
        </w:tc>
      </w:tr>
      <w:tr w:rsidR="00C1548D" w14:paraId="70A50A7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1" w14:textId="77777777" w:rsidR="00C1548D" w:rsidRDefault="009B1B4B">
            <w:pPr>
              <w:spacing w:line="250" w:lineRule="auto"/>
            </w:pPr>
            <w:r>
              <w:rPr>
                <w:sz w:val="18"/>
                <w:szCs w:val="18"/>
              </w:rPr>
              <w:t>Exchange Visitor</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2" w14:textId="77777777" w:rsidR="00C1548D" w:rsidRDefault="009B1B4B">
            <w:pPr>
              <w:spacing w:line="250" w:lineRule="auto"/>
            </w:pPr>
            <w:r>
              <w:rPr>
                <w:sz w:val="18"/>
                <w:szCs w:val="18"/>
              </w:rPr>
              <w:t>Austauschbesucher, Grundlage des J-1-Visums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3" w14:textId="77777777" w:rsidR="00C1548D" w:rsidRDefault="009B1B4B">
            <w:pPr>
              <w:spacing w:line="250" w:lineRule="auto"/>
            </w:pPr>
            <w:r>
              <w:rPr>
                <w:sz w:val="18"/>
                <w:szCs w:val="18"/>
              </w:rPr>
              <w:t>9</w:t>
            </w:r>
          </w:p>
        </w:tc>
      </w:tr>
      <w:tr w:rsidR="00C1548D" w14:paraId="70A50A7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5" w14:textId="77777777" w:rsidR="00C1548D" w:rsidRDefault="009B1B4B">
            <w:pPr>
              <w:spacing w:line="250" w:lineRule="auto"/>
            </w:pPr>
            <w:r>
              <w:rPr>
                <w:sz w:val="18"/>
                <w:szCs w:val="18"/>
              </w:rPr>
              <w:t>Fair Housing Act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6" w14:textId="77777777" w:rsidR="00C1548D" w:rsidRDefault="009B1B4B">
            <w:pPr>
              <w:spacing w:line="250" w:lineRule="auto"/>
            </w:pPr>
            <w:r>
              <w:rPr>
                <w:sz w:val="18"/>
                <w:szCs w:val="18"/>
              </w:rPr>
              <w:t>Bundesgesetz gegen Diskriminierung bei Vermietung und Verkauf von Wohnraum</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7" w14:textId="77777777" w:rsidR="00C1548D" w:rsidRDefault="009B1B4B">
            <w:pPr>
              <w:spacing w:line="250" w:lineRule="auto"/>
            </w:pPr>
            <w:r>
              <w:rPr>
                <w:sz w:val="18"/>
                <w:szCs w:val="18"/>
              </w:rPr>
              <w:t>22</w:t>
            </w:r>
          </w:p>
        </w:tc>
      </w:tr>
      <w:tr w:rsidR="00C1548D" w14:paraId="70A50A7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9" w14:textId="77777777" w:rsidR="00C1548D" w:rsidRDefault="009B1B4B">
            <w:pPr>
              <w:spacing w:line="250" w:lineRule="auto"/>
            </w:pPr>
            <w:r>
              <w:rPr>
                <w:sz w:val="18"/>
                <w:szCs w:val="18"/>
              </w:rPr>
              <w:t>Fair Labor Standards Act (FLSA)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A" w14:textId="77777777" w:rsidR="00C1548D" w:rsidRDefault="009B1B4B">
            <w:pPr>
              <w:spacing w:line="250" w:lineRule="auto"/>
            </w:pPr>
            <w:r>
              <w:rPr>
                <w:sz w:val="18"/>
                <w:szCs w:val="18"/>
              </w:rPr>
              <w:t>Bundesgesetz zu Mindestlohn, Überstunden und Kinderarbeit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B" w14:textId="77777777" w:rsidR="00C1548D" w:rsidRDefault="009B1B4B">
            <w:pPr>
              <w:spacing w:line="250" w:lineRule="auto"/>
            </w:pPr>
            <w:r>
              <w:rPr>
                <w:sz w:val="18"/>
                <w:szCs w:val="18"/>
              </w:rPr>
              <w:t>29</w:t>
            </w:r>
          </w:p>
        </w:tc>
      </w:tr>
      <w:tr w:rsidR="00C1548D" w14:paraId="70A50A8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D" w14:textId="77777777" w:rsidR="00C1548D" w:rsidRDefault="009B1B4B">
            <w:pPr>
              <w:spacing w:line="250" w:lineRule="auto"/>
            </w:pPr>
            <w:r>
              <w:rPr>
                <w:sz w:val="18"/>
                <w:szCs w:val="18"/>
              </w:rPr>
              <w:t>Federal Poverty Guidelines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E" w14:textId="77777777" w:rsidR="00C1548D" w:rsidRDefault="009B1B4B">
            <w:pPr>
              <w:spacing w:line="250" w:lineRule="auto"/>
            </w:pPr>
            <w:r>
              <w:rPr>
                <w:sz w:val="18"/>
                <w:szCs w:val="18"/>
              </w:rPr>
              <w:t>jährlich festgelegte US-Armutsgrenzen, unter anderem Grundlage für den Affidavit of Support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7F" w14:textId="77777777" w:rsidR="00C1548D" w:rsidRDefault="009B1B4B">
            <w:pPr>
              <w:spacing w:line="250" w:lineRule="auto"/>
            </w:pPr>
            <w:r>
              <w:rPr>
                <w:sz w:val="18"/>
                <w:szCs w:val="18"/>
              </w:rPr>
              <w:t>41</w:t>
            </w:r>
          </w:p>
        </w:tc>
      </w:tr>
      <w:tr w:rsidR="00C1548D" w14:paraId="70A50A8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1" w14:textId="77777777" w:rsidR="00C1548D" w:rsidRDefault="009B1B4B">
            <w:pPr>
              <w:spacing w:line="250" w:lineRule="auto"/>
            </w:pPr>
            <w:r>
              <w:rPr>
                <w:sz w:val="18"/>
                <w:szCs w:val="18"/>
              </w:rPr>
              <w:t>Felony / Misdemeanor / Infraction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2" w14:textId="77777777" w:rsidR="00C1548D" w:rsidRDefault="009B1B4B">
            <w:pPr>
              <w:spacing w:line="250" w:lineRule="auto"/>
            </w:pPr>
            <w:r>
              <w:rPr>
                <w:sz w:val="18"/>
                <w:szCs w:val="18"/>
              </w:rPr>
              <w:t>aufsteigende Schwere von Verstößen: Verbrechen (über 1 Jahr Haft), Vergehen (bis 1 Jahr Haft), kleinster Verstoß wie ein Strafzettel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3" w14:textId="77777777" w:rsidR="00C1548D" w:rsidRDefault="009B1B4B">
            <w:pPr>
              <w:spacing w:line="250" w:lineRule="auto"/>
            </w:pPr>
            <w:r>
              <w:rPr>
                <w:sz w:val="18"/>
                <w:szCs w:val="18"/>
              </w:rPr>
              <w:t>40</w:t>
            </w:r>
          </w:p>
        </w:tc>
      </w:tr>
      <w:tr w:rsidR="00C1548D" w14:paraId="70A50A8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5" w14:textId="77777777" w:rsidR="00C1548D" w:rsidRDefault="009B1B4B">
            <w:pPr>
              <w:spacing w:line="250" w:lineRule="auto"/>
            </w:pPr>
            <w:r>
              <w:rPr>
                <w:sz w:val="18"/>
                <w:szCs w:val="18"/>
              </w:rPr>
              <w:t>Financial Assistance (Charity Care)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6" w14:textId="77777777" w:rsidR="00C1548D" w:rsidRDefault="009B1B4B">
            <w:pPr>
              <w:spacing w:line="250" w:lineRule="auto"/>
            </w:pPr>
            <w:r>
              <w:rPr>
                <w:sz w:val="18"/>
                <w:szCs w:val="18"/>
              </w:rPr>
              <w:t>einkommensabhängiger Erlass von Krankenhausrechnungen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7" w14:textId="77777777" w:rsidR="00C1548D" w:rsidRDefault="009B1B4B">
            <w:pPr>
              <w:spacing w:line="250" w:lineRule="auto"/>
            </w:pPr>
            <w:r>
              <w:rPr>
                <w:sz w:val="18"/>
                <w:szCs w:val="18"/>
              </w:rPr>
              <w:t>26,38</w:t>
            </w:r>
          </w:p>
        </w:tc>
      </w:tr>
      <w:tr w:rsidR="00C1548D" w14:paraId="70A50A8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9" w14:textId="77777777" w:rsidR="00C1548D" w:rsidRDefault="009B1B4B">
            <w:pPr>
              <w:spacing w:line="250" w:lineRule="auto"/>
            </w:pPr>
            <w:r>
              <w:rPr>
                <w:sz w:val="18"/>
                <w:szCs w:val="18"/>
              </w:rPr>
              <w:t>Fiscal Year (FY)</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A" w14:textId="77777777" w:rsidR="00C1548D" w:rsidRDefault="009B1B4B">
            <w:pPr>
              <w:spacing w:line="250" w:lineRule="auto"/>
            </w:pPr>
            <w:r>
              <w:rPr>
                <w:sz w:val="18"/>
                <w:szCs w:val="18"/>
              </w:rPr>
              <w:t>US-Haushaltsjahr, für Einwanderung oft 1. Oktober bis 30. September, etwa beim H-1B-Kontingent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B" w14:textId="77777777" w:rsidR="00C1548D" w:rsidRDefault="009B1B4B">
            <w:pPr>
              <w:spacing w:line="250" w:lineRule="auto"/>
            </w:pPr>
            <w:r>
              <w:rPr>
                <w:sz w:val="18"/>
                <w:szCs w:val="18"/>
              </w:rPr>
              <w:t>5</w:t>
            </w:r>
          </w:p>
        </w:tc>
      </w:tr>
      <w:tr w:rsidR="00C1548D" w14:paraId="70A50A9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D" w14:textId="77777777" w:rsidR="00C1548D" w:rsidRDefault="009B1B4B">
            <w:pPr>
              <w:spacing w:line="250" w:lineRule="auto"/>
            </w:pPr>
            <w:r>
              <w:rPr>
                <w:sz w:val="18"/>
                <w:szCs w:val="18"/>
              </w:rPr>
              <w:t>Foreign Tax Credit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E" w14:textId="77777777" w:rsidR="00C1548D" w:rsidRDefault="009B1B4B">
            <w:pPr>
              <w:spacing w:line="250" w:lineRule="auto"/>
            </w:pPr>
            <w:r>
              <w:rPr>
                <w:sz w:val="18"/>
                <w:szCs w:val="18"/>
              </w:rPr>
              <w:t>Anrechnung im Ausland gezahlter Steuern auf die US-Steuerschuld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8F" w14:textId="77777777" w:rsidR="00C1548D" w:rsidRDefault="009B1B4B">
            <w:pPr>
              <w:spacing w:line="250" w:lineRule="auto"/>
            </w:pPr>
            <w:r>
              <w:rPr>
                <w:sz w:val="18"/>
                <w:szCs w:val="18"/>
              </w:rPr>
              <w:t>28</w:t>
            </w:r>
          </w:p>
        </w:tc>
      </w:tr>
      <w:tr w:rsidR="00C1548D" w14:paraId="70A50A9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1" w14:textId="77777777" w:rsidR="00C1548D" w:rsidRDefault="009B1B4B">
            <w:pPr>
              <w:spacing w:line="250" w:lineRule="auto"/>
            </w:pPr>
            <w:r>
              <w:rPr>
                <w:sz w:val="18"/>
                <w:szCs w:val="18"/>
              </w:rPr>
              <w:t>Fraud Alert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2" w14:textId="77777777" w:rsidR="00C1548D" w:rsidRDefault="009B1B4B">
            <w:pPr>
              <w:spacing w:line="250" w:lineRule="auto"/>
            </w:pPr>
            <w:r>
              <w:rPr>
                <w:sz w:val="18"/>
                <w:szCs w:val="18"/>
              </w:rPr>
              <w:t>Vermerk bei einer US-Kreditauskunft, der zusätzliche Identitätsprüfung bei neuen Krediten verlangt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3" w14:textId="77777777" w:rsidR="00C1548D" w:rsidRDefault="009B1B4B">
            <w:pPr>
              <w:spacing w:line="250" w:lineRule="auto"/>
            </w:pPr>
            <w:r>
              <w:rPr>
                <w:sz w:val="18"/>
                <w:szCs w:val="18"/>
              </w:rPr>
              <w:t>25</w:t>
            </w:r>
          </w:p>
        </w:tc>
      </w:tr>
      <w:tr w:rsidR="00C1548D" w14:paraId="70A50A9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5" w14:textId="77777777" w:rsidR="00C1548D" w:rsidRDefault="009B1B4B">
            <w:pPr>
              <w:spacing w:line="250" w:lineRule="auto"/>
            </w:pPr>
            <w:r>
              <w:rPr>
                <w:sz w:val="18"/>
                <w:szCs w:val="18"/>
              </w:rPr>
              <w:t>Freddie Mac / Fannie Mae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6" w14:textId="77777777" w:rsidR="00C1548D" w:rsidRDefault="009B1B4B">
            <w:pPr>
              <w:spacing w:line="250" w:lineRule="auto"/>
            </w:pPr>
            <w:r>
              <w:rPr>
                <w:sz w:val="18"/>
                <w:szCs w:val="18"/>
              </w:rPr>
              <w:t>staatlich unterstützte Unternehmen, die Hypotheken von Banken aufkaufen (Conforming Loans)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7" w14:textId="77777777" w:rsidR="00C1548D" w:rsidRDefault="009B1B4B">
            <w:pPr>
              <w:spacing w:line="250" w:lineRule="auto"/>
            </w:pPr>
            <w:r>
              <w:rPr>
                <w:sz w:val="18"/>
                <w:szCs w:val="18"/>
              </w:rPr>
              <w:t>14</w:t>
            </w:r>
          </w:p>
        </w:tc>
      </w:tr>
      <w:tr w:rsidR="00C1548D" w14:paraId="70A50A9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9" w14:textId="77777777" w:rsidR="00C1548D" w:rsidRDefault="009B1B4B">
            <w:pPr>
              <w:spacing w:line="250" w:lineRule="auto"/>
            </w:pPr>
            <w:r>
              <w:rPr>
                <w:sz w:val="18"/>
                <w:szCs w:val="18"/>
              </w:rPr>
              <w:t>Freshman / Sophomore / Junior / Senior</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A" w14:textId="77777777" w:rsidR="00C1548D" w:rsidRDefault="009B1B4B">
            <w:pPr>
              <w:spacing w:line="250" w:lineRule="auto"/>
            </w:pPr>
            <w:r>
              <w:rPr>
                <w:sz w:val="18"/>
                <w:szCs w:val="18"/>
              </w:rPr>
              <w:t>die vier Jahrgangsstufen der High School beziehungsweise des College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B" w14:textId="77777777" w:rsidR="00C1548D" w:rsidRDefault="009B1B4B">
            <w:pPr>
              <w:spacing w:line="250" w:lineRule="auto"/>
            </w:pPr>
            <w:r>
              <w:rPr>
                <w:sz w:val="18"/>
                <w:szCs w:val="18"/>
              </w:rPr>
              <w:t>36</w:t>
            </w:r>
          </w:p>
        </w:tc>
      </w:tr>
      <w:tr w:rsidR="00C1548D" w14:paraId="70A50AA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D" w14:textId="77777777" w:rsidR="00C1548D" w:rsidRDefault="009B1B4B">
            <w:pPr>
              <w:spacing w:line="250" w:lineRule="auto"/>
            </w:pPr>
            <w:r>
              <w:rPr>
                <w:sz w:val="18"/>
                <w:szCs w:val="18"/>
              </w:rPr>
              <w:t>Full Container Load (FCL)</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E" w14:textId="77777777" w:rsidR="00C1548D" w:rsidRDefault="009B1B4B">
            <w:pPr>
              <w:spacing w:line="250" w:lineRule="auto"/>
            </w:pPr>
            <w:r>
              <w:rPr>
                <w:sz w:val="18"/>
                <w:szCs w:val="18"/>
              </w:rPr>
              <w:t>ganzer Container nur für den eigenen Umzug, schneller und teurer als LCL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9F" w14:textId="77777777" w:rsidR="00C1548D" w:rsidRDefault="009B1B4B">
            <w:pPr>
              <w:spacing w:line="250" w:lineRule="auto"/>
            </w:pPr>
            <w:r>
              <w:rPr>
                <w:sz w:val="18"/>
                <w:szCs w:val="18"/>
              </w:rPr>
              <w:t>20</w:t>
            </w:r>
          </w:p>
        </w:tc>
      </w:tr>
      <w:tr w:rsidR="00C1548D" w14:paraId="70A50AA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1" w14:textId="77777777" w:rsidR="00C1548D" w:rsidRDefault="009B1B4B">
            <w:pPr>
              <w:spacing w:line="250" w:lineRule="auto"/>
            </w:pPr>
            <w:r>
              <w:rPr>
                <w:sz w:val="18"/>
                <w:szCs w:val="18"/>
              </w:rPr>
              <w:t>GPA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2" w14:textId="77777777" w:rsidR="00C1548D" w:rsidRDefault="009B1B4B">
            <w:pPr>
              <w:spacing w:line="250" w:lineRule="auto"/>
            </w:pPr>
            <w:r>
              <w:rPr>
                <w:sz w:val="18"/>
                <w:szCs w:val="18"/>
              </w:rPr>
              <w:t>Grade Point Average, Notendurchschnitt auf einer Skala bis 4,0</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3" w14:textId="77777777" w:rsidR="00C1548D" w:rsidRDefault="009B1B4B">
            <w:pPr>
              <w:spacing w:line="250" w:lineRule="auto"/>
            </w:pPr>
            <w:r>
              <w:rPr>
                <w:sz w:val="18"/>
                <w:szCs w:val="18"/>
              </w:rPr>
              <w:t>36</w:t>
            </w:r>
          </w:p>
        </w:tc>
      </w:tr>
      <w:tr w:rsidR="00C1548D" w14:paraId="70A50AA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5" w14:textId="77777777" w:rsidR="00C1548D" w:rsidRDefault="009B1B4B">
            <w:pPr>
              <w:spacing w:line="250" w:lineRule="auto"/>
            </w:pPr>
            <w:r>
              <w:rPr>
                <w:sz w:val="18"/>
                <w:szCs w:val="18"/>
              </w:rPr>
              <w:lastRenderedPageBreak/>
              <w:t>Green Card</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6" w14:textId="77777777" w:rsidR="00C1548D" w:rsidRDefault="009B1B4B">
            <w:pPr>
              <w:spacing w:line="250" w:lineRule="auto"/>
            </w:pPr>
            <w:r>
              <w:rPr>
                <w:sz w:val="18"/>
                <w:szCs w:val="18"/>
              </w:rPr>
              <w:t>umgangssprachlich für die unbefristete Aufenthaltserlaubnis, offiziell Lawful Permanent Residence (LPR)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7" w14:textId="77777777" w:rsidR="00C1548D" w:rsidRDefault="009B1B4B">
            <w:pPr>
              <w:spacing w:line="250" w:lineRule="auto"/>
            </w:pPr>
            <w:r>
              <w:rPr>
                <w:sz w:val="18"/>
                <w:szCs w:val="18"/>
              </w:rPr>
              <w:t>6</w:t>
            </w:r>
          </w:p>
        </w:tc>
      </w:tr>
      <w:tr w:rsidR="00C1548D" w14:paraId="70A50AA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9" w14:textId="77777777" w:rsidR="00C1548D" w:rsidRDefault="009B1B4B">
            <w:pPr>
              <w:spacing w:line="250" w:lineRule="auto"/>
            </w:pPr>
            <w:r>
              <w:rPr>
                <w:sz w:val="18"/>
                <w:szCs w:val="18"/>
              </w:rPr>
              <w:t>Gross-up</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A" w14:textId="77777777" w:rsidR="00C1548D" w:rsidRDefault="009B1B4B">
            <w:pPr>
              <w:spacing w:line="250" w:lineRule="auto"/>
            </w:pPr>
            <w:r>
              <w:rPr>
                <w:sz w:val="18"/>
                <w:szCs w:val="18"/>
              </w:rPr>
              <w:t>arbeitgeberseitige Aufstockung einer Zahlung, damit nach Steuerabzug der volle Nettobetrag ankommt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B" w14:textId="77777777" w:rsidR="00C1548D" w:rsidRDefault="009B1B4B">
            <w:pPr>
              <w:spacing w:line="250" w:lineRule="auto"/>
            </w:pPr>
            <w:r>
              <w:rPr>
                <w:sz w:val="18"/>
                <w:szCs w:val="18"/>
              </w:rPr>
              <w:t>20</w:t>
            </w:r>
          </w:p>
        </w:tc>
      </w:tr>
      <w:tr w:rsidR="00C1548D" w14:paraId="70A50AB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D" w14:textId="77777777" w:rsidR="00C1548D" w:rsidRDefault="009B1B4B">
            <w:pPr>
              <w:spacing w:line="250" w:lineRule="auto"/>
            </w:pPr>
            <w:r>
              <w:rPr>
                <w:sz w:val="18"/>
                <w:szCs w:val="18"/>
              </w:rPr>
              <w:t>Health Plan Types (HMO / PPO / EPO / POS)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E" w14:textId="77777777" w:rsidR="00C1548D" w:rsidRDefault="009B1B4B">
            <w:pPr>
              <w:spacing w:line="250" w:lineRule="auto"/>
            </w:pPr>
            <w:r>
              <w:rPr>
                <w:sz w:val="18"/>
                <w:szCs w:val="18"/>
              </w:rPr>
              <w:t>HMO: fester Hausarzt, Überweisungspflicht, günstig. PPO: freie Arztwahl, teurer. EPO: festes Netz, keine Überweisungspflicht. POS: Mischform</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AF" w14:textId="77777777" w:rsidR="00C1548D" w:rsidRDefault="009B1B4B">
            <w:pPr>
              <w:spacing w:line="250" w:lineRule="auto"/>
            </w:pPr>
            <w:r>
              <w:rPr>
                <w:sz w:val="18"/>
                <w:szCs w:val="18"/>
              </w:rPr>
              <w:t>26</w:t>
            </w:r>
          </w:p>
        </w:tc>
      </w:tr>
      <w:tr w:rsidR="00C1548D" w14:paraId="70A50AB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1" w14:textId="77777777" w:rsidR="00C1548D" w:rsidRDefault="009B1B4B">
            <w:pPr>
              <w:spacing w:line="250" w:lineRule="auto"/>
            </w:pPr>
            <w:r>
              <w:rPr>
                <w:sz w:val="18"/>
                <w:szCs w:val="18"/>
              </w:rPr>
              <w:t>HDHP</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2" w14:textId="77777777" w:rsidR="00C1548D" w:rsidRDefault="009B1B4B">
            <w:pPr>
              <w:spacing w:line="250" w:lineRule="auto"/>
            </w:pPr>
            <w:r>
              <w:rPr>
                <w:sz w:val="18"/>
                <w:szCs w:val="18"/>
              </w:rPr>
              <w:t>High Deductible Health Plan, Krankenversicherung mit hohem Selbstbehalt, oft kombiniert mit einem HSA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3" w14:textId="77777777" w:rsidR="00C1548D" w:rsidRDefault="009B1B4B">
            <w:pPr>
              <w:spacing w:line="250" w:lineRule="auto"/>
            </w:pPr>
            <w:r>
              <w:rPr>
                <w:sz w:val="18"/>
                <w:szCs w:val="18"/>
              </w:rPr>
              <w:t>26</w:t>
            </w:r>
          </w:p>
        </w:tc>
      </w:tr>
      <w:tr w:rsidR="00C1548D" w14:paraId="70A50AB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5" w14:textId="77777777" w:rsidR="00C1548D" w:rsidRDefault="009B1B4B">
            <w:pPr>
              <w:spacing w:line="250" w:lineRule="auto"/>
            </w:pPr>
            <w:r>
              <w:rPr>
                <w:sz w:val="18"/>
                <w:szCs w:val="18"/>
              </w:rPr>
              <w:t>High School / High School Diploma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6" w14:textId="77777777" w:rsidR="00C1548D" w:rsidRDefault="009B1B4B">
            <w:pPr>
              <w:spacing w:line="250" w:lineRule="auto"/>
            </w:pPr>
            <w:r>
              <w:rPr>
                <w:sz w:val="18"/>
                <w:szCs w:val="18"/>
              </w:rPr>
              <w:t>weiterführende Schule, Grade 9 bis 12, mit Abschlusszeugnis (Diploma)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7" w14:textId="77777777" w:rsidR="00C1548D" w:rsidRDefault="009B1B4B">
            <w:pPr>
              <w:spacing w:line="250" w:lineRule="auto"/>
            </w:pPr>
            <w:r>
              <w:rPr>
                <w:sz w:val="18"/>
                <w:szCs w:val="18"/>
              </w:rPr>
              <w:t>36,42</w:t>
            </w:r>
          </w:p>
        </w:tc>
      </w:tr>
      <w:tr w:rsidR="00C1548D" w14:paraId="70A50AB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9" w14:textId="77777777" w:rsidR="00C1548D" w:rsidRDefault="009B1B4B">
            <w:pPr>
              <w:spacing w:line="250" w:lineRule="auto"/>
            </w:pPr>
            <w:r>
              <w:rPr>
                <w:sz w:val="18"/>
                <w:szCs w:val="18"/>
              </w:rPr>
              <w:t>HOA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A" w14:textId="77777777" w:rsidR="00C1548D" w:rsidRDefault="009B1B4B">
            <w:pPr>
              <w:spacing w:line="250" w:lineRule="auto"/>
            </w:pPr>
            <w:r>
              <w:rPr>
                <w:sz w:val="18"/>
                <w:szCs w:val="18"/>
              </w:rPr>
              <w:t>Homeowners Association, Eigentümergemeinschaft mit monatlicher Umlage für Gemeinschaftsflächen und Instandhaltung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B" w14:textId="77777777" w:rsidR="00C1548D" w:rsidRDefault="009B1B4B">
            <w:pPr>
              <w:spacing w:line="250" w:lineRule="auto"/>
            </w:pPr>
            <w:r>
              <w:rPr>
                <w:sz w:val="18"/>
                <w:szCs w:val="18"/>
              </w:rPr>
              <w:t>14,22</w:t>
            </w:r>
          </w:p>
        </w:tc>
      </w:tr>
      <w:tr w:rsidR="00C1548D" w14:paraId="70A50AC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D" w14:textId="77777777" w:rsidR="00C1548D" w:rsidRDefault="009B1B4B">
            <w:pPr>
              <w:spacing w:line="250" w:lineRule="auto"/>
            </w:pPr>
            <w:r>
              <w:rPr>
                <w:sz w:val="18"/>
                <w:szCs w:val="18"/>
              </w:rPr>
              <w:t>HSA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E" w14:textId="77777777" w:rsidR="00C1548D" w:rsidRDefault="009B1B4B">
            <w:pPr>
              <w:spacing w:line="250" w:lineRule="auto"/>
            </w:pPr>
            <w:r>
              <w:rPr>
                <w:sz w:val="18"/>
                <w:szCs w:val="18"/>
              </w:rPr>
              <w:t>Health Savings Account, steuerbegünstigtes Sparkonto für Gesundheitskosten, meist mit HDHP</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BF" w14:textId="77777777" w:rsidR="00C1548D" w:rsidRDefault="009B1B4B">
            <w:pPr>
              <w:spacing w:line="250" w:lineRule="auto"/>
            </w:pPr>
            <w:r>
              <w:rPr>
                <w:sz w:val="18"/>
                <w:szCs w:val="18"/>
              </w:rPr>
              <w:t>26</w:t>
            </w:r>
          </w:p>
        </w:tc>
      </w:tr>
      <w:tr w:rsidR="00C1548D" w14:paraId="70A50AC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1" w14:textId="77777777" w:rsidR="00C1548D" w:rsidRDefault="009B1B4B">
            <w:pPr>
              <w:spacing w:line="250" w:lineRule="auto"/>
            </w:pPr>
            <w:r>
              <w:rPr>
                <w:sz w:val="18"/>
                <w:szCs w:val="18"/>
              </w:rPr>
              <w:t>IEP</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2" w14:textId="77777777" w:rsidR="00C1548D" w:rsidRDefault="009B1B4B">
            <w:pPr>
              <w:spacing w:line="250" w:lineRule="auto"/>
            </w:pPr>
            <w:r>
              <w:rPr>
                <w:sz w:val="18"/>
                <w:szCs w:val="18"/>
              </w:rPr>
              <w:t>Individualized Education Program, rechtlich bindender Förderplan für Schüler mit Behinderung oder Lernbedarf</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3" w14:textId="77777777" w:rsidR="00C1548D" w:rsidRDefault="009B1B4B">
            <w:pPr>
              <w:spacing w:line="250" w:lineRule="auto"/>
            </w:pPr>
            <w:r>
              <w:rPr>
                <w:sz w:val="18"/>
                <w:szCs w:val="18"/>
              </w:rPr>
              <w:t>37</w:t>
            </w:r>
          </w:p>
        </w:tc>
      </w:tr>
      <w:tr w:rsidR="00C1548D" w14:paraId="70A50AC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5" w14:textId="77777777" w:rsidR="00C1548D" w:rsidRDefault="009B1B4B">
            <w:pPr>
              <w:spacing w:line="250" w:lineRule="auto"/>
            </w:pPr>
            <w:r>
              <w:rPr>
                <w:sz w:val="18"/>
                <w:szCs w:val="18"/>
              </w:rPr>
              <w:t>Immediate Relatives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6" w14:textId="77777777" w:rsidR="00C1548D" w:rsidRDefault="009B1B4B">
            <w:pPr>
              <w:spacing w:line="250" w:lineRule="auto"/>
            </w:pPr>
            <w:r>
              <w:rPr>
                <w:sz w:val="18"/>
                <w:szCs w:val="18"/>
              </w:rPr>
              <w:t>Ehepartner, minderjährige Kinder und Eltern von US-Bürgern, ohne jährliches Quotenlimit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7" w14:textId="77777777" w:rsidR="00C1548D" w:rsidRDefault="009B1B4B">
            <w:pPr>
              <w:spacing w:line="250" w:lineRule="auto"/>
            </w:pPr>
            <w:r>
              <w:rPr>
                <w:sz w:val="18"/>
                <w:szCs w:val="18"/>
              </w:rPr>
              <w:t>6</w:t>
            </w:r>
          </w:p>
        </w:tc>
      </w:tr>
      <w:tr w:rsidR="00C1548D" w14:paraId="70A50AC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9" w14:textId="77777777" w:rsidR="00C1548D" w:rsidRDefault="009B1B4B">
            <w:pPr>
              <w:spacing w:line="250" w:lineRule="auto"/>
            </w:pPr>
            <w:r>
              <w:rPr>
                <w:sz w:val="18"/>
                <w:szCs w:val="18"/>
              </w:rPr>
              <w:t>Immigrant / Nonimmigrant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A" w14:textId="77777777" w:rsidR="00C1548D" w:rsidRDefault="009B1B4B">
            <w:pPr>
              <w:spacing w:line="250" w:lineRule="auto"/>
            </w:pPr>
            <w:r>
              <w:rPr>
                <w:sz w:val="18"/>
                <w:szCs w:val="18"/>
              </w:rPr>
              <w:t>Einwanderer mit unbefristetem Aufenthalt (Green Card) im Unterschied zum befristeten, zweckgebundenen Nichteinwanderer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B" w14:textId="77777777" w:rsidR="00C1548D" w:rsidRDefault="009B1B4B">
            <w:pPr>
              <w:spacing w:line="250" w:lineRule="auto"/>
            </w:pPr>
            <w:r>
              <w:rPr>
                <w:sz w:val="18"/>
                <w:szCs w:val="18"/>
              </w:rPr>
              <w:t>4,9</w:t>
            </w:r>
          </w:p>
        </w:tc>
      </w:tr>
      <w:tr w:rsidR="00C1548D" w14:paraId="70A50AD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D" w14:textId="77777777" w:rsidR="00C1548D" w:rsidRDefault="009B1B4B">
            <w:pPr>
              <w:spacing w:line="250" w:lineRule="auto"/>
            </w:pPr>
            <w:r>
              <w:rPr>
                <w:sz w:val="18"/>
                <w:szCs w:val="18"/>
              </w:rPr>
              <w:t>INA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E" w14:textId="77777777" w:rsidR="00C1548D" w:rsidRDefault="009B1B4B">
            <w:pPr>
              <w:spacing w:line="250" w:lineRule="auto"/>
            </w:pPr>
            <w:r>
              <w:rPr>
                <w:sz w:val="18"/>
                <w:szCs w:val="18"/>
              </w:rPr>
              <w:t>Immigration and Nationality Act, zentrales US-Einwanderungsgesetz, Basis aller Visa- und Green-Card-Kategorien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CF" w14:textId="77777777" w:rsidR="00C1548D" w:rsidRDefault="009B1B4B">
            <w:pPr>
              <w:spacing w:line="250" w:lineRule="auto"/>
            </w:pPr>
            <w:r>
              <w:rPr>
                <w:sz w:val="18"/>
                <w:szCs w:val="18"/>
              </w:rPr>
              <w:t>11</w:t>
            </w:r>
          </w:p>
        </w:tc>
      </w:tr>
      <w:tr w:rsidR="00C1548D" w14:paraId="70A50AD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1" w14:textId="77777777" w:rsidR="00C1548D" w:rsidRDefault="009B1B4B">
            <w:pPr>
              <w:spacing w:line="250" w:lineRule="auto"/>
            </w:pPr>
            <w:r>
              <w:rPr>
                <w:sz w:val="18"/>
                <w:szCs w:val="18"/>
              </w:rPr>
              <w:lastRenderedPageBreak/>
              <w:t>International Driving Permit (IDP)</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2" w14:textId="77777777" w:rsidR="00C1548D" w:rsidRDefault="009B1B4B">
            <w:pPr>
              <w:spacing w:line="250" w:lineRule="auto"/>
            </w:pPr>
            <w:r>
              <w:rPr>
                <w:sz w:val="18"/>
                <w:szCs w:val="18"/>
              </w:rPr>
              <w:t>Übersetzung des nationalen Führerscheins, ergänzt diesen, ersetzt ihn aber nicht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3" w14:textId="77777777" w:rsidR="00C1548D" w:rsidRDefault="009B1B4B">
            <w:pPr>
              <w:spacing w:line="250" w:lineRule="auto"/>
            </w:pPr>
            <w:r>
              <w:rPr>
                <w:sz w:val="18"/>
                <w:szCs w:val="18"/>
              </w:rPr>
              <w:t>27</w:t>
            </w:r>
          </w:p>
        </w:tc>
      </w:tr>
      <w:tr w:rsidR="00C1548D" w14:paraId="70A50AD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5" w14:textId="77777777" w:rsidR="00C1548D" w:rsidRDefault="009B1B4B">
            <w:pPr>
              <w:spacing w:line="250" w:lineRule="auto"/>
            </w:pPr>
            <w:r>
              <w:rPr>
                <w:sz w:val="18"/>
                <w:szCs w:val="18"/>
              </w:rPr>
              <w:t>InterNations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6" w14:textId="77777777" w:rsidR="00C1548D" w:rsidRDefault="009B1B4B">
            <w:pPr>
              <w:spacing w:line="250" w:lineRule="auto"/>
            </w:pPr>
            <w:r>
              <w:rPr>
                <w:sz w:val="18"/>
                <w:szCs w:val="18"/>
              </w:rPr>
              <w:t>internationales Netzwerk für Zugewanderte mit lokalen Stammtischen in vielen US-Städten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7" w14:textId="77777777" w:rsidR="00C1548D" w:rsidRDefault="009B1B4B">
            <w:pPr>
              <w:spacing w:line="250" w:lineRule="auto"/>
            </w:pPr>
            <w:r>
              <w:rPr>
                <w:sz w:val="18"/>
                <w:szCs w:val="18"/>
              </w:rPr>
              <w:t>32</w:t>
            </w:r>
          </w:p>
        </w:tc>
      </w:tr>
      <w:tr w:rsidR="00C1548D" w14:paraId="70A50AD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9" w14:textId="77777777" w:rsidR="00C1548D" w:rsidRDefault="009B1B4B">
            <w:pPr>
              <w:spacing w:line="250" w:lineRule="auto"/>
            </w:pPr>
            <w:r>
              <w:rPr>
                <w:sz w:val="18"/>
                <w:szCs w:val="18"/>
              </w:rPr>
              <w:t>Intracompany Transferee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A" w14:textId="77777777" w:rsidR="00C1548D" w:rsidRDefault="009B1B4B">
            <w:pPr>
              <w:spacing w:line="250" w:lineRule="auto"/>
            </w:pPr>
            <w:r>
              <w:rPr>
                <w:sz w:val="18"/>
                <w:szCs w:val="18"/>
              </w:rPr>
              <w:t>konzerninterne Versetzung, Grundlage des L-1-Visums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B" w14:textId="77777777" w:rsidR="00C1548D" w:rsidRDefault="009B1B4B">
            <w:pPr>
              <w:spacing w:line="250" w:lineRule="auto"/>
            </w:pPr>
            <w:r>
              <w:rPr>
                <w:sz w:val="18"/>
                <w:szCs w:val="18"/>
              </w:rPr>
              <w:t>9</w:t>
            </w:r>
          </w:p>
        </w:tc>
      </w:tr>
      <w:tr w:rsidR="00C1548D" w14:paraId="70A50AE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D" w14:textId="77777777" w:rsidR="00C1548D" w:rsidRDefault="009B1B4B">
            <w:pPr>
              <w:spacing w:line="250" w:lineRule="auto"/>
            </w:pPr>
            <w:r>
              <w:rPr>
                <w:sz w:val="18"/>
                <w:szCs w:val="18"/>
              </w:rPr>
              <w:t>ISO (Incentive Stock Options)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E" w14:textId="77777777" w:rsidR="00C1548D" w:rsidRDefault="009B1B4B">
            <w:pPr>
              <w:spacing w:line="250" w:lineRule="auto"/>
            </w:pPr>
            <w:r>
              <w:rPr>
                <w:sz w:val="18"/>
                <w:szCs w:val="18"/>
              </w:rPr>
              <w:t>steuerlich begünstigte Aktienoptionen, meist für Führungskräfte und Gründer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DF" w14:textId="77777777" w:rsidR="00C1548D" w:rsidRDefault="009B1B4B">
            <w:pPr>
              <w:spacing w:line="250" w:lineRule="auto"/>
            </w:pPr>
            <w:r>
              <w:rPr>
                <w:sz w:val="18"/>
                <w:szCs w:val="18"/>
              </w:rPr>
              <w:t>39</w:t>
            </w:r>
          </w:p>
        </w:tc>
      </w:tr>
      <w:tr w:rsidR="00C1548D" w14:paraId="70A50AE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1" w14:textId="77777777" w:rsidR="00C1548D" w:rsidRDefault="009B1B4B">
            <w:pPr>
              <w:spacing w:line="250" w:lineRule="auto"/>
            </w:pPr>
            <w:r>
              <w:rPr>
                <w:sz w:val="18"/>
                <w:szCs w:val="18"/>
              </w:rPr>
              <w:t>Lawful Permanent Residence (LPR)</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2" w14:textId="77777777" w:rsidR="00C1548D" w:rsidRDefault="009B1B4B">
            <w:pPr>
              <w:spacing w:line="250" w:lineRule="auto"/>
            </w:pPr>
            <w:r>
              <w:rPr>
                <w:sz w:val="18"/>
                <w:szCs w:val="18"/>
              </w:rPr>
              <w:t>offizielle Bezeichnung für den Green-Card-Status, unbefristeter Aufenthalt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3" w14:textId="77777777" w:rsidR="00C1548D" w:rsidRDefault="009B1B4B">
            <w:pPr>
              <w:spacing w:line="250" w:lineRule="auto"/>
            </w:pPr>
            <w:r>
              <w:rPr>
                <w:sz w:val="18"/>
                <w:szCs w:val="18"/>
              </w:rPr>
              <w:t>6,7,41</w:t>
            </w:r>
          </w:p>
        </w:tc>
      </w:tr>
      <w:tr w:rsidR="00C1548D" w14:paraId="70A50AE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5" w14:textId="77777777" w:rsidR="00C1548D" w:rsidRDefault="009B1B4B">
            <w:pPr>
              <w:spacing w:line="250" w:lineRule="auto"/>
            </w:pPr>
            <w:r>
              <w:rPr>
                <w:sz w:val="18"/>
                <w:szCs w:val="18"/>
              </w:rPr>
              <w:t>Layoff</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6" w14:textId="77777777" w:rsidR="00C1548D" w:rsidRDefault="009B1B4B">
            <w:pPr>
              <w:spacing w:line="250" w:lineRule="auto"/>
            </w:pPr>
            <w:r>
              <w:rPr>
                <w:sz w:val="18"/>
                <w:szCs w:val="18"/>
              </w:rPr>
              <w:t>Stellenabbau, betriebsbedingte Kündigung ohne individuelles Fehlverhalten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7" w14:textId="77777777" w:rsidR="00C1548D" w:rsidRDefault="009B1B4B">
            <w:pPr>
              <w:spacing w:line="250" w:lineRule="auto"/>
            </w:pPr>
            <w:r>
              <w:rPr>
                <w:sz w:val="18"/>
                <w:szCs w:val="18"/>
              </w:rPr>
              <w:t>30,42</w:t>
            </w:r>
          </w:p>
        </w:tc>
      </w:tr>
      <w:tr w:rsidR="00C1548D" w14:paraId="70A50AE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9" w14:textId="77777777" w:rsidR="00C1548D" w:rsidRDefault="009B1B4B">
            <w:pPr>
              <w:spacing w:line="250" w:lineRule="auto"/>
            </w:pPr>
            <w:r>
              <w:rPr>
                <w:sz w:val="18"/>
                <w:szCs w:val="18"/>
              </w:rPr>
              <w:t>Less than Container Load (LCL)</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A" w14:textId="77777777" w:rsidR="00C1548D" w:rsidRDefault="009B1B4B">
            <w:pPr>
              <w:spacing w:line="250" w:lineRule="auto"/>
            </w:pPr>
            <w:r>
              <w:rPr>
                <w:sz w:val="18"/>
                <w:szCs w:val="18"/>
              </w:rPr>
              <w:t>Sammelcontainer, in dem mehrere Umzüge zusammen verschifft werden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B" w14:textId="77777777" w:rsidR="00C1548D" w:rsidRDefault="009B1B4B">
            <w:pPr>
              <w:spacing w:line="250" w:lineRule="auto"/>
            </w:pPr>
            <w:r>
              <w:rPr>
                <w:sz w:val="18"/>
                <w:szCs w:val="18"/>
              </w:rPr>
              <w:t>20</w:t>
            </w:r>
          </w:p>
        </w:tc>
      </w:tr>
      <w:tr w:rsidR="00C1548D" w14:paraId="70A50AF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D" w14:textId="77777777" w:rsidR="00C1548D" w:rsidRDefault="009B1B4B">
            <w:pPr>
              <w:spacing w:line="250" w:lineRule="auto"/>
            </w:pPr>
            <w:r>
              <w:rPr>
                <w:sz w:val="18"/>
                <w:szCs w:val="18"/>
              </w:rPr>
              <w:t>Loan Estimate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E" w14:textId="77777777" w:rsidR="00C1548D" w:rsidRDefault="009B1B4B">
            <w:pPr>
              <w:spacing w:line="250" w:lineRule="auto"/>
            </w:pPr>
            <w:r>
              <w:rPr>
                <w:sz w:val="18"/>
                <w:szCs w:val="18"/>
              </w:rPr>
              <w:t>standardisierte, bei allen Hypothekenanbietern vergleichbare Kostenübersicht (Pflichtdokument)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EF" w14:textId="77777777" w:rsidR="00C1548D" w:rsidRDefault="009B1B4B">
            <w:pPr>
              <w:spacing w:line="250" w:lineRule="auto"/>
            </w:pPr>
            <w:r>
              <w:rPr>
                <w:sz w:val="18"/>
                <w:szCs w:val="18"/>
              </w:rPr>
              <w:t>14</w:t>
            </w:r>
          </w:p>
        </w:tc>
      </w:tr>
      <w:tr w:rsidR="00C1548D" w14:paraId="70A50AF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1" w14:textId="77777777" w:rsidR="00C1548D" w:rsidRDefault="009B1B4B">
            <w:pPr>
              <w:spacing w:line="250" w:lineRule="auto"/>
            </w:pPr>
            <w:r>
              <w:rPr>
                <w:sz w:val="18"/>
                <w:szCs w:val="18"/>
              </w:rPr>
              <w:t>Long-term Resident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2" w14:textId="77777777" w:rsidR="00C1548D" w:rsidRDefault="009B1B4B">
            <w:pPr>
              <w:spacing w:line="250" w:lineRule="auto"/>
            </w:pPr>
            <w:r>
              <w:rPr>
                <w:sz w:val="18"/>
                <w:szCs w:val="18"/>
              </w:rPr>
              <w:t>Green-Card-Inhaber mit Green Card in mindestens 8 der letzten 15 Steuerjahre, Schwelle für die Wegzugsteuer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3" w14:textId="77777777" w:rsidR="00C1548D" w:rsidRDefault="009B1B4B">
            <w:pPr>
              <w:spacing w:line="250" w:lineRule="auto"/>
            </w:pPr>
            <w:r>
              <w:rPr>
                <w:sz w:val="18"/>
                <w:szCs w:val="18"/>
              </w:rPr>
              <w:t>41,42</w:t>
            </w:r>
          </w:p>
        </w:tc>
      </w:tr>
      <w:tr w:rsidR="00C1548D" w14:paraId="70A50AF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5" w14:textId="77777777" w:rsidR="00C1548D" w:rsidRDefault="009B1B4B">
            <w:pPr>
              <w:spacing w:line="250" w:lineRule="auto"/>
            </w:pPr>
            <w:r>
              <w:rPr>
                <w:sz w:val="18"/>
                <w:szCs w:val="18"/>
              </w:rPr>
              <w:t>Marketplace (Health Insurance Marketplace)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6" w14:textId="77777777" w:rsidR="00C1548D" w:rsidRDefault="009B1B4B">
            <w:pPr>
              <w:spacing w:line="250" w:lineRule="auto"/>
            </w:pPr>
            <w:r>
              <w:rPr>
                <w:sz w:val="18"/>
                <w:szCs w:val="18"/>
              </w:rPr>
              <w:t>Online-Börse für private Krankenversicherungen nach dem ACA (healthcare.gov)</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7" w14:textId="77777777" w:rsidR="00C1548D" w:rsidRDefault="009B1B4B">
            <w:pPr>
              <w:spacing w:line="250" w:lineRule="auto"/>
            </w:pPr>
            <w:r>
              <w:rPr>
                <w:sz w:val="18"/>
                <w:szCs w:val="18"/>
              </w:rPr>
              <w:t>26</w:t>
            </w:r>
          </w:p>
        </w:tc>
      </w:tr>
      <w:tr w:rsidR="00C1548D" w14:paraId="70A50AF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9" w14:textId="77777777" w:rsidR="00C1548D" w:rsidRDefault="009B1B4B">
            <w:pPr>
              <w:spacing w:line="250" w:lineRule="auto"/>
            </w:pPr>
            <w:r>
              <w:rPr>
                <w:sz w:val="18"/>
                <w:szCs w:val="18"/>
              </w:rPr>
              <w:t>Married Filing Jointly (MFJ)</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A" w14:textId="77777777" w:rsidR="00C1548D" w:rsidRDefault="009B1B4B">
            <w:pPr>
              <w:spacing w:line="250" w:lineRule="auto"/>
            </w:pPr>
            <w:r>
              <w:rPr>
                <w:sz w:val="18"/>
                <w:szCs w:val="18"/>
              </w:rPr>
              <w:t>gemeinsame Steuererklärung für Ehepaare, meist der günstigste Steuertarif</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B" w14:textId="77777777" w:rsidR="00C1548D" w:rsidRDefault="009B1B4B">
            <w:pPr>
              <w:spacing w:line="250" w:lineRule="auto"/>
            </w:pPr>
            <w:r>
              <w:rPr>
                <w:sz w:val="18"/>
                <w:szCs w:val="18"/>
              </w:rPr>
              <w:t>28</w:t>
            </w:r>
          </w:p>
        </w:tc>
      </w:tr>
      <w:tr w:rsidR="00C1548D" w14:paraId="70A50B0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D" w14:textId="77777777" w:rsidR="00C1548D" w:rsidRDefault="009B1B4B">
            <w:pPr>
              <w:spacing w:line="250" w:lineRule="auto"/>
            </w:pPr>
            <w:r>
              <w:rPr>
                <w:sz w:val="18"/>
                <w:szCs w:val="18"/>
              </w:rPr>
              <w:t>Medicaid</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E" w14:textId="77777777" w:rsidR="00C1548D" w:rsidRDefault="009B1B4B">
            <w:pPr>
              <w:spacing w:line="250" w:lineRule="auto"/>
            </w:pPr>
            <w:r>
              <w:rPr>
                <w:sz w:val="18"/>
                <w:szCs w:val="18"/>
              </w:rPr>
              <w:t>staatliches Krankenversicherungsprogramm für Geringverdienende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AFF" w14:textId="77777777" w:rsidR="00C1548D" w:rsidRDefault="009B1B4B">
            <w:pPr>
              <w:spacing w:line="250" w:lineRule="auto"/>
            </w:pPr>
            <w:r>
              <w:rPr>
                <w:sz w:val="18"/>
                <w:szCs w:val="18"/>
              </w:rPr>
              <w:t>26</w:t>
            </w:r>
          </w:p>
        </w:tc>
      </w:tr>
      <w:tr w:rsidR="00C1548D" w14:paraId="70A50B0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1" w14:textId="77777777" w:rsidR="00C1548D" w:rsidRDefault="009B1B4B">
            <w:pPr>
              <w:spacing w:line="250" w:lineRule="auto"/>
            </w:pPr>
            <w:r>
              <w:rPr>
                <w:sz w:val="18"/>
                <w:szCs w:val="18"/>
              </w:rPr>
              <w:t>Medicare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2" w14:textId="77777777" w:rsidR="00C1548D" w:rsidRDefault="009B1B4B">
            <w:pPr>
              <w:spacing w:line="250" w:lineRule="auto"/>
            </w:pPr>
            <w:r>
              <w:rPr>
                <w:sz w:val="18"/>
                <w:szCs w:val="18"/>
              </w:rPr>
              <w:t>staatliches Krankenversicherungsprogramm für Menschen ab 65 Jahren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3" w14:textId="77777777" w:rsidR="00C1548D" w:rsidRDefault="009B1B4B">
            <w:pPr>
              <w:spacing w:line="250" w:lineRule="auto"/>
            </w:pPr>
            <w:r>
              <w:rPr>
                <w:sz w:val="18"/>
                <w:szCs w:val="18"/>
              </w:rPr>
              <w:t>26</w:t>
            </w:r>
          </w:p>
        </w:tc>
      </w:tr>
      <w:tr w:rsidR="00C1548D" w14:paraId="70A50B0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5" w14:textId="77777777" w:rsidR="00C1548D" w:rsidRDefault="009B1B4B">
            <w:pPr>
              <w:spacing w:line="250" w:lineRule="auto"/>
            </w:pPr>
            <w:r>
              <w:rPr>
                <w:sz w:val="18"/>
                <w:szCs w:val="18"/>
              </w:rPr>
              <w:t>Metro Area (Metropolitan Statistical Area)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6" w14:textId="77777777" w:rsidR="00C1548D" w:rsidRDefault="009B1B4B">
            <w:pPr>
              <w:spacing w:line="250" w:lineRule="auto"/>
            </w:pPr>
            <w:r>
              <w:rPr>
                <w:sz w:val="18"/>
                <w:szCs w:val="18"/>
              </w:rPr>
              <w:t>zusammenhängende Wirtschafts- und Pendlerregion um eine Kernstadt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7" w14:textId="77777777" w:rsidR="00C1548D" w:rsidRDefault="009B1B4B">
            <w:pPr>
              <w:spacing w:line="250" w:lineRule="auto"/>
            </w:pPr>
            <w:r>
              <w:rPr>
                <w:sz w:val="18"/>
                <w:szCs w:val="18"/>
              </w:rPr>
              <w:t>12,30</w:t>
            </w:r>
          </w:p>
        </w:tc>
      </w:tr>
      <w:tr w:rsidR="00C1548D" w14:paraId="70A50B0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9" w14:textId="77777777" w:rsidR="00C1548D" w:rsidRDefault="009B1B4B">
            <w:pPr>
              <w:spacing w:line="250" w:lineRule="auto"/>
            </w:pPr>
            <w:r>
              <w:rPr>
                <w:sz w:val="18"/>
                <w:szCs w:val="18"/>
              </w:rPr>
              <w:lastRenderedPageBreak/>
              <w:t>Middle School</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A" w14:textId="77777777" w:rsidR="00C1548D" w:rsidRDefault="009B1B4B">
            <w:pPr>
              <w:spacing w:line="250" w:lineRule="auto"/>
            </w:pPr>
            <w:r>
              <w:rPr>
                <w:sz w:val="18"/>
                <w:szCs w:val="18"/>
              </w:rPr>
              <w:t>Mittelstufe, Grade 6 bis 8</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B" w14:textId="77777777" w:rsidR="00C1548D" w:rsidRDefault="009B1B4B">
            <w:pPr>
              <w:spacing w:line="250" w:lineRule="auto"/>
            </w:pPr>
            <w:r>
              <w:rPr>
                <w:sz w:val="18"/>
                <w:szCs w:val="18"/>
              </w:rPr>
              <w:t>36</w:t>
            </w:r>
          </w:p>
        </w:tc>
      </w:tr>
      <w:tr w:rsidR="00C1548D" w14:paraId="70A50B1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D" w14:textId="77777777" w:rsidR="00C1548D" w:rsidRDefault="009B1B4B">
            <w:pPr>
              <w:spacing w:line="250" w:lineRule="auto"/>
            </w:pPr>
            <w:r>
              <w:rPr>
                <w:sz w:val="18"/>
                <w:szCs w:val="18"/>
              </w:rPr>
              <w:t>National Interest Waiver (NIW)</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E" w14:textId="77777777" w:rsidR="00C1548D" w:rsidRDefault="009B1B4B">
            <w:pPr>
              <w:spacing w:line="250" w:lineRule="auto"/>
            </w:pPr>
            <w:r>
              <w:rPr>
                <w:sz w:val="18"/>
                <w:szCs w:val="18"/>
              </w:rPr>
              <w:t>Green-Card-Weg ohne Jobangebot und Arbeitsmarktprüfung, bei nachgewiesenem nationalem Interesse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0F" w14:textId="77777777" w:rsidR="00C1548D" w:rsidRDefault="009B1B4B">
            <w:pPr>
              <w:spacing w:line="250" w:lineRule="auto"/>
            </w:pPr>
            <w:r>
              <w:rPr>
                <w:sz w:val="18"/>
                <w:szCs w:val="18"/>
              </w:rPr>
              <w:t>6</w:t>
            </w:r>
          </w:p>
        </w:tc>
      </w:tr>
      <w:tr w:rsidR="00C1548D" w14:paraId="70A50B1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1" w14:textId="77777777" w:rsidR="00C1548D" w:rsidRDefault="009B1B4B">
            <w:pPr>
              <w:spacing w:line="250" w:lineRule="auto"/>
            </w:pPr>
            <w:r>
              <w:rPr>
                <w:sz w:val="18"/>
                <w:szCs w:val="18"/>
              </w:rPr>
              <w:t>Naturalization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2" w14:textId="77777777" w:rsidR="00C1548D" w:rsidRDefault="009B1B4B">
            <w:pPr>
              <w:spacing w:line="250" w:lineRule="auto"/>
            </w:pPr>
            <w:r>
              <w:rPr>
                <w:sz w:val="18"/>
                <w:szCs w:val="18"/>
              </w:rPr>
              <w:t>Einbürgerung, der formale Erwerb der US-Staatsbürgerschaft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3" w14:textId="77777777" w:rsidR="00C1548D" w:rsidRDefault="009B1B4B">
            <w:pPr>
              <w:spacing w:line="250" w:lineRule="auto"/>
            </w:pPr>
            <w:r>
              <w:rPr>
                <w:sz w:val="18"/>
                <w:szCs w:val="18"/>
              </w:rPr>
              <w:t>41</w:t>
            </w:r>
          </w:p>
        </w:tc>
      </w:tr>
      <w:tr w:rsidR="00C1548D" w14:paraId="70A50B1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5" w14:textId="77777777" w:rsidR="00C1548D" w:rsidRDefault="009B1B4B">
            <w:pPr>
              <w:spacing w:line="250" w:lineRule="auto"/>
            </w:pPr>
            <w:r>
              <w:rPr>
                <w:sz w:val="18"/>
                <w:szCs w:val="18"/>
              </w:rPr>
              <w:t>No Surprises Act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6" w14:textId="77777777" w:rsidR="00C1548D" w:rsidRDefault="009B1B4B">
            <w:pPr>
              <w:spacing w:line="250" w:lineRule="auto"/>
            </w:pPr>
            <w:r>
              <w:rPr>
                <w:sz w:val="18"/>
                <w:szCs w:val="18"/>
              </w:rPr>
              <w:t>Bundesgesetz gegen Überraschungsrechnungen bei ungeplanter Behandlung außerhalb des Versicherungsnetzwerks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7" w14:textId="77777777" w:rsidR="00C1548D" w:rsidRDefault="009B1B4B">
            <w:pPr>
              <w:spacing w:line="250" w:lineRule="auto"/>
            </w:pPr>
            <w:r>
              <w:rPr>
                <w:sz w:val="18"/>
                <w:szCs w:val="18"/>
              </w:rPr>
              <w:t>26,38</w:t>
            </w:r>
          </w:p>
        </w:tc>
      </w:tr>
      <w:tr w:rsidR="00C1548D" w14:paraId="70A50B1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9" w14:textId="77777777" w:rsidR="00C1548D" w:rsidRDefault="009B1B4B">
            <w:pPr>
              <w:spacing w:line="250" w:lineRule="auto"/>
            </w:pPr>
            <w:r>
              <w:rPr>
                <w:sz w:val="18"/>
                <w:szCs w:val="18"/>
              </w:rPr>
              <w:t>Nor’easter</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A" w14:textId="77777777" w:rsidR="00C1548D" w:rsidRDefault="009B1B4B">
            <w:pPr>
              <w:spacing w:line="250" w:lineRule="auto"/>
            </w:pPr>
            <w:r>
              <w:rPr>
                <w:sz w:val="18"/>
                <w:szCs w:val="18"/>
              </w:rPr>
              <w:t>kräftiger Nordoststurm an der US-Ostküste, oft mit Starkregen oder Schnee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B" w14:textId="77777777" w:rsidR="00C1548D" w:rsidRDefault="009B1B4B">
            <w:pPr>
              <w:spacing w:line="250" w:lineRule="auto"/>
            </w:pPr>
            <w:r>
              <w:rPr>
                <w:sz w:val="18"/>
                <w:szCs w:val="18"/>
              </w:rPr>
              <w:t>40</w:t>
            </w:r>
          </w:p>
        </w:tc>
      </w:tr>
      <w:tr w:rsidR="00C1548D" w14:paraId="70A50B2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D" w14:textId="77777777" w:rsidR="00C1548D" w:rsidRDefault="009B1B4B">
            <w:pPr>
              <w:spacing w:line="250" w:lineRule="auto"/>
            </w:pPr>
            <w:r>
              <w:rPr>
                <w:sz w:val="18"/>
                <w:szCs w:val="18"/>
              </w:rPr>
              <w:t>Offer Letter</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E" w14:textId="77777777" w:rsidR="00C1548D" w:rsidRDefault="009B1B4B">
            <w:pPr>
              <w:spacing w:line="250" w:lineRule="auto"/>
            </w:pPr>
            <w:r>
              <w:rPr>
                <w:sz w:val="18"/>
                <w:szCs w:val="18"/>
              </w:rPr>
              <w:t>schriftliches Stellenangebot des Arbeitgebers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1F" w14:textId="77777777" w:rsidR="00C1548D" w:rsidRDefault="009B1B4B">
            <w:pPr>
              <w:spacing w:line="250" w:lineRule="auto"/>
            </w:pPr>
            <w:r>
              <w:rPr>
                <w:sz w:val="18"/>
                <w:szCs w:val="18"/>
              </w:rPr>
              <w:t>29,30</w:t>
            </w:r>
          </w:p>
        </w:tc>
      </w:tr>
      <w:tr w:rsidR="00C1548D" w14:paraId="70A50B2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1" w14:textId="77777777" w:rsidR="00C1548D" w:rsidRDefault="009B1B4B">
            <w:pPr>
              <w:spacing w:line="250" w:lineRule="auto"/>
            </w:pPr>
            <w:r>
              <w:rPr>
                <w:sz w:val="18"/>
                <w:szCs w:val="18"/>
              </w:rPr>
              <w:t>One Big Beautiful Bill Act (OBBBA)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2" w14:textId="77777777" w:rsidR="00C1548D" w:rsidRDefault="009B1B4B">
            <w:pPr>
              <w:spacing w:line="250" w:lineRule="auto"/>
            </w:pPr>
            <w:r>
              <w:rPr>
                <w:sz w:val="18"/>
                <w:szCs w:val="18"/>
              </w:rPr>
              <w:t>Bundesgesetz von 2025 mit weitreichenden Steuer- und Haushaltsänderungen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3" w14:textId="77777777" w:rsidR="00C1548D" w:rsidRDefault="009B1B4B">
            <w:pPr>
              <w:spacing w:line="250" w:lineRule="auto"/>
            </w:pPr>
            <w:r>
              <w:rPr>
                <w:sz w:val="18"/>
                <w:szCs w:val="18"/>
              </w:rPr>
              <w:t>20</w:t>
            </w:r>
          </w:p>
        </w:tc>
      </w:tr>
      <w:tr w:rsidR="00C1548D" w14:paraId="70A50B2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5" w14:textId="77777777" w:rsidR="00C1548D" w:rsidRDefault="009B1B4B">
            <w:pPr>
              <w:spacing w:line="250" w:lineRule="auto"/>
            </w:pPr>
            <w:r>
              <w:rPr>
                <w:sz w:val="18"/>
                <w:szCs w:val="18"/>
              </w:rPr>
              <w:t>Open Enrollment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6" w14:textId="77777777" w:rsidR="00C1548D" w:rsidRDefault="009B1B4B">
            <w:pPr>
              <w:spacing w:line="250" w:lineRule="auto"/>
            </w:pPr>
            <w:r>
              <w:rPr>
                <w:sz w:val="18"/>
                <w:szCs w:val="18"/>
              </w:rPr>
              <w:t>jährliche Wahlphase für die Krankenversicherung über den Arbeitgeber, oft im Herbst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7" w14:textId="77777777" w:rsidR="00C1548D" w:rsidRDefault="009B1B4B">
            <w:pPr>
              <w:spacing w:line="250" w:lineRule="auto"/>
            </w:pPr>
            <w:r>
              <w:rPr>
                <w:sz w:val="18"/>
                <w:szCs w:val="18"/>
              </w:rPr>
              <w:t>26</w:t>
            </w:r>
          </w:p>
        </w:tc>
      </w:tr>
      <w:tr w:rsidR="00C1548D" w14:paraId="70A50B2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9" w14:textId="77777777" w:rsidR="00C1548D" w:rsidRDefault="009B1B4B">
            <w:pPr>
              <w:spacing w:line="250" w:lineRule="auto"/>
            </w:pPr>
            <w:r>
              <w:rPr>
                <w:sz w:val="18"/>
                <w:szCs w:val="18"/>
              </w:rPr>
              <w:t>OPT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A" w14:textId="77777777" w:rsidR="00C1548D" w:rsidRDefault="009B1B4B">
            <w:pPr>
              <w:spacing w:line="250" w:lineRule="auto"/>
            </w:pPr>
            <w:r>
              <w:rPr>
                <w:sz w:val="18"/>
                <w:szCs w:val="18"/>
              </w:rPr>
              <w:t>Optional Practical Training, bis zu 12 Monate, bei MINT-Fächern 24 Monate zusätzlich, Arbeitserlaubnis nach dem Studium unter F-1</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B" w14:textId="77777777" w:rsidR="00C1548D" w:rsidRDefault="009B1B4B">
            <w:pPr>
              <w:spacing w:line="250" w:lineRule="auto"/>
            </w:pPr>
            <w:r>
              <w:rPr>
                <w:sz w:val="18"/>
                <w:szCs w:val="18"/>
              </w:rPr>
              <w:t>8</w:t>
            </w:r>
          </w:p>
        </w:tc>
      </w:tr>
      <w:tr w:rsidR="00C1548D" w14:paraId="70A50B3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D" w14:textId="77777777" w:rsidR="00C1548D" w:rsidRDefault="009B1B4B">
            <w:pPr>
              <w:spacing w:line="250" w:lineRule="auto"/>
            </w:pPr>
            <w:r>
              <w:rPr>
                <w:sz w:val="18"/>
                <w:szCs w:val="18"/>
              </w:rPr>
              <w:t>Out-of-Pocket Maximum</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E" w14:textId="77777777" w:rsidR="00C1548D" w:rsidRDefault="009B1B4B">
            <w:pPr>
              <w:spacing w:line="250" w:lineRule="auto"/>
            </w:pPr>
            <w:r>
              <w:rPr>
                <w:sz w:val="18"/>
                <w:szCs w:val="18"/>
              </w:rPr>
              <w:t>Jahreshöchstgrenze der Eigenkosten in der Krankenversicherung, danach übernimmt sie 100 %</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2F" w14:textId="77777777" w:rsidR="00C1548D" w:rsidRDefault="009B1B4B">
            <w:pPr>
              <w:spacing w:line="250" w:lineRule="auto"/>
            </w:pPr>
            <w:r>
              <w:rPr>
                <w:sz w:val="18"/>
                <w:szCs w:val="18"/>
              </w:rPr>
              <w:t>1,26</w:t>
            </w:r>
          </w:p>
        </w:tc>
      </w:tr>
      <w:tr w:rsidR="00C1548D" w14:paraId="70A50B3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1" w14:textId="77777777" w:rsidR="00C1548D" w:rsidRDefault="009B1B4B">
            <w:pPr>
              <w:spacing w:line="250" w:lineRule="auto"/>
            </w:pPr>
            <w:r>
              <w:rPr>
                <w:sz w:val="18"/>
                <w:szCs w:val="18"/>
              </w:rPr>
              <w:t>Out-the-Door Price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2" w14:textId="77777777" w:rsidR="00C1548D" w:rsidRDefault="009B1B4B">
            <w:pPr>
              <w:spacing w:line="250" w:lineRule="auto"/>
            </w:pPr>
            <w:r>
              <w:rPr>
                <w:sz w:val="18"/>
                <w:szCs w:val="18"/>
              </w:rPr>
              <w:t>Endpreis eines Autokaufs inklusive aller Steuern und Gebühren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3" w14:textId="77777777" w:rsidR="00C1548D" w:rsidRDefault="009B1B4B">
            <w:pPr>
              <w:spacing w:line="250" w:lineRule="auto"/>
            </w:pPr>
            <w:r>
              <w:rPr>
                <w:sz w:val="18"/>
                <w:szCs w:val="18"/>
              </w:rPr>
              <w:t>27</w:t>
            </w:r>
          </w:p>
        </w:tc>
      </w:tr>
      <w:tr w:rsidR="00C1548D" w14:paraId="70A50B3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5" w14:textId="77777777" w:rsidR="00C1548D" w:rsidRDefault="009B1B4B">
            <w:pPr>
              <w:spacing w:line="250" w:lineRule="auto"/>
            </w:pPr>
            <w:r>
              <w:rPr>
                <w:sz w:val="18"/>
                <w:szCs w:val="18"/>
              </w:rPr>
              <w:t>Over-the-Counter (OTC)</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6" w14:textId="77777777" w:rsidR="00C1548D" w:rsidRDefault="009B1B4B">
            <w:pPr>
              <w:spacing w:line="250" w:lineRule="auto"/>
            </w:pPr>
            <w:r>
              <w:rPr>
                <w:sz w:val="18"/>
                <w:szCs w:val="18"/>
              </w:rPr>
              <w:t>rezeptfrei erhältliche Medikamente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7" w14:textId="77777777" w:rsidR="00C1548D" w:rsidRDefault="009B1B4B">
            <w:pPr>
              <w:spacing w:line="250" w:lineRule="auto"/>
            </w:pPr>
            <w:r>
              <w:rPr>
                <w:sz w:val="18"/>
                <w:szCs w:val="18"/>
              </w:rPr>
              <w:t>26</w:t>
            </w:r>
          </w:p>
        </w:tc>
      </w:tr>
      <w:tr w:rsidR="00C1548D" w14:paraId="70A50B3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9" w14:textId="77777777" w:rsidR="00C1548D" w:rsidRDefault="009B1B4B">
            <w:pPr>
              <w:spacing w:line="250" w:lineRule="auto"/>
            </w:pPr>
            <w:r>
              <w:rPr>
                <w:sz w:val="18"/>
                <w:szCs w:val="18"/>
              </w:rPr>
              <w:t>Parole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A" w14:textId="77777777" w:rsidR="00C1548D" w:rsidRDefault="009B1B4B">
            <w:pPr>
              <w:spacing w:line="250" w:lineRule="auto"/>
            </w:pPr>
            <w:r>
              <w:rPr>
                <w:sz w:val="18"/>
                <w:szCs w:val="18"/>
              </w:rPr>
              <w:t>befristete Einreiseerlaubnis ohne Visum aus humanitären oder wichtigen öffentlichen Gründen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B" w14:textId="77777777" w:rsidR="00C1548D" w:rsidRDefault="009B1B4B">
            <w:pPr>
              <w:spacing w:line="250" w:lineRule="auto"/>
            </w:pPr>
            <w:r>
              <w:rPr>
                <w:sz w:val="18"/>
                <w:szCs w:val="18"/>
              </w:rPr>
              <w:t>9</w:t>
            </w:r>
          </w:p>
        </w:tc>
      </w:tr>
      <w:tr w:rsidR="00C1548D" w14:paraId="70A50B4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D" w14:textId="77777777" w:rsidR="00C1548D" w:rsidRDefault="009B1B4B">
            <w:pPr>
              <w:spacing w:line="250" w:lineRule="auto"/>
            </w:pPr>
            <w:r>
              <w:rPr>
                <w:sz w:val="18"/>
                <w:szCs w:val="18"/>
              </w:rPr>
              <w:t>Permitless Carry (Constitutional Carry)</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E" w14:textId="77777777" w:rsidR="00C1548D" w:rsidRDefault="009B1B4B">
            <w:pPr>
              <w:spacing w:line="250" w:lineRule="auto"/>
            </w:pPr>
            <w:r>
              <w:rPr>
                <w:sz w:val="18"/>
                <w:szCs w:val="18"/>
              </w:rPr>
              <w:t>erlaubnisfreies Führen einer Waffe in manchen Bundesstaaten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3F" w14:textId="77777777" w:rsidR="00C1548D" w:rsidRDefault="009B1B4B">
            <w:pPr>
              <w:spacing w:line="250" w:lineRule="auto"/>
            </w:pPr>
            <w:r>
              <w:rPr>
                <w:sz w:val="18"/>
                <w:szCs w:val="18"/>
              </w:rPr>
              <w:t>12,40</w:t>
            </w:r>
          </w:p>
        </w:tc>
      </w:tr>
      <w:tr w:rsidR="00C1548D" w14:paraId="70A50B4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1" w14:textId="77777777" w:rsidR="00C1548D" w:rsidRDefault="009B1B4B">
            <w:pPr>
              <w:spacing w:line="250" w:lineRule="auto"/>
            </w:pPr>
            <w:r>
              <w:rPr>
                <w:sz w:val="18"/>
                <w:szCs w:val="18"/>
              </w:rPr>
              <w:lastRenderedPageBreak/>
              <w:t>Petition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2" w14:textId="77777777" w:rsidR="00C1548D" w:rsidRDefault="009B1B4B">
            <w:pPr>
              <w:spacing w:line="250" w:lineRule="auto"/>
            </w:pPr>
            <w:r>
              <w:rPr>
                <w:sz w:val="18"/>
                <w:szCs w:val="18"/>
              </w:rPr>
              <w:t>Antrag des Arbeitgebers, nicht des Arbeitnehmers, bei arbeitgeberbasierten Visa wie H-1B</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3" w14:textId="77777777" w:rsidR="00C1548D" w:rsidRDefault="009B1B4B">
            <w:pPr>
              <w:spacing w:line="250" w:lineRule="auto"/>
            </w:pPr>
            <w:r>
              <w:rPr>
                <w:sz w:val="18"/>
                <w:szCs w:val="18"/>
              </w:rPr>
              <w:t>5,11</w:t>
            </w:r>
          </w:p>
        </w:tc>
      </w:tr>
      <w:tr w:rsidR="00C1548D" w14:paraId="70A50B4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5" w14:textId="77777777" w:rsidR="00C1548D" w:rsidRDefault="009B1B4B">
            <w:pPr>
              <w:spacing w:line="250" w:lineRule="auto"/>
            </w:pPr>
            <w:r>
              <w:rPr>
                <w:sz w:val="18"/>
                <w:szCs w:val="18"/>
              </w:rPr>
              <w:t>Points (Discount Points)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6" w14:textId="77777777" w:rsidR="00C1548D" w:rsidRDefault="009B1B4B">
            <w:pPr>
              <w:spacing w:line="250" w:lineRule="auto"/>
            </w:pPr>
            <w:r>
              <w:rPr>
                <w:sz w:val="18"/>
                <w:szCs w:val="18"/>
              </w:rPr>
              <w:t>Vorabzahlung an den Kreditgeber zur Senkung des Hypothekenzinses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7" w14:textId="77777777" w:rsidR="00C1548D" w:rsidRDefault="009B1B4B">
            <w:pPr>
              <w:spacing w:line="250" w:lineRule="auto"/>
            </w:pPr>
            <w:r>
              <w:rPr>
                <w:sz w:val="18"/>
                <w:szCs w:val="18"/>
              </w:rPr>
              <w:t>14</w:t>
            </w:r>
          </w:p>
        </w:tc>
      </w:tr>
      <w:tr w:rsidR="00C1548D" w14:paraId="70A50B4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9" w14:textId="77777777" w:rsidR="00C1548D" w:rsidRDefault="009B1B4B">
            <w:pPr>
              <w:spacing w:line="250" w:lineRule="auto"/>
            </w:pPr>
            <w:r>
              <w:rPr>
                <w:sz w:val="18"/>
                <w:szCs w:val="18"/>
              </w:rPr>
              <w:t>Portability</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A" w14:textId="77777777" w:rsidR="00C1548D" w:rsidRDefault="009B1B4B">
            <w:pPr>
              <w:spacing w:line="250" w:lineRule="auto"/>
            </w:pPr>
            <w:r>
              <w:rPr>
                <w:sz w:val="18"/>
                <w:szCs w:val="18"/>
              </w:rPr>
              <w:t>Recht, bei laufendem Green-Card-Verfahren den Arbeitgeber zu wechseln, ohne von vorn zu beginnen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B" w14:textId="77777777" w:rsidR="00C1548D" w:rsidRDefault="009B1B4B">
            <w:pPr>
              <w:spacing w:line="250" w:lineRule="auto"/>
            </w:pPr>
            <w:r>
              <w:rPr>
                <w:sz w:val="18"/>
                <w:szCs w:val="18"/>
              </w:rPr>
              <w:t>30</w:t>
            </w:r>
          </w:p>
        </w:tc>
      </w:tr>
      <w:tr w:rsidR="00C1548D" w14:paraId="70A50B5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D" w14:textId="77777777" w:rsidR="00C1548D" w:rsidRDefault="009B1B4B">
            <w:pPr>
              <w:spacing w:line="250" w:lineRule="auto"/>
            </w:pPr>
            <w:r>
              <w:rPr>
                <w:sz w:val="18"/>
                <w:szCs w:val="18"/>
              </w:rPr>
              <w:t>Pre-K / Preschool</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E" w14:textId="77777777" w:rsidR="00C1548D" w:rsidRDefault="009B1B4B">
            <w:pPr>
              <w:spacing w:line="250" w:lineRule="auto"/>
            </w:pPr>
            <w:r>
              <w:rPr>
                <w:sz w:val="18"/>
                <w:szCs w:val="18"/>
              </w:rPr>
              <w:t>Vorschulprogramm für 3- bis 4-Jährige, kein Pflichtprogramm</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4F" w14:textId="77777777" w:rsidR="00C1548D" w:rsidRDefault="009B1B4B">
            <w:pPr>
              <w:spacing w:line="250" w:lineRule="auto"/>
            </w:pPr>
            <w:r>
              <w:rPr>
                <w:sz w:val="18"/>
                <w:szCs w:val="18"/>
              </w:rPr>
              <w:t>36,38</w:t>
            </w:r>
          </w:p>
        </w:tc>
      </w:tr>
      <w:tr w:rsidR="00C1548D" w14:paraId="70A50B5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1" w14:textId="77777777" w:rsidR="00C1548D" w:rsidRDefault="009B1B4B">
            <w:pPr>
              <w:spacing w:line="250" w:lineRule="auto"/>
            </w:pPr>
            <w:r>
              <w:rPr>
                <w:sz w:val="18"/>
                <w:szCs w:val="18"/>
              </w:rPr>
              <w:t>Premium</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2" w14:textId="77777777" w:rsidR="00C1548D" w:rsidRDefault="009B1B4B">
            <w:pPr>
              <w:spacing w:line="250" w:lineRule="auto"/>
            </w:pPr>
            <w:r>
              <w:rPr>
                <w:sz w:val="18"/>
                <w:szCs w:val="18"/>
              </w:rPr>
              <w:t>monatlicher Versicherungsbeitrag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3" w14:textId="77777777" w:rsidR="00C1548D" w:rsidRDefault="009B1B4B">
            <w:pPr>
              <w:spacing w:line="250" w:lineRule="auto"/>
            </w:pPr>
            <w:r>
              <w:rPr>
                <w:sz w:val="18"/>
                <w:szCs w:val="18"/>
              </w:rPr>
              <w:t>26</w:t>
            </w:r>
          </w:p>
        </w:tc>
      </w:tr>
      <w:tr w:rsidR="00C1548D" w14:paraId="70A50B5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5" w14:textId="77777777" w:rsidR="00C1548D" w:rsidRDefault="009B1B4B">
            <w:pPr>
              <w:spacing w:line="250" w:lineRule="auto"/>
            </w:pPr>
            <w:r>
              <w:rPr>
                <w:sz w:val="18"/>
                <w:szCs w:val="18"/>
              </w:rPr>
              <w:t>Premium Processing</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6" w14:textId="77777777" w:rsidR="00C1548D" w:rsidRDefault="009B1B4B">
            <w:pPr>
              <w:spacing w:line="250" w:lineRule="auto"/>
            </w:pPr>
            <w:r>
              <w:rPr>
                <w:sz w:val="18"/>
                <w:szCs w:val="18"/>
              </w:rPr>
              <w:t>kostenpflichtige beschleunigte Bearbeitung, meist 15 Kalendertage, für bestimmte USCIS-Anträge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7" w14:textId="77777777" w:rsidR="00C1548D" w:rsidRDefault="009B1B4B">
            <w:pPr>
              <w:spacing w:line="250" w:lineRule="auto"/>
            </w:pPr>
            <w:r>
              <w:rPr>
                <w:sz w:val="18"/>
                <w:szCs w:val="18"/>
              </w:rPr>
              <w:t>6,11,30</w:t>
            </w:r>
          </w:p>
        </w:tc>
      </w:tr>
      <w:tr w:rsidR="00C1548D" w14:paraId="70A50B5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9" w14:textId="77777777" w:rsidR="00C1548D" w:rsidRDefault="009B1B4B">
            <w:pPr>
              <w:spacing w:line="250" w:lineRule="auto"/>
            </w:pPr>
            <w:r>
              <w:rPr>
                <w:sz w:val="18"/>
                <w:szCs w:val="18"/>
              </w:rPr>
              <w:t>Prevailing Wage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A" w14:textId="77777777" w:rsidR="00C1548D" w:rsidRDefault="009B1B4B">
            <w:pPr>
              <w:spacing w:line="250" w:lineRule="auto"/>
            </w:pPr>
            <w:r>
              <w:rPr>
                <w:sz w:val="18"/>
                <w:szCs w:val="18"/>
              </w:rPr>
              <w:t>vom Arbeitsministerium (DOL) festgelegter ortsüblicher Mindestlohn für eine Position, Grundlage für H-1B und PERM</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B" w14:textId="77777777" w:rsidR="00C1548D" w:rsidRDefault="009B1B4B">
            <w:pPr>
              <w:spacing w:line="250" w:lineRule="auto"/>
            </w:pPr>
            <w:r>
              <w:rPr>
                <w:sz w:val="18"/>
                <w:szCs w:val="18"/>
              </w:rPr>
              <w:t>6,11</w:t>
            </w:r>
          </w:p>
        </w:tc>
      </w:tr>
      <w:tr w:rsidR="00C1548D" w14:paraId="70A50B6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D" w14:textId="77777777" w:rsidR="00C1548D" w:rsidRDefault="009B1B4B">
            <w:pPr>
              <w:spacing w:line="250" w:lineRule="auto"/>
            </w:pPr>
            <w:r>
              <w:rPr>
                <w:sz w:val="18"/>
                <w:szCs w:val="18"/>
              </w:rPr>
              <w:t>Primary Care Physician (PCP)</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E" w14:textId="77777777" w:rsidR="00C1548D" w:rsidRDefault="009B1B4B">
            <w:pPr>
              <w:spacing w:line="250" w:lineRule="auto"/>
            </w:pPr>
            <w:r>
              <w:rPr>
                <w:sz w:val="18"/>
                <w:szCs w:val="18"/>
              </w:rPr>
              <w:t>Hausarzt, oft erste Anlaufstelle und Überweisungsinstanz, vor allem bei HMO</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5F" w14:textId="77777777" w:rsidR="00C1548D" w:rsidRDefault="009B1B4B">
            <w:pPr>
              <w:spacing w:line="250" w:lineRule="auto"/>
            </w:pPr>
            <w:r>
              <w:rPr>
                <w:sz w:val="18"/>
                <w:szCs w:val="18"/>
              </w:rPr>
              <w:t>26</w:t>
            </w:r>
          </w:p>
        </w:tc>
      </w:tr>
      <w:tr w:rsidR="00C1548D" w14:paraId="70A50B6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1" w14:textId="77777777" w:rsidR="00C1548D" w:rsidRDefault="009B1B4B">
            <w:pPr>
              <w:spacing w:line="250" w:lineRule="auto"/>
            </w:pPr>
            <w:r>
              <w:rPr>
                <w:sz w:val="18"/>
                <w:szCs w:val="18"/>
              </w:rPr>
              <w:t>Principal &amp; Interest (P&amp;I)</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2" w14:textId="77777777" w:rsidR="00C1548D" w:rsidRDefault="009B1B4B">
            <w:pPr>
              <w:spacing w:line="250" w:lineRule="auto"/>
            </w:pPr>
            <w:r>
              <w:rPr>
                <w:sz w:val="18"/>
                <w:szCs w:val="18"/>
              </w:rPr>
              <w:t>Tilgungs- und Zinsanteil der monatlichen Hypothekenrate, ohne Steuern und Versicherung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3" w14:textId="77777777" w:rsidR="00C1548D" w:rsidRDefault="009B1B4B">
            <w:pPr>
              <w:spacing w:line="250" w:lineRule="auto"/>
            </w:pPr>
            <w:r>
              <w:rPr>
                <w:sz w:val="18"/>
                <w:szCs w:val="18"/>
              </w:rPr>
              <w:t>14</w:t>
            </w:r>
          </w:p>
        </w:tc>
      </w:tr>
      <w:tr w:rsidR="00C1548D" w14:paraId="70A50B6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5" w14:textId="77777777" w:rsidR="00C1548D" w:rsidRDefault="009B1B4B">
            <w:pPr>
              <w:spacing w:line="250" w:lineRule="auto"/>
            </w:pPr>
            <w:r>
              <w:rPr>
                <w:sz w:val="18"/>
                <w:szCs w:val="18"/>
              </w:rPr>
              <w:t>Priority Date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6" w14:textId="77777777" w:rsidR="00C1548D" w:rsidRDefault="009B1B4B">
            <w:pPr>
              <w:spacing w:line="250" w:lineRule="auto"/>
            </w:pPr>
            <w:r>
              <w:rPr>
                <w:sz w:val="18"/>
                <w:szCs w:val="18"/>
              </w:rPr>
              <w:t>Datum, das die Position in der Green-Card-Warteschlange festlegt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7" w14:textId="77777777" w:rsidR="00C1548D" w:rsidRDefault="009B1B4B">
            <w:pPr>
              <w:spacing w:line="250" w:lineRule="auto"/>
            </w:pPr>
            <w:r>
              <w:rPr>
                <w:sz w:val="18"/>
                <w:szCs w:val="18"/>
              </w:rPr>
              <w:t>6,7</w:t>
            </w:r>
          </w:p>
        </w:tc>
      </w:tr>
      <w:tr w:rsidR="00C1548D" w14:paraId="70A50B6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9" w14:textId="77777777" w:rsidR="00C1548D" w:rsidRDefault="009B1B4B">
            <w:pPr>
              <w:spacing w:line="250" w:lineRule="auto"/>
            </w:pPr>
            <w:r>
              <w:rPr>
                <w:sz w:val="18"/>
                <w:szCs w:val="18"/>
              </w:rPr>
              <w:t>Private School</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A" w14:textId="77777777" w:rsidR="00C1548D" w:rsidRDefault="009B1B4B">
            <w:pPr>
              <w:spacing w:line="250" w:lineRule="auto"/>
            </w:pPr>
            <w:r>
              <w:rPr>
                <w:sz w:val="18"/>
                <w:szCs w:val="18"/>
              </w:rPr>
              <w:t>Schule in freier Trägerschaft, oft mit Schulgeld, teils religiös gebunden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B" w14:textId="77777777" w:rsidR="00C1548D" w:rsidRDefault="009B1B4B">
            <w:pPr>
              <w:spacing w:line="250" w:lineRule="auto"/>
            </w:pPr>
            <w:r>
              <w:rPr>
                <w:sz w:val="18"/>
                <w:szCs w:val="18"/>
              </w:rPr>
              <w:t>36</w:t>
            </w:r>
          </w:p>
        </w:tc>
      </w:tr>
      <w:tr w:rsidR="00C1548D" w14:paraId="70A50B7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D" w14:textId="77777777" w:rsidR="00C1548D" w:rsidRDefault="009B1B4B">
            <w:pPr>
              <w:spacing w:line="250" w:lineRule="auto"/>
            </w:pPr>
            <w:r>
              <w:rPr>
                <w:sz w:val="18"/>
                <w:szCs w:val="18"/>
              </w:rPr>
              <w:t>Property Tax</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E" w14:textId="77777777" w:rsidR="00C1548D" w:rsidRDefault="009B1B4B">
            <w:pPr>
              <w:spacing w:line="250" w:lineRule="auto"/>
            </w:pPr>
            <w:r>
              <w:rPr>
                <w:sz w:val="18"/>
                <w:szCs w:val="18"/>
              </w:rPr>
              <w:t>Grundsteuer, in den USA meist deutlich höher als in Deutschland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6F" w14:textId="77777777" w:rsidR="00C1548D" w:rsidRDefault="009B1B4B">
            <w:pPr>
              <w:spacing w:line="250" w:lineRule="auto"/>
            </w:pPr>
            <w:r>
              <w:rPr>
                <w:sz w:val="18"/>
                <w:szCs w:val="18"/>
              </w:rPr>
              <w:t>14</w:t>
            </w:r>
          </w:p>
        </w:tc>
      </w:tr>
      <w:tr w:rsidR="00C1548D" w14:paraId="70A50B7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1" w14:textId="77777777" w:rsidR="00C1548D" w:rsidRDefault="009B1B4B">
            <w:pPr>
              <w:spacing w:line="250" w:lineRule="auto"/>
            </w:pPr>
            <w:r>
              <w:rPr>
                <w:sz w:val="18"/>
                <w:szCs w:val="18"/>
              </w:rPr>
              <w:t>PTA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2" w14:textId="77777777" w:rsidR="00C1548D" w:rsidRDefault="009B1B4B">
            <w:pPr>
              <w:spacing w:line="250" w:lineRule="auto"/>
            </w:pPr>
            <w:r>
              <w:rPr>
                <w:sz w:val="18"/>
                <w:szCs w:val="18"/>
              </w:rPr>
              <w:t>Parent-Teacher Association, Eltern-Lehrer-Vereinigung an der Schule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3" w14:textId="77777777" w:rsidR="00C1548D" w:rsidRDefault="009B1B4B">
            <w:pPr>
              <w:spacing w:line="250" w:lineRule="auto"/>
            </w:pPr>
            <w:r>
              <w:rPr>
                <w:sz w:val="18"/>
                <w:szCs w:val="18"/>
              </w:rPr>
              <w:t>32,36</w:t>
            </w:r>
          </w:p>
        </w:tc>
      </w:tr>
      <w:tr w:rsidR="00C1548D" w14:paraId="70A50B7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5" w14:textId="77777777" w:rsidR="00C1548D" w:rsidRDefault="009B1B4B">
            <w:pPr>
              <w:spacing w:line="250" w:lineRule="auto"/>
            </w:pPr>
            <w:r>
              <w:rPr>
                <w:sz w:val="18"/>
                <w:szCs w:val="18"/>
              </w:rPr>
              <w:t>PTO</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6" w14:textId="77777777" w:rsidR="00C1548D" w:rsidRDefault="009B1B4B">
            <w:pPr>
              <w:spacing w:line="250" w:lineRule="auto"/>
            </w:pPr>
            <w:r>
              <w:rPr>
                <w:sz w:val="18"/>
                <w:szCs w:val="18"/>
              </w:rPr>
              <w:t>Paid Time Off, bezahlte freie Tage, oft Urlaub und Krankheit zusammengefasst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7" w14:textId="77777777" w:rsidR="00C1548D" w:rsidRDefault="009B1B4B">
            <w:pPr>
              <w:spacing w:line="250" w:lineRule="auto"/>
            </w:pPr>
            <w:r>
              <w:rPr>
                <w:sz w:val="18"/>
                <w:szCs w:val="18"/>
              </w:rPr>
              <w:t>29</w:t>
            </w:r>
          </w:p>
        </w:tc>
      </w:tr>
      <w:tr w:rsidR="00C1548D" w14:paraId="70A50B7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9" w14:textId="77777777" w:rsidR="00C1548D" w:rsidRDefault="009B1B4B">
            <w:pPr>
              <w:spacing w:line="250" w:lineRule="auto"/>
            </w:pPr>
            <w:r>
              <w:rPr>
                <w:sz w:val="18"/>
                <w:szCs w:val="18"/>
              </w:rPr>
              <w:t>Reciprocity</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A" w14:textId="77777777" w:rsidR="00C1548D" w:rsidRDefault="009B1B4B">
            <w:pPr>
              <w:spacing w:line="250" w:lineRule="auto"/>
            </w:pPr>
            <w:r>
              <w:rPr>
                <w:sz w:val="18"/>
                <w:szCs w:val="18"/>
              </w:rPr>
              <w:t>Gegenseitigkeitsabkommen, nach dem ein Bundesstaat einen ausländischen Führerschein ohne neue Prüfung anerkennt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B" w14:textId="77777777" w:rsidR="00C1548D" w:rsidRDefault="009B1B4B">
            <w:pPr>
              <w:spacing w:line="250" w:lineRule="auto"/>
            </w:pPr>
            <w:r>
              <w:rPr>
                <w:sz w:val="18"/>
                <w:szCs w:val="18"/>
              </w:rPr>
              <w:t>27</w:t>
            </w:r>
          </w:p>
        </w:tc>
      </w:tr>
      <w:tr w:rsidR="00C1548D" w14:paraId="70A50B8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D" w14:textId="77777777" w:rsidR="00C1548D" w:rsidRDefault="009B1B4B">
            <w:pPr>
              <w:spacing w:line="250" w:lineRule="auto"/>
            </w:pPr>
            <w:r>
              <w:rPr>
                <w:sz w:val="18"/>
                <w:szCs w:val="18"/>
              </w:rPr>
              <w:lastRenderedPageBreak/>
              <w:t>Reentry Permit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E" w14:textId="77777777" w:rsidR="00C1548D" w:rsidRDefault="009B1B4B">
            <w:pPr>
              <w:spacing w:line="250" w:lineRule="auto"/>
            </w:pPr>
            <w:r>
              <w:rPr>
                <w:sz w:val="18"/>
                <w:szCs w:val="18"/>
              </w:rPr>
              <w:t>schützt den Green-Card-Status bei einem geplanten Auslandsaufenthalt von bis zu zwei Jahren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7F" w14:textId="77777777" w:rsidR="00C1548D" w:rsidRDefault="009B1B4B">
            <w:pPr>
              <w:spacing w:line="250" w:lineRule="auto"/>
            </w:pPr>
            <w:r>
              <w:rPr>
                <w:sz w:val="18"/>
                <w:szCs w:val="18"/>
              </w:rPr>
              <w:t>6,7,41</w:t>
            </w:r>
          </w:p>
        </w:tc>
      </w:tr>
      <w:tr w:rsidR="00C1548D" w14:paraId="70A50B8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1" w14:textId="77777777" w:rsidR="00C1548D" w:rsidRDefault="009B1B4B">
            <w:pPr>
              <w:spacing w:line="250" w:lineRule="auto"/>
            </w:pPr>
            <w:r>
              <w:rPr>
                <w:sz w:val="18"/>
                <w:szCs w:val="18"/>
              </w:rPr>
              <w:t>Request for Evidence (RFE)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2" w14:textId="77777777" w:rsidR="00C1548D" w:rsidRDefault="009B1B4B">
            <w:pPr>
              <w:spacing w:line="250" w:lineRule="auto"/>
            </w:pPr>
            <w:r>
              <w:rPr>
                <w:sz w:val="18"/>
                <w:szCs w:val="18"/>
              </w:rPr>
              <w:t>Aufforderung der USCIS, einen Antrag mit weiteren Nachweisen zu ergänzen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3" w14:textId="77777777" w:rsidR="00C1548D" w:rsidRDefault="009B1B4B">
            <w:pPr>
              <w:spacing w:line="250" w:lineRule="auto"/>
            </w:pPr>
            <w:r>
              <w:rPr>
                <w:sz w:val="18"/>
                <w:szCs w:val="18"/>
              </w:rPr>
              <w:t>5,11</w:t>
            </w:r>
          </w:p>
        </w:tc>
      </w:tr>
      <w:tr w:rsidR="00C1548D" w14:paraId="70A50B8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5" w14:textId="77777777" w:rsidR="00C1548D" w:rsidRDefault="009B1B4B">
            <w:pPr>
              <w:spacing w:line="250" w:lineRule="auto"/>
            </w:pPr>
            <w:r>
              <w:rPr>
                <w:sz w:val="18"/>
                <w:szCs w:val="18"/>
              </w:rPr>
              <w:t>Restricted Stock Units (RSU)</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6" w14:textId="77777777" w:rsidR="00C1548D" w:rsidRDefault="009B1B4B">
            <w:pPr>
              <w:spacing w:line="250" w:lineRule="auto"/>
            </w:pPr>
            <w:r>
              <w:rPr>
                <w:sz w:val="18"/>
                <w:szCs w:val="18"/>
              </w:rPr>
              <w:t>Aktienzuteilung durch den Arbeitgeber, die nach einer Sperrfrist (Vesting) ins Eigentum übergeht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7" w14:textId="77777777" w:rsidR="00C1548D" w:rsidRDefault="009B1B4B">
            <w:pPr>
              <w:spacing w:line="250" w:lineRule="auto"/>
            </w:pPr>
            <w:r>
              <w:rPr>
                <w:sz w:val="18"/>
                <w:szCs w:val="18"/>
              </w:rPr>
              <w:t>29,39</w:t>
            </w:r>
          </w:p>
        </w:tc>
      </w:tr>
      <w:tr w:rsidR="00C1548D" w14:paraId="70A50B8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9" w14:textId="77777777" w:rsidR="00C1548D" w:rsidRDefault="009B1B4B">
            <w:pPr>
              <w:spacing w:line="250" w:lineRule="auto"/>
            </w:pPr>
            <w:r>
              <w:rPr>
                <w:sz w:val="18"/>
                <w:szCs w:val="18"/>
              </w:rPr>
              <w:t>Sales Tax</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A" w14:textId="77777777" w:rsidR="00C1548D" w:rsidRDefault="009B1B4B">
            <w:pPr>
              <w:spacing w:line="250" w:lineRule="auto"/>
            </w:pPr>
            <w:r>
              <w:rPr>
                <w:sz w:val="18"/>
                <w:szCs w:val="18"/>
              </w:rPr>
              <w:t>Verkaufssteuer auf Waren und Dienstleistungen, an der Kasse aufgeschlagen, Satz variiert je Bundesstaat und Kommune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B" w14:textId="77777777" w:rsidR="00C1548D" w:rsidRDefault="009B1B4B">
            <w:pPr>
              <w:spacing w:line="250" w:lineRule="auto"/>
            </w:pPr>
            <w:r>
              <w:rPr>
                <w:sz w:val="18"/>
                <w:szCs w:val="18"/>
              </w:rPr>
              <w:t>12,28</w:t>
            </w:r>
          </w:p>
        </w:tc>
      </w:tr>
      <w:tr w:rsidR="00C1548D" w14:paraId="70A50B9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D" w14:textId="77777777" w:rsidR="00C1548D" w:rsidRDefault="009B1B4B">
            <w:pPr>
              <w:spacing w:line="250" w:lineRule="auto"/>
            </w:pPr>
            <w:r>
              <w:rPr>
                <w:sz w:val="18"/>
                <w:szCs w:val="18"/>
              </w:rPr>
              <w:t>SALT (State and Local Tax Deduction)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E" w14:textId="77777777" w:rsidR="00C1548D" w:rsidRDefault="009B1B4B">
            <w:pPr>
              <w:spacing w:line="250" w:lineRule="auto"/>
            </w:pPr>
            <w:r>
              <w:rPr>
                <w:sz w:val="18"/>
                <w:szCs w:val="18"/>
              </w:rPr>
              <w:t>Möglichkeit, gezahlte Landes- und Kommunalsteuern von der Bundessteuer abzuziehen, gedeckelt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8F" w14:textId="77777777" w:rsidR="00C1548D" w:rsidRDefault="009B1B4B">
            <w:pPr>
              <w:spacing w:line="250" w:lineRule="auto"/>
            </w:pPr>
            <w:r>
              <w:rPr>
                <w:sz w:val="18"/>
                <w:szCs w:val="18"/>
              </w:rPr>
              <w:t>14</w:t>
            </w:r>
          </w:p>
        </w:tc>
      </w:tr>
      <w:tr w:rsidR="00C1548D" w14:paraId="70A50B9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1" w14:textId="77777777" w:rsidR="00C1548D" w:rsidRDefault="009B1B4B">
            <w:pPr>
              <w:spacing w:line="250" w:lineRule="auto"/>
            </w:pPr>
            <w:r>
              <w:rPr>
                <w:sz w:val="18"/>
                <w:szCs w:val="18"/>
              </w:rPr>
              <w:t>SAT / ACT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2" w14:textId="77777777" w:rsidR="00C1548D" w:rsidRDefault="009B1B4B">
            <w:pPr>
              <w:spacing w:line="250" w:lineRule="auto"/>
            </w:pPr>
            <w:r>
              <w:rPr>
                <w:sz w:val="18"/>
                <w:szCs w:val="18"/>
              </w:rPr>
              <w:t>die beiden gängigen standardisierten Studierfähigkeitstests für die College-Bewerbung, meist in Grade 11</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3" w14:textId="77777777" w:rsidR="00C1548D" w:rsidRDefault="009B1B4B">
            <w:pPr>
              <w:spacing w:line="250" w:lineRule="auto"/>
            </w:pPr>
            <w:r>
              <w:rPr>
                <w:sz w:val="18"/>
                <w:szCs w:val="18"/>
              </w:rPr>
              <w:t>36,38</w:t>
            </w:r>
          </w:p>
        </w:tc>
      </w:tr>
      <w:tr w:rsidR="00C1548D" w14:paraId="70A50B9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5" w14:textId="77777777" w:rsidR="00C1548D" w:rsidRDefault="009B1B4B">
            <w:pPr>
              <w:spacing w:line="250" w:lineRule="auto"/>
            </w:pPr>
            <w:r>
              <w:rPr>
                <w:sz w:val="18"/>
                <w:szCs w:val="18"/>
              </w:rPr>
              <w:t>Schedule 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6" w14:textId="77777777" w:rsidR="00C1548D" w:rsidRDefault="009B1B4B">
            <w:pPr>
              <w:spacing w:line="250" w:lineRule="auto"/>
            </w:pPr>
            <w:r>
              <w:rPr>
                <w:sz w:val="18"/>
                <w:szCs w:val="18"/>
              </w:rPr>
              <w:t>Liste von Mangelberufen mit vereinfachter Arbeitsmarktprüfung für die Green Card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7" w14:textId="77777777" w:rsidR="00C1548D" w:rsidRDefault="009B1B4B">
            <w:pPr>
              <w:spacing w:line="250" w:lineRule="auto"/>
            </w:pPr>
            <w:r>
              <w:rPr>
                <w:sz w:val="18"/>
                <w:szCs w:val="18"/>
              </w:rPr>
              <w:t>6</w:t>
            </w:r>
          </w:p>
        </w:tc>
      </w:tr>
      <w:tr w:rsidR="00C1548D" w14:paraId="70A50B9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9" w14:textId="77777777" w:rsidR="00C1548D" w:rsidRDefault="009B1B4B">
            <w:pPr>
              <w:spacing w:line="250" w:lineRule="auto"/>
            </w:pPr>
            <w:r>
              <w:rPr>
                <w:sz w:val="18"/>
                <w:szCs w:val="18"/>
              </w:rPr>
              <w:t>Secondary Inspection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A" w14:textId="77777777" w:rsidR="00C1548D" w:rsidRDefault="009B1B4B">
            <w:pPr>
              <w:spacing w:line="250" w:lineRule="auto"/>
            </w:pPr>
            <w:r>
              <w:rPr>
                <w:sz w:val="18"/>
                <w:szCs w:val="18"/>
              </w:rPr>
              <w:t>vertiefte Zweitkontrolle bei der Einreise in einem separaten Bereich, kein Grund zur Sorge an sich</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B" w14:textId="77777777" w:rsidR="00C1548D" w:rsidRDefault="009B1B4B">
            <w:pPr>
              <w:spacing w:line="250" w:lineRule="auto"/>
            </w:pPr>
            <w:r>
              <w:rPr>
                <w:sz w:val="18"/>
                <w:szCs w:val="18"/>
              </w:rPr>
              <w:t>23</w:t>
            </w:r>
          </w:p>
        </w:tc>
      </w:tr>
      <w:tr w:rsidR="00C1548D" w14:paraId="70A50BA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D" w14:textId="77777777" w:rsidR="00C1548D" w:rsidRDefault="009B1B4B">
            <w:pPr>
              <w:spacing w:line="250" w:lineRule="auto"/>
            </w:pPr>
            <w:r>
              <w:rPr>
                <w:sz w:val="18"/>
                <w:szCs w:val="18"/>
              </w:rPr>
              <w:t>Small Claims Court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E" w14:textId="77777777" w:rsidR="00C1548D" w:rsidRDefault="009B1B4B">
            <w:pPr>
              <w:spacing w:line="250" w:lineRule="auto"/>
            </w:pPr>
            <w:r>
              <w:rPr>
                <w:sz w:val="18"/>
                <w:szCs w:val="18"/>
              </w:rPr>
              <w:t>vereinfachtes Gericht für kleinere Streitwerte, meist ohne Anwalt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9F" w14:textId="77777777" w:rsidR="00C1548D" w:rsidRDefault="009B1B4B">
            <w:pPr>
              <w:spacing w:line="250" w:lineRule="auto"/>
            </w:pPr>
            <w:r>
              <w:rPr>
                <w:sz w:val="18"/>
                <w:szCs w:val="18"/>
              </w:rPr>
              <w:t>13,40</w:t>
            </w:r>
          </w:p>
        </w:tc>
      </w:tr>
      <w:tr w:rsidR="00C1548D" w14:paraId="70A50BA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1" w14:textId="77777777" w:rsidR="00C1548D" w:rsidRDefault="009B1B4B">
            <w:pPr>
              <w:spacing w:line="250" w:lineRule="auto"/>
            </w:pPr>
            <w:r>
              <w:rPr>
                <w:sz w:val="18"/>
                <w:szCs w:val="18"/>
              </w:rPr>
              <w:t>Social Security</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2" w14:textId="77777777" w:rsidR="00C1548D" w:rsidRDefault="009B1B4B">
            <w:pPr>
              <w:spacing w:line="250" w:lineRule="auto"/>
            </w:pPr>
            <w:r>
              <w:rPr>
                <w:sz w:val="18"/>
                <w:szCs w:val="18"/>
              </w:rPr>
              <w:t>staatliches US-Rentenversicherungssystem, finanziert über Abgaben vom Gehalt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3" w14:textId="77777777" w:rsidR="00C1548D" w:rsidRDefault="009B1B4B">
            <w:pPr>
              <w:spacing w:line="250" w:lineRule="auto"/>
            </w:pPr>
            <w:r>
              <w:rPr>
                <w:sz w:val="18"/>
                <w:szCs w:val="18"/>
              </w:rPr>
              <w:t>39</w:t>
            </w:r>
          </w:p>
        </w:tc>
      </w:tr>
      <w:tr w:rsidR="00C1548D" w14:paraId="70A50BA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5" w14:textId="77777777" w:rsidR="00C1548D" w:rsidRDefault="009B1B4B">
            <w:pPr>
              <w:spacing w:line="250" w:lineRule="auto"/>
            </w:pPr>
            <w:r>
              <w:rPr>
                <w:sz w:val="18"/>
                <w:szCs w:val="18"/>
              </w:rPr>
              <w:t>Specialty Occupation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6" w14:textId="77777777" w:rsidR="00C1548D" w:rsidRDefault="009B1B4B">
            <w:pPr>
              <w:spacing w:line="250" w:lineRule="auto"/>
            </w:pPr>
            <w:r>
              <w:rPr>
                <w:sz w:val="18"/>
                <w:szCs w:val="18"/>
              </w:rPr>
              <w:t>Tätigkeit, die mindestens einen Bachelorabschluss im relevanten Fach voraussetzt, H-1B-Grundvoraussetzung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7" w14:textId="77777777" w:rsidR="00C1548D" w:rsidRDefault="009B1B4B">
            <w:pPr>
              <w:spacing w:line="250" w:lineRule="auto"/>
            </w:pPr>
            <w:r>
              <w:rPr>
                <w:sz w:val="18"/>
                <w:szCs w:val="18"/>
              </w:rPr>
              <w:t>5</w:t>
            </w:r>
          </w:p>
        </w:tc>
      </w:tr>
      <w:tr w:rsidR="00C1548D" w14:paraId="70A50BA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9" w14:textId="77777777" w:rsidR="00C1548D" w:rsidRDefault="009B1B4B">
            <w:pPr>
              <w:spacing w:line="250" w:lineRule="auto"/>
            </w:pPr>
            <w:r>
              <w:rPr>
                <w:sz w:val="18"/>
                <w:szCs w:val="18"/>
              </w:rPr>
              <w:t>Status</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A" w14:textId="77777777" w:rsidR="00C1548D" w:rsidRDefault="009B1B4B">
            <w:pPr>
              <w:spacing w:line="250" w:lineRule="auto"/>
            </w:pPr>
            <w:r>
              <w:rPr>
                <w:sz w:val="18"/>
                <w:szCs w:val="18"/>
              </w:rPr>
              <w:t>Aufenthalts- und Tätigkeitsberechtigung im Land nach der Einreise, dokumentiert im I-94 – zu unterscheiden vom Visum im Pass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B" w14:textId="77777777" w:rsidR="00C1548D" w:rsidRDefault="009B1B4B">
            <w:pPr>
              <w:spacing w:line="250" w:lineRule="auto"/>
            </w:pPr>
            <w:r>
              <w:rPr>
                <w:sz w:val="18"/>
                <w:szCs w:val="18"/>
              </w:rPr>
              <w:t>6,11</w:t>
            </w:r>
          </w:p>
        </w:tc>
      </w:tr>
      <w:tr w:rsidR="00C1548D" w14:paraId="70A50BB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D" w14:textId="77777777" w:rsidR="00C1548D" w:rsidRDefault="009B1B4B">
            <w:pPr>
              <w:spacing w:line="250" w:lineRule="auto"/>
            </w:pPr>
            <w:r>
              <w:rPr>
                <w:sz w:val="18"/>
                <w:szCs w:val="18"/>
              </w:rPr>
              <w:lastRenderedPageBreak/>
              <w:t>Substantial Presence Test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E" w14:textId="77777777" w:rsidR="00C1548D" w:rsidRDefault="009B1B4B">
            <w:pPr>
              <w:spacing w:line="250" w:lineRule="auto"/>
            </w:pPr>
            <w:r>
              <w:rPr>
                <w:sz w:val="18"/>
                <w:szCs w:val="18"/>
              </w:rPr>
              <w:t>IRS-Formel zur Feststellung der US-Steueransässigkeit anhand der Aufenthaltstage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AF" w14:textId="77777777" w:rsidR="00C1548D" w:rsidRDefault="009B1B4B">
            <w:pPr>
              <w:spacing w:line="250" w:lineRule="auto"/>
            </w:pPr>
            <w:r>
              <w:rPr>
                <w:sz w:val="18"/>
                <w:szCs w:val="18"/>
              </w:rPr>
              <w:t>8,28</w:t>
            </w:r>
          </w:p>
        </w:tc>
      </w:tr>
      <w:tr w:rsidR="00C1548D" w14:paraId="70A50BB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1" w14:textId="77777777" w:rsidR="00C1548D" w:rsidRDefault="009B1B4B">
            <w:pPr>
              <w:spacing w:line="250" w:lineRule="auto"/>
            </w:pPr>
            <w:r>
              <w:rPr>
                <w:sz w:val="18"/>
                <w:szCs w:val="18"/>
              </w:rPr>
              <w:t>Tax Return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2" w14:textId="77777777" w:rsidR="00C1548D" w:rsidRDefault="009B1B4B">
            <w:pPr>
              <w:spacing w:line="250" w:lineRule="auto"/>
            </w:pPr>
            <w:r>
              <w:rPr>
                <w:sz w:val="18"/>
                <w:szCs w:val="18"/>
              </w:rPr>
              <w:t>jährliche Steuererklärung, Bundesformular 1040, plus gegebenenfalls ein Formular des Bundesstaats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3" w14:textId="77777777" w:rsidR="00C1548D" w:rsidRDefault="009B1B4B">
            <w:pPr>
              <w:spacing w:line="250" w:lineRule="auto"/>
            </w:pPr>
            <w:r>
              <w:rPr>
                <w:sz w:val="18"/>
                <w:szCs w:val="18"/>
              </w:rPr>
              <w:t>28</w:t>
            </w:r>
          </w:p>
        </w:tc>
      </w:tr>
      <w:tr w:rsidR="00C1548D" w14:paraId="70A50BB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5" w14:textId="77777777" w:rsidR="00C1548D" w:rsidRDefault="009B1B4B">
            <w:pPr>
              <w:spacing w:line="250" w:lineRule="auto"/>
            </w:pPr>
            <w:r>
              <w:rPr>
                <w:sz w:val="18"/>
                <w:szCs w:val="18"/>
              </w:rPr>
              <w:t>Totalization Agreement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6" w14:textId="77777777" w:rsidR="00C1548D" w:rsidRDefault="009B1B4B">
            <w:pPr>
              <w:spacing w:line="250" w:lineRule="auto"/>
            </w:pPr>
            <w:r>
              <w:rPr>
                <w:sz w:val="18"/>
                <w:szCs w:val="18"/>
              </w:rPr>
              <w:t>Sozialversicherungsabkommen Deutschland–USA, verhindert doppelte Rentenbeiträge und rechnet Versicherungszeiten zusammen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7" w14:textId="77777777" w:rsidR="00C1548D" w:rsidRDefault="009B1B4B">
            <w:pPr>
              <w:spacing w:line="250" w:lineRule="auto"/>
            </w:pPr>
            <w:r>
              <w:rPr>
                <w:sz w:val="18"/>
                <w:szCs w:val="18"/>
              </w:rPr>
              <w:t>39</w:t>
            </w:r>
          </w:p>
        </w:tc>
      </w:tr>
      <w:tr w:rsidR="00C1548D" w14:paraId="70A50BB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9" w14:textId="77777777" w:rsidR="00C1548D" w:rsidRDefault="009B1B4B">
            <w:pPr>
              <w:spacing w:line="250" w:lineRule="auto"/>
            </w:pPr>
            <w:r>
              <w:rPr>
                <w:sz w:val="18"/>
                <w:szCs w:val="18"/>
              </w:rPr>
              <w:t>Treaty Trader (E-1) / Treaty Investor (E-2)</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A" w14:textId="77777777" w:rsidR="00C1548D" w:rsidRDefault="009B1B4B">
            <w:pPr>
              <w:spacing w:line="250" w:lineRule="auto"/>
            </w:pPr>
            <w:r>
              <w:rPr>
                <w:sz w:val="18"/>
                <w:szCs w:val="18"/>
              </w:rPr>
              <w:t>Visa für Handels- beziehungsweise Investitionsvertragsstaaten wie Deutschland, ohne Green-Card-Absicht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B" w14:textId="77777777" w:rsidR="00C1548D" w:rsidRDefault="009B1B4B">
            <w:pPr>
              <w:spacing w:line="250" w:lineRule="auto"/>
            </w:pPr>
            <w:r>
              <w:rPr>
                <w:sz w:val="18"/>
                <w:szCs w:val="18"/>
              </w:rPr>
              <w:t>9</w:t>
            </w:r>
          </w:p>
        </w:tc>
      </w:tr>
      <w:tr w:rsidR="00C1548D" w14:paraId="70A50BC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D" w14:textId="77777777" w:rsidR="00C1548D" w:rsidRDefault="009B1B4B">
            <w:pPr>
              <w:spacing w:line="250" w:lineRule="auto"/>
            </w:pPr>
            <w:r>
              <w:rPr>
                <w:sz w:val="18"/>
                <w:szCs w:val="18"/>
              </w:rPr>
              <w:t>Urgent Care</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E" w14:textId="77777777" w:rsidR="00C1548D" w:rsidRDefault="009B1B4B">
            <w:pPr>
              <w:spacing w:line="250" w:lineRule="auto"/>
            </w:pPr>
            <w:r>
              <w:rPr>
                <w:sz w:val="18"/>
                <w:szCs w:val="18"/>
              </w:rPr>
              <w:t>Walk-in-Klinik für dringende, aber nicht lebensbedrohliche Fälle, günstiger als die Notaufnahme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BF" w14:textId="77777777" w:rsidR="00C1548D" w:rsidRDefault="009B1B4B">
            <w:pPr>
              <w:spacing w:line="250" w:lineRule="auto"/>
            </w:pPr>
            <w:r>
              <w:rPr>
                <w:sz w:val="18"/>
                <w:szCs w:val="18"/>
              </w:rPr>
              <w:t>26</w:t>
            </w:r>
          </w:p>
        </w:tc>
      </w:tr>
      <w:tr w:rsidR="00C1548D" w14:paraId="70A50BC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1" w14:textId="77777777" w:rsidR="00C1548D" w:rsidRDefault="009B1B4B">
            <w:pPr>
              <w:spacing w:line="250" w:lineRule="auto"/>
            </w:pPr>
            <w:r>
              <w:rPr>
                <w:sz w:val="18"/>
                <w:szCs w:val="18"/>
              </w:rPr>
              <w:t>Venmo</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2" w14:textId="77777777" w:rsidR="00C1548D" w:rsidRDefault="009B1B4B">
            <w:pPr>
              <w:spacing w:line="250" w:lineRule="auto"/>
            </w:pPr>
            <w:r>
              <w:rPr>
                <w:sz w:val="18"/>
                <w:szCs w:val="18"/>
              </w:rPr>
              <w:t>populäre App für Geldüberweisungen zwischen Privatpersonen, gehört zu PayPal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3" w14:textId="77777777" w:rsidR="00C1548D" w:rsidRDefault="009B1B4B">
            <w:pPr>
              <w:spacing w:line="250" w:lineRule="auto"/>
            </w:pPr>
            <w:r>
              <w:rPr>
                <w:sz w:val="18"/>
                <w:szCs w:val="18"/>
              </w:rPr>
              <w:t>25</w:t>
            </w:r>
          </w:p>
        </w:tc>
      </w:tr>
      <w:tr w:rsidR="00C1548D" w14:paraId="70A50BC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5" w14:textId="77777777" w:rsidR="00C1548D" w:rsidRDefault="009B1B4B">
            <w:pPr>
              <w:spacing w:line="250" w:lineRule="auto"/>
            </w:pPr>
            <w:r>
              <w:rPr>
                <w:sz w:val="18"/>
                <w:szCs w:val="18"/>
              </w:rPr>
              <w:t>Visa</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6" w14:textId="77777777" w:rsidR="00C1548D" w:rsidRDefault="009B1B4B">
            <w:pPr>
              <w:spacing w:line="250" w:lineRule="auto"/>
            </w:pPr>
            <w:r>
              <w:rPr>
                <w:sz w:val="18"/>
                <w:szCs w:val="18"/>
              </w:rPr>
              <w:t>Einreisedokument im Pass, ausgestellt vom Konsulat – zu unterscheiden vom Status nach der Einreise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7" w14:textId="77777777" w:rsidR="00C1548D" w:rsidRDefault="009B1B4B">
            <w:pPr>
              <w:spacing w:line="250" w:lineRule="auto"/>
            </w:pPr>
            <w:r>
              <w:rPr>
                <w:sz w:val="18"/>
                <w:szCs w:val="18"/>
              </w:rPr>
              <w:t>11</w:t>
            </w:r>
          </w:p>
        </w:tc>
      </w:tr>
      <w:tr w:rsidR="00C1548D" w14:paraId="70A50BCC"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9" w14:textId="77777777" w:rsidR="00C1548D" w:rsidRDefault="009B1B4B">
            <w:pPr>
              <w:spacing w:line="250" w:lineRule="auto"/>
            </w:pPr>
            <w:r>
              <w:rPr>
                <w:sz w:val="18"/>
                <w:szCs w:val="18"/>
              </w:rPr>
              <w:t>Visa Bulletin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A" w14:textId="77777777" w:rsidR="00C1548D" w:rsidRDefault="009B1B4B">
            <w:pPr>
              <w:spacing w:line="250" w:lineRule="auto"/>
            </w:pPr>
            <w:r>
              <w:rPr>
                <w:sz w:val="18"/>
                <w:szCs w:val="18"/>
              </w:rPr>
              <w:t>monatliche Liste des State Department mit den aktuellen Stichtagen (Priority Dates) je Green-Card-Kategorie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B" w14:textId="77777777" w:rsidR="00C1548D" w:rsidRDefault="009B1B4B">
            <w:pPr>
              <w:spacing w:line="250" w:lineRule="auto"/>
            </w:pPr>
            <w:r>
              <w:rPr>
                <w:sz w:val="18"/>
                <w:szCs w:val="18"/>
              </w:rPr>
              <w:t>6,7,9,10,30</w:t>
            </w:r>
          </w:p>
        </w:tc>
      </w:tr>
      <w:tr w:rsidR="00C1548D" w14:paraId="70A50BD0"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D" w14:textId="77777777" w:rsidR="00C1548D" w:rsidRDefault="009B1B4B">
            <w:pPr>
              <w:spacing w:line="250" w:lineRule="auto"/>
            </w:pPr>
            <w:r>
              <w:rPr>
                <w:sz w:val="18"/>
                <w:szCs w:val="18"/>
              </w:rPr>
              <w:t>WARN Act</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E" w14:textId="77777777" w:rsidR="00C1548D" w:rsidRDefault="009B1B4B">
            <w:pPr>
              <w:spacing w:line="250" w:lineRule="auto"/>
            </w:pPr>
            <w:r>
              <w:rPr>
                <w:sz w:val="18"/>
                <w:szCs w:val="18"/>
              </w:rPr>
              <w:t>Bundesgesetz, das bei größeren Massenentlassungen eine Vorankündigungsfrist von 60 Tagen vorschreibt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CF" w14:textId="77777777" w:rsidR="00C1548D" w:rsidRDefault="009B1B4B">
            <w:pPr>
              <w:spacing w:line="250" w:lineRule="auto"/>
            </w:pPr>
            <w:r>
              <w:rPr>
                <w:sz w:val="18"/>
                <w:szCs w:val="18"/>
              </w:rPr>
              <w:t>30</w:t>
            </w:r>
          </w:p>
        </w:tc>
      </w:tr>
      <w:tr w:rsidR="00C1548D" w14:paraId="70A50BD4"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D1" w14:textId="77777777" w:rsidR="00C1548D" w:rsidRDefault="009B1B4B">
            <w:pPr>
              <w:spacing w:line="250" w:lineRule="auto"/>
            </w:pPr>
            <w:r>
              <w:rPr>
                <w:sz w:val="18"/>
                <w:szCs w:val="18"/>
              </w:rPr>
              <w:t>Warning / Watch</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D2" w14:textId="77777777" w:rsidR="00C1548D" w:rsidRDefault="009B1B4B">
            <w:pPr>
              <w:spacing w:line="250" w:lineRule="auto"/>
            </w:pPr>
            <w:r>
              <w:rPr>
                <w:sz w:val="18"/>
                <w:szCs w:val="18"/>
              </w:rPr>
              <w:t>Wetter-Warnstufen: Warning bedeutet akute Gefahr, sofort handeln; Watch bedeutet, Bedingungen sind möglich, sei vorbereitet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D3" w14:textId="77777777" w:rsidR="00C1548D" w:rsidRDefault="009B1B4B">
            <w:pPr>
              <w:spacing w:line="250" w:lineRule="auto"/>
            </w:pPr>
            <w:r>
              <w:rPr>
                <w:sz w:val="18"/>
                <w:szCs w:val="18"/>
              </w:rPr>
              <w:t>40</w:t>
            </w:r>
          </w:p>
        </w:tc>
      </w:tr>
      <w:tr w:rsidR="00C1548D" w14:paraId="70A50BD8" w14:textId="77777777">
        <w:tblPrEx>
          <w:tblCellMar>
            <w:top w:w="0" w:type="dxa"/>
            <w:bottom w:w="0" w:type="dxa"/>
          </w:tblCellMar>
        </w:tblPrEx>
        <w:trPr>
          <w:cantSplit/>
        </w:trPr>
        <w:tc>
          <w:tcPr>
            <w:tcW w:w="24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D5" w14:textId="77777777" w:rsidR="00C1548D" w:rsidRDefault="009B1B4B">
            <w:pPr>
              <w:spacing w:line="250" w:lineRule="auto"/>
            </w:pPr>
            <w:r>
              <w:rPr>
                <w:sz w:val="18"/>
                <w:szCs w:val="18"/>
              </w:rPr>
              <w:lastRenderedPageBreak/>
              <w:t>Windfall Elimination Provision (WEP) / Government Pension Offset (GPO)</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D6" w14:textId="77777777" w:rsidR="00C1548D" w:rsidRDefault="009B1B4B">
            <w:pPr>
              <w:spacing w:line="250" w:lineRule="auto"/>
            </w:pPr>
            <w:r>
              <w:rPr>
                <w:sz w:val="18"/>
                <w:szCs w:val="18"/>
              </w:rPr>
              <w:t>frühere Kürzungsregeln der US-Rente bei ausländischer Zusatzrente, beide 2025 durch den Social Security Fairness Act abgeschafft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D7" w14:textId="77777777" w:rsidR="00C1548D" w:rsidRDefault="009B1B4B">
            <w:pPr>
              <w:spacing w:line="250" w:lineRule="auto"/>
            </w:pPr>
            <w:r>
              <w:rPr>
                <w:sz w:val="18"/>
                <w:szCs w:val="18"/>
              </w:rPr>
              <w:t>39</w:t>
            </w:r>
          </w:p>
        </w:tc>
      </w:tr>
    </w:tbl>
    <w:p w14:paraId="70A50BD9" w14:textId="77777777" w:rsidR="00C1548D" w:rsidRDefault="00C1548D">
      <w:pPr>
        <w:spacing w:line="180" w:lineRule="exact"/>
      </w:pPr>
    </w:p>
    <w:p w14:paraId="70A50BDA" w14:textId="77777777" w:rsidR="00C1548D" w:rsidRDefault="009B1B4B">
      <w:pPr>
        <w:pStyle w:val="Heading3"/>
        <w:keepNext/>
        <w:jc w:val="center"/>
      </w:pPr>
      <w:r>
        <w:rPr>
          <w:rFonts w:ascii="Amazon Ember" w:eastAsia="Amazon Ember" w:hAnsi="Amazon Ember" w:cs="Amazon Ember"/>
          <w:color w:val="0000FF"/>
          <w:sz w:val="36"/>
          <w:szCs w:val="36"/>
        </w:rPr>
        <w:t>Kanada</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1"/>
        <w:gridCol w:w="2868"/>
        <w:gridCol w:w="1541"/>
      </w:tblGrid>
      <w:tr w:rsidR="00C1548D" w14:paraId="70A50BDE" w14:textId="77777777">
        <w:tblPrEx>
          <w:tblCellMar>
            <w:top w:w="0" w:type="dxa"/>
            <w:bottom w:w="0" w:type="dxa"/>
          </w:tblCellMar>
        </w:tblPrEx>
        <w:trPr>
          <w:cantSplit/>
          <w:tblHeader/>
        </w:trPr>
        <w:tc>
          <w:tcPr>
            <w:tcW w:w="207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BDB" w14:textId="77777777" w:rsidR="00C1548D" w:rsidRDefault="009B1B4B">
            <w:pPr>
              <w:spacing w:line="250" w:lineRule="auto"/>
            </w:pPr>
            <w:r>
              <w:rPr>
                <w:b/>
                <w:bCs/>
                <w:sz w:val="18"/>
                <w:szCs w:val="18"/>
              </w:rPr>
              <w:t>Englisch</w:t>
            </w:r>
          </w:p>
        </w:tc>
        <w:tc>
          <w:tcPr>
            <w:tcW w:w="286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BDC" w14:textId="77777777" w:rsidR="00C1548D" w:rsidRDefault="009B1B4B">
            <w:pPr>
              <w:spacing w:line="250" w:lineRule="auto"/>
            </w:pPr>
            <w:r>
              <w:rPr>
                <w:b/>
                <w:bCs/>
                <w:sz w:val="18"/>
                <w:szCs w:val="18"/>
              </w:rPr>
              <w:t>Deutsch/Erklärung</w:t>
            </w:r>
          </w:p>
        </w:tc>
        <w:tc>
          <w:tcPr>
            <w:tcW w:w="154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BDD" w14:textId="77777777" w:rsidR="00C1548D" w:rsidRDefault="009B1B4B">
            <w:pPr>
              <w:spacing w:line="250" w:lineRule="auto"/>
            </w:pPr>
            <w:r>
              <w:rPr>
                <w:b/>
                <w:bCs/>
                <w:sz w:val="18"/>
                <w:szCs w:val="18"/>
              </w:rPr>
              <w:t>Referenz</w:t>
            </w:r>
          </w:p>
        </w:tc>
      </w:tr>
      <w:tr w:rsidR="00C1548D" w14:paraId="70A50BE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DF" w14:textId="77777777" w:rsidR="00C1548D" w:rsidRDefault="009B1B4B">
            <w:pPr>
              <w:spacing w:line="250" w:lineRule="auto"/>
            </w:pPr>
            <w:r>
              <w:rPr>
                <w:sz w:val="18"/>
                <w:szCs w:val="18"/>
              </w:rPr>
              <w:t>9-8-8 Suicide Crisis Helpline</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0" w14:textId="77777777" w:rsidR="00C1548D" w:rsidRDefault="009B1B4B">
            <w:pPr>
              <w:spacing w:line="250" w:lineRule="auto"/>
            </w:pPr>
            <w:r>
              <w:rPr>
                <w:sz w:val="18"/>
                <w:szCs w:val="18"/>
              </w:rPr>
              <w:t>kostenlose, rund um die Uhr erreichbare kanadische Krisenhotline für Suizidprävention, per Anruf oder SMS</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1" w14:textId="77777777" w:rsidR="00C1548D" w:rsidRDefault="009B1B4B">
            <w:pPr>
              <w:spacing w:line="250" w:lineRule="auto"/>
            </w:pPr>
            <w:r>
              <w:rPr>
                <w:sz w:val="18"/>
                <w:szCs w:val="18"/>
              </w:rPr>
              <w:t>Kanada: Kultur</w:t>
            </w:r>
          </w:p>
        </w:tc>
      </w:tr>
      <w:tr w:rsidR="00C1548D" w14:paraId="70A50BE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3" w14:textId="77777777" w:rsidR="00C1548D" w:rsidRDefault="009B1B4B">
            <w:pPr>
              <w:spacing w:line="250" w:lineRule="auto"/>
            </w:pPr>
            <w:r>
              <w:rPr>
                <w:sz w:val="18"/>
                <w:szCs w:val="18"/>
              </w:rPr>
              <w:t>All-Way Stop</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4" w14:textId="77777777" w:rsidR="00C1548D" w:rsidRDefault="009B1B4B">
            <w:pPr>
              <w:spacing w:line="250" w:lineRule="auto"/>
            </w:pPr>
            <w:r>
              <w:rPr>
                <w:sz w:val="18"/>
                <w:szCs w:val="18"/>
              </w:rPr>
              <w:t>unbeschilderte Kreuzung mit vier Stoppschildern, wer zuerst vollständig hält, fährt zuerst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5" w14:textId="77777777" w:rsidR="00C1548D" w:rsidRDefault="009B1B4B">
            <w:pPr>
              <w:spacing w:line="250" w:lineRule="auto"/>
            </w:pPr>
            <w:r>
              <w:rPr>
                <w:sz w:val="18"/>
                <w:szCs w:val="18"/>
              </w:rPr>
              <w:t>Kanada: Führerschein</w:t>
            </w:r>
          </w:p>
        </w:tc>
      </w:tr>
      <w:tr w:rsidR="00C1548D" w14:paraId="70A50BE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7" w14:textId="77777777" w:rsidR="00C1548D" w:rsidRDefault="009B1B4B">
            <w:pPr>
              <w:spacing w:line="250" w:lineRule="auto"/>
            </w:pPr>
            <w:r>
              <w:rPr>
                <w:sz w:val="18"/>
                <w:szCs w:val="18"/>
              </w:rPr>
              <w:t>Arrima</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8" w14:textId="77777777" w:rsidR="00C1548D" w:rsidRDefault="009B1B4B">
            <w:pPr>
              <w:spacing w:line="250" w:lineRule="auto"/>
            </w:pPr>
            <w:r>
              <w:rPr>
                <w:sz w:val="18"/>
                <w:szCs w:val="18"/>
              </w:rPr>
              <w:t>eigenständiges, von Express Entry komplett getrenntes Einwanderungssystem Québecs</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9" w14:textId="77777777" w:rsidR="00C1548D" w:rsidRDefault="009B1B4B">
            <w:pPr>
              <w:spacing w:line="250" w:lineRule="auto"/>
            </w:pPr>
            <w:r>
              <w:rPr>
                <w:sz w:val="18"/>
                <w:szCs w:val="18"/>
              </w:rPr>
              <w:t>Kanada: Einwanderung</w:t>
            </w:r>
          </w:p>
        </w:tc>
      </w:tr>
      <w:tr w:rsidR="00C1548D" w14:paraId="70A50BE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B" w14:textId="77777777" w:rsidR="00C1548D" w:rsidRDefault="009B1B4B">
            <w:pPr>
              <w:spacing w:line="250" w:lineRule="auto"/>
            </w:pPr>
            <w:r>
              <w:rPr>
                <w:sz w:val="18"/>
                <w:szCs w:val="18"/>
              </w:rPr>
              <w:t>Basic Personal Amount</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C" w14:textId="77777777" w:rsidR="00C1548D" w:rsidRDefault="009B1B4B">
            <w:pPr>
              <w:spacing w:line="250" w:lineRule="auto"/>
            </w:pPr>
            <w:r>
              <w:rPr>
                <w:sz w:val="18"/>
                <w:szCs w:val="18"/>
              </w:rPr>
              <w:t>Grundfreibetrag bei der Einkommensteuer, getrennt für Bund und Provinz festgelegt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D" w14:textId="77777777" w:rsidR="00C1548D" w:rsidRDefault="009B1B4B">
            <w:pPr>
              <w:spacing w:line="250" w:lineRule="auto"/>
            </w:pPr>
            <w:r>
              <w:rPr>
                <w:sz w:val="18"/>
                <w:szCs w:val="18"/>
              </w:rPr>
              <w:t>Kanada: Steuer</w:t>
            </w:r>
          </w:p>
        </w:tc>
      </w:tr>
      <w:tr w:rsidR="00C1548D" w14:paraId="70A50BF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EF" w14:textId="77777777" w:rsidR="00C1548D" w:rsidRDefault="009B1B4B">
            <w:pPr>
              <w:spacing w:line="250" w:lineRule="auto"/>
            </w:pPr>
            <w:r>
              <w:rPr>
                <w:sz w:val="18"/>
                <w:szCs w:val="18"/>
              </w:rPr>
              <w:t>Beer League</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0" w14:textId="77777777" w:rsidR="00C1548D" w:rsidRDefault="009B1B4B">
            <w:pPr>
              <w:spacing w:line="250" w:lineRule="auto"/>
            </w:pPr>
            <w:r>
              <w:rPr>
                <w:sz w:val="18"/>
                <w:szCs w:val="18"/>
              </w:rPr>
              <w:t>lockere Freizeit-Eishockeyliga für Erwachsene, meist über die städtische Freizeitverwaltung organisiert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1" w14:textId="77777777" w:rsidR="00C1548D" w:rsidRDefault="009B1B4B">
            <w:pPr>
              <w:spacing w:line="250" w:lineRule="auto"/>
            </w:pPr>
            <w:r>
              <w:rPr>
                <w:sz w:val="18"/>
                <w:szCs w:val="18"/>
              </w:rPr>
              <w:t>Kanada: Kultur</w:t>
            </w:r>
          </w:p>
        </w:tc>
      </w:tr>
      <w:tr w:rsidR="00C1548D" w14:paraId="70A50BF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3" w14:textId="77777777" w:rsidR="00C1548D" w:rsidRDefault="009B1B4B">
            <w:pPr>
              <w:spacing w:line="250" w:lineRule="auto"/>
            </w:pPr>
            <w:r>
              <w:rPr>
                <w:sz w:val="18"/>
                <w:szCs w:val="18"/>
              </w:rPr>
              <w:t>Big Five</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4" w14:textId="77777777" w:rsidR="00C1548D" w:rsidRDefault="009B1B4B">
            <w:pPr>
              <w:spacing w:line="250" w:lineRule="auto"/>
            </w:pPr>
            <w:r>
              <w:rPr>
                <w:sz w:val="18"/>
                <w:szCs w:val="18"/>
              </w:rPr>
              <w:t>die fünf großen kanadischen Retailbanken (RBC, TD, Scotiabank, BMO, CIBC) mit eigenen Newcomer-Paketen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5" w14:textId="77777777" w:rsidR="00C1548D" w:rsidRDefault="009B1B4B">
            <w:pPr>
              <w:spacing w:line="250" w:lineRule="auto"/>
            </w:pPr>
            <w:r>
              <w:rPr>
                <w:sz w:val="18"/>
                <w:szCs w:val="18"/>
              </w:rPr>
              <w:t>Kanada: Ankunft, Steuer</w:t>
            </w:r>
          </w:p>
        </w:tc>
      </w:tr>
      <w:tr w:rsidR="00C1548D" w14:paraId="70A50BF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7" w14:textId="77777777" w:rsidR="00C1548D" w:rsidRDefault="009B1B4B">
            <w:pPr>
              <w:spacing w:line="250" w:lineRule="auto"/>
            </w:pPr>
            <w:r>
              <w:rPr>
                <w:sz w:val="18"/>
                <w:szCs w:val="18"/>
              </w:rPr>
              <w:t>Bill 96 (Loi 96)</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8" w14:textId="77777777" w:rsidR="00C1548D" w:rsidRDefault="009B1B4B">
            <w:pPr>
              <w:spacing w:line="250" w:lineRule="auto"/>
            </w:pPr>
            <w:r>
              <w:rPr>
                <w:sz w:val="18"/>
                <w:szCs w:val="18"/>
              </w:rPr>
              <w:t>Québecs Sprachgesetz von 2022, macht Französisch zur einzigen Amts- und Schulunterrichtssprache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9" w14:textId="77777777" w:rsidR="00C1548D" w:rsidRDefault="009B1B4B">
            <w:pPr>
              <w:spacing w:line="250" w:lineRule="auto"/>
            </w:pPr>
            <w:r>
              <w:rPr>
                <w:sz w:val="18"/>
                <w:szCs w:val="18"/>
              </w:rPr>
              <w:t>Kanada: Kultur, Schule</w:t>
            </w:r>
          </w:p>
        </w:tc>
      </w:tr>
      <w:tr w:rsidR="00C1548D" w14:paraId="70A50BF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B" w14:textId="77777777" w:rsidR="00C1548D" w:rsidRDefault="009B1B4B">
            <w:pPr>
              <w:spacing w:line="250" w:lineRule="auto"/>
            </w:pPr>
            <w:r>
              <w:rPr>
                <w:sz w:val="18"/>
                <w:szCs w:val="18"/>
              </w:rPr>
              <w:t>Bridging Open Work Permit</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C" w14:textId="77777777" w:rsidR="00C1548D" w:rsidRDefault="009B1B4B">
            <w:pPr>
              <w:spacing w:line="250" w:lineRule="auto"/>
            </w:pPr>
            <w:r>
              <w:rPr>
                <w:sz w:val="18"/>
                <w:szCs w:val="18"/>
              </w:rPr>
              <w:t>Überbrückungs-Arbeitsvisum ohne Arbeitgeberbindung während eines laufenden PR-Verfahrens</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D" w14:textId="77777777" w:rsidR="00C1548D" w:rsidRDefault="009B1B4B">
            <w:pPr>
              <w:spacing w:line="250" w:lineRule="auto"/>
            </w:pPr>
            <w:r>
              <w:rPr>
                <w:sz w:val="18"/>
                <w:szCs w:val="18"/>
              </w:rPr>
              <w:t>Kanada: Arbeit</w:t>
            </w:r>
          </w:p>
        </w:tc>
      </w:tr>
      <w:tr w:rsidR="00C1548D" w14:paraId="70A50C0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BFF" w14:textId="77777777" w:rsidR="00C1548D" w:rsidRDefault="009B1B4B">
            <w:pPr>
              <w:spacing w:line="250" w:lineRule="auto"/>
            </w:pPr>
            <w:r>
              <w:rPr>
                <w:sz w:val="18"/>
                <w:szCs w:val="18"/>
              </w:rPr>
              <w:t>Canada Border Services Agency (CBSA)</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0" w14:textId="77777777" w:rsidR="00C1548D" w:rsidRDefault="009B1B4B">
            <w:pPr>
              <w:spacing w:line="250" w:lineRule="auto"/>
            </w:pPr>
            <w:r>
              <w:rPr>
                <w:sz w:val="18"/>
                <w:szCs w:val="18"/>
              </w:rPr>
              <w:t>kanadischer Grenzschutz, aktiviert bei der Einreise („Landung“) den PR-Status offiziell</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1" w14:textId="77777777" w:rsidR="00C1548D" w:rsidRDefault="009B1B4B">
            <w:pPr>
              <w:spacing w:line="250" w:lineRule="auto"/>
            </w:pPr>
            <w:r>
              <w:rPr>
                <w:sz w:val="18"/>
                <w:szCs w:val="18"/>
              </w:rPr>
              <w:t>Kanada: Ankunft</w:t>
            </w:r>
          </w:p>
        </w:tc>
      </w:tr>
      <w:tr w:rsidR="00C1548D" w14:paraId="70A50C0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3" w14:textId="77777777" w:rsidR="00C1548D" w:rsidRDefault="009B1B4B">
            <w:pPr>
              <w:spacing w:line="250" w:lineRule="auto"/>
            </w:pPr>
            <w:r>
              <w:rPr>
                <w:sz w:val="18"/>
                <w:szCs w:val="18"/>
              </w:rPr>
              <w:lastRenderedPageBreak/>
              <w:t>Canada Child Benefit (CCB)</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4" w14:textId="77777777" w:rsidR="00C1548D" w:rsidRDefault="009B1B4B">
            <w:pPr>
              <w:spacing w:line="250" w:lineRule="auto"/>
            </w:pPr>
            <w:r>
              <w:rPr>
                <w:sz w:val="18"/>
                <w:szCs w:val="18"/>
              </w:rPr>
              <w:t>kanadisches Kindergeld, beantragt über Formular RC66</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5" w14:textId="77777777" w:rsidR="00C1548D" w:rsidRDefault="009B1B4B">
            <w:pPr>
              <w:spacing w:line="250" w:lineRule="auto"/>
            </w:pPr>
            <w:r>
              <w:rPr>
                <w:sz w:val="18"/>
                <w:szCs w:val="18"/>
              </w:rPr>
              <w:t>Kanada: Steuer</w:t>
            </w:r>
          </w:p>
        </w:tc>
      </w:tr>
      <w:tr w:rsidR="00C1548D" w14:paraId="70A50C0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7" w14:textId="77777777" w:rsidR="00C1548D" w:rsidRDefault="009B1B4B">
            <w:pPr>
              <w:spacing w:line="250" w:lineRule="auto"/>
            </w:pPr>
            <w:r>
              <w:rPr>
                <w:sz w:val="18"/>
                <w:szCs w:val="18"/>
              </w:rPr>
              <w:t>Canada Health Act</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8" w14:textId="77777777" w:rsidR="00C1548D" w:rsidRDefault="009B1B4B">
            <w:pPr>
              <w:spacing w:line="250" w:lineRule="auto"/>
            </w:pPr>
            <w:r>
              <w:rPr>
                <w:sz w:val="18"/>
                <w:szCs w:val="18"/>
              </w:rPr>
              <w:t>Rahmengesetz mit Mindeststandards für die öffentliche Gesundheitsversorgung, Umsetzung liegt bei den Provinzen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9" w14:textId="77777777" w:rsidR="00C1548D" w:rsidRDefault="009B1B4B">
            <w:pPr>
              <w:spacing w:line="250" w:lineRule="auto"/>
            </w:pPr>
            <w:r>
              <w:rPr>
                <w:sz w:val="18"/>
                <w:szCs w:val="18"/>
              </w:rPr>
              <w:t>Kanada: Gesundheit</w:t>
            </w:r>
          </w:p>
        </w:tc>
      </w:tr>
      <w:tr w:rsidR="00C1548D" w14:paraId="70A50C0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B" w14:textId="77777777" w:rsidR="00C1548D" w:rsidRDefault="009B1B4B">
            <w:pPr>
              <w:spacing w:line="250" w:lineRule="auto"/>
            </w:pPr>
            <w:r>
              <w:rPr>
                <w:sz w:val="18"/>
                <w:szCs w:val="18"/>
              </w:rPr>
              <w:t>Canada Pension Plan (CPP)</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C" w14:textId="77777777" w:rsidR="00C1548D" w:rsidRDefault="009B1B4B">
            <w:pPr>
              <w:spacing w:line="250" w:lineRule="auto"/>
            </w:pPr>
            <w:r>
              <w:rPr>
                <w:sz w:val="18"/>
                <w:szCs w:val="18"/>
              </w:rPr>
              <w:t>bundesweite gesetzliche Altersvorsorge, Beitrag je 5,95 % von Arbeitnehmer und Arbeitgeber</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D" w14:textId="77777777" w:rsidR="00C1548D" w:rsidRDefault="009B1B4B">
            <w:pPr>
              <w:spacing w:line="250" w:lineRule="auto"/>
            </w:pPr>
            <w:r>
              <w:rPr>
                <w:sz w:val="18"/>
                <w:szCs w:val="18"/>
              </w:rPr>
              <w:t>Kanada: Überblick, Steuer</w:t>
            </w:r>
          </w:p>
        </w:tc>
      </w:tr>
      <w:tr w:rsidR="00C1548D" w14:paraId="70A50C1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0F" w14:textId="77777777" w:rsidR="00C1548D" w:rsidRDefault="009B1B4B">
            <w:pPr>
              <w:spacing w:line="250" w:lineRule="auto"/>
            </w:pPr>
            <w:r>
              <w:rPr>
                <w:sz w:val="18"/>
                <w:szCs w:val="18"/>
              </w:rPr>
              <w:t>Canada Revenue Agency (CRA)</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0" w14:textId="77777777" w:rsidR="00C1548D" w:rsidRDefault="009B1B4B">
            <w:pPr>
              <w:spacing w:line="250" w:lineRule="auto"/>
            </w:pPr>
            <w:r>
              <w:rPr>
                <w:sz w:val="18"/>
                <w:szCs w:val="18"/>
              </w:rPr>
              <w:t>kanadische Bundessteuerbehörde, vergleichbar mit Finanzamt und Bundeszentralamt für Steuern zusammen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1" w14:textId="77777777" w:rsidR="00C1548D" w:rsidRDefault="009B1B4B">
            <w:pPr>
              <w:spacing w:line="250" w:lineRule="auto"/>
            </w:pPr>
            <w:r>
              <w:rPr>
                <w:sz w:val="18"/>
                <w:szCs w:val="18"/>
              </w:rPr>
              <w:t>Kanada: Steuer</w:t>
            </w:r>
          </w:p>
        </w:tc>
      </w:tr>
      <w:tr w:rsidR="00C1548D" w14:paraId="70A50C1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3" w14:textId="77777777" w:rsidR="00C1548D" w:rsidRDefault="009B1B4B">
            <w:pPr>
              <w:spacing w:line="250" w:lineRule="auto"/>
            </w:pPr>
            <w:r>
              <w:rPr>
                <w:sz w:val="18"/>
                <w:szCs w:val="18"/>
              </w:rPr>
              <w:t>Canadian Charter of Rights and Freedoms</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4" w14:textId="77777777" w:rsidR="00C1548D" w:rsidRDefault="009B1B4B">
            <w:pPr>
              <w:spacing w:line="250" w:lineRule="auto"/>
            </w:pPr>
            <w:r>
              <w:rPr>
                <w:sz w:val="18"/>
                <w:szCs w:val="18"/>
              </w:rPr>
              <w:t>kanadische Grundrechtecharta, seit 1982 verfassungsrechtlich verankert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5" w14:textId="77777777" w:rsidR="00C1548D" w:rsidRDefault="009B1B4B">
            <w:pPr>
              <w:spacing w:line="250" w:lineRule="auto"/>
            </w:pPr>
            <w:r>
              <w:rPr>
                <w:sz w:val="18"/>
                <w:szCs w:val="18"/>
              </w:rPr>
              <w:t>Kanada: Recht, Kultur</w:t>
            </w:r>
          </w:p>
        </w:tc>
      </w:tr>
      <w:tr w:rsidR="00C1548D" w14:paraId="70A50C1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7" w14:textId="77777777" w:rsidR="00C1548D" w:rsidRDefault="009B1B4B">
            <w:pPr>
              <w:spacing w:line="250" w:lineRule="auto"/>
            </w:pPr>
            <w:r>
              <w:rPr>
                <w:sz w:val="18"/>
                <w:szCs w:val="18"/>
              </w:rPr>
              <w:t>Canadian Experience Class (CEC)</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8" w14:textId="77777777" w:rsidR="00C1548D" w:rsidRDefault="009B1B4B">
            <w:pPr>
              <w:spacing w:line="250" w:lineRule="auto"/>
            </w:pPr>
            <w:r>
              <w:rPr>
                <w:sz w:val="18"/>
                <w:szCs w:val="18"/>
              </w:rPr>
              <w:t>Express-Entry-Weg zur PR auf Basis bereits in Kanada gesammelter Berufserfahrung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9" w14:textId="77777777" w:rsidR="00C1548D" w:rsidRDefault="009B1B4B">
            <w:pPr>
              <w:spacing w:line="250" w:lineRule="auto"/>
            </w:pPr>
            <w:r>
              <w:rPr>
                <w:sz w:val="18"/>
                <w:szCs w:val="18"/>
              </w:rPr>
              <w:t>Kanada: Einwanderung</w:t>
            </w:r>
          </w:p>
        </w:tc>
      </w:tr>
      <w:tr w:rsidR="00C1548D" w14:paraId="70A50C1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B" w14:textId="77777777" w:rsidR="00C1548D" w:rsidRDefault="009B1B4B">
            <w:pPr>
              <w:spacing w:line="250" w:lineRule="auto"/>
            </w:pPr>
            <w:r>
              <w:rPr>
                <w:sz w:val="18"/>
                <w:szCs w:val="18"/>
              </w:rPr>
              <w:t>Canadian Language Benchmark (CLB)</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C" w14:textId="77777777" w:rsidR="00C1548D" w:rsidRDefault="009B1B4B">
            <w:pPr>
              <w:spacing w:line="250" w:lineRule="auto"/>
            </w:pPr>
            <w:r>
              <w:rPr>
                <w:sz w:val="18"/>
                <w:szCs w:val="18"/>
              </w:rPr>
              <w:t>offizielle kanadische Sprachniveau-Skala für Englisch beziehungsweise Französisch</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D" w14:textId="77777777" w:rsidR="00C1548D" w:rsidRDefault="009B1B4B">
            <w:pPr>
              <w:spacing w:line="250" w:lineRule="auto"/>
            </w:pPr>
            <w:r>
              <w:rPr>
                <w:sz w:val="18"/>
                <w:szCs w:val="18"/>
              </w:rPr>
              <w:t>Kanada: Einwanderung</w:t>
            </w:r>
          </w:p>
        </w:tc>
      </w:tr>
      <w:tr w:rsidR="00C1548D" w14:paraId="70A50C2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1F" w14:textId="77777777" w:rsidR="00C1548D" w:rsidRDefault="009B1B4B">
            <w:pPr>
              <w:spacing w:line="250" w:lineRule="auto"/>
            </w:pPr>
            <w:r>
              <w:rPr>
                <w:sz w:val="18"/>
                <w:szCs w:val="18"/>
              </w:rPr>
              <w:t>Cannabis Act</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0" w14:textId="77777777" w:rsidR="00C1548D" w:rsidRDefault="009B1B4B">
            <w:pPr>
              <w:spacing w:line="250" w:lineRule="auto"/>
            </w:pPr>
            <w:r>
              <w:rPr>
                <w:sz w:val="18"/>
                <w:szCs w:val="18"/>
              </w:rPr>
              <w:t>Bundesgesetz von 2018, macht Cannabis in ganz Kanada legal, anders als nach US-Bundesrecht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1" w14:textId="77777777" w:rsidR="00C1548D" w:rsidRDefault="009B1B4B">
            <w:pPr>
              <w:spacing w:line="250" w:lineRule="auto"/>
            </w:pPr>
            <w:r>
              <w:rPr>
                <w:sz w:val="18"/>
                <w:szCs w:val="18"/>
              </w:rPr>
              <w:t>Kanada: Recht</w:t>
            </w:r>
          </w:p>
        </w:tc>
      </w:tr>
      <w:tr w:rsidR="00C1548D" w14:paraId="70A50C2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3" w14:textId="77777777" w:rsidR="00C1548D" w:rsidRDefault="009B1B4B">
            <w:pPr>
              <w:spacing w:line="250" w:lineRule="auto"/>
            </w:pPr>
            <w:r>
              <w:rPr>
                <w:sz w:val="18"/>
                <w:szCs w:val="18"/>
              </w:rPr>
              <w:t>Certificate of Eligibility</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4" w14:textId="77777777" w:rsidR="00C1548D" w:rsidRDefault="009B1B4B">
            <w:pPr>
              <w:spacing w:line="250" w:lineRule="auto"/>
            </w:pPr>
            <w:r>
              <w:rPr>
                <w:sz w:val="18"/>
                <w:szCs w:val="18"/>
              </w:rPr>
              <w:t>Berechtigungsbescheinigung für englischsprachigen Schulunterricht in Québec</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5" w14:textId="77777777" w:rsidR="00C1548D" w:rsidRDefault="009B1B4B">
            <w:pPr>
              <w:spacing w:line="250" w:lineRule="auto"/>
            </w:pPr>
            <w:r>
              <w:rPr>
                <w:sz w:val="18"/>
                <w:szCs w:val="18"/>
              </w:rPr>
              <w:t>Kanada: Schule</w:t>
            </w:r>
          </w:p>
        </w:tc>
      </w:tr>
      <w:tr w:rsidR="00C1548D" w14:paraId="70A50C2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7" w14:textId="77777777" w:rsidR="00C1548D" w:rsidRDefault="009B1B4B">
            <w:pPr>
              <w:spacing w:line="250" w:lineRule="auto"/>
            </w:pPr>
            <w:r>
              <w:rPr>
                <w:sz w:val="18"/>
                <w:szCs w:val="18"/>
              </w:rPr>
              <w:t>Comprehensive Ranking System (CRS)</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8" w14:textId="77777777" w:rsidR="00C1548D" w:rsidRDefault="009B1B4B">
            <w:pPr>
              <w:spacing w:line="250" w:lineRule="auto"/>
            </w:pPr>
            <w:r>
              <w:rPr>
                <w:sz w:val="18"/>
                <w:szCs w:val="18"/>
              </w:rPr>
              <w:t>Punkteskala, nach der IRCC Kandidatenprofile im Express-Entry-Bewerberpool rangiert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9" w14:textId="77777777" w:rsidR="00C1548D" w:rsidRDefault="009B1B4B">
            <w:pPr>
              <w:spacing w:line="250" w:lineRule="auto"/>
            </w:pPr>
            <w:r>
              <w:rPr>
                <w:sz w:val="18"/>
                <w:szCs w:val="18"/>
              </w:rPr>
              <w:t>Kanada: Einwanderung</w:t>
            </w:r>
          </w:p>
        </w:tc>
      </w:tr>
      <w:tr w:rsidR="00C1548D" w14:paraId="70A50C2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B" w14:textId="77777777" w:rsidR="00C1548D" w:rsidRDefault="009B1B4B">
            <w:pPr>
              <w:spacing w:line="250" w:lineRule="auto"/>
            </w:pPr>
            <w:r>
              <w:rPr>
                <w:sz w:val="18"/>
                <w:szCs w:val="18"/>
              </w:rPr>
              <w:t>Confirmation of Permanent Residence (COPR)</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C" w14:textId="77777777" w:rsidR="00C1548D" w:rsidRDefault="009B1B4B">
            <w:pPr>
              <w:spacing w:line="250" w:lineRule="auto"/>
            </w:pPr>
            <w:r>
              <w:rPr>
                <w:sz w:val="18"/>
                <w:szCs w:val="18"/>
              </w:rPr>
              <w:t>Bestätigungsdokument, das bei der Einreise den PR-Status offiziell aktiviert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D" w14:textId="77777777" w:rsidR="00C1548D" w:rsidRDefault="009B1B4B">
            <w:pPr>
              <w:spacing w:line="250" w:lineRule="auto"/>
            </w:pPr>
            <w:r>
              <w:rPr>
                <w:sz w:val="18"/>
                <w:szCs w:val="18"/>
              </w:rPr>
              <w:t>Kanada: Ankunft</w:t>
            </w:r>
          </w:p>
        </w:tc>
      </w:tr>
      <w:tr w:rsidR="00C1548D" w14:paraId="70A50C3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2F" w14:textId="77777777" w:rsidR="00C1548D" w:rsidRDefault="009B1B4B">
            <w:pPr>
              <w:spacing w:line="250" w:lineRule="auto"/>
            </w:pPr>
            <w:r>
              <w:rPr>
                <w:sz w:val="18"/>
                <w:szCs w:val="18"/>
              </w:rPr>
              <w:t>Credit Report</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0" w14:textId="77777777" w:rsidR="00C1548D" w:rsidRDefault="009B1B4B">
            <w:pPr>
              <w:spacing w:line="250" w:lineRule="auto"/>
            </w:pPr>
            <w:r>
              <w:rPr>
                <w:sz w:val="18"/>
                <w:szCs w:val="18"/>
              </w:rPr>
              <w:t>kanadische Bonitätsauskunft auf einer Skala von 300 bis 900, ausländische Kredithistorie wird nicht übernommen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1" w14:textId="77777777" w:rsidR="00C1548D" w:rsidRDefault="009B1B4B">
            <w:pPr>
              <w:spacing w:line="250" w:lineRule="auto"/>
            </w:pPr>
            <w:r>
              <w:rPr>
                <w:sz w:val="18"/>
                <w:szCs w:val="18"/>
              </w:rPr>
              <w:t>Kanada: Wohnen, Steuer</w:t>
            </w:r>
          </w:p>
        </w:tc>
      </w:tr>
      <w:tr w:rsidR="00C1548D" w14:paraId="70A50C3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3" w14:textId="77777777" w:rsidR="00C1548D" w:rsidRDefault="009B1B4B">
            <w:pPr>
              <w:spacing w:line="250" w:lineRule="auto"/>
            </w:pPr>
            <w:r>
              <w:rPr>
                <w:sz w:val="18"/>
                <w:szCs w:val="18"/>
              </w:rPr>
              <w:lastRenderedPageBreak/>
              <w:t>Demerit Points</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4" w14:textId="77777777" w:rsidR="00C1548D" w:rsidRDefault="009B1B4B">
            <w:pPr>
              <w:spacing w:line="250" w:lineRule="auto"/>
            </w:pPr>
            <w:r>
              <w:rPr>
                <w:sz w:val="18"/>
                <w:szCs w:val="18"/>
              </w:rPr>
              <w:t>Strafpunkte im Führerscheinregister, von jeder Provinz eigenständig geführt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5" w14:textId="77777777" w:rsidR="00C1548D" w:rsidRDefault="009B1B4B">
            <w:pPr>
              <w:spacing w:line="250" w:lineRule="auto"/>
            </w:pPr>
            <w:r>
              <w:rPr>
                <w:sz w:val="18"/>
                <w:szCs w:val="18"/>
              </w:rPr>
              <w:t>Kanada: Führerschein</w:t>
            </w:r>
          </w:p>
        </w:tc>
      </w:tr>
      <w:tr w:rsidR="00C1548D" w14:paraId="70A50C3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7" w14:textId="77777777" w:rsidR="00C1548D" w:rsidRDefault="009B1B4B">
            <w:pPr>
              <w:spacing w:line="250" w:lineRule="auto"/>
            </w:pPr>
            <w:r>
              <w:rPr>
                <w:sz w:val="18"/>
                <w:szCs w:val="18"/>
              </w:rPr>
              <w:t>Educational Credential Assessment (ECA)</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8" w14:textId="77777777" w:rsidR="00C1548D" w:rsidRDefault="009B1B4B">
            <w:pPr>
              <w:spacing w:line="250" w:lineRule="auto"/>
            </w:pPr>
            <w:r>
              <w:rPr>
                <w:sz w:val="18"/>
                <w:szCs w:val="18"/>
              </w:rPr>
              <w:t>amtlich anerkannte Bewertung eines ausländischen Bildungsabschlusses</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9" w14:textId="77777777" w:rsidR="00C1548D" w:rsidRDefault="009B1B4B">
            <w:pPr>
              <w:spacing w:line="250" w:lineRule="auto"/>
            </w:pPr>
            <w:r>
              <w:rPr>
                <w:sz w:val="18"/>
                <w:szCs w:val="18"/>
              </w:rPr>
              <w:t>Kanada: Einwanderung</w:t>
            </w:r>
          </w:p>
        </w:tc>
      </w:tr>
      <w:tr w:rsidR="00C1548D" w14:paraId="70A50C3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B" w14:textId="77777777" w:rsidR="00C1548D" w:rsidRDefault="009B1B4B">
            <w:pPr>
              <w:spacing w:line="250" w:lineRule="auto"/>
            </w:pPr>
            <w:r>
              <w:rPr>
                <w:sz w:val="18"/>
                <w:szCs w:val="18"/>
              </w:rPr>
              <w:t>Employment Insurance (EI)</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C" w14:textId="77777777" w:rsidR="00C1548D" w:rsidRDefault="009B1B4B">
            <w:pPr>
              <w:spacing w:line="250" w:lineRule="auto"/>
            </w:pPr>
            <w:r>
              <w:rPr>
                <w:sz w:val="18"/>
                <w:szCs w:val="18"/>
              </w:rPr>
              <w:t>kanadische Arbeitslosenversicherung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D" w14:textId="77777777" w:rsidR="00C1548D" w:rsidRDefault="009B1B4B">
            <w:pPr>
              <w:spacing w:line="250" w:lineRule="auto"/>
            </w:pPr>
            <w:r>
              <w:rPr>
                <w:sz w:val="18"/>
                <w:szCs w:val="18"/>
              </w:rPr>
              <w:t>Kanada: Arbeit</w:t>
            </w:r>
          </w:p>
        </w:tc>
      </w:tr>
      <w:tr w:rsidR="00C1548D" w14:paraId="70A50C4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3F" w14:textId="77777777" w:rsidR="00C1548D" w:rsidRDefault="009B1B4B">
            <w:pPr>
              <w:spacing w:line="250" w:lineRule="auto"/>
            </w:pPr>
            <w:r>
              <w:rPr>
                <w:sz w:val="18"/>
                <w:szCs w:val="18"/>
              </w:rPr>
              <w:t>Employment Standards Act</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0" w14:textId="77777777" w:rsidR="00C1548D" w:rsidRDefault="009B1B4B">
            <w:pPr>
              <w:spacing w:line="250" w:lineRule="auto"/>
            </w:pPr>
            <w:r>
              <w:rPr>
                <w:sz w:val="18"/>
                <w:szCs w:val="18"/>
              </w:rPr>
              <w:t>provinzielles Arbeitsstandardgesetz, regelt Mindesturlaub, Kündigungsfrist und Feiertage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1" w14:textId="77777777" w:rsidR="00C1548D" w:rsidRDefault="009B1B4B">
            <w:pPr>
              <w:spacing w:line="250" w:lineRule="auto"/>
            </w:pPr>
            <w:r>
              <w:rPr>
                <w:sz w:val="18"/>
                <w:szCs w:val="18"/>
              </w:rPr>
              <w:t>Kanada: Arbeit</w:t>
            </w:r>
          </w:p>
        </w:tc>
      </w:tr>
      <w:tr w:rsidR="00C1548D" w14:paraId="70A50C4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3" w14:textId="77777777" w:rsidR="00C1548D" w:rsidRDefault="009B1B4B">
            <w:pPr>
              <w:spacing w:line="250" w:lineRule="auto"/>
            </w:pPr>
            <w:r>
              <w:rPr>
                <w:sz w:val="18"/>
                <w:szCs w:val="18"/>
              </w:rPr>
              <w:t>eTA (Electronic Travel Authorization)</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4" w14:textId="77777777" w:rsidR="00C1548D" w:rsidRDefault="009B1B4B">
            <w:pPr>
              <w:spacing w:line="250" w:lineRule="auto"/>
            </w:pPr>
            <w:r>
              <w:rPr>
                <w:sz w:val="18"/>
                <w:szCs w:val="18"/>
              </w:rPr>
              <w:t>elektronische Einreisegenehmigung für visumfreie Besuchsreisen, keine Arbeitsberechtigung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5" w14:textId="77777777" w:rsidR="00C1548D" w:rsidRDefault="009B1B4B">
            <w:pPr>
              <w:spacing w:line="250" w:lineRule="auto"/>
            </w:pPr>
            <w:r>
              <w:rPr>
                <w:sz w:val="18"/>
                <w:szCs w:val="18"/>
              </w:rPr>
              <w:t>Kanada: Einwanderung</w:t>
            </w:r>
          </w:p>
        </w:tc>
      </w:tr>
      <w:tr w:rsidR="00C1548D" w14:paraId="70A50C4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7" w14:textId="77777777" w:rsidR="00C1548D" w:rsidRDefault="009B1B4B">
            <w:pPr>
              <w:spacing w:line="250" w:lineRule="auto"/>
            </w:pPr>
            <w:r>
              <w:rPr>
                <w:sz w:val="18"/>
                <w:szCs w:val="18"/>
              </w:rPr>
              <w:t>Express Entry</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8" w14:textId="77777777" w:rsidR="00C1548D" w:rsidRDefault="009B1B4B">
            <w:pPr>
              <w:spacing w:line="250" w:lineRule="auto"/>
            </w:pPr>
            <w:r>
              <w:rPr>
                <w:sz w:val="18"/>
                <w:szCs w:val="18"/>
              </w:rPr>
              <w:t>bundesweites Online-Punktesystem für die wirtschaftliche Einwanderung, bündelt FSW, CEC und FST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9" w14:textId="77777777" w:rsidR="00C1548D" w:rsidRDefault="009B1B4B">
            <w:pPr>
              <w:spacing w:line="250" w:lineRule="auto"/>
            </w:pPr>
            <w:r>
              <w:rPr>
                <w:sz w:val="18"/>
                <w:szCs w:val="18"/>
              </w:rPr>
              <w:t>Kanada: Einwanderung</w:t>
            </w:r>
          </w:p>
        </w:tc>
      </w:tr>
      <w:tr w:rsidR="00C1548D" w14:paraId="70A50C4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B" w14:textId="77777777" w:rsidR="00C1548D" w:rsidRDefault="009B1B4B">
            <w:pPr>
              <w:spacing w:line="250" w:lineRule="auto"/>
            </w:pPr>
            <w:r>
              <w:rPr>
                <w:sz w:val="18"/>
                <w:szCs w:val="18"/>
              </w:rPr>
              <w:t>Extended Health Benefits</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C" w14:textId="77777777" w:rsidR="00C1548D" w:rsidRDefault="009B1B4B">
            <w:pPr>
              <w:spacing w:line="250" w:lineRule="auto"/>
            </w:pPr>
            <w:r>
              <w:rPr>
                <w:sz w:val="18"/>
                <w:szCs w:val="18"/>
              </w:rPr>
              <w:t>arbeitgeberfinanzierte Zusatzversicherung für Zahn, Medikamente, Sehhilfen und Physiotherapie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D" w14:textId="77777777" w:rsidR="00C1548D" w:rsidRDefault="009B1B4B">
            <w:pPr>
              <w:spacing w:line="250" w:lineRule="auto"/>
            </w:pPr>
            <w:r>
              <w:rPr>
                <w:sz w:val="18"/>
                <w:szCs w:val="18"/>
              </w:rPr>
              <w:t>Kanada: Gesundheit</w:t>
            </w:r>
          </w:p>
        </w:tc>
      </w:tr>
      <w:tr w:rsidR="00C1548D" w14:paraId="70A50C5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4F" w14:textId="77777777" w:rsidR="00C1548D" w:rsidRDefault="009B1B4B">
            <w:pPr>
              <w:spacing w:line="250" w:lineRule="auto"/>
            </w:pPr>
            <w:r>
              <w:rPr>
                <w:sz w:val="18"/>
                <w:szCs w:val="18"/>
              </w:rPr>
              <w:t>Federal Skilled Worker (FSW)</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0" w14:textId="77777777" w:rsidR="00C1548D" w:rsidRDefault="009B1B4B">
            <w:pPr>
              <w:spacing w:line="250" w:lineRule="auto"/>
            </w:pPr>
            <w:r>
              <w:rPr>
                <w:sz w:val="18"/>
                <w:szCs w:val="18"/>
              </w:rPr>
              <w:t>Express-Entry-Weg für Fachkräfte ohne Kanada-Bezug, mit eigenem 67-Punkte-Zulassungsraster</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1" w14:textId="77777777" w:rsidR="00C1548D" w:rsidRDefault="009B1B4B">
            <w:pPr>
              <w:spacing w:line="250" w:lineRule="auto"/>
            </w:pPr>
            <w:r>
              <w:rPr>
                <w:sz w:val="18"/>
                <w:szCs w:val="18"/>
              </w:rPr>
              <w:t>Kanada: Einwanderung</w:t>
            </w:r>
          </w:p>
        </w:tc>
      </w:tr>
      <w:tr w:rsidR="00C1548D" w14:paraId="70A50C5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3" w14:textId="77777777" w:rsidR="00C1548D" w:rsidRDefault="009B1B4B">
            <w:pPr>
              <w:spacing w:line="250" w:lineRule="auto"/>
            </w:pPr>
            <w:r>
              <w:rPr>
                <w:sz w:val="18"/>
                <w:szCs w:val="18"/>
              </w:rPr>
              <w:t>French Immersion</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4" w14:textId="77777777" w:rsidR="00C1548D" w:rsidRDefault="009B1B4B">
            <w:pPr>
              <w:spacing w:line="250" w:lineRule="auto"/>
            </w:pPr>
            <w:r>
              <w:rPr>
                <w:sz w:val="18"/>
                <w:szCs w:val="18"/>
              </w:rPr>
              <w:t>optionaler zweisprachiger Schulzweig an regulären englischsprachigen Schulen, kostenlos</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5" w14:textId="77777777" w:rsidR="00C1548D" w:rsidRDefault="009B1B4B">
            <w:pPr>
              <w:spacing w:line="250" w:lineRule="auto"/>
            </w:pPr>
            <w:r>
              <w:rPr>
                <w:sz w:val="18"/>
                <w:szCs w:val="18"/>
              </w:rPr>
              <w:t>Kanada: Schule</w:t>
            </w:r>
          </w:p>
        </w:tc>
      </w:tr>
      <w:tr w:rsidR="00C1548D" w14:paraId="70A50C5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7" w14:textId="77777777" w:rsidR="00C1548D" w:rsidRDefault="009B1B4B">
            <w:pPr>
              <w:spacing w:line="250" w:lineRule="auto"/>
            </w:pPr>
            <w:r>
              <w:rPr>
                <w:sz w:val="18"/>
                <w:szCs w:val="18"/>
              </w:rPr>
              <w:t>Goods and Services Tax (GST)</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8" w14:textId="77777777" w:rsidR="00C1548D" w:rsidRDefault="009B1B4B">
            <w:pPr>
              <w:spacing w:line="250" w:lineRule="auto"/>
            </w:pPr>
            <w:r>
              <w:rPr>
                <w:sz w:val="18"/>
                <w:szCs w:val="18"/>
              </w:rPr>
              <w:t>bundesweite Mehrwertsteuer von 5 %, in fünf Provinzen als Harmonized Sales Tax (HST) mit Provinzanteil kombiniert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9" w14:textId="77777777" w:rsidR="00C1548D" w:rsidRDefault="009B1B4B">
            <w:pPr>
              <w:spacing w:line="250" w:lineRule="auto"/>
            </w:pPr>
            <w:r>
              <w:rPr>
                <w:sz w:val="18"/>
                <w:szCs w:val="18"/>
              </w:rPr>
              <w:t>Kanada: Steuer</w:t>
            </w:r>
          </w:p>
        </w:tc>
      </w:tr>
      <w:tr w:rsidR="00C1548D" w14:paraId="70A50C5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B" w14:textId="77777777" w:rsidR="00C1548D" w:rsidRDefault="009B1B4B">
            <w:pPr>
              <w:spacing w:line="250" w:lineRule="auto"/>
            </w:pPr>
            <w:r>
              <w:rPr>
                <w:sz w:val="18"/>
                <w:szCs w:val="18"/>
              </w:rPr>
              <w:t>Immigration Medical Exam (IME)</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C" w14:textId="77777777" w:rsidR="00C1548D" w:rsidRDefault="009B1B4B">
            <w:pPr>
              <w:spacing w:line="250" w:lineRule="auto"/>
            </w:pPr>
            <w:r>
              <w:rPr>
                <w:sz w:val="18"/>
                <w:szCs w:val="18"/>
              </w:rPr>
              <w:t>Pflicht-Gesundheitsuntersuchung bei einem zugelassenen Panel Physician vor PR oder Visum</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D" w14:textId="77777777" w:rsidR="00C1548D" w:rsidRDefault="009B1B4B">
            <w:pPr>
              <w:spacing w:line="250" w:lineRule="auto"/>
            </w:pPr>
            <w:r>
              <w:rPr>
                <w:sz w:val="18"/>
                <w:szCs w:val="18"/>
              </w:rPr>
              <w:t>Kanada: Antrag</w:t>
            </w:r>
          </w:p>
        </w:tc>
      </w:tr>
      <w:tr w:rsidR="00C1548D" w14:paraId="70A50C6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5F" w14:textId="77777777" w:rsidR="00C1548D" w:rsidRDefault="009B1B4B">
            <w:pPr>
              <w:spacing w:line="250" w:lineRule="auto"/>
            </w:pPr>
            <w:r>
              <w:rPr>
                <w:sz w:val="18"/>
                <w:szCs w:val="18"/>
              </w:rPr>
              <w:t>Immigration, Refugees and Citizenship Canada (IRCC)</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0" w14:textId="77777777" w:rsidR="00C1548D" w:rsidRDefault="009B1B4B">
            <w:pPr>
              <w:spacing w:line="250" w:lineRule="auto"/>
            </w:pPr>
            <w:r>
              <w:rPr>
                <w:sz w:val="18"/>
                <w:szCs w:val="18"/>
              </w:rPr>
              <w:t>kanadische Einwanderungsbehörde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1" w14:textId="77777777" w:rsidR="00C1548D" w:rsidRDefault="009B1B4B">
            <w:pPr>
              <w:spacing w:line="250" w:lineRule="auto"/>
            </w:pPr>
            <w:r>
              <w:rPr>
                <w:sz w:val="18"/>
                <w:szCs w:val="18"/>
              </w:rPr>
              <w:t>Kanada: Einwanderung</w:t>
            </w:r>
          </w:p>
        </w:tc>
      </w:tr>
      <w:tr w:rsidR="00C1548D" w14:paraId="70A50C6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3" w14:textId="77777777" w:rsidR="00C1548D" w:rsidRDefault="009B1B4B">
            <w:pPr>
              <w:spacing w:line="250" w:lineRule="auto"/>
            </w:pPr>
            <w:r>
              <w:rPr>
                <w:sz w:val="18"/>
                <w:szCs w:val="18"/>
              </w:rPr>
              <w:lastRenderedPageBreak/>
              <w:t>International Mobility Program (IMP)</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4" w14:textId="77777777" w:rsidR="00C1548D" w:rsidRDefault="009B1B4B">
            <w:pPr>
              <w:spacing w:line="250" w:lineRule="auto"/>
            </w:pPr>
            <w:r>
              <w:rPr>
                <w:sz w:val="18"/>
                <w:szCs w:val="18"/>
              </w:rPr>
              <w:t>befreit von der LMIA-Pflicht, wenn die Stelle einen breiteren Nutzen für Kanada hat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5" w14:textId="77777777" w:rsidR="00C1548D" w:rsidRDefault="009B1B4B">
            <w:pPr>
              <w:spacing w:line="250" w:lineRule="auto"/>
            </w:pPr>
            <w:r>
              <w:rPr>
                <w:sz w:val="18"/>
                <w:szCs w:val="18"/>
              </w:rPr>
              <w:t>Kanada: Einwanderung</w:t>
            </w:r>
          </w:p>
        </w:tc>
      </w:tr>
      <w:tr w:rsidR="00C1548D" w14:paraId="70A50C6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7" w14:textId="77777777" w:rsidR="00C1548D" w:rsidRDefault="009B1B4B">
            <w:pPr>
              <w:spacing w:line="250" w:lineRule="auto"/>
            </w:pPr>
            <w:r>
              <w:rPr>
                <w:sz w:val="18"/>
                <w:szCs w:val="18"/>
              </w:rPr>
              <w:t>Invitation to Apply (ITA)</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8" w14:textId="77777777" w:rsidR="00C1548D" w:rsidRDefault="009B1B4B">
            <w:pPr>
              <w:spacing w:line="250" w:lineRule="auto"/>
            </w:pPr>
            <w:r>
              <w:rPr>
                <w:sz w:val="18"/>
                <w:szCs w:val="18"/>
              </w:rPr>
              <w:t>Einladung zur PR-Antragstellung nach ausreichendem CRS-Score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9" w14:textId="77777777" w:rsidR="00C1548D" w:rsidRDefault="009B1B4B">
            <w:pPr>
              <w:spacing w:line="250" w:lineRule="auto"/>
            </w:pPr>
            <w:r>
              <w:rPr>
                <w:sz w:val="18"/>
                <w:szCs w:val="18"/>
              </w:rPr>
              <w:t>Kanada: Einwanderung</w:t>
            </w:r>
          </w:p>
        </w:tc>
      </w:tr>
      <w:tr w:rsidR="00C1548D" w14:paraId="70A50C6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B" w14:textId="77777777" w:rsidR="00C1548D" w:rsidRDefault="009B1B4B">
            <w:pPr>
              <w:spacing w:line="250" w:lineRule="auto"/>
            </w:pPr>
            <w:r>
              <w:rPr>
                <w:sz w:val="18"/>
                <w:szCs w:val="18"/>
              </w:rPr>
              <w:t>Job Bank</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C" w14:textId="77777777" w:rsidR="00C1548D" w:rsidRDefault="009B1B4B">
            <w:pPr>
              <w:spacing w:line="250" w:lineRule="auto"/>
            </w:pPr>
            <w:r>
              <w:rPr>
                <w:sz w:val="18"/>
                <w:szCs w:val="18"/>
              </w:rPr>
              <w:t>kostenlose Jobbörse des kanadischen Arbeitsministeriums</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D" w14:textId="77777777" w:rsidR="00C1548D" w:rsidRDefault="009B1B4B">
            <w:pPr>
              <w:spacing w:line="250" w:lineRule="auto"/>
            </w:pPr>
            <w:r>
              <w:rPr>
                <w:sz w:val="18"/>
                <w:szCs w:val="18"/>
              </w:rPr>
              <w:t>Kanada: Arbeit</w:t>
            </w:r>
          </w:p>
        </w:tc>
      </w:tr>
      <w:tr w:rsidR="00C1548D" w14:paraId="70A50C7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6F" w14:textId="77777777" w:rsidR="00C1548D" w:rsidRDefault="009B1B4B">
            <w:pPr>
              <w:spacing w:line="250" w:lineRule="auto"/>
            </w:pPr>
            <w:r>
              <w:rPr>
                <w:sz w:val="18"/>
                <w:szCs w:val="18"/>
              </w:rPr>
              <w:t>Labour Market Impact Assessment (LMIA)</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0" w14:textId="77777777" w:rsidR="00C1548D" w:rsidRDefault="009B1B4B">
            <w:pPr>
              <w:spacing w:line="250" w:lineRule="auto"/>
            </w:pPr>
            <w:r>
              <w:rPr>
                <w:sz w:val="18"/>
                <w:szCs w:val="18"/>
              </w:rPr>
              <w:t>Arbeitsmarkttest, mit dem ein Arbeitgeber die fehlende Verfügbarkeit kanadischer Bewerber nachweist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1" w14:textId="77777777" w:rsidR="00C1548D" w:rsidRDefault="009B1B4B">
            <w:pPr>
              <w:spacing w:line="250" w:lineRule="auto"/>
            </w:pPr>
            <w:r>
              <w:rPr>
                <w:sz w:val="18"/>
                <w:szCs w:val="18"/>
              </w:rPr>
              <w:t>Kanada: Einwanderung, Arbeit</w:t>
            </w:r>
          </w:p>
        </w:tc>
      </w:tr>
      <w:tr w:rsidR="00C1548D" w14:paraId="70A50C7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3" w14:textId="77777777" w:rsidR="00C1548D" w:rsidRDefault="009B1B4B">
            <w:pPr>
              <w:spacing w:line="250" w:lineRule="auto"/>
            </w:pPr>
            <w:r>
              <w:rPr>
                <w:sz w:val="18"/>
                <w:szCs w:val="18"/>
              </w:rPr>
              <w:t>Land Transfer Tax</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4" w14:textId="77777777" w:rsidR="00C1548D" w:rsidRDefault="009B1B4B">
            <w:pPr>
              <w:spacing w:line="250" w:lineRule="auto"/>
            </w:pPr>
            <w:r>
              <w:rPr>
                <w:sz w:val="18"/>
                <w:szCs w:val="18"/>
              </w:rPr>
              <w:t>Grunderwerbsteuer beim Immobilienkauf, gestaffelt nach Kaufpreis und Provinz</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5" w14:textId="77777777" w:rsidR="00C1548D" w:rsidRDefault="009B1B4B">
            <w:pPr>
              <w:spacing w:line="250" w:lineRule="auto"/>
            </w:pPr>
            <w:r>
              <w:rPr>
                <w:sz w:val="18"/>
                <w:szCs w:val="18"/>
              </w:rPr>
              <w:t>Kanada: Wohnen</w:t>
            </w:r>
          </w:p>
        </w:tc>
      </w:tr>
      <w:tr w:rsidR="00C1548D" w14:paraId="70A50C7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7" w14:textId="77777777" w:rsidR="00C1548D" w:rsidRDefault="009B1B4B">
            <w:pPr>
              <w:spacing w:line="250" w:lineRule="auto"/>
            </w:pPr>
            <w:r>
              <w:rPr>
                <w:sz w:val="18"/>
                <w:szCs w:val="18"/>
              </w:rPr>
              <w:t>Low Income Cut-Off (LICO)</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8" w14:textId="77777777" w:rsidR="00C1548D" w:rsidRDefault="009B1B4B">
            <w:pPr>
              <w:spacing w:line="250" w:lineRule="auto"/>
            </w:pPr>
            <w:r>
              <w:rPr>
                <w:sz w:val="18"/>
                <w:szCs w:val="18"/>
              </w:rPr>
              <w:t>Einkommensschwelle, Grundlage für das Mindesteinkommen beim Eltern-/Großeltern-Sponsoring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9" w14:textId="77777777" w:rsidR="00C1548D" w:rsidRDefault="009B1B4B">
            <w:pPr>
              <w:spacing w:line="250" w:lineRule="auto"/>
            </w:pPr>
            <w:r>
              <w:rPr>
                <w:sz w:val="18"/>
                <w:szCs w:val="18"/>
              </w:rPr>
              <w:t>Kanada: Familie</w:t>
            </w:r>
          </w:p>
        </w:tc>
      </w:tr>
      <w:tr w:rsidR="00C1548D" w14:paraId="70A50C7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B" w14:textId="77777777" w:rsidR="00C1548D" w:rsidRDefault="009B1B4B">
            <w:pPr>
              <w:spacing w:line="250" w:lineRule="auto"/>
            </w:pPr>
            <w:r>
              <w:rPr>
                <w:sz w:val="18"/>
                <w:szCs w:val="18"/>
              </w:rPr>
              <w:t>My Service Canada Account (MSCA)</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C" w14:textId="77777777" w:rsidR="00C1548D" w:rsidRDefault="009B1B4B">
            <w:pPr>
              <w:spacing w:line="250" w:lineRule="auto"/>
            </w:pPr>
            <w:r>
              <w:rPr>
                <w:sz w:val="18"/>
                <w:szCs w:val="18"/>
              </w:rPr>
              <w:t>persönliches Online-Konto bei Service Canada, unter anderem für die SIN-Bestätigung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D" w14:textId="77777777" w:rsidR="00C1548D" w:rsidRDefault="009B1B4B">
            <w:pPr>
              <w:spacing w:line="250" w:lineRule="auto"/>
            </w:pPr>
            <w:r>
              <w:rPr>
                <w:sz w:val="18"/>
                <w:szCs w:val="18"/>
              </w:rPr>
              <w:t>Kanada: Ankunft, Steuer</w:t>
            </w:r>
          </w:p>
        </w:tc>
      </w:tr>
      <w:tr w:rsidR="00C1548D" w14:paraId="70A50C8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7F" w14:textId="77777777" w:rsidR="00C1548D" w:rsidRDefault="009B1B4B">
            <w:pPr>
              <w:spacing w:line="250" w:lineRule="auto"/>
            </w:pPr>
            <w:r>
              <w:rPr>
                <w:sz w:val="18"/>
                <w:szCs w:val="18"/>
              </w:rPr>
              <w:t>National Occupational Classification (NOC)</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0" w14:textId="77777777" w:rsidR="00C1548D" w:rsidRDefault="009B1B4B">
            <w:pPr>
              <w:spacing w:line="250" w:lineRule="auto"/>
            </w:pPr>
            <w:r>
              <w:rPr>
                <w:sz w:val="18"/>
                <w:szCs w:val="18"/>
              </w:rPr>
              <w:t>kanadisches Berufsklassifikationssystem, gestaffelt nach TEER-Anforderungsstufen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1" w14:textId="77777777" w:rsidR="00C1548D" w:rsidRDefault="009B1B4B">
            <w:pPr>
              <w:spacing w:line="250" w:lineRule="auto"/>
            </w:pPr>
            <w:r>
              <w:rPr>
                <w:sz w:val="18"/>
                <w:szCs w:val="18"/>
              </w:rPr>
              <w:t>Kanada: Arbeit</w:t>
            </w:r>
          </w:p>
        </w:tc>
      </w:tr>
      <w:tr w:rsidR="00C1548D" w14:paraId="70A50C8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3" w14:textId="77777777" w:rsidR="00C1548D" w:rsidRDefault="009B1B4B">
            <w:pPr>
              <w:spacing w:line="250" w:lineRule="auto"/>
            </w:pPr>
            <w:r>
              <w:rPr>
                <w:sz w:val="18"/>
                <w:szCs w:val="18"/>
              </w:rPr>
              <w:t>Open Work Permit</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4" w14:textId="77777777" w:rsidR="00C1548D" w:rsidRDefault="009B1B4B">
            <w:pPr>
              <w:spacing w:line="250" w:lineRule="auto"/>
            </w:pPr>
            <w:r>
              <w:rPr>
                <w:sz w:val="18"/>
                <w:szCs w:val="18"/>
              </w:rPr>
              <w:t>Arbeitsvisum ohne Bindung an einen einzelnen Arbeitgeber, etwa nach PGWP oder für mitreisende Partner</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5" w14:textId="77777777" w:rsidR="00C1548D" w:rsidRDefault="009B1B4B">
            <w:pPr>
              <w:spacing w:line="250" w:lineRule="auto"/>
            </w:pPr>
            <w:r>
              <w:rPr>
                <w:sz w:val="18"/>
                <w:szCs w:val="18"/>
              </w:rPr>
              <w:t>Kanada: Arbeit</w:t>
            </w:r>
          </w:p>
        </w:tc>
      </w:tr>
      <w:tr w:rsidR="00C1548D" w14:paraId="70A50C8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7" w14:textId="77777777" w:rsidR="00C1548D" w:rsidRDefault="009B1B4B">
            <w:pPr>
              <w:spacing w:line="250" w:lineRule="auto"/>
            </w:pPr>
            <w:r>
              <w:rPr>
                <w:sz w:val="18"/>
                <w:szCs w:val="18"/>
              </w:rPr>
              <w:t>Parent and Grandparent Program (PGP)</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8" w14:textId="77777777" w:rsidR="00C1548D" w:rsidRDefault="009B1B4B">
            <w:pPr>
              <w:spacing w:line="250" w:lineRule="auto"/>
            </w:pPr>
            <w:r>
              <w:rPr>
                <w:sz w:val="18"/>
                <w:szCs w:val="18"/>
              </w:rPr>
              <w:t>familienbasierter PR-Weg für Eltern und Großeltern, seit 2026 für Neuanträge pausiert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9" w14:textId="77777777" w:rsidR="00C1548D" w:rsidRDefault="009B1B4B">
            <w:pPr>
              <w:spacing w:line="250" w:lineRule="auto"/>
            </w:pPr>
            <w:r>
              <w:rPr>
                <w:sz w:val="18"/>
                <w:szCs w:val="18"/>
              </w:rPr>
              <w:t>Kanada: Familie</w:t>
            </w:r>
          </w:p>
        </w:tc>
      </w:tr>
      <w:tr w:rsidR="00C1548D" w14:paraId="70A50C8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B" w14:textId="77777777" w:rsidR="00C1548D" w:rsidRDefault="009B1B4B">
            <w:pPr>
              <w:spacing w:line="250" w:lineRule="auto"/>
            </w:pPr>
            <w:r>
              <w:rPr>
                <w:sz w:val="18"/>
                <w:szCs w:val="18"/>
              </w:rPr>
              <w:t>Permanent Residence (PR)</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C" w14:textId="77777777" w:rsidR="00C1548D" w:rsidRDefault="009B1B4B">
            <w:pPr>
              <w:spacing w:line="250" w:lineRule="auto"/>
            </w:pPr>
            <w:r>
              <w:rPr>
                <w:sz w:val="18"/>
                <w:szCs w:val="18"/>
              </w:rPr>
              <w:t>unbefristeter Aufenthaltsstatus Kanadas, funktional vergleichbar mit der US-Green-Card</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D" w14:textId="77777777" w:rsidR="00C1548D" w:rsidRDefault="009B1B4B">
            <w:pPr>
              <w:spacing w:line="250" w:lineRule="auto"/>
            </w:pPr>
            <w:r>
              <w:rPr>
                <w:sz w:val="18"/>
                <w:szCs w:val="18"/>
              </w:rPr>
              <w:t>Kanada: Einwanderung, Staatsbürgerschaft</w:t>
            </w:r>
          </w:p>
        </w:tc>
      </w:tr>
      <w:tr w:rsidR="00C1548D" w14:paraId="70A50C9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8F" w14:textId="77777777" w:rsidR="00C1548D" w:rsidRDefault="009B1B4B">
            <w:pPr>
              <w:spacing w:line="250" w:lineRule="auto"/>
            </w:pPr>
            <w:r>
              <w:rPr>
                <w:sz w:val="18"/>
                <w:szCs w:val="18"/>
              </w:rPr>
              <w:t>Post-Graduation Work Permit (PGWP)</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0" w14:textId="77777777" w:rsidR="00C1548D" w:rsidRDefault="009B1B4B">
            <w:pPr>
              <w:spacing w:line="250" w:lineRule="auto"/>
            </w:pPr>
            <w:r>
              <w:rPr>
                <w:sz w:val="18"/>
                <w:szCs w:val="18"/>
              </w:rPr>
              <w:t>befristetes Arbeitsvisum für Absolventen kanadischer Hochschulen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1" w14:textId="77777777" w:rsidR="00C1548D" w:rsidRDefault="009B1B4B">
            <w:pPr>
              <w:spacing w:line="250" w:lineRule="auto"/>
            </w:pPr>
            <w:r>
              <w:rPr>
                <w:sz w:val="18"/>
                <w:szCs w:val="18"/>
              </w:rPr>
              <w:t>Kanada: Einwanderung</w:t>
            </w:r>
          </w:p>
        </w:tc>
      </w:tr>
      <w:tr w:rsidR="00C1548D" w14:paraId="70A50C9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3" w14:textId="77777777" w:rsidR="00C1548D" w:rsidRDefault="009B1B4B">
            <w:pPr>
              <w:spacing w:line="250" w:lineRule="auto"/>
            </w:pPr>
            <w:r>
              <w:rPr>
                <w:sz w:val="18"/>
                <w:szCs w:val="18"/>
              </w:rPr>
              <w:lastRenderedPageBreak/>
              <w:t>Provincial Nominee Program (PNP)</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4" w14:textId="77777777" w:rsidR="00C1548D" w:rsidRDefault="009B1B4B">
            <w:pPr>
              <w:spacing w:line="250" w:lineRule="auto"/>
            </w:pPr>
            <w:r>
              <w:rPr>
                <w:sz w:val="18"/>
                <w:szCs w:val="18"/>
              </w:rPr>
              <w:t>provinzielles Nominierungsprogramm für die PR, mit eigenen Kriterien je Provinz</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5" w14:textId="77777777" w:rsidR="00C1548D" w:rsidRDefault="009B1B4B">
            <w:pPr>
              <w:spacing w:line="250" w:lineRule="auto"/>
            </w:pPr>
            <w:r>
              <w:rPr>
                <w:sz w:val="18"/>
                <w:szCs w:val="18"/>
              </w:rPr>
              <w:t>Kanada: Einwanderung</w:t>
            </w:r>
          </w:p>
        </w:tc>
      </w:tr>
      <w:tr w:rsidR="00C1548D" w14:paraId="70A50C9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7" w14:textId="77777777" w:rsidR="00C1548D" w:rsidRDefault="009B1B4B">
            <w:pPr>
              <w:spacing w:line="250" w:lineRule="auto"/>
            </w:pPr>
            <w:r>
              <w:rPr>
                <w:sz w:val="18"/>
                <w:szCs w:val="18"/>
              </w:rPr>
              <w:t>Regulated Canadian Immigration Consultant (RCIC)</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8" w14:textId="77777777" w:rsidR="00C1548D" w:rsidRDefault="009B1B4B">
            <w:pPr>
              <w:spacing w:line="250" w:lineRule="auto"/>
            </w:pPr>
            <w:r>
              <w:rPr>
                <w:sz w:val="18"/>
                <w:szCs w:val="18"/>
              </w:rPr>
              <w:t>zugelassener kanadischer Einwanderungsberater</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9" w14:textId="77777777" w:rsidR="00C1548D" w:rsidRDefault="009B1B4B">
            <w:pPr>
              <w:spacing w:line="250" w:lineRule="auto"/>
            </w:pPr>
            <w:r>
              <w:rPr>
                <w:sz w:val="18"/>
                <w:szCs w:val="18"/>
              </w:rPr>
              <w:t>Kanada: Antrag</w:t>
            </w:r>
          </w:p>
        </w:tc>
      </w:tr>
      <w:tr w:rsidR="00C1548D" w14:paraId="70A50C9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B" w14:textId="77777777" w:rsidR="00C1548D" w:rsidRDefault="009B1B4B">
            <w:pPr>
              <w:spacing w:line="250" w:lineRule="auto"/>
            </w:pPr>
            <w:r>
              <w:rPr>
                <w:sz w:val="18"/>
                <w:szCs w:val="18"/>
              </w:rPr>
              <w:t>Right of Permanent Residence Fee (RPRF)</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C" w14:textId="77777777" w:rsidR="00C1548D" w:rsidRDefault="009B1B4B">
            <w:pPr>
              <w:spacing w:line="250" w:lineRule="auto"/>
            </w:pPr>
            <w:r>
              <w:rPr>
                <w:sz w:val="18"/>
                <w:szCs w:val="18"/>
              </w:rPr>
              <w:t>separate Zusatzgebühr für das Recht auf permanenten Aufenthalt, 600 CAD pro Erwachsenem</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D" w14:textId="77777777" w:rsidR="00C1548D" w:rsidRDefault="009B1B4B">
            <w:pPr>
              <w:spacing w:line="250" w:lineRule="auto"/>
            </w:pPr>
            <w:r>
              <w:rPr>
                <w:sz w:val="18"/>
                <w:szCs w:val="18"/>
              </w:rPr>
              <w:t>Kanada: Antrag</w:t>
            </w:r>
          </w:p>
        </w:tc>
      </w:tr>
      <w:tr w:rsidR="00C1548D" w14:paraId="70A50CA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9F" w14:textId="77777777" w:rsidR="00C1548D" w:rsidRDefault="009B1B4B">
            <w:pPr>
              <w:spacing w:line="250" w:lineRule="auto"/>
            </w:pPr>
            <w:r>
              <w:rPr>
                <w:sz w:val="18"/>
                <w:szCs w:val="18"/>
              </w:rPr>
              <w:t>Royal Canadian Mounted Police (RCMP)</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0" w14:textId="77777777" w:rsidR="00C1548D" w:rsidRDefault="009B1B4B">
            <w:pPr>
              <w:spacing w:line="250" w:lineRule="auto"/>
            </w:pPr>
            <w:r>
              <w:rPr>
                <w:sz w:val="18"/>
                <w:szCs w:val="18"/>
              </w:rPr>
              <w:t>kanadische Bundespolizei, übernimmt in den meisten Provinzen auch die Alltagspolizei</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1" w14:textId="77777777" w:rsidR="00C1548D" w:rsidRDefault="009B1B4B">
            <w:pPr>
              <w:spacing w:line="250" w:lineRule="auto"/>
            </w:pPr>
            <w:r>
              <w:rPr>
                <w:sz w:val="18"/>
                <w:szCs w:val="18"/>
              </w:rPr>
              <w:t>Kanada: Recht</w:t>
            </w:r>
          </w:p>
        </w:tc>
      </w:tr>
      <w:tr w:rsidR="00C1548D" w14:paraId="70A50CA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3" w14:textId="77777777" w:rsidR="00C1548D" w:rsidRDefault="009B1B4B">
            <w:pPr>
              <w:spacing w:line="250" w:lineRule="auto"/>
            </w:pPr>
            <w:r>
              <w:rPr>
                <w:sz w:val="18"/>
                <w:szCs w:val="18"/>
              </w:rPr>
              <w:t>School Board</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4" w14:textId="77777777" w:rsidR="00C1548D" w:rsidRDefault="009B1B4B">
            <w:pPr>
              <w:spacing w:line="250" w:lineRule="auto"/>
            </w:pPr>
            <w:r>
              <w:rPr>
                <w:sz w:val="18"/>
                <w:szCs w:val="18"/>
              </w:rPr>
              <w:t>lokale Schulbehörde, setzt Einschulungsalter, Notenskala und Lehrplan der Provinz um</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5" w14:textId="77777777" w:rsidR="00C1548D" w:rsidRDefault="009B1B4B">
            <w:pPr>
              <w:spacing w:line="250" w:lineRule="auto"/>
            </w:pPr>
            <w:r>
              <w:rPr>
                <w:sz w:val="18"/>
                <w:szCs w:val="18"/>
              </w:rPr>
              <w:t>Kanada: Schule</w:t>
            </w:r>
          </w:p>
        </w:tc>
      </w:tr>
      <w:tr w:rsidR="00C1548D" w14:paraId="70A50CA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7" w14:textId="77777777" w:rsidR="00C1548D" w:rsidRDefault="009B1B4B">
            <w:pPr>
              <w:spacing w:line="250" w:lineRule="auto"/>
            </w:pPr>
            <w:r>
              <w:rPr>
                <w:sz w:val="18"/>
                <w:szCs w:val="18"/>
              </w:rPr>
              <w:t>Secured Credit Card</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8" w14:textId="77777777" w:rsidR="00C1548D" w:rsidRDefault="009B1B4B">
            <w:pPr>
              <w:spacing w:line="250" w:lineRule="auto"/>
            </w:pPr>
            <w:r>
              <w:rPr>
                <w:sz w:val="18"/>
                <w:szCs w:val="18"/>
              </w:rPr>
              <w:t>durch Kaution gedeckte Kreditkarte zum Aufbau einer kanadischen Kredithistorie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9" w14:textId="77777777" w:rsidR="00C1548D" w:rsidRDefault="009B1B4B">
            <w:pPr>
              <w:spacing w:line="250" w:lineRule="auto"/>
            </w:pPr>
            <w:r>
              <w:rPr>
                <w:sz w:val="18"/>
                <w:szCs w:val="18"/>
              </w:rPr>
              <w:t>Kanada: Steuer, Ankunft</w:t>
            </w:r>
          </w:p>
        </w:tc>
      </w:tr>
      <w:tr w:rsidR="00C1548D" w14:paraId="70A50CAE"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B" w14:textId="77777777" w:rsidR="00C1548D" w:rsidRDefault="009B1B4B">
            <w:pPr>
              <w:spacing w:line="250" w:lineRule="auto"/>
            </w:pPr>
            <w:r>
              <w:rPr>
                <w:sz w:val="18"/>
                <w:szCs w:val="18"/>
              </w:rPr>
              <w:t>Social Insurance Number (SIN)</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C" w14:textId="77777777" w:rsidR="00C1548D" w:rsidRDefault="009B1B4B">
            <w:pPr>
              <w:spacing w:line="250" w:lineRule="auto"/>
            </w:pPr>
            <w:r>
              <w:rPr>
                <w:sz w:val="18"/>
                <w:szCs w:val="18"/>
              </w:rPr>
              <w:t>neunstellige kanadische Sozialversicherungsnummer, Pflicht für Gehalt und Steuererklärung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D" w14:textId="77777777" w:rsidR="00C1548D" w:rsidRDefault="009B1B4B">
            <w:pPr>
              <w:spacing w:line="250" w:lineRule="auto"/>
            </w:pPr>
            <w:r>
              <w:rPr>
                <w:sz w:val="18"/>
                <w:szCs w:val="18"/>
              </w:rPr>
              <w:t>Kanada: Ankunft, Steuer</w:t>
            </w:r>
          </w:p>
        </w:tc>
      </w:tr>
      <w:tr w:rsidR="00C1548D" w14:paraId="70A50CB2"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AF" w14:textId="77777777" w:rsidR="00C1548D" w:rsidRDefault="009B1B4B">
            <w:pPr>
              <w:spacing w:line="250" w:lineRule="auto"/>
            </w:pPr>
            <w:r>
              <w:rPr>
                <w:sz w:val="18"/>
                <w:szCs w:val="18"/>
              </w:rPr>
              <w:t>Super Visa</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B0" w14:textId="77777777" w:rsidR="00C1548D" w:rsidRDefault="009B1B4B">
            <w:pPr>
              <w:spacing w:line="250" w:lineRule="auto"/>
            </w:pPr>
            <w:r>
              <w:rPr>
                <w:sz w:val="18"/>
                <w:szCs w:val="18"/>
              </w:rPr>
              <w:t>Mehrfacheinreise-Langzeit-Besuchervisum für Eltern und Großeltern, kein Daueraufenthaltstitel</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B1" w14:textId="77777777" w:rsidR="00C1548D" w:rsidRDefault="009B1B4B">
            <w:pPr>
              <w:spacing w:line="250" w:lineRule="auto"/>
            </w:pPr>
            <w:r>
              <w:rPr>
                <w:sz w:val="18"/>
                <w:szCs w:val="18"/>
              </w:rPr>
              <w:t>Kanada: Familie</w:t>
            </w:r>
          </w:p>
        </w:tc>
      </w:tr>
      <w:tr w:rsidR="00C1548D" w14:paraId="70A50CB6"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B3" w14:textId="77777777" w:rsidR="00C1548D" w:rsidRDefault="009B1B4B">
            <w:pPr>
              <w:spacing w:line="250" w:lineRule="auto"/>
            </w:pPr>
            <w:r>
              <w:rPr>
                <w:sz w:val="18"/>
                <w:szCs w:val="18"/>
              </w:rPr>
              <w:t>Temporary Foreign Worker Program (TFWP)</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B4" w14:textId="77777777" w:rsidR="00C1548D" w:rsidRDefault="009B1B4B">
            <w:pPr>
              <w:spacing w:line="250" w:lineRule="auto"/>
            </w:pPr>
            <w:r>
              <w:rPr>
                <w:sz w:val="18"/>
                <w:szCs w:val="18"/>
              </w:rPr>
              <w:t>arbeitsmarktgeprüftes, LMIA-pflichtiges Programm für befristete Arbeitskräfte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B5" w14:textId="77777777" w:rsidR="00C1548D" w:rsidRDefault="009B1B4B">
            <w:pPr>
              <w:spacing w:line="250" w:lineRule="auto"/>
            </w:pPr>
            <w:r>
              <w:rPr>
                <w:sz w:val="18"/>
                <w:szCs w:val="18"/>
              </w:rPr>
              <w:t>Kanada: Einwanderung, Arbeit</w:t>
            </w:r>
          </w:p>
        </w:tc>
      </w:tr>
      <w:tr w:rsidR="00C1548D" w14:paraId="70A50CBA"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B7" w14:textId="77777777" w:rsidR="00C1548D" w:rsidRDefault="009B1B4B">
            <w:pPr>
              <w:spacing w:line="250" w:lineRule="auto"/>
            </w:pPr>
            <w:r>
              <w:rPr>
                <w:sz w:val="18"/>
                <w:szCs w:val="18"/>
              </w:rPr>
              <w:t>Work Permit</w:t>
            </w:r>
          </w:p>
        </w:tc>
        <w:tc>
          <w:tcPr>
            <w:tcW w:w="28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B8" w14:textId="77777777" w:rsidR="00C1548D" w:rsidRDefault="009B1B4B">
            <w:pPr>
              <w:spacing w:line="250" w:lineRule="auto"/>
            </w:pPr>
            <w:r>
              <w:rPr>
                <w:sz w:val="18"/>
                <w:szCs w:val="18"/>
              </w:rPr>
              <w:t>befristete, meist arbeitgebergebundene kanadische Arbeitserlaubnis</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B9" w14:textId="77777777" w:rsidR="00C1548D" w:rsidRDefault="009B1B4B">
            <w:pPr>
              <w:spacing w:line="250" w:lineRule="auto"/>
            </w:pPr>
            <w:r>
              <w:rPr>
                <w:sz w:val="18"/>
                <w:szCs w:val="18"/>
              </w:rPr>
              <w:t>Kanada: Arbeit, Einwanderung</w:t>
            </w:r>
          </w:p>
        </w:tc>
      </w:tr>
    </w:tbl>
    <w:p w14:paraId="70A50CBB" w14:textId="77777777" w:rsidR="00C1548D" w:rsidRDefault="00C1548D">
      <w:pPr>
        <w:spacing w:line="180" w:lineRule="exact"/>
      </w:pPr>
    </w:p>
    <w:p w14:paraId="70A50CBC" w14:textId="77777777" w:rsidR="00C1548D" w:rsidRDefault="009B1B4B">
      <w:pPr>
        <w:pStyle w:val="Heading3"/>
        <w:keepNext/>
        <w:jc w:val="center"/>
      </w:pPr>
      <w:r>
        <w:rPr>
          <w:rFonts w:ascii="Amazon Ember" w:eastAsia="Amazon Ember" w:hAnsi="Amazon Ember" w:cs="Amazon Ember"/>
          <w:color w:val="0000FF"/>
          <w:sz w:val="36"/>
          <w:szCs w:val="36"/>
        </w:rPr>
        <w:lastRenderedPageBreak/>
        <w:t>Australien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77"/>
        <w:gridCol w:w="2962"/>
        <w:gridCol w:w="1541"/>
      </w:tblGrid>
      <w:tr w:rsidR="00C1548D" w14:paraId="70A50CC0" w14:textId="77777777">
        <w:tblPrEx>
          <w:tblCellMar>
            <w:top w:w="0" w:type="dxa"/>
            <w:bottom w:w="0" w:type="dxa"/>
          </w:tblCellMar>
        </w:tblPrEx>
        <w:trPr>
          <w:cantSplit/>
          <w:tblHeader/>
        </w:trPr>
        <w:tc>
          <w:tcPr>
            <w:tcW w:w="19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CBD" w14:textId="77777777" w:rsidR="00C1548D" w:rsidRDefault="009B1B4B">
            <w:pPr>
              <w:spacing w:line="250" w:lineRule="auto"/>
            </w:pPr>
            <w:r>
              <w:rPr>
                <w:b/>
                <w:bCs/>
                <w:sz w:val="18"/>
                <w:szCs w:val="18"/>
              </w:rPr>
              <w:t>Englisch</w:t>
            </w:r>
          </w:p>
        </w:tc>
        <w:tc>
          <w:tcPr>
            <w:tcW w:w="296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CBE" w14:textId="77777777" w:rsidR="00C1548D" w:rsidRDefault="009B1B4B">
            <w:pPr>
              <w:spacing w:line="250" w:lineRule="auto"/>
            </w:pPr>
            <w:r>
              <w:rPr>
                <w:b/>
                <w:bCs/>
                <w:sz w:val="18"/>
                <w:szCs w:val="18"/>
              </w:rPr>
              <w:t>Deutsch/Erklärung</w:t>
            </w:r>
          </w:p>
        </w:tc>
        <w:tc>
          <w:tcPr>
            <w:tcW w:w="154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CBF" w14:textId="77777777" w:rsidR="00C1548D" w:rsidRDefault="009B1B4B">
            <w:pPr>
              <w:spacing w:line="250" w:lineRule="auto"/>
            </w:pPr>
            <w:r>
              <w:rPr>
                <w:b/>
                <w:bCs/>
                <w:sz w:val="18"/>
                <w:szCs w:val="18"/>
              </w:rPr>
              <w:t>Referenz</w:t>
            </w:r>
          </w:p>
        </w:tc>
      </w:tr>
      <w:tr w:rsidR="00C1548D" w14:paraId="70A50CC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1" w14:textId="77777777" w:rsidR="00C1548D" w:rsidRDefault="009B1B4B">
            <w:pPr>
              <w:spacing w:line="250" w:lineRule="auto"/>
            </w:pPr>
            <w:r>
              <w:rPr>
                <w:sz w:val="18"/>
                <w:szCs w:val="18"/>
              </w:rPr>
              <w:t>Annual Market Salary Rate (AMSR)</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2" w14:textId="77777777" w:rsidR="00C1548D" w:rsidRDefault="009B1B4B">
            <w:pPr>
              <w:spacing w:line="250" w:lineRule="auto"/>
            </w:pPr>
            <w:r>
              <w:rPr>
                <w:sz w:val="18"/>
                <w:szCs w:val="18"/>
              </w:rPr>
              <w:t>marktüblicher Lohn für eine Position, neben der CSIT maßgeblich für die Lohnschwelle beim Subclass 482</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3" w14:textId="77777777" w:rsidR="00C1548D" w:rsidRDefault="009B1B4B">
            <w:pPr>
              <w:spacing w:line="250" w:lineRule="auto"/>
            </w:pPr>
            <w:r>
              <w:rPr>
                <w:sz w:val="18"/>
                <w:szCs w:val="18"/>
              </w:rPr>
              <w:t>Australien: Arbeit</w:t>
            </w:r>
          </w:p>
        </w:tc>
      </w:tr>
      <w:tr w:rsidR="00C1548D" w14:paraId="70A50CC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5" w14:textId="77777777" w:rsidR="00C1548D" w:rsidRDefault="009B1B4B">
            <w:pPr>
              <w:spacing w:line="250" w:lineRule="auto"/>
            </w:pPr>
            <w:r>
              <w:rPr>
                <w:sz w:val="18"/>
                <w:szCs w:val="18"/>
              </w:rPr>
              <w:t>Apostille</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6" w14:textId="77777777" w:rsidR="00C1548D" w:rsidRDefault="009B1B4B">
            <w:pPr>
              <w:spacing w:line="250" w:lineRule="auto"/>
            </w:pPr>
            <w:r>
              <w:rPr>
                <w:sz w:val="18"/>
                <w:szCs w:val="18"/>
              </w:rPr>
              <w:t>internationale Beglaubigung nach dem Haager Übereinkommen, für das deutsche Führungszeugnis bei Home Affairs zusätzlich nötig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7" w14:textId="77777777" w:rsidR="00C1548D" w:rsidRDefault="009B1B4B">
            <w:pPr>
              <w:spacing w:line="250" w:lineRule="auto"/>
            </w:pPr>
            <w:r>
              <w:rPr>
                <w:sz w:val="18"/>
                <w:szCs w:val="18"/>
              </w:rPr>
              <w:t>Australien: Antrag</w:t>
            </w:r>
          </w:p>
        </w:tc>
      </w:tr>
      <w:tr w:rsidR="00C1548D" w14:paraId="70A50CC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9" w14:textId="77777777" w:rsidR="00C1548D" w:rsidRDefault="009B1B4B">
            <w:pPr>
              <w:spacing w:line="250" w:lineRule="auto"/>
            </w:pPr>
            <w:r>
              <w:rPr>
                <w:sz w:val="18"/>
                <w:szCs w:val="18"/>
              </w:rPr>
              <w:t>Assurance of Support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A" w14:textId="77777777" w:rsidR="00C1548D" w:rsidRDefault="009B1B4B">
            <w:pPr>
              <w:spacing w:line="250" w:lineRule="auto"/>
            </w:pPr>
            <w:r>
              <w:rPr>
                <w:sz w:val="18"/>
                <w:szCs w:val="18"/>
              </w:rPr>
              <w:t>bei Services Australia für zehn Jahre hinterlegte, rückzahlbare Kaution eines Sponsors beim Contributory-Eltern-Visum</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B" w14:textId="77777777" w:rsidR="00C1548D" w:rsidRDefault="009B1B4B">
            <w:pPr>
              <w:spacing w:line="250" w:lineRule="auto"/>
            </w:pPr>
            <w:r>
              <w:rPr>
                <w:sz w:val="18"/>
                <w:szCs w:val="18"/>
              </w:rPr>
              <w:t>Australien: Familie</w:t>
            </w:r>
          </w:p>
        </w:tc>
      </w:tr>
      <w:tr w:rsidR="00C1548D" w14:paraId="70A50CD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D" w14:textId="77777777" w:rsidR="00C1548D" w:rsidRDefault="009B1B4B">
            <w:pPr>
              <w:spacing w:line="250" w:lineRule="auto"/>
            </w:pPr>
            <w:r>
              <w:rPr>
                <w:sz w:val="18"/>
                <w:szCs w:val="18"/>
              </w:rPr>
              <w:t>ATAR (Australian Tertiary Admission Rank)</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E" w14:textId="77777777" w:rsidR="00C1548D" w:rsidRDefault="009B1B4B">
            <w:pPr>
              <w:spacing w:line="250" w:lineRule="auto"/>
            </w:pPr>
            <w:r>
              <w:rPr>
                <w:sz w:val="18"/>
                <w:szCs w:val="18"/>
              </w:rPr>
              <w:t>Rangzahl zwischen 0 und 99,95 für die Universitätszulassung, misst die Schülerleistung relativ zum Jahrgang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CF" w14:textId="77777777" w:rsidR="00C1548D" w:rsidRDefault="009B1B4B">
            <w:pPr>
              <w:spacing w:line="250" w:lineRule="auto"/>
            </w:pPr>
            <w:r>
              <w:rPr>
                <w:sz w:val="18"/>
                <w:szCs w:val="18"/>
              </w:rPr>
              <w:t>Australien: Schule</w:t>
            </w:r>
          </w:p>
        </w:tc>
      </w:tr>
      <w:tr w:rsidR="00C1548D" w14:paraId="70A50CD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1" w14:textId="77777777" w:rsidR="00C1548D" w:rsidRDefault="009B1B4B">
            <w:pPr>
              <w:spacing w:line="250" w:lineRule="auto"/>
            </w:pPr>
            <w:r>
              <w:rPr>
                <w:sz w:val="18"/>
                <w:szCs w:val="18"/>
              </w:rPr>
              <w:t>ATO (Australian Taxation Office)</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2" w14:textId="77777777" w:rsidR="00C1548D" w:rsidRDefault="009B1B4B">
            <w:pPr>
              <w:spacing w:line="250" w:lineRule="auto"/>
            </w:pPr>
            <w:r>
              <w:rPr>
                <w:sz w:val="18"/>
                <w:szCs w:val="18"/>
              </w:rPr>
              <w:t>australische Finanzbehörde, zuständig für Einkommensteuer, TFN und Superannuation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3" w14:textId="77777777" w:rsidR="00C1548D" w:rsidRDefault="009B1B4B">
            <w:pPr>
              <w:spacing w:line="250" w:lineRule="auto"/>
            </w:pPr>
            <w:r>
              <w:rPr>
                <w:sz w:val="18"/>
                <w:szCs w:val="18"/>
              </w:rPr>
              <w:t>Australien: Steuer</w:t>
            </w:r>
          </w:p>
        </w:tc>
      </w:tr>
      <w:tr w:rsidR="00C1548D" w14:paraId="70A50CD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5" w14:textId="77777777" w:rsidR="00C1548D" w:rsidRDefault="009B1B4B">
            <w:pPr>
              <w:spacing w:line="250" w:lineRule="auto"/>
            </w:pPr>
            <w:r>
              <w:rPr>
                <w:sz w:val="18"/>
                <w:szCs w:val="18"/>
              </w:rPr>
              <w:t>Auction</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6" w14:textId="77777777" w:rsidR="00C1548D" w:rsidRDefault="009B1B4B">
            <w:pPr>
              <w:spacing w:line="250" w:lineRule="auto"/>
            </w:pPr>
            <w:r>
              <w:rPr>
                <w:sz w:val="18"/>
                <w:szCs w:val="18"/>
              </w:rPr>
              <w:t>öffentliche Immobilienversteigerung, in Melbourne und Sydney üblich; der Zuschlag ist meist sofort bindend, ohne Rücktrittsrecht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7" w14:textId="77777777" w:rsidR="00C1548D" w:rsidRDefault="009B1B4B">
            <w:pPr>
              <w:spacing w:line="250" w:lineRule="auto"/>
            </w:pPr>
            <w:r>
              <w:rPr>
                <w:sz w:val="18"/>
                <w:szCs w:val="18"/>
              </w:rPr>
              <w:t>Australien: Wohnen</w:t>
            </w:r>
          </w:p>
        </w:tc>
      </w:tr>
      <w:tr w:rsidR="00C1548D" w14:paraId="70A50CD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9" w14:textId="77777777" w:rsidR="00C1548D" w:rsidRDefault="009B1B4B">
            <w:pPr>
              <w:spacing w:line="250" w:lineRule="auto"/>
            </w:pPr>
            <w:r>
              <w:rPr>
                <w:sz w:val="18"/>
                <w:szCs w:val="18"/>
              </w:rPr>
              <w:t>Backpacker Tax</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A" w14:textId="77777777" w:rsidR="00C1548D" w:rsidRDefault="009B1B4B">
            <w:pPr>
              <w:spacing w:line="250" w:lineRule="auto"/>
            </w:pPr>
            <w:r>
              <w:rPr>
                <w:sz w:val="18"/>
                <w:szCs w:val="18"/>
              </w:rPr>
              <w:t>Steuertarif für Working-Holiday-Visuminhaber: 15 % auf jeden verdienten Dollar bis 45.000 AUD, ohne Steuerfreibetrag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B" w14:textId="77777777" w:rsidR="00C1548D" w:rsidRDefault="009B1B4B">
            <w:pPr>
              <w:spacing w:line="250" w:lineRule="auto"/>
            </w:pPr>
            <w:r>
              <w:rPr>
                <w:sz w:val="18"/>
                <w:szCs w:val="18"/>
              </w:rPr>
              <w:t>Australien: Steuer</w:t>
            </w:r>
          </w:p>
        </w:tc>
      </w:tr>
      <w:tr w:rsidR="00C1548D" w14:paraId="70A50CE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D" w14:textId="77777777" w:rsidR="00C1548D" w:rsidRDefault="009B1B4B">
            <w:pPr>
              <w:spacing w:line="250" w:lineRule="auto"/>
            </w:pPr>
            <w:r>
              <w:rPr>
                <w:sz w:val="18"/>
                <w:szCs w:val="18"/>
              </w:rPr>
              <w:t>Balance-of-Family-Test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E" w14:textId="77777777" w:rsidR="00C1548D" w:rsidRDefault="009B1B4B">
            <w:pPr>
              <w:spacing w:line="250" w:lineRule="auto"/>
            </w:pPr>
            <w:r>
              <w:rPr>
                <w:sz w:val="18"/>
                <w:szCs w:val="18"/>
              </w:rPr>
              <w:t>rein geografische Prüfung beim Eltern-Visum; bestanden nur, wenn mindestens die Hälfte der volljährigen Kinder in Australien lebt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DF" w14:textId="77777777" w:rsidR="00C1548D" w:rsidRDefault="009B1B4B">
            <w:pPr>
              <w:spacing w:line="250" w:lineRule="auto"/>
            </w:pPr>
            <w:r>
              <w:rPr>
                <w:sz w:val="18"/>
                <w:szCs w:val="18"/>
              </w:rPr>
              <w:t>Australien: Familie</w:t>
            </w:r>
          </w:p>
        </w:tc>
      </w:tr>
      <w:tr w:rsidR="00C1548D" w14:paraId="70A50CE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1" w14:textId="77777777" w:rsidR="00C1548D" w:rsidRDefault="009B1B4B">
            <w:pPr>
              <w:spacing w:line="250" w:lineRule="auto"/>
            </w:pPr>
            <w:r>
              <w:rPr>
                <w:sz w:val="18"/>
                <w:szCs w:val="18"/>
              </w:rPr>
              <w:t>Base Application Charge</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2" w14:textId="77777777" w:rsidR="00C1548D" w:rsidRDefault="009B1B4B">
            <w:pPr>
              <w:spacing w:line="250" w:lineRule="auto"/>
            </w:pPr>
            <w:r>
              <w:rPr>
                <w:sz w:val="18"/>
                <w:szCs w:val="18"/>
              </w:rPr>
              <w:t>die eigentliche Visumantragsgebühr, nur ein Teilposten neben Skills Assessment, Gesundheitscheck und Führungszeugnissen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3" w14:textId="77777777" w:rsidR="00C1548D" w:rsidRDefault="009B1B4B">
            <w:pPr>
              <w:spacing w:line="250" w:lineRule="auto"/>
            </w:pPr>
            <w:r>
              <w:rPr>
                <w:sz w:val="18"/>
                <w:szCs w:val="18"/>
              </w:rPr>
              <w:t>Australien: Antrag</w:t>
            </w:r>
          </w:p>
        </w:tc>
      </w:tr>
      <w:tr w:rsidR="00C1548D" w14:paraId="70A50CE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5" w14:textId="77777777" w:rsidR="00C1548D" w:rsidRDefault="009B1B4B">
            <w:pPr>
              <w:spacing w:line="250" w:lineRule="auto"/>
            </w:pPr>
            <w:r>
              <w:rPr>
                <w:sz w:val="18"/>
                <w:szCs w:val="18"/>
              </w:rPr>
              <w:lastRenderedPageBreak/>
              <w:t>Bond (Rental Bond)</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6" w14:textId="77777777" w:rsidR="00C1548D" w:rsidRDefault="009B1B4B">
            <w:pPr>
              <w:spacing w:line="250" w:lineRule="auto"/>
            </w:pPr>
            <w:r>
              <w:rPr>
                <w:sz w:val="18"/>
                <w:szCs w:val="18"/>
              </w:rPr>
              <w:t>Mietkaution, meist vier Wochen Miete, wird bei einer staatlichen Kautionsstelle hinterlegt statt beim Vermieter</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7" w14:textId="77777777" w:rsidR="00C1548D" w:rsidRDefault="009B1B4B">
            <w:pPr>
              <w:spacing w:line="250" w:lineRule="auto"/>
            </w:pPr>
            <w:r>
              <w:rPr>
                <w:sz w:val="18"/>
                <w:szCs w:val="18"/>
              </w:rPr>
              <w:t>Australien: Wohnen</w:t>
            </w:r>
          </w:p>
        </w:tc>
      </w:tr>
      <w:tr w:rsidR="00C1548D" w14:paraId="70A50CE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9" w14:textId="77777777" w:rsidR="00C1548D" w:rsidRDefault="009B1B4B">
            <w:pPr>
              <w:spacing w:line="250" w:lineRule="auto"/>
            </w:pPr>
            <w:r>
              <w:rPr>
                <w:sz w:val="18"/>
                <w:szCs w:val="18"/>
              </w:rPr>
              <w:t>Booze Bus</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A" w14:textId="77777777" w:rsidR="00C1548D" w:rsidRDefault="009B1B4B">
            <w:pPr>
              <w:spacing w:line="250" w:lineRule="auto"/>
            </w:pPr>
            <w:r>
              <w:rPr>
                <w:sz w:val="18"/>
                <w:szCs w:val="18"/>
              </w:rPr>
              <w:t>umgangssprachlich für eine mobile Polizeistation zur Alkohol- und Drogenkontrolle im Straßenverkehr</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B" w14:textId="77777777" w:rsidR="00C1548D" w:rsidRDefault="009B1B4B">
            <w:pPr>
              <w:spacing w:line="250" w:lineRule="auto"/>
            </w:pPr>
            <w:r>
              <w:rPr>
                <w:sz w:val="18"/>
                <w:szCs w:val="18"/>
              </w:rPr>
              <w:t>Australien: Recht</w:t>
            </w:r>
          </w:p>
        </w:tc>
      </w:tr>
      <w:tr w:rsidR="00C1548D" w14:paraId="70A50CF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D" w14:textId="77777777" w:rsidR="00C1548D" w:rsidRDefault="009B1B4B">
            <w:pPr>
              <w:spacing w:line="250" w:lineRule="auto"/>
            </w:pPr>
            <w:r>
              <w:rPr>
                <w:sz w:val="18"/>
                <w:szCs w:val="18"/>
              </w:rPr>
              <w:t>Bulk Billing</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E" w14:textId="77777777" w:rsidR="00C1548D" w:rsidRDefault="009B1B4B">
            <w:pPr>
              <w:spacing w:line="250" w:lineRule="auto"/>
            </w:pPr>
            <w:r>
              <w:rPr>
                <w:sz w:val="18"/>
                <w:szCs w:val="18"/>
              </w:rPr>
              <w:t>Abrechnungsform, bei der ein Hausarzt direkt und ohne Zuzahlung mit Medicare abrechnet</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EF" w14:textId="77777777" w:rsidR="00C1548D" w:rsidRDefault="009B1B4B">
            <w:pPr>
              <w:spacing w:line="250" w:lineRule="auto"/>
            </w:pPr>
            <w:r>
              <w:rPr>
                <w:sz w:val="18"/>
                <w:szCs w:val="18"/>
              </w:rPr>
              <w:t>Australien: Gesundheit</w:t>
            </w:r>
          </w:p>
        </w:tc>
      </w:tr>
      <w:tr w:rsidR="00C1548D" w14:paraId="70A50CF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1" w14:textId="77777777" w:rsidR="00C1548D" w:rsidRDefault="009B1B4B">
            <w:pPr>
              <w:spacing w:line="250" w:lineRule="auto"/>
            </w:pPr>
            <w:r>
              <w:rPr>
                <w:sz w:val="18"/>
                <w:szCs w:val="18"/>
              </w:rPr>
              <w:t>BYO (Bring Your Own)</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2" w14:textId="77777777" w:rsidR="00C1548D" w:rsidRDefault="009B1B4B">
            <w:pPr>
              <w:spacing w:line="250" w:lineRule="auto"/>
            </w:pPr>
            <w:r>
              <w:rPr>
                <w:sz w:val="18"/>
                <w:szCs w:val="18"/>
              </w:rPr>
              <w:t>Aufforderung bei Einladungen und Barbecues, eigene Getränke (gelegentlich Fleisch) mitzubringen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3" w14:textId="77777777" w:rsidR="00C1548D" w:rsidRDefault="009B1B4B">
            <w:pPr>
              <w:spacing w:line="250" w:lineRule="auto"/>
            </w:pPr>
            <w:r>
              <w:rPr>
                <w:sz w:val="18"/>
                <w:szCs w:val="18"/>
              </w:rPr>
              <w:t>Australien: Kultur</w:t>
            </w:r>
          </w:p>
        </w:tc>
      </w:tr>
      <w:tr w:rsidR="00C1548D" w14:paraId="70A50CF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5" w14:textId="77777777" w:rsidR="00C1548D" w:rsidRDefault="009B1B4B">
            <w:pPr>
              <w:spacing w:line="250" w:lineRule="auto"/>
            </w:pPr>
            <w:r>
              <w:rPr>
                <w:sz w:val="18"/>
                <w:szCs w:val="18"/>
              </w:rPr>
              <w:t>Citizenship Test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6" w14:textId="77777777" w:rsidR="00C1548D" w:rsidRDefault="009B1B4B">
            <w:pPr>
              <w:spacing w:line="250" w:lineRule="auto"/>
            </w:pPr>
            <w:r>
              <w:rPr>
                <w:sz w:val="18"/>
                <w:szCs w:val="18"/>
              </w:rPr>
              <w:t>Staatskundetest zu australischer Geschichte, Regierungssystem und Werten, Pflichtbestandteil des Einbürgerungsverfahrens</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7" w14:textId="77777777" w:rsidR="00C1548D" w:rsidRDefault="009B1B4B">
            <w:pPr>
              <w:spacing w:line="250" w:lineRule="auto"/>
            </w:pPr>
            <w:r>
              <w:rPr>
                <w:sz w:val="18"/>
                <w:szCs w:val="18"/>
              </w:rPr>
              <w:t>Australien: Staatsbürgerschaft</w:t>
            </w:r>
          </w:p>
        </w:tc>
      </w:tr>
      <w:tr w:rsidR="00C1548D" w14:paraId="70A50CF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9" w14:textId="77777777" w:rsidR="00C1548D" w:rsidRDefault="009B1B4B">
            <w:pPr>
              <w:spacing w:line="250" w:lineRule="auto"/>
            </w:pPr>
            <w:r>
              <w:rPr>
                <w:sz w:val="18"/>
                <w:szCs w:val="18"/>
              </w:rPr>
              <w:t>Conveyancer</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A" w14:textId="77777777" w:rsidR="00C1548D" w:rsidRDefault="009B1B4B">
            <w:pPr>
              <w:spacing w:line="250" w:lineRule="auto"/>
            </w:pPr>
            <w:r>
              <w:rPr>
                <w:sz w:val="18"/>
                <w:szCs w:val="18"/>
              </w:rPr>
              <w:t>auf Immobilienrecht spezialisierte Fachperson, prüft den Kaufvertrag und wickelt die Übergabe ab, Ersatz für den deutschen Notar</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B" w14:textId="77777777" w:rsidR="00C1548D" w:rsidRDefault="009B1B4B">
            <w:pPr>
              <w:spacing w:line="250" w:lineRule="auto"/>
            </w:pPr>
            <w:r>
              <w:rPr>
                <w:sz w:val="18"/>
                <w:szCs w:val="18"/>
              </w:rPr>
              <w:t>Australien: Wohnen</w:t>
            </w:r>
          </w:p>
        </w:tc>
      </w:tr>
      <w:tr w:rsidR="00C1548D" w14:paraId="70A50D0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D" w14:textId="77777777" w:rsidR="00C1548D" w:rsidRDefault="009B1B4B">
            <w:pPr>
              <w:spacing w:line="250" w:lineRule="auto"/>
            </w:pPr>
            <w:r>
              <w:rPr>
                <w:sz w:val="18"/>
                <w:szCs w:val="18"/>
              </w:rPr>
              <w:t>Core Skills Income Threshold (CSIT)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E" w14:textId="77777777" w:rsidR="00C1548D" w:rsidRDefault="009B1B4B">
            <w:pPr>
              <w:spacing w:line="250" w:lineRule="auto"/>
            </w:pPr>
            <w:r>
              <w:rPr>
                <w:sz w:val="18"/>
                <w:szCs w:val="18"/>
              </w:rPr>
              <w:t>gesetzliche Mindestlohnschwelle im Core-Skills-Strom des Subclass 482</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CFF" w14:textId="77777777" w:rsidR="00C1548D" w:rsidRDefault="009B1B4B">
            <w:pPr>
              <w:spacing w:line="250" w:lineRule="auto"/>
            </w:pPr>
            <w:r>
              <w:rPr>
                <w:sz w:val="18"/>
                <w:szCs w:val="18"/>
              </w:rPr>
              <w:t>Australien: Arbeit</w:t>
            </w:r>
          </w:p>
        </w:tc>
      </w:tr>
      <w:tr w:rsidR="00C1548D" w14:paraId="70A50D0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1" w14:textId="77777777" w:rsidR="00C1548D" w:rsidRDefault="009B1B4B">
            <w:pPr>
              <w:spacing w:line="250" w:lineRule="auto"/>
            </w:pPr>
            <w:r>
              <w:rPr>
                <w:sz w:val="18"/>
                <w:szCs w:val="18"/>
              </w:rPr>
              <w:t>Core Skills Occupation List (CSOL)</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2" w14:textId="77777777" w:rsidR="00C1548D" w:rsidRDefault="009B1B4B">
            <w:pPr>
              <w:spacing w:line="250" w:lineRule="auto"/>
            </w:pPr>
            <w:r>
              <w:rPr>
                <w:sz w:val="18"/>
                <w:szCs w:val="18"/>
              </w:rPr>
              <w:t>seit 1.7.2025 gültige, 456 Berufe umfassende Liste für Subclass 482 und den Direktweg von 186</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3" w14:textId="77777777" w:rsidR="00C1548D" w:rsidRDefault="009B1B4B">
            <w:pPr>
              <w:spacing w:line="250" w:lineRule="auto"/>
            </w:pPr>
            <w:r>
              <w:rPr>
                <w:sz w:val="18"/>
                <w:szCs w:val="18"/>
              </w:rPr>
              <w:t>Australien: Einwanderung, Arbeit</w:t>
            </w:r>
          </w:p>
        </w:tc>
      </w:tr>
      <w:tr w:rsidR="00C1548D" w14:paraId="70A50D0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5" w14:textId="77777777" w:rsidR="00C1548D" w:rsidRDefault="009B1B4B">
            <w:pPr>
              <w:spacing w:line="250" w:lineRule="auto"/>
            </w:pPr>
            <w:r>
              <w:rPr>
                <w:sz w:val="18"/>
                <w:szCs w:val="18"/>
              </w:rPr>
              <w:t>DASP (Departing Australia Superannuation Payment)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6" w14:textId="77777777" w:rsidR="00C1548D" w:rsidRDefault="009B1B4B">
            <w:pPr>
              <w:spacing w:line="250" w:lineRule="auto"/>
            </w:pPr>
            <w:r>
              <w:rPr>
                <w:sz w:val="18"/>
                <w:szCs w:val="18"/>
              </w:rPr>
              <w:t>Auszahlung des Superannuation-Guthabens beim endgültigen Verlassen Australiens, mit 35–65 % Abgeltungssteuer</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7" w14:textId="77777777" w:rsidR="00C1548D" w:rsidRDefault="009B1B4B">
            <w:pPr>
              <w:spacing w:line="250" w:lineRule="auto"/>
            </w:pPr>
            <w:r>
              <w:rPr>
                <w:sz w:val="18"/>
                <w:szCs w:val="18"/>
              </w:rPr>
              <w:t>Australien: Steuer</w:t>
            </w:r>
          </w:p>
        </w:tc>
      </w:tr>
      <w:tr w:rsidR="00C1548D" w14:paraId="70A50D0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9" w14:textId="77777777" w:rsidR="00C1548D" w:rsidRDefault="009B1B4B">
            <w:pPr>
              <w:spacing w:line="250" w:lineRule="auto"/>
            </w:pPr>
            <w:r>
              <w:rPr>
                <w:sz w:val="18"/>
                <w:szCs w:val="18"/>
              </w:rPr>
              <w:t>Demerit Points</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A" w14:textId="77777777" w:rsidR="00C1548D" w:rsidRDefault="009B1B4B">
            <w:pPr>
              <w:spacing w:line="250" w:lineRule="auto"/>
            </w:pPr>
            <w:r>
              <w:rPr>
                <w:sz w:val="18"/>
                <w:szCs w:val="18"/>
              </w:rPr>
              <w:t>Punktesystem für Verkehrsverstöße, gestaffelt nach Lizenztyp und Bundesstaat; bei Erreichen der Grenze droht Führerscheinsperre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B" w14:textId="77777777" w:rsidR="00C1548D" w:rsidRDefault="009B1B4B">
            <w:pPr>
              <w:spacing w:line="250" w:lineRule="auto"/>
            </w:pPr>
            <w:r>
              <w:rPr>
                <w:sz w:val="18"/>
                <w:szCs w:val="18"/>
              </w:rPr>
              <w:t>Australien: Führerschein</w:t>
            </w:r>
          </w:p>
        </w:tc>
      </w:tr>
      <w:tr w:rsidR="00C1548D" w14:paraId="70A50D1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D" w14:textId="77777777" w:rsidR="00C1548D" w:rsidRDefault="009B1B4B">
            <w:pPr>
              <w:spacing w:line="250" w:lineRule="auto"/>
            </w:pPr>
            <w:r>
              <w:rPr>
                <w:sz w:val="18"/>
                <w:szCs w:val="18"/>
              </w:rPr>
              <w:t>Employer Nomination Scheme (ENS, Subclass 186)</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E" w14:textId="77777777" w:rsidR="00C1548D" w:rsidRDefault="009B1B4B">
            <w:pPr>
              <w:spacing w:line="250" w:lineRule="auto"/>
            </w:pPr>
            <w:r>
              <w:rPr>
                <w:sz w:val="18"/>
                <w:szCs w:val="18"/>
              </w:rPr>
              <w:t>Weg zur Daueraufenthaltserlaubnis über einen sponsernden Arbeitgeber, u. a. nach zwei Jahren im Subclass 482</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0F" w14:textId="77777777" w:rsidR="00C1548D" w:rsidRDefault="009B1B4B">
            <w:pPr>
              <w:spacing w:line="250" w:lineRule="auto"/>
            </w:pPr>
            <w:r>
              <w:rPr>
                <w:sz w:val="18"/>
                <w:szCs w:val="18"/>
              </w:rPr>
              <w:t>Australien: Arbeit, Einwanderung</w:t>
            </w:r>
          </w:p>
        </w:tc>
      </w:tr>
      <w:tr w:rsidR="00C1548D" w14:paraId="70A50D1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1" w14:textId="77777777" w:rsidR="00C1548D" w:rsidRDefault="009B1B4B">
            <w:pPr>
              <w:spacing w:line="250" w:lineRule="auto"/>
            </w:pPr>
            <w:r>
              <w:rPr>
                <w:sz w:val="18"/>
                <w:szCs w:val="18"/>
              </w:rPr>
              <w:lastRenderedPageBreak/>
              <w:t>Established Dwellings</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2" w14:textId="77777777" w:rsidR="00C1548D" w:rsidRDefault="009B1B4B">
            <w:pPr>
              <w:spacing w:line="250" w:lineRule="auto"/>
            </w:pPr>
            <w:r>
              <w:rPr>
                <w:sz w:val="18"/>
                <w:szCs w:val="18"/>
              </w:rPr>
              <w:t>Bestandsimmobilien, die Ausländer und befristete Visa-Inhaber seit 1.4.2025 bis mindestens 30.6.2029 grundsätzlich nicht kaufen dürfen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3" w14:textId="77777777" w:rsidR="00C1548D" w:rsidRDefault="009B1B4B">
            <w:pPr>
              <w:spacing w:line="250" w:lineRule="auto"/>
            </w:pPr>
            <w:r>
              <w:rPr>
                <w:sz w:val="18"/>
                <w:szCs w:val="18"/>
              </w:rPr>
              <w:t>Australien: Wohnen</w:t>
            </w:r>
          </w:p>
        </w:tc>
      </w:tr>
      <w:tr w:rsidR="00C1548D" w14:paraId="70A50D1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5" w14:textId="77777777" w:rsidR="00C1548D" w:rsidRDefault="009B1B4B">
            <w:pPr>
              <w:spacing w:line="250" w:lineRule="auto"/>
            </w:pPr>
            <w:r>
              <w:rPr>
                <w:sz w:val="18"/>
                <w:szCs w:val="18"/>
              </w:rPr>
              <w:t>Expression of Interest (EOI)</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6" w14:textId="77777777" w:rsidR="00C1548D" w:rsidRDefault="009B1B4B">
            <w:pPr>
              <w:spacing w:line="250" w:lineRule="auto"/>
            </w:pPr>
            <w:r>
              <w:rPr>
                <w:sz w:val="18"/>
                <w:szCs w:val="18"/>
              </w:rPr>
              <w:t>unverbindliche Interessensbekundung über SkillSelect, Grundlage für eine spätere Einladung zum Visumantrag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7" w14:textId="77777777" w:rsidR="00C1548D" w:rsidRDefault="009B1B4B">
            <w:pPr>
              <w:spacing w:line="250" w:lineRule="auto"/>
            </w:pPr>
            <w:r>
              <w:rPr>
                <w:sz w:val="18"/>
                <w:szCs w:val="18"/>
              </w:rPr>
              <w:t>Australien: Einwanderung</w:t>
            </w:r>
          </w:p>
        </w:tc>
      </w:tr>
      <w:tr w:rsidR="00C1548D" w14:paraId="70A50D1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9" w14:textId="77777777" w:rsidR="00C1548D" w:rsidRDefault="009B1B4B">
            <w:pPr>
              <w:spacing w:line="250" w:lineRule="auto"/>
            </w:pPr>
            <w:r>
              <w:rPr>
                <w:sz w:val="18"/>
                <w:szCs w:val="18"/>
              </w:rPr>
              <w:t>Fair Work Act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A" w14:textId="77777777" w:rsidR="00C1548D" w:rsidRDefault="009B1B4B">
            <w:pPr>
              <w:spacing w:line="250" w:lineRule="auto"/>
            </w:pPr>
            <w:r>
              <w:rPr>
                <w:sz w:val="18"/>
                <w:szCs w:val="18"/>
              </w:rPr>
              <w:t>zentrales australisches Arbeitsgesetz von 2009, gilt bundeseinheitlich für fast alle privaten Arbeitsverhältnisse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B" w14:textId="77777777" w:rsidR="00C1548D" w:rsidRDefault="009B1B4B">
            <w:pPr>
              <w:spacing w:line="250" w:lineRule="auto"/>
            </w:pPr>
            <w:r>
              <w:rPr>
                <w:sz w:val="18"/>
                <w:szCs w:val="18"/>
              </w:rPr>
              <w:t>Australien: Arbeit</w:t>
            </w:r>
          </w:p>
        </w:tc>
      </w:tr>
      <w:tr w:rsidR="00C1548D" w14:paraId="70A50D2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D" w14:textId="77777777" w:rsidR="00C1548D" w:rsidRDefault="009B1B4B">
            <w:pPr>
              <w:spacing w:line="250" w:lineRule="auto"/>
            </w:pPr>
            <w:r>
              <w:rPr>
                <w:sz w:val="18"/>
                <w:szCs w:val="18"/>
              </w:rPr>
              <w:t>FIRB (Foreign Investment Review Board)</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E" w14:textId="77777777" w:rsidR="00C1548D" w:rsidRDefault="009B1B4B">
            <w:pPr>
              <w:spacing w:line="250" w:lineRule="auto"/>
            </w:pPr>
            <w:r>
              <w:rPr>
                <w:sz w:val="18"/>
                <w:szCs w:val="18"/>
              </w:rPr>
              <w:t>australische Prüfbehörde für Auslandsinvestitionen, setzt u. a. das Established-Dwelling-Kaufverbot durch</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1F" w14:textId="77777777" w:rsidR="00C1548D" w:rsidRDefault="009B1B4B">
            <w:pPr>
              <w:spacing w:line="250" w:lineRule="auto"/>
            </w:pPr>
            <w:r>
              <w:rPr>
                <w:sz w:val="18"/>
                <w:szCs w:val="18"/>
              </w:rPr>
              <w:t>Australien: Wohnen</w:t>
            </w:r>
          </w:p>
        </w:tc>
      </w:tr>
      <w:tr w:rsidR="00C1548D" w14:paraId="70A50D2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1" w14:textId="77777777" w:rsidR="00C1548D" w:rsidRDefault="009B1B4B">
            <w:pPr>
              <w:spacing w:line="250" w:lineRule="auto"/>
            </w:pPr>
            <w:r>
              <w:rPr>
                <w:sz w:val="18"/>
                <w:szCs w:val="18"/>
              </w:rPr>
              <w:t>Genuine Reason</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2" w14:textId="77777777" w:rsidR="00C1548D" w:rsidRDefault="009B1B4B">
            <w:pPr>
              <w:spacing w:line="250" w:lineRule="auto"/>
            </w:pPr>
            <w:r>
              <w:rPr>
                <w:sz w:val="18"/>
                <w:szCs w:val="18"/>
              </w:rPr>
              <w:t>gesetzlich vorgeschriebener triftiger Grund für eine Waffenlizenz; Selbstverteidigung zählt ausdrücklich nicht dazu</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3" w14:textId="77777777" w:rsidR="00C1548D" w:rsidRDefault="009B1B4B">
            <w:pPr>
              <w:spacing w:line="250" w:lineRule="auto"/>
            </w:pPr>
            <w:r>
              <w:rPr>
                <w:sz w:val="18"/>
                <w:szCs w:val="18"/>
              </w:rPr>
              <w:t>Australien: Recht</w:t>
            </w:r>
          </w:p>
        </w:tc>
      </w:tr>
      <w:tr w:rsidR="00C1548D" w14:paraId="70A50D2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5" w14:textId="77777777" w:rsidR="00C1548D" w:rsidRDefault="009B1B4B">
            <w:pPr>
              <w:spacing w:line="250" w:lineRule="auto"/>
            </w:pPr>
            <w:r>
              <w:rPr>
                <w:sz w:val="18"/>
                <w:szCs w:val="18"/>
              </w:rPr>
              <w:t>GST (Goods and Services Tax)</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6" w14:textId="77777777" w:rsidR="00C1548D" w:rsidRDefault="009B1B4B">
            <w:pPr>
              <w:spacing w:line="250" w:lineRule="auto"/>
            </w:pPr>
            <w:r>
              <w:rPr>
                <w:sz w:val="18"/>
                <w:szCs w:val="18"/>
              </w:rPr>
              <w:t>australische Waren- und Dienstleistungssteuer, anders als in den USA bereits im Ladenpreis enthalten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7" w14:textId="77777777" w:rsidR="00C1548D" w:rsidRDefault="009B1B4B">
            <w:pPr>
              <w:spacing w:line="250" w:lineRule="auto"/>
            </w:pPr>
            <w:r>
              <w:rPr>
                <w:sz w:val="18"/>
                <w:szCs w:val="18"/>
              </w:rPr>
              <w:t>Australien: Ankunft</w:t>
            </w:r>
          </w:p>
        </w:tc>
      </w:tr>
      <w:tr w:rsidR="00C1548D" w14:paraId="70A50D2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9" w14:textId="77777777" w:rsidR="00C1548D" w:rsidRDefault="009B1B4B">
            <w:pPr>
              <w:spacing w:line="250" w:lineRule="auto"/>
            </w:pPr>
            <w:r>
              <w:rPr>
                <w:sz w:val="18"/>
                <w:szCs w:val="18"/>
              </w:rPr>
              <w:t>HAP-ID (Health Assessment Processing ID)</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A" w14:textId="77777777" w:rsidR="00C1548D" w:rsidRDefault="009B1B4B">
            <w:pPr>
              <w:spacing w:line="250" w:lineRule="auto"/>
            </w:pPr>
            <w:r>
              <w:rPr>
                <w:sz w:val="18"/>
                <w:szCs w:val="18"/>
              </w:rPr>
              <w:t>Kennnummer für die Terminbuchung bei der visumsbezogenen Gesundheitsuntersuchung beim Panel Physician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B" w14:textId="77777777" w:rsidR="00C1548D" w:rsidRDefault="009B1B4B">
            <w:pPr>
              <w:spacing w:line="250" w:lineRule="auto"/>
            </w:pPr>
            <w:r>
              <w:rPr>
                <w:sz w:val="18"/>
                <w:szCs w:val="18"/>
              </w:rPr>
              <w:t>Australien: Antrag</w:t>
            </w:r>
          </w:p>
        </w:tc>
      </w:tr>
      <w:tr w:rsidR="00C1548D" w14:paraId="70A50D3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D" w14:textId="77777777" w:rsidR="00C1548D" w:rsidRDefault="009B1B4B">
            <w:pPr>
              <w:spacing w:line="250" w:lineRule="auto"/>
            </w:pPr>
            <w:r>
              <w:rPr>
                <w:sz w:val="18"/>
                <w:szCs w:val="18"/>
              </w:rPr>
              <w:t>ImmiAccount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E" w14:textId="77777777" w:rsidR="00C1548D" w:rsidRDefault="009B1B4B">
            <w:pPr>
              <w:spacing w:line="250" w:lineRule="auto"/>
            </w:pPr>
            <w:r>
              <w:rPr>
                <w:sz w:val="18"/>
                <w:szCs w:val="18"/>
              </w:rPr>
              <w:t>zentrales Online-Portal des Department of Home Affairs für Visumanträge, Zahlungen und Behördenkommunikation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2F" w14:textId="77777777" w:rsidR="00C1548D" w:rsidRDefault="009B1B4B">
            <w:pPr>
              <w:spacing w:line="250" w:lineRule="auto"/>
            </w:pPr>
            <w:r>
              <w:rPr>
                <w:sz w:val="18"/>
                <w:szCs w:val="18"/>
              </w:rPr>
              <w:t>Australien: Antrag</w:t>
            </w:r>
          </w:p>
        </w:tc>
      </w:tr>
      <w:tr w:rsidR="00C1548D" w14:paraId="70A50D3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1" w14:textId="77777777" w:rsidR="00C1548D" w:rsidRDefault="009B1B4B">
            <w:pPr>
              <w:spacing w:line="250" w:lineRule="auto"/>
            </w:pPr>
            <w:r>
              <w:rPr>
                <w:sz w:val="18"/>
                <w:szCs w:val="18"/>
              </w:rPr>
              <w:t>LITO (Low Income Tax Offset)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2" w14:textId="77777777" w:rsidR="00C1548D" w:rsidRDefault="009B1B4B">
            <w:pPr>
              <w:spacing w:line="250" w:lineRule="auto"/>
            </w:pPr>
            <w:r>
              <w:rPr>
                <w:sz w:val="18"/>
                <w:szCs w:val="18"/>
              </w:rPr>
              <w:t>Steuergutschrift für niedrige Einkommen von bis zu 700 AUD, hebt die faktische Steuerfreigrenze auf rund 22.867 AUD</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3" w14:textId="77777777" w:rsidR="00C1548D" w:rsidRDefault="009B1B4B">
            <w:pPr>
              <w:spacing w:line="250" w:lineRule="auto"/>
            </w:pPr>
            <w:r>
              <w:rPr>
                <w:sz w:val="18"/>
                <w:szCs w:val="18"/>
              </w:rPr>
              <w:t>Australien: Überblick, Steuer</w:t>
            </w:r>
          </w:p>
        </w:tc>
      </w:tr>
      <w:tr w:rsidR="00C1548D" w14:paraId="70A50D3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5" w14:textId="77777777" w:rsidR="00C1548D" w:rsidRDefault="009B1B4B">
            <w:pPr>
              <w:spacing w:line="250" w:lineRule="auto"/>
            </w:pPr>
            <w:r>
              <w:rPr>
                <w:sz w:val="18"/>
                <w:szCs w:val="18"/>
              </w:rPr>
              <w:t>Mateship</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6" w14:textId="77777777" w:rsidR="00C1548D" w:rsidRDefault="009B1B4B">
            <w:pPr>
              <w:spacing w:line="250" w:lineRule="auto"/>
            </w:pPr>
            <w:r>
              <w:rPr>
                <w:sz w:val="18"/>
                <w:szCs w:val="18"/>
              </w:rPr>
              <w:t>australisches Ideal von Gleichheit und gegenseitiger Unterstützung, Grundlage der informellen Umgangsformen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7" w14:textId="77777777" w:rsidR="00C1548D" w:rsidRDefault="009B1B4B">
            <w:pPr>
              <w:spacing w:line="250" w:lineRule="auto"/>
            </w:pPr>
            <w:r>
              <w:rPr>
                <w:sz w:val="18"/>
                <w:szCs w:val="18"/>
              </w:rPr>
              <w:t>Australien: Kultur</w:t>
            </w:r>
          </w:p>
        </w:tc>
      </w:tr>
      <w:tr w:rsidR="00C1548D" w14:paraId="70A50D3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9" w14:textId="77777777" w:rsidR="00C1548D" w:rsidRDefault="009B1B4B">
            <w:pPr>
              <w:spacing w:line="250" w:lineRule="auto"/>
            </w:pPr>
            <w:r>
              <w:rPr>
                <w:sz w:val="18"/>
                <w:szCs w:val="18"/>
              </w:rPr>
              <w:lastRenderedPageBreak/>
              <w:t>Medicare</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A" w14:textId="77777777" w:rsidR="00C1548D" w:rsidRDefault="009B1B4B">
            <w:pPr>
              <w:spacing w:line="250" w:lineRule="auto"/>
            </w:pPr>
            <w:r>
              <w:rPr>
                <w:sz w:val="18"/>
                <w:szCs w:val="18"/>
              </w:rPr>
              <w:t>staatliches australisches Krankenversicherungssystem, zugänglich für Staatsbürger und Permanent Residents</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B" w14:textId="77777777" w:rsidR="00C1548D" w:rsidRDefault="009B1B4B">
            <w:pPr>
              <w:spacing w:line="250" w:lineRule="auto"/>
            </w:pPr>
            <w:r>
              <w:rPr>
                <w:sz w:val="18"/>
                <w:szCs w:val="18"/>
              </w:rPr>
              <w:t>Australien: Gesundheit</w:t>
            </w:r>
          </w:p>
        </w:tc>
      </w:tr>
      <w:tr w:rsidR="00C1548D" w14:paraId="70A50D4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D" w14:textId="77777777" w:rsidR="00C1548D" w:rsidRDefault="009B1B4B">
            <w:pPr>
              <w:spacing w:line="250" w:lineRule="auto"/>
            </w:pPr>
            <w:r>
              <w:rPr>
                <w:sz w:val="18"/>
                <w:szCs w:val="18"/>
              </w:rPr>
              <w:t>Medicare Levy</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E" w14:textId="77777777" w:rsidR="00C1548D" w:rsidRDefault="009B1B4B">
            <w:pPr>
              <w:spacing w:line="250" w:lineRule="auto"/>
            </w:pPr>
            <w:r>
              <w:rPr>
                <w:sz w:val="18"/>
                <w:szCs w:val="18"/>
              </w:rPr>
              <w:t>pauschale Abgabe von 2,0 % des zu versteuernden Einkommens zur Mitfinanzierung von Medicare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3F" w14:textId="77777777" w:rsidR="00C1548D" w:rsidRDefault="009B1B4B">
            <w:pPr>
              <w:spacing w:line="250" w:lineRule="auto"/>
            </w:pPr>
            <w:r>
              <w:rPr>
                <w:sz w:val="18"/>
                <w:szCs w:val="18"/>
              </w:rPr>
              <w:t>Australien: Steuer, Gesundheit</w:t>
            </w:r>
          </w:p>
        </w:tc>
      </w:tr>
      <w:tr w:rsidR="00C1548D" w14:paraId="70A50D4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1" w14:textId="77777777" w:rsidR="00C1548D" w:rsidRDefault="009B1B4B">
            <w:pPr>
              <w:spacing w:line="250" w:lineRule="auto"/>
            </w:pPr>
            <w:r>
              <w:rPr>
                <w:sz w:val="18"/>
                <w:szCs w:val="18"/>
              </w:rPr>
              <w:t>Medicare Levy Surcharge (MLS)</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2" w14:textId="77777777" w:rsidR="00C1548D" w:rsidRDefault="009B1B4B">
            <w:pPr>
              <w:spacing w:line="250" w:lineRule="auto"/>
            </w:pPr>
            <w:r>
              <w:rPr>
                <w:sz w:val="18"/>
                <w:szCs w:val="18"/>
              </w:rPr>
              <w:t>Zusatzabgabe für Besserverdiener ohne private Krankenhausversicherung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3" w14:textId="77777777" w:rsidR="00C1548D" w:rsidRDefault="009B1B4B">
            <w:pPr>
              <w:spacing w:line="250" w:lineRule="auto"/>
            </w:pPr>
            <w:r>
              <w:rPr>
                <w:sz w:val="18"/>
                <w:szCs w:val="18"/>
              </w:rPr>
              <w:t>Australien: Steuer</w:t>
            </w:r>
          </w:p>
        </w:tc>
      </w:tr>
      <w:tr w:rsidR="00C1548D" w14:paraId="70A50D4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5" w14:textId="77777777" w:rsidR="00C1548D" w:rsidRDefault="009B1B4B">
            <w:pPr>
              <w:spacing w:line="250" w:lineRule="auto"/>
            </w:pPr>
            <w:r>
              <w:rPr>
                <w:sz w:val="18"/>
                <w:szCs w:val="18"/>
              </w:rPr>
              <w:t>NAPLAN</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6" w14:textId="77777777" w:rsidR="00C1548D" w:rsidRDefault="009B1B4B">
            <w:pPr>
              <w:spacing w:line="250" w:lineRule="auto"/>
            </w:pPr>
            <w:r>
              <w:rPr>
                <w:sz w:val="18"/>
                <w:szCs w:val="18"/>
              </w:rPr>
              <w:t>landesweiter Standardtest für Grundfertigkeiten in Lesen, Schreiben und Mathematik in Year 3, 5, 7 und 9</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7" w14:textId="77777777" w:rsidR="00C1548D" w:rsidRDefault="009B1B4B">
            <w:pPr>
              <w:spacing w:line="250" w:lineRule="auto"/>
            </w:pPr>
            <w:r>
              <w:rPr>
                <w:sz w:val="18"/>
                <w:szCs w:val="18"/>
              </w:rPr>
              <w:t>Australien: Schule</w:t>
            </w:r>
          </w:p>
        </w:tc>
      </w:tr>
      <w:tr w:rsidR="00C1548D" w14:paraId="70A50D4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9" w14:textId="77777777" w:rsidR="00C1548D" w:rsidRDefault="009B1B4B">
            <w:pPr>
              <w:spacing w:line="250" w:lineRule="auto"/>
            </w:pPr>
            <w:r>
              <w:rPr>
                <w:sz w:val="18"/>
                <w:szCs w:val="18"/>
              </w:rPr>
              <w:t>National Employment Standards (NES)</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A" w14:textId="77777777" w:rsidR="00C1548D" w:rsidRDefault="009B1B4B">
            <w:pPr>
              <w:spacing w:line="250" w:lineRule="auto"/>
            </w:pPr>
            <w:r>
              <w:rPr>
                <w:sz w:val="18"/>
                <w:szCs w:val="18"/>
              </w:rPr>
              <w:t>elf gesetzliche Mindestansprüche aus dem Fair Work Act, u. a. zu Urlaub und Kündigungsfristen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B" w14:textId="77777777" w:rsidR="00C1548D" w:rsidRDefault="009B1B4B">
            <w:pPr>
              <w:spacing w:line="250" w:lineRule="auto"/>
            </w:pPr>
            <w:r>
              <w:rPr>
                <w:sz w:val="18"/>
                <w:szCs w:val="18"/>
              </w:rPr>
              <w:t>Australien: Arbeit</w:t>
            </w:r>
          </w:p>
        </w:tc>
      </w:tr>
      <w:tr w:rsidR="00C1548D" w14:paraId="70A50D5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D" w14:textId="77777777" w:rsidR="00C1548D" w:rsidRDefault="009B1B4B">
            <w:pPr>
              <w:spacing w:line="250" w:lineRule="auto"/>
            </w:pPr>
            <w:r>
              <w:rPr>
                <w:sz w:val="18"/>
                <w:szCs w:val="18"/>
              </w:rPr>
              <w:t>OSHC (Overseas Student Health Cover)</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E" w14:textId="77777777" w:rsidR="00C1548D" w:rsidRDefault="009B1B4B">
            <w:pPr>
              <w:spacing w:line="250" w:lineRule="auto"/>
            </w:pPr>
            <w:r>
              <w:rPr>
                <w:sz w:val="18"/>
                <w:szCs w:val="18"/>
              </w:rPr>
              <w:t>für Studienvisum-Inhaber verpflichtende private Krankenzusatzversicherung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4F" w14:textId="77777777" w:rsidR="00C1548D" w:rsidRDefault="009B1B4B">
            <w:pPr>
              <w:spacing w:line="250" w:lineRule="auto"/>
            </w:pPr>
            <w:r>
              <w:rPr>
                <w:sz w:val="18"/>
                <w:szCs w:val="18"/>
              </w:rPr>
              <w:t>Australien: Gesundheit</w:t>
            </w:r>
          </w:p>
        </w:tc>
      </w:tr>
      <w:tr w:rsidR="00C1548D" w14:paraId="70A50D5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1" w14:textId="77777777" w:rsidR="00C1548D" w:rsidRDefault="009B1B4B">
            <w:pPr>
              <w:spacing w:line="250" w:lineRule="auto"/>
            </w:pPr>
            <w:r>
              <w:rPr>
                <w:sz w:val="18"/>
                <w:szCs w:val="18"/>
              </w:rPr>
              <w:t>OSHC (Outside School Hours Care)</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2" w14:textId="77777777" w:rsidR="00C1548D" w:rsidRDefault="009B1B4B">
            <w:pPr>
              <w:spacing w:line="250" w:lineRule="auto"/>
            </w:pPr>
            <w:r>
              <w:rPr>
                <w:sz w:val="18"/>
                <w:szCs w:val="18"/>
              </w:rPr>
              <w:t>kostenpflichtige Vor- und Nachmittagsbetreuung an Grundschulen, gleiche Abkürzung wie die Krankenzusatzversicherung oben, aber ein anderer Begriff</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3" w14:textId="77777777" w:rsidR="00C1548D" w:rsidRDefault="009B1B4B">
            <w:pPr>
              <w:spacing w:line="250" w:lineRule="auto"/>
            </w:pPr>
            <w:r>
              <w:rPr>
                <w:sz w:val="18"/>
                <w:szCs w:val="18"/>
              </w:rPr>
              <w:t>Australien: Schule</w:t>
            </w:r>
          </w:p>
        </w:tc>
      </w:tr>
      <w:tr w:rsidR="00C1548D" w14:paraId="70A50D5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5" w14:textId="77777777" w:rsidR="00C1548D" w:rsidRDefault="009B1B4B">
            <w:pPr>
              <w:spacing w:line="250" w:lineRule="auto"/>
            </w:pPr>
            <w:r>
              <w:rPr>
                <w:sz w:val="18"/>
                <w:szCs w:val="18"/>
              </w:rPr>
              <w:t>OVHC (Overseas Visitor Health Cover)</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6" w14:textId="77777777" w:rsidR="00C1548D" w:rsidRDefault="009B1B4B">
            <w:pPr>
              <w:spacing w:line="250" w:lineRule="auto"/>
            </w:pPr>
            <w:r>
              <w:rPr>
                <w:sz w:val="18"/>
                <w:szCs w:val="18"/>
              </w:rPr>
              <w:t>private Krankenzusatzversicherung für die meisten befristeten, nicht-studentischen Visa</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7" w14:textId="77777777" w:rsidR="00C1548D" w:rsidRDefault="009B1B4B">
            <w:pPr>
              <w:spacing w:line="250" w:lineRule="auto"/>
            </w:pPr>
            <w:r>
              <w:rPr>
                <w:sz w:val="18"/>
                <w:szCs w:val="18"/>
              </w:rPr>
              <w:t>Australien: Gesundheit</w:t>
            </w:r>
          </w:p>
        </w:tc>
      </w:tr>
      <w:tr w:rsidR="00C1548D" w14:paraId="70A50D5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9" w14:textId="77777777" w:rsidR="00C1548D" w:rsidRDefault="009B1B4B">
            <w:pPr>
              <w:spacing w:line="250" w:lineRule="auto"/>
            </w:pPr>
            <w:r>
              <w:rPr>
                <w:sz w:val="18"/>
                <w:szCs w:val="18"/>
              </w:rPr>
              <w:t>P-Plates</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A" w14:textId="77777777" w:rsidR="00C1548D" w:rsidRDefault="009B1B4B">
            <w:pPr>
              <w:spacing w:line="250" w:lineRule="auto"/>
            </w:pPr>
            <w:r>
              <w:rPr>
                <w:sz w:val="18"/>
                <w:szCs w:val="18"/>
              </w:rPr>
              <w:t>Kennzeichnung für Fahranfänger, vergleichbar der deutschen Probezeit, mit eigener 0,00-%-Alkoholgrenze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B" w14:textId="77777777" w:rsidR="00C1548D" w:rsidRDefault="009B1B4B">
            <w:pPr>
              <w:spacing w:line="250" w:lineRule="auto"/>
            </w:pPr>
            <w:r>
              <w:rPr>
                <w:sz w:val="18"/>
                <w:szCs w:val="18"/>
              </w:rPr>
              <w:t>Australien: Führerschein</w:t>
            </w:r>
          </w:p>
        </w:tc>
      </w:tr>
      <w:tr w:rsidR="00C1548D" w14:paraId="70A50D6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D" w14:textId="77777777" w:rsidR="00C1548D" w:rsidRDefault="009B1B4B">
            <w:pPr>
              <w:spacing w:line="250" w:lineRule="auto"/>
            </w:pPr>
            <w:r>
              <w:rPr>
                <w:sz w:val="18"/>
                <w:szCs w:val="18"/>
              </w:rPr>
              <w:t>Permanent Resident (PR)</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E" w14:textId="77777777" w:rsidR="00C1548D" w:rsidRDefault="009B1B4B">
            <w:pPr>
              <w:spacing w:line="250" w:lineRule="auto"/>
            </w:pPr>
            <w:r>
              <w:rPr>
                <w:sz w:val="18"/>
                <w:szCs w:val="18"/>
              </w:rPr>
              <w:t>Inhaber einer unbefristeten Aufenthaltserlaubnis, u. a. Voraussetzung für vollen Medicare-Zugang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5F" w14:textId="77777777" w:rsidR="00C1548D" w:rsidRDefault="009B1B4B">
            <w:pPr>
              <w:spacing w:line="250" w:lineRule="auto"/>
            </w:pPr>
            <w:r>
              <w:rPr>
                <w:sz w:val="18"/>
                <w:szCs w:val="18"/>
              </w:rPr>
              <w:t>Australien: Einwanderung</w:t>
            </w:r>
          </w:p>
        </w:tc>
      </w:tr>
      <w:tr w:rsidR="00C1548D" w14:paraId="70A50D6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1" w14:textId="77777777" w:rsidR="00C1548D" w:rsidRDefault="009B1B4B">
            <w:pPr>
              <w:spacing w:line="250" w:lineRule="auto"/>
            </w:pPr>
            <w:r>
              <w:rPr>
                <w:sz w:val="18"/>
                <w:szCs w:val="18"/>
              </w:rPr>
              <w:t>Random Breath Testing (RBT)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2" w14:textId="77777777" w:rsidR="00C1548D" w:rsidRDefault="009B1B4B">
            <w:pPr>
              <w:spacing w:line="250" w:lineRule="auto"/>
            </w:pPr>
            <w:r>
              <w:rPr>
                <w:sz w:val="18"/>
                <w:szCs w:val="18"/>
              </w:rPr>
              <w:t>verdachtsunabhängige Atemalkoholkontrolle im Straßenverkehr, in Australien Routine</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3" w14:textId="77777777" w:rsidR="00C1548D" w:rsidRDefault="009B1B4B">
            <w:pPr>
              <w:spacing w:line="250" w:lineRule="auto"/>
            </w:pPr>
            <w:r>
              <w:rPr>
                <w:sz w:val="18"/>
                <w:szCs w:val="18"/>
              </w:rPr>
              <w:t>Australien: Führerschein, Recht</w:t>
            </w:r>
          </w:p>
        </w:tc>
      </w:tr>
      <w:tr w:rsidR="00C1548D" w14:paraId="70A50D6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5" w14:textId="77777777" w:rsidR="00C1548D" w:rsidRDefault="009B1B4B">
            <w:pPr>
              <w:spacing w:line="250" w:lineRule="auto"/>
            </w:pPr>
            <w:r>
              <w:rPr>
                <w:sz w:val="18"/>
                <w:szCs w:val="18"/>
              </w:rPr>
              <w:lastRenderedPageBreak/>
              <w:t>Random Drug Testing (RDT)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6" w14:textId="77777777" w:rsidR="00C1548D" w:rsidRDefault="009B1B4B">
            <w:pPr>
              <w:spacing w:line="250" w:lineRule="auto"/>
            </w:pPr>
            <w:r>
              <w:rPr>
                <w:sz w:val="18"/>
                <w:szCs w:val="18"/>
              </w:rPr>
              <w:t>verdachtsunabhängiger Speicheltest auf Drogen im Straßenverkehr</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7" w14:textId="77777777" w:rsidR="00C1548D" w:rsidRDefault="009B1B4B">
            <w:pPr>
              <w:spacing w:line="250" w:lineRule="auto"/>
            </w:pPr>
            <w:r>
              <w:rPr>
                <w:sz w:val="18"/>
                <w:szCs w:val="18"/>
              </w:rPr>
              <w:t>Australien: Recht</w:t>
            </w:r>
          </w:p>
        </w:tc>
      </w:tr>
      <w:tr w:rsidR="00C1548D" w14:paraId="70A50D6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9" w14:textId="77777777" w:rsidR="00C1548D" w:rsidRDefault="009B1B4B">
            <w:pPr>
              <w:spacing w:line="250" w:lineRule="auto"/>
            </w:pPr>
            <w:r>
              <w:rPr>
                <w:sz w:val="18"/>
                <w:szCs w:val="18"/>
              </w:rPr>
              <w:t>Reciprocal Health Care Agreement (RHCA)</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A" w14:textId="77777777" w:rsidR="00C1548D" w:rsidRDefault="009B1B4B">
            <w:pPr>
              <w:spacing w:line="250" w:lineRule="auto"/>
            </w:pPr>
            <w:r>
              <w:rPr>
                <w:sz w:val="18"/>
                <w:szCs w:val="18"/>
              </w:rPr>
              <w:t>zwischenstaatliches Gegenseitigkeitsabkommen zur medizinischen Grundversorgung; Deutschland gehört nicht zu den elf Partnerländern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B" w14:textId="77777777" w:rsidR="00C1548D" w:rsidRDefault="009B1B4B">
            <w:pPr>
              <w:spacing w:line="250" w:lineRule="auto"/>
            </w:pPr>
            <w:r>
              <w:rPr>
                <w:sz w:val="18"/>
                <w:szCs w:val="18"/>
              </w:rPr>
              <w:t>Australien: Gesundheit</w:t>
            </w:r>
          </w:p>
        </w:tc>
      </w:tr>
      <w:tr w:rsidR="00C1548D" w14:paraId="70A50D7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D" w14:textId="77777777" w:rsidR="00C1548D" w:rsidRDefault="009B1B4B">
            <w:pPr>
              <w:spacing w:line="250" w:lineRule="auto"/>
            </w:pPr>
            <w:r>
              <w:rPr>
                <w:sz w:val="18"/>
                <w:szCs w:val="18"/>
              </w:rPr>
              <w:t>Registered Migration Agent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E" w14:textId="77777777" w:rsidR="00C1548D" w:rsidRDefault="009B1B4B">
            <w:pPr>
              <w:spacing w:line="250" w:lineRule="auto"/>
            </w:pPr>
            <w:r>
              <w:rPr>
                <w:sz w:val="18"/>
                <w:szCs w:val="18"/>
              </w:rPr>
              <w:t>bei der OMARA registrierte, zur entgeltlichen Migrationsberatung befugte Fachperson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6F" w14:textId="77777777" w:rsidR="00C1548D" w:rsidRDefault="009B1B4B">
            <w:pPr>
              <w:spacing w:line="250" w:lineRule="auto"/>
            </w:pPr>
            <w:r>
              <w:rPr>
                <w:sz w:val="18"/>
                <w:szCs w:val="18"/>
              </w:rPr>
              <w:t>Australien: Antrag</w:t>
            </w:r>
          </w:p>
        </w:tc>
      </w:tr>
      <w:tr w:rsidR="00C1548D" w14:paraId="70A50D7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1" w14:textId="77777777" w:rsidR="00C1548D" w:rsidRDefault="009B1B4B">
            <w:pPr>
              <w:spacing w:line="250" w:lineRule="auto"/>
            </w:pPr>
            <w:r>
              <w:rPr>
                <w:sz w:val="18"/>
                <w:szCs w:val="18"/>
              </w:rPr>
              <w:t>Right to Disconnect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2" w14:textId="77777777" w:rsidR="00C1548D" w:rsidRDefault="009B1B4B">
            <w:pPr>
              <w:spacing w:line="250" w:lineRule="auto"/>
            </w:pPr>
            <w:r>
              <w:rPr>
                <w:sz w:val="18"/>
                <w:szCs w:val="18"/>
              </w:rPr>
              <w:t>seit 2024/25 geltendes Recht, Kontaktversuche des Arbeitgebers außerhalb der Arbeitszeit abzulehnen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3" w14:textId="77777777" w:rsidR="00C1548D" w:rsidRDefault="009B1B4B">
            <w:pPr>
              <w:spacing w:line="250" w:lineRule="auto"/>
            </w:pPr>
            <w:r>
              <w:rPr>
                <w:sz w:val="18"/>
                <w:szCs w:val="18"/>
              </w:rPr>
              <w:t>Australien: Arbeit</w:t>
            </w:r>
          </w:p>
        </w:tc>
      </w:tr>
      <w:tr w:rsidR="00C1548D" w14:paraId="70A50D7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5" w14:textId="77777777" w:rsidR="00C1548D" w:rsidRDefault="009B1B4B">
            <w:pPr>
              <w:spacing w:line="250" w:lineRule="auto"/>
            </w:pPr>
            <w:r>
              <w:rPr>
                <w:sz w:val="18"/>
                <w:szCs w:val="18"/>
              </w:rPr>
              <w:t>Roadworthy Certificate</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6" w14:textId="77777777" w:rsidR="00C1548D" w:rsidRDefault="009B1B4B">
            <w:pPr>
              <w:spacing w:line="250" w:lineRule="auto"/>
            </w:pPr>
            <w:r>
              <w:rPr>
                <w:sz w:val="18"/>
                <w:szCs w:val="18"/>
              </w:rPr>
              <w:t>Zustandsprüfung eines Fahrzeugs, in Victoria und Queensland beim Gebrauchtwagenverkauf gesetzlich vorgeschrieben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7" w14:textId="77777777" w:rsidR="00C1548D" w:rsidRDefault="009B1B4B">
            <w:pPr>
              <w:spacing w:line="250" w:lineRule="auto"/>
            </w:pPr>
            <w:r>
              <w:rPr>
                <w:sz w:val="18"/>
                <w:szCs w:val="18"/>
              </w:rPr>
              <w:t>Australien: Führerschein</w:t>
            </w:r>
          </w:p>
        </w:tc>
      </w:tr>
      <w:tr w:rsidR="00C1548D" w14:paraId="70A50D7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9" w14:textId="77777777" w:rsidR="00C1548D" w:rsidRDefault="009B1B4B">
            <w:pPr>
              <w:spacing w:line="250" w:lineRule="auto"/>
            </w:pPr>
            <w:r>
              <w:rPr>
                <w:sz w:val="18"/>
                <w:szCs w:val="18"/>
              </w:rPr>
              <w:t>Skilled Independent (Subclass 189)</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A" w14:textId="77777777" w:rsidR="00C1548D" w:rsidRDefault="009B1B4B">
            <w:pPr>
              <w:spacing w:line="250" w:lineRule="auto"/>
            </w:pPr>
            <w:r>
              <w:rPr>
                <w:sz w:val="18"/>
                <w:szCs w:val="18"/>
              </w:rPr>
              <w:t>punktebasiertes Visum ganz ohne Sponsor, mit freier Wohnortwahl in ganz Australien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B" w14:textId="77777777" w:rsidR="00C1548D" w:rsidRDefault="009B1B4B">
            <w:pPr>
              <w:spacing w:line="250" w:lineRule="auto"/>
            </w:pPr>
            <w:r>
              <w:rPr>
                <w:sz w:val="18"/>
                <w:szCs w:val="18"/>
              </w:rPr>
              <w:t>Australien: Einwanderung</w:t>
            </w:r>
          </w:p>
        </w:tc>
      </w:tr>
      <w:tr w:rsidR="00C1548D" w14:paraId="70A50D8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D" w14:textId="77777777" w:rsidR="00C1548D" w:rsidRDefault="009B1B4B">
            <w:pPr>
              <w:spacing w:line="250" w:lineRule="auto"/>
            </w:pPr>
            <w:r>
              <w:rPr>
                <w:sz w:val="18"/>
                <w:szCs w:val="18"/>
              </w:rPr>
              <w:t>Skilling Australians Fund Levy (SAF-Levy)</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E" w14:textId="77777777" w:rsidR="00C1548D" w:rsidRDefault="009B1B4B">
            <w:pPr>
              <w:spacing w:line="250" w:lineRule="auto"/>
            </w:pPr>
            <w:r>
              <w:rPr>
                <w:sz w:val="18"/>
                <w:szCs w:val="18"/>
              </w:rPr>
              <w:t>Ausbildungsabgabe, die der Arbeitgeber bei Subclass 482 und 186 zahlt, nicht auf den Arbeitnehmer abwälzbar</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7F" w14:textId="77777777" w:rsidR="00C1548D" w:rsidRDefault="009B1B4B">
            <w:pPr>
              <w:spacing w:line="250" w:lineRule="auto"/>
            </w:pPr>
            <w:r>
              <w:rPr>
                <w:sz w:val="18"/>
                <w:szCs w:val="18"/>
              </w:rPr>
              <w:t>Australien: Arbeit</w:t>
            </w:r>
          </w:p>
        </w:tc>
      </w:tr>
      <w:tr w:rsidR="00C1548D" w14:paraId="70A50D8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1" w14:textId="77777777" w:rsidR="00C1548D" w:rsidRDefault="009B1B4B">
            <w:pPr>
              <w:spacing w:line="250" w:lineRule="auto"/>
            </w:pPr>
            <w:r>
              <w:rPr>
                <w:sz w:val="18"/>
                <w:szCs w:val="18"/>
              </w:rPr>
              <w:t>Skills Assessment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2" w14:textId="77777777" w:rsidR="00C1548D" w:rsidRDefault="009B1B4B">
            <w:pPr>
              <w:spacing w:line="250" w:lineRule="auto"/>
            </w:pPr>
            <w:r>
              <w:rPr>
                <w:sz w:val="18"/>
                <w:szCs w:val="18"/>
              </w:rPr>
              <w:t>fachliche Qualifikationsprüfung durch eine zuständige Berufsorganisation, oft der eigentliche Flaschenhals vor dem Visumantrag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3" w14:textId="77777777" w:rsidR="00C1548D" w:rsidRDefault="009B1B4B">
            <w:pPr>
              <w:spacing w:line="250" w:lineRule="auto"/>
            </w:pPr>
            <w:r>
              <w:rPr>
                <w:sz w:val="18"/>
                <w:szCs w:val="18"/>
              </w:rPr>
              <w:t>Australien: Arbeit, Einwanderung</w:t>
            </w:r>
          </w:p>
        </w:tc>
      </w:tr>
      <w:tr w:rsidR="00C1548D" w14:paraId="70A50D8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5" w14:textId="77777777" w:rsidR="00C1548D" w:rsidRDefault="009B1B4B">
            <w:pPr>
              <w:spacing w:line="250" w:lineRule="auto"/>
            </w:pPr>
            <w:r>
              <w:rPr>
                <w:sz w:val="18"/>
                <w:szCs w:val="18"/>
              </w:rPr>
              <w:t>Skills in Demand (SID, Subclass 482)</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6" w14:textId="77777777" w:rsidR="00C1548D" w:rsidRDefault="009B1B4B">
            <w:pPr>
              <w:spacing w:line="250" w:lineRule="auto"/>
            </w:pPr>
            <w:r>
              <w:rPr>
                <w:sz w:val="18"/>
                <w:szCs w:val="18"/>
              </w:rPr>
              <w:t>arbeitgebergesponsertes befristetes Arbeitsvisum, seit Dezember 2024 Nachfolger des Temporary Skill Shortage Visa</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7" w14:textId="77777777" w:rsidR="00C1548D" w:rsidRDefault="009B1B4B">
            <w:pPr>
              <w:spacing w:line="250" w:lineRule="auto"/>
            </w:pPr>
            <w:r>
              <w:rPr>
                <w:sz w:val="18"/>
                <w:szCs w:val="18"/>
              </w:rPr>
              <w:t>Australien: Arbeit</w:t>
            </w:r>
          </w:p>
        </w:tc>
      </w:tr>
      <w:tr w:rsidR="00C1548D" w14:paraId="70A50D8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9" w14:textId="77777777" w:rsidR="00C1548D" w:rsidRDefault="009B1B4B">
            <w:pPr>
              <w:spacing w:line="250" w:lineRule="auto"/>
            </w:pPr>
            <w:r>
              <w:rPr>
                <w:sz w:val="18"/>
                <w:szCs w:val="18"/>
              </w:rPr>
              <w:t>SkillSelect</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A" w14:textId="77777777" w:rsidR="00C1548D" w:rsidRDefault="009B1B4B">
            <w:pPr>
              <w:spacing w:line="250" w:lineRule="auto"/>
            </w:pPr>
            <w:r>
              <w:rPr>
                <w:sz w:val="18"/>
                <w:szCs w:val="18"/>
              </w:rPr>
              <w:t>Online-Plattform für punktebasierte Visa: Interessensbekundung, Punkteberechnung und Einladung zur Antragstellung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B" w14:textId="77777777" w:rsidR="00C1548D" w:rsidRDefault="009B1B4B">
            <w:pPr>
              <w:spacing w:line="250" w:lineRule="auto"/>
            </w:pPr>
            <w:r>
              <w:rPr>
                <w:sz w:val="18"/>
                <w:szCs w:val="18"/>
              </w:rPr>
              <w:t>Australien: Einwanderung</w:t>
            </w:r>
          </w:p>
        </w:tc>
      </w:tr>
      <w:tr w:rsidR="00C1548D" w14:paraId="70A50D9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D" w14:textId="77777777" w:rsidR="00C1548D" w:rsidRDefault="009B1B4B">
            <w:pPr>
              <w:spacing w:line="250" w:lineRule="auto"/>
            </w:pPr>
            <w:r>
              <w:rPr>
                <w:sz w:val="18"/>
                <w:szCs w:val="18"/>
              </w:rPr>
              <w:lastRenderedPageBreak/>
              <w:t>Stamp Duty</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E" w14:textId="77777777" w:rsidR="00C1548D" w:rsidRDefault="009B1B4B">
            <w:pPr>
              <w:spacing w:line="250" w:lineRule="auto"/>
            </w:pPr>
            <w:r>
              <w:rPr>
                <w:sz w:val="18"/>
                <w:szCs w:val="18"/>
              </w:rPr>
              <w:t>von den Bundesstaaten erhobene Grunderwerbsteuer; Nicht-Staatsbürger ohne PR zahlen zusätzlich einen Foreign-Buyer-Zuschlag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8F" w14:textId="77777777" w:rsidR="00C1548D" w:rsidRDefault="009B1B4B">
            <w:pPr>
              <w:spacing w:line="250" w:lineRule="auto"/>
            </w:pPr>
            <w:r>
              <w:rPr>
                <w:sz w:val="18"/>
                <w:szCs w:val="18"/>
              </w:rPr>
              <w:t>Australien: Wohnen</w:t>
            </w:r>
          </w:p>
        </w:tc>
      </w:tr>
      <w:tr w:rsidR="00C1548D" w14:paraId="70A50D94"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1" w14:textId="77777777" w:rsidR="00C1548D" w:rsidRDefault="009B1B4B">
            <w:pPr>
              <w:spacing w:line="250" w:lineRule="auto"/>
            </w:pPr>
            <w:r>
              <w:rPr>
                <w:sz w:val="18"/>
                <w:szCs w:val="18"/>
              </w:rPr>
              <w:t>Superannuation</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2" w14:textId="77777777" w:rsidR="00C1548D" w:rsidRDefault="009B1B4B">
            <w:pPr>
              <w:spacing w:line="250" w:lineRule="auto"/>
            </w:pPr>
            <w:r>
              <w:rPr>
                <w:sz w:val="18"/>
                <w:szCs w:val="18"/>
              </w:rPr>
              <w:t>verpflichtende, kapitalgedeckte Altersvorsorge, die der Arbeitgeber neben dem Gehalt einzahlt (12,0 % seit Juli 2025)</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3" w14:textId="77777777" w:rsidR="00C1548D" w:rsidRDefault="009B1B4B">
            <w:pPr>
              <w:spacing w:line="250" w:lineRule="auto"/>
            </w:pPr>
            <w:r>
              <w:rPr>
                <w:sz w:val="18"/>
                <w:szCs w:val="18"/>
              </w:rPr>
              <w:t>Australien: Steuer</w:t>
            </w:r>
          </w:p>
        </w:tc>
      </w:tr>
      <w:tr w:rsidR="00C1548D" w14:paraId="70A50D98"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5" w14:textId="77777777" w:rsidR="00C1548D" w:rsidRDefault="009B1B4B">
            <w:pPr>
              <w:spacing w:line="250" w:lineRule="auto"/>
            </w:pPr>
            <w:r>
              <w:rPr>
                <w:sz w:val="18"/>
                <w:szCs w:val="18"/>
              </w:rPr>
              <w:t>Tall Poppy Syndrome</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6" w14:textId="77777777" w:rsidR="00C1548D" w:rsidRDefault="009B1B4B">
            <w:pPr>
              <w:spacing w:line="250" w:lineRule="auto"/>
            </w:pPr>
            <w:r>
              <w:rPr>
                <w:sz w:val="18"/>
                <w:szCs w:val="18"/>
              </w:rPr>
              <w:t>soziale Zurückhaltung gegenüber demonstrativem Erfolg oder Prahlerei</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7" w14:textId="77777777" w:rsidR="00C1548D" w:rsidRDefault="009B1B4B">
            <w:pPr>
              <w:spacing w:line="250" w:lineRule="auto"/>
            </w:pPr>
            <w:r>
              <w:rPr>
                <w:sz w:val="18"/>
                <w:szCs w:val="18"/>
              </w:rPr>
              <w:t>Australien: Kultur</w:t>
            </w:r>
          </w:p>
        </w:tc>
      </w:tr>
      <w:tr w:rsidR="00C1548D" w14:paraId="70A50D9C"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9" w14:textId="77777777" w:rsidR="00C1548D" w:rsidRDefault="009B1B4B">
            <w:pPr>
              <w:spacing w:line="250" w:lineRule="auto"/>
            </w:pPr>
            <w:r>
              <w:rPr>
                <w:sz w:val="18"/>
                <w:szCs w:val="18"/>
              </w:rPr>
              <w:t>TFN (Tax File Number)</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A" w14:textId="77777777" w:rsidR="00C1548D" w:rsidRDefault="009B1B4B">
            <w:pPr>
              <w:spacing w:line="250" w:lineRule="auto"/>
            </w:pPr>
            <w:r>
              <w:rPr>
                <w:sz w:val="18"/>
                <w:szCs w:val="18"/>
              </w:rPr>
              <w:t>zentrale australische Steuer-Identifikationsnummer; ohne sie werden 47 % vom Lohn einbehalten</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B" w14:textId="77777777" w:rsidR="00C1548D" w:rsidRDefault="009B1B4B">
            <w:pPr>
              <w:spacing w:line="250" w:lineRule="auto"/>
            </w:pPr>
            <w:r>
              <w:rPr>
                <w:sz w:val="18"/>
                <w:szCs w:val="18"/>
              </w:rPr>
              <w:t>Australien: Steuer</w:t>
            </w:r>
          </w:p>
        </w:tc>
      </w:tr>
      <w:tr w:rsidR="00C1548D" w14:paraId="70A50DA0" w14:textId="77777777">
        <w:tblPrEx>
          <w:tblCellMar>
            <w:top w:w="0" w:type="dxa"/>
            <w:bottom w:w="0" w:type="dxa"/>
          </w:tblCellMar>
        </w:tblPrEx>
        <w:trPr>
          <w:cantSplit/>
        </w:trPr>
        <w:tc>
          <w:tcPr>
            <w:tcW w:w="1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D" w14:textId="77777777" w:rsidR="00C1548D" w:rsidRDefault="009B1B4B">
            <w:pPr>
              <w:spacing w:line="250" w:lineRule="auto"/>
            </w:pPr>
            <w:r>
              <w:rPr>
                <w:sz w:val="18"/>
                <w:szCs w:val="18"/>
              </w:rPr>
              <w:t>Unfair Dismissal</w:t>
            </w:r>
          </w:p>
        </w:tc>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E" w14:textId="77777777" w:rsidR="00C1548D" w:rsidRDefault="009B1B4B">
            <w:pPr>
              <w:spacing w:line="250" w:lineRule="auto"/>
            </w:pPr>
            <w:r>
              <w:rPr>
                <w:sz w:val="18"/>
                <w:szCs w:val="18"/>
              </w:rPr>
              <w:t>gesetzlicher Schutz vor unfairer Kündigung, greift erst nach sechs bis zwölf Monaten Beschäftigung</w:t>
            </w:r>
          </w:p>
        </w:tc>
        <w:tc>
          <w:tcPr>
            <w:tcW w:w="1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9F" w14:textId="77777777" w:rsidR="00C1548D" w:rsidRDefault="009B1B4B">
            <w:pPr>
              <w:spacing w:line="250" w:lineRule="auto"/>
            </w:pPr>
            <w:r>
              <w:rPr>
                <w:sz w:val="18"/>
                <w:szCs w:val="18"/>
              </w:rPr>
              <w:t>Australien: Arbeit</w:t>
            </w:r>
          </w:p>
        </w:tc>
      </w:tr>
    </w:tbl>
    <w:p w14:paraId="70A50DA1" w14:textId="77777777" w:rsidR="00C1548D" w:rsidRDefault="00C1548D">
      <w:pPr>
        <w:spacing w:line="180" w:lineRule="exact"/>
      </w:pPr>
    </w:p>
    <w:p w14:paraId="70A50DA2" w14:textId="77777777" w:rsidR="00C1548D" w:rsidRDefault="009B1B4B">
      <w:pPr>
        <w:pStyle w:val="Heading3"/>
        <w:keepNext/>
        <w:jc w:val="center"/>
      </w:pPr>
      <w:r>
        <w:rPr>
          <w:rFonts w:ascii="Amazon Ember" w:eastAsia="Amazon Ember" w:hAnsi="Amazon Ember" w:cs="Amazon Ember"/>
          <w:color w:val="0000FF"/>
          <w:sz w:val="36"/>
          <w:szCs w:val="36"/>
        </w:rPr>
        <w:t>Neuseeland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9"/>
        <w:gridCol w:w="2880"/>
        <w:gridCol w:w="1661"/>
      </w:tblGrid>
      <w:tr w:rsidR="00C1548D" w14:paraId="70A50DA6" w14:textId="77777777">
        <w:tblPrEx>
          <w:tblCellMar>
            <w:top w:w="0" w:type="dxa"/>
            <w:bottom w:w="0" w:type="dxa"/>
          </w:tblCellMar>
        </w:tblPrEx>
        <w:trPr>
          <w:cantSplit/>
          <w:tblHeader/>
        </w:trPr>
        <w:tc>
          <w:tcPr>
            <w:tcW w:w="193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DA3" w14:textId="77777777" w:rsidR="00C1548D" w:rsidRDefault="009B1B4B">
            <w:pPr>
              <w:spacing w:line="250" w:lineRule="auto"/>
            </w:pPr>
            <w:r>
              <w:rPr>
                <w:b/>
                <w:bCs/>
                <w:sz w:val="18"/>
                <w:szCs w:val="18"/>
              </w:rPr>
              <w:t>Englisch</w:t>
            </w:r>
          </w:p>
        </w:tc>
        <w:tc>
          <w:tcPr>
            <w:tcW w:w="288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DA4" w14:textId="77777777" w:rsidR="00C1548D" w:rsidRDefault="009B1B4B">
            <w:pPr>
              <w:spacing w:line="250" w:lineRule="auto"/>
            </w:pPr>
            <w:r>
              <w:rPr>
                <w:b/>
                <w:bCs/>
                <w:sz w:val="18"/>
                <w:szCs w:val="18"/>
              </w:rPr>
              <w:t>Deutsch/Erklärung</w:t>
            </w:r>
          </w:p>
        </w:tc>
        <w:tc>
          <w:tcPr>
            <w:tcW w:w="166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DA5" w14:textId="77777777" w:rsidR="00C1548D" w:rsidRDefault="009B1B4B">
            <w:pPr>
              <w:spacing w:line="250" w:lineRule="auto"/>
            </w:pPr>
            <w:r>
              <w:rPr>
                <w:b/>
                <w:bCs/>
                <w:sz w:val="18"/>
                <w:szCs w:val="18"/>
              </w:rPr>
              <w:t>Referenz</w:t>
            </w:r>
          </w:p>
        </w:tc>
      </w:tr>
      <w:tr w:rsidR="00C1548D" w14:paraId="70A50DA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A7" w14:textId="77777777" w:rsidR="00C1548D" w:rsidRDefault="009B1B4B">
            <w:pPr>
              <w:spacing w:line="250" w:lineRule="auto"/>
            </w:pPr>
            <w:r>
              <w:rPr>
                <w:sz w:val="18"/>
                <w:szCs w:val="18"/>
              </w:rPr>
              <w:t>Accident Compensation Corporation (ACC)</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A8" w14:textId="77777777" w:rsidR="00C1548D" w:rsidRDefault="009B1B4B">
            <w:pPr>
              <w:spacing w:line="250" w:lineRule="auto"/>
            </w:pPr>
            <w:r>
              <w:rPr>
                <w:sz w:val="18"/>
                <w:szCs w:val="18"/>
              </w:rPr>
              <w:t>staatliche, verpflichtende No-Fault-Unfallversicherung für jede Person in Neuseeland, unabhängig vom Aufenthaltsstatus</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A9" w14:textId="77777777" w:rsidR="00C1548D" w:rsidRDefault="009B1B4B">
            <w:pPr>
              <w:spacing w:line="250" w:lineRule="auto"/>
            </w:pPr>
            <w:r>
              <w:rPr>
                <w:sz w:val="18"/>
                <w:szCs w:val="18"/>
              </w:rPr>
              <w:t>Neuseeland: Gesundheit</w:t>
            </w:r>
          </w:p>
        </w:tc>
      </w:tr>
      <w:tr w:rsidR="00C1548D" w14:paraId="70A50DA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AB" w14:textId="77777777" w:rsidR="00C1548D" w:rsidRDefault="009B1B4B">
            <w:pPr>
              <w:spacing w:line="250" w:lineRule="auto"/>
            </w:pPr>
            <w:r>
              <w:rPr>
                <w:sz w:val="18"/>
                <w:szCs w:val="18"/>
              </w:rPr>
              <w:t>Accredited Employer Work Visa (AEWV)</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AC" w14:textId="77777777" w:rsidR="00C1548D" w:rsidRDefault="009B1B4B">
            <w:pPr>
              <w:spacing w:line="250" w:lineRule="auto"/>
            </w:pPr>
            <w:r>
              <w:rPr>
                <w:sz w:val="18"/>
                <w:szCs w:val="18"/>
              </w:rPr>
              <w:t>befristetes, arbeitgebergebundenes Fachkräfte-Arbeitsvisum; der Arbeitgeber muss vorab akkreditiert sein und einen Job Check bestehen</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AD" w14:textId="77777777" w:rsidR="00C1548D" w:rsidRDefault="009B1B4B">
            <w:pPr>
              <w:spacing w:line="250" w:lineRule="auto"/>
            </w:pPr>
            <w:r>
              <w:rPr>
                <w:sz w:val="18"/>
                <w:szCs w:val="18"/>
              </w:rPr>
              <w:t>Neuseeland: Einwanderung, Arbeit</w:t>
            </w:r>
          </w:p>
        </w:tc>
      </w:tr>
      <w:tr w:rsidR="00C1548D" w14:paraId="70A50DB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AF" w14:textId="77777777" w:rsidR="00C1548D" w:rsidRDefault="009B1B4B">
            <w:pPr>
              <w:spacing w:line="250" w:lineRule="auto"/>
            </w:pPr>
            <w:r>
              <w:rPr>
                <w:sz w:val="18"/>
                <w:szCs w:val="18"/>
              </w:rPr>
              <w:t>Active Investor Plus Visa</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0" w14:textId="77777777" w:rsidR="00C1548D" w:rsidRDefault="009B1B4B">
            <w:pPr>
              <w:spacing w:line="250" w:lineRule="auto"/>
            </w:pPr>
            <w:r>
              <w:rPr>
                <w:sz w:val="18"/>
                <w:szCs w:val="18"/>
              </w:rPr>
              <w:t>Investorenvisum für reine Kapitalanlage ohne operative Geschäftsführung, Kategorien „Growth“ (ab 5 Mio. NZD) und „Balanced“ (ab 10 Mio. NZD)</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1" w14:textId="77777777" w:rsidR="00C1548D" w:rsidRDefault="009B1B4B">
            <w:pPr>
              <w:spacing w:line="250" w:lineRule="auto"/>
            </w:pPr>
            <w:r>
              <w:rPr>
                <w:sz w:val="18"/>
                <w:szCs w:val="18"/>
              </w:rPr>
              <w:t>Neuseeland: Familie/Investor/Ruhestand</w:t>
            </w:r>
          </w:p>
        </w:tc>
      </w:tr>
      <w:tr w:rsidR="00C1548D" w14:paraId="70A50DB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3" w14:textId="77777777" w:rsidR="00C1548D" w:rsidRDefault="009B1B4B">
            <w:pPr>
              <w:spacing w:line="250" w:lineRule="auto"/>
            </w:pPr>
            <w:r>
              <w:rPr>
                <w:sz w:val="18"/>
                <w:szCs w:val="18"/>
              </w:rPr>
              <w:t>Bond</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4" w14:textId="77777777" w:rsidR="00C1548D" w:rsidRDefault="009B1B4B">
            <w:pPr>
              <w:spacing w:line="250" w:lineRule="auto"/>
            </w:pPr>
            <w:r>
              <w:rPr>
                <w:sz w:val="18"/>
                <w:szCs w:val="18"/>
              </w:rPr>
              <w:t>gesetzlich auf höchstens vier Wochenmieten gedeckelte Mietkaution, treuhänderisch bei Tenancy Services hinterlegt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5" w14:textId="77777777" w:rsidR="00C1548D" w:rsidRDefault="009B1B4B">
            <w:pPr>
              <w:spacing w:line="250" w:lineRule="auto"/>
            </w:pPr>
            <w:r>
              <w:rPr>
                <w:sz w:val="18"/>
                <w:szCs w:val="18"/>
              </w:rPr>
              <w:t>Neuseeland: Wohnen</w:t>
            </w:r>
          </w:p>
        </w:tc>
      </w:tr>
      <w:tr w:rsidR="00C1548D" w14:paraId="70A50DB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7" w14:textId="77777777" w:rsidR="00C1548D" w:rsidRDefault="009B1B4B">
            <w:pPr>
              <w:spacing w:line="250" w:lineRule="auto"/>
            </w:pPr>
            <w:r>
              <w:rPr>
                <w:sz w:val="18"/>
                <w:szCs w:val="18"/>
              </w:rPr>
              <w:lastRenderedPageBreak/>
              <w:t>Business Investor Work Visa</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8" w14:textId="77777777" w:rsidR="00C1548D" w:rsidRDefault="009B1B4B">
            <w:pPr>
              <w:spacing w:line="250" w:lineRule="auto"/>
            </w:pPr>
            <w:r>
              <w:rPr>
                <w:sz w:val="18"/>
                <w:szCs w:val="18"/>
              </w:rPr>
              <w:t>Investoren-Arbeitsvisum für aktive Unternehmensführung mit Mindestbeschäftigung, löst seit 2025 die frühere Entrepreneur-Kategorie ab</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9" w14:textId="77777777" w:rsidR="00C1548D" w:rsidRDefault="009B1B4B">
            <w:pPr>
              <w:spacing w:line="250" w:lineRule="auto"/>
            </w:pPr>
            <w:r>
              <w:rPr>
                <w:sz w:val="18"/>
                <w:szCs w:val="18"/>
              </w:rPr>
              <w:t>Neuseeland: Familie/Investor/Ruhestand</w:t>
            </w:r>
          </w:p>
        </w:tc>
      </w:tr>
      <w:tr w:rsidR="00C1548D" w14:paraId="70A50DB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B" w14:textId="77777777" w:rsidR="00C1548D" w:rsidRDefault="009B1B4B">
            <w:pPr>
              <w:spacing w:line="250" w:lineRule="auto"/>
            </w:pPr>
            <w:r>
              <w:rPr>
                <w:sz w:val="18"/>
                <w:szCs w:val="18"/>
              </w:rPr>
              <w:t>Character Requirement</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C" w14:textId="77777777" w:rsidR="00C1548D" w:rsidRDefault="009B1B4B">
            <w:pPr>
              <w:spacing w:line="250" w:lineRule="auto"/>
            </w:pPr>
            <w:r>
              <w:rPr>
                <w:sz w:val="18"/>
                <w:szCs w:val="18"/>
              </w:rPr>
              <w:t>Vorgabe zum guten Leumund im Einwanderungsverfahren, geprüft ab 17 Jahren</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D" w14:textId="77777777" w:rsidR="00C1548D" w:rsidRDefault="009B1B4B">
            <w:pPr>
              <w:spacing w:line="250" w:lineRule="auto"/>
            </w:pPr>
            <w:r>
              <w:rPr>
                <w:sz w:val="18"/>
                <w:szCs w:val="18"/>
              </w:rPr>
              <w:t>Neuseeland: Antrag</w:t>
            </w:r>
          </w:p>
        </w:tc>
      </w:tr>
      <w:tr w:rsidR="00C1548D" w14:paraId="70A50DC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BF" w14:textId="77777777" w:rsidR="00C1548D" w:rsidRDefault="009B1B4B">
            <w:pPr>
              <w:spacing w:line="250" w:lineRule="auto"/>
            </w:pPr>
            <w:r>
              <w:rPr>
                <w:sz w:val="18"/>
                <w:szCs w:val="18"/>
              </w:rPr>
              <w:t>Citizenship by Descent</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0" w14:textId="77777777" w:rsidR="00C1548D" w:rsidRDefault="009B1B4B">
            <w:pPr>
              <w:spacing w:line="250" w:lineRule="auto"/>
            </w:pPr>
            <w:r>
              <w:rPr>
                <w:sz w:val="18"/>
                <w:szCs w:val="18"/>
              </w:rPr>
              <w:t>Registrierung der Staatsbürgerschaft für im Ausland geborene Kinder neuseeländischer Eltern, konstitutiv statt automatisch</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1" w14:textId="77777777" w:rsidR="00C1548D" w:rsidRDefault="009B1B4B">
            <w:pPr>
              <w:spacing w:line="250" w:lineRule="auto"/>
            </w:pPr>
            <w:r>
              <w:rPr>
                <w:sz w:val="18"/>
                <w:szCs w:val="18"/>
              </w:rPr>
              <w:t>Neuseeland: Staatsbürgerschaft</w:t>
            </w:r>
          </w:p>
        </w:tc>
      </w:tr>
      <w:tr w:rsidR="00C1548D" w14:paraId="70A50DC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3" w14:textId="77777777" w:rsidR="00C1548D" w:rsidRDefault="009B1B4B">
            <w:pPr>
              <w:spacing w:line="250" w:lineRule="auto"/>
            </w:pPr>
            <w:r>
              <w:rPr>
                <w:sz w:val="18"/>
                <w:szCs w:val="18"/>
              </w:rPr>
              <w:t>Common Law</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4" w14:textId="77777777" w:rsidR="00C1548D" w:rsidRDefault="009B1B4B">
            <w:pPr>
              <w:spacing w:line="250" w:lineRule="auto"/>
            </w:pPr>
            <w:r>
              <w:rPr>
                <w:sz w:val="18"/>
                <w:szCs w:val="18"/>
              </w:rPr>
              <w:t>britisch geprägtes Fallrecht, Grundlage des neuseeländischen Rechtssystems</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5" w14:textId="77777777" w:rsidR="00C1548D" w:rsidRDefault="009B1B4B">
            <w:pPr>
              <w:spacing w:line="250" w:lineRule="auto"/>
            </w:pPr>
            <w:r>
              <w:rPr>
                <w:sz w:val="18"/>
                <w:szCs w:val="18"/>
              </w:rPr>
              <w:t>Neuseeland: Recht</w:t>
            </w:r>
          </w:p>
        </w:tc>
      </w:tr>
      <w:tr w:rsidR="00C1548D" w14:paraId="70A50DC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7" w14:textId="77777777" w:rsidR="00C1548D" w:rsidRDefault="009B1B4B">
            <w:pPr>
              <w:spacing w:line="250" w:lineRule="auto"/>
            </w:pPr>
            <w:r>
              <w:rPr>
                <w:sz w:val="18"/>
                <w:szCs w:val="18"/>
              </w:rPr>
              <w:t>Department of Internal Affairs (DIA)</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8" w14:textId="77777777" w:rsidR="00C1548D" w:rsidRDefault="009B1B4B">
            <w:pPr>
              <w:spacing w:line="250" w:lineRule="auto"/>
            </w:pPr>
            <w:r>
              <w:rPr>
                <w:sz w:val="18"/>
                <w:szCs w:val="18"/>
              </w:rPr>
              <w:t>Behörde, die Einbürgerungsanträge bearbeitet und den guten Leumund prüft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9" w14:textId="77777777" w:rsidR="00C1548D" w:rsidRDefault="009B1B4B">
            <w:pPr>
              <w:spacing w:line="250" w:lineRule="auto"/>
            </w:pPr>
            <w:r>
              <w:rPr>
                <w:sz w:val="18"/>
                <w:szCs w:val="18"/>
              </w:rPr>
              <w:t>Neuseeland: Staatsbürgerschaft</w:t>
            </w:r>
          </w:p>
        </w:tc>
      </w:tr>
      <w:tr w:rsidR="00C1548D" w14:paraId="70A50DC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B" w14:textId="77777777" w:rsidR="00C1548D" w:rsidRDefault="009B1B4B">
            <w:pPr>
              <w:spacing w:line="250" w:lineRule="auto"/>
            </w:pPr>
            <w:r>
              <w:rPr>
                <w:sz w:val="18"/>
                <w:szCs w:val="18"/>
              </w:rPr>
              <w:t>Direct Deduction Policy</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C" w14:textId="77777777" w:rsidR="00C1548D" w:rsidRDefault="009B1B4B">
            <w:pPr>
              <w:spacing w:line="250" w:lineRule="auto"/>
            </w:pPr>
            <w:r>
              <w:rPr>
                <w:sz w:val="18"/>
                <w:szCs w:val="18"/>
              </w:rPr>
              <w:t>Regel, nach der die staatliche Rente NZ Super Dollar für Dollar um eine ausländische Sozialversicherungsrente gekürzt wird</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D" w14:textId="77777777" w:rsidR="00C1548D" w:rsidRDefault="009B1B4B">
            <w:pPr>
              <w:spacing w:line="250" w:lineRule="auto"/>
            </w:pPr>
            <w:r>
              <w:rPr>
                <w:sz w:val="18"/>
                <w:szCs w:val="18"/>
              </w:rPr>
              <w:t>Neuseeland: Familie/Investor/Ruhestand</w:t>
            </w:r>
          </w:p>
        </w:tc>
      </w:tr>
      <w:tr w:rsidR="00C1548D" w14:paraId="70A50DD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CF" w14:textId="77777777" w:rsidR="00C1548D" w:rsidRDefault="009B1B4B">
            <w:pPr>
              <w:spacing w:line="250" w:lineRule="auto"/>
            </w:pPr>
            <w:r>
              <w:rPr>
                <w:sz w:val="18"/>
                <w:szCs w:val="18"/>
              </w:rPr>
              <w:t>Earner’s Levy</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0" w14:textId="77777777" w:rsidR="00C1548D" w:rsidRDefault="009B1B4B">
            <w:pPr>
              <w:spacing w:line="250" w:lineRule="auto"/>
            </w:pPr>
            <w:r>
              <w:rPr>
                <w:sz w:val="18"/>
                <w:szCs w:val="18"/>
              </w:rPr>
              <w:t>Arbeitnehmerbeitrag zur Finanzierung von ACC, ab April 2026 1,75 % des beitragspflichtigen Einkommens</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1" w14:textId="77777777" w:rsidR="00C1548D" w:rsidRDefault="009B1B4B">
            <w:pPr>
              <w:spacing w:line="250" w:lineRule="auto"/>
            </w:pPr>
            <w:r>
              <w:rPr>
                <w:sz w:val="18"/>
                <w:szCs w:val="18"/>
              </w:rPr>
              <w:t>Neuseeland: Gesundheit</w:t>
            </w:r>
          </w:p>
        </w:tc>
      </w:tr>
      <w:tr w:rsidR="00C1548D" w14:paraId="70A50DD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3" w14:textId="77777777" w:rsidR="00C1548D" w:rsidRDefault="009B1B4B">
            <w:pPr>
              <w:spacing w:line="250" w:lineRule="auto"/>
            </w:pPr>
            <w:r>
              <w:rPr>
                <w:sz w:val="18"/>
                <w:szCs w:val="18"/>
              </w:rPr>
              <w:t>Employer Accreditation</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4" w14:textId="77777777" w:rsidR="00C1548D" w:rsidRDefault="009B1B4B">
            <w:pPr>
              <w:spacing w:line="250" w:lineRule="auto"/>
            </w:pPr>
            <w:r>
              <w:rPr>
                <w:sz w:val="18"/>
                <w:szCs w:val="18"/>
              </w:rPr>
              <w:t>Vorab-Akkreditierung eines Arbeitgebers, Voraussetzung für das AEWV-System</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5" w14:textId="77777777" w:rsidR="00C1548D" w:rsidRDefault="009B1B4B">
            <w:pPr>
              <w:spacing w:line="250" w:lineRule="auto"/>
            </w:pPr>
            <w:r>
              <w:rPr>
                <w:sz w:val="18"/>
                <w:szCs w:val="18"/>
              </w:rPr>
              <w:t>Neuseeland: Arbeit</w:t>
            </w:r>
          </w:p>
        </w:tc>
      </w:tr>
      <w:tr w:rsidR="00C1548D" w14:paraId="70A50DD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7" w14:textId="77777777" w:rsidR="00C1548D" w:rsidRDefault="009B1B4B">
            <w:pPr>
              <w:spacing w:line="250" w:lineRule="auto"/>
            </w:pPr>
            <w:r>
              <w:rPr>
                <w:sz w:val="18"/>
                <w:szCs w:val="18"/>
              </w:rPr>
              <w:t>Employment New Zealand</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8" w14:textId="77777777" w:rsidR="00C1548D" w:rsidRDefault="009B1B4B">
            <w:pPr>
              <w:spacing w:line="250" w:lineRule="auto"/>
            </w:pPr>
            <w:r>
              <w:rPr>
                <w:sz w:val="18"/>
                <w:szCs w:val="18"/>
              </w:rPr>
              <w:t>Arbeitsbereich des Wirtschaftsministeriums MBIE, kostenlose Information und Beratung zum Arbeitsrecht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9" w14:textId="77777777" w:rsidR="00C1548D" w:rsidRDefault="009B1B4B">
            <w:pPr>
              <w:spacing w:line="250" w:lineRule="auto"/>
            </w:pPr>
            <w:r>
              <w:rPr>
                <w:sz w:val="18"/>
                <w:szCs w:val="18"/>
              </w:rPr>
              <w:t>Neuseeland: Arbeit</w:t>
            </w:r>
          </w:p>
        </w:tc>
      </w:tr>
      <w:tr w:rsidR="00C1548D" w14:paraId="70A50DD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B" w14:textId="77777777" w:rsidR="00C1548D" w:rsidRDefault="009B1B4B">
            <w:pPr>
              <w:spacing w:line="250" w:lineRule="auto"/>
            </w:pPr>
            <w:r>
              <w:rPr>
                <w:sz w:val="18"/>
                <w:szCs w:val="18"/>
              </w:rPr>
              <w:t>ESOL (English for Speakers of Other Languages)</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C" w14:textId="77777777" w:rsidR="00C1548D" w:rsidRDefault="009B1B4B">
            <w:pPr>
              <w:spacing w:line="250" w:lineRule="auto"/>
            </w:pPr>
            <w:r>
              <w:rPr>
                <w:sz w:val="18"/>
                <w:szCs w:val="18"/>
              </w:rPr>
              <w:t>schulische Sprachförderung für Kinder ohne Englisch als Erstsprache, vom Bildungsministerium bezuschusst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D" w14:textId="77777777" w:rsidR="00C1548D" w:rsidRDefault="009B1B4B">
            <w:pPr>
              <w:spacing w:line="250" w:lineRule="auto"/>
            </w:pPr>
            <w:r>
              <w:rPr>
                <w:sz w:val="18"/>
                <w:szCs w:val="18"/>
              </w:rPr>
              <w:t>Neuseeland: Schule</w:t>
            </w:r>
          </w:p>
        </w:tc>
      </w:tr>
      <w:tr w:rsidR="00C1548D" w14:paraId="70A50DE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DF" w14:textId="77777777" w:rsidR="00C1548D" w:rsidRDefault="009B1B4B">
            <w:pPr>
              <w:spacing w:line="250" w:lineRule="auto"/>
            </w:pPr>
            <w:r>
              <w:rPr>
                <w:sz w:val="18"/>
                <w:szCs w:val="18"/>
              </w:rPr>
              <w:lastRenderedPageBreak/>
              <w:t>Exempt Countries</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0" w14:textId="77777777" w:rsidR="00C1548D" w:rsidRDefault="009B1B4B">
            <w:pPr>
              <w:spacing w:line="250" w:lineRule="auto"/>
            </w:pPr>
            <w:r>
              <w:rPr>
                <w:sz w:val="18"/>
                <w:szCs w:val="18"/>
              </w:rPr>
              <w:t>von der Verkehrsbehörde NZTA anerkannte Länderliste, deren Führerscheine ohne Prüfung umgetauscht werden können; Deutschland zählt dazu</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1" w14:textId="77777777" w:rsidR="00C1548D" w:rsidRDefault="009B1B4B">
            <w:pPr>
              <w:spacing w:line="250" w:lineRule="auto"/>
            </w:pPr>
            <w:r>
              <w:rPr>
                <w:sz w:val="18"/>
                <w:szCs w:val="18"/>
              </w:rPr>
              <w:t>Neuseeland: Führerschein</w:t>
            </w:r>
          </w:p>
        </w:tc>
      </w:tr>
      <w:tr w:rsidR="00C1548D" w14:paraId="70A50DE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3" w14:textId="77777777" w:rsidR="00C1548D" w:rsidRDefault="009B1B4B">
            <w:pPr>
              <w:spacing w:line="250" w:lineRule="auto"/>
            </w:pPr>
            <w:r>
              <w:rPr>
                <w:sz w:val="18"/>
                <w:szCs w:val="18"/>
              </w:rPr>
              <w:t>General Practitioner (GP)</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4" w14:textId="77777777" w:rsidR="00C1548D" w:rsidRDefault="009B1B4B">
            <w:pPr>
              <w:spacing w:line="250" w:lineRule="auto"/>
            </w:pPr>
            <w:r>
              <w:rPr>
                <w:sz w:val="18"/>
                <w:szCs w:val="18"/>
              </w:rPr>
              <w:t>Hausarzt, meist über eine Primary Health Organisation organisiert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5" w14:textId="77777777" w:rsidR="00C1548D" w:rsidRDefault="009B1B4B">
            <w:pPr>
              <w:spacing w:line="250" w:lineRule="auto"/>
            </w:pPr>
            <w:r>
              <w:rPr>
                <w:sz w:val="18"/>
                <w:szCs w:val="18"/>
              </w:rPr>
              <w:t>Neuseeland: Gesundheit</w:t>
            </w:r>
          </w:p>
        </w:tc>
      </w:tr>
      <w:tr w:rsidR="00C1548D" w14:paraId="70A50DE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7" w14:textId="77777777" w:rsidR="00C1548D" w:rsidRDefault="009B1B4B">
            <w:pPr>
              <w:spacing w:line="250" w:lineRule="auto"/>
            </w:pPr>
            <w:r>
              <w:rPr>
                <w:sz w:val="18"/>
                <w:szCs w:val="18"/>
              </w:rPr>
              <w:t>Give Way</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8" w14:textId="77777777" w:rsidR="00C1548D" w:rsidRDefault="009B1B4B">
            <w:pPr>
              <w:spacing w:line="250" w:lineRule="auto"/>
            </w:pPr>
            <w:r>
              <w:rPr>
                <w:sz w:val="18"/>
                <w:szCs w:val="18"/>
              </w:rPr>
              <w:t>seit 2012 geltende Vorfahrtsregel, wonach abbiegender Verkehr nicht mehr automatisch Vorrang hat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9" w14:textId="77777777" w:rsidR="00C1548D" w:rsidRDefault="009B1B4B">
            <w:pPr>
              <w:spacing w:line="250" w:lineRule="auto"/>
            </w:pPr>
            <w:r>
              <w:rPr>
                <w:sz w:val="18"/>
                <w:szCs w:val="18"/>
              </w:rPr>
              <w:t>Neuseeland: Führerschein</w:t>
            </w:r>
          </w:p>
        </w:tc>
      </w:tr>
      <w:tr w:rsidR="00C1548D" w14:paraId="70A50DE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B" w14:textId="77777777" w:rsidR="00C1548D" w:rsidRDefault="009B1B4B">
            <w:pPr>
              <w:spacing w:line="250" w:lineRule="auto"/>
            </w:pPr>
            <w:r>
              <w:rPr>
                <w:sz w:val="18"/>
                <w:szCs w:val="18"/>
              </w:rPr>
              <w:t>Good Faith</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C" w14:textId="77777777" w:rsidR="00C1548D" w:rsidRDefault="009B1B4B">
            <w:pPr>
              <w:spacing w:line="250" w:lineRule="auto"/>
            </w:pPr>
            <w:r>
              <w:rPr>
                <w:sz w:val="18"/>
                <w:szCs w:val="18"/>
              </w:rPr>
              <w:t>Treu und Glauben, zentraler Grundsatz des neuseeländischen Arbeitsrechts</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D" w14:textId="77777777" w:rsidR="00C1548D" w:rsidRDefault="009B1B4B">
            <w:pPr>
              <w:spacing w:line="250" w:lineRule="auto"/>
            </w:pPr>
            <w:r>
              <w:rPr>
                <w:sz w:val="18"/>
                <w:szCs w:val="18"/>
              </w:rPr>
              <w:t>Neuseeland: Arbeit</w:t>
            </w:r>
          </w:p>
        </w:tc>
      </w:tr>
      <w:tr w:rsidR="00C1548D" w14:paraId="70A50DF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EF" w14:textId="77777777" w:rsidR="00C1548D" w:rsidRDefault="009B1B4B">
            <w:pPr>
              <w:spacing w:line="250" w:lineRule="auto"/>
            </w:pPr>
            <w:r>
              <w:rPr>
                <w:sz w:val="18"/>
                <w:szCs w:val="18"/>
              </w:rPr>
              <w:t>Goods and Services Tax (GST)</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0" w14:textId="77777777" w:rsidR="00C1548D" w:rsidRDefault="009B1B4B">
            <w:pPr>
              <w:spacing w:line="250" w:lineRule="auto"/>
            </w:pPr>
            <w:r>
              <w:rPr>
                <w:sz w:val="18"/>
                <w:szCs w:val="18"/>
              </w:rPr>
              <w:t>neuseeländische Verbrauchsteuer von 15 %, anders als die US-Sales-Tax bereits im Preis enthalten</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1" w14:textId="77777777" w:rsidR="00C1548D" w:rsidRDefault="009B1B4B">
            <w:pPr>
              <w:spacing w:line="250" w:lineRule="auto"/>
            </w:pPr>
            <w:r>
              <w:rPr>
                <w:sz w:val="18"/>
                <w:szCs w:val="18"/>
              </w:rPr>
              <w:t>Neuseeland: Steuer</w:t>
            </w:r>
          </w:p>
        </w:tc>
      </w:tr>
      <w:tr w:rsidR="00C1548D" w14:paraId="70A50DF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3" w14:textId="77777777" w:rsidR="00C1548D" w:rsidRDefault="009B1B4B">
            <w:pPr>
              <w:spacing w:line="250" w:lineRule="auto"/>
            </w:pPr>
            <w:r>
              <w:rPr>
                <w:sz w:val="18"/>
                <w:szCs w:val="18"/>
              </w:rPr>
              <w:t>Green List</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4" w14:textId="77777777" w:rsidR="00C1548D" w:rsidRDefault="009B1B4B">
            <w:pPr>
              <w:spacing w:line="250" w:lineRule="auto"/>
            </w:pPr>
            <w:r>
              <w:rPr>
                <w:sz w:val="18"/>
                <w:szCs w:val="18"/>
              </w:rPr>
              <w:t>Mangelberufe-Liste mit direktem (Tier 1) oder verkürztem (Tier 2) Weg zur Residency für rund 200 Berufe</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5" w14:textId="77777777" w:rsidR="00C1548D" w:rsidRDefault="009B1B4B">
            <w:pPr>
              <w:spacing w:line="250" w:lineRule="auto"/>
            </w:pPr>
            <w:r>
              <w:rPr>
                <w:sz w:val="18"/>
                <w:szCs w:val="18"/>
              </w:rPr>
              <w:t>Neuseeland: Einwanderung, Arbeit</w:t>
            </w:r>
          </w:p>
        </w:tc>
      </w:tr>
      <w:tr w:rsidR="00C1548D" w14:paraId="70A50DF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7" w14:textId="77777777" w:rsidR="00C1548D" w:rsidRDefault="009B1B4B">
            <w:pPr>
              <w:spacing w:line="250" w:lineRule="auto"/>
            </w:pPr>
            <w:r>
              <w:rPr>
                <w:sz w:val="18"/>
                <w:szCs w:val="18"/>
              </w:rPr>
              <w:t>Immigration Levy</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8" w14:textId="77777777" w:rsidR="00C1548D" w:rsidRDefault="009B1B4B">
            <w:pPr>
              <w:spacing w:line="250" w:lineRule="auto"/>
            </w:pPr>
            <w:r>
              <w:rPr>
                <w:sz w:val="18"/>
                <w:szCs w:val="18"/>
              </w:rPr>
              <w:t>zusätzliche Einwanderungsabgabe, die bei fast jedem Visumantrag zur Antragsgebühr hinzukommt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9" w14:textId="77777777" w:rsidR="00C1548D" w:rsidRDefault="009B1B4B">
            <w:pPr>
              <w:spacing w:line="250" w:lineRule="auto"/>
            </w:pPr>
            <w:r>
              <w:rPr>
                <w:sz w:val="18"/>
                <w:szCs w:val="18"/>
              </w:rPr>
              <w:t>Neuseeland: Antrag</w:t>
            </w:r>
          </w:p>
        </w:tc>
      </w:tr>
      <w:tr w:rsidR="00C1548D" w14:paraId="70A50DF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B" w14:textId="77777777" w:rsidR="00C1548D" w:rsidRDefault="009B1B4B">
            <w:pPr>
              <w:spacing w:line="250" w:lineRule="auto"/>
            </w:pPr>
            <w:r>
              <w:rPr>
                <w:sz w:val="18"/>
                <w:szCs w:val="18"/>
              </w:rPr>
              <w:t>Immigration New Zealand (INZ)</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C" w14:textId="77777777" w:rsidR="00C1548D" w:rsidRDefault="009B1B4B">
            <w:pPr>
              <w:spacing w:line="250" w:lineRule="auto"/>
            </w:pPr>
            <w:r>
              <w:rPr>
                <w:sz w:val="18"/>
                <w:szCs w:val="18"/>
              </w:rPr>
              <w:t>neuseeländische Einwanderungsbehörde, Teil des Wirtschaftsministeriums MBIE</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D" w14:textId="77777777" w:rsidR="00C1548D" w:rsidRDefault="009B1B4B">
            <w:pPr>
              <w:spacing w:line="250" w:lineRule="auto"/>
            </w:pPr>
            <w:r>
              <w:rPr>
                <w:sz w:val="18"/>
                <w:szCs w:val="18"/>
              </w:rPr>
              <w:t>Neuseeland: Einwanderung</w:t>
            </w:r>
          </w:p>
        </w:tc>
      </w:tr>
      <w:tr w:rsidR="00C1548D" w14:paraId="70A50E0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DFF" w14:textId="77777777" w:rsidR="00C1548D" w:rsidRDefault="009B1B4B">
            <w:pPr>
              <w:spacing w:line="250" w:lineRule="auto"/>
            </w:pPr>
            <w:r>
              <w:rPr>
                <w:sz w:val="18"/>
                <w:szCs w:val="18"/>
              </w:rPr>
              <w:t>Inland Revenue Department (IRD)</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0" w14:textId="77777777" w:rsidR="00C1548D" w:rsidRDefault="009B1B4B">
            <w:pPr>
              <w:spacing w:line="250" w:lineRule="auto"/>
            </w:pPr>
            <w:r>
              <w:rPr>
                <w:sz w:val="18"/>
                <w:szCs w:val="18"/>
              </w:rPr>
              <w:t>neuseeländische Steuerbehörde, vergibt die kostenlose, lebenslange IRD-Nummer als Voraussetzung für Gehalt, Bankkonto und KiwiSaver</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1" w14:textId="77777777" w:rsidR="00C1548D" w:rsidRDefault="009B1B4B">
            <w:pPr>
              <w:spacing w:line="250" w:lineRule="auto"/>
            </w:pPr>
            <w:r>
              <w:rPr>
                <w:sz w:val="18"/>
                <w:szCs w:val="18"/>
              </w:rPr>
              <w:t>Neuseeland: Steuer</w:t>
            </w:r>
          </w:p>
        </w:tc>
      </w:tr>
      <w:tr w:rsidR="00C1548D" w14:paraId="70A50E0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3" w14:textId="77777777" w:rsidR="00C1548D" w:rsidRDefault="009B1B4B">
            <w:pPr>
              <w:spacing w:line="250" w:lineRule="auto"/>
            </w:pPr>
            <w:r>
              <w:rPr>
                <w:sz w:val="18"/>
                <w:szCs w:val="18"/>
              </w:rPr>
              <w:t>Job Check</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4" w14:textId="77777777" w:rsidR="00C1548D" w:rsidRDefault="009B1B4B">
            <w:pPr>
              <w:spacing w:line="250" w:lineRule="auto"/>
            </w:pPr>
            <w:r>
              <w:rPr>
                <w:sz w:val="18"/>
                <w:szCs w:val="18"/>
              </w:rPr>
              <w:t>behördliche Prüfung einer konkreten Stelle im AEWV-Verfahren, weist marktübliche Bezahlung und Bedingungen nach</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5" w14:textId="77777777" w:rsidR="00C1548D" w:rsidRDefault="009B1B4B">
            <w:pPr>
              <w:spacing w:line="250" w:lineRule="auto"/>
            </w:pPr>
            <w:r>
              <w:rPr>
                <w:sz w:val="18"/>
                <w:szCs w:val="18"/>
              </w:rPr>
              <w:t>Neuseeland: Arbeit</w:t>
            </w:r>
          </w:p>
        </w:tc>
      </w:tr>
      <w:tr w:rsidR="00C1548D" w14:paraId="70A50E0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7" w14:textId="77777777" w:rsidR="00C1548D" w:rsidRDefault="009B1B4B">
            <w:pPr>
              <w:spacing w:line="250" w:lineRule="auto"/>
            </w:pPr>
            <w:r>
              <w:rPr>
                <w:sz w:val="18"/>
                <w:szCs w:val="18"/>
              </w:rPr>
              <w:t>Karakia</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8" w14:textId="77777777" w:rsidR="00C1548D" w:rsidRDefault="009B1B4B">
            <w:pPr>
              <w:spacing w:line="250" w:lineRule="auto"/>
            </w:pPr>
            <w:r>
              <w:rPr>
                <w:sz w:val="18"/>
                <w:szCs w:val="18"/>
              </w:rPr>
              <w:t>kurzes einleitendes Ritual beziehungsweise stilles Gebet zur Eröffnung von Zeremonien und Besprechungen</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9" w14:textId="77777777" w:rsidR="00C1548D" w:rsidRDefault="009B1B4B">
            <w:pPr>
              <w:spacing w:line="250" w:lineRule="auto"/>
            </w:pPr>
            <w:r>
              <w:rPr>
                <w:sz w:val="18"/>
                <w:szCs w:val="18"/>
              </w:rPr>
              <w:t>Neuseeland: Kultur</w:t>
            </w:r>
          </w:p>
        </w:tc>
      </w:tr>
      <w:tr w:rsidR="00C1548D" w14:paraId="70A50E0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B" w14:textId="77777777" w:rsidR="00C1548D" w:rsidRDefault="009B1B4B">
            <w:pPr>
              <w:spacing w:line="250" w:lineRule="auto"/>
            </w:pPr>
            <w:r>
              <w:rPr>
                <w:sz w:val="18"/>
                <w:szCs w:val="18"/>
              </w:rPr>
              <w:lastRenderedPageBreak/>
              <w:t>Kia ora</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C" w14:textId="77777777" w:rsidR="00C1548D" w:rsidRDefault="009B1B4B">
            <w:pPr>
              <w:spacing w:line="250" w:lineRule="auto"/>
            </w:pPr>
            <w:r>
              <w:rPr>
                <w:sz w:val="18"/>
                <w:szCs w:val="18"/>
              </w:rPr>
              <w:t>Māori-Gruß, im neuseeländischen Alltagsenglisch fest für „Hallo“ verankert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D" w14:textId="77777777" w:rsidR="00C1548D" w:rsidRDefault="009B1B4B">
            <w:pPr>
              <w:spacing w:line="250" w:lineRule="auto"/>
            </w:pPr>
            <w:r>
              <w:rPr>
                <w:sz w:val="18"/>
                <w:szCs w:val="18"/>
              </w:rPr>
              <w:t>Neuseeland: Kultur</w:t>
            </w:r>
          </w:p>
        </w:tc>
      </w:tr>
      <w:tr w:rsidR="00C1548D" w14:paraId="70A50E1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0F" w14:textId="77777777" w:rsidR="00C1548D" w:rsidRDefault="009B1B4B">
            <w:pPr>
              <w:spacing w:line="250" w:lineRule="auto"/>
            </w:pPr>
            <w:r>
              <w:rPr>
                <w:sz w:val="18"/>
                <w:szCs w:val="18"/>
              </w:rPr>
              <w:t>KiwiSaver</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0" w14:textId="77777777" w:rsidR="00C1548D" w:rsidRDefault="009B1B4B">
            <w:pPr>
              <w:spacing w:line="250" w:lineRule="auto"/>
            </w:pPr>
            <w:r>
              <w:rPr>
                <w:sz w:val="18"/>
                <w:szCs w:val="18"/>
              </w:rPr>
              <w:t>freiwilliges, staatlich gefördertes Rentensparsystem mit Pflichtbeitrag des Arbeitgebers, nur für Bürger und Personen mit unbefristetem Aufenthaltsrecht offen</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1" w14:textId="77777777" w:rsidR="00C1548D" w:rsidRDefault="009B1B4B">
            <w:pPr>
              <w:spacing w:line="250" w:lineRule="auto"/>
            </w:pPr>
            <w:r>
              <w:rPr>
                <w:sz w:val="18"/>
                <w:szCs w:val="18"/>
              </w:rPr>
              <w:t>Neuseeland: Steuer</w:t>
            </w:r>
          </w:p>
        </w:tc>
      </w:tr>
      <w:tr w:rsidR="00C1548D" w14:paraId="70A50E1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3" w14:textId="77777777" w:rsidR="00C1548D" w:rsidRDefault="009B1B4B">
            <w:pPr>
              <w:spacing w:line="250" w:lineRule="auto"/>
            </w:pPr>
            <w:r>
              <w:rPr>
                <w:sz w:val="18"/>
                <w:szCs w:val="18"/>
              </w:rPr>
              <w:t>Licensed Immigration Adviser (LIA)</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4" w14:textId="77777777" w:rsidR="00C1548D" w:rsidRDefault="009B1B4B">
            <w:pPr>
              <w:spacing w:line="250" w:lineRule="auto"/>
            </w:pPr>
            <w:r>
              <w:rPr>
                <w:sz w:val="18"/>
                <w:szCs w:val="18"/>
              </w:rPr>
              <w:t>lizenzierter Einwanderungsberater, reguliert durch die Immigration Advisers Authority</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5" w14:textId="77777777" w:rsidR="00C1548D" w:rsidRDefault="009B1B4B">
            <w:pPr>
              <w:spacing w:line="250" w:lineRule="auto"/>
            </w:pPr>
            <w:r>
              <w:rPr>
                <w:sz w:val="18"/>
                <w:szCs w:val="18"/>
              </w:rPr>
              <w:t>Neuseeland: Antrag</w:t>
            </w:r>
          </w:p>
        </w:tc>
      </w:tr>
      <w:tr w:rsidR="00C1548D" w14:paraId="70A50E1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7" w14:textId="77777777" w:rsidR="00C1548D" w:rsidRDefault="009B1B4B">
            <w:pPr>
              <w:spacing w:line="250" w:lineRule="auto"/>
            </w:pPr>
            <w:r>
              <w:rPr>
                <w:sz w:val="18"/>
                <w:szCs w:val="18"/>
              </w:rPr>
              <w:t>National Certificate of Educational Achievement (NCEA)</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8" w14:textId="77777777" w:rsidR="00C1548D" w:rsidRDefault="009B1B4B">
            <w:pPr>
              <w:spacing w:line="250" w:lineRule="auto"/>
            </w:pPr>
            <w:r>
              <w:rPr>
                <w:sz w:val="18"/>
                <w:szCs w:val="18"/>
              </w:rPr>
              <w:t>neuseeländischer Schulabschluss über Einzelfächer und Kredit-Punkte, etwa Year 11 bis 13</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9" w14:textId="77777777" w:rsidR="00C1548D" w:rsidRDefault="009B1B4B">
            <w:pPr>
              <w:spacing w:line="250" w:lineRule="auto"/>
            </w:pPr>
            <w:r>
              <w:rPr>
                <w:sz w:val="18"/>
                <w:szCs w:val="18"/>
              </w:rPr>
              <w:t>Neuseeland: Schule</w:t>
            </w:r>
          </w:p>
        </w:tc>
      </w:tr>
      <w:tr w:rsidR="00C1548D" w14:paraId="70A50E1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B" w14:textId="77777777" w:rsidR="00C1548D" w:rsidRDefault="009B1B4B">
            <w:pPr>
              <w:spacing w:line="250" w:lineRule="auto"/>
            </w:pPr>
            <w:r>
              <w:rPr>
                <w:sz w:val="18"/>
                <w:szCs w:val="18"/>
              </w:rPr>
              <w:t>New Zealand Bill of Rights Act 1990</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C" w14:textId="77777777" w:rsidR="00C1548D" w:rsidRDefault="009B1B4B">
            <w:pPr>
              <w:spacing w:line="250" w:lineRule="auto"/>
            </w:pPr>
            <w:r>
              <w:rPr>
                <w:sz w:val="18"/>
                <w:szCs w:val="18"/>
              </w:rPr>
              <w:t>Grundrechtecharta, gilt für jeden im Land unabhängig von der Staatsangehörigkeit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D" w14:textId="77777777" w:rsidR="00C1548D" w:rsidRDefault="009B1B4B">
            <w:pPr>
              <w:spacing w:line="250" w:lineRule="auto"/>
            </w:pPr>
            <w:r>
              <w:rPr>
                <w:sz w:val="18"/>
                <w:szCs w:val="18"/>
              </w:rPr>
              <w:t>Neuseeland: Recht</w:t>
            </w:r>
          </w:p>
        </w:tc>
      </w:tr>
      <w:tr w:rsidR="00C1548D" w14:paraId="70A50E2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1F" w14:textId="77777777" w:rsidR="00C1548D" w:rsidRDefault="009B1B4B">
            <w:pPr>
              <w:spacing w:line="250" w:lineRule="auto"/>
            </w:pPr>
            <w:r>
              <w:rPr>
                <w:sz w:val="18"/>
                <w:szCs w:val="18"/>
              </w:rPr>
              <w:t>New Zealand Transport Agency Waka Kotahi (NZTA)</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0" w14:textId="77777777" w:rsidR="00C1548D" w:rsidRDefault="009B1B4B">
            <w:pPr>
              <w:spacing w:line="250" w:lineRule="auto"/>
            </w:pPr>
            <w:r>
              <w:rPr>
                <w:sz w:val="18"/>
                <w:szCs w:val="18"/>
              </w:rPr>
              <w:t>neuseeländische Verkehrsbehörde, zuständig für Führerschein-Umtausch und Verkehrsregeln</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1" w14:textId="77777777" w:rsidR="00C1548D" w:rsidRDefault="009B1B4B">
            <w:pPr>
              <w:spacing w:line="250" w:lineRule="auto"/>
            </w:pPr>
            <w:r>
              <w:rPr>
                <w:sz w:val="18"/>
                <w:szCs w:val="18"/>
              </w:rPr>
              <w:t>Neuseeland: Führerschein</w:t>
            </w:r>
          </w:p>
        </w:tc>
      </w:tr>
      <w:tr w:rsidR="00C1548D" w14:paraId="70A50E2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3" w14:textId="77777777" w:rsidR="00C1548D" w:rsidRDefault="009B1B4B">
            <w:pPr>
              <w:spacing w:line="250" w:lineRule="auto"/>
            </w:pPr>
            <w:r>
              <w:rPr>
                <w:sz w:val="18"/>
                <w:szCs w:val="18"/>
              </w:rPr>
              <w:t>New Zealand Traveller Declaration (NZTD)</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4" w14:textId="77777777" w:rsidR="00C1548D" w:rsidRDefault="009B1B4B">
            <w:pPr>
              <w:spacing w:line="250" w:lineRule="auto"/>
            </w:pPr>
            <w:r>
              <w:rPr>
                <w:sz w:val="18"/>
                <w:szCs w:val="18"/>
              </w:rPr>
              <w:t>digitale Einreise-, Zoll- und Biosecurity-Erklärung, vor der Landung Pflicht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5" w14:textId="77777777" w:rsidR="00C1548D" w:rsidRDefault="009B1B4B">
            <w:pPr>
              <w:spacing w:line="250" w:lineRule="auto"/>
            </w:pPr>
            <w:r>
              <w:rPr>
                <w:sz w:val="18"/>
                <w:szCs w:val="18"/>
              </w:rPr>
              <w:t>Neuseeland: Ankunft</w:t>
            </w:r>
          </w:p>
        </w:tc>
      </w:tr>
      <w:tr w:rsidR="00C1548D" w14:paraId="70A50E2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7" w14:textId="77777777" w:rsidR="00C1548D" w:rsidRDefault="009B1B4B">
            <w:pPr>
              <w:spacing w:line="250" w:lineRule="auto"/>
            </w:pPr>
            <w:r>
              <w:rPr>
                <w:sz w:val="18"/>
                <w:szCs w:val="18"/>
              </w:rPr>
              <w:t>No-notification Rate</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8" w14:textId="77777777" w:rsidR="00C1548D" w:rsidRDefault="009B1B4B">
            <w:pPr>
              <w:spacing w:line="250" w:lineRule="auto"/>
            </w:pPr>
            <w:r>
              <w:rPr>
                <w:sz w:val="18"/>
                <w:szCs w:val="18"/>
              </w:rPr>
              <w:t>pauschaler Höchststeuersatz von 45 % auf Gehalt und Zinsen ohne hinterlegte IRD-Nummer</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9" w14:textId="77777777" w:rsidR="00C1548D" w:rsidRDefault="009B1B4B">
            <w:pPr>
              <w:spacing w:line="250" w:lineRule="auto"/>
            </w:pPr>
            <w:r>
              <w:rPr>
                <w:sz w:val="18"/>
                <w:szCs w:val="18"/>
              </w:rPr>
              <w:t>Neuseeland: Steuer</w:t>
            </w:r>
          </w:p>
        </w:tc>
      </w:tr>
      <w:tr w:rsidR="00C1548D" w14:paraId="70A50E2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B" w14:textId="77777777" w:rsidR="00C1548D" w:rsidRDefault="009B1B4B">
            <w:pPr>
              <w:spacing w:line="250" w:lineRule="auto"/>
            </w:pPr>
            <w:r>
              <w:rPr>
                <w:sz w:val="18"/>
                <w:szCs w:val="18"/>
              </w:rPr>
              <w:t>Ordinarily Resident</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C" w14:textId="77777777" w:rsidR="00C1548D" w:rsidRDefault="009B1B4B">
            <w:pPr>
              <w:spacing w:line="250" w:lineRule="auto"/>
            </w:pPr>
            <w:r>
              <w:rPr>
                <w:sz w:val="18"/>
                <w:szCs w:val="18"/>
              </w:rPr>
              <w:t>Status, der ausländischen Käufern erst den Kauf einer Bestandsimmobilie erlaubt; verlangt Resident-Visum, 12 Monate Aufenthalt, 183-Tage-Anwesenheit und Steuerresidenz gleichzeitig</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D" w14:textId="77777777" w:rsidR="00C1548D" w:rsidRDefault="009B1B4B">
            <w:pPr>
              <w:spacing w:line="250" w:lineRule="auto"/>
            </w:pPr>
            <w:r>
              <w:rPr>
                <w:sz w:val="18"/>
                <w:szCs w:val="18"/>
              </w:rPr>
              <w:t>Neuseeland: Wohnen</w:t>
            </w:r>
          </w:p>
        </w:tc>
      </w:tr>
      <w:tr w:rsidR="00C1548D" w14:paraId="70A50E3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2F" w14:textId="77777777" w:rsidR="00C1548D" w:rsidRDefault="009B1B4B">
            <w:pPr>
              <w:spacing w:line="250" w:lineRule="auto"/>
            </w:pPr>
            <w:r>
              <w:rPr>
                <w:sz w:val="18"/>
                <w:szCs w:val="18"/>
              </w:rPr>
              <w:t>Overseas Person</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0" w14:textId="77777777" w:rsidR="00C1548D" w:rsidRDefault="009B1B4B">
            <w:pPr>
              <w:spacing w:line="250" w:lineRule="auto"/>
            </w:pPr>
            <w:r>
              <w:rPr>
                <w:sz w:val="18"/>
                <w:szCs w:val="18"/>
              </w:rPr>
              <w:t>rechtlicher Status nach dem Overseas Investment Act, der den Kauf von Bestandsimmobilien grundsätzlich verbietet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1" w14:textId="77777777" w:rsidR="00C1548D" w:rsidRDefault="009B1B4B">
            <w:pPr>
              <w:spacing w:line="250" w:lineRule="auto"/>
            </w:pPr>
            <w:r>
              <w:rPr>
                <w:sz w:val="18"/>
                <w:szCs w:val="18"/>
              </w:rPr>
              <w:t>Neuseeland: Wohnen</w:t>
            </w:r>
          </w:p>
        </w:tc>
      </w:tr>
      <w:tr w:rsidR="00C1548D" w14:paraId="70A50E3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3" w14:textId="77777777" w:rsidR="00C1548D" w:rsidRDefault="009B1B4B">
            <w:pPr>
              <w:spacing w:line="250" w:lineRule="auto"/>
            </w:pPr>
            <w:r>
              <w:rPr>
                <w:sz w:val="18"/>
                <w:szCs w:val="18"/>
              </w:rPr>
              <w:lastRenderedPageBreak/>
              <w:t>Pay As You Earn (PAYE)</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4" w14:textId="77777777" w:rsidR="00C1548D" w:rsidRDefault="009B1B4B">
            <w:pPr>
              <w:spacing w:line="250" w:lineRule="auto"/>
            </w:pPr>
            <w:r>
              <w:rPr>
                <w:sz w:val="18"/>
                <w:szCs w:val="18"/>
              </w:rPr>
              <w:t>laufender Lohnsteuerabzug direkt vom Arbeitgeber nach den progressiven Steuerstufen</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5" w14:textId="77777777" w:rsidR="00C1548D" w:rsidRDefault="009B1B4B">
            <w:pPr>
              <w:spacing w:line="250" w:lineRule="auto"/>
            </w:pPr>
            <w:r>
              <w:rPr>
                <w:sz w:val="18"/>
                <w:szCs w:val="18"/>
              </w:rPr>
              <w:t>Neuseeland: Steuer</w:t>
            </w:r>
          </w:p>
        </w:tc>
      </w:tr>
      <w:tr w:rsidR="00C1548D" w14:paraId="70A50E3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7" w14:textId="77777777" w:rsidR="00C1548D" w:rsidRDefault="009B1B4B">
            <w:pPr>
              <w:spacing w:line="250" w:lineRule="auto"/>
            </w:pPr>
            <w:r>
              <w:rPr>
                <w:sz w:val="18"/>
                <w:szCs w:val="18"/>
              </w:rPr>
              <w:t>Permanent Resident Visa (PRV)</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8" w14:textId="77777777" w:rsidR="00C1548D" w:rsidRDefault="009B1B4B">
            <w:pPr>
              <w:spacing w:line="250" w:lineRule="auto"/>
            </w:pPr>
            <w:r>
              <w:rPr>
                <w:sz w:val="18"/>
                <w:szCs w:val="18"/>
              </w:rPr>
              <w:t>unbefristeter Daueraufenthaltstitel ohne Reisebeschränkung, meist im Anschluss an das zunächst reisebeschränkte Resident Visa</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9" w14:textId="77777777" w:rsidR="00C1548D" w:rsidRDefault="009B1B4B">
            <w:pPr>
              <w:spacing w:line="250" w:lineRule="auto"/>
            </w:pPr>
            <w:r>
              <w:rPr>
                <w:sz w:val="18"/>
                <w:szCs w:val="18"/>
              </w:rPr>
              <w:t>Neuseeland: Einwanderung</w:t>
            </w:r>
          </w:p>
        </w:tc>
      </w:tr>
      <w:tr w:rsidR="00C1548D" w14:paraId="70A50E3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B" w14:textId="77777777" w:rsidR="00C1548D" w:rsidRDefault="009B1B4B">
            <w:pPr>
              <w:spacing w:line="250" w:lineRule="auto"/>
            </w:pPr>
            <w:r>
              <w:rPr>
                <w:sz w:val="18"/>
                <w:szCs w:val="18"/>
              </w:rPr>
              <w:t>Personal Grievance</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C" w14:textId="77777777" w:rsidR="00C1548D" w:rsidRDefault="009B1B4B">
            <w:pPr>
              <w:spacing w:line="250" w:lineRule="auto"/>
            </w:pPr>
            <w:r>
              <w:rPr>
                <w:sz w:val="18"/>
                <w:szCs w:val="18"/>
              </w:rPr>
              <w:t>arbeitsrechtliche Beschwerde bei ungerechter Behandlung, ohne Mindestbeschäftigungszeit möglich, Frist 90 Tage</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D" w14:textId="77777777" w:rsidR="00C1548D" w:rsidRDefault="009B1B4B">
            <w:pPr>
              <w:spacing w:line="250" w:lineRule="auto"/>
            </w:pPr>
            <w:r>
              <w:rPr>
                <w:sz w:val="18"/>
                <w:szCs w:val="18"/>
              </w:rPr>
              <w:t>Neuseeland: Arbeit</w:t>
            </w:r>
          </w:p>
        </w:tc>
      </w:tr>
      <w:tr w:rsidR="00C1548D" w14:paraId="70A50E4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3F" w14:textId="77777777" w:rsidR="00C1548D" w:rsidRDefault="009B1B4B">
            <w:pPr>
              <w:spacing w:line="250" w:lineRule="auto"/>
            </w:pPr>
            <w:r>
              <w:rPr>
                <w:sz w:val="18"/>
                <w:szCs w:val="18"/>
              </w:rPr>
              <w:t>Plunket</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0" w14:textId="77777777" w:rsidR="00C1548D" w:rsidRDefault="009B1B4B">
            <w:pPr>
              <w:spacing w:line="250" w:lineRule="auto"/>
            </w:pPr>
            <w:r>
              <w:rPr>
                <w:sz w:val="18"/>
                <w:szCs w:val="18"/>
              </w:rPr>
              <w:t>landesweite gemeinnützige Organisation für frühkindliche Gesundheit und Krabbelgruppen, guter Ort für erste Kontakte</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1" w14:textId="77777777" w:rsidR="00C1548D" w:rsidRDefault="009B1B4B">
            <w:pPr>
              <w:spacing w:line="250" w:lineRule="auto"/>
            </w:pPr>
            <w:r>
              <w:rPr>
                <w:sz w:val="18"/>
                <w:szCs w:val="18"/>
              </w:rPr>
              <w:t>Neuseeland: Kultur</w:t>
            </w:r>
          </w:p>
        </w:tc>
      </w:tr>
      <w:tr w:rsidR="00C1548D" w14:paraId="70A50E4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3" w14:textId="77777777" w:rsidR="00C1548D" w:rsidRDefault="009B1B4B">
            <w:pPr>
              <w:spacing w:line="250" w:lineRule="auto"/>
            </w:pPr>
            <w:r>
              <w:rPr>
                <w:sz w:val="18"/>
                <w:szCs w:val="18"/>
              </w:rPr>
              <w:t>Police Certificate</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4" w14:textId="77777777" w:rsidR="00C1548D" w:rsidRDefault="009B1B4B">
            <w:pPr>
              <w:spacing w:line="250" w:lineRule="auto"/>
            </w:pPr>
            <w:r>
              <w:rPr>
                <w:sz w:val="18"/>
                <w:szCs w:val="18"/>
              </w:rPr>
              <w:t>Führungszeugnis, für den Visumantrag höchstens sechs Monate alt, ohne Apostille, nur mit beglaubigter Übersetzung</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5" w14:textId="77777777" w:rsidR="00C1548D" w:rsidRDefault="009B1B4B">
            <w:pPr>
              <w:spacing w:line="250" w:lineRule="auto"/>
            </w:pPr>
            <w:r>
              <w:rPr>
                <w:sz w:val="18"/>
                <w:szCs w:val="18"/>
              </w:rPr>
              <w:t>Neuseeland: Antrag</w:t>
            </w:r>
          </w:p>
        </w:tc>
      </w:tr>
      <w:tr w:rsidR="00C1548D" w14:paraId="70A50E4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7" w14:textId="77777777" w:rsidR="00C1548D" w:rsidRDefault="009B1B4B">
            <w:pPr>
              <w:spacing w:line="250" w:lineRule="auto"/>
            </w:pPr>
            <w:r>
              <w:rPr>
                <w:sz w:val="18"/>
                <w:szCs w:val="18"/>
              </w:rPr>
              <w:t>Pōwhiri</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8" w14:textId="77777777" w:rsidR="00C1548D" w:rsidRDefault="009B1B4B">
            <w:pPr>
              <w:spacing w:line="250" w:lineRule="auto"/>
            </w:pPr>
            <w:r>
              <w:rPr>
                <w:sz w:val="18"/>
                <w:szCs w:val="18"/>
              </w:rPr>
              <w:t>traditionelle Māori-Willkommenszeremonie mit Reden, Gesang und Ritual</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9" w14:textId="77777777" w:rsidR="00C1548D" w:rsidRDefault="009B1B4B">
            <w:pPr>
              <w:spacing w:line="250" w:lineRule="auto"/>
            </w:pPr>
            <w:r>
              <w:rPr>
                <w:sz w:val="18"/>
                <w:szCs w:val="18"/>
              </w:rPr>
              <w:t>Neuseeland: Kultur</w:t>
            </w:r>
          </w:p>
        </w:tc>
      </w:tr>
      <w:tr w:rsidR="00C1548D" w14:paraId="70A50E4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B" w14:textId="77777777" w:rsidR="00C1548D" w:rsidRDefault="009B1B4B">
            <w:pPr>
              <w:spacing w:line="250" w:lineRule="auto"/>
            </w:pPr>
            <w:r>
              <w:rPr>
                <w:sz w:val="18"/>
                <w:szCs w:val="18"/>
              </w:rPr>
              <w:t>Redundancy</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C" w14:textId="77777777" w:rsidR="00C1548D" w:rsidRDefault="009B1B4B">
            <w:pPr>
              <w:spacing w:line="250" w:lineRule="auto"/>
            </w:pPr>
            <w:r>
              <w:rPr>
                <w:sz w:val="18"/>
                <w:szCs w:val="18"/>
              </w:rPr>
              <w:t>betriebsbedingte Kündigung; anders als in Deutschland keine automatische gesetzliche Abfindungspflicht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D" w14:textId="77777777" w:rsidR="00C1548D" w:rsidRDefault="009B1B4B">
            <w:pPr>
              <w:spacing w:line="250" w:lineRule="auto"/>
            </w:pPr>
            <w:r>
              <w:rPr>
                <w:sz w:val="18"/>
                <w:szCs w:val="18"/>
              </w:rPr>
              <w:t>Neuseeland: Arbeit</w:t>
            </w:r>
          </w:p>
        </w:tc>
      </w:tr>
      <w:tr w:rsidR="00C1548D" w14:paraId="70A50E5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4F" w14:textId="77777777" w:rsidR="00C1548D" w:rsidRDefault="009B1B4B">
            <w:pPr>
              <w:spacing w:line="250" w:lineRule="auto"/>
            </w:pPr>
            <w:r>
              <w:rPr>
                <w:sz w:val="18"/>
                <w:szCs w:val="18"/>
              </w:rPr>
              <w:t>Resident Visa</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0" w14:textId="77777777" w:rsidR="00C1548D" w:rsidRDefault="009B1B4B">
            <w:pPr>
              <w:spacing w:line="250" w:lineRule="auto"/>
            </w:pPr>
            <w:r>
              <w:rPr>
                <w:sz w:val="18"/>
                <w:szCs w:val="18"/>
              </w:rPr>
              <w:t>neuseeländischer Daueraufenthaltstitel, funktional vergleichbar mit der Green Card, zunächst zwei Jahre reisebeschränkt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1" w14:textId="77777777" w:rsidR="00C1548D" w:rsidRDefault="009B1B4B">
            <w:pPr>
              <w:spacing w:line="250" w:lineRule="auto"/>
            </w:pPr>
            <w:r>
              <w:rPr>
                <w:sz w:val="18"/>
                <w:szCs w:val="18"/>
              </w:rPr>
              <w:t>Neuseeland: Einwanderung</w:t>
            </w:r>
          </w:p>
        </w:tc>
      </w:tr>
      <w:tr w:rsidR="00C1548D" w14:paraId="70A50E5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3" w14:textId="77777777" w:rsidR="00C1548D" w:rsidRDefault="009B1B4B">
            <w:pPr>
              <w:spacing w:line="250" w:lineRule="auto"/>
            </w:pPr>
            <w:r>
              <w:rPr>
                <w:sz w:val="18"/>
                <w:szCs w:val="18"/>
              </w:rPr>
              <w:t>She’ll Be Right</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4" w14:textId="77777777" w:rsidR="00C1548D" w:rsidRDefault="009B1B4B">
            <w:pPr>
              <w:spacing w:line="250" w:lineRule="auto"/>
            </w:pPr>
            <w:r>
              <w:rPr>
                <w:sz w:val="18"/>
                <w:szCs w:val="18"/>
              </w:rPr>
              <w:t>entspannte Redewendung im Sinne von „wird schon werden“, typisch für die neuseeländische Gelassenheit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5" w14:textId="77777777" w:rsidR="00C1548D" w:rsidRDefault="009B1B4B">
            <w:pPr>
              <w:spacing w:line="250" w:lineRule="auto"/>
            </w:pPr>
            <w:r>
              <w:rPr>
                <w:sz w:val="18"/>
                <w:szCs w:val="18"/>
              </w:rPr>
              <w:t>Neuseeland: Kultur</w:t>
            </w:r>
          </w:p>
        </w:tc>
      </w:tr>
      <w:tr w:rsidR="00C1548D" w14:paraId="70A50E5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7" w14:textId="77777777" w:rsidR="00C1548D" w:rsidRDefault="009B1B4B">
            <w:pPr>
              <w:spacing w:line="250" w:lineRule="auto"/>
            </w:pPr>
            <w:r>
              <w:rPr>
                <w:sz w:val="18"/>
                <w:szCs w:val="18"/>
              </w:rPr>
              <w:t>Skilled Migrant Category (SMC)</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8" w14:textId="77777777" w:rsidR="00C1548D" w:rsidRDefault="009B1B4B">
            <w:pPr>
              <w:spacing w:line="250" w:lineRule="auto"/>
            </w:pPr>
            <w:r>
              <w:rPr>
                <w:sz w:val="18"/>
                <w:szCs w:val="18"/>
              </w:rPr>
              <w:t>punktebasiertes Hauptvisum für Fachkräfte zum Daueraufenthalt, seit der Reform 2025/26 mit einer Schwelle von 6 Punkten</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9" w14:textId="77777777" w:rsidR="00C1548D" w:rsidRDefault="009B1B4B">
            <w:pPr>
              <w:spacing w:line="250" w:lineRule="auto"/>
            </w:pPr>
            <w:r>
              <w:rPr>
                <w:sz w:val="18"/>
                <w:szCs w:val="18"/>
              </w:rPr>
              <w:t>Neuseeland: Einwanderung, Arbeit</w:t>
            </w:r>
          </w:p>
        </w:tc>
      </w:tr>
      <w:tr w:rsidR="00C1548D" w14:paraId="70A50E5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B" w14:textId="77777777" w:rsidR="00C1548D" w:rsidRDefault="009B1B4B">
            <w:pPr>
              <w:spacing w:line="250" w:lineRule="auto"/>
            </w:pPr>
            <w:r>
              <w:rPr>
                <w:sz w:val="18"/>
                <w:szCs w:val="18"/>
              </w:rPr>
              <w:lastRenderedPageBreak/>
              <w:t>Smoko</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C" w14:textId="77777777" w:rsidR="00C1548D" w:rsidRDefault="009B1B4B">
            <w:pPr>
              <w:spacing w:line="250" w:lineRule="auto"/>
            </w:pPr>
            <w:r>
              <w:rPr>
                <w:sz w:val="18"/>
                <w:szCs w:val="18"/>
              </w:rPr>
              <w:t>informelle Kaffee- oder Teepause während der Arbeitszeit, ursprünglich die Raucherpause</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D" w14:textId="77777777" w:rsidR="00C1548D" w:rsidRDefault="009B1B4B">
            <w:pPr>
              <w:spacing w:line="250" w:lineRule="auto"/>
            </w:pPr>
            <w:r>
              <w:rPr>
                <w:sz w:val="18"/>
                <w:szCs w:val="18"/>
              </w:rPr>
              <w:t>Neuseeland: Kultur</w:t>
            </w:r>
          </w:p>
        </w:tc>
      </w:tr>
      <w:tr w:rsidR="00C1548D" w14:paraId="70A50E6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5F" w14:textId="77777777" w:rsidR="00C1548D" w:rsidRDefault="009B1B4B">
            <w:pPr>
              <w:spacing w:line="250" w:lineRule="auto"/>
            </w:pPr>
            <w:r>
              <w:rPr>
                <w:sz w:val="18"/>
                <w:szCs w:val="18"/>
              </w:rPr>
              <w:t>Te Ao Māori</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0" w14:textId="77777777" w:rsidR="00C1548D" w:rsidRDefault="009B1B4B">
            <w:pPr>
              <w:spacing w:line="250" w:lineRule="auto"/>
            </w:pPr>
            <w:r>
              <w:rPr>
                <w:sz w:val="18"/>
                <w:szCs w:val="18"/>
              </w:rPr>
              <w:t>die Māori-Weltsicht, prägt zunehmend Alltag und Arbeitswelt Neuseelands</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1" w14:textId="77777777" w:rsidR="00C1548D" w:rsidRDefault="009B1B4B">
            <w:pPr>
              <w:spacing w:line="250" w:lineRule="auto"/>
            </w:pPr>
            <w:r>
              <w:rPr>
                <w:sz w:val="18"/>
                <w:szCs w:val="18"/>
              </w:rPr>
              <w:t>Neuseeland: Kultur</w:t>
            </w:r>
          </w:p>
        </w:tc>
      </w:tr>
      <w:tr w:rsidR="00C1548D" w14:paraId="70A50E6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3" w14:textId="77777777" w:rsidR="00C1548D" w:rsidRDefault="009B1B4B">
            <w:pPr>
              <w:spacing w:line="250" w:lineRule="auto"/>
            </w:pPr>
            <w:r>
              <w:rPr>
                <w:sz w:val="18"/>
                <w:szCs w:val="18"/>
              </w:rPr>
              <w:t>Temporary Retirement Visitor Visa</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4" w14:textId="77777777" w:rsidR="00C1548D" w:rsidRDefault="009B1B4B">
            <w:pPr>
              <w:spacing w:line="250" w:lineRule="auto"/>
            </w:pPr>
            <w:r>
              <w:rPr>
                <w:sz w:val="18"/>
                <w:szCs w:val="18"/>
              </w:rPr>
              <w:t>befristeter Ruhestandsweg ohne dort lebendes Kind, verlangt hohe Investitions- und Einkommensschwellen</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5" w14:textId="77777777" w:rsidR="00C1548D" w:rsidRDefault="009B1B4B">
            <w:pPr>
              <w:spacing w:line="250" w:lineRule="auto"/>
            </w:pPr>
            <w:r>
              <w:rPr>
                <w:sz w:val="18"/>
                <w:szCs w:val="18"/>
              </w:rPr>
              <w:t>Neuseeland: Familie/Investor/Ruhestand</w:t>
            </w:r>
          </w:p>
        </w:tc>
      </w:tr>
      <w:tr w:rsidR="00C1548D" w14:paraId="70A50E6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7" w14:textId="77777777" w:rsidR="00C1548D" w:rsidRDefault="009B1B4B">
            <w:pPr>
              <w:spacing w:line="250" w:lineRule="auto"/>
            </w:pPr>
            <w:r>
              <w:rPr>
                <w:sz w:val="18"/>
                <w:szCs w:val="18"/>
              </w:rPr>
              <w:t>Tenancy Services</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8" w14:textId="77777777" w:rsidR="00C1548D" w:rsidRDefault="009B1B4B">
            <w:pPr>
              <w:spacing w:line="250" w:lineRule="auto"/>
            </w:pPr>
            <w:r>
              <w:rPr>
                <w:sz w:val="18"/>
                <w:szCs w:val="18"/>
              </w:rPr>
              <w:t>staatliche Stelle, die Mietkautionen treuhänderisch verwaltet und bei Mietstreitigkeiten vermittelt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9" w14:textId="77777777" w:rsidR="00C1548D" w:rsidRDefault="009B1B4B">
            <w:pPr>
              <w:spacing w:line="250" w:lineRule="auto"/>
            </w:pPr>
            <w:r>
              <w:rPr>
                <w:sz w:val="18"/>
                <w:szCs w:val="18"/>
              </w:rPr>
              <w:t>Neuseeland: Wohnen</w:t>
            </w:r>
          </w:p>
        </w:tc>
      </w:tr>
      <w:tr w:rsidR="00C1548D" w14:paraId="70A50E6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B" w14:textId="77777777" w:rsidR="00C1548D" w:rsidRDefault="009B1B4B">
            <w:pPr>
              <w:spacing w:line="250" w:lineRule="auto"/>
            </w:pPr>
            <w:r>
              <w:rPr>
                <w:sz w:val="18"/>
                <w:szCs w:val="18"/>
              </w:rPr>
              <w:t>Toka Tū Ake (Natural Hazards Commission)</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C" w14:textId="77777777" w:rsidR="00C1548D" w:rsidRDefault="009B1B4B">
            <w:pPr>
              <w:spacing w:line="250" w:lineRule="auto"/>
            </w:pPr>
            <w:r>
              <w:rPr>
                <w:sz w:val="18"/>
                <w:szCs w:val="18"/>
              </w:rPr>
              <w:t>staatliche Naturgefahrenversicherung, deckt die ersten 300.000 NZD Erdbebenschaden am Wohngebäude</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D" w14:textId="77777777" w:rsidR="00C1548D" w:rsidRDefault="009B1B4B">
            <w:pPr>
              <w:spacing w:line="250" w:lineRule="auto"/>
            </w:pPr>
            <w:r>
              <w:rPr>
                <w:sz w:val="18"/>
                <w:szCs w:val="18"/>
              </w:rPr>
              <w:t>Neuseeland: Wohnen, Recht</w:t>
            </w:r>
          </w:p>
        </w:tc>
      </w:tr>
      <w:tr w:rsidR="00C1548D" w14:paraId="70A50E7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6F" w14:textId="77777777" w:rsidR="00C1548D" w:rsidRDefault="009B1B4B">
            <w:pPr>
              <w:spacing w:line="250" w:lineRule="auto"/>
            </w:pPr>
            <w:r>
              <w:rPr>
                <w:sz w:val="18"/>
                <w:szCs w:val="18"/>
              </w:rPr>
              <w:t>Tramping</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0" w14:textId="77777777" w:rsidR="00C1548D" w:rsidRDefault="009B1B4B">
            <w:pPr>
              <w:spacing w:line="250" w:lineRule="auto"/>
            </w:pPr>
            <w:r>
              <w:rPr>
                <w:sz w:val="18"/>
                <w:szCs w:val="18"/>
              </w:rPr>
              <w:t>mehrtägiges Wandern mit Hüttenübernachtung, eigenständiger neuseeländischer Begriff</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1" w14:textId="77777777" w:rsidR="00C1548D" w:rsidRDefault="009B1B4B">
            <w:pPr>
              <w:spacing w:line="250" w:lineRule="auto"/>
            </w:pPr>
            <w:r>
              <w:rPr>
                <w:sz w:val="18"/>
                <w:szCs w:val="18"/>
              </w:rPr>
              <w:t>Neuseeland: Kultur</w:t>
            </w:r>
          </w:p>
        </w:tc>
      </w:tr>
      <w:tr w:rsidR="00C1548D" w14:paraId="70A50E76"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3" w14:textId="77777777" w:rsidR="00C1548D" w:rsidRDefault="009B1B4B">
            <w:pPr>
              <w:spacing w:line="250" w:lineRule="auto"/>
            </w:pPr>
            <w:r>
              <w:rPr>
                <w:sz w:val="18"/>
                <w:szCs w:val="18"/>
              </w:rPr>
              <w:t>Transitional Resident</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4" w14:textId="77777777" w:rsidR="00C1548D" w:rsidRDefault="009B1B4B">
            <w:pPr>
              <w:spacing w:line="250" w:lineRule="auto"/>
            </w:pPr>
            <w:r>
              <w:rPr>
                <w:sz w:val="18"/>
                <w:szCs w:val="18"/>
              </w:rPr>
              <w:t>steuerliche Befreiung für Neuankömmlinge auf die meisten ausländischen Kapital-, Miet- und Beteiligungseinkünfte, 48 Monate lang</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5" w14:textId="77777777" w:rsidR="00C1548D" w:rsidRDefault="009B1B4B">
            <w:pPr>
              <w:spacing w:line="250" w:lineRule="auto"/>
            </w:pPr>
            <w:r>
              <w:rPr>
                <w:sz w:val="18"/>
                <w:szCs w:val="18"/>
              </w:rPr>
              <w:t>Neuseeland: Steuer</w:t>
            </w:r>
          </w:p>
        </w:tc>
      </w:tr>
      <w:tr w:rsidR="00C1548D" w14:paraId="70A50E7A"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7" w14:textId="77777777" w:rsidR="00C1548D" w:rsidRDefault="009B1B4B">
            <w:pPr>
              <w:spacing w:line="250" w:lineRule="auto"/>
            </w:pPr>
            <w:r>
              <w:rPr>
                <w:sz w:val="18"/>
                <w:szCs w:val="18"/>
              </w:rPr>
              <w:t>Trial Period</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8" w14:textId="77777777" w:rsidR="00C1548D" w:rsidRDefault="009B1B4B">
            <w:pPr>
              <w:spacing w:line="250" w:lineRule="auto"/>
            </w:pPr>
            <w:r>
              <w:rPr>
                <w:sz w:val="18"/>
                <w:szCs w:val="18"/>
              </w:rPr>
              <w:t>bis zu 90-tägige Probezeit ohne Kündigungsschutz, seit 2023 für jeden Arbeitgeber unabhängig von der Betriebsgröße möglich</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9" w14:textId="77777777" w:rsidR="00C1548D" w:rsidRDefault="009B1B4B">
            <w:pPr>
              <w:spacing w:line="250" w:lineRule="auto"/>
            </w:pPr>
            <w:r>
              <w:rPr>
                <w:sz w:val="18"/>
                <w:szCs w:val="18"/>
              </w:rPr>
              <w:t>Neuseeland: Arbeit</w:t>
            </w:r>
          </w:p>
        </w:tc>
      </w:tr>
      <w:tr w:rsidR="00C1548D" w14:paraId="70A50E7E"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B" w14:textId="77777777" w:rsidR="00C1548D" w:rsidRDefault="009B1B4B">
            <w:pPr>
              <w:spacing w:line="250" w:lineRule="auto"/>
            </w:pPr>
            <w:r>
              <w:rPr>
                <w:sz w:val="18"/>
                <w:szCs w:val="18"/>
              </w:rPr>
              <w:t>Warrant of Fitness (WoF)</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C" w14:textId="77777777" w:rsidR="00C1548D" w:rsidRDefault="009B1B4B">
            <w:pPr>
              <w:spacing w:line="250" w:lineRule="auto"/>
            </w:pPr>
            <w:r>
              <w:rPr>
                <w:sz w:val="18"/>
                <w:szCs w:val="18"/>
              </w:rPr>
              <w:t>neuseeländisches Pendant zum TÜV, bei Verkauf höchstens einen Monat alt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D" w14:textId="77777777" w:rsidR="00C1548D" w:rsidRDefault="009B1B4B">
            <w:pPr>
              <w:spacing w:line="250" w:lineRule="auto"/>
            </w:pPr>
            <w:r>
              <w:rPr>
                <w:sz w:val="18"/>
                <w:szCs w:val="18"/>
              </w:rPr>
              <w:t>Neuseeland: Führerschein</w:t>
            </w:r>
          </w:p>
        </w:tc>
      </w:tr>
      <w:tr w:rsidR="00C1548D" w14:paraId="70A50E82" w14:textId="77777777">
        <w:tblPrEx>
          <w:tblCellMar>
            <w:top w:w="0" w:type="dxa"/>
            <w:bottom w:w="0" w:type="dxa"/>
          </w:tblCellMar>
        </w:tblPrEx>
        <w:trPr>
          <w:cantSplit/>
        </w:trPr>
        <w:tc>
          <w:tcPr>
            <w:tcW w:w="19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7F" w14:textId="77777777" w:rsidR="00C1548D" w:rsidRDefault="009B1B4B">
            <w:pPr>
              <w:spacing w:line="250" w:lineRule="auto"/>
            </w:pPr>
            <w:r>
              <w:rPr>
                <w:sz w:val="18"/>
                <w:szCs w:val="18"/>
              </w:rPr>
              <w:t>Working Holiday Visa</w:t>
            </w:r>
          </w:p>
        </w:tc>
        <w:tc>
          <w:tcPr>
            <w:tcW w:w="28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80" w14:textId="77777777" w:rsidR="00C1548D" w:rsidRDefault="009B1B4B">
            <w:pPr>
              <w:spacing w:line="250" w:lineRule="auto"/>
            </w:pPr>
            <w:r>
              <w:rPr>
                <w:sz w:val="18"/>
                <w:szCs w:val="18"/>
              </w:rPr>
              <w:t>befristetes Visum für 18- bis 30-jährige Deutsche ohne Jobangebot, bis zu 12 Monate, kein Weg zum Daueraufenthalt</w:t>
            </w:r>
          </w:p>
        </w:tc>
        <w:tc>
          <w:tcPr>
            <w:tcW w:w="166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81" w14:textId="77777777" w:rsidR="00C1548D" w:rsidRDefault="009B1B4B">
            <w:pPr>
              <w:spacing w:line="250" w:lineRule="auto"/>
            </w:pPr>
            <w:r>
              <w:rPr>
                <w:sz w:val="18"/>
                <w:szCs w:val="18"/>
              </w:rPr>
              <w:t>Neuseeland: Einwanderung</w:t>
            </w:r>
          </w:p>
        </w:tc>
      </w:tr>
    </w:tbl>
    <w:p w14:paraId="70A50E83"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0E86"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0E84" w14:textId="77777777" w:rsidR="00C1548D" w:rsidRDefault="009B1B4B">
            <w:pPr>
              <w:keepNext/>
              <w:spacing w:after="70" w:line="240" w:lineRule="auto"/>
            </w:pPr>
            <w:r>
              <w:rPr>
                <w:b/>
                <w:bCs/>
                <w:color w:val="6B7280"/>
                <w:spacing w:val="24"/>
                <w:sz w:val="16"/>
                <w:szCs w:val="16"/>
              </w:rPr>
              <w:lastRenderedPageBreak/>
              <w:t>STAND</w:t>
            </w:r>
          </w:p>
          <w:p w14:paraId="70A50E85" w14:textId="77777777" w:rsidR="00C1548D" w:rsidRDefault="009B1B4B">
            <w:pPr>
              <w:spacing w:after="80" w:line="264" w:lineRule="auto"/>
            </w:pPr>
            <w:r>
              <w:rPr>
                <w:sz w:val="20"/>
                <w:szCs w:val="20"/>
              </w:rPr>
              <w:t>September 2026. Gesetze, Formularnummern und Programmdetails ändern sich; prüfe bei einem konkreten Vorhaben die aktuelle Fassung auf der zuständigen Behördenseite.</w:t>
            </w:r>
          </w:p>
        </w:tc>
      </w:tr>
    </w:tbl>
    <w:p w14:paraId="70A50E87" w14:textId="77777777" w:rsidR="00C1548D" w:rsidRDefault="00C1548D">
      <w:pPr>
        <w:spacing w:line="220" w:lineRule="exact"/>
      </w:pPr>
    </w:p>
    <w:p w14:paraId="70A50E88" w14:textId="77777777" w:rsidR="00C1548D" w:rsidRDefault="009B1B4B">
      <w:pPr>
        <w:pStyle w:val="Heading2"/>
        <w:keepNext/>
        <w:pageBreakBefore/>
        <w:jc w:val="center"/>
      </w:pPr>
      <w:bookmarkStart w:id="204" w:name="anhang_c"/>
      <w:bookmarkStart w:id="205" w:name="_Toc241352554"/>
      <w:r>
        <w:rPr>
          <w:rFonts w:ascii="Amazon Ember" w:eastAsia="Amazon Ember" w:hAnsi="Amazon Ember" w:cs="Amazon Ember"/>
          <w:color w:val="0000FF"/>
          <w:sz w:val="36"/>
          <w:szCs w:val="36"/>
        </w:rPr>
        <w:lastRenderedPageBreak/>
        <w:t>Anhang C: Umrechnungstabellen</w:t>
      </w:r>
      <w:bookmarkEnd w:id="204"/>
      <w:bookmarkEnd w:id="205"/>
    </w:p>
    <w:p w14:paraId="70A50E89" w14:textId="77777777" w:rsidR="00C1548D" w:rsidRDefault="009B1B4B">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liefert aber einen schnellen Ausgangswert.</w:t>
      </w:r>
    </w:p>
    <w:p w14:paraId="70A50E8A" w14:textId="77777777" w:rsidR="00C1548D" w:rsidRDefault="009B1B4B">
      <w:pPr>
        <w:spacing w:after="140"/>
      </w:pPr>
      <w:r>
        <w:t>Wichtig: Nur die USA messen nicht metrisch – dort brauchst du für fast alles eine Umrechnung, deshalb ist der folgende Abschnitt entsprechend ausführlich. Kanada, Australien und Neuseeland sind, wie Deutschland, metrische Länder. Ihre Abschnitte fallen deshalb deutlich kürzer aus und konzentrieren sich auf das, was tatsächlich abweicht – vor allem Steckertyp/Spannung sowie Kleider- und Schuhgrößen.</w:t>
      </w:r>
    </w:p>
    <w:p w14:paraId="70A50E8B" w14:textId="77777777" w:rsidR="00C1548D" w:rsidRDefault="009B1B4B">
      <w:pPr>
        <w:pStyle w:val="Heading3"/>
        <w:keepNext/>
        <w:jc w:val="center"/>
      </w:pPr>
      <w:r>
        <w:rPr>
          <w:rFonts w:ascii="Amazon Ember" w:eastAsia="Amazon Ember" w:hAnsi="Amazon Ember" w:cs="Amazon Ember"/>
          <w:color w:val="0000FF"/>
          <w:sz w:val="36"/>
          <w:szCs w:val="36"/>
        </w:rPr>
        <w:t>USA</w:t>
      </w:r>
    </w:p>
    <w:p w14:paraId="70A50E8C" w14:textId="77777777" w:rsidR="00C1548D" w:rsidRDefault="009B1B4B">
      <w:pPr>
        <w:pStyle w:val="Heading3"/>
        <w:keepNext/>
        <w:jc w:val="center"/>
      </w:pPr>
      <w:r>
        <w:rPr>
          <w:rFonts w:ascii="Amazon Ember" w:eastAsia="Amazon Ember" w:hAnsi="Amazon Ember" w:cs="Amazon Ember"/>
          <w:color w:val="0000FF"/>
          <w:sz w:val="36"/>
          <w:szCs w:val="36"/>
        </w:rPr>
        <w:t>Temperatur</w:t>
      </w:r>
    </w:p>
    <w:p w14:paraId="70A50E8D" w14:textId="77777777" w:rsidR="00C1548D" w:rsidRDefault="009B1B4B">
      <w:pPr>
        <w:spacing w:after="140"/>
      </w:pPr>
      <w:r>
        <w:t>Formel: °C = (°F − 32) × 5/9. Umgekehrt: °F = °C × 9/5 + 32.</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64"/>
        <w:gridCol w:w="1764"/>
        <w:gridCol w:w="2952"/>
      </w:tblGrid>
      <w:tr w:rsidR="00C1548D" w14:paraId="70A50E91" w14:textId="77777777">
        <w:tblPrEx>
          <w:tblCellMar>
            <w:top w:w="0" w:type="dxa"/>
            <w:bottom w:w="0" w:type="dxa"/>
          </w:tblCellMar>
        </w:tblPrEx>
        <w:trPr>
          <w:cantSplit/>
          <w:tblHeader/>
        </w:trPr>
        <w:tc>
          <w:tcPr>
            <w:tcW w:w="176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E8E" w14:textId="77777777" w:rsidR="00C1548D" w:rsidRDefault="009B1B4B">
            <w:pPr>
              <w:spacing w:line="250" w:lineRule="auto"/>
            </w:pPr>
            <w:r>
              <w:rPr>
                <w:b/>
                <w:bCs/>
                <w:sz w:val="18"/>
                <w:szCs w:val="18"/>
              </w:rPr>
              <w:t>°F</w:t>
            </w:r>
          </w:p>
        </w:tc>
        <w:tc>
          <w:tcPr>
            <w:tcW w:w="176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E8F" w14:textId="77777777" w:rsidR="00C1548D" w:rsidRDefault="009B1B4B">
            <w:pPr>
              <w:spacing w:line="250" w:lineRule="auto"/>
            </w:pPr>
            <w:r>
              <w:rPr>
                <w:b/>
                <w:bCs/>
                <w:sz w:val="18"/>
                <w:szCs w:val="18"/>
              </w:rPr>
              <w:t>°C</w:t>
            </w:r>
          </w:p>
        </w:tc>
        <w:tc>
          <w:tcPr>
            <w:tcW w:w="29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E90" w14:textId="77777777" w:rsidR="00C1548D" w:rsidRDefault="009B1B4B">
            <w:pPr>
              <w:spacing w:line="250" w:lineRule="auto"/>
            </w:pPr>
            <w:r>
              <w:rPr>
                <w:b/>
                <w:bCs/>
                <w:sz w:val="18"/>
                <w:szCs w:val="18"/>
              </w:rPr>
              <w:t>Typischer Wert</w:t>
            </w:r>
          </w:p>
        </w:tc>
      </w:tr>
      <w:tr w:rsidR="00C1548D" w14:paraId="70A50E95"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92" w14:textId="77777777" w:rsidR="00C1548D" w:rsidRDefault="009B1B4B">
            <w:pPr>
              <w:spacing w:line="250" w:lineRule="auto"/>
            </w:pPr>
            <w:r>
              <w:rPr>
                <w:sz w:val="18"/>
                <w:szCs w:val="18"/>
              </w:rPr>
              <w:t>0</w:t>
            </w:r>
          </w:p>
        </w:tc>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93" w14:textId="77777777" w:rsidR="00C1548D" w:rsidRDefault="009B1B4B">
            <w:pPr>
              <w:spacing w:line="250" w:lineRule="auto"/>
            </w:pPr>
            <w:r>
              <w:rPr>
                <w:sz w:val="18"/>
                <w:szCs w:val="18"/>
              </w:rPr>
              <w:t>−</w:t>
            </w:r>
            <w:r>
              <w:rPr>
                <w:sz w:val="18"/>
                <w:szCs w:val="18"/>
              </w:rPr>
              <w:t>18</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94" w14:textId="77777777" w:rsidR="00C1548D" w:rsidRDefault="009B1B4B">
            <w:pPr>
              <w:spacing w:line="250" w:lineRule="auto"/>
            </w:pPr>
            <w:r>
              <w:rPr>
                <w:sz w:val="18"/>
                <w:szCs w:val="18"/>
              </w:rPr>
              <w:t>Extreme Kälte</w:t>
            </w:r>
          </w:p>
        </w:tc>
      </w:tr>
      <w:tr w:rsidR="00C1548D" w14:paraId="70A50E99"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96" w14:textId="77777777" w:rsidR="00C1548D" w:rsidRDefault="009B1B4B">
            <w:pPr>
              <w:spacing w:line="250" w:lineRule="auto"/>
            </w:pPr>
            <w:r>
              <w:rPr>
                <w:sz w:val="18"/>
                <w:szCs w:val="18"/>
              </w:rPr>
              <w:t>32</w:t>
            </w:r>
          </w:p>
        </w:tc>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97" w14:textId="77777777" w:rsidR="00C1548D" w:rsidRDefault="009B1B4B">
            <w:pPr>
              <w:spacing w:line="250" w:lineRule="auto"/>
            </w:pPr>
            <w:r>
              <w:rPr>
                <w:sz w:val="18"/>
                <w:szCs w:val="18"/>
              </w:rPr>
              <w:t>0</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98" w14:textId="77777777" w:rsidR="00C1548D" w:rsidRDefault="009B1B4B">
            <w:pPr>
              <w:spacing w:line="250" w:lineRule="auto"/>
            </w:pPr>
            <w:r>
              <w:rPr>
                <w:sz w:val="18"/>
                <w:szCs w:val="18"/>
              </w:rPr>
              <w:t>Gefrierpunkt Wasser</w:t>
            </w:r>
          </w:p>
        </w:tc>
      </w:tr>
      <w:tr w:rsidR="00C1548D" w14:paraId="70A50E9D"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9A" w14:textId="77777777" w:rsidR="00C1548D" w:rsidRDefault="009B1B4B">
            <w:pPr>
              <w:spacing w:line="250" w:lineRule="auto"/>
            </w:pPr>
            <w:r>
              <w:rPr>
                <w:sz w:val="18"/>
                <w:szCs w:val="18"/>
              </w:rPr>
              <w:t>50</w:t>
            </w:r>
          </w:p>
        </w:tc>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9B" w14:textId="77777777" w:rsidR="00C1548D" w:rsidRDefault="009B1B4B">
            <w:pPr>
              <w:spacing w:line="250" w:lineRule="auto"/>
            </w:pPr>
            <w:r>
              <w:rPr>
                <w:sz w:val="18"/>
                <w:szCs w:val="18"/>
              </w:rPr>
              <w:t>10</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9C" w14:textId="77777777" w:rsidR="00C1548D" w:rsidRDefault="009B1B4B">
            <w:pPr>
              <w:spacing w:line="250" w:lineRule="auto"/>
            </w:pPr>
            <w:r>
              <w:rPr>
                <w:sz w:val="18"/>
                <w:szCs w:val="18"/>
              </w:rPr>
              <w:t>Kühl</w:t>
            </w:r>
          </w:p>
        </w:tc>
      </w:tr>
      <w:tr w:rsidR="00C1548D" w14:paraId="70A50EA1"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9E" w14:textId="77777777" w:rsidR="00C1548D" w:rsidRDefault="009B1B4B">
            <w:pPr>
              <w:spacing w:line="250" w:lineRule="auto"/>
            </w:pPr>
            <w:r>
              <w:rPr>
                <w:sz w:val="18"/>
                <w:szCs w:val="18"/>
              </w:rPr>
              <w:t>68</w:t>
            </w:r>
          </w:p>
        </w:tc>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9F" w14:textId="77777777" w:rsidR="00C1548D" w:rsidRDefault="009B1B4B">
            <w:pPr>
              <w:spacing w:line="250" w:lineRule="auto"/>
            </w:pPr>
            <w:r>
              <w:rPr>
                <w:sz w:val="18"/>
                <w:szCs w:val="18"/>
              </w:rPr>
              <w:t>20</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0" w14:textId="77777777" w:rsidR="00C1548D" w:rsidRDefault="009B1B4B">
            <w:pPr>
              <w:spacing w:line="250" w:lineRule="auto"/>
            </w:pPr>
            <w:r>
              <w:rPr>
                <w:sz w:val="18"/>
                <w:szCs w:val="18"/>
              </w:rPr>
              <w:t>Angenehme Raumtemperatur</w:t>
            </w:r>
          </w:p>
        </w:tc>
      </w:tr>
      <w:tr w:rsidR="00C1548D" w14:paraId="70A50EA5"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2" w14:textId="77777777" w:rsidR="00C1548D" w:rsidRDefault="009B1B4B">
            <w:pPr>
              <w:spacing w:line="250" w:lineRule="auto"/>
            </w:pPr>
            <w:r>
              <w:rPr>
                <w:sz w:val="18"/>
                <w:szCs w:val="18"/>
              </w:rPr>
              <w:t>77</w:t>
            </w:r>
          </w:p>
        </w:tc>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3" w14:textId="77777777" w:rsidR="00C1548D" w:rsidRDefault="009B1B4B">
            <w:pPr>
              <w:spacing w:line="250" w:lineRule="auto"/>
            </w:pPr>
            <w:r>
              <w:rPr>
                <w:sz w:val="18"/>
                <w:szCs w:val="18"/>
              </w:rPr>
              <w:t>25</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4" w14:textId="77777777" w:rsidR="00C1548D" w:rsidRDefault="009B1B4B">
            <w:pPr>
              <w:spacing w:line="250" w:lineRule="auto"/>
            </w:pPr>
            <w:r>
              <w:rPr>
                <w:sz w:val="18"/>
                <w:szCs w:val="18"/>
              </w:rPr>
              <w:t>Warm</w:t>
            </w:r>
          </w:p>
        </w:tc>
      </w:tr>
      <w:tr w:rsidR="00C1548D" w14:paraId="70A50EA9"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6" w14:textId="77777777" w:rsidR="00C1548D" w:rsidRDefault="009B1B4B">
            <w:pPr>
              <w:spacing w:line="250" w:lineRule="auto"/>
            </w:pPr>
            <w:r>
              <w:rPr>
                <w:sz w:val="18"/>
                <w:szCs w:val="18"/>
              </w:rPr>
              <w:t>86</w:t>
            </w:r>
          </w:p>
        </w:tc>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7" w14:textId="77777777" w:rsidR="00C1548D" w:rsidRDefault="009B1B4B">
            <w:pPr>
              <w:spacing w:line="250" w:lineRule="auto"/>
            </w:pPr>
            <w:r>
              <w:rPr>
                <w:sz w:val="18"/>
                <w:szCs w:val="18"/>
              </w:rPr>
              <w:t>30</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8" w14:textId="77777777" w:rsidR="00C1548D" w:rsidRDefault="009B1B4B">
            <w:pPr>
              <w:spacing w:line="250" w:lineRule="auto"/>
            </w:pPr>
            <w:r>
              <w:rPr>
                <w:sz w:val="18"/>
                <w:szCs w:val="18"/>
              </w:rPr>
              <w:t>Heiß</w:t>
            </w:r>
          </w:p>
        </w:tc>
      </w:tr>
      <w:tr w:rsidR="00C1548D" w14:paraId="70A50EAD"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A" w14:textId="77777777" w:rsidR="00C1548D" w:rsidRDefault="009B1B4B">
            <w:pPr>
              <w:spacing w:line="250" w:lineRule="auto"/>
            </w:pPr>
            <w:r>
              <w:rPr>
                <w:sz w:val="18"/>
                <w:szCs w:val="18"/>
              </w:rPr>
              <w:t>95</w:t>
            </w:r>
          </w:p>
        </w:tc>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B" w14:textId="77777777" w:rsidR="00C1548D" w:rsidRDefault="009B1B4B">
            <w:pPr>
              <w:spacing w:line="250" w:lineRule="auto"/>
            </w:pPr>
            <w:r>
              <w:rPr>
                <w:sz w:val="18"/>
                <w:szCs w:val="18"/>
              </w:rPr>
              <w:t>35</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C" w14:textId="77777777" w:rsidR="00C1548D" w:rsidRDefault="009B1B4B">
            <w:pPr>
              <w:spacing w:line="250" w:lineRule="auto"/>
            </w:pPr>
            <w:r>
              <w:rPr>
                <w:sz w:val="18"/>
                <w:szCs w:val="18"/>
              </w:rPr>
              <w:t>Sehr heiß</w:t>
            </w:r>
          </w:p>
        </w:tc>
      </w:tr>
      <w:tr w:rsidR="00C1548D" w14:paraId="70A50EB1" w14:textId="77777777">
        <w:tblPrEx>
          <w:tblCellMar>
            <w:top w:w="0" w:type="dxa"/>
            <w:bottom w:w="0" w:type="dxa"/>
          </w:tblCellMar>
        </w:tblPrEx>
        <w:trPr>
          <w:cantSplit/>
        </w:trPr>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E" w14:textId="77777777" w:rsidR="00C1548D" w:rsidRDefault="009B1B4B">
            <w:pPr>
              <w:spacing w:line="250" w:lineRule="auto"/>
            </w:pPr>
            <w:r>
              <w:rPr>
                <w:sz w:val="18"/>
                <w:szCs w:val="18"/>
              </w:rPr>
              <w:t>104</w:t>
            </w:r>
          </w:p>
        </w:tc>
        <w:tc>
          <w:tcPr>
            <w:tcW w:w="17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AF" w14:textId="77777777" w:rsidR="00C1548D" w:rsidRDefault="009B1B4B">
            <w:pPr>
              <w:spacing w:line="250" w:lineRule="auto"/>
            </w:pPr>
            <w:r>
              <w:rPr>
                <w:sz w:val="18"/>
                <w:szCs w:val="18"/>
              </w:rPr>
              <w:t>40</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B0" w14:textId="77777777" w:rsidR="00C1548D" w:rsidRDefault="009B1B4B">
            <w:pPr>
              <w:spacing w:line="250" w:lineRule="auto"/>
            </w:pPr>
            <w:r>
              <w:rPr>
                <w:sz w:val="18"/>
                <w:szCs w:val="18"/>
              </w:rPr>
              <w:t>Hitzewelle</w:t>
            </w:r>
          </w:p>
        </w:tc>
      </w:tr>
    </w:tbl>
    <w:p w14:paraId="70A50EB2" w14:textId="77777777" w:rsidR="00C1548D" w:rsidRDefault="00C1548D">
      <w:pPr>
        <w:spacing w:line="180" w:lineRule="exact"/>
      </w:pPr>
    </w:p>
    <w:p w14:paraId="70A50EB3" w14:textId="77777777" w:rsidR="00C1548D" w:rsidRDefault="009B1B4B">
      <w:pPr>
        <w:pStyle w:val="Heading3"/>
        <w:keepNext/>
        <w:jc w:val="center"/>
      </w:pPr>
      <w:r>
        <w:rPr>
          <w:rFonts w:ascii="Amazon Ember" w:eastAsia="Amazon Ember" w:hAnsi="Amazon Ember" w:cs="Amazon Ember"/>
          <w:color w:val="0000FF"/>
          <w:sz w:val="36"/>
          <w:szCs w:val="36"/>
        </w:rPr>
        <w:lastRenderedPageBreak/>
        <w:t>Längen und Distanzen</w:t>
      </w:r>
    </w:p>
    <w:p w14:paraId="70A50EB4" w14:textId="77777777" w:rsidR="00C1548D" w:rsidRDefault="009B1B4B">
      <w:pPr>
        <w:spacing w:after="140"/>
      </w:pPr>
      <w:r>
        <w:t>1 Meile (</w:t>
      </w:r>
      <w:r>
        <w:rPr>
          <w:i/>
          <w:iCs/>
        </w:rPr>
        <w:t>mile</w:t>
      </w:r>
      <w:r>
        <w:t>) = 1,61 km. 1 Fuß (</w:t>
      </w:r>
      <w:r>
        <w:rPr>
          <w:i/>
          <w:iCs/>
        </w:rPr>
        <w:t>foot</w:t>
      </w:r>
      <w:r>
        <w:t>, ft) = 30,48 cm. 1 Zoll (</w:t>
      </w:r>
      <w:r>
        <w:rPr>
          <w:i/>
          <w:iCs/>
        </w:rPr>
        <w:t>inch</w:t>
      </w:r>
      <w:r>
        <w:t>, in) = 2,54 cm.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EB7"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EB5" w14:textId="77777777" w:rsidR="00C1548D" w:rsidRDefault="009B1B4B">
            <w:pPr>
              <w:spacing w:line="250" w:lineRule="auto"/>
            </w:pPr>
            <w:r>
              <w:rPr>
                <w:b/>
                <w:bCs/>
                <w:sz w:val="18"/>
                <w:szCs w:val="18"/>
              </w:rPr>
              <w:t>Meilen</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EB6" w14:textId="77777777" w:rsidR="00C1548D" w:rsidRDefault="009B1B4B">
            <w:pPr>
              <w:spacing w:line="250" w:lineRule="auto"/>
            </w:pPr>
            <w:r>
              <w:rPr>
                <w:b/>
                <w:bCs/>
                <w:sz w:val="18"/>
                <w:szCs w:val="18"/>
              </w:rPr>
              <w:t>Kilometer</w:t>
            </w:r>
          </w:p>
        </w:tc>
      </w:tr>
      <w:tr w:rsidR="00C1548D" w14:paraId="70A50EB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B8" w14:textId="77777777" w:rsidR="00C1548D" w:rsidRDefault="009B1B4B">
            <w:pPr>
              <w:spacing w:line="250" w:lineRule="auto"/>
            </w:pPr>
            <w:r>
              <w:rPr>
                <w:sz w:val="18"/>
                <w:szCs w:val="18"/>
              </w:rPr>
              <w:t>1</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B9" w14:textId="77777777" w:rsidR="00C1548D" w:rsidRDefault="009B1B4B">
            <w:pPr>
              <w:spacing w:line="250" w:lineRule="auto"/>
            </w:pPr>
            <w:r>
              <w:rPr>
                <w:sz w:val="18"/>
                <w:szCs w:val="18"/>
              </w:rPr>
              <w:t>1,6</w:t>
            </w:r>
          </w:p>
        </w:tc>
      </w:tr>
      <w:tr w:rsidR="00C1548D" w14:paraId="70A50EB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BB" w14:textId="77777777" w:rsidR="00C1548D" w:rsidRDefault="009B1B4B">
            <w:pPr>
              <w:spacing w:line="250" w:lineRule="auto"/>
            </w:pPr>
            <w:r>
              <w:rPr>
                <w:sz w:val="18"/>
                <w:szCs w:val="18"/>
              </w:rPr>
              <w:t>5</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BC" w14:textId="77777777" w:rsidR="00C1548D" w:rsidRDefault="009B1B4B">
            <w:pPr>
              <w:spacing w:line="250" w:lineRule="auto"/>
            </w:pPr>
            <w:r>
              <w:rPr>
                <w:sz w:val="18"/>
                <w:szCs w:val="18"/>
              </w:rPr>
              <w:t>8</w:t>
            </w:r>
          </w:p>
        </w:tc>
      </w:tr>
      <w:tr w:rsidR="00C1548D" w14:paraId="70A50EC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BE" w14:textId="77777777" w:rsidR="00C1548D" w:rsidRDefault="009B1B4B">
            <w:pPr>
              <w:spacing w:line="250" w:lineRule="auto"/>
            </w:pPr>
            <w:r>
              <w:rPr>
                <w:sz w:val="18"/>
                <w:szCs w:val="18"/>
              </w:rPr>
              <w:t>10</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BF" w14:textId="77777777" w:rsidR="00C1548D" w:rsidRDefault="009B1B4B">
            <w:pPr>
              <w:spacing w:line="250" w:lineRule="auto"/>
            </w:pPr>
            <w:r>
              <w:rPr>
                <w:sz w:val="18"/>
                <w:szCs w:val="18"/>
              </w:rPr>
              <w:t>16</w:t>
            </w:r>
          </w:p>
        </w:tc>
      </w:tr>
      <w:tr w:rsidR="00C1548D" w14:paraId="70A50EC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C1" w14:textId="77777777" w:rsidR="00C1548D" w:rsidRDefault="009B1B4B">
            <w:pPr>
              <w:spacing w:line="250" w:lineRule="auto"/>
            </w:pPr>
            <w:r>
              <w:rPr>
                <w:sz w:val="18"/>
                <w:szCs w:val="18"/>
              </w:rPr>
              <w:t>25</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C2" w14:textId="77777777" w:rsidR="00C1548D" w:rsidRDefault="009B1B4B">
            <w:pPr>
              <w:spacing w:line="250" w:lineRule="auto"/>
            </w:pPr>
            <w:r>
              <w:rPr>
                <w:sz w:val="18"/>
                <w:szCs w:val="18"/>
              </w:rPr>
              <w:t>40</w:t>
            </w:r>
          </w:p>
        </w:tc>
      </w:tr>
      <w:tr w:rsidR="00C1548D" w14:paraId="70A50EC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C4" w14:textId="77777777" w:rsidR="00C1548D" w:rsidRDefault="009B1B4B">
            <w:pPr>
              <w:spacing w:line="250" w:lineRule="auto"/>
            </w:pPr>
            <w:r>
              <w:rPr>
                <w:sz w:val="18"/>
                <w:szCs w:val="18"/>
              </w:rPr>
              <w:t>50</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C5" w14:textId="77777777" w:rsidR="00C1548D" w:rsidRDefault="009B1B4B">
            <w:pPr>
              <w:spacing w:line="250" w:lineRule="auto"/>
            </w:pPr>
            <w:r>
              <w:rPr>
                <w:sz w:val="18"/>
                <w:szCs w:val="18"/>
              </w:rPr>
              <w:t>80</w:t>
            </w:r>
          </w:p>
        </w:tc>
      </w:tr>
      <w:tr w:rsidR="00C1548D" w14:paraId="70A50EC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C7" w14:textId="77777777" w:rsidR="00C1548D" w:rsidRDefault="009B1B4B">
            <w:pPr>
              <w:spacing w:line="250" w:lineRule="auto"/>
            </w:pPr>
            <w:r>
              <w:rPr>
                <w:sz w:val="18"/>
                <w:szCs w:val="18"/>
              </w:rPr>
              <w:t>100</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C8" w14:textId="77777777" w:rsidR="00C1548D" w:rsidRDefault="009B1B4B">
            <w:pPr>
              <w:spacing w:line="250" w:lineRule="auto"/>
            </w:pPr>
            <w:r>
              <w:rPr>
                <w:sz w:val="18"/>
                <w:szCs w:val="18"/>
              </w:rPr>
              <w:t>161</w:t>
            </w:r>
          </w:p>
        </w:tc>
      </w:tr>
    </w:tbl>
    <w:p w14:paraId="70A50ECA" w14:textId="77777777" w:rsidR="00C1548D" w:rsidRDefault="00C1548D">
      <w:pPr>
        <w:spacing w:line="180" w:lineRule="exact"/>
      </w:pPr>
    </w:p>
    <w:p w14:paraId="70A50ECB" w14:textId="77777777" w:rsidR="00C1548D" w:rsidRDefault="009B1B4B">
      <w:pPr>
        <w:spacing w:after="140"/>
      </w:pPr>
      <w:r>
        <w:t>Körpergröße (Fuß und Zoll zu cm):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ECE"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ECC" w14:textId="77777777" w:rsidR="00C1548D" w:rsidRDefault="009B1B4B">
            <w:pPr>
              <w:spacing w:line="250" w:lineRule="auto"/>
            </w:pPr>
            <w:r>
              <w:rPr>
                <w:b/>
                <w:bCs/>
                <w:sz w:val="18"/>
                <w:szCs w:val="18"/>
              </w:rPr>
              <w:t>US (ft/in)</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ECD" w14:textId="77777777" w:rsidR="00C1548D" w:rsidRDefault="009B1B4B">
            <w:pPr>
              <w:spacing w:line="250" w:lineRule="auto"/>
            </w:pPr>
            <w:r>
              <w:rPr>
                <w:b/>
                <w:bCs/>
                <w:sz w:val="18"/>
                <w:szCs w:val="18"/>
              </w:rPr>
              <w:t>cm</w:t>
            </w:r>
          </w:p>
        </w:tc>
      </w:tr>
      <w:tr w:rsidR="00C1548D" w14:paraId="70A50ED1"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CF" w14:textId="77777777" w:rsidR="00C1548D" w:rsidRDefault="009B1B4B">
            <w:pPr>
              <w:spacing w:line="250" w:lineRule="auto"/>
            </w:pPr>
            <w:r>
              <w:rPr>
                <w:sz w:val="18"/>
                <w:szCs w:val="18"/>
              </w:rPr>
              <w:t>5’0“</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D0" w14:textId="77777777" w:rsidR="00C1548D" w:rsidRDefault="009B1B4B">
            <w:pPr>
              <w:spacing w:line="250" w:lineRule="auto"/>
            </w:pPr>
            <w:r>
              <w:rPr>
                <w:sz w:val="18"/>
                <w:szCs w:val="18"/>
              </w:rPr>
              <w:t>152</w:t>
            </w:r>
          </w:p>
        </w:tc>
      </w:tr>
      <w:tr w:rsidR="00C1548D" w14:paraId="70A50ED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D2" w14:textId="77777777" w:rsidR="00C1548D" w:rsidRDefault="009B1B4B">
            <w:pPr>
              <w:spacing w:line="250" w:lineRule="auto"/>
            </w:pPr>
            <w:r>
              <w:rPr>
                <w:sz w:val="18"/>
                <w:szCs w:val="18"/>
              </w:rPr>
              <w:t>5’2“</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D3" w14:textId="77777777" w:rsidR="00C1548D" w:rsidRDefault="009B1B4B">
            <w:pPr>
              <w:spacing w:line="250" w:lineRule="auto"/>
            </w:pPr>
            <w:r>
              <w:rPr>
                <w:sz w:val="18"/>
                <w:szCs w:val="18"/>
              </w:rPr>
              <w:t>157</w:t>
            </w:r>
          </w:p>
        </w:tc>
      </w:tr>
      <w:tr w:rsidR="00C1548D" w14:paraId="70A50ED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D5" w14:textId="77777777" w:rsidR="00C1548D" w:rsidRDefault="009B1B4B">
            <w:pPr>
              <w:spacing w:line="250" w:lineRule="auto"/>
            </w:pPr>
            <w:r>
              <w:rPr>
                <w:sz w:val="18"/>
                <w:szCs w:val="18"/>
              </w:rPr>
              <w:t>5’4“</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D6" w14:textId="77777777" w:rsidR="00C1548D" w:rsidRDefault="009B1B4B">
            <w:pPr>
              <w:spacing w:line="250" w:lineRule="auto"/>
            </w:pPr>
            <w:r>
              <w:rPr>
                <w:sz w:val="18"/>
                <w:szCs w:val="18"/>
              </w:rPr>
              <w:t>163</w:t>
            </w:r>
          </w:p>
        </w:tc>
      </w:tr>
      <w:tr w:rsidR="00C1548D" w14:paraId="70A50ED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D8" w14:textId="77777777" w:rsidR="00C1548D" w:rsidRDefault="009B1B4B">
            <w:pPr>
              <w:spacing w:line="250" w:lineRule="auto"/>
            </w:pPr>
            <w:r>
              <w:rPr>
                <w:sz w:val="18"/>
                <w:szCs w:val="18"/>
              </w:rPr>
              <w:t>5’6“</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D9" w14:textId="77777777" w:rsidR="00C1548D" w:rsidRDefault="009B1B4B">
            <w:pPr>
              <w:spacing w:line="250" w:lineRule="auto"/>
            </w:pPr>
            <w:r>
              <w:rPr>
                <w:sz w:val="18"/>
                <w:szCs w:val="18"/>
              </w:rPr>
              <w:t>168</w:t>
            </w:r>
          </w:p>
        </w:tc>
      </w:tr>
      <w:tr w:rsidR="00C1548D" w14:paraId="70A50ED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DB" w14:textId="77777777" w:rsidR="00C1548D" w:rsidRDefault="009B1B4B">
            <w:pPr>
              <w:spacing w:line="250" w:lineRule="auto"/>
            </w:pPr>
            <w:r>
              <w:rPr>
                <w:sz w:val="18"/>
                <w:szCs w:val="18"/>
              </w:rPr>
              <w:t>5’8“</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DC" w14:textId="77777777" w:rsidR="00C1548D" w:rsidRDefault="009B1B4B">
            <w:pPr>
              <w:spacing w:line="250" w:lineRule="auto"/>
            </w:pPr>
            <w:r>
              <w:rPr>
                <w:sz w:val="18"/>
                <w:szCs w:val="18"/>
              </w:rPr>
              <w:t>173</w:t>
            </w:r>
          </w:p>
        </w:tc>
      </w:tr>
      <w:tr w:rsidR="00C1548D" w14:paraId="70A50EE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DE" w14:textId="77777777" w:rsidR="00C1548D" w:rsidRDefault="009B1B4B">
            <w:pPr>
              <w:spacing w:line="250" w:lineRule="auto"/>
            </w:pPr>
            <w:r>
              <w:rPr>
                <w:sz w:val="18"/>
                <w:szCs w:val="18"/>
              </w:rPr>
              <w:t>5’10“</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DF" w14:textId="77777777" w:rsidR="00C1548D" w:rsidRDefault="009B1B4B">
            <w:pPr>
              <w:spacing w:line="250" w:lineRule="auto"/>
            </w:pPr>
            <w:r>
              <w:rPr>
                <w:sz w:val="18"/>
                <w:szCs w:val="18"/>
              </w:rPr>
              <w:t>178</w:t>
            </w:r>
          </w:p>
        </w:tc>
      </w:tr>
      <w:tr w:rsidR="00C1548D" w14:paraId="70A50EE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E1" w14:textId="77777777" w:rsidR="00C1548D" w:rsidRDefault="009B1B4B">
            <w:pPr>
              <w:spacing w:line="250" w:lineRule="auto"/>
            </w:pPr>
            <w:r>
              <w:rPr>
                <w:sz w:val="18"/>
                <w:szCs w:val="18"/>
              </w:rPr>
              <w:t>6’0“</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E2" w14:textId="77777777" w:rsidR="00C1548D" w:rsidRDefault="009B1B4B">
            <w:pPr>
              <w:spacing w:line="250" w:lineRule="auto"/>
            </w:pPr>
            <w:r>
              <w:rPr>
                <w:sz w:val="18"/>
                <w:szCs w:val="18"/>
              </w:rPr>
              <w:t>183</w:t>
            </w:r>
          </w:p>
        </w:tc>
      </w:tr>
      <w:tr w:rsidR="00C1548D" w14:paraId="70A50EE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E4" w14:textId="77777777" w:rsidR="00C1548D" w:rsidRDefault="009B1B4B">
            <w:pPr>
              <w:spacing w:line="250" w:lineRule="auto"/>
            </w:pPr>
            <w:r>
              <w:rPr>
                <w:sz w:val="18"/>
                <w:szCs w:val="18"/>
              </w:rPr>
              <w:t>6’2“</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E5" w14:textId="77777777" w:rsidR="00C1548D" w:rsidRDefault="009B1B4B">
            <w:pPr>
              <w:spacing w:line="250" w:lineRule="auto"/>
            </w:pPr>
            <w:r>
              <w:rPr>
                <w:sz w:val="18"/>
                <w:szCs w:val="18"/>
              </w:rPr>
              <w:t>188</w:t>
            </w:r>
          </w:p>
        </w:tc>
      </w:tr>
    </w:tbl>
    <w:p w14:paraId="70A50EE7" w14:textId="77777777" w:rsidR="00C1548D" w:rsidRDefault="00C1548D">
      <w:pPr>
        <w:spacing w:line="180" w:lineRule="exact"/>
      </w:pPr>
    </w:p>
    <w:p w14:paraId="70A50EE8" w14:textId="77777777" w:rsidR="00C1548D" w:rsidRDefault="009B1B4B">
      <w:pPr>
        <w:pStyle w:val="Heading3"/>
        <w:keepNext/>
        <w:jc w:val="center"/>
      </w:pPr>
      <w:r>
        <w:rPr>
          <w:rFonts w:ascii="Amazon Ember" w:eastAsia="Amazon Ember" w:hAnsi="Amazon Ember" w:cs="Amazon Ember"/>
          <w:color w:val="0000FF"/>
          <w:sz w:val="36"/>
          <w:szCs w:val="36"/>
        </w:rPr>
        <w:t>Gewicht</w:t>
      </w:r>
    </w:p>
    <w:p w14:paraId="70A50EE9" w14:textId="77777777" w:rsidR="00C1548D" w:rsidRDefault="009B1B4B">
      <w:pPr>
        <w:spacing w:after="140"/>
      </w:pPr>
      <w:r>
        <w:t>1 Pfund (</w:t>
      </w:r>
      <w:r>
        <w:rPr>
          <w:i/>
          <w:iCs/>
        </w:rPr>
        <w:t>pound</w:t>
      </w:r>
      <w:r>
        <w:t>, lb) = 0,4536 kg. 1 kg = 2,2046 lb.</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EEC"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EEA" w14:textId="77777777" w:rsidR="00C1548D" w:rsidRDefault="009B1B4B">
            <w:pPr>
              <w:spacing w:line="250" w:lineRule="auto"/>
            </w:pPr>
            <w:r>
              <w:rPr>
                <w:b/>
                <w:bCs/>
                <w:sz w:val="18"/>
                <w:szCs w:val="18"/>
              </w:rPr>
              <w:t>Pfund</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EEB" w14:textId="77777777" w:rsidR="00C1548D" w:rsidRDefault="009B1B4B">
            <w:pPr>
              <w:spacing w:line="250" w:lineRule="auto"/>
            </w:pPr>
            <w:r>
              <w:rPr>
                <w:b/>
                <w:bCs/>
                <w:sz w:val="18"/>
                <w:szCs w:val="18"/>
              </w:rPr>
              <w:t>Kilogramm</w:t>
            </w:r>
          </w:p>
        </w:tc>
      </w:tr>
      <w:tr w:rsidR="00C1548D" w14:paraId="70A50EEF"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ED" w14:textId="77777777" w:rsidR="00C1548D" w:rsidRDefault="009B1B4B">
            <w:pPr>
              <w:spacing w:line="250" w:lineRule="auto"/>
            </w:pPr>
            <w:r>
              <w:rPr>
                <w:sz w:val="18"/>
                <w:szCs w:val="18"/>
              </w:rPr>
              <w:t>100</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EE" w14:textId="77777777" w:rsidR="00C1548D" w:rsidRDefault="009B1B4B">
            <w:pPr>
              <w:spacing w:line="250" w:lineRule="auto"/>
            </w:pPr>
            <w:r>
              <w:rPr>
                <w:sz w:val="18"/>
                <w:szCs w:val="18"/>
              </w:rPr>
              <w:t>45</w:t>
            </w:r>
          </w:p>
        </w:tc>
      </w:tr>
      <w:tr w:rsidR="00C1548D" w14:paraId="70A50EF2"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F0" w14:textId="77777777" w:rsidR="00C1548D" w:rsidRDefault="009B1B4B">
            <w:pPr>
              <w:spacing w:line="250" w:lineRule="auto"/>
            </w:pPr>
            <w:r>
              <w:rPr>
                <w:sz w:val="18"/>
                <w:szCs w:val="18"/>
              </w:rPr>
              <w:t>125</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F1" w14:textId="77777777" w:rsidR="00C1548D" w:rsidRDefault="009B1B4B">
            <w:pPr>
              <w:spacing w:line="250" w:lineRule="auto"/>
            </w:pPr>
            <w:r>
              <w:rPr>
                <w:sz w:val="18"/>
                <w:szCs w:val="18"/>
              </w:rPr>
              <w:t>57</w:t>
            </w:r>
          </w:p>
        </w:tc>
      </w:tr>
      <w:tr w:rsidR="00C1548D" w14:paraId="70A50EF5"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F3" w14:textId="77777777" w:rsidR="00C1548D" w:rsidRDefault="009B1B4B">
            <w:pPr>
              <w:spacing w:line="250" w:lineRule="auto"/>
            </w:pPr>
            <w:r>
              <w:rPr>
                <w:sz w:val="18"/>
                <w:szCs w:val="18"/>
              </w:rPr>
              <w:t>150</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F4" w14:textId="77777777" w:rsidR="00C1548D" w:rsidRDefault="009B1B4B">
            <w:pPr>
              <w:spacing w:line="250" w:lineRule="auto"/>
            </w:pPr>
            <w:r>
              <w:rPr>
                <w:sz w:val="18"/>
                <w:szCs w:val="18"/>
              </w:rPr>
              <w:t>68</w:t>
            </w:r>
          </w:p>
        </w:tc>
      </w:tr>
      <w:tr w:rsidR="00C1548D" w14:paraId="70A50EF8"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F6" w14:textId="77777777" w:rsidR="00C1548D" w:rsidRDefault="009B1B4B">
            <w:pPr>
              <w:spacing w:line="250" w:lineRule="auto"/>
            </w:pPr>
            <w:r>
              <w:rPr>
                <w:sz w:val="18"/>
                <w:szCs w:val="18"/>
              </w:rPr>
              <w:t>175</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F7" w14:textId="77777777" w:rsidR="00C1548D" w:rsidRDefault="009B1B4B">
            <w:pPr>
              <w:spacing w:line="250" w:lineRule="auto"/>
            </w:pPr>
            <w:r>
              <w:rPr>
                <w:sz w:val="18"/>
                <w:szCs w:val="18"/>
              </w:rPr>
              <w:t>79</w:t>
            </w:r>
          </w:p>
        </w:tc>
      </w:tr>
      <w:tr w:rsidR="00C1548D" w14:paraId="70A50EFB"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F9" w14:textId="77777777" w:rsidR="00C1548D" w:rsidRDefault="009B1B4B">
            <w:pPr>
              <w:spacing w:line="250" w:lineRule="auto"/>
            </w:pPr>
            <w:r>
              <w:rPr>
                <w:sz w:val="18"/>
                <w:szCs w:val="18"/>
              </w:rPr>
              <w:lastRenderedPageBreak/>
              <w:t>200</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FA" w14:textId="77777777" w:rsidR="00C1548D" w:rsidRDefault="009B1B4B">
            <w:pPr>
              <w:spacing w:line="250" w:lineRule="auto"/>
            </w:pPr>
            <w:r>
              <w:rPr>
                <w:sz w:val="18"/>
                <w:szCs w:val="18"/>
              </w:rPr>
              <w:t>91</w:t>
            </w:r>
          </w:p>
        </w:tc>
      </w:tr>
      <w:tr w:rsidR="00C1548D" w14:paraId="70A50EFE"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FC" w14:textId="77777777" w:rsidR="00C1548D" w:rsidRDefault="009B1B4B">
            <w:pPr>
              <w:spacing w:line="250" w:lineRule="auto"/>
            </w:pPr>
            <w:r>
              <w:rPr>
                <w:sz w:val="18"/>
                <w:szCs w:val="18"/>
              </w:rPr>
              <w:t>250</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EFD" w14:textId="77777777" w:rsidR="00C1548D" w:rsidRDefault="009B1B4B">
            <w:pPr>
              <w:spacing w:line="250" w:lineRule="auto"/>
            </w:pPr>
            <w:r>
              <w:rPr>
                <w:sz w:val="18"/>
                <w:szCs w:val="18"/>
              </w:rPr>
              <w:t>113</w:t>
            </w:r>
          </w:p>
        </w:tc>
      </w:tr>
    </w:tbl>
    <w:p w14:paraId="70A50EFF" w14:textId="77777777" w:rsidR="00C1548D" w:rsidRDefault="00C1548D">
      <w:pPr>
        <w:spacing w:line="180" w:lineRule="exact"/>
      </w:pPr>
    </w:p>
    <w:p w14:paraId="70A50F00" w14:textId="77777777" w:rsidR="00C1548D" w:rsidRDefault="009B1B4B">
      <w:pPr>
        <w:pStyle w:val="Heading3"/>
        <w:keepNext/>
        <w:jc w:val="center"/>
      </w:pPr>
      <w:r>
        <w:rPr>
          <w:rFonts w:ascii="Amazon Ember" w:eastAsia="Amazon Ember" w:hAnsi="Amazon Ember" w:cs="Amazon Ember"/>
          <w:color w:val="0000FF"/>
          <w:sz w:val="36"/>
          <w:szCs w:val="36"/>
        </w:rPr>
        <w:t>Küche und Backen</w:t>
      </w:r>
    </w:p>
    <w:p w14:paraId="70A50F01" w14:textId="77777777" w:rsidR="00C1548D" w:rsidRDefault="009B1B4B">
      <w:pPr>
        <w:spacing w:after="140"/>
      </w:pPr>
      <w:r>
        <w:t>Hohlmaße (</w:t>
      </w:r>
      <w:r>
        <w:rPr>
          <w:i/>
          <w:iCs/>
        </w:rPr>
        <w:t>teaspoon</w:t>
      </w:r>
      <w:r>
        <w:t xml:space="preserve">, tsp; </w:t>
      </w:r>
      <w:r>
        <w:rPr>
          <w:i/>
          <w:iCs/>
        </w:rPr>
        <w:t>tablespoon</w:t>
      </w:r>
      <w:r>
        <w:t xml:space="preserve">, tbsp; </w:t>
      </w:r>
      <w:r>
        <w:rPr>
          <w:i/>
          <w:iCs/>
        </w:rPr>
        <w:t>cup</w:t>
      </w:r>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F04"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02" w14:textId="77777777" w:rsidR="00C1548D" w:rsidRDefault="009B1B4B">
            <w:pPr>
              <w:spacing w:line="250" w:lineRule="auto"/>
            </w:pPr>
            <w:r>
              <w:rPr>
                <w:b/>
                <w:bCs/>
                <w:sz w:val="18"/>
                <w:szCs w:val="18"/>
              </w:rPr>
              <w:t>US-Maß</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03" w14:textId="77777777" w:rsidR="00C1548D" w:rsidRDefault="009B1B4B">
            <w:pPr>
              <w:spacing w:line="250" w:lineRule="auto"/>
            </w:pPr>
            <w:r>
              <w:rPr>
                <w:b/>
                <w:bCs/>
                <w:sz w:val="18"/>
                <w:szCs w:val="18"/>
              </w:rPr>
              <w:t>ml</w:t>
            </w:r>
          </w:p>
        </w:tc>
      </w:tr>
      <w:tr w:rsidR="00C1548D" w14:paraId="70A50F0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05" w14:textId="77777777" w:rsidR="00C1548D" w:rsidRDefault="009B1B4B">
            <w:pPr>
              <w:spacing w:line="250" w:lineRule="auto"/>
            </w:pPr>
            <w:r>
              <w:rPr>
                <w:sz w:val="18"/>
                <w:szCs w:val="18"/>
              </w:rPr>
              <w:t>1 tsp</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06" w14:textId="77777777" w:rsidR="00C1548D" w:rsidRDefault="009B1B4B">
            <w:pPr>
              <w:spacing w:line="250" w:lineRule="auto"/>
            </w:pPr>
            <w:r>
              <w:rPr>
                <w:sz w:val="18"/>
                <w:szCs w:val="18"/>
              </w:rPr>
              <w:t>5</w:t>
            </w:r>
          </w:p>
        </w:tc>
      </w:tr>
      <w:tr w:rsidR="00C1548D" w14:paraId="70A50F0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08" w14:textId="77777777" w:rsidR="00C1548D" w:rsidRDefault="009B1B4B">
            <w:pPr>
              <w:spacing w:line="250" w:lineRule="auto"/>
            </w:pPr>
            <w:r>
              <w:rPr>
                <w:sz w:val="18"/>
                <w:szCs w:val="18"/>
              </w:rPr>
              <w:t>1 tbsp (3 tsp)</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09" w14:textId="77777777" w:rsidR="00C1548D" w:rsidRDefault="009B1B4B">
            <w:pPr>
              <w:spacing w:line="250" w:lineRule="auto"/>
            </w:pPr>
            <w:r>
              <w:rPr>
                <w:sz w:val="18"/>
                <w:szCs w:val="18"/>
              </w:rPr>
              <w:t>15</w:t>
            </w:r>
          </w:p>
        </w:tc>
      </w:tr>
      <w:tr w:rsidR="00C1548D" w14:paraId="70A50F0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0B" w14:textId="77777777" w:rsidR="00C1548D" w:rsidRDefault="009B1B4B">
            <w:pPr>
              <w:spacing w:line="250" w:lineRule="auto"/>
            </w:pPr>
            <w:r>
              <w:rPr>
                <w:sz w:val="18"/>
                <w:szCs w:val="18"/>
              </w:rPr>
              <w:t>¼ cup</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0C" w14:textId="77777777" w:rsidR="00C1548D" w:rsidRDefault="009B1B4B">
            <w:pPr>
              <w:spacing w:line="250" w:lineRule="auto"/>
            </w:pPr>
            <w:r>
              <w:rPr>
                <w:sz w:val="18"/>
                <w:szCs w:val="18"/>
              </w:rPr>
              <w:t>60</w:t>
            </w:r>
          </w:p>
        </w:tc>
      </w:tr>
      <w:tr w:rsidR="00C1548D" w14:paraId="70A50F10"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0E" w14:textId="77777777" w:rsidR="00C1548D" w:rsidRDefault="009B1B4B">
            <w:pPr>
              <w:spacing w:line="250" w:lineRule="auto"/>
            </w:pPr>
            <w:r>
              <w:rPr>
                <w:sz w:val="18"/>
                <w:szCs w:val="18"/>
              </w:rPr>
              <w:t>⅓ cup</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0F" w14:textId="77777777" w:rsidR="00C1548D" w:rsidRDefault="009B1B4B">
            <w:pPr>
              <w:spacing w:line="250" w:lineRule="auto"/>
            </w:pPr>
            <w:r>
              <w:rPr>
                <w:sz w:val="18"/>
                <w:szCs w:val="18"/>
              </w:rPr>
              <w:t>80</w:t>
            </w:r>
          </w:p>
        </w:tc>
      </w:tr>
      <w:tr w:rsidR="00C1548D" w14:paraId="70A50F13"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11" w14:textId="77777777" w:rsidR="00C1548D" w:rsidRDefault="009B1B4B">
            <w:pPr>
              <w:spacing w:line="250" w:lineRule="auto"/>
            </w:pPr>
            <w:r>
              <w:rPr>
                <w:sz w:val="18"/>
                <w:szCs w:val="18"/>
              </w:rPr>
              <w:t>½ cup</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12" w14:textId="77777777" w:rsidR="00C1548D" w:rsidRDefault="009B1B4B">
            <w:pPr>
              <w:spacing w:line="250" w:lineRule="auto"/>
            </w:pPr>
            <w:r>
              <w:rPr>
                <w:sz w:val="18"/>
                <w:szCs w:val="18"/>
              </w:rPr>
              <w:t>120</w:t>
            </w:r>
          </w:p>
        </w:tc>
      </w:tr>
      <w:tr w:rsidR="00C1548D" w14:paraId="70A50F16"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14" w14:textId="77777777" w:rsidR="00C1548D" w:rsidRDefault="009B1B4B">
            <w:pPr>
              <w:spacing w:line="250" w:lineRule="auto"/>
            </w:pPr>
            <w:r>
              <w:rPr>
                <w:sz w:val="18"/>
                <w:szCs w:val="18"/>
              </w:rPr>
              <w:t>⅔ cup</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15" w14:textId="77777777" w:rsidR="00C1548D" w:rsidRDefault="009B1B4B">
            <w:pPr>
              <w:spacing w:line="250" w:lineRule="auto"/>
            </w:pPr>
            <w:r>
              <w:rPr>
                <w:sz w:val="18"/>
                <w:szCs w:val="18"/>
              </w:rPr>
              <w:t>160</w:t>
            </w:r>
          </w:p>
        </w:tc>
      </w:tr>
      <w:tr w:rsidR="00C1548D" w14:paraId="70A50F19"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17" w14:textId="77777777" w:rsidR="00C1548D" w:rsidRDefault="009B1B4B">
            <w:pPr>
              <w:spacing w:line="250" w:lineRule="auto"/>
            </w:pPr>
            <w:r>
              <w:rPr>
                <w:sz w:val="18"/>
                <w:szCs w:val="18"/>
              </w:rPr>
              <w:t>¾ cup</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18" w14:textId="77777777" w:rsidR="00C1548D" w:rsidRDefault="009B1B4B">
            <w:pPr>
              <w:spacing w:line="250" w:lineRule="auto"/>
            </w:pPr>
            <w:r>
              <w:rPr>
                <w:sz w:val="18"/>
                <w:szCs w:val="18"/>
              </w:rPr>
              <w:t>180</w:t>
            </w:r>
          </w:p>
        </w:tc>
      </w:tr>
      <w:tr w:rsidR="00C1548D" w14:paraId="70A50F1C"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1A" w14:textId="77777777" w:rsidR="00C1548D" w:rsidRDefault="009B1B4B">
            <w:pPr>
              <w:spacing w:line="250" w:lineRule="auto"/>
            </w:pPr>
            <w:r>
              <w:rPr>
                <w:sz w:val="18"/>
                <w:szCs w:val="18"/>
              </w:rPr>
              <w:t>1 cup</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1B" w14:textId="77777777" w:rsidR="00C1548D" w:rsidRDefault="009B1B4B">
            <w:pPr>
              <w:spacing w:line="250" w:lineRule="auto"/>
            </w:pPr>
            <w:r>
              <w:rPr>
                <w:sz w:val="18"/>
                <w:szCs w:val="18"/>
              </w:rPr>
              <w:t>240</w:t>
            </w:r>
          </w:p>
        </w:tc>
      </w:tr>
    </w:tbl>
    <w:p w14:paraId="70A50F1D" w14:textId="77777777" w:rsidR="00C1548D" w:rsidRDefault="00C1548D">
      <w:pPr>
        <w:spacing w:line="180" w:lineRule="exact"/>
      </w:pPr>
    </w:p>
    <w:p w14:paraId="70A50F1E" w14:textId="77777777" w:rsidR="00C1548D" w:rsidRDefault="009B1B4B">
      <w:pPr>
        <w:spacing w:after="140"/>
      </w:pPr>
      <w:r>
        <w:t>Gewichte (</w:t>
      </w:r>
      <w:r>
        <w:rPr>
          <w:i/>
          <w:iCs/>
        </w:rPr>
        <w:t>ounce</w:t>
      </w:r>
      <w:r>
        <w:t>, oz):</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tblGrid>
      <w:tr w:rsidR="00C1548D" w14:paraId="70A50F21" w14:textId="77777777">
        <w:tblPrEx>
          <w:tblCellMar>
            <w:top w:w="0" w:type="dxa"/>
            <w:bottom w:w="0" w:type="dxa"/>
          </w:tblCellMar>
        </w:tblPrEx>
        <w:trPr>
          <w:cantSplit/>
          <w:tblHeader/>
        </w:trPr>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1F" w14:textId="77777777" w:rsidR="00C1548D" w:rsidRDefault="009B1B4B">
            <w:pPr>
              <w:spacing w:line="250" w:lineRule="auto"/>
            </w:pPr>
            <w:r>
              <w:rPr>
                <w:b/>
                <w:bCs/>
                <w:sz w:val="18"/>
                <w:szCs w:val="18"/>
              </w:rPr>
              <w:t>US-Maß</w:t>
            </w:r>
          </w:p>
        </w:tc>
        <w:tc>
          <w:tcPr>
            <w:tcW w:w="32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20" w14:textId="77777777" w:rsidR="00C1548D" w:rsidRDefault="009B1B4B">
            <w:pPr>
              <w:spacing w:line="250" w:lineRule="auto"/>
            </w:pPr>
            <w:r>
              <w:rPr>
                <w:b/>
                <w:bCs/>
                <w:sz w:val="18"/>
                <w:szCs w:val="18"/>
              </w:rPr>
              <w:t>Gramm</w:t>
            </w:r>
          </w:p>
        </w:tc>
      </w:tr>
      <w:tr w:rsidR="00C1548D" w14:paraId="70A50F24"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22" w14:textId="77777777" w:rsidR="00C1548D" w:rsidRDefault="009B1B4B">
            <w:pPr>
              <w:spacing w:line="250" w:lineRule="auto"/>
            </w:pPr>
            <w:r>
              <w:rPr>
                <w:sz w:val="18"/>
                <w:szCs w:val="18"/>
              </w:rPr>
              <w:t>1 oz</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23" w14:textId="77777777" w:rsidR="00C1548D" w:rsidRDefault="009B1B4B">
            <w:pPr>
              <w:spacing w:line="250" w:lineRule="auto"/>
            </w:pPr>
            <w:r>
              <w:rPr>
                <w:sz w:val="18"/>
                <w:szCs w:val="18"/>
              </w:rPr>
              <w:t>28</w:t>
            </w:r>
          </w:p>
        </w:tc>
      </w:tr>
      <w:tr w:rsidR="00C1548D" w14:paraId="70A50F27"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25" w14:textId="77777777" w:rsidR="00C1548D" w:rsidRDefault="009B1B4B">
            <w:pPr>
              <w:spacing w:line="250" w:lineRule="auto"/>
            </w:pPr>
            <w:r>
              <w:rPr>
                <w:sz w:val="18"/>
                <w:szCs w:val="18"/>
              </w:rPr>
              <w:t>4 oz</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26" w14:textId="77777777" w:rsidR="00C1548D" w:rsidRDefault="009B1B4B">
            <w:pPr>
              <w:spacing w:line="250" w:lineRule="auto"/>
            </w:pPr>
            <w:r>
              <w:rPr>
                <w:sz w:val="18"/>
                <w:szCs w:val="18"/>
              </w:rPr>
              <w:t>113</w:t>
            </w:r>
          </w:p>
        </w:tc>
      </w:tr>
      <w:tr w:rsidR="00C1548D" w14:paraId="70A50F2A"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28" w14:textId="77777777" w:rsidR="00C1548D" w:rsidRDefault="009B1B4B">
            <w:pPr>
              <w:spacing w:line="250" w:lineRule="auto"/>
            </w:pPr>
            <w:r>
              <w:rPr>
                <w:sz w:val="18"/>
                <w:szCs w:val="18"/>
              </w:rPr>
              <w:t>8 oz</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29" w14:textId="77777777" w:rsidR="00C1548D" w:rsidRDefault="009B1B4B">
            <w:pPr>
              <w:spacing w:line="250" w:lineRule="auto"/>
            </w:pPr>
            <w:r>
              <w:rPr>
                <w:sz w:val="18"/>
                <w:szCs w:val="18"/>
              </w:rPr>
              <w:t>227</w:t>
            </w:r>
          </w:p>
        </w:tc>
      </w:tr>
      <w:tr w:rsidR="00C1548D" w14:paraId="70A50F2D" w14:textId="77777777">
        <w:tblPrEx>
          <w:tblCellMar>
            <w:top w:w="0" w:type="dxa"/>
            <w:bottom w:w="0" w:type="dxa"/>
          </w:tblCellMar>
        </w:tblPrEx>
        <w:trPr>
          <w:cantSplit/>
        </w:trPr>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2B" w14:textId="77777777" w:rsidR="00C1548D" w:rsidRDefault="009B1B4B">
            <w:pPr>
              <w:spacing w:line="250" w:lineRule="auto"/>
            </w:pPr>
            <w:r>
              <w:rPr>
                <w:sz w:val="18"/>
                <w:szCs w:val="18"/>
              </w:rPr>
              <w:t>16 oz (1 lb)</w:t>
            </w:r>
          </w:p>
        </w:tc>
        <w:tc>
          <w:tcPr>
            <w:tcW w:w="32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2C" w14:textId="77777777" w:rsidR="00C1548D" w:rsidRDefault="009B1B4B">
            <w:pPr>
              <w:spacing w:line="250" w:lineRule="auto"/>
            </w:pPr>
            <w:r>
              <w:rPr>
                <w:sz w:val="18"/>
                <w:szCs w:val="18"/>
              </w:rPr>
              <w:t>454</w:t>
            </w:r>
          </w:p>
        </w:tc>
      </w:tr>
    </w:tbl>
    <w:p w14:paraId="70A50F2E" w14:textId="77777777" w:rsidR="00C1548D" w:rsidRDefault="00C1548D">
      <w:pPr>
        <w:spacing w:line="180" w:lineRule="exact"/>
      </w:pPr>
    </w:p>
    <w:p w14:paraId="70A50F2F" w14:textId="77777777" w:rsidR="00C1548D" w:rsidRDefault="009B1B4B">
      <w:pPr>
        <w:spacing w:after="140"/>
      </w:pPr>
      <w:r>
        <w:t>Backofentemperaturen: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160"/>
        <w:gridCol w:w="2160"/>
      </w:tblGrid>
      <w:tr w:rsidR="00C1548D" w14:paraId="70A50F33" w14:textId="77777777">
        <w:tblPrEx>
          <w:tblCellMar>
            <w:top w:w="0" w:type="dxa"/>
            <w:bottom w:w="0" w:type="dxa"/>
          </w:tblCellMar>
        </w:tblPrEx>
        <w:trPr>
          <w:cantSplit/>
          <w:tblHeader/>
        </w:trPr>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30" w14:textId="77777777" w:rsidR="00C1548D" w:rsidRDefault="009B1B4B">
            <w:pPr>
              <w:spacing w:line="250" w:lineRule="auto"/>
            </w:pPr>
            <w:r>
              <w:rPr>
                <w:b/>
                <w:bCs/>
                <w:sz w:val="18"/>
                <w:szCs w:val="18"/>
              </w:rPr>
              <w:t>°F</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31" w14:textId="77777777" w:rsidR="00C1548D" w:rsidRDefault="009B1B4B">
            <w:pPr>
              <w:spacing w:line="250" w:lineRule="auto"/>
            </w:pPr>
            <w:r>
              <w:rPr>
                <w:b/>
                <w:bCs/>
                <w:sz w:val="18"/>
                <w:szCs w:val="18"/>
              </w:rPr>
              <w:t>°C</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32" w14:textId="77777777" w:rsidR="00C1548D" w:rsidRDefault="009B1B4B">
            <w:pPr>
              <w:spacing w:line="250" w:lineRule="auto"/>
            </w:pPr>
            <w:r>
              <w:rPr>
                <w:b/>
                <w:bCs/>
                <w:sz w:val="18"/>
                <w:szCs w:val="18"/>
              </w:rPr>
              <w:t>Gasstufe</w:t>
            </w:r>
          </w:p>
        </w:tc>
      </w:tr>
      <w:tr w:rsidR="00C1548D" w14:paraId="70A50F37"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34" w14:textId="77777777" w:rsidR="00C1548D" w:rsidRDefault="009B1B4B">
            <w:pPr>
              <w:spacing w:line="250" w:lineRule="auto"/>
            </w:pPr>
            <w:r>
              <w:rPr>
                <w:sz w:val="18"/>
                <w:szCs w:val="18"/>
              </w:rPr>
              <w:t>275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35" w14:textId="77777777" w:rsidR="00C1548D" w:rsidRDefault="009B1B4B">
            <w:pPr>
              <w:spacing w:line="250" w:lineRule="auto"/>
            </w:pPr>
            <w:r>
              <w:rPr>
                <w:sz w:val="18"/>
                <w:szCs w:val="18"/>
              </w:rPr>
              <w:t>135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36" w14:textId="77777777" w:rsidR="00C1548D" w:rsidRDefault="009B1B4B">
            <w:pPr>
              <w:spacing w:line="250" w:lineRule="auto"/>
            </w:pPr>
            <w:r>
              <w:rPr>
                <w:sz w:val="18"/>
                <w:szCs w:val="18"/>
              </w:rPr>
              <w:t>1</w:t>
            </w:r>
          </w:p>
        </w:tc>
      </w:tr>
      <w:tr w:rsidR="00C1548D" w14:paraId="70A50F3B"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38" w14:textId="77777777" w:rsidR="00C1548D" w:rsidRDefault="009B1B4B">
            <w:pPr>
              <w:spacing w:line="250" w:lineRule="auto"/>
            </w:pPr>
            <w:r>
              <w:rPr>
                <w:sz w:val="18"/>
                <w:szCs w:val="18"/>
              </w:rPr>
              <w:t>300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39" w14:textId="77777777" w:rsidR="00C1548D" w:rsidRDefault="009B1B4B">
            <w:pPr>
              <w:spacing w:line="250" w:lineRule="auto"/>
            </w:pPr>
            <w:r>
              <w:rPr>
                <w:sz w:val="18"/>
                <w:szCs w:val="18"/>
              </w:rPr>
              <w:t>150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3A" w14:textId="77777777" w:rsidR="00C1548D" w:rsidRDefault="009B1B4B">
            <w:pPr>
              <w:spacing w:line="250" w:lineRule="auto"/>
            </w:pPr>
            <w:r>
              <w:rPr>
                <w:sz w:val="18"/>
                <w:szCs w:val="18"/>
              </w:rPr>
              <w:t>2</w:t>
            </w:r>
          </w:p>
        </w:tc>
      </w:tr>
      <w:tr w:rsidR="00C1548D" w14:paraId="70A50F3F"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3C" w14:textId="77777777" w:rsidR="00C1548D" w:rsidRDefault="009B1B4B">
            <w:pPr>
              <w:spacing w:line="250" w:lineRule="auto"/>
            </w:pPr>
            <w:r>
              <w:rPr>
                <w:sz w:val="18"/>
                <w:szCs w:val="18"/>
              </w:rPr>
              <w:t>325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3D" w14:textId="77777777" w:rsidR="00C1548D" w:rsidRDefault="009B1B4B">
            <w:pPr>
              <w:spacing w:line="250" w:lineRule="auto"/>
            </w:pPr>
            <w:r>
              <w:rPr>
                <w:sz w:val="18"/>
                <w:szCs w:val="18"/>
              </w:rPr>
              <w:t>165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3E" w14:textId="77777777" w:rsidR="00C1548D" w:rsidRDefault="009B1B4B">
            <w:pPr>
              <w:spacing w:line="250" w:lineRule="auto"/>
            </w:pPr>
            <w:r>
              <w:rPr>
                <w:sz w:val="18"/>
                <w:szCs w:val="18"/>
              </w:rPr>
              <w:t>3</w:t>
            </w:r>
          </w:p>
        </w:tc>
      </w:tr>
      <w:tr w:rsidR="00C1548D" w14:paraId="70A50F43"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0" w14:textId="77777777" w:rsidR="00C1548D" w:rsidRDefault="009B1B4B">
            <w:pPr>
              <w:spacing w:line="250" w:lineRule="auto"/>
            </w:pPr>
            <w:r>
              <w:rPr>
                <w:sz w:val="18"/>
                <w:szCs w:val="18"/>
              </w:rPr>
              <w:t>350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1" w14:textId="77777777" w:rsidR="00C1548D" w:rsidRDefault="009B1B4B">
            <w:pPr>
              <w:spacing w:line="250" w:lineRule="auto"/>
            </w:pPr>
            <w:r>
              <w:rPr>
                <w:sz w:val="18"/>
                <w:szCs w:val="18"/>
              </w:rPr>
              <w:t>180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2" w14:textId="77777777" w:rsidR="00C1548D" w:rsidRDefault="009B1B4B">
            <w:pPr>
              <w:spacing w:line="250" w:lineRule="auto"/>
            </w:pPr>
            <w:r>
              <w:rPr>
                <w:sz w:val="18"/>
                <w:szCs w:val="18"/>
              </w:rPr>
              <w:t>4</w:t>
            </w:r>
          </w:p>
        </w:tc>
      </w:tr>
      <w:tr w:rsidR="00C1548D" w14:paraId="70A50F47"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4" w14:textId="77777777" w:rsidR="00C1548D" w:rsidRDefault="009B1B4B">
            <w:pPr>
              <w:spacing w:line="250" w:lineRule="auto"/>
            </w:pPr>
            <w:r>
              <w:rPr>
                <w:sz w:val="18"/>
                <w:szCs w:val="18"/>
              </w:rPr>
              <w:t>375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5" w14:textId="77777777" w:rsidR="00C1548D" w:rsidRDefault="009B1B4B">
            <w:pPr>
              <w:spacing w:line="250" w:lineRule="auto"/>
            </w:pPr>
            <w:r>
              <w:rPr>
                <w:sz w:val="18"/>
                <w:szCs w:val="18"/>
              </w:rPr>
              <w:t>190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6" w14:textId="77777777" w:rsidR="00C1548D" w:rsidRDefault="009B1B4B">
            <w:pPr>
              <w:spacing w:line="250" w:lineRule="auto"/>
            </w:pPr>
            <w:r>
              <w:rPr>
                <w:sz w:val="18"/>
                <w:szCs w:val="18"/>
              </w:rPr>
              <w:t>5</w:t>
            </w:r>
          </w:p>
        </w:tc>
      </w:tr>
      <w:tr w:rsidR="00C1548D" w14:paraId="70A50F4B"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8" w14:textId="77777777" w:rsidR="00C1548D" w:rsidRDefault="009B1B4B">
            <w:pPr>
              <w:spacing w:line="250" w:lineRule="auto"/>
            </w:pPr>
            <w:r>
              <w:rPr>
                <w:sz w:val="18"/>
                <w:szCs w:val="18"/>
              </w:rPr>
              <w:t>400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9" w14:textId="77777777" w:rsidR="00C1548D" w:rsidRDefault="009B1B4B">
            <w:pPr>
              <w:spacing w:line="250" w:lineRule="auto"/>
            </w:pPr>
            <w:r>
              <w:rPr>
                <w:sz w:val="18"/>
                <w:szCs w:val="18"/>
              </w:rPr>
              <w:t>200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A" w14:textId="77777777" w:rsidR="00C1548D" w:rsidRDefault="009B1B4B">
            <w:pPr>
              <w:spacing w:line="250" w:lineRule="auto"/>
            </w:pPr>
            <w:r>
              <w:rPr>
                <w:sz w:val="18"/>
                <w:szCs w:val="18"/>
              </w:rPr>
              <w:t>6</w:t>
            </w:r>
          </w:p>
        </w:tc>
      </w:tr>
      <w:tr w:rsidR="00C1548D" w14:paraId="70A50F4F"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C" w14:textId="77777777" w:rsidR="00C1548D" w:rsidRDefault="009B1B4B">
            <w:pPr>
              <w:spacing w:line="250" w:lineRule="auto"/>
            </w:pPr>
            <w:r>
              <w:rPr>
                <w:sz w:val="18"/>
                <w:szCs w:val="18"/>
              </w:rPr>
              <w:lastRenderedPageBreak/>
              <w:t>425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D" w14:textId="77777777" w:rsidR="00C1548D" w:rsidRDefault="009B1B4B">
            <w:pPr>
              <w:spacing w:line="250" w:lineRule="auto"/>
            </w:pPr>
            <w:r>
              <w:rPr>
                <w:sz w:val="18"/>
                <w:szCs w:val="18"/>
              </w:rPr>
              <w:t>220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4E" w14:textId="77777777" w:rsidR="00C1548D" w:rsidRDefault="009B1B4B">
            <w:pPr>
              <w:spacing w:line="250" w:lineRule="auto"/>
            </w:pPr>
            <w:r>
              <w:rPr>
                <w:sz w:val="18"/>
                <w:szCs w:val="18"/>
              </w:rPr>
              <w:t>7</w:t>
            </w:r>
          </w:p>
        </w:tc>
      </w:tr>
      <w:tr w:rsidR="00C1548D" w14:paraId="70A50F53"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50" w14:textId="77777777" w:rsidR="00C1548D" w:rsidRDefault="009B1B4B">
            <w:pPr>
              <w:spacing w:line="250" w:lineRule="auto"/>
            </w:pPr>
            <w:r>
              <w:rPr>
                <w:sz w:val="18"/>
                <w:szCs w:val="18"/>
              </w:rPr>
              <w:t>450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51" w14:textId="77777777" w:rsidR="00C1548D" w:rsidRDefault="009B1B4B">
            <w:pPr>
              <w:spacing w:line="250" w:lineRule="auto"/>
            </w:pPr>
            <w:r>
              <w:rPr>
                <w:sz w:val="18"/>
                <w:szCs w:val="18"/>
              </w:rPr>
              <w:t>230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52" w14:textId="77777777" w:rsidR="00C1548D" w:rsidRDefault="009B1B4B">
            <w:pPr>
              <w:spacing w:line="250" w:lineRule="auto"/>
            </w:pPr>
            <w:r>
              <w:rPr>
                <w:sz w:val="18"/>
                <w:szCs w:val="18"/>
              </w:rPr>
              <w:t>8</w:t>
            </w:r>
          </w:p>
        </w:tc>
      </w:tr>
      <w:tr w:rsidR="00C1548D" w14:paraId="70A50F57"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54" w14:textId="77777777" w:rsidR="00C1548D" w:rsidRDefault="009B1B4B">
            <w:pPr>
              <w:spacing w:line="250" w:lineRule="auto"/>
            </w:pPr>
            <w:r>
              <w:rPr>
                <w:sz w:val="18"/>
                <w:szCs w:val="18"/>
              </w:rPr>
              <w:t>475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55" w14:textId="77777777" w:rsidR="00C1548D" w:rsidRDefault="009B1B4B">
            <w:pPr>
              <w:spacing w:line="250" w:lineRule="auto"/>
            </w:pPr>
            <w:r>
              <w:rPr>
                <w:sz w:val="18"/>
                <w:szCs w:val="18"/>
              </w:rPr>
              <w:t>245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56" w14:textId="77777777" w:rsidR="00C1548D" w:rsidRDefault="009B1B4B">
            <w:pPr>
              <w:spacing w:line="250" w:lineRule="auto"/>
            </w:pPr>
            <w:r>
              <w:rPr>
                <w:sz w:val="18"/>
                <w:szCs w:val="18"/>
              </w:rPr>
              <w:t>9</w:t>
            </w:r>
          </w:p>
        </w:tc>
      </w:tr>
    </w:tbl>
    <w:p w14:paraId="70A50F58" w14:textId="77777777" w:rsidR="00C1548D" w:rsidRDefault="00C1548D">
      <w:pPr>
        <w:spacing w:line="180" w:lineRule="exact"/>
      </w:pPr>
    </w:p>
    <w:p w14:paraId="70A50F59" w14:textId="77777777" w:rsidR="00C1548D" w:rsidRDefault="009B1B4B">
      <w:pPr>
        <w:pStyle w:val="Heading3"/>
        <w:keepNext/>
        <w:jc w:val="center"/>
      </w:pPr>
      <w:r>
        <w:rPr>
          <w:rFonts w:ascii="Amazon Ember" w:eastAsia="Amazon Ember" w:hAnsi="Amazon Ember" w:cs="Amazon Ember"/>
          <w:color w:val="0000FF"/>
          <w:sz w:val="36"/>
          <w:szCs w:val="36"/>
        </w:rPr>
        <w:t>Kleidergrößen</w:t>
      </w:r>
    </w:p>
    <w:p w14:paraId="70A50F5A" w14:textId="35766FEE" w:rsidR="00C1548D" w:rsidRDefault="009B1B4B">
      <w:pPr>
        <w:spacing w:after="140"/>
      </w:pPr>
      <w:r>
        <w:t>US-Größen weichen von deutschen ab und schwanken zusätzlich je Marke (</w:t>
      </w:r>
      <w:r>
        <w:rPr>
          <w:i/>
          <w:iCs/>
        </w:rPr>
        <w:t>Vanity Sizing</w:t>
      </w:r>
      <w:r>
        <w:t>). Die folgenden Tabellen sind Näherungswerte; maßgeblich bleibt die Maßtabelle der Marke, bei der du kaufst (ausführlich: Kapitel </w:t>
      </w:r>
      <w:hyperlink w:anchor="k34" w:history="1">
        <w:r>
          <w:t>34</w:t>
        </w:r>
      </w:hyperlink>
      <w:r>
        <w:t>).</w:t>
      </w:r>
    </w:p>
    <w:p w14:paraId="70A50F5B" w14:textId="77777777" w:rsidR="00C1548D" w:rsidRDefault="009B1B4B">
      <w:pPr>
        <w:spacing w:after="140"/>
      </w:pPr>
      <w:r>
        <w:rPr>
          <w:b/>
          <w:bCs/>
        </w:rPr>
        <w:t>Damen</w:t>
      </w:r>
      <w:r>
        <w:t xml:space="preserve"> (Faustformel: US-Größe plus 30 ergibt die deutsche Größe; in Frankreich und Italien fallen die Zahlen höher aus)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160"/>
        <w:gridCol w:w="2160"/>
      </w:tblGrid>
      <w:tr w:rsidR="00C1548D" w14:paraId="70A50F5F" w14:textId="77777777">
        <w:tblPrEx>
          <w:tblCellMar>
            <w:top w:w="0" w:type="dxa"/>
            <w:bottom w:w="0" w:type="dxa"/>
          </w:tblCellMar>
        </w:tblPrEx>
        <w:trPr>
          <w:cantSplit/>
          <w:tblHeader/>
        </w:trPr>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5C" w14:textId="77777777" w:rsidR="00C1548D" w:rsidRDefault="009B1B4B">
            <w:pPr>
              <w:spacing w:line="250" w:lineRule="auto"/>
            </w:pPr>
            <w:r>
              <w:rPr>
                <w:b/>
                <w:bCs/>
                <w:sz w:val="18"/>
                <w:szCs w:val="18"/>
              </w:rPr>
              <w:t>US</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5D" w14:textId="77777777" w:rsidR="00C1548D" w:rsidRDefault="009B1B4B">
            <w:pPr>
              <w:spacing w:line="250" w:lineRule="auto"/>
            </w:pPr>
            <w:r>
              <w:rPr>
                <w:b/>
                <w:bCs/>
                <w:sz w:val="18"/>
                <w:szCs w:val="18"/>
              </w:rPr>
              <w:t>Deutschland</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5E" w14:textId="77777777" w:rsidR="00C1548D" w:rsidRDefault="009B1B4B">
            <w:pPr>
              <w:spacing w:line="250" w:lineRule="auto"/>
            </w:pPr>
            <w:r>
              <w:rPr>
                <w:b/>
                <w:bCs/>
                <w:sz w:val="18"/>
                <w:szCs w:val="18"/>
              </w:rPr>
              <w:t>Buchstabe (US-Handel)</w:t>
            </w:r>
          </w:p>
        </w:tc>
      </w:tr>
      <w:tr w:rsidR="00C1548D" w14:paraId="70A50F63"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0" w14:textId="77777777" w:rsidR="00C1548D" w:rsidRDefault="009B1B4B">
            <w:pPr>
              <w:spacing w:line="250" w:lineRule="auto"/>
            </w:pPr>
            <w:r>
              <w:rPr>
                <w:sz w:val="18"/>
                <w:szCs w:val="18"/>
              </w:rPr>
              <w:t>0–2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1" w14:textId="77777777" w:rsidR="00C1548D" w:rsidRDefault="009B1B4B">
            <w:pPr>
              <w:spacing w:line="250" w:lineRule="auto"/>
            </w:pPr>
            <w:r>
              <w:rPr>
                <w:sz w:val="18"/>
                <w:szCs w:val="18"/>
              </w:rPr>
              <w:t>30–32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2" w14:textId="77777777" w:rsidR="00C1548D" w:rsidRDefault="009B1B4B">
            <w:pPr>
              <w:spacing w:line="250" w:lineRule="auto"/>
            </w:pPr>
            <w:r>
              <w:rPr>
                <w:sz w:val="18"/>
                <w:szCs w:val="18"/>
              </w:rPr>
              <w:t>XS</w:t>
            </w:r>
          </w:p>
        </w:tc>
      </w:tr>
      <w:tr w:rsidR="00C1548D" w14:paraId="70A50F67"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4" w14:textId="77777777" w:rsidR="00C1548D" w:rsidRDefault="009B1B4B">
            <w:pPr>
              <w:spacing w:line="250" w:lineRule="auto"/>
            </w:pPr>
            <w:r>
              <w:rPr>
                <w:sz w:val="18"/>
                <w:szCs w:val="18"/>
              </w:rPr>
              <w:t>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5" w14:textId="77777777" w:rsidR="00C1548D" w:rsidRDefault="009B1B4B">
            <w:pPr>
              <w:spacing w:line="250" w:lineRule="auto"/>
            </w:pPr>
            <w:r>
              <w:rPr>
                <w:sz w:val="18"/>
                <w:szCs w:val="18"/>
              </w:rPr>
              <w:t>34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6" w14:textId="77777777" w:rsidR="00C1548D" w:rsidRDefault="009B1B4B">
            <w:pPr>
              <w:spacing w:line="250" w:lineRule="auto"/>
            </w:pPr>
            <w:r>
              <w:rPr>
                <w:sz w:val="18"/>
                <w:szCs w:val="18"/>
              </w:rPr>
              <w:t>S</w:t>
            </w:r>
          </w:p>
        </w:tc>
      </w:tr>
      <w:tr w:rsidR="00C1548D" w14:paraId="70A50F6B"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8" w14:textId="77777777" w:rsidR="00C1548D" w:rsidRDefault="009B1B4B">
            <w:pPr>
              <w:spacing w:line="250" w:lineRule="auto"/>
            </w:pPr>
            <w:r>
              <w:rPr>
                <w:sz w:val="18"/>
                <w:szCs w:val="18"/>
              </w:rPr>
              <w:t>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9" w14:textId="77777777" w:rsidR="00C1548D" w:rsidRDefault="009B1B4B">
            <w:pPr>
              <w:spacing w:line="250" w:lineRule="auto"/>
            </w:pPr>
            <w:r>
              <w:rPr>
                <w:sz w:val="18"/>
                <w:szCs w:val="18"/>
              </w:rPr>
              <w:t>36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A" w14:textId="77777777" w:rsidR="00C1548D" w:rsidRDefault="009B1B4B">
            <w:pPr>
              <w:spacing w:line="250" w:lineRule="auto"/>
            </w:pPr>
            <w:r>
              <w:rPr>
                <w:sz w:val="18"/>
                <w:szCs w:val="18"/>
              </w:rPr>
              <w:t>S</w:t>
            </w:r>
          </w:p>
        </w:tc>
      </w:tr>
      <w:tr w:rsidR="00C1548D" w14:paraId="70A50F6F"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C" w14:textId="77777777" w:rsidR="00C1548D" w:rsidRDefault="009B1B4B">
            <w:pPr>
              <w:spacing w:line="250" w:lineRule="auto"/>
            </w:pPr>
            <w:r>
              <w:rPr>
                <w:sz w:val="18"/>
                <w:szCs w:val="18"/>
              </w:rPr>
              <w:t>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D" w14:textId="77777777" w:rsidR="00C1548D" w:rsidRDefault="009B1B4B">
            <w:pPr>
              <w:spacing w:line="250" w:lineRule="auto"/>
            </w:pPr>
            <w:r>
              <w:rPr>
                <w:sz w:val="18"/>
                <w:szCs w:val="18"/>
              </w:rPr>
              <w:t>38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6E" w14:textId="77777777" w:rsidR="00C1548D" w:rsidRDefault="009B1B4B">
            <w:pPr>
              <w:spacing w:line="250" w:lineRule="auto"/>
            </w:pPr>
            <w:r>
              <w:rPr>
                <w:sz w:val="18"/>
                <w:szCs w:val="18"/>
              </w:rPr>
              <w:t>M</w:t>
            </w:r>
          </w:p>
        </w:tc>
      </w:tr>
      <w:tr w:rsidR="00C1548D" w14:paraId="70A50F73"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0" w14:textId="77777777" w:rsidR="00C1548D" w:rsidRDefault="009B1B4B">
            <w:pPr>
              <w:spacing w:line="250" w:lineRule="auto"/>
            </w:pPr>
            <w:r>
              <w:rPr>
                <w:sz w:val="18"/>
                <w:szCs w:val="18"/>
              </w:rPr>
              <w:t>10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1" w14:textId="77777777" w:rsidR="00C1548D" w:rsidRDefault="009B1B4B">
            <w:pPr>
              <w:spacing w:line="250" w:lineRule="auto"/>
            </w:pPr>
            <w:r>
              <w:rPr>
                <w:sz w:val="18"/>
                <w:szCs w:val="18"/>
              </w:rPr>
              <w:t>40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2" w14:textId="77777777" w:rsidR="00C1548D" w:rsidRDefault="009B1B4B">
            <w:pPr>
              <w:spacing w:line="250" w:lineRule="auto"/>
            </w:pPr>
            <w:r>
              <w:rPr>
                <w:sz w:val="18"/>
                <w:szCs w:val="18"/>
              </w:rPr>
              <w:t>M</w:t>
            </w:r>
          </w:p>
        </w:tc>
      </w:tr>
      <w:tr w:rsidR="00C1548D" w14:paraId="70A50F77"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4" w14:textId="77777777" w:rsidR="00C1548D" w:rsidRDefault="009B1B4B">
            <w:pPr>
              <w:spacing w:line="250" w:lineRule="auto"/>
            </w:pPr>
            <w:r>
              <w:rPr>
                <w:sz w:val="18"/>
                <w:szCs w:val="18"/>
              </w:rPr>
              <w:t>12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5" w14:textId="77777777" w:rsidR="00C1548D" w:rsidRDefault="009B1B4B">
            <w:pPr>
              <w:spacing w:line="250" w:lineRule="auto"/>
            </w:pPr>
            <w:r>
              <w:rPr>
                <w:sz w:val="18"/>
                <w:szCs w:val="18"/>
              </w:rPr>
              <w:t>42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6" w14:textId="77777777" w:rsidR="00C1548D" w:rsidRDefault="009B1B4B">
            <w:pPr>
              <w:spacing w:line="250" w:lineRule="auto"/>
            </w:pPr>
            <w:r>
              <w:rPr>
                <w:sz w:val="18"/>
                <w:szCs w:val="18"/>
              </w:rPr>
              <w:t>L</w:t>
            </w:r>
          </w:p>
        </w:tc>
      </w:tr>
      <w:tr w:rsidR="00C1548D" w14:paraId="70A50F7B"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8" w14:textId="77777777" w:rsidR="00C1548D" w:rsidRDefault="009B1B4B">
            <w:pPr>
              <w:spacing w:line="250" w:lineRule="auto"/>
            </w:pPr>
            <w:r>
              <w:rPr>
                <w:sz w:val="18"/>
                <w:szCs w:val="18"/>
              </w:rPr>
              <w:t>14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9" w14:textId="77777777" w:rsidR="00C1548D" w:rsidRDefault="009B1B4B">
            <w:pPr>
              <w:spacing w:line="250" w:lineRule="auto"/>
            </w:pPr>
            <w:r>
              <w:rPr>
                <w:sz w:val="18"/>
                <w:szCs w:val="18"/>
              </w:rPr>
              <w:t>44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A" w14:textId="77777777" w:rsidR="00C1548D" w:rsidRDefault="009B1B4B">
            <w:pPr>
              <w:spacing w:line="250" w:lineRule="auto"/>
            </w:pPr>
            <w:r>
              <w:rPr>
                <w:sz w:val="18"/>
                <w:szCs w:val="18"/>
              </w:rPr>
              <w:t>L</w:t>
            </w:r>
          </w:p>
        </w:tc>
      </w:tr>
      <w:tr w:rsidR="00C1548D" w14:paraId="70A50F7F"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C" w14:textId="77777777" w:rsidR="00C1548D" w:rsidRDefault="009B1B4B">
            <w:pPr>
              <w:spacing w:line="250" w:lineRule="auto"/>
            </w:pPr>
            <w:r>
              <w:rPr>
                <w:sz w:val="18"/>
                <w:szCs w:val="18"/>
              </w:rPr>
              <w:t>16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D" w14:textId="77777777" w:rsidR="00C1548D" w:rsidRDefault="009B1B4B">
            <w:pPr>
              <w:spacing w:line="250" w:lineRule="auto"/>
            </w:pPr>
            <w:r>
              <w:rPr>
                <w:sz w:val="18"/>
                <w:szCs w:val="18"/>
              </w:rPr>
              <w:t>46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7E" w14:textId="77777777" w:rsidR="00C1548D" w:rsidRDefault="009B1B4B">
            <w:pPr>
              <w:spacing w:line="250" w:lineRule="auto"/>
            </w:pPr>
            <w:r>
              <w:rPr>
                <w:sz w:val="18"/>
                <w:szCs w:val="18"/>
              </w:rPr>
              <w:t>XL</w:t>
            </w:r>
          </w:p>
        </w:tc>
      </w:tr>
    </w:tbl>
    <w:p w14:paraId="70A50F80" w14:textId="77777777" w:rsidR="00C1548D" w:rsidRDefault="00C1548D">
      <w:pPr>
        <w:spacing w:line="180" w:lineRule="exact"/>
      </w:pPr>
    </w:p>
    <w:p w14:paraId="70A50F81" w14:textId="77777777" w:rsidR="00C1548D" w:rsidRDefault="009B1B4B">
      <w:pPr>
        <w:spacing w:after="140"/>
      </w:pPr>
      <w:r>
        <w:rPr>
          <w:b/>
          <w:bCs/>
        </w:rPr>
        <w:t>Herren</w:t>
      </w:r>
      <w:r>
        <w:t xml:space="preserve"> (Anzüge und Jacken nach Brustumfang, Hemden nach Kragenweite, Jeans nach Bundweite/Schrittlänge, jeweils in Zoll)</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18"/>
        <w:gridCol w:w="2534"/>
        <w:gridCol w:w="2628"/>
      </w:tblGrid>
      <w:tr w:rsidR="00C1548D" w14:paraId="70A50F85" w14:textId="77777777">
        <w:tblPrEx>
          <w:tblCellMar>
            <w:top w:w="0" w:type="dxa"/>
            <w:bottom w:w="0" w:type="dxa"/>
          </w:tblCellMar>
        </w:tblPrEx>
        <w:trPr>
          <w:cantSplit/>
          <w:tblHeader/>
        </w:trPr>
        <w:tc>
          <w:tcPr>
            <w:tcW w:w="131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82" w14:textId="77777777" w:rsidR="00C1548D" w:rsidRDefault="009B1B4B">
            <w:pPr>
              <w:spacing w:line="250" w:lineRule="auto"/>
            </w:pPr>
            <w:r>
              <w:rPr>
                <w:b/>
                <w:bCs/>
                <w:sz w:val="18"/>
                <w:szCs w:val="18"/>
              </w:rPr>
              <w:t>Herren</w:t>
            </w:r>
          </w:p>
        </w:tc>
        <w:tc>
          <w:tcPr>
            <w:tcW w:w="253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83" w14:textId="77777777" w:rsidR="00C1548D" w:rsidRDefault="009B1B4B">
            <w:pPr>
              <w:spacing w:line="250" w:lineRule="auto"/>
            </w:pPr>
            <w:r>
              <w:rPr>
                <w:b/>
                <w:bCs/>
                <w:sz w:val="18"/>
                <w:szCs w:val="18"/>
              </w:rPr>
              <w:t>Deutschland</w:t>
            </w:r>
          </w:p>
        </w:tc>
        <w:tc>
          <w:tcPr>
            <w:tcW w:w="26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84" w14:textId="77777777" w:rsidR="00C1548D" w:rsidRDefault="009B1B4B">
            <w:pPr>
              <w:spacing w:line="250" w:lineRule="auto"/>
            </w:pPr>
            <w:r>
              <w:rPr>
                <w:b/>
                <w:bCs/>
                <w:sz w:val="18"/>
                <w:szCs w:val="18"/>
              </w:rPr>
              <w:t>USA</w:t>
            </w:r>
          </w:p>
        </w:tc>
      </w:tr>
      <w:tr w:rsidR="00C1548D" w14:paraId="70A50F89" w14:textId="77777777">
        <w:tblPrEx>
          <w:tblCellMar>
            <w:top w:w="0" w:type="dxa"/>
            <w:bottom w:w="0" w:type="dxa"/>
          </w:tblCellMar>
        </w:tblPrEx>
        <w:trPr>
          <w:cantSplit/>
        </w:trPr>
        <w:tc>
          <w:tcPr>
            <w:tcW w:w="13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86" w14:textId="77777777" w:rsidR="00C1548D" w:rsidRDefault="009B1B4B">
            <w:pPr>
              <w:spacing w:line="250" w:lineRule="auto"/>
            </w:pPr>
            <w:r>
              <w:rPr>
                <w:sz w:val="18"/>
                <w:szCs w:val="18"/>
              </w:rPr>
              <w:t>Anzug, Sakko</w:t>
            </w:r>
          </w:p>
        </w:tc>
        <w:tc>
          <w:tcPr>
            <w:tcW w:w="25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87" w14:textId="77777777" w:rsidR="00C1548D" w:rsidRDefault="009B1B4B">
            <w:pPr>
              <w:spacing w:line="250" w:lineRule="auto"/>
            </w:pPr>
            <w:r>
              <w:rPr>
                <w:sz w:val="18"/>
                <w:szCs w:val="18"/>
              </w:rPr>
              <w:t>46 / 48 / 50 / 52 / 54</w:t>
            </w:r>
          </w:p>
        </w:tc>
        <w:tc>
          <w:tcPr>
            <w:tcW w:w="26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88" w14:textId="77777777" w:rsidR="00C1548D" w:rsidRDefault="009B1B4B">
            <w:pPr>
              <w:spacing w:line="250" w:lineRule="auto"/>
            </w:pPr>
            <w:r>
              <w:rPr>
                <w:sz w:val="18"/>
                <w:szCs w:val="18"/>
              </w:rPr>
              <w:t>36 / 38 / 40 / 42 / 44</w:t>
            </w:r>
          </w:p>
        </w:tc>
      </w:tr>
      <w:tr w:rsidR="00C1548D" w14:paraId="70A50F8D" w14:textId="77777777">
        <w:tblPrEx>
          <w:tblCellMar>
            <w:top w:w="0" w:type="dxa"/>
            <w:bottom w:w="0" w:type="dxa"/>
          </w:tblCellMar>
        </w:tblPrEx>
        <w:trPr>
          <w:cantSplit/>
        </w:trPr>
        <w:tc>
          <w:tcPr>
            <w:tcW w:w="13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8A" w14:textId="77777777" w:rsidR="00C1548D" w:rsidRDefault="009B1B4B">
            <w:pPr>
              <w:spacing w:line="250" w:lineRule="auto"/>
            </w:pPr>
            <w:r>
              <w:rPr>
                <w:sz w:val="18"/>
                <w:szCs w:val="18"/>
              </w:rPr>
              <w:t>Hemdkragen</w:t>
            </w:r>
          </w:p>
        </w:tc>
        <w:tc>
          <w:tcPr>
            <w:tcW w:w="25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8B" w14:textId="77777777" w:rsidR="00C1548D" w:rsidRDefault="009B1B4B">
            <w:pPr>
              <w:spacing w:line="250" w:lineRule="auto"/>
            </w:pPr>
            <w:r>
              <w:rPr>
                <w:sz w:val="18"/>
                <w:szCs w:val="18"/>
              </w:rPr>
              <w:t>38 / 40 / 42 / 44 cm</w:t>
            </w:r>
          </w:p>
        </w:tc>
        <w:tc>
          <w:tcPr>
            <w:tcW w:w="26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8C" w14:textId="77777777" w:rsidR="00C1548D" w:rsidRDefault="009B1B4B">
            <w:pPr>
              <w:spacing w:line="250" w:lineRule="auto"/>
            </w:pPr>
            <w:r>
              <w:rPr>
                <w:sz w:val="18"/>
                <w:szCs w:val="18"/>
              </w:rPr>
              <w:t>15 / 15¾ / 16½ / 17½ Zoll</w:t>
            </w:r>
          </w:p>
        </w:tc>
      </w:tr>
      <w:tr w:rsidR="00C1548D" w14:paraId="70A50F91" w14:textId="77777777">
        <w:tblPrEx>
          <w:tblCellMar>
            <w:top w:w="0" w:type="dxa"/>
            <w:bottom w:w="0" w:type="dxa"/>
          </w:tblCellMar>
        </w:tblPrEx>
        <w:trPr>
          <w:cantSplit/>
        </w:trPr>
        <w:tc>
          <w:tcPr>
            <w:tcW w:w="13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8E" w14:textId="77777777" w:rsidR="00C1548D" w:rsidRDefault="009B1B4B">
            <w:pPr>
              <w:spacing w:line="250" w:lineRule="auto"/>
            </w:pPr>
            <w:r>
              <w:rPr>
                <w:sz w:val="18"/>
                <w:szCs w:val="18"/>
              </w:rPr>
              <w:t>Hosenbund</w:t>
            </w:r>
          </w:p>
        </w:tc>
        <w:tc>
          <w:tcPr>
            <w:tcW w:w="25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8F" w14:textId="77777777" w:rsidR="00C1548D" w:rsidRDefault="009B1B4B">
            <w:pPr>
              <w:spacing w:line="250" w:lineRule="auto"/>
            </w:pPr>
            <w:r>
              <w:rPr>
                <w:sz w:val="18"/>
                <w:szCs w:val="18"/>
              </w:rPr>
              <w:t>76 / 81 / 86 / 91 cm</w:t>
            </w:r>
          </w:p>
        </w:tc>
        <w:tc>
          <w:tcPr>
            <w:tcW w:w="26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90" w14:textId="77777777" w:rsidR="00C1548D" w:rsidRDefault="009B1B4B">
            <w:pPr>
              <w:spacing w:line="250" w:lineRule="auto"/>
            </w:pPr>
            <w:r>
              <w:rPr>
                <w:sz w:val="18"/>
                <w:szCs w:val="18"/>
              </w:rPr>
              <w:t>30 / 32 / 34 / 36 Zoll</w:t>
            </w:r>
          </w:p>
        </w:tc>
      </w:tr>
    </w:tbl>
    <w:p w14:paraId="70A50F92" w14:textId="77777777" w:rsidR="00C1548D" w:rsidRDefault="00C1548D">
      <w:pPr>
        <w:spacing w:line="180" w:lineRule="exact"/>
      </w:pPr>
    </w:p>
    <w:p w14:paraId="70A50F93" w14:textId="77777777" w:rsidR="00C1548D" w:rsidRDefault="009B1B4B">
      <w:pPr>
        <w:spacing w:after="140"/>
      </w:pPr>
      <w:r>
        <w:rPr>
          <w:b/>
          <w:bCs/>
        </w:rPr>
        <w:t>Kinder</w:t>
      </w:r>
      <w:r>
        <w:t xml:space="preserve"> (US-Größe folgt grob dem Lebensjahr; „T“ steht für </w:t>
      </w:r>
      <w:r>
        <w:rPr>
          <w:i/>
          <w:iCs/>
        </w:rPr>
        <w:t>Toddler</w:t>
      </w:r>
      <w:r>
        <w:t>, Kleinkind)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160"/>
        <w:gridCol w:w="2160"/>
      </w:tblGrid>
      <w:tr w:rsidR="00C1548D" w14:paraId="70A50F97" w14:textId="77777777">
        <w:tblPrEx>
          <w:tblCellMar>
            <w:top w:w="0" w:type="dxa"/>
            <w:bottom w:w="0" w:type="dxa"/>
          </w:tblCellMar>
        </w:tblPrEx>
        <w:trPr>
          <w:cantSplit/>
          <w:tblHeader/>
        </w:trPr>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94" w14:textId="77777777" w:rsidR="00C1548D" w:rsidRDefault="009B1B4B">
            <w:pPr>
              <w:spacing w:line="250" w:lineRule="auto"/>
            </w:pPr>
            <w:r>
              <w:rPr>
                <w:b/>
                <w:bCs/>
                <w:sz w:val="18"/>
                <w:szCs w:val="18"/>
              </w:rPr>
              <w:lastRenderedPageBreak/>
              <w:t>Deutschland (cm)</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95" w14:textId="77777777" w:rsidR="00C1548D" w:rsidRDefault="009B1B4B">
            <w:pPr>
              <w:spacing w:line="250" w:lineRule="auto"/>
            </w:pPr>
            <w:r>
              <w:rPr>
                <w:b/>
                <w:bCs/>
                <w:sz w:val="18"/>
                <w:szCs w:val="18"/>
              </w:rPr>
              <w:t>US-Größe</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96" w14:textId="77777777" w:rsidR="00C1548D" w:rsidRDefault="009B1B4B">
            <w:pPr>
              <w:spacing w:line="250" w:lineRule="auto"/>
            </w:pPr>
            <w:r>
              <w:rPr>
                <w:b/>
                <w:bCs/>
                <w:sz w:val="18"/>
                <w:szCs w:val="18"/>
              </w:rPr>
              <w:t>Jahre (ca.)</w:t>
            </w:r>
          </w:p>
        </w:tc>
      </w:tr>
      <w:tr w:rsidR="00C1548D" w14:paraId="70A50F9B"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98" w14:textId="77777777" w:rsidR="00C1548D" w:rsidRDefault="009B1B4B">
            <w:pPr>
              <w:spacing w:line="250" w:lineRule="auto"/>
            </w:pPr>
            <w:r>
              <w:rPr>
                <w:sz w:val="18"/>
                <w:szCs w:val="18"/>
              </w:rPr>
              <w:t>92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99" w14:textId="77777777" w:rsidR="00C1548D" w:rsidRDefault="009B1B4B">
            <w:pPr>
              <w:spacing w:line="250" w:lineRule="auto"/>
            </w:pPr>
            <w:r>
              <w:rPr>
                <w:sz w:val="18"/>
                <w:szCs w:val="18"/>
              </w:rPr>
              <w:t>2T</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9A" w14:textId="77777777" w:rsidR="00C1548D" w:rsidRDefault="009B1B4B">
            <w:pPr>
              <w:spacing w:line="250" w:lineRule="auto"/>
            </w:pPr>
            <w:r>
              <w:rPr>
                <w:sz w:val="18"/>
                <w:szCs w:val="18"/>
              </w:rPr>
              <w:t>2</w:t>
            </w:r>
          </w:p>
        </w:tc>
      </w:tr>
      <w:tr w:rsidR="00C1548D" w14:paraId="70A50F9F"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9C" w14:textId="77777777" w:rsidR="00C1548D" w:rsidRDefault="009B1B4B">
            <w:pPr>
              <w:spacing w:line="250" w:lineRule="auto"/>
            </w:pPr>
            <w:r>
              <w:rPr>
                <w:sz w:val="18"/>
                <w:szCs w:val="18"/>
              </w:rPr>
              <w:t>104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9D" w14:textId="77777777" w:rsidR="00C1548D" w:rsidRDefault="009B1B4B">
            <w:pPr>
              <w:spacing w:line="250" w:lineRule="auto"/>
            </w:pPr>
            <w:r>
              <w:rPr>
                <w:sz w:val="18"/>
                <w:szCs w:val="18"/>
              </w:rPr>
              <w:t>4T</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9E" w14:textId="77777777" w:rsidR="00C1548D" w:rsidRDefault="009B1B4B">
            <w:pPr>
              <w:spacing w:line="250" w:lineRule="auto"/>
            </w:pPr>
            <w:r>
              <w:rPr>
                <w:sz w:val="18"/>
                <w:szCs w:val="18"/>
              </w:rPr>
              <w:t>4</w:t>
            </w:r>
          </w:p>
        </w:tc>
      </w:tr>
      <w:tr w:rsidR="00C1548D" w14:paraId="70A50FA3"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0" w14:textId="77777777" w:rsidR="00C1548D" w:rsidRDefault="009B1B4B">
            <w:pPr>
              <w:spacing w:line="250" w:lineRule="auto"/>
            </w:pPr>
            <w:r>
              <w:rPr>
                <w:sz w:val="18"/>
                <w:szCs w:val="18"/>
              </w:rPr>
              <w:t>116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1" w14:textId="77777777" w:rsidR="00C1548D" w:rsidRDefault="009B1B4B">
            <w:pPr>
              <w:spacing w:line="250" w:lineRule="auto"/>
            </w:pPr>
            <w:r>
              <w:rPr>
                <w:sz w:val="18"/>
                <w:szCs w:val="18"/>
              </w:rPr>
              <w:t>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2" w14:textId="77777777" w:rsidR="00C1548D" w:rsidRDefault="009B1B4B">
            <w:pPr>
              <w:spacing w:line="250" w:lineRule="auto"/>
            </w:pPr>
            <w:r>
              <w:rPr>
                <w:sz w:val="18"/>
                <w:szCs w:val="18"/>
              </w:rPr>
              <w:t>6</w:t>
            </w:r>
          </w:p>
        </w:tc>
      </w:tr>
      <w:tr w:rsidR="00C1548D" w14:paraId="70A50FA7"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4" w14:textId="77777777" w:rsidR="00C1548D" w:rsidRDefault="009B1B4B">
            <w:pPr>
              <w:spacing w:line="250" w:lineRule="auto"/>
            </w:pPr>
            <w:r>
              <w:rPr>
                <w:sz w:val="18"/>
                <w:szCs w:val="18"/>
              </w:rPr>
              <w:t>128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5" w14:textId="77777777" w:rsidR="00C1548D" w:rsidRDefault="009B1B4B">
            <w:pPr>
              <w:spacing w:line="250" w:lineRule="auto"/>
            </w:pPr>
            <w:r>
              <w:rPr>
                <w:sz w:val="18"/>
                <w:szCs w:val="18"/>
              </w:rPr>
              <w:t>7</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6" w14:textId="77777777" w:rsidR="00C1548D" w:rsidRDefault="009B1B4B">
            <w:pPr>
              <w:spacing w:line="250" w:lineRule="auto"/>
            </w:pPr>
            <w:r>
              <w:rPr>
                <w:sz w:val="18"/>
                <w:szCs w:val="18"/>
              </w:rPr>
              <w:t>7</w:t>
            </w:r>
          </w:p>
        </w:tc>
      </w:tr>
      <w:tr w:rsidR="00C1548D" w14:paraId="70A50FAB"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8" w14:textId="77777777" w:rsidR="00C1548D" w:rsidRDefault="009B1B4B">
            <w:pPr>
              <w:spacing w:line="250" w:lineRule="auto"/>
            </w:pPr>
            <w:r>
              <w:rPr>
                <w:sz w:val="18"/>
                <w:szCs w:val="18"/>
              </w:rPr>
              <w:t>140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9" w14:textId="77777777" w:rsidR="00C1548D" w:rsidRDefault="009B1B4B">
            <w:pPr>
              <w:spacing w:line="250" w:lineRule="auto"/>
            </w:pPr>
            <w:r>
              <w:rPr>
                <w:sz w:val="18"/>
                <w:szCs w:val="18"/>
              </w:rPr>
              <w:t>10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A" w14:textId="77777777" w:rsidR="00C1548D" w:rsidRDefault="009B1B4B">
            <w:pPr>
              <w:spacing w:line="250" w:lineRule="auto"/>
            </w:pPr>
            <w:r>
              <w:rPr>
                <w:sz w:val="18"/>
                <w:szCs w:val="18"/>
              </w:rPr>
              <w:t>10</w:t>
            </w:r>
          </w:p>
        </w:tc>
      </w:tr>
      <w:tr w:rsidR="00C1548D" w14:paraId="70A50FAF"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C" w14:textId="77777777" w:rsidR="00C1548D" w:rsidRDefault="009B1B4B">
            <w:pPr>
              <w:spacing w:line="250" w:lineRule="auto"/>
            </w:pPr>
            <w:r>
              <w:rPr>
                <w:sz w:val="18"/>
                <w:szCs w:val="18"/>
              </w:rPr>
              <w:t>152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D" w14:textId="77777777" w:rsidR="00C1548D" w:rsidRDefault="009B1B4B">
            <w:pPr>
              <w:spacing w:line="250" w:lineRule="auto"/>
            </w:pPr>
            <w:r>
              <w:rPr>
                <w:sz w:val="18"/>
                <w:szCs w:val="18"/>
              </w:rPr>
              <w:t>14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AE" w14:textId="77777777" w:rsidR="00C1548D" w:rsidRDefault="009B1B4B">
            <w:pPr>
              <w:spacing w:line="250" w:lineRule="auto"/>
            </w:pPr>
            <w:r>
              <w:rPr>
                <w:sz w:val="18"/>
                <w:szCs w:val="18"/>
              </w:rPr>
              <w:t>14</w:t>
            </w:r>
          </w:p>
        </w:tc>
      </w:tr>
    </w:tbl>
    <w:p w14:paraId="70A50FB0" w14:textId="77777777" w:rsidR="00C1548D" w:rsidRDefault="00C1548D">
      <w:pPr>
        <w:spacing w:line="180" w:lineRule="exact"/>
      </w:pPr>
    </w:p>
    <w:p w14:paraId="70A50FB1" w14:textId="77777777" w:rsidR="00C1548D" w:rsidRDefault="009B1B4B">
      <w:pPr>
        <w:spacing w:after="140"/>
      </w:pPr>
      <w:r>
        <w:rPr>
          <w:b/>
          <w:bCs/>
        </w:rPr>
        <w:t>Schuhe</w:t>
      </w:r>
      <w:r>
        <w:t xml:space="preserve"> (Damen- und Herrengrößen laufen getrennt)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160"/>
        <w:gridCol w:w="2160"/>
      </w:tblGrid>
      <w:tr w:rsidR="00C1548D" w14:paraId="70A50FB5" w14:textId="77777777">
        <w:tblPrEx>
          <w:tblCellMar>
            <w:top w:w="0" w:type="dxa"/>
            <w:bottom w:w="0" w:type="dxa"/>
          </w:tblCellMar>
        </w:tblPrEx>
        <w:trPr>
          <w:cantSplit/>
          <w:tblHeader/>
        </w:trPr>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B2" w14:textId="77777777" w:rsidR="00C1548D" w:rsidRDefault="009B1B4B">
            <w:pPr>
              <w:spacing w:line="250" w:lineRule="auto"/>
            </w:pPr>
            <w:r>
              <w:rPr>
                <w:b/>
                <w:bCs/>
                <w:sz w:val="18"/>
                <w:szCs w:val="18"/>
              </w:rPr>
              <w:t>EU</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B3" w14:textId="77777777" w:rsidR="00C1548D" w:rsidRDefault="009B1B4B">
            <w:pPr>
              <w:spacing w:line="250" w:lineRule="auto"/>
            </w:pPr>
            <w:r>
              <w:rPr>
                <w:b/>
                <w:bCs/>
                <w:sz w:val="18"/>
                <w:szCs w:val="18"/>
              </w:rPr>
              <w:t>US Damen</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B4" w14:textId="77777777" w:rsidR="00C1548D" w:rsidRDefault="009B1B4B">
            <w:pPr>
              <w:spacing w:line="250" w:lineRule="auto"/>
            </w:pPr>
            <w:r>
              <w:rPr>
                <w:b/>
                <w:bCs/>
                <w:sz w:val="18"/>
                <w:szCs w:val="18"/>
              </w:rPr>
              <w:t>US Herren</w:t>
            </w:r>
          </w:p>
        </w:tc>
      </w:tr>
      <w:tr w:rsidR="00C1548D" w14:paraId="70A50FB9"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B6" w14:textId="77777777" w:rsidR="00C1548D" w:rsidRDefault="009B1B4B">
            <w:pPr>
              <w:spacing w:line="250" w:lineRule="auto"/>
            </w:pPr>
            <w:r>
              <w:rPr>
                <w:sz w:val="18"/>
                <w:szCs w:val="18"/>
              </w:rPr>
              <w:t>38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B7" w14:textId="77777777" w:rsidR="00C1548D" w:rsidRDefault="009B1B4B">
            <w:pPr>
              <w:spacing w:line="250" w:lineRule="auto"/>
            </w:pPr>
            <w:r>
              <w:rPr>
                <w:sz w:val="18"/>
                <w:szCs w:val="18"/>
              </w:rPr>
              <w:t>7</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B8" w14:textId="77777777" w:rsidR="00C1548D" w:rsidRDefault="009B1B4B">
            <w:pPr>
              <w:spacing w:line="250" w:lineRule="auto"/>
            </w:pPr>
            <w:r>
              <w:rPr>
                <w:sz w:val="18"/>
                <w:szCs w:val="18"/>
              </w:rPr>
              <w:t>5,5</w:t>
            </w:r>
          </w:p>
        </w:tc>
      </w:tr>
      <w:tr w:rsidR="00C1548D" w14:paraId="70A50FBD"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BA" w14:textId="77777777" w:rsidR="00C1548D" w:rsidRDefault="009B1B4B">
            <w:pPr>
              <w:spacing w:line="250" w:lineRule="auto"/>
            </w:pPr>
            <w:r>
              <w:rPr>
                <w:sz w:val="18"/>
                <w:szCs w:val="18"/>
              </w:rPr>
              <w:t>39</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BB" w14:textId="77777777" w:rsidR="00C1548D" w:rsidRDefault="009B1B4B">
            <w:pPr>
              <w:spacing w:line="250" w:lineRule="auto"/>
            </w:pPr>
            <w:r>
              <w:rPr>
                <w:sz w:val="18"/>
                <w:szCs w:val="18"/>
              </w:rPr>
              <w:t>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BC" w14:textId="77777777" w:rsidR="00C1548D" w:rsidRDefault="009B1B4B">
            <w:pPr>
              <w:spacing w:line="250" w:lineRule="auto"/>
            </w:pPr>
            <w:r>
              <w:rPr>
                <w:sz w:val="18"/>
                <w:szCs w:val="18"/>
              </w:rPr>
              <w:t>6,5</w:t>
            </w:r>
          </w:p>
        </w:tc>
      </w:tr>
      <w:tr w:rsidR="00C1548D" w14:paraId="70A50FC1"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BE" w14:textId="77777777" w:rsidR="00C1548D" w:rsidRDefault="009B1B4B">
            <w:pPr>
              <w:spacing w:line="250" w:lineRule="auto"/>
            </w:pPr>
            <w:r>
              <w:rPr>
                <w:sz w:val="18"/>
                <w:szCs w:val="18"/>
              </w:rPr>
              <w:t>40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BF" w14:textId="77777777" w:rsidR="00C1548D" w:rsidRDefault="009B1B4B">
            <w:pPr>
              <w:spacing w:line="250" w:lineRule="auto"/>
            </w:pPr>
            <w:r>
              <w:rPr>
                <w:sz w:val="18"/>
                <w:szCs w:val="18"/>
              </w:rPr>
              <w:t>8,5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0" w14:textId="77777777" w:rsidR="00C1548D" w:rsidRDefault="009B1B4B">
            <w:pPr>
              <w:spacing w:line="250" w:lineRule="auto"/>
            </w:pPr>
            <w:r>
              <w:rPr>
                <w:sz w:val="18"/>
                <w:szCs w:val="18"/>
              </w:rPr>
              <w:t>7</w:t>
            </w:r>
          </w:p>
        </w:tc>
      </w:tr>
      <w:tr w:rsidR="00C1548D" w14:paraId="70A50FC5"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2" w14:textId="77777777" w:rsidR="00C1548D" w:rsidRDefault="009B1B4B">
            <w:pPr>
              <w:spacing w:line="250" w:lineRule="auto"/>
            </w:pPr>
            <w:r>
              <w:rPr>
                <w:sz w:val="18"/>
                <w:szCs w:val="18"/>
              </w:rPr>
              <w:t>41</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3" w14:textId="77777777" w:rsidR="00C1548D" w:rsidRDefault="009B1B4B">
            <w:pPr>
              <w:spacing w:line="250" w:lineRule="auto"/>
            </w:pPr>
            <w:r>
              <w:rPr>
                <w:sz w:val="18"/>
                <w:szCs w:val="18"/>
              </w:rPr>
              <w:t>9,5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4" w14:textId="77777777" w:rsidR="00C1548D" w:rsidRDefault="009B1B4B">
            <w:pPr>
              <w:spacing w:line="250" w:lineRule="auto"/>
            </w:pPr>
            <w:r>
              <w:rPr>
                <w:sz w:val="18"/>
                <w:szCs w:val="18"/>
              </w:rPr>
              <w:t>8</w:t>
            </w:r>
          </w:p>
        </w:tc>
      </w:tr>
      <w:tr w:rsidR="00C1548D" w14:paraId="70A50FC9"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6" w14:textId="77777777" w:rsidR="00C1548D" w:rsidRDefault="009B1B4B">
            <w:pPr>
              <w:spacing w:line="250" w:lineRule="auto"/>
            </w:pPr>
            <w:r>
              <w:rPr>
                <w:sz w:val="18"/>
                <w:szCs w:val="18"/>
              </w:rPr>
              <w:t>42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7" w14:textId="77777777" w:rsidR="00C1548D" w:rsidRDefault="009B1B4B">
            <w:pPr>
              <w:spacing w:line="250" w:lineRule="auto"/>
            </w:pPr>
            <w:r>
              <w:rPr>
                <w:sz w:val="18"/>
                <w:szCs w:val="18"/>
              </w:rPr>
              <w:t>10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8" w14:textId="77777777" w:rsidR="00C1548D" w:rsidRDefault="009B1B4B">
            <w:pPr>
              <w:spacing w:line="250" w:lineRule="auto"/>
            </w:pPr>
            <w:r>
              <w:rPr>
                <w:sz w:val="18"/>
                <w:szCs w:val="18"/>
              </w:rPr>
              <w:t>8,5</w:t>
            </w:r>
          </w:p>
        </w:tc>
      </w:tr>
      <w:tr w:rsidR="00C1548D" w14:paraId="70A50FCD"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A" w14:textId="77777777" w:rsidR="00C1548D" w:rsidRDefault="009B1B4B">
            <w:pPr>
              <w:spacing w:line="250" w:lineRule="auto"/>
            </w:pPr>
            <w:r>
              <w:rPr>
                <w:sz w:val="18"/>
                <w:szCs w:val="18"/>
              </w:rPr>
              <w:t>43</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B" w14:textId="77777777" w:rsidR="00C1548D" w:rsidRDefault="009B1B4B">
            <w:pPr>
              <w:spacing w:line="250" w:lineRule="auto"/>
            </w:pPr>
            <w:r>
              <w:rPr>
                <w:sz w:val="18"/>
                <w:szCs w:val="18"/>
              </w:rPr>
              <w:t>11</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C" w14:textId="77777777" w:rsidR="00C1548D" w:rsidRDefault="009B1B4B">
            <w:pPr>
              <w:spacing w:line="250" w:lineRule="auto"/>
            </w:pPr>
            <w:r>
              <w:rPr>
                <w:sz w:val="18"/>
                <w:szCs w:val="18"/>
              </w:rPr>
              <w:t>9,5</w:t>
            </w:r>
          </w:p>
        </w:tc>
      </w:tr>
      <w:tr w:rsidR="00C1548D" w14:paraId="70A50FD1"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E" w14:textId="77777777" w:rsidR="00C1548D" w:rsidRDefault="009B1B4B">
            <w:pPr>
              <w:spacing w:line="250" w:lineRule="auto"/>
            </w:pPr>
            <w:r>
              <w:rPr>
                <w:sz w:val="18"/>
                <w:szCs w:val="18"/>
              </w:rPr>
              <w:t>44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CF" w14:textId="77777777" w:rsidR="00C1548D" w:rsidRDefault="009B1B4B">
            <w:pPr>
              <w:spacing w:line="250" w:lineRule="auto"/>
            </w:pPr>
            <w:r>
              <w:rPr>
                <w:sz w:val="18"/>
                <w:szCs w:val="18"/>
              </w:rPr>
              <w:t>11,5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D0" w14:textId="77777777" w:rsidR="00C1548D" w:rsidRDefault="009B1B4B">
            <w:pPr>
              <w:spacing w:line="250" w:lineRule="auto"/>
            </w:pPr>
            <w:r>
              <w:rPr>
                <w:sz w:val="18"/>
                <w:szCs w:val="18"/>
              </w:rPr>
              <w:t>10</w:t>
            </w:r>
          </w:p>
        </w:tc>
      </w:tr>
      <w:tr w:rsidR="00C1548D" w14:paraId="70A50FD5"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D2" w14:textId="77777777" w:rsidR="00C1548D" w:rsidRDefault="009B1B4B">
            <w:pPr>
              <w:spacing w:line="250" w:lineRule="auto"/>
            </w:pPr>
            <w:r>
              <w:rPr>
                <w:sz w:val="18"/>
                <w:szCs w:val="18"/>
              </w:rPr>
              <w:t>45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D3" w14:textId="77777777" w:rsidR="00C1548D" w:rsidRDefault="009B1B4B">
            <w:pPr>
              <w:spacing w:line="250" w:lineRule="auto"/>
            </w:pPr>
            <w:r>
              <w:rPr>
                <w:sz w:val="18"/>
                <w:szCs w:val="18"/>
              </w:rPr>
              <w:t>12,5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D4" w14:textId="77777777" w:rsidR="00C1548D" w:rsidRDefault="009B1B4B">
            <w:pPr>
              <w:spacing w:line="250" w:lineRule="auto"/>
            </w:pPr>
            <w:r>
              <w:rPr>
                <w:sz w:val="18"/>
                <w:szCs w:val="18"/>
              </w:rPr>
              <w:t>11</w:t>
            </w:r>
          </w:p>
        </w:tc>
      </w:tr>
      <w:tr w:rsidR="00C1548D" w14:paraId="70A50FD9"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D6" w14:textId="77777777" w:rsidR="00C1548D" w:rsidRDefault="009B1B4B">
            <w:pPr>
              <w:spacing w:line="250" w:lineRule="auto"/>
            </w:pPr>
            <w:r>
              <w:rPr>
                <w:sz w:val="18"/>
                <w:szCs w:val="18"/>
              </w:rPr>
              <w:t>46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D7" w14:textId="77777777" w:rsidR="00C1548D" w:rsidRDefault="009B1B4B">
            <w:pPr>
              <w:spacing w:line="250" w:lineRule="auto"/>
            </w:pPr>
            <w:r>
              <w:rPr>
                <w:sz w:val="18"/>
                <w:szCs w:val="18"/>
              </w:rPr>
              <w:t>13,5</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D8" w14:textId="77777777" w:rsidR="00C1548D" w:rsidRDefault="009B1B4B">
            <w:pPr>
              <w:spacing w:line="250" w:lineRule="auto"/>
            </w:pPr>
            <w:r>
              <w:rPr>
                <w:sz w:val="18"/>
                <w:szCs w:val="18"/>
              </w:rPr>
              <w:t>12</w:t>
            </w:r>
          </w:p>
        </w:tc>
      </w:tr>
    </w:tbl>
    <w:p w14:paraId="70A50FDA" w14:textId="77777777" w:rsidR="00C1548D" w:rsidRDefault="00C1548D">
      <w:pPr>
        <w:spacing w:line="180" w:lineRule="exact"/>
      </w:pPr>
    </w:p>
    <w:p w14:paraId="70A50FDB" w14:textId="77777777" w:rsidR="00C1548D" w:rsidRDefault="009B1B4B">
      <w:pPr>
        <w:spacing w:after="140"/>
      </w:pPr>
      <w:r>
        <w:t>Kinderschuhe haben ein eigenes System: „C“ (</w:t>
      </w:r>
      <w:r>
        <w:rPr>
          <w:i/>
          <w:iCs/>
        </w:rPr>
        <w:t>Children</w:t>
      </w:r>
      <w:r>
        <w:t>) bis 13,5, danach „Y“ (</w:t>
      </w:r>
      <w:r>
        <w:rPr>
          <w:i/>
          <w:iCs/>
        </w:rPr>
        <w:t>Youth</w:t>
      </w:r>
      <w:r>
        <w:t>), etwa EU 27 = 10C, EU 31 = 13C, EU 35 = 3Y.</w:t>
      </w:r>
    </w:p>
    <w:p w14:paraId="70A50FDC" w14:textId="77777777" w:rsidR="00C1548D" w:rsidRDefault="009B1B4B">
      <w:pPr>
        <w:pStyle w:val="Heading3"/>
        <w:keepNext/>
        <w:jc w:val="center"/>
      </w:pPr>
      <w:r>
        <w:rPr>
          <w:rFonts w:ascii="Amazon Ember" w:eastAsia="Amazon Ember" w:hAnsi="Amazon Ember" w:cs="Amazon Ember"/>
          <w:color w:val="0000FF"/>
          <w:sz w:val="36"/>
          <w:szCs w:val="36"/>
        </w:rPr>
        <w:t>Bettgrößen</w:t>
      </w:r>
    </w:p>
    <w:p w14:paraId="70A50FDD" w14:textId="6A885369" w:rsidR="00C1548D" w:rsidRDefault="009B1B4B">
      <w:pPr>
        <w:spacing w:after="140"/>
      </w:pPr>
      <w:r>
        <w:t>US-Matratzen sind anders genormt als deutsche; Bettwäsche kaufst du deshalb in den USA neu (ausführlich: Kapitel </w:t>
      </w:r>
      <w:hyperlink w:anchor="k21" w:history="1">
        <w:r>
          <w:t>21</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11"/>
        <w:gridCol w:w="1287"/>
        <w:gridCol w:w="1516"/>
        <w:gridCol w:w="2366"/>
      </w:tblGrid>
      <w:tr w:rsidR="00C1548D" w14:paraId="70A50FE2" w14:textId="77777777">
        <w:tblPrEx>
          <w:tblCellMar>
            <w:top w:w="0" w:type="dxa"/>
            <w:bottom w:w="0" w:type="dxa"/>
          </w:tblCellMar>
        </w:tblPrEx>
        <w:trPr>
          <w:cantSplit/>
          <w:tblHeader/>
        </w:trPr>
        <w:tc>
          <w:tcPr>
            <w:tcW w:w="131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DE" w14:textId="77777777" w:rsidR="00C1548D" w:rsidRDefault="009B1B4B">
            <w:pPr>
              <w:spacing w:line="250" w:lineRule="auto"/>
            </w:pPr>
            <w:r>
              <w:rPr>
                <w:b/>
                <w:bCs/>
                <w:sz w:val="18"/>
                <w:szCs w:val="18"/>
              </w:rPr>
              <w:t>US-Größe</w:t>
            </w:r>
          </w:p>
        </w:tc>
        <w:tc>
          <w:tcPr>
            <w:tcW w:w="128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DF" w14:textId="77777777" w:rsidR="00C1548D" w:rsidRDefault="009B1B4B">
            <w:pPr>
              <w:spacing w:line="250" w:lineRule="auto"/>
            </w:pPr>
            <w:r>
              <w:rPr>
                <w:b/>
                <w:bCs/>
                <w:sz w:val="18"/>
                <w:szCs w:val="18"/>
              </w:rPr>
              <w:t>Zoll</w:t>
            </w:r>
          </w:p>
        </w:tc>
        <w:tc>
          <w:tcPr>
            <w:tcW w:w="151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E0" w14:textId="77777777" w:rsidR="00C1548D" w:rsidRDefault="009B1B4B">
            <w:pPr>
              <w:spacing w:line="250" w:lineRule="auto"/>
            </w:pPr>
            <w:r>
              <w:rPr>
                <w:b/>
                <w:bCs/>
                <w:sz w:val="18"/>
                <w:szCs w:val="18"/>
              </w:rPr>
              <w:t>Zentimeter</w:t>
            </w:r>
          </w:p>
        </w:tc>
        <w:tc>
          <w:tcPr>
            <w:tcW w:w="236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E1" w14:textId="77777777" w:rsidR="00C1548D" w:rsidRDefault="009B1B4B">
            <w:pPr>
              <w:spacing w:line="250" w:lineRule="auto"/>
            </w:pPr>
            <w:r>
              <w:rPr>
                <w:b/>
                <w:bCs/>
                <w:sz w:val="18"/>
                <w:szCs w:val="18"/>
              </w:rPr>
              <w:t>Deutsche Entsprechung</w:t>
            </w:r>
          </w:p>
        </w:tc>
      </w:tr>
      <w:tr w:rsidR="00C1548D" w14:paraId="70A50FE7"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E3" w14:textId="77777777" w:rsidR="00C1548D" w:rsidRDefault="009B1B4B">
            <w:pPr>
              <w:spacing w:line="250" w:lineRule="auto"/>
            </w:pPr>
            <w:r>
              <w:rPr>
                <w:sz w:val="18"/>
                <w:szCs w:val="18"/>
              </w:rPr>
              <w:t>Twin</w:t>
            </w:r>
          </w:p>
        </w:tc>
        <w:tc>
          <w:tcPr>
            <w:tcW w:w="1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E4" w14:textId="77777777" w:rsidR="00C1548D" w:rsidRDefault="009B1B4B">
            <w:pPr>
              <w:spacing w:line="250" w:lineRule="auto"/>
            </w:pPr>
            <w:r>
              <w:rPr>
                <w:sz w:val="18"/>
                <w:szCs w:val="18"/>
              </w:rPr>
              <w:t>38 × 75</w:t>
            </w:r>
          </w:p>
        </w:tc>
        <w:tc>
          <w:tcPr>
            <w:tcW w:w="1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E5" w14:textId="77777777" w:rsidR="00C1548D" w:rsidRDefault="009B1B4B">
            <w:pPr>
              <w:spacing w:line="250" w:lineRule="auto"/>
            </w:pPr>
            <w:r>
              <w:rPr>
                <w:sz w:val="18"/>
                <w:szCs w:val="18"/>
              </w:rPr>
              <w:t>96,5 × 190,5</w:t>
            </w:r>
          </w:p>
        </w:tc>
        <w:tc>
          <w:tcPr>
            <w:tcW w:w="23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E6" w14:textId="77777777" w:rsidR="00C1548D" w:rsidRDefault="009B1B4B">
            <w:pPr>
              <w:spacing w:line="250" w:lineRule="auto"/>
            </w:pPr>
            <w:r>
              <w:rPr>
                <w:sz w:val="18"/>
                <w:szCs w:val="18"/>
              </w:rPr>
              <w:t>90 × 200</w:t>
            </w:r>
          </w:p>
        </w:tc>
      </w:tr>
      <w:tr w:rsidR="00C1548D" w14:paraId="70A50FEC"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E8" w14:textId="77777777" w:rsidR="00C1548D" w:rsidRDefault="009B1B4B">
            <w:pPr>
              <w:spacing w:line="250" w:lineRule="auto"/>
            </w:pPr>
            <w:r>
              <w:rPr>
                <w:sz w:val="18"/>
                <w:szCs w:val="18"/>
              </w:rPr>
              <w:t>Full</w:t>
            </w:r>
          </w:p>
        </w:tc>
        <w:tc>
          <w:tcPr>
            <w:tcW w:w="1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E9" w14:textId="77777777" w:rsidR="00C1548D" w:rsidRDefault="009B1B4B">
            <w:pPr>
              <w:spacing w:line="250" w:lineRule="auto"/>
            </w:pPr>
            <w:r>
              <w:rPr>
                <w:sz w:val="18"/>
                <w:szCs w:val="18"/>
              </w:rPr>
              <w:t>54 × 75</w:t>
            </w:r>
          </w:p>
        </w:tc>
        <w:tc>
          <w:tcPr>
            <w:tcW w:w="1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EA" w14:textId="77777777" w:rsidR="00C1548D" w:rsidRDefault="009B1B4B">
            <w:pPr>
              <w:spacing w:line="250" w:lineRule="auto"/>
            </w:pPr>
            <w:r>
              <w:rPr>
                <w:sz w:val="18"/>
                <w:szCs w:val="18"/>
              </w:rPr>
              <w:t>137 × 190,5</w:t>
            </w:r>
          </w:p>
        </w:tc>
        <w:tc>
          <w:tcPr>
            <w:tcW w:w="23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EB" w14:textId="77777777" w:rsidR="00C1548D" w:rsidRDefault="009B1B4B">
            <w:pPr>
              <w:spacing w:line="250" w:lineRule="auto"/>
            </w:pPr>
            <w:r>
              <w:rPr>
                <w:sz w:val="18"/>
                <w:szCs w:val="18"/>
              </w:rPr>
              <w:t>140 × 200</w:t>
            </w:r>
          </w:p>
        </w:tc>
      </w:tr>
      <w:tr w:rsidR="00C1548D" w14:paraId="70A50FF1"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ED" w14:textId="77777777" w:rsidR="00C1548D" w:rsidRDefault="009B1B4B">
            <w:pPr>
              <w:spacing w:line="250" w:lineRule="auto"/>
            </w:pPr>
            <w:r>
              <w:rPr>
                <w:sz w:val="18"/>
                <w:szCs w:val="18"/>
              </w:rPr>
              <w:t>Queen</w:t>
            </w:r>
          </w:p>
        </w:tc>
        <w:tc>
          <w:tcPr>
            <w:tcW w:w="1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EE" w14:textId="77777777" w:rsidR="00C1548D" w:rsidRDefault="009B1B4B">
            <w:pPr>
              <w:spacing w:line="250" w:lineRule="auto"/>
            </w:pPr>
            <w:r>
              <w:rPr>
                <w:sz w:val="18"/>
                <w:szCs w:val="18"/>
              </w:rPr>
              <w:t>60 × 80</w:t>
            </w:r>
          </w:p>
        </w:tc>
        <w:tc>
          <w:tcPr>
            <w:tcW w:w="1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EF" w14:textId="77777777" w:rsidR="00C1548D" w:rsidRDefault="009B1B4B">
            <w:pPr>
              <w:spacing w:line="250" w:lineRule="auto"/>
            </w:pPr>
            <w:r>
              <w:rPr>
                <w:sz w:val="18"/>
                <w:szCs w:val="18"/>
              </w:rPr>
              <w:t>152 × 203</w:t>
            </w:r>
          </w:p>
        </w:tc>
        <w:tc>
          <w:tcPr>
            <w:tcW w:w="23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F0" w14:textId="77777777" w:rsidR="00C1548D" w:rsidRDefault="009B1B4B">
            <w:pPr>
              <w:spacing w:line="250" w:lineRule="auto"/>
            </w:pPr>
            <w:r>
              <w:rPr>
                <w:sz w:val="18"/>
                <w:szCs w:val="18"/>
              </w:rPr>
              <w:t>160 × 200</w:t>
            </w:r>
          </w:p>
        </w:tc>
      </w:tr>
      <w:tr w:rsidR="00C1548D" w14:paraId="70A50FF6"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F2" w14:textId="77777777" w:rsidR="00C1548D" w:rsidRDefault="009B1B4B">
            <w:pPr>
              <w:spacing w:line="250" w:lineRule="auto"/>
            </w:pPr>
            <w:r>
              <w:rPr>
                <w:sz w:val="18"/>
                <w:szCs w:val="18"/>
              </w:rPr>
              <w:t>King</w:t>
            </w:r>
          </w:p>
        </w:tc>
        <w:tc>
          <w:tcPr>
            <w:tcW w:w="1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F3" w14:textId="77777777" w:rsidR="00C1548D" w:rsidRDefault="009B1B4B">
            <w:pPr>
              <w:spacing w:line="250" w:lineRule="auto"/>
            </w:pPr>
            <w:r>
              <w:rPr>
                <w:sz w:val="18"/>
                <w:szCs w:val="18"/>
              </w:rPr>
              <w:t>76 × 80</w:t>
            </w:r>
          </w:p>
        </w:tc>
        <w:tc>
          <w:tcPr>
            <w:tcW w:w="1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F4" w14:textId="77777777" w:rsidR="00C1548D" w:rsidRDefault="009B1B4B">
            <w:pPr>
              <w:spacing w:line="250" w:lineRule="auto"/>
            </w:pPr>
            <w:r>
              <w:rPr>
                <w:sz w:val="18"/>
                <w:szCs w:val="18"/>
              </w:rPr>
              <w:t>193 × 203</w:t>
            </w:r>
          </w:p>
        </w:tc>
        <w:tc>
          <w:tcPr>
            <w:tcW w:w="23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F5" w14:textId="77777777" w:rsidR="00C1548D" w:rsidRDefault="009B1B4B">
            <w:pPr>
              <w:spacing w:line="250" w:lineRule="auto"/>
            </w:pPr>
            <w:r>
              <w:rPr>
                <w:sz w:val="18"/>
                <w:szCs w:val="18"/>
              </w:rPr>
              <w:t>180 × 200 oder 200 × 200</w:t>
            </w:r>
          </w:p>
        </w:tc>
      </w:tr>
      <w:tr w:rsidR="00C1548D" w14:paraId="70A50FFB" w14:textId="77777777">
        <w:tblPrEx>
          <w:tblCellMar>
            <w:top w:w="0" w:type="dxa"/>
            <w:bottom w:w="0" w:type="dxa"/>
          </w:tblCellMar>
        </w:tblPrEx>
        <w:trPr>
          <w:cantSplit/>
        </w:trPr>
        <w:tc>
          <w:tcPr>
            <w:tcW w:w="1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F7" w14:textId="77777777" w:rsidR="00C1548D" w:rsidRDefault="009B1B4B">
            <w:pPr>
              <w:spacing w:line="250" w:lineRule="auto"/>
            </w:pPr>
            <w:r>
              <w:rPr>
                <w:sz w:val="18"/>
                <w:szCs w:val="18"/>
              </w:rPr>
              <w:t>California King</w:t>
            </w:r>
          </w:p>
        </w:tc>
        <w:tc>
          <w:tcPr>
            <w:tcW w:w="12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F8" w14:textId="77777777" w:rsidR="00C1548D" w:rsidRDefault="009B1B4B">
            <w:pPr>
              <w:spacing w:line="250" w:lineRule="auto"/>
            </w:pPr>
            <w:r>
              <w:rPr>
                <w:sz w:val="18"/>
                <w:szCs w:val="18"/>
              </w:rPr>
              <w:t>72 × 84</w:t>
            </w:r>
          </w:p>
        </w:tc>
        <w:tc>
          <w:tcPr>
            <w:tcW w:w="1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F9" w14:textId="77777777" w:rsidR="00C1548D" w:rsidRDefault="009B1B4B">
            <w:pPr>
              <w:spacing w:line="250" w:lineRule="auto"/>
            </w:pPr>
            <w:r>
              <w:rPr>
                <w:sz w:val="18"/>
                <w:szCs w:val="18"/>
              </w:rPr>
              <w:t>183 × 213</w:t>
            </w:r>
          </w:p>
        </w:tc>
        <w:tc>
          <w:tcPr>
            <w:tcW w:w="23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0FFA" w14:textId="77777777" w:rsidR="00C1548D" w:rsidRDefault="009B1B4B">
            <w:pPr>
              <w:spacing w:line="250" w:lineRule="auto"/>
            </w:pPr>
            <w:r>
              <w:rPr>
                <w:sz w:val="18"/>
                <w:szCs w:val="18"/>
              </w:rPr>
              <w:t>180 × 200</w:t>
            </w:r>
          </w:p>
        </w:tc>
      </w:tr>
    </w:tbl>
    <w:p w14:paraId="70A50FFC" w14:textId="77777777" w:rsidR="00C1548D" w:rsidRDefault="00C1548D">
      <w:pPr>
        <w:spacing w:line="180" w:lineRule="exact"/>
      </w:pPr>
    </w:p>
    <w:p w14:paraId="70A50FFD" w14:textId="77777777" w:rsidR="00C1548D" w:rsidRDefault="009B1B4B">
      <w:pPr>
        <w:pStyle w:val="Heading3"/>
        <w:keepNext/>
        <w:jc w:val="center"/>
      </w:pPr>
      <w:r>
        <w:rPr>
          <w:rFonts w:ascii="Amazon Ember" w:eastAsia="Amazon Ember" w:hAnsi="Amazon Ember" w:cs="Amazon Ember"/>
          <w:color w:val="0000FF"/>
          <w:sz w:val="36"/>
          <w:szCs w:val="36"/>
        </w:rPr>
        <w:t>Papierformat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2"/>
        <w:gridCol w:w="1126"/>
        <w:gridCol w:w="1325"/>
        <w:gridCol w:w="2927"/>
      </w:tblGrid>
      <w:tr w:rsidR="00C1548D" w14:paraId="70A51002" w14:textId="77777777">
        <w:tblPrEx>
          <w:tblCellMar>
            <w:top w:w="0" w:type="dxa"/>
            <w:bottom w:w="0" w:type="dxa"/>
          </w:tblCellMar>
        </w:tblPrEx>
        <w:trPr>
          <w:cantSplit/>
          <w:tblHeader/>
        </w:trPr>
        <w:tc>
          <w:tcPr>
            <w:tcW w:w="110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FE" w14:textId="77777777" w:rsidR="00C1548D" w:rsidRDefault="009B1B4B">
            <w:pPr>
              <w:spacing w:line="250" w:lineRule="auto"/>
            </w:pPr>
            <w:r>
              <w:rPr>
                <w:b/>
                <w:bCs/>
                <w:sz w:val="18"/>
                <w:szCs w:val="18"/>
              </w:rPr>
              <w:t>Format</w:t>
            </w:r>
          </w:p>
        </w:tc>
        <w:tc>
          <w:tcPr>
            <w:tcW w:w="112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0FFF" w14:textId="77777777" w:rsidR="00C1548D" w:rsidRDefault="009B1B4B">
            <w:pPr>
              <w:spacing w:line="250" w:lineRule="auto"/>
            </w:pPr>
            <w:r>
              <w:rPr>
                <w:b/>
                <w:bCs/>
                <w:sz w:val="18"/>
                <w:szCs w:val="18"/>
              </w:rPr>
              <w:t>Zoll</w:t>
            </w:r>
          </w:p>
        </w:tc>
        <w:tc>
          <w:tcPr>
            <w:tcW w:w="132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00" w14:textId="77777777" w:rsidR="00C1548D" w:rsidRDefault="009B1B4B">
            <w:pPr>
              <w:spacing w:line="250" w:lineRule="auto"/>
            </w:pPr>
            <w:r>
              <w:rPr>
                <w:b/>
                <w:bCs/>
                <w:sz w:val="18"/>
                <w:szCs w:val="18"/>
              </w:rPr>
              <w:t>Zentimeter</w:t>
            </w:r>
          </w:p>
        </w:tc>
        <w:tc>
          <w:tcPr>
            <w:tcW w:w="292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01" w14:textId="77777777" w:rsidR="00C1548D" w:rsidRDefault="009B1B4B">
            <w:pPr>
              <w:spacing w:line="250" w:lineRule="auto"/>
            </w:pPr>
            <w:r>
              <w:rPr>
                <w:b/>
                <w:bCs/>
                <w:sz w:val="18"/>
                <w:szCs w:val="18"/>
              </w:rPr>
              <w:t>Verbreitung</w:t>
            </w:r>
          </w:p>
        </w:tc>
      </w:tr>
      <w:tr w:rsidR="00C1548D" w14:paraId="70A51007" w14:textId="77777777">
        <w:tblPrEx>
          <w:tblCellMar>
            <w:top w:w="0" w:type="dxa"/>
            <w:bottom w:w="0" w:type="dxa"/>
          </w:tblCellMar>
        </w:tblPrEx>
        <w:trPr>
          <w:cantSplit/>
        </w:trPr>
        <w:tc>
          <w:tcPr>
            <w:tcW w:w="11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03" w14:textId="77777777" w:rsidR="00C1548D" w:rsidRDefault="009B1B4B">
            <w:pPr>
              <w:spacing w:line="250" w:lineRule="auto"/>
            </w:pPr>
            <w:r>
              <w:rPr>
                <w:sz w:val="18"/>
                <w:szCs w:val="18"/>
              </w:rPr>
              <w:t>Letter</w:t>
            </w:r>
          </w:p>
        </w:tc>
        <w:tc>
          <w:tcPr>
            <w:tcW w:w="1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04" w14:textId="77777777" w:rsidR="00C1548D" w:rsidRDefault="009B1B4B">
            <w:pPr>
              <w:spacing w:line="250" w:lineRule="auto"/>
            </w:pPr>
            <w:r>
              <w:rPr>
                <w:sz w:val="18"/>
                <w:szCs w:val="18"/>
              </w:rPr>
              <w:t>8,5 × 11</w:t>
            </w:r>
          </w:p>
        </w:tc>
        <w:tc>
          <w:tcPr>
            <w:tcW w:w="13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05" w14:textId="77777777" w:rsidR="00C1548D" w:rsidRDefault="009B1B4B">
            <w:pPr>
              <w:spacing w:line="250" w:lineRule="auto"/>
            </w:pPr>
            <w:r>
              <w:rPr>
                <w:sz w:val="18"/>
                <w:szCs w:val="18"/>
              </w:rPr>
              <w:t>21,6 × 27,9</w:t>
            </w:r>
          </w:p>
        </w:tc>
        <w:tc>
          <w:tcPr>
            <w:tcW w:w="29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06" w14:textId="77777777" w:rsidR="00C1548D" w:rsidRDefault="009B1B4B">
            <w:pPr>
              <w:spacing w:line="250" w:lineRule="auto"/>
            </w:pPr>
            <w:r>
              <w:rPr>
                <w:sz w:val="18"/>
                <w:szCs w:val="18"/>
              </w:rPr>
              <w:t>USA (Standard)</w:t>
            </w:r>
          </w:p>
        </w:tc>
      </w:tr>
      <w:tr w:rsidR="00C1548D" w14:paraId="70A5100C" w14:textId="77777777">
        <w:tblPrEx>
          <w:tblCellMar>
            <w:top w:w="0" w:type="dxa"/>
            <w:bottom w:w="0" w:type="dxa"/>
          </w:tblCellMar>
        </w:tblPrEx>
        <w:trPr>
          <w:cantSplit/>
        </w:trPr>
        <w:tc>
          <w:tcPr>
            <w:tcW w:w="11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08" w14:textId="77777777" w:rsidR="00C1548D" w:rsidRDefault="009B1B4B">
            <w:pPr>
              <w:spacing w:line="250" w:lineRule="auto"/>
            </w:pPr>
            <w:r>
              <w:rPr>
                <w:sz w:val="18"/>
                <w:szCs w:val="18"/>
              </w:rPr>
              <w:t>Legal</w:t>
            </w:r>
          </w:p>
        </w:tc>
        <w:tc>
          <w:tcPr>
            <w:tcW w:w="1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09" w14:textId="77777777" w:rsidR="00C1548D" w:rsidRDefault="009B1B4B">
            <w:pPr>
              <w:spacing w:line="250" w:lineRule="auto"/>
            </w:pPr>
            <w:r>
              <w:rPr>
                <w:sz w:val="18"/>
                <w:szCs w:val="18"/>
              </w:rPr>
              <w:t>8,5 × 14</w:t>
            </w:r>
          </w:p>
        </w:tc>
        <w:tc>
          <w:tcPr>
            <w:tcW w:w="13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0A" w14:textId="77777777" w:rsidR="00C1548D" w:rsidRDefault="009B1B4B">
            <w:pPr>
              <w:spacing w:line="250" w:lineRule="auto"/>
            </w:pPr>
            <w:r>
              <w:rPr>
                <w:sz w:val="18"/>
                <w:szCs w:val="18"/>
              </w:rPr>
              <w:t>21,6 × 35,6</w:t>
            </w:r>
          </w:p>
        </w:tc>
        <w:tc>
          <w:tcPr>
            <w:tcW w:w="29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0B" w14:textId="77777777" w:rsidR="00C1548D" w:rsidRDefault="009B1B4B">
            <w:pPr>
              <w:spacing w:line="250" w:lineRule="auto"/>
            </w:pPr>
            <w:r>
              <w:rPr>
                <w:sz w:val="18"/>
                <w:szCs w:val="18"/>
              </w:rPr>
              <w:t>USA (Verträge, Gerichtsdokumente)</w:t>
            </w:r>
          </w:p>
        </w:tc>
      </w:tr>
      <w:tr w:rsidR="00C1548D" w14:paraId="70A51011" w14:textId="77777777">
        <w:tblPrEx>
          <w:tblCellMar>
            <w:top w:w="0" w:type="dxa"/>
            <w:bottom w:w="0" w:type="dxa"/>
          </w:tblCellMar>
        </w:tblPrEx>
        <w:trPr>
          <w:cantSplit/>
        </w:trPr>
        <w:tc>
          <w:tcPr>
            <w:tcW w:w="11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0D" w14:textId="77777777" w:rsidR="00C1548D" w:rsidRDefault="009B1B4B">
            <w:pPr>
              <w:spacing w:line="250" w:lineRule="auto"/>
            </w:pPr>
            <w:r>
              <w:rPr>
                <w:sz w:val="18"/>
                <w:szCs w:val="18"/>
              </w:rPr>
              <w:t>A4</w:t>
            </w:r>
          </w:p>
        </w:tc>
        <w:tc>
          <w:tcPr>
            <w:tcW w:w="112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0E" w14:textId="77777777" w:rsidR="00C1548D" w:rsidRDefault="009B1B4B">
            <w:pPr>
              <w:spacing w:line="250" w:lineRule="auto"/>
            </w:pPr>
            <w:r>
              <w:rPr>
                <w:sz w:val="18"/>
                <w:szCs w:val="18"/>
              </w:rPr>
              <w:t>8,27 × 11,69</w:t>
            </w:r>
          </w:p>
        </w:tc>
        <w:tc>
          <w:tcPr>
            <w:tcW w:w="13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0F" w14:textId="77777777" w:rsidR="00C1548D" w:rsidRDefault="009B1B4B">
            <w:pPr>
              <w:spacing w:line="250" w:lineRule="auto"/>
            </w:pPr>
            <w:r>
              <w:rPr>
                <w:sz w:val="18"/>
                <w:szCs w:val="18"/>
              </w:rPr>
              <w:t>21,0 × 29,7</w:t>
            </w:r>
          </w:p>
        </w:tc>
        <w:tc>
          <w:tcPr>
            <w:tcW w:w="29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10" w14:textId="77777777" w:rsidR="00C1548D" w:rsidRDefault="009B1B4B">
            <w:pPr>
              <w:spacing w:line="250" w:lineRule="auto"/>
            </w:pPr>
            <w:r>
              <w:rPr>
                <w:sz w:val="18"/>
                <w:szCs w:val="18"/>
              </w:rPr>
              <w:t>Deutschland (Standard)</w:t>
            </w:r>
          </w:p>
        </w:tc>
      </w:tr>
    </w:tbl>
    <w:p w14:paraId="70A51012" w14:textId="77777777" w:rsidR="00C1548D" w:rsidRDefault="00C1548D">
      <w:pPr>
        <w:spacing w:line="180" w:lineRule="exact"/>
      </w:pPr>
    </w:p>
    <w:p w14:paraId="70A51013" w14:textId="6BC06D2C" w:rsidR="00C1548D" w:rsidRDefault="009B1B4B">
      <w:pPr>
        <w:spacing w:after="140"/>
      </w:pPr>
      <w:r>
        <w:t>Ordner und Locher folgen in den USA einer anderen Lochung als in Deutschland; beides kaufst du vor Ort (Kapitel </w:t>
      </w:r>
      <w:hyperlink w:anchor="k21" w:history="1">
        <w:r>
          <w:t>21</w:t>
        </w:r>
      </w:hyperlink>
      <w:r>
        <w:t>).</w:t>
      </w:r>
    </w:p>
    <w:p w14:paraId="70A51014" w14:textId="77777777" w:rsidR="00C1548D" w:rsidRDefault="009B1B4B">
      <w:pPr>
        <w:pStyle w:val="Heading3"/>
        <w:keepNext/>
        <w:jc w:val="center"/>
      </w:pPr>
      <w:r>
        <w:rPr>
          <w:rFonts w:ascii="Amazon Ember" w:eastAsia="Amazon Ember" w:hAnsi="Amazon Ember" w:cs="Amazon Ember"/>
          <w:color w:val="0000FF"/>
          <w:sz w:val="36"/>
          <w:szCs w:val="36"/>
        </w:rPr>
        <w:t>Datumsformat und Wochenstart</w:t>
      </w:r>
    </w:p>
    <w:p w14:paraId="70A51015" w14:textId="77777777" w:rsidR="00C1548D" w:rsidRDefault="009B1B4B">
      <w:pPr>
        <w:spacing w:after="140"/>
      </w:pPr>
      <w:r>
        <w:t>In den USA steht der Monat vor dem Tag, in Deutschland der Tag vor dem Monat. Dieselbe Zahlenfolge kann deshalb zwei verschiedene Daten bedeuten.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8"/>
        <w:gridCol w:w="1380"/>
        <w:gridCol w:w="2302"/>
      </w:tblGrid>
      <w:tr w:rsidR="00C1548D" w14:paraId="70A51019" w14:textId="77777777">
        <w:tblPrEx>
          <w:tblCellMar>
            <w:top w:w="0" w:type="dxa"/>
            <w:bottom w:w="0" w:type="dxa"/>
          </w:tblCellMar>
        </w:tblPrEx>
        <w:trPr>
          <w:cantSplit/>
          <w:tblHeader/>
        </w:trPr>
        <w:tc>
          <w:tcPr>
            <w:tcW w:w="279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16" w14:textId="77777777" w:rsidR="00C1548D" w:rsidRDefault="009B1B4B">
            <w:pPr>
              <w:spacing w:line="250" w:lineRule="auto"/>
            </w:pPr>
            <w:r>
              <w:rPr>
                <w:b/>
                <w:bCs/>
                <w:sz w:val="18"/>
                <w:szCs w:val="18"/>
              </w:rPr>
              <w:t>Schreibweise</w:t>
            </w:r>
          </w:p>
        </w:tc>
        <w:tc>
          <w:tcPr>
            <w:tcW w:w="138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17" w14:textId="77777777" w:rsidR="00C1548D" w:rsidRDefault="009B1B4B">
            <w:pPr>
              <w:spacing w:line="250" w:lineRule="auto"/>
            </w:pPr>
            <w:r>
              <w:rPr>
                <w:b/>
                <w:bCs/>
                <w:sz w:val="18"/>
                <w:szCs w:val="18"/>
              </w:rPr>
              <w:t>Beispiel</w:t>
            </w:r>
          </w:p>
        </w:tc>
        <w:tc>
          <w:tcPr>
            <w:tcW w:w="230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18" w14:textId="77777777" w:rsidR="00C1548D" w:rsidRDefault="009B1B4B">
            <w:pPr>
              <w:spacing w:line="250" w:lineRule="auto"/>
            </w:pPr>
            <w:r>
              <w:rPr>
                <w:b/>
                <w:bCs/>
                <w:sz w:val="18"/>
                <w:szCs w:val="18"/>
              </w:rPr>
              <w:t>Bedeutung</w:t>
            </w:r>
          </w:p>
        </w:tc>
      </w:tr>
      <w:tr w:rsidR="00C1548D" w14:paraId="70A5101D" w14:textId="77777777">
        <w:tblPrEx>
          <w:tblCellMar>
            <w:top w:w="0" w:type="dxa"/>
            <w:bottom w:w="0" w:type="dxa"/>
          </w:tblCellMar>
        </w:tblPrEx>
        <w:trPr>
          <w:cantSplit/>
        </w:trPr>
        <w:tc>
          <w:tcPr>
            <w:tcW w:w="2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1A" w14:textId="77777777" w:rsidR="00C1548D" w:rsidRDefault="009B1B4B">
            <w:pPr>
              <w:spacing w:line="250" w:lineRule="auto"/>
            </w:pPr>
            <w:r>
              <w:rPr>
                <w:sz w:val="18"/>
                <w:szCs w:val="18"/>
              </w:rPr>
              <w:t>MM/DD/YYYY (USA)</w:t>
            </w:r>
          </w:p>
        </w:tc>
        <w:tc>
          <w:tcPr>
            <w:tcW w:w="1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1B" w14:textId="77777777" w:rsidR="00C1548D" w:rsidRDefault="009B1B4B">
            <w:pPr>
              <w:spacing w:line="250" w:lineRule="auto"/>
            </w:pPr>
            <w:r>
              <w:rPr>
                <w:sz w:val="18"/>
                <w:szCs w:val="18"/>
              </w:rPr>
              <w:t>09/23/2026</w:t>
            </w:r>
          </w:p>
        </w:tc>
        <w:tc>
          <w:tcPr>
            <w:tcW w:w="23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1C" w14:textId="77777777" w:rsidR="00C1548D" w:rsidRDefault="009B1B4B">
            <w:pPr>
              <w:spacing w:line="250" w:lineRule="auto"/>
            </w:pPr>
            <w:r>
              <w:rPr>
                <w:sz w:val="18"/>
                <w:szCs w:val="18"/>
              </w:rPr>
              <w:t>23. September 2026</w:t>
            </w:r>
          </w:p>
        </w:tc>
      </w:tr>
      <w:tr w:rsidR="00C1548D" w14:paraId="70A51021" w14:textId="77777777">
        <w:tblPrEx>
          <w:tblCellMar>
            <w:top w:w="0" w:type="dxa"/>
            <w:bottom w:w="0" w:type="dxa"/>
          </w:tblCellMar>
        </w:tblPrEx>
        <w:trPr>
          <w:cantSplit/>
        </w:trPr>
        <w:tc>
          <w:tcPr>
            <w:tcW w:w="27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1E" w14:textId="77777777" w:rsidR="00C1548D" w:rsidRDefault="009B1B4B">
            <w:pPr>
              <w:spacing w:line="250" w:lineRule="auto"/>
            </w:pPr>
            <w:r>
              <w:rPr>
                <w:sz w:val="18"/>
                <w:szCs w:val="18"/>
              </w:rPr>
              <w:t>TT.MM.JJJJ (Deutschland)</w:t>
            </w:r>
          </w:p>
        </w:tc>
        <w:tc>
          <w:tcPr>
            <w:tcW w:w="1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1F" w14:textId="77777777" w:rsidR="00C1548D" w:rsidRDefault="009B1B4B">
            <w:pPr>
              <w:spacing w:line="250" w:lineRule="auto"/>
            </w:pPr>
            <w:r>
              <w:rPr>
                <w:sz w:val="18"/>
                <w:szCs w:val="18"/>
              </w:rPr>
              <w:t>23.09.2026</w:t>
            </w:r>
          </w:p>
        </w:tc>
        <w:tc>
          <w:tcPr>
            <w:tcW w:w="230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20" w14:textId="77777777" w:rsidR="00C1548D" w:rsidRDefault="009B1B4B">
            <w:pPr>
              <w:spacing w:line="250" w:lineRule="auto"/>
            </w:pPr>
            <w:r>
              <w:rPr>
                <w:sz w:val="18"/>
                <w:szCs w:val="18"/>
              </w:rPr>
              <w:t>23. September 2026</w:t>
            </w:r>
          </w:p>
        </w:tc>
      </w:tr>
    </w:tbl>
    <w:p w14:paraId="70A51022" w14:textId="77777777" w:rsidR="00C1548D" w:rsidRDefault="00C1548D">
      <w:pPr>
        <w:spacing w:line="180" w:lineRule="exact"/>
      </w:pPr>
    </w:p>
    <w:p w14:paraId="70A51023" w14:textId="77777777" w:rsidR="00C1548D" w:rsidRDefault="009B1B4B">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w14:paraId="70A51024" w14:textId="77777777" w:rsidR="00C1548D" w:rsidRDefault="009B1B4B">
      <w:pPr>
        <w:pStyle w:val="Heading3"/>
        <w:keepNext/>
        <w:jc w:val="center"/>
      </w:pPr>
      <w:r>
        <w:rPr>
          <w:rFonts w:ascii="Amazon Ember" w:eastAsia="Amazon Ember" w:hAnsi="Amazon Ember" w:cs="Amazon Ember"/>
          <w:color w:val="0000FF"/>
          <w:sz w:val="36"/>
          <w:szCs w:val="36"/>
        </w:rPr>
        <w:t>Strom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3"/>
        <w:gridCol w:w="3903"/>
        <w:gridCol w:w="1574"/>
      </w:tblGrid>
      <w:tr w:rsidR="00C1548D" w14:paraId="70A51028" w14:textId="77777777">
        <w:tblPrEx>
          <w:tblCellMar>
            <w:top w:w="0" w:type="dxa"/>
            <w:bottom w:w="0" w:type="dxa"/>
          </w:tblCellMar>
        </w:tblPrEx>
        <w:trPr>
          <w:cantSplit/>
          <w:tblHeader/>
        </w:trPr>
        <w:tc>
          <w:tcPr>
            <w:tcW w:w="10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25" w14:textId="77777777" w:rsidR="00C1548D" w:rsidRDefault="009B1B4B">
            <w:pPr>
              <w:spacing w:line="250" w:lineRule="auto"/>
            </w:pPr>
            <w:r>
              <w:rPr>
                <w:b/>
                <w:bCs/>
                <w:sz w:val="18"/>
                <w:szCs w:val="18"/>
              </w:rPr>
              <w:t>Merkmal</w:t>
            </w:r>
          </w:p>
        </w:tc>
        <w:tc>
          <w:tcPr>
            <w:tcW w:w="39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26" w14:textId="77777777" w:rsidR="00C1548D" w:rsidRDefault="009B1B4B">
            <w:pPr>
              <w:spacing w:line="250" w:lineRule="auto"/>
            </w:pPr>
            <w:r>
              <w:rPr>
                <w:b/>
                <w:bCs/>
                <w:sz w:val="18"/>
                <w:szCs w:val="18"/>
              </w:rPr>
              <w:t>USA</w:t>
            </w:r>
          </w:p>
        </w:tc>
        <w:tc>
          <w:tcPr>
            <w:tcW w:w="157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27" w14:textId="77777777" w:rsidR="00C1548D" w:rsidRDefault="009B1B4B">
            <w:pPr>
              <w:spacing w:line="250" w:lineRule="auto"/>
            </w:pPr>
            <w:r>
              <w:rPr>
                <w:b/>
                <w:bCs/>
                <w:sz w:val="18"/>
                <w:szCs w:val="18"/>
              </w:rPr>
              <w:t>Deutschland</w:t>
            </w:r>
          </w:p>
        </w:tc>
      </w:tr>
      <w:tr w:rsidR="00C1548D" w14:paraId="70A5102C" w14:textId="77777777">
        <w:tblPrEx>
          <w:tblCellMar>
            <w:top w:w="0" w:type="dxa"/>
            <w:bottom w:w="0" w:type="dxa"/>
          </w:tblCellMar>
        </w:tblPrEx>
        <w:trPr>
          <w:cantSplit/>
        </w:trPr>
        <w:tc>
          <w:tcPr>
            <w:tcW w:w="1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29" w14:textId="77777777" w:rsidR="00C1548D" w:rsidRDefault="009B1B4B">
            <w:pPr>
              <w:spacing w:line="250" w:lineRule="auto"/>
            </w:pPr>
            <w:r>
              <w:rPr>
                <w:sz w:val="18"/>
                <w:szCs w:val="18"/>
              </w:rPr>
              <w:t>Spannung</w:t>
            </w:r>
          </w:p>
        </w:tc>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2A" w14:textId="77777777" w:rsidR="00C1548D" w:rsidRDefault="009B1B4B">
            <w:pPr>
              <w:spacing w:line="250" w:lineRule="auto"/>
            </w:pPr>
            <w:r>
              <w:rPr>
                <w:sz w:val="18"/>
                <w:szCs w:val="18"/>
              </w:rPr>
              <w:t>120 V (nominal, schwankt zwischen ca. 100 und 127 V)</w:t>
            </w:r>
          </w:p>
        </w:tc>
        <w:tc>
          <w:tcPr>
            <w:tcW w:w="15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2B" w14:textId="77777777" w:rsidR="00C1548D" w:rsidRDefault="009B1B4B">
            <w:pPr>
              <w:spacing w:line="250" w:lineRule="auto"/>
            </w:pPr>
            <w:r>
              <w:rPr>
                <w:sz w:val="18"/>
                <w:szCs w:val="18"/>
              </w:rPr>
              <w:t>230 V</w:t>
            </w:r>
          </w:p>
        </w:tc>
      </w:tr>
      <w:tr w:rsidR="00C1548D" w14:paraId="70A51030" w14:textId="77777777">
        <w:tblPrEx>
          <w:tblCellMar>
            <w:top w:w="0" w:type="dxa"/>
            <w:bottom w:w="0" w:type="dxa"/>
          </w:tblCellMar>
        </w:tblPrEx>
        <w:trPr>
          <w:cantSplit/>
        </w:trPr>
        <w:tc>
          <w:tcPr>
            <w:tcW w:w="1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2D" w14:textId="77777777" w:rsidR="00C1548D" w:rsidRDefault="009B1B4B">
            <w:pPr>
              <w:spacing w:line="250" w:lineRule="auto"/>
            </w:pPr>
            <w:r>
              <w:rPr>
                <w:sz w:val="18"/>
                <w:szCs w:val="18"/>
              </w:rPr>
              <w:t>Frequenz</w:t>
            </w:r>
          </w:p>
        </w:tc>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2E" w14:textId="77777777" w:rsidR="00C1548D" w:rsidRDefault="009B1B4B">
            <w:pPr>
              <w:spacing w:line="250" w:lineRule="auto"/>
            </w:pPr>
            <w:r>
              <w:rPr>
                <w:sz w:val="18"/>
                <w:szCs w:val="18"/>
              </w:rPr>
              <w:t>60 Hz</w:t>
            </w:r>
          </w:p>
        </w:tc>
        <w:tc>
          <w:tcPr>
            <w:tcW w:w="15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2F" w14:textId="77777777" w:rsidR="00C1548D" w:rsidRDefault="009B1B4B">
            <w:pPr>
              <w:spacing w:line="250" w:lineRule="auto"/>
            </w:pPr>
            <w:r>
              <w:rPr>
                <w:sz w:val="18"/>
                <w:szCs w:val="18"/>
              </w:rPr>
              <w:t>50 Hz</w:t>
            </w:r>
          </w:p>
        </w:tc>
      </w:tr>
      <w:tr w:rsidR="00C1548D" w14:paraId="70A51034" w14:textId="77777777">
        <w:tblPrEx>
          <w:tblCellMar>
            <w:top w:w="0" w:type="dxa"/>
            <w:bottom w:w="0" w:type="dxa"/>
          </w:tblCellMar>
        </w:tblPrEx>
        <w:trPr>
          <w:cantSplit/>
        </w:trPr>
        <w:tc>
          <w:tcPr>
            <w:tcW w:w="10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31" w14:textId="77777777" w:rsidR="00C1548D" w:rsidRDefault="009B1B4B">
            <w:pPr>
              <w:spacing w:line="250" w:lineRule="auto"/>
            </w:pPr>
            <w:r>
              <w:rPr>
                <w:sz w:val="18"/>
                <w:szCs w:val="18"/>
              </w:rPr>
              <w:t>Steckertyp</w:t>
            </w:r>
          </w:p>
        </w:tc>
        <w:tc>
          <w:tcPr>
            <w:tcW w:w="3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32" w14:textId="77777777" w:rsidR="00C1548D" w:rsidRDefault="009B1B4B">
            <w:pPr>
              <w:spacing w:line="250" w:lineRule="auto"/>
            </w:pPr>
            <w:r>
              <w:rPr>
                <w:sz w:val="18"/>
                <w:szCs w:val="18"/>
              </w:rPr>
              <w:t>Typ A (zwei Flachstifte) / Typ B (mit Erdungsstift)</w:t>
            </w:r>
          </w:p>
        </w:tc>
        <w:tc>
          <w:tcPr>
            <w:tcW w:w="15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33" w14:textId="77777777" w:rsidR="00C1548D" w:rsidRDefault="009B1B4B">
            <w:pPr>
              <w:spacing w:line="250" w:lineRule="auto"/>
            </w:pPr>
            <w:r>
              <w:rPr>
                <w:sz w:val="18"/>
                <w:szCs w:val="18"/>
              </w:rPr>
              <w:t>Typ C / Typ F (Schuko)</w:t>
            </w:r>
          </w:p>
        </w:tc>
      </w:tr>
    </w:tbl>
    <w:p w14:paraId="70A51035" w14:textId="77777777" w:rsidR="00C1548D" w:rsidRDefault="00C1548D">
      <w:pPr>
        <w:spacing w:line="180" w:lineRule="exact"/>
      </w:pPr>
    </w:p>
    <w:p w14:paraId="70A51036" w14:textId="53825BF3" w:rsidR="00C1548D" w:rsidRDefault="009B1B4B">
      <w:pPr>
        <w:spacing w:after="140"/>
      </w:pPr>
      <w:r>
        <w:lastRenderedPageBreak/>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history="1">
        <w:r>
          <w:t>21</w:t>
        </w:r>
      </w:hyperlink>
      <w:r>
        <w:t>).</w:t>
      </w:r>
    </w:p>
    <w:p w14:paraId="70A51037" w14:textId="77777777" w:rsidR="00C1548D" w:rsidRDefault="009B1B4B">
      <w:pPr>
        <w:pStyle w:val="Heading3"/>
        <w:keepNext/>
        <w:jc w:val="center"/>
      </w:pPr>
      <w:r>
        <w:rPr>
          <w:rFonts w:ascii="Amazon Ember" w:eastAsia="Amazon Ember" w:hAnsi="Amazon Ember" w:cs="Amazon Ember"/>
          <w:color w:val="0000FF"/>
          <w:sz w:val="36"/>
          <w:szCs w:val="36"/>
        </w:rPr>
        <w:t>Kanada</w:t>
      </w:r>
    </w:p>
    <w:p w14:paraId="70A51038" w14:textId="77777777" w:rsidR="00C1548D" w:rsidRDefault="009B1B4B">
      <w:pPr>
        <w:spacing w:after="140"/>
      </w:pPr>
      <w:r>
        <w:t>Kanada misst wie Deutschland metrisch: Grad Celsius, Kilometer, Kilogramm, Milliliter und Liter gelten im Alltag, in Wetterberichten und auf Supermarkt-Etiketten. Bei Temperatur, Entfernung, Gewicht und Küchenmaßen brauchst du deshalb – anders als in den USA – keine eigene Umrechnungstabelle; die deutschen Gewohnheiten übertragen sich fast eins zu eins.</w:t>
      </w:r>
    </w:p>
    <w:p w14:paraId="70A51039" w14:textId="77777777" w:rsidR="00C1548D" w:rsidRDefault="009B1B4B">
      <w:pPr>
        <w:spacing w:after="140"/>
      </w:pPr>
      <w:r>
        <w:t>Trotzdem tauchen imperiale Einheiten gelegentlich noch auf: in Kochrezepten (</w:t>
      </w:r>
      <w:r>
        <w:rPr>
          <w:i/>
          <w:iCs/>
        </w:rPr>
        <w:t>cups</w:t>
      </w:r>
      <w:r>
        <w:t>, °F), in manchen umgangssprachlichen Wetterangaben und vor allem bei Körpergröße und Gewicht im lockeren Gespräch („5 foot 10“, „180 pounds“) – häufiger bei älteren Generationen und in Grenznähe zu den USA, wo US-Fernsehen und US-Handel den Sprachgebrauch prägen. Behörden, Wetterdienst und Handel bleiben in offiziellen Angaben durchgehend metrisch.</w:t>
      </w:r>
    </w:p>
    <w:p w14:paraId="70A5103A" w14:textId="77777777" w:rsidR="00C1548D" w:rsidRDefault="009B1B4B">
      <w:pPr>
        <w:spacing w:after="140"/>
      </w:pPr>
      <w:r>
        <w:t>Kleidergrößen folgen im kanadischen Handel meist dem US-System (siehe Tabellen im Abschnitt USA oben); die meisten dort verkauften Marken sind ohnehin US-amerikanisch oder international.</w:t>
      </w:r>
    </w:p>
    <w:p w14:paraId="70A5103B" w14:textId="77777777" w:rsidR="00C1548D" w:rsidRDefault="009B1B4B">
      <w:pPr>
        <w:spacing w:after="140"/>
      </w:pPr>
      <w:r>
        <w:t>Beim Strom gilt trotz metrischem Alltag der nordamerikanische Standard – wie in den USA, nicht wie in Deutschland: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4"/>
        <w:gridCol w:w="4606"/>
      </w:tblGrid>
      <w:tr w:rsidR="00C1548D" w14:paraId="70A5103E" w14:textId="77777777">
        <w:tblPrEx>
          <w:tblCellMar>
            <w:top w:w="0" w:type="dxa"/>
            <w:bottom w:w="0" w:type="dxa"/>
          </w:tblCellMar>
        </w:tblPrEx>
        <w:trPr>
          <w:cantSplit/>
          <w:tblHeader/>
        </w:trPr>
        <w:tc>
          <w:tcPr>
            <w:tcW w:w="187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3C" w14:textId="77777777" w:rsidR="00C1548D" w:rsidRDefault="009B1B4B">
            <w:pPr>
              <w:spacing w:line="250" w:lineRule="auto"/>
            </w:pPr>
            <w:r>
              <w:rPr>
                <w:b/>
                <w:bCs/>
                <w:sz w:val="18"/>
                <w:szCs w:val="18"/>
              </w:rPr>
              <w:t>Merkmal</w:t>
            </w:r>
          </w:p>
        </w:tc>
        <w:tc>
          <w:tcPr>
            <w:tcW w:w="460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3D" w14:textId="77777777" w:rsidR="00C1548D" w:rsidRDefault="009B1B4B">
            <w:pPr>
              <w:spacing w:line="250" w:lineRule="auto"/>
            </w:pPr>
            <w:r>
              <w:rPr>
                <w:b/>
                <w:bCs/>
                <w:sz w:val="18"/>
                <w:szCs w:val="18"/>
              </w:rPr>
              <w:t>Kanada</w:t>
            </w:r>
          </w:p>
        </w:tc>
      </w:tr>
      <w:tr w:rsidR="00C1548D" w14:paraId="70A51041" w14:textId="77777777">
        <w:tblPrEx>
          <w:tblCellMar>
            <w:top w:w="0" w:type="dxa"/>
            <w:bottom w:w="0" w:type="dxa"/>
          </w:tblCellMar>
        </w:tblPrEx>
        <w:trPr>
          <w:cantSplit/>
        </w:trPr>
        <w:tc>
          <w:tcPr>
            <w:tcW w:w="18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3F" w14:textId="77777777" w:rsidR="00C1548D" w:rsidRDefault="009B1B4B">
            <w:pPr>
              <w:spacing w:line="250" w:lineRule="auto"/>
            </w:pPr>
            <w:r>
              <w:rPr>
                <w:sz w:val="18"/>
                <w:szCs w:val="18"/>
              </w:rPr>
              <w:t>Spannung</w:t>
            </w:r>
          </w:p>
        </w:tc>
        <w:tc>
          <w:tcPr>
            <w:tcW w:w="46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40" w14:textId="77777777" w:rsidR="00C1548D" w:rsidRDefault="009B1B4B">
            <w:pPr>
              <w:spacing w:line="250" w:lineRule="auto"/>
            </w:pPr>
            <w:r>
              <w:rPr>
                <w:sz w:val="18"/>
                <w:szCs w:val="18"/>
              </w:rPr>
              <w:t>120 V (nominal)</w:t>
            </w:r>
          </w:p>
        </w:tc>
      </w:tr>
      <w:tr w:rsidR="00C1548D" w14:paraId="70A51044" w14:textId="77777777">
        <w:tblPrEx>
          <w:tblCellMar>
            <w:top w:w="0" w:type="dxa"/>
            <w:bottom w:w="0" w:type="dxa"/>
          </w:tblCellMar>
        </w:tblPrEx>
        <w:trPr>
          <w:cantSplit/>
        </w:trPr>
        <w:tc>
          <w:tcPr>
            <w:tcW w:w="18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42" w14:textId="77777777" w:rsidR="00C1548D" w:rsidRDefault="009B1B4B">
            <w:pPr>
              <w:spacing w:line="250" w:lineRule="auto"/>
            </w:pPr>
            <w:r>
              <w:rPr>
                <w:sz w:val="18"/>
                <w:szCs w:val="18"/>
              </w:rPr>
              <w:t>Frequenz</w:t>
            </w:r>
          </w:p>
        </w:tc>
        <w:tc>
          <w:tcPr>
            <w:tcW w:w="46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43" w14:textId="77777777" w:rsidR="00C1548D" w:rsidRDefault="009B1B4B">
            <w:pPr>
              <w:spacing w:line="250" w:lineRule="auto"/>
            </w:pPr>
            <w:r>
              <w:rPr>
                <w:sz w:val="18"/>
                <w:szCs w:val="18"/>
              </w:rPr>
              <w:t>60 Hz</w:t>
            </w:r>
          </w:p>
        </w:tc>
      </w:tr>
      <w:tr w:rsidR="00C1548D" w14:paraId="70A51047" w14:textId="77777777">
        <w:tblPrEx>
          <w:tblCellMar>
            <w:top w:w="0" w:type="dxa"/>
            <w:bottom w:w="0" w:type="dxa"/>
          </w:tblCellMar>
        </w:tblPrEx>
        <w:trPr>
          <w:cantSplit/>
        </w:trPr>
        <w:tc>
          <w:tcPr>
            <w:tcW w:w="18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45" w14:textId="77777777" w:rsidR="00C1548D" w:rsidRDefault="009B1B4B">
            <w:pPr>
              <w:spacing w:line="250" w:lineRule="auto"/>
            </w:pPr>
            <w:r>
              <w:rPr>
                <w:sz w:val="18"/>
                <w:szCs w:val="18"/>
              </w:rPr>
              <w:t>Steckertyp</w:t>
            </w:r>
          </w:p>
        </w:tc>
        <w:tc>
          <w:tcPr>
            <w:tcW w:w="46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46" w14:textId="77777777" w:rsidR="00C1548D" w:rsidRDefault="009B1B4B">
            <w:pPr>
              <w:spacing w:line="250" w:lineRule="auto"/>
            </w:pPr>
            <w:r>
              <w:rPr>
                <w:sz w:val="18"/>
                <w:szCs w:val="18"/>
              </w:rPr>
              <w:t>Typ A / Typ B (identisch mit den USA)</w:t>
            </w:r>
          </w:p>
        </w:tc>
      </w:tr>
    </w:tbl>
    <w:p w14:paraId="70A51048"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104B"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1049" w14:textId="77777777" w:rsidR="00C1548D" w:rsidRDefault="009B1B4B">
            <w:pPr>
              <w:keepNext/>
              <w:spacing w:after="70" w:line="240" w:lineRule="auto"/>
            </w:pPr>
            <w:r>
              <w:rPr>
                <w:b/>
                <w:bCs/>
                <w:color w:val="9B2C2C"/>
                <w:spacing w:val="24"/>
                <w:sz w:val="16"/>
                <w:szCs w:val="16"/>
              </w:rPr>
              <w:lastRenderedPageBreak/>
              <w:t>ACHTUNG</w:t>
            </w:r>
          </w:p>
          <w:p w14:paraId="70A5104A" w14:textId="01EA7CCE" w:rsidR="00C1548D" w:rsidRDefault="009B1B4B">
            <w:pPr>
              <w:spacing w:after="80" w:line="264" w:lineRule="auto"/>
            </w:pPr>
            <w:r>
              <w:rPr>
                <w:sz w:val="20"/>
                <w:szCs w:val="20"/>
              </w:rPr>
              <w:t>Meter und Kilogramm gelten in Kanada wie zu Hause – die Steckdose tut es nicht. Wer nur an die Maßeinheiten denkt und keinen Adapter für nordamerikanische Stecker einpackt, steht mit dem deutschen Ladegerät vor einer Typ-A-Dose (mehr dazu in Kapitel </w:t>
            </w:r>
            <w:hyperlink w:anchor="k21" w:history="1">
              <w:r>
                <w:rPr>
                  <w:sz w:val="20"/>
                  <w:szCs w:val="20"/>
                </w:rPr>
                <w:t>21</w:t>
              </w:r>
            </w:hyperlink>
            <w:r>
              <w:rPr>
                <w:sz w:val="20"/>
                <w:szCs w:val="20"/>
              </w:rPr>
              <w:t>).</w:t>
            </w:r>
          </w:p>
        </w:tc>
      </w:tr>
    </w:tbl>
    <w:p w14:paraId="70A5104C" w14:textId="77777777" w:rsidR="00C1548D" w:rsidRDefault="00C1548D">
      <w:pPr>
        <w:spacing w:line="220" w:lineRule="exact"/>
      </w:pPr>
    </w:p>
    <w:p w14:paraId="70A5104D" w14:textId="77777777" w:rsidR="00C1548D" w:rsidRDefault="009B1B4B">
      <w:pPr>
        <w:spacing w:after="140"/>
      </w:pPr>
      <w:r>
        <w:t>Beim Datum ist Kanada uneinheitlich: Im Alltag sind sowohl MM/DD/YYYY (US-Einfluss) als auch DD/MM/YYYY (britisch-französisch geprägt, vor allem in Québec) gebräuchlich. Behörden und offizielle Formulare nutzen meist das eindeutige Format JJJJ-MM-TT.</w:t>
      </w:r>
    </w:p>
    <w:p w14:paraId="70A5104E" w14:textId="77777777" w:rsidR="00C1548D" w:rsidRDefault="009B1B4B">
      <w:pPr>
        <w:pStyle w:val="Heading3"/>
        <w:keepNext/>
        <w:jc w:val="center"/>
      </w:pPr>
      <w:r>
        <w:rPr>
          <w:rFonts w:ascii="Amazon Ember" w:eastAsia="Amazon Ember" w:hAnsi="Amazon Ember" w:cs="Amazon Ember"/>
          <w:color w:val="0000FF"/>
          <w:sz w:val="36"/>
          <w:szCs w:val="36"/>
        </w:rPr>
        <w:t>Australien</w:t>
      </w:r>
    </w:p>
    <w:p w14:paraId="70A5104F" w14:textId="77777777" w:rsidR="00C1548D" w:rsidRDefault="009B1B4B">
      <w:pPr>
        <w:spacing w:after="140"/>
      </w:pPr>
      <w:r>
        <w:t>Australien misst durchgehend metrisch wie Deutschland: Grad Celsius, Kilometer, Kilogramm, Milliliter und Liter gelten ausnahmslos. Für Temperatur, Länge und Gewicht brauchst du in Australien keine einzige Tabelle – eine echte Erleichterung gegenüber den USA: Was 22 °C, 5 km oder 2 kg bedeuten, weißt du bereits.</w:t>
      </w:r>
    </w:p>
    <w:p w14:paraId="70A51050" w14:textId="77777777" w:rsidR="00C1548D" w:rsidRDefault="009B1B4B">
      <w:pPr>
        <w:spacing w:after="140"/>
      </w:pPr>
      <w:r>
        <w:t>Was wirklich abweicht, ist der Stecker: Australien nutzt Typ I (zwei schräg gestellte Flachstifte, oft mit geradem Erdungsstift) – bei Spannung und Frequenz wie in Deutschland.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5"/>
        <w:gridCol w:w="1815"/>
        <w:gridCol w:w="2850"/>
      </w:tblGrid>
      <w:tr w:rsidR="00C1548D" w14:paraId="70A51054" w14:textId="77777777">
        <w:tblPrEx>
          <w:tblCellMar>
            <w:top w:w="0" w:type="dxa"/>
            <w:bottom w:w="0" w:type="dxa"/>
          </w:tblCellMar>
        </w:tblPrEx>
        <w:trPr>
          <w:cantSplit/>
          <w:tblHeader/>
        </w:trPr>
        <w:tc>
          <w:tcPr>
            <w:tcW w:w="181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51" w14:textId="77777777" w:rsidR="00C1548D" w:rsidRDefault="009B1B4B">
            <w:pPr>
              <w:spacing w:line="250" w:lineRule="auto"/>
            </w:pPr>
            <w:r>
              <w:rPr>
                <w:b/>
                <w:bCs/>
                <w:sz w:val="18"/>
                <w:szCs w:val="18"/>
              </w:rPr>
              <w:t>Merkmal</w:t>
            </w:r>
          </w:p>
        </w:tc>
        <w:tc>
          <w:tcPr>
            <w:tcW w:w="181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52" w14:textId="77777777" w:rsidR="00C1548D" w:rsidRDefault="009B1B4B">
            <w:pPr>
              <w:spacing w:line="250" w:lineRule="auto"/>
            </w:pPr>
            <w:r>
              <w:rPr>
                <w:b/>
                <w:bCs/>
                <w:sz w:val="18"/>
                <w:szCs w:val="18"/>
              </w:rPr>
              <w:t>Australien</w:t>
            </w:r>
          </w:p>
        </w:tc>
        <w:tc>
          <w:tcPr>
            <w:tcW w:w="28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53" w14:textId="77777777" w:rsidR="00C1548D" w:rsidRDefault="009B1B4B">
            <w:pPr>
              <w:spacing w:line="250" w:lineRule="auto"/>
            </w:pPr>
            <w:r>
              <w:rPr>
                <w:b/>
                <w:bCs/>
                <w:sz w:val="18"/>
                <w:szCs w:val="18"/>
              </w:rPr>
              <w:t>Deutschland</w:t>
            </w:r>
          </w:p>
        </w:tc>
      </w:tr>
      <w:tr w:rsidR="00C1548D" w14:paraId="70A51058" w14:textId="77777777">
        <w:tblPrEx>
          <w:tblCellMar>
            <w:top w:w="0" w:type="dxa"/>
            <w:bottom w:w="0" w:type="dxa"/>
          </w:tblCellMar>
        </w:tblPrEx>
        <w:trPr>
          <w:cantSplit/>
        </w:trPr>
        <w:tc>
          <w:tcPr>
            <w:tcW w:w="18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55" w14:textId="77777777" w:rsidR="00C1548D" w:rsidRDefault="009B1B4B">
            <w:pPr>
              <w:spacing w:line="250" w:lineRule="auto"/>
            </w:pPr>
            <w:r>
              <w:rPr>
                <w:sz w:val="18"/>
                <w:szCs w:val="18"/>
              </w:rPr>
              <w:t>Spannung</w:t>
            </w:r>
          </w:p>
        </w:tc>
        <w:tc>
          <w:tcPr>
            <w:tcW w:w="18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56" w14:textId="77777777" w:rsidR="00C1548D" w:rsidRDefault="009B1B4B">
            <w:pPr>
              <w:spacing w:line="250" w:lineRule="auto"/>
            </w:pPr>
            <w:r>
              <w:rPr>
                <w:sz w:val="18"/>
                <w:szCs w:val="18"/>
              </w:rPr>
              <w:t>230 V</w:t>
            </w:r>
          </w:p>
        </w:tc>
        <w:tc>
          <w:tcPr>
            <w:tcW w:w="28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57" w14:textId="77777777" w:rsidR="00C1548D" w:rsidRDefault="009B1B4B">
            <w:pPr>
              <w:spacing w:line="250" w:lineRule="auto"/>
            </w:pPr>
            <w:r>
              <w:rPr>
                <w:sz w:val="18"/>
                <w:szCs w:val="18"/>
              </w:rPr>
              <w:t>230 V</w:t>
            </w:r>
          </w:p>
        </w:tc>
      </w:tr>
      <w:tr w:rsidR="00C1548D" w14:paraId="70A5105C" w14:textId="77777777">
        <w:tblPrEx>
          <w:tblCellMar>
            <w:top w:w="0" w:type="dxa"/>
            <w:bottom w:w="0" w:type="dxa"/>
          </w:tblCellMar>
        </w:tblPrEx>
        <w:trPr>
          <w:cantSplit/>
        </w:trPr>
        <w:tc>
          <w:tcPr>
            <w:tcW w:w="18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59" w14:textId="77777777" w:rsidR="00C1548D" w:rsidRDefault="009B1B4B">
            <w:pPr>
              <w:spacing w:line="250" w:lineRule="auto"/>
            </w:pPr>
            <w:r>
              <w:rPr>
                <w:sz w:val="18"/>
                <w:szCs w:val="18"/>
              </w:rPr>
              <w:t>Frequenz</w:t>
            </w:r>
          </w:p>
        </w:tc>
        <w:tc>
          <w:tcPr>
            <w:tcW w:w="18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5A" w14:textId="77777777" w:rsidR="00C1548D" w:rsidRDefault="009B1B4B">
            <w:pPr>
              <w:spacing w:line="250" w:lineRule="auto"/>
            </w:pPr>
            <w:r>
              <w:rPr>
                <w:sz w:val="18"/>
                <w:szCs w:val="18"/>
              </w:rPr>
              <w:t>50 Hz</w:t>
            </w:r>
          </w:p>
        </w:tc>
        <w:tc>
          <w:tcPr>
            <w:tcW w:w="28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5B" w14:textId="77777777" w:rsidR="00C1548D" w:rsidRDefault="009B1B4B">
            <w:pPr>
              <w:spacing w:line="250" w:lineRule="auto"/>
            </w:pPr>
            <w:r>
              <w:rPr>
                <w:sz w:val="18"/>
                <w:szCs w:val="18"/>
              </w:rPr>
              <w:t>50 Hz</w:t>
            </w:r>
          </w:p>
        </w:tc>
      </w:tr>
      <w:tr w:rsidR="00C1548D" w14:paraId="70A51060" w14:textId="77777777">
        <w:tblPrEx>
          <w:tblCellMar>
            <w:top w:w="0" w:type="dxa"/>
            <w:bottom w:w="0" w:type="dxa"/>
          </w:tblCellMar>
        </w:tblPrEx>
        <w:trPr>
          <w:cantSplit/>
        </w:trPr>
        <w:tc>
          <w:tcPr>
            <w:tcW w:w="18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5D" w14:textId="77777777" w:rsidR="00C1548D" w:rsidRDefault="009B1B4B">
            <w:pPr>
              <w:spacing w:line="250" w:lineRule="auto"/>
            </w:pPr>
            <w:r>
              <w:rPr>
                <w:sz w:val="18"/>
                <w:szCs w:val="18"/>
              </w:rPr>
              <w:t>Steckertyp</w:t>
            </w:r>
          </w:p>
        </w:tc>
        <w:tc>
          <w:tcPr>
            <w:tcW w:w="181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5E" w14:textId="77777777" w:rsidR="00C1548D" w:rsidRDefault="009B1B4B">
            <w:pPr>
              <w:spacing w:line="250" w:lineRule="auto"/>
            </w:pPr>
            <w:r>
              <w:rPr>
                <w:sz w:val="18"/>
                <w:szCs w:val="18"/>
              </w:rPr>
              <w:t>Typ I</w:t>
            </w:r>
          </w:p>
        </w:tc>
        <w:tc>
          <w:tcPr>
            <w:tcW w:w="28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5F" w14:textId="77777777" w:rsidR="00C1548D" w:rsidRDefault="009B1B4B">
            <w:pPr>
              <w:spacing w:line="250" w:lineRule="auto"/>
            </w:pPr>
            <w:r>
              <w:rPr>
                <w:sz w:val="18"/>
                <w:szCs w:val="18"/>
              </w:rPr>
              <w:t>Typ C / Typ F (Schuko)</w:t>
            </w:r>
          </w:p>
        </w:tc>
      </w:tr>
    </w:tbl>
    <w:p w14:paraId="70A51061" w14:textId="77777777" w:rsidR="00C1548D" w:rsidRDefault="00C1548D">
      <w:pPr>
        <w:spacing w:line="180" w:lineRule="exact"/>
      </w:pPr>
    </w:p>
    <w:p w14:paraId="70A51062" w14:textId="12D3252A" w:rsidR="00C1548D" w:rsidRDefault="009B1B4B">
      <w:pPr>
        <w:spacing w:after="140"/>
      </w:pPr>
      <w:r>
        <w:t>Ein deutsches Gerät läuft an australischem Strom also ohne Spannungswandler; ein einfacher Steckeradapter genügt (ausführlich: Kapitel </w:t>
      </w:r>
      <w:hyperlink w:anchor="k21" w:history="1">
        <w:r>
          <w:t>21</w:t>
        </w:r>
      </w:hyperlink>
      <w:r>
        <w:t>).</w:t>
      </w:r>
    </w:p>
    <w:p w14:paraId="70A51063" w14:textId="77777777" w:rsidR="00C1548D" w:rsidRDefault="009B1B4B">
      <w:pPr>
        <w:spacing w:after="140"/>
      </w:pPr>
      <w:r>
        <w:t>Bei Kleidung und Schuhen hat Australien dagegen ein eigenes System, das weder der deutschen noch der US-Größe entspricht, sondern der britischen ähnelt.</w:t>
      </w:r>
    </w:p>
    <w:p w14:paraId="70A51064" w14:textId="77777777" w:rsidR="00C1548D" w:rsidRDefault="009B1B4B">
      <w:pPr>
        <w:spacing w:after="140"/>
      </w:pPr>
      <w:r>
        <w:rPr>
          <w:b/>
          <w:bCs/>
        </w:rPr>
        <w:lastRenderedPageBreak/>
        <w:t>Damen</w:t>
      </w:r>
      <w:r>
        <w:t xml:space="preserve"> (Kleidung; AU entspricht der britischen Größe)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160"/>
        <w:gridCol w:w="2160"/>
      </w:tblGrid>
      <w:tr w:rsidR="00C1548D" w14:paraId="70A51068" w14:textId="77777777">
        <w:tblPrEx>
          <w:tblCellMar>
            <w:top w:w="0" w:type="dxa"/>
            <w:bottom w:w="0" w:type="dxa"/>
          </w:tblCellMar>
        </w:tblPrEx>
        <w:trPr>
          <w:cantSplit/>
          <w:tblHeader/>
        </w:trPr>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65" w14:textId="77777777" w:rsidR="00C1548D" w:rsidRDefault="009B1B4B">
            <w:pPr>
              <w:spacing w:line="250" w:lineRule="auto"/>
            </w:pPr>
            <w:r>
              <w:rPr>
                <w:b/>
                <w:bCs/>
                <w:sz w:val="18"/>
                <w:szCs w:val="18"/>
              </w:rPr>
              <w:t>AU/UK</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66" w14:textId="77777777" w:rsidR="00C1548D" w:rsidRDefault="009B1B4B">
            <w:pPr>
              <w:spacing w:line="250" w:lineRule="auto"/>
            </w:pPr>
            <w:r>
              <w:rPr>
                <w:b/>
                <w:bCs/>
                <w:sz w:val="18"/>
                <w:szCs w:val="18"/>
              </w:rPr>
              <w:t>Deutschland (EU)</w:t>
            </w:r>
          </w:p>
        </w:tc>
        <w:tc>
          <w:tcPr>
            <w:tcW w:w="21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67" w14:textId="77777777" w:rsidR="00C1548D" w:rsidRDefault="009B1B4B">
            <w:pPr>
              <w:spacing w:line="250" w:lineRule="auto"/>
            </w:pPr>
            <w:r>
              <w:rPr>
                <w:b/>
                <w:bCs/>
                <w:sz w:val="18"/>
                <w:szCs w:val="18"/>
              </w:rPr>
              <w:t>USA</w:t>
            </w:r>
          </w:p>
        </w:tc>
      </w:tr>
      <w:tr w:rsidR="00C1548D" w14:paraId="70A5106C"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69" w14:textId="77777777" w:rsidR="00C1548D" w:rsidRDefault="009B1B4B">
            <w:pPr>
              <w:spacing w:line="250" w:lineRule="auto"/>
            </w:pPr>
            <w:r>
              <w:rPr>
                <w:sz w:val="18"/>
                <w:szCs w:val="18"/>
              </w:rPr>
              <w:t>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6A" w14:textId="77777777" w:rsidR="00C1548D" w:rsidRDefault="009B1B4B">
            <w:pPr>
              <w:spacing w:line="250" w:lineRule="auto"/>
            </w:pPr>
            <w:r>
              <w:rPr>
                <w:sz w:val="18"/>
                <w:szCs w:val="18"/>
              </w:rPr>
              <w:t>36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6B" w14:textId="77777777" w:rsidR="00C1548D" w:rsidRDefault="009B1B4B">
            <w:pPr>
              <w:spacing w:line="250" w:lineRule="auto"/>
            </w:pPr>
            <w:r>
              <w:rPr>
                <w:sz w:val="18"/>
                <w:szCs w:val="18"/>
              </w:rPr>
              <w:t>4</w:t>
            </w:r>
          </w:p>
        </w:tc>
      </w:tr>
      <w:tr w:rsidR="00C1548D" w14:paraId="70A51070"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6D" w14:textId="77777777" w:rsidR="00C1548D" w:rsidRDefault="009B1B4B">
            <w:pPr>
              <w:spacing w:line="250" w:lineRule="auto"/>
            </w:pPr>
            <w:r>
              <w:rPr>
                <w:sz w:val="18"/>
                <w:szCs w:val="18"/>
              </w:rPr>
              <w:t>10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6E" w14:textId="77777777" w:rsidR="00C1548D" w:rsidRDefault="009B1B4B">
            <w:pPr>
              <w:spacing w:line="250" w:lineRule="auto"/>
            </w:pPr>
            <w:r>
              <w:rPr>
                <w:sz w:val="18"/>
                <w:szCs w:val="18"/>
              </w:rPr>
              <w:t>38</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6F" w14:textId="77777777" w:rsidR="00C1548D" w:rsidRDefault="009B1B4B">
            <w:pPr>
              <w:spacing w:line="250" w:lineRule="auto"/>
            </w:pPr>
            <w:r>
              <w:rPr>
                <w:sz w:val="18"/>
                <w:szCs w:val="18"/>
              </w:rPr>
              <w:t>6</w:t>
            </w:r>
          </w:p>
        </w:tc>
      </w:tr>
      <w:tr w:rsidR="00C1548D" w14:paraId="70A51074"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71" w14:textId="77777777" w:rsidR="00C1548D" w:rsidRDefault="009B1B4B">
            <w:pPr>
              <w:spacing w:line="250" w:lineRule="auto"/>
            </w:pPr>
            <w:r>
              <w:rPr>
                <w:sz w:val="18"/>
                <w:szCs w:val="18"/>
              </w:rPr>
              <w:t>12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72" w14:textId="77777777" w:rsidR="00C1548D" w:rsidRDefault="009B1B4B">
            <w:pPr>
              <w:spacing w:line="250" w:lineRule="auto"/>
            </w:pPr>
            <w:r>
              <w:rPr>
                <w:sz w:val="18"/>
                <w:szCs w:val="18"/>
              </w:rPr>
              <w:t>40</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73" w14:textId="77777777" w:rsidR="00C1548D" w:rsidRDefault="009B1B4B">
            <w:pPr>
              <w:spacing w:line="250" w:lineRule="auto"/>
            </w:pPr>
            <w:r>
              <w:rPr>
                <w:sz w:val="18"/>
                <w:szCs w:val="18"/>
              </w:rPr>
              <w:t>8</w:t>
            </w:r>
          </w:p>
        </w:tc>
      </w:tr>
      <w:tr w:rsidR="00C1548D" w14:paraId="70A51078"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75" w14:textId="77777777" w:rsidR="00C1548D" w:rsidRDefault="009B1B4B">
            <w:pPr>
              <w:spacing w:line="250" w:lineRule="auto"/>
            </w:pPr>
            <w:r>
              <w:rPr>
                <w:sz w:val="18"/>
                <w:szCs w:val="18"/>
              </w:rPr>
              <w:t>14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76" w14:textId="77777777" w:rsidR="00C1548D" w:rsidRDefault="009B1B4B">
            <w:pPr>
              <w:spacing w:line="250" w:lineRule="auto"/>
            </w:pPr>
            <w:r>
              <w:rPr>
                <w:sz w:val="18"/>
                <w:szCs w:val="18"/>
              </w:rPr>
              <w:t>42</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77" w14:textId="77777777" w:rsidR="00C1548D" w:rsidRDefault="009B1B4B">
            <w:pPr>
              <w:spacing w:line="250" w:lineRule="auto"/>
            </w:pPr>
            <w:r>
              <w:rPr>
                <w:sz w:val="18"/>
                <w:szCs w:val="18"/>
              </w:rPr>
              <w:t>10</w:t>
            </w:r>
          </w:p>
        </w:tc>
      </w:tr>
      <w:tr w:rsidR="00C1548D" w14:paraId="70A5107C" w14:textId="77777777">
        <w:tblPrEx>
          <w:tblCellMar>
            <w:top w:w="0" w:type="dxa"/>
            <w:bottom w:w="0" w:type="dxa"/>
          </w:tblCellMar>
        </w:tblPrEx>
        <w:trPr>
          <w:cantSplit/>
        </w:trPr>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79" w14:textId="77777777" w:rsidR="00C1548D" w:rsidRDefault="009B1B4B">
            <w:pPr>
              <w:spacing w:line="250" w:lineRule="auto"/>
            </w:pPr>
            <w:r>
              <w:rPr>
                <w:sz w:val="18"/>
                <w:szCs w:val="18"/>
              </w:rPr>
              <w:t>16</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7A" w14:textId="77777777" w:rsidR="00C1548D" w:rsidRDefault="009B1B4B">
            <w:pPr>
              <w:spacing w:line="250" w:lineRule="auto"/>
            </w:pPr>
            <w:r>
              <w:rPr>
                <w:sz w:val="18"/>
                <w:szCs w:val="18"/>
              </w:rPr>
              <w:t>44</w:t>
            </w:r>
          </w:p>
        </w:tc>
        <w:tc>
          <w:tcPr>
            <w:tcW w:w="21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7B" w14:textId="77777777" w:rsidR="00C1548D" w:rsidRDefault="009B1B4B">
            <w:pPr>
              <w:spacing w:line="250" w:lineRule="auto"/>
            </w:pPr>
            <w:r>
              <w:rPr>
                <w:sz w:val="18"/>
                <w:szCs w:val="18"/>
              </w:rPr>
              <w:t>12</w:t>
            </w:r>
          </w:p>
        </w:tc>
      </w:tr>
    </w:tbl>
    <w:p w14:paraId="70A5107D" w14:textId="77777777" w:rsidR="00C1548D" w:rsidRDefault="00C1548D">
      <w:pPr>
        <w:spacing w:line="180" w:lineRule="exact"/>
      </w:pPr>
    </w:p>
    <w:p w14:paraId="70A5107E" w14:textId="77777777" w:rsidR="00C1548D" w:rsidRDefault="009B1B4B">
      <w:pPr>
        <w:spacing w:after="140"/>
      </w:pPr>
      <w:r>
        <w:t>Bei Herrenanzügen und -hemden gelten in Australien dieselben Zoll-Nummern wie in den USA (siehe Tabelle im Abschnitt USA); die deutsche Entsprechung ist identisch.</w:t>
      </w:r>
    </w:p>
    <w:p w14:paraId="70A5107F" w14:textId="77777777" w:rsidR="00C1548D" w:rsidRDefault="009B1B4B">
      <w:pPr>
        <w:spacing w:after="140"/>
      </w:pPr>
      <w:r>
        <w:rPr>
          <w:b/>
          <w:bCs/>
        </w:rPr>
        <w:t>Schuhe</w:t>
      </w:r>
      <w:r>
        <w:t xml:space="preserve"> (Damen- und Herrengrößen laufen unterschiedlich zur EU-Skala versetzt)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0"/>
        <w:gridCol w:w="1620"/>
        <w:gridCol w:w="1620"/>
        <w:gridCol w:w="1620"/>
      </w:tblGrid>
      <w:tr w:rsidR="00C1548D" w14:paraId="70A51084" w14:textId="77777777">
        <w:tblPrEx>
          <w:tblCellMar>
            <w:top w:w="0" w:type="dxa"/>
            <w:bottom w:w="0" w:type="dxa"/>
          </w:tblCellMar>
        </w:tblPrEx>
        <w:trPr>
          <w:cantSplit/>
          <w:tblHeader/>
        </w:trPr>
        <w:tc>
          <w:tcPr>
            <w:tcW w:w="162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80" w14:textId="77777777" w:rsidR="00C1548D" w:rsidRDefault="009B1B4B">
            <w:pPr>
              <w:spacing w:line="250" w:lineRule="auto"/>
            </w:pPr>
            <w:r>
              <w:rPr>
                <w:b/>
                <w:bCs/>
                <w:sz w:val="18"/>
                <w:szCs w:val="18"/>
              </w:rPr>
              <w:t>EU</w:t>
            </w:r>
          </w:p>
        </w:tc>
        <w:tc>
          <w:tcPr>
            <w:tcW w:w="162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81" w14:textId="77777777" w:rsidR="00C1548D" w:rsidRDefault="009B1B4B">
            <w:pPr>
              <w:spacing w:line="250" w:lineRule="auto"/>
            </w:pPr>
            <w:r>
              <w:rPr>
                <w:b/>
                <w:bCs/>
                <w:sz w:val="18"/>
                <w:szCs w:val="18"/>
              </w:rPr>
              <w:t>Damen (AU = US)</w:t>
            </w:r>
          </w:p>
        </w:tc>
        <w:tc>
          <w:tcPr>
            <w:tcW w:w="162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82" w14:textId="77777777" w:rsidR="00C1548D" w:rsidRDefault="009B1B4B">
            <w:pPr>
              <w:spacing w:line="250" w:lineRule="auto"/>
            </w:pPr>
            <w:r>
              <w:rPr>
                <w:b/>
                <w:bCs/>
                <w:sz w:val="18"/>
                <w:szCs w:val="18"/>
              </w:rPr>
              <w:t>Herren AU/UK</w:t>
            </w:r>
          </w:p>
        </w:tc>
        <w:tc>
          <w:tcPr>
            <w:tcW w:w="162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83" w14:textId="77777777" w:rsidR="00C1548D" w:rsidRDefault="009B1B4B">
            <w:pPr>
              <w:spacing w:line="250" w:lineRule="auto"/>
            </w:pPr>
            <w:r>
              <w:rPr>
                <w:b/>
                <w:bCs/>
                <w:sz w:val="18"/>
                <w:szCs w:val="18"/>
              </w:rPr>
              <w:t>Herren US</w:t>
            </w:r>
          </w:p>
        </w:tc>
      </w:tr>
      <w:tr w:rsidR="00C1548D" w14:paraId="70A51089" w14:textId="77777777">
        <w:tblPrEx>
          <w:tblCellMar>
            <w:top w:w="0" w:type="dxa"/>
            <w:bottom w:w="0" w:type="dxa"/>
          </w:tblCellMar>
        </w:tblPrEx>
        <w:trPr>
          <w:cantSplit/>
        </w:trPr>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85" w14:textId="77777777" w:rsidR="00C1548D" w:rsidRDefault="009B1B4B">
            <w:pPr>
              <w:spacing w:line="250" w:lineRule="auto"/>
            </w:pPr>
            <w:r>
              <w:rPr>
                <w:sz w:val="18"/>
                <w:szCs w:val="18"/>
              </w:rPr>
              <w:t>37</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86" w14:textId="77777777" w:rsidR="00C1548D" w:rsidRDefault="009B1B4B">
            <w:pPr>
              <w:spacing w:line="250" w:lineRule="auto"/>
            </w:pPr>
            <w:r>
              <w:rPr>
                <w:sz w:val="18"/>
                <w:szCs w:val="18"/>
              </w:rPr>
              <w:t>6</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87" w14:textId="77777777" w:rsidR="00C1548D" w:rsidRDefault="009B1B4B">
            <w:pPr>
              <w:spacing w:line="250" w:lineRule="auto"/>
            </w:pPr>
            <w:r>
              <w:rPr>
                <w:sz w:val="18"/>
                <w:szCs w:val="18"/>
              </w:rPr>
              <w:t>4</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88" w14:textId="77777777" w:rsidR="00C1548D" w:rsidRDefault="009B1B4B">
            <w:pPr>
              <w:spacing w:line="250" w:lineRule="auto"/>
            </w:pPr>
            <w:r>
              <w:rPr>
                <w:sz w:val="18"/>
                <w:szCs w:val="18"/>
              </w:rPr>
              <w:t>5</w:t>
            </w:r>
          </w:p>
        </w:tc>
      </w:tr>
      <w:tr w:rsidR="00C1548D" w14:paraId="70A5108E" w14:textId="77777777">
        <w:tblPrEx>
          <w:tblCellMar>
            <w:top w:w="0" w:type="dxa"/>
            <w:bottom w:w="0" w:type="dxa"/>
          </w:tblCellMar>
        </w:tblPrEx>
        <w:trPr>
          <w:cantSplit/>
        </w:trPr>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8A" w14:textId="77777777" w:rsidR="00C1548D" w:rsidRDefault="009B1B4B">
            <w:pPr>
              <w:spacing w:line="250" w:lineRule="auto"/>
            </w:pPr>
            <w:r>
              <w:rPr>
                <w:sz w:val="18"/>
                <w:szCs w:val="18"/>
              </w:rPr>
              <w:t>38</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8B" w14:textId="77777777" w:rsidR="00C1548D" w:rsidRDefault="009B1B4B">
            <w:pPr>
              <w:spacing w:line="250" w:lineRule="auto"/>
            </w:pPr>
            <w:r>
              <w:rPr>
                <w:sz w:val="18"/>
                <w:szCs w:val="18"/>
              </w:rPr>
              <w:t>7</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8C" w14:textId="77777777" w:rsidR="00C1548D" w:rsidRDefault="009B1B4B">
            <w:pPr>
              <w:spacing w:line="250" w:lineRule="auto"/>
            </w:pPr>
            <w:r>
              <w:rPr>
                <w:sz w:val="18"/>
                <w:szCs w:val="18"/>
              </w:rPr>
              <w:t>5</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8D" w14:textId="77777777" w:rsidR="00C1548D" w:rsidRDefault="009B1B4B">
            <w:pPr>
              <w:spacing w:line="250" w:lineRule="auto"/>
            </w:pPr>
            <w:r>
              <w:rPr>
                <w:sz w:val="18"/>
                <w:szCs w:val="18"/>
              </w:rPr>
              <w:t>6</w:t>
            </w:r>
          </w:p>
        </w:tc>
      </w:tr>
      <w:tr w:rsidR="00C1548D" w14:paraId="70A51093" w14:textId="77777777">
        <w:tblPrEx>
          <w:tblCellMar>
            <w:top w:w="0" w:type="dxa"/>
            <w:bottom w:w="0" w:type="dxa"/>
          </w:tblCellMar>
        </w:tblPrEx>
        <w:trPr>
          <w:cantSplit/>
        </w:trPr>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8F" w14:textId="77777777" w:rsidR="00C1548D" w:rsidRDefault="009B1B4B">
            <w:pPr>
              <w:spacing w:line="250" w:lineRule="auto"/>
            </w:pPr>
            <w:r>
              <w:rPr>
                <w:sz w:val="18"/>
                <w:szCs w:val="18"/>
              </w:rPr>
              <w:t>39</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0" w14:textId="77777777" w:rsidR="00C1548D" w:rsidRDefault="009B1B4B">
            <w:pPr>
              <w:spacing w:line="250" w:lineRule="auto"/>
            </w:pPr>
            <w:r>
              <w:rPr>
                <w:sz w:val="18"/>
                <w:szCs w:val="18"/>
              </w:rPr>
              <w:t>8</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1" w14:textId="77777777" w:rsidR="00C1548D" w:rsidRDefault="009B1B4B">
            <w:pPr>
              <w:spacing w:line="250" w:lineRule="auto"/>
            </w:pPr>
            <w:r>
              <w:rPr>
                <w:sz w:val="18"/>
                <w:szCs w:val="18"/>
              </w:rPr>
              <w:t>6</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2" w14:textId="77777777" w:rsidR="00C1548D" w:rsidRDefault="009B1B4B">
            <w:pPr>
              <w:spacing w:line="250" w:lineRule="auto"/>
            </w:pPr>
            <w:r>
              <w:rPr>
                <w:sz w:val="18"/>
                <w:szCs w:val="18"/>
              </w:rPr>
              <w:t>7</w:t>
            </w:r>
          </w:p>
        </w:tc>
      </w:tr>
      <w:tr w:rsidR="00C1548D" w14:paraId="70A51098" w14:textId="77777777">
        <w:tblPrEx>
          <w:tblCellMar>
            <w:top w:w="0" w:type="dxa"/>
            <w:bottom w:w="0" w:type="dxa"/>
          </w:tblCellMar>
        </w:tblPrEx>
        <w:trPr>
          <w:cantSplit/>
        </w:trPr>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4" w14:textId="77777777" w:rsidR="00C1548D" w:rsidRDefault="009B1B4B">
            <w:pPr>
              <w:spacing w:line="250" w:lineRule="auto"/>
            </w:pPr>
            <w:r>
              <w:rPr>
                <w:sz w:val="18"/>
                <w:szCs w:val="18"/>
              </w:rPr>
              <w:t>40</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5" w14:textId="77777777" w:rsidR="00C1548D" w:rsidRDefault="009B1B4B">
            <w:pPr>
              <w:spacing w:line="250" w:lineRule="auto"/>
            </w:pPr>
            <w:r>
              <w:rPr>
                <w:sz w:val="18"/>
                <w:szCs w:val="18"/>
              </w:rPr>
              <w:t>9</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6" w14:textId="77777777" w:rsidR="00C1548D" w:rsidRDefault="009B1B4B">
            <w:pPr>
              <w:spacing w:line="250" w:lineRule="auto"/>
            </w:pPr>
            <w:r>
              <w:rPr>
                <w:sz w:val="18"/>
                <w:szCs w:val="18"/>
              </w:rPr>
              <w:t>7</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7" w14:textId="77777777" w:rsidR="00C1548D" w:rsidRDefault="009B1B4B">
            <w:pPr>
              <w:spacing w:line="250" w:lineRule="auto"/>
            </w:pPr>
            <w:r>
              <w:rPr>
                <w:sz w:val="18"/>
                <w:szCs w:val="18"/>
              </w:rPr>
              <w:t>8</w:t>
            </w:r>
          </w:p>
        </w:tc>
      </w:tr>
      <w:tr w:rsidR="00C1548D" w14:paraId="70A5109D" w14:textId="77777777">
        <w:tblPrEx>
          <w:tblCellMar>
            <w:top w:w="0" w:type="dxa"/>
            <w:bottom w:w="0" w:type="dxa"/>
          </w:tblCellMar>
        </w:tblPrEx>
        <w:trPr>
          <w:cantSplit/>
        </w:trPr>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9" w14:textId="77777777" w:rsidR="00C1548D" w:rsidRDefault="009B1B4B">
            <w:pPr>
              <w:spacing w:line="250" w:lineRule="auto"/>
            </w:pPr>
            <w:r>
              <w:rPr>
                <w:sz w:val="18"/>
                <w:szCs w:val="18"/>
              </w:rPr>
              <w:t>41</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A" w14:textId="77777777" w:rsidR="00C1548D" w:rsidRDefault="009B1B4B">
            <w:pPr>
              <w:spacing w:line="250" w:lineRule="auto"/>
            </w:pPr>
            <w:r>
              <w:rPr>
                <w:sz w:val="18"/>
                <w:szCs w:val="18"/>
              </w:rPr>
              <w:t>10</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B" w14:textId="77777777" w:rsidR="00C1548D" w:rsidRDefault="009B1B4B">
            <w:pPr>
              <w:spacing w:line="250" w:lineRule="auto"/>
            </w:pPr>
            <w:r>
              <w:rPr>
                <w:sz w:val="18"/>
                <w:szCs w:val="18"/>
              </w:rPr>
              <w:t>8</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C" w14:textId="77777777" w:rsidR="00C1548D" w:rsidRDefault="009B1B4B">
            <w:pPr>
              <w:spacing w:line="250" w:lineRule="auto"/>
            </w:pPr>
            <w:r>
              <w:rPr>
                <w:sz w:val="18"/>
                <w:szCs w:val="18"/>
              </w:rPr>
              <w:t>9</w:t>
            </w:r>
          </w:p>
        </w:tc>
      </w:tr>
      <w:tr w:rsidR="00C1548D" w14:paraId="70A510A2" w14:textId="77777777">
        <w:tblPrEx>
          <w:tblCellMar>
            <w:top w:w="0" w:type="dxa"/>
            <w:bottom w:w="0" w:type="dxa"/>
          </w:tblCellMar>
        </w:tblPrEx>
        <w:trPr>
          <w:cantSplit/>
        </w:trPr>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E" w14:textId="77777777" w:rsidR="00C1548D" w:rsidRDefault="009B1B4B">
            <w:pPr>
              <w:spacing w:line="250" w:lineRule="auto"/>
            </w:pPr>
            <w:r>
              <w:rPr>
                <w:sz w:val="18"/>
                <w:szCs w:val="18"/>
              </w:rPr>
              <w:t>42</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9F" w14:textId="77777777" w:rsidR="00C1548D" w:rsidRDefault="009B1B4B">
            <w:pPr>
              <w:spacing w:line="250" w:lineRule="auto"/>
            </w:pPr>
            <w:r>
              <w:rPr>
                <w:sz w:val="18"/>
                <w:szCs w:val="18"/>
              </w:rPr>
              <w:t>11</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A0" w14:textId="77777777" w:rsidR="00C1548D" w:rsidRDefault="009B1B4B">
            <w:pPr>
              <w:spacing w:line="250" w:lineRule="auto"/>
            </w:pPr>
            <w:r>
              <w:rPr>
                <w:sz w:val="18"/>
                <w:szCs w:val="18"/>
              </w:rPr>
              <w:t>9</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A1" w14:textId="77777777" w:rsidR="00C1548D" w:rsidRDefault="009B1B4B">
            <w:pPr>
              <w:spacing w:line="250" w:lineRule="auto"/>
            </w:pPr>
            <w:r>
              <w:rPr>
                <w:sz w:val="18"/>
                <w:szCs w:val="18"/>
              </w:rPr>
              <w:t>10</w:t>
            </w:r>
          </w:p>
        </w:tc>
      </w:tr>
      <w:tr w:rsidR="00C1548D" w14:paraId="70A510A7" w14:textId="77777777">
        <w:tblPrEx>
          <w:tblCellMar>
            <w:top w:w="0" w:type="dxa"/>
            <w:bottom w:w="0" w:type="dxa"/>
          </w:tblCellMar>
        </w:tblPrEx>
        <w:trPr>
          <w:cantSplit/>
        </w:trPr>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A3" w14:textId="77777777" w:rsidR="00C1548D" w:rsidRDefault="009B1B4B">
            <w:pPr>
              <w:spacing w:line="250" w:lineRule="auto"/>
            </w:pPr>
            <w:r>
              <w:rPr>
                <w:sz w:val="18"/>
                <w:szCs w:val="18"/>
              </w:rPr>
              <w:t>43</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A4" w14:textId="77777777" w:rsidR="00C1548D" w:rsidRDefault="009B1B4B">
            <w:pPr>
              <w:spacing w:line="250" w:lineRule="auto"/>
            </w:pPr>
            <w:r>
              <w:rPr>
                <w:sz w:val="18"/>
                <w:szCs w:val="18"/>
              </w:rPr>
              <w:t>12</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A5" w14:textId="77777777" w:rsidR="00C1548D" w:rsidRDefault="009B1B4B">
            <w:pPr>
              <w:spacing w:line="250" w:lineRule="auto"/>
            </w:pPr>
            <w:r>
              <w:rPr>
                <w:sz w:val="18"/>
                <w:szCs w:val="18"/>
              </w:rPr>
              <w:t>10</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A6" w14:textId="77777777" w:rsidR="00C1548D" w:rsidRDefault="009B1B4B">
            <w:pPr>
              <w:spacing w:line="250" w:lineRule="auto"/>
            </w:pPr>
            <w:r>
              <w:rPr>
                <w:sz w:val="18"/>
                <w:szCs w:val="18"/>
              </w:rPr>
              <w:t>11</w:t>
            </w:r>
          </w:p>
        </w:tc>
      </w:tr>
      <w:tr w:rsidR="00C1548D" w14:paraId="70A510AC" w14:textId="77777777">
        <w:tblPrEx>
          <w:tblCellMar>
            <w:top w:w="0" w:type="dxa"/>
            <w:bottom w:w="0" w:type="dxa"/>
          </w:tblCellMar>
        </w:tblPrEx>
        <w:trPr>
          <w:cantSplit/>
        </w:trPr>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A8" w14:textId="77777777" w:rsidR="00C1548D" w:rsidRDefault="009B1B4B">
            <w:pPr>
              <w:spacing w:line="250" w:lineRule="auto"/>
            </w:pPr>
            <w:r>
              <w:rPr>
                <w:sz w:val="18"/>
                <w:szCs w:val="18"/>
              </w:rPr>
              <w:t>44</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A9" w14:textId="77777777" w:rsidR="00C1548D" w:rsidRDefault="009B1B4B">
            <w:pPr>
              <w:spacing w:line="250" w:lineRule="auto"/>
            </w:pPr>
            <w:r>
              <w:rPr>
                <w:sz w:val="18"/>
                <w:szCs w:val="18"/>
              </w:rPr>
              <w:t>13</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AA" w14:textId="77777777" w:rsidR="00C1548D" w:rsidRDefault="009B1B4B">
            <w:pPr>
              <w:spacing w:line="250" w:lineRule="auto"/>
            </w:pPr>
            <w:r>
              <w:rPr>
                <w:sz w:val="18"/>
                <w:szCs w:val="18"/>
              </w:rPr>
              <w:t>11</w:t>
            </w:r>
          </w:p>
        </w:tc>
        <w:tc>
          <w:tcPr>
            <w:tcW w:w="1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AB" w14:textId="77777777" w:rsidR="00C1548D" w:rsidRDefault="009B1B4B">
            <w:pPr>
              <w:spacing w:line="250" w:lineRule="auto"/>
            </w:pPr>
            <w:r>
              <w:rPr>
                <w:sz w:val="18"/>
                <w:szCs w:val="18"/>
              </w:rPr>
              <w:t>12</w:t>
            </w:r>
          </w:p>
        </w:tc>
      </w:tr>
    </w:tbl>
    <w:p w14:paraId="70A510AD" w14:textId="77777777" w:rsidR="00C1548D" w:rsidRDefault="00C1548D">
      <w:pPr>
        <w:spacing w:line="180" w:lineRule="exact"/>
      </w:pPr>
    </w:p>
    <w:p w14:paraId="70A510AE" w14:textId="77777777" w:rsidR="00C1548D" w:rsidRDefault="009B1B4B">
      <w:pPr>
        <w:spacing w:after="140"/>
      </w:pPr>
      <w:r>
        <w:t>Bei Damenschuhen entspricht die australische Größe der US-Größe, bei Herrenschuhen der britischen – die US-Größe liegt dort eine Nummer höher. Wie überall gilt: Näherungswerte, im Zweifel nach Fußlänge in Zentimetern kaufen.</w:t>
      </w:r>
    </w:p>
    <w:p w14:paraId="70A510AF" w14:textId="77777777" w:rsidR="00C1548D" w:rsidRDefault="009B1B4B">
      <w:pPr>
        <w:spacing w:after="140"/>
      </w:pPr>
      <w:r>
        <w:t>Papierformat und Datum folgen ebenfalls dem deutschen Muster: Australien nutzt A4 als Standardformat (kein Letter oder Legal), und das Datum wird TT/MM/JJJJ geschrieben – wie in Deutschland, nur mit Schrägstrich statt Punkt (23/09/2026 statt 23.09.2026).</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10B2" w14:textId="77777777">
        <w:tblPrEx>
          <w:tblCellMar>
            <w:top w:w="0" w:type="dxa"/>
            <w:bottom w:w="0" w:type="dxa"/>
          </w:tblCellMar>
        </w:tblPrEx>
        <w:trPr>
          <w:cantSplit/>
        </w:trPr>
        <w:tc>
          <w:tcPr>
            <w:tcW w:w="6480" w:type="dxa"/>
            <w:tcBorders>
              <w:top w:val="none" w:sz="0" w:space="0" w:color="FFFFFF"/>
              <w:left w:val="single" w:sz="24" w:space="0" w:color="8A6212"/>
              <w:bottom w:val="none" w:sz="0" w:space="0" w:color="FFFFFF"/>
              <w:right w:val="none" w:sz="0" w:space="0" w:color="FFFFFF"/>
            </w:tcBorders>
            <w:shd w:val="clear" w:color="auto" w:fill="FBF5E4"/>
            <w:tcMar>
              <w:top w:w="110" w:type="dxa"/>
              <w:left w:w="200" w:type="dxa"/>
              <w:bottom w:w="80" w:type="dxa"/>
              <w:right w:w="160" w:type="dxa"/>
            </w:tcMar>
          </w:tcPr>
          <w:p w14:paraId="70A510B0" w14:textId="77777777" w:rsidR="00C1548D" w:rsidRDefault="009B1B4B">
            <w:pPr>
              <w:keepNext/>
              <w:spacing w:after="70" w:line="240" w:lineRule="auto"/>
            </w:pPr>
            <w:r>
              <w:rPr>
                <w:b/>
                <w:bCs/>
                <w:color w:val="8A6212"/>
                <w:spacing w:val="24"/>
                <w:sz w:val="16"/>
                <w:szCs w:val="16"/>
              </w:rPr>
              <w:lastRenderedPageBreak/>
              <w:t>MERKE</w:t>
            </w:r>
          </w:p>
          <w:p w14:paraId="70A510B1" w14:textId="77777777" w:rsidR="00C1548D" w:rsidRDefault="009B1B4B">
            <w:pPr>
              <w:spacing w:after="80" w:line="264" w:lineRule="auto"/>
            </w:pPr>
            <w:r>
              <w:rPr>
                <w:sz w:val="20"/>
                <w:szCs w:val="20"/>
              </w:rPr>
              <w:t>Australien ist beim Messen praktisch ein zweites Deutschland. Die einzige Umstellung, die wirklich zählt, betrifft Stecker und Kleidergröße – nicht Kilo, Meter oder Grad.</w:t>
            </w:r>
          </w:p>
        </w:tc>
      </w:tr>
    </w:tbl>
    <w:p w14:paraId="70A510B3" w14:textId="77777777" w:rsidR="00C1548D" w:rsidRDefault="00C1548D">
      <w:pPr>
        <w:spacing w:line="220" w:lineRule="exact"/>
      </w:pPr>
    </w:p>
    <w:p w14:paraId="70A510B4" w14:textId="77777777" w:rsidR="00C1548D" w:rsidRDefault="009B1B4B">
      <w:pPr>
        <w:pStyle w:val="Heading3"/>
        <w:keepNext/>
        <w:jc w:val="center"/>
      </w:pPr>
      <w:r>
        <w:rPr>
          <w:rFonts w:ascii="Amazon Ember" w:eastAsia="Amazon Ember" w:hAnsi="Amazon Ember" w:cs="Amazon Ember"/>
          <w:color w:val="0000FF"/>
          <w:sz w:val="36"/>
          <w:szCs w:val="36"/>
        </w:rPr>
        <w:t>Neuseeland</w:t>
      </w:r>
    </w:p>
    <w:p w14:paraId="70A510B5" w14:textId="77777777" w:rsidR="00C1548D" w:rsidRDefault="009B1B4B">
      <w:pPr>
        <w:spacing w:after="140"/>
      </w:pPr>
      <w:r>
        <w:t>Neuseeland misst wie Australien vollständig metrisch (Grad Celsius, Kilometer, Kilogramm, Milliliter und Liter) und nutzt denselben Steckertyp I bei 230 V und 50 Hz. Auch Papierformat (A4) und Datumsformat (TT/MM/JJJJ) folgen derselben Logik wie in Australien und Deutschland – ausführliche Tabellen dazu stehen im Abschnitt Australien oben.</w:t>
      </w:r>
    </w:p>
    <w:p w14:paraId="70A510B6" w14:textId="77777777" w:rsidR="00C1548D" w:rsidRDefault="009B1B4B">
      <w:pPr>
        <w:spacing w:after="140"/>
      </w:pPr>
      <w:r>
        <w:t>Bei Kleider- und Schuhgrößen orientiert sich Neuseeland eng an Australien, mit einer Abweichung: Während australische Herrenschuhe der britischen Größe folgen, rechnen viele neuseeländische Marken und Händler inzwischen direkt in US-Größen. Ein neuseeländischer Herren-„9“ ist damit oft schon die US-Größe, nicht die eine Nummer kleinere australische. Bei Damenschuhen und bei Kleidung gilt dagegen dieselbe Skala wie in Australien (siehe Tabellen oben).</w:t>
      </w: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10B9" w14:textId="77777777">
        <w:tblPrEx>
          <w:tblCellMar>
            <w:top w:w="0" w:type="dxa"/>
            <w:bottom w:w="0" w:type="dxa"/>
          </w:tblCellMar>
        </w:tblPrEx>
        <w:trPr>
          <w:cantSplit/>
        </w:trPr>
        <w:tc>
          <w:tcPr>
            <w:tcW w:w="6480" w:type="dxa"/>
            <w:tcBorders>
              <w:top w:val="none" w:sz="0" w:space="0" w:color="FFFFFF"/>
              <w:left w:val="single" w:sz="24" w:space="0" w:color="9B2C2C"/>
              <w:bottom w:val="none" w:sz="0" w:space="0" w:color="FFFFFF"/>
              <w:right w:val="none" w:sz="0" w:space="0" w:color="FFFFFF"/>
            </w:tcBorders>
            <w:shd w:val="clear" w:color="auto" w:fill="FAEEEE"/>
            <w:tcMar>
              <w:top w:w="110" w:type="dxa"/>
              <w:left w:w="200" w:type="dxa"/>
              <w:bottom w:w="80" w:type="dxa"/>
              <w:right w:w="160" w:type="dxa"/>
            </w:tcMar>
          </w:tcPr>
          <w:p w14:paraId="70A510B7" w14:textId="77777777" w:rsidR="00C1548D" w:rsidRDefault="009B1B4B">
            <w:pPr>
              <w:keepNext/>
              <w:spacing w:after="70" w:line="240" w:lineRule="auto"/>
            </w:pPr>
            <w:r>
              <w:rPr>
                <w:b/>
                <w:bCs/>
                <w:color w:val="9B2C2C"/>
                <w:spacing w:val="24"/>
                <w:sz w:val="16"/>
                <w:szCs w:val="16"/>
              </w:rPr>
              <w:t>ACHTUNG</w:t>
            </w:r>
          </w:p>
          <w:p w14:paraId="70A510B8" w14:textId="77777777" w:rsidR="00C1548D" w:rsidRDefault="009B1B4B">
            <w:pPr>
              <w:spacing w:after="80" w:line="264" w:lineRule="auto"/>
            </w:pPr>
            <w:r>
              <w:rPr>
                <w:sz w:val="20"/>
                <w:szCs w:val="20"/>
              </w:rPr>
              <w:t>Frag beim Schuhkauf in Neuseeland im Zweifel nach, ob die angegebene Größe „AU“ oder „US“ meint. Beide Systeme sind im Umlauf, und bei Herrenschuhen liegt genau eine Nummer dazwischen.</w:t>
            </w:r>
          </w:p>
        </w:tc>
      </w:tr>
    </w:tbl>
    <w:p w14:paraId="70A510BA" w14:textId="77777777" w:rsidR="00C1548D" w:rsidRDefault="00C1548D">
      <w:pPr>
        <w:spacing w:line="22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10BD"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10BB" w14:textId="77777777" w:rsidR="00C1548D" w:rsidRDefault="009B1B4B">
            <w:pPr>
              <w:keepNext/>
              <w:spacing w:after="70" w:line="240" w:lineRule="auto"/>
            </w:pPr>
            <w:r>
              <w:rPr>
                <w:b/>
                <w:bCs/>
                <w:color w:val="6B7280"/>
                <w:spacing w:val="24"/>
                <w:sz w:val="16"/>
                <w:szCs w:val="16"/>
              </w:rPr>
              <w:lastRenderedPageBreak/>
              <w:t>STAND</w:t>
            </w:r>
          </w:p>
          <w:p w14:paraId="70A510BC" w14:textId="77777777" w:rsidR="00C1548D" w:rsidRDefault="009B1B4B">
            <w:pPr>
              <w:spacing w:after="80" w:line="264" w:lineRule="auto"/>
            </w:pPr>
            <w:r>
              <w:rPr>
                <w:sz w:val="20"/>
                <w:szCs w:val="20"/>
              </w:rPr>
              <w:t>September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tc>
      </w:tr>
    </w:tbl>
    <w:p w14:paraId="70A510BE" w14:textId="77777777" w:rsidR="00C1548D" w:rsidRDefault="00C1548D">
      <w:pPr>
        <w:spacing w:line="220" w:lineRule="exact"/>
      </w:pPr>
    </w:p>
    <w:p w14:paraId="70A510BF" w14:textId="77777777" w:rsidR="00C1548D" w:rsidRDefault="009B1B4B">
      <w:pPr>
        <w:pStyle w:val="Heading2"/>
        <w:keepNext/>
        <w:pageBreakBefore/>
        <w:jc w:val="center"/>
      </w:pPr>
      <w:bookmarkStart w:id="206" w:name="anhang_d"/>
      <w:bookmarkStart w:id="207" w:name="_Toc241352555"/>
      <w:r>
        <w:rPr>
          <w:rFonts w:ascii="Amazon Ember" w:eastAsia="Amazon Ember" w:hAnsi="Amazon Ember" w:cs="Amazon Ember"/>
          <w:color w:val="0000FF"/>
          <w:sz w:val="36"/>
          <w:szCs w:val="36"/>
        </w:rPr>
        <w:lastRenderedPageBreak/>
        <w:t>Anhang D: Formulare und Abkürzungen</w:t>
      </w:r>
      <w:bookmarkEnd w:id="206"/>
      <w:bookmarkEnd w:id="207"/>
    </w:p>
    <w:p w14:paraId="70A510C0" w14:textId="77777777" w:rsidR="00C1548D" w:rsidRDefault="009B1B4B">
      <w:pPr>
        <w:spacing w:after="140"/>
      </w:pPr>
      <w:r>
        <w:t>Dieses Buch nennt für die USA, Kanada, Australien und Neuseeland eine Reihe von Formularnummern, Behörden und Kürzeln, meist nur einmal im jeweiligen Kapitel erklärt. Dieser Anhang sammelt sie an einem Ort – als schnelles Nachschlagewerk, wenn ein Kürzel im Text wieder auftaucht und die Erklärung nicht mehr präsent ist. Er ersetzt nicht die ausführliche Einordnung im Kapitel oder Länderteil, auf den jede Zeile verweist.</w:t>
      </w:r>
    </w:p>
    <w:p w14:paraId="70A510C1" w14:textId="77777777" w:rsidR="00C1548D" w:rsidRDefault="009B1B4B">
      <w:pPr>
        <w:pStyle w:val="Heading3"/>
        <w:keepNext/>
        <w:jc w:val="center"/>
      </w:pPr>
      <w:r>
        <w:rPr>
          <w:rFonts w:ascii="Amazon Ember" w:eastAsia="Amazon Ember" w:hAnsi="Amazon Ember" w:cs="Amazon Ember"/>
          <w:color w:val="0000FF"/>
          <w:sz w:val="36"/>
          <w:szCs w:val="36"/>
        </w:rPr>
        <w:t>USA — Formulare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234"/>
        <w:gridCol w:w="950"/>
        <w:gridCol w:w="1346"/>
      </w:tblGrid>
      <w:tr w:rsidR="00C1548D" w14:paraId="70A510C6"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C2" w14:textId="77777777" w:rsidR="00C1548D" w:rsidRDefault="009B1B4B">
            <w:pPr>
              <w:spacing w:line="250" w:lineRule="auto"/>
            </w:pPr>
            <w:r>
              <w:rPr>
                <w:b/>
                <w:bCs/>
                <w:sz w:val="18"/>
                <w:szCs w:val="18"/>
              </w:rPr>
              <w:t>Formular</w:t>
            </w:r>
          </w:p>
        </w:tc>
        <w:tc>
          <w:tcPr>
            <w:tcW w:w="323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C3" w14:textId="77777777" w:rsidR="00C1548D" w:rsidRDefault="009B1B4B">
            <w:pPr>
              <w:spacing w:line="250" w:lineRule="auto"/>
            </w:pPr>
            <w:r>
              <w:rPr>
                <w:b/>
                <w:bCs/>
                <w:sz w:val="18"/>
                <w:szCs w:val="18"/>
              </w:rPr>
              <w:t>Zweck</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C4" w14:textId="77777777" w:rsidR="00C1548D" w:rsidRDefault="009B1B4B">
            <w:pPr>
              <w:spacing w:line="250" w:lineRule="auto"/>
            </w:pPr>
            <w:r>
              <w:rPr>
                <w:b/>
                <w:bCs/>
                <w:sz w:val="18"/>
                <w:szCs w:val="18"/>
              </w:rPr>
              <w:t>Behörde</w:t>
            </w:r>
          </w:p>
        </w:tc>
        <w:tc>
          <w:tcPr>
            <w:tcW w:w="134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0C5" w14:textId="77777777" w:rsidR="00C1548D" w:rsidRDefault="009B1B4B">
            <w:pPr>
              <w:spacing w:line="250" w:lineRule="auto"/>
            </w:pPr>
            <w:r>
              <w:rPr>
                <w:b/>
                <w:bCs/>
                <w:sz w:val="18"/>
                <w:szCs w:val="18"/>
              </w:rPr>
              <w:t>Kapitel</w:t>
            </w:r>
          </w:p>
        </w:tc>
      </w:tr>
      <w:tr w:rsidR="00C1548D" w14:paraId="70A510C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C7" w14:textId="77777777" w:rsidR="00C1548D" w:rsidRDefault="009B1B4B">
            <w:pPr>
              <w:spacing w:line="250" w:lineRule="auto"/>
            </w:pPr>
            <w:r>
              <w:rPr>
                <w:sz w:val="18"/>
                <w:szCs w:val="18"/>
              </w:rPr>
              <w:t>1040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C8" w14:textId="77777777" w:rsidR="00C1548D" w:rsidRDefault="009B1B4B">
            <w:pPr>
              <w:spacing w:line="250" w:lineRule="auto"/>
            </w:pPr>
            <w:r>
              <w:rPr>
                <w:sz w:val="18"/>
                <w:szCs w:val="18"/>
              </w:rPr>
              <w:t>Jährliche US-Einkommensteuererklärung für Ansässige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C9" w14:textId="77777777" w:rsidR="00C1548D" w:rsidRDefault="009B1B4B">
            <w:pPr>
              <w:spacing w:line="250" w:lineRule="auto"/>
            </w:pPr>
            <w:r>
              <w:rPr>
                <w:sz w:val="18"/>
                <w:szCs w:val="18"/>
              </w:rPr>
              <w:t>IRS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CA" w14:textId="77777777" w:rsidR="00C1548D" w:rsidRDefault="009B1B4B">
            <w:pPr>
              <w:spacing w:line="250" w:lineRule="auto"/>
            </w:pPr>
            <w:r>
              <w:rPr>
                <w:sz w:val="18"/>
                <w:szCs w:val="18"/>
              </w:rPr>
              <w:t>28</w:t>
            </w:r>
          </w:p>
        </w:tc>
      </w:tr>
      <w:tr w:rsidR="00C1548D" w14:paraId="70A510D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CC" w14:textId="77777777" w:rsidR="00C1548D" w:rsidRDefault="009B1B4B">
            <w:pPr>
              <w:spacing w:line="250" w:lineRule="auto"/>
            </w:pPr>
            <w:r>
              <w:rPr>
                <w:sz w:val="18"/>
                <w:szCs w:val="18"/>
              </w:rPr>
              <w:t>1040-NR</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CD" w14:textId="77777777" w:rsidR="00C1548D" w:rsidRDefault="009B1B4B">
            <w:pPr>
              <w:spacing w:line="250" w:lineRule="auto"/>
            </w:pPr>
            <w:r>
              <w:rPr>
                <w:sz w:val="18"/>
                <w:szCs w:val="18"/>
              </w:rPr>
              <w:t>US-Steuererklärung für nicht ansässige Ausländer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CE" w14:textId="77777777" w:rsidR="00C1548D" w:rsidRDefault="009B1B4B">
            <w:pPr>
              <w:spacing w:line="250" w:lineRule="auto"/>
            </w:pPr>
            <w:r>
              <w:rPr>
                <w:sz w:val="18"/>
                <w:szCs w:val="18"/>
              </w:rPr>
              <w:t>IRS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CF" w14:textId="77777777" w:rsidR="00C1548D" w:rsidRDefault="009B1B4B">
            <w:pPr>
              <w:spacing w:line="250" w:lineRule="auto"/>
            </w:pPr>
            <w:r>
              <w:rPr>
                <w:sz w:val="18"/>
                <w:szCs w:val="18"/>
              </w:rPr>
              <w:t>8, 28</w:t>
            </w:r>
          </w:p>
        </w:tc>
      </w:tr>
      <w:tr w:rsidR="00C1548D" w14:paraId="70A510D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1" w14:textId="77777777" w:rsidR="00C1548D" w:rsidRDefault="009B1B4B">
            <w:pPr>
              <w:spacing w:line="250" w:lineRule="auto"/>
            </w:pPr>
            <w:r>
              <w:rPr>
                <w:sz w:val="18"/>
                <w:szCs w:val="18"/>
              </w:rPr>
              <w:t>3520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2" w14:textId="77777777" w:rsidR="00C1548D" w:rsidRDefault="009B1B4B">
            <w:pPr>
              <w:spacing w:line="250" w:lineRule="auto"/>
            </w:pPr>
            <w:r>
              <w:rPr>
                <w:sz w:val="18"/>
                <w:szCs w:val="18"/>
              </w:rPr>
              <w:t>Meldung ausländischer Schenkungen, Erbschaften und Trusts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3" w14:textId="77777777" w:rsidR="00C1548D" w:rsidRDefault="009B1B4B">
            <w:pPr>
              <w:spacing w:line="250" w:lineRule="auto"/>
            </w:pPr>
            <w:r>
              <w:rPr>
                <w:sz w:val="18"/>
                <w:szCs w:val="18"/>
              </w:rPr>
              <w:t>IRS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4" w14:textId="77777777" w:rsidR="00C1548D" w:rsidRDefault="009B1B4B">
            <w:pPr>
              <w:spacing w:line="250" w:lineRule="auto"/>
            </w:pPr>
            <w:r>
              <w:rPr>
                <w:sz w:val="18"/>
                <w:szCs w:val="18"/>
              </w:rPr>
              <w:t>27, 28, 39</w:t>
            </w:r>
          </w:p>
        </w:tc>
      </w:tr>
      <w:tr w:rsidR="00C1548D" w14:paraId="70A510D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6" w14:textId="77777777" w:rsidR="00C1548D" w:rsidRDefault="009B1B4B">
            <w:pPr>
              <w:spacing w:line="250" w:lineRule="auto"/>
            </w:pPr>
            <w:r>
              <w:rPr>
                <w:sz w:val="18"/>
                <w:szCs w:val="18"/>
              </w:rPr>
              <w:t>8621</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7" w14:textId="77777777" w:rsidR="00C1548D" w:rsidRDefault="009B1B4B">
            <w:pPr>
              <w:spacing w:line="250" w:lineRule="auto"/>
            </w:pPr>
            <w:r>
              <w:rPr>
                <w:sz w:val="18"/>
                <w:szCs w:val="18"/>
              </w:rPr>
              <w:t>Meldung von Anteilen an PFIC-Fonds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8" w14:textId="77777777" w:rsidR="00C1548D" w:rsidRDefault="009B1B4B">
            <w:pPr>
              <w:spacing w:line="250" w:lineRule="auto"/>
            </w:pPr>
            <w:r>
              <w:rPr>
                <w:sz w:val="18"/>
                <w:szCs w:val="18"/>
              </w:rPr>
              <w:t>IRS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9" w14:textId="77777777" w:rsidR="00C1548D" w:rsidRDefault="009B1B4B">
            <w:pPr>
              <w:spacing w:line="250" w:lineRule="auto"/>
            </w:pPr>
            <w:r>
              <w:rPr>
                <w:sz w:val="18"/>
                <w:szCs w:val="18"/>
              </w:rPr>
              <w:t>17, 28, 39</w:t>
            </w:r>
          </w:p>
        </w:tc>
      </w:tr>
      <w:tr w:rsidR="00C1548D" w14:paraId="70A510D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B" w14:textId="77777777" w:rsidR="00C1548D" w:rsidRDefault="009B1B4B">
            <w:pPr>
              <w:spacing w:line="250" w:lineRule="auto"/>
            </w:pPr>
            <w:r>
              <w:rPr>
                <w:sz w:val="18"/>
                <w:szCs w:val="18"/>
              </w:rPr>
              <w:t>8843</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C" w14:textId="77777777" w:rsidR="00C1548D" w:rsidRDefault="009B1B4B">
            <w:pPr>
              <w:spacing w:line="250" w:lineRule="auto"/>
            </w:pPr>
            <w:r>
              <w:rPr>
                <w:sz w:val="18"/>
                <w:szCs w:val="18"/>
              </w:rPr>
              <w:t>Befreiungserklärung für Studierende und Austauschgäste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D" w14:textId="77777777" w:rsidR="00C1548D" w:rsidRDefault="009B1B4B">
            <w:pPr>
              <w:spacing w:line="250" w:lineRule="auto"/>
            </w:pPr>
            <w:r>
              <w:rPr>
                <w:sz w:val="18"/>
                <w:szCs w:val="18"/>
              </w:rPr>
              <w:t>IRS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DE" w14:textId="77777777" w:rsidR="00C1548D" w:rsidRDefault="009B1B4B">
            <w:pPr>
              <w:spacing w:line="250" w:lineRule="auto"/>
            </w:pPr>
            <w:r>
              <w:rPr>
                <w:sz w:val="18"/>
                <w:szCs w:val="18"/>
              </w:rPr>
              <w:t>8, 28</w:t>
            </w:r>
          </w:p>
        </w:tc>
      </w:tr>
      <w:tr w:rsidR="00C1548D" w14:paraId="70A510E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0" w14:textId="77777777" w:rsidR="00C1548D" w:rsidRDefault="009B1B4B">
            <w:pPr>
              <w:spacing w:line="250" w:lineRule="auto"/>
            </w:pPr>
            <w:r>
              <w:rPr>
                <w:sz w:val="18"/>
                <w:szCs w:val="18"/>
              </w:rPr>
              <w:t>8938</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1" w14:textId="77777777" w:rsidR="00C1548D" w:rsidRDefault="009B1B4B">
            <w:pPr>
              <w:spacing w:line="250" w:lineRule="auto"/>
            </w:pPr>
            <w:r>
              <w:rPr>
                <w:sz w:val="18"/>
                <w:szCs w:val="18"/>
              </w:rPr>
              <w:t>FATCA-Meldung ausländischer Konten und Depots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2" w14:textId="77777777" w:rsidR="00C1548D" w:rsidRDefault="009B1B4B">
            <w:pPr>
              <w:spacing w:line="250" w:lineRule="auto"/>
            </w:pPr>
            <w:r>
              <w:rPr>
                <w:sz w:val="18"/>
                <w:szCs w:val="18"/>
              </w:rPr>
              <w:t>IRS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3" w14:textId="77777777" w:rsidR="00C1548D" w:rsidRDefault="009B1B4B">
            <w:pPr>
              <w:spacing w:line="250" w:lineRule="auto"/>
            </w:pPr>
            <w:r>
              <w:rPr>
                <w:sz w:val="18"/>
                <w:szCs w:val="18"/>
              </w:rPr>
              <w:t>1–2, 6, 17, 28, 39, 41–42</w:t>
            </w:r>
          </w:p>
        </w:tc>
      </w:tr>
      <w:tr w:rsidR="00C1548D" w14:paraId="70A510E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5" w14:textId="77777777" w:rsidR="00C1548D" w:rsidRDefault="009B1B4B">
            <w:pPr>
              <w:spacing w:line="250" w:lineRule="auto"/>
            </w:pPr>
            <w:r>
              <w:rPr>
                <w:sz w:val="18"/>
                <w:szCs w:val="18"/>
              </w:rPr>
              <w:t>AR-11</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6" w14:textId="77777777" w:rsidR="00C1548D" w:rsidRDefault="009B1B4B">
            <w:pPr>
              <w:spacing w:line="250" w:lineRule="auto"/>
            </w:pPr>
            <w:r>
              <w:rPr>
                <w:sz w:val="18"/>
                <w:szCs w:val="18"/>
              </w:rPr>
              <w:t>Meldung der neuen Adresse an die USCIS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7"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8" w14:textId="77777777" w:rsidR="00C1548D" w:rsidRDefault="009B1B4B">
            <w:pPr>
              <w:spacing w:line="250" w:lineRule="auto"/>
            </w:pPr>
            <w:r>
              <w:rPr>
                <w:sz w:val="18"/>
                <w:szCs w:val="18"/>
              </w:rPr>
              <w:t>5–7, 23, 30–31, 40–41</w:t>
            </w:r>
          </w:p>
        </w:tc>
      </w:tr>
      <w:tr w:rsidR="00C1548D" w14:paraId="70A510E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A" w14:textId="77777777" w:rsidR="00C1548D" w:rsidRDefault="009B1B4B">
            <w:pPr>
              <w:spacing w:line="250" w:lineRule="auto"/>
            </w:pPr>
            <w:r>
              <w:rPr>
                <w:sz w:val="18"/>
                <w:szCs w:val="18"/>
              </w:rPr>
              <w:t>DS-160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B" w14:textId="77777777" w:rsidR="00C1548D" w:rsidRDefault="009B1B4B">
            <w:pPr>
              <w:spacing w:line="250" w:lineRule="auto"/>
            </w:pPr>
            <w:r>
              <w:rPr>
                <w:sz w:val="18"/>
                <w:szCs w:val="18"/>
              </w:rPr>
              <w:t>Online-Antrag für ein Nichteinwanderungsvisum</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C" w14:textId="77777777" w:rsidR="00C1548D" w:rsidRDefault="009B1B4B">
            <w:pPr>
              <w:spacing w:line="250" w:lineRule="auto"/>
            </w:pPr>
            <w:r>
              <w:rPr>
                <w:sz w:val="18"/>
                <w:szCs w:val="18"/>
              </w:rPr>
              <w:t>DOS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D" w14:textId="77777777" w:rsidR="00C1548D" w:rsidRDefault="009B1B4B">
            <w:pPr>
              <w:spacing w:line="250" w:lineRule="auto"/>
            </w:pPr>
            <w:r>
              <w:rPr>
                <w:sz w:val="18"/>
                <w:szCs w:val="18"/>
              </w:rPr>
              <w:t>5, 8, 10–11, 15, 19</w:t>
            </w:r>
          </w:p>
        </w:tc>
      </w:tr>
      <w:tr w:rsidR="00C1548D" w14:paraId="70A510F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EF" w14:textId="77777777" w:rsidR="00C1548D" w:rsidRDefault="009B1B4B">
            <w:pPr>
              <w:spacing w:line="250" w:lineRule="auto"/>
            </w:pPr>
            <w:r>
              <w:rPr>
                <w:sz w:val="18"/>
                <w:szCs w:val="18"/>
              </w:rPr>
              <w:t>DS-260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0" w14:textId="77777777" w:rsidR="00C1548D" w:rsidRDefault="009B1B4B">
            <w:pPr>
              <w:spacing w:line="250" w:lineRule="auto"/>
            </w:pPr>
            <w:r>
              <w:rPr>
                <w:sz w:val="18"/>
                <w:szCs w:val="18"/>
              </w:rPr>
              <w:t>Online-Antrag für ein Einwanderungsvisum</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1" w14:textId="77777777" w:rsidR="00C1548D" w:rsidRDefault="009B1B4B">
            <w:pPr>
              <w:spacing w:line="250" w:lineRule="auto"/>
            </w:pPr>
            <w:r>
              <w:rPr>
                <w:sz w:val="18"/>
                <w:szCs w:val="18"/>
              </w:rPr>
              <w:t>DOS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2" w14:textId="77777777" w:rsidR="00C1548D" w:rsidRDefault="009B1B4B">
            <w:pPr>
              <w:spacing w:line="250" w:lineRule="auto"/>
            </w:pPr>
            <w:r>
              <w:rPr>
                <w:sz w:val="18"/>
                <w:szCs w:val="18"/>
              </w:rPr>
              <w:t>6, 24</w:t>
            </w:r>
          </w:p>
        </w:tc>
      </w:tr>
      <w:tr w:rsidR="00C1548D" w14:paraId="70A510F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4" w14:textId="77777777" w:rsidR="00C1548D" w:rsidRDefault="009B1B4B">
            <w:pPr>
              <w:spacing w:line="250" w:lineRule="auto"/>
            </w:pPr>
            <w:r>
              <w:rPr>
                <w:sz w:val="18"/>
                <w:szCs w:val="18"/>
              </w:rPr>
              <w:t>G-1055</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5" w14:textId="77777777" w:rsidR="00C1548D" w:rsidRDefault="009B1B4B">
            <w:pPr>
              <w:spacing w:line="250" w:lineRule="auto"/>
            </w:pPr>
            <w:r>
              <w:rPr>
                <w:sz w:val="18"/>
                <w:szCs w:val="18"/>
              </w:rPr>
              <w:t>Aktuelle Übersicht aller USCIS-Gebühren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6"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7" w14:textId="77777777" w:rsidR="00C1548D" w:rsidRDefault="009B1B4B">
            <w:pPr>
              <w:spacing w:line="250" w:lineRule="auto"/>
            </w:pPr>
            <w:r>
              <w:rPr>
                <w:sz w:val="18"/>
                <w:szCs w:val="18"/>
              </w:rPr>
              <w:t>5–7, 9–11, 30, 41</w:t>
            </w:r>
          </w:p>
        </w:tc>
      </w:tr>
      <w:tr w:rsidR="00C1548D" w14:paraId="70A510F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9" w14:textId="77777777" w:rsidR="00C1548D" w:rsidRDefault="009B1B4B">
            <w:pPr>
              <w:spacing w:line="250" w:lineRule="auto"/>
            </w:pPr>
            <w:r>
              <w:rPr>
                <w:sz w:val="18"/>
                <w:szCs w:val="18"/>
              </w:rPr>
              <w:t>I-9</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A" w14:textId="77777777" w:rsidR="00C1548D" w:rsidRDefault="009B1B4B">
            <w:pPr>
              <w:spacing w:line="250" w:lineRule="auto"/>
            </w:pPr>
            <w:r>
              <w:rPr>
                <w:sz w:val="18"/>
                <w:szCs w:val="18"/>
              </w:rPr>
              <w:t>Nachweis der Arbeitsberechtigung beim Arbeitgeber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B"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C" w14:textId="77777777" w:rsidR="00C1548D" w:rsidRDefault="009B1B4B">
            <w:pPr>
              <w:spacing w:line="250" w:lineRule="auto"/>
            </w:pPr>
            <w:r>
              <w:rPr>
                <w:sz w:val="18"/>
                <w:szCs w:val="18"/>
              </w:rPr>
              <w:t>23–24, 29, 38, 40</w:t>
            </w:r>
          </w:p>
        </w:tc>
      </w:tr>
      <w:tr w:rsidR="00C1548D" w14:paraId="70A5110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E" w14:textId="77777777" w:rsidR="00C1548D" w:rsidRDefault="009B1B4B">
            <w:pPr>
              <w:spacing w:line="250" w:lineRule="auto"/>
            </w:pPr>
            <w:r>
              <w:rPr>
                <w:sz w:val="18"/>
                <w:szCs w:val="18"/>
              </w:rPr>
              <w:lastRenderedPageBreak/>
              <w:t>I-90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0FF" w14:textId="77777777" w:rsidR="00C1548D" w:rsidRDefault="009B1B4B">
            <w:pPr>
              <w:spacing w:line="250" w:lineRule="auto"/>
            </w:pPr>
            <w:r>
              <w:rPr>
                <w:sz w:val="18"/>
                <w:szCs w:val="18"/>
              </w:rPr>
              <w:t>Ersatz oder Verlängerung der Green-Card-Karte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0"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1" w14:textId="77777777" w:rsidR="00C1548D" w:rsidRDefault="009B1B4B">
            <w:pPr>
              <w:spacing w:line="250" w:lineRule="auto"/>
            </w:pPr>
            <w:r>
              <w:rPr>
                <w:sz w:val="18"/>
                <w:szCs w:val="18"/>
              </w:rPr>
              <w:t>6–7, 41</w:t>
            </w:r>
          </w:p>
        </w:tc>
      </w:tr>
      <w:tr w:rsidR="00C1548D" w14:paraId="70A5110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3" w14:textId="77777777" w:rsidR="00C1548D" w:rsidRDefault="009B1B4B">
            <w:pPr>
              <w:spacing w:line="250" w:lineRule="auto"/>
            </w:pPr>
            <w:r>
              <w:rPr>
                <w:sz w:val="18"/>
                <w:szCs w:val="18"/>
              </w:rPr>
              <w:t>I-94</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4" w14:textId="77777777" w:rsidR="00C1548D" w:rsidRDefault="009B1B4B">
            <w:pPr>
              <w:spacing w:line="250" w:lineRule="auto"/>
            </w:pPr>
            <w:r>
              <w:rPr>
                <w:sz w:val="18"/>
                <w:szCs w:val="18"/>
              </w:rPr>
              <w:t>Elektronischer Nachweis von Einreise und Aufenthaltsstatus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5" w14:textId="77777777" w:rsidR="00C1548D" w:rsidRDefault="009B1B4B">
            <w:pPr>
              <w:spacing w:line="250" w:lineRule="auto"/>
            </w:pPr>
            <w:r>
              <w:rPr>
                <w:sz w:val="18"/>
                <w:szCs w:val="18"/>
              </w:rPr>
              <w:t>CBP</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6" w14:textId="77777777" w:rsidR="00C1548D" w:rsidRDefault="009B1B4B">
            <w:pPr>
              <w:spacing w:line="250" w:lineRule="auto"/>
            </w:pPr>
            <w:r>
              <w:rPr>
                <w:sz w:val="18"/>
                <w:szCs w:val="18"/>
              </w:rPr>
              <w:t>4–5, 7–11, 13, 20, 23–25, 27, 30, 40</w:t>
            </w:r>
          </w:p>
        </w:tc>
      </w:tr>
      <w:tr w:rsidR="00C1548D" w14:paraId="70A5110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8" w14:textId="77777777" w:rsidR="00C1548D" w:rsidRDefault="009B1B4B">
            <w:pPr>
              <w:spacing w:line="250" w:lineRule="auto"/>
            </w:pPr>
            <w:r>
              <w:rPr>
                <w:sz w:val="18"/>
                <w:szCs w:val="18"/>
              </w:rPr>
              <w:t>I-129</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9" w14:textId="77777777" w:rsidR="00C1548D" w:rsidRDefault="009B1B4B">
            <w:pPr>
              <w:spacing w:line="250" w:lineRule="auto"/>
            </w:pPr>
            <w:r>
              <w:rPr>
                <w:sz w:val="18"/>
                <w:szCs w:val="18"/>
              </w:rPr>
              <w:t>Arbeitgeberpetition für Nichteinwanderungs-Arbeitsvisa wie H-1B</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A"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B" w14:textId="77777777" w:rsidR="00C1548D" w:rsidRDefault="009B1B4B">
            <w:pPr>
              <w:spacing w:line="250" w:lineRule="auto"/>
            </w:pPr>
            <w:r>
              <w:rPr>
                <w:sz w:val="18"/>
                <w:szCs w:val="18"/>
              </w:rPr>
              <w:t>5, 8–9, 11, 30</w:t>
            </w:r>
          </w:p>
        </w:tc>
      </w:tr>
      <w:tr w:rsidR="00C1548D" w14:paraId="70A5111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D" w14:textId="77777777" w:rsidR="00C1548D" w:rsidRDefault="009B1B4B">
            <w:pPr>
              <w:spacing w:line="250" w:lineRule="auto"/>
            </w:pPr>
            <w:r>
              <w:rPr>
                <w:sz w:val="18"/>
                <w:szCs w:val="18"/>
              </w:rPr>
              <w:t>I-129F</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E" w14:textId="77777777" w:rsidR="00C1548D" w:rsidRDefault="009B1B4B">
            <w:pPr>
              <w:spacing w:line="250" w:lineRule="auto"/>
            </w:pPr>
            <w:r>
              <w:rPr>
                <w:sz w:val="18"/>
                <w:szCs w:val="18"/>
              </w:rPr>
              <w:t>Antrag auf ein Verlobtenvisum (K-1)</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0F"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0" w14:textId="77777777" w:rsidR="00C1548D" w:rsidRDefault="009B1B4B">
            <w:pPr>
              <w:spacing w:line="250" w:lineRule="auto"/>
            </w:pPr>
            <w:r>
              <w:rPr>
                <w:sz w:val="18"/>
                <w:szCs w:val="18"/>
              </w:rPr>
              <w:t>9</w:t>
            </w:r>
          </w:p>
        </w:tc>
      </w:tr>
      <w:tr w:rsidR="00C1548D" w14:paraId="70A5111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2" w14:textId="77777777" w:rsidR="00C1548D" w:rsidRDefault="009B1B4B">
            <w:pPr>
              <w:spacing w:line="250" w:lineRule="auto"/>
            </w:pPr>
            <w:r>
              <w:rPr>
                <w:sz w:val="18"/>
                <w:szCs w:val="18"/>
              </w:rPr>
              <w:t>I-129S</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3" w14:textId="77777777" w:rsidR="00C1548D" w:rsidRDefault="009B1B4B">
            <w:pPr>
              <w:spacing w:line="250" w:lineRule="auto"/>
            </w:pPr>
            <w:r>
              <w:rPr>
                <w:sz w:val="18"/>
                <w:szCs w:val="18"/>
              </w:rPr>
              <w:t>Zusatzantrag zur konzerninternen Blanket-L-1-Petition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4"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5" w14:textId="77777777" w:rsidR="00C1548D" w:rsidRDefault="009B1B4B">
            <w:pPr>
              <w:spacing w:line="250" w:lineRule="auto"/>
            </w:pPr>
            <w:r>
              <w:rPr>
                <w:sz w:val="18"/>
                <w:szCs w:val="18"/>
              </w:rPr>
              <w:t>9</w:t>
            </w:r>
          </w:p>
        </w:tc>
      </w:tr>
      <w:tr w:rsidR="00C1548D" w14:paraId="70A5111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7" w14:textId="77777777" w:rsidR="00C1548D" w:rsidRDefault="009B1B4B">
            <w:pPr>
              <w:spacing w:line="250" w:lineRule="auto"/>
            </w:pPr>
            <w:r>
              <w:rPr>
                <w:sz w:val="18"/>
                <w:szCs w:val="18"/>
              </w:rPr>
              <w:t>I-130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8" w14:textId="77777777" w:rsidR="00C1548D" w:rsidRDefault="009B1B4B">
            <w:pPr>
              <w:spacing w:line="250" w:lineRule="auto"/>
            </w:pPr>
            <w:r>
              <w:rPr>
                <w:sz w:val="18"/>
                <w:szCs w:val="18"/>
              </w:rPr>
              <w:t>Petition für Familienangehörige zur Green Card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9"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A" w14:textId="77777777" w:rsidR="00C1548D" w:rsidRDefault="009B1B4B">
            <w:pPr>
              <w:spacing w:line="250" w:lineRule="auto"/>
            </w:pPr>
            <w:r>
              <w:rPr>
                <w:sz w:val="18"/>
                <w:szCs w:val="18"/>
              </w:rPr>
              <w:t>6, 9</w:t>
            </w:r>
          </w:p>
        </w:tc>
      </w:tr>
      <w:tr w:rsidR="00C1548D" w14:paraId="70A5112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C" w14:textId="77777777" w:rsidR="00C1548D" w:rsidRDefault="009B1B4B">
            <w:pPr>
              <w:spacing w:line="250" w:lineRule="auto"/>
            </w:pPr>
            <w:r>
              <w:rPr>
                <w:sz w:val="18"/>
                <w:szCs w:val="18"/>
              </w:rPr>
              <w:t>I-131</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D" w14:textId="77777777" w:rsidR="00C1548D" w:rsidRDefault="009B1B4B">
            <w:pPr>
              <w:spacing w:line="250" w:lineRule="auto"/>
            </w:pPr>
            <w:r>
              <w:rPr>
                <w:sz w:val="18"/>
                <w:szCs w:val="18"/>
              </w:rPr>
              <w:t>Reisedokument: Advance Parole oder Wiedereinreiseerlaubnis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E"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1F" w14:textId="77777777" w:rsidR="00C1548D" w:rsidRDefault="009B1B4B">
            <w:pPr>
              <w:spacing w:line="250" w:lineRule="auto"/>
            </w:pPr>
            <w:r>
              <w:rPr>
                <w:sz w:val="18"/>
                <w:szCs w:val="18"/>
              </w:rPr>
              <w:t>6, 42</w:t>
            </w:r>
          </w:p>
        </w:tc>
      </w:tr>
      <w:tr w:rsidR="00C1548D" w14:paraId="70A5112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1" w14:textId="77777777" w:rsidR="00C1548D" w:rsidRDefault="009B1B4B">
            <w:pPr>
              <w:spacing w:line="250" w:lineRule="auto"/>
            </w:pPr>
            <w:r>
              <w:rPr>
                <w:sz w:val="18"/>
                <w:szCs w:val="18"/>
              </w:rPr>
              <w:t>I-140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2" w14:textId="77777777" w:rsidR="00C1548D" w:rsidRDefault="009B1B4B">
            <w:pPr>
              <w:spacing w:line="250" w:lineRule="auto"/>
            </w:pPr>
            <w:r>
              <w:rPr>
                <w:sz w:val="18"/>
                <w:szCs w:val="18"/>
              </w:rPr>
              <w:t>Arbeitgeberpetition für die Green Card (Arbeitsmigration)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3"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4" w14:textId="77777777" w:rsidR="00C1548D" w:rsidRDefault="009B1B4B">
            <w:pPr>
              <w:spacing w:line="250" w:lineRule="auto"/>
            </w:pPr>
            <w:r>
              <w:rPr>
                <w:sz w:val="18"/>
                <w:szCs w:val="18"/>
              </w:rPr>
              <w:t>2–8, 10, 30</w:t>
            </w:r>
          </w:p>
        </w:tc>
      </w:tr>
      <w:tr w:rsidR="00C1548D" w14:paraId="70A5112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6" w14:textId="77777777" w:rsidR="00C1548D" w:rsidRDefault="009B1B4B">
            <w:pPr>
              <w:spacing w:line="250" w:lineRule="auto"/>
            </w:pPr>
            <w:r>
              <w:rPr>
                <w:sz w:val="18"/>
                <w:szCs w:val="18"/>
              </w:rPr>
              <w:t>I-407</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7" w14:textId="77777777" w:rsidR="00C1548D" w:rsidRDefault="009B1B4B">
            <w:pPr>
              <w:spacing w:line="250" w:lineRule="auto"/>
            </w:pPr>
            <w:r>
              <w:rPr>
                <w:sz w:val="18"/>
                <w:szCs w:val="18"/>
              </w:rPr>
              <w:t>Freiwillige Aufgabe der Green Card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8" w14:textId="77777777" w:rsidR="00C1548D" w:rsidRDefault="009B1B4B">
            <w:pPr>
              <w:spacing w:line="250" w:lineRule="auto"/>
            </w:pPr>
            <w:r>
              <w:rPr>
                <w:sz w:val="18"/>
                <w:szCs w:val="18"/>
              </w:rPr>
              <w:t>USCIS/CBP</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9" w14:textId="77777777" w:rsidR="00C1548D" w:rsidRDefault="009B1B4B">
            <w:pPr>
              <w:spacing w:line="250" w:lineRule="auto"/>
            </w:pPr>
            <w:r>
              <w:rPr>
                <w:sz w:val="18"/>
                <w:szCs w:val="18"/>
              </w:rPr>
              <w:t>6–7, 40–42</w:t>
            </w:r>
          </w:p>
        </w:tc>
      </w:tr>
      <w:tr w:rsidR="00C1548D" w14:paraId="70A5112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B" w14:textId="77777777" w:rsidR="00C1548D" w:rsidRDefault="009B1B4B">
            <w:pPr>
              <w:spacing w:line="250" w:lineRule="auto"/>
            </w:pPr>
            <w:r>
              <w:rPr>
                <w:sz w:val="18"/>
                <w:szCs w:val="18"/>
              </w:rPr>
              <w:t>I-485</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C" w14:textId="77777777" w:rsidR="00C1548D" w:rsidRDefault="009B1B4B">
            <w:pPr>
              <w:spacing w:line="250" w:lineRule="auto"/>
            </w:pPr>
            <w:r>
              <w:rPr>
                <w:sz w:val="18"/>
                <w:szCs w:val="18"/>
              </w:rPr>
              <w:t>Antrag auf Green Card im Inland (Statusanpassung)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D"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2E" w14:textId="77777777" w:rsidR="00C1548D" w:rsidRDefault="009B1B4B">
            <w:pPr>
              <w:spacing w:line="250" w:lineRule="auto"/>
            </w:pPr>
            <w:r>
              <w:rPr>
                <w:sz w:val="18"/>
                <w:szCs w:val="18"/>
              </w:rPr>
              <w:t>3–10, 19, 24, 30</w:t>
            </w:r>
          </w:p>
        </w:tc>
      </w:tr>
      <w:tr w:rsidR="00C1548D" w14:paraId="70A5113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0" w14:textId="77777777" w:rsidR="00C1548D" w:rsidRDefault="009B1B4B">
            <w:pPr>
              <w:spacing w:line="250" w:lineRule="auto"/>
            </w:pPr>
            <w:r>
              <w:rPr>
                <w:sz w:val="18"/>
                <w:szCs w:val="18"/>
              </w:rPr>
              <w:t>I-526E</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1" w14:textId="77777777" w:rsidR="00C1548D" w:rsidRDefault="009B1B4B">
            <w:pPr>
              <w:spacing w:line="250" w:lineRule="auto"/>
            </w:pPr>
            <w:r>
              <w:rPr>
                <w:sz w:val="18"/>
                <w:szCs w:val="18"/>
              </w:rPr>
              <w:t>Investorenpetition für die EB-5-Green-Card (Regional Center)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2"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3" w14:textId="77777777" w:rsidR="00C1548D" w:rsidRDefault="009B1B4B">
            <w:pPr>
              <w:spacing w:line="250" w:lineRule="auto"/>
            </w:pPr>
            <w:r>
              <w:rPr>
                <w:sz w:val="18"/>
                <w:szCs w:val="18"/>
              </w:rPr>
              <w:t>9</w:t>
            </w:r>
          </w:p>
        </w:tc>
      </w:tr>
      <w:tr w:rsidR="00C1548D" w14:paraId="70A5113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5" w14:textId="77777777" w:rsidR="00C1548D" w:rsidRDefault="009B1B4B">
            <w:pPr>
              <w:spacing w:line="250" w:lineRule="auto"/>
            </w:pPr>
            <w:r>
              <w:rPr>
                <w:sz w:val="18"/>
                <w:szCs w:val="18"/>
              </w:rPr>
              <w:t>I-539</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6" w14:textId="77777777" w:rsidR="00C1548D" w:rsidRDefault="009B1B4B">
            <w:pPr>
              <w:spacing w:line="250" w:lineRule="auto"/>
            </w:pPr>
            <w:r>
              <w:rPr>
                <w:sz w:val="18"/>
                <w:szCs w:val="18"/>
              </w:rPr>
              <w:t>Verlängerung oder Wechsel des Nichteinwanderungsstatus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7"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8" w14:textId="77777777" w:rsidR="00C1548D" w:rsidRDefault="009B1B4B">
            <w:pPr>
              <w:spacing w:line="250" w:lineRule="auto"/>
            </w:pPr>
            <w:r>
              <w:rPr>
                <w:sz w:val="18"/>
                <w:szCs w:val="18"/>
              </w:rPr>
              <w:t>5, 8, 10</w:t>
            </w:r>
          </w:p>
        </w:tc>
      </w:tr>
      <w:tr w:rsidR="00C1548D" w14:paraId="70A5113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A" w14:textId="77777777" w:rsidR="00C1548D" w:rsidRDefault="009B1B4B">
            <w:pPr>
              <w:spacing w:line="250" w:lineRule="auto"/>
            </w:pPr>
            <w:r>
              <w:rPr>
                <w:sz w:val="18"/>
                <w:szCs w:val="18"/>
              </w:rPr>
              <w:t>I-693</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B" w14:textId="77777777" w:rsidR="00C1548D" w:rsidRDefault="009B1B4B">
            <w:pPr>
              <w:spacing w:line="250" w:lineRule="auto"/>
            </w:pPr>
            <w:r>
              <w:rPr>
                <w:sz w:val="18"/>
                <w:szCs w:val="18"/>
              </w:rPr>
              <w:t>Ärztliche Untersuchung und Impfnachweis für die Green Card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C"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D" w14:textId="77777777" w:rsidR="00C1548D" w:rsidRDefault="009B1B4B">
            <w:pPr>
              <w:spacing w:line="250" w:lineRule="auto"/>
            </w:pPr>
            <w:r>
              <w:rPr>
                <w:sz w:val="18"/>
                <w:szCs w:val="18"/>
              </w:rPr>
              <w:t>6</w:t>
            </w:r>
          </w:p>
        </w:tc>
      </w:tr>
      <w:tr w:rsidR="00C1548D" w14:paraId="70A5114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3F" w14:textId="77777777" w:rsidR="00C1548D" w:rsidRDefault="009B1B4B">
            <w:pPr>
              <w:spacing w:line="250" w:lineRule="auto"/>
            </w:pPr>
            <w:r>
              <w:rPr>
                <w:sz w:val="18"/>
                <w:szCs w:val="18"/>
              </w:rPr>
              <w:t>I-751</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0" w14:textId="77777777" w:rsidR="00C1548D" w:rsidRDefault="009B1B4B">
            <w:pPr>
              <w:spacing w:line="250" w:lineRule="auto"/>
            </w:pPr>
            <w:r>
              <w:rPr>
                <w:sz w:val="18"/>
                <w:szCs w:val="18"/>
              </w:rPr>
              <w:t>Aufhebung der Bedingungen einer befristeten Green Card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1"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2" w14:textId="77777777" w:rsidR="00C1548D" w:rsidRDefault="009B1B4B">
            <w:pPr>
              <w:spacing w:line="250" w:lineRule="auto"/>
            </w:pPr>
            <w:r>
              <w:rPr>
                <w:sz w:val="18"/>
                <w:szCs w:val="18"/>
              </w:rPr>
              <w:t>6</w:t>
            </w:r>
          </w:p>
        </w:tc>
      </w:tr>
      <w:tr w:rsidR="00C1548D" w14:paraId="70A5114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4" w14:textId="77777777" w:rsidR="00C1548D" w:rsidRDefault="009B1B4B">
            <w:pPr>
              <w:spacing w:line="250" w:lineRule="auto"/>
            </w:pPr>
            <w:r>
              <w:rPr>
                <w:sz w:val="18"/>
                <w:szCs w:val="18"/>
              </w:rPr>
              <w:t>I-765</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5" w14:textId="77777777" w:rsidR="00C1548D" w:rsidRDefault="009B1B4B">
            <w:pPr>
              <w:spacing w:line="250" w:lineRule="auto"/>
            </w:pPr>
            <w:r>
              <w:rPr>
                <w:sz w:val="18"/>
                <w:szCs w:val="18"/>
              </w:rPr>
              <w:t>Antrag auf Arbeitserlaubnis (EAD)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6"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7" w14:textId="77777777" w:rsidR="00C1548D" w:rsidRDefault="009B1B4B">
            <w:pPr>
              <w:spacing w:line="250" w:lineRule="auto"/>
            </w:pPr>
            <w:r>
              <w:rPr>
                <w:sz w:val="18"/>
                <w:szCs w:val="18"/>
              </w:rPr>
              <w:t>5–6, 8–10, 24</w:t>
            </w:r>
          </w:p>
        </w:tc>
      </w:tr>
      <w:tr w:rsidR="00C1548D" w14:paraId="70A5114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9" w14:textId="77777777" w:rsidR="00C1548D" w:rsidRDefault="009B1B4B">
            <w:pPr>
              <w:spacing w:line="250" w:lineRule="auto"/>
            </w:pPr>
            <w:r>
              <w:rPr>
                <w:sz w:val="18"/>
                <w:szCs w:val="18"/>
              </w:rPr>
              <w:t>I-797 / I-797A</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A" w14:textId="77777777" w:rsidR="00C1548D" w:rsidRDefault="009B1B4B">
            <w:pPr>
              <w:spacing w:line="250" w:lineRule="auto"/>
            </w:pPr>
            <w:r>
              <w:rPr>
                <w:sz w:val="18"/>
                <w:szCs w:val="18"/>
              </w:rPr>
              <w:t>USCIS-Bescheid; I-797A enthält zugleich die I-94</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B"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C" w14:textId="77777777" w:rsidR="00C1548D" w:rsidRDefault="009B1B4B">
            <w:pPr>
              <w:spacing w:line="250" w:lineRule="auto"/>
            </w:pPr>
            <w:r>
              <w:rPr>
                <w:sz w:val="18"/>
                <w:szCs w:val="18"/>
              </w:rPr>
              <w:t>6, 11, 19, 23–24, 30, 40</w:t>
            </w:r>
          </w:p>
        </w:tc>
      </w:tr>
      <w:tr w:rsidR="00C1548D" w14:paraId="70A5115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E" w14:textId="77777777" w:rsidR="00C1548D" w:rsidRDefault="009B1B4B">
            <w:pPr>
              <w:spacing w:line="250" w:lineRule="auto"/>
            </w:pPr>
            <w:r>
              <w:rPr>
                <w:sz w:val="18"/>
                <w:szCs w:val="18"/>
              </w:rPr>
              <w:t>I-829</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4F" w14:textId="77777777" w:rsidR="00C1548D" w:rsidRDefault="009B1B4B">
            <w:pPr>
              <w:spacing w:line="250" w:lineRule="auto"/>
            </w:pPr>
            <w:r>
              <w:rPr>
                <w:sz w:val="18"/>
                <w:szCs w:val="18"/>
              </w:rPr>
              <w:t>Aufhebung der Bedingungen einer EB-5-Green-Card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0"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1" w14:textId="77777777" w:rsidR="00C1548D" w:rsidRDefault="009B1B4B">
            <w:pPr>
              <w:spacing w:line="250" w:lineRule="auto"/>
            </w:pPr>
            <w:r>
              <w:rPr>
                <w:sz w:val="18"/>
                <w:szCs w:val="18"/>
              </w:rPr>
              <w:t>6, 9</w:t>
            </w:r>
          </w:p>
        </w:tc>
      </w:tr>
      <w:tr w:rsidR="00C1548D" w14:paraId="70A5115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3" w14:textId="77777777" w:rsidR="00C1548D" w:rsidRDefault="009B1B4B">
            <w:pPr>
              <w:spacing w:line="250" w:lineRule="auto"/>
            </w:pPr>
            <w:r>
              <w:rPr>
                <w:sz w:val="18"/>
                <w:szCs w:val="18"/>
              </w:rPr>
              <w:t>I-864</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4" w14:textId="77777777" w:rsidR="00C1548D" w:rsidRDefault="009B1B4B">
            <w:pPr>
              <w:spacing w:line="250" w:lineRule="auto"/>
            </w:pPr>
            <w:r>
              <w:rPr>
                <w:sz w:val="18"/>
                <w:szCs w:val="18"/>
              </w:rPr>
              <w:t>Finanzielle Verpflichtungserklärung für nachziehende Angehörige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5"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6" w14:textId="77777777" w:rsidR="00C1548D" w:rsidRDefault="009B1B4B">
            <w:pPr>
              <w:spacing w:line="250" w:lineRule="auto"/>
            </w:pPr>
            <w:r>
              <w:rPr>
                <w:sz w:val="18"/>
                <w:szCs w:val="18"/>
              </w:rPr>
              <w:t>6, 9</w:t>
            </w:r>
          </w:p>
        </w:tc>
      </w:tr>
      <w:tr w:rsidR="00C1548D" w14:paraId="70A5115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8" w14:textId="77777777" w:rsidR="00C1548D" w:rsidRDefault="009B1B4B">
            <w:pPr>
              <w:spacing w:line="250" w:lineRule="auto"/>
            </w:pPr>
            <w:r>
              <w:rPr>
                <w:sz w:val="18"/>
                <w:szCs w:val="18"/>
              </w:rPr>
              <w:lastRenderedPageBreak/>
              <w:t>I-901</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9" w14:textId="77777777" w:rsidR="00C1548D" w:rsidRDefault="009B1B4B">
            <w:pPr>
              <w:spacing w:line="250" w:lineRule="auto"/>
            </w:pPr>
            <w:r>
              <w:rPr>
                <w:sz w:val="18"/>
                <w:szCs w:val="18"/>
              </w:rPr>
              <w:t>Gebühr für die Studierendendatenbank SEVIS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A" w14:textId="77777777" w:rsidR="00C1548D" w:rsidRDefault="009B1B4B">
            <w:pPr>
              <w:spacing w:line="250" w:lineRule="auto"/>
            </w:pPr>
            <w:r>
              <w:rPr>
                <w:sz w:val="18"/>
                <w:szCs w:val="18"/>
              </w:rPr>
              <w:t>ICE (SEVP)</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B" w14:textId="77777777" w:rsidR="00C1548D" w:rsidRDefault="009B1B4B">
            <w:pPr>
              <w:spacing w:line="250" w:lineRule="auto"/>
            </w:pPr>
            <w:r>
              <w:rPr>
                <w:sz w:val="18"/>
                <w:szCs w:val="18"/>
              </w:rPr>
              <w:t>8</w:t>
            </w:r>
          </w:p>
        </w:tc>
      </w:tr>
      <w:tr w:rsidR="00C1548D" w14:paraId="70A5116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D" w14:textId="77777777" w:rsidR="00C1548D" w:rsidRDefault="009B1B4B">
            <w:pPr>
              <w:spacing w:line="250" w:lineRule="auto"/>
            </w:pPr>
            <w:r>
              <w:rPr>
                <w:sz w:val="18"/>
                <w:szCs w:val="18"/>
              </w:rPr>
              <w:t>I-907</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E" w14:textId="77777777" w:rsidR="00C1548D" w:rsidRDefault="009B1B4B">
            <w:pPr>
              <w:spacing w:line="250" w:lineRule="auto"/>
            </w:pPr>
            <w:r>
              <w:rPr>
                <w:sz w:val="18"/>
                <w:szCs w:val="18"/>
              </w:rPr>
              <w:t>Antrag auf beschleunigte Bearbeitung (Premium Processing)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5F"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0" w14:textId="77777777" w:rsidR="00C1548D" w:rsidRDefault="009B1B4B">
            <w:pPr>
              <w:spacing w:line="250" w:lineRule="auto"/>
            </w:pPr>
            <w:r>
              <w:rPr>
                <w:sz w:val="18"/>
                <w:szCs w:val="18"/>
              </w:rPr>
              <w:t>5–6</w:t>
            </w:r>
          </w:p>
        </w:tc>
      </w:tr>
      <w:tr w:rsidR="00C1548D" w14:paraId="70A5116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2" w14:textId="77777777" w:rsidR="00C1548D" w:rsidRDefault="009B1B4B">
            <w:pPr>
              <w:spacing w:line="250" w:lineRule="auto"/>
            </w:pPr>
            <w:r>
              <w:rPr>
                <w:sz w:val="18"/>
                <w:szCs w:val="18"/>
              </w:rPr>
              <w:t>I-941</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3" w14:textId="77777777" w:rsidR="00C1548D" w:rsidRDefault="009B1B4B">
            <w:pPr>
              <w:spacing w:line="250" w:lineRule="auto"/>
            </w:pPr>
            <w:r>
              <w:rPr>
                <w:sz w:val="18"/>
                <w:szCs w:val="18"/>
              </w:rPr>
              <w:t>Antrag auf befristete Einreise für Start-up-Gründer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4"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5" w14:textId="77777777" w:rsidR="00C1548D" w:rsidRDefault="009B1B4B">
            <w:pPr>
              <w:spacing w:line="250" w:lineRule="auto"/>
            </w:pPr>
            <w:r>
              <w:rPr>
                <w:sz w:val="18"/>
                <w:szCs w:val="18"/>
              </w:rPr>
              <w:t>9</w:t>
            </w:r>
          </w:p>
        </w:tc>
      </w:tr>
      <w:tr w:rsidR="00C1548D" w14:paraId="70A5116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7" w14:textId="77777777" w:rsidR="00C1548D" w:rsidRDefault="009B1B4B">
            <w:pPr>
              <w:spacing w:line="250" w:lineRule="auto"/>
            </w:pPr>
            <w:r>
              <w:rPr>
                <w:sz w:val="18"/>
                <w:szCs w:val="18"/>
              </w:rPr>
              <w:t>I-983</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8" w14:textId="77777777" w:rsidR="00C1548D" w:rsidRDefault="009B1B4B">
            <w:pPr>
              <w:spacing w:line="250" w:lineRule="auto"/>
            </w:pPr>
            <w:r>
              <w:rPr>
                <w:sz w:val="18"/>
                <w:szCs w:val="18"/>
              </w:rPr>
              <w:t>Ausbildungsplan für die STEM-OPT-Verlängerung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9"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A" w14:textId="77777777" w:rsidR="00C1548D" w:rsidRDefault="009B1B4B">
            <w:pPr>
              <w:spacing w:line="250" w:lineRule="auto"/>
            </w:pPr>
            <w:r>
              <w:rPr>
                <w:sz w:val="18"/>
                <w:szCs w:val="18"/>
              </w:rPr>
              <w:t>8</w:t>
            </w:r>
          </w:p>
        </w:tc>
      </w:tr>
      <w:tr w:rsidR="00C1548D" w14:paraId="70A5117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C" w14:textId="77777777" w:rsidR="00C1548D" w:rsidRDefault="009B1B4B">
            <w:pPr>
              <w:spacing w:line="250" w:lineRule="auto"/>
            </w:pPr>
            <w:r>
              <w:rPr>
                <w:sz w:val="18"/>
                <w:szCs w:val="18"/>
              </w:rPr>
              <w:t>N-400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D" w14:textId="77777777" w:rsidR="00C1548D" w:rsidRDefault="009B1B4B">
            <w:pPr>
              <w:spacing w:line="250" w:lineRule="auto"/>
            </w:pPr>
            <w:r>
              <w:rPr>
                <w:sz w:val="18"/>
                <w:szCs w:val="18"/>
              </w:rPr>
              <w:t>Antrag auf die Einbürgerung (Naturalization)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E"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6F" w14:textId="77777777" w:rsidR="00C1548D" w:rsidRDefault="009B1B4B">
            <w:pPr>
              <w:spacing w:line="250" w:lineRule="auto"/>
            </w:pPr>
            <w:r>
              <w:rPr>
                <w:sz w:val="18"/>
                <w:szCs w:val="18"/>
              </w:rPr>
              <w:t>6, 41</w:t>
            </w:r>
          </w:p>
        </w:tc>
      </w:tr>
      <w:tr w:rsidR="00C1548D" w14:paraId="70A5117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1" w14:textId="77777777" w:rsidR="00C1548D" w:rsidRDefault="009B1B4B">
            <w:pPr>
              <w:spacing w:line="250" w:lineRule="auto"/>
            </w:pPr>
            <w:r>
              <w:rPr>
                <w:sz w:val="18"/>
                <w:szCs w:val="18"/>
              </w:rPr>
              <w:t>N-470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2" w14:textId="77777777" w:rsidR="00C1548D" w:rsidRDefault="009B1B4B">
            <w:pPr>
              <w:spacing w:line="250" w:lineRule="auto"/>
            </w:pPr>
            <w:r>
              <w:rPr>
                <w:sz w:val="18"/>
                <w:szCs w:val="18"/>
              </w:rPr>
              <w:t>Erhalt der Aufenthaltszeit bei längerem Auslandsaufenthalt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3"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4" w14:textId="77777777" w:rsidR="00C1548D" w:rsidRDefault="009B1B4B">
            <w:pPr>
              <w:spacing w:line="250" w:lineRule="auto"/>
            </w:pPr>
            <w:r>
              <w:rPr>
                <w:sz w:val="18"/>
                <w:szCs w:val="18"/>
              </w:rPr>
              <w:t>41</w:t>
            </w:r>
          </w:p>
        </w:tc>
      </w:tr>
      <w:tr w:rsidR="00C1548D" w14:paraId="70A5117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6" w14:textId="77777777" w:rsidR="00C1548D" w:rsidRDefault="009B1B4B">
            <w:pPr>
              <w:spacing w:line="250" w:lineRule="auto"/>
            </w:pPr>
            <w:r>
              <w:rPr>
                <w:sz w:val="18"/>
                <w:szCs w:val="18"/>
              </w:rPr>
              <w:t>N-600</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7" w14:textId="77777777" w:rsidR="00C1548D" w:rsidRDefault="009B1B4B">
            <w:pPr>
              <w:spacing w:line="250" w:lineRule="auto"/>
            </w:pPr>
            <w:r>
              <w:rPr>
                <w:sz w:val="18"/>
                <w:szCs w:val="18"/>
              </w:rPr>
              <w:t>Nachweis der Staatsbürgerschaft durch Abstammung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8" w14:textId="77777777" w:rsidR="00C1548D" w:rsidRDefault="009B1B4B">
            <w:pPr>
              <w:spacing w:line="250" w:lineRule="auto"/>
            </w:pPr>
            <w:r>
              <w:rPr>
                <w:sz w:val="18"/>
                <w:szCs w:val="18"/>
              </w:rPr>
              <w:t>USCIS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9" w14:textId="77777777" w:rsidR="00C1548D" w:rsidRDefault="009B1B4B">
            <w:pPr>
              <w:spacing w:line="250" w:lineRule="auto"/>
            </w:pPr>
            <w:r>
              <w:rPr>
                <w:sz w:val="18"/>
                <w:szCs w:val="18"/>
              </w:rPr>
              <w:t>41</w:t>
            </w:r>
          </w:p>
        </w:tc>
      </w:tr>
      <w:tr w:rsidR="00C1548D" w14:paraId="70A5117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B" w14:textId="77777777" w:rsidR="00C1548D" w:rsidRDefault="009B1B4B">
            <w:pPr>
              <w:spacing w:line="250" w:lineRule="auto"/>
            </w:pPr>
            <w:r>
              <w:rPr>
                <w:sz w:val="18"/>
                <w:szCs w:val="18"/>
              </w:rPr>
              <w:t>SS-5</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C" w14:textId="77777777" w:rsidR="00C1548D" w:rsidRDefault="009B1B4B">
            <w:pPr>
              <w:spacing w:line="250" w:lineRule="auto"/>
            </w:pPr>
            <w:r>
              <w:rPr>
                <w:sz w:val="18"/>
                <w:szCs w:val="18"/>
              </w:rPr>
              <w:t>Antrag auf die Sozialversicherungsnummer (SSN)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D" w14:textId="77777777" w:rsidR="00C1548D" w:rsidRDefault="009B1B4B">
            <w:pPr>
              <w:spacing w:line="250" w:lineRule="auto"/>
            </w:pPr>
            <w:r>
              <w:rPr>
                <w:sz w:val="18"/>
                <w:szCs w:val="18"/>
              </w:rPr>
              <w:t>SSA</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7E" w14:textId="77777777" w:rsidR="00C1548D" w:rsidRDefault="009B1B4B">
            <w:pPr>
              <w:spacing w:line="250" w:lineRule="auto"/>
            </w:pPr>
            <w:r>
              <w:rPr>
                <w:sz w:val="18"/>
                <w:szCs w:val="18"/>
              </w:rPr>
              <w:t>24, 38</w:t>
            </w:r>
          </w:p>
        </w:tc>
      </w:tr>
      <w:tr w:rsidR="00C1548D" w14:paraId="70A5118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0" w14:textId="77777777" w:rsidR="00C1548D" w:rsidRDefault="009B1B4B">
            <w:pPr>
              <w:spacing w:line="250" w:lineRule="auto"/>
            </w:pPr>
            <w:r>
              <w:rPr>
                <w:sz w:val="18"/>
                <w:szCs w:val="18"/>
              </w:rPr>
              <w:t>W-2</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1" w14:textId="77777777" w:rsidR="00C1548D" w:rsidRDefault="009B1B4B">
            <w:pPr>
              <w:spacing w:line="250" w:lineRule="auto"/>
            </w:pPr>
            <w:r>
              <w:rPr>
                <w:sz w:val="18"/>
                <w:szCs w:val="18"/>
              </w:rPr>
              <w:t>Jährliche Lohnsteuerbescheinigung des Arbeitgebers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2" w14:textId="77777777" w:rsidR="00C1548D" w:rsidRDefault="009B1B4B">
            <w:pPr>
              <w:spacing w:line="250" w:lineRule="auto"/>
            </w:pPr>
            <w:r>
              <w:rPr>
                <w:sz w:val="18"/>
                <w:szCs w:val="18"/>
              </w:rPr>
              <w:t>IRS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3" w14:textId="77777777" w:rsidR="00C1548D" w:rsidRDefault="009B1B4B">
            <w:pPr>
              <w:spacing w:line="250" w:lineRule="auto"/>
            </w:pPr>
            <w:r>
              <w:rPr>
                <w:sz w:val="18"/>
                <w:szCs w:val="18"/>
              </w:rPr>
              <w:t>20, 28, 30</w:t>
            </w:r>
          </w:p>
        </w:tc>
      </w:tr>
      <w:tr w:rsidR="00C1548D" w14:paraId="70A5118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5" w14:textId="77777777" w:rsidR="00C1548D" w:rsidRDefault="009B1B4B">
            <w:pPr>
              <w:spacing w:line="250" w:lineRule="auto"/>
            </w:pPr>
            <w:r>
              <w:rPr>
                <w:sz w:val="18"/>
                <w:szCs w:val="18"/>
              </w:rPr>
              <w:t>W-4</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6" w14:textId="77777777" w:rsidR="00C1548D" w:rsidRDefault="009B1B4B">
            <w:pPr>
              <w:spacing w:line="250" w:lineRule="auto"/>
            </w:pPr>
            <w:r>
              <w:rPr>
                <w:sz w:val="18"/>
                <w:szCs w:val="18"/>
              </w:rPr>
              <w:t>Angaben zum Steuerabzug beim Arbeitgeber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7" w14:textId="77777777" w:rsidR="00C1548D" w:rsidRDefault="009B1B4B">
            <w:pPr>
              <w:spacing w:line="250" w:lineRule="auto"/>
            </w:pPr>
            <w:r>
              <w:rPr>
                <w:sz w:val="18"/>
                <w:szCs w:val="18"/>
              </w:rPr>
              <w:t>IRS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8" w14:textId="77777777" w:rsidR="00C1548D" w:rsidRDefault="009B1B4B">
            <w:pPr>
              <w:spacing w:line="250" w:lineRule="auto"/>
            </w:pPr>
            <w:r>
              <w:rPr>
                <w:sz w:val="18"/>
                <w:szCs w:val="18"/>
              </w:rPr>
              <w:t>23–24, 28</w:t>
            </w:r>
          </w:p>
        </w:tc>
      </w:tr>
      <w:tr w:rsidR="00C1548D" w14:paraId="70A5118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A" w14:textId="77777777" w:rsidR="00C1548D" w:rsidRDefault="009B1B4B">
            <w:pPr>
              <w:spacing w:line="250" w:lineRule="auto"/>
            </w:pPr>
            <w:r>
              <w:rPr>
                <w:sz w:val="18"/>
                <w:szCs w:val="18"/>
              </w:rPr>
              <w:t>W-7</w:t>
            </w:r>
          </w:p>
        </w:tc>
        <w:tc>
          <w:tcPr>
            <w:tcW w:w="3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B" w14:textId="77777777" w:rsidR="00C1548D" w:rsidRDefault="009B1B4B">
            <w:pPr>
              <w:spacing w:line="250" w:lineRule="auto"/>
            </w:pPr>
            <w:r>
              <w:rPr>
                <w:sz w:val="18"/>
                <w:szCs w:val="18"/>
              </w:rPr>
              <w:t>Antrag auf die Steuernummer ITIN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C" w14:textId="77777777" w:rsidR="00C1548D" w:rsidRDefault="009B1B4B">
            <w:pPr>
              <w:spacing w:line="250" w:lineRule="auto"/>
            </w:pPr>
            <w:r>
              <w:rPr>
                <w:sz w:val="18"/>
                <w:szCs w:val="18"/>
              </w:rPr>
              <w:t>IRS</w:t>
            </w:r>
          </w:p>
        </w:tc>
        <w:tc>
          <w:tcPr>
            <w:tcW w:w="13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8D" w14:textId="77777777" w:rsidR="00C1548D" w:rsidRDefault="009B1B4B">
            <w:pPr>
              <w:spacing w:line="250" w:lineRule="auto"/>
            </w:pPr>
            <w:r>
              <w:rPr>
                <w:sz w:val="18"/>
                <w:szCs w:val="18"/>
              </w:rPr>
              <w:t>13, 24</w:t>
            </w:r>
          </w:p>
        </w:tc>
      </w:tr>
    </w:tbl>
    <w:p w14:paraId="70A5118F" w14:textId="77777777" w:rsidR="00C1548D" w:rsidRDefault="00C1548D">
      <w:pPr>
        <w:spacing w:line="180" w:lineRule="exact"/>
      </w:pPr>
    </w:p>
    <w:p w14:paraId="70A51190" w14:textId="77777777" w:rsidR="00C1548D" w:rsidRDefault="009B1B4B">
      <w:pPr>
        <w:pStyle w:val="Heading3"/>
        <w:keepNext/>
        <w:jc w:val="center"/>
      </w:pPr>
      <w:r>
        <w:rPr>
          <w:rFonts w:ascii="Amazon Ember" w:eastAsia="Amazon Ember" w:hAnsi="Amazon Ember" w:cs="Amazon Ember"/>
          <w:color w:val="0000FF"/>
          <w:sz w:val="36"/>
          <w:szCs w:val="36"/>
        </w:rPr>
        <w:t>USA — Abkürzungen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617"/>
        <w:gridCol w:w="2913"/>
      </w:tblGrid>
      <w:tr w:rsidR="00C1548D" w14:paraId="70A51194"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191" w14:textId="77777777" w:rsidR="00C1548D" w:rsidRDefault="009B1B4B">
            <w:pPr>
              <w:spacing w:line="250" w:lineRule="auto"/>
            </w:pPr>
            <w:r>
              <w:rPr>
                <w:b/>
                <w:bCs/>
                <w:sz w:val="18"/>
                <w:szCs w:val="18"/>
              </w:rPr>
              <w:t>Kürzel</w:t>
            </w:r>
          </w:p>
        </w:tc>
        <w:tc>
          <w:tcPr>
            <w:tcW w:w="261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192" w14:textId="77777777" w:rsidR="00C1548D" w:rsidRDefault="009B1B4B">
            <w:pPr>
              <w:spacing w:line="250" w:lineRule="auto"/>
            </w:pPr>
            <w:r>
              <w:rPr>
                <w:b/>
                <w:bCs/>
                <w:sz w:val="18"/>
                <w:szCs w:val="18"/>
              </w:rPr>
              <w:t>Ausgeschrieben</w:t>
            </w:r>
          </w:p>
        </w:tc>
        <w:tc>
          <w:tcPr>
            <w:tcW w:w="291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193" w14:textId="77777777" w:rsidR="00C1548D" w:rsidRDefault="009B1B4B">
            <w:pPr>
              <w:spacing w:line="250" w:lineRule="auto"/>
            </w:pPr>
            <w:r>
              <w:rPr>
                <w:b/>
                <w:bCs/>
                <w:sz w:val="18"/>
                <w:szCs w:val="18"/>
              </w:rPr>
              <w:t>Kurzerklärung</w:t>
            </w:r>
          </w:p>
        </w:tc>
      </w:tr>
      <w:tr w:rsidR="00C1548D" w14:paraId="70A5119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95" w14:textId="77777777" w:rsidR="00C1548D" w:rsidRDefault="009B1B4B">
            <w:pPr>
              <w:spacing w:line="250" w:lineRule="auto"/>
            </w:pPr>
            <w:r>
              <w:rPr>
                <w:sz w:val="18"/>
                <w:szCs w:val="18"/>
              </w:rPr>
              <w:t>USCIS</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96" w14:textId="77777777" w:rsidR="00C1548D" w:rsidRDefault="009B1B4B">
            <w:pPr>
              <w:spacing w:line="250" w:lineRule="auto"/>
            </w:pPr>
            <w:r>
              <w:rPr>
                <w:sz w:val="18"/>
                <w:szCs w:val="18"/>
              </w:rPr>
              <w:t>U.S. Citizenship and Immigration Services</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97" w14:textId="77777777" w:rsidR="00C1548D" w:rsidRDefault="009B1B4B">
            <w:pPr>
              <w:spacing w:line="250" w:lineRule="auto"/>
            </w:pPr>
            <w:r>
              <w:rPr>
                <w:sz w:val="18"/>
                <w:szCs w:val="18"/>
              </w:rPr>
              <w:t>Einwanderungsbehörde, entscheidet über Anträge im Inland</w:t>
            </w:r>
          </w:p>
        </w:tc>
      </w:tr>
      <w:tr w:rsidR="00C1548D" w14:paraId="70A5119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99" w14:textId="77777777" w:rsidR="00C1548D" w:rsidRDefault="009B1B4B">
            <w:pPr>
              <w:spacing w:line="250" w:lineRule="auto"/>
            </w:pPr>
            <w:r>
              <w:rPr>
                <w:sz w:val="18"/>
                <w:szCs w:val="18"/>
              </w:rPr>
              <w:t>CBP</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9A" w14:textId="77777777" w:rsidR="00C1548D" w:rsidRDefault="009B1B4B">
            <w:pPr>
              <w:spacing w:line="250" w:lineRule="auto"/>
            </w:pPr>
            <w:r>
              <w:rPr>
                <w:sz w:val="18"/>
                <w:szCs w:val="18"/>
              </w:rPr>
              <w:t>Customs and Border Protection</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9B" w14:textId="77777777" w:rsidR="00C1548D" w:rsidRDefault="009B1B4B">
            <w:pPr>
              <w:spacing w:line="250" w:lineRule="auto"/>
            </w:pPr>
            <w:r>
              <w:rPr>
                <w:sz w:val="18"/>
                <w:szCs w:val="18"/>
              </w:rPr>
              <w:t>Grenzschutz, entscheidet über die Einreise selbst</w:t>
            </w:r>
          </w:p>
        </w:tc>
      </w:tr>
      <w:tr w:rsidR="00C1548D" w14:paraId="70A511A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9D" w14:textId="77777777" w:rsidR="00C1548D" w:rsidRDefault="009B1B4B">
            <w:pPr>
              <w:spacing w:line="250" w:lineRule="auto"/>
            </w:pPr>
            <w:r>
              <w:rPr>
                <w:sz w:val="18"/>
                <w:szCs w:val="18"/>
              </w:rPr>
              <w:t>DOS</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9E" w14:textId="77777777" w:rsidR="00C1548D" w:rsidRDefault="009B1B4B">
            <w:pPr>
              <w:spacing w:line="250" w:lineRule="auto"/>
            </w:pPr>
            <w:r>
              <w:rPr>
                <w:sz w:val="18"/>
                <w:szCs w:val="18"/>
              </w:rPr>
              <w:t>Department of State</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9F" w14:textId="77777777" w:rsidR="00C1548D" w:rsidRDefault="009B1B4B">
            <w:pPr>
              <w:spacing w:line="250" w:lineRule="auto"/>
            </w:pPr>
            <w:r>
              <w:rPr>
                <w:sz w:val="18"/>
                <w:szCs w:val="18"/>
              </w:rPr>
              <w:t>Außenministerium; seine Konsulate stellen Visa aus</w:t>
            </w:r>
          </w:p>
        </w:tc>
      </w:tr>
      <w:tr w:rsidR="00C1548D" w14:paraId="70A511A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1" w14:textId="77777777" w:rsidR="00C1548D" w:rsidRDefault="009B1B4B">
            <w:pPr>
              <w:spacing w:line="250" w:lineRule="auto"/>
            </w:pPr>
            <w:r>
              <w:rPr>
                <w:sz w:val="18"/>
                <w:szCs w:val="18"/>
              </w:rPr>
              <w:t>DOL</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2" w14:textId="77777777" w:rsidR="00C1548D" w:rsidRDefault="009B1B4B">
            <w:pPr>
              <w:spacing w:line="250" w:lineRule="auto"/>
            </w:pPr>
            <w:r>
              <w:rPr>
                <w:sz w:val="18"/>
                <w:szCs w:val="18"/>
              </w:rPr>
              <w:t>Department of Labor</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3" w14:textId="77777777" w:rsidR="00C1548D" w:rsidRDefault="009B1B4B">
            <w:pPr>
              <w:spacing w:line="250" w:lineRule="auto"/>
            </w:pPr>
            <w:r>
              <w:rPr>
                <w:sz w:val="18"/>
                <w:szCs w:val="18"/>
              </w:rPr>
              <w:t>Arbeitsministerium, prüft Löhne und Arbeitsbedingungen (LCA, PERM)</w:t>
            </w:r>
          </w:p>
        </w:tc>
      </w:tr>
      <w:tr w:rsidR="00C1548D" w14:paraId="70A511A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5" w14:textId="77777777" w:rsidR="00C1548D" w:rsidRDefault="009B1B4B">
            <w:pPr>
              <w:spacing w:line="250" w:lineRule="auto"/>
            </w:pPr>
            <w:r>
              <w:rPr>
                <w:sz w:val="18"/>
                <w:szCs w:val="18"/>
              </w:rPr>
              <w:t>SSA</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6" w14:textId="77777777" w:rsidR="00C1548D" w:rsidRDefault="009B1B4B">
            <w:pPr>
              <w:spacing w:line="250" w:lineRule="auto"/>
            </w:pPr>
            <w:r>
              <w:rPr>
                <w:sz w:val="18"/>
                <w:szCs w:val="18"/>
              </w:rPr>
              <w:t>Social Security Administration</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7" w14:textId="77777777" w:rsidR="00C1548D" w:rsidRDefault="009B1B4B">
            <w:pPr>
              <w:spacing w:line="250" w:lineRule="auto"/>
            </w:pPr>
            <w:r>
              <w:rPr>
                <w:sz w:val="18"/>
                <w:szCs w:val="18"/>
              </w:rPr>
              <w:t>Sozialversicherungsbehörde, vergibt die SSN</w:t>
            </w:r>
          </w:p>
        </w:tc>
      </w:tr>
      <w:tr w:rsidR="00C1548D" w14:paraId="70A511A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9" w14:textId="77777777" w:rsidR="00C1548D" w:rsidRDefault="009B1B4B">
            <w:pPr>
              <w:spacing w:line="250" w:lineRule="auto"/>
            </w:pPr>
            <w:r>
              <w:rPr>
                <w:sz w:val="18"/>
                <w:szCs w:val="18"/>
              </w:rPr>
              <w:lastRenderedPageBreak/>
              <w:t>IRS</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A" w14:textId="77777777" w:rsidR="00C1548D" w:rsidRDefault="009B1B4B">
            <w:pPr>
              <w:spacing w:line="250" w:lineRule="auto"/>
            </w:pPr>
            <w:r>
              <w:rPr>
                <w:sz w:val="18"/>
                <w:szCs w:val="18"/>
              </w:rPr>
              <w:t>Internal Revenue Service</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B" w14:textId="77777777" w:rsidR="00C1548D" w:rsidRDefault="009B1B4B">
            <w:pPr>
              <w:spacing w:line="250" w:lineRule="auto"/>
            </w:pPr>
            <w:r>
              <w:rPr>
                <w:sz w:val="18"/>
                <w:szCs w:val="18"/>
              </w:rPr>
              <w:t>Bundessteuerbehörde</w:t>
            </w:r>
          </w:p>
        </w:tc>
      </w:tr>
      <w:tr w:rsidR="00C1548D" w14:paraId="70A511B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D" w14:textId="77777777" w:rsidR="00C1548D" w:rsidRDefault="009B1B4B">
            <w:pPr>
              <w:spacing w:line="250" w:lineRule="auto"/>
            </w:pPr>
            <w:r>
              <w:rPr>
                <w:sz w:val="18"/>
                <w:szCs w:val="18"/>
              </w:rPr>
              <w:t>DHS</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E" w14:textId="77777777" w:rsidR="00C1548D" w:rsidRDefault="009B1B4B">
            <w:pPr>
              <w:spacing w:line="250" w:lineRule="auto"/>
            </w:pPr>
            <w:r>
              <w:rPr>
                <w:sz w:val="18"/>
                <w:szCs w:val="18"/>
              </w:rPr>
              <w:t>Department of Homeland Security</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AF" w14:textId="77777777" w:rsidR="00C1548D" w:rsidRDefault="009B1B4B">
            <w:pPr>
              <w:spacing w:line="250" w:lineRule="auto"/>
            </w:pPr>
            <w:r>
              <w:rPr>
                <w:sz w:val="18"/>
                <w:szCs w:val="18"/>
              </w:rPr>
              <w:t>Heimatschutzministerium, Dachbehörde von USCIS, CBP und ICE</w:t>
            </w:r>
          </w:p>
        </w:tc>
      </w:tr>
      <w:tr w:rsidR="00C1548D" w14:paraId="70A511B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1" w14:textId="77777777" w:rsidR="00C1548D" w:rsidRDefault="009B1B4B">
            <w:pPr>
              <w:spacing w:line="250" w:lineRule="auto"/>
            </w:pPr>
            <w:r>
              <w:rPr>
                <w:sz w:val="18"/>
                <w:szCs w:val="18"/>
              </w:rPr>
              <w:t>CMS</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2" w14:textId="77777777" w:rsidR="00C1548D" w:rsidRDefault="009B1B4B">
            <w:pPr>
              <w:spacing w:line="250" w:lineRule="auto"/>
            </w:pPr>
            <w:r>
              <w:rPr>
                <w:sz w:val="18"/>
                <w:szCs w:val="18"/>
              </w:rPr>
              <w:t>Centers for Medicare &amp; Medicaid Services</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3" w14:textId="77777777" w:rsidR="00C1548D" w:rsidRDefault="009B1B4B">
            <w:pPr>
              <w:spacing w:line="250" w:lineRule="auto"/>
            </w:pPr>
            <w:r>
              <w:rPr>
                <w:sz w:val="18"/>
                <w:szCs w:val="18"/>
              </w:rPr>
              <w:t>Bundesbehörde für Medicare/Medicaid; nimmt Beschwerden zum No Surprises Act entgegen</w:t>
            </w:r>
          </w:p>
        </w:tc>
      </w:tr>
      <w:tr w:rsidR="00C1548D" w14:paraId="70A511B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5" w14:textId="77777777" w:rsidR="00C1548D" w:rsidRDefault="009B1B4B">
            <w:pPr>
              <w:spacing w:line="250" w:lineRule="auto"/>
            </w:pPr>
            <w:r>
              <w:rPr>
                <w:sz w:val="18"/>
                <w:szCs w:val="18"/>
              </w:rPr>
              <w:t>ICE</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6" w14:textId="77777777" w:rsidR="00C1548D" w:rsidRDefault="009B1B4B">
            <w:pPr>
              <w:spacing w:line="250" w:lineRule="auto"/>
            </w:pPr>
            <w:r>
              <w:rPr>
                <w:sz w:val="18"/>
                <w:szCs w:val="18"/>
              </w:rPr>
              <w:t>Immigration and Customs Enforcement</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7" w14:textId="77777777" w:rsidR="00C1548D" w:rsidRDefault="009B1B4B">
            <w:pPr>
              <w:spacing w:line="250" w:lineRule="auto"/>
            </w:pPr>
            <w:r>
              <w:rPr>
                <w:sz w:val="18"/>
                <w:szCs w:val="18"/>
              </w:rPr>
              <w:t>Zoll- und Einwanderungsfahndung; verwaltet über die SEVP auch Studierendenstatus</w:t>
            </w:r>
          </w:p>
        </w:tc>
      </w:tr>
      <w:tr w:rsidR="00C1548D" w14:paraId="70A511B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9" w14:textId="77777777" w:rsidR="00C1548D" w:rsidRDefault="009B1B4B">
            <w:pPr>
              <w:spacing w:line="250" w:lineRule="auto"/>
            </w:pPr>
            <w:r>
              <w:rPr>
                <w:sz w:val="18"/>
                <w:szCs w:val="18"/>
              </w:rPr>
              <w:t>DMV</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A" w14:textId="77777777" w:rsidR="00C1548D" w:rsidRDefault="009B1B4B">
            <w:pPr>
              <w:spacing w:line="250" w:lineRule="auto"/>
            </w:pPr>
            <w:r>
              <w:rPr>
                <w:sz w:val="18"/>
                <w:szCs w:val="18"/>
              </w:rPr>
              <w:t>Department of Motor Vehicles</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B" w14:textId="77777777" w:rsidR="00C1548D" w:rsidRDefault="009B1B4B">
            <w:pPr>
              <w:spacing w:line="250" w:lineRule="auto"/>
            </w:pPr>
            <w:r>
              <w:rPr>
                <w:sz w:val="18"/>
                <w:szCs w:val="18"/>
              </w:rPr>
              <w:t>Kfz-Zulassungs- und Führerscheinstelle des jeweiligen Bundesstaats</w:t>
            </w:r>
          </w:p>
        </w:tc>
      </w:tr>
      <w:tr w:rsidR="00C1548D" w14:paraId="70A511C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D" w14:textId="77777777" w:rsidR="00C1548D" w:rsidRDefault="009B1B4B">
            <w:pPr>
              <w:spacing w:line="250" w:lineRule="auto"/>
            </w:pPr>
            <w:r>
              <w:rPr>
                <w:sz w:val="18"/>
                <w:szCs w:val="18"/>
              </w:rPr>
              <w:t>HOA</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E" w14:textId="77777777" w:rsidR="00C1548D" w:rsidRDefault="009B1B4B">
            <w:pPr>
              <w:spacing w:line="250" w:lineRule="auto"/>
            </w:pPr>
            <w:r>
              <w:rPr>
                <w:sz w:val="18"/>
                <w:szCs w:val="18"/>
              </w:rPr>
              <w:t>Homeowners Association</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BF" w14:textId="77777777" w:rsidR="00C1548D" w:rsidRDefault="009B1B4B">
            <w:pPr>
              <w:spacing w:line="250" w:lineRule="auto"/>
            </w:pPr>
            <w:r>
              <w:rPr>
                <w:sz w:val="18"/>
                <w:szCs w:val="18"/>
              </w:rPr>
              <w:t>Eigentümergemeinschaft mit monatlicher Umlage</w:t>
            </w:r>
          </w:p>
        </w:tc>
      </w:tr>
      <w:tr w:rsidR="00C1548D" w14:paraId="70A511C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1" w14:textId="77777777" w:rsidR="00C1548D" w:rsidRDefault="009B1B4B">
            <w:pPr>
              <w:spacing w:line="250" w:lineRule="auto"/>
            </w:pPr>
            <w:r>
              <w:rPr>
                <w:sz w:val="18"/>
                <w:szCs w:val="18"/>
              </w:rPr>
              <w:t>PMI</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2" w14:textId="77777777" w:rsidR="00C1548D" w:rsidRDefault="009B1B4B">
            <w:pPr>
              <w:spacing w:line="250" w:lineRule="auto"/>
            </w:pPr>
            <w:r>
              <w:rPr>
                <w:sz w:val="18"/>
                <w:szCs w:val="18"/>
              </w:rPr>
              <w:t>Private Mortgage Insurance</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3" w14:textId="77777777" w:rsidR="00C1548D" w:rsidRDefault="009B1B4B">
            <w:pPr>
              <w:spacing w:line="250" w:lineRule="auto"/>
            </w:pPr>
            <w:r>
              <w:rPr>
                <w:sz w:val="18"/>
                <w:szCs w:val="18"/>
              </w:rPr>
              <w:t>Kreditausfallversicherung bei Anzahlung unter 20 %</w:t>
            </w:r>
          </w:p>
        </w:tc>
      </w:tr>
      <w:tr w:rsidR="00C1548D" w14:paraId="70A511C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5" w14:textId="77777777" w:rsidR="00C1548D" w:rsidRDefault="009B1B4B">
            <w:pPr>
              <w:spacing w:line="250" w:lineRule="auto"/>
            </w:pPr>
            <w:r>
              <w:rPr>
                <w:sz w:val="18"/>
                <w:szCs w:val="18"/>
              </w:rPr>
              <w:t>FICA</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6" w14:textId="77777777" w:rsidR="00C1548D" w:rsidRDefault="009B1B4B">
            <w:pPr>
              <w:spacing w:line="250" w:lineRule="auto"/>
            </w:pPr>
            <w:r>
              <w:rPr>
                <w:sz w:val="18"/>
                <w:szCs w:val="18"/>
              </w:rPr>
              <w:t>Federal Insurance Contributions Act</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7" w14:textId="77777777" w:rsidR="00C1548D" w:rsidRDefault="009B1B4B">
            <w:pPr>
              <w:spacing w:line="250" w:lineRule="auto"/>
            </w:pPr>
            <w:r>
              <w:rPr>
                <w:sz w:val="18"/>
                <w:szCs w:val="18"/>
              </w:rPr>
              <w:t>Lohnabgabe für Social Security und Medicare</w:t>
            </w:r>
          </w:p>
        </w:tc>
      </w:tr>
      <w:tr w:rsidR="00C1548D" w14:paraId="70A511C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9" w14:textId="77777777" w:rsidR="00C1548D" w:rsidRDefault="009B1B4B">
            <w:pPr>
              <w:spacing w:line="250" w:lineRule="auto"/>
            </w:pPr>
            <w:r>
              <w:rPr>
                <w:sz w:val="18"/>
                <w:szCs w:val="18"/>
              </w:rPr>
              <w:t>FBAR</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A" w14:textId="77777777" w:rsidR="00C1548D" w:rsidRDefault="009B1B4B">
            <w:pPr>
              <w:spacing w:line="250" w:lineRule="auto"/>
            </w:pPr>
            <w:r>
              <w:rPr>
                <w:sz w:val="18"/>
                <w:szCs w:val="18"/>
              </w:rPr>
              <w:t>Foreign Bank Account Report</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B" w14:textId="77777777" w:rsidR="00C1548D" w:rsidRDefault="009B1B4B">
            <w:pPr>
              <w:spacing w:line="250" w:lineRule="auto"/>
            </w:pPr>
            <w:r>
              <w:rPr>
                <w:sz w:val="18"/>
                <w:szCs w:val="18"/>
              </w:rPr>
              <w:t>Meldepflicht für ausländische Konten ab 10.000 $</w:t>
            </w:r>
          </w:p>
        </w:tc>
      </w:tr>
      <w:tr w:rsidR="00C1548D" w14:paraId="70A511D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D" w14:textId="77777777" w:rsidR="00C1548D" w:rsidRDefault="009B1B4B">
            <w:pPr>
              <w:spacing w:line="250" w:lineRule="auto"/>
            </w:pPr>
            <w:r>
              <w:rPr>
                <w:sz w:val="18"/>
                <w:szCs w:val="18"/>
              </w:rPr>
              <w:t>FATCA</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E" w14:textId="77777777" w:rsidR="00C1548D" w:rsidRDefault="009B1B4B">
            <w:pPr>
              <w:spacing w:line="250" w:lineRule="auto"/>
            </w:pPr>
            <w:r>
              <w:rPr>
                <w:sz w:val="18"/>
                <w:szCs w:val="18"/>
              </w:rPr>
              <w:t>Foreign Account Tax Compliance Act</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CF" w14:textId="77777777" w:rsidR="00C1548D" w:rsidRDefault="009B1B4B">
            <w:pPr>
              <w:spacing w:line="250" w:lineRule="auto"/>
            </w:pPr>
            <w:r>
              <w:rPr>
                <w:sz w:val="18"/>
                <w:szCs w:val="18"/>
              </w:rPr>
              <w:t>Meldepflicht ausländischer Finanzinstitute an den IRS</w:t>
            </w:r>
          </w:p>
        </w:tc>
      </w:tr>
      <w:tr w:rsidR="00C1548D" w14:paraId="70A511D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1" w14:textId="77777777" w:rsidR="00C1548D" w:rsidRDefault="009B1B4B">
            <w:pPr>
              <w:spacing w:line="250" w:lineRule="auto"/>
            </w:pPr>
            <w:r>
              <w:rPr>
                <w:sz w:val="18"/>
                <w:szCs w:val="18"/>
              </w:rPr>
              <w:t>PFIC</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2" w14:textId="77777777" w:rsidR="00C1548D" w:rsidRDefault="009B1B4B">
            <w:pPr>
              <w:spacing w:line="250" w:lineRule="auto"/>
            </w:pPr>
            <w:r>
              <w:rPr>
                <w:sz w:val="18"/>
                <w:szCs w:val="18"/>
              </w:rPr>
              <w:t>Passive Foreign Investment Company</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3" w14:textId="77777777" w:rsidR="00C1548D" w:rsidRDefault="009B1B4B">
            <w:pPr>
              <w:spacing w:line="250" w:lineRule="auto"/>
            </w:pPr>
            <w:r>
              <w:rPr>
                <w:sz w:val="18"/>
                <w:szCs w:val="18"/>
              </w:rPr>
              <w:t>Steuerlich nachteilige Einstufung ausländischer Fonds und ETFs</w:t>
            </w:r>
          </w:p>
        </w:tc>
      </w:tr>
      <w:tr w:rsidR="00C1548D" w14:paraId="70A511D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5" w14:textId="77777777" w:rsidR="00C1548D" w:rsidRDefault="009B1B4B">
            <w:pPr>
              <w:spacing w:line="250" w:lineRule="auto"/>
            </w:pPr>
            <w:r>
              <w:rPr>
                <w:sz w:val="18"/>
                <w:szCs w:val="18"/>
              </w:rPr>
              <w:t>ITIN</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6" w14:textId="77777777" w:rsidR="00C1548D" w:rsidRDefault="009B1B4B">
            <w:pPr>
              <w:spacing w:line="250" w:lineRule="auto"/>
            </w:pPr>
            <w:r>
              <w:rPr>
                <w:sz w:val="18"/>
                <w:szCs w:val="18"/>
              </w:rPr>
              <w:t>Individual Taxpayer Identification Number</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7" w14:textId="77777777" w:rsidR="00C1548D" w:rsidRDefault="009B1B4B">
            <w:pPr>
              <w:spacing w:line="250" w:lineRule="auto"/>
            </w:pPr>
            <w:r>
              <w:rPr>
                <w:sz w:val="18"/>
                <w:szCs w:val="18"/>
              </w:rPr>
              <w:t>Steuernummer für Personen ohne Anspruch auf eine SSN</w:t>
            </w:r>
          </w:p>
        </w:tc>
      </w:tr>
      <w:tr w:rsidR="00C1548D" w14:paraId="70A511D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9" w14:textId="77777777" w:rsidR="00C1548D" w:rsidRDefault="009B1B4B">
            <w:pPr>
              <w:spacing w:line="250" w:lineRule="auto"/>
            </w:pPr>
            <w:r>
              <w:rPr>
                <w:sz w:val="18"/>
                <w:szCs w:val="18"/>
              </w:rPr>
              <w:t>SSN</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A" w14:textId="77777777" w:rsidR="00C1548D" w:rsidRDefault="009B1B4B">
            <w:pPr>
              <w:spacing w:line="250" w:lineRule="auto"/>
            </w:pPr>
            <w:r>
              <w:rPr>
                <w:sz w:val="18"/>
                <w:szCs w:val="18"/>
              </w:rPr>
              <w:t>Social Security Number</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B" w14:textId="77777777" w:rsidR="00C1548D" w:rsidRDefault="009B1B4B">
            <w:pPr>
              <w:spacing w:line="250" w:lineRule="auto"/>
            </w:pPr>
            <w:r>
              <w:rPr>
                <w:sz w:val="18"/>
                <w:szCs w:val="18"/>
              </w:rPr>
              <w:t>Sozialversicherungsnummer, zentrale US-Identifikationsnummer</w:t>
            </w:r>
          </w:p>
        </w:tc>
      </w:tr>
      <w:tr w:rsidR="00C1548D" w14:paraId="70A511E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D" w14:textId="77777777" w:rsidR="00C1548D" w:rsidRDefault="009B1B4B">
            <w:pPr>
              <w:spacing w:line="250" w:lineRule="auto"/>
            </w:pPr>
            <w:r>
              <w:rPr>
                <w:sz w:val="18"/>
                <w:szCs w:val="18"/>
              </w:rPr>
              <w:t>EAD</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E" w14:textId="77777777" w:rsidR="00C1548D" w:rsidRDefault="009B1B4B">
            <w:pPr>
              <w:spacing w:line="250" w:lineRule="auto"/>
            </w:pPr>
            <w:r>
              <w:rPr>
                <w:sz w:val="18"/>
                <w:szCs w:val="18"/>
              </w:rPr>
              <w:t>Employment Authorization Document</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DF" w14:textId="77777777" w:rsidR="00C1548D" w:rsidRDefault="009B1B4B">
            <w:pPr>
              <w:spacing w:line="250" w:lineRule="auto"/>
            </w:pPr>
            <w:r>
              <w:rPr>
                <w:sz w:val="18"/>
                <w:szCs w:val="18"/>
              </w:rPr>
              <w:t>Arbeitserlaubniskarte, ausgestellt nach Form I-765</w:t>
            </w:r>
          </w:p>
        </w:tc>
      </w:tr>
      <w:tr w:rsidR="00C1548D" w14:paraId="70A511E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1" w14:textId="77777777" w:rsidR="00C1548D" w:rsidRDefault="009B1B4B">
            <w:pPr>
              <w:spacing w:line="250" w:lineRule="auto"/>
            </w:pPr>
            <w:r>
              <w:rPr>
                <w:sz w:val="18"/>
                <w:szCs w:val="18"/>
              </w:rPr>
              <w:t>LCA</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2" w14:textId="77777777" w:rsidR="00C1548D" w:rsidRDefault="009B1B4B">
            <w:pPr>
              <w:spacing w:line="250" w:lineRule="auto"/>
            </w:pPr>
            <w:r>
              <w:rPr>
                <w:sz w:val="18"/>
                <w:szCs w:val="18"/>
              </w:rPr>
              <w:t>Labor Condition Application</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3" w14:textId="77777777" w:rsidR="00C1548D" w:rsidRDefault="009B1B4B">
            <w:pPr>
              <w:spacing w:line="250" w:lineRule="auto"/>
            </w:pPr>
            <w:r>
              <w:rPr>
                <w:sz w:val="18"/>
                <w:szCs w:val="18"/>
              </w:rPr>
              <w:t>Erklärung des Arbeitgebers zu Lohn und Arbeitsbedingungen vor H-1B-Petitionen</w:t>
            </w:r>
          </w:p>
        </w:tc>
      </w:tr>
      <w:tr w:rsidR="00C1548D" w14:paraId="70A511E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5" w14:textId="77777777" w:rsidR="00C1548D" w:rsidRDefault="009B1B4B">
            <w:pPr>
              <w:spacing w:line="250" w:lineRule="auto"/>
            </w:pPr>
            <w:r>
              <w:rPr>
                <w:sz w:val="18"/>
                <w:szCs w:val="18"/>
              </w:rPr>
              <w:t>PERM</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6" w14:textId="77777777" w:rsidR="00C1548D" w:rsidRDefault="009B1B4B">
            <w:pPr>
              <w:spacing w:line="250" w:lineRule="auto"/>
            </w:pPr>
            <w:r>
              <w:rPr>
                <w:sz w:val="18"/>
                <w:szCs w:val="18"/>
              </w:rPr>
              <w:t>Program Electronic Review Management</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7" w14:textId="77777777" w:rsidR="00C1548D" w:rsidRDefault="009B1B4B">
            <w:pPr>
              <w:spacing w:line="250" w:lineRule="auto"/>
            </w:pPr>
            <w:r>
              <w:rPr>
                <w:sz w:val="18"/>
                <w:szCs w:val="18"/>
              </w:rPr>
              <w:t>Arbeitsmarktprüfung des DOL vor der arbeitgebergestützten Green-Card-Petition</w:t>
            </w:r>
          </w:p>
        </w:tc>
      </w:tr>
      <w:tr w:rsidR="00C1548D" w14:paraId="70A511E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9" w14:textId="77777777" w:rsidR="00C1548D" w:rsidRDefault="009B1B4B">
            <w:pPr>
              <w:spacing w:line="250" w:lineRule="auto"/>
            </w:pPr>
            <w:r>
              <w:rPr>
                <w:sz w:val="18"/>
                <w:szCs w:val="18"/>
              </w:rPr>
              <w:lastRenderedPageBreak/>
              <w:t>AC21</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A" w14:textId="77777777" w:rsidR="00C1548D" w:rsidRDefault="009B1B4B">
            <w:pPr>
              <w:spacing w:line="250" w:lineRule="auto"/>
            </w:pPr>
            <w:r>
              <w:rPr>
                <w:sz w:val="18"/>
                <w:szCs w:val="18"/>
              </w:rPr>
              <w:t>American Competitiveness in the Twenty-First Century Act</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B" w14:textId="77777777" w:rsidR="00C1548D" w:rsidRDefault="009B1B4B">
            <w:pPr>
              <w:spacing w:line="250" w:lineRule="auto"/>
            </w:pPr>
            <w:r>
              <w:rPr>
                <w:sz w:val="18"/>
                <w:szCs w:val="18"/>
              </w:rPr>
              <w:t>Erlaubt Arbeitgeberwechsel bei lange anhängigem Green-Card-Verfahren</w:t>
            </w:r>
          </w:p>
        </w:tc>
      </w:tr>
      <w:tr w:rsidR="00C1548D" w14:paraId="70A511F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D" w14:textId="77777777" w:rsidR="00C1548D" w:rsidRDefault="009B1B4B">
            <w:pPr>
              <w:spacing w:line="250" w:lineRule="auto"/>
            </w:pPr>
            <w:r>
              <w:rPr>
                <w:sz w:val="18"/>
                <w:szCs w:val="18"/>
              </w:rPr>
              <w:t>CSPA</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E" w14:textId="77777777" w:rsidR="00C1548D" w:rsidRDefault="009B1B4B">
            <w:pPr>
              <w:spacing w:line="250" w:lineRule="auto"/>
            </w:pPr>
            <w:r>
              <w:rPr>
                <w:sz w:val="18"/>
                <w:szCs w:val="18"/>
              </w:rPr>
              <w:t>Child Status Protection Act</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EF" w14:textId="77777777" w:rsidR="00C1548D" w:rsidRDefault="009B1B4B">
            <w:pPr>
              <w:spacing w:line="250" w:lineRule="auto"/>
            </w:pPr>
            <w:r>
              <w:rPr>
                <w:sz w:val="18"/>
                <w:szCs w:val="18"/>
              </w:rPr>
              <w:t>Schützt Kinder vor dem Verlust des Antragsalters bei Verfahrensverzögerungen</w:t>
            </w:r>
          </w:p>
        </w:tc>
      </w:tr>
      <w:tr w:rsidR="00C1548D" w14:paraId="70A511F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1" w14:textId="77777777" w:rsidR="00C1548D" w:rsidRDefault="009B1B4B">
            <w:pPr>
              <w:spacing w:line="250" w:lineRule="auto"/>
            </w:pPr>
            <w:r>
              <w:rPr>
                <w:sz w:val="18"/>
                <w:szCs w:val="18"/>
              </w:rPr>
              <w:t>COBRA</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2" w14:textId="77777777" w:rsidR="00C1548D" w:rsidRDefault="009B1B4B">
            <w:pPr>
              <w:spacing w:line="250" w:lineRule="auto"/>
            </w:pPr>
            <w:r>
              <w:rPr>
                <w:sz w:val="18"/>
                <w:szCs w:val="18"/>
              </w:rPr>
              <w:t>Consolidated Omnibus Budget Reconciliation Act</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3" w14:textId="77777777" w:rsidR="00C1548D" w:rsidRDefault="009B1B4B">
            <w:pPr>
              <w:spacing w:line="250" w:lineRule="auto"/>
            </w:pPr>
            <w:r>
              <w:rPr>
                <w:sz w:val="18"/>
                <w:szCs w:val="18"/>
              </w:rPr>
              <w:t>Befristete Fortführung der Arbeitgeber-Krankenversicherung nach Jobverlust</w:t>
            </w:r>
          </w:p>
        </w:tc>
      </w:tr>
      <w:tr w:rsidR="00C1548D" w14:paraId="70A511F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5" w14:textId="77777777" w:rsidR="00C1548D" w:rsidRDefault="009B1B4B">
            <w:pPr>
              <w:spacing w:line="250" w:lineRule="auto"/>
            </w:pPr>
            <w:r>
              <w:rPr>
                <w:sz w:val="18"/>
                <w:szCs w:val="18"/>
              </w:rPr>
              <w:t>FMLA</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6" w14:textId="77777777" w:rsidR="00C1548D" w:rsidRDefault="009B1B4B">
            <w:pPr>
              <w:spacing w:line="250" w:lineRule="auto"/>
            </w:pPr>
            <w:r>
              <w:rPr>
                <w:sz w:val="18"/>
                <w:szCs w:val="18"/>
              </w:rPr>
              <w:t>Family and Medical Leave Act</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7" w14:textId="77777777" w:rsidR="00C1548D" w:rsidRDefault="009B1B4B">
            <w:pPr>
              <w:spacing w:line="250" w:lineRule="auto"/>
            </w:pPr>
            <w:r>
              <w:rPr>
                <w:sz w:val="18"/>
                <w:szCs w:val="18"/>
              </w:rPr>
              <w:t>Unbezahlter, arbeitsplatzgeschützter Familien- und Pflegeurlaub (Bund)</w:t>
            </w:r>
          </w:p>
        </w:tc>
      </w:tr>
      <w:tr w:rsidR="00C1548D" w14:paraId="70A511F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9" w14:textId="77777777" w:rsidR="00C1548D" w:rsidRDefault="009B1B4B">
            <w:pPr>
              <w:spacing w:line="250" w:lineRule="auto"/>
            </w:pPr>
            <w:r>
              <w:rPr>
                <w:sz w:val="18"/>
                <w:szCs w:val="18"/>
              </w:rPr>
              <w:t>GKV</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A" w14:textId="77777777" w:rsidR="00C1548D" w:rsidRDefault="009B1B4B">
            <w:pPr>
              <w:spacing w:line="250" w:lineRule="auto"/>
            </w:pPr>
            <w:r>
              <w:rPr>
                <w:sz w:val="18"/>
                <w:szCs w:val="18"/>
              </w:rPr>
              <w:t>Gesetzliche Krankenversicherung</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B" w14:textId="77777777" w:rsidR="00C1548D" w:rsidRDefault="009B1B4B">
            <w:pPr>
              <w:spacing w:line="250" w:lineRule="auto"/>
            </w:pPr>
            <w:r>
              <w:rPr>
                <w:sz w:val="18"/>
                <w:szCs w:val="18"/>
              </w:rPr>
              <w:t>Deutsche gesetzliche Krankenkasse</w:t>
            </w:r>
          </w:p>
        </w:tc>
      </w:tr>
      <w:tr w:rsidR="00C1548D" w14:paraId="70A5120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D" w14:textId="77777777" w:rsidR="00C1548D" w:rsidRDefault="009B1B4B">
            <w:pPr>
              <w:spacing w:line="250" w:lineRule="auto"/>
            </w:pPr>
            <w:r>
              <w:rPr>
                <w:sz w:val="18"/>
                <w:szCs w:val="18"/>
              </w:rPr>
              <w:t>PKV</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E" w14:textId="77777777" w:rsidR="00C1548D" w:rsidRDefault="009B1B4B">
            <w:pPr>
              <w:spacing w:line="250" w:lineRule="auto"/>
            </w:pPr>
            <w:r>
              <w:rPr>
                <w:sz w:val="18"/>
                <w:szCs w:val="18"/>
              </w:rPr>
              <w:t>Private Krankenversicherung</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1FF" w14:textId="77777777" w:rsidR="00C1548D" w:rsidRDefault="009B1B4B">
            <w:pPr>
              <w:spacing w:line="250" w:lineRule="auto"/>
            </w:pPr>
            <w:r>
              <w:rPr>
                <w:sz w:val="18"/>
                <w:szCs w:val="18"/>
              </w:rPr>
              <w:t>Deutsche private Krankenkasse</w:t>
            </w:r>
          </w:p>
        </w:tc>
      </w:tr>
      <w:tr w:rsidR="00C1548D" w14:paraId="70A5120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1" w14:textId="77777777" w:rsidR="00C1548D" w:rsidRDefault="009B1B4B">
            <w:pPr>
              <w:spacing w:line="250" w:lineRule="auto"/>
            </w:pPr>
            <w:r>
              <w:rPr>
                <w:sz w:val="18"/>
                <w:szCs w:val="18"/>
              </w:rPr>
              <w:t>AStG</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2" w14:textId="77777777" w:rsidR="00C1548D" w:rsidRDefault="009B1B4B">
            <w:pPr>
              <w:spacing w:line="250" w:lineRule="auto"/>
            </w:pPr>
            <w:r>
              <w:rPr>
                <w:sz w:val="18"/>
                <w:szCs w:val="18"/>
              </w:rPr>
              <w:t>Außensteuergesetz</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3" w14:textId="77777777" w:rsidR="00C1548D" w:rsidRDefault="009B1B4B">
            <w:pPr>
              <w:spacing w:line="250" w:lineRule="auto"/>
            </w:pPr>
            <w:r>
              <w:rPr>
                <w:sz w:val="18"/>
                <w:szCs w:val="18"/>
              </w:rPr>
              <w:t>Deutsches Gesetz, regelt unter anderem die Wegzugsteuer</w:t>
            </w:r>
          </w:p>
        </w:tc>
      </w:tr>
      <w:tr w:rsidR="00C1548D" w14:paraId="70A5120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5" w14:textId="77777777" w:rsidR="00C1548D" w:rsidRDefault="009B1B4B">
            <w:pPr>
              <w:spacing w:line="250" w:lineRule="auto"/>
            </w:pPr>
            <w:r>
              <w:rPr>
                <w:sz w:val="18"/>
                <w:szCs w:val="18"/>
              </w:rPr>
              <w:t>EStG</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6" w14:textId="77777777" w:rsidR="00C1548D" w:rsidRDefault="009B1B4B">
            <w:pPr>
              <w:spacing w:line="250" w:lineRule="auto"/>
            </w:pPr>
            <w:r>
              <w:rPr>
                <w:sz w:val="18"/>
                <w:szCs w:val="18"/>
              </w:rPr>
              <w:t>Einkommensteuergesetz</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7" w14:textId="77777777" w:rsidR="00C1548D" w:rsidRDefault="009B1B4B">
            <w:pPr>
              <w:spacing w:line="250" w:lineRule="auto"/>
            </w:pPr>
            <w:r>
              <w:rPr>
                <w:sz w:val="18"/>
                <w:szCs w:val="18"/>
              </w:rPr>
              <w:t>Deutsches Einkommensteuerrecht</w:t>
            </w:r>
          </w:p>
        </w:tc>
      </w:tr>
      <w:tr w:rsidR="00C1548D" w14:paraId="70A5120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9" w14:textId="77777777" w:rsidR="00C1548D" w:rsidRDefault="009B1B4B">
            <w:pPr>
              <w:spacing w:line="250" w:lineRule="auto"/>
            </w:pPr>
            <w:r>
              <w:rPr>
                <w:sz w:val="18"/>
                <w:szCs w:val="18"/>
              </w:rPr>
              <w:t>BGB</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A" w14:textId="77777777" w:rsidR="00C1548D" w:rsidRDefault="009B1B4B">
            <w:pPr>
              <w:spacing w:line="250" w:lineRule="auto"/>
            </w:pPr>
            <w:r>
              <w:rPr>
                <w:sz w:val="18"/>
                <w:szCs w:val="18"/>
              </w:rPr>
              <w:t>Bürgerliches Gesetzbuch</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B" w14:textId="77777777" w:rsidR="00C1548D" w:rsidRDefault="009B1B4B">
            <w:pPr>
              <w:spacing w:line="250" w:lineRule="auto"/>
            </w:pPr>
            <w:r>
              <w:rPr>
                <w:sz w:val="18"/>
                <w:szCs w:val="18"/>
              </w:rPr>
              <w:t>Deutsches Zivilrecht, etwa Miet- und Maklerrecht</w:t>
            </w:r>
          </w:p>
        </w:tc>
      </w:tr>
      <w:tr w:rsidR="00C1548D" w14:paraId="70A5121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D" w14:textId="77777777" w:rsidR="00C1548D" w:rsidRDefault="009B1B4B">
            <w:pPr>
              <w:spacing w:line="250" w:lineRule="auto"/>
            </w:pPr>
            <w:r>
              <w:rPr>
                <w:sz w:val="18"/>
                <w:szCs w:val="18"/>
              </w:rPr>
              <w:t>SGB</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E" w14:textId="77777777" w:rsidR="00C1548D" w:rsidRDefault="009B1B4B">
            <w:pPr>
              <w:spacing w:line="250" w:lineRule="auto"/>
            </w:pPr>
            <w:r>
              <w:rPr>
                <w:sz w:val="18"/>
                <w:szCs w:val="18"/>
              </w:rPr>
              <w:t>Sozialgesetzbuch</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0F" w14:textId="77777777" w:rsidR="00C1548D" w:rsidRDefault="009B1B4B">
            <w:pPr>
              <w:spacing w:line="250" w:lineRule="auto"/>
            </w:pPr>
            <w:r>
              <w:rPr>
                <w:sz w:val="18"/>
                <w:szCs w:val="18"/>
              </w:rPr>
              <w:t>Deutsches Sozialrecht; SGB V regelt die Krankenversicherung</w:t>
            </w:r>
          </w:p>
        </w:tc>
      </w:tr>
      <w:tr w:rsidR="00C1548D" w14:paraId="70A5121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11" w14:textId="77777777" w:rsidR="00C1548D" w:rsidRDefault="009B1B4B">
            <w:pPr>
              <w:spacing w:line="250" w:lineRule="auto"/>
            </w:pPr>
            <w:r>
              <w:rPr>
                <w:sz w:val="18"/>
                <w:szCs w:val="18"/>
              </w:rPr>
              <w:t>DBA</w:t>
            </w:r>
          </w:p>
        </w:tc>
        <w:tc>
          <w:tcPr>
            <w:tcW w:w="26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12" w14:textId="77777777" w:rsidR="00C1548D" w:rsidRDefault="009B1B4B">
            <w:pPr>
              <w:spacing w:line="250" w:lineRule="auto"/>
            </w:pPr>
            <w:r>
              <w:rPr>
                <w:sz w:val="18"/>
                <w:szCs w:val="18"/>
              </w:rPr>
              <w:t>Doppelbesteuerungsabkommen</w:t>
            </w:r>
          </w:p>
        </w:tc>
        <w:tc>
          <w:tcPr>
            <w:tcW w:w="291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13" w14:textId="77777777" w:rsidR="00C1548D" w:rsidRDefault="009B1B4B">
            <w:pPr>
              <w:spacing w:line="250" w:lineRule="auto"/>
            </w:pPr>
            <w:r>
              <w:rPr>
                <w:sz w:val="18"/>
                <w:szCs w:val="18"/>
              </w:rPr>
              <w:t>Abkommen Deutschland–USA gegen doppelte Besteuerung</w:t>
            </w:r>
          </w:p>
        </w:tc>
      </w:tr>
    </w:tbl>
    <w:p w14:paraId="70A51215" w14:textId="77777777" w:rsidR="00C1548D" w:rsidRDefault="00C1548D">
      <w:pPr>
        <w:spacing w:line="180" w:lineRule="exact"/>
      </w:pPr>
    </w:p>
    <w:p w14:paraId="70A51216" w14:textId="77777777" w:rsidR="00C1548D" w:rsidRDefault="009B1B4B">
      <w:pPr>
        <w:pStyle w:val="Heading3"/>
        <w:keepNext/>
        <w:jc w:val="center"/>
      </w:pPr>
      <w:r>
        <w:rPr>
          <w:rFonts w:ascii="Amazon Ember" w:eastAsia="Amazon Ember" w:hAnsi="Amazon Ember" w:cs="Amazon Ember"/>
          <w:color w:val="0000FF"/>
          <w:sz w:val="36"/>
          <w:szCs w:val="36"/>
        </w:rPr>
        <w:t>Kanada — Formulare und Abkürzungen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165"/>
        <w:gridCol w:w="1023"/>
        <w:gridCol w:w="1342"/>
      </w:tblGrid>
      <w:tr w:rsidR="00C1548D" w14:paraId="70A5121B"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217" w14:textId="77777777" w:rsidR="00C1548D" w:rsidRDefault="009B1B4B">
            <w:pPr>
              <w:spacing w:line="250" w:lineRule="auto"/>
            </w:pPr>
            <w:r>
              <w:rPr>
                <w:b/>
                <w:bCs/>
                <w:sz w:val="18"/>
                <w:szCs w:val="18"/>
              </w:rPr>
              <w:t>Formular/Kürzel</w:t>
            </w:r>
          </w:p>
        </w:tc>
        <w:tc>
          <w:tcPr>
            <w:tcW w:w="316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218" w14:textId="77777777" w:rsidR="00C1548D" w:rsidRDefault="009B1B4B">
            <w:pPr>
              <w:spacing w:line="250" w:lineRule="auto"/>
            </w:pPr>
            <w:r>
              <w:rPr>
                <w:b/>
                <w:bCs/>
                <w:sz w:val="18"/>
                <w:szCs w:val="18"/>
              </w:rPr>
              <w:t>Zweck</w:t>
            </w:r>
          </w:p>
        </w:tc>
        <w:tc>
          <w:tcPr>
            <w:tcW w:w="102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219" w14:textId="77777777" w:rsidR="00C1548D" w:rsidRDefault="009B1B4B">
            <w:pPr>
              <w:spacing w:line="250" w:lineRule="auto"/>
            </w:pPr>
            <w:r>
              <w:rPr>
                <w:b/>
                <w:bCs/>
                <w:sz w:val="18"/>
                <w:szCs w:val="18"/>
              </w:rPr>
              <w:t>Behörde</w:t>
            </w:r>
          </w:p>
        </w:tc>
        <w:tc>
          <w:tcPr>
            <w:tcW w:w="134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21A" w14:textId="77777777" w:rsidR="00C1548D" w:rsidRDefault="009B1B4B">
            <w:pPr>
              <w:spacing w:line="250" w:lineRule="auto"/>
            </w:pPr>
            <w:r>
              <w:rPr>
                <w:b/>
                <w:bCs/>
                <w:sz w:val="18"/>
                <w:szCs w:val="18"/>
              </w:rPr>
              <w:t>Referenz</w:t>
            </w:r>
          </w:p>
        </w:tc>
      </w:tr>
      <w:tr w:rsidR="00C1548D" w14:paraId="70A5122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1C" w14:textId="77777777" w:rsidR="00C1548D" w:rsidRDefault="009B1B4B">
            <w:pPr>
              <w:spacing w:line="250" w:lineRule="auto"/>
            </w:pPr>
            <w:r>
              <w:rPr>
                <w:sz w:val="18"/>
                <w:szCs w:val="18"/>
              </w:rPr>
              <w:t>SIN</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1D" w14:textId="77777777" w:rsidR="00C1548D" w:rsidRDefault="009B1B4B">
            <w:pPr>
              <w:spacing w:line="250" w:lineRule="auto"/>
            </w:pPr>
            <w:r>
              <w:rPr>
                <w:sz w:val="18"/>
                <w:szCs w:val="18"/>
              </w:rPr>
              <w:t>Kanadische Sozialversicherungs- und Steuer-Identifikationsnummer</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1E" w14:textId="77777777" w:rsidR="00C1548D" w:rsidRDefault="009B1B4B">
            <w:pPr>
              <w:spacing w:line="250" w:lineRule="auto"/>
            </w:pPr>
            <w:r>
              <w:rPr>
                <w:sz w:val="18"/>
                <w:szCs w:val="18"/>
              </w:rPr>
              <w:t>Service Canada</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1F" w14:textId="77777777" w:rsidR="00C1548D" w:rsidRDefault="009B1B4B">
            <w:pPr>
              <w:spacing w:line="250" w:lineRule="auto"/>
            </w:pPr>
            <w:r>
              <w:rPr>
                <w:sz w:val="18"/>
                <w:szCs w:val="18"/>
              </w:rPr>
              <w:t>Kanada: Ankunft</w:t>
            </w:r>
          </w:p>
        </w:tc>
      </w:tr>
      <w:tr w:rsidR="00C1548D" w14:paraId="70A5122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1" w14:textId="77777777" w:rsidR="00C1548D" w:rsidRDefault="009B1B4B">
            <w:pPr>
              <w:spacing w:line="250" w:lineRule="auto"/>
            </w:pPr>
            <w:r>
              <w:rPr>
                <w:sz w:val="18"/>
                <w:szCs w:val="18"/>
              </w:rPr>
              <w:t>IRCC</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2" w14:textId="77777777" w:rsidR="00C1548D" w:rsidRDefault="009B1B4B">
            <w:pPr>
              <w:spacing w:line="250" w:lineRule="auto"/>
            </w:pPr>
            <w:r>
              <w:rPr>
                <w:sz w:val="18"/>
                <w:szCs w:val="18"/>
              </w:rPr>
              <w:t>Immigration, Refugees and Citizenship Canada – kanadische Einwanderungsbehörde</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3" w14:textId="77777777" w:rsidR="00C1548D" w:rsidRDefault="009B1B4B">
            <w:pPr>
              <w:spacing w:line="250" w:lineRule="auto"/>
            </w:pPr>
            <w:r>
              <w:rPr>
                <w:sz w:val="18"/>
                <w:szCs w:val="18"/>
              </w:rPr>
              <w:t>IRCC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4" w14:textId="77777777" w:rsidR="00C1548D" w:rsidRDefault="009B1B4B">
            <w:pPr>
              <w:spacing w:line="250" w:lineRule="auto"/>
            </w:pPr>
            <w:r>
              <w:rPr>
                <w:sz w:val="18"/>
                <w:szCs w:val="18"/>
              </w:rPr>
              <w:t>Kanada: Einwanderung</w:t>
            </w:r>
          </w:p>
        </w:tc>
      </w:tr>
      <w:tr w:rsidR="00C1548D" w14:paraId="70A5122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6" w14:textId="77777777" w:rsidR="00C1548D" w:rsidRDefault="009B1B4B">
            <w:pPr>
              <w:spacing w:line="250" w:lineRule="auto"/>
            </w:pPr>
            <w:r>
              <w:rPr>
                <w:sz w:val="18"/>
                <w:szCs w:val="18"/>
              </w:rPr>
              <w:lastRenderedPageBreak/>
              <w:t>Express Entry</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7" w14:textId="77777777" w:rsidR="00C1548D" w:rsidRDefault="009B1B4B">
            <w:pPr>
              <w:spacing w:line="250" w:lineRule="auto"/>
            </w:pPr>
            <w:r>
              <w:rPr>
                <w:sz w:val="18"/>
                <w:szCs w:val="18"/>
              </w:rPr>
              <w:t>Online-Verwaltungssystem für die wichtigsten PR-Wege (FSW, CEC, FST, viele PNP)</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8" w14:textId="77777777" w:rsidR="00C1548D" w:rsidRDefault="009B1B4B">
            <w:pPr>
              <w:spacing w:line="250" w:lineRule="auto"/>
            </w:pPr>
            <w:r>
              <w:rPr>
                <w:sz w:val="18"/>
                <w:szCs w:val="18"/>
              </w:rPr>
              <w:t>IRCC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9" w14:textId="77777777" w:rsidR="00C1548D" w:rsidRDefault="009B1B4B">
            <w:pPr>
              <w:spacing w:line="250" w:lineRule="auto"/>
            </w:pPr>
            <w:r>
              <w:rPr>
                <w:sz w:val="18"/>
                <w:szCs w:val="18"/>
              </w:rPr>
              <w:t>Kanada: Einwanderung</w:t>
            </w:r>
          </w:p>
        </w:tc>
      </w:tr>
      <w:tr w:rsidR="00C1548D" w14:paraId="70A5122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B" w14:textId="77777777" w:rsidR="00C1548D" w:rsidRDefault="009B1B4B">
            <w:pPr>
              <w:spacing w:line="250" w:lineRule="auto"/>
            </w:pPr>
            <w:r>
              <w:rPr>
                <w:sz w:val="18"/>
                <w:szCs w:val="18"/>
              </w:rPr>
              <w:t>CRS</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C" w14:textId="77777777" w:rsidR="00C1548D" w:rsidRDefault="009B1B4B">
            <w:pPr>
              <w:spacing w:line="250" w:lineRule="auto"/>
            </w:pPr>
            <w:r>
              <w:rPr>
                <w:sz w:val="18"/>
                <w:szCs w:val="18"/>
              </w:rPr>
              <w:t>Comprehensive Ranking System – Punktewert, der über die Einladung zum PR-Antrag entscheidet</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D" w14:textId="77777777" w:rsidR="00C1548D" w:rsidRDefault="009B1B4B">
            <w:pPr>
              <w:spacing w:line="250" w:lineRule="auto"/>
            </w:pPr>
            <w:r>
              <w:rPr>
                <w:sz w:val="18"/>
                <w:szCs w:val="18"/>
              </w:rPr>
              <w:t>IRCC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2E" w14:textId="77777777" w:rsidR="00C1548D" w:rsidRDefault="009B1B4B">
            <w:pPr>
              <w:spacing w:line="250" w:lineRule="auto"/>
            </w:pPr>
            <w:r>
              <w:rPr>
                <w:sz w:val="18"/>
                <w:szCs w:val="18"/>
              </w:rPr>
              <w:t>Kanada: Einwanderung</w:t>
            </w:r>
          </w:p>
        </w:tc>
      </w:tr>
      <w:tr w:rsidR="00C1548D" w14:paraId="70A5123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0" w14:textId="77777777" w:rsidR="00C1548D" w:rsidRDefault="009B1B4B">
            <w:pPr>
              <w:spacing w:line="250" w:lineRule="auto"/>
            </w:pPr>
            <w:r>
              <w:rPr>
                <w:sz w:val="18"/>
                <w:szCs w:val="18"/>
              </w:rPr>
              <w:t>FSW</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1" w14:textId="77777777" w:rsidR="00C1548D" w:rsidRDefault="009B1B4B">
            <w:pPr>
              <w:spacing w:line="250" w:lineRule="auto"/>
            </w:pPr>
            <w:r>
              <w:rPr>
                <w:sz w:val="18"/>
                <w:szCs w:val="18"/>
              </w:rPr>
              <w:t>Federal Skilled Worker Program – Bundesprogramm für Fachkräfte innerhalb Express Entry</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2" w14:textId="77777777" w:rsidR="00C1548D" w:rsidRDefault="009B1B4B">
            <w:pPr>
              <w:spacing w:line="250" w:lineRule="auto"/>
            </w:pPr>
            <w:r>
              <w:rPr>
                <w:sz w:val="18"/>
                <w:szCs w:val="18"/>
              </w:rPr>
              <w:t>IRCC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3" w14:textId="77777777" w:rsidR="00C1548D" w:rsidRDefault="009B1B4B">
            <w:pPr>
              <w:spacing w:line="250" w:lineRule="auto"/>
            </w:pPr>
            <w:r>
              <w:rPr>
                <w:sz w:val="18"/>
                <w:szCs w:val="18"/>
              </w:rPr>
              <w:t>Kanada: Einwanderung</w:t>
            </w:r>
          </w:p>
        </w:tc>
      </w:tr>
      <w:tr w:rsidR="00C1548D" w14:paraId="70A5123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5" w14:textId="77777777" w:rsidR="00C1548D" w:rsidRDefault="009B1B4B">
            <w:pPr>
              <w:spacing w:line="250" w:lineRule="auto"/>
            </w:pPr>
            <w:r>
              <w:rPr>
                <w:sz w:val="18"/>
                <w:szCs w:val="18"/>
              </w:rPr>
              <w:t>CEC</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6" w14:textId="77777777" w:rsidR="00C1548D" w:rsidRDefault="009B1B4B">
            <w:pPr>
              <w:spacing w:line="250" w:lineRule="auto"/>
            </w:pPr>
            <w:r>
              <w:rPr>
                <w:sz w:val="18"/>
                <w:szCs w:val="18"/>
              </w:rPr>
              <w:t>Canadian Experience Class – Bundesprogramm für bereits in Kanada Berufstätige</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7" w14:textId="77777777" w:rsidR="00C1548D" w:rsidRDefault="009B1B4B">
            <w:pPr>
              <w:spacing w:line="250" w:lineRule="auto"/>
            </w:pPr>
            <w:r>
              <w:rPr>
                <w:sz w:val="18"/>
                <w:szCs w:val="18"/>
              </w:rPr>
              <w:t>IRCC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8" w14:textId="77777777" w:rsidR="00C1548D" w:rsidRDefault="009B1B4B">
            <w:pPr>
              <w:spacing w:line="250" w:lineRule="auto"/>
            </w:pPr>
            <w:r>
              <w:rPr>
                <w:sz w:val="18"/>
                <w:szCs w:val="18"/>
              </w:rPr>
              <w:t>Kanada: Einwanderung</w:t>
            </w:r>
          </w:p>
        </w:tc>
      </w:tr>
      <w:tr w:rsidR="00C1548D" w14:paraId="70A5123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A" w14:textId="77777777" w:rsidR="00C1548D" w:rsidRDefault="009B1B4B">
            <w:pPr>
              <w:spacing w:line="250" w:lineRule="auto"/>
            </w:pPr>
            <w:r>
              <w:rPr>
                <w:sz w:val="18"/>
                <w:szCs w:val="18"/>
              </w:rPr>
              <w:t>FST</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B" w14:textId="77777777" w:rsidR="00C1548D" w:rsidRDefault="009B1B4B">
            <w:pPr>
              <w:spacing w:line="250" w:lineRule="auto"/>
            </w:pPr>
            <w:r>
              <w:rPr>
                <w:sz w:val="18"/>
                <w:szCs w:val="18"/>
              </w:rPr>
              <w:t>Federal Skilled Trades Program – Bundesprogramm für Handwerksberufe</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C" w14:textId="77777777" w:rsidR="00C1548D" w:rsidRDefault="009B1B4B">
            <w:pPr>
              <w:spacing w:line="250" w:lineRule="auto"/>
            </w:pPr>
            <w:r>
              <w:rPr>
                <w:sz w:val="18"/>
                <w:szCs w:val="18"/>
              </w:rPr>
              <w:t>IRCC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D" w14:textId="77777777" w:rsidR="00C1548D" w:rsidRDefault="009B1B4B">
            <w:pPr>
              <w:spacing w:line="250" w:lineRule="auto"/>
            </w:pPr>
            <w:r>
              <w:rPr>
                <w:sz w:val="18"/>
                <w:szCs w:val="18"/>
              </w:rPr>
              <w:t>Kanada: Einwanderung</w:t>
            </w:r>
          </w:p>
        </w:tc>
      </w:tr>
      <w:tr w:rsidR="00C1548D" w14:paraId="70A5124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3F" w14:textId="77777777" w:rsidR="00C1548D" w:rsidRDefault="009B1B4B">
            <w:pPr>
              <w:spacing w:line="250" w:lineRule="auto"/>
            </w:pPr>
            <w:r>
              <w:rPr>
                <w:sz w:val="18"/>
                <w:szCs w:val="18"/>
              </w:rPr>
              <w:t>PNP</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0" w14:textId="77777777" w:rsidR="00C1548D" w:rsidRDefault="009B1B4B">
            <w:pPr>
              <w:spacing w:line="250" w:lineRule="auto"/>
            </w:pPr>
            <w:r>
              <w:rPr>
                <w:sz w:val="18"/>
                <w:szCs w:val="18"/>
              </w:rPr>
              <w:t>Provincial Nominee Program – Nominierungsprogramm der einzelnen Provinzen</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1" w14:textId="77777777" w:rsidR="00C1548D" w:rsidRDefault="009B1B4B">
            <w:pPr>
              <w:spacing w:line="250" w:lineRule="auto"/>
            </w:pPr>
            <w:r>
              <w:rPr>
                <w:sz w:val="18"/>
                <w:szCs w:val="18"/>
              </w:rPr>
              <w:t>jeweilige Provinzbehörde</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2" w14:textId="77777777" w:rsidR="00C1548D" w:rsidRDefault="009B1B4B">
            <w:pPr>
              <w:spacing w:line="250" w:lineRule="auto"/>
            </w:pPr>
            <w:r>
              <w:rPr>
                <w:sz w:val="18"/>
                <w:szCs w:val="18"/>
              </w:rPr>
              <w:t>Kanada: Einwanderung</w:t>
            </w:r>
          </w:p>
        </w:tc>
      </w:tr>
      <w:tr w:rsidR="00C1548D" w14:paraId="70A5124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4" w14:textId="77777777" w:rsidR="00C1548D" w:rsidRDefault="009B1B4B">
            <w:pPr>
              <w:spacing w:line="250" w:lineRule="auto"/>
            </w:pPr>
            <w:r>
              <w:rPr>
                <w:sz w:val="18"/>
                <w:szCs w:val="18"/>
              </w:rPr>
              <w:t>LMIA</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5" w14:textId="77777777" w:rsidR="00C1548D" w:rsidRDefault="009B1B4B">
            <w:pPr>
              <w:spacing w:line="250" w:lineRule="auto"/>
            </w:pPr>
            <w:r>
              <w:rPr>
                <w:sz w:val="18"/>
                <w:szCs w:val="18"/>
              </w:rPr>
              <w:t>Labour Market Impact Assessment – Arbeitsmarktprüfung vor arbeitgebergebundenem Arbeitsvisum</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6" w14:textId="77777777" w:rsidR="00C1548D" w:rsidRDefault="009B1B4B">
            <w:pPr>
              <w:spacing w:line="250" w:lineRule="auto"/>
            </w:pPr>
            <w:r>
              <w:rPr>
                <w:sz w:val="18"/>
                <w:szCs w:val="18"/>
              </w:rPr>
              <w:t>ESDC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7" w14:textId="77777777" w:rsidR="00C1548D" w:rsidRDefault="009B1B4B">
            <w:pPr>
              <w:spacing w:line="250" w:lineRule="auto"/>
            </w:pPr>
            <w:r>
              <w:rPr>
                <w:sz w:val="18"/>
                <w:szCs w:val="18"/>
              </w:rPr>
              <w:t>Kanada: Arbeit</w:t>
            </w:r>
          </w:p>
        </w:tc>
      </w:tr>
      <w:tr w:rsidR="00C1548D" w14:paraId="70A5124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9" w14:textId="77777777" w:rsidR="00C1548D" w:rsidRDefault="009B1B4B">
            <w:pPr>
              <w:spacing w:line="250" w:lineRule="auto"/>
            </w:pPr>
            <w:r>
              <w:rPr>
                <w:sz w:val="18"/>
                <w:szCs w:val="18"/>
              </w:rPr>
              <w:t>NOC</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A" w14:textId="77777777" w:rsidR="00C1548D" w:rsidRDefault="009B1B4B">
            <w:pPr>
              <w:spacing w:line="250" w:lineRule="auto"/>
            </w:pPr>
            <w:r>
              <w:rPr>
                <w:sz w:val="18"/>
                <w:szCs w:val="18"/>
              </w:rPr>
              <w:t>National Occupational Classification – Berufscode-System für Visa und Punktetest</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B" w14:textId="77777777" w:rsidR="00C1548D" w:rsidRDefault="009B1B4B">
            <w:pPr>
              <w:spacing w:line="250" w:lineRule="auto"/>
            </w:pPr>
            <w:r>
              <w:rPr>
                <w:sz w:val="18"/>
                <w:szCs w:val="18"/>
              </w:rPr>
              <w:t>ESDC/Statistics Canada</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C" w14:textId="77777777" w:rsidR="00C1548D" w:rsidRDefault="009B1B4B">
            <w:pPr>
              <w:spacing w:line="250" w:lineRule="auto"/>
            </w:pPr>
            <w:r>
              <w:rPr>
                <w:sz w:val="18"/>
                <w:szCs w:val="18"/>
              </w:rPr>
              <w:t>Kanada: Arbeit</w:t>
            </w:r>
          </w:p>
        </w:tc>
      </w:tr>
      <w:tr w:rsidR="00C1548D" w14:paraId="70A5125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E" w14:textId="77777777" w:rsidR="00C1548D" w:rsidRDefault="009B1B4B">
            <w:pPr>
              <w:spacing w:line="250" w:lineRule="auto"/>
            </w:pPr>
            <w:r>
              <w:rPr>
                <w:sz w:val="18"/>
                <w:szCs w:val="18"/>
              </w:rPr>
              <w:t>PGWP</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4F" w14:textId="77777777" w:rsidR="00C1548D" w:rsidRDefault="009B1B4B">
            <w:pPr>
              <w:spacing w:line="250" w:lineRule="auto"/>
            </w:pPr>
            <w:r>
              <w:rPr>
                <w:sz w:val="18"/>
                <w:szCs w:val="18"/>
              </w:rPr>
              <w:t>Post-Graduation Work Permit – offenes Arbeitsvisum nach kanadischem Studienabschluss</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0" w14:textId="77777777" w:rsidR="00C1548D" w:rsidRDefault="009B1B4B">
            <w:pPr>
              <w:spacing w:line="250" w:lineRule="auto"/>
            </w:pPr>
            <w:r>
              <w:rPr>
                <w:sz w:val="18"/>
                <w:szCs w:val="18"/>
              </w:rPr>
              <w:t>IRCC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1" w14:textId="77777777" w:rsidR="00C1548D" w:rsidRDefault="009B1B4B">
            <w:pPr>
              <w:spacing w:line="250" w:lineRule="auto"/>
            </w:pPr>
            <w:r>
              <w:rPr>
                <w:sz w:val="18"/>
                <w:szCs w:val="18"/>
              </w:rPr>
              <w:t>Kanada: Einwanderung</w:t>
            </w:r>
          </w:p>
        </w:tc>
      </w:tr>
      <w:tr w:rsidR="00C1548D" w14:paraId="70A5125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3" w14:textId="77777777" w:rsidR="00C1548D" w:rsidRDefault="009B1B4B">
            <w:pPr>
              <w:spacing w:line="250" w:lineRule="auto"/>
            </w:pPr>
            <w:r>
              <w:rPr>
                <w:sz w:val="18"/>
                <w:szCs w:val="18"/>
              </w:rPr>
              <w:t>ECA</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4" w14:textId="77777777" w:rsidR="00C1548D" w:rsidRDefault="009B1B4B">
            <w:pPr>
              <w:spacing w:line="250" w:lineRule="auto"/>
            </w:pPr>
            <w:r>
              <w:rPr>
                <w:sz w:val="18"/>
                <w:szCs w:val="18"/>
              </w:rPr>
              <w:t>Educational Credential Assessment – Bewertung eines ausländischen Bildungsabschlusses</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5" w14:textId="77777777" w:rsidR="00C1548D" w:rsidRDefault="009B1B4B">
            <w:pPr>
              <w:spacing w:line="250" w:lineRule="auto"/>
            </w:pPr>
            <w:r>
              <w:rPr>
                <w:sz w:val="18"/>
                <w:szCs w:val="18"/>
              </w:rPr>
              <w:t>anerkannte Bewertungsstelle</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6" w14:textId="77777777" w:rsidR="00C1548D" w:rsidRDefault="009B1B4B">
            <w:pPr>
              <w:spacing w:line="250" w:lineRule="auto"/>
            </w:pPr>
            <w:r>
              <w:rPr>
                <w:sz w:val="18"/>
                <w:szCs w:val="18"/>
              </w:rPr>
              <w:t>Kanada: Einwanderung</w:t>
            </w:r>
          </w:p>
        </w:tc>
      </w:tr>
      <w:tr w:rsidR="00C1548D" w14:paraId="70A5125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8" w14:textId="77777777" w:rsidR="00C1548D" w:rsidRDefault="009B1B4B">
            <w:pPr>
              <w:spacing w:line="250" w:lineRule="auto"/>
            </w:pPr>
            <w:r>
              <w:rPr>
                <w:sz w:val="18"/>
                <w:szCs w:val="18"/>
              </w:rPr>
              <w:t>CLB/NCLC</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9" w14:textId="77777777" w:rsidR="00C1548D" w:rsidRDefault="009B1B4B">
            <w:pPr>
              <w:spacing w:line="250" w:lineRule="auto"/>
            </w:pPr>
            <w:r>
              <w:rPr>
                <w:sz w:val="18"/>
                <w:szCs w:val="18"/>
              </w:rPr>
              <w:t>Canadian Language Benchmark – Sprachniveau-Skala für Englisch beziehungsweise Französisch</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A" w14:textId="77777777" w:rsidR="00C1548D" w:rsidRDefault="009B1B4B">
            <w:pPr>
              <w:spacing w:line="250" w:lineRule="auto"/>
            </w:pPr>
            <w:r>
              <w:rPr>
                <w:sz w:val="18"/>
                <w:szCs w:val="18"/>
              </w:rPr>
              <w:t>IRCC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B" w14:textId="77777777" w:rsidR="00C1548D" w:rsidRDefault="009B1B4B">
            <w:pPr>
              <w:spacing w:line="250" w:lineRule="auto"/>
            </w:pPr>
            <w:r>
              <w:rPr>
                <w:sz w:val="18"/>
                <w:szCs w:val="18"/>
              </w:rPr>
              <w:t>Kanada: Einwanderung</w:t>
            </w:r>
          </w:p>
        </w:tc>
      </w:tr>
      <w:tr w:rsidR="00C1548D" w14:paraId="70A5126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D" w14:textId="77777777" w:rsidR="00C1548D" w:rsidRDefault="009B1B4B">
            <w:pPr>
              <w:spacing w:line="250" w:lineRule="auto"/>
            </w:pPr>
            <w:r>
              <w:rPr>
                <w:sz w:val="18"/>
                <w:szCs w:val="18"/>
              </w:rPr>
              <w:t>RC151</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E" w14:textId="77777777" w:rsidR="00C1548D" w:rsidRDefault="009B1B4B">
            <w:pPr>
              <w:spacing w:line="250" w:lineRule="auto"/>
            </w:pPr>
            <w:r>
              <w:rPr>
                <w:sz w:val="18"/>
                <w:szCs w:val="18"/>
              </w:rPr>
              <w:t>Antrag auf den GST/HST-Credit für Neuankömmlinge</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5F" w14:textId="77777777" w:rsidR="00C1548D" w:rsidRDefault="009B1B4B">
            <w:pPr>
              <w:spacing w:line="250" w:lineRule="auto"/>
            </w:pPr>
            <w:r>
              <w:rPr>
                <w:sz w:val="18"/>
                <w:szCs w:val="18"/>
              </w:rPr>
              <w:t>CRA</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0" w14:textId="77777777" w:rsidR="00C1548D" w:rsidRDefault="009B1B4B">
            <w:pPr>
              <w:spacing w:line="250" w:lineRule="auto"/>
            </w:pPr>
            <w:r>
              <w:rPr>
                <w:sz w:val="18"/>
                <w:szCs w:val="18"/>
              </w:rPr>
              <w:t>Kanada: Steuer</w:t>
            </w:r>
          </w:p>
        </w:tc>
      </w:tr>
      <w:tr w:rsidR="00C1548D" w14:paraId="70A5126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2" w14:textId="77777777" w:rsidR="00C1548D" w:rsidRDefault="009B1B4B">
            <w:pPr>
              <w:spacing w:line="250" w:lineRule="auto"/>
            </w:pPr>
            <w:r>
              <w:rPr>
                <w:sz w:val="18"/>
                <w:szCs w:val="18"/>
              </w:rPr>
              <w:t>RC66</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3" w14:textId="77777777" w:rsidR="00C1548D" w:rsidRDefault="009B1B4B">
            <w:pPr>
              <w:spacing w:line="250" w:lineRule="auto"/>
            </w:pPr>
            <w:r>
              <w:rPr>
                <w:sz w:val="18"/>
                <w:szCs w:val="18"/>
              </w:rPr>
              <w:t>Antrag auf die Canada Child Benefit</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4" w14:textId="77777777" w:rsidR="00C1548D" w:rsidRDefault="009B1B4B">
            <w:pPr>
              <w:spacing w:line="250" w:lineRule="auto"/>
            </w:pPr>
            <w:r>
              <w:rPr>
                <w:sz w:val="18"/>
                <w:szCs w:val="18"/>
              </w:rPr>
              <w:t>CRA</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5" w14:textId="77777777" w:rsidR="00C1548D" w:rsidRDefault="009B1B4B">
            <w:pPr>
              <w:spacing w:line="250" w:lineRule="auto"/>
            </w:pPr>
            <w:r>
              <w:rPr>
                <w:sz w:val="18"/>
                <w:szCs w:val="18"/>
              </w:rPr>
              <w:t>Kanada: Steuer</w:t>
            </w:r>
          </w:p>
        </w:tc>
      </w:tr>
      <w:tr w:rsidR="00C1548D" w14:paraId="70A5126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7" w14:textId="77777777" w:rsidR="00C1548D" w:rsidRDefault="009B1B4B">
            <w:pPr>
              <w:spacing w:line="250" w:lineRule="auto"/>
            </w:pPr>
            <w:r>
              <w:rPr>
                <w:sz w:val="18"/>
                <w:szCs w:val="18"/>
              </w:rPr>
              <w:t>CRA</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8" w14:textId="77777777" w:rsidR="00C1548D" w:rsidRDefault="009B1B4B">
            <w:pPr>
              <w:spacing w:line="250" w:lineRule="auto"/>
            </w:pPr>
            <w:r>
              <w:rPr>
                <w:sz w:val="18"/>
                <w:szCs w:val="18"/>
              </w:rPr>
              <w:t>Canada Revenue Agency – kanadische Steuerbehörde</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9" w14:textId="77777777" w:rsidR="00C1548D" w:rsidRDefault="009B1B4B">
            <w:pPr>
              <w:spacing w:line="250" w:lineRule="auto"/>
            </w:pPr>
            <w:r>
              <w:rPr>
                <w:sz w:val="18"/>
                <w:szCs w:val="18"/>
              </w:rPr>
              <w:t>CRA</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A" w14:textId="77777777" w:rsidR="00C1548D" w:rsidRDefault="009B1B4B">
            <w:pPr>
              <w:spacing w:line="250" w:lineRule="auto"/>
            </w:pPr>
            <w:r>
              <w:rPr>
                <w:sz w:val="18"/>
                <w:szCs w:val="18"/>
              </w:rPr>
              <w:t>Kanada: Steuer</w:t>
            </w:r>
          </w:p>
        </w:tc>
      </w:tr>
      <w:tr w:rsidR="00C1548D" w14:paraId="70A5127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C" w14:textId="77777777" w:rsidR="00C1548D" w:rsidRDefault="009B1B4B">
            <w:pPr>
              <w:spacing w:line="250" w:lineRule="auto"/>
            </w:pPr>
            <w:r>
              <w:rPr>
                <w:sz w:val="18"/>
                <w:szCs w:val="18"/>
              </w:rPr>
              <w:lastRenderedPageBreak/>
              <w:t>CPP</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D" w14:textId="77777777" w:rsidR="00C1548D" w:rsidRDefault="009B1B4B">
            <w:pPr>
              <w:spacing w:line="250" w:lineRule="auto"/>
            </w:pPr>
            <w:r>
              <w:rPr>
                <w:sz w:val="18"/>
                <w:szCs w:val="18"/>
              </w:rPr>
              <w:t>Canada Pension Plan – gesetzliche Rentenversicherung</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E" w14:textId="77777777" w:rsidR="00C1548D" w:rsidRDefault="009B1B4B">
            <w:pPr>
              <w:spacing w:line="250" w:lineRule="auto"/>
            </w:pPr>
            <w:r>
              <w:rPr>
                <w:sz w:val="18"/>
                <w:szCs w:val="18"/>
              </w:rPr>
              <w:t>Service Canada</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6F" w14:textId="77777777" w:rsidR="00C1548D" w:rsidRDefault="009B1B4B">
            <w:pPr>
              <w:spacing w:line="250" w:lineRule="auto"/>
            </w:pPr>
            <w:r>
              <w:rPr>
                <w:sz w:val="18"/>
                <w:szCs w:val="18"/>
              </w:rPr>
              <w:t>Kanada: Steuer</w:t>
            </w:r>
          </w:p>
        </w:tc>
      </w:tr>
      <w:tr w:rsidR="00C1548D" w14:paraId="70A5127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1" w14:textId="77777777" w:rsidR="00C1548D" w:rsidRDefault="009B1B4B">
            <w:pPr>
              <w:spacing w:line="250" w:lineRule="auto"/>
            </w:pPr>
            <w:r>
              <w:rPr>
                <w:sz w:val="18"/>
                <w:szCs w:val="18"/>
              </w:rPr>
              <w:t>MSCA</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2" w14:textId="77777777" w:rsidR="00C1548D" w:rsidRDefault="009B1B4B">
            <w:pPr>
              <w:spacing w:line="250" w:lineRule="auto"/>
            </w:pPr>
            <w:r>
              <w:rPr>
                <w:sz w:val="18"/>
                <w:szCs w:val="18"/>
              </w:rPr>
              <w:t>My Service Canada Account – Online-Konto für SIN, Employment Insurance und CPP</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3" w14:textId="77777777" w:rsidR="00C1548D" w:rsidRDefault="009B1B4B">
            <w:pPr>
              <w:spacing w:line="250" w:lineRule="auto"/>
            </w:pPr>
            <w:r>
              <w:rPr>
                <w:sz w:val="18"/>
                <w:szCs w:val="18"/>
              </w:rPr>
              <w:t>Service Canada</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4" w14:textId="77777777" w:rsidR="00C1548D" w:rsidRDefault="009B1B4B">
            <w:pPr>
              <w:spacing w:line="250" w:lineRule="auto"/>
            </w:pPr>
            <w:r>
              <w:rPr>
                <w:sz w:val="18"/>
                <w:szCs w:val="18"/>
              </w:rPr>
              <w:t>Kanada: Ankunft</w:t>
            </w:r>
          </w:p>
        </w:tc>
      </w:tr>
      <w:tr w:rsidR="00C1548D" w14:paraId="70A5127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6" w14:textId="77777777" w:rsidR="00C1548D" w:rsidRDefault="009B1B4B">
            <w:pPr>
              <w:spacing w:line="250" w:lineRule="auto"/>
            </w:pPr>
            <w:r>
              <w:rPr>
                <w:sz w:val="18"/>
                <w:szCs w:val="18"/>
              </w:rPr>
              <w:t>RCIC</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7" w14:textId="77777777" w:rsidR="00C1548D" w:rsidRDefault="009B1B4B">
            <w:pPr>
              <w:spacing w:line="250" w:lineRule="auto"/>
            </w:pPr>
            <w:r>
              <w:rPr>
                <w:sz w:val="18"/>
                <w:szCs w:val="18"/>
              </w:rPr>
              <w:t>Regulated Canadian Immigration Consultant – zugelassene Einwanderungsberaterin oder zugelassener Einwanderungsberater</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8" w14:textId="77777777" w:rsidR="00C1548D" w:rsidRDefault="009B1B4B">
            <w:pPr>
              <w:spacing w:line="250" w:lineRule="auto"/>
            </w:pPr>
            <w:r>
              <w:rPr>
                <w:sz w:val="18"/>
                <w:szCs w:val="18"/>
              </w:rPr>
              <w:t>CICC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9" w14:textId="77777777" w:rsidR="00C1548D" w:rsidRDefault="009B1B4B">
            <w:pPr>
              <w:spacing w:line="250" w:lineRule="auto"/>
            </w:pPr>
            <w:r>
              <w:rPr>
                <w:sz w:val="18"/>
                <w:szCs w:val="18"/>
              </w:rPr>
              <w:t>Kanada: Einwanderung</w:t>
            </w:r>
          </w:p>
        </w:tc>
      </w:tr>
      <w:tr w:rsidR="00C1548D" w14:paraId="70A5127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B" w14:textId="77777777" w:rsidR="00C1548D" w:rsidRDefault="009B1B4B">
            <w:pPr>
              <w:spacing w:line="250" w:lineRule="auto"/>
            </w:pPr>
            <w:r>
              <w:rPr>
                <w:sz w:val="18"/>
                <w:szCs w:val="18"/>
              </w:rPr>
              <w:t>CICC</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C" w14:textId="77777777" w:rsidR="00C1548D" w:rsidRDefault="009B1B4B">
            <w:pPr>
              <w:spacing w:line="250" w:lineRule="auto"/>
            </w:pPr>
            <w:r>
              <w:rPr>
                <w:sz w:val="18"/>
                <w:szCs w:val="18"/>
              </w:rPr>
              <w:t>College of Immigration and Citizenship Consultants – Aufsichtsstelle für RCIC</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D" w14:textId="77777777" w:rsidR="00C1548D" w:rsidRDefault="009B1B4B">
            <w:pPr>
              <w:spacing w:line="250" w:lineRule="auto"/>
            </w:pPr>
            <w:r>
              <w:rPr>
                <w:sz w:val="18"/>
                <w:szCs w:val="18"/>
              </w:rPr>
              <w:t>CICC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7E" w14:textId="77777777" w:rsidR="00C1548D" w:rsidRDefault="009B1B4B">
            <w:pPr>
              <w:spacing w:line="250" w:lineRule="auto"/>
            </w:pPr>
            <w:r>
              <w:rPr>
                <w:sz w:val="18"/>
                <w:szCs w:val="18"/>
              </w:rPr>
              <w:t>Kanada: Einwanderung</w:t>
            </w:r>
          </w:p>
        </w:tc>
      </w:tr>
      <w:tr w:rsidR="00C1548D" w14:paraId="70A5128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80" w14:textId="77777777" w:rsidR="00C1548D" w:rsidRDefault="009B1B4B">
            <w:pPr>
              <w:spacing w:line="250" w:lineRule="auto"/>
            </w:pPr>
            <w:r>
              <w:rPr>
                <w:sz w:val="18"/>
                <w:szCs w:val="18"/>
              </w:rPr>
              <w:t>PGP</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81" w14:textId="77777777" w:rsidR="00C1548D" w:rsidRDefault="009B1B4B">
            <w:pPr>
              <w:spacing w:line="250" w:lineRule="auto"/>
            </w:pPr>
            <w:r>
              <w:rPr>
                <w:sz w:val="18"/>
                <w:szCs w:val="18"/>
              </w:rPr>
              <w:t>Parents and Grandparents Program – Familiennachzugsprogramm für Eltern und Großeltern</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82" w14:textId="77777777" w:rsidR="00C1548D" w:rsidRDefault="009B1B4B">
            <w:pPr>
              <w:spacing w:line="250" w:lineRule="auto"/>
            </w:pPr>
            <w:r>
              <w:rPr>
                <w:sz w:val="18"/>
                <w:szCs w:val="18"/>
              </w:rPr>
              <w:t>IRCC</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83" w14:textId="77777777" w:rsidR="00C1548D" w:rsidRDefault="009B1B4B">
            <w:pPr>
              <w:spacing w:line="250" w:lineRule="auto"/>
            </w:pPr>
            <w:r>
              <w:rPr>
                <w:sz w:val="18"/>
                <w:szCs w:val="18"/>
              </w:rPr>
              <w:t>Kanada: Familie</w:t>
            </w:r>
          </w:p>
        </w:tc>
      </w:tr>
      <w:tr w:rsidR="00C1548D" w14:paraId="70A5128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85" w14:textId="77777777" w:rsidR="00C1548D" w:rsidRDefault="009B1B4B">
            <w:pPr>
              <w:spacing w:line="250" w:lineRule="auto"/>
            </w:pPr>
            <w:r>
              <w:rPr>
                <w:sz w:val="18"/>
                <w:szCs w:val="18"/>
              </w:rPr>
              <w:t>CBSA</w:t>
            </w:r>
          </w:p>
        </w:tc>
        <w:tc>
          <w:tcPr>
            <w:tcW w:w="31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86" w14:textId="77777777" w:rsidR="00C1548D" w:rsidRDefault="009B1B4B">
            <w:pPr>
              <w:spacing w:line="250" w:lineRule="auto"/>
            </w:pPr>
            <w:r>
              <w:rPr>
                <w:sz w:val="18"/>
                <w:szCs w:val="18"/>
              </w:rPr>
              <w:t>Canada Border Services Agency – kanadischer Grenzschutz</w:t>
            </w:r>
          </w:p>
        </w:tc>
        <w:tc>
          <w:tcPr>
            <w:tcW w:w="10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87" w14:textId="77777777" w:rsidR="00C1548D" w:rsidRDefault="009B1B4B">
            <w:pPr>
              <w:spacing w:line="250" w:lineRule="auto"/>
            </w:pPr>
            <w:r>
              <w:rPr>
                <w:sz w:val="18"/>
                <w:szCs w:val="18"/>
              </w:rPr>
              <w:t>CBSA</w:t>
            </w:r>
          </w:p>
        </w:tc>
        <w:tc>
          <w:tcPr>
            <w:tcW w:w="13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88" w14:textId="77777777" w:rsidR="00C1548D" w:rsidRDefault="009B1B4B">
            <w:pPr>
              <w:spacing w:line="250" w:lineRule="auto"/>
            </w:pPr>
            <w:r>
              <w:rPr>
                <w:sz w:val="18"/>
                <w:szCs w:val="18"/>
              </w:rPr>
              <w:t>Kanada: Ankunft</w:t>
            </w:r>
          </w:p>
        </w:tc>
      </w:tr>
    </w:tbl>
    <w:p w14:paraId="70A5128A" w14:textId="77777777" w:rsidR="00C1548D" w:rsidRDefault="00C1548D">
      <w:pPr>
        <w:spacing w:line="180" w:lineRule="exact"/>
      </w:pPr>
    </w:p>
    <w:p w14:paraId="70A5128B" w14:textId="77777777" w:rsidR="00C1548D" w:rsidRDefault="009B1B4B">
      <w:pPr>
        <w:pStyle w:val="Heading3"/>
        <w:keepNext/>
        <w:jc w:val="center"/>
      </w:pPr>
      <w:r>
        <w:rPr>
          <w:rFonts w:ascii="Amazon Ember" w:eastAsia="Amazon Ember" w:hAnsi="Amazon Ember" w:cs="Amazon Ember"/>
          <w:color w:val="0000FF"/>
          <w:sz w:val="36"/>
          <w:szCs w:val="36"/>
        </w:rPr>
        <w:t>Australien — Formulare und Abkürzungen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693"/>
        <w:gridCol w:w="1347"/>
        <w:gridCol w:w="1490"/>
      </w:tblGrid>
      <w:tr w:rsidR="00C1548D" w14:paraId="70A51290"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28C" w14:textId="77777777" w:rsidR="00C1548D" w:rsidRDefault="009B1B4B">
            <w:pPr>
              <w:spacing w:line="250" w:lineRule="auto"/>
            </w:pPr>
            <w:r>
              <w:rPr>
                <w:b/>
                <w:bCs/>
                <w:sz w:val="18"/>
                <w:szCs w:val="18"/>
              </w:rPr>
              <w:t>Formular/Kürzel</w:t>
            </w:r>
          </w:p>
        </w:tc>
        <w:tc>
          <w:tcPr>
            <w:tcW w:w="269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28D" w14:textId="77777777" w:rsidR="00C1548D" w:rsidRDefault="009B1B4B">
            <w:pPr>
              <w:spacing w:line="250" w:lineRule="auto"/>
            </w:pPr>
            <w:r>
              <w:rPr>
                <w:b/>
                <w:bCs/>
                <w:sz w:val="18"/>
                <w:szCs w:val="18"/>
              </w:rPr>
              <w:t>Zweck</w:t>
            </w:r>
          </w:p>
        </w:tc>
        <w:tc>
          <w:tcPr>
            <w:tcW w:w="134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28E" w14:textId="77777777" w:rsidR="00C1548D" w:rsidRDefault="009B1B4B">
            <w:pPr>
              <w:spacing w:line="250" w:lineRule="auto"/>
            </w:pPr>
            <w:r>
              <w:rPr>
                <w:b/>
                <w:bCs/>
                <w:sz w:val="18"/>
                <w:szCs w:val="18"/>
              </w:rPr>
              <w:t>Behörde</w:t>
            </w:r>
          </w:p>
        </w:tc>
        <w:tc>
          <w:tcPr>
            <w:tcW w:w="149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28F" w14:textId="77777777" w:rsidR="00C1548D" w:rsidRDefault="009B1B4B">
            <w:pPr>
              <w:spacing w:line="250" w:lineRule="auto"/>
            </w:pPr>
            <w:r>
              <w:rPr>
                <w:b/>
                <w:bCs/>
                <w:sz w:val="18"/>
                <w:szCs w:val="18"/>
              </w:rPr>
              <w:t>Referenz</w:t>
            </w:r>
          </w:p>
        </w:tc>
      </w:tr>
      <w:tr w:rsidR="00C1548D" w14:paraId="70A5129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1" w14:textId="77777777" w:rsidR="00C1548D" w:rsidRDefault="009B1B4B">
            <w:pPr>
              <w:spacing w:line="250" w:lineRule="auto"/>
            </w:pPr>
            <w:r>
              <w:rPr>
                <w:sz w:val="18"/>
                <w:szCs w:val="18"/>
              </w:rPr>
              <w:t>TFN</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2" w14:textId="77777777" w:rsidR="00C1548D" w:rsidRDefault="009B1B4B">
            <w:pPr>
              <w:spacing w:line="250" w:lineRule="auto"/>
            </w:pPr>
            <w:r>
              <w:rPr>
                <w:sz w:val="18"/>
                <w:szCs w:val="18"/>
              </w:rPr>
              <w:t>Tax File Number – australische Steuer-Identifikationsnummer</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3" w14:textId="77777777" w:rsidR="00C1548D" w:rsidRDefault="009B1B4B">
            <w:pPr>
              <w:spacing w:line="250" w:lineRule="auto"/>
            </w:pPr>
            <w:r>
              <w:rPr>
                <w:sz w:val="18"/>
                <w:szCs w:val="18"/>
              </w:rPr>
              <w:t>ATO</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4" w14:textId="77777777" w:rsidR="00C1548D" w:rsidRDefault="009B1B4B">
            <w:pPr>
              <w:spacing w:line="250" w:lineRule="auto"/>
            </w:pPr>
            <w:r>
              <w:rPr>
                <w:sz w:val="18"/>
                <w:szCs w:val="18"/>
              </w:rPr>
              <w:t>Australien: Steuer</w:t>
            </w:r>
          </w:p>
        </w:tc>
      </w:tr>
      <w:tr w:rsidR="00C1548D" w14:paraId="70A5129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6" w14:textId="77777777" w:rsidR="00C1548D" w:rsidRDefault="009B1B4B">
            <w:pPr>
              <w:spacing w:line="250" w:lineRule="auto"/>
            </w:pPr>
            <w:r>
              <w:rPr>
                <w:sz w:val="18"/>
                <w:szCs w:val="18"/>
              </w:rPr>
              <w:t>ATO</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7" w14:textId="77777777" w:rsidR="00C1548D" w:rsidRDefault="009B1B4B">
            <w:pPr>
              <w:spacing w:line="250" w:lineRule="auto"/>
            </w:pPr>
            <w:r>
              <w:rPr>
                <w:sz w:val="18"/>
                <w:szCs w:val="18"/>
              </w:rPr>
              <w:t>Australian Taxation Office – australische Steuerbehörde</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8" w14:textId="77777777" w:rsidR="00C1548D" w:rsidRDefault="009B1B4B">
            <w:pPr>
              <w:spacing w:line="250" w:lineRule="auto"/>
            </w:pPr>
            <w:r>
              <w:rPr>
                <w:sz w:val="18"/>
                <w:szCs w:val="18"/>
              </w:rPr>
              <w:t>ATO</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9" w14:textId="77777777" w:rsidR="00C1548D" w:rsidRDefault="009B1B4B">
            <w:pPr>
              <w:spacing w:line="250" w:lineRule="auto"/>
            </w:pPr>
            <w:r>
              <w:rPr>
                <w:sz w:val="18"/>
                <w:szCs w:val="18"/>
              </w:rPr>
              <w:t>Australien: Steuer</w:t>
            </w:r>
          </w:p>
        </w:tc>
      </w:tr>
      <w:tr w:rsidR="00C1548D" w14:paraId="70A5129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B" w14:textId="77777777" w:rsidR="00C1548D" w:rsidRDefault="009B1B4B">
            <w:pPr>
              <w:spacing w:line="250" w:lineRule="auto"/>
            </w:pPr>
            <w:r>
              <w:rPr>
                <w:sz w:val="18"/>
                <w:szCs w:val="18"/>
              </w:rPr>
              <w:t>ImmiAccount</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C" w14:textId="77777777" w:rsidR="00C1548D" w:rsidRDefault="009B1B4B">
            <w:pPr>
              <w:spacing w:line="250" w:lineRule="auto"/>
            </w:pPr>
            <w:r>
              <w:rPr>
                <w:sz w:val="18"/>
                <w:szCs w:val="18"/>
              </w:rPr>
              <w:t>Online-Antragsportal für praktisch alle australischen Visa</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D"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9E" w14:textId="77777777" w:rsidR="00C1548D" w:rsidRDefault="009B1B4B">
            <w:pPr>
              <w:spacing w:line="250" w:lineRule="auto"/>
            </w:pPr>
            <w:r>
              <w:rPr>
                <w:sz w:val="18"/>
                <w:szCs w:val="18"/>
              </w:rPr>
              <w:t>Australien: Einwanderung</w:t>
            </w:r>
          </w:p>
        </w:tc>
      </w:tr>
      <w:tr w:rsidR="00C1548D" w14:paraId="70A512A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0" w14:textId="77777777" w:rsidR="00C1548D" w:rsidRDefault="009B1B4B">
            <w:pPr>
              <w:spacing w:line="250" w:lineRule="auto"/>
            </w:pPr>
            <w:r>
              <w:rPr>
                <w:sz w:val="18"/>
                <w:szCs w:val="18"/>
              </w:rPr>
              <w:t>SkillSelect</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1" w14:textId="77777777" w:rsidR="00C1548D" w:rsidRDefault="009B1B4B">
            <w:pPr>
              <w:spacing w:line="250" w:lineRule="auto"/>
            </w:pPr>
            <w:r>
              <w:rPr>
                <w:sz w:val="18"/>
                <w:szCs w:val="18"/>
              </w:rPr>
              <w:t>Plattform für Interessensbekundungen bei punktebasierten Visa</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2"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3" w14:textId="77777777" w:rsidR="00C1548D" w:rsidRDefault="009B1B4B">
            <w:pPr>
              <w:spacing w:line="250" w:lineRule="auto"/>
            </w:pPr>
            <w:r>
              <w:rPr>
                <w:sz w:val="18"/>
                <w:szCs w:val="18"/>
              </w:rPr>
              <w:t>Australien: Einwanderung</w:t>
            </w:r>
          </w:p>
        </w:tc>
      </w:tr>
      <w:tr w:rsidR="00C1548D" w14:paraId="70A512A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5" w14:textId="77777777" w:rsidR="00C1548D" w:rsidRDefault="009B1B4B">
            <w:pPr>
              <w:spacing w:line="250" w:lineRule="auto"/>
            </w:pPr>
            <w:r>
              <w:rPr>
                <w:sz w:val="18"/>
                <w:szCs w:val="18"/>
              </w:rPr>
              <w:t>EOI</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6" w14:textId="77777777" w:rsidR="00C1548D" w:rsidRDefault="009B1B4B">
            <w:pPr>
              <w:spacing w:line="250" w:lineRule="auto"/>
            </w:pPr>
            <w:r>
              <w:rPr>
                <w:sz w:val="18"/>
                <w:szCs w:val="18"/>
              </w:rPr>
              <w:t>Expression of Interest – Interessensbekundung vor der Einladung zum Visumantrag</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7"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8" w14:textId="77777777" w:rsidR="00C1548D" w:rsidRDefault="009B1B4B">
            <w:pPr>
              <w:spacing w:line="250" w:lineRule="auto"/>
            </w:pPr>
            <w:r>
              <w:rPr>
                <w:sz w:val="18"/>
                <w:szCs w:val="18"/>
              </w:rPr>
              <w:t>Australien: Einwanderung</w:t>
            </w:r>
          </w:p>
        </w:tc>
      </w:tr>
      <w:tr w:rsidR="00C1548D" w14:paraId="70A512A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A" w14:textId="77777777" w:rsidR="00C1548D" w:rsidRDefault="009B1B4B">
            <w:pPr>
              <w:spacing w:line="250" w:lineRule="auto"/>
            </w:pPr>
            <w:r>
              <w:rPr>
                <w:sz w:val="18"/>
                <w:szCs w:val="18"/>
              </w:rPr>
              <w:lastRenderedPageBreak/>
              <w:t>Subclass 189</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B" w14:textId="77777777" w:rsidR="00C1548D" w:rsidRDefault="009B1B4B">
            <w:pPr>
              <w:spacing w:line="250" w:lineRule="auto"/>
            </w:pPr>
            <w:r>
              <w:rPr>
                <w:sz w:val="18"/>
                <w:szCs w:val="18"/>
              </w:rPr>
              <w:t>Skilled Independent – unabhängiges Punkte-Daueraufenthaltsvisum ohne Sponsor</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C"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D" w14:textId="77777777" w:rsidR="00C1548D" w:rsidRDefault="009B1B4B">
            <w:pPr>
              <w:spacing w:line="250" w:lineRule="auto"/>
            </w:pPr>
            <w:r>
              <w:rPr>
                <w:sz w:val="18"/>
                <w:szCs w:val="18"/>
              </w:rPr>
              <w:t>Australien: Einwanderung</w:t>
            </w:r>
          </w:p>
        </w:tc>
      </w:tr>
      <w:tr w:rsidR="00C1548D" w14:paraId="70A512B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AF" w14:textId="77777777" w:rsidR="00C1548D" w:rsidRDefault="009B1B4B">
            <w:pPr>
              <w:spacing w:line="250" w:lineRule="auto"/>
            </w:pPr>
            <w:r>
              <w:rPr>
                <w:sz w:val="18"/>
                <w:szCs w:val="18"/>
              </w:rPr>
              <w:t>Subclass 190</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0" w14:textId="77777777" w:rsidR="00C1548D" w:rsidRDefault="009B1B4B">
            <w:pPr>
              <w:spacing w:line="250" w:lineRule="auto"/>
            </w:pPr>
            <w:r>
              <w:rPr>
                <w:sz w:val="18"/>
                <w:szCs w:val="18"/>
              </w:rPr>
              <w:t>Skilled Nominated – Punktevisum mit Nominierung durch einen Bundesstaat</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1"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2" w14:textId="77777777" w:rsidR="00C1548D" w:rsidRDefault="009B1B4B">
            <w:pPr>
              <w:spacing w:line="250" w:lineRule="auto"/>
            </w:pPr>
            <w:r>
              <w:rPr>
                <w:sz w:val="18"/>
                <w:szCs w:val="18"/>
              </w:rPr>
              <w:t>Australien: Einwanderung</w:t>
            </w:r>
          </w:p>
        </w:tc>
      </w:tr>
      <w:tr w:rsidR="00C1548D" w14:paraId="70A512B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4" w14:textId="77777777" w:rsidR="00C1548D" w:rsidRDefault="009B1B4B">
            <w:pPr>
              <w:spacing w:line="250" w:lineRule="auto"/>
            </w:pPr>
            <w:r>
              <w:rPr>
                <w:sz w:val="18"/>
                <w:szCs w:val="18"/>
              </w:rPr>
              <w:t>Subclass 491</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5" w14:textId="77777777" w:rsidR="00C1548D" w:rsidRDefault="009B1B4B">
            <w:pPr>
              <w:spacing w:line="250" w:lineRule="auto"/>
            </w:pPr>
            <w:r>
              <w:rPr>
                <w:sz w:val="18"/>
                <w:szCs w:val="18"/>
              </w:rPr>
              <w:t>Skilled Work Regional – befristetes Punktevisum mit Regionalbindung</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6"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7" w14:textId="77777777" w:rsidR="00C1548D" w:rsidRDefault="009B1B4B">
            <w:pPr>
              <w:spacing w:line="250" w:lineRule="auto"/>
            </w:pPr>
            <w:r>
              <w:rPr>
                <w:sz w:val="18"/>
                <w:szCs w:val="18"/>
              </w:rPr>
              <w:t>Australien: Einwanderung</w:t>
            </w:r>
          </w:p>
        </w:tc>
      </w:tr>
      <w:tr w:rsidR="00C1548D" w14:paraId="70A512B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9" w14:textId="77777777" w:rsidR="00C1548D" w:rsidRDefault="009B1B4B">
            <w:pPr>
              <w:spacing w:line="250" w:lineRule="auto"/>
            </w:pPr>
            <w:r>
              <w:rPr>
                <w:sz w:val="18"/>
                <w:szCs w:val="18"/>
              </w:rPr>
              <w:t>Subclass 482</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A" w14:textId="77777777" w:rsidR="00C1548D" w:rsidRDefault="009B1B4B">
            <w:pPr>
              <w:spacing w:line="250" w:lineRule="auto"/>
            </w:pPr>
            <w:r>
              <w:rPr>
                <w:sz w:val="18"/>
                <w:szCs w:val="18"/>
              </w:rPr>
              <w:t>Skills in Demand (SID) – befristetes, arbeitgebergesponsertes Arbeitsvisum</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B"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C" w14:textId="77777777" w:rsidR="00C1548D" w:rsidRDefault="009B1B4B">
            <w:pPr>
              <w:spacing w:line="250" w:lineRule="auto"/>
            </w:pPr>
            <w:r>
              <w:rPr>
                <w:sz w:val="18"/>
                <w:szCs w:val="18"/>
              </w:rPr>
              <w:t>Australien: Arbeit</w:t>
            </w:r>
          </w:p>
        </w:tc>
      </w:tr>
      <w:tr w:rsidR="00C1548D" w14:paraId="70A512C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E" w14:textId="77777777" w:rsidR="00C1548D" w:rsidRDefault="009B1B4B">
            <w:pPr>
              <w:spacing w:line="250" w:lineRule="auto"/>
            </w:pPr>
            <w:r>
              <w:rPr>
                <w:sz w:val="18"/>
                <w:szCs w:val="18"/>
              </w:rPr>
              <w:t>Subclass 186</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BF" w14:textId="77777777" w:rsidR="00C1548D" w:rsidRDefault="009B1B4B">
            <w:pPr>
              <w:spacing w:line="250" w:lineRule="auto"/>
            </w:pPr>
            <w:r>
              <w:rPr>
                <w:sz w:val="18"/>
                <w:szCs w:val="18"/>
              </w:rPr>
              <w:t>Employer Nomination Scheme (ENS) – arbeitgebergesponserte Daueraufenthaltserlaubnis</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0"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1" w14:textId="77777777" w:rsidR="00C1548D" w:rsidRDefault="009B1B4B">
            <w:pPr>
              <w:spacing w:line="250" w:lineRule="auto"/>
            </w:pPr>
            <w:r>
              <w:rPr>
                <w:sz w:val="18"/>
                <w:szCs w:val="18"/>
              </w:rPr>
              <w:t>Australien: Arbeit</w:t>
            </w:r>
          </w:p>
        </w:tc>
      </w:tr>
      <w:tr w:rsidR="00C1548D" w14:paraId="70A512C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3" w14:textId="77777777" w:rsidR="00C1548D" w:rsidRDefault="009B1B4B">
            <w:pPr>
              <w:spacing w:line="250" w:lineRule="auto"/>
            </w:pPr>
            <w:r>
              <w:rPr>
                <w:sz w:val="18"/>
                <w:szCs w:val="18"/>
              </w:rPr>
              <w:t>Subclass 417</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4" w14:textId="77777777" w:rsidR="00C1548D" w:rsidRDefault="009B1B4B">
            <w:pPr>
              <w:spacing w:line="250" w:lineRule="auto"/>
            </w:pPr>
            <w:r>
              <w:rPr>
                <w:sz w:val="18"/>
                <w:szCs w:val="18"/>
              </w:rPr>
              <w:t>Working-Holiday-Visum; für deutsche Staatsangehörige der einschlägige Weg (nicht 462)</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5"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6" w14:textId="77777777" w:rsidR="00C1548D" w:rsidRDefault="009B1B4B">
            <w:pPr>
              <w:spacing w:line="250" w:lineRule="auto"/>
            </w:pPr>
            <w:r>
              <w:rPr>
                <w:sz w:val="18"/>
                <w:szCs w:val="18"/>
              </w:rPr>
              <w:t>Australien: Einwanderung</w:t>
            </w:r>
          </w:p>
        </w:tc>
      </w:tr>
      <w:tr w:rsidR="00C1548D" w14:paraId="70A512C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8" w14:textId="77777777" w:rsidR="00C1548D" w:rsidRDefault="009B1B4B">
            <w:pPr>
              <w:spacing w:line="250" w:lineRule="auto"/>
            </w:pPr>
            <w:r>
              <w:rPr>
                <w:sz w:val="18"/>
                <w:szCs w:val="18"/>
              </w:rPr>
              <w:t>Subclass 500</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9" w14:textId="77777777" w:rsidR="00C1548D" w:rsidRDefault="009B1B4B">
            <w:pPr>
              <w:spacing w:line="250" w:lineRule="auto"/>
            </w:pPr>
            <w:r>
              <w:rPr>
                <w:sz w:val="18"/>
                <w:szCs w:val="18"/>
              </w:rPr>
              <w:t>Student Visa – Aufenthaltstitel für ein Studium in Australien</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A"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B" w14:textId="77777777" w:rsidR="00C1548D" w:rsidRDefault="009B1B4B">
            <w:pPr>
              <w:spacing w:line="250" w:lineRule="auto"/>
            </w:pPr>
            <w:r>
              <w:rPr>
                <w:sz w:val="18"/>
                <w:szCs w:val="18"/>
              </w:rPr>
              <w:t>Australien: Einwanderung</w:t>
            </w:r>
          </w:p>
        </w:tc>
      </w:tr>
      <w:tr w:rsidR="00C1548D" w14:paraId="70A512D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D" w14:textId="77777777" w:rsidR="00C1548D" w:rsidRDefault="009B1B4B">
            <w:pPr>
              <w:spacing w:line="250" w:lineRule="auto"/>
            </w:pPr>
            <w:r>
              <w:rPr>
                <w:sz w:val="18"/>
                <w:szCs w:val="18"/>
              </w:rPr>
              <w:t>Subclass 820/801</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E" w14:textId="77777777" w:rsidR="00C1548D" w:rsidRDefault="009B1B4B">
            <w:pPr>
              <w:spacing w:line="250" w:lineRule="auto"/>
            </w:pPr>
            <w:r>
              <w:rPr>
                <w:sz w:val="18"/>
                <w:szCs w:val="18"/>
              </w:rPr>
              <w:t>Partnervisum: befristete, dann dauerhafte Aufenthaltserlaubnis (Antragstellung in Australien)</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CF"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0" w14:textId="77777777" w:rsidR="00C1548D" w:rsidRDefault="009B1B4B">
            <w:pPr>
              <w:spacing w:line="250" w:lineRule="auto"/>
            </w:pPr>
            <w:r>
              <w:rPr>
                <w:sz w:val="18"/>
                <w:szCs w:val="18"/>
              </w:rPr>
              <w:t>Australien: Familie</w:t>
            </w:r>
          </w:p>
        </w:tc>
      </w:tr>
      <w:tr w:rsidR="00C1548D" w14:paraId="70A512D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2" w14:textId="77777777" w:rsidR="00C1548D" w:rsidRDefault="009B1B4B">
            <w:pPr>
              <w:spacing w:line="250" w:lineRule="auto"/>
            </w:pPr>
            <w:r>
              <w:rPr>
                <w:sz w:val="18"/>
                <w:szCs w:val="18"/>
              </w:rPr>
              <w:t>CSOL</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3" w14:textId="77777777" w:rsidR="00C1548D" w:rsidRDefault="009B1B4B">
            <w:pPr>
              <w:spacing w:line="250" w:lineRule="auto"/>
            </w:pPr>
            <w:r>
              <w:rPr>
                <w:sz w:val="18"/>
                <w:szCs w:val="18"/>
              </w:rPr>
              <w:t>Core Skills Occupation List – Berufsliste für Subclass 482 (Core Skills) und 186 (Direct Entry)</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4" w14:textId="77777777" w:rsidR="00C1548D" w:rsidRDefault="009B1B4B">
            <w:pPr>
              <w:spacing w:line="250" w:lineRule="auto"/>
            </w:pPr>
            <w:r>
              <w:rPr>
                <w:sz w:val="18"/>
                <w:szCs w:val="18"/>
              </w:rPr>
              <w:t>Jobs and Skills Australia</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5" w14:textId="77777777" w:rsidR="00C1548D" w:rsidRDefault="009B1B4B">
            <w:pPr>
              <w:spacing w:line="250" w:lineRule="auto"/>
            </w:pPr>
            <w:r>
              <w:rPr>
                <w:sz w:val="18"/>
                <w:szCs w:val="18"/>
              </w:rPr>
              <w:t>Australien: Arbeit</w:t>
            </w:r>
          </w:p>
        </w:tc>
      </w:tr>
      <w:tr w:rsidR="00C1548D" w14:paraId="70A512D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7" w14:textId="77777777" w:rsidR="00C1548D" w:rsidRDefault="009B1B4B">
            <w:pPr>
              <w:spacing w:line="250" w:lineRule="auto"/>
            </w:pPr>
            <w:r>
              <w:rPr>
                <w:sz w:val="18"/>
                <w:szCs w:val="18"/>
              </w:rPr>
              <w:t>Medicare</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8" w14:textId="77777777" w:rsidR="00C1548D" w:rsidRDefault="009B1B4B">
            <w:pPr>
              <w:spacing w:line="250" w:lineRule="auto"/>
            </w:pPr>
            <w:r>
              <w:rPr>
                <w:sz w:val="18"/>
                <w:szCs w:val="18"/>
              </w:rPr>
              <w:t>Staatliches Krankenversicherungssystem für Berechtigte</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9" w14:textId="77777777" w:rsidR="00C1548D" w:rsidRDefault="009B1B4B">
            <w:pPr>
              <w:spacing w:line="250" w:lineRule="auto"/>
            </w:pPr>
            <w:r>
              <w:rPr>
                <w:sz w:val="18"/>
                <w:szCs w:val="18"/>
              </w:rPr>
              <w:t>Services Australia</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A" w14:textId="77777777" w:rsidR="00C1548D" w:rsidRDefault="009B1B4B">
            <w:pPr>
              <w:spacing w:line="250" w:lineRule="auto"/>
            </w:pPr>
            <w:r>
              <w:rPr>
                <w:sz w:val="18"/>
                <w:szCs w:val="18"/>
              </w:rPr>
              <w:t>Australien: Gesundheit</w:t>
            </w:r>
          </w:p>
        </w:tc>
      </w:tr>
      <w:tr w:rsidR="00C1548D" w14:paraId="70A512E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C" w14:textId="77777777" w:rsidR="00C1548D" w:rsidRDefault="009B1B4B">
            <w:pPr>
              <w:spacing w:line="250" w:lineRule="auto"/>
            </w:pPr>
            <w:r>
              <w:rPr>
                <w:sz w:val="18"/>
                <w:szCs w:val="18"/>
              </w:rPr>
              <w:t>Medicare Levy</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D" w14:textId="77777777" w:rsidR="00C1548D" w:rsidRDefault="009B1B4B">
            <w:pPr>
              <w:spacing w:line="250" w:lineRule="auto"/>
            </w:pPr>
            <w:r>
              <w:rPr>
                <w:sz w:val="18"/>
                <w:szCs w:val="18"/>
              </w:rPr>
              <w:t>Pflichtabgabe zur Mitfinanzierung von Medicare (2,0 % des zu versteuernden Einkommens)</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E" w14:textId="77777777" w:rsidR="00C1548D" w:rsidRDefault="009B1B4B">
            <w:pPr>
              <w:spacing w:line="250" w:lineRule="auto"/>
            </w:pPr>
            <w:r>
              <w:rPr>
                <w:sz w:val="18"/>
                <w:szCs w:val="18"/>
              </w:rPr>
              <w:t>ATO</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DF" w14:textId="77777777" w:rsidR="00C1548D" w:rsidRDefault="009B1B4B">
            <w:pPr>
              <w:spacing w:line="250" w:lineRule="auto"/>
            </w:pPr>
            <w:r>
              <w:rPr>
                <w:sz w:val="18"/>
                <w:szCs w:val="18"/>
              </w:rPr>
              <w:t>Australien: Steuer</w:t>
            </w:r>
          </w:p>
        </w:tc>
      </w:tr>
      <w:tr w:rsidR="00C1548D" w14:paraId="70A512E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1" w14:textId="77777777" w:rsidR="00C1548D" w:rsidRDefault="009B1B4B">
            <w:pPr>
              <w:spacing w:line="250" w:lineRule="auto"/>
            </w:pPr>
            <w:r>
              <w:rPr>
                <w:sz w:val="18"/>
                <w:szCs w:val="18"/>
              </w:rPr>
              <w:t>MLS</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2" w14:textId="77777777" w:rsidR="00C1548D" w:rsidRDefault="009B1B4B">
            <w:pPr>
              <w:spacing w:line="250" w:lineRule="auto"/>
            </w:pPr>
            <w:r>
              <w:rPr>
                <w:sz w:val="18"/>
                <w:szCs w:val="18"/>
              </w:rPr>
              <w:t>Medicare Levy Surcharge – Zuschlag für Besserverdiener ohne private Krankenhausversicherung</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3" w14:textId="77777777" w:rsidR="00C1548D" w:rsidRDefault="009B1B4B">
            <w:pPr>
              <w:spacing w:line="250" w:lineRule="auto"/>
            </w:pPr>
            <w:r>
              <w:rPr>
                <w:sz w:val="18"/>
                <w:szCs w:val="18"/>
              </w:rPr>
              <w:t>ATO</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4" w14:textId="77777777" w:rsidR="00C1548D" w:rsidRDefault="009B1B4B">
            <w:pPr>
              <w:spacing w:line="250" w:lineRule="auto"/>
            </w:pPr>
            <w:r>
              <w:rPr>
                <w:sz w:val="18"/>
                <w:szCs w:val="18"/>
              </w:rPr>
              <w:t>Australien: Steuer</w:t>
            </w:r>
          </w:p>
        </w:tc>
      </w:tr>
      <w:tr w:rsidR="00C1548D" w14:paraId="70A512E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6" w14:textId="77777777" w:rsidR="00C1548D" w:rsidRDefault="009B1B4B">
            <w:pPr>
              <w:spacing w:line="250" w:lineRule="auto"/>
            </w:pPr>
            <w:r>
              <w:rPr>
                <w:sz w:val="18"/>
                <w:szCs w:val="18"/>
              </w:rPr>
              <w:lastRenderedPageBreak/>
              <w:t>OVHC</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7" w14:textId="77777777" w:rsidR="00C1548D" w:rsidRDefault="009B1B4B">
            <w:pPr>
              <w:spacing w:line="250" w:lineRule="auto"/>
            </w:pPr>
            <w:r>
              <w:rPr>
                <w:sz w:val="18"/>
                <w:szCs w:val="18"/>
              </w:rPr>
              <w:t>Overseas Visitor Health Cover – private Krankenversicherung für die meisten befristeten Visa</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8" w14:textId="77777777" w:rsidR="00C1548D" w:rsidRDefault="009B1B4B">
            <w:pPr>
              <w:spacing w:line="250" w:lineRule="auto"/>
            </w:pPr>
            <w:r>
              <w:rPr>
                <w:sz w:val="18"/>
                <w:szCs w:val="18"/>
              </w:rPr>
              <w:t>private Versicherer</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9" w14:textId="77777777" w:rsidR="00C1548D" w:rsidRDefault="009B1B4B">
            <w:pPr>
              <w:spacing w:line="250" w:lineRule="auto"/>
            </w:pPr>
            <w:r>
              <w:rPr>
                <w:sz w:val="18"/>
                <w:szCs w:val="18"/>
              </w:rPr>
              <w:t>Australien: Gesundheit</w:t>
            </w:r>
          </w:p>
        </w:tc>
      </w:tr>
      <w:tr w:rsidR="00C1548D" w14:paraId="70A512E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B" w14:textId="77777777" w:rsidR="00C1548D" w:rsidRDefault="009B1B4B">
            <w:pPr>
              <w:spacing w:line="250" w:lineRule="auto"/>
            </w:pPr>
            <w:r>
              <w:rPr>
                <w:sz w:val="18"/>
                <w:szCs w:val="18"/>
              </w:rPr>
              <w:t>OSHC</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C" w14:textId="77777777" w:rsidR="00C1548D" w:rsidRDefault="009B1B4B">
            <w:pPr>
              <w:spacing w:line="250" w:lineRule="auto"/>
            </w:pPr>
            <w:r>
              <w:rPr>
                <w:sz w:val="18"/>
                <w:szCs w:val="18"/>
              </w:rPr>
              <w:t>Overseas Student Health Cover – Pflichtkrankenversicherung für Studierende (Subclass 500)</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D" w14:textId="77777777" w:rsidR="00C1548D" w:rsidRDefault="009B1B4B">
            <w:pPr>
              <w:spacing w:line="250" w:lineRule="auto"/>
            </w:pPr>
            <w:r>
              <w:rPr>
                <w:sz w:val="18"/>
                <w:szCs w:val="18"/>
              </w:rPr>
              <w:t>private Versicherer</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EE" w14:textId="77777777" w:rsidR="00C1548D" w:rsidRDefault="009B1B4B">
            <w:pPr>
              <w:spacing w:line="250" w:lineRule="auto"/>
            </w:pPr>
            <w:r>
              <w:rPr>
                <w:sz w:val="18"/>
                <w:szCs w:val="18"/>
              </w:rPr>
              <w:t>Australien: Gesundheit</w:t>
            </w:r>
          </w:p>
        </w:tc>
      </w:tr>
      <w:tr w:rsidR="00C1548D" w14:paraId="70A512F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0" w14:textId="77777777" w:rsidR="00C1548D" w:rsidRDefault="009B1B4B">
            <w:pPr>
              <w:spacing w:line="250" w:lineRule="auto"/>
            </w:pPr>
            <w:r>
              <w:rPr>
                <w:sz w:val="18"/>
                <w:szCs w:val="18"/>
              </w:rPr>
              <w:t>Superannuation</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1" w14:textId="77777777" w:rsidR="00C1548D" w:rsidRDefault="009B1B4B">
            <w:pPr>
              <w:spacing w:line="250" w:lineRule="auto"/>
            </w:pPr>
            <w:r>
              <w:rPr>
                <w:sz w:val="18"/>
                <w:szCs w:val="18"/>
              </w:rPr>
              <w:t>Betriebliche Pflicht-Altersvorsorge („Super“)</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2" w14:textId="77777777" w:rsidR="00C1548D" w:rsidRDefault="009B1B4B">
            <w:pPr>
              <w:spacing w:line="250" w:lineRule="auto"/>
            </w:pPr>
            <w:r>
              <w:rPr>
                <w:sz w:val="18"/>
                <w:szCs w:val="18"/>
              </w:rPr>
              <w:t>ATO/Fondsanbieter</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3" w14:textId="77777777" w:rsidR="00C1548D" w:rsidRDefault="009B1B4B">
            <w:pPr>
              <w:spacing w:line="250" w:lineRule="auto"/>
            </w:pPr>
            <w:r>
              <w:rPr>
                <w:sz w:val="18"/>
                <w:szCs w:val="18"/>
              </w:rPr>
              <w:t>Australien: Arbeit</w:t>
            </w:r>
          </w:p>
        </w:tc>
      </w:tr>
      <w:tr w:rsidR="00C1548D" w14:paraId="70A512F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5" w14:textId="77777777" w:rsidR="00C1548D" w:rsidRDefault="009B1B4B">
            <w:pPr>
              <w:spacing w:line="250" w:lineRule="auto"/>
            </w:pPr>
            <w:r>
              <w:rPr>
                <w:sz w:val="18"/>
                <w:szCs w:val="18"/>
              </w:rPr>
              <w:t>FIRB</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6" w14:textId="77777777" w:rsidR="00C1548D" w:rsidRDefault="009B1B4B">
            <w:pPr>
              <w:spacing w:line="250" w:lineRule="auto"/>
            </w:pPr>
            <w:r>
              <w:rPr>
                <w:sz w:val="18"/>
                <w:szCs w:val="18"/>
              </w:rPr>
              <w:t>Foreign Investment Review Board – prüft Immobilienkäufe durch Ausländer</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7" w14:textId="77777777" w:rsidR="00C1548D" w:rsidRDefault="009B1B4B">
            <w:pPr>
              <w:spacing w:line="250" w:lineRule="auto"/>
            </w:pPr>
            <w:r>
              <w:rPr>
                <w:sz w:val="18"/>
                <w:szCs w:val="18"/>
              </w:rPr>
              <w:t>FIRB</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8" w14:textId="77777777" w:rsidR="00C1548D" w:rsidRDefault="009B1B4B">
            <w:pPr>
              <w:spacing w:line="250" w:lineRule="auto"/>
            </w:pPr>
            <w:r>
              <w:rPr>
                <w:sz w:val="18"/>
                <w:szCs w:val="18"/>
              </w:rPr>
              <w:t>Australien: Wohnen</w:t>
            </w:r>
          </w:p>
        </w:tc>
      </w:tr>
      <w:tr w:rsidR="00C1548D" w14:paraId="70A512F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A" w14:textId="77777777" w:rsidR="00C1548D" w:rsidRDefault="009B1B4B">
            <w:pPr>
              <w:spacing w:line="250" w:lineRule="auto"/>
            </w:pPr>
            <w:r>
              <w:rPr>
                <w:sz w:val="18"/>
                <w:szCs w:val="18"/>
              </w:rPr>
              <w:t>SAF-Levy</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B" w14:textId="77777777" w:rsidR="00C1548D" w:rsidRDefault="009B1B4B">
            <w:pPr>
              <w:spacing w:line="250" w:lineRule="auto"/>
            </w:pPr>
            <w:r>
              <w:rPr>
                <w:sz w:val="18"/>
                <w:szCs w:val="18"/>
              </w:rPr>
              <w:t>Skilling Australians Fund – Arbeitgeberabgabe bei Sponsoring-Visa (Subclass 482/186)</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C"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D" w14:textId="77777777" w:rsidR="00C1548D" w:rsidRDefault="009B1B4B">
            <w:pPr>
              <w:spacing w:line="250" w:lineRule="auto"/>
            </w:pPr>
            <w:r>
              <w:rPr>
                <w:sz w:val="18"/>
                <w:szCs w:val="18"/>
              </w:rPr>
              <w:t>Australien: Arbeit</w:t>
            </w:r>
          </w:p>
        </w:tc>
      </w:tr>
      <w:tr w:rsidR="00C1548D" w14:paraId="70A5130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2FF" w14:textId="77777777" w:rsidR="00C1548D" w:rsidRDefault="009B1B4B">
            <w:pPr>
              <w:spacing w:line="250" w:lineRule="auto"/>
            </w:pPr>
            <w:r>
              <w:rPr>
                <w:sz w:val="18"/>
                <w:szCs w:val="18"/>
              </w:rPr>
              <w:t>Citizenship Test</w:t>
            </w:r>
          </w:p>
        </w:tc>
        <w:tc>
          <w:tcPr>
            <w:tcW w:w="26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00" w14:textId="77777777" w:rsidR="00C1548D" w:rsidRDefault="009B1B4B">
            <w:pPr>
              <w:spacing w:line="250" w:lineRule="auto"/>
            </w:pPr>
            <w:r>
              <w:rPr>
                <w:sz w:val="18"/>
                <w:szCs w:val="18"/>
              </w:rPr>
              <w:t>Staatskundetest vor der Einbürgerung</w:t>
            </w:r>
          </w:p>
        </w:tc>
        <w:tc>
          <w:tcPr>
            <w:tcW w:w="13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01" w14:textId="77777777" w:rsidR="00C1548D" w:rsidRDefault="009B1B4B">
            <w:pPr>
              <w:spacing w:line="250" w:lineRule="auto"/>
            </w:pPr>
            <w:r>
              <w:rPr>
                <w:sz w:val="18"/>
                <w:szCs w:val="18"/>
              </w:rPr>
              <w:t>Department of Home Affairs</w:t>
            </w:r>
          </w:p>
        </w:tc>
        <w:tc>
          <w:tcPr>
            <w:tcW w:w="149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02" w14:textId="77777777" w:rsidR="00C1548D" w:rsidRDefault="009B1B4B">
            <w:pPr>
              <w:spacing w:line="250" w:lineRule="auto"/>
            </w:pPr>
            <w:r>
              <w:rPr>
                <w:sz w:val="18"/>
                <w:szCs w:val="18"/>
              </w:rPr>
              <w:t>Australien: Staatsbürgerschaft</w:t>
            </w:r>
          </w:p>
        </w:tc>
      </w:tr>
    </w:tbl>
    <w:p w14:paraId="70A51304" w14:textId="77777777" w:rsidR="00C1548D" w:rsidRDefault="00C1548D">
      <w:pPr>
        <w:spacing w:line="180" w:lineRule="exact"/>
      </w:pPr>
    </w:p>
    <w:p w14:paraId="70A51305" w14:textId="77777777" w:rsidR="00C1548D" w:rsidRDefault="009B1B4B">
      <w:pPr>
        <w:pStyle w:val="Heading3"/>
        <w:keepNext/>
        <w:jc w:val="center"/>
      </w:pPr>
      <w:r>
        <w:rPr>
          <w:rFonts w:ascii="Amazon Ember" w:eastAsia="Amazon Ember" w:hAnsi="Amazon Ember" w:cs="Amazon Ember"/>
          <w:color w:val="0000FF"/>
          <w:sz w:val="36"/>
          <w:szCs w:val="36"/>
        </w:rPr>
        <w:t>Neuseeland — Formulare und Abkürzungen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940"/>
        <w:gridCol w:w="989"/>
        <w:gridCol w:w="1601"/>
      </w:tblGrid>
      <w:tr w:rsidR="00C1548D" w14:paraId="70A5130A" w14:textId="77777777">
        <w:tblPrEx>
          <w:tblCellMar>
            <w:top w:w="0" w:type="dxa"/>
            <w:bottom w:w="0" w:type="dxa"/>
          </w:tblCellMar>
        </w:tblPrEx>
        <w:trPr>
          <w:cantSplit/>
          <w:tblHeader/>
        </w:trPr>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06" w14:textId="77777777" w:rsidR="00C1548D" w:rsidRDefault="009B1B4B">
            <w:pPr>
              <w:spacing w:line="250" w:lineRule="auto"/>
            </w:pPr>
            <w:r>
              <w:rPr>
                <w:b/>
                <w:bCs/>
                <w:sz w:val="18"/>
                <w:szCs w:val="18"/>
              </w:rPr>
              <w:t>Formular/Kürzel</w:t>
            </w:r>
          </w:p>
        </w:tc>
        <w:tc>
          <w:tcPr>
            <w:tcW w:w="29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07" w14:textId="77777777" w:rsidR="00C1548D" w:rsidRDefault="009B1B4B">
            <w:pPr>
              <w:spacing w:line="250" w:lineRule="auto"/>
            </w:pPr>
            <w:r>
              <w:rPr>
                <w:b/>
                <w:bCs/>
                <w:sz w:val="18"/>
                <w:szCs w:val="18"/>
              </w:rPr>
              <w:t>Zweck</w:t>
            </w:r>
          </w:p>
        </w:tc>
        <w:tc>
          <w:tcPr>
            <w:tcW w:w="9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08" w14:textId="77777777" w:rsidR="00C1548D" w:rsidRDefault="009B1B4B">
            <w:pPr>
              <w:spacing w:line="250" w:lineRule="auto"/>
            </w:pPr>
            <w:r>
              <w:rPr>
                <w:b/>
                <w:bCs/>
                <w:sz w:val="18"/>
                <w:szCs w:val="18"/>
              </w:rPr>
              <w:t>Behörde</w:t>
            </w:r>
          </w:p>
        </w:tc>
        <w:tc>
          <w:tcPr>
            <w:tcW w:w="160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09" w14:textId="77777777" w:rsidR="00C1548D" w:rsidRDefault="009B1B4B">
            <w:pPr>
              <w:spacing w:line="250" w:lineRule="auto"/>
            </w:pPr>
            <w:r>
              <w:rPr>
                <w:b/>
                <w:bCs/>
                <w:sz w:val="18"/>
                <w:szCs w:val="18"/>
              </w:rPr>
              <w:t>Referenz</w:t>
            </w:r>
          </w:p>
        </w:tc>
      </w:tr>
      <w:tr w:rsidR="00C1548D" w14:paraId="70A5130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0B" w14:textId="77777777" w:rsidR="00C1548D" w:rsidRDefault="009B1B4B">
            <w:pPr>
              <w:spacing w:line="250" w:lineRule="auto"/>
            </w:pPr>
            <w:r>
              <w:rPr>
                <w:sz w:val="18"/>
                <w:szCs w:val="18"/>
              </w:rPr>
              <w:t>IRD-Nummer</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0C" w14:textId="77777777" w:rsidR="00C1548D" w:rsidRDefault="009B1B4B">
            <w:pPr>
              <w:spacing w:line="250" w:lineRule="auto"/>
            </w:pPr>
            <w:r>
              <w:rPr>
                <w:sz w:val="18"/>
                <w:szCs w:val="18"/>
              </w:rPr>
              <w:t>Neuseeländische Steuer-Identifikationsnummer</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0D" w14:textId="77777777" w:rsidR="00C1548D" w:rsidRDefault="009B1B4B">
            <w:pPr>
              <w:spacing w:line="250" w:lineRule="auto"/>
            </w:pPr>
            <w:r>
              <w:rPr>
                <w:sz w:val="18"/>
                <w:szCs w:val="18"/>
              </w:rPr>
              <w:t>Inland Revenue Department (IRD)</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0E" w14:textId="77777777" w:rsidR="00C1548D" w:rsidRDefault="009B1B4B">
            <w:pPr>
              <w:spacing w:line="250" w:lineRule="auto"/>
            </w:pPr>
            <w:r>
              <w:rPr>
                <w:sz w:val="18"/>
                <w:szCs w:val="18"/>
              </w:rPr>
              <w:t>Neuseeland: Steuer</w:t>
            </w:r>
          </w:p>
        </w:tc>
      </w:tr>
      <w:tr w:rsidR="00C1548D" w14:paraId="70A5131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0" w14:textId="77777777" w:rsidR="00C1548D" w:rsidRDefault="009B1B4B">
            <w:pPr>
              <w:spacing w:line="250" w:lineRule="auto"/>
            </w:pPr>
            <w:r>
              <w:rPr>
                <w:sz w:val="18"/>
                <w:szCs w:val="18"/>
              </w:rPr>
              <w:t>IR330</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1" w14:textId="77777777" w:rsidR="00C1548D" w:rsidRDefault="009B1B4B">
            <w:pPr>
              <w:spacing w:line="250" w:lineRule="auto"/>
            </w:pPr>
            <w:r>
              <w:rPr>
                <w:sz w:val="18"/>
                <w:szCs w:val="18"/>
              </w:rPr>
              <w:t>Formular zur Angabe des Steuercodes beim Arbeitgeber (Tax Code Declaration)</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2" w14:textId="77777777" w:rsidR="00C1548D" w:rsidRDefault="009B1B4B">
            <w:pPr>
              <w:spacing w:line="250" w:lineRule="auto"/>
            </w:pPr>
            <w:r>
              <w:rPr>
                <w:sz w:val="18"/>
                <w:szCs w:val="18"/>
              </w:rPr>
              <w:t>IRD</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3" w14:textId="77777777" w:rsidR="00C1548D" w:rsidRDefault="009B1B4B">
            <w:pPr>
              <w:spacing w:line="250" w:lineRule="auto"/>
            </w:pPr>
            <w:r>
              <w:rPr>
                <w:sz w:val="18"/>
                <w:szCs w:val="18"/>
              </w:rPr>
              <w:t>Neuseeland: Steuer</w:t>
            </w:r>
          </w:p>
        </w:tc>
      </w:tr>
      <w:tr w:rsidR="00C1548D" w14:paraId="70A5131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5" w14:textId="77777777" w:rsidR="00C1548D" w:rsidRDefault="009B1B4B">
            <w:pPr>
              <w:spacing w:line="250" w:lineRule="auto"/>
            </w:pPr>
            <w:r>
              <w:rPr>
                <w:sz w:val="18"/>
                <w:szCs w:val="18"/>
              </w:rPr>
              <w:t>myIR</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6" w14:textId="77777777" w:rsidR="00C1548D" w:rsidRDefault="009B1B4B">
            <w:pPr>
              <w:spacing w:line="250" w:lineRule="auto"/>
            </w:pPr>
            <w:r>
              <w:rPr>
                <w:sz w:val="18"/>
                <w:szCs w:val="18"/>
              </w:rPr>
              <w:t>Online-Konto für Steuerangelegenheiten beim IRD</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7" w14:textId="77777777" w:rsidR="00C1548D" w:rsidRDefault="009B1B4B">
            <w:pPr>
              <w:spacing w:line="250" w:lineRule="auto"/>
            </w:pPr>
            <w:r>
              <w:rPr>
                <w:sz w:val="18"/>
                <w:szCs w:val="18"/>
              </w:rPr>
              <w:t>IRD</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8" w14:textId="77777777" w:rsidR="00C1548D" w:rsidRDefault="009B1B4B">
            <w:pPr>
              <w:spacing w:line="250" w:lineRule="auto"/>
            </w:pPr>
            <w:r>
              <w:rPr>
                <w:sz w:val="18"/>
                <w:szCs w:val="18"/>
              </w:rPr>
              <w:t>Neuseeland: Steuer</w:t>
            </w:r>
          </w:p>
        </w:tc>
      </w:tr>
      <w:tr w:rsidR="00C1548D" w14:paraId="70A5131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A" w14:textId="77777777" w:rsidR="00C1548D" w:rsidRDefault="009B1B4B">
            <w:pPr>
              <w:spacing w:line="250" w:lineRule="auto"/>
            </w:pPr>
            <w:r>
              <w:rPr>
                <w:sz w:val="18"/>
                <w:szCs w:val="18"/>
              </w:rPr>
              <w:t>INZ</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B" w14:textId="77777777" w:rsidR="00C1548D" w:rsidRDefault="009B1B4B">
            <w:pPr>
              <w:spacing w:line="250" w:lineRule="auto"/>
            </w:pPr>
            <w:r>
              <w:rPr>
                <w:sz w:val="18"/>
                <w:szCs w:val="18"/>
              </w:rPr>
              <w:t>Immigration New Zealand – neuseeländische Einwanderungsbehörde</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C" w14:textId="77777777" w:rsidR="00C1548D" w:rsidRDefault="009B1B4B">
            <w:pPr>
              <w:spacing w:line="250" w:lineRule="auto"/>
            </w:pPr>
            <w:r>
              <w:rPr>
                <w:sz w:val="18"/>
                <w:szCs w:val="18"/>
              </w:rPr>
              <w:t>INZ</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D" w14:textId="77777777" w:rsidR="00C1548D" w:rsidRDefault="009B1B4B">
            <w:pPr>
              <w:spacing w:line="250" w:lineRule="auto"/>
            </w:pPr>
            <w:r>
              <w:rPr>
                <w:sz w:val="18"/>
                <w:szCs w:val="18"/>
              </w:rPr>
              <w:t>Neuseeland: Einwanderung</w:t>
            </w:r>
          </w:p>
        </w:tc>
      </w:tr>
      <w:tr w:rsidR="00C1548D" w14:paraId="70A51323"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1F" w14:textId="77777777" w:rsidR="00C1548D" w:rsidRDefault="009B1B4B">
            <w:pPr>
              <w:spacing w:line="250" w:lineRule="auto"/>
            </w:pPr>
            <w:r>
              <w:rPr>
                <w:sz w:val="18"/>
                <w:szCs w:val="18"/>
              </w:rPr>
              <w:lastRenderedPageBreak/>
              <w:t>MBIE</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0" w14:textId="77777777" w:rsidR="00C1548D" w:rsidRDefault="009B1B4B">
            <w:pPr>
              <w:spacing w:line="250" w:lineRule="auto"/>
            </w:pPr>
            <w:r>
              <w:rPr>
                <w:sz w:val="18"/>
                <w:szCs w:val="18"/>
              </w:rPr>
              <w:t>Ministry of Business, Innovation &amp; Employment – Mutterministerium von INZ</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1" w14:textId="77777777" w:rsidR="00C1548D" w:rsidRDefault="009B1B4B">
            <w:pPr>
              <w:spacing w:line="250" w:lineRule="auto"/>
            </w:pPr>
            <w:r>
              <w:rPr>
                <w:sz w:val="18"/>
                <w:szCs w:val="18"/>
              </w:rPr>
              <w:t>MBIE</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2" w14:textId="77777777" w:rsidR="00C1548D" w:rsidRDefault="009B1B4B">
            <w:pPr>
              <w:spacing w:line="250" w:lineRule="auto"/>
            </w:pPr>
            <w:r>
              <w:rPr>
                <w:sz w:val="18"/>
                <w:szCs w:val="18"/>
              </w:rPr>
              <w:t>Neuseeland: Einwanderung</w:t>
            </w:r>
          </w:p>
        </w:tc>
      </w:tr>
      <w:tr w:rsidR="00C1548D" w14:paraId="70A51328"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4" w14:textId="77777777" w:rsidR="00C1548D" w:rsidRDefault="009B1B4B">
            <w:pPr>
              <w:spacing w:line="250" w:lineRule="auto"/>
            </w:pPr>
            <w:r>
              <w:rPr>
                <w:sz w:val="18"/>
                <w:szCs w:val="18"/>
              </w:rPr>
              <w:t>AEWV</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5" w14:textId="77777777" w:rsidR="00C1548D" w:rsidRDefault="009B1B4B">
            <w:pPr>
              <w:spacing w:line="250" w:lineRule="auto"/>
            </w:pPr>
            <w:r>
              <w:rPr>
                <w:sz w:val="18"/>
                <w:szCs w:val="18"/>
              </w:rPr>
              <w:t>Accredited Employer Work Visa – befristetes Arbeitsvisum bei akkreditiertem Arbeitgeber</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6" w14:textId="77777777" w:rsidR="00C1548D" w:rsidRDefault="009B1B4B">
            <w:pPr>
              <w:spacing w:line="250" w:lineRule="auto"/>
            </w:pPr>
            <w:r>
              <w:rPr>
                <w:sz w:val="18"/>
                <w:szCs w:val="18"/>
              </w:rPr>
              <w:t>INZ</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7" w14:textId="77777777" w:rsidR="00C1548D" w:rsidRDefault="009B1B4B">
            <w:pPr>
              <w:spacing w:line="250" w:lineRule="auto"/>
            </w:pPr>
            <w:r>
              <w:rPr>
                <w:sz w:val="18"/>
                <w:szCs w:val="18"/>
              </w:rPr>
              <w:t>Neuseeland: Arbeit</w:t>
            </w:r>
          </w:p>
        </w:tc>
      </w:tr>
      <w:tr w:rsidR="00C1548D" w14:paraId="70A5132D"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9" w14:textId="77777777" w:rsidR="00C1548D" w:rsidRDefault="009B1B4B">
            <w:pPr>
              <w:spacing w:line="250" w:lineRule="auto"/>
            </w:pPr>
            <w:r>
              <w:rPr>
                <w:sz w:val="18"/>
                <w:szCs w:val="18"/>
              </w:rPr>
              <w:t>SMC</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A" w14:textId="77777777" w:rsidR="00C1548D" w:rsidRDefault="009B1B4B">
            <w:pPr>
              <w:spacing w:line="250" w:lineRule="auto"/>
            </w:pPr>
            <w:r>
              <w:rPr>
                <w:sz w:val="18"/>
                <w:szCs w:val="18"/>
              </w:rPr>
              <w:t>Skilled Migrant Category – Punktesystem für den Daueraufenthalt (Resident Visa)</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B" w14:textId="77777777" w:rsidR="00C1548D" w:rsidRDefault="009B1B4B">
            <w:pPr>
              <w:spacing w:line="250" w:lineRule="auto"/>
            </w:pPr>
            <w:r>
              <w:rPr>
                <w:sz w:val="18"/>
                <w:szCs w:val="18"/>
              </w:rPr>
              <w:t>INZ</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C" w14:textId="77777777" w:rsidR="00C1548D" w:rsidRDefault="009B1B4B">
            <w:pPr>
              <w:spacing w:line="250" w:lineRule="auto"/>
            </w:pPr>
            <w:r>
              <w:rPr>
                <w:sz w:val="18"/>
                <w:szCs w:val="18"/>
              </w:rPr>
              <w:t>Neuseeland: Einwanderung</w:t>
            </w:r>
          </w:p>
        </w:tc>
      </w:tr>
      <w:tr w:rsidR="00C1548D" w14:paraId="70A51332"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E" w14:textId="77777777" w:rsidR="00C1548D" w:rsidRDefault="009B1B4B">
            <w:pPr>
              <w:spacing w:line="250" w:lineRule="auto"/>
            </w:pPr>
            <w:r>
              <w:rPr>
                <w:sz w:val="18"/>
                <w:szCs w:val="18"/>
              </w:rPr>
              <w:t>Green List</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2F" w14:textId="77777777" w:rsidR="00C1548D" w:rsidRDefault="009B1B4B">
            <w:pPr>
              <w:spacing w:line="250" w:lineRule="auto"/>
            </w:pPr>
            <w:r>
              <w:rPr>
                <w:sz w:val="18"/>
                <w:szCs w:val="18"/>
              </w:rPr>
              <w:t>Berufsliste mit direktem oder verkürztem Zugang zur Residency</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0" w14:textId="77777777" w:rsidR="00C1548D" w:rsidRDefault="009B1B4B">
            <w:pPr>
              <w:spacing w:line="250" w:lineRule="auto"/>
            </w:pPr>
            <w:r>
              <w:rPr>
                <w:sz w:val="18"/>
                <w:szCs w:val="18"/>
              </w:rPr>
              <w:t>INZ</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1" w14:textId="77777777" w:rsidR="00C1548D" w:rsidRDefault="009B1B4B">
            <w:pPr>
              <w:spacing w:line="250" w:lineRule="auto"/>
            </w:pPr>
            <w:r>
              <w:rPr>
                <w:sz w:val="18"/>
                <w:szCs w:val="18"/>
              </w:rPr>
              <w:t>Neuseeland: Arbeit</w:t>
            </w:r>
          </w:p>
        </w:tc>
      </w:tr>
      <w:tr w:rsidR="00C1548D" w14:paraId="70A51337"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3" w14:textId="77777777" w:rsidR="00C1548D" w:rsidRDefault="009B1B4B">
            <w:pPr>
              <w:spacing w:line="250" w:lineRule="auto"/>
            </w:pPr>
            <w:r>
              <w:rPr>
                <w:sz w:val="18"/>
                <w:szCs w:val="18"/>
              </w:rPr>
              <w:t>INZ 1028</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4" w14:textId="77777777" w:rsidR="00C1548D" w:rsidRDefault="009B1B4B">
            <w:pPr>
              <w:spacing w:line="250" w:lineRule="auto"/>
            </w:pPr>
            <w:r>
              <w:rPr>
                <w:sz w:val="18"/>
                <w:szCs w:val="18"/>
              </w:rPr>
              <w:t>Fees Guide – offizielle Gebührenübersicht für alle Visumkategorien</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5" w14:textId="77777777" w:rsidR="00C1548D" w:rsidRDefault="009B1B4B">
            <w:pPr>
              <w:spacing w:line="250" w:lineRule="auto"/>
            </w:pPr>
            <w:r>
              <w:rPr>
                <w:sz w:val="18"/>
                <w:szCs w:val="18"/>
              </w:rPr>
              <w:t>INZ</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6" w14:textId="77777777" w:rsidR="00C1548D" w:rsidRDefault="009B1B4B">
            <w:pPr>
              <w:spacing w:line="250" w:lineRule="auto"/>
            </w:pPr>
            <w:r>
              <w:rPr>
                <w:sz w:val="18"/>
                <w:szCs w:val="18"/>
              </w:rPr>
              <w:t>Neuseeland: Einwanderung</w:t>
            </w:r>
          </w:p>
        </w:tc>
      </w:tr>
      <w:tr w:rsidR="00C1548D" w14:paraId="70A5133C"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8" w14:textId="77777777" w:rsidR="00C1548D" w:rsidRDefault="009B1B4B">
            <w:pPr>
              <w:spacing w:line="250" w:lineRule="auto"/>
            </w:pPr>
            <w:r>
              <w:rPr>
                <w:sz w:val="18"/>
                <w:szCs w:val="18"/>
              </w:rPr>
              <w:t>Immigration Levy</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9" w14:textId="77777777" w:rsidR="00C1548D" w:rsidRDefault="009B1B4B">
            <w:pPr>
              <w:spacing w:line="250" w:lineRule="auto"/>
            </w:pPr>
            <w:r>
              <w:rPr>
                <w:sz w:val="18"/>
                <w:szCs w:val="18"/>
              </w:rPr>
              <w:t>Separater Gebührenaufschlag, der bei den meisten Visa zur Antragsgebühr hinzukommt</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A" w14:textId="77777777" w:rsidR="00C1548D" w:rsidRDefault="009B1B4B">
            <w:pPr>
              <w:spacing w:line="250" w:lineRule="auto"/>
            </w:pPr>
            <w:r>
              <w:rPr>
                <w:sz w:val="18"/>
                <w:szCs w:val="18"/>
              </w:rPr>
              <w:t>INZ</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B" w14:textId="77777777" w:rsidR="00C1548D" w:rsidRDefault="009B1B4B">
            <w:pPr>
              <w:spacing w:line="250" w:lineRule="auto"/>
            </w:pPr>
            <w:r>
              <w:rPr>
                <w:sz w:val="18"/>
                <w:szCs w:val="18"/>
              </w:rPr>
              <w:t>Neuseeland: Einwanderung</w:t>
            </w:r>
          </w:p>
        </w:tc>
      </w:tr>
      <w:tr w:rsidR="00C1548D" w14:paraId="70A51341"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D" w14:textId="77777777" w:rsidR="00C1548D" w:rsidRDefault="009B1B4B">
            <w:pPr>
              <w:spacing w:line="250" w:lineRule="auto"/>
            </w:pPr>
            <w:r>
              <w:rPr>
                <w:sz w:val="18"/>
                <w:szCs w:val="18"/>
              </w:rPr>
              <w:t>NZTD</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E" w14:textId="77777777" w:rsidR="00C1548D" w:rsidRDefault="009B1B4B">
            <w:pPr>
              <w:spacing w:line="250" w:lineRule="auto"/>
            </w:pPr>
            <w:r>
              <w:rPr>
                <w:sz w:val="18"/>
                <w:szCs w:val="18"/>
              </w:rPr>
              <w:t>New Zealand Traveller Declaration – digitale Einreiseerklärung vor Abflug</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3F" w14:textId="77777777" w:rsidR="00C1548D" w:rsidRDefault="009B1B4B">
            <w:pPr>
              <w:spacing w:line="250" w:lineRule="auto"/>
            </w:pPr>
            <w:r>
              <w:rPr>
                <w:sz w:val="18"/>
                <w:szCs w:val="18"/>
              </w:rPr>
              <w:t>New Zealand Customs Service</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0" w14:textId="77777777" w:rsidR="00C1548D" w:rsidRDefault="009B1B4B">
            <w:pPr>
              <w:spacing w:line="250" w:lineRule="auto"/>
            </w:pPr>
            <w:r>
              <w:rPr>
                <w:sz w:val="18"/>
                <w:szCs w:val="18"/>
              </w:rPr>
              <w:t>Neuseeland: Ankunft</w:t>
            </w:r>
          </w:p>
        </w:tc>
      </w:tr>
      <w:tr w:rsidR="00C1548D" w14:paraId="70A51346"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2" w14:textId="77777777" w:rsidR="00C1548D" w:rsidRDefault="009B1B4B">
            <w:pPr>
              <w:spacing w:line="250" w:lineRule="auto"/>
            </w:pPr>
            <w:r>
              <w:rPr>
                <w:sz w:val="18"/>
                <w:szCs w:val="18"/>
              </w:rPr>
              <w:t>ACC</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3" w14:textId="77777777" w:rsidR="00C1548D" w:rsidRDefault="009B1B4B">
            <w:pPr>
              <w:spacing w:line="250" w:lineRule="auto"/>
            </w:pPr>
            <w:r>
              <w:rPr>
                <w:sz w:val="18"/>
                <w:szCs w:val="18"/>
              </w:rPr>
              <w:t>Accident Compensation Corporation – staatliche Unfallversicherung für jede Person in Neuseeland</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4" w14:textId="77777777" w:rsidR="00C1548D" w:rsidRDefault="009B1B4B">
            <w:pPr>
              <w:spacing w:line="250" w:lineRule="auto"/>
            </w:pPr>
            <w:r>
              <w:rPr>
                <w:sz w:val="18"/>
                <w:szCs w:val="18"/>
              </w:rPr>
              <w:t>ACC</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5" w14:textId="77777777" w:rsidR="00C1548D" w:rsidRDefault="009B1B4B">
            <w:pPr>
              <w:spacing w:line="250" w:lineRule="auto"/>
            </w:pPr>
            <w:r>
              <w:rPr>
                <w:sz w:val="18"/>
                <w:szCs w:val="18"/>
              </w:rPr>
              <w:t>Neuseeland: Gesundheit</w:t>
            </w:r>
          </w:p>
        </w:tc>
      </w:tr>
      <w:tr w:rsidR="00C1548D" w14:paraId="70A5134B"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7" w14:textId="77777777" w:rsidR="00C1548D" w:rsidRDefault="009B1B4B">
            <w:pPr>
              <w:spacing w:line="250" w:lineRule="auto"/>
            </w:pPr>
            <w:r>
              <w:rPr>
                <w:sz w:val="18"/>
                <w:szCs w:val="18"/>
              </w:rPr>
              <w:t>Earner’s Levy</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8" w14:textId="77777777" w:rsidR="00C1548D" w:rsidRDefault="009B1B4B">
            <w:pPr>
              <w:spacing w:line="250" w:lineRule="auto"/>
            </w:pPr>
            <w:r>
              <w:rPr>
                <w:sz w:val="18"/>
                <w:szCs w:val="18"/>
              </w:rPr>
              <w:t>Arbeitnehmerbeitrag zur Finanzierung der ACC-Unfallversicherung</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9" w14:textId="77777777" w:rsidR="00C1548D" w:rsidRDefault="009B1B4B">
            <w:pPr>
              <w:spacing w:line="250" w:lineRule="auto"/>
            </w:pPr>
            <w:r>
              <w:rPr>
                <w:sz w:val="18"/>
                <w:szCs w:val="18"/>
              </w:rPr>
              <w:t>ACC</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A" w14:textId="77777777" w:rsidR="00C1548D" w:rsidRDefault="009B1B4B">
            <w:pPr>
              <w:spacing w:line="250" w:lineRule="auto"/>
            </w:pPr>
            <w:r>
              <w:rPr>
                <w:sz w:val="18"/>
                <w:szCs w:val="18"/>
              </w:rPr>
              <w:t>Neuseeland: Steuer</w:t>
            </w:r>
          </w:p>
        </w:tc>
      </w:tr>
      <w:tr w:rsidR="00C1548D" w14:paraId="70A51350"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C" w14:textId="77777777" w:rsidR="00C1548D" w:rsidRDefault="009B1B4B">
            <w:pPr>
              <w:spacing w:line="250" w:lineRule="auto"/>
            </w:pPr>
            <w:r>
              <w:rPr>
                <w:sz w:val="18"/>
                <w:szCs w:val="18"/>
              </w:rPr>
              <w:t>KiwiSaver</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D" w14:textId="77777777" w:rsidR="00C1548D" w:rsidRDefault="009B1B4B">
            <w:pPr>
              <w:spacing w:line="250" w:lineRule="auto"/>
            </w:pPr>
            <w:r>
              <w:rPr>
                <w:sz w:val="18"/>
                <w:szCs w:val="18"/>
              </w:rPr>
              <w:t>Staatlich gefördertes, freiwilliges Altersvorsorge-Sparsystem</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E" w14:textId="77777777" w:rsidR="00C1548D" w:rsidRDefault="009B1B4B">
            <w:pPr>
              <w:spacing w:line="250" w:lineRule="auto"/>
            </w:pPr>
            <w:r>
              <w:rPr>
                <w:sz w:val="18"/>
                <w:szCs w:val="18"/>
              </w:rPr>
              <w:t>IRD/Fondsanbieter</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4F" w14:textId="77777777" w:rsidR="00C1548D" w:rsidRDefault="009B1B4B">
            <w:pPr>
              <w:spacing w:line="250" w:lineRule="auto"/>
            </w:pPr>
            <w:r>
              <w:rPr>
                <w:sz w:val="18"/>
                <w:szCs w:val="18"/>
              </w:rPr>
              <w:t>Neuseeland: Steuer</w:t>
            </w:r>
          </w:p>
        </w:tc>
      </w:tr>
      <w:tr w:rsidR="00C1548D" w14:paraId="70A51355"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1" w14:textId="77777777" w:rsidR="00C1548D" w:rsidRDefault="009B1B4B">
            <w:pPr>
              <w:spacing w:line="250" w:lineRule="auto"/>
            </w:pPr>
            <w:r>
              <w:rPr>
                <w:sz w:val="18"/>
                <w:szCs w:val="18"/>
              </w:rPr>
              <w:t>GST</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2" w14:textId="77777777" w:rsidR="00C1548D" w:rsidRDefault="009B1B4B">
            <w:pPr>
              <w:spacing w:line="250" w:lineRule="auto"/>
            </w:pPr>
            <w:r>
              <w:rPr>
                <w:sz w:val="18"/>
                <w:szCs w:val="18"/>
              </w:rPr>
              <w:t>Goods and Services Tax – neuseeländische Verbrauchsteuer</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3" w14:textId="77777777" w:rsidR="00C1548D" w:rsidRDefault="009B1B4B">
            <w:pPr>
              <w:spacing w:line="250" w:lineRule="auto"/>
            </w:pPr>
            <w:r>
              <w:rPr>
                <w:sz w:val="18"/>
                <w:szCs w:val="18"/>
              </w:rPr>
              <w:t>IRD</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4" w14:textId="77777777" w:rsidR="00C1548D" w:rsidRDefault="009B1B4B">
            <w:pPr>
              <w:spacing w:line="250" w:lineRule="auto"/>
            </w:pPr>
            <w:r>
              <w:rPr>
                <w:sz w:val="18"/>
                <w:szCs w:val="18"/>
              </w:rPr>
              <w:t>Neuseeland: Steuer</w:t>
            </w:r>
          </w:p>
        </w:tc>
      </w:tr>
      <w:tr w:rsidR="00C1548D" w14:paraId="70A5135A"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6" w14:textId="77777777" w:rsidR="00C1548D" w:rsidRDefault="009B1B4B">
            <w:pPr>
              <w:spacing w:line="250" w:lineRule="auto"/>
            </w:pPr>
            <w:r>
              <w:rPr>
                <w:sz w:val="18"/>
                <w:szCs w:val="18"/>
              </w:rPr>
              <w:t>PAYE</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7" w14:textId="77777777" w:rsidR="00C1548D" w:rsidRDefault="009B1B4B">
            <w:pPr>
              <w:spacing w:line="250" w:lineRule="auto"/>
            </w:pPr>
            <w:r>
              <w:rPr>
                <w:sz w:val="18"/>
                <w:szCs w:val="18"/>
              </w:rPr>
              <w:t>Pay As You Earn – laufender Lohnsteuerabzug durch den Arbeitgeber</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8" w14:textId="77777777" w:rsidR="00C1548D" w:rsidRDefault="009B1B4B">
            <w:pPr>
              <w:spacing w:line="250" w:lineRule="auto"/>
            </w:pPr>
            <w:r>
              <w:rPr>
                <w:sz w:val="18"/>
                <w:szCs w:val="18"/>
              </w:rPr>
              <w:t>IRD</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9" w14:textId="77777777" w:rsidR="00C1548D" w:rsidRDefault="009B1B4B">
            <w:pPr>
              <w:spacing w:line="250" w:lineRule="auto"/>
            </w:pPr>
            <w:r>
              <w:rPr>
                <w:sz w:val="18"/>
                <w:szCs w:val="18"/>
              </w:rPr>
              <w:t>Neuseeland: Steuer</w:t>
            </w:r>
          </w:p>
        </w:tc>
      </w:tr>
      <w:tr w:rsidR="00C1548D" w14:paraId="70A5135F"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B" w14:textId="77777777" w:rsidR="00C1548D" w:rsidRDefault="009B1B4B">
            <w:pPr>
              <w:spacing w:line="250" w:lineRule="auto"/>
            </w:pPr>
            <w:r>
              <w:rPr>
                <w:sz w:val="18"/>
                <w:szCs w:val="18"/>
              </w:rPr>
              <w:t>DIA</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C" w14:textId="77777777" w:rsidR="00C1548D" w:rsidRDefault="009B1B4B">
            <w:pPr>
              <w:spacing w:line="250" w:lineRule="auto"/>
            </w:pPr>
            <w:r>
              <w:rPr>
                <w:sz w:val="18"/>
                <w:szCs w:val="18"/>
              </w:rPr>
              <w:t>Department of Internal Affairs – zuständig für die Einbürgerung</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D" w14:textId="77777777" w:rsidR="00C1548D" w:rsidRDefault="009B1B4B">
            <w:pPr>
              <w:spacing w:line="250" w:lineRule="auto"/>
            </w:pPr>
            <w:r>
              <w:rPr>
                <w:sz w:val="18"/>
                <w:szCs w:val="18"/>
              </w:rPr>
              <w:t>DIA</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5E" w14:textId="77777777" w:rsidR="00C1548D" w:rsidRDefault="009B1B4B">
            <w:pPr>
              <w:spacing w:line="250" w:lineRule="auto"/>
            </w:pPr>
            <w:r>
              <w:rPr>
                <w:sz w:val="18"/>
                <w:szCs w:val="18"/>
              </w:rPr>
              <w:t>Neuseeland: Staatsbürgerschaft</w:t>
            </w:r>
          </w:p>
        </w:tc>
      </w:tr>
      <w:tr w:rsidR="00C1548D" w14:paraId="70A51364"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0" w14:textId="77777777" w:rsidR="00C1548D" w:rsidRDefault="009B1B4B">
            <w:pPr>
              <w:spacing w:line="250" w:lineRule="auto"/>
            </w:pPr>
            <w:r>
              <w:rPr>
                <w:sz w:val="18"/>
                <w:szCs w:val="18"/>
              </w:rPr>
              <w:lastRenderedPageBreak/>
              <w:t>LINZ</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1" w14:textId="77777777" w:rsidR="00C1548D" w:rsidRDefault="009B1B4B">
            <w:pPr>
              <w:spacing w:line="250" w:lineRule="auto"/>
            </w:pPr>
            <w:r>
              <w:rPr>
                <w:sz w:val="18"/>
                <w:szCs w:val="18"/>
              </w:rPr>
              <w:t>Land Information New Zealand – Grundbuchbehörde, prüft Immobilienkäufe durch Ausländer</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2" w14:textId="77777777" w:rsidR="00C1548D" w:rsidRDefault="009B1B4B">
            <w:pPr>
              <w:spacing w:line="250" w:lineRule="auto"/>
            </w:pPr>
            <w:r>
              <w:rPr>
                <w:sz w:val="18"/>
                <w:szCs w:val="18"/>
              </w:rPr>
              <w:t>LINZ</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3" w14:textId="77777777" w:rsidR="00C1548D" w:rsidRDefault="009B1B4B">
            <w:pPr>
              <w:spacing w:line="250" w:lineRule="auto"/>
            </w:pPr>
            <w:r>
              <w:rPr>
                <w:sz w:val="18"/>
                <w:szCs w:val="18"/>
              </w:rPr>
              <w:t>Neuseeland: Wohnen</w:t>
            </w:r>
          </w:p>
        </w:tc>
      </w:tr>
      <w:tr w:rsidR="00C1548D" w14:paraId="70A51369"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5" w14:textId="77777777" w:rsidR="00C1548D" w:rsidRDefault="009B1B4B">
            <w:pPr>
              <w:spacing w:line="250" w:lineRule="auto"/>
            </w:pPr>
            <w:r>
              <w:rPr>
                <w:sz w:val="18"/>
                <w:szCs w:val="18"/>
              </w:rPr>
              <w:t>ANZSCO</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6" w14:textId="77777777" w:rsidR="00C1548D" w:rsidRDefault="009B1B4B">
            <w:pPr>
              <w:spacing w:line="250" w:lineRule="auto"/>
            </w:pPr>
            <w:r>
              <w:rPr>
                <w:sz w:val="18"/>
                <w:szCs w:val="18"/>
              </w:rPr>
              <w:t>Berufsklassifikationscode, maßgeblich für Green List und AEWV-Lohnschwellen</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7" w14:textId="77777777" w:rsidR="00C1548D" w:rsidRDefault="009B1B4B">
            <w:pPr>
              <w:spacing w:line="250" w:lineRule="auto"/>
            </w:pPr>
            <w:r>
              <w:rPr>
                <w:sz w:val="18"/>
                <w:szCs w:val="18"/>
              </w:rPr>
              <w:t>INZ/Stats NZ</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8" w14:textId="77777777" w:rsidR="00C1548D" w:rsidRDefault="009B1B4B">
            <w:pPr>
              <w:spacing w:line="250" w:lineRule="auto"/>
            </w:pPr>
            <w:r>
              <w:rPr>
                <w:sz w:val="18"/>
                <w:szCs w:val="18"/>
              </w:rPr>
              <w:t>Neuseeland: Arbeit</w:t>
            </w:r>
          </w:p>
        </w:tc>
      </w:tr>
      <w:tr w:rsidR="00C1548D" w14:paraId="70A5136E" w14:textId="77777777">
        <w:tblPrEx>
          <w:tblCellMar>
            <w:top w:w="0" w:type="dxa"/>
            <w:bottom w:w="0" w:type="dxa"/>
          </w:tblCellMar>
        </w:tblPrEx>
        <w:trPr>
          <w:cantSplit/>
        </w:trPr>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A" w14:textId="77777777" w:rsidR="00C1548D" w:rsidRDefault="009B1B4B">
            <w:pPr>
              <w:spacing w:line="250" w:lineRule="auto"/>
            </w:pPr>
            <w:r>
              <w:rPr>
                <w:sz w:val="18"/>
                <w:szCs w:val="18"/>
              </w:rPr>
              <w:t>Job Check</w:t>
            </w:r>
          </w:p>
        </w:tc>
        <w:tc>
          <w:tcPr>
            <w:tcW w:w="29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B" w14:textId="77777777" w:rsidR="00C1548D" w:rsidRDefault="009B1B4B">
            <w:pPr>
              <w:spacing w:line="250" w:lineRule="auto"/>
            </w:pPr>
            <w:r>
              <w:rPr>
                <w:sz w:val="18"/>
                <w:szCs w:val="18"/>
              </w:rPr>
              <w:t>Prüfverfahren des Arbeitgebers vor jedem AEWV-Antrag</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C" w14:textId="77777777" w:rsidR="00C1548D" w:rsidRDefault="009B1B4B">
            <w:pPr>
              <w:spacing w:line="250" w:lineRule="auto"/>
            </w:pPr>
            <w:r>
              <w:rPr>
                <w:sz w:val="18"/>
                <w:szCs w:val="18"/>
              </w:rPr>
              <w:t>INZ</w:t>
            </w:r>
          </w:p>
        </w:tc>
        <w:tc>
          <w:tcPr>
            <w:tcW w:w="160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6D" w14:textId="77777777" w:rsidR="00C1548D" w:rsidRDefault="009B1B4B">
            <w:pPr>
              <w:spacing w:line="250" w:lineRule="auto"/>
            </w:pPr>
            <w:r>
              <w:rPr>
                <w:sz w:val="18"/>
                <w:szCs w:val="18"/>
              </w:rPr>
              <w:t>Neuseeland: Arbeit</w:t>
            </w:r>
          </w:p>
        </w:tc>
      </w:tr>
    </w:tbl>
    <w:p w14:paraId="70A5136F"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1372"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1370" w14:textId="77777777" w:rsidR="00C1548D" w:rsidRDefault="009B1B4B">
            <w:pPr>
              <w:keepNext/>
              <w:spacing w:after="70" w:line="240" w:lineRule="auto"/>
            </w:pPr>
            <w:r>
              <w:rPr>
                <w:b/>
                <w:bCs/>
                <w:color w:val="6B7280"/>
                <w:spacing w:val="24"/>
                <w:sz w:val="16"/>
                <w:szCs w:val="16"/>
              </w:rPr>
              <w:t>STAND</w:t>
            </w:r>
          </w:p>
          <w:p w14:paraId="70A51371" w14:textId="77777777" w:rsidR="00C1548D" w:rsidRDefault="009B1B4B">
            <w:pPr>
              <w:spacing w:after="80" w:line="264" w:lineRule="auto"/>
            </w:pPr>
            <w:r>
              <w:rPr>
                <w:sz w:val="20"/>
                <w:szCs w:val="20"/>
              </w:rPr>
              <w:t>September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tc>
      </w:tr>
    </w:tbl>
    <w:p w14:paraId="70A51373" w14:textId="77777777" w:rsidR="00C1548D" w:rsidRDefault="00C1548D">
      <w:pPr>
        <w:spacing w:line="220" w:lineRule="exact"/>
      </w:pPr>
    </w:p>
    <w:p w14:paraId="70A51374" w14:textId="77777777" w:rsidR="00C1548D" w:rsidRDefault="009B1B4B">
      <w:pPr>
        <w:pStyle w:val="Heading2"/>
        <w:keepNext/>
        <w:pageBreakBefore/>
        <w:jc w:val="center"/>
      </w:pPr>
      <w:bookmarkStart w:id="208" w:name="anhang_e"/>
      <w:bookmarkStart w:id="209" w:name="_Toc241352556"/>
      <w:r>
        <w:rPr>
          <w:rFonts w:ascii="Amazon Ember" w:eastAsia="Amazon Ember" w:hAnsi="Amazon Ember" w:cs="Amazon Ember"/>
          <w:color w:val="0000FF"/>
          <w:sz w:val="36"/>
          <w:szCs w:val="36"/>
        </w:rPr>
        <w:lastRenderedPageBreak/>
        <w:t>Anhang E: Budgetbeispiele</w:t>
      </w:r>
      <w:bookmarkEnd w:id="208"/>
      <w:bookmarkEnd w:id="209"/>
    </w:p>
    <w:p w14:paraId="70A51375" w14:textId="121D3A1B" w:rsidR="00C1548D" w:rsidRDefault="009B1B4B">
      <w:pPr>
        <w:spacing w:after="140"/>
      </w:pPr>
      <w:r>
        <w:t>Die folgenden drei Monatsbudgets bauen auf den Netto-Vergleichsrechnungen aus Kapitel </w:t>
      </w:r>
      <w:hyperlink w:anchor="k3" w:history="1">
        <w:r>
          <w:t>3</w:t>
        </w:r>
      </w:hyperlink>
      <w:r>
        <w:t xml:space="preserve"> und Kapitel </w:t>
      </w:r>
      <w:hyperlink w:anchor="k28" w:history="1">
        <w:r>
          <w:t>28</w:t>
        </w:r>
      </w:hyperlink>
      <w:r>
        <w:t xml:space="preserve"> sowie den Wohn-, Lebensmittel- und Fahrzeugkosten aus Kapitel </w:t>
      </w:r>
      <w:hyperlink w:anchor="k12" w:history="1">
        <w:r>
          <w:t>12</w:t>
        </w:r>
      </w:hyperlink>
      <w:r>
        <w:t xml:space="preserve"> bis </w:t>
      </w:r>
      <w:hyperlink w:anchor="k14" w:history="1">
        <w:r>
          <w:t>14</w:t>
        </w:r>
      </w:hyperlink>
      <w:r>
        <w:t>, Kapitel </w:t>
      </w:r>
      <w:hyperlink w:anchor="k27" w:history="1">
        <w:r>
          <w:t>27</w:t>
        </w:r>
      </w:hyperlink>
      <w:r>
        <w:t>, Kapitel </w:t>
      </w:r>
      <w:hyperlink w:anchor="k35" w:history="1">
        <w:r>
          <w:t>35</w:t>
        </w:r>
      </w:hyperlink>
      <w:r>
        <w:t xml:space="preserve"> und Kapitel </w:t>
      </w:r>
      <w:hyperlink w:anchor="k38" w:history="1">
        <w:r>
          <w:t>38</w:t>
        </w:r>
      </w:hyperlink>
      <w:r>
        <w:t xml:space="preserve"> auf. Sie zeigen für dieselbe vierköpfige Familie mit demselben Bruttogehalt, wie unterschiedlich viel am Monatsende übrig bleibt – je nachdem, ob sie in eine günstige, mittlere oder teure Metropolregion zieht.</w:t>
      </w:r>
    </w:p>
    <w:p w14:paraId="70A51376" w14:textId="77777777" w:rsidR="00C1548D" w:rsidRDefault="009B1B4B">
      <w:pPr>
        <w:pStyle w:val="Heading3"/>
        <w:keepNext/>
        <w:jc w:val="center"/>
      </w:pPr>
      <w:r>
        <w:rPr>
          <w:rFonts w:ascii="Amazon Ember" w:eastAsia="Amazon Ember" w:hAnsi="Amazon Ember" w:cs="Amazon Ember"/>
          <w:color w:val="0000FF"/>
          <w:sz w:val="36"/>
          <w:szCs w:val="36"/>
        </w:rPr>
        <w:t>Annahmen für alle drei Budgets</w:t>
      </w:r>
    </w:p>
    <w:p w14:paraId="70A51377" w14:textId="5C967A92" w:rsidR="00C1548D" w:rsidRDefault="009B1B4B" w:rsidP="009B1B4B">
      <w:pPr>
        <w:pStyle w:val="ListParagraph"/>
        <w:numPr>
          <w:ilvl w:val="0"/>
          <w:numId w:val="1"/>
        </w:numPr>
        <w:spacing w:after="60"/>
      </w:pPr>
      <w:r>
        <w:t>Gleiche Familie in allen drei Beispielen: Ehepaar mit zwei Kindern unter 17 Jahren, ein Einkommen von 150.000 $ im Jahr, Kinder mit ITIN statt Sozialversicherungsnummer – der in Kapitel </w:t>
      </w:r>
      <w:hyperlink w:anchor="k3" w:history="1">
        <w:r>
          <w:t>3</w:t>
        </w:r>
      </w:hyperlink>
      <w:r>
        <w:t xml:space="preserve"> und Kapitel </w:t>
      </w:r>
      <w:hyperlink w:anchor="k28" w:history="1">
        <w:r>
          <w:t>28</w:t>
        </w:r>
      </w:hyperlink>
      <w:r>
        <w:t xml:space="preserve"> durchgerechnete Fall, typisch bei H-4- oder L-2-Status (Kapitel </w:t>
      </w:r>
      <w:hyperlink w:anchor="k10" w:history="1">
        <w:r>
          <w:t>10</w:t>
        </w:r>
      </w:hyperlink>
      <w:r>
        <w:t>).</w:t>
      </w:r>
    </w:p>
    <w:p w14:paraId="70A51378" w14:textId="76F2B30D" w:rsidR="00C1548D" w:rsidRDefault="009B1B4B" w:rsidP="009B1B4B">
      <w:pPr>
        <w:pStyle w:val="ListParagraph"/>
        <w:numPr>
          <w:ilvl w:val="0"/>
          <w:numId w:val="1"/>
        </w:numPr>
        <w:spacing w:after="60"/>
      </w:pPr>
      <w:r>
        <w:t>Alle drei Budgets rechnen mit Miete, nicht mit einer Hypothek; für das erste Jahr empfehlen Kapitel </w:t>
      </w:r>
      <w:hyperlink w:anchor="k12" w:history="1">
        <w:r>
          <w:t>12</w:t>
        </w:r>
      </w:hyperlink>
      <w:r>
        <w:t xml:space="preserve"> bis </w:t>
      </w:r>
      <w:hyperlink w:anchor="k14" w:history="1">
        <w:r>
          <w:t>14</w:t>
        </w:r>
      </w:hyperlink>
      <w:r>
        <w:t xml:space="preserve"> ohnehin das Mieten.</w:t>
      </w:r>
    </w:p>
    <w:p w14:paraId="70A51379" w14:textId="77777777" w:rsidR="00C1548D" w:rsidRDefault="009B1B4B" w:rsidP="009B1B4B">
      <w:pPr>
        <w:pStyle w:val="ListParagraph"/>
        <w:numPr>
          <w:ilvl w:val="0"/>
          <w:numId w:val="1"/>
        </w:numPr>
        <w:spacing w:after="60"/>
      </w:pPr>
      <w:r>
        <w:t>Krankenversicherung (571 $), Auto und Versicherung (662 $) sowie Nebenkosten (285 $) sind bundesweite Durchschnittswerte aus den gelesenen Kapiteln; städtespezifische Zahlen liegen dort nicht vor.</w:t>
      </w:r>
    </w:p>
    <w:p w14:paraId="70A5137A" w14:textId="47BE4527" w:rsidR="00C1548D" w:rsidRDefault="009B1B4B" w:rsidP="009B1B4B">
      <w:pPr>
        <w:pStyle w:val="ListParagraph"/>
        <w:numPr>
          <w:ilvl w:val="0"/>
          <w:numId w:val="1"/>
        </w:numPr>
        <w:spacing w:after="60"/>
      </w:pPr>
      <w:r>
        <w:t>Weil in allen drei Beispielen ein Elternteil zu Hause bleibt, fällt keine Fremdbetreuung an. Arbeiten beide Eltern, kommen im Schnitt 13.184 $ je Kind und Jahr hinzu (Kapitel </w:t>
      </w:r>
      <w:hyperlink w:anchor="k38" w:history="1">
        <w:r>
          <w:t>38</w:t>
        </w:r>
      </w:hyperlink>
      <w:r>
        <w:t>) – bei zwei Kindern mehr als 2.000 $ im Monat.</w:t>
      </w:r>
    </w:p>
    <w:p w14:paraId="70A5137B" w14:textId="0225780C" w:rsidR="00C1548D" w:rsidRDefault="009B1B4B" w:rsidP="009B1B4B">
      <w:pPr>
        <w:pStyle w:val="ListParagraph"/>
        <w:numPr>
          <w:ilvl w:val="0"/>
          <w:numId w:val="1"/>
        </w:numPr>
        <w:spacing w:after="60"/>
      </w:pPr>
      <w:r>
        <w:t xml:space="preserve">Alle Beträge sind gerundet und vereinfacht, wie die Beispiele in </w:t>
      </w:r>
      <w:r>
        <w:t>Kapitel </w:t>
      </w:r>
      <w:hyperlink w:anchor="k3" w:history="1">
        <w:r>
          <w:t>3</w:t>
        </w:r>
      </w:hyperlink>
      <w:r>
        <w:t>; sie ersetzen keine eigene Rechnung mit deinem tatsächlichen Gehalt und Wohnort.</w:t>
      </w:r>
    </w:p>
    <w:p w14:paraId="70A5137C" w14:textId="77777777" w:rsidR="00C1548D" w:rsidRDefault="00C1548D">
      <w:pPr>
        <w:spacing w:line="120" w:lineRule="exact"/>
      </w:pPr>
    </w:p>
    <w:p w14:paraId="70A5137D" w14:textId="77777777" w:rsidR="00C1548D" w:rsidRDefault="009B1B4B">
      <w:pPr>
        <w:pStyle w:val="Heading3"/>
        <w:keepNext/>
        <w:jc w:val="center"/>
      </w:pPr>
      <w:r>
        <w:rPr>
          <w:rFonts w:ascii="Amazon Ember" w:eastAsia="Amazon Ember" w:hAnsi="Amazon Ember" w:cs="Amazon Ember"/>
          <w:color w:val="0000FF"/>
          <w:sz w:val="36"/>
          <w:szCs w:val="36"/>
        </w:rPr>
        <w:lastRenderedPageBreak/>
        <w:t>USA</w:t>
      </w:r>
    </w:p>
    <w:p w14:paraId="70A5137E" w14:textId="77777777" w:rsidR="00C1548D" w:rsidRDefault="009B1B4B">
      <w:pPr>
        <w:pStyle w:val="Heading3"/>
        <w:keepNext/>
        <w:jc w:val="center"/>
      </w:pPr>
      <w:r>
        <w:rPr>
          <w:rFonts w:ascii="Amazon Ember" w:eastAsia="Amazon Ember" w:hAnsi="Amazon Ember" w:cs="Amazon Ember"/>
          <w:color w:val="0000FF"/>
          <w:sz w:val="36"/>
          <w:szCs w:val="36"/>
        </w:rPr>
        <w:t>Großraum Detroit, Michigan – günstige Region</w:t>
      </w:r>
    </w:p>
    <w:p w14:paraId="70A5137F" w14:textId="5084C1FD" w:rsidR="00C1548D" w:rsidRDefault="009B1B4B">
      <w:pPr>
        <w:spacing w:after="140"/>
      </w:pPr>
      <w:r>
        <w:t>Michigan erhebt 4,25 % Einkommensteuer, dazu in Detroit selbst eine Stadtsteuer (hier nicht enthalten, Kapitel </w:t>
      </w:r>
      <w:hyperlink w:anchor="k28" w:history="1">
        <w:r>
          <w:t>28</w:t>
        </w:r>
      </w:hyperlink>
      <w:r>
        <w:t>). Wohnkosten und Miete gehören zu den niedrigsten der im Buch behandelten Metropolregionen (Kapitel </w:t>
      </w:r>
      <w:hyperlink w:anchor="k12" w:history="1">
        <w:r>
          <w:t>12</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9"/>
        <w:gridCol w:w="950"/>
        <w:gridCol w:w="3541"/>
      </w:tblGrid>
      <w:tr w:rsidR="00C1548D" w14:paraId="70A51383" w14:textId="77777777">
        <w:tblPrEx>
          <w:tblCellMar>
            <w:top w:w="0" w:type="dxa"/>
            <w:bottom w:w="0" w:type="dxa"/>
          </w:tblCellMar>
        </w:tblPrEx>
        <w:trPr>
          <w:cantSplit/>
          <w:tblHeader/>
        </w:trPr>
        <w:tc>
          <w:tcPr>
            <w:tcW w:w="19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80" w14:textId="77777777" w:rsidR="00C1548D" w:rsidRDefault="009B1B4B">
            <w:pPr>
              <w:spacing w:line="250" w:lineRule="auto"/>
            </w:pPr>
            <w:r>
              <w:rPr>
                <w:b/>
                <w:bCs/>
                <w:sz w:val="18"/>
                <w:szCs w:val="18"/>
              </w:rPr>
              <w:t>Posten</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81" w14:textId="77777777" w:rsidR="00C1548D" w:rsidRDefault="009B1B4B">
            <w:pPr>
              <w:spacing w:line="250" w:lineRule="auto"/>
            </w:pPr>
            <w:r>
              <w:rPr>
                <w:b/>
                <w:bCs/>
                <w:sz w:val="18"/>
                <w:szCs w:val="18"/>
              </w:rPr>
              <w:t>Betrag pro Monat</w:t>
            </w:r>
          </w:p>
        </w:tc>
        <w:tc>
          <w:tcPr>
            <w:tcW w:w="354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82" w14:textId="77777777" w:rsidR="00C1548D" w:rsidRDefault="009B1B4B">
            <w:pPr>
              <w:spacing w:line="250" w:lineRule="auto"/>
            </w:pPr>
            <w:r>
              <w:rPr>
                <w:b/>
                <w:bCs/>
                <w:sz w:val="18"/>
                <w:szCs w:val="18"/>
              </w:rPr>
              <w:t>Anmerkung</w:t>
            </w:r>
          </w:p>
        </w:tc>
      </w:tr>
      <w:tr w:rsidR="00C1548D" w14:paraId="70A51387" w14:textId="77777777">
        <w:tblPrEx>
          <w:tblCellMar>
            <w:top w:w="0" w:type="dxa"/>
            <w:bottom w:w="0" w:type="dxa"/>
          </w:tblCellMar>
        </w:tblPrEx>
        <w:trPr>
          <w:cantSplit/>
        </w:trPr>
        <w:tc>
          <w:tcPr>
            <w:tcW w:w="1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84" w14:textId="77777777" w:rsidR="00C1548D" w:rsidRDefault="009B1B4B">
            <w:pPr>
              <w:spacing w:line="250" w:lineRule="auto"/>
            </w:pPr>
            <w:r>
              <w:rPr>
                <w:sz w:val="18"/>
                <w:szCs w:val="18"/>
              </w:rPr>
              <w:t>Bruttogehalt (Familie)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85" w14:textId="77777777" w:rsidR="00C1548D" w:rsidRDefault="009B1B4B">
            <w:pPr>
              <w:spacing w:line="250" w:lineRule="auto"/>
            </w:pPr>
            <w:r>
              <w:rPr>
                <w:sz w:val="18"/>
                <w:szCs w:val="18"/>
              </w:rPr>
              <w:t>12.500 $</w:t>
            </w:r>
          </w:p>
        </w:tc>
        <w:tc>
          <w:tcPr>
            <w:tcW w:w="3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86" w14:textId="3F392038" w:rsidR="00C1548D" w:rsidRDefault="009B1B4B">
            <w:pPr>
              <w:spacing w:line="250" w:lineRule="auto"/>
            </w:pPr>
            <w:r>
              <w:rPr>
                <w:sz w:val="18"/>
                <w:szCs w:val="18"/>
              </w:rPr>
              <w:t>Ehepaar, ein Einkommen (Kapitel </w:t>
            </w:r>
            <w:hyperlink w:anchor="k3" w:history="1">
              <w:r>
                <w:rPr>
                  <w:sz w:val="18"/>
                  <w:szCs w:val="18"/>
                </w:rPr>
                <w:t>3</w:t>
              </w:r>
            </w:hyperlink>
            <w:r>
              <w:rPr>
                <w:sz w:val="18"/>
                <w:szCs w:val="18"/>
              </w:rPr>
              <w:t>, Kapitel </w:t>
            </w:r>
            <w:hyperlink w:anchor="k28" w:history="1">
              <w:r>
                <w:rPr>
                  <w:sz w:val="18"/>
                  <w:szCs w:val="18"/>
                </w:rPr>
                <w:t>28</w:t>
              </w:r>
            </w:hyperlink>
            <w:r>
              <w:rPr>
                <w:sz w:val="18"/>
                <w:szCs w:val="18"/>
              </w:rPr>
              <w:t>)</w:t>
            </w:r>
          </w:p>
        </w:tc>
      </w:tr>
      <w:tr w:rsidR="00C1548D" w14:paraId="70A5138B" w14:textId="77777777">
        <w:tblPrEx>
          <w:tblCellMar>
            <w:top w:w="0" w:type="dxa"/>
            <w:bottom w:w="0" w:type="dxa"/>
          </w:tblCellMar>
        </w:tblPrEx>
        <w:trPr>
          <w:cantSplit/>
        </w:trPr>
        <w:tc>
          <w:tcPr>
            <w:tcW w:w="1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88" w14:textId="77777777" w:rsidR="00C1548D" w:rsidRDefault="009B1B4B">
            <w:pPr>
              <w:spacing w:line="250" w:lineRule="auto"/>
            </w:pPr>
            <w:r>
              <w:rPr>
                <w:sz w:val="18"/>
                <w:szCs w:val="18"/>
              </w:rPr>
              <w:t>Steuern und Sozialabgaben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89" w14:textId="77777777" w:rsidR="00C1548D" w:rsidRDefault="009B1B4B">
            <w:pPr>
              <w:spacing w:line="250" w:lineRule="auto"/>
            </w:pPr>
            <w:r>
              <w:rPr>
                <w:sz w:val="18"/>
                <w:szCs w:val="18"/>
              </w:rPr>
              <w:t>2.600 $</w:t>
            </w:r>
          </w:p>
        </w:tc>
        <w:tc>
          <w:tcPr>
            <w:tcW w:w="3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8A" w14:textId="46A80335" w:rsidR="00C1548D" w:rsidRDefault="009B1B4B">
            <w:pPr>
              <w:spacing w:line="250" w:lineRule="auto"/>
            </w:pPr>
            <w:r>
              <w:rPr>
                <w:sz w:val="18"/>
                <w:szCs w:val="18"/>
              </w:rPr>
              <w:t>Bund, FICA, Michigan-Steuer; Kinder mit ITIN; ohne mögliche Detroit-Stadtsteuer (Kapitel </w:t>
            </w:r>
            <w:hyperlink w:anchor="k28" w:history="1">
              <w:r>
                <w:rPr>
                  <w:sz w:val="18"/>
                  <w:szCs w:val="18"/>
                </w:rPr>
                <w:t>28</w:t>
              </w:r>
            </w:hyperlink>
            <w:r>
              <w:rPr>
                <w:sz w:val="18"/>
                <w:szCs w:val="18"/>
              </w:rPr>
              <w:t>)</w:t>
            </w:r>
          </w:p>
        </w:tc>
      </w:tr>
      <w:tr w:rsidR="00C1548D" w14:paraId="70A5138F" w14:textId="77777777">
        <w:tblPrEx>
          <w:tblCellMar>
            <w:top w:w="0" w:type="dxa"/>
            <w:bottom w:w="0" w:type="dxa"/>
          </w:tblCellMar>
        </w:tblPrEx>
        <w:trPr>
          <w:cantSplit/>
        </w:trPr>
        <w:tc>
          <w:tcPr>
            <w:tcW w:w="1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8C" w14:textId="77777777" w:rsidR="00C1548D" w:rsidRDefault="009B1B4B">
            <w:pPr>
              <w:spacing w:line="250" w:lineRule="auto"/>
            </w:pPr>
            <w:r>
              <w:rPr>
                <w:sz w:val="18"/>
                <w:szCs w:val="18"/>
              </w:rPr>
              <w:t>Netto nach Steuern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8D" w14:textId="77777777" w:rsidR="00C1548D" w:rsidRDefault="009B1B4B">
            <w:pPr>
              <w:spacing w:line="250" w:lineRule="auto"/>
            </w:pPr>
            <w:r>
              <w:rPr>
                <w:sz w:val="18"/>
                <w:szCs w:val="18"/>
              </w:rPr>
              <w:t>9.900 $</w:t>
            </w:r>
          </w:p>
        </w:tc>
        <w:tc>
          <w:tcPr>
            <w:tcW w:w="3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8E" w14:textId="4899A7A0" w:rsidR="00C1548D" w:rsidRDefault="009B1B4B">
            <w:pPr>
              <w:spacing w:line="250" w:lineRule="auto"/>
            </w:pPr>
            <w:r>
              <w:rPr>
                <w:sz w:val="18"/>
                <w:szCs w:val="18"/>
              </w:rPr>
              <w:t>Kapitel </w:t>
            </w:r>
            <w:hyperlink w:anchor="k28" w:history="1">
              <w:r>
                <w:rPr>
                  <w:sz w:val="18"/>
                  <w:szCs w:val="18"/>
                </w:rPr>
                <w:t>28</w:t>
              </w:r>
            </w:hyperlink>
          </w:p>
        </w:tc>
      </w:tr>
      <w:tr w:rsidR="00C1548D" w14:paraId="70A51393" w14:textId="77777777">
        <w:tblPrEx>
          <w:tblCellMar>
            <w:top w:w="0" w:type="dxa"/>
            <w:bottom w:w="0" w:type="dxa"/>
          </w:tblCellMar>
        </w:tblPrEx>
        <w:trPr>
          <w:cantSplit/>
        </w:trPr>
        <w:tc>
          <w:tcPr>
            <w:tcW w:w="1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0" w14:textId="77777777" w:rsidR="00C1548D" w:rsidRDefault="009B1B4B">
            <w:pPr>
              <w:spacing w:line="250" w:lineRule="auto"/>
            </w:pPr>
            <w:r>
              <w:rPr>
                <w:sz w:val="18"/>
                <w:szCs w:val="18"/>
              </w:rPr>
              <w:t>Miete (Reihenhaus, 3 Schlafzimmer)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1" w14:textId="77777777" w:rsidR="00C1548D" w:rsidRDefault="009B1B4B">
            <w:pPr>
              <w:spacing w:line="250" w:lineRule="auto"/>
            </w:pPr>
            <w:r>
              <w:rPr>
                <w:sz w:val="18"/>
                <w:szCs w:val="18"/>
              </w:rPr>
              <w:t>2.400 $</w:t>
            </w:r>
          </w:p>
        </w:tc>
        <w:tc>
          <w:tcPr>
            <w:tcW w:w="3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2" w14:textId="76F390FF" w:rsidR="00C1548D" w:rsidRDefault="009B1B4B">
            <w:pPr>
              <w:spacing w:line="250" w:lineRule="auto"/>
            </w:pPr>
            <w:r>
              <w:rPr>
                <w:sz w:val="18"/>
                <w:szCs w:val="18"/>
              </w:rPr>
              <w:t>Kapitel </w:t>
            </w:r>
            <w:hyperlink w:anchor="k13" w:history="1">
              <w:r>
                <w:rPr>
                  <w:sz w:val="18"/>
                  <w:szCs w:val="18"/>
                </w:rPr>
                <w:t>13</w:t>
              </w:r>
            </w:hyperlink>
          </w:p>
        </w:tc>
      </w:tr>
      <w:tr w:rsidR="00C1548D" w14:paraId="70A51397" w14:textId="77777777">
        <w:tblPrEx>
          <w:tblCellMar>
            <w:top w:w="0" w:type="dxa"/>
            <w:bottom w:w="0" w:type="dxa"/>
          </w:tblCellMar>
        </w:tblPrEx>
        <w:trPr>
          <w:cantSplit/>
        </w:trPr>
        <w:tc>
          <w:tcPr>
            <w:tcW w:w="1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4" w14:textId="77777777" w:rsidR="00C1548D" w:rsidRDefault="009B1B4B">
            <w:pPr>
              <w:spacing w:line="250" w:lineRule="auto"/>
            </w:pPr>
            <w:r>
              <w:rPr>
                <w:sz w:val="18"/>
                <w:szCs w:val="18"/>
              </w:rPr>
              <w:t>Nebenkosten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5" w14:textId="77777777" w:rsidR="00C1548D" w:rsidRDefault="009B1B4B">
            <w:pPr>
              <w:spacing w:line="250" w:lineRule="auto"/>
            </w:pPr>
            <w:r>
              <w:rPr>
                <w:sz w:val="18"/>
                <w:szCs w:val="18"/>
              </w:rPr>
              <w:t>285 $</w:t>
            </w:r>
          </w:p>
        </w:tc>
        <w:tc>
          <w:tcPr>
            <w:tcW w:w="3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6" w14:textId="3CED5CB6" w:rsidR="00C1548D" w:rsidRDefault="009B1B4B">
            <w:pPr>
              <w:spacing w:line="250" w:lineRule="auto"/>
            </w:pPr>
            <w:r>
              <w:rPr>
                <w:sz w:val="18"/>
                <w:szCs w:val="18"/>
              </w:rPr>
              <w:t>Strom, Gas, Wasser, Müll, Internet (Kapitel </w:t>
            </w:r>
            <w:hyperlink w:anchor="k13" w:history="1">
              <w:r>
                <w:rPr>
                  <w:sz w:val="18"/>
                  <w:szCs w:val="18"/>
                </w:rPr>
                <w:t>13</w:t>
              </w:r>
            </w:hyperlink>
            <w:r>
              <w:rPr>
                <w:sz w:val="18"/>
                <w:szCs w:val="18"/>
              </w:rPr>
              <w:t>)</w:t>
            </w:r>
          </w:p>
        </w:tc>
      </w:tr>
      <w:tr w:rsidR="00C1548D" w14:paraId="70A5139B" w14:textId="77777777">
        <w:tblPrEx>
          <w:tblCellMar>
            <w:top w:w="0" w:type="dxa"/>
            <w:bottom w:w="0" w:type="dxa"/>
          </w:tblCellMar>
        </w:tblPrEx>
        <w:trPr>
          <w:cantSplit/>
        </w:trPr>
        <w:tc>
          <w:tcPr>
            <w:tcW w:w="1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8" w14:textId="77777777" w:rsidR="00C1548D" w:rsidRDefault="009B1B4B">
            <w:pPr>
              <w:spacing w:line="250" w:lineRule="auto"/>
            </w:pPr>
            <w:r>
              <w:rPr>
                <w:sz w:val="18"/>
                <w:szCs w:val="18"/>
              </w:rPr>
              <w:t>Krankenversicherung (Familientarif)</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9" w14:textId="77777777" w:rsidR="00C1548D" w:rsidRDefault="009B1B4B">
            <w:pPr>
              <w:spacing w:line="250" w:lineRule="auto"/>
            </w:pPr>
            <w:r>
              <w:rPr>
                <w:sz w:val="18"/>
                <w:szCs w:val="18"/>
              </w:rPr>
              <w:t>571 $</w:t>
            </w:r>
          </w:p>
        </w:tc>
        <w:tc>
          <w:tcPr>
            <w:tcW w:w="3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A" w14:textId="71C2C130" w:rsidR="00C1548D" w:rsidRDefault="009B1B4B">
            <w:pPr>
              <w:spacing w:line="250" w:lineRule="auto"/>
            </w:pPr>
            <w:r>
              <w:rPr>
                <w:sz w:val="18"/>
                <w:szCs w:val="18"/>
              </w:rPr>
              <w:t>Eigenanteil, bundesweiter Schnitt (Kapitel </w:t>
            </w:r>
            <w:hyperlink w:anchor="k26" w:history="1">
              <w:r>
                <w:rPr>
                  <w:sz w:val="18"/>
                  <w:szCs w:val="18"/>
                </w:rPr>
                <w:t>26</w:t>
              </w:r>
            </w:hyperlink>
            <w:r>
              <w:rPr>
                <w:sz w:val="18"/>
                <w:szCs w:val="18"/>
              </w:rPr>
              <w:t>, Kapitel </w:t>
            </w:r>
            <w:hyperlink w:anchor="k28" w:history="1">
              <w:r>
                <w:rPr>
                  <w:sz w:val="18"/>
                  <w:szCs w:val="18"/>
                </w:rPr>
                <w:t>28</w:t>
              </w:r>
            </w:hyperlink>
            <w:r>
              <w:rPr>
                <w:sz w:val="18"/>
                <w:szCs w:val="18"/>
              </w:rPr>
              <w:t>)</w:t>
            </w:r>
          </w:p>
        </w:tc>
      </w:tr>
      <w:tr w:rsidR="00C1548D" w14:paraId="70A5139F" w14:textId="77777777">
        <w:tblPrEx>
          <w:tblCellMar>
            <w:top w:w="0" w:type="dxa"/>
            <w:bottom w:w="0" w:type="dxa"/>
          </w:tblCellMar>
        </w:tblPrEx>
        <w:trPr>
          <w:cantSplit/>
        </w:trPr>
        <w:tc>
          <w:tcPr>
            <w:tcW w:w="1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C" w14:textId="77777777" w:rsidR="00C1548D" w:rsidRDefault="009B1B4B">
            <w:pPr>
              <w:spacing w:line="250" w:lineRule="auto"/>
            </w:pPr>
            <w:r>
              <w:rPr>
                <w:sz w:val="18"/>
                <w:szCs w:val="18"/>
              </w:rPr>
              <w:t>Lebensmittel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D" w14:textId="77777777" w:rsidR="00C1548D" w:rsidRDefault="009B1B4B">
            <w:pPr>
              <w:spacing w:line="250" w:lineRule="auto"/>
            </w:pPr>
            <w:r>
              <w:rPr>
                <w:sz w:val="18"/>
                <w:szCs w:val="18"/>
              </w:rPr>
              <w:t>1.290 $</w:t>
            </w:r>
          </w:p>
        </w:tc>
        <w:tc>
          <w:tcPr>
            <w:tcW w:w="3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9E" w14:textId="0A21FB96" w:rsidR="00C1548D" w:rsidRDefault="009B1B4B">
            <w:pPr>
              <w:spacing w:line="250" w:lineRule="auto"/>
            </w:pPr>
            <w:r>
              <w:rPr>
                <w:sz w:val="18"/>
                <w:szCs w:val="18"/>
              </w:rPr>
              <w:t>Kapitel </w:t>
            </w:r>
            <w:hyperlink w:anchor="k35" w:history="1">
              <w:r>
                <w:rPr>
                  <w:sz w:val="18"/>
                  <w:szCs w:val="18"/>
                </w:rPr>
                <w:t>35</w:t>
              </w:r>
            </w:hyperlink>
          </w:p>
        </w:tc>
      </w:tr>
      <w:tr w:rsidR="00C1548D" w14:paraId="70A513A3" w14:textId="77777777">
        <w:tblPrEx>
          <w:tblCellMar>
            <w:top w:w="0" w:type="dxa"/>
            <w:bottom w:w="0" w:type="dxa"/>
          </w:tblCellMar>
        </w:tblPrEx>
        <w:trPr>
          <w:cantSplit/>
        </w:trPr>
        <w:tc>
          <w:tcPr>
            <w:tcW w:w="1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0" w14:textId="77777777" w:rsidR="00C1548D" w:rsidRDefault="009B1B4B">
            <w:pPr>
              <w:spacing w:line="250" w:lineRule="auto"/>
            </w:pPr>
            <w:r>
              <w:rPr>
                <w:sz w:val="18"/>
                <w:szCs w:val="18"/>
              </w:rPr>
              <w:t>Auto und Versicherung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1" w14:textId="77777777" w:rsidR="00C1548D" w:rsidRDefault="009B1B4B">
            <w:pPr>
              <w:spacing w:line="250" w:lineRule="auto"/>
            </w:pPr>
            <w:r>
              <w:rPr>
                <w:sz w:val="18"/>
                <w:szCs w:val="18"/>
              </w:rPr>
              <w:t>662 $</w:t>
            </w:r>
          </w:p>
        </w:tc>
        <w:tc>
          <w:tcPr>
            <w:tcW w:w="3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2" w14:textId="01DAAE4B" w:rsidR="00C1548D" w:rsidRDefault="009B1B4B">
            <w:pPr>
              <w:spacing w:line="250" w:lineRule="auto"/>
            </w:pPr>
            <w:r>
              <w:rPr>
                <w:sz w:val="18"/>
                <w:szCs w:val="18"/>
              </w:rPr>
              <w:t>Kreditrate und Versicherung (Kapitel </w:t>
            </w:r>
            <w:hyperlink w:anchor="k27" w:history="1">
              <w:r>
                <w:rPr>
                  <w:sz w:val="18"/>
                  <w:szCs w:val="18"/>
                </w:rPr>
                <w:t>27</w:t>
              </w:r>
            </w:hyperlink>
            <w:r>
              <w:rPr>
                <w:sz w:val="18"/>
                <w:szCs w:val="18"/>
              </w:rPr>
              <w:t>)</w:t>
            </w:r>
          </w:p>
        </w:tc>
      </w:tr>
      <w:tr w:rsidR="00C1548D" w14:paraId="70A513A7" w14:textId="77777777">
        <w:tblPrEx>
          <w:tblCellMar>
            <w:top w:w="0" w:type="dxa"/>
            <w:bottom w:w="0" w:type="dxa"/>
          </w:tblCellMar>
        </w:tblPrEx>
        <w:trPr>
          <w:cantSplit/>
        </w:trPr>
        <w:tc>
          <w:tcPr>
            <w:tcW w:w="1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4" w14:textId="77777777" w:rsidR="00C1548D" w:rsidRDefault="009B1B4B">
            <w:pPr>
              <w:spacing w:line="250" w:lineRule="auto"/>
            </w:pPr>
            <w:r>
              <w:rPr>
                <w:sz w:val="18"/>
                <w:szCs w:val="18"/>
              </w:rPr>
              <w:t>Kinderbetreuung/Schule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5" w14:textId="77777777" w:rsidR="00C1548D" w:rsidRDefault="009B1B4B">
            <w:pPr>
              <w:spacing w:line="250" w:lineRule="auto"/>
            </w:pPr>
            <w:r>
              <w:rPr>
                <w:sz w:val="18"/>
                <w:szCs w:val="18"/>
              </w:rPr>
              <w:t>0 $</w:t>
            </w:r>
          </w:p>
        </w:tc>
        <w:tc>
          <w:tcPr>
            <w:tcW w:w="3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6" w14:textId="43A51B77" w:rsidR="00C1548D" w:rsidRDefault="009B1B4B">
            <w:pPr>
              <w:spacing w:line="250" w:lineRule="auto"/>
            </w:pPr>
            <w:r>
              <w:rPr>
                <w:sz w:val="18"/>
                <w:szCs w:val="18"/>
              </w:rPr>
              <w:t>Ein Elternteil betreut die Kinder; öffentliche Schule kostenfrei (Kapitel </w:t>
            </w:r>
            <w:hyperlink w:anchor="k3" w:history="1">
              <w:r>
                <w:rPr>
                  <w:sz w:val="18"/>
                  <w:szCs w:val="18"/>
                </w:rPr>
                <w:t>3</w:t>
              </w:r>
            </w:hyperlink>
            <w:r>
              <w:rPr>
                <w:sz w:val="18"/>
                <w:szCs w:val="18"/>
              </w:rPr>
              <w:t>, Kapitel </w:t>
            </w:r>
            <w:hyperlink w:anchor="k38" w:history="1">
              <w:r>
                <w:rPr>
                  <w:sz w:val="18"/>
                  <w:szCs w:val="18"/>
                </w:rPr>
                <w:t>38</w:t>
              </w:r>
            </w:hyperlink>
            <w:r>
              <w:rPr>
                <w:sz w:val="18"/>
                <w:szCs w:val="18"/>
              </w:rPr>
              <w:t>)</w:t>
            </w:r>
          </w:p>
        </w:tc>
      </w:tr>
      <w:tr w:rsidR="00C1548D" w14:paraId="70A513AB" w14:textId="77777777">
        <w:tblPrEx>
          <w:tblCellMar>
            <w:top w:w="0" w:type="dxa"/>
            <w:bottom w:w="0" w:type="dxa"/>
          </w:tblCellMar>
        </w:tblPrEx>
        <w:trPr>
          <w:cantSplit/>
        </w:trPr>
        <w:tc>
          <w:tcPr>
            <w:tcW w:w="1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8" w14:textId="77777777" w:rsidR="00C1548D" w:rsidRDefault="009B1B4B">
            <w:pPr>
              <w:spacing w:line="250" w:lineRule="auto"/>
            </w:pPr>
            <w:r>
              <w:rPr>
                <w:sz w:val="18"/>
                <w:szCs w:val="18"/>
              </w:rPr>
              <w:t>Sonstiges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9" w14:textId="77777777" w:rsidR="00C1548D" w:rsidRDefault="009B1B4B">
            <w:pPr>
              <w:spacing w:line="250" w:lineRule="auto"/>
            </w:pPr>
            <w:r>
              <w:rPr>
                <w:sz w:val="18"/>
                <w:szCs w:val="18"/>
              </w:rPr>
              <w:t>250 $</w:t>
            </w:r>
          </w:p>
        </w:tc>
        <w:tc>
          <w:tcPr>
            <w:tcW w:w="3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A" w14:textId="5FCF301B" w:rsidR="00C1548D" w:rsidRDefault="009B1B4B">
            <w:pPr>
              <w:spacing w:line="250" w:lineRule="auto"/>
            </w:pPr>
            <w:r>
              <w:rPr>
                <w:sz w:val="18"/>
                <w:szCs w:val="18"/>
              </w:rPr>
              <w:t>Mietversicherung, Restaurant/Lieferdienst (Kapitel </w:t>
            </w:r>
            <w:hyperlink w:anchor="k13" w:history="1">
              <w:r>
                <w:rPr>
                  <w:sz w:val="18"/>
                  <w:szCs w:val="18"/>
                </w:rPr>
                <w:t>13</w:t>
              </w:r>
            </w:hyperlink>
            <w:r>
              <w:rPr>
                <w:sz w:val="18"/>
                <w:szCs w:val="18"/>
              </w:rPr>
              <w:t>, Kapitel </w:t>
            </w:r>
            <w:hyperlink w:anchor="k35" w:history="1">
              <w:r>
                <w:rPr>
                  <w:sz w:val="18"/>
                  <w:szCs w:val="18"/>
                </w:rPr>
                <w:t>35</w:t>
              </w:r>
            </w:hyperlink>
            <w:r>
              <w:rPr>
                <w:sz w:val="18"/>
                <w:szCs w:val="18"/>
              </w:rPr>
              <w:t>)</w:t>
            </w:r>
          </w:p>
        </w:tc>
      </w:tr>
      <w:tr w:rsidR="00C1548D" w14:paraId="70A513AF" w14:textId="77777777">
        <w:tblPrEx>
          <w:tblCellMar>
            <w:top w:w="0" w:type="dxa"/>
            <w:bottom w:w="0" w:type="dxa"/>
          </w:tblCellMar>
        </w:tblPrEx>
        <w:trPr>
          <w:cantSplit/>
        </w:trPr>
        <w:tc>
          <w:tcPr>
            <w:tcW w:w="1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C" w14:textId="77777777" w:rsidR="00C1548D" w:rsidRDefault="009B1B4B">
            <w:pPr>
              <w:spacing w:line="250" w:lineRule="auto"/>
            </w:pPr>
            <w:r>
              <w:rPr>
                <w:b/>
                <w:bCs/>
                <w:sz w:val="18"/>
                <w:szCs w:val="18"/>
              </w:rPr>
              <w:t>Netto verfügbares Einkommen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D" w14:textId="77777777" w:rsidR="00C1548D" w:rsidRDefault="009B1B4B">
            <w:pPr>
              <w:spacing w:line="250" w:lineRule="auto"/>
            </w:pPr>
            <w:r>
              <w:rPr>
                <w:b/>
                <w:bCs/>
                <w:sz w:val="18"/>
                <w:szCs w:val="18"/>
              </w:rPr>
              <w:t>4.442 $</w:t>
            </w:r>
          </w:p>
        </w:tc>
        <w:tc>
          <w:tcPr>
            <w:tcW w:w="3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AE" w14:textId="77777777" w:rsidR="00C1548D" w:rsidRDefault="009B1B4B">
            <w:pPr>
              <w:spacing w:line="250" w:lineRule="auto"/>
            </w:pPr>
            <w:r>
              <w:rPr>
                <w:sz w:val="18"/>
                <w:szCs w:val="18"/>
              </w:rPr>
              <w:t>entspricht 44,9 % des Nettos nach Steuern</w:t>
            </w:r>
          </w:p>
        </w:tc>
      </w:tr>
    </w:tbl>
    <w:p w14:paraId="70A513B0" w14:textId="77777777" w:rsidR="00C1548D" w:rsidRDefault="00C1548D">
      <w:pPr>
        <w:spacing w:line="180" w:lineRule="exact"/>
      </w:pPr>
    </w:p>
    <w:p w14:paraId="70A513B1" w14:textId="77777777" w:rsidR="00C1548D" w:rsidRDefault="009B1B4B">
      <w:pPr>
        <w:pStyle w:val="Heading3"/>
        <w:keepNext/>
        <w:jc w:val="center"/>
      </w:pPr>
      <w:r>
        <w:rPr>
          <w:rFonts w:ascii="Amazon Ember" w:eastAsia="Amazon Ember" w:hAnsi="Amazon Ember" w:cs="Amazon Ember"/>
          <w:color w:val="0000FF"/>
          <w:sz w:val="36"/>
          <w:szCs w:val="36"/>
        </w:rPr>
        <w:lastRenderedPageBreak/>
        <w:t>Austin, Texas – mittlere Region</w:t>
      </w:r>
    </w:p>
    <w:p w14:paraId="70A513B2" w14:textId="65B5A1B9" w:rsidR="00C1548D" w:rsidRDefault="009B1B4B">
      <w:pPr>
        <w:spacing w:after="140"/>
      </w:pPr>
      <w:r>
        <w:t>Texas erhebt keine Einkommensteuer, gleicht das aber über höhere Grundsteuer und Sales Tax aus (Kapitel </w:t>
      </w:r>
      <w:hyperlink w:anchor="k12" w:history="1">
        <w:r>
          <w:t>12</w:t>
        </w:r>
      </w:hyperlink>
      <w:r>
        <w:t>, Kapitel </w:t>
      </w:r>
      <w:hyperlink w:anchor="k28" w:history="1">
        <w:r>
          <w:t>28</w:t>
        </w:r>
      </w:hyperlink>
      <w:r>
        <w:t>). Die Wohnkosten liegen über Detroit, aber deutlich unter denen der Westküste.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5"/>
        <w:gridCol w:w="950"/>
        <w:gridCol w:w="3575"/>
      </w:tblGrid>
      <w:tr w:rsidR="00C1548D" w14:paraId="70A513B6" w14:textId="77777777">
        <w:tblPrEx>
          <w:tblCellMar>
            <w:top w:w="0" w:type="dxa"/>
            <w:bottom w:w="0" w:type="dxa"/>
          </w:tblCellMar>
        </w:tblPrEx>
        <w:trPr>
          <w:cantSplit/>
          <w:tblHeader/>
        </w:trPr>
        <w:tc>
          <w:tcPr>
            <w:tcW w:w="195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B3" w14:textId="77777777" w:rsidR="00C1548D" w:rsidRDefault="009B1B4B">
            <w:pPr>
              <w:spacing w:line="250" w:lineRule="auto"/>
            </w:pPr>
            <w:r>
              <w:rPr>
                <w:b/>
                <w:bCs/>
                <w:sz w:val="18"/>
                <w:szCs w:val="18"/>
              </w:rPr>
              <w:t>Posten</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B4" w14:textId="77777777" w:rsidR="00C1548D" w:rsidRDefault="009B1B4B">
            <w:pPr>
              <w:spacing w:line="250" w:lineRule="auto"/>
            </w:pPr>
            <w:r>
              <w:rPr>
                <w:b/>
                <w:bCs/>
                <w:sz w:val="18"/>
                <w:szCs w:val="18"/>
              </w:rPr>
              <w:t>Betrag pro Monat</w:t>
            </w:r>
          </w:p>
        </w:tc>
        <w:tc>
          <w:tcPr>
            <w:tcW w:w="357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B5" w14:textId="77777777" w:rsidR="00C1548D" w:rsidRDefault="009B1B4B">
            <w:pPr>
              <w:spacing w:line="250" w:lineRule="auto"/>
            </w:pPr>
            <w:r>
              <w:rPr>
                <w:b/>
                <w:bCs/>
                <w:sz w:val="18"/>
                <w:szCs w:val="18"/>
              </w:rPr>
              <w:t>Anmerkung</w:t>
            </w:r>
          </w:p>
        </w:tc>
      </w:tr>
      <w:tr w:rsidR="00C1548D" w14:paraId="70A513BA" w14:textId="77777777">
        <w:tblPrEx>
          <w:tblCellMar>
            <w:top w:w="0" w:type="dxa"/>
            <w:bottom w:w="0" w:type="dxa"/>
          </w:tblCellMar>
        </w:tblPrEx>
        <w:trPr>
          <w:cantSplit/>
        </w:trPr>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B7" w14:textId="77777777" w:rsidR="00C1548D" w:rsidRDefault="009B1B4B">
            <w:pPr>
              <w:spacing w:line="250" w:lineRule="auto"/>
            </w:pPr>
            <w:r>
              <w:rPr>
                <w:sz w:val="18"/>
                <w:szCs w:val="18"/>
              </w:rPr>
              <w:t>Bruttogehalt (Familie)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B8" w14:textId="77777777" w:rsidR="00C1548D" w:rsidRDefault="009B1B4B">
            <w:pPr>
              <w:spacing w:line="250" w:lineRule="auto"/>
            </w:pPr>
            <w:r>
              <w:rPr>
                <w:sz w:val="18"/>
                <w:szCs w:val="18"/>
              </w:rPr>
              <w:t>12.500 $</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B9" w14:textId="34E92567" w:rsidR="00C1548D" w:rsidRDefault="009B1B4B">
            <w:pPr>
              <w:spacing w:line="250" w:lineRule="auto"/>
            </w:pPr>
            <w:r>
              <w:rPr>
                <w:sz w:val="18"/>
                <w:szCs w:val="18"/>
              </w:rPr>
              <w:t>Ehepaar, ein Einkommen (Kapitel </w:t>
            </w:r>
            <w:hyperlink w:anchor="k3" w:history="1">
              <w:r>
                <w:rPr>
                  <w:sz w:val="18"/>
                  <w:szCs w:val="18"/>
                </w:rPr>
                <w:t>3</w:t>
              </w:r>
            </w:hyperlink>
            <w:r>
              <w:rPr>
                <w:sz w:val="18"/>
                <w:szCs w:val="18"/>
              </w:rPr>
              <w:t>, Kapitel </w:t>
            </w:r>
            <w:hyperlink w:anchor="k28" w:history="1">
              <w:r>
                <w:rPr>
                  <w:sz w:val="18"/>
                  <w:szCs w:val="18"/>
                </w:rPr>
                <w:t>28</w:t>
              </w:r>
            </w:hyperlink>
            <w:r>
              <w:rPr>
                <w:sz w:val="18"/>
                <w:szCs w:val="18"/>
              </w:rPr>
              <w:t>)</w:t>
            </w:r>
          </w:p>
        </w:tc>
      </w:tr>
      <w:tr w:rsidR="00C1548D" w14:paraId="70A513BE" w14:textId="77777777">
        <w:tblPrEx>
          <w:tblCellMar>
            <w:top w:w="0" w:type="dxa"/>
            <w:bottom w:w="0" w:type="dxa"/>
          </w:tblCellMar>
        </w:tblPrEx>
        <w:trPr>
          <w:cantSplit/>
        </w:trPr>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BB" w14:textId="77777777" w:rsidR="00C1548D" w:rsidRDefault="009B1B4B">
            <w:pPr>
              <w:spacing w:line="250" w:lineRule="auto"/>
            </w:pPr>
            <w:r>
              <w:rPr>
                <w:sz w:val="18"/>
                <w:szCs w:val="18"/>
              </w:rPr>
              <w:t>Steuern und Sozialabgaben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BC" w14:textId="77777777" w:rsidR="00C1548D" w:rsidRDefault="009B1B4B">
            <w:pPr>
              <w:spacing w:line="250" w:lineRule="auto"/>
            </w:pPr>
            <w:r>
              <w:rPr>
                <w:sz w:val="18"/>
                <w:szCs w:val="18"/>
              </w:rPr>
              <w:t>2.151 $</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BD" w14:textId="6C8413CD" w:rsidR="00C1548D" w:rsidRDefault="009B1B4B">
            <w:pPr>
              <w:spacing w:line="250" w:lineRule="auto"/>
            </w:pPr>
            <w:r>
              <w:rPr>
                <w:sz w:val="18"/>
                <w:szCs w:val="18"/>
              </w:rPr>
              <w:t>Bund, FICA; Texas ohne Einkommensteuer; Kinder mit ITIN (Kapitel </w:t>
            </w:r>
            <w:hyperlink w:anchor="k28" w:history="1">
              <w:r>
                <w:rPr>
                  <w:sz w:val="18"/>
                  <w:szCs w:val="18"/>
                </w:rPr>
                <w:t>28</w:t>
              </w:r>
            </w:hyperlink>
            <w:r>
              <w:rPr>
                <w:sz w:val="18"/>
                <w:szCs w:val="18"/>
              </w:rPr>
              <w:t>)</w:t>
            </w:r>
          </w:p>
        </w:tc>
      </w:tr>
      <w:tr w:rsidR="00C1548D" w14:paraId="70A513C2" w14:textId="77777777">
        <w:tblPrEx>
          <w:tblCellMar>
            <w:top w:w="0" w:type="dxa"/>
            <w:bottom w:w="0" w:type="dxa"/>
          </w:tblCellMar>
        </w:tblPrEx>
        <w:trPr>
          <w:cantSplit/>
        </w:trPr>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BF" w14:textId="77777777" w:rsidR="00C1548D" w:rsidRDefault="009B1B4B">
            <w:pPr>
              <w:spacing w:line="250" w:lineRule="auto"/>
            </w:pPr>
            <w:r>
              <w:rPr>
                <w:sz w:val="18"/>
                <w:szCs w:val="18"/>
              </w:rPr>
              <w:t>Netto nach Steuern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0" w14:textId="77777777" w:rsidR="00C1548D" w:rsidRDefault="009B1B4B">
            <w:pPr>
              <w:spacing w:line="250" w:lineRule="auto"/>
            </w:pPr>
            <w:r>
              <w:rPr>
                <w:sz w:val="18"/>
                <w:szCs w:val="18"/>
              </w:rPr>
              <w:t>10.349 $</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1" w14:textId="5A90FBE7" w:rsidR="00C1548D" w:rsidRDefault="009B1B4B">
            <w:pPr>
              <w:spacing w:line="250" w:lineRule="auto"/>
            </w:pPr>
            <w:r>
              <w:rPr>
                <w:sz w:val="18"/>
                <w:szCs w:val="18"/>
              </w:rPr>
              <w:t>Kapitel </w:t>
            </w:r>
            <w:hyperlink w:anchor="k28" w:history="1">
              <w:r>
                <w:rPr>
                  <w:sz w:val="18"/>
                  <w:szCs w:val="18"/>
                </w:rPr>
                <w:t>28</w:t>
              </w:r>
            </w:hyperlink>
          </w:p>
        </w:tc>
      </w:tr>
      <w:tr w:rsidR="00C1548D" w14:paraId="70A513C6" w14:textId="77777777">
        <w:tblPrEx>
          <w:tblCellMar>
            <w:top w:w="0" w:type="dxa"/>
            <w:bottom w:w="0" w:type="dxa"/>
          </w:tblCellMar>
        </w:tblPrEx>
        <w:trPr>
          <w:cantSplit/>
        </w:trPr>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3" w14:textId="77777777" w:rsidR="00C1548D" w:rsidRDefault="009B1B4B">
            <w:pPr>
              <w:spacing w:line="250" w:lineRule="auto"/>
            </w:pPr>
            <w:r>
              <w:rPr>
                <w:sz w:val="18"/>
                <w:szCs w:val="18"/>
              </w:rPr>
              <w:t>Miete (2-Zimmer-Wohnung)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4" w14:textId="77777777" w:rsidR="00C1548D" w:rsidRDefault="009B1B4B">
            <w:pPr>
              <w:spacing w:line="250" w:lineRule="auto"/>
            </w:pPr>
            <w:r>
              <w:rPr>
                <w:sz w:val="18"/>
                <w:szCs w:val="18"/>
              </w:rPr>
              <w:t>1.812 $</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5" w14:textId="73C2B4CA" w:rsidR="00C1548D" w:rsidRDefault="009B1B4B">
            <w:pPr>
              <w:spacing w:line="250" w:lineRule="auto"/>
            </w:pPr>
            <w:r>
              <w:rPr>
                <w:sz w:val="18"/>
                <w:szCs w:val="18"/>
              </w:rPr>
              <w:t>Kapitel </w:t>
            </w:r>
            <w:hyperlink w:anchor="k13" w:history="1">
              <w:r>
                <w:rPr>
                  <w:sz w:val="18"/>
                  <w:szCs w:val="18"/>
                </w:rPr>
                <w:t>13</w:t>
              </w:r>
            </w:hyperlink>
          </w:p>
        </w:tc>
      </w:tr>
      <w:tr w:rsidR="00C1548D" w14:paraId="70A513CA" w14:textId="77777777">
        <w:tblPrEx>
          <w:tblCellMar>
            <w:top w:w="0" w:type="dxa"/>
            <w:bottom w:w="0" w:type="dxa"/>
          </w:tblCellMar>
        </w:tblPrEx>
        <w:trPr>
          <w:cantSplit/>
        </w:trPr>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7" w14:textId="77777777" w:rsidR="00C1548D" w:rsidRDefault="009B1B4B">
            <w:pPr>
              <w:spacing w:line="250" w:lineRule="auto"/>
            </w:pPr>
            <w:r>
              <w:rPr>
                <w:sz w:val="18"/>
                <w:szCs w:val="18"/>
              </w:rPr>
              <w:t>Nebenkosten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8" w14:textId="77777777" w:rsidR="00C1548D" w:rsidRDefault="009B1B4B">
            <w:pPr>
              <w:spacing w:line="250" w:lineRule="auto"/>
            </w:pPr>
            <w:r>
              <w:rPr>
                <w:sz w:val="18"/>
                <w:szCs w:val="18"/>
              </w:rPr>
              <w:t>285 $</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9" w14:textId="52952B6B" w:rsidR="00C1548D" w:rsidRDefault="009B1B4B">
            <w:pPr>
              <w:spacing w:line="250" w:lineRule="auto"/>
            </w:pPr>
            <w:r>
              <w:rPr>
                <w:sz w:val="18"/>
                <w:szCs w:val="18"/>
              </w:rPr>
              <w:t>Strom, Gas, Wasser, Müll, Internet (Kapitel </w:t>
            </w:r>
            <w:hyperlink w:anchor="k13" w:history="1">
              <w:r>
                <w:rPr>
                  <w:sz w:val="18"/>
                  <w:szCs w:val="18"/>
                </w:rPr>
                <w:t>13</w:t>
              </w:r>
            </w:hyperlink>
            <w:r>
              <w:rPr>
                <w:sz w:val="18"/>
                <w:szCs w:val="18"/>
              </w:rPr>
              <w:t>)</w:t>
            </w:r>
          </w:p>
        </w:tc>
      </w:tr>
      <w:tr w:rsidR="00C1548D" w14:paraId="70A513CE" w14:textId="77777777">
        <w:tblPrEx>
          <w:tblCellMar>
            <w:top w:w="0" w:type="dxa"/>
            <w:bottom w:w="0" w:type="dxa"/>
          </w:tblCellMar>
        </w:tblPrEx>
        <w:trPr>
          <w:cantSplit/>
        </w:trPr>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B" w14:textId="77777777" w:rsidR="00C1548D" w:rsidRDefault="009B1B4B">
            <w:pPr>
              <w:spacing w:line="250" w:lineRule="auto"/>
            </w:pPr>
            <w:r>
              <w:rPr>
                <w:sz w:val="18"/>
                <w:szCs w:val="18"/>
              </w:rPr>
              <w:t>Krankenversicherung (Familientarif)</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C" w14:textId="77777777" w:rsidR="00C1548D" w:rsidRDefault="009B1B4B">
            <w:pPr>
              <w:spacing w:line="250" w:lineRule="auto"/>
            </w:pPr>
            <w:r>
              <w:rPr>
                <w:sz w:val="18"/>
                <w:szCs w:val="18"/>
              </w:rPr>
              <w:t>571 $</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D" w14:textId="48A60EDD" w:rsidR="00C1548D" w:rsidRDefault="009B1B4B">
            <w:pPr>
              <w:spacing w:line="250" w:lineRule="auto"/>
            </w:pPr>
            <w:r>
              <w:rPr>
                <w:sz w:val="18"/>
                <w:szCs w:val="18"/>
              </w:rPr>
              <w:t>Eigenanteil, bundesweiter Schnitt (Kapitel </w:t>
            </w:r>
            <w:hyperlink w:anchor="k26" w:history="1">
              <w:r>
                <w:rPr>
                  <w:sz w:val="18"/>
                  <w:szCs w:val="18"/>
                </w:rPr>
                <w:t>26</w:t>
              </w:r>
            </w:hyperlink>
            <w:r>
              <w:rPr>
                <w:sz w:val="18"/>
                <w:szCs w:val="18"/>
              </w:rPr>
              <w:t>, Kapitel </w:t>
            </w:r>
            <w:hyperlink w:anchor="k28" w:history="1">
              <w:r>
                <w:rPr>
                  <w:sz w:val="18"/>
                  <w:szCs w:val="18"/>
                </w:rPr>
                <w:t>28</w:t>
              </w:r>
            </w:hyperlink>
            <w:r>
              <w:rPr>
                <w:sz w:val="18"/>
                <w:szCs w:val="18"/>
              </w:rPr>
              <w:t>)</w:t>
            </w:r>
          </w:p>
        </w:tc>
      </w:tr>
      <w:tr w:rsidR="00C1548D" w14:paraId="70A513D2" w14:textId="77777777">
        <w:tblPrEx>
          <w:tblCellMar>
            <w:top w:w="0" w:type="dxa"/>
            <w:bottom w:w="0" w:type="dxa"/>
          </w:tblCellMar>
        </w:tblPrEx>
        <w:trPr>
          <w:cantSplit/>
        </w:trPr>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CF" w14:textId="77777777" w:rsidR="00C1548D" w:rsidRDefault="009B1B4B">
            <w:pPr>
              <w:spacing w:line="250" w:lineRule="auto"/>
            </w:pPr>
            <w:r>
              <w:rPr>
                <w:sz w:val="18"/>
                <w:szCs w:val="18"/>
              </w:rPr>
              <w:t>Lebensmittel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0" w14:textId="77777777" w:rsidR="00C1548D" w:rsidRDefault="009B1B4B">
            <w:pPr>
              <w:spacing w:line="250" w:lineRule="auto"/>
            </w:pPr>
            <w:r>
              <w:rPr>
                <w:sz w:val="18"/>
                <w:szCs w:val="18"/>
              </w:rPr>
              <w:t>1.380 $</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1" w14:textId="63DB5852" w:rsidR="00C1548D" w:rsidRDefault="009B1B4B">
            <w:pPr>
              <w:spacing w:line="250" w:lineRule="auto"/>
            </w:pPr>
            <w:r>
              <w:rPr>
                <w:sz w:val="18"/>
                <w:szCs w:val="18"/>
              </w:rPr>
              <w:t>USDA-Richtwert „Moderate“ für Paar mit zwei Grundschulkindern (Kapitel </w:t>
            </w:r>
            <w:hyperlink w:anchor="k35" w:history="1">
              <w:r>
                <w:rPr>
                  <w:sz w:val="18"/>
                  <w:szCs w:val="18"/>
                </w:rPr>
                <w:t>35</w:t>
              </w:r>
            </w:hyperlink>
            <w:r>
              <w:rPr>
                <w:sz w:val="18"/>
                <w:szCs w:val="18"/>
              </w:rPr>
              <w:t>)</w:t>
            </w:r>
          </w:p>
        </w:tc>
      </w:tr>
      <w:tr w:rsidR="00C1548D" w14:paraId="70A513D6" w14:textId="77777777">
        <w:tblPrEx>
          <w:tblCellMar>
            <w:top w:w="0" w:type="dxa"/>
            <w:bottom w:w="0" w:type="dxa"/>
          </w:tblCellMar>
        </w:tblPrEx>
        <w:trPr>
          <w:cantSplit/>
        </w:trPr>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3" w14:textId="77777777" w:rsidR="00C1548D" w:rsidRDefault="009B1B4B">
            <w:pPr>
              <w:spacing w:line="250" w:lineRule="auto"/>
            </w:pPr>
            <w:r>
              <w:rPr>
                <w:sz w:val="18"/>
                <w:szCs w:val="18"/>
              </w:rPr>
              <w:t>Auto und Versicherung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4" w14:textId="77777777" w:rsidR="00C1548D" w:rsidRDefault="009B1B4B">
            <w:pPr>
              <w:spacing w:line="250" w:lineRule="auto"/>
            </w:pPr>
            <w:r>
              <w:rPr>
                <w:sz w:val="18"/>
                <w:szCs w:val="18"/>
              </w:rPr>
              <w:t>662 $</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5" w14:textId="32600AD8" w:rsidR="00C1548D" w:rsidRDefault="009B1B4B">
            <w:pPr>
              <w:spacing w:line="250" w:lineRule="auto"/>
            </w:pPr>
            <w:r>
              <w:rPr>
                <w:sz w:val="18"/>
                <w:szCs w:val="18"/>
              </w:rPr>
              <w:t>Kreditrate und Versicherung (Kapitel </w:t>
            </w:r>
            <w:hyperlink w:anchor="k27" w:history="1">
              <w:r>
                <w:rPr>
                  <w:sz w:val="18"/>
                  <w:szCs w:val="18"/>
                </w:rPr>
                <w:t>27</w:t>
              </w:r>
            </w:hyperlink>
            <w:r>
              <w:rPr>
                <w:sz w:val="18"/>
                <w:szCs w:val="18"/>
              </w:rPr>
              <w:t>)</w:t>
            </w:r>
          </w:p>
        </w:tc>
      </w:tr>
      <w:tr w:rsidR="00C1548D" w14:paraId="70A513DA" w14:textId="77777777">
        <w:tblPrEx>
          <w:tblCellMar>
            <w:top w:w="0" w:type="dxa"/>
            <w:bottom w:w="0" w:type="dxa"/>
          </w:tblCellMar>
        </w:tblPrEx>
        <w:trPr>
          <w:cantSplit/>
        </w:trPr>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7" w14:textId="77777777" w:rsidR="00C1548D" w:rsidRDefault="009B1B4B">
            <w:pPr>
              <w:spacing w:line="250" w:lineRule="auto"/>
            </w:pPr>
            <w:r>
              <w:rPr>
                <w:sz w:val="18"/>
                <w:szCs w:val="18"/>
              </w:rPr>
              <w:t>Kinderbetreuung/Schule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8" w14:textId="77777777" w:rsidR="00C1548D" w:rsidRDefault="009B1B4B">
            <w:pPr>
              <w:spacing w:line="250" w:lineRule="auto"/>
            </w:pPr>
            <w:r>
              <w:rPr>
                <w:sz w:val="18"/>
                <w:szCs w:val="18"/>
              </w:rPr>
              <w:t>0 $</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9" w14:textId="00842A2C" w:rsidR="00C1548D" w:rsidRDefault="009B1B4B">
            <w:pPr>
              <w:spacing w:line="250" w:lineRule="auto"/>
            </w:pPr>
            <w:r>
              <w:rPr>
                <w:sz w:val="18"/>
                <w:szCs w:val="18"/>
              </w:rPr>
              <w:t>Ein Elternteil betreut die Kinder; öffentliche Schule kostenfrei (Kapitel </w:t>
            </w:r>
            <w:hyperlink w:anchor="k3" w:history="1">
              <w:r>
                <w:rPr>
                  <w:sz w:val="18"/>
                  <w:szCs w:val="18"/>
                </w:rPr>
                <w:t>3</w:t>
              </w:r>
            </w:hyperlink>
            <w:r>
              <w:rPr>
                <w:sz w:val="18"/>
                <w:szCs w:val="18"/>
              </w:rPr>
              <w:t>, Kapitel </w:t>
            </w:r>
            <w:hyperlink w:anchor="k38" w:history="1">
              <w:r>
                <w:rPr>
                  <w:sz w:val="18"/>
                  <w:szCs w:val="18"/>
                </w:rPr>
                <w:t>38</w:t>
              </w:r>
            </w:hyperlink>
            <w:r>
              <w:rPr>
                <w:sz w:val="18"/>
                <w:szCs w:val="18"/>
              </w:rPr>
              <w:t>)</w:t>
            </w:r>
          </w:p>
        </w:tc>
      </w:tr>
      <w:tr w:rsidR="00C1548D" w14:paraId="70A513DE" w14:textId="77777777">
        <w:tblPrEx>
          <w:tblCellMar>
            <w:top w:w="0" w:type="dxa"/>
            <w:bottom w:w="0" w:type="dxa"/>
          </w:tblCellMar>
        </w:tblPrEx>
        <w:trPr>
          <w:cantSplit/>
        </w:trPr>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B" w14:textId="77777777" w:rsidR="00C1548D" w:rsidRDefault="009B1B4B">
            <w:pPr>
              <w:spacing w:line="250" w:lineRule="auto"/>
            </w:pPr>
            <w:r>
              <w:rPr>
                <w:sz w:val="18"/>
                <w:szCs w:val="18"/>
              </w:rPr>
              <w:t>Sonstiges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C" w14:textId="77777777" w:rsidR="00C1548D" w:rsidRDefault="009B1B4B">
            <w:pPr>
              <w:spacing w:line="250" w:lineRule="auto"/>
            </w:pPr>
            <w:r>
              <w:rPr>
                <w:sz w:val="18"/>
                <w:szCs w:val="18"/>
              </w:rPr>
              <w:t>250 $</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D" w14:textId="46290805" w:rsidR="00C1548D" w:rsidRDefault="009B1B4B">
            <w:pPr>
              <w:spacing w:line="250" w:lineRule="auto"/>
            </w:pPr>
            <w:r>
              <w:rPr>
                <w:sz w:val="18"/>
                <w:szCs w:val="18"/>
              </w:rPr>
              <w:t>Mietversicherung, Restaurant/Lieferdienst (Kapitel </w:t>
            </w:r>
            <w:hyperlink w:anchor="k13" w:history="1">
              <w:r>
                <w:rPr>
                  <w:sz w:val="18"/>
                  <w:szCs w:val="18"/>
                </w:rPr>
                <w:t>13</w:t>
              </w:r>
            </w:hyperlink>
            <w:r>
              <w:rPr>
                <w:sz w:val="18"/>
                <w:szCs w:val="18"/>
              </w:rPr>
              <w:t>, Kapitel </w:t>
            </w:r>
            <w:hyperlink w:anchor="k35" w:history="1">
              <w:r>
                <w:rPr>
                  <w:sz w:val="18"/>
                  <w:szCs w:val="18"/>
                </w:rPr>
                <w:t>35</w:t>
              </w:r>
            </w:hyperlink>
            <w:r>
              <w:rPr>
                <w:sz w:val="18"/>
                <w:szCs w:val="18"/>
              </w:rPr>
              <w:t>)</w:t>
            </w:r>
          </w:p>
        </w:tc>
      </w:tr>
      <w:tr w:rsidR="00C1548D" w14:paraId="70A513E2" w14:textId="77777777">
        <w:tblPrEx>
          <w:tblCellMar>
            <w:top w:w="0" w:type="dxa"/>
            <w:bottom w:w="0" w:type="dxa"/>
          </w:tblCellMar>
        </w:tblPrEx>
        <w:trPr>
          <w:cantSplit/>
        </w:trPr>
        <w:tc>
          <w:tcPr>
            <w:tcW w:w="195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DF" w14:textId="77777777" w:rsidR="00C1548D" w:rsidRDefault="009B1B4B">
            <w:pPr>
              <w:spacing w:line="250" w:lineRule="auto"/>
            </w:pPr>
            <w:r>
              <w:rPr>
                <w:b/>
                <w:bCs/>
                <w:sz w:val="18"/>
                <w:szCs w:val="18"/>
              </w:rPr>
              <w:t>Netto verfügbares Einkommen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E0" w14:textId="77777777" w:rsidR="00C1548D" w:rsidRDefault="009B1B4B">
            <w:pPr>
              <w:spacing w:line="250" w:lineRule="auto"/>
            </w:pPr>
            <w:r>
              <w:rPr>
                <w:b/>
                <w:bCs/>
                <w:sz w:val="18"/>
                <w:szCs w:val="18"/>
              </w:rPr>
              <w:t>5.389 $</w:t>
            </w:r>
          </w:p>
        </w:tc>
        <w:tc>
          <w:tcPr>
            <w:tcW w:w="357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E1" w14:textId="77777777" w:rsidR="00C1548D" w:rsidRDefault="009B1B4B">
            <w:pPr>
              <w:spacing w:line="250" w:lineRule="auto"/>
            </w:pPr>
            <w:r>
              <w:rPr>
                <w:sz w:val="18"/>
                <w:szCs w:val="18"/>
              </w:rPr>
              <w:t>entspricht 52,1 % des Nettos nach Steuern</w:t>
            </w:r>
          </w:p>
        </w:tc>
      </w:tr>
    </w:tbl>
    <w:p w14:paraId="70A513E3" w14:textId="77777777" w:rsidR="00C1548D" w:rsidRDefault="00C1548D">
      <w:pPr>
        <w:spacing w:line="180" w:lineRule="exact"/>
      </w:pPr>
    </w:p>
    <w:p w14:paraId="70A513E4" w14:textId="77777777" w:rsidR="00C1548D" w:rsidRDefault="009B1B4B">
      <w:pPr>
        <w:pStyle w:val="Heading3"/>
        <w:keepNext/>
        <w:jc w:val="center"/>
      </w:pPr>
      <w:r>
        <w:rPr>
          <w:rFonts w:ascii="Amazon Ember" w:eastAsia="Amazon Ember" w:hAnsi="Amazon Ember" w:cs="Amazon Ember"/>
          <w:color w:val="0000FF"/>
          <w:sz w:val="36"/>
          <w:szCs w:val="36"/>
        </w:rPr>
        <w:t>San Francisco Bay Area, Kalifornien – teure Region</w:t>
      </w:r>
    </w:p>
    <w:p w14:paraId="70A513E5" w14:textId="7A0CF625" w:rsidR="00C1548D" w:rsidRDefault="009B1B4B">
      <w:pPr>
        <w:spacing w:after="140"/>
      </w:pPr>
      <w:r>
        <w:t>Kalifornien hat mit bis zu 13,3 % den höchsten Spitzensteuersatz im Buch, dazu die zusätzliche Staatsumlage SDI (Kapitel </w:t>
      </w:r>
      <w:hyperlink w:anchor="k28" w:history="1">
        <w:r>
          <w:t>28</w:t>
        </w:r>
      </w:hyperlink>
      <w:r>
        <w:t xml:space="preserve">). Miete und </w:t>
      </w:r>
      <w:r>
        <w:lastRenderedPageBreak/>
        <w:t>Kaufpreise zählen zu den höchsten aller im Buch behandelten Metropolregionen (Kapitel </w:t>
      </w:r>
      <w:hyperlink w:anchor="k12" w:history="1">
        <w:r>
          <w:t>12</w:t>
        </w:r>
      </w:hyperlink>
      <w:r>
        <w: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1"/>
        <w:gridCol w:w="950"/>
        <w:gridCol w:w="3459"/>
      </w:tblGrid>
      <w:tr w:rsidR="00C1548D" w14:paraId="70A513E9" w14:textId="77777777">
        <w:tblPrEx>
          <w:tblCellMar>
            <w:top w:w="0" w:type="dxa"/>
            <w:bottom w:w="0" w:type="dxa"/>
          </w:tblCellMar>
        </w:tblPrEx>
        <w:trPr>
          <w:cantSplit/>
          <w:tblHeader/>
        </w:trPr>
        <w:tc>
          <w:tcPr>
            <w:tcW w:w="207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E6" w14:textId="77777777" w:rsidR="00C1548D" w:rsidRDefault="009B1B4B">
            <w:pPr>
              <w:spacing w:line="250" w:lineRule="auto"/>
            </w:pPr>
            <w:r>
              <w:rPr>
                <w:b/>
                <w:bCs/>
                <w:sz w:val="18"/>
                <w:szCs w:val="18"/>
              </w:rPr>
              <w:t>Posten</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E7" w14:textId="77777777" w:rsidR="00C1548D" w:rsidRDefault="009B1B4B">
            <w:pPr>
              <w:spacing w:line="250" w:lineRule="auto"/>
            </w:pPr>
            <w:r>
              <w:rPr>
                <w:b/>
                <w:bCs/>
                <w:sz w:val="18"/>
                <w:szCs w:val="18"/>
              </w:rPr>
              <w:t>Betrag pro Monat</w:t>
            </w:r>
          </w:p>
        </w:tc>
        <w:tc>
          <w:tcPr>
            <w:tcW w:w="345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3E8" w14:textId="77777777" w:rsidR="00C1548D" w:rsidRDefault="009B1B4B">
            <w:pPr>
              <w:spacing w:line="250" w:lineRule="auto"/>
            </w:pPr>
            <w:r>
              <w:rPr>
                <w:b/>
                <w:bCs/>
                <w:sz w:val="18"/>
                <w:szCs w:val="18"/>
              </w:rPr>
              <w:t>Anmerkung</w:t>
            </w:r>
          </w:p>
        </w:tc>
      </w:tr>
      <w:tr w:rsidR="00C1548D" w14:paraId="70A513ED"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EA" w14:textId="77777777" w:rsidR="00C1548D" w:rsidRDefault="009B1B4B">
            <w:pPr>
              <w:spacing w:line="250" w:lineRule="auto"/>
            </w:pPr>
            <w:r>
              <w:rPr>
                <w:sz w:val="18"/>
                <w:szCs w:val="18"/>
              </w:rPr>
              <w:t>Bruttogehalt (Familie)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EB" w14:textId="77777777" w:rsidR="00C1548D" w:rsidRDefault="009B1B4B">
            <w:pPr>
              <w:spacing w:line="250" w:lineRule="auto"/>
            </w:pPr>
            <w:r>
              <w:rPr>
                <w:sz w:val="18"/>
                <w:szCs w:val="18"/>
              </w:rPr>
              <w:t>12.500 $</w:t>
            </w:r>
          </w:p>
        </w:tc>
        <w:tc>
          <w:tcPr>
            <w:tcW w:w="34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EC" w14:textId="145FD032" w:rsidR="00C1548D" w:rsidRDefault="009B1B4B">
            <w:pPr>
              <w:spacing w:line="250" w:lineRule="auto"/>
            </w:pPr>
            <w:r>
              <w:rPr>
                <w:sz w:val="18"/>
                <w:szCs w:val="18"/>
              </w:rPr>
              <w:t>Ehepaar, ein Einkommen (Kapitel </w:t>
            </w:r>
            <w:hyperlink w:anchor="k3" w:history="1">
              <w:r>
                <w:rPr>
                  <w:sz w:val="18"/>
                  <w:szCs w:val="18"/>
                </w:rPr>
                <w:t>3</w:t>
              </w:r>
            </w:hyperlink>
            <w:r>
              <w:rPr>
                <w:sz w:val="18"/>
                <w:szCs w:val="18"/>
              </w:rPr>
              <w:t>, Kapitel </w:t>
            </w:r>
            <w:hyperlink w:anchor="k28" w:history="1">
              <w:r>
                <w:rPr>
                  <w:sz w:val="18"/>
                  <w:szCs w:val="18"/>
                </w:rPr>
                <w:t>28</w:t>
              </w:r>
            </w:hyperlink>
            <w:r>
              <w:rPr>
                <w:sz w:val="18"/>
                <w:szCs w:val="18"/>
              </w:rPr>
              <w:t>)</w:t>
            </w:r>
          </w:p>
        </w:tc>
      </w:tr>
      <w:tr w:rsidR="00C1548D" w14:paraId="70A513F1"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EE" w14:textId="77777777" w:rsidR="00C1548D" w:rsidRDefault="009B1B4B">
            <w:pPr>
              <w:spacing w:line="250" w:lineRule="auto"/>
            </w:pPr>
            <w:r>
              <w:rPr>
                <w:sz w:val="18"/>
                <w:szCs w:val="18"/>
              </w:rPr>
              <w:t>Steuern und Sozialabgaben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EF" w14:textId="77777777" w:rsidR="00C1548D" w:rsidRDefault="009B1B4B">
            <w:pPr>
              <w:spacing w:line="250" w:lineRule="auto"/>
            </w:pPr>
            <w:r>
              <w:rPr>
                <w:sz w:val="18"/>
                <w:szCs w:val="18"/>
              </w:rPr>
              <w:t>2.697 $</w:t>
            </w:r>
          </w:p>
        </w:tc>
        <w:tc>
          <w:tcPr>
            <w:tcW w:w="34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0" w14:textId="5CBC600D" w:rsidR="00C1548D" w:rsidRDefault="009B1B4B">
            <w:pPr>
              <w:spacing w:line="250" w:lineRule="auto"/>
            </w:pPr>
            <w:r>
              <w:rPr>
                <w:sz w:val="18"/>
                <w:szCs w:val="18"/>
              </w:rPr>
              <w:t>Bund, FICA, Kalifornien-Steuer inklusive SDI; Kinder mit ITIN (Kapitel </w:t>
            </w:r>
            <w:hyperlink w:anchor="k28" w:history="1">
              <w:r>
                <w:rPr>
                  <w:sz w:val="18"/>
                  <w:szCs w:val="18"/>
                </w:rPr>
                <w:t>28</w:t>
              </w:r>
            </w:hyperlink>
            <w:r>
              <w:rPr>
                <w:sz w:val="18"/>
                <w:szCs w:val="18"/>
              </w:rPr>
              <w:t>)</w:t>
            </w:r>
          </w:p>
        </w:tc>
      </w:tr>
      <w:tr w:rsidR="00C1548D" w14:paraId="70A513F5"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2" w14:textId="77777777" w:rsidR="00C1548D" w:rsidRDefault="009B1B4B">
            <w:pPr>
              <w:spacing w:line="250" w:lineRule="auto"/>
            </w:pPr>
            <w:r>
              <w:rPr>
                <w:sz w:val="18"/>
                <w:szCs w:val="18"/>
              </w:rPr>
              <w:t>Netto nach Steuern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3" w14:textId="77777777" w:rsidR="00C1548D" w:rsidRDefault="009B1B4B">
            <w:pPr>
              <w:spacing w:line="250" w:lineRule="auto"/>
            </w:pPr>
            <w:r>
              <w:rPr>
                <w:sz w:val="18"/>
                <w:szCs w:val="18"/>
              </w:rPr>
              <w:t>9.803 $</w:t>
            </w:r>
          </w:p>
        </w:tc>
        <w:tc>
          <w:tcPr>
            <w:tcW w:w="34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4" w14:textId="25807741" w:rsidR="00C1548D" w:rsidRDefault="009B1B4B">
            <w:pPr>
              <w:spacing w:line="250" w:lineRule="auto"/>
            </w:pPr>
            <w:r>
              <w:rPr>
                <w:sz w:val="18"/>
                <w:szCs w:val="18"/>
              </w:rPr>
              <w:t>Kapitel </w:t>
            </w:r>
            <w:hyperlink w:anchor="k28" w:history="1">
              <w:r>
                <w:rPr>
                  <w:sz w:val="18"/>
                  <w:szCs w:val="18"/>
                </w:rPr>
                <w:t>28</w:t>
              </w:r>
            </w:hyperlink>
          </w:p>
        </w:tc>
      </w:tr>
      <w:tr w:rsidR="00C1548D" w14:paraId="70A513F9"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6" w14:textId="77777777" w:rsidR="00C1548D" w:rsidRDefault="009B1B4B">
            <w:pPr>
              <w:spacing w:line="250" w:lineRule="auto"/>
            </w:pPr>
            <w:r>
              <w:rPr>
                <w:sz w:val="18"/>
                <w:szCs w:val="18"/>
              </w:rPr>
              <w:t>Miete (2-Zimmer-Wohnung, San Francisco)</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7" w14:textId="77777777" w:rsidR="00C1548D" w:rsidRDefault="009B1B4B">
            <w:pPr>
              <w:spacing w:line="250" w:lineRule="auto"/>
            </w:pPr>
            <w:r>
              <w:rPr>
                <w:sz w:val="18"/>
                <w:szCs w:val="18"/>
              </w:rPr>
              <w:t>4.998 $</w:t>
            </w:r>
          </w:p>
        </w:tc>
        <w:tc>
          <w:tcPr>
            <w:tcW w:w="34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8" w14:textId="5A201B3E" w:rsidR="00C1548D" w:rsidRDefault="009B1B4B">
            <w:pPr>
              <w:spacing w:line="250" w:lineRule="auto"/>
            </w:pPr>
            <w:r>
              <w:rPr>
                <w:sz w:val="18"/>
                <w:szCs w:val="18"/>
              </w:rPr>
              <w:t>Kapitel </w:t>
            </w:r>
            <w:hyperlink w:anchor="k13" w:history="1">
              <w:r>
                <w:rPr>
                  <w:sz w:val="18"/>
                  <w:szCs w:val="18"/>
                </w:rPr>
                <w:t>13</w:t>
              </w:r>
            </w:hyperlink>
          </w:p>
        </w:tc>
      </w:tr>
      <w:tr w:rsidR="00C1548D" w14:paraId="70A513FD"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A" w14:textId="77777777" w:rsidR="00C1548D" w:rsidRDefault="009B1B4B">
            <w:pPr>
              <w:spacing w:line="250" w:lineRule="auto"/>
            </w:pPr>
            <w:r>
              <w:rPr>
                <w:sz w:val="18"/>
                <w:szCs w:val="18"/>
              </w:rPr>
              <w:t>Nebenkosten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B" w14:textId="77777777" w:rsidR="00C1548D" w:rsidRDefault="009B1B4B">
            <w:pPr>
              <w:spacing w:line="250" w:lineRule="auto"/>
            </w:pPr>
            <w:r>
              <w:rPr>
                <w:sz w:val="18"/>
                <w:szCs w:val="18"/>
              </w:rPr>
              <w:t>285 $</w:t>
            </w:r>
          </w:p>
        </w:tc>
        <w:tc>
          <w:tcPr>
            <w:tcW w:w="34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C" w14:textId="57B6278D" w:rsidR="00C1548D" w:rsidRDefault="009B1B4B">
            <w:pPr>
              <w:spacing w:line="250" w:lineRule="auto"/>
            </w:pPr>
            <w:r>
              <w:rPr>
                <w:sz w:val="18"/>
                <w:szCs w:val="18"/>
              </w:rPr>
              <w:t>Strom, Gas, Wasser, Müll, Internet (Kapitel </w:t>
            </w:r>
            <w:hyperlink w:anchor="k13" w:history="1">
              <w:r>
                <w:rPr>
                  <w:sz w:val="18"/>
                  <w:szCs w:val="18"/>
                </w:rPr>
                <w:t>13</w:t>
              </w:r>
            </w:hyperlink>
            <w:r>
              <w:rPr>
                <w:sz w:val="18"/>
                <w:szCs w:val="18"/>
              </w:rPr>
              <w:t>)</w:t>
            </w:r>
          </w:p>
        </w:tc>
      </w:tr>
      <w:tr w:rsidR="00C1548D" w14:paraId="70A51401"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E" w14:textId="77777777" w:rsidR="00C1548D" w:rsidRDefault="009B1B4B">
            <w:pPr>
              <w:spacing w:line="250" w:lineRule="auto"/>
            </w:pPr>
            <w:r>
              <w:rPr>
                <w:sz w:val="18"/>
                <w:szCs w:val="18"/>
              </w:rPr>
              <w:t>Krankenversicherung (Familientarif)</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3FF" w14:textId="77777777" w:rsidR="00C1548D" w:rsidRDefault="009B1B4B">
            <w:pPr>
              <w:spacing w:line="250" w:lineRule="auto"/>
            </w:pPr>
            <w:r>
              <w:rPr>
                <w:sz w:val="18"/>
                <w:szCs w:val="18"/>
              </w:rPr>
              <w:t>571 $</w:t>
            </w:r>
          </w:p>
        </w:tc>
        <w:tc>
          <w:tcPr>
            <w:tcW w:w="34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0" w14:textId="6CA47986" w:rsidR="00C1548D" w:rsidRDefault="009B1B4B">
            <w:pPr>
              <w:spacing w:line="250" w:lineRule="auto"/>
            </w:pPr>
            <w:r>
              <w:rPr>
                <w:sz w:val="18"/>
                <w:szCs w:val="18"/>
              </w:rPr>
              <w:t>Eigenanteil, bundesweiter Schnitt (Kapitel </w:t>
            </w:r>
            <w:hyperlink w:anchor="k26" w:history="1">
              <w:r>
                <w:rPr>
                  <w:sz w:val="18"/>
                  <w:szCs w:val="18"/>
                </w:rPr>
                <w:t>26</w:t>
              </w:r>
            </w:hyperlink>
            <w:r>
              <w:rPr>
                <w:sz w:val="18"/>
                <w:szCs w:val="18"/>
              </w:rPr>
              <w:t>, Kapitel </w:t>
            </w:r>
            <w:hyperlink w:anchor="k28" w:history="1">
              <w:r>
                <w:rPr>
                  <w:sz w:val="18"/>
                  <w:szCs w:val="18"/>
                </w:rPr>
                <w:t>28</w:t>
              </w:r>
            </w:hyperlink>
            <w:r>
              <w:rPr>
                <w:sz w:val="18"/>
                <w:szCs w:val="18"/>
              </w:rPr>
              <w:t>)</w:t>
            </w:r>
          </w:p>
        </w:tc>
      </w:tr>
      <w:tr w:rsidR="00C1548D" w14:paraId="70A51405"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2" w14:textId="77777777" w:rsidR="00C1548D" w:rsidRDefault="009B1B4B">
            <w:pPr>
              <w:spacing w:line="250" w:lineRule="auto"/>
            </w:pPr>
            <w:r>
              <w:rPr>
                <w:sz w:val="18"/>
                <w:szCs w:val="18"/>
              </w:rPr>
              <w:t>Lebensmittel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3" w14:textId="77777777" w:rsidR="00C1548D" w:rsidRDefault="009B1B4B">
            <w:pPr>
              <w:spacing w:line="250" w:lineRule="auto"/>
            </w:pPr>
            <w:r>
              <w:rPr>
                <w:sz w:val="18"/>
                <w:szCs w:val="18"/>
              </w:rPr>
              <w:t>1.670 $</w:t>
            </w:r>
          </w:p>
        </w:tc>
        <w:tc>
          <w:tcPr>
            <w:tcW w:w="34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4" w14:textId="5D97F7D2" w:rsidR="00C1548D" w:rsidRDefault="009B1B4B">
            <w:pPr>
              <w:spacing w:line="250" w:lineRule="auto"/>
            </w:pPr>
            <w:r>
              <w:rPr>
                <w:sz w:val="18"/>
                <w:szCs w:val="18"/>
              </w:rPr>
              <w:t>USDA-Richtwert „Liberal“ für Paar mit zwei Grundschulkindern (Kapitel </w:t>
            </w:r>
            <w:hyperlink w:anchor="k35" w:history="1">
              <w:r>
                <w:rPr>
                  <w:sz w:val="18"/>
                  <w:szCs w:val="18"/>
                </w:rPr>
                <w:t>35</w:t>
              </w:r>
            </w:hyperlink>
            <w:r>
              <w:rPr>
                <w:sz w:val="18"/>
                <w:szCs w:val="18"/>
              </w:rPr>
              <w:t>)</w:t>
            </w:r>
          </w:p>
        </w:tc>
      </w:tr>
      <w:tr w:rsidR="00C1548D" w14:paraId="70A51409"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6" w14:textId="77777777" w:rsidR="00C1548D" w:rsidRDefault="009B1B4B">
            <w:pPr>
              <w:spacing w:line="250" w:lineRule="auto"/>
            </w:pPr>
            <w:r>
              <w:rPr>
                <w:sz w:val="18"/>
                <w:szCs w:val="18"/>
              </w:rPr>
              <w:t>Auto und Versicherung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7" w14:textId="77777777" w:rsidR="00C1548D" w:rsidRDefault="009B1B4B">
            <w:pPr>
              <w:spacing w:line="250" w:lineRule="auto"/>
            </w:pPr>
            <w:r>
              <w:rPr>
                <w:sz w:val="18"/>
                <w:szCs w:val="18"/>
              </w:rPr>
              <w:t>662 $</w:t>
            </w:r>
          </w:p>
        </w:tc>
        <w:tc>
          <w:tcPr>
            <w:tcW w:w="34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8" w14:textId="0598F5F0" w:rsidR="00C1548D" w:rsidRDefault="009B1B4B">
            <w:pPr>
              <w:spacing w:line="250" w:lineRule="auto"/>
            </w:pPr>
            <w:r>
              <w:rPr>
                <w:sz w:val="18"/>
                <w:szCs w:val="18"/>
              </w:rPr>
              <w:t>Kreditrate und Versicherung (Kapitel </w:t>
            </w:r>
            <w:hyperlink w:anchor="k27" w:history="1">
              <w:r>
                <w:rPr>
                  <w:sz w:val="18"/>
                  <w:szCs w:val="18"/>
                </w:rPr>
                <w:t>27</w:t>
              </w:r>
            </w:hyperlink>
            <w:r>
              <w:rPr>
                <w:sz w:val="18"/>
                <w:szCs w:val="18"/>
              </w:rPr>
              <w:t>)</w:t>
            </w:r>
          </w:p>
        </w:tc>
      </w:tr>
      <w:tr w:rsidR="00C1548D" w14:paraId="70A5140D"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A" w14:textId="77777777" w:rsidR="00C1548D" w:rsidRDefault="009B1B4B">
            <w:pPr>
              <w:spacing w:line="250" w:lineRule="auto"/>
            </w:pPr>
            <w:r>
              <w:rPr>
                <w:sz w:val="18"/>
                <w:szCs w:val="18"/>
              </w:rPr>
              <w:t>Kinderbetreuung/Schule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B" w14:textId="77777777" w:rsidR="00C1548D" w:rsidRDefault="009B1B4B">
            <w:pPr>
              <w:spacing w:line="250" w:lineRule="auto"/>
            </w:pPr>
            <w:r>
              <w:rPr>
                <w:sz w:val="18"/>
                <w:szCs w:val="18"/>
              </w:rPr>
              <w:t>0 $</w:t>
            </w:r>
          </w:p>
        </w:tc>
        <w:tc>
          <w:tcPr>
            <w:tcW w:w="34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C" w14:textId="696EEFB0" w:rsidR="00C1548D" w:rsidRDefault="009B1B4B">
            <w:pPr>
              <w:spacing w:line="250" w:lineRule="auto"/>
            </w:pPr>
            <w:r>
              <w:rPr>
                <w:sz w:val="18"/>
                <w:szCs w:val="18"/>
              </w:rPr>
              <w:t>Ein Elternteil betreut die Kinder; öffentliche Schule kostenfrei (Kapitel </w:t>
            </w:r>
            <w:hyperlink w:anchor="k3" w:history="1">
              <w:r>
                <w:rPr>
                  <w:sz w:val="18"/>
                  <w:szCs w:val="18"/>
                </w:rPr>
                <w:t>3</w:t>
              </w:r>
            </w:hyperlink>
            <w:r>
              <w:rPr>
                <w:sz w:val="18"/>
                <w:szCs w:val="18"/>
              </w:rPr>
              <w:t>, Kapitel </w:t>
            </w:r>
            <w:hyperlink w:anchor="k38" w:history="1">
              <w:r>
                <w:rPr>
                  <w:sz w:val="18"/>
                  <w:szCs w:val="18"/>
                </w:rPr>
                <w:t>38</w:t>
              </w:r>
            </w:hyperlink>
            <w:r>
              <w:rPr>
                <w:sz w:val="18"/>
                <w:szCs w:val="18"/>
              </w:rPr>
              <w:t>)</w:t>
            </w:r>
          </w:p>
        </w:tc>
      </w:tr>
      <w:tr w:rsidR="00C1548D" w14:paraId="70A51411"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E" w14:textId="77777777" w:rsidR="00C1548D" w:rsidRDefault="009B1B4B">
            <w:pPr>
              <w:spacing w:line="250" w:lineRule="auto"/>
            </w:pPr>
            <w:r>
              <w:rPr>
                <w:sz w:val="18"/>
                <w:szCs w:val="18"/>
              </w:rPr>
              <w:t>Sonstiges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0F" w14:textId="77777777" w:rsidR="00C1548D" w:rsidRDefault="009B1B4B">
            <w:pPr>
              <w:spacing w:line="250" w:lineRule="auto"/>
            </w:pPr>
            <w:r>
              <w:rPr>
                <w:sz w:val="18"/>
                <w:szCs w:val="18"/>
              </w:rPr>
              <w:t>250 $</w:t>
            </w:r>
          </w:p>
        </w:tc>
        <w:tc>
          <w:tcPr>
            <w:tcW w:w="34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10" w14:textId="501FDE83" w:rsidR="00C1548D" w:rsidRDefault="009B1B4B">
            <w:pPr>
              <w:spacing w:line="250" w:lineRule="auto"/>
            </w:pPr>
            <w:r>
              <w:rPr>
                <w:sz w:val="18"/>
                <w:szCs w:val="18"/>
              </w:rPr>
              <w:t>Mietversicherung, Restaurant/Lieferdienst (Kapitel </w:t>
            </w:r>
            <w:hyperlink w:anchor="k13" w:history="1">
              <w:r>
                <w:rPr>
                  <w:sz w:val="18"/>
                  <w:szCs w:val="18"/>
                </w:rPr>
                <w:t>13</w:t>
              </w:r>
            </w:hyperlink>
            <w:r>
              <w:rPr>
                <w:sz w:val="18"/>
                <w:szCs w:val="18"/>
              </w:rPr>
              <w:t>, Kapitel </w:t>
            </w:r>
            <w:hyperlink w:anchor="k35" w:history="1">
              <w:r>
                <w:rPr>
                  <w:sz w:val="18"/>
                  <w:szCs w:val="18"/>
                </w:rPr>
                <w:t>35</w:t>
              </w:r>
            </w:hyperlink>
            <w:r>
              <w:rPr>
                <w:sz w:val="18"/>
                <w:szCs w:val="18"/>
              </w:rPr>
              <w:t>)</w:t>
            </w:r>
          </w:p>
        </w:tc>
      </w:tr>
      <w:tr w:rsidR="00C1548D" w14:paraId="70A51415" w14:textId="77777777">
        <w:tblPrEx>
          <w:tblCellMar>
            <w:top w:w="0" w:type="dxa"/>
            <w:bottom w:w="0" w:type="dxa"/>
          </w:tblCellMar>
        </w:tblPrEx>
        <w:trPr>
          <w:cantSplit/>
        </w:trPr>
        <w:tc>
          <w:tcPr>
            <w:tcW w:w="20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12" w14:textId="77777777" w:rsidR="00C1548D" w:rsidRDefault="009B1B4B">
            <w:pPr>
              <w:spacing w:line="250" w:lineRule="auto"/>
            </w:pPr>
            <w:r>
              <w:rPr>
                <w:b/>
                <w:bCs/>
                <w:sz w:val="18"/>
                <w:szCs w:val="18"/>
              </w:rPr>
              <w:t>Netto verfügbares Einkommen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13" w14:textId="77777777" w:rsidR="00C1548D" w:rsidRDefault="009B1B4B">
            <w:pPr>
              <w:spacing w:line="250" w:lineRule="auto"/>
            </w:pPr>
            <w:r>
              <w:rPr>
                <w:b/>
                <w:bCs/>
                <w:sz w:val="18"/>
                <w:szCs w:val="18"/>
              </w:rPr>
              <w:t>1.367 $</w:t>
            </w:r>
          </w:p>
        </w:tc>
        <w:tc>
          <w:tcPr>
            <w:tcW w:w="34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14" w14:textId="77777777" w:rsidR="00C1548D" w:rsidRDefault="009B1B4B">
            <w:pPr>
              <w:spacing w:line="250" w:lineRule="auto"/>
            </w:pPr>
            <w:r>
              <w:rPr>
                <w:sz w:val="18"/>
                <w:szCs w:val="18"/>
              </w:rPr>
              <w:t>entspricht 13,9 % des Nettos nach Steuern</w:t>
            </w:r>
          </w:p>
        </w:tc>
      </w:tr>
    </w:tbl>
    <w:p w14:paraId="70A51416" w14:textId="77777777" w:rsidR="00C1548D" w:rsidRDefault="00C1548D">
      <w:pPr>
        <w:spacing w:line="180" w:lineRule="exact"/>
      </w:pPr>
    </w:p>
    <w:p w14:paraId="70A51417" w14:textId="77777777" w:rsidR="00C1548D" w:rsidRDefault="009B1B4B">
      <w:pPr>
        <w:pStyle w:val="Heading3"/>
        <w:keepNext/>
        <w:jc w:val="center"/>
      </w:pPr>
      <w:r>
        <w:rPr>
          <w:rFonts w:ascii="Amazon Ember" w:eastAsia="Amazon Ember" w:hAnsi="Amazon Ember" w:cs="Amazon Ember"/>
          <w:color w:val="0000FF"/>
          <w:sz w:val="36"/>
          <w:szCs w:val="36"/>
        </w:rPr>
        <w:t>Was der Vergleich zeigt</w:t>
      </w:r>
    </w:p>
    <w:p w14:paraId="70A51418" w14:textId="37F50616" w:rsidR="00C1548D" w:rsidRDefault="009B1B4B">
      <w:pPr>
        <w:spacing w:after="140"/>
      </w:pPr>
      <w:r>
        <w:t>Bei identischem Bruttogehalt bleibt der Familie in Texas mit 5.389 $ am meisten, in Michigan mit 4.442 $ deutlich weniger und in Kalifornien mit 1.367 $ nur ein kleiner Rest – nicht wegen der Steuer allein, sondern vor allem wegen der Miete (Kapitel </w:t>
      </w:r>
      <w:hyperlink w:anchor="k3" w:history="1">
        <w:r>
          <w:t>3</w:t>
        </w:r>
      </w:hyperlink>
      <w:r>
        <w:t xml:space="preserve"> und Kapitel </w:t>
      </w:r>
      <w:hyperlink w:anchor="k12" w:history="1">
        <w:r>
          <w:t>12</w:t>
        </w:r>
      </w:hyperlink>
      <w:r>
        <w:t xml:space="preserve"> zeigen denselben Effekt). Ein zweites Einkommen würde das verfügbare Geld erhöhen, aber gleichzeitig Kinderbetreuungskosten auslösen, die einen Teil des Zugewinns aufzehren (Kapitel </w:t>
      </w:r>
      <w:hyperlink w:anchor="k3" w:history="1">
        <w:r>
          <w:t>3</w:t>
        </w:r>
      </w:hyperlink>
      <w:r>
        <w:t xml:space="preserve">, </w:t>
      </w:r>
      <w:r>
        <w:lastRenderedPageBreak/>
        <w:t>Kapitel </w:t>
      </w:r>
      <w:hyperlink w:anchor="k38" w:history="1">
        <w:r>
          <w:t>38</w:t>
        </w:r>
      </w:hyperlink>
      <w:r>
        <w:t>). Baue mit dem Modell aus Kapitel </w:t>
      </w:r>
      <w:hyperlink w:anchor="k3" w:history="1">
        <w:r>
          <w:t>3</w:t>
        </w:r>
      </w:hyperlink>
      <w:r>
        <w:t xml:space="preserve"> deine eigene Version mit deinem tatsächlichen Gehalt, Wohnort und deiner Familiengröße.</w:t>
      </w:r>
    </w:p>
    <w:p w14:paraId="70A51419" w14:textId="77777777" w:rsidR="00C1548D" w:rsidRDefault="009B1B4B">
      <w:pPr>
        <w:pStyle w:val="Heading3"/>
        <w:keepNext/>
        <w:jc w:val="center"/>
      </w:pPr>
      <w:r>
        <w:rPr>
          <w:rFonts w:ascii="Amazon Ember" w:eastAsia="Amazon Ember" w:hAnsi="Amazon Ember" w:cs="Amazon Ember"/>
          <w:color w:val="0000FF"/>
          <w:sz w:val="36"/>
          <w:szCs w:val="36"/>
        </w:rPr>
        <w:t>Kanada</w:t>
      </w:r>
    </w:p>
    <w:p w14:paraId="70A5141A" w14:textId="77777777" w:rsidR="00C1548D" w:rsidRDefault="009B1B4B">
      <w:pPr>
        <w:spacing w:after="140"/>
      </w:pPr>
      <w:r>
        <w:t>Die kanadische Referenzfamilie folgt demselben Muster wie die USA-Beispiele: Ehepaar mit zwei Kindern unter 17 Jahren, ein Einkommen, ein Elternteil betreut die Kinder zu Hause, öffentliche Schule kostenfrei. Die Familie lebt mit Permanent Residence in Vancouver, British Columbia – der teuersten Stadt Kanadas (Kanada: Wohnen) – und ist damit beim seit 2020 beitragsfreien Provinz-Gesundheitssystem MSP versichert, ohne die Wartefrist, die Neuankömmlinge in BC sonst betrifft (Kanada: Gesundheitssystem). Das Br</w:t>
      </w:r>
      <w:r>
        <w:t>uttogehalt orientiert sich an einem in Vancouver üblichen Softwareentwickler-Gehalt (Kanada: Wohnen); Steuern und CPP-Beiträge sind vereinfacht nach den Bundes- und British-Columbia-Tabellen berechnet, ohne einzelne Steuergutschriften (Kanada: Steuern).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6"/>
        <w:gridCol w:w="950"/>
        <w:gridCol w:w="3594"/>
      </w:tblGrid>
      <w:tr w:rsidR="00C1548D" w14:paraId="70A5141E" w14:textId="77777777">
        <w:tblPrEx>
          <w:tblCellMar>
            <w:top w:w="0" w:type="dxa"/>
            <w:bottom w:w="0" w:type="dxa"/>
          </w:tblCellMar>
        </w:tblPrEx>
        <w:trPr>
          <w:cantSplit/>
          <w:tblHeader/>
        </w:trPr>
        <w:tc>
          <w:tcPr>
            <w:tcW w:w="193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1B" w14:textId="77777777" w:rsidR="00C1548D" w:rsidRDefault="009B1B4B">
            <w:pPr>
              <w:spacing w:line="250" w:lineRule="auto"/>
            </w:pPr>
            <w:r>
              <w:rPr>
                <w:b/>
                <w:bCs/>
                <w:sz w:val="18"/>
                <w:szCs w:val="18"/>
              </w:rPr>
              <w:t>Posten</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1C" w14:textId="77777777" w:rsidR="00C1548D" w:rsidRDefault="009B1B4B">
            <w:pPr>
              <w:spacing w:line="250" w:lineRule="auto"/>
            </w:pPr>
            <w:r>
              <w:rPr>
                <w:b/>
                <w:bCs/>
                <w:sz w:val="18"/>
                <w:szCs w:val="18"/>
              </w:rPr>
              <w:t>Betrag pro Monat</w:t>
            </w:r>
          </w:p>
        </w:tc>
        <w:tc>
          <w:tcPr>
            <w:tcW w:w="359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1D" w14:textId="77777777" w:rsidR="00C1548D" w:rsidRDefault="009B1B4B">
            <w:pPr>
              <w:spacing w:line="250" w:lineRule="auto"/>
            </w:pPr>
            <w:r>
              <w:rPr>
                <w:b/>
                <w:bCs/>
                <w:sz w:val="18"/>
                <w:szCs w:val="18"/>
              </w:rPr>
              <w:t>Anmerkung</w:t>
            </w:r>
          </w:p>
        </w:tc>
      </w:tr>
      <w:tr w:rsidR="00C1548D" w14:paraId="70A51422" w14:textId="77777777">
        <w:tblPrEx>
          <w:tblCellMar>
            <w:top w:w="0" w:type="dxa"/>
            <w:bottom w:w="0" w:type="dxa"/>
          </w:tblCellMar>
        </w:tblPrEx>
        <w:trPr>
          <w:cantSplit/>
        </w:trPr>
        <w:tc>
          <w:tcPr>
            <w:tcW w:w="19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1F" w14:textId="77777777" w:rsidR="00C1548D" w:rsidRDefault="009B1B4B">
            <w:pPr>
              <w:spacing w:line="250" w:lineRule="auto"/>
            </w:pPr>
            <w:r>
              <w:rPr>
                <w:sz w:val="18"/>
                <w:szCs w:val="18"/>
              </w:rPr>
              <w:t>Bruttogehalt (Familie)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0" w14:textId="77777777" w:rsidR="00C1548D" w:rsidRDefault="009B1B4B">
            <w:pPr>
              <w:spacing w:line="250" w:lineRule="auto"/>
            </w:pPr>
            <w:r>
              <w:rPr>
                <w:sz w:val="18"/>
                <w:szCs w:val="18"/>
              </w:rPr>
              <w:t>9.080 CAD</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1" w14:textId="77777777" w:rsidR="00C1548D" w:rsidRDefault="009B1B4B">
            <w:pPr>
              <w:spacing w:line="250" w:lineRule="auto"/>
            </w:pPr>
            <w:r>
              <w:rPr>
                <w:sz w:val="18"/>
                <w:szCs w:val="18"/>
              </w:rPr>
              <w:t>Vergleichbares Softwareentwickler-Gehalt, Vancouver (Kanada: Wohnen)</w:t>
            </w:r>
          </w:p>
        </w:tc>
      </w:tr>
      <w:tr w:rsidR="00C1548D" w14:paraId="70A51426" w14:textId="77777777">
        <w:tblPrEx>
          <w:tblCellMar>
            <w:top w:w="0" w:type="dxa"/>
            <w:bottom w:w="0" w:type="dxa"/>
          </w:tblCellMar>
        </w:tblPrEx>
        <w:trPr>
          <w:cantSplit/>
        </w:trPr>
        <w:tc>
          <w:tcPr>
            <w:tcW w:w="19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3" w14:textId="77777777" w:rsidR="00C1548D" w:rsidRDefault="009B1B4B">
            <w:pPr>
              <w:spacing w:line="250" w:lineRule="auto"/>
            </w:pPr>
            <w:r>
              <w:rPr>
                <w:sz w:val="18"/>
                <w:szCs w:val="18"/>
              </w:rPr>
              <w:t>Steuern und Sozialabgaben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4" w14:textId="77777777" w:rsidR="00C1548D" w:rsidRDefault="009B1B4B">
            <w:pPr>
              <w:spacing w:line="250" w:lineRule="auto"/>
            </w:pPr>
            <w:r>
              <w:rPr>
                <w:sz w:val="18"/>
                <w:szCs w:val="18"/>
              </w:rPr>
              <w:t>2.370 CAD</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5" w14:textId="77777777" w:rsidR="00C1548D" w:rsidRDefault="009B1B4B">
            <w:pPr>
              <w:spacing w:line="250" w:lineRule="auto"/>
            </w:pPr>
            <w:r>
              <w:rPr>
                <w:sz w:val="18"/>
                <w:szCs w:val="18"/>
              </w:rPr>
              <w:t>Bund, British-Columbia-Steuer, CPP; vereinfacht (Kanada: Steuern)</w:t>
            </w:r>
          </w:p>
        </w:tc>
      </w:tr>
      <w:tr w:rsidR="00C1548D" w14:paraId="70A5142A" w14:textId="77777777">
        <w:tblPrEx>
          <w:tblCellMar>
            <w:top w:w="0" w:type="dxa"/>
            <w:bottom w:w="0" w:type="dxa"/>
          </w:tblCellMar>
        </w:tblPrEx>
        <w:trPr>
          <w:cantSplit/>
        </w:trPr>
        <w:tc>
          <w:tcPr>
            <w:tcW w:w="19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7" w14:textId="77777777" w:rsidR="00C1548D" w:rsidRDefault="009B1B4B">
            <w:pPr>
              <w:spacing w:line="250" w:lineRule="auto"/>
            </w:pPr>
            <w:r>
              <w:rPr>
                <w:sz w:val="18"/>
                <w:szCs w:val="18"/>
              </w:rPr>
              <w:t>Netto nach Steuern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8" w14:textId="77777777" w:rsidR="00C1548D" w:rsidRDefault="009B1B4B">
            <w:pPr>
              <w:spacing w:line="250" w:lineRule="auto"/>
            </w:pPr>
            <w:r>
              <w:rPr>
                <w:sz w:val="18"/>
                <w:szCs w:val="18"/>
              </w:rPr>
              <w:t>6.710 CAD</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9" w14:textId="77777777" w:rsidR="00C1548D" w:rsidRDefault="009B1B4B">
            <w:pPr>
              <w:spacing w:line="250" w:lineRule="auto"/>
            </w:pPr>
            <w:r>
              <w:rPr>
                <w:sz w:val="18"/>
                <w:szCs w:val="18"/>
              </w:rPr>
              <w:t>Eigene Berechnung nach Bundes- und Provinztabelle (Kanada: Steuern)</w:t>
            </w:r>
          </w:p>
        </w:tc>
      </w:tr>
      <w:tr w:rsidR="00C1548D" w14:paraId="70A5142E" w14:textId="77777777">
        <w:tblPrEx>
          <w:tblCellMar>
            <w:top w:w="0" w:type="dxa"/>
            <w:bottom w:w="0" w:type="dxa"/>
          </w:tblCellMar>
        </w:tblPrEx>
        <w:trPr>
          <w:cantSplit/>
        </w:trPr>
        <w:tc>
          <w:tcPr>
            <w:tcW w:w="19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B" w14:textId="77777777" w:rsidR="00C1548D" w:rsidRDefault="009B1B4B">
            <w:pPr>
              <w:spacing w:line="250" w:lineRule="auto"/>
            </w:pPr>
            <w:r>
              <w:rPr>
                <w:sz w:val="18"/>
                <w:szCs w:val="18"/>
              </w:rPr>
              <w:t>Miete (Wohnung, Vancouver)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C" w14:textId="77777777" w:rsidR="00C1548D" w:rsidRDefault="009B1B4B">
            <w:pPr>
              <w:spacing w:line="250" w:lineRule="auto"/>
            </w:pPr>
            <w:r>
              <w:rPr>
                <w:sz w:val="18"/>
                <w:szCs w:val="18"/>
              </w:rPr>
              <w:t>3.100 CAD</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D" w14:textId="77777777" w:rsidR="00C1548D" w:rsidRDefault="009B1B4B">
            <w:pPr>
              <w:spacing w:line="250" w:lineRule="auto"/>
            </w:pPr>
            <w:r>
              <w:rPr>
                <w:sz w:val="18"/>
                <w:szCs w:val="18"/>
              </w:rPr>
              <w:t>Durchschnittsmiete, teuerste Stadt Kanadas (Kanada: Wohnen)</w:t>
            </w:r>
          </w:p>
        </w:tc>
      </w:tr>
      <w:tr w:rsidR="00C1548D" w14:paraId="70A51432" w14:textId="77777777">
        <w:tblPrEx>
          <w:tblCellMar>
            <w:top w:w="0" w:type="dxa"/>
            <w:bottom w:w="0" w:type="dxa"/>
          </w:tblCellMar>
        </w:tblPrEx>
        <w:trPr>
          <w:cantSplit/>
        </w:trPr>
        <w:tc>
          <w:tcPr>
            <w:tcW w:w="19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2F" w14:textId="77777777" w:rsidR="00C1548D" w:rsidRDefault="009B1B4B">
            <w:pPr>
              <w:spacing w:line="250" w:lineRule="auto"/>
            </w:pPr>
            <w:r>
              <w:rPr>
                <w:sz w:val="18"/>
                <w:szCs w:val="18"/>
              </w:rPr>
              <w:t>Nebenkosten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0" w14:textId="77777777" w:rsidR="00C1548D" w:rsidRDefault="009B1B4B">
            <w:pPr>
              <w:spacing w:line="250" w:lineRule="auto"/>
            </w:pPr>
            <w:r>
              <w:rPr>
                <w:sz w:val="18"/>
                <w:szCs w:val="18"/>
              </w:rPr>
              <w:t>300 CAD</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1" w14:textId="77777777" w:rsidR="00C1548D" w:rsidRDefault="009B1B4B">
            <w:pPr>
              <w:spacing w:line="250" w:lineRule="auto"/>
            </w:pPr>
            <w:r>
              <w:rPr>
                <w:sz w:val="18"/>
                <w:szCs w:val="18"/>
              </w:rPr>
              <w:t>Grobe Schätzung, keine Kanada-spezifische Zahl vorhanden</w:t>
            </w:r>
          </w:p>
        </w:tc>
      </w:tr>
      <w:tr w:rsidR="00C1548D" w14:paraId="70A51436" w14:textId="77777777">
        <w:tblPrEx>
          <w:tblCellMar>
            <w:top w:w="0" w:type="dxa"/>
            <w:bottom w:w="0" w:type="dxa"/>
          </w:tblCellMar>
        </w:tblPrEx>
        <w:trPr>
          <w:cantSplit/>
        </w:trPr>
        <w:tc>
          <w:tcPr>
            <w:tcW w:w="19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3" w14:textId="77777777" w:rsidR="00C1548D" w:rsidRDefault="009B1B4B">
            <w:pPr>
              <w:spacing w:line="250" w:lineRule="auto"/>
            </w:pPr>
            <w:r>
              <w:rPr>
                <w:sz w:val="18"/>
                <w:szCs w:val="18"/>
              </w:rPr>
              <w:t>Krankenversicherung (Familientarif)</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4" w14:textId="77777777" w:rsidR="00C1548D" w:rsidRDefault="009B1B4B">
            <w:pPr>
              <w:spacing w:line="250" w:lineRule="auto"/>
            </w:pPr>
            <w:r>
              <w:rPr>
                <w:sz w:val="18"/>
                <w:szCs w:val="18"/>
              </w:rPr>
              <w:t>0 CAD</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5" w14:textId="77777777" w:rsidR="00C1548D" w:rsidRDefault="009B1B4B">
            <w:pPr>
              <w:spacing w:line="250" w:lineRule="auto"/>
            </w:pPr>
            <w:r>
              <w:rPr>
                <w:sz w:val="18"/>
                <w:szCs w:val="18"/>
              </w:rPr>
              <w:t>MSP beitragsfrei seit 2020 (Kanada: Gesundheitssystem); Zahn/Medikamente ggf. über Extended Health Benefits des Arbeitgebers</w:t>
            </w:r>
          </w:p>
        </w:tc>
      </w:tr>
      <w:tr w:rsidR="00C1548D" w14:paraId="70A5143A" w14:textId="77777777">
        <w:tblPrEx>
          <w:tblCellMar>
            <w:top w:w="0" w:type="dxa"/>
            <w:bottom w:w="0" w:type="dxa"/>
          </w:tblCellMar>
        </w:tblPrEx>
        <w:trPr>
          <w:cantSplit/>
        </w:trPr>
        <w:tc>
          <w:tcPr>
            <w:tcW w:w="19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7" w14:textId="77777777" w:rsidR="00C1548D" w:rsidRDefault="009B1B4B">
            <w:pPr>
              <w:spacing w:line="250" w:lineRule="auto"/>
            </w:pPr>
            <w:r>
              <w:rPr>
                <w:sz w:val="18"/>
                <w:szCs w:val="18"/>
              </w:rPr>
              <w:lastRenderedPageBreak/>
              <w:t>Lebensmittel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8" w14:textId="77777777" w:rsidR="00C1548D" w:rsidRDefault="009B1B4B">
            <w:pPr>
              <w:spacing w:line="250" w:lineRule="auto"/>
            </w:pPr>
            <w:r>
              <w:rPr>
                <w:sz w:val="18"/>
                <w:szCs w:val="18"/>
              </w:rPr>
              <w:t>1.300 CAD</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9" w14:textId="77777777" w:rsidR="00C1548D" w:rsidRDefault="009B1B4B">
            <w:pPr>
              <w:spacing w:line="250" w:lineRule="auto"/>
            </w:pPr>
            <w:r>
              <w:rPr>
                <w:sz w:val="18"/>
                <w:szCs w:val="18"/>
              </w:rPr>
              <w:t>Grobe Schätzung, keine Kanada-spezifische Zahl vorhanden</w:t>
            </w:r>
          </w:p>
        </w:tc>
      </w:tr>
      <w:tr w:rsidR="00C1548D" w14:paraId="70A5143E" w14:textId="77777777">
        <w:tblPrEx>
          <w:tblCellMar>
            <w:top w:w="0" w:type="dxa"/>
            <w:bottom w:w="0" w:type="dxa"/>
          </w:tblCellMar>
        </w:tblPrEx>
        <w:trPr>
          <w:cantSplit/>
        </w:trPr>
        <w:tc>
          <w:tcPr>
            <w:tcW w:w="19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B" w14:textId="77777777" w:rsidR="00C1548D" w:rsidRDefault="009B1B4B">
            <w:pPr>
              <w:spacing w:line="250" w:lineRule="auto"/>
            </w:pPr>
            <w:r>
              <w:rPr>
                <w:sz w:val="18"/>
                <w:szCs w:val="18"/>
              </w:rPr>
              <w:t>Auto und Versicherung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C" w14:textId="77777777" w:rsidR="00C1548D" w:rsidRDefault="009B1B4B">
            <w:pPr>
              <w:spacing w:line="250" w:lineRule="auto"/>
            </w:pPr>
            <w:r>
              <w:rPr>
                <w:sz w:val="18"/>
                <w:szCs w:val="18"/>
              </w:rPr>
              <w:t>125 CAD</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D" w14:textId="77777777" w:rsidR="00C1548D" w:rsidRDefault="009B1B4B">
            <w:pPr>
              <w:spacing w:line="250" w:lineRule="auto"/>
            </w:pPr>
            <w:r>
              <w:rPr>
                <w:sz w:val="18"/>
                <w:szCs w:val="18"/>
              </w:rPr>
              <w:t>Nur Kfz-Versicherung, British Columbia (Kanada: Führerschein und Auto)</w:t>
            </w:r>
          </w:p>
        </w:tc>
      </w:tr>
      <w:tr w:rsidR="00C1548D" w14:paraId="70A51442" w14:textId="77777777">
        <w:tblPrEx>
          <w:tblCellMar>
            <w:top w:w="0" w:type="dxa"/>
            <w:bottom w:w="0" w:type="dxa"/>
          </w:tblCellMar>
        </w:tblPrEx>
        <w:trPr>
          <w:cantSplit/>
        </w:trPr>
        <w:tc>
          <w:tcPr>
            <w:tcW w:w="19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3F" w14:textId="77777777" w:rsidR="00C1548D" w:rsidRDefault="009B1B4B">
            <w:pPr>
              <w:spacing w:line="250" w:lineRule="auto"/>
            </w:pPr>
            <w:r>
              <w:rPr>
                <w:sz w:val="18"/>
                <w:szCs w:val="18"/>
              </w:rPr>
              <w:t>Kinderbetreuung/Schule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40" w14:textId="77777777" w:rsidR="00C1548D" w:rsidRDefault="009B1B4B">
            <w:pPr>
              <w:spacing w:line="250" w:lineRule="auto"/>
            </w:pPr>
            <w:r>
              <w:rPr>
                <w:sz w:val="18"/>
                <w:szCs w:val="18"/>
              </w:rPr>
              <w:t>0 CAD</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41" w14:textId="77777777" w:rsidR="00C1548D" w:rsidRDefault="009B1B4B">
            <w:pPr>
              <w:spacing w:line="250" w:lineRule="auto"/>
            </w:pPr>
            <w:r>
              <w:rPr>
                <w:sz w:val="18"/>
                <w:szCs w:val="18"/>
              </w:rPr>
              <w:t>Ein Elternteil betreut die Kinder; öffentliche Schule kostenfrei (Kanada: Kinder, Schule und Sprache)</w:t>
            </w:r>
          </w:p>
        </w:tc>
      </w:tr>
      <w:tr w:rsidR="00C1548D" w14:paraId="70A51446" w14:textId="77777777">
        <w:tblPrEx>
          <w:tblCellMar>
            <w:top w:w="0" w:type="dxa"/>
            <w:bottom w:w="0" w:type="dxa"/>
          </w:tblCellMar>
        </w:tblPrEx>
        <w:trPr>
          <w:cantSplit/>
        </w:trPr>
        <w:tc>
          <w:tcPr>
            <w:tcW w:w="19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43" w14:textId="77777777" w:rsidR="00C1548D" w:rsidRDefault="009B1B4B">
            <w:pPr>
              <w:spacing w:line="250" w:lineRule="auto"/>
            </w:pPr>
            <w:r>
              <w:rPr>
                <w:sz w:val="18"/>
                <w:szCs w:val="18"/>
              </w:rPr>
              <w:t>Sonstiges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44" w14:textId="77777777" w:rsidR="00C1548D" w:rsidRDefault="009B1B4B">
            <w:pPr>
              <w:spacing w:line="250" w:lineRule="auto"/>
            </w:pPr>
            <w:r>
              <w:rPr>
                <w:sz w:val="18"/>
                <w:szCs w:val="18"/>
              </w:rPr>
              <w:t>250 CAD</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45" w14:textId="77777777" w:rsidR="00C1548D" w:rsidRDefault="009B1B4B">
            <w:pPr>
              <w:spacing w:line="250" w:lineRule="auto"/>
            </w:pPr>
            <w:r>
              <w:rPr>
                <w:sz w:val="18"/>
                <w:szCs w:val="18"/>
              </w:rPr>
              <w:t>Schätzung: Haftpflicht, Freizeit, freiwillige Schulbeiträge</w:t>
            </w:r>
          </w:p>
        </w:tc>
      </w:tr>
      <w:tr w:rsidR="00C1548D" w14:paraId="70A5144A" w14:textId="77777777">
        <w:tblPrEx>
          <w:tblCellMar>
            <w:top w:w="0" w:type="dxa"/>
            <w:bottom w:w="0" w:type="dxa"/>
          </w:tblCellMar>
        </w:tblPrEx>
        <w:trPr>
          <w:cantSplit/>
        </w:trPr>
        <w:tc>
          <w:tcPr>
            <w:tcW w:w="193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47" w14:textId="77777777" w:rsidR="00C1548D" w:rsidRDefault="009B1B4B">
            <w:pPr>
              <w:spacing w:line="250" w:lineRule="auto"/>
            </w:pPr>
            <w:r>
              <w:rPr>
                <w:b/>
                <w:bCs/>
                <w:sz w:val="18"/>
                <w:szCs w:val="18"/>
              </w:rPr>
              <w:t>Netto verfügbares Einkommen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48" w14:textId="77777777" w:rsidR="00C1548D" w:rsidRDefault="009B1B4B">
            <w:pPr>
              <w:spacing w:line="250" w:lineRule="auto"/>
            </w:pPr>
            <w:r>
              <w:rPr>
                <w:b/>
                <w:bCs/>
                <w:sz w:val="18"/>
                <w:szCs w:val="18"/>
              </w:rPr>
              <w:t>1.635 CAD</w:t>
            </w:r>
          </w:p>
        </w:tc>
        <w:tc>
          <w:tcPr>
            <w:tcW w:w="35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49" w14:textId="77777777" w:rsidR="00C1548D" w:rsidRDefault="009B1B4B">
            <w:pPr>
              <w:spacing w:line="250" w:lineRule="auto"/>
            </w:pPr>
            <w:r>
              <w:rPr>
                <w:sz w:val="18"/>
                <w:szCs w:val="18"/>
              </w:rPr>
              <w:t>entspricht 24,4 % des Nettos nach Steuern</w:t>
            </w:r>
          </w:p>
        </w:tc>
      </w:tr>
    </w:tbl>
    <w:p w14:paraId="70A5144B" w14:textId="77777777" w:rsidR="00C1548D" w:rsidRDefault="00C1548D">
      <w:pPr>
        <w:spacing w:line="180" w:lineRule="exact"/>
      </w:pPr>
    </w:p>
    <w:p w14:paraId="70A5144C" w14:textId="77777777" w:rsidR="00C1548D" w:rsidRDefault="009B1B4B">
      <w:pPr>
        <w:pStyle w:val="Heading3"/>
        <w:keepNext/>
        <w:jc w:val="center"/>
      </w:pPr>
      <w:r>
        <w:rPr>
          <w:rFonts w:ascii="Amazon Ember" w:eastAsia="Amazon Ember" w:hAnsi="Amazon Ember" w:cs="Amazon Ember"/>
          <w:color w:val="0000FF"/>
          <w:sz w:val="36"/>
          <w:szCs w:val="36"/>
        </w:rPr>
        <w:t>Australien</w:t>
      </w:r>
    </w:p>
    <w:p w14:paraId="70A5144D" w14:textId="77777777" w:rsidR="00C1548D" w:rsidRDefault="009B1B4B">
      <w:pPr>
        <w:spacing w:after="140"/>
      </w:pPr>
      <w:r>
        <w:t>Die australische Referenzfamilie hält dieselbe Konstellation: Ehepaar mit zwei Kindern unter 17 Jahren, ein Einkommen, ein Elternteil betreut die Kinder zu Hause, öffentliche Schule kostenlos. Die Familie lebt mit einem Permanent-Visum wie dem Skilled Independent Visa (Subclass 189) in Sydney, New South Wales – der teuersten Stadt Australiens (Australien: Wohnen) – und ist damit ab der Einreise bei Medicare versichert; die Medicare Levy von 2 % steckt bereits in der Steuerzeile, eine Medicare Levy Surcharge</w:t>
      </w:r>
      <w:r>
        <w:t xml:space="preserve"> fällt unterhalb der Familien-Schwelle von 210.000 AUD nicht an (Australien: Gesundheitssystem). Das Bruttogehalt orientiert sich an den genannten Ingenieursgehältern (Australien: Wohnen); Steuern sind vereinfacht nach der australischen Einkommensteuertabelle 2026/27 berechnet (Australien: Steuern).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8"/>
        <w:gridCol w:w="950"/>
        <w:gridCol w:w="3812"/>
      </w:tblGrid>
      <w:tr w:rsidR="00C1548D" w14:paraId="70A51451" w14:textId="77777777">
        <w:tblPrEx>
          <w:tblCellMar>
            <w:top w:w="0" w:type="dxa"/>
            <w:bottom w:w="0" w:type="dxa"/>
          </w:tblCellMar>
        </w:tblPrEx>
        <w:trPr>
          <w:cantSplit/>
          <w:tblHeader/>
        </w:trPr>
        <w:tc>
          <w:tcPr>
            <w:tcW w:w="171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4E" w14:textId="77777777" w:rsidR="00C1548D" w:rsidRDefault="009B1B4B">
            <w:pPr>
              <w:spacing w:line="250" w:lineRule="auto"/>
            </w:pPr>
            <w:r>
              <w:rPr>
                <w:b/>
                <w:bCs/>
                <w:sz w:val="18"/>
                <w:szCs w:val="18"/>
              </w:rPr>
              <w:t>Posten</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4F" w14:textId="77777777" w:rsidR="00C1548D" w:rsidRDefault="009B1B4B">
            <w:pPr>
              <w:spacing w:line="250" w:lineRule="auto"/>
            </w:pPr>
            <w:r>
              <w:rPr>
                <w:b/>
                <w:bCs/>
                <w:sz w:val="18"/>
                <w:szCs w:val="18"/>
              </w:rPr>
              <w:t>Betrag pro Monat</w:t>
            </w:r>
          </w:p>
        </w:tc>
        <w:tc>
          <w:tcPr>
            <w:tcW w:w="381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50" w14:textId="77777777" w:rsidR="00C1548D" w:rsidRDefault="009B1B4B">
            <w:pPr>
              <w:spacing w:line="250" w:lineRule="auto"/>
            </w:pPr>
            <w:r>
              <w:rPr>
                <w:b/>
                <w:bCs/>
                <w:sz w:val="18"/>
                <w:szCs w:val="18"/>
              </w:rPr>
              <w:t>Anmerkung</w:t>
            </w:r>
          </w:p>
        </w:tc>
      </w:tr>
      <w:tr w:rsidR="00C1548D" w14:paraId="70A51455" w14:textId="77777777">
        <w:tblPrEx>
          <w:tblCellMar>
            <w:top w:w="0" w:type="dxa"/>
            <w:bottom w:w="0" w:type="dxa"/>
          </w:tblCellMar>
        </w:tblPrEx>
        <w:trPr>
          <w:cantSplit/>
        </w:trPr>
        <w:tc>
          <w:tcPr>
            <w:tcW w:w="17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52" w14:textId="77777777" w:rsidR="00C1548D" w:rsidRDefault="009B1B4B">
            <w:pPr>
              <w:spacing w:line="250" w:lineRule="auto"/>
            </w:pPr>
            <w:r>
              <w:rPr>
                <w:sz w:val="18"/>
                <w:szCs w:val="18"/>
              </w:rPr>
              <w:t>Bruttogehalt (Familie)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53" w14:textId="77777777" w:rsidR="00C1548D" w:rsidRDefault="009B1B4B">
            <w:pPr>
              <w:spacing w:line="250" w:lineRule="auto"/>
            </w:pPr>
            <w:r>
              <w:rPr>
                <w:sz w:val="18"/>
                <w:szCs w:val="18"/>
              </w:rPr>
              <w:t>12.500 AUD</w:t>
            </w:r>
          </w:p>
        </w:tc>
        <w:tc>
          <w:tcPr>
            <w:tcW w:w="3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54" w14:textId="77777777" w:rsidR="00C1548D" w:rsidRDefault="009B1B4B">
            <w:pPr>
              <w:spacing w:line="250" w:lineRule="auto"/>
            </w:pPr>
            <w:r>
              <w:rPr>
                <w:sz w:val="18"/>
                <w:szCs w:val="18"/>
              </w:rPr>
              <w:t>Vergleichbares Ingenieursgehalt (Australien: Wohnen)</w:t>
            </w:r>
          </w:p>
        </w:tc>
      </w:tr>
      <w:tr w:rsidR="00C1548D" w14:paraId="70A51459" w14:textId="77777777">
        <w:tblPrEx>
          <w:tblCellMar>
            <w:top w:w="0" w:type="dxa"/>
            <w:bottom w:w="0" w:type="dxa"/>
          </w:tblCellMar>
        </w:tblPrEx>
        <w:trPr>
          <w:cantSplit/>
        </w:trPr>
        <w:tc>
          <w:tcPr>
            <w:tcW w:w="17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56" w14:textId="77777777" w:rsidR="00C1548D" w:rsidRDefault="009B1B4B">
            <w:pPr>
              <w:spacing w:line="250" w:lineRule="auto"/>
            </w:pPr>
            <w:r>
              <w:rPr>
                <w:sz w:val="18"/>
                <w:szCs w:val="18"/>
              </w:rPr>
              <w:lastRenderedPageBreak/>
              <w:t>Steuern und Sozialabgaben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57" w14:textId="77777777" w:rsidR="00C1548D" w:rsidRDefault="009B1B4B">
            <w:pPr>
              <w:spacing w:line="250" w:lineRule="auto"/>
            </w:pPr>
            <w:r>
              <w:rPr>
                <w:sz w:val="18"/>
                <w:szCs w:val="18"/>
              </w:rPr>
              <w:t>3.298 AUD</w:t>
            </w:r>
          </w:p>
        </w:tc>
        <w:tc>
          <w:tcPr>
            <w:tcW w:w="3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58" w14:textId="77777777" w:rsidR="00C1548D" w:rsidRDefault="009B1B4B">
            <w:pPr>
              <w:spacing w:line="250" w:lineRule="auto"/>
            </w:pPr>
            <w:r>
              <w:rPr>
                <w:sz w:val="18"/>
                <w:szCs w:val="18"/>
              </w:rPr>
              <w:t>Einkommensteuer plus Medicare Levy; vereinfacht (Australien: Steuern)</w:t>
            </w:r>
          </w:p>
        </w:tc>
      </w:tr>
      <w:tr w:rsidR="00C1548D" w14:paraId="70A5145D" w14:textId="77777777">
        <w:tblPrEx>
          <w:tblCellMar>
            <w:top w:w="0" w:type="dxa"/>
            <w:bottom w:w="0" w:type="dxa"/>
          </w:tblCellMar>
        </w:tblPrEx>
        <w:trPr>
          <w:cantSplit/>
        </w:trPr>
        <w:tc>
          <w:tcPr>
            <w:tcW w:w="17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5A" w14:textId="77777777" w:rsidR="00C1548D" w:rsidRDefault="009B1B4B">
            <w:pPr>
              <w:spacing w:line="250" w:lineRule="auto"/>
            </w:pPr>
            <w:r>
              <w:rPr>
                <w:sz w:val="18"/>
                <w:szCs w:val="18"/>
              </w:rPr>
              <w:t>Netto nach Steuern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5B" w14:textId="77777777" w:rsidR="00C1548D" w:rsidRDefault="009B1B4B">
            <w:pPr>
              <w:spacing w:line="250" w:lineRule="auto"/>
            </w:pPr>
            <w:r>
              <w:rPr>
                <w:sz w:val="18"/>
                <w:szCs w:val="18"/>
              </w:rPr>
              <w:t>9.202 AUD</w:t>
            </w:r>
          </w:p>
        </w:tc>
        <w:tc>
          <w:tcPr>
            <w:tcW w:w="3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5C" w14:textId="77777777" w:rsidR="00C1548D" w:rsidRDefault="009B1B4B">
            <w:pPr>
              <w:spacing w:line="250" w:lineRule="auto"/>
            </w:pPr>
            <w:r>
              <w:rPr>
                <w:sz w:val="18"/>
                <w:szCs w:val="18"/>
              </w:rPr>
              <w:t>Eigene Berechnung nach der Steuertabelle 2026/27 (Australien: Steuern)</w:t>
            </w:r>
          </w:p>
        </w:tc>
      </w:tr>
      <w:tr w:rsidR="00C1548D" w14:paraId="70A51461" w14:textId="77777777">
        <w:tblPrEx>
          <w:tblCellMar>
            <w:top w:w="0" w:type="dxa"/>
            <w:bottom w:w="0" w:type="dxa"/>
          </w:tblCellMar>
        </w:tblPrEx>
        <w:trPr>
          <w:cantSplit/>
        </w:trPr>
        <w:tc>
          <w:tcPr>
            <w:tcW w:w="17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5E" w14:textId="77777777" w:rsidR="00C1548D" w:rsidRDefault="009B1B4B">
            <w:pPr>
              <w:spacing w:line="250" w:lineRule="auto"/>
            </w:pPr>
            <w:r>
              <w:rPr>
                <w:sz w:val="18"/>
                <w:szCs w:val="18"/>
              </w:rPr>
              <w:t>Miete (Haus, Sydney)</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5F" w14:textId="77777777" w:rsidR="00C1548D" w:rsidRDefault="009B1B4B">
            <w:pPr>
              <w:spacing w:line="250" w:lineRule="auto"/>
            </w:pPr>
            <w:r>
              <w:rPr>
                <w:sz w:val="18"/>
                <w:szCs w:val="18"/>
              </w:rPr>
              <w:t>3.683 AUD</w:t>
            </w:r>
          </w:p>
        </w:tc>
        <w:tc>
          <w:tcPr>
            <w:tcW w:w="3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0" w14:textId="77777777" w:rsidR="00C1548D" w:rsidRDefault="009B1B4B">
            <w:pPr>
              <w:spacing w:line="250" w:lineRule="auto"/>
            </w:pPr>
            <w:r>
              <w:rPr>
                <w:sz w:val="18"/>
                <w:szCs w:val="18"/>
              </w:rPr>
              <w:t>Durchschnittsmiete Haus, teuerste Stadt Australiens (Australien: Wohnen)</w:t>
            </w:r>
          </w:p>
        </w:tc>
      </w:tr>
      <w:tr w:rsidR="00C1548D" w14:paraId="70A51465" w14:textId="77777777">
        <w:tblPrEx>
          <w:tblCellMar>
            <w:top w:w="0" w:type="dxa"/>
            <w:bottom w:w="0" w:type="dxa"/>
          </w:tblCellMar>
        </w:tblPrEx>
        <w:trPr>
          <w:cantSplit/>
        </w:trPr>
        <w:tc>
          <w:tcPr>
            <w:tcW w:w="17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2" w14:textId="77777777" w:rsidR="00C1548D" w:rsidRDefault="009B1B4B">
            <w:pPr>
              <w:spacing w:line="250" w:lineRule="auto"/>
            </w:pPr>
            <w:r>
              <w:rPr>
                <w:sz w:val="18"/>
                <w:szCs w:val="18"/>
              </w:rPr>
              <w:t>Nebenkosten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3" w14:textId="77777777" w:rsidR="00C1548D" w:rsidRDefault="009B1B4B">
            <w:pPr>
              <w:spacing w:line="250" w:lineRule="auto"/>
            </w:pPr>
            <w:r>
              <w:rPr>
                <w:sz w:val="18"/>
                <w:szCs w:val="18"/>
              </w:rPr>
              <w:t>300 AUD</w:t>
            </w:r>
          </w:p>
        </w:tc>
        <w:tc>
          <w:tcPr>
            <w:tcW w:w="3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4" w14:textId="77777777" w:rsidR="00C1548D" w:rsidRDefault="009B1B4B">
            <w:pPr>
              <w:spacing w:line="250" w:lineRule="auto"/>
            </w:pPr>
            <w:r>
              <w:rPr>
                <w:sz w:val="18"/>
                <w:szCs w:val="18"/>
              </w:rPr>
              <w:t>Grobe Schätzung, keine Australien-spezifische Zahl vorhanden</w:t>
            </w:r>
          </w:p>
        </w:tc>
      </w:tr>
      <w:tr w:rsidR="00C1548D" w14:paraId="70A51469" w14:textId="77777777">
        <w:tblPrEx>
          <w:tblCellMar>
            <w:top w:w="0" w:type="dxa"/>
            <w:bottom w:w="0" w:type="dxa"/>
          </w:tblCellMar>
        </w:tblPrEx>
        <w:trPr>
          <w:cantSplit/>
        </w:trPr>
        <w:tc>
          <w:tcPr>
            <w:tcW w:w="17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6" w14:textId="77777777" w:rsidR="00C1548D" w:rsidRDefault="009B1B4B">
            <w:pPr>
              <w:spacing w:line="250" w:lineRule="auto"/>
            </w:pPr>
            <w:r>
              <w:rPr>
                <w:sz w:val="18"/>
                <w:szCs w:val="18"/>
              </w:rPr>
              <w:t>Krankenversicherung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7" w14:textId="77777777" w:rsidR="00C1548D" w:rsidRDefault="009B1B4B">
            <w:pPr>
              <w:spacing w:line="250" w:lineRule="auto"/>
            </w:pPr>
            <w:r>
              <w:rPr>
                <w:sz w:val="18"/>
                <w:szCs w:val="18"/>
              </w:rPr>
              <w:t>0 AUD</w:t>
            </w:r>
          </w:p>
        </w:tc>
        <w:tc>
          <w:tcPr>
            <w:tcW w:w="3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8" w14:textId="77777777" w:rsidR="00C1548D" w:rsidRDefault="009B1B4B">
            <w:pPr>
              <w:spacing w:line="250" w:lineRule="auto"/>
            </w:pPr>
            <w:r>
              <w:rPr>
                <w:sz w:val="18"/>
                <w:szCs w:val="18"/>
              </w:rPr>
              <w:t>Medicare Levy bereits in der Steuerzeile; keine Surcharge unterhalb der Familien-Schwelle (Australien: Gesundheitssystem)</w:t>
            </w:r>
          </w:p>
        </w:tc>
      </w:tr>
      <w:tr w:rsidR="00C1548D" w14:paraId="70A5146D" w14:textId="77777777">
        <w:tblPrEx>
          <w:tblCellMar>
            <w:top w:w="0" w:type="dxa"/>
            <w:bottom w:w="0" w:type="dxa"/>
          </w:tblCellMar>
        </w:tblPrEx>
        <w:trPr>
          <w:cantSplit/>
        </w:trPr>
        <w:tc>
          <w:tcPr>
            <w:tcW w:w="17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A" w14:textId="77777777" w:rsidR="00C1548D" w:rsidRDefault="009B1B4B">
            <w:pPr>
              <w:spacing w:line="250" w:lineRule="auto"/>
            </w:pPr>
            <w:r>
              <w:rPr>
                <w:sz w:val="18"/>
                <w:szCs w:val="18"/>
              </w:rPr>
              <w:t>Lebensmittel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B" w14:textId="77777777" w:rsidR="00C1548D" w:rsidRDefault="009B1B4B">
            <w:pPr>
              <w:spacing w:line="250" w:lineRule="auto"/>
            </w:pPr>
            <w:r>
              <w:rPr>
                <w:sz w:val="18"/>
                <w:szCs w:val="18"/>
              </w:rPr>
              <w:t>1.400 AUD</w:t>
            </w:r>
          </w:p>
        </w:tc>
        <w:tc>
          <w:tcPr>
            <w:tcW w:w="3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C" w14:textId="77777777" w:rsidR="00C1548D" w:rsidRDefault="009B1B4B">
            <w:pPr>
              <w:spacing w:line="250" w:lineRule="auto"/>
            </w:pPr>
            <w:r>
              <w:rPr>
                <w:sz w:val="18"/>
                <w:szCs w:val="18"/>
              </w:rPr>
              <w:t>Grobe Schätzung, keine Australien-spezifische Zahl vorhanden</w:t>
            </w:r>
          </w:p>
        </w:tc>
      </w:tr>
      <w:tr w:rsidR="00C1548D" w14:paraId="70A51471" w14:textId="77777777">
        <w:tblPrEx>
          <w:tblCellMar>
            <w:top w:w="0" w:type="dxa"/>
            <w:bottom w:w="0" w:type="dxa"/>
          </w:tblCellMar>
        </w:tblPrEx>
        <w:trPr>
          <w:cantSplit/>
        </w:trPr>
        <w:tc>
          <w:tcPr>
            <w:tcW w:w="17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E" w14:textId="77777777" w:rsidR="00C1548D" w:rsidRDefault="009B1B4B">
            <w:pPr>
              <w:spacing w:line="250" w:lineRule="auto"/>
            </w:pPr>
            <w:r>
              <w:rPr>
                <w:sz w:val="18"/>
                <w:szCs w:val="18"/>
              </w:rPr>
              <w:t>Auto und Versicherung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6F" w14:textId="77777777" w:rsidR="00C1548D" w:rsidRDefault="009B1B4B">
            <w:pPr>
              <w:spacing w:line="250" w:lineRule="auto"/>
            </w:pPr>
            <w:r>
              <w:rPr>
                <w:sz w:val="18"/>
                <w:szCs w:val="18"/>
              </w:rPr>
              <w:t>150 AUD</w:t>
            </w:r>
          </w:p>
        </w:tc>
        <w:tc>
          <w:tcPr>
            <w:tcW w:w="3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70" w14:textId="77777777" w:rsidR="00C1548D" w:rsidRDefault="009B1B4B">
            <w:pPr>
              <w:spacing w:line="250" w:lineRule="auto"/>
            </w:pPr>
            <w:r>
              <w:rPr>
                <w:sz w:val="18"/>
                <w:szCs w:val="18"/>
              </w:rPr>
              <w:t>Zulassung inkl. CTP plus Kfz-Versicherung, grobe Schätzung (Australien: Führerschein und Auto)</w:t>
            </w:r>
          </w:p>
        </w:tc>
      </w:tr>
      <w:tr w:rsidR="00C1548D" w14:paraId="70A51475" w14:textId="77777777">
        <w:tblPrEx>
          <w:tblCellMar>
            <w:top w:w="0" w:type="dxa"/>
            <w:bottom w:w="0" w:type="dxa"/>
          </w:tblCellMar>
        </w:tblPrEx>
        <w:trPr>
          <w:cantSplit/>
        </w:trPr>
        <w:tc>
          <w:tcPr>
            <w:tcW w:w="17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72" w14:textId="77777777" w:rsidR="00C1548D" w:rsidRDefault="009B1B4B">
            <w:pPr>
              <w:spacing w:line="250" w:lineRule="auto"/>
            </w:pPr>
            <w:r>
              <w:rPr>
                <w:sz w:val="18"/>
                <w:szCs w:val="18"/>
              </w:rPr>
              <w:t>Kinderbetreuung/Schule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73" w14:textId="77777777" w:rsidR="00C1548D" w:rsidRDefault="009B1B4B">
            <w:pPr>
              <w:spacing w:line="250" w:lineRule="auto"/>
            </w:pPr>
            <w:r>
              <w:rPr>
                <w:sz w:val="18"/>
                <w:szCs w:val="18"/>
              </w:rPr>
              <w:t>0 AUD</w:t>
            </w:r>
          </w:p>
        </w:tc>
        <w:tc>
          <w:tcPr>
            <w:tcW w:w="3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74" w14:textId="77777777" w:rsidR="00C1548D" w:rsidRDefault="009B1B4B">
            <w:pPr>
              <w:spacing w:line="250" w:lineRule="auto"/>
            </w:pPr>
            <w:r>
              <w:rPr>
                <w:sz w:val="18"/>
                <w:szCs w:val="18"/>
              </w:rPr>
              <w:t>Ein Elternteil betreut die Kinder; öffentliche Schule kostenlos (Australien: Kinder, Schule und Sprache)</w:t>
            </w:r>
          </w:p>
        </w:tc>
      </w:tr>
      <w:tr w:rsidR="00C1548D" w14:paraId="70A51479" w14:textId="77777777">
        <w:tblPrEx>
          <w:tblCellMar>
            <w:top w:w="0" w:type="dxa"/>
            <w:bottom w:w="0" w:type="dxa"/>
          </w:tblCellMar>
        </w:tblPrEx>
        <w:trPr>
          <w:cantSplit/>
        </w:trPr>
        <w:tc>
          <w:tcPr>
            <w:tcW w:w="17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76" w14:textId="77777777" w:rsidR="00C1548D" w:rsidRDefault="009B1B4B">
            <w:pPr>
              <w:spacing w:line="250" w:lineRule="auto"/>
            </w:pPr>
            <w:r>
              <w:rPr>
                <w:sz w:val="18"/>
                <w:szCs w:val="18"/>
              </w:rPr>
              <w:t>Sonstiges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77" w14:textId="77777777" w:rsidR="00C1548D" w:rsidRDefault="009B1B4B">
            <w:pPr>
              <w:spacing w:line="250" w:lineRule="auto"/>
            </w:pPr>
            <w:r>
              <w:rPr>
                <w:sz w:val="18"/>
                <w:szCs w:val="18"/>
              </w:rPr>
              <w:t>300 AUD</w:t>
            </w:r>
          </w:p>
        </w:tc>
        <w:tc>
          <w:tcPr>
            <w:tcW w:w="3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78" w14:textId="77777777" w:rsidR="00C1548D" w:rsidRDefault="009B1B4B">
            <w:pPr>
              <w:spacing w:line="250" w:lineRule="auto"/>
            </w:pPr>
            <w:r>
              <w:rPr>
                <w:sz w:val="18"/>
                <w:szCs w:val="18"/>
              </w:rPr>
              <w:t>Schätzung: Haftpflicht, Freizeit, freiwillige Schulbeiträge</w:t>
            </w:r>
          </w:p>
        </w:tc>
      </w:tr>
      <w:tr w:rsidR="00C1548D" w14:paraId="70A5147D" w14:textId="77777777">
        <w:tblPrEx>
          <w:tblCellMar>
            <w:top w:w="0" w:type="dxa"/>
            <w:bottom w:w="0" w:type="dxa"/>
          </w:tblCellMar>
        </w:tblPrEx>
        <w:trPr>
          <w:cantSplit/>
        </w:trPr>
        <w:tc>
          <w:tcPr>
            <w:tcW w:w="171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7A" w14:textId="77777777" w:rsidR="00C1548D" w:rsidRDefault="009B1B4B">
            <w:pPr>
              <w:spacing w:line="250" w:lineRule="auto"/>
            </w:pPr>
            <w:r>
              <w:rPr>
                <w:b/>
                <w:bCs/>
                <w:sz w:val="18"/>
                <w:szCs w:val="18"/>
              </w:rPr>
              <w:t>Netto verfügbares Einkommen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7B" w14:textId="77777777" w:rsidR="00C1548D" w:rsidRDefault="009B1B4B">
            <w:pPr>
              <w:spacing w:line="250" w:lineRule="auto"/>
            </w:pPr>
            <w:r>
              <w:rPr>
                <w:b/>
                <w:bCs/>
                <w:sz w:val="18"/>
                <w:szCs w:val="18"/>
              </w:rPr>
              <w:t>3.369 AUD</w:t>
            </w:r>
          </w:p>
        </w:tc>
        <w:tc>
          <w:tcPr>
            <w:tcW w:w="381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7C" w14:textId="77777777" w:rsidR="00C1548D" w:rsidRDefault="009B1B4B">
            <w:pPr>
              <w:spacing w:line="250" w:lineRule="auto"/>
            </w:pPr>
            <w:r>
              <w:rPr>
                <w:sz w:val="18"/>
                <w:szCs w:val="18"/>
              </w:rPr>
              <w:t>entspricht 36,6 % des Nettos nach Steuern</w:t>
            </w:r>
          </w:p>
        </w:tc>
      </w:tr>
    </w:tbl>
    <w:p w14:paraId="70A5147E" w14:textId="77777777" w:rsidR="00C1548D" w:rsidRDefault="00C1548D">
      <w:pPr>
        <w:spacing w:line="180" w:lineRule="exact"/>
      </w:pPr>
    </w:p>
    <w:p w14:paraId="70A5147F" w14:textId="77777777" w:rsidR="00C1548D" w:rsidRDefault="009B1B4B">
      <w:pPr>
        <w:pStyle w:val="Heading3"/>
        <w:keepNext/>
        <w:jc w:val="center"/>
      </w:pPr>
      <w:r>
        <w:rPr>
          <w:rFonts w:ascii="Amazon Ember" w:eastAsia="Amazon Ember" w:hAnsi="Amazon Ember" w:cs="Amazon Ember"/>
          <w:color w:val="0000FF"/>
          <w:sz w:val="36"/>
          <w:szCs w:val="36"/>
        </w:rPr>
        <w:t>Neuseeland</w:t>
      </w:r>
    </w:p>
    <w:p w14:paraId="70A51480" w14:textId="77777777" w:rsidR="00C1548D" w:rsidRDefault="009B1B4B">
      <w:pPr>
        <w:spacing w:after="140"/>
      </w:pPr>
      <w:r>
        <w:t>Auch die neuseeländische Referenzfamilie hält dieselbe Konstellation: Ehepaar mit zwei Kindern unter 17 Jahren, ein Einkommen, ein Elternteil betreut die Kinder zu Hause, öffentliche Schule gebührenfrei. Die Familie zieht mit einem Resident-Visum wie dem Skilled Migrant Category Resident Visa nach Auckland – der teuersten Stadt Neuseelands (Neuseeland: Wohnen) – und hat damit ab dem ersten Tag Zugang zum öffentlichen Gesundheitssystem, ohne die Zwei-Jahres-Wartefrist befristeter Arbeitsvisa (Neuseeland: Ges</w:t>
      </w:r>
      <w:r>
        <w:t xml:space="preserve">undheitssystem). Das Bruttogehalt orientiert sich an den für </w:t>
      </w:r>
      <w:r>
        <w:lastRenderedPageBreak/>
        <w:t>Auckland genannten Senior-Ingenieursgehältern von 140.000 bis 170.000 NZD (Neuseeland: Wohnen); Steuern und ACC-Arbeitnehmerbeitrag sind vereinfacht nach der neuseeländischen Steuertabelle 2026/27 berechnet (Neuseeland: Steuern).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25"/>
        <w:gridCol w:w="950"/>
        <w:gridCol w:w="3805"/>
      </w:tblGrid>
      <w:tr w:rsidR="00C1548D" w14:paraId="70A51484" w14:textId="77777777">
        <w:tblPrEx>
          <w:tblCellMar>
            <w:top w:w="0" w:type="dxa"/>
            <w:bottom w:w="0" w:type="dxa"/>
          </w:tblCellMar>
        </w:tblPrEx>
        <w:trPr>
          <w:cantSplit/>
          <w:tblHeader/>
        </w:trPr>
        <w:tc>
          <w:tcPr>
            <w:tcW w:w="172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81" w14:textId="77777777" w:rsidR="00C1548D" w:rsidRDefault="009B1B4B">
            <w:pPr>
              <w:spacing w:line="250" w:lineRule="auto"/>
            </w:pPr>
            <w:r>
              <w:rPr>
                <w:b/>
                <w:bCs/>
                <w:sz w:val="18"/>
                <w:szCs w:val="18"/>
              </w:rPr>
              <w:t>Posten</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82" w14:textId="77777777" w:rsidR="00C1548D" w:rsidRDefault="009B1B4B">
            <w:pPr>
              <w:spacing w:line="250" w:lineRule="auto"/>
            </w:pPr>
            <w:r>
              <w:rPr>
                <w:b/>
                <w:bCs/>
                <w:sz w:val="18"/>
                <w:szCs w:val="18"/>
              </w:rPr>
              <w:t>Betrag pro Monat</w:t>
            </w:r>
          </w:p>
        </w:tc>
        <w:tc>
          <w:tcPr>
            <w:tcW w:w="380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83" w14:textId="77777777" w:rsidR="00C1548D" w:rsidRDefault="009B1B4B">
            <w:pPr>
              <w:spacing w:line="250" w:lineRule="auto"/>
            </w:pPr>
            <w:r>
              <w:rPr>
                <w:b/>
                <w:bCs/>
                <w:sz w:val="18"/>
                <w:szCs w:val="18"/>
              </w:rPr>
              <w:t>Anmerkung</w:t>
            </w:r>
          </w:p>
        </w:tc>
      </w:tr>
      <w:tr w:rsidR="00C1548D" w14:paraId="70A51488"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85" w14:textId="77777777" w:rsidR="00C1548D" w:rsidRDefault="009B1B4B">
            <w:pPr>
              <w:spacing w:line="250" w:lineRule="auto"/>
            </w:pPr>
            <w:r>
              <w:rPr>
                <w:sz w:val="18"/>
                <w:szCs w:val="18"/>
              </w:rPr>
              <w:t>Bruttogehalt (Familie)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86" w14:textId="77777777" w:rsidR="00C1548D" w:rsidRDefault="009B1B4B">
            <w:pPr>
              <w:spacing w:line="250" w:lineRule="auto"/>
            </w:pPr>
            <w:r>
              <w:rPr>
                <w:sz w:val="18"/>
                <w:szCs w:val="18"/>
              </w:rPr>
              <w:t>12.500 NZD</w:t>
            </w:r>
          </w:p>
        </w:tc>
        <w:tc>
          <w:tcPr>
            <w:tcW w:w="3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87" w14:textId="77777777" w:rsidR="00C1548D" w:rsidRDefault="009B1B4B">
            <w:pPr>
              <w:spacing w:line="250" w:lineRule="auto"/>
            </w:pPr>
            <w:r>
              <w:rPr>
                <w:sz w:val="18"/>
                <w:szCs w:val="18"/>
              </w:rPr>
              <w:t>Senior-Ingenieursgehalt, Auckland, 140.000–170.000 NZD Spanne (Neuseeland: Wohnen)</w:t>
            </w:r>
          </w:p>
        </w:tc>
      </w:tr>
      <w:tr w:rsidR="00C1548D" w14:paraId="70A5148C"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89" w14:textId="77777777" w:rsidR="00C1548D" w:rsidRDefault="009B1B4B">
            <w:pPr>
              <w:spacing w:line="250" w:lineRule="auto"/>
            </w:pPr>
            <w:r>
              <w:rPr>
                <w:sz w:val="18"/>
                <w:szCs w:val="18"/>
              </w:rPr>
              <w:t>Steuern und Sozialabgaben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8A" w14:textId="77777777" w:rsidR="00C1548D" w:rsidRDefault="009B1B4B">
            <w:pPr>
              <w:spacing w:line="250" w:lineRule="auto"/>
            </w:pPr>
            <w:r>
              <w:rPr>
                <w:sz w:val="18"/>
                <w:szCs w:val="18"/>
              </w:rPr>
              <w:t>3.500 NZD</w:t>
            </w:r>
          </w:p>
        </w:tc>
        <w:tc>
          <w:tcPr>
            <w:tcW w:w="3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8B" w14:textId="77777777" w:rsidR="00C1548D" w:rsidRDefault="009B1B4B">
            <w:pPr>
              <w:spacing w:line="250" w:lineRule="auto"/>
            </w:pPr>
            <w:r>
              <w:rPr>
                <w:sz w:val="18"/>
                <w:szCs w:val="18"/>
              </w:rPr>
              <w:t>Einkommensteuer ohne Grundfreibetrag plus ACC Earner’s Levy; vereinfacht (Neuseeland: Steuern)</w:t>
            </w:r>
          </w:p>
        </w:tc>
      </w:tr>
      <w:tr w:rsidR="00C1548D" w14:paraId="70A51490"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8D" w14:textId="77777777" w:rsidR="00C1548D" w:rsidRDefault="009B1B4B">
            <w:pPr>
              <w:spacing w:line="250" w:lineRule="auto"/>
            </w:pPr>
            <w:r>
              <w:rPr>
                <w:sz w:val="18"/>
                <w:szCs w:val="18"/>
              </w:rPr>
              <w:t>Netto nach Steuern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8E" w14:textId="77777777" w:rsidR="00C1548D" w:rsidRDefault="009B1B4B">
            <w:pPr>
              <w:spacing w:line="250" w:lineRule="auto"/>
            </w:pPr>
            <w:r>
              <w:rPr>
                <w:sz w:val="18"/>
                <w:szCs w:val="18"/>
              </w:rPr>
              <w:t>9.000 NZD</w:t>
            </w:r>
          </w:p>
        </w:tc>
        <w:tc>
          <w:tcPr>
            <w:tcW w:w="3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8F" w14:textId="77777777" w:rsidR="00C1548D" w:rsidRDefault="009B1B4B">
            <w:pPr>
              <w:spacing w:line="250" w:lineRule="auto"/>
            </w:pPr>
            <w:r>
              <w:rPr>
                <w:sz w:val="18"/>
                <w:szCs w:val="18"/>
              </w:rPr>
              <w:t>Eigene Berechnung nach der Steuertabelle 2026/27 (Neuseeland: Steuern)</w:t>
            </w:r>
          </w:p>
        </w:tc>
      </w:tr>
      <w:tr w:rsidR="00C1548D" w14:paraId="70A51494"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1" w14:textId="77777777" w:rsidR="00C1548D" w:rsidRDefault="009B1B4B">
            <w:pPr>
              <w:spacing w:line="250" w:lineRule="auto"/>
            </w:pPr>
            <w:r>
              <w:rPr>
                <w:sz w:val="18"/>
                <w:szCs w:val="18"/>
              </w:rPr>
              <w:t>Miete (Haus, Auckland)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2" w14:textId="77777777" w:rsidR="00C1548D" w:rsidRDefault="009B1B4B">
            <w:pPr>
              <w:spacing w:line="250" w:lineRule="auto"/>
            </w:pPr>
            <w:r>
              <w:rPr>
                <w:sz w:val="18"/>
                <w:szCs w:val="18"/>
              </w:rPr>
              <w:t>2.752 NZD</w:t>
            </w:r>
          </w:p>
        </w:tc>
        <w:tc>
          <w:tcPr>
            <w:tcW w:w="3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3" w14:textId="77777777" w:rsidR="00C1548D" w:rsidRDefault="009B1B4B">
            <w:pPr>
              <w:spacing w:line="250" w:lineRule="auto"/>
            </w:pPr>
            <w:r>
              <w:rPr>
                <w:sz w:val="18"/>
                <w:szCs w:val="18"/>
              </w:rPr>
              <w:t>Durchschnittsmiete, teuerste Stadt Neuseelands (Neuseeland: Wohnen)</w:t>
            </w:r>
          </w:p>
        </w:tc>
      </w:tr>
      <w:tr w:rsidR="00C1548D" w14:paraId="70A51498"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5" w14:textId="77777777" w:rsidR="00C1548D" w:rsidRDefault="009B1B4B">
            <w:pPr>
              <w:spacing w:line="250" w:lineRule="auto"/>
            </w:pPr>
            <w:r>
              <w:rPr>
                <w:sz w:val="18"/>
                <w:szCs w:val="18"/>
              </w:rPr>
              <w:t>Nebenkosten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6" w14:textId="77777777" w:rsidR="00C1548D" w:rsidRDefault="009B1B4B">
            <w:pPr>
              <w:spacing w:line="250" w:lineRule="auto"/>
            </w:pPr>
            <w:r>
              <w:rPr>
                <w:sz w:val="18"/>
                <w:szCs w:val="18"/>
              </w:rPr>
              <w:t>300 NZD</w:t>
            </w:r>
          </w:p>
        </w:tc>
        <w:tc>
          <w:tcPr>
            <w:tcW w:w="3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7" w14:textId="77777777" w:rsidR="00C1548D" w:rsidRDefault="009B1B4B">
            <w:pPr>
              <w:spacing w:line="250" w:lineRule="auto"/>
            </w:pPr>
            <w:r>
              <w:rPr>
                <w:sz w:val="18"/>
                <w:szCs w:val="18"/>
              </w:rPr>
              <w:t>Grobe Schätzung, keine Neuseeland-spezifische Zahl vorhanden</w:t>
            </w:r>
          </w:p>
        </w:tc>
      </w:tr>
      <w:tr w:rsidR="00C1548D" w14:paraId="70A5149C"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9" w14:textId="77777777" w:rsidR="00C1548D" w:rsidRDefault="009B1B4B">
            <w:pPr>
              <w:spacing w:line="250" w:lineRule="auto"/>
            </w:pPr>
            <w:r>
              <w:rPr>
                <w:sz w:val="18"/>
                <w:szCs w:val="18"/>
              </w:rPr>
              <w:t>Krankenversicherung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A" w14:textId="77777777" w:rsidR="00C1548D" w:rsidRDefault="009B1B4B">
            <w:pPr>
              <w:spacing w:line="250" w:lineRule="auto"/>
            </w:pPr>
            <w:r>
              <w:rPr>
                <w:sz w:val="18"/>
                <w:szCs w:val="18"/>
              </w:rPr>
              <w:t>0 NZD</w:t>
            </w:r>
          </w:p>
        </w:tc>
        <w:tc>
          <w:tcPr>
            <w:tcW w:w="3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B" w14:textId="77777777" w:rsidR="00C1548D" w:rsidRDefault="009B1B4B">
            <w:pPr>
              <w:spacing w:line="250" w:lineRule="auto"/>
            </w:pPr>
            <w:r>
              <w:rPr>
                <w:sz w:val="18"/>
                <w:szCs w:val="18"/>
              </w:rPr>
              <w:t>Öffentliches System ab Tag 1 bei Resident-Visum (Neuseeland: Gesundheitssystem); Zahn/Augenoptik zusätzlich privat</w:t>
            </w:r>
          </w:p>
        </w:tc>
      </w:tr>
      <w:tr w:rsidR="00C1548D" w14:paraId="70A514A0"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D" w14:textId="77777777" w:rsidR="00C1548D" w:rsidRDefault="009B1B4B">
            <w:pPr>
              <w:spacing w:line="250" w:lineRule="auto"/>
            </w:pPr>
            <w:r>
              <w:rPr>
                <w:sz w:val="18"/>
                <w:szCs w:val="18"/>
              </w:rPr>
              <w:t>Lebensmittel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E" w14:textId="77777777" w:rsidR="00C1548D" w:rsidRDefault="009B1B4B">
            <w:pPr>
              <w:spacing w:line="250" w:lineRule="auto"/>
            </w:pPr>
            <w:r>
              <w:rPr>
                <w:sz w:val="18"/>
                <w:szCs w:val="18"/>
              </w:rPr>
              <w:t>1.300 NZD</w:t>
            </w:r>
          </w:p>
        </w:tc>
        <w:tc>
          <w:tcPr>
            <w:tcW w:w="3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9F" w14:textId="77777777" w:rsidR="00C1548D" w:rsidRDefault="009B1B4B">
            <w:pPr>
              <w:spacing w:line="250" w:lineRule="auto"/>
            </w:pPr>
            <w:r>
              <w:rPr>
                <w:sz w:val="18"/>
                <w:szCs w:val="18"/>
              </w:rPr>
              <w:t>Grobe Schätzung, keine Neuseeland-spezifische Zahl vorhanden</w:t>
            </w:r>
          </w:p>
        </w:tc>
      </w:tr>
      <w:tr w:rsidR="00C1548D" w14:paraId="70A514A4"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1" w14:textId="77777777" w:rsidR="00C1548D" w:rsidRDefault="009B1B4B">
            <w:pPr>
              <w:spacing w:line="250" w:lineRule="auto"/>
            </w:pPr>
            <w:r>
              <w:rPr>
                <w:sz w:val="18"/>
                <w:szCs w:val="18"/>
              </w:rPr>
              <w:t>Auto und Versicherung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2" w14:textId="77777777" w:rsidR="00C1548D" w:rsidRDefault="009B1B4B">
            <w:pPr>
              <w:spacing w:line="250" w:lineRule="auto"/>
            </w:pPr>
            <w:r>
              <w:rPr>
                <w:sz w:val="18"/>
                <w:szCs w:val="18"/>
              </w:rPr>
              <w:t>109 NZD</w:t>
            </w:r>
          </w:p>
        </w:tc>
        <w:tc>
          <w:tcPr>
            <w:tcW w:w="3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3" w14:textId="77777777" w:rsidR="00C1548D" w:rsidRDefault="009B1B4B">
            <w:pPr>
              <w:spacing w:line="250" w:lineRule="auto"/>
            </w:pPr>
            <w:r>
              <w:rPr>
                <w:sz w:val="18"/>
                <w:szCs w:val="18"/>
              </w:rPr>
              <w:t>Durchschnittliche Vollkaskoprämie (Neuseeland: Führerschein und Auto)</w:t>
            </w:r>
          </w:p>
        </w:tc>
      </w:tr>
      <w:tr w:rsidR="00C1548D" w14:paraId="70A514A8"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5" w14:textId="77777777" w:rsidR="00C1548D" w:rsidRDefault="009B1B4B">
            <w:pPr>
              <w:spacing w:line="250" w:lineRule="auto"/>
            </w:pPr>
            <w:r>
              <w:rPr>
                <w:sz w:val="18"/>
                <w:szCs w:val="18"/>
              </w:rPr>
              <w:t>Kinderbetreuung/Schule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6" w14:textId="77777777" w:rsidR="00C1548D" w:rsidRDefault="009B1B4B">
            <w:pPr>
              <w:spacing w:line="250" w:lineRule="auto"/>
            </w:pPr>
            <w:r>
              <w:rPr>
                <w:sz w:val="18"/>
                <w:szCs w:val="18"/>
              </w:rPr>
              <w:t>0 NZD</w:t>
            </w:r>
          </w:p>
        </w:tc>
        <w:tc>
          <w:tcPr>
            <w:tcW w:w="3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7" w14:textId="77777777" w:rsidR="00C1548D" w:rsidRDefault="009B1B4B">
            <w:pPr>
              <w:spacing w:line="250" w:lineRule="auto"/>
            </w:pPr>
            <w:r>
              <w:rPr>
                <w:sz w:val="18"/>
                <w:szCs w:val="18"/>
              </w:rPr>
              <w:t>Ein Elternteil betreut die Kinder; öffentliche Schule gebührenfrei (Neuseeland: Kinder, Schule und Sprache)</w:t>
            </w:r>
          </w:p>
        </w:tc>
      </w:tr>
      <w:tr w:rsidR="00C1548D" w14:paraId="70A514AC"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9" w14:textId="77777777" w:rsidR="00C1548D" w:rsidRDefault="009B1B4B">
            <w:pPr>
              <w:spacing w:line="250" w:lineRule="auto"/>
            </w:pPr>
            <w:r>
              <w:rPr>
                <w:sz w:val="18"/>
                <w:szCs w:val="18"/>
              </w:rPr>
              <w:t>Sonstiges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A" w14:textId="77777777" w:rsidR="00C1548D" w:rsidRDefault="009B1B4B">
            <w:pPr>
              <w:spacing w:line="250" w:lineRule="auto"/>
            </w:pPr>
            <w:r>
              <w:rPr>
                <w:sz w:val="18"/>
                <w:szCs w:val="18"/>
              </w:rPr>
              <w:t>300 NZD</w:t>
            </w:r>
          </w:p>
        </w:tc>
        <w:tc>
          <w:tcPr>
            <w:tcW w:w="3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B" w14:textId="77777777" w:rsidR="00C1548D" w:rsidRDefault="009B1B4B">
            <w:pPr>
              <w:spacing w:line="250" w:lineRule="auto"/>
            </w:pPr>
            <w:r>
              <w:rPr>
                <w:sz w:val="18"/>
                <w:szCs w:val="18"/>
              </w:rPr>
              <w:t>Schätzung: Haftpflicht, Freizeit, freiwillige Schulspende</w:t>
            </w:r>
          </w:p>
        </w:tc>
      </w:tr>
      <w:tr w:rsidR="00C1548D" w14:paraId="70A514B0" w14:textId="77777777">
        <w:tblPrEx>
          <w:tblCellMar>
            <w:top w:w="0" w:type="dxa"/>
            <w:bottom w:w="0" w:type="dxa"/>
          </w:tblCellMar>
        </w:tblPrEx>
        <w:trPr>
          <w:cantSplit/>
        </w:trPr>
        <w:tc>
          <w:tcPr>
            <w:tcW w:w="172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D" w14:textId="77777777" w:rsidR="00C1548D" w:rsidRDefault="009B1B4B">
            <w:pPr>
              <w:spacing w:line="250" w:lineRule="auto"/>
            </w:pPr>
            <w:r>
              <w:rPr>
                <w:b/>
                <w:bCs/>
                <w:sz w:val="18"/>
                <w:szCs w:val="18"/>
              </w:rPr>
              <w:t>Netto verfügbares Einkommen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E" w14:textId="77777777" w:rsidR="00C1548D" w:rsidRDefault="009B1B4B">
            <w:pPr>
              <w:spacing w:line="250" w:lineRule="auto"/>
            </w:pPr>
            <w:r>
              <w:rPr>
                <w:b/>
                <w:bCs/>
                <w:sz w:val="18"/>
                <w:szCs w:val="18"/>
              </w:rPr>
              <w:t>4.239 NZD</w:t>
            </w:r>
          </w:p>
        </w:tc>
        <w:tc>
          <w:tcPr>
            <w:tcW w:w="380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AF" w14:textId="77777777" w:rsidR="00C1548D" w:rsidRDefault="009B1B4B">
            <w:pPr>
              <w:spacing w:line="250" w:lineRule="auto"/>
            </w:pPr>
            <w:r>
              <w:rPr>
                <w:sz w:val="18"/>
                <w:szCs w:val="18"/>
              </w:rPr>
              <w:t>entspricht 47,1 % des Nettos nach Steuern</w:t>
            </w:r>
          </w:p>
        </w:tc>
      </w:tr>
    </w:tbl>
    <w:p w14:paraId="70A514B1"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14B4"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14B2" w14:textId="77777777" w:rsidR="00C1548D" w:rsidRDefault="009B1B4B">
            <w:pPr>
              <w:keepNext/>
              <w:spacing w:after="70" w:line="240" w:lineRule="auto"/>
            </w:pPr>
            <w:r>
              <w:rPr>
                <w:b/>
                <w:bCs/>
                <w:color w:val="6B7280"/>
                <w:spacing w:val="24"/>
                <w:sz w:val="16"/>
                <w:szCs w:val="16"/>
              </w:rPr>
              <w:lastRenderedPageBreak/>
              <w:t>STAND</w:t>
            </w:r>
          </w:p>
          <w:p w14:paraId="70A514B3" w14:textId="1D724DF9" w:rsidR="00C1548D" w:rsidRDefault="009B1B4B">
            <w:pPr>
              <w:spacing w:after="80" w:line="264" w:lineRule="auto"/>
            </w:pPr>
            <w:r>
              <w:rPr>
                <w:sz w:val="20"/>
                <w:szCs w:val="20"/>
              </w:rPr>
              <w:t>September 2026. Diese Budgets sind vereinfachte Näherungen auf Basis der in Kapitel </w:t>
            </w:r>
            <w:hyperlink w:anchor="k3" w:history="1">
              <w:r>
                <w:rPr>
                  <w:sz w:val="20"/>
                  <w:szCs w:val="20"/>
                </w:rPr>
                <w:t>3</w:t>
              </w:r>
            </w:hyperlink>
            <w:r>
              <w:rPr>
                <w:sz w:val="20"/>
                <w:szCs w:val="20"/>
              </w:rPr>
              <w:t xml:space="preserve">, </w:t>
            </w:r>
            <w:hyperlink w:anchor="k12" w:history="1">
              <w:r>
                <w:rPr>
                  <w:sz w:val="20"/>
                  <w:szCs w:val="20"/>
                </w:rPr>
                <w:t>12</w:t>
              </w:r>
            </w:hyperlink>
            <w:r>
              <w:rPr>
                <w:sz w:val="20"/>
                <w:szCs w:val="20"/>
              </w:rPr>
              <w:t xml:space="preserve">, </w:t>
            </w:r>
            <w:hyperlink w:anchor="k13" w:history="1">
              <w:r>
                <w:rPr>
                  <w:sz w:val="20"/>
                  <w:szCs w:val="20"/>
                </w:rPr>
                <w:t>13</w:t>
              </w:r>
            </w:hyperlink>
            <w:r>
              <w:rPr>
                <w:sz w:val="20"/>
                <w:szCs w:val="20"/>
              </w:rPr>
              <w:t xml:space="preserve">, </w:t>
            </w:r>
            <w:hyperlink w:anchor="k14" w:history="1">
              <w:r>
                <w:rPr>
                  <w:sz w:val="20"/>
                  <w:szCs w:val="20"/>
                </w:rPr>
                <w:t>14</w:t>
              </w:r>
            </w:hyperlink>
            <w:r>
              <w:rPr>
                <w:sz w:val="20"/>
                <w:szCs w:val="20"/>
              </w:rPr>
              <w:t xml:space="preserve">, </w:t>
            </w:r>
            <w:hyperlink w:anchor="k27" w:history="1">
              <w:r>
                <w:rPr>
                  <w:sz w:val="20"/>
                  <w:szCs w:val="20"/>
                </w:rPr>
                <w:t>27</w:t>
              </w:r>
            </w:hyperlink>
            <w:r>
              <w:rPr>
                <w:sz w:val="20"/>
                <w:szCs w:val="20"/>
              </w:rPr>
              <w:t xml:space="preserve">, </w:t>
            </w:r>
            <w:hyperlink w:anchor="k28" w:history="1">
              <w:r>
                <w:rPr>
                  <w:sz w:val="20"/>
                  <w:szCs w:val="20"/>
                </w:rPr>
                <w:t>28</w:t>
              </w:r>
            </w:hyperlink>
            <w:r>
              <w:rPr>
                <w:sz w:val="20"/>
                <w:szCs w:val="20"/>
              </w:rPr>
              <w:t xml:space="preserve">, </w:t>
            </w:r>
            <w:hyperlink w:anchor="k35" w:history="1">
              <w:r>
                <w:rPr>
                  <w:sz w:val="20"/>
                  <w:szCs w:val="20"/>
                </w:rPr>
                <w:t>35</w:t>
              </w:r>
            </w:hyperlink>
            <w:r>
              <w:rPr>
                <w:sz w:val="20"/>
                <w:szCs w:val="20"/>
              </w:rPr>
              <w:t xml:space="preserve"> und </w:t>
            </w:r>
            <w:hyperlink w:anchor="k38" w:history="1">
              <w:r>
                <w:rPr>
                  <w:sz w:val="20"/>
                  <w:szCs w:val="20"/>
                </w:rPr>
                <w:t>38</w:t>
              </w:r>
            </w:hyperlink>
            <w:r>
              <w:rPr>
                <w:sz w:val="20"/>
                <w:szCs w:val="20"/>
              </w:rPr>
              <w:t xml:space="preserve"> geprüften Zahlen; sie ersetzen keine individuelle Berechnung mit dem eigenen Gehalt, Wohnort und der eigenen Familiengröße. Mieten, Krankenversicherungsprämien, Lebensmittelpreise und Steuersätze ändern sich laufend – rechne vor jeder Entscheidung mit aktuellen Zahlen. Die Budgets für Kanada, Australien und Neuseeland beruhen ebenso vereinfacht auf den Steuer-, Gesundheits- und Wohnen-Kapiteln der jeweiligen Länderteile; Nebenkosten und Lebensmittel sind dort mangels landesspezifischer Zahlen grobe, gekenn</w:t>
            </w:r>
            <w:r>
              <w:rPr>
                <w:sz w:val="20"/>
                <w:szCs w:val="20"/>
              </w:rPr>
              <w:t>zeichnete Schätzungen.</w:t>
            </w:r>
          </w:p>
        </w:tc>
      </w:tr>
    </w:tbl>
    <w:p w14:paraId="70A514B5" w14:textId="77777777" w:rsidR="00C1548D" w:rsidRDefault="00C1548D">
      <w:pPr>
        <w:spacing w:line="220" w:lineRule="exact"/>
      </w:pPr>
    </w:p>
    <w:p w14:paraId="70A514B6" w14:textId="77777777" w:rsidR="00C1548D" w:rsidRDefault="009B1B4B">
      <w:pPr>
        <w:pStyle w:val="Heading2"/>
        <w:keepNext/>
        <w:pageBreakBefore/>
        <w:jc w:val="center"/>
      </w:pPr>
      <w:bookmarkStart w:id="210" w:name="anhang_f"/>
      <w:bookmarkStart w:id="211" w:name="_Toc241352557"/>
      <w:r>
        <w:rPr>
          <w:rFonts w:ascii="Amazon Ember" w:eastAsia="Amazon Ember" w:hAnsi="Amazon Ember" w:cs="Amazon Ember"/>
          <w:color w:val="0000FF"/>
          <w:sz w:val="36"/>
          <w:szCs w:val="36"/>
        </w:rPr>
        <w:lastRenderedPageBreak/>
        <w:t>Anhang F: Offizielle Quellen und Adressen</w:t>
      </w:r>
      <w:bookmarkEnd w:id="210"/>
      <w:bookmarkEnd w:id="211"/>
    </w:p>
    <w:p w14:paraId="70A514B7" w14:textId="77777777" w:rsidR="00C1548D" w:rsidRDefault="009B1B4B">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 die Kapitelzählung dieser drei Länderteile eigenständig ist. Die ausf</w:t>
      </w:r>
      <w:r>
        <w:t>ührliche Quellenliste mit Kontext steht zusätzlich am Ende jedes Kapitels. Kurzadressen stehen ohne „https://“.</w:t>
      </w:r>
    </w:p>
    <w:p w14:paraId="70A514B8" w14:textId="77777777" w:rsidR="00C1548D" w:rsidRDefault="009B1B4B">
      <w:pPr>
        <w:pStyle w:val="Heading2"/>
        <w:keepNext/>
        <w:pageBreakBefore/>
        <w:jc w:val="center"/>
      </w:pPr>
      <w:bookmarkStart w:id="212" w:name="s101"/>
      <w:bookmarkStart w:id="213" w:name="_Toc241352558"/>
      <w:r>
        <w:rPr>
          <w:rFonts w:ascii="Amazon Ember" w:eastAsia="Amazon Ember" w:hAnsi="Amazon Ember" w:cs="Amazon Ember"/>
          <w:color w:val="0000FF"/>
          <w:sz w:val="36"/>
          <w:szCs w:val="36"/>
        </w:rPr>
        <w:lastRenderedPageBreak/>
        <w:t>USA</w:t>
      </w:r>
      <w:bookmarkEnd w:id="212"/>
      <w:bookmarkEnd w:id="213"/>
    </w:p>
    <w:p w14:paraId="70A514B9" w14:textId="77777777" w:rsidR="00C1548D" w:rsidRDefault="009B1B4B">
      <w:pPr>
        <w:pStyle w:val="Heading3"/>
        <w:keepNext/>
        <w:jc w:val="center"/>
      </w:pPr>
      <w:r>
        <w:rPr>
          <w:rFonts w:ascii="Amazon Ember" w:eastAsia="Amazon Ember" w:hAnsi="Amazon Ember" w:cs="Amazon Ember"/>
          <w:color w:val="0000FF"/>
          <w:sz w:val="36"/>
          <w:szCs w:val="36"/>
        </w:rPr>
        <w:t>US-Einwanderungsbehörden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6"/>
        <w:gridCol w:w="2696"/>
        <w:gridCol w:w="1088"/>
      </w:tblGrid>
      <w:tr w:rsidR="00C1548D" w14:paraId="70A514BD" w14:textId="77777777">
        <w:tblPrEx>
          <w:tblCellMar>
            <w:top w:w="0" w:type="dxa"/>
            <w:bottom w:w="0" w:type="dxa"/>
          </w:tblCellMar>
        </w:tblPrEx>
        <w:trPr>
          <w:cantSplit/>
          <w:tblHeader/>
        </w:trPr>
        <w:tc>
          <w:tcPr>
            <w:tcW w:w="269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BA" w14:textId="77777777" w:rsidR="00C1548D" w:rsidRDefault="009B1B4B">
            <w:pPr>
              <w:spacing w:line="250" w:lineRule="auto"/>
            </w:pPr>
            <w:r>
              <w:rPr>
                <w:b/>
                <w:bCs/>
                <w:sz w:val="18"/>
                <w:szCs w:val="18"/>
              </w:rPr>
              <w:t>Adresse</w:t>
            </w:r>
          </w:p>
        </w:tc>
        <w:tc>
          <w:tcPr>
            <w:tcW w:w="269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BB" w14:textId="77777777" w:rsidR="00C1548D" w:rsidRDefault="009B1B4B">
            <w:pPr>
              <w:spacing w:line="250" w:lineRule="auto"/>
            </w:pPr>
            <w:r>
              <w:rPr>
                <w:b/>
                <w:bCs/>
                <w:sz w:val="18"/>
                <w:szCs w:val="18"/>
              </w:rPr>
              <w:t>Behörde / Thema</w:t>
            </w:r>
          </w:p>
        </w:tc>
        <w:tc>
          <w:tcPr>
            <w:tcW w:w="108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4BC" w14:textId="77777777" w:rsidR="00C1548D" w:rsidRDefault="009B1B4B">
            <w:pPr>
              <w:spacing w:line="250" w:lineRule="auto"/>
            </w:pPr>
            <w:r>
              <w:rPr>
                <w:b/>
                <w:bCs/>
                <w:sz w:val="18"/>
                <w:szCs w:val="18"/>
              </w:rPr>
              <w:t>Kapitel</w:t>
            </w:r>
          </w:p>
        </w:tc>
      </w:tr>
      <w:tr w:rsidR="00C1548D" w14:paraId="70A514C1"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BE" w14:textId="77777777" w:rsidR="00C1548D" w:rsidRDefault="009B1B4B">
            <w:pPr>
              <w:spacing w:line="250" w:lineRule="auto"/>
            </w:pPr>
            <w:r>
              <w:rPr>
                <w:sz w:val="18"/>
                <w:szCs w:val="18"/>
              </w:rPr>
              <w:t>ceac.state.gov/genniv</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BF" w14:textId="77777777" w:rsidR="00C1548D" w:rsidRDefault="009B1B4B">
            <w:pPr>
              <w:spacing w:line="250" w:lineRule="auto"/>
            </w:pPr>
            <w:r>
              <w:rPr>
                <w:sz w:val="18"/>
                <w:szCs w:val="18"/>
              </w:rPr>
              <w:t>DS-160 ausfüllen, Statusabfrage</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0" w14:textId="5F9E54E3" w:rsidR="00C1548D" w:rsidRDefault="009B1B4B">
            <w:pPr>
              <w:spacing w:line="250" w:lineRule="auto"/>
            </w:pPr>
            <w:r>
              <w:rPr>
                <w:sz w:val="18"/>
                <w:szCs w:val="18"/>
              </w:rPr>
              <w:t>Kapitel </w:t>
            </w:r>
            <w:hyperlink w:anchor="k11" w:history="1">
              <w:r>
                <w:rPr>
                  <w:sz w:val="18"/>
                  <w:szCs w:val="18"/>
                </w:rPr>
                <w:t>11</w:t>
              </w:r>
            </w:hyperlink>
          </w:p>
        </w:tc>
      </w:tr>
      <w:tr w:rsidR="00C1548D" w14:paraId="70A514C5"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2" w14:textId="77777777" w:rsidR="00C1548D" w:rsidRDefault="009B1B4B">
            <w:pPr>
              <w:spacing w:line="250" w:lineRule="auto"/>
            </w:pPr>
            <w:r>
              <w:rPr>
                <w:sz w:val="18"/>
                <w:szCs w:val="18"/>
              </w:rPr>
              <w:t>cbp.gov/travel (auch esta.cbp.dhs.gov, cbp.gov/travel/international-visitors/visa-waiver-program)</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3" w14:textId="77777777" w:rsidR="00C1548D" w:rsidRDefault="009B1B4B">
            <w:pPr>
              <w:spacing w:line="250" w:lineRule="auto"/>
            </w:pPr>
            <w:r>
              <w:rPr>
                <w:sz w:val="18"/>
                <w:szCs w:val="18"/>
              </w:rPr>
              <w:t>ESTA und Visa Waiver Program</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4" w14:textId="5FD061BD" w:rsidR="00C1548D" w:rsidRDefault="009B1B4B">
            <w:pPr>
              <w:spacing w:line="250" w:lineRule="auto"/>
            </w:pPr>
            <w:r>
              <w:rPr>
                <w:sz w:val="18"/>
                <w:szCs w:val="18"/>
              </w:rPr>
              <w:t>Kapitel </w:t>
            </w:r>
            <w:hyperlink w:anchor="k4" w:history="1">
              <w:r>
                <w:rPr>
                  <w:sz w:val="18"/>
                  <w:szCs w:val="18"/>
                </w:rPr>
                <w:t>4</w:t>
              </w:r>
            </w:hyperlink>
            <w:r>
              <w:rPr>
                <w:sz w:val="18"/>
                <w:szCs w:val="18"/>
              </w:rPr>
              <w:t xml:space="preserve">, </w:t>
            </w:r>
            <w:hyperlink w:anchor="k9" w:history="1">
              <w:r>
                <w:rPr>
                  <w:sz w:val="18"/>
                  <w:szCs w:val="18"/>
                </w:rPr>
                <w:t>9</w:t>
              </w:r>
            </w:hyperlink>
          </w:p>
        </w:tc>
      </w:tr>
      <w:tr w:rsidR="00C1548D" w14:paraId="70A514C9"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6" w14:textId="77777777" w:rsidR="00C1548D" w:rsidRDefault="009B1B4B">
            <w:pPr>
              <w:spacing w:line="250" w:lineRule="auto"/>
            </w:pPr>
            <w:r>
              <w:rPr>
                <w:sz w:val="18"/>
                <w:szCs w:val="18"/>
              </w:rPr>
              <w:t>cbp.gov/travel/international-visitors/i-94 (auch i94.cbp.dhs.gov)</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7" w14:textId="77777777" w:rsidR="00C1548D" w:rsidRDefault="009B1B4B">
            <w:pPr>
              <w:spacing w:line="250" w:lineRule="auto"/>
            </w:pPr>
            <w:r>
              <w:rPr>
                <w:sz w:val="18"/>
                <w:szCs w:val="18"/>
              </w:rPr>
              <w:t>Einreisenachweis I-94, elektronischer Abruf</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8" w14:textId="045DE383" w:rsidR="00C1548D" w:rsidRDefault="009B1B4B">
            <w:pPr>
              <w:spacing w:line="250" w:lineRule="auto"/>
            </w:pPr>
            <w:r>
              <w:rPr>
                <w:sz w:val="18"/>
                <w:szCs w:val="18"/>
              </w:rPr>
              <w:t>Kapitel </w:t>
            </w:r>
            <w:hyperlink w:anchor="k10" w:history="1">
              <w:r>
                <w:rPr>
                  <w:sz w:val="18"/>
                  <w:szCs w:val="18"/>
                </w:rPr>
                <w:t>10</w:t>
              </w:r>
            </w:hyperlink>
            <w:r>
              <w:rPr>
                <w:sz w:val="18"/>
                <w:szCs w:val="18"/>
              </w:rPr>
              <w:t xml:space="preserve">, </w:t>
            </w:r>
            <w:hyperlink w:anchor="k23" w:history="1">
              <w:r>
                <w:rPr>
                  <w:sz w:val="18"/>
                  <w:szCs w:val="18"/>
                </w:rPr>
                <w:t>23</w:t>
              </w:r>
            </w:hyperlink>
          </w:p>
        </w:tc>
      </w:tr>
      <w:tr w:rsidR="00C1548D" w14:paraId="70A514CD"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A" w14:textId="77777777" w:rsidR="00C1548D" w:rsidRDefault="009B1B4B">
            <w:pPr>
              <w:spacing w:line="250" w:lineRule="auto"/>
            </w:pPr>
            <w:r>
              <w:rPr>
                <w:sz w:val="18"/>
                <w:szCs w:val="18"/>
              </w:rPr>
              <w:t>cbp.gov/document/forms/form-3299-declaration-free-entry-unaccompanied-articles (auch cbp.gov, Suche „household effects“)</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B" w14:textId="77777777" w:rsidR="00C1548D" w:rsidRDefault="009B1B4B">
            <w:pPr>
              <w:spacing w:line="250" w:lineRule="auto"/>
            </w:pPr>
            <w:r>
              <w:rPr>
                <w:sz w:val="18"/>
                <w:szCs w:val="18"/>
              </w:rPr>
              <w:t>Zollerklärung für Umzugsgut, Form 3299</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C" w14:textId="2CA3D761" w:rsidR="00C1548D" w:rsidRDefault="009B1B4B">
            <w:pPr>
              <w:spacing w:line="250" w:lineRule="auto"/>
            </w:pPr>
            <w:r>
              <w:rPr>
                <w:sz w:val="18"/>
                <w:szCs w:val="18"/>
              </w:rPr>
              <w:t>Kapitel </w:t>
            </w:r>
            <w:hyperlink w:anchor="k20" w:history="1">
              <w:r>
                <w:rPr>
                  <w:sz w:val="18"/>
                  <w:szCs w:val="18"/>
                </w:rPr>
                <w:t>20</w:t>
              </w:r>
            </w:hyperlink>
            <w:r>
              <w:rPr>
                <w:sz w:val="18"/>
                <w:szCs w:val="18"/>
              </w:rPr>
              <w:t xml:space="preserve">, </w:t>
            </w:r>
            <w:hyperlink w:anchor="k21" w:history="1">
              <w:r>
                <w:rPr>
                  <w:sz w:val="18"/>
                  <w:szCs w:val="18"/>
                </w:rPr>
                <w:t>21</w:t>
              </w:r>
            </w:hyperlink>
          </w:p>
        </w:tc>
      </w:tr>
      <w:tr w:rsidR="00C1548D" w14:paraId="70A514D1"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E" w14:textId="77777777" w:rsidR="00C1548D" w:rsidRDefault="009B1B4B">
            <w:pPr>
              <w:spacing w:line="250" w:lineRule="auto"/>
            </w:pPr>
            <w:r>
              <w:rPr>
                <w:sz w:val="18"/>
                <w:szCs w:val="18"/>
              </w:rPr>
              <w:t>cbp.gov/trade/basic-import-export/importing-car</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CF" w14:textId="77777777" w:rsidR="00C1548D" w:rsidRDefault="009B1B4B">
            <w:pPr>
              <w:spacing w:line="250" w:lineRule="auto"/>
            </w:pPr>
            <w:r>
              <w:rPr>
                <w:sz w:val="18"/>
                <w:szCs w:val="18"/>
              </w:rPr>
              <w:t>Fahrzeuge in die USA einführen</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0" w14:textId="70081774" w:rsidR="00C1548D" w:rsidRDefault="009B1B4B">
            <w:pPr>
              <w:spacing w:line="250" w:lineRule="auto"/>
            </w:pPr>
            <w:r>
              <w:rPr>
                <w:sz w:val="18"/>
                <w:szCs w:val="18"/>
              </w:rPr>
              <w:t>Kapitel </w:t>
            </w:r>
            <w:hyperlink w:anchor="k27" w:history="1">
              <w:r>
                <w:rPr>
                  <w:sz w:val="18"/>
                  <w:szCs w:val="18"/>
                </w:rPr>
                <w:t>27</w:t>
              </w:r>
            </w:hyperlink>
          </w:p>
        </w:tc>
      </w:tr>
      <w:tr w:rsidR="00C1548D" w14:paraId="70A514D5"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2" w14:textId="77777777" w:rsidR="00C1548D" w:rsidRDefault="009B1B4B">
            <w:pPr>
              <w:spacing w:line="250" w:lineRule="auto"/>
            </w:pPr>
            <w:r>
              <w:rPr>
                <w:sz w:val="18"/>
                <w:szCs w:val="18"/>
              </w:rPr>
              <w:t>cbp.gov</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3" w14:textId="77777777" w:rsidR="00C1548D" w:rsidRDefault="009B1B4B">
            <w:pPr>
              <w:spacing w:line="250" w:lineRule="auto"/>
            </w:pPr>
            <w:r>
              <w:rPr>
                <w:sz w:val="18"/>
                <w:szCs w:val="18"/>
              </w:rPr>
              <w:t>Einfuhr von Lebensmitteln (Suche: prohibited and restricted items), Reisen mit Medikamenten</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4" w14:textId="786EC749" w:rsidR="00C1548D" w:rsidRDefault="009B1B4B">
            <w:pPr>
              <w:spacing w:line="250" w:lineRule="auto"/>
            </w:pPr>
            <w:r>
              <w:rPr>
                <w:sz w:val="18"/>
                <w:szCs w:val="18"/>
              </w:rPr>
              <w:t>Kapitel </w:t>
            </w:r>
            <w:hyperlink w:anchor="k18" w:history="1">
              <w:r>
                <w:rPr>
                  <w:sz w:val="18"/>
                  <w:szCs w:val="18"/>
                </w:rPr>
                <w:t>18</w:t>
              </w:r>
            </w:hyperlink>
            <w:r>
              <w:rPr>
                <w:sz w:val="18"/>
                <w:szCs w:val="18"/>
              </w:rPr>
              <w:t xml:space="preserve">, </w:t>
            </w:r>
            <w:hyperlink w:anchor="k35" w:history="1">
              <w:r>
                <w:rPr>
                  <w:sz w:val="18"/>
                  <w:szCs w:val="18"/>
                </w:rPr>
                <w:t>35</w:t>
              </w:r>
            </w:hyperlink>
          </w:p>
        </w:tc>
      </w:tr>
      <w:tr w:rsidR="00C1548D" w14:paraId="70A514D9"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6" w14:textId="77777777" w:rsidR="00C1548D" w:rsidRDefault="009B1B4B">
            <w:pPr>
              <w:spacing w:line="250" w:lineRule="auto"/>
            </w:pPr>
            <w:r>
              <w:rPr>
                <w:sz w:val="18"/>
                <w:szCs w:val="18"/>
              </w:rPr>
              <w:t>de.usembassy.gov/visas</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7" w14:textId="77777777" w:rsidR="00C1548D" w:rsidRDefault="009B1B4B">
            <w:pPr>
              <w:spacing w:line="250" w:lineRule="auto"/>
            </w:pPr>
            <w:r>
              <w:rPr>
                <w:sz w:val="18"/>
                <w:szCs w:val="18"/>
              </w:rPr>
              <w:t>US-Botschaft und Konsulate in Deutschland, Visaverfahren und Terminportal</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8" w14:textId="5C038A44" w:rsidR="00C1548D" w:rsidRDefault="009B1B4B">
            <w:pPr>
              <w:spacing w:line="250" w:lineRule="auto"/>
            </w:pPr>
            <w:r>
              <w:rPr>
                <w:sz w:val="18"/>
                <w:szCs w:val="18"/>
              </w:rPr>
              <w:t>Kapitel </w:t>
            </w:r>
            <w:hyperlink w:anchor="k5" w:history="1">
              <w:r>
                <w:rPr>
                  <w:sz w:val="18"/>
                  <w:szCs w:val="18"/>
                </w:rPr>
                <w:t>5</w:t>
              </w:r>
            </w:hyperlink>
            <w:r>
              <w:rPr>
                <w:sz w:val="18"/>
                <w:szCs w:val="18"/>
              </w:rPr>
              <w:t xml:space="preserve">, </w:t>
            </w:r>
            <w:hyperlink w:anchor="k6" w:history="1">
              <w:r>
                <w:rPr>
                  <w:sz w:val="18"/>
                  <w:szCs w:val="18"/>
                </w:rPr>
                <w:t>6</w:t>
              </w:r>
            </w:hyperlink>
            <w:r>
              <w:rPr>
                <w:sz w:val="18"/>
                <w:szCs w:val="18"/>
              </w:rPr>
              <w:t xml:space="preserve">, </w:t>
            </w:r>
            <w:hyperlink w:anchor="k9" w:history="1">
              <w:r>
                <w:rPr>
                  <w:sz w:val="18"/>
                  <w:szCs w:val="18"/>
                </w:rPr>
                <w:t>9</w:t>
              </w:r>
            </w:hyperlink>
            <w:r>
              <w:rPr>
                <w:sz w:val="18"/>
                <w:szCs w:val="18"/>
              </w:rPr>
              <w:t xml:space="preserve">, </w:t>
            </w:r>
            <w:hyperlink w:anchor="k11" w:history="1">
              <w:r>
                <w:rPr>
                  <w:sz w:val="18"/>
                  <w:szCs w:val="18"/>
                </w:rPr>
                <w:t>11</w:t>
              </w:r>
            </w:hyperlink>
          </w:p>
        </w:tc>
      </w:tr>
      <w:tr w:rsidR="00C1548D" w14:paraId="70A514DD"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A" w14:textId="77777777" w:rsidR="00C1548D" w:rsidRDefault="009B1B4B">
            <w:pPr>
              <w:spacing w:line="250" w:lineRule="auto"/>
            </w:pPr>
            <w:r>
              <w:rPr>
                <w:sz w:val="18"/>
                <w:szCs w:val="18"/>
              </w:rPr>
              <w:t>dol.gov/agencies/eta/foreign-labor/programs/h-1b</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B" w14:textId="77777777" w:rsidR="00C1548D" w:rsidRDefault="009B1B4B">
            <w:pPr>
              <w:spacing w:line="250" w:lineRule="auto"/>
            </w:pPr>
            <w:r>
              <w:rPr>
                <w:sz w:val="18"/>
                <w:szCs w:val="18"/>
              </w:rPr>
              <w:t>H-1B, Lohnbescheid (LCA) und Prevailing Wage</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C" w14:textId="4D4C79A7" w:rsidR="00C1548D" w:rsidRDefault="009B1B4B">
            <w:pPr>
              <w:spacing w:line="250" w:lineRule="auto"/>
            </w:pPr>
            <w:r>
              <w:rPr>
                <w:sz w:val="18"/>
                <w:szCs w:val="18"/>
              </w:rPr>
              <w:t>Kapitel </w:t>
            </w:r>
            <w:hyperlink w:anchor="k5" w:history="1">
              <w:r>
                <w:rPr>
                  <w:sz w:val="18"/>
                  <w:szCs w:val="18"/>
                </w:rPr>
                <w:t>5</w:t>
              </w:r>
            </w:hyperlink>
            <w:r>
              <w:rPr>
                <w:sz w:val="18"/>
                <w:szCs w:val="18"/>
              </w:rPr>
              <w:t xml:space="preserve">, </w:t>
            </w:r>
            <w:hyperlink w:anchor="k29" w:history="1">
              <w:r>
                <w:rPr>
                  <w:sz w:val="18"/>
                  <w:szCs w:val="18"/>
                </w:rPr>
                <w:t>29</w:t>
              </w:r>
            </w:hyperlink>
            <w:r>
              <w:rPr>
                <w:sz w:val="18"/>
                <w:szCs w:val="18"/>
              </w:rPr>
              <w:t xml:space="preserve">, </w:t>
            </w:r>
            <w:hyperlink w:anchor="k30" w:history="1">
              <w:r>
                <w:rPr>
                  <w:sz w:val="18"/>
                  <w:szCs w:val="18"/>
                </w:rPr>
                <w:t>30</w:t>
              </w:r>
            </w:hyperlink>
          </w:p>
        </w:tc>
      </w:tr>
      <w:tr w:rsidR="00C1548D" w14:paraId="70A514E1"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E" w14:textId="77777777" w:rsidR="00C1548D" w:rsidRDefault="009B1B4B">
            <w:pPr>
              <w:spacing w:line="250" w:lineRule="auto"/>
            </w:pPr>
            <w:r>
              <w:rPr>
                <w:sz w:val="18"/>
                <w:szCs w:val="18"/>
              </w:rPr>
              <w:t>dol.gov/agencies/whd/immigration/h1b/projectfirewall</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DF" w14:textId="77777777" w:rsidR="00C1548D" w:rsidRDefault="009B1B4B">
            <w:pPr>
              <w:spacing w:line="250" w:lineRule="auto"/>
            </w:pPr>
            <w:r>
              <w:rPr>
                <w:sz w:val="18"/>
                <w:szCs w:val="18"/>
              </w:rPr>
              <w:t>Project Firewall, H-1B-Kontrollen</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0" w14:textId="076E0C47" w:rsidR="00C1548D" w:rsidRDefault="009B1B4B">
            <w:pPr>
              <w:spacing w:line="250" w:lineRule="auto"/>
            </w:pPr>
            <w:r>
              <w:rPr>
                <w:sz w:val="18"/>
                <w:szCs w:val="18"/>
              </w:rPr>
              <w:t>Kapitel </w:t>
            </w:r>
            <w:hyperlink w:anchor="k5" w:history="1">
              <w:r>
                <w:rPr>
                  <w:sz w:val="18"/>
                  <w:szCs w:val="18"/>
                </w:rPr>
                <w:t>5</w:t>
              </w:r>
            </w:hyperlink>
          </w:p>
        </w:tc>
      </w:tr>
      <w:tr w:rsidR="00C1548D" w14:paraId="70A514E5"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2" w14:textId="77777777" w:rsidR="00C1548D" w:rsidRDefault="009B1B4B">
            <w:pPr>
              <w:spacing w:line="250" w:lineRule="auto"/>
            </w:pPr>
            <w:r>
              <w:rPr>
                <w:sz w:val="18"/>
                <w:szCs w:val="18"/>
              </w:rPr>
              <w:t>dvprogram.state.gov</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3" w14:textId="77777777" w:rsidR="00C1548D" w:rsidRDefault="009B1B4B">
            <w:pPr>
              <w:spacing w:line="250" w:lineRule="auto"/>
            </w:pPr>
            <w:r>
              <w:rPr>
                <w:sz w:val="18"/>
                <w:szCs w:val="18"/>
              </w:rPr>
              <w:t>Anmeldung zur Green-Card-Lotterie</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4" w14:textId="72156BDB" w:rsidR="00C1548D" w:rsidRDefault="009B1B4B">
            <w:pPr>
              <w:spacing w:line="250" w:lineRule="auto"/>
            </w:pPr>
            <w:r>
              <w:rPr>
                <w:sz w:val="18"/>
                <w:szCs w:val="18"/>
              </w:rPr>
              <w:t>Kapitel </w:t>
            </w:r>
            <w:hyperlink w:anchor="k9" w:history="1">
              <w:r>
                <w:rPr>
                  <w:sz w:val="18"/>
                  <w:szCs w:val="18"/>
                </w:rPr>
                <w:t>9</w:t>
              </w:r>
            </w:hyperlink>
          </w:p>
        </w:tc>
      </w:tr>
      <w:tr w:rsidR="00C1548D" w14:paraId="70A514E9"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6" w14:textId="77777777" w:rsidR="00C1548D" w:rsidRDefault="009B1B4B">
            <w:pPr>
              <w:spacing w:line="250" w:lineRule="auto"/>
            </w:pPr>
            <w:r>
              <w:rPr>
                <w:sz w:val="18"/>
                <w:szCs w:val="18"/>
              </w:rPr>
              <w:t>ecfr.gov (Suche „20 CFR 656.12“)</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7" w14:textId="77777777" w:rsidR="00C1548D" w:rsidRDefault="009B1B4B">
            <w:pPr>
              <w:spacing w:line="250" w:lineRule="auto"/>
            </w:pPr>
            <w:r>
              <w:rPr>
                <w:sz w:val="18"/>
                <w:szCs w:val="18"/>
              </w:rPr>
              <w:t>Kosten der Arbeitserlaubnis-Zertifizierung (PERM)</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8" w14:textId="7E4C0A1A" w:rsidR="00C1548D" w:rsidRDefault="009B1B4B">
            <w:pPr>
              <w:spacing w:line="250" w:lineRule="auto"/>
            </w:pPr>
            <w:r>
              <w:rPr>
                <w:sz w:val="18"/>
                <w:szCs w:val="18"/>
              </w:rPr>
              <w:t>Kapitel </w:t>
            </w:r>
            <w:hyperlink w:anchor="k7" w:history="1">
              <w:r>
                <w:rPr>
                  <w:sz w:val="18"/>
                  <w:szCs w:val="18"/>
                </w:rPr>
                <w:t>7</w:t>
              </w:r>
            </w:hyperlink>
          </w:p>
        </w:tc>
      </w:tr>
      <w:tr w:rsidR="00C1548D" w14:paraId="70A514ED"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A" w14:textId="77777777" w:rsidR="00C1548D" w:rsidRDefault="009B1B4B">
            <w:pPr>
              <w:spacing w:line="250" w:lineRule="auto"/>
            </w:pPr>
            <w:r>
              <w:rPr>
                <w:sz w:val="18"/>
                <w:szCs w:val="18"/>
              </w:rPr>
              <w:t>exchanges.state.gov</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B" w14:textId="77777777" w:rsidR="00C1548D" w:rsidRDefault="009B1B4B">
            <w:pPr>
              <w:spacing w:line="250" w:lineRule="auto"/>
            </w:pPr>
            <w:r>
              <w:rPr>
                <w:sz w:val="18"/>
                <w:szCs w:val="18"/>
              </w:rPr>
              <w:t>J-1-Austauschprogramme</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C" w14:textId="35B5D91E" w:rsidR="00C1548D" w:rsidRDefault="009B1B4B">
            <w:pPr>
              <w:spacing w:line="250" w:lineRule="auto"/>
            </w:pPr>
            <w:r>
              <w:rPr>
                <w:sz w:val="18"/>
                <w:szCs w:val="18"/>
              </w:rPr>
              <w:t>Kapitel </w:t>
            </w:r>
            <w:hyperlink w:anchor="k9" w:history="1">
              <w:r>
                <w:rPr>
                  <w:sz w:val="18"/>
                  <w:szCs w:val="18"/>
                </w:rPr>
                <w:t>9</w:t>
              </w:r>
            </w:hyperlink>
          </w:p>
        </w:tc>
      </w:tr>
      <w:tr w:rsidR="00C1548D" w14:paraId="70A514F1"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E" w14:textId="77777777" w:rsidR="00C1548D" w:rsidRDefault="009B1B4B">
            <w:pPr>
              <w:spacing w:line="250" w:lineRule="auto"/>
            </w:pPr>
            <w:r>
              <w:rPr>
                <w:sz w:val="18"/>
                <w:szCs w:val="18"/>
              </w:rPr>
              <w:lastRenderedPageBreak/>
              <w:t>federalregister.gov</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EF" w14:textId="77777777" w:rsidR="00C1548D" w:rsidRDefault="009B1B4B">
            <w:pPr>
              <w:spacing w:line="250" w:lineRule="auto"/>
            </w:pPr>
            <w:r>
              <w:rPr>
                <w:sz w:val="18"/>
                <w:szCs w:val="18"/>
              </w:rPr>
              <w:t>Regelentwürfe und Endregeln: H-1B, Public Charge, Biometrie bei Ein- und Ausreise, 60-Tage-Frist, Section-232-Zölle auf Holzprodukte u. a.</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0" w14:textId="3F27B34A" w:rsidR="00C1548D" w:rsidRDefault="009B1B4B">
            <w:pPr>
              <w:spacing w:line="250" w:lineRule="auto"/>
            </w:pPr>
            <w:r>
              <w:rPr>
                <w:sz w:val="18"/>
                <w:szCs w:val="18"/>
              </w:rPr>
              <w:t>Kapitel </w:t>
            </w:r>
            <w:hyperlink w:anchor="k5" w:history="1">
              <w:r>
                <w:rPr>
                  <w:sz w:val="18"/>
                  <w:szCs w:val="18"/>
                </w:rPr>
                <w:t>5</w:t>
              </w:r>
            </w:hyperlink>
            <w:r>
              <w:rPr>
                <w:sz w:val="18"/>
                <w:szCs w:val="18"/>
              </w:rPr>
              <w:t xml:space="preserve">, </w:t>
            </w:r>
            <w:hyperlink w:anchor="k6" w:history="1">
              <w:r>
                <w:rPr>
                  <w:sz w:val="18"/>
                  <w:szCs w:val="18"/>
                </w:rPr>
                <w:t>6</w:t>
              </w:r>
            </w:hyperlink>
            <w:r>
              <w:rPr>
                <w:sz w:val="18"/>
                <w:szCs w:val="18"/>
              </w:rPr>
              <w:t xml:space="preserve">, </w:t>
            </w:r>
            <w:hyperlink w:anchor="k7" w:history="1">
              <w:r>
                <w:rPr>
                  <w:sz w:val="18"/>
                  <w:szCs w:val="18"/>
                </w:rPr>
                <w:t>7</w:t>
              </w:r>
            </w:hyperlink>
            <w:r>
              <w:rPr>
                <w:sz w:val="18"/>
                <w:szCs w:val="18"/>
              </w:rPr>
              <w:t xml:space="preserve">, </w:t>
            </w:r>
            <w:hyperlink w:anchor="k10" w:history="1">
              <w:r>
                <w:rPr>
                  <w:sz w:val="18"/>
                  <w:szCs w:val="18"/>
                </w:rPr>
                <w:t>10</w:t>
              </w:r>
            </w:hyperlink>
            <w:r>
              <w:rPr>
                <w:sz w:val="18"/>
                <w:szCs w:val="18"/>
              </w:rPr>
              <w:t xml:space="preserve">, </w:t>
            </w:r>
            <w:hyperlink w:anchor="k21" w:history="1">
              <w:r>
                <w:rPr>
                  <w:sz w:val="18"/>
                  <w:szCs w:val="18"/>
                </w:rPr>
                <w:t>21</w:t>
              </w:r>
            </w:hyperlink>
            <w:r>
              <w:rPr>
                <w:sz w:val="18"/>
                <w:szCs w:val="18"/>
              </w:rPr>
              <w:t xml:space="preserve">, </w:t>
            </w:r>
            <w:hyperlink w:anchor="k23" w:history="1">
              <w:r>
                <w:rPr>
                  <w:sz w:val="18"/>
                  <w:szCs w:val="18"/>
                </w:rPr>
                <w:t>23</w:t>
              </w:r>
            </w:hyperlink>
            <w:r>
              <w:rPr>
                <w:sz w:val="18"/>
                <w:szCs w:val="18"/>
              </w:rPr>
              <w:t xml:space="preserve">, </w:t>
            </w:r>
            <w:hyperlink w:anchor="k30" w:history="1">
              <w:r>
                <w:rPr>
                  <w:sz w:val="18"/>
                  <w:szCs w:val="18"/>
                </w:rPr>
                <w:t>30</w:t>
              </w:r>
            </w:hyperlink>
          </w:p>
        </w:tc>
      </w:tr>
      <w:tr w:rsidR="00C1548D" w14:paraId="70A514F5"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2" w14:textId="77777777" w:rsidR="00C1548D" w:rsidRDefault="009B1B4B">
            <w:pPr>
              <w:spacing w:line="250" w:lineRule="auto"/>
            </w:pPr>
            <w:r>
              <w:rPr>
                <w:sz w:val="18"/>
                <w:szCs w:val="18"/>
              </w:rPr>
              <w:t>flag.dol.gov/processingtimes</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3" w14:textId="77777777" w:rsidR="00C1548D" w:rsidRDefault="009B1B4B">
            <w:pPr>
              <w:spacing w:line="250" w:lineRule="auto"/>
            </w:pPr>
            <w:r>
              <w:rPr>
                <w:sz w:val="18"/>
                <w:szCs w:val="18"/>
              </w:rPr>
              <w:t>Bearbeitungszeiten für Lohnbescheid und PERM</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4" w14:textId="67ADEFA2" w:rsidR="00C1548D" w:rsidRDefault="009B1B4B">
            <w:pPr>
              <w:spacing w:line="250" w:lineRule="auto"/>
            </w:pPr>
            <w:r>
              <w:rPr>
                <w:sz w:val="18"/>
                <w:szCs w:val="18"/>
              </w:rPr>
              <w:t>Kapitel </w:t>
            </w:r>
            <w:hyperlink w:anchor="k6" w:history="1">
              <w:r>
                <w:rPr>
                  <w:sz w:val="18"/>
                  <w:szCs w:val="18"/>
                </w:rPr>
                <w:t>6</w:t>
              </w:r>
            </w:hyperlink>
            <w:r>
              <w:rPr>
                <w:sz w:val="18"/>
                <w:szCs w:val="18"/>
              </w:rPr>
              <w:t xml:space="preserve">, </w:t>
            </w:r>
            <w:hyperlink w:anchor="k7" w:history="1">
              <w:r>
                <w:rPr>
                  <w:sz w:val="18"/>
                  <w:szCs w:val="18"/>
                </w:rPr>
                <w:t>7</w:t>
              </w:r>
            </w:hyperlink>
          </w:p>
        </w:tc>
      </w:tr>
      <w:tr w:rsidR="00C1548D" w14:paraId="70A514F9"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6" w14:textId="77777777" w:rsidR="00C1548D" w:rsidRDefault="009B1B4B">
            <w:pPr>
              <w:spacing w:line="250" w:lineRule="auto"/>
            </w:pPr>
            <w:r>
              <w:rPr>
                <w:sz w:val="18"/>
                <w:szCs w:val="18"/>
              </w:rPr>
              <w:t>ice.gov/sevis (auch /sevis/i901)</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7" w14:textId="77777777" w:rsidR="00C1548D" w:rsidRDefault="009B1B4B">
            <w:pPr>
              <w:spacing w:line="250" w:lineRule="auto"/>
            </w:pPr>
            <w:r>
              <w:rPr>
                <w:sz w:val="18"/>
                <w:szCs w:val="18"/>
              </w:rPr>
              <w:t>SEVIS-Gebühr (Form I-901) und Studierendenstatus</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8" w14:textId="1F5DEDC8" w:rsidR="00C1548D" w:rsidRDefault="009B1B4B">
            <w:pPr>
              <w:spacing w:line="250" w:lineRule="auto"/>
            </w:pPr>
            <w:r>
              <w:rPr>
                <w:sz w:val="18"/>
                <w:szCs w:val="18"/>
              </w:rPr>
              <w:t>Kapitel </w:t>
            </w:r>
            <w:hyperlink w:anchor="k4" w:history="1">
              <w:r>
                <w:rPr>
                  <w:sz w:val="18"/>
                  <w:szCs w:val="18"/>
                </w:rPr>
                <w:t>4</w:t>
              </w:r>
            </w:hyperlink>
            <w:r>
              <w:rPr>
                <w:sz w:val="18"/>
                <w:szCs w:val="18"/>
              </w:rPr>
              <w:t xml:space="preserve">, </w:t>
            </w:r>
            <w:hyperlink w:anchor="k8" w:history="1">
              <w:r>
                <w:rPr>
                  <w:sz w:val="18"/>
                  <w:szCs w:val="18"/>
                </w:rPr>
                <w:t>8</w:t>
              </w:r>
            </w:hyperlink>
          </w:p>
        </w:tc>
      </w:tr>
      <w:tr w:rsidR="00C1548D" w14:paraId="70A514FD"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A" w14:textId="77777777" w:rsidR="00C1548D" w:rsidRDefault="009B1B4B">
            <w:pPr>
              <w:spacing w:line="250" w:lineRule="auto"/>
            </w:pPr>
            <w:r>
              <w:rPr>
                <w:sz w:val="18"/>
                <w:szCs w:val="18"/>
              </w:rPr>
              <w:t>j1visa.state.gov/programs/au-pair</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B" w14:textId="77777777" w:rsidR="00C1548D" w:rsidRDefault="009B1B4B">
            <w:pPr>
              <w:spacing w:line="250" w:lineRule="auto"/>
            </w:pPr>
            <w:r>
              <w:rPr>
                <w:sz w:val="18"/>
                <w:szCs w:val="18"/>
              </w:rPr>
              <w:t>Au-pair-Programm</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C" w14:textId="1FF41FEC" w:rsidR="00C1548D" w:rsidRDefault="009B1B4B">
            <w:pPr>
              <w:spacing w:line="250" w:lineRule="auto"/>
            </w:pPr>
            <w:r>
              <w:rPr>
                <w:sz w:val="18"/>
                <w:szCs w:val="18"/>
              </w:rPr>
              <w:t>Kapitel </w:t>
            </w:r>
            <w:hyperlink w:anchor="k38" w:history="1">
              <w:r>
                <w:rPr>
                  <w:sz w:val="18"/>
                  <w:szCs w:val="18"/>
                </w:rPr>
                <w:t>38</w:t>
              </w:r>
            </w:hyperlink>
          </w:p>
        </w:tc>
      </w:tr>
      <w:tr w:rsidR="00C1548D" w14:paraId="70A51501"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E" w14:textId="77777777" w:rsidR="00C1548D" w:rsidRDefault="009B1B4B">
            <w:pPr>
              <w:spacing w:line="250" w:lineRule="auto"/>
            </w:pPr>
            <w:r>
              <w:rPr>
                <w:sz w:val="18"/>
                <w:szCs w:val="18"/>
              </w:rPr>
              <w:t>law.cornell.edu/cfr/text/8/103.2</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4FF" w14:textId="77777777" w:rsidR="00C1548D" w:rsidRDefault="009B1B4B">
            <w:pPr>
              <w:spacing w:line="250" w:lineRule="auto"/>
            </w:pPr>
            <w:r>
              <w:rPr>
                <w:sz w:val="18"/>
                <w:szCs w:val="18"/>
              </w:rPr>
              <w:t>Übersetzungen und Nachweise (8 CFR 103.2)</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0" w14:textId="15CAB1CD" w:rsidR="00C1548D" w:rsidRDefault="009B1B4B">
            <w:pPr>
              <w:spacing w:line="250" w:lineRule="auto"/>
            </w:pPr>
            <w:r>
              <w:rPr>
                <w:sz w:val="18"/>
                <w:szCs w:val="18"/>
              </w:rPr>
              <w:t>Kapitel </w:t>
            </w:r>
            <w:hyperlink w:anchor="k19" w:history="1">
              <w:r>
                <w:rPr>
                  <w:sz w:val="18"/>
                  <w:szCs w:val="18"/>
                </w:rPr>
                <w:t>19</w:t>
              </w:r>
            </w:hyperlink>
          </w:p>
        </w:tc>
      </w:tr>
      <w:tr w:rsidR="00C1548D" w14:paraId="70A51505"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2" w14:textId="77777777" w:rsidR="00C1548D" w:rsidRDefault="009B1B4B">
            <w:pPr>
              <w:spacing w:line="250" w:lineRule="auto"/>
            </w:pPr>
            <w:r>
              <w:rPr>
                <w:sz w:val="18"/>
                <w:szCs w:val="18"/>
              </w:rPr>
              <w:t>reginfo.gov</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3" w14:textId="77777777" w:rsidR="00C1548D" w:rsidRDefault="009B1B4B">
            <w:pPr>
              <w:spacing w:line="250" w:lineRule="auto"/>
            </w:pPr>
            <w:r>
              <w:rPr>
                <w:sz w:val="18"/>
                <w:szCs w:val="18"/>
              </w:rPr>
              <w:t>Regelungsagenda der US-Regierung</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4" w14:textId="3EFDEDAB" w:rsidR="00C1548D" w:rsidRDefault="009B1B4B">
            <w:pPr>
              <w:spacing w:line="250" w:lineRule="auto"/>
            </w:pPr>
            <w:r>
              <w:rPr>
                <w:sz w:val="18"/>
                <w:szCs w:val="18"/>
              </w:rPr>
              <w:t>Kapitel </w:t>
            </w:r>
            <w:hyperlink w:anchor="k10" w:history="1">
              <w:r>
                <w:rPr>
                  <w:sz w:val="18"/>
                  <w:szCs w:val="18"/>
                </w:rPr>
                <w:t>10</w:t>
              </w:r>
            </w:hyperlink>
          </w:p>
        </w:tc>
      </w:tr>
      <w:tr w:rsidR="00C1548D" w14:paraId="70A51509"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6" w14:textId="77777777" w:rsidR="00C1548D" w:rsidRDefault="009B1B4B">
            <w:pPr>
              <w:spacing w:line="250" w:lineRule="auto"/>
            </w:pPr>
            <w:r>
              <w:rPr>
                <w:sz w:val="18"/>
                <w:szCs w:val="18"/>
              </w:rPr>
              <w:t>sss.gov</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7" w14:textId="77777777" w:rsidR="00C1548D" w:rsidRDefault="009B1B4B">
            <w:pPr>
              <w:spacing w:line="250" w:lineRule="auto"/>
            </w:pPr>
            <w:r>
              <w:rPr>
                <w:sz w:val="18"/>
                <w:szCs w:val="18"/>
              </w:rPr>
              <w:t>Selective Service, Registrierungspflicht</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8" w14:textId="75D7FE59" w:rsidR="00C1548D" w:rsidRDefault="009B1B4B">
            <w:pPr>
              <w:spacing w:line="250" w:lineRule="auto"/>
            </w:pPr>
            <w:r>
              <w:rPr>
                <w:sz w:val="18"/>
                <w:szCs w:val="18"/>
              </w:rPr>
              <w:t>Kapitel </w:t>
            </w:r>
            <w:hyperlink w:anchor="k6" w:history="1">
              <w:r>
                <w:rPr>
                  <w:sz w:val="18"/>
                  <w:szCs w:val="18"/>
                </w:rPr>
                <w:t>6</w:t>
              </w:r>
            </w:hyperlink>
            <w:r>
              <w:rPr>
                <w:sz w:val="18"/>
                <w:szCs w:val="18"/>
              </w:rPr>
              <w:t xml:space="preserve">, </w:t>
            </w:r>
            <w:hyperlink w:anchor="k40" w:history="1">
              <w:r>
                <w:rPr>
                  <w:sz w:val="18"/>
                  <w:szCs w:val="18"/>
                </w:rPr>
                <w:t>40</w:t>
              </w:r>
            </w:hyperlink>
          </w:p>
        </w:tc>
      </w:tr>
      <w:tr w:rsidR="00C1548D" w14:paraId="70A5150D"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A" w14:textId="77777777" w:rsidR="00C1548D" w:rsidRDefault="009B1B4B">
            <w:pPr>
              <w:spacing w:line="250" w:lineRule="auto"/>
            </w:pPr>
            <w:r>
              <w:rPr>
                <w:sz w:val="18"/>
                <w:szCs w:val="18"/>
              </w:rPr>
              <w:t>studyinthestates.dhs.gov</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B" w14:textId="77777777" w:rsidR="00C1548D" w:rsidRDefault="009B1B4B">
            <w:pPr>
              <w:spacing w:line="250" w:lineRule="auto"/>
            </w:pPr>
            <w:r>
              <w:rPr>
                <w:sz w:val="18"/>
                <w:szCs w:val="18"/>
              </w:rPr>
              <w:t>F-1, CPT, OPT, Cap-Gap</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C" w14:textId="5A87B19E" w:rsidR="00C1548D" w:rsidRDefault="009B1B4B">
            <w:pPr>
              <w:spacing w:line="250" w:lineRule="auto"/>
            </w:pPr>
            <w:r>
              <w:rPr>
                <w:sz w:val="18"/>
                <w:szCs w:val="18"/>
              </w:rPr>
              <w:t>Kapitel </w:t>
            </w:r>
            <w:hyperlink w:anchor="k8" w:history="1">
              <w:r>
                <w:rPr>
                  <w:sz w:val="18"/>
                  <w:szCs w:val="18"/>
                </w:rPr>
                <w:t>8</w:t>
              </w:r>
            </w:hyperlink>
          </w:p>
        </w:tc>
      </w:tr>
      <w:tr w:rsidR="00C1548D" w14:paraId="70A51511"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E" w14:textId="77777777" w:rsidR="00C1548D" w:rsidRDefault="009B1B4B">
            <w:pPr>
              <w:spacing w:line="250" w:lineRule="auto"/>
            </w:pPr>
            <w:r>
              <w:rPr>
                <w:sz w:val="18"/>
                <w:szCs w:val="18"/>
              </w:rPr>
              <w:t>supremecourt.gov/opinions/25pdf/25-365_4hdj.pdf</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0F" w14:textId="77777777" w:rsidR="00C1548D" w:rsidRDefault="009B1B4B">
            <w:pPr>
              <w:spacing w:line="250" w:lineRule="auto"/>
            </w:pPr>
            <w:r>
              <w:rPr>
                <w:sz w:val="18"/>
                <w:szCs w:val="18"/>
              </w:rPr>
              <w:t>Trump v. Barbara, Staatsangehörigkeit von Geburt</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0" w14:textId="20482C7B" w:rsidR="00C1548D" w:rsidRDefault="009B1B4B">
            <w:pPr>
              <w:spacing w:line="250" w:lineRule="auto"/>
            </w:pPr>
            <w:r>
              <w:rPr>
                <w:sz w:val="18"/>
                <w:szCs w:val="18"/>
              </w:rPr>
              <w:t>Kapitel </w:t>
            </w:r>
            <w:hyperlink w:anchor="k38" w:history="1">
              <w:r>
                <w:rPr>
                  <w:sz w:val="18"/>
                  <w:szCs w:val="18"/>
                </w:rPr>
                <w:t>38</w:t>
              </w:r>
            </w:hyperlink>
            <w:r>
              <w:rPr>
                <w:sz w:val="18"/>
                <w:szCs w:val="18"/>
              </w:rPr>
              <w:t xml:space="preserve">, </w:t>
            </w:r>
            <w:hyperlink w:anchor="k41" w:history="1">
              <w:r>
                <w:rPr>
                  <w:sz w:val="18"/>
                  <w:szCs w:val="18"/>
                </w:rPr>
                <w:t>41</w:t>
              </w:r>
            </w:hyperlink>
          </w:p>
        </w:tc>
      </w:tr>
      <w:tr w:rsidR="00C1548D" w14:paraId="70A51515"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2" w14:textId="77777777" w:rsidR="00C1548D" w:rsidRDefault="009B1B4B">
            <w:pPr>
              <w:spacing w:line="250" w:lineRule="auto"/>
            </w:pPr>
            <w:r>
              <w:rPr>
                <w:sz w:val="18"/>
                <w:szCs w:val="18"/>
              </w:rPr>
              <w:t>travel.state.gov (auch /visa)</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3" w14:textId="77777777" w:rsidR="00C1548D" w:rsidRDefault="009B1B4B">
            <w:pPr>
              <w:spacing w:line="250" w:lineRule="auto"/>
            </w:pPr>
            <w:r>
              <w:rPr>
                <w:sz w:val="18"/>
                <w:szCs w:val="18"/>
              </w:rPr>
              <w:t>Visakategorien, Gebühren, Wartezeiten</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4" w14:textId="25C52BB1" w:rsidR="00C1548D" w:rsidRDefault="009B1B4B">
            <w:pPr>
              <w:spacing w:line="250" w:lineRule="auto"/>
            </w:pPr>
            <w:r>
              <w:rPr>
                <w:sz w:val="18"/>
                <w:szCs w:val="18"/>
              </w:rPr>
              <w:t>Kapitel </w:t>
            </w:r>
            <w:hyperlink w:anchor="k4" w:history="1">
              <w:r>
                <w:rPr>
                  <w:sz w:val="18"/>
                  <w:szCs w:val="18"/>
                </w:rPr>
                <w:t>4</w:t>
              </w:r>
            </w:hyperlink>
            <w:r>
              <w:rPr>
                <w:sz w:val="18"/>
                <w:szCs w:val="18"/>
              </w:rPr>
              <w:t xml:space="preserve">, </w:t>
            </w:r>
            <w:hyperlink w:anchor="k5" w:history="1">
              <w:r>
                <w:rPr>
                  <w:sz w:val="18"/>
                  <w:szCs w:val="18"/>
                </w:rPr>
                <w:t>5</w:t>
              </w:r>
            </w:hyperlink>
            <w:r>
              <w:rPr>
                <w:sz w:val="18"/>
                <w:szCs w:val="18"/>
              </w:rPr>
              <w:t xml:space="preserve">, </w:t>
            </w:r>
            <w:hyperlink w:anchor="k9" w:history="1">
              <w:r>
                <w:rPr>
                  <w:sz w:val="18"/>
                  <w:szCs w:val="18"/>
                </w:rPr>
                <w:t>9</w:t>
              </w:r>
            </w:hyperlink>
            <w:r>
              <w:rPr>
                <w:sz w:val="18"/>
                <w:szCs w:val="18"/>
              </w:rPr>
              <w:t xml:space="preserve">, </w:t>
            </w:r>
            <w:hyperlink w:anchor="k11" w:history="1">
              <w:r>
                <w:rPr>
                  <w:sz w:val="18"/>
                  <w:szCs w:val="18"/>
                </w:rPr>
                <w:t>11</w:t>
              </w:r>
            </w:hyperlink>
            <w:r>
              <w:rPr>
                <w:sz w:val="18"/>
                <w:szCs w:val="18"/>
              </w:rPr>
              <w:t xml:space="preserve">, </w:t>
            </w:r>
            <w:hyperlink w:anchor="k15" w:history="1">
              <w:r>
                <w:rPr>
                  <w:sz w:val="18"/>
                  <w:szCs w:val="18"/>
                </w:rPr>
                <w:t>15</w:t>
              </w:r>
            </w:hyperlink>
            <w:r>
              <w:rPr>
                <w:sz w:val="18"/>
                <w:szCs w:val="18"/>
              </w:rPr>
              <w:t xml:space="preserve">, </w:t>
            </w:r>
            <w:hyperlink w:anchor="k41" w:history="1">
              <w:r>
                <w:rPr>
                  <w:sz w:val="18"/>
                  <w:szCs w:val="18"/>
                </w:rPr>
                <w:t>41</w:t>
              </w:r>
            </w:hyperlink>
          </w:p>
        </w:tc>
      </w:tr>
      <w:tr w:rsidR="00C1548D" w14:paraId="70A51519"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6" w14:textId="77777777" w:rsidR="00C1548D" w:rsidRDefault="009B1B4B">
            <w:pPr>
              <w:spacing w:line="250" w:lineRule="auto"/>
            </w:pPr>
            <w:r>
              <w:rPr>
                <w:sz w:val="18"/>
                <w:szCs w:val="18"/>
              </w:rPr>
              <w:t>travel.state.gov/visa-bulletin</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7" w14:textId="77777777" w:rsidR="00C1548D" w:rsidRDefault="009B1B4B">
            <w:pPr>
              <w:spacing w:line="250" w:lineRule="auto"/>
            </w:pPr>
            <w:r>
              <w:rPr>
                <w:sz w:val="18"/>
                <w:szCs w:val="18"/>
              </w:rPr>
              <w:t>Stichtage für die Green Card</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8" w14:textId="55616B4C" w:rsidR="00C1548D" w:rsidRDefault="009B1B4B">
            <w:pPr>
              <w:spacing w:line="250" w:lineRule="auto"/>
            </w:pPr>
            <w:r>
              <w:rPr>
                <w:sz w:val="18"/>
                <w:szCs w:val="18"/>
              </w:rPr>
              <w:t>Kapitel </w:t>
            </w:r>
            <w:hyperlink w:anchor="k4" w:history="1">
              <w:r>
                <w:rPr>
                  <w:sz w:val="18"/>
                  <w:szCs w:val="18"/>
                </w:rPr>
                <w:t>4</w:t>
              </w:r>
            </w:hyperlink>
            <w:r>
              <w:rPr>
                <w:sz w:val="18"/>
                <w:szCs w:val="18"/>
              </w:rPr>
              <w:t xml:space="preserve">, </w:t>
            </w:r>
            <w:hyperlink w:anchor="k6" w:history="1">
              <w:r>
                <w:rPr>
                  <w:sz w:val="18"/>
                  <w:szCs w:val="18"/>
                </w:rPr>
                <w:t>6</w:t>
              </w:r>
            </w:hyperlink>
            <w:r>
              <w:rPr>
                <w:sz w:val="18"/>
                <w:szCs w:val="18"/>
              </w:rPr>
              <w:t xml:space="preserve">, </w:t>
            </w:r>
            <w:hyperlink w:anchor="k7" w:history="1">
              <w:r>
                <w:rPr>
                  <w:sz w:val="18"/>
                  <w:szCs w:val="18"/>
                </w:rPr>
                <w:t>7</w:t>
              </w:r>
            </w:hyperlink>
          </w:p>
        </w:tc>
      </w:tr>
      <w:tr w:rsidR="00C1548D" w14:paraId="70A5151D"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A" w14:textId="77777777" w:rsidR="00C1548D" w:rsidRDefault="009B1B4B">
            <w:pPr>
              <w:spacing w:line="250" w:lineRule="auto"/>
            </w:pPr>
            <w:r>
              <w:rPr>
                <w:sz w:val="18"/>
                <w:szCs w:val="18"/>
              </w:rPr>
              <w:t>uscis.gov</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B" w14:textId="77777777" w:rsidR="00C1548D" w:rsidRDefault="009B1B4B">
            <w:pPr>
              <w:spacing w:line="250" w:lineRule="auto"/>
            </w:pPr>
            <w:r>
              <w:rPr>
                <w:sz w:val="18"/>
                <w:szCs w:val="18"/>
              </w:rPr>
              <w:t>Formulare, Statusfragen; Suchbegriffe für Spezialthemen: „H-4 employment authorization“ (Arbeitserlaubnis für H-4-Ehepartner), „marijuana“ im Policy Manual (Cannabis und Einwanderungsrecht)</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C" w14:textId="0DEFCD61" w:rsidR="00C1548D" w:rsidRDefault="009B1B4B">
            <w:pPr>
              <w:spacing w:line="250" w:lineRule="auto"/>
            </w:pPr>
            <w:r>
              <w:rPr>
                <w:sz w:val="18"/>
                <w:szCs w:val="18"/>
              </w:rPr>
              <w:t>Kapitel </w:t>
            </w:r>
            <w:hyperlink w:anchor="k2" w:history="1">
              <w:r>
                <w:rPr>
                  <w:sz w:val="18"/>
                  <w:szCs w:val="18"/>
                </w:rPr>
                <w:t>2</w:t>
              </w:r>
            </w:hyperlink>
            <w:r>
              <w:rPr>
                <w:sz w:val="18"/>
                <w:szCs w:val="18"/>
              </w:rPr>
              <w:t xml:space="preserve">, </w:t>
            </w:r>
            <w:hyperlink w:anchor="k11" w:history="1">
              <w:r>
                <w:rPr>
                  <w:sz w:val="18"/>
                  <w:szCs w:val="18"/>
                </w:rPr>
                <w:t>11</w:t>
              </w:r>
            </w:hyperlink>
            <w:r>
              <w:rPr>
                <w:sz w:val="18"/>
                <w:szCs w:val="18"/>
              </w:rPr>
              <w:t xml:space="preserve">, </w:t>
            </w:r>
            <w:hyperlink w:anchor="k31" w:history="1">
              <w:r>
                <w:rPr>
                  <w:sz w:val="18"/>
                  <w:szCs w:val="18"/>
                </w:rPr>
                <w:t>31</w:t>
              </w:r>
            </w:hyperlink>
            <w:r>
              <w:rPr>
                <w:sz w:val="18"/>
                <w:szCs w:val="18"/>
              </w:rPr>
              <w:t xml:space="preserve">, </w:t>
            </w:r>
            <w:hyperlink w:anchor="k32" w:history="1">
              <w:r>
                <w:rPr>
                  <w:sz w:val="18"/>
                  <w:szCs w:val="18"/>
                </w:rPr>
                <w:t>32</w:t>
              </w:r>
            </w:hyperlink>
          </w:p>
        </w:tc>
      </w:tr>
      <w:tr w:rsidR="00C1548D" w14:paraId="70A51521"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E" w14:textId="77777777" w:rsidR="00C1548D" w:rsidRDefault="009B1B4B">
            <w:pPr>
              <w:spacing w:line="250" w:lineRule="auto"/>
            </w:pPr>
            <w:r>
              <w:rPr>
                <w:sz w:val="18"/>
                <w:szCs w:val="18"/>
              </w:rPr>
              <w:t>uscis.gov/alienregistration</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1F" w14:textId="77777777" w:rsidR="00C1548D" w:rsidRDefault="009B1B4B">
            <w:pPr>
              <w:spacing w:line="250" w:lineRule="auto"/>
            </w:pPr>
            <w:r>
              <w:rPr>
                <w:sz w:val="18"/>
                <w:szCs w:val="18"/>
              </w:rPr>
              <w:t>Registrierungspflicht, Mitführen von Dokumenten</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0" w14:textId="6E033A3C" w:rsidR="00C1548D" w:rsidRDefault="009B1B4B">
            <w:pPr>
              <w:spacing w:line="250" w:lineRule="auto"/>
            </w:pPr>
            <w:r>
              <w:rPr>
                <w:sz w:val="18"/>
                <w:szCs w:val="18"/>
              </w:rPr>
              <w:t>Kapitel </w:t>
            </w:r>
            <w:hyperlink w:anchor="k40" w:history="1">
              <w:r>
                <w:rPr>
                  <w:sz w:val="18"/>
                  <w:szCs w:val="18"/>
                </w:rPr>
                <w:t>40</w:t>
              </w:r>
            </w:hyperlink>
          </w:p>
        </w:tc>
      </w:tr>
      <w:tr w:rsidR="00C1548D" w14:paraId="70A51525"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2" w14:textId="77777777" w:rsidR="00C1548D" w:rsidRDefault="009B1B4B">
            <w:pPr>
              <w:spacing w:line="250" w:lineRule="auto"/>
            </w:pPr>
            <w:r>
              <w:rPr>
                <w:sz w:val="18"/>
                <w:szCs w:val="18"/>
              </w:rPr>
              <w:t>uscis.gov/ar-11</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3" w14:textId="77777777" w:rsidR="00C1548D" w:rsidRDefault="009B1B4B">
            <w:pPr>
              <w:spacing w:line="250" w:lineRule="auto"/>
            </w:pPr>
            <w:r>
              <w:rPr>
                <w:sz w:val="18"/>
                <w:szCs w:val="18"/>
              </w:rPr>
              <w:t>Adressänderung melden</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4" w14:textId="12FAEBC3" w:rsidR="00C1548D" w:rsidRDefault="009B1B4B">
            <w:pPr>
              <w:spacing w:line="250" w:lineRule="auto"/>
            </w:pPr>
            <w:r>
              <w:rPr>
                <w:sz w:val="18"/>
                <w:szCs w:val="18"/>
              </w:rPr>
              <w:t>Kapitel </w:t>
            </w:r>
            <w:hyperlink w:anchor="k30" w:history="1">
              <w:r>
                <w:rPr>
                  <w:sz w:val="18"/>
                  <w:szCs w:val="18"/>
                </w:rPr>
                <w:t>30</w:t>
              </w:r>
            </w:hyperlink>
            <w:r>
              <w:rPr>
                <w:sz w:val="18"/>
                <w:szCs w:val="18"/>
              </w:rPr>
              <w:t xml:space="preserve">, </w:t>
            </w:r>
            <w:hyperlink w:anchor="k40" w:history="1">
              <w:r>
                <w:rPr>
                  <w:sz w:val="18"/>
                  <w:szCs w:val="18"/>
                </w:rPr>
                <w:t>40</w:t>
              </w:r>
            </w:hyperlink>
          </w:p>
        </w:tc>
      </w:tr>
      <w:tr w:rsidR="00C1548D" w14:paraId="70A51529"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6" w14:textId="77777777" w:rsidR="00C1548D" w:rsidRDefault="009B1B4B">
            <w:pPr>
              <w:spacing w:line="250" w:lineRule="auto"/>
            </w:pPr>
            <w:r>
              <w:rPr>
                <w:sz w:val="18"/>
                <w:szCs w:val="18"/>
              </w:rPr>
              <w:t>uscis.gov/avoid-scams</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7" w14:textId="77777777" w:rsidR="00C1548D" w:rsidRDefault="009B1B4B">
            <w:pPr>
              <w:spacing w:line="250" w:lineRule="auto"/>
            </w:pPr>
            <w:r>
              <w:rPr>
                <w:sz w:val="18"/>
                <w:szCs w:val="18"/>
              </w:rPr>
              <w:t>Betrug erkennen und vermeiden</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8" w14:textId="2E2510DE" w:rsidR="00C1548D" w:rsidRDefault="009B1B4B">
            <w:pPr>
              <w:spacing w:line="250" w:lineRule="auto"/>
            </w:pPr>
            <w:r>
              <w:rPr>
                <w:sz w:val="18"/>
                <w:szCs w:val="18"/>
              </w:rPr>
              <w:t>Kapitel </w:t>
            </w:r>
            <w:hyperlink w:anchor="k11" w:history="1">
              <w:r>
                <w:rPr>
                  <w:sz w:val="18"/>
                  <w:szCs w:val="18"/>
                </w:rPr>
                <w:t>11</w:t>
              </w:r>
            </w:hyperlink>
          </w:p>
        </w:tc>
      </w:tr>
      <w:tr w:rsidR="00C1548D" w14:paraId="70A5152D"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A" w14:textId="77777777" w:rsidR="00C1548D" w:rsidRDefault="009B1B4B">
            <w:pPr>
              <w:spacing w:line="250" w:lineRule="auto"/>
            </w:pPr>
            <w:r>
              <w:rPr>
                <w:sz w:val="18"/>
                <w:szCs w:val="18"/>
              </w:rPr>
              <w:t>uscis.gov/citizenship (auch /n-400)</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B" w14:textId="77777777" w:rsidR="00C1548D" w:rsidRDefault="009B1B4B">
            <w:pPr>
              <w:spacing w:line="250" w:lineRule="auto"/>
            </w:pPr>
            <w:r>
              <w:rPr>
                <w:sz w:val="18"/>
                <w:szCs w:val="18"/>
              </w:rPr>
              <w:t>Einbürgerung, Staatskundetest</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C" w14:textId="573BD140" w:rsidR="00C1548D" w:rsidRDefault="009B1B4B">
            <w:pPr>
              <w:spacing w:line="250" w:lineRule="auto"/>
            </w:pPr>
            <w:r>
              <w:rPr>
                <w:sz w:val="18"/>
                <w:szCs w:val="18"/>
              </w:rPr>
              <w:t>Kapitel </w:t>
            </w:r>
            <w:hyperlink w:anchor="k41" w:history="1">
              <w:r>
                <w:rPr>
                  <w:sz w:val="18"/>
                  <w:szCs w:val="18"/>
                </w:rPr>
                <w:t>41</w:t>
              </w:r>
            </w:hyperlink>
          </w:p>
        </w:tc>
      </w:tr>
      <w:tr w:rsidR="00C1548D" w14:paraId="70A51531"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E" w14:textId="77777777" w:rsidR="00C1548D" w:rsidRDefault="009B1B4B">
            <w:pPr>
              <w:spacing w:line="250" w:lineRule="auto"/>
            </w:pPr>
            <w:r>
              <w:rPr>
                <w:sz w:val="18"/>
                <w:szCs w:val="18"/>
              </w:rPr>
              <w:lastRenderedPageBreak/>
              <w:t>uscis.gov/g-1055</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2F" w14:textId="77777777" w:rsidR="00C1548D" w:rsidRDefault="009B1B4B">
            <w:pPr>
              <w:spacing w:line="250" w:lineRule="auto"/>
            </w:pPr>
            <w:r>
              <w:rPr>
                <w:sz w:val="18"/>
                <w:szCs w:val="18"/>
              </w:rPr>
              <w:t>Gebührenverzeichnis aller Formulare</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0" w14:textId="71BBD9FD" w:rsidR="00C1548D" w:rsidRDefault="009B1B4B">
            <w:pPr>
              <w:spacing w:line="250" w:lineRule="auto"/>
            </w:pPr>
            <w:r>
              <w:rPr>
                <w:sz w:val="18"/>
                <w:szCs w:val="18"/>
              </w:rPr>
              <w:t>Kapitel </w:t>
            </w:r>
            <w:hyperlink w:anchor="k5" w:history="1">
              <w:r>
                <w:rPr>
                  <w:sz w:val="18"/>
                  <w:szCs w:val="18"/>
                </w:rPr>
                <w:t>5</w:t>
              </w:r>
            </w:hyperlink>
            <w:r>
              <w:rPr>
                <w:sz w:val="18"/>
                <w:szCs w:val="18"/>
              </w:rPr>
              <w:t>–</w:t>
            </w:r>
            <w:hyperlink w:anchor="k11" w:history="1">
              <w:r>
                <w:rPr>
                  <w:sz w:val="18"/>
                  <w:szCs w:val="18"/>
                </w:rPr>
                <w:t>11</w:t>
              </w:r>
            </w:hyperlink>
            <w:r>
              <w:rPr>
                <w:sz w:val="18"/>
                <w:szCs w:val="18"/>
              </w:rPr>
              <w:t xml:space="preserve">, </w:t>
            </w:r>
            <w:hyperlink w:anchor="k30" w:history="1">
              <w:r>
                <w:rPr>
                  <w:sz w:val="18"/>
                  <w:szCs w:val="18"/>
                </w:rPr>
                <w:t>30</w:t>
              </w:r>
            </w:hyperlink>
            <w:r>
              <w:rPr>
                <w:sz w:val="18"/>
                <w:szCs w:val="18"/>
              </w:rPr>
              <w:t xml:space="preserve">, </w:t>
            </w:r>
            <w:hyperlink w:anchor="k41" w:history="1">
              <w:r>
                <w:rPr>
                  <w:sz w:val="18"/>
                  <w:szCs w:val="18"/>
                </w:rPr>
                <w:t>41</w:t>
              </w:r>
            </w:hyperlink>
          </w:p>
        </w:tc>
      </w:tr>
      <w:tr w:rsidR="00C1548D" w14:paraId="70A51535"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2" w14:textId="77777777" w:rsidR="00C1548D" w:rsidRDefault="009B1B4B">
            <w:pPr>
              <w:spacing w:line="250" w:lineRule="auto"/>
            </w:pPr>
            <w:r>
              <w:rPr>
                <w:sz w:val="18"/>
                <w:szCs w:val="18"/>
              </w:rPr>
              <w:t>uscis.gov/green-card</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3" w14:textId="77777777" w:rsidR="00C1548D" w:rsidRDefault="009B1B4B">
            <w:pPr>
              <w:spacing w:line="250" w:lineRule="auto"/>
            </w:pPr>
            <w:r>
              <w:rPr>
                <w:sz w:val="18"/>
                <w:szCs w:val="18"/>
              </w:rPr>
              <w:t>Green Card: Wege, Kategorien, Formular I-485</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4" w14:textId="0AD06A18" w:rsidR="00C1548D" w:rsidRDefault="009B1B4B">
            <w:pPr>
              <w:spacing w:line="250" w:lineRule="auto"/>
            </w:pPr>
            <w:r>
              <w:rPr>
                <w:sz w:val="18"/>
                <w:szCs w:val="18"/>
              </w:rPr>
              <w:t>Kapitel </w:t>
            </w:r>
            <w:hyperlink w:anchor="k4" w:history="1">
              <w:r>
                <w:rPr>
                  <w:sz w:val="18"/>
                  <w:szCs w:val="18"/>
                </w:rPr>
                <w:t>4</w:t>
              </w:r>
            </w:hyperlink>
            <w:r>
              <w:rPr>
                <w:sz w:val="18"/>
                <w:szCs w:val="18"/>
              </w:rPr>
              <w:t xml:space="preserve">, </w:t>
            </w:r>
            <w:hyperlink w:anchor="k6" w:history="1">
              <w:r>
                <w:rPr>
                  <w:sz w:val="18"/>
                  <w:szCs w:val="18"/>
                </w:rPr>
                <w:t>6</w:t>
              </w:r>
            </w:hyperlink>
            <w:r>
              <w:rPr>
                <w:sz w:val="18"/>
                <w:szCs w:val="18"/>
              </w:rPr>
              <w:t xml:space="preserve">, </w:t>
            </w:r>
            <w:hyperlink w:anchor="k42" w:history="1">
              <w:r>
                <w:rPr>
                  <w:sz w:val="18"/>
                  <w:szCs w:val="18"/>
                </w:rPr>
                <w:t>42</w:t>
              </w:r>
            </w:hyperlink>
          </w:p>
        </w:tc>
      </w:tr>
      <w:tr w:rsidR="00C1548D" w14:paraId="70A51539"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6" w14:textId="77777777" w:rsidR="00C1548D" w:rsidRDefault="009B1B4B">
            <w:pPr>
              <w:spacing w:line="250" w:lineRule="auto"/>
            </w:pPr>
            <w:r>
              <w:rPr>
                <w:sz w:val="18"/>
                <w:szCs w:val="18"/>
              </w:rPr>
              <w:t>uscis.gov/i-131</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7" w14:textId="77777777" w:rsidR="00C1548D" w:rsidRDefault="009B1B4B">
            <w:pPr>
              <w:spacing w:line="250" w:lineRule="auto"/>
            </w:pPr>
            <w:r>
              <w:rPr>
                <w:sz w:val="18"/>
                <w:szCs w:val="18"/>
              </w:rPr>
              <w:t>Wiedereinreisegenehmigung</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8" w14:textId="4D0207C6" w:rsidR="00C1548D" w:rsidRDefault="009B1B4B">
            <w:pPr>
              <w:spacing w:line="250" w:lineRule="auto"/>
            </w:pPr>
            <w:r>
              <w:rPr>
                <w:sz w:val="18"/>
                <w:szCs w:val="18"/>
              </w:rPr>
              <w:t>Kapitel </w:t>
            </w:r>
            <w:hyperlink w:anchor="k42" w:history="1">
              <w:r>
                <w:rPr>
                  <w:sz w:val="18"/>
                  <w:szCs w:val="18"/>
                </w:rPr>
                <w:t>42</w:t>
              </w:r>
            </w:hyperlink>
          </w:p>
        </w:tc>
      </w:tr>
      <w:tr w:rsidR="00C1548D" w14:paraId="70A5153D"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A" w14:textId="77777777" w:rsidR="00C1548D" w:rsidRDefault="009B1B4B">
            <w:pPr>
              <w:spacing w:line="250" w:lineRule="auto"/>
            </w:pPr>
            <w:r>
              <w:rPr>
                <w:sz w:val="18"/>
                <w:szCs w:val="18"/>
              </w:rPr>
              <w:t>uscis.gov/i-765</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B" w14:textId="77777777" w:rsidR="00C1548D" w:rsidRDefault="009B1B4B">
            <w:pPr>
              <w:spacing w:line="250" w:lineRule="auto"/>
            </w:pPr>
            <w:r>
              <w:rPr>
                <w:sz w:val="18"/>
                <w:szCs w:val="18"/>
              </w:rPr>
              <w:t>Arbeitserlaubnis (Form I-765)</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C" w14:textId="7B927F67" w:rsidR="00C1548D" w:rsidRDefault="009B1B4B">
            <w:pPr>
              <w:spacing w:line="250" w:lineRule="auto"/>
            </w:pPr>
            <w:r>
              <w:rPr>
                <w:sz w:val="18"/>
                <w:szCs w:val="18"/>
              </w:rPr>
              <w:t>Kapitel </w:t>
            </w:r>
            <w:hyperlink w:anchor="k10" w:history="1">
              <w:r>
                <w:rPr>
                  <w:sz w:val="18"/>
                  <w:szCs w:val="18"/>
                </w:rPr>
                <w:t>10</w:t>
              </w:r>
            </w:hyperlink>
          </w:p>
        </w:tc>
      </w:tr>
      <w:tr w:rsidR="00C1548D" w14:paraId="70A51541"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E" w14:textId="77777777" w:rsidR="00C1548D" w:rsidRDefault="009B1B4B">
            <w:pPr>
              <w:spacing w:line="250" w:lineRule="auto"/>
            </w:pPr>
            <w:r>
              <w:rPr>
                <w:sz w:val="18"/>
                <w:szCs w:val="18"/>
              </w:rPr>
              <w:t>uscis.gov/i-9</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3F" w14:textId="77777777" w:rsidR="00C1548D" w:rsidRDefault="009B1B4B">
            <w:pPr>
              <w:spacing w:line="250" w:lineRule="auto"/>
            </w:pPr>
            <w:r>
              <w:rPr>
                <w:sz w:val="18"/>
                <w:szCs w:val="18"/>
              </w:rPr>
              <w:t>Form I-9, Beschäftigungsnachweis</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0" w14:textId="1B2BF5FA" w:rsidR="00C1548D" w:rsidRDefault="009B1B4B">
            <w:pPr>
              <w:spacing w:line="250" w:lineRule="auto"/>
            </w:pPr>
            <w:r>
              <w:rPr>
                <w:sz w:val="18"/>
                <w:szCs w:val="18"/>
              </w:rPr>
              <w:t>Kapitel </w:t>
            </w:r>
            <w:hyperlink w:anchor="k23" w:history="1">
              <w:r>
                <w:rPr>
                  <w:sz w:val="18"/>
                  <w:szCs w:val="18"/>
                </w:rPr>
                <w:t>23</w:t>
              </w:r>
            </w:hyperlink>
          </w:p>
        </w:tc>
      </w:tr>
      <w:tr w:rsidR="00C1548D" w14:paraId="70A51545"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2" w14:textId="77777777" w:rsidR="00C1548D" w:rsidRDefault="009B1B4B">
            <w:pPr>
              <w:spacing w:line="250" w:lineRule="auto"/>
            </w:pPr>
            <w:r>
              <w:rPr>
                <w:sz w:val="18"/>
                <w:szCs w:val="18"/>
              </w:rPr>
              <w:t>uscis.gov/policy-manual/volume-6-part-b-chapter-6 (auch .../volume-7-part-a-chapter-7, .../volume-7-part-e-chapter-5)</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3" w14:textId="77777777" w:rsidR="00C1548D" w:rsidRDefault="009B1B4B">
            <w:pPr>
              <w:spacing w:line="250" w:lineRule="auto"/>
            </w:pPr>
            <w:r>
              <w:rPr>
                <w:sz w:val="18"/>
                <w:szCs w:val="18"/>
              </w:rPr>
              <w:t>Ehe und Ehepartner, Child Status Protection Act, Job-Portabilität (AC21)</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4" w14:textId="0BE047C0" w:rsidR="00C1548D" w:rsidRDefault="009B1B4B">
            <w:pPr>
              <w:spacing w:line="250" w:lineRule="auto"/>
            </w:pPr>
            <w:r>
              <w:rPr>
                <w:sz w:val="18"/>
                <w:szCs w:val="18"/>
              </w:rPr>
              <w:t>Kapitel </w:t>
            </w:r>
            <w:hyperlink w:anchor="k10" w:history="1">
              <w:r>
                <w:rPr>
                  <w:sz w:val="18"/>
                  <w:szCs w:val="18"/>
                </w:rPr>
                <w:t>10</w:t>
              </w:r>
            </w:hyperlink>
            <w:r>
              <w:rPr>
                <w:sz w:val="18"/>
                <w:szCs w:val="18"/>
              </w:rPr>
              <w:t xml:space="preserve">, </w:t>
            </w:r>
            <w:hyperlink w:anchor="k30" w:history="1">
              <w:r>
                <w:rPr>
                  <w:sz w:val="18"/>
                  <w:szCs w:val="18"/>
                </w:rPr>
                <w:t>30</w:t>
              </w:r>
            </w:hyperlink>
          </w:p>
        </w:tc>
      </w:tr>
      <w:tr w:rsidR="00C1548D" w14:paraId="70A51549"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6" w14:textId="77777777" w:rsidR="00C1548D" w:rsidRDefault="009B1B4B">
            <w:pPr>
              <w:spacing w:line="250" w:lineRule="auto"/>
            </w:pPr>
            <w:r>
              <w:rPr>
                <w:sz w:val="18"/>
                <w:szCs w:val="18"/>
              </w:rPr>
              <w:t>uscis.gov/processing-times (auch egov.uscis.gov/processing-times)</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7" w14:textId="77777777" w:rsidR="00C1548D" w:rsidRDefault="009B1B4B">
            <w:pPr>
              <w:spacing w:line="250" w:lineRule="auto"/>
            </w:pPr>
            <w:r>
              <w:rPr>
                <w:sz w:val="18"/>
                <w:szCs w:val="18"/>
              </w:rPr>
              <w:t>Bearbeitungszeiten</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8" w14:textId="2448B915" w:rsidR="00C1548D" w:rsidRDefault="009B1B4B">
            <w:pPr>
              <w:spacing w:line="250" w:lineRule="auto"/>
            </w:pPr>
            <w:r>
              <w:rPr>
                <w:sz w:val="18"/>
                <w:szCs w:val="18"/>
              </w:rPr>
              <w:t>Kapitel </w:t>
            </w:r>
            <w:hyperlink w:anchor="k11" w:history="1">
              <w:r>
                <w:rPr>
                  <w:sz w:val="18"/>
                  <w:szCs w:val="18"/>
                </w:rPr>
                <w:t>11</w:t>
              </w:r>
            </w:hyperlink>
            <w:r>
              <w:rPr>
                <w:sz w:val="18"/>
                <w:szCs w:val="18"/>
              </w:rPr>
              <w:t xml:space="preserve">, </w:t>
            </w:r>
            <w:hyperlink w:anchor="k15" w:history="1">
              <w:r>
                <w:rPr>
                  <w:sz w:val="18"/>
                  <w:szCs w:val="18"/>
                </w:rPr>
                <w:t>15</w:t>
              </w:r>
            </w:hyperlink>
            <w:r>
              <w:rPr>
                <w:sz w:val="18"/>
                <w:szCs w:val="18"/>
              </w:rPr>
              <w:t xml:space="preserve">, </w:t>
            </w:r>
            <w:hyperlink w:anchor="k41" w:history="1">
              <w:r>
                <w:rPr>
                  <w:sz w:val="18"/>
                  <w:szCs w:val="18"/>
                </w:rPr>
                <w:t>41</w:t>
              </w:r>
            </w:hyperlink>
          </w:p>
        </w:tc>
      </w:tr>
      <w:tr w:rsidR="00C1548D" w14:paraId="70A5154D"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A" w14:textId="77777777" w:rsidR="00C1548D" w:rsidRDefault="009B1B4B">
            <w:pPr>
              <w:spacing w:line="250" w:lineRule="auto"/>
            </w:pPr>
            <w:r>
              <w:rPr>
                <w:sz w:val="18"/>
                <w:szCs w:val="18"/>
              </w:rPr>
              <w:t>uscis.gov/working-in-the-united-states</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B" w14:textId="77777777" w:rsidR="00C1548D" w:rsidRDefault="009B1B4B">
            <w:pPr>
              <w:spacing w:line="250" w:lineRule="auto"/>
            </w:pPr>
            <w:r>
              <w:rPr>
                <w:sz w:val="18"/>
                <w:szCs w:val="18"/>
              </w:rPr>
              <w:t>Arbeitsvisa im Überblick</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C" w14:textId="6695079A" w:rsidR="00C1548D" w:rsidRDefault="009B1B4B">
            <w:pPr>
              <w:spacing w:line="250" w:lineRule="auto"/>
            </w:pPr>
            <w:r>
              <w:rPr>
                <w:sz w:val="18"/>
                <w:szCs w:val="18"/>
              </w:rPr>
              <w:t>Kapitel </w:t>
            </w:r>
            <w:hyperlink w:anchor="k1" w:history="1">
              <w:r>
                <w:rPr>
                  <w:sz w:val="18"/>
                  <w:szCs w:val="18"/>
                </w:rPr>
                <w:t>1</w:t>
              </w:r>
            </w:hyperlink>
            <w:r>
              <w:rPr>
                <w:sz w:val="18"/>
                <w:szCs w:val="18"/>
              </w:rPr>
              <w:t xml:space="preserve">, </w:t>
            </w:r>
            <w:hyperlink w:anchor="k4" w:history="1">
              <w:r>
                <w:rPr>
                  <w:sz w:val="18"/>
                  <w:szCs w:val="18"/>
                </w:rPr>
                <w:t>4</w:t>
              </w:r>
            </w:hyperlink>
          </w:p>
        </w:tc>
      </w:tr>
      <w:tr w:rsidR="00C1548D" w14:paraId="70A51551"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E" w14:textId="77777777" w:rsidR="00C1548D" w:rsidRDefault="009B1B4B">
            <w:pPr>
              <w:spacing w:line="250" w:lineRule="auto"/>
            </w:pPr>
            <w:r>
              <w:rPr>
                <w:sz w:val="18"/>
                <w:szCs w:val="18"/>
              </w:rPr>
              <w:t>uscis.gov/working-in-the-united-states/h-1b-specialty-occupations</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4F" w14:textId="77777777" w:rsidR="00C1548D" w:rsidRDefault="009B1B4B">
            <w:pPr>
              <w:spacing w:line="250" w:lineRule="auto"/>
            </w:pPr>
            <w:r>
              <w:rPr>
                <w:sz w:val="18"/>
                <w:szCs w:val="18"/>
              </w:rPr>
              <w:t>H-1B, Specialty Occupations, aktuelle FAQ zur Zahlungspflicht</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50" w14:textId="6F61CC80" w:rsidR="00C1548D" w:rsidRDefault="009B1B4B">
            <w:pPr>
              <w:spacing w:line="250" w:lineRule="auto"/>
            </w:pPr>
            <w:r>
              <w:rPr>
                <w:sz w:val="18"/>
                <w:szCs w:val="18"/>
              </w:rPr>
              <w:t>Kapitel </w:t>
            </w:r>
            <w:hyperlink w:anchor="k5" w:history="1">
              <w:r>
                <w:rPr>
                  <w:sz w:val="18"/>
                  <w:szCs w:val="18"/>
                </w:rPr>
                <w:t>5</w:t>
              </w:r>
            </w:hyperlink>
            <w:r>
              <w:rPr>
                <w:sz w:val="18"/>
                <w:szCs w:val="18"/>
              </w:rPr>
              <w:t xml:space="preserve">, </w:t>
            </w:r>
            <w:hyperlink w:anchor="k11" w:history="1">
              <w:r>
                <w:rPr>
                  <w:sz w:val="18"/>
                  <w:szCs w:val="18"/>
                </w:rPr>
                <w:t>11</w:t>
              </w:r>
            </w:hyperlink>
            <w:r>
              <w:rPr>
                <w:sz w:val="18"/>
                <w:szCs w:val="18"/>
              </w:rPr>
              <w:t xml:space="preserve">, </w:t>
            </w:r>
            <w:hyperlink w:anchor="k15" w:history="1">
              <w:r>
                <w:rPr>
                  <w:sz w:val="18"/>
                  <w:szCs w:val="18"/>
                </w:rPr>
                <w:t>15</w:t>
              </w:r>
            </w:hyperlink>
            <w:r>
              <w:rPr>
                <w:sz w:val="18"/>
                <w:szCs w:val="18"/>
              </w:rPr>
              <w:t xml:space="preserve">, </w:t>
            </w:r>
            <w:hyperlink w:anchor="k30" w:history="1">
              <w:r>
                <w:rPr>
                  <w:sz w:val="18"/>
                  <w:szCs w:val="18"/>
                </w:rPr>
                <w:t>30</w:t>
              </w:r>
            </w:hyperlink>
          </w:p>
        </w:tc>
      </w:tr>
      <w:tr w:rsidR="00C1548D" w14:paraId="70A51555"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52" w14:textId="77777777" w:rsidR="00C1548D" w:rsidRDefault="009B1B4B">
            <w:pPr>
              <w:spacing w:line="250" w:lineRule="auto"/>
            </w:pPr>
            <w:r>
              <w:rPr>
                <w:sz w:val="18"/>
                <w:szCs w:val="18"/>
              </w:rPr>
              <w:t>uscis.gov/working-in-the-united-states/international-entrepreneur-rule</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53" w14:textId="77777777" w:rsidR="00C1548D" w:rsidRDefault="009B1B4B">
            <w:pPr>
              <w:spacing w:line="250" w:lineRule="auto"/>
            </w:pPr>
            <w:r>
              <w:rPr>
                <w:sz w:val="18"/>
                <w:szCs w:val="18"/>
              </w:rPr>
              <w:t>Gründervisum</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54" w14:textId="18342B97" w:rsidR="00C1548D" w:rsidRDefault="009B1B4B">
            <w:pPr>
              <w:spacing w:line="250" w:lineRule="auto"/>
            </w:pPr>
            <w:r>
              <w:rPr>
                <w:sz w:val="18"/>
                <w:szCs w:val="18"/>
              </w:rPr>
              <w:t>Kapitel </w:t>
            </w:r>
            <w:hyperlink w:anchor="k9" w:history="1">
              <w:r>
                <w:rPr>
                  <w:sz w:val="18"/>
                  <w:szCs w:val="18"/>
                </w:rPr>
                <w:t>9</w:t>
              </w:r>
            </w:hyperlink>
          </w:p>
        </w:tc>
      </w:tr>
      <w:tr w:rsidR="00C1548D" w14:paraId="70A51559"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56" w14:textId="77777777" w:rsidR="00C1548D" w:rsidRDefault="009B1B4B">
            <w:pPr>
              <w:spacing w:line="250" w:lineRule="auto"/>
            </w:pPr>
            <w:r>
              <w:rPr>
                <w:sz w:val="18"/>
                <w:szCs w:val="18"/>
              </w:rPr>
              <w:t>uscis.gov/working-in-the-united-states/students-and-exchange-visitors</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57" w14:textId="77777777" w:rsidR="00C1548D" w:rsidRDefault="009B1B4B">
            <w:pPr>
              <w:spacing w:line="250" w:lineRule="auto"/>
            </w:pPr>
            <w:r>
              <w:rPr>
                <w:sz w:val="18"/>
                <w:szCs w:val="18"/>
              </w:rPr>
              <w:t>OPT, STEM-OPT, Statuswechsel</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58" w14:textId="4E6C7D70" w:rsidR="00C1548D" w:rsidRDefault="009B1B4B">
            <w:pPr>
              <w:spacing w:line="250" w:lineRule="auto"/>
            </w:pPr>
            <w:r>
              <w:rPr>
                <w:sz w:val="18"/>
                <w:szCs w:val="18"/>
              </w:rPr>
              <w:t>Kapitel </w:t>
            </w:r>
            <w:hyperlink w:anchor="k8" w:history="1">
              <w:r>
                <w:rPr>
                  <w:sz w:val="18"/>
                  <w:szCs w:val="18"/>
                </w:rPr>
                <w:t>8</w:t>
              </w:r>
            </w:hyperlink>
          </w:p>
        </w:tc>
      </w:tr>
      <w:tr w:rsidR="00C1548D" w14:paraId="70A5155D" w14:textId="77777777">
        <w:tblPrEx>
          <w:tblCellMar>
            <w:top w:w="0" w:type="dxa"/>
            <w:bottom w:w="0" w:type="dxa"/>
          </w:tblCellMar>
        </w:tblPrEx>
        <w:trPr>
          <w:cantSplit/>
        </w:trPr>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5A" w14:textId="77777777" w:rsidR="00C1548D" w:rsidRDefault="009B1B4B">
            <w:pPr>
              <w:spacing w:line="250" w:lineRule="auto"/>
            </w:pPr>
            <w:r>
              <w:rPr>
                <w:sz w:val="18"/>
                <w:szCs w:val="18"/>
              </w:rPr>
              <w:t>uscis.gov/working-in-the-united-states/temporary-workers (auch .../l-1a-intracompany-transferee-executive-or-manager)</w:t>
            </w:r>
          </w:p>
        </w:tc>
        <w:tc>
          <w:tcPr>
            <w:tcW w:w="26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5B" w14:textId="77777777" w:rsidR="00C1548D" w:rsidRDefault="009B1B4B">
            <w:pPr>
              <w:spacing w:line="250" w:lineRule="auto"/>
            </w:pPr>
            <w:r>
              <w:rPr>
                <w:sz w:val="18"/>
                <w:szCs w:val="18"/>
              </w:rPr>
              <w:t>L-1, O-1, E-1/E-2, Arbeitserlaubnis der L-2-Ehepartner</w:t>
            </w:r>
          </w:p>
        </w:tc>
        <w:tc>
          <w:tcPr>
            <w:tcW w:w="10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5C" w14:textId="2C6FB568" w:rsidR="00C1548D" w:rsidRDefault="009B1B4B">
            <w:pPr>
              <w:spacing w:line="250" w:lineRule="auto"/>
            </w:pPr>
            <w:r>
              <w:rPr>
                <w:sz w:val="18"/>
                <w:szCs w:val="18"/>
              </w:rPr>
              <w:t>Kapitel </w:t>
            </w:r>
            <w:hyperlink w:anchor="k9" w:history="1">
              <w:r>
                <w:rPr>
                  <w:sz w:val="18"/>
                  <w:szCs w:val="18"/>
                </w:rPr>
                <w:t>9</w:t>
              </w:r>
            </w:hyperlink>
            <w:r>
              <w:rPr>
                <w:sz w:val="18"/>
                <w:szCs w:val="18"/>
              </w:rPr>
              <w:t xml:space="preserve">, </w:t>
            </w:r>
            <w:hyperlink w:anchor="k10" w:history="1">
              <w:r>
                <w:rPr>
                  <w:sz w:val="18"/>
                  <w:szCs w:val="18"/>
                </w:rPr>
                <w:t>10</w:t>
              </w:r>
            </w:hyperlink>
          </w:p>
        </w:tc>
      </w:tr>
    </w:tbl>
    <w:p w14:paraId="70A5155E" w14:textId="77777777" w:rsidR="00C1548D" w:rsidRDefault="00C1548D">
      <w:pPr>
        <w:spacing w:line="180" w:lineRule="exact"/>
      </w:pPr>
    </w:p>
    <w:p w14:paraId="70A5155F" w14:textId="77777777" w:rsidR="00C1548D" w:rsidRDefault="009B1B4B">
      <w:pPr>
        <w:pStyle w:val="Heading3"/>
        <w:keepNext/>
        <w:jc w:val="center"/>
      </w:pPr>
      <w:r>
        <w:rPr>
          <w:rFonts w:ascii="Amazon Ember" w:eastAsia="Amazon Ember" w:hAnsi="Amazon Ember" w:cs="Amazon Ember"/>
          <w:color w:val="0000FF"/>
          <w:sz w:val="36"/>
          <w:szCs w:val="36"/>
        </w:rPr>
        <w:lastRenderedPageBreak/>
        <w:t>US-Steuern und Sozialversicherung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7"/>
        <w:gridCol w:w="2833"/>
        <w:gridCol w:w="950"/>
      </w:tblGrid>
      <w:tr w:rsidR="00C1548D" w14:paraId="70A51563" w14:textId="77777777">
        <w:tblPrEx>
          <w:tblCellMar>
            <w:top w:w="0" w:type="dxa"/>
            <w:bottom w:w="0" w:type="dxa"/>
          </w:tblCellMar>
        </w:tblPrEx>
        <w:trPr>
          <w:cantSplit/>
          <w:tblHeader/>
        </w:trPr>
        <w:tc>
          <w:tcPr>
            <w:tcW w:w="26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560" w14:textId="77777777" w:rsidR="00C1548D" w:rsidRDefault="009B1B4B">
            <w:pPr>
              <w:spacing w:line="250" w:lineRule="auto"/>
            </w:pPr>
            <w:r>
              <w:rPr>
                <w:b/>
                <w:bCs/>
                <w:sz w:val="18"/>
                <w:szCs w:val="18"/>
              </w:rPr>
              <w:t>Adresse</w:t>
            </w:r>
          </w:p>
        </w:tc>
        <w:tc>
          <w:tcPr>
            <w:tcW w:w="283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561" w14:textId="77777777" w:rsidR="00C1548D" w:rsidRDefault="009B1B4B">
            <w:pPr>
              <w:spacing w:line="250" w:lineRule="auto"/>
            </w:pPr>
            <w:r>
              <w:rPr>
                <w:b/>
                <w:bCs/>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562" w14:textId="77777777" w:rsidR="00C1548D" w:rsidRDefault="009B1B4B">
            <w:pPr>
              <w:spacing w:line="250" w:lineRule="auto"/>
            </w:pPr>
            <w:r>
              <w:rPr>
                <w:b/>
                <w:bCs/>
                <w:sz w:val="18"/>
                <w:szCs w:val="18"/>
              </w:rPr>
              <w:t>Kapitel</w:t>
            </w:r>
          </w:p>
        </w:tc>
      </w:tr>
      <w:tr w:rsidR="00C1548D" w14:paraId="70A51567"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64" w14:textId="77777777" w:rsidR="00C1548D" w:rsidRDefault="009B1B4B">
            <w:pPr>
              <w:spacing w:line="250" w:lineRule="auto"/>
            </w:pPr>
            <w:r>
              <w:rPr>
                <w:sz w:val="18"/>
                <w:szCs w:val="18"/>
              </w:rPr>
              <w:t>irs.gov</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65" w14:textId="77777777" w:rsidR="00C1548D" w:rsidRDefault="009B1B4B">
            <w:pPr>
              <w:spacing w:line="250" w:lineRule="auto"/>
            </w:pPr>
            <w:r>
              <w:rPr>
                <w:sz w:val="18"/>
                <w:szCs w:val="18"/>
              </w:rPr>
              <w:t>Steuersätze, Standardabzug, Startseite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66" w14:textId="0FB72A13" w:rsidR="00C1548D" w:rsidRDefault="009B1B4B">
            <w:pPr>
              <w:spacing w:line="250" w:lineRule="auto"/>
            </w:pPr>
            <w:r>
              <w:rPr>
                <w:sz w:val="18"/>
                <w:szCs w:val="18"/>
              </w:rPr>
              <w:t>Kapitel </w:t>
            </w:r>
            <w:hyperlink w:anchor="k1" w:history="1">
              <w:r>
                <w:rPr>
                  <w:sz w:val="18"/>
                  <w:szCs w:val="18"/>
                </w:rPr>
                <w:t>1</w:t>
              </w:r>
            </w:hyperlink>
          </w:p>
        </w:tc>
      </w:tr>
      <w:tr w:rsidR="00C1548D" w14:paraId="70A5156B"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68" w14:textId="77777777" w:rsidR="00C1548D" w:rsidRDefault="009B1B4B">
            <w:pPr>
              <w:spacing w:line="250" w:lineRule="auto"/>
            </w:pPr>
            <w:r>
              <w:rPr>
                <w:sz w:val="18"/>
                <w:szCs w:val="18"/>
              </w:rPr>
              <w:t>irs.gov/individuals/tax-withholding-estimator</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69" w14:textId="77777777" w:rsidR="00C1548D" w:rsidRDefault="009B1B4B">
            <w:pPr>
              <w:spacing w:line="250" w:lineRule="auto"/>
            </w:pPr>
            <w:r>
              <w:rPr>
                <w:sz w:val="18"/>
                <w:szCs w:val="18"/>
              </w:rPr>
              <w:t>Tax Withholding Estimator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6A" w14:textId="23AEE42F" w:rsidR="00C1548D" w:rsidRDefault="009B1B4B">
            <w:pPr>
              <w:spacing w:line="250" w:lineRule="auto"/>
            </w:pPr>
            <w:r>
              <w:rPr>
                <w:sz w:val="18"/>
                <w:szCs w:val="18"/>
              </w:rPr>
              <w:t>Kapitel </w:t>
            </w:r>
            <w:hyperlink w:anchor="k3" w:history="1">
              <w:r>
                <w:rPr>
                  <w:sz w:val="18"/>
                  <w:szCs w:val="18"/>
                </w:rPr>
                <w:t>3</w:t>
              </w:r>
            </w:hyperlink>
          </w:p>
        </w:tc>
      </w:tr>
      <w:tr w:rsidR="00C1548D" w14:paraId="70A5156F"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6C" w14:textId="77777777" w:rsidR="00C1548D" w:rsidRDefault="009B1B4B">
            <w:pPr>
              <w:spacing w:line="250" w:lineRule="auto"/>
            </w:pPr>
            <w:r>
              <w:rPr>
                <w:sz w:val="18"/>
                <w:szCs w:val="18"/>
              </w:rPr>
              <w:t>irs.gov/pub/irs-trty/germany.pdf</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6D" w14:textId="77777777" w:rsidR="00C1548D" w:rsidRDefault="009B1B4B">
            <w:pPr>
              <w:spacing w:line="250" w:lineRule="auto"/>
            </w:pPr>
            <w:r>
              <w:rPr>
                <w:sz w:val="18"/>
                <w:szCs w:val="18"/>
              </w:rPr>
              <w:t>Doppelbesteuerungsabkommen Deutschland–USA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6E" w14:textId="68FB87F6" w:rsidR="00C1548D" w:rsidRDefault="009B1B4B">
            <w:pPr>
              <w:spacing w:line="250" w:lineRule="auto"/>
            </w:pPr>
            <w:r>
              <w:rPr>
                <w:sz w:val="18"/>
                <w:szCs w:val="18"/>
              </w:rPr>
              <w:t>Kapitel </w:t>
            </w:r>
            <w:hyperlink w:anchor="k2" w:history="1">
              <w:r>
                <w:rPr>
                  <w:sz w:val="18"/>
                  <w:szCs w:val="18"/>
                </w:rPr>
                <w:t>2</w:t>
              </w:r>
            </w:hyperlink>
            <w:r>
              <w:rPr>
                <w:sz w:val="18"/>
                <w:szCs w:val="18"/>
              </w:rPr>
              <w:t xml:space="preserve">, </w:t>
            </w:r>
            <w:hyperlink w:anchor="k17" w:history="1">
              <w:r>
                <w:rPr>
                  <w:sz w:val="18"/>
                  <w:szCs w:val="18"/>
                </w:rPr>
                <w:t>17</w:t>
              </w:r>
            </w:hyperlink>
            <w:r>
              <w:rPr>
                <w:sz w:val="18"/>
                <w:szCs w:val="18"/>
              </w:rPr>
              <w:t xml:space="preserve">, </w:t>
            </w:r>
            <w:hyperlink w:anchor="k28" w:history="1">
              <w:r>
                <w:rPr>
                  <w:sz w:val="18"/>
                  <w:szCs w:val="18"/>
                </w:rPr>
                <w:t>28</w:t>
              </w:r>
            </w:hyperlink>
          </w:p>
        </w:tc>
      </w:tr>
      <w:tr w:rsidR="00C1548D" w14:paraId="70A51573"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0" w14:textId="77777777" w:rsidR="00C1548D" w:rsidRDefault="009B1B4B">
            <w:pPr>
              <w:spacing w:line="250" w:lineRule="auto"/>
            </w:pPr>
            <w:r>
              <w:rPr>
                <w:sz w:val="18"/>
                <w:szCs w:val="18"/>
              </w:rPr>
              <w:t>irs.gov/businesses/comparison-of-form-8938-and-fbar-requirements</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1" w14:textId="77777777" w:rsidR="00C1548D" w:rsidRDefault="009B1B4B">
            <w:pPr>
              <w:spacing w:line="250" w:lineRule="auto"/>
            </w:pPr>
            <w:r>
              <w:rPr>
                <w:sz w:val="18"/>
                <w:szCs w:val="18"/>
              </w:rPr>
              <w:t>Vergleich Form 8938 und FBAR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2" w14:textId="1CD9CB1F" w:rsidR="00C1548D" w:rsidRDefault="009B1B4B">
            <w:pPr>
              <w:spacing w:line="250" w:lineRule="auto"/>
            </w:pPr>
            <w:r>
              <w:rPr>
                <w:sz w:val="18"/>
                <w:szCs w:val="18"/>
              </w:rPr>
              <w:t>Kapitel </w:t>
            </w:r>
            <w:hyperlink w:anchor="k2" w:history="1">
              <w:r>
                <w:rPr>
                  <w:sz w:val="18"/>
                  <w:szCs w:val="18"/>
                </w:rPr>
                <w:t>2</w:t>
              </w:r>
            </w:hyperlink>
            <w:r>
              <w:rPr>
                <w:sz w:val="18"/>
                <w:szCs w:val="18"/>
              </w:rPr>
              <w:t xml:space="preserve">, </w:t>
            </w:r>
            <w:hyperlink w:anchor="k28" w:history="1">
              <w:r>
                <w:rPr>
                  <w:sz w:val="18"/>
                  <w:szCs w:val="18"/>
                </w:rPr>
                <w:t>28</w:t>
              </w:r>
            </w:hyperlink>
          </w:p>
        </w:tc>
      </w:tr>
      <w:tr w:rsidR="00C1548D" w14:paraId="70A51577"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4" w14:textId="77777777" w:rsidR="00C1548D" w:rsidRDefault="009B1B4B">
            <w:pPr>
              <w:spacing w:line="250" w:lineRule="auto"/>
            </w:pPr>
            <w:r>
              <w:rPr>
                <w:sz w:val="18"/>
                <w:szCs w:val="18"/>
              </w:rPr>
              <w:t>irs.gov/businesses/small-businesses-self-employed/report-of-foreign-bank-and-financial-accounts-fbar</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5" w14:textId="77777777" w:rsidR="00C1548D" w:rsidRDefault="009B1B4B">
            <w:pPr>
              <w:spacing w:line="250" w:lineRule="auto"/>
            </w:pPr>
            <w:r>
              <w:rPr>
                <w:sz w:val="18"/>
                <w:szCs w:val="18"/>
              </w:rPr>
              <w:t>FBAR, Meldepflicht für Auslandskonten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6" w14:textId="6C766789" w:rsidR="00C1548D" w:rsidRDefault="009B1B4B">
            <w:pPr>
              <w:spacing w:line="250" w:lineRule="auto"/>
            </w:pPr>
            <w:r>
              <w:rPr>
                <w:sz w:val="18"/>
                <w:szCs w:val="18"/>
              </w:rPr>
              <w:t>Kapitel </w:t>
            </w:r>
            <w:hyperlink w:anchor="k28" w:history="1">
              <w:r>
                <w:rPr>
                  <w:sz w:val="18"/>
                  <w:szCs w:val="18"/>
                </w:rPr>
                <w:t>28</w:t>
              </w:r>
            </w:hyperlink>
          </w:p>
        </w:tc>
      </w:tr>
      <w:tr w:rsidR="00C1548D" w14:paraId="70A5157B"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8" w14:textId="77777777" w:rsidR="00C1548D" w:rsidRDefault="009B1B4B">
            <w:pPr>
              <w:spacing w:line="250" w:lineRule="auto"/>
            </w:pPr>
            <w:r>
              <w:rPr>
                <w:sz w:val="18"/>
                <w:szCs w:val="18"/>
              </w:rPr>
              <w:t>irs.gov/individuals/international-taxpayers</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9" w14:textId="77777777" w:rsidR="00C1548D" w:rsidRDefault="009B1B4B">
            <w:pPr>
              <w:spacing w:line="250" w:lineRule="auto"/>
            </w:pPr>
            <w:r>
              <w:rPr>
                <w:sz w:val="18"/>
                <w:szCs w:val="18"/>
              </w:rPr>
              <w:t>Steuerpflicht für Auslandsansässige, Exit Tax</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A" w14:textId="2C073BA8" w:rsidR="00C1548D" w:rsidRDefault="009B1B4B">
            <w:pPr>
              <w:spacing w:line="250" w:lineRule="auto"/>
            </w:pPr>
            <w:r>
              <w:rPr>
                <w:sz w:val="18"/>
                <w:szCs w:val="18"/>
              </w:rPr>
              <w:t>Kapitel </w:t>
            </w:r>
            <w:hyperlink w:anchor="k6" w:history="1">
              <w:r>
                <w:rPr>
                  <w:sz w:val="18"/>
                  <w:szCs w:val="18"/>
                </w:rPr>
                <w:t>6</w:t>
              </w:r>
            </w:hyperlink>
            <w:r>
              <w:rPr>
                <w:sz w:val="18"/>
                <w:szCs w:val="18"/>
              </w:rPr>
              <w:t xml:space="preserve">, </w:t>
            </w:r>
            <w:hyperlink w:anchor="k8" w:history="1">
              <w:r>
                <w:rPr>
                  <w:sz w:val="18"/>
                  <w:szCs w:val="18"/>
                </w:rPr>
                <w:t>8</w:t>
              </w:r>
            </w:hyperlink>
          </w:p>
        </w:tc>
      </w:tr>
      <w:tr w:rsidR="00C1548D" w14:paraId="70A5157F"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C" w14:textId="77777777" w:rsidR="00C1548D" w:rsidRDefault="009B1B4B">
            <w:pPr>
              <w:spacing w:line="250" w:lineRule="auto"/>
            </w:pPr>
            <w:r>
              <w:rPr>
                <w:sz w:val="18"/>
                <w:szCs w:val="18"/>
              </w:rPr>
              <w:t>irs.gov/individuals/international-taxpayers/taxation-of-nonresident-aliens</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D" w14:textId="77777777" w:rsidR="00C1548D" w:rsidRDefault="009B1B4B">
            <w:pPr>
              <w:spacing w:line="250" w:lineRule="auto"/>
            </w:pPr>
            <w:r>
              <w:rPr>
                <w:sz w:val="18"/>
                <w:szCs w:val="18"/>
              </w:rPr>
              <w:t>Besteuerung von Nichtansässigen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7E" w14:textId="05649422" w:rsidR="00C1548D" w:rsidRDefault="009B1B4B">
            <w:pPr>
              <w:spacing w:line="250" w:lineRule="auto"/>
            </w:pPr>
            <w:r>
              <w:rPr>
                <w:sz w:val="18"/>
                <w:szCs w:val="18"/>
              </w:rPr>
              <w:t>Kapitel </w:t>
            </w:r>
            <w:hyperlink w:anchor="k28" w:history="1">
              <w:r>
                <w:rPr>
                  <w:sz w:val="18"/>
                  <w:szCs w:val="18"/>
                </w:rPr>
                <w:t>28</w:t>
              </w:r>
            </w:hyperlink>
          </w:p>
        </w:tc>
      </w:tr>
      <w:tr w:rsidR="00C1548D" w14:paraId="70A51583"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0" w14:textId="77777777" w:rsidR="00C1548D" w:rsidRDefault="009B1B4B">
            <w:pPr>
              <w:spacing w:line="250" w:lineRule="auto"/>
            </w:pPr>
            <w:r>
              <w:rPr>
                <w:sz w:val="18"/>
                <w:szCs w:val="18"/>
              </w:rPr>
              <w:t>irs.gov/publications/p519</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1" w14:textId="77777777" w:rsidR="00C1548D" w:rsidRDefault="009B1B4B">
            <w:pPr>
              <w:spacing w:line="250" w:lineRule="auto"/>
            </w:pPr>
            <w:r>
              <w:rPr>
                <w:sz w:val="18"/>
                <w:szCs w:val="18"/>
              </w:rPr>
              <w:t>Publication 519, Steuerleitfaden für Ausländer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2" w14:textId="7F3ADB96" w:rsidR="00C1548D" w:rsidRDefault="009B1B4B">
            <w:pPr>
              <w:spacing w:line="250" w:lineRule="auto"/>
            </w:pPr>
            <w:r>
              <w:rPr>
                <w:sz w:val="18"/>
                <w:szCs w:val="18"/>
              </w:rPr>
              <w:t>Kapitel </w:t>
            </w:r>
            <w:hyperlink w:anchor="k28" w:history="1">
              <w:r>
                <w:rPr>
                  <w:sz w:val="18"/>
                  <w:szCs w:val="18"/>
                </w:rPr>
                <w:t>28</w:t>
              </w:r>
            </w:hyperlink>
          </w:p>
        </w:tc>
      </w:tr>
      <w:tr w:rsidR="00C1548D" w14:paraId="70A51587"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4" w14:textId="77777777" w:rsidR="00C1548D" w:rsidRDefault="009B1B4B">
            <w:pPr>
              <w:spacing w:line="250" w:lineRule="auto"/>
            </w:pPr>
            <w:r>
              <w:rPr>
                <w:sz w:val="18"/>
                <w:szCs w:val="18"/>
              </w:rPr>
              <w:t>irs.gov/credits-deductions/individuals/child-tax-credit</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5" w14:textId="77777777" w:rsidR="00C1548D" w:rsidRDefault="009B1B4B">
            <w:pPr>
              <w:spacing w:line="250" w:lineRule="auto"/>
            </w:pPr>
            <w:r>
              <w:rPr>
                <w:sz w:val="18"/>
                <w:szCs w:val="18"/>
              </w:rPr>
              <w:t>Child Tax Credit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6" w14:textId="7AA9B0C9" w:rsidR="00C1548D" w:rsidRDefault="009B1B4B">
            <w:pPr>
              <w:spacing w:line="250" w:lineRule="auto"/>
            </w:pPr>
            <w:r>
              <w:rPr>
                <w:sz w:val="18"/>
                <w:szCs w:val="18"/>
              </w:rPr>
              <w:t>Kapitel </w:t>
            </w:r>
            <w:hyperlink w:anchor="k28" w:history="1">
              <w:r>
                <w:rPr>
                  <w:sz w:val="18"/>
                  <w:szCs w:val="18"/>
                </w:rPr>
                <w:t>28</w:t>
              </w:r>
            </w:hyperlink>
          </w:p>
        </w:tc>
      </w:tr>
      <w:tr w:rsidR="00C1548D" w14:paraId="70A5158B"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8" w14:textId="77777777" w:rsidR="00C1548D" w:rsidRDefault="009B1B4B">
            <w:pPr>
              <w:spacing w:line="250" w:lineRule="auto"/>
            </w:pPr>
            <w:r>
              <w:rPr>
                <w:sz w:val="18"/>
                <w:szCs w:val="18"/>
              </w:rPr>
              <w:t>irs.gov/payments/failure-to-file-penalty</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9" w14:textId="77777777" w:rsidR="00C1548D" w:rsidRDefault="009B1B4B">
            <w:pPr>
              <w:spacing w:line="250" w:lineRule="auto"/>
            </w:pPr>
            <w:r>
              <w:rPr>
                <w:sz w:val="18"/>
                <w:szCs w:val="18"/>
              </w:rPr>
              <w:t>Strafen bei verspäteter Erklärung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A" w14:textId="44CD0351" w:rsidR="00C1548D" w:rsidRDefault="009B1B4B">
            <w:pPr>
              <w:spacing w:line="250" w:lineRule="auto"/>
            </w:pPr>
            <w:r>
              <w:rPr>
                <w:sz w:val="18"/>
                <w:szCs w:val="18"/>
              </w:rPr>
              <w:t>Kapitel </w:t>
            </w:r>
            <w:hyperlink w:anchor="k28" w:history="1">
              <w:r>
                <w:rPr>
                  <w:sz w:val="18"/>
                  <w:szCs w:val="18"/>
                </w:rPr>
                <w:t>28</w:t>
              </w:r>
            </w:hyperlink>
          </w:p>
        </w:tc>
      </w:tr>
      <w:tr w:rsidR="00C1548D" w14:paraId="70A5158F"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C" w14:textId="77777777" w:rsidR="00C1548D" w:rsidRDefault="009B1B4B">
            <w:pPr>
              <w:spacing w:line="250" w:lineRule="auto"/>
            </w:pPr>
            <w:r>
              <w:rPr>
                <w:sz w:val="18"/>
                <w:szCs w:val="18"/>
              </w:rPr>
              <w:t>irs.gov/tax-professionals/choosing-a-tax-professional (auch /newsroom/tax-scams-consumer-alerts)</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D" w14:textId="77777777" w:rsidR="00C1548D" w:rsidRDefault="009B1B4B">
            <w:pPr>
              <w:spacing w:line="250" w:lineRule="auto"/>
            </w:pPr>
            <w:r>
              <w:rPr>
                <w:sz w:val="18"/>
                <w:szCs w:val="18"/>
              </w:rPr>
              <w:t>Steuerberater finden, Betrugswarnungen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8E" w14:textId="44ADF479" w:rsidR="00C1548D" w:rsidRDefault="009B1B4B">
            <w:pPr>
              <w:spacing w:line="250" w:lineRule="auto"/>
            </w:pPr>
            <w:r>
              <w:rPr>
                <w:sz w:val="18"/>
                <w:szCs w:val="18"/>
              </w:rPr>
              <w:t>Kapitel </w:t>
            </w:r>
            <w:hyperlink w:anchor="k28" w:history="1">
              <w:r>
                <w:rPr>
                  <w:sz w:val="18"/>
                  <w:szCs w:val="18"/>
                </w:rPr>
                <w:t>28</w:t>
              </w:r>
            </w:hyperlink>
          </w:p>
        </w:tc>
      </w:tr>
      <w:tr w:rsidR="00C1548D" w14:paraId="70A51593"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0" w14:textId="77777777" w:rsidR="00C1548D" w:rsidRDefault="009B1B4B">
            <w:pPr>
              <w:spacing w:line="250" w:lineRule="auto"/>
            </w:pPr>
            <w:r>
              <w:rPr>
                <w:sz w:val="18"/>
                <w:szCs w:val="18"/>
              </w:rPr>
              <w:t>irs.gov/retirement-plans/401k-plans</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1" w14:textId="77777777" w:rsidR="00C1548D" w:rsidRDefault="009B1B4B">
            <w:pPr>
              <w:spacing w:line="250" w:lineRule="auto"/>
            </w:pPr>
            <w:r>
              <w:rPr>
                <w:sz w:val="18"/>
                <w:szCs w:val="18"/>
              </w:rPr>
              <w:t>401(k)-Pläne und Grenzen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2" w14:textId="72A99AD3" w:rsidR="00C1548D" w:rsidRDefault="009B1B4B">
            <w:pPr>
              <w:spacing w:line="250" w:lineRule="auto"/>
            </w:pPr>
            <w:r>
              <w:rPr>
                <w:sz w:val="18"/>
                <w:szCs w:val="18"/>
              </w:rPr>
              <w:t>Kapitel </w:t>
            </w:r>
            <w:hyperlink w:anchor="k29" w:history="1">
              <w:r>
                <w:rPr>
                  <w:sz w:val="18"/>
                  <w:szCs w:val="18"/>
                </w:rPr>
                <w:t>29</w:t>
              </w:r>
            </w:hyperlink>
          </w:p>
        </w:tc>
      </w:tr>
      <w:tr w:rsidR="00C1548D" w14:paraId="70A51597"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4" w14:textId="77777777" w:rsidR="00C1548D" w:rsidRDefault="009B1B4B">
            <w:pPr>
              <w:spacing w:line="250" w:lineRule="auto"/>
            </w:pPr>
            <w:r>
              <w:rPr>
                <w:sz w:val="18"/>
                <w:szCs w:val="18"/>
              </w:rPr>
              <w:t>irs.gov/instructions/i8621</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5" w14:textId="77777777" w:rsidR="00C1548D" w:rsidRDefault="009B1B4B">
            <w:pPr>
              <w:spacing w:line="250" w:lineRule="auto"/>
            </w:pPr>
            <w:r>
              <w:rPr>
                <w:sz w:val="18"/>
                <w:szCs w:val="18"/>
              </w:rPr>
              <w:t>Formular 8621, PFIC</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6" w14:textId="3B9F2B4E" w:rsidR="00C1548D" w:rsidRDefault="009B1B4B">
            <w:pPr>
              <w:spacing w:line="250" w:lineRule="auto"/>
            </w:pPr>
            <w:r>
              <w:rPr>
                <w:sz w:val="18"/>
                <w:szCs w:val="18"/>
              </w:rPr>
              <w:t>Kapitel </w:t>
            </w:r>
            <w:hyperlink w:anchor="k17" w:history="1">
              <w:r>
                <w:rPr>
                  <w:sz w:val="18"/>
                  <w:szCs w:val="18"/>
                </w:rPr>
                <w:t>17</w:t>
              </w:r>
            </w:hyperlink>
          </w:p>
        </w:tc>
      </w:tr>
      <w:tr w:rsidR="00C1548D" w14:paraId="70A5159B"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8" w14:textId="77777777" w:rsidR="00C1548D" w:rsidRDefault="009B1B4B">
            <w:pPr>
              <w:spacing w:line="250" w:lineRule="auto"/>
            </w:pPr>
            <w:r>
              <w:rPr>
                <w:sz w:val="18"/>
                <w:szCs w:val="18"/>
              </w:rPr>
              <w:t>irs.gov/publications/p936 (auch /taxtopics/tc701)</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9" w14:textId="77777777" w:rsidR="00C1548D" w:rsidRDefault="009B1B4B">
            <w:pPr>
              <w:spacing w:line="250" w:lineRule="auto"/>
            </w:pPr>
            <w:r>
              <w:rPr>
                <w:sz w:val="18"/>
                <w:szCs w:val="18"/>
              </w:rPr>
              <w:t>Hypothekenzinsen und Hausverkauf</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A" w14:textId="007EE606" w:rsidR="00C1548D" w:rsidRDefault="009B1B4B">
            <w:pPr>
              <w:spacing w:line="250" w:lineRule="auto"/>
            </w:pPr>
            <w:r>
              <w:rPr>
                <w:sz w:val="18"/>
                <w:szCs w:val="18"/>
              </w:rPr>
              <w:t>Kapitel </w:t>
            </w:r>
            <w:hyperlink w:anchor="k14" w:history="1">
              <w:r>
                <w:rPr>
                  <w:sz w:val="18"/>
                  <w:szCs w:val="18"/>
                </w:rPr>
                <w:t>14</w:t>
              </w:r>
            </w:hyperlink>
          </w:p>
        </w:tc>
      </w:tr>
      <w:tr w:rsidR="00C1548D" w14:paraId="70A5159F"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C" w14:textId="77777777" w:rsidR="00C1548D" w:rsidRDefault="009B1B4B">
            <w:pPr>
              <w:spacing w:line="250" w:lineRule="auto"/>
            </w:pPr>
            <w:r>
              <w:rPr>
                <w:sz w:val="18"/>
                <w:szCs w:val="18"/>
              </w:rPr>
              <w:lastRenderedPageBreak/>
              <w:t>irs.gov/individuals/how-do-i-apply-for-an-itin</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D" w14:textId="77777777" w:rsidR="00C1548D" w:rsidRDefault="009B1B4B">
            <w:pPr>
              <w:spacing w:line="250" w:lineRule="auto"/>
            </w:pPr>
            <w:r>
              <w:rPr>
                <w:sz w:val="18"/>
                <w:szCs w:val="18"/>
              </w:rPr>
              <w:t>ITIN beantragen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9E" w14:textId="1E858901" w:rsidR="00C1548D" w:rsidRDefault="009B1B4B">
            <w:pPr>
              <w:spacing w:line="250" w:lineRule="auto"/>
            </w:pPr>
            <w:r>
              <w:rPr>
                <w:sz w:val="18"/>
                <w:szCs w:val="18"/>
              </w:rPr>
              <w:t>Kapitel </w:t>
            </w:r>
            <w:hyperlink w:anchor="k24" w:history="1">
              <w:r>
                <w:rPr>
                  <w:sz w:val="18"/>
                  <w:szCs w:val="18"/>
                </w:rPr>
                <w:t>24</w:t>
              </w:r>
            </w:hyperlink>
          </w:p>
        </w:tc>
      </w:tr>
      <w:tr w:rsidR="00C1548D" w14:paraId="70A515A3"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0" w14:textId="77777777" w:rsidR="00C1548D" w:rsidRDefault="009B1B4B">
            <w:pPr>
              <w:spacing w:line="250" w:lineRule="auto"/>
            </w:pPr>
            <w:r>
              <w:rPr>
                <w:sz w:val="18"/>
                <w:szCs w:val="18"/>
              </w:rPr>
              <w:t>irs.gov/identity-theft-fraud-scams/get-an-identity-protection-pin</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1" w14:textId="77777777" w:rsidR="00C1548D" w:rsidRDefault="009B1B4B">
            <w:pPr>
              <w:spacing w:line="250" w:lineRule="auto"/>
            </w:pPr>
            <w:r>
              <w:rPr>
                <w:sz w:val="18"/>
                <w:szCs w:val="18"/>
              </w:rPr>
              <w:t>Identity Protection PIN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2" w14:textId="6CD5E34D" w:rsidR="00C1548D" w:rsidRDefault="009B1B4B">
            <w:pPr>
              <w:spacing w:line="250" w:lineRule="auto"/>
            </w:pPr>
            <w:r>
              <w:rPr>
                <w:sz w:val="18"/>
                <w:szCs w:val="18"/>
              </w:rPr>
              <w:t>Kapitel </w:t>
            </w:r>
            <w:hyperlink w:anchor="k24" w:history="1">
              <w:r>
                <w:rPr>
                  <w:sz w:val="18"/>
                  <w:szCs w:val="18"/>
                </w:rPr>
                <w:t>24</w:t>
              </w:r>
            </w:hyperlink>
            <w:r>
              <w:rPr>
                <w:sz w:val="18"/>
                <w:szCs w:val="18"/>
              </w:rPr>
              <w:t xml:space="preserve">, </w:t>
            </w:r>
            <w:hyperlink w:anchor="k25" w:history="1">
              <w:r>
                <w:rPr>
                  <w:sz w:val="18"/>
                  <w:szCs w:val="18"/>
                </w:rPr>
                <w:t>25</w:t>
              </w:r>
            </w:hyperlink>
          </w:p>
        </w:tc>
      </w:tr>
      <w:tr w:rsidR="00C1548D" w14:paraId="70A515A7"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4" w14:textId="77777777" w:rsidR="00C1548D" w:rsidRDefault="009B1B4B">
            <w:pPr>
              <w:spacing w:line="250" w:lineRule="auto"/>
            </w:pPr>
            <w:r>
              <w:rPr>
                <w:sz w:val="18"/>
                <w:szCs w:val="18"/>
              </w:rPr>
              <w:t>irs.gov/forms-pubs/about-form-w-4</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5" w14:textId="77777777" w:rsidR="00C1548D" w:rsidRDefault="009B1B4B">
            <w:pPr>
              <w:spacing w:line="250" w:lineRule="auto"/>
            </w:pPr>
            <w:r>
              <w:rPr>
                <w:sz w:val="18"/>
                <w:szCs w:val="18"/>
              </w:rPr>
              <w:t>Form W-4, Lohnsteuerabzug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6" w14:textId="4CD57D00" w:rsidR="00C1548D" w:rsidRDefault="009B1B4B">
            <w:pPr>
              <w:spacing w:line="250" w:lineRule="auto"/>
            </w:pPr>
            <w:r>
              <w:rPr>
                <w:sz w:val="18"/>
                <w:szCs w:val="18"/>
              </w:rPr>
              <w:t>Kapitel </w:t>
            </w:r>
            <w:hyperlink w:anchor="k23" w:history="1">
              <w:r>
                <w:rPr>
                  <w:sz w:val="18"/>
                  <w:szCs w:val="18"/>
                </w:rPr>
                <w:t>23</w:t>
              </w:r>
            </w:hyperlink>
          </w:p>
        </w:tc>
      </w:tr>
      <w:tr w:rsidR="00C1548D" w14:paraId="70A515AB"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8" w14:textId="77777777" w:rsidR="00C1548D" w:rsidRDefault="009B1B4B">
            <w:pPr>
              <w:spacing w:line="250" w:lineRule="auto"/>
            </w:pPr>
            <w:r>
              <w:rPr>
                <w:sz w:val="18"/>
                <w:szCs w:val="18"/>
              </w:rPr>
              <w:t>irs.gov/businesses/small-businesses-self-employed/whats-new-estate-and-gift-tax</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9" w14:textId="77777777" w:rsidR="00C1548D" w:rsidRDefault="009B1B4B">
            <w:pPr>
              <w:spacing w:line="250" w:lineRule="auto"/>
            </w:pPr>
            <w:r>
              <w:rPr>
                <w:sz w:val="18"/>
                <w:szCs w:val="18"/>
              </w:rPr>
              <w:t>Nachlass- und Schenkungsteuer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A" w14:textId="0A0D2E42" w:rsidR="00C1548D" w:rsidRDefault="009B1B4B">
            <w:pPr>
              <w:spacing w:line="250" w:lineRule="auto"/>
            </w:pPr>
            <w:r>
              <w:rPr>
                <w:sz w:val="18"/>
                <w:szCs w:val="18"/>
              </w:rPr>
              <w:t>Kapitel </w:t>
            </w:r>
            <w:hyperlink w:anchor="k39" w:history="1">
              <w:r>
                <w:rPr>
                  <w:sz w:val="18"/>
                  <w:szCs w:val="18"/>
                </w:rPr>
                <w:t>39</w:t>
              </w:r>
            </w:hyperlink>
          </w:p>
        </w:tc>
      </w:tr>
      <w:tr w:rsidR="00C1548D" w14:paraId="70A515AF"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C" w14:textId="77777777" w:rsidR="00C1548D" w:rsidRDefault="009B1B4B">
            <w:pPr>
              <w:spacing w:line="250" w:lineRule="auto"/>
            </w:pPr>
            <w:r>
              <w:rPr>
                <w:sz w:val="18"/>
                <w:szCs w:val="18"/>
              </w:rPr>
              <w:t>irs.gov/instructions/i3520</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D" w14:textId="77777777" w:rsidR="00C1548D" w:rsidRDefault="009B1B4B">
            <w:pPr>
              <w:spacing w:line="250" w:lineRule="auto"/>
            </w:pPr>
            <w:r>
              <w:rPr>
                <w:sz w:val="18"/>
                <w:szCs w:val="18"/>
              </w:rPr>
              <w:t>Formular 3520, Meldepflicht bei Erbschaften und Schenkungen aus dem Ausland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AE" w14:textId="3C432160" w:rsidR="00C1548D" w:rsidRDefault="009B1B4B">
            <w:pPr>
              <w:spacing w:line="250" w:lineRule="auto"/>
            </w:pPr>
            <w:r>
              <w:rPr>
                <w:sz w:val="18"/>
                <w:szCs w:val="18"/>
              </w:rPr>
              <w:t>Kapitel </w:t>
            </w:r>
            <w:hyperlink w:anchor="k39" w:history="1">
              <w:r>
                <w:rPr>
                  <w:sz w:val="18"/>
                  <w:szCs w:val="18"/>
                </w:rPr>
                <w:t>39</w:t>
              </w:r>
            </w:hyperlink>
          </w:p>
        </w:tc>
      </w:tr>
      <w:tr w:rsidR="00C1548D" w14:paraId="70A515B3"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0" w14:textId="77777777" w:rsidR="00C1548D" w:rsidRDefault="009B1B4B">
            <w:pPr>
              <w:spacing w:line="250" w:lineRule="auto"/>
            </w:pPr>
            <w:r>
              <w:rPr>
                <w:sz w:val="18"/>
                <w:szCs w:val="18"/>
              </w:rPr>
              <w:t>irs.gov/individuals/international-taxpayers/expatriation-tax</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1" w14:textId="77777777" w:rsidR="00C1548D" w:rsidRDefault="009B1B4B">
            <w:pPr>
              <w:spacing w:line="250" w:lineRule="auto"/>
            </w:pPr>
            <w:r>
              <w:rPr>
                <w:sz w:val="18"/>
                <w:szCs w:val="18"/>
              </w:rPr>
              <w:t>Expatriation Tax</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2" w14:textId="0C802B38" w:rsidR="00C1548D" w:rsidRDefault="009B1B4B">
            <w:pPr>
              <w:spacing w:line="250" w:lineRule="auto"/>
            </w:pPr>
            <w:r>
              <w:rPr>
                <w:sz w:val="18"/>
                <w:szCs w:val="18"/>
              </w:rPr>
              <w:t>Kapitel </w:t>
            </w:r>
            <w:hyperlink w:anchor="k41" w:history="1">
              <w:r>
                <w:rPr>
                  <w:sz w:val="18"/>
                  <w:szCs w:val="18"/>
                </w:rPr>
                <w:t>41</w:t>
              </w:r>
            </w:hyperlink>
            <w:r>
              <w:rPr>
                <w:sz w:val="18"/>
                <w:szCs w:val="18"/>
              </w:rPr>
              <w:t xml:space="preserve">, </w:t>
            </w:r>
            <w:hyperlink w:anchor="k42" w:history="1">
              <w:r>
                <w:rPr>
                  <w:sz w:val="18"/>
                  <w:szCs w:val="18"/>
                </w:rPr>
                <w:t>42</w:t>
              </w:r>
            </w:hyperlink>
          </w:p>
        </w:tc>
      </w:tr>
      <w:tr w:rsidR="00C1548D" w14:paraId="70A515B7"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4" w14:textId="77777777" w:rsidR="00C1548D" w:rsidRDefault="009B1B4B">
            <w:pPr>
              <w:spacing w:line="250" w:lineRule="auto"/>
            </w:pPr>
            <w:r>
              <w:rPr>
                <w:sz w:val="18"/>
                <w:szCs w:val="18"/>
              </w:rPr>
              <w:t>irs.gov/individuals/international-taxpayers/firpta-withholding</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5" w14:textId="77777777" w:rsidR="00C1548D" w:rsidRDefault="009B1B4B">
            <w:pPr>
              <w:spacing w:line="250" w:lineRule="auto"/>
            </w:pPr>
            <w:r>
              <w:rPr>
                <w:sz w:val="18"/>
                <w:szCs w:val="18"/>
              </w:rPr>
              <w:t>FIRPTA Withholding beim Immobilienverkauf</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6" w14:textId="1B7A871D" w:rsidR="00C1548D" w:rsidRDefault="009B1B4B">
            <w:pPr>
              <w:spacing w:line="250" w:lineRule="auto"/>
            </w:pPr>
            <w:r>
              <w:rPr>
                <w:sz w:val="18"/>
                <w:szCs w:val="18"/>
              </w:rPr>
              <w:t>Kapitel </w:t>
            </w:r>
            <w:hyperlink w:anchor="k42" w:history="1">
              <w:r>
                <w:rPr>
                  <w:sz w:val="18"/>
                  <w:szCs w:val="18"/>
                </w:rPr>
                <w:t>42</w:t>
              </w:r>
            </w:hyperlink>
          </w:p>
        </w:tc>
      </w:tr>
      <w:tr w:rsidR="00C1548D" w14:paraId="70A515BB"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8" w14:textId="77777777" w:rsidR="00C1548D" w:rsidRDefault="009B1B4B">
            <w:pPr>
              <w:spacing w:line="250" w:lineRule="auto"/>
            </w:pPr>
            <w:r>
              <w:rPr>
                <w:sz w:val="18"/>
                <w:szCs w:val="18"/>
              </w:rPr>
              <w:t>ssa.gov/forms/ss-5.pdf</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9" w14:textId="77777777" w:rsidR="00C1548D" w:rsidRDefault="009B1B4B">
            <w:pPr>
              <w:spacing w:line="250" w:lineRule="auto"/>
            </w:pPr>
            <w:r>
              <w:rPr>
                <w:sz w:val="18"/>
                <w:szCs w:val="18"/>
              </w:rPr>
              <w:t>Formular SS-5, Antrag auf die SSN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A" w14:textId="3DF07134" w:rsidR="00C1548D" w:rsidRDefault="009B1B4B">
            <w:pPr>
              <w:spacing w:line="250" w:lineRule="auto"/>
            </w:pPr>
            <w:r>
              <w:rPr>
                <w:sz w:val="18"/>
                <w:szCs w:val="18"/>
              </w:rPr>
              <w:t>Kapitel </w:t>
            </w:r>
            <w:hyperlink w:anchor="k24" w:history="1">
              <w:r>
                <w:rPr>
                  <w:sz w:val="18"/>
                  <w:szCs w:val="18"/>
                </w:rPr>
                <w:t>24</w:t>
              </w:r>
            </w:hyperlink>
          </w:p>
        </w:tc>
      </w:tr>
      <w:tr w:rsidR="00C1548D" w14:paraId="70A515BF"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C" w14:textId="77777777" w:rsidR="00C1548D" w:rsidRDefault="009B1B4B">
            <w:pPr>
              <w:spacing w:line="250" w:lineRule="auto"/>
            </w:pPr>
            <w:r>
              <w:rPr>
                <w:sz w:val="18"/>
                <w:szCs w:val="18"/>
              </w:rPr>
              <w:t>ssa.gov/international/Agreement_Pamphlets/germany.html</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D" w14:textId="77777777" w:rsidR="00C1548D" w:rsidRDefault="009B1B4B">
            <w:pPr>
              <w:spacing w:line="250" w:lineRule="auto"/>
            </w:pPr>
            <w:r>
              <w:rPr>
                <w:sz w:val="18"/>
                <w:szCs w:val="18"/>
              </w:rPr>
              <w:t>Sozialversicherungsabkommen Deutschland–USA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BE" w14:textId="0D758D2E" w:rsidR="00C1548D" w:rsidRDefault="009B1B4B">
            <w:pPr>
              <w:spacing w:line="250" w:lineRule="auto"/>
            </w:pPr>
            <w:r>
              <w:rPr>
                <w:sz w:val="18"/>
                <w:szCs w:val="18"/>
              </w:rPr>
              <w:t>Kapitel </w:t>
            </w:r>
            <w:hyperlink w:anchor="k24" w:history="1">
              <w:r>
                <w:rPr>
                  <w:sz w:val="18"/>
                  <w:szCs w:val="18"/>
                </w:rPr>
                <w:t>24</w:t>
              </w:r>
            </w:hyperlink>
            <w:r>
              <w:rPr>
                <w:sz w:val="18"/>
                <w:szCs w:val="18"/>
              </w:rPr>
              <w:t xml:space="preserve">, </w:t>
            </w:r>
            <w:hyperlink w:anchor="k39" w:history="1">
              <w:r>
                <w:rPr>
                  <w:sz w:val="18"/>
                  <w:szCs w:val="18"/>
                </w:rPr>
                <w:t>39</w:t>
              </w:r>
            </w:hyperlink>
          </w:p>
        </w:tc>
      </w:tr>
      <w:tr w:rsidR="00C1548D" w14:paraId="70A515C3"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C0" w14:textId="77777777" w:rsidR="00C1548D" w:rsidRDefault="009B1B4B">
            <w:pPr>
              <w:spacing w:line="250" w:lineRule="auto"/>
            </w:pPr>
            <w:r>
              <w:rPr>
                <w:sz w:val="18"/>
                <w:szCs w:val="18"/>
              </w:rPr>
              <w:t>ssa.gov/number-card</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C1" w14:textId="77777777" w:rsidR="00C1548D" w:rsidRDefault="009B1B4B">
            <w:pPr>
              <w:spacing w:line="250" w:lineRule="auto"/>
            </w:pPr>
            <w:r>
              <w:rPr>
                <w:sz w:val="18"/>
                <w:szCs w:val="18"/>
              </w:rPr>
              <w:t>Social Security Number und Karte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C2" w14:textId="66D393DC" w:rsidR="00C1548D" w:rsidRDefault="009B1B4B">
            <w:pPr>
              <w:spacing w:line="250" w:lineRule="auto"/>
            </w:pPr>
            <w:r>
              <w:rPr>
                <w:sz w:val="18"/>
                <w:szCs w:val="18"/>
              </w:rPr>
              <w:t>Kapitel </w:t>
            </w:r>
            <w:hyperlink w:anchor="k24" w:history="1">
              <w:r>
                <w:rPr>
                  <w:sz w:val="18"/>
                  <w:szCs w:val="18"/>
                </w:rPr>
                <w:t>24</w:t>
              </w:r>
            </w:hyperlink>
          </w:p>
        </w:tc>
      </w:tr>
      <w:tr w:rsidR="00C1548D" w14:paraId="70A515C7" w14:textId="77777777">
        <w:tblPrEx>
          <w:tblCellMar>
            <w:top w:w="0" w:type="dxa"/>
            <w:bottom w:w="0" w:type="dxa"/>
          </w:tblCellMar>
        </w:tblPrEx>
        <w:trPr>
          <w:cantSplit/>
        </w:trPr>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C4" w14:textId="77777777" w:rsidR="00C1548D" w:rsidRDefault="009B1B4B">
            <w:pPr>
              <w:spacing w:line="250" w:lineRule="auto"/>
            </w:pPr>
            <w:r>
              <w:rPr>
                <w:sz w:val="18"/>
                <w:szCs w:val="18"/>
              </w:rPr>
              <w:t>ssa.gov/benefits/retirement/social-security-fairness-act.html</w:t>
            </w:r>
          </w:p>
        </w:tc>
        <w:tc>
          <w:tcPr>
            <w:tcW w:w="283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C5" w14:textId="77777777" w:rsidR="00C1548D" w:rsidRDefault="009B1B4B">
            <w:pPr>
              <w:spacing w:line="250" w:lineRule="auto"/>
            </w:pPr>
            <w:r>
              <w:rPr>
                <w:sz w:val="18"/>
                <w:szCs w:val="18"/>
              </w:rPr>
              <w:t>Social Security Fairness Act (Abschaffung von WEP/GPO)</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C6" w14:textId="65159B87" w:rsidR="00C1548D" w:rsidRDefault="009B1B4B">
            <w:pPr>
              <w:spacing w:line="250" w:lineRule="auto"/>
            </w:pPr>
            <w:r>
              <w:rPr>
                <w:sz w:val="18"/>
                <w:szCs w:val="18"/>
              </w:rPr>
              <w:t>Kapitel </w:t>
            </w:r>
            <w:hyperlink w:anchor="k39" w:history="1">
              <w:r>
                <w:rPr>
                  <w:sz w:val="18"/>
                  <w:szCs w:val="18"/>
                </w:rPr>
                <w:t>39</w:t>
              </w:r>
            </w:hyperlink>
          </w:p>
        </w:tc>
      </w:tr>
    </w:tbl>
    <w:p w14:paraId="70A515C8" w14:textId="77777777" w:rsidR="00C1548D" w:rsidRDefault="00C1548D">
      <w:pPr>
        <w:spacing w:line="180" w:lineRule="exact"/>
      </w:pPr>
    </w:p>
    <w:p w14:paraId="70A515C9" w14:textId="77777777" w:rsidR="00C1548D" w:rsidRDefault="009B1B4B">
      <w:pPr>
        <w:pStyle w:val="Heading3"/>
        <w:keepNext/>
        <w:jc w:val="center"/>
      </w:pPr>
      <w:r>
        <w:rPr>
          <w:rFonts w:ascii="Amazon Ember" w:eastAsia="Amazon Ember" w:hAnsi="Amazon Ember" w:cs="Amazon Ember"/>
          <w:color w:val="0000FF"/>
          <w:sz w:val="36"/>
          <w:szCs w:val="36"/>
        </w:rPr>
        <w:t>US-Gesundheit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7"/>
        <w:gridCol w:w="2983"/>
        <w:gridCol w:w="950"/>
      </w:tblGrid>
      <w:tr w:rsidR="00C1548D" w14:paraId="70A515CD" w14:textId="77777777">
        <w:tblPrEx>
          <w:tblCellMar>
            <w:top w:w="0" w:type="dxa"/>
            <w:bottom w:w="0" w:type="dxa"/>
          </w:tblCellMar>
        </w:tblPrEx>
        <w:trPr>
          <w:cantSplit/>
          <w:tblHeader/>
        </w:trPr>
        <w:tc>
          <w:tcPr>
            <w:tcW w:w="254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5CA" w14:textId="77777777" w:rsidR="00C1548D" w:rsidRDefault="009B1B4B">
            <w:pPr>
              <w:spacing w:line="250" w:lineRule="auto"/>
            </w:pPr>
            <w:r>
              <w:rPr>
                <w:b/>
                <w:bCs/>
                <w:sz w:val="18"/>
                <w:szCs w:val="18"/>
              </w:rPr>
              <w:t>Adresse</w:t>
            </w:r>
          </w:p>
        </w:tc>
        <w:tc>
          <w:tcPr>
            <w:tcW w:w="29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5CB" w14:textId="77777777" w:rsidR="00C1548D" w:rsidRDefault="009B1B4B">
            <w:pPr>
              <w:spacing w:line="250" w:lineRule="auto"/>
            </w:pPr>
            <w:r>
              <w:rPr>
                <w:b/>
                <w:bCs/>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5CC" w14:textId="77777777" w:rsidR="00C1548D" w:rsidRDefault="009B1B4B">
            <w:pPr>
              <w:spacing w:line="250" w:lineRule="auto"/>
            </w:pPr>
            <w:r>
              <w:rPr>
                <w:b/>
                <w:bCs/>
                <w:sz w:val="18"/>
                <w:szCs w:val="18"/>
              </w:rPr>
              <w:t>Kapitel</w:t>
            </w:r>
          </w:p>
        </w:tc>
      </w:tr>
      <w:tr w:rsidR="00C1548D" w14:paraId="70A515D1"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CE" w14:textId="77777777" w:rsidR="00C1548D" w:rsidRDefault="009B1B4B">
            <w:pPr>
              <w:spacing w:line="250" w:lineRule="auto"/>
            </w:pPr>
            <w:r>
              <w:rPr>
                <w:sz w:val="18"/>
                <w:szCs w:val="18"/>
              </w:rPr>
              <w:t>healthcare.gov</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CF" w14:textId="77777777" w:rsidR="00C1548D" w:rsidRDefault="009B1B4B">
            <w:pPr>
              <w:spacing w:line="250" w:lineRule="auto"/>
            </w:pPr>
            <w:r>
              <w:rPr>
                <w:sz w:val="18"/>
                <w:szCs w:val="18"/>
              </w:rPr>
              <w:t>Marktplatz, Plantypen, Sonderfenster, Einwanderungsstatus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0" w14:textId="5907D27B" w:rsidR="00C1548D" w:rsidRDefault="009B1B4B">
            <w:pPr>
              <w:spacing w:line="250" w:lineRule="auto"/>
            </w:pPr>
            <w:r>
              <w:rPr>
                <w:sz w:val="18"/>
                <w:szCs w:val="18"/>
              </w:rPr>
              <w:t>Kapitel </w:t>
            </w:r>
            <w:hyperlink w:anchor="k1" w:history="1">
              <w:r>
                <w:rPr>
                  <w:sz w:val="18"/>
                  <w:szCs w:val="18"/>
                </w:rPr>
                <w:t>1</w:t>
              </w:r>
            </w:hyperlink>
            <w:r>
              <w:rPr>
                <w:sz w:val="18"/>
                <w:szCs w:val="18"/>
              </w:rPr>
              <w:t xml:space="preserve">, </w:t>
            </w:r>
            <w:hyperlink w:anchor="k26" w:history="1">
              <w:r>
                <w:rPr>
                  <w:sz w:val="18"/>
                  <w:szCs w:val="18"/>
                </w:rPr>
                <w:t>26</w:t>
              </w:r>
            </w:hyperlink>
          </w:p>
        </w:tc>
      </w:tr>
      <w:tr w:rsidR="00C1548D" w14:paraId="70A515D5"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2" w14:textId="77777777" w:rsidR="00C1548D" w:rsidRDefault="009B1B4B">
            <w:pPr>
              <w:spacing w:line="250" w:lineRule="auto"/>
            </w:pPr>
            <w:r>
              <w:rPr>
                <w:sz w:val="18"/>
                <w:szCs w:val="18"/>
              </w:rPr>
              <w:t>cms.gov/nosurprises/consumers</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3" w14:textId="77777777" w:rsidR="00C1548D" w:rsidRDefault="009B1B4B">
            <w:pPr>
              <w:spacing w:line="250" w:lineRule="auto"/>
            </w:pPr>
            <w:r>
              <w:rPr>
                <w:sz w:val="18"/>
                <w:szCs w:val="18"/>
              </w:rPr>
              <w:t>No Surprises Act, Kostenvoranschlag, Beschwerdestelle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4" w14:textId="74537C3F" w:rsidR="00C1548D" w:rsidRDefault="009B1B4B">
            <w:pPr>
              <w:spacing w:line="250" w:lineRule="auto"/>
            </w:pPr>
            <w:r>
              <w:rPr>
                <w:sz w:val="18"/>
                <w:szCs w:val="18"/>
              </w:rPr>
              <w:t>Kapitel </w:t>
            </w:r>
            <w:hyperlink w:anchor="k26" w:history="1">
              <w:r>
                <w:rPr>
                  <w:sz w:val="18"/>
                  <w:szCs w:val="18"/>
                </w:rPr>
                <w:t>26</w:t>
              </w:r>
            </w:hyperlink>
          </w:p>
        </w:tc>
      </w:tr>
      <w:tr w:rsidR="00C1548D" w14:paraId="70A515D9"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6" w14:textId="77777777" w:rsidR="00C1548D" w:rsidRDefault="009B1B4B">
            <w:pPr>
              <w:spacing w:line="250" w:lineRule="auto"/>
            </w:pPr>
            <w:r>
              <w:rPr>
                <w:sz w:val="18"/>
                <w:szCs w:val="18"/>
              </w:rPr>
              <w:t>irs.gov/publications/p969</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7" w14:textId="77777777" w:rsidR="00C1548D" w:rsidRDefault="009B1B4B">
            <w:pPr>
              <w:spacing w:line="250" w:lineRule="auto"/>
            </w:pPr>
            <w:r>
              <w:rPr>
                <w:sz w:val="18"/>
                <w:szCs w:val="18"/>
              </w:rPr>
              <w:t>HSA und HDHP, jährliche Grenzwerte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8" w14:textId="4257F5A3" w:rsidR="00C1548D" w:rsidRDefault="009B1B4B">
            <w:pPr>
              <w:spacing w:line="250" w:lineRule="auto"/>
            </w:pPr>
            <w:r>
              <w:rPr>
                <w:sz w:val="18"/>
                <w:szCs w:val="18"/>
              </w:rPr>
              <w:t>Kapitel </w:t>
            </w:r>
            <w:hyperlink w:anchor="k26" w:history="1">
              <w:r>
                <w:rPr>
                  <w:sz w:val="18"/>
                  <w:szCs w:val="18"/>
                </w:rPr>
                <w:t>26</w:t>
              </w:r>
            </w:hyperlink>
          </w:p>
        </w:tc>
      </w:tr>
      <w:tr w:rsidR="00C1548D" w14:paraId="70A515DD"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A" w14:textId="77777777" w:rsidR="00C1548D" w:rsidRDefault="009B1B4B">
            <w:pPr>
              <w:spacing w:line="250" w:lineRule="auto"/>
            </w:pPr>
            <w:r>
              <w:rPr>
                <w:sz w:val="18"/>
                <w:szCs w:val="18"/>
              </w:rPr>
              <w:lastRenderedPageBreak/>
              <w:t>dol.gov/agencies/ebsa (auch dol.gov/general/topic/health-plans/cobra)</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B" w14:textId="77777777" w:rsidR="00C1548D" w:rsidRDefault="009B1B4B">
            <w:pPr>
              <w:spacing w:line="250" w:lineRule="auto"/>
            </w:pPr>
            <w:r>
              <w:rPr>
                <w:sz w:val="18"/>
                <w:szCs w:val="18"/>
              </w:rPr>
              <w:t>COBRA, Wartefristen, Newborns’ Act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C" w14:textId="19FC3ED8" w:rsidR="00C1548D" w:rsidRDefault="009B1B4B">
            <w:pPr>
              <w:spacing w:line="250" w:lineRule="auto"/>
            </w:pPr>
            <w:r>
              <w:rPr>
                <w:sz w:val="18"/>
                <w:szCs w:val="18"/>
              </w:rPr>
              <w:t>Kapitel </w:t>
            </w:r>
            <w:hyperlink w:anchor="k26" w:history="1">
              <w:r>
                <w:rPr>
                  <w:sz w:val="18"/>
                  <w:szCs w:val="18"/>
                </w:rPr>
                <w:t>26</w:t>
              </w:r>
            </w:hyperlink>
            <w:r>
              <w:rPr>
                <w:sz w:val="18"/>
                <w:szCs w:val="18"/>
              </w:rPr>
              <w:t xml:space="preserve">, </w:t>
            </w:r>
            <w:hyperlink w:anchor="k30" w:history="1">
              <w:r>
                <w:rPr>
                  <w:sz w:val="18"/>
                  <w:szCs w:val="18"/>
                </w:rPr>
                <w:t>30</w:t>
              </w:r>
            </w:hyperlink>
          </w:p>
        </w:tc>
      </w:tr>
      <w:tr w:rsidR="00C1548D" w14:paraId="70A515E1"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E" w14:textId="77777777" w:rsidR="00C1548D" w:rsidRDefault="009B1B4B">
            <w:pPr>
              <w:spacing w:line="250" w:lineRule="auto"/>
            </w:pPr>
            <w:r>
              <w:rPr>
                <w:sz w:val="18"/>
                <w:szCs w:val="18"/>
              </w:rPr>
              <w:t>cdc.gov/vaccines</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DF" w14:textId="77777777" w:rsidR="00C1548D" w:rsidRDefault="009B1B4B">
            <w:pPr>
              <w:spacing w:line="250" w:lineRule="auto"/>
            </w:pPr>
            <w:r>
              <w:rPr>
                <w:sz w:val="18"/>
                <w:szCs w:val="18"/>
              </w:rPr>
              <w:t>Empfohlener Impfplan für Kinder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0" w14:textId="1058B487" w:rsidR="00C1548D" w:rsidRDefault="009B1B4B">
            <w:pPr>
              <w:spacing w:line="250" w:lineRule="auto"/>
            </w:pPr>
            <w:r>
              <w:rPr>
                <w:sz w:val="18"/>
                <w:szCs w:val="18"/>
              </w:rPr>
              <w:t>Kapitel </w:t>
            </w:r>
            <w:hyperlink w:anchor="k18" w:history="1">
              <w:r>
                <w:rPr>
                  <w:sz w:val="18"/>
                  <w:szCs w:val="18"/>
                </w:rPr>
                <w:t>18</w:t>
              </w:r>
            </w:hyperlink>
          </w:p>
        </w:tc>
      </w:tr>
      <w:tr w:rsidR="00C1548D" w14:paraId="70A515E5"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2" w14:textId="77777777" w:rsidR="00C1548D" w:rsidRDefault="009B1B4B">
            <w:pPr>
              <w:spacing w:line="250" w:lineRule="auto"/>
            </w:pPr>
            <w:r>
              <w:rPr>
                <w:sz w:val="18"/>
                <w:szCs w:val="18"/>
              </w:rPr>
              <w:t>cdc.gov/importation</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3" w14:textId="77777777" w:rsidR="00C1548D" w:rsidRDefault="009B1B4B">
            <w:pPr>
              <w:spacing w:line="250" w:lineRule="auto"/>
            </w:pPr>
            <w:r>
              <w:rPr>
                <w:sz w:val="18"/>
                <w:szCs w:val="18"/>
              </w:rPr>
              <w:t>Einfuhr von Hunden und Katzen, Dog Import Form</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4" w14:textId="761D1F32" w:rsidR="00C1548D" w:rsidRDefault="009B1B4B">
            <w:pPr>
              <w:spacing w:line="250" w:lineRule="auto"/>
            </w:pPr>
            <w:r>
              <w:rPr>
                <w:sz w:val="18"/>
                <w:szCs w:val="18"/>
              </w:rPr>
              <w:t>Kapitel </w:t>
            </w:r>
            <w:hyperlink w:anchor="k22" w:history="1">
              <w:r>
                <w:rPr>
                  <w:sz w:val="18"/>
                  <w:szCs w:val="18"/>
                </w:rPr>
                <w:t>22</w:t>
              </w:r>
            </w:hyperlink>
          </w:p>
        </w:tc>
      </w:tr>
      <w:tr w:rsidR="00C1548D" w14:paraId="70A515E9"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6" w14:textId="77777777" w:rsidR="00C1548D" w:rsidRDefault="009B1B4B">
            <w:pPr>
              <w:spacing w:line="250" w:lineRule="auto"/>
            </w:pPr>
            <w:r>
              <w:rPr>
                <w:sz w:val="18"/>
                <w:szCs w:val="18"/>
              </w:rPr>
              <w:t>kff.org/health-costs</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7" w14:textId="77777777" w:rsidR="00C1548D" w:rsidRDefault="009B1B4B">
            <w:pPr>
              <w:spacing w:line="250" w:lineRule="auto"/>
            </w:pPr>
            <w:r>
              <w:rPr>
                <w:sz w:val="18"/>
                <w:szCs w:val="18"/>
              </w:rPr>
              <w:t>Employer Health Benefits Survey: Prämien, Selbstbehalte, Wartefristen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8" w14:textId="7100ED2A" w:rsidR="00C1548D" w:rsidRDefault="009B1B4B">
            <w:pPr>
              <w:spacing w:line="250" w:lineRule="auto"/>
            </w:pPr>
            <w:r>
              <w:rPr>
                <w:sz w:val="18"/>
                <w:szCs w:val="18"/>
              </w:rPr>
              <w:t>Kapitel </w:t>
            </w:r>
            <w:hyperlink w:anchor="k3" w:history="1">
              <w:r>
                <w:rPr>
                  <w:sz w:val="18"/>
                  <w:szCs w:val="18"/>
                </w:rPr>
                <w:t>3</w:t>
              </w:r>
            </w:hyperlink>
            <w:r>
              <w:rPr>
                <w:sz w:val="18"/>
                <w:szCs w:val="18"/>
              </w:rPr>
              <w:t xml:space="preserve">, </w:t>
            </w:r>
            <w:hyperlink w:anchor="k18" w:history="1">
              <w:r>
                <w:rPr>
                  <w:sz w:val="18"/>
                  <w:szCs w:val="18"/>
                </w:rPr>
                <w:t>18</w:t>
              </w:r>
            </w:hyperlink>
            <w:r>
              <w:rPr>
                <w:sz w:val="18"/>
                <w:szCs w:val="18"/>
              </w:rPr>
              <w:t xml:space="preserve">, </w:t>
            </w:r>
            <w:hyperlink w:anchor="k26" w:history="1">
              <w:r>
                <w:rPr>
                  <w:sz w:val="18"/>
                  <w:szCs w:val="18"/>
                </w:rPr>
                <w:t>26</w:t>
              </w:r>
            </w:hyperlink>
          </w:p>
        </w:tc>
      </w:tr>
      <w:tr w:rsidR="00C1548D" w14:paraId="70A515ED"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A" w14:textId="77777777" w:rsidR="00C1548D" w:rsidRDefault="009B1B4B">
            <w:pPr>
              <w:spacing w:line="250" w:lineRule="auto"/>
            </w:pPr>
            <w:r>
              <w:rPr>
                <w:sz w:val="18"/>
                <w:szCs w:val="18"/>
              </w:rPr>
              <w:t>medicare.gov/basics/costs</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B" w14:textId="77777777" w:rsidR="00C1548D" w:rsidRDefault="009B1B4B">
            <w:pPr>
              <w:spacing w:line="250" w:lineRule="auto"/>
            </w:pPr>
            <w:r>
              <w:rPr>
                <w:sz w:val="18"/>
                <w:szCs w:val="18"/>
              </w:rPr>
              <w:t>Kosten und Anspruchsvoraussetzungen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C" w14:textId="0818AA16" w:rsidR="00C1548D" w:rsidRDefault="009B1B4B">
            <w:pPr>
              <w:spacing w:line="250" w:lineRule="auto"/>
            </w:pPr>
            <w:r>
              <w:rPr>
                <w:sz w:val="18"/>
                <w:szCs w:val="18"/>
              </w:rPr>
              <w:t>Kapitel </w:t>
            </w:r>
            <w:hyperlink w:anchor="k39" w:history="1">
              <w:r>
                <w:rPr>
                  <w:sz w:val="18"/>
                  <w:szCs w:val="18"/>
                </w:rPr>
                <w:t>39</w:t>
              </w:r>
            </w:hyperlink>
          </w:p>
        </w:tc>
      </w:tr>
      <w:tr w:rsidR="00C1548D" w14:paraId="70A515F1"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E" w14:textId="77777777" w:rsidR="00C1548D" w:rsidRDefault="009B1B4B">
            <w:pPr>
              <w:spacing w:line="250" w:lineRule="auto"/>
            </w:pPr>
            <w:r>
              <w:rPr>
                <w:sz w:val="18"/>
                <w:szCs w:val="18"/>
              </w:rPr>
              <w:t>988lifeline.org</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EF" w14:textId="77777777" w:rsidR="00C1548D" w:rsidRDefault="009B1B4B">
            <w:pPr>
              <w:spacing w:line="250" w:lineRule="auto"/>
            </w:pPr>
            <w:r>
              <w:rPr>
                <w:sz w:val="18"/>
                <w:szCs w:val="18"/>
              </w:rPr>
              <w:t>Krisenhilfe rund um die Uhr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0" w14:textId="58D01325" w:rsidR="00C1548D" w:rsidRDefault="009B1B4B">
            <w:pPr>
              <w:spacing w:line="250" w:lineRule="auto"/>
            </w:pPr>
            <w:r>
              <w:rPr>
                <w:sz w:val="18"/>
                <w:szCs w:val="18"/>
              </w:rPr>
              <w:t>Kapitel </w:t>
            </w:r>
            <w:hyperlink w:anchor="k26" w:history="1">
              <w:r>
                <w:rPr>
                  <w:sz w:val="18"/>
                  <w:szCs w:val="18"/>
                </w:rPr>
                <w:t>26</w:t>
              </w:r>
            </w:hyperlink>
            <w:r>
              <w:rPr>
                <w:sz w:val="18"/>
                <w:szCs w:val="18"/>
              </w:rPr>
              <w:t xml:space="preserve">, </w:t>
            </w:r>
            <w:hyperlink w:anchor="k33" w:history="1">
              <w:r>
                <w:rPr>
                  <w:sz w:val="18"/>
                  <w:szCs w:val="18"/>
                </w:rPr>
                <w:t>33</w:t>
              </w:r>
            </w:hyperlink>
          </w:p>
        </w:tc>
      </w:tr>
      <w:tr w:rsidR="00C1548D" w14:paraId="70A515F5"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2" w14:textId="77777777" w:rsidR="00C1548D" w:rsidRDefault="009B1B4B">
            <w:pPr>
              <w:spacing w:line="250" w:lineRule="auto"/>
            </w:pPr>
            <w:r>
              <w:rPr>
                <w:sz w:val="18"/>
                <w:szCs w:val="18"/>
              </w:rPr>
              <w:t>samhsa.gov/mental-health/988/faqs</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3" w14:textId="77777777" w:rsidR="00C1548D" w:rsidRDefault="009B1B4B">
            <w:pPr>
              <w:spacing w:line="250" w:lineRule="auto"/>
            </w:pPr>
            <w:r>
              <w:rPr>
                <w:sz w:val="18"/>
                <w:szCs w:val="18"/>
              </w:rPr>
              <w:t>Häufige Fragen zu 988</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4" w14:textId="35467401" w:rsidR="00C1548D" w:rsidRDefault="009B1B4B">
            <w:pPr>
              <w:spacing w:line="250" w:lineRule="auto"/>
            </w:pPr>
            <w:r>
              <w:rPr>
                <w:sz w:val="18"/>
                <w:szCs w:val="18"/>
              </w:rPr>
              <w:t>Kapitel </w:t>
            </w:r>
            <w:hyperlink w:anchor="k33" w:history="1">
              <w:r>
                <w:rPr>
                  <w:sz w:val="18"/>
                  <w:szCs w:val="18"/>
                </w:rPr>
                <w:t>33</w:t>
              </w:r>
            </w:hyperlink>
          </w:p>
        </w:tc>
      </w:tr>
      <w:tr w:rsidR="00C1548D" w14:paraId="70A515F9"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6" w14:textId="77777777" w:rsidR="00C1548D" w:rsidRDefault="009B1B4B">
            <w:pPr>
              <w:spacing w:line="250" w:lineRule="auto"/>
            </w:pPr>
            <w:r>
              <w:rPr>
                <w:sz w:val="18"/>
                <w:szCs w:val="18"/>
              </w:rPr>
              <w:t>findtreatment.gov</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7" w14:textId="77777777" w:rsidR="00C1548D" w:rsidRDefault="009B1B4B">
            <w:pPr>
              <w:spacing w:line="250" w:lineRule="auto"/>
            </w:pPr>
            <w:r>
              <w:rPr>
                <w:sz w:val="18"/>
                <w:szCs w:val="18"/>
              </w:rPr>
              <w:t>Therapeutensuche der Bundesbehörde SAMHSA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8" w14:textId="001FB89F" w:rsidR="00C1548D" w:rsidRDefault="009B1B4B">
            <w:pPr>
              <w:spacing w:line="250" w:lineRule="auto"/>
            </w:pPr>
            <w:r>
              <w:rPr>
                <w:sz w:val="18"/>
                <w:szCs w:val="18"/>
              </w:rPr>
              <w:t>Kapitel </w:t>
            </w:r>
            <w:hyperlink w:anchor="k26" w:history="1">
              <w:r>
                <w:rPr>
                  <w:sz w:val="18"/>
                  <w:szCs w:val="18"/>
                </w:rPr>
                <w:t>26</w:t>
              </w:r>
            </w:hyperlink>
            <w:r>
              <w:rPr>
                <w:sz w:val="18"/>
                <w:szCs w:val="18"/>
              </w:rPr>
              <w:t xml:space="preserve">, </w:t>
            </w:r>
            <w:hyperlink w:anchor="k33" w:history="1">
              <w:r>
                <w:rPr>
                  <w:sz w:val="18"/>
                  <w:szCs w:val="18"/>
                </w:rPr>
                <w:t>33</w:t>
              </w:r>
            </w:hyperlink>
          </w:p>
        </w:tc>
      </w:tr>
      <w:tr w:rsidR="00C1548D" w14:paraId="70A515FD"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A" w14:textId="77777777" w:rsidR="00C1548D" w:rsidRDefault="009B1B4B">
            <w:pPr>
              <w:spacing w:line="250" w:lineRule="auto"/>
            </w:pPr>
            <w:r>
              <w:rPr>
                <w:sz w:val="18"/>
                <w:szCs w:val="18"/>
              </w:rPr>
              <w:t>psychologytoday.com/us/therapists/german</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B" w14:textId="77777777" w:rsidR="00C1548D" w:rsidRDefault="009B1B4B">
            <w:pPr>
              <w:spacing w:line="250" w:lineRule="auto"/>
            </w:pPr>
            <w:r>
              <w:rPr>
                <w:sz w:val="18"/>
                <w:szCs w:val="18"/>
              </w:rPr>
              <w:t>deutschsprachige Therapeutensuche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C" w14:textId="2CDA1338" w:rsidR="00C1548D" w:rsidRDefault="009B1B4B">
            <w:pPr>
              <w:spacing w:line="250" w:lineRule="auto"/>
            </w:pPr>
            <w:r>
              <w:rPr>
                <w:sz w:val="18"/>
                <w:szCs w:val="18"/>
              </w:rPr>
              <w:t>Kapitel </w:t>
            </w:r>
            <w:hyperlink w:anchor="k33" w:history="1">
              <w:r>
                <w:rPr>
                  <w:sz w:val="18"/>
                  <w:szCs w:val="18"/>
                </w:rPr>
                <w:t>33</w:t>
              </w:r>
            </w:hyperlink>
          </w:p>
        </w:tc>
      </w:tr>
      <w:tr w:rsidR="00C1548D" w14:paraId="70A51601" w14:textId="77777777">
        <w:tblPrEx>
          <w:tblCellMar>
            <w:top w:w="0" w:type="dxa"/>
            <w:bottom w:w="0" w:type="dxa"/>
          </w:tblCellMar>
        </w:tblPrEx>
        <w:trPr>
          <w:cantSplit/>
        </w:trPr>
        <w:tc>
          <w:tcPr>
            <w:tcW w:w="254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E" w14:textId="77777777" w:rsidR="00C1548D" w:rsidRDefault="009B1B4B">
            <w:pPr>
              <w:spacing w:line="250" w:lineRule="auto"/>
            </w:pPr>
            <w:r>
              <w:rPr>
                <w:sz w:val="18"/>
                <w:szCs w:val="18"/>
              </w:rPr>
              <w:t>openpathcollective.org</w:t>
            </w:r>
          </w:p>
        </w:tc>
        <w:tc>
          <w:tcPr>
            <w:tcW w:w="29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5FF" w14:textId="77777777" w:rsidR="00C1548D" w:rsidRDefault="009B1B4B">
            <w:pPr>
              <w:spacing w:line="250" w:lineRule="auto"/>
            </w:pPr>
            <w:r>
              <w:rPr>
                <w:sz w:val="18"/>
                <w:szCs w:val="18"/>
              </w:rPr>
              <w:t>reduzierte Therapiepreise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00" w14:textId="7917BD98" w:rsidR="00C1548D" w:rsidRDefault="009B1B4B">
            <w:pPr>
              <w:spacing w:line="250" w:lineRule="auto"/>
            </w:pPr>
            <w:r>
              <w:rPr>
                <w:sz w:val="18"/>
                <w:szCs w:val="18"/>
              </w:rPr>
              <w:t>Kapitel </w:t>
            </w:r>
            <w:hyperlink w:anchor="k33" w:history="1">
              <w:r>
                <w:rPr>
                  <w:sz w:val="18"/>
                  <w:szCs w:val="18"/>
                </w:rPr>
                <w:t>33</w:t>
              </w:r>
            </w:hyperlink>
          </w:p>
        </w:tc>
      </w:tr>
    </w:tbl>
    <w:p w14:paraId="70A51602" w14:textId="77777777" w:rsidR="00C1548D" w:rsidRDefault="00C1548D">
      <w:pPr>
        <w:spacing w:line="180" w:lineRule="exact"/>
      </w:pPr>
    </w:p>
    <w:p w14:paraId="70A51603" w14:textId="77777777" w:rsidR="00C1548D" w:rsidRDefault="009B1B4B">
      <w:pPr>
        <w:pStyle w:val="Heading3"/>
        <w:keepNext/>
        <w:jc w:val="center"/>
      </w:pPr>
      <w:r>
        <w:rPr>
          <w:rFonts w:ascii="Amazon Ember" w:eastAsia="Amazon Ember" w:hAnsi="Amazon Ember" w:cs="Amazon Ember"/>
          <w:color w:val="0000FF"/>
          <w:sz w:val="36"/>
          <w:szCs w:val="36"/>
        </w:rPr>
        <w:t>US-Wohnen und Finanzen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80"/>
        <w:gridCol w:w="3050"/>
        <w:gridCol w:w="950"/>
      </w:tblGrid>
      <w:tr w:rsidR="00C1548D" w14:paraId="70A51607" w14:textId="77777777">
        <w:tblPrEx>
          <w:tblCellMar>
            <w:top w:w="0" w:type="dxa"/>
            <w:bottom w:w="0" w:type="dxa"/>
          </w:tblCellMar>
        </w:tblPrEx>
        <w:trPr>
          <w:cantSplit/>
          <w:tblHeader/>
        </w:trPr>
        <w:tc>
          <w:tcPr>
            <w:tcW w:w="248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04" w14:textId="77777777" w:rsidR="00C1548D" w:rsidRDefault="009B1B4B">
            <w:pPr>
              <w:spacing w:line="250" w:lineRule="auto"/>
            </w:pPr>
            <w:r>
              <w:rPr>
                <w:b/>
                <w:bCs/>
                <w:sz w:val="18"/>
                <w:szCs w:val="18"/>
              </w:rPr>
              <w:t>Adresse</w:t>
            </w:r>
          </w:p>
        </w:tc>
        <w:tc>
          <w:tcPr>
            <w:tcW w:w="30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05" w14:textId="77777777" w:rsidR="00C1548D" w:rsidRDefault="009B1B4B">
            <w:pPr>
              <w:spacing w:line="250" w:lineRule="auto"/>
            </w:pPr>
            <w:r>
              <w:rPr>
                <w:b/>
                <w:bCs/>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06" w14:textId="77777777" w:rsidR="00C1548D" w:rsidRDefault="009B1B4B">
            <w:pPr>
              <w:spacing w:line="250" w:lineRule="auto"/>
            </w:pPr>
            <w:r>
              <w:rPr>
                <w:b/>
                <w:bCs/>
                <w:sz w:val="18"/>
                <w:szCs w:val="18"/>
              </w:rPr>
              <w:t>Kapitel</w:t>
            </w:r>
          </w:p>
        </w:tc>
      </w:tr>
      <w:tr w:rsidR="00C1548D" w14:paraId="70A5160B"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08" w14:textId="77777777" w:rsidR="00C1548D" w:rsidRDefault="009B1B4B">
            <w:pPr>
              <w:spacing w:line="250" w:lineRule="auto"/>
            </w:pPr>
            <w:r>
              <w:rPr>
                <w:sz w:val="18"/>
                <w:szCs w:val="18"/>
              </w:rPr>
              <w:t>consumerfinance.gov</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09" w14:textId="77777777" w:rsidR="00C1548D" w:rsidRDefault="009B1B4B">
            <w:pPr>
              <w:spacing w:line="250" w:lineRule="auto"/>
            </w:pPr>
            <w:r>
              <w:rPr>
                <w:sz w:val="18"/>
                <w:szCs w:val="18"/>
              </w:rPr>
              <w:t>CFPB: Credit Score, Kredite, Loan Estimate, Rate Lock, PMI, Hauskauf</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0A" w14:textId="76D89C05" w:rsidR="00C1548D" w:rsidRDefault="009B1B4B">
            <w:pPr>
              <w:spacing w:line="250" w:lineRule="auto"/>
            </w:pPr>
            <w:r>
              <w:rPr>
                <w:sz w:val="18"/>
                <w:szCs w:val="18"/>
              </w:rPr>
              <w:t>Kapitel </w:t>
            </w:r>
            <w:hyperlink w:anchor="k2" w:history="1">
              <w:r>
                <w:rPr>
                  <w:sz w:val="18"/>
                  <w:szCs w:val="18"/>
                </w:rPr>
                <w:t>2</w:t>
              </w:r>
            </w:hyperlink>
            <w:r>
              <w:rPr>
                <w:sz w:val="18"/>
                <w:szCs w:val="18"/>
              </w:rPr>
              <w:t xml:space="preserve">, </w:t>
            </w:r>
            <w:hyperlink w:anchor="k14" w:history="1">
              <w:r>
                <w:rPr>
                  <w:sz w:val="18"/>
                  <w:szCs w:val="18"/>
                </w:rPr>
                <w:t>14</w:t>
              </w:r>
            </w:hyperlink>
          </w:p>
        </w:tc>
      </w:tr>
      <w:tr w:rsidR="00C1548D" w14:paraId="70A5160F"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0C" w14:textId="77777777" w:rsidR="00C1548D" w:rsidRDefault="009B1B4B">
            <w:pPr>
              <w:spacing w:line="250" w:lineRule="auto"/>
            </w:pPr>
            <w:r>
              <w:rPr>
                <w:sz w:val="18"/>
                <w:szCs w:val="18"/>
              </w:rPr>
              <w:t>hud.gov/fairhousing</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0D" w14:textId="77777777" w:rsidR="00C1548D" w:rsidRDefault="009B1B4B">
            <w:pPr>
              <w:spacing w:line="250" w:lineRule="auto"/>
            </w:pPr>
            <w:r>
              <w:rPr>
                <w:sz w:val="18"/>
                <w:szCs w:val="18"/>
              </w:rPr>
              <w:t>Fair Housing Act, Diskriminierung melden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0E" w14:textId="1985A516" w:rsidR="00C1548D" w:rsidRDefault="009B1B4B">
            <w:pPr>
              <w:spacing w:line="250" w:lineRule="auto"/>
            </w:pPr>
            <w:r>
              <w:rPr>
                <w:sz w:val="18"/>
                <w:szCs w:val="18"/>
              </w:rPr>
              <w:t>Kapitel </w:t>
            </w:r>
            <w:hyperlink w:anchor="k13" w:history="1">
              <w:r>
                <w:rPr>
                  <w:sz w:val="18"/>
                  <w:szCs w:val="18"/>
                </w:rPr>
                <w:t>13</w:t>
              </w:r>
            </w:hyperlink>
          </w:p>
        </w:tc>
      </w:tr>
      <w:tr w:rsidR="00C1548D" w14:paraId="70A51613"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0" w14:textId="77777777" w:rsidR="00C1548D" w:rsidRDefault="009B1B4B">
            <w:pPr>
              <w:spacing w:line="250" w:lineRule="auto"/>
            </w:pPr>
            <w:r>
              <w:rPr>
                <w:sz w:val="18"/>
                <w:szCs w:val="18"/>
              </w:rPr>
              <w:t>hud.gov/sites/default/files/OCHCO/documents/2025-09hsgml.pdf</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1" w14:textId="77777777" w:rsidR="00C1548D" w:rsidRDefault="009B1B4B">
            <w:pPr>
              <w:spacing w:line="250" w:lineRule="auto"/>
            </w:pPr>
            <w:r>
              <w:rPr>
                <w:sz w:val="18"/>
                <w:szCs w:val="18"/>
              </w:rPr>
              <w:t>FHA-Regel für Nicht-Daueraufenthaltsberechtigte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2" w14:textId="1F937CC0" w:rsidR="00C1548D" w:rsidRDefault="009B1B4B">
            <w:pPr>
              <w:spacing w:line="250" w:lineRule="auto"/>
            </w:pPr>
            <w:r>
              <w:rPr>
                <w:sz w:val="18"/>
                <w:szCs w:val="18"/>
              </w:rPr>
              <w:t>Kapitel </w:t>
            </w:r>
            <w:hyperlink w:anchor="k14" w:history="1">
              <w:r>
                <w:rPr>
                  <w:sz w:val="18"/>
                  <w:szCs w:val="18"/>
                </w:rPr>
                <w:t>14</w:t>
              </w:r>
            </w:hyperlink>
          </w:p>
        </w:tc>
      </w:tr>
      <w:tr w:rsidR="00C1548D" w14:paraId="70A51617"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4" w14:textId="77777777" w:rsidR="00C1548D" w:rsidRDefault="009B1B4B">
            <w:pPr>
              <w:spacing w:line="250" w:lineRule="auto"/>
            </w:pPr>
            <w:r>
              <w:rPr>
                <w:sz w:val="18"/>
                <w:szCs w:val="18"/>
              </w:rPr>
              <w:t>annualcreditreport.com</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5" w14:textId="77777777" w:rsidR="00C1548D" w:rsidRDefault="009B1B4B">
            <w:pPr>
              <w:spacing w:line="250" w:lineRule="auto"/>
            </w:pPr>
            <w:r>
              <w:rPr>
                <w:sz w:val="18"/>
                <w:szCs w:val="18"/>
              </w:rPr>
              <w:t>kostenlose Kreditauskunft aller drei Bureaus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6" w14:textId="55AAEEC1" w:rsidR="00C1548D" w:rsidRDefault="009B1B4B">
            <w:pPr>
              <w:spacing w:line="250" w:lineRule="auto"/>
            </w:pPr>
            <w:r>
              <w:rPr>
                <w:sz w:val="18"/>
                <w:szCs w:val="18"/>
              </w:rPr>
              <w:t>Kapitel </w:t>
            </w:r>
            <w:hyperlink w:anchor="k25" w:history="1">
              <w:r>
                <w:rPr>
                  <w:sz w:val="18"/>
                  <w:szCs w:val="18"/>
                </w:rPr>
                <w:t>25</w:t>
              </w:r>
            </w:hyperlink>
          </w:p>
        </w:tc>
      </w:tr>
      <w:tr w:rsidR="00C1548D" w14:paraId="70A5161B"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8" w14:textId="77777777" w:rsidR="00C1548D" w:rsidRDefault="009B1B4B">
            <w:pPr>
              <w:spacing w:line="250" w:lineRule="auto"/>
            </w:pPr>
            <w:r>
              <w:rPr>
                <w:sz w:val="18"/>
                <w:szCs w:val="18"/>
              </w:rPr>
              <w:t>myfico.com</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9" w14:textId="77777777" w:rsidR="00C1548D" w:rsidRDefault="009B1B4B">
            <w:pPr>
              <w:spacing w:line="250" w:lineRule="auto"/>
            </w:pPr>
            <w:r>
              <w:rPr>
                <w:sz w:val="18"/>
                <w:szCs w:val="18"/>
              </w:rPr>
              <w:t>Aufbau und Faktoren des FICO-Scores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A" w14:textId="350DBFBA" w:rsidR="00C1548D" w:rsidRDefault="009B1B4B">
            <w:pPr>
              <w:spacing w:line="250" w:lineRule="auto"/>
            </w:pPr>
            <w:r>
              <w:rPr>
                <w:sz w:val="18"/>
                <w:szCs w:val="18"/>
              </w:rPr>
              <w:t>Kapitel </w:t>
            </w:r>
            <w:hyperlink w:anchor="k25" w:history="1">
              <w:r>
                <w:rPr>
                  <w:sz w:val="18"/>
                  <w:szCs w:val="18"/>
                </w:rPr>
                <w:t>25</w:t>
              </w:r>
            </w:hyperlink>
          </w:p>
        </w:tc>
      </w:tr>
      <w:tr w:rsidR="00C1548D" w14:paraId="70A5161F"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C" w14:textId="77777777" w:rsidR="00C1548D" w:rsidRDefault="009B1B4B">
            <w:pPr>
              <w:spacing w:line="250" w:lineRule="auto"/>
            </w:pPr>
            <w:r>
              <w:rPr>
                <w:sz w:val="18"/>
                <w:szCs w:val="18"/>
              </w:rPr>
              <w:t>federalreserve.gov/releases/g19</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D" w14:textId="77777777" w:rsidR="00C1548D" w:rsidRDefault="009B1B4B">
            <w:pPr>
              <w:spacing w:line="250" w:lineRule="auto"/>
            </w:pPr>
            <w:r>
              <w:rPr>
                <w:sz w:val="18"/>
                <w:szCs w:val="18"/>
              </w:rPr>
              <w:t>offizielle Statistik zu Kreditkartenzinsen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1E" w14:textId="4F99A2F1" w:rsidR="00C1548D" w:rsidRDefault="009B1B4B">
            <w:pPr>
              <w:spacing w:line="250" w:lineRule="auto"/>
            </w:pPr>
            <w:r>
              <w:rPr>
                <w:sz w:val="18"/>
                <w:szCs w:val="18"/>
              </w:rPr>
              <w:t>Kapitel </w:t>
            </w:r>
            <w:hyperlink w:anchor="k25" w:history="1">
              <w:r>
                <w:rPr>
                  <w:sz w:val="18"/>
                  <w:szCs w:val="18"/>
                </w:rPr>
                <w:t>25</w:t>
              </w:r>
            </w:hyperlink>
          </w:p>
        </w:tc>
      </w:tr>
      <w:tr w:rsidR="00C1548D" w14:paraId="70A51623"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0" w14:textId="77777777" w:rsidR="00C1548D" w:rsidRDefault="009B1B4B">
            <w:pPr>
              <w:spacing w:line="250" w:lineRule="auto"/>
            </w:pPr>
            <w:r>
              <w:rPr>
                <w:sz w:val="18"/>
                <w:szCs w:val="18"/>
              </w:rPr>
              <w:lastRenderedPageBreak/>
              <w:t>novacredit.com/credit-passport</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1" w14:textId="77777777" w:rsidR="00C1548D" w:rsidRDefault="009B1B4B">
            <w:pPr>
              <w:spacing w:line="250" w:lineRule="auto"/>
            </w:pPr>
            <w:r>
              <w:rPr>
                <w:sz w:val="18"/>
                <w:szCs w:val="18"/>
              </w:rPr>
              <w:t>ausländische Kredithistorie übertragen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2" w14:textId="0BA4312D" w:rsidR="00C1548D" w:rsidRDefault="009B1B4B">
            <w:pPr>
              <w:spacing w:line="250" w:lineRule="auto"/>
            </w:pPr>
            <w:r>
              <w:rPr>
                <w:sz w:val="18"/>
                <w:szCs w:val="18"/>
              </w:rPr>
              <w:t>Kapitel </w:t>
            </w:r>
            <w:hyperlink w:anchor="k25" w:history="1">
              <w:r>
                <w:rPr>
                  <w:sz w:val="18"/>
                  <w:szCs w:val="18"/>
                </w:rPr>
                <w:t>25</w:t>
              </w:r>
            </w:hyperlink>
          </w:p>
        </w:tc>
      </w:tr>
      <w:tr w:rsidR="00C1548D" w14:paraId="70A51627"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4" w14:textId="77777777" w:rsidR="00C1548D" w:rsidRDefault="009B1B4B">
            <w:pPr>
              <w:spacing w:line="250" w:lineRule="auto"/>
            </w:pPr>
            <w:r>
              <w:rPr>
                <w:sz w:val="18"/>
                <w:szCs w:val="18"/>
              </w:rPr>
              <w:t>freddiemac.com/pmms</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5" w14:textId="77777777" w:rsidR="00C1548D" w:rsidRDefault="009B1B4B">
            <w:pPr>
              <w:spacing w:line="250" w:lineRule="auto"/>
            </w:pPr>
            <w:r>
              <w:rPr>
                <w:sz w:val="18"/>
                <w:szCs w:val="18"/>
              </w:rPr>
              <w:t>wöchentliche Hypothekenzins-Umfrage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6" w14:textId="4B531B79" w:rsidR="00C1548D" w:rsidRDefault="009B1B4B">
            <w:pPr>
              <w:spacing w:line="250" w:lineRule="auto"/>
            </w:pPr>
            <w:r>
              <w:rPr>
                <w:sz w:val="18"/>
                <w:szCs w:val="18"/>
              </w:rPr>
              <w:t>Kapitel </w:t>
            </w:r>
            <w:hyperlink w:anchor="k1" w:history="1">
              <w:r>
                <w:rPr>
                  <w:sz w:val="18"/>
                  <w:szCs w:val="18"/>
                </w:rPr>
                <w:t>1</w:t>
              </w:r>
            </w:hyperlink>
            <w:r>
              <w:rPr>
                <w:sz w:val="18"/>
                <w:szCs w:val="18"/>
              </w:rPr>
              <w:t xml:space="preserve">, </w:t>
            </w:r>
            <w:hyperlink w:anchor="k14" w:history="1">
              <w:r>
                <w:rPr>
                  <w:sz w:val="18"/>
                  <w:szCs w:val="18"/>
                </w:rPr>
                <w:t>14</w:t>
              </w:r>
            </w:hyperlink>
          </w:p>
        </w:tc>
      </w:tr>
      <w:tr w:rsidR="00C1548D" w14:paraId="70A5162B"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8" w14:textId="77777777" w:rsidR="00C1548D" w:rsidRDefault="009B1B4B">
            <w:pPr>
              <w:spacing w:line="250" w:lineRule="auto"/>
            </w:pPr>
            <w:r>
              <w:rPr>
                <w:sz w:val="18"/>
                <w:szCs w:val="18"/>
              </w:rPr>
              <w:t>selling-guide.fanniemae.com</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9" w14:textId="77777777" w:rsidR="00C1548D" w:rsidRDefault="009B1B4B">
            <w:pPr>
              <w:spacing w:line="250" w:lineRule="auto"/>
            </w:pPr>
            <w:r>
              <w:rPr>
                <w:sz w:val="18"/>
                <w:szCs w:val="18"/>
              </w:rPr>
              <w:t>Selling Guide zu Nicht-US-Bürgern und Kredithistorie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A" w14:textId="32428CC4" w:rsidR="00C1548D" w:rsidRDefault="009B1B4B">
            <w:pPr>
              <w:spacing w:line="250" w:lineRule="auto"/>
            </w:pPr>
            <w:r>
              <w:rPr>
                <w:sz w:val="18"/>
                <w:szCs w:val="18"/>
              </w:rPr>
              <w:t>Kapitel </w:t>
            </w:r>
            <w:hyperlink w:anchor="k14" w:history="1">
              <w:r>
                <w:rPr>
                  <w:sz w:val="18"/>
                  <w:szCs w:val="18"/>
                </w:rPr>
                <w:t>14</w:t>
              </w:r>
            </w:hyperlink>
          </w:p>
        </w:tc>
      </w:tr>
      <w:tr w:rsidR="00C1548D" w14:paraId="70A5162F"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C" w14:textId="77777777" w:rsidR="00C1548D" w:rsidRDefault="009B1B4B">
            <w:pPr>
              <w:spacing w:line="250" w:lineRule="auto"/>
            </w:pPr>
            <w:r>
              <w:rPr>
                <w:sz w:val="18"/>
                <w:szCs w:val="18"/>
              </w:rPr>
              <w:t>fhfa.gov</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D" w14:textId="77777777" w:rsidR="00C1548D" w:rsidRDefault="009B1B4B">
            <w:pPr>
              <w:spacing w:line="250" w:lineRule="auto"/>
            </w:pPr>
            <w:r>
              <w:rPr>
                <w:sz w:val="18"/>
                <w:szCs w:val="18"/>
              </w:rPr>
              <w:t>Conforming Loan Limits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2E" w14:textId="4840A6A3" w:rsidR="00C1548D" w:rsidRDefault="009B1B4B">
            <w:pPr>
              <w:spacing w:line="250" w:lineRule="auto"/>
            </w:pPr>
            <w:r>
              <w:rPr>
                <w:sz w:val="18"/>
                <w:szCs w:val="18"/>
              </w:rPr>
              <w:t>Kapitel </w:t>
            </w:r>
            <w:hyperlink w:anchor="k14" w:history="1">
              <w:r>
                <w:rPr>
                  <w:sz w:val="18"/>
                  <w:szCs w:val="18"/>
                </w:rPr>
                <w:t>14</w:t>
              </w:r>
            </w:hyperlink>
          </w:p>
        </w:tc>
      </w:tr>
      <w:tr w:rsidR="00C1548D" w14:paraId="70A51633"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0" w14:textId="77777777" w:rsidR="00C1548D" w:rsidRDefault="009B1B4B">
            <w:pPr>
              <w:spacing w:line="250" w:lineRule="auto"/>
            </w:pPr>
            <w:r>
              <w:rPr>
                <w:sz w:val="18"/>
                <w:szCs w:val="18"/>
              </w:rPr>
              <w:t>fema.gov/flood-maps</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1" w14:textId="77777777" w:rsidR="00C1548D" w:rsidRDefault="009B1B4B">
            <w:pPr>
              <w:spacing w:line="250" w:lineRule="auto"/>
            </w:pPr>
            <w:r>
              <w:rPr>
                <w:sz w:val="18"/>
                <w:szCs w:val="18"/>
              </w:rPr>
              <w:t>Flutkarten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2" w14:textId="4D1866EA" w:rsidR="00C1548D" w:rsidRDefault="009B1B4B">
            <w:pPr>
              <w:spacing w:line="250" w:lineRule="auto"/>
            </w:pPr>
            <w:r>
              <w:rPr>
                <w:sz w:val="18"/>
                <w:szCs w:val="18"/>
              </w:rPr>
              <w:t>Kapitel </w:t>
            </w:r>
            <w:hyperlink w:anchor="k14" w:history="1">
              <w:r>
                <w:rPr>
                  <w:sz w:val="18"/>
                  <w:szCs w:val="18"/>
                </w:rPr>
                <w:t>14</w:t>
              </w:r>
            </w:hyperlink>
          </w:p>
        </w:tc>
      </w:tr>
      <w:tr w:rsidR="00C1548D" w14:paraId="70A51637"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4" w14:textId="77777777" w:rsidR="00C1548D" w:rsidRDefault="009B1B4B">
            <w:pPr>
              <w:spacing w:line="250" w:lineRule="auto"/>
            </w:pPr>
            <w:r>
              <w:rPr>
                <w:sz w:val="18"/>
                <w:szCs w:val="18"/>
              </w:rPr>
              <w:t>nar.realtor</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5" w14:textId="77777777" w:rsidR="00C1548D" w:rsidRDefault="009B1B4B">
            <w:pPr>
              <w:spacing w:line="250" w:lineRule="auto"/>
            </w:pPr>
            <w:r>
              <w:rPr>
                <w:sz w:val="18"/>
                <w:szCs w:val="18"/>
              </w:rPr>
              <w:t>Metro-Kaufpreise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6" w14:textId="40EC4A4B" w:rsidR="00C1548D" w:rsidRDefault="009B1B4B">
            <w:pPr>
              <w:spacing w:line="250" w:lineRule="auto"/>
            </w:pPr>
            <w:r>
              <w:rPr>
                <w:sz w:val="18"/>
                <w:szCs w:val="18"/>
              </w:rPr>
              <w:t>Kapitel </w:t>
            </w:r>
            <w:hyperlink w:anchor="k12" w:history="1">
              <w:r>
                <w:rPr>
                  <w:sz w:val="18"/>
                  <w:szCs w:val="18"/>
                </w:rPr>
                <w:t>12</w:t>
              </w:r>
            </w:hyperlink>
          </w:p>
        </w:tc>
      </w:tr>
      <w:tr w:rsidR="00C1548D" w14:paraId="70A5163B"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8" w14:textId="77777777" w:rsidR="00C1548D" w:rsidRDefault="009B1B4B">
            <w:pPr>
              <w:spacing w:line="250" w:lineRule="auto"/>
            </w:pPr>
            <w:r>
              <w:rPr>
                <w:sz w:val="18"/>
                <w:szCs w:val="18"/>
              </w:rPr>
              <w:t>zumper.com/rent-research</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9" w14:textId="77777777" w:rsidR="00C1548D" w:rsidRDefault="009B1B4B">
            <w:pPr>
              <w:spacing w:line="250" w:lineRule="auto"/>
            </w:pPr>
            <w:r>
              <w:rPr>
                <w:sz w:val="18"/>
                <w:szCs w:val="18"/>
              </w:rPr>
              <w:t>Zumper National Rent Report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A" w14:textId="27DE589D" w:rsidR="00C1548D" w:rsidRDefault="009B1B4B">
            <w:pPr>
              <w:spacing w:line="250" w:lineRule="auto"/>
            </w:pPr>
            <w:r>
              <w:rPr>
                <w:sz w:val="18"/>
                <w:szCs w:val="18"/>
              </w:rPr>
              <w:t>Kapitel </w:t>
            </w:r>
            <w:hyperlink w:anchor="k12" w:history="1">
              <w:r>
                <w:rPr>
                  <w:sz w:val="18"/>
                  <w:szCs w:val="18"/>
                </w:rPr>
                <w:t>12</w:t>
              </w:r>
            </w:hyperlink>
          </w:p>
        </w:tc>
      </w:tr>
      <w:tr w:rsidR="00C1548D" w14:paraId="70A5163F"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C" w14:textId="77777777" w:rsidR="00C1548D" w:rsidRDefault="009B1B4B">
            <w:pPr>
              <w:spacing w:line="250" w:lineRule="auto"/>
            </w:pPr>
            <w:r>
              <w:rPr>
                <w:sz w:val="18"/>
                <w:szCs w:val="18"/>
              </w:rPr>
              <w:t>taxfoundation.org</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D" w14:textId="77777777" w:rsidR="00C1548D" w:rsidRDefault="009B1B4B">
            <w:pPr>
              <w:spacing w:line="250" w:lineRule="auto"/>
            </w:pPr>
            <w:r>
              <w:rPr>
                <w:sz w:val="18"/>
                <w:szCs w:val="18"/>
              </w:rPr>
              <w:t>Steuerlast im Bundesstaatenvergleich</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3E" w14:textId="79C8DFB3" w:rsidR="00C1548D" w:rsidRDefault="009B1B4B">
            <w:pPr>
              <w:spacing w:line="250" w:lineRule="auto"/>
            </w:pPr>
            <w:r>
              <w:rPr>
                <w:sz w:val="18"/>
                <w:szCs w:val="18"/>
              </w:rPr>
              <w:t>Kapitel </w:t>
            </w:r>
            <w:hyperlink w:anchor="k12" w:history="1">
              <w:r>
                <w:rPr>
                  <w:sz w:val="18"/>
                  <w:szCs w:val="18"/>
                </w:rPr>
                <w:t>12</w:t>
              </w:r>
            </w:hyperlink>
          </w:p>
        </w:tc>
      </w:tr>
      <w:tr w:rsidR="00C1548D" w14:paraId="70A51643"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0" w14:textId="77777777" w:rsidR="00C1548D" w:rsidRDefault="009B1B4B">
            <w:pPr>
              <w:spacing w:line="250" w:lineRule="auto"/>
            </w:pPr>
            <w:r>
              <w:rPr>
                <w:sz w:val="18"/>
                <w:szCs w:val="18"/>
              </w:rPr>
              <w:t>nyc.gov/site/dca/about/FAQ-Broker-Fees.page</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1" w14:textId="77777777" w:rsidR="00C1548D" w:rsidRDefault="009B1B4B">
            <w:pPr>
              <w:spacing w:line="250" w:lineRule="auto"/>
            </w:pPr>
            <w:r>
              <w:rPr>
                <w:sz w:val="18"/>
                <w:szCs w:val="18"/>
              </w:rPr>
              <w:t>FARE Act, Maklergebühren in New York City</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2" w14:textId="2D64B0C0" w:rsidR="00C1548D" w:rsidRDefault="009B1B4B">
            <w:pPr>
              <w:spacing w:line="250" w:lineRule="auto"/>
            </w:pPr>
            <w:r>
              <w:rPr>
                <w:sz w:val="18"/>
                <w:szCs w:val="18"/>
              </w:rPr>
              <w:t>Kapitel </w:t>
            </w:r>
            <w:hyperlink w:anchor="k13" w:history="1">
              <w:r>
                <w:rPr>
                  <w:sz w:val="18"/>
                  <w:szCs w:val="18"/>
                </w:rPr>
                <w:t>13</w:t>
              </w:r>
            </w:hyperlink>
          </w:p>
        </w:tc>
      </w:tr>
      <w:tr w:rsidR="00C1548D" w14:paraId="70A51647"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4" w14:textId="77777777" w:rsidR="00C1548D" w:rsidRDefault="009B1B4B">
            <w:pPr>
              <w:spacing w:line="250" w:lineRule="auto"/>
            </w:pPr>
            <w:r>
              <w:rPr>
                <w:sz w:val="18"/>
                <w:szCs w:val="18"/>
              </w:rPr>
              <w:t>seattle.gov/rentinginseattle</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5" w14:textId="77777777" w:rsidR="00C1548D" w:rsidRDefault="009B1B4B">
            <w:pPr>
              <w:spacing w:line="250" w:lineRule="auto"/>
            </w:pPr>
            <w:r>
              <w:rPr>
                <w:sz w:val="18"/>
                <w:szCs w:val="18"/>
              </w:rPr>
              <w:t>Kaution, Einzugsgebühren, Mieterrechte Seattle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6" w14:textId="7189BDA3" w:rsidR="00C1548D" w:rsidRDefault="009B1B4B">
            <w:pPr>
              <w:spacing w:line="250" w:lineRule="auto"/>
            </w:pPr>
            <w:r>
              <w:rPr>
                <w:sz w:val="18"/>
                <w:szCs w:val="18"/>
              </w:rPr>
              <w:t>Kapitel </w:t>
            </w:r>
            <w:hyperlink w:anchor="k13" w:history="1">
              <w:r>
                <w:rPr>
                  <w:sz w:val="18"/>
                  <w:szCs w:val="18"/>
                </w:rPr>
                <w:t>13</w:t>
              </w:r>
            </w:hyperlink>
          </w:p>
        </w:tc>
      </w:tr>
      <w:tr w:rsidR="00C1548D" w14:paraId="70A5164B"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8" w14:textId="77777777" w:rsidR="00C1548D" w:rsidRDefault="009B1B4B">
            <w:pPr>
              <w:spacing w:line="250" w:lineRule="auto"/>
            </w:pPr>
            <w:r>
              <w:rPr>
                <w:sz w:val="18"/>
                <w:szCs w:val="18"/>
              </w:rPr>
              <w:t>michiganlegalhelp.org</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9" w14:textId="77777777" w:rsidR="00C1548D" w:rsidRDefault="009B1B4B">
            <w:pPr>
              <w:spacing w:line="250" w:lineRule="auto"/>
            </w:pPr>
            <w:r>
              <w:rPr>
                <w:sz w:val="18"/>
                <w:szCs w:val="18"/>
              </w:rPr>
              <w:t>Kaution und Mietrückstand in Michigan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A" w14:textId="5B531E11" w:rsidR="00C1548D" w:rsidRDefault="009B1B4B">
            <w:pPr>
              <w:spacing w:line="250" w:lineRule="auto"/>
            </w:pPr>
            <w:r>
              <w:rPr>
                <w:sz w:val="18"/>
                <w:szCs w:val="18"/>
              </w:rPr>
              <w:t>Kapitel </w:t>
            </w:r>
            <w:hyperlink w:anchor="k13" w:history="1">
              <w:r>
                <w:rPr>
                  <w:sz w:val="18"/>
                  <w:szCs w:val="18"/>
                </w:rPr>
                <w:t>13</w:t>
              </w:r>
            </w:hyperlink>
          </w:p>
        </w:tc>
      </w:tr>
      <w:tr w:rsidR="00C1548D" w14:paraId="70A5164F"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C" w14:textId="77777777" w:rsidR="00C1548D" w:rsidRDefault="009B1B4B">
            <w:pPr>
              <w:spacing w:line="250" w:lineRule="auto"/>
            </w:pPr>
            <w:r>
              <w:rPr>
                <w:sz w:val="18"/>
                <w:szCs w:val="18"/>
              </w:rPr>
              <w:t>commerce.wa.gov/housing-policy/hb1217-landlord-resource-center</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D" w14:textId="77777777" w:rsidR="00C1548D" w:rsidRDefault="009B1B4B">
            <w:pPr>
              <w:spacing w:line="250" w:lineRule="auto"/>
            </w:pPr>
            <w:r>
              <w:rPr>
                <w:sz w:val="18"/>
                <w:szCs w:val="18"/>
              </w:rPr>
              <w:t>Mieterhöhungen in Washington State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4E" w14:textId="2E798CE0" w:rsidR="00C1548D" w:rsidRDefault="009B1B4B">
            <w:pPr>
              <w:spacing w:line="250" w:lineRule="auto"/>
            </w:pPr>
            <w:r>
              <w:rPr>
                <w:sz w:val="18"/>
                <w:szCs w:val="18"/>
              </w:rPr>
              <w:t>Kapitel </w:t>
            </w:r>
            <w:hyperlink w:anchor="k13" w:history="1">
              <w:r>
                <w:rPr>
                  <w:sz w:val="18"/>
                  <w:szCs w:val="18"/>
                </w:rPr>
                <w:t>13</w:t>
              </w:r>
            </w:hyperlink>
          </w:p>
        </w:tc>
      </w:tr>
      <w:tr w:rsidR="00C1548D" w14:paraId="70A51653"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50" w14:textId="77777777" w:rsidR="00C1548D" w:rsidRDefault="009B1B4B">
            <w:pPr>
              <w:spacing w:line="250" w:lineRule="auto"/>
            </w:pPr>
            <w:r>
              <w:rPr>
                <w:sz w:val="18"/>
                <w:szCs w:val="18"/>
              </w:rPr>
              <w:t>letsmakeaplan.org</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51" w14:textId="77777777" w:rsidR="00C1548D" w:rsidRDefault="009B1B4B">
            <w:pPr>
              <w:spacing w:line="250" w:lineRule="auto"/>
            </w:pPr>
            <w:r>
              <w:rPr>
                <w:sz w:val="18"/>
                <w:szCs w:val="18"/>
              </w:rPr>
              <w:t>Verzeichnis gebührenbasierter Finanzplaner (CFP Board)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52" w14:textId="07EA70D8" w:rsidR="00C1548D" w:rsidRDefault="009B1B4B">
            <w:pPr>
              <w:spacing w:line="250" w:lineRule="auto"/>
            </w:pPr>
            <w:r>
              <w:rPr>
                <w:sz w:val="18"/>
                <w:szCs w:val="18"/>
              </w:rPr>
              <w:t>Kapitel </w:t>
            </w:r>
            <w:hyperlink w:anchor="k39" w:history="1">
              <w:r>
                <w:rPr>
                  <w:sz w:val="18"/>
                  <w:szCs w:val="18"/>
                </w:rPr>
                <w:t>39</w:t>
              </w:r>
            </w:hyperlink>
          </w:p>
        </w:tc>
      </w:tr>
      <w:tr w:rsidR="00C1548D" w14:paraId="70A51657" w14:textId="77777777">
        <w:tblPrEx>
          <w:tblCellMar>
            <w:top w:w="0" w:type="dxa"/>
            <w:bottom w:w="0" w:type="dxa"/>
          </w:tblCellMar>
        </w:tblPrEx>
        <w:trPr>
          <w:cantSplit/>
        </w:trPr>
        <w:tc>
          <w:tcPr>
            <w:tcW w:w="24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54" w14:textId="77777777" w:rsidR="00C1548D" w:rsidRDefault="009B1B4B">
            <w:pPr>
              <w:spacing w:line="250" w:lineRule="auto"/>
            </w:pPr>
            <w:r>
              <w:rPr>
                <w:sz w:val="18"/>
                <w:szCs w:val="18"/>
              </w:rPr>
              <w:t>wise.com</w:t>
            </w:r>
          </w:p>
        </w:tc>
        <w:tc>
          <w:tcPr>
            <w:tcW w:w="30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55" w14:textId="77777777" w:rsidR="00C1548D" w:rsidRDefault="009B1B4B">
            <w:pPr>
              <w:spacing w:line="250" w:lineRule="auto"/>
            </w:pPr>
            <w:r>
              <w:rPr>
                <w:sz w:val="18"/>
                <w:szCs w:val="18"/>
              </w:rPr>
              <w:t>Beispiel für einen Fintech-Anbieter für Auslandsüberweisungen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56" w14:textId="06D552B8" w:rsidR="00C1548D" w:rsidRDefault="009B1B4B">
            <w:pPr>
              <w:spacing w:line="250" w:lineRule="auto"/>
            </w:pPr>
            <w:r>
              <w:rPr>
                <w:sz w:val="18"/>
                <w:szCs w:val="18"/>
              </w:rPr>
              <w:t>Kapitel </w:t>
            </w:r>
            <w:hyperlink w:anchor="k25" w:history="1">
              <w:r>
                <w:rPr>
                  <w:sz w:val="18"/>
                  <w:szCs w:val="18"/>
                </w:rPr>
                <w:t>25</w:t>
              </w:r>
            </w:hyperlink>
          </w:p>
        </w:tc>
      </w:tr>
    </w:tbl>
    <w:p w14:paraId="70A51658" w14:textId="77777777" w:rsidR="00C1548D" w:rsidRDefault="00C1548D">
      <w:pPr>
        <w:spacing w:line="180" w:lineRule="exact"/>
      </w:pPr>
    </w:p>
    <w:p w14:paraId="70A51659" w14:textId="77777777" w:rsidR="00C1548D" w:rsidRDefault="009B1B4B">
      <w:pPr>
        <w:pStyle w:val="Heading3"/>
        <w:keepNext/>
        <w:jc w:val="center"/>
      </w:pPr>
      <w:r>
        <w:rPr>
          <w:rFonts w:ascii="Amazon Ember" w:eastAsia="Amazon Ember" w:hAnsi="Amazon Ember" w:cs="Amazon Ember"/>
          <w:color w:val="0000FF"/>
          <w:sz w:val="36"/>
          <w:szCs w:val="36"/>
        </w:rPr>
        <w:t>US-Bildung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93"/>
        <w:gridCol w:w="2937"/>
        <w:gridCol w:w="950"/>
      </w:tblGrid>
      <w:tr w:rsidR="00C1548D" w14:paraId="70A5165D" w14:textId="77777777">
        <w:tblPrEx>
          <w:tblCellMar>
            <w:top w:w="0" w:type="dxa"/>
            <w:bottom w:w="0" w:type="dxa"/>
          </w:tblCellMar>
        </w:tblPrEx>
        <w:trPr>
          <w:cantSplit/>
          <w:tblHeader/>
        </w:trPr>
        <w:tc>
          <w:tcPr>
            <w:tcW w:w="259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5A" w14:textId="77777777" w:rsidR="00C1548D" w:rsidRDefault="009B1B4B">
            <w:pPr>
              <w:spacing w:line="250" w:lineRule="auto"/>
            </w:pPr>
            <w:r>
              <w:rPr>
                <w:b/>
                <w:bCs/>
                <w:sz w:val="18"/>
                <w:szCs w:val="18"/>
              </w:rPr>
              <w:t>Adresse</w:t>
            </w:r>
          </w:p>
        </w:tc>
        <w:tc>
          <w:tcPr>
            <w:tcW w:w="293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5B" w14:textId="77777777" w:rsidR="00C1548D" w:rsidRDefault="009B1B4B">
            <w:pPr>
              <w:spacing w:line="250" w:lineRule="auto"/>
            </w:pPr>
            <w:r>
              <w:rPr>
                <w:b/>
                <w:bCs/>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5C" w14:textId="77777777" w:rsidR="00C1548D" w:rsidRDefault="009B1B4B">
            <w:pPr>
              <w:spacing w:line="250" w:lineRule="auto"/>
            </w:pPr>
            <w:r>
              <w:rPr>
                <w:b/>
                <w:bCs/>
                <w:sz w:val="18"/>
                <w:szCs w:val="18"/>
              </w:rPr>
              <w:t>Kapitel</w:t>
            </w:r>
          </w:p>
        </w:tc>
      </w:tr>
      <w:tr w:rsidR="00C1548D" w14:paraId="70A51661"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5E" w14:textId="77777777" w:rsidR="00C1548D" w:rsidRDefault="009B1B4B">
            <w:pPr>
              <w:spacing w:line="250" w:lineRule="auto"/>
            </w:pPr>
            <w:r>
              <w:rPr>
                <w:sz w:val="18"/>
                <w:szCs w:val="18"/>
              </w:rPr>
              <w:t>ed.gov</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5F" w14:textId="77777777" w:rsidR="00C1548D" w:rsidRDefault="009B1B4B">
            <w:pPr>
              <w:spacing w:line="250" w:lineRule="auto"/>
            </w:pPr>
            <w:r>
              <w:rPr>
                <w:sz w:val="18"/>
                <w:szCs w:val="18"/>
              </w:rPr>
              <w:t>Schulrecht, IDEA, Office for Civil Rights, English Learners, Title III</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0" w14:textId="6C3DF749" w:rsidR="00C1548D" w:rsidRDefault="009B1B4B">
            <w:pPr>
              <w:spacing w:line="250" w:lineRule="auto"/>
            </w:pPr>
            <w:r>
              <w:rPr>
                <w:sz w:val="18"/>
                <w:szCs w:val="18"/>
              </w:rPr>
              <w:t>Kapitel </w:t>
            </w:r>
            <w:hyperlink w:anchor="k36" w:history="1">
              <w:r>
                <w:rPr>
                  <w:sz w:val="18"/>
                  <w:szCs w:val="18"/>
                </w:rPr>
                <w:t>36</w:t>
              </w:r>
            </w:hyperlink>
            <w:r>
              <w:rPr>
                <w:sz w:val="18"/>
                <w:szCs w:val="18"/>
              </w:rPr>
              <w:t xml:space="preserve">, </w:t>
            </w:r>
            <w:hyperlink w:anchor="k37" w:history="1">
              <w:r>
                <w:rPr>
                  <w:sz w:val="18"/>
                  <w:szCs w:val="18"/>
                </w:rPr>
                <w:t>37</w:t>
              </w:r>
            </w:hyperlink>
          </w:p>
        </w:tc>
      </w:tr>
      <w:tr w:rsidR="00C1548D" w14:paraId="70A51665"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2" w14:textId="77777777" w:rsidR="00C1548D" w:rsidRDefault="009B1B4B">
            <w:pPr>
              <w:spacing w:line="250" w:lineRule="auto"/>
            </w:pPr>
            <w:r>
              <w:rPr>
                <w:sz w:val="18"/>
                <w:szCs w:val="18"/>
              </w:rPr>
              <w:t>nces.ed.gov/fastfacts</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3" w14:textId="77777777" w:rsidR="00C1548D" w:rsidRDefault="009B1B4B">
            <w:pPr>
              <w:spacing w:line="250" w:lineRule="auto"/>
            </w:pPr>
            <w:r>
              <w:rPr>
                <w:sz w:val="18"/>
                <w:szCs w:val="18"/>
              </w:rPr>
              <w:t>Schüler, Schulfinanzen, Charter-Schulen, Sicherheit, Schuluniformen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4" w14:textId="751E5432" w:rsidR="00C1548D" w:rsidRDefault="009B1B4B">
            <w:pPr>
              <w:spacing w:line="250" w:lineRule="auto"/>
            </w:pPr>
            <w:r>
              <w:rPr>
                <w:sz w:val="18"/>
                <w:szCs w:val="18"/>
              </w:rPr>
              <w:t>Kapitel </w:t>
            </w:r>
            <w:hyperlink w:anchor="k34" w:history="1">
              <w:r>
                <w:rPr>
                  <w:sz w:val="18"/>
                  <w:szCs w:val="18"/>
                </w:rPr>
                <w:t>34</w:t>
              </w:r>
            </w:hyperlink>
            <w:r>
              <w:rPr>
                <w:sz w:val="18"/>
                <w:szCs w:val="18"/>
              </w:rPr>
              <w:t xml:space="preserve">, </w:t>
            </w:r>
            <w:hyperlink w:anchor="k36" w:history="1">
              <w:r>
                <w:rPr>
                  <w:sz w:val="18"/>
                  <w:szCs w:val="18"/>
                </w:rPr>
                <w:t>36</w:t>
              </w:r>
            </w:hyperlink>
          </w:p>
        </w:tc>
      </w:tr>
      <w:tr w:rsidR="00C1548D" w14:paraId="70A51669"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6" w14:textId="77777777" w:rsidR="00C1548D" w:rsidRDefault="009B1B4B">
            <w:pPr>
              <w:spacing w:line="250" w:lineRule="auto"/>
            </w:pPr>
            <w:r>
              <w:rPr>
                <w:sz w:val="18"/>
                <w:szCs w:val="18"/>
              </w:rPr>
              <w:t>nces.ed.gov/programs/digest</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7" w14:textId="77777777" w:rsidR="00C1548D" w:rsidRDefault="009B1B4B">
            <w:pPr>
              <w:spacing w:line="250" w:lineRule="auto"/>
            </w:pPr>
            <w:r>
              <w:rPr>
                <w:sz w:val="18"/>
                <w:szCs w:val="18"/>
              </w:rPr>
              <w:t>Digest of Education Statistics: Sicherheitsübungen, Privatschulen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8" w14:textId="7F9932F6" w:rsidR="00C1548D" w:rsidRDefault="009B1B4B">
            <w:pPr>
              <w:spacing w:line="250" w:lineRule="auto"/>
            </w:pPr>
            <w:r>
              <w:rPr>
                <w:sz w:val="18"/>
                <w:szCs w:val="18"/>
              </w:rPr>
              <w:t>Kapitel </w:t>
            </w:r>
            <w:hyperlink w:anchor="k36" w:history="1">
              <w:r>
                <w:rPr>
                  <w:sz w:val="18"/>
                  <w:szCs w:val="18"/>
                </w:rPr>
                <w:t>36</w:t>
              </w:r>
            </w:hyperlink>
          </w:p>
        </w:tc>
      </w:tr>
      <w:tr w:rsidR="00C1548D" w14:paraId="70A5166D"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A" w14:textId="77777777" w:rsidR="00C1548D" w:rsidRDefault="009B1B4B">
            <w:pPr>
              <w:spacing w:line="250" w:lineRule="auto"/>
            </w:pPr>
            <w:r>
              <w:rPr>
                <w:sz w:val="18"/>
                <w:szCs w:val="18"/>
              </w:rPr>
              <w:t>greatschools.org/gk/ratings</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B" w14:textId="77777777" w:rsidR="00C1548D" w:rsidRDefault="009B1B4B">
            <w:pPr>
              <w:spacing w:line="250" w:lineRule="auto"/>
            </w:pPr>
            <w:r>
              <w:rPr>
                <w:sz w:val="18"/>
                <w:szCs w:val="18"/>
              </w:rPr>
              <w:t>Methodik der Schulbewertungen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C" w14:textId="7C42C6B5" w:rsidR="00C1548D" w:rsidRDefault="009B1B4B">
            <w:pPr>
              <w:spacing w:line="250" w:lineRule="auto"/>
            </w:pPr>
            <w:r>
              <w:rPr>
                <w:sz w:val="18"/>
                <w:szCs w:val="18"/>
              </w:rPr>
              <w:t>Kapitel </w:t>
            </w:r>
            <w:hyperlink w:anchor="k36" w:history="1">
              <w:r>
                <w:rPr>
                  <w:sz w:val="18"/>
                  <w:szCs w:val="18"/>
                </w:rPr>
                <w:t>36</w:t>
              </w:r>
            </w:hyperlink>
          </w:p>
        </w:tc>
      </w:tr>
      <w:tr w:rsidR="00C1548D" w14:paraId="70A51671"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E" w14:textId="77777777" w:rsidR="00C1548D" w:rsidRDefault="009B1B4B">
            <w:pPr>
              <w:spacing w:line="250" w:lineRule="auto"/>
            </w:pPr>
            <w:r>
              <w:rPr>
                <w:sz w:val="18"/>
                <w:szCs w:val="18"/>
              </w:rPr>
              <w:lastRenderedPageBreak/>
              <w:t>mischooldata.org</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6F" w14:textId="77777777" w:rsidR="00C1548D" w:rsidRDefault="009B1B4B">
            <w:pPr>
              <w:spacing w:line="250" w:lineRule="auto"/>
            </w:pPr>
            <w:r>
              <w:rPr>
                <w:sz w:val="18"/>
                <w:szCs w:val="18"/>
              </w:rPr>
              <w:t>Schulberichte am Beispiel Michigan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0" w14:textId="04AF59AF" w:rsidR="00C1548D" w:rsidRDefault="009B1B4B">
            <w:pPr>
              <w:spacing w:line="250" w:lineRule="auto"/>
            </w:pPr>
            <w:r>
              <w:rPr>
                <w:sz w:val="18"/>
                <w:szCs w:val="18"/>
              </w:rPr>
              <w:t>Kapitel </w:t>
            </w:r>
            <w:hyperlink w:anchor="k36" w:history="1">
              <w:r>
                <w:rPr>
                  <w:sz w:val="18"/>
                  <w:szCs w:val="18"/>
                </w:rPr>
                <w:t>36</w:t>
              </w:r>
            </w:hyperlink>
          </w:p>
        </w:tc>
      </w:tr>
      <w:tr w:rsidR="00C1548D" w14:paraId="70A51675"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2" w14:textId="77777777" w:rsidR="00C1548D" w:rsidRDefault="009B1B4B">
            <w:pPr>
              <w:spacing w:line="250" w:lineRule="auto"/>
            </w:pPr>
            <w:r>
              <w:rPr>
                <w:sz w:val="18"/>
                <w:szCs w:val="18"/>
              </w:rPr>
              <w:t>collegeboard.org (auch research.collegeboard.org/trends/college-pricing)</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3" w14:textId="77777777" w:rsidR="00C1548D" w:rsidRDefault="009B1B4B">
            <w:pPr>
              <w:spacing w:line="250" w:lineRule="auto"/>
            </w:pPr>
            <w:r>
              <w:rPr>
                <w:sz w:val="18"/>
                <w:szCs w:val="18"/>
              </w:rPr>
              <w:t>SAT, AP, Studienplanung, Entwicklung der College-Kosten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4" w14:textId="0650F2AB" w:rsidR="00C1548D" w:rsidRDefault="009B1B4B">
            <w:pPr>
              <w:spacing w:line="250" w:lineRule="auto"/>
            </w:pPr>
            <w:r>
              <w:rPr>
                <w:sz w:val="18"/>
                <w:szCs w:val="18"/>
              </w:rPr>
              <w:t>Kapitel </w:t>
            </w:r>
            <w:hyperlink w:anchor="k36" w:history="1">
              <w:r>
                <w:rPr>
                  <w:sz w:val="18"/>
                  <w:szCs w:val="18"/>
                </w:rPr>
                <w:t>36</w:t>
              </w:r>
            </w:hyperlink>
            <w:r>
              <w:rPr>
                <w:sz w:val="18"/>
                <w:szCs w:val="18"/>
              </w:rPr>
              <w:t xml:space="preserve">, </w:t>
            </w:r>
            <w:hyperlink w:anchor="k38" w:history="1">
              <w:r>
                <w:rPr>
                  <w:sz w:val="18"/>
                  <w:szCs w:val="18"/>
                </w:rPr>
                <w:t>38</w:t>
              </w:r>
            </w:hyperlink>
          </w:p>
        </w:tc>
      </w:tr>
      <w:tr w:rsidR="00C1548D" w14:paraId="70A51679"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6" w14:textId="77777777" w:rsidR="00C1548D" w:rsidRDefault="009B1B4B">
            <w:pPr>
              <w:spacing w:line="250" w:lineRule="auto"/>
            </w:pPr>
            <w:r>
              <w:rPr>
                <w:sz w:val="18"/>
                <w:szCs w:val="18"/>
              </w:rPr>
              <w:t>studentaid.gov</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7" w14:textId="77777777" w:rsidR="00C1548D" w:rsidRDefault="009B1B4B">
            <w:pPr>
              <w:spacing w:line="250" w:lineRule="auto"/>
            </w:pPr>
            <w:r>
              <w:rPr>
                <w:sz w:val="18"/>
                <w:szCs w:val="18"/>
              </w:rPr>
              <w:t>Federal Student Aid, Berechtigung für Bundeshilfe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8" w14:textId="6FAAFBF7" w:rsidR="00C1548D" w:rsidRDefault="009B1B4B">
            <w:pPr>
              <w:spacing w:line="250" w:lineRule="auto"/>
            </w:pPr>
            <w:r>
              <w:rPr>
                <w:sz w:val="18"/>
                <w:szCs w:val="18"/>
              </w:rPr>
              <w:t>Kapitel </w:t>
            </w:r>
            <w:hyperlink w:anchor="k38" w:history="1">
              <w:r>
                <w:rPr>
                  <w:sz w:val="18"/>
                  <w:szCs w:val="18"/>
                </w:rPr>
                <w:t>38</w:t>
              </w:r>
            </w:hyperlink>
          </w:p>
        </w:tc>
      </w:tr>
      <w:tr w:rsidR="00C1548D" w14:paraId="70A5167D"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A" w14:textId="77777777" w:rsidR="00C1548D" w:rsidRDefault="009B1B4B">
            <w:pPr>
              <w:spacing w:line="250" w:lineRule="auto"/>
            </w:pPr>
            <w:r>
              <w:rPr>
                <w:sz w:val="18"/>
                <w:szCs w:val="18"/>
              </w:rPr>
              <w:t>wida.wisc.edu/assess/screener</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B" w14:textId="77777777" w:rsidR="00C1548D" w:rsidRDefault="009B1B4B">
            <w:pPr>
              <w:spacing w:line="250" w:lineRule="auto"/>
            </w:pPr>
            <w:r>
              <w:rPr>
                <w:sz w:val="18"/>
                <w:szCs w:val="18"/>
              </w:rPr>
              <w:t>WIDA Screener und ACCESS for ELLs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C" w14:textId="151CBADB" w:rsidR="00C1548D" w:rsidRDefault="009B1B4B">
            <w:pPr>
              <w:spacing w:line="250" w:lineRule="auto"/>
            </w:pPr>
            <w:r>
              <w:rPr>
                <w:sz w:val="18"/>
                <w:szCs w:val="18"/>
              </w:rPr>
              <w:t>Kapitel </w:t>
            </w:r>
            <w:hyperlink w:anchor="k37" w:history="1">
              <w:r>
                <w:rPr>
                  <w:sz w:val="18"/>
                  <w:szCs w:val="18"/>
                </w:rPr>
                <w:t>37</w:t>
              </w:r>
            </w:hyperlink>
          </w:p>
        </w:tc>
      </w:tr>
      <w:tr w:rsidR="00C1548D" w14:paraId="70A51681"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E" w14:textId="77777777" w:rsidR="00C1548D" w:rsidRDefault="009B1B4B">
            <w:pPr>
              <w:spacing w:line="250" w:lineRule="auto"/>
            </w:pPr>
            <w:r>
              <w:rPr>
                <w:sz w:val="18"/>
                <w:szCs w:val="18"/>
              </w:rPr>
              <w:t>law.cornell.edu/uscode/text/20/6312</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7F" w14:textId="77777777" w:rsidR="00C1548D" w:rsidRDefault="009B1B4B">
            <w:pPr>
              <w:spacing w:line="250" w:lineRule="auto"/>
            </w:pPr>
            <w:r>
              <w:rPr>
                <w:sz w:val="18"/>
                <w:szCs w:val="18"/>
              </w:rPr>
              <w:t>Elternbenachrichtigung und Umstufung, 20 U.S.C. § 6312</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80" w14:textId="4AB42BC3" w:rsidR="00C1548D" w:rsidRDefault="009B1B4B">
            <w:pPr>
              <w:spacing w:line="250" w:lineRule="auto"/>
            </w:pPr>
            <w:r>
              <w:rPr>
                <w:sz w:val="18"/>
                <w:szCs w:val="18"/>
              </w:rPr>
              <w:t>Kapitel </w:t>
            </w:r>
            <w:hyperlink w:anchor="k37" w:history="1">
              <w:r>
                <w:rPr>
                  <w:sz w:val="18"/>
                  <w:szCs w:val="18"/>
                </w:rPr>
                <w:t>37</w:t>
              </w:r>
            </w:hyperlink>
          </w:p>
        </w:tc>
      </w:tr>
      <w:tr w:rsidR="00C1548D" w14:paraId="70A51685"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82" w14:textId="77777777" w:rsidR="00C1548D" w:rsidRDefault="009B1B4B">
            <w:pPr>
              <w:spacing w:line="250" w:lineRule="auto"/>
            </w:pPr>
            <w:r>
              <w:rPr>
                <w:sz w:val="18"/>
                <w:szCs w:val="18"/>
              </w:rPr>
              <w:t>aefla.ed.gov</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83" w14:textId="77777777" w:rsidR="00C1548D" w:rsidRDefault="009B1B4B">
            <w:pPr>
              <w:spacing w:line="250" w:lineRule="auto"/>
            </w:pPr>
            <w:r>
              <w:rPr>
                <w:sz w:val="18"/>
                <w:szCs w:val="18"/>
              </w:rPr>
              <w:t>Adult Education and Family Literacy Act, Erwachsenenbildung und ESL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84" w14:textId="774A9DA6" w:rsidR="00C1548D" w:rsidRDefault="009B1B4B">
            <w:pPr>
              <w:spacing w:line="250" w:lineRule="auto"/>
            </w:pPr>
            <w:r>
              <w:rPr>
                <w:sz w:val="18"/>
                <w:szCs w:val="18"/>
              </w:rPr>
              <w:t>Kapitel </w:t>
            </w:r>
            <w:hyperlink w:anchor="k37" w:history="1">
              <w:r>
                <w:rPr>
                  <w:sz w:val="18"/>
                  <w:szCs w:val="18"/>
                </w:rPr>
                <w:t>37</w:t>
              </w:r>
            </w:hyperlink>
          </w:p>
        </w:tc>
      </w:tr>
      <w:tr w:rsidR="00C1548D" w14:paraId="70A51689"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86" w14:textId="77777777" w:rsidR="00C1548D" w:rsidRDefault="009B1B4B">
            <w:pPr>
              <w:spacing w:line="250" w:lineRule="auto"/>
            </w:pPr>
            <w:r>
              <w:rPr>
                <w:sz w:val="18"/>
                <w:szCs w:val="18"/>
              </w:rPr>
              <w:t>ets.org/toefl (auch ielts.org)</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87" w14:textId="77777777" w:rsidR="00C1548D" w:rsidRDefault="009B1B4B">
            <w:pPr>
              <w:spacing w:line="250" w:lineRule="auto"/>
            </w:pPr>
            <w:r>
              <w:rPr>
                <w:sz w:val="18"/>
                <w:szCs w:val="18"/>
              </w:rPr>
              <w:t>TOEFL und IELTS, Termine und Gebühren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88" w14:textId="7848017D" w:rsidR="00C1548D" w:rsidRDefault="009B1B4B">
            <w:pPr>
              <w:spacing w:line="250" w:lineRule="auto"/>
            </w:pPr>
            <w:r>
              <w:rPr>
                <w:sz w:val="18"/>
                <w:szCs w:val="18"/>
              </w:rPr>
              <w:t>Kapitel </w:t>
            </w:r>
            <w:hyperlink w:anchor="k37" w:history="1">
              <w:r>
                <w:rPr>
                  <w:sz w:val="18"/>
                  <w:szCs w:val="18"/>
                </w:rPr>
                <w:t>37</w:t>
              </w:r>
            </w:hyperlink>
          </w:p>
        </w:tc>
      </w:tr>
      <w:tr w:rsidR="00C1548D" w14:paraId="70A5168D" w14:textId="77777777">
        <w:tblPrEx>
          <w:tblCellMar>
            <w:top w:w="0" w:type="dxa"/>
            <w:bottom w:w="0" w:type="dxa"/>
          </w:tblCellMar>
        </w:tblPrEx>
        <w:trPr>
          <w:cantSplit/>
        </w:trPr>
        <w:tc>
          <w:tcPr>
            <w:tcW w:w="25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8A" w14:textId="77777777" w:rsidR="00C1548D" w:rsidRDefault="009B1B4B">
            <w:pPr>
              <w:spacing w:line="250" w:lineRule="auto"/>
            </w:pPr>
            <w:r>
              <w:rPr>
                <w:sz w:val="18"/>
                <w:szCs w:val="18"/>
              </w:rPr>
              <w:t>opendoorsdata.org</w:t>
            </w:r>
          </w:p>
        </w:tc>
        <w:tc>
          <w:tcPr>
            <w:tcW w:w="29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8B" w14:textId="77777777" w:rsidR="00C1548D" w:rsidRDefault="009B1B4B">
            <w:pPr>
              <w:spacing w:line="250" w:lineRule="auto"/>
            </w:pPr>
            <w:r>
              <w:rPr>
                <w:sz w:val="18"/>
                <w:szCs w:val="18"/>
              </w:rPr>
              <w:t>Zahlen internationaler Studierender (Open Doors, IIE)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8C" w14:textId="040C2CDA" w:rsidR="00C1548D" w:rsidRDefault="009B1B4B">
            <w:pPr>
              <w:spacing w:line="250" w:lineRule="auto"/>
            </w:pPr>
            <w:r>
              <w:rPr>
                <w:sz w:val="18"/>
                <w:szCs w:val="18"/>
              </w:rPr>
              <w:t>Kapitel </w:t>
            </w:r>
            <w:hyperlink w:anchor="k8" w:history="1">
              <w:r>
                <w:rPr>
                  <w:sz w:val="18"/>
                  <w:szCs w:val="18"/>
                </w:rPr>
                <w:t>8</w:t>
              </w:r>
            </w:hyperlink>
          </w:p>
        </w:tc>
      </w:tr>
    </w:tbl>
    <w:p w14:paraId="70A5168E" w14:textId="77777777" w:rsidR="00C1548D" w:rsidRDefault="00C1548D">
      <w:pPr>
        <w:spacing w:line="180" w:lineRule="exact"/>
      </w:pPr>
    </w:p>
    <w:p w14:paraId="70A5168F" w14:textId="77777777" w:rsidR="00C1548D" w:rsidRDefault="009B1B4B">
      <w:pPr>
        <w:pStyle w:val="Heading3"/>
        <w:keepNext/>
        <w:jc w:val="center"/>
      </w:pPr>
      <w:r>
        <w:rPr>
          <w:rFonts w:ascii="Amazon Ember" w:eastAsia="Amazon Ember" w:hAnsi="Amazon Ember" w:cs="Amazon Ember"/>
          <w:color w:val="0000FF"/>
          <w:sz w:val="36"/>
          <w:szCs w:val="36"/>
        </w:rPr>
        <w:t>Deutsche Behörden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2"/>
        <w:gridCol w:w="3279"/>
        <w:gridCol w:w="1429"/>
      </w:tblGrid>
      <w:tr w:rsidR="00C1548D" w14:paraId="70A51693" w14:textId="77777777">
        <w:tblPrEx>
          <w:tblCellMar>
            <w:top w:w="0" w:type="dxa"/>
            <w:bottom w:w="0" w:type="dxa"/>
          </w:tblCellMar>
        </w:tblPrEx>
        <w:trPr>
          <w:cantSplit/>
          <w:tblHeader/>
        </w:trPr>
        <w:tc>
          <w:tcPr>
            <w:tcW w:w="177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90" w14:textId="77777777" w:rsidR="00C1548D" w:rsidRDefault="009B1B4B">
            <w:pPr>
              <w:spacing w:line="250" w:lineRule="auto"/>
            </w:pPr>
            <w:r>
              <w:rPr>
                <w:b/>
                <w:bCs/>
                <w:sz w:val="18"/>
                <w:szCs w:val="18"/>
              </w:rPr>
              <w:t>Adresse</w:t>
            </w:r>
          </w:p>
        </w:tc>
        <w:tc>
          <w:tcPr>
            <w:tcW w:w="327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91" w14:textId="77777777" w:rsidR="00C1548D" w:rsidRDefault="009B1B4B">
            <w:pPr>
              <w:spacing w:line="250" w:lineRule="auto"/>
            </w:pPr>
            <w:r>
              <w:rPr>
                <w:b/>
                <w:bCs/>
                <w:sz w:val="18"/>
                <w:szCs w:val="18"/>
              </w:rPr>
              <w:t>Behörde / Thema</w:t>
            </w:r>
          </w:p>
        </w:tc>
        <w:tc>
          <w:tcPr>
            <w:tcW w:w="142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92" w14:textId="77777777" w:rsidR="00C1548D" w:rsidRDefault="009B1B4B">
            <w:pPr>
              <w:spacing w:line="250" w:lineRule="auto"/>
            </w:pPr>
            <w:r>
              <w:rPr>
                <w:b/>
                <w:bCs/>
                <w:sz w:val="18"/>
                <w:szCs w:val="18"/>
              </w:rPr>
              <w:t>Kapitel</w:t>
            </w:r>
          </w:p>
        </w:tc>
      </w:tr>
      <w:tr w:rsidR="00C1548D" w14:paraId="70A51697"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94" w14:textId="77777777" w:rsidR="00C1548D" w:rsidRDefault="009B1B4B">
            <w:pPr>
              <w:spacing w:line="250" w:lineRule="auto"/>
            </w:pPr>
            <w:r>
              <w:rPr>
                <w:sz w:val="18"/>
                <w:szCs w:val="18"/>
              </w:rPr>
              <w:t>gesetze-im-internet.de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95" w14:textId="77777777" w:rsidR="00C1548D" w:rsidRDefault="009B1B4B">
            <w:pPr>
              <w:spacing w:line="250" w:lineRule="auto"/>
            </w:pPr>
            <w:r>
              <w:rPr>
                <w:sz w:val="18"/>
                <w:szCs w:val="18"/>
              </w:rPr>
              <w:t>Gesetzestexte: BGB, SGB V, EStG, AStG, AO, ErbStG, AufenthG, Bundesmeldegesetz, TKG, VVG, Wehrpflichtgesetz u. a.</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96" w14:textId="0B930909" w:rsidR="00C1548D" w:rsidRDefault="009B1B4B">
            <w:pPr>
              <w:spacing w:line="250" w:lineRule="auto"/>
            </w:pPr>
            <w:r>
              <w:rPr>
                <w:sz w:val="18"/>
                <w:szCs w:val="18"/>
              </w:rPr>
              <w:t>Kapitel </w:t>
            </w:r>
            <w:hyperlink w:anchor="k7" w:history="1">
              <w:r>
                <w:rPr>
                  <w:sz w:val="18"/>
                  <w:szCs w:val="18"/>
                </w:rPr>
                <w:t>7</w:t>
              </w:r>
            </w:hyperlink>
            <w:r>
              <w:rPr>
                <w:sz w:val="18"/>
                <w:szCs w:val="18"/>
              </w:rPr>
              <w:t xml:space="preserve">, </w:t>
            </w:r>
            <w:hyperlink w:anchor="k13" w:history="1">
              <w:r>
                <w:rPr>
                  <w:sz w:val="18"/>
                  <w:szCs w:val="18"/>
                </w:rPr>
                <w:t>13</w:t>
              </w:r>
            </w:hyperlink>
            <w:r>
              <w:rPr>
                <w:sz w:val="18"/>
                <w:szCs w:val="18"/>
              </w:rPr>
              <w:t xml:space="preserve">, </w:t>
            </w:r>
            <w:hyperlink w:anchor="k14" w:history="1">
              <w:r>
                <w:rPr>
                  <w:sz w:val="18"/>
                  <w:szCs w:val="18"/>
                </w:rPr>
                <w:t>14</w:t>
              </w:r>
            </w:hyperlink>
            <w:r>
              <w:rPr>
                <w:sz w:val="18"/>
                <w:szCs w:val="18"/>
              </w:rPr>
              <w:t xml:space="preserve">, </w:t>
            </w:r>
            <w:hyperlink w:anchor="k16" w:history="1">
              <w:r>
                <w:rPr>
                  <w:sz w:val="18"/>
                  <w:szCs w:val="18"/>
                </w:rPr>
                <w:t>16</w:t>
              </w:r>
            </w:hyperlink>
            <w:r>
              <w:rPr>
                <w:sz w:val="18"/>
                <w:szCs w:val="18"/>
              </w:rPr>
              <w:t xml:space="preserve">, </w:t>
            </w:r>
            <w:hyperlink w:anchor="k17" w:history="1">
              <w:r>
                <w:rPr>
                  <w:sz w:val="18"/>
                  <w:szCs w:val="18"/>
                </w:rPr>
                <w:t>17</w:t>
              </w:r>
            </w:hyperlink>
            <w:r>
              <w:rPr>
                <w:sz w:val="18"/>
                <w:szCs w:val="18"/>
              </w:rPr>
              <w:t xml:space="preserve">, </w:t>
            </w:r>
            <w:hyperlink w:anchor="k18" w:history="1">
              <w:r>
                <w:rPr>
                  <w:sz w:val="18"/>
                  <w:szCs w:val="18"/>
                </w:rPr>
                <w:t>18</w:t>
              </w:r>
            </w:hyperlink>
            <w:r>
              <w:rPr>
                <w:sz w:val="18"/>
                <w:szCs w:val="18"/>
              </w:rPr>
              <w:t xml:space="preserve">, </w:t>
            </w:r>
            <w:hyperlink w:anchor="k39" w:history="1">
              <w:r>
                <w:rPr>
                  <w:sz w:val="18"/>
                  <w:szCs w:val="18"/>
                </w:rPr>
                <w:t>39</w:t>
              </w:r>
            </w:hyperlink>
            <w:r>
              <w:rPr>
                <w:sz w:val="18"/>
                <w:szCs w:val="18"/>
              </w:rPr>
              <w:t xml:space="preserve">, </w:t>
            </w:r>
            <w:hyperlink w:anchor="k42" w:history="1">
              <w:r>
                <w:rPr>
                  <w:sz w:val="18"/>
                  <w:szCs w:val="18"/>
                </w:rPr>
                <w:t>42</w:t>
              </w:r>
            </w:hyperlink>
          </w:p>
        </w:tc>
      </w:tr>
      <w:tr w:rsidR="00C1548D" w14:paraId="70A5169B"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98" w14:textId="77777777" w:rsidR="00C1548D" w:rsidRDefault="009B1B4B">
            <w:pPr>
              <w:spacing w:line="250" w:lineRule="auto"/>
            </w:pPr>
            <w:r>
              <w:rPr>
                <w:sz w:val="18"/>
                <w:szCs w:val="18"/>
              </w:rPr>
              <w:t>deutsche-rentenversicherung.de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99" w14:textId="77777777" w:rsidR="00C1548D" w:rsidRDefault="009B1B4B">
            <w:pPr>
              <w:spacing w:line="250" w:lineRule="auto"/>
            </w:pPr>
            <w:r>
              <w:rPr>
                <w:sz w:val="18"/>
                <w:szCs w:val="18"/>
              </w:rPr>
              <w:t>Beratung vor dem Umzug, Broschüre „Arbeit und Rente in Deutschland und in den USA“</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9A" w14:textId="7622DA50" w:rsidR="00C1548D" w:rsidRDefault="009B1B4B">
            <w:pPr>
              <w:spacing w:line="250" w:lineRule="auto"/>
            </w:pPr>
            <w:r>
              <w:rPr>
                <w:sz w:val="18"/>
                <w:szCs w:val="18"/>
              </w:rPr>
              <w:t>Kapitel </w:t>
            </w:r>
            <w:hyperlink w:anchor="k15" w:history="1">
              <w:r>
                <w:rPr>
                  <w:sz w:val="18"/>
                  <w:szCs w:val="18"/>
                </w:rPr>
                <w:t>15</w:t>
              </w:r>
            </w:hyperlink>
            <w:r>
              <w:rPr>
                <w:sz w:val="18"/>
                <w:szCs w:val="18"/>
              </w:rPr>
              <w:t xml:space="preserve">, </w:t>
            </w:r>
            <w:hyperlink w:anchor="k17" w:history="1">
              <w:r>
                <w:rPr>
                  <w:sz w:val="18"/>
                  <w:szCs w:val="18"/>
                </w:rPr>
                <w:t>17</w:t>
              </w:r>
            </w:hyperlink>
            <w:r>
              <w:rPr>
                <w:sz w:val="18"/>
                <w:szCs w:val="18"/>
              </w:rPr>
              <w:t xml:space="preserve">, </w:t>
            </w:r>
            <w:hyperlink w:anchor="k39" w:history="1">
              <w:r>
                <w:rPr>
                  <w:sz w:val="18"/>
                  <w:szCs w:val="18"/>
                </w:rPr>
                <w:t>39</w:t>
              </w:r>
            </w:hyperlink>
            <w:r>
              <w:rPr>
                <w:sz w:val="18"/>
                <w:szCs w:val="18"/>
              </w:rPr>
              <w:t xml:space="preserve">, </w:t>
            </w:r>
            <w:hyperlink w:anchor="k42" w:history="1">
              <w:r>
                <w:rPr>
                  <w:sz w:val="18"/>
                  <w:szCs w:val="18"/>
                </w:rPr>
                <w:t>42</w:t>
              </w:r>
            </w:hyperlink>
          </w:p>
        </w:tc>
      </w:tr>
      <w:tr w:rsidR="00C1548D" w14:paraId="70A5169F"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9C" w14:textId="77777777" w:rsidR="00C1548D" w:rsidRDefault="009B1B4B">
            <w:pPr>
              <w:spacing w:line="250" w:lineRule="auto"/>
            </w:pPr>
            <w:r>
              <w:rPr>
                <w:sz w:val="18"/>
                <w:szCs w:val="18"/>
              </w:rPr>
              <w:t>bundesfinanzministerium.de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9D" w14:textId="77777777" w:rsidR="00C1548D" w:rsidRDefault="009B1B4B">
            <w:pPr>
              <w:spacing w:line="250" w:lineRule="auto"/>
            </w:pPr>
            <w:r>
              <w:rPr>
                <w:sz w:val="18"/>
                <w:szCs w:val="18"/>
              </w:rPr>
              <w:t>FAQ zur Reform der privaten Altersvorsorge</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9E" w14:textId="5ADFE0C0" w:rsidR="00C1548D" w:rsidRDefault="009B1B4B">
            <w:pPr>
              <w:spacing w:line="250" w:lineRule="auto"/>
            </w:pPr>
            <w:r>
              <w:rPr>
                <w:sz w:val="18"/>
                <w:szCs w:val="18"/>
              </w:rPr>
              <w:t>Kapitel </w:t>
            </w:r>
            <w:hyperlink w:anchor="k2" w:history="1">
              <w:r>
                <w:rPr>
                  <w:sz w:val="18"/>
                  <w:szCs w:val="18"/>
                </w:rPr>
                <w:t>2</w:t>
              </w:r>
            </w:hyperlink>
            <w:r>
              <w:rPr>
                <w:sz w:val="18"/>
                <w:szCs w:val="18"/>
              </w:rPr>
              <w:t xml:space="preserve">, </w:t>
            </w:r>
            <w:hyperlink w:anchor="k17" w:history="1">
              <w:r>
                <w:rPr>
                  <w:sz w:val="18"/>
                  <w:szCs w:val="18"/>
                </w:rPr>
                <w:t>17</w:t>
              </w:r>
            </w:hyperlink>
          </w:p>
        </w:tc>
      </w:tr>
      <w:tr w:rsidR="00C1548D" w14:paraId="70A516A3"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0" w14:textId="77777777" w:rsidR="00C1548D" w:rsidRDefault="009B1B4B">
            <w:pPr>
              <w:spacing w:line="250" w:lineRule="auto"/>
            </w:pPr>
            <w:r>
              <w:rPr>
                <w:sz w:val="18"/>
                <w:szCs w:val="18"/>
              </w:rPr>
              <w:t>bzst.de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1" w14:textId="77777777" w:rsidR="00C1548D" w:rsidRDefault="009B1B4B">
            <w:pPr>
              <w:spacing w:line="250" w:lineRule="auto"/>
            </w:pPr>
            <w:r>
              <w:rPr>
                <w:sz w:val="18"/>
                <w:szCs w:val="18"/>
              </w:rPr>
              <w:t>FATCA und Erstattung der Kapitalertragsteuer</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2" w14:textId="68313EF7" w:rsidR="00C1548D" w:rsidRDefault="009B1B4B">
            <w:pPr>
              <w:spacing w:line="250" w:lineRule="auto"/>
            </w:pPr>
            <w:r>
              <w:rPr>
                <w:sz w:val="18"/>
                <w:szCs w:val="18"/>
              </w:rPr>
              <w:t>Kapitel </w:t>
            </w:r>
            <w:hyperlink w:anchor="k17" w:history="1">
              <w:r>
                <w:rPr>
                  <w:sz w:val="18"/>
                  <w:szCs w:val="18"/>
                </w:rPr>
                <w:t>17</w:t>
              </w:r>
            </w:hyperlink>
          </w:p>
        </w:tc>
      </w:tr>
      <w:tr w:rsidR="00C1548D" w14:paraId="70A516A7"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4" w14:textId="77777777" w:rsidR="00C1548D" w:rsidRDefault="009B1B4B">
            <w:pPr>
              <w:spacing w:line="250" w:lineRule="auto"/>
            </w:pPr>
            <w:r>
              <w:rPr>
                <w:sz w:val="18"/>
                <w:szCs w:val="18"/>
              </w:rPr>
              <w:t>auswaertiges-amt.de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5" w14:textId="77777777" w:rsidR="00C1548D" w:rsidRDefault="009B1B4B">
            <w:pPr>
              <w:spacing w:line="250" w:lineRule="auto"/>
            </w:pPr>
            <w:r>
              <w:rPr>
                <w:sz w:val="18"/>
                <w:szCs w:val="18"/>
              </w:rPr>
              <w:t>Reise- und Sicherheitshinweise USA, Krisenvorsorgeliste</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6" w14:textId="534352BF" w:rsidR="00C1548D" w:rsidRDefault="009B1B4B">
            <w:pPr>
              <w:spacing w:line="250" w:lineRule="auto"/>
            </w:pPr>
            <w:r>
              <w:rPr>
                <w:sz w:val="18"/>
                <w:szCs w:val="18"/>
              </w:rPr>
              <w:t>Kapitel </w:t>
            </w:r>
            <w:hyperlink w:anchor="k16" w:history="1">
              <w:r>
                <w:rPr>
                  <w:sz w:val="18"/>
                  <w:szCs w:val="18"/>
                </w:rPr>
                <w:t>16</w:t>
              </w:r>
            </w:hyperlink>
          </w:p>
        </w:tc>
      </w:tr>
      <w:tr w:rsidR="00C1548D" w14:paraId="70A516AB"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8" w14:textId="77777777" w:rsidR="00C1548D" w:rsidRDefault="009B1B4B">
            <w:pPr>
              <w:spacing w:line="250" w:lineRule="auto"/>
            </w:pPr>
            <w:r>
              <w:rPr>
                <w:sz w:val="18"/>
                <w:szCs w:val="18"/>
              </w:rPr>
              <w:t>familienportal.de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9" w14:textId="77777777" w:rsidR="00C1548D" w:rsidRDefault="009B1B4B">
            <w:pPr>
              <w:spacing w:line="250" w:lineRule="auto"/>
            </w:pPr>
            <w:r>
              <w:rPr>
                <w:sz w:val="18"/>
                <w:szCs w:val="18"/>
              </w:rPr>
              <w:t>Kindergeld und Elterngeld</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A" w14:textId="6B6D6E67" w:rsidR="00C1548D" w:rsidRDefault="009B1B4B">
            <w:pPr>
              <w:spacing w:line="250" w:lineRule="auto"/>
            </w:pPr>
            <w:r>
              <w:rPr>
                <w:sz w:val="18"/>
                <w:szCs w:val="18"/>
              </w:rPr>
              <w:t>Kapitel </w:t>
            </w:r>
            <w:hyperlink w:anchor="k3" w:history="1">
              <w:r>
                <w:rPr>
                  <w:sz w:val="18"/>
                  <w:szCs w:val="18"/>
                </w:rPr>
                <w:t>3</w:t>
              </w:r>
            </w:hyperlink>
            <w:r>
              <w:rPr>
                <w:sz w:val="18"/>
                <w:szCs w:val="18"/>
              </w:rPr>
              <w:t xml:space="preserve">, </w:t>
            </w:r>
            <w:hyperlink w:anchor="k16" w:history="1">
              <w:r>
                <w:rPr>
                  <w:sz w:val="18"/>
                  <w:szCs w:val="18"/>
                </w:rPr>
                <w:t>16</w:t>
              </w:r>
            </w:hyperlink>
          </w:p>
        </w:tc>
      </w:tr>
      <w:tr w:rsidR="00C1548D" w14:paraId="70A516AF"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C" w14:textId="77777777" w:rsidR="00C1548D" w:rsidRDefault="009B1B4B">
            <w:pPr>
              <w:spacing w:line="250" w:lineRule="auto"/>
            </w:pPr>
            <w:r>
              <w:rPr>
                <w:sz w:val="18"/>
                <w:szCs w:val="18"/>
              </w:rPr>
              <w:t>arbeitsagentur.de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D" w14:textId="77777777" w:rsidR="00C1548D" w:rsidRDefault="009B1B4B">
            <w:pPr>
              <w:spacing w:line="250" w:lineRule="auto"/>
            </w:pPr>
            <w:r>
              <w:rPr>
                <w:sz w:val="18"/>
                <w:szCs w:val="18"/>
              </w:rPr>
              <w:t>Familienkasse, Kindergeld</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AE" w14:textId="61B57AD9" w:rsidR="00C1548D" w:rsidRDefault="009B1B4B">
            <w:pPr>
              <w:spacing w:line="250" w:lineRule="auto"/>
            </w:pPr>
            <w:r>
              <w:rPr>
                <w:sz w:val="18"/>
                <w:szCs w:val="18"/>
              </w:rPr>
              <w:t>Kapitel </w:t>
            </w:r>
            <w:hyperlink w:anchor="k16" w:history="1">
              <w:r>
                <w:rPr>
                  <w:sz w:val="18"/>
                  <w:szCs w:val="18"/>
                </w:rPr>
                <w:t>16</w:t>
              </w:r>
            </w:hyperlink>
          </w:p>
        </w:tc>
      </w:tr>
      <w:tr w:rsidR="00C1548D" w14:paraId="70A516B3"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0" w14:textId="77777777" w:rsidR="00C1548D" w:rsidRDefault="009B1B4B">
            <w:pPr>
              <w:spacing w:line="250" w:lineRule="auto"/>
            </w:pPr>
            <w:r>
              <w:rPr>
                <w:sz w:val="18"/>
                <w:szCs w:val="18"/>
              </w:rPr>
              <w:lastRenderedPageBreak/>
              <w:t>rundfunkbeitrag.de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1" w14:textId="77777777" w:rsidR="00C1548D" w:rsidRDefault="009B1B4B">
            <w:pPr>
              <w:spacing w:line="250" w:lineRule="auto"/>
            </w:pPr>
            <w:r>
              <w:rPr>
                <w:sz w:val="18"/>
                <w:szCs w:val="18"/>
              </w:rPr>
              <w:t>Rundfunkbeitrag, Abmeldung einer Wohnung</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2" w14:textId="744BECCB" w:rsidR="00C1548D" w:rsidRDefault="009B1B4B">
            <w:pPr>
              <w:spacing w:line="250" w:lineRule="auto"/>
            </w:pPr>
            <w:r>
              <w:rPr>
                <w:sz w:val="18"/>
                <w:szCs w:val="18"/>
              </w:rPr>
              <w:t>Kapitel </w:t>
            </w:r>
            <w:hyperlink w:anchor="k16" w:history="1">
              <w:r>
                <w:rPr>
                  <w:sz w:val="18"/>
                  <w:szCs w:val="18"/>
                </w:rPr>
                <w:t>16</w:t>
              </w:r>
            </w:hyperlink>
          </w:p>
        </w:tc>
      </w:tr>
      <w:tr w:rsidR="00C1548D" w14:paraId="70A516B7"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4" w14:textId="77777777" w:rsidR="00C1548D" w:rsidRDefault="009B1B4B">
            <w:pPr>
              <w:spacing w:line="250" w:lineRule="auto"/>
            </w:pPr>
            <w:r>
              <w:rPr>
                <w:sz w:val="18"/>
                <w:szCs w:val="18"/>
              </w:rPr>
              <w:t>deutschepost.de/de/n/nachsendeservice.html</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5" w14:textId="77777777" w:rsidR="00C1548D" w:rsidRDefault="009B1B4B">
            <w:pPr>
              <w:spacing w:line="250" w:lineRule="auto"/>
            </w:pPr>
            <w:r>
              <w:rPr>
                <w:sz w:val="18"/>
                <w:szCs w:val="18"/>
              </w:rPr>
              <w:t>Nachsendeservice</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6" w14:textId="5ADCDC07" w:rsidR="00C1548D" w:rsidRDefault="009B1B4B">
            <w:pPr>
              <w:spacing w:line="250" w:lineRule="auto"/>
            </w:pPr>
            <w:r>
              <w:rPr>
                <w:sz w:val="18"/>
                <w:szCs w:val="18"/>
              </w:rPr>
              <w:t>Kapitel </w:t>
            </w:r>
            <w:hyperlink w:anchor="k16" w:history="1">
              <w:r>
                <w:rPr>
                  <w:sz w:val="18"/>
                  <w:szCs w:val="18"/>
                </w:rPr>
                <w:t>16</w:t>
              </w:r>
            </w:hyperlink>
          </w:p>
        </w:tc>
      </w:tr>
      <w:tr w:rsidR="00C1548D" w14:paraId="70A516BB"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8" w14:textId="77777777" w:rsidR="00C1548D" w:rsidRDefault="009B1B4B">
            <w:pPr>
              <w:spacing w:line="250" w:lineRule="auto"/>
            </w:pPr>
            <w:r>
              <w:rPr>
                <w:sz w:val="18"/>
                <w:szCs w:val="18"/>
              </w:rPr>
              <w:t>vorsorgeregister.de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9" w14:textId="77777777" w:rsidR="00C1548D" w:rsidRDefault="009B1B4B">
            <w:pPr>
              <w:spacing w:line="250" w:lineRule="auto"/>
            </w:pPr>
            <w:r>
              <w:rPr>
                <w:sz w:val="18"/>
                <w:szCs w:val="18"/>
              </w:rPr>
              <w:t>Zentrales Vorsorgeregister der Bundesnotarkammer</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A" w14:textId="0BFDCA4C" w:rsidR="00C1548D" w:rsidRDefault="009B1B4B">
            <w:pPr>
              <w:spacing w:line="250" w:lineRule="auto"/>
            </w:pPr>
            <w:r>
              <w:rPr>
                <w:sz w:val="18"/>
                <w:szCs w:val="18"/>
              </w:rPr>
              <w:t>Kapitel </w:t>
            </w:r>
            <w:hyperlink w:anchor="k16" w:history="1">
              <w:r>
                <w:rPr>
                  <w:sz w:val="18"/>
                  <w:szCs w:val="18"/>
                </w:rPr>
                <w:t>16</w:t>
              </w:r>
            </w:hyperlink>
          </w:p>
        </w:tc>
      </w:tr>
      <w:tr w:rsidR="00C1548D" w14:paraId="70A516BF"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C" w14:textId="77777777" w:rsidR="00C1548D" w:rsidRDefault="009B1B4B">
            <w:pPr>
              <w:spacing w:line="250" w:lineRule="auto"/>
            </w:pPr>
            <w:r>
              <w:rPr>
                <w:sz w:val="18"/>
                <w:szCs w:val="18"/>
              </w:rPr>
              <w:t>bmvg.de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D" w14:textId="77777777" w:rsidR="00C1548D" w:rsidRDefault="009B1B4B">
            <w:pPr>
              <w:spacing w:line="250" w:lineRule="auto"/>
            </w:pPr>
            <w:r>
              <w:rPr>
                <w:sz w:val="18"/>
                <w:szCs w:val="18"/>
              </w:rPr>
              <w:t>Wehrdienst und Auslandsaufenthalt</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BE" w14:textId="080CCB39" w:rsidR="00C1548D" w:rsidRDefault="009B1B4B">
            <w:pPr>
              <w:spacing w:line="250" w:lineRule="auto"/>
            </w:pPr>
            <w:r>
              <w:rPr>
                <w:sz w:val="18"/>
                <w:szCs w:val="18"/>
              </w:rPr>
              <w:t>Kapitel </w:t>
            </w:r>
            <w:hyperlink w:anchor="k16" w:history="1">
              <w:r>
                <w:rPr>
                  <w:sz w:val="18"/>
                  <w:szCs w:val="18"/>
                </w:rPr>
                <w:t>16</w:t>
              </w:r>
            </w:hyperlink>
          </w:p>
        </w:tc>
      </w:tr>
      <w:tr w:rsidR="00C1548D" w14:paraId="70A516C3"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0" w14:textId="77777777" w:rsidR="00C1548D" w:rsidRDefault="009B1B4B">
            <w:pPr>
              <w:spacing w:line="250" w:lineRule="auto"/>
            </w:pPr>
            <w:r>
              <w:rPr>
                <w:sz w:val="18"/>
                <w:szCs w:val="18"/>
              </w:rPr>
              <w:t>bfaa.diplo.de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1" w14:textId="77777777" w:rsidR="00C1548D" w:rsidRDefault="009B1B4B">
            <w:pPr>
              <w:spacing w:line="250" w:lineRule="auto"/>
            </w:pPr>
            <w:r>
              <w:rPr>
                <w:sz w:val="18"/>
                <w:szCs w:val="18"/>
              </w:rPr>
              <w:t>Apostillen für Bundesbehörden</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2" w14:textId="533456DF" w:rsidR="00C1548D" w:rsidRDefault="009B1B4B">
            <w:pPr>
              <w:spacing w:line="250" w:lineRule="auto"/>
            </w:pPr>
            <w:r>
              <w:rPr>
                <w:sz w:val="18"/>
                <w:szCs w:val="18"/>
              </w:rPr>
              <w:t>Kapitel </w:t>
            </w:r>
            <w:hyperlink w:anchor="k19" w:history="1">
              <w:r>
                <w:rPr>
                  <w:sz w:val="18"/>
                  <w:szCs w:val="18"/>
                </w:rPr>
                <w:t>19</w:t>
              </w:r>
            </w:hyperlink>
          </w:p>
        </w:tc>
      </w:tr>
      <w:tr w:rsidR="00C1548D" w14:paraId="70A516C7"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4" w14:textId="77777777" w:rsidR="00C1548D" w:rsidRDefault="009B1B4B">
            <w:pPr>
              <w:spacing w:line="250" w:lineRule="auto"/>
            </w:pPr>
            <w:r>
              <w:rPr>
                <w:sz w:val="18"/>
                <w:szCs w:val="18"/>
              </w:rPr>
              <w:t>bundesjustizamt.de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5" w14:textId="77777777" w:rsidR="00C1548D" w:rsidRDefault="009B1B4B">
            <w:pPr>
              <w:spacing w:line="250" w:lineRule="auto"/>
            </w:pPr>
            <w:r>
              <w:rPr>
                <w:sz w:val="18"/>
                <w:szCs w:val="18"/>
              </w:rPr>
              <w:t>Führungszeugnis, Antrag aus dem Ausland</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6" w14:textId="7E52CCB4" w:rsidR="00C1548D" w:rsidRDefault="009B1B4B">
            <w:pPr>
              <w:spacing w:line="250" w:lineRule="auto"/>
            </w:pPr>
            <w:r>
              <w:rPr>
                <w:sz w:val="18"/>
                <w:szCs w:val="18"/>
              </w:rPr>
              <w:t>Kapitel </w:t>
            </w:r>
            <w:hyperlink w:anchor="k19" w:history="1">
              <w:r>
                <w:rPr>
                  <w:sz w:val="18"/>
                  <w:szCs w:val="18"/>
                </w:rPr>
                <w:t>19</w:t>
              </w:r>
            </w:hyperlink>
          </w:p>
        </w:tc>
      </w:tr>
      <w:tr w:rsidR="00C1548D" w14:paraId="70A516CB"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8" w14:textId="77777777" w:rsidR="00C1548D" w:rsidRDefault="009B1B4B">
            <w:pPr>
              <w:spacing w:line="250" w:lineRule="auto"/>
            </w:pPr>
            <w:r>
              <w:rPr>
                <w:sz w:val="18"/>
                <w:szCs w:val="18"/>
              </w:rPr>
              <w:t>zoll.de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9" w14:textId="77777777" w:rsidR="00C1548D" w:rsidRDefault="009B1B4B">
            <w:pPr>
              <w:spacing w:line="250" w:lineRule="auto"/>
            </w:pPr>
            <w:r>
              <w:rPr>
                <w:sz w:val="18"/>
                <w:szCs w:val="18"/>
              </w:rPr>
              <w:t>Bargeld und Ausfuhr, Umzugsgut, Heimtiere, Übersiedlungsgut</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A" w14:textId="1FCB7B00" w:rsidR="00C1548D" w:rsidRDefault="009B1B4B">
            <w:pPr>
              <w:spacing w:line="250" w:lineRule="auto"/>
            </w:pPr>
            <w:r>
              <w:rPr>
                <w:sz w:val="18"/>
                <w:szCs w:val="18"/>
              </w:rPr>
              <w:t>Kapitel </w:t>
            </w:r>
            <w:hyperlink w:anchor="k20" w:history="1">
              <w:r>
                <w:rPr>
                  <w:sz w:val="18"/>
                  <w:szCs w:val="18"/>
                </w:rPr>
                <w:t>20</w:t>
              </w:r>
            </w:hyperlink>
            <w:r>
              <w:rPr>
                <w:sz w:val="18"/>
                <w:szCs w:val="18"/>
              </w:rPr>
              <w:t xml:space="preserve">, </w:t>
            </w:r>
            <w:hyperlink w:anchor="k21" w:history="1">
              <w:r>
                <w:rPr>
                  <w:sz w:val="18"/>
                  <w:szCs w:val="18"/>
                </w:rPr>
                <w:t>21</w:t>
              </w:r>
            </w:hyperlink>
            <w:r>
              <w:rPr>
                <w:sz w:val="18"/>
                <w:szCs w:val="18"/>
              </w:rPr>
              <w:t xml:space="preserve">, </w:t>
            </w:r>
            <w:hyperlink w:anchor="k22" w:history="1">
              <w:r>
                <w:rPr>
                  <w:sz w:val="18"/>
                  <w:szCs w:val="18"/>
                </w:rPr>
                <w:t>22</w:t>
              </w:r>
            </w:hyperlink>
            <w:r>
              <w:rPr>
                <w:sz w:val="18"/>
                <w:szCs w:val="18"/>
              </w:rPr>
              <w:t xml:space="preserve">, </w:t>
            </w:r>
            <w:hyperlink w:anchor="k42" w:history="1">
              <w:r>
                <w:rPr>
                  <w:sz w:val="18"/>
                  <w:szCs w:val="18"/>
                </w:rPr>
                <w:t>42</w:t>
              </w:r>
            </w:hyperlink>
          </w:p>
        </w:tc>
      </w:tr>
      <w:tr w:rsidR="00C1548D" w14:paraId="70A516CF"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C" w14:textId="77777777" w:rsidR="00C1548D" w:rsidRDefault="009B1B4B">
            <w:pPr>
              <w:spacing w:line="250" w:lineRule="auto"/>
            </w:pPr>
            <w:r>
              <w:rPr>
                <w:sz w:val="18"/>
                <w:szCs w:val="18"/>
              </w:rPr>
              <w:t>destatis.de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D" w14:textId="77777777" w:rsidR="00C1548D" w:rsidRDefault="009B1B4B">
            <w:pPr>
              <w:spacing w:line="250" w:lineRule="auto"/>
            </w:pPr>
            <w:r>
              <w:rPr>
                <w:sz w:val="18"/>
                <w:szCs w:val="18"/>
              </w:rPr>
              <w:t>Statistisches Bundesamt, Wohnen und Mieten in Deutschland</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CE" w14:textId="48C0BE65" w:rsidR="00C1548D" w:rsidRDefault="009B1B4B">
            <w:pPr>
              <w:spacing w:line="250" w:lineRule="auto"/>
            </w:pPr>
            <w:r>
              <w:rPr>
                <w:sz w:val="18"/>
                <w:szCs w:val="18"/>
              </w:rPr>
              <w:t>Kapitel </w:t>
            </w:r>
            <w:hyperlink w:anchor="k3" w:history="1">
              <w:r>
                <w:rPr>
                  <w:sz w:val="18"/>
                  <w:szCs w:val="18"/>
                </w:rPr>
                <w:t>3</w:t>
              </w:r>
            </w:hyperlink>
          </w:p>
        </w:tc>
      </w:tr>
      <w:tr w:rsidR="00C1548D" w14:paraId="70A516D3"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D0" w14:textId="77777777" w:rsidR="00C1548D" w:rsidRDefault="009B1B4B">
            <w:pPr>
              <w:spacing w:line="250" w:lineRule="auto"/>
            </w:pPr>
            <w:r>
              <w:rPr>
                <w:sz w:val="18"/>
                <w:szCs w:val="18"/>
              </w:rPr>
              <w:t>bva.bund.de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D1" w14:textId="77777777" w:rsidR="00C1548D" w:rsidRDefault="009B1B4B">
            <w:pPr>
              <w:spacing w:line="250" w:lineRule="auto"/>
            </w:pPr>
            <w:r>
              <w:rPr>
                <w:sz w:val="18"/>
                <w:szCs w:val="18"/>
              </w:rPr>
              <w:t>Bundesverwaltungsamt, Mehrstaatigkeit und Beibehaltung</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D2" w14:textId="4996C9D8" w:rsidR="00C1548D" w:rsidRDefault="009B1B4B">
            <w:pPr>
              <w:spacing w:line="250" w:lineRule="auto"/>
            </w:pPr>
            <w:r>
              <w:rPr>
                <w:sz w:val="18"/>
                <w:szCs w:val="18"/>
              </w:rPr>
              <w:t>Kapitel </w:t>
            </w:r>
            <w:hyperlink w:anchor="k41" w:history="1">
              <w:r>
                <w:rPr>
                  <w:sz w:val="18"/>
                  <w:szCs w:val="18"/>
                </w:rPr>
                <w:t>41</w:t>
              </w:r>
            </w:hyperlink>
          </w:p>
        </w:tc>
      </w:tr>
      <w:tr w:rsidR="00C1548D" w14:paraId="70A516D7"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D4" w14:textId="77777777" w:rsidR="00C1548D" w:rsidRDefault="009B1B4B">
            <w:pPr>
              <w:spacing w:line="250" w:lineRule="auto"/>
            </w:pPr>
            <w:r>
              <w:rPr>
                <w:sz w:val="18"/>
                <w:szCs w:val="18"/>
              </w:rPr>
              <w:t>bundeswahlleiterin.de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D5" w14:textId="77777777" w:rsidR="00C1548D" w:rsidRDefault="009B1B4B">
            <w:pPr>
              <w:spacing w:line="250" w:lineRule="auto"/>
            </w:pPr>
            <w:r>
              <w:rPr>
                <w:sz w:val="18"/>
                <w:szCs w:val="18"/>
              </w:rPr>
              <w:t>Wählen aus dem Ausland</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D6" w14:textId="435C5D53" w:rsidR="00C1548D" w:rsidRDefault="009B1B4B">
            <w:pPr>
              <w:spacing w:line="250" w:lineRule="auto"/>
            </w:pPr>
            <w:r>
              <w:rPr>
                <w:sz w:val="18"/>
                <w:szCs w:val="18"/>
              </w:rPr>
              <w:t>Kapitel </w:t>
            </w:r>
            <w:hyperlink w:anchor="k41" w:history="1">
              <w:r>
                <w:rPr>
                  <w:sz w:val="18"/>
                  <w:szCs w:val="18"/>
                </w:rPr>
                <w:t>41</w:t>
              </w:r>
            </w:hyperlink>
          </w:p>
        </w:tc>
      </w:tr>
      <w:tr w:rsidR="00C1548D" w14:paraId="70A516DB" w14:textId="77777777">
        <w:tblPrEx>
          <w:tblCellMar>
            <w:top w:w="0" w:type="dxa"/>
            <w:bottom w:w="0" w:type="dxa"/>
          </w:tblCellMar>
        </w:tblPrEx>
        <w:trPr>
          <w:cantSplit/>
        </w:trPr>
        <w:tc>
          <w:tcPr>
            <w:tcW w:w="17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D8" w14:textId="77777777" w:rsidR="00C1548D" w:rsidRDefault="009B1B4B">
            <w:pPr>
              <w:spacing w:line="250" w:lineRule="auto"/>
            </w:pPr>
            <w:r>
              <w:rPr>
                <w:sz w:val="18"/>
                <w:szCs w:val="18"/>
              </w:rPr>
              <w:t>auslandsschulwesen.de</w:t>
            </w:r>
          </w:p>
        </w:tc>
        <w:tc>
          <w:tcPr>
            <w:tcW w:w="327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D9" w14:textId="77777777" w:rsidR="00C1548D" w:rsidRDefault="009B1B4B">
            <w:pPr>
              <w:spacing w:line="250" w:lineRule="auto"/>
            </w:pPr>
            <w:r>
              <w:rPr>
                <w:sz w:val="18"/>
                <w:szCs w:val="18"/>
              </w:rPr>
              <w:t>Zentralstelle für das Auslandsschulwesen, deutsche Schulen im Ausland</w:t>
            </w:r>
          </w:p>
        </w:tc>
        <w:tc>
          <w:tcPr>
            <w:tcW w:w="14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DA" w14:textId="2D57B593" w:rsidR="00C1548D" w:rsidRDefault="009B1B4B">
            <w:pPr>
              <w:spacing w:line="250" w:lineRule="auto"/>
            </w:pPr>
            <w:r>
              <w:rPr>
                <w:sz w:val="18"/>
                <w:szCs w:val="18"/>
              </w:rPr>
              <w:t>Kapitel </w:t>
            </w:r>
            <w:hyperlink w:anchor="k36" w:history="1">
              <w:r>
                <w:rPr>
                  <w:sz w:val="18"/>
                  <w:szCs w:val="18"/>
                </w:rPr>
                <w:t>36</w:t>
              </w:r>
            </w:hyperlink>
          </w:p>
        </w:tc>
      </w:tr>
    </w:tbl>
    <w:p w14:paraId="70A516DC" w14:textId="77777777" w:rsidR="00C1548D" w:rsidRDefault="00C1548D">
      <w:pPr>
        <w:spacing w:line="180" w:lineRule="exact"/>
      </w:pPr>
    </w:p>
    <w:p w14:paraId="70A516DD" w14:textId="77777777" w:rsidR="00C1548D" w:rsidRDefault="009B1B4B">
      <w:pPr>
        <w:pStyle w:val="Heading3"/>
        <w:keepNext/>
        <w:jc w:val="center"/>
      </w:pPr>
      <w:r>
        <w:rPr>
          <w:rFonts w:ascii="Amazon Ember" w:eastAsia="Amazon Ember" w:hAnsi="Amazon Ember" w:cs="Amazon Ember"/>
          <w:color w:val="0000FF"/>
          <w:sz w:val="36"/>
          <w:szCs w:val="36"/>
        </w:rPr>
        <w:t>Deutsche Auslandsvertretungen in den USA</w:t>
      </w:r>
    </w:p>
    <w:p w14:paraId="70A516DE" w14:textId="77777777" w:rsidR="00C1548D" w:rsidRDefault="009B1B4B">
      <w:pPr>
        <w:spacing w:after="140"/>
      </w:pPr>
      <w:r>
        <w:t>Die deutsche Botschaft sitzt in Washington, D. C.; für die übrigen Bundesstaaten sind mehrere Generalkonsulate zuständig. germany.info führt zur zuständigen Vertretung und bündelt Formulare und Terminbuchung.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2"/>
        <w:gridCol w:w="3250"/>
        <w:gridCol w:w="988"/>
      </w:tblGrid>
      <w:tr w:rsidR="00C1548D" w14:paraId="70A516E2" w14:textId="77777777">
        <w:tblPrEx>
          <w:tblCellMar>
            <w:top w:w="0" w:type="dxa"/>
            <w:bottom w:w="0" w:type="dxa"/>
          </w:tblCellMar>
        </w:tblPrEx>
        <w:trPr>
          <w:cantSplit/>
          <w:tblHeader/>
        </w:trPr>
        <w:tc>
          <w:tcPr>
            <w:tcW w:w="224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DF" w14:textId="77777777" w:rsidR="00C1548D" w:rsidRDefault="009B1B4B">
            <w:pPr>
              <w:spacing w:line="250" w:lineRule="auto"/>
            </w:pPr>
            <w:r>
              <w:rPr>
                <w:b/>
                <w:bCs/>
                <w:sz w:val="18"/>
                <w:szCs w:val="18"/>
              </w:rPr>
              <w:t>Adresse</w:t>
            </w:r>
          </w:p>
        </w:tc>
        <w:tc>
          <w:tcPr>
            <w:tcW w:w="32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E0" w14:textId="77777777" w:rsidR="00C1548D" w:rsidRDefault="009B1B4B">
            <w:pPr>
              <w:spacing w:line="250" w:lineRule="auto"/>
            </w:pPr>
            <w:r>
              <w:rPr>
                <w:b/>
                <w:bCs/>
                <w:sz w:val="18"/>
                <w:szCs w:val="18"/>
              </w:rPr>
              <w:t>Leistung</w:t>
            </w:r>
          </w:p>
        </w:tc>
        <w:tc>
          <w:tcPr>
            <w:tcW w:w="98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E1" w14:textId="77777777" w:rsidR="00C1548D" w:rsidRDefault="009B1B4B">
            <w:pPr>
              <w:spacing w:line="250" w:lineRule="auto"/>
            </w:pPr>
            <w:r>
              <w:rPr>
                <w:b/>
                <w:bCs/>
                <w:sz w:val="18"/>
                <w:szCs w:val="18"/>
              </w:rPr>
              <w:t>Kapitel</w:t>
            </w:r>
          </w:p>
        </w:tc>
      </w:tr>
      <w:tr w:rsidR="00C1548D" w14:paraId="70A516E6" w14:textId="77777777">
        <w:tblPrEx>
          <w:tblCellMar>
            <w:top w:w="0" w:type="dxa"/>
            <w:bottom w:w="0" w:type="dxa"/>
          </w:tblCellMar>
        </w:tblPrEx>
        <w:trPr>
          <w:cantSplit/>
        </w:trPr>
        <w:tc>
          <w:tcPr>
            <w:tcW w:w="22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E3" w14:textId="77777777" w:rsidR="00C1548D" w:rsidRDefault="009B1B4B">
            <w:pPr>
              <w:spacing w:line="250" w:lineRule="auto"/>
            </w:pPr>
            <w:r>
              <w:rPr>
                <w:sz w:val="18"/>
                <w:szCs w:val="18"/>
              </w:rPr>
              <w:t>germany.info</w:t>
            </w:r>
          </w:p>
        </w:tc>
        <w:tc>
          <w:tcPr>
            <w:tcW w:w="32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E4" w14:textId="77777777" w:rsidR="00C1548D" w:rsidRDefault="009B1B4B">
            <w:pPr>
              <w:spacing w:line="250" w:lineRule="auto"/>
            </w:pPr>
            <w:r>
              <w:rPr>
                <w:sz w:val="18"/>
                <w:szCs w:val="18"/>
              </w:rPr>
              <w:t>Auslandsvertretungen weltweit finden, Startseite</w:t>
            </w:r>
          </w:p>
        </w:tc>
        <w:tc>
          <w:tcPr>
            <w:tcW w:w="9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E5" w14:textId="2C7048F8" w:rsidR="00C1548D" w:rsidRDefault="009B1B4B">
            <w:pPr>
              <w:spacing w:line="250" w:lineRule="auto"/>
            </w:pPr>
            <w:r>
              <w:rPr>
                <w:sz w:val="18"/>
                <w:szCs w:val="18"/>
              </w:rPr>
              <w:t>Kapitel </w:t>
            </w:r>
            <w:hyperlink w:anchor="k23" w:history="1">
              <w:r>
                <w:rPr>
                  <w:sz w:val="18"/>
                  <w:szCs w:val="18"/>
                </w:rPr>
                <w:t>23</w:t>
              </w:r>
            </w:hyperlink>
            <w:r>
              <w:rPr>
                <w:sz w:val="18"/>
                <w:szCs w:val="18"/>
              </w:rPr>
              <w:t xml:space="preserve">, </w:t>
            </w:r>
            <w:hyperlink w:anchor="k38" w:history="1">
              <w:r>
                <w:rPr>
                  <w:sz w:val="18"/>
                  <w:szCs w:val="18"/>
                </w:rPr>
                <w:t>38</w:t>
              </w:r>
            </w:hyperlink>
          </w:p>
        </w:tc>
      </w:tr>
      <w:tr w:rsidR="00C1548D" w14:paraId="70A516EA" w14:textId="77777777">
        <w:tblPrEx>
          <w:tblCellMar>
            <w:top w:w="0" w:type="dxa"/>
            <w:bottom w:w="0" w:type="dxa"/>
          </w:tblCellMar>
        </w:tblPrEx>
        <w:trPr>
          <w:cantSplit/>
        </w:trPr>
        <w:tc>
          <w:tcPr>
            <w:tcW w:w="22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E7" w14:textId="77777777" w:rsidR="00C1548D" w:rsidRDefault="009B1B4B">
            <w:pPr>
              <w:spacing w:line="250" w:lineRule="auto"/>
            </w:pPr>
            <w:r>
              <w:rPr>
                <w:sz w:val="18"/>
                <w:szCs w:val="18"/>
              </w:rPr>
              <w:lastRenderedPageBreak/>
              <w:t>germany.info/us-en/service (auch /us-de/service)</w:t>
            </w:r>
          </w:p>
        </w:tc>
        <w:tc>
          <w:tcPr>
            <w:tcW w:w="32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E8" w14:textId="77777777" w:rsidR="00C1548D" w:rsidRDefault="009B1B4B">
            <w:pPr>
              <w:spacing w:line="250" w:lineRule="auto"/>
            </w:pPr>
            <w:r>
              <w:rPr>
                <w:sz w:val="18"/>
                <w:szCs w:val="18"/>
              </w:rPr>
              <w:t>Beglaubigungen, Pässe, Führungszeugnis, Staatsangehörigkeit, Wahlen</w:t>
            </w:r>
          </w:p>
        </w:tc>
        <w:tc>
          <w:tcPr>
            <w:tcW w:w="9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E9" w14:textId="26F6BFF3" w:rsidR="00C1548D" w:rsidRDefault="009B1B4B">
            <w:pPr>
              <w:spacing w:line="250" w:lineRule="auto"/>
            </w:pPr>
            <w:r>
              <w:rPr>
                <w:sz w:val="18"/>
                <w:szCs w:val="18"/>
              </w:rPr>
              <w:t>Kapitel </w:t>
            </w:r>
            <w:hyperlink w:anchor="k16" w:history="1">
              <w:r>
                <w:rPr>
                  <w:sz w:val="18"/>
                  <w:szCs w:val="18"/>
                </w:rPr>
                <w:t>16</w:t>
              </w:r>
            </w:hyperlink>
            <w:r>
              <w:rPr>
                <w:sz w:val="18"/>
                <w:szCs w:val="18"/>
              </w:rPr>
              <w:t xml:space="preserve">, </w:t>
            </w:r>
            <w:hyperlink w:anchor="k19" w:history="1">
              <w:r>
                <w:rPr>
                  <w:sz w:val="18"/>
                  <w:szCs w:val="18"/>
                </w:rPr>
                <w:t>19</w:t>
              </w:r>
            </w:hyperlink>
            <w:r>
              <w:rPr>
                <w:sz w:val="18"/>
                <w:szCs w:val="18"/>
              </w:rPr>
              <w:t xml:space="preserve">, </w:t>
            </w:r>
            <w:hyperlink w:anchor="k41" w:history="1">
              <w:r>
                <w:rPr>
                  <w:sz w:val="18"/>
                  <w:szCs w:val="18"/>
                </w:rPr>
                <w:t>41</w:t>
              </w:r>
            </w:hyperlink>
          </w:p>
        </w:tc>
      </w:tr>
      <w:tr w:rsidR="00C1548D" w14:paraId="70A516EE" w14:textId="77777777">
        <w:tblPrEx>
          <w:tblCellMar>
            <w:top w:w="0" w:type="dxa"/>
            <w:bottom w:w="0" w:type="dxa"/>
          </w:tblCellMar>
        </w:tblPrEx>
        <w:trPr>
          <w:cantSplit/>
        </w:trPr>
        <w:tc>
          <w:tcPr>
            <w:tcW w:w="22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EB" w14:textId="77777777" w:rsidR="00C1548D" w:rsidRDefault="009B1B4B">
            <w:pPr>
              <w:spacing w:line="250" w:lineRule="auto"/>
            </w:pPr>
            <w:r>
              <w:rPr>
                <w:sz w:val="18"/>
                <w:szCs w:val="18"/>
              </w:rPr>
              <w:t>germany.info/us-de/service/hilfe</w:t>
            </w:r>
          </w:p>
        </w:tc>
        <w:tc>
          <w:tcPr>
            <w:tcW w:w="32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EC" w14:textId="77777777" w:rsidR="00C1548D" w:rsidRDefault="009B1B4B">
            <w:pPr>
              <w:spacing w:line="250" w:lineRule="auto"/>
            </w:pPr>
            <w:r>
              <w:rPr>
                <w:sz w:val="18"/>
                <w:szCs w:val="18"/>
              </w:rPr>
              <w:t>Nothilfe für Deutsche in den USA</w:t>
            </w:r>
          </w:p>
        </w:tc>
        <w:tc>
          <w:tcPr>
            <w:tcW w:w="98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ED" w14:textId="0F8EBE6B" w:rsidR="00C1548D" w:rsidRDefault="009B1B4B">
            <w:pPr>
              <w:spacing w:line="250" w:lineRule="auto"/>
            </w:pPr>
            <w:r>
              <w:rPr>
                <w:sz w:val="18"/>
                <w:szCs w:val="18"/>
              </w:rPr>
              <w:t>Kapitel </w:t>
            </w:r>
            <w:hyperlink w:anchor="k40" w:history="1">
              <w:r>
                <w:rPr>
                  <w:sz w:val="18"/>
                  <w:szCs w:val="18"/>
                </w:rPr>
                <w:t>40</w:t>
              </w:r>
            </w:hyperlink>
          </w:p>
        </w:tc>
      </w:tr>
    </w:tbl>
    <w:p w14:paraId="70A516EF" w14:textId="77777777" w:rsidR="00C1548D" w:rsidRDefault="00C1548D">
      <w:pPr>
        <w:spacing w:line="180" w:lineRule="exact"/>
      </w:pPr>
    </w:p>
    <w:p w14:paraId="70A516F0" w14:textId="77777777" w:rsidR="00C1548D" w:rsidRDefault="009B1B4B">
      <w:pPr>
        <w:pStyle w:val="Heading3"/>
        <w:keepNext/>
        <w:jc w:val="center"/>
      </w:pPr>
      <w:r>
        <w:rPr>
          <w:rFonts w:ascii="Amazon Ember" w:eastAsia="Amazon Ember" w:hAnsi="Amazon Ember" w:cs="Amazon Ember"/>
          <w:color w:val="0000FF"/>
          <w:sz w:val="36"/>
          <w:szCs w:val="36"/>
        </w:rPr>
        <w:t>Sonstige nützliche Adressen</w:t>
      </w:r>
    </w:p>
    <w:p w14:paraId="70A516F1" w14:textId="77777777" w:rsidR="00C1548D" w:rsidRDefault="009B1B4B">
      <w:pPr>
        <w:pStyle w:val="Heading4"/>
        <w:keepNext/>
        <w:jc w:val="center"/>
      </w:pPr>
      <w:r>
        <w:rPr>
          <w:rFonts w:ascii="Amazon Ember" w:eastAsia="Amazon Ember" w:hAnsi="Amazon Ember" w:cs="Amazon Ember"/>
          <w:color w:val="0000FF"/>
          <w:sz w:val="36"/>
          <w:szCs w:val="36"/>
        </w:rPr>
        <w:t>Statistik, Verbraucherschutz und Betrug melden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51"/>
        <w:gridCol w:w="2752"/>
        <w:gridCol w:w="977"/>
      </w:tblGrid>
      <w:tr w:rsidR="00C1548D" w14:paraId="70A516F5" w14:textId="77777777">
        <w:tblPrEx>
          <w:tblCellMar>
            <w:top w:w="0" w:type="dxa"/>
            <w:bottom w:w="0" w:type="dxa"/>
          </w:tblCellMar>
        </w:tblPrEx>
        <w:trPr>
          <w:cantSplit/>
          <w:tblHeader/>
        </w:trPr>
        <w:tc>
          <w:tcPr>
            <w:tcW w:w="275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F2" w14:textId="77777777" w:rsidR="00C1548D" w:rsidRDefault="009B1B4B">
            <w:pPr>
              <w:spacing w:line="250" w:lineRule="auto"/>
            </w:pPr>
            <w:r>
              <w:rPr>
                <w:b/>
                <w:bCs/>
                <w:sz w:val="18"/>
                <w:szCs w:val="18"/>
              </w:rPr>
              <w:t>Adresse</w:t>
            </w:r>
          </w:p>
        </w:tc>
        <w:tc>
          <w:tcPr>
            <w:tcW w:w="27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F3" w14:textId="77777777" w:rsidR="00C1548D" w:rsidRDefault="009B1B4B">
            <w:pPr>
              <w:spacing w:line="250" w:lineRule="auto"/>
            </w:pPr>
            <w:r>
              <w:rPr>
                <w:b/>
                <w:bCs/>
                <w:sz w:val="18"/>
                <w:szCs w:val="18"/>
              </w:rPr>
              <w:t>Behörde / Thema</w:t>
            </w:r>
          </w:p>
        </w:tc>
        <w:tc>
          <w:tcPr>
            <w:tcW w:w="9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6F4" w14:textId="77777777" w:rsidR="00C1548D" w:rsidRDefault="009B1B4B">
            <w:pPr>
              <w:spacing w:line="250" w:lineRule="auto"/>
            </w:pPr>
            <w:r>
              <w:rPr>
                <w:b/>
                <w:bCs/>
                <w:sz w:val="18"/>
                <w:szCs w:val="18"/>
              </w:rPr>
              <w:t>Kapitel</w:t>
            </w:r>
          </w:p>
        </w:tc>
      </w:tr>
      <w:tr w:rsidR="00C1548D" w14:paraId="70A516F9" w14:textId="77777777">
        <w:tblPrEx>
          <w:tblCellMar>
            <w:top w:w="0" w:type="dxa"/>
            <w:bottom w:w="0" w:type="dxa"/>
          </w:tblCellMar>
        </w:tblPrEx>
        <w:trPr>
          <w:cantSplit/>
        </w:trPr>
        <w:tc>
          <w:tcPr>
            <w:tcW w:w="27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F6" w14:textId="77777777" w:rsidR="00C1548D" w:rsidRDefault="009B1B4B">
            <w:pPr>
              <w:spacing w:line="250" w:lineRule="auto"/>
            </w:pPr>
            <w:r>
              <w:rPr>
                <w:sz w:val="18"/>
                <w:szCs w:val="18"/>
              </w:rPr>
              <w:t>data.worldbank.org (Suche „intentional homicides“)</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F7" w14:textId="77777777" w:rsidR="00C1548D" w:rsidRDefault="009B1B4B">
            <w:pPr>
              <w:spacing w:line="250" w:lineRule="auto"/>
            </w:pPr>
            <w:r>
              <w:rPr>
                <w:sz w:val="18"/>
                <w:szCs w:val="18"/>
              </w:rPr>
              <w:t>Kriminalstatistik im Ländervergleich (Weltbank/UNODC)</w:t>
            </w:r>
          </w:p>
        </w:tc>
        <w:tc>
          <w:tcPr>
            <w:tcW w:w="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F8" w14:textId="15D10ABA" w:rsidR="00C1548D" w:rsidRDefault="009B1B4B">
            <w:pPr>
              <w:spacing w:line="250" w:lineRule="auto"/>
            </w:pPr>
            <w:r>
              <w:rPr>
                <w:sz w:val="18"/>
                <w:szCs w:val="18"/>
              </w:rPr>
              <w:t>Kapitel </w:t>
            </w:r>
            <w:hyperlink w:anchor="k1" w:history="1">
              <w:r>
                <w:rPr>
                  <w:sz w:val="18"/>
                  <w:szCs w:val="18"/>
                </w:rPr>
                <w:t>1</w:t>
              </w:r>
            </w:hyperlink>
          </w:p>
        </w:tc>
      </w:tr>
      <w:tr w:rsidR="00C1548D" w14:paraId="70A516FD" w14:textId="77777777">
        <w:tblPrEx>
          <w:tblCellMar>
            <w:top w:w="0" w:type="dxa"/>
            <w:bottom w:w="0" w:type="dxa"/>
          </w:tblCellMar>
        </w:tblPrEx>
        <w:trPr>
          <w:cantSplit/>
        </w:trPr>
        <w:tc>
          <w:tcPr>
            <w:tcW w:w="27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FA" w14:textId="77777777" w:rsidR="00C1548D" w:rsidRDefault="009B1B4B">
            <w:pPr>
              <w:spacing w:line="250" w:lineRule="auto"/>
            </w:pPr>
            <w:r>
              <w:rPr>
                <w:sz w:val="18"/>
                <w:szCs w:val="18"/>
              </w:rPr>
              <w:t>bls.gov/oes</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FB" w14:textId="77777777" w:rsidR="00C1548D" w:rsidRDefault="009B1B4B">
            <w:pPr>
              <w:spacing w:line="250" w:lineRule="auto"/>
            </w:pPr>
            <w:r>
              <w:rPr>
                <w:sz w:val="18"/>
                <w:szCs w:val="18"/>
              </w:rPr>
              <w:t>Gehälter und Berufsausblick</w:t>
            </w:r>
          </w:p>
        </w:tc>
        <w:tc>
          <w:tcPr>
            <w:tcW w:w="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FC" w14:textId="5295E90A" w:rsidR="00C1548D" w:rsidRDefault="009B1B4B">
            <w:pPr>
              <w:spacing w:line="250" w:lineRule="auto"/>
            </w:pPr>
            <w:r>
              <w:rPr>
                <w:sz w:val="18"/>
                <w:szCs w:val="18"/>
              </w:rPr>
              <w:t>Kapitel </w:t>
            </w:r>
            <w:hyperlink w:anchor="k1" w:history="1">
              <w:r>
                <w:rPr>
                  <w:sz w:val="18"/>
                  <w:szCs w:val="18"/>
                </w:rPr>
                <w:t>1</w:t>
              </w:r>
            </w:hyperlink>
            <w:r>
              <w:rPr>
                <w:sz w:val="18"/>
                <w:szCs w:val="18"/>
              </w:rPr>
              <w:t xml:space="preserve">, </w:t>
            </w:r>
            <w:hyperlink w:anchor="k12" w:history="1">
              <w:r>
                <w:rPr>
                  <w:sz w:val="18"/>
                  <w:szCs w:val="18"/>
                </w:rPr>
                <w:t>12</w:t>
              </w:r>
            </w:hyperlink>
          </w:p>
        </w:tc>
      </w:tr>
      <w:tr w:rsidR="00C1548D" w14:paraId="70A51701" w14:textId="77777777">
        <w:tblPrEx>
          <w:tblCellMar>
            <w:top w:w="0" w:type="dxa"/>
            <w:bottom w:w="0" w:type="dxa"/>
          </w:tblCellMar>
        </w:tblPrEx>
        <w:trPr>
          <w:cantSplit/>
        </w:trPr>
        <w:tc>
          <w:tcPr>
            <w:tcW w:w="27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FE" w14:textId="77777777" w:rsidR="00C1548D" w:rsidRDefault="009B1B4B">
            <w:pPr>
              <w:spacing w:line="250" w:lineRule="auto"/>
            </w:pPr>
            <w:r>
              <w:rPr>
                <w:sz w:val="18"/>
                <w:szCs w:val="18"/>
              </w:rPr>
              <w:t>bls.gov/ebs</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6FF" w14:textId="77777777" w:rsidR="00C1548D" w:rsidRDefault="009B1B4B">
            <w:pPr>
              <w:spacing w:line="250" w:lineRule="auto"/>
            </w:pPr>
            <w:r>
              <w:rPr>
                <w:sz w:val="18"/>
                <w:szCs w:val="18"/>
              </w:rPr>
              <w:t>Urlaub, Krankheit, Altersvorsorge (Employee Benefits)</w:t>
            </w:r>
          </w:p>
        </w:tc>
        <w:tc>
          <w:tcPr>
            <w:tcW w:w="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0" w14:textId="6C191B91" w:rsidR="00C1548D" w:rsidRDefault="009B1B4B">
            <w:pPr>
              <w:spacing w:line="250" w:lineRule="auto"/>
            </w:pPr>
            <w:r>
              <w:rPr>
                <w:sz w:val="18"/>
                <w:szCs w:val="18"/>
              </w:rPr>
              <w:t>Kapitel </w:t>
            </w:r>
            <w:hyperlink w:anchor="k29" w:history="1">
              <w:r>
                <w:rPr>
                  <w:sz w:val="18"/>
                  <w:szCs w:val="18"/>
                </w:rPr>
                <w:t>29</w:t>
              </w:r>
            </w:hyperlink>
          </w:p>
        </w:tc>
      </w:tr>
      <w:tr w:rsidR="00C1548D" w14:paraId="70A51705" w14:textId="77777777">
        <w:tblPrEx>
          <w:tblCellMar>
            <w:top w:w="0" w:type="dxa"/>
            <w:bottom w:w="0" w:type="dxa"/>
          </w:tblCellMar>
        </w:tblPrEx>
        <w:trPr>
          <w:cantSplit/>
        </w:trPr>
        <w:tc>
          <w:tcPr>
            <w:tcW w:w="27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2" w14:textId="77777777" w:rsidR="00C1548D" w:rsidRDefault="009B1B4B">
            <w:pPr>
              <w:spacing w:line="250" w:lineRule="auto"/>
            </w:pPr>
            <w:r>
              <w:rPr>
                <w:sz w:val="18"/>
                <w:szCs w:val="18"/>
              </w:rPr>
              <w:t>bls.gov (Suche „average retail food and energy prices“)</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3" w14:textId="77777777" w:rsidR="00C1548D" w:rsidRDefault="009B1B4B">
            <w:pPr>
              <w:spacing w:line="250" w:lineRule="auto"/>
            </w:pPr>
            <w:r>
              <w:rPr>
                <w:sz w:val="18"/>
                <w:szCs w:val="18"/>
              </w:rPr>
              <w:t>Durchschnittspreise für Lebensmittel</w:t>
            </w:r>
          </w:p>
        </w:tc>
        <w:tc>
          <w:tcPr>
            <w:tcW w:w="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4" w14:textId="29C00913" w:rsidR="00C1548D" w:rsidRDefault="009B1B4B">
            <w:pPr>
              <w:spacing w:line="250" w:lineRule="auto"/>
            </w:pPr>
            <w:r>
              <w:rPr>
                <w:sz w:val="18"/>
                <w:szCs w:val="18"/>
              </w:rPr>
              <w:t>Kapitel </w:t>
            </w:r>
            <w:hyperlink w:anchor="k35" w:history="1">
              <w:r>
                <w:rPr>
                  <w:sz w:val="18"/>
                  <w:szCs w:val="18"/>
                </w:rPr>
                <w:t>35</w:t>
              </w:r>
            </w:hyperlink>
          </w:p>
        </w:tc>
      </w:tr>
      <w:tr w:rsidR="00C1548D" w14:paraId="70A51709" w14:textId="77777777">
        <w:tblPrEx>
          <w:tblCellMar>
            <w:top w:w="0" w:type="dxa"/>
            <w:bottom w:w="0" w:type="dxa"/>
          </w:tblCellMar>
        </w:tblPrEx>
        <w:trPr>
          <w:cantSplit/>
        </w:trPr>
        <w:tc>
          <w:tcPr>
            <w:tcW w:w="27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6" w14:textId="77777777" w:rsidR="00C1548D" w:rsidRDefault="009B1B4B">
            <w:pPr>
              <w:spacing w:line="250" w:lineRule="auto"/>
            </w:pPr>
            <w:r>
              <w:rPr>
                <w:sz w:val="18"/>
                <w:szCs w:val="18"/>
              </w:rPr>
              <w:t>census.gov (u. a. /topics/population/migration, /library/publications/2026/demo/p60-291.html)</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7" w14:textId="77777777" w:rsidR="00C1548D" w:rsidRDefault="009B1B4B">
            <w:pPr>
              <w:spacing w:line="250" w:lineRule="auto"/>
            </w:pPr>
            <w:r>
              <w:rPr>
                <w:sz w:val="18"/>
                <w:szCs w:val="18"/>
              </w:rPr>
              <w:t>Bevölkerungs-, Wanderungs- und Versichertenstatistik</w:t>
            </w:r>
          </w:p>
        </w:tc>
        <w:tc>
          <w:tcPr>
            <w:tcW w:w="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8" w14:textId="2D22F2F0" w:rsidR="00C1548D" w:rsidRDefault="009B1B4B">
            <w:pPr>
              <w:spacing w:line="250" w:lineRule="auto"/>
            </w:pPr>
            <w:r>
              <w:rPr>
                <w:sz w:val="18"/>
                <w:szCs w:val="18"/>
              </w:rPr>
              <w:t>Kapitel </w:t>
            </w:r>
            <w:hyperlink w:anchor="k12" w:history="1">
              <w:r>
                <w:rPr>
                  <w:sz w:val="18"/>
                  <w:szCs w:val="18"/>
                </w:rPr>
                <w:t>12</w:t>
              </w:r>
            </w:hyperlink>
            <w:r>
              <w:rPr>
                <w:sz w:val="18"/>
                <w:szCs w:val="18"/>
              </w:rPr>
              <w:t xml:space="preserve">, </w:t>
            </w:r>
            <w:hyperlink w:anchor="k26" w:history="1">
              <w:r>
                <w:rPr>
                  <w:sz w:val="18"/>
                  <w:szCs w:val="18"/>
                </w:rPr>
                <w:t>26</w:t>
              </w:r>
            </w:hyperlink>
            <w:r>
              <w:rPr>
                <w:sz w:val="18"/>
                <w:szCs w:val="18"/>
              </w:rPr>
              <w:t xml:space="preserve">, </w:t>
            </w:r>
            <w:hyperlink w:anchor="k32" w:history="1">
              <w:r>
                <w:rPr>
                  <w:sz w:val="18"/>
                  <w:szCs w:val="18"/>
                </w:rPr>
                <w:t>32</w:t>
              </w:r>
            </w:hyperlink>
          </w:p>
        </w:tc>
      </w:tr>
      <w:tr w:rsidR="00C1548D" w14:paraId="70A5170D" w14:textId="77777777">
        <w:tblPrEx>
          <w:tblCellMar>
            <w:top w:w="0" w:type="dxa"/>
            <w:bottom w:w="0" w:type="dxa"/>
          </w:tblCellMar>
        </w:tblPrEx>
        <w:trPr>
          <w:cantSplit/>
        </w:trPr>
        <w:tc>
          <w:tcPr>
            <w:tcW w:w="27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A" w14:textId="77777777" w:rsidR="00C1548D" w:rsidRDefault="009B1B4B">
            <w:pPr>
              <w:spacing w:line="250" w:lineRule="auto"/>
            </w:pPr>
            <w:r>
              <w:rPr>
                <w:sz w:val="18"/>
                <w:szCs w:val="18"/>
              </w:rPr>
              <w:t>ftc.gov</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B" w14:textId="77777777" w:rsidR="00C1548D" w:rsidRDefault="009B1B4B">
            <w:pPr>
              <w:spacing w:line="250" w:lineRule="auto"/>
            </w:pPr>
            <w:r>
              <w:rPr>
                <w:sz w:val="18"/>
                <w:szCs w:val="18"/>
              </w:rPr>
              <w:t>Wettbewerbsverbote (Suche: noncompete), versteckte Gebühren (Suche: unfair or deceptive fees), Pflegekennzeichnung Kleidung (Suche: care labeling rule)</w:t>
            </w:r>
          </w:p>
        </w:tc>
        <w:tc>
          <w:tcPr>
            <w:tcW w:w="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C" w14:textId="4B091D44" w:rsidR="00C1548D" w:rsidRDefault="009B1B4B">
            <w:pPr>
              <w:spacing w:line="250" w:lineRule="auto"/>
            </w:pPr>
            <w:r>
              <w:rPr>
                <w:sz w:val="18"/>
                <w:szCs w:val="18"/>
              </w:rPr>
              <w:t>Kapitel </w:t>
            </w:r>
            <w:hyperlink w:anchor="k29" w:history="1">
              <w:r>
                <w:rPr>
                  <w:sz w:val="18"/>
                  <w:szCs w:val="18"/>
                </w:rPr>
                <w:t>29</w:t>
              </w:r>
            </w:hyperlink>
            <w:r>
              <w:rPr>
                <w:sz w:val="18"/>
                <w:szCs w:val="18"/>
              </w:rPr>
              <w:t xml:space="preserve">, </w:t>
            </w:r>
            <w:hyperlink w:anchor="k31" w:history="1">
              <w:r>
                <w:rPr>
                  <w:sz w:val="18"/>
                  <w:szCs w:val="18"/>
                </w:rPr>
                <w:t>31</w:t>
              </w:r>
            </w:hyperlink>
            <w:r>
              <w:rPr>
                <w:sz w:val="18"/>
                <w:szCs w:val="18"/>
              </w:rPr>
              <w:t xml:space="preserve">, </w:t>
            </w:r>
            <w:hyperlink w:anchor="k34" w:history="1">
              <w:r>
                <w:rPr>
                  <w:sz w:val="18"/>
                  <w:szCs w:val="18"/>
                </w:rPr>
                <w:t>34</w:t>
              </w:r>
            </w:hyperlink>
          </w:p>
        </w:tc>
      </w:tr>
      <w:tr w:rsidR="00C1548D" w14:paraId="70A51711" w14:textId="77777777">
        <w:tblPrEx>
          <w:tblCellMar>
            <w:top w:w="0" w:type="dxa"/>
            <w:bottom w:w="0" w:type="dxa"/>
          </w:tblCellMar>
        </w:tblPrEx>
        <w:trPr>
          <w:cantSplit/>
        </w:trPr>
        <w:tc>
          <w:tcPr>
            <w:tcW w:w="27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E" w14:textId="77777777" w:rsidR="00C1548D" w:rsidRDefault="009B1B4B">
            <w:pPr>
              <w:spacing w:line="250" w:lineRule="auto"/>
            </w:pPr>
            <w:r>
              <w:rPr>
                <w:sz w:val="18"/>
                <w:szCs w:val="18"/>
              </w:rPr>
              <w:t>consumer.ftc.gov (auch /articles/what-know-about-credit-freezes-fraud-alerts)</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0F" w14:textId="77777777" w:rsidR="00C1548D" w:rsidRDefault="009B1B4B">
            <w:pPr>
              <w:spacing w:line="250" w:lineRule="auto"/>
            </w:pPr>
            <w:r>
              <w:rPr>
                <w:sz w:val="18"/>
                <w:szCs w:val="18"/>
              </w:rPr>
              <w:t>Mietbetrug-Warnungen, Credit Freeze und Fraud Alert</w:t>
            </w:r>
          </w:p>
        </w:tc>
        <w:tc>
          <w:tcPr>
            <w:tcW w:w="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10" w14:textId="44FF94DD" w:rsidR="00C1548D" w:rsidRDefault="009B1B4B">
            <w:pPr>
              <w:spacing w:line="250" w:lineRule="auto"/>
            </w:pPr>
            <w:r>
              <w:rPr>
                <w:sz w:val="18"/>
                <w:szCs w:val="18"/>
              </w:rPr>
              <w:t>Kapitel </w:t>
            </w:r>
            <w:hyperlink w:anchor="k13" w:history="1">
              <w:r>
                <w:rPr>
                  <w:sz w:val="18"/>
                  <w:szCs w:val="18"/>
                </w:rPr>
                <w:t>13</w:t>
              </w:r>
            </w:hyperlink>
            <w:r>
              <w:rPr>
                <w:sz w:val="18"/>
                <w:szCs w:val="18"/>
              </w:rPr>
              <w:t xml:space="preserve">, </w:t>
            </w:r>
            <w:hyperlink w:anchor="k24" w:history="1">
              <w:r>
                <w:rPr>
                  <w:sz w:val="18"/>
                  <w:szCs w:val="18"/>
                </w:rPr>
                <w:t>24</w:t>
              </w:r>
            </w:hyperlink>
            <w:r>
              <w:rPr>
                <w:sz w:val="18"/>
                <w:szCs w:val="18"/>
              </w:rPr>
              <w:t xml:space="preserve">, </w:t>
            </w:r>
            <w:hyperlink w:anchor="k25" w:history="1">
              <w:r>
                <w:rPr>
                  <w:sz w:val="18"/>
                  <w:szCs w:val="18"/>
                </w:rPr>
                <w:t>25</w:t>
              </w:r>
            </w:hyperlink>
          </w:p>
        </w:tc>
      </w:tr>
      <w:tr w:rsidR="00C1548D" w14:paraId="70A51715" w14:textId="77777777">
        <w:tblPrEx>
          <w:tblCellMar>
            <w:top w:w="0" w:type="dxa"/>
            <w:bottom w:w="0" w:type="dxa"/>
          </w:tblCellMar>
        </w:tblPrEx>
        <w:trPr>
          <w:cantSplit/>
        </w:trPr>
        <w:tc>
          <w:tcPr>
            <w:tcW w:w="27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12" w14:textId="77777777" w:rsidR="00C1548D" w:rsidRDefault="009B1B4B">
            <w:pPr>
              <w:spacing w:line="250" w:lineRule="auto"/>
            </w:pPr>
            <w:r>
              <w:rPr>
                <w:sz w:val="18"/>
                <w:szCs w:val="18"/>
              </w:rPr>
              <w:lastRenderedPageBreak/>
              <w:t>reportfraud.ftc.gov</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13" w14:textId="77777777" w:rsidR="00C1548D" w:rsidRDefault="009B1B4B">
            <w:pPr>
              <w:spacing w:line="250" w:lineRule="auto"/>
            </w:pPr>
            <w:r>
              <w:rPr>
                <w:sz w:val="18"/>
                <w:szCs w:val="18"/>
              </w:rPr>
              <w:t>Betrug bei der Bundesbehörde FTC melden</w:t>
            </w:r>
          </w:p>
        </w:tc>
        <w:tc>
          <w:tcPr>
            <w:tcW w:w="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14" w14:textId="38BBDFC4" w:rsidR="00C1548D" w:rsidRDefault="009B1B4B">
            <w:pPr>
              <w:spacing w:line="250" w:lineRule="auto"/>
            </w:pPr>
            <w:r>
              <w:rPr>
                <w:sz w:val="18"/>
                <w:szCs w:val="18"/>
              </w:rPr>
              <w:t>Kapitel </w:t>
            </w:r>
            <w:hyperlink w:anchor="k11" w:history="1">
              <w:r>
                <w:rPr>
                  <w:sz w:val="18"/>
                  <w:szCs w:val="18"/>
                </w:rPr>
                <w:t>11</w:t>
              </w:r>
            </w:hyperlink>
            <w:r>
              <w:rPr>
                <w:sz w:val="18"/>
                <w:szCs w:val="18"/>
              </w:rPr>
              <w:t xml:space="preserve">, </w:t>
            </w:r>
            <w:hyperlink w:anchor="k13" w:history="1">
              <w:r>
                <w:rPr>
                  <w:sz w:val="18"/>
                  <w:szCs w:val="18"/>
                </w:rPr>
                <w:t>13</w:t>
              </w:r>
            </w:hyperlink>
            <w:r>
              <w:rPr>
                <w:sz w:val="18"/>
                <w:szCs w:val="18"/>
              </w:rPr>
              <w:t xml:space="preserve">, </w:t>
            </w:r>
            <w:hyperlink w:anchor="k23" w:history="1">
              <w:r>
                <w:rPr>
                  <w:sz w:val="18"/>
                  <w:szCs w:val="18"/>
                </w:rPr>
                <w:t>23</w:t>
              </w:r>
            </w:hyperlink>
            <w:r>
              <w:rPr>
                <w:sz w:val="18"/>
                <w:szCs w:val="18"/>
              </w:rPr>
              <w:t xml:space="preserve">, </w:t>
            </w:r>
            <w:hyperlink w:anchor="k40" w:history="1">
              <w:r>
                <w:rPr>
                  <w:sz w:val="18"/>
                  <w:szCs w:val="18"/>
                </w:rPr>
                <w:t>40</w:t>
              </w:r>
            </w:hyperlink>
          </w:p>
        </w:tc>
      </w:tr>
      <w:tr w:rsidR="00C1548D" w14:paraId="70A51719" w14:textId="77777777">
        <w:tblPrEx>
          <w:tblCellMar>
            <w:top w:w="0" w:type="dxa"/>
            <w:bottom w:w="0" w:type="dxa"/>
          </w:tblCellMar>
        </w:tblPrEx>
        <w:trPr>
          <w:cantSplit/>
        </w:trPr>
        <w:tc>
          <w:tcPr>
            <w:tcW w:w="27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16" w14:textId="77777777" w:rsidR="00C1548D" w:rsidRDefault="009B1B4B">
            <w:pPr>
              <w:spacing w:line="250" w:lineRule="auto"/>
            </w:pPr>
            <w:r>
              <w:rPr>
                <w:sz w:val="18"/>
                <w:szCs w:val="18"/>
              </w:rPr>
              <w:t>identitytheft.gov</w:t>
            </w:r>
          </w:p>
        </w:tc>
        <w:tc>
          <w:tcPr>
            <w:tcW w:w="27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17" w14:textId="77777777" w:rsidR="00C1548D" w:rsidRDefault="009B1B4B">
            <w:pPr>
              <w:spacing w:line="250" w:lineRule="auto"/>
            </w:pPr>
            <w:r>
              <w:rPr>
                <w:sz w:val="18"/>
                <w:szCs w:val="18"/>
              </w:rPr>
              <w:t>Hilfe nach Identitätsdiebstahl</w:t>
            </w:r>
          </w:p>
        </w:tc>
        <w:tc>
          <w:tcPr>
            <w:tcW w:w="9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18" w14:textId="338BB946" w:rsidR="00C1548D" w:rsidRDefault="009B1B4B">
            <w:pPr>
              <w:spacing w:line="250" w:lineRule="auto"/>
            </w:pPr>
            <w:r>
              <w:rPr>
                <w:sz w:val="18"/>
                <w:szCs w:val="18"/>
              </w:rPr>
              <w:t>Kapitel </w:t>
            </w:r>
            <w:hyperlink w:anchor="k24" w:history="1">
              <w:r>
                <w:rPr>
                  <w:sz w:val="18"/>
                  <w:szCs w:val="18"/>
                </w:rPr>
                <w:t>24</w:t>
              </w:r>
            </w:hyperlink>
            <w:r>
              <w:rPr>
                <w:sz w:val="18"/>
                <w:szCs w:val="18"/>
              </w:rPr>
              <w:t xml:space="preserve">, </w:t>
            </w:r>
            <w:hyperlink w:anchor="k40" w:history="1">
              <w:r>
                <w:rPr>
                  <w:sz w:val="18"/>
                  <w:szCs w:val="18"/>
                </w:rPr>
                <w:t>40</w:t>
              </w:r>
            </w:hyperlink>
          </w:p>
        </w:tc>
      </w:tr>
    </w:tbl>
    <w:p w14:paraId="70A5171A" w14:textId="77777777" w:rsidR="00C1548D" w:rsidRDefault="00C1548D">
      <w:pPr>
        <w:spacing w:line="180" w:lineRule="exact"/>
      </w:pPr>
    </w:p>
    <w:p w14:paraId="70A5171B" w14:textId="77777777" w:rsidR="00C1548D" w:rsidRDefault="009B1B4B">
      <w:pPr>
        <w:pStyle w:val="Heading4"/>
        <w:keepNext/>
        <w:jc w:val="center"/>
      </w:pPr>
      <w:r>
        <w:rPr>
          <w:rFonts w:ascii="Amazon Ember" w:eastAsia="Amazon Ember" w:hAnsi="Amazon Ember" w:cs="Amazon Ember"/>
          <w:color w:val="0000FF"/>
          <w:sz w:val="36"/>
          <w:szCs w:val="36"/>
        </w:rPr>
        <w:t>Arbeitsrecht und Arbeitsmarkt (allgemein)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3"/>
        <w:gridCol w:w="3037"/>
        <w:gridCol w:w="950"/>
      </w:tblGrid>
      <w:tr w:rsidR="00C1548D" w14:paraId="70A5171F" w14:textId="77777777">
        <w:tblPrEx>
          <w:tblCellMar>
            <w:top w:w="0" w:type="dxa"/>
            <w:bottom w:w="0" w:type="dxa"/>
          </w:tblCellMar>
        </w:tblPrEx>
        <w:trPr>
          <w:cantSplit/>
          <w:tblHeader/>
        </w:trPr>
        <w:tc>
          <w:tcPr>
            <w:tcW w:w="249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1C" w14:textId="77777777" w:rsidR="00C1548D" w:rsidRDefault="009B1B4B">
            <w:pPr>
              <w:spacing w:line="250" w:lineRule="auto"/>
            </w:pPr>
            <w:r>
              <w:rPr>
                <w:b/>
                <w:bCs/>
                <w:sz w:val="18"/>
                <w:szCs w:val="18"/>
              </w:rPr>
              <w:t>Adresse</w:t>
            </w:r>
          </w:p>
        </w:tc>
        <w:tc>
          <w:tcPr>
            <w:tcW w:w="303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1D" w14:textId="77777777" w:rsidR="00C1548D" w:rsidRDefault="009B1B4B">
            <w:pPr>
              <w:spacing w:line="250" w:lineRule="auto"/>
            </w:pPr>
            <w:r>
              <w:rPr>
                <w:b/>
                <w:bCs/>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1E" w14:textId="77777777" w:rsidR="00C1548D" w:rsidRDefault="009B1B4B">
            <w:pPr>
              <w:spacing w:line="250" w:lineRule="auto"/>
            </w:pPr>
            <w:r>
              <w:rPr>
                <w:b/>
                <w:bCs/>
                <w:sz w:val="18"/>
                <w:szCs w:val="18"/>
              </w:rPr>
              <w:t>Kapitel</w:t>
            </w:r>
          </w:p>
        </w:tc>
      </w:tr>
      <w:tr w:rsidR="00C1548D" w14:paraId="70A51723" w14:textId="77777777">
        <w:tblPrEx>
          <w:tblCellMar>
            <w:top w:w="0" w:type="dxa"/>
            <w:bottom w:w="0" w:type="dxa"/>
          </w:tblCellMar>
        </w:tblPrEx>
        <w:trPr>
          <w:cantSplit/>
        </w:trPr>
        <w:tc>
          <w:tcPr>
            <w:tcW w:w="24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0" w14:textId="77777777" w:rsidR="00C1548D" w:rsidRDefault="009B1B4B">
            <w:pPr>
              <w:spacing w:line="250" w:lineRule="auto"/>
            </w:pPr>
            <w:r>
              <w:rPr>
                <w:sz w:val="18"/>
                <w:szCs w:val="18"/>
              </w:rPr>
              <w:t>dol.gov/agencies/whd (auch /fmla, /flsa)</w:t>
            </w:r>
          </w:p>
        </w:tc>
        <w:tc>
          <w:tcPr>
            <w:tcW w:w="30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1" w14:textId="77777777" w:rsidR="00C1548D" w:rsidRDefault="009B1B4B">
            <w:pPr>
              <w:spacing w:line="250" w:lineRule="auto"/>
            </w:pPr>
            <w:r>
              <w:rPr>
                <w:sz w:val="18"/>
                <w:szCs w:val="18"/>
              </w:rPr>
              <w:t>Wage and Hour Division: FMLA, Mindestlohn und Überstunden (FLSA), Mindestlohn für Trinkgeldempfänger (Suche: tipped employees)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2" w14:textId="4E7F9511" w:rsidR="00C1548D" w:rsidRDefault="009B1B4B">
            <w:pPr>
              <w:spacing w:line="250" w:lineRule="auto"/>
            </w:pPr>
            <w:r>
              <w:rPr>
                <w:sz w:val="18"/>
                <w:szCs w:val="18"/>
              </w:rPr>
              <w:t>Kapitel </w:t>
            </w:r>
            <w:hyperlink w:anchor="k29" w:history="1">
              <w:r>
                <w:rPr>
                  <w:sz w:val="18"/>
                  <w:szCs w:val="18"/>
                </w:rPr>
                <w:t>29</w:t>
              </w:r>
            </w:hyperlink>
            <w:r>
              <w:rPr>
                <w:sz w:val="18"/>
                <w:szCs w:val="18"/>
              </w:rPr>
              <w:t xml:space="preserve">, </w:t>
            </w:r>
            <w:hyperlink w:anchor="k31" w:history="1">
              <w:r>
                <w:rPr>
                  <w:sz w:val="18"/>
                  <w:szCs w:val="18"/>
                </w:rPr>
                <w:t>31</w:t>
              </w:r>
            </w:hyperlink>
            <w:r>
              <w:rPr>
                <w:sz w:val="18"/>
                <w:szCs w:val="18"/>
              </w:rPr>
              <w:t xml:space="preserve">, </w:t>
            </w:r>
            <w:hyperlink w:anchor="k38" w:history="1">
              <w:r>
                <w:rPr>
                  <w:sz w:val="18"/>
                  <w:szCs w:val="18"/>
                </w:rPr>
                <w:t>38</w:t>
              </w:r>
            </w:hyperlink>
          </w:p>
        </w:tc>
      </w:tr>
      <w:tr w:rsidR="00C1548D" w14:paraId="70A51727" w14:textId="77777777">
        <w:tblPrEx>
          <w:tblCellMar>
            <w:top w:w="0" w:type="dxa"/>
            <w:bottom w:w="0" w:type="dxa"/>
          </w:tblCellMar>
        </w:tblPrEx>
        <w:trPr>
          <w:cantSplit/>
        </w:trPr>
        <w:tc>
          <w:tcPr>
            <w:tcW w:w="24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4" w14:textId="77777777" w:rsidR="00C1548D" w:rsidRDefault="009B1B4B">
            <w:pPr>
              <w:spacing w:line="250" w:lineRule="auto"/>
            </w:pPr>
            <w:r>
              <w:rPr>
                <w:sz w:val="18"/>
                <w:szCs w:val="18"/>
              </w:rPr>
              <w:t>dol.gov/agencies/eta/layoffs/warn</w:t>
            </w:r>
          </w:p>
        </w:tc>
        <w:tc>
          <w:tcPr>
            <w:tcW w:w="30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5" w14:textId="77777777" w:rsidR="00C1548D" w:rsidRDefault="009B1B4B">
            <w:pPr>
              <w:spacing w:line="250" w:lineRule="auto"/>
            </w:pPr>
            <w:r>
              <w:rPr>
                <w:sz w:val="18"/>
                <w:szCs w:val="18"/>
              </w:rPr>
              <w:t>WARN Act, Ankündigungsfrist bei Massenentlassungen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6" w14:textId="392F9C85" w:rsidR="00C1548D" w:rsidRDefault="009B1B4B">
            <w:pPr>
              <w:spacing w:line="250" w:lineRule="auto"/>
            </w:pPr>
            <w:r>
              <w:rPr>
                <w:sz w:val="18"/>
                <w:szCs w:val="18"/>
              </w:rPr>
              <w:t>Kapitel </w:t>
            </w:r>
            <w:hyperlink w:anchor="k30" w:history="1">
              <w:r>
                <w:rPr>
                  <w:sz w:val="18"/>
                  <w:szCs w:val="18"/>
                </w:rPr>
                <w:t>30</w:t>
              </w:r>
            </w:hyperlink>
          </w:p>
        </w:tc>
      </w:tr>
      <w:tr w:rsidR="00C1548D" w14:paraId="70A5172B" w14:textId="77777777">
        <w:tblPrEx>
          <w:tblCellMar>
            <w:top w:w="0" w:type="dxa"/>
            <w:bottom w:w="0" w:type="dxa"/>
          </w:tblCellMar>
        </w:tblPrEx>
        <w:trPr>
          <w:cantSplit/>
        </w:trPr>
        <w:tc>
          <w:tcPr>
            <w:tcW w:w="24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8" w14:textId="77777777" w:rsidR="00C1548D" w:rsidRDefault="009B1B4B">
            <w:pPr>
              <w:spacing w:line="250" w:lineRule="auto"/>
            </w:pPr>
            <w:r>
              <w:rPr>
                <w:sz w:val="18"/>
                <w:szCs w:val="18"/>
              </w:rPr>
              <w:t>eeoc.gov</w:t>
            </w:r>
          </w:p>
        </w:tc>
        <w:tc>
          <w:tcPr>
            <w:tcW w:w="30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9" w14:textId="77777777" w:rsidR="00C1548D" w:rsidRDefault="009B1B4B">
            <w:pPr>
              <w:spacing w:line="250" w:lineRule="auto"/>
            </w:pPr>
            <w:r>
              <w:rPr>
                <w:sz w:val="18"/>
                <w:szCs w:val="18"/>
              </w:rPr>
              <w:t>Gleichbehandlungsbehörde, Diskriminierung und Beschwerden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A" w14:textId="429B06D4" w:rsidR="00C1548D" w:rsidRDefault="009B1B4B">
            <w:pPr>
              <w:spacing w:line="250" w:lineRule="auto"/>
            </w:pPr>
            <w:r>
              <w:rPr>
                <w:sz w:val="18"/>
                <w:szCs w:val="18"/>
              </w:rPr>
              <w:t>Kapitel </w:t>
            </w:r>
            <w:hyperlink w:anchor="k29" w:history="1">
              <w:r>
                <w:rPr>
                  <w:sz w:val="18"/>
                  <w:szCs w:val="18"/>
                </w:rPr>
                <w:t>29</w:t>
              </w:r>
            </w:hyperlink>
          </w:p>
        </w:tc>
      </w:tr>
      <w:tr w:rsidR="00C1548D" w14:paraId="70A5172F" w14:textId="77777777">
        <w:tblPrEx>
          <w:tblCellMar>
            <w:top w:w="0" w:type="dxa"/>
            <w:bottom w:w="0" w:type="dxa"/>
          </w:tblCellMar>
        </w:tblPrEx>
        <w:trPr>
          <w:cantSplit/>
        </w:trPr>
        <w:tc>
          <w:tcPr>
            <w:tcW w:w="24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C" w14:textId="77777777" w:rsidR="00C1548D" w:rsidRDefault="009B1B4B">
            <w:pPr>
              <w:spacing w:line="250" w:lineRule="auto"/>
            </w:pPr>
            <w:r>
              <w:rPr>
                <w:sz w:val="18"/>
                <w:szCs w:val="18"/>
              </w:rPr>
              <w:t>opm.gov/policy-data-oversight/pay-leave/federal-holidays</w:t>
            </w:r>
          </w:p>
        </w:tc>
        <w:tc>
          <w:tcPr>
            <w:tcW w:w="30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D" w14:textId="77777777" w:rsidR="00C1548D" w:rsidRDefault="009B1B4B">
            <w:pPr>
              <w:spacing w:line="250" w:lineRule="auto"/>
            </w:pPr>
            <w:r>
              <w:rPr>
                <w:sz w:val="18"/>
                <w:szCs w:val="18"/>
              </w:rPr>
              <w:t>Bundesfeiertage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2E" w14:textId="4FE362EC" w:rsidR="00C1548D" w:rsidRDefault="009B1B4B">
            <w:pPr>
              <w:spacing w:line="250" w:lineRule="auto"/>
            </w:pPr>
            <w:r>
              <w:rPr>
                <w:sz w:val="18"/>
                <w:szCs w:val="18"/>
              </w:rPr>
              <w:t>Kapitel </w:t>
            </w:r>
            <w:hyperlink w:anchor="k31" w:history="1">
              <w:r>
                <w:rPr>
                  <w:sz w:val="18"/>
                  <w:szCs w:val="18"/>
                </w:rPr>
                <w:t>31</w:t>
              </w:r>
            </w:hyperlink>
          </w:p>
        </w:tc>
      </w:tr>
    </w:tbl>
    <w:p w14:paraId="70A51730" w14:textId="77777777" w:rsidR="00C1548D" w:rsidRDefault="00C1548D">
      <w:pPr>
        <w:spacing w:line="180" w:lineRule="exact"/>
      </w:pPr>
    </w:p>
    <w:p w14:paraId="70A51731" w14:textId="77777777" w:rsidR="00C1548D" w:rsidRDefault="009B1B4B">
      <w:pPr>
        <w:pStyle w:val="Heading4"/>
        <w:keepNext/>
        <w:jc w:val="center"/>
      </w:pPr>
      <w:r>
        <w:rPr>
          <w:rFonts w:ascii="Amazon Ember" w:eastAsia="Amazon Ember" w:hAnsi="Amazon Ember" w:cs="Amazon Ember"/>
          <w:color w:val="0000FF"/>
          <w:sz w:val="36"/>
          <w:szCs w:val="36"/>
        </w:rPr>
        <w:t>Umzug, Zoll und Haustiere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9"/>
        <w:gridCol w:w="3221"/>
        <w:gridCol w:w="950"/>
      </w:tblGrid>
      <w:tr w:rsidR="00C1548D" w14:paraId="70A51735" w14:textId="77777777">
        <w:tblPrEx>
          <w:tblCellMar>
            <w:top w:w="0" w:type="dxa"/>
            <w:bottom w:w="0" w:type="dxa"/>
          </w:tblCellMar>
        </w:tblPrEx>
        <w:trPr>
          <w:cantSplit/>
          <w:tblHeader/>
        </w:trPr>
        <w:tc>
          <w:tcPr>
            <w:tcW w:w="230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32" w14:textId="77777777" w:rsidR="00C1548D" w:rsidRDefault="009B1B4B">
            <w:pPr>
              <w:spacing w:line="250" w:lineRule="auto"/>
            </w:pPr>
            <w:r>
              <w:rPr>
                <w:b/>
                <w:bCs/>
                <w:sz w:val="18"/>
                <w:szCs w:val="18"/>
              </w:rPr>
              <w:t>Adresse</w:t>
            </w:r>
          </w:p>
        </w:tc>
        <w:tc>
          <w:tcPr>
            <w:tcW w:w="322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33" w14:textId="77777777" w:rsidR="00C1548D" w:rsidRDefault="009B1B4B">
            <w:pPr>
              <w:spacing w:line="250" w:lineRule="auto"/>
            </w:pPr>
            <w:r>
              <w:rPr>
                <w:b/>
                <w:bCs/>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34" w14:textId="77777777" w:rsidR="00C1548D" w:rsidRDefault="009B1B4B">
            <w:pPr>
              <w:spacing w:line="250" w:lineRule="auto"/>
            </w:pPr>
            <w:r>
              <w:rPr>
                <w:b/>
                <w:bCs/>
                <w:sz w:val="18"/>
                <w:szCs w:val="18"/>
              </w:rPr>
              <w:t>Kapitel</w:t>
            </w:r>
          </w:p>
        </w:tc>
      </w:tr>
      <w:tr w:rsidR="00C1548D" w14:paraId="70A51739"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36" w14:textId="77777777" w:rsidR="00C1548D" w:rsidRDefault="009B1B4B">
            <w:pPr>
              <w:spacing w:line="250" w:lineRule="auto"/>
            </w:pPr>
            <w:r>
              <w:rPr>
                <w:sz w:val="18"/>
                <w:szCs w:val="18"/>
              </w:rPr>
              <w:t>ecfr.gov (Suche „19 CFR 148.52“)</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37" w14:textId="77777777" w:rsidR="00C1548D" w:rsidRDefault="009B1B4B">
            <w:pPr>
              <w:spacing w:line="250" w:lineRule="auto"/>
            </w:pPr>
            <w:r>
              <w:rPr>
                <w:sz w:val="18"/>
                <w:szCs w:val="18"/>
              </w:rPr>
              <w:t>zollfreies Umzugsgut, Haushalts- und persönliche Gegenstände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38" w14:textId="63F14D92" w:rsidR="00C1548D" w:rsidRDefault="009B1B4B">
            <w:pPr>
              <w:spacing w:line="250" w:lineRule="auto"/>
            </w:pPr>
            <w:r>
              <w:rPr>
                <w:sz w:val="18"/>
                <w:szCs w:val="18"/>
              </w:rPr>
              <w:t>Kapitel </w:t>
            </w:r>
            <w:hyperlink w:anchor="k20" w:history="1">
              <w:r>
                <w:rPr>
                  <w:sz w:val="18"/>
                  <w:szCs w:val="18"/>
                </w:rPr>
                <w:t>20</w:t>
              </w:r>
            </w:hyperlink>
            <w:r>
              <w:rPr>
                <w:sz w:val="18"/>
                <w:szCs w:val="18"/>
              </w:rPr>
              <w:t xml:space="preserve">, </w:t>
            </w:r>
            <w:hyperlink w:anchor="k21" w:history="1">
              <w:r>
                <w:rPr>
                  <w:sz w:val="18"/>
                  <w:szCs w:val="18"/>
                </w:rPr>
                <w:t>21</w:t>
              </w:r>
            </w:hyperlink>
          </w:p>
        </w:tc>
      </w:tr>
      <w:tr w:rsidR="00C1548D" w14:paraId="70A5173D"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3A" w14:textId="77777777" w:rsidR="00C1548D" w:rsidRDefault="009B1B4B">
            <w:pPr>
              <w:spacing w:line="250" w:lineRule="auto"/>
            </w:pPr>
            <w:r>
              <w:rPr>
                <w:sz w:val="18"/>
                <w:szCs w:val="18"/>
              </w:rPr>
              <w:t>aphis.usda.gov</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3B" w14:textId="77777777" w:rsidR="00C1548D" w:rsidRDefault="009B1B4B">
            <w:pPr>
              <w:spacing w:line="250" w:lineRule="auto"/>
            </w:pPr>
            <w:r>
              <w:rPr>
                <w:sz w:val="18"/>
                <w:szCs w:val="18"/>
              </w:rPr>
              <w:t>Einfuhrregeln für Pflanzen, Erde und Lebensmittel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3C" w14:textId="33C72198" w:rsidR="00C1548D" w:rsidRDefault="009B1B4B">
            <w:pPr>
              <w:spacing w:line="250" w:lineRule="auto"/>
            </w:pPr>
            <w:r>
              <w:rPr>
                <w:sz w:val="18"/>
                <w:szCs w:val="18"/>
              </w:rPr>
              <w:t>Kapitel </w:t>
            </w:r>
            <w:hyperlink w:anchor="k20" w:history="1">
              <w:r>
                <w:rPr>
                  <w:sz w:val="18"/>
                  <w:szCs w:val="18"/>
                </w:rPr>
                <w:t>20</w:t>
              </w:r>
            </w:hyperlink>
          </w:p>
        </w:tc>
      </w:tr>
      <w:tr w:rsidR="00C1548D" w14:paraId="70A51741"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3E" w14:textId="77777777" w:rsidR="00C1548D" w:rsidRDefault="009B1B4B">
            <w:pPr>
              <w:spacing w:line="250" w:lineRule="auto"/>
            </w:pPr>
            <w:r>
              <w:rPr>
                <w:sz w:val="18"/>
                <w:szCs w:val="18"/>
              </w:rPr>
              <w:t>aphis.usda.gov/pet-travel</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3F" w14:textId="77777777" w:rsidR="00C1548D" w:rsidRDefault="009B1B4B">
            <w:pPr>
              <w:spacing w:line="250" w:lineRule="auto"/>
            </w:pPr>
            <w:r>
              <w:rPr>
                <w:sz w:val="18"/>
                <w:szCs w:val="18"/>
              </w:rPr>
              <w:t>Reisen mit Haustieren, Rückreise in die EU</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0" w14:textId="0B31F066" w:rsidR="00C1548D" w:rsidRDefault="009B1B4B">
            <w:pPr>
              <w:spacing w:line="250" w:lineRule="auto"/>
            </w:pPr>
            <w:r>
              <w:rPr>
                <w:sz w:val="18"/>
                <w:szCs w:val="18"/>
              </w:rPr>
              <w:t>Kapitel </w:t>
            </w:r>
            <w:hyperlink w:anchor="k22" w:history="1">
              <w:r>
                <w:rPr>
                  <w:sz w:val="18"/>
                  <w:szCs w:val="18"/>
                </w:rPr>
                <w:t>22</w:t>
              </w:r>
            </w:hyperlink>
          </w:p>
        </w:tc>
      </w:tr>
      <w:tr w:rsidR="00C1548D" w14:paraId="70A51745"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2" w14:textId="77777777" w:rsidR="00C1548D" w:rsidRDefault="009B1B4B">
            <w:pPr>
              <w:spacing w:line="250" w:lineRule="auto"/>
            </w:pPr>
            <w:r>
              <w:rPr>
                <w:sz w:val="18"/>
                <w:szCs w:val="18"/>
              </w:rPr>
              <w:t>irs.gov/pub/irs-pdf/p15b.pdf</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3" w14:textId="77777777" w:rsidR="00C1548D" w:rsidRDefault="009B1B4B">
            <w:pPr>
              <w:spacing w:line="250" w:lineRule="auto"/>
            </w:pPr>
            <w:r>
              <w:rPr>
                <w:sz w:val="18"/>
                <w:szCs w:val="18"/>
              </w:rPr>
              <w:t>Publication 15-B, steuerliche Behandlung von Arbeitgeberleistungen beim Umzug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4" w14:textId="566F142D" w:rsidR="00C1548D" w:rsidRDefault="009B1B4B">
            <w:pPr>
              <w:spacing w:line="250" w:lineRule="auto"/>
            </w:pPr>
            <w:r>
              <w:rPr>
                <w:sz w:val="18"/>
                <w:szCs w:val="18"/>
              </w:rPr>
              <w:t>Kapitel </w:t>
            </w:r>
            <w:hyperlink w:anchor="k20" w:history="1">
              <w:r>
                <w:rPr>
                  <w:sz w:val="18"/>
                  <w:szCs w:val="18"/>
                </w:rPr>
                <w:t>20</w:t>
              </w:r>
            </w:hyperlink>
          </w:p>
        </w:tc>
      </w:tr>
      <w:tr w:rsidR="00C1548D" w14:paraId="70A51749"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6" w14:textId="77777777" w:rsidR="00C1548D" w:rsidRDefault="009B1B4B">
            <w:pPr>
              <w:spacing w:line="250" w:lineRule="auto"/>
            </w:pPr>
            <w:r>
              <w:rPr>
                <w:sz w:val="18"/>
                <w:szCs w:val="18"/>
              </w:rPr>
              <w:lastRenderedPageBreak/>
              <w:t>fidi.org</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7" w14:textId="77777777" w:rsidR="00C1548D" w:rsidRDefault="009B1B4B">
            <w:pPr>
              <w:spacing w:line="250" w:lineRule="auto"/>
            </w:pPr>
            <w:r>
              <w:rPr>
                <w:sz w:val="18"/>
                <w:szCs w:val="18"/>
              </w:rPr>
              <w:t>Mitgliederliste zertifizierter Umzugsunternehmen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8" w14:textId="2871846F" w:rsidR="00C1548D" w:rsidRDefault="009B1B4B">
            <w:pPr>
              <w:spacing w:line="250" w:lineRule="auto"/>
            </w:pPr>
            <w:r>
              <w:rPr>
                <w:sz w:val="18"/>
                <w:szCs w:val="18"/>
              </w:rPr>
              <w:t>Kapitel </w:t>
            </w:r>
            <w:hyperlink w:anchor="k20" w:history="1">
              <w:r>
                <w:rPr>
                  <w:sz w:val="18"/>
                  <w:szCs w:val="18"/>
                </w:rPr>
                <w:t>20</w:t>
              </w:r>
            </w:hyperlink>
          </w:p>
        </w:tc>
      </w:tr>
      <w:tr w:rsidR="00C1548D" w14:paraId="70A5174D"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A" w14:textId="77777777" w:rsidR="00C1548D" w:rsidRDefault="009B1B4B">
            <w:pPr>
              <w:spacing w:line="250" w:lineRule="auto"/>
            </w:pPr>
            <w:r>
              <w:rPr>
                <w:sz w:val="18"/>
                <w:szCs w:val="18"/>
              </w:rPr>
              <w:t>fmcsa.dot.gov</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B" w14:textId="77777777" w:rsidR="00C1548D" w:rsidRDefault="009B1B4B">
            <w:pPr>
              <w:spacing w:line="250" w:lineRule="auto"/>
            </w:pPr>
            <w:r>
              <w:rPr>
                <w:sz w:val="18"/>
                <w:szCs w:val="18"/>
              </w:rPr>
              <w:t>Registrierung von Frachtführern (USDOT- und MC-Nummer)</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C" w14:textId="5E1F6B73" w:rsidR="00C1548D" w:rsidRDefault="009B1B4B">
            <w:pPr>
              <w:spacing w:line="250" w:lineRule="auto"/>
            </w:pPr>
            <w:r>
              <w:rPr>
                <w:sz w:val="18"/>
                <w:szCs w:val="18"/>
              </w:rPr>
              <w:t>Kapitel </w:t>
            </w:r>
            <w:hyperlink w:anchor="k20" w:history="1">
              <w:r>
                <w:rPr>
                  <w:sz w:val="18"/>
                  <w:szCs w:val="18"/>
                </w:rPr>
                <w:t>20</w:t>
              </w:r>
            </w:hyperlink>
          </w:p>
        </w:tc>
      </w:tr>
      <w:tr w:rsidR="00C1548D" w14:paraId="70A51751"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E" w14:textId="77777777" w:rsidR="00C1548D" w:rsidRDefault="009B1B4B">
            <w:pPr>
              <w:spacing w:line="250" w:lineRule="auto"/>
            </w:pPr>
            <w:r>
              <w:rPr>
                <w:sz w:val="18"/>
                <w:szCs w:val="18"/>
              </w:rPr>
              <w:t>nhtsa.gov/vehicle-safety/car-seats-and-booster-seats</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4F" w14:textId="77777777" w:rsidR="00C1548D" w:rsidRDefault="009B1B4B">
            <w:pPr>
              <w:spacing w:line="250" w:lineRule="auto"/>
            </w:pPr>
            <w:r>
              <w:rPr>
                <w:sz w:val="18"/>
                <w:szCs w:val="18"/>
              </w:rPr>
              <w:t>Kindersitze in den USA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0" w14:textId="5BCE4C91" w:rsidR="00C1548D" w:rsidRDefault="009B1B4B">
            <w:pPr>
              <w:spacing w:line="250" w:lineRule="auto"/>
            </w:pPr>
            <w:r>
              <w:rPr>
                <w:sz w:val="18"/>
                <w:szCs w:val="18"/>
              </w:rPr>
              <w:t>Kapitel </w:t>
            </w:r>
            <w:hyperlink w:anchor="k21" w:history="1">
              <w:r>
                <w:rPr>
                  <w:sz w:val="18"/>
                  <w:szCs w:val="18"/>
                </w:rPr>
                <w:t>21</w:t>
              </w:r>
            </w:hyperlink>
          </w:p>
        </w:tc>
      </w:tr>
      <w:tr w:rsidR="00C1548D" w14:paraId="70A51755"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2" w14:textId="77777777" w:rsidR="00C1548D" w:rsidRDefault="009B1B4B">
            <w:pPr>
              <w:spacing w:line="250" w:lineRule="auto"/>
            </w:pPr>
            <w:r>
              <w:rPr>
                <w:sz w:val="18"/>
                <w:szCs w:val="18"/>
              </w:rPr>
              <w:t>cpsc.gov/recalls (auch Suche „children’s sleepwear“)</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3" w14:textId="77777777" w:rsidR="00C1548D" w:rsidRDefault="009B1B4B">
            <w:pPr>
              <w:spacing w:line="250" w:lineRule="auto"/>
            </w:pPr>
            <w:r>
              <w:rPr>
                <w:sz w:val="18"/>
                <w:szCs w:val="18"/>
              </w:rPr>
              <w:t>Produktrückrufe, Kinderschlafkleidung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4" w14:textId="63FCECFF" w:rsidR="00C1548D" w:rsidRDefault="009B1B4B">
            <w:pPr>
              <w:spacing w:line="250" w:lineRule="auto"/>
            </w:pPr>
            <w:r>
              <w:rPr>
                <w:sz w:val="18"/>
                <w:szCs w:val="18"/>
              </w:rPr>
              <w:t>Kapitel </w:t>
            </w:r>
            <w:hyperlink w:anchor="k21" w:history="1">
              <w:r>
                <w:rPr>
                  <w:sz w:val="18"/>
                  <w:szCs w:val="18"/>
                </w:rPr>
                <w:t>21</w:t>
              </w:r>
            </w:hyperlink>
            <w:r>
              <w:rPr>
                <w:sz w:val="18"/>
                <w:szCs w:val="18"/>
              </w:rPr>
              <w:t xml:space="preserve">, </w:t>
            </w:r>
            <w:hyperlink w:anchor="k34" w:history="1">
              <w:r>
                <w:rPr>
                  <w:sz w:val="18"/>
                  <w:szCs w:val="18"/>
                </w:rPr>
                <w:t>34</w:t>
              </w:r>
            </w:hyperlink>
          </w:p>
        </w:tc>
      </w:tr>
      <w:tr w:rsidR="00C1548D" w14:paraId="70A51759"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6" w14:textId="77777777" w:rsidR="00C1548D" w:rsidRDefault="009B1B4B">
            <w:pPr>
              <w:spacing w:line="250" w:lineRule="auto"/>
            </w:pPr>
            <w:r>
              <w:rPr>
                <w:sz w:val="18"/>
                <w:szCs w:val="18"/>
              </w:rPr>
              <w:t>iec.ch/world-plugs</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7" w14:textId="77777777" w:rsidR="00C1548D" w:rsidRDefault="009B1B4B">
            <w:pPr>
              <w:spacing w:line="250" w:lineRule="auto"/>
            </w:pPr>
            <w:r>
              <w:rPr>
                <w:sz w:val="18"/>
                <w:szCs w:val="18"/>
              </w:rPr>
              <w:t>Steckertypen und Netzspannung nach Land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8" w14:textId="64C588FC" w:rsidR="00C1548D" w:rsidRDefault="009B1B4B">
            <w:pPr>
              <w:spacing w:line="250" w:lineRule="auto"/>
            </w:pPr>
            <w:r>
              <w:rPr>
                <w:sz w:val="18"/>
                <w:szCs w:val="18"/>
              </w:rPr>
              <w:t>Kapitel </w:t>
            </w:r>
            <w:hyperlink w:anchor="k21" w:history="1">
              <w:r>
                <w:rPr>
                  <w:sz w:val="18"/>
                  <w:szCs w:val="18"/>
                </w:rPr>
                <w:t>21</w:t>
              </w:r>
            </w:hyperlink>
          </w:p>
        </w:tc>
      </w:tr>
      <w:tr w:rsidR="00C1548D" w14:paraId="70A5175D"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A" w14:textId="77777777" w:rsidR="00C1548D" w:rsidRDefault="009B1B4B">
            <w:pPr>
              <w:spacing w:line="250" w:lineRule="auto"/>
            </w:pPr>
            <w:r>
              <w:rPr>
                <w:sz w:val="18"/>
                <w:szCs w:val="18"/>
              </w:rPr>
              <w:t>dab.hawaii.gov/ai</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B" w14:textId="77777777" w:rsidR="00C1548D" w:rsidRDefault="009B1B4B">
            <w:pPr>
              <w:spacing w:line="250" w:lineRule="auto"/>
            </w:pPr>
            <w:r>
              <w:rPr>
                <w:sz w:val="18"/>
                <w:szCs w:val="18"/>
              </w:rPr>
              <w:t>Quarantäneprogramm für Tiere in Hawaii</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C" w14:textId="6FCD5049" w:rsidR="00C1548D" w:rsidRDefault="009B1B4B">
            <w:pPr>
              <w:spacing w:line="250" w:lineRule="auto"/>
            </w:pPr>
            <w:r>
              <w:rPr>
                <w:sz w:val="18"/>
                <w:szCs w:val="18"/>
              </w:rPr>
              <w:t>Kapitel </w:t>
            </w:r>
            <w:hyperlink w:anchor="k22" w:history="1">
              <w:r>
                <w:rPr>
                  <w:sz w:val="18"/>
                  <w:szCs w:val="18"/>
                </w:rPr>
                <w:t>22</w:t>
              </w:r>
            </w:hyperlink>
          </w:p>
        </w:tc>
      </w:tr>
      <w:tr w:rsidR="00C1548D" w14:paraId="70A51761"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E" w14:textId="77777777" w:rsidR="00C1548D" w:rsidRDefault="009B1B4B">
            <w:pPr>
              <w:spacing w:line="250" w:lineRule="auto"/>
            </w:pPr>
            <w:r>
              <w:rPr>
                <w:sz w:val="18"/>
                <w:szCs w:val="18"/>
              </w:rPr>
              <w:t>maricopa.gov/226/Dog-License</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5F" w14:textId="77777777" w:rsidR="00C1548D" w:rsidRDefault="009B1B4B">
            <w:pPr>
              <w:spacing w:line="250" w:lineRule="auto"/>
            </w:pPr>
            <w:r>
              <w:rPr>
                <w:sz w:val="18"/>
                <w:szCs w:val="18"/>
              </w:rPr>
              <w:t>Hundelizenz, Beispiel eines Landkreises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60" w14:textId="09B66DE0" w:rsidR="00C1548D" w:rsidRDefault="009B1B4B">
            <w:pPr>
              <w:spacing w:line="250" w:lineRule="auto"/>
            </w:pPr>
            <w:r>
              <w:rPr>
                <w:sz w:val="18"/>
                <w:szCs w:val="18"/>
              </w:rPr>
              <w:t>Kapitel </w:t>
            </w:r>
            <w:hyperlink w:anchor="k22" w:history="1">
              <w:r>
                <w:rPr>
                  <w:sz w:val="18"/>
                  <w:szCs w:val="18"/>
                </w:rPr>
                <w:t>22</w:t>
              </w:r>
            </w:hyperlink>
          </w:p>
        </w:tc>
      </w:tr>
      <w:tr w:rsidR="00C1548D" w14:paraId="70A51765" w14:textId="77777777">
        <w:tblPrEx>
          <w:tblCellMar>
            <w:top w:w="0" w:type="dxa"/>
            <w:bottom w:w="0" w:type="dxa"/>
          </w:tblCellMar>
        </w:tblPrEx>
        <w:trPr>
          <w:cantSplit/>
        </w:trPr>
        <w:tc>
          <w:tcPr>
            <w:tcW w:w="2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62" w14:textId="77777777" w:rsidR="00C1548D" w:rsidRDefault="009B1B4B">
            <w:pPr>
              <w:spacing w:line="250" w:lineRule="auto"/>
            </w:pPr>
            <w:r>
              <w:rPr>
                <w:sz w:val="18"/>
                <w:szCs w:val="18"/>
              </w:rPr>
              <w:t>fws.gov</w:t>
            </w:r>
          </w:p>
        </w:tc>
        <w:tc>
          <w:tcPr>
            <w:tcW w:w="322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63" w14:textId="77777777" w:rsidR="00C1548D" w:rsidRDefault="009B1B4B">
            <w:pPr>
              <w:spacing w:line="250" w:lineRule="auto"/>
            </w:pPr>
            <w:r>
              <w:rPr>
                <w:sz w:val="18"/>
                <w:szCs w:val="18"/>
              </w:rPr>
              <w:t>Einfuhr geschützter Arten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64" w14:textId="7BC89A5B" w:rsidR="00C1548D" w:rsidRDefault="009B1B4B">
            <w:pPr>
              <w:spacing w:line="250" w:lineRule="auto"/>
            </w:pPr>
            <w:r>
              <w:rPr>
                <w:sz w:val="18"/>
                <w:szCs w:val="18"/>
              </w:rPr>
              <w:t>Kapitel </w:t>
            </w:r>
            <w:hyperlink w:anchor="k22" w:history="1">
              <w:r>
                <w:rPr>
                  <w:sz w:val="18"/>
                  <w:szCs w:val="18"/>
                </w:rPr>
                <w:t>22</w:t>
              </w:r>
            </w:hyperlink>
          </w:p>
        </w:tc>
      </w:tr>
    </w:tbl>
    <w:p w14:paraId="70A51766" w14:textId="77777777" w:rsidR="00C1548D" w:rsidRDefault="00C1548D">
      <w:pPr>
        <w:spacing w:line="180" w:lineRule="exact"/>
      </w:pPr>
    </w:p>
    <w:p w14:paraId="70A51767" w14:textId="77777777" w:rsidR="00C1548D" w:rsidRDefault="009B1B4B">
      <w:pPr>
        <w:pStyle w:val="Heading4"/>
        <w:keepNext/>
        <w:jc w:val="center"/>
      </w:pPr>
      <w:r>
        <w:rPr>
          <w:rFonts w:ascii="Amazon Ember" w:eastAsia="Amazon Ember" w:hAnsi="Amazon Ember" w:cs="Amazon Ember"/>
          <w:color w:val="0000FF"/>
          <w:sz w:val="36"/>
          <w:szCs w:val="36"/>
        </w:rPr>
        <w:t>Führerschein, Fahrzeug und Verkehr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62"/>
        <w:gridCol w:w="2568"/>
        <w:gridCol w:w="950"/>
      </w:tblGrid>
      <w:tr w:rsidR="00C1548D" w14:paraId="70A5176B" w14:textId="77777777">
        <w:tblPrEx>
          <w:tblCellMar>
            <w:top w:w="0" w:type="dxa"/>
            <w:bottom w:w="0" w:type="dxa"/>
          </w:tblCellMar>
        </w:tblPrEx>
        <w:trPr>
          <w:cantSplit/>
          <w:tblHeader/>
        </w:trPr>
        <w:tc>
          <w:tcPr>
            <w:tcW w:w="296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68" w14:textId="77777777" w:rsidR="00C1548D" w:rsidRDefault="009B1B4B">
            <w:pPr>
              <w:spacing w:line="250" w:lineRule="auto"/>
            </w:pPr>
            <w:r>
              <w:rPr>
                <w:b/>
                <w:bCs/>
                <w:sz w:val="18"/>
                <w:szCs w:val="18"/>
              </w:rPr>
              <w:t>Adresse</w:t>
            </w:r>
          </w:p>
        </w:tc>
        <w:tc>
          <w:tcPr>
            <w:tcW w:w="256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69" w14:textId="77777777" w:rsidR="00C1548D" w:rsidRDefault="009B1B4B">
            <w:pPr>
              <w:spacing w:line="250" w:lineRule="auto"/>
            </w:pPr>
            <w:r>
              <w:rPr>
                <w:b/>
                <w:bCs/>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6A" w14:textId="77777777" w:rsidR="00C1548D" w:rsidRDefault="009B1B4B">
            <w:pPr>
              <w:spacing w:line="250" w:lineRule="auto"/>
            </w:pPr>
            <w:r>
              <w:rPr>
                <w:b/>
                <w:bCs/>
                <w:sz w:val="18"/>
                <w:szCs w:val="18"/>
              </w:rPr>
              <w:t>Kapitel</w:t>
            </w:r>
          </w:p>
        </w:tc>
      </w:tr>
      <w:tr w:rsidR="00C1548D" w14:paraId="70A5176F" w14:textId="77777777">
        <w:tblPrEx>
          <w:tblCellMar>
            <w:top w:w="0" w:type="dxa"/>
            <w:bottom w:w="0" w:type="dxa"/>
          </w:tblCellMar>
        </w:tblPrEx>
        <w:trPr>
          <w:cantSplit/>
        </w:trPr>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6C" w14:textId="77777777" w:rsidR="00C1548D" w:rsidRDefault="009B1B4B">
            <w:pPr>
              <w:spacing w:line="250" w:lineRule="auto"/>
            </w:pPr>
            <w:r>
              <w:rPr>
                <w:sz w:val="18"/>
                <w:szCs w:val="18"/>
              </w:rPr>
              <w:t>dmv.ca.gov, dmv.ny.gov, dps.texas.gov, dol.wa.gov, dmv.colorado.gov, ncdot.gov/dmv, flhsmv.gov, oregon.gov/odot/dmv, dld.utah.gov</w:t>
            </w:r>
          </w:p>
        </w:tc>
        <w:tc>
          <w:tcPr>
            <w:tcW w:w="25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6D" w14:textId="77777777" w:rsidR="00C1548D" w:rsidRDefault="009B1B4B">
            <w:pPr>
              <w:spacing w:line="250" w:lineRule="auto"/>
            </w:pPr>
            <w:r>
              <w:rPr>
                <w:sz w:val="18"/>
                <w:szCs w:val="18"/>
              </w:rPr>
              <w:t>Führerscheinbehörden ausgewählter Bundesstaaten (Beispiele)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6E" w14:textId="14DEC30F" w:rsidR="00C1548D" w:rsidRDefault="009B1B4B">
            <w:pPr>
              <w:spacing w:line="250" w:lineRule="auto"/>
            </w:pPr>
            <w:r>
              <w:rPr>
                <w:sz w:val="18"/>
                <w:szCs w:val="18"/>
              </w:rPr>
              <w:t>Kapitel </w:t>
            </w:r>
            <w:hyperlink w:anchor="k27" w:history="1">
              <w:r>
                <w:rPr>
                  <w:sz w:val="18"/>
                  <w:szCs w:val="18"/>
                </w:rPr>
                <w:t>27</w:t>
              </w:r>
            </w:hyperlink>
          </w:p>
        </w:tc>
      </w:tr>
      <w:tr w:rsidR="00C1548D" w14:paraId="70A51773" w14:textId="77777777">
        <w:tblPrEx>
          <w:tblCellMar>
            <w:top w:w="0" w:type="dxa"/>
            <w:bottom w:w="0" w:type="dxa"/>
          </w:tblCellMar>
        </w:tblPrEx>
        <w:trPr>
          <w:cantSplit/>
        </w:trPr>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70" w14:textId="77777777" w:rsidR="00C1548D" w:rsidRDefault="009B1B4B">
            <w:pPr>
              <w:spacing w:line="250" w:lineRule="auto"/>
            </w:pPr>
            <w:r>
              <w:rPr>
                <w:sz w:val="18"/>
                <w:szCs w:val="18"/>
              </w:rPr>
              <w:t>tsa.gov/real-id</w:t>
            </w:r>
          </w:p>
        </w:tc>
        <w:tc>
          <w:tcPr>
            <w:tcW w:w="25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71" w14:textId="77777777" w:rsidR="00C1548D" w:rsidRDefault="009B1B4B">
            <w:pPr>
              <w:spacing w:line="250" w:lineRule="auto"/>
            </w:pPr>
            <w:r>
              <w:rPr>
                <w:sz w:val="18"/>
                <w:szCs w:val="18"/>
              </w:rPr>
              <w:t>REAL ID und ConfirmID</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72" w14:textId="7C688647" w:rsidR="00C1548D" w:rsidRDefault="009B1B4B">
            <w:pPr>
              <w:spacing w:line="250" w:lineRule="auto"/>
            </w:pPr>
            <w:r>
              <w:rPr>
                <w:sz w:val="18"/>
                <w:szCs w:val="18"/>
              </w:rPr>
              <w:t>Kapitel </w:t>
            </w:r>
            <w:hyperlink w:anchor="k27" w:history="1">
              <w:r>
                <w:rPr>
                  <w:sz w:val="18"/>
                  <w:szCs w:val="18"/>
                </w:rPr>
                <w:t>27</w:t>
              </w:r>
            </w:hyperlink>
          </w:p>
        </w:tc>
      </w:tr>
      <w:tr w:rsidR="00C1548D" w14:paraId="70A51777" w14:textId="77777777">
        <w:tblPrEx>
          <w:tblCellMar>
            <w:top w:w="0" w:type="dxa"/>
            <w:bottom w:w="0" w:type="dxa"/>
          </w:tblCellMar>
        </w:tblPrEx>
        <w:trPr>
          <w:cantSplit/>
        </w:trPr>
        <w:tc>
          <w:tcPr>
            <w:tcW w:w="296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74" w14:textId="77777777" w:rsidR="00C1548D" w:rsidRDefault="009B1B4B">
            <w:pPr>
              <w:spacing w:line="250" w:lineRule="auto"/>
            </w:pPr>
            <w:r>
              <w:rPr>
                <w:sz w:val="18"/>
                <w:szCs w:val="18"/>
              </w:rPr>
              <w:t>eia.gov/petroleum/gasdiesel</w:t>
            </w:r>
          </w:p>
        </w:tc>
        <w:tc>
          <w:tcPr>
            <w:tcW w:w="25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75" w14:textId="77777777" w:rsidR="00C1548D" w:rsidRDefault="009B1B4B">
            <w:pPr>
              <w:spacing w:line="250" w:lineRule="auto"/>
            </w:pPr>
            <w:r>
              <w:rPr>
                <w:sz w:val="18"/>
                <w:szCs w:val="18"/>
              </w:rPr>
              <w:t>Benzinpreise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76" w14:textId="4562732F" w:rsidR="00C1548D" w:rsidRDefault="009B1B4B">
            <w:pPr>
              <w:spacing w:line="250" w:lineRule="auto"/>
            </w:pPr>
            <w:r>
              <w:rPr>
                <w:sz w:val="18"/>
                <w:szCs w:val="18"/>
              </w:rPr>
              <w:t>Kapitel </w:t>
            </w:r>
            <w:hyperlink w:anchor="k27" w:history="1">
              <w:r>
                <w:rPr>
                  <w:sz w:val="18"/>
                  <w:szCs w:val="18"/>
                </w:rPr>
                <w:t>27</w:t>
              </w:r>
            </w:hyperlink>
          </w:p>
        </w:tc>
      </w:tr>
    </w:tbl>
    <w:p w14:paraId="70A51778" w14:textId="77777777" w:rsidR="00C1548D" w:rsidRDefault="00C1548D">
      <w:pPr>
        <w:spacing w:line="180" w:lineRule="exact"/>
      </w:pPr>
    </w:p>
    <w:p w14:paraId="70A51779" w14:textId="77777777" w:rsidR="00C1548D" w:rsidRDefault="009B1B4B">
      <w:pPr>
        <w:pStyle w:val="Heading4"/>
        <w:keepNext/>
        <w:jc w:val="center"/>
      </w:pPr>
      <w:r>
        <w:rPr>
          <w:rFonts w:ascii="Amazon Ember" w:eastAsia="Amazon Ember" w:hAnsi="Amazon Ember" w:cs="Amazon Ember"/>
          <w:color w:val="0000FF"/>
          <w:sz w:val="36"/>
          <w:szCs w:val="36"/>
        </w:rPr>
        <w:t>Anerkennung von Abschlüssen und Qualifikationen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6"/>
        <w:gridCol w:w="3311"/>
        <w:gridCol w:w="1093"/>
      </w:tblGrid>
      <w:tr w:rsidR="00C1548D" w14:paraId="70A5177D" w14:textId="77777777">
        <w:tblPrEx>
          <w:tblCellMar>
            <w:top w:w="0" w:type="dxa"/>
            <w:bottom w:w="0" w:type="dxa"/>
          </w:tblCellMar>
        </w:tblPrEx>
        <w:trPr>
          <w:cantSplit/>
          <w:tblHeader/>
        </w:trPr>
        <w:tc>
          <w:tcPr>
            <w:tcW w:w="207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7A" w14:textId="77777777" w:rsidR="00C1548D" w:rsidRDefault="009B1B4B">
            <w:pPr>
              <w:spacing w:line="250" w:lineRule="auto"/>
            </w:pPr>
            <w:r>
              <w:rPr>
                <w:b/>
                <w:bCs/>
                <w:sz w:val="18"/>
                <w:szCs w:val="18"/>
              </w:rPr>
              <w:t>Adresse</w:t>
            </w:r>
          </w:p>
        </w:tc>
        <w:tc>
          <w:tcPr>
            <w:tcW w:w="331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7B" w14:textId="77777777" w:rsidR="00C1548D" w:rsidRDefault="009B1B4B">
            <w:pPr>
              <w:spacing w:line="250" w:lineRule="auto"/>
            </w:pPr>
            <w:r>
              <w:rPr>
                <w:b/>
                <w:bCs/>
                <w:sz w:val="18"/>
                <w:szCs w:val="18"/>
              </w:rPr>
              <w:t>Behörde / Thema</w:t>
            </w:r>
          </w:p>
        </w:tc>
        <w:tc>
          <w:tcPr>
            <w:tcW w:w="109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7C" w14:textId="77777777" w:rsidR="00C1548D" w:rsidRDefault="009B1B4B">
            <w:pPr>
              <w:spacing w:line="250" w:lineRule="auto"/>
            </w:pPr>
            <w:r>
              <w:rPr>
                <w:b/>
                <w:bCs/>
                <w:sz w:val="18"/>
                <w:szCs w:val="18"/>
              </w:rPr>
              <w:t>Kapitel</w:t>
            </w:r>
          </w:p>
        </w:tc>
      </w:tr>
      <w:tr w:rsidR="00C1548D" w14:paraId="70A51781" w14:textId="77777777">
        <w:tblPrEx>
          <w:tblCellMar>
            <w:top w:w="0" w:type="dxa"/>
            <w:bottom w:w="0" w:type="dxa"/>
          </w:tblCellMar>
        </w:tblPrEx>
        <w:trPr>
          <w:cantSplit/>
        </w:trPr>
        <w:tc>
          <w:tcPr>
            <w:tcW w:w="20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7E" w14:textId="77777777" w:rsidR="00C1548D" w:rsidRDefault="009B1B4B">
            <w:pPr>
              <w:spacing w:line="250" w:lineRule="auto"/>
            </w:pPr>
            <w:r>
              <w:rPr>
                <w:sz w:val="18"/>
                <w:szCs w:val="18"/>
              </w:rPr>
              <w:t>wes.org/evaluations (auch ece.org)</w:t>
            </w:r>
          </w:p>
        </w:tc>
        <w:tc>
          <w:tcPr>
            <w:tcW w:w="3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7F" w14:textId="77777777" w:rsidR="00C1548D" w:rsidRDefault="009B1B4B">
            <w:pPr>
              <w:spacing w:line="250" w:lineRule="auto"/>
            </w:pPr>
            <w:r>
              <w:rPr>
                <w:sz w:val="18"/>
                <w:szCs w:val="18"/>
              </w:rPr>
              <w:t>Zeugnisbewertung</w:t>
            </w:r>
          </w:p>
        </w:tc>
        <w:tc>
          <w:tcPr>
            <w:tcW w:w="10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0" w14:textId="5A52AEBE" w:rsidR="00C1548D" w:rsidRDefault="009B1B4B">
            <w:pPr>
              <w:spacing w:line="250" w:lineRule="auto"/>
            </w:pPr>
            <w:r>
              <w:rPr>
                <w:sz w:val="18"/>
                <w:szCs w:val="18"/>
              </w:rPr>
              <w:t>Kapitel </w:t>
            </w:r>
            <w:hyperlink w:anchor="k19" w:history="1">
              <w:r>
                <w:rPr>
                  <w:sz w:val="18"/>
                  <w:szCs w:val="18"/>
                </w:rPr>
                <w:t>19</w:t>
              </w:r>
            </w:hyperlink>
          </w:p>
        </w:tc>
      </w:tr>
      <w:tr w:rsidR="00C1548D" w14:paraId="70A51785" w14:textId="77777777">
        <w:tblPrEx>
          <w:tblCellMar>
            <w:top w:w="0" w:type="dxa"/>
            <w:bottom w:w="0" w:type="dxa"/>
          </w:tblCellMar>
        </w:tblPrEx>
        <w:trPr>
          <w:cantSplit/>
        </w:trPr>
        <w:tc>
          <w:tcPr>
            <w:tcW w:w="20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2" w14:textId="77777777" w:rsidR="00C1548D" w:rsidRDefault="009B1B4B">
            <w:pPr>
              <w:spacing w:line="250" w:lineRule="auto"/>
            </w:pPr>
            <w:r>
              <w:rPr>
                <w:sz w:val="18"/>
                <w:szCs w:val="18"/>
              </w:rPr>
              <w:lastRenderedPageBreak/>
              <w:t>naces.org/members</w:t>
            </w:r>
          </w:p>
        </w:tc>
        <w:tc>
          <w:tcPr>
            <w:tcW w:w="3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3" w14:textId="77777777" w:rsidR="00C1548D" w:rsidRDefault="009B1B4B">
            <w:pPr>
              <w:spacing w:line="250" w:lineRule="auto"/>
            </w:pPr>
            <w:r>
              <w:rPr>
                <w:sz w:val="18"/>
                <w:szCs w:val="18"/>
              </w:rPr>
              <w:t>Mitgliederliste anerkannter Bewertungsstellen (NACES)</w:t>
            </w:r>
          </w:p>
        </w:tc>
        <w:tc>
          <w:tcPr>
            <w:tcW w:w="10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4" w14:textId="61D1A28F" w:rsidR="00C1548D" w:rsidRDefault="009B1B4B">
            <w:pPr>
              <w:spacing w:line="250" w:lineRule="auto"/>
            </w:pPr>
            <w:r>
              <w:rPr>
                <w:sz w:val="18"/>
                <w:szCs w:val="18"/>
              </w:rPr>
              <w:t>Kapitel </w:t>
            </w:r>
            <w:hyperlink w:anchor="k19" w:history="1">
              <w:r>
                <w:rPr>
                  <w:sz w:val="18"/>
                  <w:szCs w:val="18"/>
                </w:rPr>
                <w:t>19</w:t>
              </w:r>
            </w:hyperlink>
          </w:p>
        </w:tc>
      </w:tr>
      <w:tr w:rsidR="00C1548D" w14:paraId="70A51789" w14:textId="77777777">
        <w:tblPrEx>
          <w:tblCellMar>
            <w:top w:w="0" w:type="dxa"/>
            <w:bottom w:w="0" w:type="dxa"/>
          </w:tblCellMar>
        </w:tblPrEx>
        <w:trPr>
          <w:cantSplit/>
        </w:trPr>
        <w:tc>
          <w:tcPr>
            <w:tcW w:w="20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6" w14:textId="77777777" w:rsidR="00C1548D" w:rsidRDefault="009B1B4B">
            <w:pPr>
              <w:spacing w:line="250" w:lineRule="auto"/>
            </w:pPr>
            <w:r>
              <w:rPr>
                <w:sz w:val="18"/>
                <w:szCs w:val="18"/>
              </w:rPr>
              <w:t>ncees.org/engineering/pe</w:t>
            </w:r>
          </w:p>
        </w:tc>
        <w:tc>
          <w:tcPr>
            <w:tcW w:w="3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7" w14:textId="77777777" w:rsidR="00C1548D" w:rsidRDefault="009B1B4B">
            <w:pPr>
              <w:spacing w:line="250" w:lineRule="auto"/>
            </w:pPr>
            <w:r>
              <w:rPr>
                <w:sz w:val="18"/>
                <w:szCs w:val="18"/>
              </w:rPr>
              <w:t>Zulassung für Ingenieure</w:t>
            </w:r>
          </w:p>
        </w:tc>
        <w:tc>
          <w:tcPr>
            <w:tcW w:w="10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8" w14:textId="01EFDF4B" w:rsidR="00C1548D" w:rsidRDefault="009B1B4B">
            <w:pPr>
              <w:spacing w:line="250" w:lineRule="auto"/>
            </w:pPr>
            <w:r>
              <w:rPr>
                <w:sz w:val="18"/>
                <w:szCs w:val="18"/>
              </w:rPr>
              <w:t>Kapitel </w:t>
            </w:r>
            <w:hyperlink w:anchor="k19" w:history="1">
              <w:r>
                <w:rPr>
                  <w:sz w:val="18"/>
                  <w:szCs w:val="18"/>
                </w:rPr>
                <w:t>19</w:t>
              </w:r>
            </w:hyperlink>
          </w:p>
        </w:tc>
      </w:tr>
      <w:tr w:rsidR="00C1548D" w14:paraId="70A5178D" w14:textId="77777777">
        <w:tblPrEx>
          <w:tblCellMar>
            <w:top w:w="0" w:type="dxa"/>
            <w:bottom w:w="0" w:type="dxa"/>
          </w:tblCellMar>
        </w:tblPrEx>
        <w:trPr>
          <w:cantSplit/>
        </w:trPr>
        <w:tc>
          <w:tcPr>
            <w:tcW w:w="20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A" w14:textId="77777777" w:rsidR="00C1548D" w:rsidRDefault="009B1B4B">
            <w:pPr>
              <w:spacing w:line="250" w:lineRule="auto"/>
            </w:pPr>
            <w:r>
              <w:rPr>
                <w:sz w:val="18"/>
                <w:szCs w:val="18"/>
              </w:rPr>
              <w:t>ecfmg.org/certification-pathways</w:t>
            </w:r>
          </w:p>
        </w:tc>
        <w:tc>
          <w:tcPr>
            <w:tcW w:w="3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B" w14:textId="77777777" w:rsidR="00C1548D" w:rsidRDefault="009B1B4B">
            <w:pPr>
              <w:spacing w:line="250" w:lineRule="auto"/>
            </w:pPr>
            <w:r>
              <w:rPr>
                <w:sz w:val="18"/>
                <w:szCs w:val="18"/>
              </w:rPr>
              <w:t>Zertifizierungswege für Ärzte</w:t>
            </w:r>
          </w:p>
        </w:tc>
        <w:tc>
          <w:tcPr>
            <w:tcW w:w="10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C" w14:textId="7F5F8746" w:rsidR="00C1548D" w:rsidRDefault="009B1B4B">
            <w:pPr>
              <w:spacing w:line="250" w:lineRule="auto"/>
            </w:pPr>
            <w:r>
              <w:rPr>
                <w:sz w:val="18"/>
                <w:szCs w:val="18"/>
              </w:rPr>
              <w:t>Kapitel </w:t>
            </w:r>
            <w:hyperlink w:anchor="k19" w:history="1">
              <w:r>
                <w:rPr>
                  <w:sz w:val="18"/>
                  <w:szCs w:val="18"/>
                </w:rPr>
                <w:t>19</w:t>
              </w:r>
            </w:hyperlink>
          </w:p>
        </w:tc>
      </w:tr>
      <w:tr w:rsidR="00C1548D" w14:paraId="70A51791" w14:textId="77777777">
        <w:tblPrEx>
          <w:tblCellMar>
            <w:top w:w="0" w:type="dxa"/>
            <w:bottom w:w="0" w:type="dxa"/>
          </w:tblCellMar>
        </w:tblPrEx>
        <w:trPr>
          <w:cantSplit/>
        </w:trPr>
        <w:tc>
          <w:tcPr>
            <w:tcW w:w="20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E" w14:textId="77777777" w:rsidR="00C1548D" w:rsidRDefault="009B1B4B">
            <w:pPr>
              <w:spacing w:line="250" w:lineRule="auto"/>
            </w:pPr>
            <w:r>
              <w:rPr>
                <w:sz w:val="18"/>
                <w:szCs w:val="18"/>
              </w:rPr>
              <w:t>trumerit.org</w:t>
            </w:r>
          </w:p>
        </w:tc>
        <w:tc>
          <w:tcPr>
            <w:tcW w:w="3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8F" w14:textId="77777777" w:rsidR="00C1548D" w:rsidRDefault="009B1B4B">
            <w:pPr>
              <w:spacing w:line="250" w:lineRule="auto"/>
            </w:pPr>
            <w:r>
              <w:rPr>
                <w:sz w:val="18"/>
                <w:szCs w:val="18"/>
              </w:rPr>
              <w:t>Zertifizierung für Pflegekräfte</w:t>
            </w:r>
          </w:p>
        </w:tc>
        <w:tc>
          <w:tcPr>
            <w:tcW w:w="10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90" w14:textId="2FA2AF4A" w:rsidR="00C1548D" w:rsidRDefault="009B1B4B">
            <w:pPr>
              <w:spacing w:line="250" w:lineRule="auto"/>
            </w:pPr>
            <w:r>
              <w:rPr>
                <w:sz w:val="18"/>
                <w:szCs w:val="18"/>
              </w:rPr>
              <w:t>Kapitel </w:t>
            </w:r>
            <w:hyperlink w:anchor="k19" w:history="1">
              <w:r>
                <w:rPr>
                  <w:sz w:val="18"/>
                  <w:szCs w:val="18"/>
                </w:rPr>
                <w:t>19</w:t>
              </w:r>
            </w:hyperlink>
          </w:p>
        </w:tc>
      </w:tr>
      <w:tr w:rsidR="00C1548D" w14:paraId="70A51795" w14:textId="77777777">
        <w:tblPrEx>
          <w:tblCellMar>
            <w:top w:w="0" w:type="dxa"/>
            <w:bottom w:w="0" w:type="dxa"/>
          </w:tblCellMar>
        </w:tblPrEx>
        <w:trPr>
          <w:cantSplit/>
        </w:trPr>
        <w:tc>
          <w:tcPr>
            <w:tcW w:w="20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92" w14:textId="77777777" w:rsidR="00C1548D" w:rsidRDefault="009B1B4B">
            <w:pPr>
              <w:spacing w:line="250" w:lineRule="auto"/>
            </w:pPr>
            <w:r>
              <w:rPr>
                <w:sz w:val="18"/>
                <w:szCs w:val="18"/>
              </w:rPr>
              <w:t>nclex.com</w:t>
            </w:r>
          </w:p>
        </w:tc>
        <w:tc>
          <w:tcPr>
            <w:tcW w:w="3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93" w14:textId="77777777" w:rsidR="00C1548D" w:rsidRDefault="009B1B4B">
            <w:pPr>
              <w:spacing w:line="250" w:lineRule="auto"/>
            </w:pPr>
            <w:r>
              <w:rPr>
                <w:sz w:val="18"/>
                <w:szCs w:val="18"/>
              </w:rPr>
              <w:t>Prüfung für Pflegekräfte (NCLEX)</w:t>
            </w:r>
          </w:p>
        </w:tc>
        <w:tc>
          <w:tcPr>
            <w:tcW w:w="10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94" w14:textId="107AE3A3" w:rsidR="00C1548D" w:rsidRDefault="009B1B4B">
            <w:pPr>
              <w:spacing w:line="250" w:lineRule="auto"/>
            </w:pPr>
            <w:r>
              <w:rPr>
                <w:sz w:val="18"/>
                <w:szCs w:val="18"/>
              </w:rPr>
              <w:t>Kapitel </w:t>
            </w:r>
            <w:hyperlink w:anchor="k19" w:history="1">
              <w:r>
                <w:rPr>
                  <w:sz w:val="18"/>
                  <w:szCs w:val="18"/>
                </w:rPr>
                <w:t>19</w:t>
              </w:r>
            </w:hyperlink>
          </w:p>
        </w:tc>
      </w:tr>
      <w:tr w:rsidR="00C1548D" w14:paraId="70A51799" w14:textId="77777777">
        <w:tblPrEx>
          <w:tblCellMar>
            <w:top w:w="0" w:type="dxa"/>
            <w:bottom w:w="0" w:type="dxa"/>
          </w:tblCellMar>
        </w:tblPrEx>
        <w:trPr>
          <w:cantSplit/>
        </w:trPr>
        <w:tc>
          <w:tcPr>
            <w:tcW w:w="20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96" w14:textId="77777777" w:rsidR="00C1548D" w:rsidRDefault="009B1B4B">
            <w:pPr>
              <w:spacing w:line="250" w:lineRule="auto"/>
            </w:pPr>
            <w:r>
              <w:rPr>
                <w:sz w:val="18"/>
                <w:szCs w:val="18"/>
              </w:rPr>
              <w:t>daad.de (auch daad.org)</w:t>
            </w:r>
          </w:p>
        </w:tc>
        <w:tc>
          <w:tcPr>
            <w:tcW w:w="3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97" w14:textId="77777777" w:rsidR="00C1548D" w:rsidRDefault="009B1B4B">
            <w:pPr>
              <w:spacing w:line="250" w:lineRule="auto"/>
            </w:pPr>
            <w:r>
              <w:rPr>
                <w:sz w:val="18"/>
                <w:szCs w:val="18"/>
              </w:rPr>
              <w:t>Stipendien, Anerkennung von US-Abschlüssen</w:t>
            </w:r>
          </w:p>
        </w:tc>
        <w:tc>
          <w:tcPr>
            <w:tcW w:w="10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98" w14:textId="7E6A519A" w:rsidR="00C1548D" w:rsidRDefault="009B1B4B">
            <w:pPr>
              <w:spacing w:line="250" w:lineRule="auto"/>
            </w:pPr>
            <w:r>
              <w:rPr>
                <w:sz w:val="18"/>
                <w:szCs w:val="18"/>
              </w:rPr>
              <w:t>Kapitel </w:t>
            </w:r>
            <w:hyperlink w:anchor="k8" w:history="1">
              <w:r>
                <w:rPr>
                  <w:sz w:val="18"/>
                  <w:szCs w:val="18"/>
                </w:rPr>
                <w:t>8</w:t>
              </w:r>
            </w:hyperlink>
            <w:r>
              <w:rPr>
                <w:sz w:val="18"/>
                <w:szCs w:val="18"/>
              </w:rPr>
              <w:t xml:space="preserve">, </w:t>
            </w:r>
            <w:hyperlink w:anchor="k38" w:history="1">
              <w:r>
                <w:rPr>
                  <w:sz w:val="18"/>
                  <w:szCs w:val="18"/>
                </w:rPr>
                <w:t>38</w:t>
              </w:r>
            </w:hyperlink>
            <w:r>
              <w:rPr>
                <w:sz w:val="18"/>
                <w:szCs w:val="18"/>
              </w:rPr>
              <w:t xml:space="preserve">, </w:t>
            </w:r>
            <w:hyperlink w:anchor="k42" w:history="1">
              <w:r>
                <w:rPr>
                  <w:sz w:val="18"/>
                  <w:szCs w:val="18"/>
                </w:rPr>
                <w:t>42</w:t>
              </w:r>
            </w:hyperlink>
          </w:p>
        </w:tc>
      </w:tr>
      <w:tr w:rsidR="00C1548D" w14:paraId="70A5179D" w14:textId="77777777">
        <w:tblPrEx>
          <w:tblCellMar>
            <w:top w:w="0" w:type="dxa"/>
            <w:bottom w:w="0" w:type="dxa"/>
          </w:tblCellMar>
        </w:tblPrEx>
        <w:trPr>
          <w:cantSplit/>
        </w:trPr>
        <w:tc>
          <w:tcPr>
            <w:tcW w:w="207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9A" w14:textId="77777777" w:rsidR="00C1548D" w:rsidRDefault="009B1B4B">
            <w:pPr>
              <w:spacing w:line="250" w:lineRule="auto"/>
            </w:pPr>
            <w:r>
              <w:rPr>
                <w:sz w:val="18"/>
                <w:szCs w:val="18"/>
              </w:rPr>
              <w:t>fulbright.de</w:t>
            </w:r>
          </w:p>
        </w:tc>
        <w:tc>
          <w:tcPr>
            <w:tcW w:w="331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9B" w14:textId="77777777" w:rsidR="00C1548D" w:rsidRDefault="009B1B4B">
            <w:pPr>
              <w:spacing w:line="250" w:lineRule="auto"/>
            </w:pPr>
            <w:r>
              <w:rPr>
                <w:sz w:val="18"/>
                <w:szCs w:val="18"/>
              </w:rPr>
              <w:t>Stipendien für ein Auslandsstudium</w:t>
            </w:r>
          </w:p>
        </w:tc>
        <w:tc>
          <w:tcPr>
            <w:tcW w:w="109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9C" w14:textId="0163956F" w:rsidR="00C1548D" w:rsidRDefault="009B1B4B">
            <w:pPr>
              <w:spacing w:line="250" w:lineRule="auto"/>
            </w:pPr>
            <w:r>
              <w:rPr>
                <w:sz w:val="18"/>
                <w:szCs w:val="18"/>
              </w:rPr>
              <w:t>Kapitel </w:t>
            </w:r>
            <w:hyperlink w:anchor="k8" w:history="1">
              <w:r>
                <w:rPr>
                  <w:sz w:val="18"/>
                  <w:szCs w:val="18"/>
                </w:rPr>
                <w:t>8</w:t>
              </w:r>
            </w:hyperlink>
          </w:p>
        </w:tc>
      </w:tr>
    </w:tbl>
    <w:p w14:paraId="70A5179E" w14:textId="77777777" w:rsidR="00C1548D" w:rsidRDefault="00C1548D">
      <w:pPr>
        <w:spacing w:line="180" w:lineRule="exact"/>
      </w:pPr>
    </w:p>
    <w:p w14:paraId="70A5179F" w14:textId="77777777" w:rsidR="00C1548D" w:rsidRDefault="009B1B4B">
      <w:pPr>
        <w:pStyle w:val="Heading4"/>
        <w:keepNext/>
        <w:jc w:val="center"/>
      </w:pPr>
      <w:r>
        <w:rPr>
          <w:rFonts w:ascii="Amazon Ember" w:eastAsia="Amazon Ember" w:hAnsi="Amazon Ember" w:cs="Amazon Ember"/>
          <w:color w:val="0000FF"/>
          <w:sz w:val="36"/>
          <w:szCs w:val="36"/>
        </w:rPr>
        <w:t>Alltag, Kultur, Sicherheit und Integration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0"/>
        <w:gridCol w:w="2960"/>
        <w:gridCol w:w="950"/>
      </w:tblGrid>
      <w:tr w:rsidR="00C1548D" w14:paraId="70A517A3" w14:textId="77777777">
        <w:tblPrEx>
          <w:tblCellMar>
            <w:top w:w="0" w:type="dxa"/>
            <w:bottom w:w="0" w:type="dxa"/>
          </w:tblCellMar>
        </w:tblPrEx>
        <w:trPr>
          <w:cantSplit/>
          <w:tblHeader/>
        </w:trPr>
        <w:tc>
          <w:tcPr>
            <w:tcW w:w="25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A0" w14:textId="77777777" w:rsidR="00C1548D" w:rsidRDefault="009B1B4B">
            <w:pPr>
              <w:spacing w:line="250" w:lineRule="auto"/>
            </w:pPr>
            <w:r>
              <w:rPr>
                <w:b/>
                <w:bCs/>
                <w:sz w:val="18"/>
                <w:szCs w:val="18"/>
              </w:rPr>
              <w:t>Adresse</w:t>
            </w:r>
          </w:p>
        </w:tc>
        <w:tc>
          <w:tcPr>
            <w:tcW w:w="296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A1" w14:textId="77777777" w:rsidR="00C1548D" w:rsidRDefault="009B1B4B">
            <w:pPr>
              <w:spacing w:line="250" w:lineRule="auto"/>
            </w:pPr>
            <w:r>
              <w:rPr>
                <w:b/>
                <w:bCs/>
                <w:sz w:val="18"/>
                <w:szCs w:val="18"/>
              </w:rPr>
              <w:t>Behörde / Thema</w:t>
            </w:r>
          </w:p>
        </w:tc>
        <w:tc>
          <w:tcPr>
            <w:tcW w:w="9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A2" w14:textId="77777777" w:rsidR="00C1548D" w:rsidRDefault="009B1B4B">
            <w:pPr>
              <w:spacing w:line="250" w:lineRule="auto"/>
            </w:pPr>
            <w:r>
              <w:rPr>
                <w:b/>
                <w:bCs/>
                <w:sz w:val="18"/>
                <w:szCs w:val="18"/>
              </w:rPr>
              <w:t>Kapitel</w:t>
            </w:r>
          </w:p>
        </w:tc>
      </w:tr>
      <w:tr w:rsidR="00C1548D" w14:paraId="70A517A7"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A4" w14:textId="77777777" w:rsidR="00C1548D" w:rsidRDefault="009B1B4B">
            <w:pPr>
              <w:spacing w:line="250" w:lineRule="auto"/>
            </w:pPr>
            <w:r>
              <w:rPr>
                <w:sz w:val="18"/>
                <w:szCs w:val="18"/>
              </w:rPr>
              <w:t>dea.gov/marijuana-rescheduling-regulatory-actions</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A5" w14:textId="77777777" w:rsidR="00C1548D" w:rsidRDefault="009B1B4B">
            <w:pPr>
              <w:spacing w:line="250" w:lineRule="auto"/>
            </w:pPr>
            <w:r>
              <w:rPr>
                <w:sz w:val="18"/>
                <w:szCs w:val="18"/>
              </w:rPr>
              <w:t>Stand der Cannabis-Umstufung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A6" w14:textId="7E478AB8" w:rsidR="00C1548D" w:rsidRDefault="009B1B4B">
            <w:pPr>
              <w:spacing w:line="250" w:lineRule="auto"/>
            </w:pPr>
            <w:r>
              <w:rPr>
                <w:sz w:val="18"/>
                <w:szCs w:val="18"/>
              </w:rPr>
              <w:t>Kapitel </w:t>
            </w:r>
            <w:hyperlink w:anchor="k31" w:history="1">
              <w:r>
                <w:rPr>
                  <w:sz w:val="18"/>
                  <w:szCs w:val="18"/>
                </w:rPr>
                <w:t>31</w:t>
              </w:r>
            </w:hyperlink>
            <w:r>
              <w:rPr>
                <w:sz w:val="18"/>
                <w:szCs w:val="18"/>
              </w:rPr>
              <w:t xml:space="preserve">, </w:t>
            </w:r>
            <w:hyperlink w:anchor="k40" w:history="1">
              <w:r>
                <w:rPr>
                  <w:sz w:val="18"/>
                  <w:szCs w:val="18"/>
                </w:rPr>
                <w:t>40</w:t>
              </w:r>
            </w:hyperlink>
          </w:p>
        </w:tc>
      </w:tr>
      <w:tr w:rsidR="00C1548D" w14:paraId="70A517AB"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A8" w14:textId="77777777" w:rsidR="00C1548D" w:rsidRDefault="009B1B4B">
            <w:pPr>
              <w:spacing w:line="250" w:lineRule="auto"/>
            </w:pPr>
            <w:r>
              <w:rPr>
                <w:sz w:val="18"/>
                <w:szCs w:val="18"/>
              </w:rPr>
              <w:t>law.cornell.edu/uscode/text/18/922</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A9" w14:textId="77777777" w:rsidR="00C1548D" w:rsidRDefault="009B1B4B">
            <w:pPr>
              <w:spacing w:line="250" w:lineRule="auto"/>
            </w:pPr>
            <w:r>
              <w:rPr>
                <w:sz w:val="18"/>
                <w:szCs w:val="18"/>
              </w:rPr>
              <w:t>Waffenrecht für Nichteinwanderer, 18 U.S.C. § 922</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AA" w14:textId="68474629" w:rsidR="00C1548D" w:rsidRDefault="009B1B4B">
            <w:pPr>
              <w:spacing w:line="250" w:lineRule="auto"/>
            </w:pPr>
            <w:r>
              <w:rPr>
                <w:sz w:val="18"/>
                <w:szCs w:val="18"/>
              </w:rPr>
              <w:t>Kapitel </w:t>
            </w:r>
            <w:hyperlink w:anchor="k40" w:history="1">
              <w:r>
                <w:rPr>
                  <w:sz w:val="18"/>
                  <w:szCs w:val="18"/>
                </w:rPr>
                <w:t>40</w:t>
              </w:r>
            </w:hyperlink>
          </w:p>
        </w:tc>
      </w:tr>
      <w:tr w:rsidR="00C1548D" w14:paraId="70A517AF"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AC" w14:textId="77777777" w:rsidR="00C1548D" w:rsidRDefault="009B1B4B">
            <w:pPr>
              <w:spacing w:line="250" w:lineRule="auto"/>
            </w:pPr>
            <w:r>
              <w:rPr>
                <w:sz w:val="18"/>
                <w:szCs w:val="18"/>
              </w:rPr>
              <w:t>alcoholpolicy.niaaa.nih.gov</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AD" w14:textId="77777777" w:rsidR="00C1548D" w:rsidRDefault="009B1B4B">
            <w:pPr>
              <w:spacing w:line="250" w:lineRule="auto"/>
            </w:pPr>
            <w:r>
              <w:rPr>
                <w:sz w:val="18"/>
                <w:szCs w:val="18"/>
              </w:rPr>
              <w:t>Alkoholgesetze der Bundesstaaten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AE" w14:textId="112B4AE4" w:rsidR="00C1548D" w:rsidRDefault="009B1B4B">
            <w:pPr>
              <w:spacing w:line="250" w:lineRule="auto"/>
            </w:pPr>
            <w:r>
              <w:rPr>
                <w:sz w:val="18"/>
                <w:szCs w:val="18"/>
              </w:rPr>
              <w:t>Kapitel </w:t>
            </w:r>
            <w:hyperlink w:anchor="k31" w:history="1">
              <w:r>
                <w:rPr>
                  <w:sz w:val="18"/>
                  <w:szCs w:val="18"/>
                </w:rPr>
                <w:t>31</w:t>
              </w:r>
            </w:hyperlink>
            <w:r>
              <w:rPr>
                <w:sz w:val="18"/>
                <w:szCs w:val="18"/>
              </w:rPr>
              <w:t xml:space="preserve">, </w:t>
            </w:r>
            <w:hyperlink w:anchor="k35" w:history="1">
              <w:r>
                <w:rPr>
                  <w:sz w:val="18"/>
                  <w:szCs w:val="18"/>
                </w:rPr>
                <w:t>35</w:t>
              </w:r>
            </w:hyperlink>
          </w:p>
        </w:tc>
      </w:tr>
      <w:tr w:rsidR="00C1548D" w14:paraId="70A517B3"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0" w14:textId="77777777" w:rsidR="00C1548D" w:rsidRDefault="009B1B4B">
            <w:pPr>
              <w:spacing w:line="250" w:lineRule="auto"/>
            </w:pPr>
            <w:r>
              <w:rPr>
                <w:sz w:val="18"/>
                <w:szCs w:val="18"/>
              </w:rPr>
              <w:t>fec.gov (Suche „foreign nationals“)</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1" w14:textId="77777777" w:rsidR="00C1548D" w:rsidRDefault="009B1B4B">
            <w:pPr>
              <w:spacing w:line="250" w:lineRule="auto"/>
            </w:pPr>
            <w:r>
              <w:rPr>
                <w:sz w:val="18"/>
                <w:szCs w:val="18"/>
              </w:rPr>
              <w:t>Wahlspenden von Ausländern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2" w14:textId="1836508D" w:rsidR="00C1548D" w:rsidRDefault="009B1B4B">
            <w:pPr>
              <w:spacing w:line="250" w:lineRule="auto"/>
            </w:pPr>
            <w:r>
              <w:rPr>
                <w:sz w:val="18"/>
                <w:szCs w:val="18"/>
              </w:rPr>
              <w:t>Kapitel </w:t>
            </w:r>
            <w:hyperlink w:anchor="k31" w:history="1">
              <w:r>
                <w:rPr>
                  <w:sz w:val="18"/>
                  <w:szCs w:val="18"/>
                </w:rPr>
                <w:t>31</w:t>
              </w:r>
            </w:hyperlink>
          </w:p>
        </w:tc>
      </w:tr>
      <w:tr w:rsidR="00C1548D" w14:paraId="70A517B7"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4" w14:textId="77777777" w:rsidR="00C1548D" w:rsidRDefault="009B1B4B">
            <w:pPr>
              <w:spacing w:line="250" w:lineRule="auto"/>
            </w:pPr>
            <w:r>
              <w:rPr>
                <w:sz w:val="18"/>
                <w:szCs w:val="18"/>
              </w:rPr>
              <w:t>pewresearch.org</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5" w14:textId="77777777" w:rsidR="00C1548D" w:rsidRDefault="009B1B4B">
            <w:pPr>
              <w:spacing w:line="250" w:lineRule="auto"/>
            </w:pPr>
            <w:r>
              <w:rPr>
                <w:sz w:val="18"/>
                <w:szCs w:val="18"/>
              </w:rPr>
              <w:t>Religion und Waffenbesitz in den USA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6" w14:textId="4A6A387F" w:rsidR="00C1548D" w:rsidRDefault="009B1B4B">
            <w:pPr>
              <w:spacing w:line="250" w:lineRule="auto"/>
            </w:pPr>
            <w:r>
              <w:rPr>
                <w:sz w:val="18"/>
                <w:szCs w:val="18"/>
              </w:rPr>
              <w:t>Kapitel </w:t>
            </w:r>
            <w:hyperlink w:anchor="k31" w:history="1">
              <w:r>
                <w:rPr>
                  <w:sz w:val="18"/>
                  <w:szCs w:val="18"/>
                </w:rPr>
                <w:t>31</w:t>
              </w:r>
            </w:hyperlink>
          </w:p>
        </w:tc>
      </w:tr>
      <w:tr w:rsidR="00C1548D" w14:paraId="70A517BB"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8" w14:textId="77777777" w:rsidR="00C1548D" w:rsidRDefault="009B1B4B">
            <w:pPr>
              <w:spacing w:line="250" w:lineRule="auto"/>
            </w:pPr>
            <w:r>
              <w:rPr>
                <w:sz w:val="18"/>
                <w:szCs w:val="18"/>
              </w:rPr>
              <w:t>ready.gov (auch weather.gov/safety)</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9" w14:textId="77777777" w:rsidR="00C1548D" w:rsidRDefault="009B1B4B">
            <w:pPr>
              <w:spacing w:line="250" w:lineRule="auto"/>
            </w:pPr>
            <w:r>
              <w:rPr>
                <w:sz w:val="18"/>
                <w:szCs w:val="18"/>
              </w:rPr>
              <w:t>Katastrophenvorsorge, Warnungen, Windchill</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A" w14:textId="559C86A0" w:rsidR="00C1548D" w:rsidRDefault="009B1B4B">
            <w:pPr>
              <w:spacing w:line="250" w:lineRule="auto"/>
            </w:pPr>
            <w:r>
              <w:rPr>
                <w:sz w:val="18"/>
                <w:szCs w:val="18"/>
              </w:rPr>
              <w:t>Kapitel </w:t>
            </w:r>
            <w:hyperlink w:anchor="k34" w:history="1">
              <w:r>
                <w:rPr>
                  <w:sz w:val="18"/>
                  <w:szCs w:val="18"/>
                </w:rPr>
                <w:t>34</w:t>
              </w:r>
            </w:hyperlink>
            <w:r>
              <w:rPr>
                <w:sz w:val="18"/>
                <w:szCs w:val="18"/>
              </w:rPr>
              <w:t xml:space="preserve">, </w:t>
            </w:r>
            <w:hyperlink w:anchor="k40" w:history="1">
              <w:r>
                <w:rPr>
                  <w:sz w:val="18"/>
                  <w:szCs w:val="18"/>
                </w:rPr>
                <w:t>40</w:t>
              </w:r>
            </w:hyperlink>
          </w:p>
        </w:tc>
      </w:tr>
      <w:tr w:rsidR="00C1548D" w14:paraId="70A517BF"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C" w14:textId="77777777" w:rsidR="00C1548D" w:rsidRDefault="009B1B4B">
            <w:pPr>
              <w:spacing w:line="250" w:lineRule="auto"/>
            </w:pPr>
            <w:r>
              <w:rPr>
                <w:sz w:val="18"/>
                <w:szCs w:val="18"/>
              </w:rPr>
              <w:t>opm.gov (Suche „employee assistance program“)</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D" w14:textId="77777777" w:rsidR="00C1548D" w:rsidRDefault="009B1B4B">
            <w:pPr>
              <w:spacing w:line="250" w:lineRule="auto"/>
            </w:pPr>
            <w:r>
              <w:rPr>
                <w:sz w:val="18"/>
                <w:szCs w:val="18"/>
              </w:rPr>
              <w:t>betriebliche Beratungsangebote (EAP)</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BE" w14:textId="3127A1DA" w:rsidR="00C1548D" w:rsidRDefault="009B1B4B">
            <w:pPr>
              <w:spacing w:line="250" w:lineRule="auto"/>
            </w:pPr>
            <w:r>
              <w:rPr>
                <w:sz w:val="18"/>
                <w:szCs w:val="18"/>
              </w:rPr>
              <w:t>Kapitel </w:t>
            </w:r>
            <w:hyperlink w:anchor="k33" w:history="1">
              <w:r>
                <w:rPr>
                  <w:sz w:val="18"/>
                  <w:szCs w:val="18"/>
                </w:rPr>
                <w:t>33</w:t>
              </w:r>
            </w:hyperlink>
          </w:p>
        </w:tc>
      </w:tr>
      <w:tr w:rsidR="00C1548D" w14:paraId="70A517C3"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0" w14:textId="77777777" w:rsidR="00C1548D" w:rsidRDefault="009B1B4B">
            <w:pPr>
              <w:spacing w:line="250" w:lineRule="auto"/>
            </w:pPr>
            <w:r>
              <w:rPr>
                <w:sz w:val="18"/>
                <w:szCs w:val="18"/>
              </w:rPr>
              <w:t>news.ku.edu (Suche „hours to make a friend“)</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1" w14:textId="77777777" w:rsidR="00C1548D" w:rsidRDefault="009B1B4B">
            <w:pPr>
              <w:spacing w:line="250" w:lineRule="auto"/>
            </w:pPr>
            <w:r>
              <w:rPr>
                <w:sz w:val="18"/>
                <w:szCs w:val="18"/>
              </w:rPr>
              <w:t>Studie zur Zeit, die Freundschaft braucht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2" w14:textId="30F4971F" w:rsidR="00C1548D" w:rsidRDefault="009B1B4B">
            <w:pPr>
              <w:spacing w:line="250" w:lineRule="auto"/>
            </w:pPr>
            <w:r>
              <w:rPr>
                <w:sz w:val="18"/>
                <w:szCs w:val="18"/>
              </w:rPr>
              <w:t>Kapitel </w:t>
            </w:r>
            <w:hyperlink w:anchor="k32" w:history="1">
              <w:r>
                <w:rPr>
                  <w:sz w:val="18"/>
                  <w:szCs w:val="18"/>
                </w:rPr>
                <w:t>32</w:t>
              </w:r>
            </w:hyperlink>
          </w:p>
        </w:tc>
      </w:tr>
      <w:tr w:rsidR="00C1548D" w14:paraId="70A517C7"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4" w14:textId="77777777" w:rsidR="00C1548D" w:rsidRDefault="009B1B4B">
            <w:pPr>
              <w:spacing w:line="250" w:lineRule="auto"/>
            </w:pPr>
            <w:r>
              <w:rPr>
                <w:sz w:val="18"/>
                <w:szCs w:val="18"/>
              </w:rPr>
              <w:t>ekd.de/auslandsgemeinden-amerika-47196.htm</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5" w14:textId="77777777" w:rsidR="00C1548D" w:rsidRDefault="009B1B4B">
            <w:pPr>
              <w:spacing w:line="250" w:lineRule="auto"/>
            </w:pPr>
            <w:r>
              <w:rPr>
                <w:sz w:val="18"/>
                <w:szCs w:val="18"/>
              </w:rPr>
              <w:t>deutschsprachige Auslandsgemeinden in Amerika</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6" w14:textId="33E2BF1B" w:rsidR="00C1548D" w:rsidRDefault="009B1B4B">
            <w:pPr>
              <w:spacing w:line="250" w:lineRule="auto"/>
            </w:pPr>
            <w:r>
              <w:rPr>
                <w:sz w:val="18"/>
                <w:szCs w:val="18"/>
              </w:rPr>
              <w:t>Kapitel </w:t>
            </w:r>
            <w:hyperlink w:anchor="k32" w:history="1">
              <w:r>
                <w:rPr>
                  <w:sz w:val="18"/>
                  <w:szCs w:val="18"/>
                </w:rPr>
                <w:t>32</w:t>
              </w:r>
            </w:hyperlink>
          </w:p>
        </w:tc>
      </w:tr>
      <w:tr w:rsidR="00C1548D" w14:paraId="70A517CB"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8" w14:textId="77777777" w:rsidR="00C1548D" w:rsidRDefault="009B1B4B">
            <w:pPr>
              <w:spacing w:line="250" w:lineRule="auto"/>
            </w:pPr>
            <w:r>
              <w:rPr>
                <w:sz w:val="18"/>
                <w:szCs w:val="18"/>
              </w:rPr>
              <w:lastRenderedPageBreak/>
              <w:t>goethe.de/ins/us</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9" w14:textId="77777777" w:rsidR="00C1548D" w:rsidRDefault="009B1B4B">
            <w:pPr>
              <w:spacing w:line="250" w:lineRule="auto"/>
            </w:pPr>
            <w:r>
              <w:rPr>
                <w:sz w:val="18"/>
                <w:szCs w:val="18"/>
              </w:rPr>
              <w:t>Goethe-Institut USA, Standorte und Sprachprüfungen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A" w14:textId="253C08FB" w:rsidR="00C1548D" w:rsidRDefault="009B1B4B">
            <w:pPr>
              <w:spacing w:line="250" w:lineRule="auto"/>
            </w:pPr>
            <w:r>
              <w:rPr>
                <w:sz w:val="18"/>
                <w:szCs w:val="18"/>
              </w:rPr>
              <w:t>Kapitel </w:t>
            </w:r>
            <w:hyperlink w:anchor="k32" w:history="1">
              <w:r>
                <w:rPr>
                  <w:sz w:val="18"/>
                  <w:szCs w:val="18"/>
                </w:rPr>
                <w:t>32</w:t>
              </w:r>
            </w:hyperlink>
            <w:r>
              <w:rPr>
                <w:sz w:val="18"/>
                <w:szCs w:val="18"/>
              </w:rPr>
              <w:t xml:space="preserve">, </w:t>
            </w:r>
            <w:hyperlink w:anchor="k37" w:history="1">
              <w:r>
                <w:rPr>
                  <w:sz w:val="18"/>
                  <w:szCs w:val="18"/>
                </w:rPr>
                <w:t>37</w:t>
              </w:r>
            </w:hyperlink>
          </w:p>
        </w:tc>
      </w:tr>
      <w:tr w:rsidR="00C1548D" w14:paraId="70A517CF"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C" w14:textId="77777777" w:rsidR="00C1548D" w:rsidRDefault="009B1B4B">
            <w:pPr>
              <w:spacing w:line="250" w:lineRule="auto"/>
            </w:pPr>
            <w:r>
              <w:rPr>
                <w:sz w:val="18"/>
                <w:szCs w:val="18"/>
              </w:rPr>
              <w:t>idealist.org</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D" w14:textId="77777777" w:rsidR="00C1548D" w:rsidRDefault="009B1B4B">
            <w:pPr>
              <w:spacing w:line="250" w:lineRule="auto"/>
            </w:pPr>
            <w:r>
              <w:rPr>
                <w:sz w:val="18"/>
                <w:szCs w:val="18"/>
              </w:rPr>
              <w:t>Freiwilligenarbeit finden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CE" w14:textId="7F6AC29C" w:rsidR="00C1548D" w:rsidRDefault="009B1B4B">
            <w:pPr>
              <w:spacing w:line="250" w:lineRule="auto"/>
            </w:pPr>
            <w:r>
              <w:rPr>
                <w:sz w:val="18"/>
                <w:szCs w:val="18"/>
              </w:rPr>
              <w:t>Kapitel </w:t>
            </w:r>
            <w:hyperlink w:anchor="k32" w:history="1">
              <w:r>
                <w:rPr>
                  <w:sz w:val="18"/>
                  <w:szCs w:val="18"/>
                </w:rPr>
                <w:t>32</w:t>
              </w:r>
            </w:hyperlink>
          </w:p>
        </w:tc>
      </w:tr>
      <w:tr w:rsidR="00C1548D" w14:paraId="70A517D3"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0" w14:textId="77777777" w:rsidR="00C1548D" w:rsidRDefault="009B1B4B">
            <w:pPr>
              <w:spacing w:line="250" w:lineRule="auto"/>
            </w:pPr>
            <w:r>
              <w:rPr>
                <w:sz w:val="18"/>
                <w:szCs w:val="18"/>
              </w:rPr>
              <w:t>help.meetup.com</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1" w14:textId="77777777" w:rsidR="00C1548D" w:rsidRDefault="009B1B4B">
            <w:pPr>
              <w:spacing w:line="250" w:lineRule="auto"/>
            </w:pPr>
            <w:r>
              <w:rPr>
                <w:sz w:val="18"/>
                <w:szCs w:val="18"/>
              </w:rPr>
              <w:t>Meetup, Hilfebereich zu Gebühren und Abos</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2" w14:textId="746FFAA0" w:rsidR="00C1548D" w:rsidRDefault="009B1B4B">
            <w:pPr>
              <w:spacing w:line="250" w:lineRule="auto"/>
            </w:pPr>
            <w:r>
              <w:rPr>
                <w:sz w:val="18"/>
                <w:szCs w:val="18"/>
              </w:rPr>
              <w:t>Kapitel </w:t>
            </w:r>
            <w:hyperlink w:anchor="k32" w:history="1">
              <w:r>
                <w:rPr>
                  <w:sz w:val="18"/>
                  <w:szCs w:val="18"/>
                </w:rPr>
                <w:t>32</w:t>
              </w:r>
            </w:hyperlink>
          </w:p>
        </w:tc>
      </w:tr>
      <w:tr w:rsidR="00C1548D" w14:paraId="70A517D7"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4" w14:textId="77777777" w:rsidR="00C1548D" w:rsidRDefault="009B1B4B">
            <w:pPr>
              <w:spacing w:line="250" w:lineRule="auto"/>
            </w:pPr>
            <w:r>
              <w:rPr>
                <w:sz w:val="18"/>
                <w:szCs w:val="18"/>
              </w:rPr>
              <w:t>aad.org</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5" w14:textId="77777777" w:rsidR="00C1548D" w:rsidRDefault="009B1B4B">
            <w:pPr>
              <w:spacing w:line="250" w:lineRule="auto"/>
            </w:pPr>
            <w:r>
              <w:rPr>
                <w:sz w:val="18"/>
                <w:szCs w:val="18"/>
              </w:rPr>
              <w:t>American Academy of Dermatology, Sonnenschutz</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6" w14:textId="0E3C1111" w:rsidR="00C1548D" w:rsidRDefault="009B1B4B">
            <w:pPr>
              <w:spacing w:line="250" w:lineRule="auto"/>
            </w:pPr>
            <w:r>
              <w:rPr>
                <w:sz w:val="18"/>
                <w:szCs w:val="18"/>
              </w:rPr>
              <w:t>Kapitel </w:t>
            </w:r>
            <w:hyperlink w:anchor="k34" w:history="1">
              <w:r>
                <w:rPr>
                  <w:sz w:val="18"/>
                  <w:szCs w:val="18"/>
                </w:rPr>
                <w:t>34</w:t>
              </w:r>
            </w:hyperlink>
          </w:p>
        </w:tc>
      </w:tr>
      <w:tr w:rsidR="00C1548D" w14:paraId="70A517DB"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8" w14:textId="77777777" w:rsidR="00C1548D" w:rsidRDefault="009B1B4B">
            <w:pPr>
              <w:spacing w:line="250" w:lineRule="auto"/>
            </w:pPr>
            <w:r>
              <w:rPr>
                <w:sz w:val="18"/>
                <w:szCs w:val="18"/>
              </w:rPr>
              <w:t>tax.ny.gov, revenue.pa.gov</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9" w14:textId="77777777" w:rsidR="00C1548D" w:rsidRDefault="009B1B4B">
            <w:pPr>
              <w:spacing w:line="250" w:lineRule="auto"/>
            </w:pPr>
            <w:r>
              <w:rPr>
                <w:sz w:val="18"/>
                <w:szCs w:val="18"/>
              </w:rPr>
              <w:t>Verkaufssteuer auf Kleidung, Beispiele einzelner Bundesstaaten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A" w14:textId="694422E1" w:rsidR="00C1548D" w:rsidRDefault="009B1B4B">
            <w:pPr>
              <w:spacing w:line="250" w:lineRule="auto"/>
            </w:pPr>
            <w:r>
              <w:rPr>
                <w:sz w:val="18"/>
                <w:szCs w:val="18"/>
              </w:rPr>
              <w:t>Kapitel </w:t>
            </w:r>
            <w:hyperlink w:anchor="k34" w:history="1">
              <w:r>
                <w:rPr>
                  <w:sz w:val="18"/>
                  <w:szCs w:val="18"/>
                </w:rPr>
                <w:t>34</w:t>
              </w:r>
            </w:hyperlink>
          </w:p>
        </w:tc>
      </w:tr>
      <w:tr w:rsidR="00C1548D" w14:paraId="70A517DF"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C" w14:textId="77777777" w:rsidR="00C1548D" w:rsidRDefault="009B1B4B">
            <w:pPr>
              <w:spacing w:line="250" w:lineRule="auto"/>
            </w:pPr>
            <w:r>
              <w:rPr>
                <w:sz w:val="18"/>
                <w:szCs w:val="18"/>
              </w:rPr>
              <w:t>fna.usda.gov/research/cnpp/usda-food-plans (auch /nslp)</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D" w14:textId="77777777" w:rsidR="00C1548D" w:rsidRDefault="009B1B4B">
            <w:pPr>
              <w:spacing w:line="250" w:lineRule="auto"/>
            </w:pPr>
            <w:r>
              <w:rPr>
                <w:sz w:val="18"/>
                <w:szCs w:val="18"/>
              </w:rPr>
              <w:t>Richtwerte für Lebensmittelkosten, Schulmahlzeiten</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DE" w14:textId="38F81E3C" w:rsidR="00C1548D" w:rsidRDefault="009B1B4B">
            <w:pPr>
              <w:spacing w:line="250" w:lineRule="auto"/>
            </w:pPr>
            <w:r>
              <w:rPr>
                <w:sz w:val="18"/>
                <w:szCs w:val="18"/>
              </w:rPr>
              <w:t>Kapitel </w:t>
            </w:r>
            <w:hyperlink w:anchor="k35" w:history="1">
              <w:r>
                <w:rPr>
                  <w:sz w:val="18"/>
                  <w:szCs w:val="18"/>
                </w:rPr>
                <w:t>35</w:t>
              </w:r>
            </w:hyperlink>
          </w:p>
        </w:tc>
      </w:tr>
      <w:tr w:rsidR="00C1548D" w14:paraId="70A517E3"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E0" w14:textId="77777777" w:rsidR="00C1548D" w:rsidRDefault="009B1B4B">
            <w:pPr>
              <w:spacing w:line="250" w:lineRule="auto"/>
            </w:pPr>
            <w:r>
              <w:rPr>
                <w:sz w:val="18"/>
                <w:szCs w:val="18"/>
              </w:rPr>
              <w:t>usda.gov/topics/organic</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E1" w14:textId="77777777" w:rsidR="00C1548D" w:rsidRDefault="009B1B4B">
            <w:pPr>
              <w:spacing w:line="250" w:lineRule="auto"/>
            </w:pPr>
            <w:r>
              <w:rPr>
                <w:sz w:val="18"/>
                <w:szCs w:val="18"/>
              </w:rPr>
              <w:t>Bio-Kennzeichnung</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E2" w14:textId="7C5857D9" w:rsidR="00C1548D" w:rsidRDefault="009B1B4B">
            <w:pPr>
              <w:spacing w:line="250" w:lineRule="auto"/>
            </w:pPr>
            <w:r>
              <w:rPr>
                <w:sz w:val="18"/>
                <w:szCs w:val="18"/>
              </w:rPr>
              <w:t>Kapitel </w:t>
            </w:r>
            <w:hyperlink w:anchor="k35" w:history="1">
              <w:r>
                <w:rPr>
                  <w:sz w:val="18"/>
                  <w:szCs w:val="18"/>
                </w:rPr>
                <w:t>35</w:t>
              </w:r>
            </w:hyperlink>
          </w:p>
        </w:tc>
      </w:tr>
      <w:tr w:rsidR="00C1548D" w14:paraId="70A517E7"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E4" w14:textId="77777777" w:rsidR="00C1548D" w:rsidRDefault="009B1B4B">
            <w:pPr>
              <w:spacing w:line="250" w:lineRule="auto"/>
            </w:pPr>
            <w:r>
              <w:rPr>
                <w:sz w:val="18"/>
                <w:szCs w:val="18"/>
              </w:rPr>
              <w:t>fda.gov/food (Suche „Red No. 3“)</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E5" w14:textId="77777777" w:rsidR="00C1548D" w:rsidRDefault="009B1B4B">
            <w:pPr>
              <w:spacing w:line="250" w:lineRule="auto"/>
            </w:pPr>
            <w:r>
              <w:rPr>
                <w:sz w:val="18"/>
                <w:szCs w:val="18"/>
              </w:rPr>
              <w:t>Farbstoffe und Zusatzstoffe</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E6" w14:textId="7D042100" w:rsidR="00C1548D" w:rsidRDefault="009B1B4B">
            <w:pPr>
              <w:spacing w:line="250" w:lineRule="auto"/>
            </w:pPr>
            <w:r>
              <w:rPr>
                <w:sz w:val="18"/>
                <w:szCs w:val="18"/>
              </w:rPr>
              <w:t>Kapitel </w:t>
            </w:r>
            <w:hyperlink w:anchor="k35" w:history="1">
              <w:r>
                <w:rPr>
                  <w:sz w:val="18"/>
                  <w:szCs w:val="18"/>
                </w:rPr>
                <w:t>35</w:t>
              </w:r>
            </w:hyperlink>
          </w:p>
        </w:tc>
      </w:tr>
      <w:tr w:rsidR="00C1548D" w14:paraId="70A517EB" w14:textId="77777777">
        <w:tblPrEx>
          <w:tblCellMar>
            <w:top w:w="0" w:type="dxa"/>
            <w:bottom w:w="0" w:type="dxa"/>
          </w:tblCellMar>
        </w:tblPrEx>
        <w:trPr>
          <w:cantSplit/>
        </w:trPr>
        <w:tc>
          <w:tcPr>
            <w:tcW w:w="25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E8" w14:textId="77777777" w:rsidR="00C1548D" w:rsidRDefault="009B1B4B">
            <w:pPr>
              <w:spacing w:line="250" w:lineRule="auto"/>
            </w:pPr>
            <w:r>
              <w:rPr>
                <w:sz w:val="18"/>
                <w:szCs w:val="18"/>
              </w:rPr>
              <w:t>epa.gov/ground-water-and-drinking-water</w:t>
            </w:r>
          </w:p>
        </w:tc>
        <w:tc>
          <w:tcPr>
            <w:tcW w:w="296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E9" w14:textId="77777777" w:rsidR="00C1548D" w:rsidRDefault="009B1B4B">
            <w:pPr>
              <w:spacing w:line="250" w:lineRule="auto"/>
            </w:pPr>
            <w:r>
              <w:rPr>
                <w:sz w:val="18"/>
                <w:szCs w:val="18"/>
              </w:rPr>
              <w:t>Trinkwasser, Blei, Wasserqualitätsbericht</w:t>
            </w:r>
          </w:p>
        </w:tc>
        <w:tc>
          <w:tcPr>
            <w:tcW w:w="9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EA" w14:textId="2D240B33" w:rsidR="00C1548D" w:rsidRDefault="009B1B4B">
            <w:pPr>
              <w:spacing w:line="250" w:lineRule="auto"/>
            </w:pPr>
            <w:r>
              <w:rPr>
                <w:sz w:val="18"/>
                <w:szCs w:val="18"/>
              </w:rPr>
              <w:t>Kapitel </w:t>
            </w:r>
            <w:hyperlink w:anchor="k35" w:history="1">
              <w:r>
                <w:rPr>
                  <w:sz w:val="18"/>
                  <w:szCs w:val="18"/>
                </w:rPr>
                <w:t>35</w:t>
              </w:r>
            </w:hyperlink>
          </w:p>
        </w:tc>
      </w:tr>
    </w:tbl>
    <w:p w14:paraId="70A517EC" w14:textId="77777777" w:rsidR="00C1548D" w:rsidRDefault="00C1548D">
      <w:pPr>
        <w:spacing w:line="180" w:lineRule="exact"/>
      </w:pPr>
    </w:p>
    <w:p w14:paraId="70A517ED" w14:textId="77777777" w:rsidR="00C1548D" w:rsidRDefault="009B1B4B">
      <w:pPr>
        <w:pStyle w:val="Heading2"/>
        <w:keepNext/>
        <w:pageBreakBefore/>
        <w:jc w:val="center"/>
      </w:pPr>
      <w:bookmarkStart w:id="214" w:name="s102"/>
      <w:bookmarkStart w:id="215" w:name="_Toc241352559"/>
      <w:r>
        <w:rPr>
          <w:rFonts w:ascii="Amazon Ember" w:eastAsia="Amazon Ember" w:hAnsi="Amazon Ember" w:cs="Amazon Ember"/>
          <w:color w:val="0000FF"/>
          <w:sz w:val="36"/>
          <w:szCs w:val="36"/>
        </w:rPr>
        <w:lastRenderedPageBreak/>
        <w:t>Kanada</w:t>
      </w:r>
      <w:bookmarkEnd w:id="214"/>
      <w:bookmarkEnd w:id="215"/>
    </w:p>
    <w:p w14:paraId="70A517EE" w14:textId="77777777" w:rsidR="00C1548D" w:rsidRDefault="009B1B4B">
      <w:pPr>
        <w:pStyle w:val="Heading3"/>
        <w:keepNext/>
        <w:jc w:val="center"/>
      </w:pPr>
      <w:r>
        <w:rPr>
          <w:rFonts w:ascii="Amazon Ember" w:eastAsia="Amazon Ember" w:hAnsi="Amazon Ember" w:cs="Amazon Ember"/>
          <w:color w:val="0000FF"/>
          <w:sz w:val="36"/>
          <w:szCs w:val="36"/>
        </w:rPr>
        <w:t>Kanada: Einwanderungsbehörden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23"/>
        <w:gridCol w:w="2623"/>
        <w:gridCol w:w="1234"/>
      </w:tblGrid>
      <w:tr w:rsidR="00C1548D" w14:paraId="70A517F2" w14:textId="77777777">
        <w:tblPrEx>
          <w:tblCellMar>
            <w:top w:w="0" w:type="dxa"/>
            <w:bottom w:w="0" w:type="dxa"/>
          </w:tblCellMar>
        </w:tblPrEx>
        <w:trPr>
          <w:cantSplit/>
          <w:tblHeader/>
        </w:trPr>
        <w:tc>
          <w:tcPr>
            <w:tcW w:w="262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EF" w14:textId="77777777" w:rsidR="00C1548D" w:rsidRDefault="009B1B4B">
            <w:pPr>
              <w:spacing w:line="250" w:lineRule="auto"/>
            </w:pPr>
            <w:r>
              <w:rPr>
                <w:b/>
                <w:bCs/>
                <w:sz w:val="18"/>
                <w:szCs w:val="18"/>
              </w:rPr>
              <w:t>Adresse</w:t>
            </w:r>
          </w:p>
        </w:tc>
        <w:tc>
          <w:tcPr>
            <w:tcW w:w="262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F0" w14:textId="77777777" w:rsidR="00C1548D" w:rsidRDefault="009B1B4B">
            <w:pPr>
              <w:spacing w:line="250" w:lineRule="auto"/>
            </w:pPr>
            <w:r>
              <w:rPr>
                <w:b/>
                <w:bCs/>
                <w:sz w:val="18"/>
                <w:szCs w:val="18"/>
              </w:rPr>
              <w:t>Behörde / Thema</w:t>
            </w:r>
          </w:p>
        </w:tc>
        <w:tc>
          <w:tcPr>
            <w:tcW w:w="123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7F1" w14:textId="77777777" w:rsidR="00C1548D" w:rsidRDefault="009B1B4B">
            <w:pPr>
              <w:spacing w:line="250" w:lineRule="auto"/>
            </w:pPr>
            <w:r>
              <w:rPr>
                <w:b/>
                <w:bCs/>
                <w:sz w:val="18"/>
                <w:szCs w:val="18"/>
              </w:rPr>
              <w:t>Referenz</w:t>
            </w:r>
          </w:p>
        </w:tc>
      </w:tr>
      <w:tr w:rsidR="00C1548D" w14:paraId="70A517F6"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F3" w14:textId="77777777" w:rsidR="00C1548D" w:rsidRDefault="009B1B4B">
            <w:pPr>
              <w:spacing w:line="250" w:lineRule="auto"/>
            </w:pPr>
            <w:r>
              <w:rPr>
                <w:sz w:val="18"/>
                <w:szCs w:val="18"/>
              </w:rPr>
              <w:t>ircc.canada.ca/english/information/fees (auch /fees.asp)</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F4" w14:textId="77777777" w:rsidR="00C1548D" w:rsidRDefault="009B1B4B">
            <w:pPr>
              <w:spacing w:line="250" w:lineRule="auto"/>
            </w:pPr>
            <w:r>
              <w:rPr>
                <w:sz w:val="18"/>
                <w:szCs w:val="18"/>
              </w:rPr>
              <w:t>Gebühren für Permanent Residence, Arbeitsvisum, Visa und Biometrie</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F5" w14:textId="77777777" w:rsidR="00C1548D" w:rsidRDefault="009B1B4B">
            <w:pPr>
              <w:spacing w:line="250" w:lineRule="auto"/>
            </w:pPr>
            <w:r>
              <w:rPr>
                <w:sz w:val="18"/>
                <w:szCs w:val="18"/>
              </w:rPr>
              <w:t>Kanada: Einwanderung</w:t>
            </w:r>
          </w:p>
        </w:tc>
      </w:tr>
      <w:tr w:rsidR="00C1548D" w14:paraId="70A517FA"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F7" w14:textId="77777777" w:rsidR="00C1548D" w:rsidRDefault="009B1B4B">
            <w:pPr>
              <w:spacing w:line="250" w:lineRule="auto"/>
            </w:pPr>
            <w:r>
              <w:rPr>
                <w:sz w:val="18"/>
                <w:szCs w:val="18"/>
              </w:rPr>
              <w:t>canada.ca/en/immigration-refugees-citizenship</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F8" w14:textId="77777777" w:rsidR="00C1548D" w:rsidRDefault="009B1B4B">
            <w:pPr>
              <w:spacing w:line="250" w:lineRule="auto"/>
            </w:pPr>
            <w:r>
              <w:rPr>
                <w:sz w:val="18"/>
                <w:szCs w:val="18"/>
              </w:rPr>
              <w:t>Express Entry, CRS und Einladungsrunden</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F9" w14:textId="77777777" w:rsidR="00C1548D" w:rsidRDefault="009B1B4B">
            <w:pPr>
              <w:spacing w:line="250" w:lineRule="auto"/>
            </w:pPr>
            <w:r>
              <w:rPr>
                <w:sz w:val="18"/>
                <w:szCs w:val="18"/>
              </w:rPr>
              <w:t>Kanada: Einwanderung</w:t>
            </w:r>
          </w:p>
        </w:tc>
      </w:tr>
      <w:tr w:rsidR="00C1548D" w14:paraId="70A517FE"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FB" w14:textId="77777777" w:rsidR="00C1548D" w:rsidRDefault="009B1B4B">
            <w:pPr>
              <w:spacing w:line="250" w:lineRule="auto"/>
            </w:pPr>
            <w:r>
              <w:rPr>
                <w:sz w:val="18"/>
                <w:szCs w:val="18"/>
              </w:rPr>
              <w:t>canada.ca (Suche: comprehensive-ranking-system)</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FC" w14:textId="77777777" w:rsidR="00C1548D" w:rsidRDefault="009B1B4B">
            <w:pPr>
              <w:spacing w:line="250" w:lineRule="auto"/>
            </w:pPr>
            <w:r>
              <w:rPr>
                <w:sz w:val="18"/>
                <w:szCs w:val="18"/>
              </w:rPr>
              <w:t>CRS-Kriterien und Punkteberechnung</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FD" w14:textId="77777777" w:rsidR="00C1548D" w:rsidRDefault="009B1B4B">
            <w:pPr>
              <w:spacing w:line="250" w:lineRule="auto"/>
            </w:pPr>
            <w:r>
              <w:rPr>
                <w:sz w:val="18"/>
                <w:szCs w:val="18"/>
              </w:rPr>
              <w:t>Kanada: Einwanderung</w:t>
            </w:r>
          </w:p>
        </w:tc>
      </w:tr>
      <w:tr w:rsidR="00C1548D" w14:paraId="70A51802"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7FF" w14:textId="77777777" w:rsidR="00C1548D" w:rsidRDefault="009B1B4B">
            <w:pPr>
              <w:spacing w:line="250" w:lineRule="auto"/>
            </w:pPr>
            <w:r>
              <w:rPr>
                <w:sz w:val="18"/>
                <w:szCs w:val="18"/>
              </w:rPr>
              <w:t>canada.ca (Suche: federal-skilled-workers)</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0" w14:textId="77777777" w:rsidR="00C1548D" w:rsidRDefault="009B1B4B">
            <w:pPr>
              <w:spacing w:line="250" w:lineRule="auto"/>
            </w:pPr>
            <w:r>
              <w:rPr>
                <w:sz w:val="18"/>
                <w:szCs w:val="18"/>
              </w:rPr>
              <w:t>Federal Skilled Worker Program</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1" w14:textId="77777777" w:rsidR="00C1548D" w:rsidRDefault="009B1B4B">
            <w:pPr>
              <w:spacing w:line="250" w:lineRule="auto"/>
            </w:pPr>
            <w:r>
              <w:rPr>
                <w:sz w:val="18"/>
                <w:szCs w:val="18"/>
              </w:rPr>
              <w:t>Kanada: Einwanderung</w:t>
            </w:r>
          </w:p>
        </w:tc>
      </w:tr>
      <w:tr w:rsidR="00C1548D" w14:paraId="70A51806"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3" w14:textId="77777777" w:rsidR="00C1548D" w:rsidRDefault="009B1B4B">
            <w:pPr>
              <w:spacing w:line="250" w:lineRule="auto"/>
            </w:pPr>
            <w:r>
              <w:rPr>
                <w:sz w:val="18"/>
                <w:szCs w:val="18"/>
              </w:rPr>
              <w:t>canada.ca (Suche: provincial-nominees)</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4" w14:textId="77777777" w:rsidR="00C1548D" w:rsidRDefault="009B1B4B">
            <w:pPr>
              <w:spacing w:line="250" w:lineRule="auto"/>
            </w:pPr>
            <w:r>
              <w:rPr>
                <w:sz w:val="18"/>
                <w:szCs w:val="18"/>
              </w:rPr>
              <w:t>Provincial Nominee Program, Übersicht je Provinz</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5" w14:textId="77777777" w:rsidR="00C1548D" w:rsidRDefault="009B1B4B">
            <w:pPr>
              <w:spacing w:line="250" w:lineRule="auto"/>
            </w:pPr>
            <w:r>
              <w:rPr>
                <w:sz w:val="18"/>
                <w:szCs w:val="18"/>
              </w:rPr>
              <w:t>Kanada: Einwanderung</w:t>
            </w:r>
          </w:p>
        </w:tc>
      </w:tr>
      <w:tr w:rsidR="00C1548D" w14:paraId="70A5180A"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7" w14:textId="77777777" w:rsidR="00C1548D" w:rsidRDefault="009B1B4B">
            <w:pPr>
              <w:spacing w:line="250" w:lineRule="auto"/>
            </w:pPr>
            <w:r>
              <w:rPr>
                <w:sz w:val="18"/>
                <w:szCs w:val="18"/>
              </w:rPr>
              <w:t>ontario.ca/page/ontario-immigrant-nominee-program</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8" w14:textId="77777777" w:rsidR="00C1548D" w:rsidRDefault="009B1B4B">
            <w:pPr>
              <w:spacing w:line="250" w:lineRule="auto"/>
            </w:pPr>
            <w:r>
              <w:rPr>
                <w:sz w:val="18"/>
                <w:szCs w:val="18"/>
              </w:rPr>
              <w:t>Ontario Immigrant Nominee Program (OINP)</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9" w14:textId="77777777" w:rsidR="00C1548D" w:rsidRDefault="009B1B4B">
            <w:pPr>
              <w:spacing w:line="250" w:lineRule="auto"/>
            </w:pPr>
            <w:r>
              <w:rPr>
                <w:sz w:val="18"/>
                <w:szCs w:val="18"/>
              </w:rPr>
              <w:t>Kanada: Einwanderung</w:t>
            </w:r>
          </w:p>
        </w:tc>
      </w:tr>
      <w:tr w:rsidR="00C1548D" w14:paraId="70A5180E"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B" w14:textId="77777777" w:rsidR="00C1548D" w:rsidRDefault="009B1B4B">
            <w:pPr>
              <w:spacing w:line="250" w:lineRule="auto"/>
            </w:pPr>
            <w:r>
              <w:rPr>
                <w:sz w:val="18"/>
                <w:szCs w:val="18"/>
              </w:rPr>
              <w:t>welcomebc.ca/immigrate-to-b-c/about-the-bc-pnp</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C" w14:textId="77777777" w:rsidR="00C1548D" w:rsidRDefault="009B1B4B">
            <w:pPr>
              <w:spacing w:line="250" w:lineRule="auto"/>
            </w:pPr>
            <w:r>
              <w:rPr>
                <w:sz w:val="18"/>
                <w:szCs w:val="18"/>
              </w:rPr>
              <w:t>British Columbia Provincial Nominee Program</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D" w14:textId="77777777" w:rsidR="00C1548D" w:rsidRDefault="009B1B4B">
            <w:pPr>
              <w:spacing w:line="250" w:lineRule="auto"/>
            </w:pPr>
            <w:r>
              <w:rPr>
                <w:sz w:val="18"/>
                <w:szCs w:val="18"/>
              </w:rPr>
              <w:t>Kanada: Einwanderung</w:t>
            </w:r>
          </w:p>
        </w:tc>
      </w:tr>
      <w:tr w:rsidR="00C1548D" w14:paraId="70A51812"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0F" w14:textId="77777777" w:rsidR="00C1548D" w:rsidRDefault="009B1B4B">
            <w:pPr>
              <w:spacing w:line="250" w:lineRule="auto"/>
            </w:pPr>
            <w:r>
              <w:rPr>
                <w:sz w:val="18"/>
                <w:szCs w:val="18"/>
              </w:rPr>
              <w:t>canada.ca/en/employment-social-development (auch /services/foreign-workers)</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0" w14:textId="77777777" w:rsidR="00C1548D" w:rsidRDefault="009B1B4B">
            <w:pPr>
              <w:spacing w:line="250" w:lineRule="auto"/>
            </w:pPr>
            <w:r>
              <w:rPr>
                <w:sz w:val="18"/>
                <w:szCs w:val="18"/>
              </w:rPr>
              <w:t>ESDC: Labour Market Impact Assessment (LMIA), Gebühren und Bearbeitungszeiten</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1" w14:textId="77777777" w:rsidR="00C1548D" w:rsidRDefault="009B1B4B">
            <w:pPr>
              <w:spacing w:line="250" w:lineRule="auto"/>
            </w:pPr>
            <w:r>
              <w:rPr>
                <w:sz w:val="18"/>
                <w:szCs w:val="18"/>
              </w:rPr>
              <w:t>Kanada: Einwanderung</w:t>
            </w:r>
          </w:p>
        </w:tc>
      </w:tr>
      <w:tr w:rsidR="00C1548D" w14:paraId="70A51816"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3" w14:textId="77777777" w:rsidR="00C1548D" w:rsidRDefault="009B1B4B">
            <w:pPr>
              <w:spacing w:line="250" w:lineRule="auto"/>
            </w:pPr>
            <w:r>
              <w:rPr>
                <w:sz w:val="18"/>
                <w:szCs w:val="18"/>
              </w:rPr>
              <w:t>canada.ca (Suche: study-permit, post-graduation-work-permit)</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4" w14:textId="77777777" w:rsidR="00C1548D" w:rsidRDefault="009B1B4B">
            <w:pPr>
              <w:spacing w:line="250" w:lineRule="auto"/>
            </w:pPr>
            <w:r>
              <w:rPr>
                <w:sz w:val="18"/>
                <w:szCs w:val="18"/>
              </w:rPr>
              <w:t>Study Permit und Post-Graduation Work Permit</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5" w14:textId="77777777" w:rsidR="00C1548D" w:rsidRDefault="009B1B4B">
            <w:pPr>
              <w:spacing w:line="250" w:lineRule="auto"/>
            </w:pPr>
            <w:r>
              <w:rPr>
                <w:sz w:val="18"/>
                <w:szCs w:val="18"/>
              </w:rPr>
              <w:t>Kanada: Einwanderung</w:t>
            </w:r>
          </w:p>
        </w:tc>
      </w:tr>
      <w:tr w:rsidR="00C1548D" w14:paraId="70A5181A"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7" w14:textId="77777777" w:rsidR="00C1548D" w:rsidRDefault="009B1B4B">
            <w:pPr>
              <w:spacing w:line="250" w:lineRule="auto"/>
            </w:pPr>
            <w:r>
              <w:rPr>
                <w:sz w:val="18"/>
                <w:szCs w:val="18"/>
              </w:rPr>
              <w:t>canada.ca (Suche: start-visa)</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8" w14:textId="77777777" w:rsidR="00C1548D" w:rsidRDefault="009B1B4B">
            <w:pPr>
              <w:spacing w:line="250" w:lineRule="auto"/>
            </w:pPr>
            <w:r>
              <w:rPr>
                <w:sz w:val="18"/>
                <w:szCs w:val="18"/>
              </w:rPr>
              <w:t>Start-up Visa Program, Zulässigkeit und designierte Organisationen</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9" w14:textId="77777777" w:rsidR="00C1548D" w:rsidRDefault="009B1B4B">
            <w:pPr>
              <w:spacing w:line="250" w:lineRule="auto"/>
            </w:pPr>
            <w:r>
              <w:rPr>
                <w:sz w:val="18"/>
                <w:szCs w:val="18"/>
              </w:rPr>
              <w:t>Kanada: Einwanderung</w:t>
            </w:r>
          </w:p>
        </w:tc>
      </w:tr>
      <w:tr w:rsidR="00C1548D" w14:paraId="70A5181E"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B" w14:textId="77777777" w:rsidR="00C1548D" w:rsidRDefault="009B1B4B">
            <w:pPr>
              <w:spacing w:line="250" w:lineRule="auto"/>
            </w:pPr>
            <w:r>
              <w:rPr>
                <w:sz w:val="18"/>
                <w:szCs w:val="18"/>
              </w:rPr>
              <w:t>canada.ca (Suche: sponsor-spouse-partner-child)</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C" w14:textId="77777777" w:rsidR="00C1548D" w:rsidRDefault="009B1B4B">
            <w:pPr>
              <w:spacing w:line="250" w:lineRule="auto"/>
            </w:pPr>
            <w:r>
              <w:rPr>
                <w:sz w:val="18"/>
                <w:szCs w:val="18"/>
              </w:rPr>
              <w:t>Ehepartner- und Lebenspartner-Sponsoring</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D" w14:textId="77777777" w:rsidR="00C1548D" w:rsidRDefault="009B1B4B">
            <w:pPr>
              <w:spacing w:line="250" w:lineRule="auto"/>
            </w:pPr>
            <w:r>
              <w:rPr>
                <w:sz w:val="18"/>
                <w:szCs w:val="18"/>
              </w:rPr>
              <w:t>Kanada: Einwanderung</w:t>
            </w:r>
          </w:p>
        </w:tc>
      </w:tr>
      <w:tr w:rsidR="00C1548D" w14:paraId="70A51822"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1F" w14:textId="77777777" w:rsidR="00C1548D" w:rsidRDefault="009B1B4B">
            <w:pPr>
              <w:spacing w:line="250" w:lineRule="auto"/>
            </w:pPr>
            <w:r>
              <w:rPr>
                <w:sz w:val="18"/>
                <w:szCs w:val="18"/>
              </w:rPr>
              <w:lastRenderedPageBreak/>
              <w:t>canada.ca (Suche: sponsor-parents-grandparents)</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0" w14:textId="77777777" w:rsidR="00C1548D" w:rsidRDefault="009B1B4B">
            <w:pPr>
              <w:spacing w:line="250" w:lineRule="auto"/>
            </w:pPr>
            <w:r>
              <w:rPr>
                <w:sz w:val="18"/>
                <w:szCs w:val="18"/>
              </w:rPr>
              <w:t>Eltern- und Großeltern-Programm, Einkommensvoraussetzungen</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1" w14:textId="77777777" w:rsidR="00C1548D" w:rsidRDefault="009B1B4B">
            <w:pPr>
              <w:spacing w:line="250" w:lineRule="auto"/>
            </w:pPr>
            <w:r>
              <w:rPr>
                <w:sz w:val="18"/>
                <w:szCs w:val="18"/>
              </w:rPr>
              <w:t>Kanada: Einwanderung</w:t>
            </w:r>
          </w:p>
        </w:tc>
      </w:tr>
      <w:tr w:rsidR="00C1548D" w14:paraId="70A51826"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3" w14:textId="77777777" w:rsidR="00C1548D" w:rsidRDefault="009B1B4B">
            <w:pPr>
              <w:spacing w:line="250" w:lineRule="auto"/>
            </w:pPr>
            <w:r>
              <w:rPr>
                <w:sz w:val="18"/>
                <w:szCs w:val="18"/>
              </w:rPr>
              <w:t>canada.ca (Suche: super-visa)</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4" w14:textId="77777777" w:rsidR="00C1548D" w:rsidRDefault="009B1B4B">
            <w:pPr>
              <w:spacing w:line="250" w:lineRule="auto"/>
            </w:pPr>
            <w:r>
              <w:rPr>
                <w:sz w:val="18"/>
                <w:szCs w:val="18"/>
              </w:rPr>
              <w:t>Super Visa für Eltern und Großeltern</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5" w14:textId="77777777" w:rsidR="00C1548D" w:rsidRDefault="009B1B4B">
            <w:pPr>
              <w:spacing w:line="250" w:lineRule="auto"/>
            </w:pPr>
            <w:r>
              <w:rPr>
                <w:sz w:val="18"/>
                <w:szCs w:val="18"/>
              </w:rPr>
              <w:t>Kanada: Einwanderung</w:t>
            </w:r>
          </w:p>
        </w:tc>
      </w:tr>
      <w:tr w:rsidR="00C1548D" w14:paraId="70A5182A"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7" w14:textId="77777777" w:rsidR="00C1548D" w:rsidRDefault="009B1B4B">
            <w:pPr>
              <w:spacing w:line="250" w:lineRule="auto"/>
            </w:pPr>
            <w:r>
              <w:rPr>
                <w:sz w:val="18"/>
                <w:szCs w:val="18"/>
              </w:rPr>
              <w:t>canada.ca (Suche: check-processing-times)</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8" w14:textId="77777777" w:rsidR="00C1548D" w:rsidRDefault="009B1B4B">
            <w:pPr>
              <w:spacing w:line="250" w:lineRule="auto"/>
            </w:pPr>
            <w:r>
              <w:rPr>
                <w:sz w:val="18"/>
                <w:szCs w:val="18"/>
              </w:rPr>
              <w:t>Bearbeitungszeiten für Anträge</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9" w14:textId="77777777" w:rsidR="00C1548D" w:rsidRDefault="009B1B4B">
            <w:pPr>
              <w:spacing w:line="250" w:lineRule="auto"/>
            </w:pPr>
            <w:r>
              <w:rPr>
                <w:sz w:val="18"/>
                <w:szCs w:val="18"/>
              </w:rPr>
              <w:t>Kanada: Einwanderung</w:t>
            </w:r>
          </w:p>
        </w:tc>
      </w:tr>
      <w:tr w:rsidR="00C1548D" w14:paraId="70A5182E"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B" w14:textId="77777777" w:rsidR="00C1548D" w:rsidRDefault="009B1B4B">
            <w:pPr>
              <w:spacing w:line="250" w:lineRule="auto"/>
            </w:pPr>
            <w:r>
              <w:rPr>
                <w:sz w:val="18"/>
                <w:szCs w:val="18"/>
              </w:rPr>
              <w:t>canada.ca (Suche: panel-physicians)</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C" w14:textId="77777777" w:rsidR="00C1548D" w:rsidRDefault="009B1B4B">
            <w:pPr>
              <w:spacing w:line="250" w:lineRule="auto"/>
            </w:pPr>
            <w:r>
              <w:rPr>
                <w:sz w:val="18"/>
                <w:szCs w:val="18"/>
              </w:rPr>
              <w:t>Ärztliche Untersuchung, Panel Physicians</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D" w14:textId="77777777" w:rsidR="00C1548D" w:rsidRDefault="009B1B4B">
            <w:pPr>
              <w:spacing w:line="250" w:lineRule="auto"/>
            </w:pPr>
            <w:r>
              <w:rPr>
                <w:sz w:val="18"/>
                <w:szCs w:val="18"/>
              </w:rPr>
              <w:t>Kanada: Einwanderung</w:t>
            </w:r>
          </w:p>
        </w:tc>
      </w:tr>
      <w:tr w:rsidR="00C1548D" w14:paraId="70A51832"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2F" w14:textId="77777777" w:rsidR="00C1548D" w:rsidRDefault="009B1B4B">
            <w:pPr>
              <w:spacing w:line="250" w:lineRule="auto"/>
            </w:pPr>
            <w:r>
              <w:rPr>
                <w:sz w:val="18"/>
                <w:szCs w:val="18"/>
              </w:rPr>
              <w:t>canada.ca (Suche: police-certificates germany)</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0" w14:textId="77777777" w:rsidR="00C1548D" w:rsidRDefault="009B1B4B">
            <w:pPr>
              <w:spacing w:line="250" w:lineRule="auto"/>
            </w:pPr>
            <w:r>
              <w:rPr>
                <w:sz w:val="18"/>
                <w:szCs w:val="18"/>
              </w:rPr>
              <w:t>Polizeiliches Führungszeugnis aus Deutschland beibringen</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1" w14:textId="77777777" w:rsidR="00C1548D" w:rsidRDefault="009B1B4B">
            <w:pPr>
              <w:spacing w:line="250" w:lineRule="auto"/>
            </w:pPr>
            <w:r>
              <w:rPr>
                <w:sz w:val="18"/>
                <w:szCs w:val="18"/>
              </w:rPr>
              <w:t>Kanada: Einwanderung</w:t>
            </w:r>
          </w:p>
        </w:tc>
      </w:tr>
      <w:tr w:rsidR="00C1548D" w14:paraId="70A51836"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3" w14:textId="77777777" w:rsidR="00C1548D" w:rsidRDefault="009B1B4B">
            <w:pPr>
              <w:spacing w:line="250" w:lineRule="auto"/>
            </w:pPr>
            <w:r>
              <w:rPr>
                <w:sz w:val="18"/>
                <w:szCs w:val="18"/>
              </w:rPr>
              <w:t>college-ic.ca</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4" w14:textId="77777777" w:rsidR="00C1548D" w:rsidRDefault="009B1B4B">
            <w:pPr>
              <w:spacing w:line="250" w:lineRule="auto"/>
            </w:pPr>
            <w:r>
              <w:rPr>
                <w:sz w:val="18"/>
                <w:szCs w:val="18"/>
              </w:rPr>
              <w:t>College of Immigration and Citizenship Consultants, Register zugelassener Berater</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5" w14:textId="77777777" w:rsidR="00C1548D" w:rsidRDefault="009B1B4B">
            <w:pPr>
              <w:spacing w:line="250" w:lineRule="auto"/>
            </w:pPr>
            <w:r>
              <w:rPr>
                <w:sz w:val="18"/>
                <w:szCs w:val="18"/>
              </w:rPr>
              <w:t>Kanada: Einwanderung</w:t>
            </w:r>
          </w:p>
        </w:tc>
      </w:tr>
      <w:tr w:rsidR="00C1548D" w14:paraId="70A5183A"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7" w14:textId="77777777" w:rsidR="00C1548D" w:rsidRDefault="009B1B4B">
            <w:pPr>
              <w:spacing w:line="250" w:lineRule="auto"/>
            </w:pPr>
            <w:r>
              <w:rPr>
                <w:sz w:val="18"/>
                <w:szCs w:val="18"/>
              </w:rPr>
              <w:t>visa.vfsglobal.com/deu/de/can</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8" w14:textId="77777777" w:rsidR="00C1548D" w:rsidRDefault="009B1B4B">
            <w:pPr>
              <w:spacing w:line="250" w:lineRule="auto"/>
            </w:pPr>
            <w:r>
              <w:rPr>
                <w:sz w:val="18"/>
                <w:szCs w:val="18"/>
              </w:rPr>
              <w:t>Visa Application Centre Berlin</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9" w14:textId="77777777" w:rsidR="00C1548D" w:rsidRDefault="009B1B4B">
            <w:pPr>
              <w:spacing w:line="250" w:lineRule="auto"/>
            </w:pPr>
            <w:r>
              <w:rPr>
                <w:sz w:val="18"/>
                <w:szCs w:val="18"/>
              </w:rPr>
              <w:t>Kanada: Einwanderung</w:t>
            </w:r>
          </w:p>
        </w:tc>
      </w:tr>
      <w:tr w:rsidR="00C1548D" w14:paraId="70A5183E"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B" w14:textId="77777777" w:rsidR="00C1548D" w:rsidRDefault="009B1B4B">
            <w:pPr>
              <w:spacing w:line="250" w:lineRule="auto"/>
            </w:pPr>
            <w:r>
              <w:rPr>
                <w:sz w:val="18"/>
                <w:szCs w:val="18"/>
              </w:rPr>
              <w:t>cbsa-asfc.gc.ca</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C" w14:textId="77777777" w:rsidR="00C1548D" w:rsidRDefault="009B1B4B">
            <w:pPr>
              <w:spacing w:line="250" w:lineRule="auto"/>
            </w:pPr>
            <w:r>
              <w:rPr>
                <w:sz w:val="18"/>
                <w:szCs w:val="18"/>
              </w:rPr>
              <w:t>Canada Border Services Agency, Einreise</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D" w14:textId="77777777" w:rsidR="00C1548D" w:rsidRDefault="009B1B4B">
            <w:pPr>
              <w:spacing w:line="250" w:lineRule="auto"/>
            </w:pPr>
            <w:r>
              <w:rPr>
                <w:sz w:val="18"/>
                <w:szCs w:val="18"/>
              </w:rPr>
              <w:t>Kanada: Ankunft</w:t>
            </w:r>
          </w:p>
        </w:tc>
      </w:tr>
      <w:tr w:rsidR="00C1548D" w14:paraId="70A51842"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3F" w14:textId="77777777" w:rsidR="00C1548D" w:rsidRDefault="009B1B4B">
            <w:pPr>
              <w:spacing w:line="250" w:lineRule="auto"/>
            </w:pPr>
            <w:r>
              <w:rPr>
                <w:sz w:val="18"/>
                <w:szCs w:val="18"/>
              </w:rPr>
              <w:t>canada.ca/en/employment-social-development/services/sin.html</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0" w14:textId="77777777" w:rsidR="00C1548D" w:rsidRDefault="009B1B4B">
            <w:pPr>
              <w:spacing w:line="250" w:lineRule="auto"/>
            </w:pPr>
            <w:r>
              <w:rPr>
                <w:sz w:val="18"/>
                <w:szCs w:val="18"/>
              </w:rPr>
              <w:t>Social Insurance Number (SIN) beantragen</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1" w14:textId="77777777" w:rsidR="00C1548D" w:rsidRDefault="009B1B4B">
            <w:pPr>
              <w:spacing w:line="250" w:lineRule="auto"/>
            </w:pPr>
            <w:r>
              <w:rPr>
                <w:sz w:val="18"/>
                <w:szCs w:val="18"/>
              </w:rPr>
              <w:t>Kanada: Ankunft</w:t>
            </w:r>
          </w:p>
        </w:tc>
      </w:tr>
      <w:tr w:rsidR="00C1548D" w14:paraId="70A51846"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3" w14:textId="77777777" w:rsidR="00C1548D" w:rsidRDefault="009B1B4B">
            <w:pPr>
              <w:spacing w:line="250" w:lineRule="auto"/>
            </w:pPr>
            <w:r>
              <w:rPr>
                <w:sz w:val="18"/>
                <w:szCs w:val="18"/>
              </w:rPr>
              <w:t>canada.ca/en/immigration-refugees-citizenship/services/work-canada</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4" w14:textId="77777777" w:rsidR="00C1548D" w:rsidRDefault="009B1B4B">
            <w:pPr>
              <w:spacing w:line="250" w:lineRule="auto"/>
            </w:pPr>
            <w:r>
              <w:rPr>
                <w:sz w:val="18"/>
                <w:szCs w:val="18"/>
              </w:rPr>
              <w:t>Work Permit, Arbeitgeberwechsel, Bridging Open Work Permit</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5" w14:textId="77777777" w:rsidR="00C1548D" w:rsidRDefault="009B1B4B">
            <w:pPr>
              <w:spacing w:line="250" w:lineRule="auto"/>
            </w:pPr>
            <w:r>
              <w:rPr>
                <w:sz w:val="18"/>
                <w:szCs w:val="18"/>
              </w:rPr>
              <w:t>Kanada: Arbeitswelt</w:t>
            </w:r>
          </w:p>
        </w:tc>
      </w:tr>
      <w:tr w:rsidR="00C1548D" w14:paraId="70A5184A"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7" w14:textId="77777777" w:rsidR="00C1548D" w:rsidRDefault="009B1B4B">
            <w:pPr>
              <w:spacing w:line="250" w:lineRule="auto"/>
            </w:pPr>
            <w:r>
              <w:rPr>
                <w:sz w:val="18"/>
                <w:szCs w:val="18"/>
              </w:rPr>
              <w:t>canada.ca/en/immigration-refugees-citizenship/services/work-canada/permit/temporary/vulnerable-workers.html</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8" w14:textId="77777777" w:rsidR="00C1548D" w:rsidRDefault="009B1B4B">
            <w:pPr>
              <w:spacing w:line="250" w:lineRule="auto"/>
            </w:pPr>
            <w:r>
              <w:rPr>
                <w:sz w:val="18"/>
                <w:szCs w:val="18"/>
              </w:rPr>
              <w:t>Offenes Arbeitsvisum für gefährdete Arbeitnehmer</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9" w14:textId="77777777" w:rsidR="00C1548D" w:rsidRDefault="009B1B4B">
            <w:pPr>
              <w:spacing w:line="250" w:lineRule="auto"/>
            </w:pPr>
            <w:r>
              <w:rPr>
                <w:sz w:val="18"/>
                <w:szCs w:val="18"/>
              </w:rPr>
              <w:t>Kanada: Arbeitswelt</w:t>
            </w:r>
          </w:p>
        </w:tc>
      </w:tr>
      <w:tr w:rsidR="00C1548D" w14:paraId="70A5184E"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B" w14:textId="77777777" w:rsidR="00C1548D" w:rsidRDefault="009B1B4B">
            <w:pPr>
              <w:spacing w:line="250" w:lineRule="auto"/>
            </w:pPr>
            <w:r>
              <w:rPr>
                <w:sz w:val="18"/>
                <w:szCs w:val="18"/>
              </w:rPr>
              <w:t>canada.ca (Citizenship: physical presence calculator, requirements, fees)</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C" w14:textId="77777777" w:rsidR="00C1548D" w:rsidRDefault="009B1B4B">
            <w:pPr>
              <w:spacing w:line="250" w:lineRule="auto"/>
            </w:pPr>
            <w:r>
              <w:rPr>
                <w:sz w:val="18"/>
                <w:szCs w:val="18"/>
              </w:rPr>
              <w:t>Einbürgerung: Aufenthaltsrechner, Voraussetzungen, Gebühren</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D" w14:textId="77777777" w:rsidR="00C1548D" w:rsidRDefault="009B1B4B">
            <w:pPr>
              <w:spacing w:line="250" w:lineRule="auto"/>
            </w:pPr>
            <w:r>
              <w:rPr>
                <w:sz w:val="18"/>
                <w:szCs w:val="18"/>
              </w:rPr>
              <w:t>Kanada: Staatsbürgerschaft</w:t>
            </w:r>
          </w:p>
        </w:tc>
      </w:tr>
      <w:tr w:rsidR="00C1548D" w14:paraId="70A51852"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4F" w14:textId="77777777" w:rsidR="00C1548D" w:rsidRDefault="009B1B4B">
            <w:pPr>
              <w:spacing w:line="250" w:lineRule="auto"/>
            </w:pPr>
            <w:r>
              <w:rPr>
                <w:sz w:val="18"/>
                <w:szCs w:val="18"/>
              </w:rPr>
              <w:lastRenderedPageBreak/>
              <w:t>canada.ca (Understand permanent resident status)</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50" w14:textId="77777777" w:rsidR="00C1548D" w:rsidRDefault="009B1B4B">
            <w:pPr>
              <w:spacing w:line="250" w:lineRule="auto"/>
            </w:pPr>
            <w:r>
              <w:rPr>
                <w:sz w:val="18"/>
                <w:szCs w:val="18"/>
              </w:rPr>
              <w:t>IRPA-Aufenthaltspflichten für Permanent Residents</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51" w14:textId="77777777" w:rsidR="00C1548D" w:rsidRDefault="009B1B4B">
            <w:pPr>
              <w:spacing w:line="250" w:lineRule="auto"/>
            </w:pPr>
            <w:r>
              <w:rPr>
                <w:sz w:val="18"/>
                <w:szCs w:val="18"/>
              </w:rPr>
              <w:t>Kanada: Staatsbürgerschaft</w:t>
            </w:r>
          </w:p>
        </w:tc>
      </w:tr>
      <w:tr w:rsidR="00C1548D" w14:paraId="70A51856" w14:textId="77777777">
        <w:tblPrEx>
          <w:tblCellMar>
            <w:top w:w="0" w:type="dxa"/>
            <w:bottom w:w="0" w:type="dxa"/>
          </w:tblCellMar>
        </w:tblPrEx>
        <w:trPr>
          <w:cantSplit/>
        </w:trPr>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53" w14:textId="77777777" w:rsidR="00C1548D" w:rsidRDefault="009B1B4B">
            <w:pPr>
              <w:spacing w:line="250" w:lineRule="auto"/>
            </w:pPr>
            <w:r>
              <w:rPr>
                <w:sz w:val="18"/>
                <w:szCs w:val="18"/>
              </w:rPr>
              <w:t>bmi.bund.de</w:t>
            </w:r>
          </w:p>
        </w:tc>
        <w:tc>
          <w:tcPr>
            <w:tcW w:w="26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54" w14:textId="77777777" w:rsidR="00C1548D" w:rsidRDefault="009B1B4B">
            <w:pPr>
              <w:spacing w:line="250" w:lineRule="auto"/>
            </w:pPr>
            <w:r>
              <w:rPr>
                <w:sz w:val="18"/>
                <w:szCs w:val="18"/>
              </w:rPr>
              <w:t>Staatsangehörigkeitsrecht, Reform 2024 (Mehrstaatigkeit)</w:t>
            </w:r>
          </w:p>
        </w:tc>
        <w:tc>
          <w:tcPr>
            <w:tcW w:w="12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55" w14:textId="77777777" w:rsidR="00C1548D" w:rsidRDefault="009B1B4B">
            <w:pPr>
              <w:spacing w:line="250" w:lineRule="auto"/>
            </w:pPr>
            <w:r>
              <w:rPr>
                <w:sz w:val="18"/>
                <w:szCs w:val="18"/>
              </w:rPr>
              <w:t>Kanada: Staatsbürgerschaft</w:t>
            </w:r>
          </w:p>
        </w:tc>
      </w:tr>
    </w:tbl>
    <w:p w14:paraId="70A51857" w14:textId="77777777" w:rsidR="00C1548D" w:rsidRDefault="00C1548D">
      <w:pPr>
        <w:spacing w:line="180" w:lineRule="exact"/>
      </w:pPr>
    </w:p>
    <w:p w14:paraId="70A51858" w14:textId="77777777" w:rsidR="00C1548D" w:rsidRDefault="009B1B4B">
      <w:pPr>
        <w:pStyle w:val="Heading3"/>
        <w:keepNext/>
        <w:jc w:val="center"/>
      </w:pPr>
      <w:r>
        <w:rPr>
          <w:rFonts w:ascii="Amazon Ember" w:eastAsia="Amazon Ember" w:hAnsi="Amazon Ember" w:cs="Amazon Ember"/>
          <w:color w:val="0000FF"/>
          <w:sz w:val="36"/>
          <w:szCs w:val="36"/>
        </w:rPr>
        <w:t>Kanada: Steuern und Sozialversicherung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7"/>
        <w:gridCol w:w="3153"/>
        <w:gridCol w:w="1000"/>
      </w:tblGrid>
      <w:tr w:rsidR="00C1548D" w14:paraId="70A5185C" w14:textId="77777777">
        <w:tblPrEx>
          <w:tblCellMar>
            <w:top w:w="0" w:type="dxa"/>
            <w:bottom w:w="0" w:type="dxa"/>
          </w:tblCellMar>
        </w:tblPrEx>
        <w:trPr>
          <w:cantSplit/>
          <w:tblHeader/>
        </w:trPr>
        <w:tc>
          <w:tcPr>
            <w:tcW w:w="232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59" w14:textId="77777777" w:rsidR="00C1548D" w:rsidRDefault="009B1B4B">
            <w:pPr>
              <w:spacing w:line="250" w:lineRule="auto"/>
            </w:pPr>
            <w:r>
              <w:rPr>
                <w:b/>
                <w:bCs/>
                <w:sz w:val="18"/>
                <w:szCs w:val="18"/>
              </w:rPr>
              <w:t>Adresse</w:t>
            </w:r>
          </w:p>
        </w:tc>
        <w:tc>
          <w:tcPr>
            <w:tcW w:w="31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5A" w14:textId="77777777" w:rsidR="00C1548D" w:rsidRDefault="009B1B4B">
            <w:pPr>
              <w:spacing w:line="250" w:lineRule="auto"/>
            </w:pPr>
            <w:r>
              <w:rPr>
                <w:b/>
                <w:bCs/>
                <w:sz w:val="18"/>
                <w:szCs w:val="18"/>
              </w:rPr>
              <w:t>Behörde / Thema</w:t>
            </w:r>
          </w:p>
        </w:tc>
        <w:tc>
          <w:tcPr>
            <w:tcW w:w="10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5B" w14:textId="77777777" w:rsidR="00C1548D" w:rsidRDefault="009B1B4B">
            <w:pPr>
              <w:spacing w:line="250" w:lineRule="auto"/>
            </w:pPr>
            <w:r>
              <w:rPr>
                <w:b/>
                <w:bCs/>
                <w:sz w:val="18"/>
                <w:szCs w:val="18"/>
              </w:rPr>
              <w:t>Referenz</w:t>
            </w:r>
          </w:p>
        </w:tc>
      </w:tr>
      <w:tr w:rsidR="00C1548D" w14:paraId="70A51860" w14:textId="77777777">
        <w:tblPrEx>
          <w:tblCellMar>
            <w:top w:w="0" w:type="dxa"/>
            <w:bottom w:w="0" w:type="dxa"/>
          </w:tblCellMar>
        </w:tblPrEx>
        <w:trPr>
          <w:cantSplit/>
        </w:trPr>
        <w:tc>
          <w:tcPr>
            <w:tcW w:w="2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5D" w14:textId="77777777" w:rsidR="00C1548D" w:rsidRDefault="009B1B4B">
            <w:pPr>
              <w:spacing w:line="250" w:lineRule="auto"/>
            </w:pPr>
            <w:r>
              <w:rPr>
                <w:sz w:val="18"/>
                <w:szCs w:val="18"/>
              </w:rPr>
              <w:t>canada.ca/en/revenue-agency</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5E" w14:textId="77777777" w:rsidR="00C1548D" w:rsidRDefault="009B1B4B">
            <w:pPr>
              <w:spacing w:line="250" w:lineRule="auto"/>
            </w:pPr>
            <w:r>
              <w:rPr>
                <w:sz w:val="18"/>
                <w:szCs w:val="18"/>
              </w:rPr>
              <w:t>CRA: Einkommensteuersätze, CPP-Beitragssätze, Startseite</w:t>
            </w:r>
          </w:p>
        </w:tc>
        <w:tc>
          <w:tcPr>
            <w:tcW w:w="10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5F" w14:textId="77777777" w:rsidR="00C1548D" w:rsidRDefault="009B1B4B">
            <w:pPr>
              <w:spacing w:line="250" w:lineRule="auto"/>
            </w:pPr>
            <w:r>
              <w:rPr>
                <w:sz w:val="18"/>
                <w:szCs w:val="18"/>
              </w:rPr>
              <w:t>Kanada: Steuern</w:t>
            </w:r>
          </w:p>
        </w:tc>
      </w:tr>
      <w:tr w:rsidR="00C1548D" w14:paraId="70A51864" w14:textId="77777777">
        <w:tblPrEx>
          <w:tblCellMar>
            <w:top w:w="0" w:type="dxa"/>
            <w:bottom w:w="0" w:type="dxa"/>
          </w:tblCellMar>
        </w:tblPrEx>
        <w:trPr>
          <w:cantSplit/>
        </w:trPr>
        <w:tc>
          <w:tcPr>
            <w:tcW w:w="2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1" w14:textId="77777777" w:rsidR="00C1548D" w:rsidRDefault="009B1B4B">
            <w:pPr>
              <w:spacing w:line="250" w:lineRule="auto"/>
            </w:pPr>
            <w:r>
              <w:rPr>
                <w:sz w:val="18"/>
                <w:szCs w:val="18"/>
              </w:rPr>
              <w:t>canada.ca (Suche: newcomers to Canada tax)</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2" w14:textId="77777777" w:rsidR="00C1548D" w:rsidRDefault="009B1B4B">
            <w:pPr>
              <w:spacing w:line="250" w:lineRule="auto"/>
            </w:pPr>
            <w:r>
              <w:rPr>
                <w:sz w:val="18"/>
                <w:szCs w:val="18"/>
              </w:rPr>
              <w:t>Steuern für Neuankömmlinge</w:t>
            </w:r>
          </w:p>
        </w:tc>
        <w:tc>
          <w:tcPr>
            <w:tcW w:w="10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3" w14:textId="77777777" w:rsidR="00C1548D" w:rsidRDefault="009B1B4B">
            <w:pPr>
              <w:spacing w:line="250" w:lineRule="auto"/>
            </w:pPr>
            <w:r>
              <w:rPr>
                <w:sz w:val="18"/>
                <w:szCs w:val="18"/>
              </w:rPr>
              <w:t>Kanada: Steuern</w:t>
            </w:r>
          </w:p>
        </w:tc>
      </w:tr>
      <w:tr w:rsidR="00C1548D" w14:paraId="70A51868" w14:textId="77777777">
        <w:tblPrEx>
          <w:tblCellMar>
            <w:top w:w="0" w:type="dxa"/>
            <w:bottom w:w="0" w:type="dxa"/>
          </w:tblCellMar>
        </w:tblPrEx>
        <w:trPr>
          <w:cantSplit/>
        </w:trPr>
        <w:tc>
          <w:tcPr>
            <w:tcW w:w="2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5" w14:textId="77777777" w:rsidR="00C1548D" w:rsidRDefault="009B1B4B">
            <w:pPr>
              <w:spacing w:line="250" w:lineRule="auto"/>
            </w:pPr>
            <w:r>
              <w:rPr>
                <w:sz w:val="18"/>
                <w:szCs w:val="18"/>
              </w:rPr>
              <w:t>gov.bc.ca (auch www2.gov.bc.ca, Suche: income tax rates)</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6" w14:textId="77777777" w:rsidR="00C1548D" w:rsidRDefault="009B1B4B">
            <w:pPr>
              <w:spacing w:line="250" w:lineRule="auto"/>
            </w:pPr>
            <w:r>
              <w:rPr>
                <w:sz w:val="18"/>
                <w:szCs w:val="18"/>
              </w:rPr>
              <w:t>British-Columbia-Einkommensteuersätze</w:t>
            </w:r>
          </w:p>
        </w:tc>
        <w:tc>
          <w:tcPr>
            <w:tcW w:w="10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7" w14:textId="77777777" w:rsidR="00C1548D" w:rsidRDefault="009B1B4B">
            <w:pPr>
              <w:spacing w:line="250" w:lineRule="auto"/>
            </w:pPr>
            <w:r>
              <w:rPr>
                <w:sz w:val="18"/>
                <w:szCs w:val="18"/>
              </w:rPr>
              <w:t>Kanada: Steuern</w:t>
            </w:r>
          </w:p>
        </w:tc>
      </w:tr>
      <w:tr w:rsidR="00C1548D" w14:paraId="70A5186C" w14:textId="77777777">
        <w:tblPrEx>
          <w:tblCellMar>
            <w:top w:w="0" w:type="dxa"/>
            <w:bottom w:w="0" w:type="dxa"/>
          </w:tblCellMar>
        </w:tblPrEx>
        <w:trPr>
          <w:cantSplit/>
        </w:trPr>
        <w:tc>
          <w:tcPr>
            <w:tcW w:w="2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9" w14:textId="77777777" w:rsidR="00C1548D" w:rsidRDefault="009B1B4B">
            <w:pPr>
              <w:spacing w:line="250" w:lineRule="auto"/>
            </w:pPr>
            <w:r>
              <w:rPr>
                <w:sz w:val="18"/>
                <w:szCs w:val="18"/>
              </w:rPr>
              <w:t>taxtips.ca</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A" w14:textId="77777777" w:rsidR="00C1548D" w:rsidRDefault="009B1B4B">
            <w:pPr>
              <w:spacing w:line="250" w:lineRule="auto"/>
            </w:pPr>
            <w:r>
              <w:rPr>
                <w:sz w:val="18"/>
                <w:szCs w:val="18"/>
              </w:rPr>
              <w:t>Unabhängige Steuer-Referenzseite: Ontario- und Provinztabellen, Verkaufssteuern</w:t>
            </w:r>
          </w:p>
        </w:tc>
        <w:tc>
          <w:tcPr>
            <w:tcW w:w="10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B" w14:textId="77777777" w:rsidR="00C1548D" w:rsidRDefault="009B1B4B">
            <w:pPr>
              <w:spacing w:line="250" w:lineRule="auto"/>
            </w:pPr>
            <w:r>
              <w:rPr>
                <w:sz w:val="18"/>
                <w:szCs w:val="18"/>
              </w:rPr>
              <w:t>Kanada: Steuern</w:t>
            </w:r>
          </w:p>
        </w:tc>
      </w:tr>
      <w:tr w:rsidR="00C1548D" w14:paraId="70A51870" w14:textId="77777777">
        <w:tblPrEx>
          <w:tblCellMar>
            <w:top w:w="0" w:type="dxa"/>
            <w:bottom w:w="0" w:type="dxa"/>
          </w:tblCellMar>
        </w:tblPrEx>
        <w:trPr>
          <w:cantSplit/>
        </w:trPr>
        <w:tc>
          <w:tcPr>
            <w:tcW w:w="2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D" w14:textId="77777777" w:rsidR="00C1548D" w:rsidRDefault="009B1B4B">
            <w:pPr>
              <w:spacing w:line="250" w:lineRule="auto"/>
            </w:pPr>
            <w:r>
              <w:rPr>
                <w:sz w:val="18"/>
                <w:szCs w:val="18"/>
              </w:rPr>
              <w:t>rbc.com, td.com, scotiabank.com, bmo.com, cibc.com</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E" w14:textId="77777777" w:rsidR="00C1548D" w:rsidRDefault="009B1B4B">
            <w:pPr>
              <w:spacing w:line="250" w:lineRule="auto"/>
            </w:pPr>
            <w:r>
              <w:rPr>
                <w:sz w:val="18"/>
                <w:szCs w:val="18"/>
              </w:rPr>
              <w:t>Newcomer-Bankpakete der „Big Five“-Banken</w:t>
            </w:r>
          </w:p>
        </w:tc>
        <w:tc>
          <w:tcPr>
            <w:tcW w:w="10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6F" w14:textId="77777777" w:rsidR="00C1548D" w:rsidRDefault="009B1B4B">
            <w:pPr>
              <w:spacing w:line="250" w:lineRule="auto"/>
            </w:pPr>
            <w:r>
              <w:rPr>
                <w:sz w:val="18"/>
                <w:szCs w:val="18"/>
              </w:rPr>
              <w:t>Kanada: Steuern</w:t>
            </w:r>
          </w:p>
        </w:tc>
      </w:tr>
      <w:tr w:rsidR="00C1548D" w14:paraId="70A51874" w14:textId="77777777">
        <w:tblPrEx>
          <w:tblCellMar>
            <w:top w:w="0" w:type="dxa"/>
            <w:bottom w:w="0" w:type="dxa"/>
          </w:tblCellMar>
        </w:tblPrEx>
        <w:trPr>
          <w:cantSplit/>
        </w:trPr>
        <w:tc>
          <w:tcPr>
            <w:tcW w:w="2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1" w14:textId="77777777" w:rsidR="00C1548D" w:rsidRDefault="009B1B4B">
            <w:pPr>
              <w:spacing w:line="250" w:lineRule="auto"/>
            </w:pPr>
            <w:r>
              <w:rPr>
                <w:sz w:val="18"/>
                <w:szCs w:val="18"/>
              </w:rPr>
              <w:t>equifax.ca, transunion.ca</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2" w14:textId="77777777" w:rsidR="00C1548D" w:rsidRDefault="009B1B4B">
            <w:pPr>
              <w:spacing w:line="250" w:lineRule="auto"/>
            </w:pPr>
            <w:r>
              <w:rPr>
                <w:sz w:val="18"/>
                <w:szCs w:val="18"/>
              </w:rPr>
              <w:t>Kreditauskunft und Score-Aufbau in Kanada</w:t>
            </w:r>
          </w:p>
        </w:tc>
        <w:tc>
          <w:tcPr>
            <w:tcW w:w="10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3" w14:textId="77777777" w:rsidR="00C1548D" w:rsidRDefault="009B1B4B">
            <w:pPr>
              <w:spacing w:line="250" w:lineRule="auto"/>
            </w:pPr>
            <w:r>
              <w:rPr>
                <w:sz w:val="18"/>
                <w:szCs w:val="18"/>
              </w:rPr>
              <w:t>Kanada: Steuern</w:t>
            </w:r>
          </w:p>
        </w:tc>
      </w:tr>
      <w:tr w:rsidR="00C1548D" w14:paraId="70A51878" w14:textId="77777777">
        <w:tblPrEx>
          <w:tblCellMar>
            <w:top w:w="0" w:type="dxa"/>
            <w:bottom w:w="0" w:type="dxa"/>
          </w:tblCellMar>
        </w:tblPrEx>
        <w:trPr>
          <w:cantSplit/>
        </w:trPr>
        <w:tc>
          <w:tcPr>
            <w:tcW w:w="2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5" w14:textId="77777777" w:rsidR="00C1548D" w:rsidRDefault="009B1B4B">
            <w:pPr>
              <w:spacing w:line="250" w:lineRule="auto"/>
            </w:pPr>
            <w:r>
              <w:rPr>
                <w:sz w:val="18"/>
                <w:szCs w:val="18"/>
              </w:rPr>
              <w:t>canada.ca (Competent Authority Notices)</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6" w14:textId="77777777" w:rsidR="00C1548D" w:rsidRDefault="009B1B4B">
            <w:pPr>
              <w:spacing w:line="250" w:lineRule="auto"/>
            </w:pPr>
            <w:r>
              <w:rPr>
                <w:sz w:val="18"/>
                <w:szCs w:val="18"/>
              </w:rPr>
              <w:t>Doppelbesteuerungsabkommen Kanada–Deutschland</w:t>
            </w:r>
          </w:p>
        </w:tc>
        <w:tc>
          <w:tcPr>
            <w:tcW w:w="10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7" w14:textId="77777777" w:rsidR="00C1548D" w:rsidRDefault="009B1B4B">
            <w:pPr>
              <w:spacing w:line="250" w:lineRule="auto"/>
            </w:pPr>
            <w:r>
              <w:rPr>
                <w:sz w:val="18"/>
                <w:szCs w:val="18"/>
              </w:rPr>
              <w:t>Kanada: Steuern</w:t>
            </w:r>
          </w:p>
        </w:tc>
      </w:tr>
      <w:tr w:rsidR="00C1548D" w14:paraId="70A5187C" w14:textId="77777777">
        <w:tblPrEx>
          <w:tblCellMar>
            <w:top w:w="0" w:type="dxa"/>
            <w:bottom w:w="0" w:type="dxa"/>
          </w:tblCellMar>
        </w:tblPrEx>
        <w:trPr>
          <w:cantSplit/>
        </w:trPr>
        <w:tc>
          <w:tcPr>
            <w:tcW w:w="2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9" w14:textId="77777777" w:rsidR="00C1548D" w:rsidRDefault="009B1B4B">
            <w:pPr>
              <w:spacing w:line="250" w:lineRule="auto"/>
            </w:pPr>
            <w:r>
              <w:rPr>
                <w:sz w:val="18"/>
                <w:szCs w:val="18"/>
              </w:rPr>
              <w:t>bzst.de</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A" w14:textId="77777777" w:rsidR="00C1548D" w:rsidRDefault="009B1B4B">
            <w:pPr>
              <w:spacing w:line="250" w:lineRule="auto"/>
            </w:pPr>
            <w:r>
              <w:rPr>
                <w:sz w:val="18"/>
                <w:szCs w:val="18"/>
              </w:rPr>
              <w:t>Doppelbesteuerungsabkommen Kanada–Deutschland, deutsche Seite</w:t>
            </w:r>
          </w:p>
        </w:tc>
        <w:tc>
          <w:tcPr>
            <w:tcW w:w="10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B" w14:textId="77777777" w:rsidR="00C1548D" w:rsidRDefault="009B1B4B">
            <w:pPr>
              <w:spacing w:line="250" w:lineRule="auto"/>
            </w:pPr>
            <w:r>
              <w:rPr>
                <w:sz w:val="18"/>
                <w:szCs w:val="18"/>
              </w:rPr>
              <w:t>Kanada: Steuern</w:t>
            </w:r>
          </w:p>
        </w:tc>
      </w:tr>
      <w:tr w:rsidR="00C1548D" w14:paraId="70A51880" w14:textId="77777777">
        <w:tblPrEx>
          <w:tblCellMar>
            <w:top w:w="0" w:type="dxa"/>
            <w:bottom w:w="0" w:type="dxa"/>
          </w:tblCellMar>
        </w:tblPrEx>
        <w:trPr>
          <w:cantSplit/>
        </w:trPr>
        <w:tc>
          <w:tcPr>
            <w:tcW w:w="2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D" w14:textId="77777777" w:rsidR="00C1548D" w:rsidRDefault="009B1B4B">
            <w:pPr>
              <w:spacing w:line="250" w:lineRule="auto"/>
            </w:pPr>
            <w:r>
              <w:rPr>
                <w:sz w:val="18"/>
                <w:szCs w:val="18"/>
              </w:rPr>
              <w:t>cra-arc.gc.ca</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E" w14:textId="77777777" w:rsidR="00C1548D" w:rsidRDefault="009B1B4B">
            <w:pPr>
              <w:spacing w:line="250" w:lineRule="auto"/>
            </w:pPr>
            <w:r>
              <w:rPr>
                <w:sz w:val="18"/>
                <w:szCs w:val="18"/>
              </w:rPr>
              <w:t>Steuerliche Ansässigkeit für Nichtansässige (Non-Residents of Canada)</w:t>
            </w:r>
          </w:p>
        </w:tc>
        <w:tc>
          <w:tcPr>
            <w:tcW w:w="10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7F" w14:textId="77777777" w:rsidR="00C1548D" w:rsidRDefault="009B1B4B">
            <w:pPr>
              <w:spacing w:line="250" w:lineRule="auto"/>
            </w:pPr>
            <w:r>
              <w:rPr>
                <w:sz w:val="18"/>
                <w:szCs w:val="18"/>
              </w:rPr>
              <w:t>Kanada: Steuern</w:t>
            </w:r>
          </w:p>
        </w:tc>
      </w:tr>
      <w:tr w:rsidR="00C1548D" w14:paraId="70A51884" w14:textId="77777777">
        <w:tblPrEx>
          <w:tblCellMar>
            <w:top w:w="0" w:type="dxa"/>
            <w:bottom w:w="0" w:type="dxa"/>
          </w:tblCellMar>
        </w:tblPrEx>
        <w:trPr>
          <w:cantSplit/>
        </w:trPr>
        <w:tc>
          <w:tcPr>
            <w:tcW w:w="2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81" w14:textId="77777777" w:rsidR="00C1548D" w:rsidRDefault="009B1B4B">
            <w:pPr>
              <w:spacing w:line="250" w:lineRule="auto"/>
            </w:pPr>
            <w:r>
              <w:rPr>
                <w:sz w:val="18"/>
                <w:szCs w:val="18"/>
              </w:rPr>
              <w:t>oecd.org</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82" w14:textId="77777777" w:rsidR="00C1548D" w:rsidRDefault="009B1B4B">
            <w:pPr>
              <w:spacing w:line="250" w:lineRule="auto"/>
            </w:pPr>
            <w:r>
              <w:rPr>
                <w:sz w:val="18"/>
                <w:szCs w:val="18"/>
              </w:rPr>
              <w:t>Taxing Wages, Steuerkeil-Vergleich</w:t>
            </w:r>
          </w:p>
        </w:tc>
        <w:tc>
          <w:tcPr>
            <w:tcW w:w="10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83" w14:textId="77777777" w:rsidR="00C1548D" w:rsidRDefault="009B1B4B">
            <w:pPr>
              <w:spacing w:line="250" w:lineRule="auto"/>
            </w:pPr>
            <w:r>
              <w:rPr>
                <w:sz w:val="18"/>
                <w:szCs w:val="18"/>
              </w:rPr>
              <w:t>Kanada: Steuern</w:t>
            </w:r>
          </w:p>
        </w:tc>
      </w:tr>
      <w:tr w:rsidR="00C1548D" w14:paraId="70A51888" w14:textId="77777777">
        <w:tblPrEx>
          <w:tblCellMar>
            <w:top w:w="0" w:type="dxa"/>
            <w:bottom w:w="0" w:type="dxa"/>
          </w:tblCellMar>
        </w:tblPrEx>
        <w:trPr>
          <w:cantSplit/>
        </w:trPr>
        <w:tc>
          <w:tcPr>
            <w:tcW w:w="23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85" w14:textId="77777777" w:rsidR="00C1548D" w:rsidRDefault="009B1B4B">
            <w:pPr>
              <w:spacing w:line="250" w:lineRule="auto"/>
            </w:pPr>
            <w:r>
              <w:rPr>
                <w:sz w:val="18"/>
                <w:szCs w:val="18"/>
              </w:rPr>
              <w:t>numbeo.com</w:t>
            </w:r>
          </w:p>
        </w:tc>
        <w:tc>
          <w:tcPr>
            <w:tcW w:w="31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86" w14:textId="77777777" w:rsidR="00C1548D" w:rsidRDefault="009B1B4B">
            <w:pPr>
              <w:spacing w:line="250" w:lineRule="auto"/>
            </w:pPr>
            <w:r>
              <w:rPr>
                <w:sz w:val="18"/>
                <w:szCs w:val="18"/>
              </w:rPr>
              <w:t>Lebenshaltungskosten im Städtevergleich</w:t>
            </w:r>
          </w:p>
        </w:tc>
        <w:tc>
          <w:tcPr>
            <w:tcW w:w="10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87" w14:textId="77777777" w:rsidR="00C1548D" w:rsidRDefault="009B1B4B">
            <w:pPr>
              <w:spacing w:line="250" w:lineRule="auto"/>
            </w:pPr>
            <w:r>
              <w:rPr>
                <w:sz w:val="18"/>
                <w:szCs w:val="18"/>
              </w:rPr>
              <w:t>Kanada: Steuern</w:t>
            </w:r>
          </w:p>
        </w:tc>
      </w:tr>
    </w:tbl>
    <w:p w14:paraId="70A51889" w14:textId="77777777" w:rsidR="00C1548D" w:rsidRDefault="00C1548D">
      <w:pPr>
        <w:spacing w:line="180" w:lineRule="exact"/>
      </w:pPr>
    </w:p>
    <w:p w14:paraId="70A5188A" w14:textId="77777777" w:rsidR="00C1548D" w:rsidRDefault="009B1B4B">
      <w:pPr>
        <w:pStyle w:val="Heading3"/>
        <w:keepNext/>
        <w:jc w:val="center"/>
      </w:pPr>
      <w:r>
        <w:rPr>
          <w:rFonts w:ascii="Amazon Ember" w:eastAsia="Amazon Ember" w:hAnsi="Amazon Ember" w:cs="Amazon Ember"/>
          <w:color w:val="0000FF"/>
          <w:sz w:val="36"/>
          <w:szCs w:val="36"/>
        </w:rPr>
        <w:t>Kanada: Gesundheit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5"/>
        <w:gridCol w:w="3045"/>
        <w:gridCol w:w="1140"/>
      </w:tblGrid>
      <w:tr w:rsidR="00C1548D" w14:paraId="70A5188E" w14:textId="77777777">
        <w:tblPrEx>
          <w:tblCellMar>
            <w:top w:w="0" w:type="dxa"/>
            <w:bottom w:w="0" w:type="dxa"/>
          </w:tblCellMar>
        </w:tblPrEx>
        <w:trPr>
          <w:cantSplit/>
          <w:tblHeader/>
        </w:trPr>
        <w:tc>
          <w:tcPr>
            <w:tcW w:w="229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8B" w14:textId="77777777" w:rsidR="00C1548D" w:rsidRDefault="009B1B4B">
            <w:pPr>
              <w:spacing w:line="250" w:lineRule="auto"/>
            </w:pPr>
            <w:r>
              <w:rPr>
                <w:b/>
                <w:bCs/>
                <w:sz w:val="18"/>
                <w:szCs w:val="18"/>
              </w:rPr>
              <w:t>Adresse</w:t>
            </w:r>
          </w:p>
        </w:tc>
        <w:tc>
          <w:tcPr>
            <w:tcW w:w="304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8C" w14:textId="77777777" w:rsidR="00C1548D" w:rsidRDefault="009B1B4B">
            <w:pPr>
              <w:spacing w:line="250" w:lineRule="auto"/>
            </w:pPr>
            <w:r>
              <w:rPr>
                <w:b/>
                <w:bCs/>
                <w:sz w:val="18"/>
                <w:szCs w:val="18"/>
              </w:rPr>
              <w:t>Behörde / Thema</w:t>
            </w:r>
          </w:p>
        </w:tc>
        <w:tc>
          <w:tcPr>
            <w:tcW w:w="11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8D" w14:textId="77777777" w:rsidR="00C1548D" w:rsidRDefault="009B1B4B">
            <w:pPr>
              <w:spacing w:line="250" w:lineRule="auto"/>
            </w:pPr>
            <w:r>
              <w:rPr>
                <w:b/>
                <w:bCs/>
                <w:sz w:val="18"/>
                <w:szCs w:val="18"/>
              </w:rPr>
              <w:t>Referenz</w:t>
            </w:r>
          </w:p>
        </w:tc>
      </w:tr>
      <w:tr w:rsidR="00C1548D" w14:paraId="70A51892" w14:textId="77777777">
        <w:tblPrEx>
          <w:tblCellMar>
            <w:top w:w="0" w:type="dxa"/>
            <w:bottom w:w="0" w:type="dxa"/>
          </w:tblCellMar>
        </w:tblPrEx>
        <w:trPr>
          <w:cantSplit/>
        </w:trPr>
        <w:tc>
          <w:tcPr>
            <w:tcW w:w="22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8F" w14:textId="77777777" w:rsidR="00C1548D" w:rsidRDefault="009B1B4B">
            <w:pPr>
              <w:spacing w:line="250" w:lineRule="auto"/>
            </w:pPr>
            <w:r>
              <w:rPr>
                <w:sz w:val="18"/>
                <w:szCs w:val="18"/>
              </w:rPr>
              <w:t>canada.ca/en/health-canada</w:t>
            </w:r>
          </w:p>
        </w:tc>
        <w:tc>
          <w:tcPr>
            <w:tcW w:w="30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0" w14:textId="77777777" w:rsidR="00C1548D" w:rsidRDefault="009B1B4B">
            <w:pPr>
              <w:spacing w:line="250" w:lineRule="auto"/>
            </w:pPr>
            <w:r>
              <w:rPr>
                <w:sz w:val="18"/>
                <w:szCs w:val="18"/>
              </w:rPr>
              <w:t>Canada Health Act, Grundprinzipien der Provinz-Krankenversicherung</w:t>
            </w:r>
          </w:p>
        </w:tc>
        <w:tc>
          <w:tcPr>
            <w:tcW w:w="1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1" w14:textId="77777777" w:rsidR="00C1548D" w:rsidRDefault="009B1B4B">
            <w:pPr>
              <w:spacing w:line="250" w:lineRule="auto"/>
            </w:pPr>
            <w:r>
              <w:rPr>
                <w:sz w:val="18"/>
                <w:szCs w:val="18"/>
              </w:rPr>
              <w:t>Kanada: Gesundheit</w:t>
            </w:r>
          </w:p>
        </w:tc>
      </w:tr>
      <w:tr w:rsidR="00C1548D" w14:paraId="70A51896" w14:textId="77777777">
        <w:tblPrEx>
          <w:tblCellMar>
            <w:top w:w="0" w:type="dxa"/>
            <w:bottom w:w="0" w:type="dxa"/>
          </w:tblCellMar>
        </w:tblPrEx>
        <w:trPr>
          <w:cantSplit/>
        </w:trPr>
        <w:tc>
          <w:tcPr>
            <w:tcW w:w="22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3" w14:textId="77777777" w:rsidR="00C1548D" w:rsidRDefault="009B1B4B">
            <w:pPr>
              <w:spacing w:line="250" w:lineRule="auto"/>
            </w:pPr>
            <w:r>
              <w:rPr>
                <w:sz w:val="18"/>
                <w:szCs w:val="18"/>
              </w:rPr>
              <w:t>ontario.ca/page/apply-ohip-and-get-health-card</w:t>
            </w:r>
          </w:p>
        </w:tc>
        <w:tc>
          <w:tcPr>
            <w:tcW w:w="30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4" w14:textId="77777777" w:rsidR="00C1548D" w:rsidRDefault="009B1B4B">
            <w:pPr>
              <w:spacing w:line="250" w:lineRule="auto"/>
            </w:pPr>
            <w:r>
              <w:rPr>
                <w:sz w:val="18"/>
                <w:szCs w:val="18"/>
              </w:rPr>
              <w:t>OHIP-Anmeldung, keine Wartefrist</w:t>
            </w:r>
          </w:p>
        </w:tc>
        <w:tc>
          <w:tcPr>
            <w:tcW w:w="1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5" w14:textId="77777777" w:rsidR="00C1548D" w:rsidRDefault="009B1B4B">
            <w:pPr>
              <w:spacing w:line="250" w:lineRule="auto"/>
            </w:pPr>
            <w:r>
              <w:rPr>
                <w:sz w:val="18"/>
                <w:szCs w:val="18"/>
              </w:rPr>
              <w:t>Kanada: Gesundheit</w:t>
            </w:r>
          </w:p>
        </w:tc>
      </w:tr>
      <w:tr w:rsidR="00C1548D" w14:paraId="70A5189A" w14:textId="77777777">
        <w:tblPrEx>
          <w:tblCellMar>
            <w:top w:w="0" w:type="dxa"/>
            <w:bottom w:w="0" w:type="dxa"/>
          </w:tblCellMar>
        </w:tblPrEx>
        <w:trPr>
          <w:cantSplit/>
        </w:trPr>
        <w:tc>
          <w:tcPr>
            <w:tcW w:w="22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7" w14:textId="77777777" w:rsidR="00C1548D" w:rsidRDefault="009B1B4B">
            <w:pPr>
              <w:spacing w:line="250" w:lineRule="auto"/>
            </w:pPr>
            <w:r>
              <w:rPr>
                <w:sz w:val="18"/>
                <w:szCs w:val="18"/>
              </w:rPr>
              <w:t>www2.gov.bc.ca/gov/content/health/health-drug-coverage/msp</w:t>
            </w:r>
          </w:p>
        </w:tc>
        <w:tc>
          <w:tcPr>
            <w:tcW w:w="30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8" w14:textId="77777777" w:rsidR="00C1548D" w:rsidRDefault="009B1B4B">
            <w:pPr>
              <w:spacing w:line="250" w:lineRule="auto"/>
            </w:pPr>
            <w:r>
              <w:rPr>
                <w:sz w:val="18"/>
                <w:szCs w:val="18"/>
              </w:rPr>
              <w:t>MSP-Anmeldung und Wartefrist in British Columbia</w:t>
            </w:r>
          </w:p>
        </w:tc>
        <w:tc>
          <w:tcPr>
            <w:tcW w:w="1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9" w14:textId="77777777" w:rsidR="00C1548D" w:rsidRDefault="009B1B4B">
            <w:pPr>
              <w:spacing w:line="250" w:lineRule="auto"/>
            </w:pPr>
            <w:r>
              <w:rPr>
                <w:sz w:val="18"/>
                <w:szCs w:val="18"/>
              </w:rPr>
              <w:t>Kanada: Gesundheit</w:t>
            </w:r>
          </w:p>
        </w:tc>
      </w:tr>
      <w:tr w:rsidR="00C1548D" w14:paraId="70A5189E" w14:textId="77777777">
        <w:tblPrEx>
          <w:tblCellMar>
            <w:top w:w="0" w:type="dxa"/>
            <w:bottom w:w="0" w:type="dxa"/>
          </w:tblCellMar>
        </w:tblPrEx>
        <w:trPr>
          <w:cantSplit/>
        </w:trPr>
        <w:tc>
          <w:tcPr>
            <w:tcW w:w="22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B" w14:textId="77777777" w:rsidR="00C1548D" w:rsidRDefault="009B1B4B">
            <w:pPr>
              <w:spacing w:line="250" w:lineRule="auto"/>
            </w:pPr>
            <w:r>
              <w:rPr>
                <w:sz w:val="18"/>
                <w:szCs w:val="18"/>
              </w:rPr>
              <w:t>ramq.gouv.qc.ca</w:t>
            </w:r>
          </w:p>
        </w:tc>
        <w:tc>
          <w:tcPr>
            <w:tcW w:w="30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C" w14:textId="77777777" w:rsidR="00C1548D" w:rsidRDefault="009B1B4B">
            <w:pPr>
              <w:spacing w:line="250" w:lineRule="auto"/>
            </w:pPr>
            <w:r>
              <w:rPr>
                <w:sz w:val="18"/>
                <w:szCs w:val="18"/>
              </w:rPr>
              <w:t>Anmeldung und Wartefrist in Québec</w:t>
            </w:r>
          </w:p>
        </w:tc>
        <w:tc>
          <w:tcPr>
            <w:tcW w:w="1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D" w14:textId="77777777" w:rsidR="00C1548D" w:rsidRDefault="009B1B4B">
            <w:pPr>
              <w:spacing w:line="250" w:lineRule="auto"/>
            </w:pPr>
            <w:r>
              <w:rPr>
                <w:sz w:val="18"/>
                <w:szCs w:val="18"/>
              </w:rPr>
              <w:t>Kanada: Gesundheit</w:t>
            </w:r>
          </w:p>
        </w:tc>
      </w:tr>
      <w:tr w:rsidR="00C1548D" w14:paraId="70A518A2" w14:textId="77777777">
        <w:tblPrEx>
          <w:tblCellMar>
            <w:top w:w="0" w:type="dxa"/>
            <w:bottom w:w="0" w:type="dxa"/>
          </w:tblCellMar>
        </w:tblPrEx>
        <w:trPr>
          <w:cantSplit/>
        </w:trPr>
        <w:tc>
          <w:tcPr>
            <w:tcW w:w="22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9F" w14:textId="77777777" w:rsidR="00C1548D" w:rsidRDefault="009B1B4B">
            <w:pPr>
              <w:spacing w:line="250" w:lineRule="auto"/>
            </w:pPr>
            <w:r>
              <w:rPr>
                <w:sz w:val="18"/>
                <w:szCs w:val="18"/>
              </w:rPr>
              <w:t>alberta.ca/ahcip</w:t>
            </w:r>
          </w:p>
        </w:tc>
        <w:tc>
          <w:tcPr>
            <w:tcW w:w="30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A0" w14:textId="77777777" w:rsidR="00C1548D" w:rsidRDefault="009B1B4B">
            <w:pPr>
              <w:spacing w:line="250" w:lineRule="auto"/>
            </w:pPr>
            <w:r>
              <w:rPr>
                <w:sz w:val="18"/>
                <w:szCs w:val="18"/>
              </w:rPr>
              <w:t>Alberta Health Care Insurance Plan</w:t>
            </w:r>
          </w:p>
        </w:tc>
        <w:tc>
          <w:tcPr>
            <w:tcW w:w="1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A1" w14:textId="77777777" w:rsidR="00C1548D" w:rsidRDefault="009B1B4B">
            <w:pPr>
              <w:spacing w:line="250" w:lineRule="auto"/>
            </w:pPr>
            <w:r>
              <w:rPr>
                <w:sz w:val="18"/>
                <w:szCs w:val="18"/>
              </w:rPr>
              <w:t>Kanada: Gesundheit</w:t>
            </w:r>
          </w:p>
        </w:tc>
      </w:tr>
      <w:tr w:rsidR="00C1548D" w14:paraId="70A518A6" w14:textId="77777777">
        <w:tblPrEx>
          <w:tblCellMar>
            <w:top w:w="0" w:type="dxa"/>
            <w:bottom w:w="0" w:type="dxa"/>
          </w:tblCellMar>
        </w:tblPrEx>
        <w:trPr>
          <w:cantSplit/>
        </w:trPr>
        <w:tc>
          <w:tcPr>
            <w:tcW w:w="22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A3" w14:textId="77777777" w:rsidR="00C1548D" w:rsidRDefault="009B1B4B">
            <w:pPr>
              <w:spacing w:line="250" w:lineRule="auto"/>
            </w:pPr>
            <w:r>
              <w:rPr>
                <w:sz w:val="18"/>
                <w:szCs w:val="18"/>
              </w:rPr>
              <w:t>saskatchewan.ca/residents/health</w:t>
            </w:r>
          </w:p>
        </w:tc>
        <w:tc>
          <w:tcPr>
            <w:tcW w:w="30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A4" w14:textId="77777777" w:rsidR="00C1548D" w:rsidRDefault="009B1B4B">
            <w:pPr>
              <w:spacing w:line="250" w:lineRule="auto"/>
            </w:pPr>
            <w:r>
              <w:rPr>
                <w:sz w:val="18"/>
                <w:szCs w:val="18"/>
              </w:rPr>
              <w:t>Saskatchewan Health Coverage</w:t>
            </w:r>
          </w:p>
        </w:tc>
        <w:tc>
          <w:tcPr>
            <w:tcW w:w="1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A5" w14:textId="77777777" w:rsidR="00C1548D" w:rsidRDefault="009B1B4B">
            <w:pPr>
              <w:spacing w:line="250" w:lineRule="auto"/>
            </w:pPr>
            <w:r>
              <w:rPr>
                <w:sz w:val="18"/>
                <w:szCs w:val="18"/>
              </w:rPr>
              <w:t>Kanada: Gesundheit</w:t>
            </w:r>
          </w:p>
        </w:tc>
      </w:tr>
      <w:tr w:rsidR="00C1548D" w14:paraId="70A518AA" w14:textId="77777777">
        <w:tblPrEx>
          <w:tblCellMar>
            <w:top w:w="0" w:type="dxa"/>
            <w:bottom w:w="0" w:type="dxa"/>
          </w:tblCellMar>
        </w:tblPrEx>
        <w:trPr>
          <w:cantSplit/>
        </w:trPr>
        <w:tc>
          <w:tcPr>
            <w:tcW w:w="22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A7" w14:textId="77777777" w:rsidR="00C1548D" w:rsidRDefault="009B1B4B">
            <w:pPr>
              <w:spacing w:line="250" w:lineRule="auto"/>
            </w:pPr>
            <w:r>
              <w:rPr>
                <w:sz w:val="18"/>
                <w:szCs w:val="18"/>
              </w:rPr>
              <w:t>988.ca</w:t>
            </w:r>
          </w:p>
        </w:tc>
        <w:tc>
          <w:tcPr>
            <w:tcW w:w="30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A8" w14:textId="77777777" w:rsidR="00C1548D" w:rsidRDefault="009B1B4B">
            <w:pPr>
              <w:spacing w:line="250" w:lineRule="auto"/>
            </w:pPr>
            <w:r>
              <w:rPr>
                <w:sz w:val="18"/>
                <w:szCs w:val="18"/>
              </w:rPr>
              <w:t>9-8-8 Suicide Crisis Helpline, Krisenhilfe rund um die Uhr</w:t>
            </w:r>
          </w:p>
        </w:tc>
        <w:tc>
          <w:tcPr>
            <w:tcW w:w="1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A9" w14:textId="77777777" w:rsidR="00C1548D" w:rsidRDefault="009B1B4B">
            <w:pPr>
              <w:spacing w:line="250" w:lineRule="auto"/>
            </w:pPr>
            <w:r>
              <w:rPr>
                <w:sz w:val="18"/>
                <w:szCs w:val="18"/>
              </w:rPr>
              <w:t>Kanada: Gesundheit</w:t>
            </w:r>
          </w:p>
        </w:tc>
      </w:tr>
      <w:tr w:rsidR="00C1548D" w14:paraId="70A518AE" w14:textId="77777777">
        <w:tblPrEx>
          <w:tblCellMar>
            <w:top w:w="0" w:type="dxa"/>
            <w:bottom w:w="0" w:type="dxa"/>
          </w:tblCellMar>
        </w:tblPrEx>
        <w:trPr>
          <w:cantSplit/>
        </w:trPr>
        <w:tc>
          <w:tcPr>
            <w:tcW w:w="22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AB" w14:textId="77777777" w:rsidR="00C1548D" w:rsidRDefault="009B1B4B">
            <w:pPr>
              <w:spacing w:line="250" w:lineRule="auto"/>
            </w:pPr>
            <w:r>
              <w:rPr>
                <w:sz w:val="18"/>
                <w:szCs w:val="18"/>
              </w:rPr>
              <w:t>kidshelpphone.ca</w:t>
            </w:r>
          </w:p>
        </w:tc>
        <w:tc>
          <w:tcPr>
            <w:tcW w:w="30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AC" w14:textId="77777777" w:rsidR="00C1548D" w:rsidRDefault="009B1B4B">
            <w:pPr>
              <w:spacing w:line="250" w:lineRule="auto"/>
            </w:pPr>
            <w:r>
              <w:rPr>
                <w:sz w:val="18"/>
                <w:szCs w:val="18"/>
              </w:rPr>
              <w:t>Kids Help Phone, Hilfe für Kinder und Jugendliche</w:t>
            </w:r>
          </w:p>
        </w:tc>
        <w:tc>
          <w:tcPr>
            <w:tcW w:w="11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AD" w14:textId="77777777" w:rsidR="00C1548D" w:rsidRDefault="009B1B4B">
            <w:pPr>
              <w:spacing w:line="250" w:lineRule="auto"/>
            </w:pPr>
            <w:r>
              <w:rPr>
                <w:sz w:val="18"/>
                <w:szCs w:val="18"/>
              </w:rPr>
              <w:t>Kanada: Gesundheit</w:t>
            </w:r>
          </w:p>
        </w:tc>
      </w:tr>
    </w:tbl>
    <w:p w14:paraId="70A518AF" w14:textId="77777777" w:rsidR="00C1548D" w:rsidRDefault="00C1548D">
      <w:pPr>
        <w:spacing w:line="180" w:lineRule="exact"/>
      </w:pPr>
    </w:p>
    <w:p w14:paraId="70A518B0" w14:textId="77777777" w:rsidR="00C1548D" w:rsidRDefault="009B1B4B">
      <w:pPr>
        <w:pStyle w:val="Heading3"/>
        <w:keepNext/>
        <w:jc w:val="center"/>
      </w:pPr>
      <w:r>
        <w:rPr>
          <w:rFonts w:ascii="Amazon Ember" w:eastAsia="Amazon Ember" w:hAnsi="Amazon Ember" w:cs="Amazon Ember"/>
          <w:color w:val="0000FF"/>
          <w:sz w:val="36"/>
          <w:szCs w:val="36"/>
        </w:rPr>
        <w:t>Kanada: Wohnen und Führerschein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83"/>
        <w:gridCol w:w="2903"/>
        <w:gridCol w:w="1094"/>
      </w:tblGrid>
      <w:tr w:rsidR="00C1548D" w14:paraId="70A518B4" w14:textId="77777777">
        <w:tblPrEx>
          <w:tblCellMar>
            <w:top w:w="0" w:type="dxa"/>
            <w:bottom w:w="0" w:type="dxa"/>
          </w:tblCellMar>
        </w:tblPrEx>
        <w:trPr>
          <w:cantSplit/>
          <w:tblHeader/>
        </w:trPr>
        <w:tc>
          <w:tcPr>
            <w:tcW w:w="24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B1" w14:textId="77777777" w:rsidR="00C1548D" w:rsidRDefault="009B1B4B">
            <w:pPr>
              <w:spacing w:line="250" w:lineRule="auto"/>
            </w:pPr>
            <w:r>
              <w:rPr>
                <w:b/>
                <w:bCs/>
                <w:sz w:val="18"/>
                <w:szCs w:val="18"/>
              </w:rPr>
              <w:t>Adresse</w:t>
            </w:r>
          </w:p>
        </w:tc>
        <w:tc>
          <w:tcPr>
            <w:tcW w:w="290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B2" w14:textId="77777777" w:rsidR="00C1548D" w:rsidRDefault="009B1B4B">
            <w:pPr>
              <w:spacing w:line="250" w:lineRule="auto"/>
            </w:pPr>
            <w:r>
              <w:rPr>
                <w:b/>
                <w:bCs/>
                <w:sz w:val="18"/>
                <w:szCs w:val="18"/>
              </w:rPr>
              <w:t>Behörde / Thema</w:t>
            </w:r>
          </w:p>
        </w:tc>
        <w:tc>
          <w:tcPr>
            <w:tcW w:w="109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B3" w14:textId="77777777" w:rsidR="00C1548D" w:rsidRDefault="009B1B4B">
            <w:pPr>
              <w:spacing w:line="250" w:lineRule="auto"/>
            </w:pPr>
            <w:r>
              <w:rPr>
                <w:b/>
                <w:bCs/>
                <w:sz w:val="18"/>
                <w:szCs w:val="18"/>
              </w:rPr>
              <w:t>Referenz</w:t>
            </w:r>
          </w:p>
        </w:tc>
      </w:tr>
      <w:tr w:rsidR="00C1548D" w14:paraId="70A518B8" w14:textId="77777777">
        <w:tblPrEx>
          <w:tblCellMar>
            <w:top w:w="0" w:type="dxa"/>
            <w:bottom w:w="0" w:type="dxa"/>
          </w:tblCellMar>
        </w:tblPrEx>
        <w:trPr>
          <w:cantSplit/>
        </w:trPr>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B5" w14:textId="77777777" w:rsidR="00C1548D" w:rsidRDefault="009B1B4B">
            <w:pPr>
              <w:spacing w:line="250" w:lineRule="auto"/>
            </w:pPr>
            <w:r>
              <w:rPr>
                <w:sz w:val="18"/>
                <w:szCs w:val="18"/>
              </w:rPr>
              <w:t>statcan.gc.ca</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B6" w14:textId="77777777" w:rsidR="00C1548D" w:rsidRDefault="009B1B4B">
            <w:pPr>
              <w:spacing w:line="250" w:lineRule="auto"/>
            </w:pPr>
            <w:r>
              <w:rPr>
                <w:sz w:val="18"/>
                <w:szCs w:val="18"/>
              </w:rPr>
              <w:t>Statistics Canada: Quarterly Rent Statistics</w:t>
            </w:r>
          </w:p>
        </w:tc>
        <w:tc>
          <w:tcPr>
            <w:tcW w:w="1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B7" w14:textId="77777777" w:rsidR="00C1548D" w:rsidRDefault="009B1B4B">
            <w:pPr>
              <w:spacing w:line="250" w:lineRule="auto"/>
            </w:pPr>
            <w:r>
              <w:rPr>
                <w:sz w:val="18"/>
                <w:szCs w:val="18"/>
              </w:rPr>
              <w:t>Kanada: Wohnen</w:t>
            </w:r>
          </w:p>
        </w:tc>
      </w:tr>
      <w:tr w:rsidR="00C1548D" w14:paraId="70A518BC" w14:textId="77777777">
        <w:tblPrEx>
          <w:tblCellMar>
            <w:top w:w="0" w:type="dxa"/>
            <w:bottom w:w="0" w:type="dxa"/>
          </w:tblCellMar>
        </w:tblPrEx>
        <w:trPr>
          <w:cantSplit/>
        </w:trPr>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B9" w14:textId="77777777" w:rsidR="00C1548D" w:rsidRDefault="009B1B4B">
            <w:pPr>
              <w:spacing w:line="250" w:lineRule="auto"/>
            </w:pPr>
            <w:r>
              <w:rPr>
                <w:sz w:val="18"/>
                <w:szCs w:val="18"/>
              </w:rPr>
              <w:t>cmhc-schl.gc.ca</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BA" w14:textId="77777777" w:rsidR="00C1548D" w:rsidRDefault="009B1B4B">
            <w:pPr>
              <w:spacing w:line="250" w:lineRule="auto"/>
            </w:pPr>
            <w:r>
              <w:rPr>
                <w:sz w:val="18"/>
                <w:szCs w:val="18"/>
              </w:rPr>
              <w:t>CMHC: Rental- und Kaufmarktberichte, Hypothekenregeln</w:t>
            </w:r>
          </w:p>
        </w:tc>
        <w:tc>
          <w:tcPr>
            <w:tcW w:w="1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BB" w14:textId="77777777" w:rsidR="00C1548D" w:rsidRDefault="009B1B4B">
            <w:pPr>
              <w:spacing w:line="250" w:lineRule="auto"/>
            </w:pPr>
            <w:r>
              <w:rPr>
                <w:sz w:val="18"/>
                <w:szCs w:val="18"/>
              </w:rPr>
              <w:t>Kanada: Wohnen</w:t>
            </w:r>
          </w:p>
        </w:tc>
      </w:tr>
      <w:tr w:rsidR="00C1548D" w14:paraId="70A518C0" w14:textId="77777777">
        <w:tblPrEx>
          <w:tblCellMar>
            <w:top w:w="0" w:type="dxa"/>
            <w:bottom w:w="0" w:type="dxa"/>
          </w:tblCellMar>
        </w:tblPrEx>
        <w:trPr>
          <w:cantSplit/>
        </w:trPr>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BD" w14:textId="77777777" w:rsidR="00C1548D" w:rsidRDefault="009B1B4B">
            <w:pPr>
              <w:spacing w:line="250" w:lineRule="auto"/>
            </w:pPr>
            <w:r>
              <w:rPr>
                <w:sz w:val="18"/>
                <w:szCs w:val="18"/>
              </w:rPr>
              <w:t>canada.ca (Prohibition on the Purchase of Residential Property by Non-Canadians Act)</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BE" w14:textId="77777777" w:rsidR="00C1548D" w:rsidRDefault="009B1B4B">
            <w:pPr>
              <w:spacing w:line="250" w:lineRule="auto"/>
            </w:pPr>
            <w:r>
              <w:rPr>
                <w:sz w:val="18"/>
                <w:szCs w:val="18"/>
              </w:rPr>
              <w:t>Kaufverbot für Nicht-Kanadier bei Wohnimmobilien</w:t>
            </w:r>
          </w:p>
        </w:tc>
        <w:tc>
          <w:tcPr>
            <w:tcW w:w="1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BF" w14:textId="77777777" w:rsidR="00C1548D" w:rsidRDefault="009B1B4B">
            <w:pPr>
              <w:spacing w:line="250" w:lineRule="auto"/>
            </w:pPr>
            <w:r>
              <w:rPr>
                <w:sz w:val="18"/>
                <w:szCs w:val="18"/>
              </w:rPr>
              <w:t>Kanada: Wohnen</w:t>
            </w:r>
          </w:p>
        </w:tc>
      </w:tr>
      <w:tr w:rsidR="00C1548D" w14:paraId="70A518C4" w14:textId="77777777">
        <w:tblPrEx>
          <w:tblCellMar>
            <w:top w:w="0" w:type="dxa"/>
            <w:bottom w:w="0" w:type="dxa"/>
          </w:tblCellMar>
        </w:tblPrEx>
        <w:trPr>
          <w:cantSplit/>
        </w:trPr>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1" w14:textId="77777777" w:rsidR="00C1548D" w:rsidRDefault="009B1B4B">
            <w:pPr>
              <w:spacing w:line="250" w:lineRule="auto"/>
            </w:pPr>
            <w:r>
              <w:rPr>
                <w:sz w:val="18"/>
                <w:szCs w:val="18"/>
              </w:rPr>
              <w:t>gov.bc.ca</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2" w14:textId="77777777" w:rsidR="00C1548D" w:rsidRDefault="009B1B4B">
            <w:pPr>
              <w:spacing w:line="250" w:lineRule="auto"/>
            </w:pPr>
            <w:r>
              <w:rPr>
                <w:sz w:val="18"/>
                <w:szCs w:val="18"/>
              </w:rPr>
              <w:t>Additional Property Transfer Tax, Home Buyer Rescission Period</w:t>
            </w:r>
          </w:p>
        </w:tc>
        <w:tc>
          <w:tcPr>
            <w:tcW w:w="1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3" w14:textId="77777777" w:rsidR="00C1548D" w:rsidRDefault="009B1B4B">
            <w:pPr>
              <w:spacing w:line="250" w:lineRule="auto"/>
            </w:pPr>
            <w:r>
              <w:rPr>
                <w:sz w:val="18"/>
                <w:szCs w:val="18"/>
              </w:rPr>
              <w:t>Kanada: Wohnen</w:t>
            </w:r>
          </w:p>
        </w:tc>
      </w:tr>
      <w:tr w:rsidR="00C1548D" w14:paraId="70A518C8" w14:textId="77777777">
        <w:tblPrEx>
          <w:tblCellMar>
            <w:top w:w="0" w:type="dxa"/>
            <w:bottom w:w="0" w:type="dxa"/>
          </w:tblCellMar>
        </w:tblPrEx>
        <w:trPr>
          <w:cantSplit/>
        </w:trPr>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5" w14:textId="77777777" w:rsidR="00C1548D" w:rsidRDefault="009B1B4B">
            <w:pPr>
              <w:spacing w:line="250" w:lineRule="auto"/>
            </w:pPr>
            <w:r>
              <w:rPr>
                <w:sz w:val="18"/>
                <w:szCs w:val="18"/>
              </w:rPr>
              <w:lastRenderedPageBreak/>
              <w:t>ontario.ca</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6" w14:textId="77777777" w:rsidR="00C1548D" w:rsidRDefault="009B1B4B">
            <w:pPr>
              <w:spacing w:line="250" w:lineRule="auto"/>
            </w:pPr>
            <w:r>
              <w:rPr>
                <w:sz w:val="18"/>
                <w:szCs w:val="18"/>
              </w:rPr>
              <w:t>Non-Resident Speculation Tax, Residential Tenancies Act</w:t>
            </w:r>
          </w:p>
        </w:tc>
        <w:tc>
          <w:tcPr>
            <w:tcW w:w="1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7" w14:textId="77777777" w:rsidR="00C1548D" w:rsidRDefault="009B1B4B">
            <w:pPr>
              <w:spacing w:line="250" w:lineRule="auto"/>
            </w:pPr>
            <w:r>
              <w:rPr>
                <w:sz w:val="18"/>
                <w:szCs w:val="18"/>
              </w:rPr>
              <w:t>Kanada: Wohnen</w:t>
            </w:r>
          </w:p>
        </w:tc>
      </w:tr>
      <w:tr w:rsidR="00C1548D" w14:paraId="70A518CC" w14:textId="77777777">
        <w:tblPrEx>
          <w:tblCellMar>
            <w:top w:w="0" w:type="dxa"/>
            <w:bottom w:w="0" w:type="dxa"/>
          </w:tblCellMar>
        </w:tblPrEx>
        <w:trPr>
          <w:cantSplit/>
        </w:trPr>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9" w14:textId="77777777" w:rsidR="00C1548D" w:rsidRDefault="009B1B4B">
            <w:pPr>
              <w:spacing w:line="250" w:lineRule="auto"/>
            </w:pPr>
            <w:r>
              <w:rPr>
                <w:sz w:val="18"/>
                <w:szCs w:val="18"/>
              </w:rPr>
              <w:t>drivetest.ca, icbc.com, saaq.gouv.qc.ca</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A" w14:textId="77777777" w:rsidR="00C1548D" w:rsidRDefault="009B1B4B">
            <w:pPr>
              <w:spacing w:line="250" w:lineRule="auto"/>
            </w:pPr>
            <w:r>
              <w:rPr>
                <w:sz w:val="18"/>
                <w:szCs w:val="18"/>
              </w:rPr>
              <w:t>Führerscheinbehörden Ontario, British Columbia und Québec: Umtausch, Fristen</w:t>
            </w:r>
          </w:p>
        </w:tc>
        <w:tc>
          <w:tcPr>
            <w:tcW w:w="1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B" w14:textId="77777777" w:rsidR="00C1548D" w:rsidRDefault="009B1B4B">
            <w:pPr>
              <w:spacing w:line="250" w:lineRule="auto"/>
            </w:pPr>
            <w:r>
              <w:rPr>
                <w:sz w:val="18"/>
                <w:szCs w:val="18"/>
              </w:rPr>
              <w:t>Kanada: Führerschein</w:t>
            </w:r>
          </w:p>
        </w:tc>
      </w:tr>
      <w:tr w:rsidR="00C1548D" w14:paraId="70A518D0" w14:textId="77777777">
        <w:tblPrEx>
          <w:tblCellMar>
            <w:top w:w="0" w:type="dxa"/>
            <w:bottom w:w="0" w:type="dxa"/>
          </w:tblCellMar>
        </w:tblPrEx>
        <w:trPr>
          <w:cantSplit/>
        </w:trPr>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D" w14:textId="77777777" w:rsidR="00C1548D" w:rsidRDefault="009B1B4B">
            <w:pPr>
              <w:spacing w:line="250" w:lineRule="auto"/>
            </w:pPr>
            <w:r>
              <w:rPr>
                <w:sz w:val="18"/>
                <w:szCs w:val="18"/>
              </w:rPr>
              <w:t>rcmp.ca</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E" w14:textId="77777777" w:rsidR="00C1548D" w:rsidRDefault="009B1B4B">
            <w:pPr>
              <w:spacing w:line="250" w:lineRule="auto"/>
            </w:pPr>
            <w:r>
              <w:rPr>
                <w:sz w:val="18"/>
                <w:szCs w:val="18"/>
              </w:rPr>
              <w:t>Verhalten bei Verkehrskontrollen für Neuankömmlinge</w:t>
            </w:r>
          </w:p>
        </w:tc>
        <w:tc>
          <w:tcPr>
            <w:tcW w:w="1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CF" w14:textId="77777777" w:rsidR="00C1548D" w:rsidRDefault="009B1B4B">
            <w:pPr>
              <w:spacing w:line="250" w:lineRule="auto"/>
            </w:pPr>
            <w:r>
              <w:rPr>
                <w:sz w:val="18"/>
                <w:szCs w:val="18"/>
              </w:rPr>
              <w:t>Kanada: Führerschein</w:t>
            </w:r>
          </w:p>
        </w:tc>
      </w:tr>
      <w:tr w:rsidR="00C1548D" w14:paraId="70A518D4" w14:textId="77777777">
        <w:tblPrEx>
          <w:tblCellMar>
            <w:top w:w="0" w:type="dxa"/>
            <w:bottom w:w="0" w:type="dxa"/>
          </w:tblCellMar>
        </w:tblPrEx>
        <w:trPr>
          <w:cantSplit/>
        </w:trPr>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D1" w14:textId="77777777" w:rsidR="00C1548D" w:rsidRDefault="009B1B4B">
            <w:pPr>
              <w:spacing w:line="250" w:lineRule="auto"/>
            </w:pPr>
            <w:r>
              <w:rPr>
                <w:sz w:val="18"/>
                <w:szCs w:val="18"/>
              </w:rPr>
              <w:t>quebec.ca</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D2" w14:textId="77777777" w:rsidR="00C1548D" w:rsidRDefault="009B1B4B">
            <w:pPr>
              <w:spacing w:line="250" w:lineRule="auto"/>
            </w:pPr>
            <w:r>
              <w:rPr>
                <w:sz w:val="18"/>
                <w:szCs w:val="18"/>
              </w:rPr>
              <w:t>Winterreifenpflicht in Québec</w:t>
            </w:r>
          </w:p>
        </w:tc>
        <w:tc>
          <w:tcPr>
            <w:tcW w:w="1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D3" w14:textId="77777777" w:rsidR="00C1548D" w:rsidRDefault="009B1B4B">
            <w:pPr>
              <w:spacing w:line="250" w:lineRule="auto"/>
            </w:pPr>
            <w:r>
              <w:rPr>
                <w:sz w:val="18"/>
                <w:szCs w:val="18"/>
              </w:rPr>
              <w:t>Kanada: Führerschein</w:t>
            </w:r>
          </w:p>
        </w:tc>
      </w:tr>
      <w:tr w:rsidR="00C1548D" w14:paraId="70A518D8" w14:textId="77777777">
        <w:tblPrEx>
          <w:tblCellMar>
            <w:top w:w="0" w:type="dxa"/>
            <w:bottom w:w="0" w:type="dxa"/>
          </w:tblCellMar>
        </w:tblPrEx>
        <w:trPr>
          <w:cantSplit/>
        </w:trPr>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D5" w14:textId="77777777" w:rsidR="00C1548D" w:rsidRDefault="009B1B4B">
            <w:pPr>
              <w:spacing w:line="250" w:lineRule="auto"/>
            </w:pPr>
            <w:r>
              <w:rPr>
                <w:sz w:val="18"/>
                <w:szCs w:val="18"/>
              </w:rPr>
              <w:t>wildlifecollisions.ca</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D6" w14:textId="77777777" w:rsidR="00C1548D" w:rsidRDefault="009B1B4B">
            <w:pPr>
              <w:spacing w:line="250" w:lineRule="auto"/>
            </w:pPr>
            <w:r>
              <w:rPr>
                <w:sz w:val="18"/>
                <w:szCs w:val="18"/>
              </w:rPr>
              <w:t>Wildunfallstatistik, Wildlife Collision Prevention Program</w:t>
            </w:r>
          </w:p>
        </w:tc>
        <w:tc>
          <w:tcPr>
            <w:tcW w:w="1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D7" w14:textId="77777777" w:rsidR="00C1548D" w:rsidRDefault="009B1B4B">
            <w:pPr>
              <w:spacing w:line="250" w:lineRule="auto"/>
            </w:pPr>
            <w:r>
              <w:rPr>
                <w:sz w:val="18"/>
                <w:szCs w:val="18"/>
              </w:rPr>
              <w:t>Kanada: Führerschein</w:t>
            </w:r>
          </w:p>
        </w:tc>
      </w:tr>
      <w:tr w:rsidR="00C1548D" w14:paraId="70A518DC" w14:textId="77777777">
        <w:tblPrEx>
          <w:tblCellMar>
            <w:top w:w="0" w:type="dxa"/>
            <w:bottom w:w="0" w:type="dxa"/>
          </w:tblCellMar>
        </w:tblPrEx>
        <w:trPr>
          <w:cantSplit/>
        </w:trPr>
        <w:tc>
          <w:tcPr>
            <w:tcW w:w="24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D9" w14:textId="77777777" w:rsidR="00C1548D" w:rsidRDefault="009B1B4B">
            <w:pPr>
              <w:spacing w:line="250" w:lineRule="auto"/>
            </w:pPr>
            <w:r>
              <w:rPr>
                <w:sz w:val="18"/>
                <w:szCs w:val="18"/>
              </w:rPr>
              <w:t>rates.ca</w:t>
            </w:r>
          </w:p>
        </w:tc>
        <w:tc>
          <w:tcPr>
            <w:tcW w:w="290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DA" w14:textId="77777777" w:rsidR="00C1548D" w:rsidRDefault="009B1B4B">
            <w:pPr>
              <w:spacing w:line="250" w:lineRule="auto"/>
            </w:pPr>
            <w:r>
              <w:rPr>
                <w:sz w:val="18"/>
                <w:szCs w:val="18"/>
              </w:rPr>
              <w:t>Kfz-Versicherungsvergleich, Provinzunterschiede</w:t>
            </w:r>
          </w:p>
        </w:tc>
        <w:tc>
          <w:tcPr>
            <w:tcW w:w="109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DB" w14:textId="77777777" w:rsidR="00C1548D" w:rsidRDefault="009B1B4B">
            <w:pPr>
              <w:spacing w:line="250" w:lineRule="auto"/>
            </w:pPr>
            <w:r>
              <w:rPr>
                <w:sz w:val="18"/>
                <w:szCs w:val="18"/>
              </w:rPr>
              <w:t>Kanada: Führerschein</w:t>
            </w:r>
          </w:p>
        </w:tc>
      </w:tr>
    </w:tbl>
    <w:p w14:paraId="70A518DD" w14:textId="77777777" w:rsidR="00C1548D" w:rsidRDefault="00C1548D">
      <w:pPr>
        <w:spacing w:line="180" w:lineRule="exact"/>
      </w:pPr>
    </w:p>
    <w:p w14:paraId="70A518DE" w14:textId="77777777" w:rsidR="00C1548D" w:rsidRDefault="009B1B4B">
      <w:pPr>
        <w:pStyle w:val="Heading3"/>
        <w:keepNext/>
        <w:jc w:val="center"/>
      </w:pPr>
      <w:r>
        <w:rPr>
          <w:rFonts w:ascii="Amazon Ember" w:eastAsia="Amazon Ember" w:hAnsi="Amazon Ember" w:cs="Amazon Ember"/>
          <w:color w:val="0000FF"/>
          <w:sz w:val="36"/>
          <w:szCs w:val="36"/>
        </w:rPr>
        <w:t>Kanada: Recht und Sicherheit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99"/>
        <w:gridCol w:w="2371"/>
        <w:gridCol w:w="1510"/>
      </w:tblGrid>
      <w:tr w:rsidR="00C1548D" w14:paraId="70A518E2" w14:textId="77777777">
        <w:tblPrEx>
          <w:tblCellMar>
            <w:top w:w="0" w:type="dxa"/>
            <w:bottom w:w="0" w:type="dxa"/>
          </w:tblCellMar>
        </w:tblPrEx>
        <w:trPr>
          <w:cantSplit/>
          <w:tblHeader/>
        </w:trPr>
        <w:tc>
          <w:tcPr>
            <w:tcW w:w="259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DF" w14:textId="77777777" w:rsidR="00C1548D" w:rsidRDefault="009B1B4B">
            <w:pPr>
              <w:spacing w:line="250" w:lineRule="auto"/>
            </w:pPr>
            <w:r>
              <w:rPr>
                <w:b/>
                <w:bCs/>
                <w:sz w:val="18"/>
                <w:szCs w:val="18"/>
              </w:rPr>
              <w:t>Adresse</w:t>
            </w:r>
          </w:p>
        </w:tc>
        <w:tc>
          <w:tcPr>
            <w:tcW w:w="237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E0" w14:textId="77777777" w:rsidR="00C1548D" w:rsidRDefault="009B1B4B">
            <w:pPr>
              <w:spacing w:line="250" w:lineRule="auto"/>
            </w:pPr>
            <w:r>
              <w:rPr>
                <w:b/>
                <w:bCs/>
                <w:sz w:val="18"/>
                <w:szCs w:val="18"/>
              </w:rPr>
              <w:t>Behörde / Thema</w:t>
            </w:r>
          </w:p>
        </w:tc>
        <w:tc>
          <w:tcPr>
            <w:tcW w:w="151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8E1" w14:textId="77777777" w:rsidR="00C1548D" w:rsidRDefault="009B1B4B">
            <w:pPr>
              <w:spacing w:line="250" w:lineRule="auto"/>
            </w:pPr>
            <w:r>
              <w:rPr>
                <w:b/>
                <w:bCs/>
                <w:sz w:val="18"/>
                <w:szCs w:val="18"/>
              </w:rPr>
              <w:t>Referenz</w:t>
            </w:r>
          </w:p>
        </w:tc>
      </w:tr>
      <w:tr w:rsidR="00C1548D" w14:paraId="70A518E6" w14:textId="77777777">
        <w:tblPrEx>
          <w:tblCellMar>
            <w:top w:w="0" w:type="dxa"/>
            <w:bottom w:w="0" w:type="dxa"/>
          </w:tblCellMar>
        </w:tblPrEx>
        <w:trPr>
          <w:cantSplit/>
        </w:trPr>
        <w:tc>
          <w:tcPr>
            <w:tcW w:w="2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E3" w14:textId="77777777" w:rsidR="00C1548D" w:rsidRDefault="009B1B4B">
            <w:pPr>
              <w:spacing w:line="250" w:lineRule="auto"/>
            </w:pPr>
            <w:r>
              <w:rPr>
                <w:sz w:val="18"/>
                <w:szCs w:val="18"/>
              </w:rPr>
              <w:t>rcmp.ca/en/bc/corporate-information/newcomers-guide/interactions-police</w:t>
            </w:r>
          </w:p>
        </w:tc>
        <w:tc>
          <w:tcPr>
            <w:tcW w:w="23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E4" w14:textId="77777777" w:rsidR="00C1548D" w:rsidRDefault="009B1B4B">
            <w:pPr>
              <w:spacing w:line="250" w:lineRule="auto"/>
            </w:pPr>
            <w:r>
              <w:rPr>
                <w:sz w:val="18"/>
                <w:szCs w:val="18"/>
              </w:rPr>
              <w:t>Newcomers Guide, Verhalten bei Polizeikontakt</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E5" w14:textId="77777777" w:rsidR="00C1548D" w:rsidRDefault="009B1B4B">
            <w:pPr>
              <w:spacing w:line="250" w:lineRule="auto"/>
            </w:pPr>
            <w:r>
              <w:rPr>
                <w:sz w:val="18"/>
                <w:szCs w:val="18"/>
              </w:rPr>
              <w:t>Kanada: Recht und Sicherheit</w:t>
            </w:r>
          </w:p>
        </w:tc>
      </w:tr>
      <w:tr w:rsidR="00C1548D" w14:paraId="70A518EA" w14:textId="77777777">
        <w:tblPrEx>
          <w:tblCellMar>
            <w:top w:w="0" w:type="dxa"/>
            <w:bottom w:w="0" w:type="dxa"/>
          </w:tblCellMar>
        </w:tblPrEx>
        <w:trPr>
          <w:cantSplit/>
        </w:trPr>
        <w:tc>
          <w:tcPr>
            <w:tcW w:w="2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E7" w14:textId="77777777" w:rsidR="00C1548D" w:rsidRDefault="009B1B4B">
            <w:pPr>
              <w:spacing w:line="250" w:lineRule="auto"/>
            </w:pPr>
            <w:r>
              <w:rPr>
                <w:sz w:val="18"/>
                <w:szCs w:val="18"/>
              </w:rPr>
              <w:t>rcmp.ca/en/firearms</w:t>
            </w:r>
          </w:p>
        </w:tc>
        <w:tc>
          <w:tcPr>
            <w:tcW w:w="23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E8" w14:textId="77777777" w:rsidR="00C1548D" w:rsidRDefault="009B1B4B">
            <w:pPr>
              <w:spacing w:line="250" w:lineRule="auto"/>
            </w:pPr>
            <w:r>
              <w:rPr>
                <w:sz w:val="18"/>
                <w:szCs w:val="18"/>
              </w:rPr>
              <w:t>Waffenrecht und Lizenzierung</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E9" w14:textId="77777777" w:rsidR="00C1548D" w:rsidRDefault="009B1B4B">
            <w:pPr>
              <w:spacing w:line="250" w:lineRule="auto"/>
            </w:pPr>
            <w:r>
              <w:rPr>
                <w:sz w:val="18"/>
                <w:szCs w:val="18"/>
              </w:rPr>
              <w:t>Kanada: Recht und Sicherheit</w:t>
            </w:r>
          </w:p>
        </w:tc>
      </w:tr>
      <w:tr w:rsidR="00C1548D" w14:paraId="70A518EE" w14:textId="77777777">
        <w:tblPrEx>
          <w:tblCellMar>
            <w:top w:w="0" w:type="dxa"/>
            <w:bottom w:w="0" w:type="dxa"/>
          </w:tblCellMar>
        </w:tblPrEx>
        <w:trPr>
          <w:cantSplit/>
        </w:trPr>
        <w:tc>
          <w:tcPr>
            <w:tcW w:w="2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EB" w14:textId="77777777" w:rsidR="00C1548D" w:rsidRDefault="009B1B4B">
            <w:pPr>
              <w:spacing w:line="250" w:lineRule="auto"/>
            </w:pPr>
            <w:r>
              <w:rPr>
                <w:sz w:val="18"/>
                <w:szCs w:val="18"/>
              </w:rPr>
              <w:t>canada.ca (Suche: Assault-Style Firearms Compensation Program)</w:t>
            </w:r>
          </w:p>
        </w:tc>
        <w:tc>
          <w:tcPr>
            <w:tcW w:w="23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EC" w14:textId="77777777" w:rsidR="00C1548D" w:rsidRDefault="009B1B4B">
            <w:pPr>
              <w:spacing w:line="250" w:lineRule="auto"/>
            </w:pPr>
            <w:r>
              <w:rPr>
                <w:sz w:val="18"/>
                <w:szCs w:val="18"/>
              </w:rPr>
              <w:t>Rückkaufprogramm für Waffen</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ED" w14:textId="77777777" w:rsidR="00C1548D" w:rsidRDefault="009B1B4B">
            <w:pPr>
              <w:spacing w:line="250" w:lineRule="auto"/>
            </w:pPr>
            <w:r>
              <w:rPr>
                <w:sz w:val="18"/>
                <w:szCs w:val="18"/>
              </w:rPr>
              <w:t>Kanada: Recht und Sicherheit</w:t>
            </w:r>
          </w:p>
        </w:tc>
      </w:tr>
      <w:tr w:rsidR="00C1548D" w14:paraId="70A518F2" w14:textId="77777777">
        <w:tblPrEx>
          <w:tblCellMar>
            <w:top w:w="0" w:type="dxa"/>
            <w:bottom w:w="0" w:type="dxa"/>
          </w:tblCellMar>
        </w:tblPrEx>
        <w:trPr>
          <w:cantSplit/>
        </w:trPr>
        <w:tc>
          <w:tcPr>
            <w:tcW w:w="2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EF" w14:textId="77777777" w:rsidR="00C1548D" w:rsidRDefault="009B1B4B">
            <w:pPr>
              <w:spacing w:line="250" w:lineRule="auto"/>
            </w:pPr>
            <w:r>
              <w:rPr>
                <w:sz w:val="18"/>
                <w:szCs w:val="18"/>
              </w:rPr>
              <w:t>canada.ca/en/health-canada/services/drugs-medication/cannabis.html</w:t>
            </w:r>
          </w:p>
        </w:tc>
        <w:tc>
          <w:tcPr>
            <w:tcW w:w="23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0" w14:textId="77777777" w:rsidR="00C1548D" w:rsidRDefault="009B1B4B">
            <w:pPr>
              <w:spacing w:line="250" w:lineRule="auto"/>
            </w:pPr>
            <w:r>
              <w:rPr>
                <w:sz w:val="18"/>
                <w:szCs w:val="18"/>
              </w:rPr>
              <w:t>Cannabis Act, Regeln zu Besitz und Anbau</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1" w14:textId="77777777" w:rsidR="00C1548D" w:rsidRDefault="009B1B4B">
            <w:pPr>
              <w:spacing w:line="250" w:lineRule="auto"/>
            </w:pPr>
            <w:r>
              <w:rPr>
                <w:sz w:val="18"/>
                <w:szCs w:val="18"/>
              </w:rPr>
              <w:t>Kanada: Recht und Sicherheit</w:t>
            </w:r>
          </w:p>
        </w:tc>
      </w:tr>
      <w:tr w:rsidR="00C1548D" w14:paraId="70A518F6" w14:textId="77777777">
        <w:tblPrEx>
          <w:tblCellMar>
            <w:top w:w="0" w:type="dxa"/>
            <w:bottom w:w="0" w:type="dxa"/>
          </w:tblCellMar>
        </w:tblPrEx>
        <w:trPr>
          <w:cantSplit/>
        </w:trPr>
        <w:tc>
          <w:tcPr>
            <w:tcW w:w="2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3" w14:textId="77777777" w:rsidR="00C1548D" w:rsidRDefault="009B1B4B">
            <w:pPr>
              <w:spacing w:line="250" w:lineRule="auto"/>
            </w:pPr>
            <w:r>
              <w:rPr>
                <w:sz w:val="18"/>
                <w:szCs w:val="18"/>
              </w:rPr>
              <w:t>cbsa-asfc.gc.ca (Suche: CBSA cannabis travellers)</w:t>
            </w:r>
          </w:p>
        </w:tc>
        <w:tc>
          <w:tcPr>
            <w:tcW w:w="23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4" w14:textId="77777777" w:rsidR="00C1548D" w:rsidRDefault="009B1B4B">
            <w:pPr>
              <w:spacing w:line="250" w:lineRule="auto"/>
            </w:pPr>
            <w:r>
              <w:rPr>
                <w:sz w:val="18"/>
                <w:szCs w:val="18"/>
              </w:rPr>
              <w:t>Einfuhrbestimmungen für Cannabis</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5" w14:textId="77777777" w:rsidR="00C1548D" w:rsidRDefault="009B1B4B">
            <w:pPr>
              <w:spacing w:line="250" w:lineRule="auto"/>
            </w:pPr>
            <w:r>
              <w:rPr>
                <w:sz w:val="18"/>
                <w:szCs w:val="18"/>
              </w:rPr>
              <w:t>Kanada: Recht und Sicherheit</w:t>
            </w:r>
          </w:p>
        </w:tc>
      </w:tr>
      <w:tr w:rsidR="00C1548D" w14:paraId="70A518FA" w14:textId="77777777">
        <w:tblPrEx>
          <w:tblCellMar>
            <w:top w:w="0" w:type="dxa"/>
            <w:bottom w:w="0" w:type="dxa"/>
          </w:tblCellMar>
        </w:tblPrEx>
        <w:trPr>
          <w:cantSplit/>
        </w:trPr>
        <w:tc>
          <w:tcPr>
            <w:tcW w:w="2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7" w14:textId="77777777" w:rsidR="00C1548D" w:rsidRDefault="009B1B4B">
            <w:pPr>
              <w:spacing w:line="250" w:lineRule="auto"/>
            </w:pPr>
            <w:r>
              <w:rPr>
                <w:sz w:val="18"/>
                <w:szCs w:val="18"/>
              </w:rPr>
              <w:t>alertready.ca</w:t>
            </w:r>
          </w:p>
        </w:tc>
        <w:tc>
          <w:tcPr>
            <w:tcW w:w="23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8" w14:textId="77777777" w:rsidR="00C1548D" w:rsidRDefault="009B1B4B">
            <w:pPr>
              <w:spacing w:line="250" w:lineRule="auto"/>
            </w:pPr>
            <w:r>
              <w:rPr>
                <w:sz w:val="18"/>
                <w:szCs w:val="18"/>
              </w:rPr>
              <w:t>Alert Ready, nationales Warnsystem</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9" w14:textId="77777777" w:rsidR="00C1548D" w:rsidRDefault="009B1B4B">
            <w:pPr>
              <w:spacing w:line="250" w:lineRule="auto"/>
            </w:pPr>
            <w:r>
              <w:rPr>
                <w:sz w:val="18"/>
                <w:szCs w:val="18"/>
              </w:rPr>
              <w:t>Kanada: Recht und Sicherheit</w:t>
            </w:r>
          </w:p>
        </w:tc>
      </w:tr>
      <w:tr w:rsidR="00C1548D" w14:paraId="70A518FE" w14:textId="77777777">
        <w:tblPrEx>
          <w:tblCellMar>
            <w:top w:w="0" w:type="dxa"/>
            <w:bottom w:w="0" w:type="dxa"/>
          </w:tblCellMar>
        </w:tblPrEx>
        <w:trPr>
          <w:cantSplit/>
        </w:trPr>
        <w:tc>
          <w:tcPr>
            <w:tcW w:w="2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B" w14:textId="77777777" w:rsidR="00C1548D" w:rsidRDefault="009B1B4B">
            <w:pPr>
              <w:spacing w:line="250" w:lineRule="auto"/>
            </w:pPr>
            <w:r>
              <w:rPr>
                <w:sz w:val="18"/>
                <w:szCs w:val="18"/>
              </w:rPr>
              <w:t>weather.gc.ca</w:t>
            </w:r>
          </w:p>
        </w:tc>
        <w:tc>
          <w:tcPr>
            <w:tcW w:w="23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C" w14:textId="77777777" w:rsidR="00C1548D" w:rsidRDefault="009B1B4B">
            <w:pPr>
              <w:spacing w:line="250" w:lineRule="auto"/>
            </w:pPr>
            <w:r>
              <w:rPr>
                <w:sz w:val="18"/>
                <w:szCs w:val="18"/>
              </w:rPr>
              <w:t>Wetterwarnungen</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D" w14:textId="77777777" w:rsidR="00C1548D" w:rsidRDefault="009B1B4B">
            <w:pPr>
              <w:spacing w:line="250" w:lineRule="auto"/>
            </w:pPr>
            <w:r>
              <w:rPr>
                <w:sz w:val="18"/>
                <w:szCs w:val="18"/>
              </w:rPr>
              <w:t>Kanada: Recht und Sicherheit</w:t>
            </w:r>
          </w:p>
        </w:tc>
      </w:tr>
      <w:tr w:rsidR="00C1548D" w14:paraId="70A51902" w14:textId="77777777">
        <w:tblPrEx>
          <w:tblCellMar>
            <w:top w:w="0" w:type="dxa"/>
            <w:bottom w:w="0" w:type="dxa"/>
          </w:tblCellMar>
        </w:tblPrEx>
        <w:trPr>
          <w:cantSplit/>
        </w:trPr>
        <w:tc>
          <w:tcPr>
            <w:tcW w:w="2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8FF" w14:textId="77777777" w:rsidR="00C1548D" w:rsidRDefault="009B1B4B">
            <w:pPr>
              <w:spacing w:line="250" w:lineRule="auto"/>
            </w:pPr>
            <w:r>
              <w:rPr>
                <w:sz w:val="18"/>
                <w:szCs w:val="18"/>
              </w:rPr>
              <w:lastRenderedPageBreak/>
              <w:t>quebec.ca (Sprachgesetz Bill 96 / Loi 96)</w:t>
            </w:r>
          </w:p>
        </w:tc>
        <w:tc>
          <w:tcPr>
            <w:tcW w:w="23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00" w14:textId="77777777" w:rsidR="00C1548D" w:rsidRDefault="009B1B4B">
            <w:pPr>
              <w:spacing w:line="250" w:lineRule="auto"/>
            </w:pPr>
            <w:r>
              <w:rPr>
                <w:sz w:val="18"/>
                <w:szCs w:val="18"/>
              </w:rPr>
              <w:t>Sprachgesetz und Auswirkungen auf Alltag und Beruf</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01" w14:textId="77777777" w:rsidR="00C1548D" w:rsidRDefault="009B1B4B">
            <w:pPr>
              <w:spacing w:line="250" w:lineRule="auto"/>
            </w:pPr>
            <w:r>
              <w:rPr>
                <w:sz w:val="18"/>
                <w:szCs w:val="18"/>
              </w:rPr>
              <w:t>Kanada: Recht und Sicherheit</w:t>
            </w:r>
          </w:p>
        </w:tc>
      </w:tr>
      <w:tr w:rsidR="00C1548D" w14:paraId="70A51906" w14:textId="77777777">
        <w:tblPrEx>
          <w:tblCellMar>
            <w:top w:w="0" w:type="dxa"/>
            <w:bottom w:w="0" w:type="dxa"/>
          </w:tblCellMar>
        </w:tblPrEx>
        <w:trPr>
          <w:cantSplit/>
        </w:trPr>
        <w:tc>
          <w:tcPr>
            <w:tcW w:w="2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03" w14:textId="77777777" w:rsidR="00C1548D" w:rsidRDefault="009B1B4B">
            <w:pPr>
              <w:spacing w:line="250" w:lineRule="auto"/>
            </w:pPr>
            <w:r>
              <w:rPr>
                <w:sz w:val="18"/>
                <w:szCs w:val="18"/>
              </w:rPr>
              <w:t>canada.ca (Multiculturalism Policy, Charter of Rights and Freedoms)</w:t>
            </w:r>
          </w:p>
        </w:tc>
        <w:tc>
          <w:tcPr>
            <w:tcW w:w="23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04" w14:textId="77777777" w:rsidR="00C1548D" w:rsidRDefault="009B1B4B">
            <w:pPr>
              <w:spacing w:line="250" w:lineRule="auto"/>
            </w:pPr>
            <w:r>
              <w:rPr>
                <w:sz w:val="18"/>
                <w:szCs w:val="18"/>
              </w:rPr>
              <w:t>Grundrechte und Multikulturalismus-Politik</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05" w14:textId="77777777" w:rsidR="00C1548D" w:rsidRDefault="009B1B4B">
            <w:pPr>
              <w:spacing w:line="250" w:lineRule="auto"/>
            </w:pPr>
            <w:r>
              <w:rPr>
                <w:sz w:val="18"/>
                <w:szCs w:val="18"/>
              </w:rPr>
              <w:t>Kanada: Recht und Sicherheit</w:t>
            </w:r>
          </w:p>
        </w:tc>
      </w:tr>
      <w:tr w:rsidR="00C1548D" w14:paraId="70A5190A" w14:textId="77777777">
        <w:tblPrEx>
          <w:tblCellMar>
            <w:top w:w="0" w:type="dxa"/>
            <w:bottom w:w="0" w:type="dxa"/>
          </w:tblCellMar>
        </w:tblPrEx>
        <w:trPr>
          <w:cantSplit/>
        </w:trPr>
        <w:tc>
          <w:tcPr>
            <w:tcW w:w="259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07" w14:textId="77777777" w:rsidR="00C1548D" w:rsidRDefault="009B1B4B">
            <w:pPr>
              <w:spacing w:line="250" w:lineRule="auto"/>
            </w:pPr>
            <w:r>
              <w:rPr>
                <w:sz w:val="18"/>
                <w:szCs w:val="18"/>
              </w:rPr>
              <w:t>auswaertiges-amt.de</w:t>
            </w:r>
          </w:p>
        </w:tc>
        <w:tc>
          <w:tcPr>
            <w:tcW w:w="237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08" w14:textId="77777777" w:rsidR="00C1548D" w:rsidRDefault="009B1B4B">
            <w:pPr>
              <w:spacing w:line="250" w:lineRule="auto"/>
            </w:pPr>
            <w:r>
              <w:rPr>
                <w:sz w:val="18"/>
                <w:szCs w:val="18"/>
              </w:rPr>
              <w:t>Hilfe für Deutsche im Ausland, Krisenvorsorgeliste Elefand</w:t>
            </w:r>
          </w:p>
        </w:tc>
        <w:tc>
          <w:tcPr>
            <w:tcW w:w="151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09" w14:textId="77777777" w:rsidR="00C1548D" w:rsidRDefault="009B1B4B">
            <w:pPr>
              <w:spacing w:line="250" w:lineRule="auto"/>
            </w:pPr>
            <w:r>
              <w:rPr>
                <w:sz w:val="18"/>
                <w:szCs w:val="18"/>
              </w:rPr>
              <w:t>Kanada: Recht und Sicherheit</w:t>
            </w:r>
          </w:p>
        </w:tc>
      </w:tr>
    </w:tbl>
    <w:p w14:paraId="70A5190B" w14:textId="77777777" w:rsidR="00C1548D" w:rsidRDefault="00C1548D">
      <w:pPr>
        <w:spacing w:line="180" w:lineRule="exact"/>
      </w:pPr>
    </w:p>
    <w:p w14:paraId="70A5190C" w14:textId="77777777" w:rsidR="00C1548D" w:rsidRDefault="009B1B4B">
      <w:pPr>
        <w:pStyle w:val="Heading3"/>
        <w:keepNext/>
        <w:jc w:val="center"/>
      </w:pPr>
      <w:r>
        <w:rPr>
          <w:rFonts w:ascii="Amazon Ember" w:eastAsia="Amazon Ember" w:hAnsi="Amazon Ember" w:cs="Amazon Ember"/>
          <w:color w:val="0000FF"/>
          <w:sz w:val="36"/>
          <w:szCs w:val="36"/>
        </w:rPr>
        <w:t>Kanada: Bildung, Arbeit und Alltag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2"/>
        <w:gridCol w:w="2759"/>
        <w:gridCol w:w="989"/>
      </w:tblGrid>
      <w:tr w:rsidR="00C1548D" w14:paraId="70A51910" w14:textId="77777777">
        <w:tblPrEx>
          <w:tblCellMar>
            <w:top w:w="0" w:type="dxa"/>
            <w:bottom w:w="0" w:type="dxa"/>
          </w:tblCellMar>
        </w:tblPrEx>
        <w:trPr>
          <w:cantSplit/>
          <w:tblHeader/>
        </w:trPr>
        <w:tc>
          <w:tcPr>
            <w:tcW w:w="273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0D" w14:textId="77777777" w:rsidR="00C1548D" w:rsidRDefault="009B1B4B">
            <w:pPr>
              <w:spacing w:line="250" w:lineRule="auto"/>
            </w:pPr>
            <w:r>
              <w:rPr>
                <w:b/>
                <w:bCs/>
                <w:sz w:val="18"/>
                <w:szCs w:val="18"/>
              </w:rPr>
              <w:t>Adresse</w:t>
            </w:r>
          </w:p>
        </w:tc>
        <w:tc>
          <w:tcPr>
            <w:tcW w:w="275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0E" w14:textId="77777777" w:rsidR="00C1548D" w:rsidRDefault="009B1B4B">
            <w:pPr>
              <w:spacing w:line="250" w:lineRule="auto"/>
            </w:pPr>
            <w:r>
              <w:rPr>
                <w:b/>
                <w:bCs/>
                <w:sz w:val="18"/>
                <w:szCs w:val="18"/>
              </w:rPr>
              <w:t>Behörde / Thema</w:t>
            </w:r>
          </w:p>
        </w:tc>
        <w:tc>
          <w:tcPr>
            <w:tcW w:w="98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0F" w14:textId="77777777" w:rsidR="00C1548D" w:rsidRDefault="009B1B4B">
            <w:pPr>
              <w:spacing w:line="250" w:lineRule="auto"/>
            </w:pPr>
            <w:r>
              <w:rPr>
                <w:b/>
                <w:bCs/>
                <w:sz w:val="18"/>
                <w:szCs w:val="18"/>
              </w:rPr>
              <w:t>Referenz</w:t>
            </w:r>
          </w:p>
        </w:tc>
      </w:tr>
      <w:tr w:rsidR="00C1548D" w14:paraId="70A51914" w14:textId="77777777">
        <w:tblPrEx>
          <w:tblCellMar>
            <w:top w:w="0" w:type="dxa"/>
            <w:bottom w:w="0" w:type="dxa"/>
          </w:tblCellMar>
        </w:tblPrEx>
        <w:trPr>
          <w:cantSplit/>
        </w:trPr>
        <w:tc>
          <w:tcPr>
            <w:tcW w:w="2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1" w14:textId="77777777" w:rsidR="00C1548D" w:rsidRDefault="009B1B4B">
            <w:pPr>
              <w:spacing w:line="250" w:lineRule="auto"/>
            </w:pPr>
            <w:r>
              <w:rPr>
                <w:sz w:val="18"/>
                <w:szCs w:val="18"/>
              </w:rPr>
              <w:t>ontario.ca/page/education-and-training (auch education.gouv.qc.ca)</w:t>
            </w:r>
          </w:p>
        </w:tc>
        <w:tc>
          <w:tcPr>
            <w:tcW w:w="27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2" w14:textId="77777777" w:rsidR="00C1548D" w:rsidRDefault="009B1B4B">
            <w:pPr>
              <w:spacing w:line="250" w:lineRule="auto"/>
            </w:pPr>
            <w:r>
              <w:rPr>
                <w:sz w:val="18"/>
                <w:szCs w:val="18"/>
              </w:rPr>
              <w:t>Bildungsministerien der Provinzen</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3" w14:textId="77777777" w:rsidR="00C1548D" w:rsidRDefault="009B1B4B">
            <w:pPr>
              <w:spacing w:line="250" w:lineRule="auto"/>
            </w:pPr>
            <w:r>
              <w:rPr>
                <w:sz w:val="18"/>
                <w:szCs w:val="18"/>
              </w:rPr>
              <w:t>Kanada: Bildung</w:t>
            </w:r>
          </w:p>
        </w:tc>
      </w:tr>
      <w:tr w:rsidR="00C1548D" w14:paraId="70A51918" w14:textId="77777777">
        <w:tblPrEx>
          <w:tblCellMar>
            <w:top w:w="0" w:type="dxa"/>
            <w:bottom w:w="0" w:type="dxa"/>
          </w:tblCellMar>
        </w:tblPrEx>
        <w:trPr>
          <w:cantSplit/>
        </w:trPr>
        <w:tc>
          <w:tcPr>
            <w:tcW w:w="2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5" w14:textId="77777777" w:rsidR="00C1548D" w:rsidRDefault="009B1B4B">
            <w:pPr>
              <w:spacing w:line="250" w:lineRule="auto"/>
            </w:pPr>
            <w:r>
              <w:rPr>
                <w:sz w:val="18"/>
                <w:szCs w:val="18"/>
              </w:rPr>
              <w:t>quebec.ca (Suche: certificate of eligibility english instruction)</w:t>
            </w:r>
          </w:p>
        </w:tc>
        <w:tc>
          <w:tcPr>
            <w:tcW w:w="27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6" w14:textId="77777777" w:rsidR="00C1548D" w:rsidRDefault="009B1B4B">
            <w:pPr>
              <w:spacing w:line="250" w:lineRule="auto"/>
            </w:pPr>
            <w:r>
              <w:rPr>
                <w:sz w:val="18"/>
                <w:szCs w:val="18"/>
              </w:rPr>
              <w:t>Charter of the French Language, Zulassung zu englischsprachigem Unterricht</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7" w14:textId="77777777" w:rsidR="00C1548D" w:rsidRDefault="009B1B4B">
            <w:pPr>
              <w:spacing w:line="250" w:lineRule="auto"/>
            </w:pPr>
            <w:r>
              <w:rPr>
                <w:sz w:val="18"/>
                <w:szCs w:val="18"/>
              </w:rPr>
              <w:t>Kanada: Bildung</w:t>
            </w:r>
          </w:p>
        </w:tc>
      </w:tr>
      <w:tr w:rsidR="00C1548D" w14:paraId="70A5191C" w14:textId="77777777">
        <w:tblPrEx>
          <w:tblCellMar>
            <w:top w:w="0" w:type="dxa"/>
            <w:bottom w:w="0" w:type="dxa"/>
          </w:tblCellMar>
        </w:tblPrEx>
        <w:trPr>
          <w:cantSplit/>
        </w:trPr>
        <w:tc>
          <w:tcPr>
            <w:tcW w:w="2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9" w14:textId="77777777" w:rsidR="00C1548D" w:rsidRDefault="009B1B4B">
            <w:pPr>
              <w:spacing w:line="250" w:lineRule="auto"/>
            </w:pPr>
            <w:r>
              <w:rPr>
                <w:sz w:val="18"/>
                <w:szCs w:val="18"/>
              </w:rPr>
              <w:t>canada.ca/en/employment-social-development/campaigns/child-care.html</w:t>
            </w:r>
          </w:p>
        </w:tc>
        <w:tc>
          <w:tcPr>
            <w:tcW w:w="27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A" w14:textId="77777777" w:rsidR="00C1548D" w:rsidRDefault="009B1B4B">
            <w:pPr>
              <w:spacing w:line="250" w:lineRule="auto"/>
            </w:pPr>
            <w:r>
              <w:rPr>
                <w:sz w:val="18"/>
                <w:szCs w:val="18"/>
              </w:rPr>
              <w:t>Canada-Wide Early Learning and Child Care, Gebühren je Provinz</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B" w14:textId="77777777" w:rsidR="00C1548D" w:rsidRDefault="009B1B4B">
            <w:pPr>
              <w:spacing w:line="250" w:lineRule="auto"/>
            </w:pPr>
            <w:r>
              <w:rPr>
                <w:sz w:val="18"/>
                <w:szCs w:val="18"/>
              </w:rPr>
              <w:t>Kanada: Bildung</w:t>
            </w:r>
          </w:p>
        </w:tc>
      </w:tr>
      <w:tr w:rsidR="00C1548D" w14:paraId="70A51920" w14:textId="77777777">
        <w:tblPrEx>
          <w:tblCellMar>
            <w:top w:w="0" w:type="dxa"/>
            <w:bottom w:w="0" w:type="dxa"/>
          </w:tblCellMar>
        </w:tblPrEx>
        <w:trPr>
          <w:cantSplit/>
        </w:trPr>
        <w:tc>
          <w:tcPr>
            <w:tcW w:w="2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D" w14:textId="77777777" w:rsidR="00C1548D" w:rsidRDefault="009B1B4B">
            <w:pPr>
              <w:spacing w:line="250" w:lineRule="auto"/>
            </w:pPr>
            <w:r>
              <w:rPr>
                <w:sz w:val="18"/>
                <w:szCs w:val="18"/>
              </w:rPr>
              <w:t>gistonline.ca</w:t>
            </w:r>
          </w:p>
        </w:tc>
        <w:tc>
          <w:tcPr>
            <w:tcW w:w="27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E" w14:textId="77777777" w:rsidR="00C1548D" w:rsidRDefault="009B1B4B">
            <w:pPr>
              <w:spacing w:line="250" w:lineRule="auto"/>
            </w:pPr>
            <w:r>
              <w:rPr>
                <w:sz w:val="18"/>
                <w:szCs w:val="18"/>
              </w:rPr>
              <w:t>German International School Toronto</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1F" w14:textId="77777777" w:rsidR="00C1548D" w:rsidRDefault="009B1B4B">
            <w:pPr>
              <w:spacing w:line="250" w:lineRule="auto"/>
            </w:pPr>
            <w:r>
              <w:rPr>
                <w:sz w:val="18"/>
                <w:szCs w:val="18"/>
              </w:rPr>
              <w:t>Kanada: Bildung</w:t>
            </w:r>
          </w:p>
        </w:tc>
      </w:tr>
      <w:tr w:rsidR="00C1548D" w14:paraId="70A51924" w14:textId="77777777">
        <w:tblPrEx>
          <w:tblCellMar>
            <w:top w:w="0" w:type="dxa"/>
            <w:bottom w:w="0" w:type="dxa"/>
          </w:tblCellMar>
        </w:tblPrEx>
        <w:trPr>
          <w:cantSplit/>
        </w:trPr>
        <w:tc>
          <w:tcPr>
            <w:tcW w:w="2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1" w14:textId="77777777" w:rsidR="00C1548D" w:rsidRDefault="009B1B4B">
            <w:pPr>
              <w:spacing w:line="250" w:lineRule="auto"/>
            </w:pPr>
            <w:r>
              <w:rPr>
                <w:sz w:val="18"/>
                <w:szCs w:val="18"/>
              </w:rPr>
              <w:t>vwgs.org, calgarygermanschool.com</w:t>
            </w:r>
          </w:p>
        </w:tc>
        <w:tc>
          <w:tcPr>
            <w:tcW w:w="27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2" w14:textId="77777777" w:rsidR="00C1548D" w:rsidRDefault="009B1B4B">
            <w:pPr>
              <w:spacing w:line="250" w:lineRule="auto"/>
            </w:pPr>
            <w:r>
              <w:rPr>
                <w:sz w:val="18"/>
                <w:szCs w:val="18"/>
              </w:rPr>
              <w:t>Vancouver Westside German School, Calgary German Language School</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3" w14:textId="77777777" w:rsidR="00C1548D" w:rsidRDefault="009B1B4B">
            <w:pPr>
              <w:spacing w:line="250" w:lineRule="auto"/>
            </w:pPr>
            <w:r>
              <w:rPr>
                <w:sz w:val="18"/>
                <w:szCs w:val="18"/>
              </w:rPr>
              <w:t>Kanada: Bildung</w:t>
            </w:r>
          </w:p>
        </w:tc>
      </w:tr>
      <w:tr w:rsidR="00C1548D" w14:paraId="70A51928" w14:textId="77777777">
        <w:tblPrEx>
          <w:tblCellMar>
            <w:top w:w="0" w:type="dxa"/>
            <w:bottom w:w="0" w:type="dxa"/>
          </w:tblCellMar>
        </w:tblPrEx>
        <w:trPr>
          <w:cantSplit/>
        </w:trPr>
        <w:tc>
          <w:tcPr>
            <w:tcW w:w="2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5" w14:textId="77777777" w:rsidR="00C1548D" w:rsidRDefault="009B1B4B">
            <w:pPr>
              <w:spacing w:line="250" w:lineRule="auto"/>
            </w:pPr>
            <w:r>
              <w:rPr>
                <w:sz w:val="18"/>
                <w:szCs w:val="18"/>
              </w:rPr>
              <w:t>jobbank.gc.ca</w:t>
            </w:r>
          </w:p>
        </w:tc>
        <w:tc>
          <w:tcPr>
            <w:tcW w:w="27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6" w14:textId="77777777" w:rsidR="00C1548D" w:rsidRDefault="009B1B4B">
            <w:pPr>
              <w:spacing w:line="250" w:lineRule="auto"/>
            </w:pPr>
            <w:r>
              <w:rPr>
                <w:sz w:val="18"/>
                <w:szCs w:val="18"/>
              </w:rPr>
              <w:t>Job Bank (ESDC): Stellensuche, Lebenslauf-Hilfe, Lohnvergleiche</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7" w14:textId="77777777" w:rsidR="00C1548D" w:rsidRDefault="009B1B4B">
            <w:pPr>
              <w:spacing w:line="250" w:lineRule="auto"/>
            </w:pPr>
            <w:r>
              <w:rPr>
                <w:sz w:val="18"/>
                <w:szCs w:val="18"/>
              </w:rPr>
              <w:t>Kanada: Arbeitswelt</w:t>
            </w:r>
          </w:p>
        </w:tc>
      </w:tr>
      <w:tr w:rsidR="00C1548D" w14:paraId="70A5192C" w14:textId="77777777">
        <w:tblPrEx>
          <w:tblCellMar>
            <w:top w:w="0" w:type="dxa"/>
            <w:bottom w:w="0" w:type="dxa"/>
          </w:tblCellMar>
        </w:tblPrEx>
        <w:trPr>
          <w:cantSplit/>
        </w:trPr>
        <w:tc>
          <w:tcPr>
            <w:tcW w:w="2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9" w14:textId="77777777" w:rsidR="00C1548D" w:rsidRDefault="009B1B4B">
            <w:pPr>
              <w:spacing w:line="250" w:lineRule="auto"/>
            </w:pPr>
            <w:r>
              <w:rPr>
                <w:sz w:val="18"/>
                <w:szCs w:val="18"/>
              </w:rPr>
              <w:t>ontario.ca/document/your-guide-employment-standards-act-0</w:t>
            </w:r>
          </w:p>
        </w:tc>
        <w:tc>
          <w:tcPr>
            <w:tcW w:w="27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A" w14:textId="77777777" w:rsidR="00C1548D" w:rsidRDefault="009B1B4B">
            <w:pPr>
              <w:spacing w:line="250" w:lineRule="auto"/>
            </w:pPr>
            <w:r>
              <w:rPr>
                <w:sz w:val="18"/>
                <w:szCs w:val="18"/>
              </w:rPr>
              <w:t>Employment Standards Act: Kündigungsfristen und Urlaub</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B" w14:textId="77777777" w:rsidR="00C1548D" w:rsidRDefault="009B1B4B">
            <w:pPr>
              <w:spacing w:line="250" w:lineRule="auto"/>
            </w:pPr>
            <w:r>
              <w:rPr>
                <w:sz w:val="18"/>
                <w:szCs w:val="18"/>
              </w:rPr>
              <w:t>Kanada: Arbeitswelt</w:t>
            </w:r>
          </w:p>
        </w:tc>
      </w:tr>
      <w:tr w:rsidR="00C1548D" w14:paraId="70A51930" w14:textId="77777777">
        <w:tblPrEx>
          <w:tblCellMar>
            <w:top w:w="0" w:type="dxa"/>
            <w:bottom w:w="0" w:type="dxa"/>
          </w:tblCellMar>
        </w:tblPrEx>
        <w:trPr>
          <w:cantSplit/>
        </w:trPr>
        <w:tc>
          <w:tcPr>
            <w:tcW w:w="2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D" w14:textId="77777777" w:rsidR="00C1548D" w:rsidRDefault="009B1B4B">
            <w:pPr>
              <w:spacing w:line="250" w:lineRule="auto"/>
            </w:pPr>
            <w:r>
              <w:rPr>
                <w:sz w:val="18"/>
                <w:szCs w:val="18"/>
              </w:rPr>
              <w:t>alberta.ca/employment-standards</w:t>
            </w:r>
          </w:p>
        </w:tc>
        <w:tc>
          <w:tcPr>
            <w:tcW w:w="27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E" w14:textId="77777777" w:rsidR="00C1548D" w:rsidRDefault="009B1B4B">
            <w:pPr>
              <w:spacing w:line="250" w:lineRule="auto"/>
            </w:pPr>
            <w:r>
              <w:rPr>
                <w:sz w:val="18"/>
                <w:szCs w:val="18"/>
              </w:rPr>
              <w:t>Employment Standards Code Alberta</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2F" w14:textId="77777777" w:rsidR="00C1548D" w:rsidRDefault="009B1B4B">
            <w:pPr>
              <w:spacing w:line="250" w:lineRule="auto"/>
            </w:pPr>
            <w:r>
              <w:rPr>
                <w:sz w:val="18"/>
                <w:szCs w:val="18"/>
              </w:rPr>
              <w:t>Kanada: Arbeitswelt</w:t>
            </w:r>
          </w:p>
        </w:tc>
      </w:tr>
      <w:tr w:rsidR="00C1548D" w14:paraId="70A51934" w14:textId="77777777">
        <w:tblPrEx>
          <w:tblCellMar>
            <w:top w:w="0" w:type="dxa"/>
            <w:bottom w:w="0" w:type="dxa"/>
          </w:tblCellMar>
        </w:tblPrEx>
        <w:trPr>
          <w:cantSplit/>
        </w:trPr>
        <w:tc>
          <w:tcPr>
            <w:tcW w:w="27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31" w14:textId="77777777" w:rsidR="00C1548D" w:rsidRDefault="009B1B4B">
            <w:pPr>
              <w:spacing w:line="250" w:lineRule="auto"/>
            </w:pPr>
            <w:r>
              <w:rPr>
                <w:sz w:val="18"/>
                <w:szCs w:val="18"/>
              </w:rPr>
              <w:t>bpb.de</w:t>
            </w:r>
          </w:p>
        </w:tc>
        <w:tc>
          <w:tcPr>
            <w:tcW w:w="275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32" w14:textId="77777777" w:rsidR="00C1548D" w:rsidRDefault="009B1B4B">
            <w:pPr>
              <w:spacing w:line="250" w:lineRule="auto"/>
            </w:pPr>
            <w:r>
              <w:rPr>
                <w:sz w:val="18"/>
                <w:szCs w:val="18"/>
              </w:rPr>
              <w:t>Multikulturalismus in Kanada, Einordnung für Deutschland</w:t>
            </w:r>
          </w:p>
        </w:tc>
        <w:tc>
          <w:tcPr>
            <w:tcW w:w="98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33" w14:textId="77777777" w:rsidR="00C1548D" w:rsidRDefault="009B1B4B">
            <w:pPr>
              <w:spacing w:line="250" w:lineRule="auto"/>
            </w:pPr>
            <w:r>
              <w:rPr>
                <w:sz w:val="18"/>
                <w:szCs w:val="18"/>
              </w:rPr>
              <w:t>Kanada: Alltag</w:t>
            </w:r>
          </w:p>
        </w:tc>
      </w:tr>
    </w:tbl>
    <w:p w14:paraId="70A51935" w14:textId="77777777" w:rsidR="00C1548D" w:rsidRDefault="00C1548D">
      <w:pPr>
        <w:spacing w:line="180" w:lineRule="exact"/>
      </w:pPr>
    </w:p>
    <w:p w14:paraId="70A51936" w14:textId="77777777" w:rsidR="00C1548D" w:rsidRDefault="009B1B4B">
      <w:pPr>
        <w:pStyle w:val="Heading3"/>
        <w:keepNext/>
        <w:jc w:val="center"/>
      </w:pPr>
      <w:r>
        <w:rPr>
          <w:rFonts w:ascii="Amazon Ember" w:eastAsia="Amazon Ember" w:hAnsi="Amazon Ember" w:cs="Amazon Ember"/>
          <w:color w:val="0000FF"/>
          <w:sz w:val="36"/>
          <w:szCs w:val="36"/>
        </w:rPr>
        <w:t>Deutsche Vertretungen in Kanada</w:t>
      </w:r>
    </w:p>
    <w:p w14:paraId="70A51937" w14:textId="77777777" w:rsidR="00C1548D" w:rsidRDefault="009B1B4B">
      <w:pPr>
        <w:spacing w:after="140"/>
      </w:pPr>
      <w:r>
        <w:t>Die deutsche Botschaft sitzt in Ottawa; kanada.diplo.de führt zu den Generalkonsulaten und Honorarkonsuln.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2"/>
        <w:gridCol w:w="3878"/>
        <w:gridCol w:w="1450"/>
      </w:tblGrid>
      <w:tr w:rsidR="00C1548D" w14:paraId="70A5193B" w14:textId="77777777">
        <w:tblPrEx>
          <w:tblCellMar>
            <w:top w:w="0" w:type="dxa"/>
            <w:bottom w:w="0" w:type="dxa"/>
          </w:tblCellMar>
        </w:tblPrEx>
        <w:trPr>
          <w:cantSplit/>
          <w:tblHeader/>
        </w:trPr>
        <w:tc>
          <w:tcPr>
            <w:tcW w:w="11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38" w14:textId="77777777" w:rsidR="00C1548D" w:rsidRDefault="009B1B4B">
            <w:pPr>
              <w:spacing w:line="250" w:lineRule="auto"/>
            </w:pPr>
            <w:r>
              <w:rPr>
                <w:b/>
                <w:bCs/>
                <w:sz w:val="18"/>
                <w:szCs w:val="18"/>
              </w:rPr>
              <w:t>Adresse</w:t>
            </w:r>
          </w:p>
        </w:tc>
        <w:tc>
          <w:tcPr>
            <w:tcW w:w="387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39" w14:textId="77777777" w:rsidR="00C1548D" w:rsidRDefault="009B1B4B">
            <w:pPr>
              <w:spacing w:line="250" w:lineRule="auto"/>
            </w:pPr>
            <w:r>
              <w:rPr>
                <w:b/>
                <w:bCs/>
                <w:sz w:val="18"/>
                <w:szCs w:val="18"/>
              </w:rPr>
              <w:t>Behörde / Thema</w:t>
            </w:r>
          </w:p>
        </w:tc>
        <w:tc>
          <w:tcPr>
            <w:tcW w:w="14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3A" w14:textId="77777777" w:rsidR="00C1548D" w:rsidRDefault="009B1B4B">
            <w:pPr>
              <w:spacing w:line="250" w:lineRule="auto"/>
            </w:pPr>
            <w:r>
              <w:rPr>
                <w:b/>
                <w:bCs/>
                <w:sz w:val="18"/>
                <w:szCs w:val="18"/>
              </w:rPr>
              <w:t>Referenz</w:t>
            </w:r>
          </w:p>
        </w:tc>
      </w:tr>
      <w:tr w:rsidR="00C1548D" w14:paraId="70A5193F" w14:textId="77777777">
        <w:tblPrEx>
          <w:tblCellMar>
            <w:top w:w="0" w:type="dxa"/>
            <w:bottom w:w="0" w:type="dxa"/>
          </w:tblCellMar>
        </w:tblPrEx>
        <w:trPr>
          <w:cantSplit/>
        </w:trPr>
        <w:tc>
          <w:tcPr>
            <w:tcW w:w="11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3C" w14:textId="77777777" w:rsidR="00C1548D" w:rsidRDefault="009B1B4B">
            <w:pPr>
              <w:spacing w:line="250" w:lineRule="auto"/>
            </w:pPr>
            <w:r>
              <w:rPr>
                <w:sz w:val="18"/>
                <w:szCs w:val="18"/>
              </w:rPr>
              <w:t>kanada.diplo.de</w:t>
            </w:r>
          </w:p>
        </w:tc>
        <w:tc>
          <w:tcPr>
            <w:tcW w:w="38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3D" w14:textId="77777777" w:rsidR="00C1548D" w:rsidRDefault="009B1B4B">
            <w:pPr>
              <w:spacing w:line="250" w:lineRule="auto"/>
            </w:pPr>
            <w:r>
              <w:rPr>
                <w:sz w:val="18"/>
                <w:szCs w:val="18"/>
              </w:rPr>
              <w:t>Deutsche Botschaft Ottawa und Generalkonsulate, zuständige Vertretung finden</w:t>
            </w:r>
          </w:p>
        </w:tc>
        <w:tc>
          <w:tcPr>
            <w:tcW w:w="14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3E" w14:textId="77777777" w:rsidR="00C1548D" w:rsidRDefault="009B1B4B">
            <w:pPr>
              <w:spacing w:line="250" w:lineRule="auto"/>
            </w:pPr>
            <w:r>
              <w:rPr>
                <w:sz w:val="18"/>
                <w:szCs w:val="18"/>
              </w:rPr>
              <w:t>Kanada: Vertretungen</w:t>
            </w:r>
          </w:p>
        </w:tc>
      </w:tr>
      <w:tr w:rsidR="00C1548D" w14:paraId="70A51943" w14:textId="77777777">
        <w:tblPrEx>
          <w:tblCellMar>
            <w:top w:w="0" w:type="dxa"/>
            <w:bottom w:w="0" w:type="dxa"/>
          </w:tblCellMar>
        </w:tblPrEx>
        <w:trPr>
          <w:cantSplit/>
        </w:trPr>
        <w:tc>
          <w:tcPr>
            <w:tcW w:w="11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40" w14:textId="77777777" w:rsidR="00C1548D" w:rsidRDefault="009B1B4B">
            <w:pPr>
              <w:spacing w:line="250" w:lineRule="auto"/>
            </w:pPr>
            <w:r>
              <w:rPr>
                <w:sz w:val="18"/>
                <w:szCs w:val="18"/>
              </w:rPr>
              <w:t>goethe.de/ins/ca</w:t>
            </w:r>
          </w:p>
        </w:tc>
        <w:tc>
          <w:tcPr>
            <w:tcW w:w="387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41" w14:textId="77777777" w:rsidR="00C1548D" w:rsidRDefault="009B1B4B">
            <w:pPr>
              <w:spacing w:line="250" w:lineRule="auto"/>
            </w:pPr>
            <w:r>
              <w:rPr>
                <w:sz w:val="18"/>
                <w:szCs w:val="18"/>
              </w:rPr>
              <w:t>Goethe-Institut Kanada, Standorte Toronto, Ottawa, Montréal</w:t>
            </w:r>
          </w:p>
        </w:tc>
        <w:tc>
          <w:tcPr>
            <w:tcW w:w="14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42" w14:textId="77777777" w:rsidR="00C1548D" w:rsidRDefault="009B1B4B">
            <w:pPr>
              <w:spacing w:line="250" w:lineRule="auto"/>
            </w:pPr>
            <w:r>
              <w:rPr>
                <w:sz w:val="18"/>
                <w:szCs w:val="18"/>
              </w:rPr>
              <w:t>Kanada: Vertretungen</w:t>
            </w:r>
          </w:p>
        </w:tc>
      </w:tr>
    </w:tbl>
    <w:p w14:paraId="70A51944" w14:textId="77777777" w:rsidR="00C1548D" w:rsidRDefault="00C1548D">
      <w:pPr>
        <w:spacing w:line="180" w:lineRule="exact"/>
      </w:pPr>
    </w:p>
    <w:p w14:paraId="70A51945" w14:textId="77777777" w:rsidR="00C1548D" w:rsidRDefault="009B1B4B">
      <w:pPr>
        <w:pStyle w:val="Heading2"/>
        <w:keepNext/>
        <w:pageBreakBefore/>
        <w:jc w:val="center"/>
      </w:pPr>
      <w:bookmarkStart w:id="216" w:name="s103"/>
      <w:bookmarkStart w:id="217" w:name="_Toc241352560"/>
      <w:r>
        <w:rPr>
          <w:rFonts w:ascii="Amazon Ember" w:eastAsia="Amazon Ember" w:hAnsi="Amazon Ember" w:cs="Amazon Ember"/>
          <w:color w:val="0000FF"/>
          <w:sz w:val="36"/>
          <w:szCs w:val="36"/>
        </w:rPr>
        <w:lastRenderedPageBreak/>
        <w:t>Australien</w:t>
      </w:r>
      <w:bookmarkEnd w:id="216"/>
      <w:bookmarkEnd w:id="217"/>
    </w:p>
    <w:p w14:paraId="70A51946" w14:textId="77777777" w:rsidR="00C1548D" w:rsidRDefault="009B1B4B">
      <w:pPr>
        <w:pStyle w:val="Heading3"/>
        <w:keepNext/>
        <w:jc w:val="center"/>
      </w:pPr>
      <w:r>
        <w:rPr>
          <w:rFonts w:ascii="Amazon Ember" w:eastAsia="Amazon Ember" w:hAnsi="Amazon Ember" w:cs="Amazon Ember"/>
          <w:color w:val="0000FF"/>
          <w:sz w:val="36"/>
          <w:szCs w:val="36"/>
        </w:rPr>
        <w:t>Australien: Einwanderungsbehörden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37"/>
        <w:gridCol w:w="2537"/>
        <w:gridCol w:w="1406"/>
      </w:tblGrid>
      <w:tr w:rsidR="00C1548D" w14:paraId="70A5194A" w14:textId="77777777">
        <w:tblPrEx>
          <w:tblCellMar>
            <w:top w:w="0" w:type="dxa"/>
            <w:bottom w:w="0" w:type="dxa"/>
          </w:tblCellMar>
        </w:tblPrEx>
        <w:trPr>
          <w:cantSplit/>
          <w:tblHeader/>
        </w:trPr>
        <w:tc>
          <w:tcPr>
            <w:tcW w:w="253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47" w14:textId="77777777" w:rsidR="00C1548D" w:rsidRDefault="009B1B4B">
            <w:pPr>
              <w:spacing w:line="250" w:lineRule="auto"/>
            </w:pPr>
            <w:r>
              <w:rPr>
                <w:b/>
                <w:bCs/>
                <w:sz w:val="18"/>
                <w:szCs w:val="18"/>
              </w:rPr>
              <w:t>Adresse</w:t>
            </w:r>
          </w:p>
        </w:tc>
        <w:tc>
          <w:tcPr>
            <w:tcW w:w="253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48" w14:textId="77777777" w:rsidR="00C1548D" w:rsidRDefault="009B1B4B">
            <w:pPr>
              <w:spacing w:line="250" w:lineRule="auto"/>
            </w:pPr>
            <w:r>
              <w:rPr>
                <w:b/>
                <w:bCs/>
                <w:sz w:val="18"/>
                <w:szCs w:val="18"/>
              </w:rPr>
              <w:t>Behörde / Thema</w:t>
            </w:r>
          </w:p>
        </w:tc>
        <w:tc>
          <w:tcPr>
            <w:tcW w:w="140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49" w14:textId="77777777" w:rsidR="00C1548D" w:rsidRDefault="009B1B4B">
            <w:pPr>
              <w:spacing w:line="250" w:lineRule="auto"/>
            </w:pPr>
            <w:r>
              <w:rPr>
                <w:b/>
                <w:bCs/>
                <w:sz w:val="18"/>
                <w:szCs w:val="18"/>
              </w:rPr>
              <w:t>Referenz</w:t>
            </w:r>
          </w:p>
        </w:tc>
      </w:tr>
      <w:tr w:rsidR="00C1548D" w14:paraId="70A5194E"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4B" w14:textId="77777777" w:rsidR="00C1548D" w:rsidRDefault="009B1B4B">
            <w:pPr>
              <w:spacing w:line="250" w:lineRule="auto"/>
            </w:pPr>
            <w:r>
              <w:rPr>
                <w:sz w:val="18"/>
                <w:szCs w:val="18"/>
              </w:rPr>
              <w:t>immi.homeaffairs.gov.au</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4C" w14:textId="77777777" w:rsidR="00C1548D" w:rsidRDefault="009B1B4B">
            <w:pPr>
              <w:spacing w:line="250" w:lineRule="auto"/>
            </w:pPr>
            <w:r>
              <w:rPr>
                <w:sz w:val="18"/>
                <w:szCs w:val="18"/>
              </w:rPr>
              <w:t>Visa-Übersicht, Gebühren und ImmiAccount</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4D" w14:textId="77777777" w:rsidR="00C1548D" w:rsidRDefault="009B1B4B">
            <w:pPr>
              <w:spacing w:line="250" w:lineRule="auto"/>
            </w:pPr>
            <w:r>
              <w:rPr>
                <w:sz w:val="18"/>
                <w:szCs w:val="18"/>
              </w:rPr>
              <w:t>Australien: Einwanderung</w:t>
            </w:r>
          </w:p>
        </w:tc>
      </w:tr>
      <w:tr w:rsidR="00C1548D" w14:paraId="70A51952"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4F" w14:textId="77777777" w:rsidR="00C1548D" w:rsidRDefault="009B1B4B">
            <w:pPr>
              <w:spacing w:line="250" w:lineRule="auto"/>
            </w:pPr>
            <w:r>
              <w:rPr>
                <w:sz w:val="18"/>
                <w:szCs w:val="18"/>
              </w:rPr>
              <w:t>immi.homeaffairs.gov.au/visas/working-in-australia/skillselect</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0" w14:textId="77777777" w:rsidR="00C1548D" w:rsidRDefault="009B1B4B">
            <w:pPr>
              <w:spacing w:line="250" w:lineRule="auto"/>
            </w:pPr>
            <w:r>
              <w:rPr>
                <w:sz w:val="18"/>
                <w:szCs w:val="18"/>
              </w:rPr>
              <w:t>SkillSelect und Einladungsrunden</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1" w14:textId="77777777" w:rsidR="00C1548D" w:rsidRDefault="009B1B4B">
            <w:pPr>
              <w:spacing w:line="250" w:lineRule="auto"/>
            </w:pPr>
            <w:r>
              <w:rPr>
                <w:sz w:val="18"/>
                <w:szCs w:val="18"/>
              </w:rPr>
              <w:t>Australien: Einwanderung</w:t>
            </w:r>
          </w:p>
        </w:tc>
      </w:tr>
      <w:tr w:rsidR="00C1548D" w14:paraId="70A51956"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3" w14:textId="77777777" w:rsidR="00C1548D" w:rsidRDefault="009B1B4B">
            <w:pPr>
              <w:spacing w:line="250" w:lineRule="auto"/>
            </w:pPr>
            <w:r>
              <w:rPr>
                <w:sz w:val="18"/>
                <w:szCs w:val="18"/>
              </w:rPr>
              <w:t>immi.homeaffairs.gov.au (Suche: work-holiday-417)</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4" w14:textId="77777777" w:rsidR="00C1548D" w:rsidRDefault="009B1B4B">
            <w:pPr>
              <w:spacing w:line="250" w:lineRule="auto"/>
            </w:pPr>
            <w:r>
              <w:rPr>
                <w:sz w:val="18"/>
                <w:szCs w:val="18"/>
              </w:rPr>
              <w:t>Working Holiday Visa, Subclass 417</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5" w14:textId="77777777" w:rsidR="00C1548D" w:rsidRDefault="009B1B4B">
            <w:pPr>
              <w:spacing w:line="250" w:lineRule="auto"/>
            </w:pPr>
            <w:r>
              <w:rPr>
                <w:sz w:val="18"/>
                <w:szCs w:val="18"/>
              </w:rPr>
              <w:t>Australien: Einwanderung</w:t>
            </w:r>
          </w:p>
        </w:tc>
      </w:tr>
      <w:tr w:rsidR="00C1548D" w14:paraId="70A5195A"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7" w14:textId="77777777" w:rsidR="00C1548D" w:rsidRDefault="009B1B4B">
            <w:pPr>
              <w:spacing w:line="250" w:lineRule="auto"/>
            </w:pPr>
            <w:r>
              <w:rPr>
                <w:sz w:val="18"/>
                <w:szCs w:val="18"/>
              </w:rPr>
              <w:t>immi.homeaffairs.gov.au (Suche: student-visa-500)</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8" w14:textId="77777777" w:rsidR="00C1548D" w:rsidRDefault="009B1B4B">
            <w:pPr>
              <w:spacing w:line="250" w:lineRule="auto"/>
            </w:pPr>
            <w:r>
              <w:rPr>
                <w:sz w:val="18"/>
                <w:szCs w:val="18"/>
              </w:rPr>
              <w:t>Student Visa, Subclass 500</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9" w14:textId="77777777" w:rsidR="00C1548D" w:rsidRDefault="009B1B4B">
            <w:pPr>
              <w:spacing w:line="250" w:lineRule="auto"/>
            </w:pPr>
            <w:r>
              <w:rPr>
                <w:sz w:val="18"/>
                <w:szCs w:val="18"/>
              </w:rPr>
              <w:t>Australien: Einwanderung</w:t>
            </w:r>
          </w:p>
        </w:tc>
      </w:tr>
      <w:tr w:rsidR="00C1548D" w14:paraId="70A5195E"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B" w14:textId="77777777" w:rsidR="00C1548D" w:rsidRDefault="009B1B4B">
            <w:pPr>
              <w:spacing w:line="250" w:lineRule="auto"/>
            </w:pPr>
            <w:r>
              <w:rPr>
                <w:sz w:val="18"/>
                <w:szCs w:val="18"/>
              </w:rPr>
              <w:t>immi.homeaffairs.gov.au/visas/getting-a-visa/fees-and-charges</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C" w14:textId="77777777" w:rsidR="00C1548D" w:rsidRDefault="009B1B4B">
            <w:pPr>
              <w:spacing w:line="250" w:lineRule="auto"/>
            </w:pPr>
            <w:r>
              <w:rPr>
                <w:sz w:val="18"/>
                <w:szCs w:val="18"/>
              </w:rPr>
              <w:t>Gebühren und Bearbeitungszeiten</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D" w14:textId="77777777" w:rsidR="00C1548D" w:rsidRDefault="009B1B4B">
            <w:pPr>
              <w:spacing w:line="250" w:lineRule="auto"/>
            </w:pPr>
            <w:r>
              <w:rPr>
                <w:sz w:val="18"/>
                <w:szCs w:val="18"/>
              </w:rPr>
              <w:t>Australien: Einwanderung</w:t>
            </w:r>
          </w:p>
        </w:tc>
      </w:tr>
      <w:tr w:rsidR="00C1548D" w14:paraId="70A51962"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5F" w14:textId="77777777" w:rsidR="00C1548D" w:rsidRDefault="009B1B4B">
            <w:pPr>
              <w:spacing w:line="250" w:lineRule="auto"/>
            </w:pPr>
            <w:r>
              <w:rPr>
                <w:sz w:val="18"/>
                <w:szCs w:val="18"/>
              </w:rPr>
              <w:t>immi.homeaffairs.gov.au (Migration Program)</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0" w14:textId="77777777" w:rsidR="00C1548D" w:rsidRDefault="009B1B4B">
            <w:pPr>
              <w:spacing w:line="250" w:lineRule="auto"/>
            </w:pPr>
            <w:r>
              <w:rPr>
                <w:sz w:val="18"/>
                <w:szCs w:val="18"/>
              </w:rPr>
              <w:t>Migration Program, jährliches Planungsniveau</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1" w14:textId="77777777" w:rsidR="00C1548D" w:rsidRDefault="009B1B4B">
            <w:pPr>
              <w:spacing w:line="250" w:lineRule="auto"/>
            </w:pPr>
            <w:r>
              <w:rPr>
                <w:sz w:val="18"/>
                <w:szCs w:val="18"/>
              </w:rPr>
              <w:t>Australien: Einwanderung</w:t>
            </w:r>
          </w:p>
        </w:tc>
      </w:tr>
      <w:tr w:rsidR="00C1548D" w14:paraId="70A51966"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3" w14:textId="77777777" w:rsidR="00C1548D" w:rsidRDefault="009B1B4B">
            <w:pPr>
              <w:spacing w:line="250" w:lineRule="auto"/>
            </w:pPr>
            <w:r>
              <w:rPr>
                <w:sz w:val="18"/>
                <w:szCs w:val="18"/>
              </w:rPr>
              <w:t>immi.homeaffairs.gov.au (Suche: skilled-independent-189)</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4" w14:textId="77777777" w:rsidR="00C1548D" w:rsidRDefault="009B1B4B">
            <w:pPr>
              <w:spacing w:line="250" w:lineRule="auto"/>
            </w:pPr>
            <w:r>
              <w:rPr>
                <w:sz w:val="18"/>
                <w:szCs w:val="18"/>
              </w:rPr>
              <w:t>Skilled Independent visa, Subclass 189</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5" w14:textId="77777777" w:rsidR="00C1548D" w:rsidRDefault="009B1B4B">
            <w:pPr>
              <w:spacing w:line="250" w:lineRule="auto"/>
            </w:pPr>
            <w:r>
              <w:rPr>
                <w:sz w:val="18"/>
                <w:szCs w:val="18"/>
              </w:rPr>
              <w:t>Australien: Einwanderung</w:t>
            </w:r>
          </w:p>
        </w:tc>
      </w:tr>
      <w:tr w:rsidR="00C1548D" w14:paraId="70A5196A"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7" w14:textId="77777777" w:rsidR="00C1548D" w:rsidRDefault="009B1B4B">
            <w:pPr>
              <w:spacing w:line="250" w:lineRule="auto"/>
            </w:pPr>
            <w:r>
              <w:rPr>
                <w:sz w:val="18"/>
                <w:szCs w:val="18"/>
              </w:rPr>
              <w:t>immi.homeaffairs.gov.au (Suche: skilled-nominated-190)</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8" w14:textId="77777777" w:rsidR="00C1548D" w:rsidRDefault="009B1B4B">
            <w:pPr>
              <w:spacing w:line="250" w:lineRule="auto"/>
            </w:pPr>
            <w:r>
              <w:rPr>
                <w:sz w:val="18"/>
                <w:szCs w:val="18"/>
              </w:rPr>
              <w:t>Skilled Nominated visa, Subclass 190</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9" w14:textId="77777777" w:rsidR="00C1548D" w:rsidRDefault="009B1B4B">
            <w:pPr>
              <w:spacing w:line="250" w:lineRule="auto"/>
            </w:pPr>
            <w:r>
              <w:rPr>
                <w:sz w:val="18"/>
                <w:szCs w:val="18"/>
              </w:rPr>
              <w:t>Australien: Einwanderung</w:t>
            </w:r>
          </w:p>
        </w:tc>
      </w:tr>
      <w:tr w:rsidR="00C1548D" w14:paraId="70A5196E"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B" w14:textId="77777777" w:rsidR="00C1548D" w:rsidRDefault="009B1B4B">
            <w:pPr>
              <w:spacing w:line="250" w:lineRule="auto"/>
            </w:pPr>
            <w:r>
              <w:rPr>
                <w:sz w:val="18"/>
                <w:szCs w:val="18"/>
              </w:rPr>
              <w:t>immi.homeaffairs.gov.au (Suche: skills-in-demand-visa-subclass-482)</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C" w14:textId="77777777" w:rsidR="00C1548D" w:rsidRDefault="009B1B4B">
            <w:pPr>
              <w:spacing w:line="250" w:lineRule="auto"/>
            </w:pPr>
            <w:r>
              <w:rPr>
                <w:sz w:val="18"/>
                <w:szCs w:val="18"/>
              </w:rPr>
              <w:t>Skills in Demand visa, Subclass 482</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D" w14:textId="77777777" w:rsidR="00C1548D" w:rsidRDefault="009B1B4B">
            <w:pPr>
              <w:spacing w:line="250" w:lineRule="auto"/>
            </w:pPr>
            <w:r>
              <w:rPr>
                <w:sz w:val="18"/>
                <w:szCs w:val="18"/>
              </w:rPr>
              <w:t>Australien: Einwanderung</w:t>
            </w:r>
          </w:p>
        </w:tc>
      </w:tr>
      <w:tr w:rsidR="00C1548D" w14:paraId="70A51972"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6F" w14:textId="77777777" w:rsidR="00C1548D" w:rsidRDefault="009B1B4B">
            <w:pPr>
              <w:spacing w:line="250" w:lineRule="auto"/>
            </w:pPr>
            <w:r>
              <w:rPr>
                <w:sz w:val="18"/>
                <w:szCs w:val="18"/>
              </w:rPr>
              <w:t>immi.homeaffairs.gov.au (Suche: employer-nomination-scheme-186)</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0" w14:textId="77777777" w:rsidR="00C1548D" w:rsidRDefault="009B1B4B">
            <w:pPr>
              <w:spacing w:line="250" w:lineRule="auto"/>
            </w:pPr>
            <w:r>
              <w:rPr>
                <w:sz w:val="18"/>
                <w:szCs w:val="18"/>
              </w:rPr>
              <w:t>Employer Nomination Scheme, Subclass 186</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1" w14:textId="77777777" w:rsidR="00C1548D" w:rsidRDefault="009B1B4B">
            <w:pPr>
              <w:spacing w:line="250" w:lineRule="auto"/>
            </w:pPr>
            <w:r>
              <w:rPr>
                <w:sz w:val="18"/>
                <w:szCs w:val="18"/>
              </w:rPr>
              <w:t>Australien: Einwanderung</w:t>
            </w:r>
          </w:p>
        </w:tc>
      </w:tr>
      <w:tr w:rsidR="00C1548D" w14:paraId="70A51976"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3" w14:textId="77777777" w:rsidR="00C1548D" w:rsidRDefault="009B1B4B">
            <w:pPr>
              <w:spacing w:line="250" w:lineRule="auto"/>
            </w:pPr>
            <w:r>
              <w:rPr>
                <w:sz w:val="18"/>
                <w:szCs w:val="18"/>
              </w:rPr>
              <w:t>dewr.gov.au</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4" w14:textId="77777777" w:rsidR="00C1548D" w:rsidRDefault="009B1B4B">
            <w:pPr>
              <w:spacing w:line="250" w:lineRule="auto"/>
            </w:pPr>
            <w:r>
              <w:rPr>
                <w:sz w:val="18"/>
                <w:szCs w:val="18"/>
              </w:rPr>
              <w:t>Skilling Australians Fund Levy</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5" w14:textId="77777777" w:rsidR="00C1548D" w:rsidRDefault="009B1B4B">
            <w:pPr>
              <w:spacing w:line="250" w:lineRule="auto"/>
            </w:pPr>
            <w:r>
              <w:rPr>
                <w:sz w:val="18"/>
                <w:szCs w:val="18"/>
              </w:rPr>
              <w:t>Australien: Einwanderung</w:t>
            </w:r>
          </w:p>
        </w:tc>
      </w:tr>
      <w:tr w:rsidR="00C1548D" w14:paraId="70A5197A"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7" w14:textId="77777777" w:rsidR="00C1548D" w:rsidRDefault="009B1B4B">
            <w:pPr>
              <w:spacing w:line="250" w:lineRule="auto"/>
            </w:pPr>
            <w:r>
              <w:rPr>
                <w:sz w:val="18"/>
                <w:szCs w:val="18"/>
              </w:rPr>
              <w:t>immi.homeaffairs.gov.au (Suche: partner-visa)</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8" w14:textId="77777777" w:rsidR="00C1548D" w:rsidRDefault="009B1B4B">
            <w:pPr>
              <w:spacing w:line="250" w:lineRule="auto"/>
            </w:pPr>
            <w:r>
              <w:rPr>
                <w:sz w:val="18"/>
                <w:szCs w:val="18"/>
              </w:rPr>
              <w:t>Partnervisa, Subclass 820/801 und 309/100</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9" w14:textId="77777777" w:rsidR="00C1548D" w:rsidRDefault="009B1B4B">
            <w:pPr>
              <w:spacing w:line="250" w:lineRule="auto"/>
            </w:pPr>
            <w:r>
              <w:rPr>
                <w:sz w:val="18"/>
                <w:szCs w:val="18"/>
              </w:rPr>
              <w:t>Australien: Einwanderung</w:t>
            </w:r>
          </w:p>
        </w:tc>
      </w:tr>
      <w:tr w:rsidR="00C1548D" w14:paraId="70A5197E"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B" w14:textId="77777777" w:rsidR="00C1548D" w:rsidRDefault="009B1B4B">
            <w:pPr>
              <w:spacing w:line="250" w:lineRule="auto"/>
            </w:pPr>
            <w:r>
              <w:rPr>
                <w:sz w:val="18"/>
                <w:szCs w:val="18"/>
              </w:rPr>
              <w:t>immi.homeaffairs.gov.au (Suche: parent-visa, balance-of-family-test)</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C" w14:textId="77777777" w:rsidR="00C1548D" w:rsidRDefault="009B1B4B">
            <w:pPr>
              <w:spacing w:line="250" w:lineRule="auto"/>
            </w:pPr>
            <w:r>
              <w:rPr>
                <w:sz w:val="18"/>
                <w:szCs w:val="18"/>
              </w:rPr>
              <w:t>Parent-Visa-Kategorien und Balance-of-Family-Test</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D" w14:textId="77777777" w:rsidR="00C1548D" w:rsidRDefault="009B1B4B">
            <w:pPr>
              <w:spacing w:line="250" w:lineRule="auto"/>
            </w:pPr>
            <w:r>
              <w:rPr>
                <w:sz w:val="18"/>
                <w:szCs w:val="18"/>
              </w:rPr>
              <w:t>Australien: Einwanderung</w:t>
            </w:r>
          </w:p>
        </w:tc>
      </w:tr>
      <w:tr w:rsidR="00C1548D" w14:paraId="70A51982"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7F" w14:textId="77777777" w:rsidR="00C1548D" w:rsidRDefault="009B1B4B">
            <w:pPr>
              <w:spacing w:line="250" w:lineRule="auto"/>
            </w:pPr>
            <w:r>
              <w:rPr>
                <w:sz w:val="18"/>
                <w:szCs w:val="18"/>
              </w:rPr>
              <w:lastRenderedPageBreak/>
              <w:t>immi.homeaffairs.gov.au (Suche: sponsored-parent-870)</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0" w14:textId="77777777" w:rsidR="00C1548D" w:rsidRDefault="009B1B4B">
            <w:pPr>
              <w:spacing w:line="250" w:lineRule="auto"/>
            </w:pPr>
            <w:r>
              <w:rPr>
                <w:sz w:val="18"/>
                <w:szCs w:val="18"/>
              </w:rPr>
              <w:t>Sponsored Parent (Temporary) Visa, Subclass 870</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1" w14:textId="77777777" w:rsidR="00C1548D" w:rsidRDefault="009B1B4B">
            <w:pPr>
              <w:spacing w:line="250" w:lineRule="auto"/>
            </w:pPr>
            <w:r>
              <w:rPr>
                <w:sz w:val="18"/>
                <w:szCs w:val="18"/>
              </w:rPr>
              <w:t>Australien: Einwanderung</w:t>
            </w:r>
          </w:p>
        </w:tc>
      </w:tr>
      <w:tr w:rsidR="00C1548D" w14:paraId="70A51986"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3" w14:textId="77777777" w:rsidR="00C1548D" w:rsidRDefault="009B1B4B">
            <w:pPr>
              <w:spacing w:line="250" w:lineRule="auto"/>
            </w:pPr>
            <w:r>
              <w:rPr>
                <w:sz w:val="18"/>
                <w:szCs w:val="18"/>
              </w:rPr>
              <w:t>immi.homeaffairs.gov.au (Suche: national-innovation-visa-858)</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4" w14:textId="77777777" w:rsidR="00C1548D" w:rsidRDefault="009B1B4B">
            <w:pPr>
              <w:spacing w:line="250" w:lineRule="auto"/>
            </w:pPr>
            <w:r>
              <w:rPr>
                <w:sz w:val="18"/>
                <w:szCs w:val="18"/>
              </w:rPr>
              <w:t>National Innovation Visa, Subclass 858</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5" w14:textId="77777777" w:rsidR="00C1548D" w:rsidRDefault="009B1B4B">
            <w:pPr>
              <w:spacing w:line="250" w:lineRule="auto"/>
            </w:pPr>
            <w:r>
              <w:rPr>
                <w:sz w:val="18"/>
                <w:szCs w:val="18"/>
              </w:rPr>
              <w:t>Australien: Einwanderung</w:t>
            </w:r>
          </w:p>
        </w:tc>
      </w:tr>
      <w:tr w:rsidR="00C1548D" w14:paraId="70A5198A"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7" w14:textId="77777777" w:rsidR="00C1548D" w:rsidRDefault="009B1B4B">
            <w:pPr>
              <w:spacing w:line="250" w:lineRule="auto"/>
            </w:pPr>
            <w:r>
              <w:rPr>
                <w:sz w:val="18"/>
                <w:szCs w:val="18"/>
              </w:rPr>
              <w:t>immi.homeaffairs.gov.au/visas/getting-a-visa/visa-processing-times</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8" w14:textId="77777777" w:rsidR="00C1548D" w:rsidRDefault="009B1B4B">
            <w:pPr>
              <w:spacing w:line="250" w:lineRule="auto"/>
            </w:pPr>
            <w:r>
              <w:rPr>
                <w:sz w:val="18"/>
                <w:szCs w:val="18"/>
              </w:rPr>
              <w:t>Visa-Bearbeitungszeiten und -prioritäten</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9" w14:textId="77777777" w:rsidR="00C1548D" w:rsidRDefault="009B1B4B">
            <w:pPr>
              <w:spacing w:line="250" w:lineRule="auto"/>
            </w:pPr>
            <w:r>
              <w:rPr>
                <w:sz w:val="18"/>
                <w:szCs w:val="18"/>
              </w:rPr>
              <w:t>Australien: Einwanderung</w:t>
            </w:r>
          </w:p>
        </w:tc>
      </w:tr>
      <w:tr w:rsidR="00C1548D" w14:paraId="70A5198E"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B" w14:textId="77777777" w:rsidR="00C1548D" w:rsidRDefault="009B1B4B">
            <w:pPr>
              <w:spacing w:line="250" w:lineRule="auto"/>
            </w:pPr>
            <w:r>
              <w:rPr>
                <w:sz w:val="18"/>
                <w:szCs w:val="18"/>
              </w:rPr>
              <w:t>portal.mara.gov.au</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C" w14:textId="77777777" w:rsidR="00C1548D" w:rsidRDefault="009B1B4B">
            <w:pPr>
              <w:spacing w:line="250" w:lineRule="auto"/>
            </w:pPr>
            <w:r>
              <w:rPr>
                <w:sz w:val="18"/>
                <w:szCs w:val="18"/>
              </w:rPr>
              <w:t>OMARA, Register der Migration Agents</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D" w14:textId="77777777" w:rsidR="00C1548D" w:rsidRDefault="009B1B4B">
            <w:pPr>
              <w:spacing w:line="250" w:lineRule="auto"/>
            </w:pPr>
            <w:r>
              <w:rPr>
                <w:sz w:val="18"/>
                <w:szCs w:val="18"/>
              </w:rPr>
              <w:t>Australien: Einwanderung</w:t>
            </w:r>
          </w:p>
        </w:tc>
      </w:tr>
      <w:tr w:rsidR="00C1548D" w14:paraId="70A51992"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8F" w14:textId="77777777" w:rsidR="00C1548D" w:rsidRDefault="009B1B4B">
            <w:pPr>
              <w:spacing w:line="250" w:lineRule="auto"/>
            </w:pPr>
            <w:r>
              <w:rPr>
                <w:sz w:val="18"/>
                <w:szCs w:val="18"/>
              </w:rPr>
              <w:t>abf.gov.au</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90" w14:textId="77777777" w:rsidR="00C1548D" w:rsidRDefault="009B1B4B">
            <w:pPr>
              <w:spacing w:line="250" w:lineRule="auto"/>
            </w:pPr>
            <w:r>
              <w:rPr>
                <w:sz w:val="18"/>
                <w:szCs w:val="18"/>
              </w:rPr>
              <w:t>Australian Border Force, Biosecurity und Zoll bei der Einreise</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91" w14:textId="77777777" w:rsidR="00C1548D" w:rsidRDefault="009B1B4B">
            <w:pPr>
              <w:spacing w:line="250" w:lineRule="auto"/>
            </w:pPr>
            <w:r>
              <w:rPr>
                <w:sz w:val="18"/>
                <w:szCs w:val="18"/>
              </w:rPr>
              <w:t>Australien: Ankunft</w:t>
            </w:r>
          </w:p>
        </w:tc>
      </w:tr>
      <w:tr w:rsidR="00C1548D" w14:paraId="70A51996"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93" w14:textId="77777777" w:rsidR="00C1548D" w:rsidRDefault="009B1B4B">
            <w:pPr>
              <w:spacing w:line="250" w:lineRule="auto"/>
            </w:pPr>
            <w:r>
              <w:rPr>
                <w:sz w:val="18"/>
                <w:szCs w:val="18"/>
              </w:rPr>
              <w:t>homeaffairs.gov.au</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94" w14:textId="77777777" w:rsidR="00C1548D" w:rsidRDefault="009B1B4B">
            <w:pPr>
              <w:spacing w:line="250" w:lineRule="auto"/>
            </w:pPr>
            <w:r>
              <w:rPr>
                <w:sz w:val="18"/>
                <w:szCs w:val="18"/>
              </w:rPr>
              <w:t>Citizenship by Conferral: Voraussetzungen, Test, Gebühren, Residence Calculator</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95" w14:textId="77777777" w:rsidR="00C1548D" w:rsidRDefault="009B1B4B">
            <w:pPr>
              <w:spacing w:line="250" w:lineRule="auto"/>
            </w:pPr>
            <w:r>
              <w:rPr>
                <w:sz w:val="18"/>
                <w:szCs w:val="18"/>
              </w:rPr>
              <w:t>Australien: Staatsbürgerschaft</w:t>
            </w:r>
          </w:p>
        </w:tc>
      </w:tr>
      <w:tr w:rsidR="00C1548D" w14:paraId="70A5199A" w14:textId="77777777">
        <w:tblPrEx>
          <w:tblCellMar>
            <w:top w:w="0" w:type="dxa"/>
            <w:bottom w:w="0" w:type="dxa"/>
          </w:tblCellMar>
        </w:tblPrEx>
        <w:trPr>
          <w:cantSplit/>
        </w:trPr>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97" w14:textId="77777777" w:rsidR="00C1548D" w:rsidRDefault="009B1B4B">
            <w:pPr>
              <w:spacing w:line="250" w:lineRule="auto"/>
            </w:pPr>
            <w:r>
              <w:rPr>
                <w:sz w:val="18"/>
                <w:szCs w:val="18"/>
              </w:rPr>
              <w:t>bmi.bund.de</w:t>
            </w:r>
          </w:p>
        </w:tc>
        <w:tc>
          <w:tcPr>
            <w:tcW w:w="25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98" w14:textId="77777777" w:rsidR="00C1548D" w:rsidRDefault="009B1B4B">
            <w:pPr>
              <w:spacing w:line="250" w:lineRule="auto"/>
            </w:pPr>
            <w:r>
              <w:rPr>
                <w:sz w:val="18"/>
                <w:szCs w:val="18"/>
              </w:rPr>
              <w:t>Staatsangehörigkeitsrecht, Reform 2024</w:t>
            </w:r>
          </w:p>
        </w:tc>
        <w:tc>
          <w:tcPr>
            <w:tcW w:w="14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99" w14:textId="77777777" w:rsidR="00C1548D" w:rsidRDefault="009B1B4B">
            <w:pPr>
              <w:spacing w:line="250" w:lineRule="auto"/>
            </w:pPr>
            <w:r>
              <w:rPr>
                <w:sz w:val="18"/>
                <w:szCs w:val="18"/>
              </w:rPr>
              <w:t>Australien: Staatsbürgerschaft</w:t>
            </w:r>
          </w:p>
        </w:tc>
      </w:tr>
    </w:tbl>
    <w:p w14:paraId="70A5199B" w14:textId="77777777" w:rsidR="00C1548D" w:rsidRDefault="00C1548D">
      <w:pPr>
        <w:spacing w:line="180" w:lineRule="exact"/>
      </w:pPr>
    </w:p>
    <w:p w14:paraId="70A5199C" w14:textId="77777777" w:rsidR="00C1548D" w:rsidRDefault="009B1B4B">
      <w:pPr>
        <w:pStyle w:val="Heading3"/>
        <w:keepNext/>
        <w:jc w:val="center"/>
      </w:pPr>
      <w:r>
        <w:rPr>
          <w:rFonts w:ascii="Amazon Ember" w:eastAsia="Amazon Ember" w:hAnsi="Amazon Ember" w:cs="Amazon Ember"/>
          <w:color w:val="0000FF"/>
          <w:sz w:val="36"/>
          <w:szCs w:val="36"/>
        </w:rPr>
        <w:t>Australien: Steuern und Sozialversicherung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3083"/>
        <w:gridCol w:w="1231"/>
      </w:tblGrid>
      <w:tr w:rsidR="00C1548D" w14:paraId="70A519A0" w14:textId="77777777">
        <w:tblPrEx>
          <w:tblCellMar>
            <w:top w:w="0" w:type="dxa"/>
            <w:bottom w:w="0" w:type="dxa"/>
          </w:tblCellMar>
        </w:tblPrEx>
        <w:trPr>
          <w:cantSplit/>
          <w:tblHeader/>
        </w:trPr>
        <w:tc>
          <w:tcPr>
            <w:tcW w:w="216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9D" w14:textId="77777777" w:rsidR="00C1548D" w:rsidRDefault="009B1B4B">
            <w:pPr>
              <w:spacing w:line="250" w:lineRule="auto"/>
            </w:pPr>
            <w:r>
              <w:rPr>
                <w:b/>
                <w:bCs/>
                <w:sz w:val="18"/>
                <w:szCs w:val="18"/>
              </w:rPr>
              <w:t>Adresse</w:t>
            </w:r>
          </w:p>
        </w:tc>
        <w:tc>
          <w:tcPr>
            <w:tcW w:w="30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9E" w14:textId="77777777" w:rsidR="00C1548D" w:rsidRDefault="009B1B4B">
            <w:pPr>
              <w:spacing w:line="250" w:lineRule="auto"/>
            </w:pPr>
            <w:r>
              <w:rPr>
                <w:b/>
                <w:bCs/>
                <w:sz w:val="18"/>
                <w:szCs w:val="18"/>
              </w:rPr>
              <w:t>Behörde / Thema</w:t>
            </w:r>
          </w:p>
        </w:tc>
        <w:tc>
          <w:tcPr>
            <w:tcW w:w="123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9F" w14:textId="77777777" w:rsidR="00C1548D" w:rsidRDefault="009B1B4B">
            <w:pPr>
              <w:spacing w:line="250" w:lineRule="auto"/>
            </w:pPr>
            <w:r>
              <w:rPr>
                <w:b/>
                <w:bCs/>
                <w:sz w:val="18"/>
                <w:szCs w:val="18"/>
              </w:rPr>
              <w:t>Referenz</w:t>
            </w:r>
          </w:p>
        </w:tc>
      </w:tr>
      <w:tr w:rsidR="00C1548D" w14:paraId="70A519A4" w14:textId="77777777">
        <w:tblPrEx>
          <w:tblCellMar>
            <w:top w:w="0" w:type="dxa"/>
            <w:bottom w:w="0" w:type="dxa"/>
          </w:tblCellMar>
        </w:tblPrEx>
        <w:trPr>
          <w:cantSplit/>
        </w:trPr>
        <w:tc>
          <w:tcPr>
            <w:tcW w:w="21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1" w14:textId="77777777" w:rsidR="00C1548D" w:rsidRDefault="009B1B4B">
            <w:pPr>
              <w:spacing w:line="250" w:lineRule="auto"/>
            </w:pPr>
            <w:r>
              <w:rPr>
                <w:sz w:val="18"/>
                <w:szCs w:val="18"/>
              </w:rPr>
              <w:t>ato.gov.au</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2" w14:textId="77777777" w:rsidR="00C1548D" w:rsidRDefault="009B1B4B">
            <w:pPr>
              <w:spacing w:line="250" w:lineRule="auto"/>
            </w:pPr>
            <w:r>
              <w:rPr>
                <w:sz w:val="18"/>
                <w:szCs w:val="18"/>
              </w:rPr>
              <w:t>Einkommensteuersätze, Tax File Number, Medicare Levy und Surcharge</w:t>
            </w:r>
          </w:p>
        </w:tc>
        <w:tc>
          <w:tcPr>
            <w:tcW w:w="1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3" w14:textId="77777777" w:rsidR="00C1548D" w:rsidRDefault="009B1B4B">
            <w:pPr>
              <w:spacing w:line="250" w:lineRule="auto"/>
            </w:pPr>
            <w:r>
              <w:rPr>
                <w:sz w:val="18"/>
                <w:szCs w:val="18"/>
              </w:rPr>
              <w:t>Australien: Steuern</w:t>
            </w:r>
          </w:p>
        </w:tc>
      </w:tr>
      <w:tr w:rsidR="00C1548D" w14:paraId="70A519A8" w14:textId="77777777">
        <w:tblPrEx>
          <w:tblCellMar>
            <w:top w:w="0" w:type="dxa"/>
            <w:bottom w:w="0" w:type="dxa"/>
          </w:tblCellMar>
        </w:tblPrEx>
        <w:trPr>
          <w:cantSplit/>
        </w:trPr>
        <w:tc>
          <w:tcPr>
            <w:tcW w:w="21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5" w14:textId="77777777" w:rsidR="00C1548D" w:rsidRDefault="009B1B4B">
            <w:pPr>
              <w:spacing w:line="250" w:lineRule="auto"/>
            </w:pPr>
            <w:r>
              <w:rPr>
                <w:sz w:val="18"/>
                <w:szCs w:val="18"/>
              </w:rPr>
              <w:t>ato.gov.au/super</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6" w14:textId="77777777" w:rsidR="00C1548D" w:rsidRDefault="009B1B4B">
            <w:pPr>
              <w:spacing w:line="250" w:lineRule="auto"/>
            </w:pPr>
            <w:r>
              <w:rPr>
                <w:sz w:val="18"/>
                <w:szCs w:val="18"/>
              </w:rPr>
              <w:t>Superannuation, Departing Australia Superannuation Payment (DASP), Superannuation Guarantee</w:t>
            </w:r>
          </w:p>
        </w:tc>
        <w:tc>
          <w:tcPr>
            <w:tcW w:w="1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7" w14:textId="77777777" w:rsidR="00C1548D" w:rsidRDefault="009B1B4B">
            <w:pPr>
              <w:spacing w:line="250" w:lineRule="auto"/>
            </w:pPr>
            <w:r>
              <w:rPr>
                <w:sz w:val="18"/>
                <w:szCs w:val="18"/>
              </w:rPr>
              <w:t>Australien: Steuern</w:t>
            </w:r>
          </w:p>
        </w:tc>
      </w:tr>
      <w:tr w:rsidR="00C1548D" w14:paraId="70A519AC" w14:textId="77777777">
        <w:tblPrEx>
          <w:tblCellMar>
            <w:top w:w="0" w:type="dxa"/>
            <w:bottom w:w="0" w:type="dxa"/>
          </w:tblCellMar>
        </w:tblPrEx>
        <w:trPr>
          <w:cantSplit/>
        </w:trPr>
        <w:tc>
          <w:tcPr>
            <w:tcW w:w="21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9" w14:textId="77777777" w:rsidR="00C1548D" w:rsidRDefault="009B1B4B">
            <w:pPr>
              <w:spacing w:line="250" w:lineRule="auto"/>
            </w:pPr>
            <w:r>
              <w:rPr>
                <w:sz w:val="18"/>
                <w:szCs w:val="18"/>
              </w:rPr>
              <w:t>servicesaustralia.gov.au</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A" w14:textId="77777777" w:rsidR="00C1548D" w:rsidRDefault="009B1B4B">
            <w:pPr>
              <w:spacing w:line="250" w:lineRule="auto"/>
            </w:pPr>
            <w:r>
              <w:rPr>
                <w:sz w:val="18"/>
                <w:szCs w:val="18"/>
              </w:rPr>
              <w:t>Centrelink, Medicare-Anmeldung</w:t>
            </w:r>
          </w:p>
        </w:tc>
        <w:tc>
          <w:tcPr>
            <w:tcW w:w="1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B" w14:textId="77777777" w:rsidR="00C1548D" w:rsidRDefault="009B1B4B">
            <w:pPr>
              <w:spacing w:line="250" w:lineRule="auto"/>
            </w:pPr>
            <w:r>
              <w:rPr>
                <w:sz w:val="18"/>
                <w:szCs w:val="18"/>
              </w:rPr>
              <w:t>Australien: Steuern</w:t>
            </w:r>
          </w:p>
        </w:tc>
      </w:tr>
      <w:tr w:rsidR="00C1548D" w14:paraId="70A519B0" w14:textId="77777777">
        <w:tblPrEx>
          <w:tblCellMar>
            <w:top w:w="0" w:type="dxa"/>
            <w:bottom w:w="0" w:type="dxa"/>
          </w:tblCellMar>
        </w:tblPrEx>
        <w:trPr>
          <w:cantSplit/>
        </w:trPr>
        <w:tc>
          <w:tcPr>
            <w:tcW w:w="21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D" w14:textId="77777777" w:rsidR="00C1548D" w:rsidRDefault="009B1B4B">
            <w:pPr>
              <w:spacing w:line="250" w:lineRule="auto"/>
            </w:pPr>
            <w:r>
              <w:rPr>
                <w:sz w:val="18"/>
                <w:szCs w:val="18"/>
              </w:rPr>
              <w:t>moneysmart.gov.au</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E" w14:textId="77777777" w:rsidR="00C1548D" w:rsidRDefault="009B1B4B">
            <w:pPr>
              <w:spacing w:line="250" w:lineRule="auto"/>
            </w:pPr>
            <w:r>
              <w:rPr>
                <w:sz w:val="18"/>
                <w:szCs w:val="18"/>
              </w:rPr>
              <w:t>Unabhängige Verbraucherinformation der ASIC, u. a. Kreditauskünfte</w:t>
            </w:r>
          </w:p>
        </w:tc>
        <w:tc>
          <w:tcPr>
            <w:tcW w:w="1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AF" w14:textId="77777777" w:rsidR="00C1548D" w:rsidRDefault="009B1B4B">
            <w:pPr>
              <w:spacing w:line="250" w:lineRule="auto"/>
            </w:pPr>
            <w:r>
              <w:rPr>
                <w:sz w:val="18"/>
                <w:szCs w:val="18"/>
              </w:rPr>
              <w:t>Australien: Steuern</w:t>
            </w:r>
          </w:p>
        </w:tc>
      </w:tr>
      <w:tr w:rsidR="00C1548D" w14:paraId="70A519B4" w14:textId="77777777">
        <w:tblPrEx>
          <w:tblCellMar>
            <w:top w:w="0" w:type="dxa"/>
            <w:bottom w:w="0" w:type="dxa"/>
          </w:tblCellMar>
        </w:tblPrEx>
        <w:trPr>
          <w:cantSplit/>
        </w:trPr>
        <w:tc>
          <w:tcPr>
            <w:tcW w:w="21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1" w14:textId="77777777" w:rsidR="00C1548D" w:rsidRDefault="009B1B4B">
            <w:pPr>
              <w:spacing w:line="250" w:lineRule="auto"/>
            </w:pPr>
            <w:r>
              <w:rPr>
                <w:sz w:val="18"/>
                <w:szCs w:val="18"/>
              </w:rPr>
              <w:lastRenderedPageBreak/>
              <w:t>equifax.com.au, experian.com.au, illion.com.au</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2" w14:textId="77777777" w:rsidR="00C1548D" w:rsidRDefault="009B1B4B">
            <w:pPr>
              <w:spacing w:line="250" w:lineRule="auto"/>
            </w:pPr>
            <w:r>
              <w:rPr>
                <w:sz w:val="18"/>
                <w:szCs w:val="18"/>
              </w:rPr>
              <w:t>Kostenlose Kreditauskunft</w:t>
            </w:r>
          </w:p>
        </w:tc>
        <w:tc>
          <w:tcPr>
            <w:tcW w:w="1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3" w14:textId="77777777" w:rsidR="00C1548D" w:rsidRDefault="009B1B4B">
            <w:pPr>
              <w:spacing w:line="250" w:lineRule="auto"/>
            </w:pPr>
            <w:r>
              <w:rPr>
                <w:sz w:val="18"/>
                <w:szCs w:val="18"/>
              </w:rPr>
              <w:t>Australien: Steuern</w:t>
            </w:r>
          </w:p>
        </w:tc>
      </w:tr>
      <w:tr w:rsidR="00C1548D" w14:paraId="70A519B8" w14:textId="77777777">
        <w:tblPrEx>
          <w:tblCellMar>
            <w:top w:w="0" w:type="dxa"/>
            <w:bottom w:w="0" w:type="dxa"/>
          </w:tblCellMar>
        </w:tblPrEx>
        <w:trPr>
          <w:cantSplit/>
        </w:trPr>
        <w:tc>
          <w:tcPr>
            <w:tcW w:w="21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5" w14:textId="77777777" w:rsidR="00C1548D" w:rsidRDefault="009B1B4B">
            <w:pPr>
              <w:spacing w:line="250" w:lineRule="auto"/>
            </w:pPr>
            <w:r>
              <w:rPr>
                <w:sz w:val="18"/>
                <w:szCs w:val="18"/>
              </w:rPr>
              <w:t>commbank.com.au, westpac.com.au, nab.com.au, anz.com.au</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6" w14:textId="77777777" w:rsidR="00C1548D" w:rsidRDefault="009B1B4B">
            <w:pPr>
              <w:spacing w:line="250" w:lineRule="auto"/>
            </w:pPr>
            <w:r>
              <w:rPr>
                <w:sz w:val="18"/>
                <w:szCs w:val="18"/>
              </w:rPr>
              <w:t>Kontoeröffnung für Neuankömmlinge</w:t>
            </w:r>
          </w:p>
        </w:tc>
        <w:tc>
          <w:tcPr>
            <w:tcW w:w="1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7" w14:textId="77777777" w:rsidR="00C1548D" w:rsidRDefault="009B1B4B">
            <w:pPr>
              <w:spacing w:line="250" w:lineRule="auto"/>
            </w:pPr>
            <w:r>
              <w:rPr>
                <w:sz w:val="18"/>
                <w:szCs w:val="18"/>
              </w:rPr>
              <w:t>Australien: Steuern</w:t>
            </w:r>
          </w:p>
        </w:tc>
      </w:tr>
      <w:tr w:rsidR="00C1548D" w14:paraId="70A519BC" w14:textId="77777777">
        <w:tblPrEx>
          <w:tblCellMar>
            <w:top w:w="0" w:type="dxa"/>
            <w:bottom w:w="0" w:type="dxa"/>
          </w:tblCellMar>
        </w:tblPrEx>
        <w:trPr>
          <w:cantSplit/>
        </w:trPr>
        <w:tc>
          <w:tcPr>
            <w:tcW w:w="21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9" w14:textId="77777777" w:rsidR="00C1548D" w:rsidRDefault="009B1B4B">
            <w:pPr>
              <w:spacing w:line="250" w:lineRule="auto"/>
            </w:pPr>
            <w:r>
              <w:rPr>
                <w:sz w:val="18"/>
                <w:szCs w:val="18"/>
              </w:rPr>
              <w:t>mygov.au</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A" w14:textId="77777777" w:rsidR="00C1548D" w:rsidRDefault="009B1B4B">
            <w:pPr>
              <w:spacing w:line="250" w:lineRule="auto"/>
            </w:pPr>
            <w:r>
              <w:rPr>
                <w:sz w:val="18"/>
                <w:szCs w:val="18"/>
              </w:rPr>
              <w:t>Online-Portal für Steuererklärung und Behördengänge</w:t>
            </w:r>
          </w:p>
        </w:tc>
        <w:tc>
          <w:tcPr>
            <w:tcW w:w="1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B" w14:textId="77777777" w:rsidR="00C1548D" w:rsidRDefault="009B1B4B">
            <w:pPr>
              <w:spacing w:line="250" w:lineRule="auto"/>
            </w:pPr>
            <w:r>
              <w:rPr>
                <w:sz w:val="18"/>
                <w:szCs w:val="18"/>
              </w:rPr>
              <w:t>Australien: Steuern</w:t>
            </w:r>
          </w:p>
        </w:tc>
      </w:tr>
      <w:tr w:rsidR="00C1548D" w14:paraId="70A519C0" w14:textId="77777777">
        <w:tblPrEx>
          <w:tblCellMar>
            <w:top w:w="0" w:type="dxa"/>
            <w:bottom w:w="0" w:type="dxa"/>
          </w:tblCellMar>
        </w:tblPrEx>
        <w:trPr>
          <w:cantSplit/>
        </w:trPr>
        <w:tc>
          <w:tcPr>
            <w:tcW w:w="21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D" w14:textId="77777777" w:rsidR="00C1548D" w:rsidRDefault="009B1B4B">
            <w:pPr>
              <w:spacing w:line="250" w:lineRule="auto"/>
            </w:pPr>
            <w:r>
              <w:rPr>
                <w:sz w:val="18"/>
                <w:szCs w:val="18"/>
              </w:rPr>
              <w:t>ato.gov.au (Doppelbesteuerungsabkommen)</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E" w14:textId="77777777" w:rsidR="00C1548D" w:rsidRDefault="009B1B4B">
            <w:pPr>
              <w:spacing w:line="250" w:lineRule="auto"/>
            </w:pPr>
            <w:r>
              <w:rPr>
                <w:sz w:val="18"/>
                <w:szCs w:val="18"/>
              </w:rPr>
              <w:t>Doppelbesteuerungsabkommen Australien–Deutschland</w:t>
            </w:r>
          </w:p>
        </w:tc>
        <w:tc>
          <w:tcPr>
            <w:tcW w:w="1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BF" w14:textId="77777777" w:rsidR="00C1548D" w:rsidRDefault="009B1B4B">
            <w:pPr>
              <w:spacing w:line="250" w:lineRule="auto"/>
            </w:pPr>
            <w:r>
              <w:rPr>
                <w:sz w:val="18"/>
                <w:szCs w:val="18"/>
              </w:rPr>
              <w:t>Australien: Steuern</w:t>
            </w:r>
          </w:p>
        </w:tc>
      </w:tr>
      <w:tr w:rsidR="00C1548D" w14:paraId="70A519C4" w14:textId="77777777">
        <w:tblPrEx>
          <w:tblCellMar>
            <w:top w:w="0" w:type="dxa"/>
            <w:bottom w:w="0" w:type="dxa"/>
          </w:tblCellMar>
        </w:tblPrEx>
        <w:trPr>
          <w:cantSplit/>
        </w:trPr>
        <w:tc>
          <w:tcPr>
            <w:tcW w:w="21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C1" w14:textId="77777777" w:rsidR="00C1548D" w:rsidRDefault="009B1B4B">
            <w:pPr>
              <w:spacing w:line="250" w:lineRule="auto"/>
            </w:pPr>
            <w:r>
              <w:rPr>
                <w:sz w:val="18"/>
                <w:szCs w:val="18"/>
              </w:rPr>
              <w:t>ato.gov.au (Your tax residency)</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C2" w14:textId="77777777" w:rsidR="00C1548D" w:rsidRDefault="009B1B4B">
            <w:pPr>
              <w:spacing w:line="250" w:lineRule="auto"/>
            </w:pPr>
            <w:r>
              <w:rPr>
                <w:sz w:val="18"/>
                <w:szCs w:val="18"/>
              </w:rPr>
              <w:t>Steuerresidenz, Foreign and worldwide income</w:t>
            </w:r>
          </w:p>
        </w:tc>
        <w:tc>
          <w:tcPr>
            <w:tcW w:w="1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C3" w14:textId="77777777" w:rsidR="00C1548D" w:rsidRDefault="009B1B4B">
            <w:pPr>
              <w:spacing w:line="250" w:lineRule="auto"/>
            </w:pPr>
            <w:r>
              <w:rPr>
                <w:sz w:val="18"/>
                <w:szCs w:val="18"/>
              </w:rPr>
              <w:t>Australien: Steuern</w:t>
            </w:r>
          </w:p>
        </w:tc>
      </w:tr>
      <w:tr w:rsidR="00C1548D" w14:paraId="70A519C8" w14:textId="77777777">
        <w:tblPrEx>
          <w:tblCellMar>
            <w:top w:w="0" w:type="dxa"/>
            <w:bottom w:w="0" w:type="dxa"/>
          </w:tblCellMar>
        </w:tblPrEx>
        <w:trPr>
          <w:cantSplit/>
        </w:trPr>
        <w:tc>
          <w:tcPr>
            <w:tcW w:w="21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C5" w14:textId="77777777" w:rsidR="00C1548D" w:rsidRDefault="009B1B4B">
            <w:pPr>
              <w:spacing w:line="250" w:lineRule="auto"/>
            </w:pPr>
            <w:r>
              <w:rPr>
                <w:sz w:val="18"/>
                <w:szCs w:val="18"/>
              </w:rPr>
              <w:t>oecd.org</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C6" w14:textId="77777777" w:rsidR="00C1548D" w:rsidRDefault="009B1B4B">
            <w:pPr>
              <w:spacing w:line="250" w:lineRule="auto"/>
            </w:pPr>
            <w:r>
              <w:rPr>
                <w:sz w:val="18"/>
                <w:szCs w:val="18"/>
              </w:rPr>
              <w:t>Taxing Wages, Steuerkeil-Vergleich</w:t>
            </w:r>
          </w:p>
        </w:tc>
        <w:tc>
          <w:tcPr>
            <w:tcW w:w="1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C7" w14:textId="77777777" w:rsidR="00C1548D" w:rsidRDefault="009B1B4B">
            <w:pPr>
              <w:spacing w:line="250" w:lineRule="auto"/>
            </w:pPr>
            <w:r>
              <w:rPr>
                <w:sz w:val="18"/>
                <w:szCs w:val="18"/>
              </w:rPr>
              <w:t>Australien: Steuern</w:t>
            </w:r>
          </w:p>
        </w:tc>
      </w:tr>
      <w:tr w:rsidR="00C1548D" w14:paraId="70A519CC" w14:textId="77777777">
        <w:tblPrEx>
          <w:tblCellMar>
            <w:top w:w="0" w:type="dxa"/>
            <w:bottom w:w="0" w:type="dxa"/>
          </w:tblCellMar>
        </w:tblPrEx>
        <w:trPr>
          <w:cantSplit/>
        </w:trPr>
        <w:tc>
          <w:tcPr>
            <w:tcW w:w="216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C9" w14:textId="77777777" w:rsidR="00C1548D" w:rsidRDefault="009B1B4B">
            <w:pPr>
              <w:spacing w:line="250" w:lineRule="auto"/>
            </w:pPr>
            <w:r>
              <w:rPr>
                <w:sz w:val="18"/>
                <w:szCs w:val="18"/>
              </w:rPr>
              <w:t>numbeo.com</w:t>
            </w:r>
          </w:p>
        </w:tc>
        <w:tc>
          <w:tcPr>
            <w:tcW w:w="30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CA" w14:textId="77777777" w:rsidR="00C1548D" w:rsidRDefault="009B1B4B">
            <w:pPr>
              <w:spacing w:line="250" w:lineRule="auto"/>
            </w:pPr>
            <w:r>
              <w:rPr>
                <w:sz w:val="18"/>
                <w:szCs w:val="18"/>
              </w:rPr>
              <w:t>Lebenshaltungskosten im Städtevergleich</w:t>
            </w:r>
          </w:p>
        </w:tc>
        <w:tc>
          <w:tcPr>
            <w:tcW w:w="12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CB" w14:textId="77777777" w:rsidR="00C1548D" w:rsidRDefault="009B1B4B">
            <w:pPr>
              <w:spacing w:line="250" w:lineRule="auto"/>
            </w:pPr>
            <w:r>
              <w:rPr>
                <w:sz w:val="18"/>
                <w:szCs w:val="18"/>
              </w:rPr>
              <w:t>Australien: Steuern</w:t>
            </w:r>
          </w:p>
        </w:tc>
      </w:tr>
    </w:tbl>
    <w:p w14:paraId="70A519CD" w14:textId="77777777" w:rsidR="00C1548D" w:rsidRDefault="00C1548D">
      <w:pPr>
        <w:spacing w:line="180" w:lineRule="exact"/>
      </w:pPr>
    </w:p>
    <w:p w14:paraId="70A519CE" w14:textId="77777777" w:rsidR="00C1548D" w:rsidRDefault="009B1B4B">
      <w:pPr>
        <w:pStyle w:val="Heading3"/>
        <w:keepNext/>
        <w:jc w:val="center"/>
      </w:pPr>
      <w:r>
        <w:rPr>
          <w:rFonts w:ascii="Amazon Ember" w:eastAsia="Amazon Ember" w:hAnsi="Amazon Ember" w:cs="Amazon Ember"/>
          <w:color w:val="0000FF"/>
          <w:sz w:val="36"/>
          <w:szCs w:val="36"/>
        </w:rPr>
        <w:t>Australien: Gesundheit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0"/>
        <w:gridCol w:w="2884"/>
        <w:gridCol w:w="1256"/>
      </w:tblGrid>
      <w:tr w:rsidR="00C1548D" w14:paraId="70A519D2" w14:textId="77777777">
        <w:tblPrEx>
          <w:tblCellMar>
            <w:top w:w="0" w:type="dxa"/>
            <w:bottom w:w="0" w:type="dxa"/>
          </w:tblCellMar>
        </w:tblPrEx>
        <w:trPr>
          <w:cantSplit/>
          <w:tblHeader/>
        </w:trPr>
        <w:tc>
          <w:tcPr>
            <w:tcW w:w="234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CF" w14:textId="77777777" w:rsidR="00C1548D" w:rsidRDefault="009B1B4B">
            <w:pPr>
              <w:spacing w:line="250" w:lineRule="auto"/>
            </w:pPr>
            <w:r>
              <w:rPr>
                <w:b/>
                <w:bCs/>
                <w:sz w:val="18"/>
                <w:szCs w:val="18"/>
              </w:rPr>
              <w:t>Adresse</w:t>
            </w:r>
          </w:p>
        </w:tc>
        <w:tc>
          <w:tcPr>
            <w:tcW w:w="288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D0" w14:textId="77777777" w:rsidR="00C1548D" w:rsidRDefault="009B1B4B">
            <w:pPr>
              <w:spacing w:line="250" w:lineRule="auto"/>
            </w:pPr>
            <w:r>
              <w:rPr>
                <w:b/>
                <w:bCs/>
                <w:sz w:val="18"/>
                <w:szCs w:val="18"/>
              </w:rPr>
              <w:t>Behörde / Thema</w:t>
            </w:r>
          </w:p>
        </w:tc>
        <w:tc>
          <w:tcPr>
            <w:tcW w:w="125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D1" w14:textId="77777777" w:rsidR="00C1548D" w:rsidRDefault="009B1B4B">
            <w:pPr>
              <w:spacing w:line="250" w:lineRule="auto"/>
            </w:pPr>
            <w:r>
              <w:rPr>
                <w:b/>
                <w:bCs/>
                <w:sz w:val="18"/>
                <w:szCs w:val="18"/>
              </w:rPr>
              <w:t>Referenz</w:t>
            </w:r>
          </w:p>
        </w:tc>
      </w:tr>
      <w:tr w:rsidR="00C1548D" w14:paraId="70A519D6" w14:textId="77777777">
        <w:tblPrEx>
          <w:tblCellMar>
            <w:top w:w="0" w:type="dxa"/>
            <w:bottom w:w="0" w:type="dxa"/>
          </w:tblCellMar>
        </w:tblPrEx>
        <w:trPr>
          <w:cantSplit/>
        </w:trPr>
        <w:tc>
          <w:tcPr>
            <w:tcW w:w="23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D3" w14:textId="77777777" w:rsidR="00C1548D" w:rsidRDefault="009B1B4B">
            <w:pPr>
              <w:spacing w:line="250" w:lineRule="auto"/>
            </w:pPr>
            <w:r>
              <w:rPr>
                <w:sz w:val="18"/>
                <w:szCs w:val="18"/>
              </w:rPr>
              <w:t>servicesaustralia.gov.au (Reciprocal Health Care Agreements)</w:t>
            </w:r>
          </w:p>
        </w:tc>
        <w:tc>
          <w:tcPr>
            <w:tcW w:w="28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D4" w14:textId="77777777" w:rsidR="00C1548D" w:rsidRDefault="009B1B4B">
            <w:pPr>
              <w:spacing w:line="250" w:lineRule="auto"/>
            </w:pPr>
            <w:r>
              <w:rPr>
                <w:sz w:val="18"/>
                <w:szCs w:val="18"/>
              </w:rPr>
              <w:t>Medicare-Anmeldung, Reciprocal Health Care Agreements</w:t>
            </w:r>
          </w:p>
        </w:tc>
        <w:tc>
          <w:tcPr>
            <w:tcW w:w="12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D5" w14:textId="77777777" w:rsidR="00C1548D" w:rsidRDefault="009B1B4B">
            <w:pPr>
              <w:spacing w:line="250" w:lineRule="auto"/>
            </w:pPr>
            <w:r>
              <w:rPr>
                <w:sz w:val="18"/>
                <w:szCs w:val="18"/>
              </w:rPr>
              <w:t>Australien: Gesundheit</w:t>
            </w:r>
          </w:p>
        </w:tc>
      </w:tr>
      <w:tr w:rsidR="00C1548D" w14:paraId="70A519DA" w14:textId="77777777">
        <w:tblPrEx>
          <w:tblCellMar>
            <w:top w:w="0" w:type="dxa"/>
            <w:bottom w:w="0" w:type="dxa"/>
          </w:tblCellMar>
        </w:tblPrEx>
        <w:trPr>
          <w:cantSplit/>
        </w:trPr>
        <w:tc>
          <w:tcPr>
            <w:tcW w:w="23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D7" w14:textId="77777777" w:rsidR="00C1548D" w:rsidRDefault="009B1B4B">
            <w:pPr>
              <w:spacing w:line="250" w:lineRule="auto"/>
            </w:pPr>
            <w:r>
              <w:rPr>
                <w:sz w:val="18"/>
                <w:szCs w:val="18"/>
              </w:rPr>
              <w:t>immi.homeaffairs.gov.au (OVHC, OSHC)</w:t>
            </w:r>
          </w:p>
        </w:tc>
        <w:tc>
          <w:tcPr>
            <w:tcW w:w="28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D8" w14:textId="77777777" w:rsidR="00C1548D" w:rsidRDefault="009B1B4B">
            <w:pPr>
              <w:spacing w:line="250" w:lineRule="auto"/>
            </w:pPr>
            <w:r>
              <w:rPr>
                <w:sz w:val="18"/>
                <w:szCs w:val="18"/>
              </w:rPr>
              <w:t>Visumbedingte Gesundheitsversicherung</w:t>
            </w:r>
          </w:p>
        </w:tc>
        <w:tc>
          <w:tcPr>
            <w:tcW w:w="12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D9" w14:textId="77777777" w:rsidR="00C1548D" w:rsidRDefault="009B1B4B">
            <w:pPr>
              <w:spacing w:line="250" w:lineRule="auto"/>
            </w:pPr>
            <w:r>
              <w:rPr>
                <w:sz w:val="18"/>
                <w:szCs w:val="18"/>
              </w:rPr>
              <w:t>Australien: Gesundheit</w:t>
            </w:r>
          </w:p>
        </w:tc>
      </w:tr>
      <w:tr w:rsidR="00C1548D" w14:paraId="70A519DE" w14:textId="77777777">
        <w:tblPrEx>
          <w:tblCellMar>
            <w:top w:w="0" w:type="dxa"/>
            <w:bottom w:w="0" w:type="dxa"/>
          </w:tblCellMar>
        </w:tblPrEx>
        <w:trPr>
          <w:cantSplit/>
        </w:trPr>
        <w:tc>
          <w:tcPr>
            <w:tcW w:w="23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DB" w14:textId="77777777" w:rsidR="00C1548D" w:rsidRDefault="009B1B4B">
            <w:pPr>
              <w:spacing w:line="250" w:lineRule="auto"/>
            </w:pPr>
            <w:r>
              <w:rPr>
                <w:sz w:val="18"/>
                <w:szCs w:val="18"/>
              </w:rPr>
              <w:t>privatehealth.gov.au</w:t>
            </w:r>
          </w:p>
        </w:tc>
        <w:tc>
          <w:tcPr>
            <w:tcW w:w="28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DC" w14:textId="77777777" w:rsidR="00C1548D" w:rsidRDefault="009B1B4B">
            <w:pPr>
              <w:spacing w:line="250" w:lineRule="auto"/>
            </w:pPr>
            <w:r>
              <w:rPr>
                <w:sz w:val="18"/>
                <w:szCs w:val="18"/>
              </w:rPr>
              <w:t>Unabhängiger Vergleich privater Krankenversicherungen (Private Health Insurance Ombudsman)</w:t>
            </w:r>
          </w:p>
        </w:tc>
        <w:tc>
          <w:tcPr>
            <w:tcW w:w="12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DD" w14:textId="77777777" w:rsidR="00C1548D" w:rsidRDefault="009B1B4B">
            <w:pPr>
              <w:spacing w:line="250" w:lineRule="auto"/>
            </w:pPr>
            <w:r>
              <w:rPr>
                <w:sz w:val="18"/>
                <w:szCs w:val="18"/>
              </w:rPr>
              <w:t>Australien: Gesundheit</w:t>
            </w:r>
          </w:p>
        </w:tc>
      </w:tr>
      <w:tr w:rsidR="00C1548D" w14:paraId="70A519E2" w14:textId="77777777">
        <w:tblPrEx>
          <w:tblCellMar>
            <w:top w:w="0" w:type="dxa"/>
            <w:bottom w:w="0" w:type="dxa"/>
          </w:tblCellMar>
        </w:tblPrEx>
        <w:trPr>
          <w:cantSplit/>
        </w:trPr>
        <w:tc>
          <w:tcPr>
            <w:tcW w:w="234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DF" w14:textId="77777777" w:rsidR="00C1548D" w:rsidRDefault="009B1B4B">
            <w:pPr>
              <w:spacing w:line="250" w:lineRule="auto"/>
            </w:pPr>
            <w:r>
              <w:rPr>
                <w:sz w:val="18"/>
                <w:szCs w:val="18"/>
              </w:rPr>
              <w:t>lifeline.org.au</w:t>
            </w:r>
          </w:p>
        </w:tc>
        <w:tc>
          <w:tcPr>
            <w:tcW w:w="28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E0" w14:textId="77777777" w:rsidR="00C1548D" w:rsidRDefault="009B1B4B">
            <w:pPr>
              <w:spacing w:line="250" w:lineRule="auto"/>
            </w:pPr>
            <w:r>
              <w:rPr>
                <w:sz w:val="18"/>
                <w:szCs w:val="18"/>
              </w:rPr>
              <w:t>Krisenhilfe rund um die Uhr</w:t>
            </w:r>
          </w:p>
        </w:tc>
        <w:tc>
          <w:tcPr>
            <w:tcW w:w="125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E1" w14:textId="77777777" w:rsidR="00C1548D" w:rsidRDefault="009B1B4B">
            <w:pPr>
              <w:spacing w:line="250" w:lineRule="auto"/>
            </w:pPr>
            <w:r>
              <w:rPr>
                <w:sz w:val="18"/>
                <w:szCs w:val="18"/>
              </w:rPr>
              <w:t>Australien: Gesundheit</w:t>
            </w:r>
          </w:p>
        </w:tc>
      </w:tr>
    </w:tbl>
    <w:p w14:paraId="70A519E3" w14:textId="77777777" w:rsidR="00C1548D" w:rsidRDefault="00C1548D">
      <w:pPr>
        <w:spacing w:line="180" w:lineRule="exact"/>
      </w:pPr>
    </w:p>
    <w:p w14:paraId="70A519E4" w14:textId="77777777" w:rsidR="00C1548D" w:rsidRDefault="009B1B4B">
      <w:pPr>
        <w:pStyle w:val="Heading3"/>
        <w:keepNext/>
        <w:jc w:val="center"/>
      </w:pPr>
      <w:r>
        <w:rPr>
          <w:rFonts w:ascii="Amazon Ember" w:eastAsia="Amazon Ember" w:hAnsi="Amazon Ember" w:cs="Amazon Ember"/>
          <w:color w:val="0000FF"/>
          <w:sz w:val="36"/>
          <w:szCs w:val="36"/>
        </w:rPr>
        <w:lastRenderedPageBreak/>
        <w:t>Australien: Wohnen und Führerschein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923"/>
        <w:gridCol w:w="1357"/>
      </w:tblGrid>
      <w:tr w:rsidR="00C1548D" w14:paraId="70A519E8" w14:textId="77777777">
        <w:tblPrEx>
          <w:tblCellMar>
            <w:top w:w="0" w:type="dxa"/>
            <w:bottom w:w="0" w:type="dxa"/>
          </w:tblCellMar>
        </w:tblPrEx>
        <w:trPr>
          <w:cantSplit/>
          <w:tblHeader/>
        </w:trPr>
        <w:tc>
          <w:tcPr>
            <w:tcW w:w="22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E5" w14:textId="77777777" w:rsidR="00C1548D" w:rsidRDefault="009B1B4B">
            <w:pPr>
              <w:spacing w:line="250" w:lineRule="auto"/>
            </w:pPr>
            <w:r>
              <w:rPr>
                <w:b/>
                <w:bCs/>
                <w:sz w:val="18"/>
                <w:szCs w:val="18"/>
              </w:rPr>
              <w:t>Adresse</w:t>
            </w:r>
          </w:p>
        </w:tc>
        <w:tc>
          <w:tcPr>
            <w:tcW w:w="292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E6" w14:textId="77777777" w:rsidR="00C1548D" w:rsidRDefault="009B1B4B">
            <w:pPr>
              <w:spacing w:line="250" w:lineRule="auto"/>
            </w:pPr>
            <w:r>
              <w:rPr>
                <w:b/>
                <w:bCs/>
                <w:sz w:val="18"/>
                <w:szCs w:val="18"/>
              </w:rPr>
              <w:t>Behörde / Thema</w:t>
            </w:r>
          </w:p>
        </w:tc>
        <w:tc>
          <w:tcPr>
            <w:tcW w:w="135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9E7" w14:textId="77777777" w:rsidR="00C1548D" w:rsidRDefault="009B1B4B">
            <w:pPr>
              <w:spacing w:line="250" w:lineRule="auto"/>
            </w:pPr>
            <w:r>
              <w:rPr>
                <w:b/>
                <w:bCs/>
                <w:sz w:val="18"/>
                <w:szCs w:val="18"/>
              </w:rPr>
              <w:t>Referenz</w:t>
            </w:r>
          </w:p>
        </w:tc>
      </w:tr>
      <w:tr w:rsidR="00C1548D" w14:paraId="70A519EC" w14:textId="77777777">
        <w:tblPrEx>
          <w:tblCellMar>
            <w:top w:w="0" w:type="dxa"/>
            <w:bottom w:w="0" w:type="dxa"/>
          </w:tblCellMar>
        </w:tblPrEx>
        <w:trPr>
          <w:cantSplit/>
        </w:trPr>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E9" w14:textId="77777777" w:rsidR="00C1548D" w:rsidRDefault="009B1B4B">
            <w:pPr>
              <w:spacing w:line="250" w:lineRule="auto"/>
            </w:pPr>
            <w:r>
              <w:rPr>
                <w:sz w:val="18"/>
                <w:szCs w:val="18"/>
              </w:rPr>
              <w:t>firb.gov.au</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EA" w14:textId="77777777" w:rsidR="00C1548D" w:rsidRDefault="009B1B4B">
            <w:pPr>
              <w:spacing w:line="250" w:lineRule="auto"/>
            </w:pPr>
            <w:r>
              <w:rPr>
                <w:sz w:val="18"/>
                <w:szCs w:val="18"/>
              </w:rPr>
              <w:t>Foreign Investment Review Board, Established-Dwelling-Verbot</w:t>
            </w:r>
          </w:p>
        </w:tc>
        <w:tc>
          <w:tcPr>
            <w:tcW w:w="13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EB" w14:textId="77777777" w:rsidR="00C1548D" w:rsidRDefault="009B1B4B">
            <w:pPr>
              <w:spacing w:line="250" w:lineRule="auto"/>
            </w:pPr>
            <w:r>
              <w:rPr>
                <w:sz w:val="18"/>
                <w:szCs w:val="18"/>
              </w:rPr>
              <w:t>Australien: Wohnen</w:t>
            </w:r>
          </w:p>
        </w:tc>
      </w:tr>
      <w:tr w:rsidR="00C1548D" w14:paraId="70A519F0" w14:textId="77777777">
        <w:tblPrEx>
          <w:tblCellMar>
            <w:top w:w="0" w:type="dxa"/>
            <w:bottom w:w="0" w:type="dxa"/>
          </w:tblCellMar>
        </w:tblPrEx>
        <w:trPr>
          <w:cantSplit/>
        </w:trPr>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ED" w14:textId="77777777" w:rsidR="00C1548D" w:rsidRDefault="009B1B4B">
            <w:pPr>
              <w:spacing w:line="250" w:lineRule="auto"/>
            </w:pPr>
            <w:r>
              <w:rPr>
                <w:sz w:val="18"/>
                <w:szCs w:val="18"/>
              </w:rPr>
              <w:t>fairtrading.nsw.gov.au</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EE" w14:textId="77777777" w:rsidR="00C1548D" w:rsidRDefault="009B1B4B">
            <w:pPr>
              <w:spacing w:line="250" w:lineRule="auto"/>
            </w:pPr>
            <w:r>
              <w:rPr>
                <w:sz w:val="18"/>
                <w:szCs w:val="18"/>
              </w:rPr>
              <w:t>Mietrecht, Rental Bonds Online</w:t>
            </w:r>
          </w:p>
        </w:tc>
        <w:tc>
          <w:tcPr>
            <w:tcW w:w="13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EF" w14:textId="77777777" w:rsidR="00C1548D" w:rsidRDefault="009B1B4B">
            <w:pPr>
              <w:spacing w:line="250" w:lineRule="auto"/>
            </w:pPr>
            <w:r>
              <w:rPr>
                <w:sz w:val="18"/>
                <w:szCs w:val="18"/>
              </w:rPr>
              <w:t>Australien: Wohnen</w:t>
            </w:r>
          </w:p>
        </w:tc>
      </w:tr>
      <w:tr w:rsidR="00C1548D" w14:paraId="70A519F4" w14:textId="77777777">
        <w:tblPrEx>
          <w:tblCellMar>
            <w:top w:w="0" w:type="dxa"/>
            <w:bottom w:w="0" w:type="dxa"/>
          </w:tblCellMar>
        </w:tblPrEx>
        <w:trPr>
          <w:cantSplit/>
        </w:trPr>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1" w14:textId="77777777" w:rsidR="00C1548D" w:rsidRDefault="009B1B4B">
            <w:pPr>
              <w:spacing w:line="250" w:lineRule="auto"/>
            </w:pPr>
            <w:r>
              <w:rPr>
                <w:sz w:val="18"/>
                <w:szCs w:val="18"/>
              </w:rPr>
              <w:t>domain.com.au (auch cotality.com)</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2" w14:textId="77777777" w:rsidR="00C1548D" w:rsidRDefault="009B1B4B">
            <w:pPr>
              <w:spacing w:line="250" w:lineRule="auto"/>
            </w:pPr>
            <w:r>
              <w:rPr>
                <w:sz w:val="18"/>
                <w:szCs w:val="18"/>
              </w:rPr>
              <w:t>Domain Rental Report und Cotality Home Value Index, Miet- und Kaufpreise</w:t>
            </w:r>
          </w:p>
        </w:tc>
        <w:tc>
          <w:tcPr>
            <w:tcW w:w="13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3" w14:textId="77777777" w:rsidR="00C1548D" w:rsidRDefault="009B1B4B">
            <w:pPr>
              <w:spacing w:line="250" w:lineRule="auto"/>
            </w:pPr>
            <w:r>
              <w:rPr>
                <w:sz w:val="18"/>
                <w:szCs w:val="18"/>
              </w:rPr>
              <w:t>Australien: Wohnen</w:t>
            </w:r>
          </w:p>
        </w:tc>
      </w:tr>
      <w:tr w:rsidR="00C1548D" w14:paraId="70A519F8" w14:textId="77777777">
        <w:tblPrEx>
          <w:tblCellMar>
            <w:top w:w="0" w:type="dxa"/>
            <w:bottom w:w="0" w:type="dxa"/>
          </w:tblCellMar>
        </w:tblPrEx>
        <w:trPr>
          <w:cantSplit/>
        </w:trPr>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5" w14:textId="77777777" w:rsidR="00C1548D" w:rsidRDefault="009B1B4B">
            <w:pPr>
              <w:spacing w:line="250" w:lineRule="auto"/>
            </w:pPr>
            <w:r>
              <w:rPr>
                <w:sz w:val="18"/>
                <w:szCs w:val="18"/>
              </w:rPr>
              <w:t>transport.vic.gov.au, service.nsw.gov.au, tmr.qld.gov.au</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6" w14:textId="77777777" w:rsidR="00C1548D" w:rsidRDefault="009B1B4B">
            <w:pPr>
              <w:spacing w:line="250" w:lineRule="auto"/>
            </w:pPr>
            <w:r>
              <w:rPr>
                <w:sz w:val="18"/>
                <w:szCs w:val="18"/>
              </w:rPr>
              <w:t>Führerschein-Umtausch, Fristen der Bundesstaaten (Beispiele)</w:t>
            </w:r>
          </w:p>
        </w:tc>
        <w:tc>
          <w:tcPr>
            <w:tcW w:w="13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7" w14:textId="77777777" w:rsidR="00C1548D" w:rsidRDefault="009B1B4B">
            <w:pPr>
              <w:spacing w:line="250" w:lineRule="auto"/>
            </w:pPr>
            <w:r>
              <w:rPr>
                <w:sz w:val="18"/>
                <w:szCs w:val="18"/>
              </w:rPr>
              <w:t>Australien: Führerschein</w:t>
            </w:r>
          </w:p>
        </w:tc>
      </w:tr>
      <w:tr w:rsidR="00C1548D" w14:paraId="70A519FC" w14:textId="77777777">
        <w:tblPrEx>
          <w:tblCellMar>
            <w:top w:w="0" w:type="dxa"/>
            <w:bottom w:w="0" w:type="dxa"/>
          </w:tblCellMar>
        </w:tblPrEx>
        <w:trPr>
          <w:cantSplit/>
        </w:trPr>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9" w14:textId="77777777" w:rsidR="00C1548D" w:rsidRDefault="009B1B4B">
            <w:pPr>
              <w:spacing w:line="250" w:lineRule="auto"/>
            </w:pPr>
            <w:r>
              <w:rPr>
                <w:sz w:val="18"/>
                <w:szCs w:val="18"/>
              </w:rPr>
              <w:t>austroads.gov.au</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A" w14:textId="77777777" w:rsidR="00C1548D" w:rsidRDefault="009B1B4B">
            <w:pPr>
              <w:spacing w:line="250" w:lineRule="auto"/>
            </w:pPr>
            <w:r>
              <w:rPr>
                <w:sz w:val="18"/>
                <w:szCs w:val="18"/>
              </w:rPr>
              <w:t>Tempolimits, Verkehrsregeln im Ländervergleich</w:t>
            </w:r>
          </w:p>
        </w:tc>
        <w:tc>
          <w:tcPr>
            <w:tcW w:w="13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B" w14:textId="77777777" w:rsidR="00C1548D" w:rsidRDefault="009B1B4B">
            <w:pPr>
              <w:spacing w:line="250" w:lineRule="auto"/>
            </w:pPr>
            <w:r>
              <w:rPr>
                <w:sz w:val="18"/>
                <w:szCs w:val="18"/>
              </w:rPr>
              <w:t>Australien: Führerschein</w:t>
            </w:r>
          </w:p>
        </w:tc>
      </w:tr>
      <w:tr w:rsidR="00C1548D" w14:paraId="70A51A00" w14:textId="77777777">
        <w:tblPrEx>
          <w:tblCellMar>
            <w:top w:w="0" w:type="dxa"/>
            <w:bottom w:w="0" w:type="dxa"/>
          </w:tblCellMar>
        </w:tblPrEx>
        <w:trPr>
          <w:cantSplit/>
        </w:trPr>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D" w14:textId="77777777" w:rsidR="00C1548D" w:rsidRDefault="009B1B4B">
            <w:pPr>
              <w:spacing w:line="250" w:lineRule="auto"/>
            </w:pPr>
            <w:r>
              <w:rPr>
                <w:sz w:val="18"/>
                <w:szCs w:val="18"/>
              </w:rPr>
              <w:t>nsw.gov.au</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E" w14:textId="77777777" w:rsidR="00C1548D" w:rsidRDefault="009B1B4B">
            <w:pPr>
              <w:spacing w:line="250" w:lineRule="auto"/>
            </w:pPr>
            <w:r>
              <w:rPr>
                <w:sz w:val="18"/>
                <w:szCs w:val="18"/>
              </w:rPr>
              <w:t>Random Breath Testing</w:t>
            </w:r>
          </w:p>
        </w:tc>
        <w:tc>
          <w:tcPr>
            <w:tcW w:w="13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9FF" w14:textId="77777777" w:rsidR="00C1548D" w:rsidRDefault="009B1B4B">
            <w:pPr>
              <w:spacing w:line="250" w:lineRule="auto"/>
            </w:pPr>
            <w:r>
              <w:rPr>
                <w:sz w:val="18"/>
                <w:szCs w:val="18"/>
              </w:rPr>
              <w:t>Australien: Führerschein</w:t>
            </w:r>
          </w:p>
        </w:tc>
      </w:tr>
      <w:tr w:rsidR="00C1548D" w14:paraId="70A51A04" w14:textId="77777777">
        <w:tblPrEx>
          <w:tblCellMar>
            <w:top w:w="0" w:type="dxa"/>
            <w:bottom w:w="0" w:type="dxa"/>
          </w:tblCellMar>
        </w:tblPrEx>
        <w:trPr>
          <w:cantSplit/>
        </w:trPr>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01" w14:textId="77777777" w:rsidR="00C1548D" w:rsidRDefault="009B1B4B">
            <w:pPr>
              <w:spacing w:line="250" w:lineRule="auto"/>
            </w:pPr>
            <w:r>
              <w:rPr>
                <w:sz w:val="18"/>
                <w:szCs w:val="18"/>
              </w:rPr>
              <w:t>kangaroomanagementtaskforce.com.au (auch csiro.au)</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02" w14:textId="77777777" w:rsidR="00C1548D" w:rsidRDefault="009B1B4B">
            <w:pPr>
              <w:spacing w:line="250" w:lineRule="auto"/>
            </w:pPr>
            <w:r>
              <w:rPr>
                <w:sz w:val="18"/>
                <w:szCs w:val="18"/>
              </w:rPr>
              <w:t>Wildtierunfälle im Outback</w:t>
            </w:r>
          </w:p>
        </w:tc>
        <w:tc>
          <w:tcPr>
            <w:tcW w:w="13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03" w14:textId="77777777" w:rsidR="00C1548D" w:rsidRDefault="009B1B4B">
            <w:pPr>
              <w:spacing w:line="250" w:lineRule="auto"/>
            </w:pPr>
            <w:r>
              <w:rPr>
                <w:sz w:val="18"/>
                <w:szCs w:val="18"/>
              </w:rPr>
              <w:t>Australien: Führerschein</w:t>
            </w:r>
          </w:p>
        </w:tc>
      </w:tr>
      <w:tr w:rsidR="00C1548D" w14:paraId="70A51A08" w14:textId="77777777">
        <w:tblPrEx>
          <w:tblCellMar>
            <w:top w:w="0" w:type="dxa"/>
            <w:bottom w:w="0" w:type="dxa"/>
          </w:tblCellMar>
        </w:tblPrEx>
        <w:trPr>
          <w:cantSplit/>
        </w:trPr>
        <w:tc>
          <w:tcPr>
            <w:tcW w:w="22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05" w14:textId="77777777" w:rsidR="00C1548D" w:rsidRDefault="009B1B4B">
            <w:pPr>
              <w:spacing w:line="250" w:lineRule="auto"/>
            </w:pPr>
            <w:r>
              <w:rPr>
                <w:sz w:val="18"/>
                <w:szCs w:val="18"/>
              </w:rPr>
              <w:t>nrma.com.au, racv.com.au</w:t>
            </w:r>
          </w:p>
        </w:tc>
        <w:tc>
          <w:tcPr>
            <w:tcW w:w="292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06" w14:textId="77777777" w:rsidR="00C1548D" w:rsidRDefault="009B1B4B">
            <w:pPr>
              <w:spacing w:line="250" w:lineRule="auto"/>
            </w:pPr>
            <w:r>
              <w:rPr>
                <w:sz w:val="18"/>
                <w:szCs w:val="18"/>
              </w:rPr>
              <w:t>Praxisratgeber der Motorclubs für Neuankömmlinge</w:t>
            </w:r>
          </w:p>
        </w:tc>
        <w:tc>
          <w:tcPr>
            <w:tcW w:w="135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07" w14:textId="77777777" w:rsidR="00C1548D" w:rsidRDefault="009B1B4B">
            <w:pPr>
              <w:spacing w:line="250" w:lineRule="auto"/>
            </w:pPr>
            <w:r>
              <w:rPr>
                <w:sz w:val="18"/>
                <w:szCs w:val="18"/>
              </w:rPr>
              <w:t>Australien: Führerschein</w:t>
            </w:r>
          </w:p>
        </w:tc>
      </w:tr>
    </w:tbl>
    <w:p w14:paraId="70A51A09" w14:textId="77777777" w:rsidR="00C1548D" w:rsidRDefault="00C1548D">
      <w:pPr>
        <w:spacing w:line="180" w:lineRule="exact"/>
      </w:pPr>
    </w:p>
    <w:p w14:paraId="70A51A0A" w14:textId="77777777" w:rsidR="00C1548D" w:rsidRDefault="009B1B4B">
      <w:pPr>
        <w:pStyle w:val="Heading3"/>
        <w:keepNext/>
        <w:jc w:val="center"/>
      </w:pPr>
      <w:r>
        <w:rPr>
          <w:rFonts w:ascii="Amazon Ember" w:eastAsia="Amazon Ember" w:hAnsi="Amazon Ember" w:cs="Amazon Ember"/>
          <w:color w:val="0000FF"/>
          <w:sz w:val="36"/>
          <w:szCs w:val="36"/>
        </w:rPr>
        <w:t>Australien: Recht und Sicherheit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50"/>
        <w:gridCol w:w="3043"/>
        <w:gridCol w:w="1987"/>
      </w:tblGrid>
      <w:tr w:rsidR="00C1548D" w14:paraId="70A51A0E" w14:textId="77777777">
        <w:tblPrEx>
          <w:tblCellMar>
            <w:top w:w="0" w:type="dxa"/>
            <w:bottom w:w="0" w:type="dxa"/>
          </w:tblCellMar>
        </w:tblPrEx>
        <w:trPr>
          <w:cantSplit/>
          <w:tblHeader/>
        </w:trPr>
        <w:tc>
          <w:tcPr>
            <w:tcW w:w="145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0B" w14:textId="77777777" w:rsidR="00C1548D" w:rsidRDefault="009B1B4B">
            <w:pPr>
              <w:spacing w:line="250" w:lineRule="auto"/>
            </w:pPr>
            <w:r>
              <w:rPr>
                <w:b/>
                <w:bCs/>
                <w:sz w:val="18"/>
                <w:szCs w:val="18"/>
              </w:rPr>
              <w:t>Adresse</w:t>
            </w:r>
          </w:p>
        </w:tc>
        <w:tc>
          <w:tcPr>
            <w:tcW w:w="304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0C" w14:textId="77777777" w:rsidR="00C1548D" w:rsidRDefault="009B1B4B">
            <w:pPr>
              <w:spacing w:line="250" w:lineRule="auto"/>
            </w:pPr>
            <w:r>
              <w:rPr>
                <w:b/>
                <w:bCs/>
                <w:sz w:val="18"/>
                <w:szCs w:val="18"/>
              </w:rPr>
              <w:t>Behörde / Thema</w:t>
            </w:r>
          </w:p>
        </w:tc>
        <w:tc>
          <w:tcPr>
            <w:tcW w:w="198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0D" w14:textId="77777777" w:rsidR="00C1548D" w:rsidRDefault="009B1B4B">
            <w:pPr>
              <w:spacing w:line="250" w:lineRule="auto"/>
            </w:pPr>
            <w:r>
              <w:rPr>
                <w:b/>
                <w:bCs/>
                <w:sz w:val="18"/>
                <w:szCs w:val="18"/>
              </w:rPr>
              <w:t>Referenz</w:t>
            </w:r>
          </w:p>
        </w:tc>
      </w:tr>
      <w:tr w:rsidR="00C1548D" w14:paraId="70A51A12" w14:textId="77777777">
        <w:tblPrEx>
          <w:tblCellMar>
            <w:top w:w="0" w:type="dxa"/>
            <w:bottom w:w="0" w:type="dxa"/>
          </w:tblCellMar>
        </w:tblPrEx>
        <w:trPr>
          <w:cantSplit/>
        </w:trPr>
        <w:tc>
          <w:tcPr>
            <w:tcW w:w="14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0F" w14:textId="77777777" w:rsidR="00C1548D" w:rsidRDefault="009B1B4B">
            <w:pPr>
              <w:spacing w:line="250" w:lineRule="auto"/>
            </w:pPr>
            <w:r>
              <w:rPr>
                <w:sz w:val="18"/>
                <w:szCs w:val="18"/>
              </w:rPr>
              <w:t>afdrs.com.au</w:t>
            </w:r>
          </w:p>
        </w:tc>
        <w:tc>
          <w:tcPr>
            <w:tcW w:w="30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0" w14:textId="77777777" w:rsidR="00C1548D" w:rsidRDefault="009B1B4B">
            <w:pPr>
              <w:spacing w:line="250" w:lineRule="auto"/>
            </w:pPr>
            <w:r>
              <w:rPr>
                <w:sz w:val="18"/>
                <w:szCs w:val="18"/>
              </w:rPr>
              <w:t>Australian Fire Danger Rating System, Warnstufen</w:t>
            </w:r>
          </w:p>
        </w:tc>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1" w14:textId="77777777" w:rsidR="00C1548D" w:rsidRDefault="009B1B4B">
            <w:pPr>
              <w:spacing w:line="250" w:lineRule="auto"/>
            </w:pPr>
            <w:r>
              <w:rPr>
                <w:sz w:val="18"/>
                <w:szCs w:val="18"/>
              </w:rPr>
              <w:t>Australien: Recht und Sicherheit</w:t>
            </w:r>
          </w:p>
        </w:tc>
      </w:tr>
      <w:tr w:rsidR="00C1548D" w14:paraId="70A51A16" w14:textId="77777777">
        <w:tblPrEx>
          <w:tblCellMar>
            <w:top w:w="0" w:type="dxa"/>
            <w:bottom w:w="0" w:type="dxa"/>
          </w:tblCellMar>
        </w:tblPrEx>
        <w:trPr>
          <w:cantSplit/>
        </w:trPr>
        <w:tc>
          <w:tcPr>
            <w:tcW w:w="14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3" w14:textId="77777777" w:rsidR="00C1548D" w:rsidRDefault="009B1B4B">
            <w:pPr>
              <w:spacing w:line="250" w:lineRule="auto"/>
            </w:pPr>
            <w:r>
              <w:rPr>
                <w:sz w:val="18"/>
                <w:szCs w:val="18"/>
              </w:rPr>
              <w:t>bom.gov.au</w:t>
            </w:r>
          </w:p>
        </w:tc>
        <w:tc>
          <w:tcPr>
            <w:tcW w:w="30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4" w14:textId="77777777" w:rsidR="00C1548D" w:rsidRDefault="009B1B4B">
            <w:pPr>
              <w:spacing w:line="250" w:lineRule="auto"/>
            </w:pPr>
            <w:r>
              <w:rPr>
                <w:sz w:val="18"/>
                <w:szCs w:val="18"/>
              </w:rPr>
              <w:t>Bureau of Meteorology, Wetter- und Zyklonwarnungen</w:t>
            </w:r>
          </w:p>
        </w:tc>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5" w14:textId="77777777" w:rsidR="00C1548D" w:rsidRDefault="009B1B4B">
            <w:pPr>
              <w:spacing w:line="250" w:lineRule="auto"/>
            </w:pPr>
            <w:r>
              <w:rPr>
                <w:sz w:val="18"/>
                <w:szCs w:val="18"/>
              </w:rPr>
              <w:t>Australien: Recht und Sicherheit</w:t>
            </w:r>
          </w:p>
        </w:tc>
      </w:tr>
      <w:tr w:rsidR="00C1548D" w14:paraId="70A51A1A" w14:textId="77777777">
        <w:tblPrEx>
          <w:tblCellMar>
            <w:top w:w="0" w:type="dxa"/>
            <w:bottom w:w="0" w:type="dxa"/>
          </w:tblCellMar>
        </w:tblPrEx>
        <w:trPr>
          <w:cantSplit/>
        </w:trPr>
        <w:tc>
          <w:tcPr>
            <w:tcW w:w="14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7" w14:textId="77777777" w:rsidR="00C1548D" w:rsidRDefault="009B1B4B">
            <w:pPr>
              <w:spacing w:line="250" w:lineRule="auto"/>
            </w:pPr>
            <w:r>
              <w:rPr>
                <w:sz w:val="18"/>
                <w:szCs w:val="18"/>
              </w:rPr>
              <w:t>rfs.nsw.gov.au, cfa.vic.gov.au</w:t>
            </w:r>
          </w:p>
        </w:tc>
        <w:tc>
          <w:tcPr>
            <w:tcW w:w="30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8" w14:textId="77777777" w:rsidR="00C1548D" w:rsidRDefault="009B1B4B">
            <w:pPr>
              <w:spacing w:line="250" w:lineRule="auto"/>
            </w:pPr>
            <w:r>
              <w:rPr>
                <w:sz w:val="18"/>
                <w:szCs w:val="18"/>
              </w:rPr>
              <w:t>Landesfeuerwehrbehörden New South Wales und Victoria</w:t>
            </w:r>
          </w:p>
        </w:tc>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9" w14:textId="77777777" w:rsidR="00C1548D" w:rsidRDefault="009B1B4B">
            <w:pPr>
              <w:spacing w:line="250" w:lineRule="auto"/>
            </w:pPr>
            <w:r>
              <w:rPr>
                <w:sz w:val="18"/>
                <w:szCs w:val="18"/>
              </w:rPr>
              <w:t>Australien: Recht und Sicherheit</w:t>
            </w:r>
          </w:p>
        </w:tc>
      </w:tr>
      <w:tr w:rsidR="00C1548D" w14:paraId="70A51A1E" w14:textId="77777777">
        <w:tblPrEx>
          <w:tblCellMar>
            <w:top w:w="0" w:type="dxa"/>
            <w:bottom w:w="0" w:type="dxa"/>
          </w:tblCellMar>
        </w:tblPrEx>
        <w:trPr>
          <w:cantSplit/>
        </w:trPr>
        <w:tc>
          <w:tcPr>
            <w:tcW w:w="14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B" w14:textId="77777777" w:rsidR="00C1548D" w:rsidRDefault="009B1B4B">
            <w:pPr>
              <w:spacing w:line="250" w:lineRule="auto"/>
            </w:pPr>
            <w:r>
              <w:rPr>
                <w:sz w:val="18"/>
                <w:szCs w:val="18"/>
              </w:rPr>
              <w:t>health.gov.au (auch tga.gov.au)</w:t>
            </w:r>
          </w:p>
        </w:tc>
        <w:tc>
          <w:tcPr>
            <w:tcW w:w="30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C" w14:textId="77777777" w:rsidR="00C1548D" w:rsidRDefault="009B1B4B">
            <w:pPr>
              <w:spacing w:line="250" w:lineRule="auto"/>
            </w:pPr>
            <w:r>
              <w:rPr>
                <w:sz w:val="18"/>
                <w:szCs w:val="18"/>
              </w:rPr>
              <w:t>Medizinisches Cannabis, Zulassung und Verschreibung</w:t>
            </w:r>
          </w:p>
        </w:tc>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D" w14:textId="77777777" w:rsidR="00C1548D" w:rsidRDefault="009B1B4B">
            <w:pPr>
              <w:spacing w:line="250" w:lineRule="auto"/>
            </w:pPr>
            <w:r>
              <w:rPr>
                <w:sz w:val="18"/>
                <w:szCs w:val="18"/>
              </w:rPr>
              <w:t>Australien: Recht und Sicherheit</w:t>
            </w:r>
          </w:p>
        </w:tc>
      </w:tr>
      <w:tr w:rsidR="00C1548D" w14:paraId="70A51A22" w14:textId="77777777">
        <w:tblPrEx>
          <w:tblCellMar>
            <w:top w:w="0" w:type="dxa"/>
            <w:bottom w:w="0" w:type="dxa"/>
          </w:tblCellMar>
        </w:tblPrEx>
        <w:trPr>
          <w:cantSplit/>
        </w:trPr>
        <w:tc>
          <w:tcPr>
            <w:tcW w:w="14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1F" w14:textId="77777777" w:rsidR="00C1548D" w:rsidRDefault="009B1B4B">
            <w:pPr>
              <w:spacing w:line="250" w:lineRule="auto"/>
            </w:pPr>
            <w:r>
              <w:rPr>
                <w:sz w:val="18"/>
                <w:szCs w:val="18"/>
              </w:rPr>
              <w:t>legislation.act.gov.au</w:t>
            </w:r>
          </w:p>
        </w:tc>
        <w:tc>
          <w:tcPr>
            <w:tcW w:w="30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20" w14:textId="77777777" w:rsidR="00C1548D" w:rsidRDefault="009B1B4B">
            <w:pPr>
              <w:spacing w:line="250" w:lineRule="auto"/>
            </w:pPr>
            <w:r>
              <w:rPr>
                <w:sz w:val="18"/>
                <w:szCs w:val="18"/>
              </w:rPr>
              <w:t>Cannabis-Recht in der Australian Capital Territory</w:t>
            </w:r>
          </w:p>
        </w:tc>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21" w14:textId="77777777" w:rsidR="00C1548D" w:rsidRDefault="009B1B4B">
            <w:pPr>
              <w:spacing w:line="250" w:lineRule="auto"/>
            </w:pPr>
            <w:r>
              <w:rPr>
                <w:sz w:val="18"/>
                <w:szCs w:val="18"/>
              </w:rPr>
              <w:t>Australien: Recht und Sicherheit</w:t>
            </w:r>
          </w:p>
        </w:tc>
      </w:tr>
      <w:tr w:rsidR="00C1548D" w14:paraId="70A51A26" w14:textId="77777777">
        <w:tblPrEx>
          <w:tblCellMar>
            <w:top w:w="0" w:type="dxa"/>
            <w:bottom w:w="0" w:type="dxa"/>
          </w:tblCellMar>
        </w:tblPrEx>
        <w:trPr>
          <w:cantSplit/>
        </w:trPr>
        <w:tc>
          <w:tcPr>
            <w:tcW w:w="14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23" w14:textId="77777777" w:rsidR="00C1548D" w:rsidRDefault="009B1B4B">
            <w:pPr>
              <w:spacing w:line="250" w:lineRule="auto"/>
            </w:pPr>
            <w:r>
              <w:rPr>
                <w:sz w:val="18"/>
                <w:szCs w:val="18"/>
              </w:rPr>
              <w:lastRenderedPageBreak/>
              <w:t>acic.gov.au</w:t>
            </w:r>
          </w:p>
        </w:tc>
        <w:tc>
          <w:tcPr>
            <w:tcW w:w="30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24" w14:textId="77777777" w:rsidR="00C1548D" w:rsidRDefault="009B1B4B">
            <w:pPr>
              <w:spacing w:line="250" w:lineRule="auto"/>
            </w:pPr>
            <w:r>
              <w:rPr>
                <w:sz w:val="18"/>
                <w:szCs w:val="18"/>
              </w:rPr>
              <w:t>National Firearms Agreement 1996</w:t>
            </w:r>
          </w:p>
        </w:tc>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25" w14:textId="77777777" w:rsidR="00C1548D" w:rsidRDefault="009B1B4B">
            <w:pPr>
              <w:spacing w:line="250" w:lineRule="auto"/>
            </w:pPr>
            <w:r>
              <w:rPr>
                <w:sz w:val="18"/>
                <w:szCs w:val="18"/>
              </w:rPr>
              <w:t>Australien: Recht und Sicherheit</w:t>
            </w:r>
          </w:p>
        </w:tc>
      </w:tr>
      <w:tr w:rsidR="00C1548D" w14:paraId="70A51A2A" w14:textId="77777777">
        <w:tblPrEx>
          <w:tblCellMar>
            <w:top w:w="0" w:type="dxa"/>
            <w:bottom w:w="0" w:type="dxa"/>
          </w:tblCellMar>
        </w:tblPrEx>
        <w:trPr>
          <w:cantSplit/>
        </w:trPr>
        <w:tc>
          <w:tcPr>
            <w:tcW w:w="145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27" w14:textId="77777777" w:rsidR="00C1548D" w:rsidRDefault="009B1B4B">
            <w:pPr>
              <w:spacing w:line="250" w:lineRule="auto"/>
            </w:pPr>
            <w:r>
              <w:rPr>
                <w:sz w:val="18"/>
                <w:szCs w:val="18"/>
              </w:rPr>
              <w:t>transport.nsw.gov.au</w:t>
            </w:r>
          </w:p>
        </w:tc>
        <w:tc>
          <w:tcPr>
            <w:tcW w:w="30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28" w14:textId="77777777" w:rsidR="00C1548D" w:rsidRDefault="009B1B4B">
            <w:pPr>
              <w:spacing w:line="250" w:lineRule="auto"/>
            </w:pPr>
            <w:r>
              <w:rPr>
                <w:sz w:val="18"/>
                <w:szCs w:val="18"/>
              </w:rPr>
              <w:t>Alkohol- und Drogenkontrollen im Straßenverkehr</w:t>
            </w:r>
          </w:p>
        </w:tc>
        <w:tc>
          <w:tcPr>
            <w:tcW w:w="198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29" w14:textId="77777777" w:rsidR="00C1548D" w:rsidRDefault="009B1B4B">
            <w:pPr>
              <w:spacing w:line="250" w:lineRule="auto"/>
            </w:pPr>
            <w:r>
              <w:rPr>
                <w:sz w:val="18"/>
                <w:szCs w:val="18"/>
              </w:rPr>
              <w:t>Australien: Recht und Sicherheit</w:t>
            </w:r>
          </w:p>
        </w:tc>
      </w:tr>
    </w:tbl>
    <w:p w14:paraId="70A51A2B" w14:textId="77777777" w:rsidR="00C1548D" w:rsidRDefault="00C1548D">
      <w:pPr>
        <w:spacing w:line="180" w:lineRule="exact"/>
      </w:pPr>
    </w:p>
    <w:p w14:paraId="70A51A2C" w14:textId="77777777" w:rsidR="00C1548D" w:rsidRDefault="009B1B4B">
      <w:pPr>
        <w:pStyle w:val="Heading3"/>
        <w:keepNext/>
        <w:jc w:val="center"/>
      </w:pPr>
      <w:r>
        <w:rPr>
          <w:rFonts w:ascii="Amazon Ember" w:eastAsia="Amazon Ember" w:hAnsi="Amazon Ember" w:cs="Amazon Ember"/>
          <w:color w:val="0000FF"/>
          <w:sz w:val="36"/>
          <w:szCs w:val="36"/>
        </w:rPr>
        <w:t>Australien: Bildung, Arbeit und Alltag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2"/>
        <w:gridCol w:w="3224"/>
        <w:gridCol w:w="1384"/>
      </w:tblGrid>
      <w:tr w:rsidR="00C1548D" w14:paraId="70A51A30" w14:textId="77777777">
        <w:tblPrEx>
          <w:tblCellMar>
            <w:top w:w="0" w:type="dxa"/>
            <w:bottom w:w="0" w:type="dxa"/>
          </w:tblCellMar>
        </w:tblPrEx>
        <w:trPr>
          <w:cantSplit/>
          <w:tblHeader/>
        </w:trPr>
        <w:tc>
          <w:tcPr>
            <w:tcW w:w="187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2D" w14:textId="77777777" w:rsidR="00C1548D" w:rsidRDefault="009B1B4B">
            <w:pPr>
              <w:spacing w:line="250" w:lineRule="auto"/>
            </w:pPr>
            <w:r>
              <w:rPr>
                <w:b/>
                <w:bCs/>
                <w:sz w:val="18"/>
                <w:szCs w:val="18"/>
              </w:rPr>
              <w:t>Adresse</w:t>
            </w:r>
          </w:p>
        </w:tc>
        <w:tc>
          <w:tcPr>
            <w:tcW w:w="322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2E" w14:textId="77777777" w:rsidR="00C1548D" w:rsidRDefault="009B1B4B">
            <w:pPr>
              <w:spacing w:line="250" w:lineRule="auto"/>
            </w:pPr>
            <w:r>
              <w:rPr>
                <w:b/>
                <w:bCs/>
                <w:sz w:val="18"/>
                <w:szCs w:val="18"/>
              </w:rPr>
              <w:t>Behörde / Thema</w:t>
            </w:r>
          </w:p>
        </w:tc>
        <w:tc>
          <w:tcPr>
            <w:tcW w:w="138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2F" w14:textId="77777777" w:rsidR="00C1548D" w:rsidRDefault="009B1B4B">
            <w:pPr>
              <w:spacing w:line="250" w:lineRule="auto"/>
            </w:pPr>
            <w:r>
              <w:rPr>
                <w:b/>
                <w:bCs/>
                <w:sz w:val="18"/>
                <w:szCs w:val="18"/>
              </w:rPr>
              <w:t>Referenz</w:t>
            </w:r>
          </w:p>
        </w:tc>
      </w:tr>
      <w:tr w:rsidR="00C1548D" w14:paraId="70A51A34" w14:textId="77777777">
        <w:tblPrEx>
          <w:tblCellMar>
            <w:top w:w="0" w:type="dxa"/>
            <w:bottom w:w="0" w:type="dxa"/>
          </w:tblCellMar>
        </w:tblPrEx>
        <w:trPr>
          <w:cantSplit/>
        </w:trPr>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1" w14:textId="77777777" w:rsidR="00C1548D" w:rsidRDefault="009B1B4B">
            <w:pPr>
              <w:spacing w:line="250" w:lineRule="auto"/>
            </w:pPr>
            <w:r>
              <w:rPr>
                <w:sz w:val="18"/>
                <w:szCs w:val="18"/>
              </w:rPr>
              <w:t>abs.gov.au/statistics/people/education/schools</w:t>
            </w:r>
          </w:p>
        </w:tc>
        <w:tc>
          <w:tcPr>
            <w:tcW w:w="32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2" w14:textId="77777777" w:rsidR="00C1548D" w:rsidRDefault="009B1B4B">
            <w:pPr>
              <w:spacing w:line="250" w:lineRule="auto"/>
            </w:pPr>
            <w:r>
              <w:rPr>
                <w:sz w:val="18"/>
                <w:szCs w:val="18"/>
              </w:rPr>
              <w:t>Schulstatistik, Anteile der Schulsektoren</w:t>
            </w:r>
          </w:p>
        </w:tc>
        <w:tc>
          <w:tcPr>
            <w:tcW w:w="13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3" w14:textId="77777777" w:rsidR="00C1548D" w:rsidRDefault="009B1B4B">
            <w:pPr>
              <w:spacing w:line="250" w:lineRule="auto"/>
            </w:pPr>
            <w:r>
              <w:rPr>
                <w:sz w:val="18"/>
                <w:szCs w:val="18"/>
              </w:rPr>
              <w:t>Australien: Bildung</w:t>
            </w:r>
          </w:p>
        </w:tc>
      </w:tr>
      <w:tr w:rsidR="00C1548D" w14:paraId="70A51A38" w14:textId="77777777">
        <w:tblPrEx>
          <w:tblCellMar>
            <w:top w:w="0" w:type="dxa"/>
            <w:bottom w:w="0" w:type="dxa"/>
          </w:tblCellMar>
        </w:tblPrEx>
        <w:trPr>
          <w:cantSplit/>
        </w:trPr>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5" w14:textId="77777777" w:rsidR="00C1548D" w:rsidRDefault="009B1B4B">
            <w:pPr>
              <w:spacing w:line="250" w:lineRule="auto"/>
            </w:pPr>
            <w:r>
              <w:rPr>
                <w:sz w:val="18"/>
                <w:szCs w:val="18"/>
              </w:rPr>
              <w:t>acara.edu.au</w:t>
            </w:r>
          </w:p>
        </w:tc>
        <w:tc>
          <w:tcPr>
            <w:tcW w:w="32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6" w14:textId="77777777" w:rsidR="00C1548D" w:rsidRDefault="009B1B4B">
            <w:pPr>
              <w:spacing w:line="250" w:lineRule="auto"/>
            </w:pPr>
            <w:r>
              <w:rPr>
                <w:sz w:val="18"/>
                <w:szCs w:val="18"/>
              </w:rPr>
              <w:t>Rahmenlehrplan, NAPLAN, EAL/D-Förderung</w:t>
            </w:r>
          </w:p>
        </w:tc>
        <w:tc>
          <w:tcPr>
            <w:tcW w:w="13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7" w14:textId="77777777" w:rsidR="00C1548D" w:rsidRDefault="009B1B4B">
            <w:pPr>
              <w:spacing w:line="250" w:lineRule="auto"/>
            </w:pPr>
            <w:r>
              <w:rPr>
                <w:sz w:val="18"/>
                <w:szCs w:val="18"/>
              </w:rPr>
              <w:t>Australien: Bildung</w:t>
            </w:r>
          </w:p>
        </w:tc>
      </w:tr>
      <w:tr w:rsidR="00C1548D" w14:paraId="70A51A3C" w14:textId="77777777">
        <w:tblPrEx>
          <w:tblCellMar>
            <w:top w:w="0" w:type="dxa"/>
            <w:bottom w:w="0" w:type="dxa"/>
          </w:tblCellMar>
        </w:tblPrEx>
        <w:trPr>
          <w:cantSplit/>
        </w:trPr>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9" w14:textId="77777777" w:rsidR="00C1548D" w:rsidRDefault="009B1B4B">
            <w:pPr>
              <w:spacing w:line="250" w:lineRule="auto"/>
            </w:pPr>
            <w:r>
              <w:rPr>
                <w:sz w:val="18"/>
                <w:szCs w:val="18"/>
              </w:rPr>
              <w:t>education.nsw.gov.au</w:t>
            </w:r>
          </w:p>
        </w:tc>
        <w:tc>
          <w:tcPr>
            <w:tcW w:w="32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A" w14:textId="77777777" w:rsidR="00C1548D" w:rsidRDefault="009B1B4B">
            <w:pPr>
              <w:spacing w:line="250" w:lineRule="auto"/>
            </w:pPr>
            <w:r>
              <w:rPr>
                <w:sz w:val="18"/>
                <w:szCs w:val="18"/>
              </w:rPr>
              <w:t>Term- und Ferientermine (Beispiel New South Wales)</w:t>
            </w:r>
          </w:p>
        </w:tc>
        <w:tc>
          <w:tcPr>
            <w:tcW w:w="13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B" w14:textId="77777777" w:rsidR="00C1548D" w:rsidRDefault="009B1B4B">
            <w:pPr>
              <w:spacing w:line="250" w:lineRule="auto"/>
            </w:pPr>
            <w:r>
              <w:rPr>
                <w:sz w:val="18"/>
                <w:szCs w:val="18"/>
              </w:rPr>
              <w:t>Australien: Bildung</w:t>
            </w:r>
          </w:p>
        </w:tc>
      </w:tr>
      <w:tr w:rsidR="00C1548D" w14:paraId="70A51A40" w14:textId="77777777">
        <w:tblPrEx>
          <w:tblCellMar>
            <w:top w:w="0" w:type="dxa"/>
            <w:bottom w:w="0" w:type="dxa"/>
          </w:tblCellMar>
        </w:tblPrEx>
        <w:trPr>
          <w:cantSplit/>
        </w:trPr>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D" w14:textId="77777777" w:rsidR="00C1548D" w:rsidRDefault="009B1B4B">
            <w:pPr>
              <w:spacing w:line="250" w:lineRule="auto"/>
            </w:pPr>
            <w:r>
              <w:rPr>
                <w:sz w:val="18"/>
                <w:szCs w:val="18"/>
              </w:rPr>
              <w:t>uac.edu.au</w:t>
            </w:r>
          </w:p>
        </w:tc>
        <w:tc>
          <w:tcPr>
            <w:tcW w:w="32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E" w14:textId="77777777" w:rsidR="00C1548D" w:rsidRDefault="009B1B4B">
            <w:pPr>
              <w:spacing w:line="250" w:lineRule="auto"/>
            </w:pPr>
            <w:r>
              <w:rPr>
                <w:sz w:val="18"/>
                <w:szCs w:val="18"/>
              </w:rPr>
              <w:t>Universities Admissions Centre, Erklärung und Berechnung des ATAR</w:t>
            </w:r>
          </w:p>
        </w:tc>
        <w:tc>
          <w:tcPr>
            <w:tcW w:w="13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3F" w14:textId="77777777" w:rsidR="00C1548D" w:rsidRDefault="009B1B4B">
            <w:pPr>
              <w:spacing w:line="250" w:lineRule="auto"/>
            </w:pPr>
            <w:r>
              <w:rPr>
                <w:sz w:val="18"/>
                <w:szCs w:val="18"/>
              </w:rPr>
              <w:t>Australien: Bildung</w:t>
            </w:r>
          </w:p>
        </w:tc>
      </w:tr>
      <w:tr w:rsidR="00C1548D" w14:paraId="70A51A44" w14:textId="77777777">
        <w:tblPrEx>
          <w:tblCellMar>
            <w:top w:w="0" w:type="dxa"/>
            <w:bottom w:w="0" w:type="dxa"/>
          </w:tblCellMar>
        </w:tblPrEx>
        <w:trPr>
          <w:cantSplit/>
        </w:trPr>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1" w14:textId="77777777" w:rsidR="00C1548D" w:rsidRDefault="009B1B4B">
            <w:pPr>
              <w:spacing w:line="250" w:lineRule="auto"/>
            </w:pPr>
            <w:r>
              <w:rPr>
                <w:sz w:val="18"/>
                <w:szCs w:val="18"/>
              </w:rPr>
              <w:t>fairwork.gov.au</w:t>
            </w:r>
          </w:p>
        </w:tc>
        <w:tc>
          <w:tcPr>
            <w:tcW w:w="32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2" w14:textId="77777777" w:rsidR="00C1548D" w:rsidRDefault="009B1B4B">
            <w:pPr>
              <w:spacing w:line="250" w:lineRule="auto"/>
            </w:pPr>
            <w:r>
              <w:rPr>
                <w:sz w:val="18"/>
                <w:szCs w:val="18"/>
              </w:rPr>
              <w:t>National Employment Standards, Kündigungsfristen, Urlaub, Right to Disconnect</w:t>
            </w:r>
          </w:p>
        </w:tc>
        <w:tc>
          <w:tcPr>
            <w:tcW w:w="13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3" w14:textId="77777777" w:rsidR="00C1548D" w:rsidRDefault="009B1B4B">
            <w:pPr>
              <w:spacing w:line="250" w:lineRule="auto"/>
            </w:pPr>
            <w:r>
              <w:rPr>
                <w:sz w:val="18"/>
                <w:szCs w:val="18"/>
              </w:rPr>
              <w:t>Australien: Arbeitswelt</w:t>
            </w:r>
          </w:p>
        </w:tc>
      </w:tr>
      <w:tr w:rsidR="00C1548D" w14:paraId="70A51A48" w14:textId="77777777">
        <w:tblPrEx>
          <w:tblCellMar>
            <w:top w:w="0" w:type="dxa"/>
            <w:bottom w:w="0" w:type="dxa"/>
          </w:tblCellMar>
        </w:tblPrEx>
        <w:trPr>
          <w:cantSplit/>
        </w:trPr>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5" w14:textId="77777777" w:rsidR="00C1548D" w:rsidRDefault="009B1B4B">
            <w:pPr>
              <w:spacing w:line="250" w:lineRule="auto"/>
            </w:pPr>
            <w:r>
              <w:rPr>
                <w:sz w:val="18"/>
                <w:szCs w:val="18"/>
              </w:rPr>
              <w:t>fwc.gov.au</w:t>
            </w:r>
          </w:p>
        </w:tc>
        <w:tc>
          <w:tcPr>
            <w:tcW w:w="32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6" w14:textId="77777777" w:rsidR="00C1548D" w:rsidRDefault="009B1B4B">
            <w:pPr>
              <w:spacing w:line="250" w:lineRule="auto"/>
            </w:pPr>
            <w:r>
              <w:rPr>
                <w:sz w:val="18"/>
                <w:szCs w:val="18"/>
              </w:rPr>
              <w:t>Fair Work Commission: Unfair Dismissal, Mindestlohn, High Income Threshold</w:t>
            </w:r>
          </w:p>
        </w:tc>
        <w:tc>
          <w:tcPr>
            <w:tcW w:w="13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7" w14:textId="77777777" w:rsidR="00C1548D" w:rsidRDefault="009B1B4B">
            <w:pPr>
              <w:spacing w:line="250" w:lineRule="auto"/>
            </w:pPr>
            <w:r>
              <w:rPr>
                <w:sz w:val="18"/>
                <w:szCs w:val="18"/>
              </w:rPr>
              <w:t>Australien: Arbeitswelt</w:t>
            </w:r>
          </w:p>
        </w:tc>
      </w:tr>
      <w:tr w:rsidR="00C1548D" w14:paraId="70A51A4C" w14:textId="77777777">
        <w:tblPrEx>
          <w:tblCellMar>
            <w:top w:w="0" w:type="dxa"/>
            <w:bottom w:w="0" w:type="dxa"/>
          </w:tblCellMar>
        </w:tblPrEx>
        <w:trPr>
          <w:cantSplit/>
        </w:trPr>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9" w14:textId="77777777" w:rsidR="00C1548D" w:rsidRDefault="009B1B4B">
            <w:pPr>
              <w:spacing w:line="250" w:lineRule="auto"/>
            </w:pPr>
            <w:r>
              <w:rPr>
                <w:sz w:val="18"/>
                <w:szCs w:val="18"/>
              </w:rPr>
              <w:t>culturalatlas.sbs.com.au</w:t>
            </w:r>
          </w:p>
        </w:tc>
        <w:tc>
          <w:tcPr>
            <w:tcW w:w="32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A" w14:textId="77777777" w:rsidR="00C1548D" w:rsidRDefault="009B1B4B">
            <w:pPr>
              <w:spacing w:line="250" w:lineRule="auto"/>
            </w:pPr>
            <w:r>
              <w:rPr>
                <w:sz w:val="18"/>
                <w:szCs w:val="18"/>
              </w:rPr>
              <w:t>SBS Cultural Atlas, Kommunikationsstil und Alltagskultur</w:t>
            </w:r>
          </w:p>
        </w:tc>
        <w:tc>
          <w:tcPr>
            <w:tcW w:w="13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B" w14:textId="77777777" w:rsidR="00C1548D" w:rsidRDefault="009B1B4B">
            <w:pPr>
              <w:spacing w:line="250" w:lineRule="auto"/>
            </w:pPr>
            <w:r>
              <w:rPr>
                <w:sz w:val="18"/>
                <w:szCs w:val="18"/>
              </w:rPr>
              <w:t>Australien: Alltag</w:t>
            </w:r>
          </w:p>
        </w:tc>
      </w:tr>
      <w:tr w:rsidR="00C1548D" w14:paraId="70A51A50" w14:textId="77777777">
        <w:tblPrEx>
          <w:tblCellMar>
            <w:top w:w="0" w:type="dxa"/>
            <w:bottom w:w="0" w:type="dxa"/>
          </w:tblCellMar>
        </w:tblPrEx>
        <w:trPr>
          <w:cantSplit/>
        </w:trPr>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D" w14:textId="77777777" w:rsidR="00C1548D" w:rsidRDefault="009B1B4B">
            <w:pPr>
              <w:spacing w:line="250" w:lineRule="auto"/>
            </w:pPr>
            <w:r>
              <w:rPr>
                <w:sz w:val="18"/>
                <w:szCs w:val="18"/>
              </w:rPr>
              <w:t>australia.com</w:t>
            </w:r>
          </w:p>
        </w:tc>
        <w:tc>
          <w:tcPr>
            <w:tcW w:w="32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E" w14:textId="77777777" w:rsidR="00C1548D" w:rsidRDefault="009B1B4B">
            <w:pPr>
              <w:spacing w:line="250" w:lineRule="auto"/>
            </w:pPr>
            <w:r>
              <w:rPr>
                <w:sz w:val="18"/>
                <w:szCs w:val="18"/>
              </w:rPr>
              <w:t>Tourism Australia, Alltag und Umgangsformen für Neuankömmlinge</w:t>
            </w:r>
          </w:p>
        </w:tc>
        <w:tc>
          <w:tcPr>
            <w:tcW w:w="13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4F" w14:textId="77777777" w:rsidR="00C1548D" w:rsidRDefault="009B1B4B">
            <w:pPr>
              <w:spacing w:line="250" w:lineRule="auto"/>
            </w:pPr>
            <w:r>
              <w:rPr>
                <w:sz w:val="18"/>
                <w:szCs w:val="18"/>
              </w:rPr>
              <w:t>Australien: Alltag</w:t>
            </w:r>
          </w:p>
        </w:tc>
      </w:tr>
      <w:tr w:rsidR="00C1548D" w14:paraId="70A51A54" w14:textId="77777777">
        <w:tblPrEx>
          <w:tblCellMar>
            <w:top w:w="0" w:type="dxa"/>
            <w:bottom w:w="0" w:type="dxa"/>
          </w:tblCellMar>
        </w:tblPrEx>
        <w:trPr>
          <w:cantSplit/>
        </w:trPr>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51" w14:textId="77777777" w:rsidR="00C1548D" w:rsidRDefault="009B1B4B">
            <w:pPr>
              <w:spacing w:line="250" w:lineRule="auto"/>
            </w:pPr>
            <w:r>
              <w:rPr>
                <w:sz w:val="18"/>
                <w:szCs w:val="18"/>
              </w:rPr>
              <w:t>sls.com.au</w:t>
            </w:r>
          </w:p>
        </w:tc>
        <w:tc>
          <w:tcPr>
            <w:tcW w:w="32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52" w14:textId="77777777" w:rsidR="00C1548D" w:rsidRDefault="009B1B4B">
            <w:pPr>
              <w:spacing w:line="250" w:lineRule="auto"/>
            </w:pPr>
            <w:r>
              <w:rPr>
                <w:sz w:val="18"/>
                <w:szCs w:val="18"/>
              </w:rPr>
              <w:t>Surf Life Saving Australia, Clubs und Mitgliedschaft</w:t>
            </w:r>
          </w:p>
        </w:tc>
        <w:tc>
          <w:tcPr>
            <w:tcW w:w="13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53" w14:textId="77777777" w:rsidR="00C1548D" w:rsidRDefault="009B1B4B">
            <w:pPr>
              <w:spacing w:line="250" w:lineRule="auto"/>
            </w:pPr>
            <w:r>
              <w:rPr>
                <w:sz w:val="18"/>
                <w:szCs w:val="18"/>
              </w:rPr>
              <w:t>Australien: Alltag</w:t>
            </w:r>
          </w:p>
        </w:tc>
      </w:tr>
      <w:tr w:rsidR="00C1548D" w14:paraId="70A51A58" w14:textId="77777777">
        <w:tblPrEx>
          <w:tblCellMar>
            <w:top w:w="0" w:type="dxa"/>
            <w:bottom w:w="0" w:type="dxa"/>
          </w:tblCellMar>
        </w:tblPrEx>
        <w:trPr>
          <w:cantSplit/>
        </w:trPr>
        <w:tc>
          <w:tcPr>
            <w:tcW w:w="187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55" w14:textId="77777777" w:rsidR="00C1548D" w:rsidRDefault="009B1B4B">
            <w:pPr>
              <w:spacing w:line="250" w:lineRule="auto"/>
            </w:pPr>
            <w:r>
              <w:rPr>
                <w:sz w:val="18"/>
                <w:szCs w:val="18"/>
              </w:rPr>
              <w:t>rfs.nsw.gov.au (auch ses.nsw.gov.au)</w:t>
            </w:r>
          </w:p>
        </w:tc>
        <w:tc>
          <w:tcPr>
            <w:tcW w:w="322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56" w14:textId="77777777" w:rsidR="00C1548D" w:rsidRDefault="009B1B4B">
            <w:pPr>
              <w:spacing w:line="250" w:lineRule="auto"/>
            </w:pPr>
            <w:r>
              <w:rPr>
                <w:sz w:val="18"/>
                <w:szCs w:val="18"/>
              </w:rPr>
              <w:t>Freiwillige Mitarbeit bei Feuerwehr und Katastrophenschutz</w:t>
            </w:r>
          </w:p>
        </w:tc>
        <w:tc>
          <w:tcPr>
            <w:tcW w:w="138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57" w14:textId="77777777" w:rsidR="00C1548D" w:rsidRDefault="009B1B4B">
            <w:pPr>
              <w:spacing w:line="250" w:lineRule="auto"/>
            </w:pPr>
            <w:r>
              <w:rPr>
                <w:sz w:val="18"/>
                <w:szCs w:val="18"/>
              </w:rPr>
              <w:t>Australien: Alltag</w:t>
            </w:r>
          </w:p>
        </w:tc>
      </w:tr>
    </w:tbl>
    <w:p w14:paraId="70A51A59" w14:textId="77777777" w:rsidR="00C1548D" w:rsidRDefault="00C1548D">
      <w:pPr>
        <w:spacing w:line="180" w:lineRule="exact"/>
      </w:pPr>
    </w:p>
    <w:p w14:paraId="70A51A5A" w14:textId="77777777" w:rsidR="00C1548D" w:rsidRDefault="009B1B4B">
      <w:pPr>
        <w:pStyle w:val="Heading3"/>
        <w:keepNext/>
        <w:jc w:val="center"/>
      </w:pPr>
      <w:r>
        <w:rPr>
          <w:rFonts w:ascii="Amazon Ember" w:eastAsia="Amazon Ember" w:hAnsi="Amazon Ember" w:cs="Amazon Ember"/>
          <w:color w:val="0000FF"/>
          <w:sz w:val="36"/>
          <w:szCs w:val="36"/>
        </w:rPr>
        <w:lastRenderedPageBreak/>
        <w:t>Deutsche Vertretungen in Australien</w:t>
      </w:r>
    </w:p>
    <w:p w14:paraId="70A51A5B" w14:textId="77777777" w:rsidR="00C1548D" w:rsidRDefault="009B1B4B">
      <w:pPr>
        <w:spacing w:after="140"/>
      </w:pPr>
      <w:r>
        <w:t>Die deutsche Botschaft sitzt in Canberra, das für weite Teile des Landes zuständige Generalkonsulat in Sydney; australien.diplo.de führt zur zuständigen Vertretung.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2"/>
        <w:gridCol w:w="3620"/>
        <w:gridCol w:w="1668"/>
      </w:tblGrid>
      <w:tr w:rsidR="00C1548D" w14:paraId="70A51A5F" w14:textId="77777777">
        <w:tblPrEx>
          <w:tblCellMar>
            <w:top w:w="0" w:type="dxa"/>
            <w:bottom w:w="0" w:type="dxa"/>
          </w:tblCellMar>
        </w:tblPrEx>
        <w:trPr>
          <w:cantSplit/>
          <w:tblHeader/>
        </w:trPr>
        <w:tc>
          <w:tcPr>
            <w:tcW w:w="119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5C" w14:textId="77777777" w:rsidR="00C1548D" w:rsidRDefault="009B1B4B">
            <w:pPr>
              <w:spacing w:line="250" w:lineRule="auto"/>
            </w:pPr>
            <w:r>
              <w:rPr>
                <w:b/>
                <w:bCs/>
                <w:sz w:val="18"/>
                <w:szCs w:val="18"/>
              </w:rPr>
              <w:t>Adresse</w:t>
            </w:r>
          </w:p>
        </w:tc>
        <w:tc>
          <w:tcPr>
            <w:tcW w:w="362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5D" w14:textId="77777777" w:rsidR="00C1548D" w:rsidRDefault="009B1B4B">
            <w:pPr>
              <w:spacing w:line="250" w:lineRule="auto"/>
            </w:pPr>
            <w:r>
              <w:rPr>
                <w:b/>
                <w:bCs/>
                <w:sz w:val="18"/>
                <w:szCs w:val="18"/>
              </w:rPr>
              <w:t>Behörde / Thema</w:t>
            </w:r>
          </w:p>
        </w:tc>
        <w:tc>
          <w:tcPr>
            <w:tcW w:w="166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5E" w14:textId="77777777" w:rsidR="00C1548D" w:rsidRDefault="009B1B4B">
            <w:pPr>
              <w:spacing w:line="250" w:lineRule="auto"/>
            </w:pPr>
            <w:r>
              <w:rPr>
                <w:b/>
                <w:bCs/>
                <w:sz w:val="18"/>
                <w:szCs w:val="18"/>
              </w:rPr>
              <w:t>Referenz</w:t>
            </w:r>
          </w:p>
        </w:tc>
      </w:tr>
      <w:tr w:rsidR="00C1548D" w14:paraId="70A51A63" w14:textId="77777777">
        <w:tblPrEx>
          <w:tblCellMar>
            <w:top w:w="0" w:type="dxa"/>
            <w:bottom w:w="0" w:type="dxa"/>
          </w:tblCellMar>
        </w:tblPrEx>
        <w:trPr>
          <w:cantSplit/>
        </w:trPr>
        <w:tc>
          <w:tcPr>
            <w:tcW w:w="11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60" w14:textId="77777777" w:rsidR="00C1548D" w:rsidRDefault="009B1B4B">
            <w:pPr>
              <w:spacing w:line="250" w:lineRule="auto"/>
            </w:pPr>
            <w:r>
              <w:rPr>
                <w:sz w:val="18"/>
                <w:szCs w:val="18"/>
              </w:rPr>
              <w:t>australien.diplo.de</w:t>
            </w:r>
          </w:p>
        </w:tc>
        <w:tc>
          <w:tcPr>
            <w:tcW w:w="3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61" w14:textId="77777777" w:rsidR="00C1548D" w:rsidRDefault="009B1B4B">
            <w:pPr>
              <w:spacing w:line="250" w:lineRule="auto"/>
            </w:pPr>
            <w:r>
              <w:rPr>
                <w:sz w:val="18"/>
                <w:szCs w:val="18"/>
              </w:rPr>
              <w:t>Deutsche Botschaft Canberra und Generalkonsulat Sydney, zuständige Vertretung finden</w:t>
            </w:r>
          </w:p>
        </w:tc>
        <w:tc>
          <w:tcPr>
            <w:tcW w:w="16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62" w14:textId="77777777" w:rsidR="00C1548D" w:rsidRDefault="009B1B4B">
            <w:pPr>
              <w:spacing w:line="250" w:lineRule="auto"/>
            </w:pPr>
            <w:r>
              <w:rPr>
                <w:sz w:val="18"/>
                <w:szCs w:val="18"/>
              </w:rPr>
              <w:t>Australien: Vertretungen</w:t>
            </w:r>
          </w:p>
        </w:tc>
      </w:tr>
      <w:tr w:rsidR="00C1548D" w14:paraId="70A51A67" w14:textId="77777777">
        <w:tblPrEx>
          <w:tblCellMar>
            <w:top w:w="0" w:type="dxa"/>
            <w:bottom w:w="0" w:type="dxa"/>
          </w:tblCellMar>
        </w:tblPrEx>
        <w:trPr>
          <w:cantSplit/>
        </w:trPr>
        <w:tc>
          <w:tcPr>
            <w:tcW w:w="11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64" w14:textId="77777777" w:rsidR="00C1548D" w:rsidRDefault="009B1B4B">
            <w:pPr>
              <w:spacing w:line="250" w:lineRule="auto"/>
            </w:pPr>
            <w:r>
              <w:rPr>
                <w:sz w:val="18"/>
                <w:szCs w:val="18"/>
              </w:rPr>
              <w:t>goethe.de/ins/au</w:t>
            </w:r>
          </w:p>
        </w:tc>
        <w:tc>
          <w:tcPr>
            <w:tcW w:w="3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65" w14:textId="77777777" w:rsidR="00C1548D" w:rsidRDefault="009B1B4B">
            <w:pPr>
              <w:spacing w:line="250" w:lineRule="auto"/>
            </w:pPr>
            <w:r>
              <w:rPr>
                <w:sz w:val="18"/>
                <w:szCs w:val="18"/>
              </w:rPr>
              <w:t>Goethe-Institut Australien, Standorte Sydney und Melbourne</w:t>
            </w:r>
          </w:p>
        </w:tc>
        <w:tc>
          <w:tcPr>
            <w:tcW w:w="16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66" w14:textId="77777777" w:rsidR="00C1548D" w:rsidRDefault="009B1B4B">
            <w:pPr>
              <w:spacing w:line="250" w:lineRule="auto"/>
            </w:pPr>
            <w:r>
              <w:rPr>
                <w:sz w:val="18"/>
                <w:szCs w:val="18"/>
              </w:rPr>
              <w:t>Australien: Vertretungen</w:t>
            </w:r>
          </w:p>
        </w:tc>
      </w:tr>
      <w:tr w:rsidR="00C1548D" w14:paraId="70A51A6B" w14:textId="77777777">
        <w:tblPrEx>
          <w:tblCellMar>
            <w:top w:w="0" w:type="dxa"/>
            <w:bottom w:w="0" w:type="dxa"/>
          </w:tblCellMar>
        </w:tblPrEx>
        <w:trPr>
          <w:cantSplit/>
        </w:trPr>
        <w:tc>
          <w:tcPr>
            <w:tcW w:w="119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68" w14:textId="77777777" w:rsidR="00C1548D" w:rsidRDefault="009B1B4B">
            <w:pPr>
              <w:spacing w:line="250" w:lineRule="auto"/>
            </w:pPr>
            <w:r>
              <w:rPr>
                <w:sz w:val="18"/>
                <w:szCs w:val="18"/>
              </w:rPr>
              <w:t>germany.info</w:t>
            </w:r>
          </w:p>
        </w:tc>
        <w:tc>
          <w:tcPr>
            <w:tcW w:w="362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69" w14:textId="77777777" w:rsidR="00C1548D" w:rsidRDefault="009B1B4B">
            <w:pPr>
              <w:spacing w:line="250" w:lineRule="auto"/>
            </w:pPr>
            <w:r>
              <w:rPr>
                <w:sz w:val="18"/>
                <w:szCs w:val="18"/>
              </w:rPr>
              <w:t>Konsularische Hilfe für Deutsche in Australien</w:t>
            </w:r>
          </w:p>
        </w:tc>
        <w:tc>
          <w:tcPr>
            <w:tcW w:w="166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6A" w14:textId="77777777" w:rsidR="00C1548D" w:rsidRDefault="009B1B4B">
            <w:pPr>
              <w:spacing w:line="250" w:lineRule="auto"/>
            </w:pPr>
            <w:r>
              <w:rPr>
                <w:sz w:val="18"/>
                <w:szCs w:val="18"/>
              </w:rPr>
              <w:t>Australien: Vertretungen</w:t>
            </w:r>
          </w:p>
        </w:tc>
      </w:tr>
    </w:tbl>
    <w:p w14:paraId="70A51A6C" w14:textId="77777777" w:rsidR="00C1548D" w:rsidRDefault="00C1548D">
      <w:pPr>
        <w:spacing w:line="180" w:lineRule="exact"/>
      </w:pPr>
    </w:p>
    <w:p w14:paraId="70A51A6D" w14:textId="77777777" w:rsidR="00C1548D" w:rsidRDefault="009B1B4B">
      <w:pPr>
        <w:pStyle w:val="Heading2"/>
        <w:keepNext/>
        <w:pageBreakBefore/>
        <w:jc w:val="center"/>
      </w:pPr>
      <w:bookmarkStart w:id="218" w:name="s104"/>
      <w:bookmarkStart w:id="219" w:name="_Toc241352561"/>
      <w:r>
        <w:rPr>
          <w:rFonts w:ascii="Amazon Ember" w:eastAsia="Amazon Ember" w:hAnsi="Amazon Ember" w:cs="Amazon Ember"/>
          <w:color w:val="0000FF"/>
          <w:sz w:val="36"/>
          <w:szCs w:val="36"/>
        </w:rPr>
        <w:lastRenderedPageBreak/>
        <w:t>Neuseeland</w:t>
      </w:r>
      <w:bookmarkEnd w:id="218"/>
      <w:bookmarkEnd w:id="219"/>
    </w:p>
    <w:p w14:paraId="70A51A6E" w14:textId="77777777" w:rsidR="00C1548D" w:rsidRDefault="009B1B4B">
      <w:pPr>
        <w:pStyle w:val="Heading3"/>
        <w:keepNext/>
        <w:jc w:val="center"/>
      </w:pPr>
      <w:r>
        <w:rPr>
          <w:rFonts w:ascii="Amazon Ember" w:eastAsia="Amazon Ember" w:hAnsi="Amazon Ember" w:cs="Amazon Ember"/>
          <w:color w:val="0000FF"/>
          <w:sz w:val="36"/>
          <w:szCs w:val="36"/>
        </w:rPr>
        <w:t>Neuseeland: Einwanderungsbehörden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1"/>
        <w:gridCol w:w="2542"/>
        <w:gridCol w:w="1397"/>
      </w:tblGrid>
      <w:tr w:rsidR="00C1548D" w14:paraId="70A51A72" w14:textId="77777777">
        <w:tblPrEx>
          <w:tblCellMar>
            <w:top w:w="0" w:type="dxa"/>
            <w:bottom w:w="0" w:type="dxa"/>
          </w:tblCellMar>
        </w:tblPrEx>
        <w:trPr>
          <w:cantSplit/>
          <w:tblHeader/>
        </w:trPr>
        <w:tc>
          <w:tcPr>
            <w:tcW w:w="254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6F" w14:textId="77777777" w:rsidR="00C1548D" w:rsidRDefault="009B1B4B">
            <w:pPr>
              <w:spacing w:line="250" w:lineRule="auto"/>
            </w:pPr>
            <w:r>
              <w:rPr>
                <w:b/>
                <w:bCs/>
                <w:sz w:val="18"/>
                <w:szCs w:val="18"/>
              </w:rPr>
              <w:t>Adresse</w:t>
            </w:r>
          </w:p>
        </w:tc>
        <w:tc>
          <w:tcPr>
            <w:tcW w:w="254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70" w14:textId="77777777" w:rsidR="00C1548D" w:rsidRDefault="009B1B4B">
            <w:pPr>
              <w:spacing w:line="250" w:lineRule="auto"/>
            </w:pPr>
            <w:r>
              <w:rPr>
                <w:b/>
                <w:bCs/>
                <w:sz w:val="18"/>
                <w:szCs w:val="18"/>
              </w:rPr>
              <w:t>Behörde / Thema</w:t>
            </w:r>
          </w:p>
        </w:tc>
        <w:tc>
          <w:tcPr>
            <w:tcW w:w="13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71" w14:textId="77777777" w:rsidR="00C1548D" w:rsidRDefault="009B1B4B">
            <w:pPr>
              <w:spacing w:line="250" w:lineRule="auto"/>
            </w:pPr>
            <w:r>
              <w:rPr>
                <w:b/>
                <w:bCs/>
                <w:sz w:val="18"/>
                <w:szCs w:val="18"/>
              </w:rPr>
              <w:t>Referenz</w:t>
            </w:r>
          </w:p>
        </w:tc>
      </w:tr>
      <w:tr w:rsidR="00C1548D" w14:paraId="70A51A76"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73" w14:textId="77777777" w:rsidR="00C1548D" w:rsidRDefault="009B1B4B">
            <w:pPr>
              <w:spacing w:line="250" w:lineRule="auto"/>
            </w:pPr>
            <w:r>
              <w:rPr>
                <w:sz w:val="18"/>
                <w:szCs w:val="18"/>
              </w:rPr>
              <w:t>immigration.govt.nz</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74" w14:textId="77777777" w:rsidR="00C1548D" w:rsidRDefault="009B1B4B">
            <w:pPr>
              <w:spacing w:line="250" w:lineRule="auto"/>
            </w:pPr>
            <w:r>
              <w:rPr>
                <w:sz w:val="18"/>
                <w:szCs w:val="18"/>
              </w:rPr>
              <w:t>Gebühren, Visakategorien, Gesundheitsanforderungen</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75" w14:textId="77777777" w:rsidR="00C1548D" w:rsidRDefault="009B1B4B">
            <w:pPr>
              <w:spacing w:line="250" w:lineRule="auto"/>
            </w:pPr>
            <w:r>
              <w:rPr>
                <w:sz w:val="18"/>
                <w:szCs w:val="18"/>
              </w:rPr>
              <w:t>Neuseeland: Einwanderung</w:t>
            </w:r>
          </w:p>
        </w:tc>
      </w:tr>
      <w:tr w:rsidR="00C1548D" w14:paraId="70A51A7A"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77" w14:textId="77777777" w:rsidR="00C1548D" w:rsidRDefault="009B1B4B">
            <w:pPr>
              <w:spacing w:line="250" w:lineRule="auto"/>
            </w:pPr>
            <w:r>
              <w:rPr>
                <w:sz w:val="18"/>
                <w:szCs w:val="18"/>
              </w:rPr>
              <w:t>immigration.govt.nz/new-zealand-visas/visas/visa/skilled-migrant-category-resident-visa</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78" w14:textId="77777777" w:rsidR="00C1548D" w:rsidRDefault="009B1B4B">
            <w:pPr>
              <w:spacing w:line="250" w:lineRule="auto"/>
            </w:pPr>
            <w:r>
              <w:rPr>
                <w:sz w:val="18"/>
                <w:szCs w:val="18"/>
              </w:rPr>
              <w:t>Skilled Migrant Category Resident Visa</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79" w14:textId="77777777" w:rsidR="00C1548D" w:rsidRDefault="009B1B4B">
            <w:pPr>
              <w:spacing w:line="250" w:lineRule="auto"/>
            </w:pPr>
            <w:r>
              <w:rPr>
                <w:sz w:val="18"/>
                <w:szCs w:val="18"/>
              </w:rPr>
              <w:t>Neuseeland: Einwanderung</w:t>
            </w:r>
          </w:p>
        </w:tc>
      </w:tr>
      <w:tr w:rsidR="00C1548D" w14:paraId="70A51A7E"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7B" w14:textId="77777777" w:rsidR="00C1548D" w:rsidRDefault="009B1B4B">
            <w:pPr>
              <w:spacing w:line="250" w:lineRule="auto"/>
            </w:pPr>
            <w:r>
              <w:rPr>
                <w:sz w:val="18"/>
                <w:szCs w:val="18"/>
              </w:rPr>
              <w:t>immigration.govt.nz/new-zealand-visas/visas/visa/accredited-employer-work-visa</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7C" w14:textId="77777777" w:rsidR="00C1548D" w:rsidRDefault="009B1B4B">
            <w:pPr>
              <w:spacing w:line="250" w:lineRule="auto"/>
            </w:pPr>
            <w:r>
              <w:rPr>
                <w:sz w:val="18"/>
                <w:szCs w:val="18"/>
              </w:rPr>
              <w:t>Accredited Employer Work Visa (AEWV), Job Check</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7D" w14:textId="77777777" w:rsidR="00C1548D" w:rsidRDefault="009B1B4B">
            <w:pPr>
              <w:spacing w:line="250" w:lineRule="auto"/>
            </w:pPr>
            <w:r>
              <w:rPr>
                <w:sz w:val="18"/>
                <w:szCs w:val="18"/>
              </w:rPr>
              <w:t>Neuseeland: Einwanderung</w:t>
            </w:r>
          </w:p>
        </w:tc>
      </w:tr>
      <w:tr w:rsidR="00C1548D" w14:paraId="70A51A82"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7F" w14:textId="77777777" w:rsidR="00C1548D" w:rsidRDefault="009B1B4B">
            <w:pPr>
              <w:spacing w:line="250" w:lineRule="auto"/>
            </w:pPr>
            <w:r>
              <w:rPr>
                <w:sz w:val="18"/>
                <w:szCs w:val="18"/>
              </w:rPr>
              <w:t>immigration.govt.nz (Green List)</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0" w14:textId="77777777" w:rsidR="00C1548D" w:rsidRDefault="009B1B4B">
            <w:pPr>
              <w:spacing w:line="250" w:lineRule="auto"/>
            </w:pPr>
            <w:r>
              <w:rPr>
                <w:sz w:val="18"/>
                <w:szCs w:val="18"/>
              </w:rPr>
              <w:t>Green List, bevorzugte Berufe</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1" w14:textId="77777777" w:rsidR="00C1548D" w:rsidRDefault="009B1B4B">
            <w:pPr>
              <w:spacing w:line="250" w:lineRule="auto"/>
            </w:pPr>
            <w:r>
              <w:rPr>
                <w:sz w:val="18"/>
                <w:szCs w:val="18"/>
              </w:rPr>
              <w:t>Neuseeland: Einwanderung</w:t>
            </w:r>
          </w:p>
        </w:tc>
      </w:tr>
      <w:tr w:rsidR="00C1548D" w14:paraId="70A51A86"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3" w14:textId="77777777" w:rsidR="00C1548D" w:rsidRDefault="009B1B4B">
            <w:pPr>
              <w:spacing w:line="250" w:lineRule="auto"/>
            </w:pPr>
            <w:r>
              <w:rPr>
                <w:sz w:val="18"/>
                <w:szCs w:val="18"/>
              </w:rPr>
              <w:t>immigration.govt.nz/visas/germany-working-holiday-visa</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4" w14:textId="77777777" w:rsidR="00C1548D" w:rsidRDefault="009B1B4B">
            <w:pPr>
              <w:spacing w:line="250" w:lineRule="auto"/>
            </w:pPr>
            <w:r>
              <w:rPr>
                <w:sz w:val="18"/>
                <w:szCs w:val="18"/>
              </w:rPr>
              <w:t>Working-Holiday-Visum für Deutsche</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5" w14:textId="77777777" w:rsidR="00C1548D" w:rsidRDefault="009B1B4B">
            <w:pPr>
              <w:spacing w:line="250" w:lineRule="auto"/>
            </w:pPr>
            <w:r>
              <w:rPr>
                <w:sz w:val="18"/>
                <w:szCs w:val="18"/>
              </w:rPr>
              <w:t>Neuseeland: Einwanderung</w:t>
            </w:r>
          </w:p>
        </w:tc>
      </w:tr>
      <w:tr w:rsidR="00C1548D" w14:paraId="70A51A8A"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7" w14:textId="77777777" w:rsidR="00C1548D" w:rsidRDefault="009B1B4B">
            <w:pPr>
              <w:spacing w:line="250" w:lineRule="auto"/>
            </w:pPr>
            <w:r>
              <w:rPr>
                <w:sz w:val="18"/>
                <w:szCs w:val="18"/>
              </w:rPr>
              <w:t>immigration.govt.nz/assets/inz/documents/forms-and-guides/Fees-Guide-INZ-1028.pdf</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8" w14:textId="77777777" w:rsidR="00C1548D" w:rsidRDefault="009B1B4B">
            <w:pPr>
              <w:spacing w:line="250" w:lineRule="auto"/>
            </w:pPr>
            <w:r>
              <w:rPr>
                <w:sz w:val="18"/>
                <w:szCs w:val="18"/>
              </w:rPr>
              <w:t>Fees Guide INZ 1028, vollständige Gebührentabelle</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9" w14:textId="77777777" w:rsidR="00C1548D" w:rsidRDefault="009B1B4B">
            <w:pPr>
              <w:spacing w:line="250" w:lineRule="auto"/>
            </w:pPr>
            <w:r>
              <w:rPr>
                <w:sz w:val="18"/>
                <w:szCs w:val="18"/>
              </w:rPr>
              <w:t>Neuseeland: Einwanderung</w:t>
            </w:r>
          </w:p>
        </w:tc>
      </w:tr>
      <w:tr w:rsidR="00C1548D" w14:paraId="70A51A8E"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B" w14:textId="77777777" w:rsidR="00C1548D" w:rsidRDefault="009B1B4B">
            <w:pPr>
              <w:spacing w:line="250" w:lineRule="auto"/>
            </w:pPr>
            <w:r>
              <w:rPr>
                <w:sz w:val="18"/>
                <w:szCs w:val="18"/>
              </w:rPr>
              <w:t>immigration.govt.nz (Gesundheits- und Charakteranforderungen)</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C" w14:textId="77777777" w:rsidR="00C1548D" w:rsidRDefault="009B1B4B">
            <w:pPr>
              <w:spacing w:line="250" w:lineRule="auto"/>
            </w:pPr>
            <w:r>
              <w:rPr>
                <w:sz w:val="18"/>
                <w:szCs w:val="18"/>
              </w:rPr>
              <w:t>Gesundheits- und Charakteranforderungen, Führungszeugnisse</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D" w14:textId="77777777" w:rsidR="00C1548D" w:rsidRDefault="009B1B4B">
            <w:pPr>
              <w:spacing w:line="250" w:lineRule="auto"/>
            </w:pPr>
            <w:r>
              <w:rPr>
                <w:sz w:val="18"/>
                <w:szCs w:val="18"/>
              </w:rPr>
              <w:t>Neuseeland: Einwanderung</w:t>
            </w:r>
          </w:p>
        </w:tc>
      </w:tr>
      <w:tr w:rsidR="00C1548D" w14:paraId="70A51A92"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8F" w14:textId="77777777" w:rsidR="00C1548D" w:rsidRDefault="009B1B4B">
            <w:pPr>
              <w:spacing w:line="250" w:lineRule="auto"/>
            </w:pPr>
            <w:r>
              <w:rPr>
                <w:sz w:val="18"/>
                <w:szCs w:val="18"/>
              </w:rPr>
              <w:t>immigration.govt.nz (SMC-Lohnschwellen)</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0" w14:textId="77777777" w:rsidR="00C1548D" w:rsidRDefault="009B1B4B">
            <w:pPr>
              <w:spacing w:line="250" w:lineRule="auto"/>
            </w:pPr>
            <w:r>
              <w:rPr>
                <w:sz w:val="18"/>
                <w:szCs w:val="18"/>
              </w:rPr>
              <w:t>SMC-Lohnschwellen</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1" w14:textId="77777777" w:rsidR="00C1548D" w:rsidRDefault="009B1B4B">
            <w:pPr>
              <w:spacing w:line="250" w:lineRule="auto"/>
            </w:pPr>
            <w:r>
              <w:rPr>
                <w:sz w:val="18"/>
                <w:szCs w:val="18"/>
              </w:rPr>
              <w:t>Neuseeland: Einwanderung</w:t>
            </w:r>
          </w:p>
        </w:tc>
      </w:tr>
      <w:tr w:rsidR="00C1548D" w14:paraId="70A51A96"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3" w14:textId="77777777" w:rsidR="00C1548D" w:rsidRDefault="009B1B4B">
            <w:pPr>
              <w:spacing w:line="250" w:lineRule="auto"/>
            </w:pPr>
            <w:r>
              <w:rPr>
                <w:sz w:val="18"/>
                <w:szCs w:val="18"/>
              </w:rPr>
              <w:t>immigration.govt.nz/new-zealand-visas/visas/visa/partner-of-a-new-zealander-resident-visa</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4" w14:textId="77777777" w:rsidR="00C1548D" w:rsidRDefault="009B1B4B">
            <w:pPr>
              <w:spacing w:line="250" w:lineRule="auto"/>
            </w:pPr>
            <w:r>
              <w:rPr>
                <w:sz w:val="18"/>
                <w:szCs w:val="18"/>
              </w:rPr>
              <w:t>Partnervisum</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5" w14:textId="77777777" w:rsidR="00C1548D" w:rsidRDefault="009B1B4B">
            <w:pPr>
              <w:spacing w:line="250" w:lineRule="auto"/>
            </w:pPr>
            <w:r>
              <w:rPr>
                <w:sz w:val="18"/>
                <w:szCs w:val="18"/>
              </w:rPr>
              <w:t>Neuseeland: Einwanderung</w:t>
            </w:r>
          </w:p>
        </w:tc>
      </w:tr>
      <w:tr w:rsidR="00C1548D" w14:paraId="70A51A9A"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7" w14:textId="77777777" w:rsidR="00C1548D" w:rsidRDefault="009B1B4B">
            <w:pPr>
              <w:spacing w:line="250" w:lineRule="auto"/>
            </w:pPr>
            <w:r>
              <w:rPr>
                <w:sz w:val="18"/>
                <w:szCs w:val="18"/>
              </w:rPr>
              <w:t>immigration.govt.nz (Newsroom: Business Investor Visa)</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8" w14:textId="77777777" w:rsidR="00C1548D" w:rsidRDefault="009B1B4B">
            <w:pPr>
              <w:spacing w:line="250" w:lineRule="auto"/>
            </w:pPr>
            <w:r>
              <w:rPr>
                <w:sz w:val="18"/>
                <w:szCs w:val="18"/>
              </w:rPr>
              <w:t>Entrepreneur-Kategorie geschlossen, Business Investor Visa</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9" w14:textId="77777777" w:rsidR="00C1548D" w:rsidRDefault="009B1B4B">
            <w:pPr>
              <w:spacing w:line="250" w:lineRule="auto"/>
            </w:pPr>
            <w:r>
              <w:rPr>
                <w:sz w:val="18"/>
                <w:szCs w:val="18"/>
              </w:rPr>
              <w:t>Neuseeland: Einwanderung</w:t>
            </w:r>
          </w:p>
        </w:tc>
      </w:tr>
      <w:tr w:rsidR="00C1548D" w14:paraId="70A51A9E"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B" w14:textId="77777777" w:rsidR="00C1548D" w:rsidRDefault="009B1B4B">
            <w:pPr>
              <w:spacing w:line="250" w:lineRule="auto"/>
            </w:pPr>
            <w:r>
              <w:rPr>
                <w:sz w:val="18"/>
                <w:szCs w:val="18"/>
              </w:rPr>
              <w:t>immigration.govt.nz/new-zealand-visas/visas/visa/active-investor-plus-visa</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C" w14:textId="77777777" w:rsidR="00C1548D" w:rsidRDefault="009B1B4B">
            <w:pPr>
              <w:spacing w:line="250" w:lineRule="auto"/>
            </w:pPr>
            <w:r>
              <w:rPr>
                <w:sz w:val="18"/>
                <w:szCs w:val="18"/>
              </w:rPr>
              <w:t>Investor Category / Active Investor Plus</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D" w14:textId="77777777" w:rsidR="00C1548D" w:rsidRDefault="009B1B4B">
            <w:pPr>
              <w:spacing w:line="250" w:lineRule="auto"/>
            </w:pPr>
            <w:r>
              <w:rPr>
                <w:sz w:val="18"/>
                <w:szCs w:val="18"/>
              </w:rPr>
              <w:t>Neuseeland: Einwanderung</w:t>
            </w:r>
          </w:p>
        </w:tc>
      </w:tr>
      <w:tr w:rsidR="00C1548D" w14:paraId="70A51AA2"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9F" w14:textId="77777777" w:rsidR="00C1548D" w:rsidRDefault="009B1B4B">
            <w:pPr>
              <w:spacing w:line="250" w:lineRule="auto"/>
            </w:pPr>
            <w:r>
              <w:rPr>
                <w:sz w:val="18"/>
                <w:szCs w:val="18"/>
              </w:rPr>
              <w:lastRenderedPageBreak/>
              <w:t>immigration.govt.nz/new-zealand-visas/visas/visa/parent-resident-visa</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0" w14:textId="77777777" w:rsidR="00C1548D" w:rsidRDefault="009B1B4B">
            <w:pPr>
              <w:spacing w:line="250" w:lineRule="auto"/>
            </w:pPr>
            <w:r>
              <w:rPr>
                <w:sz w:val="18"/>
                <w:szCs w:val="18"/>
              </w:rPr>
              <w:t>Eltern-Kategorien, Parent Boost Visitor Visa</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1" w14:textId="77777777" w:rsidR="00C1548D" w:rsidRDefault="009B1B4B">
            <w:pPr>
              <w:spacing w:line="250" w:lineRule="auto"/>
            </w:pPr>
            <w:r>
              <w:rPr>
                <w:sz w:val="18"/>
                <w:szCs w:val="18"/>
              </w:rPr>
              <w:t>Neuseeland: Einwanderung</w:t>
            </w:r>
          </w:p>
        </w:tc>
      </w:tr>
      <w:tr w:rsidR="00C1548D" w14:paraId="70A51AA6"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3" w14:textId="77777777" w:rsidR="00C1548D" w:rsidRDefault="009B1B4B">
            <w:pPr>
              <w:spacing w:line="250" w:lineRule="auto"/>
            </w:pPr>
            <w:r>
              <w:rPr>
                <w:sz w:val="18"/>
                <w:szCs w:val="18"/>
              </w:rPr>
              <w:t>workandincome.govt.nz</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4" w14:textId="77777777" w:rsidR="00C1548D" w:rsidRDefault="009B1B4B">
            <w:pPr>
              <w:spacing w:line="250" w:lineRule="auto"/>
            </w:pPr>
            <w:r>
              <w:rPr>
                <w:sz w:val="18"/>
                <w:szCs w:val="18"/>
              </w:rPr>
              <w:t>New Zealand Superannuation, Direct Deduction Policy</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5" w14:textId="77777777" w:rsidR="00C1548D" w:rsidRDefault="009B1B4B">
            <w:pPr>
              <w:spacing w:line="250" w:lineRule="auto"/>
            </w:pPr>
            <w:r>
              <w:rPr>
                <w:sz w:val="18"/>
                <w:szCs w:val="18"/>
              </w:rPr>
              <w:t>Neuseeland: Einwanderung</w:t>
            </w:r>
          </w:p>
        </w:tc>
      </w:tr>
      <w:tr w:rsidR="00C1548D" w14:paraId="70A51AAA"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7" w14:textId="77777777" w:rsidR="00C1548D" w:rsidRDefault="009B1B4B">
            <w:pPr>
              <w:spacing w:line="250" w:lineRule="auto"/>
            </w:pPr>
            <w:r>
              <w:rPr>
                <w:sz w:val="18"/>
                <w:szCs w:val="18"/>
              </w:rPr>
              <w:t>iaa.govt.nz</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8" w14:textId="77777777" w:rsidR="00C1548D" w:rsidRDefault="009B1B4B">
            <w:pPr>
              <w:spacing w:line="250" w:lineRule="auto"/>
            </w:pPr>
            <w:r>
              <w:rPr>
                <w:sz w:val="18"/>
                <w:szCs w:val="18"/>
              </w:rPr>
              <w:t>Immigration Advisers Authority, Register zugelassener Berater</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9" w14:textId="77777777" w:rsidR="00C1548D" w:rsidRDefault="009B1B4B">
            <w:pPr>
              <w:spacing w:line="250" w:lineRule="auto"/>
            </w:pPr>
            <w:r>
              <w:rPr>
                <w:sz w:val="18"/>
                <w:szCs w:val="18"/>
              </w:rPr>
              <w:t>Neuseeland: Einwanderung</w:t>
            </w:r>
          </w:p>
        </w:tc>
      </w:tr>
      <w:tr w:rsidR="00C1548D" w14:paraId="70A51AAE"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B" w14:textId="77777777" w:rsidR="00C1548D" w:rsidRDefault="009B1B4B">
            <w:pPr>
              <w:spacing w:line="250" w:lineRule="auto"/>
            </w:pPr>
            <w:r>
              <w:rPr>
                <w:sz w:val="18"/>
                <w:szCs w:val="18"/>
              </w:rPr>
              <w:t>travellerdeclaration.govt.nz</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C" w14:textId="77777777" w:rsidR="00C1548D" w:rsidRDefault="009B1B4B">
            <w:pPr>
              <w:spacing w:line="250" w:lineRule="auto"/>
            </w:pPr>
            <w:r>
              <w:rPr>
                <w:sz w:val="18"/>
                <w:szCs w:val="18"/>
              </w:rPr>
              <w:t>New Zealand Traveller Declaration</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D" w14:textId="77777777" w:rsidR="00C1548D" w:rsidRDefault="009B1B4B">
            <w:pPr>
              <w:spacing w:line="250" w:lineRule="auto"/>
            </w:pPr>
            <w:r>
              <w:rPr>
                <w:sz w:val="18"/>
                <w:szCs w:val="18"/>
              </w:rPr>
              <w:t>Neuseeland: Ankunft</w:t>
            </w:r>
          </w:p>
        </w:tc>
      </w:tr>
      <w:tr w:rsidR="00C1548D" w14:paraId="70A51AB2"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AF" w14:textId="77777777" w:rsidR="00C1548D" w:rsidRDefault="009B1B4B">
            <w:pPr>
              <w:spacing w:line="250" w:lineRule="auto"/>
            </w:pPr>
            <w:r>
              <w:rPr>
                <w:sz w:val="18"/>
                <w:szCs w:val="18"/>
              </w:rPr>
              <w:t>mpi.govt.nz</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B0" w14:textId="77777777" w:rsidR="00C1548D" w:rsidRDefault="009B1B4B">
            <w:pPr>
              <w:spacing w:line="250" w:lineRule="auto"/>
            </w:pPr>
            <w:r>
              <w:rPr>
                <w:sz w:val="18"/>
                <w:szCs w:val="18"/>
              </w:rPr>
              <w:t>Ministry for Primary Industries, Biosecurity bei der Einreise</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B1" w14:textId="77777777" w:rsidR="00C1548D" w:rsidRDefault="009B1B4B">
            <w:pPr>
              <w:spacing w:line="250" w:lineRule="auto"/>
            </w:pPr>
            <w:r>
              <w:rPr>
                <w:sz w:val="18"/>
                <w:szCs w:val="18"/>
              </w:rPr>
              <w:t>Neuseeland: Ankunft</w:t>
            </w:r>
          </w:p>
        </w:tc>
      </w:tr>
      <w:tr w:rsidR="00C1548D" w14:paraId="70A51AB6"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B3" w14:textId="77777777" w:rsidR="00C1548D" w:rsidRDefault="009B1B4B">
            <w:pPr>
              <w:spacing w:line="250" w:lineRule="auto"/>
            </w:pPr>
            <w:r>
              <w:rPr>
                <w:sz w:val="18"/>
                <w:szCs w:val="18"/>
              </w:rPr>
              <w:t>dia.govt.nz</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B4" w14:textId="77777777" w:rsidR="00C1548D" w:rsidRDefault="009B1B4B">
            <w:pPr>
              <w:spacing w:line="250" w:lineRule="auto"/>
            </w:pPr>
            <w:r>
              <w:rPr>
                <w:sz w:val="18"/>
                <w:szCs w:val="18"/>
              </w:rPr>
              <w:t>Citizenship by Grant: Voraussetzungen, Gebühren, Staatskundetest</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B5" w14:textId="77777777" w:rsidR="00C1548D" w:rsidRDefault="009B1B4B">
            <w:pPr>
              <w:spacing w:line="250" w:lineRule="auto"/>
            </w:pPr>
            <w:r>
              <w:rPr>
                <w:sz w:val="18"/>
                <w:szCs w:val="18"/>
              </w:rPr>
              <w:t>Neuseeland: Staatsbürgerschaft</w:t>
            </w:r>
          </w:p>
        </w:tc>
      </w:tr>
      <w:tr w:rsidR="00C1548D" w14:paraId="70A51ABA" w14:textId="77777777">
        <w:tblPrEx>
          <w:tblCellMar>
            <w:top w:w="0" w:type="dxa"/>
            <w:bottom w:w="0" w:type="dxa"/>
          </w:tblCellMar>
        </w:tblPrEx>
        <w:trPr>
          <w:cantSplit/>
        </w:trPr>
        <w:tc>
          <w:tcPr>
            <w:tcW w:w="25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B7" w14:textId="77777777" w:rsidR="00C1548D" w:rsidRDefault="009B1B4B">
            <w:pPr>
              <w:spacing w:line="250" w:lineRule="auto"/>
            </w:pPr>
            <w:r>
              <w:rPr>
                <w:sz w:val="18"/>
                <w:szCs w:val="18"/>
              </w:rPr>
              <w:t>bmi.bund.de</w:t>
            </w:r>
          </w:p>
        </w:tc>
        <w:tc>
          <w:tcPr>
            <w:tcW w:w="254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B8" w14:textId="77777777" w:rsidR="00C1548D" w:rsidRDefault="009B1B4B">
            <w:pPr>
              <w:spacing w:line="250" w:lineRule="auto"/>
            </w:pPr>
            <w:r>
              <w:rPr>
                <w:sz w:val="18"/>
                <w:szCs w:val="18"/>
              </w:rPr>
              <w:t>Staatsangehörigkeitsrecht, Reform 2024</w:t>
            </w:r>
          </w:p>
        </w:tc>
        <w:tc>
          <w:tcPr>
            <w:tcW w:w="13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B9" w14:textId="77777777" w:rsidR="00C1548D" w:rsidRDefault="009B1B4B">
            <w:pPr>
              <w:spacing w:line="250" w:lineRule="auto"/>
            </w:pPr>
            <w:r>
              <w:rPr>
                <w:sz w:val="18"/>
                <w:szCs w:val="18"/>
              </w:rPr>
              <w:t>Neuseeland: Staatsbürgerschaft</w:t>
            </w:r>
          </w:p>
        </w:tc>
      </w:tr>
    </w:tbl>
    <w:p w14:paraId="70A51ABB" w14:textId="77777777" w:rsidR="00C1548D" w:rsidRDefault="00C1548D">
      <w:pPr>
        <w:spacing w:line="180" w:lineRule="exact"/>
      </w:pPr>
    </w:p>
    <w:p w14:paraId="70A51ABC" w14:textId="77777777" w:rsidR="00C1548D" w:rsidRDefault="009B1B4B">
      <w:pPr>
        <w:pStyle w:val="Heading3"/>
        <w:keepNext/>
        <w:jc w:val="center"/>
      </w:pPr>
      <w:r>
        <w:rPr>
          <w:rFonts w:ascii="Amazon Ember" w:eastAsia="Amazon Ember" w:hAnsi="Amazon Ember" w:cs="Amazon Ember"/>
          <w:color w:val="0000FF"/>
          <w:sz w:val="36"/>
          <w:szCs w:val="36"/>
        </w:rPr>
        <w:t>Neuseeland: Steuern und Sozialversicherung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4"/>
        <w:gridCol w:w="3309"/>
        <w:gridCol w:w="1297"/>
      </w:tblGrid>
      <w:tr w:rsidR="00C1548D" w14:paraId="70A51AC0" w14:textId="77777777">
        <w:tblPrEx>
          <w:tblCellMar>
            <w:top w:w="0" w:type="dxa"/>
            <w:bottom w:w="0" w:type="dxa"/>
          </w:tblCellMar>
        </w:tblPrEx>
        <w:trPr>
          <w:cantSplit/>
          <w:tblHeader/>
        </w:trPr>
        <w:tc>
          <w:tcPr>
            <w:tcW w:w="187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BD" w14:textId="77777777" w:rsidR="00C1548D" w:rsidRDefault="009B1B4B">
            <w:pPr>
              <w:spacing w:line="250" w:lineRule="auto"/>
            </w:pPr>
            <w:r>
              <w:rPr>
                <w:b/>
                <w:bCs/>
                <w:sz w:val="18"/>
                <w:szCs w:val="18"/>
              </w:rPr>
              <w:t>Adresse</w:t>
            </w:r>
          </w:p>
        </w:tc>
        <w:tc>
          <w:tcPr>
            <w:tcW w:w="330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BE" w14:textId="77777777" w:rsidR="00C1548D" w:rsidRDefault="009B1B4B">
            <w:pPr>
              <w:spacing w:line="250" w:lineRule="auto"/>
            </w:pPr>
            <w:r>
              <w:rPr>
                <w:b/>
                <w:bCs/>
                <w:sz w:val="18"/>
                <w:szCs w:val="18"/>
              </w:rPr>
              <w:t>Behörde / Thema</w:t>
            </w:r>
          </w:p>
        </w:tc>
        <w:tc>
          <w:tcPr>
            <w:tcW w:w="12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BF" w14:textId="77777777" w:rsidR="00C1548D" w:rsidRDefault="009B1B4B">
            <w:pPr>
              <w:spacing w:line="250" w:lineRule="auto"/>
            </w:pPr>
            <w:r>
              <w:rPr>
                <w:b/>
                <w:bCs/>
                <w:sz w:val="18"/>
                <w:szCs w:val="18"/>
              </w:rPr>
              <w:t>Referenz</w:t>
            </w:r>
          </w:p>
        </w:tc>
      </w:tr>
      <w:tr w:rsidR="00C1548D" w14:paraId="70A51AC4" w14:textId="77777777">
        <w:tblPrEx>
          <w:tblCellMar>
            <w:top w:w="0" w:type="dxa"/>
            <w:bottom w:w="0" w:type="dxa"/>
          </w:tblCellMar>
        </w:tblPrEx>
        <w:trPr>
          <w:cantSplit/>
        </w:trPr>
        <w:tc>
          <w:tcPr>
            <w:tcW w:w="18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1" w14:textId="77777777" w:rsidR="00C1548D" w:rsidRDefault="009B1B4B">
            <w:pPr>
              <w:spacing w:line="250" w:lineRule="auto"/>
            </w:pPr>
            <w:r>
              <w:rPr>
                <w:sz w:val="18"/>
                <w:szCs w:val="18"/>
              </w:rPr>
              <w:t>ird.govt.nz</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2" w14:textId="77777777" w:rsidR="00C1548D" w:rsidRDefault="009B1B4B">
            <w:pPr>
              <w:spacing w:line="250" w:lineRule="auto"/>
            </w:pPr>
            <w:r>
              <w:rPr>
                <w:sz w:val="18"/>
                <w:szCs w:val="18"/>
              </w:rPr>
              <w:t>IRD-Nummer, Einkommensteuersätze, GST, Steuerresidenz, KiwiSaver</w:t>
            </w:r>
          </w:p>
        </w:tc>
        <w:tc>
          <w:tcPr>
            <w:tcW w:w="1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3" w14:textId="77777777" w:rsidR="00C1548D" w:rsidRDefault="009B1B4B">
            <w:pPr>
              <w:spacing w:line="250" w:lineRule="auto"/>
            </w:pPr>
            <w:r>
              <w:rPr>
                <w:sz w:val="18"/>
                <w:szCs w:val="18"/>
              </w:rPr>
              <w:t>Neuseeland: Steuern</w:t>
            </w:r>
          </w:p>
        </w:tc>
      </w:tr>
      <w:tr w:rsidR="00C1548D" w14:paraId="70A51AC8" w14:textId="77777777">
        <w:tblPrEx>
          <w:tblCellMar>
            <w:top w:w="0" w:type="dxa"/>
            <w:bottom w:w="0" w:type="dxa"/>
          </w:tblCellMar>
        </w:tblPrEx>
        <w:trPr>
          <w:cantSplit/>
        </w:trPr>
        <w:tc>
          <w:tcPr>
            <w:tcW w:w="18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5" w14:textId="77777777" w:rsidR="00C1548D" w:rsidRDefault="009B1B4B">
            <w:pPr>
              <w:spacing w:line="250" w:lineRule="auto"/>
            </w:pPr>
            <w:r>
              <w:rPr>
                <w:sz w:val="18"/>
                <w:szCs w:val="18"/>
              </w:rPr>
              <w:t>acc.co.nz</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6" w14:textId="77777777" w:rsidR="00C1548D" w:rsidRDefault="009B1B4B">
            <w:pPr>
              <w:spacing w:line="250" w:lineRule="auto"/>
            </w:pPr>
            <w:r>
              <w:rPr>
                <w:sz w:val="18"/>
                <w:szCs w:val="18"/>
              </w:rPr>
              <w:t>Leistungen und Finanzierung der Unfallversicherung (ACC)</w:t>
            </w:r>
          </w:p>
        </w:tc>
        <w:tc>
          <w:tcPr>
            <w:tcW w:w="1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7" w14:textId="77777777" w:rsidR="00C1548D" w:rsidRDefault="009B1B4B">
            <w:pPr>
              <w:spacing w:line="250" w:lineRule="auto"/>
            </w:pPr>
            <w:r>
              <w:rPr>
                <w:sz w:val="18"/>
                <w:szCs w:val="18"/>
              </w:rPr>
              <w:t>Neuseeland: Steuern</w:t>
            </w:r>
          </w:p>
        </w:tc>
      </w:tr>
      <w:tr w:rsidR="00C1548D" w14:paraId="70A51ACC" w14:textId="77777777">
        <w:tblPrEx>
          <w:tblCellMar>
            <w:top w:w="0" w:type="dxa"/>
            <w:bottom w:w="0" w:type="dxa"/>
          </w:tblCellMar>
        </w:tblPrEx>
        <w:trPr>
          <w:cantSplit/>
        </w:trPr>
        <w:tc>
          <w:tcPr>
            <w:tcW w:w="18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9" w14:textId="77777777" w:rsidR="00C1548D" w:rsidRDefault="009B1B4B">
            <w:pPr>
              <w:spacing w:line="250" w:lineRule="auto"/>
            </w:pPr>
            <w:r>
              <w:rPr>
                <w:sz w:val="18"/>
                <w:szCs w:val="18"/>
              </w:rPr>
              <w:t>centrix.co.nz, equifax.co.nz, illion.co.nz</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A" w14:textId="77777777" w:rsidR="00C1548D" w:rsidRDefault="009B1B4B">
            <w:pPr>
              <w:spacing w:line="250" w:lineRule="auto"/>
            </w:pPr>
            <w:r>
              <w:rPr>
                <w:sz w:val="18"/>
                <w:szCs w:val="18"/>
              </w:rPr>
              <w:t>Kostenlose Kreditauskunft und Score-Aufbau</w:t>
            </w:r>
          </w:p>
        </w:tc>
        <w:tc>
          <w:tcPr>
            <w:tcW w:w="1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B" w14:textId="77777777" w:rsidR="00C1548D" w:rsidRDefault="009B1B4B">
            <w:pPr>
              <w:spacing w:line="250" w:lineRule="auto"/>
            </w:pPr>
            <w:r>
              <w:rPr>
                <w:sz w:val="18"/>
                <w:szCs w:val="18"/>
              </w:rPr>
              <w:t>Neuseeland: Steuern</w:t>
            </w:r>
          </w:p>
        </w:tc>
      </w:tr>
      <w:tr w:rsidR="00C1548D" w14:paraId="70A51AD0" w14:textId="77777777">
        <w:tblPrEx>
          <w:tblCellMar>
            <w:top w:w="0" w:type="dxa"/>
            <w:bottom w:w="0" w:type="dxa"/>
          </w:tblCellMar>
        </w:tblPrEx>
        <w:trPr>
          <w:cantSplit/>
        </w:trPr>
        <w:tc>
          <w:tcPr>
            <w:tcW w:w="18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D" w14:textId="77777777" w:rsidR="00C1548D" w:rsidRDefault="009B1B4B">
            <w:pPr>
              <w:spacing w:line="250" w:lineRule="auto"/>
            </w:pPr>
            <w:r>
              <w:rPr>
                <w:sz w:val="18"/>
                <w:szCs w:val="18"/>
              </w:rPr>
              <w:t>anz.co.nz, asb.co.nz, westpac.co.nz, bnz.co.nz</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E" w14:textId="77777777" w:rsidR="00C1548D" w:rsidRDefault="009B1B4B">
            <w:pPr>
              <w:spacing w:line="250" w:lineRule="auto"/>
            </w:pPr>
            <w:r>
              <w:rPr>
                <w:sz w:val="18"/>
                <w:szCs w:val="18"/>
              </w:rPr>
              <w:t>Kontoeröffnung für Neuankömmlinge</w:t>
            </w:r>
          </w:p>
        </w:tc>
        <w:tc>
          <w:tcPr>
            <w:tcW w:w="1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CF" w14:textId="77777777" w:rsidR="00C1548D" w:rsidRDefault="009B1B4B">
            <w:pPr>
              <w:spacing w:line="250" w:lineRule="auto"/>
            </w:pPr>
            <w:r>
              <w:rPr>
                <w:sz w:val="18"/>
                <w:szCs w:val="18"/>
              </w:rPr>
              <w:t>Neuseeland: Steuern</w:t>
            </w:r>
          </w:p>
        </w:tc>
      </w:tr>
      <w:tr w:rsidR="00C1548D" w14:paraId="70A51AD4" w14:textId="77777777">
        <w:tblPrEx>
          <w:tblCellMar>
            <w:top w:w="0" w:type="dxa"/>
            <w:bottom w:w="0" w:type="dxa"/>
          </w:tblCellMar>
        </w:tblPrEx>
        <w:trPr>
          <w:cantSplit/>
        </w:trPr>
        <w:tc>
          <w:tcPr>
            <w:tcW w:w="18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D1" w14:textId="77777777" w:rsidR="00C1548D" w:rsidRDefault="009B1B4B">
            <w:pPr>
              <w:spacing w:line="250" w:lineRule="auto"/>
            </w:pPr>
            <w:r>
              <w:rPr>
                <w:sz w:val="18"/>
                <w:szCs w:val="18"/>
              </w:rPr>
              <w:t>govt.nz</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D2" w14:textId="77777777" w:rsidR="00C1548D" w:rsidRDefault="009B1B4B">
            <w:pPr>
              <w:spacing w:line="250" w:lineRule="auto"/>
            </w:pPr>
            <w:r>
              <w:rPr>
                <w:sz w:val="18"/>
                <w:szCs w:val="18"/>
              </w:rPr>
              <w:t>Unabhängige Verbraucherinformation zu Kreditreports</w:t>
            </w:r>
          </w:p>
        </w:tc>
        <w:tc>
          <w:tcPr>
            <w:tcW w:w="1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D3" w14:textId="77777777" w:rsidR="00C1548D" w:rsidRDefault="009B1B4B">
            <w:pPr>
              <w:spacing w:line="250" w:lineRule="auto"/>
            </w:pPr>
            <w:r>
              <w:rPr>
                <w:sz w:val="18"/>
                <w:szCs w:val="18"/>
              </w:rPr>
              <w:t>Neuseeland: Steuern</w:t>
            </w:r>
          </w:p>
        </w:tc>
      </w:tr>
      <w:tr w:rsidR="00C1548D" w14:paraId="70A51AD8" w14:textId="77777777">
        <w:tblPrEx>
          <w:tblCellMar>
            <w:top w:w="0" w:type="dxa"/>
            <w:bottom w:w="0" w:type="dxa"/>
          </w:tblCellMar>
        </w:tblPrEx>
        <w:trPr>
          <w:cantSplit/>
        </w:trPr>
        <w:tc>
          <w:tcPr>
            <w:tcW w:w="18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D5" w14:textId="77777777" w:rsidR="00C1548D" w:rsidRDefault="009B1B4B">
            <w:pPr>
              <w:spacing w:line="250" w:lineRule="auto"/>
            </w:pPr>
            <w:r>
              <w:rPr>
                <w:sz w:val="18"/>
                <w:szCs w:val="18"/>
              </w:rPr>
              <w:lastRenderedPageBreak/>
              <w:t>oecd.org</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D6" w14:textId="77777777" w:rsidR="00C1548D" w:rsidRDefault="009B1B4B">
            <w:pPr>
              <w:spacing w:line="250" w:lineRule="auto"/>
            </w:pPr>
            <w:r>
              <w:rPr>
                <w:sz w:val="18"/>
                <w:szCs w:val="18"/>
              </w:rPr>
              <w:t>Taxing Wages, Steuerkeil-Vergleich</w:t>
            </w:r>
          </w:p>
        </w:tc>
        <w:tc>
          <w:tcPr>
            <w:tcW w:w="1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D7" w14:textId="77777777" w:rsidR="00C1548D" w:rsidRDefault="009B1B4B">
            <w:pPr>
              <w:spacing w:line="250" w:lineRule="auto"/>
            </w:pPr>
            <w:r>
              <w:rPr>
                <w:sz w:val="18"/>
                <w:szCs w:val="18"/>
              </w:rPr>
              <w:t>Neuseeland: Steuern</w:t>
            </w:r>
          </w:p>
        </w:tc>
      </w:tr>
      <w:tr w:rsidR="00C1548D" w14:paraId="70A51ADC" w14:textId="77777777">
        <w:tblPrEx>
          <w:tblCellMar>
            <w:top w:w="0" w:type="dxa"/>
            <w:bottom w:w="0" w:type="dxa"/>
          </w:tblCellMar>
        </w:tblPrEx>
        <w:trPr>
          <w:cantSplit/>
        </w:trPr>
        <w:tc>
          <w:tcPr>
            <w:tcW w:w="187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D9" w14:textId="77777777" w:rsidR="00C1548D" w:rsidRDefault="009B1B4B">
            <w:pPr>
              <w:spacing w:line="250" w:lineRule="auto"/>
            </w:pPr>
            <w:r>
              <w:rPr>
                <w:sz w:val="18"/>
                <w:szCs w:val="18"/>
              </w:rPr>
              <w:t>numbeo.com</w:t>
            </w:r>
          </w:p>
        </w:tc>
        <w:tc>
          <w:tcPr>
            <w:tcW w:w="330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DA" w14:textId="77777777" w:rsidR="00C1548D" w:rsidRDefault="009B1B4B">
            <w:pPr>
              <w:spacing w:line="250" w:lineRule="auto"/>
            </w:pPr>
            <w:r>
              <w:rPr>
                <w:sz w:val="18"/>
                <w:szCs w:val="18"/>
              </w:rPr>
              <w:t>Lebenshaltungskosten im Städtevergleich</w:t>
            </w:r>
          </w:p>
        </w:tc>
        <w:tc>
          <w:tcPr>
            <w:tcW w:w="1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DB" w14:textId="77777777" w:rsidR="00C1548D" w:rsidRDefault="009B1B4B">
            <w:pPr>
              <w:spacing w:line="250" w:lineRule="auto"/>
            </w:pPr>
            <w:r>
              <w:rPr>
                <w:sz w:val="18"/>
                <w:szCs w:val="18"/>
              </w:rPr>
              <w:t>Neuseeland: Steuern</w:t>
            </w:r>
          </w:p>
        </w:tc>
      </w:tr>
    </w:tbl>
    <w:p w14:paraId="70A51ADD" w14:textId="77777777" w:rsidR="00C1548D" w:rsidRDefault="00C1548D">
      <w:pPr>
        <w:spacing w:line="180" w:lineRule="exact"/>
      </w:pPr>
    </w:p>
    <w:p w14:paraId="70A51ADE" w14:textId="77777777" w:rsidR="00C1548D" w:rsidRDefault="009B1B4B">
      <w:pPr>
        <w:pStyle w:val="Heading3"/>
        <w:keepNext/>
        <w:jc w:val="center"/>
      </w:pPr>
      <w:r>
        <w:rPr>
          <w:rFonts w:ascii="Amazon Ember" w:eastAsia="Amazon Ember" w:hAnsi="Amazon Ember" w:cs="Amazon Ember"/>
          <w:color w:val="0000FF"/>
          <w:sz w:val="36"/>
          <w:szCs w:val="36"/>
        </w:rPr>
        <w:t>Neuseeland: Gesundheit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6"/>
        <w:gridCol w:w="3297"/>
        <w:gridCol w:w="1477"/>
      </w:tblGrid>
      <w:tr w:rsidR="00C1548D" w14:paraId="70A51AE2" w14:textId="77777777">
        <w:tblPrEx>
          <w:tblCellMar>
            <w:top w:w="0" w:type="dxa"/>
            <w:bottom w:w="0" w:type="dxa"/>
          </w:tblCellMar>
        </w:tblPrEx>
        <w:trPr>
          <w:cantSplit/>
          <w:tblHeader/>
        </w:trPr>
        <w:tc>
          <w:tcPr>
            <w:tcW w:w="170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DF" w14:textId="77777777" w:rsidR="00C1548D" w:rsidRDefault="009B1B4B">
            <w:pPr>
              <w:spacing w:line="250" w:lineRule="auto"/>
            </w:pPr>
            <w:r>
              <w:rPr>
                <w:b/>
                <w:bCs/>
                <w:sz w:val="18"/>
                <w:szCs w:val="18"/>
              </w:rPr>
              <w:t>Adresse</w:t>
            </w:r>
          </w:p>
        </w:tc>
        <w:tc>
          <w:tcPr>
            <w:tcW w:w="32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E0" w14:textId="77777777" w:rsidR="00C1548D" w:rsidRDefault="009B1B4B">
            <w:pPr>
              <w:spacing w:line="250" w:lineRule="auto"/>
            </w:pPr>
            <w:r>
              <w:rPr>
                <w:b/>
                <w:bCs/>
                <w:sz w:val="18"/>
                <w:szCs w:val="18"/>
              </w:rPr>
              <w:t>Behörde / Thema</w:t>
            </w:r>
          </w:p>
        </w:tc>
        <w:tc>
          <w:tcPr>
            <w:tcW w:w="147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E1" w14:textId="77777777" w:rsidR="00C1548D" w:rsidRDefault="009B1B4B">
            <w:pPr>
              <w:spacing w:line="250" w:lineRule="auto"/>
            </w:pPr>
            <w:r>
              <w:rPr>
                <w:b/>
                <w:bCs/>
                <w:sz w:val="18"/>
                <w:szCs w:val="18"/>
              </w:rPr>
              <w:t>Referenz</w:t>
            </w:r>
          </w:p>
        </w:tc>
      </w:tr>
      <w:tr w:rsidR="00C1548D" w14:paraId="70A51AE6" w14:textId="77777777">
        <w:tblPrEx>
          <w:tblCellMar>
            <w:top w:w="0" w:type="dxa"/>
            <w:bottom w:w="0" w:type="dxa"/>
          </w:tblCellMar>
        </w:tblPrEx>
        <w:trPr>
          <w:cantSplit/>
        </w:trPr>
        <w:tc>
          <w:tcPr>
            <w:tcW w:w="17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E3" w14:textId="77777777" w:rsidR="00C1548D" w:rsidRDefault="009B1B4B">
            <w:pPr>
              <w:spacing w:line="250" w:lineRule="auto"/>
            </w:pPr>
            <w:r>
              <w:rPr>
                <w:sz w:val="18"/>
                <w:szCs w:val="18"/>
              </w:rPr>
              <w:t>health.govt.nz</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E4" w14:textId="77777777" w:rsidR="00C1548D" w:rsidRDefault="009B1B4B">
            <w:pPr>
              <w:spacing w:line="250" w:lineRule="auto"/>
            </w:pPr>
            <w:r>
              <w:rPr>
                <w:sz w:val="18"/>
                <w:szCs w:val="18"/>
              </w:rPr>
              <w:t>Ministry of Health, Aufbau des öffentlichen Gesundheitssystems</w:t>
            </w:r>
          </w:p>
        </w:tc>
        <w:tc>
          <w:tcPr>
            <w:tcW w:w="1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E5" w14:textId="77777777" w:rsidR="00C1548D" w:rsidRDefault="009B1B4B">
            <w:pPr>
              <w:spacing w:line="250" w:lineRule="auto"/>
            </w:pPr>
            <w:r>
              <w:rPr>
                <w:sz w:val="18"/>
                <w:szCs w:val="18"/>
              </w:rPr>
              <w:t>Neuseeland: Gesundheit</w:t>
            </w:r>
          </w:p>
        </w:tc>
      </w:tr>
      <w:tr w:rsidR="00C1548D" w14:paraId="70A51AEA" w14:textId="77777777">
        <w:tblPrEx>
          <w:tblCellMar>
            <w:top w:w="0" w:type="dxa"/>
            <w:bottom w:w="0" w:type="dxa"/>
          </w:tblCellMar>
        </w:tblPrEx>
        <w:trPr>
          <w:cantSplit/>
        </w:trPr>
        <w:tc>
          <w:tcPr>
            <w:tcW w:w="17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E7" w14:textId="77777777" w:rsidR="00C1548D" w:rsidRDefault="009B1B4B">
            <w:pPr>
              <w:spacing w:line="250" w:lineRule="auto"/>
            </w:pPr>
            <w:r>
              <w:rPr>
                <w:sz w:val="18"/>
                <w:szCs w:val="18"/>
              </w:rPr>
              <w:t>acc.co.nz (Leistungen im Unfallfall)</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E8" w14:textId="77777777" w:rsidR="00C1548D" w:rsidRDefault="009B1B4B">
            <w:pPr>
              <w:spacing w:line="250" w:lineRule="auto"/>
            </w:pPr>
            <w:r>
              <w:rPr>
                <w:sz w:val="18"/>
                <w:szCs w:val="18"/>
              </w:rPr>
              <w:t>ACC-Deckung, Earner’s Levy</w:t>
            </w:r>
          </w:p>
        </w:tc>
        <w:tc>
          <w:tcPr>
            <w:tcW w:w="1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E9" w14:textId="77777777" w:rsidR="00C1548D" w:rsidRDefault="009B1B4B">
            <w:pPr>
              <w:spacing w:line="250" w:lineRule="auto"/>
            </w:pPr>
            <w:r>
              <w:rPr>
                <w:sz w:val="18"/>
                <w:szCs w:val="18"/>
              </w:rPr>
              <w:t>Neuseeland: Gesundheit</w:t>
            </w:r>
          </w:p>
        </w:tc>
      </w:tr>
      <w:tr w:rsidR="00C1548D" w14:paraId="70A51AEE" w14:textId="77777777">
        <w:tblPrEx>
          <w:tblCellMar>
            <w:top w:w="0" w:type="dxa"/>
            <w:bottom w:w="0" w:type="dxa"/>
          </w:tblCellMar>
        </w:tblPrEx>
        <w:trPr>
          <w:cantSplit/>
        </w:trPr>
        <w:tc>
          <w:tcPr>
            <w:tcW w:w="17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EB" w14:textId="77777777" w:rsidR="00C1548D" w:rsidRDefault="009B1B4B">
            <w:pPr>
              <w:spacing w:line="250" w:lineRule="auto"/>
            </w:pPr>
            <w:r>
              <w:rPr>
                <w:sz w:val="18"/>
                <w:szCs w:val="18"/>
              </w:rPr>
              <w:t>southerncross.co.nz, nib.co.nz</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EC" w14:textId="77777777" w:rsidR="00C1548D" w:rsidRDefault="009B1B4B">
            <w:pPr>
              <w:spacing w:line="250" w:lineRule="auto"/>
            </w:pPr>
            <w:r>
              <w:rPr>
                <w:sz w:val="18"/>
                <w:szCs w:val="18"/>
              </w:rPr>
              <w:t>Private Krankenversicherungstarife für Neuankömmlinge</w:t>
            </w:r>
          </w:p>
        </w:tc>
        <w:tc>
          <w:tcPr>
            <w:tcW w:w="1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ED" w14:textId="77777777" w:rsidR="00C1548D" w:rsidRDefault="009B1B4B">
            <w:pPr>
              <w:spacing w:line="250" w:lineRule="auto"/>
            </w:pPr>
            <w:r>
              <w:rPr>
                <w:sz w:val="18"/>
                <w:szCs w:val="18"/>
              </w:rPr>
              <w:t>Neuseeland: Gesundheit</w:t>
            </w:r>
          </w:p>
        </w:tc>
      </w:tr>
      <w:tr w:rsidR="00C1548D" w14:paraId="70A51AF2" w14:textId="77777777">
        <w:tblPrEx>
          <w:tblCellMar>
            <w:top w:w="0" w:type="dxa"/>
            <w:bottom w:w="0" w:type="dxa"/>
          </w:tblCellMar>
        </w:tblPrEx>
        <w:trPr>
          <w:cantSplit/>
        </w:trPr>
        <w:tc>
          <w:tcPr>
            <w:tcW w:w="17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EF" w14:textId="77777777" w:rsidR="00C1548D" w:rsidRDefault="009B1B4B">
            <w:pPr>
              <w:spacing w:line="250" w:lineRule="auto"/>
            </w:pPr>
            <w:r>
              <w:rPr>
                <w:sz w:val="18"/>
                <w:szCs w:val="18"/>
              </w:rPr>
              <w:t>healthpoint.co.nz</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F0" w14:textId="77777777" w:rsidR="00C1548D" w:rsidRDefault="009B1B4B">
            <w:pPr>
              <w:spacing w:line="250" w:lineRule="auto"/>
            </w:pPr>
            <w:r>
              <w:rPr>
                <w:sz w:val="18"/>
                <w:szCs w:val="18"/>
              </w:rPr>
              <w:t>Verzeichnis von Hausarztpraxen und Gesundheitsdiensten nach Region</w:t>
            </w:r>
          </w:p>
        </w:tc>
        <w:tc>
          <w:tcPr>
            <w:tcW w:w="1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F1" w14:textId="77777777" w:rsidR="00C1548D" w:rsidRDefault="009B1B4B">
            <w:pPr>
              <w:spacing w:line="250" w:lineRule="auto"/>
            </w:pPr>
            <w:r>
              <w:rPr>
                <w:sz w:val="18"/>
                <w:szCs w:val="18"/>
              </w:rPr>
              <w:t>Neuseeland: Gesundheit</w:t>
            </w:r>
          </w:p>
        </w:tc>
      </w:tr>
      <w:tr w:rsidR="00C1548D" w14:paraId="70A51AF6" w14:textId="77777777">
        <w:tblPrEx>
          <w:tblCellMar>
            <w:top w:w="0" w:type="dxa"/>
            <w:bottom w:w="0" w:type="dxa"/>
          </w:tblCellMar>
        </w:tblPrEx>
        <w:trPr>
          <w:cantSplit/>
        </w:trPr>
        <w:tc>
          <w:tcPr>
            <w:tcW w:w="17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F3" w14:textId="77777777" w:rsidR="00C1548D" w:rsidRDefault="009B1B4B">
            <w:pPr>
              <w:spacing w:line="250" w:lineRule="auto"/>
            </w:pPr>
            <w:r>
              <w:rPr>
                <w:sz w:val="18"/>
                <w:szCs w:val="18"/>
              </w:rPr>
              <w:t>1737.org.nz</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F4" w14:textId="77777777" w:rsidR="00C1548D" w:rsidRDefault="009B1B4B">
            <w:pPr>
              <w:spacing w:line="250" w:lineRule="auto"/>
            </w:pPr>
            <w:r>
              <w:rPr>
                <w:sz w:val="18"/>
                <w:szCs w:val="18"/>
              </w:rPr>
              <w:t>Kostenlose Beratung rund um die Uhr</w:t>
            </w:r>
          </w:p>
        </w:tc>
        <w:tc>
          <w:tcPr>
            <w:tcW w:w="1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F5" w14:textId="77777777" w:rsidR="00C1548D" w:rsidRDefault="009B1B4B">
            <w:pPr>
              <w:spacing w:line="250" w:lineRule="auto"/>
            </w:pPr>
            <w:r>
              <w:rPr>
                <w:sz w:val="18"/>
                <w:szCs w:val="18"/>
              </w:rPr>
              <w:t>Neuseeland: Gesundheit</w:t>
            </w:r>
          </w:p>
        </w:tc>
      </w:tr>
      <w:tr w:rsidR="00C1548D" w14:paraId="70A51AFA" w14:textId="77777777">
        <w:tblPrEx>
          <w:tblCellMar>
            <w:top w:w="0" w:type="dxa"/>
            <w:bottom w:w="0" w:type="dxa"/>
          </w:tblCellMar>
        </w:tblPrEx>
        <w:trPr>
          <w:cantSplit/>
        </w:trPr>
        <w:tc>
          <w:tcPr>
            <w:tcW w:w="17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F7" w14:textId="77777777" w:rsidR="00C1548D" w:rsidRDefault="009B1B4B">
            <w:pPr>
              <w:spacing w:line="250" w:lineRule="auto"/>
            </w:pPr>
            <w:r>
              <w:rPr>
                <w:sz w:val="18"/>
                <w:szCs w:val="18"/>
              </w:rPr>
              <w:t>lifeline.org.nz</w:t>
            </w:r>
          </w:p>
        </w:tc>
        <w:tc>
          <w:tcPr>
            <w:tcW w:w="32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F8" w14:textId="77777777" w:rsidR="00C1548D" w:rsidRDefault="009B1B4B">
            <w:pPr>
              <w:spacing w:line="250" w:lineRule="auto"/>
            </w:pPr>
            <w:r>
              <w:rPr>
                <w:sz w:val="18"/>
                <w:szCs w:val="18"/>
              </w:rPr>
              <w:t>Krisenhilfe</w:t>
            </w:r>
          </w:p>
        </w:tc>
        <w:tc>
          <w:tcPr>
            <w:tcW w:w="147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AF9" w14:textId="77777777" w:rsidR="00C1548D" w:rsidRDefault="009B1B4B">
            <w:pPr>
              <w:spacing w:line="250" w:lineRule="auto"/>
            </w:pPr>
            <w:r>
              <w:rPr>
                <w:sz w:val="18"/>
                <w:szCs w:val="18"/>
              </w:rPr>
              <w:t>Neuseeland: Gesundheit</w:t>
            </w:r>
          </w:p>
        </w:tc>
      </w:tr>
    </w:tbl>
    <w:p w14:paraId="70A51AFB" w14:textId="77777777" w:rsidR="00C1548D" w:rsidRDefault="00C1548D">
      <w:pPr>
        <w:spacing w:line="180" w:lineRule="exact"/>
      </w:pPr>
    </w:p>
    <w:p w14:paraId="70A51AFC" w14:textId="77777777" w:rsidR="00C1548D" w:rsidRDefault="009B1B4B">
      <w:pPr>
        <w:pStyle w:val="Heading3"/>
        <w:keepNext/>
        <w:jc w:val="center"/>
      </w:pPr>
      <w:r>
        <w:rPr>
          <w:rFonts w:ascii="Amazon Ember" w:eastAsia="Amazon Ember" w:hAnsi="Amazon Ember" w:cs="Amazon Ember"/>
          <w:color w:val="0000FF"/>
          <w:sz w:val="36"/>
          <w:szCs w:val="36"/>
        </w:rPr>
        <w:t>Neuseeland: Wohnen und Führerschein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19"/>
        <w:gridCol w:w="3396"/>
        <w:gridCol w:w="1565"/>
      </w:tblGrid>
      <w:tr w:rsidR="00C1548D" w14:paraId="70A51B00" w14:textId="77777777">
        <w:tblPrEx>
          <w:tblCellMar>
            <w:top w:w="0" w:type="dxa"/>
            <w:bottom w:w="0" w:type="dxa"/>
          </w:tblCellMar>
        </w:tblPrEx>
        <w:trPr>
          <w:cantSplit/>
          <w:tblHeader/>
        </w:trPr>
        <w:tc>
          <w:tcPr>
            <w:tcW w:w="151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FD" w14:textId="77777777" w:rsidR="00C1548D" w:rsidRDefault="009B1B4B">
            <w:pPr>
              <w:spacing w:line="250" w:lineRule="auto"/>
            </w:pPr>
            <w:r>
              <w:rPr>
                <w:b/>
                <w:bCs/>
                <w:sz w:val="18"/>
                <w:szCs w:val="18"/>
              </w:rPr>
              <w:t>Adresse</w:t>
            </w:r>
          </w:p>
        </w:tc>
        <w:tc>
          <w:tcPr>
            <w:tcW w:w="339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FE" w14:textId="77777777" w:rsidR="00C1548D" w:rsidRDefault="009B1B4B">
            <w:pPr>
              <w:spacing w:line="250" w:lineRule="auto"/>
            </w:pPr>
            <w:r>
              <w:rPr>
                <w:b/>
                <w:bCs/>
                <w:sz w:val="18"/>
                <w:szCs w:val="18"/>
              </w:rPr>
              <w:t>Behörde / Thema</w:t>
            </w:r>
          </w:p>
        </w:tc>
        <w:tc>
          <w:tcPr>
            <w:tcW w:w="156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AFF" w14:textId="77777777" w:rsidR="00C1548D" w:rsidRDefault="009B1B4B">
            <w:pPr>
              <w:spacing w:line="250" w:lineRule="auto"/>
            </w:pPr>
            <w:r>
              <w:rPr>
                <w:b/>
                <w:bCs/>
                <w:sz w:val="18"/>
                <w:szCs w:val="18"/>
              </w:rPr>
              <w:t>Referenz</w:t>
            </w:r>
          </w:p>
        </w:tc>
      </w:tr>
      <w:tr w:rsidR="00C1548D" w14:paraId="70A51B04" w14:textId="77777777">
        <w:tblPrEx>
          <w:tblCellMar>
            <w:top w:w="0" w:type="dxa"/>
            <w:bottom w:w="0" w:type="dxa"/>
          </w:tblCellMar>
        </w:tblPrEx>
        <w:trPr>
          <w:cantSplit/>
        </w:trPr>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1" w14:textId="77777777" w:rsidR="00C1548D" w:rsidRDefault="009B1B4B">
            <w:pPr>
              <w:spacing w:line="250" w:lineRule="auto"/>
            </w:pPr>
            <w:r>
              <w:rPr>
                <w:sz w:val="18"/>
                <w:szCs w:val="18"/>
              </w:rPr>
              <w:t>tenancy.govt.nz</w:t>
            </w:r>
          </w:p>
        </w:tc>
        <w:tc>
          <w:tcPr>
            <w:tcW w:w="33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2" w14:textId="77777777" w:rsidR="00C1548D" w:rsidRDefault="009B1B4B">
            <w:pPr>
              <w:spacing w:line="250" w:lineRule="auto"/>
            </w:pPr>
            <w:r>
              <w:rPr>
                <w:sz w:val="18"/>
                <w:szCs w:val="18"/>
              </w:rPr>
              <w:t>Kaution, Mietrecht, Bond Hub</w:t>
            </w:r>
          </w:p>
        </w:tc>
        <w:tc>
          <w:tcPr>
            <w:tcW w:w="15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3" w14:textId="77777777" w:rsidR="00C1548D" w:rsidRDefault="009B1B4B">
            <w:pPr>
              <w:spacing w:line="250" w:lineRule="auto"/>
            </w:pPr>
            <w:r>
              <w:rPr>
                <w:sz w:val="18"/>
                <w:szCs w:val="18"/>
              </w:rPr>
              <w:t>Neuseeland: Wohnen</w:t>
            </w:r>
          </w:p>
        </w:tc>
      </w:tr>
      <w:tr w:rsidR="00C1548D" w14:paraId="70A51B08" w14:textId="77777777">
        <w:tblPrEx>
          <w:tblCellMar>
            <w:top w:w="0" w:type="dxa"/>
            <w:bottom w:w="0" w:type="dxa"/>
          </w:tblCellMar>
        </w:tblPrEx>
        <w:trPr>
          <w:cantSplit/>
        </w:trPr>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5" w14:textId="77777777" w:rsidR="00C1548D" w:rsidRDefault="009B1B4B">
            <w:pPr>
              <w:spacing w:line="250" w:lineRule="auto"/>
            </w:pPr>
            <w:r>
              <w:rPr>
                <w:sz w:val="18"/>
                <w:szCs w:val="18"/>
              </w:rPr>
              <w:t>linz.govt.nz</w:t>
            </w:r>
          </w:p>
        </w:tc>
        <w:tc>
          <w:tcPr>
            <w:tcW w:w="33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6" w14:textId="77777777" w:rsidR="00C1548D" w:rsidRDefault="009B1B4B">
            <w:pPr>
              <w:spacing w:line="250" w:lineRule="auto"/>
            </w:pPr>
            <w:r>
              <w:rPr>
                <w:sz w:val="18"/>
                <w:szCs w:val="18"/>
              </w:rPr>
              <w:t>Land Information New Zealand, Overseas Investment Act, „ordinarily resident“-Kriterien</w:t>
            </w:r>
          </w:p>
        </w:tc>
        <w:tc>
          <w:tcPr>
            <w:tcW w:w="15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7" w14:textId="77777777" w:rsidR="00C1548D" w:rsidRDefault="009B1B4B">
            <w:pPr>
              <w:spacing w:line="250" w:lineRule="auto"/>
            </w:pPr>
            <w:r>
              <w:rPr>
                <w:sz w:val="18"/>
                <w:szCs w:val="18"/>
              </w:rPr>
              <w:t>Neuseeland: Wohnen</w:t>
            </w:r>
          </w:p>
        </w:tc>
      </w:tr>
      <w:tr w:rsidR="00C1548D" w14:paraId="70A51B0C" w14:textId="77777777">
        <w:tblPrEx>
          <w:tblCellMar>
            <w:top w:w="0" w:type="dxa"/>
            <w:bottom w:w="0" w:type="dxa"/>
          </w:tblCellMar>
        </w:tblPrEx>
        <w:trPr>
          <w:cantSplit/>
        </w:trPr>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9" w14:textId="77777777" w:rsidR="00C1548D" w:rsidRDefault="009B1B4B">
            <w:pPr>
              <w:spacing w:line="250" w:lineRule="auto"/>
            </w:pPr>
            <w:r>
              <w:rPr>
                <w:sz w:val="18"/>
                <w:szCs w:val="18"/>
              </w:rPr>
              <w:t>reinz.co.nz</w:t>
            </w:r>
          </w:p>
        </w:tc>
        <w:tc>
          <w:tcPr>
            <w:tcW w:w="33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A" w14:textId="77777777" w:rsidR="00C1548D" w:rsidRDefault="009B1B4B">
            <w:pPr>
              <w:spacing w:line="250" w:lineRule="auto"/>
            </w:pPr>
            <w:r>
              <w:rPr>
                <w:sz w:val="18"/>
                <w:szCs w:val="18"/>
              </w:rPr>
              <w:t>Monatliche Kaufpreisberichte</w:t>
            </w:r>
          </w:p>
        </w:tc>
        <w:tc>
          <w:tcPr>
            <w:tcW w:w="15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B" w14:textId="77777777" w:rsidR="00C1548D" w:rsidRDefault="009B1B4B">
            <w:pPr>
              <w:spacing w:line="250" w:lineRule="auto"/>
            </w:pPr>
            <w:r>
              <w:rPr>
                <w:sz w:val="18"/>
                <w:szCs w:val="18"/>
              </w:rPr>
              <w:t>Neuseeland: Wohnen</w:t>
            </w:r>
          </w:p>
        </w:tc>
      </w:tr>
      <w:tr w:rsidR="00C1548D" w14:paraId="70A51B10" w14:textId="77777777">
        <w:tblPrEx>
          <w:tblCellMar>
            <w:top w:w="0" w:type="dxa"/>
            <w:bottom w:w="0" w:type="dxa"/>
          </w:tblCellMar>
        </w:tblPrEx>
        <w:trPr>
          <w:cantSplit/>
        </w:trPr>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D" w14:textId="77777777" w:rsidR="00C1548D" w:rsidRDefault="009B1B4B">
            <w:pPr>
              <w:spacing w:line="250" w:lineRule="auto"/>
            </w:pPr>
            <w:r>
              <w:rPr>
                <w:sz w:val="18"/>
                <w:szCs w:val="18"/>
              </w:rPr>
              <w:t>naturalhazards.govt.nz</w:t>
            </w:r>
          </w:p>
        </w:tc>
        <w:tc>
          <w:tcPr>
            <w:tcW w:w="33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E" w14:textId="77777777" w:rsidR="00C1548D" w:rsidRDefault="009B1B4B">
            <w:pPr>
              <w:spacing w:line="250" w:lineRule="auto"/>
            </w:pPr>
            <w:r>
              <w:rPr>
                <w:sz w:val="18"/>
                <w:szCs w:val="18"/>
              </w:rPr>
              <w:t>Natural Hazards Commission Toka Tū Ake, Erdbebenversicherung</w:t>
            </w:r>
          </w:p>
        </w:tc>
        <w:tc>
          <w:tcPr>
            <w:tcW w:w="15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0F" w14:textId="77777777" w:rsidR="00C1548D" w:rsidRDefault="009B1B4B">
            <w:pPr>
              <w:spacing w:line="250" w:lineRule="auto"/>
            </w:pPr>
            <w:r>
              <w:rPr>
                <w:sz w:val="18"/>
                <w:szCs w:val="18"/>
              </w:rPr>
              <w:t>Neuseeland: Wohnen</w:t>
            </w:r>
          </w:p>
        </w:tc>
      </w:tr>
      <w:tr w:rsidR="00C1548D" w14:paraId="70A51B14" w14:textId="77777777">
        <w:tblPrEx>
          <w:tblCellMar>
            <w:top w:w="0" w:type="dxa"/>
            <w:bottom w:w="0" w:type="dxa"/>
          </w:tblCellMar>
        </w:tblPrEx>
        <w:trPr>
          <w:cantSplit/>
        </w:trPr>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1" w14:textId="77777777" w:rsidR="00C1548D" w:rsidRDefault="009B1B4B">
            <w:pPr>
              <w:spacing w:line="250" w:lineRule="auto"/>
            </w:pPr>
            <w:r>
              <w:rPr>
                <w:sz w:val="18"/>
                <w:szCs w:val="18"/>
              </w:rPr>
              <w:lastRenderedPageBreak/>
              <w:t>nzta.govt.nz</w:t>
            </w:r>
          </w:p>
        </w:tc>
        <w:tc>
          <w:tcPr>
            <w:tcW w:w="33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2" w14:textId="77777777" w:rsidR="00C1548D" w:rsidRDefault="009B1B4B">
            <w:pPr>
              <w:spacing w:line="250" w:lineRule="auto"/>
            </w:pPr>
            <w:r>
              <w:rPr>
                <w:sz w:val="18"/>
                <w:szCs w:val="18"/>
              </w:rPr>
              <w:t>NZ Transport Agency Waka Kotahi: Führerschein-Umtausch, Verkehrsregeln, Geschwindigkeitskameras</w:t>
            </w:r>
          </w:p>
        </w:tc>
        <w:tc>
          <w:tcPr>
            <w:tcW w:w="15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3" w14:textId="77777777" w:rsidR="00C1548D" w:rsidRDefault="009B1B4B">
            <w:pPr>
              <w:spacing w:line="250" w:lineRule="auto"/>
            </w:pPr>
            <w:r>
              <w:rPr>
                <w:sz w:val="18"/>
                <w:szCs w:val="18"/>
              </w:rPr>
              <w:t>Neuseeland: Führerschein</w:t>
            </w:r>
          </w:p>
        </w:tc>
      </w:tr>
      <w:tr w:rsidR="00C1548D" w14:paraId="70A51B18" w14:textId="77777777">
        <w:tblPrEx>
          <w:tblCellMar>
            <w:top w:w="0" w:type="dxa"/>
            <w:bottom w:w="0" w:type="dxa"/>
          </w:tblCellMar>
        </w:tblPrEx>
        <w:trPr>
          <w:cantSplit/>
        </w:trPr>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5" w14:textId="77777777" w:rsidR="00C1548D" w:rsidRDefault="009B1B4B">
            <w:pPr>
              <w:spacing w:line="250" w:lineRule="auto"/>
            </w:pPr>
            <w:r>
              <w:rPr>
                <w:sz w:val="18"/>
                <w:szCs w:val="18"/>
              </w:rPr>
              <w:t>aa.co.nz</w:t>
            </w:r>
          </w:p>
        </w:tc>
        <w:tc>
          <w:tcPr>
            <w:tcW w:w="33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6" w14:textId="77777777" w:rsidR="00C1548D" w:rsidRDefault="009B1B4B">
            <w:pPr>
              <w:spacing w:line="250" w:lineRule="auto"/>
            </w:pPr>
            <w:r>
              <w:rPr>
                <w:sz w:val="18"/>
                <w:szCs w:val="18"/>
              </w:rPr>
              <w:t>Automobile Association: Fahrzeugkauf, -prüfung, Umtauschstellen</w:t>
            </w:r>
          </w:p>
        </w:tc>
        <w:tc>
          <w:tcPr>
            <w:tcW w:w="15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7" w14:textId="77777777" w:rsidR="00C1548D" w:rsidRDefault="009B1B4B">
            <w:pPr>
              <w:spacing w:line="250" w:lineRule="auto"/>
            </w:pPr>
            <w:r>
              <w:rPr>
                <w:sz w:val="18"/>
                <w:szCs w:val="18"/>
              </w:rPr>
              <w:t>Neuseeland: Führerschein</w:t>
            </w:r>
          </w:p>
        </w:tc>
      </w:tr>
      <w:tr w:rsidR="00C1548D" w14:paraId="70A51B1C" w14:textId="77777777">
        <w:tblPrEx>
          <w:tblCellMar>
            <w:top w:w="0" w:type="dxa"/>
            <w:bottom w:w="0" w:type="dxa"/>
          </w:tblCellMar>
        </w:tblPrEx>
        <w:trPr>
          <w:cantSplit/>
        </w:trPr>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9" w14:textId="77777777" w:rsidR="00C1548D" w:rsidRDefault="009B1B4B">
            <w:pPr>
              <w:spacing w:line="250" w:lineRule="auto"/>
            </w:pPr>
            <w:r>
              <w:rPr>
                <w:sz w:val="18"/>
                <w:szCs w:val="18"/>
              </w:rPr>
              <w:t>transport.govt.nz</w:t>
            </w:r>
          </w:p>
        </w:tc>
        <w:tc>
          <w:tcPr>
            <w:tcW w:w="33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A" w14:textId="77777777" w:rsidR="00C1548D" w:rsidRDefault="009B1B4B">
            <w:pPr>
              <w:spacing w:line="250" w:lineRule="auto"/>
            </w:pPr>
            <w:r>
              <w:rPr>
                <w:sz w:val="18"/>
                <w:szCs w:val="18"/>
              </w:rPr>
              <w:t>Alkoholgrenzwerte und Verkehrssicherheit</w:t>
            </w:r>
          </w:p>
        </w:tc>
        <w:tc>
          <w:tcPr>
            <w:tcW w:w="15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B" w14:textId="77777777" w:rsidR="00C1548D" w:rsidRDefault="009B1B4B">
            <w:pPr>
              <w:spacing w:line="250" w:lineRule="auto"/>
            </w:pPr>
            <w:r>
              <w:rPr>
                <w:sz w:val="18"/>
                <w:szCs w:val="18"/>
              </w:rPr>
              <w:t>Neuseeland: Führerschein</w:t>
            </w:r>
          </w:p>
        </w:tc>
      </w:tr>
      <w:tr w:rsidR="00C1548D" w14:paraId="70A51B20" w14:textId="77777777">
        <w:tblPrEx>
          <w:tblCellMar>
            <w:top w:w="0" w:type="dxa"/>
            <w:bottom w:w="0" w:type="dxa"/>
          </w:tblCellMar>
        </w:tblPrEx>
        <w:trPr>
          <w:cantSplit/>
        </w:trPr>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D" w14:textId="77777777" w:rsidR="00C1548D" w:rsidRDefault="009B1B4B">
            <w:pPr>
              <w:spacing w:line="250" w:lineRule="auto"/>
            </w:pPr>
            <w:r>
              <w:rPr>
                <w:sz w:val="18"/>
                <w:szCs w:val="18"/>
              </w:rPr>
              <w:t>consumerprotection.govt.nz</w:t>
            </w:r>
          </w:p>
        </w:tc>
        <w:tc>
          <w:tcPr>
            <w:tcW w:w="33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E" w14:textId="77777777" w:rsidR="00C1548D" w:rsidRDefault="009B1B4B">
            <w:pPr>
              <w:spacing w:line="250" w:lineRule="auto"/>
            </w:pPr>
            <w:r>
              <w:rPr>
                <w:sz w:val="18"/>
                <w:szCs w:val="18"/>
              </w:rPr>
              <w:t>Rechte beim Fahrzeugkauf</w:t>
            </w:r>
          </w:p>
        </w:tc>
        <w:tc>
          <w:tcPr>
            <w:tcW w:w="15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1F" w14:textId="77777777" w:rsidR="00C1548D" w:rsidRDefault="009B1B4B">
            <w:pPr>
              <w:spacing w:line="250" w:lineRule="auto"/>
            </w:pPr>
            <w:r>
              <w:rPr>
                <w:sz w:val="18"/>
                <w:szCs w:val="18"/>
              </w:rPr>
              <w:t>Neuseeland: Führerschein</w:t>
            </w:r>
          </w:p>
        </w:tc>
      </w:tr>
      <w:tr w:rsidR="00C1548D" w14:paraId="70A51B24" w14:textId="77777777">
        <w:tblPrEx>
          <w:tblCellMar>
            <w:top w:w="0" w:type="dxa"/>
            <w:bottom w:w="0" w:type="dxa"/>
          </w:tblCellMar>
        </w:tblPrEx>
        <w:trPr>
          <w:cantSplit/>
        </w:trPr>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21" w14:textId="77777777" w:rsidR="00C1548D" w:rsidRDefault="009B1B4B">
            <w:pPr>
              <w:spacing w:line="250" w:lineRule="auto"/>
            </w:pPr>
            <w:r>
              <w:rPr>
                <w:sz w:val="18"/>
                <w:szCs w:val="18"/>
              </w:rPr>
              <w:t>police.govt.nz (Verkehrsregeln)</w:t>
            </w:r>
          </w:p>
        </w:tc>
        <w:tc>
          <w:tcPr>
            <w:tcW w:w="339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22" w14:textId="77777777" w:rsidR="00C1548D" w:rsidRDefault="009B1B4B">
            <w:pPr>
              <w:spacing w:line="250" w:lineRule="auto"/>
            </w:pPr>
            <w:r>
              <w:rPr>
                <w:sz w:val="18"/>
                <w:szCs w:val="18"/>
              </w:rPr>
              <w:t>Verkehrsregeln, Bußgelder, Demeritpunkte</w:t>
            </w:r>
          </w:p>
        </w:tc>
        <w:tc>
          <w:tcPr>
            <w:tcW w:w="156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23" w14:textId="77777777" w:rsidR="00C1548D" w:rsidRDefault="009B1B4B">
            <w:pPr>
              <w:spacing w:line="250" w:lineRule="auto"/>
            </w:pPr>
            <w:r>
              <w:rPr>
                <w:sz w:val="18"/>
                <w:szCs w:val="18"/>
              </w:rPr>
              <w:t>Neuseeland: Führerschein</w:t>
            </w:r>
          </w:p>
        </w:tc>
      </w:tr>
    </w:tbl>
    <w:p w14:paraId="70A51B25" w14:textId="77777777" w:rsidR="00C1548D" w:rsidRDefault="00C1548D">
      <w:pPr>
        <w:spacing w:line="180" w:lineRule="exact"/>
      </w:pPr>
    </w:p>
    <w:p w14:paraId="70A51B26" w14:textId="77777777" w:rsidR="00C1548D" w:rsidRDefault="009B1B4B">
      <w:pPr>
        <w:pStyle w:val="Heading3"/>
        <w:keepNext/>
        <w:jc w:val="center"/>
      </w:pPr>
      <w:r>
        <w:rPr>
          <w:rFonts w:ascii="Amazon Ember" w:eastAsia="Amazon Ember" w:hAnsi="Amazon Ember" w:cs="Amazon Ember"/>
          <w:color w:val="0000FF"/>
          <w:sz w:val="36"/>
          <w:szCs w:val="36"/>
        </w:rPr>
        <w:t>Neuseeland: Recht und Sicherheit</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98"/>
        <w:gridCol w:w="2634"/>
        <w:gridCol w:w="1948"/>
      </w:tblGrid>
      <w:tr w:rsidR="00C1548D" w14:paraId="70A51B2A" w14:textId="77777777">
        <w:tblPrEx>
          <w:tblCellMar>
            <w:top w:w="0" w:type="dxa"/>
            <w:bottom w:w="0" w:type="dxa"/>
          </w:tblCellMar>
        </w:tblPrEx>
        <w:trPr>
          <w:cantSplit/>
          <w:tblHeader/>
        </w:trPr>
        <w:tc>
          <w:tcPr>
            <w:tcW w:w="189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27" w14:textId="77777777" w:rsidR="00C1548D" w:rsidRDefault="009B1B4B">
            <w:pPr>
              <w:spacing w:line="250" w:lineRule="auto"/>
            </w:pPr>
            <w:r>
              <w:rPr>
                <w:b/>
                <w:bCs/>
                <w:sz w:val="18"/>
                <w:szCs w:val="18"/>
              </w:rPr>
              <w:t>Adresse</w:t>
            </w:r>
          </w:p>
        </w:tc>
        <w:tc>
          <w:tcPr>
            <w:tcW w:w="263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28" w14:textId="77777777" w:rsidR="00C1548D" w:rsidRDefault="009B1B4B">
            <w:pPr>
              <w:spacing w:line="250" w:lineRule="auto"/>
            </w:pPr>
            <w:r>
              <w:rPr>
                <w:b/>
                <w:bCs/>
                <w:sz w:val="18"/>
                <w:szCs w:val="18"/>
              </w:rPr>
              <w:t>Behörde / Thema</w:t>
            </w:r>
          </w:p>
        </w:tc>
        <w:tc>
          <w:tcPr>
            <w:tcW w:w="194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29" w14:textId="77777777" w:rsidR="00C1548D" w:rsidRDefault="009B1B4B">
            <w:pPr>
              <w:spacing w:line="250" w:lineRule="auto"/>
            </w:pPr>
            <w:r>
              <w:rPr>
                <w:b/>
                <w:bCs/>
                <w:sz w:val="18"/>
                <w:szCs w:val="18"/>
              </w:rPr>
              <w:t>Referenz</w:t>
            </w:r>
          </w:p>
        </w:tc>
      </w:tr>
      <w:tr w:rsidR="00C1548D" w14:paraId="70A51B2E" w14:textId="77777777">
        <w:tblPrEx>
          <w:tblCellMar>
            <w:top w:w="0" w:type="dxa"/>
            <w:bottom w:w="0" w:type="dxa"/>
          </w:tblCellMar>
        </w:tblPrEx>
        <w:trPr>
          <w:cantSplit/>
        </w:trPr>
        <w:tc>
          <w:tcPr>
            <w:tcW w:w="1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2B" w14:textId="77777777" w:rsidR="00C1548D" w:rsidRDefault="009B1B4B">
            <w:pPr>
              <w:spacing w:line="250" w:lineRule="auto"/>
            </w:pPr>
            <w:r>
              <w:rPr>
                <w:sz w:val="18"/>
                <w:szCs w:val="18"/>
              </w:rPr>
              <w:t>police.govt.nz (Verhalten bei Kontrollen)</w:t>
            </w:r>
          </w:p>
        </w:tc>
        <w:tc>
          <w:tcPr>
            <w:tcW w:w="26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2C" w14:textId="77777777" w:rsidR="00C1548D" w:rsidRDefault="009B1B4B">
            <w:pPr>
              <w:spacing w:line="250" w:lineRule="auto"/>
            </w:pPr>
            <w:r>
              <w:rPr>
                <w:sz w:val="18"/>
                <w:szCs w:val="18"/>
              </w:rPr>
              <w:t>Verhalten bei Polizeikontrollen, Notrufnummern</w:t>
            </w:r>
          </w:p>
        </w:tc>
        <w:tc>
          <w:tcPr>
            <w:tcW w:w="19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2D" w14:textId="77777777" w:rsidR="00C1548D" w:rsidRDefault="009B1B4B">
            <w:pPr>
              <w:spacing w:line="250" w:lineRule="auto"/>
            </w:pPr>
            <w:r>
              <w:rPr>
                <w:sz w:val="18"/>
                <w:szCs w:val="18"/>
              </w:rPr>
              <w:t>Neuseeland: Recht und Sicherheit</w:t>
            </w:r>
          </w:p>
        </w:tc>
      </w:tr>
      <w:tr w:rsidR="00C1548D" w14:paraId="70A51B32" w14:textId="77777777">
        <w:tblPrEx>
          <w:tblCellMar>
            <w:top w:w="0" w:type="dxa"/>
            <w:bottom w:w="0" w:type="dxa"/>
          </w:tblCellMar>
        </w:tblPrEx>
        <w:trPr>
          <w:cantSplit/>
        </w:trPr>
        <w:tc>
          <w:tcPr>
            <w:tcW w:w="1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2F" w14:textId="77777777" w:rsidR="00C1548D" w:rsidRDefault="009B1B4B">
            <w:pPr>
              <w:spacing w:line="250" w:lineRule="auto"/>
            </w:pPr>
            <w:r>
              <w:rPr>
                <w:sz w:val="18"/>
                <w:szCs w:val="18"/>
              </w:rPr>
              <w:t>firearmssafety.govt.nz</w:t>
            </w:r>
          </w:p>
        </w:tc>
        <w:tc>
          <w:tcPr>
            <w:tcW w:w="26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0" w14:textId="77777777" w:rsidR="00C1548D" w:rsidRDefault="009B1B4B">
            <w:pPr>
              <w:spacing w:line="250" w:lineRule="auto"/>
            </w:pPr>
            <w:r>
              <w:rPr>
                <w:sz w:val="18"/>
                <w:szCs w:val="18"/>
              </w:rPr>
              <w:t>Waffenrecht, Arms Act 2026</w:t>
            </w:r>
          </w:p>
        </w:tc>
        <w:tc>
          <w:tcPr>
            <w:tcW w:w="19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1" w14:textId="77777777" w:rsidR="00C1548D" w:rsidRDefault="009B1B4B">
            <w:pPr>
              <w:spacing w:line="250" w:lineRule="auto"/>
            </w:pPr>
            <w:r>
              <w:rPr>
                <w:sz w:val="18"/>
                <w:szCs w:val="18"/>
              </w:rPr>
              <w:t>Neuseeland: Recht und Sicherheit</w:t>
            </w:r>
          </w:p>
        </w:tc>
      </w:tr>
      <w:tr w:rsidR="00C1548D" w14:paraId="70A51B36" w14:textId="77777777">
        <w:tblPrEx>
          <w:tblCellMar>
            <w:top w:w="0" w:type="dxa"/>
            <w:bottom w:w="0" w:type="dxa"/>
          </w:tblCellMar>
        </w:tblPrEx>
        <w:trPr>
          <w:cantSplit/>
        </w:trPr>
        <w:tc>
          <w:tcPr>
            <w:tcW w:w="1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3" w14:textId="77777777" w:rsidR="00C1548D" w:rsidRDefault="009B1B4B">
            <w:pPr>
              <w:spacing w:line="250" w:lineRule="auto"/>
            </w:pPr>
            <w:r>
              <w:rPr>
                <w:sz w:val="18"/>
                <w:szCs w:val="18"/>
              </w:rPr>
              <w:t>justice.govt.nz</w:t>
            </w:r>
          </w:p>
        </w:tc>
        <w:tc>
          <w:tcPr>
            <w:tcW w:w="26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4" w14:textId="77777777" w:rsidR="00C1548D" w:rsidRDefault="009B1B4B">
            <w:pPr>
              <w:spacing w:line="250" w:lineRule="auto"/>
            </w:pPr>
            <w:r>
              <w:rPr>
                <w:sz w:val="18"/>
                <w:szCs w:val="18"/>
              </w:rPr>
              <w:t>Firearms Reform, Arms Act 2026</w:t>
            </w:r>
          </w:p>
        </w:tc>
        <w:tc>
          <w:tcPr>
            <w:tcW w:w="19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5" w14:textId="77777777" w:rsidR="00C1548D" w:rsidRDefault="009B1B4B">
            <w:pPr>
              <w:spacing w:line="250" w:lineRule="auto"/>
            </w:pPr>
            <w:r>
              <w:rPr>
                <w:sz w:val="18"/>
                <w:szCs w:val="18"/>
              </w:rPr>
              <w:t>Neuseeland: Recht und Sicherheit</w:t>
            </w:r>
          </w:p>
        </w:tc>
      </w:tr>
      <w:tr w:rsidR="00C1548D" w14:paraId="70A51B3A" w14:textId="77777777">
        <w:tblPrEx>
          <w:tblCellMar>
            <w:top w:w="0" w:type="dxa"/>
            <w:bottom w:w="0" w:type="dxa"/>
          </w:tblCellMar>
        </w:tblPrEx>
        <w:trPr>
          <w:cantSplit/>
        </w:trPr>
        <w:tc>
          <w:tcPr>
            <w:tcW w:w="1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7" w14:textId="77777777" w:rsidR="00C1548D" w:rsidRDefault="009B1B4B">
            <w:pPr>
              <w:spacing w:line="250" w:lineRule="auto"/>
            </w:pPr>
            <w:r>
              <w:rPr>
                <w:sz w:val="18"/>
                <w:szCs w:val="18"/>
              </w:rPr>
              <w:t>drugfoundation.org.nz</w:t>
            </w:r>
          </w:p>
        </w:tc>
        <w:tc>
          <w:tcPr>
            <w:tcW w:w="26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8" w14:textId="77777777" w:rsidR="00C1548D" w:rsidRDefault="009B1B4B">
            <w:pPr>
              <w:spacing w:line="250" w:lineRule="auto"/>
            </w:pPr>
            <w:r>
              <w:rPr>
                <w:sz w:val="18"/>
                <w:szCs w:val="18"/>
              </w:rPr>
              <w:t>Roadside Drug Testing</w:t>
            </w:r>
          </w:p>
        </w:tc>
        <w:tc>
          <w:tcPr>
            <w:tcW w:w="19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9" w14:textId="77777777" w:rsidR="00C1548D" w:rsidRDefault="009B1B4B">
            <w:pPr>
              <w:spacing w:line="250" w:lineRule="auto"/>
            </w:pPr>
            <w:r>
              <w:rPr>
                <w:sz w:val="18"/>
                <w:szCs w:val="18"/>
              </w:rPr>
              <w:t>Neuseeland: Recht und Sicherheit</w:t>
            </w:r>
          </w:p>
        </w:tc>
      </w:tr>
      <w:tr w:rsidR="00C1548D" w14:paraId="70A51B3E" w14:textId="77777777">
        <w:tblPrEx>
          <w:tblCellMar>
            <w:top w:w="0" w:type="dxa"/>
            <w:bottom w:w="0" w:type="dxa"/>
          </w:tblCellMar>
        </w:tblPrEx>
        <w:trPr>
          <w:cantSplit/>
        </w:trPr>
        <w:tc>
          <w:tcPr>
            <w:tcW w:w="1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B" w14:textId="77777777" w:rsidR="00C1548D" w:rsidRDefault="009B1B4B">
            <w:pPr>
              <w:spacing w:line="250" w:lineRule="auto"/>
            </w:pPr>
            <w:r>
              <w:rPr>
                <w:sz w:val="18"/>
                <w:szCs w:val="18"/>
              </w:rPr>
              <w:t>geonet.org.nz</w:t>
            </w:r>
          </w:p>
        </w:tc>
        <w:tc>
          <w:tcPr>
            <w:tcW w:w="26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C" w14:textId="77777777" w:rsidR="00C1548D" w:rsidRDefault="009B1B4B">
            <w:pPr>
              <w:spacing w:line="250" w:lineRule="auto"/>
            </w:pPr>
            <w:r>
              <w:rPr>
                <w:sz w:val="18"/>
                <w:szCs w:val="18"/>
              </w:rPr>
              <w:t>Erdbeben-, Vulkan- und Tsunamiüberwachung</w:t>
            </w:r>
          </w:p>
        </w:tc>
        <w:tc>
          <w:tcPr>
            <w:tcW w:w="19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D" w14:textId="77777777" w:rsidR="00C1548D" w:rsidRDefault="009B1B4B">
            <w:pPr>
              <w:spacing w:line="250" w:lineRule="auto"/>
            </w:pPr>
            <w:r>
              <w:rPr>
                <w:sz w:val="18"/>
                <w:szCs w:val="18"/>
              </w:rPr>
              <w:t>Neuseeland: Recht und Sicherheit</w:t>
            </w:r>
          </w:p>
        </w:tc>
      </w:tr>
      <w:tr w:rsidR="00C1548D" w14:paraId="70A51B42" w14:textId="77777777">
        <w:tblPrEx>
          <w:tblCellMar>
            <w:top w:w="0" w:type="dxa"/>
            <w:bottom w:w="0" w:type="dxa"/>
          </w:tblCellMar>
        </w:tblPrEx>
        <w:trPr>
          <w:cantSplit/>
        </w:trPr>
        <w:tc>
          <w:tcPr>
            <w:tcW w:w="1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3F" w14:textId="77777777" w:rsidR="00C1548D" w:rsidRDefault="009B1B4B">
            <w:pPr>
              <w:spacing w:line="250" w:lineRule="auto"/>
            </w:pPr>
            <w:r>
              <w:rPr>
                <w:sz w:val="18"/>
                <w:szCs w:val="18"/>
              </w:rPr>
              <w:t>getready.govt.nz (auch civildefence.govt.nz)</w:t>
            </w:r>
          </w:p>
        </w:tc>
        <w:tc>
          <w:tcPr>
            <w:tcW w:w="26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40" w14:textId="77777777" w:rsidR="00C1548D" w:rsidRDefault="009B1B4B">
            <w:pPr>
              <w:spacing w:line="250" w:lineRule="auto"/>
            </w:pPr>
            <w:r>
              <w:rPr>
                <w:sz w:val="18"/>
                <w:szCs w:val="18"/>
              </w:rPr>
              <w:t>Notfallvorsorge, Get Ready</w:t>
            </w:r>
          </w:p>
        </w:tc>
        <w:tc>
          <w:tcPr>
            <w:tcW w:w="19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41" w14:textId="77777777" w:rsidR="00C1548D" w:rsidRDefault="009B1B4B">
            <w:pPr>
              <w:spacing w:line="250" w:lineRule="auto"/>
            </w:pPr>
            <w:r>
              <w:rPr>
                <w:sz w:val="18"/>
                <w:szCs w:val="18"/>
              </w:rPr>
              <w:t>Neuseeland: Recht und Sicherheit</w:t>
            </w:r>
          </w:p>
        </w:tc>
      </w:tr>
      <w:tr w:rsidR="00C1548D" w14:paraId="70A51B46" w14:textId="77777777">
        <w:tblPrEx>
          <w:tblCellMar>
            <w:top w:w="0" w:type="dxa"/>
            <w:bottom w:w="0" w:type="dxa"/>
          </w:tblCellMar>
        </w:tblPrEx>
        <w:trPr>
          <w:cantSplit/>
        </w:trPr>
        <w:tc>
          <w:tcPr>
            <w:tcW w:w="189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43" w14:textId="77777777" w:rsidR="00C1548D" w:rsidRDefault="009B1B4B">
            <w:pPr>
              <w:spacing w:line="250" w:lineRule="auto"/>
            </w:pPr>
            <w:r>
              <w:rPr>
                <w:sz w:val="18"/>
                <w:szCs w:val="18"/>
              </w:rPr>
              <w:t>auswaertiges-amt.de</w:t>
            </w:r>
          </w:p>
        </w:tc>
        <w:tc>
          <w:tcPr>
            <w:tcW w:w="263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44" w14:textId="77777777" w:rsidR="00C1548D" w:rsidRDefault="009B1B4B">
            <w:pPr>
              <w:spacing w:line="250" w:lineRule="auto"/>
            </w:pPr>
            <w:r>
              <w:rPr>
                <w:sz w:val="18"/>
                <w:szCs w:val="18"/>
              </w:rPr>
              <w:t>Hilfe für Deutsche im Ausland, Krisenvorsorgeliste Elefand</w:t>
            </w:r>
          </w:p>
        </w:tc>
        <w:tc>
          <w:tcPr>
            <w:tcW w:w="19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45" w14:textId="77777777" w:rsidR="00C1548D" w:rsidRDefault="009B1B4B">
            <w:pPr>
              <w:spacing w:line="250" w:lineRule="auto"/>
            </w:pPr>
            <w:r>
              <w:rPr>
                <w:sz w:val="18"/>
                <w:szCs w:val="18"/>
              </w:rPr>
              <w:t>Neuseeland: Recht und Sicherheit</w:t>
            </w:r>
          </w:p>
        </w:tc>
      </w:tr>
    </w:tbl>
    <w:p w14:paraId="70A51B47" w14:textId="77777777" w:rsidR="00C1548D" w:rsidRDefault="00C1548D">
      <w:pPr>
        <w:spacing w:line="180" w:lineRule="exact"/>
      </w:pPr>
    </w:p>
    <w:p w14:paraId="70A51B48" w14:textId="77777777" w:rsidR="00C1548D" w:rsidRDefault="009B1B4B">
      <w:pPr>
        <w:pStyle w:val="Heading3"/>
        <w:keepNext/>
        <w:jc w:val="center"/>
      </w:pPr>
      <w:r>
        <w:rPr>
          <w:rFonts w:ascii="Amazon Ember" w:eastAsia="Amazon Ember" w:hAnsi="Amazon Ember" w:cs="Amazon Ember"/>
          <w:color w:val="0000FF"/>
          <w:sz w:val="36"/>
          <w:szCs w:val="36"/>
        </w:rPr>
        <w:lastRenderedPageBreak/>
        <w:t>Neuseeland: Bildung, Arbeit und Alltag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1"/>
        <w:gridCol w:w="3470"/>
        <w:gridCol w:w="1519"/>
      </w:tblGrid>
      <w:tr w:rsidR="00C1548D" w14:paraId="70A51B4C" w14:textId="77777777">
        <w:tblPrEx>
          <w:tblCellMar>
            <w:top w:w="0" w:type="dxa"/>
            <w:bottom w:w="0" w:type="dxa"/>
          </w:tblCellMar>
        </w:tblPrEx>
        <w:trPr>
          <w:cantSplit/>
          <w:tblHeader/>
        </w:trPr>
        <w:tc>
          <w:tcPr>
            <w:tcW w:w="149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49" w14:textId="77777777" w:rsidR="00C1548D" w:rsidRDefault="009B1B4B">
            <w:pPr>
              <w:spacing w:line="250" w:lineRule="auto"/>
            </w:pPr>
            <w:r>
              <w:rPr>
                <w:b/>
                <w:bCs/>
                <w:sz w:val="18"/>
                <w:szCs w:val="18"/>
              </w:rPr>
              <w:t>Adresse</w:t>
            </w:r>
          </w:p>
        </w:tc>
        <w:tc>
          <w:tcPr>
            <w:tcW w:w="347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4A" w14:textId="77777777" w:rsidR="00C1548D" w:rsidRDefault="009B1B4B">
            <w:pPr>
              <w:spacing w:line="250" w:lineRule="auto"/>
            </w:pPr>
            <w:r>
              <w:rPr>
                <w:b/>
                <w:bCs/>
                <w:sz w:val="18"/>
                <w:szCs w:val="18"/>
              </w:rPr>
              <w:t>Behörde / Thema</w:t>
            </w:r>
          </w:p>
        </w:tc>
        <w:tc>
          <w:tcPr>
            <w:tcW w:w="151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4B" w14:textId="77777777" w:rsidR="00C1548D" w:rsidRDefault="009B1B4B">
            <w:pPr>
              <w:spacing w:line="250" w:lineRule="auto"/>
            </w:pPr>
            <w:r>
              <w:rPr>
                <w:b/>
                <w:bCs/>
                <w:sz w:val="18"/>
                <w:szCs w:val="18"/>
              </w:rPr>
              <w:t>Referenz</w:t>
            </w:r>
          </w:p>
        </w:tc>
      </w:tr>
      <w:tr w:rsidR="00C1548D" w14:paraId="70A51B50"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4D" w14:textId="77777777" w:rsidR="00C1548D" w:rsidRDefault="009B1B4B">
            <w:pPr>
              <w:spacing w:line="250" w:lineRule="auto"/>
            </w:pPr>
            <w:r>
              <w:rPr>
                <w:sz w:val="18"/>
                <w:szCs w:val="18"/>
              </w:rPr>
              <w:t>education.govt.nz</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4E" w14:textId="77777777" w:rsidR="00C1548D" w:rsidRDefault="009B1B4B">
            <w:pPr>
              <w:spacing w:line="250" w:lineRule="auto"/>
            </w:pPr>
            <w:r>
              <w:rPr>
                <w:sz w:val="18"/>
                <w:szCs w:val="18"/>
              </w:rPr>
              <w:t>Schulsystem, Term- und Ferientermine, ESOL-Förderung</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4F" w14:textId="77777777" w:rsidR="00C1548D" w:rsidRDefault="009B1B4B">
            <w:pPr>
              <w:spacing w:line="250" w:lineRule="auto"/>
            </w:pPr>
            <w:r>
              <w:rPr>
                <w:sz w:val="18"/>
                <w:szCs w:val="18"/>
              </w:rPr>
              <w:t>Neuseeland: Bildung</w:t>
            </w:r>
          </w:p>
        </w:tc>
      </w:tr>
      <w:tr w:rsidR="00C1548D" w14:paraId="70A51B54"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1" w14:textId="77777777" w:rsidR="00C1548D" w:rsidRDefault="009B1B4B">
            <w:pPr>
              <w:spacing w:line="250" w:lineRule="auto"/>
            </w:pPr>
            <w:r>
              <w:rPr>
                <w:sz w:val="18"/>
                <w:szCs w:val="18"/>
              </w:rPr>
              <w:t>nzqa.govt.nz</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2" w14:textId="77777777" w:rsidR="00C1548D" w:rsidRDefault="009B1B4B">
            <w:pPr>
              <w:spacing w:line="250" w:lineRule="auto"/>
            </w:pPr>
            <w:r>
              <w:rPr>
                <w:sz w:val="18"/>
                <w:szCs w:val="18"/>
              </w:rPr>
              <w:t>New Zealand Qualifications Authority, NCEA, Reformpläne ab 2028</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3" w14:textId="77777777" w:rsidR="00C1548D" w:rsidRDefault="009B1B4B">
            <w:pPr>
              <w:spacing w:line="250" w:lineRule="auto"/>
            </w:pPr>
            <w:r>
              <w:rPr>
                <w:sz w:val="18"/>
                <w:szCs w:val="18"/>
              </w:rPr>
              <w:t>Neuseeland: Bildung</w:t>
            </w:r>
          </w:p>
        </w:tc>
      </w:tr>
      <w:tr w:rsidR="00C1548D" w14:paraId="70A51B58"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5" w14:textId="77777777" w:rsidR="00C1548D" w:rsidRDefault="009B1B4B">
            <w:pPr>
              <w:spacing w:line="250" w:lineRule="auto"/>
            </w:pPr>
            <w:r>
              <w:rPr>
                <w:sz w:val="18"/>
                <w:szCs w:val="18"/>
              </w:rPr>
              <w:t>employment.govt.nz</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6" w14:textId="77777777" w:rsidR="00C1548D" w:rsidRDefault="009B1B4B">
            <w:pPr>
              <w:spacing w:line="250" w:lineRule="auto"/>
            </w:pPr>
            <w:r>
              <w:rPr>
                <w:sz w:val="18"/>
                <w:szCs w:val="18"/>
              </w:rPr>
              <w:t>Employment Relations Act, Holidays Act, Musterverträge, 90-Day Trial Periods</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7" w14:textId="77777777" w:rsidR="00C1548D" w:rsidRDefault="009B1B4B">
            <w:pPr>
              <w:spacing w:line="250" w:lineRule="auto"/>
            </w:pPr>
            <w:r>
              <w:rPr>
                <w:sz w:val="18"/>
                <w:szCs w:val="18"/>
              </w:rPr>
              <w:t>Neuseeland: Arbeitswelt</w:t>
            </w:r>
          </w:p>
        </w:tc>
      </w:tr>
      <w:tr w:rsidR="00C1548D" w14:paraId="70A51B5C"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9" w14:textId="77777777" w:rsidR="00C1548D" w:rsidRDefault="009B1B4B">
            <w:pPr>
              <w:spacing w:line="250" w:lineRule="auto"/>
            </w:pPr>
            <w:r>
              <w:rPr>
                <w:sz w:val="18"/>
                <w:szCs w:val="18"/>
              </w:rPr>
              <w:t>era.govt.nz</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A" w14:textId="77777777" w:rsidR="00C1548D" w:rsidRDefault="009B1B4B">
            <w:pPr>
              <w:spacing w:line="250" w:lineRule="auto"/>
            </w:pPr>
            <w:r>
              <w:rPr>
                <w:sz w:val="18"/>
                <w:szCs w:val="18"/>
              </w:rPr>
              <w:t>Employment Relations Authority, Verfahren bei Personal Grievance</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B" w14:textId="77777777" w:rsidR="00C1548D" w:rsidRDefault="009B1B4B">
            <w:pPr>
              <w:spacing w:line="250" w:lineRule="auto"/>
            </w:pPr>
            <w:r>
              <w:rPr>
                <w:sz w:val="18"/>
                <w:szCs w:val="18"/>
              </w:rPr>
              <w:t>Neuseeland: Arbeitswelt</w:t>
            </w:r>
          </w:p>
        </w:tc>
      </w:tr>
      <w:tr w:rsidR="00C1548D" w14:paraId="70A51B60"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D" w14:textId="77777777" w:rsidR="00C1548D" w:rsidRDefault="009B1B4B">
            <w:pPr>
              <w:spacing w:line="250" w:lineRule="auto"/>
            </w:pPr>
            <w:r>
              <w:rPr>
                <w:sz w:val="18"/>
                <w:szCs w:val="18"/>
              </w:rPr>
              <w:t>legislation.govt.nz</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E" w14:textId="77777777" w:rsidR="00C1548D" w:rsidRDefault="009B1B4B">
            <w:pPr>
              <w:spacing w:line="250" w:lineRule="auto"/>
            </w:pPr>
            <w:r>
              <w:rPr>
                <w:sz w:val="18"/>
                <w:szCs w:val="18"/>
              </w:rPr>
              <w:t>Employment Relations (Trial Periods) Amendment Act 2023</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5F" w14:textId="77777777" w:rsidR="00C1548D" w:rsidRDefault="009B1B4B">
            <w:pPr>
              <w:spacing w:line="250" w:lineRule="auto"/>
            </w:pPr>
            <w:r>
              <w:rPr>
                <w:sz w:val="18"/>
                <w:szCs w:val="18"/>
              </w:rPr>
              <w:t>Neuseeland: Arbeitswelt</w:t>
            </w:r>
          </w:p>
        </w:tc>
      </w:tr>
      <w:tr w:rsidR="00C1548D" w14:paraId="70A51B64"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1" w14:textId="77777777" w:rsidR="00C1548D" w:rsidRDefault="009B1B4B">
            <w:pPr>
              <w:spacing w:line="250" w:lineRule="auto"/>
            </w:pPr>
            <w:r>
              <w:rPr>
                <w:sz w:val="18"/>
                <w:szCs w:val="18"/>
              </w:rPr>
              <w:t>seek.co.nz, trademe.co.nz/jobs</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2" w14:textId="77777777" w:rsidR="00C1548D" w:rsidRDefault="009B1B4B">
            <w:pPr>
              <w:spacing w:line="250" w:lineRule="auto"/>
            </w:pPr>
            <w:r>
              <w:rPr>
                <w:sz w:val="18"/>
                <w:szCs w:val="18"/>
              </w:rPr>
              <w:t>Stellenbörsen</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3" w14:textId="77777777" w:rsidR="00C1548D" w:rsidRDefault="009B1B4B">
            <w:pPr>
              <w:spacing w:line="250" w:lineRule="auto"/>
            </w:pPr>
            <w:r>
              <w:rPr>
                <w:sz w:val="18"/>
                <w:szCs w:val="18"/>
              </w:rPr>
              <w:t>Neuseeland: Arbeitswelt</w:t>
            </w:r>
          </w:p>
        </w:tc>
      </w:tr>
      <w:tr w:rsidR="00C1548D" w14:paraId="70A51B68"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5" w14:textId="77777777" w:rsidR="00C1548D" w:rsidRDefault="009B1B4B">
            <w:pPr>
              <w:spacing w:line="250" w:lineRule="auto"/>
            </w:pPr>
            <w:r>
              <w:rPr>
                <w:sz w:val="18"/>
                <w:szCs w:val="18"/>
              </w:rPr>
              <w:t>tpk.govt.nz</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6" w14:textId="77777777" w:rsidR="00C1548D" w:rsidRDefault="009B1B4B">
            <w:pPr>
              <w:spacing w:line="250" w:lineRule="auto"/>
            </w:pPr>
            <w:r>
              <w:rPr>
                <w:sz w:val="18"/>
                <w:szCs w:val="18"/>
              </w:rPr>
              <w:t>Te Puni Kōkiri, Te Ao Māori im Alltag und am Arbeitsplatz</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7" w14:textId="77777777" w:rsidR="00C1548D" w:rsidRDefault="009B1B4B">
            <w:pPr>
              <w:spacing w:line="250" w:lineRule="auto"/>
            </w:pPr>
            <w:r>
              <w:rPr>
                <w:sz w:val="18"/>
                <w:szCs w:val="18"/>
              </w:rPr>
              <w:t>Neuseeland: Alltag</w:t>
            </w:r>
          </w:p>
        </w:tc>
      </w:tr>
      <w:tr w:rsidR="00C1548D" w14:paraId="70A51B6C"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9" w14:textId="77777777" w:rsidR="00C1548D" w:rsidRDefault="009B1B4B">
            <w:pPr>
              <w:spacing w:line="250" w:lineRule="auto"/>
            </w:pPr>
            <w:r>
              <w:rPr>
                <w:sz w:val="18"/>
                <w:szCs w:val="18"/>
              </w:rPr>
              <w:t>newzealand.govt.nz</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A" w14:textId="77777777" w:rsidR="00C1548D" w:rsidRDefault="009B1B4B">
            <w:pPr>
              <w:spacing w:line="250" w:lineRule="auto"/>
            </w:pPr>
            <w:r>
              <w:rPr>
                <w:sz w:val="18"/>
                <w:szCs w:val="18"/>
              </w:rPr>
              <w:t>New Zealand Now, Einleben und Alltagskultur</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B" w14:textId="77777777" w:rsidR="00C1548D" w:rsidRDefault="009B1B4B">
            <w:pPr>
              <w:spacing w:line="250" w:lineRule="auto"/>
            </w:pPr>
            <w:r>
              <w:rPr>
                <w:sz w:val="18"/>
                <w:szCs w:val="18"/>
              </w:rPr>
              <w:t>Neuseeland: Alltag</w:t>
            </w:r>
          </w:p>
        </w:tc>
      </w:tr>
      <w:tr w:rsidR="00C1548D" w14:paraId="70A51B70"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D" w14:textId="77777777" w:rsidR="00C1548D" w:rsidRDefault="009B1B4B">
            <w:pPr>
              <w:spacing w:line="250" w:lineRule="auto"/>
            </w:pPr>
            <w:r>
              <w:rPr>
                <w:sz w:val="18"/>
                <w:szCs w:val="18"/>
              </w:rPr>
              <w:t>mch.govt.nz</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E" w14:textId="77777777" w:rsidR="00C1548D" w:rsidRDefault="009B1B4B">
            <w:pPr>
              <w:spacing w:line="250" w:lineRule="auto"/>
            </w:pPr>
            <w:r>
              <w:rPr>
                <w:sz w:val="18"/>
                <w:szCs w:val="18"/>
              </w:rPr>
              <w:t>Ministry for Culture and Heritage, Vertrag von Waitangi, Te Reo Māori</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6F" w14:textId="77777777" w:rsidR="00C1548D" w:rsidRDefault="009B1B4B">
            <w:pPr>
              <w:spacing w:line="250" w:lineRule="auto"/>
            </w:pPr>
            <w:r>
              <w:rPr>
                <w:sz w:val="18"/>
                <w:szCs w:val="18"/>
              </w:rPr>
              <w:t>Neuseeland: Alltag</w:t>
            </w:r>
          </w:p>
        </w:tc>
      </w:tr>
      <w:tr w:rsidR="00C1548D" w14:paraId="70A51B74"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71" w14:textId="77777777" w:rsidR="00C1548D" w:rsidRDefault="009B1B4B">
            <w:pPr>
              <w:spacing w:line="250" w:lineRule="auto"/>
            </w:pPr>
            <w:r>
              <w:rPr>
                <w:sz w:val="18"/>
                <w:szCs w:val="18"/>
              </w:rPr>
              <w:t>stats.govt.nz</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72" w14:textId="77777777" w:rsidR="00C1548D" w:rsidRDefault="009B1B4B">
            <w:pPr>
              <w:spacing w:line="250" w:lineRule="auto"/>
            </w:pPr>
            <w:r>
              <w:rPr>
                <w:sz w:val="18"/>
                <w:szCs w:val="18"/>
              </w:rPr>
              <w:t>Bevölkerung, Herkunft und Lebensverhältnisse</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73" w14:textId="77777777" w:rsidR="00C1548D" w:rsidRDefault="009B1B4B">
            <w:pPr>
              <w:spacing w:line="250" w:lineRule="auto"/>
            </w:pPr>
            <w:r>
              <w:rPr>
                <w:sz w:val="18"/>
                <w:szCs w:val="18"/>
              </w:rPr>
              <w:t>Neuseeland: Alltag</w:t>
            </w:r>
          </w:p>
        </w:tc>
      </w:tr>
      <w:tr w:rsidR="00C1548D" w14:paraId="70A51B78"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75" w14:textId="77777777" w:rsidR="00C1548D" w:rsidRDefault="009B1B4B">
            <w:pPr>
              <w:spacing w:line="250" w:lineRule="auto"/>
            </w:pPr>
            <w:r>
              <w:rPr>
                <w:sz w:val="18"/>
                <w:szCs w:val="18"/>
              </w:rPr>
              <w:t>plunket.org.nz</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76" w14:textId="77777777" w:rsidR="00C1548D" w:rsidRDefault="009B1B4B">
            <w:pPr>
              <w:spacing w:line="250" w:lineRule="auto"/>
            </w:pPr>
            <w:r>
              <w:rPr>
                <w:sz w:val="18"/>
                <w:szCs w:val="18"/>
              </w:rPr>
              <w:t>Krabbelgruppen und Familienangebote</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77" w14:textId="77777777" w:rsidR="00C1548D" w:rsidRDefault="009B1B4B">
            <w:pPr>
              <w:spacing w:line="250" w:lineRule="auto"/>
            </w:pPr>
            <w:r>
              <w:rPr>
                <w:sz w:val="18"/>
                <w:szCs w:val="18"/>
              </w:rPr>
              <w:t>Neuseeland: Alltag</w:t>
            </w:r>
          </w:p>
        </w:tc>
      </w:tr>
      <w:tr w:rsidR="00C1548D" w14:paraId="70A51B7C" w14:textId="77777777">
        <w:tblPrEx>
          <w:tblCellMar>
            <w:top w:w="0" w:type="dxa"/>
            <w:bottom w:w="0" w:type="dxa"/>
          </w:tblCellMar>
        </w:tblPrEx>
        <w:trPr>
          <w:cantSplit/>
        </w:trPr>
        <w:tc>
          <w:tcPr>
            <w:tcW w:w="149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79" w14:textId="77777777" w:rsidR="00C1548D" w:rsidRDefault="009B1B4B">
            <w:pPr>
              <w:spacing w:line="250" w:lineRule="auto"/>
            </w:pPr>
            <w:r>
              <w:rPr>
                <w:sz w:val="18"/>
                <w:szCs w:val="18"/>
              </w:rPr>
              <w:t>fireandemergency.nz</w:t>
            </w:r>
          </w:p>
        </w:tc>
        <w:tc>
          <w:tcPr>
            <w:tcW w:w="347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7A" w14:textId="77777777" w:rsidR="00C1548D" w:rsidRDefault="009B1B4B">
            <w:pPr>
              <w:spacing w:line="250" w:lineRule="auto"/>
            </w:pPr>
            <w:r>
              <w:rPr>
                <w:sz w:val="18"/>
                <w:szCs w:val="18"/>
              </w:rPr>
              <w:t>Freiwillige Mitarbeit bei Fire and Emergency New Zealand</w:t>
            </w:r>
          </w:p>
        </w:tc>
        <w:tc>
          <w:tcPr>
            <w:tcW w:w="151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7B" w14:textId="77777777" w:rsidR="00C1548D" w:rsidRDefault="009B1B4B">
            <w:pPr>
              <w:spacing w:line="250" w:lineRule="auto"/>
            </w:pPr>
            <w:r>
              <w:rPr>
                <w:sz w:val="18"/>
                <w:szCs w:val="18"/>
              </w:rPr>
              <w:t>Neuseeland: Alltag</w:t>
            </w:r>
          </w:p>
        </w:tc>
      </w:tr>
    </w:tbl>
    <w:p w14:paraId="70A51B7D" w14:textId="77777777" w:rsidR="00C1548D" w:rsidRDefault="00C1548D">
      <w:pPr>
        <w:spacing w:line="180" w:lineRule="exact"/>
      </w:pPr>
    </w:p>
    <w:p w14:paraId="70A51B7E" w14:textId="77777777" w:rsidR="00C1548D" w:rsidRDefault="009B1B4B">
      <w:pPr>
        <w:pStyle w:val="Heading3"/>
        <w:keepNext/>
        <w:jc w:val="center"/>
      </w:pPr>
      <w:r>
        <w:rPr>
          <w:rFonts w:ascii="Amazon Ember" w:eastAsia="Amazon Ember" w:hAnsi="Amazon Ember" w:cs="Amazon Ember"/>
          <w:color w:val="0000FF"/>
          <w:sz w:val="36"/>
          <w:szCs w:val="36"/>
        </w:rPr>
        <w:t>Deutsche Vertretungen in Neuseeland</w:t>
      </w:r>
    </w:p>
    <w:p w14:paraId="70A51B7F" w14:textId="77777777" w:rsidR="00C1548D" w:rsidRDefault="009B1B4B">
      <w:pPr>
        <w:spacing w:after="140"/>
      </w:pPr>
      <w:r>
        <w:t>Die deutsche Botschaft sitzt in Wellington; wellington.diplo.de führt zu Botschaft und Honorarkonsuln.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8"/>
        <w:gridCol w:w="3646"/>
        <w:gridCol w:w="1606"/>
      </w:tblGrid>
      <w:tr w:rsidR="00C1548D" w14:paraId="70A51B83" w14:textId="77777777">
        <w:tblPrEx>
          <w:tblCellMar>
            <w:top w:w="0" w:type="dxa"/>
            <w:bottom w:w="0" w:type="dxa"/>
          </w:tblCellMar>
        </w:tblPrEx>
        <w:trPr>
          <w:cantSplit/>
          <w:tblHeader/>
        </w:trPr>
        <w:tc>
          <w:tcPr>
            <w:tcW w:w="12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80" w14:textId="77777777" w:rsidR="00C1548D" w:rsidRDefault="009B1B4B">
            <w:pPr>
              <w:spacing w:line="250" w:lineRule="auto"/>
            </w:pPr>
            <w:r>
              <w:rPr>
                <w:b/>
                <w:bCs/>
                <w:sz w:val="18"/>
                <w:szCs w:val="18"/>
              </w:rPr>
              <w:t>Adresse</w:t>
            </w:r>
          </w:p>
        </w:tc>
        <w:tc>
          <w:tcPr>
            <w:tcW w:w="364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81" w14:textId="77777777" w:rsidR="00C1548D" w:rsidRDefault="009B1B4B">
            <w:pPr>
              <w:spacing w:line="250" w:lineRule="auto"/>
            </w:pPr>
            <w:r>
              <w:rPr>
                <w:b/>
                <w:bCs/>
                <w:sz w:val="18"/>
                <w:szCs w:val="18"/>
              </w:rPr>
              <w:t>Behörde / Thema</w:t>
            </w:r>
          </w:p>
        </w:tc>
        <w:tc>
          <w:tcPr>
            <w:tcW w:w="160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82" w14:textId="77777777" w:rsidR="00C1548D" w:rsidRDefault="009B1B4B">
            <w:pPr>
              <w:spacing w:line="250" w:lineRule="auto"/>
            </w:pPr>
            <w:r>
              <w:rPr>
                <w:b/>
                <w:bCs/>
                <w:sz w:val="18"/>
                <w:szCs w:val="18"/>
              </w:rPr>
              <w:t>Referenz</w:t>
            </w:r>
          </w:p>
        </w:tc>
      </w:tr>
      <w:tr w:rsidR="00C1548D" w14:paraId="70A51B87" w14:textId="77777777">
        <w:tblPrEx>
          <w:tblCellMar>
            <w:top w:w="0" w:type="dxa"/>
            <w:bottom w:w="0" w:type="dxa"/>
          </w:tblCellMar>
        </w:tblPrEx>
        <w:trPr>
          <w:cantSplit/>
        </w:trPr>
        <w:tc>
          <w:tcPr>
            <w:tcW w:w="12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84" w14:textId="77777777" w:rsidR="00C1548D" w:rsidRDefault="009B1B4B">
            <w:pPr>
              <w:spacing w:line="250" w:lineRule="auto"/>
            </w:pPr>
            <w:r>
              <w:rPr>
                <w:sz w:val="18"/>
                <w:szCs w:val="18"/>
              </w:rPr>
              <w:t>wellington.diplo.de</w:t>
            </w:r>
          </w:p>
        </w:tc>
        <w:tc>
          <w:tcPr>
            <w:tcW w:w="3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85" w14:textId="77777777" w:rsidR="00C1548D" w:rsidRDefault="009B1B4B">
            <w:pPr>
              <w:spacing w:line="250" w:lineRule="auto"/>
            </w:pPr>
            <w:r>
              <w:rPr>
                <w:sz w:val="18"/>
                <w:szCs w:val="18"/>
              </w:rPr>
              <w:t>Deutsche Botschaft Wellington und Honorarkonsulate, zuständige Vertretung finden</w:t>
            </w:r>
          </w:p>
        </w:tc>
        <w:tc>
          <w:tcPr>
            <w:tcW w:w="16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86" w14:textId="77777777" w:rsidR="00C1548D" w:rsidRDefault="009B1B4B">
            <w:pPr>
              <w:spacing w:line="250" w:lineRule="auto"/>
            </w:pPr>
            <w:r>
              <w:rPr>
                <w:sz w:val="18"/>
                <w:szCs w:val="18"/>
              </w:rPr>
              <w:t>Neuseeland: Vertretungen</w:t>
            </w:r>
          </w:p>
        </w:tc>
      </w:tr>
      <w:tr w:rsidR="00C1548D" w14:paraId="70A51B8B" w14:textId="77777777">
        <w:tblPrEx>
          <w:tblCellMar>
            <w:top w:w="0" w:type="dxa"/>
            <w:bottom w:w="0" w:type="dxa"/>
          </w:tblCellMar>
        </w:tblPrEx>
        <w:trPr>
          <w:cantSplit/>
        </w:trPr>
        <w:tc>
          <w:tcPr>
            <w:tcW w:w="12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88" w14:textId="77777777" w:rsidR="00C1548D" w:rsidRDefault="009B1B4B">
            <w:pPr>
              <w:spacing w:line="250" w:lineRule="auto"/>
            </w:pPr>
            <w:r>
              <w:rPr>
                <w:sz w:val="18"/>
                <w:szCs w:val="18"/>
              </w:rPr>
              <w:lastRenderedPageBreak/>
              <w:t>goethe.de/ins/nz</w:t>
            </w:r>
          </w:p>
        </w:tc>
        <w:tc>
          <w:tcPr>
            <w:tcW w:w="364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89" w14:textId="77777777" w:rsidR="00C1548D" w:rsidRDefault="009B1B4B">
            <w:pPr>
              <w:spacing w:line="250" w:lineRule="auto"/>
            </w:pPr>
            <w:r>
              <w:rPr>
                <w:sz w:val="18"/>
                <w:szCs w:val="18"/>
              </w:rPr>
              <w:t>Goethe-Institut Neuseeland, Standort Wellington</w:t>
            </w:r>
          </w:p>
        </w:tc>
        <w:tc>
          <w:tcPr>
            <w:tcW w:w="160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8A" w14:textId="77777777" w:rsidR="00C1548D" w:rsidRDefault="009B1B4B">
            <w:pPr>
              <w:spacing w:line="250" w:lineRule="auto"/>
            </w:pPr>
            <w:r>
              <w:rPr>
                <w:sz w:val="18"/>
                <w:szCs w:val="18"/>
              </w:rPr>
              <w:t>Neuseeland: Vertretungen</w:t>
            </w:r>
          </w:p>
        </w:tc>
      </w:tr>
    </w:tbl>
    <w:p w14:paraId="70A51B8C"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1B8F"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1B8D" w14:textId="77777777" w:rsidR="00C1548D" w:rsidRDefault="009B1B4B">
            <w:pPr>
              <w:keepNext/>
              <w:spacing w:after="70" w:line="240" w:lineRule="auto"/>
            </w:pPr>
            <w:r>
              <w:rPr>
                <w:b/>
                <w:bCs/>
                <w:color w:val="6B7280"/>
                <w:spacing w:val="24"/>
                <w:sz w:val="16"/>
                <w:szCs w:val="16"/>
              </w:rPr>
              <w:t>STAND</w:t>
            </w:r>
          </w:p>
          <w:p w14:paraId="70A51B8E" w14:textId="77777777" w:rsidR="00C1548D" w:rsidRDefault="009B1B4B">
            <w:pPr>
              <w:spacing w:after="80" w:line="264" w:lineRule="auto"/>
            </w:pPr>
            <w:r>
              <w:rPr>
                <w:sz w:val="20"/>
                <w:szCs w:val="20"/>
              </w:rPr>
              <w:t>September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beziehungsweise bei der jeweiligen Referenz (Kanada, Australien, Neuseeland) und sollten vor jeder Entscheidung auf der Originalseite geprüft werden.</w:t>
            </w:r>
          </w:p>
        </w:tc>
      </w:tr>
    </w:tbl>
    <w:p w14:paraId="70A51B90" w14:textId="77777777" w:rsidR="00C1548D" w:rsidRDefault="00C1548D">
      <w:pPr>
        <w:spacing w:line="220" w:lineRule="exact"/>
      </w:pPr>
    </w:p>
    <w:p w14:paraId="70A51B91" w14:textId="77777777" w:rsidR="00C1548D" w:rsidRDefault="009B1B4B">
      <w:pPr>
        <w:pStyle w:val="Heading2"/>
        <w:keepNext/>
        <w:pageBreakBefore/>
        <w:jc w:val="center"/>
      </w:pPr>
      <w:bookmarkStart w:id="220" w:name="anhang_g"/>
      <w:bookmarkStart w:id="221" w:name="_Toc241352562"/>
      <w:r>
        <w:rPr>
          <w:rFonts w:ascii="Amazon Ember" w:eastAsia="Amazon Ember" w:hAnsi="Amazon Ember" w:cs="Amazon Ember"/>
          <w:color w:val="0000FF"/>
          <w:sz w:val="36"/>
          <w:szCs w:val="36"/>
        </w:rPr>
        <w:lastRenderedPageBreak/>
        <w:t>Anhang G: Schnellfinder — Problem → Kapitel</w:t>
      </w:r>
      <w:bookmarkEnd w:id="220"/>
      <w:bookmarkEnd w:id="221"/>
    </w:p>
    <w:p w14:paraId="70A51B92" w14:textId="77777777" w:rsidR="00C1548D" w:rsidRDefault="009B1B4B">
      <w:pPr>
        <w:spacing w:after="140"/>
      </w:pPr>
      <w:r>
        <w:t>Du hast eine konkrete Frage oder steckst mitten in einer Situation und willst schnell wissen, welches Kapitel weiterhilft? Diese Tabelle ordnet typische Leserfragen den passenden Kapiteln zu – zuerst für die USA, gegliedert nach den Phasen der Auswanderung von der ersten Entscheidung bis zur möglichen Rückkehr, danach kompakter für Kanada, Australien und Neuseeland.</w:t>
      </w:r>
    </w:p>
    <w:p w14:paraId="70A51B93" w14:textId="77777777" w:rsidR="00C1548D" w:rsidRDefault="009B1B4B">
      <w:pPr>
        <w:pStyle w:val="Heading2"/>
        <w:keepNext/>
        <w:pageBreakBefore/>
        <w:jc w:val="center"/>
      </w:pPr>
      <w:bookmarkStart w:id="222" w:name="s106"/>
      <w:bookmarkStart w:id="223" w:name="_Toc241352563"/>
      <w:r>
        <w:rPr>
          <w:rFonts w:ascii="Amazon Ember" w:eastAsia="Amazon Ember" w:hAnsi="Amazon Ember" w:cs="Amazon Ember"/>
          <w:color w:val="0000FF"/>
          <w:sz w:val="36"/>
          <w:szCs w:val="36"/>
        </w:rPr>
        <w:lastRenderedPageBreak/>
        <w:t>USA</w:t>
      </w:r>
      <w:bookmarkEnd w:id="222"/>
      <w:bookmarkEnd w:id="223"/>
    </w:p>
    <w:p w14:paraId="70A51B94" w14:textId="77777777" w:rsidR="00C1548D" w:rsidRDefault="009B1B4B">
      <w:pPr>
        <w:pStyle w:val="Heading3"/>
        <w:keepNext/>
        <w:jc w:val="center"/>
      </w:pPr>
      <w:r>
        <w:rPr>
          <w:rFonts w:ascii="Amazon Ember" w:eastAsia="Amazon Ember" w:hAnsi="Amazon Ember" w:cs="Amazon Ember"/>
          <w:color w:val="0000FF"/>
          <w:sz w:val="36"/>
          <w:szCs w:val="36"/>
        </w:rPr>
        <w:t>Visum und Status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80"/>
        <w:gridCol w:w="1100"/>
      </w:tblGrid>
      <w:tr w:rsidR="00C1548D" w14:paraId="70A51B97" w14:textId="77777777">
        <w:tblPrEx>
          <w:tblCellMar>
            <w:top w:w="0" w:type="dxa"/>
            <w:bottom w:w="0" w:type="dxa"/>
          </w:tblCellMar>
        </w:tblPrEx>
        <w:trPr>
          <w:cantSplit/>
          <w:tblHeader/>
        </w:trPr>
        <w:tc>
          <w:tcPr>
            <w:tcW w:w="538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95" w14:textId="77777777" w:rsidR="00C1548D" w:rsidRDefault="009B1B4B">
            <w:pPr>
              <w:spacing w:line="250" w:lineRule="auto"/>
            </w:pPr>
            <w:r>
              <w:rPr>
                <w:b/>
                <w:bCs/>
                <w:sz w:val="18"/>
                <w:szCs w:val="18"/>
              </w:rPr>
              <w:t>Deine Frage oder Situation</w:t>
            </w:r>
          </w:p>
        </w:tc>
        <w:tc>
          <w:tcPr>
            <w:tcW w:w="1100"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96" w14:textId="77777777" w:rsidR="00C1548D" w:rsidRDefault="009B1B4B">
            <w:pPr>
              <w:spacing w:line="250" w:lineRule="auto"/>
            </w:pPr>
            <w:r>
              <w:rPr>
                <w:b/>
                <w:bCs/>
                <w:sz w:val="18"/>
                <w:szCs w:val="18"/>
              </w:rPr>
              <w:t>Kapitel</w:t>
            </w:r>
          </w:p>
        </w:tc>
      </w:tr>
      <w:tr w:rsidR="00C1548D" w14:paraId="70A51B9A"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98" w14:textId="77777777" w:rsidR="00C1548D" w:rsidRDefault="009B1B4B">
            <w:pPr>
              <w:spacing w:line="250" w:lineRule="auto"/>
            </w:pPr>
            <w:r>
              <w:rPr>
                <w:sz w:val="18"/>
                <w:szCs w:val="18"/>
              </w:rPr>
              <w:t>Ich habe ein Jobangebot aus den USA – welches Visum passt zu meiner Situation?</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99" w14:textId="3A59A29D" w:rsidR="00C1548D" w:rsidRDefault="009B1B4B">
            <w:pPr>
              <w:spacing w:line="250" w:lineRule="auto"/>
            </w:pPr>
            <w:r>
              <w:rPr>
                <w:sz w:val="18"/>
                <w:szCs w:val="18"/>
              </w:rPr>
              <w:t>Kapitel </w:t>
            </w:r>
            <w:hyperlink w:anchor="k4" w:history="1">
              <w:r>
                <w:rPr>
                  <w:sz w:val="18"/>
                  <w:szCs w:val="18"/>
                </w:rPr>
                <w:t>4</w:t>
              </w:r>
            </w:hyperlink>
          </w:p>
        </w:tc>
      </w:tr>
      <w:tr w:rsidR="00C1548D" w14:paraId="70A51B9D"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9B" w14:textId="77777777" w:rsidR="00C1548D" w:rsidRDefault="009B1B4B">
            <w:pPr>
              <w:spacing w:line="250" w:lineRule="auto"/>
            </w:pPr>
            <w:r>
              <w:rPr>
                <w:sz w:val="18"/>
                <w:szCs w:val="18"/>
              </w:rPr>
              <w:t>Was ist eigentlich der Unterschied zwischen einem Visum und meinem Aufenthaltsstatus?</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9C" w14:textId="34DC805F" w:rsidR="00C1548D" w:rsidRDefault="009B1B4B">
            <w:pPr>
              <w:spacing w:line="250" w:lineRule="auto"/>
            </w:pPr>
            <w:r>
              <w:rPr>
                <w:sz w:val="18"/>
                <w:szCs w:val="18"/>
              </w:rPr>
              <w:t>Kapitel </w:t>
            </w:r>
            <w:hyperlink w:anchor="k4" w:history="1">
              <w:r>
                <w:rPr>
                  <w:sz w:val="18"/>
                  <w:szCs w:val="18"/>
                </w:rPr>
                <w:t>4</w:t>
              </w:r>
            </w:hyperlink>
          </w:p>
        </w:tc>
      </w:tr>
      <w:tr w:rsidR="00C1548D" w14:paraId="70A51BA0"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9E" w14:textId="77777777" w:rsidR="00C1548D" w:rsidRDefault="009B1B4B">
            <w:pPr>
              <w:spacing w:line="250" w:lineRule="auto"/>
            </w:pPr>
            <w:r>
              <w:rPr>
                <w:sz w:val="18"/>
                <w:szCs w:val="18"/>
              </w:rPr>
              <w:t>Wie hoch sind meine Chancen, bei der H-1B-Lotterie gezogen zu werden?</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9F" w14:textId="44B06E0C" w:rsidR="00C1548D" w:rsidRDefault="009B1B4B">
            <w:pPr>
              <w:spacing w:line="250" w:lineRule="auto"/>
            </w:pPr>
            <w:r>
              <w:rPr>
                <w:sz w:val="18"/>
                <w:szCs w:val="18"/>
              </w:rPr>
              <w:t>Kapitel </w:t>
            </w:r>
            <w:hyperlink w:anchor="k5" w:history="1">
              <w:r>
                <w:rPr>
                  <w:sz w:val="18"/>
                  <w:szCs w:val="18"/>
                </w:rPr>
                <w:t>5</w:t>
              </w:r>
            </w:hyperlink>
          </w:p>
        </w:tc>
      </w:tr>
      <w:tr w:rsidR="00C1548D" w14:paraId="70A51BA3"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A1" w14:textId="77777777" w:rsidR="00C1548D" w:rsidRDefault="009B1B4B">
            <w:pPr>
              <w:spacing w:line="250" w:lineRule="auto"/>
            </w:pPr>
            <w:r>
              <w:rPr>
                <w:sz w:val="18"/>
                <w:szCs w:val="18"/>
              </w:rPr>
              <w:t>Wie lange dauert der Weg zur Green Card über meinen Arbeitgeber?</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A2" w14:textId="5FFD68B8" w:rsidR="00C1548D" w:rsidRDefault="009B1B4B">
            <w:pPr>
              <w:spacing w:line="250" w:lineRule="auto"/>
            </w:pPr>
            <w:r>
              <w:rPr>
                <w:sz w:val="18"/>
                <w:szCs w:val="18"/>
              </w:rPr>
              <w:t>Kapitel </w:t>
            </w:r>
            <w:hyperlink w:anchor="k6" w:history="1">
              <w:r>
                <w:rPr>
                  <w:sz w:val="18"/>
                  <w:szCs w:val="18"/>
                </w:rPr>
                <w:t>6</w:t>
              </w:r>
            </w:hyperlink>
          </w:p>
        </w:tc>
      </w:tr>
      <w:tr w:rsidR="00C1548D" w14:paraId="70A51BA6"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A4" w14:textId="77777777" w:rsidR="00C1548D" w:rsidRDefault="009B1B4B">
            <w:pPr>
              <w:spacing w:line="250" w:lineRule="auto"/>
            </w:pPr>
            <w:r>
              <w:rPr>
                <w:sz w:val="18"/>
                <w:szCs w:val="18"/>
              </w:rPr>
              <w:t>Lohnt sich der Umweg über den H-1B, oder soll ich gleich auf die Green Card zielen?</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A5" w14:textId="095CD88B" w:rsidR="00C1548D" w:rsidRDefault="009B1B4B">
            <w:pPr>
              <w:spacing w:line="250" w:lineRule="auto"/>
            </w:pPr>
            <w:r>
              <w:rPr>
                <w:sz w:val="18"/>
                <w:szCs w:val="18"/>
              </w:rPr>
              <w:t>Kapitel </w:t>
            </w:r>
            <w:hyperlink w:anchor="k7" w:history="1">
              <w:r>
                <w:rPr>
                  <w:sz w:val="18"/>
                  <w:szCs w:val="18"/>
                </w:rPr>
                <w:t>7</w:t>
              </w:r>
            </w:hyperlink>
          </w:p>
        </w:tc>
      </w:tr>
      <w:tr w:rsidR="00C1548D" w14:paraId="70A51BA9"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A7" w14:textId="77777777" w:rsidR="00C1548D" w:rsidRDefault="009B1B4B">
            <w:pPr>
              <w:spacing w:line="250" w:lineRule="auto"/>
            </w:pPr>
            <w:r>
              <w:rPr>
                <w:sz w:val="18"/>
                <w:szCs w:val="18"/>
              </w:rPr>
              <w:t>Ich will erst in den USA studieren – wie komme ich danach in einen Job?</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A8" w14:textId="00EF80CB" w:rsidR="00C1548D" w:rsidRDefault="009B1B4B">
            <w:pPr>
              <w:spacing w:line="250" w:lineRule="auto"/>
            </w:pPr>
            <w:r>
              <w:rPr>
                <w:sz w:val="18"/>
                <w:szCs w:val="18"/>
              </w:rPr>
              <w:t>Kapitel </w:t>
            </w:r>
            <w:hyperlink w:anchor="k8" w:history="1">
              <w:r>
                <w:rPr>
                  <w:sz w:val="18"/>
                  <w:szCs w:val="18"/>
                </w:rPr>
                <w:t>8</w:t>
              </w:r>
            </w:hyperlink>
          </w:p>
        </w:tc>
      </w:tr>
      <w:tr w:rsidR="00C1548D" w14:paraId="70A51BAC"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AA" w14:textId="77777777" w:rsidR="00C1548D" w:rsidRDefault="009B1B4B">
            <w:pPr>
              <w:spacing w:line="250" w:lineRule="auto"/>
            </w:pPr>
            <w:r>
              <w:rPr>
                <w:sz w:val="18"/>
                <w:szCs w:val="18"/>
              </w:rPr>
              <w:t>Meine Firma hat eine US-Niederlassung – kann ich intern dorthin wechseln?</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AB" w14:textId="6CC2CC71" w:rsidR="00C1548D" w:rsidRDefault="009B1B4B">
            <w:pPr>
              <w:spacing w:line="250" w:lineRule="auto"/>
            </w:pPr>
            <w:r>
              <w:rPr>
                <w:sz w:val="18"/>
                <w:szCs w:val="18"/>
              </w:rPr>
              <w:t>Kapitel </w:t>
            </w:r>
            <w:hyperlink w:anchor="k9" w:history="1">
              <w:r>
                <w:rPr>
                  <w:sz w:val="18"/>
                  <w:szCs w:val="18"/>
                </w:rPr>
                <w:t>9</w:t>
              </w:r>
            </w:hyperlink>
          </w:p>
        </w:tc>
      </w:tr>
      <w:tr w:rsidR="00C1548D" w14:paraId="70A51BAF"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AD" w14:textId="77777777" w:rsidR="00C1548D" w:rsidRDefault="009B1B4B">
            <w:pPr>
              <w:spacing w:line="250" w:lineRule="auto"/>
            </w:pPr>
            <w:r>
              <w:rPr>
                <w:sz w:val="18"/>
                <w:szCs w:val="18"/>
              </w:rPr>
              <w:t>Ich möchte mich mit eigenem Kapital in den USA selbständig machen – welches Visum passt?</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AE" w14:textId="4B0DC743" w:rsidR="00C1548D" w:rsidRDefault="009B1B4B">
            <w:pPr>
              <w:spacing w:line="250" w:lineRule="auto"/>
            </w:pPr>
            <w:r>
              <w:rPr>
                <w:sz w:val="18"/>
                <w:szCs w:val="18"/>
              </w:rPr>
              <w:t>Kapitel </w:t>
            </w:r>
            <w:hyperlink w:anchor="k9" w:history="1">
              <w:r>
                <w:rPr>
                  <w:sz w:val="18"/>
                  <w:szCs w:val="18"/>
                </w:rPr>
                <w:t>9</w:t>
              </w:r>
            </w:hyperlink>
          </w:p>
        </w:tc>
      </w:tr>
      <w:tr w:rsidR="00C1548D" w14:paraId="70A51BB2"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B0" w14:textId="77777777" w:rsidR="00C1548D" w:rsidRDefault="009B1B4B">
            <w:pPr>
              <w:spacing w:line="250" w:lineRule="auto"/>
            </w:pPr>
            <w:r>
              <w:rPr>
                <w:sz w:val="18"/>
                <w:szCs w:val="18"/>
              </w:rPr>
              <w:t>Kann mein Partner in den USA arbeiten?</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B1" w14:textId="6D79CC8A" w:rsidR="00C1548D" w:rsidRDefault="009B1B4B">
            <w:pPr>
              <w:spacing w:line="250" w:lineRule="auto"/>
            </w:pPr>
            <w:r>
              <w:rPr>
                <w:sz w:val="18"/>
                <w:szCs w:val="18"/>
              </w:rPr>
              <w:t>Kapitel </w:t>
            </w:r>
            <w:hyperlink w:anchor="k10" w:history="1">
              <w:r>
                <w:rPr>
                  <w:sz w:val="18"/>
                  <w:szCs w:val="18"/>
                </w:rPr>
                <w:t>10</w:t>
              </w:r>
            </w:hyperlink>
          </w:p>
        </w:tc>
      </w:tr>
      <w:tr w:rsidR="00C1548D" w14:paraId="70A51BB5"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B3" w14:textId="77777777" w:rsidR="00C1548D" w:rsidRDefault="009B1B4B">
            <w:pPr>
              <w:spacing w:line="250" w:lineRule="auto"/>
            </w:pPr>
            <w:r>
              <w:rPr>
                <w:sz w:val="18"/>
                <w:szCs w:val="18"/>
              </w:rPr>
              <w:t>Zählt unsere deutsche eingetragene Lebenspartnerschaft für ein Partnervisum?</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B4" w14:textId="0A97F4B8" w:rsidR="00C1548D" w:rsidRDefault="009B1B4B">
            <w:pPr>
              <w:spacing w:line="250" w:lineRule="auto"/>
            </w:pPr>
            <w:r>
              <w:rPr>
                <w:sz w:val="18"/>
                <w:szCs w:val="18"/>
              </w:rPr>
              <w:t>Kapitel </w:t>
            </w:r>
            <w:hyperlink w:anchor="k10" w:history="1">
              <w:r>
                <w:rPr>
                  <w:sz w:val="18"/>
                  <w:szCs w:val="18"/>
                </w:rPr>
                <w:t>10</w:t>
              </w:r>
            </w:hyperlink>
          </w:p>
        </w:tc>
      </w:tr>
      <w:tr w:rsidR="00C1548D" w14:paraId="70A51BB8"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B6" w14:textId="77777777" w:rsidR="00C1548D" w:rsidRDefault="009B1B4B">
            <w:pPr>
              <w:spacing w:line="250" w:lineRule="auto"/>
            </w:pPr>
            <w:r>
              <w:rPr>
                <w:sz w:val="18"/>
                <w:szCs w:val="18"/>
              </w:rPr>
              <w:t>Was passiert mit dem Status meiner Kinder, wenn sie 21 werden?</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B7" w14:textId="0082929A" w:rsidR="00C1548D" w:rsidRDefault="009B1B4B">
            <w:pPr>
              <w:spacing w:line="250" w:lineRule="auto"/>
            </w:pPr>
            <w:r>
              <w:rPr>
                <w:sz w:val="18"/>
                <w:szCs w:val="18"/>
              </w:rPr>
              <w:t>Kapitel </w:t>
            </w:r>
            <w:hyperlink w:anchor="k10" w:history="1">
              <w:r>
                <w:rPr>
                  <w:sz w:val="18"/>
                  <w:szCs w:val="18"/>
                </w:rPr>
                <w:t>10</w:t>
              </w:r>
            </w:hyperlink>
          </w:p>
        </w:tc>
      </w:tr>
      <w:tr w:rsidR="00C1548D" w14:paraId="70A51BBB" w14:textId="77777777">
        <w:tblPrEx>
          <w:tblCellMar>
            <w:top w:w="0" w:type="dxa"/>
            <w:bottom w:w="0" w:type="dxa"/>
          </w:tblCellMar>
        </w:tblPrEx>
        <w:trPr>
          <w:cantSplit/>
        </w:trPr>
        <w:tc>
          <w:tcPr>
            <w:tcW w:w="538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B9" w14:textId="77777777" w:rsidR="00C1548D" w:rsidRDefault="009B1B4B">
            <w:pPr>
              <w:spacing w:line="250" w:lineRule="auto"/>
            </w:pPr>
            <w:r>
              <w:rPr>
                <w:sz w:val="18"/>
                <w:szCs w:val="18"/>
              </w:rPr>
              <w:t>Muss ich für das Visum-Interview persönlich zum Konsulat?</w:t>
            </w:r>
          </w:p>
        </w:tc>
        <w:tc>
          <w:tcPr>
            <w:tcW w:w="1100"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BA" w14:textId="00C1473C" w:rsidR="00C1548D" w:rsidRDefault="009B1B4B">
            <w:pPr>
              <w:spacing w:line="250" w:lineRule="auto"/>
            </w:pPr>
            <w:r>
              <w:rPr>
                <w:sz w:val="18"/>
                <w:szCs w:val="18"/>
              </w:rPr>
              <w:t>Kapitel </w:t>
            </w:r>
            <w:hyperlink w:anchor="k11" w:history="1">
              <w:r>
                <w:rPr>
                  <w:sz w:val="18"/>
                  <w:szCs w:val="18"/>
                </w:rPr>
                <w:t>11</w:t>
              </w:r>
            </w:hyperlink>
          </w:p>
        </w:tc>
      </w:tr>
    </w:tbl>
    <w:p w14:paraId="70A51BBC" w14:textId="77777777" w:rsidR="00C1548D" w:rsidRDefault="00C1548D">
      <w:pPr>
        <w:spacing w:line="180" w:lineRule="exact"/>
      </w:pPr>
    </w:p>
    <w:p w14:paraId="70A51BBD" w14:textId="77777777" w:rsidR="00C1548D" w:rsidRDefault="009B1B4B">
      <w:pPr>
        <w:pStyle w:val="Heading3"/>
        <w:keepNext/>
        <w:jc w:val="center"/>
      </w:pPr>
      <w:r>
        <w:rPr>
          <w:rFonts w:ascii="Amazon Ember" w:eastAsia="Amazon Ember" w:hAnsi="Amazon Ember" w:cs="Amazon Ember"/>
          <w:color w:val="0000FF"/>
          <w:sz w:val="36"/>
          <w:szCs w:val="36"/>
        </w:rPr>
        <w:t>Wohnen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5"/>
        <w:gridCol w:w="1135"/>
      </w:tblGrid>
      <w:tr w:rsidR="00C1548D" w14:paraId="70A51BC0" w14:textId="77777777">
        <w:tblPrEx>
          <w:tblCellMar>
            <w:top w:w="0" w:type="dxa"/>
            <w:bottom w:w="0" w:type="dxa"/>
          </w:tblCellMar>
        </w:tblPrEx>
        <w:trPr>
          <w:cantSplit/>
          <w:tblHeader/>
        </w:trPr>
        <w:tc>
          <w:tcPr>
            <w:tcW w:w="534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BE" w14:textId="77777777" w:rsidR="00C1548D" w:rsidRDefault="009B1B4B">
            <w:pPr>
              <w:spacing w:line="250" w:lineRule="auto"/>
            </w:pPr>
            <w:r>
              <w:rPr>
                <w:b/>
                <w:bCs/>
                <w:sz w:val="18"/>
                <w:szCs w:val="18"/>
              </w:rPr>
              <w:t>Deine Frage oder Situation</w:t>
            </w:r>
          </w:p>
        </w:tc>
        <w:tc>
          <w:tcPr>
            <w:tcW w:w="113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BF" w14:textId="77777777" w:rsidR="00C1548D" w:rsidRDefault="009B1B4B">
            <w:pPr>
              <w:spacing w:line="250" w:lineRule="auto"/>
            </w:pPr>
            <w:r>
              <w:rPr>
                <w:b/>
                <w:bCs/>
                <w:sz w:val="18"/>
                <w:szCs w:val="18"/>
              </w:rPr>
              <w:t>Kapitel</w:t>
            </w:r>
          </w:p>
        </w:tc>
      </w:tr>
      <w:tr w:rsidR="00C1548D" w14:paraId="70A51BC3"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C1" w14:textId="77777777" w:rsidR="00C1548D" w:rsidRDefault="009B1B4B">
            <w:pPr>
              <w:spacing w:line="250" w:lineRule="auto"/>
            </w:pPr>
            <w:r>
              <w:rPr>
                <w:sz w:val="18"/>
                <w:szCs w:val="18"/>
              </w:rPr>
              <w:t>Wie finde ich heraus, welche Stadt oder Region zu meinem Beruf passt?</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C2" w14:textId="6D7CDEC0" w:rsidR="00C1548D" w:rsidRDefault="009B1B4B">
            <w:pPr>
              <w:spacing w:line="250" w:lineRule="auto"/>
            </w:pPr>
            <w:r>
              <w:rPr>
                <w:sz w:val="18"/>
                <w:szCs w:val="18"/>
              </w:rPr>
              <w:t>Kapitel </w:t>
            </w:r>
            <w:hyperlink w:anchor="k12" w:history="1">
              <w:r>
                <w:rPr>
                  <w:sz w:val="18"/>
                  <w:szCs w:val="18"/>
                </w:rPr>
                <w:t>12</w:t>
              </w:r>
            </w:hyperlink>
          </w:p>
        </w:tc>
      </w:tr>
      <w:tr w:rsidR="00C1548D" w14:paraId="70A51BC6"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C4" w14:textId="77777777" w:rsidR="00C1548D" w:rsidRDefault="009B1B4B">
            <w:pPr>
              <w:spacing w:line="250" w:lineRule="auto"/>
            </w:pPr>
            <w:r>
              <w:rPr>
                <w:sz w:val="18"/>
                <w:szCs w:val="18"/>
              </w:rPr>
              <w:t>Welche Bundesstaaten erheben keine Einkommensteuer?</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C5" w14:textId="72D780A1" w:rsidR="00C1548D" w:rsidRDefault="009B1B4B">
            <w:pPr>
              <w:spacing w:line="250" w:lineRule="auto"/>
            </w:pPr>
            <w:r>
              <w:rPr>
                <w:sz w:val="18"/>
                <w:szCs w:val="18"/>
              </w:rPr>
              <w:t>Kapitel </w:t>
            </w:r>
            <w:hyperlink w:anchor="k12" w:history="1">
              <w:r>
                <w:rPr>
                  <w:sz w:val="18"/>
                  <w:szCs w:val="18"/>
                </w:rPr>
                <w:t>12</w:t>
              </w:r>
            </w:hyperlink>
          </w:p>
        </w:tc>
      </w:tr>
      <w:tr w:rsidR="00C1548D" w14:paraId="70A51BC9"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C7" w14:textId="77777777" w:rsidR="00C1548D" w:rsidRDefault="009B1B4B">
            <w:pPr>
              <w:spacing w:line="250" w:lineRule="auto"/>
            </w:pPr>
            <w:r>
              <w:rPr>
                <w:sz w:val="18"/>
                <w:szCs w:val="18"/>
              </w:rPr>
              <w:t>Wie finde ich als Neuankömmling ohne US-Kredithistorie eine Mietwohnung?</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C8" w14:textId="3AB94A6E" w:rsidR="00C1548D" w:rsidRDefault="009B1B4B">
            <w:pPr>
              <w:spacing w:line="250" w:lineRule="auto"/>
            </w:pPr>
            <w:r>
              <w:rPr>
                <w:sz w:val="18"/>
                <w:szCs w:val="18"/>
              </w:rPr>
              <w:t>Kapitel </w:t>
            </w:r>
            <w:hyperlink w:anchor="k13" w:history="1">
              <w:r>
                <w:rPr>
                  <w:sz w:val="18"/>
                  <w:szCs w:val="18"/>
                </w:rPr>
                <w:t>13</w:t>
              </w:r>
            </w:hyperlink>
          </w:p>
        </w:tc>
      </w:tr>
      <w:tr w:rsidR="00C1548D" w14:paraId="70A51BCC"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CA" w14:textId="77777777" w:rsidR="00C1548D" w:rsidRDefault="009B1B4B">
            <w:pPr>
              <w:spacing w:line="250" w:lineRule="auto"/>
            </w:pPr>
            <w:r>
              <w:rPr>
                <w:sz w:val="18"/>
                <w:szCs w:val="18"/>
              </w:rPr>
              <w:lastRenderedPageBreak/>
              <w:t>Wie viel Kaution und Gebühren muss ich beim Einzug einplanen?</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CB" w14:textId="6D5A9BF6" w:rsidR="00C1548D" w:rsidRDefault="009B1B4B">
            <w:pPr>
              <w:spacing w:line="250" w:lineRule="auto"/>
            </w:pPr>
            <w:r>
              <w:rPr>
                <w:sz w:val="18"/>
                <w:szCs w:val="18"/>
              </w:rPr>
              <w:t>Kapitel </w:t>
            </w:r>
            <w:hyperlink w:anchor="k13" w:history="1">
              <w:r>
                <w:rPr>
                  <w:sz w:val="18"/>
                  <w:szCs w:val="18"/>
                </w:rPr>
                <w:t>13</w:t>
              </w:r>
            </w:hyperlink>
          </w:p>
        </w:tc>
      </w:tr>
      <w:tr w:rsidR="00C1548D" w14:paraId="70A51BCF"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CD" w14:textId="77777777" w:rsidR="00C1548D" w:rsidRDefault="009B1B4B">
            <w:pPr>
              <w:spacing w:line="250" w:lineRule="auto"/>
            </w:pPr>
            <w:r>
              <w:rPr>
                <w:sz w:val="18"/>
                <w:szCs w:val="18"/>
              </w:rPr>
              <w:t>Wie schütze ich mich vor Fake-Inseraten bei der Wohnungssuche?</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CE" w14:textId="44F798F2" w:rsidR="00C1548D" w:rsidRDefault="009B1B4B">
            <w:pPr>
              <w:spacing w:line="250" w:lineRule="auto"/>
            </w:pPr>
            <w:r>
              <w:rPr>
                <w:sz w:val="18"/>
                <w:szCs w:val="18"/>
              </w:rPr>
              <w:t>Kapitel </w:t>
            </w:r>
            <w:hyperlink w:anchor="k13" w:history="1">
              <w:r>
                <w:rPr>
                  <w:sz w:val="18"/>
                  <w:szCs w:val="18"/>
                </w:rPr>
                <w:t>13</w:t>
              </w:r>
            </w:hyperlink>
          </w:p>
        </w:tc>
      </w:tr>
      <w:tr w:rsidR="00C1548D" w14:paraId="70A51BD2"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D0" w14:textId="77777777" w:rsidR="00C1548D" w:rsidRDefault="009B1B4B">
            <w:pPr>
              <w:spacing w:line="250" w:lineRule="auto"/>
            </w:pPr>
            <w:r>
              <w:rPr>
                <w:sz w:val="18"/>
                <w:szCs w:val="18"/>
              </w:rPr>
              <w:t>Lohnt es sich, gleich nach der Ankunft ein Haus zu kaufen?</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D1" w14:textId="2104723E" w:rsidR="00C1548D" w:rsidRDefault="009B1B4B">
            <w:pPr>
              <w:spacing w:line="250" w:lineRule="auto"/>
            </w:pPr>
            <w:r>
              <w:rPr>
                <w:sz w:val="18"/>
                <w:szCs w:val="18"/>
              </w:rPr>
              <w:t>Kapitel </w:t>
            </w:r>
            <w:hyperlink w:anchor="k14" w:history="1">
              <w:r>
                <w:rPr>
                  <w:sz w:val="18"/>
                  <w:szCs w:val="18"/>
                </w:rPr>
                <w:t>14</w:t>
              </w:r>
            </w:hyperlink>
          </w:p>
        </w:tc>
      </w:tr>
      <w:tr w:rsidR="00C1548D" w14:paraId="70A51BD5"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D3" w14:textId="77777777" w:rsidR="00C1548D" w:rsidRDefault="009B1B4B">
            <w:pPr>
              <w:spacing w:line="250" w:lineRule="auto"/>
            </w:pPr>
            <w:r>
              <w:rPr>
                <w:sz w:val="18"/>
                <w:szCs w:val="18"/>
              </w:rPr>
              <w:t>Bekomme ich als Visuminhaber überhaupt eine Hypothek?</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D4" w14:textId="7BAA1409" w:rsidR="00C1548D" w:rsidRDefault="009B1B4B">
            <w:pPr>
              <w:spacing w:line="250" w:lineRule="auto"/>
            </w:pPr>
            <w:r>
              <w:rPr>
                <w:sz w:val="18"/>
                <w:szCs w:val="18"/>
              </w:rPr>
              <w:t>Kapitel </w:t>
            </w:r>
            <w:hyperlink w:anchor="k14" w:history="1">
              <w:r>
                <w:rPr>
                  <w:sz w:val="18"/>
                  <w:szCs w:val="18"/>
                </w:rPr>
                <w:t>14</w:t>
              </w:r>
            </w:hyperlink>
          </w:p>
        </w:tc>
      </w:tr>
      <w:tr w:rsidR="00C1548D" w14:paraId="70A51BD8"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D6" w14:textId="77777777" w:rsidR="00C1548D" w:rsidRDefault="009B1B4B">
            <w:pPr>
              <w:spacing w:line="250" w:lineRule="auto"/>
            </w:pPr>
            <w:r>
              <w:rPr>
                <w:sz w:val="18"/>
                <w:szCs w:val="18"/>
              </w:rPr>
              <w:t>Was kostet mich der Hauskauf zusätzlich zum Kaufpreis?</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D7" w14:textId="24496E9B" w:rsidR="00C1548D" w:rsidRDefault="009B1B4B">
            <w:pPr>
              <w:spacing w:line="250" w:lineRule="auto"/>
            </w:pPr>
            <w:r>
              <w:rPr>
                <w:sz w:val="18"/>
                <w:szCs w:val="18"/>
              </w:rPr>
              <w:t>Kapitel </w:t>
            </w:r>
            <w:hyperlink w:anchor="k14" w:history="1">
              <w:r>
                <w:rPr>
                  <w:sz w:val="18"/>
                  <w:szCs w:val="18"/>
                </w:rPr>
                <w:t>14</w:t>
              </w:r>
            </w:hyperlink>
          </w:p>
        </w:tc>
      </w:tr>
    </w:tbl>
    <w:p w14:paraId="70A51BD9" w14:textId="77777777" w:rsidR="00C1548D" w:rsidRDefault="00C1548D">
      <w:pPr>
        <w:spacing w:line="180" w:lineRule="exact"/>
      </w:pPr>
    </w:p>
    <w:p w14:paraId="70A51BDA" w14:textId="77777777" w:rsidR="00C1548D" w:rsidRDefault="009B1B4B">
      <w:pPr>
        <w:pStyle w:val="Heading3"/>
        <w:keepNext/>
        <w:jc w:val="center"/>
      </w:pPr>
      <w:r>
        <w:rPr>
          <w:rFonts w:ascii="Amazon Ember" w:eastAsia="Amazon Ember" w:hAnsi="Amazon Ember" w:cs="Amazon Ember"/>
          <w:color w:val="0000FF"/>
          <w:sz w:val="36"/>
          <w:szCs w:val="36"/>
        </w:rPr>
        <w:t>Vorbereitung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52"/>
        <w:gridCol w:w="1128"/>
      </w:tblGrid>
      <w:tr w:rsidR="00C1548D" w14:paraId="70A51BDD" w14:textId="77777777">
        <w:tblPrEx>
          <w:tblCellMar>
            <w:top w:w="0" w:type="dxa"/>
            <w:bottom w:w="0" w:type="dxa"/>
          </w:tblCellMar>
        </w:tblPrEx>
        <w:trPr>
          <w:cantSplit/>
          <w:tblHeader/>
        </w:trPr>
        <w:tc>
          <w:tcPr>
            <w:tcW w:w="53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DB" w14:textId="77777777" w:rsidR="00C1548D" w:rsidRDefault="009B1B4B">
            <w:pPr>
              <w:spacing w:line="250" w:lineRule="auto"/>
            </w:pPr>
            <w:r>
              <w:rPr>
                <w:b/>
                <w:bCs/>
                <w:sz w:val="18"/>
                <w:szCs w:val="18"/>
              </w:rPr>
              <w:t>Deine Frage oder Situation</w:t>
            </w:r>
          </w:p>
        </w:tc>
        <w:tc>
          <w:tcPr>
            <w:tcW w:w="11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BDC" w14:textId="77777777" w:rsidR="00C1548D" w:rsidRDefault="009B1B4B">
            <w:pPr>
              <w:spacing w:line="250" w:lineRule="auto"/>
            </w:pPr>
            <w:r>
              <w:rPr>
                <w:b/>
                <w:bCs/>
                <w:sz w:val="18"/>
                <w:szCs w:val="18"/>
              </w:rPr>
              <w:t>Kapitel</w:t>
            </w:r>
          </w:p>
        </w:tc>
      </w:tr>
      <w:tr w:rsidR="00C1548D" w14:paraId="70A51BE0"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DE" w14:textId="77777777" w:rsidR="00C1548D" w:rsidRDefault="009B1B4B">
            <w:pPr>
              <w:spacing w:line="250" w:lineRule="auto"/>
            </w:pPr>
            <w:r>
              <w:rPr>
                <w:sz w:val="18"/>
                <w:szCs w:val="18"/>
              </w:rPr>
              <w:t>Was spricht wirklich für und was gegen ein Leben in den USA?</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DF" w14:textId="178D4AC8" w:rsidR="00C1548D" w:rsidRDefault="009B1B4B">
            <w:pPr>
              <w:spacing w:line="250" w:lineRule="auto"/>
            </w:pPr>
            <w:r>
              <w:rPr>
                <w:sz w:val="18"/>
                <w:szCs w:val="18"/>
              </w:rPr>
              <w:t>Kapitel </w:t>
            </w:r>
            <w:hyperlink w:anchor="k1" w:history="1">
              <w:r>
                <w:rPr>
                  <w:sz w:val="18"/>
                  <w:szCs w:val="18"/>
                </w:rPr>
                <w:t>1</w:t>
              </w:r>
            </w:hyperlink>
          </w:p>
        </w:tc>
      </w:tr>
      <w:tr w:rsidR="00C1548D" w14:paraId="70A51BE3"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E1" w14:textId="77777777" w:rsidR="00C1548D" w:rsidRDefault="009B1B4B">
            <w:pPr>
              <w:spacing w:line="250" w:lineRule="auto"/>
            </w:pPr>
            <w:r>
              <w:rPr>
                <w:sz w:val="18"/>
                <w:szCs w:val="18"/>
              </w:rPr>
              <w:t>Welche teuren Fehler machen andere beim Umzug in die USA am häufigsten?</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E2" w14:textId="54ED4607" w:rsidR="00C1548D" w:rsidRDefault="009B1B4B">
            <w:pPr>
              <w:spacing w:line="250" w:lineRule="auto"/>
            </w:pPr>
            <w:r>
              <w:rPr>
                <w:sz w:val="18"/>
                <w:szCs w:val="18"/>
              </w:rPr>
              <w:t>Kapitel </w:t>
            </w:r>
            <w:hyperlink w:anchor="k2" w:history="1">
              <w:r>
                <w:rPr>
                  <w:sz w:val="18"/>
                  <w:szCs w:val="18"/>
                </w:rPr>
                <w:t>2</w:t>
              </w:r>
            </w:hyperlink>
          </w:p>
        </w:tc>
      </w:tr>
      <w:tr w:rsidR="00C1548D" w14:paraId="70A51BE6"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E4" w14:textId="77777777" w:rsidR="00C1548D" w:rsidRDefault="009B1B4B">
            <w:pPr>
              <w:spacing w:line="250" w:lineRule="auto"/>
            </w:pPr>
            <w:r>
              <w:rPr>
                <w:sz w:val="18"/>
                <w:szCs w:val="18"/>
              </w:rPr>
              <w:t>Lohnt sich der Umzug für mich finanziell überhaupt?</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E5" w14:textId="168D8B06" w:rsidR="00C1548D" w:rsidRDefault="009B1B4B">
            <w:pPr>
              <w:spacing w:line="250" w:lineRule="auto"/>
            </w:pPr>
            <w:r>
              <w:rPr>
                <w:sz w:val="18"/>
                <w:szCs w:val="18"/>
              </w:rPr>
              <w:t>Kapitel </w:t>
            </w:r>
            <w:hyperlink w:anchor="k3" w:history="1">
              <w:r>
                <w:rPr>
                  <w:sz w:val="18"/>
                  <w:szCs w:val="18"/>
                </w:rPr>
                <w:t>3</w:t>
              </w:r>
            </w:hyperlink>
          </w:p>
        </w:tc>
      </w:tr>
      <w:tr w:rsidR="00C1548D" w14:paraId="70A51BE9"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E7" w14:textId="77777777" w:rsidR="00C1548D" w:rsidRDefault="009B1B4B">
            <w:pPr>
              <w:spacing w:line="250" w:lineRule="auto"/>
            </w:pPr>
            <w:r>
              <w:rPr>
                <w:sz w:val="18"/>
                <w:szCs w:val="18"/>
              </w:rPr>
              <w:t>In welcher Reihenfolge plane ich Visum, Wohnungskündigung und Umzug?</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E8" w14:textId="5E990AAD" w:rsidR="00C1548D" w:rsidRDefault="009B1B4B">
            <w:pPr>
              <w:spacing w:line="250" w:lineRule="auto"/>
            </w:pPr>
            <w:r>
              <w:rPr>
                <w:sz w:val="18"/>
                <w:szCs w:val="18"/>
              </w:rPr>
              <w:t>Kapitel </w:t>
            </w:r>
            <w:hyperlink w:anchor="k15" w:history="1">
              <w:r>
                <w:rPr>
                  <w:sz w:val="18"/>
                  <w:szCs w:val="18"/>
                </w:rPr>
                <w:t>15</w:t>
              </w:r>
            </w:hyperlink>
          </w:p>
        </w:tc>
      </w:tr>
      <w:tr w:rsidR="00C1548D" w14:paraId="70A51BEC"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EA" w14:textId="77777777" w:rsidR="00C1548D" w:rsidRDefault="009B1B4B">
            <w:pPr>
              <w:spacing w:line="250" w:lineRule="auto"/>
            </w:pPr>
            <w:r>
              <w:rPr>
                <w:sz w:val="18"/>
                <w:szCs w:val="18"/>
              </w:rPr>
              <w:t>Ich melde mich beim Einwohnermeldeamt ab – was muss ich sonst noch kündigen?</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EB" w14:textId="722919BC" w:rsidR="00C1548D" w:rsidRDefault="009B1B4B">
            <w:pPr>
              <w:spacing w:line="250" w:lineRule="auto"/>
            </w:pPr>
            <w:r>
              <w:rPr>
                <w:sz w:val="18"/>
                <w:szCs w:val="18"/>
              </w:rPr>
              <w:t>Kapitel </w:t>
            </w:r>
            <w:hyperlink w:anchor="k16" w:history="1">
              <w:r>
                <w:rPr>
                  <w:sz w:val="18"/>
                  <w:szCs w:val="18"/>
                </w:rPr>
                <w:t>16</w:t>
              </w:r>
            </w:hyperlink>
          </w:p>
        </w:tc>
      </w:tr>
      <w:tr w:rsidR="00C1548D" w14:paraId="70A51BEF"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ED" w14:textId="77777777" w:rsidR="00C1548D" w:rsidRDefault="009B1B4B">
            <w:pPr>
              <w:spacing w:line="250" w:lineRule="auto"/>
            </w:pPr>
            <w:r>
              <w:rPr>
                <w:sz w:val="18"/>
                <w:szCs w:val="18"/>
              </w:rPr>
              <w:t>Was passiert mit meinem Kindergeld, wenn ich auswandere?</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EE" w14:textId="36E376D6" w:rsidR="00C1548D" w:rsidRDefault="009B1B4B">
            <w:pPr>
              <w:spacing w:line="250" w:lineRule="auto"/>
            </w:pPr>
            <w:r>
              <w:rPr>
                <w:sz w:val="18"/>
                <w:szCs w:val="18"/>
              </w:rPr>
              <w:t>Kapitel </w:t>
            </w:r>
            <w:hyperlink w:anchor="k16" w:history="1">
              <w:r>
                <w:rPr>
                  <w:sz w:val="18"/>
                  <w:szCs w:val="18"/>
                </w:rPr>
                <w:t>16</w:t>
              </w:r>
            </w:hyperlink>
          </w:p>
        </w:tc>
      </w:tr>
      <w:tr w:rsidR="00C1548D" w14:paraId="70A51BF2"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F0" w14:textId="77777777" w:rsidR="00C1548D" w:rsidRDefault="009B1B4B">
            <w:pPr>
              <w:spacing w:line="250" w:lineRule="auto"/>
            </w:pPr>
            <w:r>
              <w:rPr>
                <w:sz w:val="18"/>
                <w:szCs w:val="18"/>
              </w:rPr>
              <w:t>Werde ich nach dem Wegzug noch in Deutschland besteuert?</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F1" w14:textId="3476DD09" w:rsidR="00C1548D" w:rsidRDefault="009B1B4B">
            <w:pPr>
              <w:spacing w:line="250" w:lineRule="auto"/>
            </w:pPr>
            <w:r>
              <w:rPr>
                <w:sz w:val="18"/>
                <w:szCs w:val="18"/>
              </w:rPr>
              <w:t>Kapitel </w:t>
            </w:r>
            <w:hyperlink w:anchor="k17" w:history="1">
              <w:r>
                <w:rPr>
                  <w:sz w:val="18"/>
                  <w:szCs w:val="18"/>
                </w:rPr>
                <w:t>17</w:t>
              </w:r>
            </w:hyperlink>
          </w:p>
        </w:tc>
      </w:tr>
      <w:tr w:rsidR="00C1548D" w14:paraId="70A51BF5"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F3" w14:textId="77777777" w:rsidR="00C1548D" w:rsidRDefault="009B1B4B">
            <w:pPr>
              <w:spacing w:line="250" w:lineRule="auto"/>
            </w:pPr>
            <w:r>
              <w:rPr>
                <w:sz w:val="18"/>
                <w:szCs w:val="18"/>
              </w:rPr>
              <w:t>Was passiert mit meiner Riester-Rente?</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F4" w14:textId="610E66EB" w:rsidR="00C1548D" w:rsidRDefault="009B1B4B">
            <w:pPr>
              <w:spacing w:line="250" w:lineRule="auto"/>
            </w:pPr>
            <w:r>
              <w:rPr>
                <w:sz w:val="18"/>
                <w:szCs w:val="18"/>
              </w:rPr>
              <w:t>Kapitel </w:t>
            </w:r>
            <w:hyperlink w:anchor="k17" w:history="1">
              <w:r>
                <w:rPr>
                  <w:sz w:val="18"/>
                  <w:szCs w:val="18"/>
                </w:rPr>
                <w:t>17</w:t>
              </w:r>
            </w:hyperlink>
          </w:p>
        </w:tc>
      </w:tr>
      <w:tr w:rsidR="00C1548D" w14:paraId="70A51BF8"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F6" w14:textId="77777777" w:rsidR="00C1548D" w:rsidRDefault="009B1B4B">
            <w:pPr>
              <w:spacing w:line="250" w:lineRule="auto"/>
            </w:pPr>
            <w:r>
              <w:rPr>
                <w:sz w:val="18"/>
                <w:szCs w:val="18"/>
              </w:rPr>
              <w:t>Sollte ich mein deutsches Aktien- oder ETF-Depot vor dem Umzug auflösen?</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F7" w14:textId="10FD2624" w:rsidR="00C1548D" w:rsidRDefault="009B1B4B">
            <w:pPr>
              <w:spacing w:line="250" w:lineRule="auto"/>
            </w:pPr>
            <w:r>
              <w:rPr>
                <w:sz w:val="18"/>
                <w:szCs w:val="18"/>
              </w:rPr>
              <w:t>Kapitel </w:t>
            </w:r>
            <w:hyperlink w:anchor="k17" w:history="1">
              <w:r>
                <w:rPr>
                  <w:sz w:val="18"/>
                  <w:szCs w:val="18"/>
                </w:rPr>
                <w:t>17</w:t>
              </w:r>
            </w:hyperlink>
          </w:p>
        </w:tc>
      </w:tr>
      <w:tr w:rsidR="00C1548D" w14:paraId="70A51BFB"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F9" w14:textId="77777777" w:rsidR="00C1548D" w:rsidRDefault="009B1B4B">
            <w:pPr>
              <w:spacing w:line="250" w:lineRule="auto"/>
            </w:pPr>
            <w:r>
              <w:rPr>
                <w:sz w:val="18"/>
                <w:szCs w:val="18"/>
              </w:rPr>
              <w:t>Wann endet meine gesetzliche Krankenversicherung in Deutschland?</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FA" w14:textId="37CD7EF9" w:rsidR="00C1548D" w:rsidRDefault="009B1B4B">
            <w:pPr>
              <w:spacing w:line="250" w:lineRule="auto"/>
            </w:pPr>
            <w:r>
              <w:rPr>
                <w:sz w:val="18"/>
                <w:szCs w:val="18"/>
              </w:rPr>
              <w:t>Kapitel </w:t>
            </w:r>
            <w:hyperlink w:anchor="k18" w:history="1">
              <w:r>
                <w:rPr>
                  <w:sz w:val="18"/>
                  <w:szCs w:val="18"/>
                </w:rPr>
                <w:t>18</w:t>
              </w:r>
            </w:hyperlink>
          </w:p>
        </w:tc>
      </w:tr>
      <w:tr w:rsidR="00C1548D" w14:paraId="70A51BFE"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FC" w14:textId="77777777" w:rsidR="00C1548D" w:rsidRDefault="009B1B4B">
            <w:pPr>
              <w:spacing w:line="250" w:lineRule="auto"/>
            </w:pPr>
            <w:r>
              <w:rPr>
                <w:sz w:val="18"/>
                <w:szCs w:val="18"/>
              </w:rPr>
              <w:t>Brauche ich für die Lücke zwischen den beiden Versicherungen eine Auslandskrankenversicherung?</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FD" w14:textId="768C898C" w:rsidR="00C1548D" w:rsidRDefault="009B1B4B">
            <w:pPr>
              <w:spacing w:line="250" w:lineRule="auto"/>
            </w:pPr>
            <w:r>
              <w:rPr>
                <w:sz w:val="18"/>
                <w:szCs w:val="18"/>
              </w:rPr>
              <w:t>Kapitel </w:t>
            </w:r>
            <w:hyperlink w:anchor="k18" w:history="1">
              <w:r>
                <w:rPr>
                  <w:sz w:val="18"/>
                  <w:szCs w:val="18"/>
                </w:rPr>
                <w:t>18</w:t>
              </w:r>
            </w:hyperlink>
          </w:p>
        </w:tc>
      </w:tr>
      <w:tr w:rsidR="00C1548D" w14:paraId="70A51C01"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BFF" w14:textId="77777777" w:rsidR="00C1548D" w:rsidRDefault="009B1B4B">
            <w:pPr>
              <w:spacing w:line="250" w:lineRule="auto"/>
            </w:pPr>
            <w:r>
              <w:rPr>
                <w:sz w:val="18"/>
                <w:szCs w:val="18"/>
              </w:rPr>
              <w:t>Muss ich meine Zeugnisse und Diplome übersetzen oder mit Apostille versehen lassen?</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00" w14:textId="0B76F666" w:rsidR="00C1548D" w:rsidRDefault="009B1B4B">
            <w:pPr>
              <w:spacing w:line="250" w:lineRule="auto"/>
            </w:pPr>
            <w:r>
              <w:rPr>
                <w:sz w:val="18"/>
                <w:szCs w:val="18"/>
              </w:rPr>
              <w:t>Kapitel </w:t>
            </w:r>
            <w:hyperlink w:anchor="k19" w:history="1">
              <w:r>
                <w:rPr>
                  <w:sz w:val="18"/>
                  <w:szCs w:val="18"/>
                </w:rPr>
                <w:t>19</w:t>
              </w:r>
            </w:hyperlink>
          </w:p>
        </w:tc>
      </w:tr>
      <w:tr w:rsidR="00C1548D" w14:paraId="70A51C04" w14:textId="77777777">
        <w:tblPrEx>
          <w:tblCellMar>
            <w:top w:w="0" w:type="dxa"/>
            <w:bottom w:w="0" w:type="dxa"/>
          </w:tblCellMar>
        </w:tblPrEx>
        <w:trPr>
          <w:cantSplit/>
        </w:trPr>
        <w:tc>
          <w:tcPr>
            <w:tcW w:w="53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02" w14:textId="77777777" w:rsidR="00C1548D" w:rsidRDefault="009B1B4B">
            <w:pPr>
              <w:spacing w:line="250" w:lineRule="auto"/>
            </w:pPr>
            <w:r>
              <w:rPr>
                <w:sz w:val="18"/>
                <w:szCs w:val="18"/>
              </w:rPr>
              <w:t>Wie lasse ich meinen ausländischen Studienabschluss für die USA bewerten?</w:t>
            </w:r>
          </w:p>
        </w:tc>
        <w:tc>
          <w:tcPr>
            <w:tcW w:w="11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03" w14:textId="77C79B73" w:rsidR="00C1548D" w:rsidRDefault="009B1B4B">
            <w:pPr>
              <w:spacing w:line="250" w:lineRule="auto"/>
            </w:pPr>
            <w:r>
              <w:rPr>
                <w:sz w:val="18"/>
                <w:szCs w:val="18"/>
              </w:rPr>
              <w:t>Kapitel </w:t>
            </w:r>
            <w:hyperlink w:anchor="k19" w:history="1">
              <w:r>
                <w:rPr>
                  <w:sz w:val="18"/>
                  <w:szCs w:val="18"/>
                </w:rPr>
                <w:t>19</w:t>
              </w:r>
            </w:hyperlink>
          </w:p>
        </w:tc>
      </w:tr>
    </w:tbl>
    <w:p w14:paraId="70A51C05" w14:textId="77777777" w:rsidR="00C1548D" w:rsidRDefault="00C1548D">
      <w:pPr>
        <w:spacing w:line="180" w:lineRule="exact"/>
      </w:pPr>
    </w:p>
    <w:p w14:paraId="70A51C06" w14:textId="77777777" w:rsidR="00C1548D" w:rsidRDefault="009B1B4B">
      <w:pPr>
        <w:pStyle w:val="Heading3"/>
        <w:keepNext/>
        <w:jc w:val="center"/>
      </w:pPr>
      <w:r>
        <w:rPr>
          <w:rFonts w:ascii="Amazon Ember" w:eastAsia="Amazon Ember" w:hAnsi="Amazon Ember" w:cs="Amazon Ember"/>
          <w:color w:val="0000FF"/>
          <w:sz w:val="36"/>
          <w:szCs w:val="36"/>
        </w:rPr>
        <w:lastRenderedPageBreak/>
        <w:t>Umzug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5"/>
        <w:gridCol w:w="1135"/>
      </w:tblGrid>
      <w:tr w:rsidR="00C1548D" w14:paraId="70A51C09" w14:textId="77777777">
        <w:tblPrEx>
          <w:tblCellMar>
            <w:top w:w="0" w:type="dxa"/>
            <w:bottom w:w="0" w:type="dxa"/>
          </w:tblCellMar>
        </w:tblPrEx>
        <w:trPr>
          <w:cantSplit/>
          <w:tblHeader/>
        </w:trPr>
        <w:tc>
          <w:tcPr>
            <w:tcW w:w="534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07" w14:textId="77777777" w:rsidR="00C1548D" w:rsidRDefault="009B1B4B">
            <w:pPr>
              <w:spacing w:line="250" w:lineRule="auto"/>
            </w:pPr>
            <w:r>
              <w:rPr>
                <w:b/>
                <w:bCs/>
                <w:sz w:val="18"/>
                <w:szCs w:val="18"/>
              </w:rPr>
              <w:t>Deine Frage oder Situation</w:t>
            </w:r>
          </w:p>
        </w:tc>
        <w:tc>
          <w:tcPr>
            <w:tcW w:w="113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08" w14:textId="77777777" w:rsidR="00C1548D" w:rsidRDefault="009B1B4B">
            <w:pPr>
              <w:spacing w:line="250" w:lineRule="auto"/>
            </w:pPr>
            <w:r>
              <w:rPr>
                <w:b/>
                <w:bCs/>
                <w:sz w:val="18"/>
                <w:szCs w:val="18"/>
              </w:rPr>
              <w:t>Kapitel</w:t>
            </w:r>
          </w:p>
        </w:tc>
      </w:tr>
      <w:tr w:rsidR="00C1548D" w14:paraId="70A51C0C"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0A" w14:textId="77777777" w:rsidR="00C1548D" w:rsidRDefault="009B1B4B">
            <w:pPr>
              <w:spacing w:line="250" w:lineRule="auto"/>
            </w:pPr>
            <w:r>
              <w:rPr>
                <w:sz w:val="18"/>
                <w:szCs w:val="18"/>
              </w:rPr>
              <w:t>Container, Luftfracht oder doch nur Koffer – was lohnt sich für meinen Umzug?</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0B" w14:textId="7DA4ED1F" w:rsidR="00C1548D" w:rsidRDefault="009B1B4B">
            <w:pPr>
              <w:spacing w:line="250" w:lineRule="auto"/>
            </w:pPr>
            <w:r>
              <w:rPr>
                <w:sz w:val="18"/>
                <w:szCs w:val="18"/>
              </w:rPr>
              <w:t>Kapitel </w:t>
            </w:r>
            <w:hyperlink w:anchor="k20" w:history="1">
              <w:r>
                <w:rPr>
                  <w:sz w:val="18"/>
                  <w:szCs w:val="18"/>
                </w:rPr>
                <w:t>20</w:t>
              </w:r>
            </w:hyperlink>
          </w:p>
        </w:tc>
      </w:tr>
      <w:tr w:rsidR="00C1548D" w14:paraId="70A51C0F"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0D" w14:textId="77777777" w:rsidR="00C1548D" w:rsidRDefault="009B1B4B">
            <w:pPr>
              <w:spacing w:line="250" w:lineRule="auto"/>
            </w:pPr>
            <w:r>
              <w:rPr>
                <w:sz w:val="18"/>
                <w:szCs w:val="18"/>
              </w:rPr>
              <w:t>Zahlt mein Arbeitgeber den Umzug, und muss ich das versteuern?</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0E" w14:textId="491E2831" w:rsidR="00C1548D" w:rsidRDefault="009B1B4B">
            <w:pPr>
              <w:spacing w:line="250" w:lineRule="auto"/>
            </w:pPr>
            <w:r>
              <w:rPr>
                <w:sz w:val="18"/>
                <w:szCs w:val="18"/>
              </w:rPr>
              <w:t>Kapitel </w:t>
            </w:r>
            <w:hyperlink w:anchor="k20" w:history="1">
              <w:r>
                <w:rPr>
                  <w:sz w:val="18"/>
                  <w:szCs w:val="18"/>
                </w:rPr>
                <w:t>20</w:t>
              </w:r>
            </w:hyperlink>
          </w:p>
        </w:tc>
      </w:tr>
      <w:tr w:rsidR="00C1548D" w14:paraId="70A51C12"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10" w14:textId="77777777" w:rsidR="00C1548D" w:rsidRDefault="009B1B4B">
            <w:pPr>
              <w:spacing w:line="250" w:lineRule="auto"/>
            </w:pPr>
            <w:r>
              <w:rPr>
                <w:sz w:val="18"/>
                <w:szCs w:val="18"/>
              </w:rPr>
              <w:t>Was darf ich zollfrei in die USA mitbringen?</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11" w14:textId="72F9D123" w:rsidR="00C1548D" w:rsidRDefault="009B1B4B">
            <w:pPr>
              <w:spacing w:line="250" w:lineRule="auto"/>
            </w:pPr>
            <w:r>
              <w:rPr>
                <w:sz w:val="18"/>
                <w:szCs w:val="18"/>
              </w:rPr>
              <w:t>Kapitel </w:t>
            </w:r>
            <w:hyperlink w:anchor="k20" w:history="1">
              <w:r>
                <w:rPr>
                  <w:sz w:val="18"/>
                  <w:szCs w:val="18"/>
                </w:rPr>
                <w:t>20</w:t>
              </w:r>
            </w:hyperlink>
          </w:p>
        </w:tc>
      </w:tr>
      <w:tr w:rsidR="00C1548D" w14:paraId="70A51C15"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13" w14:textId="77777777" w:rsidR="00C1548D" w:rsidRDefault="009B1B4B">
            <w:pPr>
              <w:spacing w:line="250" w:lineRule="auto"/>
            </w:pPr>
            <w:r>
              <w:rPr>
                <w:sz w:val="18"/>
                <w:szCs w:val="18"/>
              </w:rPr>
              <w:t>Welche Möbel und Geräte nehme ich mit, was kaufe ich lieber neu?</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14" w14:textId="4A7987EA" w:rsidR="00C1548D" w:rsidRDefault="009B1B4B">
            <w:pPr>
              <w:spacing w:line="250" w:lineRule="auto"/>
            </w:pPr>
            <w:r>
              <w:rPr>
                <w:sz w:val="18"/>
                <w:szCs w:val="18"/>
              </w:rPr>
              <w:t>Kapitel </w:t>
            </w:r>
            <w:hyperlink w:anchor="k21" w:history="1">
              <w:r>
                <w:rPr>
                  <w:sz w:val="18"/>
                  <w:szCs w:val="18"/>
                </w:rPr>
                <w:t>21</w:t>
              </w:r>
            </w:hyperlink>
          </w:p>
        </w:tc>
      </w:tr>
      <w:tr w:rsidR="00C1548D" w14:paraId="70A51C18"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16" w14:textId="77777777" w:rsidR="00C1548D" w:rsidRDefault="009B1B4B">
            <w:pPr>
              <w:spacing w:line="250" w:lineRule="auto"/>
            </w:pPr>
            <w:r>
              <w:rPr>
                <w:sz w:val="18"/>
                <w:szCs w:val="18"/>
              </w:rPr>
              <w:t>Funktionieren meine deutschen Elektrogeräte an der US-Steckdose?</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17" w14:textId="02BADF44" w:rsidR="00C1548D" w:rsidRDefault="009B1B4B">
            <w:pPr>
              <w:spacing w:line="250" w:lineRule="auto"/>
            </w:pPr>
            <w:r>
              <w:rPr>
                <w:sz w:val="18"/>
                <w:szCs w:val="18"/>
              </w:rPr>
              <w:t>Kapitel </w:t>
            </w:r>
            <w:hyperlink w:anchor="k21" w:history="1">
              <w:r>
                <w:rPr>
                  <w:sz w:val="18"/>
                  <w:szCs w:val="18"/>
                </w:rPr>
                <w:t>21</w:t>
              </w:r>
            </w:hyperlink>
          </w:p>
        </w:tc>
      </w:tr>
      <w:tr w:rsidR="00C1548D" w14:paraId="70A51C1B"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19" w14:textId="77777777" w:rsidR="00C1548D" w:rsidRDefault="009B1B4B">
            <w:pPr>
              <w:spacing w:line="250" w:lineRule="auto"/>
            </w:pPr>
            <w:r>
              <w:rPr>
                <w:sz w:val="18"/>
                <w:szCs w:val="18"/>
              </w:rPr>
              <w:t>Wie viel kostet es, eine Wohnung in den USA neu einzurichten?</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1A" w14:textId="5716C4AC" w:rsidR="00C1548D" w:rsidRDefault="009B1B4B">
            <w:pPr>
              <w:spacing w:line="250" w:lineRule="auto"/>
            </w:pPr>
            <w:r>
              <w:rPr>
                <w:sz w:val="18"/>
                <w:szCs w:val="18"/>
              </w:rPr>
              <w:t>Kapitel </w:t>
            </w:r>
            <w:hyperlink w:anchor="k21" w:history="1">
              <w:r>
                <w:rPr>
                  <w:sz w:val="18"/>
                  <w:szCs w:val="18"/>
                </w:rPr>
                <w:t>21</w:t>
              </w:r>
            </w:hyperlink>
          </w:p>
        </w:tc>
      </w:tr>
      <w:tr w:rsidR="00C1548D" w14:paraId="70A51C1E"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1C" w14:textId="77777777" w:rsidR="00C1548D" w:rsidRDefault="009B1B4B">
            <w:pPr>
              <w:spacing w:line="250" w:lineRule="auto"/>
            </w:pPr>
            <w:r>
              <w:rPr>
                <w:sz w:val="18"/>
                <w:szCs w:val="18"/>
              </w:rPr>
              <w:t>Wie bekomme ich meinen Hund oder meine Katze legal in die USA?</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1D" w14:textId="23B6B4D0" w:rsidR="00C1548D" w:rsidRDefault="009B1B4B">
            <w:pPr>
              <w:spacing w:line="250" w:lineRule="auto"/>
            </w:pPr>
            <w:r>
              <w:rPr>
                <w:sz w:val="18"/>
                <w:szCs w:val="18"/>
              </w:rPr>
              <w:t>Kapitel </w:t>
            </w:r>
            <w:hyperlink w:anchor="k22" w:history="1">
              <w:r>
                <w:rPr>
                  <w:sz w:val="18"/>
                  <w:szCs w:val="18"/>
                </w:rPr>
                <w:t>22</w:t>
              </w:r>
            </w:hyperlink>
          </w:p>
        </w:tc>
      </w:tr>
      <w:tr w:rsidR="00C1548D" w14:paraId="70A51C21"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1F" w14:textId="77777777" w:rsidR="00C1548D" w:rsidRDefault="009B1B4B">
            <w:pPr>
              <w:spacing w:line="250" w:lineRule="auto"/>
            </w:pPr>
            <w:r>
              <w:rPr>
                <w:sz w:val="18"/>
                <w:szCs w:val="18"/>
              </w:rPr>
              <w:t>Braucht mein Hund für die Einreise eine Tollwutimpfung?</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20" w14:textId="3804F612" w:rsidR="00C1548D" w:rsidRDefault="009B1B4B">
            <w:pPr>
              <w:spacing w:line="250" w:lineRule="auto"/>
            </w:pPr>
            <w:r>
              <w:rPr>
                <w:sz w:val="18"/>
                <w:szCs w:val="18"/>
              </w:rPr>
              <w:t>Kapitel </w:t>
            </w:r>
            <w:hyperlink w:anchor="k22" w:history="1">
              <w:r>
                <w:rPr>
                  <w:sz w:val="18"/>
                  <w:szCs w:val="18"/>
                </w:rPr>
                <w:t>22</w:t>
              </w:r>
            </w:hyperlink>
          </w:p>
        </w:tc>
      </w:tr>
    </w:tbl>
    <w:p w14:paraId="70A51C22" w14:textId="77777777" w:rsidR="00C1548D" w:rsidRDefault="00C1548D">
      <w:pPr>
        <w:spacing w:line="180" w:lineRule="exact"/>
      </w:pPr>
    </w:p>
    <w:p w14:paraId="70A51C23" w14:textId="77777777" w:rsidR="00C1548D" w:rsidRDefault="009B1B4B">
      <w:pPr>
        <w:pStyle w:val="Heading3"/>
        <w:keepNext/>
        <w:jc w:val="center"/>
      </w:pPr>
      <w:r>
        <w:rPr>
          <w:rFonts w:ascii="Amazon Ember" w:eastAsia="Amazon Ember" w:hAnsi="Amazon Ember" w:cs="Amazon Ember"/>
          <w:color w:val="0000FF"/>
          <w:sz w:val="36"/>
          <w:szCs w:val="36"/>
        </w:rPr>
        <w:t>Ankommen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1"/>
        <w:gridCol w:w="1139"/>
      </w:tblGrid>
      <w:tr w:rsidR="00C1548D" w14:paraId="70A51C26" w14:textId="77777777">
        <w:tblPrEx>
          <w:tblCellMar>
            <w:top w:w="0" w:type="dxa"/>
            <w:bottom w:w="0" w:type="dxa"/>
          </w:tblCellMar>
        </w:tblPrEx>
        <w:trPr>
          <w:cantSplit/>
          <w:tblHeader/>
        </w:trPr>
        <w:tc>
          <w:tcPr>
            <w:tcW w:w="534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24" w14:textId="77777777" w:rsidR="00C1548D" w:rsidRDefault="009B1B4B">
            <w:pPr>
              <w:spacing w:line="250" w:lineRule="auto"/>
            </w:pPr>
            <w:r>
              <w:rPr>
                <w:b/>
                <w:bCs/>
                <w:sz w:val="18"/>
                <w:szCs w:val="18"/>
              </w:rPr>
              <w:t>Deine Frage oder Situation</w:t>
            </w:r>
          </w:p>
        </w:tc>
        <w:tc>
          <w:tcPr>
            <w:tcW w:w="113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25" w14:textId="77777777" w:rsidR="00C1548D" w:rsidRDefault="009B1B4B">
            <w:pPr>
              <w:spacing w:line="250" w:lineRule="auto"/>
            </w:pPr>
            <w:r>
              <w:rPr>
                <w:b/>
                <w:bCs/>
                <w:sz w:val="18"/>
                <w:szCs w:val="18"/>
              </w:rPr>
              <w:t>Kapitel</w:t>
            </w:r>
          </w:p>
        </w:tc>
      </w:tr>
      <w:tr w:rsidR="00C1548D" w14:paraId="70A51C29"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27" w14:textId="77777777" w:rsidR="00C1548D" w:rsidRDefault="009B1B4B">
            <w:pPr>
              <w:spacing w:line="250" w:lineRule="auto"/>
            </w:pPr>
            <w:r>
              <w:rPr>
                <w:sz w:val="18"/>
                <w:szCs w:val="18"/>
              </w:rPr>
              <w:t>Was muss ich in den ersten 72 Stunden nach der Landung erledigen?</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28" w14:textId="6D238762" w:rsidR="00C1548D" w:rsidRDefault="009B1B4B">
            <w:pPr>
              <w:spacing w:line="250" w:lineRule="auto"/>
            </w:pPr>
            <w:r>
              <w:rPr>
                <w:sz w:val="18"/>
                <w:szCs w:val="18"/>
              </w:rPr>
              <w:t>Kapitel </w:t>
            </w:r>
            <w:hyperlink w:anchor="k23" w:history="1">
              <w:r>
                <w:rPr>
                  <w:sz w:val="18"/>
                  <w:szCs w:val="18"/>
                </w:rPr>
                <w:t>23</w:t>
              </w:r>
            </w:hyperlink>
          </w:p>
        </w:tc>
      </w:tr>
      <w:tr w:rsidR="00C1548D" w14:paraId="70A51C2C"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2A" w14:textId="77777777" w:rsidR="00C1548D" w:rsidRDefault="009B1B4B">
            <w:pPr>
              <w:spacing w:line="250" w:lineRule="auto"/>
            </w:pPr>
            <w:r>
              <w:rPr>
                <w:sz w:val="18"/>
                <w:szCs w:val="18"/>
              </w:rPr>
              <w:t>Wie beantrage ich meine Social Security Number?</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2B" w14:textId="32FB3712" w:rsidR="00C1548D" w:rsidRDefault="009B1B4B">
            <w:pPr>
              <w:spacing w:line="250" w:lineRule="auto"/>
            </w:pPr>
            <w:r>
              <w:rPr>
                <w:sz w:val="18"/>
                <w:szCs w:val="18"/>
              </w:rPr>
              <w:t>Kapitel </w:t>
            </w:r>
            <w:hyperlink w:anchor="k24" w:history="1">
              <w:r>
                <w:rPr>
                  <w:sz w:val="18"/>
                  <w:szCs w:val="18"/>
                </w:rPr>
                <w:t>24</w:t>
              </w:r>
            </w:hyperlink>
          </w:p>
        </w:tc>
      </w:tr>
      <w:tr w:rsidR="00C1548D" w14:paraId="70A51C2F"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2D" w14:textId="77777777" w:rsidR="00C1548D" w:rsidRDefault="009B1B4B">
            <w:pPr>
              <w:spacing w:line="250" w:lineRule="auto"/>
            </w:pPr>
            <w:r>
              <w:rPr>
                <w:sz w:val="18"/>
                <w:szCs w:val="18"/>
              </w:rPr>
              <w:t>Ich bekomme keine SSN – wie melde ich trotzdem meine Steuern an?</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2E" w14:textId="46C70162" w:rsidR="00C1548D" w:rsidRDefault="009B1B4B">
            <w:pPr>
              <w:spacing w:line="250" w:lineRule="auto"/>
            </w:pPr>
            <w:r>
              <w:rPr>
                <w:sz w:val="18"/>
                <w:szCs w:val="18"/>
              </w:rPr>
              <w:t>Kapitel </w:t>
            </w:r>
            <w:hyperlink w:anchor="k24" w:history="1">
              <w:r>
                <w:rPr>
                  <w:sz w:val="18"/>
                  <w:szCs w:val="18"/>
                </w:rPr>
                <w:t>24</w:t>
              </w:r>
            </w:hyperlink>
          </w:p>
        </w:tc>
      </w:tr>
      <w:tr w:rsidR="00C1548D" w14:paraId="70A51C32"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30" w14:textId="77777777" w:rsidR="00C1548D" w:rsidRDefault="009B1B4B">
            <w:pPr>
              <w:spacing w:line="250" w:lineRule="auto"/>
            </w:pPr>
            <w:r>
              <w:rPr>
                <w:sz w:val="18"/>
                <w:szCs w:val="18"/>
              </w:rPr>
              <w:t>Wie eröffne ich ein Bankkonto ohne SSN oder US-Kredithistorie?</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31" w14:textId="48C19F97" w:rsidR="00C1548D" w:rsidRDefault="009B1B4B">
            <w:pPr>
              <w:spacing w:line="250" w:lineRule="auto"/>
            </w:pPr>
            <w:r>
              <w:rPr>
                <w:sz w:val="18"/>
                <w:szCs w:val="18"/>
              </w:rPr>
              <w:t>Kapitel </w:t>
            </w:r>
            <w:hyperlink w:anchor="k25" w:history="1">
              <w:r>
                <w:rPr>
                  <w:sz w:val="18"/>
                  <w:szCs w:val="18"/>
                </w:rPr>
                <w:t>25</w:t>
              </w:r>
            </w:hyperlink>
          </w:p>
        </w:tc>
      </w:tr>
      <w:tr w:rsidR="00C1548D" w14:paraId="70A51C35"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33" w14:textId="77777777" w:rsidR="00C1548D" w:rsidRDefault="009B1B4B">
            <w:pPr>
              <w:spacing w:line="250" w:lineRule="auto"/>
            </w:pPr>
            <w:r>
              <w:rPr>
                <w:sz w:val="18"/>
                <w:szCs w:val="18"/>
              </w:rPr>
              <w:t>Wie baue ich mir eine US-Kreditwürdigkeit auf?</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34" w14:textId="70F9AB87" w:rsidR="00C1548D" w:rsidRDefault="009B1B4B">
            <w:pPr>
              <w:spacing w:line="250" w:lineRule="auto"/>
            </w:pPr>
            <w:r>
              <w:rPr>
                <w:sz w:val="18"/>
                <w:szCs w:val="18"/>
              </w:rPr>
              <w:t>Kapitel </w:t>
            </w:r>
            <w:hyperlink w:anchor="k25" w:history="1">
              <w:r>
                <w:rPr>
                  <w:sz w:val="18"/>
                  <w:szCs w:val="18"/>
                </w:rPr>
                <w:t>25</w:t>
              </w:r>
            </w:hyperlink>
          </w:p>
        </w:tc>
      </w:tr>
      <w:tr w:rsidR="00C1548D" w14:paraId="70A51C38"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36" w14:textId="77777777" w:rsidR="00C1548D" w:rsidRDefault="009B1B4B">
            <w:pPr>
              <w:spacing w:line="250" w:lineRule="auto"/>
            </w:pPr>
            <w:r>
              <w:rPr>
                <w:sz w:val="18"/>
                <w:szCs w:val="18"/>
              </w:rPr>
              <w:t>Wie funktioniert die Krankenversicherung über meinen neuen Arbeitgeber?</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37" w14:textId="0092DBAD" w:rsidR="00C1548D" w:rsidRDefault="009B1B4B">
            <w:pPr>
              <w:spacing w:line="250" w:lineRule="auto"/>
            </w:pPr>
            <w:r>
              <w:rPr>
                <w:sz w:val="18"/>
                <w:szCs w:val="18"/>
              </w:rPr>
              <w:t>Kapitel </w:t>
            </w:r>
            <w:hyperlink w:anchor="k26" w:history="1">
              <w:r>
                <w:rPr>
                  <w:sz w:val="18"/>
                  <w:szCs w:val="18"/>
                </w:rPr>
                <w:t>26</w:t>
              </w:r>
            </w:hyperlink>
          </w:p>
        </w:tc>
      </w:tr>
      <w:tr w:rsidR="00C1548D" w14:paraId="70A51C3B"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39" w14:textId="77777777" w:rsidR="00C1548D" w:rsidRDefault="009B1B4B">
            <w:pPr>
              <w:spacing w:line="250" w:lineRule="auto"/>
            </w:pPr>
            <w:r>
              <w:rPr>
                <w:sz w:val="18"/>
                <w:szCs w:val="18"/>
              </w:rPr>
              <w:t>Ich habe Fieber – Hausarzt, Urgent Care oder Notaufnahme?</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3A" w14:textId="7745FBAD" w:rsidR="00C1548D" w:rsidRDefault="009B1B4B">
            <w:pPr>
              <w:spacing w:line="250" w:lineRule="auto"/>
            </w:pPr>
            <w:r>
              <w:rPr>
                <w:sz w:val="18"/>
                <w:szCs w:val="18"/>
              </w:rPr>
              <w:t>Kapitel </w:t>
            </w:r>
            <w:hyperlink w:anchor="k26" w:history="1">
              <w:r>
                <w:rPr>
                  <w:sz w:val="18"/>
                  <w:szCs w:val="18"/>
                </w:rPr>
                <w:t>26</w:t>
              </w:r>
            </w:hyperlink>
          </w:p>
        </w:tc>
      </w:tr>
      <w:tr w:rsidR="00C1548D" w14:paraId="70A51C3E"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3C" w14:textId="77777777" w:rsidR="00C1548D" w:rsidRDefault="009B1B4B">
            <w:pPr>
              <w:spacing w:line="250" w:lineRule="auto"/>
            </w:pPr>
            <w:r>
              <w:rPr>
                <w:sz w:val="18"/>
                <w:szCs w:val="18"/>
              </w:rPr>
              <w:t>Wie lange darf ich noch mit meinem deutschen Führerschein fahren?</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3D" w14:textId="5486A1A9" w:rsidR="00C1548D" w:rsidRDefault="009B1B4B">
            <w:pPr>
              <w:spacing w:line="250" w:lineRule="auto"/>
            </w:pPr>
            <w:r>
              <w:rPr>
                <w:sz w:val="18"/>
                <w:szCs w:val="18"/>
              </w:rPr>
              <w:t>Kapitel </w:t>
            </w:r>
            <w:hyperlink w:anchor="k27" w:history="1">
              <w:r>
                <w:rPr>
                  <w:sz w:val="18"/>
                  <w:szCs w:val="18"/>
                </w:rPr>
                <w:t>27</w:t>
              </w:r>
            </w:hyperlink>
          </w:p>
        </w:tc>
      </w:tr>
      <w:tr w:rsidR="00C1548D" w14:paraId="70A51C41"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3F" w14:textId="77777777" w:rsidR="00C1548D" w:rsidRDefault="009B1B4B">
            <w:pPr>
              <w:spacing w:line="250" w:lineRule="auto"/>
            </w:pPr>
            <w:r>
              <w:rPr>
                <w:sz w:val="18"/>
                <w:szCs w:val="18"/>
              </w:rPr>
              <w:t>Wie kaufe ich mein erstes Auto in den USA?</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40" w14:textId="04C62AE1" w:rsidR="00C1548D" w:rsidRDefault="009B1B4B">
            <w:pPr>
              <w:spacing w:line="250" w:lineRule="auto"/>
            </w:pPr>
            <w:r>
              <w:rPr>
                <w:sz w:val="18"/>
                <w:szCs w:val="18"/>
              </w:rPr>
              <w:t>Kapitel </w:t>
            </w:r>
            <w:hyperlink w:anchor="k27" w:history="1">
              <w:r>
                <w:rPr>
                  <w:sz w:val="18"/>
                  <w:szCs w:val="18"/>
                </w:rPr>
                <w:t>27</w:t>
              </w:r>
            </w:hyperlink>
          </w:p>
        </w:tc>
      </w:tr>
      <w:tr w:rsidR="00C1548D" w14:paraId="70A51C44"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42" w14:textId="77777777" w:rsidR="00C1548D" w:rsidRDefault="009B1B4B">
            <w:pPr>
              <w:spacing w:line="250" w:lineRule="auto"/>
            </w:pPr>
            <w:r>
              <w:rPr>
                <w:sz w:val="18"/>
                <w:szCs w:val="18"/>
              </w:rPr>
              <w:t>Lohnt es sich, mein Auto aus Deutschland mitzubringen?</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43" w14:textId="3E9B691D" w:rsidR="00C1548D" w:rsidRDefault="009B1B4B">
            <w:pPr>
              <w:spacing w:line="250" w:lineRule="auto"/>
            </w:pPr>
            <w:r>
              <w:rPr>
                <w:sz w:val="18"/>
                <w:szCs w:val="18"/>
              </w:rPr>
              <w:t>Kapitel </w:t>
            </w:r>
            <w:hyperlink w:anchor="k27" w:history="1">
              <w:r>
                <w:rPr>
                  <w:sz w:val="18"/>
                  <w:szCs w:val="18"/>
                </w:rPr>
                <w:t>27</w:t>
              </w:r>
            </w:hyperlink>
          </w:p>
        </w:tc>
      </w:tr>
    </w:tbl>
    <w:p w14:paraId="70A51C45" w14:textId="77777777" w:rsidR="00C1548D" w:rsidRDefault="00C1548D">
      <w:pPr>
        <w:spacing w:line="180" w:lineRule="exact"/>
      </w:pPr>
    </w:p>
    <w:p w14:paraId="70A51C46" w14:textId="77777777" w:rsidR="00C1548D" w:rsidRDefault="009B1B4B">
      <w:pPr>
        <w:pStyle w:val="Heading3"/>
        <w:keepNext/>
        <w:jc w:val="center"/>
      </w:pPr>
      <w:r>
        <w:rPr>
          <w:rFonts w:ascii="Amazon Ember" w:eastAsia="Amazon Ember" w:hAnsi="Amazon Ember" w:cs="Amazon Ember"/>
          <w:color w:val="0000FF"/>
          <w:sz w:val="36"/>
          <w:szCs w:val="36"/>
        </w:rPr>
        <w:lastRenderedPageBreak/>
        <w:t>Arbeiten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3"/>
        <w:gridCol w:w="1137"/>
      </w:tblGrid>
      <w:tr w:rsidR="00C1548D" w14:paraId="70A51C49" w14:textId="77777777">
        <w:tblPrEx>
          <w:tblCellMar>
            <w:top w:w="0" w:type="dxa"/>
            <w:bottom w:w="0" w:type="dxa"/>
          </w:tblCellMar>
        </w:tblPrEx>
        <w:trPr>
          <w:cantSplit/>
          <w:tblHeader/>
        </w:trPr>
        <w:tc>
          <w:tcPr>
            <w:tcW w:w="534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47" w14:textId="77777777" w:rsidR="00C1548D" w:rsidRDefault="009B1B4B">
            <w:pPr>
              <w:spacing w:line="250" w:lineRule="auto"/>
            </w:pPr>
            <w:r>
              <w:rPr>
                <w:b/>
                <w:bCs/>
                <w:sz w:val="18"/>
                <w:szCs w:val="18"/>
              </w:rPr>
              <w:t>Deine Frage oder Situation</w:t>
            </w:r>
          </w:p>
        </w:tc>
        <w:tc>
          <w:tcPr>
            <w:tcW w:w="113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48" w14:textId="77777777" w:rsidR="00C1548D" w:rsidRDefault="009B1B4B">
            <w:pPr>
              <w:spacing w:line="250" w:lineRule="auto"/>
            </w:pPr>
            <w:r>
              <w:rPr>
                <w:b/>
                <w:bCs/>
                <w:sz w:val="18"/>
                <w:szCs w:val="18"/>
              </w:rPr>
              <w:t>Kapitel</w:t>
            </w:r>
          </w:p>
        </w:tc>
      </w:tr>
      <w:tr w:rsidR="00C1548D" w14:paraId="70A51C4C"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4A" w14:textId="77777777" w:rsidR="00C1548D" w:rsidRDefault="009B1B4B">
            <w:pPr>
              <w:spacing w:line="250" w:lineRule="auto"/>
            </w:pPr>
            <w:r>
              <w:rPr>
                <w:sz w:val="18"/>
                <w:szCs w:val="18"/>
              </w:rPr>
              <w:t>Wie funktioniert meine Steuererklärung in den USA?</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4B" w14:textId="3908F2C8" w:rsidR="00C1548D" w:rsidRDefault="009B1B4B">
            <w:pPr>
              <w:spacing w:line="250" w:lineRule="auto"/>
            </w:pPr>
            <w:r>
              <w:rPr>
                <w:sz w:val="18"/>
                <w:szCs w:val="18"/>
              </w:rPr>
              <w:t>Kapitel </w:t>
            </w:r>
            <w:hyperlink w:anchor="k28" w:history="1">
              <w:r>
                <w:rPr>
                  <w:sz w:val="18"/>
                  <w:szCs w:val="18"/>
                </w:rPr>
                <w:t>28</w:t>
              </w:r>
            </w:hyperlink>
          </w:p>
        </w:tc>
      </w:tr>
      <w:tr w:rsidR="00C1548D" w14:paraId="70A51C4F"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4D" w14:textId="77777777" w:rsidR="00C1548D" w:rsidRDefault="009B1B4B">
            <w:pPr>
              <w:spacing w:line="250" w:lineRule="auto"/>
            </w:pPr>
            <w:r>
              <w:rPr>
                <w:sz w:val="18"/>
                <w:szCs w:val="18"/>
              </w:rPr>
              <w:t>Was ist FBAR, und muss ich mein deutsches Konto beim Finanzamt melden?</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4E" w14:textId="43ACFB47" w:rsidR="00C1548D" w:rsidRDefault="009B1B4B">
            <w:pPr>
              <w:spacing w:line="250" w:lineRule="auto"/>
            </w:pPr>
            <w:r>
              <w:rPr>
                <w:sz w:val="18"/>
                <w:szCs w:val="18"/>
              </w:rPr>
              <w:t>Kapitel </w:t>
            </w:r>
            <w:hyperlink w:anchor="k28" w:history="1">
              <w:r>
                <w:rPr>
                  <w:sz w:val="18"/>
                  <w:szCs w:val="18"/>
                </w:rPr>
                <w:t>28</w:t>
              </w:r>
            </w:hyperlink>
          </w:p>
        </w:tc>
      </w:tr>
      <w:tr w:rsidR="00C1548D" w14:paraId="70A51C52"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50" w14:textId="77777777" w:rsidR="00C1548D" w:rsidRDefault="009B1B4B">
            <w:pPr>
              <w:spacing w:line="250" w:lineRule="auto"/>
            </w:pPr>
            <w:r>
              <w:rPr>
                <w:sz w:val="18"/>
                <w:szCs w:val="18"/>
              </w:rPr>
              <w:t>Kann mein Arbeitgeber mir wirklich ohne Grund kündigen?</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51" w14:textId="0B53206D" w:rsidR="00C1548D" w:rsidRDefault="009B1B4B">
            <w:pPr>
              <w:spacing w:line="250" w:lineRule="auto"/>
            </w:pPr>
            <w:r>
              <w:rPr>
                <w:sz w:val="18"/>
                <w:szCs w:val="18"/>
              </w:rPr>
              <w:t>Kapitel </w:t>
            </w:r>
            <w:hyperlink w:anchor="k29" w:history="1">
              <w:r>
                <w:rPr>
                  <w:sz w:val="18"/>
                  <w:szCs w:val="18"/>
                </w:rPr>
                <w:t>29</w:t>
              </w:r>
            </w:hyperlink>
          </w:p>
        </w:tc>
      </w:tr>
      <w:tr w:rsidR="00C1548D" w14:paraId="70A51C55"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53" w14:textId="77777777" w:rsidR="00C1548D" w:rsidRDefault="009B1B4B">
            <w:pPr>
              <w:spacing w:line="250" w:lineRule="auto"/>
            </w:pPr>
            <w:r>
              <w:rPr>
                <w:sz w:val="18"/>
                <w:szCs w:val="18"/>
              </w:rPr>
              <w:t>Wie viel Urlaub steht mir in den USA eigentlich zu?</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54" w14:textId="6618581C" w:rsidR="00C1548D" w:rsidRDefault="009B1B4B">
            <w:pPr>
              <w:spacing w:line="250" w:lineRule="auto"/>
            </w:pPr>
            <w:r>
              <w:rPr>
                <w:sz w:val="18"/>
                <w:szCs w:val="18"/>
              </w:rPr>
              <w:t>Kapitel </w:t>
            </w:r>
            <w:hyperlink w:anchor="k29" w:history="1">
              <w:r>
                <w:rPr>
                  <w:sz w:val="18"/>
                  <w:szCs w:val="18"/>
                </w:rPr>
                <w:t>29</w:t>
              </w:r>
            </w:hyperlink>
          </w:p>
        </w:tc>
      </w:tr>
      <w:tr w:rsidR="00C1548D" w14:paraId="70A51C58"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56" w14:textId="77777777" w:rsidR="00C1548D" w:rsidRDefault="009B1B4B">
            <w:pPr>
              <w:spacing w:line="250" w:lineRule="auto"/>
            </w:pPr>
            <w:r>
              <w:rPr>
                <w:sz w:val="18"/>
                <w:szCs w:val="18"/>
              </w:rPr>
              <w:t>Wie schreibe ich eine Bewerbung nach US-Standard?</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57" w14:textId="428EB397" w:rsidR="00C1548D" w:rsidRDefault="009B1B4B">
            <w:pPr>
              <w:spacing w:line="250" w:lineRule="auto"/>
            </w:pPr>
            <w:r>
              <w:rPr>
                <w:sz w:val="18"/>
                <w:szCs w:val="18"/>
              </w:rPr>
              <w:t>Kapitel </w:t>
            </w:r>
            <w:hyperlink w:anchor="k29" w:history="1">
              <w:r>
                <w:rPr>
                  <w:sz w:val="18"/>
                  <w:szCs w:val="18"/>
                </w:rPr>
                <w:t>29</w:t>
              </w:r>
            </w:hyperlink>
          </w:p>
        </w:tc>
      </w:tr>
      <w:tr w:rsidR="00C1548D" w14:paraId="70A51C5B"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59" w14:textId="77777777" w:rsidR="00C1548D" w:rsidRDefault="009B1B4B">
            <w:pPr>
              <w:spacing w:line="250" w:lineRule="auto"/>
            </w:pPr>
            <w:r>
              <w:rPr>
                <w:sz w:val="18"/>
                <w:szCs w:val="18"/>
              </w:rPr>
              <w:t>Mein Arbeitgeber hat mir gekündigt, was jetzt?</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5A" w14:textId="62922FC5" w:rsidR="00C1548D" w:rsidRDefault="009B1B4B">
            <w:pPr>
              <w:spacing w:line="250" w:lineRule="auto"/>
            </w:pPr>
            <w:r>
              <w:rPr>
                <w:sz w:val="18"/>
                <w:szCs w:val="18"/>
              </w:rPr>
              <w:t>Kapitel </w:t>
            </w:r>
            <w:hyperlink w:anchor="k30" w:history="1">
              <w:r>
                <w:rPr>
                  <w:sz w:val="18"/>
                  <w:szCs w:val="18"/>
                </w:rPr>
                <w:t>30</w:t>
              </w:r>
            </w:hyperlink>
          </w:p>
        </w:tc>
      </w:tr>
      <w:tr w:rsidR="00C1548D" w14:paraId="70A51C5E"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5C" w14:textId="77777777" w:rsidR="00C1548D" w:rsidRDefault="009B1B4B">
            <w:pPr>
              <w:spacing w:line="250" w:lineRule="auto"/>
            </w:pPr>
            <w:r>
              <w:rPr>
                <w:sz w:val="18"/>
                <w:szCs w:val="18"/>
              </w:rPr>
              <w:t>Kann ich zu einem anderen Arbeitgeber wechseln, ohne meinen Status zu gefährden?</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5D" w14:textId="25DB540B" w:rsidR="00C1548D" w:rsidRDefault="009B1B4B">
            <w:pPr>
              <w:spacing w:line="250" w:lineRule="auto"/>
            </w:pPr>
            <w:r>
              <w:rPr>
                <w:sz w:val="18"/>
                <w:szCs w:val="18"/>
              </w:rPr>
              <w:t>Kapitel </w:t>
            </w:r>
            <w:hyperlink w:anchor="k30" w:history="1">
              <w:r>
                <w:rPr>
                  <w:sz w:val="18"/>
                  <w:szCs w:val="18"/>
                </w:rPr>
                <w:t>30</w:t>
              </w:r>
            </w:hyperlink>
          </w:p>
        </w:tc>
      </w:tr>
      <w:tr w:rsidR="00C1548D" w14:paraId="70A51C61"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5F" w14:textId="77777777" w:rsidR="00C1548D" w:rsidRDefault="009B1B4B">
            <w:pPr>
              <w:spacing w:line="250" w:lineRule="auto"/>
            </w:pPr>
            <w:r>
              <w:rPr>
                <w:sz w:val="18"/>
                <w:szCs w:val="18"/>
              </w:rPr>
              <w:t>Ich ziehe innerhalb der USA um – muss ich das irgendwo melden?</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60" w14:textId="638D7393" w:rsidR="00C1548D" w:rsidRDefault="009B1B4B">
            <w:pPr>
              <w:spacing w:line="250" w:lineRule="auto"/>
            </w:pPr>
            <w:r>
              <w:rPr>
                <w:sz w:val="18"/>
                <w:szCs w:val="18"/>
              </w:rPr>
              <w:t>Kapitel </w:t>
            </w:r>
            <w:hyperlink w:anchor="k30" w:history="1">
              <w:r>
                <w:rPr>
                  <w:sz w:val="18"/>
                  <w:szCs w:val="18"/>
                </w:rPr>
                <w:t>30</w:t>
              </w:r>
            </w:hyperlink>
          </w:p>
        </w:tc>
      </w:tr>
      <w:tr w:rsidR="00C1548D" w14:paraId="70A51C64"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62" w14:textId="77777777" w:rsidR="00C1548D" w:rsidRDefault="009B1B4B">
            <w:pPr>
              <w:spacing w:line="250" w:lineRule="auto"/>
            </w:pPr>
            <w:r>
              <w:rPr>
                <w:sz w:val="18"/>
                <w:szCs w:val="18"/>
              </w:rPr>
              <w:t>Gefährdet ein Jobwechsel mein laufendes Green-Card-Verfahren?</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63" w14:textId="0BD00529" w:rsidR="00C1548D" w:rsidRDefault="009B1B4B">
            <w:pPr>
              <w:spacing w:line="250" w:lineRule="auto"/>
            </w:pPr>
            <w:r>
              <w:rPr>
                <w:sz w:val="18"/>
                <w:szCs w:val="18"/>
              </w:rPr>
              <w:t>Kapitel </w:t>
            </w:r>
            <w:hyperlink w:anchor="k30" w:history="1">
              <w:r>
                <w:rPr>
                  <w:sz w:val="18"/>
                  <w:szCs w:val="18"/>
                </w:rPr>
                <w:t>30</w:t>
              </w:r>
            </w:hyperlink>
          </w:p>
        </w:tc>
      </w:tr>
    </w:tbl>
    <w:p w14:paraId="70A51C65" w14:textId="77777777" w:rsidR="00C1548D" w:rsidRDefault="00C1548D">
      <w:pPr>
        <w:spacing w:line="180" w:lineRule="exact"/>
      </w:pPr>
    </w:p>
    <w:p w14:paraId="70A51C66" w14:textId="77777777" w:rsidR="00C1548D" w:rsidRDefault="009B1B4B">
      <w:pPr>
        <w:pStyle w:val="Heading3"/>
        <w:keepNext/>
        <w:jc w:val="center"/>
      </w:pPr>
      <w:r>
        <w:rPr>
          <w:rFonts w:ascii="Amazon Ember" w:eastAsia="Amazon Ember" w:hAnsi="Amazon Ember" w:cs="Amazon Ember"/>
          <w:color w:val="0000FF"/>
          <w:sz w:val="36"/>
          <w:szCs w:val="36"/>
        </w:rPr>
        <w:t>Leben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1"/>
        <w:gridCol w:w="1139"/>
      </w:tblGrid>
      <w:tr w:rsidR="00C1548D" w14:paraId="70A51C69" w14:textId="77777777">
        <w:tblPrEx>
          <w:tblCellMar>
            <w:top w:w="0" w:type="dxa"/>
            <w:bottom w:w="0" w:type="dxa"/>
          </w:tblCellMar>
        </w:tblPrEx>
        <w:trPr>
          <w:cantSplit/>
          <w:tblHeader/>
        </w:trPr>
        <w:tc>
          <w:tcPr>
            <w:tcW w:w="534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67" w14:textId="77777777" w:rsidR="00C1548D" w:rsidRDefault="009B1B4B">
            <w:pPr>
              <w:spacing w:line="250" w:lineRule="auto"/>
            </w:pPr>
            <w:r>
              <w:rPr>
                <w:b/>
                <w:bCs/>
                <w:sz w:val="18"/>
                <w:szCs w:val="18"/>
              </w:rPr>
              <w:t>Deine Frage oder Situation</w:t>
            </w:r>
          </w:p>
        </w:tc>
        <w:tc>
          <w:tcPr>
            <w:tcW w:w="113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68" w14:textId="77777777" w:rsidR="00C1548D" w:rsidRDefault="009B1B4B">
            <w:pPr>
              <w:spacing w:line="250" w:lineRule="auto"/>
            </w:pPr>
            <w:r>
              <w:rPr>
                <w:b/>
                <w:bCs/>
                <w:sz w:val="18"/>
                <w:szCs w:val="18"/>
              </w:rPr>
              <w:t>Kapitel</w:t>
            </w:r>
          </w:p>
        </w:tc>
      </w:tr>
      <w:tr w:rsidR="00C1548D" w14:paraId="70A51C6C"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6A" w14:textId="77777777" w:rsidR="00C1548D" w:rsidRDefault="009B1B4B">
            <w:pPr>
              <w:spacing w:line="250" w:lineRule="auto"/>
            </w:pPr>
            <w:r>
              <w:rPr>
                <w:sz w:val="18"/>
                <w:szCs w:val="18"/>
              </w:rPr>
              <w:t>Wie viel Trinkgeld gebe ich im Restaurant?</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6B" w14:textId="53392579" w:rsidR="00C1548D" w:rsidRDefault="009B1B4B">
            <w:pPr>
              <w:spacing w:line="250" w:lineRule="auto"/>
            </w:pPr>
            <w:r>
              <w:rPr>
                <w:sz w:val="18"/>
                <w:szCs w:val="18"/>
              </w:rPr>
              <w:t>Kapitel </w:t>
            </w:r>
            <w:hyperlink w:anchor="k31" w:history="1">
              <w:r>
                <w:rPr>
                  <w:sz w:val="18"/>
                  <w:szCs w:val="18"/>
                </w:rPr>
                <w:t>31</w:t>
              </w:r>
            </w:hyperlink>
          </w:p>
        </w:tc>
      </w:tr>
      <w:tr w:rsidR="00C1548D" w14:paraId="70A51C6F"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6D" w14:textId="77777777" w:rsidR="00C1548D" w:rsidRDefault="009B1B4B">
            <w:pPr>
              <w:spacing w:line="250" w:lineRule="auto"/>
            </w:pPr>
            <w:r>
              <w:rPr>
                <w:sz w:val="18"/>
                <w:szCs w:val="18"/>
              </w:rPr>
              <w:t>Warum begrüßt mich hier jeder mit einer Frage, auf die niemand eine Antwort erwartet?</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6E" w14:textId="3552F7F3" w:rsidR="00C1548D" w:rsidRDefault="009B1B4B">
            <w:pPr>
              <w:spacing w:line="250" w:lineRule="auto"/>
            </w:pPr>
            <w:r>
              <w:rPr>
                <w:sz w:val="18"/>
                <w:szCs w:val="18"/>
              </w:rPr>
              <w:t>Kapitel </w:t>
            </w:r>
            <w:hyperlink w:anchor="k31" w:history="1">
              <w:r>
                <w:rPr>
                  <w:sz w:val="18"/>
                  <w:szCs w:val="18"/>
                </w:rPr>
                <w:t>31</w:t>
              </w:r>
            </w:hyperlink>
          </w:p>
        </w:tc>
      </w:tr>
      <w:tr w:rsidR="00C1548D" w14:paraId="70A51C72"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70" w14:textId="77777777" w:rsidR="00C1548D" w:rsidRDefault="009B1B4B">
            <w:pPr>
              <w:spacing w:line="250" w:lineRule="auto"/>
            </w:pPr>
            <w:r>
              <w:rPr>
                <w:sz w:val="18"/>
                <w:szCs w:val="18"/>
              </w:rPr>
              <w:t>Über welche Themen sollte ich bei Fremden lieber schweigen?</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71" w14:textId="32FE3A0A" w:rsidR="00C1548D" w:rsidRDefault="009B1B4B">
            <w:pPr>
              <w:spacing w:line="250" w:lineRule="auto"/>
            </w:pPr>
            <w:r>
              <w:rPr>
                <w:sz w:val="18"/>
                <w:szCs w:val="18"/>
              </w:rPr>
              <w:t>Kapitel </w:t>
            </w:r>
            <w:hyperlink w:anchor="k31" w:history="1">
              <w:r>
                <w:rPr>
                  <w:sz w:val="18"/>
                  <w:szCs w:val="18"/>
                </w:rPr>
                <w:t>31</w:t>
              </w:r>
            </w:hyperlink>
          </w:p>
        </w:tc>
      </w:tr>
      <w:tr w:rsidR="00C1548D" w14:paraId="70A51C75"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73" w14:textId="77777777" w:rsidR="00C1548D" w:rsidRDefault="009B1B4B">
            <w:pPr>
              <w:spacing w:line="250" w:lineRule="auto"/>
            </w:pPr>
            <w:r>
              <w:rPr>
                <w:sz w:val="18"/>
                <w:szCs w:val="18"/>
              </w:rPr>
              <w:t>Wie finde ich in einem neuen Land überhaupt Freunde?</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74" w14:textId="0D49FD0D" w:rsidR="00C1548D" w:rsidRDefault="009B1B4B">
            <w:pPr>
              <w:spacing w:line="250" w:lineRule="auto"/>
            </w:pPr>
            <w:r>
              <w:rPr>
                <w:sz w:val="18"/>
                <w:szCs w:val="18"/>
              </w:rPr>
              <w:t>Kapitel </w:t>
            </w:r>
            <w:hyperlink w:anchor="k32" w:history="1">
              <w:r>
                <w:rPr>
                  <w:sz w:val="18"/>
                  <w:szCs w:val="18"/>
                </w:rPr>
                <w:t>32</w:t>
              </w:r>
            </w:hyperlink>
          </w:p>
        </w:tc>
      </w:tr>
      <w:tr w:rsidR="00C1548D" w14:paraId="70A51C78"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76" w14:textId="77777777" w:rsidR="00C1548D" w:rsidRDefault="009B1B4B">
            <w:pPr>
              <w:spacing w:line="250" w:lineRule="auto"/>
            </w:pPr>
            <w:r>
              <w:rPr>
                <w:sz w:val="18"/>
                <w:szCs w:val="18"/>
              </w:rPr>
              <w:t>Warum lädt mich niemand spontan nach Feierabend ein?</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77" w14:textId="6F331A74" w:rsidR="00C1548D" w:rsidRDefault="009B1B4B">
            <w:pPr>
              <w:spacing w:line="250" w:lineRule="auto"/>
            </w:pPr>
            <w:r>
              <w:rPr>
                <w:sz w:val="18"/>
                <w:szCs w:val="18"/>
              </w:rPr>
              <w:t>Kapitel </w:t>
            </w:r>
            <w:hyperlink w:anchor="k32" w:history="1">
              <w:r>
                <w:rPr>
                  <w:sz w:val="18"/>
                  <w:szCs w:val="18"/>
                </w:rPr>
                <w:t>32</w:t>
              </w:r>
            </w:hyperlink>
          </w:p>
        </w:tc>
      </w:tr>
      <w:tr w:rsidR="00C1548D" w14:paraId="70A51C7B"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79" w14:textId="77777777" w:rsidR="00C1548D" w:rsidRDefault="009B1B4B">
            <w:pPr>
              <w:spacing w:line="250" w:lineRule="auto"/>
            </w:pPr>
            <w:r>
              <w:rPr>
                <w:sz w:val="18"/>
                <w:szCs w:val="18"/>
              </w:rPr>
              <w:t>Ich fühle mich seit Monaten fremd und unglücklich – ist das normal?</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7A" w14:textId="658596C9" w:rsidR="00C1548D" w:rsidRDefault="009B1B4B">
            <w:pPr>
              <w:spacing w:line="250" w:lineRule="auto"/>
            </w:pPr>
            <w:r>
              <w:rPr>
                <w:sz w:val="18"/>
                <w:szCs w:val="18"/>
              </w:rPr>
              <w:t>Kapitel </w:t>
            </w:r>
            <w:hyperlink w:anchor="k33" w:history="1">
              <w:r>
                <w:rPr>
                  <w:sz w:val="18"/>
                  <w:szCs w:val="18"/>
                </w:rPr>
                <w:t>33</w:t>
              </w:r>
            </w:hyperlink>
          </w:p>
        </w:tc>
      </w:tr>
      <w:tr w:rsidR="00C1548D" w14:paraId="70A51C7E"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7C" w14:textId="77777777" w:rsidR="00C1548D" w:rsidRDefault="009B1B4B">
            <w:pPr>
              <w:spacing w:line="250" w:lineRule="auto"/>
            </w:pPr>
            <w:r>
              <w:rPr>
                <w:sz w:val="18"/>
                <w:szCs w:val="18"/>
              </w:rPr>
              <w:t>An wen wende ich mich, wenn es mir psychisch richtig schlecht geht?</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7D" w14:textId="1C3D3072" w:rsidR="00C1548D" w:rsidRDefault="009B1B4B">
            <w:pPr>
              <w:spacing w:line="250" w:lineRule="auto"/>
            </w:pPr>
            <w:r>
              <w:rPr>
                <w:sz w:val="18"/>
                <w:szCs w:val="18"/>
              </w:rPr>
              <w:t>Kapitel </w:t>
            </w:r>
            <w:hyperlink w:anchor="k33" w:history="1">
              <w:r>
                <w:rPr>
                  <w:sz w:val="18"/>
                  <w:szCs w:val="18"/>
                </w:rPr>
                <w:t>33</w:t>
              </w:r>
            </w:hyperlink>
          </w:p>
        </w:tc>
      </w:tr>
      <w:tr w:rsidR="00C1548D" w14:paraId="70A51C81"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7F" w14:textId="77777777" w:rsidR="00C1548D" w:rsidRDefault="009B1B4B">
            <w:pPr>
              <w:spacing w:line="250" w:lineRule="auto"/>
            </w:pPr>
            <w:r>
              <w:rPr>
                <w:sz w:val="18"/>
                <w:szCs w:val="18"/>
              </w:rPr>
              <w:t>Muss ich mir für den Job einen Anzug kaufen?</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80" w14:textId="0D898232" w:rsidR="00C1548D" w:rsidRDefault="009B1B4B">
            <w:pPr>
              <w:spacing w:line="250" w:lineRule="auto"/>
            </w:pPr>
            <w:r>
              <w:rPr>
                <w:sz w:val="18"/>
                <w:szCs w:val="18"/>
              </w:rPr>
              <w:t>Kapitel </w:t>
            </w:r>
            <w:hyperlink w:anchor="k34" w:history="1">
              <w:r>
                <w:rPr>
                  <w:sz w:val="18"/>
                  <w:szCs w:val="18"/>
                </w:rPr>
                <w:t>34</w:t>
              </w:r>
            </w:hyperlink>
          </w:p>
        </w:tc>
      </w:tr>
      <w:tr w:rsidR="00C1548D" w14:paraId="70A51C84"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82" w14:textId="77777777" w:rsidR="00C1548D" w:rsidRDefault="009B1B4B">
            <w:pPr>
              <w:spacing w:line="250" w:lineRule="auto"/>
            </w:pPr>
            <w:r>
              <w:rPr>
                <w:sz w:val="18"/>
                <w:szCs w:val="18"/>
              </w:rPr>
              <w:t>Wo kaufe ich günstig Lebensmittel ein?</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83" w14:textId="15DD36CE" w:rsidR="00C1548D" w:rsidRDefault="009B1B4B">
            <w:pPr>
              <w:spacing w:line="250" w:lineRule="auto"/>
            </w:pPr>
            <w:r>
              <w:rPr>
                <w:sz w:val="18"/>
                <w:szCs w:val="18"/>
              </w:rPr>
              <w:t>Kapitel </w:t>
            </w:r>
            <w:hyperlink w:anchor="k35" w:history="1">
              <w:r>
                <w:rPr>
                  <w:sz w:val="18"/>
                  <w:szCs w:val="18"/>
                </w:rPr>
                <w:t>35</w:t>
              </w:r>
            </w:hyperlink>
          </w:p>
        </w:tc>
      </w:tr>
      <w:tr w:rsidR="00C1548D" w14:paraId="70A51C87" w14:textId="77777777">
        <w:tblPrEx>
          <w:tblCellMar>
            <w:top w:w="0" w:type="dxa"/>
            <w:bottom w:w="0" w:type="dxa"/>
          </w:tblCellMar>
        </w:tblPrEx>
        <w:trPr>
          <w:cantSplit/>
        </w:trPr>
        <w:tc>
          <w:tcPr>
            <w:tcW w:w="534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85" w14:textId="77777777" w:rsidR="00C1548D" w:rsidRDefault="009B1B4B">
            <w:pPr>
              <w:spacing w:line="250" w:lineRule="auto"/>
            </w:pPr>
            <w:r>
              <w:rPr>
                <w:sz w:val="18"/>
                <w:szCs w:val="18"/>
              </w:rPr>
              <w:t>Ab welchem Alter darf ich in den USA Alkohol kaufen?</w:t>
            </w:r>
          </w:p>
        </w:tc>
        <w:tc>
          <w:tcPr>
            <w:tcW w:w="113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86" w14:textId="361DCAA2" w:rsidR="00C1548D" w:rsidRDefault="009B1B4B">
            <w:pPr>
              <w:spacing w:line="250" w:lineRule="auto"/>
            </w:pPr>
            <w:r>
              <w:rPr>
                <w:sz w:val="18"/>
                <w:szCs w:val="18"/>
              </w:rPr>
              <w:t>Kapitel </w:t>
            </w:r>
            <w:hyperlink w:anchor="k35" w:history="1">
              <w:r>
                <w:rPr>
                  <w:sz w:val="18"/>
                  <w:szCs w:val="18"/>
                </w:rPr>
                <w:t>35</w:t>
              </w:r>
            </w:hyperlink>
          </w:p>
        </w:tc>
      </w:tr>
    </w:tbl>
    <w:p w14:paraId="70A51C88" w14:textId="77777777" w:rsidR="00C1548D" w:rsidRDefault="00C1548D">
      <w:pPr>
        <w:spacing w:line="180" w:lineRule="exact"/>
      </w:pPr>
    </w:p>
    <w:p w14:paraId="70A51C89" w14:textId="77777777" w:rsidR="00C1548D" w:rsidRDefault="009B1B4B">
      <w:pPr>
        <w:pStyle w:val="Heading3"/>
        <w:keepNext/>
        <w:jc w:val="center"/>
      </w:pPr>
      <w:r>
        <w:rPr>
          <w:rFonts w:ascii="Amazon Ember" w:eastAsia="Amazon Ember" w:hAnsi="Amazon Ember" w:cs="Amazon Ember"/>
          <w:color w:val="0000FF"/>
          <w:sz w:val="36"/>
          <w:szCs w:val="36"/>
        </w:rPr>
        <w:lastRenderedPageBreak/>
        <w:t>Kinder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5"/>
        <w:gridCol w:w="1135"/>
      </w:tblGrid>
      <w:tr w:rsidR="00C1548D" w14:paraId="70A51C8C" w14:textId="77777777">
        <w:tblPrEx>
          <w:tblCellMar>
            <w:top w:w="0" w:type="dxa"/>
            <w:bottom w:w="0" w:type="dxa"/>
          </w:tblCellMar>
        </w:tblPrEx>
        <w:trPr>
          <w:cantSplit/>
          <w:tblHeader/>
        </w:trPr>
        <w:tc>
          <w:tcPr>
            <w:tcW w:w="534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8A" w14:textId="77777777" w:rsidR="00C1548D" w:rsidRDefault="009B1B4B">
            <w:pPr>
              <w:spacing w:line="250" w:lineRule="auto"/>
            </w:pPr>
            <w:r>
              <w:rPr>
                <w:b/>
                <w:bCs/>
                <w:sz w:val="18"/>
                <w:szCs w:val="18"/>
              </w:rPr>
              <w:t>Deine Frage oder Situation</w:t>
            </w:r>
          </w:p>
        </w:tc>
        <w:tc>
          <w:tcPr>
            <w:tcW w:w="113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8B" w14:textId="77777777" w:rsidR="00C1548D" w:rsidRDefault="009B1B4B">
            <w:pPr>
              <w:spacing w:line="250" w:lineRule="auto"/>
            </w:pPr>
            <w:r>
              <w:rPr>
                <w:b/>
                <w:bCs/>
                <w:sz w:val="18"/>
                <w:szCs w:val="18"/>
              </w:rPr>
              <w:t>Kapitel</w:t>
            </w:r>
          </w:p>
        </w:tc>
      </w:tr>
      <w:tr w:rsidR="00C1548D" w14:paraId="70A51C8F"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8D" w14:textId="77777777" w:rsidR="00C1548D" w:rsidRDefault="009B1B4B">
            <w:pPr>
              <w:spacing w:line="250" w:lineRule="auto"/>
            </w:pPr>
            <w:r>
              <w:rPr>
                <w:sz w:val="18"/>
                <w:szCs w:val="18"/>
              </w:rPr>
              <w:t>Wie finde ich die richtige Schule für mein Kind?</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8E" w14:textId="2B2BDA82" w:rsidR="00C1548D" w:rsidRDefault="009B1B4B">
            <w:pPr>
              <w:spacing w:line="250" w:lineRule="auto"/>
            </w:pPr>
            <w:r>
              <w:rPr>
                <w:sz w:val="18"/>
                <w:szCs w:val="18"/>
              </w:rPr>
              <w:t>Kapitel </w:t>
            </w:r>
            <w:hyperlink w:anchor="k36" w:history="1">
              <w:r>
                <w:rPr>
                  <w:sz w:val="18"/>
                  <w:szCs w:val="18"/>
                </w:rPr>
                <w:t>36</w:t>
              </w:r>
            </w:hyperlink>
          </w:p>
        </w:tc>
      </w:tr>
      <w:tr w:rsidR="00C1548D" w14:paraId="70A51C92"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90" w14:textId="77777777" w:rsidR="00C1548D" w:rsidRDefault="009B1B4B">
            <w:pPr>
              <w:spacing w:line="250" w:lineRule="auto"/>
            </w:pPr>
            <w:r>
              <w:rPr>
                <w:sz w:val="18"/>
                <w:szCs w:val="18"/>
              </w:rPr>
              <w:t>Ist ein US-Schulabschluss mit dem deutschen Abitur vergleichbar?</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91" w14:textId="2E3F63AD" w:rsidR="00C1548D" w:rsidRDefault="009B1B4B">
            <w:pPr>
              <w:spacing w:line="250" w:lineRule="auto"/>
            </w:pPr>
            <w:r>
              <w:rPr>
                <w:sz w:val="18"/>
                <w:szCs w:val="18"/>
              </w:rPr>
              <w:t>Kapitel </w:t>
            </w:r>
            <w:hyperlink w:anchor="k36" w:history="1">
              <w:r>
                <w:rPr>
                  <w:sz w:val="18"/>
                  <w:szCs w:val="18"/>
                </w:rPr>
                <w:t>36</w:t>
              </w:r>
            </w:hyperlink>
          </w:p>
        </w:tc>
      </w:tr>
      <w:tr w:rsidR="00C1548D" w14:paraId="70A51C95"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93" w14:textId="77777777" w:rsidR="00C1548D" w:rsidRDefault="009B1B4B">
            <w:pPr>
              <w:spacing w:line="250" w:lineRule="auto"/>
            </w:pPr>
            <w:r>
              <w:rPr>
                <w:sz w:val="18"/>
                <w:szCs w:val="18"/>
              </w:rPr>
              <w:t>Mein Kind spricht kaum Englisch – bekommt es in der Schule Unterstützung?</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94" w14:textId="30B6AF0B" w:rsidR="00C1548D" w:rsidRDefault="009B1B4B">
            <w:pPr>
              <w:spacing w:line="250" w:lineRule="auto"/>
            </w:pPr>
            <w:r>
              <w:rPr>
                <w:sz w:val="18"/>
                <w:szCs w:val="18"/>
              </w:rPr>
              <w:t>Kapitel </w:t>
            </w:r>
            <w:hyperlink w:anchor="k37" w:history="1">
              <w:r>
                <w:rPr>
                  <w:sz w:val="18"/>
                  <w:szCs w:val="18"/>
                </w:rPr>
                <w:t>37</w:t>
              </w:r>
            </w:hyperlink>
          </w:p>
        </w:tc>
      </w:tr>
      <w:tr w:rsidR="00C1548D" w14:paraId="70A51C98"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96" w14:textId="77777777" w:rsidR="00C1548D" w:rsidRDefault="009B1B4B">
            <w:pPr>
              <w:spacing w:line="250" w:lineRule="auto"/>
            </w:pPr>
            <w:r>
              <w:rPr>
                <w:sz w:val="18"/>
                <w:szCs w:val="18"/>
              </w:rPr>
              <w:t>Wie halte ich Deutsch als Familiensprache am Leben?</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97" w14:textId="45B3F000" w:rsidR="00C1548D" w:rsidRDefault="009B1B4B">
            <w:pPr>
              <w:spacing w:line="250" w:lineRule="auto"/>
            </w:pPr>
            <w:r>
              <w:rPr>
                <w:sz w:val="18"/>
                <w:szCs w:val="18"/>
              </w:rPr>
              <w:t>Kapitel </w:t>
            </w:r>
            <w:hyperlink w:anchor="k37" w:history="1">
              <w:r>
                <w:rPr>
                  <w:sz w:val="18"/>
                  <w:szCs w:val="18"/>
                </w:rPr>
                <w:t>37</w:t>
              </w:r>
            </w:hyperlink>
          </w:p>
        </w:tc>
      </w:tr>
      <w:tr w:rsidR="00C1548D" w14:paraId="70A51C9B"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99" w14:textId="77777777" w:rsidR="00C1548D" w:rsidRDefault="009B1B4B">
            <w:pPr>
              <w:spacing w:line="250" w:lineRule="auto"/>
            </w:pPr>
            <w:r>
              <w:rPr>
                <w:sz w:val="18"/>
                <w:szCs w:val="18"/>
              </w:rPr>
              <w:t>Unser Kind wird in den USA geboren – welchen Pass bekommt es?</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9A" w14:textId="7A544576" w:rsidR="00C1548D" w:rsidRDefault="009B1B4B">
            <w:pPr>
              <w:spacing w:line="250" w:lineRule="auto"/>
            </w:pPr>
            <w:r>
              <w:rPr>
                <w:sz w:val="18"/>
                <w:szCs w:val="18"/>
              </w:rPr>
              <w:t>Kapitel </w:t>
            </w:r>
            <w:hyperlink w:anchor="k38" w:history="1">
              <w:r>
                <w:rPr>
                  <w:sz w:val="18"/>
                  <w:szCs w:val="18"/>
                </w:rPr>
                <w:t>38</w:t>
              </w:r>
            </w:hyperlink>
          </w:p>
        </w:tc>
      </w:tr>
      <w:tr w:rsidR="00C1548D" w14:paraId="70A51C9E"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9C" w14:textId="77777777" w:rsidR="00C1548D" w:rsidRDefault="009B1B4B">
            <w:pPr>
              <w:spacing w:line="250" w:lineRule="auto"/>
            </w:pPr>
            <w:r>
              <w:rPr>
                <w:sz w:val="18"/>
                <w:szCs w:val="18"/>
              </w:rPr>
              <w:t>Wie teuer ist eine Geburt in einem US-Krankenhaus?</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9D" w14:textId="42BFF379" w:rsidR="00C1548D" w:rsidRDefault="009B1B4B">
            <w:pPr>
              <w:spacing w:line="250" w:lineRule="auto"/>
            </w:pPr>
            <w:r>
              <w:rPr>
                <w:sz w:val="18"/>
                <w:szCs w:val="18"/>
              </w:rPr>
              <w:t>Kapitel </w:t>
            </w:r>
            <w:hyperlink w:anchor="k38" w:history="1">
              <w:r>
                <w:rPr>
                  <w:sz w:val="18"/>
                  <w:szCs w:val="18"/>
                </w:rPr>
                <w:t>38</w:t>
              </w:r>
            </w:hyperlink>
          </w:p>
        </w:tc>
      </w:tr>
      <w:tr w:rsidR="00C1548D" w14:paraId="70A51CA1"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9F" w14:textId="77777777" w:rsidR="00C1548D" w:rsidRDefault="009B1B4B">
            <w:pPr>
              <w:spacing w:line="250" w:lineRule="auto"/>
            </w:pPr>
            <w:r>
              <w:rPr>
                <w:sz w:val="18"/>
                <w:szCs w:val="18"/>
              </w:rPr>
              <w:t>Wie teuer ist Kinderbetreuung in den USA?</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A0" w14:textId="7BF93033" w:rsidR="00C1548D" w:rsidRDefault="009B1B4B">
            <w:pPr>
              <w:spacing w:line="250" w:lineRule="auto"/>
            </w:pPr>
            <w:r>
              <w:rPr>
                <w:sz w:val="18"/>
                <w:szCs w:val="18"/>
              </w:rPr>
              <w:t>Kapitel </w:t>
            </w:r>
            <w:hyperlink w:anchor="k38" w:history="1">
              <w:r>
                <w:rPr>
                  <w:sz w:val="18"/>
                  <w:szCs w:val="18"/>
                </w:rPr>
                <w:t>38</w:t>
              </w:r>
            </w:hyperlink>
          </w:p>
        </w:tc>
      </w:tr>
      <w:tr w:rsidR="00C1548D" w14:paraId="70A51CA4" w14:textId="77777777">
        <w:tblPrEx>
          <w:tblCellMar>
            <w:top w:w="0" w:type="dxa"/>
            <w:bottom w:w="0" w:type="dxa"/>
          </w:tblCellMar>
        </w:tblPrEx>
        <w:trPr>
          <w:cantSplit/>
        </w:trPr>
        <w:tc>
          <w:tcPr>
            <w:tcW w:w="534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A2" w14:textId="77777777" w:rsidR="00C1548D" w:rsidRDefault="009B1B4B">
            <w:pPr>
              <w:spacing w:line="250" w:lineRule="auto"/>
            </w:pPr>
            <w:r>
              <w:rPr>
                <w:sz w:val="18"/>
                <w:szCs w:val="18"/>
              </w:rPr>
              <w:t>Ab welchem Alter darf mein Kind allein zu Hause bleiben?</w:t>
            </w:r>
          </w:p>
        </w:tc>
        <w:tc>
          <w:tcPr>
            <w:tcW w:w="113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A3" w14:textId="1F6ACF07" w:rsidR="00C1548D" w:rsidRDefault="009B1B4B">
            <w:pPr>
              <w:spacing w:line="250" w:lineRule="auto"/>
            </w:pPr>
            <w:r>
              <w:rPr>
                <w:sz w:val="18"/>
                <w:szCs w:val="18"/>
              </w:rPr>
              <w:t>Kapitel </w:t>
            </w:r>
            <w:hyperlink w:anchor="k38" w:history="1">
              <w:r>
                <w:rPr>
                  <w:sz w:val="18"/>
                  <w:szCs w:val="18"/>
                </w:rPr>
                <w:t>38</w:t>
              </w:r>
            </w:hyperlink>
          </w:p>
        </w:tc>
      </w:tr>
    </w:tbl>
    <w:p w14:paraId="70A51CA5" w14:textId="77777777" w:rsidR="00C1548D" w:rsidRDefault="00C1548D">
      <w:pPr>
        <w:spacing w:line="180" w:lineRule="exact"/>
      </w:pPr>
    </w:p>
    <w:p w14:paraId="70A51CA6" w14:textId="77777777" w:rsidR="00C1548D" w:rsidRDefault="009B1B4B">
      <w:pPr>
        <w:pStyle w:val="Heading3"/>
        <w:keepNext/>
        <w:jc w:val="center"/>
      </w:pPr>
      <w:r>
        <w:rPr>
          <w:rFonts w:ascii="Amazon Ember" w:eastAsia="Amazon Ember" w:hAnsi="Amazon Ember" w:cs="Amazon Ember"/>
          <w:color w:val="0000FF"/>
          <w:sz w:val="36"/>
          <w:szCs w:val="36"/>
        </w:rPr>
        <w:t>Langfristig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43"/>
        <w:gridCol w:w="1137"/>
      </w:tblGrid>
      <w:tr w:rsidR="00C1548D" w14:paraId="70A51CA9" w14:textId="77777777">
        <w:tblPrEx>
          <w:tblCellMar>
            <w:top w:w="0" w:type="dxa"/>
            <w:bottom w:w="0" w:type="dxa"/>
          </w:tblCellMar>
        </w:tblPrEx>
        <w:trPr>
          <w:cantSplit/>
          <w:tblHeader/>
        </w:trPr>
        <w:tc>
          <w:tcPr>
            <w:tcW w:w="534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A7" w14:textId="77777777" w:rsidR="00C1548D" w:rsidRDefault="009B1B4B">
            <w:pPr>
              <w:spacing w:line="250" w:lineRule="auto"/>
            </w:pPr>
            <w:r>
              <w:rPr>
                <w:b/>
                <w:bCs/>
                <w:sz w:val="18"/>
                <w:szCs w:val="18"/>
              </w:rPr>
              <w:t>Deine Frage oder Situation</w:t>
            </w:r>
          </w:p>
        </w:tc>
        <w:tc>
          <w:tcPr>
            <w:tcW w:w="113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A8" w14:textId="77777777" w:rsidR="00C1548D" w:rsidRDefault="009B1B4B">
            <w:pPr>
              <w:spacing w:line="250" w:lineRule="auto"/>
            </w:pPr>
            <w:r>
              <w:rPr>
                <w:b/>
                <w:bCs/>
                <w:sz w:val="18"/>
                <w:szCs w:val="18"/>
              </w:rPr>
              <w:t>Kapitel</w:t>
            </w:r>
          </w:p>
        </w:tc>
      </w:tr>
      <w:tr w:rsidR="00C1548D" w14:paraId="70A51CAC"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AA" w14:textId="77777777" w:rsidR="00C1548D" w:rsidRDefault="009B1B4B">
            <w:pPr>
              <w:spacing w:line="250" w:lineRule="auto"/>
            </w:pPr>
            <w:r>
              <w:rPr>
                <w:sz w:val="18"/>
                <w:szCs w:val="18"/>
              </w:rPr>
              <w:t>Bekomme ich später überhaupt eine US-Rente, wenn ich nicht lange genug arbeite?</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AB" w14:textId="7249E0D2" w:rsidR="00C1548D" w:rsidRDefault="009B1B4B">
            <w:pPr>
              <w:spacing w:line="250" w:lineRule="auto"/>
            </w:pPr>
            <w:r>
              <w:rPr>
                <w:sz w:val="18"/>
                <w:szCs w:val="18"/>
              </w:rPr>
              <w:t>Kapitel </w:t>
            </w:r>
            <w:hyperlink w:anchor="k39" w:history="1">
              <w:r>
                <w:rPr>
                  <w:sz w:val="18"/>
                  <w:szCs w:val="18"/>
                </w:rPr>
                <w:t>39</w:t>
              </w:r>
            </w:hyperlink>
          </w:p>
        </w:tc>
      </w:tr>
      <w:tr w:rsidR="00C1548D" w14:paraId="70A51CAF"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AD" w14:textId="77777777" w:rsidR="00C1548D" w:rsidRDefault="009B1B4B">
            <w:pPr>
              <w:spacing w:line="250" w:lineRule="auto"/>
            </w:pPr>
            <w:r>
              <w:rPr>
                <w:sz w:val="18"/>
                <w:szCs w:val="18"/>
              </w:rPr>
              <w:t>Brauche ich in den USA ein Testament?</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AE" w14:textId="769E37CD" w:rsidR="00C1548D" w:rsidRDefault="009B1B4B">
            <w:pPr>
              <w:spacing w:line="250" w:lineRule="auto"/>
            </w:pPr>
            <w:r>
              <w:rPr>
                <w:sz w:val="18"/>
                <w:szCs w:val="18"/>
              </w:rPr>
              <w:t>Kapitel </w:t>
            </w:r>
            <w:hyperlink w:anchor="k39" w:history="1">
              <w:r>
                <w:rPr>
                  <w:sz w:val="18"/>
                  <w:szCs w:val="18"/>
                </w:rPr>
                <w:t>39</w:t>
              </w:r>
            </w:hyperlink>
          </w:p>
        </w:tc>
      </w:tr>
      <w:tr w:rsidR="00C1548D" w14:paraId="70A51CB2"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B0" w14:textId="77777777" w:rsidR="00C1548D" w:rsidRDefault="009B1B4B">
            <w:pPr>
              <w:spacing w:line="250" w:lineRule="auto"/>
            </w:pPr>
            <w:r>
              <w:rPr>
                <w:sz w:val="18"/>
                <w:szCs w:val="18"/>
              </w:rPr>
              <w:t>Was mache ich mit meinem 401(k), wenn ich den Job wechsle?</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B1" w14:textId="703870A9" w:rsidR="00C1548D" w:rsidRDefault="009B1B4B">
            <w:pPr>
              <w:spacing w:line="250" w:lineRule="auto"/>
            </w:pPr>
            <w:r>
              <w:rPr>
                <w:sz w:val="18"/>
                <w:szCs w:val="18"/>
              </w:rPr>
              <w:t>Kapitel </w:t>
            </w:r>
            <w:hyperlink w:anchor="k39" w:history="1">
              <w:r>
                <w:rPr>
                  <w:sz w:val="18"/>
                  <w:szCs w:val="18"/>
                </w:rPr>
                <w:t>39</w:t>
              </w:r>
            </w:hyperlink>
          </w:p>
        </w:tc>
      </w:tr>
      <w:tr w:rsidR="00C1548D" w14:paraId="70A51CB5"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B3" w14:textId="77777777" w:rsidR="00C1548D" w:rsidRDefault="009B1B4B">
            <w:pPr>
              <w:spacing w:line="250" w:lineRule="auto"/>
            </w:pPr>
            <w:r>
              <w:rPr>
                <w:sz w:val="18"/>
                <w:szCs w:val="18"/>
              </w:rPr>
              <w:t>Gefährdet Trunkenheit am Steuer meinen Aufenthaltsstatus?</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B4" w14:textId="7C6818AC" w:rsidR="00C1548D" w:rsidRDefault="009B1B4B">
            <w:pPr>
              <w:spacing w:line="250" w:lineRule="auto"/>
            </w:pPr>
            <w:r>
              <w:rPr>
                <w:sz w:val="18"/>
                <w:szCs w:val="18"/>
              </w:rPr>
              <w:t>Kapitel </w:t>
            </w:r>
            <w:hyperlink w:anchor="k40" w:history="1">
              <w:r>
                <w:rPr>
                  <w:sz w:val="18"/>
                  <w:szCs w:val="18"/>
                </w:rPr>
                <w:t>40</w:t>
              </w:r>
            </w:hyperlink>
          </w:p>
        </w:tc>
      </w:tr>
      <w:tr w:rsidR="00C1548D" w14:paraId="70A51CB8"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B6" w14:textId="77777777" w:rsidR="00C1548D" w:rsidRDefault="009B1B4B">
            <w:pPr>
              <w:spacing w:line="250" w:lineRule="auto"/>
            </w:pPr>
            <w:r>
              <w:rPr>
                <w:sz w:val="18"/>
                <w:szCs w:val="18"/>
              </w:rPr>
              <w:t>Darf ich als Visuminhaber eine Waffe besitzen?</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B7" w14:textId="2808A3CA" w:rsidR="00C1548D" w:rsidRDefault="009B1B4B">
            <w:pPr>
              <w:spacing w:line="250" w:lineRule="auto"/>
            </w:pPr>
            <w:r>
              <w:rPr>
                <w:sz w:val="18"/>
                <w:szCs w:val="18"/>
              </w:rPr>
              <w:t>Kapitel </w:t>
            </w:r>
            <w:hyperlink w:anchor="k40" w:history="1">
              <w:r>
                <w:rPr>
                  <w:sz w:val="18"/>
                  <w:szCs w:val="18"/>
                </w:rPr>
                <w:t>40</w:t>
              </w:r>
            </w:hyperlink>
          </w:p>
        </w:tc>
      </w:tr>
      <w:tr w:rsidR="00C1548D" w14:paraId="70A51CBB"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B9" w14:textId="77777777" w:rsidR="00C1548D" w:rsidRDefault="009B1B4B">
            <w:pPr>
              <w:spacing w:line="250" w:lineRule="auto"/>
            </w:pPr>
            <w:r>
              <w:rPr>
                <w:sz w:val="18"/>
                <w:szCs w:val="18"/>
              </w:rPr>
              <w:t>Was mache ich, wenn mich die Polizei anhält?</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BA" w14:textId="48AFE5F6" w:rsidR="00C1548D" w:rsidRDefault="009B1B4B">
            <w:pPr>
              <w:spacing w:line="250" w:lineRule="auto"/>
            </w:pPr>
            <w:r>
              <w:rPr>
                <w:sz w:val="18"/>
                <w:szCs w:val="18"/>
              </w:rPr>
              <w:t>Kapitel </w:t>
            </w:r>
            <w:hyperlink w:anchor="k40" w:history="1">
              <w:r>
                <w:rPr>
                  <w:sz w:val="18"/>
                  <w:szCs w:val="18"/>
                </w:rPr>
                <w:t>40</w:t>
              </w:r>
            </w:hyperlink>
          </w:p>
        </w:tc>
      </w:tr>
      <w:tr w:rsidR="00C1548D" w14:paraId="70A51CBE"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BC" w14:textId="77777777" w:rsidR="00C1548D" w:rsidRDefault="009B1B4B">
            <w:pPr>
              <w:spacing w:line="250" w:lineRule="auto"/>
            </w:pPr>
            <w:r>
              <w:rPr>
                <w:sz w:val="18"/>
                <w:szCs w:val="18"/>
              </w:rPr>
              <w:t>Wie lange muss ich die Green Card haben, bevor ich mich einbürgern lassen kann?</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BD" w14:textId="2793BE41" w:rsidR="00C1548D" w:rsidRDefault="009B1B4B">
            <w:pPr>
              <w:spacing w:line="250" w:lineRule="auto"/>
            </w:pPr>
            <w:r>
              <w:rPr>
                <w:sz w:val="18"/>
                <w:szCs w:val="18"/>
              </w:rPr>
              <w:t>Kapitel </w:t>
            </w:r>
            <w:hyperlink w:anchor="k41" w:history="1">
              <w:r>
                <w:rPr>
                  <w:sz w:val="18"/>
                  <w:szCs w:val="18"/>
                </w:rPr>
                <w:t>41</w:t>
              </w:r>
            </w:hyperlink>
          </w:p>
        </w:tc>
      </w:tr>
      <w:tr w:rsidR="00C1548D" w14:paraId="70A51CC1"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BF" w14:textId="77777777" w:rsidR="00C1548D" w:rsidRDefault="009B1B4B">
            <w:pPr>
              <w:spacing w:line="250" w:lineRule="auto"/>
            </w:pPr>
            <w:r>
              <w:rPr>
                <w:sz w:val="18"/>
                <w:szCs w:val="18"/>
              </w:rPr>
              <w:t>Verliere ich meinen deutschen Pass, wenn ich US-Bürger werde?</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C0" w14:textId="31E9E082" w:rsidR="00C1548D" w:rsidRDefault="009B1B4B">
            <w:pPr>
              <w:spacing w:line="250" w:lineRule="auto"/>
            </w:pPr>
            <w:r>
              <w:rPr>
                <w:sz w:val="18"/>
                <w:szCs w:val="18"/>
              </w:rPr>
              <w:t>Kapitel </w:t>
            </w:r>
            <w:hyperlink w:anchor="k41" w:history="1">
              <w:r>
                <w:rPr>
                  <w:sz w:val="18"/>
                  <w:szCs w:val="18"/>
                </w:rPr>
                <w:t>41</w:t>
              </w:r>
            </w:hyperlink>
          </w:p>
        </w:tc>
      </w:tr>
      <w:tr w:rsidR="00C1548D" w14:paraId="70A51CC4" w14:textId="77777777">
        <w:tblPrEx>
          <w:tblCellMar>
            <w:top w:w="0" w:type="dxa"/>
            <w:bottom w:w="0" w:type="dxa"/>
          </w:tblCellMar>
        </w:tblPrEx>
        <w:trPr>
          <w:cantSplit/>
        </w:trPr>
        <w:tc>
          <w:tcPr>
            <w:tcW w:w="534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C2" w14:textId="77777777" w:rsidR="00C1548D" w:rsidRDefault="009B1B4B">
            <w:pPr>
              <w:spacing w:line="250" w:lineRule="auto"/>
            </w:pPr>
            <w:r>
              <w:rPr>
                <w:sz w:val="18"/>
                <w:szCs w:val="18"/>
              </w:rPr>
              <w:t>Was muss ich vor einer Rückkehr nach Deutschland alles regeln?</w:t>
            </w:r>
          </w:p>
        </w:tc>
        <w:tc>
          <w:tcPr>
            <w:tcW w:w="113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C3" w14:textId="3B5676E7" w:rsidR="00C1548D" w:rsidRDefault="009B1B4B">
            <w:pPr>
              <w:spacing w:line="250" w:lineRule="auto"/>
            </w:pPr>
            <w:r>
              <w:rPr>
                <w:sz w:val="18"/>
                <w:szCs w:val="18"/>
              </w:rPr>
              <w:t>Kapitel </w:t>
            </w:r>
            <w:hyperlink w:anchor="k42" w:history="1">
              <w:r>
                <w:rPr>
                  <w:sz w:val="18"/>
                  <w:szCs w:val="18"/>
                </w:rPr>
                <w:t>42</w:t>
              </w:r>
            </w:hyperlink>
          </w:p>
        </w:tc>
      </w:tr>
    </w:tbl>
    <w:p w14:paraId="70A51CC5" w14:textId="77777777" w:rsidR="00C1548D" w:rsidRDefault="00C1548D">
      <w:pPr>
        <w:spacing w:line="180" w:lineRule="exact"/>
      </w:pPr>
    </w:p>
    <w:p w14:paraId="70A51CC6" w14:textId="77777777" w:rsidR="00C1548D" w:rsidRDefault="009B1B4B">
      <w:pPr>
        <w:pStyle w:val="Heading2"/>
        <w:keepNext/>
        <w:pageBreakBefore/>
        <w:jc w:val="center"/>
      </w:pPr>
      <w:bookmarkStart w:id="224" w:name="s107"/>
      <w:bookmarkStart w:id="225" w:name="_Toc241352564"/>
      <w:r>
        <w:rPr>
          <w:rFonts w:ascii="Amazon Ember" w:eastAsia="Amazon Ember" w:hAnsi="Amazon Ember" w:cs="Amazon Ember"/>
          <w:color w:val="0000FF"/>
          <w:sz w:val="36"/>
          <w:szCs w:val="36"/>
        </w:rPr>
        <w:lastRenderedPageBreak/>
        <w:t>Kanada</w:t>
      </w:r>
      <w:bookmarkEnd w:id="224"/>
      <w:bookmarkEnd w:id="225"/>
    </w:p>
    <w:p w14:paraId="70A51CC7" w14:textId="77777777" w:rsidR="00C1548D" w:rsidRDefault="009B1B4B">
      <w:pPr>
        <w:spacing w:after="140"/>
      </w:pPr>
      <w:r>
        <w:t>Für Kanada reicht ein kompakterer Überblick als für die USA. Die folgenden rund 30 Fragen ordnen sich entlang des Kanada-Teils, von der Einwanderung bis zur Einbürgerung.</w:t>
      </w:r>
    </w:p>
    <w:p w14:paraId="70A51CC8" w14:textId="77777777" w:rsidR="00C1548D" w:rsidRDefault="009B1B4B">
      <w:pPr>
        <w:pStyle w:val="Heading3"/>
        <w:keepNext/>
        <w:jc w:val="center"/>
      </w:pPr>
      <w:r>
        <w:rPr>
          <w:rFonts w:ascii="Amazon Ember" w:eastAsia="Amazon Ember" w:hAnsi="Amazon Ember" w:cs="Amazon Ember"/>
          <w:color w:val="0000FF"/>
          <w:sz w:val="36"/>
          <w:szCs w:val="36"/>
        </w:rPr>
        <w:t>Kanada: Einwanderung und Visum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64"/>
        <w:gridCol w:w="2516"/>
      </w:tblGrid>
      <w:tr w:rsidR="00C1548D" w14:paraId="70A51CCB" w14:textId="77777777">
        <w:tblPrEx>
          <w:tblCellMar>
            <w:top w:w="0" w:type="dxa"/>
            <w:bottom w:w="0" w:type="dxa"/>
          </w:tblCellMar>
        </w:tblPrEx>
        <w:trPr>
          <w:cantSplit/>
          <w:tblHeader/>
        </w:trPr>
        <w:tc>
          <w:tcPr>
            <w:tcW w:w="3964"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C9" w14:textId="77777777" w:rsidR="00C1548D" w:rsidRDefault="009B1B4B">
            <w:pPr>
              <w:spacing w:line="250" w:lineRule="auto"/>
            </w:pPr>
            <w:r>
              <w:rPr>
                <w:b/>
                <w:bCs/>
                <w:sz w:val="18"/>
                <w:szCs w:val="18"/>
              </w:rPr>
              <w:t>Deine Frage oder Situation</w:t>
            </w:r>
          </w:p>
        </w:tc>
        <w:tc>
          <w:tcPr>
            <w:tcW w:w="2516"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CA" w14:textId="77777777" w:rsidR="00C1548D" w:rsidRDefault="009B1B4B">
            <w:pPr>
              <w:spacing w:line="250" w:lineRule="auto"/>
            </w:pPr>
            <w:r>
              <w:rPr>
                <w:b/>
                <w:bCs/>
                <w:sz w:val="18"/>
                <w:szCs w:val="18"/>
              </w:rPr>
              <w:t>Mehr dazu</w:t>
            </w:r>
          </w:p>
        </w:tc>
      </w:tr>
      <w:tr w:rsidR="00C1548D" w14:paraId="70A51CCE" w14:textId="77777777">
        <w:tblPrEx>
          <w:tblCellMar>
            <w:top w:w="0" w:type="dxa"/>
            <w:bottom w:w="0" w:type="dxa"/>
          </w:tblCellMar>
        </w:tblPrEx>
        <w:trPr>
          <w:cantSplit/>
        </w:trPr>
        <w:tc>
          <w:tcPr>
            <w:tcW w:w="39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CC" w14:textId="77777777" w:rsidR="00C1548D" w:rsidRDefault="009B1B4B">
            <w:pPr>
              <w:spacing w:line="250" w:lineRule="auto"/>
            </w:pPr>
            <w:r>
              <w:rPr>
                <w:sz w:val="18"/>
                <w:szCs w:val="18"/>
              </w:rPr>
              <w:t>Lohnt sich Kanada finanziell für mich, wenn ich Steuerkeil und Lebenshaltungskosten mit Deutschland vergleiche?</w:t>
            </w:r>
          </w:p>
        </w:tc>
        <w:tc>
          <w:tcPr>
            <w:tcW w:w="2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CD" w14:textId="77777777" w:rsidR="00C1548D" w:rsidRDefault="009B1B4B">
            <w:pPr>
              <w:spacing w:line="250" w:lineRule="auto"/>
            </w:pPr>
            <w:r>
              <w:rPr>
                <w:sz w:val="18"/>
                <w:szCs w:val="18"/>
              </w:rPr>
              <w:t>Kanada: Die ehrliche Bilanz</w:t>
            </w:r>
          </w:p>
        </w:tc>
      </w:tr>
      <w:tr w:rsidR="00C1548D" w14:paraId="70A51CD1" w14:textId="77777777">
        <w:tblPrEx>
          <w:tblCellMar>
            <w:top w:w="0" w:type="dxa"/>
            <w:bottom w:w="0" w:type="dxa"/>
          </w:tblCellMar>
        </w:tblPrEx>
        <w:trPr>
          <w:cantSplit/>
        </w:trPr>
        <w:tc>
          <w:tcPr>
            <w:tcW w:w="39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CF" w14:textId="77777777" w:rsidR="00C1548D" w:rsidRDefault="009B1B4B">
            <w:pPr>
              <w:spacing w:line="250" w:lineRule="auto"/>
            </w:pPr>
            <w:r>
              <w:rPr>
                <w:sz w:val="18"/>
                <w:szCs w:val="18"/>
              </w:rPr>
              <w:t>Was ist der Unterschied zwischen Express Entry und einem Provincial Nominee Program?</w:t>
            </w:r>
          </w:p>
        </w:tc>
        <w:tc>
          <w:tcPr>
            <w:tcW w:w="2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D0" w14:textId="77777777" w:rsidR="00C1548D" w:rsidRDefault="009B1B4B">
            <w:pPr>
              <w:spacing w:line="250" w:lineRule="auto"/>
            </w:pPr>
            <w:r>
              <w:rPr>
                <w:sz w:val="18"/>
                <w:szCs w:val="18"/>
              </w:rPr>
              <w:t>Kanada: Wege der Einwanderung</w:t>
            </w:r>
          </w:p>
        </w:tc>
      </w:tr>
      <w:tr w:rsidR="00C1548D" w14:paraId="70A51CD4" w14:textId="77777777">
        <w:tblPrEx>
          <w:tblCellMar>
            <w:top w:w="0" w:type="dxa"/>
            <w:bottom w:w="0" w:type="dxa"/>
          </w:tblCellMar>
        </w:tblPrEx>
        <w:trPr>
          <w:cantSplit/>
        </w:trPr>
        <w:tc>
          <w:tcPr>
            <w:tcW w:w="39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D2" w14:textId="77777777" w:rsidR="00C1548D" w:rsidRDefault="009B1B4B">
            <w:pPr>
              <w:spacing w:line="250" w:lineRule="auto"/>
            </w:pPr>
            <w:r>
              <w:rPr>
                <w:sz w:val="18"/>
                <w:szCs w:val="18"/>
              </w:rPr>
              <w:t>Wie berechne ich meinen CRS-Score realistisch, und bringt mir ein Jobangebot noch Zusatzpunkte?</w:t>
            </w:r>
          </w:p>
        </w:tc>
        <w:tc>
          <w:tcPr>
            <w:tcW w:w="2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D3" w14:textId="77777777" w:rsidR="00C1548D" w:rsidRDefault="009B1B4B">
            <w:pPr>
              <w:spacing w:line="250" w:lineRule="auto"/>
            </w:pPr>
            <w:r>
              <w:rPr>
                <w:sz w:val="18"/>
                <w:szCs w:val="18"/>
              </w:rPr>
              <w:t>Kanada: Der Arbeitsweg</w:t>
            </w:r>
          </w:p>
        </w:tc>
      </w:tr>
      <w:tr w:rsidR="00C1548D" w14:paraId="70A51CD7" w14:textId="77777777">
        <w:tblPrEx>
          <w:tblCellMar>
            <w:top w:w="0" w:type="dxa"/>
            <w:bottom w:w="0" w:type="dxa"/>
          </w:tblCellMar>
        </w:tblPrEx>
        <w:trPr>
          <w:cantSplit/>
        </w:trPr>
        <w:tc>
          <w:tcPr>
            <w:tcW w:w="39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D5" w14:textId="77777777" w:rsidR="00C1548D" w:rsidRDefault="009B1B4B">
            <w:pPr>
              <w:spacing w:line="250" w:lineRule="auto"/>
            </w:pPr>
            <w:r>
              <w:rPr>
                <w:sz w:val="18"/>
                <w:szCs w:val="18"/>
              </w:rPr>
              <w:t>Was bedeutet LMIA-pflichtig, und wie unterscheidet es sich von LMIA-frei?</w:t>
            </w:r>
          </w:p>
        </w:tc>
        <w:tc>
          <w:tcPr>
            <w:tcW w:w="2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D6" w14:textId="77777777" w:rsidR="00C1548D" w:rsidRDefault="009B1B4B">
            <w:pPr>
              <w:spacing w:line="250" w:lineRule="auto"/>
            </w:pPr>
            <w:r>
              <w:rPr>
                <w:sz w:val="18"/>
                <w:szCs w:val="18"/>
              </w:rPr>
              <w:t>Kanada: Wege der Einwanderung</w:t>
            </w:r>
          </w:p>
        </w:tc>
      </w:tr>
      <w:tr w:rsidR="00C1548D" w14:paraId="70A51CDA" w14:textId="77777777">
        <w:tblPrEx>
          <w:tblCellMar>
            <w:top w:w="0" w:type="dxa"/>
            <w:bottom w:w="0" w:type="dxa"/>
          </w:tblCellMar>
        </w:tblPrEx>
        <w:trPr>
          <w:cantSplit/>
        </w:trPr>
        <w:tc>
          <w:tcPr>
            <w:tcW w:w="39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D8" w14:textId="77777777" w:rsidR="00C1548D" w:rsidRDefault="009B1B4B">
            <w:pPr>
              <w:spacing w:line="250" w:lineRule="auto"/>
            </w:pPr>
            <w:r>
              <w:rPr>
                <w:sz w:val="18"/>
                <w:szCs w:val="18"/>
              </w:rPr>
              <w:t>Kann ich meine Eltern oder Großeltern über das Super Visa nach Kanada holen?</w:t>
            </w:r>
          </w:p>
        </w:tc>
        <w:tc>
          <w:tcPr>
            <w:tcW w:w="2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D9" w14:textId="77777777" w:rsidR="00C1548D" w:rsidRDefault="009B1B4B">
            <w:pPr>
              <w:spacing w:line="250" w:lineRule="auto"/>
            </w:pPr>
            <w:r>
              <w:rPr>
                <w:sz w:val="18"/>
                <w:szCs w:val="18"/>
              </w:rPr>
              <w:t>Kanada: Familie, Investor, Ruhestand</w:t>
            </w:r>
          </w:p>
        </w:tc>
      </w:tr>
      <w:tr w:rsidR="00C1548D" w14:paraId="70A51CDD" w14:textId="77777777">
        <w:tblPrEx>
          <w:tblCellMar>
            <w:top w:w="0" w:type="dxa"/>
            <w:bottom w:w="0" w:type="dxa"/>
          </w:tblCellMar>
        </w:tblPrEx>
        <w:trPr>
          <w:cantSplit/>
        </w:trPr>
        <w:tc>
          <w:tcPr>
            <w:tcW w:w="3964"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DB" w14:textId="77777777" w:rsidR="00C1548D" w:rsidRDefault="009B1B4B">
            <w:pPr>
              <w:spacing w:line="250" w:lineRule="auto"/>
            </w:pPr>
            <w:r>
              <w:rPr>
                <w:sz w:val="18"/>
                <w:szCs w:val="18"/>
              </w:rPr>
              <w:t>Was kostet der Antrag auf die permanente Aufenthaltserlaubnis für meine ganze Familie, und brauche ich für mein Führungszeugnis eine Apostille?</w:t>
            </w:r>
          </w:p>
        </w:tc>
        <w:tc>
          <w:tcPr>
            <w:tcW w:w="2516"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DC" w14:textId="77777777" w:rsidR="00C1548D" w:rsidRDefault="009B1B4B">
            <w:pPr>
              <w:spacing w:line="250" w:lineRule="auto"/>
            </w:pPr>
            <w:r>
              <w:rPr>
                <w:sz w:val="18"/>
                <w:szCs w:val="18"/>
              </w:rPr>
              <w:t>Kanada: Antrag, Konsulat, Kosten</w:t>
            </w:r>
          </w:p>
        </w:tc>
      </w:tr>
    </w:tbl>
    <w:p w14:paraId="70A51CDE" w14:textId="77777777" w:rsidR="00C1548D" w:rsidRDefault="00C1548D">
      <w:pPr>
        <w:spacing w:line="180" w:lineRule="exact"/>
      </w:pPr>
    </w:p>
    <w:p w14:paraId="70A51CDF" w14:textId="77777777" w:rsidR="00C1548D" w:rsidRDefault="009B1B4B">
      <w:pPr>
        <w:pStyle w:val="Heading3"/>
        <w:keepNext/>
        <w:jc w:val="center"/>
      </w:pPr>
      <w:r>
        <w:rPr>
          <w:rFonts w:ascii="Amazon Ember" w:eastAsia="Amazon Ember" w:hAnsi="Amazon Ember" w:cs="Amazon Ember"/>
          <w:color w:val="0000FF"/>
          <w:sz w:val="36"/>
          <w:szCs w:val="36"/>
        </w:rPr>
        <w:t>Kanada: Ankunft und Geld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29"/>
        <w:gridCol w:w="2351"/>
      </w:tblGrid>
      <w:tr w:rsidR="00C1548D" w14:paraId="70A51CE2" w14:textId="77777777">
        <w:tblPrEx>
          <w:tblCellMar>
            <w:top w:w="0" w:type="dxa"/>
            <w:bottom w:w="0" w:type="dxa"/>
          </w:tblCellMar>
        </w:tblPrEx>
        <w:trPr>
          <w:cantSplit/>
          <w:tblHeader/>
        </w:trPr>
        <w:tc>
          <w:tcPr>
            <w:tcW w:w="412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E0" w14:textId="77777777" w:rsidR="00C1548D" w:rsidRDefault="009B1B4B">
            <w:pPr>
              <w:spacing w:line="250" w:lineRule="auto"/>
            </w:pPr>
            <w:r>
              <w:rPr>
                <w:b/>
                <w:bCs/>
                <w:sz w:val="18"/>
                <w:szCs w:val="18"/>
              </w:rPr>
              <w:t>Deine Frage oder Situation</w:t>
            </w:r>
          </w:p>
        </w:tc>
        <w:tc>
          <w:tcPr>
            <w:tcW w:w="235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E1" w14:textId="77777777" w:rsidR="00C1548D" w:rsidRDefault="009B1B4B">
            <w:pPr>
              <w:spacing w:line="250" w:lineRule="auto"/>
            </w:pPr>
            <w:r>
              <w:rPr>
                <w:b/>
                <w:bCs/>
                <w:sz w:val="18"/>
                <w:szCs w:val="18"/>
              </w:rPr>
              <w:t>Mehr dazu</w:t>
            </w:r>
          </w:p>
        </w:tc>
      </w:tr>
      <w:tr w:rsidR="00C1548D" w14:paraId="70A51CE5" w14:textId="77777777">
        <w:tblPrEx>
          <w:tblCellMar>
            <w:top w:w="0" w:type="dxa"/>
            <w:bottom w:w="0" w:type="dxa"/>
          </w:tblCellMar>
        </w:tblPrEx>
        <w:trPr>
          <w:cantSplit/>
        </w:trPr>
        <w:tc>
          <w:tcPr>
            <w:tcW w:w="4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E3" w14:textId="77777777" w:rsidR="00C1548D" w:rsidRDefault="009B1B4B">
            <w:pPr>
              <w:spacing w:line="250" w:lineRule="auto"/>
            </w:pPr>
            <w:r>
              <w:rPr>
                <w:sz w:val="18"/>
                <w:szCs w:val="18"/>
              </w:rPr>
              <w:t>Was muss ich in den ersten Tagen nach der Landung erledigen, und wie beantrage ich meine Social Insurance Number?</w:t>
            </w:r>
          </w:p>
        </w:tc>
        <w:tc>
          <w:tcPr>
            <w:tcW w:w="23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E4" w14:textId="77777777" w:rsidR="00C1548D" w:rsidRDefault="009B1B4B">
            <w:pPr>
              <w:spacing w:line="250" w:lineRule="auto"/>
            </w:pPr>
            <w:r>
              <w:rPr>
                <w:sz w:val="18"/>
                <w:szCs w:val="18"/>
              </w:rPr>
              <w:t>Kanada: Ankunft, erste Wochen</w:t>
            </w:r>
          </w:p>
        </w:tc>
      </w:tr>
      <w:tr w:rsidR="00C1548D" w14:paraId="70A51CE8" w14:textId="77777777">
        <w:tblPrEx>
          <w:tblCellMar>
            <w:top w:w="0" w:type="dxa"/>
            <w:bottom w:w="0" w:type="dxa"/>
          </w:tblCellMar>
        </w:tblPrEx>
        <w:trPr>
          <w:cantSplit/>
        </w:trPr>
        <w:tc>
          <w:tcPr>
            <w:tcW w:w="4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E6" w14:textId="77777777" w:rsidR="00C1548D" w:rsidRDefault="009B1B4B">
            <w:pPr>
              <w:spacing w:line="250" w:lineRule="auto"/>
            </w:pPr>
            <w:r>
              <w:rPr>
                <w:sz w:val="18"/>
                <w:szCs w:val="18"/>
              </w:rPr>
              <w:t>Wie eröffne ich ein kanadisches Bankkonto schon vor der Ausreise?</w:t>
            </w:r>
          </w:p>
        </w:tc>
        <w:tc>
          <w:tcPr>
            <w:tcW w:w="23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E7" w14:textId="77777777" w:rsidR="00C1548D" w:rsidRDefault="009B1B4B">
            <w:pPr>
              <w:spacing w:line="250" w:lineRule="auto"/>
            </w:pPr>
            <w:r>
              <w:rPr>
                <w:sz w:val="18"/>
                <w:szCs w:val="18"/>
              </w:rPr>
              <w:t>Kanada: Ankunft, erste Wochen</w:t>
            </w:r>
          </w:p>
        </w:tc>
      </w:tr>
      <w:tr w:rsidR="00C1548D" w14:paraId="70A51CEB" w14:textId="77777777">
        <w:tblPrEx>
          <w:tblCellMar>
            <w:top w:w="0" w:type="dxa"/>
            <w:bottom w:w="0" w:type="dxa"/>
          </w:tblCellMar>
        </w:tblPrEx>
        <w:trPr>
          <w:cantSplit/>
        </w:trPr>
        <w:tc>
          <w:tcPr>
            <w:tcW w:w="4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E9" w14:textId="77777777" w:rsidR="00C1548D" w:rsidRDefault="009B1B4B">
            <w:pPr>
              <w:spacing w:line="250" w:lineRule="auto"/>
            </w:pPr>
            <w:r>
              <w:rPr>
                <w:sz w:val="18"/>
                <w:szCs w:val="18"/>
              </w:rPr>
              <w:t>Wie baue ich mir eine kanadische Kreditwürdigkeit auf, wenn meine Schufa nicht zählt?</w:t>
            </w:r>
          </w:p>
        </w:tc>
        <w:tc>
          <w:tcPr>
            <w:tcW w:w="23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EA" w14:textId="77777777" w:rsidR="00C1548D" w:rsidRDefault="009B1B4B">
            <w:pPr>
              <w:spacing w:line="250" w:lineRule="auto"/>
            </w:pPr>
            <w:r>
              <w:rPr>
                <w:sz w:val="18"/>
                <w:szCs w:val="18"/>
              </w:rPr>
              <w:t>Kanada: Steuer-ID/Bank/Kredit</w:t>
            </w:r>
          </w:p>
        </w:tc>
      </w:tr>
      <w:tr w:rsidR="00C1548D" w14:paraId="70A51CEE" w14:textId="77777777">
        <w:tblPrEx>
          <w:tblCellMar>
            <w:top w:w="0" w:type="dxa"/>
            <w:bottom w:w="0" w:type="dxa"/>
          </w:tblCellMar>
        </w:tblPrEx>
        <w:trPr>
          <w:cantSplit/>
        </w:trPr>
        <w:tc>
          <w:tcPr>
            <w:tcW w:w="4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EC" w14:textId="77777777" w:rsidR="00C1548D" w:rsidRDefault="009B1B4B">
            <w:pPr>
              <w:spacing w:line="250" w:lineRule="auto"/>
            </w:pPr>
            <w:r>
              <w:rPr>
                <w:sz w:val="18"/>
                <w:szCs w:val="18"/>
              </w:rPr>
              <w:lastRenderedPageBreak/>
              <w:t>Warum zahle ich in manchen Provinzen keine Verkaufssteuer und in anderen 15 %?</w:t>
            </w:r>
          </w:p>
        </w:tc>
        <w:tc>
          <w:tcPr>
            <w:tcW w:w="23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ED" w14:textId="77777777" w:rsidR="00C1548D" w:rsidRDefault="009B1B4B">
            <w:pPr>
              <w:spacing w:line="250" w:lineRule="auto"/>
            </w:pPr>
            <w:r>
              <w:rPr>
                <w:sz w:val="18"/>
                <w:szCs w:val="18"/>
              </w:rPr>
              <w:t>Kanada: Steuer-ID/Bank/Kredit</w:t>
            </w:r>
          </w:p>
        </w:tc>
      </w:tr>
      <w:tr w:rsidR="00C1548D" w14:paraId="70A51CF1" w14:textId="77777777">
        <w:tblPrEx>
          <w:tblCellMar>
            <w:top w:w="0" w:type="dxa"/>
            <w:bottom w:w="0" w:type="dxa"/>
          </w:tblCellMar>
        </w:tblPrEx>
        <w:trPr>
          <w:cantSplit/>
        </w:trPr>
        <w:tc>
          <w:tcPr>
            <w:tcW w:w="4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EF" w14:textId="77777777" w:rsidR="00C1548D" w:rsidRDefault="009B1B4B">
            <w:pPr>
              <w:spacing w:line="250" w:lineRule="auto"/>
            </w:pPr>
            <w:r>
              <w:rPr>
                <w:sz w:val="18"/>
                <w:szCs w:val="18"/>
              </w:rPr>
              <w:t>Ab wann bin ich in meiner Provinz krankenversichert, und wo gibt es eine Wartefrist?</w:t>
            </w:r>
          </w:p>
        </w:tc>
        <w:tc>
          <w:tcPr>
            <w:tcW w:w="23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F0" w14:textId="77777777" w:rsidR="00C1548D" w:rsidRDefault="009B1B4B">
            <w:pPr>
              <w:spacing w:line="250" w:lineRule="auto"/>
            </w:pPr>
            <w:r>
              <w:rPr>
                <w:sz w:val="18"/>
                <w:szCs w:val="18"/>
              </w:rPr>
              <w:t>Kanada: Gesundheitssystem</w:t>
            </w:r>
          </w:p>
        </w:tc>
      </w:tr>
      <w:tr w:rsidR="00C1548D" w14:paraId="70A51CF4" w14:textId="77777777">
        <w:tblPrEx>
          <w:tblCellMar>
            <w:top w:w="0" w:type="dxa"/>
            <w:bottom w:w="0" w:type="dxa"/>
          </w:tblCellMar>
        </w:tblPrEx>
        <w:trPr>
          <w:cantSplit/>
        </w:trPr>
        <w:tc>
          <w:tcPr>
            <w:tcW w:w="412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F2" w14:textId="77777777" w:rsidR="00C1548D" w:rsidRDefault="009B1B4B">
            <w:pPr>
              <w:spacing w:line="250" w:lineRule="auto"/>
            </w:pPr>
            <w:r>
              <w:rPr>
                <w:sz w:val="18"/>
                <w:szCs w:val="18"/>
              </w:rPr>
              <w:t>Was deckt die provinzielle Krankenversicherung nicht ab, und wie finde ich einen Hausarzt?</w:t>
            </w:r>
          </w:p>
        </w:tc>
        <w:tc>
          <w:tcPr>
            <w:tcW w:w="235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F3" w14:textId="77777777" w:rsidR="00C1548D" w:rsidRDefault="009B1B4B">
            <w:pPr>
              <w:spacing w:line="250" w:lineRule="auto"/>
            </w:pPr>
            <w:r>
              <w:rPr>
                <w:sz w:val="18"/>
                <w:szCs w:val="18"/>
              </w:rPr>
              <w:t>Kanada: Gesundheitssystem</w:t>
            </w:r>
          </w:p>
        </w:tc>
      </w:tr>
    </w:tbl>
    <w:p w14:paraId="70A51CF5" w14:textId="77777777" w:rsidR="00C1548D" w:rsidRDefault="00C1548D">
      <w:pPr>
        <w:spacing w:line="180" w:lineRule="exact"/>
      </w:pPr>
    </w:p>
    <w:p w14:paraId="70A51CF6" w14:textId="77777777" w:rsidR="00C1548D" w:rsidRDefault="009B1B4B">
      <w:pPr>
        <w:pStyle w:val="Heading3"/>
        <w:keepNext/>
        <w:jc w:val="center"/>
      </w:pPr>
      <w:r>
        <w:rPr>
          <w:rFonts w:ascii="Amazon Ember" w:eastAsia="Amazon Ember" w:hAnsi="Amazon Ember" w:cs="Amazon Ember"/>
          <w:color w:val="0000FF"/>
          <w:sz w:val="36"/>
          <w:szCs w:val="36"/>
        </w:rPr>
        <w:t>Kanada: Wohnen, Führerschein und Verkehr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7"/>
        <w:gridCol w:w="2573"/>
      </w:tblGrid>
      <w:tr w:rsidR="00C1548D" w14:paraId="70A51CF9" w14:textId="77777777">
        <w:tblPrEx>
          <w:tblCellMar>
            <w:top w:w="0" w:type="dxa"/>
            <w:bottom w:w="0" w:type="dxa"/>
          </w:tblCellMar>
        </w:tblPrEx>
        <w:trPr>
          <w:cantSplit/>
          <w:tblHeader/>
        </w:trPr>
        <w:tc>
          <w:tcPr>
            <w:tcW w:w="390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F7" w14:textId="77777777" w:rsidR="00C1548D" w:rsidRDefault="009B1B4B">
            <w:pPr>
              <w:spacing w:line="250" w:lineRule="auto"/>
            </w:pPr>
            <w:r>
              <w:rPr>
                <w:b/>
                <w:bCs/>
                <w:sz w:val="18"/>
                <w:szCs w:val="18"/>
              </w:rPr>
              <w:t>Deine Frage oder Situation</w:t>
            </w:r>
          </w:p>
        </w:tc>
        <w:tc>
          <w:tcPr>
            <w:tcW w:w="257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CF8" w14:textId="77777777" w:rsidR="00C1548D" w:rsidRDefault="009B1B4B">
            <w:pPr>
              <w:spacing w:line="250" w:lineRule="auto"/>
            </w:pPr>
            <w:r>
              <w:rPr>
                <w:b/>
                <w:bCs/>
                <w:sz w:val="18"/>
                <w:szCs w:val="18"/>
              </w:rPr>
              <w:t>Mehr dazu</w:t>
            </w:r>
          </w:p>
        </w:tc>
      </w:tr>
      <w:tr w:rsidR="00C1548D" w14:paraId="70A51CFC" w14:textId="77777777">
        <w:tblPrEx>
          <w:tblCellMar>
            <w:top w:w="0" w:type="dxa"/>
            <w:bottom w:w="0" w:type="dxa"/>
          </w:tblCellMar>
        </w:tblPrEx>
        <w:trPr>
          <w:cantSplit/>
        </w:trPr>
        <w:tc>
          <w:tcPr>
            <w:tcW w:w="39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FA" w14:textId="77777777" w:rsidR="00C1548D" w:rsidRDefault="009B1B4B">
            <w:pPr>
              <w:spacing w:line="250" w:lineRule="auto"/>
            </w:pPr>
            <w:r>
              <w:rPr>
                <w:sz w:val="18"/>
                <w:szCs w:val="18"/>
              </w:rPr>
              <w:t>Wie viel Kaution darf mein Vermieter verlangen?</w:t>
            </w:r>
          </w:p>
        </w:tc>
        <w:tc>
          <w:tcPr>
            <w:tcW w:w="2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FB" w14:textId="77777777" w:rsidR="00C1548D" w:rsidRDefault="009B1B4B">
            <w:pPr>
              <w:spacing w:line="250" w:lineRule="auto"/>
            </w:pPr>
            <w:r>
              <w:rPr>
                <w:sz w:val="18"/>
                <w:szCs w:val="18"/>
              </w:rPr>
              <w:t>Kanada: Wohnen</w:t>
            </w:r>
          </w:p>
        </w:tc>
      </w:tr>
      <w:tr w:rsidR="00C1548D" w14:paraId="70A51CFF" w14:textId="77777777">
        <w:tblPrEx>
          <w:tblCellMar>
            <w:top w:w="0" w:type="dxa"/>
            <w:bottom w:w="0" w:type="dxa"/>
          </w:tblCellMar>
        </w:tblPrEx>
        <w:trPr>
          <w:cantSplit/>
        </w:trPr>
        <w:tc>
          <w:tcPr>
            <w:tcW w:w="39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FD" w14:textId="77777777" w:rsidR="00C1548D" w:rsidRDefault="009B1B4B">
            <w:pPr>
              <w:spacing w:line="250" w:lineRule="auto"/>
            </w:pPr>
            <w:r>
              <w:rPr>
                <w:sz w:val="18"/>
                <w:szCs w:val="18"/>
              </w:rPr>
              <w:t>Darf ich als Neuankömmling ohne Permanent-Resident-Status überhaupt eine Immobilie kaufen?</w:t>
            </w:r>
          </w:p>
        </w:tc>
        <w:tc>
          <w:tcPr>
            <w:tcW w:w="2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CFE" w14:textId="77777777" w:rsidR="00C1548D" w:rsidRDefault="009B1B4B">
            <w:pPr>
              <w:spacing w:line="250" w:lineRule="auto"/>
            </w:pPr>
            <w:r>
              <w:rPr>
                <w:sz w:val="18"/>
                <w:szCs w:val="18"/>
              </w:rPr>
              <w:t>Kanada: Wohnen</w:t>
            </w:r>
          </w:p>
        </w:tc>
      </w:tr>
      <w:tr w:rsidR="00C1548D" w14:paraId="70A51D02" w14:textId="77777777">
        <w:tblPrEx>
          <w:tblCellMar>
            <w:top w:w="0" w:type="dxa"/>
            <w:bottom w:w="0" w:type="dxa"/>
          </w:tblCellMar>
        </w:tblPrEx>
        <w:trPr>
          <w:cantSplit/>
        </w:trPr>
        <w:tc>
          <w:tcPr>
            <w:tcW w:w="39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00" w14:textId="77777777" w:rsidR="00C1548D" w:rsidRDefault="009B1B4B">
            <w:pPr>
              <w:spacing w:line="250" w:lineRule="auto"/>
            </w:pPr>
            <w:r>
              <w:rPr>
                <w:sz w:val="18"/>
                <w:szCs w:val="18"/>
              </w:rPr>
              <w:t>Welche Stadt passt zu meinem Beruf und Budget – Toronto, Calgary oder Montréal?</w:t>
            </w:r>
          </w:p>
        </w:tc>
        <w:tc>
          <w:tcPr>
            <w:tcW w:w="2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01" w14:textId="77777777" w:rsidR="00C1548D" w:rsidRDefault="009B1B4B">
            <w:pPr>
              <w:spacing w:line="250" w:lineRule="auto"/>
            </w:pPr>
            <w:r>
              <w:rPr>
                <w:sz w:val="18"/>
                <w:szCs w:val="18"/>
              </w:rPr>
              <w:t>Kanada: Wohnen</w:t>
            </w:r>
          </w:p>
        </w:tc>
      </w:tr>
      <w:tr w:rsidR="00C1548D" w14:paraId="70A51D05" w14:textId="77777777">
        <w:tblPrEx>
          <w:tblCellMar>
            <w:top w:w="0" w:type="dxa"/>
            <w:bottom w:w="0" w:type="dxa"/>
          </w:tblCellMar>
        </w:tblPrEx>
        <w:trPr>
          <w:cantSplit/>
        </w:trPr>
        <w:tc>
          <w:tcPr>
            <w:tcW w:w="39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03" w14:textId="77777777" w:rsidR="00C1548D" w:rsidRDefault="009B1B4B">
            <w:pPr>
              <w:spacing w:line="250" w:lineRule="auto"/>
            </w:pPr>
            <w:r>
              <w:rPr>
                <w:sz w:val="18"/>
                <w:szCs w:val="18"/>
              </w:rPr>
              <w:t>Wie lange darf ich mit meinem deutschen Führerschein in Kanada weiterfahren?</w:t>
            </w:r>
          </w:p>
        </w:tc>
        <w:tc>
          <w:tcPr>
            <w:tcW w:w="2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04" w14:textId="77777777" w:rsidR="00C1548D" w:rsidRDefault="009B1B4B">
            <w:pPr>
              <w:spacing w:line="250" w:lineRule="auto"/>
            </w:pPr>
            <w:r>
              <w:rPr>
                <w:sz w:val="18"/>
                <w:szCs w:val="18"/>
              </w:rPr>
              <w:t>Kanada: Führerschein, Auto, Verkehrsregeln</w:t>
            </w:r>
          </w:p>
        </w:tc>
      </w:tr>
      <w:tr w:rsidR="00C1548D" w14:paraId="70A51D08" w14:textId="77777777">
        <w:tblPrEx>
          <w:tblCellMar>
            <w:top w:w="0" w:type="dxa"/>
            <w:bottom w:w="0" w:type="dxa"/>
          </w:tblCellMar>
        </w:tblPrEx>
        <w:trPr>
          <w:cantSplit/>
        </w:trPr>
        <w:tc>
          <w:tcPr>
            <w:tcW w:w="39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06" w14:textId="77777777" w:rsidR="00C1548D" w:rsidRDefault="009B1B4B">
            <w:pPr>
              <w:spacing w:line="250" w:lineRule="auto"/>
            </w:pPr>
            <w:r>
              <w:rPr>
                <w:sz w:val="18"/>
                <w:szCs w:val="18"/>
              </w:rPr>
              <w:t>Warum ist meine Kfz-Versicherung in Ontario so viel teurer als in Québec?</w:t>
            </w:r>
          </w:p>
        </w:tc>
        <w:tc>
          <w:tcPr>
            <w:tcW w:w="2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07" w14:textId="77777777" w:rsidR="00C1548D" w:rsidRDefault="009B1B4B">
            <w:pPr>
              <w:spacing w:line="250" w:lineRule="auto"/>
            </w:pPr>
            <w:r>
              <w:rPr>
                <w:sz w:val="18"/>
                <w:szCs w:val="18"/>
              </w:rPr>
              <w:t>Kanada: Führerschein, Auto, Verkehrsregeln</w:t>
            </w:r>
          </w:p>
        </w:tc>
      </w:tr>
      <w:tr w:rsidR="00C1548D" w14:paraId="70A51D0B" w14:textId="77777777">
        <w:tblPrEx>
          <w:tblCellMar>
            <w:top w:w="0" w:type="dxa"/>
            <w:bottom w:w="0" w:type="dxa"/>
          </w:tblCellMar>
        </w:tblPrEx>
        <w:trPr>
          <w:cantSplit/>
        </w:trPr>
        <w:tc>
          <w:tcPr>
            <w:tcW w:w="390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09" w14:textId="77777777" w:rsidR="00C1548D" w:rsidRDefault="009B1B4B">
            <w:pPr>
              <w:spacing w:line="250" w:lineRule="auto"/>
            </w:pPr>
            <w:r>
              <w:rPr>
                <w:sz w:val="18"/>
                <w:szCs w:val="18"/>
              </w:rPr>
              <w:t>Gilt in ganz Kanada Rechtsabbiegen bei Rot?</w:t>
            </w:r>
          </w:p>
        </w:tc>
        <w:tc>
          <w:tcPr>
            <w:tcW w:w="257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0A" w14:textId="77777777" w:rsidR="00C1548D" w:rsidRDefault="009B1B4B">
            <w:pPr>
              <w:spacing w:line="250" w:lineRule="auto"/>
            </w:pPr>
            <w:r>
              <w:rPr>
                <w:sz w:val="18"/>
                <w:szCs w:val="18"/>
              </w:rPr>
              <w:t>Kanada: Führerschein, Auto, Verkehrsregeln</w:t>
            </w:r>
          </w:p>
        </w:tc>
      </w:tr>
    </w:tbl>
    <w:p w14:paraId="70A51D0C" w14:textId="77777777" w:rsidR="00C1548D" w:rsidRDefault="00C1548D">
      <w:pPr>
        <w:spacing w:line="180" w:lineRule="exact"/>
      </w:pPr>
    </w:p>
    <w:p w14:paraId="70A51D0D" w14:textId="77777777" w:rsidR="00C1548D" w:rsidRDefault="009B1B4B">
      <w:pPr>
        <w:pStyle w:val="Heading3"/>
        <w:keepNext/>
        <w:jc w:val="center"/>
      </w:pPr>
      <w:r>
        <w:rPr>
          <w:rFonts w:ascii="Amazon Ember" w:eastAsia="Amazon Ember" w:hAnsi="Amazon Ember" w:cs="Amazon Ember"/>
          <w:color w:val="0000FF"/>
          <w:sz w:val="36"/>
          <w:szCs w:val="36"/>
        </w:rPr>
        <w:t>Kanada: Alltag und Kinder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17"/>
        <w:gridCol w:w="2363"/>
      </w:tblGrid>
      <w:tr w:rsidR="00C1548D" w14:paraId="70A51D10" w14:textId="77777777">
        <w:tblPrEx>
          <w:tblCellMar>
            <w:top w:w="0" w:type="dxa"/>
            <w:bottom w:w="0" w:type="dxa"/>
          </w:tblCellMar>
        </w:tblPrEx>
        <w:trPr>
          <w:cantSplit/>
          <w:tblHeader/>
        </w:trPr>
        <w:tc>
          <w:tcPr>
            <w:tcW w:w="411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0E" w14:textId="77777777" w:rsidR="00C1548D" w:rsidRDefault="009B1B4B">
            <w:pPr>
              <w:spacing w:line="250" w:lineRule="auto"/>
            </w:pPr>
            <w:r>
              <w:rPr>
                <w:b/>
                <w:bCs/>
                <w:sz w:val="18"/>
                <w:szCs w:val="18"/>
              </w:rPr>
              <w:t>Deine Frage oder Situation</w:t>
            </w:r>
          </w:p>
        </w:tc>
        <w:tc>
          <w:tcPr>
            <w:tcW w:w="236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0F" w14:textId="77777777" w:rsidR="00C1548D" w:rsidRDefault="009B1B4B">
            <w:pPr>
              <w:spacing w:line="250" w:lineRule="auto"/>
            </w:pPr>
            <w:r>
              <w:rPr>
                <w:b/>
                <w:bCs/>
                <w:sz w:val="18"/>
                <w:szCs w:val="18"/>
              </w:rPr>
              <w:t>Mehr dazu</w:t>
            </w:r>
          </w:p>
        </w:tc>
      </w:tr>
      <w:tr w:rsidR="00C1548D" w14:paraId="70A51D13" w14:textId="77777777">
        <w:tblPrEx>
          <w:tblCellMar>
            <w:top w:w="0" w:type="dxa"/>
            <w:bottom w:w="0" w:type="dxa"/>
          </w:tblCellMar>
        </w:tblPrEx>
        <w:trPr>
          <w:cantSplit/>
        </w:trPr>
        <w:tc>
          <w:tcPr>
            <w:tcW w:w="41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11" w14:textId="77777777" w:rsidR="00C1548D" w:rsidRDefault="009B1B4B">
            <w:pPr>
              <w:spacing w:line="250" w:lineRule="auto"/>
            </w:pPr>
            <w:r>
              <w:rPr>
                <w:sz w:val="18"/>
                <w:szCs w:val="18"/>
              </w:rPr>
              <w:t>Warum entschuldigt sich in Kanada jeder ständig, auch wenn er gar nichts falsch gemacht hat?</w:t>
            </w:r>
          </w:p>
        </w:tc>
        <w:tc>
          <w:tcPr>
            <w:tcW w:w="23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12" w14:textId="77777777" w:rsidR="00C1548D" w:rsidRDefault="009B1B4B">
            <w:pPr>
              <w:spacing w:line="250" w:lineRule="auto"/>
            </w:pPr>
            <w:r>
              <w:rPr>
                <w:sz w:val="18"/>
                <w:szCs w:val="18"/>
              </w:rPr>
              <w:t>Kanada: Alltagskultur</w:t>
            </w:r>
          </w:p>
        </w:tc>
      </w:tr>
      <w:tr w:rsidR="00C1548D" w14:paraId="70A51D16" w14:textId="77777777">
        <w:tblPrEx>
          <w:tblCellMar>
            <w:top w:w="0" w:type="dxa"/>
            <w:bottom w:w="0" w:type="dxa"/>
          </w:tblCellMar>
        </w:tblPrEx>
        <w:trPr>
          <w:cantSplit/>
        </w:trPr>
        <w:tc>
          <w:tcPr>
            <w:tcW w:w="41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14" w14:textId="77777777" w:rsidR="00C1548D" w:rsidRDefault="009B1B4B">
            <w:pPr>
              <w:spacing w:line="250" w:lineRule="auto"/>
            </w:pPr>
            <w:r>
              <w:rPr>
                <w:sz w:val="18"/>
                <w:szCs w:val="18"/>
              </w:rPr>
              <w:t>Muss meine Familie in Québec zwingend Französisch lernen?</w:t>
            </w:r>
          </w:p>
        </w:tc>
        <w:tc>
          <w:tcPr>
            <w:tcW w:w="23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15" w14:textId="77777777" w:rsidR="00C1548D" w:rsidRDefault="009B1B4B">
            <w:pPr>
              <w:spacing w:line="250" w:lineRule="auto"/>
            </w:pPr>
            <w:r>
              <w:rPr>
                <w:sz w:val="18"/>
                <w:szCs w:val="18"/>
              </w:rPr>
              <w:t>Kanada: Alltagskultur</w:t>
            </w:r>
          </w:p>
        </w:tc>
      </w:tr>
      <w:tr w:rsidR="00C1548D" w14:paraId="70A51D19" w14:textId="77777777">
        <w:tblPrEx>
          <w:tblCellMar>
            <w:top w:w="0" w:type="dxa"/>
            <w:bottom w:w="0" w:type="dxa"/>
          </w:tblCellMar>
        </w:tblPrEx>
        <w:trPr>
          <w:cantSplit/>
        </w:trPr>
        <w:tc>
          <w:tcPr>
            <w:tcW w:w="41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17" w14:textId="77777777" w:rsidR="00C1548D" w:rsidRDefault="009B1B4B">
            <w:pPr>
              <w:spacing w:line="250" w:lineRule="auto"/>
            </w:pPr>
            <w:r>
              <w:rPr>
                <w:sz w:val="18"/>
                <w:szCs w:val="18"/>
              </w:rPr>
              <w:t>Wie finde ich in Kanada schnell Anschluss und Freunde?</w:t>
            </w:r>
          </w:p>
        </w:tc>
        <w:tc>
          <w:tcPr>
            <w:tcW w:w="23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18" w14:textId="77777777" w:rsidR="00C1548D" w:rsidRDefault="009B1B4B">
            <w:pPr>
              <w:spacing w:line="250" w:lineRule="auto"/>
            </w:pPr>
            <w:r>
              <w:rPr>
                <w:sz w:val="18"/>
                <w:szCs w:val="18"/>
              </w:rPr>
              <w:t>Kanada: Freunde, Kulturschock</w:t>
            </w:r>
          </w:p>
        </w:tc>
      </w:tr>
      <w:tr w:rsidR="00C1548D" w14:paraId="70A51D1C" w14:textId="77777777">
        <w:tblPrEx>
          <w:tblCellMar>
            <w:top w:w="0" w:type="dxa"/>
            <w:bottom w:w="0" w:type="dxa"/>
          </w:tblCellMar>
        </w:tblPrEx>
        <w:trPr>
          <w:cantSplit/>
        </w:trPr>
        <w:tc>
          <w:tcPr>
            <w:tcW w:w="41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1A" w14:textId="77777777" w:rsidR="00C1548D" w:rsidRDefault="009B1B4B">
            <w:pPr>
              <w:spacing w:line="250" w:lineRule="auto"/>
            </w:pPr>
            <w:r>
              <w:rPr>
                <w:sz w:val="18"/>
                <w:szCs w:val="18"/>
              </w:rPr>
              <w:lastRenderedPageBreak/>
              <w:t>Wie überstehe ich den ersten kanadischen Winter psychisch?</w:t>
            </w:r>
          </w:p>
        </w:tc>
        <w:tc>
          <w:tcPr>
            <w:tcW w:w="23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1B" w14:textId="77777777" w:rsidR="00C1548D" w:rsidRDefault="009B1B4B">
            <w:pPr>
              <w:spacing w:line="250" w:lineRule="auto"/>
            </w:pPr>
            <w:r>
              <w:rPr>
                <w:sz w:val="18"/>
                <w:szCs w:val="18"/>
              </w:rPr>
              <w:t>Kanada: Freunde, Kulturschock</w:t>
            </w:r>
          </w:p>
        </w:tc>
      </w:tr>
      <w:tr w:rsidR="00C1548D" w14:paraId="70A51D1F" w14:textId="77777777">
        <w:tblPrEx>
          <w:tblCellMar>
            <w:top w:w="0" w:type="dxa"/>
            <w:bottom w:w="0" w:type="dxa"/>
          </w:tblCellMar>
        </w:tblPrEx>
        <w:trPr>
          <w:cantSplit/>
        </w:trPr>
        <w:tc>
          <w:tcPr>
            <w:tcW w:w="41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1D" w14:textId="77777777" w:rsidR="00C1548D" w:rsidRDefault="009B1B4B">
            <w:pPr>
              <w:spacing w:line="250" w:lineRule="auto"/>
            </w:pPr>
            <w:r>
              <w:rPr>
                <w:sz w:val="18"/>
                <w:szCs w:val="18"/>
              </w:rPr>
              <w:t>Ist die Schule für mein Kind in Kanada wirklich kostenlos?</w:t>
            </w:r>
          </w:p>
        </w:tc>
        <w:tc>
          <w:tcPr>
            <w:tcW w:w="23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1E" w14:textId="77777777" w:rsidR="00C1548D" w:rsidRDefault="009B1B4B">
            <w:pPr>
              <w:spacing w:line="250" w:lineRule="auto"/>
            </w:pPr>
            <w:r>
              <w:rPr>
                <w:sz w:val="18"/>
                <w:szCs w:val="18"/>
              </w:rPr>
              <w:t>Kanada: Kinder, Schule, Sprache</w:t>
            </w:r>
          </w:p>
        </w:tc>
      </w:tr>
      <w:tr w:rsidR="00C1548D" w14:paraId="70A51D22" w14:textId="77777777">
        <w:tblPrEx>
          <w:tblCellMar>
            <w:top w:w="0" w:type="dxa"/>
            <w:bottom w:w="0" w:type="dxa"/>
          </w:tblCellMar>
        </w:tblPrEx>
        <w:trPr>
          <w:cantSplit/>
        </w:trPr>
        <w:tc>
          <w:tcPr>
            <w:tcW w:w="411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20" w14:textId="77777777" w:rsidR="00C1548D" w:rsidRDefault="009B1B4B">
            <w:pPr>
              <w:spacing w:line="250" w:lineRule="auto"/>
            </w:pPr>
            <w:r>
              <w:rPr>
                <w:sz w:val="18"/>
                <w:szCs w:val="18"/>
              </w:rPr>
              <w:t>Was ist French Immersion, und lohnt sie sich für mein Kind?</w:t>
            </w:r>
          </w:p>
        </w:tc>
        <w:tc>
          <w:tcPr>
            <w:tcW w:w="236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21" w14:textId="77777777" w:rsidR="00C1548D" w:rsidRDefault="009B1B4B">
            <w:pPr>
              <w:spacing w:line="250" w:lineRule="auto"/>
            </w:pPr>
            <w:r>
              <w:rPr>
                <w:sz w:val="18"/>
                <w:szCs w:val="18"/>
              </w:rPr>
              <w:t>Kanada: Kinder, Schule, Sprache</w:t>
            </w:r>
          </w:p>
        </w:tc>
      </w:tr>
    </w:tbl>
    <w:p w14:paraId="70A51D23" w14:textId="77777777" w:rsidR="00C1548D" w:rsidRDefault="00C1548D">
      <w:pPr>
        <w:spacing w:line="180" w:lineRule="exact"/>
      </w:pPr>
    </w:p>
    <w:p w14:paraId="70A51D24" w14:textId="77777777" w:rsidR="00C1548D" w:rsidRDefault="009B1B4B">
      <w:pPr>
        <w:pStyle w:val="Heading3"/>
        <w:keepNext/>
        <w:jc w:val="center"/>
      </w:pPr>
      <w:r>
        <w:rPr>
          <w:rFonts w:ascii="Amazon Ember" w:eastAsia="Amazon Ember" w:hAnsi="Amazon Ember" w:cs="Amazon Ember"/>
          <w:color w:val="0000FF"/>
          <w:sz w:val="36"/>
          <w:szCs w:val="36"/>
        </w:rPr>
        <w:t>Kanada: Arbeiten, Recht und Langfristig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85"/>
        <w:gridCol w:w="2795"/>
      </w:tblGrid>
      <w:tr w:rsidR="00C1548D" w14:paraId="70A51D27" w14:textId="77777777">
        <w:tblPrEx>
          <w:tblCellMar>
            <w:top w:w="0" w:type="dxa"/>
            <w:bottom w:w="0" w:type="dxa"/>
          </w:tblCellMar>
        </w:tblPrEx>
        <w:trPr>
          <w:cantSplit/>
          <w:tblHeader/>
        </w:trPr>
        <w:tc>
          <w:tcPr>
            <w:tcW w:w="368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25" w14:textId="77777777" w:rsidR="00C1548D" w:rsidRDefault="009B1B4B">
            <w:pPr>
              <w:spacing w:line="250" w:lineRule="auto"/>
            </w:pPr>
            <w:r>
              <w:rPr>
                <w:b/>
                <w:bCs/>
                <w:sz w:val="18"/>
                <w:szCs w:val="18"/>
              </w:rPr>
              <w:t>Deine Frage oder Situation</w:t>
            </w:r>
          </w:p>
        </w:tc>
        <w:tc>
          <w:tcPr>
            <w:tcW w:w="2795"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26" w14:textId="77777777" w:rsidR="00C1548D" w:rsidRDefault="009B1B4B">
            <w:pPr>
              <w:spacing w:line="250" w:lineRule="auto"/>
            </w:pPr>
            <w:r>
              <w:rPr>
                <w:b/>
                <w:bCs/>
                <w:sz w:val="18"/>
                <w:szCs w:val="18"/>
              </w:rPr>
              <w:t>Mehr dazu</w:t>
            </w:r>
          </w:p>
        </w:tc>
      </w:tr>
      <w:tr w:rsidR="00C1548D" w14:paraId="70A51D2A" w14:textId="77777777">
        <w:tblPrEx>
          <w:tblCellMar>
            <w:top w:w="0" w:type="dxa"/>
            <w:bottom w:w="0" w:type="dxa"/>
          </w:tblCellMar>
        </w:tblPrEx>
        <w:trPr>
          <w:cantSplit/>
        </w:trPr>
        <w:tc>
          <w:tcPr>
            <w:tcW w:w="3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28" w14:textId="77777777" w:rsidR="00C1548D" w:rsidRDefault="009B1B4B">
            <w:pPr>
              <w:spacing w:line="250" w:lineRule="auto"/>
            </w:pPr>
            <w:r>
              <w:rPr>
                <w:sz w:val="18"/>
                <w:szCs w:val="18"/>
              </w:rPr>
              <w:t>Wie viel Urlaub steht mir in Kanada gesetzlich zu?</w:t>
            </w:r>
          </w:p>
        </w:tc>
        <w:tc>
          <w:tcPr>
            <w:tcW w:w="27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29" w14:textId="77777777" w:rsidR="00C1548D" w:rsidRDefault="009B1B4B">
            <w:pPr>
              <w:spacing w:line="250" w:lineRule="auto"/>
            </w:pPr>
            <w:r>
              <w:rPr>
                <w:sz w:val="18"/>
                <w:szCs w:val="18"/>
              </w:rPr>
              <w:t>Kanada: Arbeitswelt, Jobwechsel</w:t>
            </w:r>
          </w:p>
        </w:tc>
      </w:tr>
      <w:tr w:rsidR="00C1548D" w14:paraId="70A51D2D" w14:textId="77777777">
        <w:tblPrEx>
          <w:tblCellMar>
            <w:top w:w="0" w:type="dxa"/>
            <w:bottom w:w="0" w:type="dxa"/>
          </w:tblCellMar>
        </w:tblPrEx>
        <w:trPr>
          <w:cantSplit/>
        </w:trPr>
        <w:tc>
          <w:tcPr>
            <w:tcW w:w="3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2B" w14:textId="77777777" w:rsidR="00C1548D" w:rsidRDefault="009B1B4B">
            <w:pPr>
              <w:spacing w:line="250" w:lineRule="auto"/>
            </w:pPr>
            <w:r>
              <w:rPr>
                <w:sz w:val="18"/>
                <w:szCs w:val="18"/>
              </w:rPr>
              <w:t>Darf mein Arbeitgeber mir ohne Grund kündigen, und wie wechsle ich mit einem LMIA-pflichtigen Work Permit den Arbeitgeber?</w:t>
            </w:r>
          </w:p>
        </w:tc>
        <w:tc>
          <w:tcPr>
            <w:tcW w:w="27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2C" w14:textId="77777777" w:rsidR="00C1548D" w:rsidRDefault="009B1B4B">
            <w:pPr>
              <w:spacing w:line="250" w:lineRule="auto"/>
            </w:pPr>
            <w:r>
              <w:rPr>
                <w:sz w:val="18"/>
                <w:szCs w:val="18"/>
              </w:rPr>
              <w:t>Kanada: Arbeitswelt, Jobwechsel</w:t>
            </w:r>
          </w:p>
        </w:tc>
      </w:tr>
      <w:tr w:rsidR="00C1548D" w14:paraId="70A51D30" w14:textId="77777777">
        <w:tblPrEx>
          <w:tblCellMar>
            <w:top w:w="0" w:type="dxa"/>
            <w:bottom w:w="0" w:type="dxa"/>
          </w:tblCellMar>
        </w:tblPrEx>
        <w:trPr>
          <w:cantSplit/>
        </w:trPr>
        <w:tc>
          <w:tcPr>
            <w:tcW w:w="3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2E" w14:textId="77777777" w:rsidR="00C1548D" w:rsidRDefault="009B1B4B">
            <w:pPr>
              <w:spacing w:line="250" w:lineRule="auto"/>
            </w:pPr>
            <w:r>
              <w:rPr>
                <w:sz w:val="18"/>
                <w:szCs w:val="18"/>
              </w:rPr>
              <w:t>Wie verhalte ich mich bei einer Verkehrskontrolle durch die Polizei?</w:t>
            </w:r>
          </w:p>
        </w:tc>
        <w:tc>
          <w:tcPr>
            <w:tcW w:w="27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2F" w14:textId="77777777" w:rsidR="00C1548D" w:rsidRDefault="009B1B4B">
            <w:pPr>
              <w:spacing w:line="250" w:lineRule="auto"/>
            </w:pPr>
            <w:r>
              <w:rPr>
                <w:sz w:val="18"/>
                <w:szCs w:val="18"/>
              </w:rPr>
              <w:t>Kanada: Recht, Sicherheit, Polizei</w:t>
            </w:r>
          </w:p>
        </w:tc>
      </w:tr>
      <w:tr w:rsidR="00C1548D" w14:paraId="70A51D33" w14:textId="77777777">
        <w:tblPrEx>
          <w:tblCellMar>
            <w:top w:w="0" w:type="dxa"/>
            <w:bottom w:w="0" w:type="dxa"/>
          </w:tblCellMar>
        </w:tblPrEx>
        <w:trPr>
          <w:cantSplit/>
        </w:trPr>
        <w:tc>
          <w:tcPr>
            <w:tcW w:w="3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31" w14:textId="77777777" w:rsidR="00C1548D" w:rsidRDefault="009B1B4B">
            <w:pPr>
              <w:spacing w:line="250" w:lineRule="auto"/>
            </w:pPr>
            <w:r>
              <w:rPr>
                <w:sz w:val="18"/>
                <w:szCs w:val="18"/>
              </w:rPr>
              <w:t>Ist Cannabis in Kanada wirklich überall legal?</w:t>
            </w:r>
          </w:p>
        </w:tc>
        <w:tc>
          <w:tcPr>
            <w:tcW w:w="27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32" w14:textId="77777777" w:rsidR="00C1548D" w:rsidRDefault="009B1B4B">
            <w:pPr>
              <w:spacing w:line="250" w:lineRule="auto"/>
            </w:pPr>
            <w:r>
              <w:rPr>
                <w:sz w:val="18"/>
                <w:szCs w:val="18"/>
              </w:rPr>
              <w:t>Kanada: Recht, Sicherheit, Polizei</w:t>
            </w:r>
          </w:p>
        </w:tc>
      </w:tr>
      <w:tr w:rsidR="00C1548D" w14:paraId="70A51D36" w14:textId="77777777">
        <w:tblPrEx>
          <w:tblCellMar>
            <w:top w:w="0" w:type="dxa"/>
            <w:bottom w:w="0" w:type="dxa"/>
          </w:tblCellMar>
        </w:tblPrEx>
        <w:trPr>
          <w:cantSplit/>
        </w:trPr>
        <w:tc>
          <w:tcPr>
            <w:tcW w:w="3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34" w14:textId="77777777" w:rsidR="00C1548D" w:rsidRDefault="009B1B4B">
            <w:pPr>
              <w:spacing w:line="250" w:lineRule="auto"/>
            </w:pPr>
            <w:r>
              <w:rPr>
                <w:sz w:val="18"/>
                <w:szCs w:val="18"/>
              </w:rPr>
              <w:t>Wie lange dauert es, bis ich mich in Kanada einbürgern lassen kann?</w:t>
            </w:r>
          </w:p>
        </w:tc>
        <w:tc>
          <w:tcPr>
            <w:tcW w:w="27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35" w14:textId="77777777" w:rsidR="00C1548D" w:rsidRDefault="009B1B4B">
            <w:pPr>
              <w:spacing w:line="250" w:lineRule="auto"/>
            </w:pPr>
            <w:r>
              <w:rPr>
                <w:sz w:val="18"/>
                <w:szCs w:val="18"/>
              </w:rPr>
              <w:t>Kanada: Staatsbürgerschaft, Steuerresidenz</w:t>
            </w:r>
          </w:p>
        </w:tc>
      </w:tr>
      <w:tr w:rsidR="00C1548D" w14:paraId="70A51D39" w14:textId="77777777">
        <w:tblPrEx>
          <w:tblCellMar>
            <w:top w:w="0" w:type="dxa"/>
            <w:bottom w:w="0" w:type="dxa"/>
          </w:tblCellMar>
        </w:tblPrEx>
        <w:trPr>
          <w:cantSplit/>
        </w:trPr>
        <w:tc>
          <w:tcPr>
            <w:tcW w:w="368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37" w14:textId="77777777" w:rsidR="00C1548D" w:rsidRDefault="009B1B4B">
            <w:pPr>
              <w:spacing w:line="250" w:lineRule="auto"/>
            </w:pPr>
            <w:r>
              <w:rPr>
                <w:sz w:val="18"/>
                <w:szCs w:val="18"/>
              </w:rPr>
              <w:t>Verliere ich meinen deutschen Pass, wenn ich Kanadier werde, und muss ich nach einer Rückkehr weiter kanadische Steuern zahlen?</w:t>
            </w:r>
          </w:p>
        </w:tc>
        <w:tc>
          <w:tcPr>
            <w:tcW w:w="2795"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38" w14:textId="77777777" w:rsidR="00C1548D" w:rsidRDefault="009B1B4B">
            <w:pPr>
              <w:spacing w:line="250" w:lineRule="auto"/>
            </w:pPr>
            <w:r>
              <w:rPr>
                <w:sz w:val="18"/>
                <w:szCs w:val="18"/>
              </w:rPr>
              <w:t>Kanada: Staatsbürgerschaft, Steuerresidenz</w:t>
            </w:r>
          </w:p>
        </w:tc>
      </w:tr>
    </w:tbl>
    <w:p w14:paraId="70A51D3A" w14:textId="77777777" w:rsidR="00C1548D" w:rsidRDefault="00C1548D">
      <w:pPr>
        <w:spacing w:line="180" w:lineRule="exact"/>
      </w:pPr>
    </w:p>
    <w:p w14:paraId="70A51D3B" w14:textId="77777777" w:rsidR="00C1548D" w:rsidRDefault="009B1B4B">
      <w:pPr>
        <w:pStyle w:val="Heading2"/>
        <w:keepNext/>
        <w:pageBreakBefore/>
        <w:jc w:val="center"/>
      </w:pPr>
      <w:bookmarkStart w:id="226" w:name="s108"/>
      <w:bookmarkStart w:id="227" w:name="_Toc241352565"/>
      <w:r>
        <w:rPr>
          <w:rFonts w:ascii="Amazon Ember" w:eastAsia="Amazon Ember" w:hAnsi="Amazon Ember" w:cs="Amazon Ember"/>
          <w:color w:val="0000FF"/>
          <w:sz w:val="36"/>
          <w:szCs w:val="36"/>
        </w:rPr>
        <w:lastRenderedPageBreak/>
        <w:t>Australien</w:t>
      </w:r>
      <w:bookmarkEnd w:id="226"/>
      <w:bookmarkEnd w:id="227"/>
    </w:p>
    <w:p w14:paraId="70A51D3C" w14:textId="77777777" w:rsidR="00C1548D" w:rsidRDefault="009B1B4B">
      <w:pPr>
        <w:pStyle w:val="Heading3"/>
        <w:keepNext/>
        <w:jc w:val="center"/>
      </w:pPr>
      <w:r>
        <w:rPr>
          <w:rFonts w:ascii="Amazon Ember" w:eastAsia="Amazon Ember" w:hAnsi="Amazon Ember" w:cs="Amazon Ember"/>
          <w:color w:val="0000FF"/>
          <w:sz w:val="36"/>
          <w:szCs w:val="36"/>
        </w:rPr>
        <w:t>Australien: Einwanderung und Visum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83"/>
        <w:gridCol w:w="2697"/>
      </w:tblGrid>
      <w:tr w:rsidR="00C1548D" w14:paraId="70A51D3F" w14:textId="77777777">
        <w:tblPrEx>
          <w:tblCellMar>
            <w:top w:w="0" w:type="dxa"/>
            <w:bottom w:w="0" w:type="dxa"/>
          </w:tblCellMar>
        </w:tblPrEx>
        <w:trPr>
          <w:cantSplit/>
          <w:tblHeader/>
        </w:trPr>
        <w:tc>
          <w:tcPr>
            <w:tcW w:w="37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3D" w14:textId="77777777" w:rsidR="00C1548D" w:rsidRDefault="009B1B4B">
            <w:pPr>
              <w:spacing w:line="250" w:lineRule="auto"/>
            </w:pPr>
            <w:r>
              <w:rPr>
                <w:b/>
                <w:bCs/>
                <w:sz w:val="18"/>
                <w:szCs w:val="18"/>
              </w:rPr>
              <w:t>Deine Frage oder Situation</w:t>
            </w:r>
          </w:p>
        </w:tc>
        <w:tc>
          <w:tcPr>
            <w:tcW w:w="26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3E" w14:textId="77777777" w:rsidR="00C1548D" w:rsidRDefault="009B1B4B">
            <w:pPr>
              <w:spacing w:line="250" w:lineRule="auto"/>
            </w:pPr>
            <w:r>
              <w:rPr>
                <w:b/>
                <w:bCs/>
                <w:sz w:val="18"/>
                <w:szCs w:val="18"/>
              </w:rPr>
              <w:t>Mehr dazu</w:t>
            </w:r>
          </w:p>
        </w:tc>
      </w:tr>
      <w:tr w:rsidR="00C1548D" w14:paraId="70A51D42"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40" w14:textId="77777777" w:rsidR="00C1548D" w:rsidRDefault="009B1B4B">
            <w:pPr>
              <w:spacing w:line="250" w:lineRule="auto"/>
            </w:pPr>
            <w:r>
              <w:rPr>
                <w:sz w:val="18"/>
                <w:szCs w:val="18"/>
              </w:rPr>
              <w:t>Lohnt sich Australien finanziell für mich, und wie stark unterscheidet sich der Steuerkeil von Deutschland?</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41" w14:textId="77777777" w:rsidR="00C1548D" w:rsidRDefault="009B1B4B">
            <w:pPr>
              <w:spacing w:line="250" w:lineRule="auto"/>
            </w:pPr>
            <w:r>
              <w:rPr>
                <w:sz w:val="18"/>
                <w:szCs w:val="18"/>
              </w:rPr>
              <w:t>Australien: Die ehrliche Bilanz</w:t>
            </w:r>
          </w:p>
        </w:tc>
      </w:tr>
      <w:tr w:rsidR="00C1548D" w14:paraId="70A51D45"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43" w14:textId="77777777" w:rsidR="00C1548D" w:rsidRDefault="009B1B4B">
            <w:pPr>
              <w:spacing w:line="250" w:lineRule="auto"/>
            </w:pPr>
            <w:r>
              <w:rPr>
                <w:sz w:val="18"/>
                <w:szCs w:val="18"/>
              </w:rPr>
              <w:t>Wie funktioniert der Punktetest für ein Skilled-Visum, und wie viele Punkte brauche ich realistisch?</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44" w14:textId="77777777" w:rsidR="00C1548D" w:rsidRDefault="009B1B4B">
            <w:pPr>
              <w:spacing w:line="250" w:lineRule="auto"/>
            </w:pPr>
            <w:r>
              <w:rPr>
                <w:sz w:val="18"/>
                <w:szCs w:val="18"/>
              </w:rPr>
              <w:t>Australien: Der Arbeitsweg</w:t>
            </w:r>
          </w:p>
        </w:tc>
      </w:tr>
      <w:tr w:rsidR="00C1548D" w14:paraId="70A51D48"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46" w14:textId="77777777" w:rsidR="00C1548D" w:rsidRDefault="009B1B4B">
            <w:pPr>
              <w:spacing w:line="250" w:lineRule="auto"/>
            </w:pPr>
            <w:r>
              <w:rPr>
                <w:sz w:val="18"/>
                <w:szCs w:val="18"/>
              </w:rPr>
              <w:t>Ab welchem Alter ist der Punktetest-Weg für mich verschlossen?</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47" w14:textId="77777777" w:rsidR="00C1548D" w:rsidRDefault="009B1B4B">
            <w:pPr>
              <w:spacing w:line="250" w:lineRule="auto"/>
            </w:pPr>
            <w:r>
              <w:rPr>
                <w:sz w:val="18"/>
                <w:szCs w:val="18"/>
              </w:rPr>
              <w:t>Australien: Wege der Einwanderung</w:t>
            </w:r>
          </w:p>
        </w:tc>
      </w:tr>
      <w:tr w:rsidR="00C1548D" w14:paraId="70A51D4B"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49" w14:textId="77777777" w:rsidR="00C1548D" w:rsidRDefault="009B1B4B">
            <w:pPr>
              <w:spacing w:line="250" w:lineRule="auto"/>
            </w:pPr>
            <w:r>
              <w:rPr>
                <w:sz w:val="18"/>
                <w:szCs w:val="18"/>
              </w:rPr>
              <w:t>Was ist der Unterschied zwischen Subclass 189, 190 und einem Arbeitgeber-Sponsoring über Subclass 482?</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4A" w14:textId="77777777" w:rsidR="00C1548D" w:rsidRDefault="009B1B4B">
            <w:pPr>
              <w:spacing w:line="250" w:lineRule="auto"/>
            </w:pPr>
            <w:r>
              <w:rPr>
                <w:sz w:val="18"/>
                <w:szCs w:val="18"/>
              </w:rPr>
              <w:t>Australien: Wege der Einwanderung</w:t>
            </w:r>
          </w:p>
        </w:tc>
      </w:tr>
      <w:tr w:rsidR="00C1548D" w14:paraId="70A51D4E"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4C" w14:textId="77777777" w:rsidR="00C1548D" w:rsidRDefault="009B1B4B">
            <w:pPr>
              <w:spacing w:line="250" w:lineRule="auto"/>
            </w:pPr>
            <w:r>
              <w:rPr>
                <w:sz w:val="18"/>
                <w:szCs w:val="18"/>
              </w:rPr>
              <w:t>Kann ich meine Eltern nach Australien nachholen, und wie lange dauert das?</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4D" w14:textId="77777777" w:rsidR="00C1548D" w:rsidRDefault="009B1B4B">
            <w:pPr>
              <w:spacing w:line="250" w:lineRule="auto"/>
            </w:pPr>
            <w:r>
              <w:rPr>
                <w:sz w:val="18"/>
                <w:szCs w:val="18"/>
              </w:rPr>
              <w:t>Australien: Familie, Investor, Ruhestand</w:t>
            </w:r>
          </w:p>
        </w:tc>
      </w:tr>
      <w:tr w:rsidR="00C1548D" w14:paraId="70A51D51"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4F" w14:textId="77777777" w:rsidR="00C1548D" w:rsidRDefault="009B1B4B">
            <w:pPr>
              <w:spacing w:line="250" w:lineRule="auto"/>
            </w:pPr>
            <w:r>
              <w:rPr>
                <w:sz w:val="18"/>
                <w:szCs w:val="18"/>
              </w:rPr>
              <w:t>Was kostet der Visumantrag insgesamt, und wozu brauche ich eine Apostille für mein Führungszeugnis?</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50" w14:textId="77777777" w:rsidR="00C1548D" w:rsidRDefault="009B1B4B">
            <w:pPr>
              <w:spacing w:line="250" w:lineRule="auto"/>
            </w:pPr>
            <w:r>
              <w:rPr>
                <w:sz w:val="18"/>
                <w:szCs w:val="18"/>
              </w:rPr>
              <w:t>Australien: Antrag, Konsulat, Kosten</w:t>
            </w:r>
          </w:p>
        </w:tc>
      </w:tr>
    </w:tbl>
    <w:p w14:paraId="70A51D52" w14:textId="77777777" w:rsidR="00C1548D" w:rsidRDefault="00C1548D">
      <w:pPr>
        <w:spacing w:line="180" w:lineRule="exact"/>
      </w:pPr>
    </w:p>
    <w:p w14:paraId="70A51D53" w14:textId="77777777" w:rsidR="00C1548D" w:rsidRDefault="009B1B4B">
      <w:pPr>
        <w:pStyle w:val="Heading3"/>
        <w:keepNext/>
        <w:jc w:val="center"/>
      </w:pPr>
      <w:r>
        <w:rPr>
          <w:rFonts w:ascii="Amazon Ember" w:eastAsia="Amazon Ember" w:hAnsi="Amazon Ember" w:cs="Amazon Ember"/>
          <w:color w:val="0000FF"/>
          <w:sz w:val="36"/>
          <w:szCs w:val="36"/>
        </w:rPr>
        <w:t>Australien: Ankunft und Geld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53"/>
        <w:gridCol w:w="2527"/>
      </w:tblGrid>
      <w:tr w:rsidR="00C1548D" w14:paraId="70A51D56" w14:textId="77777777">
        <w:tblPrEx>
          <w:tblCellMar>
            <w:top w:w="0" w:type="dxa"/>
            <w:bottom w:w="0" w:type="dxa"/>
          </w:tblCellMar>
        </w:tblPrEx>
        <w:trPr>
          <w:cantSplit/>
          <w:tblHeader/>
        </w:trPr>
        <w:tc>
          <w:tcPr>
            <w:tcW w:w="395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54" w14:textId="77777777" w:rsidR="00C1548D" w:rsidRDefault="009B1B4B">
            <w:pPr>
              <w:spacing w:line="250" w:lineRule="auto"/>
            </w:pPr>
            <w:r>
              <w:rPr>
                <w:b/>
                <w:bCs/>
                <w:sz w:val="18"/>
                <w:szCs w:val="18"/>
              </w:rPr>
              <w:t>Deine Frage oder Situation</w:t>
            </w:r>
          </w:p>
        </w:tc>
        <w:tc>
          <w:tcPr>
            <w:tcW w:w="252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55" w14:textId="77777777" w:rsidR="00C1548D" w:rsidRDefault="009B1B4B">
            <w:pPr>
              <w:spacing w:line="250" w:lineRule="auto"/>
            </w:pPr>
            <w:r>
              <w:rPr>
                <w:b/>
                <w:bCs/>
                <w:sz w:val="18"/>
                <w:szCs w:val="18"/>
              </w:rPr>
              <w:t>Mehr dazu</w:t>
            </w:r>
          </w:p>
        </w:tc>
      </w:tr>
      <w:tr w:rsidR="00C1548D" w14:paraId="70A51D59" w14:textId="77777777">
        <w:tblPrEx>
          <w:tblCellMar>
            <w:top w:w="0" w:type="dxa"/>
            <w:bottom w:w="0" w:type="dxa"/>
          </w:tblCellMar>
        </w:tblPrEx>
        <w:trPr>
          <w:cantSplit/>
        </w:trPr>
        <w:tc>
          <w:tcPr>
            <w:tcW w:w="3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57" w14:textId="77777777" w:rsidR="00C1548D" w:rsidRDefault="009B1B4B">
            <w:pPr>
              <w:spacing w:line="250" w:lineRule="auto"/>
            </w:pPr>
            <w:r>
              <w:rPr>
                <w:sz w:val="18"/>
                <w:szCs w:val="18"/>
              </w:rPr>
              <w:t>Was muss ich in den ersten Tagen nach der Landung erledigen, und wie beantrage ich meine Tax File Number?</w:t>
            </w:r>
          </w:p>
        </w:tc>
        <w:tc>
          <w:tcPr>
            <w:tcW w:w="25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58" w14:textId="77777777" w:rsidR="00C1548D" w:rsidRDefault="009B1B4B">
            <w:pPr>
              <w:spacing w:line="250" w:lineRule="auto"/>
            </w:pPr>
            <w:r>
              <w:rPr>
                <w:sz w:val="18"/>
                <w:szCs w:val="18"/>
              </w:rPr>
              <w:t>Australien: Ankunft, erste Wochen</w:t>
            </w:r>
          </w:p>
        </w:tc>
      </w:tr>
      <w:tr w:rsidR="00C1548D" w14:paraId="70A51D5C" w14:textId="77777777">
        <w:tblPrEx>
          <w:tblCellMar>
            <w:top w:w="0" w:type="dxa"/>
            <w:bottom w:w="0" w:type="dxa"/>
          </w:tblCellMar>
        </w:tblPrEx>
        <w:trPr>
          <w:cantSplit/>
        </w:trPr>
        <w:tc>
          <w:tcPr>
            <w:tcW w:w="3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5A" w14:textId="77777777" w:rsidR="00C1548D" w:rsidRDefault="009B1B4B">
            <w:pPr>
              <w:spacing w:line="250" w:lineRule="auto"/>
            </w:pPr>
            <w:r>
              <w:rPr>
                <w:sz w:val="18"/>
                <w:szCs w:val="18"/>
              </w:rPr>
              <w:t>Warum wird mir ohne Tax File Number fast die Hälfte meines Lohns abgezogen?</w:t>
            </w:r>
          </w:p>
        </w:tc>
        <w:tc>
          <w:tcPr>
            <w:tcW w:w="25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5B" w14:textId="77777777" w:rsidR="00C1548D" w:rsidRDefault="009B1B4B">
            <w:pPr>
              <w:spacing w:line="250" w:lineRule="auto"/>
            </w:pPr>
            <w:r>
              <w:rPr>
                <w:sz w:val="18"/>
                <w:szCs w:val="18"/>
              </w:rPr>
              <w:t>Australien: Steuer-ID/Bank/Kredit</w:t>
            </w:r>
          </w:p>
        </w:tc>
      </w:tr>
      <w:tr w:rsidR="00C1548D" w14:paraId="70A51D5F" w14:textId="77777777">
        <w:tblPrEx>
          <w:tblCellMar>
            <w:top w:w="0" w:type="dxa"/>
            <w:bottom w:w="0" w:type="dxa"/>
          </w:tblCellMar>
        </w:tblPrEx>
        <w:trPr>
          <w:cantSplit/>
        </w:trPr>
        <w:tc>
          <w:tcPr>
            <w:tcW w:w="3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5D" w14:textId="77777777" w:rsidR="00C1548D" w:rsidRDefault="009B1B4B">
            <w:pPr>
              <w:spacing w:line="250" w:lineRule="auto"/>
            </w:pPr>
            <w:r>
              <w:rPr>
                <w:sz w:val="18"/>
                <w:szCs w:val="18"/>
              </w:rPr>
              <w:t>Wie eröffne ich ein australisches Bankkonto, und wie baue ich mir eine Kreditwürdigkeit auf?</w:t>
            </w:r>
          </w:p>
        </w:tc>
        <w:tc>
          <w:tcPr>
            <w:tcW w:w="25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5E" w14:textId="77777777" w:rsidR="00C1548D" w:rsidRDefault="009B1B4B">
            <w:pPr>
              <w:spacing w:line="250" w:lineRule="auto"/>
            </w:pPr>
            <w:r>
              <w:rPr>
                <w:sz w:val="18"/>
                <w:szCs w:val="18"/>
              </w:rPr>
              <w:t>Australien: Steuer-ID/Bank/Kredit</w:t>
            </w:r>
          </w:p>
        </w:tc>
      </w:tr>
      <w:tr w:rsidR="00C1548D" w14:paraId="70A51D62" w14:textId="77777777">
        <w:tblPrEx>
          <w:tblCellMar>
            <w:top w:w="0" w:type="dxa"/>
            <w:bottom w:w="0" w:type="dxa"/>
          </w:tblCellMar>
        </w:tblPrEx>
        <w:trPr>
          <w:cantSplit/>
        </w:trPr>
        <w:tc>
          <w:tcPr>
            <w:tcW w:w="3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60" w14:textId="77777777" w:rsidR="00C1548D" w:rsidRDefault="009B1B4B">
            <w:pPr>
              <w:spacing w:line="250" w:lineRule="auto"/>
            </w:pPr>
            <w:r>
              <w:rPr>
                <w:sz w:val="18"/>
                <w:szCs w:val="18"/>
              </w:rPr>
              <w:t>Stimmt es, dass ich als Deutscher keinen automatischen Zugang zu Medicare habe?</w:t>
            </w:r>
          </w:p>
        </w:tc>
        <w:tc>
          <w:tcPr>
            <w:tcW w:w="25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61" w14:textId="77777777" w:rsidR="00C1548D" w:rsidRDefault="009B1B4B">
            <w:pPr>
              <w:spacing w:line="250" w:lineRule="auto"/>
            </w:pPr>
            <w:r>
              <w:rPr>
                <w:sz w:val="18"/>
                <w:szCs w:val="18"/>
              </w:rPr>
              <w:t>Australien: Gesundheitssystem</w:t>
            </w:r>
          </w:p>
        </w:tc>
      </w:tr>
      <w:tr w:rsidR="00C1548D" w14:paraId="70A51D65" w14:textId="77777777">
        <w:tblPrEx>
          <w:tblCellMar>
            <w:top w:w="0" w:type="dxa"/>
            <w:bottom w:w="0" w:type="dxa"/>
          </w:tblCellMar>
        </w:tblPrEx>
        <w:trPr>
          <w:cantSplit/>
        </w:trPr>
        <w:tc>
          <w:tcPr>
            <w:tcW w:w="3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63" w14:textId="77777777" w:rsidR="00C1548D" w:rsidRDefault="009B1B4B">
            <w:pPr>
              <w:spacing w:line="250" w:lineRule="auto"/>
            </w:pPr>
            <w:r>
              <w:rPr>
                <w:sz w:val="18"/>
                <w:szCs w:val="18"/>
              </w:rPr>
              <w:t>Was ist der Unterschied zwischen Medicare und einer privaten Krankenversicherung (OVHC), und wann brauche ich welche?</w:t>
            </w:r>
          </w:p>
        </w:tc>
        <w:tc>
          <w:tcPr>
            <w:tcW w:w="25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64" w14:textId="77777777" w:rsidR="00C1548D" w:rsidRDefault="009B1B4B">
            <w:pPr>
              <w:spacing w:line="250" w:lineRule="auto"/>
            </w:pPr>
            <w:r>
              <w:rPr>
                <w:sz w:val="18"/>
                <w:szCs w:val="18"/>
              </w:rPr>
              <w:t>Australien: Gesundheitssystem</w:t>
            </w:r>
          </w:p>
        </w:tc>
      </w:tr>
      <w:tr w:rsidR="00C1548D" w14:paraId="70A51D68" w14:textId="77777777">
        <w:tblPrEx>
          <w:tblCellMar>
            <w:top w:w="0" w:type="dxa"/>
            <w:bottom w:w="0" w:type="dxa"/>
          </w:tblCellMar>
        </w:tblPrEx>
        <w:trPr>
          <w:cantSplit/>
        </w:trPr>
        <w:tc>
          <w:tcPr>
            <w:tcW w:w="395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66" w14:textId="77777777" w:rsidR="00C1548D" w:rsidRDefault="009B1B4B">
            <w:pPr>
              <w:spacing w:line="250" w:lineRule="auto"/>
            </w:pPr>
            <w:r>
              <w:rPr>
                <w:sz w:val="18"/>
                <w:szCs w:val="18"/>
              </w:rPr>
              <w:lastRenderedPageBreak/>
              <w:t>Was ist die Medicare Levy Surcharge, und wann betrifft sie mich?</w:t>
            </w:r>
          </w:p>
        </w:tc>
        <w:tc>
          <w:tcPr>
            <w:tcW w:w="252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67" w14:textId="77777777" w:rsidR="00C1548D" w:rsidRDefault="009B1B4B">
            <w:pPr>
              <w:spacing w:line="250" w:lineRule="auto"/>
            </w:pPr>
            <w:r>
              <w:rPr>
                <w:sz w:val="18"/>
                <w:szCs w:val="18"/>
              </w:rPr>
              <w:t>Australien: Gesundheitssystem</w:t>
            </w:r>
          </w:p>
        </w:tc>
      </w:tr>
    </w:tbl>
    <w:p w14:paraId="70A51D69" w14:textId="77777777" w:rsidR="00C1548D" w:rsidRDefault="00C1548D">
      <w:pPr>
        <w:spacing w:line="180" w:lineRule="exact"/>
      </w:pPr>
    </w:p>
    <w:p w14:paraId="70A51D6A" w14:textId="77777777" w:rsidR="00C1548D" w:rsidRDefault="009B1B4B">
      <w:pPr>
        <w:pStyle w:val="Heading3"/>
        <w:keepNext/>
        <w:jc w:val="center"/>
      </w:pPr>
      <w:r>
        <w:rPr>
          <w:rFonts w:ascii="Amazon Ember" w:eastAsia="Amazon Ember" w:hAnsi="Amazon Ember" w:cs="Amazon Ember"/>
          <w:color w:val="0000FF"/>
          <w:sz w:val="36"/>
          <w:szCs w:val="36"/>
        </w:rPr>
        <w:t>Australien: Wohnen, Führerschein und Verkehr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31"/>
        <w:gridCol w:w="2749"/>
      </w:tblGrid>
      <w:tr w:rsidR="00C1548D" w14:paraId="70A51D6D" w14:textId="77777777">
        <w:tblPrEx>
          <w:tblCellMar>
            <w:top w:w="0" w:type="dxa"/>
            <w:bottom w:w="0" w:type="dxa"/>
          </w:tblCellMar>
        </w:tblPrEx>
        <w:trPr>
          <w:cantSplit/>
          <w:tblHeader/>
        </w:trPr>
        <w:tc>
          <w:tcPr>
            <w:tcW w:w="373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6B" w14:textId="77777777" w:rsidR="00C1548D" w:rsidRDefault="009B1B4B">
            <w:pPr>
              <w:spacing w:line="250" w:lineRule="auto"/>
            </w:pPr>
            <w:r>
              <w:rPr>
                <w:b/>
                <w:bCs/>
                <w:sz w:val="18"/>
                <w:szCs w:val="18"/>
              </w:rPr>
              <w:t>Deine Frage oder Situation</w:t>
            </w:r>
          </w:p>
        </w:tc>
        <w:tc>
          <w:tcPr>
            <w:tcW w:w="274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6C" w14:textId="77777777" w:rsidR="00C1548D" w:rsidRDefault="009B1B4B">
            <w:pPr>
              <w:spacing w:line="250" w:lineRule="auto"/>
            </w:pPr>
            <w:r>
              <w:rPr>
                <w:b/>
                <w:bCs/>
                <w:sz w:val="18"/>
                <w:szCs w:val="18"/>
              </w:rPr>
              <w:t>Mehr dazu</w:t>
            </w:r>
          </w:p>
        </w:tc>
      </w:tr>
      <w:tr w:rsidR="00C1548D" w14:paraId="70A51D70"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6E" w14:textId="77777777" w:rsidR="00C1548D" w:rsidRDefault="009B1B4B">
            <w:pPr>
              <w:spacing w:line="250" w:lineRule="auto"/>
            </w:pPr>
            <w:r>
              <w:rPr>
                <w:sz w:val="18"/>
                <w:szCs w:val="18"/>
              </w:rPr>
              <w:t>Wie viel Kaution (Bond) darf mein Vermieter verlangen, und wo wird sie hinterlegt?</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6F" w14:textId="77777777" w:rsidR="00C1548D" w:rsidRDefault="009B1B4B">
            <w:pPr>
              <w:spacing w:line="250" w:lineRule="auto"/>
            </w:pPr>
            <w:r>
              <w:rPr>
                <w:sz w:val="18"/>
                <w:szCs w:val="18"/>
              </w:rPr>
              <w:t>Australien: Wohnen</w:t>
            </w:r>
          </w:p>
        </w:tc>
      </w:tr>
      <w:tr w:rsidR="00C1548D" w14:paraId="70A51D73"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71" w14:textId="77777777" w:rsidR="00C1548D" w:rsidRDefault="009B1B4B">
            <w:pPr>
              <w:spacing w:line="250" w:lineRule="auto"/>
            </w:pPr>
            <w:r>
              <w:rPr>
                <w:sz w:val="18"/>
                <w:szCs w:val="18"/>
              </w:rPr>
              <w:t>Darf ich als Ausländer überhaupt eine Bestandsimmobilie in Australien kaufen?</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72" w14:textId="77777777" w:rsidR="00C1548D" w:rsidRDefault="009B1B4B">
            <w:pPr>
              <w:spacing w:line="250" w:lineRule="auto"/>
            </w:pPr>
            <w:r>
              <w:rPr>
                <w:sz w:val="18"/>
                <w:szCs w:val="18"/>
              </w:rPr>
              <w:t>Australien: Wohnen</w:t>
            </w:r>
          </w:p>
        </w:tc>
      </w:tr>
      <w:tr w:rsidR="00C1548D" w14:paraId="70A51D76"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74" w14:textId="77777777" w:rsidR="00C1548D" w:rsidRDefault="009B1B4B">
            <w:pPr>
              <w:spacing w:line="250" w:lineRule="auto"/>
            </w:pPr>
            <w:r>
              <w:rPr>
                <w:sz w:val="18"/>
                <w:szCs w:val="18"/>
              </w:rPr>
              <w:t>Welche Stadt passt zu meinem Beruf – Sydney, Melbourne, Perth oder Brisbane?</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75" w14:textId="77777777" w:rsidR="00C1548D" w:rsidRDefault="009B1B4B">
            <w:pPr>
              <w:spacing w:line="250" w:lineRule="auto"/>
            </w:pPr>
            <w:r>
              <w:rPr>
                <w:sz w:val="18"/>
                <w:szCs w:val="18"/>
              </w:rPr>
              <w:t>Australien: Wohnen</w:t>
            </w:r>
          </w:p>
        </w:tc>
      </w:tr>
      <w:tr w:rsidR="00C1548D" w14:paraId="70A51D79"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77" w14:textId="77777777" w:rsidR="00C1548D" w:rsidRDefault="009B1B4B">
            <w:pPr>
              <w:spacing w:line="250" w:lineRule="auto"/>
            </w:pPr>
            <w:r>
              <w:rPr>
                <w:sz w:val="18"/>
                <w:szCs w:val="18"/>
              </w:rPr>
              <w:t>Muss ich meinen deutschen Führerschein umtauschen, und wie lange darf ich ihn übergangsweise nutzen?</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78" w14:textId="77777777" w:rsidR="00C1548D" w:rsidRDefault="009B1B4B">
            <w:pPr>
              <w:spacing w:line="250" w:lineRule="auto"/>
            </w:pPr>
            <w:r>
              <w:rPr>
                <w:sz w:val="18"/>
                <w:szCs w:val="18"/>
              </w:rPr>
              <w:t>Australien: Führerschein, Auto, Verkehrsregeln</w:t>
            </w:r>
          </w:p>
        </w:tc>
      </w:tr>
      <w:tr w:rsidR="00C1548D" w14:paraId="70A51D7C"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7A" w14:textId="77777777" w:rsidR="00C1548D" w:rsidRDefault="009B1B4B">
            <w:pPr>
              <w:spacing w:line="250" w:lineRule="auto"/>
            </w:pPr>
            <w:r>
              <w:rPr>
                <w:sz w:val="18"/>
                <w:szCs w:val="18"/>
              </w:rPr>
              <w:t>Wie gewöhne ich mich an den Linksverkehr, ohne einen Unfall zu bauen?</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7B" w14:textId="77777777" w:rsidR="00C1548D" w:rsidRDefault="009B1B4B">
            <w:pPr>
              <w:spacing w:line="250" w:lineRule="auto"/>
            </w:pPr>
            <w:r>
              <w:rPr>
                <w:sz w:val="18"/>
                <w:szCs w:val="18"/>
              </w:rPr>
              <w:t>Australien: Führerschein, Auto, Verkehrsregeln</w:t>
            </w:r>
          </w:p>
        </w:tc>
      </w:tr>
      <w:tr w:rsidR="00C1548D" w14:paraId="70A51D7F"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7D" w14:textId="77777777" w:rsidR="00C1548D" w:rsidRDefault="009B1B4B">
            <w:pPr>
              <w:spacing w:line="250" w:lineRule="auto"/>
            </w:pPr>
            <w:r>
              <w:rPr>
                <w:sz w:val="18"/>
                <w:szCs w:val="18"/>
              </w:rPr>
              <w:t>Was passiert bei einer RBT-Kontrolle (Random Breath Testing), und muss ich da wirklich mitmachen?</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7E" w14:textId="77777777" w:rsidR="00C1548D" w:rsidRDefault="009B1B4B">
            <w:pPr>
              <w:spacing w:line="250" w:lineRule="auto"/>
            </w:pPr>
            <w:r>
              <w:rPr>
                <w:sz w:val="18"/>
                <w:szCs w:val="18"/>
              </w:rPr>
              <w:t>Australien: Führerschein, Auto, Verkehrsregeln</w:t>
            </w:r>
          </w:p>
        </w:tc>
      </w:tr>
    </w:tbl>
    <w:p w14:paraId="70A51D80" w14:textId="77777777" w:rsidR="00C1548D" w:rsidRDefault="00C1548D">
      <w:pPr>
        <w:spacing w:line="180" w:lineRule="exact"/>
      </w:pPr>
    </w:p>
    <w:p w14:paraId="70A51D81" w14:textId="77777777" w:rsidR="00C1548D" w:rsidRDefault="009B1B4B">
      <w:pPr>
        <w:pStyle w:val="Heading3"/>
        <w:keepNext/>
        <w:jc w:val="center"/>
      </w:pPr>
      <w:r>
        <w:rPr>
          <w:rFonts w:ascii="Amazon Ember" w:eastAsia="Amazon Ember" w:hAnsi="Amazon Ember" w:cs="Amazon Ember"/>
          <w:color w:val="0000FF"/>
          <w:sz w:val="36"/>
          <w:szCs w:val="36"/>
        </w:rPr>
        <w:t>Australien: Alltag und Kinder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22"/>
        <w:gridCol w:w="2558"/>
      </w:tblGrid>
      <w:tr w:rsidR="00C1548D" w14:paraId="70A51D84" w14:textId="77777777">
        <w:tblPrEx>
          <w:tblCellMar>
            <w:top w:w="0" w:type="dxa"/>
            <w:bottom w:w="0" w:type="dxa"/>
          </w:tblCellMar>
        </w:tblPrEx>
        <w:trPr>
          <w:cantSplit/>
          <w:tblHeader/>
        </w:trPr>
        <w:tc>
          <w:tcPr>
            <w:tcW w:w="392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82" w14:textId="77777777" w:rsidR="00C1548D" w:rsidRDefault="009B1B4B">
            <w:pPr>
              <w:spacing w:line="250" w:lineRule="auto"/>
            </w:pPr>
            <w:r>
              <w:rPr>
                <w:b/>
                <w:bCs/>
                <w:sz w:val="18"/>
                <w:szCs w:val="18"/>
              </w:rPr>
              <w:t>Deine Frage oder Situation</w:t>
            </w:r>
          </w:p>
        </w:tc>
        <w:tc>
          <w:tcPr>
            <w:tcW w:w="255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83" w14:textId="77777777" w:rsidR="00C1548D" w:rsidRDefault="009B1B4B">
            <w:pPr>
              <w:spacing w:line="250" w:lineRule="auto"/>
            </w:pPr>
            <w:r>
              <w:rPr>
                <w:b/>
                <w:bCs/>
                <w:sz w:val="18"/>
                <w:szCs w:val="18"/>
              </w:rPr>
              <w:t>Mehr dazu</w:t>
            </w:r>
          </w:p>
        </w:tc>
      </w:tr>
      <w:tr w:rsidR="00C1548D" w14:paraId="70A51D87"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85" w14:textId="77777777" w:rsidR="00C1548D" w:rsidRDefault="009B1B4B">
            <w:pPr>
              <w:spacing w:line="250" w:lineRule="auto"/>
            </w:pPr>
            <w:r>
              <w:rPr>
                <w:sz w:val="18"/>
                <w:szCs w:val="18"/>
              </w:rPr>
              <w:t>Warum nennt mich hier jeder „mate“, und heißt das schon, dass wir befreundet sind?</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86" w14:textId="77777777" w:rsidR="00C1548D" w:rsidRDefault="009B1B4B">
            <w:pPr>
              <w:spacing w:line="250" w:lineRule="auto"/>
            </w:pPr>
            <w:r>
              <w:rPr>
                <w:sz w:val="18"/>
                <w:szCs w:val="18"/>
              </w:rPr>
              <w:t>Australien: Alltagskultur</w:t>
            </w:r>
          </w:p>
        </w:tc>
      </w:tr>
      <w:tr w:rsidR="00C1548D" w14:paraId="70A51D8A"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88" w14:textId="77777777" w:rsidR="00C1548D" w:rsidRDefault="009B1B4B">
            <w:pPr>
              <w:spacing w:line="250" w:lineRule="auto"/>
            </w:pPr>
            <w:r>
              <w:rPr>
                <w:sz w:val="18"/>
                <w:szCs w:val="18"/>
              </w:rPr>
              <w:t>Wie unterscheidet sich der australische Kommunikationsstil vom deutschen, direkten Ton?</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89" w14:textId="77777777" w:rsidR="00C1548D" w:rsidRDefault="009B1B4B">
            <w:pPr>
              <w:spacing w:line="250" w:lineRule="auto"/>
            </w:pPr>
            <w:r>
              <w:rPr>
                <w:sz w:val="18"/>
                <w:szCs w:val="18"/>
              </w:rPr>
              <w:t>Australien: Alltagskultur</w:t>
            </w:r>
          </w:p>
        </w:tc>
      </w:tr>
      <w:tr w:rsidR="00C1548D" w14:paraId="70A51D8D"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8B" w14:textId="77777777" w:rsidR="00C1548D" w:rsidRDefault="009B1B4B">
            <w:pPr>
              <w:spacing w:line="250" w:lineRule="auto"/>
            </w:pPr>
            <w:r>
              <w:rPr>
                <w:sz w:val="18"/>
                <w:szCs w:val="18"/>
              </w:rPr>
              <w:t>Wie finde ich in Australien schnell Anschluss und Freunde?</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8C" w14:textId="77777777" w:rsidR="00C1548D" w:rsidRDefault="009B1B4B">
            <w:pPr>
              <w:spacing w:line="250" w:lineRule="auto"/>
            </w:pPr>
            <w:r>
              <w:rPr>
                <w:sz w:val="18"/>
                <w:szCs w:val="18"/>
              </w:rPr>
              <w:t>Australien: Freunde, Kulturschock</w:t>
            </w:r>
          </w:p>
        </w:tc>
      </w:tr>
      <w:tr w:rsidR="00C1548D" w14:paraId="70A51D90"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8E" w14:textId="77777777" w:rsidR="00C1548D" w:rsidRDefault="009B1B4B">
            <w:pPr>
              <w:spacing w:line="250" w:lineRule="auto"/>
            </w:pPr>
            <w:r>
              <w:rPr>
                <w:sz w:val="18"/>
                <w:szCs w:val="18"/>
              </w:rPr>
              <w:t>Wie gehe ich mit der großen Entfernung und der fehlenden Möglichkeit für spontane Heimatbesuche um?</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8F" w14:textId="77777777" w:rsidR="00C1548D" w:rsidRDefault="009B1B4B">
            <w:pPr>
              <w:spacing w:line="250" w:lineRule="auto"/>
            </w:pPr>
            <w:r>
              <w:rPr>
                <w:sz w:val="18"/>
                <w:szCs w:val="18"/>
              </w:rPr>
              <w:t>Australien: Freunde, Kulturschock</w:t>
            </w:r>
          </w:p>
        </w:tc>
      </w:tr>
      <w:tr w:rsidR="00C1548D" w14:paraId="70A51D93"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91" w14:textId="77777777" w:rsidR="00C1548D" w:rsidRDefault="009B1B4B">
            <w:pPr>
              <w:spacing w:line="250" w:lineRule="auto"/>
            </w:pPr>
            <w:r>
              <w:rPr>
                <w:sz w:val="18"/>
                <w:szCs w:val="18"/>
              </w:rPr>
              <w:lastRenderedPageBreak/>
              <w:t>Ist die Schule für mein Kind in Australien wirklich kostenlos, und wie funktioniert die Schulzuteilung?</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92" w14:textId="77777777" w:rsidR="00C1548D" w:rsidRDefault="009B1B4B">
            <w:pPr>
              <w:spacing w:line="250" w:lineRule="auto"/>
            </w:pPr>
            <w:r>
              <w:rPr>
                <w:sz w:val="18"/>
                <w:szCs w:val="18"/>
              </w:rPr>
              <w:t>Australien: Kinder, Schule, Sprache</w:t>
            </w:r>
          </w:p>
        </w:tc>
      </w:tr>
      <w:tr w:rsidR="00C1548D" w14:paraId="70A51D96"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94" w14:textId="77777777" w:rsidR="00C1548D" w:rsidRDefault="009B1B4B">
            <w:pPr>
              <w:spacing w:line="250" w:lineRule="auto"/>
            </w:pPr>
            <w:r>
              <w:rPr>
                <w:sz w:val="18"/>
                <w:szCs w:val="18"/>
              </w:rPr>
              <w:t>Warum beginnt das australische Schuljahr im Sommer, und was bedeutet das für unseren Umzugstermin?</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95" w14:textId="77777777" w:rsidR="00C1548D" w:rsidRDefault="009B1B4B">
            <w:pPr>
              <w:spacing w:line="250" w:lineRule="auto"/>
            </w:pPr>
            <w:r>
              <w:rPr>
                <w:sz w:val="18"/>
                <w:szCs w:val="18"/>
              </w:rPr>
              <w:t>Australien: Kinder, Schule, Sprache</w:t>
            </w:r>
          </w:p>
        </w:tc>
      </w:tr>
    </w:tbl>
    <w:p w14:paraId="70A51D97" w14:textId="77777777" w:rsidR="00C1548D" w:rsidRDefault="00C1548D">
      <w:pPr>
        <w:spacing w:line="180" w:lineRule="exact"/>
      </w:pPr>
    </w:p>
    <w:p w14:paraId="70A51D98" w14:textId="77777777" w:rsidR="00C1548D" w:rsidRDefault="009B1B4B">
      <w:pPr>
        <w:pStyle w:val="Heading3"/>
        <w:keepNext/>
        <w:jc w:val="center"/>
      </w:pPr>
      <w:r>
        <w:rPr>
          <w:rFonts w:ascii="Amazon Ember" w:eastAsia="Amazon Ember" w:hAnsi="Amazon Ember" w:cs="Amazon Ember"/>
          <w:color w:val="0000FF"/>
          <w:sz w:val="36"/>
          <w:szCs w:val="36"/>
        </w:rPr>
        <w:t>Australien: Arbeiten, Recht und Langfristig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28"/>
        <w:gridCol w:w="2952"/>
      </w:tblGrid>
      <w:tr w:rsidR="00C1548D" w14:paraId="70A51D9B" w14:textId="77777777">
        <w:tblPrEx>
          <w:tblCellMar>
            <w:top w:w="0" w:type="dxa"/>
            <w:bottom w:w="0" w:type="dxa"/>
          </w:tblCellMar>
        </w:tblPrEx>
        <w:trPr>
          <w:cantSplit/>
          <w:tblHeader/>
        </w:trPr>
        <w:tc>
          <w:tcPr>
            <w:tcW w:w="35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99" w14:textId="77777777" w:rsidR="00C1548D" w:rsidRDefault="009B1B4B">
            <w:pPr>
              <w:spacing w:line="250" w:lineRule="auto"/>
            </w:pPr>
            <w:r>
              <w:rPr>
                <w:b/>
                <w:bCs/>
                <w:sz w:val="18"/>
                <w:szCs w:val="18"/>
              </w:rPr>
              <w:t>Deine Frage oder Situation</w:t>
            </w:r>
          </w:p>
        </w:tc>
        <w:tc>
          <w:tcPr>
            <w:tcW w:w="29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9A" w14:textId="77777777" w:rsidR="00C1548D" w:rsidRDefault="009B1B4B">
            <w:pPr>
              <w:spacing w:line="250" w:lineRule="auto"/>
            </w:pPr>
            <w:r>
              <w:rPr>
                <w:b/>
                <w:bCs/>
                <w:sz w:val="18"/>
                <w:szCs w:val="18"/>
              </w:rPr>
              <w:t>Mehr dazu</w:t>
            </w:r>
          </w:p>
        </w:tc>
      </w:tr>
      <w:tr w:rsidR="00C1548D" w14:paraId="70A51D9E"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9C" w14:textId="77777777" w:rsidR="00C1548D" w:rsidRDefault="009B1B4B">
            <w:pPr>
              <w:spacing w:line="250" w:lineRule="auto"/>
            </w:pPr>
            <w:r>
              <w:rPr>
                <w:sz w:val="18"/>
                <w:szCs w:val="18"/>
              </w:rPr>
              <w:t>Wie viel Urlaub steht mir in Australien gesetzlich zu?</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9D" w14:textId="77777777" w:rsidR="00C1548D" w:rsidRDefault="009B1B4B">
            <w:pPr>
              <w:spacing w:line="250" w:lineRule="auto"/>
            </w:pPr>
            <w:r>
              <w:rPr>
                <w:sz w:val="18"/>
                <w:szCs w:val="18"/>
              </w:rPr>
              <w:t>Australien: Arbeitswelt, Jobwechsel</w:t>
            </w:r>
          </w:p>
        </w:tc>
      </w:tr>
      <w:tr w:rsidR="00C1548D" w14:paraId="70A51DA1"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9F" w14:textId="77777777" w:rsidR="00C1548D" w:rsidRDefault="009B1B4B">
            <w:pPr>
              <w:spacing w:line="250" w:lineRule="auto"/>
            </w:pPr>
            <w:r>
              <w:rPr>
                <w:sz w:val="18"/>
                <w:szCs w:val="18"/>
              </w:rPr>
              <w:t>Wie wechsle ich mit einem Subclass-482-Arbeitsvisum den Arbeitgeber, ohne meinen Status zu gefährden?</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A0" w14:textId="77777777" w:rsidR="00C1548D" w:rsidRDefault="009B1B4B">
            <w:pPr>
              <w:spacing w:line="250" w:lineRule="auto"/>
            </w:pPr>
            <w:r>
              <w:rPr>
                <w:sz w:val="18"/>
                <w:szCs w:val="18"/>
              </w:rPr>
              <w:t>Australien: Arbeitswelt, Jobwechsel</w:t>
            </w:r>
          </w:p>
        </w:tc>
      </w:tr>
      <w:tr w:rsidR="00C1548D" w14:paraId="70A51DA4"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A2" w14:textId="77777777" w:rsidR="00C1548D" w:rsidRDefault="009B1B4B">
            <w:pPr>
              <w:spacing w:line="250" w:lineRule="auto"/>
            </w:pPr>
            <w:r>
              <w:rPr>
                <w:sz w:val="18"/>
                <w:szCs w:val="18"/>
              </w:rPr>
              <w:t>Was mache ich, wenn mich die Polizei ohne Anlass zu einer Kontrolle anhält?</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A3" w14:textId="77777777" w:rsidR="00C1548D" w:rsidRDefault="009B1B4B">
            <w:pPr>
              <w:spacing w:line="250" w:lineRule="auto"/>
            </w:pPr>
            <w:r>
              <w:rPr>
                <w:sz w:val="18"/>
                <w:szCs w:val="18"/>
              </w:rPr>
              <w:t>Australien: Recht, Sicherheit, Polizei</w:t>
            </w:r>
          </w:p>
        </w:tc>
      </w:tr>
      <w:tr w:rsidR="00C1548D" w14:paraId="70A51DA7"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A5" w14:textId="77777777" w:rsidR="00C1548D" w:rsidRDefault="009B1B4B">
            <w:pPr>
              <w:spacing w:line="250" w:lineRule="auto"/>
            </w:pPr>
            <w:r>
              <w:rPr>
                <w:sz w:val="18"/>
                <w:szCs w:val="18"/>
              </w:rPr>
              <w:t>Ist Cannabis in Australien legal, wenn ich ein ärztliches Rezept habe?</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A6" w14:textId="77777777" w:rsidR="00C1548D" w:rsidRDefault="009B1B4B">
            <w:pPr>
              <w:spacing w:line="250" w:lineRule="auto"/>
            </w:pPr>
            <w:r>
              <w:rPr>
                <w:sz w:val="18"/>
                <w:szCs w:val="18"/>
              </w:rPr>
              <w:t>Australien: Recht, Sicherheit, Polizei</w:t>
            </w:r>
          </w:p>
        </w:tc>
      </w:tr>
      <w:tr w:rsidR="00C1548D" w14:paraId="70A51DAA"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A8" w14:textId="77777777" w:rsidR="00C1548D" w:rsidRDefault="009B1B4B">
            <w:pPr>
              <w:spacing w:line="250" w:lineRule="auto"/>
            </w:pPr>
            <w:r>
              <w:rPr>
                <w:sz w:val="18"/>
                <w:szCs w:val="18"/>
              </w:rPr>
              <w:t>Wie lange dauert es, bis ich mich in Australien einbürgern lassen kann?</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A9" w14:textId="77777777" w:rsidR="00C1548D" w:rsidRDefault="009B1B4B">
            <w:pPr>
              <w:spacing w:line="250" w:lineRule="auto"/>
            </w:pPr>
            <w:r>
              <w:rPr>
                <w:sz w:val="18"/>
                <w:szCs w:val="18"/>
              </w:rPr>
              <w:t>Australien: Staatsbürgerschaft, Steuerresidenz</w:t>
            </w:r>
          </w:p>
        </w:tc>
      </w:tr>
      <w:tr w:rsidR="00C1548D" w14:paraId="70A51DAD"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AB" w14:textId="77777777" w:rsidR="00C1548D" w:rsidRDefault="009B1B4B">
            <w:pPr>
              <w:spacing w:line="250" w:lineRule="auto"/>
            </w:pPr>
            <w:r>
              <w:rPr>
                <w:sz w:val="18"/>
                <w:szCs w:val="18"/>
              </w:rPr>
              <w:t>Verliere ich meinen deutschen Pass, wenn ich Australier werde, und muss ich nach einer Rückkehr weiter australische Steuern zahlen?</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AC" w14:textId="77777777" w:rsidR="00C1548D" w:rsidRDefault="009B1B4B">
            <w:pPr>
              <w:spacing w:line="250" w:lineRule="auto"/>
            </w:pPr>
            <w:r>
              <w:rPr>
                <w:sz w:val="18"/>
                <w:szCs w:val="18"/>
              </w:rPr>
              <w:t>Australien: Staatsbürgerschaft, Steuerresidenz</w:t>
            </w:r>
          </w:p>
        </w:tc>
      </w:tr>
    </w:tbl>
    <w:p w14:paraId="70A51DAE" w14:textId="77777777" w:rsidR="00C1548D" w:rsidRDefault="00C1548D">
      <w:pPr>
        <w:spacing w:line="180" w:lineRule="exact"/>
      </w:pPr>
    </w:p>
    <w:p w14:paraId="70A51DAF" w14:textId="77777777" w:rsidR="00C1548D" w:rsidRDefault="009B1B4B">
      <w:pPr>
        <w:pStyle w:val="Heading2"/>
        <w:keepNext/>
        <w:pageBreakBefore/>
        <w:jc w:val="center"/>
      </w:pPr>
      <w:bookmarkStart w:id="228" w:name="s109"/>
      <w:bookmarkStart w:id="229" w:name="_Toc241352566"/>
      <w:r>
        <w:rPr>
          <w:rFonts w:ascii="Amazon Ember" w:eastAsia="Amazon Ember" w:hAnsi="Amazon Ember" w:cs="Amazon Ember"/>
          <w:color w:val="0000FF"/>
          <w:sz w:val="36"/>
          <w:szCs w:val="36"/>
        </w:rPr>
        <w:lastRenderedPageBreak/>
        <w:t>Neuseeland</w:t>
      </w:r>
      <w:bookmarkEnd w:id="228"/>
      <w:bookmarkEnd w:id="229"/>
    </w:p>
    <w:p w14:paraId="70A51DB0" w14:textId="77777777" w:rsidR="00C1548D" w:rsidRDefault="009B1B4B">
      <w:pPr>
        <w:pStyle w:val="Heading3"/>
        <w:keepNext/>
        <w:jc w:val="center"/>
      </w:pPr>
      <w:r>
        <w:rPr>
          <w:rFonts w:ascii="Amazon Ember" w:eastAsia="Amazon Ember" w:hAnsi="Amazon Ember" w:cs="Amazon Ember"/>
          <w:color w:val="0000FF"/>
          <w:sz w:val="36"/>
          <w:szCs w:val="36"/>
        </w:rPr>
        <w:t>Neuseeland: Einwanderung und Visum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83"/>
        <w:gridCol w:w="2697"/>
      </w:tblGrid>
      <w:tr w:rsidR="00C1548D" w14:paraId="70A51DB3" w14:textId="77777777">
        <w:tblPrEx>
          <w:tblCellMar>
            <w:top w:w="0" w:type="dxa"/>
            <w:bottom w:w="0" w:type="dxa"/>
          </w:tblCellMar>
        </w:tblPrEx>
        <w:trPr>
          <w:cantSplit/>
          <w:tblHeader/>
        </w:trPr>
        <w:tc>
          <w:tcPr>
            <w:tcW w:w="3783"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B1" w14:textId="77777777" w:rsidR="00C1548D" w:rsidRDefault="009B1B4B">
            <w:pPr>
              <w:spacing w:line="250" w:lineRule="auto"/>
            </w:pPr>
            <w:r>
              <w:rPr>
                <w:b/>
                <w:bCs/>
                <w:sz w:val="18"/>
                <w:szCs w:val="18"/>
              </w:rPr>
              <w:t>Deine Frage oder Situation</w:t>
            </w:r>
          </w:p>
        </w:tc>
        <w:tc>
          <w:tcPr>
            <w:tcW w:w="2697"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B2" w14:textId="77777777" w:rsidR="00C1548D" w:rsidRDefault="009B1B4B">
            <w:pPr>
              <w:spacing w:line="250" w:lineRule="auto"/>
            </w:pPr>
            <w:r>
              <w:rPr>
                <w:b/>
                <w:bCs/>
                <w:sz w:val="18"/>
                <w:szCs w:val="18"/>
              </w:rPr>
              <w:t>Mehr dazu</w:t>
            </w:r>
          </w:p>
        </w:tc>
      </w:tr>
      <w:tr w:rsidR="00C1548D" w14:paraId="70A51DB6"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B4" w14:textId="77777777" w:rsidR="00C1548D" w:rsidRDefault="009B1B4B">
            <w:pPr>
              <w:spacing w:line="250" w:lineRule="auto"/>
            </w:pPr>
            <w:r>
              <w:rPr>
                <w:sz w:val="18"/>
                <w:szCs w:val="18"/>
              </w:rPr>
              <w:t>Lohnt sich Neuseeland finanziell für mich, und wie niedrig ist der Steuerkeil wirklich?</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B5" w14:textId="77777777" w:rsidR="00C1548D" w:rsidRDefault="009B1B4B">
            <w:pPr>
              <w:spacing w:line="250" w:lineRule="auto"/>
            </w:pPr>
            <w:r>
              <w:rPr>
                <w:sz w:val="18"/>
                <w:szCs w:val="18"/>
              </w:rPr>
              <w:t>Neuseeland: Die ehrliche Bilanz</w:t>
            </w:r>
          </w:p>
        </w:tc>
      </w:tr>
      <w:tr w:rsidR="00C1548D" w14:paraId="70A51DB9"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B7" w14:textId="77777777" w:rsidR="00C1548D" w:rsidRDefault="009B1B4B">
            <w:pPr>
              <w:spacing w:line="250" w:lineRule="auto"/>
            </w:pPr>
            <w:r>
              <w:rPr>
                <w:sz w:val="18"/>
                <w:szCs w:val="18"/>
              </w:rPr>
              <w:t>Was ist der Unterschied zwischen der Skilled Migrant Category (SMC) und dem Accredited Employer Work Visa (AEWV)?</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B8" w14:textId="77777777" w:rsidR="00C1548D" w:rsidRDefault="009B1B4B">
            <w:pPr>
              <w:spacing w:line="250" w:lineRule="auto"/>
            </w:pPr>
            <w:r>
              <w:rPr>
                <w:sz w:val="18"/>
                <w:szCs w:val="18"/>
              </w:rPr>
              <w:t>Neuseeland: Wege der Einwanderung</w:t>
            </w:r>
          </w:p>
        </w:tc>
      </w:tr>
      <w:tr w:rsidR="00C1548D" w14:paraId="70A51DBC"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BA" w14:textId="77777777" w:rsidR="00C1548D" w:rsidRDefault="009B1B4B">
            <w:pPr>
              <w:spacing w:line="250" w:lineRule="auto"/>
            </w:pPr>
            <w:r>
              <w:rPr>
                <w:sz w:val="18"/>
                <w:szCs w:val="18"/>
              </w:rPr>
              <w:t>Was ist die Green List, und wie verkürzt sie meinen Weg zur Residency?</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BB" w14:textId="77777777" w:rsidR="00C1548D" w:rsidRDefault="009B1B4B">
            <w:pPr>
              <w:spacing w:line="250" w:lineRule="auto"/>
            </w:pPr>
            <w:r>
              <w:rPr>
                <w:sz w:val="18"/>
                <w:szCs w:val="18"/>
              </w:rPr>
              <w:t>Neuseeland: Wege der Einwanderung</w:t>
            </w:r>
          </w:p>
        </w:tc>
      </w:tr>
      <w:tr w:rsidR="00C1548D" w14:paraId="70A51DBF"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BD" w14:textId="77777777" w:rsidR="00C1548D" w:rsidRDefault="009B1B4B">
            <w:pPr>
              <w:spacing w:line="250" w:lineRule="auto"/>
            </w:pPr>
            <w:r>
              <w:rPr>
                <w:sz w:val="18"/>
                <w:szCs w:val="18"/>
              </w:rPr>
              <w:t>Wie viele Punkte brauche ich für die SMC, und wie werden sie berechnet?</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BE" w14:textId="77777777" w:rsidR="00C1548D" w:rsidRDefault="009B1B4B">
            <w:pPr>
              <w:spacing w:line="250" w:lineRule="auto"/>
            </w:pPr>
            <w:r>
              <w:rPr>
                <w:sz w:val="18"/>
                <w:szCs w:val="18"/>
              </w:rPr>
              <w:t>Neuseeland: Der Arbeitsweg</w:t>
            </w:r>
          </w:p>
        </w:tc>
      </w:tr>
      <w:tr w:rsidR="00C1548D" w14:paraId="70A51DC2"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C0" w14:textId="77777777" w:rsidR="00C1548D" w:rsidRDefault="009B1B4B">
            <w:pPr>
              <w:spacing w:line="250" w:lineRule="auto"/>
            </w:pPr>
            <w:r>
              <w:rPr>
                <w:sz w:val="18"/>
                <w:szCs w:val="18"/>
              </w:rPr>
              <w:t>Gibt es für Neuseeland einen Ruhestandsweg ohne bereits dort lebendes Kind?</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C1" w14:textId="77777777" w:rsidR="00C1548D" w:rsidRDefault="009B1B4B">
            <w:pPr>
              <w:spacing w:line="250" w:lineRule="auto"/>
            </w:pPr>
            <w:r>
              <w:rPr>
                <w:sz w:val="18"/>
                <w:szCs w:val="18"/>
              </w:rPr>
              <w:t>Neuseeland: Familie, Investor, Ruhestand</w:t>
            </w:r>
          </w:p>
        </w:tc>
      </w:tr>
      <w:tr w:rsidR="00C1548D" w14:paraId="70A51DC5" w14:textId="77777777">
        <w:tblPrEx>
          <w:tblCellMar>
            <w:top w:w="0" w:type="dxa"/>
            <w:bottom w:w="0" w:type="dxa"/>
          </w:tblCellMar>
        </w:tblPrEx>
        <w:trPr>
          <w:cantSplit/>
        </w:trPr>
        <w:tc>
          <w:tcPr>
            <w:tcW w:w="3783"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C3" w14:textId="77777777" w:rsidR="00C1548D" w:rsidRDefault="009B1B4B">
            <w:pPr>
              <w:spacing w:line="250" w:lineRule="auto"/>
            </w:pPr>
            <w:r>
              <w:rPr>
                <w:sz w:val="18"/>
                <w:szCs w:val="18"/>
              </w:rPr>
              <w:t>Was kostet der Visumantrag insgesamt, und brauche ich für mein Führungszeugnis eine Apostille?</w:t>
            </w:r>
          </w:p>
        </w:tc>
        <w:tc>
          <w:tcPr>
            <w:tcW w:w="2697"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C4" w14:textId="77777777" w:rsidR="00C1548D" w:rsidRDefault="009B1B4B">
            <w:pPr>
              <w:spacing w:line="250" w:lineRule="auto"/>
            </w:pPr>
            <w:r>
              <w:rPr>
                <w:sz w:val="18"/>
                <w:szCs w:val="18"/>
              </w:rPr>
              <w:t>Neuseeland: Antrag, Konsulat, Kosten</w:t>
            </w:r>
          </w:p>
        </w:tc>
      </w:tr>
    </w:tbl>
    <w:p w14:paraId="70A51DC6" w14:textId="77777777" w:rsidR="00C1548D" w:rsidRDefault="00C1548D">
      <w:pPr>
        <w:spacing w:line="180" w:lineRule="exact"/>
      </w:pPr>
    </w:p>
    <w:p w14:paraId="70A51DC7" w14:textId="77777777" w:rsidR="00C1548D" w:rsidRDefault="009B1B4B">
      <w:pPr>
        <w:pStyle w:val="Heading3"/>
        <w:keepNext/>
        <w:jc w:val="center"/>
      </w:pPr>
      <w:r>
        <w:rPr>
          <w:rFonts w:ascii="Amazon Ember" w:eastAsia="Amazon Ember" w:hAnsi="Amazon Ember" w:cs="Amazon Ember"/>
          <w:color w:val="0000FF"/>
          <w:sz w:val="36"/>
          <w:szCs w:val="36"/>
        </w:rPr>
        <w:t>Neuseeland: Ankunft und Geld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32"/>
        <w:gridCol w:w="2548"/>
      </w:tblGrid>
      <w:tr w:rsidR="00C1548D" w14:paraId="70A51DCA" w14:textId="77777777">
        <w:tblPrEx>
          <w:tblCellMar>
            <w:top w:w="0" w:type="dxa"/>
            <w:bottom w:w="0" w:type="dxa"/>
          </w:tblCellMar>
        </w:tblPrEx>
        <w:trPr>
          <w:cantSplit/>
          <w:tblHeader/>
        </w:trPr>
        <w:tc>
          <w:tcPr>
            <w:tcW w:w="393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C8" w14:textId="77777777" w:rsidR="00C1548D" w:rsidRDefault="009B1B4B">
            <w:pPr>
              <w:spacing w:line="250" w:lineRule="auto"/>
            </w:pPr>
            <w:r>
              <w:rPr>
                <w:b/>
                <w:bCs/>
                <w:sz w:val="18"/>
                <w:szCs w:val="18"/>
              </w:rPr>
              <w:t>Deine Frage oder Situation</w:t>
            </w:r>
          </w:p>
        </w:tc>
        <w:tc>
          <w:tcPr>
            <w:tcW w:w="254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C9" w14:textId="77777777" w:rsidR="00C1548D" w:rsidRDefault="009B1B4B">
            <w:pPr>
              <w:spacing w:line="250" w:lineRule="auto"/>
            </w:pPr>
            <w:r>
              <w:rPr>
                <w:b/>
                <w:bCs/>
                <w:sz w:val="18"/>
                <w:szCs w:val="18"/>
              </w:rPr>
              <w:t>Mehr dazu</w:t>
            </w:r>
          </w:p>
        </w:tc>
      </w:tr>
      <w:tr w:rsidR="00C1548D" w14:paraId="70A51DCD" w14:textId="77777777">
        <w:tblPrEx>
          <w:tblCellMar>
            <w:top w:w="0" w:type="dxa"/>
            <w:bottom w:w="0" w:type="dxa"/>
          </w:tblCellMar>
        </w:tblPrEx>
        <w:trPr>
          <w:cantSplit/>
        </w:trPr>
        <w:tc>
          <w:tcPr>
            <w:tcW w:w="39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CB" w14:textId="77777777" w:rsidR="00C1548D" w:rsidRDefault="009B1B4B">
            <w:pPr>
              <w:spacing w:line="250" w:lineRule="auto"/>
            </w:pPr>
            <w:r>
              <w:rPr>
                <w:sz w:val="18"/>
                <w:szCs w:val="18"/>
              </w:rPr>
              <w:t>Was muss ich in den ersten Tagen nach der Landung erledigen, und wie beantrage ich meine IRD-Nummer?</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CC" w14:textId="77777777" w:rsidR="00C1548D" w:rsidRDefault="009B1B4B">
            <w:pPr>
              <w:spacing w:line="250" w:lineRule="auto"/>
            </w:pPr>
            <w:r>
              <w:rPr>
                <w:sz w:val="18"/>
                <w:szCs w:val="18"/>
              </w:rPr>
              <w:t>Neuseeland: Ankunft, erste Wochen</w:t>
            </w:r>
          </w:p>
        </w:tc>
      </w:tr>
      <w:tr w:rsidR="00C1548D" w14:paraId="70A51DD0" w14:textId="77777777">
        <w:tblPrEx>
          <w:tblCellMar>
            <w:top w:w="0" w:type="dxa"/>
            <w:bottom w:w="0" w:type="dxa"/>
          </w:tblCellMar>
        </w:tblPrEx>
        <w:trPr>
          <w:cantSplit/>
        </w:trPr>
        <w:tc>
          <w:tcPr>
            <w:tcW w:w="39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CE" w14:textId="77777777" w:rsidR="00C1548D" w:rsidRDefault="009B1B4B">
            <w:pPr>
              <w:spacing w:line="250" w:lineRule="auto"/>
            </w:pPr>
            <w:r>
              <w:rPr>
                <w:sz w:val="18"/>
                <w:szCs w:val="18"/>
              </w:rPr>
              <w:t>Warum wird mir ohne IRD-Nummer ein sehr hoher Steuersatz auf mein Gehalt abgezogen?</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CF" w14:textId="77777777" w:rsidR="00C1548D" w:rsidRDefault="009B1B4B">
            <w:pPr>
              <w:spacing w:line="250" w:lineRule="auto"/>
            </w:pPr>
            <w:r>
              <w:rPr>
                <w:sz w:val="18"/>
                <w:szCs w:val="18"/>
              </w:rPr>
              <w:t>Neuseeland: Steuer-ID/Bank/Kredit</w:t>
            </w:r>
          </w:p>
        </w:tc>
      </w:tr>
      <w:tr w:rsidR="00C1548D" w14:paraId="70A51DD3" w14:textId="77777777">
        <w:tblPrEx>
          <w:tblCellMar>
            <w:top w:w="0" w:type="dxa"/>
            <w:bottom w:w="0" w:type="dxa"/>
          </w:tblCellMar>
        </w:tblPrEx>
        <w:trPr>
          <w:cantSplit/>
        </w:trPr>
        <w:tc>
          <w:tcPr>
            <w:tcW w:w="39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D1" w14:textId="77777777" w:rsidR="00C1548D" w:rsidRDefault="009B1B4B">
            <w:pPr>
              <w:spacing w:line="250" w:lineRule="auto"/>
            </w:pPr>
            <w:r>
              <w:rPr>
                <w:sz w:val="18"/>
                <w:szCs w:val="18"/>
              </w:rPr>
              <w:t>Wie eröffne ich ein neuseeländisches Bankkonto, und wie baue ich mir eine Kreditwürdigkeit auf?</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D2" w14:textId="77777777" w:rsidR="00C1548D" w:rsidRDefault="009B1B4B">
            <w:pPr>
              <w:spacing w:line="250" w:lineRule="auto"/>
            </w:pPr>
            <w:r>
              <w:rPr>
                <w:sz w:val="18"/>
                <w:szCs w:val="18"/>
              </w:rPr>
              <w:t>Neuseeland: Steuer-ID/Bank/Kredit</w:t>
            </w:r>
          </w:p>
        </w:tc>
      </w:tr>
      <w:tr w:rsidR="00C1548D" w14:paraId="70A51DD6" w14:textId="77777777">
        <w:tblPrEx>
          <w:tblCellMar>
            <w:top w:w="0" w:type="dxa"/>
            <w:bottom w:w="0" w:type="dxa"/>
          </w:tblCellMar>
        </w:tblPrEx>
        <w:trPr>
          <w:cantSplit/>
        </w:trPr>
        <w:tc>
          <w:tcPr>
            <w:tcW w:w="39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D4" w14:textId="77777777" w:rsidR="00C1548D" w:rsidRDefault="009B1B4B">
            <w:pPr>
              <w:spacing w:line="250" w:lineRule="auto"/>
            </w:pPr>
            <w:r>
              <w:rPr>
                <w:sz w:val="18"/>
                <w:szCs w:val="18"/>
              </w:rPr>
              <w:t>Ab wann habe ich Zugang zum öffentlichen Gesundheitssystem, und stimmt es, dass mein Visum mindestens zwei Jahre laufen muss?</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D5" w14:textId="77777777" w:rsidR="00C1548D" w:rsidRDefault="009B1B4B">
            <w:pPr>
              <w:spacing w:line="250" w:lineRule="auto"/>
            </w:pPr>
            <w:r>
              <w:rPr>
                <w:sz w:val="18"/>
                <w:szCs w:val="18"/>
              </w:rPr>
              <w:t>Neuseeland: Gesundheitssystem</w:t>
            </w:r>
          </w:p>
        </w:tc>
      </w:tr>
      <w:tr w:rsidR="00C1548D" w14:paraId="70A51DD9" w14:textId="77777777">
        <w:tblPrEx>
          <w:tblCellMar>
            <w:top w:w="0" w:type="dxa"/>
            <w:bottom w:w="0" w:type="dxa"/>
          </w:tblCellMar>
        </w:tblPrEx>
        <w:trPr>
          <w:cantSplit/>
        </w:trPr>
        <w:tc>
          <w:tcPr>
            <w:tcW w:w="39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D7" w14:textId="77777777" w:rsidR="00C1548D" w:rsidRDefault="009B1B4B">
            <w:pPr>
              <w:spacing w:line="250" w:lineRule="auto"/>
            </w:pPr>
            <w:r>
              <w:rPr>
                <w:sz w:val="18"/>
                <w:szCs w:val="18"/>
              </w:rPr>
              <w:t>Was ist ACC, und warum kann ich nach einem Unfall niemanden auf Schadensersatz verklagen?</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D8" w14:textId="77777777" w:rsidR="00C1548D" w:rsidRDefault="009B1B4B">
            <w:pPr>
              <w:spacing w:line="250" w:lineRule="auto"/>
            </w:pPr>
            <w:r>
              <w:rPr>
                <w:sz w:val="18"/>
                <w:szCs w:val="18"/>
              </w:rPr>
              <w:t>Neuseeland: Gesundheitssystem</w:t>
            </w:r>
          </w:p>
        </w:tc>
      </w:tr>
      <w:tr w:rsidR="00C1548D" w14:paraId="70A51DDC" w14:textId="77777777">
        <w:tblPrEx>
          <w:tblCellMar>
            <w:top w:w="0" w:type="dxa"/>
            <w:bottom w:w="0" w:type="dxa"/>
          </w:tblCellMar>
        </w:tblPrEx>
        <w:trPr>
          <w:cantSplit/>
        </w:trPr>
        <w:tc>
          <w:tcPr>
            <w:tcW w:w="393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DA" w14:textId="77777777" w:rsidR="00C1548D" w:rsidRDefault="009B1B4B">
            <w:pPr>
              <w:spacing w:line="250" w:lineRule="auto"/>
            </w:pPr>
            <w:r>
              <w:rPr>
                <w:sz w:val="18"/>
                <w:szCs w:val="18"/>
              </w:rPr>
              <w:t>Ab wann kann ich der Altersvorsorge KiwiSaver beitreten?</w:t>
            </w:r>
          </w:p>
        </w:tc>
        <w:tc>
          <w:tcPr>
            <w:tcW w:w="254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DB" w14:textId="77777777" w:rsidR="00C1548D" w:rsidRDefault="009B1B4B">
            <w:pPr>
              <w:spacing w:line="250" w:lineRule="auto"/>
            </w:pPr>
            <w:r>
              <w:rPr>
                <w:sz w:val="18"/>
                <w:szCs w:val="18"/>
              </w:rPr>
              <w:t>Neuseeland: Steuer-ID/Bank/Kredit</w:t>
            </w:r>
          </w:p>
        </w:tc>
      </w:tr>
    </w:tbl>
    <w:p w14:paraId="70A51DDD" w14:textId="77777777" w:rsidR="00C1548D" w:rsidRDefault="00C1548D">
      <w:pPr>
        <w:spacing w:line="180" w:lineRule="exact"/>
      </w:pPr>
    </w:p>
    <w:p w14:paraId="70A51DDE" w14:textId="77777777" w:rsidR="00C1548D" w:rsidRDefault="009B1B4B">
      <w:pPr>
        <w:pStyle w:val="Heading3"/>
        <w:keepNext/>
        <w:jc w:val="center"/>
      </w:pPr>
      <w:r>
        <w:rPr>
          <w:rFonts w:ascii="Amazon Ember" w:eastAsia="Amazon Ember" w:hAnsi="Amazon Ember" w:cs="Amazon Ember"/>
          <w:color w:val="0000FF"/>
          <w:sz w:val="36"/>
          <w:szCs w:val="36"/>
        </w:rPr>
        <w:t>Neuseeland: Wohnen, Führerschein und Verkehr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31"/>
        <w:gridCol w:w="2749"/>
      </w:tblGrid>
      <w:tr w:rsidR="00C1548D" w14:paraId="70A51DE1" w14:textId="77777777">
        <w:tblPrEx>
          <w:tblCellMar>
            <w:top w:w="0" w:type="dxa"/>
            <w:bottom w:w="0" w:type="dxa"/>
          </w:tblCellMar>
        </w:tblPrEx>
        <w:trPr>
          <w:cantSplit/>
          <w:tblHeader/>
        </w:trPr>
        <w:tc>
          <w:tcPr>
            <w:tcW w:w="3731"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DF" w14:textId="77777777" w:rsidR="00C1548D" w:rsidRDefault="009B1B4B">
            <w:pPr>
              <w:spacing w:line="250" w:lineRule="auto"/>
            </w:pPr>
            <w:r>
              <w:rPr>
                <w:b/>
                <w:bCs/>
                <w:sz w:val="18"/>
                <w:szCs w:val="18"/>
              </w:rPr>
              <w:t>Deine Frage oder Situation</w:t>
            </w:r>
          </w:p>
        </w:tc>
        <w:tc>
          <w:tcPr>
            <w:tcW w:w="2749"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E0" w14:textId="77777777" w:rsidR="00C1548D" w:rsidRDefault="009B1B4B">
            <w:pPr>
              <w:spacing w:line="250" w:lineRule="auto"/>
            </w:pPr>
            <w:r>
              <w:rPr>
                <w:b/>
                <w:bCs/>
                <w:sz w:val="18"/>
                <w:szCs w:val="18"/>
              </w:rPr>
              <w:t>Mehr dazu</w:t>
            </w:r>
          </w:p>
        </w:tc>
      </w:tr>
      <w:tr w:rsidR="00C1548D" w14:paraId="70A51DE4"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E2" w14:textId="77777777" w:rsidR="00C1548D" w:rsidRDefault="009B1B4B">
            <w:pPr>
              <w:spacing w:line="250" w:lineRule="auto"/>
            </w:pPr>
            <w:r>
              <w:rPr>
                <w:sz w:val="18"/>
                <w:szCs w:val="18"/>
              </w:rPr>
              <w:t>Wie viel Kaution (Bond) darf mein Vermieter verlangen, und wo wird sie hinterlegt?</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E3" w14:textId="77777777" w:rsidR="00C1548D" w:rsidRDefault="009B1B4B">
            <w:pPr>
              <w:spacing w:line="250" w:lineRule="auto"/>
            </w:pPr>
            <w:r>
              <w:rPr>
                <w:sz w:val="18"/>
                <w:szCs w:val="18"/>
              </w:rPr>
              <w:t>Neuseeland: Wohnen</w:t>
            </w:r>
          </w:p>
        </w:tc>
      </w:tr>
      <w:tr w:rsidR="00C1548D" w14:paraId="70A51DE7"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E5" w14:textId="77777777" w:rsidR="00C1548D" w:rsidRDefault="009B1B4B">
            <w:pPr>
              <w:spacing w:line="250" w:lineRule="auto"/>
            </w:pPr>
            <w:r>
              <w:rPr>
                <w:sz w:val="18"/>
                <w:szCs w:val="18"/>
              </w:rPr>
              <w:t>Darf ich als Ausländer überhaupt ein Haus in Neuseeland kaufen?</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E6" w14:textId="77777777" w:rsidR="00C1548D" w:rsidRDefault="009B1B4B">
            <w:pPr>
              <w:spacing w:line="250" w:lineRule="auto"/>
            </w:pPr>
            <w:r>
              <w:rPr>
                <w:sz w:val="18"/>
                <w:szCs w:val="18"/>
              </w:rPr>
              <w:t>Neuseeland: Wohnen</w:t>
            </w:r>
          </w:p>
        </w:tc>
      </w:tr>
      <w:tr w:rsidR="00C1548D" w14:paraId="70A51DEA"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E8" w14:textId="77777777" w:rsidR="00C1548D" w:rsidRDefault="009B1B4B">
            <w:pPr>
              <w:spacing w:line="250" w:lineRule="auto"/>
            </w:pPr>
            <w:r>
              <w:rPr>
                <w:sz w:val="18"/>
                <w:szCs w:val="18"/>
              </w:rPr>
              <w:t>Welche Region passt zu meinem Beruf – Auckland, Wellington oder Christchurch?</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E9" w14:textId="77777777" w:rsidR="00C1548D" w:rsidRDefault="009B1B4B">
            <w:pPr>
              <w:spacing w:line="250" w:lineRule="auto"/>
            </w:pPr>
            <w:r>
              <w:rPr>
                <w:sz w:val="18"/>
                <w:szCs w:val="18"/>
              </w:rPr>
              <w:t>Neuseeland: Wohnen</w:t>
            </w:r>
          </w:p>
        </w:tc>
      </w:tr>
      <w:tr w:rsidR="00C1548D" w14:paraId="70A51DED"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EB" w14:textId="77777777" w:rsidR="00C1548D" w:rsidRDefault="009B1B4B">
            <w:pPr>
              <w:spacing w:line="250" w:lineRule="auto"/>
            </w:pPr>
            <w:r>
              <w:rPr>
                <w:sz w:val="18"/>
                <w:szCs w:val="18"/>
              </w:rPr>
              <w:t>Muss ich meinen deutschen Führerschein umtauschen, und wie lange darf ich ihn übergangsweise nutzen?</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EC" w14:textId="77777777" w:rsidR="00C1548D" w:rsidRDefault="009B1B4B">
            <w:pPr>
              <w:spacing w:line="250" w:lineRule="auto"/>
            </w:pPr>
            <w:r>
              <w:rPr>
                <w:sz w:val="18"/>
                <w:szCs w:val="18"/>
              </w:rPr>
              <w:t>Neuseeland: Führerschein, Auto, Verkehrsregeln</w:t>
            </w:r>
          </w:p>
        </w:tc>
      </w:tr>
      <w:tr w:rsidR="00C1548D" w14:paraId="70A51DF0"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EE" w14:textId="77777777" w:rsidR="00C1548D" w:rsidRDefault="009B1B4B">
            <w:pPr>
              <w:spacing w:line="250" w:lineRule="auto"/>
            </w:pPr>
            <w:r>
              <w:rPr>
                <w:sz w:val="18"/>
                <w:szCs w:val="18"/>
              </w:rPr>
              <w:t>Wie gewöhne ich mich an den Linksverkehr, ohne einen Unfall zu bauen?</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EF" w14:textId="77777777" w:rsidR="00C1548D" w:rsidRDefault="009B1B4B">
            <w:pPr>
              <w:spacing w:line="250" w:lineRule="auto"/>
            </w:pPr>
            <w:r>
              <w:rPr>
                <w:sz w:val="18"/>
                <w:szCs w:val="18"/>
              </w:rPr>
              <w:t>Neuseeland: Führerschein, Auto, Verkehrsregeln</w:t>
            </w:r>
          </w:p>
        </w:tc>
      </w:tr>
      <w:tr w:rsidR="00C1548D" w14:paraId="70A51DF3" w14:textId="77777777">
        <w:tblPrEx>
          <w:tblCellMar>
            <w:top w:w="0" w:type="dxa"/>
            <w:bottom w:w="0" w:type="dxa"/>
          </w:tblCellMar>
        </w:tblPrEx>
        <w:trPr>
          <w:cantSplit/>
        </w:trPr>
        <w:tc>
          <w:tcPr>
            <w:tcW w:w="3731"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F1" w14:textId="77777777" w:rsidR="00C1548D" w:rsidRDefault="009B1B4B">
            <w:pPr>
              <w:spacing w:line="250" w:lineRule="auto"/>
            </w:pPr>
            <w:r>
              <w:rPr>
                <w:sz w:val="18"/>
                <w:szCs w:val="18"/>
              </w:rPr>
              <w:t>Was hat es mit den einspurigen Brücken und unbefestigten Straßen auf sich?</w:t>
            </w:r>
          </w:p>
        </w:tc>
        <w:tc>
          <w:tcPr>
            <w:tcW w:w="2749"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F2" w14:textId="77777777" w:rsidR="00C1548D" w:rsidRDefault="009B1B4B">
            <w:pPr>
              <w:spacing w:line="250" w:lineRule="auto"/>
            </w:pPr>
            <w:r>
              <w:rPr>
                <w:sz w:val="18"/>
                <w:szCs w:val="18"/>
              </w:rPr>
              <w:t>Neuseeland: Führerschein, Auto, Verkehrsregeln</w:t>
            </w:r>
          </w:p>
        </w:tc>
      </w:tr>
    </w:tbl>
    <w:p w14:paraId="70A51DF4" w14:textId="77777777" w:rsidR="00C1548D" w:rsidRDefault="00C1548D">
      <w:pPr>
        <w:spacing w:line="180" w:lineRule="exact"/>
      </w:pPr>
    </w:p>
    <w:p w14:paraId="70A51DF5" w14:textId="77777777" w:rsidR="00C1548D" w:rsidRDefault="009B1B4B">
      <w:pPr>
        <w:pStyle w:val="Heading3"/>
        <w:keepNext/>
        <w:jc w:val="center"/>
      </w:pPr>
      <w:r>
        <w:rPr>
          <w:rFonts w:ascii="Amazon Ember" w:eastAsia="Amazon Ember" w:hAnsi="Amazon Ember" w:cs="Amazon Ember"/>
          <w:color w:val="0000FF"/>
          <w:sz w:val="36"/>
          <w:szCs w:val="36"/>
        </w:rPr>
        <w:t>Neuseeland: Alltag und Kinder</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22"/>
        <w:gridCol w:w="2558"/>
      </w:tblGrid>
      <w:tr w:rsidR="00C1548D" w14:paraId="70A51DF8" w14:textId="77777777">
        <w:tblPrEx>
          <w:tblCellMar>
            <w:top w:w="0" w:type="dxa"/>
            <w:bottom w:w="0" w:type="dxa"/>
          </w:tblCellMar>
        </w:tblPrEx>
        <w:trPr>
          <w:cantSplit/>
          <w:tblHeader/>
        </w:trPr>
        <w:tc>
          <w:tcPr>
            <w:tcW w:w="392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F6" w14:textId="77777777" w:rsidR="00C1548D" w:rsidRDefault="009B1B4B">
            <w:pPr>
              <w:spacing w:line="250" w:lineRule="auto"/>
            </w:pPr>
            <w:r>
              <w:rPr>
                <w:b/>
                <w:bCs/>
                <w:sz w:val="18"/>
                <w:szCs w:val="18"/>
              </w:rPr>
              <w:t>Deine Frage oder Situation</w:t>
            </w:r>
          </w:p>
        </w:tc>
        <w:tc>
          <w:tcPr>
            <w:tcW w:w="255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DF7" w14:textId="77777777" w:rsidR="00C1548D" w:rsidRDefault="009B1B4B">
            <w:pPr>
              <w:spacing w:line="250" w:lineRule="auto"/>
            </w:pPr>
            <w:r>
              <w:rPr>
                <w:b/>
                <w:bCs/>
                <w:sz w:val="18"/>
                <w:szCs w:val="18"/>
              </w:rPr>
              <w:t>Mehr dazu</w:t>
            </w:r>
          </w:p>
        </w:tc>
      </w:tr>
      <w:tr w:rsidR="00C1548D" w14:paraId="70A51DFB"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F9" w14:textId="77777777" w:rsidR="00C1548D" w:rsidRDefault="009B1B4B">
            <w:pPr>
              <w:spacing w:line="250" w:lineRule="auto"/>
            </w:pPr>
            <w:r>
              <w:rPr>
                <w:sz w:val="18"/>
                <w:szCs w:val="18"/>
              </w:rPr>
              <w:t>Wie informell ist der Umgangston in Neuseeland wirklich, und darf ich meinen Chef beim Vornamen nennen?</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FA" w14:textId="77777777" w:rsidR="00C1548D" w:rsidRDefault="009B1B4B">
            <w:pPr>
              <w:spacing w:line="250" w:lineRule="auto"/>
            </w:pPr>
            <w:r>
              <w:rPr>
                <w:sz w:val="18"/>
                <w:szCs w:val="18"/>
              </w:rPr>
              <w:t>Neuseeland: Alltagskultur</w:t>
            </w:r>
          </w:p>
        </w:tc>
      </w:tr>
      <w:tr w:rsidR="00C1548D" w14:paraId="70A51DFE"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FC" w14:textId="77777777" w:rsidR="00C1548D" w:rsidRDefault="009B1B4B">
            <w:pPr>
              <w:spacing w:line="250" w:lineRule="auto"/>
            </w:pPr>
            <w:r>
              <w:rPr>
                <w:sz w:val="18"/>
                <w:szCs w:val="18"/>
              </w:rPr>
              <w:t>Was muss ich über Te Ao Māori und Begrüßungen wie „Kia ora“ wissen?</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FD" w14:textId="77777777" w:rsidR="00C1548D" w:rsidRDefault="009B1B4B">
            <w:pPr>
              <w:spacing w:line="250" w:lineRule="auto"/>
            </w:pPr>
            <w:r>
              <w:rPr>
                <w:sz w:val="18"/>
                <w:szCs w:val="18"/>
              </w:rPr>
              <w:t>Neuseeland: Alltagskultur</w:t>
            </w:r>
          </w:p>
        </w:tc>
      </w:tr>
      <w:tr w:rsidR="00C1548D" w14:paraId="70A51E01"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DFF" w14:textId="77777777" w:rsidR="00C1548D" w:rsidRDefault="009B1B4B">
            <w:pPr>
              <w:spacing w:line="250" w:lineRule="auto"/>
            </w:pPr>
            <w:r>
              <w:rPr>
                <w:sz w:val="18"/>
                <w:szCs w:val="18"/>
              </w:rPr>
              <w:t>Wie finde ich in Neuseeland schnell Anschluss und Freunde?</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00" w14:textId="77777777" w:rsidR="00C1548D" w:rsidRDefault="009B1B4B">
            <w:pPr>
              <w:spacing w:line="250" w:lineRule="auto"/>
            </w:pPr>
            <w:r>
              <w:rPr>
                <w:sz w:val="18"/>
                <w:szCs w:val="18"/>
              </w:rPr>
              <w:t>Neuseeland: Freunde, Kulturschock</w:t>
            </w:r>
          </w:p>
        </w:tc>
      </w:tr>
      <w:tr w:rsidR="00C1548D" w14:paraId="70A51E04"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02" w14:textId="77777777" w:rsidR="00C1548D" w:rsidRDefault="009B1B4B">
            <w:pPr>
              <w:spacing w:line="250" w:lineRule="auto"/>
            </w:pPr>
            <w:r>
              <w:rPr>
                <w:sz w:val="18"/>
                <w:szCs w:val="18"/>
              </w:rPr>
              <w:t>Wie gehe ich mit der größten Entfernung und Zeitverschiebung aller vier Länder um?</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03" w14:textId="77777777" w:rsidR="00C1548D" w:rsidRDefault="009B1B4B">
            <w:pPr>
              <w:spacing w:line="250" w:lineRule="auto"/>
            </w:pPr>
            <w:r>
              <w:rPr>
                <w:sz w:val="18"/>
                <w:szCs w:val="18"/>
              </w:rPr>
              <w:t>Neuseeland: Freunde, Kulturschock</w:t>
            </w:r>
          </w:p>
        </w:tc>
      </w:tr>
      <w:tr w:rsidR="00C1548D" w14:paraId="70A51E07"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05" w14:textId="77777777" w:rsidR="00C1548D" w:rsidRDefault="009B1B4B">
            <w:pPr>
              <w:spacing w:line="250" w:lineRule="auto"/>
            </w:pPr>
            <w:r>
              <w:rPr>
                <w:sz w:val="18"/>
                <w:szCs w:val="18"/>
              </w:rPr>
              <w:t>Ist die Schule für mein Kind in Neuseeland wirklich kostenlos?</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06" w14:textId="77777777" w:rsidR="00C1548D" w:rsidRDefault="009B1B4B">
            <w:pPr>
              <w:spacing w:line="250" w:lineRule="auto"/>
            </w:pPr>
            <w:r>
              <w:rPr>
                <w:sz w:val="18"/>
                <w:szCs w:val="18"/>
              </w:rPr>
              <w:t>Neuseeland: Kinder, Schule, Sprache</w:t>
            </w:r>
          </w:p>
        </w:tc>
      </w:tr>
      <w:tr w:rsidR="00C1548D" w14:paraId="70A51E0A" w14:textId="77777777">
        <w:tblPrEx>
          <w:tblCellMar>
            <w:top w:w="0" w:type="dxa"/>
            <w:bottom w:w="0" w:type="dxa"/>
          </w:tblCellMar>
        </w:tblPrEx>
        <w:trPr>
          <w:cantSplit/>
        </w:trPr>
        <w:tc>
          <w:tcPr>
            <w:tcW w:w="392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08" w14:textId="77777777" w:rsidR="00C1548D" w:rsidRDefault="009B1B4B">
            <w:pPr>
              <w:spacing w:line="250" w:lineRule="auto"/>
            </w:pPr>
            <w:r>
              <w:rPr>
                <w:sz w:val="18"/>
                <w:szCs w:val="18"/>
              </w:rPr>
              <w:t>Warum beginnt das neuseeländische Schuljahr im Sommer, und was bedeutet das für unseren Umzugstermin?</w:t>
            </w:r>
          </w:p>
        </w:tc>
        <w:tc>
          <w:tcPr>
            <w:tcW w:w="255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09" w14:textId="77777777" w:rsidR="00C1548D" w:rsidRDefault="009B1B4B">
            <w:pPr>
              <w:spacing w:line="250" w:lineRule="auto"/>
            </w:pPr>
            <w:r>
              <w:rPr>
                <w:sz w:val="18"/>
                <w:szCs w:val="18"/>
              </w:rPr>
              <w:t>Neuseeland: Kinder, Schule, Sprache</w:t>
            </w:r>
          </w:p>
        </w:tc>
      </w:tr>
    </w:tbl>
    <w:p w14:paraId="70A51E0B" w14:textId="77777777" w:rsidR="00C1548D" w:rsidRDefault="00C1548D">
      <w:pPr>
        <w:spacing w:line="180" w:lineRule="exact"/>
      </w:pPr>
    </w:p>
    <w:p w14:paraId="70A51E0C" w14:textId="77777777" w:rsidR="00C1548D" w:rsidRDefault="009B1B4B">
      <w:pPr>
        <w:pStyle w:val="Heading3"/>
        <w:keepNext/>
        <w:jc w:val="center"/>
      </w:pPr>
      <w:r>
        <w:rPr>
          <w:rFonts w:ascii="Amazon Ember" w:eastAsia="Amazon Ember" w:hAnsi="Amazon Ember" w:cs="Amazon Ember"/>
          <w:color w:val="0000FF"/>
          <w:sz w:val="36"/>
          <w:szCs w:val="36"/>
        </w:rPr>
        <w:lastRenderedPageBreak/>
        <w:t>Neuseeland: Arbeiten, Recht und Langfristig</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28"/>
        <w:gridCol w:w="2952"/>
      </w:tblGrid>
      <w:tr w:rsidR="00C1548D" w14:paraId="70A51E0F" w14:textId="77777777">
        <w:tblPrEx>
          <w:tblCellMar>
            <w:top w:w="0" w:type="dxa"/>
            <w:bottom w:w="0" w:type="dxa"/>
          </w:tblCellMar>
        </w:tblPrEx>
        <w:trPr>
          <w:cantSplit/>
          <w:tblHeader/>
        </w:trPr>
        <w:tc>
          <w:tcPr>
            <w:tcW w:w="3528"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E0D" w14:textId="77777777" w:rsidR="00C1548D" w:rsidRDefault="009B1B4B">
            <w:pPr>
              <w:spacing w:line="250" w:lineRule="auto"/>
            </w:pPr>
            <w:r>
              <w:rPr>
                <w:b/>
                <w:bCs/>
                <w:sz w:val="18"/>
                <w:szCs w:val="18"/>
              </w:rPr>
              <w:t>Deine Frage oder Situation</w:t>
            </w:r>
          </w:p>
        </w:tc>
        <w:tc>
          <w:tcPr>
            <w:tcW w:w="2952" w:type="dxa"/>
            <w:tcBorders>
              <w:top w:val="single" w:sz="4" w:space="0" w:color="B8BEC7"/>
              <w:left w:val="single" w:sz="4" w:space="0" w:color="B8BEC7"/>
              <w:bottom w:val="single" w:sz="4" w:space="0" w:color="B8BEC7"/>
              <w:right w:val="single" w:sz="4" w:space="0" w:color="B8BEC7"/>
            </w:tcBorders>
            <w:shd w:val="clear" w:color="auto" w:fill="DDE3EA"/>
            <w:tcMar>
              <w:top w:w="50" w:type="dxa"/>
              <w:left w:w="80" w:type="dxa"/>
              <w:bottom w:w="50" w:type="dxa"/>
              <w:right w:w="80" w:type="dxa"/>
            </w:tcMar>
          </w:tcPr>
          <w:p w14:paraId="70A51E0E" w14:textId="77777777" w:rsidR="00C1548D" w:rsidRDefault="009B1B4B">
            <w:pPr>
              <w:spacing w:line="250" w:lineRule="auto"/>
            </w:pPr>
            <w:r>
              <w:rPr>
                <w:b/>
                <w:bCs/>
                <w:sz w:val="18"/>
                <w:szCs w:val="18"/>
              </w:rPr>
              <w:t>Mehr dazu</w:t>
            </w:r>
          </w:p>
        </w:tc>
      </w:tr>
      <w:tr w:rsidR="00C1548D" w14:paraId="70A51E12"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10" w14:textId="77777777" w:rsidR="00C1548D" w:rsidRDefault="009B1B4B">
            <w:pPr>
              <w:spacing w:line="250" w:lineRule="auto"/>
            </w:pPr>
            <w:r>
              <w:rPr>
                <w:sz w:val="18"/>
                <w:szCs w:val="18"/>
              </w:rPr>
              <w:t>Wie viel Urlaub steht mir in Neuseeland gesetzlich zu, und was hat es mit der 90-Tage-Probezeit auf sich?</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11" w14:textId="77777777" w:rsidR="00C1548D" w:rsidRDefault="009B1B4B">
            <w:pPr>
              <w:spacing w:line="250" w:lineRule="auto"/>
            </w:pPr>
            <w:r>
              <w:rPr>
                <w:sz w:val="18"/>
                <w:szCs w:val="18"/>
              </w:rPr>
              <w:t>Neuseeland: Arbeitswelt, Jobwechsel</w:t>
            </w:r>
          </w:p>
        </w:tc>
      </w:tr>
      <w:tr w:rsidR="00C1548D" w14:paraId="70A51E15"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13" w14:textId="77777777" w:rsidR="00C1548D" w:rsidRDefault="009B1B4B">
            <w:pPr>
              <w:spacing w:line="250" w:lineRule="auto"/>
            </w:pPr>
            <w:r>
              <w:rPr>
                <w:sz w:val="18"/>
                <w:szCs w:val="18"/>
              </w:rPr>
              <w:t>Wie wechsle ich mit einem AEWV den Arbeitgeber, ohne meinen Status zu gefährden?</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14" w14:textId="77777777" w:rsidR="00C1548D" w:rsidRDefault="009B1B4B">
            <w:pPr>
              <w:spacing w:line="250" w:lineRule="auto"/>
            </w:pPr>
            <w:r>
              <w:rPr>
                <w:sz w:val="18"/>
                <w:szCs w:val="18"/>
              </w:rPr>
              <w:t>Neuseeland: Arbeitswelt, Jobwechsel</w:t>
            </w:r>
          </w:p>
        </w:tc>
      </w:tr>
      <w:tr w:rsidR="00C1548D" w14:paraId="70A51E18"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16" w14:textId="77777777" w:rsidR="00C1548D" w:rsidRDefault="009B1B4B">
            <w:pPr>
              <w:spacing w:line="250" w:lineRule="auto"/>
            </w:pPr>
            <w:r>
              <w:rPr>
                <w:sz w:val="18"/>
                <w:szCs w:val="18"/>
              </w:rPr>
              <w:t>Warum ist die neuseeländische Polizei unbewaffnet, und wie verhalte ich mich bei einer Kontrolle?</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17" w14:textId="77777777" w:rsidR="00C1548D" w:rsidRDefault="009B1B4B">
            <w:pPr>
              <w:spacing w:line="250" w:lineRule="auto"/>
            </w:pPr>
            <w:r>
              <w:rPr>
                <w:sz w:val="18"/>
                <w:szCs w:val="18"/>
              </w:rPr>
              <w:t>Neuseeland: Recht, Sicherheit, Polizei</w:t>
            </w:r>
          </w:p>
        </w:tc>
      </w:tr>
      <w:tr w:rsidR="00C1548D" w14:paraId="70A51E1B"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19" w14:textId="77777777" w:rsidR="00C1548D" w:rsidRDefault="009B1B4B">
            <w:pPr>
              <w:spacing w:line="250" w:lineRule="auto"/>
            </w:pPr>
            <w:r>
              <w:rPr>
                <w:sz w:val="18"/>
                <w:szCs w:val="18"/>
              </w:rPr>
              <w:t>Wie ernst muss ich das Erdbebenrisiko nehmen, und was deckt die staatliche Erdbebenversicherung ab?</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1A" w14:textId="77777777" w:rsidR="00C1548D" w:rsidRDefault="009B1B4B">
            <w:pPr>
              <w:spacing w:line="250" w:lineRule="auto"/>
            </w:pPr>
            <w:r>
              <w:rPr>
                <w:sz w:val="18"/>
                <w:szCs w:val="18"/>
              </w:rPr>
              <w:t>Neuseeland: Recht, Sicherheit, Polizei</w:t>
            </w:r>
          </w:p>
        </w:tc>
      </w:tr>
      <w:tr w:rsidR="00C1548D" w14:paraId="70A51E1E"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1C" w14:textId="77777777" w:rsidR="00C1548D" w:rsidRDefault="009B1B4B">
            <w:pPr>
              <w:spacing w:line="250" w:lineRule="auto"/>
            </w:pPr>
            <w:r>
              <w:rPr>
                <w:sz w:val="18"/>
                <w:szCs w:val="18"/>
              </w:rPr>
              <w:t>Wie lange dauert es, bis ich mich in Neuseeland einbürgern lassen kann?</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1D" w14:textId="77777777" w:rsidR="00C1548D" w:rsidRDefault="009B1B4B">
            <w:pPr>
              <w:spacing w:line="250" w:lineRule="auto"/>
            </w:pPr>
            <w:r>
              <w:rPr>
                <w:sz w:val="18"/>
                <w:szCs w:val="18"/>
              </w:rPr>
              <w:t>Neuseeland: Staatsbürgerschaft, Steuerresidenz</w:t>
            </w:r>
          </w:p>
        </w:tc>
      </w:tr>
      <w:tr w:rsidR="00C1548D" w14:paraId="70A51E21" w14:textId="77777777">
        <w:tblPrEx>
          <w:tblCellMar>
            <w:top w:w="0" w:type="dxa"/>
            <w:bottom w:w="0" w:type="dxa"/>
          </w:tblCellMar>
        </w:tblPrEx>
        <w:trPr>
          <w:cantSplit/>
        </w:trPr>
        <w:tc>
          <w:tcPr>
            <w:tcW w:w="3528"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1F" w14:textId="77777777" w:rsidR="00C1548D" w:rsidRDefault="009B1B4B">
            <w:pPr>
              <w:spacing w:line="250" w:lineRule="auto"/>
            </w:pPr>
            <w:r>
              <w:rPr>
                <w:sz w:val="18"/>
                <w:szCs w:val="18"/>
              </w:rPr>
              <w:t>Verliere ich meinen deutschen Pass, wenn ich Neuseeländer werde, und muss ich nach einer Rückkehr weiter neuseeländische Steuern zahlen?</w:t>
            </w:r>
          </w:p>
        </w:tc>
        <w:tc>
          <w:tcPr>
            <w:tcW w:w="2952" w:type="dxa"/>
            <w:tcBorders>
              <w:top w:val="single" w:sz="4" w:space="0" w:color="B8BEC7"/>
              <w:left w:val="single" w:sz="4" w:space="0" w:color="B8BEC7"/>
              <w:bottom w:val="single" w:sz="4" w:space="0" w:color="B8BEC7"/>
              <w:right w:val="single" w:sz="4" w:space="0" w:color="B8BEC7"/>
            </w:tcBorders>
            <w:tcMar>
              <w:top w:w="50" w:type="dxa"/>
              <w:left w:w="80" w:type="dxa"/>
              <w:bottom w:w="50" w:type="dxa"/>
              <w:right w:w="80" w:type="dxa"/>
            </w:tcMar>
          </w:tcPr>
          <w:p w14:paraId="70A51E20" w14:textId="77777777" w:rsidR="00C1548D" w:rsidRDefault="009B1B4B">
            <w:pPr>
              <w:spacing w:line="250" w:lineRule="auto"/>
            </w:pPr>
            <w:r>
              <w:rPr>
                <w:sz w:val="18"/>
                <w:szCs w:val="18"/>
              </w:rPr>
              <w:t>Neuseeland: Staatsbürgerschaft, Steuerresidenz</w:t>
            </w:r>
          </w:p>
        </w:tc>
      </w:tr>
    </w:tbl>
    <w:p w14:paraId="70A51E22" w14:textId="77777777" w:rsidR="00C1548D" w:rsidRDefault="00C1548D">
      <w:pPr>
        <w:spacing w:line="180" w:lineRule="exact"/>
      </w:pPr>
    </w:p>
    <w:tbl>
      <w:tblPr>
        <w:tblW w:w="64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480"/>
      </w:tblGrid>
      <w:tr w:rsidR="00C1548D" w14:paraId="70A51E25" w14:textId="77777777">
        <w:tblPrEx>
          <w:tblCellMar>
            <w:top w:w="0" w:type="dxa"/>
            <w:bottom w:w="0" w:type="dxa"/>
          </w:tblCellMar>
        </w:tblPrEx>
        <w:trPr>
          <w:cantSplit/>
        </w:trPr>
        <w:tc>
          <w:tcPr>
            <w:tcW w:w="6480" w:type="dxa"/>
            <w:tcBorders>
              <w:top w:val="none" w:sz="0" w:space="0" w:color="FFFFFF"/>
              <w:left w:val="single" w:sz="24" w:space="0" w:color="6B7280"/>
              <w:bottom w:val="none" w:sz="0" w:space="0" w:color="FFFFFF"/>
              <w:right w:val="none" w:sz="0" w:space="0" w:color="FFFFFF"/>
            </w:tcBorders>
            <w:shd w:val="clear" w:color="auto" w:fill="F2F3F5"/>
            <w:tcMar>
              <w:top w:w="110" w:type="dxa"/>
              <w:left w:w="200" w:type="dxa"/>
              <w:bottom w:w="80" w:type="dxa"/>
              <w:right w:w="160" w:type="dxa"/>
            </w:tcMar>
          </w:tcPr>
          <w:p w14:paraId="70A51E23" w14:textId="77777777" w:rsidR="00C1548D" w:rsidRDefault="009B1B4B">
            <w:pPr>
              <w:keepNext/>
              <w:spacing w:after="70" w:line="240" w:lineRule="auto"/>
            </w:pPr>
            <w:r>
              <w:rPr>
                <w:b/>
                <w:bCs/>
                <w:color w:val="6B7280"/>
                <w:spacing w:val="24"/>
                <w:sz w:val="16"/>
                <w:szCs w:val="16"/>
              </w:rPr>
              <w:t>STAND</w:t>
            </w:r>
          </w:p>
          <w:p w14:paraId="70A51E24" w14:textId="77777777" w:rsidR="00C1548D" w:rsidRDefault="009B1B4B">
            <w:pPr>
              <w:spacing w:after="80" w:line="264" w:lineRule="auto"/>
            </w:pPr>
            <w:r>
              <w:rPr>
                <w:sz w:val="20"/>
                <w:szCs w:val="20"/>
              </w:rPr>
              <w:t>September 2026. Kapitelnummern und -zuordnungen können sich bis zur Veröffentlichung noch leicht verschieben; prüfe bei Unstimmigkeiten das Inhaltsverzeichnis.</w:t>
            </w:r>
          </w:p>
        </w:tc>
      </w:tr>
    </w:tbl>
    <w:p w14:paraId="70A51E26" w14:textId="77777777" w:rsidR="00C1548D" w:rsidRDefault="00C1548D">
      <w:pPr>
        <w:spacing w:line="220" w:lineRule="exact"/>
      </w:pPr>
    </w:p>
    <w:p w14:paraId="70A51E27" w14:textId="77777777" w:rsidR="00C1548D" w:rsidRDefault="009B1B4B">
      <w:pPr>
        <w:pStyle w:val="Heading2"/>
        <w:keepNext/>
        <w:pageBreakBefore/>
        <w:jc w:val="center"/>
      </w:pPr>
      <w:bookmarkStart w:id="230" w:name="s110"/>
      <w:bookmarkStart w:id="231" w:name="_Toc241352567"/>
      <w:r>
        <w:rPr>
          <w:rFonts w:ascii="Amazon Ember" w:eastAsia="Amazon Ember" w:hAnsi="Amazon Ember" w:cs="Amazon Ember"/>
          <w:color w:val="0000FF"/>
          <w:sz w:val="36"/>
          <w:szCs w:val="36"/>
        </w:rPr>
        <w:lastRenderedPageBreak/>
        <w:t>Über den Autor</w:t>
      </w:r>
      <w:bookmarkEnd w:id="230"/>
      <w:bookmarkEnd w:id="231"/>
    </w:p>
    <w:p w14:paraId="70A51E28" w14:textId="77777777" w:rsidR="00C1548D" w:rsidRDefault="009B1B4B">
      <w:pPr>
        <w:spacing w:after="140"/>
      </w:pPr>
      <w:r>
        <w:t>Lothar J. Musiol hat an der Hochschule für angewandte Wissenschaften München studiert und mehr als vierzig Jahre in der Halbleiterindustrie gearbeitet: zuerst bei dem größten Unternehmen der Branche, das Deutschland zu bieten hatte, dann bei einer Reihe amerikanischer Start-ups, wo die Erkenntnisse schneller kamen als die Arbeitsplatzsicherheit. Nebenbei hat er Physik studiert, ernsthaft genug, um genau zu wissen, wie viel er in seinen Büchern vereinfacht und wie viel nicht.</w:t>
      </w:r>
    </w:p>
    <w:p w14:paraId="70A51E29" w14:textId="77777777" w:rsidR="00C1548D" w:rsidRDefault="009B1B4B">
      <w:pPr>
        <w:spacing w:after="140"/>
      </w:pPr>
      <w:r>
        <w:t>Die doppelte Staatsbürgerschaft, sinnvoll eingesetzt, erlaubt ihm heute, seine Zeit zwischen San Clemente in Kalifornien und Passau in Bayern zu teilen. Dort beginnt Österreich direkt am Gartenzaun, und zum Haushalt gehören eine verheiratete Tochter, ein mürrischer Teacup-Pomeranian und elf Hühner unterschiedlicher Größe und unterschiedlichen Alters, aufgeführt in der Reihenfolge ihres Dienstalters und nicht ihrer Lautstärke.</w:t>
      </w:r>
    </w:p>
    <w:p w14:paraId="70A51E2A" w14:textId="77777777" w:rsidR="00C1548D" w:rsidRDefault="009B1B4B">
      <w:pPr>
        <w:spacing w:after="140"/>
      </w:pPr>
      <w:r>
        <w:t>Er schreibt, um komplizierte Dinge klarer und ansprechender zu machen, ohne sie jemals einfacher darzustellen, als sie tatsächlich sind.</w:t>
      </w:r>
    </w:p>
    <w:p w14:paraId="70A51E2B" w14:textId="77777777" w:rsidR="00C1548D" w:rsidRDefault="009B1B4B">
      <w:pPr>
        <w:pStyle w:val="Heading2"/>
        <w:keepNext/>
        <w:pageBreakBefore/>
        <w:jc w:val="center"/>
      </w:pPr>
      <w:bookmarkStart w:id="232" w:name="s111"/>
      <w:bookmarkStart w:id="233" w:name="_Toc241352568"/>
      <w:r>
        <w:rPr>
          <w:rFonts w:ascii="Amazon Ember" w:eastAsia="Amazon Ember" w:hAnsi="Amazon Ember" w:cs="Amazon Ember"/>
          <w:color w:val="0000FF"/>
          <w:sz w:val="36"/>
          <w:szCs w:val="36"/>
        </w:rPr>
        <w:lastRenderedPageBreak/>
        <w:t>Eine kleine Bitte</w:t>
      </w:r>
      <w:bookmarkEnd w:id="232"/>
      <w:bookmarkEnd w:id="233"/>
    </w:p>
    <w:p w14:paraId="70A51E2C" w14:textId="77777777" w:rsidR="00C1548D" w:rsidRDefault="009B1B4B">
      <w:pPr>
        <w:spacing w:after="140"/>
      </w:pPr>
      <w:r>
        <w:t>Wenn dir dieses Buch bei einer der größten Entscheidungen deines Lebens geholfen hat, ist das Beste, was du dafür tun kannst, eine Rezension dort zu hinterlassen, wo du es gekauft hast. Rezensionen sind der Weg, auf dem Bücher wie dieses, dicht, konkret und nicht auf den schnellen Effekt angelegt, die Menschen finden, die genau danach suchen.</w:t>
      </w:r>
    </w:p>
    <w:p w14:paraId="70A51E2D" w14:textId="77777777" w:rsidR="00C1548D" w:rsidRDefault="009B1B4B">
      <w:pPr>
        <w:spacing w:after="140"/>
      </w:pPr>
      <w:r>
        <w:t>Ein Satz genügt. Zum Beispiel: Was hat dir am meisten Zeit oder Geld gespart?</w:t>
      </w:r>
    </w:p>
    <w:p w14:paraId="70A51E2E" w14:textId="77777777" w:rsidR="00C1548D" w:rsidRDefault="009B1B4B">
      <w:pPr>
        <w:pStyle w:val="Heading2"/>
        <w:keepNext/>
        <w:pageBreakBefore/>
        <w:jc w:val="center"/>
      </w:pPr>
      <w:bookmarkStart w:id="234" w:name="s112"/>
      <w:bookmarkStart w:id="235" w:name="_Toc241352569"/>
      <w:r>
        <w:rPr>
          <w:rFonts w:ascii="Amazon Ember" w:eastAsia="Amazon Ember" w:hAnsi="Amazon Ember" w:cs="Amazon Ember"/>
          <w:color w:val="0000FF"/>
          <w:sz w:val="36"/>
          <w:szCs w:val="36"/>
        </w:rPr>
        <w:lastRenderedPageBreak/>
        <w:t>Weitere Bücher des Autors</w:t>
      </w:r>
      <w:bookmarkEnd w:id="234"/>
      <w:bookmarkEnd w:id="235"/>
    </w:p>
    <w:p w14:paraId="70A51E2F" w14:textId="77777777" w:rsidR="00C1548D" w:rsidRDefault="009B1B4B">
      <w:pPr>
        <w:spacing w:after="140"/>
      </w:pPr>
      <w:r>
        <w:t>Wenn du mehr lesen möchtest, hier ein Regal vom selben Autor, in der Richtung, in die dich deine Neugier als Nächstes führt. Die folgenden Titel sind auf Englisch erschienen.</w:t>
      </w:r>
    </w:p>
    <w:p w14:paraId="70A51E30" w14:textId="77777777" w:rsidR="00C1548D" w:rsidRDefault="009B1B4B">
      <w:pPr>
        <w:spacing w:after="140"/>
      </w:pPr>
      <w:r>
        <w:rPr>
          <w:b/>
          <w:bCs/>
        </w:rPr>
        <w:t>Wissenschaft für alle.</w:t>
      </w:r>
      <w:r>
        <w:t xml:space="preserve"> </w:t>
      </w:r>
      <w:r>
        <w:rPr>
          <w:i/>
          <w:iCs/>
        </w:rPr>
        <w:t>The Quantum World</w:t>
      </w:r>
      <w:r>
        <w:t xml:space="preserve"> · </w:t>
      </w:r>
      <w:r>
        <w:rPr>
          <w:i/>
          <w:iCs/>
        </w:rPr>
        <w:t>Physics Vol. 1 — Motion, Forces, Time, and Relativity</w:t>
      </w:r>
      <w:r>
        <w:t xml:space="preserve"> · </w:t>
      </w:r>
      <w:r>
        <w:rPr>
          <w:i/>
          <w:iCs/>
        </w:rPr>
        <w:t>Physics Vol. 2 — Gravity, Cosmology, and the Limits of Spacetime</w:t>
      </w:r>
      <w:r>
        <w:t xml:space="preserve"> · </w:t>
      </w:r>
      <w:r>
        <w:rPr>
          <w:i/>
          <w:iCs/>
        </w:rPr>
        <w:t>Physics Vol. 3 — The Standard Model, Chaos, and the Edge of Knowledge</w:t>
      </w:r>
      <w:r>
        <w:t xml:space="preserve"> · </w:t>
      </w:r>
      <w:r>
        <w:rPr>
          <w:i/>
          <w:iCs/>
        </w:rPr>
        <w:t>The Quantum Conversation</w:t>
      </w:r>
    </w:p>
    <w:p w14:paraId="70A51E31" w14:textId="77777777" w:rsidR="00C1548D" w:rsidRDefault="009B1B4B">
      <w:pPr>
        <w:spacing w:after="140"/>
      </w:pPr>
      <w:r>
        <w:rPr>
          <w:b/>
          <w:bCs/>
        </w:rPr>
        <w:t>Weitere Sachbücher.</w:t>
      </w:r>
      <w:r>
        <w:t xml:space="preserve"> </w:t>
      </w:r>
      <w:r>
        <w:rPr>
          <w:i/>
          <w:iCs/>
        </w:rPr>
        <w:t>The Mathematics Tower</w:t>
      </w:r>
      <w:r>
        <w:t xml:space="preserve"> · </w:t>
      </w:r>
      <w:r>
        <w:rPr>
          <w:i/>
          <w:iCs/>
        </w:rPr>
        <w:t>Foundations of Electronics</w:t>
      </w:r>
    </w:p>
    <w:p w14:paraId="70A51E32" w14:textId="77777777" w:rsidR="00C1548D" w:rsidRDefault="009B1B4B">
      <w:pPr>
        <w:spacing w:after="140"/>
      </w:pPr>
      <w:r>
        <w:rPr>
          <w:b/>
          <w:bCs/>
        </w:rPr>
        <w:t>Romane.</w:t>
      </w:r>
      <w:r>
        <w:t xml:space="preserve"> </w:t>
      </w:r>
      <w:r>
        <w:rPr>
          <w:i/>
          <w:iCs/>
        </w:rPr>
        <w:t>The Relativistic Investigation Bureau</w:t>
      </w:r>
      <w:r>
        <w:t xml:space="preserve"> · </w:t>
      </w:r>
      <w:r>
        <w:rPr>
          <w:i/>
          <w:iCs/>
        </w:rPr>
        <w:t>Schrödinger’s Paperwork</w:t>
      </w:r>
    </w:p>
    <w:sectPr w:rsidR="00C1548D">
      <w:footerReference w:type="default" r:id="rId698"/>
      <w:pgSz w:w="8640" w:h="12960"/>
      <w:pgMar w:top="108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08EA2" w14:textId="77777777" w:rsidR="009B1B4B" w:rsidRDefault="009B1B4B">
      <w:pPr>
        <w:spacing w:line="240" w:lineRule="auto"/>
      </w:pPr>
      <w:r>
        <w:separator/>
      </w:r>
    </w:p>
  </w:endnote>
  <w:endnote w:type="continuationSeparator" w:id="0">
    <w:p w14:paraId="3A30BB68" w14:textId="77777777" w:rsidR="009B1B4B" w:rsidRDefault="009B1B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mazon Ember">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3" w14:textId="77777777" w:rsidR="00C1548D" w:rsidRDefault="00C1548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4" w14:textId="77777777" w:rsidR="00C1548D" w:rsidRDefault="00C1548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5" w14:textId="35615FB1"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3</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6" w14:textId="77777777" w:rsidR="00C1548D" w:rsidRDefault="00C1548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7" w14:textId="73A0C730"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15</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8" w14:textId="77777777" w:rsidR="00C1548D" w:rsidRDefault="00C1548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9" w14:textId="7A067DFC"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46</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A" w14:textId="77777777" w:rsidR="00C1548D" w:rsidRDefault="00C1548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B" w14:textId="661C2EFF"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93</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C" w14:textId="77777777" w:rsidR="00C1548D" w:rsidRDefault="00C1548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D" w14:textId="6243CF9D"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229</w: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E" w14:textId="77777777" w:rsidR="00C1548D" w:rsidRDefault="00C1548D"/>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3F" w14:textId="5E80B836"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288</w:t>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0" w14:textId="77777777" w:rsidR="00C1548D" w:rsidRDefault="00C1548D"/>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1" w14:textId="0B27EB54"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357</w:t>
    </w:r>
    <w:r>
      <w:rPr>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2" w14:textId="77777777" w:rsidR="00C1548D" w:rsidRDefault="00C1548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3" w14:textId="157BA4B9"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403</w:t>
    </w:r>
    <w:r>
      <w:rPr>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4" w14:textId="77777777" w:rsidR="00C1548D" w:rsidRDefault="00C1548D"/>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5" w14:textId="436B1151"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500</w:t>
    </w:r>
    <w:r>
      <w:rPr>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6" w14:textId="77777777" w:rsidR="00C1548D" w:rsidRDefault="00C1548D"/>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7" w14:textId="7D842E88"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536</w:t>
    </w:r>
    <w:r>
      <w:rPr>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8" w14:textId="77777777" w:rsidR="00C1548D" w:rsidRDefault="00C1548D"/>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9" w14:textId="52FA1D01"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617</w:t>
    </w:r>
    <w:r>
      <w:rPr>
        <w:sz w:val="18"/>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A" w14:textId="77777777" w:rsidR="00C1548D" w:rsidRDefault="00C1548D"/>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B" w14:textId="6037841B"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670</w:t>
    </w:r>
    <w:r>
      <w:rPr>
        <w:sz w:val="18"/>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C" w14:textId="77777777" w:rsidR="00C1548D" w:rsidRDefault="00C1548D"/>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D" w14:textId="4CD3EA5B"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735</w:t>
    </w:r>
    <w:r>
      <w:rPr>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E" w14:textId="77777777" w:rsidR="00C1548D" w:rsidRDefault="00C1548D"/>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4F" w14:textId="78D28A22"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945</w:t>
    </w:r>
    <w:r>
      <w:rPr>
        <w:sz w:val="18"/>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50" w14:textId="77777777" w:rsidR="00C1548D" w:rsidRDefault="00C1548D"/>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1E51" w14:textId="400A3BD4" w:rsidR="00C1548D" w:rsidRDefault="009B1B4B">
    <w:pPr>
      <w:jc w:val="center"/>
    </w:pPr>
    <w:r>
      <w:rPr>
        <w:sz w:val="18"/>
        <w:szCs w:val="18"/>
      </w:rPr>
      <w:fldChar w:fldCharType="begin"/>
    </w:r>
    <w:r>
      <w:rPr>
        <w:sz w:val="18"/>
        <w:szCs w:val="18"/>
      </w:rPr>
      <w:instrText>PAGE</w:instrText>
    </w:r>
    <w:r>
      <w:rPr>
        <w:sz w:val="18"/>
        <w:szCs w:val="18"/>
      </w:rPr>
      <w:fldChar w:fldCharType="separate"/>
    </w:r>
    <w:r w:rsidR="000C2751">
      <w:rPr>
        <w:noProof/>
        <w:sz w:val="18"/>
        <w:szCs w:val="18"/>
      </w:rPr>
      <w:t>1158</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848EC" w14:textId="77777777" w:rsidR="009B1B4B" w:rsidRDefault="009B1B4B">
      <w:pPr>
        <w:spacing w:line="240" w:lineRule="auto"/>
      </w:pPr>
      <w:r>
        <w:separator/>
      </w:r>
    </w:p>
  </w:footnote>
  <w:footnote w:type="continuationSeparator" w:id="0">
    <w:p w14:paraId="15111DE3" w14:textId="77777777" w:rsidR="009B1B4B" w:rsidRDefault="009B1B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34A"/>
    <w:multiLevelType w:val="hybridMultilevel"/>
    <w:tmpl w:val="3B20C232"/>
    <w:lvl w:ilvl="0" w:tplc="8DFA21CE">
      <w:start w:val="1"/>
      <w:numFmt w:val="decimal"/>
      <w:lvlText w:val="%1."/>
      <w:lvlJc w:val="left"/>
      <w:pPr>
        <w:ind w:left="420" w:hanging="330"/>
      </w:pPr>
    </w:lvl>
    <w:lvl w:ilvl="1" w:tplc="4956BA26">
      <w:start w:val="1"/>
      <w:numFmt w:val="lowerLetter"/>
      <w:lvlText w:val="%2)"/>
      <w:lvlJc w:val="left"/>
      <w:pPr>
        <w:ind w:left="800" w:hanging="330"/>
      </w:pPr>
    </w:lvl>
    <w:lvl w:ilvl="2" w:tplc="DFE6FD74">
      <w:numFmt w:val="decimal"/>
      <w:lvlText w:val=""/>
      <w:lvlJc w:val="left"/>
    </w:lvl>
    <w:lvl w:ilvl="3" w:tplc="D8CCA882">
      <w:numFmt w:val="decimal"/>
      <w:lvlText w:val=""/>
      <w:lvlJc w:val="left"/>
    </w:lvl>
    <w:lvl w:ilvl="4" w:tplc="F5BA8734">
      <w:numFmt w:val="decimal"/>
      <w:lvlText w:val=""/>
      <w:lvlJc w:val="left"/>
    </w:lvl>
    <w:lvl w:ilvl="5" w:tplc="651A05D6">
      <w:numFmt w:val="decimal"/>
      <w:lvlText w:val=""/>
      <w:lvlJc w:val="left"/>
    </w:lvl>
    <w:lvl w:ilvl="6" w:tplc="222A1914">
      <w:numFmt w:val="decimal"/>
      <w:lvlText w:val=""/>
      <w:lvlJc w:val="left"/>
    </w:lvl>
    <w:lvl w:ilvl="7" w:tplc="6624D66E">
      <w:numFmt w:val="decimal"/>
      <w:lvlText w:val=""/>
      <w:lvlJc w:val="left"/>
    </w:lvl>
    <w:lvl w:ilvl="8" w:tplc="D44AA8B0">
      <w:numFmt w:val="decimal"/>
      <w:lvlText w:val=""/>
      <w:lvlJc w:val="left"/>
    </w:lvl>
  </w:abstractNum>
  <w:abstractNum w:abstractNumId="1" w15:restartNumberingAfterBreak="0">
    <w:nsid w:val="2C64308B"/>
    <w:multiLevelType w:val="hybridMultilevel"/>
    <w:tmpl w:val="ED660E4E"/>
    <w:lvl w:ilvl="0" w:tplc="3E164DD6">
      <w:start w:val="1"/>
      <w:numFmt w:val="bullet"/>
      <w:lvlText w:val="•"/>
      <w:lvlJc w:val="left"/>
      <w:pPr>
        <w:ind w:left="360" w:hanging="240"/>
      </w:pPr>
    </w:lvl>
    <w:lvl w:ilvl="1" w:tplc="8DF69C78">
      <w:start w:val="1"/>
      <w:numFmt w:val="bullet"/>
      <w:lvlText w:val="–"/>
      <w:lvlJc w:val="left"/>
      <w:pPr>
        <w:ind w:left="720" w:hanging="240"/>
      </w:pPr>
    </w:lvl>
    <w:lvl w:ilvl="2" w:tplc="18421D22">
      <w:numFmt w:val="decimal"/>
      <w:lvlText w:val=""/>
      <w:lvlJc w:val="left"/>
    </w:lvl>
    <w:lvl w:ilvl="3" w:tplc="19B44CF8">
      <w:numFmt w:val="decimal"/>
      <w:lvlText w:val=""/>
      <w:lvlJc w:val="left"/>
    </w:lvl>
    <w:lvl w:ilvl="4" w:tplc="34564B98">
      <w:numFmt w:val="decimal"/>
      <w:lvlText w:val=""/>
      <w:lvlJc w:val="left"/>
    </w:lvl>
    <w:lvl w:ilvl="5" w:tplc="57302DD6">
      <w:numFmt w:val="decimal"/>
      <w:lvlText w:val=""/>
      <w:lvlJc w:val="left"/>
    </w:lvl>
    <w:lvl w:ilvl="6" w:tplc="AF7EDFFA">
      <w:numFmt w:val="decimal"/>
      <w:lvlText w:val=""/>
      <w:lvlJc w:val="left"/>
    </w:lvl>
    <w:lvl w:ilvl="7" w:tplc="0A386BBA">
      <w:numFmt w:val="decimal"/>
      <w:lvlText w:val=""/>
      <w:lvlJc w:val="left"/>
    </w:lvl>
    <w:lvl w:ilvl="8" w:tplc="543AB716">
      <w:numFmt w:val="decimal"/>
      <w:lvlText w:val=""/>
      <w:lvlJc w:val="left"/>
    </w:lvl>
  </w:abstractNum>
  <w:num w:numId="1" w16cid:durableId="233470304">
    <w:abstractNumId w:val="1"/>
    <w:lvlOverride w:ilvl="0">
      <w:startOverride w:val="1"/>
    </w:lvlOverride>
  </w:num>
  <w:num w:numId="2" w16cid:durableId="64382371">
    <w:abstractNumId w:val="0"/>
    <w:lvlOverride w:ilvl="0">
      <w:startOverride w:val="1"/>
    </w:lvlOverride>
  </w:num>
  <w:num w:numId="3" w16cid:durableId="505171514">
    <w:abstractNumId w:val="0"/>
    <w:lvlOverride w:ilvl="0">
      <w:startOverride w:val="1"/>
    </w:lvlOverride>
  </w:num>
  <w:num w:numId="4" w16cid:durableId="2074771315">
    <w:abstractNumId w:val="0"/>
    <w:lvlOverride w:ilvl="0">
      <w:startOverride w:val="1"/>
    </w:lvlOverride>
  </w:num>
  <w:num w:numId="5" w16cid:durableId="1946036953">
    <w:abstractNumId w:val="0"/>
    <w:lvlOverride w:ilvl="0">
      <w:startOverride w:val="1"/>
    </w:lvlOverride>
  </w:num>
  <w:num w:numId="6" w16cid:durableId="1132864747">
    <w:abstractNumId w:val="0"/>
    <w:lvlOverride w:ilvl="0">
      <w:startOverride w:val="1"/>
    </w:lvlOverride>
  </w:num>
  <w:num w:numId="7" w16cid:durableId="1737435049">
    <w:abstractNumId w:val="0"/>
    <w:lvlOverride w:ilvl="0">
      <w:startOverride w:val="1"/>
    </w:lvlOverride>
  </w:num>
  <w:num w:numId="8" w16cid:durableId="1252810178">
    <w:abstractNumId w:val="0"/>
    <w:lvlOverride w:ilvl="0">
      <w:startOverride w:val="1"/>
    </w:lvlOverride>
  </w:num>
  <w:num w:numId="9" w16cid:durableId="1475178890">
    <w:abstractNumId w:val="0"/>
    <w:lvlOverride w:ilvl="0">
      <w:startOverride w:val="1"/>
    </w:lvlOverride>
  </w:num>
  <w:num w:numId="10" w16cid:durableId="1046679546">
    <w:abstractNumId w:val="0"/>
    <w:lvlOverride w:ilvl="0">
      <w:startOverride w:val="1"/>
    </w:lvlOverride>
  </w:num>
  <w:num w:numId="11" w16cid:durableId="2008828707">
    <w:abstractNumId w:val="0"/>
    <w:lvlOverride w:ilvl="0">
      <w:startOverride w:val="1"/>
    </w:lvlOverride>
  </w:num>
  <w:num w:numId="12" w16cid:durableId="405611037">
    <w:abstractNumId w:val="0"/>
    <w:lvlOverride w:ilvl="0">
      <w:startOverride w:val="1"/>
    </w:lvlOverride>
  </w:num>
  <w:num w:numId="13" w16cid:durableId="1383286335">
    <w:abstractNumId w:val="0"/>
    <w:lvlOverride w:ilvl="0">
      <w:startOverride w:val="1"/>
    </w:lvlOverride>
  </w:num>
  <w:num w:numId="14" w16cid:durableId="1442144936">
    <w:abstractNumId w:val="0"/>
    <w:lvlOverride w:ilvl="0">
      <w:startOverride w:val="1"/>
    </w:lvlOverride>
  </w:num>
  <w:num w:numId="15" w16cid:durableId="1623731117">
    <w:abstractNumId w:val="0"/>
    <w:lvlOverride w:ilvl="0">
      <w:startOverride w:val="1"/>
    </w:lvlOverride>
  </w:num>
  <w:num w:numId="16" w16cid:durableId="37165321">
    <w:abstractNumId w:val="0"/>
    <w:lvlOverride w:ilvl="0">
      <w:startOverride w:val="1"/>
    </w:lvlOverride>
  </w:num>
  <w:num w:numId="17" w16cid:durableId="1262296809">
    <w:abstractNumId w:val="0"/>
    <w:lvlOverride w:ilvl="0">
      <w:startOverride w:val="1"/>
    </w:lvlOverride>
  </w:num>
  <w:num w:numId="18" w16cid:durableId="1897007282">
    <w:abstractNumId w:val="0"/>
    <w:lvlOverride w:ilvl="0">
      <w:startOverride w:val="1"/>
    </w:lvlOverride>
  </w:num>
  <w:num w:numId="19" w16cid:durableId="60521870">
    <w:abstractNumId w:val="0"/>
    <w:lvlOverride w:ilvl="0">
      <w:startOverride w:val="1"/>
    </w:lvlOverride>
  </w:num>
  <w:num w:numId="20" w16cid:durableId="1492713614">
    <w:abstractNumId w:val="0"/>
    <w:lvlOverride w:ilvl="0">
      <w:startOverride w:val="1"/>
    </w:lvlOverride>
  </w:num>
  <w:num w:numId="21" w16cid:durableId="97138951">
    <w:abstractNumId w:val="0"/>
    <w:lvlOverride w:ilvl="0">
      <w:startOverride w:val="1"/>
    </w:lvlOverride>
  </w:num>
  <w:num w:numId="22" w16cid:durableId="2018775980">
    <w:abstractNumId w:val="0"/>
    <w:lvlOverride w:ilvl="0">
      <w:startOverride w:val="1"/>
    </w:lvlOverride>
  </w:num>
  <w:num w:numId="23" w16cid:durableId="344671782">
    <w:abstractNumId w:val="0"/>
    <w:lvlOverride w:ilvl="0">
      <w:startOverride w:val="1"/>
    </w:lvlOverride>
  </w:num>
  <w:num w:numId="24" w16cid:durableId="479886011">
    <w:abstractNumId w:val="0"/>
    <w:lvlOverride w:ilvl="0">
      <w:startOverride w:val="1"/>
    </w:lvlOverride>
  </w:num>
  <w:num w:numId="25" w16cid:durableId="2002855674">
    <w:abstractNumId w:val="0"/>
    <w:lvlOverride w:ilvl="0">
      <w:startOverride w:val="1"/>
    </w:lvlOverride>
  </w:num>
  <w:num w:numId="26" w16cid:durableId="1373964956">
    <w:abstractNumId w:val="0"/>
    <w:lvlOverride w:ilvl="0">
      <w:startOverride w:val="1"/>
    </w:lvlOverride>
  </w:num>
  <w:num w:numId="27" w16cid:durableId="1872374290">
    <w:abstractNumId w:val="0"/>
    <w:lvlOverride w:ilvl="0">
      <w:startOverride w:val="1"/>
    </w:lvlOverride>
  </w:num>
  <w:num w:numId="28" w16cid:durableId="1272591133">
    <w:abstractNumId w:val="0"/>
    <w:lvlOverride w:ilvl="0">
      <w:startOverride w:val="1"/>
    </w:lvlOverride>
  </w:num>
  <w:num w:numId="29" w16cid:durableId="823932218">
    <w:abstractNumId w:val="0"/>
    <w:lvlOverride w:ilvl="0">
      <w:startOverride w:val="1"/>
    </w:lvlOverride>
  </w:num>
  <w:num w:numId="30" w16cid:durableId="50814899">
    <w:abstractNumId w:val="0"/>
    <w:lvlOverride w:ilvl="0">
      <w:startOverride w:val="1"/>
    </w:lvlOverride>
  </w:num>
  <w:num w:numId="31" w16cid:durableId="437257284">
    <w:abstractNumId w:val="0"/>
    <w:lvlOverride w:ilvl="0">
      <w:startOverride w:val="1"/>
    </w:lvlOverride>
  </w:num>
  <w:num w:numId="32" w16cid:durableId="258834231">
    <w:abstractNumId w:val="0"/>
    <w:lvlOverride w:ilvl="0">
      <w:startOverride w:val="1"/>
    </w:lvlOverride>
  </w:num>
  <w:num w:numId="33" w16cid:durableId="1112440140">
    <w:abstractNumId w:val="0"/>
    <w:lvlOverride w:ilvl="0">
      <w:startOverride w:val="1"/>
    </w:lvlOverride>
  </w:num>
  <w:num w:numId="34" w16cid:durableId="1158379934">
    <w:abstractNumId w:val="0"/>
    <w:lvlOverride w:ilvl="0">
      <w:startOverride w:val="1"/>
    </w:lvlOverride>
  </w:num>
  <w:num w:numId="35" w16cid:durableId="1816214576">
    <w:abstractNumId w:val="0"/>
    <w:lvlOverride w:ilvl="0">
      <w:startOverride w:val="1"/>
    </w:lvlOverride>
  </w:num>
  <w:num w:numId="36" w16cid:durableId="1614945011">
    <w:abstractNumId w:val="0"/>
    <w:lvlOverride w:ilvl="0">
      <w:startOverride w:val="1"/>
    </w:lvlOverride>
  </w:num>
  <w:num w:numId="37" w16cid:durableId="286132742">
    <w:abstractNumId w:val="0"/>
    <w:lvlOverride w:ilvl="0">
      <w:startOverride w:val="1"/>
    </w:lvlOverride>
  </w:num>
  <w:num w:numId="38" w16cid:durableId="869026533">
    <w:abstractNumId w:val="0"/>
    <w:lvlOverride w:ilvl="0">
      <w:startOverride w:val="1"/>
    </w:lvlOverride>
  </w:num>
  <w:num w:numId="39" w16cid:durableId="358048559">
    <w:abstractNumId w:val="0"/>
    <w:lvlOverride w:ilvl="0">
      <w:startOverride w:val="1"/>
    </w:lvlOverride>
  </w:num>
  <w:num w:numId="40" w16cid:durableId="134491104">
    <w:abstractNumId w:val="0"/>
    <w:lvlOverride w:ilvl="0">
      <w:startOverride w:val="1"/>
    </w:lvlOverride>
  </w:num>
  <w:num w:numId="41" w16cid:durableId="1601985066">
    <w:abstractNumId w:val="0"/>
    <w:lvlOverride w:ilvl="0">
      <w:startOverride w:val="1"/>
    </w:lvlOverride>
  </w:num>
  <w:num w:numId="42" w16cid:durableId="1674995064">
    <w:abstractNumId w:val="0"/>
    <w:lvlOverride w:ilvl="0">
      <w:startOverride w:val="1"/>
    </w:lvlOverride>
  </w:num>
  <w:num w:numId="43" w16cid:durableId="8915525">
    <w:abstractNumId w:val="0"/>
    <w:lvlOverride w:ilvl="0">
      <w:startOverride w:val="1"/>
    </w:lvlOverride>
  </w:num>
  <w:num w:numId="44" w16cid:durableId="312493126">
    <w:abstractNumId w:val="0"/>
    <w:lvlOverride w:ilvl="0">
      <w:startOverride w:val="1"/>
    </w:lvlOverride>
  </w:num>
  <w:num w:numId="45" w16cid:durableId="1542788933">
    <w:abstractNumId w:val="0"/>
    <w:lvlOverride w:ilvl="0">
      <w:startOverride w:val="1"/>
    </w:lvlOverride>
  </w:num>
  <w:num w:numId="46" w16cid:durableId="2046633643">
    <w:abstractNumId w:val="0"/>
    <w:lvlOverride w:ilvl="0">
      <w:startOverride w:val="1"/>
    </w:lvlOverride>
  </w:num>
  <w:num w:numId="47" w16cid:durableId="1468351339">
    <w:abstractNumId w:val="0"/>
    <w:lvlOverride w:ilvl="0">
      <w:startOverride w:val="1"/>
    </w:lvlOverride>
  </w:num>
  <w:num w:numId="48" w16cid:durableId="1159617884">
    <w:abstractNumId w:val="0"/>
    <w:lvlOverride w:ilvl="0">
      <w:startOverride w:val="1"/>
    </w:lvlOverride>
  </w:num>
  <w:num w:numId="49" w16cid:durableId="1320235879">
    <w:abstractNumId w:val="0"/>
    <w:lvlOverride w:ilvl="0">
      <w:startOverride w:val="1"/>
    </w:lvlOverride>
  </w:num>
  <w:num w:numId="50" w16cid:durableId="2019580078">
    <w:abstractNumId w:val="0"/>
    <w:lvlOverride w:ilvl="0">
      <w:startOverride w:val="1"/>
    </w:lvlOverride>
  </w:num>
  <w:num w:numId="51" w16cid:durableId="765882146">
    <w:abstractNumId w:val="0"/>
    <w:lvlOverride w:ilvl="0">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8D"/>
    <w:rsid w:val="00085CB6"/>
    <w:rsid w:val="000A527C"/>
    <w:rsid w:val="000C2751"/>
    <w:rsid w:val="009B1B4B"/>
    <w:rsid w:val="00C1548D"/>
    <w:rsid w:val="00C51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4C280"/>
  <w15:docId w15:val="{8CAC1987-3AB7-4E5A-AF26-122C77EB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outlineLvl w:val="0"/>
    </w:pPr>
    <w:rPr>
      <w:b/>
      <w:bCs/>
      <w:color w:val="1F3A5F"/>
      <w:sz w:val="48"/>
      <w:szCs w:val="48"/>
    </w:rPr>
  </w:style>
  <w:style w:type="paragraph" w:styleId="Heading2">
    <w:name w:val="heading 2"/>
    <w:uiPriority w:val="9"/>
    <w:unhideWhenUsed/>
    <w:qFormat/>
    <w:pPr>
      <w:spacing w:after="300"/>
      <w:outlineLvl w:val="1"/>
    </w:pPr>
    <w:rPr>
      <w:b/>
      <w:bCs/>
      <w:color w:val="1F3A5F"/>
      <w:sz w:val="34"/>
      <w:szCs w:val="34"/>
    </w:rPr>
  </w:style>
  <w:style w:type="paragraph" w:styleId="Heading3">
    <w:name w:val="heading 3"/>
    <w:uiPriority w:val="9"/>
    <w:unhideWhenUsed/>
    <w:qFormat/>
    <w:pPr>
      <w:spacing w:before="280" w:after="100"/>
      <w:outlineLvl w:val="2"/>
    </w:pPr>
    <w:rPr>
      <w:b/>
      <w:bCs/>
      <w:color w:val="1F3A5F"/>
      <w:sz w:val="26"/>
      <w:szCs w:val="26"/>
    </w:rPr>
  </w:style>
  <w:style w:type="paragraph" w:styleId="Heading4">
    <w:name w:val="heading 4"/>
    <w:uiPriority w:val="9"/>
    <w:unhideWhenUsed/>
    <w:qFormat/>
    <w:pPr>
      <w:spacing w:before="20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00"/>
      <w:jc w:val="center"/>
    </w:pPr>
    <w:rPr>
      <w:b/>
      <w:bCs/>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200" w:after="60"/>
    </w:pPr>
    <w:rPr>
      <w:b/>
      <w:bCs/>
    </w:rPr>
  </w:style>
  <w:style w:type="paragraph" w:styleId="TOC2">
    <w:name w:val="toc 2"/>
    <w:uiPriority w:val="39"/>
    <w:pPr>
      <w:spacing w:after="30"/>
      <w:ind w:left="240"/>
    </w:pPr>
    <w:rPr>
      <w:sz w:val="20"/>
      <w:szCs w:val="20"/>
    </w:rPr>
  </w:style>
  <w:style w:type="paragraph" w:styleId="TOC3">
    <w:name w:val="toc 3"/>
    <w:basedOn w:val="Normal"/>
    <w:next w:val="Normal"/>
    <w:autoRedefine/>
    <w:uiPriority w:val="39"/>
    <w:unhideWhenUsed/>
    <w:rsid w:val="000C2751"/>
    <w:pPr>
      <w:spacing w:after="100" w:line="278" w:lineRule="auto"/>
      <w:ind w:left="480"/>
    </w:pPr>
    <w:rPr>
      <w:rFonts w:asciiTheme="minorHAnsi" w:eastAsiaTheme="minorEastAsia" w:hAnsiTheme="minorHAnsi" w:cstheme="minorBidi"/>
      <w:kern w:val="2"/>
      <w:sz w:val="24"/>
      <w:szCs w:val="24"/>
      <w:lang w:val="en-US"/>
      <w14:ligatures w14:val="standardContextual"/>
    </w:rPr>
  </w:style>
  <w:style w:type="paragraph" w:styleId="TOC4">
    <w:name w:val="toc 4"/>
    <w:basedOn w:val="Normal"/>
    <w:next w:val="Normal"/>
    <w:autoRedefine/>
    <w:uiPriority w:val="39"/>
    <w:unhideWhenUsed/>
    <w:rsid w:val="000C2751"/>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0C2751"/>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0C2751"/>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0C2751"/>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0C2751"/>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0C2751"/>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0C27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nyc.gov/site/dca/about/FAQ-Broker-Fees.page" TargetMode="External"/><Relationship Id="rId671" Type="http://schemas.openxmlformats.org/officeDocument/2006/relationships/hyperlink" Target="https://education.govt.nz" TargetMode="External"/><Relationship Id="rId21" Type="http://schemas.openxmlformats.org/officeDocument/2006/relationships/hyperlink" Target="https://numbeo.com" TargetMode="External"/><Relationship Id="rId324" Type="http://schemas.openxmlformats.org/officeDocument/2006/relationships/hyperlink" Target="https://germany.info" TargetMode="External"/><Relationship Id="rId531" Type="http://schemas.openxmlformats.org/officeDocument/2006/relationships/hyperlink" Target="https://bmo.com" TargetMode="External"/><Relationship Id="rId629" Type="http://schemas.openxmlformats.org/officeDocument/2006/relationships/hyperlink" Target="https://travellerdeclaration.govt.nz" TargetMode="External"/><Relationship Id="rId170" Type="http://schemas.openxmlformats.org/officeDocument/2006/relationships/hyperlink" Target="https://trumerit.org" TargetMode="External"/><Relationship Id="rId268" Type="http://schemas.openxmlformats.org/officeDocument/2006/relationships/hyperlink" Target="https://pewresearch.org/religion" TargetMode="External"/><Relationship Id="rId475" Type="http://schemas.openxmlformats.org/officeDocument/2006/relationships/hyperlink" Target="https://germany.info" TargetMode="External"/><Relationship Id="rId682" Type="http://schemas.openxmlformats.org/officeDocument/2006/relationships/hyperlink" Target="https://trademe.co.nz/jobs" TargetMode="External"/><Relationship Id="rId32" Type="http://schemas.openxmlformats.org/officeDocument/2006/relationships/hyperlink" Target="https://irs.gov/businesses/comparison-of-form-8938-and-fbar-requirements" TargetMode="External"/><Relationship Id="rId128" Type="http://schemas.openxmlformats.org/officeDocument/2006/relationships/hyperlink" Target="https://irs.gov/taxtopics/tc701" TargetMode="External"/><Relationship Id="rId335" Type="http://schemas.openxmlformats.org/officeDocument/2006/relationships/hyperlink" Target="https://medicare.gov/basics/costs" TargetMode="External"/><Relationship Id="rId542" Type="http://schemas.openxmlformats.org/officeDocument/2006/relationships/hyperlink" Target="https://cmhc-schl.gc.ca" TargetMode="External"/><Relationship Id="rId181" Type="http://schemas.openxmlformats.org/officeDocument/2006/relationships/hyperlink" Target="https://cbp.gov" TargetMode="External"/><Relationship Id="rId402" Type="http://schemas.openxmlformats.org/officeDocument/2006/relationships/hyperlink" Target="https://bundesjustizamt.de" TargetMode="External"/><Relationship Id="rId279" Type="http://schemas.openxmlformats.org/officeDocument/2006/relationships/hyperlink" Target="https://ekd.de/auslandsgemeinden-amerika-47196.htm" TargetMode="External"/><Relationship Id="rId486" Type="http://schemas.openxmlformats.org/officeDocument/2006/relationships/hyperlink" Target="https://taxtips.ca" TargetMode="External"/><Relationship Id="rId693" Type="http://schemas.openxmlformats.org/officeDocument/2006/relationships/hyperlink" Target="https://dia.govt.nz" TargetMode="External"/><Relationship Id="rId43" Type="http://schemas.openxmlformats.org/officeDocument/2006/relationships/hyperlink" Target="https://uscis.gov/working-in-the-united-states" TargetMode="External"/><Relationship Id="rId139" Type="http://schemas.openxmlformats.org/officeDocument/2006/relationships/hyperlink" Target="https://rundfunkbeitrag.de" TargetMode="External"/><Relationship Id="rId346" Type="http://schemas.openxmlformats.org/officeDocument/2006/relationships/hyperlink" Target="https://dea.gov/marijuana-rescheduling-regulatory-actions" TargetMode="External"/><Relationship Id="rId553" Type="http://schemas.openxmlformats.org/officeDocument/2006/relationships/hyperlink" Target="https://rates.ca" TargetMode="External"/><Relationship Id="rId192" Type="http://schemas.openxmlformats.org/officeDocument/2006/relationships/hyperlink" Target="https://fws.gov" TargetMode="External"/><Relationship Id="rId206" Type="http://schemas.openxmlformats.org/officeDocument/2006/relationships/hyperlink" Target="https://irs.gov/individuals/how-do-i-apply-for-an-itin" TargetMode="External"/><Relationship Id="rId413" Type="http://schemas.openxmlformats.org/officeDocument/2006/relationships/hyperlink" Target="https://equifax.com.au" TargetMode="External"/><Relationship Id="rId497" Type="http://schemas.openxmlformats.org/officeDocument/2006/relationships/hyperlink" Target="https://canada.ca/.../express-entry/eligibility/criteria-comprehensive-ranking-system.html" TargetMode="External"/><Relationship Id="rId620" Type="http://schemas.openxmlformats.org/officeDocument/2006/relationships/hyperlink" Target="https://immigration.govt.nz/new-zealand-visas/visas/visa/parent-resident-visa" TargetMode="External"/><Relationship Id="rId357" Type="http://schemas.openxmlformats.org/officeDocument/2006/relationships/hyperlink" Target="https://travel.state.gov" TargetMode="External"/><Relationship Id="rId54" Type="http://schemas.openxmlformats.org/officeDocument/2006/relationships/hyperlink" Target="https://dol.gov/agencies/whd/immigration/h1b/projectfirewall" TargetMode="External"/><Relationship Id="rId217" Type="http://schemas.openxmlformats.org/officeDocument/2006/relationships/hyperlink" Target="https://healthcare.gov" TargetMode="External"/><Relationship Id="rId564" Type="http://schemas.openxmlformats.org/officeDocument/2006/relationships/hyperlink" Target="https://988.ca" TargetMode="External"/><Relationship Id="rId424" Type="http://schemas.openxmlformats.org/officeDocument/2006/relationships/hyperlink" Target="https://privatehealth.gov.au" TargetMode="External"/><Relationship Id="rId631" Type="http://schemas.openxmlformats.org/officeDocument/2006/relationships/hyperlink" Target="https://ird.govt.nz" TargetMode="External"/><Relationship Id="rId270" Type="http://schemas.openxmlformats.org/officeDocument/2006/relationships/hyperlink" Target="https://dol.gov/agencies/whd" TargetMode="External"/><Relationship Id="rId65" Type="http://schemas.openxmlformats.org/officeDocument/2006/relationships/hyperlink" Target="https://travel.state.gov" TargetMode="External"/><Relationship Id="rId130" Type="http://schemas.openxmlformats.org/officeDocument/2006/relationships/hyperlink" Target="https://gesetze-im-internet.de/estg/__23.html" TargetMode="External"/><Relationship Id="rId368" Type="http://schemas.openxmlformats.org/officeDocument/2006/relationships/hyperlink" Target="https://deutsche-rentenversicherung.de" TargetMode="External"/><Relationship Id="rId575" Type="http://schemas.openxmlformats.org/officeDocument/2006/relationships/hyperlink" Target="https://vwgs.org" TargetMode="External"/><Relationship Id="rId228" Type="http://schemas.openxmlformats.org/officeDocument/2006/relationships/hyperlink" Target="https://dps.texas.gov" TargetMode="External"/><Relationship Id="rId435" Type="http://schemas.openxmlformats.org/officeDocument/2006/relationships/hyperlink" Target="https://australien.diplo.de" TargetMode="External"/><Relationship Id="rId642" Type="http://schemas.openxmlformats.org/officeDocument/2006/relationships/hyperlink" Target="https://westpac.co.nz" TargetMode="External"/><Relationship Id="rId281" Type="http://schemas.openxmlformats.org/officeDocument/2006/relationships/hyperlink" Target="https://idealist.org" TargetMode="External"/><Relationship Id="rId502" Type="http://schemas.openxmlformats.org/officeDocument/2006/relationships/hyperlink" Target="https://welcomebc.ca/immigrate-to-b-c/about-the-bc-pnp" TargetMode="External"/><Relationship Id="rId76" Type="http://schemas.openxmlformats.org/officeDocument/2006/relationships/hyperlink" Target="https://travel.state.gov" TargetMode="External"/><Relationship Id="rId141" Type="http://schemas.openxmlformats.org/officeDocument/2006/relationships/hyperlink" Target="https://germany.info/us-en/service" TargetMode="External"/><Relationship Id="rId379" Type="http://schemas.openxmlformats.org/officeDocument/2006/relationships/hyperlink" Target="https://immi.homeaffairs.gov.au" TargetMode="External"/><Relationship Id="rId586" Type="http://schemas.openxmlformats.org/officeDocument/2006/relationships/hyperlink" Target="https://canada.ca/en/health-canada/services/drugs-medication/cannabis.html" TargetMode="External"/><Relationship Id="rId7" Type="http://schemas.openxmlformats.org/officeDocument/2006/relationships/footer" Target="footer1.xml"/><Relationship Id="rId239" Type="http://schemas.openxmlformats.org/officeDocument/2006/relationships/hyperlink" Target="https://irs.gov/publications/p519" TargetMode="External"/><Relationship Id="rId446" Type="http://schemas.openxmlformats.org/officeDocument/2006/relationships/hyperlink" Target="https://youtube.com/@wired" TargetMode="External"/><Relationship Id="rId653" Type="http://schemas.openxmlformats.org/officeDocument/2006/relationships/hyperlink" Target="https://reinz.co.nz" TargetMode="External"/><Relationship Id="rId292" Type="http://schemas.openxmlformats.org/officeDocument/2006/relationships/hyperlink" Target="https://ftc.gov" TargetMode="External"/><Relationship Id="rId306" Type="http://schemas.openxmlformats.org/officeDocument/2006/relationships/footer" Target="footer22.xml"/><Relationship Id="rId87" Type="http://schemas.openxmlformats.org/officeDocument/2006/relationships/hyperlink" Target="https://cbp.gov/travel/international-visitors/visa-waiver-program" TargetMode="External"/><Relationship Id="rId513" Type="http://schemas.openxmlformats.org/officeDocument/2006/relationships/hyperlink" Target="https://canada.ca/en/immigration-refugees-citizenship/services/application/medical-police/police-certificates/how/germany.html" TargetMode="External"/><Relationship Id="rId597" Type="http://schemas.openxmlformats.org/officeDocument/2006/relationships/footer" Target="footer30.xml"/><Relationship Id="rId152" Type="http://schemas.openxmlformats.org/officeDocument/2006/relationships/hyperlink" Target="https://irs.gov/instructions/i8621" TargetMode="External"/><Relationship Id="rId457" Type="http://schemas.openxmlformats.org/officeDocument/2006/relationships/hyperlink" Target="https://education.nsw.gov.au" TargetMode="External"/><Relationship Id="rId664" Type="http://schemas.openxmlformats.org/officeDocument/2006/relationships/hyperlink" Target="https://stats.govt.nz" TargetMode="External"/><Relationship Id="rId14" Type="http://schemas.openxmlformats.org/officeDocument/2006/relationships/hyperlink" Target="https://harzing.com" TargetMode="External"/><Relationship Id="rId317" Type="http://schemas.openxmlformats.org/officeDocument/2006/relationships/hyperlink" Target="https://aefla.ed.gov" TargetMode="External"/><Relationship Id="rId524" Type="http://schemas.openxmlformats.org/officeDocument/2006/relationships/hyperlink" Target="https://canada.ca/en/revenue-agency" TargetMode="External"/><Relationship Id="rId98" Type="http://schemas.openxmlformats.org/officeDocument/2006/relationships/hyperlink" Target="https://travel.state.gov/visas" TargetMode="External"/><Relationship Id="rId163" Type="http://schemas.openxmlformats.org/officeDocument/2006/relationships/hyperlink" Target="https://law.cornell.edu/cfr/text/8/103.2" TargetMode="External"/><Relationship Id="rId370" Type="http://schemas.openxmlformats.org/officeDocument/2006/relationships/hyperlink" Target="https://daad.org" TargetMode="External"/><Relationship Id="rId230" Type="http://schemas.openxmlformats.org/officeDocument/2006/relationships/hyperlink" Target="https://dmv.colorado.gov" TargetMode="External"/><Relationship Id="rId468" Type="http://schemas.openxmlformats.org/officeDocument/2006/relationships/hyperlink" Target="https://rfs.nsw.gov.au" TargetMode="External"/><Relationship Id="rId675" Type="http://schemas.openxmlformats.org/officeDocument/2006/relationships/hyperlink" Target="https://goethe.de/ins/nz" TargetMode="External"/><Relationship Id="rId25" Type="http://schemas.openxmlformats.org/officeDocument/2006/relationships/hyperlink" Target="https://irs.gov" TargetMode="External"/><Relationship Id="rId328" Type="http://schemas.openxmlformats.org/officeDocument/2006/relationships/hyperlink" Target="https://research.collegeboard.org/trends/college-pricing" TargetMode="External"/><Relationship Id="rId535" Type="http://schemas.openxmlformats.org/officeDocument/2006/relationships/hyperlink" Target="https://canada.ca/en/health-canada" TargetMode="External"/><Relationship Id="rId174" Type="http://schemas.openxmlformats.org/officeDocument/2006/relationships/hyperlink" Target="https://cbp.gov/document/forms/form-3299-declaration-free-entry-unaccompanied-articles" TargetMode="External"/><Relationship Id="rId381" Type="http://schemas.openxmlformats.org/officeDocument/2006/relationships/hyperlink" Target="https://immi.homeaffairs.gov.au" TargetMode="External"/><Relationship Id="rId602" Type="http://schemas.openxmlformats.org/officeDocument/2006/relationships/hyperlink" Target="https://numbeo.com" TargetMode="External"/><Relationship Id="rId241" Type="http://schemas.openxmlformats.org/officeDocument/2006/relationships/hyperlink" Target="https://irs.gov/businesses/small-businesses-self-employed/report-of-foreign-bank-and-financial-accounts-fbar" TargetMode="External"/><Relationship Id="rId479" Type="http://schemas.openxmlformats.org/officeDocument/2006/relationships/hyperlink" Target="https://auswaertiges-amt.de" TargetMode="External"/><Relationship Id="rId686" Type="http://schemas.openxmlformats.org/officeDocument/2006/relationships/hyperlink" Target="https://drugfoundation.org.nz" TargetMode="External"/><Relationship Id="rId36" Type="http://schemas.openxmlformats.org/officeDocument/2006/relationships/hyperlink" Target="https://irs.gov/individuals/tax-withholding-estimator" TargetMode="External"/><Relationship Id="rId339" Type="http://schemas.openxmlformats.org/officeDocument/2006/relationships/hyperlink" Target="https://gesetze-im-internet.de/erbstg_1974" TargetMode="External"/><Relationship Id="rId546" Type="http://schemas.openxmlformats.org/officeDocument/2006/relationships/hyperlink" Target="https://kanada.diplo.de" TargetMode="External"/><Relationship Id="rId101" Type="http://schemas.openxmlformats.org/officeDocument/2006/relationships/hyperlink" Target="https://uscis.gov/g-1055" TargetMode="External"/><Relationship Id="rId185" Type="http://schemas.openxmlformats.org/officeDocument/2006/relationships/hyperlink" Target="https://cpsc.gov/recalls" TargetMode="External"/><Relationship Id="rId406" Type="http://schemas.openxmlformats.org/officeDocument/2006/relationships/hyperlink" Target="https://abf.gov.au" TargetMode="External"/><Relationship Id="rId392" Type="http://schemas.openxmlformats.org/officeDocument/2006/relationships/hyperlink" Target="https://immi.homeaffairs.gov.au" TargetMode="External"/><Relationship Id="rId613" Type="http://schemas.openxmlformats.org/officeDocument/2006/relationships/hyperlink" Target="https://immigration.govt.nz/.../skilled-migrant-category-resident-visa-wage-rate-thresholds" TargetMode="External"/><Relationship Id="rId697" Type="http://schemas.openxmlformats.org/officeDocument/2006/relationships/hyperlink" Target="https://wellington.diplo.de" TargetMode="External"/><Relationship Id="rId252" Type="http://schemas.openxmlformats.org/officeDocument/2006/relationships/hyperlink" Target="https://ftc.gov" TargetMode="External"/><Relationship Id="rId47" Type="http://schemas.openxmlformats.org/officeDocument/2006/relationships/hyperlink" Target="https://ice.gov/sevis" TargetMode="External"/><Relationship Id="rId112" Type="http://schemas.openxmlformats.org/officeDocument/2006/relationships/hyperlink" Target="https://taxfoundation.org" TargetMode="External"/><Relationship Id="rId557" Type="http://schemas.openxmlformats.org/officeDocument/2006/relationships/hyperlink" Target="https://canada.ca" TargetMode="External"/><Relationship Id="rId196" Type="http://schemas.openxmlformats.org/officeDocument/2006/relationships/hyperlink" Target="https://cbp.gov/travel/international-visitors/i-94" TargetMode="External"/><Relationship Id="rId417" Type="http://schemas.openxmlformats.org/officeDocument/2006/relationships/hyperlink" Target="https://westpac.com.au" TargetMode="External"/><Relationship Id="rId624" Type="http://schemas.openxmlformats.org/officeDocument/2006/relationships/hyperlink" Target="https://immigration.govt.nz/process-to-apply/applying-for-a-visa/providing-evidence-and-documents-to-support-your-visa-application/health-requirements" TargetMode="External"/><Relationship Id="rId263" Type="http://schemas.openxmlformats.org/officeDocument/2006/relationships/hyperlink" Target="https://dol.gov/agencies/eta/foreign-labor/programs/h-1b" TargetMode="External"/><Relationship Id="rId470" Type="http://schemas.openxmlformats.org/officeDocument/2006/relationships/hyperlink" Target="https://health.gov.au" TargetMode="External"/><Relationship Id="rId58" Type="http://schemas.openxmlformats.org/officeDocument/2006/relationships/hyperlink" Target="https://uscis.gov/green-card" TargetMode="External"/><Relationship Id="rId123" Type="http://schemas.openxmlformats.org/officeDocument/2006/relationships/hyperlink" Target="https://selling-guide.fanniemae.com" TargetMode="External"/><Relationship Id="rId330" Type="http://schemas.openxmlformats.org/officeDocument/2006/relationships/hyperlink" Target="https://daad.org/en/study-research-in-germany/study-in-germany/undergraduate" TargetMode="External"/><Relationship Id="rId568" Type="http://schemas.openxmlformats.org/officeDocument/2006/relationships/hyperlink" Target="https://calgarygermanschool.com" TargetMode="External"/><Relationship Id="rId428" Type="http://schemas.openxmlformats.org/officeDocument/2006/relationships/hyperlink" Target="https://fairtrading.nsw.gov.au" TargetMode="External"/><Relationship Id="rId635" Type="http://schemas.openxmlformats.org/officeDocument/2006/relationships/hyperlink" Target="https://ird.govt.nz" TargetMode="External"/><Relationship Id="rId274" Type="http://schemas.openxmlformats.org/officeDocument/2006/relationships/hyperlink" Target="https://dea.gov/marijuana-rescheduling-regulatory-actions" TargetMode="External"/><Relationship Id="rId481" Type="http://schemas.openxmlformats.org/officeDocument/2006/relationships/footer" Target="footer27.xml"/><Relationship Id="rId69" Type="http://schemas.openxmlformats.org/officeDocument/2006/relationships/hyperlink" Target="https://ecfr.gov" TargetMode="External"/><Relationship Id="rId134" Type="http://schemas.openxmlformats.org/officeDocument/2006/relationships/hyperlink" Target="https://uscis.gov/working-in-the-united-states/h-1b-specialty-occupations" TargetMode="External"/><Relationship Id="rId579" Type="http://schemas.openxmlformats.org/officeDocument/2006/relationships/hyperlink" Target="https://canada.ca/en/immigration-refugees-citizenship/services/work-canada/permit/temporary/vulnerable-workers.html" TargetMode="External"/><Relationship Id="rId341" Type="http://schemas.openxmlformats.org/officeDocument/2006/relationships/hyperlink" Target="https://uscis.gov/alienregistration" TargetMode="External"/><Relationship Id="rId439" Type="http://schemas.openxmlformats.org/officeDocument/2006/relationships/hyperlink" Target="https://csiro.au" TargetMode="External"/><Relationship Id="rId646" Type="http://schemas.openxmlformats.org/officeDocument/2006/relationships/hyperlink" Target="https://health.govt.nz" TargetMode="External"/><Relationship Id="rId201" Type="http://schemas.openxmlformats.org/officeDocument/2006/relationships/hyperlink" Target="https://reportfraud.ftc.gov" TargetMode="External"/><Relationship Id="rId285" Type="http://schemas.openxmlformats.org/officeDocument/2006/relationships/hyperlink" Target="https://samhsa.gov/mental-health/988/faqs" TargetMode="External"/><Relationship Id="rId506" Type="http://schemas.openxmlformats.org/officeDocument/2006/relationships/hyperlink" Target="https://canada.ca/.../super-visa.html" TargetMode="External"/><Relationship Id="rId492" Type="http://schemas.openxmlformats.org/officeDocument/2006/relationships/hyperlink" Target="https://ircc.canada.ca/english/information/fees" TargetMode="External"/><Relationship Id="rId145" Type="http://schemas.openxmlformats.org/officeDocument/2006/relationships/hyperlink" Target="https://familienportal.de" TargetMode="External"/><Relationship Id="rId352" Type="http://schemas.openxmlformats.org/officeDocument/2006/relationships/hyperlink" Target="https://aclu.org/know-your-rights/photographers" TargetMode="External"/><Relationship Id="rId212" Type="http://schemas.openxmlformats.org/officeDocument/2006/relationships/hyperlink" Target="https://consumer.ftc.gov/articles/what-know-about-credit-freezes-fraud-alerts" TargetMode="External"/><Relationship Id="rId657" Type="http://schemas.openxmlformats.org/officeDocument/2006/relationships/hyperlink" Target="https://aa.co.nz" TargetMode="External"/><Relationship Id="rId296" Type="http://schemas.openxmlformats.org/officeDocument/2006/relationships/hyperlink" Target="https://revenue.pa.gov" TargetMode="External"/><Relationship Id="rId517" Type="http://schemas.openxmlformats.org/officeDocument/2006/relationships/hyperlink" Target="https://bundesjustizamt.de" TargetMode="External"/><Relationship Id="rId60" Type="http://schemas.openxmlformats.org/officeDocument/2006/relationships/hyperlink" Target="https://flag.dol.gov/processingtimes" TargetMode="External"/><Relationship Id="rId156" Type="http://schemas.openxmlformats.org/officeDocument/2006/relationships/hyperlink" Target="https://kff.org" TargetMode="External"/><Relationship Id="rId363" Type="http://schemas.openxmlformats.org/officeDocument/2006/relationships/hyperlink" Target="https://uscis.gov/green-card" TargetMode="External"/><Relationship Id="rId570" Type="http://schemas.openxmlformats.org/officeDocument/2006/relationships/hyperlink" Target="https://education.gouv.qc.ca" TargetMode="External"/><Relationship Id="rId223" Type="http://schemas.openxmlformats.org/officeDocument/2006/relationships/hyperlink" Target="https://988lifeline.org" TargetMode="External"/><Relationship Id="rId430" Type="http://schemas.openxmlformats.org/officeDocument/2006/relationships/hyperlink" Target="https://cotality.com" TargetMode="External"/><Relationship Id="rId668" Type="http://schemas.openxmlformats.org/officeDocument/2006/relationships/hyperlink" Target="https://lifeline.org.nz" TargetMode="External"/><Relationship Id="rId18" Type="http://schemas.openxmlformats.org/officeDocument/2006/relationships/hyperlink" Target="https://canada.ca" TargetMode="External"/><Relationship Id="rId265" Type="http://schemas.openxmlformats.org/officeDocument/2006/relationships/hyperlink" Target="https://dol.gov/agencies/eta/layoffs/warn" TargetMode="External"/><Relationship Id="rId472" Type="http://schemas.openxmlformats.org/officeDocument/2006/relationships/hyperlink" Target="https://legislation.act.gov.au" TargetMode="External"/><Relationship Id="rId528" Type="http://schemas.openxmlformats.org/officeDocument/2006/relationships/hyperlink" Target="https://rbc.com" TargetMode="External"/><Relationship Id="rId125" Type="http://schemas.openxmlformats.org/officeDocument/2006/relationships/hyperlink" Target="https://freddiemac.com/pmms" TargetMode="External"/><Relationship Id="rId167" Type="http://schemas.openxmlformats.org/officeDocument/2006/relationships/hyperlink" Target="https://naces.org/members" TargetMode="External"/><Relationship Id="rId332" Type="http://schemas.openxmlformats.org/officeDocument/2006/relationships/footer" Target="footer24.xml"/><Relationship Id="rId374" Type="http://schemas.openxmlformats.org/officeDocument/2006/relationships/hyperlink" Target="https://ato.gov.au" TargetMode="External"/><Relationship Id="rId581" Type="http://schemas.openxmlformats.org/officeDocument/2006/relationships/hyperlink" Target="https://ontario.ca/document/your-guide-employment-standards-act-0" TargetMode="External"/><Relationship Id="rId71" Type="http://schemas.openxmlformats.org/officeDocument/2006/relationships/hyperlink" Target="https://gesetze-im-internet.de/aufenthg_2004/__18c.html" TargetMode="External"/><Relationship Id="rId234" Type="http://schemas.openxmlformats.org/officeDocument/2006/relationships/hyperlink" Target="https://dld.utah.gov" TargetMode="External"/><Relationship Id="rId637" Type="http://schemas.openxmlformats.org/officeDocument/2006/relationships/hyperlink" Target="https://centrix.co.nz" TargetMode="External"/><Relationship Id="rId679" Type="http://schemas.openxmlformats.org/officeDocument/2006/relationships/hyperlink" Target="https://immigration.govt.nz/visas/accredited-employer-work-visa" TargetMode="External"/><Relationship Id="rId2" Type="http://schemas.openxmlformats.org/officeDocument/2006/relationships/styles" Target="styles.xml"/><Relationship Id="rId29" Type="http://schemas.openxmlformats.org/officeDocument/2006/relationships/hyperlink" Target="https://freddiemac.com/pmms" TargetMode="External"/><Relationship Id="rId276" Type="http://schemas.openxmlformats.org/officeDocument/2006/relationships/hyperlink" Target="https://alcoholpolicy.niaaa.nih.gov" TargetMode="External"/><Relationship Id="rId441" Type="http://schemas.openxmlformats.org/officeDocument/2006/relationships/hyperlink" Target="https://racv.com.au" TargetMode="External"/><Relationship Id="rId483" Type="http://schemas.openxmlformats.org/officeDocument/2006/relationships/hyperlink" Target="https://canada.ca/en/revenue-agency" TargetMode="External"/><Relationship Id="rId539" Type="http://schemas.openxmlformats.org/officeDocument/2006/relationships/hyperlink" Target="https://alberta.ca/ahcip" TargetMode="External"/><Relationship Id="rId690" Type="http://schemas.openxmlformats.org/officeDocument/2006/relationships/hyperlink" Target="https://civildefence.govt.nz" TargetMode="External"/><Relationship Id="rId40" Type="http://schemas.openxmlformats.org/officeDocument/2006/relationships/hyperlink" Target="https://destatis.de" TargetMode="External"/><Relationship Id="rId136" Type="http://schemas.openxmlformats.org/officeDocument/2006/relationships/hyperlink" Target="https://gesetze-im-internet.de" TargetMode="External"/><Relationship Id="rId178" Type="http://schemas.openxmlformats.org/officeDocument/2006/relationships/hyperlink" Target="https://fidi.org" TargetMode="External"/><Relationship Id="rId301" Type="http://schemas.openxmlformats.org/officeDocument/2006/relationships/hyperlink" Target="https://fda.gov/food" TargetMode="External"/><Relationship Id="rId343" Type="http://schemas.openxmlformats.org/officeDocument/2006/relationships/hyperlink" Target="https://sss.gov" TargetMode="External"/><Relationship Id="rId550" Type="http://schemas.openxmlformats.org/officeDocument/2006/relationships/hyperlink" Target="https://rcmp.ca" TargetMode="External"/><Relationship Id="rId82" Type="http://schemas.openxmlformats.org/officeDocument/2006/relationships/hyperlink" Target="https://uscis.gov/g-1055" TargetMode="External"/><Relationship Id="rId203" Type="http://schemas.openxmlformats.org/officeDocument/2006/relationships/hyperlink" Target="https://ssa.gov/forms/ss-5.pdf" TargetMode="External"/><Relationship Id="rId385" Type="http://schemas.openxmlformats.org/officeDocument/2006/relationships/hyperlink" Target="https://immi.homeaffairs.gov.au" TargetMode="External"/><Relationship Id="rId592" Type="http://schemas.openxmlformats.org/officeDocument/2006/relationships/hyperlink" Target="https://canada.ca" TargetMode="External"/><Relationship Id="rId606" Type="http://schemas.openxmlformats.org/officeDocument/2006/relationships/hyperlink" Target="https://immigration.govt.nz" TargetMode="External"/><Relationship Id="rId648" Type="http://schemas.openxmlformats.org/officeDocument/2006/relationships/hyperlink" Target="https://southerncross.co.nz" TargetMode="External"/><Relationship Id="rId245" Type="http://schemas.openxmlformats.org/officeDocument/2006/relationships/hyperlink" Target="https://irs.gov/tax-professionals/choosing-a-tax-professional" TargetMode="External"/><Relationship Id="rId287" Type="http://schemas.openxmlformats.org/officeDocument/2006/relationships/hyperlink" Target="https://psychologytoday.com/us/therapists/german" TargetMode="External"/><Relationship Id="rId410" Type="http://schemas.openxmlformats.org/officeDocument/2006/relationships/hyperlink" Target="https://ato.gov.au" TargetMode="External"/><Relationship Id="rId452" Type="http://schemas.openxmlformats.org/officeDocument/2006/relationships/hyperlink" Target="https://sls.com.au" TargetMode="External"/><Relationship Id="rId494" Type="http://schemas.openxmlformats.org/officeDocument/2006/relationships/hyperlink" Target="https://canada.ca" TargetMode="External"/><Relationship Id="rId508" Type="http://schemas.openxmlformats.org/officeDocument/2006/relationships/hyperlink" Target="https://canada.ca" TargetMode="External"/><Relationship Id="rId105" Type="http://schemas.openxmlformats.org/officeDocument/2006/relationships/hyperlink" Target="https://reportfraud.ftc.gov" TargetMode="External"/><Relationship Id="rId147" Type="http://schemas.openxmlformats.org/officeDocument/2006/relationships/hyperlink" Target="https://gesetze-im-internet.de" TargetMode="External"/><Relationship Id="rId312" Type="http://schemas.openxmlformats.org/officeDocument/2006/relationships/hyperlink" Target="https://auslandsschulwesen.de" TargetMode="External"/><Relationship Id="rId354" Type="http://schemas.openxmlformats.org/officeDocument/2006/relationships/hyperlink" Target="https://uscis.gov/citizenship" TargetMode="External"/><Relationship Id="rId51" Type="http://schemas.openxmlformats.org/officeDocument/2006/relationships/hyperlink" Target="https://uscis.gov/g-1055" TargetMode="External"/><Relationship Id="rId93" Type="http://schemas.openxmlformats.org/officeDocument/2006/relationships/hyperlink" Target="https://uscis.gov/policy-manual/volume-6-part-b-chapter-6" TargetMode="External"/><Relationship Id="rId189" Type="http://schemas.openxmlformats.org/officeDocument/2006/relationships/hyperlink" Target="https://aphis.usda.gov/pet-travel" TargetMode="External"/><Relationship Id="rId396" Type="http://schemas.openxmlformats.org/officeDocument/2006/relationships/hyperlink" Target="https://immi.homeaffairs.gov.au/visas/getting-a-visa/visa-processing-times" TargetMode="External"/><Relationship Id="rId561" Type="http://schemas.openxmlformats.org/officeDocument/2006/relationships/hyperlink" Target="https://kanada.diplo.de" TargetMode="External"/><Relationship Id="rId617" Type="http://schemas.openxmlformats.org/officeDocument/2006/relationships/hyperlink" Target="https://immigration.govt.nz/assets/inz/documents/forms-and-guides/Fees-Guide-INZ-1028.pdf" TargetMode="External"/><Relationship Id="rId659" Type="http://schemas.openxmlformats.org/officeDocument/2006/relationships/hyperlink" Target="https://consumerprotection.govt.nz" TargetMode="External"/><Relationship Id="rId214" Type="http://schemas.openxmlformats.org/officeDocument/2006/relationships/hyperlink" Target="https://irs.gov/identity-theft-fraud-scams/get-an-identity-protection-pin" TargetMode="External"/><Relationship Id="rId256" Type="http://schemas.openxmlformats.org/officeDocument/2006/relationships/hyperlink" Target="https://dol.gov/agencies/eta/foreign-labor/programs/h-1b" TargetMode="External"/><Relationship Id="rId298" Type="http://schemas.openxmlformats.org/officeDocument/2006/relationships/hyperlink" Target="https://fna.usda.gov/nslp" TargetMode="External"/><Relationship Id="rId421" Type="http://schemas.openxmlformats.org/officeDocument/2006/relationships/hyperlink" Target="https://servicesaustralia.gov.au" TargetMode="External"/><Relationship Id="rId463" Type="http://schemas.openxmlformats.org/officeDocument/2006/relationships/hyperlink" Target="https://immi.homeaffairs.gov.au/visas/getting-a-visa/visa-listing/skills-in-demand-visa-subclass-482" TargetMode="External"/><Relationship Id="rId519" Type="http://schemas.openxmlformats.org/officeDocument/2006/relationships/hyperlink" Target="https://canada.ca/en/employment-social-development/services/sin.html" TargetMode="External"/><Relationship Id="rId670" Type="http://schemas.openxmlformats.org/officeDocument/2006/relationships/hyperlink" Target="https://fireandemergency.nz" TargetMode="External"/><Relationship Id="rId116" Type="http://schemas.openxmlformats.org/officeDocument/2006/relationships/hyperlink" Target="https://reportfraud.ftc.gov" TargetMode="External"/><Relationship Id="rId158" Type="http://schemas.openxmlformats.org/officeDocument/2006/relationships/hyperlink" Target="https://cbp.gov" TargetMode="External"/><Relationship Id="rId323" Type="http://schemas.openxmlformats.org/officeDocument/2006/relationships/hyperlink" Target="https://supremecourt.gov/opinions/25pdf/25-365_4hdj.pdf" TargetMode="External"/><Relationship Id="rId530" Type="http://schemas.openxmlformats.org/officeDocument/2006/relationships/hyperlink" Target="https://scotiabank.com" TargetMode="External"/><Relationship Id="rId20" Type="http://schemas.openxmlformats.org/officeDocument/2006/relationships/hyperlink" Target="https://immigration.govt.nz" TargetMode="External"/><Relationship Id="rId62" Type="http://schemas.openxmlformats.org/officeDocument/2006/relationships/hyperlink" Target="https://federalregister.gov" TargetMode="External"/><Relationship Id="rId365" Type="http://schemas.openxmlformats.org/officeDocument/2006/relationships/hyperlink" Target="https://irs.gov/individuals/international-taxpayers/expatriation-tax" TargetMode="External"/><Relationship Id="rId572" Type="http://schemas.openxmlformats.org/officeDocument/2006/relationships/hyperlink" Target="https://canada.ca/en/employment-social-development/campaigns/child-care.html" TargetMode="External"/><Relationship Id="rId628" Type="http://schemas.openxmlformats.org/officeDocument/2006/relationships/hyperlink" Target="https://bundesjustizamt.de" TargetMode="External"/><Relationship Id="rId225" Type="http://schemas.openxmlformats.org/officeDocument/2006/relationships/hyperlink" Target="https://germany.info/us-de" TargetMode="External"/><Relationship Id="rId267" Type="http://schemas.openxmlformats.org/officeDocument/2006/relationships/footer" Target="footer20.xml"/><Relationship Id="rId432" Type="http://schemas.openxmlformats.org/officeDocument/2006/relationships/hyperlink" Target="https://transport.vic.gov.au" TargetMode="External"/><Relationship Id="rId474" Type="http://schemas.openxmlformats.org/officeDocument/2006/relationships/hyperlink" Target="https://transport.nsw.gov.au" TargetMode="External"/><Relationship Id="rId127" Type="http://schemas.openxmlformats.org/officeDocument/2006/relationships/hyperlink" Target="https://irs.gov/publications/p936" TargetMode="External"/><Relationship Id="rId681" Type="http://schemas.openxmlformats.org/officeDocument/2006/relationships/hyperlink" Target="https://seek.co.nz" TargetMode="External"/><Relationship Id="rId31" Type="http://schemas.openxmlformats.org/officeDocument/2006/relationships/hyperlink" Target="https://irs.gov/pub/irs-trty/germany.pdf" TargetMode="External"/><Relationship Id="rId73" Type="http://schemas.openxmlformats.org/officeDocument/2006/relationships/hyperlink" Target="https://uscis.gov/working-in-the-united-states/students-and-exchange-visitors" TargetMode="External"/><Relationship Id="rId169" Type="http://schemas.openxmlformats.org/officeDocument/2006/relationships/hyperlink" Target="https://ecfmg.org/certification-pathways" TargetMode="External"/><Relationship Id="rId334" Type="http://schemas.openxmlformats.org/officeDocument/2006/relationships/hyperlink" Target="https://ssa.gov/benefits/retirement/social-security-fairness-act.html" TargetMode="External"/><Relationship Id="rId376" Type="http://schemas.openxmlformats.org/officeDocument/2006/relationships/hyperlink" Target="https://ato.gov.au" TargetMode="External"/><Relationship Id="rId541" Type="http://schemas.openxmlformats.org/officeDocument/2006/relationships/hyperlink" Target="https://statcan.gc.ca" TargetMode="External"/><Relationship Id="rId583" Type="http://schemas.openxmlformats.org/officeDocument/2006/relationships/hyperlink" Target="https://rcmp.ca/en/bc/corporate-information/newcomers-guide/interactions-police" TargetMode="External"/><Relationship Id="rId639" Type="http://schemas.openxmlformats.org/officeDocument/2006/relationships/hyperlink" Target="https://illion.co.nz" TargetMode="External"/><Relationship Id="rId4" Type="http://schemas.openxmlformats.org/officeDocument/2006/relationships/webSettings" Target="webSettings.xml"/><Relationship Id="rId180" Type="http://schemas.openxmlformats.org/officeDocument/2006/relationships/hyperlink" Target="https://zoll.de" TargetMode="External"/><Relationship Id="rId236" Type="http://schemas.openxmlformats.org/officeDocument/2006/relationships/hyperlink" Target="https://cbp.gov/trade/basic-import-export/importing-car" TargetMode="External"/><Relationship Id="rId278" Type="http://schemas.openxmlformats.org/officeDocument/2006/relationships/hyperlink" Target="https://census.gov/topics/population/migration" TargetMode="External"/><Relationship Id="rId401" Type="http://schemas.openxmlformats.org/officeDocument/2006/relationships/hyperlink" Target="https://portal.mara.gov.au" TargetMode="External"/><Relationship Id="rId443" Type="http://schemas.openxmlformats.org/officeDocument/2006/relationships/hyperlink" Target="https://australien.diplo.de" TargetMode="External"/><Relationship Id="rId650" Type="http://schemas.openxmlformats.org/officeDocument/2006/relationships/hyperlink" Target="https://healthpoint.co.nz" TargetMode="External"/><Relationship Id="rId303" Type="http://schemas.openxmlformats.org/officeDocument/2006/relationships/hyperlink" Target="https://alcoholpolicy.niaaa.nih.gov" TargetMode="External"/><Relationship Id="rId485" Type="http://schemas.openxmlformats.org/officeDocument/2006/relationships/hyperlink" Target="https://taxtips.ca" TargetMode="External"/><Relationship Id="rId692" Type="http://schemas.openxmlformats.org/officeDocument/2006/relationships/hyperlink" Target="https://auswaertiges-amt.de" TargetMode="External"/><Relationship Id="rId42" Type="http://schemas.openxmlformats.org/officeDocument/2006/relationships/footer" Target="footer8.xml"/><Relationship Id="rId84" Type="http://schemas.openxmlformats.org/officeDocument/2006/relationships/hyperlink" Target="https://exchanges.state.gov" TargetMode="External"/><Relationship Id="rId138" Type="http://schemas.openxmlformats.org/officeDocument/2006/relationships/hyperlink" Target="https://gesetze-im-internet.de" TargetMode="External"/><Relationship Id="rId345" Type="http://schemas.openxmlformats.org/officeDocument/2006/relationships/hyperlink" Target="https://mapresearch.org/equality-maps" TargetMode="External"/><Relationship Id="rId387" Type="http://schemas.openxmlformats.org/officeDocument/2006/relationships/hyperlink" Target="https://immi.homeaffairs.gov.au" TargetMode="External"/><Relationship Id="rId510" Type="http://schemas.openxmlformats.org/officeDocument/2006/relationships/hyperlink" Target="https://ircc.canada.ca/english/information/fees/fees.asp" TargetMode="External"/><Relationship Id="rId552" Type="http://schemas.openxmlformats.org/officeDocument/2006/relationships/hyperlink" Target="https://wildlifecollisions.ca" TargetMode="External"/><Relationship Id="rId594" Type="http://schemas.openxmlformats.org/officeDocument/2006/relationships/hyperlink" Target="https://bmi.bund.de" TargetMode="External"/><Relationship Id="rId608" Type="http://schemas.openxmlformats.org/officeDocument/2006/relationships/hyperlink" Target="https://immigration.govt.nz" TargetMode="External"/><Relationship Id="rId191" Type="http://schemas.openxmlformats.org/officeDocument/2006/relationships/hyperlink" Target="https://maricopa.gov/226/Dog-License" TargetMode="External"/><Relationship Id="rId205" Type="http://schemas.openxmlformats.org/officeDocument/2006/relationships/hyperlink" Target="https://ssa.gov/number-card" TargetMode="External"/><Relationship Id="rId247" Type="http://schemas.openxmlformats.org/officeDocument/2006/relationships/footer" Target="footer17.xml"/><Relationship Id="rId412" Type="http://schemas.openxmlformats.org/officeDocument/2006/relationships/hyperlink" Target="https://moneysmart.gov.au" TargetMode="External"/><Relationship Id="rId107" Type="http://schemas.openxmlformats.org/officeDocument/2006/relationships/footer" Target="footer10.xml"/><Relationship Id="rId289" Type="http://schemas.openxmlformats.org/officeDocument/2006/relationships/hyperlink" Target="https://opm.gov" TargetMode="External"/><Relationship Id="rId454" Type="http://schemas.openxmlformats.org/officeDocument/2006/relationships/hyperlink" Target="https://ses.nsw.gov.au" TargetMode="External"/><Relationship Id="rId496" Type="http://schemas.openxmlformats.org/officeDocument/2006/relationships/hyperlink" Target="https://canada.ca/en/immigration-refugees-citizenship/services/immigrate-canada/express-entry.html" TargetMode="External"/><Relationship Id="rId661" Type="http://schemas.openxmlformats.org/officeDocument/2006/relationships/hyperlink" Target="https://tpk.govt.nz" TargetMode="External"/><Relationship Id="rId11" Type="http://schemas.openxmlformats.org/officeDocument/2006/relationships/hyperlink" Target="https://auswaertiges-amt.de" TargetMode="External"/><Relationship Id="rId53" Type="http://schemas.openxmlformats.org/officeDocument/2006/relationships/hyperlink" Target="https://dol.gov/agencies/eta/foreign-labor/programs/h-1b" TargetMode="External"/><Relationship Id="rId149" Type="http://schemas.openxmlformats.org/officeDocument/2006/relationships/hyperlink" Target="https://bzst.de" TargetMode="External"/><Relationship Id="rId314" Type="http://schemas.openxmlformats.org/officeDocument/2006/relationships/hyperlink" Target="https://wida.wisc.edu/assess/screener" TargetMode="External"/><Relationship Id="rId356" Type="http://schemas.openxmlformats.org/officeDocument/2006/relationships/hyperlink" Target="https://egov.uscis.gov/processing-times" TargetMode="External"/><Relationship Id="rId398" Type="http://schemas.openxmlformats.org/officeDocument/2006/relationships/hyperlink" Target="https://immi.homeaffairs.gov.au" TargetMode="External"/><Relationship Id="rId521" Type="http://schemas.openxmlformats.org/officeDocument/2006/relationships/hyperlink" Target="https://www2.gov.bc.ca/gov/content/health/health-drug-coverage/msp" TargetMode="External"/><Relationship Id="rId563" Type="http://schemas.openxmlformats.org/officeDocument/2006/relationships/hyperlink" Target="https://goethe.de/ins/ca" TargetMode="External"/><Relationship Id="rId619" Type="http://schemas.openxmlformats.org/officeDocument/2006/relationships/hyperlink" Target="https://immigration.govt.nz/new-zealand-visas/visas/visa/active-investor-plus-visa" TargetMode="External"/><Relationship Id="rId95" Type="http://schemas.openxmlformats.org/officeDocument/2006/relationships/hyperlink" Target="https://i94.cbp.dhs.gov" TargetMode="External"/><Relationship Id="rId160" Type="http://schemas.openxmlformats.org/officeDocument/2006/relationships/hyperlink" Target="https://bfaa.diplo.de" TargetMode="External"/><Relationship Id="rId216" Type="http://schemas.openxmlformats.org/officeDocument/2006/relationships/hyperlink" Target="https://wise.com" TargetMode="External"/><Relationship Id="rId423" Type="http://schemas.openxmlformats.org/officeDocument/2006/relationships/hyperlink" Target="https://immi.homeaffairs.gov.au" TargetMode="External"/><Relationship Id="rId258" Type="http://schemas.openxmlformats.org/officeDocument/2006/relationships/hyperlink" Target="https://uscis.gov/working-in-the-united-states/h-1b-specialty-occupations" TargetMode="External"/><Relationship Id="rId465" Type="http://schemas.openxmlformats.org/officeDocument/2006/relationships/hyperlink" Target="https://fairwork.gov.au/employment-conditions/right-to-disconnect" TargetMode="External"/><Relationship Id="rId630" Type="http://schemas.openxmlformats.org/officeDocument/2006/relationships/hyperlink" Target="https://mpi.govt.nz" TargetMode="External"/><Relationship Id="rId672" Type="http://schemas.openxmlformats.org/officeDocument/2006/relationships/hyperlink" Target="https://nzqa.govt.nz" TargetMode="External"/><Relationship Id="rId22" Type="http://schemas.openxmlformats.org/officeDocument/2006/relationships/footer" Target="footer5.xml"/><Relationship Id="rId64" Type="http://schemas.openxmlformats.org/officeDocument/2006/relationships/hyperlink" Target="https://sss.gov" TargetMode="External"/><Relationship Id="rId118" Type="http://schemas.openxmlformats.org/officeDocument/2006/relationships/hyperlink" Target="https://seattle.gov/rentinginseattle" TargetMode="External"/><Relationship Id="rId325" Type="http://schemas.openxmlformats.org/officeDocument/2006/relationships/hyperlink" Target="https://dol.gov/agencies/whd/fmla" TargetMode="External"/><Relationship Id="rId367" Type="http://schemas.openxmlformats.org/officeDocument/2006/relationships/hyperlink" Target="https://gesetze-im-internet.de/sgb_5" TargetMode="External"/><Relationship Id="rId532" Type="http://schemas.openxmlformats.org/officeDocument/2006/relationships/hyperlink" Target="https://cibc.com" TargetMode="External"/><Relationship Id="rId574" Type="http://schemas.openxmlformats.org/officeDocument/2006/relationships/hyperlink" Target="https://gistonline.ca" TargetMode="External"/><Relationship Id="rId171" Type="http://schemas.openxmlformats.org/officeDocument/2006/relationships/hyperlink" Target="https://nclex.com" TargetMode="External"/><Relationship Id="rId227" Type="http://schemas.openxmlformats.org/officeDocument/2006/relationships/hyperlink" Target="https://dmv.ny.gov" TargetMode="External"/><Relationship Id="rId269" Type="http://schemas.openxmlformats.org/officeDocument/2006/relationships/hyperlink" Target="https://pewresearch.org/short-reads" TargetMode="External"/><Relationship Id="rId434" Type="http://schemas.openxmlformats.org/officeDocument/2006/relationships/hyperlink" Target="https://tmr.qld.gov.au" TargetMode="External"/><Relationship Id="rId476" Type="http://schemas.openxmlformats.org/officeDocument/2006/relationships/hyperlink" Target="https://homeaffairs.gov.au" TargetMode="External"/><Relationship Id="rId641" Type="http://schemas.openxmlformats.org/officeDocument/2006/relationships/hyperlink" Target="https://asb.co.nz" TargetMode="External"/><Relationship Id="rId683" Type="http://schemas.openxmlformats.org/officeDocument/2006/relationships/hyperlink" Target="https://police.govt.nz" TargetMode="External"/><Relationship Id="rId33" Type="http://schemas.openxmlformats.org/officeDocument/2006/relationships/hyperlink" Target="https://consumerfinance.gov" TargetMode="External"/><Relationship Id="rId129" Type="http://schemas.openxmlformats.org/officeDocument/2006/relationships/hyperlink" Target="https://fema.gov/flood-maps" TargetMode="External"/><Relationship Id="rId280" Type="http://schemas.openxmlformats.org/officeDocument/2006/relationships/hyperlink" Target="https://goethe.de/ins/us" TargetMode="External"/><Relationship Id="rId336" Type="http://schemas.openxmlformats.org/officeDocument/2006/relationships/hyperlink" Target="https://irs.gov/businesses/small-businesses-self-employed/whats-new-estate-and-gift-tax" TargetMode="External"/><Relationship Id="rId501" Type="http://schemas.openxmlformats.org/officeDocument/2006/relationships/hyperlink" Target="https://ontario.ca/page/ontario-immigrant-nominee-program" TargetMode="External"/><Relationship Id="rId543" Type="http://schemas.openxmlformats.org/officeDocument/2006/relationships/hyperlink" Target="https://canada.ca" TargetMode="External"/><Relationship Id="rId75" Type="http://schemas.openxmlformats.org/officeDocument/2006/relationships/hyperlink" Target="https://ice.gov/sevis/i901" TargetMode="External"/><Relationship Id="rId140" Type="http://schemas.openxmlformats.org/officeDocument/2006/relationships/hyperlink" Target="https://deutschepost.de/de/n/nachsendeservice.html" TargetMode="External"/><Relationship Id="rId182" Type="http://schemas.openxmlformats.org/officeDocument/2006/relationships/hyperlink" Target="https://ecfr.gov" TargetMode="External"/><Relationship Id="rId378" Type="http://schemas.openxmlformats.org/officeDocument/2006/relationships/hyperlink" Target="https://numbeo.com" TargetMode="External"/><Relationship Id="rId403" Type="http://schemas.openxmlformats.org/officeDocument/2006/relationships/hyperlink" Target="https://bfaa.diplo.de" TargetMode="External"/><Relationship Id="rId585" Type="http://schemas.openxmlformats.org/officeDocument/2006/relationships/hyperlink" Target="https://canada.ca" TargetMode="External"/><Relationship Id="rId6" Type="http://schemas.openxmlformats.org/officeDocument/2006/relationships/endnotes" Target="endnotes.xml"/><Relationship Id="rId238" Type="http://schemas.openxmlformats.org/officeDocument/2006/relationships/hyperlink" Target="https://irs.gov/individuals/international-taxpayers/taxation-of-nonresident-aliens" TargetMode="External"/><Relationship Id="rId445" Type="http://schemas.openxmlformats.org/officeDocument/2006/relationships/hyperlink" Target="https://australia.com" TargetMode="External"/><Relationship Id="rId487" Type="http://schemas.openxmlformats.org/officeDocument/2006/relationships/hyperlink" Target="https://ircc.canada.ca/english/information/fees" TargetMode="External"/><Relationship Id="rId610" Type="http://schemas.openxmlformats.org/officeDocument/2006/relationships/hyperlink" Target="https://immigration.govt.nz/new-zealand-visas/visas/visa/accredited-employer-work-visa" TargetMode="External"/><Relationship Id="rId652" Type="http://schemas.openxmlformats.org/officeDocument/2006/relationships/hyperlink" Target="https://linz.govt.nz" TargetMode="External"/><Relationship Id="rId694" Type="http://schemas.openxmlformats.org/officeDocument/2006/relationships/hyperlink" Target="https://immigration.govt.nz" TargetMode="External"/><Relationship Id="rId291" Type="http://schemas.openxmlformats.org/officeDocument/2006/relationships/hyperlink" Target="https://cpsc.gov" TargetMode="External"/><Relationship Id="rId305" Type="http://schemas.openxmlformats.org/officeDocument/2006/relationships/footer" Target="footer21.xml"/><Relationship Id="rId347" Type="http://schemas.openxmlformats.org/officeDocument/2006/relationships/hyperlink" Target="https://reportfraud.ftc.gov" TargetMode="External"/><Relationship Id="rId512" Type="http://schemas.openxmlformats.org/officeDocument/2006/relationships/hyperlink" Target="https://canada.ca/en/immigration-refugees-citizenship/corporate/partners-service-providers/panel-physicians.html" TargetMode="External"/><Relationship Id="rId44" Type="http://schemas.openxmlformats.org/officeDocument/2006/relationships/hyperlink" Target="https://uscis.gov/green-card" TargetMode="External"/><Relationship Id="rId86" Type="http://schemas.openxmlformats.org/officeDocument/2006/relationships/hyperlink" Target="https://esta.cbp.dhs.gov" TargetMode="External"/><Relationship Id="rId151" Type="http://schemas.openxmlformats.org/officeDocument/2006/relationships/hyperlink" Target="https://irs.gov/pub/irs-trty/germany.pdf" TargetMode="External"/><Relationship Id="rId389" Type="http://schemas.openxmlformats.org/officeDocument/2006/relationships/hyperlink" Target="https://immi.homeaffairs.gov.au/visas/working-in-australia/skillselect" TargetMode="External"/><Relationship Id="rId554" Type="http://schemas.openxmlformats.org/officeDocument/2006/relationships/hyperlink" Target="https://kanada.diplo.de" TargetMode="External"/><Relationship Id="rId596" Type="http://schemas.openxmlformats.org/officeDocument/2006/relationships/footer" Target="footer29.xml"/><Relationship Id="rId193" Type="http://schemas.openxmlformats.org/officeDocument/2006/relationships/hyperlink" Target="https://zoll.de" TargetMode="External"/><Relationship Id="rId207" Type="http://schemas.openxmlformats.org/officeDocument/2006/relationships/hyperlink" Target="https://irs.gov/identity-theft-fraud-scams/get-an-identity-protection-pin" TargetMode="External"/><Relationship Id="rId249" Type="http://schemas.openxmlformats.org/officeDocument/2006/relationships/hyperlink" Target="https://dol.gov/agencies/whd/fmla" TargetMode="External"/><Relationship Id="rId414" Type="http://schemas.openxmlformats.org/officeDocument/2006/relationships/hyperlink" Target="https://experian.com.au" TargetMode="External"/><Relationship Id="rId456" Type="http://schemas.openxmlformats.org/officeDocument/2006/relationships/hyperlink" Target="https://acara.edu.au" TargetMode="External"/><Relationship Id="rId498" Type="http://schemas.openxmlformats.org/officeDocument/2006/relationships/hyperlink" Target="https://canada.ca/.../express-entry/eligibility/federal-skilled-workers.html" TargetMode="External"/><Relationship Id="rId621" Type="http://schemas.openxmlformats.org/officeDocument/2006/relationships/hyperlink" Target="https://workandincome.govt.nz" TargetMode="External"/><Relationship Id="rId663" Type="http://schemas.openxmlformats.org/officeDocument/2006/relationships/hyperlink" Target="https://mch.govt.nz" TargetMode="External"/><Relationship Id="rId13" Type="http://schemas.openxmlformats.org/officeDocument/2006/relationships/hyperlink" Target="https://raphaelswerk.de" TargetMode="External"/><Relationship Id="rId109" Type="http://schemas.openxmlformats.org/officeDocument/2006/relationships/hyperlink" Target="https://nar.realtor" TargetMode="External"/><Relationship Id="rId260" Type="http://schemas.openxmlformats.org/officeDocument/2006/relationships/hyperlink" Target="https://uscis.gov/policy-manual/volume-7-part-e-chapter-5" TargetMode="External"/><Relationship Id="rId316" Type="http://schemas.openxmlformats.org/officeDocument/2006/relationships/hyperlink" Target="https://law.cornell.edu/uscode/text/20/6312" TargetMode="External"/><Relationship Id="rId523" Type="http://schemas.openxmlformats.org/officeDocument/2006/relationships/hyperlink" Target="https://kanada.diplo.de" TargetMode="External"/><Relationship Id="rId55" Type="http://schemas.openxmlformats.org/officeDocument/2006/relationships/hyperlink" Target="https://travel.state.gov" TargetMode="External"/><Relationship Id="rId97" Type="http://schemas.openxmlformats.org/officeDocument/2006/relationships/hyperlink" Target="https://michigan.gov/mde" TargetMode="External"/><Relationship Id="rId120" Type="http://schemas.openxmlformats.org/officeDocument/2006/relationships/hyperlink" Target="https://commerce.wa.gov/housing-policy/hb1217-landlord-resource-center" TargetMode="External"/><Relationship Id="rId358" Type="http://schemas.openxmlformats.org/officeDocument/2006/relationships/hyperlink" Target="https://irs.gov/individuals/international-taxpayers/expatriation-tax" TargetMode="External"/><Relationship Id="rId565" Type="http://schemas.openxmlformats.org/officeDocument/2006/relationships/hyperlink" Target="https://kidshelpphone.ca" TargetMode="External"/><Relationship Id="rId162" Type="http://schemas.openxmlformats.org/officeDocument/2006/relationships/hyperlink" Target="https://uscis.gov" TargetMode="External"/><Relationship Id="rId218" Type="http://schemas.openxmlformats.org/officeDocument/2006/relationships/hyperlink" Target="https://cms.gov/nosurprises/consumers" TargetMode="External"/><Relationship Id="rId425" Type="http://schemas.openxmlformats.org/officeDocument/2006/relationships/hyperlink" Target="https://australien.diplo.de" TargetMode="External"/><Relationship Id="rId467" Type="http://schemas.openxmlformats.org/officeDocument/2006/relationships/hyperlink" Target="https://bom.gov.au" TargetMode="External"/><Relationship Id="rId632" Type="http://schemas.openxmlformats.org/officeDocument/2006/relationships/hyperlink" Target="https://immigration.govt.nz" TargetMode="External"/><Relationship Id="rId271" Type="http://schemas.openxmlformats.org/officeDocument/2006/relationships/hyperlink" Target="https://ftc.gov" TargetMode="External"/><Relationship Id="rId674" Type="http://schemas.openxmlformats.org/officeDocument/2006/relationships/hyperlink" Target="https://auslandsschulwesen.de" TargetMode="External"/><Relationship Id="rId24" Type="http://schemas.openxmlformats.org/officeDocument/2006/relationships/hyperlink" Target="https://uscis.gov/working-in-the-united-states" TargetMode="External"/><Relationship Id="rId66" Type="http://schemas.openxmlformats.org/officeDocument/2006/relationships/hyperlink" Target="https://uscis.gov" TargetMode="External"/><Relationship Id="rId131" Type="http://schemas.openxmlformats.org/officeDocument/2006/relationships/footer" Target="footer11.xml"/><Relationship Id="rId327" Type="http://schemas.openxmlformats.org/officeDocument/2006/relationships/hyperlink" Target="https://j1visa.state.gov/programs/au-pair" TargetMode="External"/><Relationship Id="rId369" Type="http://schemas.openxmlformats.org/officeDocument/2006/relationships/hyperlink" Target="https://zoll.de" TargetMode="External"/><Relationship Id="rId534" Type="http://schemas.openxmlformats.org/officeDocument/2006/relationships/hyperlink" Target="https://transunion.ca" TargetMode="External"/><Relationship Id="rId576" Type="http://schemas.openxmlformats.org/officeDocument/2006/relationships/hyperlink" Target="https://calgarygermanschool.com" TargetMode="External"/><Relationship Id="rId173" Type="http://schemas.openxmlformats.org/officeDocument/2006/relationships/footer" Target="footer14.xml"/><Relationship Id="rId229" Type="http://schemas.openxmlformats.org/officeDocument/2006/relationships/hyperlink" Target="https://dol.wa.gov" TargetMode="External"/><Relationship Id="rId380" Type="http://schemas.openxmlformats.org/officeDocument/2006/relationships/hyperlink" Target="https://immi.homeaffairs.gov.au/visas/working-in-australia/skillselect" TargetMode="External"/><Relationship Id="rId436" Type="http://schemas.openxmlformats.org/officeDocument/2006/relationships/hyperlink" Target="https://austroads.gov.au" TargetMode="External"/><Relationship Id="rId601" Type="http://schemas.openxmlformats.org/officeDocument/2006/relationships/hyperlink" Target="https://oecd.org" TargetMode="External"/><Relationship Id="rId643" Type="http://schemas.openxmlformats.org/officeDocument/2006/relationships/hyperlink" Target="https://bnz.co.nz" TargetMode="External"/><Relationship Id="rId240" Type="http://schemas.openxmlformats.org/officeDocument/2006/relationships/hyperlink" Target="https://irs.gov/credits-deductions/individuals/child-tax-credit" TargetMode="External"/><Relationship Id="rId478" Type="http://schemas.openxmlformats.org/officeDocument/2006/relationships/hyperlink" Target="https://bmi.bund.de" TargetMode="External"/><Relationship Id="rId685" Type="http://schemas.openxmlformats.org/officeDocument/2006/relationships/hyperlink" Target="https://justice.govt.nz" TargetMode="External"/><Relationship Id="rId35" Type="http://schemas.openxmlformats.org/officeDocument/2006/relationships/hyperlink" Target="https://bundesfinanzministerium.de" TargetMode="External"/><Relationship Id="rId77" Type="http://schemas.openxmlformats.org/officeDocument/2006/relationships/hyperlink" Target="https://irs.gov/individuals/international-taxpayers" TargetMode="External"/><Relationship Id="rId100" Type="http://schemas.openxmlformats.org/officeDocument/2006/relationships/hyperlink" Target="https://ceac.state.gov/genniv" TargetMode="External"/><Relationship Id="rId282" Type="http://schemas.openxmlformats.org/officeDocument/2006/relationships/hyperlink" Target="https://uscis.gov" TargetMode="External"/><Relationship Id="rId338" Type="http://schemas.openxmlformats.org/officeDocument/2006/relationships/hyperlink" Target="https://deutsche-rentenversicherung.de" TargetMode="External"/><Relationship Id="rId503" Type="http://schemas.openxmlformats.org/officeDocument/2006/relationships/hyperlink" Target="https://ircc.canada.ca/english/information/fees/fees.asp" TargetMode="External"/><Relationship Id="rId545" Type="http://schemas.openxmlformats.org/officeDocument/2006/relationships/hyperlink" Target="https://ontario.ca" TargetMode="External"/><Relationship Id="rId587" Type="http://schemas.openxmlformats.org/officeDocument/2006/relationships/hyperlink" Target="https://cbsa-asfc.gc.ca" TargetMode="External"/><Relationship Id="rId8" Type="http://schemas.openxmlformats.org/officeDocument/2006/relationships/footer" Target="footer2.xml"/><Relationship Id="rId142" Type="http://schemas.openxmlformats.org/officeDocument/2006/relationships/hyperlink" Target="https://auswaertiges-amt.de" TargetMode="External"/><Relationship Id="rId184" Type="http://schemas.openxmlformats.org/officeDocument/2006/relationships/hyperlink" Target="https://nhtsa.gov/vehicle-safety/car-seats-and-booster-seats" TargetMode="External"/><Relationship Id="rId391" Type="http://schemas.openxmlformats.org/officeDocument/2006/relationships/hyperlink" Target="https://dewr.gov.au" TargetMode="External"/><Relationship Id="rId405" Type="http://schemas.openxmlformats.org/officeDocument/2006/relationships/hyperlink" Target="https://immi.homeaffairs.gov.au" TargetMode="External"/><Relationship Id="rId447" Type="http://schemas.openxmlformats.org/officeDocument/2006/relationships/hyperlink" Target="https://ardalpha.de" TargetMode="External"/><Relationship Id="rId612" Type="http://schemas.openxmlformats.org/officeDocument/2006/relationships/hyperlink" Target="https://immigration.govt.nz/new-zealand-visas/preparing-a-visa-application/working-in-nz/green-list" TargetMode="External"/><Relationship Id="rId251" Type="http://schemas.openxmlformats.org/officeDocument/2006/relationships/hyperlink" Target="https://eeoc.gov" TargetMode="External"/><Relationship Id="rId489" Type="http://schemas.openxmlformats.org/officeDocument/2006/relationships/hyperlink" Target="https://numbeo.com" TargetMode="External"/><Relationship Id="rId654" Type="http://schemas.openxmlformats.org/officeDocument/2006/relationships/hyperlink" Target="https://naturalhazards.govt.nz" TargetMode="External"/><Relationship Id="rId696" Type="http://schemas.openxmlformats.org/officeDocument/2006/relationships/hyperlink" Target="https://bmi.bund.de" TargetMode="External"/><Relationship Id="rId46" Type="http://schemas.openxmlformats.org/officeDocument/2006/relationships/hyperlink" Target="https://travel.state.gov/visa-bulletin" TargetMode="External"/><Relationship Id="rId293" Type="http://schemas.openxmlformats.org/officeDocument/2006/relationships/hyperlink" Target="https://weather.gov/safety" TargetMode="External"/><Relationship Id="rId307" Type="http://schemas.openxmlformats.org/officeDocument/2006/relationships/hyperlink" Target="https://nces.ed.gov/fastfacts" TargetMode="External"/><Relationship Id="rId349" Type="http://schemas.openxmlformats.org/officeDocument/2006/relationships/hyperlink" Target="https://ready.gov" TargetMode="External"/><Relationship Id="rId514" Type="http://schemas.openxmlformats.org/officeDocument/2006/relationships/hyperlink" Target="https://college-ic.ca" TargetMode="External"/><Relationship Id="rId556" Type="http://schemas.openxmlformats.org/officeDocument/2006/relationships/hyperlink" Target="https://bpb.de" TargetMode="External"/><Relationship Id="rId88" Type="http://schemas.openxmlformats.org/officeDocument/2006/relationships/hyperlink" Target="https://dvprogram.state.gov" TargetMode="External"/><Relationship Id="rId111" Type="http://schemas.openxmlformats.org/officeDocument/2006/relationships/hyperlink" Target="https://census.gov" TargetMode="External"/><Relationship Id="rId153" Type="http://schemas.openxmlformats.org/officeDocument/2006/relationships/hyperlink" Target="https://gesetze-im-internet.de" TargetMode="External"/><Relationship Id="rId195" Type="http://schemas.openxmlformats.org/officeDocument/2006/relationships/footer" Target="footer16.xml"/><Relationship Id="rId209" Type="http://schemas.openxmlformats.org/officeDocument/2006/relationships/hyperlink" Target="https://myfico.com" TargetMode="External"/><Relationship Id="rId360" Type="http://schemas.openxmlformats.org/officeDocument/2006/relationships/hyperlink" Target="https://germany.info/us-en" TargetMode="External"/><Relationship Id="rId416" Type="http://schemas.openxmlformats.org/officeDocument/2006/relationships/hyperlink" Target="https://commbank.com.au" TargetMode="External"/><Relationship Id="rId598" Type="http://schemas.openxmlformats.org/officeDocument/2006/relationships/hyperlink" Target="https://immigration.govt.nz" TargetMode="External"/><Relationship Id="rId220" Type="http://schemas.openxmlformats.org/officeDocument/2006/relationships/hyperlink" Target="https://irs.gov/publications/p969" TargetMode="External"/><Relationship Id="rId458" Type="http://schemas.openxmlformats.org/officeDocument/2006/relationships/hyperlink" Target="https://auslandsschulwesen.de" TargetMode="External"/><Relationship Id="rId623" Type="http://schemas.openxmlformats.org/officeDocument/2006/relationships/hyperlink" Target="https://immigration.govt.nz/assets/inz/documents/forms-and-guides/Fees-Guide-INZ-1028.pdf" TargetMode="External"/><Relationship Id="rId665" Type="http://schemas.openxmlformats.org/officeDocument/2006/relationships/hyperlink" Target="https://wellington.diplo.de" TargetMode="External"/><Relationship Id="rId15" Type="http://schemas.openxmlformats.org/officeDocument/2006/relationships/hyperlink" Target="https://iza.org" TargetMode="External"/><Relationship Id="rId57" Type="http://schemas.openxmlformats.org/officeDocument/2006/relationships/hyperlink" Target="https://travel.state.gov/visabulletin" TargetMode="External"/><Relationship Id="rId262" Type="http://schemas.openxmlformats.org/officeDocument/2006/relationships/hyperlink" Target="https://federalregister.gov" TargetMode="External"/><Relationship Id="rId318" Type="http://schemas.openxmlformats.org/officeDocument/2006/relationships/hyperlink" Target="https://gissv.org/gissv-home-english/locations/saturday-school" TargetMode="External"/><Relationship Id="rId525" Type="http://schemas.openxmlformats.org/officeDocument/2006/relationships/hyperlink" Target="https://canada.ca/en/employment-social-development/services/sin" TargetMode="External"/><Relationship Id="rId567" Type="http://schemas.openxmlformats.org/officeDocument/2006/relationships/hyperlink" Target="https://vwgs.org" TargetMode="External"/><Relationship Id="rId99" Type="http://schemas.openxmlformats.org/officeDocument/2006/relationships/hyperlink" Target="https://de.usembassy.gov/visas" TargetMode="External"/><Relationship Id="rId122" Type="http://schemas.openxmlformats.org/officeDocument/2006/relationships/hyperlink" Target="https://consumerfinance.gov/owning-a-home" TargetMode="External"/><Relationship Id="rId164" Type="http://schemas.openxmlformats.org/officeDocument/2006/relationships/hyperlink" Target="https://travel.state.gov" TargetMode="External"/><Relationship Id="rId371" Type="http://schemas.openxmlformats.org/officeDocument/2006/relationships/footer" Target="footer25.xml"/><Relationship Id="rId427" Type="http://schemas.openxmlformats.org/officeDocument/2006/relationships/hyperlink" Target="https://ato.gov.au" TargetMode="External"/><Relationship Id="rId469" Type="http://schemas.openxmlformats.org/officeDocument/2006/relationships/hyperlink" Target="https://cfa.vic.gov.au" TargetMode="External"/><Relationship Id="rId634" Type="http://schemas.openxmlformats.org/officeDocument/2006/relationships/hyperlink" Target="https://wellington.diplo.de" TargetMode="External"/><Relationship Id="rId676" Type="http://schemas.openxmlformats.org/officeDocument/2006/relationships/hyperlink" Target="https://employment.govt.nz" TargetMode="External"/><Relationship Id="rId26" Type="http://schemas.openxmlformats.org/officeDocument/2006/relationships/hyperlink" Target="https://healthcare.gov" TargetMode="External"/><Relationship Id="rId231" Type="http://schemas.openxmlformats.org/officeDocument/2006/relationships/hyperlink" Target="https://ncdot.gov/dmv" TargetMode="External"/><Relationship Id="rId273" Type="http://schemas.openxmlformats.org/officeDocument/2006/relationships/hyperlink" Target="https://uscis.gov/policy-manual" TargetMode="External"/><Relationship Id="rId329" Type="http://schemas.openxmlformats.org/officeDocument/2006/relationships/hyperlink" Target="https://studentaid.gov" TargetMode="External"/><Relationship Id="rId480" Type="http://schemas.openxmlformats.org/officeDocument/2006/relationships/hyperlink" Target="https://germany.info" TargetMode="External"/><Relationship Id="rId536" Type="http://schemas.openxmlformats.org/officeDocument/2006/relationships/hyperlink" Target="https://ontario.ca/page/apply-ohip-and-get-health-card" TargetMode="External"/><Relationship Id="rId68" Type="http://schemas.openxmlformats.org/officeDocument/2006/relationships/hyperlink" Target="https://uscis.gov/g-1055" TargetMode="External"/><Relationship Id="rId133" Type="http://schemas.openxmlformats.org/officeDocument/2006/relationships/hyperlink" Target="https://uscis.gov/processing-times" TargetMode="External"/><Relationship Id="rId175" Type="http://schemas.openxmlformats.org/officeDocument/2006/relationships/hyperlink" Target="https://law.cornell.edu/cfr/text/19/148.52" TargetMode="External"/><Relationship Id="rId340" Type="http://schemas.openxmlformats.org/officeDocument/2006/relationships/hyperlink" Target="https://letsmakeaplan.org" TargetMode="External"/><Relationship Id="rId578" Type="http://schemas.openxmlformats.org/officeDocument/2006/relationships/hyperlink" Target="https://canada.ca/en/immigration-refugees-citizenship/services/work-canada" TargetMode="External"/><Relationship Id="rId200" Type="http://schemas.openxmlformats.org/officeDocument/2006/relationships/hyperlink" Target="https://irs.gov/forms-pubs/about-form-w-4" TargetMode="External"/><Relationship Id="rId382" Type="http://schemas.openxmlformats.org/officeDocument/2006/relationships/hyperlink" Target="https://immi.homeaffairs.gov.au" TargetMode="External"/><Relationship Id="rId438" Type="http://schemas.openxmlformats.org/officeDocument/2006/relationships/hyperlink" Target="https://kangaroomanagementtaskforce.com.au" TargetMode="External"/><Relationship Id="rId603" Type="http://schemas.openxmlformats.org/officeDocument/2006/relationships/hyperlink" Target="https://stats.govt.nz" TargetMode="External"/><Relationship Id="rId645" Type="http://schemas.openxmlformats.org/officeDocument/2006/relationships/hyperlink" Target="https://immigration.govt.nz" TargetMode="External"/><Relationship Id="rId687" Type="http://schemas.openxmlformats.org/officeDocument/2006/relationships/hyperlink" Target="https://police.govt.nz" TargetMode="External"/><Relationship Id="rId242" Type="http://schemas.openxmlformats.org/officeDocument/2006/relationships/hyperlink" Target="https://irs.gov/businesses/comparison-of-form-8938-and-fbar-requirements" TargetMode="External"/><Relationship Id="rId284" Type="http://schemas.openxmlformats.org/officeDocument/2006/relationships/hyperlink" Target="https://988lifeline.org" TargetMode="External"/><Relationship Id="rId491" Type="http://schemas.openxmlformats.org/officeDocument/2006/relationships/hyperlink" Target="https://canada.ca" TargetMode="External"/><Relationship Id="rId505" Type="http://schemas.openxmlformats.org/officeDocument/2006/relationships/hyperlink" Target="https://canada.ca/.../sponsor-parents-grandparents/eligibility/income.html" TargetMode="External"/><Relationship Id="rId37" Type="http://schemas.openxmlformats.org/officeDocument/2006/relationships/hyperlink" Target="https://kff.org/health-costs" TargetMode="External"/><Relationship Id="rId79" Type="http://schemas.openxmlformats.org/officeDocument/2006/relationships/hyperlink" Target="https://fulbright.de" TargetMode="External"/><Relationship Id="rId102" Type="http://schemas.openxmlformats.org/officeDocument/2006/relationships/hyperlink" Target="https://uscis.gov/working-in-the-united-states/h-1b-specialty-occupations" TargetMode="External"/><Relationship Id="rId144" Type="http://schemas.openxmlformats.org/officeDocument/2006/relationships/hyperlink" Target="https://arbeitsagentur.de" TargetMode="External"/><Relationship Id="rId547" Type="http://schemas.openxmlformats.org/officeDocument/2006/relationships/hyperlink" Target="https://drivetest.ca" TargetMode="External"/><Relationship Id="rId589" Type="http://schemas.openxmlformats.org/officeDocument/2006/relationships/hyperlink" Target="https://weather.gc.ca" TargetMode="External"/><Relationship Id="rId90" Type="http://schemas.openxmlformats.org/officeDocument/2006/relationships/hyperlink" Target="https://uscis.gov/i-765" TargetMode="External"/><Relationship Id="rId186" Type="http://schemas.openxmlformats.org/officeDocument/2006/relationships/hyperlink" Target="https://iec.ch/world-plugs" TargetMode="External"/><Relationship Id="rId351" Type="http://schemas.openxmlformats.org/officeDocument/2006/relationships/hyperlink" Target="https://germany.info/us-de/service/hilfe" TargetMode="External"/><Relationship Id="rId393" Type="http://schemas.openxmlformats.org/officeDocument/2006/relationships/hyperlink" Target="https://immi.homeaffairs.gov.au" TargetMode="External"/><Relationship Id="rId407" Type="http://schemas.openxmlformats.org/officeDocument/2006/relationships/hyperlink" Target="https://ato.gov.au" TargetMode="External"/><Relationship Id="rId449" Type="http://schemas.openxmlformats.org/officeDocument/2006/relationships/hyperlink" Target="https://australien.diplo.de" TargetMode="External"/><Relationship Id="rId614" Type="http://schemas.openxmlformats.org/officeDocument/2006/relationships/hyperlink" Target="https://immigration.govt.nz/assets/inz/documents/forms-and-guides/Fees-Guide-INZ-1028.pdf" TargetMode="External"/><Relationship Id="rId656" Type="http://schemas.openxmlformats.org/officeDocument/2006/relationships/hyperlink" Target="https://nzta.govt.nz" TargetMode="External"/><Relationship Id="rId211" Type="http://schemas.openxmlformats.org/officeDocument/2006/relationships/hyperlink" Target="https://federalreserve.gov/releases/g19" TargetMode="External"/><Relationship Id="rId253" Type="http://schemas.openxmlformats.org/officeDocument/2006/relationships/hyperlink" Target="https://bls.gov/ebs" TargetMode="External"/><Relationship Id="rId295" Type="http://schemas.openxmlformats.org/officeDocument/2006/relationships/hyperlink" Target="https://tax.ny.gov" TargetMode="External"/><Relationship Id="rId309" Type="http://schemas.openxmlformats.org/officeDocument/2006/relationships/hyperlink" Target="https://ed.gov" TargetMode="External"/><Relationship Id="rId460" Type="http://schemas.openxmlformats.org/officeDocument/2006/relationships/hyperlink" Target="https://uac.edu.au" TargetMode="External"/><Relationship Id="rId516" Type="http://schemas.openxmlformats.org/officeDocument/2006/relationships/hyperlink" Target="https://kanada.diplo.de" TargetMode="External"/><Relationship Id="rId698" Type="http://schemas.openxmlformats.org/officeDocument/2006/relationships/footer" Target="footer31.xml"/><Relationship Id="rId48" Type="http://schemas.openxmlformats.org/officeDocument/2006/relationships/hyperlink" Target="https://cbp.gov/travel" TargetMode="External"/><Relationship Id="rId113" Type="http://schemas.openxmlformats.org/officeDocument/2006/relationships/hyperlink" Target="https://uscis.gov" TargetMode="External"/><Relationship Id="rId320" Type="http://schemas.openxmlformats.org/officeDocument/2006/relationships/hyperlink" Target="https://goethe.de/ins/us/en/spr/prf.html" TargetMode="External"/><Relationship Id="rId558" Type="http://schemas.openxmlformats.org/officeDocument/2006/relationships/hyperlink" Target="https://quebec.ca" TargetMode="External"/><Relationship Id="rId155" Type="http://schemas.openxmlformats.org/officeDocument/2006/relationships/hyperlink" Target="https://tk.de" TargetMode="External"/><Relationship Id="rId197" Type="http://schemas.openxmlformats.org/officeDocument/2006/relationships/hyperlink" Target="https://i94.cbp.dhs.gov" TargetMode="External"/><Relationship Id="rId362" Type="http://schemas.openxmlformats.org/officeDocument/2006/relationships/hyperlink" Target="https://supremecourt.gov/opinions/25pdf/25-365_4hdj.pdf" TargetMode="External"/><Relationship Id="rId418" Type="http://schemas.openxmlformats.org/officeDocument/2006/relationships/hyperlink" Target="https://nab.com.au" TargetMode="External"/><Relationship Id="rId625"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222" Type="http://schemas.openxmlformats.org/officeDocument/2006/relationships/hyperlink" Target="https://census.gov/library/publications/2026/demo/p60-291.html" TargetMode="External"/><Relationship Id="rId264" Type="http://schemas.openxmlformats.org/officeDocument/2006/relationships/hyperlink" Target="https://dol.gov/general/topic/health-plans/cobra" TargetMode="External"/><Relationship Id="rId471" Type="http://schemas.openxmlformats.org/officeDocument/2006/relationships/hyperlink" Target="https://tga.gov.au" TargetMode="External"/><Relationship Id="rId667" Type="http://schemas.openxmlformats.org/officeDocument/2006/relationships/hyperlink" Target="https://1737.org.nz" TargetMode="External"/><Relationship Id="rId17" Type="http://schemas.openxmlformats.org/officeDocument/2006/relationships/hyperlink" Target="https://gesetze-im-internet.de/stag" TargetMode="External"/><Relationship Id="rId59" Type="http://schemas.openxmlformats.org/officeDocument/2006/relationships/hyperlink" Target="https://uscis.gov/g-1055" TargetMode="External"/><Relationship Id="rId124" Type="http://schemas.openxmlformats.org/officeDocument/2006/relationships/hyperlink" Target="https://hud.gov/sites/default/files/OCHCO/documents/2025-09hsgml.pdf" TargetMode="External"/><Relationship Id="rId527" Type="http://schemas.openxmlformats.org/officeDocument/2006/relationships/hyperlink" Target="https://taxtips.ca" TargetMode="External"/><Relationship Id="rId569" Type="http://schemas.openxmlformats.org/officeDocument/2006/relationships/hyperlink" Target="https://ontario.ca/page/education-and-training" TargetMode="External"/><Relationship Id="rId70" Type="http://schemas.openxmlformats.org/officeDocument/2006/relationships/hyperlink" Target="https://federalregister.gov" TargetMode="External"/><Relationship Id="rId166" Type="http://schemas.openxmlformats.org/officeDocument/2006/relationships/hyperlink" Target="https://ece.org" TargetMode="External"/><Relationship Id="rId331" Type="http://schemas.openxmlformats.org/officeDocument/2006/relationships/footer" Target="footer23.xml"/><Relationship Id="rId373" Type="http://schemas.openxmlformats.org/officeDocument/2006/relationships/hyperlink" Target="https://immi.homeaffairs.gov.au" TargetMode="External"/><Relationship Id="rId429" Type="http://schemas.openxmlformats.org/officeDocument/2006/relationships/hyperlink" Target="https://domain.com.au" TargetMode="External"/><Relationship Id="rId580" Type="http://schemas.openxmlformats.org/officeDocument/2006/relationships/hyperlink" Target="https://jobbank.gc.ca" TargetMode="External"/><Relationship Id="rId636" Type="http://schemas.openxmlformats.org/officeDocument/2006/relationships/hyperlink" Target="https://immigration.govt.nz" TargetMode="External"/><Relationship Id="rId1" Type="http://schemas.openxmlformats.org/officeDocument/2006/relationships/numbering" Target="numbering.xml"/><Relationship Id="rId233" Type="http://schemas.openxmlformats.org/officeDocument/2006/relationships/hyperlink" Target="https://oregon.gov/odot/dmv" TargetMode="External"/><Relationship Id="rId440" Type="http://schemas.openxmlformats.org/officeDocument/2006/relationships/hyperlink" Target="https://nrma.com.au" TargetMode="External"/><Relationship Id="rId678" Type="http://schemas.openxmlformats.org/officeDocument/2006/relationships/hyperlink" Target="https://era.govt.nz" TargetMode="External"/><Relationship Id="rId28" Type="http://schemas.openxmlformats.org/officeDocument/2006/relationships/hyperlink" Target="https://bls.gov/oes" TargetMode="External"/><Relationship Id="rId275" Type="http://schemas.openxmlformats.org/officeDocument/2006/relationships/hyperlink" Target="https://opm.gov/policy-data-oversight/pay-leave/federal-holidays" TargetMode="External"/><Relationship Id="rId300" Type="http://schemas.openxmlformats.org/officeDocument/2006/relationships/hyperlink" Target="https://usda.gov/topics/organic" TargetMode="External"/><Relationship Id="rId482" Type="http://schemas.openxmlformats.org/officeDocument/2006/relationships/footer" Target="footer28.xml"/><Relationship Id="rId538" Type="http://schemas.openxmlformats.org/officeDocument/2006/relationships/hyperlink" Target="https://ramq.gouv.qc.ca" TargetMode="External"/><Relationship Id="rId81" Type="http://schemas.openxmlformats.org/officeDocument/2006/relationships/hyperlink" Target="https://uscis.gov/working-in-the-united-states/temporary-workers" TargetMode="External"/><Relationship Id="rId135" Type="http://schemas.openxmlformats.org/officeDocument/2006/relationships/hyperlink" Target="https://travel.state.gov" TargetMode="External"/><Relationship Id="rId177" Type="http://schemas.openxmlformats.org/officeDocument/2006/relationships/hyperlink" Target="https://irs.gov/pub/irs-pdf/p15b.pdf" TargetMode="External"/><Relationship Id="rId342" Type="http://schemas.openxmlformats.org/officeDocument/2006/relationships/hyperlink" Target="https://uscis.gov/ar-11" TargetMode="External"/><Relationship Id="rId384" Type="http://schemas.openxmlformats.org/officeDocument/2006/relationships/hyperlink" Target="https://immi.homeaffairs.gov.au" TargetMode="External"/><Relationship Id="rId591" Type="http://schemas.openxmlformats.org/officeDocument/2006/relationships/hyperlink" Target="https://canada.ca" TargetMode="External"/><Relationship Id="rId605" Type="http://schemas.openxmlformats.org/officeDocument/2006/relationships/hyperlink" Target="https://immigration.govt.nz" TargetMode="External"/><Relationship Id="rId202" Type="http://schemas.openxmlformats.org/officeDocument/2006/relationships/hyperlink" Target="https://germany.info" TargetMode="External"/><Relationship Id="rId244" Type="http://schemas.openxmlformats.org/officeDocument/2006/relationships/hyperlink" Target="https://irs.gov/payments/failure-to-file-penalty" TargetMode="External"/><Relationship Id="rId647" Type="http://schemas.openxmlformats.org/officeDocument/2006/relationships/hyperlink" Target="https://acc.co.nz" TargetMode="External"/><Relationship Id="rId689" Type="http://schemas.openxmlformats.org/officeDocument/2006/relationships/hyperlink" Target="https://getready.govt.nz" TargetMode="External"/><Relationship Id="rId39" Type="http://schemas.openxmlformats.org/officeDocument/2006/relationships/hyperlink" Target="https://familienportal.de" TargetMode="External"/><Relationship Id="rId286" Type="http://schemas.openxmlformats.org/officeDocument/2006/relationships/hyperlink" Target="https://findtreatment.gov" TargetMode="External"/><Relationship Id="rId451" Type="http://schemas.openxmlformats.org/officeDocument/2006/relationships/hyperlink" Target="https://lifeline.org.au" TargetMode="External"/><Relationship Id="rId493" Type="http://schemas.openxmlformats.org/officeDocument/2006/relationships/hyperlink" Target="https://canada.ca/en/employment-social-development" TargetMode="External"/><Relationship Id="rId507" Type="http://schemas.openxmlformats.org/officeDocument/2006/relationships/hyperlink" Target="https://canada.ca/.../start-visa.html" TargetMode="External"/><Relationship Id="rId549" Type="http://schemas.openxmlformats.org/officeDocument/2006/relationships/hyperlink" Target="https://saaq.gouv.qc.ca" TargetMode="External"/><Relationship Id="rId50" Type="http://schemas.openxmlformats.org/officeDocument/2006/relationships/hyperlink" Target="https://uscis.gov/newsroom/alerts/h-1b-faq" TargetMode="External"/><Relationship Id="rId104" Type="http://schemas.openxmlformats.org/officeDocument/2006/relationships/hyperlink" Target="https://uscis.gov/avoid-scams" TargetMode="External"/><Relationship Id="rId146" Type="http://schemas.openxmlformats.org/officeDocument/2006/relationships/hyperlink" Target="https://bmvg.de" TargetMode="External"/><Relationship Id="rId188" Type="http://schemas.openxmlformats.org/officeDocument/2006/relationships/hyperlink" Target="https://cdc.gov/importation" TargetMode="External"/><Relationship Id="rId311" Type="http://schemas.openxmlformats.org/officeDocument/2006/relationships/hyperlink" Target="https://mischooldata.org" TargetMode="External"/><Relationship Id="rId353" Type="http://schemas.openxmlformats.org/officeDocument/2006/relationships/hyperlink" Target="https://uscis.gov/n-400" TargetMode="External"/><Relationship Id="rId395" Type="http://schemas.openxmlformats.org/officeDocument/2006/relationships/hyperlink" Target="https://immi.homeaffairs.gov.au" TargetMode="External"/><Relationship Id="rId409" Type="http://schemas.openxmlformats.org/officeDocument/2006/relationships/hyperlink" Target="https://australien.diplo.de" TargetMode="External"/><Relationship Id="rId560" Type="http://schemas.openxmlformats.org/officeDocument/2006/relationships/hyperlink" Target="https://cbc.ca" TargetMode="External"/><Relationship Id="rId92" Type="http://schemas.openxmlformats.org/officeDocument/2006/relationships/hyperlink" Target="https://uscis.gov/working-in-the-united-states/temporary-workers/l-1a-intracompany-transferee-executive-or-manager" TargetMode="External"/><Relationship Id="rId213" Type="http://schemas.openxmlformats.org/officeDocument/2006/relationships/hyperlink" Target="https://identitytheft.gov" TargetMode="External"/><Relationship Id="rId420" Type="http://schemas.openxmlformats.org/officeDocument/2006/relationships/hyperlink" Target="https://mygov.au" TargetMode="External"/><Relationship Id="rId616" Type="http://schemas.openxmlformats.org/officeDocument/2006/relationships/hyperlink" Target="https://immigration.govt.nz/new-zealand-visas/visas/visa/partner-of-a-new-zealander-resident-visa" TargetMode="External"/><Relationship Id="rId658" Type="http://schemas.openxmlformats.org/officeDocument/2006/relationships/hyperlink" Target="https://transport.govt.nz" TargetMode="External"/><Relationship Id="rId255" Type="http://schemas.openxmlformats.org/officeDocument/2006/relationships/hyperlink" Target="https://irs.gov/retirement-plans/401k-plans" TargetMode="External"/><Relationship Id="rId297" Type="http://schemas.openxmlformats.org/officeDocument/2006/relationships/hyperlink" Target="https://fna.usda.gov/research/cnpp/usda-food-plans" TargetMode="External"/><Relationship Id="rId462" Type="http://schemas.openxmlformats.org/officeDocument/2006/relationships/hyperlink" Target="https://fwc.gov.au" TargetMode="External"/><Relationship Id="rId518" Type="http://schemas.openxmlformats.org/officeDocument/2006/relationships/hyperlink" Target="https://cbsa-asfc.gc.ca" TargetMode="External"/><Relationship Id="rId115" Type="http://schemas.openxmlformats.org/officeDocument/2006/relationships/hyperlink" Target="https://consumer.ftc.gov" TargetMode="External"/><Relationship Id="rId157" Type="http://schemas.openxmlformats.org/officeDocument/2006/relationships/hyperlink" Target="https://cdc.gov/vaccines" TargetMode="External"/><Relationship Id="rId322" Type="http://schemas.openxmlformats.org/officeDocument/2006/relationships/hyperlink" Target="https://ielts.org" TargetMode="External"/><Relationship Id="rId364" Type="http://schemas.openxmlformats.org/officeDocument/2006/relationships/hyperlink" Target="https://uscis.gov/i-131" TargetMode="External"/><Relationship Id="rId61" Type="http://schemas.openxmlformats.org/officeDocument/2006/relationships/hyperlink" Target="https://de.usembassy.gov" TargetMode="External"/><Relationship Id="rId199" Type="http://schemas.openxmlformats.org/officeDocument/2006/relationships/hyperlink" Target="https://uscis.gov/i-9" TargetMode="External"/><Relationship Id="rId571" Type="http://schemas.openxmlformats.org/officeDocument/2006/relationships/hyperlink" Target="https://quebec.ca" TargetMode="External"/><Relationship Id="rId627" Type="http://schemas.openxmlformats.org/officeDocument/2006/relationships/hyperlink" Target="https://wellington.diplo.de" TargetMode="External"/><Relationship Id="rId669" Type="http://schemas.openxmlformats.org/officeDocument/2006/relationships/hyperlink" Target="https://plunket.org.nz" TargetMode="External"/><Relationship Id="rId19" Type="http://schemas.openxmlformats.org/officeDocument/2006/relationships/hyperlink" Target="https://immi.homeaffairs.gov.au" TargetMode="External"/><Relationship Id="rId224" Type="http://schemas.openxmlformats.org/officeDocument/2006/relationships/hyperlink" Target="https://findtreatment.gov" TargetMode="External"/><Relationship Id="rId266" Type="http://schemas.openxmlformats.org/officeDocument/2006/relationships/footer" Target="footer19.xml"/><Relationship Id="rId431" Type="http://schemas.openxmlformats.org/officeDocument/2006/relationships/hyperlink" Target="https://australien.diplo.de" TargetMode="External"/><Relationship Id="rId473" Type="http://schemas.openxmlformats.org/officeDocument/2006/relationships/hyperlink" Target="https://acic.gov.au" TargetMode="External"/><Relationship Id="rId529" Type="http://schemas.openxmlformats.org/officeDocument/2006/relationships/hyperlink" Target="https://td.com" TargetMode="External"/><Relationship Id="rId680" Type="http://schemas.openxmlformats.org/officeDocument/2006/relationships/hyperlink" Target="https://legislation.govt.nz" TargetMode="External"/><Relationship Id="rId30" Type="http://schemas.openxmlformats.org/officeDocument/2006/relationships/hyperlink" Target="https://uscis.gov" TargetMode="External"/><Relationship Id="rId126" Type="http://schemas.openxmlformats.org/officeDocument/2006/relationships/hyperlink" Target="https://fhfa.gov" TargetMode="External"/><Relationship Id="rId168" Type="http://schemas.openxmlformats.org/officeDocument/2006/relationships/hyperlink" Target="https://ncees.org/engineering/pe" TargetMode="External"/><Relationship Id="rId333" Type="http://schemas.openxmlformats.org/officeDocument/2006/relationships/hyperlink" Target="https://ssa.gov/international/Agreement_Pamphlets/germany.html" TargetMode="External"/><Relationship Id="rId540" Type="http://schemas.openxmlformats.org/officeDocument/2006/relationships/hyperlink" Target="https://saskatchewan.ca/residents/health" TargetMode="External"/><Relationship Id="rId72" Type="http://schemas.openxmlformats.org/officeDocument/2006/relationships/hyperlink" Target="https://studyinthestates.dhs.gov" TargetMode="External"/><Relationship Id="rId375" Type="http://schemas.openxmlformats.org/officeDocument/2006/relationships/hyperlink" Target="https://servicesaustralia.gov.au" TargetMode="External"/><Relationship Id="rId582" Type="http://schemas.openxmlformats.org/officeDocument/2006/relationships/hyperlink" Target="https://alberta.ca/employment-standards" TargetMode="External"/><Relationship Id="rId638" Type="http://schemas.openxmlformats.org/officeDocument/2006/relationships/hyperlink" Target="https://equifax.co.nz/nz" TargetMode="External"/><Relationship Id="rId3" Type="http://schemas.openxmlformats.org/officeDocument/2006/relationships/settings" Target="settings.xml"/><Relationship Id="rId235" Type="http://schemas.openxmlformats.org/officeDocument/2006/relationships/hyperlink" Target="https://tsa.gov/real-id" TargetMode="External"/><Relationship Id="rId277" Type="http://schemas.openxmlformats.org/officeDocument/2006/relationships/hyperlink" Target="https://news.ku.edu" TargetMode="External"/><Relationship Id="rId400" Type="http://schemas.openxmlformats.org/officeDocument/2006/relationships/hyperlink" Target="https://immi.homeaffairs.gov.au/visas/getting-a-visa/visa-processing-times" TargetMode="External"/><Relationship Id="rId442" Type="http://schemas.openxmlformats.org/officeDocument/2006/relationships/hyperlink" Target="https://culturalatlas.sbs.com.au" TargetMode="External"/><Relationship Id="rId484" Type="http://schemas.openxmlformats.org/officeDocument/2006/relationships/hyperlink" Target="https://gov.bc.ca" TargetMode="External"/><Relationship Id="rId137" Type="http://schemas.openxmlformats.org/officeDocument/2006/relationships/hyperlink" Target="https://deutsche-rentenversicherung.de" TargetMode="External"/><Relationship Id="rId302" Type="http://schemas.openxmlformats.org/officeDocument/2006/relationships/hyperlink" Target="https://epa.gov/ground-water-and-drinking-water" TargetMode="External"/><Relationship Id="rId344" Type="http://schemas.openxmlformats.org/officeDocument/2006/relationships/hyperlink" Target="https://law.cornell.edu/uscode/text/18/922" TargetMode="External"/><Relationship Id="rId691" Type="http://schemas.openxmlformats.org/officeDocument/2006/relationships/hyperlink" Target="https://naturalhazards.govt.nz" TargetMode="External"/><Relationship Id="rId41" Type="http://schemas.openxmlformats.org/officeDocument/2006/relationships/footer" Target="footer7.xml"/><Relationship Id="rId83" Type="http://schemas.openxmlformats.org/officeDocument/2006/relationships/hyperlink" Target="https://uscis.gov/working-in-the-united-states/international-entrepreneur-rule" TargetMode="External"/><Relationship Id="rId179" Type="http://schemas.openxmlformats.org/officeDocument/2006/relationships/hyperlink" Target="https://fmcsa.dot.gov" TargetMode="External"/><Relationship Id="rId386" Type="http://schemas.openxmlformats.org/officeDocument/2006/relationships/hyperlink" Target="https://immi.homeaffairs.gov.au" TargetMode="External"/><Relationship Id="rId551" Type="http://schemas.openxmlformats.org/officeDocument/2006/relationships/hyperlink" Target="https://quebec.ca" TargetMode="External"/><Relationship Id="rId593" Type="http://schemas.openxmlformats.org/officeDocument/2006/relationships/hyperlink" Target="https://cra-arc.gc.ca" TargetMode="External"/><Relationship Id="rId607" Type="http://schemas.openxmlformats.org/officeDocument/2006/relationships/hyperlink" Target="https://immigration.govt.nz" TargetMode="External"/><Relationship Id="rId649" Type="http://schemas.openxmlformats.org/officeDocument/2006/relationships/hyperlink" Target="https://nib.co.nz" TargetMode="External"/><Relationship Id="rId190" Type="http://schemas.openxmlformats.org/officeDocument/2006/relationships/hyperlink" Target="https://dab.hawaii.gov/ai" TargetMode="External"/><Relationship Id="rId204" Type="http://schemas.openxmlformats.org/officeDocument/2006/relationships/hyperlink" Target="https://ssa.gov/international/Agreement_Pamphlets/germany.html" TargetMode="External"/><Relationship Id="rId246" Type="http://schemas.openxmlformats.org/officeDocument/2006/relationships/hyperlink" Target="https://irs.gov/newsroom/tax-scams-consumer-alerts" TargetMode="External"/><Relationship Id="rId288" Type="http://schemas.openxmlformats.org/officeDocument/2006/relationships/hyperlink" Target="https://openpathcollective.org" TargetMode="External"/><Relationship Id="rId411" Type="http://schemas.openxmlformats.org/officeDocument/2006/relationships/hyperlink" Target="https://servicesaustralia.gov.au" TargetMode="External"/><Relationship Id="rId453" Type="http://schemas.openxmlformats.org/officeDocument/2006/relationships/hyperlink" Target="https://rfs.nsw.gov.au" TargetMode="External"/><Relationship Id="rId509" Type="http://schemas.openxmlformats.org/officeDocument/2006/relationships/hyperlink" Target="https://bzst.de" TargetMode="External"/><Relationship Id="rId660" Type="http://schemas.openxmlformats.org/officeDocument/2006/relationships/hyperlink" Target="https://police.govt.nz" TargetMode="External"/><Relationship Id="rId106" Type="http://schemas.openxmlformats.org/officeDocument/2006/relationships/footer" Target="footer9.xml"/><Relationship Id="rId313" Type="http://schemas.openxmlformats.org/officeDocument/2006/relationships/hyperlink" Target="https://collegeboard.org" TargetMode="External"/><Relationship Id="rId495" Type="http://schemas.openxmlformats.org/officeDocument/2006/relationships/hyperlink" Target="https://canada.ca" TargetMode="External"/><Relationship Id="rId10" Type="http://schemas.openxmlformats.org/officeDocument/2006/relationships/footer" Target="footer4.xml"/><Relationship Id="rId52" Type="http://schemas.openxmlformats.org/officeDocument/2006/relationships/hyperlink" Target="https://federalregister.gov" TargetMode="External"/><Relationship Id="rId94" Type="http://schemas.openxmlformats.org/officeDocument/2006/relationships/hyperlink" Target="https://uscis.gov/policy-manual/volume-7-part-a-chapter-7" TargetMode="External"/><Relationship Id="rId148" Type="http://schemas.openxmlformats.org/officeDocument/2006/relationships/hyperlink" Target="https://deutsche-rentenversicherung.de" TargetMode="External"/><Relationship Id="rId355" Type="http://schemas.openxmlformats.org/officeDocument/2006/relationships/hyperlink" Target="https://uscis.gov/g-1055" TargetMode="External"/><Relationship Id="rId397" Type="http://schemas.openxmlformats.org/officeDocument/2006/relationships/hyperlink" Target="https://ato.gov.au" TargetMode="External"/><Relationship Id="rId520" Type="http://schemas.openxmlformats.org/officeDocument/2006/relationships/hyperlink" Target="https://ontario.ca/page/apply-ohip-and-get-health-card" TargetMode="External"/><Relationship Id="rId562" Type="http://schemas.openxmlformats.org/officeDocument/2006/relationships/hyperlink" Target="https://kanada.diplo.de" TargetMode="External"/><Relationship Id="rId618" Type="http://schemas.openxmlformats.org/officeDocument/2006/relationships/hyperlink" Target="https://immigration.govt.nz/about-us/news-centre" TargetMode="External"/><Relationship Id="rId215" Type="http://schemas.openxmlformats.org/officeDocument/2006/relationships/hyperlink" Target="https://novacredit.com/credit-passport" TargetMode="External"/><Relationship Id="rId257" Type="http://schemas.openxmlformats.org/officeDocument/2006/relationships/hyperlink" Target="https://careeronestop.org" TargetMode="External"/><Relationship Id="rId422" Type="http://schemas.openxmlformats.org/officeDocument/2006/relationships/hyperlink" Target="https://ato.gov.au" TargetMode="External"/><Relationship Id="rId464" Type="http://schemas.openxmlformats.org/officeDocument/2006/relationships/hyperlink" Target="https://ato.gov.au/super" TargetMode="External"/><Relationship Id="rId299" Type="http://schemas.openxmlformats.org/officeDocument/2006/relationships/hyperlink" Target="https://bls.gov" TargetMode="External"/><Relationship Id="rId63" Type="http://schemas.openxmlformats.org/officeDocument/2006/relationships/hyperlink" Target="https://irs.gov/individuals/international-taxpayers" TargetMode="External"/><Relationship Id="rId159" Type="http://schemas.openxmlformats.org/officeDocument/2006/relationships/hyperlink" Target="https://germany.info/us-de/service" TargetMode="External"/><Relationship Id="rId366" Type="http://schemas.openxmlformats.org/officeDocument/2006/relationships/hyperlink" Target="https://irs.gov/individuals/international-taxpayers/firpta-withholding" TargetMode="External"/><Relationship Id="rId573" Type="http://schemas.openxmlformats.org/officeDocument/2006/relationships/hyperlink" Target="https://auslandsschulwesen.de" TargetMode="External"/><Relationship Id="rId226" Type="http://schemas.openxmlformats.org/officeDocument/2006/relationships/hyperlink" Target="https://dmv.ca.gov" TargetMode="External"/><Relationship Id="rId433" Type="http://schemas.openxmlformats.org/officeDocument/2006/relationships/hyperlink" Target="https://service.nsw.gov.au" TargetMode="External"/><Relationship Id="rId640" Type="http://schemas.openxmlformats.org/officeDocument/2006/relationships/hyperlink" Target="https://anz.co.nz" TargetMode="External"/><Relationship Id="rId74" Type="http://schemas.openxmlformats.org/officeDocument/2006/relationships/hyperlink" Target="https://uscis.gov/g-1055" TargetMode="External"/><Relationship Id="rId377" Type="http://schemas.openxmlformats.org/officeDocument/2006/relationships/hyperlink" Target="https://oecd.org" TargetMode="External"/><Relationship Id="rId500" Type="http://schemas.openxmlformats.org/officeDocument/2006/relationships/hyperlink" Target="https://ircc.canada.ca/english/information/fees/fees.asp" TargetMode="External"/><Relationship Id="rId584" Type="http://schemas.openxmlformats.org/officeDocument/2006/relationships/hyperlink" Target="https://rcmp.ca/en/firearms" TargetMode="External"/><Relationship Id="rId5" Type="http://schemas.openxmlformats.org/officeDocument/2006/relationships/footnotes" Target="footnotes.xml"/><Relationship Id="rId237" Type="http://schemas.openxmlformats.org/officeDocument/2006/relationships/hyperlink" Target="https://eia.gov/petroleum/gasdiesel" TargetMode="External"/><Relationship Id="rId444" Type="http://schemas.openxmlformats.org/officeDocument/2006/relationships/hyperlink" Target="https://fairwork.gov.au" TargetMode="External"/><Relationship Id="rId651" Type="http://schemas.openxmlformats.org/officeDocument/2006/relationships/hyperlink" Target="https://tenancy.govt.nz" TargetMode="External"/><Relationship Id="rId290" Type="http://schemas.openxmlformats.org/officeDocument/2006/relationships/hyperlink" Target="https://nces.ed.gov/fastfacts" TargetMode="External"/><Relationship Id="rId304" Type="http://schemas.openxmlformats.org/officeDocument/2006/relationships/hyperlink" Target="https://cbp.gov" TargetMode="External"/><Relationship Id="rId388" Type="http://schemas.openxmlformats.org/officeDocument/2006/relationships/hyperlink" Target="https://immi.homeaffairs.gov.au" TargetMode="External"/><Relationship Id="rId511" Type="http://schemas.openxmlformats.org/officeDocument/2006/relationships/hyperlink" Target="https://canada.ca/en/immigration-refugees-citizenship/services/application/check-processing-times.html" TargetMode="External"/><Relationship Id="rId609" Type="http://schemas.openxmlformats.org/officeDocument/2006/relationships/hyperlink" Target="https://immigration.govt.nz" TargetMode="External"/><Relationship Id="rId85" Type="http://schemas.openxmlformats.org/officeDocument/2006/relationships/hyperlink" Target="https://travel.state.gov/content/travel/en/us-visas/business/b-1-fact-sheet.html" TargetMode="External"/><Relationship Id="rId150" Type="http://schemas.openxmlformats.org/officeDocument/2006/relationships/hyperlink" Target="https://bundesfinanzministerium.de" TargetMode="External"/><Relationship Id="rId595" Type="http://schemas.openxmlformats.org/officeDocument/2006/relationships/hyperlink" Target="https://kanada.diplo.de" TargetMode="External"/><Relationship Id="rId248" Type="http://schemas.openxmlformats.org/officeDocument/2006/relationships/footer" Target="footer18.xml"/><Relationship Id="rId455" Type="http://schemas.openxmlformats.org/officeDocument/2006/relationships/hyperlink" Target="https://abs.gov.au/statistics/people/education/schools" TargetMode="External"/><Relationship Id="rId662" Type="http://schemas.openxmlformats.org/officeDocument/2006/relationships/hyperlink" Target="https://newzealand.govt.nz" TargetMode="External"/><Relationship Id="rId12" Type="http://schemas.openxmlformats.org/officeDocument/2006/relationships/hyperlink" Target="https://bva.bund.de" TargetMode="External"/><Relationship Id="rId108" Type="http://schemas.openxmlformats.org/officeDocument/2006/relationships/hyperlink" Target="https://bls.gov" TargetMode="External"/><Relationship Id="rId315" Type="http://schemas.openxmlformats.org/officeDocument/2006/relationships/hyperlink" Target="https://ed.gov" TargetMode="External"/><Relationship Id="rId522" Type="http://schemas.openxmlformats.org/officeDocument/2006/relationships/hyperlink" Target="https://canada.ca/en/revenue-agency/services/tax/individuals/international-tax/newcomers-canada-immigrants.html" TargetMode="External"/><Relationship Id="rId96" Type="http://schemas.openxmlformats.org/officeDocument/2006/relationships/hyperlink" Target="https://reginfo.gov" TargetMode="External"/><Relationship Id="rId161" Type="http://schemas.openxmlformats.org/officeDocument/2006/relationships/hyperlink" Target="https://bundesjustizamt.de" TargetMode="External"/><Relationship Id="rId399" Type="http://schemas.openxmlformats.org/officeDocument/2006/relationships/hyperlink" Target="https://immi.homeaffairs.gov.au/visas/working-in-australia/skillselect" TargetMode="External"/><Relationship Id="rId259" Type="http://schemas.openxmlformats.org/officeDocument/2006/relationships/hyperlink" Target="https://uscis.gov/g-1055" TargetMode="External"/><Relationship Id="rId466" Type="http://schemas.openxmlformats.org/officeDocument/2006/relationships/hyperlink" Target="https://afdrs.com.au" TargetMode="External"/><Relationship Id="rId673" Type="http://schemas.openxmlformats.org/officeDocument/2006/relationships/hyperlink" Target="https://education.govt.nz" TargetMode="External"/><Relationship Id="rId23" Type="http://schemas.openxmlformats.org/officeDocument/2006/relationships/footer" Target="footer6.xml"/><Relationship Id="rId119" Type="http://schemas.openxmlformats.org/officeDocument/2006/relationships/hyperlink" Target="https://michiganlegalhelp.org" TargetMode="External"/><Relationship Id="rId326" Type="http://schemas.openxmlformats.org/officeDocument/2006/relationships/hyperlink" Target="https://childcareaware.org" TargetMode="External"/><Relationship Id="rId533" Type="http://schemas.openxmlformats.org/officeDocument/2006/relationships/hyperlink" Target="https://equifax.ca" TargetMode="External"/><Relationship Id="rId172" Type="http://schemas.openxmlformats.org/officeDocument/2006/relationships/footer" Target="footer13.xml"/><Relationship Id="rId477" Type="http://schemas.openxmlformats.org/officeDocument/2006/relationships/hyperlink" Target="https://ato.gov.au" TargetMode="External"/><Relationship Id="rId600" Type="http://schemas.openxmlformats.org/officeDocument/2006/relationships/hyperlink" Target="https://acc.co.nz" TargetMode="External"/><Relationship Id="rId684" Type="http://schemas.openxmlformats.org/officeDocument/2006/relationships/hyperlink" Target="https://firearmssafety.govt.nz" TargetMode="External"/><Relationship Id="rId337" Type="http://schemas.openxmlformats.org/officeDocument/2006/relationships/hyperlink" Target="https://irs.gov/instructions/i3520" TargetMode="External"/><Relationship Id="rId34" Type="http://schemas.openxmlformats.org/officeDocument/2006/relationships/hyperlink" Target="https://childcareaware.org" TargetMode="External"/><Relationship Id="rId544" Type="http://schemas.openxmlformats.org/officeDocument/2006/relationships/hyperlink" Target="https://gov.bc.ca" TargetMode="External"/><Relationship Id="rId183" Type="http://schemas.openxmlformats.org/officeDocument/2006/relationships/hyperlink" Target="https://federalregister.gov" TargetMode="External"/><Relationship Id="rId390" Type="http://schemas.openxmlformats.org/officeDocument/2006/relationships/hyperlink" Target="https://immi.homeaffairs.gov.au/visas/getting-a-visa/fees-and-charges" TargetMode="External"/><Relationship Id="rId404" Type="http://schemas.openxmlformats.org/officeDocument/2006/relationships/hyperlink" Target="https://australien.diplo.de" TargetMode="External"/><Relationship Id="rId611" Type="http://schemas.openxmlformats.org/officeDocument/2006/relationships/hyperlink" Target="https://immigration.govt.nz/new-zealand-visas/visas/visa/skilled-migrant-category-resident-visa" TargetMode="External"/><Relationship Id="rId250" Type="http://schemas.openxmlformats.org/officeDocument/2006/relationships/hyperlink" Target="https://dol.gov/agencies/whd/flsa" TargetMode="External"/><Relationship Id="rId488" Type="http://schemas.openxmlformats.org/officeDocument/2006/relationships/hyperlink" Target="https://oecd.org" TargetMode="External"/><Relationship Id="rId695" Type="http://schemas.openxmlformats.org/officeDocument/2006/relationships/hyperlink" Target="https://ird.govt.nz" TargetMode="External"/><Relationship Id="rId45" Type="http://schemas.openxmlformats.org/officeDocument/2006/relationships/hyperlink" Target="https://travel.state.gov/visa" TargetMode="External"/><Relationship Id="rId110" Type="http://schemas.openxmlformats.org/officeDocument/2006/relationships/hyperlink" Target="https://zumper.com/rent-research" TargetMode="External"/><Relationship Id="rId348" Type="http://schemas.openxmlformats.org/officeDocument/2006/relationships/hyperlink" Target="https://identitytheft.gov" TargetMode="External"/><Relationship Id="rId555" Type="http://schemas.openxmlformats.org/officeDocument/2006/relationships/hyperlink" Target="https://bpb.de" TargetMode="External"/><Relationship Id="rId194" Type="http://schemas.openxmlformats.org/officeDocument/2006/relationships/footer" Target="footer15.xml"/><Relationship Id="rId208" Type="http://schemas.openxmlformats.org/officeDocument/2006/relationships/hyperlink" Target="https://consumer.ftc.gov/articles/what-know-about-credit-freezes-fraud-alerts" TargetMode="External"/><Relationship Id="rId415" Type="http://schemas.openxmlformats.org/officeDocument/2006/relationships/hyperlink" Target="https://illion.com.au" TargetMode="External"/><Relationship Id="rId622" Type="http://schemas.openxmlformats.org/officeDocument/2006/relationships/hyperlink" Target="https://immigration.govt.nz" TargetMode="External"/><Relationship Id="rId261" Type="http://schemas.openxmlformats.org/officeDocument/2006/relationships/hyperlink" Target="https://uscis.gov/ar-11" TargetMode="External"/><Relationship Id="rId499" Type="http://schemas.openxmlformats.org/officeDocument/2006/relationships/hyperlink" Target="https://canada.ca/.../provincial-nominees.html" TargetMode="External"/><Relationship Id="rId56" Type="http://schemas.openxmlformats.org/officeDocument/2006/relationships/hyperlink" Target="https://de.usembassy.gov/visas" TargetMode="External"/><Relationship Id="rId359" Type="http://schemas.openxmlformats.org/officeDocument/2006/relationships/hyperlink" Target="https://bva.bund.de" TargetMode="External"/><Relationship Id="rId566" Type="http://schemas.openxmlformats.org/officeDocument/2006/relationships/hyperlink" Target="https://canada.ca" TargetMode="External"/><Relationship Id="rId121" Type="http://schemas.openxmlformats.org/officeDocument/2006/relationships/hyperlink" Target="https://gesetze-im-internet.de/bgb" TargetMode="External"/><Relationship Id="rId219" Type="http://schemas.openxmlformats.org/officeDocument/2006/relationships/hyperlink" Target="https://dol.gov/agencies/ebsa" TargetMode="External"/><Relationship Id="rId426" Type="http://schemas.openxmlformats.org/officeDocument/2006/relationships/hyperlink" Target="https://firb.gov.au" TargetMode="External"/><Relationship Id="rId633" Type="http://schemas.openxmlformats.org/officeDocument/2006/relationships/hyperlink" Target="https://tenancy.govt.nz" TargetMode="External"/><Relationship Id="rId67" Type="http://schemas.openxmlformats.org/officeDocument/2006/relationships/hyperlink" Target="https://flag.dol.gov/processingtimes" TargetMode="External"/><Relationship Id="rId272" Type="http://schemas.openxmlformats.org/officeDocument/2006/relationships/hyperlink" Target="https://fec.gov" TargetMode="External"/><Relationship Id="rId577" Type="http://schemas.openxmlformats.org/officeDocument/2006/relationships/hyperlink" Target="https://canada.ca/en/employment-social-development/services/foreign-workers" TargetMode="External"/><Relationship Id="rId700" Type="http://schemas.openxmlformats.org/officeDocument/2006/relationships/theme" Target="theme/theme1.xml"/><Relationship Id="rId132" Type="http://schemas.openxmlformats.org/officeDocument/2006/relationships/footer" Target="footer12.xml"/><Relationship Id="rId437" Type="http://schemas.openxmlformats.org/officeDocument/2006/relationships/hyperlink" Target="https://nsw.gov.au" TargetMode="External"/><Relationship Id="rId644" Type="http://schemas.openxmlformats.org/officeDocument/2006/relationships/hyperlink" Target="https://govt.nz" TargetMode="External"/><Relationship Id="rId283" Type="http://schemas.openxmlformats.org/officeDocument/2006/relationships/hyperlink" Target="https://help.meetup.com" TargetMode="External"/><Relationship Id="rId490" Type="http://schemas.openxmlformats.org/officeDocument/2006/relationships/hyperlink" Target="https://canada.ca/en/immigration-refugees-citizenship" TargetMode="External"/><Relationship Id="rId504" Type="http://schemas.openxmlformats.org/officeDocument/2006/relationships/hyperlink" Target="https://canada.ca/.../sponsor-spouse-partner-child.html" TargetMode="External"/><Relationship Id="rId78" Type="http://schemas.openxmlformats.org/officeDocument/2006/relationships/hyperlink" Target="https://daad.de" TargetMode="External"/><Relationship Id="rId143" Type="http://schemas.openxmlformats.org/officeDocument/2006/relationships/hyperlink" Target="https://vorsorgeregister.de" TargetMode="External"/><Relationship Id="rId350" Type="http://schemas.openxmlformats.org/officeDocument/2006/relationships/hyperlink" Target="https://weather.gov" TargetMode="External"/><Relationship Id="rId588" Type="http://schemas.openxmlformats.org/officeDocument/2006/relationships/hyperlink" Target="https://alertready.ca" TargetMode="External"/><Relationship Id="rId9" Type="http://schemas.openxmlformats.org/officeDocument/2006/relationships/footer" Target="footer3.xml"/><Relationship Id="rId210" Type="http://schemas.openxmlformats.org/officeDocument/2006/relationships/hyperlink" Target="https://annualcreditreport.com" TargetMode="External"/><Relationship Id="rId448" Type="http://schemas.openxmlformats.org/officeDocument/2006/relationships/hyperlink" Target="https://justwatch.de" TargetMode="External"/><Relationship Id="rId655" Type="http://schemas.openxmlformats.org/officeDocument/2006/relationships/hyperlink" Target="https://wellington.diplo.de" TargetMode="External"/><Relationship Id="rId294" Type="http://schemas.openxmlformats.org/officeDocument/2006/relationships/hyperlink" Target="https://aad.org" TargetMode="External"/><Relationship Id="rId308" Type="http://schemas.openxmlformats.org/officeDocument/2006/relationships/hyperlink" Target="https://nces.ed.gov/programs/digest" TargetMode="External"/><Relationship Id="rId515" Type="http://schemas.openxmlformats.org/officeDocument/2006/relationships/hyperlink" Target="https://visa.vfsglobal.com/deu/de/can" TargetMode="External"/><Relationship Id="rId89" Type="http://schemas.openxmlformats.org/officeDocument/2006/relationships/hyperlink" Target="https://de.usembassy.gov" TargetMode="External"/><Relationship Id="rId154" Type="http://schemas.openxmlformats.org/officeDocument/2006/relationships/hyperlink" Target="https://gkv-spitzenverband.de" TargetMode="External"/><Relationship Id="rId361" Type="http://schemas.openxmlformats.org/officeDocument/2006/relationships/hyperlink" Target="https://bundeswahlleiterin.de" TargetMode="External"/><Relationship Id="rId599" Type="http://schemas.openxmlformats.org/officeDocument/2006/relationships/hyperlink" Target="https://ird.govt.nz" TargetMode="External"/><Relationship Id="rId459" Type="http://schemas.openxmlformats.org/officeDocument/2006/relationships/hyperlink" Target="https://goethe.de/ins/au" TargetMode="External"/><Relationship Id="rId666" Type="http://schemas.openxmlformats.org/officeDocument/2006/relationships/hyperlink" Target="https://goethe.de/ins/nz" TargetMode="External"/><Relationship Id="rId16" Type="http://schemas.openxmlformats.org/officeDocument/2006/relationships/hyperlink" Target="https://oecd.org" TargetMode="External"/><Relationship Id="rId221" Type="http://schemas.openxmlformats.org/officeDocument/2006/relationships/hyperlink" Target="https://kff.org/health-costs/2025-employer-health-benefits-survey" TargetMode="External"/><Relationship Id="rId319" Type="http://schemas.openxmlformats.org/officeDocument/2006/relationships/hyperlink" Target="https://tcgis.org" TargetMode="External"/><Relationship Id="rId526" Type="http://schemas.openxmlformats.org/officeDocument/2006/relationships/hyperlink" Target="https://www2.gov.bc.ca/gov/content/taxes/income-taxes" TargetMode="External"/><Relationship Id="rId165" Type="http://schemas.openxmlformats.org/officeDocument/2006/relationships/hyperlink" Target="https://wes.org/evaluations" TargetMode="External"/><Relationship Id="rId372" Type="http://schemas.openxmlformats.org/officeDocument/2006/relationships/footer" Target="footer26.xml"/><Relationship Id="rId677" Type="http://schemas.openxmlformats.org/officeDocument/2006/relationships/hyperlink" Target="https://employment.govt.nz/starting-employment/trial-periods" TargetMode="External"/><Relationship Id="rId232" Type="http://schemas.openxmlformats.org/officeDocument/2006/relationships/hyperlink" Target="https://flhsmv.gov" TargetMode="External"/><Relationship Id="rId27" Type="http://schemas.openxmlformats.org/officeDocument/2006/relationships/hyperlink" Target="https://data.worldbank.org" TargetMode="External"/><Relationship Id="rId537" Type="http://schemas.openxmlformats.org/officeDocument/2006/relationships/hyperlink" Target="https://www2.gov.bc.ca/gov/content/health/health-drug-coverage/msp" TargetMode="External"/><Relationship Id="rId80" Type="http://schemas.openxmlformats.org/officeDocument/2006/relationships/hyperlink" Target="https://opendoorsdata.org" TargetMode="External"/><Relationship Id="rId176" Type="http://schemas.openxmlformats.org/officeDocument/2006/relationships/hyperlink" Target="https://aphis.usda.gov" TargetMode="External"/><Relationship Id="rId383" Type="http://schemas.openxmlformats.org/officeDocument/2006/relationships/hyperlink" Target="https://immi.homeaffairs.gov.au/visas/getting-a-visa/fees-and-charges" TargetMode="External"/><Relationship Id="rId590" Type="http://schemas.openxmlformats.org/officeDocument/2006/relationships/hyperlink" Target="https://auswaertiges-amt.de" TargetMode="External"/><Relationship Id="rId604" Type="http://schemas.openxmlformats.org/officeDocument/2006/relationships/hyperlink" Target="https://immigration.govt.nz" TargetMode="External"/><Relationship Id="rId243" Type="http://schemas.openxmlformats.org/officeDocument/2006/relationships/hyperlink" Target="https://irs.gov/pub/irs-trty/germany.pdf" TargetMode="External"/><Relationship Id="rId450" Type="http://schemas.openxmlformats.org/officeDocument/2006/relationships/hyperlink" Target="https://goethe.de/ins/au" TargetMode="External"/><Relationship Id="rId688" Type="http://schemas.openxmlformats.org/officeDocument/2006/relationships/hyperlink" Target="https://geonet.org.nz" TargetMode="External"/><Relationship Id="rId38" Type="http://schemas.openxmlformats.org/officeDocument/2006/relationships/hyperlink" Target="https://uscis.gov/green-card/green-card-eligibility/green-card-for-employment-based-immigrants" TargetMode="External"/><Relationship Id="rId103" Type="http://schemas.openxmlformats.org/officeDocument/2006/relationships/hyperlink" Target="https://uscis.gov/processing-times" TargetMode="External"/><Relationship Id="rId310" Type="http://schemas.openxmlformats.org/officeDocument/2006/relationships/hyperlink" Target="https://greatschools.org/gk/ratings" TargetMode="External"/><Relationship Id="rId548" Type="http://schemas.openxmlformats.org/officeDocument/2006/relationships/hyperlink" Target="https://icbc.com" TargetMode="External"/><Relationship Id="rId91" Type="http://schemas.openxmlformats.org/officeDocument/2006/relationships/hyperlink" Target="https://uscis.gov/g-1055" TargetMode="External"/><Relationship Id="rId187" Type="http://schemas.openxmlformats.org/officeDocument/2006/relationships/hyperlink" Target="https://zoll.de" TargetMode="External"/><Relationship Id="rId394" Type="http://schemas.openxmlformats.org/officeDocument/2006/relationships/hyperlink" Target="https://immi.homeaffairs.gov.au" TargetMode="External"/><Relationship Id="rId408" Type="http://schemas.openxmlformats.org/officeDocument/2006/relationships/hyperlink" Target="https://servicesaustralia.gov.au" TargetMode="External"/><Relationship Id="rId615" Type="http://schemas.openxmlformats.org/officeDocument/2006/relationships/hyperlink" Target="https://immigration.govt.nz/process-to-apply/applying-for-a-visa/providing-evidence-and-documents-to-support-your-visa-application/health-requirements" TargetMode="External"/><Relationship Id="rId254" Type="http://schemas.openxmlformats.org/officeDocument/2006/relationships/hyperlink" Target="https://bls.gov/oes" TargetMode="External"/><Relationship Id="rId699" Type="http://schemas.openxmlformats.org/officeDocument/2006/relationships/fontTable" Target="fontTable.xml"/><Relationship Id="rId49" Type="http://schemas.openxmlformats.org/officeDocument/2006/relationships/hyperlink" Target="https://uscis.gov/working-in-the-united-states/h-1b-specialty-occupations" TargetMode="External"/><Relationship Id="rId114" Type="http://schemas.openxmlformats.org/officeDocument/2006/relationships/hyperlink" Target="https://hud.gov/fairhousing" TargetMode="External"/><Relationship Id="rId461" Type="http://schemas.openxmlformats.org/officeDocument/2006/relationships/hyperlink" Target="https://fairwork.gov.au" TargetMode="External"/><Relationship Id="rId559" Type="http://schemas.openxmlformats.org/officeDocument/2006/relationships/hyperlink" Target="https://lexology.com" TargetMode="External"/><Relationship Id="rId198" Type="http://schemas.openxmlformats.org/officeDocument/2006/relationships/hyperlink" Target="https://federalregister.gov/d/2025-19655" TargetMode="External"/><Relationship Id="rId321" Type="http://schemas.openxmlformats.org/officeDocument/2006/relationships/hyperlink" Target="https://ets.org/toefl" TargetMode="External"/><Relationship Id="rId419" Type="http://schemas.openxmlformats.org/officeDocument/2006/relationships/hyperlink" Target="https://anz.com.au" TargetMode="External"/><Relationship Id="rId626" Type="http://schemas.openxmlformats.org/officeDocument/2006/relationships/hyperlink" Target="https://iaa.govt.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1512</Pages>
  <Words>305128</Words>
  <Characters>1939426</Characters>
  <Application>Microsoft Office Word</Application>
  <DocSecurity>0</DocSecurity>
  <Lines>53110</Lines>
  <Paragraphs>17628</Paragraphs>
  <ScaleCrop>false</ScaleCrop>
  <Company/>
  <LinksUpToDate>false</LinksUpToDate>
  <CharactersWithSpaces>2230557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 Ab in die USA, Kanada, Australien oder Neuseeland?</dc:title>
  <dc:subject>Visa und Aufenthaltstitel, Umzug und Kosten, Wohnen und Steuern, Schule, Freunde und Kultur: Alles, was du vor, während und nach dem Umzug von Deutschland in die USA, nach Kanada, Australien oder Neuseeland wissen musst.</dc:subject>
  <dc:creator>Lothar J. Musiol</dc:creator>
  <dc:description>Visa und Aufenthaltstitel, Umzug und Kosten, Wohnen und Steuern, Schule, Freunde und Kultur: Alles, was du vor, während und nach dem Umzug von Deutschland in die USA, nach Kanada, Australien oder Neuseeland wissen musst.</dc:description>
  <cp:lastModifiedBy>Lothar Musiol</cp:lastModifiedBy>
  <cp:revision>5</cp:revision>
  <cp:lastPrinted>2026-09-27T05:04:00Z</cp:lastPrinted>
  <dcterms:created xsi:type="dcterms:W3CDTF">2026-09-27T04:57:00Z</dcterms:created>
  <dcterms:modified xsi:type="dcterms:W3CDTF">2026-09-27T05:05:00Z</dcterms:modified>
</cp:coreProperties>
</file>